
<file path=[Content_Types].xml><?xml version="1.0" encoding="utf-8"?>
<Types xmlns="http://schemas.openxmlformats.org/package/2006/content-types">
  <Override PartName="/word/charts/chart10.xml" ContentType="application/vnd.openxmlformats-officedocument.drawingml.chart+xml"/>
  <Override PartName="/word/theme/themeOverride5.xml" ContentType="application/vnd.openxmlformats-officedocument.themeOverride+xml"/>
  <Override PartName="/word/theme/themeOverride15.xml" ContentType="application/vnd.openxmlformats-officedocument.themeOverride+xml"/>
  <Override PartName="/word/charts/chart149.xml" ContentType="application/vnd.openxmlformats-officedocument.drawingml.chart+xml"/>
  <Override PartName="/word/charts/chart59.xml" ContentType="application/vnd.openxmlformats-officedocument.drawingml.chart+xml"/>
  <Override PartName="/word/charts/chart138.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48.xml" ContentType="application/vnd.openxmlformats-officedocument.drawingml.chart+xml"/>
  <Override PartName="/word/charts/chart95.xml" ContentType="application/vnd.openxmlformats-officedocument.drawingml.chart+xml"/>
  <Override PartName="/word/charts/chart127.xml" ContentType="application/vnd.openxmlformats-officedocument.drawingml.chart+xml"/>
  <Override PartName="/word/stylesWithEffects.xml" ContentType="application/vnd.ms-word.stylesWithEffects+xml"/>
  <Override PartName="/word/footer3.xml" ContentType="application/vnd.openxmlformats-officedocument.wordprocessingml.footer+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charts/chart105.xml" ContentType="application/vnd.openxmlformats-officedocument.drawingml.chart+xml"/>
  <Override PartName="/word/charts/chart116.xml" ContentType="application/vnd.openxmlformats-officedocument.drawingml.chart+xml"/>
  <Override PartName="/word/charts/chart134.xml" ContentType="application/vnd.openxmlformats-officedocument.drawingml.chart+xml"/>
  <Override PartName="/word/charts/chart152.xml" ContentType="application/vnd.openxmlformats-officedocument.drawingml.chart+xml"/>
  <Override PartName="/word/charts/chart163.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charts/chart91.xml" ContentType="application/vnd.openxmlformats-officedocument.drawingml.chart+xml"/>
  <Override PartName="/word/charts/chart112.xml" ContentType="application/vnd.openxmlformats-officedocument.drawingml.chart+xml"/>
  <Override PartName="/word/charts/chart123.xml" ContentType="application/vnd.openxmlformats-officedocument.drawingml.chart+xml"/>
  <Override PartName="/word/charts/chart141.xml" ContentType="application/vnd.openxmlformats-officedocument.drawingml.chart+xml"/>
  <Override PartName="/word/charts/chart170.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charts/chart80.xml" ContentType="application/vnd.openxmlformats-officedocument.drawingml.chart+xml"/>
  <Override PartName="/word/charts/chart101.xml" ContentType="application/vnd.openxmlformats-officedocument.drawingml.chart+xml"/>
  <Override PartName="/word/charts/chart130.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theme/themeOverride6.xml" ContentType="application/vnd.openxmlformats-officedocument.themeOverride+xml"/>
  <Override PartName="/word/charts/chart40.xml" ContentType="application/vnd.openxmlformats-officedocument.drawingml.chart+xml"/>
  <Default Extension="bin" ContentType="application/vnd.openxmlformats-officedocument.oleObject"/>
  <Default Extension="png" ContentType="image/png"/>
  <Override PartName="/word/theme/themeOverride16.xml" ContentType="application/vnd.openxmlformats-officedocument.themeOverride+xml"/>
  <Override PartName="/word/theme/themeOverride2.xml" ContentType="application/vnd.openxmlformats-officedocument.themeOverride+xml"/>
  <Override PartName="/word/charts/chart89.xml" ContentType="application/vnd.openxmlformats-officedocument.drawingml.chart+xml"/>
  <Override PartName="/word/charts/chart168.xml" ContentType="application/vnd.openxmlformats-officedocument.drawingml.chart+xml"/>
  <Default Extension="emf" ContentType="image/x-emf"/>
  <Override PartName="/word/charts/chart49.xml" ContentType="application/vnd.openxmlformats-officedocument.drawingml.chart+xml"/>
  <Override PartName="/word/charts/chart78.xml" ContentType="application/vnd.openxmlformats-officedocument.drawingml.chart+xml"/>
  <Override PartName="/word/charts/chart96.xml" ContentType="application/vnd.openxmlformats-officedocument.drawingml.chart+xml"/>
  <Override PartName="/word/charts/chart128.xml" ContentType="application/vnd.openxmlformats-officedocument.drawingml.chart+xml"/>
  <Override PartName="/word/charts/chart139.xml" ContentType="application/vnd.openxmlformats-officedocument.drawingml.chart+xml"/>
  <Override PartName="/word/theme/themeOverride12.xml" ContentType="application/vnd.openxmlformats-officedocument.themeOverride+xml"/>
  <Override PartName="/word/charts/chart157.xml" ContentType="application/vnd.openxmlformats-officedocument.drawingml.chart+xml"/>
  <Override PartName="/word/footer4.xml" ContentType="application/vnd.openxmlformats-officedocument.wordprocessingml.footer+xml"/>
  <Override PartName="/word/charts/chart38.xml" ContentType="application/vnd.openxmlformats-officedocument.drawingml.chart+xml"/>
  <Override PartName="/word/charts/chart67.xml" ContentType="application/vnd.openxmlformats-officedocument.drawingml.chart+xml"/>
  <Override PartName="/word/charts/chart85.xml" ContentType="application/vnd.openxmlformats-officedocument.drawingml.chart+xml"/>
  <Override PartName="/word/charts/chart117.xml" ContentType="application/vnd.openxmlformats-officedocument.drawingml.chart+xml"/>
  <Override PartName="/word/charts/chart135.xml" ContentType="application/vnd.openxmlformats-officedocument.drawingml.chart+xml"/>
  <Override PartName="/word/charts/chart146.xml" ContentType="application/vnd.openxmlformats-officedocument.drawingml.chart+xml"/>
  <Override PartName="/word/charts/chart164.xml" ContentType="application/vnd.openxmlformats-officedocument.drawingml.chart+xml"/>
  <Override PartName="/docProps/app.xml" ContentType="application/vnd.openxmlformats-officedocument.extended-properties+xml"/>
  <Override PartName="/word/charts/chart6.xml" ContentType="application/vnd.openxmlformats-officedocument.drawingml.chart+xml"/>
  <Override PartName="/word/charts/chart27.xml" ContentType="application/vnd.openxmlformats-officedocument.drawingml.chart+xml"/>
  <Override PartName="/word/charts/chart45.xml" ContentType="application/vnd.openxmlformats-officedocument.drawingml.chart+xml"/>
  <Override PartName="/word/charts/chart56.xml" ContentType="application/vnd.openxmlformats-officedocument.drawingml.chart+xml"/>
  <Override PartName="/word/charts/chart74.xml" ContentType="application/vnd.openxmlformats-officedocument.drawingml.chart+xml"/>
  <Override PartName="/word/charts/chart92.xml" ContentType="application/vnd.openxmlformats-officedocument.drawingml.chart+xml"/>
  <Override PartName="/word/charts/chart106.xml" ContentType="application/vnd.openxmlformats-officedocument.drawingml.chart+xml"/>
  <Override PartName="/word/charts/chart124.xml" ContentType="application/vnd.openxmlformats-officedocument.drawingml.chart+xml"/>
  <Override PartName="/word/charts/chart153.xml" ContentType="application/vnd.openxmlformats-officedocument.drawingml.chart+xml"/>
  <Override PartName="/word/charts/chart171.xml" ContentType="application/vnd.openxmlformats-officedocument.drawingml.chart+xml"/>
  <Override PartName="/word/charts/chart16.xml" ContentType="application/vnd.openxmlformats-officedocument.drawingml.chart+xml"/>
  <Override PartName="/word/charts/chart34.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81.xml" ContentType="application/vnd.openxmlformats-officedocument.drawingml.chart+xml"/>
  <Override PartName="/word/charts/chart113.xml" ContentType="application/vnd.openxmlformats-officedocument.drawingml.chart+xml"/>
  <Override PartName="/word/charts/chart131.xml" ContentType="application/vnd.openxmlformats-officedocument.drawingml.chart+xml"/>
  <Override PartName="/word/charts/chart142.xml" ContentType="application/vnd.openxmlformats-officedocument.drawingml.chart+xml"/>
  <Override PartName="/word/charts/chart160.xml" ContentType="application/vnd.openxmlformats-officedocument.drawingml.chart+xml"/>
  <Override PartName="/word/charts/chart2.xml" ContentType="application/vnd.openxmlformats-officedocument.drawingml.chart+xml"/>
  <Override PartName="/word/charts/chart23.xml" ContentType="application/vnd.openxmlformats-officedocument.drawingml.chart+xml"/>
  <Override PartName="/word/charts/chart41.xml" ContentType="application/vnd.openxmlformats-officedocument.drawingml.chart+xml"/>
  <Override PartName="/word/charts/chart70.xml" ContentType="application/vnd.openxmlformats-officedocument.drawingml.chart+xml"/>
  <Override PartName="/word/charts/chart102.xml" ContentType="application/vnd.openxmlformats-officedocument.drawingml.chart+xml"/>
  <Override PartName="/word/charts/chart12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theme/themeOverride7.xml" ContentType="application/vnd.openxmlformats-officedocument.themeOverride+xml"/>
  <Override PartName="/word/charts/chart30.xml" ContentType="application/vnd.openxmlformats-officedocument.drawingml.chart+xml"/>
  <Override PartName="/word/header1.xml" ContentType="application/vnd.openxmlformats-officedocument.wordprocessingml.header+xml"/>
  <Override PartName="/word/theme/themeOverride17.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3.xml" ContentType="application/vnd.openxmlformats-officedocument.themeOverride+xml"/>
  <Override PartName="/word/charts/chart158.xml" ContentType="application/vnd.openxmlformats-officedocument.drawingml.chart+xml"/>
  <Override PartName="/word/theme/themeOverride13.xml" ContentType="application/vnd.openxmlformats-officedocument.themeOverride+xml"/>
  <Override PartName="/word/charts/chart169.xml" ContentType="application/vnd.openxmlformats-officedocument.drawingml.chart+xml"/>
  <Override PartName="/word/charts/chart68.xml" ContentType="application/vnd.openxmlformats-officedocument.drawingml.chart+xml"/>
  <Override PartName="/word/charts/chart79.xml" ContentType="application/vnd.openxmlformats-officedocument.drawingml.chart+xml"/>
  <Override PartName="/word/charts/chart97.xml" ContentType="application/vnd.openxmlformats-officedocument.drawingml.chart+xml"/>
  <Override PartName="/word/charts/chart129.xml" ContentType="application/vnd.openxmlformats-officedocument.drawingml.chart+xml"/>
  <Override PartName="/word/charts/chart147.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107.xml" ContentType="application/vnd.openxmlformats-officedocument.drawingml.chart+xml"/>
  <Override PartName="/word/charts/chart118.xml" ContentType="application/vnd.openxmlformats-officedocument.drawingml.chart+xml"/>
  <Override PartName="/word/charts/chart136.xml" ContentType="application/vnd.openxmlformats-officedocument.drawingml.chart+xml"/>
  <Override PartName="/word/charts/chart154.xml" ContentType="application/vnd.openxmlformats-officedocument.drawingml.chart+xml"/>
  <Override PartName="/word/footer5.xml" ContentType="application/vnd.openxmlformats-officedocument.wordprocessingml.footer+xml"/>
  <Override PartName="/word/charts/chart165.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charts/chart114.xml" ContentType="application/vnd.openxmlformats-officedocument.drawingml.chart+xml"/>
  <Override PartName="/word/charts/chart125.xml" ContentType="application/vnd.openxmlformats-officedocument.drawingml.chart+xml"/>
  <Override PartName="/word/charts/chart143.xml" ContentType="application/vnd.openxmlformats-officedocument.drawingml.chart+xml"/>
  <Override PartName="/word/charts/chart161.xml" ContentType="application/vnd.openxmlformats-officedocument.drawingml.chart+xml"/>
  <Override PartName="/word/charts/chart172.xml" ContentType="application/vnd.openxmlformats-officedocument.drawingml.chart+xml"/>
  <Override PartName="/word/footer1.xml" ContentType="application/vnd.openxmlformats-officedocument.wordprocessingml.footer+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charts/chart103.xml" ContentType="application/vnd.openxmlformats-officedocument.drawingml.chart+xml"/>
  <Override PartName="/word/charts/chart132.xml" ContentType="application/vnd.openxmlformats-officedocument.drawingml.chart+xml"/>
  <Override PartName="/word/charts/chart150.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31.xml" ContentType="application/vnd.openxmlformats-officedocument.drawingml.chart+xml"/>
  <Override PartName="/word/charts/chart42.xml" ContentType="application/vnd.openxmlformats-officedocument.drawingml.chart+xml"/>
  <Override PartName="/word/charts/chart60.xml" ContentType="application/vnd.openxmlformats-officedocument.drawingml.chart+xml"/>
  <Override PartName="/word/charts/chart110.xml" ContentType="application/vnd.openxmlformats-officedocument.drawingml.chart+xml"/>
  <Override PartName="/word/charts/chart121.xml" ContentType="application/vnd.openxmlformats-officedocument.drawingml.chart+xml"/>
  <Override PartName="/word/charts/chart20.xml" ContentType="application/vnd.openxmlformats-officedocument.drawingml.chart+xml"/>
  <Override PartName="/word/theme/themeOverride4.xml" ContentType="application/vnd.openxmlformats-officedocument.themeOverride+xml"/>
  <Override PartName="/word/charts/chart98.xml" ContentType="application/vnd.openxmlformats-officedocument.drawingml.chart+xml"/>
  <Override PartName="/word/charts/chart159.xml" ContentType="application/vnd.openxmlformats-officedocument.drawingml.chart+xml"/>
  <Override PartName="/word/theme/themeOverride14.xml" ContentType="application/vnd.openxmlformats-officedocument.themeOverride+xml"/>
  <Default Extension="jpeg" ContentType="image/jpeg"/>
  <Override PartName="/word/charts/chart69.xml" ContentType="application/vnd.openxmlformats-officedocument.drawingml.chart+xml"/>
  <Override PartName="/word/charts/chart87.xml" ContentType="application/vnd.openxmlformats-officedocument.drawingml.chart+xml"/>
  <Override PartName="/word/charts/chart119.xml" ContentType="application/vnd.openxmlformats-officedocument.drawingml.chart+xml"/>
  <Override PartName="/word/charts/chart137.xml" ContentType="application/vnd.openxmlformats-officedocument.drawingml.chart+xml"/>
  <Override PartName="/word/charts/chart148.xml" ContentType="application/vnd.openxmlformats-officedocument.drawingml.chart+xml"/>
  <Override PartName="/word/charts/chart166.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theme/themeOverride10.xml" ContentType="application/vnd.openxmlformats-officedocument.themeOverride+xml"/>
  <Override PartName="/word/charts/chart47.xml" ContentType="application/vnd.openxmlformats-officedocument.drawingml.chart+xml"/>
  <Override PartName="/word/charts/chart58.xml" ContentType="application/vnd.openxmlformats-officedocument.drawingml.chart+xml"/>
  <Override PartName="/word/charts/chart76.xml" ContentType="application/vnd.openxmlformats-officedocument.drawingml.chart+xml"/>
  <Override PartName="/word/charts/chart94.xml" ContentType="application/vnd.openxmlformats-officedocument.drawingml.chart+xml"/>
  <Override PartName="/word/charts/chart108.xml" ContentType="application/vnd.openxmlformats-officedocument.drawingml.chart+xml"/>
  <Override PartName="/word/charts/chart126.xml" ContentType="application/vnd.openxmlformats-officedocument.drawingml.chart+xml"/>
  <Override PartName="/word/charts/chart155.xml" ContentType="application/vnd.openxmlformats-officedocument.drawingml.chart+xml"/>
  <Override PartName="/word/charts/chart173.xml" ContentType="application/vnd.openxmlformats-officedocument.drawingml.chart+xml"/>
  <Override PartName="/word/settings.xml" ContentType="application/vnd.openxmlformats-officedocument.wordprocessingml.settings+xml"/>
  <Override PartName="/word/footer2.xml" ContentType="application/vnd.openxmlformats-officedocument.wordprocessingml.footer+xml"/>
  <Override PartName="/word/charts/chart18.xml" ContentType="application/vnd.openxmlformats-officedocument.drawingml.chart+xml"/>
  <Override PartName="/word/charts/chart36.xml" ContentType="application/vnd.openxmlformats-officedocument.drawingml.chart+xml"/>
  <Override PartName="/word/charts/chart54.xml" ContentType="application/vnd.openxmlformats-officedocument.drawingml.chart+xml"/>
  <Override PartName="/word/charts/chart65.xml" ContentType="application/vnd.openxmlformats-officedocument.drawingml.chart+xml"/>
  <Override PartName="/word/charts/chart83.xml" ContentType="application/vnd.openxmlformats-officedocument.drawingml.chart+xml"/>
  <Override PartName="/word/charts/chart115.xml" ContentType="application/vnd.openxmlformats-officedocument.drawingml.chart+xml"/>
  <Override PartName="/word/charts/chart133.xml" ContentType="application/vnd.openxmlformats-officedocument.drawingml.chart+xml"/>
  <Override PartName="/word/charts/chart144.xml" ContentType="application/vnd.openxmlformats-officedocument.drawingml.chart+xml"/>
  <Override PartName="/word/charts/chart162.xml" ContentType="application/vnd.openxmlformats-officedocument.drawingml.chart+xml"/>
  <Override PartName="/word/charts/chart4.xml" ContentType="application/vnd.openxmlformats-officedocument.drawingml.chart+xml"/>
  <Override PartName="/word/charts/chart25.xml" ContentType="application/vnd.openxmlformats-officedocument.drawingml.chart+xml"/>
  <Override PartName="/word/charts/chart43.xml" ContentType="application/vnd.openxmlformats-officedocument.drawingml.chart+xml"/>
  <Override PartName="/word/charts/chart72.xml" ContentType="application/vnd.openxmlformats-officedocument.drawingml.chart+xml"/>
  <Override PartName="/word/charts/chart90.xml" ContentType="application/vnd.openxmlformats-officedocument.drawingml.chart+xml"/>
  <Override PartName="/word/charts/chart104.xml" ContentType="application/vnd.openxmlformats-officedocument.drawingml.chart+xml"/>
  <Override PartName="/word/charts/chart122.xml" ContentType="application/vnd.openxmlformats-officedocument.drawingml.chart+xml"/>
  <Override PartName="/word/charts/chart151.xml" ContentType="application/vnd.openxmlformats-officedocument.drawingml.chart+xml"/>
  <Override PartName="/word/theme/theme1.xml" ContentType="application/vnd.openxmlformats-officedocument.theme+xml"/>
  <Override PartName="/word/charts/chart14.xml" ContentType="application/vnd.openxmlformats-officedocument.drawingml.chart+xml"/>
  <Override PartName="/word/theme/themeOverride9.xml" ContentType="application/vnd.openxmlformats-officedocument.themeOverride+xml"/>
  <Override PartName="/word/charts/chart32.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111.xml" ContentType="application/vnd.openxmlformats-officedocument.drawingml.chart+xml"/>
  <Override PartName="/word/charts/chart140.xml" ContentType="application/vnd.openxmlformats-officedocument.drawingml.chart+xml"/>
  <Override PartName="/word/charts/chart21.xml" ContentType="application/vnd.openxmlformats-officedocument.drawingml.chart+xml"/>
  <Override PartName="/word/charts/chart100.xml" ContentType="application/vnd.openxmlformats-officedocument.drawingml.chart+xml"/>
  <Override PartName="/customXml/itemProps1.xml" ContentType="application/vnd.openxmlformats-officedocument.customXmlProperties+xml"/>
  <Override PartName="/word/charts/chart99.xml" ContentType="application/vnd.openxmlformats-officedocument.drawingml.chart+xml"/>
  <Override PartName="/word/theme/themeOverride1.xml" ContentType="application/vnd.openxmlformats-officedocument.themeOverride+xml"/>
  <Override PartName="/word/charts/chart77.xml" ContentType="application/vnd.openxmlformats-officedocument.drawingml.chart+xml"/>
  <Override PartName="/word/charts/chart88.xml" ContentType="application/vnd.openxmlformats-officedocument.drawingml.chart+xml"/>
  <Override PartName="/word/charts/chart109.xml" ContentType="application/vnd.openxmlformats-officedocument.drawingml.chart+xml"/>
  <Override PartName="/word/theme/themeOverride11.xml" ContentType="application/vnd.openxmlformats-officedocument.themeOverride+xml"/>
  <Override PartName="/word/charts/chart156.xml" ContentType="application/vnd.openxmlformats-officedocument.drawingml.chart+xml"/>
  <Override PartName="/word/charts/chart167.xml" ContentType="application/vnd.openxmlformats-officedocument.drawingml.chart+xml"/>
  <Override PartName="/word/charts/chart19.xml" ContentType="application/vnd.openxmlformats-officedocument.drawingml.chart+xml"/>
  <Override PartName="/word/charts/chart66.xml" ContentType="application/vnd.openxmlformats-officedocument.drawingml.chart+xml"/>
  <Override PartName="/word/charts/chart145.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e"/>
        <w:tblW w:w="10597"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3"/>
        <w:gridCol w:w="5494"/>
      </w:tblGrid>
      <w:tr w:rsidR="00B70E35" w:rsidRPr="004761E0" w:rsidTr="00B70E35">
        <w:tc>
          <w:tcPr>
            <w:tcW w:w="5103" w:type="dxa"/>
          </w:tcPr>
          <w:p w:rsidR="00B70E35" w:rsidRPr="004761E0" w:rsidRDefault="00B70E35" w:rsidP="00B70E35">
            <w:pPr>
              <w:ind w:firstLine="0"/>
              <w:jc w:val="right"/>
              <w:rPr>
                <w:sz w:val="26"/>
                <w:szCs w:val="26"/>
              </w:rPr>
            </w:pPr>
            <w:r w:rsidRPr="004761E0">
              <w:rPr>
                <w:sz w:val="26"/>
                <w:szCs w:val="26"/>
              </w:rPr>
              <w:t xml:space="preserve">Предварительно утвержден </w:t>
            </w:r>
          </w:p>
          <w:p w:rsidR="00B70E35" w:rsidRPr="004761E0" w:rsidRDefault="00B70E35" w:rsidP="00B70E35">
            <w:pPr>
              <w:ind w:firstLine="0"/>
              <w:jc w:val="right"/>
              <w:rPr>
                <w:sz w:val="26"/>
                <w:szCs w:val="26"/>
              </w:rPr>
            </w:pPr>
            <w:r w:rsidRPr="004761E0">
              <w:rPr>
                <w:sz w:val="26"/>
                <w:szCs w:val="26"/>
              </w:rPr>
              <w:t xml:space="preserve">Советом директоров </w:t>
            </w:r>
          </w:p>
          <w:p w:rsidR="00B70E35" w:rsidRPr="004761E0" w:rsidRDefault="0008080E" w:rsidP="00B70E35">
            <w:pPr>
              <w:ind w:firstLine="0"/>
              <w:jc w:val="right"/>
              <w:rPr>
                <w:sz w:val="26"/>
                <w:szCs w:val="26"/>
              </w:rPr>
            </w:pPr>
            <w:r>
              <w:rPr>
                <w:sz w:val="26"/>
                <w:szCs w:val="26"/>
              </w:rPr>
              <w:t>ОАО </w:t>
            </w:r>
            <w:r w:rsidR="00B70E35" w:rsidRPr="004761E0">
              <w:rPr>
                <w:sz w:val="26"/>
                <w:szCs w:val="26"/>
              </w:rPr>
              <w:t>«МОЭСК»</w:t>
            </w:r>
          </w:p>
          <w:p w:rsidR="00B70E35" w:rsidRPr="004761E0" w:rsidRDefault="00145C24" w:rsidP="00B70E35">
            <w:pPr>
              <w:ind w:firstLine="0"/>
              <w:jc w:val="right"/>
              <w:rPr>
                <w:sz w:val="26"/>
                <w:szCs w:val="26"/>
              </w:rPr>
            </w:pPr>
            <w:r>
              <w:rPr>
                <w:sz w:val="26"/>
                <w:szCs w:val="26"/>
              </w:rPr>
              <w:t>28</w:t>
            </w:r>
            <w:r w:rsidR="00B70E35" w:rsidRPr="004761E0">
              <w:rPr>
                <w:sz w:val="26"/>
                <w:szCs w:val="26"/>
              </w:rPr>
              <w:t>.</w:t>
            </w:r>
            <w:r>
              <w:rPr>
                <w:sz w:val="26"/>
                <w:szCs w:val="26"/>
              </w:rPr>
              <w:t>04</w:t>
            </w:r>
            <w:r w:rsidR="00B70E35" w:rsidRPr="004761E0">
              <w:rPr>
                <w:sz w:val="26"/>
                <w:szCs w:val="26"/>
              </w:rPr>
              <w:t xml:space="preserve">.2014 (протокол от </w:t>
            </w:r>
            <w:r>
              <w:rPr>
                <w:sz w:val="26"/>
                <w:szCs w:val="26"/>
              </w:rPr>
              <w:t>29</w:t>
            </w:r>
            <w:r w:rsidR="00B70E35" w:rsidRPr="004761E0">
              <w:rPr>
                <w:sz w:val="26"/>
                <w:szCs w:val="26"/>
              </w:rPr>
              <w:t>.</w:t>
            </w:r>
            <w:r>
              <w:rPr>
                <w:sz w:val="26"/>
                <w:szCs w:val="26"/>
              </w:rPr>
              <w:t>04</w:t>
            </w:r>
            <w:r w:rsidR="00B70E35" w:rsidRPr="004761E0">
              <w:rPr>
                <w:sz w:val="26"/>
                <w:szCs w:val="26"/>
              </w:rPr>
              <w:t xml:space="preserve">.2014 № </w:t>
            </w:r>
            <w:r>
              <w:rPr>
                <w:sz w:val="26"/>
                <w:szCs w:val="26"/>
              </w:rPr>
              <w:t>226</w:t>
            </w:r>
            <w:r w:rsidR="00B70E35" w:rsidRPr="004761E0">
              <w:rPr>
                <w:sz w:val="26"/>
                <w:szCs w:val="26"/>
              </w:rPr>
              <w:t>)</w:t>
            </w:r>
          </w:p>
          <w:p w:rsidR="00B70E35" w:rsidRPr="004761E0" w:rsidRDefault="00B70E35" w:rsidP="005B6264">
            <w:pPr>
              <w:ind w:firstLine="0"/>
              <w:jc w:val="right"/>
              <w:rPr>
                <w:sz w:val="26"/>
                <w:szCs w:val="26"/>
              </w:rPr>
            </w:pPr>
          </w:p>
        </w:tc>
        <w:tc>
          <w:tcPr>
            <w:tcW w:w="5494" w:type="dxa"/>
          </w:tcPr>
          <w:p w:rsidR="00B70E35" w:rsidRPr="004761E0" w:rsidRDefault="00B70E35" w:rsidP="00B70E35">
            <w:pPr>
              <w:ind w:firstLine="0"/>
              <w:jc w:val="right"/>
              <w:rPr>
                <w:sz w:val="26"/>
                <w:szCs w:val="26"/>
              </w:rPr>
            </w:pPr>
            <w:r w:rsidRPr="004761E0">
              <w:rPr>
                <w:sz w:val="26"/>
                <w:szCs w:val="26"/>
              </w:rPr>
              <w:t xml:space="preserve">Утвержден </w:t>
            </w:r>
          </w:p>
          <w:p w:rsidR="00B70E35" w:rsidRPr="004761E0" w:rsidRDefault="00B70E35" w:rsidP="00B70E35">
            <w:pPr>
              <w:ind w:firstLine="0"/>
              <w:jc w:val="right"/>
              <w:rPr>
                <w:sz w:val="26"/>
                <w:szCs w:val="26"/>
              </w:rPr>
            </w:pPr>
            <w:r w:rsidRPr="004761E0">
              <w:rPr>
                <w:sz w:val="26"/>
                <w:szCs w:val="26"/>
              </w:rPr>
              <w:t xml:space="preserve">годовым Общим собранием акционеров </w:t>
            </w:r>
          </w:p>
          <w:p w:rsidR="00B70E35" w:rsidRPr="004761E0" w:rsidRDefault="0008080E" w:rsidP="00B70E35">
            <w:pPr>
              <w:ind w:firstLine="0"/>
              <w:jc w:val="right"/>
              <w:rPr>
                <w:sz w:val="26"/>
                <w:szCs w:val="26"/>
              </w:rPr>
            </w:pPr>
            <w:r>
              <w:rPr>
                <w:sz w:val="26"/>
                <w:szCs w:val="26"/>
              </w:rPr>
              <w:t>ОАО </w:t>
            </w:r>
            <w:r w:rsidR="00B70E35" w:rsidRPr="004761E0">
              <w:rPr>
                <w:sz w:val="26"/>
                <w:szCs w:val="26"/>
              </w:rPr>
              <w:t>«МОЭСК»</w:t>
            </w:r>
          </w:p>
          <w:p w:rsidR="00B70E35" w:rsidRPr="004761E0" w:rsidRDefault="00B70E35" w:rsidP="00B70E35">
            <w:pPr>
              <w:ind w:firstLine="0"/>
              <w:jc w:val="right"/>
              <w:rPr>
                <w:sz w:val="26"/>
                <w:szCs w:val="26"/>
              </w:rPr>
            </w:pPr>
            <w:r w:rsidRPr="004761E0">
              <w:rPr>
                <w:sz w:val="26"/>
                <w:szCs w:val="26"/>
              </w:rPr>
              <w:t>__.__.2014 (протокол от __.__.2014 № ___)</w:t>
            </w:r>
          </w:p>
          <w:p w:rsidR="00B70E35" w:rsidRPr="004761E0" w:rsidRDefault="00B70E35" w:rsidP="00B70E35">
            <w:pPr>
              <w:ind w:firstLine="0"/>
              <w:jc w:val="right"/>
              <w:rPr>
                <w:sz w:val="26"/>
                <w:szCs w:val="26"/>
              </w:rPr>
            </w:pPr>
          </w:p>
        </w:tc>
      </w:tr>
    </w:tbl>
    <w:p w:rsidR="0095144D" w:rsidRPr="004761E0" w:rsidRDefault="0095144D" w:rsidP="0095144D">
      <w:pPr>
        <w:jc w:val="right"/>
        <w:rPr>
          <w:sz w:val="56"/>
          <w:szCs w:val="56"/>
        </w:rPr>
      </w:pPr>
    </w:p>
    <w:p w:rsidR="0095144D" w:rsidRPr="004761E0" w:rsidRDefault="0095144D" w:rsidP="0095144D">
      <w:pPr>
        <w:jc w:val="right"/>
        <w:rPr>
          <w:sz w:val="56"/>
          <w:szCs w:val="56"/>
        </w:rPr>
      </w:pPr>
    </w:p>
    <w:p w:rsidR="0095144D" w:rsidRPr="004761E0" w:rsidRDefault="0095144D" w:rsidP="0095144D">
      <w:pPr>
        <w:jc w:val="right"/>
        <w:rPr>
          <w:sz w:val="56"/>
          <w:szCs w:val="56"/>
        </w:rPr>
      </w:pPr>
    </w:p>
    <w:p w:rsidR="0095144D" w:rsidRPr="004761E0" w:rsidRDefault="0095144D" w:rsidP="0095144D">
      <w:pPr>
        <w:rPr>
          <w:b/>
          <w:sz w:val="56"/>
          <w:szCs w:val="56"/>
        </w:rPr>
      </w:pPr>
    </w:p>
    <w:p w:rsidR="0095144D" w:rsidRPr="004761E0" w:rsidRDefault="0095144D" w:rsidP="002B1CBF">
      <w:pPr>
        <w:ind w:firstLine="0"/>
        <w:jc w:val="center"/>
        <w:outlineLvl w:val="0"/>
        <w:rPr>
          <w:b/>
          <w:sz w:val="56"/>
          <w:szCs w:val="56"/>
        </w:rPr>
      </w:pPr>
      <w:bookmarkStart w:id="0" w:name="_Toc384296267"/>
      <w:bookmarkStart w:id="1" w:name="_Toc385231571"/>
      <w:bookmarkStart w:id="2" w:name="_Toc385339786"/>
      <w:r w:rsidRPr="004761E0">
        <w:rPr>
          <w:b/>
          <w:sz w:val="56"/>
          <w:szCs w:val="56"/>
        </w:rPr>
        <w:t>Годовой отчет</w:t>
      </w:r>
      <w:bookmarkEnd w:id="0"/>
      <w:bookmarkEnd w:id="1"/>
      <w:bookmarkEnd w:id="2"/>
    </w:p>
    <w:p w:rsidR="0095144D" w:rsidRPr="004761E0" w:rsidRDefault="0095144D" w:rsidP="0095144D">
      <w:pPr>
        <w:ind w:firstLine="0"/>
        <w:jc w:val="center"/>
        <w:rPr>
          <w:b/>
          <w:sz w:val="56"/>
          <w:szCs w:val="56"/>
        </w:rPr>
      </w:pPr>
      <w:r w:rsidRPr="004761E0">
        <w:rPr>
          <w:b/>
          <w:sz w:val="56"/>
          <w:szCs w:val="56"/>
        </w:rPr>
        <w:t>Открытого акционерного общества «Московская объединенная электросетевая компания»</w:t>
      </w:r>
    </w:p>
    <w:p w:rsidR="0095144D" w:rsidRPr="004761E0" w:rsidRDefault="0095144D" w:rsidP="0095144D">
      <w:pPr>
        <w:ind w:firstLine="0"/>
        <w:jc w:val="center"/>
        <w:rPr>
          <w:b/>
          <w:sz w:val="56"/>
          <w:szCs w:val="56"/>
        </w:rPr>
      </w:pPr>
      <w:bookmarkStart w:id="3" w:name="_Toc258401605"/>
      <w:r w:rsidRPr="004761E0">
        <w:rPr>
          <w:b/>
          <w:sz w:val="56"/>
          <w:szCs w:val="56"/>
        </w:rPr>
        <w:t>за 2013 год</w:t>
      </w:r>
      <w:bookmarkEnd w:id="3"/>
    </w:p>
    <w:p w:rsidR="0095144D" w:rsidRPr="004761E0" w:rsidRDefault="0095144D" w:rsidP="0095144D">
      <w:pPr>
        <w:spacing w:before="120" w:after="240"/>
        <w:ind w:firstLine="0"/>
        <w:jc w:val="center"/>
        <w:rPr>
          <w:b/>
          <w:bCs/>
          <w:sz w:val="56"/>
          <w:szCs w:val="56"/>
        </w:rPr>
      </w:pPr>
    </w:p>
    <w:p w:rsidR="0095144D" w:rsidRPr="004761E0" w:rsidRDefault="0095144D" w:rsidP="0095144D">
      <w:pPr>
        <w:spacing w:before="120" w:after="240"/>
        <w:ind w:firstLine="0"/>
        <w:jc w:val="center"/>
        <w:rPr>
          <w:b/>
          <w:bCs/>
          <w:sz w:val="56"/>
          <w:szCs w:val="56"/>
        </w:rPr>
      </w:pPr>
    </w:p>
    <w:p w:rsidR="0095144D" w:rsidRPr="004761E0" w:rsidRDefault="0095144D" w:rsidP="0095144D">
      <w:pPr>
        <w:spacing w:before="120" w:after="240"/>
        <w:ind w:firstLine="0"/>
        <w:jc w:val="center"/>
        <w:rPr>
          <w:b/>
          <w:bCs/>
          <w:sz w:val="56"/>
          <w:szCs w:val="56"/>
        </w:rPr>
      </w:pPr>
    </w:p>
    <w:tbl>
      <w:tblPr>
        <w:tblW w:w="9156" w:type="dxa"/>
        <w:jc w:val="center"/>
        <w:tblInd w:w="319" w:type="dxa"/>
        <w:tblLook w:val="01E0"/>
      </w:tblPr>
      <w:tblGrid>
        <w:gridCol w:w="3584"/>
        <w:gridCol w:w="3096"/>
        <w:gridCol w:w="2476"/>
      </w:tblGrid>
      <w:tr w:rsidR="0095144D" w:rsidRPr="004761E0" w:rsidTr="003A22BA">
        <w:trPr>
          <w:jc w:val="center"/>
        </w:trPr>
        <w:tc>
          <w:tcPr>
            <w:tcW w:w="3584" w:type="dxa"/>
          </w:tcPr>
          <w:p w:rsidR="0095144D" w:rsidRPr="004761E0" w:rsidRDefault="0095144D" w:rsidP="003A22BA">
            <w:pPr>
              <w:ind w:left="-113" w:right="-113" w:firstLine="0"/>
              <w:jc w:val="left"/>
              <w:rPr>
                <w:rFonts w:eastAsia="Times New Roman"/>
                <w:bCs/>
                <w:sz w:val="32"/>
                <w:szCs w:val="32"/>
              </w:rPr>
            </w:pPr>
            <w:r w:rsidRPr="004761E0">
              <w:rPr>
                <w:rFonts w:eastAsia="Times New Roman"/>
                <w:bCs/>
                <w:sz w:val="32"/>
                <w:szCs w:val="32"/>
              </w:rPr>
              <w:t xml:space="preserve">Генеральный директор </w:t>
            </w:r>
            <w:r w:rsidR="0008080E">
              <w:rPr>
                <w:rFonts w:eastAsia="Times New Roman"/>
                <w:bCs/>
                <w:sz w:val="32"/>
                <w:szCs w:val="32"/>
              </w:rPr>
              <w:t>ОАО </w:t>
            </w:r>
            <w:r w:rsidRPr="004761E0">
              <w:rPr>
                <w:rFonts w:eastAsia="Times New Roman"/>
                <w:bCs/>
                <w:sz w:val="32"/>
                <w:szCs w:val="32"/>
              </w:rPr>
              <w:t>«МОЭСК»</w:t>
            </w:r>
          </w:p>
        </w:tc>
        <w:tc>
          <w:tcPr>
            <w:tcW w:w="3096" w:type="dxa"/>
          </w:tcPr>
          <w:p w:rsidR="0095144D" w:rsidRPr="004761E0" w:rsidRDefault="0095144D" w:rsidP="003A22BA">
            <w:pPr>
              <w:ind w:firstLine="0"/>
              <w:jc w:val="center"/>
              <w:rPr>
                <w:rFonts w:eastAsia="Times New Roman"/>
                <w:bCs/>
                <w:sz w:val="32"/>
                <w:szCs w:val="32"/>
              </w:rPr>
            </w:pPr>
            <w:r w:rsidRPr="004761E0">
              <w:rPr>
                <w:rFonts w:eastAsia="Times New Roman"/>
                <w:bCs/>
                <w:sz w:val="32"/>
                <w:szCs w:val="32"/>
              </w:rPr>
              <w:t>__________________</w:t>
            </w:r>
          </w:p>
        </w:tc>
        <w:tc>
          <w:tcPr>
            <w:tcW w:w="2476" w:type="dxa"/>
          </w:tcPr>
          <w:p w:rsidR="0095144D" w:rsidRPr="004761E0" w:rsidRDefault="0095144D" w:rsidP="003A22BA">
            <w:pPr>
              <w:ind w:firstLine="0"/>
              <w:jc w:val="left"/>
              <w:rPr>
                <w:rFonts w:eastAsia="Times New Roman"/>
                <w:bCs/>
                <w:sz w:val="32"/>
                <w:szCs w:val="32"/>
                <w:lang w:val="en-US"/>
              </w:rPr>
            </w:pPr>
            <w:r w:rsidRPr="004761E0">
              <w:rPr>
                <w:rFonts w:eastAsia="Times New Roman"/>
                <w:bCs/>
                <w:sz w:val="32"/>
                <w:szCs w:val="32"/>
              </w:rPr>
              <w:t>П.А. Синютин</w:t>
            </w:r>
          </w:p>
          <w:p w:rsidR="0095144D" w:rsidRPr="004761E0" w:rsidRDefault="0095144D" w:rsidP="003A22BA">
            <w:pPr>
              <w:ind w:firstLine="0"/>
              <w:jc w:val="left"/>
              <w:rPr>
                <w:rFonts w:eastAsia="Times New Roman"/>
                <w:bCs/>
                <w:sz w:val="32"/>
                <w:szCs w:val="32"/>
              </w:rPr>
            </w:pPr>
          </w:p>
          <w:p w:rsidR="0095144D" w:rsidRPr="004761E0" w:rsidRDefault="0095144D" w:rsidP="003A22BA">
            <w:pPr>
              <w:ind w:firstLine="0"/>
              <w:jc w:val="left"/>
              <w:rPr>
                <w:rFonts w:eastAsia="Times New Roman"/>
                <w:bCs/>
                <w:sz w:val="32"/>
                <w:szCs w:val="32"/>
              </w:rPr>
            </w:pPr>
          </w:p>
        </w:tc>
      </w:tr>
      <w:tr w:rsidR="0095144D" w:rsidRPr="004761E0" w:rsidTr="003A22BA">
        <w:trPr>
          <w:jc w:val="center"/>
        </w:trPr>
        <w:tc>
          <w:tcPr>
            <w:tcW w:w="3584" w:type="dxa"/>
          </w:tcPr>
          <w:p w:rsidR="0095144D" w:rsidRPr="004761E0" w:rsidRDefault="0095144D" w:rsidP="003A22BA">
            <w:pPr>
              <w:ind w:left="-113" w:right="-113" w:firstLine="0"/>
              <w:jc w:val="left"/>
              <w:rPr>
                <w:rFonts w:eastAsia="Times New Roman"/>
                <w:bCs/>
                <w:sz w:val="32"/>
                <w:szCs w:val="32"/>
              </w:rPr>
            </w:pPr>
            <w:r w:rsidRPr="004761E0">
              <w:rPr>
                <w:rFonts w:eastAsia="Times New Roman"/>
                <w:bCs/>
                <w:sz w:val="32"/>
                <w:szCs w:val="32"/>
              </w:rPr>
              <w:t xml:space="preserve">Главный бухгалтер – директор Департамента бухгалтерского и налогового учета </w:t>
            </w:r>
            <w:r w:rsidR="0008080E">
              <w:rPr>
                <w:rFonts w:eastAsia="Times New Roman"/>
                <w:bCs/>
                <w:sz w:val="32"/>
                <w:szCs w:val="32"/>
              </w:rPr>
              <w:t>ОАО </w:t>
            </w:r>
            <w:r w:rsidRPr="004761E0">
              <w:rPr>
                <w:rFonts w:eastAsia="Times New Roman"/>
                <w:bCs/>
                <w:sz w:val="32"/>
                <w:szCs w:val="32"/>
              </w:rPr>
              <w:t xml:space="preserve">«МОЭСК» </w:t>
            </w:r>
          </w:p>
        </w:tc>
        <w:tc>
          <w:tcPr>
            <w:tcW w:w="3096" w:type="dxa"/>
          </w:tcPr>
          <w:p w:rsidR="0095144D" w:rsidRPr="004761E0" w:rsidRDefault="0095144D" w:rsidP="003A22BA">
            <w:pPr>
              <w:ind w:firstLine="0"/>
              <w:jc w:val="center"/>
              <w:rPr>
                <w:rFonts w:eastAsia="Times New Roman"/>
                <w:bCs/>
                <w:sz w:val="32"/>
                <w:szCs w:val="32"/>
              </w:rPr>
            </w:pPr>
            <w:r w:rsidRPr="004761E0">
              <w:rPr>
                <w:rFonts w:eastAsia="Times New Roman"/>
                <w:bCs/>
                <w:sz w:val="32"/>
                <w:szCs w:val="32"/>
              </w:rPr>
              <w:t>__________________</w:t>
            </w:r>
          </w:p>
        </w:tc>
        <w:tc>
          <w:tcPr>
            <w:tcW w:w="2476" w:type="dxa"/>
          </w:tcPr>
          <w:p w:rsidR="0095144D" w:rsidRPr="004761E0" w:rsidRDefault="0095144D" w:rsidP="003A22BA">
            <w:pPr>
              <w:ind w:firstLine="0"/>
              <w:jc w:val="left"/>
              <w:rPr>
                <w:rFonts w:eastAsia="Times New Roman"/>
                <w:bCs/>
                <w:sz w:val="32"/>
                <w:szCs w:val="32"/>
              </w:rPr>
            </w:pPr>
            <w:r w:rsidRPr="004761E0">
              <w:rPr>
                <w:rFonts w:eastAsia="Times New Roman"/>
                <w:bCs/>
                <w:sz w:val="32"/>
                <w:szCs w:val="32"/>
              </w:rPr>
              <w:t>В.В. Витинский</w:t>
            </w:r>
          </w:p>
        </w:tc>
      </w:tr>
    </w:tbl>
    <w:p w:rsidR="0095144D" w:rsidRPr="004761E0" w:rsidRDefault="0095144D" w:rsidP="0095144D">
      <w:pPr>
        <w:spacing w:before="120" w:after="240"/>
        <w:ind w:firstLine="0"/>
        <w:jc w:val="center"/>
        <w:rPr>
          <w:b/>
          <w:bCs/>
        </w:rPr>
      </w:pPr>
    </w:p>
    <w:p w:rsidR="00684B03" w:rsidRPr="004761E0" w:rsidRDefault="0095144D" w:rsidP="0095144D">
      <w:pPr>
        <w:spacing w:before="120" w:after="240"/>
        <w:ind w:firstLine="0"/>
        <w:jc w:val="center"/>
        <w:rPr>
          <w:b/>
          <w:bCs/>
        </w:rPr>
      </w:pPr>
      <w:r w:rsidRPr="004761E0">
        <w:rPr>
          <w:b/>
          <w:bCs/>
        </w:rPr>
        <w:t>г. Москва, 2014 год</w:t>
      </w:r>
    </w:p>
    <w:p w:rsidR="00EC4BC4" w:rsidRPr="006F23E7" w:rsidRDefault="00136A10" w:rsidP="00BC4980">
      <w:pPr>
        <w:tabs>
          <w:tab w:val="left" w:pos="567"/>
        </w:tabs>
        <w:ind w:firstLine="567"/>
        <w:outlineLvl w:val="0"/>
        <w:rPr>
          <w:sz w:val="24"/>
          <w:szCs w:val="24"/>
        </w:rPr>
      </w:pPr>
      <w:r w:rsidRPr="004761E0">
        <w:rPr>
          <w:sz w:val="26"/>
          <w:szCs w:val="26"/>
          <w:lang w:eastAsia="ru-RU"/>
        </w:rPr>
        <w:br w:type="page"/>
      </w:r>
      <w:bookmarkStart w:id="4" w:name="_Toc384296268"/>
      <w:bookmarkStart w:id="5" w:name="_Toc385231572"/>
      <w:bookmarkStart w:id="6" w:name="_Toc385339787"/>
      <w:r w:rsidR="00EC4BC4" w:rsidRPr="006F23E7">
        <w:rPr>
          <w:sz w:val="24"/>
          <w:szCs w:val="24"/>
        </w:rPr>
        <w:lastRenderedPageBreak/>
        <w:t>Оглавление</w:t>
      </w:r>
      <w:bookmarkEnd w:id="4"/>
      <w:bookmarkEnd w:id="5"/>
      <w:bookmarkEnd w:id="6"/>
    </w:p>
    <w:p w:rsidR="003146BC" w:rsidRPr="003146BC" w:rsidRDefault="00EA456F">
      <w:pPr>
        <w:pStyle w:val="13"/>
        <w:rPr>
          <w:rFonts w:asciiTheme="minorHAnsi" w:eastAsiaTheme="minorEastAsia" w:hAnsiTheme="minorHAnsi" w:cstheme="minorBidi"/>
          <w:noProof/>
          <w:sz w:val="24"/>
          <w:szCs w:val="24"/>
          <w:lang w:eastAsia="ru-RU"/>
        </w:rPr>
      </w:pPr>
      <w:r w:rsidRPr="00EA456F">
        <w:rPr>
          <w:bCs/>
          <w:sz w:val="24"/>
          <w:szCs w:val="24"/>
        </w:rPr>
        <w:fldChar w:fldCharType="begin"/>
      </w:r>
      <w:r w:rsidR="005711E9" w:rsidRPr="003146BC">
        <w:rPr>
          <w:bCs/>
          <w:sz w:val="24"/>
          <w:szCs w:val="24"/>
        </w:rPr>
        <w:instrText xml:space="preserve"> TOC \o "1-3" \h \z \u </w:instrText>
      </w:r>
      <w:r w:rsidRPr="00EA456F">
        <w:rPr>
          <w:bCs/>
          <w:sz w:val="24"/>
          <w:szCs w:val="24"/>
        </w:rPr>
        <w:fldChar w:fldCharType="separate"/>
      </w:r>
      <w:hyperlink w:anchor="_Toc385339788" w:history="1">
        <w:r w:rsidR="003146BC" w:rsidRPr="003146BC">
          <w:rPr>
            <w:rStyle w:val="a4"/>
            <w:noProof/>
            <w:sz w:val="24"/>
            <w:szCs w:val="24"/>
          </w:rPr>
          <w:t>0.</w:t>
        </w:r>
        <w:r w:rsidR="003146BC" w:rsidRPr="003146BC">
          <w:rPr>
            <w:rFonts w:asciiTheme="minorHAnsi" w:eastAsiaTheme="minorEastAsia" w:hAnsiTheme="minorHAnsi" w:cstheme="minorBidi"/>
            <w:noProof/>
            <w:sz w:val="24"/>
            <w:szCs w:val="24"/>
            <w:lang w:eastAsia="ru-RU"/>
          </w:rPr>
          <w:tab/>
        </w:r>
        <w:r w:rsidR="003146BC" w:rsidRPr="003146BC">
          <w:rPr>
            <w:rStyle w:val="a4"/>
            <w:noProof/>
            <w:sz w:val="24"/>
            <w:szCs w:val="24"/>
            <w:lang w:eastAsia="ru-RU"/>
          </w:rPr>
          <w:t>Основные</w:t>
        </w:r>
        <w:r w:rsidR="003146BC" w:rsidRPr="003146BC">
          <w:rPr>
            <w:rStyle w:val="a4"/>
            <w:noProof/>
            <w:sz w:val="24"/>
            <w:szCs w:val="24"/>
          </w:rPr>
          <w:t xml:space="preserve"> результаты деятельности</w:t>
        </w:r>
        <w:r w:rsidR="003146BC" w:rsidRPr="003146BC">
          <w:rPr>
            <w:noProof/>
            <w:webHidden/>
            <w:sz w:val="24"/>
            <w:szCs w:val="24"/>
          </w:rPr>
          <w:tab/>
        </w:r>
        <w:r w:rsidRPr="003146BC">
          <w:rPr>
            <w:noProof/>
            <w:webHidden/>
            <w:sz w:val="24"/>
            <w:szCs w:val="24"/>
          </w:rPr>
          <w:fldChar w:fldCharType="begin"/>
        </w:r>
        <w:r w:rsidR="003146BC" w:rsidRPr="003146BC">
          <w:rPr>
            <w:noProof/>
            <w:webHidden/>
            <w:sz w:val="24"/>
            <w:szCs w:val="24"/>
          </w:rPr>
          <w:instrText xml:space="preserve"> PAGEREF _Toc385339788 \h </w:instrText>
        </w:r>
        <w:r w:rsidRPr="003146BC">
          <w:rPr>
            <w:noProof/>
            <w:webHidden/>
            <w:sz w:val="24"/>
            <w:szCs w:val="24"/>
          </w:rPr>
        </w:r>
        <w:r w:rsidRPr="003146BC">
          <w:rPr>
            <w:noProof/>
            <w:webHidden/>
            <w:sz w:val="24"/>
            <w:szCs w:val="24"/>
          </w:rPr>
          <w:fldChar w:fldCharType="separate"/>
        </w:r>
        <w:r w:rsidR="00535215">
          <w:rPr>
            <w:noProof/>
            <w:webHidden/>
            <w:sz w:val="24"/>
            <w:szCs w:val="24"/>
          </w:rPr>
          <w:t>5</w:t>
        </w:r>
        <w:r w:rsidRPr="003146BC">
          <w:rPr>
            <w:noProof/>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789" w:history="1">
        <w:r w:rsidR="003146BC" w:rsidRPr="003146BC">
          <w:rPr>
            <w:rStyle w:val="a4"/>
            <w:sz w:val="24"/>
            <w:szCs w:val="24"/>
          </w:rPr>
          <w:t>0.1.</w:t>
        </w:r>
        <w:r w:rsidR="003146BC" w:rsidRPr="003146BC">
          <w:rPr>
            <w:rFonts w:asciiTheme="minorHAnsi" w:eastAsiaTheme="minorEastAsia" w:hAnsiTheme="minorHAnsi" w:cstheme="minorBidi"/>
            <w:sz w:val="24"/>
            <w:szCs w:val="24"/>
          </w:rPr>
          <w:tab/>
        </w:r>
        <w:r w:rsidR="003146BC" w:rsidRPr="003146BC">
          <w:rPr>
            <w:rStyle w:val="a4"/>
            <w:sz w:val="24"/>
            <w:szCs w:val="24"/>
          </w:rPr>
          <w:t>Обращение Председателя Совета директоров</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_Toc385339789 \h </w:instrText>
        </w:r>
        <w:r w:rsidRPr="003146BC">
          <w:rPr>
            <w:webHidden/>
            <w:sz w:val="24"/>
            <w:szCs w:val="24"/>
          </w:rPr>
        </w:r>
        <w:r w:rsidRPr="003146BC">
          <w:rPr>
            <w:webHidden/>
            <w:sz w:val="24"/>
            <w:szCs w:val="24"/>
          </w:rPr>
          <w:fldChar w:fldCharType="separate"/>
        </w:r>
        <w:r w:rsidR="00535215">
          <w:rPr>
            <w:webHidden/>
            <w:sz w:val="24"/>
            <w:szCs w:val="24"/>
          </w:rPr>
          <w:t>7</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790" w:history="1">
        <w:r w:rsidR="003146BC" w:rsidRPr="003146BC">
          <w:rPr>
            <w:rStyle w:val="a4"/>
            <w:sz w:val="24"/>
            <w:szCs w:val="24"/>
          </w:rPr>
          <w:t>0.2.</w:t>
        </w:r>
        <w:r w:rsidR="003146BC" w:rsidRPr="003146BC">
          <w:rPr>
            <w:rFonts w:asciiTheme="minorHAnsi" w:eastAsiaTheme="minorEastAsia" w:hAnsiTheme="minorHAnsi" w:cstheme="minorBidi"/>
            <w:sz w:val="24"/>
            <w:szCs w:val="24"/>
          </w:rPr>
          <w:tab/>
        </w:r>
        <w:r w:rsidR="003146BC" w:rsidRPr="003146BC">
          <w:rPr>
            <w:rStyle w:val="a4"/>
            <w:sz w:val="24"/>
            <w:szCs w:val="24"/>
          </w:rPr>
          <w:t>Интервью Генерального директора</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_Toc385339790 \h </w:instrText>
        </w:r>
        <w:r w:rsidRPr="003146BC">
          <w:rPr>
            <w:webHidden/>
            <w:sz w:val="24"/>
            <w:szCs w:val="24"/>
          </w:rPr>
        </w:r>
        <w:r w:rsidRPr="003146BC">
          <w:rPr>
            <w:webHidden/>
            <w:sz w:val="24"/>
            <w:szCs w:val="24"/>
          </w:rPr>
          <w:fldChar w:fldCharType="separate"/>
        </w:r>
        <w:r w:rsidR="00535215">
          <w:rPr>
            <w:webHidden/>
            <w:sz w:val="24"/>
            <w:szCs w:val="24"/>
          </w:rPr>
          <w:t>9</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791" w:history="1">
        <w:r w:rsidR="003146BC" w:rsidRPr="003146BC">
          <w:rPr>
            <w:rStyle w:val="a4"/>
            <w:sz w:val="24"/>
            <w:szCs w:val="24"/>
          </w:rPr>
          <w:t>0.3.</w:t>
        </w:r>
        <w:r w:rsidR="003146BC" w:rsidRPr="003146BC">
          <w:rPr>
            <w:rFonts w:asciiTheme="minorHAnsi" w:eastAsiaTheme="minorEastAsia" w:hAnsiTheme="minorHAnsi" w:cstheme="minorBidi"/>
            <w:sz w:val="24"/>
            <w:szCs w:val="24"/>
          </w:rPr>
          <w:tab/>
        </w:r>
        <w:r w:rsidR="003146BC" w:rsidRPr="003146BC">
          <w:rPr>
            <w:rStyle w:val="a4"/>
            <w:sz w:val="24"/>
            <w:szCs w:val="24"/>
          </w:rPr>
          <w:t>Ключевые события и факты 2013 года</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_Toc385339791 \h </w:instrText>
        </w:r>
        <w:r w:rsidRPr="003146BC">
          <w:rPr>
            <w:webHidden/>
            <w:sz w:val="24"/>
            <w:szCs w:val="24"/>
          </w:rPr>
        </w:r>
        <w:r w:rsidRPr="003146BC">
          <w:rPr>
            <w:webHidden/>
            <w:sz w:val="24"/>
            <w:szCs w:val="24"/>
          </w:rPr>
          <w:fldChar w:fldCharType="separate"/>
        </w:r>
        <w:r w:rsidR="00535215">
          <w:rPr>
            <w:webHidden/>
            <w:sz w:val="24"/>
            <w:szCs w:val="24"/>
          </w:rPr>
          <w:t>14</w:t>
        </w:r>
        <w:r w:rsidRPr="003146BC">
          <w:rPr>
            <w:webHidden/>
            <w:sz w:val="24"/>
            <w:szCs w:val="24"/>
          </w:rPr>
          <w:fldChar w:fldCharType="end"/>
        </w:r>
      </w:hyperlink>
    </w:p>
    <w:p w:rsidR="003146BC" w:rsidRPr="003146BC" w:rsidRDefault="00EA456F">
      <w:pPr>
        <w:pStyle w:val="13"/>
        <w:rPr>
          <w:rFonts w:asciiTheme="minorHAnsi" w:eastAsiaTheme="minorEastAsia" w:hAnsiTheme="minorHAnsi" w:cstheme="minorBidi"/>
          <w:noProof/>
          <w:sz w:val="24"/>
          <w:szCs w:val="24"/>
          <w:lang w:eastAsia="ru-RU"/>
        </w:rPr>
      </w:pPr>
      <w:hyperlink w:anchor="_Toc385339792" w:history="1">
        <w:r w:rsidR="003146BC" w:rsidRPr="003146BC">
          <w:rPr>
            <w:rStyle w:val="a4"/>
            <w:noProof/>
            <w:sz w:val="24"/>
            <w:szCs w:val="24"/>
            <w:lang w:eastAsia="ru-RU"/>
          </w:rPr>
          <w:t>1.</w:t>
        </w:r>
        <w:r w:rsidR="003146BC" w:rsidRPr="003146BC">
          <w:rPr>
            <w:rFonts w:asciiTheme="minorHAnsi" w:eastAsiaTheme="minorEastAsia" w:hAnsiTheme="minorHAnsi" w:cstheme="minorBidi"/>
            <w:noProof/>
            <w:sz w:val="24"/>
            <w:szCs w:val="24"/>
            <w:lang w:eastAsia="ru-RU"/>
          </w:rPr>
          <w:tab/>
        </w:r>
        <w:r w:rsidR="003146BC" w:rsidRPr="003146BC">
          <w:rPr>
            <w:rStyle w:val="a4"/>
            <w:noProof/>
            <w:sz w:val="24"/>
            <w:szCs w:val="24"/>
            <w:lang w:eastAsia="ru-RU"/>
          </w:rPr>
          <w:t>О компании</w:t>
        </w:r>
        <w:r w:rsidR="003146BC" w:rsidRPr="003146BC">
          <w:rPr>
            <w:noProof/>
            <w:webHidden/>
            <w:sz w:val="24"/>
            <w:szCs w:val="24"/>
          </w:rPr>
          <w:tab/>
        </w:r>
        <w:r w:rsidRPr="003146BC">
          <w:rPr>
            <w:noProof/>
            <w:webHidden/>
            <w:sz w:val="24"/>
            <w:szCs w:val="24"/>
          </w:rPr>
          <w:fldChar w:fldCharType="begin"/>
        </w:r>
        <w:r w:rsidR="003146BC" w:rsidRPr="003146BC">
          <w:rPr>
            <w:noProof/>
            <w:webHidden/>
            <w:sz w:val="24"/>
            <w:szCs w:val="24"/>
          </w:rPr>
          <w:instrText xml:space="preserve"> PAGEREF _Toc385339792 \h </w:instrText>
        </w:r>
        <w:r w:rsidRPr="003146BC">
          <w:rPr>
            <w:noProof/>
            <w:webHidden/>
            <w:sz w:val="24"/>
            <w:szCs w:val="24"/>
          </w:rPr>
        </w:r>
        <w:r w:rsidRPr="003146BC">
          <w:rPr>
            <w:noProof/>
            <w:webHidden/>
            <w:sz w:val="24"/>
            <w:szCs w:val="24"/>
          </w:rPr>
          <w:fldChar w:fldCharType="separate"/>
        </w:r>
        <w:r w:rsidR="00535215">
          <w:rPr>
            <w:noProof/>
            <w:webHidden/>
            <w:sz w:val="24"/>
            <w:szCs w:val="24"/>
          </w:rPr>
          <w:t>15</w:t>
        </w:r>
        <w:r w:rsidRPr="003146BC">
          <w:rPr>
            <w:noProof/>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793" w:history="1">
        <w:r w:rsidR="003146BC" w:rsidRPr="003146BC">
          <w:rPr>
            <w:rStyle w:val="a4"/>
            <w:sz w:val="24"/>
            <w:szCs w:val="24"/>
          </w:rPr>
          <w:t>1.1.</w:t>
        </w:r>
        <w:r w:rsidR="003146BC" w:rsidRPr="003146BC">
          <w:rPr>
            <w:rFonts w:asciiTheme="minorHAnsi" w:eastAsiaTheme="minorEastAsia" w:hAnsiTheme="minorHAnsi" w:cstheme="minorBidi"/>
            <w:sz w:val="24"/>
            <w:szCs w:val="24"/>
          </w:rPr>
          <w:tab/>
        </w:r>
        <w:r w:rsidR="003146BC" w:rsidRPr="003146BC">
          <w:rPr>
            <w:rStyle w:val="a4"/>
            <w:sz w:val="24"/>
            <w:szCs w:val="24"/>
          </w:rPr>
          <w:t>Общие сведения</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_Toc385339793 \h </w:instrText>
        </w:r>
        <w:r w:rsidRPr="003146BC">
          <w:rPr>
            <w:webHidden/>
            <w:sz w:val="24"/>
            <w:szCs w:val="24"/>
          </w:rPr>
        </w:r>
        <w:r w:rsidRPr="003146BC">
          <w:rPr>
            <w:webHidden/>
            <w:sz w:val="24"/>
            <w:szCs w:val="24"/>
          </w:rPr>
          <w:fldChar w:fldCharType="separate"/>
        </w:r>
        <w:r w:rsidR="00535215">
          <w:rPr>
            <w:webHidden/>
            <w:sz w:val="24"/>
            <w:szCs w:val="24"/>
          </w:rPr>
          <w:t>15</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794" w:history="1">
        <w:r w:rsidR="003146BC" w:rsidRPr="003146BC">
          <w:rPr>
            <w:rStyle w:val="a4"/>
            <w:sz w:val="24"/>
            <w:szCs w:val="24"/>
            <w:lang w:val="en-US"/>
          </w:rPr>
          <w:t>1.2.</w:t>
        </w:r>
        <w:r w:rsidR="003146BC" w:rsidRPr="003146BC">
          <w:rPr>
            <w:rFonts w:asciiTheme="minorHAnsi" w:eastAsiaTheme="minorEastAsia" w:hAnsiTheme="minorHAnsi" w:cstheme="minorBidi"/>
            <w:sz w:val="24"/>
            <w:szCs w:val="24"/>
          </w:rPr>
          <w:tab/>
        </w:r>
        <w:r w:rsidR="003146BC" w:rsidRPr="003146BC">
          <w:rPr>
            <w:rStyle w:val="a4"/>
            <w:sz w:val="24"/>
            <w:szCs w:val="24"/>
          </w:rPr>
          <w:t>Структура и характеристика электросетевых активов</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_Toc385339794 \h </w:instrText>
        </w:r>
        <w:r w:rsidRPr="003146BC">
          <w:rPr>
            <w:webHidden/>
            <w:sz w:val="24"/>
            <w:szCs w:val="24"/>
          </w:rPr>
        </w:r>
        <w:r w:rsidRPr="003146BC">
          <w:rPr>
            <w:webHidden/>
            <w:sz w:val="24"/>
            <w:szCs w:val="24"/>
          </w:rPr>
          <w:fldChar w:fldCharType="separate"/>
        </w:r>
        <w:r w:rsidR="00535215">
          <w:rPr>
            <w:webHidden/>
            <w:sz w:val="24"/>
            <w:szCs w:val="24"/>
          </w:rPr>
          <w:t>20</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795" w:history="1">
        <w:r w:rsidR="003146BC" w:rsidRPr="003146BC">
          <w:rPr>
            <w:rStyle w:val="a4"/>
            <w:sz w:val="24"/>
            <w:szCs w:val="24"/>
          </w:rPr>
          <w:t>1.3.</w:t>
        </w:r>
        <w:r w:rsidR="003146BC" w:rsidRPr="003146BC">
          <w:rPr>
            <w:rFonts w:asciiTheme="minorHAnsi" w:eastAsiaTheme="minorEastAsia" w:hAnsiTheme="minorHAnsi" w:cstheme="minorBidi"/>
            <w:sz w:val="24"/>
            <w:szCs w:val="24"/>
          </w:rPr>
          <w:tab/>
        </w:r>
        <w:r w:rsidR="003146BC" w:rsidRPr="003146BC">
          <w:rPr>
            <w:rStyle w:val="a4"/>
            <w:sz w:val="24"/>
            <w:szCs w:val="24"/>
          </w:rPr>
          <w:t>Бизнес-модель</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_Toc385339795 \h </w:instrText>
        </w:r>
        <w:r w:rsidRPr="003146BC">
          <w:rPr>
            <w:webHidden/>
            <w:sz w:val="24"/>
            <w:szCs w:val="24"/>
          </w:rPr>
        </w:r>
        <w:r w:rsidRPr="003146BC">
          <w:rPr>
            <w:webHidden/>
            <w:sz w:val="24"/>
            <w:szCs w:val="24"/>
          </w:rPr>
          <w:fldChar w:fldCharType="separate"/>
        </w:r>
        <w:r w:rsidR="00535215">
          <w:rPr>
            <w:webHidden/>
            <w:sz w:val="24"/>
            <w:szCs w:val="24"/>
          </w:rPr>
          <w:t>24</w:t>
        </w:r>
        <w:r w:rsidRPr="003146BC">
          <w:rPr>
            <w:webHidden/>
            <w:sz w:val="24"/>
            <w:szCs w:val="24"/>
          </w:rPr>
          <w:fldChar w:fldCharType="end"/>
        </w:r>
      </w:hyperlink>
    </w:p>
    <w:p w:rsidR="003146BC" w:rsidRPr="003146BC" w:rsidRDefault="00EA456F">
      <w:pPr>
        <w:pStyle w:val="13"/>
        <w:rPr>
          <w:rFonts w:asciiTheme="minorHAnsi" w:eastAsiaTheme="minorEastAsia" w:hAnsiTheme="minorHAnsi" w:cstheme="minorBidi"/>
          <w:noProof/>
          <w:sz w:val="24"/>
          <w:szCs w:val="24"/>
          <w:lang w:eastAsia="ru-RU"/>
        </w:rPr>
      </w:pPr>
      <w:hyperlink w:anchor="_Toc385339796" w:history="1">
        <w:r w:rsidR="003146BC" w:rsidRPr="003146BC">
          <w:rPr>
            <w:rStyle w:val="a4"/>
            <w:noProof/>
            <w:sz w:val="24"/>
            <w:szCs w:val="24"/>
            <w:lang w:eastAsia="ru-RU"/>
          </w:rPr>
          <w:t>2.</w:t>
        </w:r>
        <w:r w:rsidR="003146BC" w:rsidRPr="003146BC">
          <w:rPr>
            <w:rFonts w:asciiTheme="minorHAnsi" w:eastAsiaTheme="minorEastAsia" w:hAnsiTheme="minorHAnsi" w:cstheme="minorBidi"/>
            <w:noProof/>
            <w:sz w:val="24"/>
            <w:szCs w:val="24"/>
            <w:lang w:eastAsia="ru-RU"/>
          </w:rPr>
          <w:tab/>
        </w:r>
        <w:r w:rsidR="003146BC" w:rsidRPr="003146BC">
          <w:rPr>
            <w:rStyle w:val="a4"/>
            <w:noProof/>
            <w:sz w:val="24"/>
            <w:szCs w:val="24"/>
            <w:lang w:eastAsia="ru-RU"/>
          </w:rPr>
          <w:t>Стратегия</w:t>
        </w:r>
        <w:r w:rsidR="003146BC" w:rsidRPr="003146BC">
          <w:rPr>
            <w:noProof/>
            <w:webHidden/>
            <w:sz w:val="24"/>
            <w:szCs w:val="24"/>
          </w:rPr>
          <w:tab/>
        </w:r>
        <w:r w:rsidRPr="003146BC">
          <w:rPr>
            <w:noProof/>
            <w:webHidden/>
            <w:sz w:val="24"/>
            <w:szCs w:val="24"/>
          </w:rPr>
          <w:fldChar w:fldCharType="begin"/>
        </w:r>
        <w:r w:rsidR="003146BC" w:rsidRPr="003146BC">
          <w:rPr>
            <w:noProof/>
            <w:webHidden/>
            <w:sz w:val="24"/>
            <w:szCs w:val="24"/>
          </w:rPr>
          <w:instrText xml:space="preserve"> PAGEREF _Toc385339796 \h </w:instrText>
        </w:r>
        <w:r w:rsidRPr="003146BC">
          <w:rPr>
            <w:noProof/>
            <w:webHidden/>
            <w:sz w:val="24"/>
            <w:szCs w:val="24"/>
          </w:rPr>
        </w:r>
        <w:r w:rsidRPr="003146BC">
          <w:rPr>
            <w:noProof/>
            <w:webHidden/>
            <w:sz w:val="24"/>
            <w:szCs w:val="24"/>
          </w:rPr>
          <w:fldChar w:fldCharType="separate"/>
        </w:r>
        <w:r w:rsidR="00535215">
          <w:rPr>
            <w:noProof/>
            <w:webHidden/>
            <w:sz w:val="24"/>
            <w:szCs w:val="24"/>
          </w:rPr>
          <w:t>27</w:t>
        </w:r>
        <w:r w:rsidRPr="003146BC">
          <w:rPr>
            <w:noProof/>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797" w:history="1">
        <w:r w:rsidR="003146BC" w:rsidRPr="003146BC">
          <w:rPr>
            <w:rStyle w:val="a4"/>
            <w:sz w:val="24"/>
            <w:szCs w:val="24"/>
          </w:rPr>
          <w:t>2.1.</w:t>
        </w:r>
        <w:r w:rsidR="003146BC" w:rsidRPr="003146BC">
          <w:rPr>
            <w:rFonts w:asciiTheme="minorHAnsi" w:eastAsiaTheme="minorEastAsia" w:hAnsiTheme="minorHAnsi" w:cstheme="minorBidi"/>
            <w:sz w:val="24"/>
            <w:szCs w:val="24"/>
          </w:rPr>
          <w:tab/>
        </w:r>
        <w:r w:rsidR="003146BC" w:rsidRPr="003146BC">
          <w:rPr>
            <w:rStyle w:val="a4"/>
            <w:sz w:val="24"/>
            <w:szCs w:val="24"/>
          </w:rPr>
          <w:t>Интервью директора по автоматизации бизнес-процессов</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_Toc385339797 \h </w:instrText>
        </w:r>
        <w:r w:rsidRPr="003146BC">
          <w:rPr>
            <w:webHidden/>
            <w:sz w:val="24"/>
            <w:szCs w:val="24"/>
          </w:rPr>
        </w:r>
        <w:r w:rsidRPr="003146BC">
          <w:rPr>
            <w:webHidden/>
            <w:sz w:val="24"/>
            <w:szCs w:val="24"/>
          </w:rPr>
          <w:fldChar w:fldCharType="separate"/>
        </w:r>
        <w:r w:rsidR="00535215">
          <w:rPr>
            <w:webHidden/>
            <w:sz w:val="24"/>
            <w:szCs w:val="24"/>
          </w:rPr>
          <w:t>27</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798" w:history="1">
        <w:r w:rsidR="003146BC" w:rsidRPr="003146BC">
          <w:rPr>
            <w:rStyle w:val="a4"/>
            <w:sz w:val="24"/>
            <w:szCs w:val="24"/>
          </w:rPr>
          <w:t>2.2.</w:t>
        </w:r>
        <w:r w:rsidR="003146BC" w:rsidRPr="003146BC">
          <w:rPr>
            <w:rFonts w:asciiTheme="minorHAnsi" w:eastAsiaTheme="minorEastAsia" w:hAnsiTheme="minorHAnsi" w:cstheme="minorBidi"/>
            <w:sz w:val="24"/>
            <w:szCs w:val="24"/>
          </w:rPr>
          <w:tab/>
        </w:r>
        <w:r w:rsidR="003146BC" w:rsidRPr="003146BC">
          <w:rPr>
            <w:rStyle w:val="a4"/>
            <w:sz w:val="24"/>
            <w:szCs w:val="24"/>
          </w:rPr>
          <w:t>Приоритетные направления деятельности и перспективы развития</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_Toc385339798 \h </w:instrText>
        </w:r>
        <w:r w:rsidRPr="003146BC">
          <w:rPr>
            <w:webHidden/>
            <w:sz w:val="24"/>
            <w:szCs w:val="24"/>
          </w:rPr>
        </w:r>
        <w:r w:rsidRPr="003146BC">
          <w:rPr>
            <w:webHidden/>
            <w:sz w:val="24"/>
            <w:szCs w:val="24"/>
          </w:rPr>
          <w:fldChar w:fldCharType="separate"/>
        </w:r>
        <w:r w:rsidR="00535215">
          <w:rPr>
            <w:webHidden/>
            <w:sz w:val="24"/>
            <w:szCs w:val="24"/>
          </w:rPr>
          <w:t>30</w:t>
        </w:r>
        <w:r w:rsidRPr="003146BC">
          <w:rPr>
            <w:webHidden/>
            <w:sz w:val="24"/>
            <w:szCs w:val="24"/>
          </w:rPr>
          <w:fldChar w:fldCharType="end"/>
        </w:r>
      </w:hyperlink>
    </w:p>
    <w:p w:rsidR="003146BC" w:rsidRPr="003146BC" w:rsidRDefault="00EA456F">
      <w:pPr>
        <w:pStyle w:val="22"/>
        <w:tabs>
          <w:tab w:val="left" w:pos="1540"/>
        </w:tabs>
        <w:rPr>
          <w:rFonts w:asciiTheme="minorHAnsi" w:eastAsiaTheme="minorEastAsia" w:hAnsiTheme="minorHAnsi" w:cstheme="minorBidi"/>
          <w:sz w:val="24"/>
          <w:szCs w:val="24"/>
        </w:rPr>
      </w:pPr>
      <w:hyperlink w:anchor="_Toc385339799" w:history="1">
        <w:r w:rsidR="003146BC" w:rsidRPr="003146BC">
          <w:rPr>
            <w:rStyle w:val="a4"/>
            <w:sz w:val="24"/>
            <w:szCs w:val="24"/>
          </w:rPr>
          <w:t>2.2.1.</w:t>
        </w:r>
        <w:r w:rsidR="003146BC" w:rsidRPr="003146BC">
          <w:rPr>
            <w:rFonts w:asciiTheme="minorHAnsi" w:eastAsiaTheme="minorEastAsia" w:hAnsiTheme="minorHAnsi" w:cstheme="minorBidi"/>
            <w:sz w:val="24"/>
            <w:szCs w:val="24"/>
          </w:rPr>
          <w:tab/>
        </w:r>
        <w:r w:rsidR="003146BC" w:rsidRPr="003146BC">
          <w:rPr>
            <w:rStyle w:val="a4"/>
            <w:sz w:val="24"/>
            <w:szCs w:val="24"/>
          </w:rPr>
          <w:t>Отчет Совета директоров о результатах развития по приоритетным направлениям деятельности</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_Toc385339799 \h </w:instrText>
        </w:r>
        <w:r w:rsidRPr="003146BC">
          <w:rPr>
            <w:webHidden/>
            <w:sz w:val="24"/>
            <w:szCs w:val="24"/>
          </w:rPr>
        </w:r>
        <w:r w:rsidRPr="003146BC">
          <w:rPr>
            <w:webHidden/>
            <w:sz w:val="24"/>
            <w:szCs w:val="24"/>
          </w:rPr>
          <w:fldChar w:fldCharType="separate"/>
        </w:r>
        <w:r w:rsidR="00535215">
          <w:rPr>
            <w:webHidden/>
            <w:sz w:val="24"/>
            <w:szCs w:val="24"/>
          </w:rPr>
          <w:t>36</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00" w:history="1">
        <w:r w:rsidR="003146BC" w:rsidRPr="003146BC">
          <w:rPr>
            <w:rStyle w:val="a4"/>
            <w:sz w:val="24"/>
            <w:szCs w:val="24"/>
          </w:rPr>
          <w:t>2.3.</w:t>
        </w:r>
        <w:r w:rsidR="003146BC" w:rsidRPr="003146BC">
          <w:rPr>
            <w:rFonts w:asciiTheme="minorHAnsi" w:eastAsiaTheme="minorEastAsia" w:hAnsiTheme="minorHAnsi" w:cstheme="minorBidi"/>
            <w:sz w:val="24"/>
            <w:szCs w:val="24"/>
          </w:rPr>
          <w:tab/>
        </w:r>
        <w:r w:rsidR="003146BC" w:rsidRPr="003146BC">
          <w:rPr>
            <w:rStyle w:val="a4"/>
            <w:sz w:val="24"/>
            <w:szCs w:val="24"/>
          </w:rPr>
          <w:t>Исполнение ключевых показателей эффективности</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_Toc385339800 \h </w:instrText>
        </w:r>
        <w:r w:rsidRPr="003146BC">
          <w:rPr>
            <w:webHidden/>
            <w:sz w:val="24"/>
            <w:szCs w:val="24"/>
          </w:rPr>
        </w:r>
        <w:r w:rsidRPr="003146BC">
          <w:rPr>
            <w:webHidden/>
            <w:sz w:val="24"/>
            <w:szCs w:val="24"/>
          </w:rPr>
          <w:fldChar w:fldCharType="separate"/>
        </w:r>
        <w:r w:rsidR="00535215">
          <w:rPr>
            <w:webHidden/>
            <w:sz w:val="24"/>
            <w:szCs w:val="24"/>
          </w:rPr>
          <w:t>43</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01" w:history="1">
        <w:r w:rsidR="003146BC" w:rsidRPr="003146BC">
          <w:rPr>
            <w:rStyle w:val="a4"/>
            <w:sz w:val="24"/>
            <w:szCs w:val="24"/>
          </w:rPr>
          <w:t>2.4.</w:t>
        </w:r>
        <w:r w:rsidR="003146BC" w:rsidRPr="003146BC">
          <w:rPr>
            <w:rFonts w:asciiTheme="minorHAnsi" w:eastAsiaTheme="minorEastAsia" w:hAnsiTheme="minorHAnsi" w:cstheme="minorBidi"/>
            <w:sz w:val="24"/>
            <w:szCs w:val="24"/>
          </w:rPr>
          <w:tab/>
        </w:r>
        <w:r w:rsidR="003146BC" w:rsidRPr="003146BC">
          <w:rPr>
            <w:rStyle w:val="a4"/>
            <w:sz w:val="24"/>
            <w:szCs w:val="24"/>
          </w:rPr>
          <w:t>Система менеджмента качества</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_Toc385339801 \h </w:instrText>
        </w:r>
        <w:r w:rsidRPr="003146BC">
          <w:rPr>
            <w:webHidden/>
            <w:sz w:val="24"/>
            <w:szCs w:val="24"/>
          </w:rPr>
        </w:r>
        <w:r w:rsidRPr="003146BC">
          <w:rPr>
            <w:webHidden/>
            <w:sz w:val="24"/>
            <w:szCs w:val="24"/>
          </w:rPr>
          <w:fldChar w:fldCharType="separate"/>
        </w:r>
        <w:r w:rsidR="00535215">
          <w:rPr>
            <w:webHidden/>
            <w:sz w:val="24"/>
            <w:szCs w:val="24"/>
          </w:rPr>
          <w:t>44</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02" w:history="1">
        <w:r w:rsidR="003146BC" w:rsidRPr="003146BC">
          <w:rPr>
            <w:rStyle w:val="a4"/>
            <w:sz w:val="24"/>
            <w:szCs w:val="24"/>
          </w:rPr>
          <w:t>2.5.</w:t>
        </w:r>
        <w:r w:rsidR="003146BC" w:rsidRPr="003146BC">
          <w:rPr>
            <w:rFonts w:asciiTheme="minorHAnsi" w:eastAsiaTheme="minorEastAsia" w:hAnsiTheme="minorHAnsi" w:cstheme="minorBidi"/>
            <w:sz w:val="24"/>
            <w:szCs w:val="24"/>
          </w:rPr>
          <w:tab/>
        </w:r>
        <w:r w:rsidR="003146BC" w:rsidRPr="003146BC">
          <w:rPr>
            <w:rStyle w:val="a4"/>
            <w:sz w:val="24"/>
            <w:szCs w:val="24"/>
          </w:rPr>
          <w:t>Исполнение поручений и указаний Президента РФ и поручений Правительства РФ</w:t>
        </w:r>
        <w:r w:rsidR="003146BC" w:rsidRPr="003146BC">
          <w:rPr>
            <w:webHidden/>
            <w:sz w:val="24"/>
            <w:szCs w:val="24"/>
          </w:rPr>
          <w:tab/>
        </w:r>
        <w:r w:rsidR="003146BC">
          <w:rPr>
            <w:webHidden/>
            <w:sz w:val="24"/>
            <w:szCs w:val="24"/>
          </w:rPr>
          <w:tab/>
        </w:r>
        <w:r w:rsid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_Toc385339802 \h </w:instrText>
        </w:r>
        <w:r w:rsidRPr="003146BC">
          <w:rPr>
            <w:webHidden/>
            <w:sz w:val="24"/>
            <w:szCs w:val="24"/>
          </w:rPr>
        </w:r>
        <w:r w:rsidRPr="003146BC">
          <w:rPr>
            <w:webHidden/>
            <w:sz w:val="24"/>
            <w:szCs w:val="24"/>
          </w:rPr>
          <w:fldChar w:fldCharType="separate"/>
        </w:r>
        <w:r w:rsidR="00535215">
          <w:rPr>
            <w:webHidden/>
            <w:sz w:val="24"/>
            <w:szCs w:val="24"/>
          </w:rPr>
          <w:t>46</w:t>
        </w:r>
        <w:r w:rsidRPr="003146BC">
          <w:rPr>
            <w:webHidden/>
            <w:sz w:val="24"/>
            <w:szCs w:val="24"/>
          </w:rPr>
          <w:fldChar w:fldCharType="end"/>
        </w:r>
      </w:hyperlink>
    </w:p>
    <w:p w:rsidR="003146BC" w:rsidRPr="003146BC" w:rsidRDefault="00EA456F">
      <w:pPr>
        <w:pStyle w:val="13"/>
        <w:rPr>
          <w:rFonts w:asciiTheme="minorHAnsi" w:eastAsiaTheme="minorEastAsia" w:hAnsiTheme="minorHAnsi" w:cstheme="minorBidi"/>
          <w:noProof/>
          <w:sz w:val="24"/>
          <w:szCs w:val="24"/>
          <w:lang w:eastAsia="ru-RU"/>
        </w:rPr>
      </w:pPr>
      <w:hyperlink w:anchor="_Toc385339803" w:history="1">
        <w:r w:rsidR="003146BC" w:rsidRPr="003146BC">
          <w:rPr>
            <w:rStyle w:val="a4"/>
            <w:noProof/>
            <w:sz w:val="24"/>
            <w:szCs w:val="24"/>
            <w:lang w:eastAsia="ru-RU"/>
          </w:rPr>
          <w:t>3.</w:t>
        </w:r>
        <w:r w:rsidR="003146BC" w:rsidRPr="003146BC">
          <w:rPr>
            <w:rFonts w:asciiTheme="minorHAnsi" w:eastAsiaTheme="minorEastAsia" w:hAnsiTheme="minorHAnsi" w:cstheme="minorBidi"/>
            <w:noProof/>
            <w:sz w:val="24"/>
            <w:szCs w:val="24"/>
            <w:lang w:eastAsia="ru-RU"/>
          </w:rPr>
          <w:tab/>
        </w:r>
        <w:r w:rsidR="003146BC" w:rsidRPr="003146BC">
          <w:rPr>
            <w:rStyle w:val="a4"/>
            <w:noProof/>
            <w:sz w:val="24"/>
            <w:szCs w:val="24"/>
            <w:lang w:eastAsia="ru-RU"/>
          </w:rPr>
          <w:t>Производственная деятельность</w:t>
        </w:r>
        <w:r w:rsidR="003146BC" w:rsidRPr="003146BC">
          <w:rPr>
            <w:noProof/>
            <w:webHidden/>
            <w:sz w:val="24"/>
            <w:szCs w:val="24"/>
          </w:rPr>
          <w:tab/>
        </w:r>
        <w:r w:rsidRPr="003146BC">
          <w:rPr>
            <w:noProof/>
            <w:webHidden/>
            <w:sz w:val="24"/>
            <w:szCs w:val="24"/>
          </w:rPr>
          <w:fldChar w:fldCharType="begin"/>
        </w:r>
        <w:r w:rsidR="003146BC" w:rsidRPr="003146BC">
          <w:rPr>
            <w:noProof/>
            <w:webHidden/>
            <w:sz w:val="24"/>
            <w:szCs w:val="24"/>
          </w:rPr>
          <w:instrText xml:space="preserve"> PAGEREF _Toc385339803 \h </w:instrText>
        </w:r>
        <w:r w:rsidRPr="003146BC">
          <w:rPr>
            <w:noProof/>
            <w:webHidden/>
            <w:sz w:val="24"/>
            <w:szCs w:val="24"/>
          </w:rPr>
        </w:r>
        <w:r w:rsidRPr="003146BC">
          <w:rPr>
            <w:noProof/>
            <w:webHidden/>
            <w:sz w:val="24"/>
            <w:szCs w:val="24"/>
          </w:rPr>
          <w:fldChar w:fldCharType="separate"/>
        </w:r>
        <w:r w:rsidR="00535215">
          <w:rPr>
            <w:noProof/>
            <w:webHidden/>
            <w:sz w:val="24"/>
            <w:szCs w:val="24"/>
          </w:rPr>
          <w:t>48</w:t>
        </w:r>
        <w:r w:rsidRPr="003146BC">
          <w:rPr>
            <w:noProof/>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04" w:history="1">
        <w:r w:rsidR="003146BC" w:rsidRPr="003146BC">
          <w:rPr>
            <w:rStyle w:val="a4"/>
            <w:sz w:val="24"/>
            <w:szCs w:val="24"/>
          </w:rPr>
          <w:t>3.1.</w:t>
        </w:r>
        <w:r w:rsidR="003146BC" w:rsidRPr="003146BC">
          <w:rPr>
            <w:rFonts w:asciiTheme="minorHAnsi" w:eastAsiaTheme="minorEastAsia" w:hAnsiTheme="minorHAnsi" w:cstheme="minorBidi"/>
            <w:sz w:val="24"/>
            <w:szCs w:val="24"/>
          </w:rPr>
          <w:tab/>
        </w:r>
        <w:r w:rsidR="003146BC" w:rsidRPr="003146BC">
          <w:rPr>
            <w:rStyle w:val="a4"/>
            <w:sz w:val="24"/>
            <w:szCs w:val="24"/>
          </w:rPr>
          <w:t>Интервью заместителя генерального директора по транспорту и учету электроэнергии – директора филиала «Энергоучет»</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_Toc385339804 \h </w:instrText>
        </w:r>
        <w:r w:rsidRPr="003146BC">
          <w:rPr>
            <w:webHidden/>
            <w:sz w:val="24"/>
            <w:szCs w:val="24"/>
          </w:rPr>
        </w:r>
        <w:r w:rsidRPr="003146BC">
          <w:rPr>
            <w:webHidden/>
            <w:sz w:val="24"/>
            <w:szCs w:val="24"/>
          </w:rPr>
          <w:fldChar w:fldCharType="separate"/>
        </w:r>
        <w:r w:rsidR="00535215">
          <w:rPr>
            <w:webHidden/>
            <w:sz w:val="24"/>
            <w:szCs w:val="24"/>
          </w:rPr>
          <w:t>48</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05" w:history="1">
        <w:r w:rsidR="003146BC" w:rsidRPr="003146BC">
          <w:rPr>
            <w:rStyle w:val="a4"/>
            <w:sz w:val="24"/>
            <w:szCs w:val="24"/>
          </w:rPr>
          <w:t>3.2.</w:t>
        </w:r>
        <w:r w:rsidR="003146BC" w:rsidRPr="003146BC">
          <w:rPr>
            <w:rFonts w:asciiTheme="minorHAnsi" w:eastAsiaTheme="minorEastAsia" w:hAnsiTheme="minorHAnsi" w:cstheme="minorBidi"/>
            <w:sz w:val="24"/>
            <w:szCs w:val="24"/>
          </w:rPr>
          <w:tab/>
        </w:r>
        <w:r w:rsidR="003146BC" w:rsidRPr="003146BC">
          <w:rPr>
            <w:rStyle w:val="a4"/>
            <w:sz w:val="24"/>
            <w:szCs w:val="24"/>
          </w:rPr>
          <w:t>Передача и распределение электроэнергии</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_Toc385339805 \h </w:instrText>
        </w:r>
        <w:r w:rsidRPr="003146BC">
          <w:rPr>
            <w:webHidden/>
            <w:sz w:val="24"/>
            <w:szCs w:val="24"/>
          </w:rPr>
        </w:r>
        <w:r w:rsidRPr="003146BC">
          <w:rPr>
            <w:webHidden/>
            <w:sz w:val="24"/>
            <w:szCs w:val="24"/>
          </w:rPr>
          <w:fldChar w:fldCharType="separate"/>
        </w:r>
        <w:r w:rsidR="00535215">
          <w:rPr>
            <w:webHidden/>
            <w:sz w:val="24"/>
            <w:szCs w:val="24"/>
          </w:rPr>
          <w:t>51</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06" w:history="1">
        <w:r w:rsidR="003146BC" w:rsidRPr="003146BC">
          <w:rPr>
            <w:rStyle w:val="a4"/>
            <w:sz w:val="24"/>
            <w:szCs w:val="24"/>
          </w:rPr>
          <w:t>3.3.</w:t>
        </w:r>
        <w:r w:rsidR="003146BC" w:rsidRPr="003146BC">
          <w:rPr>
            <w:rFonts w:asciiTheme="minorHAnsi" w:eastAsiaTheme="minorEastAsia" w:hAnsiTheme="minorHAnsi" w:cstheme="minorBidi"/>
            <w:sz w:val="24"/>
            <w:szCs w:val="24"/>
          </w:rPr>
          <w:tab/>
        </w:r>
        <w:r w:rsidR="003146BC" w:rsidRPr="003146BC">
          <w:rPr>
            <w:rStyle w:val="a4"/>
            <w:sz w:val="24"/>
            <w:szCs w:val="24"/>
          </w:rPr>
          <w:t>Энергосбережение и повышение энергоэффективности</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_Toc385339806 \h </w:instrText>
        </w:r>
        <w:r w:rsidRPr="003146BC">
          <w:rPr>
            <w:webHidden/>
            <w:sz w:val="24"/>
            <w:szCs w:val="24"/>
          </w:rPr>
        </w:r>
        <w:r w:rsidRPr="003146BC">
          <w:rPr>
            <w:webHidden/>
            <w:sz w:val="24"/>
            <w:szCs w:val="24"/>
          </w:rPr>
          <w:fldChar w:fldCharType="separate"/>
        </w:r>
        <w:r w:rsidR="00535215">
          <w:rPr>
            <w:webHidden/>
            <w:sz w:val="24"/>
            <w:szCs w:val="24"/>
          </w:rPr>
          <w:t>56</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07" w:history="1">
        <w:r w:rsidR="003146BC" w:rsidRPr="003146BC">
          <w:rPr>
            <w:rStyle w:val="a4"/>
            <w:sz w:val="24"/>
            <w:szCs w:val="24"/>
          </w:rPr>
          <w:t>3.4.</w:t>
        </w:r>
        <w:r w:rsidR="003146BC" w:rsidRPr="003146BC">
          <w:rPr>
            <w:rFonts w:asciiTheme="minorHAnsi" w:eastAsiaTheme="minorEastAsia" w:hAnsiTheme="minorHAnsi" w:cstheme="minorBidi"/>
            <w:sz w:val="24"/>
            <w:szCs w:val="24"/>
          </w:rPr>
          <w:tab/>
        </w:r>
        <w:r w:rsidR="003146BC" w:rsidRPr="003146BC">
          <w:rPr>
            <w:rStyle w:val="a4"/>
            <w:sz w:val="24"/>
            <w:szCs w:val="24"/>
          </w:rPr>
          <w:t>Интервью заместителя генерального директора по технологическому присоединению и развитию услуг</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_Toc385339807 \h </w:instrText>
        </w:r>
        <w:r w:rsidRPr="003146BC">
          <w:rPr>
            <w:webHidden/>
            <w:sz w:val="24"/>
            <w:szCs w:val="24"/>
          </w:rPr>
        </w:r>
        <w:r w:rsidRPr="003146BC">
          <w:rPr>
            <w:webHidden/>
            <w:sz w:val="24"/>
            <w:szCs w:val="24"/>
          </w:rPr>
          <w:fldChar w:fldCharType="separate"/>
        </w:r>
        <w:r w:rsidR="00535215">
          <w:rPr>
            <w:webHidden/>
            <w:sz w:val="24"/>
            <w:szCs w:val="24"/>
          </w:rPr>
          <w:t>62</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08" w:history="1">
        <w:r w:rsidR="003146BC" w:rsidRPr="003146BC">
          <w:rPr>
            <w:rStyle w:val="a4"/>
            <w:sz w:val="24"/>
            <w:szCs w:val="24"/>
          </w:rPr>
          <w:t>3.5.</w:t>
        </w:r>
        <w:r w:rsidR="003146BC" w:rsidRPr="003146BC">
          <w:rPr>
            <w:rFonts w:asciiTheme="minorHAnsi" w:eastAsiaTheme="minorEastAsia" w:hAnsiTheme="minorHAnsi" w:cstheme="minorBidi"/>
            <w:sz w:val="24"/>
            <w:szCs w:val="24"/>
          </w:rPr>
          <w:tab/>
        </w:r>
        <w:r w:rsidR="003146BC" w:rsidRPr="003146BC">
          <w:rPr>
            <w:rStyle w:val="a4"/>
            <w:sz w:val="24"/>
            <w:szCs w:val="24"/>
          </w:rPr>
          <w:t>Технологическое присоединение</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_Toc385339808 \h </w:instrText>
        </w:r>
        <w:r w:rsidRPr="003146BC">
          <w:rPr>
            <w:webHidden/>
            <w:sz w:val="24"/>
            <w:szCs w:val="24"/>
          </w:rPr>
        </w:r>
        <w:r w:rsidRPr="003146BC">
          <w:rPr>
            <w:webHidden/>
            <w:sz w:val="24"/>
            <w:szCs w:val="24"/>
          </w:rPr>
          <w:fldChar w:fldCharType="separate"/>
        </w:r>
        <w:r w:rsidR="00535215">
          <w:rPr>
            <w:webHidden/>
            <w:sz w:val="24"/>
            <w:szCs w:val="24"/>
          </w:rPr>
          <w:t>65</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09" w:history="1">
        <w:r w:rsidR="003146BC" w:rsidRPr="003146BC">
          <w:rPr>
            <w:rStyle w:val="a4"/>
            <w:sz w:val="24"/>
            <w:szCs w:val="24"/>
          </w:rPr>
          <w:t>3.6.</w:t>
        </w:r>
        <w:r w:rsidR="003146BC" w:rsidRPr="003146BC">
          <w:rPr>
            <w:rFonts w:asciiTheme="minorHAnsi" w:eastAsiaTheme="minorEastAsia" w:hAnsiTheme="minorHAnsi" w:cstheme="minorBidi"/>
            <w:sz w:val="24"/>
            <w:szCs w:val="24"/>
          </w:rPr>
          <w:tab/>
        </w:r>
        <w:r w:rsidR="003146BC" w:rsidRPr="003146BC">
          <w:rPr>
            <w:rStyle w:val="a4"/>
            <w:sz w:val="24"/>
            <w:szCs w:val="24"/>
          </w:rPr>
          <w:t>Клиентская политика</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_Toc385339809 \h </w:instrText>
        </w:r>
        <w:r w:rsidRPr="003146BC">
          <w:rPr>
            <w:webHidden/>
            <w:sz w:val="24"/>
            <w:szCs w:val="24"/>
          </w:rPr>
        </w:r>
        <w:r w:rsidRPr="003146BC">
          <w:rPr>
            <w:webHidden/>
            <w:sz w:val="24"/>
            <w:szCs w:val="24"/>
          </w:rPr>
          <w:fldChar w:fldCharType="separate"/>
        </w:r>
        <w:r w:rsidR="00535215">
          <w:rPr>
            <w:webHidden/>
            <w:sz w:val="24"/>
            <w:szCs w:val="24"/>
          </w:rPr>
          <w:t>69</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10" w:history="1">
        <w:r w:rsidR="003146BC" w:rsidRPr="003146BC">
          <w:rPr>
            <w:rStyle w:val="a4"/>
            <w:sz w:val="24"/>
            <w:szCs w:val="24"/>
          </w:rPr>
          <w:t>3.7.</w:t>
        </w:r>
        <w:r w:rsidR="003146BC" w:rsidRPr="003146BC">
          <w:rPr>
            <w:rFonts w:asciiTheme="minorHAnsi" w:eastAsiaTheme="minorEastAsia" w:hAnsiTheme="minorHAnsi" w:cstheme="minorBidi"/>
            <w:sz w:val="24"/>
            <w:szCs w:val="24"/>
          </w:rPr>
          <w:tab/>
        </w:r>
        <w:r w:rsidR="003146BC" w:rsidRPr="003146BC">
          <w:rPr>
            <w:rStyle w:val="a4"/>
            <w:sz w:val="24"/>
            <w:szCs w:val="24"/>
          </w:rPr>
          <w:t>Интервью Первого заместителя генерального директора – главного инженера</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_Toc385339810 \h </w:instrText>
        </w:r>
        <w:r w:rsidRPr="003146BC">
          <w:rPr>
            <w:webHidden/>
            <w:sz w:val="24"/>
            <w:szCs w:val="24"/>
          </w:rPr>
        </w:r>
        <w:r w:rsidRPr="003146BC">
          <w:rPr>
            <w:webHidden/>
            <w:sz w:val="24"/>
            <w:szCs w:val="24"/>
          </w:rPr>
          <w:fldChar w:fldCharType="separate"/>
        </w:r>
        <w:r w:rsidR="00535215">
          <w:rPr>
            <w:webHidden/>
            <w:sz w:val="24"/>
            <w:szCs w:val="24"/>
          </w:rPr>
          <w:t>74</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11" w:history="1">
        <w:r w:rsidR="003146BC" w:rsidRPr="003146BC">
          <w:rPr>
            <w:rStyle w:val="a4"/>
            <w:sz w:val="24"/>
            <w:szCs w:val="24"/>
          </w:rPr>
          <w:t>3.8.</w:t>
        </w:r>
        <w:r w:rsidR="003146BC" w:rsidRPr="003146BC">
          <w:rPr>
            <w:rFonts w:asciiTheme="minorHAnsi" w:eastAsiaTheme="minorEastAsia" w:hAnsiTheme="minorHAnsi" w:cstheme="minorBidi"/>
            <w:sz w:val="24"/>
            <w:szCs w:val="24"/>
          </w:rPr>
          <w:tab/>
        </w:r>
        <w:r w:rsidR="003146BC" w:rsidRPr="003146BC">
          <w:rPr>
            <w:rStyle w:val="a4"/>
            <w:sz w:val="24"/>
            <w:szCs w:val="24"/>
          </w:rPr>
          <w:t>Повышение надежности</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_Toc385339811 \h </w:instrText>
        </w:r>
        <w:r w:rsidRPr="003146BC">
          <w:rPr>
            <w:webHidden/>
            <w:sz w:val="24"/>
            <w:szCs w:val="24"/>
          </w:rPr>
        </w:r>
        <w:r w:rsidRPr="003146BC">
          <w:rPr>
            <w:webHidden/>
            <w:sz w:val="24"/>
            <w:szCs w:val="24"/>
          </w:rPr>
          <w:fldChar w:fldCharType="separate"/>
        </w:r>
        <w:r w:rsidR="00535215">
          <w:rPr>
            <w:webHidden/>
            <w:sz w:val="24"/>
            <w:szCs w:val="24"/>
          </w:rPr>
          <w:t>77</w:t>
        </w:r>
        <w:r w:rsidRPr="003146BC">
          <w:rPr>
            <w:webHidden/>
            <w:sz w:val="24"/>
            <w:szCs w:val="24"/>
          </w:rPr>
          <w:fldChar w:fldCharType="end"/>
        </w:r>
      </w:hyperlink>
    </w:p>
    <w:p w:rsidR="003146BC" w:rsidRPr="003146BC" w:rsidRDefault="00EA456F">
      <w:pPr>
        <w:pStyle w:val="13"/>
        <w:rPr>
          <w:rFonts w:asciiTheme="minorHAnsi" w:eastAsiaTheme="minorEastAsia" w:hAnsiTheme="minorHAnsi" w:cstheme="minorBidi"/>
          <w:noProof/>
          <w:sz w:val="24"/>
          <w:szCs w:val="24"/>
          <w:lang w:eastAsia="ru-RU"/>
        </w:rPr>
      </w:pPr>
      <w:hyperlink w:anchor="_Toc385339812" w:history="1">
        <w:r w:rsidR="003146BC" w:rsidRPr="003146BC">
          <w:rPr>
            <w:rStyle w:val="a4"/>
            <w:noProof/>
            <w:sz w:val="24"/>
            <w:szCs w:val="24"/>
            <w:lang w:eastAsia="ru-RU"/>
          </w:rPr>
          <w:t>4.</w:t>
        </w:r>
        <w:r w:rsidR="003146BC" w:rsidRPr="003146BC">
          <w:rPr>
            <w:rFonts w:asciiTheme="minorHAnsi" w:eastAsiaTheme="minorEastAsia" w:hAnsiTheme="minorHAnsi" w:cstheme="minorBidi"/>
            <w:noProof/>
            <w:sz w:val="24"/>
            <w:szCs w:val="24"/>
            <w:lang w:eastAsia="ru-RU"/>
          </w:rPr>
          <w:tab/>
        </w:r>
        <w:r w:rsidR="003146BC" w:rsidRPr="003146BC">
          <w:rPr>
            <w:rStyle w:val="a4"/>
            <w:noProof/>
            <w:sz w:val="24"/>
            <w:szCs w:val="24"/>
            <w:lang w:eastAsia="ru-RU"/>
          </w:rPr>
          <w:t>Финансово-экономическая деятельность</w:t>
        </w:r>
        <w:r w:rsidR="003146BC" w:rsidRPr="003146BC">
          <w:rPr>
            <w:noProof/>
            <w:webHidden/>
            <w:sz w:val="24"/>
            <w:szCs w:val="24"/>
          </w:rPr>
          <w:tab/>
        </w:r>
        <w:r w:rsidRPr="003146BC">
          <w:rPr>
            <w:noProof/>
            <w:webHidden/>
            <w:sz w:val="24"/>
            <w:szCs w:val="24"/>
          </w:rPr>
          <w:fldChar w:fldCharType="begin"/>
        </w:r>
        <w:r w:rsidR="003146BC" w:rsidRPr="003146BC">
          <w:rPr>
            <w:noProof/>
            <w:webHidden/>
            <w:sz w:val="24"/>
            <w:szCs w:val="24"/>
          </w:rPr>
          <w:instrText xml:space="preserve"> PAGEREF _Toc385339812 \h </w:instrText>
        </w:r>
        <w:r w:rsidRPr="003146BC">
          <w:rPr>
            <w:noProof/>
            <w:webHidden/>
            <w:sz w:val="24"/>
            <w:szCs w:val="24"/>
          </w:rPr>
        </w:r>
        <w:r w:rsidRPr="003146BC">
          <w:rPr>
            <w:noProof/>
            <w:webHidden/>
            <w:sz w:val="24"/>
            <w:szCs w:val="24"/>
          </w:rPr>
          <w:fldChar w:fldCharType="separate"/>
        </w:r>
        <w:r w:rsidR="00535215">
          <w:rPr>
            <w:noProof/>
            <w:webHidden/>
            <w:sz w:val="24"/>
            <w:szCs w:val="24"/>
          </w:rPr>
          <w:t>83</w:t>
        </w:r>
        <w:r w:rsidRPr="003146BC">
          <w:rPr>
            <w:noProof/>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13" w:history="1">
        <w:r w:rsidR="003146BC" w:rsidRPr="003146BC">
          <w:rPr>
            <w:rStyle w:val="a4"/>
            <w:sz w:val="24"/>
            <w:szCs w:val="24"/>
          </w:rPr>
          <w:t>4.1.</w:t>
        </w:r>
        <w:r w:rsidR="003146BC" w:rsidRPr="003146BC">
          <w:rPr>
            <w:rFonts w:asciiTheme="minorHAnsi" w:eastAsiaTheme="minorEastAsia" w:hAnsiTheme="minorHAnsi" w:cstheme="minorBidi"/>
            <w:sz w:val="24"/>
            <w:szCs w:val="24"/>
          </w:rPr>
          <w:tab/>
        </w:r>
        <w:r w:rsidR="003146BC" w:rsidRPr="003146BC">
          <w:rPr>
            <w:rStyle w:val="a4"/>
            <w:sz w:val="24"/>
            <w:szCs w:val="24"/>
          </w:rPr>
          <w:t>Интервью Первого заместителя генерального директора по финансово-экономической деятельности и корпоративному управлению</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_Toc385339813 \h </w:instrText>
        </w:r>
        <w:r w:rsidRPr="003146BC">
          <w:rPr>
            <w:webHidden/>
            <w:sz w:val="24"/>
            <w:szCs w:val="24"/>
          </w:rPr>
        </w:r>
        <w:r w:rsidRPr="003146BC">
          <w:rPr>
            <w:webHidden/>
            <w:sz w:val="24"/>
            <w:szCs w:val="24"/>
          </w:rPr>
          <w:fldChar w:fldCharType="separate"/>
        </w:r>
        <w:r w:rsidR="00535215">
          <w:rPr>
            <w:webHidden/>
            <w:sz w:val="24"/>
            <w:szCs w:val="24"/>
          </w:rPr>
          <w:t>83</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14" w:history="1">
        <w:r w:rsidR="003146BC" w:rsidRPr="003146BC">
          <w:rPr>
            <w:rStyle w:val="a4"/>
            <w:sz w:val="24"/>
            <w:szCs w:val="24"/>
          </w:rPr>
          <w:t>4.2.</w:t>
        </w:r>
        <w:r w:rsidR="003146BC" w:rsidRPr="003146BC">
          <w:rPr>
            <w:rFonts w:asciiTheme="minorHAnsi" w:eastAsiaTheme="minorEastAsia" w:hAnsiTheme="minorHAnsi" w:cstheme="minorBidi"/>
            <w:sz w:val="24"/>
            <w:szCs w:val="24"/>
          </w:rPr>
          <w:tab/>
        </w:r>
        <w:r w:rsidR="003146BC" w:rsidRPr="003146BC">
          <w:rPr>
            <w:rStyle w:val="a4"/>
            <w:sz w:val="24"/>
            <w:szCs w:val="24"/>
          </w:rPr>
          <w:t>Основные результаты финансово-экономической деятельности по РСБУ</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_Toc385339814 \h </w:instrText>
        </w:r>
        <w:r w:rsidRPr="003146BC">
          <w:rPr>
            <w:webHidden/>
            <w:sz w:val="24"/>
            <w:szCs w:val="24"/>
          </w:rPr>
        </w:r>
        <w:r w:rsidRPr="003146BC">
          <w:rPr>
            <w:webHidden/>
            <w:sz w:val="24"/>
            <w:szCs w:val="24"/>
          </w:rPr>
          <w:fldChar w:fldCharType="separate"/>
        </w:r>
        <w:r w:rsidR="00535215">
          <w:rPr>
            <w:webHidden/>
            <w:sz w:val="24"/>
            <w:szCs w:val="24"/>
          </w:rPr>
          <w:t>85</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15" w:history="1">
        <w:r w:rsidR="003146BC" w:rsidRPr="003146BC">
          <w:rPr>
            <w:rStyle w:val="a4"/>
            <w:sz w:val="24"/>
            <w:szCs w:val="24"/>
          </w:rPr>
          <w:t>4.3.</w:t>
        </w:r>
        <w:r w:rsidR="003146BC" w:rsidRPr="003146BC">
          <w:rPr>
            <w:rFonts w:asciiTheme="minorHAnsi" w:eastAsiaTheme="minorEastAsia" w:hAnsiTheme="minorHAnsi" w:cstheme="minorBidi"/>
            <w:sz w:val="24"/>
            <w:szCs w:val="24"/>
          </w:rPr>
          <w:tab/>
        </w:r>
        <w:r w:rsidR="003146BC" w:rsidRPr="003146BC">
          <w:rPr>
            <w:rStyle w:val="a4"/>
            <w:sz w:val="24"/>
            <w:szCs w:val="24"/>
          </w:rPr>
          <w:t>Основные результаты финансово-экономической деятельности по МСФО</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_Toc385339815 \h </w:instrText>
        </w:r>
        <w:r w:rsidRPr="003146BC">
          <w:rPr>
            <w:webHidden/>
            <w:sz w:val="24"/>
            <w:szCs w:val="24"/>
          </w:rPr>
        </w:r>
        <w:r w:rsidRPr="003146BC">
          <w:rPr>
            <w:webHidden/>
            <w:sz w:val="24"/>
            <w:szCs w:val="24"/>
          </w:rPr>
          <w:fldChar w:fldCharType="separate"/>
        </w:r>
        <w:r w:rsidR="00535215">
          <w:rPr>
            <w:webHidden/>
            <w:sz w:val="24"/>
            <w:szCs w:val="24"/>
          </w:rPr>
          <w:t>113</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16" w:history="1">
        <w:r w:rsidR="003146BC" w:rsidRPr="003146BC">
          <w:rPr>
            <w:rStyle w:val="a4"/>
            <w:sz w:val="24"/>
            <w:szCs w:val="24"/>
          </w:rPr>
          <w:t>4.4.</w:t>
        </w:r>
        <w:r w:rsidR="003146BC" w:rsidRPr="003146BC">
          <w:rPr>
            <w:rFonts w:asciiTheme="minorHAnsi" w:eastAsiaTheme="minorEastAsia" w:hAnsiTheme="minorHAnsi" w:cstheme="minorBidi"/>
            <w:sz w:val="24"/>
            <w:szCs w:val="24"/>
          </w:rPr>
          <w:tab/>
        </w:r>
        <w:r w:rsidR="003146BC" w:rsidRPr="003146BC">
          <w:rPr>
            <w:rStyle w:val="a4"/>
            <w:sz w:val="24"/>
            <w:szCs w:val="24"/>
          </w:rPr>
          <w:t>Кредитная политика</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_Toc385339816 \h </w:instrText>
        </w:r>
        <w:r w:rsidRPr="003146BC">
          <w:rPr>
            <w:webHidden/>
            <w:sz w:val="24"/>
            <w:szCs w:val="24"/>
          </w:rPr>
        </w:r>
        <w:r w:rsidRPr="003146BC">
          <w:rPr>
            <w:webHidden/>
            <w:sz w:val="24"/>
            <w:szCs w:val="24"/>
          </w:rPr>
          <w:fldChar w:fldCharType="separate"/>
        </w:r>
        <w:r w:rsidR="00535215">
          <w:rPr>
            <w:webHidden/>
            <w:sz w:val="24"/>
            <w:szCs w:val="24"/>
          </w:rPr>
          <w:t>116</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17" w:history="1">
        <w:r w:rsidR="003146BC" w:rsidRPr="003146BC">
          <w:rPr>
            <w:rStyle w:val="a4"/>
            <w:sz w:val="24"/>
            <w:szCs w:val="24"/>
          </w:rPr>
          <w:t>4.5.</w:t>
        </w:r>
        <w:r w:rsidR="003146BC" w:rsidRPr="003146BC">
          <w:rPr>
            <w:rFonts w:asciiTheme="minorHAnsi" w:eastAsiaTheme="minorEastAsia" w:hAnsiTheme="minorHAnsi" w:cstheme="minorBidi"/>
            <w:sz w:val="24"/>
            <w:szCs w:val="24"/>
          </w:rPr>
          <w:tab/>
        </w:r>
        <w:r w:rsidR="003146BC" w:rsidRPr="003146BC">
          <w:rPr>
            <w:rStyle w:val="a4"/>
            <w:sz w:val="24"/>
            <w:szCs w:val="24"/>
          </w:rPr>
          <w:t>Интервью заместителя генерального директора по капитальному строительству</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_Toc385339817 \h </w:instrText>
        </w:r>
        <w:r w:rsidRPr="003146BC">
          <w:rPr>
            <w:webHidden/>
            <w:sz w:val="24"/>
            <w:szCs w:val="24"/>
          </w:rPr>
        </w:r>
        <w:r w:rsidRPr="003146BC">
          <w:rPr>
            <w:webHidden/>
            <w:sz w:val="24"/>
            <w:szCs w:val="24"/>
          </w:rPr>
          <w:fldChar w:fldCharType="separate"/>
        </w:r>
        <w:r w:rsidR="00535215">
          <w:rPr>
            <w:webHidden/>
            <w:sz w:val="24"/>
            <w:szCs w:val="24"/>
          </w:rPr>
          <w:t>122</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18" w:history="1">
        <w:r w:rsidR="003146BC" w:rsidRPr="003146BC">
          <w:rPr>
            <w:rStyle w:val="a4"/>
            <w:sz w:val="24"/>
            <w:szCs w:val="24"/>
          </w:rPr>
          <w:t>4.6.</w:t>
        </w:r>
        <w:r w:rsidR="003146BC" w:rsidRPr="003146BC">
          <w:rPr>
            <w:rFonts w:asciiTheme="minorHAnsi" w:eastAsiaTheme="minorEastAsia" w:hAnsiTheme="minorHAnsi" w:cstheme="minorBidi"/>
            <w:sz w:val="24"/>
            <w:szCs w:val="24"/>
          </w:rPr>
          <w:tab/>
        </w:r>
        <w:r w:rsidR="003146BC" w:rsidRPr="003146BC">
          <w:rPr>
            <w:rStyle w:val="a4"/>
            <w:sz w:val="24"/>
            <w:szCs w:val="24"/>
          </w:rPr>
          <w:t>Инвестиционная деятельность</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_Toc385339818 \h </w:instrText>
        </w:r>
        <w:r w:rsidRPr="003146BC">
          <w:rPr>
            <w:webHidden/>
            <w:sz w:val="24"/>
            <w:szCs w:val="24"/>
          </w:rPr>
        </w:r>
        <w:r w:rsidRPr="003146BC">
          <w:rPr>
            <w:webHidden/>
            <w:sz w:val="24"/>
            <w:szCs w:val="24"/>
          </w:rPr>
          <w:fldChar w:fldCharType="separate"/>
        </w:r>
        <w:r w:rsidR="00535215">
          <w:rPr>
            <w:webHidden/>
            <w:sz w:val="24"/>
            <w:szCs w:val="24"/>
          </w:rPr>
          <w:t>125</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19" w:history="1">
        <w:r w:rsidR="003146BC" w:rsidRPr="003146BC">
          <w:rPr>
            <w:rStyle w:val="a4"/>
            <w:sz w:val="24"/>
            <w:szCs w:val="24"/>
          </w:rPr>
          <w:t>4.7.</w:t>
        </w:r>
        <w:r w:rsidR="003146BC" w:rsidRPr="003146BC">
          <w:rPr>
            <w:rFonts w:asciiTheme="minorHAnsi" w:eastAsiaTheme="minorEastAsia" w:hAnsiTheme="minorHAnsi" w:cstheme="minorBidi"/>
            <w:sz w:val="24"/>
            <w:szCs w:val="24"/>
          </w:rPr>
          <w:tab/>
        </w:r>
        <w:r w:rsidR="003146BC" w:rsidRPr="003146BC">
          <w:rPr>
            <w:rStyle w:val="a4"/>
            <w:sz w:val="24"/>
            <w:szCs w:val="24"/>
          </w:rPr>
          <w:t>Тарифная политика</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_Toc385339819 \h </w:instrText>
        </w:r>
        <w:r w:rsidRPr="003146BC">
          <w:rPr>
            <w:webHidden/>
            <w:sz w:val="24"/>
            <w:szCs w:val="24"/>
          </w:rPr>
        </w:r>
        <w:r w:rsidRPr="003146BC">
          <w:rPr>
            <w:webHidden/>
            <w:sz w:val="24"/>
            <w:szCs w:val="24"/>
          </w:rPr>
          <w:fldChar w:fldCharType="separate"/>
        </w:r>
        <w:r w:rsidR="00535215">
          <w:rPr>
            <w:webHidden/>
            <w:sz w:val="24"/>
            <w:szCs w:val="24"/>
          </w:rPr>
          <w:t>132</w:t>
        </w:r>
        <w:r w:rsidRPr="003146BC">
          <w:rPr>
            <w:webHidden/>
            <w:sz w:val="24"/>
            <w:szCs w:val="24"/>
          </w:rPr>
          <w:fldChar w:fldCharType="end"/>
        </w:r>
      </w:hyperlink>
    </w:p>
    <w:p w:rsidR="003146BC" w:rsidRPr="003146BC" w:rsidRDefault="00EA456F">
      <w:pPr>
        <w:pStyle w:val="13"/>
        <w:rPr>
          <w:rFonts w:asciiTheme="minorHAnsi" w:eastAsiaTheme="minorEastAsia" w:hAnsiTheme="minorHAnsi" w:cstheme="minorBidi"/>
          <w:noProof/>
          <w:sz w:val="24"/>
          <w:szCs w:val="24"/>
          <w:lang w:eastAsia="ru-RU"/>
        </w:rPr>
      </w:pPr>
      <w:hyperlink w:anchor="_Toc385339820" w:history="1">
        <w:r w:rsidR="003146BC" w:rsidRPr="003146BC">
          <w:rPr>
            <w:rStyle w:val="a4"/>
            <w:noProof/>
            <w:sz w:val="24"/>
            <w:szCs w:val="24"/>
            <w:lang w:eastAsia="ru-RU"/>
          </w:rPr>
          <w:t>5.</w:t>
        </w:r>
        <w:r w:rsidR="003146BC" w:rsidRPr="003146BC">
          <w:rPr>
            <w:rFonts w:asciiTheme="minorHAnsi" w:eastAsiaTheme="minorEastAsia" w:hAnsiTheme="minorHAnsi" w:cstheme="minorBidi"/>
            <w:noProof/>
            <w:sz w:val="24"/>
            <w:szCs w:val="24"/>
            <w:lang w:eastAsia="ru-RU"/>
          </w:rPr>
          <w:tab/>
        </w:r>
        <w:r w:rsidR="003146BC" w:rsidRPr="003146BC">
          <w:rPr>
            <w:rStyle w:val="a4"/>
            <w:noProof/>
            <w:sz w:val="24"/>
            <w:szCs w:val="24"/>
            <w:lang w:eastAsia="ru-RU"/>
          </w:rPr>
          <w:t>Закупочная деятельность</w:t>
        </w:r>
        <w:r w:rsidR="003146BC" w:rsidRPr="003146BC">
          <w:rPr>
            <w:noProof/>
            <w:webHidden/>
            <w:sz w:val="24"/>
            <w:szCs w:val="24"/>
          </w:rPr>
          <w:tab/>
        </w:r>
        <w:r w:rsidRPr="003146BC">
          <w:rPr>
            <w:noProof/>
            <w:webHidden/>
            <w:sz w:val="24"/>
            <w:szCs w:val="24"/>
          </w:rPr>
          <w:fldChar w:fldCharType="begin"/>
        </w:r>
        <w:r w:rsidR="003146BC" w:rsidRPr="003146BC">
          <w:rPr>
            <w:noProof/>
            <w:webHidden/>
            <w:sz w:val="24"/>
            <w:szCs w:val="24"/>
          </w:rPr>
          <w:instrText xml:space="preserve"> PAGEREF _Toc385339820 \h </w:instrText>
        </w:r>
        <w:r w:rsidRPr="003146BC">
          <w:rPr>
            <w:noProof/>
            <w:webHidden/>
            <w:sz w:val="24"/>
            <w:szCs w:val="24"/>
          </w:rPr>
        </w:r>
        <w:r w:rsidRPr="003146BC">
          <w:rPr>
            <w:noProof/>
            <w:webHidden/>
            <w:sz w:val="24"/>
            <w:szCs w:val="24"/>
          </w:rPr>
          <w:fldChar w:fldCharType="separate"/>
        </w:r>
        <w:r w:rsidR="00535215">
          <w:rPr>
            <w:noProof/>
            <w:webHidden/>
            <w:sz w:val="24"/>
            <w:szCs w:val="24"/>
          </w:rPr>
          <w:t>143</w:t>
        </w:r>
        <w:r w:rsidRPr="003146BC">
          <w:rPr>
            <w:noProof/>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21" w:history="1">
        <w:r w:rsidR="003146BC" w:rsidRPr="003146BC">
          <w:rPr>
            <w:rStyle w:val="a4"/>
            <w:sz w:val="24"/>
            <w:szCs w:val="24"/>
          </w:rPr>
          <w:t>5.1.</w:t>
        </w:r>
        <w:r w:rsidR="003146BC" w:rsidRPr="003146BC">
          <w:rPr>
            <w:rFonts w:asciiTheme="minorHAnsi" w:eastAsiaTheme="minorEastAsia" w:hAnsiTheme="minorHAnsi" w:cstheme="minorBidi"/>
            <w:sz w:val="24"/>
            <w:szCs w:val="24"/>
          </w:rPr>
          <w:tab/>
        </w:r>
        <w:r w:rsidR="003146BC" w:rsidRPr="003146BC">
          <w:rPr>
            <w:rStyle w:val="a4"/>
            <w:sz w:val="24"/>
            <w:szCs w:val="24"/>
          </w:rPr>
          <w:t>Интервью заместителя генерального директора по логистике и МТО</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_Toc385339821 \h </w:instrText>
        </w:r>
        <w:r w:rsidRPr="003146BC">
          <w:rPr>
            <w:webHidden/>
            <w:sz w:val="24"/>
            <w:szCs w:val="24"/>
          </w:rPr>
        </w:r>
        <w:r w:rsidRPr="003146BC">
          <w:rPr>
            <w:webHidden/>
            <w:sz w:val="24"/>
            <w:szCs w:val="24"/>
          </w:rPr>
          <w:fldChar w:fldCharType="separate"/>
        </w:r>
        <w:r w:rsidR="00535215">
          <w:rPr>
            <w:webHidden/>
            <w:sz w:val="24"/>
            <w:szCs w:val="24"/>
          </w:rPr>
          <w:t>143</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22" w:history="1">
        <w:r w:rsidR="003146BC" w:rsidRPr="003146BC">
          <w:rPr>
            <w:rStyle w:val="a4"/>
            <w:sz w:val="24"/>
            <w:szCs w:val="24"/>
          </w:rPr>
          <w:t>5.2.</w:t>
        </w:r>
        <w:r w:rsidR="003146BC" w:rsidRPr="003146BC">
          <w:rPr>
            <w:rFonts w:asciiTheme="minorHAnsi" w:eastAsiaTheme="minorEastAsia" w:hAnsiTheme="minorHAnsi" w:cstheme="minorBidi"/>
            <w:sz w:val="24"/>
            <w:szCs w:val="24"/>
          </w:rPr>
          <w:tab/>
        </w:r>
        <w:r w:rsidR="003146BC" w:rsidRPr="003146BC">
          <w:rPr>
            <w:rStyle w:val="a4"/>
            <w:sz w:val="24"/>
            <w:szCs w:val="24"/>
          </w:rPr>
          <w:t>Результаты закупочной деятельности</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_Toc385339822 \h </w:instrText>
        </w:r>
        <w:r w:rsidRPr="003146BC">
          <w:rPr>
            <w:webHidden/>
            <w:sz w:val="24"/>
            <w:szCs w:val="24"/>
          </w:rPr>
        </w:r>
        <w:r w:rsidRPr="003146BC">
          <w:rPr>
            <w:webHidden/>
            <w:sz w:val="24"/>
            <w:szCs w:val="24"/>
          </w:rPr>
          <w:fldChar w:fldCharType="separate"/>
        </w:r>
        <w:r w:rsidR="00535215">
          <w:rPr>
            <w:webHidden/>
            <w:sz w:val="24"/>
            <w:szCs w:val="24"/>
          </w:rPr>
          <w:t>145</w:t>
        </w:r>
        <w:r w:rsidRPr="003146BC">
          <w:rPr>
            <w:webHidden/>
            <w:sz w:val="24"/>
            <w:szCs w:val="24"/>
          </w:rPr>
          <w:fldChar w:fldCharType="end"/>
        </w:r>
      </w:hyperlink>
    </w:p>
    <w:p w:rsidR="003146BC" w:rsidRPr="003146BC" w:rsidRDefault="00EA456F">
      <w:pPr>
        <w:pStyle w:val="13"/>
        <w:rPr>
          <w:rFonts w:asciiTheme="minorHAnsi" w:eastAsiaTheme="minorEastAsia" w:hAnsiTheme="minorHAnsi" w:cstheme="minorBidi"/>
          <w:noProof/>
          <w:sz w:val="24"/>
          <w:szCs w:val="24"/>
          <w:lang w:eastAsia="ru-RU"/>
        </w:rPr>
      </w:pPr>
      <w:hyperlink w:anchor="_Toc385339823" w:history="1">
        <w:r w:rsidR="003146BC" w:rsidRPr="003146BC">
          <w:rPr>
            <w:rStyle w:val="a4"/>
            <w:noProof/>
            <w:sz w:val="24"/>
            <w:szCs w:val="24"/>
            <w:lang w:eastAsia="ru-RU"/>
          </w:rPr>
          <w:t>6.</w:t>
        </w:r>
        <w:r w:rsidR="003146BC" w:rsidRPr="003146BC">
          <w:rPr>
            <w:rFonts w:asciiTheme="minorHAnsi" w:eastAsiaTheme="minorEastAsia" w:hAnsiTheme="minorHAnsi" w:cstheme="minorBidi"/>
            <w:noProof/>
            <w:sz w:val="24"/>
            <w:szCs w:val="24"/>
            <w:lang w:eastAsia="ru-RU"/>
          </w:rPr>
          <w:tab/>
        </w:r>
        <w:r w:rsidR="003146BC" w:rsidRPr="003146BC">
          <w:rPr>
            <w:rStyle w:val="a4"/>
            <w:noProof/>
            <w:sz w:val="24"/>
            <w:szCs w:val="24"/>
            <w:lang w:eastAsia="ru-RU"/>
          </w:rPr>
          <w:t>Корпоративное управление</w:t>
        </w:r>
        <w:r w:rsidR="003146BC" w:rsidRPr="003146BC">
          <w:rPr>
            <w:noProof/>
            <w:webHidden/>
            <w:sz w:val="24"/>
            <w:szCs w:val="24"/>
          </w:rPr>
          <w:tab/>
        </w:r>
        <w:r w:rsidRPr="003146BC">
          <w:rPr>
            <w:noProof/>
            <w:webHidden/>
            <w:sz w:val="24"/>
            <w:szCs w:val="24"/>
          </w:rPr>
          <w:fldChar w:fldCharType="begin"/>
        </w:r>
        <w:r w:rsidR="003146BC" w:rsidRPr="003146BC">
          <w:rPr>
            <w:noProof/>
            <w:webHidden/>
            <w:sz w:val="24"/>
            <w:szCs w:val="24"/>
          </w:rPr>
          <w:instrText xml:space="preserve"> PAGEREF _Toc385339823 \h </w:instrText>
        </w:r>
        <w:r w:rsidRPr="003146BC">
          <w:rPr>
            <w:noProof/>
            <w:webHidden/>
            <w:sz w:val="24"/>
            <w:szCs w:val="24"/>
          </w:rPr>
        </w:r>
        <w:r w:rsidRPr="003146BC">
          <w:rPr>
            <w:noProof/>
            <w:webHidden/>
            <w:sz w:val="24"/>
            <w:szCs w:val="24"/>
          </w:rPr>
          <w:fldChar w:fldCharType="separate"/>
        </w:r>
        <w:r w:rsidR="00535215">
          <w:rPr>
            <w:noProof/>
            <w:webHidden/>
            <w:sz w:val="24"/>
            <w:szCs w:val="24"/>
          </w:rPr>
          <w:t>151</w:t>
        </w:r>
        <w:r w:rsidRPr="003146BC">
          <w:rPr>
            <w:noProof/>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24" w:history="1">
        <w:r w:rsidR="003146BC" w:rsidRPr="003146BC">
          <w:rPr>
            <w:rStyle w:val="a4"/>
            <w:sz w:val="24"/>
            <w:szCs w:val="24"/>
          </w:rPr>
          <w:t>6.1.</w:t>
        </w:r>
        <w:r w:rsidR="003146BC" w:rsidRPr="003146BC">
          <w:rPr>
            <w:rFonts w:asciiTheme="minorHAnsi" w:eastAsiaTheme="minorEastAsia" w:hAnsiTheme="minorHAnsi" w:cstheme="minorBidi"/>
            <w:sz w:val="24"/>
            <w:szCs w:val="24"/>
          </w:rPr>
          <w:tab/>
        </w:r>
        <w:r w:rsidR="003146BC" w:rsidRPr="003146BC">
          <w:rPr>
            <w:rStyle w:val="a4"/>
            <w:sz w:val="24"/>
            <w:szCs w:val="24"/>
          </w:rPr>
          <w:t>Интервью заместителя генерального директора по корпоративному управлению и собственности</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_Toc385339824 \h </w:instrText>
        </w:r>
        <w:r w:rsidRPr="003146BC">
          <w:rPr>
            <w:webHidden/>
            <w:sz w:val="24"/>
            <w:szCs w:val="24"/>
          </w:rPr>
        </w:r>
        <w:r w:rsidRPr="003146BC">
          <w:rPr>
            <w:webHidden/>
            <w:sz w:val="24"/>
            <w:szCs w:val="24"/>
          </w:rPr>
          <w:fldChar w:fldCharType="separate"/>
        </w:r>
        <w:r w:rsidR="00535215">
          <w:rPr>
            <w:webHidden/>
            <w:sz w:val="24"/>
            <w:szCs w:val="24"/>
          </w:rPr>
          <w:t>151</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25" w:history="1">
        <w:r w:rsidR="003146BC" w:rsidRPr="003146BC">
          <w:rPr>
            <w:rStyle w:val="a4"/>
            <w:sz w:val="24"/>
            <w:szCs w:val="24"/>
          </w:rPr>
          <w:t>6.2.</w:t>
        </w:r>
        <w:r w:rsidR="003146BC" w:rsidRPr="003146BC">
          <w:rPr>
            <w:rFonts w:asciiTheme="minorHAnsi" w:eastAsiaTheme="minorEastAsia" w:hAnsiTheme="minorHAnsi" w:cstheme="minorBidi"/>
            <w:sz w:val="24"/>
            <w:szCs w:val="24"/>
          </w:rPr>
          <w:tab/>
        </w:r>
        <w:r w:rsidR="003146BC" w:rsidRPr="003146BC">
          <w:rPr>
            <w:rStyle w:val="a4"/>
            <w:sz w:val="24"/>
            <w:szCs w:val="24"/>
          </w:rPr>
          <w:t>Корпоративное управление</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_Toc385339825 \h </w:instrText>
        </w:r>
        <w:r w:rsidRPr="003146BC">
          <w:rPr>
            <w:webHidden/>
            <w:sz w:val="24"/>
            <w:szCs w:val="24"/>
          </w:rPr>
        </w:r>
        <w:r w:rsidRPr="003146BC">
          <w:rPr>
            <w:webHidden/>
            <w:sz w:val="24"/>
            <w:szCs w:val="24"/>
          </w:rPr>
          <w:fldChar w:fldCharType="separate"/>
        </w:r>
        <w:r w:rsidR="00535215">
          <w:rPr>
            <w:webHidden/>
            <w:sz w:val="24"/>
            <w:szCs w:val="24"/>
          </w:rPr>
          <w:t>154</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26" w:history="1">
        <w:r w:rsidR="003146BC" w:rsidRPr="003146BC">
          <w:rPr>
            <w:rStyle w:val="a4"/>
            <w:sz w:val="24"/>
            <w:szCs w:val="24"/>
          </w:rPr>
          <w:t>6.3.</w:t>
        </w:r>
        <w:r w:rsidR="003146BC" w:rsidRPr="003146BC">
          <w:rPr>
            <w:rFonts w:asciiTheme="minorHAnsi" w:eastAsiaTheme="minorEastAsia" w:hAnsiTheme="minorHAnsi" w:cstheme="minorBidi"/>
            <w:sz w:val="24"/>
            <w:szCs w:val="24"/>
          </w:rPr>
          <w:tab/>
        </w:r>
        <w:r w:rsidR="003146BC" w:rsidRPr="003146BC">
          <w:rPr>
            <w:rStyle w:val="a4"/>
            <w:sz w:val="24"/>
            <w:szCs w:val="24"/>
          </w:rPr>
          <w:t>Общее собрание акционеров</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_Toc385339826 \h </w:instrText>
        </w:r>
        <w:r w:rsidRPr="003146BC">
          <w:rPr>
            <w:webHidden/>
            <w:sz w:val="24"/>
            <w:szCs w:val="24"/>
          </w:rPr>
        </w:r>
        <w:r w:rsidRPr="003146BC">
          <w:rPr>
            <w:webHidden/>
            <w:sz w:val="24"/>
            <w:szCs w:val="24"/>
          </w:rPr>
          <w:fldChar w:fldCharType="separate"/>
        </w:r>
        <w:r w:rsidR="00535215">
          <w:rPr>
            <w:webHidden/>
            <w:sz w:val="24"/>
            <w:szCs w:val="24"/>
          </w:rPr>
          <w:t>158</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27" w:history="1">
        <w:r w:rsidR="003146BC" w:rsidRPr="003146BC">
          <w:rPr>
            <w:rStyle w:val="a4"/>
            <w:sz w:val="24"/>
            <w:szCs w:val="24"/>
          </w:rPr>
          <w:t>6.4.</w:t>
        </w:r>
        <w:r w:rsidR="003146BC" w:rsidRPr="003146BC">
          <w:rPr>
            <w:rFonts w:asciiTheme="minorHAnsi" w:eastAsiaTheme="minorEastAsia" w:hAnsiTheme="minorHAnsi" w:cstheme="minorBidi"/>
            <w:sz w:val="24"/>
            <w:szCs w:val="24"/>
          </w:rPr>
          <w:tab/>
        </w:r>
        <w:r w:rsidR="003146BC" w:rsidRPr="003146BC">
          <w:rPr>
            <w:rStyle w:val="a4"/>
            <w:sz w:val="24"/>
            <w:szCs w:val="24"/>
          </w:rPr>
          <w:t>Совет директоров</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_Toc385339827 \h </w:instrText>
        </w:r>
        <w:r w:rsidRPr="003146BC">
          <w:rPr>
            <w:webHidden/>
            <w:sz w:val="24"/>
            <w:szCs w:val="24"/>
          </w:rPr>
        </w:r>
        <w:r w:rsidRPr="003146BC">
          <w:rPr>
            <w:webHidden/>
            <w:sz w:val="24"/>
            <w:szCs w:val="24"/>
          </w:rPr>
          <w:fldChar w:fldCharType="separate"/>
        </w:r>
        <w:r w:rsidR="00535215">
          <w:rPr>
            <w:webHidden/>
            <w:sz w:val="24"/>
            <w:szCs w:val="24"/>
          </w:rPr>
          <w:t>160</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28" w:history="1">
        <w:r w:rsidR="003146BC" w:rsidRPr="003146BC">
          <w:rPr>
            <w:rStyle w:val="a4"/>
            <w:sz w:val="24"/>
            <w:szCs w:val="24"/>
          </w:rPr>
          <w:t>6.5.</w:t>
        </w:r>
        <w:r w:rsidR="003146BC" w:rsidRPr="003146BC">
          <w:rPr>
            <w:rFonts w:asciiTheme="minorHAnsi" w:eastAsiaTheme="minorEastAsia" w:hAnsiTheme="minorHAnsi" w:cstheme="minorBidi"/>
            <w:sz w:val="24"/>
            <w:szCs w:val="24"/>
          </w:rPr>
          <w:tab/>
        </w:r>
        <w:r w:rsidR="003146BC" w:rsidRPr="003146BC">
          <w:rPr>
            <w:rStyle w:val="a4"/>
            <w:sz w:val="24"/>
            <w:szCs w:val="24"/>
          </w:rPr>
          <w:t>Комитеты при Совете директоров</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_Toc385339828 \h </w:instrText>
        </w:r>
        <w:r w:rsidRPr="003146BC">
          <w:rPr>
            <w:webHidden/>
            <w:sz w:val="24"/>
            <w:szCs w:val="24"/>
          </w:rPr>
        </w:r>
        <w:r w:rsidRPr="003146BC">
          <w:rPr>
            <w:webHidden/>
            <w:sz w:val="24"/>
            <w:szCs w:val="24"/>
          </w:rPr>
          <w:fldChar w:fldCharType="separate"/>
        </w:r>
        <w:r w:rsidR="00535215">
          <w:rPr>
            <w:webHidden/>
            <w:sz w:val="24"/>
            <w:szCs w:val="24"/>
          </w:rPr>
          <w:t>171</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29" w:history="1">
        <w:r w:rsidR="003146BC" w:rsidRPr="003146BC">
          <w:rPr>
            <w:rStyle w:val="a4"/>
            <w:sz w:val="24"/>
            <w:szCs w:val="24"/>
          </w:rPr>
          <w:t>6.6.</w:t>
        </w:r>
        <w:r w:rsidR="003146BC" w:rsidRPr="003146BC">
          <w:rPr>
            <w:rFonts w:asciiTheme="minorHAnsi" w:eastAsiaTheme="minorEastAsia" w:hAnsiTheme="minorHAnsi" w:cstheme="minorBidi"/>
            <w:sz w:val="24"/>
            <w:szCs w:val="24"/>
          </w:rPr>
          <w:tab/>
        </w:r>
        <w:r w:rsidR="003146BC" w:rsidRPr="003146BC">
          <w:rPr>
            <w:rStyle w:val="a4"/>
            <w:sz w:val="24"/>
            <w:szCs w:val="24"/>
          </w:rPr>
          <w:t>Правление</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_Toc385339829 \h </w:instrText>
        </w:r>
        <w:r w:rsidRPr="003146BC">
          <w:rPr>
            <w:webHidden/>
            <w:sz w:val="24"/>
            <w:szCs w:val="24"/>
          </w:rPr>
        </w:r>
        <w:r w:rsidRPr="003146BC">
          <w:rPr>
            <w:webHidden/>
            <w:sz w:val="24"/>
            <w:szCs w:val="24"/>
          </w:rPr>
          <w:fldChar w:fldCharType="separate"/>
        </w:r>
        <w:r w:rsidR="00535215">
          <w:rPr>
            <w:webHidden/>
            <w:sz w:val="24"/>
            <w:szCs w:val="24"/>
          </w:rPr>
          <w:t>179</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30" w:history="1">
        <w:r w:rsidR="003146BC" w:rsidRPr="003146BC">
          <w:rPr>
            <w:rStyle w:val="a4"/>
            <w:sz w:val="24"/>
            <w:szCs w:val="24"/>
          </w:rPr>
          <w:t>6.7.</w:t>
        </w:r>
        <w:r w:rsidR="003146BC" w:rsidRPr="003146BC">
          <w:rPr>
            <w:rFonts w:asciiTheme="minorHAnsi" w:eastAsiaTheme="minorEastAsia" w:hAnsiTheme="minorHAnsi" w:cstheme="minorBidi"/>
            <w:sz w:val="24"/>
            <w:szCs w:val="24"/>
          </w:rPr>
          <w:tab/>
        </w:r>
        <w:r w:rsidR="003146BC" w:rsidRPr="003146BC">
          <w:rPr>
            <w:rStyle w:val="a4"/>
            <w:sz w:val="24"/>
            <w:szCs w:val="24"/>
          </w:rPr>
          <w:t>Генеральный директор</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_Toc385339830 \h </w:instrText>
        </w:r>
        <w:r w:rsidRPr="003146BC">
          <w:rPr>
            <w:webHidden/>
            <w:sz w:val="24"/>
            <w:szCs w:val="24"/>
          </w:rPr>
        </w:r>
        <w:r w:rsidRPr="003146BC">
          <w:rPr>
            <w:webHidden/>
            <w:sz w:val="24"/>
            <w:szCs w:val="24"/>
          </w:rPr>
          <w:fldChar w:fldCharType="separate"/>
        </w:r>
        <w:r w:rsidR="00535215">
          <w:rPr>
            <w:webHidden/>
            <w:sz w:val="24"/>
            <w:szCs w:val="24"/>
          </w:rPr>
          <w:t>183</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31" w:history="1">
        <w:r w:rsidR="003146BC" w:rsidRPr="003146BC">
          <w:rPr>
            <w:rStyle w:val="a4"/>
            <w:sz w:val="24"/>
            <w:szCs w:val="24"/>
          </w:rPr>
          <w:t>6.8.</w:t>
        </w:r>
        <w:r w:rsidR="003146BC" w:rsidRPr="003146BC">
          <w:rPr>
            <w:rFonts w:asciiTheme="minorHAnsi" w:eastAsiaTheme="minorEastAsia" w:hAnsiTheme="minorHAnsi" w:cstheme="minorBidi"/>
            <w:sz w:val="24"/>
            <w:szCs w:val="24"/>
          </w:rPr>
          <w:tab/>
        </w:r>
        <w:r w:rsidR="003146BC" w:rsidRPr="003146BC">
          <w:rPr>
            <w:rStyle w:val="a4"/>
            <w:sz w:val="24"/>
            <w:szCs w:val="24"/>
          </w:rPr>
          <w:t>Ревизионная комиссия</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_Toc385339831 \h </w:instrText>
        </w:r>
        <w:r w:rsidRPr="003146BC">
          <w:rPr>
            <w:webHidden/>
            <w:sz w:val="24"/>
            <w:szCs w:val="24"/>
          </w:rPr>
        </w:r>
        <w:r w:rsidRPr="003146BC">
          <w:rPr>
            <w:webHidden/>
            <w:sz w:val="24"/>
            <w:szCs w:val="24"/>
          </w:rPr>
          <w:fldChar w:fldCharType="separate"/>
        </w:r>
        <w:r w:rsidR="00535215">
          <w:rPr>
            <w:webHidden/>
            <w:sz w:val="24"/>
            <w:szCs w:val="24"/>
          </w:rPr>
          <w:t>185</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32" w:history="1">
        <w:r w:rsidR="003146BC" w:rsidRPr="003146BC">
          <w:rPr>
            <w:rStyle w:val="a4"/>
            <w:sz w:val="24"/>
            <w:szCs w:val="24"/>
          </w:rPr>
          <w:t>6.9.</w:t>
        </w:r>
        <w:r w:rsidR="003146BC" w:rsidRPr="003146BC">
          <w:rPr>
            <w:rFonts w:asciiTheme="minorHAnsi" w:eastAsiaTheme="minorEastAsia" w:hAnsiTheme="minorHAnsi" w:cstheme="minorBidi"/>
            <w:sz w:val="24"/>
            <w:szCs w:val="24"/>
          </w:rPr>
          <w:tab/>
        </w:r>
        <w:r w:rsidR="003146BC" w:rsidRPr="003146BC">
          <w:rPr>
            <w:rStyle w:val="a4"/>
            <w:sz w:val="24"/>
            <w:szCs w:val="24"/>
          </w:rPr>
          <w:t>Внутренний контроль и управление рисками</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_Toc385339832 \h </w:instrText>
        </w:r>
        <w:r w:rsidRPr="003146BC">
          <w:rPr>
            <w:webHidden/>
            <w:sz w:val="24"/>
            <w:szCs w:val="24"/>
          </w:rPr>
        </w:r>
        <w:r w:rsidRPr="003146BC">
          <w:rPr>
            <w:webHidden/>
            <w:sz w:val="24"/>
            <w:szCs w:val="24"/>
          </w:rPr>
          <w:fldChar w:fldCharType="separate"/>
        </w:r>
        <w:r w:rsidR="00535215">
          <w:rPr>
            <w:webHidden/>
            <w:sz w:val="24"/>
            <w:szCs w:val="24"/>
          </w:rPr>
          <w:t>188</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33" w:history="1">
        <w:r w:rsidR="003146BC" w:rsidRPr="003146BC">
          <w:rPr>
            <w:rStyle w:val="a4"/>
            <w:sz w:val="24"/>
            <w:szCs w:val="24"/>
          </w:rPr>
          <w:t>6.10.</w:t>
        </w:r>
        <w:r w:rsidR="003146BC" w:rsidRPr="003146BC">
          <w:rPr>
            <w:rFonts w:asciiTheme="minorHAnsi" w:eastAsiaTheme="minorEastAsia" w:hAnsiTheme="minorHAnsi" w:cstheme="minorBidi"/>
            <w:sz w:val="24"/>
            <w:szCs w:val="24"/>
          </w:rPr>
          <w:tab/>
        </w:r>
        <w:r w:rsidR="003146BC" w:rsidRPr="003146BC">
          <w:rPr>
            <w:rStyle w:val="a4"/>
            <w:sz w:val="24"/>
            <w:szCs w:val="24"/>
          </w:rPr>
          <w:t>Участие в хозяйственных обществах</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_Toc385339833 \h </w:instrText>
        </w:r>
        <w:r w:rsidRPr="003146BC">
          <w:rPr>
            <w:webHidden/>
            <w:sz w:val="24"/>
            <w:szCs w:val="24"/>
          </w:rPr>
        </w:r>
        <w:r w:rsidRPr="003146BC">
          <w:rPr>
            <w:webHidden/>
            <w:sz w:val="24"/>
            <w:szCs w:val="24"/>
          </w:rPr>
          <w:fldChar w:fldCharType="separate"/>
        </w:r>
        <w:r w:rsidR="00535215">
          <w:rPr>
            <w:webHidden/>
            <w:sz w:val="24"/>
            <w:szCs w:val="24"/>
          </w:rPr>
          <w:t>200</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34" w:history="1">
        <w:r w:rsidR="003146BC" w:rsidRPr="003146BC">
          <w:rPr>
            <w:rStyle w:val="a4"/>
            <w:sz w:val="24"/>
            <w:szCs w:val="24"/>
          </w:rPr>
          <w:t>6.11.</w:t>
        </w:r>
        <w:r w:rsidR="003146BC" w:rsidRPr="003146BC">
          <w:rPr>
            <w:rFonts w:asciiTheme="minorHAnsi" w:eastAsiaTheme="minorEastAsia" w:hAnsiTheme="minorHAnsi" w:cstheme="minorBidi"/>
            <w:sz w:val="24"/>
            <w:szCs w:val="24"/>
          </w:rPr>
          <w:tab/>
        </w:r>
        <w:r w:rsidR="003146BC" w:rsidRPr="003146BC">
          <w:rPr>
            <w:rStyle w:val="a4"/>
            <w:sz w:val="24"/>
            <w:szCs w:val="24"/>
          </w:rPr>
          <w:t>Управление собственностью</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_Toc385339834 \h </w:instrText>
        </w:r>
        <w:r w:rsidRPr="003146BC">
          <w:rPr>
            <w:webHidden/>
            <w:sz w:val="24"/>
            <w:szCs w:val="24"/>
          </w:rPr>
        </w:r>
        <w:r w:rsidRPr="003146BC">
          <w:rPr>
            <w:webHidden/>
            <w:sz w:val="24"/>
            <w:szCs w:val="24"/>
          </w:rPr>
          <w:fldChar w:fldCharType="separate"/>
        </w:r>
        <w:r w:rsidR="00535215">
          <w:rPr>
            <w:webHidden/>
            <w:sz w:val="24"/>
            <w:szCs w:val="24"/>
          </w:rPr>
          <w:t>203</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35" w:history="1">
        <w:r w:rsidR="003146BC" w:rsidRPr="003146BC">
          <w:rPr>
            <w:rStyle w:val="a4"/>
            <w:sz w:val="24"/>
            <w:szCs w:val="24"/>
          </w:rPr>
          <w:t>6.12.</w:t>
        </w:r>
        <w:r w:rsidR="003146BC" w:rsidRPr="003146BC">
          <w:rPr>
            <w:rFonts w:asciiTheme="minorHAnsi" w:eastAsiaTheme="minorEastAsia" w:hAnsiTheme="minorHAnsi" w:cstheme="minorBidi"/>
            <w:sz w:val="24"/>
            <w:szCs w:val="24"/>
          </w:rPr>
          <w:tab/>
        </w:r>
        <w:r w:rsidR="003146BC" w:rsidRPr="003146BC">
          <w:rPr>
            <w:rStyle w:val="a4"/>
            <w:sz w:val="24"/>
            <w:szCs w:val="24"/>
          </w:rPr>
          <w:t>Акции</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_Toc385339835 \h </w:instrText>
        </w:r>
        <w:r w:rsidRPr="003146BC">
          <w:rPr>
            <w:webHidden/>
            <w:sz w:val="24"/>
            <w:szCs w:val="24"/>
          </w:rPr>
        </w:r>
        <w:r w:rsidRPr="003146BC">
          <w:rPr>
            <w:webHidden/>
            <w:sz w:val="24"/>
            <w:szCs w:val="24"/>
          </w:rPr>
          <w:fldChar w:fldCharType="separate"/>
        </w:r>
        <w:r w:rsidR="00535215">
          <w:rPr>
            <w:webHidden/>
            <w:sz w:val="24"/>
            <w:szCs w:val="24"/>
          </w:rPr>
          <w:t>207</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36" w:history="1">
        <w:r w:rsidR="003146BC" w:rsidRPr="003146BC">
          <w:rPr>
            <w:rStyle w:val="a4"/>
            <w:sz w:val="24"/>
            <w:szCs w:val="24"/>
          </w:rPr>
          <w:t>6.13.</w:t>
        </w:r>
        <w:r w:rsidR="003146BC" w:rsidRPr="003146BC">
          <w:rPr>
            <w:rFonts w:asciiTheme="minorHAnsi" w:eastAsiaTheme="minorEastAsia" w:hAnsiTheme="minorHAnsi" w:cstheme="minorBidi"/>
            <w:sz w:val="24"/>
            <w:szCs w:val="24"/>
          </w:rPr>
          <w:tab/>
        </w:r>
        <w:r w:rsidR="003146BC" w:rsidRPr="003146BC">
          <w:rPr>
            <w:rStyle w:val="a4"/>
            <w:sz w:val="24"/>
            <w:szCs w:val="24"/>
          </w:rPr>
          <w:t>Дивидендная политика</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_Toc385339836 \h </w:instrText>
        </w:r>
        <w:r w:rsidRPr="003146BC">
          <w:rPr>
            <w:webHidden/>
            <w:sz w:val="24"/>
            <w:szCs w:val="24"/>
          </w:rPr>
        </w:r>
        <w:r w:rsidRPr="003146BC">
          <w:rPr>
            <w:webHidden/>
            <w:sz w:val="24"/>
            <w:szCs w:val="24"/>
          </w:rPr>
          <w:fldChar w:fldCharType="separate"/>
        </w:r>
        <w:r w:rsidR="00535215">
          <w:rPr>
            <w:webHidden/>
            <w:sz w:val="24"/>
            <w:szCs w:val="24"/>
          </w:rPr>
          <w:t>217</w:t>
        </w:r>
        <w:r w:rsidRPr="003146BC">
          <w:rPr>
            <w:webHidden/>
            <w:sz w:val="24"/>
            <w:szCs w:val="24"/>
          </w:rPr>
          <w:fldChar w:fldCharType="end"/>
        </w:r>
      </w:hyperlink>
    </w:p>
    <w:p w:rsidR="003146BC" w:rsidRPr="003146BC" w:rsidRDefault="00EA456F">
      <w:pPr>
        <w:pStyle w:val="13"/>
        <w:rPr>
          <w:rFonts w:asciiTheme="minorHAnsi" w:eastAsiaTheme="minorEastAsia" w:hAnsiTheme="minorHAnsi" w:cstheme="minorBidi"/>
          <w:noProof/>
          <w:sz w:val="24"/>
          <w:szCs w:val="24"/>
          <w:lang w:eastAsia="ru-RU"/>
        </w:rPr>
      </w:pPr>
      <w:hyperlink w:anchor="_Toc385339837" w:history="1">
        <w:r w:rsidR="003146BC" w:rsidRPr="003146BC">
          <w:rPr>
            <w:rStyle w:val="a4"/>
            <w:noProof/>
            <w:sz w:val="24"/>
            <w:szCs w:val="24"/>
            <w:lang w:eastAsia="ru-RU"/>
          </w:rPr>
          <w:t>7.</w:t>
        </w:r>
        <w:r w:rsidR="003146BC" w:rsidRPr="003146BC">
          <w:rPr>
            <w:rFonts w:asciiTheme="minorHAnsi" w:eastAsiaTheme="minorEastAsia" w:hAnsiTheme="minorHAnsi" w:cstheme="minorBidi"/>
            <w:noProof/>
            <w:sz w:val="24"/>
            <w:szCs w:val="24"/>
            <w:lang w:eastAsia="ru-RU"/>
          </w:rPr>
          <w:tab/>
        </w:r>
        <w:r w:rsidR="003146BC" w:rsidRPr="003146BC">
          <w:rPr>
            <w:rStyle w:val="a4"/>
            <w:noProof/>
            <w:sz w:val="24"/>
            <w:szCs w:val="24"/>
            <w:lang w:eastAsia="ru-RU"/>
          </w:rPr>
          <w:t>Инновационное развитие, технологии и телекоммуникации</w:t>
        </w:r>
        <w:r w:rsidR="003146BC" w:rsidRPr="003146BC">
          <w:rPr>
            <w:noProof/>
            <w:webHidden/>
            <w:sz w:val="24"/>
            <w:szCs w:val="24"/>
          </w:rPr>
          <w:tab/>
        </w:r>
        <w:r w:rsidRPr="003146BC">
          <w:rPr>
            <w:noProof/>
            <w:webHidden/>
            <w:sz w:val="24"/>
            <w:szCs w:val="24"/>
          </w:rPr>
          <w:fldChar w:fldCharType="begin"/>
        </w:r>
        <w:r w:rsidR="003146BC" w:rsidRPr="003146BC">
          <w:rPr>
            <w:noProof/>
            <w:webHidden/>
            <w:sz w:val="24"/>
            <w:szCs w:val="24"/>
          </w:rPr>
          <w:instrText xml:space="preserve"> PAGEREF _Toc385339837 \h </w:instrText>
        </w:r>
        <w:r w:rsidRPr="003146BC">
          <w:rPr>
            <w:noProof/>
            <w:webHidden/>
            <w:sz w:val="24"/>
            <w:szCs w:val="24"/>
          </w:rPr>
        </w:r>
        <w:r w:rsidRPr="003146BC">
          <w:rPr>
            <w:noProof/>
            <w:webHidden/>
            <w:sz w:val="24"/>
            <w:szCs w:val="24"/>
          </w:rPr>
          <w:fldChar w:fldCharType="separate"/>
        </w:r>
        <w:r w:rsidR="00535215">
          <w:rPr>
            <w:noProof/>
            <w:webHidden/>
            <w:sz w:val="24"/>
            <w:szCs w:val="24"/>
          </w:rPr>
          <w:t>219</w:t>
        </w:r>
        <w:r w:rsidRPr="003146BC">
          <w:rPr>
            <w:noProof/>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38" w:history="1">
        <w:r w:rsidR="003146BC" w:rsidRPr="003146BC">
          <w:rPr>
            <w:rStyle w:val="a4"/>
            <w:sz w:val="24"/>
            <w:szCs w:val="24"/>
          </w:rPr>
          <w:t>7.1.</w:t>
        </w:r>
        <w:r w:rsidR="003146BC" w:rsidRPr="003146BC">
          <w:rPr>
            <w:rFonts w:asciiTheme="minorHAnsi" w:eastAsiaTheme="minorEastAsia" w:hAnsiTheme="minorHAnsi" w:cstheme="minorBidi"/>
            <w:sz w:val="24"/>
            <w:szCs w:val="24"/>
          </w:rPr>
          <w:tab/>
        </w:r>
        <w:r w:rsidR="003146BC" w:rsidRPr="003146BC">
          <w:rPr>
            <w:rStyle w:val="a4"/>
            <w:sz w:val="24"/>
            <w:szCs w:val="24"/>
          </w:rPr>
          <w:t>Интервью директора по автоматизации бизнес-процессов</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_Toc385339838 \h </w:instrText>
        </w:r>
        <w:r w:rsidRPr="003146BC">
          <w:rPr>
            <w:webHidden/>
            <w:sz w:val="24"/>
            <w:szCs w:val="24"/>
          </w:rPr>
        </w:r>
        <w:r w:rsidRPr="003146BC">
          <w:rPr>
            <w:webHidden/>
            <w:sz w:val="24"/>
            <w:szCs w:val="24"/>
          </w:rPr>
          <w:fldChar w:fldCharType="separate"/>
        </w:r>
        <w:r w:rsidR="00535215">
          <w:rPr>
            <w:webHidden/>
            <w:sz w:val="24"/>
            <w:szCs w:val="24"/>
          </w:rPr>
          <w:t>219</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39" w:history="1">
        <w:r w:rsidR="003146BC" w:rsidRPr="003146BC">
          <w:rPr>
            <w:rStyle w:val="a4"/>
            <w:sz w:val="24"/>
            <w:szCs w:val="24"/>
          </w:rPr>
          <w:t>7.2.</w:t>
        </w:r>
        <w:r w:rsidR="003146BC" w:rsidRPr="003146BC">
          <w:rPr>
            <w:rFonts w:asciiTheme="minorHAnsi" w:eastAsiaTheme="minorEastAsia" w:hAnsiTheme="minorHAnsi" w:cstheme="minorBidi"/>
            <w:sz w:val="24"/>
            <w:szCs w:val="24"/>
          </w:rPr>
          <w:tab/>
        </w:r>
        <w:r w:rsidR="003146BC" w:rsidRPr="003146BC">
          <w:rPr>
            <w:rStyle w:val="a4"/>
            <w:sz w:val="24"/>
            <w:szCs w:val="24"/>
          </w:rPr>
          <w:t>Инновационное развитие</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_Toc385339839 \h </w:instrText>
        </w:r>
        <w:r w:rsidRPr="003146BC">
          <w:rPr>
            <w:webHidden/>
            <w:sz w:val="24"/>
            <w:szCs w:val="24"/>
          </w:rPr>
        </w:r>
        <w:r w:rsidRPr="003146BC">
          <w:rPr>
            <w:webHidden/>
            <w:sz w:val="24"/>
            <w:szCs w:val="24"/>
          </w:rPr>
          <w:fldChar w:fldCharType="separate"/>
        </w:r>
        <w:r w:rsidR="00535215">
          <w:rPr>
            <w:webHidden/>
            <w:sz w:val="24"/>
            <w:szCs w:val="24"/>
          </w:rPr>
          <w:t>222</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40" w:history="1">
        <w:r w:rsidR="003146BC" w:rsidRPr="003146BC">
          <w:rPr>
            <w:rStyle w:val="a4"/>
            <w:sz w:val="24"/>
            <w:szCs w:val="24"/>
          </w:rPr>
          <w:t>7.3.</w:t>
        </w:r>
        <w:r w:rsidR="003146BC" w:rsidRPr="003146BC">
          <w:rPr>
            <w:rFonts w:asciiTheme="minorHAnsi" w:eastAsiaTheme="minorEastAsia" w:hAnsiTheme="minorHAnsi" w:cstheme="minorBidi"/>
            <w:sz w:val="24"/>
            <w:szCs w:val="24"/>
          </w:rPr>
          <w:tab/>
        </w:r>
        <w:r w:rsidR="003146BC" w:rsidRPr="003146BC">
          <w:rPr>
            <w:rStyle w:val="a4"/>
            <w:sz w:val="24"/>
            <w:szCs w:val="24"/>
          </w:rPr>
          <w:t>Информационные технологии и телекоммуникации</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_Toc385339840 \h </w:instrText>
        </w:r>
        <w:r w:rsidRPr="003146BC">
          <w:rPr>
            <w:webHidden/>
            <w:sz w:val="24"/>
            <w:szCs w:val="24"/>
          </w:rPr>
        </w:r>
        <w:r w:rsidRPr="003146BC">
          <w:rPr>
            <w:webHidden/>
            <w:sz w:val="24"/>
            <w:szCs w:val="24"/>
          </w:rPr>
          <w:fldChar w:fldCharType="separate"/>
        </w:r>
        <w:r w:rsidR="00535215">
          <w:rPr>
            <w:webHidden/>
            <w:sz w:val="24"/>
            <w:szCs w:val="24"/>
          </w:rPr>
          <w:t>228</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41" w:history="1">
        <w:r w:rsidR="003146BC" w:rsidRPr="003146BC">
          <w:rPr>
            <w:rStyle w:val="a4"/>
            <w:sz w:val="24"/>
            <w:szCs w:val="24"/>
          </w:rPr>
          <w:t>7.4.</w:t>
        </w:r>
        <w:r w:rsidR="003146BC" w:rsidRPr="003146BC">
          <w:rPr>
            <w:rFonts w:asciiTheme="minorHAnsi" w:eastAsiaTheme="minorEastAsia" w:hAnsiTheme="minorHAnsi" w:cstheme="minorBidi"/>
            <w:sz w:val="24"/>
            <w:szCs w:val="24"/>
          </w:rPr>
          <w:tab/>
        </w:r>
        <w:r w:rsidR="003146BC" w:rsidRPr="003146BC">
          <w:rPr>
            <w:rStyle w:val="a4"/>
            <w:sz w:val="24"/>
            <w:szCs w:val="24"/>
          </w:rPr>
          <w:t>Информационные технологии</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_Toc385339841 \h </w:instrText>
        </w:r>
        <w:r w:rsidRPr="003146BC">
          <w:rPr>
            <w:webHidden/>
            <w:sz w:val="24"/>
            <w:szCs w:val="24"/>
          </w:rPr>
        </w:r>
        <w:r w:rsidRPr="003146BC">
          <w:rPr>
            <w:webHidden/>
            <w:sz w:val="24"/>
            <w:szCs w:val="24"/>
          </w:rPr>
          <w:fldChar w:fldCharType="separate"/>
        </w:r>
        <w:r w:rsidR="00535215">
          <w:rPr>
            <w:webHidden/>
            <w:sz w:val="24"/>
            <w:szCs w:val="24"/>
          </w:rPr>
          <w:t>229</w:t>
        </w:r>
        <w:r w:rsidRPr="003146BC">
          <w:rPr>
            <w:webHidden/>
            <w:sz w:val="24"/>
            <w:szCs w:val="24"/>
          </w:rPr>
          <w:fldChar w:fldCharType="end"/>
        </w:r>
      </w:hyperlink>
    </w:p>
    <w:p w:rsidR="003146BC" w:rsidRPr="003146BC" w:rsidRDefault="00EA456F">
      <w:pPr>
        <w:pStyle w:val="13"/>
        <w:rPr>
          <w:rFonts w:asciiTheme="minorHAnsi" w:eastAsiaTheme="minorEastAsia" w:hAnsiTheme="minorHAnsi" w:cstheme="minorBidi"/>
          <w:noProof/>
          <w:sz w:val="24"/>
          <w:szCs w:val="24"/>
          <w:lang w:eastAsia="ru-RU"/>
        </w:rPr>
      </w:pPr>
      <w:hyperlink w:anchor="_Toc385339842" w:history="1">
        <w:r w:rsidR="003146BC" w:rsidRPr="003146BC">
          <w:rPr>
            <w:rStyle w:val="a4"/>
            <w:noProof/>
            <w:sz w:val="24"/>
            <w:szCs w:val="24"/>
            <w:lang w:eastAsia="ru-RU"/>
          </w:rPr>
          <w:t>8.</w:t>
        </w:r>
        <w:r w:rsidR="003146BC" w:rsidRPr="003146BC">
          <w:rPr>
            <w:rFonts w:asciiTheme="minorHAnsi" w:eastAsiaTheme="minorEastAsia" w:hAnsiTheme="minorHAnsi" w:cstheme="minorBidi"/>
            <w:noProof/>
            <w:sz w:val="24"/>
            <w:szCs w:val="24"/>
            <w:lang w:eastAsia="ru-RU"/>
          </w:rPr>
          <w:tab/>
        </w:r>
        <w:r w:rsidR="003146BC" w:rsidRPr="003146BC">
          <w:rPr>
            <w:rStyle w:val="a4"/>
            <w:noProof/>
            <w:sz w:val="24"/>
            <w:szCs w:val="24"/>
            <w:lang w:eastAsia="ru-RU"/>
          </w:rPr>
          <w:t>Человеческий капитал и социальная ответственность</w:t>
        </w:r>
        <w:r w:rsidR="003146BC" w:rsidRPr="003146BC">
          <w:rPr>
            <w:noProof/>
            <w:webHidden/>
            <w:sz w:val="24"/>
            <w:szCs w:val="24"/>
          </w:rPr>
          <w:tab/>
        </w:r>
        <w:r w:rsidRPr="003146BC">
          <w:rPr>
            <w:noProof/>
            <w:webHidden/>
            <w:sz w:val="24"/>
            <w:szCs w:val="24"/>
          </w:rPr>
          <w:fldChar w:fldCharType="begin"/>
        </w:r>
        <w:r w:rsidR="003146BC" w:rsidRPr="003146BC">
          <w:rPr>
            <w:noProof/>
            <w:webHidden/>
            <w:sz w:val="24"/>
            <w:szCs w:val="24"/>
          </w:rPr>
          <w:instrText xml:space="preserve"> PAGEREF _Toc385339842 \h </w:instrText>
        </w:r>
        <w:r w:rsidRPr="003146BC">
          <w:rPr>
            <w:noProof/>
            <w:webHidden/>
            <w:sz w:val="24"/>
            <w:szCs w:val="24"/>
          </w:rPr>
        </w:r>
        <w:r w:rsidRPr="003146BC">
          <w:rPr>
            <w:noProof/>
            <w:webHidden/>
            <w:sz w:val="24"/>
            <w:szCs w:val="24"/>
          </w:rPr>
          <w:fldChar w:fldCharType="separate"/>
        </w:r>
        <w:r w:rsidR="00535215">
          <w:rPr>
            <w:noProof/>
            <w:webHidden/>
            <w:sz w:val="24"/>
            <w:szCs w:val="24"/>
          </w:rPr>
          <w:t>233</w:t>
        </w:r>
        <w:r w:rsidRPr="003146BC">
          <w:rPr>
            <w:noProof/>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43" w:history="1">
        <w:r w:rsidR="003146BC" w:rsidRPr="003146BC">
          <w:rPr>
            <w:rStyle w:val="a4"/>
            <w:sz w:val="24"/>
            <w:szCs w:val="24"/>
          </w:rPr>
          <w:t>8.1.</w:t>
        </w:r>
        <w:r w:rsidR="003146BC" w:rsidRPr="003146BC">
          <w:rPr>
            <w:rFonts w:asciiTheme="minorHAnsi" w:eastAsiaTheme="minorEastAsia" w:hAnsiTheme="minorHAnsi" w:cstheme="minorBidi"/>
            <w:sz w:val="24"/>
            <w:szCs w:val="24"/>
          </w:rPr>
          <w:tab/>
        </w:r>
        <w:r w:rsidR="003146BC" w:rsidRPr="003146BC">
          <w:rPr>
            <w:rStyle w:val="a4"/>
            <w:sz w:val="24"/>
            <w:szCs w:val="24"/>
          </w:rPr>
          <w:t>Интервью заместителя генерального директора по управлению персоналом</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_Toc385339843 \h </w:instrText>
        </w:r>
        <w:r w:rsidRPr="003146BC">
          <w:rPr>
            <w:webHidden/>
            <w:sz w:val="24"/>
            <w:szCs w:val="24"/>
          </w:rPr>
        </w:r>
        <w:r w:rsidRPr="003146BC">
          <w:rPr>
            <w:webHidden/>
            <w:sz w:val="24"/>
            <w:szCs w:val="24"/>
          </w:rPr>
          <w:fldChar w:fldCharType="separate"/>
        </w:r>
        <w:r w:rsidR="00535215">
          <w:rPr>
            <w:webHidden/>
            <w:sz w:val="24"/>
            <w:szCs w:val="24"/>
          </w:rPr>
          <w:t>233</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44" w:history="1">
        <w:r w:rsidR="003146BC" w:rsidRPr="003146BC">
          <w:rPr>
            <w:rStyle w:val="a4"/>
            <w:sz w:val="24"/>
            <w:szCs w:val="24"/>
          </w:rPr>
          <w:t>8.2.</w:t>
        </w:r>
        <w:r w:rsidR="003146BC" w:rsidRPr="003146BC">
          <w:rPr>
            <w:rFonts w:asciiTheme="minorHAnsi" w:eastAsiaTheme="minorEastAsia" w:hAnsiTheme="minorHAnsi" w:cstheme="minorBidi"/>
            <w:sz w:val="24"/>
            <w:szCs w:val="24"/>
          </w:rPr>
          <w:tab/>
        </w:r>
        <w:r w:rsidR="003146BC" w:rsidRPr="003146BC">
          <w:rPr>
            <w:rStyle w:val="a4"/>
            <w:sz w:val="24"/>
            <w:szCs w:val="24"/>
          </w:rPr>
          <w:t>Управление персоналом</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_Toc385339844 \h </w:instrText>
        </w:r>
        <w:r w:rsidRPr="003146BC">
          <w:rPr>
            <w:webHidden/>
            <w:sz w:val="24"/>
            <w:szCs w:val="24"/>
          </w:rPr>
        </w:r>
        <w:r w:rsidRPr="003146BC">
          <w:rPr>
            <w:webHidden/>
            <w:sz w:val="24"/>
            <w:szCs w:val="24"/>
          </w:rPr>
          <w:fldChar w:fldCharType="separate"/>
        </w:r>
        <w:r w:rsidR="00535215">
          <w:rPr>
            <w:webHidden/>
            <w:sz w:val="24"/>
            <w:szCs w:val="24"/>
          </w:rPr>
          <w:t>236</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45" w:history="1">
        <w:r w:rsidR="003146BC" w:rsidRPr="003146BC">
          <w:rPr>
            <w:rStyle w:val="a4"/>
            <w:sz w:val="24"/>
            <w:szCs w:val="24"/>
          </w:rPr>
          <w:t>8.3.</w:t>
        </w:r>
        <w:r w:rsidR="003146BC" w:rsidRPr="003146BC">
          <w:rPr>
            <w:rFonts w:asciiTheme="minorHAnsi" w:eastAsiaTheme="minorEastAsia" w:hAnsiTheme="minorHAnsi" w:cstheme="minorBidi"/>
            <w:sz w:val="24"/>
            <w:szCs w:val="24"/>
          </w:rPr>
          <w:tab/>
        </w:r>
        <w:r w:rsidR="003146BC" w:rsidRPr="003146BC">
          <w:rPr>
            <w:rStyle w:val="a4"/>
            <w:sz w:val="24"/>
            <w:szCs w:val="24"/>
          </w:rPr>
          <w:t>Социальная политика</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_Toc385339845 \h </w:instrText>
        </w:r>
        <w:r w:rsidRPr="003146BC">
          <w:rPr>
            <w:webHidden/>
            <w:sz w:val="24"/>
            <w:szCs w:val="24"/>
          </w:rPr>
        </w:r>
        <w:r w:rsidRPr="003146BC">
          <w:rPr>
            <w:webHidden/>
            <w:sz w:val="24"/>
            <w:szCs w:val="24"/>
          </w:rPr>
          <w:fldChar w:fldCharType="separate"/>
        </w:r>
        <w:r w:rsidR="00535215">
          <w:rPr>
            <w:webHidden/>
            <w:sz w:val="24"/>
            <w:szCs w:val="24"/>
          </w:rPr>
          <w:t>248</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46" w:history="1">
        <w:r w:rsidR="003146BC" w:rsidRPr="003146BC">
          <w:rPr>
            <w:rStyle w:val="a4"/>
            <w:sz w:val="24"/>
            <w:szCs w:val="24"/>
            <w:lang w:val="en-US"/>
          </w:rPr>
          <w:t>8.4.</w:t>
        </w:r>
        <w:r w:rsidR="003146BC" w:rsidRPr="003146BC">
          <w:rPr>
            <w:rFonts w:asciiTheme="minorHAnsi" w:eastAsiaTheme="minorEastAsia" w:hAnsiTheme="minorHAnsi" w:cstheme="minorBidi"/>
            <w:sz w:val="24"/>
            <w:szCs w:val="24"/>
          </w:rPr>
          <w:tab/>
        </w:r>
        <w:r w:rsidR="003146BC" w:rsidRPr="003146BC">
          <w:rPr>
            <w:rStyle w:val="a4"/>
            <w:sz w:val="24"/>
            <w:szCs w:val="24"/>
          </w:rPr>
          <w:t>Охрана труда</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_Toc385339846 \h </w:instrText>
        </w:r>
        <w:r w:rsidRPr="003146BC">
          <w:rPr>
            <w:webHidden/>
            <w:sz w:val="24"/>
            <w:szCs w:val="24"/>
          </w:rPr>
        </w:r>
        <w:r w:rsidRPr="003146BC">
          <w:rPr>
            <w:webHidden/>
            <w:sz w:val="24"/>
            <w:szCs w:val="24"/>
          </w:rPr>
          <w:fldChar w:fldCharType="separate"/>
        </w:r>
        <w:r w:rsidR="00535215">
          <w:rPr>
            <w:webHidden/>
            <w:sz w:val="24"/>
            <w:szCs w:val="24"/>
          </w:rPr>
          <w:t>252</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47" w:history="1">
        <w:r w:rsidR="003146BC" w:rsidRPr="003146BC">
          <w:rPr>
            <w:rStyle w:val="a4"/>
            <w:sz w:val="24"/>
            <w:szCs w:val="24"/>
          </w:rPr>
          <w:t>8.5.</w:t>
        </w:r>
        <w:r w:rsidR="003146BC" w:rsidRPr="003146BC">
          <w:rPr>
            <w:rFonts w:asciiTheme="minorHAnsi" w:eastAsiaTheme="minorEastAsia" w:hAnsiTheme="minorHAnsi" w:cstheme="minorBidi"/>
            <w:sz w:val="24"/>
            <w:szCs w:val="24"/>
          </w:rPr>
          <w:tab/>
        </w:r>
        <w:r w:rsidR="003146BC" w:rsidRPr="003146BC">
          <w:rPr>
            <w:rStyle w:val="a4"/>
            <w:sz w:val="24"/>
            <w:szCs w:val="24"/>
          </w:rPr>
          <w:t>Экологическая политика</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_Toc385339847 \h </w:instrText>
        </w:r>
        <w:r w:rsidRPr="003146BC">
          <w:rPr>
            <w:webHidden/>
            <w:sz w:val="24"/>
            <w:szCs w:val="24"/>
          </w:rPr>
        </w:r>
        <w:r w:rsidRPr="003146BC">
          <w:rPr>
            <w:webHidden/>
            <w:sz w:val="24"/>
            <w:szCs w:val="24"/>
          </w:rPr>
          <w:fldChar w:fldCharType="separate"/>
        </w:r>
        <w:r w:rsidR="00535215">
          <w:rPr>
            <w:webHidden/>
            <w:sz w:val="24"/>
            <w:szCs w:val="24"/>
          </w:rPr>
          <w:t>256</w:t>
        </w:r>
        <w:r w:rsidRPr="003146BC">
          <w:rPr>
            <w:webHidden/>
            <w:sz w:val="24"/>
            <w:szCs w:val="24"/>
          </w:rPr>
          <w:fldChar w:fldCharType="end"/>
        </w:r>
      </w:hyperlink>
    </w:p>
    <w:p w:rsidR="003146BC" w:rsidRPr="003146BC" w:rsidRDefault="00EA456F">
      <w:pPr>
        <w:pStyle w:val="13"/>
        <w:rPr>
          <w:rFonts w:asciiTheme="minorHAnsi" w:eastAsiaTheme="minorEastAsia" w:hAnsiTheme="minorHAnsi" w:cstheme="minorBidi"/>
          <w:noProof/>
          <w:sz w:val="24"/>
          <w:szCs w:val="24"/>
          <w:lang w:eastAsia="ru-RU"/>
        </w:rPr>
      </w:pPr>
      <w:hyperlink w:anchor="_Toc385339848" w:history="1">
        <w:r w:rsidR="003146BC" w:rsidRPr="003146BC">
          <w:rPr>
            <w:rStyle w:val="a4"/>
            <w:noProof/>
            <w:sz w:val="24"/>
            <w:szCs w:val="24"/>
            <w:lang w:eastAsia="ru-RU"/>
          </w:rPr>
          <w:t>9.</w:t>
        </w:r>
        <w:r w:rsidR="003146BC" w:rsidRPr="003146BC">
          <w:rPr>
            <w:rFonts w:asciiTheme="minorHAnsi" w:eastAsiaTheme="minorEastAsia" w:hAnsiTheme="minorHAnsi" w:cstheme="minorBidi"/>
            <w:noProof/>
            <w:sz w:val="24"/>
            <w:szCs w:val="24"/>
            <w:lang w:eastAsia="ru-RU"/>
          </w:rPr>
          <w:tab/>
        </w:r>
        <w:r w:rsidR="003146BC" w:rsidRPr="003146BC">
          <w:rPr>
            <w:rStyle w:val="a4"/>
            <w:noProof/>
            <w:sz w:val="24"/>
            <w:szCs w:val="24"/>
            <w:lang w:eastAsia="ru-RU"/>
          </w:rPr>
          <w:t>Внешние коммуникации</w:t>
        </w:r>
        <w:r w:rsidR="003146BC" w:rsidRPr="003146BC">
          <w:rPr>
            <w:noProof/>
            <w:webHidden/>
            <w:sz w:val="24"/>
            <w:szCs w:val="24"/>
          </w:rPr>
          <w:tab/>
        </w:r>
        <w:r w:rsidRPr="003146BC">
          <w:rPr>
            <w:noProof/>
            <w:webHidden/>
            <w:sz w:val="24"/>
            <w:szCs w:val="24"/>
          </w:rPr>
          <w:fldChar w:fldCharType="begin"/>
        </w:r>
        <w:r w:rsidR="003146BC" w:rsidRPr="003146BC">
          <w:rPr>
            <w:noProof/>
            <w:webHidden/>
            <w:sz w:val="24"/>
            <w:szCs w:val="24"/>
          </w:rPr>
          <w:instrText xml:space="preserve"> PAGEREF _Toc385339848 \h </w:instrText>
        </w:r>
        <w:r w:rsidRPr="003146BC">
          <w:rPr>
            <w:noProof/>
            <w:webHidden/>
            <w:sz w:val="24"/>
            <w:szCs w:val="24"/>
          </w:rPr>
        </w:r>
        <w:r w:rsidRPr="003146BC">
          <w:rPr>
            <w:noProof/>
            <w:webHidden/>
            <w:sz w:val="24"/>
            <w:szCs w:val="24"/>
          </w:rPr>
          <w:fldChar w:fldCharType="separate"/>
        </w:r>
        <w:r w:rsidR="00535215">
          <w:rPr>
            <w:noProof/>
            <w:webHidden/>
            <w:sz w:val="24"/>
            <w:szCs w:val="24"/>
          </w:rPr>
          <w:t>264</w:t>
        </w:r>
        <w:r w:rsidRPr="003146BC">
          <w:rPr>
            <w:noProof/>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49" w:history="1">
        <w:r w:rsidR="003146BC" w:rsidRPr="003146BC">
          <w:rPr>
            <w:rStyle w:val="a4"/>
            <w:sz w:val="24"/>
            <w:szCs w:val="24"/>
          </w:rPr>
          <w:t>9.1.</w:t>
        </w:r>
        <w:r w:rsidR="003146BC" w:rsidRPr="003146BC">
          <w:rPr>
            <w:rFonts w:asciiTheme="minorHAnsi" w:eastAsiaTheme="minorEastAsia" w:hAnsiTheme="minorHAnsi" w:cstheme="minorBidi"/>
            <w:sz w:val="24"/>
            <w:szCs w:val="24"/>
          </w:rPr>
          <w:tab/>
        </w:r>
        <w:r w:rsidR="003146BC" w:rsidRPr="003146BC">
          <w:rPr>
            <w:rStyle w:val="a4"/>
            <w:sz w:val="24"/>
            <w:szCs w:val="24"/>
          </w:rPr>
          <w:t>Интервью директора департамента по связям с общественностью</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_Toc385339849 \h </w:instrText>
        </w:r>
        <w:r w:rsidRPr="003146BC">
          <w:rPr>
            <w:webHidden/>
            <w:sz w:val="24"/>
            <w:szCs w:val="24"/>
          </w:rPr>
        </w:r>
        <w:r w:rsidRPr="003146BC">
          <w:rPr>
            <w:webHidden/>
            <w:sz w:val="24"/>
            <w:szCs w:val="24"/>
          </w:rPr>
          <w:fldChar w:fldCharType="separate"/>
        </w:r>
        <w:r w:rsidR="00535215">
          <w:rPr>
            <w:webHidden/>
            <w:sz w:val="24"/>
            <w:szCs w:val="24"/>
          </w:rPr>
          <w:t>264</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50" w:history="1">
        <w:r w:rsidR="003146BC" w:rsidRPr="003146BC">
          <w:rPr>
            <w:rStyle w:val="a4"/>
            <w:sz w:val="24"/>
            <w:szCs w:val="24"/>
          </w:rPr>
          <w:t>9.2.</w:t>
        </w:r>
        <w:r w:rsidR="003146BC" w:rsidRPr="003146BC">
          <w:rPr>
            <w:rFonts w:asciiTheme="minorHAnsi" w:eastAsiaTheme="minorEastAsia" w:hAnsiTheme="minorHAnsi" w:cstheme="minorBidi"/>
            <w:sz w:val="24"/>
            <w:szCs w:val="24"/>
          </w:rPr>
          <w:tab/>
        </w:r>
        <w:r w:rsidR="003146BC" w:rsidRPr="003146BC">
          <w:rPr>
            <w:rStyle w:val="a4"/>
            <w:sz w:val="24"/>
            <w:szCs w:val="24"/>
          </w:rPr>
          <w:t>Связи с общественностью, средствами массовой информации, органами государственной власти и муниципального управления, общественными организациями</w:t>
        </w:r>
        <w:r w:rsidR="003146BC" w:rsidRPr="003146BC">
          <w:rPr>
            <w:webHidden/>
            <w:sz w:val="24"/>
            <w:szCs w:val="24"/>
          </w:rPr>
          <w:tab/>
        </w:r>
        <w:r w:rsidR="003146BC">
          <w:rPr>
            <w:webHidden/>
            <w:sz w:val="24"/>
            <w:szCs w:val="24"/>
          </w:rPr>
          <w:tab/>
        </w:r>
        <w:r w:rsid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_Toc385339850 \h </w:instrText>
        </w:r>
        <w:r w:rsidRPr="003146BC">
          <w:rPr>
            <w:webHidden/>
            <w:sz w:val="24"/>
            <w:szCs w:val="24"/>
          </w:rPr>
        </w:r>
        <w:r w:rsidRPr="003146BC">
          <w:rPr>
            <w:webHidden/>
            <w:sz w:val="24"/>
            <w:szCs w:val="24"/>
          </w:rPr>
          <w:fldChar w:fldCharType="separate"/>
        </w:r>
        <w:r w:rsidR="00535215">
          <w:rPr>
            <w:webHidden/>
            <w:sz w:val="24"/>
            <w:szCs w:val="24"/>
          </w:rPr>
          <w:t>266</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51" w:history="1">
        <w:r w:rsidR="003146BC" w:rsidRPr="003146BC">
          <w:rPr>
            <w:rStyle w:val="a4"/>
            <w:sz w:val="24"/>
            <w:szCs w:val="24"/>
          </w:rPr>
          <w:t>9.3.</w:t>
        </w:r>
        <w:r w:rsidR="003146BC" w:rsidRPr="003146BC">
          <w:rPr>
            <w:rFonts w:asciiTheme="minorHAnsi" w:eastAsiaTheme="minorEastAsia" w:hAnsiTheme="minorHAnsi" w:cstheme="minorBidi"/>
            <w:sz w:val="24"/>
            <w:szCs w:val="24"/>
          </w:rPr>
          <w:tab/>
        </w:r>
        <w:r w:rsidR="003146BC" w:rsidRPr="003146BC">
          <w:rPr>
            <w:rStyle w:val="a4"/>
            <w:sz w:val="24"/>
            <w:szCs w:val="24"/>
          </w:rPr>
          <w:t>Конгрессно-выставочная деятельность</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_Toc385339851 \h </w:instrText>
        </w:r>
        <w:r w:rsidRPr="003146BC">
          <w:rPr>
            <w:webHidden/>
            <w:sz w:val="24"/>
            <w:szCs w:val="24"/>
          </w:rPr>
        </w:r>
        <w:r w:rsidRPr="003146BC">
          <w:rPr>
            <w:webHidden/>
            <w:sz w:val="24"/>
            <w:szCs w:val="24"/>
          </w:rPr>
          <w:fldChar w:fldCharType="separate"/>
        </w:r>
        <w:r w:rsidR="00535215">
          <w:rPr>
            <w:webHidden/>
            <w:sz w:val="24"/>
            <w:szCs w:val="24"/>
          </w:rPr>
          <w:t>270</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52" w:history="1">
        <w:r w:rsidR="003146BC" w:rsidRPr="003146BC">
          <w:rPr>
            <w:rStyle w:val="a4"/>
            <w:sz w:val="24"/>
            <w:szCs w:val="24"/>
          </w:rPr>
          <w:t>9.4.</w:t>
        </w:r>
        <w:r w:rsidR="003146BC" w:rsidRPr="003146BC">
          <w:rPr>
            <w:rFonts w:asciiTheme="minorHAnsi" w:eastAsiaTheme="minorEastAsia" w:hAnsiTheme="minorHAnsi" w:cstheme="minorBidi"/>
            <w:sz w:val="24"/>
            <w:szCs w:val="24"/>
          </w:rPr>
          <w:tab/>
        </w:r>
        <w:r w:rsidR="003146BC" w:rsidRPr="003146BC">
          <w:rPr>
            <w:rStyle w:val="a4"/>
            <w:sz w:val="24"/>
            <w:szCs w:val="24"/>
          </w:rPr>
          <w:t>Социальные коммуникации</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_Toc385339852 \h </w:instrText>
        </w:r>
        <w:r w:rsidRPr="003146BC">
          <w:rPr>
            <w:webHidden/>
            <w:sz w:val="24"/>
            <w:szCs w:val="24"/>
          </w:rPr>
        </w:r>
        <w:r w:rsidRPr="003146BC">
          <w:rPr>
            <w:webHidden/>
            <w:sz w:val="24"/>
            <w:szCs w:val="24"/>
          </w:rPr>
          <w:fldChar w:fldCharType="separate"/>
        </w:r>
        <w:r w:rsidR="00535215">
          <w:rPr>
            <w:webHidden/>
            <w:sz w:val="24"/>
            <w:szCs w:val="24"/>
          </w:rPr>
          <w:t>270</w:t>
        </w:r>
        <w:r w:rsidRPr="003146BC">
          <w:rPr>
            <w:webHidden/>
            <w:sz w:val="24"/>
            <w:szCs w:val="24"/>
          </w:rPr>
          <w:fldChar w:fldCharType="end"/>
        </w:r>
      </w:hyperlink>
    </w:p>
    <w:p w:rsidR="003146BC" w:rsidRPr="003146BC" w:rsidRDefault="00EA456F">
      <w:pPr>
        <w:pStyle w:val="13"/>
        <w:rPr>
          <w:rFonts w:asciiTheme="minorHAnsi" w:eastAsiaTheme="minorEastAsia" w:hAnsiTheme="minorHAnsi" w:cstheme="minorBidi"/>
          <w:noProof/>
          <w:sz w:val="24"/>
          <w:szCs w:val="24"/>
          <w:lang w:eastAsia="ru-RU"/>
        </w:rPr>
      </w:pPr>
      <w:hyperlink w:anchor="_Toc385339853" w:history="1">
        <w:r w:rsidR="003146BC" w:rsidRPr="003146BC">
          <w:rPr>
            <w:rStyle w:val="a4"/>
            <w:noProof/>
            <w:sz w:val="24"/>
            <w:szCs w:val="24"/>
            <w:lang w:eastAsia="ru-RU"/>
          </w:rPr>
          <w:t>10.</w:t>
        </w:r>
        <w:r w:rsidR="003146BC" w:rsidRPr="003146BC">
          <w:rPr>
            <w:rFonts w:asciiTheme="minorHAnsi" w:eastAsiaTheme="minorEastAsia" w:hAnsiTheme="minorHAnsi" w:cstheme="minorBidi"/>
            <w:noProof/>
            <w:sz w:val="24"/>
            <w:szCs w:val="24"/>
            <w:lang w:eastAsia="ru-RU"/>
          </w:rPr>
          <w:tab/>
        </w:r>
        <w:r w:rsidR="003146BC" w:rsidRPr="003146BC">
          <w:rPr>
            <w:rStyle w:val="a4"/>
            <w:noProof/>
            <w:sz w:val="24"/>
            <w:szCs w:val="24"/>
            <w:lang w:eastAsia="ru-RU"/>
          </w:rPr>
          <w:t>Глоссарий основных понятий и сокращений</w:t>
        </w:r>
        <w:r w:rsidR="003146BC" w:rsidRPr="003146BC">
          <w:rPr>
            <w:noProof/>
            <w:webHidden/>
            <w:sz w:val="24"/>
            <w:szCs w:val="24"/>
          </w:rPr>
          <w:tab/>
        </w:r>
        <w:r w:rsidRPr="003146BC">
          <w:rPr>
            <w:noProof/>
            <w:webHidden/>
            <w:sz w:val="24"/>
            <w:szCs w:val="24"/>
          </w:rPr>
          <w:fldChar w:fldCharType="begin"/>
        </w:r>
        <w:r w:rsidR="003146BC" w:rsidRPr="003146BC">
          <w:rPr>
            <w:noProof/>
            <w:webHidden/>
            <w:sz w:val="24"/>
            <w:szCs w:val="24"/>
          </w:rPr>
          <w:instrText xml:space="preserve"> PAGEREF _Toc385339853 \h </w:instrText>
        </w:r>
        <w:r w:rsidRPr="003146BC">
          <w:rPr>
            <w:noProof/>
            <w:webHidden/>
            <w:sz w:val="24"/>
            <w:szCs w:val="24"/>
          </w:rPr>
        </w:r>
        <w:r w:rsidRPr="003146BC">
          <w:rPr>
            <w:noProof/>
            <w:webHidden/>
            <w:sz w:val="24"/>
            <w:szCs w:val="24"/>
          </w:rPr>
          <w:fldChar w:fldCharType="separate"/>
        </w:r>
        <w:r w:rsidR="00535215">
          <w:rPr>
            <w:noProof/>
            <w:webHidden/>
            <w:sz w:val="24"/>
            <w:szCs w:val="24"/>
          </w:rPr>
          <w:t>276</w:t>
        </w:r>
        <w:r w:rsidRPr="003146BC">
          <w:rPr>
            <w:noProof/>
            <w:webHidden/>
            <w:sz w:val="24"/>
            <w:szCs w:val="24"/>
          </w:rPr>
          <w:fldChar w:fldCharType="end"/>
        </w:r>
      </w:hyperlink>
    </w:p>
    <w:p w:rsidR="003146BC" w:rsidRPr="003146BC" w:rsidRDefault="00EA456F">
      <w:pPr>
        <w:pStyle w:val="13"/>
        <w:rPr>
          <w:rFonts w:asciiTheme="minorHAnsi" w:eastAsiaTheme="minorEastAsia" w:hAnsiTheme="minorHAnsi" w:cstheme="minorBidi"/>
          <w:noProof/>
          <w:sz w:val="24"/>
          <w:szCs w:val="24"/>
          <w:lang w:eastAsia="ru-RU"/>
        </w:rPr>
      </w:pPr>
      <w:hyperlink w:anchor="_Toc385339854" w:history="1">
        <w:r w:rsidR="003146BC" w:rsidRPr="003146BC">
          <w:rPr>
            <w:rStyle w:val="a4"/>
            <w:noProof/>
            <w:sz w:val="24"/>
            <w:szCs w:val="24"/>
            <w:lang w:eastAsia="ru-RU"/>
          </w:rPr>
          <w:t>11.</w:t>
        </w:r>
        <w:r w:rsidR="003146BC" w:rsidRPr="003146BC">
          <w:rPr>
            <w:rFonts w:asciiTheme="minorHAnsi" w:eastAsiaTheme="minorEastAsia" w:hAnsiTheme="minorHAnsi" w:cstheme="minorBidi"/>
            <w:noProof/>
            <w:sz w:val="24"/>
            <w:szCs w:val="24"/>
            <w:lang w:eastAsia="ru-RU"/>
          </w:rPr>
          <w:tab/>
        </w:r>
        <w:r w:rsidR="003146BC" w:rsidRPr="003146BC">
          <w:rPr>
            <w:rStyle w:val="a4"/>
            <w:noProof/>
            <w:sz w:val="24"/>
            <w:szCs w:val="24"/>
            <w:lang w:eastAsia="ru-RU"/>
          </w:rPr>
          <w:t>Ограничение ответственности</w:t>
        </w:r>
        <w:r w:rsidR="003146BC" w:rsidRPr="003146BC">
          <w:rPr>
            <w:noProof/>
            <w:webHidden/>
            <w:sz w:val="24"/>
            <w:szCs w:val="24"/>
          </w:rPr>
          <w:tab/>
        </w:r>
        <w:r w:rsidRPr="003146BC">
          <w:rPr>
            <w:noProof/>
            <w:webHidden/>
            <w:sz w:val="24"/>
            <w:szCs w:val="24"/>
          </w:rPr>
          <w:fldChar w:fldCharType="begin"/>
        </w:r>
        <w:r w:rsidR="003146BC" w:rsidRPr="003146BC">
          <w:rPr>
            <w:noProof/>
            <w:webHidden/>
            <w:sz w:val="24"/>
            <w:szCs w:val="24"/>
          </w:rPr>
          <w:instrText xml:space="preserve"> PAGEREF _Toc385339854 \h </w:instrText>
        </w:r>
        <w:r w:rsidRPr="003146BC">
          <w:rPr>
            <w:noProof/>
            <w:webHidden/>
            <w:sz w:val="24"/>
            <w:szCs w:val="24"/>
          </w:rPr>
        </w:r>
        <w:r w:rsidRPr="003146BC">
          <w:rPr>
            <w:noProof/>
            <w:webHidden/>
            <w:sz w:val="24"/>
            <w:szCs w:val="24"/>
          </w:rPr>
          <w:fldChar w:fldCharType="separate"/>
        </w:r>
        <w:r w:rsidR="00535215">
          <w:rPr>
            <w:noProof/>
            <w:webHidden/>
            <w:sz w:val="24"/>
            <w:szCs w:val="24"/>
          </w:rPr>
          <w:t>278</w:t>
        </w:r>
        <w:r w:rsidRPr="003146BC">
          <w:rPr>
            <w:noProof/>
            <w:webHidden/>
            <w:sz w:val="24"/>
            <w:szCs w:val="24"/>
          </w:rPr>
          <w:fldChar w:fldCharType="end"/>
        </w:r>
      </w:hyperlink>
    </w:p>
    <w:p w:rsidR="003146BC" w:rsidRPr="003146BC" w:rsidRDefault="00EA456F">
      <w:pPr>
        <w:pStyle w:val="13"/>
        <w:rPr>
          <w:rFonts w:asciiTheme="minorHAnsi" w:eastAsiaTheme="minorEastAsia" w:hAnsiTheme="minorHAnsi" w:cstheme="minorBidi"/>
          <w:noProof/>
          <w:sz w:val="24"/>
          <w:szCs w:val="24"/>
          <w:lang w:eastAsia="ru-RU"/>
        </w:rPr>
      </w:pPr>
      <w:hyperlink w:anchor="_Toc385339855" w:history="1">
        <w:r w:rsidR="003146BC" w:rsidRPr="003146BC">
          <w:rPr>
            <w:rStyle w:val="a4"/>
            <w:noProof/>
            <w:sz w:val="24"/>
            <w:szCs w:val="24"/>
            <w:lang w:eastAsia="ru-RU"/>
          </w:rPr>
          <w:t>12.</w:t>
        </w:r>
        <w:r w:rsidR="003146BC" w:rsidRPr="003146BC">
          <w:rPr>
            <w:rFonts w:asciiTheme="minorHAnsi" w:eastAsiaTheme="minorEastAsia" w:hAnsiTheme="minorHAnsi" w:cstheme="minorBidi"/>
            <w:noProof/>
            <w:sz w:val="24"/>
            <w:szCs w:val="24"/>
            <w:lang w:eastAsia="ru-RU"/>
          </w:rPr>
          <w:tab/>
        </w:r>
        <w:r w:rsidR="003146BC" w:rsidRPr="003146BC">
          <w:rPr>
            <w:rStyle w:val="a4"/>
            <w:noProof/>
            <w:sz w:val="24"/>
            <w:szCs w:val="24"/>
            <w:lang w:eastAsia="ru-RU"/>
          </w:rPr>
          <w:t>Приложения</w:t>
        </w:r>
        <w:r w:rsidR="003146BC" w:rsidRPr="003146BC">
          <w:rPr>
            <w:noProof/>
            <w:webHidden/>
            <w:sz w:val="24"/>
            <w:szCs w:val="24"/>
          </w:rPr>
          <w:tab/>
        </w:r>
        <w:r w:rsidRPr="003146BC">
          <w:rPr>
            <w:noProof/>
            <w:webHidden/>
            <w:sz w:val="24"/>
            <w:szCs w:val="24"/>
          </w:rPr>
          <w:fldChar w:fldCharType="begin"/>
        </w:r>
        <w:r w:rsidR="003146BC" w:rsidRPr="003146BC">
          <w:rPr>
            <w:noProof/>
            <w:webHidden/>
            <w:sz w:val="24"/>
            <w:szCs w:val="24"/>
          </w:rPr>
          <w:instrText xml:space="preserve"> PAGEREF _Toc385339855 \h </w:instrText>
        </w:r>
        <w:r w:rsidRPr="003146BC">
          <w:rPr>
            <w:noProof/>
            <w:webHidden/>
            <w:sz w:val="24"/>
            <w:szCs w:val="24"/>
          </w:rPr>
        </w:r>
        <w:r w:rsidRPr="003146BC">
          <w:rPr>
            <w:noProof/>
            <w:webHidden/>
            <w:sz w:val="24"/>
            <w:szCs w:val="24"/>
          </w:rPr>
          <w:fldChar w:fldCharType="separate"/>
        </w:r>
        <w:r w:rsidR="00535215">
          <w:rPr>
            <w:noProof/>
            <w:webHidden/>
            <w:sz w:val="24"/>
            <w:szCs w:val="24"/>
          </w:rPr>
          <w:t>279</w:t>
        </w:r>
        <w:r w:rsidRPr="003146BC">
          <w:rPr>
            <w:noProof/>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56" w:history="1">
        <w:r w:rsidR="003146BC" w:rsidRPr="003146BC">
          <w:rPr>
            <w:rStyle w:val="a4"/>
            <w:sz w:val="24"/>
            <w:szCs w:val="24"/>
          </w:rPr>
          <w:t>12.1.</w:t>
        </w:r>
        <w:r w:rsidR="003146BC" w:rsidRPr="003146BC">
          <w:rPr>
            <w:rFonts w:asciiTheme="minorHAnsi" w:eastAsiaTheme="minorEastAsia" w:hAnsiTheme="minorHAnsi" w:cstheme="minorBidi"/>
            <w:sz w:val="24"/>
            <w:szCs w:val="24"/>
          </w:rPr>
          <w:tab/>
        </w:r>
        <w:r w:rsidR="003146BC" w:rsidRPr="003146BC">
          <w:rPr>
            <w:rStyle w:val="a4"/>
            <w:sz w:val="24"/>
            <w:szCs w:val="24"/>
          </w:rPr>
          <w:t>Информация в разбивке по регионам деятельности</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_Toc385339856 \h </w:instrText>
        </w:r>
        <w:r w:rsidRPr="003146BC">
          <w:rPr>
            <w:webHidden/>
            <w:sz w:val="24"/>
            <w:szCs w:val="24"/>
          </w:rPr>
        </w:r>
        <w:r w:rsidRPr="003146BC">
          <w:rPr>
            <w:webHidden/>
            <w:sz w:val="24"/>
            <w:szCs w:val="24"/>
          </w:rPr>
          <w:fldChar w:fldCharType="separate"/>
        </w:r>
        <w:r w:rsidR="00535215">
          <w:rPr>
            <w:webHidden/>
            <w:sz w:val="24"/>
            <w:szCs w:val="24"/>
          </w:rPr>
          <w:t>280</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57" w:history="1">
        <w:r w:rsidR="003146BC" w:rsidRPr="003146BC">
          <w:rPr>
            <w:rStyle w:val="a4"/>
            <w:sz w:val="24"/>
            <w:szCs w:val="24"/>
          </w:rPr>
          <w:t>а)</w:t>
        </w:r>
        <w:r w:rsidR="003146BC" w:rsidRPr="003146BC">
          <w:rPr>
            <w:rFonts w:asciiTheme="minorHAnsi" w:eastAsiaTheme="minorEastAsia" w:hAnsiTheme="minorHAnsi" w:cstheme="minorBidi"/>
            <w:sz w:val="24"/>
            <w:szCs w:val="24"/>
          </w:rPr>
          <w:tab/>
        </w:r>
        <w:r w:rsidR="003146BC" w:rsidRPr="003146BC">
          <w:rPr>
            <w:rStyle w:val="a4"/>
            <w:sz w:val="24"/>
            <w:szCs w:val="24"/>
          </w:rPr>
          <w:t>Общие сведения</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_Toc385339857 \h </w:instrText>
        </w:r>
        <w:r w:rsidRPr="003146BC">
          <w:rPr>
            <w:webHidden/>
            <w:sz w:val="24"/>
            <w:szCs w:val="24"/>
          </w:rPr>
        </w:r>
        <w:r w:rsidRPr="003146BC">
          <w:rPr>
            <w:webHidden/>
            <w:sz w:val="24"/>
            <w:szCs w:val="24"/>
          </w:rPr>
          <w:fldChar w:fldCharType="separate"/>
        </w:r>
        <w:r w:rsidR="00535215">
          <w:rPr>
            <w:webHidden/>
            <w:sz w:val="24"/>
            <w:szCs w:val="24"/>
          </w:rPr>
          <w:t>280</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58" w:history="1">
        <w:r w:rsidR="003146BC" w:rsidRPr="003146BC">
          <w:rPr>
            <w:rStyle w:val="a4"/>
            <w:bCs/>
            <w:sz w:val="24"/>
            <w:szCs w:val="24"/>
          </w:rPr>
          <w:t>б)</w:t>
        </w:r>
        <w:r w:rsidR="003146BC" w:rsidRPr="003146BC">
          <w:rPr>
            <w:rFonts w:asciiTheme="minorHAnsi" w:eastAsiaTheme="minorEastAsia" w:hAnsiTheme="minorHAnsi" w:cstheme="minorBidi"/>
            <w:sz w:val="24"/>
            <w:szCs w:val="24"/>
          </w:rPr>
          <w:tab/>
        </w:r>
        <w:r w:rsidR="003146BC" w:rsidRPr="003146BC">
          <w:rPr>
            <w:rStyle w:val="a4"/>
            <w:bCs/>
            <w:sz w:val="24"/>
            <w:szCs w:val="24"/>
          </w:rPr>
          <w:t>Структура и характеристика электросетевых активов</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_Toc385339858 \h </w:instrText>
        </w:r>
        <w:r w:rsidRPr="003146BC">
          <w:rPr>
            <w:webHidden/>
            <w:sz w:val="24"/>
            <w:szCs w:val="24"/>
          </w:rPr>
        </w:r>
        <w:r w:rsidRPr="003146BC">
          <w:rPr>
            <w:webHidden/>
            <w:sz w:val="24"/>
            <w:szCs w:val="24"/>
          </w:rPr>
          <w:fldChar w:fldCharType="separate"/>
        </w:r>
        <w:r w:rsidR="00535215">
          <w:rPr>
            <w:webHidden/>
            <w:sz w:val="24"/>
            <w:szCs w:val="24"/>
          </w:rPr>
          <w:t>281</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59" w:history="1">
        <w:r w:rsidR="003146BC" w:rsidRPr="003146BC">
          <w:rPr>
            <w:rStyle w:val="a4"/>
            <w:sz w:val="24"/>
            <w:szCs w:val="24"/>
          </w:rPr>
          <w:t>в)</w:t>
        </w:r>
        <w:r w:rsidR="003146BC" w:rsidRPr="003146BC">
          <w:rPr>
            <w:rFonts w:asciiTheme="minorHAnsi" w:eastAsiaTheme="minorEastAsia" w:hAnsiTheme="minorHAnsi" w:cstheme="minorBidi"/>
            <w:sz w:val="24"/>
            <w:szCs w:val="24"/>
          </w:rPr>
          <w:tab/>
        </w:r>
        <w:r w:rsidR="003146BC" w:rsidRPr="003146BC">
          <w:rPr>
            <w:rStyle w:val="a4"/>
            <w:sz w:val="24"/>
            <w:szCs w:val="24"/>
          </w:rPr>
          <w:t>Передача и распределение электроэнергии</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_Toc385339859 \h </w:instrText>
        </w:r>
        <w:r w:rsidRPr="003146BC">
          <w:rPr>
            <w:webHidden/>
            <w:sz w:val="24"/>
            <w:szCs w:val="24"/>
          </w:rPr>
        </w:r>
        <w:r w:rsidRPr="003146BC">
          <w:rPr>
            <w:webHidden/>
            <w:sz w:val="24"/>
            <w:szCs w:val="24"/>
          </w:rPr>
          <w:fldChar w:fldCharType="separate"/>
        </w:r>
        <w:r w:rsidR="00535215">
          <w:rPr>
            <w:webHidden/>
            <w:sz w:val="24"/>
            <w:szCs w:val="24"/>
          </w:rPr>
          <w:t>282</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60" w:history="1">
        <w:r w:rsidR="003146BC" w:rsidRPr="003146BC">
          <w:rPr>
            <w:rStyle w:val="a4"/>
            <w:sz w:val="24"/>
            <w:szCs w:val="24"/>
          </w:rPr>
          <w:t>г)</w:t>
        </w:r>
        <w:r w:rsidR="003146BC" w:rsidRPr="003146BC">
          <w:rPr>
            <w:rFonts w:asciiTheme="minorHAnsi" w:eastAsiaTheme="minorEastAsia" w:hAnsiTheme="minorHAnsi" w:cstheme="minorBidi"/>
            <w:sz w:val="24"/>
            <w:szCs w:val="24"/>
          </w:rPr>
          <w:tab/>
        </w:r>
        <w:r w:rsidR="003146BC" w:rsidRPr="003146BC">
          <w:rPr>
            <w:rStyle w:val="a4"/>
            <w:sz w:val="24"/>
            <w:szCs w:val="24"/>
          </w:rPr>
          <w:t>Энергосбережение и повышение энергоэффективности</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_Toc385339860 \h </w:instrText>
        </w:r>
        <w:r w:rsidRPr="003146BC">
          <w:rPr>
            <w:webHidden/>
            <w:sz w:val="24"/>
            <w:szCs w:val="24"/>
          </w:rPr>
        </w:r>
        <w:r w:rsidRPr="003146BC">
          <w:rPr>
            <w:webHidden/>
            <w:sz w:val="24"/>
            <w:szCs w:val="24"/>
          </w:rPr>
          <w:fldChar w:fldCharType="separate"/>
        </w:r>
        <w:r w:rsidR="00535215">
          <w:rPr>
            <w:webHidden/>
            <w:sz w:val="24"/>
            <w:szCs w:val="24"/>
          </w:rPr>
          <w:t>283</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61" w:history="1">
        <w:r w:rsidR="003146BC" w:rsidRPr="003146BC">
          <w:rPr>
            <w:rStyle w:val="a4"/>
            <w:sz w:val="24"/>
            <w:szCs w:val="24"/>
          </w:rPr>
          <w:t>д)</w:t>
        </w:r>
        <w:r w:rsidR="003146BC" w:rsidRPr="003146BC">
          <w:rPr>
            <w:rFonts w:asciiTheme="minorHAnsi" w:eastAsiaTheme="minorEastAsia" w:hAnsiTheme="minorHAnsi" w:cstheme="minorBidi"/>
            <w:sz w:val="24"/>
            <w:szCs w:val="24"/>
          </w:rPr>
          <w:tab/>
        </w:r>
        <w:r w:rsidR="003146BC" w:rsidRPr="003146BC">
          <w:rPr>
            <w:rStyle w:val="a4"/>
            <w:sz w:val="24"/>
            <w:szCs w:val="24"/>
          </w:rPr>
          <w:t>Технологическое присоединение</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_Toc385339861 \h </w:instrText>
        </w:r>
        <w:r w:rsidRPr="003146BC">
          <w:rPr>
            <w:webHidden/>
            <w:sz w:val="24"/>
            <w:szCs w:val="24"/>
          </w:rPr>
        </w:r>
        <w:r w:rsidRPr="003146BC">
          <w:rPr>
            <w:webHidden/>
            <w:sz w:val="24"/>
            <w:szCs w:val="24"/>
          </w:rPr>
          <w:fldChar w:fldCharType="separate"/>
        </w:r>
        <w:r w:rsidR="00535215">
          <w:rPr>
            <w:webHidden/>
            <w:sz w:val="24"/>
            <w:szCs w:val="24"/>
          </w:rPr>
          <w:t>284</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62" w:history="1">
        <w:r w:rsidR="003146BC" w:rsidRPr="003146BC">
          <w:rPr>
            <w:rStyle w:val="a4"/>
            <w:sz w:val="24"/>
            <w:szCs w:val="24"/>
          </w:rPr>
          <w:t>е)</w:t>
        </w:r>
        <w:r w:rsidR="003146BC" w:rsidRPr="003146BC">
          <w:rPr>
            <w:rFonts w:asciiTheme="minorHAnsi" w:eastAsiaTheme="minorEastAsia" w:hAnsiTheme="minorHAnsi" w:cstheme="minorBidi"/>
            <w:sz w:val="24"/>
            <w:szCs w:val="24"/>
          </w:rPr>
          <w:tab/>
        </w:r>
        <w:r w:rsidR="003146BC" w:rsidRPr="003146BC">
          <w:rPr>
            <w:rStyle w:val="a4"/>
            <w:sz w:val="24"/>
            <w:szCs w:val="24"/>
          </w:rPr>
          <w:t>Основные результаты финансово-экономической деятельности по РСБУ</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_Toc385339862 \h </w:instrText>
        </w:r>
        <w:r w:rsidRPr="003146BC">
          <w:rPr>
            <w:webHidden/>
            <w:sz w:val="24"/>
            <w:szCs w:val="24"/>
          </w:rPr>
        </w:r>
        <w:r w:rsidRPr="003146BC">
          <w:rPr>
            <w:webHidden/>
            <w:sz w:val="24"/>
            <w:szCs w:val="24"/>
          </w:rPr>
          <w:fldChar w:fldCharType="separate"/>
        </w:r>
        <w:r w:rsidR="00535215">
          <w:rPr>
            <w:webHidden/>
            <w:sz w:val="24"/>
            <w:szCs w:val="24"/>
          </w:rPr>
          <w:t>286</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63" w:history="1">
        <w:r w:rsidR="003146BC" w:rsidRPr="003146BC">
          <w:rPr>
            <w:rStyle w:val="a4"/>
            <w:sz w:val="24"/>
            <w:szCs w:val="24"/>
          </w:rPr>
          <w:t>ж)</w:t>
        </w:r>
        <w:r w:rsidR="003146BC" w:rsidRPr="003146BC">
          <w:rPr>
            <w:rFonts w:asciiTheme="minorHAnsi" w:eastAsiaTheme="minorEastAsia" w:hAnsiTheme="minorHAnsi" w:cstheme="minorBidi"/>
            <w:sz w:val="24"/>
            <w:szCs w:val="24"/>
          </w:rPr>
          <w:tab/>
        </w:r>
        <w:r w:rsidR="003146BC" w:rsidRPr="003146BC">
          <w:rPr>
            <w:rStyle w:val="a4"/>
            <w:sz w:val="24"/>
            <w:szCs w:val="24"/>
          </w:rPr>
          <w:t>Инвестиционная деятельность</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_Toc385339863 \h </w:instrText>
        </w:r>
        <w:r w:rsidRPr="003146BC">
          <w:rPr>
            <w:webHidden/>
            <w:sz w:val="24"/>
            <w:szCs w:val="24"/>
          </w:rPr>
        </w:r>
        <w:r w:rsidRPr="003146BC">
          <w:rPr>
            <w:webHidden/>
            <w:sz w:val="24"/>
            <w:szCs w:val="24"/>
          </w:rPr>
          <w:fldChar w:fldCharType="separate"/>
        </w:r>
        <w:r w:rsidR="00535215">
          <w:rPr>
            <w:webHidden/>
            <w:sz w:val="24"/>
            <w:szCs w:val="24"/>
          </w:rPr>
          <w:t>288</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64" w:history="1">
        <w:r w:rsidR="003146BC" w:rsidRPr="003146BC">
          <w:rPr>
            <w:rStyle w:val="a4"/>
            <w:sz w:val="24"/>
            <w:szCs w:val="24"/>
          </w:rPr>
          <w:t>з)</w:t>
        </w:r>
        <w:r w:rsidR="003146BC" w:rsidRPr="003146BC">
          <w:rPr>
            <w:rFonts w:asciiTheme="minorHAnsi" w:eastAsiaTheme="minorEastAsia" w:hAnsiTheme="minorHAnsi" w:cstheme="minorBidi"/>
            <w:sz w:val="24"/>
            <w:szCs w:val="24"/>
          </w:rPr>
          <w:tab/>
        </w:r>
        <w:r w:rsidR="003146BC" w:rsidRPr="003146BC">
          <w:rPr>
            <w:rStyle w:val="a4"/>
            <w:sz w:val="24"/>
            <w:szCs w:val="24"/>
          </w:rPr>
          <w:t>Тарифная политика</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_Toc385339864 \h </w:instrText>
        </w:r>
        <w:r w:rsidRPr="003146BC">
          <w:rPr>
            <w:webHidden/>
            <w:sz w:val="24"/>
            <w:szCs w:val="24"/>
          </w:rPr>
        </w:r>
        <w:r w:rsidRPr="003146BC">
          <w:rPr>
            <w:webHidden/>
            <w:sz w:val="24"/>
            <w:szCs w:val="24"/>
          </w:rPr>
          <w:fldChar w:fldCharType="separate"/>
        </w:r>
        <w:r w:rsidR="00535215">
          <w:rPr>
            <w:webHidden/>
            <w:sz w:val="24"/>
            <w:szCs w:val="24"/>
          </w:rPr>
          <w:t>289</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65" w:history="1">
        <w:r w:rsidR="003146BC" w:rsidRPr="003146BC">
          <w:rPr>
            <w:rStyle w:val="a4"/>
            <w:sz w:val="24"/>
            <w:szCs w:val="24"/>
          </w:rPr>
          <w:t>и)</w:t>
        </w:r>
        <w:r w:rsidR="003146BC" w:rsidRPr="003146BC">
          <w:rPr>
            <w:rFonts w:asciiTheme="minorHAnsi" w:eastAsiaTheme="minorEastAsia" w:hAnsiTheme="minorHAnsi" w:cstheme="minorBidi"/>
            <w:sz w:val="24"/>
            <w:szCs w:val="24"/>
          </w:rPr>
          <w:tab/>
        </w:r>
        <w:r w:rsidR="003146BC" w:rsidRPr="003146BC">
          <w:rPr>
            <w:rStyle w:val="a4"/>
            <w:sz w:val="24"/>
            <w:szCs w:val="24"/>
          </w:rPr>
          <w:t>Управление персоналом</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_Toc385339865 \h </w:instrText>
        </w:r>
        <w:r w:rsidRPr="003146BC">
          <w:rPr>
            <w:webHidden/>
            <w:sz w:val="24"/>
            <w:szCs w:val="24"/>
          </w:rPr>
        </w:r>
        <w:r w:rsidRPr="003146BC">
          <w:rPr>
            <w:webHidden/>
            <w:sz w:val="24"/>
            <w:szCs w:val="24"/>
          </w:rPr>
          <w:fldChar w:fldCharType="separate"/>
        </w:r>
        <w:r w:rsidR="00535215">
          <w:rPr>
            <w:webHidden/>
            <w:sz w:val="24"/>
            <w:szCs w:val="24"/>
          </w:rPr>
          <w:t>291</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66" w:history="1">
        <w:r w:rsidR="003146BC" w:rsidRPr="003146BC">
          <w:rPr>
            <w:rStyle w:val="a4"/>
            <w:sz w:val="24"/>
            <w:szCs w:val="24"/>
          </w:rPr>
          <w:t>12.2.</w:t>
        </w:r>
        <w:r w:rsidR="003146BC" w:rsidRPr="003146BC">
          <w:rPr>
            <w:rFonts w:asciiTheme="minorHAnsi" w:eastAsiaTheme="minorEastAsia" w:hAnsiTheme="minorHAnsi" w:cstheme="minorBidi"/>
            <w:sz w:val="24"/>
            <w:szCs w:val="24"/>
          </w:rPr>
          <w:tab/>
        </w:r>
        <w:r w:rsidR="003146BC" w:rsidRPr="003146BC">
          <w:rPr>
            <w:rStyle w:val="a4"/>
            <w:sz w:val="24"/>
            <w:szCs w:val="24"/>
          </w:rPr>
          <w:t>Информация об участии членов органов управления в заседаниях</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_Toc385339866 \h </w:instrText>
        </w:r>
        <w:r w:rsidRPr="003146BC">
          <w:rPr>
            <w:webHidden/>
            <w:sz w:val="24"/>
            <w:szCs w:val="24"/>
          </w:rPr>
        </w:r>
        <w:r w:rsidRPr="003146BC">
          <w:rPr>
            <w:webHidden/>
            <w:sz w:val="24"/>
            <w:szCs w:val="24"/>
          </w:rPr>
          <w:fldChar w:fldCharType="separate"/>
        </w:r>
        <w:r w:rsidR="00535215">
          <w:rPr>
            <w:webHidden/>
            <w:sz w:val="24"/>
            <w:szCs w:val="24"/>
          </w:rPr>
          <w:t>293</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67" w:history="1">
        <w:r w:rsidR="003146BC" w:rsidRPr="003146BC">
          <w:rPr>
            <w:rStyle w:val="a4"/>
            <w:sz w:val="24"/>
            <w:szCs w:val="24"/>
          </w:rPr>
          <w:t>12.3.</w:t>
        </w:r>
        <w:r w:rsidR="003146BC" w:rsidRPr="003146BC">
          <w:rPr>
            <w:rFonts w:asciiTheme="minorHAnsi" w:eastAsiaTheme="minorEastAsia" w:hAnsiTheme="minorHAnsi" w:cstheme="minorBidi"/>
            <w:sz w:val="24"/>
            <w:szCs w:val="24"/>
          </w:rPr>
          <w:tab/>
        </w:r>
        <w:r w:rsidR="003146BC" w:rsidRPr="003146BC">
          <w:rPr>
            <w:rStyle w:val="a4"/>
            <w:sz w:val="24"/>
            <w:szCs w:val="24"/>
          </w:rPr>
          <w:t>Подробная информация о членах органов управления и контроля</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_Toc385339867 \h </w:instrText>
        </w:r>
        <w:r w:rsidRPr="003146BC">
          <w:rPr>
            <w:webHidden/>
            <w:sz w:val="24"/>
            <w:szCs w:val="24"/>
          </w:rPr>
        </w:r>
        <w:r w:rsidRPr="003146BC">
          <w:rPr>
            <w:webHidden/>
            <w:sz w:val="24"/>
            <w:szCs w:val="24"/>
          </w:rPr>
          <w:fldChar w:fldCharType="separate"/>
        </w:r>
        <w:r w:rsidR="00535215">
          <w:rPr>
            <w:webHidden/>
            <w:sz w:val="24"/>
            <w:szCs w:val="24"/>
          </w:rPr>
          <w:t>299</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68" w:history="1">
        <w:r w:rsidR="003146BC" w:rsidRPr="003146BC">
          <w:rPr>
            <w:rStyle w:val="a4"/>
            <w:sz w:val="24"/>
            <w:szCs w:val="24"/>
          </w:rPr>
          <w:t>а)</w:t>
        </w:r>
        <w:r w:rsidR="003146BC" w:rsidRPr="003146BC">
          <w:rPr>
            <w:rFonts w:asciiTheme="minorHAnsi" w:eastAsiaTheme="minorEastAsia" w:hAnsiTheme="minorHAnsi" w:cstheme="minorBidi"/>
            <w:sz w:val="24"/>
            <w:szCs w:val="24"/>
          </w:rPr>
          <w:tab/>
        </w:r>
        <w:r w:rsidR="003146BC" w:rsidRPr="003146BC">
          <w:rPr>
            <w:rStyle w:val="a4"/>
            <w:sz w:val="24"/>
            <w:szCs w:val="24"/>
          </w:rPr>
          <w:t>Совет директоров</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_Toc385339868 \h </w:instrText>
        </w:r>
        <w:r w:rsidRPr="003146BC">
          <w:rPr>
            <w:webHidden/>
            <w:sz w:val="24"/>
            <w:szCs w:val="24"/>
          </w:rPr>
        </w:r>
        <w:r w:rsidRPr="003146BC">
          <w:rPr>
            <w:webHidden/>
            <w:sz w:val="24"/>
            <w:szCs w:val="24"/>
          </w:rPr>
          <w:fldChar w:fldCharType="separate"/>
        </w:r>
        <w:r w:rsidR="00535215">
          <w:rPr>
            <w:webHidden/>
            <w:sz w:val="24"/>
            <w:szCs w:val="24"/>
          </w:rPr>
          <w:t>299</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69" w:history="1">
        <w:r w:rsidR="003146BC" w:rsidRPr="003146BC">
          <w:rPr>
            <w:rStyle w:val="a4"/>
            <w:sz w:val="24"/>
            <w:szCs w:val="24"/>
          </w:rPr>
          <w:t>б)</w:t>
        </w:r>
        <w:r w:rsidR="003146BC" w:rsidRPr="003146BC">
          <w:rPr>
            <w:rFonts w:asciiTheme="minorHAnsi" w:eastAsiaTheme="minorEastAsia" w:hAnsiTheme="minorHAnsi" w:cstheme="minorBidi"/>
            <w:sz w:val="24"/>
            <w:szCs w:val="24"/>
          </w:rPr>
          <w:tab/>
        </w:r>
        <w:r w:rsidR="003146BC" w:rsidRPr="003146BC">
          <w:rPr>
            <w:rStyle w:val="a4"/>
            <w:sz w:val="24"/>
            <w:szCs w:val="24"/>
          </w:rPr>
          <w:t>Генеральный директор</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_Toc385339869 \h </w:instrText>
        </w:r>
        <w:r w:rsidRPr="003146BC">
          <w:rPr>
            <w:webHidden/>
            <w:sz w:val="24"/>
            <w:szCs w:val="24"/>
          </w:rPr>
        </w:r>
        <w:r w:rsidRPr="003146BC">
          <w:rPr>
            <w:webHidden/>
            <w:sz w:val="24"/>
            <w:szCs w:val="24"/>
          </w:rPr>
          <w:fldChar w:fldCharType="separate"/>
        </w:r>
        <w:r w:rsidR="00535215">
          <w:rPr>
            <w:webHidden/>
            <w:sz w:val="24"/>
            <w:szCs w:val="24"/>
          </w:rPr>
          <w:t>308</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70" w:history="1">
        <w:r w:rsidR="003146BC" w:rsidRPr="003146BC">
          <w:rPr>
            <w:rStyle w:val="a4"/>
            <w:sz w:val="24"/>
            <w:szCs w:val="24"/>
          </w:rPr>
          <w:t>в)</w:t>
        </w:r>
        <w:r w:rsidR="003146BC" w:rsidRPr="003146BC">
          <w:rPr>
            <w:rFonts w:asciiTheme="minorHAnsi" w:eastAsiaTheme="minorEastAsia" w:hAnsiTheme="minorHAnsi" w:cstheme="minorBidi"/>
            <w:sz w:val="24"/>
            <w:szCs w:val="24"/>
          </w:rPr>
          <w:tab/>
        </w:r>
        <w:r w:rsidR="003146BC" w:rsidRPr="003146BC">
          <w:rPr>
            <w:rStyle w:val="a4"/>
            <w:sz w:val="24"/>
            <w:szCs w:val="24"/>
          </w:rPr>
          <w:t>Правление</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_Toc385339870 \h </w:instrText>
        </w:r>
        <w:r w:rsidRPr="003146BC">
          <w:rPr>
            <w:webHidden/>
            <w:sz w:val="24"/>
            <w:szCs w:val="24"/>
          </w:rPr>
        </w:r>
        <w:r w:rsidRPr="003146BC">
          <w:rPr>
            <w:webHidden/>
            <w:sz w:val="24"/>
            <w:szCs w:val="24"/>
          </w:rPr>
          <w:fldChar w:fldCharType="separate"/>
        </w:r>
        <w:r w:rsidR="00535215">
          <w:rPr>
            <w:webHidden/>
            <w:sz w:val="24"/>
            <w:szCs w:val="24"/>
          </w:rPr>
          <w:t>308</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71" w:history="1">
        <w:r w:rsidR="003146BC" w:rsidRPr="003146BC">
          <w:rPr>
            <w:rStyle w:val="a4"/>
            <w:sz w:val="24"/>
            <w:szCs w:val="24"/>
          </w:rPr>
          <w:t>г)</w:t>
        </w:r>
        <w:r w:rsidR="003146BC" w:rsidRPr="003146BC">
          <w:rPr>
            <w:rFonts w:asciiTheme="minorHAnsi" w:eastAsiaTheme="minorEastAsia" w:hAnsiTheme="minorHAnsi" w:cstheme="minorBidi"/>
            <w:sz w:val="24"/>
            <w:szCs w:val="24"/>
          </w:rPr>
          <w:tab/>
        </w:r>
        <w:r w:rsidR="003146BC" w:rsidRPr="003146BC">
          <w:rPr>
            <w:rStyle w:val="a4"/>
            <w:sz w:val="24"/>
            <w:szCs w:val="24"/>
          </w:rPr>
          <w:t>Ревизионная комиссия</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_Toc385339871 \h </w:instrText>
        </w:r>
        <w:r w:rsidRPr="003146BC">
          <w:rPr>
            <w:webHidden/>
            <w:sz w:val="24"/>
            <w:szCs w:val="24"/>
          </w:rPr>
        </w:r>
        <w:r w:rsidRPr="003146BC">
          <w:rPr>
            <w:webHidden/>
            <w:sz w:val="24"/>
            <w:szCs w:val="24"/>
          </w:rPr>
          <w:fldChar w:fldCharType="separate"/>
        </w:r>
        <w:r w:rsidR="00535215">
          <w:rPr>
            <w:webHidden/>
            <w:sz w:val="24"/>
            <w:szCs w:val="24"/>
          </w:rPr>
          <w:t>316</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72" w:history="1">
        <w:r w:rsidR="003146BC" w:rsidRPr="003146BC">
          <w:rPr>
            <w:rStyle w:val="a4"/>
            <w:sz w:val="24"/>
            <w:szCs w:val="24"/>
          </w:rPr>
          <w:t>12.4.</w:t>
        </w:r>
        <w:r w:rsidR="003146BC" w:rsidRPr="003146BC">
          <w:rPr>
            <w:rFonts w:asciiTheme="minorHAnsi" w:eastAsiaTheme="minorEastAsia" w:hAnsiTheme="minorHAnsi" w:cstheme="minorBidi"/>
            <w:sz w:val="24"/>
            <w:szCs w:val="24"/>
          </w:rPr>
          <w:tab/>
        </w:r>
        <w:r w:rsidR="003146BC" w:rsidRPr="003146BC">
          <w:rPr>
            <w:rStyle w:val="a4"/>
            <w:sz w:val="24"/>
            <w:szCs w:val="24"/>
          </w:rPr>
          <w:t>Сведения о соблюдении Кодекса корпоративного поведения</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_Toc385339872 \h </w:instrText>
        </w:r>
        <w:r w:rsidRPr="003146BC">
          <w:rPr>
            <w:webHidden/>
            <w:sz w:val="24"/>
            <w:szCs w:val="24"/>
          </w:rPr>
        </w:r>
        <w:r w:rsidRPr="003146BC">
          <w:rPr>
            <w:webHidden/>
            <w:sz w:val="24"/>
            <w:szCs w:val="24"/>
          </w:rPr>
          <w:fldChar w:fldCharType="separate"/>
        </w:r>
        <w:r w:rsidR="00535215">
          <w:rPr>
            <w:webHidden/>
            <w:sz w:val="24"/>
            <w:szCs w:val="24"/>
          </w:rPr>
          <w:t>321</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73" w:history="1">
        <w:r w:rsidR="003146BC" w:rsidRPr="003146BC">
          <w:rPr>
            <w:rStyle w:val="a4"/>
            <w:sz w:val="24"/>
            <w:szCs w:val="24"/>
          </w:rPr>
          <w:t>12.5.</w:t>
        </w:r>
        <w:r w:rsidR="003146BC" w:rsidRPr="003146BC">
          <w:rPr>
            <w:rFonts w:asciiTheme="minorHAnsi" w:eastAsiaTheme="minorEastAsia" w:hAnsiTheme="minorHAnsi" w:cstheme="minorBidi"/>
            <w:sz w:val="24"/>
            <w:szCs w:val="24"/>
          </w:rPr>
          <w:tab/>
        </w:r>
        <w:r w:rsidR="003146BC" w:rsidRPr="003146BC">
          <w:rPr>
            <w:rStyle w:val="a4"/>
            <w:sz w:val="24"/>
            <w:szCs w:val="24"/>
          </w:rPr>
          <w:t>Хроника совершенных за 2013 году сделок</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_Toc385339873 \h </w:instrText>
        </w:r>
        <w:r w:rsidRPr="003146BC">
          <w:rPr>
            <w:webHidden/>
            <w:sz w:val="24"/>
            <w:szCs w:val="24"/>
          </w:rPr>
        </w:r>
        <w:r w:rsidRPr="003146BC">
          <w:rPr>
            <w:webHidden/>
            <w:sz w:val="24"/>
            <w:szCs w:val="24"/>
          </w:rPr>
          <w:fldChar w:fldCharType="separate"/>
        </w:r>
        <w:r w:rsidR="00535215">
          <w:rPr>
            <w:webHidden/>
            <w:sz w:val="24"/>
            <w:szCs w:val="24"/>
          </w:rPr>
          <w:t>334</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74" w:history="1">
        <w:r w:rsidR="003146BC" w:rsidRPr="003146BC">
          <w:rPr>
            <w:rStyle w:val="a4"/>
            <w:sz w:val="24"/>
            <w:szCs w:val="24"/>
          </w:rPr>
          <w:t>12.6.</w:t>
        </w:r>
        <w:r w:rsidR="003146BC" w:rsidRPr="003146BC">
          <w:rPr>
            <w:rFonts w:asciiTheme="minorHAnsi" w:eastAsiaTheme="minorEastAsia" w:hAnsiTheme="minorHAnsi" w:cstheme="minorBidi"/>
            <w:sz w:val="24"/>
            <w:szCs w:val="24"/>
          </w:rPr>
          <w:tab/>
        </w:r>
        <w:r w:rsidR="003146BC" w:rsidRPr="003146BC">
          <w:rPr>
            <w:rStyle w:val="a4"/>
            <w:sz w:val="24"/>
            <w:szCs w:val="24"/>
          </w:rPr>
          <w:t>Установленные тарифы на услуги по передаче электроэнергии</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_Toc385339874 \h </w:instrText>
        </w:r>
        <w:r w:rsidRPr="003146BC">
          <w:rPr>
            <w:webHidden/>
            <w:sz w:val="24"/>
            <w:szCs w:val="24"/>
          </w:rPr>
        </w:r>
        <w:r w:rsidRPr="003146BC">
          <w:rPr>
            <w:webHidden/>
            <w:sz w:val="24"/>
            <w:szCs w:val="24"/>
          </w:rPr>
          <w:fldChar w:fldCharType="separate"/>
        </w:r>
        <w:r w:rsidR="00535215">
          <w:rPr>
            <w:webHidden/>
            <w:sz w:val="24"/>
            <w:szCs w:val="24"/>
          </w:rPr>
          <w:t>338</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75" w:history="1">
        <w:r w:rsidR="003146BC" w:rsidRPr="003146BC">
          <w:rPr>
            <w:rStyle w:val="a4"/>
            <w:sz w:val="24"/>
            <w:szCs w:val="24"/>
          </w:rPr>
          <w:t>12.7.</w:t>
        </w:r>
        <w:r w:rsidR="003146BC" w:rsidRPr="003146BC">
          <w:rPr>
            <w:rFonts w:asciiTheme="minorHAnsi" w:eastAsiaTheme="minorEastAsia" w:hAnsiTheme="minorHAnsi" w:cstheme="minorBidi"/>
            <w:sz w:val="24"/>
            <w:szCs w:val="24"/>
          </w:rPr>
          <w:tab/>
        </w:r>
        <w:r w:rsidR="003146BC" w:rsidRPr="003146BC">
          <w:rPr>
            <w:rStyle w:val="a4"/>
            <w:sz w:val="24"/>
            <w:szCs w:val="24"/>
          </w:rPr>
          <w:t>Установленные ставки платы за технологическое присоединение</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_Toc385339875 \h </w:instrText>
        </w:r>
        <w:r w:rsidRPr="003146BC">
          <w:rPr>
            <w:webHidden/>
            <w:sz w:val="24"/>
            <w:szCs w:val="24"/>
          </w:rPr>
        </w:r>
        <w:r w:rsidRPr="003146BC">
          <w:rPr>
            <w:webHidden/>
            <w:sz w:val="24"/>
            <w:szCs w:val="24"/>
          </w:rPr>
          <w:fldChar w:fldCharType="separate"/>
        </w:r>
        <w:r w:rsidR="00535215">
          <w:rPr>
            <w:webHidden/>
            <w:sz w:val="24"/>
            <w:szCs w:val="24"/>
          </w:rPr>
          <w:t>340</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76" w:history="1">
        <w:r w:rsidR="003146BC" w:rsidRPr="003146BC">
          <w:rPr>
            <w:rStyle w:val="a4"/>
            <w:sz w:val="24"/>
            <w:szCs w:val="24"/>
          </w:rPr>
          <w:t>12.8.</w:t>
        </w:r>
        <w:r w:rsidR="003146BC" w:rsidRPr="003146BC">
          <w:rPr>
            <w:rFonts w:asciiTheme="minorHAnsi" w:eastAsiaTheme="minorEastAsia" w:hAnsiTheme="minorHAnsi" w:cstheme="minorBidi"/>
            <w:sz w:val="24"/>
            <w:szCs w:val="24"/>
          </w:rPr>
          <w:tab/>
        </w:r>
        <w:r w:rsidR="003146BC" w:rsidRPr="003146BC">
          <w:rPr>
            <w:rStyle w:val="a4"/>
            <w:sz w:val="24"/>
            <w:szCs w:val="24"/>
          </w:rPr>
          <w:t>Значимые объекты инвестиционной программы, введенные в эксплуатацию в 2013 году</w:t>
        </w:r>
        <w:r w:rsidR="003146BC" w:rsidRPr="003146BC">
          <w:rPr>
            <w:webHidden/>
            <w:sz w:val="24"/>
            <w:szCs w:val="24"/>
          </w:rPr>
          <w:tab/>
        </w:r>
        <w:r w:rsid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_Toc385339876 \h </w:instrText>
        </w:r>
        <w:r w:rsidRPr="003146BC">
          <w:rPr>
            <w:webHidden/>
            <w:sz w:val="24"/>
            <w:szCs w:val="24"/>
          </w:rPr>
        </w:r>
        <w:r w:rsidRPr="003146BC">
          <w:rPr>
            <w:webHidden/>
            <w:sz w:val="24"/>
            <w:szCs w:val="24"/>
          </w:rPr>
          <w:fldChar w:fldCharType="separate"/>
        </w:r>
        <w:r w:rsidR="00535215">
          <w:rPr>
            <w:webHidden/>
            <w:sz w:val="24"/>
            <w:szCs w:val="24"/>
          </w:rPr>
          <w:t>344</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77" w:history="1">
        <w:r w:rsidR="003146BC" w:rsidRPr="003146BC">
          <w:rPr>
            <w:rStyle w:val="a4"/>
            <w:sz w:val="24"/>
            <w:szCs w:val="24"/>
          </w:rPr>
          <w:t>12.9.</w:t>
        </w:r>
        <w:r w:rsidR="003146BC" w:rsidRPr="003146BC">
          <w:rPr>
            <w:rFonts w:asciiTheme="minorHAnsi" w:eastAsiaTheme="minorEastAsia" w:hAnsiTheme="minorHAnsi" w:cstheme="minorBidi"/>
            <w:sz w:val="24"/>
            <w:szCs w:val="24"/>
          </w:rPr>
          <w:tab/>
        </w:r>
        <w:r w:rsidR="003146BC" w:rsidRPr="003146BC">
          <w:rPr>
            <w:rStyle w:val="a4"/>
            <w:sz w:val="24"/>
            <w:szCs w:val="24"/>
          </w:rPr>
          <w:t>Значимые проекты инвестиционной программы, начатые в 2013 году</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_Toc385339877 \h </w:instrText>
        </w:r>
        <w:r w:rsidRPr="003146BC">
          <w:rPr>
            <w:webHidden/>
            <w:sz w:val="24"/>
            <w:szCs w:val="24"/>
          </w:rPr>
        </w:r>
        <w:r w:rsidRPr="003146BC">
          <w:rPr>
            <w:webHidden/>
            <w:sz w:val="24"/>
            <w:szCs w:val="24"/>
          </w:rPr>
          <w:fldChar w:fldCharType="separate"/>
        </w:r>
        <w:r w:rsidR="00535215">
          <w:rPr>
            <w:webHidden/>
            <w:sz w:val="24"/>
            <w:szCs w:val="24"/>
          </w:rPr>
          <w:t>346</w:t>
        </w:r>
        <w:r w:rsidRPr="003146BC">
          <w:rPr>
            <w:webHidden/>
            <w:sz w:val="24"/>
            <w:szCs w:val="24"/>
          </w:rPr>
          <w:fldChar w:fldCharType="end"/>
        </w:r>
      </w:hyperlink>
    </w:p>
    <w:p w:rsidR="003146BC" w:rsidRPr="003146BC" w:rsidRDefault="00EA456F">
      <w:pPr>
        <w:pStyle w:val="22"/>
        <w:tabs>
          <w:tab w:val="left" w:pos="1540"/>
        </w:tabs>
        <w:rPr>
          <w:rFonts w:asciiTheme="minorHAnsi" w:eastAsiaTheme="minorEastAsia" w:hAnsiTheme="minorHAnsi" w:cstheme="minorBidi"/>
          <w:sz w:val="24"/>
          <w:szCs w:val="24"/>
        </w:rPr>
      </w:pPr>
      <w:hyperlink w:anchor="_Toc385339878" w:history="1">
        <w:r w:rsidR="003146BC" w:rsidRPr="003146BC">
          <w:rPr>
            <w:rStyle w:val="a4"/>
            <w:sz w:val="24"/>
            <w:szCs w:val="24"/>
          </w:rPr>
          <w:t>12.10.</w:t>
        </w:r>
        <w:r w:rsidR="003146BC" w:rsidRPr="003146BC">
          <w:rPr>
            <w:rFonts w:asciiTheme="minorHAnsi" w:eastAsiaTheme="minorEastAsia" w:hAnsiTheme="minorHAnsi" w:cstheme="minorBidi"/>
            <w:sz w:val="24"/>
            <w:szCs w:val="24"/>
          </w:rPr>
          <w:tab/>
        </w:r>
        <w:r w:rsidR="003146BC" w:rsidRPr="003146BC">
          <w:rPr>
            <w:rStyle w:val="a4"/>
            <w:sz w:val="24"/>
            <w:szCs w:val="24"/>
          </w:rPr>
          <w:t>Бухгалтерская отчетность за 2013 год, подготовленная в соответствии с РСБУ</w:t>
        </w:r>
        <w:r w:rsidR="003146BC" w:rsidRPr="003146BC">
          <w:rPr>
            <w:webHidden/>
            <w:sz w:val="24"/>
            <w:szCs w:val="24"/>
          </w:rPr>
          <w:tab/>
        </w:r>
        <w:r w:rsidR="003146BC">
          <w:rPr>
            <w:webHidden/>
            <w:sz w:val="24"/>
            <w:szCs w:val="24"/>
          </w:rPr>
          <w:tab/>
        </w:r>
        <w:r w:rsidR="003146BC">
          <w:rPr>
            <w:webHidden/>
            <w:sz w:val="24"/>
            <w:szCs w:val="24"/>
          </w:rPr>
          <w:tab/>
        </w:r>
        <w:r w:rsid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_Toc385339878 \h </w:instrText>
        </w:r>
        <w:r w:rsidRPr="003146BC">
          <w:rPr>
            <w:webHidden/>
            <w:sz w:val="24"/>
            <w:szCs w:val="24"/>
          </w:rPr>
        </w:r>
        <w:r w:rsidRPr="003146BC">
          <w:rPr>
            <w:webHidden/>
            <w:sz w:val="24"/>
            <w:szCs w:val="24"/>
          </w:rPr>
          <w:fldChar w:fldCharType="separate"/>
        </w:r>
        <w:r w:rsidR="00535215">
          <w:rPr>
            <w:webHidden/>
            <w:sz w:val="24"/>
            <w:szCs w:val="24"/>
          </w:rPr>
          <w:t>347</w:t>
        </w:r>
        <w:r w:rsidRPr="003146BC">
          <w:rPr>
            <w:webHidden/>
            <w:sz w:val="24"/>
            <w:szCs w:val="24"/>
          </w:rPr>
          <w:fldChar w:fldCharType="end"/>
        </w:r>
      </w:hyperlink>
    </w:p>
    <w:p w:rsidR="003146BC" w:rsidRPr="003146BC" w:rsidRDefault="00EA456F">
      <w:pPr>
        <w:pStyle w:val="22"/>
        <w:tabs>
          <w:tab w:val="left" w:pos="1540"/>
        </w:tabs>
        <w:rPr>
          <w:rFonts w:asciiTheme="minorHAnsi" w:eastAsiaTheme="minorEastAsia" w:hAnsiTheme="minorHAnsi" w:cstheme="minorBidi"/>
          <w:sz w:val="24"/>
          <w:szCs w:val="24"/>
        </w:rPr>
      </w:pPr>
      <w:hyperlink w:anchor="_Toc385339879" w:history="1">
        <w:r w:rsidR="003146BC" w:rsidRPr="003146BC">
          <w:rPr>
            <w:rStyle w:val="a4"/>
            <w:bCs/>
            <w:kern w:val="32"/>
            <w:sz w:val="24"/>
            <w:szCs w:val="24"/>
          </w:rPr>
          <w:t>12.11.</w:t>
        </w:r>
        <w:r w:rsidR="003146BC" w:rsidRPr="003146BC">
          <w:rPr>
            <w:rFonts w:asciiTheme="minorHAnsi" w:eastAsiaTheme="minorEastAsia" w:hAnsiTheme="minorHAnsi" w:cstheme="minorBidi"/>
            <w:sz w:val="24"/>
            <w:szCs w:val="24"/>
          </w:rPr>
          <w:tab/>
        </w:r>
        <w:r w:rsidR="003146BC" w:rsidRPr="003146BC">
          <w:rPr>
            <w:rStyle w:val="a4"/>
            <w:sz w:val="24"/>
            <w:szCs w:val="24"/>
          </w:rPr>
          <w:t>Аудиторское заключение</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_Toc385339879 \h </w:instrText>
        </w:r>
        <w:r w:rsidRPr="003146BC">
          <w:rPr>
            <w:webHidden/>
            <w:sz w:val="24"/>
            <w:szCs w:val="24"/>
          </w:rPr>
        </w:r>
        <w:r w:rsidRPr="003146BC">
          <w:rPr>
            <w:webHidden/>
            <w:sz w:val="24"/>
            <w:szCs w:val="24"/>
          </w:rPr>
          <w:fldChar w:fldCharType="separate"/>
        </w:r>
        <w:r w:rsidR="00535215">
          <w:rPr>
            <w:webHidden/>
            <w:sz w:val="24"/>
            <w:szCs w:val="24"/>
          </w:rPr>
          <w:t>348</w:t>
        </w:r>
        <w:r w:rsidRPr="003146BC">
          <w:rPr>
            <w:webHidden/>
            <w:sz w:val="24"/>
            <w:szCs w:val="24"/>
          </w:rPr>
          <w:fldChar w:fldCharType="end"/>
        </w:r>
      </w:hyperlink>
    </w:p>
    <w:p w:rsidR="003146BC" w:rsidRPr="003146BC" w:rsidRDefault="00EA456F">
      <w:pPr>
        <w:pStyle w:val="13"/>
        <w:rPr>
          <w:rFonts w:asciiTheme="minorHAnsi" w:eastAsiaTheme="minorEastAsia" w:hAnsiTheme="minorHAnsi" w:cstheme="minorBidi"/>
          <w:noProof/>
          <w:sz w:val="24"/>
          <w:szCs w:val="24"/>
          <w:lang w:eastAsia="ru-RU"/>
        </w:rPr>
      </w:pPr>
      <w:hyperlink w:anchor="_Toc385339880" w:history="1">
        <w:r w:rsidR="003146BC" w:rsidRPr="003146BC">
          <w:rPr>
            <w:rStyle w:val="a4"/>
            <w:noProof/>
            <w:sz w:val="24"/>
            <w:szCs w:val="24"/>
            <w:lang w:eastAsia="ru-RU"/>
          </w:rPr>
          <w:t>13.</w:t>
        </w:r>
        <w:r w:rsidR="003146BC" w:rsidRPr="003146BC">
          <w:rPr>
            <w:rFonts w:asciiTheme="minorHAnsi" w:eastAsiaTheme="minorEastAsia" w:hAnsiTheme="minorHAnsi" w:cstheme="minorBidi"/>
            <w:noProof/>
            <w:sz w:val="24"/>
            <w:szCs w:val="24"/>
            <w:lang w:eastAsia="ru-RU"/>
          </w:rPr>
          <w:tab/>
        </w:r>
        <w:r w:rsidR="003146BC" w:rsidRPr="003146BC">
          <w:rPr>
            <w:rStyle w:val="a4"/>
            <w:noProof/>
            <w:sz w:val="24"/>
            <w:szCs w:val="24"/>
            <w:lang w:eastAsia="ru-RU"/>
          </w:rPr>
          <w:t>Контактная информация</w:t>
        </w:r>
        <w:r w:rsidR="003146BC" w:rsidRPr="003146BC">
          <w:rPr>
            <w:noProof/>
            <w:webHidden/>
            <w:sz w:val="24"/>
            <w:szCs w:val="24"/>
          </w:rPr>
          <w:tab/>
        </w:r>
        <w:r w:rsidRPr="003146BC">
          <w:rPr>
            <w:noProof/>
            <w:webHidden/>
            <w:sz w:val="24"/>
            <w:szCs w:val="24"/>
          </w:rPr>
          <w:fldChar w:fldCharType="begin"/>
        </w:r>
        <w:r w:rsidR="003146BC" w:rsidRPr="003146BC">
          <w:rPr>
            <w:noProof/>
            <w:webHidden/>
            <w:sz w:val="24"/>
            <w:szCs w:val="24"/>
          </w:rPr>
          <w:instrText xml:space="preserve"> PAGEREF _Toc385339880 \h </w:instrText>
        </w:r>
        <w:r w:rsidRPr="003146BC">
          <w:rPr>
            <w:noProof/>
            <w:webHidden/>
            <w:sz w:val="24"/>
            <w:szCs w:val="24"/>
          </w:rPr>
        </w:r>
        <w:r w:rsidRPr="003146BC">
          <w:rPr>
            <w:noProof/>
            <w:webHidden/>
            <w:sz w:val="24"/>
            <w:szCs w:val="24"/>
          </w:rPr>
          <w:fldChar w:fldCharType="separate"/>
        </w:r>
        <w:r w:rsidR="00535215">
          <w:rPr>
            <w:noProof/>
            <w:webHidden/>
            <w:sz w:val="24"/>
            <w:szCs w:val="24"/>
          </w:rPr>
          <w:t>349</w:t>
        </w:r>
        <w:r w:rsidRPr="003146BC">
          <w:rPr>
            <w:noProof/>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81" w:history="1">
        <w:r w:rsidR="003146BC" w:rsidRPr="003146BC">
          <w:rPr>
            <w:rStyle w:val="a4"/>
            <w:sz w:val="24"/>
            <w:szCs w:val="24"/>
          </w:rPr>
          <w:t>13.1.</w:t>
        </w:r>
        <w:r w:rsidR="003146BC" w:rsidRPr="003146BC">
          <w:rPr>
            <w:rFonts w:asciiTheme="minorHAnsi" w:eastAsiaTheme="minorEastAsia" w:hAnsiTheme="minorHAnsi" w:cstheme="minorBidi"/>
            <w:sz w:val="24"/>
            <w:szCs w:val="24"/>
          </w:rPr>
          <w:tab/>
        </w:r>
        <w:r w:rsidR="003146BC" w:rsidRPr="003146BC">
          <w:rPr>
            <w:rStyle w:val="a4"/>
            <w:sz w:val="24"/>
            <w:szCs w:val="24"/>
          </w:rPr>
          <w:t>Общая информация</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_Toc385339881 \h </w:instrText>
        </w:r>
        <w:r w:rsidRPr="003146BC">
          <w:rPr>
            <w:webHidden/>
            <w:sz w:val="24"/>
            <w:szCs w:val="24"/>
          </w:rPr>
        </w:r>
        <w:r w:rsidRPr="003146BC">
          <w:rPr>
            <w:webHidden/>
            <w:sz w:val="24"/>
            <w:szCs w:val="24"/>
          </w:rPr>
          <w:fldChar w:fldCharType="separate"/>
        </w:r>
        <w:r w:rsidR="00535215">
          <w:rPr>
            <w:webHidden/>
            <w:sz w:val="24"/>
            <w:szCs w:val="24"/>
          </w:rPr>
          <w:t>349</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82" w:history="1">
        <w:r w:rsidR="003146BC" w:rsidRPr="003146BC">
          <w:rPr>
            <w:rStyle w:val="a4"/>
            <w:sz w:val="24"/>
            <w:szCs w:val="24"/>
          </w:rPr>
          <w:t>13.2.</w:t>
        </w:r>
        <w:r w:rsidR="003146BC" w:rsidRPr="003146BC">
          <w:rPr>
            <w:rFonts w:asciiTheme="minorHAnsi" w:eastAsiaTheme="minorEastAsia" w:hAnsiTheme="minorHAnsi" w:cstheme="minorBidi"/>
            <w:sz w:val="24"/>
            <w:szCs w:val="24"/>
          </w:rPr>
          <w:tab/>
        </w:r>
        <w:r w:rsidR="003146BC" w:rsidRPr="003146BC">
          <w:rPr>
            <w:rStyle w:val="a4"/>
            <w:sz w:val="24"/>
            <w:szCs w:val="24"/>
          </w:rPr>
          <w:t>Информация об аудиторе</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_Toc385339882 \h </w:instrText>
        </w:r>
        <w:r w:rsidRPr="003146BC">
          <w:rPr>
            <w:webHidden/>
            <w:sz w:val="24"/>
            <w:szCs w:val="24"/>
          </w:rPr>
        </w:r>
        <w:r w:rsidRPr="003146BC">
          <w:rPr>
            <w:webHidden/>
            <w:sz w:val="24"/>
            <w:szCs w:val="24"/>
          </w:rPr>
          <w:fldChar w:fldCharType="separate"/>
        </w:r>
        <w:r w:rsidR="00535215">
          <w:rPr>
            <w:webHidden/>
            <w:sz w:val="24"/>
            <w:szCs w:val="24"/>
          </w:rPr>
          <w:t>350</w:t>
        </w:r>
        <w:r w:rsidRPr="003146BC">
          <w:rPr>
            <w:webHidden/>
            <w:sz w:val="24"/>
            <w:szCs w:val="24"/>
          </w:rPr>
          <w:fldChar w:fldCharType="end"/>
        </w:r>
      </w:hyperlink>
    </w:p>
    <w:p w:rsidR="003146BC" w:rsidRPr="003146BC" w:rsidRDefault="00EA456F">
      <w:pPr>
        <w:pStyle w:val="22"/>
        <w:rPr>
          <w:rFonts w:asciiTheme="minorHAnsi" w:eastAsiaTheme="minorEastAsia" w:hAnsiTheme="minorHAnsi" w:cstheme="minorBidi"/>
          <w:sz w:val="24"/>
          <w:szCs w:val="24"/>
        </w:rPr>
      </w:pPr>
      <w:hyperlink w:anchor="_Toc385339883" w:history="1">
        <w:r w:rsidR="003146BC" w:rsidRPr="003146BC">
          <w:rPr>
            <w:rStyle w:val="a4"/>
            <w:sz w:val="24"/>
            <w:szCs w:val="24"/>
          </w:rPr>
          <w:t>13.3.</w:t>
        </w:r>
        <w:r w:rsidR="003146BC" w:rsidRPr="003146BC">
          <w:rPr>
            <w:rFonts w:asciiTheme="minorHAnsi" w:eastAsiaTheme="minorEastAsia" w:hAnsiTheme="minorHAnsi" w:cstheme="minorBidi"/>
            <w:sz w:val="24"/>
            <w:szCs w:val="24"/>
          </w:rPr>
          <w:tab/>
        </w:r>
        <w:r w:rsidR="003146BC" w:rsidRPr="003146BC">
          <w:rPr>
            <w:rStyle w:val="a4"/>
            <w:sz w:val="24"/>
            <w:szCs w:val="24"/>
          </w:rPr>
          <w:t>Информация о регистраторе</w:t>
        </w:r>
        <w:r w:rsidR="003146BC" w:rsidRPr="003146BC">
          <w:rPr>
            <w:webHidden/>
            <w:sz w:val="24"/>
            <w:szCs w:val="24"/>
          </w:rPr>
          <w:tab/>
        </w:r>
        <w:r w:rsidRPr="003146BC">
          <w:rPr>
            <w:webHidden/>
            <w:sz w:val="24"/>
            <w:szCs w:val="24"/>
          </w:rPr>
          <w:fldChar w:fldCharType="begin"/>
        </w:r>
        <w:r w:rsidR="003146BC" w:rsidRPr="003146BC">
          <w:rPr>
            <w:webHidden/>
            <w:sz w:val="24"/>
            <w:szCs w:val="24"/>
          </w:rPr>
          <w:instrText xml:space="preserve"> PAGEREF _Toc385339883 \h </w:instrText>
        </w:r>
        <w:r w:rsidRPr="003146BC">
          <w:rPr>
            <w:webHidden/>
            <w:sz w:val="24"/>
            <w:szCs w:val="24"/>
          </w:rPr>
        </w:r>
        <w:r w:rsidRPr="003146BC">
          <w:rPr>
            <w:webHidden/>
            <w:sz w:val="24"/>
            <w:szCs w:val="24"/>
          </w:rPr>
          <w:fldChar w:fldCharType="separate"/>
        </w:r>
        <w:r w:rsidR="00535215">
          <w:rPr>
            <w:webHidden/>
            <w:sz w:val="24"/>
            <w:szCs w:val="24"/>
          </w:rPr>
          <w:t>351</w:t>
        </w:r>
        <w:r w:rsidRPr="003146BC">
          <w:rPr>
            <w:webHidden/>
            <w:sz w:val="24"/>
            <w:szCs w:val="24"/>
          </w:rPr>
          <w:fldChar w:fldCharType="end"/>
        </w:r>
      </w:hyperlink>
    </w:p>
    <w:p w:rsidR="00A05E17" w:rsidRPr="006F23E7" w:rsidRDefault="00EA456F" w:rsidP="00A05E17">
      <w:pPr>
        <w:tabs>
          <w:tab w:val="left" w:pos="567"/>
        </w:tabs>
        <w:rPr>
          <w:sz w:val="24"/>
          <w:szCs w:val="24"/>
        </w:rPr>
      </w:pPr>
      <w:r w:rsidRPr="003146BC">
        <w:rPr>
          <w:sz w:val="24"/>
          <w:szCs w:val="24"/>
        </w:rPr>
        <w:fldChar w:fldCharType="end"/>
      </w:r>
      <w:bookmarkStart w:id="7" w:name="_Toc380576889"/>
      <w:r w:rsidR="00A05E17" w:rsidRPr="006F23E7">
        <w:rPr>
          <w:sz w:val="24"/>
          <w:szCs w:val="24"/>
        </w:rPr>
        <w:br w:type="page"/>
      </w:r>
    </w:p>
    <w:p w:rsidR="00E34ACB" w:rsidRPr="00A05E17" w:rsidRDefault="00E34ACB" w:rsidP="007076A7">
      <w:pPr>
        <w:pStyle w:val="11"/>
        <w:numPr>
          <w:ilvl w:val="0"/>
          <w:numId w:val="322"/>
        </w:numPr>
        <w:spacing w:before="120" w:after="120"/>
        <w:ind w:left="1066" w:hanging="357"/>
        <w:rPr>
          <w:rFonts w:ascii="Times New Roman" w:hAnsi="Times New Roman"/>
          <w:sz w:val="26"/>
          <w:szCs w:val="26"/>
        </w:rPr>
      </w:pPr>
      <w:bookmarkStart w:id="8" w:name="_Toc385339788"/>
      <w:r w:rsidRPr="00A05E17">
        <w:rPr>
          <w:rFonts w:ascii="Times New Roman" w:hAnsi="Times New Roman"/>
          <w:sz w:val="26"/>
          <w:szCs w:val="26"/>
          <w:lang w:eastAsia="ru-RU"/>
        </w:rPr>
        <w:lastRenderedPageBreak/>
        <w:t>Основные</w:t>
      </w:r>
      <w:r w:rsidRPr="00A05E17">
        <w:rPr>
          <w:rFonts w:ascii="Times New Roman" w:hAnsi="Times New Roman"/>
          <w:sz w:val="26"/>
          <w:szCs w:val="26"/>
        </w:rPr>
        <w:t xml:space="preserve"> результаты деятельности</w:t>
      </w:r>
      <w:bookmarkEnd w:id="7"/>
      <w:bookmarkEnd w:id="8"/>
    </w:p>
    <w:tbl>
      <w:tblPr>
        <w:tblW w:w="10043" w:type="dxa"/>
        <w:tblInd w:w="95" w:type="dxa"/>
        <w:tblLook w:val="04A0"/>
      </w:tblPr>
      <w:tblGrid>
        <w:gridCol w:w="568"/>
        <w:gridCol w:w="3273"/>
        <w:gridCol w:w="1950"/>
        <w:gridCol w:w="1043"/>
        <w:gridCol w:w="1043"/>
        <w:gridCol w:w="1043"/>
        <w:gridCol w:w="1123"/>
      </w:tblGrid>
      <w:tr w:rsidR="00F050AA" w:rsidRPr="004761E0" w:rsidTr="00F050AA">
        <w:trPr>
          <w:trHeight w:val="300"/>
        </w:trPr>
        <w:tc>
          <w:tcPr>
            <w:tcW w:w="568"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F050AA" w:rsidRPr="004761E0" w:rsidRDefault="00F050AA" w:rsidP="00F050AA">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xml:space="preserve">№ </w:t>
            </w:r>
            <w:proofErr w:type="gramStart"/>
            <w:r w:rsidRPr="004761E0">
              <w:rPr>
                <w:rFonts w:eastAsia="Times New Roman"/>
                <w:b/>
                <w:color w:val="FFFFFF" w:themeColor="background1"/>
                <w:sz w:val="20"/>
                <w:szCs w:val="20"/>
                <w:lang w:eastAsia="ru-RU"/>
              </w:rPr>
              <w:t>п</w:t>
            </w:r>
            <w:proofErr w:type="gramEnd"/>
            <w:r w:rsidRPr="004761E0">
              <w:rPr>
                <w:rFonts w:eastAsia="Times New Roman"/>
                <w:b/>
                <w:color w:val="FFFFFF" w:themeColor="background1"/>
                <w:sz w:val="20"/>
                <w:szCs w:val="20"/>
                <w:lang w:eastAsia="ru-RU"/>
              </w:rPr>
              <w:t>/п</w:t>
            </w:r>
          </w:p>
        </w:tc>
        <w:tc>
          <w:tcPr>
            <w:tcW w:w="327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F050AA" w:rsidRPr="004761E0" w:rsidRDefault="00F050AA" w:rsidP="00F050AA">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95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F050AA" w:rsidRPr="004761E0" w:rsidRDefault="00F050AA" w:rsidP="00F050AA">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Ед. изм.</w:t>
            </w:r>
          </w:p>
        </w:tc>
        <w:tc>
          <w:tcPr>
            <w:tcW w:w="104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F050AA" w:rsidRPr="004761E0" w:rsidRDefault="00F050AA" w:rsidP="00F050AA">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04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F050AA" w:rsidRPr="004761E0" w:rsidRDefault="00F050AA" w:rsidP="00F050AA">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04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F050AA" w:rsidRPr="004761E0" w:rsidRDefault="00F050AA" w:rsidP="00F050AA">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23"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F050AA" w:rsidRPr="004761E0" w:rsidRDefault="00F050AA" w:rsidP="00F050AA">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041561" w:rsidRPr="004761E0" w:rsidTr="00605C86">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041561" w:rsidRPr="004761E0" w:rsidRDefault="00041561" w:rsidP="007076A7">
            <w:pPr>
              <w:numPr>
                <w:ilvl w:val="0"/>
                <w:numId w:val="113"/>
              </w:numPr>
              <w:jc w:val="left"/>
              <w:rPr>
                <w:rFonts w:eastAsia="Times New Roman"/>
                <w:color w:val="000000"/>
                <w:sz w:val="20"/>
                <w:szCs w:val="20"/>
                <w:lang w:eastAsia="ru-RU"/>
              </w:rPr>
            </w:pPr>
          </w:p>
        </w:tc>
        <w:tc>
          <w:tcPr>
            <w:tcW w:w="9475" w:type="dxa"/>
            <w:gridSpan w:val="6"/>
            <w:tcBorders>
              <w:top w:val="nil"/>
              <w:left w:val="nil"/>
              <w:bottom w:val="single" w:sz="4" w:space="0" w:color="auto"/>
              <w:right w:val="single" w:sz="4" w:space="0" w:color="auto"/>
            </w:tcBorders>
            <w:shd w:val="clear" w:color="auto" w:fill="auto"/>
            <w:vAlign w:val="center"/>
            <w:hideMark/>
          </w:tcPr>
          <w:p w:rsidR="00041561" w:rsidRPr="004761E0" w:rsidRDefault="00041561" w:rsidP="00041561">
            <w:pPr>
              <w:ind w:firstLine="0"/>
              <w:jc w:val="left"/>
              <w:rPr>
                <w:rFonts w:eastAsia="Times New Roman"/>
                <w:color w:val="000000"/>
                <w:sz w:val="20"/>
                <w:szCs w:val="20"/>
                <w:lang w:eastAsia="ru-RU"/>
              </w:rPr>
            </w:pPr>
            <w:r w:rsidRPr="004761E0">
              <w:rPr>
                <w:rFonts w:eastAsia="Times New Roman"/>
                <w:color w:val="000000"/>
                <w:sz w:val="20"/>
                <w:szCs w:val="20"/>
                <w:lang w:eastAsia="ru-RU"/>
              </w:rPr>
              <w:t>EBITDA</w:t>
            </w:r>
          </w:p>
        </w:tc>
      </w:tr>
      <w:tr w:rsidR="006A0727" w:rsidRPr="004761E0" w:rsidTr="006A0727">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6A0727" w:rsidRPr="004761E0" w:rsidRDefault="006A0727" w:rsidP="007076A7">
            <w:pPr>
              <w:pStyle w:val="a5"/>
              <w:numPr>
                <w:ilvl w:val="1"/>
                <w:numId w:val="113"/>
              </w:numPr>
              <w:jc w:val="left"/>
              <w:rPr>
                <w:rFonts w:eastAsia="Times New Roman"/>
                <w:color w:val="000000"/>
                <w:sz w:val="20"/>
                <w:szCs w:val="20"/>
                <w:lang w:eastAsia="ru-RU"/>
              </w:rPr>
            </w:pPr>
          </w:p>
        </w:tc>
        <w:tc>
          <w:tcPr>
            <w:tcW w:w="3273" w:type="dxa"/>
            <w:tcBorders>
              <w:top w:val="nil"/>
              <w:left w:val="nil"/>
              <w:bottom w:val="single" w:sz="4" w:space="0" w:color="auto"/>
              <w:right w:val="single" w:sz="4" w:space="0" w:color="auto"/>
            </w:tcBorders>
            <w:shd w:val="clear" w:color="auto" w:fill="auto"/>
            <w:vAlign w:val="center"/>
            <w:hideMark/>
          </w:tcPr>
          <w:p w:rsidR="006A0727" w:rsidRPr="004761E0" w:rsidRDefault="006A0727" w:rsidP="00F050AA">
            <w:pPr>
              <w:ind w:firstLine="471"/>
              <w:jc w:val="left"/>
              <w:rPr>
                <w:rFonts w:eastAsia="Times New Roman"/>
                <w:color w:val="000000"/>
                <w:sz w:val="20"/>
                <w:szCs w:val="20"/>
                <w:lang w:eastAsia="ru-RU"/>
              </w:rPr>
            </w:pPr>
            <w:r w:rsidRPr="004761E0">
              <w:rPr>
                <w:rFonts w:eastAsia="Times New Roman"/>
                <w:color w:val="000000"/>
                <w:sz w:val="20"/>
                <w:szCs w:val="20"/>
                <w:lang w:eastAsia="ru-RU"/>
              </w:rPr>
              <w:t>по РСБУ</w:t>
            </w:r>
          </w:p>
        </w:tc>
        <w:tc>
          <w:tcPr>
            <w:tcW w:w="1950" w:type="dxa"/>
            <w:tcBorders>
              <w:top w:val="single" w:sz="4" w:space="0" w:color="auto"/>
              <w:left w:val="nil"/>
              <w:bottom w:val="single" w:sz="4" w:space="0" w:color="auto"/>
              <w:right w:val="single" w:sz="4" w:space="0" w:color="auto"/>
            </w:tcBorders>
            <w:vAlign w:val="center"/>
          </w:tcPr>
          <w:p w:rsidR="006A0727" w:rsidRPr="004761E0" w:rsidRDefault="006A0727" w:rsidP="00F050AA">
            <w:pPr>
              <w:ind w:firstLine="0"/>
              <w:jc w:val="right"/>
              <w:rPr>
                <w:rFonts w:eastAsia="Times New Roman"/>
                <w:color w:val="000000"/>
                <w:sz w:val="20"/>
                <w:szCs w:val="20"/>
                <w:lang w:eastAsia="ru-RU"/>
              </w:rPr>
            </w:pPr>
            <w:proofErr w:type="gramStart"/>
            <w:r w:rsidRPr="004761E0">
              <w:rPr>
                <w:rFonts w:eastAsia="Times New Roman"/>
                <w:color w:val="000000"/>
                <w:sz w:val="20"/>
                <w:szCs w:val="20"/>
                <w:lang w:eastAsia="ru-RU"/>
              </w:rPr>
              <w:t>млн</w:t>
            </w:r>
            <w:proofErr w:type="gramEnd"/>
            <w:r w:rsidRPr="004761E0">
              <w:rPr>
                <w:rFonts w:eastAsia="Times New Roman"/>
                <w:color w:val="000000"/>
                <w:sz w:val="20"/>
                <w:szCs w:val="20"/>
                <w:lang w:eastAsia="ru-RU"/>
              </w:rPr>
              <w:t xml:space="preserve"> руб.</w:t>
            </w:r>
          </w:p>
        </w:tc>
        <w:tc>
          <w:tcPr>
            <w:tcW w:w="1043" w:type="dxa"/>
            <w:tcBorders>
              <w:top w:val="nil"/>
              <w:left w:val="single" w:sz="4" w:space="0" w:color="auto"/>
              <w:bottom w:val="single" w:sz="4" w:space="0" w:color="auto"/>
              <w:right w:val="single" w:sz="4" w:space="0" w:color="auto"/>
            </w:tcBorders>
            <w:shd w:val="clear" w:color="auto" w:fill="auto"/>
            <w:vAlign w:val="center"/>
            <w:hideMark/>
          </w:tcPr>
          <w:p w:rsidR="006A0727" w:rsidRPr="004761E0" w:rsidRDefault="006A0727" w:rsidP="006A0727">
            <w:pPr>
              <w:ind w:firstLine="0"/>
              <w:jc w:val="right"/>
              <w:rPr>
                <w:rFonts w:eastAsia="Times New Roman"/>
                <w:color w:val="000000"/>
                <w:sz w:val="20"/>
                <w:szCs w:val="20"/>
                <w:lang w:eastAsia="ru-RU"/>
              </w:rPr>
            </w:pPr>
            <w:r w:rsidRPr="004761E0">
              <w:rPr>
                <w:color w:val="000000"/>
                <w:sz w:val="20"/>
                <w:szCs w:val="20"/>
              </w:rPr>
              <w:t>39 578</w:t>
            </w:r>
          </w:p>
        </w:tc>
        <w:tc>
          <w:tcPr>
            <w:tcW w:w="1043" w:type="dxa"/>
            <w:tcBorders>
              <w:top w:val="nil"/>
              <w:left w:val="nil"/>
              <w:bottom w:val="single" w:sz="4" w:space="0" w:color="auto"/>
              <w:right w:val="single" w:sz="4" w:space="0" w:color="auto"/>
            </w:tcBorders>
            <w:shd w:val="clear" w:color="auto" w:fill="auto"/>
            <w:vAlign w:val="center"/>
            <w:hideMark/>
          </w:tcPr>
          <w:p w:rsidR="006A0727" w:rsidRPr="004761E0" w:rsidRDefault="006A0727" w:rsidP="006A0727">
            <w:pPr>
              <w:ind w:firstLine="0"/>
              <w:jc w:val="right"/>
              <w:rPr>
                <w:rFonts w:eastAsia="Times New Roman"/>
                <w:color w:val="000000"/>
                <w:sz w:val="20"/>
                <w:szCs w:val="20"/>
                <w:lang w:eastAsia="ru-RU"/>
              </w:rPr>
            </w:pPr>
            <w:r w:rsidRPr="004761E0">
              <w:rPr>
                <w:color w:val="000000"/>
                <w:sz w:val="20"/>
                <w:szCs w:val="20"/>
              </w:rPr>
              <w:t>41 212</w:t>
            </w:r>
          </w:p>
        </w:tc>
        <w:tc>
          <w:tcPr>
            <w:tcW w:w="1043" w:type="dxa"/>
            <w:tcBorders>
              <w:top w:val="nil"/>
              <w:left w:val="nil"/>
              <w:bottom w:val="single" w:sz="4" w:space="0" w:color="auto"/>
              <w:right w:val="single" w:sz="4" w:space="0" w:color="auto"/>
            </w:tcBorders>
            <w:shd w:val="clear" w:color="auto" w:fill="auto"/>
            <w:vAlign w:val="center"/>
            <w:hideMark/>
          </w:tcPr>
          <w:p w:rsidR="006A0727" w:rsidRPr="004761E0" w:rsidRDefault="006A0727" w:rsidP="006A0727">
            <w:pPr>
              <w:ind w:firstLine="0"/>
              <w:jc w:val="right"/>
              <w:rPr>
                <w:rFonts w:eastAsia="Times New Roman"/>
                <w:color w:val="000000"/>
                <w:sz w:val="20"/>
                <w:szCs w:val="20"/>
                <w:lang w:eastAsia="ru-RU"/>
              </w:rPr>
            </w:pPr>
            <w:r w:rsidRPr="004761E0">
              <w:rPr>
                <w:color w:val="000000"/>
                <w:sz w:val="20"/>
                <w:szCs w:val="20"/>
              </w:rPr>
              <w:t>36 430</w:t>
            </w:r>
          </w:p>
        </w:tc>
        <w:tc>
          <w:tcPr>
            <w:tcW w:w="1123" w:type="dxa"/>
            <w:tcBorders>
              <w:top w:val="nil"/>
              <w:left w:val="nil"/>
              <w:bottom w:val="single" w:sz="4" w:space="0" w:color="auto"/>
              <w:right w:val="single" w:sz="4" w:space="0" w:color="auto"/>
            </w:tcBorders>
            <w:shd w:val="clear" w:color="auto" w:fill="auto"/>
            <w:vAlign w:val="center"/>
            <w:hideMark/>
          </w:tcPr>
          <w:p w:rsidR="006A0727" w:rsidRPr="004761E0" w:rsidRDefault="006A0727" w:rsidP="006A0727">
            <w:pPr>
              <w:ind w:firstLine="0"/>
              <w:jc w:val="right"/>
              <w:rPr>
                <w:rFonts w:eastAsia="Times New Roman"/>
                <w:color w:val="000000"/>
                <w:sz w:val="20"/>
                <w:szCs w:val="20"/>
                <w:lang w:eastAsia="ru-RU"/>
              </w:rPr>
            </w:pPr>
            <w:r w:rsidRPr="004761E0">
              <w:rPr>
                <w:color w:val="000000"/>
                <w:sz w:val="20"/>
                <w:szCs w:val="20"/>
              </w:rPr>
              <w:t>-11,60 %</w:t>
            </w:r>
          </w:p>
        </w:tc>
      </w:tr>
      <w:tr w:rsidR="00A426F9" w:rsidRPr="004761E0" w:rsidTr="00A426F9">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A426F9" w:rsidRPr="004761E0" w:rsidRDefault="00A426F9" w:rsidP="007076A7">
            <w:pPr>
              <w:pStyle w:val="a5"/>
              <w:numPr>
                <w:ilvl w:val="1"/>
                <w:numId w:val="113"/>
              </w:numPr>
              <w:jc w:val="left"/>
              <w:rPr>
                <w:rFonts w:eastAsia="Times New Roman"/>
                <w:color w:val="000000"/>
                <w:sz w:val="20"/>
                <w:szCs w:val="20"/>
                <w:lang w:eastAsia="ru-RU"/>
              </w:rPr>
            </w:pPr>
          </w:p>
        </w:tc>
        <w:tc>
          <w:tcPr>
            <w:tcW w:w="3273" w:type="dxa"/>
            <w:tcBorders>
              <w:top w:val="nil"/>
              <w:left w:val="nil"/>
              <w:bottom w:val="single" w:sz="4" w:space="0" w:color="auto"/>
              <w:right w:val="single" w:sz="4" w:space="0" w:color="auto"/>
            </w:tcBorders>
            <w:shd w:val="clear" w:color="auto" w:fill="auto"/>
            <w:vAlign w:val="center"/>
            <w:hideMark/>
          </w:tcPr>
          <w:p w:rsidR="00A426F9" w:rsidRPr="004761E0" w:rsidRDefault="00A426F9" w:rsidP="00F050AA">
            <w:pPr>
              <w:ind w:firstLine="471"/>
              <w:jc w:val="left"/>
              <w:rPr>
                <w:rFonts w:eastAsia="Times New Roman"/>
                <w:color w:val="000000"/>
                <w:sz w:val="20"/>
                <w:szCs w:val="20"/>
                <w:lang w:eastAsia="ru-RU"/>
              </w:rPr>
            </w:pPr>
            <w:r w:rsidRPr="004761E0">
              <w:rPr>
                <w:rFonts w:eastAsia="Times New Roman"/>
                <w:color w:val="000000"/>
                <w:sz w:val="20"/>
                <w:szCs w:val="20"/>
                <w:lang w:eastAsia="ru-RU"/>
              </w:rPr>
              <w:t>по МСФО</w:t>
            </w:r>
          </w:p>
        </w:tc>
        <w:tc>
          <w:tcPr>
            <w:tcW w:w="1950" w:type="dxa"/>
            <w:tcBorders>
              <w:top w:val="single" w:sz="4" w:space="0" w:color="auto"/>
              <w:left w:val="nil"/>
              <w:bottom w:val="single" w:sz="4" w:space="0" w:color="auto"/>
              <w:right w:val="single" w:sz="4" w:space="0" w:color="auto"/>
            </w:tcBorders>
            <w:vAlign w:val="center"/>
          </w:tcPr>
          <w:p w:rsidR="00A426F9" w:rsidRPr="004761E0" w:rsidRDefault="00A426F9" w:rsidP="00F050AA">
            <w:pPr>
              <w:ind w:firstLine="0"/>
              <w:jc w:val="right"/>
              <w:rPr>
                <w:rFonts w:eastAsia="Times New Roman"/>
                <w:color w:val="000000"/>
                <w:sz w:val="20"/>
                <w:szCs w:val="20"/>
                <w:lang w:eastAsia="ru-RU"/>
              </w:rPr>
            </w:pPr>
            <w:proofErr w:type="gramStart"/>
            <w:r w:rsidRPr="004761E0">
              <w:rPr>
                <w:rFonts w:eastAsia="Times New Roman"/>
                <w:color w:val="000000"/>
                <w:sz w:val="20"/>
                <w:szCs w:val="20"/>
                <w:lang w:eastAsia="ru-RU"/>
              </w:rPr>
              <w:t>млн</w:t>
            </w:r>
            <w:proofErr w:type="gramEnd"/>
            <w:r w:rsidRPr="004761E0">
              <w:rPr>
                <w:rFonts w:eastAsia="Times New Roman"/>
                <w:color w:val="000000"/>
                <w:sz w:val="20"/>
                <w:szCs w:val="20"/>
                <w:lang w:eastAsia="ru-RU"/>
              </w:rPr>
              <w:t xml:space="preserve"> руб.</w:t>
            </w:r>
          </w:p>
        </w:tc>
        <w:tc>
          <w:tcPr>
            <w:tcW w:w="1043" w:type="dxa"/>
            <w:tcBorders>
              <w:top w:val="nil"/>
              <w:left w:val="single" w:sz="4" w:space="0" w:color="auto"/>
              <w:bottom w:val="single" w:sz="4" w:space="0" w:color="auto"/>
              <w:right w:val="single" w:sz="4" w:space="0" w:color="auto"/>
            </w:tcBorders>
            <w:shd w:val="clear" w:color="auto" w:fill="auto"/>
            <w:vAlign w:val="center"/>
            <w:hideMark/>
          </w:tcPr>
          <w:p w:rsidR="00A426F9" w:rsidRPr="00A426F9" w:rsidRDefault="00A426F9" w:rsidP="00A426F9">
            <w:pPr>
              <w:ind w:firstLine="0"/>
              <w:jc w:val="right"/>
              <w:rPr>
                <w:color w:val="000000"/>
                <w:sz w:val="20"/>
                <w:szCs w:val="20"/>
              </w:rPr>
            </w:pPr>
            <w:r w:rsidRPr="00A426F9">
              <w:rPr>
                <w:color w:val="000000"/>
                <w:sz w:val="20"/>
                <w:szCs w:val="20"/>
              </w:rPr>
              <w:t xml:space="preserve">41 649 </w:t>
            </w:r>
          </w:p>
        </w:tc>
        <w:tc>
          <w:tcPr>
            <w:tcW w:w="1043" w:type="dxa"/>
            <w:tcBorders>
              <w:top w:val="nil"/>
              <w:left w:val="nil"/>
              <w:bottom w:val="single" w:sz="4" w:space="0" w:color="auto"/>
              <w:right w:val="single" w:sz="4" w:space="0" w:color="auto"/>
            </w:tcBorders>
            <w:shd w:val="clear" w:color="auto" w:fill="auto"/>
            <w:vAlign w:val="center"/>
            <w:hideMark/>
          </w:tcPr>
          <w:p w:rsidR="00A426F9" w:rsidRPr="00A426F9" w:rsidRDefault="00A426F9" w:rsidP="00A426F9">
            <w:pPr>
              <w:ind w:firstLine="0"/>
              <w:jc w:val="right"/>
              <w:rPr>
                <w:color w:val="000000"/>
                <w:sz w:val="20"/>
                <w:szCs w:val="20"/>
              </w:rPr>
            </w:pPr>
            <w:r w:rsidRPr="00A426F9">
              <w:rPr>
                <w:color w:val="000000"/>
                <w:sz w:val="20"/>
                <w:szCs w:val="20"/>
              </w:rPr>
              <w:t xml:space="preserve">43 521 </w:t>
            </w:r>
          </w:p>
        </w:tc>
        <w:tc>
          <w:tcPr>
            <w:tcW w:w="1043" w:type="dxa"/>
            <w:tcBorders>
              <w:top w:val="nil"/>
              <w:left w:val="nil"/>
              <w:bottom w:val="single" w:sz="4" w:space="0" w:color="auto"/>
              <w:right w:val="single" w:sz="4" w:space="0" w:color="auto"/>
            </w:tcBorders>
            <w:shd w:val="clear" w:color="auto" w:fill="auto"/>
            <w:vAlign w:val="center"/>
            <w:hideMark/>
          </w:tcPr>
          <w:p w:rsidR="00A426F9" w:rsidRPr="00A426F9" w:rsidRDefault="00A426F9" w:rsidP="00A426F9">
            <w:pPr>
              <w:ind w:firstLine="0"/>
              <w:jc w:val="right"/>
              <w:rPr>
                <w:color w:val="000000"/>
                <w:sz w:val="20"/>
                <w:szCs w:val="20"/>
              </w:rPr>
            </w:pPr>
            <w:r w:rsidRPr="00A426F9">
              <w:rPr>
                <w:color w:val="000000"/>
                <w:sz w:val="20"/>
                <w:szCs w:val="20"/>
              </w:rPr>
              <w:t xml:space="preserve">44 446 </w:t>
            </w:r>
          </w:p>
        </w:tc>
        <w:tc>
          <w:tcPr>
            <w:tcW w:w="1123" w:type="dxa"/>
            <w:tcBorders>
              <w:top w:val="nil"/>
              <w:left w:val="nil"/>
              <w:bottom w:val="single" w:sz="4" w:space="0" w:color="auto"/>
              <w:right w:val="single" w:sz="4" w:space="0" w:color="auto"/>
            </w:tcBorders>
            <w:shd w:val="clear" w:color="auto" w:fill="auto"/>
            <w:vAlign w:val="center"/>
            <w:hideMark/>
          </w:tcPr>
          <w:p w:rsidR="00A426F9" w:rsidRPr="00A426F9" w:rsidRDefault="00A426F9" w:rsidP="00A426F9">
            <w:pPr>
              <w:ind w:firstLine="0"/>
              <w:jc w:val="right"/>
              <w:rPr>
                <w:color w:val="000000"/>
                <w:sz w:val="20"/>
                <w:szCs w:val="20"/>
              </w:rPr>
            </w:pPr>
            <w:r w:rsidRPr="00A426F9">
              <w:rPr>
                <w:color w:val="000000"/>
                <w:sz w:val="20"/>
                <w:szCs w:val="20"/>
              </w:rPr>
              <w:t>2,12</w:t>
            </w:r>
            <w:r>
              <w:rPr>
                <w:color w:val="000000"/>
                <w:sz w:val="20"/>
                <w:szCs w:val="20"/>
                <w:lang w:val="en-US"/>
              </w:rPr>
              <w:t xml:space="preserve"> </w:t>
            </w:r>
            <w:r w:rsidRPr="00A426F9">
              <w:rPr>
                <w:color w:val="000000"/>
                <w:sz w:val="20"/>
                <w:szCs w:val="20"/>
              </w:rPr>
              <w:t>%</w:t>
            </w:r>
          </w:p>
        </w:tc>
      </w:tr>
      <w:tr w:rsidR="00041561" w:rsidRPr="004761E0" w:rsidTr="00605C86">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041561" w:rsidRPr="004761E0" w:rsidRDefault="00041561" w:rsidP="007076A7">
            <w:pPr>
              <w:numPr>
                <w:ilvl w:val="0"/>
                <w:numId w:val="113"/>
              </w:numPr>
              <w:jc w:val="left"/>
              <w:rPr>
                <w:rFonts w:eastAsia="Times New Roman"/>
                <w:color w:val="000000"/>
                <w:sz w:val="20"/>
                <w:szCs w:val="20"/>
                <w:lang w:eastAsia="ru-RU"/>
              </w:rPr>
            </w:pPr>
          </w:p>
        </w:tc>
        <w:tc>
          <w:tcPr>
            <w:tcW w:w="9475" w:type="dxa"/>
            <w:gridSpan w:val="6"/>
            <w:tcBorders>
              <w:top w:val="nil"/>
              <w:left w:val="nil"/>
              <w:bottom w:val="single" w:sz="4" w:space="0" w:color="auto"/>
              <w:right w:val="single" w:sz="4" w:space="0" w:color="auto"/>
            </w:tcBorders>
            <w:shd w:val="clear" w:color="auto" w:fill="auto"/>
            <w:vAlign w:val="center"/>
            <w:hideMark/>
          </w:tcPr>
          <w:p w:rsidR="00041561" w:rsidRPr="004761E0" w:rsidRDefault="00041561" w:rsidP="00041561">
            <w:pPr>
              <w:ind w:firstLine="0"/>
              <w:jc w:val="left"/>
              <w:rPr>
                <w:rFonts w:eastAsia="Times New Roman"/>
                <w:color w:val="000000"/>
                <w:sz w:val="20"/>
                <w:szCs w:val="20"/>
                <w:lang w:eastAsia="ru-RU"/>
              </w:rPr>
            </w:pPr>
            <w:r w:rsidRPr="004761E0">
              <w:rPr>
                <w:rFonts w:eastAsia="Times New Roman"/>
                <w:color w:val="000000"/>
                <w:sz w:val="20"/>
                <w:szCs w:val="20"/>
                <w:lang w:eastAsia="ru-RU"/>
              </w:rPr>
              <w:t>Рентабельность по EBITDA</w:t>
            </w:r>
          </w:p>
        </w:tc>
      </w:tr>
      <w:tr w:rsidR="006A0727" w:rsidRPr="004761E0" w:rsidTr="006A0727">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6A0727" w:rsidRPr="004761E0" w:rsidRDefault="006A0727" w:rsidP="007076A7">
            <w:pPr>
              <w:pStyle w:val="a5"/>
              <w:numPr>
                <w:ilvl w:val="1"/>
                <w:numId w:val="113"/>
              </w:numPr>
              <w:jc w:val="left"/>
              <w:rPr>
                <w:rFonts w:eastAsia="Times New Roman"/>
                <w:color w:val="000000"/>
                <w:sz w:val="20"/>
                <w:szCs w:val="20"/>
                <w:lang w:eastAsia="ru-RU"/>
              </w:rPr>
            </w:pPr>
          </w:p>
        </w:tc>
        <w:tc>
          <w:tcPr>
            <w:tcW w:w="3273" w:type="dxa"/>
            <w:tcBorders>
              <w:top w:val="nil"/>
              <w:left w:val="nil"/>
              <w:bottom w:val="single" w:sz="4" w:space="0" w:color="auto"/>
              <w:right w:val="single" w:sz="4" w:space="0" w:color="auto"/>
            </w:tcBorders>
            <w:shd w:val="clear" w:color="auto" w:fill="auto"/>
            <w:vAlign w:val="center"/>
            <w:hideMark/>
          </w:tcPr>
          <w:p w:rsidR="006A0727" w:rsidRPr="004761E0" w:rsidRDefault="006A0727" w:rsidP="00F050AA">
            <w:pPr>
              <w:ind w:firstLine="471"/>
              <w:jc w:val="left"/>
              <w:rPr>
                <w:rFonts w:eastAsia="Times New Roman"/>
                <w:color w:val="000000"/>
                <w:sz w:val="20"/>
                <w:szCs w:val="20"/>
                <w:lang w:eastAsia="ru-RU"/>
              </w:rPr>
            </w:pPr>
            <w:r w:rsidRPr="004761E0">
              <w:rPr>
                <w:rFonts w:eastAsia="Times New Roman"/>
                <w:color w:val="000000"/>
                <w:sz w:val="20"/>
                <w:szCs w:val="20"/>
                <w:lang w:eastAsia="ru-RU"/>
              </w:rPr>
              <w:t>по РСБУ</w:t>
            </w:r>
          </w:p>
        </w:tc>
        <w:tc>
          <w:tcPr>
            <w:tcW w:w="1950" w:type="dxa"/>
            <w:tcBorders>
              <w:top w:val="single" w:sz="4" w:space="0" w:color="auto"/>
              <w:left w:val="nil"/>
              <w:bottom w:val="single" w:sz="4" w:space="0" w:color="auto"/>
              <w:right w:val="single" w:sz="4" w:space="0" w:color="auto"/>
            </w:tcBorders>
            <w:vAlign w:val="center"/>
          </w:tcPr>
          <w:p w:rsidR="006A0727" w:rsidRPr="004761E0" w:rsidRDefault="006A0727" w:rsidP="00F050A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043" w:type="dxa"/>
            <w:tcBorders>
              <w:top w:val="nil"/>
              <w:left w:val="single" w:sz="4" w:space="0" w:color="auto"/>
              <w:bottom w:val="single" w:sz="4" w:space="0" w:color="auto"/>
              <w:right w:val="single" w:sz="4" w:space="0" w:color="auto"/>
            </w:tcBorders>
            <w:shd w:val="clear" w:color="auto" w:fill="auto"/>
            <w:vAlign w:val="center"/>
            <w:hideMark/>
          </w:tcPr>
          <w:p w:rsidR="006A0727" w:rsidRPr="004761E0" w:rsidRDefault="006A0727" w:rsidP="006A0727">
            <w:pPr>
              <w:ind w:firstLine="0"/>
              <w:jc w:val="right"/>
              <w:rPr>
                <w:rFonts w:eastAsia="Times New Roman"/>
                <w:color w:val="000000"/>
                <w:sz w:val="20"/>
                <w:szCs w:val="20"/>
                <w:lang w:eastAsia="ru-RU"/>
              </w:rPr>
            </w:pPr>
            <w:r w:rsidRPr="004761E0">
              <w:rPr>
                <w:color w:val="000000"/>
                <w:sz w:val="20"/>
                <w:szCs w:val="20"/>
              </w:rPr>
              <w:t>31,28</w:t>
            </w:r>
          </w:p>
        </w:tc>
        <w:tc>
          <w:tcPr>
            <w:tcW w:w="1043" w:type="dxa"/>
            <w:tcBorders>
              <w:top w:val="nil"/>
              <w:left w:val="nil"/>
              <w:bottom w:val="single" w:sz="4" w:space="0" w:color="auto"/>
              <w:right w:val="single" w:sz="4" w:space="0" w:color="auto"/>
            </w:tcBorders>
            <w:shd w:val="clear" w:color="auto" w:fill="auto"/>
            <w:vAlign w:val="center"/>
            <w:hideMark/>
          </w:tcPr>
          <w:p w:rsidR="006A0727" w:rsidRPr="004761E0" w:rsidRDefault="006A0727" w:rsidP="006A0727">
            <w:pPr>
              <w:ind w:firstLine="0"/>
              <w:jc w:val="right"/>
              <w:rPr>
                <w:rFonts w:eastAsia="Times New Roman"/>
                <w:color w:val="000000"/>
                <w:sz w:val="20"/>
                <w:szCs w:val="20"/>
                <w:lang w:eastAsia="ru-RU"/>
              </w:rPr>
            </w:pPr>
            <w:r w:rsidRPr="004761E0">
              <w:rPr>
                <w:color w:val="000000"/>
                <w:sz w:val="20"/>
                <w:szCs w:val="20"/>
              </w:rPr>
              <w:t>34,92</w:t>
            </w:r>
          </w:p>
        </w:tc>
        <w:tc>
          <w:tcPr>
            <w:tcW w:w="1043" w:type="dxa"/>
            <w:tcBorders>
              <w:top w:val="nil"/>
              <w:left w:val="nil"/>
              <w:bottom w:val="single" w:sz="4" w:space="0" w:color="auto"/>
              <w:right w:val="single" w:sz="4" w:space="0" w:color="auto"/>
            </w:tcBorders>
            <w:shd w:val="clear" w:color="auto" w:fill="auto"/>
            <w:vAlign w:val="center"/>
            <w:hideMark/>
          </w:tcPr>
          <w:p w:rsidR="006A0727" w:rsidRPr="004761E0" w:rsidRDefault="006A0727" w:rsidP="006A0727">
            <w:pPr>
              <w:ind w:firstLine="0"/>
              <w:jc w:val="right"/>
              <w:rPr>
                <w:rFonts w:eastAsia="Times New Roman"/>
                <w:color w:val="000000"/>
                <w:sz w:val="20"/>
                <w:szCs w:val="20"/>
                <w:lang w:eastAsia="ru-RU"/>
              </w:rPr>
            </w:pPr>
            <w:r w:rsidRPr="004761E0">
              <w:rPr>
                <w:color w:val="000000"/>
                <w:sz w:val="20"/>
                <w:szCs w:val="20"/>
              </w:rPr>
              <w:t>29,21</w:t>
            </w:r>
          </w:p>
        </w:tc>
        <w:tc>
          <w:tcPr>
            <w:tcW w:w="1123" w:type="dxa"/>
            <w:tcBorders>
              <w:top w:val="nil"/>
              <w:left w:val="nil"/>
              <w:bottom w:val="single" w:sz="4" w:space="0" w:color="auto"/>
              <w:right w:val="single" w:sz="4" w:space="0" w:color="auto"/>
            </w:tcBorders>
            <w:shd w:val="clear" w:color="auto" w:fill="auto"/>
            <w:vAlign w:val="center"/>
            <w:hideMark/>
          </w:tcPr>
          <w:p w:rsidR="006A0727" w:rsidRPr="004761E0" w:rsidRDefault="006A0727" w:rsidP="00BD5626">
            <w:pPr>
              <w:ind w:firstLine="0"/>
              <w:jc w:val="right"/>
              <w:rPr>
                <w:rFonts w:eastAsia="Times New Roman"/>
                <w:color w:val="000000"/>
                <w:sz w:val="20"/>
                <w:szCs w:val="20"/>
                <w:lang w:eastAsia="ru-RU"/>
              </w:rPr>
            </w:pPr>
            <w:r w:rsidRPr="004761E0">
              <w:rPr>
                <w:color w:val="000000"/>
                <w:sz w:val="20"/>
                <w:szCs w:val="20"/>
              </w:rPr>
              <w:t>-5,</w:t>
            </w:r>
            <w:r w:rsidR="00BD5626">
              <w:rPr>
                <w:color w:val="000000"/>
                <w:sz w:val="20"/>
                <w:szCs w:val="20"/>
              </w:rPr>
              <w:t>71</w:t>
            </w:r>
            <w:r w:rsidRPr="004761E0">
              <w:rPr>
                <w:color w:val="000000"/>
                <w:sz w:val="20"/>
                <w:szCs w:val="20"/>
              </w:rPr>
              <w:t xml:space="preserve"> п.п.</w:t>
            </w:r>
          </w:p>
        </w:tc>
      </w:tr>
      <w:tr w:rsidR="003B58E3" w:rsidRPr="004761E0" w:rsidTr="003B58E3">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3B58E3" w:rsidRPr="004761E0" w:rsidRDefault="003B58E3" w:rsidP="007076A7">
            <w:pPr>
              <w:pStyle w:val="a5"/>
              <w:numPr>
                <w:ilvl w:val="1"/>
                <w:numId w:val="113"/>
              </w:numPr>
              <w:jc w:val="left"/>
              <w:rPr>
                <w:rFonts w:eastAsia="Times New Roman"/>
                <w:color w:val="000000"/>
                <w:sz w:val="20"/>
                <w:szCs w:val="20"/>
                <w:lang w:eastAsia="ru-RU"/>
              </w:rPr>
            </w:pPr>
          </w:p>
        </w:tc>
        <w:tc>
          <w:tcPr>
            <w:tcW w:w="3273" w:type="dxa"/>
            <w:tcBorders>
              <w:top w:val="nil"/>
              <w:left w:val="nil"/>
              <w:bottom w:val="single" w:sz="4" w:space="0" w:color="auto"/>
              <w:right w:val="single" w:sz="4" w:space="0" w:color="auto"/>
            </w:tcBorders>
            <w:shd w:val="clear" w:color="auto" w:fill="auto"/>
            <w:vAlign w:val="center"/>
            <w:hideMark/>
          </w:tcPr>
          <w:p w:rsidR="003B58E3" w:rsidRPr="004761E0" w:rsidRDefault="003B58E3" w:rsidP="00F050AA">
            <w:pPr>
              <w:ind w:firstLine="471"/>
              <w:jc w:val="left"/>
              <w:rPr>
                <w:rFonts w:eastAsia="Times New Roman"/>
                <w:color w:val="000000"/>
                <w:sz w:val="20"/>
                <w:szCs w:val="20"/>
                <w:lang w:eastAsia="ru-RU"/>
              </w:rPr>
            </w:pPr>
            <w:r w:rsidRPr="004761E0">
              <w:rPr>
                <w:rFonts w:eastAsia="Times New Roman"/>
                <w:color w:val="000000"/>
                <w:sz w:val="20"/>
                <w:szCs w:val="20"/>
                <w:lang w:eastAsia="ru-RU"/>
              </w:rPr>
              <w:t>по МСФО</w:t>
            </w:r>
          </w:p>
        </w:tc>
        <w:tc>
          <w:tcPr>
            <w:tcW w:w="1950" w:type="dxa"/>
            <w:tcBorders>
              <w:top w:val="single" w:sz="4" w:space="0" w:color="auto"/>
              <w:left w:val="nil"/>
              <w:bottom w:val="single" w:sz="4" w:space="0" w:color="auto"/>
              <w:right w:val="single" w:sz="4" w:space="0" w:color="auto"/>
            </w:tcBorders>
            <w:vAlign w:val="center"/>
          </w:tcPr>
          <w:p w:rsidR="003B58E3" w:rsidRPr="004761E0" w:rsidRDefault="003B58E3" w:rsidP="00F050A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043" w:type="dxa"/>
            <w:tcBorders>
              <w:top w:val="nil"/>
              <w:left w:val="single" w:sz="4" w:space="0" w:color="auto"/>
              <w:bottom w:val="single" w:sz="4" w:space="0" w:color="auto"/>
              <w:right w:val="single" w:sz="4" w:space="0" w:color="auto"/>
            </w:tcBorders>
            <w:shd w:val="clear" w:color="auto" w:fill="auto"/>
            <w:vAlign w:val="center"/>
            <w:hideMark/>
          </w:tcPr>
          <w:p w:rsidR="003B58E3" w:rsidRPr="003B58E3" w:rsidRDefault="003B58E3" w:rsidP="003B58E3">
            <w:pPr>
              <w:ind w:firstLine="0"/>
              <w:jc w:val="right"/>
              <w:rPr>
                <w:color w:val="000000"/>
                <w:sz w:val="20"/>
                <w:szCs w:val="20"/>
              </w:rPr>
            </w:pPr>
            <w:r w:rsidRPr="003B58E3">
              <w:rPr>
                <w:color w:val="000000"/>
                <w:sz w:val="20"/>
                <w:szCs w:val="20"/>
              </w:rPr>
              <w:t>32,19</w:t>
            </w:r>
          </w:p>
        </w:tc>
        <w:tc>
          <w:tcPr>
            <w:tcW w:w="1043" w:type="dxa"/>
            <w:tcBorders>
              <w:top w:val="nil"/>
              <w:left w:val="nil"/>
              <w:bottom w:val="single" w:sz="4" w:space="0" w:color="auto"/>
              <w:right w:val="single" w:sz="4" w:space="0" w:color="auto"/>
            </w:tcBorders>
            <w:shd w:val="clear" w:color="auto" w:fill="auto"/>
            <w:vAlign w:val="center"/>
            <w:hideMark/>
          </w:tcPr>
          <w:p w:rsidR="003B58E3" w:rsidRPr="003B58E3" w:rsidRDefault="003B58E3" w:rsidP="003B58E3">
            <w:pPr>
              <w:ind w:firstLine="0"/>
              <w:jc w:val="right"/>
              <w:rPr>
                <w:color w:val="000000"/>
                <w:sz w:val="20"/>
                <w:szCs w:val="20"/>
              </w:rPr>
            </w:pPr>
            <w:r w:rsidRPr="003B58E3">
              <w:rPr>
                <w:color w:val="000000"/>
                <w:sz w:val="20"/>
                <w:szCs w:val="20"/>
              </w:rPr>
              <w:t>34,73</w:t>
            </w:r>
          </w:p>
        </w:tc>
        <w:tc>
          <w:tcPr>
            <w:tcW w:w="1043" w:type="dxa"/>
            <w:tcBorders>
              <w:top w:val="nil"/>
              <w:left w:val="nil"/>
              <w:bottom w:val="single" w:sz="4" w:space="0" w:color="auto"/>
              <w:right w:val="single" w:sz="4" w:space="0" w:color="auto"/>
            </w:tcBorders>
            <w:shd w:val="clear" w:color="auto" w:fill="auto"/>
            <w:vAlign w:val="center"/>
            <w:hideMark/>
          </w:tcPr>
          <w:p w:rsidR="003B58E3" w:rsidRPr="003B58E3" w:rsidRDefault="003B58E3" w:rsidP="003B58E3">
            <w:pPr>
              <w:ind w:firstLine="0"/>
              <w:jc w:val="right"/>
              <w:rPr>
                <w:color w:val="000000"/>
                <w:sz w:val="20"/>
                <w:szCs w:val="20"/>
              </w:rPr>
            </w:pPr>
            <w:r w:rsidRPr="003B58E3">
              <w:rPr>
                <w:color w:val="000000"/>
                <w:sz w:val="20"/>
                <w:szCs w:val="20"/>
              </w:rPr>
              <w:t>34,42</w:t>
            </w:r>
          </w:p>
        </w:tc>
        <w:tc>
          <w:tcPr>
            <w:tcW w:w="1123" w:type="dxa"/>
            <w:tcBorders>
              <w:top w:val="nil"/>
              <w:left w:val="nil"/>
              <w:bottom w:val="single" w:sz="4" w:space="0" w:color="auto"/>
              <w:right w:val="single" w:sz="4" w:space="0" w:color="auto"/>
            </w:tcBorders>
            <w:shd w:val="clear" w:color="auto" w:fill="auto"/>
            <w:vAlign w:val="center"/>
            <w:hideMark/>
          </w:tcPr>
          <w:p w:rsidR="003B58E3" w:rsidRPr="003B58E3" w:rsidRDefault="003B58E3" w:rsidP="003B58E3">
            <w:pPr>
              <w:ind w:firstLine="0"/>
              <w:jc w:val="right"/>
              <w:rPr>
                <w:color w:val="000000"/>
                <w:sz w:val="20"/>
                <w:szCs w:val="20"/>
              </w:rPr>
            </w:pPr>
            <w:r w:rsidRPr="003B58E3">
              <w:rPr>
                <w:color w:val="000000"/>
                <w:sz w:val="20"/>
                <w:szCs w:val="20"/>
              </w:rPr>
              <w:t>-0,31 п.п.</w:t>
            </w:r>
          </w:p>
        </w:tc>
      </w:tr>
      <w:tr w:rsidR="00041561" w:rsidRPr="004761E0" w:rsidTr="00605C86">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041561" w:rsidRPr="004761E0" w:rsidRDefault="00041561" w:rsidP="007076A7">
            <w:pPr>
              <w:numPr>
                <w:ilvl w:val="0"/>
                <w:numId w:val="113"/>
              </w:numPr>
              <w:jc w:val="left"/>
              <w:rPr>
                <w:rFonts w:eastAsia="Times New Roman"/>
                <w:color w:val="000000"/>
                <w:sz w:val="20"/>
                <w:szCs w:val="20"/>
                <w:lang w:eastAsia="ru-RU"/>
              </w:rPr>
            </w:pPr>
          </w:p>
        </w:tc>
        <w:tc>
          <w:tcPr>
            <w:tcW w:w="9475" w:type="dxa"/>
            <w:gridSpan w:val="6"/>
            <w:tcBorders>
              <w:top w:val="nil"/>
              <w:left w:val="nil"/>
              <w:bottom w:val="single" w:sz="4" w:space="0" w:color="auto"/>
              <w:right w:val="single" w:sz="4" w:space="0" w:color="auto"/>
            </w:tcBorders>
            <w:shd w:val="clear" w:color="auto" w:fill="auto"/>
            <w:vAlign w:val="center"/>
            <w:hideMark/>
          </w:tcPr>
          <w:p w:rsidR="00041561" w:rsidRPr="004761E0" w:rsidRDefault="00041561" w:rsidP="00041561">
            <w:pPr>
              <w:ind w:firstLine="0"/>
              <w:jc w:val="left"/>
              <w:rPr>
                <w:rFonts w:eastAsia="Times New Roman"/>
                <w:color w:val="000000"/>
                <w:sz w:val="20"/>
                <w:szCs w:val="20"/>
                <w:lang w:eastAsia="ru-RU"/>
              </w:rPr>
            </w:pPr>
            <w:r w:rsidRPr="004761E0">
              <w:rPr>
                <w:rFonts w:eastAsia="Times New Roman"/>
                <w:color w:val="000000"/>
                <w:sz w:val="20"/>
                <w:szCs w:val="20"/>
                <w:lang w:eastAsia="ru-RU"/>
              </w:rPr>
              <w:t>Чистая прибыль</w:t>
            </w:r>
          </w:p>
        </w:tc>
      </w:tr>
      <w:tr w:rsidR="006A0727" w:rsidRPr="004761E0" w:rsidTr="003B58E3">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6A0727" w:rsidRPr="004761E0" w:rsidRDefault="006A0727" w:rsidP="007076A7">
            <w:pPr>
              <w:pStyle w:val="a5"/>
              <w:numPr>
                <w:ilvl w:val="1"/>
                <w:numId w:val="113"/>
              </w:numPr>
              <w:jc w:val="left"/>
              <w:rPr>
                <w:rFonts w:eastAsia="Times New Roman"/>
                <w:color w:val="000000"/>
                <w:sz w:val="20"/>
                <w:szCs w:val="20"/>
                <w:lang w:eastAsia="ru-RU"/>
              </w:rPr>
            </w:pPr>
          </w:p>
        </w:tc>
        <w:tc>
          <w:tcPr>
            <w:tcW w:w="3273" w:type="dxa"/>
            <w:tcBorders>
              <w:top w:val="nil"/>
              <w:left w:val="nil"/>
              <w:bottom w:val="single" w:sz="4" w:space="0" w:color="auto"/>
              <w:right w:val="single" w:sz="4" w:space="0" w:color="auto"/>
            </w:tcBorders>
            <w:shd w:val="clear" w:color="auto" w:fill="auto"/>
            <w:vAlign w:val="center"/>
            <w:hideMark/>
          </w:tcPr>
          <w:p w:rsidR="006A0727" w:rsidRPr="004761E0" w:rsidRDefault="006A0727" w:rsidP="00F050AA">
            <w:pPr>
              <w:ind w:firstLine="471"/>
              <w:jc w:val="left"/>
              <w:rPr>
                <w:rFonts w:eastAsia="Times New Roman"/>
                <w:color w:val="000000"/>
                <w:sz w:val="20"/>
                <w:szCs w:val="20"/>
                <w:lang w:eastAsia="ru-RU"/>
              </w:rPr>
            </w:pPr>
            <w:r w:rsidRPr="004761E0">
              <w:rPr>
                <w:rFonts w:eastAsia="Times New Roman"/>
                <w:color w:val="000000"/>
                <w:sz w:val="20"/>
                <w:szCs w:val="20"/>
                <w:lang w:eastAsia="ru-RU"/>
              </w:rPr>
              <w:t>по РСБУ</w:t>
            </w:r>
          </w:p>
        </w:tc>
        <w:tc>
          <w:tcPr>
            <w:tcW w:w="1950" w:type="dxa"/>
            <w:tcBorders>
              <w:top w:val="single" w:sz="4" w:space="0" w:color="auto"/>
              <w:left w:val="nil"/>
              <w:bottom w:val="single" w:sz="4" w:space="0" w:color="auto"/>
              <w:right w:val="single" w:sz="4" w:space="0" w:color="auto"/>
            </w:tcBorders>
            <w:vAlign w:val="center"/>
          </w:tcPr>
          <w:p w:rsidR="006A0727" w:rsidRPr="004761E0" w:rsidRDefault="006A0727" w:rsidP="00F050AA">
            <w:pPr>
              <w:ind w:firstLine="0"/>
              <w:jc w:val="right"/>
              <w:rPr>
                <w:rFonts w:eastAsia="Times New Roman"/>
                <w:color w:val="000000"/>
                <w:sz w:val="20"/>
                <w:szCs w:val="20"/>
                <w:lang w:eastAsia="ru-RU"/>
              </w:rPr>
            </w:pPr>
            <w:proofErr w:type="gramStart"/>
            <w:r w:rsidRPr="004761E0">
              <w:rPr>
                <w:rFonts w:eastAsia="Times New Roman"/>
                <w:color w:val="000000"/>
                <w:sz w:val="20"/>
                <w:szCs w:val="20"/>
                <w:lang w:eastAsia="ru-RU"/>
              </w:rPr>
              <w:t>млн</w:t>
            </w:r>
            <w:proofErr w:type="gramEnd"/>
            <w:r w:rsidRPr="004761E0">
              <w:rPr>
                <w:rFonts w:eastAsia="Times New Roman"/>
                <w:color w:val="000000"/>
                <w:sz w:val="20"/>
                <w:szCs w:val="20"/>
                <w:lang w:eastAsia="ru-RU"/>
              </w:rPr>
              <w:t xml:space="preserve"> руб.</w:t>
            </w:r>
          </w:p>
        </w:tc>
        <w:tc>
          <w:tcPr>
            <w:tcW w:w="1043" w:type="dxa"/>
            <w:tcBorders>
              <w:top w:val="nil"/>
              <w:left w:val="single" w:sz="4" w:space="0" w:color="auto"/>
              <w:bottom w:val="single" w:sz="4" w:space="0" w:color="auto"/>
              <w:right w:val="single" w:sz="4" w:space="0" w:color="auto"/>
            </w:tcBorders>
            <w:shd w:val="clear" w:color="auto" w:fill="auto"/>
            <w:vAlign w:val="center"/>
            <w:hideMark/>
          </w:tcPr>
          <w:p w:rsidR="006A0727" w:rsidRPr="004761E0" w:rsidRDefault="006A0727" w:rsidP="003B58E3">
            <w:pPr>
              <w:ind w:firstLine="0"/>
              <w:jc w:val="right"/>
              <w:rPr>
                <w:rFonts w:eastAsia="Times New Roman"/>
                <w:color w:val="000000"/>
                <w:sz w:val="20"/>
                <w:szCs w:val="20"/>
                <w:lang w:eastAsia="ru-RU"/>
              </w:rPr>
            </w:pPr>
            <w:r w:rsidRPr="004761E0">
              <w:rPr>
                <w:color w:val="000000"/>
                <w:sz w:val="20"/>
                <w:szCs w:val="20"/>
              </w:rPr>
              <w:t>17 053</w:t>
            </w:r>
          </w:p>
        </w:tc>
        <w:tc>
          <w:tcPr>
            <w:tcW w:w="1043" w:type="dxa"/>
            <w:tcBorders>
              <w:top w:val="nil"/>
              <w:left w:val="nil"/>
              <w:bottom w:val="single" w:sz="4" w:space="0" w:color="auto"/>
              <w:right w:val="single" w:sz="4" w:space="0" w:color="auto"/>
            </w:tcBorders>
            <w:shd w:val="clear" w:color="auto" w:fill="auto"/>
            <w:vAlign w:val="center"/>
            <w:hideMark/>
          </w:tcPr>
          <w:p w:rsidR="006A0727" w:rsidRPr="004761E0" w:rsidRDefault="006A0727" w:rsidP="003B58E3">
            <w:pPr>
              <w:ind w:firstLine="0"/>
              <w:jc w:val="right"/>
              <w:rPr>
                <w:rFonts w:eastAsia="Times New Roman"/>
                <w:color w:val="000000"/>
                <w:sz w:val="20"/>
                <w:szCs w:val="20"/>
                <w:lang w:eastAsia="ru-RU"/>
              </w:rPr>
            </w:pPr>
            <w:r w:rsidRPr="004761E0">
              <w:rPr>
                <w:color w:val="000000"/>
                <w:sz w:val="20"/>
                <w:szCs w:val="20"/>
              </w:rPr>
              <w:t>17 184</w:t>
            </w:r>
          </w:p>
        </w:tc>
        <w:tc>
          <w:tcPr>
            <w:tcW w:w="1043" w:type="dxa"/>
            <w:tcBorders>
              <w:top w:val="nil"/>
              <w:left w:val="nil"/>
              <w:bottom w:val="single" w:sz="4" w:space="0" w:color="auto"/>
              <w:right w:val="single" w:sz="4" w:space="0" w:color="auto"/>
            </w:tcBorders>
            <w:shd w:val="clear" w:color="auto" w:fill="auto"/>
            <w:vAlign w:val="center"/>
            <w:hideMark/>
          </w:tcPr>
          <w:p w:rsidR="006A0727" w:rsidRPr="004761E0" w:rsidRDefault="006A0727" w:rsidP="003B58E3">
            <w:pPr>
              <w:ind w:firstLine="0"/>
              <w:jc w:val="right"/>
              <w:rPr>
                <w:rFonts w:eastAsia="Times New Roman"/>
                <w:color w:val="000000"/>
                <w:sz w:val="20"/>
                <w:szCs w:val="20"/>
                <w:lang w:eastAsia="ru-RU"/>
              </w:rPr>
            </w:pPr>
            <w:r w:rsidRPr="004761E0">
              <w:rPr>
                <w:color w:val="000000"/>
                <w:sz w:val="20"/>
                <w:szCs w:val="20"/>
              </w:rPr>
              <w:t>11 641</w:t>
            </w:r>
          </w:p>
        </w:tc>
        <w:tc>
          <w:tcPr>
            <w:tcW w:w="1123" w:type="dxa"/>
            <w:tcBorders>
              <w:top w:val="nil"/>
              <w:left w:val="nil"/>
              <w:bottom w:val="single" w:sz="4" w:space="0" w:color="auto"/>
              <w:right w:val="single" w:sz="4" w:space="0" w:color="auto"/>
            </w:tcBorders>
            <w:shd w:val="clear" w:color="auto" w:fill="auto"/>
            <w:vAlign w:val="center"/>
            <w:hideMark/>
          </w:tcPr>
          <w:p w:rsidR="006A0727" w:rsidRPr="004761E0" w:rsidRDefault="006A0727" w:rsidP="003B58E3">
            <w:pPr>
              <w:ind w:firstLine="0"/>
              <w:jc w:val="right"/>
              <w:rPr>
                <w:rFonts w:eastAsia="Times New Roman"/>
                <w:color w:val="000000"/>
                <w:sz w:val="20"/>
                <w:szCs w:val="20"/>
                <w:lang w:eastAsia="ru-RU"/>
              </w:rPr>
            </w:pPr>
            <w:r w:rsidRPr="004761E0">
              <w:rPr>
                <w:color w:val="000000"/>
                <w:sz w:val="20"/>
                <w:szCs w:val="20"/>
              </w:rPr>
              <w:t>-32,26 %</w:t>
            </w:r>
          </w:p>
        </w:tc>
      </w:tr>
      <w:tr w:rsidR="003B58E3" w:rsidRPr="004761E0" w:rsidTr="003B58E3">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3B58E3" w:rsidRPr="004761E0" w:rsidRDefault="003B58E3" w:rsidP="007076A7">
            <w:pPr>
              <w:pStyle w:val="a5"/>
              <w:numPr>
                <w:ilvl w:val="1"/>
                <w:numId w:val="113"/>
              </w:numPr>
              <w:jc w:val="left"/>
              <w:rPr>
                <w:rFonts w:eastAsia="Times New Roman"/>
                <w:color w:val="000000"/>
                <w:sz w:val="20"/>
                <w:szCs w:val="20"/>
                <w:lang w:eastAsia="ru-RU"/>
              </w:rPr>
            </w:pPr>
          </w:p>
        </w:tc>
        <w:tc>
          <w:tcPr>
            <w:tcW w:w="3273" w:type="dxa"/>
            <w:tcBorders>
              <w:top w:val="nil"/>
              <w:left w:val="nil"/>
              <w:bottom w:val="single" w:sz="4" w:space="0" w:color="auto"/>
              <w:right w:val="single" w:sz="4" w:space="0" w:color="auto"/>
            </w:tcBorders>
            <w:shd w:val="clear" w:color="auto" w:fill="auto"/>
            <w:vAlign w:val="center"/>
            <w:hideMark/>
          </w:tcPr>
          <w:p w:rsidR="003B58E3" w:rsidRPr="004761E0" w:rsidRDefault="003B58E3" w:rsidP="00F050AA">
            <w:pPr>
              <w:ind w:firstLine="471"/>
              <w:jc w:val="left"/>
              <w:rPr>
                <w:rFonts w:eastAsia="Times New Roman"/>
                <w:color w:val="000000"/>
                <w:sz w:val="20"/>
                <w:szCs w:val="20"/>
                <w:lang w:eastAsia="ru-RU"/>
              </w:rPr>
            </w:pPr>
            <w:r w:rsidRPr="004761E0">
              <w:rPr>
                <w:rFonts w:eastAsia="Times New Roman"/>
                <w:color w:val="000000"/>
                <w:sz w:val="20"/>
                <w:szCs w:val="20"/>
                <w:lang w:eastAsia="ru-RU"/>
              </w:rPr>
              <w:t>по МСФО</w:t>
            </w:r>
          </w:p>
        </w:tc>
        <w:tc>
          <w:tcPr>
            <w:tcW w:w="1950" w:type="dxa"/>
            <w:tcBorders>
              <w:top w:val="single" w:sz="4" w:space="0" w:color="auto"/>
              <w:left w:val="nil"/>
              <w:bottom w:val="single" w:sz="4" w:space="0" w:color="auto"/>
              <w:right w:val="single" w:sz="4" w:space="0" w:color="auto"/>
            </w:tcBorders>
            <w:vAlign w:val="center"/>
          </w:tcPr>
          <w:p w:rsidR="003B58E3" w:rsidRPr="004761E0" w:rsidRDefault="003B58E3" w:rsidP="00F050AA">
            <w:pPr>
              <w:ind w:firstLine="0"/>
              <w:jc w:val="right"/>
              <w:rPr>
                <w:rFonts w:eastAsia="Times New Roman"/>
                <w:color w:val="000000"/>
                <w:sz w:val="20"/>
                <w:szCs w:val="20"/>
                <w:lang w:eastAsia="ru-RU"/>
              </w:rPr>
            </w:pPr>
            <w:proofErr w:type="gramStart"/>
            <w:r w:rsidRPr="004761E0">
              <w:rPr>
                <w:rFonts w:eastAsia="Times New Roman"/>
                <w:color w:val="000000"/>
                <w:sz w:val="20"/>
                <w:szCs w:val="20"/>
                <w:lang w:eastAsia="ru-RU"/>
              </w:rPr>
              <w:t>млн</w:t>
            </w:r>
            <w:proofErr w:type="gramEnd"/>
            <w:r w:rsidRPr="004761E0">
              <w:rPr>
                <w:rFonts w:eastAsia="Times New Roman"/>
                <w:color w:val="000000"/>
                <w:sz w:val="20"/>
                <w:szCs w:val="20"/>
                <w:lang w:eastAsia="ru-RU"/>
              </w:rPr>
              <w:t xml:space="preserve"> руб.</w:t>
            </w:r>
          </w:p>
        </w:tc>
        <w:tc>
          <w:tcPr>
            <w:tcW w:w="1043" w:type="dxa"/>
            <w:tcBorders>
              <w:top w:val="nil"/>
              <w:left w:val="single" w:sz="4" w:space="0" w:color="auto"/>
              <w:bottom w:val="single" w:sz="4" w:space="0" w:color="auto"/>
              <w:right w:val="single" w:sz="4" w:space="0" w:color="auto"/>
            </w:tcBorders>
            <w:shd w:val="clear" w:color="auto" w:fill="auto"/>
            <w:vAlign w:val="center"/>
            <w:hideMark/>
          </w:tcPr>
          <w:p w:rsidR="003B58E3" w:rsidRPr="003B58E3" w:rsidRDefault="003B58E3" w:rsidP="003B58E3">
            <w:pPr>
              <w:ind w:firstLine="0"/>
              <w:jc w:val="right"/>
              <w:rPr>
                <w:color w:val="000000"/>
                <w:sz w:val="20"/>
                <w:szCs w:val="20"/>
              </w:rPr>
            </w:pPr>
            <w:r w:rsidRPr="003B58E3">
              <w:rPr>
                <w:color w:val="000000"/>
                <w:sz w:val="20"/>
                <w:szCs w:val="20"/>
              </w:rPr>
              <w:t xml:space="preserve">18 043 </w:t>
            </w:r>
          </w:p>
        </w:tc>
        <w:tc>
          <w:tcPr>
            <w:tcW w:w="1043" w:type="dxa"/>
            <w:tcBorders>
              <w:top w:val="nil"/>
              <w:left w:val="nil"/>
              <w:bottom w:val="single" w:sz="4" w:space="0" w:color="auto"/>
              <w:right w:val="single" w:sz="4" w:space="0" w:color="auto"/>
            </w:tcBorders>
            <w:shd w:val="clear" w:color="auto" w:fill="auto"/>
            <w:vAlign w:val="center"/>
            <w:hideMark/>
          </w:tcPr>
          <w:p w:rsidR="003B58E3" w:rsidRPr="003B58E3" w:rsidRDefault="003B58E3" w:rsidP="003B58E3">
            <w:pPr>
              <w:ind w:firstLine="0"/>
              <w:jc w:val="right"/>
              <w:rPr>
                <w:color w:val="000000"/>
                <w:sz w:val="20"/>
                <w:szCs w:val="20"/>
              </w:rPr>
            </w:pPr>
            <w:r w:rsidRPr="003B58E3">
              <w:rPr>
                <w:color w:val="000000"/>
                <w:sz w:val="20"/>
                <w:szCs w:val="20"/>
              </w:rPr>
              <w:t xml:space="preserve">18 897 </w:t>
            </w:r>
          </w:p>
        </w:tc>
        <w:tc>
          <w:tcPr>
            <w:tcW w:w="1043" w:type="dxa"/>
            <w:tcBorders>
              <w:top w:val="nil"/>
              <w:left w:val="nil"/>
              <w:bottom w:val="single" w:sz="4" w:space="0" w:color="auto"/>
              <w:right w:val="single" w:sz="4" w:space="0" w:color="auto"/>
            </w:tcBorders>
            <w:shd w:val="clear" w:color="auto" w:fill="auto"/>
            <w:vAlign w:val="center"/>
            <w:hideMark/>
          </w:tcPr>
          <w:p w:rsidR="003B58E3" w:rsidRPr="003B58E3" w:rsidRDefault="003B58E3" w:rsidP="003B58E3">
            <w:pPr>
              <w:ind w:firstLine="0"/>
              <w:jc w:val="right"/>
              <w:rPr>
                <w:color w:val="000000"/>
                <w:sz w:val="20"/>
                <w:szCs w:val="20"/>
              </w:rPr>
            </w:pPr>
            <w:r w:rsidRPr="003B58E3">
              <w:rPr>
                <w:color w:val="000000"/>
                <w:sz w:val="20"/>
                <w:szCs w:val="20"/>
              </w:rPr>
              <w:t xml:space="preserve">19 473 </w:t>
            </w:r>
          </w:p>
        </w:tc>
        <w:tc>
          <w:tcPr>
            <w:tcW w:w="1123" w:type="dxa"/>
            <w:tcBorders>
              <w:top w:val="nil"/>
              <w:left w:val="nil"/>
              <w:bottom w:val="single" w:sz="4" w:space="0" w:color="auto"/>
              <w:right w:val="single" w:sz="4" w:space="0" w:color="auto"/>
            </w:tcBorders>
            <w:shd w:val="clear" w:color="auto" w:fill="auto"/>
            <w:vAlign w:val="center"/>
            <w:hideMark/>
          </w:tcPr>
          <w:p w:rsidR="003B58E3" w:rsidRPr="003B58E3" w:rsidRDefault="003B58E3" w:rsidP="003B58E3">
            <w:pPr>
              <w:ind w:firstLine="0"/>
              <w:jc w:val="right"/>
              <w:rPr>
                <w:color w:val="000000"/>
                <w:sz w:val="20"/>
                <w:szCs w:val="20"/>
              </w:rPr>
            </w:pPr>
            <w:r w:rsidRPr="003B58E3">
              <w:rPr>
                <w:color w:val="000000"/>
                <w:sz w:val="20"/>
                <w:szCs w:val="20"/>
              </w:rPr>
              <w:t>3,05</w:t>
            </w:r>
            <w:r>
              <w:rPr>
                <w:color w:val="000000"/>
                <w:sz w:val="20"/>
                <w:szCs w:val="20"/>
              </w:rPr>
              <w:t xml:space="preserve"> </w:t>
            </w:r>
            <w:r w:rsidRPr="003B58E3">
              <w:rPr>
                <w:color w:val="000000"/>
                <w:sz w:val="20"/>
                <w:szCs w:val="20"/>
              </w:rPr>
              <w:t>%</w:t>
            </w:r>
          </w:p>
        </w:tc>
      </w:tr>
      <w:tr w:rsidR="00041561" w:rsidRPr="004761E0" w:rsidTr="00605C86">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041561" w:rsidRPr="004761E0" w:rsidRDefault="00041561" w:rsidP="007076A7">
            <w:pPr>
              <w:numPr>
                <w:ilvl w:val="0"/>
                <w:numId w:val="113"/>
              </w:numPr>
              <w:jc w:val="left"/>
              <w:rPr>
                <w:rFonts w:eastAsia="Times New Roman"/>
                <w:color w:val="000000"/>
                <w:sz w:val="20"/>
                <w:szCs w:val="20"/>
                <w:lang w:eastAsia="ru-RU"/>
              </w:rPr>
            </w:pPr>
          </w:p>
        </w:tc>
        <w:tc>
          <w:tcPr>
            <w:tcW w:w="9475" w:type="dxa"/>
            <w:gridSpan w:val="6"/>
            <w:tcBorders>
              <w:top w:val="nil"/>
              <w:left w:val="nil"/>
              <w:bottom w:val="single" w:sz="4" w:space="0" w:color="auto"/>
              <w:right w:val="single" w:sz="4" w:space="0" w:color="auto"/>
            </w:tcBorders>
            <w:shd w:val="clear" w:color="auto" w:fill="auto"/>
            <w:vAlign w:val="center"/>
            <w:hideMark/>
          </w:tcPr>
          <w:p w:rsidR="00041561" w:rsidRPr="004761E0" w:rsidRDefault="00041561" w:rsidP="00041561">
            <w:pPr>
              <w:ind w:firstLine="0"/>
              <w:jc w:val="left"/>
              <w:rPr>
                <w:rFonts w:eastAsia="Times New Roman"/>
                <w:color w:val="000000"/>
                <w:sz w:val="20"/>
                <w:szCs w:val="20"/>
                <w:lang w:eastAsia="ru-RU"/>
              </w:rPr>
            </w:pPr>
            <w:r w:rsidRPr="004761E0">
              <w:rPr>
                <w:rFonts w:eastAsia="Times New Roman"/>
                <w:color w:val="000000"/>
                <w:sz w:val="20"/>
                <w:szCs w:val="20"/>
                <w:lang w:eastAsia="ru-RU"/>
              </w:rPr>
              <w:t>Рентабельность по чистой прибыли</w:t>
            </w:r>
          </w:p>
        </w:tc>
      </w:tr>
      <w:tr w:rsidR="006A0727" w:rsidRPr="004761E0" w:rsidTr="006A0727">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6A0727" w:rsidRPr="004761E0" w:rsidRDefault="006A0727" w:rsidP="007076A7">
            <w:pPr>
              <w:pStyle w:val="a5"/>
              <w:numPr>
                <w:ilvl w:val="1"/>
                <w:numId w:val="113"/>
              </w:numPr>
              <w:jc w:val="left"/>
              <w:rPr>
                <w:rFonts w:eastAsia="Times New Roman"/>
                <w:color w:val="000000"/>
                <w:sz w:val="20"/>
                <w:szCs w:val="20"/>
                <w:lang w:eastAsia="ru-RU"/>
              </w:rPr>
            </w:pPr>
          </w:p>
        </w:tc>
        <w:tc>
          <w:tcPr>
            <w:tcW w:w="3273" w:type="dxa"/>
            <w:tcBorders>
              <w:top w:val="nil"/>
              <w:left w:val="nil"/>
              <w:bottom w:val="single" w:sz="4" w:space="0" w:color="auto"/>
              <w:right w:val="single" w:sz="4" w:space="0" w:color="auto"/>
            </w:tcBorders>
            <w:shd w:val="clear" w:color="auto" w:fill="auto"/>
            <w:vAlign w:val="center"/>
            <w:hideMark/>
          </w:tcPr>
          <w:p w:rsidR="006A0727" w:rsidRPr="004761E0" w:rsidRDefault="006A0727" w:rsidP="00C44D2A">
            <w:pPr>
              <w:ind w:firstLine="471"/>
              <w:jc w:val="left"/>
              <w:rPr>
                <w:rFonts w:eastAsia="Times New Roman"/>
                <w:color w:val="000000"/>
                <w:sz w:val="20"/>
                <w:szCs w:val="20"/>
                <w:lang w:eastAsia="ru-RU"/>
              </w:rPr>
            </w:pPr>
            <w:r w:rsidRPr="004761E0">
              <w:rPr>
                <w:rFonts w:eastAsia="Times New Roman"/>
                <w:color w:val="000000"/>
                <w:sz w:val="20"/>
                <w:szCs w:val="20"/>
                <w:lang w:eastAsia="ru-RU"/>
              </w:rPr>
              <w:t>по РСБУ</w:t>
            </w:r>
          </w:p>
        </w:tc>
        <w:tc>
          <w:tcPr>
            <w:tcW w:w="1950" w:type="dxa"/>
            <w:tcBorders>
              <w:top w:val="single" w:sz="4" w:space="0" w:color="auto"/>
              <w:left w:val="nil"/>
              <w:bottom w:val="single" w:sz="4" w:space="0" w:color="auto"/>
              <w:right w:val="single" w:sz="4" w:space="0" w:color="auto"/>
            </w:tcBorders>
            <w:vAlign w:val="center"/>
          </w:tcPr>
          <w:p w:rsidR="006A0727" w:rsidRPr="004761E0" w:rsidRDefault="006A0727" w:rsidP="00F050A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043" w:type="dxa"/>
            <w:tcBorders>
              <w:top w:val="nil"/>
              <w:left w:val="single" w:sz="4" w:space="0" w:color="auto"/>
              <w:bottom w:val="single" w:sz="4" w:space="0" w:color="auto"/>
              <w:right w:val="single" w:sz="4" w:space="0" w:color="auto"/>
            </w:tcBorders>
            <w:shd w:val="clear" w:color="auto" w:fill="auto"/>
            <w:vAlign w:val="center"/>
            <w:hideMark/>
          </w:tcPr>
          <w:p w:rsidR="006A0727" w:rsidRPr="004761E0" w:rsidRDefault="006A0727" w:rsidP="006A0727">
            <w:pPr>
              <w:ind w:firstLine="0"/>
              <w:jc w:val="right"/>
              <w:rPr>
                <w:rFonts w:eastAsia="Times New Roman"/>
                <w:color w:val="000000"/>
                <w:sz w:val="20"/>
                <w:szCs w:val="20"/>
                <w:lang w:eastAsia="ru-RU"/>
              </w:rPr>
            </w:pPr>
            <w:r w:rsidRPr="004761E0">
              <w:rPr>
                <w:color w:val="000000"/>
                <w:sz w:val="20"/>
                <w:szCs w:val="20"/>
              </w:rPr>
              <w:t>13,48</w:t>
            </w:r>
          </w:p>
        </w:tc>
        <w:tc>
          <w:tcPr>
            <w:tcW w:w="1043" w:type="dxa"/>
            <w:tcBorders>
              <w:top w:val="nil"/>
              <w:left w:val="nil"/>
              <w:bottom w:val="single" w:sz="4" w:space="0" w:color="auto"/>
              <w:right w:val="single" w:sz="4" w:space="0" w:color="auto"/>
            </w:tcBorders>
            <w:shd w:val="clear" w:color="auto" w:fill="auto"/>
            <w:vAlign w:val="center"/>
            <w:hideMark/>
          </w:tcPr>
          <w:p w:rsidR="006A0727" w:rsidRPr="004761E0" w:rsidRDefault="006A0727" w:rsidP="006A0727">
            <w:pPr>
              <w:ind w:firstLine="0"/>
              <w:jc w:val="right"/>
              <w:rPr>
                <w:rFonts w:eastAsia="Times New Roman"/>
                <w:color w:val="000000"/>
                <w:sz w:val="20"/>
                <w:szCs w:val="20"/>
                <w:lang w:eastAsia="ru-RU"/>
              </w:rPr>
            </w:pPr>
            <w:r w:rsidRPr="004761E0">
              <w:rPr>
                <w:color w:val="000000"/>
                <w:sz w:val="20"/>
                <w:szCs w:val="20"/>
              </w:rPr>
              <w:t>14,56</w:t>
            </w:r>
          </w:p>
        </w:tc>
        <w:tc>
          <w:tcPr>
            <w:tcW w:w="1043" w:type="dxa"/>
            <w:tcBorders>
              <w:top w:val="nil"/>
              <w:left w:val="nil"/>
              <w:bottom w:val="single" w:sz="4" w:space="0" w:color="auto"/>
              <w:right w:val="single" w:sz="4" w:space="0" w:color="auto"/>
            </w:tcBorders>
            <w:shd w:val="clear" w:color="auto" w:fill="auto"/>
            <w:vAlign w:val="center"/>
            <w:hideMark/>
          </w:tcPr>
          <w:p w:rsidR="006A0727" w:rsidRPr="004761E0" w:rsidRDefault="006A0727" w:rsidP="006A0727">
            <w:pPr>
              <w:ind w:firstLine="0"/>
              <w:jc w:val="right"/>
              <w:rPr>
                <w:rFonts w:eastAsia="Times New Roman"/>
                <w:color w:val="000000"/>
                <w:sz w:val="20"/>
                <w:szCs w:val="20"/>
                <w:lang w:eastAsia="ru-RU"/>
              </w:rPr>
            </w:pPr>
            <w:r w:rsidRPr="004761E0">
              <w:rPr>
                <w:color w:val="000000"/>
                <w:sz w:val="20"/>
                <w:szCs w:val="20"/>
              </w:rPr>
              <w:t>9,33</w:t>
            </w:r>
          </w:p>
        </w:tc>
        <w:tc>
          <w:tcPr>
            <w:tcW w:w="1123" w:type="dxa"/>
            <w:tcBorders>
              <w:top w:val="nil"/>
              <w:left w:val="nil"/>
              <w:bottom w:val="single" w:sz="4" w:space="0" w:color="auto"/>
              <w:right w:val="single" w:sz="4" w:space="0" w:color="auto"/>
            </w:tcBorders>
            <w:shd w:val="clear" w:color="auto" w:fill="auto"/>
            <w:vAlign w:val="center"/>
            <w:hideMark/>
          </w:tcPr>
          <w:p w:rsidR="006A0727" w:rsidRPr="004761E0" w:rsidRDefault="006A0727" w:rsidP="006A0727">
            <w:pPr>
              <w:ind w:firstLine="0"/>
              <w:jc w:val="right"/>
              <w:rPr>
                <w:rFonts w:eastAsia="Times New Roman"/>
                <w:color w:val="000000"/>
                <w:sz w:val="20"/>
                <w:szCs w:val="20"/>
                <w:lang w:eastAsia="ru-RU"/>
              </w:rPr>
            </w:pPr>
            <w:r w:rsidRPr="004761E0">
              <w:rPr>
                <w:color w:val="000000"/>
                <w:sz w:val="20"/>
                <w:szCs w:val="20"/>
              </w:rPr>
              <w:t>-5,23 п.п.</w:t>
            </w:r>
          </w:p>
        </w:tc>
      </w:tr>
      <w:tr w:rsidR="003B58E3" w:rsidRPr="004761E0" w:rsidTr="003B58E3">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3B58E3" w:rsidRPr="004761E0" w:rsidRDefault="003B58E3" w:rsidP="007076A7">
            <w:pPr>
              <w:pStyle w:val="a5"/>
              <w:numPr>
                <w:ilvl w:val="1"/>
                <w:numId w:val="113"/>
              </w:numPr>
              <w:jc w:val="left"/>
              <w:rPr>
                <w:rFonts w:eastAsia="Times New Roman"/>
                <w:color w:val="000000"/>
                <w:sz w:val="20"/>
                <w:szCs w:val="20"/>
                <w:lang w:eastAsia="ru-RU"/>
              </w:rPr>
            </w:pPr>
          </w:p>
        </w:tc>
        <w:tc>
          <w:tcPr>
            <w:tcW w:w="3273" w:type="dxa"/>
            <w:tcBorders>
              <w:top w:val="nil"/>
              <w:left w:val="nil"/>
              <w:bottom w:val="single" w:sz="4" w:space="0" w:color="auto"/>
              <w:right w:val="single" w:sz="4" w:space="0" w:color="auto"/>
            </w:tcBorders>
            <w:shd w:val="clear" w:color="auto" w:fill="auto"/>
            <w:vAlign w:val="center"/>
            <w:hideMark/>
          </w:tcPr>
          <w:p w:rsidR="003B58E3" w:rsidRPr="004761E0" w:rsidRDefault="003B58E3" w:rsidP="00C44D2A">
            <w:pPr>
              <w:ind w:firstLine="471"/>
              <w:jc w:val="left"/>
              <w:rPr>
                <w:rFonts w:eastAsia="Times New Roman"/>
                <w:color w:val="000000"/>
                <w:sz w:val="20"/>
                <w:szCs w:val="20"/>
                <w:lang w:eastAsia="ru-RU"/>
              </w:rPr>
            </w:pPr>
            <w:r w:rsidRPr="004761E0">
              <w:rPr>
                <w:rFonts w:eastAsia="Times New Roman"/>
                <w:color w:val="000000"/>
                <w:sz w:val="20"/>
                <w:szCs w:val="20"/>
                <w:lang w:eastAsia="ru-RU"/>
              </w:rPr>
              <w:t>по МСФО</w:t>
            </w:r>
          </w:p>
        </w:tc>
        <w:tc>
          <w:tcPr>
            <w:tcW w:w="1950" w:type="dxa"/>
            <w:tcBorders>
              <w:top w:val="single" w:sz="4" w:space="0" w:color="auto"/>
              <w:left w:val="nil"/>
              <w:bottom w:val="single" w:sz="4" w:space="0" w:color="auto"/>
              <w:right w:val="single" w:sz="4" w:space="0" w:color="auto"/>
            </w:tcBorders>
            <w:vAlign w:val="center"/>
          </w:tcPr>
          <w:p w:rsidR="003B58E3" w:rsidRPr="004761E0" w:rsidRDefault="003B58E3" w:rsidP="00F050A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043" w:type="dxa"/>
            <w:tcBorders>
              <w:top w:val="nil"/>
              <w:left w:val="single" w:sz="4" w:space="0" w:color="auto"/>
              <w:bottom w:val="single" w:sz="4" w:space="0" w:color="auto"/>
              <w:right w:val="single" w:sz="4" w:space="0" w:color="auto"/>
            </w:tcBorders>
            <w:shd w:val="clear" w:color="auto" w:fill="auto"/>
            <w:vAlign w:val="center"/>
            <w:hideMark/>
          </w:tcPr>
          <w:p w:rsidR="003B58E3" w:rsidRPr="003B58E3" w:rsidRDefault="003B58E3" w:rsidP="003B58E3">
            <w:pPr>
              <w:ind w:firstLine="0"/>
              <w:jc w:val="right"/>
              <w:rPr>
                <w:color w:val="000000"/>
                <w:sz w:val="20"/>
                <w:szCs w:val="20"/>
              </w:rPr>
            </w:pPr>
            <w:r w:rsidRPr="003B58E3">
              <w:rPr>
                <w:color w:val="000000"/>
                <w:sz w:val="20"/>
                <w:szCs w:val="20"/>
              </w:rPr>
              <w:t>13,95</w:t>
            </w:r>
          </w:p>
        </w:tc>
        <w:tc>
          <w:tcPr>
            <w:tcW w:w="1043" w:type="dxa"/>
            <w:tcBorders>
              <w:top w:val="nil"/>
              <w:left w:val="nil"/>
              <w:bottom w:val="single" w:sz="4" w:space="0" w:color="auto"/>
              <w:right w:val="single" w:sz="4" w:space="0" w:color="auto"/>
            </w:tcBorders>
            <w:shd w:val="clear" w:color="auto" w:fill="auto"/>
            <w:vAlign w:val="center"/>
            <w:hideMark/>
          </w:tcPr>
          <w:p w:rsidR="003B58E3" w:rsidRPr="003B58E3" w:rsidRDefault="003B58E3" w:rsidP="003B58E3">
            <w:pPr>
              <w:ind w:firstLine="0"/>
              <w:jc w:val="right"/>
              <w:rPr>
                <w:color w:val="000000"/>
                <w:sz w:val="20"/>
                <w:szCs w:val="20"/>
              </w:rPr>
            </w:pPr>
            <w:r w:rsidRPr="003B58E3">
              <w:rPr>
                <w:color w:val="000000"/>
                <w:sz w:val="20"/>
                <w:szCs w:val="20"/>
              </w:rPr>
              <w:t>15,08</w:t>
            </w:r>
          </w:p>
        </w:tc>
        <w:tc>
          <w:tcPr>
            <w:tcW w:w="1043" w:type="dxa"/>
            <w:tcBorders>
              <w:top w:val="nil"/>
              <w:left w:val="nil"/>
              <w:bottom w:val="single" w:sz="4" w:space="0" w:color="auto"/>
              <w:right w:val="single" w:sz="4" w:space="0" w:color="auto"/>
            </w:tcBorders>
            <w:shd w:val="clear" w:color="auto" w:fill="auto"/>
            <w:vAlign w:val="center"/>
            <w:hideMark/>
          </w:tcPr>
          <w:p w:rsidR="003B58E3" w:rsidRPr="003B58E3" w:rsidRDefault="003B58E3" w:rsidP="003B58E3">
            <w:pPr>
              <w:ind w:firstLine="0"/>
              <w:jc w:val="right"/>
              <w:rPr>
                <w:color w:val="000000"/>
                <w:sz w:val="20"/>
                <w:szCs w:val="20"/>
              </w:rPr>
            </w:pPr>
            <w:r w:rsidRPr="003B58E3">
              <w:rPr>
                <w:color w:val="000000"/>
                <w:sz w:val="20"/>
                <w:szCs w:val="20"/>
              </w:rPr>
              <w:t>15,08</w:t>
            </w:r>
          </w:p>
        </w:tc>
        <w:tc>
          <w:tcPr>
            <w:tcW w:w="1123" w:type="dxa"/>
            <w:tcBorders>
              <w:top w:val="nil"/>
              <w:left w:val="nil"/>
              <w:bottom w:val="single" w:sz="4" w:space="0" w:color="auto"/>
              <w:right w:val="single" w:sz="4" w:space="0" w:color="auto"/>
            </w:tcBorders>
            <w:shd w:val="clear" w:color="auto" w:fill="auto"/>
            <w:vAlign w:val="center"/>
            <w:hideMark/>
          </w:tcPr>
          <w:p w:rsidR="003B58E3" w:rsidRPr="003B58E3" w:rsidRDefault="003B58E3" w:rsidP="003B58E3">
            <w:pPr>
              <w:ind w:firstLine="0"/>
              <w:jc w:val="right"/>
              <w:rPr>
                <w:color w:val="000000"/>
                <w:sz w:val="20"/>
                <w:szCs w:val="20"/>
              </w:rPr>
            </w:pPr>
            <w:r w:rsidRPr="003B58E3">
              <w:rPr>
                <w:color w:val="000000"/>
                <w:sz w:val="20"/>
                <w:szCs w:val="20"/>
              </w:rPr>
              <w:t>0,00</w:t>
            </w:r>
            <w:r>
              <w:rPr>
                <w:color w:val="000000"/>
                <w:sz w:val="20"/>
                <w:szCs w:val="20"/>
              </w:rPr>
              <w:t xml:space="preserve"> п.п.</w:t>
            </w:r>
          </w:p>
        </w:tc>
      </w:tr>
      <w:tr w:rsidR="00041561" w:rsidRPr="004761E0" w:rsidTr="00605C86">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041561" w:rsidRPr="004761E0" w:rsidRDefault="00041561" w:rsidP="007076A7">
            <w:pPr>
              <w:numPr>
                <w:ilvl w:val="0"/>
                <w:numId w:val="113"/>
              </w:numPr>
              <w:jc w:val="left"/>
              <w:rPr>
                <w:rFonts w:eastAsia="Times New Roman"/>
                <w:color w:val="000000"/>
                <w:sz w:val="20"/>
                <w:szCs w:val="20"/>
                <w:lang w:eastAsia="ru-RU"/>
              </w:rPr>
            </w:pPr>
          </w:p>
        </w:tc>
        <w:tc>
          <w:tcPr>
            <w:tcW w:w="9475" w:type="dxa"/>
            <w:gridSpan w:val="6"/>
            <w:tcBorders>
              <w:top w:val="nil"/>
              <w:left w:val="nil"/>
              <w:bottom w:val="single" w:sz="4" w:space="0" w:color="auto"/>
              <w:right w:val="single" w:sz="4" w:space="0" w:color="auto"/>
            </w:tcBorders>
            <w:shd w:val="clear" w:color="auto" w:fill="auto"/>
            <w:vAlign w:val="center"/>
            <w:hideMark/>
          </w:tcPr>
          <w:p w:rsidR="00041561" w:rsidRPr="004761E0" w:rsidRDefault="00041561" w:rsidP="00041561">
            <w:pPr>
              <w:ind w:firstLine="0"/>
              <w:jc w:val="left"/>
              <w:rPr>
                <w:rFonts w:eastAsia="Times New Roman"/>
                <w:color w:val="000000"/>
                <w:sz w:val="20"/>
                <w:szCs w:val="20"/>
                <w:lang w:eastAsia="ru-RU"/>
              </w:rPr>
            </w:pPr>
            <w:r w:rsidRPr="004761E0">
              <w:rPr>
                <w:rFonts w:eastAsia="Times New Roman"/>
                <w:color w:val="000000"/>
                <w:sz w:val="20"/>
                <w:szCs w:val="20"/>
                <w:lang w:eastAsia="ru-RU"/>
              </w:rPr>
              <w:t>Стоимость чистых активов</w:t>
            </w:r>
          </w:p>
        </w:tc>
      </w:tr>
      <w:tr w:rsidR="002A4C16" w:rsidRPr="004761E0" w:rsidTr="00C44D2A">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2A4C16" w:rsidRPr="004761E0" w:rsidRDefault="002A4C16" w:rsidP="007076A7">
            <w:pPr>
              <w:pStyle w:val="a5"/>
              <w:numPr>
                <w:ilvl w:val="1"/>
                <w:numId w:val="113"/>
              </w:numPr>
              <w:jc w:val="left"/>
              <w:rPr>
                <w:rFonts w:eastAsia="Times New Roman"/>
                <w:color w:val="000000"/>
                <w:sz w:val="20"/>
                <w:szCs w:val="20"/>
                <w:lang w:eastAsia="ru-RU"/>
              </w:rPr>
            </w:pPr>
          </w:p>
        </w:tc>
        <w:tc>
          <w:tcPr>
            <w:tcW w:w="3273" w:type="dxa"/>
            <w:tcBorders>
              <w:top w:val="nil"/>
              <w:left w:val="nil"/>
              <w:bottom w:val="single" w:sz="4" w:space="0" w:color="auto"/>
              <w:right w:val="single" w:sz="4" w:space="0" w:color="auto"/>
            </w:tcBorders>
            <w:shd w:val="clear" w:color="auto" w:fill="auto"/>
            <w:vAlign w:val="center"/>
            <w:hideMark/>
          </w:tcPr>
          <w:p w:rsidR="002A4C16" w:rsidRPr="004761E0" w:rsidRDefault="002A4C16" w:rsidP="00C44D2A">
            <w:pPr>
              <w:ind w:firstLine="471"/>
              <w:jc w:val="left"/>
              <w:rPr>
                <w:rFonts w:eastAsia="Times New Roman"/>
                <w:color w:val="000000"/>
                <w:sz w:val="20"/>
                <w:szCs w:val="20"/>
                <w:lang w:eastAsia="ru-RU"/>
              </w:rPr>
            </w:pPr>
            <w:r w:rsidRPr="004761E0">
              <w:rPr>
                <w:rFonts w:eastAsia="Times New Roman"/>
                <w:color w:val="000000"/>
                <w:sz w:val="20"/>
                <w:szCs w:val="20"/>
                <w:lang w:eastAsia="ru-RU"/>
              </w:rPr>
              <w:t>по РСБУ</w:t>
            </w:r>
          </w:p>
        </w:tc>
        <w:tc>
          <w:tcPr>
            <w:tcW w:w="1950" w:type="dxa"/>
            <w:tcBorders>
              <w:top w:val="single" w:sz="4" w:space="0" w:color="auto"/>
              <w:left w:val="nil"/>
              <w:bottom w:val="single" w:sz="4" w:space="0" w:color="auto"/>
              <w:right w:val="single" w:sz="4" w:space="0" w:color="auto"/>
            </w:tcBorders>
            <w:vAlign w:val="center"/>
          </w:tcPr>
          <w:p w:rsidR="002A4C16" w:rsidRPr="004761E0" w:rsidRDefault="002A4C16" w:rsidP="00F050AA">
            <w:pPr>
              <w:ind w:firstLine="0"/>
              <w:jc w:val="right"/>
              <w:rPr>
                <w:rFonts w:eastAsia="Times New Roman"/>
                <w:color w:val="000000"/>
                <w:sz w:val="20"/>
                <w:szCs w:val="20"/>
                <w:lang w:eastAsia="ru-RU"/>
              </w:rPr>
            </w:pPr>
            <w:proofErr w:type="gramStart"/>
            <w:r w:rsidRPr="004761E0">
              <w:rPr>
                <w:rFonts w:eastAsia="Times New Roman"/>
                <w:color w:val="000000"/>
                <w:sz w:val="20"/>
                <w:szCs w:val="20"/>
                <w:lang w:eastAsia="ru-RU"/>
              </w:rPr>
              <w:t>млн</w:t>
            </w:r>
            <w:proofErr w:type="gramEnd"/>
            <w:r w:rsidRPr="004761E0">
              <w:rPr>
                <w:rFonts w:eastAsia="Times New Roman"/>
                <w:color w:val="000000"/>
                <w:sz w:val="20"/>
                <w:szCs w:val="20"/>
                <w:lang w:eastAsia="ru-RU"/>
              </w:rPr>
              <w:t xml:space="preserve"> руб.</w:t>
            </w:r>
          </w:p>
        </w:tc>
        <w:tc>
          <w:tcPr>
            <w:tcW w:w="1043" w:type="dxa"/>
            <w:tcBorders>
              <w:top w:val="nil"/>
              <w:left w:val="single" w:sz="4" w:space="0" w:color="auto"/>
              <w:bottom w:val="single" w:sz="4" w:space="0" w:color="auto"/>
              <w:right w:val="single" w:sz="4" w:space="0" w:color="auto"/>
            </w:tcBorders>
            <w:shd w:val="clear" w:color="auto" w:fill="auto"/>
            <w:vAlign w:val="center"/>
            <w:hideMark/>
          </w:tcPr>
          <w:p w:rsidR="002A4C16" w:rsidRPr="004761E0" w:rsidRDefault="002A4C16" w:rsidP="00BF53E8">
            <w:pPr>
              <w:ind w:firstLine="0"/>
              <w:jc w:val="right"/>
              <w:rPr>
                <w:rFonts w:eastAsia="Times New Roman"/>
                <w:color w:val="000000"/>
                <w:sz w:val="20"/>
                <w:szCs w:val="20"/>
                <w:lang w:eastAsia="ru-RU"/>
              </w:rPr>
            </w:pPr>
            <w:r w:rsidRPr="004761E0">
              <w:rPr>
                <w:rFonts w:eastAsia="Times New Roman"/>
                <w:color w:val="000000"/>
                <w:sz w:val="20"/>
                <w:szCs w:val="20"/>
                <w:lang w:eastAsia="ru-RU"/>
              </w:rPr>
              <w:t>155 178</w:t>
            </w:r>
          </w:p>
        </w:tc>
        <w:tc>
          <w:tcPr>
            <w:tcW w:w="1043" w:type="dxa"/>
            <w:tcBorders>
              <w:top w:val="nil"/>
              <w:left w:val="nil"/>
              <w:bottom w:val="single" w:sz="4" w:space="0" w:color="auto"/>
              <w:right w:val="single" w:sz="4" w:space="0" w:color="auto"/>
            </w:tcBorders>
            <w:shd w:val="clear" w:color="auto" w:fill="auto"/>
            <w:vAlign w:val="center"/>
            <w:hideMark/>
          </w:tcPr>
          <w:p w:rsidR="002A4C16" w:rsidRPr="004761E0" w:rsidRDefault="002A4C16" w:rsidP="00BF53E8">
            <w:pPr>
              <w:ind w:firstLine="0"/>
              <w:jc w:val="right"/>
              <w:rPr>
                <w:rFonts w:eastAsia="Times New Roman"/>
                <w:color w:val="000000"/>
                <w:sz w:val="20"/>
                <w:szCs w:val="20"/>
                <w:lang w:eastAsia="ru-RU"/>
              </w:rPr>
            </w:pPr>
            <w:r w:rsidRPr="004761E0">
              <w:rPr>
                <w:rFonts w:eastAsia="Times New Roman"/>
                <w:color w:val="000000"/>
                <w:sz w:val="20"/>
                <w:szCs w:val="20"/>
                <w:lang w:eastAsia="ru-RU"/>
              </w:rPr>
              <w:t>171 144</w:t>
            </w:r>
          </w:p>
        </w:tc>
        <w:tc>
          <w:tcPr>
            <w:tcW w:w="1043" w:type="dxa"/>
            <w:tcBorders>
              <w:top w:val="nil"/>
              <w:left w:val="nil"/>
              <w:bottom w:val="single" w:sz="4" w:space="0" w:color="auto"/>
              <w:right w:val="single" w:sz="4" w:space="0" w:color="auto"/>
            </w:tcBorders>
            <w:shd w:val="clear" w:color="auto" w:fill="auto"/>
            <w:vAlign w:val="center"/>
            <w:hideMark/>
          </w:tcPr>
          <w:p w:rsidR="002A4C16" w:rsidRPr="004761E0" w:rsidRDefault="002A4C16" w:rsidP="00BF53E8">
            <w:pPr>
              <w:ind w:firstLine="0"/>
              <w:jc w:val="right"/>
              <w:rPr>
                <w:rFonts w:eastAsia="Times New Roman"/>
                <w:color w:val="000000"/>
                <w:sz w:val="20"/>
                <w:szCs w:val="20"/>
                <w:lang w:eastAsia="ru-RU"/>
              </w:rPr>
            </w:pPr>
            <w:r w:rsidRPr="004761E0">
              <w:rPr>
                <w:rFonts w:eastAsia="Times New Roman"/>
                <w:color w:val="000000"/>
                <w:sz w:val="20"/>
                <w:szCs w:val="20"/>
                <w:lang w:eastAsia="ru-RU"/>
              </w:rPr>
              <w:t>178 489</w:t>
            </w:r>
          </w:p>
        </w:tc>
        <w:tc>
          <w:tcPr>
            <w:tcW w:w="1123" w:type="dxa"/>
            <w:tcBorders>
              <w:top w:val="nil"/>
              <w:left w:val="nil"/>
              <w:bottom w:val="single" w:sz="4" w:space="0" w:color="auto"/>
              <w:right w:val="single" w:sz="4" w:space="0" w:color="auto"/>
            </w:tcBorders>
            <w:shd w:val="clear" w:color="auto" w:fill="auto"/>
            <w:vAlign w:val="center"/>
            <w:hideMark/>
          </w:tcPr>
          <w:p w:rsidR="002A4C16" w:rsidRPr="004761E0" w:rsidRDefault="002A4C16" w:rsidP="00BF53E8">
            <w:pPr>
              <w:ind w:firstLine="0"/>
              <w:jc w:val="right"/>
              <w:rPr>
                <w:rFonts w:eastAsia="Times New Roman"/>
                <w:color w:val="000000"/>
                <w:sz w:val="20"/>
                <w:szCs w:val="20"/>
                <w:lang w:eastAsia="ru-RU"/>
              </w:rPr>
            </w:pPr>
            <w:r w:rsidRPr="004761E0">
              <w:rPr>
                <w:rFonts w:eastAsia="Times New Roman"/>
                <w:color w:val="000000"/>
                <w:sz w:val="20"/>
                <w:szCs w:val="20"/>
                <w:lang w:eastAsia="ru-RU"/>
              </w:rPr>
              <w:t>4,29 %</w:t>
            </w:r>
          </w:p>
        </w:tc>
      </w:tr>
      <w:tr w:rsidR="003B58E3" w:rsidRPr="004761E0" w:rsidTr="003B58E3">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3B58E3" w:rsidRPr="004761E0" w:rsidRDefault="003B58E3" w:rsidP="007076A7">
            <w:pPr>
              <w:pStyle w:val="a5"/>
              <w:numPr>
                <w:ilvl w:val="1"/>
                <w:numId w:val="113"/>
              </w:numPr>
              <w:jc w:val="left"/>
              <w:rPr>
                <w:rFonts w:eastAsia="Times New Roman"/>
                <w:color w:val="000000"/>
                <w:sz w:val="20"/>
                <w:szCs w:val="20"/>
                <w:lang w:eastAsia="ru-RU"/>
              </w:rPr>
            </w:pPr>
          </w:p>
        </w:tc>
        <w:tc>
          <w:tcPr>
            <w:tcW w:w="3273" w:type="dxa"/>
            <w:tcBorders>
              <w:top w:val="nil"/>
              <w:left w:val="nil"/>
              <w:bottom w:val="single" w:sz="4" w:space="0" w:color="auto"/>
              <w:right w:val="single" w:sz="4" w:space="0" w:color="auto"/>
            </w:tcBorders>
            <w:shd w:val="clear" w:color="auto" w:fill="auto"/>
            <w:vAlign w:val="center"/>
            <w:hideMark/>
          </w:tcPr>
          <w:p w:rsidR="003B58E3" w:rsidRPr="004761E0" w:rsidRDefault="003B58E3" w:rsidP="00C44D2A">
            <w:pPr>
              <w:ind w:firstLine="471"/>
              <w:jc w:val="left"/>
              <w:rPr>
                <w:rFonts w:eastAsia="Times New Roman"/>
                <w:color w:val="000000"/>
                <w:sz w:val="20"/>
                <w:szCs w:val="20"/>
                <w:lang w:eastAsia="ru-RU"/>
              </w:rPr>
            </w:pPr>
            <w:r w:rsidRPr="004761E0">
              <w:rPr>
                <w:rFonts w:eastAsia="Times New Roman"/>
                <w:color w:val="000000"/>
                <w:sz w:val="20"/>
                <w:szCs w:val="20"/>
                <w:lang w:eastAsia="ru-RU"/>
              </w:rPr>
              <w:t>по МСФО</w:t>
            </w:r>
          </w:p>
        </w:tc>
        <w:tc>
          <w:tcPr>
            <w:tcW w:w="1950" w:type="dxa"/>
            <w:tcBorders>
              <w:top w:val="single" w:sz="4" w:space="0" w:color="auto"/>
              <w:left w:val="nil"/>
              <w:bottom w:val="single" w:sz="4" w:space="0" w:color="auto"/>
              <w:right w:val="single" w:sz="4" w:space="0" w:color="auto"/>
            </w:tcBorders>
            <w:vAlign w:val="center"/>
          </w:tcPr>
          <w:p w:rsidR="003B58E3" w:rsidRPr="004761E0" w:rsidRDefault="003B58E3" w:rsidP="00F050AA">
            <w:pPr>
              <w:ind w:firstLine="0"/>
              <w:jc w:val="right"/>
              <w:rPr>
                <w:rFonts w:eastAsia="Times New Roman"/>
                <w:color w:val="000000"/>
                <w:sz w:val="20"/>
                <w:szCs w:val="20"/>
                <w:lang w:eastAsia="ru-RU"/>
              </w:rPr>
            </w:pPr>
            <w:proofErr w:type="gramStart"/>
            <w:r w:rsidRPr="004761E0">
              <w:rPr>
                <w:rFonts w:eastAsia="Times New Roman"/>
                <w:color w:val="000000"/>
                <w:sz w:val="20"/>
                <w:szCs w:val="20"/>
                <w:lang w:eastAsia="ru-RU"/>
              </w:rPr>
              <w:t>млн</w:t>
            </w:r>
            <w:proofErr w:type="gramEnd"/>
            <w:r w:rsidRPr="004761E0">
              <w:rPr>
                <w:rFonts w:eastAsia="Times New Roman"/>
                <w:color w:val="000000"/>
                <w:sz w:val="20"/>
                <w:szCs w:val="20"/>
                <w:lang w:eastAsia="ru-RU"/>
              </w:rPr>
              <w:t xml:space="preserve"> руб.</w:t>
            </w:r>
          </w:p>
        </w:tc>
        <w:tc>
          <w:tcPr>
            <w:tcW w:w="1043" w:type="dxa"/>
            <w:tcBorders>
              <w:top w:val="nil"/>
              <w:left w:val="single" w:sz="4" w:space="0" w:color="auto"/>
              <w:bottom w:val="single" w:sz="4" w:space="0" w:color="auto"/>
              <w:right w:val="single" w:sz="4" w:space="0" w:color="auto"/>
            </w:tcBorders>
            <w:shd w:val="clear" w:color="auto" w:fill="auto"/>
            <w:vAlign w:val="center"/>
            <w:hideMark/>
          </w:tcPr>
          <w:p w:rsidR="003B58E3" w:rsidRPr="003B58E3" w:rsidRDefault="003B58E3" w:rsidP="003B58E3">
            <w:pPr>
              <w:ind w:firstLine="0"/>
              <w:jc w:val="right"/>
              <w:rPr>
                <w:rFonts w:eastAsia="Times New Roman"/>
                <w:color w:val="000000"/>
                <w:sz w:val="20"/>
                <w:szCs w:val="20"/>
                <w:lang w:eastAsia="ru-RU"/>
              </w:rPr>
            </w:pPr>
            <w:r w:rsidRPr="003B58E3">
              <w:rPr>
                <w:rFonts w:eastAsia="Times New Roman"/>
                <w:color w:val="000000"/>
                <w:sz w:val="20"/>
                <w:szCs w:val="20"/>
                <w:lang w:eastAsia="ru-RU"/>
              </w:rPr>
              <w:t xml:space="preserve">121 868 </w:t>
            </w:r>
          </w:p>
        </w:tc>
        <w:tc>
          <w:tcPr>
            <w:tcW w:w="1043" w:type="dxa"/>
            <w:tcBorders>
              <w:top w:val="nil"/>
              <w:left w:val="nil"/>
              <w:bottom w:val="single" w:sz="4" w:space="0" w:color="auto"/>
              <w:right w:val="single" w:sz="4" w:space="0" w:color="auto"/>
            </w:tcBorders>
            <w:shd w:val="clear" w:color="auto" w:fill="auto"/>
            <w:vAlign w:val="center"/>
            <w:hideMark/>
          </w:tcPr>
          <w:p w:rsidR="003B58E3" w:rsidRPr="003B58E3" w:rsidRDefault="003B58E3" w:rsidP="003B58E3">
            <w:pPr>
              <w:ind w:firstLine="0"/>
              <w:jc w:val="right"/>
              <w:rPr>
                <w:rFonts w:eastAsia="Times New Roman"/>
                <w:color w:val="000000"/>
                <w:sz w:val="20"/>
                <w:szCs w:val="20"/>
                <w:lang w:eastAsia="ru-RU"/>
              </w:rPr>
            </w:pPr>
            <w:r w:rsidRPr="003B58E3">
              <w:rPr>
                <w:rFonts w:eastAsia="Times New Roman"/>
                <w:color w:val="000000"/>
                <w:sz w:val="20"/>
                <w:szCs w:val="20"/>
                <w:lang w:eastAsia="ru-RU"/>
              </w:rPr>
              <w:t xml:space="preserve">138 947 </w:t>
            </w:r>
          </w:p>
        </w:tc>
        <w:tc>
          <w:tcPr>
            <w:tcW w:w="1043" w:type="dxa"/>
            <w:tcBorders>
              <w:top w:val="nil"/>
              <w:left w:val="nil"/>
              <w:bottom w:val="single" w:sz="4" w:space="0" w:color="auto"/>
              <w:right w:val="single" w:sz="4" w:space="0" w:color="auto"/>
            </w:tcBorders>
            <w:shd w:val="clear" w:color="auto" w:fill="auto"/>
            <w:vAlign w:val="center"/>
            <w:hideMark/>
          </w:tcPr>
          <w:p w:rsidR="003B58E3" w:rsidRPr="003B58E3" w:rsidRDefault="003B58E3" w:rsidP="003B58E3">
            <w:pPr>
              <w:ind w:firstLine="0"/>
              <w:jc w:val="right"/>
              <w:rPr>
                <w:rFonts w:eastAsia="Times New Roman"/>
                <w:color w:val="000000"/>
                <w:sz w:val="20"/>
                <w:szCs w:val="20"/>
                <w:lang w:eastAsia="ru-RU"/>
              </w:rPr>
            </w:pPr>
            <w:r w:rsidRPr="003B58E3">
              <w:rPr>
                <w:rFonts w:eastAsia="Times New Roman"/>
                <w:color w:val="000000"/>
                <w:sz w:val="20"/>
                <w:szCs w:val="20"/>
                <w:lang w:eastAsia="ru-RU"/>
              </w:rPr>
              <w:t xml:space="preserve">153 578 </w:t>
            </w:r>
          </w:p>
        </w:tc>
        <w:tc>
          <w:tcPr>
            <w:tcW w:w="1123" w:type="dxa"/>
            <w:tcBorders>
              <w:top w:val="nil"/>
              <w:left w:val="nil"/>
              <w:bottom w:val="single" w:sz="4" w:space="0" w:color="auto"/>
              <w:right w:val="single" w:sz="4" w:space="0" w:color="auto"/>
            </w:tcBorders>
            <w:shd w:val="clear" w:color="auto" w:fill="auto"/>
            <w:vAlign w:val="center"/>
            <w:hideMark/>
          </w:tcPr>
          <w:p w:rsidR="003B58E3" w:rsidRPr="003B58E3" w:rsidRDefault="003B58E3" w:rsidP="003B58E3">
            <w:pPr>
              <w:ind w:firstLine="0"/>
              <w:jc w:val="right"/>
              <w:rPr>
                <w:rFonts w:eastAsia="Times New Roman"/>
                <w:color w:val="000000"/>
                <w:sz w:val="20"/>
                <w:szCs w:val="20"/>
                <w:lang w:eastAsia="ru-RU"/>
              </w:rPr>
            </w:pPr>
            <w:r w:rsidRPr="003B58E3">
              <w:rPr>
                <w:rFonts w:eastAsia="Times New Roman"/>
                <w:color w:val="000000"/>
                <w:sz w:val="20"/>
                <w:szCs w:val="20"/>
                <w:lang w:eastAsia="ru-RU"/>
              </w:rPr>
              <w:t>10,53 %</w:t>
            </w:r>
          </w:p>
        </w:tc>
      </w:tr>
      <w:tr w:rsidR="00F050AA" w:rsidRPr="004761E0" w:rsidTr="00C44D2A">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F050AA" w:rsidRPr="004761E0" w:rsidRDefault="00F050AA" w:rsidP="007076A7">
            <w:pPr>
              <w:numPr>
                <w:ilvl w:val="0"/>
                <w:numId w:val="113"/>
              </w:numPr>
              <w:jc w:val="left"/>
              <w:rPr>
                <w:rFonts w:eastAsia="Times New Roman"/>
                <w:color w:val="000000"/>
                <w:sz w:val="20"/>
                <w:szCs w:val="20"/>
                <w:lang w:eastAsia="ru-RU"/>
              </w:rPr>
            </w:pPr>
          </w:p>
        </w:tc>
        <w:tc>
          <w:tcPr>
            <w:tcW w:w="3273" w:type="dxa"/>
            <w:tcBorders>
              <w:top w:val="nil"/>
              <w:left w:val="nil"/>
              <w:bottom w:val="single" w:sz="4" w:space="0" w:color="auto"/>
              <w:right w:val="single" w:sz="4" w:space="0" w:color="auto"/>
            </w:tcBorders>
            <w:shd w:val="clear" w:color="auto" w:fill="auto"/>
            <w:vAlign w:val="center"/>
            <w:hideMark/>
          </w:tcPr>
          <w:p w:rsidR="00F050AA" w:rsidRPr="004761E0" w:rsidRDefault="00F050AA" w:rsidP="00C44D2A">
            <w:pPr>
              <w:ind w:firstLine="0"/>
              <w:jc w:val="left"/>
              <w:rPr>
                <w:rFonts w:eastAsia="Times New Roman"/>
                <w:color w:val="000000"/>
                <w:sz w:val="20"/>
                <w:szCs w:val="20"/>
                <w:lang w:val="en-US" w:eastAsia="ru-RU"/>
              </w:rPr>
            </w:pPr>
            <w:r w:rsidRPr="004761E0">
              <w:rPr>
                <w:rFonts w:eastAsia="Times New Roman"/>
                <w:color w:val="000000"/>
                <w:sz w:val="20"/>
                <w:szCs w:val="20"/>
                <w:lang w:eastAsia="ru-RU"/>
              </w:rPr>
              <w:t>Полезный отпуск «котловой»</w:t>
            </w:r>
          </w:p>
        </w:tc>
        <w:tc>
          <w:tcPr>
            <w:tcW w:w="1950" w:type="dxa"/>
            <w:tcBorders>
              <w:top w:val="single" w:sz="4" w:space="0" w:color="auto"/>
              <w:left w:val="nil"/>
              <w:bottom w:val="single" w:sz="4" w:space="0" w:color="auto"/>
              <w:right w:val="single" w:sz="4" w:space="0" w:color="auto"/>
            </w:tcBorders>
            <w:vAlign w:val="center"/>
          </w:tcPr>
          <w:p w:rsidR="00F050AA" w:rsidRPr="004761E0" w:rsidRDefault="00F050AA" w:rsidP="00F050AA">
            <w:pPr>
              <w:ind w:firstLine="0"/>
              <w:jc w:val="right"/>
              <w:rPr>
                <w:rFonts w:eastAsia="Times New Roman"/>
                <w:color w:val="000000"/>
                <w:sz w:val="20"/>
                <w:szCs w:val="20"/>
                <w:lang w:eastAsia="ru-RU"/>
              </w:rPr>
            </w:pPr>
            <w:proofErr w:type="gramStart"/>
            <w:r w:rsidRPr="004761E0">
              <w:rPr>
                <w:rFonts w:eastAsia="Times New Roman"/>
                <w:color w:val="000000"/>
                <w:sz w:val="20"/>
                <w:szCs w:val="20"/>
                <w:lang w:eastAsia="ru-RU"/>
              </w:rPr>
              <w:t>млн</w:t>
            </w:r>
            <w:proofErr w:type="gramEnd"/>
            <w:r w:rsidRPr="004761E0">
              <w:rPr>
                <w:rFonts w:eastAsia="Times New Roman"/>
                <w:color w:val="000000"/>
                <w:sz w:val="20"/>
                <w:szCs w:val="20"/>
                <w:lang w:eastAsia="ru-RU"/>
              </w:rPr>
              <w:t xml:space="preserve"> кВтч</w:t>
            </w:r>
          </w:p>
        </w:tc>
        <w:tc>
          <w:tcPr>
            <w:tcW w:w="1043" w:type="dxa"/>
            <w:tcBorders>
              <w:top w:val="nil"/>
              <w:left w:val="single" w:sz="4" w:space="0" w:color="auto"/>
              <w:bottom w:val="single" w:sz="4" w:space="0" w:color="auto"/>
              <w:right w:val="single" w:sz="4" w:space="0" w:color="auto"/>
            </w:tcBorders>
            <w:shd w:val="clear" w:color="auto" w:fill="auto"/>
            <w:vAlign w:val="center"/>
            <w:hideMark/>
          </w:tcPr>
          <w:p w:rsidR="00F050AA" w:rsidRPr="004761E0" w:rsidRDefault="00F050AA" w:rsidP="00F050AA">
            <w:pPr>
              <w:ind w:firstLine="0"/>
              <w:jc w:val="right"/>
              <w:rPr>
                <w:rFonts w:eastAsia="Times New Roman"/>
                <w:color w:val="000000"/>
                <w:sz w:val="20"/>
                <w:szCs w:val="20"/>
                <w:lang w:eastAsia="ru-RU"/>
              </w:rPr>
            </w:pPr>
            <w:r w:rsidRPr="004761E0">
              <w:rPr>
                <w:rFonts w:eastAsia="Times New Roman"/>
                <w:color w:val="000000"/>
                <w:sz w:val="20"/>
                <w:szCs w:val="20"/>
                <w:lang w:eastAsia="ru-RU"/>
              </w:rPr>
              <w:t>73 540</w:t>
            </w:r>
          </w:p>
        </w:tc>
        <w:tc>
          <w:tcPr>
            <w:tcW w:w="1043" w:type="dxa"/>
            <w:tcBorders>
              <w:top w:val="nil"/>
              <w:left w:val="nil"/>
              <w:bottom w:val="single" w:sz="4" w:space="0" w:color="auto"/>
              <w:right w:val="single" w:sz="4" w:space="0" w:color="auto"/>
            </w:tcBorders>
            <w:shd w:val="clear" w:color="auto" w:fill="auto"/>
            <w:vAlign w:val="center"/>
            <w:hideMark/>
          </w:tcPr>
          <w:p w:rsidR="00F050AA" w:rsidRPr="004761E0" w:rsidRDefault="00F050AA" w:rsidP="00F050AA">
            <w:pPr>
              <w:ind w:firstLine="0"/>
              <w:jc w:val="right"/>
              <w:rPr>
                <w:rFonts w:eastAsia="Times New Roman"/>
                <w:color w:val="000000"/>
                <w:sz w:val="20"/>
                <w:szCs w:val="20"/>
                <w:lang w:eastAsia="ru-RU"/>
              </w:rPr>
            </w:pPr>
            <w:r w:rsidRPr="004761E0">
              <w:rPr>
                <w:rFonts w:eastAsia="Times New Roman"/>
                <w:color w:val="000000"/>
                <w:sz w:val="20"/>
                <w:szCs w:val="20"/>
                <w:lang w:eastAsia="ru-RU"/>
              </w:rPr>
              <w:t>69 362</w:t>
            </w:r>
          </w:p>
        </w:tc>
        <w:tc>
          <w:tcPr>
            <w:tcW w:w="1043" w:type="dxa"/>
            <w:tcBorders>
              <w:top w:val="nil"/>
              <w:left w:val="nil"/>
              <w:bottom w:val="single" w:sz="4" w:space="0" w:color="auto"/>
              <w:right w:val="single" w:sz="4" w:space="0" w:color="auto"/>
            </w:tcBorders>
            <w:shd w:val="clear" w:color="auto" w:fill="auto"/>
            <w:vAlign w:val="center"/>
            <w:hideMark/>
          </w:tcPr>
          <w:p w:rsidR="00F050AA" w:rsidRPr="004761E0" w:rsidRDefault="00F050AA" w:rsidP="00F050AA">
            <w:pPr>
              <w:ind w:firstLine="0"/>
              <w:jc w:val="right"/>
              <w:rPr>
                <w:rFonts w:eastAsia="Times New Roman"/>
                <w:color w:val="000000"/>
                <w:sz w:val="20"/>
                <w:szCs w:val="20"/>
                <w:lang w:eastAsia="ru-RU"/>
              </w:rPr>
            </w:pPr>
            <w:r w:rsidRPr="004761E0">
              <w:rPr>
                <w:rFonts w:eastAsia="Times New Roman"/>
                <w:color w:val="000000"/>
                <w:sz w:val="20"/>
                <w:szCs w:val="20"/>
                <w:lang w:eastAsia="ru-RU"/>
              </w:rPr>
              <w:t>71 412</w:t>
            </w:r>
          </w:p>
        </w:tc>
        <w:tc>
          <w:tcPr>
            <w:tcW w:w="1123" w:type="dxa"/>
            <w:tcBorders>
              <w:top w:val="nil"/>
              <w:left w:val="nil"/>
              <w:bottom w:val="single" w:sz="4" w:space="0" w:color="auto"/>
              <w:right w:val="single" w:sz="4" w:space="0" w:color="auto"/>
            </w:tcBorders>
            <w:shd w:val="clear" w:color="auto" w:fill="auto"/>
            <w:vAlign w:val="center"/>
            <w:hideMark/>
          </w:tcPr>
          <w:p w:rsidR="00F050AA" w:rsidRPr="004761E0" w:rsidRDefault="00F050AA" w:rsidP="00F050AA">
            <w:pPr>
              <w:ind w:firstLine="0"/>
              <w:jc w:val="right"/>
              <w:rPr>
                <w:rFonts w:eastAsia="Times New Roman"/>
                <w:color w:val="000000"/>
                <w:sz w:val="20"/>
                <w:szCs w:val="20"/>
                <w:lang w:eastAsia="ru-RU"/>
              </w:rPr>
            </w:pPr>
            <w:r w:rsidRPr="004761E0">
              <w:rPr>
                <w:rFonts w:eastAsia="Times New Roman"/>
                <w:color w:val="000000"/>
                <w:sz w:val="20"/>
                <w:szCs w:val="20"/>
                <w:lang w:eastAsia="ru-RU"/>
              </w:rPr>
              <w:t>2,96 %</w:t>
            </w:r>
          </w:p>
        </w:tc>
      </w:tr>
      <w:tr w:rsidR="00F050AA" w:rsidRPr="004761E0" w:rsidTr="00C44D2A">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F050AA" w:rsidRPr="004761E0" w:rsidRDefault="00F050AA" w:rsidP="007076A7">
            <w:pPr>
              <w:numPr>
                <w:ilvl w:val="0"/>
                <w:numId w:val="113"/>
              </w:numPr>
              <w:jc w:val="left"/>
              <w:rPr>
                <w:rFonts w:eastAsia="Times New Roman"/>
                <w:color w:val="000000"/>
                <w:sz w:val="20"/>
                <w:szCs w:val="20"/>
                <w:lang w:eastAsia="ru-RU"/>
              </w:rPr>
            </w:pPr>
          </w:p>
        </w:tc>
        <w:tc>
          <w:tcPr>
            <w:tcW w:w="3273" w:type="dxa"/>
            <w:tcBorders>
              <w:top w:val="nil"/>
              <w:left w:val="nil"/>
              <w:bottom w:val="single" w:sz="4" w:space="0" w:color="auto"/>
              <w:right w:val="single" w:sz="4" w:space="0" w:color="auto"/>
            </w:tcBorders>
            <w:shd w:val="clear" w:color="auto" w:fill="auto"/>
            <w:vAlign w:val="center"/>
            <w:hideMark/>
          </w:tcPr>
          <w:p w:rsidR="00F050AA" w:rsidRPr="004761E0" w:rsidRDefault="00F050AA" w:rsidP="00C44D2A">
            <w:pPr>
              <w:ind w:firstLine="0"/>
              <w:jc w:val="left"/>
              <w:rPr>
                <w:rFonts w:eastAsia="Times New Roman"/>
                <w:color w:val="000000"/>
                <w:sz w:val="20"/>
                <w:szCs w:val="20"/>
                <w:lang w:eastAsia="ru-RU"/>
              </w:rPr>
            </w:pPr>
            <w:r w:rsidRPr="004761E0">
              <w:rPr>
                <w:rFonts w:eastAsia="Times New Roman"/>
                <w:color w:val="000000"/>
                <w:sz w:val="20"/>
                <w:szCs w:val="20"/>
                <w:lang w:eastAsia="ru-RU"/>
              </w:rPr>
              <w:t>Полезный отпуск</w:t>
            </w:r>
            <w:r w:rsidR="00ED76CD" w:rsidRPr="004761E0">
              <w:rPr>
                <w:rFonts w:eastAsia="Times New Roman"/>
                <w:color w:val="000000"/>
                <w:sz w:val="20"/>
                <w:szCs w:val="20"/>
                <w:lang w:eastAsia="ru-RU"/>
              </w:rPr>
              <w:t xml:space="preserve"> «собственный»</w:t>
            </w:r>
          </w:p>
        </w:tc>
        <w:tc>
          <w:tcPr>
            <w:tcW w:w="1950" w:type="dxa"/>
            <w:tcBorders>
              <w:top w:val="single" w:sz="4" w:space="0" w:color="auto"/>
              <w:left w:val="nil"/>
              <w:bottom w:val="single" w:sz="4" w:space="0" w:color="auto"/>
              <w:right w:val="single" w:sz="4" w:space="0" w:color="auto"/>
            </w:tcBorders>
            <w:vAlign w:val="center"/>
          </w:tcPr>
          <w:p w:rsidR="00F050AA" w:rsidRPr="004761E0" w:rsidRDefault="00F050AA" w:rsidP="00F050AA">
            <w:pPr>
              <w:ind w:firstLine="0"/>
              <w:jc w:val="right"/>
              <w:rPr>
                <w:rFonts w:eastAsia="Times New Roman"/>
                <w:color w:val="000000"/>
                <w:sz w:val="20"/>
                <w:szCs w:val="20"/>
                <w:lang w:eastAsia="ru-RU"/>
              </w:rPr>
            </w:pPr>
            <w:proofErr w:type="gramStart"/>
            <w:r w:rsidRPr="004761E0">
              <w:rPr>
                <w:rFonts w:eastAsia="Times New Roman"/>
                <w:color w:val="000000"/>
                <w:sz w:val="20"/>
                <w:szCs w:val="20"/>
                <w:lang w:eastAsia="ru-RU"/>
              </w:rPr>
              <w:t>млн</w:t>
            </w:r>
            <w:proofErr w:type="gramEnd"/>
            <w:r w:rsidRPr="004761E0">
              <w:rPr>
                <w:rFonts w:eastAsia="Times New Roman"/>
                <w:color w:val="000000"/>
                <w:sz w:val="20"/>
                <w:szCs w:val="20"/>
                <w:lang w:eastAsia="ru-RU"/>
              </w:rPr>
              <w:t xml:space="preserve"> кВтч</w:t>
            </w:r>
          </w:p>
        </w:tc>
        <w:tc>
          <w:tcPr>
            <w:tcW w:w="1043" w:type="dxa"/>
            <w:tcBorders>
              <w:top w:val="nil"/>
              <w:left w:val="single" w:sz="4" w:space="0" w:color="auto"/>
              <w:bottom w:val="single" w:sz="4" w:space="0" w:color="auto"/>
              <w:right w:val="single" w:sz="4" w:space="0" w:color="auto"/>
            </w:tcBorders>
            <w:shd w:val="clear" w:color="auto" w:fill="auto"/>
            <w:vAlign w:val="center"/>
            <w:hideMark/>
          </w:tcPr>
          <w:p w:rsidR="00F050AA" w:rsidRPr="004761E0" w:rsidRDefault="00F050AA" w:rsidP="00F050AA">
            <w:pPr>
              <w:ind w:firstLine="0"/>
              <w:jc w:val="right"/>
              <w:rPr>
                <w:rFonts w:eastAsia="Times New Roman"/>
                <w:color w:val="000000"/>
                <w:sz w:val="20"/>
                <w:szCs w:val="20"/>
                <w:lang w:eastAsia="ru-RU"/>
              </w:rPr>
            </w:pPr>
            <w:r w:rsidRPr="004761E0">
              <w:rPr>
                <w:rFonts w:eastAsia="Times New Roman"/>
                <w:color w:val="000000"/>
                <w:sz w:val="20"/>
                <w:szCs w:val="20"/>
                <w:lang w:eastAsia="ru-RU"/>
              </w:rPr>
              <w:t>75 470</w:t>
            </w:r>
          </w:p>
        </w:tc>
        <w:tc>
          <w:tcPr>
            <w:tcW w:w="1043" w:type="dxa"/>
            <w:tcBorders>
              <w:top w:val="nil"/>
              <w:left w:val="nil"/>
              <w:bottom w:val="single" w:sz="4" w:space="0" w:color="auto"/>
              <w:right w:val="single" w:sz="4" w:space="0" w:color="auto"/>
            </w:tcBorders>
            <w:shd w:val="clear" w:color="auto" w:fill="auto"/>
            <w:vAlign w:val="center"/>
            <w:hideMark/>
          </w:tcPr>
          <w:p w:rsidR="00F050AA" w:rsidRPr="004761E0" w:rsidRDefault="00F050AA" w:rsidP="00F050AA">
            <w:pPr>
              <w:ind w:firstLine="0"/>
              <w:jc w:val="right"/>
              <w:rPr>
                <w:rFonts w:eastAsia="Times New Roman"/>
                <w:color w:val="000000"/>
                <w:sz w:val="20"/>
                <w:szCs w:val="20"/>
                <w:lang w:eastAsia="ru-RU"/>
              </w:rPr>
            </w:pPr>
            <w:r w:rsidRPr="004761E0">
              <w:rPr>
                <w:rFonts w:eastAsia="Times New Roman"/>
                <w:color w:val="000000"/>
                <w:sz w:val="20"/>
                <w:szCs w:val="20"/>
                <w:lang w:eastAsia="ru-RU"/>
              </w:rPr>
              <w:t>78 546</w:t>
            </w:r>
          </w:p>
        </w:tc>
        <w:tc>
          <w:tcPr>
            <w:tcW w:w="1043" w:type="dxa"/>
            <w:tcBorders>
              <w:top w:val="nil"/>
              <w:left w:val="nil"/>
              <w:bottom w:val="single" w:sz="4" w:space="0" w:color="auto"/>
              <w:right w:val="single" w:sz="4" w:space="0" w:color="auto"/>
            </w:tcBorders>
            <w:shd w:val="clear" w:color="auto" w:fill="auto"/>
            <w:vAlign w:val="center"/>
            <w:hideMark/>
          </w:tcPr>
          <w:p w:rsidR="00F050AA" w:rsidRPr="004761E0" w:rsidRDefault="00F050AA" w:rsidP="00F050AA">
            <w:pPr>
              <w:ind w:firstLine="0"/>
              <w:jc w:val="right"/>
              <w:rPr>
                <w:rFonts w:eastAsia="Times New Roman"/>
                <w:color w:val="000000"/>
                <w:sz w:val="20"/>
                <w:szCs w:val="20"/>
                <w:lang w:eastAsia="ru-RU"/>
              </w:rPr>
            </w:pPr>
            <w:r w:rsidRPr="004761E0">
              <w:rPr>
                <w:rFonts w:eastAsia="Times New Roman"/>
                <w:color w:val="000000"/>
                <w:sz w:val="20"/>
                <w:szCs w:val="20"/>
                <w:lang w:eastAsia="ru-RU"/>
              </w:rPr>
              <w:t>80 133</w:t>
            </w:r>
          </w:p>
        </w:tc>
        <w:tc>
          <w:tcPr>
            <w:tcW w:w="1123" w:type="dxa"/>
            <w:tcBorders>
              <w:top w:val="nil"/>
              <w:left w:val="nil"/>
              <w:bottom w:val="single" w:sz="4" w:space="0" w:color="auto"/>
              <w:right w:val="single" w:sz="4" w:space="0" w:color="auto"/>
            </w:tcBorders>
            <w:shd w:val="clear" w:color="auto" w:fill="auto"/>
            <w:vAlign w:val="center"/>
            <w:hideMark/>
          </w:tcPr>
          <w:p w:rsidR="00F050AA" w:rsidRPr="004761E0" w:rsidRDefault="00F050AA" w:rsidP="00F050AA">
            <w:pPr>
              <w:ind w:firstLine="0"/>
              <w:jc w:val="right"/>
              <w:rPr>
                <w:rFonts w:eastAsia="Times New Roman"/>
                <w:color w:val="000000"/>
                <w:sz w:val="20"/>
                <w:szCs w:val="20"/>
                <w:lang w:eastAsia="ru-RU"/>
              </w:rPr>
            </w:pPr>
            <w:r w:rsidRPr="004761E0">
              <w:rPr>
                <w:rFonts w:eastAsia="Times New Roman"/>
                <w:color w:val="000000"/>
                <w:sz w:val="20"/>
                <w:szCs w:val="20"/>
                <w:lang w:eastAsia="ru-RU"/>
              </w:rPr>
              <w:t>2,02 %</w:t>
            </w:r>
          </w:p>
        </w:tc>
      </w:tr>
      <w:tr w:rsidR="00F050AA" w:rsidRPr="004761E0" w:rsidTr="00C44D2A">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F050AA" w:rsidRPr="004761E0" w:rsidRDefault="00F050AA" w:rsidP="007076A7">
            <w:pPr>
              <w:numPr>
                <w:ilvl w:val="0"/>
                <w:numId w:val="113"/>
              </w:numPr>
              <w:jc w:val="left"/>
              <w:rPr>
                <w:rFonts w:eastAsia="Times New Roman"/>
                <w:color w:val="000000"/>
                <w:sz w:val="20"/>
                <w:szCs w:val="20"/>
                <w:lang w:eastAsia="ru-RU"/>
              </w:rPr>
            </w:pPr>
          </w:p>
        </w:tc>
        <w:tc>
          <w:tcPr>
            <w:tcW w:w="3273" w:type="dxa"/>
            <w:tcBorders>
              <w:top w:val="nil"/>
              <w:left w:val="nil"/>
              <w:bottom w:val="single" w:sz="4" w:space="0" w:color="auto"/>
              <w:right w:val="single" w:sz="4" w:space="0" w:color="auto"/>
            </w:tcBorders>
            <w:shd w:val="clear" w:color="auto" w:fill="auto"/>
            <w:vAlign w:val="center"/>
            <w:hideMark/>
          </w:tcPr>
          <w:p w:rsidR="00F050AA" w:rsidRPr="004761E0" w:rsidRDefault="00F050AA" w:rsidP="00C44D2A">
            <w:pPr>
              <w:ind w:firstLine="0"/>
              <w:jc w:val="left"/>
              <w:rPr>
                <w:rFonts w:eastAsia="Times New Roman"/>
                <w:color w:val="000000"/>
                <w:sz w:val="20"/>
                <w:szCs w:val="20"/>
                <w:lang w:eastAsia="ru-RU"/>
              </w:rPr>
            </w:pPr>
            <w:r w:rsidRPr="004761E0">
              <w:rPr>
                <w:rFonts w:eastAsia="Times New Roman"/>
                <w:color w:val="000000"/>
                <w:sz w:val="20"/>
                <w:szCs w:val="20"/>
                <w:lang w:eastAsia="ru-RU"/>
              </w:rPr>
              <w:t>Потери</w:t>
            </w:r>
          </w:p>
        </w:tc>
        <w:tc>
          <w:tcPr>
            <w:tcW w:w="1950" w:type="dxa"/>
            <w:tcBorders>
              <w:top w:val="single" w:sz="4" w:space="0" w:color="auto"/>
              <w:left w:val="nil"/>
              <w:bottom w:val="single" w:sz="4" w:space="0" w:color="auto"/>
              <w:right w:val="single" w:sz="4" w:space="0" w:color="auto"/>
            </w:tcBorders>
            <w:vAlign w:val="center"/>
          </w:tcPr>
          <w:p w:rsidR="00F050AA" w:rsidRPr="004761E0" w:rsidRDefault="00F050AA" w:rsidP="00F050AA">
            <w:pPr>
              <w:ind w:firstLine="0"/>
              <w:jc w:val="right"/>
              <w:rPr>
                <w:rFonts w:eastAsia="Times New Roman"/>
                <w:color w:val="000000"/>
                <w:sz w:val="20"/>
                <w:szCs w:val="20"/>
                <w:lang w:eastAsia="ru-RU"/>
              </w:rPr>
            </w:pPr>
            <w:r w:rsidRPr="004761E0">
              <w:rPr>
                <w:rFonts w:eastAsia="Times New Roman"/>
                <w:color w:val="000000"/>
                <w:sz w:val="20"/>
                <w:szCs w:val="20"/>
                <w:lang w:eastAsia="ru-RU"/>
              </w:rPr>
              <w:t>% от отпуска в сеть</w:t>
            </w:r>
          </w:p>
        </w:tc>
        <w:tc>
          <w:tcPr>
            <w:tcW w:w="1043" w:type="dxa"/>
            <w:tcBorders>
              <w:top w:val="nil"/>
              <w:left w:val="single" w:sz="4" w:space="0" w:color="auto"/>
              <w:bottom w:val="single" w:sz="4" w:space="0" w:color="auto"/>
              <w:right w:val="single" w:sz="4" w:space="0" w:color="auto"/>
            </w:tcBorders>
            <w:shd w:val="clear" w:color="auto" w:fill="auto"/>
            <w:vAlign w:val="center"/>
            <w:hideMark/>
          </w:tcPr>
          <w:p w:rsidR="00F050AA" w:rsidRPr="004761E0" w:rsidRDefault="00F050AA" w:rsidP="00F050AA">
            <w:pPr>
              <w:ind w:firstLine="0"/>
              <w:jc w:val="right"/>
              <w:rPr>
                <w:rFonts w:eastAsia="Times New Roman"/>
                <w:color w:val="000000"/>
                <w:sz w:val="20"/>
                <w:szCs w:val="20"/>
                <w:lang w:eastAsia="ru-RU"/>
              </w:rPr>
            </w:pPr>
            <w:r w:rsidRPr="004761E0">
              <w:rPr>
                <w:rFonts w:eastAsia="Times New Roman"/>
                <w:color w:val="000000"/>
                <w:sz w:val="20"/>
                <w:szCs w:val="20"/>
                <w:lang w:eastAsia="ru-RU"/>
              </w:rPr>
              <w:t>10,33</w:t>
            </w:r>
          </w:p>
        </w:tc>
        <w:tc>
          <w:tcPr>
            <w:tcW w:w="1043" w:type="dxa"/>
            <w:tcBorders>
              <w:top w:val="nil"/>
              <w:left w:val="nil"/>
              <w:bottom w:val="single" w:sz="4" w:space="0" w:color="auto"/>
              <w:right w:val="single" w:sz="4" w:space="0" w:color="auto"/>
            </w:tcBorders>
            <w:shd w:val="clear" w:color="auto" w:fill="auto"/>
            <w:vAlign w:val="center"/>
            <w:hideMark/>
          </w:tcPr>
          <w:p w:rsidR="00F050AA" w:rsidRPr="004761E0" w:rsidRDefault="00F050AA" w:rsidP="00F050AA">
            <w:pPr>
              <w:ind w:firstLine="0"/>
              <w:jc w:val="right"/>
              <w:rPr>
                <w:rFonts w:eastAsia="Times New Roman"/>
                <w:color w:val="000000"/>
                <w:sz w:val="20"/>
                <w:szCs w:val="20"/>
                <w:lang w:eastAsia="ru-RU"/>
              </w:rPr>
            </w:pPr>
            <w:r w:rsidRPr="004761E0">
              <w:rPr>
                <w:rFonts w:eastAsia="Times New Roman"/>
                <w:color w:val="000000"/>
                <w:sz w:val="20"/>
                <w:szCs w:val="20"/>
                <w:lang w:eastAsia="ru-RU"/>
              </w:rPr>
              <w:t>9,63</w:t>
            </w:r>
          </w:p>
        </w:tc>
        <w:tc>
          <w:tcPr>
            <w:tcW w:w="1043" w:type="dxa"/>
            <w:tcBorders>
              <w:top w:val="nil"/>
              <w:left w:val="nil"/>
              <w:bottom w:val="single" w:sz="4" w:space="0" w:color="auto"/>
              <w:right w:val="single" w:sz="4" w:space="0" w:color="auto"/>
            </w:tcBorders>
            <w:shd w:val="clear" w:color="auto" w:fill="auto"/>
            <w:vAlign w:val="center"/>
            <w:hideMark/>
          </w:tcPr>
          <w:p w:rsidR="00F050AA" w:rsidRPr="004761E0" w:rsidRDefault="00F050AA" w:rsidP="00F050AA">
            <w:pPr>
              <w:ind w:firstLine="0"/>
              <w:jc w:val="right"/>
              <w:rPr>
                <w:rFonts w:eastAsia="Times New Roman"/>
                <w:color w:val="000000"/>
                <w:sz w:val="20"/>
                <w:szCs w:val="20"/>
                <w:lang w:eastAsia="ru-RU"/>
              </w:rPr>
            </w:pPr>
            <w:r w:rsidRPr="004761E0">
              <w:rPr>
                <w:rFonts w:eastAsia="Times New Roman"/>
                <w:color w:val="000000"/>
                <w:sz w:val="20"/>
                <w:szCs w:val="20"/>
                <w:lang w:eastAsia="ru-RU"/>
              </w:rPr>
              <w:t>9,16</w:t>
            </w:r>
          </w:p>
        </w:tc>
        <w:tc>
          <w:tcPr>
            <w:tcW w:w="1123" w:type="dxa"/>
            <w:tcBorders>
              <w:top w:val="nil"/>
              <w:left w:val="nil"/>
              <w:bottom w:val="single" w:sz="4" w:space="0" w:color="auto"/>
              <w:right w:val="single" w:sz="4" w:space="0" w:color="auto"/>
            </w:tcBorders>
            <w:shd w:val="clear" w:color="auto" w:fill="auto"/>
            <w:vAlign w:val="center"/>
            <w:hideMark/>
          </w:tcPr>
          <w:p w:rsidR="00F050AA" w:rsidRPr="004761E0" w:rsidRDefault="00F050AA" w:rsidP="00F050AA">
            <w:pPr>
              <w:ind w:firstLine="0"/>
              <w:jc w:val="right"/>
              <w:rPr>
                <w:rFonts w:eastAsia="Times New Roman"/>
                <w:color w:val="000000"/>
                <w:sz w:val="20"/>
                <w:szCs w:val="20"/>
                <w:lang w:eastAsia="ru-RU"/>
              </w:rPr>
            </w:pPr>
            <w:r w:rsidRPr="004761E0">
              <w:rPr>
                <w:rFonts w:eastAsia="Times New Roman"/>
                <w:color w:val="000000"/>
                <w:sz w:val="20"/>
                <w:szCs w:val="20"/>
                <w:lang w:eastAsia="ru-RU"/>
              </w:rPr>
              <w:t>-0,47 п.п.</w:t>
            </w:r>
          </w:p>
        </w:tc>
      </w:tr>
      <w:tr w:rsidR="00F050AA" w:rsidRPr="004761E0" w:rsidTr="00C44D2A">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F050AA" w:rsidRPr="004761E0" w:rsidRDefault="00F050AA" w:rsidP="007076A7">
            <w:pPr>
              <w:numPr>
                <w:ilvl w:val="0"/>
                <w:numId w:val="113"/>
              </w:numPr>
              <w:jc w:val="left"/>
              <w:rPr>
                <w:rFonts w:eastAsia="Times New Roman"/>
                <w:color w:val="000000"/>
                <w:sz w:val="20"/>
                <w:szCs w:val="20"/>
                <w:lang w:eastAsia="ru-RU"/>
              </w:rPr>
            </w:pPr>
          </w:p>
        </w:tc>
        <w:tc>
          <w:tcPr>
            <w:tcW w:w="3273" w:type="dxa"/>
            <w:tcBorders>
              <w:top w:val="nil"/>
              <w:left w:val="nil"/>
              <w:bottom w:val="single" w:sz="4" w:space="0" w:color="auto"/>
              <w:right w:val="single" w:sz="4" w:space="0" w:color="auto"/>
            </w:tcBorders>
            <w:shd w:val="clear" w:color="auto" w:fill="auto"/>
            <w:vAlign w:val="center"/>
            <w:hideMark/>
          </w:tcPr>
          <w:p w:rsidR="00F050AA" w:rsidRPr="004761E0" w:rsidRDefault="00A53D65" w:rsidP="00C44D2A">
            <w:pPr>
              <w:ind w:firstLine="0"/>
              <w:jc w:val="left"/>
              <w:rPr>
                <w:rFonts w:eastAsia="Times New Roman"/>
                <w:color w:val="000000"/>
                <w:sz w:val="20"/>
                <w:szCs w:val="20"/>
                <w:lang w:eastAsia="ru-RU"/>
              </w:rPr>
            </w:pPr>
            <w:r w:rsidRPr="004761E0">
              <w:rPr>
                <w:rFonts w:eastAsia="Times New Roman"/>
                <w:color w:val="000000"/>
                <w:sz w:val="20"/>
                <w:szCs w:val="20"/>
                <w:lang w:eastAsia="ru-RU"/>
              </w:rPr>
              <w:t>Фактически присоединенная мощность</w:t>
            </w:r>
          </w:p>
        </w:tc>
        <w:tc>
          <w:tcPr>
            <w:tcW w:w="1950" w:type="dxa"/>
            <w:tcBorders>
              <w:top w:val="single" w:sz="4" w:space="0" w:color="auto"/>
              <w:left w:val="nil"/>
              <w:bottom w:val="single" w:sz="4" w:space="0" w:color="auto"/>
              <w:right w:val="single" w:sz="4" w:space="0" w:color="auto"/>
            </w:tcBorders>
            <w:vAlign w:val="center"/>
          </w:tcPr>
          <w:p w:rsidR="00F050AA" w:rsidRPr="004761E0" w:rsidRDefault="00F050AA" w:rsidP="00F050AA">
            <w:pPr>
              <w:ind w:firstLine="0"/>
              <w:jc w:val="right"/>
              <w:rPr>
                <w:rFonts w:eastAsia="Times New Roman"/>
                <w:color w:val="000000"/>
                <w:sz w:val="20"/>
                <w:szCs w:val="20"/>
                <w:lang w:eastAsia="ru-RU"/>
              </w:rPr>
            </w:pPr>
            <w:r w:rsidRPr="004761E0">
              <w:rPr>
                <w:rFonts w:eastAsia="Times New Roman"/>
                <w:color w:val="000000"/>
                <w:sz w:val="20"/>
                <w:szCs w:val="20"/>
                <w:lang w:eastAsia="ru-RU"/>
              </w:rPr>
              <w:t>МВт</w:t>
            </w:r>
          </w:p>
        </w:tc>
        <w:tc>
          <w:tcPr>
            <w:tcW w:w="1043" w:type="dxa"/>
            <w:tcBorders>
              <w:top w:val="nil"/>
              <w:left w:val="single" w:sz="4" w:space="0" w:color="auto"/>
              <w:bottom w:val="single" w:sz="4" w:space="0" w:color="auto"/>
              <w:right w:val="single" w:sz="4" w:space="0" w:color="auto"/>
            </w:tcBorders>
            <w:shd w:val="clear" w:color="auto" w:fill="auto"/>
            <w:vAlign w:val="center"/>
            <w:hideMark/>
          </w:tcPr>
          <w:p w:rsidR="00F050AA" w:rsidRPr="004761E0" w:rsidRDefault="00F050AA" w:rsidP="00F050AA">
            <w:pPr>
              <w:ind w:firstLine="0"/>
              <w:jc w:val="right"/>
              <w:rPr>
                <w:rFonts w:eastAsia="Times New Roman"/>
                <w:color w:val="000000"/>
                <w:sz w:val="20"/>
                <w:szCs w:val="20"/>
                <w:lang w:eastAsia="ru-RU"/>
              </w:rPr>
            </w:pPr>
            <w:r w:rsidRPr="004761E0">
              <w:rPr>
                <w:color w:val="000000"/>
                <w:sz w:val="20"/>
                <w:szCs w:val="20"/>
              </w:rPr>
              <w:t>917</w:t>
            </w:r>
          </w:p>
        </w:tc>
        <w:tc>
          <w:tcPr>
            <w:tcW w:w="1043" w:type="dxa"/>
            <w:tcBorders>
              <w:top w:val="nil"/>
              <w:left w:val="nil"/>
              <w:bottom w:val="single" w:sz="4" w:space="0" w:color="auto"/>
              <w:right w:val="single" w:sz="4" w:space="0" w:color="auto"/>
            </w:tcBorders>
            <w:shd w:val="clear" w:color="auto" w:fill="auto"/>
            <w:vAlign w:val="center"/>
            <w:hideMark/>
          </w:tcPr>
          <w:p w:rsidR="00F050AA" w:rsidRPr="004761E0" w:rsidRDefault="00F050AA" w:rsidP="00F050AA">
            <w:pPr>
              <w:ind w:firstLine="0"/>
              <w:jc w:val="right"/>
              <w:rPr>
                <w:rFonts w:eastAsia="Times New Roman"/>
                <w:color w:val="000000"/>
                <w:sz w:val="20"/>
                <w:szCs w:val="20"/>
                <w:lang w:eastAsia="ru-RU"/>
              </w:rPr>
            </w:pPr>
            <w:r w:rsidRPr="004761E0">
              <w:rPr>
                <w:color w:val="000000"/>
                <w:sz w:val="20"/>
                <w:szCs w:val="20"/>
              </w:rPr>
              <w:t>1 421</w:t>
            </w:r>
          </w:p>
        </w:tc>
        <w:tc>
          <w:tcPr>
            <w:tcW w:w="1043" w:type="dxa"/>
            <w:tcBorders>
              <w:top w:val="nil"/>
              <w:left w:val="nil"/>
              <w:bottom w:val="single" w:sz="4" w:space="0" w:color="auto"/>
              <w:right w:val="single" w:sz="4" w:space="0" w:color="auto"/>
            </w:tcBorders>
            <w:shd w:val="clear" w:color="auto" w:fill="auto"/>
            <w:vAlign w:val="center"/>
            <w:hideMark/>
          </w:tcPr>
          <w:p w:rsidR="00F050AA" w:rsidRPr="004761E0" w:rsidRDefault="00F050AA" w:rsidP="00F050AA">
            <w:pPr>
              <w:ind w:firstLine="0"/>
              <w:jc w:val="right"/>
              <w:rPr>
                <w:rFonts w:eastAsia="Times New Roman"/>
                <w:color w:val="000000"/>
                <w:sz w:val="20"/>
                <w:szCs w:val="20"/>
                <w:lang w:eastAsia="ru-RU"/>
              </w:rPr>
            </w:pPr>
            <w:r w:rsidRPr="004761E0">
              <w:rPr>
                <w:color w:val="000000"/>
                <w:sz w:val="20"/>
                <w:szCs w:val="20"/>
              </w:rPr>
              <w:t>1 531</w:t>
            </w:r>
          </w:p>
        </w:tc>
        <w:tc>
          <w:tcPr>
            <w:tcW w:w="1123" w:type="dxa"/>
            <w:tcBorders>
              <w:top w:val="nil"/>
              <w:left w:val="nil"/>
              <w:bottom w:val="single" w:sz="4" w:space="0" w:color="auto"/>
              <w:right w:val="single" w:sz="4" w:space="0" w:color="auto"/>
            </w:tcBorders>
            <w:shd w:val="clear" w:color="auto" w:fill="auto"/>
            <w:vAlign w:val="center"/>
            <w:hideMark/>
          </w:tcPr>
          <w:p w:rsidR="00F050AA" w:rsidRPr="004761E0" w:rsidRDefault="00F050AA" w:rsidP="00F050AA">
            <w:pPr>
              <w:ind w:firstLine="0"/>
              <w:jc w:val="right"/>
              <w:rPr>
                <w:rFonts w:eastAsia="Times New Roman"/>
                <w:color w:val="000000"/>
                <w:sz w:val="20"/>
                <w:szCs w:val="20"/>
                <w:lang w:eastAsia="ru-RU"/>
              </w:rPr>
            </w:pPr>
            <w:r w:rsidRPr="004761E0">
              <w:rPr>
                <w:color w:val="000000"/>
                <w:sz w:val="20"/>
                <w:szCs w:val="20"/>
              </w:rPr>
              <w:t>7,68</w:t>
            </w:r>
            <w:r w:rsidRPr="004761E0">
              <w:rPr>
                <w:color w:val="000000"/>
                <w:sz w:val="20"/>
                <w:szCs w:val="20"/>
                <w:lang w:val="en-US"/>
              </w:rPr>
              <w:t xml:space="preserve"> </w:t>
            </w:r>
            <w:r w:rsidRPr="004761E0">
              <w:rPr>
                <w:color w:val="000000"/>
                <w:sz w:val="20"/>
                <w:szCs w:val="20"/>
              </w:rPr>
              <w:t>%</w:t>
            </w:r>
          </w:p>
        </w:tc>
      </w:tr>
      <w:tr w:rsidR="00F050AA" w:rsidRPr="004761E0" w:rsidTr="00C44D2A">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F050AA" w:rsidRPr="004761E0" w:rsidRDefault="00F050AA" w:rsidP="007076A7">
            <w:pPr>
              <w:numPr>
                <w:ilvl w:val="0"/>
                <w:numId w:val="113"/>
              </w:numPr>
              <w:jc w:val="left"/>
              <w:rPr>
                <w:rFonts w:eastAsia="Times New Roman"/>
                <w:color w:val="000000"/>
                <w:sz w:val="20"/>
                <w:szCs w:val="20"/>
                <w:lang w:eastAsia="ru-RU"/>
              </w:rPr>
            </w:pPr>
          </w:p>
        </w:tc>
        <w:tc>
          <w:tcPr>
            <w:tcW w:w="3273" w:type="dxa"/>
            <w:tcBorders>
              <w:top w:val="nil"/>
              <w:left w:val="nil"/>
              <w:bottom w:val="single" w:sz="4" w:space="0" w:color="auto"/>
              <w:right w:val="single" w:sz="4" w:space="0" w:color="auto"/>
            </w:tcBorders>
            <w:shd w:val="clear" w:color="auto" w:fill="auto"/>
            <w:vAlign w:val="center"/>
            <w:hideMark/>
          </w:tcPr>
          <w:p w:rsidR="00F050AA" w:rsidRPr="004761E0" w:rsidRDefault="00F050AA" w:rsidP="00AF24B2">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Объем </w:t>
            </w:r>
            <w:r w:rsidR="00AF24B2" w:rsidRPr="004761E0">
              <w:rPr>
                <w:rFonts w:eastAsia="Times New Roman"/>
                <w:color w:val="000000"/>
                <w:sz w:val="20"/>
                <w:szCs w:val="20"/>
                <w:lang w:eastAsia="ru-RU"/>
              </w:rPr>
              <w:t>выплаченных</w:t>
            </w:r>
            <w:r w:rsidRPr="004761E0">
              <w:rPr>
                <w:rFonts w:eastAsia="Times New Roman"/>
                <w:color w:val="000000"/>
                <w:sz w:val="20"/>
                <w:szCs w:val="20"/>
                <w:lang w:eastAsia="ru-RU"/>
              </w:rPr>
              <w:t xml:space="preserve"> дивидендов</w:t>
            </w:r>
          </w:p>
        </w:tc>
        <w:tc>
          <w:tcPr>
            <w:tcW w:w="1950" w:type="dxa"/>
            <w:tcBorders>
              <w:top w:val="single" w:sz="4" w:space="0" w:color="auto"/>
              <w:left w:val="nil"/>
              <w:bottom w:val="single" w:sz="4" w:space="0" w:color="auto"/>
              <w:right w:val="single" w:sz="4" w:space="0" w:color="auto"/>
            </w:tcBorders>
            <w:vAlign w:val="center"/>
          </w:tcPr>
          <w:p w:rsidR="00F050AA" w:rsidRPr="004761E0" w:rsidRDefault="00F050AA" w:rsidP="00F050AA">
            <w:pPr>
              <w:ind w:firstLine="0"/>
              <w:jc w:val="right"/>
              <w:rPr>
                <w:rFonts w:eastAsia="Times New Roman"/>
                <w:color w:val="000000"/>
                <w:sz w:val="20"/>
                <w:szCs w:val="20"/>
                <w:lang w:eastAsia="ru-RU"/>
              </w:rPr>
            </w:pPr>
            <w:proofErr w:type="gramStart"/>
            <w:r w:rsidRPr="004761E0">
              <w:rPr>
                <w:rFonts w:eastAsia="Times New Roman"/>
                <w:color w:val="000000"/>
                <w:sz w:val="20"/>
                <w:szCs w:val="20"/>
                <w:lang w:eastAsia="ru-RU"/>
              </w:rPr>
              <w:t>млн</w:t>
            </w:r>
            <w:proofErr w:type="gramEnd"/>
            <w:r w:rsidRPr="004761E0">
              <w:rPr>
                <w:rFonts w:eastAsia="Times New Roman"/>
                <w:color w:val="000000"/>
                <w:sz w:val="20"/>
                <w:szCs w:val="20"/>
                <w:lang w:eastAsia="ru-RU"/>
              </w:rPr>
              <w:t xml:space="preserve"> руб.</w:t>
            </w:r>
          </w:p>
        </w:tc>
        <w:tc>
          <w:tcPr>
            <w:tcW w:w="1043" w:type="dxa"/>
            <w:tcBorders>
              <w:top w:val="nil"/>
              <w:left w:val="single" w:sz="4" w:space="0" w:color="auto"/>
              <w:bottom w:val="single" w:sz="4" w:space="0" w:color="auto"/>
              <w:right w:val="single" w:sz="4" w:space="0" w:color="auto"/>
            </w:tcBorders>
            <w:shd w:val="clear" w:color="auto" w:fill="auto"/>
            <w:vAlign w:val="center"/>
            <w:hideMark/>
          </w:tcPr>
          <w:p w:rsidR="00F050AA" w:rsidRPr="004761E0" w:rsidRDefault="00F050AA" w:rsidP="00F050AA">
            <w:pPr>
              <w:ind w:firstLine="0"/>
              <w:jc w:val="right"/>
              <w:rPr>
                <w:rFonts w:eastAsia="Times New Roman"/>
                <w:color w:val="000000"/>
                <w:sz w:val="20"/>
                <w:szCs w:val="20"/>
                <w:lang w:eastAsia="ru-RU"/>
              </w:rPr>
            </w:pPr>
            <w:r w:rsidRPr="004761E0">
              <w:rPr>
                <w:rFonts w:eastAsia="Times New Roman"/>
                <w:color w:val="000000"/>
                <w:sz w:val="20"/>
                <w:szCs w:val="20"/>
                <w:lang w:eastAsia="ru-RU"/>
              </w:rPr>
              <w:t>1 200</w:t>
            </w:r>
          </w:p>
        </w:tc>
        <w:tc>
          <w:tcPr>
            <w:tcW w:w="1043" w:type="dxa"/>
            <w:tcBorders>
              <w:top w:val="nil"/>
              <w:left w:val="nil"/>
              <w:bottom w:val="single" w:sz="4" w:space="0" w:color="auto"/>
              <w:right w:val="single" w:sz="4" w:space="0" w:color="auto"/>
            </w:tcBorders>
            <w:shd w:val="clear" w:color="auto" w:fill="auto"/>
            <w:vAlign w:val="center"/>
            <w:hideMark/>
          </w:tcPr>
          <w:p w:rsidR="00F050AA" w:rsidRPr="004761E0" w:rsidRDefault="001A25B0" w:rsidP="00F050AA">
            <w:pPr>
              <w:ind w:firstLine="0"/>
              <w:jc w:val="right"/>
              <w:rPr>
                <w:rFonts w:eastAsia="Times New Roman"/>
                <w:color w:val="000000"/>
                <w:sz w:val="20"/>
                <w:szCs w:val="20"/>
                <w:lang w:eastAsia="ru-RU"/>
              </w:rPr>
            </w:pPr>
            <w:r w:rsidRPr="004761E0">
              <w:rPr>
                <w:color w:val="000000"/>
                <w:sz w:val="20"/>
                <w:szCs w:val="20"/>
              </w:rPr>
              <w:t>1</w:t>
            </w:r>
            <w:r w:rsidR="003F0825" w:rsidRPr="004761E0">
              <w:rPr>
                <w:color w:val="000000"/>
                <w:sz w:val="20"/>
                <w:szCs w:val="20"/>
              </w:rPr>
              <w:t xml:space="preserve"> </w:t>
            </w:r>
            <w:r w:rsidRPr="004761E0">
              <w:rPr>
                <w:color w:val="000000"/>
                <w:sz w:val="20"/>
                <w:szCs w:val="20"/>
              </w:rPr>
              <w:t>218</w:t>
            </w:r>
          </w:p>
        </w:tc>
        <w:tc>
          <w:tcPr>
            <w:tcW w:w="1043" w:type="dxa"/>
            <w:tcBorders>
              <w:top w:val="nil"/>
              <w:left w:val="nil"/>
              <w:bottom w:val="single" w:sz="4" w:space="0" w:color="auto"/>
              <w:right w:val="single" w:sz="4" w:space="0" w:color="auto"/>
            </w:tcBorders>
            <w:shd w:val="clear" w:color="auto" w:fill="auto"/>
            <w:vAlign w:val="center"/>
            <w:hideMark/>
          </w:tcPr>
          <w:p w:rsidR="00F050AA" w:rsidRPr="004761E0" w:rsidRDefault="00F050AA" w:rsidP="00F050AA">
            <w:pPr>
              <w:ind w:firstLine="0"/>
              <w:jc w:val="right"/>
              <w:rPr>
                <w:rFonts w:eastAsia="Times New Roman"/>
                <w:color w:val="000000"/>
                <w:sz w:val="20"/>
                <w:szCs w:val="20"/>
                <w:lang w:eastAsia="ru-RU"/>
              </w:rPr>
            </w:pPr>
            <w:r w:rsidRPr="004761E0">
              <w:rPr>
                <w:color w:val="000000"/>
                <w:sz w:val="20"/>
                <w:szCs w:val="20"/>
              </w:rPr>
              <w:t>4 296</w:t>
            </w:r>
          </w:p>
        </w:tc>
        <w:tc>
          <w:tcPr>
            <w:tcW w:w="1123" w:type="dxa"/>
            <w:tcBorders>
              <w:top w:val="nil"/>
              <w:left w:val="nil"/>
              <w:bottom w:val="single" w:sz="4" w:space="0" w:color="auto"/>
              <w:right w:val="single" w:sz="4" w:space="0" w:color="auto"/>
            </w:tcBorders>
            <w:shd w:val="clear" w:color="auto" w:fill="auto"/>
            <w:vAlign w:val="center"/>
            <w:hideMark/>
          </w:tcPr>
          <w:p w:rsidR="00F050AA" w:rsidRPr="004761E0" w:rsidRDefault="00847CA4" w:rsidP="00847CA4">
            <w:pPr>
              <w:ind w:firstLine="0"/>
              <w:jc w:val="right"/>
              <w:rPr>
                <w:rFonts w:eastAsia="Times New Roman"/>
                <w:color w:val="000000"/>
                <w:sz w:val="20"/>
                <w:szCs w:val="20"/>
                <w:lang w:eastAsia="ru-RU"/>
              </w:rPr>
            </w:pPr>
            <w:r w:rsidRPr="004761E0">
              <w:rPr>
                <w:color w:val="000000"/>
                <w:sz w:val="20"/>
                <w:szCs w:val="20"/>
              </w:rPr>
              <w:t>252</w:t>
            </w:r>
            <w:r w:rsidR="00F050AA" w:rsidRPr="004761E0">
              <w:rPr>
                <w:color w:val="000000"/>
                <w:sz w:val="20"/>
                <w:szCs w:val="20"/>
              </w:rPr>
              <w:t>,</w:t>
            </w:r>
            <w:r w:rsidRPr="004761E0">
              <w:rPr>
                <w:color w:val="000000"/>
                <w:sz w:val="20"/>
                <w:szCs w:val="20"/>
              </w:rPr>
              <w:t>71</w:t>
            </w:r>
            <w:r w:rsidR="00F050AA" w:rsidRPr="004761E0">
              <w:rPr>
                <w:color w:val="000000"/>
                <w:sz w:val="20"/>
                <w:szCs w:val="20"/>
                <w:lang w:val="en-US"/>
              </w:rPr>
              <w:t xml:space="preserve"> </w:t>
            </w:r>
            <w:r w:rsidR="00F050AA" w:rsidRPr="004761E0">
              <w:rPr>
                <w:color w:val="000000"/>
                <w:sz w:val="20"/>
                <w:szCs w:val="20"/>
              </w:rPr>
              <w:t>%</w:t>
            </w:r>
          </w:p>
        </w:tc>
      </w:tr>
      <w:tr w:rsidR="00F050AA" w:rsidRPr="004761E0" w:rsidTr="00C44D2A">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F050AA" w:rsidRPr="004761E0" w:rsidRDefault="00F050AA" w:rsidP="007076A7">
            <w:pPr>
              <w:numPr>
                <w:ilvl w:val="0"/>
                <w:numId w:val="113"/>
              </w:numPr>
              <w:jc w:val="left"/>
              <w:rPr>
                <w:rFonts w:eastAsia="Times New Roman"/>
                <w:color w:val="000000"/>
                <w:sz w:val="20"/>
                <w:szCs w:val="20"/>
                <w:lang w:eastAsia="ru-RU"/>
              </w:rPr>
            </w:pPr>
          </w:p>
        </w:tc>
        <w:tc>
          <w:tcPr>
            <w:tcW w:w="3273" w:type="dxa"/>
            <w:tcBorders>
              <w:top w:val="nil"/>
              <w:left w:val="nil"/>
              <w:bottom w:val="single" w:sz="4" w:space="0" w:color="auto"/>
              <w:right w:val="single" w:sz="4" w:space="0" w:color="auto"/>
            </w:tcBorders>
            <w:shd w:val="clear" w:color="auto" w:fill="auto"/>
            <w:vAlign w:val="center"/>
            <w:hideMark/>
          </w:tcPr>
          <w:p w:rsidR="00F050AA" w:rsidRPr="004761E0" w:rsidRDefault="00F050AA" w:rsidP="00C44D2A">
            <w:pPr>
              <w:ind w:firstLine="0"/>
              <w:jc w:val="left"/>
              <w:rPr>
                <w:rFonts w:eastAsia="Times New Roman"/>
                <w:color w:val="000000"/>
                <w:sz w:val="20"/>
                <w:szCs w:val="20"/>
                <w:lang w:eastAsia="ru-RU"/>
              </w:rPr>
            </w:pPr>
            <w:r w:rsidRPr="004761E0">
              <w:rPr>
                <w:rFonts w:eastAsia="Times New Roman"/>
                <w:color w:val="000000"/>
                <w:sz w:val="20"/>
                <w:szCs w:val="20"/>
                <w:lang w:eastAsia="ru-RU"/>
              </w:rPr>
              <w:t>Рыночная капитализация</w:t>
            </w:r>
          </w:p>
        </w:tc>
        <w:tc>
          <w:tcPr>
            <w:tcW w:w="1950" w:type="dxa"/>
            <w:tcBorders>
              <w:top w:val="single" w:sz="4" w:space="0" w:color="auto"/>
              <w:left w:val="nil"/>
              <w:bottom w:val="single" w:sz="4" w:space="0" w:color="auto"/>
              <w:right w:val="single" w:sz="4" w:space="0" w:color="auto"/>
            </w:tcBorders>
            <w:vAlign w:val="center"/>
          </w:tcPr>
          <w:p w:rsidR="00F050AA" w:rsidRPr="004761E0" w:rsidRDefault="00F050AA" w:rsidP="00F050AA">
            <w:pPr>
              <w:ind w:firstLine="0"/>
              <w:jc w:val="right"/>
              <w:rPr>
                <w:rFonts w:eastAsia="Times New Roman"/>
                <w:color w:val="000000"/>
                <w:sz w:val="20"/>
                <w:szCs w:val="20"/>
                <w:lang w:eastAsia="ru-RU"/>
              </w:rPr>
            </w:pPr>
            <w:proofErr w:type="gramStart"/>
            <w:r w:rsidRPr="004761E0">
              <w:rPr>
                <w:rFonts w:eastAsia="Times New Roman"/>
                <w:color w:val="000000"/>
                <w:sz w:val="20"/>
                <w:szCs w:val="20"/>
                <w:lang w:eastAsia="ru-RU"/>
              </w:rPr>
              <w:t>млн</w:t>
            </w:r>
            <w:proofErr w:type="gramEnd"/>
            <w:r w:rsidRPr="004761E0">
              <w:rPr>
                <w:rFonts w:eastAsia="Times New Roman"/>
                <w:color w:val="000000"/>
                <w:sz w:val="20"/>
                <w:szCs w:val="20"/>
                <w:lang w:eastAsia="ru-RU"/>
              </w:rPr>
              <w:t xml:space="preserve"> руб.</w:t>
            </w:r>
          </w:p>
        </w:tc>
        <w:tc>
          <w:tcPr>
            <w:tcW w:w="1043" w:type="dxa"/>
            <w:tcBorders>
              <w:top w:val="nil"/>
              <w:left w:val="single" w:sz="4" w:space="0" w:color="auto"/>
              <w:bottom w:val="single" w:sz="4" w:space="0" w:color="auto"/>
              <w:right w:val="single" w:sz="4" w:space="0" w:color="auto"/>
            </w:tcBorders>
            <w:shd w:val="clear" w:color="auto" w:fill="auto"/>
            <w:vAlign w:val="center"/>
            <w:hideMark/>
          </w:tcPr>
          <w:p w:rsidR="00F050AA" w:rsidRPr="004761E0" w:rsidRDefault="00F050AA" w:rsidP="00F050AA">
            <w:pPr>
              <w:ind w:firstLine="0"/>
              <w:jc w:val="right"/>
              <w:rPr>
                <w:rFonts w:eastAsia="Times New Roman"/>
                <w:color w:val="000000"/>
                <w:sz w:val="20"/>
                <w:szCs w:val="20"/>
                <w:lang w:eastAsia="ru-RU"/>
              </w:rPr>
            </w:pPr>
            <w:r w:rsidRPr="004761E0">
              <w:rPr>
                <w:rFonts w:eastAsia="Times New Roman"/>
                <w:color w:val="000000"/>
                <w:sz w:val="20"/>
                <w:szCs w:val="20"/>
                <w:lang w:eastAsia="ru-RU"/>
              </w:rPr>
              <w:t>85 106</w:t>
            </w:r>
          </w:p>
        </w:tc>
        <w:tc>
          <w:tcPr>
            <w:tcW w:w="1043" w:type="dxa"/>
            <w:tcBorders>
              <w:top w:val="nil"/>
              <w:left w:val="nil"/>
              <w:bottom w:val="single" w:sz="4" w:space="0" w:color="auto"/>
              <w:right w:val="single" w:sz="4" w:space="0" w:color="auto"/>
            </w:tcBorders>
            <w:shd w:val="clear" w:color="auto" w:fill="auto"/>
            <w:vAlign w:val="center"/>
            <w:hideMark/>
          </w:tcPr>
          <w:p w:rsidR="00F050AA" w:rsidRPr="004761E0" w:rsidRDefault="00F050AA" w:rsidP="00F050AA">
            <w:pPr>
              <w:ind w:firstLine="0"/>
              <w:jc w:val="right"/>
              <w:rPr>
                <w:color w:val="000000"/>
                <w:sz w:val="20"/>
                <w:szCs w:val="20"/>
              </w:rPr>
            </w:pPr>
            <w:r w:rsidRPr="004761E0">
              <w:rPr>
                <w:color w:val="000000"/>
                <w:sz w:val="20"/>
                <w:szCs w:val="20"/>
              </w:rPr>
              <w:t>73 470</w:t>
            </w:r>
          </w:p>
        </w:tc>
        <w:tc>
          <w:tcPr>
            <w:tcW w:w="1043" w:type="dxa"/>
            <w:tcBorders>
              <w:top w:val="nil"/>
              <w:left w:val="nil"/>
              <w:bottom w:val="single" w:sz="4" w:space="0" w:color="auto"/>
              <w:right w:val="single" w:sz="4" w:space="0" w:color="auto"/>
            </w:tcBorders>
            <w:shd w:val="clear" w:color="auto" w:fill="auto"/>
            <w:vAlign w:val="center"/>
            <w:hideMark/>
          </w:tcPr>
          <w:p w:rsidR="00F050AA" w:rsidRPr="004761E0" w:rsidRDefault="00F050AA" w:rsidP="00F050AA">
            <w:pPr>
              <w:ind w:firstLine="0"/>
              <w:jc w:val="right"/>
              <w:rPr>
                <w:color w:val="000000"/>
                <w:sz w:val="20"/>
                <w:szCs w:val="20"/>
              </w:rPr>
            </w:pPr>
            <w:r w:rsidRPr="004761E0">
              <w:rPr>
                <w:color w:val="000000"/>
                <w:sz w:val="20"/>
                <w:szCs w:val="20"/>
              </w:rPr>
              <w:t>70 771</w:t>
            </w:r>
          </w:p>
        </w:tc>
        <w:tc>
          <w:tcPr>
            <w:tcW w:w="1123" w:type="dxa"/>
            <w:tcBorders>
              <w:top w:val="nil"/>
              <w:left w:val="nil"/>
              <w:bottom w:val="single" w:sz="4" w:space="0" w:color="auto"/>
              <w:right w:val="single" w:sz="4" w:space="0" w:color="auto"/>
            </w:tcBorders>
            <w:shd w:val="clear" w:color="auto" w:fill="auto"/>
            <w:vAlign w:val="center"/>
            <w:hideMark/>
          </w:tcPr>
          <w:p w:rsidR="00F050AA" w:rsidRPr="004761E0" w:rsidRDefault="00F050AA" w:rsidP="00F050AA">
            <w:pPr>
              <w:ind w:firstLine="0"/>
              <w:jc w:val="right"/>
              <w:rPr>
                <w:color w:val="000000"/>
                <w:sz w:val="20"/>
                <w:szCs w:val="20"/>
              </w:rPr>
            </w:pPr>
            <w:r w:rsidRPr="004761E0">
              <w:rPr>
                <w:color w:val="000000"/>
                <w:sz w:val="20"/>
                <w:szCs w:val="20"/>
              </w:rPr>
              <w:t>-3,67</w:t>
            </w:r>
            <w:r w:rsidRPr="004761E0">
              <w:rPr>
                <w:color w:val="000000"/>
                <w:sz w:val="20"/>
                <w:szCs w:val="20"/>
                <w:lang w:val="en-US"/>
              </w:rPr>
              <w:t xml:space="preserve"> </w:t>
            </w:r>
            <w:r w:rsidRPr="004761E0">
              <w:rPr>
                <w:color w:val="000000"/>
                <w:sz w:val="20"/>
                <w:szCs w:val="20"/>
              </w:rPr>
              <w:t>%</w:t>
            </w:r>
          </w:p>
        </w:tc>
      </w:tr>
    </w:tbl>
    <w:p w:rsidR="00B51CA6" w:rsidRDefault="00B51CA6" w:rsidP="00605A52">
      <w:pPr>
        <w:ind w:firstLine="0"/>
        <w:rPr>
          <w:lang w:eastAsia="ru-RU"/>
        </w:rPr>
      </w:pPr>
      <w:r w:rsidRPr="004761E0">
        <w:rPr>
          <w:noProof/>
          <w:lang w:eastAsia="ru-RU"/>
        </w:rPr>
        <w:drawing>
          <wp:inline distT="0" distB="0" distL="0" distR="0">
            <wp:extent cx="2538483" cy="2422478"/>
            <wp:effectExtent l="19050" t="0" r="14217"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lang w:eastAsia="ru-RU"/>
        </w:rPr>
        <w:t xml:space="preserve"> </w:t>
      </w:r>
      <w:r w:rsidRPr="004761E0">
        <w:rPr>
          <w:noProof/>
          <w:lang w:eastAsia="ru-RU"/>
        </w:rPr>
        <w:drawing>
          <wp:inline distT="0" distB="0" distL="0" distR="0">
            <wp:extent cx="2538483" cy="2422478"/>
            <wp:effectExtent l="19050" t="0" r="14217"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D1DC1" w:rsidRDefault="000D1DC1" w:rsidP="00605A52">
      <w:pPr>
        <w:ind w:firstLine="0"/>
        <w:rPr>
          <w:lang w:eastAsia="ru-RU"/>
        </w:rPr>
      </w:pPr>
      <w:r w:rsidRPr="000D1DC1">
        <w:rPr>
          <w:noProof/>
          <w:lang w:eastAsia="ru-RU"/>
        </w:rPr>
        <w:lastRenderedPageBreak/>
        <w:drawing>
          <wp:inline distT="0" distB="0" distL="0" distR="0">
            <wp:extent cx="2572791" cy="2150669"/>
            <wp:effectExtent l="19050" t="0" r="18009" b="1981"/>
            <wp:docPr id="18"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lang w:eastAsia="ru-RU"/>
        </w:rPr>
        <w:t xml:space="preserve"> </w:t>
      </w:r>
      <w:r w:rsidRPr="000D1DC1">
        <w:rPr>
          <w:noProof/>
          <w:lang w:eastAsia="ru-RU"/>
        </w:rPr>
        <w:drawing>
          <wp:inline distT="0" distB="0" distL="0" distR="0">
            <wp:extent cx="2541626" cy="2143354"/>
            <wp:effectExtent l="19050" t="0" r="11074" b="9296"/>
            <wp:docPr id="47"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0652D" w:rsidRPr="004761E0" w:rsidRDefault="00C44D2A" w:rsidP="00605A52">
      <w:pPr>
        <w:ind w:firstLine="0"/>
        <w:rPr>
          <w:lang w:eastAsia="ru-RU"/>
        </w:rPr>
      </w:pPr>
      <w:r w:rsidRPr="004761E0">
        <w:rPr>
          <w:noProof/>
          <w:lang w:eastAsia="ru-RU"/>
        </w:rPr>
        <w:drawing>
          <wp:inline distT="0" distB="0" distL="0" distR="0">
            <wp:extent cx="2560980" cy="2143354"/>
            <wp:effectExtent l="19050" t="0" r="10770" b="9296"/>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4761E0">
        <w:rPr>
          <w:lang w:eastAsia="ru-RU"/>
        </w:rPr>
        <w:t xml:space="preserve"> </w:t>
      </w:r>
      <w:r w:rsidRPr="004761E0">
        <w:rPr>
          <w:noProof/>
          <w:lang w:eastAsia="ru-RU"/>
        </w:rPr>
        <w:drawing>
          <wp:inline distT="0" distB="0" distL="0" distR="0">
            <wp:extent cx="2538730" cy="2150669"/>
            <wp:effectExtent l="19050" t="0" r="13970" b="1981"/>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842E0" w:rsidRDefault="003F0825" w:rsidP="00605A52">
      <w:pPr>
        <w:ind w:firstLine="0"/>
        <w:rPr>
          <w:lang w:eastAsia="ru-RU"/>
        </w:rPr>
      </w:pPr>
      <w:r w:rsidRPr="00B51CA6">
        <w:rPr>
          <w:noProof/>
          <w:sz w:val="18"/>
          <w:lang w:eastAsia="ru-RU"/>
        </w:rPr>
        <w:drawing>
          <wp:inline distT="0" distB="0" distL="0" distR="0">
            <wp:extent cx="2509774" cy="2165299"/>
            <wp:effectExtent l="19050" t="0" r="23876" b="6401"/>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9E567A">
        <w:rPr>
          <w:lang w:eastAsia="ru-RU"/>
        </w:rPr>
        <w:t xml:space="preserve"> </w:t>
      </w:r>
      <w:r w:rsidR="00B51CA6" w:rsidRPr="004761E0">
        <w:rPr>
          <w:noProof/>
          <w:lang w:eastAsia="ru-RU"/>
        </w:rPr>
        <w:drawing>
          <wp:inline distT="0" distB="0" distL="0" distR="0">
            <wp:extent cx="2512009" cy="2166264"/>
            <wp:effectExtent l="19050" t="0" r="21641" b="5436"/>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D6A3E" w:rsidRDefault="002D6A3E" w:rsidP="00605A52">
      <w:pPr>
        <w:ind w:firstLine="0"/>
        <w:rPr>
          <w:lang w:eastAsia="ru-RU"/>
        </w:rPr>
      </w:pPr>
      <w:r w:rsidRPr="002D6A3E">
        <w:rPr>
          <w:noProof/>
          <w:lang w:eastAsia="ru-RU"/>
        </w:rPr>
        <w:drawing>
          <wp:inline distT="0" distB="0" distL="0" distR="0">
            <wp:extent cx="2574696" cy="1938528"/>
            <wp:effectExtent l="19050" t="0" r="16104" b="4572"/>
            <wp:docPr id="89"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842E0" w:rsidRDefault="00F842E0">
      <w:pPr>
        <w:ind w:firstLine="0"/>
        <w:jc w:val="left"/>
        <w:rPr>
          <w:lang w:eastAsia="ru-RU"/>
        </w:rPr>
      </w:pPr>
      <w:r>
        <w:rPr>
          <w:lang w:eastAsia="ru-RU"/>
        </w:rPr>
        <w:br w:type="page"/>
      </w:r>
    </w:p>
    <w:p w:rsidR="00E34ACB" w:rsidRPr="00F842E0" w:rsidRDefault="00E34ACB" w:rsidP="007076A7">
      <w:pPr>
        <w:pStyle w:val="a8"/>
        <w:numPr>
          <w:ilvl w:val="1"/>
          <w:numId w:val="320"/>
        </w:numPr>
        <w:spacing w:before="120" w:after="120"/>
        <w:ind w:left="1134" w:hanging="567"/>
        <w:jc w:val="left"/>
        <w:rPr>
          <w:rFonts w:ascii="Times New Roman" w:hAnsi="Times New Roman"/>
          <w:b/>
          <w:sz w:val="26"/>
          <w:szCs w:val="26"/>
          <w:lang w:eastAsia="ru-RU"/>
        </w:rPr>
      </w:pPr>
      <w:bookmarkStart w:id="9" w:name="_Toc380576890"/>
      <w:bookmarkStart w:id="10" w:name="_Toc385339789"/>
      <w:r w:rsidRPr="00F842E0">
        <w:rPr>
          <w:rFonts w:ascii="Times New Roman" w:hAnsi="Times New Roman"/>
          <w:b/>
          <w:sz w:val="26"/>
          <w:szCs w:val="26"/>
          <w:lang w:eastAsia="ru-RU"/>
        </w:rPr>
        <w:lastRenderedPageBreak/>
        <w:t>Обращение Председателя Совета директоров</w:t>
      </w:r>
      <w:bookmarkEnd w:id="9"/>
      <w:bookmarkEnd w:id="10"/>
    </w:p>
    <w:p w:rsidR="00847CA4" w:rsidRPr="00F842E0" w:rsidRDefault="00847CA4" w:rsidP="00847CA4">
      <w:pPr>
        <w:pStyle w:val="afc"/>
        <w:shd w:val="clear" w:color="auto" w:fill="FFFFFF"/>
        <w:spacing w:before="120" w:beforeAutospacing="0" w:after="120" w:afterAutospacing="0"/>
        <w:ind w:firstLine="567"/>
        <w:jc w:val="both"/>
        <w:rPr>
          <w:rStyle w:val="afff0"/>
          <w:color w:val="000000"/>
          <w:sz w:val="26"/>
          <w:szCs w:val="26"/>
        </w:rPr>
      </w:pPr>
      <w:r w:rsidRPr="00F842E0">
        <w:rPr>
          <w:rStyle w:val="afff0"/>
          <w:color w:val="000000"/>
          <w:sz w:val="26"/>
          <w:szCs w:val="26"/>
        </w:rPr>
        <w:t>Уважаемые акционеры, партнеры, коллеги!</w:t>
      </w:r>
    </w:p>
    <w:p w:rsidR="007E3243" w:rsidRPr="004761E0" w:rsidRDefault="007E3243" w:rsidP="007E3243">
      <w:pPr>
        <w:pStyle w:val="affe"/>
        <w:ind w:firstLine="567"/>
        <w:jc w:val="both"/>
        <w:rPr>
          <w:rFonts w:ascii="Times New Roman" w:eastAsia="Times New Roman" w:hAnsi="Times New Roman"/>
          <w:color w:val="000000"/>
          <w:sz w:val="26"/>
          <w:szCs w:val="26"/>
          <w:lang w:eastAsia="ru-RU"/>
        </w:rPr>
      </w:pPr>
      <w:r w:rsidRPr="004761E0">
        <w:rPr>
          <w:rStyle w:val="afff0"/>
          <w:rFonts w:ascii="Times New Roman" w:hAnsi="Times New Roman"/>
          <w:b w:val="0"/>
          <w:color w:val="000000"/>
          <w:sz w:val="26"/>
          <w:szCs w:val="26"/>
        </w:rPr>
        <w:t xml:space="preserve">Итоги работы </w:t>
      </w:r>
      <w:r w:rsidR="0008080E">
        <w:rPr>
          <w:rFonts w:ascii="Times New Roman" w:hAnsi="Times New Roman"/>
          <w:color w:val="000000"/>
          <w:sz w:val="26"/>
          <w:szCs w:val="26"/>
        </w:rPr>
        <w:t>ОАО </w:t>
      </w:r>
      <w:r w:rsidRPr="004761E0">
        <w:rPr>
          <w:rFonts w:ascii="Times New Roman" w:hAnsi="Times New Roman"/>
          <w:color w:val="000000"/>
          <w:sz w:val="26"/>
          <w:szCs w:val="26"/>
        </w:rPr>
        <w:t>«Московская объединенная электросетевая компания» за 2013</w:t>
      </w:r>
      <w:r w:rsidR="00551803">
        <w:rPr>
          <w:rFonts w:ascii="Times New Roman" w:hAnsi="Times New Roman"/>
          <w:color w:val="000000"/>
          <w:sz w:val="26"/>
          <w:szCs w:val="26"/>
        </w:rPr>
        <w:t> </w:t>
      </w:r>
      <w:r w:rsidRPr="004761E0">
        <w:rPr>
          <w:rFonts w:ascii="Times New Roman" w:hAnsi="Times New Roman"/>
          <w:color w:val="000000"/>
          <w:sz w:val="26"/>
          <w:szCs w:val="26"/>
        </w:rPr>
        <w:t xml:space="preserve">год еще раз продемонстрировали, что </w:t>
      </w:r>
      <w:r w:rsidR="00551803">
        <w:rPr>
          <w:rFonts w:ascii="Times New Roman" w:hAnsi="Times New Roman"/>
          <w:color w:val="000000"/>
          <w:sz w:val="26"/>
          <w:szCs w:val="26"/>
        </w:rPr>
        <w:t>К</w:t>
      </w:r>
      <w:r w:rsidRPr="004761E0">
        <w:rPr>
          <w:rFonts w:ascii="Times New Roman" w:hAnsi="Times New Roman"/>
          <w:color w:val="000000"/>
          <w:sz w:val="26"/>
          <w:szCs w:val="26"/>
        </w:rPr>
        <w:t xml:space="preserve">омпания по праву является крупнейшим активом </w:t>
      </w:r>
      <w:r w:rsidR="0008080E">
        <w:rPr>
          <w:rFonts w:ascii="Times New Roman" w:hAnsi="Times New Roman"/>
          <w:color w:val="000000"/>
          <w:sz w:val="26"/>
          <w:szCs w:val="26"/>
        </w:rPr>
        <w:t>ОАО </w:t>
      </w:r>
      <w:r w:rsidRPr="004761E0">
        <w:rPr>
          <w:rFonts w:ascii="Times New Roman" w:hAnsi="Times New Roman"/>
          <w:color w:val="000000"/>
          <w:sz w:val="26"/>
          <w:szCs w:val="26"/>
        </w:rPr>
        <w:t xml:space="preserve">«Россети» по основным финансово-операционным и производственным показателям. </w:t>
      </w:r>
    </w:p>
    <w:p w:rsidR="007E3243" w:rsidRPr="004761E0" w:rsidRDefault="007E3243" w:rsidP="007E3243">
      <w:pPr>
        <w:pStyle w:val="affe"/>
        <w:ind w:firstLine="567"/>
        <w:jc w:val="both"/>
        <w:rPr>
          <w:rFonts w:ascii="Times New Roman" w:hAnsi="Times New Roman"/>
          <w:sz w:val="26"/>
          <w:szCs w:val="26"/>
        </w:rPr>
      </w:pPr>
      <w:r w:rsidRPr="004761E0">
        <w:rPr>
          <w:rFonts w:ascii="Times New Roman" w:hAnsi="Times New Roman"/>
          <w:color w:val="000000"/>
          <w:sz w:val="26"/>
          <w:szCs w:val="26"/>
        </w:rPr>
        <w:t xml:space="preserve">Главные задачи </w:t>
      </w:r>
      <w:r w:rsidR="0008080E">
        <w:rPr>
          <w:rFonts w:ascii="Times New Roman" w:hAnsi="Times New Roman"/>
          <w:color w:val="000000"/>
          <w:sz w:val="26"/>
          <w:szCs w:val="26"/>
        </w:rPr>
        <w:t>ОАО </w:t>
      </w:r>
      <w:r w:rsidRPr="004761E0">
        <w:rPr>
          <w:rFonts w:ascii="Times New Roman" w:hAnsi="Times New Roman"/>
          <w:color w:val="000000"/>
          <w:sz w:val="26"/>
          <w:szCs w:val="26"/>
        </w:rPr>
        <w:t>«МОЭСК»: обеспечение надежного электроснабжения и повышение доступности электросетевой инфраструктуры, оперативности и прозрачности процедуры тех</w:t>
      </w:r>
      <w:r w:rsidR="00551803">
        <w:rPr>
          <w:rFonts w:ascii="Times New Roman" w:hAnsi="Times New Roman"/>
          <w:color w:val="000000"/>
          <w:sz w:val="26"/>
          <w:szCs w:val="26"/>
        </w:rPr>
        <w:t xml:space="preserve">нологического </w:t>
      </w:r>
      <w:r w:rsidRPr="004761E0">
        <w:rPr>
          <w:rFonts w:ascii="Times New Roman" w:hAnsi="Times New Roman"/>
          <w:color w:val="000000"/>
          <w:sz w:val="26"/>
          <w:szCs w:val="26"/>
        </w:rPr>
        <w:t>присоединения, улучшение качества работы с потребителями</w:t>
      </w:r>
      <w:r w:rsidRPr="004761E0">
        <w:rPr>
          <w:rFonts w:ascii="Times New Roman" w:eastAsia="Times New Roman" w:hAnsi="Times New Roman"/>
          <w:color w:val="000000"/>
          <w:sz w:val="26"/>
          <w:szCs w:val="26"/>
          <w:lang w:eastAsia="ru-RU"/>
        </w:rPr>
        <w:t xml:space="preserve"> на территории </w:t>
      </w:r>
      <w:proofErr w:type="gramStart"/>
      <w:r w:rsidRPr="004761E0">
        <w:rPr>
          <w:rFonts w:ascii="Times New Roman" w:eastAsia="Times New Roman" w:hAnsi="Times New Roman"/>
          <w:color w:val="000000"/>
          <w:sz w:val="26"/>
          <w:szCs w:val="26"/>
          <w:lang w:eastAsia="ru-RU"/>
        </w:rPr>
        <w:t>г</w:t>
      </w:r>
      <w:proofErr w:type="gramEnd"/>
      <w:r w:rsidRPr="004761E0">
        <w:rPr>
          <w:rFonts w:ascii="Times New Roman" w:eastAsia="Times New Roman" w:hAnsi="Times New Roman"/>
          <w:color w:val="000000"/>
          <w:sz w:val="26"/>
          <w:szCs w:val="26"/>
          <w:lang w:eastAsia="ru-RU"/>
        </w:rPr>
        <w:t>.</w:t>
      </w:r>
      <w:r w:rsidRPr="004761E0">
        <w:rPr>
          <w:rFonts w:ascii="Times New Roman" w:hAnsi="Times New Roman"/>
          <w:color w:val="000000"/>
          <w:sz w:val="26"/>
          <w:szCs w:val="26"/>
        </w:rPr>
        <w:t xml:space="preserve"> </w:t>
      </w:r>
      <w:r w:rsidRPr="004761E0">
        <w:rPr>
          <w:rFonts w:ascii="Times New Roman" w:eastAsia="Times New Roman" w:hAnsi="Times New Roman"/>
          <w:color w:val="000000"/>
          <w:sz w:val="26"/>
          <w:szCs w:val="26"/>
          <w:lang w:eastAsia="ru-RU"/>
        </w:rPr>
        <w:t xml:space="preserve">Москвы и Московской области, а также повышение инвестиционной привлекательности Компании в интересах ее акционеров. </w:t>
      </w:r>
    </w:p>
    <w:p w:rsidR="007E3243" w:rsidRPr="004761E0" w:rsidRDefault="007E3243" w:rsidP="007E3243">
      <w:pPr>
        <w:pStyle w:val="afc"/>
        <w:shd w:val="clear" w:color="auto" w:fill="FFFFFF"/>
        <w:spacing w:before="0" w:beforeAutospacing="0" w:after="0" w:afterAutospacing="0"/>
        <w:ind w:firstLine="567"/>
        <w:jc w:val="both"/>
        <w:rPr>
          <w:color w:val="000000"/>
          <w:sz w:val="26"/>
          <w:szCs w:val="26"/>
        </w:rPr>
      </w:pPr>
      <w:r w:rsidRPr="004761E0">
        <w:rPr>
          <w:color w:val="000000"/>
          <w:sz w:val="26"/>
          <w:szCs w:val="26"/>
        </w:rPr>
        <w:t xml:space="preserve">В 2013 году в </w:t>
      </w:r>
      <w:r w:rsidR="0008080E">
        <w:rPr>
          <w:color w:val="000000"/>
          <w:sz w:val="26"/>
          <w:szCs w:val="26"/>
        </w:rPr>
        <w:t>ОАО </w:t>
      </w:r>
      <w:r w:rsidRPr="004761E0">
        <w:rPr>
          <w:color w:val="000000"/>
          <w:sz w:val="26"/>
          <w:szCs w:val="26"/>
        </w:rPr>
        <w:t>«МОЭСК» продолжались важные преобразования. Органы управления Компании особое внимание уделяли решению задач стратегического и инновационного развития, повышения энергоэффективности, вопросам RAB-регулирования и др.</w:t>
      </w:r>
    </w:p>
    <w:p w:rsidR="007E3243" w:rsidRPr="004761E0" w:rsidRDefault="007E3243" w:rsidP="007E3243">
      <w:pPr>
        <w:tabs>
          <w:tab w:val="left" w:pos="709"/>
          <w:tab w:val="left" w:pos="1080"/>
        </w:tabs>
        <w:ind w:firstLine="567"/>
        <w:rPr>
          <w:color w:val="000000"/>
          <w:sz w:val="26"/>
          <w:szCs w:val="26"/>
        </w:rPr>
      </w:pPr>
      <w:r w:rsidRPr="004761E0">
        <w:rPr>
          <w:color w:val="000000"/>
          <w:sz w:val="26"/>
          <w:szCs w:val="26"/>
        </w:rPr>
        <w:t>Советом директоров рассмотрено 393 важнейших вопрос</w:t>
      </w:r>
      <w:r w:rsidR="00640D3C">
        <w:rPr>
          <w:color w:val="000000"/>
          <w:sz w:val="26"/>
          <w:szCs w:val="26"/>
        </w:rPr>
        <w:t>а</w:t>
      </w:r>
      <w:r w:rsidRPr="004761E0">
        <w:rPr>
          <w:color w:val="000000"/>
          <w:sz w:val="26"/>
          <w:szCs w:val="26"/>
        </w:rPr>
        <w:t xml:space="preserve"> деятельности Компании, проведено 28 заседания, 3 из которых – в форме совместного присутствия. </w:t>
      </w:r>
    </w:p>
    <w:p w:rsidR="007E3243" w:rsidRPr="004761E0" w:rsidRDefault="007E3243" w:rsidP="007E3243">
      <w:pPr>
        <w:tabs>
          <w:tab w:val="left" w:pos="709"/>
          <w:tab w:val="left" w:pos="1080"/>
        </w:tabs>
        <w:ind w:firstLine="567"/>
        <w:rPr>
          <w:color w:val="000000"/>
          <w:sz w:val="26"/>
          <w:szCs w:val="26"/>
        </w:rPr>
      </w:pPr>
      <w:r w:rsidRPr="004761E0">
        <w:rPr>
          <w:color w:val="000000"/>
          <w:sz w:val="26"/>
          <w:szCs w:val="26"/>
        </w:rPr>
        <w:t xml:space="preserve">В феврале отчетного года Советом директоров избран </w:t>
      </w:r>
      <w:r w:rsidR="00551803">
        <w:rPr>
          <w:color w:val="000000"/>
          <w:sz w:val="26"/>
          <w:szCs w:val="26"/>
        </w:rPr>
        <w:t>г</w:t>
      </w:r>
      <w:r w:rsidRPr="004761E0">
        <w:rPr>
          <w:color w:val="000000"/>
          <w:sz w:val="26"/>
          <w:szCs w:val="26"/>
        </w:rPr>
        <w:t xml:space="preserve">енеральный директор </w:t>
      </w:r>
      <w:r w:rsidR="0008080E">
        <w:rPr>
          <w:color w:val="000000"/>
          <w:sz w:val="26"/>
          <w:szCs w:val="26"/>
        </w:rPr>
        <w:t>ОАО </w:t>
      </w:r>
      <w:r w:rsidRPr="004761E0">
        <w:rPr>
          <w:color w:val="000000"/>
          <w:sz w:val="26"/>
          <w:szCs w:val="26"/>
        </w:rPr>
        <w:t>«Московская объединенная электросетевая компания» Петр Алексеевич Синютин, к этому моменту почти полгода осуществлявший функции исполняющего обязанности генерального директора Компании на основании решения Совета директоров</w:t>
      </w:r>
      <w:r w:rsidR="00551803">
        <w:rPr>
          <w:color w:val="000000"/>
          <w:sz w:val="26"/>
          <w:szCs w:val="26"/>
        </w:rPr>
        <w:t>.</w:t>
      </w:r>
    </w:p>
    <w:p w:rsidR="007E3243" w:rsidRPr="004761E0" w:rsidRDefault="007E3243" w:rsidP="007E3243">
      <w:pPr>
        <w:ind w:firstLine="567"/>
        <w:rPr>
          <w:sz w:val="26"/>
          <w:szCs w:val="26"/>
        </w:rPr>
      </w:pPr>
      <w:proofErr w:type="gramStart"/>
      <w:r w:rsidRPr="004761E0">
        <w:rPr>
          <w:color w:val="000000"/>
          <w:sz w:val="26"/>
          <w:szCs w:val="26"/>
        </w:rPr>
        <w:t xml:space="preserve">Решениями Совета директоров </w:t>
      </w:r>
      <w:r w:rsidRPr="004761E0">
        <w:rPr>
          <w:sz w:val="26"/>
          <w:szCs w:val="26"/>
        </w:rPr>
        <w:t xml:space="preserve">утверждены Программа энергосбережения и повышения энергетической эффективности </w:t>
      </w:r>
      <w:r w:rsidR="00551803">
        <w:rPr>
          <w:sz w:val="26"/>
          <w:szCs w:val="26"/>
        </w:rPr>
        <w:t>на 2013 год и прогноз на 2014-</w:t>
      </w:r>
      <w:r w:rsidRPr="004761E0">
        <w:rPr>
          <w:sz w:val="26"/>
          <w:szCs w:val="26"/>
        </w:rPr>
        <w:t>2018 гг., скорректированная программа инновационного развития на 2013 год и прогноз до 2018 года, а также Положение о негосударственном пенсионном обеспечении работников, Программа страховой защиты на 2013 год, скорректированный План-график мероприятий по внедрению системы управления производственными активами, Положение о работе Центрального закупочного органа.</w:t>
      </w:r>
      <w:proofErr w:type="gramEnd"/>
    </w:p>
    <w:p w:rsidR="007E3243" w:rsidRPr="004761E0" w:rsidRDefault="007E3243" w:rsidP="007E3243">
      <w:pPr>
        <w:tabs>
          <w:tab w:val="left" w:pos="709"/>
          <w:tab w:val="left" w:pos="1080"/>
        </w:tabs>
        <w:ind w:firstLine="567"/>
        <w:rPr>
          <w:sz w:val="26"/>
          <w:szCs w:val="26"/>
        </w:rPr>
      </w:pPr>
      <w:r w:rsidRPr="004761E0">
        <w:rPr>
          <w:sz w:val="26"/>
          <w:szCs w:val="26"/>
        </w:rPr>
        <w:t xml:space="preserve">В рамках совершенствования стандартов корпоративного управления в Компании в новой редакции утверждены Кодекс корпоративного управления и </w:t>
      </w:r>
      <w:r w:rsidR="00551803">
        <w:rPr>
          <w:sz w:val="26"/>
          <w:szCs w:val="26"/>
        </w:rPr>
        <w:t>Кодекс корпоративной этики</w:t>
      </w:r>
      <w:r w:rsidRPr="004761E0">
        <w:rPr>
          <w:sz w:val="26"/>
          <w:szCs w:val="26"/>
        </w:rPr>
        <w:t>, в т</w:t>
      </w:r>
      <w:r w:rsidR="00551803">
        <w:rPr>
          <w:sz w:val="26"/>
          <w:szCs w:val="26"/>
        </w:rPr>
        <w:t>.ч.</w:t>
      </w:r>
      <w:r w:rsidRPr="004761E0">
        <w:rPr>
          <w:sz w:val="26"/>
          <w:szCs w:val="26"/>
        </w:rPr>
        <w:t xml:space="preserve"> Антикоррупционная политика. Приняты решения о создании филиалов </w:t>
      </w:r>
      <w:r w:rsidR="0008080E">
        <w:rPr>
          <w:sz w:val="26"/>
          <w:szCs w:val="26"/>
        </w:rPr>
        <w:t>ОАО </w:t>
      </w:r>
      <w:r w:rsidRPr="004761E0">
        <w:rPr>
          <w:sz w:val="26"/>
          <w:szCs w:val="26"/>
        </w:rPr>
        <w:t xml:space="preserve">«Московская объединенная электросетевая компания» «Энергоучет» и </w:t>
      </w:r>
      <w:r w:rsidRPr="004761E0">
        <w:rPr>
          <w:bCs/>
          <w:sz w:val="26"/>
          <w:szCs w:val="26"/>
        </w:rPr>
        <w:t>«Новая Москва».</w:t>
      </w:r>
    </w:p>
    <w:p w:rsidR="007E3243" w:rsidRPr="004761E0" w:rsidRDefault="007E3243" w:rsidP="007E3243">
      <w:pPr>
        <w:ind w:firstLine="567"/>
        <w:rPr>
          <w:sz w:val="26"/>
          <w:szCs w:val="26"/>
        </w:rPr>
      </w:pPr>
      <w:r w:rsidRPr="004761E0">
        <w:rPr>
          <w:color w:val="000000"/>
          <w:sz w:val="26"/>
          <w:szCs w:val="26"/>
        </w:rPr>
        <w:t xml:space="preserve">За отчетный год Компанией проведен комплекс мероприятий, направленных на улучшение финансово-экономических показателей, повышение инвестиционной привлекательности и информационной прозрачности. </w:t>
      </w:r>
      <w:r w:rsidR="0008080E">
        <w:rPr>
          <w:color w:val="000000"/>
          <w:sz w:val="26"/>
          <w:szCs w:val="26"/>
        </w:rPr>
        <w:t>ОАО </w:t>
      </w:r>
      <w:r w:rsidRPr="004761E0">
        <w:rPr>
          <w:color w:val="000000"/>
          <w:sz w:val="26"/>
          <w:szCs w:val="26"/>
        </w:rPr>
        <w:t xml:space="preserve">«МОЭСК» проводило активную работу, направленную на поддержание ликвидности своих акций и интереса к ним со стороны инвестиционного сообщества. </w:t>
      </w:r>
      <w:r w:rsidRPr="004761E0">
        <w:rPr>
          <w:sz w:val="26"/>
          <w:szCs w:val="26"/>
        </w:rPr>
        <w:t xml:space="preserve">Финансовое положение </w:t>
      </w:r>
      <w:r w:rsidR="00551803">
        <w:rPr>
          <w:sz w:val="26"/>
          <w:szCs w:val="26"/>
        </w:rPr>
        <w:t>К</w:t>
      </w:r>
      <w:r w:rsidRPr="004761E0">
        <w:rPr>
          <w:sz w:val="26"/>
          <w:szCs w:val="26"/>
        </w:rPr>
        <w:t xml:space="preserve">омпании устойчивое, о чем свидетельствуют такие показатели как соотношение </w:t>
      </w:r>
      <w:r w:rsidRPr="004761E0">
        <w:rPr>
          <w:sz w:val="26"/>
          <w:szCs w:val="26"/>
          <w:lang w:val="en-US"/>
        </w:rPr>
        <w:t>Debt</w:t>
      </w:r>
      <w:r w:rsidRPr="004761E0">
        <w:rPr>
          <w:sz w:val="26"/>
          <w:szCs w:val="26"/>
        </w:rPr>
        <w:t>/</w:t>
      </w:r>
      <w:r w:rsidRPr="004761E0">
        <w:rPr>
          <w:sz w:val="26"/>
          <w:szCs w:val="26"/>
          <w:lang w:val="en-US"/>
        </w:rPr>
        <w:t>EBITDA</w:t>
      </w:r>
      <w:r w:rsidRPr="004761E0">
        <w:rPr>
          <w:sz w:val="26"/>
          <w:szCs w:val="26"/>
        </w:rPr>
        <w:t>, которое на конец года не превысило 1,5</w:t>
      </w:r>
      <w:r w:rsidR="00AC5070">
        <w:rPr>
          <w:sz w:val="26"/>
          <w:szCs w:val="26"/>
        </w:rPr>
        <w:t>8</w:t>
      </w:r>
      <w:r w:rsidRPr="004761E0">
        <w:rPr>
          <w:sz w:val="26"/>
          <w:szCs w:val="26"/>
        </w:rPr>
        <w:t>. Перевыполнение плана по основным финансовым показателям, в т</w:t>
      </w:r>
      <w:r w:rsidR="00551803">
        <w:rPr>
          <w:sz w:val="26"/>
          <w:szCs w:val="26"/>
        </w:rPr>
        <w:t>.ч.</w:t>
      </w:r>
      <w:r w:rsidRPr="004761E0">
        <w:rPr>
          <w:sz w:val="26"/>
          <w:szCs w:val="26"/>
        </w:rPr>
        <w:t xml:space="preserve"> по плану </w:t>
      </w:r>
      <w:r w:rsidRPr="004761E0">
        <w:rPr>
          <w:sz w:val="26"/>
          <w:szCs w:val="26"/>
          <w:lang w:val="en-US"/>
        </w:rPr>
        <w:t>EBITDA</w:t>
      </w:r>
      <w:r w:rsidRPr="004761E0">
        <w:rPr>
          <w:sz w:val="26"/>
          <w:szCs w:val="26"/>
        </w:rPr>
        <w:t xml:space="preserve"> на 0,3</w:t>
      </w:r>
      <w:r w:rsidR="0008080E">
        <w:t> </w:t>
      </w:r>
      <w:r w:rsidRPr="004761E0">
        <w:rPr>
          <w:sz w:val="26"/>
          <w:szCs w:val="26"/>
        </w:rPr>
        <w:t xml:space="preserve">%, по чистой прибыли в РСБУ на 5,7 % или на 633 </w:t>
      </w:r>
      <w:proofErr w:type="gramStart"/>
      <w:r w:rsidRPr="004761E0">
        <w:rPr>
          <w:sz w:val="26"/>
          <w:szCs w:val="26"/>
        </w:rPr>
        <w:t>млн</w:t>
      </w:r>
      <w:proofErr w:type="gramEnd"/>
      <w:r w:rsidRPr="004761E0">
        <w:rPr>
          <w:sz w:val="26"/>
          <w:szCs w:val="26"/>
        </w:rPr>
        <w:t xml:space="preserve"> руб.</w:t>
      </w:r>
    </w:p>
    <w:p w:rsidR="007E3243" w:rsidRPr="004761E0" w:rsidRDefault="007E3243" w:rsidP="007E3243">
      <w:pPr>
        <w:ind w:firstLine="567"/>
        <w:rPr>
          <w:sz w:val="26"/>
          <w:szCs w:val="26"/>
        </w:rPr>
      </w:pPr>
      <w:r w:rsidRPr="004761E0">
        <w:rPr>
          <w:sz w:val="26"/>
          <w:szCs w:val="26"/>
        </w:rPr>
        <w:t xml:space="preserve">Рейтинговое агентство Fitch впервые присвоило Компании кредитный рейтинг на уровне BB+. Повышен кредитный рейтинг </w:t>
      </w:r>
      <w:r w:rsidR="0008080E">
        <w:rPr>
          <w:sz w:val="26"/>
          <w:szCs w:val="26"/>
        </w:rPr>
        <w:t>ОАО </w:t>
      </w:r>
      <w:r w:rsidRPr="004761E0">
        <w:rPr>
          <w:sz w:val="26"/>
          <w:szCs w:val="26"/>
        </w:rPr>
        <w:t>«МОЭСК» агентством Standard &amp; Poor’s до уровня ВВ. Рейтинг корпоративного управления пересмотрен рейтинговым агентством «Эксперт РА» в сторону повышения до 8 «Передовая практика корпоративного управления».</w:t>
      </w:r>
    </w:p>
    <w:p w:rsidR="007E3243" w:rsidRPr="004761E0" w:rsidRDefault="007E3243" w:rsidP="007E3243">
      <w:pPr>
        <w:pStyle w:val="afc"/>
        <w:shd w:val="clear" w:color="auto" w:fill="FFFFFF"/>
        <w:spacing w:before="0" w:beforeAutospacing="0" w:after="0" w:afterAutospacing="0"/>
        <w:ind w:firstLine="567"/>
        <w:jc w:val="both"/>
        <w:rPr>
          <w:color w:val="000000"/>
          <w:sz w:val="26"/>
          <w:szCs w:val="26"/>
        </w:rPr>
      </w:pPr>
      <w:r w:rsidRPr="004761E0">
        <w:rPr>
          <w:color w:val="000000"/>
          <w:sz w:val="26"/>
          <w:szCs w:val="26"/>
        </w:rPr>
        <w:lastRenderedPageBreak/>
        <w:t xml:space="preserve">При этом дивиденды в 2013 году выплачены акционерам Компании в полном объеме и своевременно в размере 4 296 </w:t>
      </w:r>
      <w:proofErr w:type="gramStart"/>
      <w:r w:rsidRPr="004761E0">
        <w:rPr>
          <w:color w:val="000000"/>
          <w:sz w:val="26"/>
          <w:szCs w:val="26"/>
        </w:rPr>
        <w:t>млн</w:t>
      </w:r>
      <w:proofErr w:type="gramEnd"/>
      <w:r w:rsidRPr="004761E0">
        <w:rPr>
          <w:color w:val="000000"/>
          <w:sz w:val="26"/>
          <w:szCs w:val="26"/>
        </w:rPr>
        <w:t xml:space="preserve"> руб., что составило 25 % от чистой прибыли Общества.</w:t>
      </w:r>
    </w:p>
    <w:p w:rsidR="00F842E0" w:rsidRDefault="00551803" w:rsidP="00F842E0">
      <w:pPr>
        <w:pStyle w:val="afc"/>
        <w:shd w:val="clear" w:color="auto" w:fill="FFFFFF"/>
        <w:spacing w:before="0" w:beforeAutospacing="0" w:after="0" w:afterAutospacing="0"/>
        <w:ind w:firstLine="567"/>
        <w:jc w:val="both"/>
        <w:rPr>
          <w:color w:val="000000"/>
          <w:sz w:val="26"/>
          <w:szCs w:val="26"/>
        </w:rPr>
      </w:pPr>
      <w:r>
        <w:rPr>
          <w:color w:val="000000"/>
          <w:sz w:val="26"/>
          <w:szCs w:val="26"/>
        </w:rPr>
        <w:t>Полагаю, что К</w:t>
      </w:r>
      <w:r w:rsidR="007E3243" w:rsidRPr="004761E0">
        <w:rPr>
          <w:color w:val="000000"/>
          <w:sz w:val="26"/>
          <w:szCs w:val="26"/>
        </w:rPr>
        <w:t>омпания по-прежнему демонстрирует высокие положительные результаты благодаря усилиям, в т</w:t>
      </w:r>
      <w:r>
        <w:rPr>
          <w:color w:val="000000"/>
          <w:sz w:val="26"/>
          <w:szCs w:val="26"/>
        </w:rPr>
        <w:t>.ч.</w:t>
      </w:r>
      <w:r w:rsidR="007E3243" w:rsidRPr="004761E0">
        <w:rPr>
          <w:color w:val="000000"/>
          <w:sz w:val="26"/>
          <w:szCs w:val="26"/>
        </w:rPr>
        <w:t>, акционеров, членов Совета директоров и менеджмент</w:t>
      </w:r>
      <w:r>
        <w:rPr>
          <w:color w:val="000000"/>
          <w:sz w:val="26"/>
          <w:szCs w:val="26"/>
        </w:rPr>
        <w:t>а</w:t>
      </w:r>
      <w:r w:rsidR="007E3243" w:rsidRPr="004761E0">
        <w:rPr>
          <w:color w:val="000000"/>
          <w:sz w:val="26"/>
          <w:szCs w:val="26"/>
        </w:rPr>
        <w:t xml:space="preserve"> </w:t>
      </w:r>
      <w:r w:rsidR="0008080E">
        <w:rPr>
          <w:color w:val="000000"/>
          <w:sz w:val="26"/>
          <w:szCs w:val="26"/>
        </w:rPr>
        <w:t>ОАО </w:t>
      </w:r>
      <w:r w:rsidR="007E3243" w:rsidRPr="004761E0">
        <w:rPr>
          <w:color w:val="000000"/>
          <w:sz w:val="26"/>
          <w:szCs w:val="26"/>
        </w:rPr>
        <w:t xml:space="preserve">«МОЭСК», </w:t>
      </w:r>
      <w:r w:rsidR="00355607">
        <w:rPr>
          <w:color w:val="000000"/>
          <w:sz w:val="26"/>
          <w:szCs w:val="26"/>
        </w:rPr>
        <w:t xml:space="preserve">поэтому </w:t>
      </w:r>
      <w:r w:rsidR="007E3243" w:rsidRPr="004761E0">
        <w:rPr>
          <w:color w:val="000000"/>
          <w:sz w:val="26"/>
          <w:szCs w:val="26"/>
        </w:rPr>
        <w:t>хочется высказать им особую благодарность за конструктивное сотрудничество, неоценимый вклад в обеспечение стабильного развития Компании и эффективности в работе. Убежден, что в будущем Компания продолжит вносить достойный вклад в развитие распределительного электросетевого комплекса России.</w:t>
      </w:r>
    </w:p>
    <w:p w:rsidR="00F842E0" w:rsidRDefault="00F842E0">
      <w:pPr>
        <w:ind w:firstLine="0"/>
        <w:jc w:val="left"/>
        <w:rPr>
          <w:rFonts w:eastAsia="Times New Roman"/>
          <w:color w:val="000000"/>
          <w:sz w:val="26"/>
          <w:szCs w:val="26"/>
          <w:lang w:eastAsia="ru-RU"/>
        </w:rPr>
      </w:pPr>
      <w:r>
        <w:rPr>
          <w:color w:val="000000"/>
          <w:sz w:val="26"/>
          <w:szCs w:val="26"/>
        </w:rPr>
        <w:br w:type="page"/>
      </w:r>
    </w:p>
    <w:p w:rsidR="00F842E0" w:rsidRDefault="00EA456F" w:rsidP="007076A7">
      <w:pPr>
        <w:pStyle w:val="a8"/>
        <w:numPr>
          <w:ilvl w:val="1"/>
          <w:numId w:val="320"/>
        </w:numPr>
        <w:spacing w:before="120" w:after="120"/>
        <w:ind w:left="1134" w:hanging="567"/>
        <w:jc w:val="left"/>
      </w:pPr>
      <w:hyperlink r:id="rId17" w:anchor="'0'!A27" w:history="1">
        <w:bookmarkStart w:id="11" w:name="_Toc380576891"/>
        <w:bookmarkStart w:id="12" w:name="_Toc385339790"/>
        <w:r w:rsidR="00E34ACB" w:rsidRPr="00F842E0">
          <w:rPr>
            <w:rFonts w:ascii="Times New Roman" w:hAnsi="Times New Roman"/>
            <w:b/>
            <w:sz w:val="26"/>
            <w:szCs w:val="26"/>
            <w:lang w:eastAsia="ru-RU"/>
          </w:rPr>
          <w:t>Интервью Генерального директора</w:t>
        </w:r>
        <w:bookmarkEnd w:id="11"/>
        <w:bookmarkEnd w:id="12"/>
      </w:hyperlink>
      <w:bookmarkStart w:id="13" w:name="_Toc380576892"/>
    </w:p>
    <w:p w:rsidR="002F00BC" w:rsidRPr="002F00BC" w:rsidRDefault="002F00BC" w:rsidP="002F00BC">
      <w:pPr>
        <w:spacing w:before="120" w:after="120"/>
        <w:ind w:firstLine="567"/>
        <w:rPr>
          <w:rFonts w:eastAsia="Times New Roman"/>
          <w:b/>
          <w:sz w:val="26"/>
          <w:szCs w:val="26"/>
        </w:rPr>
      </w:pPr>
      <w:r w:rsidRPr="002F00BC">
        <w:rPr>
          <w:rFonts w:eastAsia="Times New Roman"/>
          <w:b/>
          <w:sz w:val="26"/>
          <w:szCs w:val="26"/>
        </w:rPr>
        <w:t>Каковы основные результаты деятельности компании в отчетном году?</w:t>
      </w:r>
    </w:p>
    <w:p w:rsidR="002F00BC" w:rsidRPr="002F00BC" w:rsidRDefault="002F00BC" w:rsidP="003E7511">
      <w:pPr>
        <w:pStyle w:val="Afff1"/>
        <w:ind w:firstLine="567"/>
        <w:jc w:val="both"/>
        <w:rPr>
          <w:rFonts w:ascii="Times New Roman" w:eastAsia="Times New Roman" w:hAnsi="Times New Roman" w:cs="Times New Roman"/>
          <w:sz w:val="26"/>
          <w:szCs w:val="26"/>
        </w:rPr>
      </w:pPr>
      <w:r w:rsidRPr="002F00BC">
        <w:rPr>
          <w:rFonts w:ascii="Times New Roman" w:hAnsi="Times New Roman" w:cs="Times New Roman"/>
          <w:sz w:val="26"/>
          <w:szCs w:val="26"/>
        </w:rPr>
        <w:t xml:space="preserve">2013 год стал без ложной скромности прорывным в истории ОАО «МОЭСК». Коллектив компании выполнил все </w:t>
      </w:r>
      <w:r w:rsidRPr="002F00BC">
        <w:rPr>
          <w:rFonts w:ascii="Times New Roman" w:hAnsi="Times New Roman"/>
          <w:sz w:val="26"/>
          <w:szCs w:val="26"/>
        </w:rPr>
        <w:t>поставленные задачи</w:t>
      </w:r>
      <w:r w:rsidRPr="002F00BC">
        <w:rPr>
          <w:rFonts w:ascii="Times New Roman" w:eastAsia="Times New Roman" w:hAnsi="Times New Roman" w:cs="Times New Roman"/>
          <w:sz w:val="26"/>
          <w:szCs w:val="26"/>
        </w:rPr>
        <w:t xml:space="preserve">, подтвердив репутацию стабильного, надежного партнера перед акционерами, ОАО «Россети», правительством Москвы и Московской области, и, главное, перед нашими клиентами. Мы обеспечили для них должный уровень надежности и планомерно повышали уровень обслуживания, </w:t>
      </w:r>
      <w:r w:rsidRPr="002F00BC">
        <w:rPr>
          <w:rFonts w:ascii="Times New Roman" w:eastAsia="Times New Roman" w:hAnsi="Times New Roman" w:cs="Times New Roman"/>
          <w:sz w:val="26"/>
          <w:szCs w:val="26"/>
          <w:u w:color="FF40FF"/>
        </w:rPr>
        <w:t>как в сфере передачи электроэнергии</w:t>
      </w:r>
      <w:r w:rsidRPr="002F00BC">
        <w:rPr>
          <w:rFonts w:ascii="Times New Roman" w:eastAsia="Times New Roman" w:hAnsi="Times New Roman" w:cs="Times New Roman"/>
          <w:sz w:val="26"/>
          <w:szCs w:val="26"/>
        </w:rPr>
        <w:t xml:space="preserve">, так и в качестве технологических присоединений. </w:t>
      </w:r>
    </w:p>
    <w:p w:rsidR="002F00BC" w:rsidRPr="002F00BC" w:rsidRDefault="002F00BC" w:rsidP="003E7511">
      <w:pPr>
        <w:pStyle w:val="Afff1"/>
        <w:ind w:firstLine="567"/>
        <w:jc w:val="both"/>
        <w:rPr>
          <w:rFonts w:ascii="Times New Roman" w:hAnsi="Times New Roman" w:cs="Times New Roman"/>
          <w:sz w:val="26"/>
          <w:szCs w:val="26"/>
        </w:rPr>
      </w:pPr>
      <w:r w:rsidRPr="002F00BC">
        <w:rPr>
          <w:rFonts w:ascii="Times New Roman" w:eastAsia="Times New Roman" w:hAnsi="Times New Roman" w:cs="Times New Roman"/>
          <w:sz w:val="26"/>
          <w:szCs w:val="26"/>
        </w:rPr>
        <w:t>Слаженная работа энергетиков МОЭСК позволила в очередной раз повысить показатели надежности и качества электроснабжения. В частности, на 40</w:t>
      </w:r>
      <w:r w:rsidR="003E7511">
        <w:rPr>
          <w:rFonts w:ascii="Times New Roman" w:eastAsia="Times New Roman" w:hAnsi="Times New Roman" w:cs="Times New Roman"/>
          <w:sz w:val="26"/>
          <w:szCs w:val="26"/>
        </w:rPr>
        <w:t> </w:t>
      </w:r>
      <w:r w:rsidRPr="002F00BC">
        <w:rPr>
          <w:rFonts w:ascii="Times New Roman" w:eastAsia="Times New Roman" w:hAnsi="Times New Roman" w:cs="Times New Roman"/>
          <w:sz w:val="26"/>
          <w:szCs w:val="26"/>
        </w:rPr>
        <w:t>% (до</w:t>
      </w:r>
      <w:r w:rsidR="003E7511">
        <w:rPr>
          <w:rFonts w:ascii="Times New Roman" w:eastAsia="Times New Roman" w:hAnsi="Times New Roman" w:cs="Times New Roman"/>
          <w:sz w:val="26"/>
          <w:szCs w:val="26"/>
        </w:rPr>
        <w:t> </w:t>
      </w:r>
      <w:r w:rsidRPr="002F00BC">
        <w:rPr>
          <w:rFonts w:ascii="Times New Roman" w:eastAsia="Times New Roman" w:hAnsi="Times New Roman" w:cs="Times New Roman"/>
          <w:sz w:val="26"/>
          <w:szCs w:val="26"/>
        </w:rPr>
        <w:t>122</w:t>
      </w:r>
      <w:r w:rsidR="003E7511">
        <w:rPr>
          <w:rFonts w:ascii="Times New Roman" w:eastAsia="Times New Roman" w:hAnsi="Times New Roman" w:cs="Times New Roman"/>
          <w:sz w:val="26"/>
          <w:szCs w:val="26"/>
        </w:rPr>
        <w:t> </w:t>
      </w:r>
      <w:r w:rsidRPr="002F00BC">
        <w:rPr>
          <w:rFonts w:ascii="Times New Roman" w:eastAsia="Times New Roman" w:hAnsi="Times New Roman" w:cs="Times New Roman"/>
          <w:sz w:val="26"/>
          <w:szCs w:val="26"/>
        </w:rPr>
        <w:t>мин</w:t>
      </w:r>
      <w:r w:rsidR="003E7511">
        <w:rPr>
          <w:rFonts w:ascii="Times New Roman" w:eastAsia="Times New Roman" w:hAnsi="Times New Roman" w:cs="Times New Roman"/>
          <w:sz w:val="26"/>
          <w:szCs w:val="26"/>
        </w:rPr>
        <w:t>.</w:t>
      </w:r>
      <w:r w:rsidRPr="002F00BC">
        <w:rPr>
          <w:rFonts w:ascii="Times New Roman" w:eastAsia="Times New Roman" w:hAnsi="Times New Roman" w:cs="Times New Roman"/>
          <w:sz w:val="26"/>
          <w:szCs w:val="26"/>
        </w:rPr>
        <w:t>) снижено среднее время восстановления электроснабжения потребителей на территории Московской области, и на 4</w:t>
      </w:r>
      <w:r w:rsidR="003E7511">
        <w:rPr>
          <w:rFonts w:ascii="Times New Roman" w:eastAsia="Times New Roman" w:hAnsi="Times New Roman" w:cs="Times New Roman"/>
          <w:sz w:val="26"/>
          <w:szCs w:val="26"/>
        </w:rPr>
        <w:t> </w:t>
      </w:r>
      <w:r w:rsidRPr="002F00BC">
        <w:rPr>
          <w:rFonts w:ascii="Times New Roman" w:eastAsia="Times New Roman" w:hAnsi="Times New Roman" w:cs="Times New Roman"/>
          <w:sz w:val="26"/>
          <w:szCs w:val="26"/>
        </w:rPr>
        <w:t>% (до 46 мин</w:t>
      </w:r>
      <w:r w:rsidR="003E7511">
        <w:rPr>
          <w:rFonts w:ascii="Times New Roman" w:eastAsia="Times New Roman" w:hAnsi="Times New Roman" w:cs="Times New Roman"/>
          <w:sz w:val="26"/>
          <w:szCs w:val="26"/>
        </w:rPr>
        <w:t>.</w:t>
      </w:r>
      <w:r w:rsidRPr="002F00BC">
        <w:rPr>
          <w:rFonts w:ascii="Times New Roman" w:eastAsia="Times New Roman" w:hAnsi="Times New Roman" w:cs="Times New Roman"/>
          <w:sz w:val="26"/>
          <w:szCs w:val="26"/>
        </w:rPr>
        <w:t>) – в столице, что соответствует европейским стандартам.</w:t>
      </w:r>
      <w:r w:rsidRPr="002F00BC">
        <w:rPr>
          <w:rFonts w:ascii="Times New Roman" w:hAnsi="Times New Roman" w:cs="Times New Roman"/>
          <w:sz w:val="26"/>
          <w:szCs w:val="26"/>
        </w:rPr>
        <w:t xml:space="preserve"> В полном объеме реализованы ремонтная и инвестиционная программы Общества. Также в целях повышения качества обслуживания клиентов, в том числе на вновь присоединенных к столице территориях, были созданы филиалы </w:t>
      </w:r>
      <w:r w:rsidR="00C253D8">
        <w:rPr>
          <w:rFonts w:ascii="Times New Roman" w:hAnsi="Times New Roman" w:cs="Times New Roman"/>
          <w:sz w:val="26"/>
          <w:szCs w:val="26"/>
        </w:rPr>
        <w:t>К</w:t>
      </w:r>
      <w:r w:rsidRPr="002F00BC">
        <w:rPr>
          <w:rFonts w:ascii="Times New Roman" w:hAnsi="Times New Roman" w:cs="Times New Roman"/>
          <w:sz w:val="26"/>
          <w:szCs w:val="26"/>
        </w:rPr>
        <w:t>омпании «Новая Москва» и «Энергоучет».</w:t>
      </w:r>
    </w:p>
    <w:p w:rsidR="002F00BC" w:rsidRPr="002F00BC" w:rsidRDefault="002F00BC" w:rsidP="003E7511">
      <w:pPr>
        <w:pStyle w:val="Afff1"/>
        <w:ind w:firstLine="567"/>
        <w:jc w:val="both"/>
        <w:rPr>
          <w:rFonts w:ascii="Times New Roman" w:eastAsia="Times New Roman" w:hAnsi="Times New Roman" w:cs="Times New Roman"/>
          <w:sz w:val="26"/>
          <w:szCs w:val="26"/>
        </w:rPr>
      </w:pPr>
      <w:r w:rsidRPr="002F00BC">
        <w:rPr>
          <w:rFonts w:ascii="Times New Roman" w:eastAsia="Times New Roman" w:hAnsi="Times New Roman" w:cs="Times New Roman"/>
          <w:sz w:val="26"/>
          <w:szCs w:val="26"/>
        </w:rPr>
        <w:t xml:space="preserve">Успешно реализован проект «5 шагов за 3 визита», положивший начало новому, перспективному этапу деятельности компании по упрощению взаимодействия с клиентами и увеличению доступности технологического присоединения к электрическим сетям. В 2013 году МОЭСК приняла рекордное за всю историю своей деятельности количество заявок на техприсоединение – более 90 тыс. Это на </w:t>
      </w:r>
      <w:r w:rsidR="00E618E9">
        <w:rPr>
          <w:rFonts w:ascii="Times New Roman" w:eastAsia="Times New Roman" w:hAnsi="Times New Roman" w:cs="Times New Roman"/>
          <w:sz w:val="26"/>
          <w:szCs w:val="26"/>
        </w:rPr>
        <w:t>72</w:t>
      </w:r>
      <w:r w:rsidR="003E7511">
        <w:rPr>
          <w:rFonts w:ascii="Times New Roman" w:eastAsia="Times New Roman" w:hAnsi="Times New Roman" w:cs="Times New Roman"/>
          <w:sz w:val="26"/>
          <w:szCs w:val="26"/>
        </w:rPr>
        <w:t> </w:t>
      </w:r>
      <w:r w:rsidRPr="002F00BC">
        <w:rPr>
          <w:rFonts w:ascii="Times New Roman" w:eastAsia="Times New Roman" w:hAnsi="Times New Roman" w:cs="Times New Roman"/>
          <w:sz w:val="26"/>
          <w:szCs w:val="26"/>
        </w:rPr>
        <w:t xml:space="preserve">% больше чем в прошлом году. </w:t>
      </w:r>
    </w:p>
    <w:p w:rsidR="002F00BC" w:rsidRPr="002F00BC" w:rsidRDefault="002F00BC" w:rsidP="003E7511">
      <w:pPr>
        <w:pStyle w:val="Afff1"/>
        <w:ind w:firstLine="567"/>
        <w:jc w:val="both"/>
        <w:rPr>
          <w:rFonts w:ascii="Times New Roman" w:eastAsia="Times New Roman" w:hAnsi="Times New Roman" w:cs="Times New Roman"/>
          <w:sz w:val="26"/>
          <w:szCs w:val="26"/>
        </w:rPr>
      </w:pPr>
      <w:r w:rsidRPr="002F00BC">
        <w:rPr>
          <w:rFonts w:ascii="Times New Roman" w:eastAsia="Times New Roman" w:hAnsi="Times New Roman" w:cs="Times New Roman"/>
          <w:sz w:val="26"/>
          <w:szCs w:val="26"/>
        </w:rPr>
        <w:t xml:space="preserve">Как важнейший итог работы за отчетный период надо отметить, что именно благодаря работе </w:t>
      </w:r>
      <w:r w:rsidR="003E7511">
        <w:rPr>
          <w:rFonts w:ascii="Times New Roman" w:eastAsia="Times New Roman" w:hAnsi="Times New Roman" w:cs="Times New Roman"/>
          <w:sz w:val="26"/>
          <w:szCs w:val="26"/>
        </w:rPr>
        <w:t>ОАО «</w:t>
      </w:r>
      <w:r w:rsidRPr="002F00BC">
        <w:rPr>
          <w:rFonts w:ascii="Times New Roman" w:eastAsia="Times New Roman" w:hAnsi="Times New Roman" w:cs="Times New Roman"/>
          <w:sz w:val="26"/>
          <w:szCs w:val="26"/>
        </w:rPr>
        <w:t>МОЭСК</w:t>
      </w:r>
      <w:r w:rsidR="003E7511">
        <w:rPr>
          <w:rFonts w:ascii="Times New Roman" w:eastAsia="Times New Roman" w:hAnsi="Times New Roman" w:cs="Times New Roman"/>
          <w:sz w:val="26"/>
          <w:szCs w:val="26"/>
        </w:rPr>
        <w:t>»</w:t>
      </w:r>
      <w:r w:rsidRPr="002F00BC">
        <w:rPr>
          <w:rFonts w:ascii="Times New Roman" w:eastAsia="Times New Roman" w:hAnsi="Times New Roman" w:cs="Times New Roman"/>
          <w:sz w:val="26"/>
          <w:szCs w:val="26"/>
        </w:rPr>
        <w:t>, наша страна повысила свою позицию в рейтинге Doing Business на 71 пункт. Это существенный результат, отмеченный всеми.</w:t>
      </w:r>
    </w:p>
    <w:p w:rsidR="00C55D08" w:rsidRPr="002F00BC" w:rsidRDefault="00C55D08" w:rsidP="00C55D08">
      <w:pPr>
        <w:ind w:firstLine="567"/>
        <w:rPr>
          <w:rFonts w:eastAsia="Times New Roman"/>
          <w:sz w:val="26"/>
          <w:szCs w:val="26"/>
        </w:rPr>
      </w:pPr>
      <w:r w:rsidRPr="002F00BC">
        <w:rPr>
          <w:rFonts w:eastAsia="Times New Roman"/>
          <w:sz w:val="26"/>
          <w:szCs w:val="26"/>
        </w:rPr>
        <w:t>Хорошие результаты достигнуты в работе по консолидации сетевых активов на базе ОАО «МОЭСК». Доходы компании от этого вида деятельности составили 141</w:t>
      </w:r>
      <w:r>
        <w:rPr>
          <w:rFonts w:eastAsia="Times New Roman"/>
          <w:sz w:val="26"/>
          <w:szCs w:val="26"/>
        </w:rPr>
        <w:t> </w:t>
      </w:r>
      <w:r w:rsidRPr="002F00BC">
        <w:rPr>
          <w:rFonts w:eastAsia="Times New Roman"/>
          <w:sz w:val="26"/>
          <w:szCs w:val="26"/>
        </w:rPr>
        <w:t xml:space="preserve">% от плана. Положительная динамика отмечается и в части основных финансовых показателей. По итогам 2013 года выручка ОАО «МОЭСК» составила 124,7 </w:t>
      </w:r>
      <w:proofErr w:type="gramStart"/>
      <w:r w:rsidRPr="002F00BC">
        <w:rPr>
          <w:rFonts w:eastAsia="Times New Roman"/>
          <w:sz w:val="26"/>
          <w:szCs w:val="26"/>
        </w:rPr>
        <w:t>млрд</w:t>
      </w:r>
      <w:proofErr w:type="gramEnd"/>
      <w:r w:rsidRPr="002F00BC">
        <w:rPr>
          <w:rFonts w:eastAsia="Times New Roman"/>
          <w:sz w:val="26"/>
          <w:szCs w:val="26"/>
        </w:rPr>
        <w:t xml:space="preserve"> руб</w:t>
      </w:r>
      <w:r>
        <w:rPr>
          <w:rFonts w:eastAsia="Times New Roman"/>
          <w:sz w:val="26"/>
          <w:szCs w:val="26"/>
        </w:rPr>
        <w:t>.</w:t>
      </w:r>
      <w:r w:rsidRPr="002F00BC">
        <w:rPr>
          <w:rFonts w:eastAsia="Times New Roman"/>
          <w:sz w:val="26"/>
          <w:szCs w:val="26"/>
        </w:rPr>
        <w:t xml:space="preserve"> (+5,7</w:t>
      </w:r>
      <w:r>
        <w:rPr>
          <w:rFonts w:eastAsia="Times New Roman"/>
          <w:sz w:val="26"/>
          <w:szCs w:val="26"/>
        </w:rPr>
        <w:t> </w:t>
      </w:r>
      <w:r w:rsidRPr="002F00BC">
        <w:rPr>
          <w:rFonts w:eastAsia="Times New Roman"/>
          <w:sz w:val="26"/>
          <w:szCs w:val="26"/>
        </w:rPr>
        <w:t>% к показателям 2012 года), при этом выручка от передачи электроэнергии по отношению к предыдущему году увеличилась на 10,7</w:t>
      </w:r>
      <w:r>
        <w:rPr>
          <w:rFonts w:eastAsia="Times New Roman"/>
          <w:sz w:val="26"/>
          <w:szCs w:val="26"/>
        </w:rPr>
        <w:t> </w:t>
      </w:r>
      <w:r w:rsidRPr="002F00BC">
        <w:rPr>
          <w:rFonts w:eastAsia="Times New Roman"/>
          <w:sz w:val="26"/>
          <w:szCs w:val="26"/>
        </w:rPr>
        <w:t>% и составила более 110 млрд руб. Чистая прибыль компании</w:t>
      </w:r>
      <w:r>
        <w:rPr>
          <w:rFonts w:eastAsia="Times New Roman"/>
          <w:sz w:val="26"/>
          <w:szCs w:val="26"/>
        </w:rPr>
        <w:t xml:space="preserve"> по РСБУ</w:t>
      </w:r>
      <w:r w:rsidRPr="002F00BC">
        <w:rPr>
          <w:rFonts w:eastAsia="Times New Roman"/>
          <w:sz w:val="26"/>
          <w:szCs w:val="26"/>
        </w:rPr>
        <w:t xml:space="preserve"> достигла 11,6 млрд руб</w:t>
      </w:r>
      <w:r>
        <w:rPr>
          <w:rFonts w:eastAsia="Times New Roman"/>
          <w:sz w:val="26"/>
          <w:szCs w:val="26"/>
        </w:rPr>
        <w:t>.</w:t>
      </w:r>
      <w:r w:rsidRPr="002F00BC">
        <w:rPr>
          <w:rFonts w:eastAsia="Times New Roman"/>
          <w:sz w:val="26"/>
          <w:szCs w:val="26"/>
        </w:rPr>
        <w:t>, что на 5,8</w:t>
      </w:r>
      <w:r>
        <w:rPr>
          <w:rFonts w:eastAsia="Times New Roman"/>
          <w:sz w:val="26"/>
          <w:szCs w:val="26"/>
        </w:rPr>
        <w:t> </w:t>
      </w:r>
      <w:r w:rsidRPr="002F00BC">
        <w:rPr>
          <w:rFonts w:eastAsia="Times New Roman"/>
          <w:sz w:val="26"/>
          <w:szCs w:val="26"/>
        </w:rPr>
        <w:t>% выше планового значения</w:t>
      </w:r>
      <w:r>
        <w:rPr>
          <w:rFonts w:eastAsia="Times New Roman"/>
          <w:sz w:val="26"/>
          <w:szCs w:val="26"/>
        </w:rPr>
        <w:t>,</w:t>
      </w:r>
      <w:r w:rsidRPr="00253E6A">
        <w:rPr>
          <w:sz w:val="26"/>
          <w:szCs w:val="26"/>
        </w:rPr>
        <w:t xml:space="preserve"> </w:t>
      </w:r>
      <w:r>
        <w:rPr>
          <w:sz w:val="26"/>
          <w:szCs w:val="26"/>
        </w:rPr>
        <w:t>к</w:t>
      </w:r>
      <w:r w:rsidRPr="004761E0">
        <w:rPr>
          <w:sz w:val="26"/>
          <w:szCs w:val="26"/>
        </w:rPr>
        <w:t xml:space="preserve">онсолидированная чистая прибыль по </w:t>
      </w:r>
      <w:r>
        <w:rPr>
          <w:sz w:val="26"/>
          <w:szCs w:val="26"/>
        </w:rPr>
        <w:t>международным стандартам</w:t>
      </w:r>
      <w:r w:rsidRPr="004761E0">
        <w:rPr>
          <w:sz w:val="26"/>
          <w:szCs w:val="26"/>
        </w:rPr>
        <w:t xml:space="preserve"> МСФО </w:t>
      </w:r>
      <w:r>
        <w:rPr>
          <w:sz w:val="26"/>
          <w:szCs w:val="26"/>
        </w:rPr>
        <w:t xml:space="preserve">– </w:t>
      </w:r>
      <w:r w:rsidRPr="004761E0">
        <w:rPr>
          <w:sz w:val="26"/>
          <w:szCs w:val="26"/>
        </w:rPr>
        <w:t>17,8 млрд ру</w:t>
      </w:r>
      <w:r>
        <w:rPr>
          <w:sz w:val="26"/>
          <w:szCs w:val="26"/>
        </w:rPr>
        <w:t>б.</w:t>
      </w:r>
      <w:r>
        <w:rPr>
          <w:rFonts w:eastAsia="Times New Roman"/>
          <w:sz w:val="26"/>
          <w:szCs w:val="26"/>
        </w:rPr>
        <w:t xml:space="preserve"> </w:t>
      </w:r>
      <w:r>
        <w:rPr>
          <w:sz w:val="26"/>
          <w:szCs w:val="26"/>
        </w:rPr>
        <w:t>Впервые</w:t>
      </w:r>
      <w:r w:rsidRPr="004761E0">
        <w:rPr>
          <w:sz w:val="26"/>
          <w:szCs w:val="26"/>
        </w:rPr>
        <w:t xml:space="preserve"> </w:t>
      </w:r>
      <w:r>
        <w:rPr>
          <w:sz w:val="26"/>
          <w:szCs w:val="26"/>
        </w:rPr>
        <w:t>ОАО «МОЭСК»</w:t>
      </w:r>
      <w:r w:rsidRPr="004761E0">
        <w:rPr>
          <w:sz w:val="26"/>
          <w:szCs w:val="26"/>
        </w:rPr>
        <w:t xml:space="preserve"> получил</w:t>
      </w:r>
      <w:r>
        <w:rPr>
          <w:sz w:val="26"/>
          <w:szCs w:val="26"/>
        </w:rPr>
        <w:t>о</w:t>
      </w:r>
      <w:r w:rsidRPr="004761E0">
        <w:rPr>
          <w:sz w:val="26"/>
          <w:szCs w:val="26"/>
        </w:rPr>
        <w:t xml:space="preserve"> рейтинг на уровне BB+</w:t>
      </w:r>
      <w:r>
        <w:rPr>
          <w:sz w:val="26"/>
          <w:szCs w:val="26"/>
        </w:rPr>
        <w:t xml:space="preserve"> </w:t>
      </w:r>
      <w:r w:rsidRPr="004761E0">
        <w:rPr>
          <w:sz w:val="26"/>
          <w:szCs w:val="26"/>
        </w:rPr>
        <w:t xml:space="preserve">в рейтинговом агентстве Fitch. </w:t>
      </w:r>
      <w:r>
        <w:rPr>
          <w:sz w:val="26"/>
          <w:szCs w:val="26"/>
        </w:rPr>
        <w:t>Также п</w:t>
      </w:r>
      <w:r w:rsidRPr="004761E0">
        <w:rPr>
          <w:sz w:val="26"/>
          <w:szCs w:val="26"/>
        </w:rPr>
        <w:t>овышен кредитный рейтинг агентством  Standard &amp; Poor’s до уровня ВВ.</w:t>
      </w:r>
    </w:p>
    <w:p w:rsidR="002F00BC" w:rsidRPr="002F00BC" w:rsidRDefault="002F00BC" w:rsidP="003E7511">
      <w:pPr>
        <w:pStyle w:val="Afff1"/>
        <w:ind w:firstLine="567"/>
        <w:jc w:val="both"/>
        <w:rPr>
          <w:rFonts w:ascii="Times New Roman" w:eastAsia="Times New Roman" w:hAnsi="Times New Roman" w:cs="Times New Roman"/>
          <w:sz w:val="26"/>
          <w:szCs w:val="26"/>
        </w:rPr>
      </w:pPr>
      <w:r w:rsidRPr="002F00BC">
        <w:rPr>
          <w:rFonts w:ascii="Times New Roman" w:eastAsia="Times New Roman" w:hAnsi="Times New Roman" w:cs="Times New Roman"/>
          <w:sz w:val="26"/>
          <w:szCs w:val="26"/>
        </w:rPr>
        <w:t xml:space="preserve">Необходимо подчеркнуть, что совокупность всех реализованных в 2013 году мероприятий позволила упрочить имидж </w:t>
      </w:r>
      <w:r w:rsidR="003E7511">
        <w:rPr>
          <w:rFonts w:ascii="Times New Roman" w:eastAsia="Times New Roman" w:hAnsi="Times New Roman" w:cs="Times New Roman"/>
          <w:sz w:val="26"/>
          <w:szCs w:val="26"/>
        </w:rPr>
        <w:t>ОАО «</w:t>
      </w:r>
      <w:r w:rsidRPr="002F00BC">
        <w:rPr>
          <w:rFonts w:ascii="Times New Roman" w:eastAsia="Times New Roman" w:hAnsi="Times New Roman" w:cs="Times New Roman"/>
          <w:sz w:val="26"/>
          <w:szCs w:val="26"/>
        </w:rPr>
        <w:t>МОЭСК</w:t>
      </w:r>
      <w:r w:rsidR="003E7511">
        <w:rPr>
          <w:rFonts w:ascii="Times New Roman" w:eastAsia="Times New Roman" w:hAnsi="Times New Roman" w:cs="Times New Roman"/>
          <w:sz w:val="26"/>
          <w:szCs w:val="26"/>
        </w:rPr>
        <w:t>»</w:t>
      </w:r>
      <w:r w:rsidRPr="002F00BC">
        <w:rPr>
          <w:rFonts w:ascii="Times New Roman" w:eastAsia="Times New Roman" w:hAnsi="Times New Roman" w:cs="Times New Roman"/>
          <w:sz w:val="26"/>
          <w:szCs w:val="26"/>
        </w:rPr>
        <w:t xml:space="preserve"> как открытой для взаимодействия компании, нацеленной на конструктивный диалог с органами власти, предпринимательским сообществом и своими клиентами.</w:t>
      </w:r>
    </w:p>
    <w:p w:rsidR="002F00BC" w:rsidRPr="002F00BC" w:rsidRDefault="002F00BC" w:rsidP="003E7511">
      <w:pPr>
        <w:pStyle w:val="Afff1"/>
        <w:ind w:firstLine="567"/>
        <w:jc w:val="both"/>
        <w:rPr>
          <w:rFonts w:ascii="Times New Roman" w:eastAsia="Times New Roman" w:hAnsi="Times New Roman" w:cs="Times New Roman"/>
          <w:position w:val="8"/>
          <w:sz w:val="26"/>
          <w:szCs w:val="26"/>
        </w:rPr>
      </w:pPr>
      <w:r w:rsidRPr="002F00BC">
        <w:rPr>
          <w:rFonts w:ascii="Times New Roman" w:eastAsia="Times New Roman" w:hAnsi="Times New Roman" w:cs="Times New Roman"/>
          <w:sz w:val="26"/>
          <w:szCs w:val="26"/>
        </w:rPr>
        <w:t>Несмотря на достигнутые достойные результаты, мы продолжаем совершенствовать методы своей работы и планируем добиться еще лучших показателей в 2014 году.</w:t>
      </w:r>
    </w:p>
    <w:p w:rsidR="002F00BC" w:rsidRPr="002F00BC" w:rsidRDefault="002F00BC" w:rsidP="002F00BC">
      <w:pPr>
        <w:spacing w:before="120" w:after="120"/>
        <w:ind w:firstLine="567"/>
        <w:rPr>
          <w:rFonts w:eastAsia="Times New Roman"/>
          <w:b/>
          <w:sz w:val="26"/>
          <w:szCs w:val="26"/>
        </w:rPr>
      </w:pPr>
      <w:r w:rsidRPr="002F00BC">
        <w:rPr>
          <w:rFonts w:eastAsia="Times New Roman"/>
          <w:b/>
          <w:sz w:val="26"/>
          <w:szCs w:val="26"/>
        </w:rPr>
        <w:t>Что в отчетном году сделано для увеличения эффективности работы компании?</w:t>
      </w:r>
    </w:p>
    <w:p w:rsidR="002F00BC" w:rsidRPr="002F00BC" w:rsidRDefault="002F00BC" w:rsidP="003E7511">
      <w:pPr>
        <w:ind w:firstLine="567"/>
        <w:rPr>
          <w:sz w:val="26"/>
          <w:szCs w:val="26"/>
        </w:rPr>
      </w:pPr>
      <w:r w:rsidRPr="002F00BC">
        <w:rPr>
          <w:rFonts w:eastAsia="Times New Roman"/>
          <w:sz w:val="26"/>
          <w:szCs w:val="26"/>
        </w:rPr>
        <w:lastRenderedPageBreak/>
        <w:t xml:space="preserve">Для увеличения эффективности работы </w:t>
      </w:r>
      <w:r w:rsidR="003E7511">
        <w:rPr>
          <w:rFonts w:eastAsia="Times New Roman"/>
          <w:sz w:val="26"/>
          <w:szCs w:val="26"/>
        </w:rPr>
        <w:t>ОАО «</w:t>
      </w:r>
      <w:r w:rsidRPr="002F00BC">
        <w:rPr>
          <w:rFonts w:eastAsia="Times New Roman"/>
          <w:sz w:val="26"/>
          <w:szCs w:val="26"/>
        </w:rPr>
        <w:t>МОЭСК</w:t>
      </w:r>
      <w:r w:rsidR="003E7511">
        <w:rPr>
          <w:rFonts w:eastAsia="Times New Roman"/>
          <w:sz w:val="26"/>
          <w:szCs w:val="26"/>
        </w:rPr>
        <w:t>»</w:t>
      </w:r>
      <w:r w:rsidRPr="002F00BC">
        <w:rPr>
          <w:rFonts w:eastAsia="Times New Roman"/>
          <w:sz w:val="26"/>
          <w:szCs w:val="26"/>
        </w:rPr>
        <w:t xml:space="preserve"> о</w:t>
      </w:r>
      <w:r w:rsidRPr="002F00BC">
        <w:rPr>
          <w:sz w:val="26"/>
          <w:szCs w:val="26"/>
        </w:rPr>
        <w:t xml:space="preserve">птимизированы внутренние процессы, разработаны и реализуются комплексные программы, актуализируется и совершенствуется регламентирующая документация. </w:t>
      </w:r>
      <w:r w:rsidRPr="002F00BC">
        <w:rPr>
          <w:rFonts w:eastAsia="Times New Roman"/>
          <w:sz w:val="26"/>
          <w:szCs w:val="26"/>
        </w:rPr>
        <w:t xml:space="preserve">Это коснулось как ключевой функции компании по обеспечению надежного электроснабжения, так и </w:t>
      </w:r>
      <w:r w:rsidRPr="002F00BC">
        <w:rPr>
          <w:sz w:val="26"/>
          <w:szCs w:val="26"/>
        </w:rPr>
        <w:t>процедур технологического присоединения, учета электроэнергии и т.д. Так, усовершенствованы схемы размещения передвижных электростанций для их максимально быстрой доставки к возможному месту аварии. Реализуются программы по приведению трасс и просек вдоль ЛЭП к нормативному состоянию, что позволило только в минувшем году сократить количество аварийных отключений по причине падения деревьев на 60</w:t>
      </w:r>
      <w:r w:rsidR="003E7511">
        <w:rPr>
          <w:sz w:val="26"/>
          <w:szCs w:val="26"/>
        </w:rPr>
        <w:t> </w:t>
      </w:r>
      <w:r w:rsidRPr="002F00BC">
        <w:rPr>
          <w:sz w:val="26"/>
          <w:szCs w:val="26"/>
        </w:rPr>
        <w:t>%.</w:t>
      </w:r>
    </w:p>
    <w:p w:rsidR="002F00BC" w:rsidRPr="002F00BC" w:rsidRDefault="002F00BC" w:rsidP="003E7511">
      <w:pPr>
        <w:ind w:firstLine="567"/>
        <w:rPr>
          <w:sz w:val="26"/>
          <w:szCs w:val="26"/>
        </w:rPr>
      </w:pPr>
      <w:r w:rsidRPr="002F00BC">
        <w:rPr>
          <w:sz w:val="26"/>
          <w:szCs w:val="26"/>
        </w:rPr>
        <w:t>Кроме того, оптимизирована работа единого информационного центра «Светлая линия», который создан на базе собственного Контактного центра. Все обслуживание по информированию клиентов переведено на единый номер ОАО «МОЭСК»</w:t>
      </w:r>
      <w:r w:rsidR="003E7511">
        <w:rPr>
          <w:sz w:val="26"/>
          <w:szCs w:val="26"/>
        </w:rPr>
        <w:br/>
      </w:r>
      <w:r w:rsidRPr="002F00BC">
        <w:rPr>
          <w:sz w:val="26"/>
          <w:szCs w:val="26"/>
        </w:rPr>
        <w:t xml:space="preserve">8(800) 700-40-70. </w:t>
      </w:r>
    </w:p>
    <w:p w:rsidR="002F00BC" w:rsidRPr="002F00BC" w:rsidRDefault="002F00BC" w:rsidP="003E7511">
      <w:pPr>
        <w:pStyle w:val="ac"/>
        <w:ind w:firstLine="567"/>
        <w:rPr>
          <w:sz w:val="26"/>
          <w:szCs w:val="26"/>
        </w:rPr>
      </w:pPr>
      <w:r w:rsidRPr="002F00BC">
        <w:rPr>
          <w:sz w:val="26"/>
          <w:szCs w:val="26"/>
        </w:rPr>
        <w:t>С целью оптимизации функции учета электрической энергии активно внедряются новейшие программные продукты. Например, в прошедшем году на 16 подстанциях Общества введена в эксплуатацию система АИИС</w:t>
      </w:r>
      <w:r w:rsidR="003E7511">
        <w:rPr>
          <w:sz w:val="26"/>
          <w:szCs w:val="26"/>
        </w:rPr>
        <w:t> </w:t>
      </w:r>
      <w:r w:rsidRPr="002F00BC">
        <w:rPr>
          <w:sz w:val="26"/>
          <w:szCs w:val="26"/>
        </w:rPr>
        <w:t>КУЭ. Она позволяет в автоматическом режиме осуществлять передачу данных в ОАО «Мосэнергосбыт» о получасовых расходах мощности.</w:t>
      </w:r>
    </w:p>
    <w:p w:rsidR="002F00BC" w:rsidRPr="002F00BC" w:rsidRDefault="002F00BC" w:rsidP="003E7511">
      <w:pPr>
        <w:ind w:firstLine="567"/>
        <w:rPr>
          <w:sz w:val="26"/>
          <w:szCs w:val="26"/>
        </w:rPr>
      </w:pPr>
      <w:r w:rsidRPr="002F00BC">
        <w:rPr>
          <w:sz w:val="26"/>
          <w:szCs w:val="26"/>
        </w:rPr>
        <w:t>Создан единый центр компетенции по методологии и развитию автоматизированных систем управления финансово-хозяйственной деятельности – Управление функционального заказчика, деятельность которого позволила существенно повысить эффективность решений по автоматизации, что в свою очередь повлияло на повышение качества бухгалтерского, налогового и управленческого учета, снижение трудоем</w:t>
      </w:r>
      <w:r w:rsidR="003E7511">
        <w:rPr>
          <w:sz w:val="26"/>
          <w:szCs w:val="26"/>
        </w:rPr>
        <w:t>кости формирования отчётности.</w:t>
      </w:r>
    </w:p>
    <w:p w:rsidR="002F00BC" w:rsidRPr="002F00BC" w:rsidRDefault="002F00BC" w:rsidP="002F00BC">
      <w:pPr>
        <w:spacing w:before="120" w:after="120"/>
        <w:ind w:firstLine="567"/>
        <w:rPr>
          <w:rFonts w:eastAsia="Times New Roman"/>
          <w:b/>
          <w:sz w:val="26"/>
          <w:szCs w:val="26"/>
        </w:rPr>
      </w:pPr>
      <w:r w:rsidRPr="002F00BC">
        <w:rPr>
          <w:rFonts w:eastAsia="Times New Roman"/>
          <w:b/>
          <w:sz w:val="26"/>
          <w:szCs w:val="26"/>
        </w:rPr>
        <w:t xml:space="preserve">Каким образом результаты деятельности повлияли в отчетном году на повышение открытости деятельности ОАО «МОЭСК»? </w:t>
      </w:r>
    </w:p>
    <w:p w:rsidR="002F00BC" w:rsidRPr="002F00BC" w:rsidRDefault="002F00BC" w:rsidP="003E7511">
      <w:pPr>
        <w:ind w:firstLine="567"/>
        <w:rPr>
          <w:sz w:val="26"/>
          <w:szCs w:val="26"/>
        </w:rPr>
      </w:pPr>
      <w:r w:rsidRPr="002F00BC">
        <w:rPr>
          <w:sz w:val="26"/>
          <w:szCs w:val="26"/>
        </w:rPr>
        <w:t xml:space="preserve">Реализация программы «5 шагов за 3 визита» априори подразумевает полную открытость деятельности МОЭСК в части технологического присоединения. На достижение этой цели успешно работали все запущенные бизнес-процессы: открытие новых клиентских и консультационных центров, развитие заочных и интерактивных сервисов, партнерство с представителями органов власти, общественными и деловыми организациями. Впервые по инициативе ОАО «МОЭСК» инвестиционная программа </w:t>
      </w:r>
      <w:r w:rsidR="003E7511">
        <w:rPr>
          <w:sz w:val="26"/>
          <w:szCs w:val="26"/>
        </w:rPr>
        <w:t>К</w:t>
      </w:r>
      <w:r w:rsidRPr="002F00BC">
        <w:rPr>
          <w:sz w:val="26"/>
          <w:szCs w:val="26"/>
        </w:rPr>
        <w:t>омпании была заслушана и одобрена на общественных слушаниях в органах законодательной власти Москвы и Московской области.</w:t>
      </w:r>
    </w:p>
    <w:p w:rsidR="002F00BC" w:rsidRPr="002F00BC" w:rsidRDefault="002F00BC" w:rsidP="003E7511">
      <w:pPr>
        <w:ind w:firstLine="567"/>
        <w:rPr>
          <w:sz w:val="26"/>
          <w:szCs w:val="26"/>
        </w:rPr>
      </w:pPr>
      <w:r w:rsidRPr="002F00BC">
        <w:rPr>
          <w:sz w:val="26"/>
          <w:szCs w:val="26"/>
        </w:rPr>
        <w:t>В 2013 году проведены мероприятия, направленные на снижение закупок у единственного источника и, соответственно, повышение доли открытых закупочных процедур. Из 3 496 закупок открытыми способами проведено 3 311 (99</w:t>
      </w:r>
      <w:r w:rsidR="003E7511">
        <w:rPr>
          <w:sz w:val="26"/>
          <w:szCs w:val="26"/>
        </w:rPr>
        <w:t> </w:t>
      </w:r>
      <w:r w:rsidRPr="002F00BC">
        <w:rPr>
          <w:sz w:val="26"/>
          <w:szCs w:val="26"/>
        </w:rPr>
        <w:t>% от общего объема закупок в стоимостном выражении). Такое преобладание обеспечило прозрачность и формирование оптимальной рыночной цены закупки. Экономическ</w:t>
      </w:r>
      <w:r w:rsidR="003E7511">
        <w:rPr>
          <w:sz w:val="26"/>
          <w:szCs w:val="26"/>
        </w:rPr>
        <w:t xml:space="preserve">ий эффект по итогам проведения </w:t>
      </w:r>
      <w:r w:rsidRPr="002F00BC">
        <w:rPr>
          <w:sz w:val="26"/>
          <w:szCs w:val="26"/>
        </w:rPr>
        <w:t>закупочных процедур  за 2013 год составил свыше 8,7</w:t>
      </w:r>
      <w:r w:rsidR="003E7511">
        <w:rPr>
          <w:sz w:val="26"/>
          <w:szCs w:val="26"/>
        </w:rPr>
        <w:t> </w:t>
      </w:r>
      <w:proofErr w:type="gramStart"/>
      <w:r w:rsidRPr="002F00BC">
        <w:rPr>
          <w:sz w:val="26"/>
          <w:szCs w:val="26"/>
        </w:rPr>
        <w:t>млрд</w:t>
      </w:r>
      <w:proofErr w:type="gramEnd"/>
      <w:r w:rsidRPr="002F00BC">
        <w:rPr>
          <w:sz w:val="26"/>
          <w:szCs w:val="26"/>
        </w:rPr>
        <w:t xml:space="preserve"> руб</w:t>
      </w:r>
      <w:r w:rsidR="003E7511">
        <w:rPr>
          <w:sz w:val="26"/>
          <w:szCs w:val="26"/>
        </w:rPr>
        <w:t>.</w:t>
      </w:r>
      <w:r w:rsidRPr="002F00BC">
        <w:rPr>
          <w:sz w:val="26"/>
          <w:szCs w:val="26"/>
        </w:rPr>
        <w:t xml:space="preserve"> или 9,21</w:t>
      </w:r>
      <w:r w:rsidR="003E7511">
        <w:rPr>
          <w:sz w:val="26"/>
          <w:szCs w:val="26"/>
        </w:rPr>
        <w:t> </w:t>
      </w:r>
      <w:r w:rsidRPr="002F00BC">
        <w:rPr>
          <w:sz w:val="26"/>
          <w:szCs w:val="26"/>
        </w:rPr>
        <w:t>% от плановой объявленной стоимости закупок.</w:t>
      </w:r>
    </w:p>
    <w:p w:rsidR="002F00BC" w:rsidRPr="002F00BC" w:rsidRDefault="002F00BC" w:rsidP="003E7511">
      <w:pPr>
        <w:ind w:firstLine="567"/>
        <w:rPr>
          <w:rFonts w:eastAsia="Times New Roman"/>
          <w:sz w:val="26"/>
          <w:szCs w:val="26"/>
        </w:rPr>
      </w:pPr>
      <w:r w:rsidRPr="002F00BC">
        <w:rPr>
          <w:sz w:val="26"/>
          <w:szCs w:val="26"/>
        </w:rPr>
        <w:t xml:space="preserve">О повышении прозрачности деятельности Общества говорит и тот факт, что </w:t>
      </w:r>
      <w:r w:rsidRPr="002F00BC">
        <w:rPr>
          <w:rFonts w:eastAsia="Times New Roman"/>
          <w:sz w:val="26"/>
          <w:szCs w:val="26"/>
        </w:rPr>
        <w:t>аудитория сайта и портала по технологическому присоединению ОАО «МОЭСК» выросла в разы. Это прямой результат информационной открытости всех функциональных блоков компании, наращивания потока коммуникаций с целевыми аудиториями по интернет-каналам.</w:t>
      </w:r>
    </w:p>
    <w:p w:rsidR="002F00BC" w:rsidRPr="002F00BC" w:rsidRDefault="002F00BC" w:rsidP="002F00BC">
      <w:pPr>
        <w:spacing w:before="120" w:after="120"/>
        <w:ind w:firstLine="567"/>
        <w:rPr>
          <w:rFonts w:eastAsia="Times New Roman"/>
          <w:b/>
          <w:sz w:val="26"/>
          <w:szCs w:val="26"/>
        </w:rPr>
      </w:pPr>
      <w:r w:rsidRPr="002F00BC">
        <w:rPr>
          <w:rFonts w:eastAsia="Times New Roman"/>
          <w:b/>
          <w:sz w:val="26"/>
          <w:szCs w:val="26"/>
        </w:rPr>
        <w:lastRenderedPageBreak/>
        <w:t>Как итоги работы компании отразились на деятельности клиентов?</w:t>
      </w:r>
    </w:p>
    <w:p w:rsidR="002F00BC" w:rsidRPr="002F00BC" w:rsidRDefault="002F00BC" w:rsidP="003E7511">
      <w:pPr>
        <w:ind w:firstLine="567"/>
        <w:rPr>
          <w:rFonts w:eastAsia="Times New Roman"/>
          <w:sz w:val="26"/>
          <w:szCs w:val="26"/>
        </w:rPr>
      </w:pPr>
      <w:r w:rsidRPr="002F00BC">
        <w:rPr>
          <w:rFonts w:eastAsia="Times New Roman"/>
          <w:sz w:val="26"/>
          <w:szCs w:val="26"/>
        </w:rPr>
        <w:t>Учитывая вектор клиентоориентированной энергокомпании, с каждым годом повышается открытость Общества для потребителей. Например, для того, чтобы удовлетворить потребность заявителей в подключении к сетям ОАО «МОЭСК», были разработаны различные регламентирующие документы. Например, регламент процесса «Осуществление технологического присоединения к электрическим сетям ОАО</w:t>
      </w:r>
      <w:r w:rsidR="003E7511">
        <w:rPr>
          <w:rFonts w:eastAsia="Times New Roman"/>
          <w:sz w:val="26"/>
          <w:szCs w:val="26"/>
        </w:rPr>
        <w:t> </w:t>
      </w:r>
      <w:r w:rsidRPr="002F00BC">
        <w:rPr>
          <w:rFonts w:eastAsia="Times New Roman"/>
          <w:sz w:val="26"/>
          <w:szCs w:val="26"/>
        </w:rPr>
        <w:t xml:space="preserve">«МОЭСК» в </w:t>
      </w:r>
      <w:proofErr w:type="gramStart"/>
      <w:r w:rsidRPr="002F00BC">
        <w:rPr>
          <w:rFonts w:eastAsia="Times New Roman"/>
          <w:sz w:val="26"/>
          <w:szCs w:val="26"/>
        </w:rPr>
        <w:t>г</w:t>
      </w:r>
      <w:proofErr w:type="gramEnd"/>
      <w:r w:rsidRPr="002F00BC">
        <w:rPr>
          <w:rFonts w:eastAsia="Times New Roman"/>
          <w:sz w:val="26"/>
          <w:szCs w:val="26"/>
        </w:rPr>
        <w:t>. Москве и Московской области», регламент взаимодействия с ОАО</w:t>
      </w:r>
      <w:r w:rsidR="003E7511">
        <w:rPr>
          <w:rFonts w:eastAsia="Times New Roman"/>
          <w:sz w:val="26"/>
          <w:szCs w:val="26"/>
        </w:rPr>
        <w:t> </w:t>
      </w:r>
      <w:r w:rsidRPr="002F00BC">
        <w:rPr>
          <w:rFonts w:eastAsia="Times New Roman"/>
          <w:sz w:val="26"/>
          <w:szCs w:val="26"/>
        </w:rPr>
        <w:t>«Мосэнергосбыт» и др. Реализована возможность подачи напряжения и оформления допуска энергопринимающего устройства на месте, возможность подачи заявки на ТП в офисе ОАО «Мосэнергосбыт». В результате за 2013 год общий объем присоединенной мощности превысил 1 530 МВт, что составило 142</w:t>
      </w:r>
      <w:r w:rsidR="003E7511">
        <w:rPr>
          <w:rFonts w:eastAsia="Times New Roman"/>
          <w:sz w:val="26"/>
          <w:szCs w:val="26"/>
        </w:rPr>
        <w:t> </w:t>
      </w:r>
      <w:r w:rsidRPr="002F00BC">
        <w:rPr>
          <w:rFonts w:eastAsia="Times New Roman"/>
          <w:sz w:val="26"/>
          <w:szCs w:val="26"/>
        </w:rPr>
        <w:t xml:space="preserve">% выполнения плана за год. </w:t>
      </w:r>
    </w:p>
    <w:p w:rsidR="002F00BC" w:rsidRPr="002F00BC" w:rsidRDefault="002F00BC" w:rsidP="003E7511">
      <w:pPr>
        <w:ind w:firstLine="567"/>
        <w:rPr>
          <w:rFonts w:eastAsia="Times New Roman"/>
          <w:sz w:val="26"/>
          <w:szCs w:val="26"/>
        </w:rPr>
      </w:pPr>
      <w:r w:rsidRPr="002F00BC">
        <w:rPr>
          <w:rFonts w:eastAsia="Times New Roman"/>
          <w:sz w:val="26"/>
          <w:szCs w:val="26"/>
        </w:rPr>
        <w:t xml:space="preserve">Открытость и наглядность проводимых процедур позволяет клиентам и акционерам нашей компании объективно оценивать происходящие в Обществе процессы и изменения. </w:t>
      </w:r>
    </w:p>
    <w:p w:rsidR="002F00BC" w:rsidRPr="002F00BC" w:rsidRDefault="002F00BC" w:rsidP="003E7511">
      <w:pPr>
        <w:ind w:firstLine="567"/>
        <w:rPr>
          <w:rFonts w:eastAsia="Times New Roman"/>
          <w:sz w:val="26"/>
          <w:szCs w:val="26"/>
        </w:rPr>
      </w:pPr>
      <w:r w:rsidRPr="002F00BC">
        <w:rPr>
          <w:rFonts w:eastAsia="Times New Roman"/>
          <w:sz w:val="26"/>
          <w:szCs w:val="26"/>
        </w:rPr>
        <w:t>Посредством совершенствования портала по технологическому присоединению обеспечена полноценная информационная и сервисная поддержка потребителей, создан сервис ТП в соответствии со стандартами крупнейших мировых компаний. В качестве примера можно привести размещение интерактивной карты с питающими центрами ОАО «МОЭСК», где указан резерв мощности. Внедрен сервис «</w:t>
      </w:r>
      <w:r w:rsidR="003E7511">
        <w:rPr>
          <w:rFonts w:eastAsia="Times New Roman"/>
          <w:sz w:val="26"/>
          <w:szCs w:val="26"/>
        </w:rPr>
        <w:t xml:space="preserve">присоединись по-крупному», где </w:t>
      </w:r>
      <w:r w:rsidRPr="002F00BC">
        <w:rPr>
          <w:rFonts w:eastAsia="Times New Roman"/>
          <w:sz w:val="26"/>
          <w:szCs w:val="26"/>
        </w:rPr>
        <w:t>можно выбрать районы с наличием резерва мощности более 50 МВт. Разработан сервис, который позволит размещать на сайте ОАО «МОЭСК» информацию о лицах, желающих перераспределить свою максимальную мощность.</w:t>
      </w:r>
    </w:p>
    <w:p w:rsidR="002F00BC" w:rsidRPr="002F00BC" w:rsidRDefault="002F00BC" w:rsidP="003E7511">
      <w:pPr>
        <w:ind w:firstLine="567"/>
        <w:rPr>
          <w:rFonts w:eastAsia="Times New Roman"/>
          <w:sz w:val="26"/>
          <w:szCs w:val="26"/>
        </w:rPr>
      </w:pPr>
      <w:r w:rsidRPr="002F00BC">
        <w:rPr>
          <w:rFonts w:eastAsia="Times New Roman"/>
          <w:sz w:val="26"/>
          <w:szCs w:val="26"/>
        </w:rPr>
        <w:t>Стал более удобным, информационно-насыщенным и полезным для клиентов и сайт компании. Простота навигации, интерактивный функционал, современные визуальные решения – все ориентировано на  повышение клиентоориентированности Общества и лояльности потребителей.</w:t>
      </w:r>
    </w:p>
    <w:p w:rsidR="002F00BC" w:rsidRPr="002F00BC" w:rsidRDefault="002F00BC" w:rsidP="003E7511">
      <w:pPr>
        <w:ind w:firstLine="567"/>
        <w:rPr>
          <w:rFonts w:eastAsia="Times New Roman"/>
          <w:sz w:val="26"/>
          <w:szCs w:val="26"/>
        </w:rPr>
      </w:pPr>
      <w:r w:rsidRPr="002F00BC">
        <w:rPr>
          <w:rFonts w:eastAsia="Times New Roman"/>
          <w:sz w:val="26"/>
          <w:szCs w:val="26"/>
        </w:rPr>
        <w:t xml:space="preserve">Доступность оперативной информации для потребителей обеспечивает контактный центр «Светлая линия», позвонив на телефон которой  каждый  клиент может получить ответ относительно хода проведения восстановительных работ, выполнения плановых ремонтов, сроков техприсоединения и т.д. </w:t>
      </w:r>
    </w:p>
    <w:p w:rsidR="002F00BC" w:rsidRPr="002F00BC" w:rsidRDefault="002F00BC" w:rsidP="003E7511">
      <w:pPr>
        <w:ind w:firstLine="567"/>
        <w:rPr>
          <w:rFonts w:eastAsia="Times New Roman"/>
          <w:sz w:val="26"/>
          <w:szCs w:val="26"/>
        </w:rPr>
      </w:pPr>
      <w:r w:rsidRPr="002F00BC">
        <w:rPr>
          <w:rFonts w:eastAsia="Times New Roman"/>
          <w:sz w:val="26"/>
          <w:szCs w:val="26"/>
        </w:rPr>
        <w:t>Налажена система ежедневного информирования потребителей и сбытовых компаний о потреблении электроэнергии и мощности с использованием системы АИИС</w:t>
      </w:r>
      <w:r w:rsidR="003E7511">
        <w:rPr>
          <w:rFonts w:eastAsia="Times New Roman"/>
          <w:sz w:val="26"/>
          <w:szCs w:val="26"/>
        </w:rPr>
        <w:t> </w:t>
      </w:r>
      <w:r w:rsidRPr="002F00BC">
        <w:rPr>
          <w:rFonts w:eastAsia="Times New Roman"/>
          <w:sz w:val="26"/>
          <w:szCs w:val="26"/>
        </w:rPr>
        <w:t xml:space="preserve">КУЭ. </w:t>
      </w:r>
    </w:p>
    <w:p w:rsidR="006170BE" w:rsidRDefault="006170BE" w:rsidP="002F00BC">
      <w:pPr>
        <w:spacing w:before="120" w:after="120"/>
        <w:ind w:firstLine="567"/>
        <w:rPr>
          <w:rFonts w:eastAsia="Times New Roman"/>
          <w:b/>
          <w:sz w:val="26"/>
          <w:szCs w:val="26"/>
        </w:rPr>
      </w:pPr>
    </w:p>
    <w:p w:rsidR="002F00BC" w:rsidRPr="002F00BC" w:rsidRDefault="002F00BC" w:rsidP="002F00BC">
      <w:pPr>
        <w:spacing w:before="120" w:after="120"/>
        <w:ind w:firstLine="567"/>
        <w:rPr>
          <w:rFonts w:eastAsia="Times New Roman"/>
          <w:b/>
          <w:sz w:val="26"/>
          <w:szCs w:val="26"/>
        </w:rPr>
      </w:pPr>
      <w:r w:rsidRPr="002F00BC">
        <w:rPr>
          <w:rFonts w:eastAsia="Times New Roman"/>
          <w:b/>
          <w:sz w:val="26"/>
          <w:szCs w:val="26"/>
        </w:rPr>
        <w:t>Как обеспечивалась прозрачность деятельности компании при работе с органами власти и общественностью?</w:t>
      </w:r>
    </w:p>
    <w:p w:rsidR="002F00BC" w:rsidRPr="002F00BC" w:rsidRDefault="002F00BC" w:rsidP="003E7511">
      <w:pPr>
        <w:ind w:firstLine="567"/>
        <w:rPr>
          <w:rFonts w:eastAsia="Times New Roman"/>
          <w:sz w:val="26"/>
          <w:szCs w:val="26"/>
        </w:rPr>
      </w:pPr>
      <w:r w:rsidRPr="002F00BC">
        <w:rPr>
          <w:rFonts w:eastAsia="Times New Roman"/>
          <w:sz w:val="26"/>
          <w:szCs w:val="26"/>
        </w:rPr>
        <w:t xml:space="preserve">В 2013 году ОАО «МОЭСК» выстроило  конструктивное взаимодействие с органами государственной власти, муниципального управления, общественными организациями по различным вопросам, возникающим в процессе реализации поставленных перед Обществом целей и задач. Помимо регулярного информирования о принимаемых решениях активно использовались такие формы, как встречи, деловые форумы, инвест-мероприятия, круглые столы – всего организовано и проведено около 30 совместных мероприятий, имевших широкий  </w:t>
      </w:r>
      <w:proofErr w:type="gramStart"/>
      <w:r w:rsidRPr="002F00BC">
        <w:rPr>
          <w:rFonts w:eastAsia="Times New Roman"/>
          <w:sz w:val="26"/>
          <w:szCs w:val="26"/>
        </w:rPr>
        <w:t>резонанс</w:t>
      </w:r>
      <w:proofErr w:type="gramEnd"/>
      <w:r w:rsidRPr="002F00BC">
        <w:rPr>
          <w:rFonts w:eastAsia="Times New Roman"/>
          <w:sz w:val="26"/>
          <w:szCs w:val="26"/>
        </w:rPr>
        <w:t xml:space="preserve"> как на региональном, так и на федеральном уровнях.</w:t>
      </w:r>
    </w:p>
    <w:p w:rsidR="002F00BC" w:rsidRPr="002F00BC" w:rsidRDefault="002F00BC" w:rsidP="003E7511">
      <w:pPr>
        <w:ind w:firstLine="567"/>
        <w:rPr>
          <w:rFonts w:eastAsia="Times New Roman"/>
          <w:sz w:val="26"/>
          <w:szCs w:val="26"/>
        </w:rPr>
      </w:pPr>
      <w:r w:rsidRPr="002F00BC">
        <w:rPr>
          <w:rFonts w:eastAsia="Times New Roman"/>
          <w:sz w:val="26"/>
          <w:szCs w:val="26"/>
        </w:rPr>
        <w:lastRenderedPageBreak/>
        <w:t xml:space="preserve">Особое внимание уделялось выстраиванию отношений с общественностью посредством реализации Программы благотворительной деятельности. Самым заметным ее событием стало сооружение памятника инженерам и строителям электрозаграждений 1941 года в д. Нефедьево Красногорского района. </w:t>
      </w:r>
    </w:p>
    <w:p w:rsidR="002F00BC" w:rsidRPr="002F00BC" w:rsidRDefault="002F00BC" w:rsidP="003E7511">
      <w:pPr>
        <w:spacing w:before="120" w:after="120"/>
        <w:ind w:left="567" w:firstLine="0"/>
        <w:rPr>
          <w:rFonts w:eastAsia="Times New Roman"/>
          <w:b/>
          <w:sz w:val="26"/>
          <w:szCs w:val="26"/>
        </w:rPr>
      </w:pPr>
      <w:r w:rsidRPr="002F00BC">
        <w:rPr>
          <w:rFonts w:eastAsia="Times New Roman"/>
          <w:b/>
          <w:sz w:val="26"/>
          <w:szCs w:val="26"/>
        </w:rPr>
        <w:t>Появились ли в компании новые бизнес-процессы?</w:t>
      </w:r>
    </w:p>
    <w:p w:rsidR="002F00BC" w:rsidRPr="002F00BC" w:rsidRDefault="002F00BC" w:rsidP="003E7511">
      <w:pPr>
        <w:ind w:firstLine="567"/>
        <w:rPr>
          <w:rFonts w:eastAsia="Times New Roman"/>
          <w:sz w:val="26"/>
          <w:szCs w:val="26"/>
        </w:rPr>
      </w:pPr>
      <w:r w:rsidRPr="002F00BC">
        <w:rPr>
          <w:rFonts w:eastAsia="Times New Roman"/>
          <w:sz w:val="26"/>
          <w:szCs w:val="26"/>
        </w:rPr>
        <w:t xml:space="preserve">В числе новых бизнес-процессов, значительно повысивших эффективность работы компании, можно назвать создание так называемых мобильных бригад, совмещающих функции ремонтно-эксплуатационных и оперативно-выездных  бригад. Сформировано почти 140 подобных бригад, действующих в 43 районах электросетей. </w:t>
      </w:r>
    </w:p>
    <w:p w:rsidR="002F00BC" w:rsidRPr="002F00BC" w:rsidRDefault="002F00BC" w:rsidP="003E7511">
      <w:pPr>
        <w:ind w:firstLine="567"/>
        <w:rPr>
          <w:rFonts w:eastAsia="Times New Roman"/>
          <w:sz w:val="26"/>
          <w:szCs w:val="26"/>
        </w:rPr>
      </w:pPr>
      <w:r w:rsidRPr="002F00BC">
        <w:rPr>
          <w:rFonts w:eastAsia="Times New Roman"/>
          <w:sz w:val="26"/>
          <w:szCs w:val="26"/>
        </w:rPr>
        <w:t>Кроме того, в компании создана Аварийно-спасательная служба, а также шесть аналогичных формирований на базе филиалов. Автомобили, осуществляющие перевозку сотрудников Службы, оснащены проблесковыми маячками синего цвета и звуковыми спецсигналами, что в условиях сложной дорожной ситуации позволило сократить время прибытия бригад к месту аварийн</w:t>
      </w:r>
      <w:proofErr w:type="gramStart"/>
      <w:r w:rsidRPr="002F00BC">
        <w:rPr>
          <w:rFonts w:eastAsia="Times New Roman"/>
          <w:sz w:val="26"/>
          <w:szCs w:val="26"/>
        </w:rPr>
        <w:t>о-</w:t>
      </w:r>
      <w:proofErr w:type="gramEnd"/>
      <w:r w:rsidRPr="002F00BC">
        <w:rPr>
          <w:rFonts w:eastAsia="Times New Roman"/>
          <w:sz w:val="26"/>
          <w:szCs w:val="26"/>
        </w:rPr>
        <w:t xml:space="preserve"> восстановительных работ в 3 раза.</w:t>
      </w:r>
    </w:p>
    <w:p w:rsidR="002F00BC" w:rsidRPr="002F00BC" w:rsidRDefault="002F00BC" w:rsidP="003E7511">
      <w:pPr>
        <w:ind w:firstLine="567"/>
        <w:rPr>
          <w:rFonts w:eastAsia="Times New Roman"/>
          <w:sz w:val="26"/>
          <w:szCs w:val="26"/>
        </w:rPr>
      </w:pPr>
      <w:r w:rsidRPr="002F00BC">
        <w:rPr>
          <w:rFonts w:eastAsia="Times New Roman"/>
          <w:sz w:val="26"/>
          <w:szCs w:val="26"/>
        </w:rPr>
        <w:t>Еще одним новшеством является внедрение в Западных электрических сетях проекта по организации технологического присоединения «под ключ». Благодаря этому компания впервые стала выполнять работы сетевого строительства со стороны потребителя, что позволило ощутимо увеличить прибыль.</w:t>
      </w:r>
    </w:p>
    <w:p w:rsidR="002F00BC" w:rsidRPr="002F00BC" w:rsidRDefault="002F00BC" w:rsidP="003E7511">
      <w:pPr>
        <w:ind w:firstLine="567"/>
        <w:rPr>
          <w:rFonts w:eastAsia="Times New Roman"/>
          <w:sz w:val="26"/>
          <w:szCs w:val="26"/>
        </w:rPr>
      </w:pPr>
      <w:r w:rsidRPr="002F00BC">
        <w:rPr>
          <w:rFonts w:eastAsia="Times New Roman"/>
          <w:sz w:val="26"/>
          <w:szCs w:val="26"/>
        </w:rPr>
        <w:t>Нововведением является и внедрение практики работы персонального менеджера по работе с крупными и системными потребителями услуг технологического присоединения к электрическим сетям ОАО «МОЭСК».</w:t>
      </w:r>
    </w:p>
    <w:p w:rsidR="002F00BC" w:rsidRPr="002F00BC" w:rsidRDefault="002F00BC" w:rsidP="003E7511">
      <w:pPr>
        <w:ind w:firstLine="567"/>
        <w:rPr>
          <w:sz w:val="26"/>
          <w:szCs w:val="26"/>
        </w:rPr>
      </w:pPr>
      <w:r w:rsidRPr="002F00BC">
        <w:rPr>
          <w:sz w:val="26"/>
          <w:szCs w:val="26"/>
        </w:rPr>
        <w:t xml:space="preserve">Принципиально новым процессом является Система непрерывных улучшений, согласно которой каждый работник Общества может подать заявку или предложение по улучшению деятельности компании. В 2013 году впервые был организован конкурс на предложение по улучшениям. Такая форма вовлечения персонала в деятельность компании – значимый бизнес-процесс, который способствует ее развитию. </w:t>
      </w:r>
    </w:p>
    <w:p w:rsidR="002F00BC" w:rsidRPr="002F00BC" w:rsidRDefault="002F00BC" w:rsidP="003E7511">
      <w:pPr>
        <w:ind w:firstLine="567"/>
        <w:rPr>
          <w:rFonts w:eastAsia="Times New Roman"/>
          <w:sz w:val="26"/>
          <w:szCs w:val="26"/>
        </w:rPr>
      </w:pPr>
      <w:r w:rsidRPr="002F00BC">
        <w:rPr>
          <w:rFonts w:eastAsia="Times New Roman"/>
          <w:sz w:val="26"/>
          <w:szCs w:val="26"/>
        </w:rPr>
        <w:t xml:space="preserve">В целях повышения эффективности кадрового потенциала МОЭСК в 2013 году стартовал проект по ротации персонала компании, в рамках которого 52 работника получили временные новые назначения, что также способствовало повышению эффективности обмена знаниями и опытом. </w:t>
      </w:r>
    </w:p>
    <w:p w:rsidR="002F00BC" w:rsidRPr="002F00BC" w:rsidRDefault="002F00BC" w:rsidP="003E7511">
      <w:pPr>
        <w:ind w:firstLine="567"/>
        <w:rPr>
          <w:rFonts w:eastAsia="Times New Roman"/>
          <w:sz w:val="26"/>
          <w:szCs w:val="26"/>
        </w:rPr>
      </w:pPr>
      <w:r w:rsidRPr="002F00BC">
        <w:rPr>
          <w:rFonts w:eastAsia="Times New Roman"/>
          <w:sz w:val="26"/>
          <w:szCs w:val="26"/>
        </w:rPr>
        <w:t>Важные изменения произошли в области улучшения системы оплаты труда: внедрена система материального стимулирования работников филиалов по оказанию дополнительных услуг.</w:t>
      </w:r>
    </w:p>
    <w:p w:rsidR="002F00BC" w:rsidRPr="002F00BC" w:rsidRDefault="002F00BC" w:rsidP="003E7511">
      <w:pPr>
        <w:spacing w:before="120" w:after="120"/>
        <w:ind w:left="567" w:firstLine="0"/>
        <w:rPr>
          <w:rFonts w:eastAsia="Times New Roman"/>
          <w:b/>
          <w:sz w:val="26"/>
          <w:szCs w:val="26"/>
        </w:rPr>
      </w:pPr>
      <w:r w:rsidRPr="002F00BC">
        <w:rPr>
          <w:rFonts w:eastAsia="Times New Roman"/>
          <w:b/>
          <w:sz w:val="26"/>
          <w:szCs w:val="26"/>
        </w:rPr>
        <w:t>Каковы основные планы на следующий год и среднесрочную перспективу?</w:t>
      </w:r>
    </w:p>
    <w:p w:rsidR="002F00BC" w:rsidRPr="002F00BC" w:rsidRDefault="002F00BC" w:rsidP="003E7511">
      <w:pPr>
        <w:ind w:firstLine="567"/>
        <w:rPr>
          <w:rFonts w:eastAsia="Times New Roman"/>
          <w:sz w:val="26"/>
          <w:szCs w:val="26"/>
        </w:rPr>
      </w:pPr>
      <w:r w:rsidRPr="002F00BC">
        <w:rPr>
          <w:rFonts w:eastAsia="Times New Roman"/>
          <w:sz w:val="26"/>
          <w:szCs w:val="26"/>
        </w:rPr>
        <w:t>Мы продолжим повышать надежность и качество электроснабжения. С этой целью планируется дальнейшее сокращение сроков восстановления электроснабжения, приведение показателей работы электросетевого хозяйства областных территорий до уровня столицы, адаптация энергообъектов Новой Москвы к требованиям мегаполиса и другие мероприятия.</w:t>
      </w:r>
    </w:p>
    <w:p w:rsidR="002F00BC" w:rsidRPr="002F00BC" w:rsidRDefault="002F00BC" w:rsidP="003E7511">
      <w:pPr>
        <w:ind w:firstLine="567"/>
        <w:rPr>
          <w:rFonts w:eastAsia="Times New Roman"/>
          <w:sz w:val="26"/>
          <w:szCs w:val="26"/>
        </w:rPr>
      </w:pPr>
      <w:r w:rsidRPr="002F00BC">
        <w:rPr>
          <w:rFonts w:eastAsia="Times New Roman"/>
          <w:sz w:val="26"/>
          <w:szCs w:val="26"/>
        </w:rPr>
        <w:t>Большое значение мы придаем работе по улучшению показателей рейтинга Doing Business. На 2014 год запланирована реализация нового проекта «3 шага – 2 визита», рассчитанного на клиентов, подключающих мощность до 150 кВт. Мы продолжим работу по сокращению срока подключения к электрической сети, количества этапов присоединения и упрощению всей процедуры ТП: от приема заявки до подачи напряжения. Сейчас мы ставим задачу сократить срок подключения к электросети до 90</w:t>
      </w:r>
      <w:r w:rsidR="003E7511">
        <w:rPr>
          <w:rFonts w:eastAsia="Times New Roman"/>
          <w:sz w:val="26"/>
          <w:szCs w:val="26"/>
        </w:rPr>
        <w:t> </w:t>
      </w:r>
      <w:r w:rsidRPr="002F00BC">
        <w:rPr>
          <w:rFonts w:eastAsia="Times New Roman"/>
          <w:sz w:val="26"/>
          <w:szCs w:val="26"/>
        </w:rPr>
        <w:t xml:space="preserve">дней, а к 2018 году этот же показатель должен снизиться до  40 дней. Для более </w:t>
      </w:r>
      <w:r w:rsidRPr="002F00BC">
        <w:rPr>
          <w:rFonts w:eastAsia="Times New Roman"/>
          <w:sz w:val="26"/>
          <w:szCs w:val="26"/>
        </w:rPr>
        <w:lastRenderedPageBreak/>
        <w:t>крупных заявителей с максимальной мощностью до 670 кВт срок подключения в 2014</w:t>
      </w:r>
      <w:r w:rsidR="003E7511">
        <w:rPr>
          <w:rFonts w:eastAsia="Times New Roman"/>
          <w:sz w:val="26"/>
          <w:szCs w:val="26"/>
        </w:rPr>
        <w:t> </w:t>
      </w:r>
      <w:r w:rsidRPr="002F00BC">
        <w:rPr>
          <w:rFonts w:eastAsia="Times New Roman"/>
          <w:sz w:val="26"/>
          <w:szCs w:val="26"/>
        </w:rPr>
        <w:t xml:space="preserve">году планируем снизить до 125 дней. </w:t>
      </w:r>
    </w:p>
    <w:p w:rsidR="002F00BC" w:rsidRPr="002F00BC" w:rsidRDefault="002F00BC" w:rsidP="003E7511">
      <w:pPr>
        <w:ind w:firstLine="567"/>
        <w:rPr>
          <w:rFonts w:eastAsia="Times New Roman"/>
          <w:sz w:val="26"/>
          <w:szCs w:val="26"/>
        </w:rPr>
      </w:pPr>
      <w:r w:rsidRPr="002F00BC">
        <w:rPr>
          <w:rFonts w:eastAsia="Times New Roman"/>
          <w:sz w:val="26"/>
          <w:szCs w:val="26"/>
        </w:rPr>
        <w:t>В перспективной разработке у нас сразу несколько важных программ развития электросетевого комплекса Московского региона. Много усовершенствований и новых сервисов запланировано на Портале ТП. Все это сделает наши взаимоотношения с потребителями еще более и прозрачными, а электроснабжение по сетям МОЭСК – качественным и надежным.</w:t>
      </w:r>
    </w:p>
    <w:p w:rsidR="00F842E0" w:rsidRDefault="00F842E0" w:rsidP="00F842E0">
      <w:pPr>
        <w:rPr>
          <w:rFonts w:eastAsia="Times New Roman"/>
          <w:lang w:eastAsia="ru-RU"/>
        </w:rPr>
      </w:pPr>
      <w:r>
        <w:rPr>
          <w:lang w:eastAsia="ru-RU"/>
        </w:rPr>
        <w:br w:type="page"/>
      </w:r>
    </w:p>
    <w:p w:rsidR="00E34ACB" w:rsidRPr="00F842E0" w:rsidRDefault="00E34ACB" w:rsidP="007076A7">
      <w:pPr>
        <w:pStyle w:val="a8"/>
        <w:numPr>
          <w:ilvl w:val="1"/>
          <w:numId w:val="320"/>
        </w:numPr>
        <w:spacing w:before="120" w:after="120"/>
        <w:ind w:left="1134" w:hanging="567"/>
        <w:jc w:val="left"/>
        <w:rPr>
          <w:rFonts w:ascii="Times New Roman" w:hAnsi="Times New Roman"/>
          <w:b/>
          <w:sz w:val="26"/>
          <w:szCs w:val="26"/>
          <w:lang w:eastAsia="ru-RU"/>
        </w:rPr>
      </w:pPr>
      <w:bookmarkStart w:id="14" w:name="_Toc385339791"/>
      <w:r w:rsidRPr="00F842E0">
        <w:rPr>
          <w:rFonts w:ascii="Times New Roman" w:hAnsi="Times New Roman"/>
          <w:b/>
          <w:sz w:val="26"/>
          <w:szCs w:val="26"/>
          <w:lang w:eastAsia="ru-RU"/>
        </w:rPr>
        <w:lastRenderedPageBreak/>
        <w:t xml:space="preserve">Ключевые события и факты </w:t>
      </w:r>
      <w:bookmarkEnd w:id="13"/>
      <w:r w:rsidR="005428E7" w:rsidRPr="00F842E0">
        <w:rPr>
          <w:rFonts w:ascii="Times New Roman" w:hAnsi="Times New Roman"/>
          <w:b/>
          <w:sz w:val="26"/>
          <w:szCs w:val="26"/>
          <w:lang w:eastAsia="ru-RU"/>
        </w:rPr>
        <w:t>2013 года</w:t>
      </w:r>
      <w:bookmarkEnd w:id="14"/>
    </w:p>
    <w:tbl>
      <w:tblPr>
        <w:tblStyle w:val="16"/>
        <w:tblW w:w="0" w:type="auto"/>
        <w:tblLook w:val="04A0"/>
      </w:tblPr>
      <w:tblGrid>
        <w:gridCol w:w="417"/>
        <w:gridCol w:w="1018"/>
        <w:gridCol w:w="8703"/>
      </w:tblGrid>
      <w:tr w:rsidR="007E3243" w:rsidRPr="004761E0" w:rsidTr="007E3243">
        <w:trPr>
          <w:cantSplit/>
        </w:trPr>
        <w:tc>
          <w:tcPr>
            <w:tcW w:w="0" w:type="auto"/>
            <w:tcBorders>
              <w:right w:val="nil"/>
            </w:tcBorders>
            <w:shd w:val="clear" w:color="auto" w:fill="0F243E" w:themeFill="text2" w:themeFillShade="80"/>
            <w:hideMark/>
          </w:tcPr>
          <w:p w:rsidR="007E3243" w:rsidRPr="004761E0" w:rsidRDefault="007E3243" w:rsidP="007E3243">
            <w:pPr>
              <w:ind w:firstLine="0"/>
              <w:rPr>
                <w:b/>
                <w:sz w:val="20"/>
                <w:szCs w:val="20"/>
              </w:rPr>
            </w:pPr>
            <w:r w:rsidRPr="004761E0">
              <w:rPr>
                <w:b/>
                <w:sz w:val="20"/>
                <w:szCs w:val="20"/>
              </w:rPr>
              <w:t>№</w:t>
            </w:r>
          </w:p>
        </w:tc>
        <w:tc>
          <w:tcPr>
            <w:tcW w:w="0" w:type="auto"/>
            <w:tcBorders>
              <w:left w:val="nil"/>
              <w:right w:val="nil"/>
            </w:tcBorders>
            <w:shd w:val="clear" w:color="auto" w:fill="0F243E" w:themeFill="text2" w:themeFillShade="80"/>
            <w:hideMark/>
          </w:tcPr>
          <w:p w:rsidR="007E3243" w:rsidRPr="004761E0" w:rsidRDefault="007E3243" w:rsidP="007E3243">
            <w:pPr>
              <w:ind w:firstLine="0"/>
              <w:rPr>
                <w:b/>
                <w:sz w:val="20"/>
                <w:szCs w:val="20"/>
              </w:rPr>
            </w:pPr>
            <w:r w:rsidRPr="004761E0">
              <w:rPr>
                <w:b/>
                <w:sz w:val="20"/>
                <w:szCs w:val="20"/>
              </w:rPr>
              <w:t>Месяц</w:t>
            </w:r>
          </w:p>
        </w:tc>
        <w:tc>
          <w:tcPr>
            <w:tcW w:w="0" w:type="auto"/>
            <w:tcBorders>
              <w:left w:val="nil"/>
            </w:tcBorders>
            <w:shd w:val="clear" w:color="auto" w:fill="0F243E" w:themeFill="text2" w:themeFillShade="80"/>
            <w:hideMark/>
          </w:tcPr>
          <w:p w:rsidR="007E3243" w:rsidRPr="004761E0" w:rsidRDefault="007E3243" w:rsidP="007E3243">
            <w:pPr>
              <w:ind w:firstLine="0"/>
              <w:rPr>
                <w:b/>
                <w:sz w:val="20"/>
                <w:szCs w:val="20"/>
              </w:rPr>
            </w:pPr>
            <w:r w:rsidRPr="004761E0">
              <w:rPr>
                <w:b/>
                <w:sz w:val="20"/>
                <w:szCs w:val="20"/>
              </w:rPr>
              <w:t>Событие</w:t>
            </w:r>
          </w:p>
        </w:tc>
      </w:tr>
      <w:tr w:rsidR="007E3243" w:rsidRPr="004761E0" w:rsidTr="007E3243">
        <w:trPr>
          <w:cantSplit/>
        </w:trPr>
        <w:tc>
          <w:tcPr>
            <w:tcW w:w="0" w:type="auto"/>
            <w:hideMark/>
          </w:tcPr>
          <w:p w:rsidR="007E3243" w:rsidRPr="004761E0" w:rsidRDefault="007E3243" w:rsidP="007076A7">
            <w:pPr>
              <w:pStyle w:val="a5"/>
              <w:numPr>
                <w:ilvl w:val="0"/>
                <w:numId w:val="315"/>
              </w:numPr>
              <w:rPr>
                <w:sz w:val="20"/>
                <w:szCs w:val="20"/>
              </w:rPr>
            </w:pPr>
          </w:p>
        </w:tc>
        <w:tc>
          <w:tcPr>
            <w:tcW w:w="0" w:type="auto"/>
            <w:hideMark/>
          </w:tcPr>
          <w:p w:rsidR="007E3243" w:rsidRPr="004761E0" w:rsidRDefault="00384915" w:rsidP="007E3243">
            <w:pPr>
              <w:ind w:firstLine="0"/>
              <w:rPr>
                <w:sz w:val="20"/>
                <w:szCs w:val="20"/>
              </w:rPr>
            </w:pPr>
            <w:r w:rsidRPr="004761E0">
              <w:rPr>
                <w:sz w:val="20"/>
                <w:szCs w:val="20"/>
              </w:rPr>
              <w:t>Ф</w:t>
            </w:r>
            <w:r w:rsidR="007E3243" w:rsidRPr="004761E0">
              <w:rPr>
                <w:sz w:val="20"/>
                <w:szCs w:val="20"/>
              </w:rPr>
              <w:t>евраль</w:t>
            </w:r>
          </w:p>
        </w:tc>
        <w:tc>
          <w:tcPr>
            <w:tcW w:w="0" w:type="auto"/>
            <w:hideMark/>
          </w:tcPr>
          <w:p w:rsidR="007E3243" w:rsidRPr="004761E0" w:rsidRDefault="007E3243" w:rsidP="007E3243">
            <w:pPr>
              <w:ind w:firstLine="0"/>
              <w:rPr>
                <w:sz w:val="20"/>
                <w:szCs w:val="20"/>
              </w:rPr>
            </w:pPr>
            <w:r w:rsidRPr="004761E0">
              <w:rPr>
                <w:sz w:val="20"/>
                <w:szCs w:val="20"/>
              </w:rPr>
              <w:t>Совет директоров избрал генеральным директором П.А. Синютина</w:t>
            </w:r>
          </w:p>
        </w:tc>
      </w:tr>
      <w:tr w:rsidR="007E3243" w:rsidRPr="004761E0" w:rsidTr="007E3243">
        <w:trPr>
          <w:cantSplit/>
        </w:trPr>
        <w:tc>
          <w:tcPr>
            <w:tcW w:w="0" w:type="auto"/>
            <w:hideMark/>
          </w:tcPr>
          <w:p w:rsidR="007E3243" w:rsidRPr="004761E0" w:rsidRDefault="007E3243" w:rsidP="007076A7">
            <w:pPr>
              <w:pStyle w:val="a5"/>
              <w:numPr>
                <w:ilvl w:val="0"/>
                <w:numId w:val="315"/>
              </w:numPr>
              <w:rPr>
                <w:b/>
                <w:sz w:val="20"/>
                <w:szCs w:val="20"/>
              </w:rPr>
            </w:pPr>
          </w:p>
        </w:tc>
        <w:tc>
          <w:tcPr>
            <w:tcW w:w="0" w:type="auto"/>
            <w:hideMark/>
          </w:tcPr>
          <w:p w:rsidR="007E3243" w:rsidRPr="004761E0" w:rsidRDefault="00384915" w:rsidP="007E3243">
            <w:pPr>
              <w:ind w:firstLine="0"/>
              <w:rPr>
                <w:sz w:val="20"/>
                <w:szCs w:val="20"/>
              </w:rPr>
            </w:pPr>
            <w:r w:rsidRPr="004761E0">
              <w:rPr>
                <w:sz w:val="20"/>
                <w:szCs w:val="20"/>
              </w:rPr>
              <w:t>Ф</w:t>
            </w:r>
            <w:r w:rsidR="007E3243" w:rsidRPr="004761E0">
              <w:rPr>
                <w:sz w:val="20"/>
                <w:szCs w:val="20"/>
              </w:rPr>
              <w:t>евраль</w:t>
            </w:r>
          </w:p>
        </w:tc>
        <w:tc>
          <w:tcPr>
            <w:tcW w:w="0" w:type="auto"/>
            <w:hideMark/>
          </w:tcPr>
          <w:p w:rsidR="007E3243" w:rsidRPr="004761E0" w:rsidRDefault="007E3243" w:rsidP="007E3243">
            <w:pPr>
              <w:ind w:firstLine="0"/>
              <w:rPr>
                <w:sz w:val="20"/>
                <w:szCs w:val="20"/>
              </w:rPr>
            </w:pPr>
            <w:r w:rsidRPr="004761E0">
              <w:rPr>
                <w:sz w:val="20"/>
                <w:szCs w:val="20"/>
              </w:rPr>
              <w:t xml:space="preserve">Общество разместило документарные процентные неконвертируемые биржевые облигации на предъявителя серии Б0-03, объем выпуска 5 </w:t>
            </w:r>
            <w:proofErr w:type="gramStart"/>
            <w:r w:rsidRPr="004761E0">
              <w:rPr>
                <w:sz w:val="20"/>
                <w:szCs w:val="20"/>
              </w:rPr>
              <w:t>млрд</w:t>
            </w:r>
            <w:proofErr w:type="gramEnd"/>
            <w:r w:rsidRPr="004761E0">
              <w:rPr>
                <w:sz w:val="20"/>
                <w:szCs w:val="20"/>
              </w:rPr>
              <w:t xml:space="preserve"> руб.</w:t>
            </w:r>
          </w:p>
        </w:tc>
      </w:tr>
      <w:tr w:rsidR="007E3243" w:rsidRPr="004761E0" w:rsidTr="007E3243">
        <w:trPr>
          <w:cantSplit/>
        </w:trPr>
        <w:tc>
          <w:tcPr>
            <w:tcW w:w="0" w:type="auto"/>
            <w:hideMark/>
          </w:tcPr>
          <w:p w:rsidR="007E3243" w:rsidRPr="004761E0" w:rsidRDefault="007E3243" w:rsidP="007076A7">
            <w:pPr>
              <w:pStyle w:val="a5"/>
              <w:numPr>
                <w:ilvl w:val="0"/>
                <w:numId w:val="315"/>
              </w:numPr>
              <w:rPr>
                <w:b/>
                <w:sz w:val="20"/>
                <w:szCs w:val="20"/>
              </w:rPr>
            </w:pPr>
          </w:p>
        </w:tc>
        <w:tc>
          <w:tcPr>
            <w:tcW w:w="0" w:type="auto"/>
            <w:hideMark/>
          </w:tcPr>
          <w:p w:rsidR="007E3243" w:rsidRPr="004761E0" w:rsidRDefault="00384915" w:rsidP="007E3243">
            <w:pPr>
              <w:ind w:firstLine="0"/>
              <w:rPr>
                <w:sz w:val="20"/>
                <w:szCs w:val="20"/>
              </w:rPr>
            </w:pPr>
            <w:r w:rsidRPr="004761E0">
              <w:rPr>
                <w:sz w:val="20"/>
                <w:szCs w:val="20"/>
              </w:rPr>
              <w:t>Ф</w:t>
            </w:r>
            <w:r w:rsidR="007E3243" w:rsidRPr="004761E0">
              <w:rPr>
                <w:sz w:val="20"/>
                <w:szCs w:val="20"/>
              </w:rPr>
              <w:t>евраль</w:t>
            </w:r>
          </w:p>
        </w:tc>
        <w:tc>
          <w:tcPr>
            <w:tcW w:w="0" w:type="auto"/>
            <w:hideMark/>
          </w:tcPr>
          <w:p w:rsidR="007E3243" w:rsidRPr="004761E0" w:rsidRDefault="007E3243" w:rsidP="00551803">
            <w:pPr>
              <w:ind w:firstLine="0"/>
              <w:rPr>
                <w:sz w:val="20"/>
                <w:szCs w:val="20"/>
              </w:rPr>
            </w:pPr>
            <w:r w:rsidRPr="004761E0">
              <w:rPr>
                <w:sz w:val="20"/>
                <w:szCs w:val="20"/>
              </w:rPr>
              <w:t xml:space="preserve">Standard &amp; Poor's повысило </w:t>
            </w:r>
            <w:r w:rsidR="00551803">
              <w:rPr>
                <w:sz w:val="20"/>
                <w:szCs w:val="20"/>
              </w:rPr>
              <w:t xml:space="preserve">кредитный </w:t>
            </w:r>
            <w:r w:rsidRPr="004761E0">
              <w:rPr>
                <w:sz w:val="20"/>
                <w:szCs w:val="20"/>
              </w:rPr>
              <w:t xml:space="preserve">рейтинг </w:t>
            </w:r>
            <w:r w:rsidR="0008080E">
              <w:rPr>
                <w:sz w:val="20"/>
                <w:szCs w:val="20"/>
              </w:rPr>
              <w:t>ОАО </w:t>
            </w:r>
            <w:r w:rsidRPr="004761E0">
              <w:rPr>
                <w:sz w:val="20"/>
                <w:szCs w:val="20"/>
              </w:rPr>
              <w:t>«МОЭСК» до уровня BB/ruAA, прогноз «стабильный»</w:t>
            </w:r>
            <w:r w:rsidR="00A4505A" w:rsidRPr="004761E0">
              <w:rPr>
                <w:sz w:val="20"/>
                <w:szCs w:val="20"/>
              </w:rPr>
              <w:t>.</w:t>
            </w:r>
          </w:p>
        </w:tc>
      </w:tr>
      <w:tr w:rsidR="007E3243" w:rsidRPr="004761E0" w:rsidTr="007E3243">
        <w:trPr>
          <w:cantSplit/>
        </w:trPr>
        <w:tc>
          <w:tcPr>
            <w:tcW w:w="0" w:type="auto"/>
            <w:hideMark/>
          </w:tcPr>
          <w:p w:rsidR="007E3243" w:rsidRPr="004761E0" w:rsidRDefault="007E3243" w:rsidP="007076A7">
            <w:pPr>
              <w:pStyle w:val="a5"/>
              <w:numPr>
                <w:ilvl w:val="0"/>
                <w:numId w:val="315"/>
              </w:numPr>
              <w:rPr>
                <w:b/>
                <w:sz w:val="20"/>
                <w:szCs w:val="20"/>
              </w:rPr>
            </w:pPr>
          </w:p>
        </w:tc>
        <w:tc>
          <w:tcPr>
            <w:tcW w:w="0" w:type="auto"/>
            <w:hideMark/>
          </w:tcPr>
          <w:p w:rsidR="007E3243" w:rsidRPr="004761E0" w:rsidRDefault="00384915" w:rsidP="007E3243">
            <w:pPr>
              <w:ind w:firstLine="0"/>
              <w:rPr>
                <w:sz w:val="20"/>
                <w:szCs w:val="20"/>
              </w:rPr>
            </w:pPr>
            <w:r w:rsidRPr="004761E0">
              <w:rPr>
                <w:sz w:val="20"/>
                <w:szCs w:val="20"/>
              </w:rPr>
              <w:t>М</w:t>
            </w:r>
            <w:r w:rsidR="007E3243" w:rsidRPr="004761E0">
              <w:rPr>
                <w:sz w:val="20"/>
                <w:szCs w:val="20"/>
              </w:rPr>
              <w:t>арт</w:t>
            </w:r>
          </w:p>
        </w:tc>
        <w:tc>
          <w:tcPr>
            <w:tcW w:w="0" w:type="auto"/>
            <w:hideMark/>
          </w:tcPr>
          <w:p w:rsidR="007E3243" w:rsidRPr="004761E0" w:rsidRDefault="007E3243" w:rsidP="007E3243">
            <w:pPr>
              <w:ind w:firstLine="0"/>
              <w:rPr>
                <w:sz w:val="20"/>
                <w:szCs w:val="20"/>
              </w:rPr>
            </w:pPr>
            <w:r w:rsidRPr="004761E0">
              <w:rPr>
                <w:sz w:val="20"/>
                <w:szCs w:val="20"/>
              </w:rPr>
              <w:t>Компания получила патент на программный комплекс по управлению зарядными станциями</w:t>
            </w:r>
            <w:r w:rsidR="00A4505A" w:rsidRPr="004761E0">
              <w:rPr>
                <w:sz w:val="20"/>
                <w:szCs w:val="20"/>
              </w:rPr>
              <w:t>.</w:t>
            </w:r>
          </w:p>
        </w:tc>
      </w:tr>
      <w:tr w:rsidR="00A4505A" w:rsidRPr="004761E0" w:rsidTr="007E3243">
        <w:trPr>
          <w:cantSplit/>
        </w:trPr>
        <w:tc>
          <w:tcPr>
            <w:tcW w:w="0" w:type="auto"/>
            <w:hideMark/>
          </w:tcPr>
          <w:p w:rsidR="00A4505A" w:rsidRPr="004761E0" w:rsidRDefault="00A4505A" w:rsidP="007076A7">
            <w:pPr>
              <w:pStyle w:val="a5"/>
              <w:numPr>
                <w:ilvl w:val="0"/>
                <w:numId w:val="315"/>
              </w:numPr>
              <w:rPr>
                <w:b/>
                <w:sz w:val="20"/>
                <w:szCs w:val="20"/>
              </w:rPr>
            </w:pPr>
          </w:p>
        </w:tc>
        <w:tc>
          <w:tcPr>
            <w:tcW w:w="0" w:type="auto"/>
            <w:hideMark/>
          </w:tcPr>
          <w:p w:rsidR="00A4505A" w:rsidRPr="004761E0" w:rsidRDefault="00A4505A" w:rsidP="00B13D17">
            <w:pPr>
              <w:ind w:firstLine="0"/>
              <w:rPr>
                <w:sz w:val="20"/>
                <w:szCs w:val="20"/>
              </w:rPr>
            </w:pPr>
            <w:r w:rsidRPr="004761E0">
              <w:rPr>
                <w:sz w:val="20"/>
                <w:szCs w:val="20"/>
              </w:rPr>
              <w:t>Апрель</w:t>
            </w:r>
          </w:p>
        </w:tc>
        <w:tc>
          <w:tcPr>
            <w:tcW w:w="0" w:type="auto"/>
            <w:hideMark/>
          </w:tcPr>
          <w:p w:rsidR="00A4505A" w:rsidRPr="004761E0" w:rsidRDefault="00A4505A" w:rsidP="00A4505A">
            <w:pPr>
              <w:ind w:firstLine="0"/>
              <w:rPr>
                <w:sz w:val="20"/>
                <w:szCs w:val="20"/>
              </w:rPr>
            </w:pPr>
            <w:r w:rsidRPr="004761E0">
              <w:rPr>
                <w:sz w:val="20"/>
                <w:szCs w:val="20"/>
              </w:rPr>
              <w:t>Правление приняло решение о создании единого информационного центра – контактного центра «Светлая линия».</w:t>
            </w:r>
          </w:p>
        </w:tc>
      </w:tr>
      <w:tr w:rsidR="00F64CF9" w:rsidRPr="004761E0" w:rsidTr="007E3243">
        <w:trPr>
          <w:cantSplit/>
        </w:trPr>
        <w:tc>
          <w:tcPr>
            <w:tcW w:w="0" w:type="auto"/>
            <w:hideMark/>
          </w:tcPr>
          <w:p w:rsidR="00F64CF9" w:rsidRPr="004761E0" w:rsidRDefault="00F64CF9" w:rsidP="007076A7">
            <w:pPr>
              <w:pStyle w:val="a5"/>
              <w:numPr>
                <w:ilvl w:val="0"/>
                <w:numId w:val="315"/>
              </w:numPr>
              <w:rPr>
                <w:b/>
                <w:sz w:val="20"/>
                <w:szCs w:val="20"/>
              </w:rPr>
            </w:pPr>
          </w:p>
        </w:tc>
        <w:tc>
          <w:tcPr>
            <w:tcW w:w="0" w:type="auto"/>
            <w:hideMark/>
          </w:tcPr>
          <w:p w:rsidR="00F64CF9" w:rsidRPr="004761E0" w:rsidRDefault="00F64CF9" w:rsidP="00B13D17">
            <w:pPr>
              <w:ind w:firstLine="0"/>
              <w:rPr>
                <w:sz w:val="20"/>
                <w:szCs w:val="20"/>
              </w:rPr>
            </w:pPr>
            <w:r w:rsidRPr="004761E0">
              <w:rPr>
                <w:sz w:val="20"/>
                <w:szCs w:val="20"/>
              </w:rPr>
              <w:t>Май</w:t>
            </w:r>
          </w:p>
        </w:tc>
        <w:tc>
          <w:tcPr>
            <w:tcW w:w="0" w:type="auto"/>
            <w:hideMark/>
          </w:tcPr>
          <w:p w:rsidR="00F64CF9" w:rsidRPr="004761E0" w:rsidRDefault="00F64CF9" w:rsidP="00B13D17">
            <w:pPr>
              <w:ind w:firstLine="0"/>
              <w:rPr>
                <w:sz w:val="20"/>
                <w:szCs w:val="20"/>
              </w:rPr>
            </w:pPr>
            <w:r w:rsidRPr="004761E0">
              <w:rPr>
                <w:sz w:val="20"/>
                <w:szCs w:val="20"/>
              </w:rPr>
              <w:t>Создан филиал Энергоучет.</w:t>
            </w:r>
          </w:p>
        </w:tc>
      </w:tr>
      <w:tr w:rsidR="00F64CF9" w:rsidRPr="004761E0" w:rsidTr="007E3243">
        <w:trPr>
          <w:cantSplit/>
        </w:trPr>
        <w:tc>
          <w:tcPr>
            <w:tcW w:w="0" w:type="auto"/>
            <w:hideMark/>
          </w:tcPr>
          <w:p w:rsidR="00F64CF9" w:rsidRPr="004761E0" w:rsidRDefault="00F64CF9" w:rsidP="007076A7">
            <w:pPr>
              <w:pStyle w:val="a5"/>
              <w:numPr>
                <w:ilvl w:val="0"/>
                <w:numId w:val="315"/>
              </w:numPr>
              <w:rPr>
                <w:b/>
                <w:sz w:val="20"/>
                <w:szCs w:val="20"/>
              </w:rPr>
            </w:pPr>
          </w:p>
        </w:tc>
        <w:tc>
          <w:tcPr>
            <w:tcW w:w="0" w:type="auto"/>
            <w:hideMark/>
          </w:tcPr>
          <w:p w:rsidR="00F64CF9" w:rsidRPr="004761E0" w:rsidRDefault="00F64CF9" w:rsidP="007E3243">
            <w:pPr>
              <w:ind w:firstLine="0"/>
              <w:rPr>
                <w:sz w:val="20"/>
                <w:szCs w:val="20"/>
              </w:rPr>
            </w:pPr>
            <w:r w:rsidRPr="004761E0">
              <w:rPr>
                <w:sz w:val="20"/>
                <w:szCs w:val="20"/>
              </w:rPr>
              <w:t>Май</w:t>
            </w:r>
          </w:p>
        </w:tc>
        <w:tc>
          <w:tcPr>
            <w:tcW w:w="0" w:type="auto"/>
            <w:hideMark/>
          </w:tcPr>
          <w:p w:rsidR="00F64CF9" w:rsidRPr="004761E0" w:rsidRDefault="00F64CF9" w:rsidP="00A4505A">
            <w:pPr>
              <w:ind w:firstLine="0"/>
              <w:rPr>
                <w:sz w:val="20"/>
                <w:szCs w:val="20"/>
              </w:rPr>
            </w:pPr>
            <w:r w:rsidRPr="004761E0">
              <w:rPr>
                <w:sz w:val="20"/>
                <w:szCs w:val="20"/>
              </w:rPr>
              <w:t xml:space="preserve">Правление приняло решение о создании Учебного центра </w:t>
            </w:r>
            <w:r w:rsidR="0008080E">
              <w:rPr>
                <w:sz w:val="20"/>
                <w:szCs w:val="20"/>
              </w:rPr>
              <w:t>ОАО </w:t>
            </w:r>
            <w:r w:rsidRPr="004761E0">
              <w:rPr>
                <w:sz w:val="20"/>
                <w:szCs w:val="20"/>
              </w:rPr>
              <w:t>«МОЭСК».</w:t>
            </w:r>
          </w:p>
        </w:tc>
      </w:tr>
      <w:tr w:rsidR="00F64CF9" w:rsidRPr="004761E0" w:rsidTr="007E3243">
        <w:trPr>
          <w:cantSplit/>
        </w:trPr>
        <w:tc>
          <w:tcPr>
            <w:tcW w:w="0" w:type="auto"/>
            <w:hideMark/>
          </w:tcPr>
          <w:p w:rsidR="00F64CF9" w:rsidRPr="004761E0" w:rsidRDefault="00F64CF9" w:rsidP="007076A7">
            <w:pPr>
              <w:pStyle w:val="a5"/>
              <w:numPr>
                <w:ilvl w:val="0"/>
                <w:numId w:val="315"/>
              </w:numPr>
              <w:rPr>
                <w:b/>
                <w:sz w:val="20"/>
                <w:szCs w:val="20"/>
              </w:rPr>
            </w:pPr>
          </w:p>
        </w:tc>
        <w:tc>
          <w:tcPr>
            <w:tcW w:w="0" w:type="auto"/>
            <w:hideMark/>
          </w:tcPr>
          <w:p w:rsidR="00F64CF9" w:rsidRPr="004761E0" w:rsidRDefault="00F64CF9" w:rsidP="007E3243">
            <w:pPr>
              <w:ind w:firstLine="0"/>
              <w:rPr>
                <w:sz w:val="20"/>
                <w:szCs w:val="20"/>
              </w:rPr>
            </w:pPr>
            <w:r w:rsidRPr="004761E0">
              <w:rPr>
                <w:sz w:val="20"/>
                <w:szCs w:val="20"/>
              </w:rPr>
              <w:t>Июнь</w:t>
            </w:r>
          </w:p>
        </w:tc>
        <w:tc>
          <w:tcPr>
            <w:tcW w:w="0" w:type="auto"/>
            <w:hideMark/>
          </w:tcPr>
          <w:p w:rsidR="00F64CF9" w:rsidRPr="004761E0" w:rsidRDefault="00F64CF9" w:rsidP="00384915">
            <w:pPr>
              <w:ind w:firstLine="0"/>
              <w:rPr>
                <w:sz w:val="20"/>
                <w:szCs w:val="20"/>
              </w:rPr>
            </w:pPr>
            <w:r w:rsidRPr="004761E0">
              <w:rPr>
                <w:sz w:val="20"/>
                <w:szCs w:val="20"/>
              </w:rPr>
              <w:t xml:space="preserve">Компания провела годовое Общее собрание акционеров, по итогам которого принято решение о выплате дивидендов в размере 4 296 </w:t>
            </w:r>
            <w:proofErr w:type="gramStart"/>
            <w:r w:rsidRPr="004761E0">
              <w:rPr>
                <w:sz w:val="20"/>
                <w:szCs w:val="20"/>
              </w:rPr>
              <w:t>млн</w:t>
            </w:r>
            <w:proofErr w:type="gramEnd"/>
            <w:r w:rsidRPr="004761E0">
              <w:rPr>
                <w:sz w:val="20"/>
                <w:szCs w:val="20"/>
              </w:rPr>
              <w:t xml:space="preserve"> руб. или 25 % от чистой прибыли за 2012 год.</w:t>
            </w:r>
          </w:p>
        </w:tc>
      </w:tr>
      <w:tr w:rsidR="00F64CF9" w:rsidRPr="004761E0" w:rsidTr="007E3243">
        <w:trPr>
          <w:cantSplit/>
        </w:trPr>
        <w:tc>
          <w:tcPr>
            <w:tcW w:w="0" w:type="auto"/>
            <w:hideMark/>
          </w:tcPr>
          <w:p w:rsidR="00F64CF9" w:rsidRPr="004761E0" w:rsidRDefault="00F64CF9" w:rsidP="007076A7">
            <w:pPr>
              <w:pStyle w:val="a5"/>
              <w:numPr>
                <w:ilvl w:val="0"/>
                <w:numId w:val="315"/>
              </w:numPr>
              <w:rPr>
                <w:b/>
                <w:sz w:val="20"/>
                <w:szCs w:val="20"/>
              </w:rPr>
            </w:pPr>
          </w:p>
        </w:tc>
        <w:tc>
          <w:tcPr>
            <w:tcW w:w="0" w:type="auto"/>
            <w:hideMark/>
          </w:tcPr>
          <w:p w:rsidR="00F64CF9" w:rsidRPr="004761E0" w:rsidRDefault="00F64CF9" w:rsidP="007E3243">
            <w:pPr>
              <w:ind w:firstLine="0"/>
              <w:rPr>
                <w:sz w:val="20"/>
                <w:szCs w:val="20"/>
              </w:rPr>
            </w:pPr>
            <w:r w:rsidRPr="004761E0">
              <w:rPr>
                <w:sz w:val="20"/>
                <w:szCs w:val="20"/>
              </w:rPr>
              <w:t>Август</w:t>
            </w:r>
          </w:p>
        </w:tc>
        <w:tc>
          <w:tcPr>
            <w:tcW w:w="0" w:type="auto"/>
            <w:hideMark/>
          </w:tcPr>
          <w:p w:rsidR="00F64CF9" w:rsidRPr="004761E0" w:rsidRDefault="00F64CF9" w:rsidP="00384915">
            <w:pPr>
              <w:ind w:firstLine="0"/>
              <w:rPr>
                <w:sz w:val="20"/>
                <w:szCs w:val="20"/>
              </w:rPr>
            </w:pPr>
            <w:r w:rsidRPr="004761E0">
              <w:rPr>
                <w:sz w:val="20"/>
                <w:szCs w:val="20"/>
              </w:rPr>
              <w:t xml:space="preserve">Fitch Ratings присвоило долгосрочный корпоративный кредитный рейтинг </w:t>
            </w:r>
            <w:r w:rsidR="0008080E">
              <w:rPr>
                <w:sz w:val="20"/>
                <w:szCs w:val="20"/>
              </w:rPr>
              <w:t>ОАО </w:t>
            </w:r>
            <w:r w:rsidRPr="004761E0">
              <w:rPr>
                <w:sz w:val="20"/>
                <w:szCs w:val="20"/>
              </w:rPr>
              <w:t>«МОЭСК» в иностранной и национальной валюте уровня BB+ со «стабильным» прогнозом и краткосрочный кредитный рейтинг в иностранной валюте на уровне B.</w:t>
            </w:r>
          </w:p>
        </w:tc>
      </w:tr>
      <w:tr w:rsidR="00F64CF9" w:rsidRPr="004761E0" w:rsidTr="007E3243">
        <w:trPr>
          <w:cantSplit/>
        </w:trPr>
        <w:tc>
          <w:tcPr>
            <w:tcW w:w="0" w:type="auto"/>
            <w:hideMark/>
          </w:tcPr>
          <w:p w:rsidR="00F64CF9" w:rsidRPr="004761E0" w:rsidRDefault="00F64CF9" w:rsidP="007076A7">
            <w:pPr>
              <w:pStyle w:val="a5"/>
              <w:numPr>
                <w:ilvl w:val="0"/>
                <w:numId w:val="315"/>
              </w:numPr>
              <w:rPr>
                <w:b/>
                <w:sz w:val="20"/>
                <w:szCs w:val="20"/>
              </w:rPr>
            </w:pPr>
          </w:p>
        </w:tc>
        <w:tc>
          <w:tcPr>
            <w:tcW w:w="0" w:type="auto"/>
            <w:hideMark/>
          </w:tcPr>
          <w:p w:rsidR="00F64CF9" w:rsidRPr="004761E0" w:rsidRDefault="00F64CF9" w:rsidP="00384915">
            <w:pPr>
              <w:ind w:firstLine="0"/>
              <w:rPr>
                <w:sz w:val="20"/>
                <w:szCs w:val="20"/>
              </w:rPr>
            </w:pPr>
            <w:r w:rsidRPr="004761E0">
              <w:rPr>
                <w:sz w:val="20"/>
                <w:szCs w:val="20"/>
              </w:rPr>
              <w:t>Август</w:t>
            </w:r>
          </w:p>
        </w:tc>
        <w:tc>
          <w:tcPr>
            <w:tcW w:w="0" w:type="auto"/>
            <w:hideMark/>
          </w:tcPr>
          <w:p w:rsidR="00F64CF9" w:rsidRPr="004761E0" w:rsidRDefault="00F64CF9" w:rsidP="00A4505A">
            <w:pPr>
              <w:ind w:firstLine="0"/>
              <w:rPr>
                <w:sz w:val="20"/>
                <w:szCs w:val="20"/>
              </w:rPr>
            </w:pPr>
            <w:r w:rsidRPr="004761E0">
              <w:rPr>
                <w:sz w:val="20"/>
                <w:szCs w:val="26"/>
              </w:rPr>
              <w:t xml:space="preserve">Компания начала практику проведения регулярных мероприятий «День предпринимателя» в своих электросетевых филиалах. В августе состоялась первая встреча. </w:t>
            </w:r>
          </w:p>
        </w:tc>
      </w:tr>
      <w:tr w:rsidR="00F64CF9" w:rsidRPr="004761E0" w:rsidTr="007E3243">
        <w:trPr>
          <w:cantSplit/>
        </w:trPr>
        <w:tc>
          <w:tcPr>
            <w:tcW w:w="0" w:type="auto"/>
            <w:hideMark/>
          </w:tcPr>
          <w:p w:rsidR="00F64CF9" w:rsidRPr="004761E0" w:rsidRDefault="00F64CF9" w:rsidP="007076A7">
            <w:pPr>
              <w:pStyle w:val="a5"/>
              <w:numPr>
                <w:ilvl w:val="0"/>
                <w:numId w:val="315"/>
              </w:numPr>
              <w:rPr>
                <w:b/>
                <w:sz w:val="20"/>
                <w:szCs w:val="20"/>
              </w:rPr>
            </w:pPr>
          </w:p>
        </w:tc>
        <w:tc>
          <w:tcPr>
            <w:tcW w:w="0" w:type="auto"/>
            <w:hideMark/>
          </w:tcPr>
          <w:p w:rsidR="00F64CF9" w:rsidRPr="004761E0" w:rsidRDefault="00F64CF9" w:rsidP="007E3243">
            <w:pPr>
              <w:ind w:firstLine="0"/>
              <w:rPr>
                <w:sz w:val="20"/>
                <w:szCs w:val="20"/>
              </w:rPr>
            </w:pPr>
            <w:r w:rsidRPr="004761E0">
              <w:rPr>
                <w:sz w:val="20"/>
                <w:szCs w:val="20"/>
              </w:rPr>
              <w:t>Сентябрь</w:t>
            </w:r>
          </w:p>
        </w:tc>
        <w:tc>
          <w:tcPr>
            <w:tcW w:w="0" w:type="auto"/>
            <w:hideMark/>
          </w:tcPr>
          <w:p w:rsidR="00F64CF9" w:rsidRPr="004761E0" w:rsidRDefault="00F64CF9" w:rsidP="00384915">
            <w:pPr>
              <w:ind w:firstLine="0"/>
              <w:rPr>
                <w:sz w:val="20"/>
                <w:szCs w:val="20"/>
              </w:rPr>
            </w:pPr>
            <w:r w:rsidRPr="004761E0">
              <w:rPr>
                <w:sz w:val="20"/>
                <w:szCs w:val="20"/>
              </w:rPr>
              <w:t xml:space="preserve">Открыт новый Центр обслуживания клиентов в </w:t>
            </w:r>
            <w:proofErr w:type="gramStart"/>
            <w:r w:rsidRPr="004761E0">
              <w:rPr>
                <w:sz w:val="20"/>
                <w:szCs w:val="20"/>
              </w:rPr>
              <w:t>г</w:t>
            </w:r>
            <w:proofErr w:type="gramEnd"/>
            <w:r w:rsidRPr="004761E0">
              <w:rPr>
                <w:sz w:val="20"/>
                <w:szCs w:val="20"/>
              </w:rPr>
              <w:t>. Коломне.</w:t>
            </w:r>
          </w:p>
        </w:tc>
      </w:tr>
      <w:tr w:rsidR="00F64CF9" w:rsidRPr="004761E0" w:rsidTr="007E3243">
        <w:trPr>
          <w:cantSplit/>
        </w:trPr>
        <w:tc>
          <w:tcPr>
            <w:tcW w:w="0" w:type="auto"/>
            <w:hideMark/>
          </w:tcPr>
          <w:p w:rsidR="00F64CF9" w:rsidRPr="004761E0" w:rsidRDefault="00F64CF9" w:rsidP="007076A7">
            <w:pPr>
              <w:pStyle w:val="a5"/>
              <w:numPr>
                <w:ilvl w:val="0"/>
                <w:numId w:val="315"/>
              </w:numPr>
              <w:rPr>
                <w:b/>
                <w:sz w:val="20"/>
                <w:szCs w:val="20"/>
              </w:rPr>
            </w:pPr>
          </w:p>
        </w:tc>
        <w:tc>
          <w:tcPr>
            <w:tcW w:w="0" w:type="auto"/>
            <w:hideMark/>
          </w:tcPr>
          <w:p w:rsidR="00F64CF9" w:rsidRPr="004761E0" w:rsidRDefault="00F64CF9" w:rsidP="00B13D17">
            <w:pPr>
              <w:ind w:firstLine="0"/>
              <w:rPr>
                <w:sz w:val="20"/>
                <w:szCs w:val="20"/>
              </w:rPr>
            </w:pPr>
            <w:r w:rsidRPr="004761E0">
              <w:rPr>
                <w:sz w:val="20"/>
                <w:szCs w:val="20"/>
              </w:rPr>
              <w:t>Ноябрь</w:t>
            </w:r>
          </w:p>
        </w:tc>
        <w:tc>
          <w:tcPr>
            <w:tcW w:w="0" w:type="auto"/>
            <w:hideMark/>
          </w:tcPr>
          <w:p w:rsidR="00F64CF9" w:rsidRPr="004761E0" w:rsidRDefault="00F64CF9" w:rsidP="00B13D17">
            <w:pPr>
              <w:ind w:firstLine="0"/>
              <w:rPr>
                <w:sz w:val="20"/>
                <w:szCs w:val="20"/>
              </w:rPr>
            </w:pPr>
            <w:r w:rsidRPr="004761E0">
              <w:rPr>
                <w:sz w:val="20"/>
                <w:szCs w:val="20"/>
              </w:rPr>
              <w:t>Создан филиал Новая Москва.</w:t>
            </w:r>
          </w:p>
        </w:tc>
      </w:tr>
      <w:tr w:rsidR="00F64CF9" w:rsidRPr="004761E0" w:rsidTr="007E3243">
        <w:trPr>
          <w:cantSplit/>
        </w:trPr>
        <w:tc>
          <w:tcPr>
            <w:tcW w:w="0" w:type="auto"/>
            <w:hideMark/>
          </w:tcPr>
          <w:p w:rsidR="00F64CF9" w:rsidRPr="004761E0" w:rsidRDefault="00F64CF9" w:rsidP="007076A7">
            <w:pPr>
              <w:pStyle w:val="a5"/>
              <w:numPr>
                <w:ilvl w:val="0"/>
                <w:numId w:val="315"/>
              </w:numPr>
              <w:rPr>
                <w:b/>
                <w:sz w:val="20"/>
                <w:szCs w:val="20"/>
              </w:rPr>
            </w:pPr>
          </w:p>
        </w:tc>
        <w:tc>
          <w:tcPr>
            <w:tcW w:w="0" w:type="auto"/>
            <w:hideMark/>
          </w:tcPr>
          <w:p w:rsidR="00F64CF9" w:rsidRPr="004761E0" w:rsidRDefault="00F64CF9" w:rsidP="007E3243">
            <w:pPr>
              <w:ind w:firstLine="0"/>
              <w:rPr>
                <w:sz w:val="20"/>
                <w:szCs w:val="20"/>
              </w:rPr>
            </w:pPr>
            <w:r w:rsidRPr="004761E0">
              <w:rPr>
                <w:sz w:val="20"/>
                <w:szCs w:val="20"/>
              </w:rPr>
              <w:t>Декабрь</w:t>
            </w:r>
          </w:p>
        </w:tc>
        <w:tc>
          <w:tcPr>
            <w:tcW w:w="0" w:type="auto"/>
            <w:hideMark/>
          </w:tcPr>
          <w:p w:rsidR="00F64CF9" w:rsidRPr="004761E0" w:rsidRDefault="00F64CF9" w:rsidP="007E3243">
            <w:pPr>
              <w:ind w:firstLine="0"/>
              <w:rPr>
                <w:sz w:val="20"/>
                <w:szCs w:val="20"/>
              </w:rPr>
            </w:pPr>
            <w:r w:rsidRPr="004761E0">
              <w:rPr>
                <w:sz w:val="20"/>
                <w:szCs w:val="20"/>
              </w:rPr>
              <w:t>Совет директоров одобрил совершение сделок по приобретению подстанции 110/10 кВ «Дворики» № 300 и по продаже подстанции 500</w:t>
            </w:r>
            <w:r w:rsidR="00551803">
              <w:rPr>
                <w:sz w:val="20"/>
                <w:szCs w:val="20"/>
              </w:rPr>
              <w:t xml:space="preserve"> </w:t>
            </w:r>
            <w:r w:rsidRPr="004761E0">
              <w:rPr>
                <w:sz w:val="20"/>
                <w:szCs w:val="20"/>
              </w:rPr>
              <w:t>кВ «Очаково» № 214</w:t>
            </w:r>
            <w:r w:rsidR="00551803">
              <w:rPr>
                <w:sz w:val="20"/>
                <w:szCs w:val="20"/>
              </w:rPr>
              <w:t>.</w:t>
            </w:r>
          </w:p>
        </w:tc>
      </w:tr>
    </w:tbl>
    <w:p w:rsidR="00A05E17" w:rsidRPr="00B6020E" w:rsidRDefault="00A05E17" w:rsidP="00A05E17">
      <w:pPr>
        <w:rPr>
          <w:rFonts w:eastAsia="Times New Roman"/>
          <w:kern w:val="32"/>
          <w:lang w:eastAsia="ru-RU"/>
        </w:rPr>
      </w:pPr>
      <w:bookmarkStart w:id="15" w:name="_Toc382853077"/>
      <w:bookmarkStart w:id="16" w:name="_Toc382853079"/>
      <w:bookmarkStart w:id="17" w:name="_Toc380576894"/>
      <w:bookmarkEnd w:id="15"/>
      <w:bookmarkEnd w:id="16"/>
      <w:r w:rsidRPr="00B6020E">
        <w:rPr>
          <w:lang w:eastAsia="ru-RU"/>
        </w:rPr>
        <w:br w:type="page"/>
      </w:r>
    </w:p>
    <w:p w:rsidR="00136A10" w:rsidRPr="004761E0" w:rsidRDefault="00E34ACB" w:rsidP="007076A7">
      <w:pPr>
        <w:pStyle w:val="11"/>
        <w:numPr>
          <w:ilvl w:val="1"/>
          <w:numId w:val="319"/>
        </w:numPr>
        <w:spacing w:before="120" w:after="120"/>
        <w:ind w:left="1134" w:hanging="567"/>
        <w:rPr>
          <w:rFonts w:ascii="Times New Roman" w:hAnsi="Times New Roman"/>
          <w:sz w:val="26"/>
          <w:szCs w:val="26"/>
          <w:lang w:eastAsia="ru-RU"/>
        </w:rPr>
      </w:pPr>
      <w:bookmarkStart w:id="18" w:name="_Toc385339792"/>
      <w:r w:rsidRPr="004761E0">
        <w:rPr>
          <w:rFonts w:ascii="Times New Roman" w:hAnsi="Times New Roman"/>
          <w:sz w:val="26"/>
          <w:szCs w:val="26"/>
          <w:lang w:eastAsia="ru-RU"/>
        </w:rPr>
        <w:lastRenderedPageBreak/>
        <w:t>О компании</w:t>
      </w:r>
      <w:bookmarkEnd w:id="17"/>
      <w:bookmarkEnd w:id="18"/>
    </w:p>
    <w:p w:rsidR="00F842E0" w:rsidRPr="00F842E0" w:rsidRDefault="00F842E0" w:rsidP="007076A7">
      <w:pPr>
        <w:pStyle w:val="a8"/>
        <w:numPr>
          <w:ilvl w:val="1"/>
          <w:numId w:val="321"/>
        </w:numPr>
        <w:spacing w:before="120" w:after="120"/>
        <w:ind w:left="0" w:firstLine="567"/>
        <w:jc w:val="left"/>
        <w:rPr>
          <w:rFonts w:ascii="Times New Roman" w:hAnsi="Times New Roman"/>
          <w:b/>
          <w:sz w:val="26"/>
          <w:szCs w:val="26"/>
          <w:lang w:eastAsia="ru-RU"/>
        </w:rPr>
      </w:pPr>
      <w:bookmarkStart w:id="19" w:name="_Toc385339793"/>
      <w:r w:rsidRPr="00F842E0">
        <w:rPr>
          <w:rFonts w:ascii="Times New Roman" w:hAnsi="Times New Roman"/>
          <w:b/>
          <w:sz w:val="26"/>
          <w:szCs w:val="26"/>
          <w:lang w:eastAsia="ru-RU"/>
        </w:rPr>
        <w:t>Общие сведения</w:t>
      </w:r>
      <w:bookmarkEnd w:id="19"/>
      <w:r w:rsidRPr="00F842E0">
        <w:rPr>
          <w:rFonts w:ascii="Times New Roman" w:hAnsi="Times New Roman"/>
          <w:b/>
          <w:sz w:val="26"/>
          <w:szCs w:val="26"/>
          <w:lang w:eastAsia="ru-RU"/>
        </w:rPr>
        <w:t xml:space="preserve"> </w:t>
      </w:r>
    </w:p>
    <w:p w:rsidR="0045755A" w:rsidRPr="004761E0" w:rsidRDefault="007D242D" w:rsidP="00381754">
      <w:pPr>
        <w:ind w:firstLine="567"/>
        <w:rPr>
          <w:sz w:val="26"/>
          <w:szCs w:val="26"/>
          <w:lang w:eastAsia="ru-RU"/>
        </w:rPr>
      </w:pPr>
      <w:r w:rsidRPr="004761E0">
        <w:rPr>
          <w:sz w:val="26"/>
          <w:szCs w:val="26"/>
          <w:lang w:eastAsia="ru-RU"/>
        </w:rPr>
        <w:t xml:space="preserve">Открытое акционерное общество «Московская объединенная электросетевая компания» (далее – </w:t>
      </w:r>
      <w:r w:rsidR="0008080E">
        <w:rPr>
          <w:sz w:val="26"/>
          <w:szCs w:val="26"/>
          <w:lang w:eastAsia="ru-RU"/>
        </w:rPr>
        <w:t>ОАО </w:t>
      </w:r>
      <w:r w:rsidRPr="004761E0">
        <w:rPr>
          <w:sz w:val="26"/>
          <w:szCs w:val="26"/>
          <w:lang w:eastAsia="ru-RU"/>
        </w:rPr>
        <w:t>«МОЭСК», Общество</w:t>
      </w:r>
      <w:r w:rsidR="005428E7" w:rsidRPr="004761E0">
        <w:rPr>
          <w:sz w:val="26"/>
          <w:szCs w:val="26"/>
          <w:lang w:eastAsia="ru-RU"/>
        </w:rPr>
        <w:t>, Компания</w:t>
      </w:r>
      <w:r w:rsidRPr="004761E0">
        <w:rPr>
          <w:sz w:val="26"/>
          <w:szCs w:val="26"/>
          <w:lang w:eastAsia="ru-RU"/>
        </w:rPr>
        <w:t xml:space="preserve">) создано в результате выделения из </w:t>
      </w:r>
      <w:r w:rsidR="0008080E">
        <w:rPr>
          <w:sz w:val="26"/>
          <w:szCs w:val="26"/>
          <w:lang w:eastAsia="ru-RU"/>
        </w:rPr>
        <w:t>ОАО </w:t>
      </w:r>
      <w:r w:rsidRPr="004761E0">
        <w:rPr>
          <w:sz w:val="26"/>
          <w:szCs w:val="26"/>
          <w:lang w:eastAsia="ru-RU"/>
        </w:rPr>
        <w:t>«Мосэнерго» 01 апреля 2005 года</w:t>
      </w:r>
      <w:r w:rsidR="00BB2AFF" w:rsidRPr="006F4AB8">
        <w:rPr>
          <w:rStyle w:val="af1"/>
        </w:rPr>
        <w:footnoteReference w:id="1"/>
      </w:r>
      <w:r w:rsidR="00BB2AFF" w:rsidRPr="004761E0">
        <w:rPr>
          <w:sz w:val="26"/>
          <w:szCs w:val="26"/>
          <w:lang w:eastAsia="ru-RU"/>
        </w:rPr>
        <w:t>.</w:t>
      </w:r>
    </w:p>
    <w:p w:rsidR="0045755A" w:rsidRPr="004761E0" w:rsidRDefault="0045755A" w:rsidP="00CE0B03">
      <w:pPr>
        <w:spacing w:before="120" w:after="120"/>
        <w:ind w:firstLine="567"/>
        <w:rPr>
          <w:b/>
          <w:sz w:val="26"/>
          <w:szCs w:val="26"/>
          <w:lang w:eastAsia="ru-RU"/>
        </w:rPr>
      </w:pPr>
      <w:r w:rsidRPr="004761E0">
        <w:rPr>
          <w:b/>
          <w:sz w:val="26"/>
          <w:szCs w:val="26"/>
          <w:lang w:eastAsia="ru-RU"/>
        </w:rPr>
        <w:t>Основные виды деятельности</w:t>
      </w:r>
    </w:p>
    <w:p w:rsidR="0045755A" w:rsidRPr="004761E0" w:rsidRDefault="0008080E" w:rsidP="0054516F">
      <w:pPr>
        <w:ind w:firstLine="567"/>
        <w:rPr>
          <w:sz w:val="26"/>
          <w:szCs w:val="26"/>
          <w:lang w:eastAsia="ru-RU"/>
        </w:rPr>
      </w:pPr>
      <w:r>
        <w:rPr>
          <w:sz w:val="26"/>
          <w:szCs w:val="26"/>
          <w:lang w:eastAsia="ru-RU"/>
        </w:rPr>
        <w:t>ОАО </w:t>
      </w:r>
      <w:r w:rsidR="0045755A" w:rsidRPr="004761E0">
        <w:rPr>
          <w:sz w:val="26"/>
          <w:szCs w:val="26"/>
          <w:lang w:eastAsia="ru-RU"/>
        </w:rPr>
        <w:t>«МОЭСК» – инфраструктурная компани</w:t>
      </w:r>
      <w:r w:rsidR="005C10E7" w:rsidRPr="004761E0">
        <w:rPr>
          <w:sz w:val="26"/>
          <w:szCs w:val="26"/>
          <w:lang w:eastAsia="ru-RU"/>
        </w:rPr>
        <w:t>я</w:t>
      </w:r>
      <w:r w:rsidR="0045755A" w:rsidRPr="004761E0">
        <w:rPr>
          <w:sz w:val="26"/>
          <w:szCs w:val="26"/>
          <w:lang w:eastAsia="ru-RU"/>
        </w:rPr>
        <w:t xml:space="preserve">, основными видами деятельности которой являются: </w:t>
      </w:r>
    </w:p>
    <w:p w:rsidR="0045755A" w:rsidRPr="004761E0" w:rsidRDefault="0045755A" w:rsidP="007076A7">
      <w:pPr>
        <w:pStyle w:val="a5"/>
        <w:numPr>
          <w:ilvl w:val="0"/>
          <w:numId w:val="296"/>
        </w:numPr>
        <w:ind w:left="1134" w:hanging="567"/>
        <w:rPr>
          <w:sz w:val="26"/>
          <w:szCs w:val="26"/>
          <w:lang w:eastAsia="ru-RU"/>
        </w:rPr>
      </w:pPr>
      <w:r w:rsidRPr="004761E0">
        <w:rPr>
          <w:sz w:val="26"/>
          <w:szCs w:val="26"/>
          <w:lang w:eastAsia="ru-RU"/>
        </w:rPr>
        <w:t xml:space="preserve">оказание услуг по передаче и распределению электроэнергии; </w:t>
      </w:r>
    </w:p>
    <w:p w:rsidR="0045755A" w:rsidRPr="004761E0" w:rsidRDefault="0045755A" w:rsidP="007076A7">
      <w:pPr>
        <w:pStyle w:val="a5"/>
        <w:numPr>
          <w:ilvl w:val="0"/>
          <w:numId w:val="296"/>
        </w:numPr>
        <w:ind w:left="1134" w:hanging="567"/>
        <w:rPr>
          <w:sz w:val="26"/>
          <w:szCs w:val="26"/>
          <w:lang w:eastAsia="ru-RU"/>
        </w:rPr>
      </w:pPr>
      <w:r w:rsidRPr="004761E0">
        <w:rPr>
          <w:sz w:val="26"/>
          <w:szCs w:val="26"/>
          <w:lang w:eastAsia="ru-RU"/>
        </w:rPr>
        <w:t>технологическое присоединение потр</w:t>
      </w:r>
      <w:r w:rsidR="005C10E7" w:rsidRPr="004761E0">
        <w:rPr>
          <w:sz w:val="26"/>
          <w:szCs w:val="26"/>
          <w:lang w:eastAsia="ru-RU"/>
        </w:rPr>
        <w:t>ебителей к электрическим сетям.</w:t>
      </w:r>
    </w:p>
    <w:p w:rsidR="00BB2AFF" w:rsidRPr="004761E0" w:rsidRDefault="00BB2AFF" w:rsidP="00BB2AFF">
      <w:pPr>
        <w:spacing w:before="120" w:after="120"/>
        <w:ind w:firstLine="567"/>
        <w:rPr>
          <w:b/>
          <w:sz w:val="26"/>
          <w:szCs w:val="26"/>
          <w:lang w:eastAsia="ru-RU"/>
        </w:rPr>
      </w:pPr>
      <w:r w:rsidRPr="004761E0">
        <w:rPr>
          <w:b/>
          <w:sz w:val="26"/>
          <w:szCs w:val="26"/>
          <w:lang w:eastAsia="ru-RU"/>
        </w:rPr>
        <w:t xml:space="preserve">Регион присутствия </w:t>
      </w:r>
    </w:p>
    <w:p w:rsidR="00D005EB" w:rsidRPr="004761E0" w:rsidRDefault="0008080E" w:rsidP="0054516F">
      <w:pPr>
        <w:ind w:firstLine="567"/>
        <w:rPr>
          <w:sz w:val="26"/>
          <w:szCs w:val="26"/>
        </w:rPr>
      </w:pPr>
      <w:r>
        <w:rPr>
          <w:sz w:val="26"/>
          <w:szCs w:val="26"/>
        </w:rPr>
        <w:t>ОАО </w:t>
      </w:r>
      <w:r w:rsidR="00E53B8C" w:rsidRPr="004761E0">
        <w:rPr>
          <w:sz w:val="26"/>
          <w:szCs w:val="26"/>
        </w:rPr>
        <w:t xml:space="preserve">«МОЭСК» </w:t>
      </w:r>
      <w:r w:rsidR="00CE0B03" w:rsidRPr="004761E0">
        <w:rPr>
          <w:sz w:val="26"/>
          <w:szCs w:val="26"/>
        </w:rPr>
        <w:t xml:space="preserve">оказывает </w:t>
      </w:r>
      <w:r w:rsidR="00E53B8C" w:rsidRPr="004761E0">
        <w:rPr>
          <w:sz w:val="26"/>
          <w:szCs w:val="26"/>
        </w:rPr>
        <w:t>услуг</w:t>
      </w:r>
      <w:r w:rsidR="00CE0B03" w:rsidRPr="004761E0">
        <w:rPr>
          <w:sz w:val="26"/>
          <w:szCs w:val="26"/>
        </w:rPr>
        <w:t>и</w:t>
      </w:r>
      <w:r w:rsidR="00E53B8C" w:rsidRPr="004761E0">
        <w:rPr>
          <w:sz w:val="26"/>
          <w:szCs w:val="26"/>
        </w:rPr>
        <w:t xml:space="preserve"> на территории Московского региона, объединяюще</w:t>
      </w:r>
      <w:r w:rsidR="00551803">
        <w:rPr>
          <w:sz w:val="26"/>
          <w:szCs w:val="26"/>
        </w:rPr>
        <w:t>го</w:t>
      </w:r>
      <w:r w:rsidR="00E53B8C" w:rsidRPr="004761E0">
        <w:rPr>
          <w:sz w:val="26"/>
          <w:szCs w:val="26"/>
        </w:rPr>
        <w:t xml:space="preserve"> в себ</w:t>
      </w:r>
      <w:r w:rsidR="00551803">
        <w:rPr>
          <w:sz w:val="26"/>
          <w:szCs w:val="26"/>
        </w:rPr>
        <w:t>я</w:t>
      </w:r>
      <w:r w:rsidR="00E53B8C" w:rsidRPr="004761E0">
        <w:rPr>
          <w:sz w:val="26"/>
          <w:szCs w:val="26"/>
        </w:rPr>
        <w:t xml:space="preserve"> два субъекта Р</w:t>
      </w:r>
      <w:r w:rsidR="00D005EB" w:rsidRPr="004761E0">
        <w:rPr>
          <w:sz w:val="26"/>
          <w:szCs w:val="26"/>
        </w:rPr>
        <w:t>Ф</w:t>
      </w:r>
      <w:r w:rsidR="00E53B8C" w:rsidRPr="004761E0">
        <w:rPr>
          <w:sz w:val="26"/>
          <w:szCs w:val="26"/>
        </w:rPr>
        <w:t xml:space="preserve"> – г. Москв</w:t>
      </w:r>
      <w:r w:rsidR="00551803">
        <w:rPr>
          <w:sz w:val="26"/>
          <w:szCs w:val="26"/>
        </w:rPr>
        <w:t>у</w:t>
      </w:r>
      <w:r w:rsidR="00E53B8C" w:rsidRPr="004761E0">
        <w:rPr>
          <w:sz w:val="26"/>
          <w:szCs w:val="26"/>
        </w:rPr>
        <w:t xml:space="preserve"> и Московск</w:t>
      </w:r>
      <w:r w:rsidR="00551803">
        <w:rPr>
          <w:sz w:val="26"/>
          <w:szCs w:val="26"/>
        </w:rPr>
        <w:t>ую</w:t>
      </w:r>
      <w:r w:rsidR="00E53B8C" w:rsidRPr="004761E0">
        <w:rPr>
          <w:sz w:val="26"/>
          <w:szCs w:val="26"/>
        </w:rPr>
        <w:t xml:space="preserve"> область.</w:t>
      </w:r>
      <w:r w:rsidR="00D005EB" w:rsidRPr="004761E0">
        <w:rPr>
          <w:sz w:val="26"/>
          <w:szCs w:val="26"/>
        </w:rPr>
        <w:t xml:space="preserve"> Площадь обслуживаемой территории составляет порядка 46,9 тыс. км²</w:t>
      </w:r>
      <w:r w:rsidR="00551803">
        <w:rPr>
          <w:sz w:val="26"/>
          <w:szCs w:val="26"/>
        </w:rPr>
        <w:t>,</w:t>
      </w:r>
      <w:r w:rsidR="00D005EB" w:rsidRPr="004761E0">
        <w:rPr>
          <w:sz w:val="26"/>
          <w:szCs w:val="26"/>
        </w:rPr>
        <w:t xml:space="preserve"> </w:t>
      </w:r>
      <w:r w:rsidR="00551803">
        <w:rPr>
          <w:sz w:val="26"/>
          <w:szCs w:val="26"/>
        </w:rPr>
        <w:t>о</w:t>
      </w:r>
      <w:r w:rsidR="00D005EB" w:rsidRPr="004761E0">
        <w:rPr>
          <w:sz w:val="26"/>
          <w:szCs w:val="26"/>
        </w:rPr>
        <w:t xml:space="preserve">бщая численность населения </w:t>
      </w:r>
      <w:r w:rsidR="00551803" w:rsidRPr="004761E0">
        <w:rPr>
          <w:sz w:val="26"/>
          <w:szCs w:val="26"/>
        </w:rPr>
        <w:t>–</w:t>
      </w:r>
      <w:r w:rsidR="00551803">
        <w:rPr>
          <w:sz w:val="26"/>
          <w:szCs w:val="26"/>
        </w:rPr>
        <w:t xml:space="preserve"> </w:t>
      </w:r>
      <w:r w:rsidR="00D005EB" w:rsidRPr="004761E0">
        <w:rPr>
          <w:sz w:val="26"/>
          <w:szCs w:val="26"/>
        </w:rPr>
        <w:t>свыше 19 </w:t>
      </w:r>
      <w:proofErr w:type="gramStart"/>
      <w:r w:rsidR="00D005EB" w:rsidRPr="004761E0">
        <w:rPr>
          <w:sz w:val="26"/>
          <w:szCs w:val="26"/>
        </w:rPr>
        <w:t>млн</w:t>
      </w:r>
      <w:proofErr w:type="gramEnd"/>
      <w:r w:rsidR="00D005EB" w:rsidRPr="004761E0">
        <w:rPr>
          <w:sz w:val="26"/>
          <w:szCs w:val="26"/>
        </w:rPr>
        <w:t xml:space="preserve"> чел.</w:t>
      </w:r>
    </w:p>
    <w:p w:rsidR="00C0652D" w:rsidRPr="004761E0" w:rsidRDefault="00D005EB" w:rsidP="0054516F">
      <w:pPr>
        <w:ind w:firstLine="567"/>
        <w:rPr>
          <w:sz w:val="26"/>
          <w:szCs w:val="26"/>
        </w:rPr>
      </w:pPr>
      <w:r w:rsidRPr="004761E0">
        <w:rPr>
          <w:sz w:val="26"/>
          <w:szCs w:val="26"/>
        </w:rPr>
        <w:t>Г</w:t>
      </w:r>
      <w:r w:rsidR="002A4C16" w:rsidRPr="004761E0">
        <w:rPr>
          <w:sz w:val="26"/>
          <w:szCs w:val="26"/>
        </w:rPr>
        <w:t>ород</w:t>
      </w:r>
      <w:r w:rsidRPr="004761E0">
        <w:rPr>
          <w:sz w:val="26"/>
          <w:szCs w:val="26"/>
        </w:rPr>
        <w:t xml:space="preserve"> Москва является </w:t>
      </w:r>
      <w:hyperlink r:id="rId18" w:tooltip="Административный центр" w:history="1">
        <w:r w:rsidRPr="004761E0">
          <w:rPr>
            <w:sz w:val="26"/>
            <w:szCs w:val="26"/>
          </w:rPr>
          <w:t>административным центр</w:t>
        </w:r>
      </w:hyperlink>
      <w:r w:rsidRPr="004761E0">
        <w:rPr>
          <w:sz w:val="26"/>
          <w:szCs w:val="26"/>
        </w:rPr>
        <w:t xml:space="preserve">ом </w:t>
      </w:r>
      <w:hyperlink r:id="rId19" w:tooltip="Центральный федеральный округ" w:history="1">
        <w:r w:rsidRPr="004761E0">
          <w:rPr>
            <w:sz w:val="26"/>
            <w:szCs w:val="26"/>
          </w:rPr>
          <w:t>Центрального федерального округа</w:t>
        </w:r>
      </w:hyperlink>
      <w:r w:rsidRPr="004761E0">
        <w:rPr>
          <w:sz w:val="26"/>
          <w:szCs w:val="26"/>
        </w:rPr>
        <w:t xml:space="preserve"> и </w:t>
      </w:r>
      <w:hyperlink r:id="rId20" w:tooltip="Столица" w:history="1">
        <w:r w:rsidRPr="004761E0">
          <w:rPr>
            <w:sz w:val="26"/>
            <w:szCs w:val="26"/>
          </w:rPr>
          <w:t>столиц</w:t>
        </w:r>
      </w:hyperlink>
      <w:r w:rsidRPr="004761E0">
        <w:rPr>
          <w:sz w:val="26"/>
          <w:szCs w:val="26"/>
        </w:rPr>
        <w:t xml:space="preserve">ей </w:t>
      </w:r>
      <w:hyperlink r:id="rId21" w:tooltip="Россия" w:history="1">
        <w:r w:rsidRPr="004761E0">
          <w:rPr>
            <w:sz w:val="26"/>
            <w:szCs w:val="26"/>
          </w:rPr>
          <w:t>РФ</w:t>
        </w:r>
      </w:hyperlink>
      <w:r w:rsidRPr="004761E0">
        <w:rPr>
          <w:sz w:val="26"/>
          <w:szCs w:val="26"/>
        </w:rPr>
        <w:t xml:space="preserve">, крупнейшим по численности </w:t>
      </w:r>
      <w:hyperlink r:id="rId22" w:tooltip="Население Москвы" w:history="1">
        <w:r w:rsidRPr="004761E0">
          <w:rPr>
            <w:sz w:val="26"/>
            <w:szCs w:val="26"/>
          </w:rPr>
          <w:t>населения</w:t>
        </w:r>
      </w:hyperlink>
      <w:r w:rsidRPr="004761E0">
        <w:rPr>
          <w:sz w:val="26"/>
          <w:szCs w:val="26"/>
        </w:rPr>
        <w:t xml:space="preserve"> городом России (население – 12,1 </w:t>
      </w:r>
      <w:proofErr w:type="gramStart"/>
      <w:r w:rsidRPr="004761E0">
        <w:rPr>
          <w:sz w:val="26"/>
          <w:szCs w:val="26"/>
        </w:rPr>
        <w:t>млн</w:t>
      </w:r>
      <w:proofErr w:type="gramEnd"/>
      <w:r w:rsidRPr="004761E0">
        <w:rPr>
          <w:sz w:val="26"/>
          <w:szCs w:val="26"/>
        </w:rPr>
        <w:t xml:space="preserve"> чел.). Территория города составляет 2,5 тыс. км² (</w:t>
      </w:r>
      <w:r w:rsidR="001A25B0" w:rsidRPr="004761E0">
        <w:rPr>
          <w:sz w:val="26"/>
          <w:szCs w:val="26"/>
        </w:rPr>
        <w:t>без учета новых присоединенных территорий)</w:t>
      </w:r>
      <w:r w:rsidRPr="004761E0">
        <w:rPr>
          <w:sz w:val="26"/>
          <w:szCs w:val="26"/>
        </w:rPr>
        <w:t xml:space="preserve">. Московская область также входит в состав </w:t>
      </w:r>
      <w:hyperlink r:id="rId23" w:tooltip="Центральный федеральный округ Российской Федерации" w:history="1">
        <w:r w:rsidRPr="004761E0">
          <w:rPr>
            <w:sz w:val="26"/>
            <w:szCs w:val="26"/>
          </w:rPr>
          <w:t>Центрального федерального округа</w:t>
        </w:r>
      </w:hyperlink>
      <w:r w:rsidRPr="004761E0">
        <w:rPr>
          <w:sz w:val="26"/>
          <w:szCs w:val="26"/>
        </w:rPr>
        <w:t>. Территория области составляет 44,4 тыс. </w:t>
      </w:r>
      <w:hyperlink r:id="rId24" w:tooltip="Квадратный километр" w:history="1">
        <w:r w:rsidRPr="004761E0">
          <w:rPr>
            <w:sz w:val="26"/>
            <w:szCs w:val="26"/>
          </w:rPr>
          <w:t>км²</w:t>
        </w:r>
      </w:hyperlink>
      <w:r w:rsidRPr="004761E0">
        <w:rPr>
          <w:sz w:val="26"/>
          <w:szCs w:val="26"/>
        </w:rPr>
        <w:t xml:space="preserve">, численность населения – 7,2 </w:t>
      </w:r>
      <w:proofErr w:type="gramStart"/>
      <w:r w:rsidRPr="004761E0">
        <w:rPr>
          <w:sz w:val="26"/>
          <w:szCs w:val="26"/>
        </w:rPr>
        <w:t>млн</w:t>
      </w:r>
      <w:proofErr w:type="gramEnd"/>
      <w:r w:rsidRPr="004761E0">
        <w:rPr>
          <w:sz w:val="26"/>
          <w:szCs w:val="26"/>
        </w:rPr>
        <w:t xml:space="preserve"> чел. </w:t>
      </w:r>
      <w:r w:rsidR="001A25B0" w:rsidRPr="004761E0">
        <w:rPr>
          <w:sz w:val="26"/>
          <w:szCs w:val="26"/>
        </w:rPr>
        <w:t>(с учетом новых присоединенных территорий г.</w:t>
      </w:r>
      <w:r w:rsidR="0054516F" w:rsidRPr="004761E0">
        <w:rPr>
          <w:sz w:val="26"/>
          <w:szCs w:val="26"/>
        </w:rPr>
        <w:t> </w:t>
      </w:r>
      <w:r w:rsidR="001A25B0" w:rsidRPr="004761E0">
        <w:rPr>
          <w:sz w:val="26"/>
          <w:szCs w:val="26"/>
        </w:rPr>
        <w:t>Москвы)</w:t>
      </w:r>
      <w:r w:rsidRPr="004761E0">
        <w:rPr>
          <w:sz w:val="26"/>
          <w:szCs w:val="26"/>
        </w:rPr>
        <w:t>. В Московской области насчитывается 77 городов, 19 из которых имеют население свыше 100 тыс. чел.</w:t>
      </w:r>
    </w:p>
    <w:p w:rsidR="00981827" w:rsidRPr="004761E0" w:rsidRDefault="00981827" w:rsidP="007F0DB4">
      <w:pPr>
        <w:spacing w:before="120" w:after="120"/>
        <w:ind w:firstLine="567"/>
        <w:rPr>
          <w:b/>
          <w:sz w:val="26"/>
          <w:szCs w:val="26"/>
        </w:rPr>
      </w:pPr>
      <w:r w:rsidRPr="004761E0">
        <w:rPr>
          <w:b/>
          <w:sz w:val="26"/>
          <w:szCs w:val="26"/>
        </w:rPr>
        <w:t xml:space="preserve">Динамика электропотребления в регионе присутствия </w:t>
      </w:r>
    </w:p>
    <w:tbl>
      <w:tblPr>
        <w:tblStyle w:val="ae"/>
        <w:tblW w:w="0" w:type="auto"/>
        <w:tblLook w:val="04A0"/>
      </w:tblPr>
      <w:tblGrid>
        <w:gridCol w:w="534"/>
        <w:gridCol w:w="3228"/>
        <w:gridCol w:w="829"/>
        <w:gridCol w:w="766"/>
        <w:gridCol w:w="766"/>
        <w:gridCol w:w="789"/>
        <w:gridCol w:w="766"/>
        <w:gridCol w:w="794"/>
        <w:gridCol w:w="766"/>
        <w:gridCol w:w="793"/>
      </w:tblGrid>
      <w:tr w:rsidR="00981827" w:rsidRPr="004761E0" w:rsidTr="00B13D17">
        <w:tc>
          <w:tcPr>
            <w:tcW w:w="534" w:type="dxa"/>
            <w:tcBorders>
              <w:right w:val="single" w:sz="4" w:space="0" w:color="FFFFFF" w:themeColor="background1"/>
            </w:tcBorders>
            <w:shd w:val="clear" w:color="auto" w:fill="0F243E" w:themeFill="text2" w:themeFillShade="80"/>
            <w:vAlign w:val="center"/>
          </w:tcPr>
          <w:p w:rsidR="00981827" w:rsidRPr="004761E0" w:rsidRDefault="00981827" w:rsidP="00B13D17">
            <w:pPr>
              <w:ind w:firstLine="0"/>
              <w:jc w:val="left"/>
              <w:rPr>
                <w:b/>
                <w:color w:val="FFFFFF" w:themeColor="background1"/>
                <w:sz w:val="20"/>
                <w:szCs w:val="20"/>
              </w:rPr>
            </w:pPr>
            <w:r w:rsidRPr="004761E0">
              <w:rPr>
                <w:b/>
                <w:color w:val="FFFFFF" w:themeColor="background1"/>
                <w:sz w:val="20"/>
                <w:szCs w:val="20"/>
              </w:rPr>
              <w:t xml:space="preserve">№ </w:t>
            </w:r>
            <w:proofErr w:type="gramStart"/>
            <w:r w:rsidRPr="004761E0">
              <w:rPr>
                <w:b/>
                <w:color w:val="FFFFFF" w:themeColor="background1"/>
                <w:sz w:val="20"/>
                <w:szCs w:val="20"/>
              </w:rPr>
              <w:t>п</w:t>
            </w:r>
            <w:proofErr w:type="gramEnd"/>
            <w:r w:rsidRPr="004761E0">
              <w:rPr>
                <w:b/>
                <w:color w:val="FFFFFF" w:themeColor="background1"/>
                <w:sz w:val="20"/>
                <w:szCs w:val="20"/>
              </w:rPr>
              <w:t>/п</w:t>
            </w:r>
          </w:p>
        </w:tc>
        <w:tc>
          <w:tcPr>
            <w:tcW w:w="3228" w:type="dxa"/>
            <w:tcBorders>
              <w:left w:val="single" w:sz="4" w:space="0" w:color="FFFFFF" w:themeColor="background1"/>
              <w:right w:val="single" w:sz="4" w:space="0" w:color="FFFFFF" w:themeColor="background1"/>
            </w:tcBorders>
            <w:shd w:val="clear" w:color="auto" w:fill="0F243E" w:themeFill="text2" w:themeFillShade="80"/>
            <w:vAlign w:val="center"/>
          </w:tcPr>
          <w:p w:rsidR="00981827" w:rsidRPr="004761E0" w:rsidRDefault="00981827" w:rsidP="00B13D17">
            <w:pPr>
              <w:ind w:firstLine="0"/>
              <w:jc w:val="left"/>
              <w:rPr>
                <w:b/>
                <w:color w:val="FFFFFF" w:themeColor="background1"/>
                <w:sz w:val="20"/>
                <w:szCs w:val="20"/>
              </w:rPr>
            </w:pPr>
            <w:r w:rsidRPr="004761E0">
              <w:rPr>
                <w:b/>
                <w:color w:val="FFFFFF" w:themeColor="background1"/>
                <w:sz w:val="20"/>
                <w:szCs w:val="20"/>
              </w:rPr>
              <w:t>Наименование показателя</w:t>
            </w:r>
          </w:p>
        </w:tc>
        <w:tc>
          <w:tcPr>
            <w:tcW w:w="829" w:type="dxa"/>
            <w:tcBorders>
              <w:left w:val="single" w:sz="4" w:space="0" w:color="FFFFFF" w:themeColor="background1"/>
              <w:right w:val="single" w:sz="4" w:space="0" w:color="FFFFFF" w:themeColor="background1"/>
            </w:tcBorders>
            <w:shd w:val="clear" w:color="auto" w:fill="0F243E" w:themeFill="text2" w:themeFillShade="80"/>
            <w:vAlign w:val="center"/>
          </w:tcPr>
          <w:p w:rsidR="00981827" w:rsidRPr="004761E0" w:rsidRDefault="00981827" w:rsidP="00B13D17">
            <w:pPr>
              <w:ind w:firstLine="0"/>
              <w:jc w:val="left"/>
              <w:rPr>
                <w:b/>
                <w:color w:val="FFFFFF" w:themeColor="background1"/>
                <w:sz w:val="20"/>
                <w:szCs w:val="20"/>
              </w:rPr>
            </w:pPr>
            <w:r w:rsidRPr="004761E0">
              <w:rPr>
                <w:b/>
                <w:color w:val="FFFFFF" w:themeColor="background1"/>
                <w:sz w:val="20"/>
                <w:szCs w:val="20"/>
              </w:rPr>
              <w:t>2011</w:t>
            </w:r>
          </w:p>
        </w:tc>
        <w:tc>
          <w:tcPr>
            <w:tcW w:w="766" w:type="dxa"/>
            <w:tcBorders>
              <w:left w:val="single" w:sz="4" w:space="0" w:color="FFFFFF" w:themeColor="background1"/>
              <w:right w:val="single" w:sz="4" w:space="0" w:color="FFFFFF" w:themeColor="background1"/>
            </w:tcBorders>
            <w:shd w:val="clear" w:color="auto" w:fill="0F243E" w:themeFill="text2" w:themeFillShade="80"/>
            <w:vAlign w:val="center"/>
          </w:tcPr>
          <w:p w:rsidR="00981827" w:rsidRPr="004761E0" w:rsidRDefault="00981827" w:rsidP="00B13D17">
            <w:pPr>
              <w:ind w:firstLine="0"/>
              <w:jc w:val="left"/>
              <w:rPr>
                <w:b/>
                <w:color w:val="FFFFFF" w:themeColor="background1"/>
                <w:sz w:val="20"/>
                <w:szCs w:val="20"/>
              </w:rPr>
            </w:pPr>
            <w:r w:rsidRPr="004761E0">
              <w:rPr>
                <w:b/>
                <w:color w:val="FFFFFF" w:themeColor="background1"/>
                <w:sz w:val="20"/>
                <w:szCs w:val="20"/>
              </w:rPr>
              <w:t>2012</w:t>
            </w:r>
          </w:p>
        </w:tc>
        <w:tc>
          <w:tcPr>
            <w:tcW w:w="766" w:type="dxa"/>
            <w:tcBorders>
              <w:left w:val="single" w:sz="4" w:space="0" w:color="FFFFFF" w:themeColor="background1"/>
              <w:right w:val="single" w:sz="4" w:space="0" w:color="FFFFFF" w:themeColor="background1"/>
            </w:tcBorders>
            <w:shd w:val="clear" w:color="auto" w:fill="0F243E" w:themeFill="text2" w:themeFillShade="80"/>
            <w:vAlign w:val="center"/>
          </w:tcPr>
          <w:p w:rsidR="00981827" w:rsidRPr="004761E0" w:rsidRDefault="00981827" w:rsidP="00B13D17">
            <w:pPr>
              <w:ind w:firstLine="0"/>
              <w:jc w:val="left"/>
              <w:rPr>
                <w:b/>
                <w:color w:val="FFFFFF" w:themeColor="background1"/>
                <w:sz w:val="20"/>
                <w:szCs w:val="20"/>
              </w:rPr>
            </w:pPr>
            <w:r w:rsidRPr="004761E0">
              <w:rPr>
                <w:b/>
                <w:color w:val="FFFFFF" w:themeColor="background1"/>
                <w:sz w:val="20"/>
                <w:szCs w:val="20"/>
              </w:rPr>
              <w:t>2013</w:t>
            </w:r>
          </w:p>
        </w:tc>
        <w:tc>
          <w:tcPr>
            <w:tcW w:w="789" w:type="dxa"/>
            <w:tcBorders>
              <w:left w:val="single" w:sz="4" w:space="0" w:color="FFFFFF" w:themeColor="background1"/>
              <w:right w:val="single" w:sz="4" w:space="0" w:color="FFFFFF" w:themeColor="background1"/>
            </w:tcBorders>
            <w:shd w:val="clear" w:color="auto" w:fill="0F243E" w:themeFill="text2" w:themeFillShade="80"/>
            <w:vAlign w:val="center"/>
          </w:tcPr>
          <w:p w:rsidR="00981827" w:rsidRPr="004761E0" w:rsidRDefault="00981827" w:rsidP="00B13D17">
            <w:pPr>
              <w:ind w:firstLine="0"/>
              <w:jc w:val="left"/>
              <w:rPr>
                <w:b/>
                <w:color w:val="FFFFFF" w:themeColor="background1"/>
                <w:sz w:val="20"/>
                <w:szCs w:val="20"/>
              </w:rPr>
            </w:pPr>
            <w:r w:rsidRPr="004761E0">
              <w:rPr>
                <w:b/>
                <w:color w:val="FFFFFF" w:themeColor="background1"/>
                <w:sz w:val="20"/>
                <w:szCs w:val="20"/>
              </w:rPr>
              <w:t>2014</w:t>
            </w:r>
          </w:p>
        </w:tc>
        <w:tc>
          <w:tcPr>
            <w:tcW w:w="766" w:type="dxa"/>
            <w:tcBorders>
              <w:left w:val="single" w:sz="4" w:space="0" w:color="FFFFFF" w:themeColor="background1"/>
              <w:right w:val="single" w:sz="4" w:space="0" w:color="FFFFFF" w:themeColor="background1"/>
            </w:tcBorders>
            <w:shd w:val="clear" w:color="auto" w:fill="0F243E" w:themeFill="text2" w:themeFillShade="80"/>
            <w:vAlign w:val="center"/>
          </w:tcPr>
          <w:p w:rsidR="00981827" w:rsidRPr="004761E0" w:rsidRDefault="00981827" w:rsidP="00B13D17">
            <w:pPr>
              <w:ind w:firstLine="0"/>
              <w:jc w:val="left"/>
              <w:rPr>
                <w:b/>
                <w:color w:val="FFFFFF" w:themeColor="background1"/>
                <w:sz w:val="20"/>
                <w:szCs w:val="20"/>
              </w:rPr>
            </w:pPr>
            <w:r w:rsidRPr="004761E0">
              <w:rPr>
                <w:b/>
                <w:color w:val="FFFFFF" w:themeColor="background1"/>
                <w:sz w:val="20"/>
                <w:szCs w:val="20"/>
              </w:rPr>
              <w:t>2015</w:t>
            </w:r>
          </w:p>
        </w:tc>
        <w:tc>
          <w:tcPr>
            <w:tcW w:w="794" w:type="dxa"/>
            <w:tcBorders>
              <w:left w:val="single" w:sz="4" w:space="0" w:color="FFFFFF" w:themeColor="background1"/>
              <w:right w:val="single" w:sz="4" w:space="0" w:color="FFFFFF" w:themeColor="background1"/>
            </w:tcBorders>
            <w:shd w:val="clear" w:color="auto" w:fill="0F243E" w:themeFill="text2" w:themeFillShade="80"/>
            <w:vAlign w:val="center"/>
          </w:tcPr>
          <w:p w:rsidR="00981827" w:rsidRPr="004761E0" w:rsidRDefault="00981827" w:rsidP="00B13D17">
            <w:pPr>
              <w:ind w:firstLine="0"/>
              <w:jc w:val="left"/>
              <w:rPr>
                <w:b/>
                <w:color w:val="FFFFFF" w:themeColor="background1"/>
                <w:sz w:val="20"/>
                <w:szCs w:val="20"/>
              </w:rPr>
            </w:pPr>
            <w:r w:rsidRPr="004761E0">
              <w:rPr>
                <w:b/>
                <w:color w:val="FFFFFF" w:themeColor="background1"/>
                <w:sz w:val="20"/>
                <w:szCs w:val="20"/>
              </w:rPr>
              <w:t>2016</w:t>
            </w:r>
          </w:p>
        </w:tc>
        <w:tc>
          <w:tcPr>
            <w:tcW w:w="766" w:type="dxa"/>
            <w:tcBorders>
              <w:left w:val="single" w:sz="4" w:space="0" w:color="FFFFFF" w:themeColor="background1"/>
              <w:right w:val="single" w:sz="4" w:space="0" w:color="FFFFFF" w:themeColor="background1"/>
            </w:tcBorders>
            <w:shd w:val="clear" w:color="auto" w:fill="0F243E" w:themeFill="text2" w:themeFillShade="80"/>
            <w:vAlign w:val="center"/>
          </w:tcPr>
          <w:p w:rsidR="00981827" w:rsidRPr="004761E0" w:rsidRDefault="00981827" w:rsidP="00B13D17">
            <w:pPr>
              <w:ind w:firstLine="0"/>
              <w:jc w:val="left"/>
              <w:rPr>
                <w:b/>
                <w:color w:val="FFFFFF" w:themeColor="background1"/>
                <w:sz w:val="20"/>
                <w:szCs w:val="20"/>
              </w:rPr>
            </w:pPr>
            <w:r w:rsidRPr="004761E0">
              <w:rPr>
                <w:b/>
                <w:color w:val="FFFFFF" w:themeColor="background1"/>
                <w:sz w:val="20"/>
                <w:szCs w:val="20"/>
              </w:rPr>
              <w:t>2017</w:t>
            </w:r>
          </w:p>
        </w:tc>
        <w:tc>
          <w:tcPr>
            <w:tcW w:w="793" w:type="dxa"/>
            <w:tcBorders>
              <w:left w:val="single" w:sz="4" w:space="0" w:color="FFFFFF" w:themeColor="background1"/>
            </w:tcBorders>
            <w:shd w:val="clear" w:color="auto" w:fill="0F243E" w:themeFill="text2" w:themeFillShade="80"/>
            <w:vAlign w:val="center"/>
          </w:tcPr>
          <w:p w:rsidR="00981827" w:rsidRPr="004761E0" w:rsidRDefault="00981827" w:rsidP="00B13D17">
            <w:pPr>
              <w:ind w:firstLine="0"/>
              <w:jc w:val="left"/>
              <w:rPr>
                <w:b/>
                <w:color w:val="FFFFFF" w:themeColor="background1"/>
                <w:sz w:val="20"/>
                <w:szCs w:val="20"/>
              </w:rPr>
            </w:pPr>
            <w:r w:rsidRPr="004761E0">
              <w:rPr>
                <w:b/>
                <w:color w:val="FFFFFF" w:themeColor="background1"/>
                <w:sz w:val="20"/>
                <w:szCs w:val="20"/>
              </w:rPr>
              <w:t>2018</w:t>
            </w:r>
          </w:p>
        </w:tc>
      </w:tr>
      <w:tr w:rsidR="00981827" w:rsidRPr="004761E0" w:rsidTr="00B13D17">
        <w:tc>
          <w:tcPr>
            <w:tcW w:w="534" w:type="dxa"/>
          </w:tcPr>
          <w:p w:rsidR="00981827" w:rsidRPr="004761E0" w:rsidRDefault="00981827" w:rsidP="007076A7">
            <w:pPr>
              <w:pStyle w:val="a5"/>
              <w:numPr>
                <w:ilvl w:val="0"/>
                <w:numId w:val="310"/>
              </w:numPr>
              <w:tabs>
                <w:tab w:val="left" w:pos="180"/>
              </w:tabs>
              <w:ind w:left="0" w:firstLine="0"/>
              <w:jc w:val="left"/>
              <w:rPr>
                <w:sz w:val="20"/>
                <w:szCs w:val="20"/>
              </w:rPr>
            </w:pPr>
          </w:p>
        </w:tc>
        <w:tc>
          <w:tcPr>
            <w:tcW w:w="3228" w:type="dxa"/>
          </w:tcPr>
          <w:p w:rsidR="00981827" w:rsidRPr="004761E0" w:rsidRDefault="00981827" w:rsidP="00B13D17">
            <w:pPr>
              <w:ind w:firstLine="0"/>
              <w:rPr>
                <w:sz w:val="20"/>
                <w:szCs w:val="20"/>
              </w:rPr>
            </w:pPr>
            <w:r w:rsidRPr="004761E0">
              <w:rPr>
                <w:sz w:val="20"/>
                <w:szCs w:val="20"/>
              </w:rPr>
              <w:t xml:space="preserve">Электропотребление, </w:t>
            </w:r>
            <w:proofErr w:type="gramStart"/>
            <w:r w:rsidRPr="004761E0">
              <w:rPr>
                <w:sz w:val="20"/>
                <w:szCs w:val="20"/>
              </w:rPr>
              <w:t>млрд</w:t>
            </w:r>
            <w:proofErr w:type="gramEnd"/>
            <w:r w:rsidRPr="004761E0">
              <w:rPr>
                <w:sz w:val="20"/>
                <w:szCs w:val="20"/>
              </w:rPr>
              <w:t xml:space="preserve"> кВтч</w:t>
            </w:r>
          </w:p>
        </w:tc>
        <w:tc>
          <w:tcPr>
            <w:tcW w:w="829" w:type="dxa"/>
            <w:vAlign w:val="center"/>
          </w:tcPr>
          <w:p w:rsidR="00981827" w:rsidRPr="004761E0" w:rsidRDefault="00981827" w:rsidP="00B13D17">
            <w:pPr>
              <w:ind w:firstLine="0"/>
              <w:rPr>
                <w:sz w:val="20"/>
                <w:szCs w:val="20"/>
              </w:rPr>
            </w:pPr>
            <w:r w:rsidRPr="004761E0">
              <w:rPr>
                <w:sz w:val="20"/>
                <w:szCs w:val="20"/>
              </w:rPr>
              <w:t>98,22</w:t>
            </w:r>
          </w:p>
        </w:tc>
        <w:tc>
          <w:tcPr>
            <w:tcW w:w="766" w:type="dxa"/>
            <w:vAlign w:val="center"/>
          </w:tcPr>
          <w:p w:rsidR="00981827" w:rsidRPr="004761E0" w:rsidRDefault="00981827" w:rsidP="00B13D17">
            <w:pPr>
              <w:ind w:firstLine="0"/>
              <w:rPr>
                <w:sz w:val="20"/>
                <w:szCs w:val="20"/>
              </w:rPr>
            </w:pPr>
            <w:r w:rsidRPr="004761E0">
              <w:rPr>
                <w:sz w:val="20"/>
                <w:szCs w:val="20"/>
              </w:rPr>
              <w:t>100,92</w:t>
            </w:r>
          </w:p>
        </w:tc>
        <w:tc>
          <w:tcPr>
            <w:tcW w:w="766" w:type="dxa"/>
            <w:vAlign w:val="center"/>
          </w:tcPr>
          <w:p w:rsidR="00981827" w:rsidRPr="004761E0" w:rsidRDefault="00981827" w:rsidP="00B13D17">
            <w:pPr>
              <w:ind w:firstLine="0"/>
              <w:rPr>
                <w:sz w:val="20"/>
                <w:szCs w:val="20"/>
              </w:rPr>
            </w:pPr>
            <w:r w:rsidRPr="004761E0">
              <w:rPr>
                <w:sz w:val="20"/>
                <w:szCs w:val="20"/>
              </w:rPr>
              <w:t>103,40</w:t>
            </w:r>
          </w:p>
        </w:tc>
        <w:tc>
          <w:tcPr>
            <w:tcW w:w="789" w:type="dxa"/>
            <w:vAlign w:val="center"/>
          </w:tcPr>
          <w:p w:rsidR="00981827" w:rsidRPr="004761E0" w:rsidRDefault="00981827" w:rsidP="00B13D17">
            <w:pPr>
              <w:ind w:firstLine="0"/>
              <w:rPr>
                <w:sz w:val="20"/>
                <w:szCs w:val="20"/>
              </w:rPr>
            </w:pPr>
            <w:r w:rsidRPr="004761E0">
              <w:rPr>
                <w:sz w:val="20"/>
                <w:szCs w:val="20"/>
              </w:rPr>
              <w:t>106,26</w:t>
            </w:r>
          </w:p>
        </w:tc>
        <w:tc>
          <w:tcPr>
            <w:tcW w:w="766" w:type="dxa"/>
            <w:vAlign w:val="center"/>
          </w:tcPr>
          <w:p w:rsidR="00981827" w:rsidRPr="004761E0" w:rsidRDefault="00981827" w:rsidP="00B13D17">
            <w:pPr>
              <w:ind w:firstLine="0"/>
              <w:rPr>
                <w:sz w:val="20"/>
                <w:szCs w:val="20"/>
              </w:rPr>
            </w:pPr>
            <w:r w:rsidRPr="004761E0">
              <w:rPr>
                <w:sz w:val="20"/>
                <w:szCs w:val="20"/>
              </w:rPr>
              <w:t>109,02</w:t>
            </w:r>
          </w:p>
        </w:tc>
        <w:tc>
          <w:tcPr>
            <w:tcW w:w="794" w:type="dxa"/>
            <w:vAlign w:val="center"/>
          </w:tcPr>
          <w:p w:rsidR="00981827" w:rsidRPr="004761E0" w:rsidRDefault="00981827" w:rsidP="00B13D17">
            <w:pPr>
              <w:ind w:firstLine="0"/>
              <w:rPr>
                <w:sz w:val="20"/>
                <w:szCs w:val="20"/>
              </w:rPr>
            </w:pPr>
            <w:r w:rsidRPr="004761E0">
              <w:rPr>
                <w:sz w:val="20"/>
                <w:szCs w:val="20"/>
              </w:rPr>
              <w:t>111,26</w:t>
            </w:r>
          </w:p>
        </w:tc>
        <w:tc>
          <w:tcPr>
            <w:tcW w:w="766" w:type="dxa"/>
            <w:vAlign w:val="center"/>
          </w:tcPr>
          <w:p w:rsidR="00981827" w:rsidRPr="004761E0" w:rsidRDefault="00981827" w:rsidP="00B13D17">
            <w:pPr>
              <w:ind w:firstLine="0"/>
              <w:rPr>
                <w:sz w:val="20"/>
                <w:szCs w:val="20"/>
              </w:rPr>
            </w:pPr>
            <w:r w:rsidRPr="004761E0">
              <w:rPr>
                <w:sz w:val="20"/>
                <w:szCs w:val="20"/>
              </w:rPr>
              <w:t>113,48</w:t>
            </w:r>
          </w:p>
        </w:tc>
        <w:tc>
          <w:tcPr>
            <w:tcW w:w="793" w:type="dxa"/>
            <w:vAlign w:val="center"/>
          </w:tcPr>
          <w:p w:rsidR="00981827" w:rsidRPr="004761E0" w:rsidRDefault="00981827" w:rsidP="00B13D17">
            <w:pPr>
              <w:ind w:firstLine="0"/>
              <w:rPr>
                <w:sz w:val="20"/>
                <w:szCs w:val="20"/>
              </w:rPr>
            </w:pPr>
            <w:r w:rsidRPr="004761E0">
              <w:rPr>
                <w:sz w:val="20"/>
                <w:szCs w:val="20"/>
              </w:rPr>
              <w:t>115,77</w:t>
            </w:r>
          </w:p>
        </w:tc>
      </w:tr>
      <w:tr w:rsidR="00981827" w:rsidRPr="004761E0" w:rsidTr="00B13D17">
        <w:tc>
          <w:tcPr>
            <w:tcW w:w="534" w:type="dxa"/>
          </w:tcPr>
          <w:p w:rsidR="00981827" w:rsidRPr="004761E0" w:rsidRDefault="00981827" w:rsidP="007076A7">
            <w:pPr>
              <w:pStyle w:val="a5"/>
              <w:numPr>
                <w:ilvl w:val="0"/>
                <w:numId w:val="310"/>
              </w:numPr>
              <w:tabs>
                <w:tab w:val="left" w:pos="180"/>
              </w:tabs>
              <w:ind w:left="0" w:firstLine="0"/>
              <w:jc w:val="left"/>
              <w:rPr>
                <w:sz w:val="20"/>
                <w:szCs w:val="20"/>
              </w:rPr>
            </w:pPr>
          </w:p>
        </w:tc>
        <w:tc>
          <w:tcPr>
            <w:tcW w:w="3228" w:type="dxa"/>
          </w:tcPr>
          <w:p w:rsidR="00981827" w:rsidRPr="004761E0" w:rsidRDefault="00981827" w:rsidP="00B13D17">
            <w:pPr>
              <w:ind w:firstLine="0"/>
              <w:rPr>
                <w:sz w:val="20"/>
                <w:szCs w:val="20"/>
              </w:rPr>
            </w:pPr>
            <w:r w:rsidRPr="004761E0">
              <w:rPr>
                <w:sz w:val="20"/>
                <w:szCs w:val="20"/>
              </w:rPr>
              <w:t xml:space="preserve">Годовой темп прироста, % </w:t>
            </w:r>
          </w:p>
        </w:tc>
        <w:tc>
          <w:tcPr>
            <w:tcW w:w="829" w:type="dxa"/>
            <w:vAlign w:val="center"/>
          </w:tcPr>
          <w:p w:rsidR="00981827" w:rsidRPr="004761E0" w:rsidRDefault="00981827" w:rsidP="00B13D17">
            <w:pPr>
              <w:ind w:firstLine="0"/>
              <w:rPr>
                <w:sz w:val="20"/>
                <w:szCs w:val="20"/>
              </w:rPr>
            </w:pPr>
            <w:r w:rsidRPr="004761E0">
              <w:rPr>
                <w:sz w:val="20"/>
                <w:szCs w:val="20"/>
              </w:rPr>
              <w:t>0,5</w:t>
            </w:r>
          </w:p>
        </w:tc>
        <w:tc>
          <w:tcPr>
            <w:tcW w:w="766" w:type="dxa"/>
            <w:vAlign w:val="center"/>
          </w:tcPr>
          <w:p w:rsidR="00981827" w:rsidRPr="004761E0" w:rsidRDefault="00981827" w:rsidP="00B13D17">
            <w:pPr>
              <w:ind w:firstLine="0"/>
              <w:rPr>
                <w:sz w:val="20"/>
                <w:szCs w:val="20"/>
              </w:rPr>
            </w:pPr>
            <w:r w:rsidRPr="004761E0">
              <w:rPr>
                <w:sz w:val="20"/>
                <w:szCs w:val="20"/>
              </w:rPr>
              <w:t>2,7</w:t>
            </w:r>
          </w:p>
        </w:tc>
        <w:tc>
          <w:tcPr>
            <w:tcW w:w="766" w:type="dxa"/>
            <w:vAlign w:val="center"/>
          </w:tcPr>
          <w:p w:rsidR="00981827" w:rsidRPr="004761E0" w:rsidRDefault="00981827" w:rsidP="00B13D17">
            <w:pPr>
              <w:ind w:firstLine="0"/>
              <w:rPr>
                <w:sz w:val="20"/>
                <w:szCs w:val="20"/>
              </w:rPr>
            </w:pPr>
            <w:r w:rsidRPr="004761E0">
              <w:rPr>
                <w:sz w:val="20"/>
                <w:szCs w:val="20"/>
              </w:rPr>
              <w:t>2,5</w:t>
            </w:r>
          </w:p>
        </w:tc>
        <w:tc>
          <w:tcPr>
            <w:tcW w:w="789" w:type="dxa"/>
            <w:vAlign w:val="center"/>
          </w:tcPr>
          <w:p w:rsidR="00981827" w:rsidRPr="004761E0" w:rsidRDefault="00981827" w:rsidP="00B13D17">
            <w:pPr>
              <w:ind w:firstLine="0"/>
              <w:rPr>
                <w:sz w:val="20"/>
                <w:szCs w:val="20"/>
              </w:rPr>
            </w:pPr>
            <w:r w:rsidRPr="004761E0">
              <w:rPr>
                <w:sz w:val="20"/>
                <w:szCs w:val="20"/>
              </w:rPr>
              <w:t>2,8</w:t>
            </w:r>
          </w:p>
        </w:tc>
        <w:tc>
          <w:tcPr>
            <w:tcW w:w="766" w:type="dxa"/>
            <w:vAlign w:val="center"/>
          </w:tcPr>
          <w:p w:rsidR="00981827" w:rsidRPr="004761E0" w:rsidRDefault="00981827" w:rsidP="00B13D17">
            <w:pPr>
              <w:ind w:firstLine="0"/>
              <w:rPr>
                <w:sz w:val="20"/>
                <w:szCs w:val="20"/>
              </w:rPr>
            </w:pPr>
            <w:r w:rsidRPr="004761E0">
              <w:rPr>
                <w:sz w:val="20"/>
                <w:szCs w:val="20"/>
              </w:rPr>
              <w:t>2,6</w:t>
            </w:r>
          </w:p>
        </w:tc>
        <w:tc>
          <w:tcPr>
            <w:tcW w:w="794" w:type="dxa"/>
            <w:vAlign w:val="center"/>
          </w:tcPr>
          <w:p w:rsidR="00981827" w:rsidRPr="004761E0" w:rsidRDefault="00981827" w:rsidP="00B13D17">
            <w:pPr>
              <w:ind w:firstLine="0"/>
              <w:rPr>
                <w:sz w:val="20"/>
                <w:szCs w:val="20"/>
              </w:rPr>
            </w:pPr>
            <w:r w:rsidRPr="004761E0">
              <w:rPr>
                <w:sz w:val="20"/>
                <w:szCs w:val="20"/>
              </w:rPr>
              <w:t>2,1</w:t>
            </w:r>
          </w:p>
        </w:tc>
        <w:tc>
          <w:tcPr>
            <w:tcW w:w="766" w:type="dxa"/>
            <w:vAlign w:val="center"/>
          </w:tcPr>
          <w:p w:rsidR="00981827" w:rsidRPr="004761E0" w:rsidRDefault="00981827" w:rsidP="00B13D17">
            <w:pPr>
              <w:ind w:firstLine="0"/>
              <w:rPr>
                <w:sz w:val="20"/>
                <w:szCs w:val="20"/>
              </w:rPr>
            </w:pPr>
            <w:r w:rsidRPr="004761E0">
              <w:rPr>
                <w:sz w:val="20"/>
                <w:szCs w:val="20"/>
              </w:rPr>
              <w:t>2,0</w:t>
            </w:r>
          </w:p>
        </w:tc>
        <w:tc>
          <w:tcPr>
            <w:tcW w:w="793" w:type="dxa"/>
            <w:vAlign w:val="center"/>
          </w:tcPr>
          <w:p w:rsidR="00981827" w:rsidRPr="004761E0" w:rsidRDefault="00981827" w:rsidP="00B13D17">
            <w:pPr>
              <w:ind w:firstLine="0"/>
              <w:rPr>
                <w:sz w:val="20"/>
                <w:szCs w:val="20"/>
              </w:rPr>
            </w:pPr>
            <w:r w:rsidRPr="004761E0">
              <w:rPr>
                <w:sz w:val="20"/>
                <w:szCs w:val="20"/>
              </w:rPr>
              <w:t>2,0</w:t>
            </w:r>
          </w:p>
        </w:tc>
      </w:tr>
    </w:tbl>
    <w:p w:rsidR="00981827" w:rsidRPr="004761E0" w:rsidRDefault="00981827" w:rsidP="00981827">
      <w:pPr>
        <w:rPr>
          <w:sz w:val="26"/>
          <w:szCs w:val="26"/>
        </w:rPr>
      </w:pPr>
    </w:p>
    <w:p w:rsidR="00981827" w:rsidRPr="004761E0" w:rsidRDefault="00981827" w:rsidP="00981827">
      <w:pPr>
        <w:ind w:firstLine="0"/>
        <w:rPr>
          <w:sz w:val="26"/>
          <w:szCs w:val="26"/>
        </w:rPr>
      </w:pPr>
      <w:r w:rsidRPr="004761E0">
        <w:rPr>
          <w:noProof/>
          <w:sz w:val="26"/>
          <w:szCs w:val="26"/>
          <w:lang w:eastAsia="ru-RU"/>
        </w:rPr>
        <w:drawing>
          <wp:inline distT="0" distB="0" distL="0" distR="0">
            <wp:extent cx="4729176" cy="2520563"/>
            <wp:effectExtent l="19050" t="0" r="14274" b="0"/>
            <wp:docPr id="25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81827" w:rsidRPr="004761E0" w:rsidRDefault="00981827" w:rsidP="007F0DB4">
      <w:pPr>
        <w:ind w:firstLine="567"/>
        <w:rPr>
          <w:sz w:val="26"/>
          <w:szCs w:val="26"/>
        </w:rPr>
      </w:pPr>
      <w:r w:rsidRPr="004761E0">
        <w:rPr>
          <w:sz w:val="26"/>
          <w:szCs w:val="26"/>
        </w:rPr>
        <w:lastRenderedPageBreak/>
        <w:t xml:space="preserve">Отчетные данные за 2011-2012 гг. </w:t>
      </w:r>
      <w:r w:rsidR="007F0DB4">
        <w:rPr>
          <w:sz w:val="26"/>
          <w:szCs w:val="26"/>
        </w:rPr>
        <w:t xml:space="preserve">в целом </w:t>
      </w:r>
      <w:r w:rsidRPr="004761E0">
        <w:rPr>
          <w:sz w:val="26"/>
          <w:szCs w:val="26"/>
        </w:rPr>
        <w:t xml:space="preserve">по Московскому региону представлены </w:t>
      </w:r>
      <w:r w:rsidR="0008080E">
        <w:rPr>
          <w:sz w:val="26"/>
          <w:szCs w:val="26"/>
        </w:rPr>
        <w:t>ОАО </w:t>
      </w:r>
      <w:r w:rsidRPr="004761E0">
        <w:rPr>
          <w:sz w:val="26"/>
          <w:szCs w:val="26"/>
        </w:rPr>
        <w:t xml:space="preserve">«СО ЕЭС» </w:t>
      </w:r>
      <w:hyperlink r:id="rId26" w:history="1">
        <w:r w:rsidRPr="004761E0">
          <w:rPr>
            <w:rStyle w:val="a4"/>
            <w:sz w:val="26"/>
            <w:szCs w:val="26"/>
            <w:lang w:val="en-US"/>
          </w:rPr>
          <w:t>http</w:t>
        </w:r>
        <w:r w:rsidRPr="004761E0">
          <w:rPr>
            <w:rStyle w:val="a4"/>
            <w:sz w:val="26"/>
            <w:szCs w:val="26"/>
          </w:rPr>
          <w:t>://</w:t>
        </w:r>
        <w:r w:rsidRPr="004761E0">
          <w:rPr>
            <w:rStyle w:val="a4"/>
            <w:sz w:val="26"/>
            <w:szCs w:val="26"/>
            <w:lang w:val="en-US"/>
          </w:rPr>
          <w:t>so</w:t>
        </w:r>
        <w:r w:rsidRPr="004761E0">
          <w:rPr>
            <w:rStyle w:val="a4"/>
            <w:sz w:val="26"/>
            <w:szCs w:val="26"/>
          </w:rPr>
          <w:t>-</w:t>
        </w:r>
        <w:r w:rsidRPr="004761E0">
          <w:rPr>
            <w:rStyle w:val="a4"/>
            <w:sz w:val="26"/>
            <w:szCs w:val="26"/>
            <w:lang w:val="en-US"/>
          </w:rPr>
          <w:t>ups</w:t>
        </w:r>
        <w:r w:rsidRPr="004761E0">
          <w:rPr>
            <w:rStyle w:val="a4"/>
            <w:sz w:val="26"/>
            <w:szCs w:val="26"/>
          </w:rPr>
          <w:t>.</w:t>
        </w:r>
        <w:r w:rsidRPr="004761E0">
          <w:rPr>
            <w:rStyle w:val="a4"/>
            <w:sz w:val="26"/>
            <w:szCs w:val="26"/>
            <w:lang w:val="en-US"/>
          </w:rPr>
          <w:t>ru</w:t>
        </w:r>
        <w:r w:rsidRPr="004761E0">
          <w:rPr>
            <w:rStyle w:val="a4"/>
            <w:sz w:val="26"/>
            <w:szCs w:val="26"/>
          </w:rPr>
          <w:t>/</w:t>
        </w:r>
        <w:r w:rsidRPr="004761E0">
          <w:rPr>
            <w:rStyle w:val="a4"/>
            <w:sz w:val="26"/>
            <w:szCs w:val="26"/>
            <w:lang w:val="en-US"/>
          </w:rPr>
          <w:t>index</w:t>
        </w:r>
        <w:r w:rsidRPr="004761E0">
          <w:rPr>
            <w:rStyle w:val="a4"/>
            <w:sz w:val="26"/>
            <w:szCs w:val="26"/>
          </w:rPr>
          <w:t>.</w:t>
        </w:r>
        <w:r w:rsidRPr="004761E0">
          <w:rPr>
            <w:rStyle w:val="a4"/>
            <w:sz w:val="26"/>
            <w:szCs w:val="26"/>
            <w:lang w:val="en-US"/>
          </w:rPr>
          <w:t>php</w:t>
        </w:r>
        <w:r w:rsidRPr="004761E0">
          <w:rPr>
            <w:rStyle w:val="a4"/>
            <w:sz w:val="26"/>
            <w:szCs w:val="26"/>
          </w:rPr>
          <w:t>?</w:t>
        </w:r>
        <w:r w:rsidRPr="004761E0">
          <w:rPr>
            <w:rStyle w:val="a4"/>
            <w:sz w:val="26"/>
            <w:szCs w:val="26"/>
            <w:lang w:val="en-US"/>
          </w:rPr>
          <w:t>id</w:t>
        </w:r>
        <w:r w:rsidRPr="004761E0">
          <w:rPr>
            <w:rStyle w:val="a4"/>
            <w:sz w:val="26"/>
            <w:szCs w:val="26"/>
          </w:rPr>
          <w:t>=</w:t>
        </w:r>
        <w:r w:rsidRPr="004761E0">
          <w:rPr>
            <w:rStyle w:val="a4"/>
            <w:sz w:val="26"/>
            <w:szCs w:val="26"/>
            <w:lang w:val="en-US"/>
          </w:rPr>
          <w:t>ups</w:t>
        </w:r>
        <w:r w:rsidRPr="004761E0">
          <w:rPr>
            <w:rStyle w:val="a4"/>
            <w:sz w:val="26"/>
            <w:szCs w:val="26"/>
          </w:rPr>
          <w:t>_</w:t>
        </w:r>
        <w:r w:rsidRPr="004761E0">
          <w:rPr>
            <w:rStyle w:val="a4"/>
            <w:sz w:val="26"/>
            <w:szCs w:val="26"/>
            <w:lang w:val="en-US"/>
          </w:rPr>
          <w:t>reports</w:t>
        </w:r>
      </w:hyperlink>
    </w:p>
    <w:p w:rsidR="00981827" w:rsidRPr="004761E0" w:rsidRDefault="00981827" w:rsidP="007F0DB4">
      <w:pPr>
        <w:ind w:firstLine="567"/>
        <w:rPr>
          <w:sz w:val="26"/>
          <w:szCs w:val="26"/>
        </w:rPr>
      </w:pPr>
      <w:r w:rsidRPr="004761E0">
        <w:rPr>
          <w:sz w:val="26"/>
          <w:szCs w:val="26"/>
        </w:rPr>
        <w:t xml:space="preserve">Прогнозные данные за 2013-2018 гг. представлены согласно Схеме развития электрических сетей </w:t>
      </w:r>
      <w:r w:rsidR="0008080E">
        <w:rPr>
          <w:sz w:val="26"/>
          <w:szCs w:val="26"/>
        </w:rPr>
        <w:t>ОАО </w:t>
      </w:r>
      <w:r w:rsidRPr="004761E0">
        <w:rPr>
          <w:sz w:val="26"/>
          <w:szCs w:val="26"/>
        </w:rPr>
        <w:t>«МОЭСК» напряжением 110 (35) кВ и выше в г. Москве и Московской области на период до 2025 года.</w:t>
      </w:r>
    </w:p>
    <w:p w:rsidR="00981827" w:rsidRPr="004761E0" w:rsidRDefault="007F0DB4" w:rsidP="00981827">
      <w:pPr>
        <w:ind w:firstLine="567"/>
        <w:rPr>
          <w:sz w:val="26"/>
          <w:szCs w:val="26"/>
          <w:lang w:eastAsia="ru-RU"/>
        </w:rPr>
      </w:pPr>
      <w:r>
        <w:rPr>
          <w:sz w:val="26"/>
          <w:szCs w:val="26"/>
          <w:lang w:eastAsia="ru-RU"/>
        </w:rPr>
        <w:t>Аналогичные д</w:t>
      </w:r>
      <w:r w:rsidR="00981827" w:rsidRPr="004761E0">
        <w:rPr>
          <w:sz w:val="26"/>
          <w:szCs w:val="26"/>
          <w:lang w:eastAsia="ru-RU"/>
        </w:rPr>
        <w:t xml:space="preserve">анные в разбивке на </w:t>
      </w:r>
      <w:proofErr w:type="gramStart"/>
      <w:r w:rsidR="00981827" w:rsidRPr="004761E0">
        <w:rPr>
          <w:sz w:val="26"/>
          <w:szCs w:val="26"/>
          <w:lang w:eastAsia="ru-RU"/>
        </w:rPr>
        <w:t>г</w:t>
      </w:r>
      <w:proofErr w:type="gramEnd"/>
      <w:r w:rsidR="00981827" w:rsidRPr="004761E0">
        <w:rPr>
          <w:sz w:val="26"/>
          <w:szCs w:val="26"/>
          <w:lang w:eastAsia="ru-RU"/>
        </w:rPr>
        <w:t>. Москву и Московскую область представлены в Приложении</w:t>
      </w:r>
      <w:r>
        <w:rPr>
          <w:sz w:val="26"/>
          <w:szCs w:val="26"/>
          <w:lang w:eastAsia="ru-RU"/>
        </w:rPr>
        <w:t xml:space="preserve"> 12.</w:t>
      </w:r>
      <w:r w:rsidR="003146BC">
        <w:rPr>
          <w:sz w:val="26"/>
          <w:szCs w:val="26"/>
          <w:lang w:eastAsia="ru-RU"/>
        </w:rPr>
        <w:t>1</w:t>
      </w:r>
      <w:r>
        <w:rPr>
          <w:sz w:val="26"/>
          <w:szCs w:val="26"/>
          <w:lang w:eastAsia="ru-RU"/>
        </w:rPr>
        <w:t>.</w:t>
      </w:r>
      <w:r w:rsidR="00981827" w:rsidRPr="004761E0">
        <w:rPr>
          <w:sz w:val="26"/>
          <w:szCs w:val="26"/>
          <w:lang w:eastAsia="ru-RU"/>
        </w:rPr>
        <w:t xml:space="preserve"> к Годовому отчету.</w:t>
      </w:r>
    </w:p>
    <w:p w:rsidR="00BB2AFF" w:rsidRPr="004761E0" w:rsidRDefault="00BB2AFF" w:rsidP="00BB2AFF">
      <w:pPr>
        <w:spacing w:before="120" w:after="120"/>
        <w:ind w:firstLine="567"/>
        <w:rPr>
          <w:b/>
          <w:sz w:val="26"/>
          <w:szCs w:val="26"/>
          <w:lang w:eastAsia="ru-RU"/>
        </w:rPr>
      </w:pPr>
      <w:r w:rsidRPr="004761E0">
        <w:rPr>
          <w:b/>
          <w:sz w:val="26"/>
          <w:szCs w:val="26"/>
          <w:lang w:eastAsia="ru-RU"/>
        </w:rPr>
        <w:t xml:space="preserve">Доля на рынке услуг </w:t>
      </w:r>
    </w:p>
    <w:p w:rsidR="00BB2AFF" w:rsidRPr="004761E0" w:rsidRDefault="007F0DB4" w:rsidP="00BB2AFF">
      <w:pPr>
        <w:ind w:firstLine="567"/>
        <w:rPr>
          <w:sz w:val="26"/>
          <w:szCs w:val="26"/>
        </w:rPr>
      </w:pPr>
      <w:r>
        <w:rPr>
          <w:sz w:val="26"/>
          <w:szCs w:val="26"/>
        </w:rPr>
        <w:t xml:space="preserve">ОАО «МОЭСК» </w:t>
      </w:r>
      <w:r w:rsidR="00BB2AFF" w:rsidRPr="004761E0">
        <w:rPr>
          <w:sz w:val="26"/>
          <w:szCs w:val="26"/>
        </w:rPr>
        <w:t>является одной из крупнейших межрегиональных распределительных компаний РФ и крупнейшей в Московском регионе.</w:t>
      </w:r>
    </w:p>
    <w:p w:rsidR="00BB2AFF" w:rsidRPr="004761E0" w:rsidRDefault="00BB2AFF" w:rsidP="00BB2AFF">
      <w:pPr>
        <w:ind w:firstLine="567"/>
        <w:rPr>
          <w:sz w:val="26"/>
          <w:szCs w:val="26"/>
        </w:rPr>
      </w:pPr>
      <w:r w:rsidRPr="004761E0">
        <w:rPr>
          <w:sz w:val="26"/>
          <w:szCs w:val="26"/>
        </w:rPr>
        <w:t xml:space="preserve">К числу наиболее крупных компаний, осуществляющих аналогичную деятельность на территории </w:t>
      </w:r>
      <w:proofErr w:type="gramStart"/>
      <w:r w:rsidRPr="004761E0">
        <w:rPr>
          <w:sz w:val="26"/>
          <w:szCs w:val="26"/>
        </w:rPr>
        <w:t>г</w:t>
      </w:r>
      <w:proofErr w:type="gramEnd"/>
      <w:r w:rsidRPr="004761E0">
        <w:rPr>
          <w:sz w:val="26"/>
          <w:szCs w:val="26"/>
        </w:rPr>
        <w:t xml:space="preserve">. Москвы, относятся </w:t>
      </w:r>
      <w:r w:rsidR="0008080E">
        <w:rPr>
          <w:sz w:val="26"/>
          <w:szCs w:val="26"/>
        </w:rPr>
        <w:t>ОАО </w:t>
      </w:r>
      <w:r w:rsidRPr="004761E0">
        <w:rPr>
          <w:sz w:val="26"/>
          <w:szCs w:val="26"/>
        </w:rPr>
        <w:t xml:space="preserve">«Объединенная энергетическая компания» </w:t>
      </w:r>
      <w:r w:rsidR="007F0DB4">
        <w:rPr>
          <w:sz w:val="26"/>
          <w:szCs w:val="26"/>
        </w:rPr>
        <w:t xml:space="preserve">(ОАО «ОЭК») </w:t>
      </w:r>
      <w:r w:rsidRPr="004761E0">
        <w:rPr>
          <w:sz w:val="26"/>
          <w:szCs w:val="26"/>
        </w:rPr>
        <w:t xml:space="preserve">и </w:t>
      </w:r>
      <w:r w:rsidR="0008080E">
        <w:rPr>
          <w:sz w:val="26"/>
          <w:szCs w:val="26"/>
        </w:rPr>
        <w:t>ОАО </w:t>
      </w:r>
      <w:r w:rsidRPr="004761E0">
        <w:rPr>
          <w:sz w:val="26"/>
          <w:szCs w:val="26"/>
        </w:rPr>
        <w:t xml:space="preserve">«Энергокомплекс», на территории Московской области – </w:t>
      </w:r>
      <w:r w:rsidR="0008080E">
        <w:rPr>
          <w:sz w:val="26"/>
          <w:szCs w:val="26"/>
        </w:rPr>
        <w:t>ОАО </w:t>
      </w:r>
      <w:r w:rsidRPr="004761E0">
        <w:rPr>
          <w:sz w:val="26"/>
          <w:szCs w:val="26"/>
        </w:rPr>
        <w:t>«Московская областная энергосетевая компания» (</w:t>
      </w:r>
      <w:r w:rsidR="0008080E">
        <w:rPr>
          <w:sz w:val="26"/>
          <w:szCs w:val="26"/>
        </w:rPr>
        <w:t>ОАО </w:t>
      </w:r>
      <w:r w:rsidRPr="004761E0">
        <w:rPr>
          <w:sz w:val="26"/>
          <w:szCs w:val="26"/>
        </w:rPr>
        <w:t xml:space="preserve">«Мособлэнерго»), </w:t>
      </w:r>
      <w:r w:rsidR="0008080E">
        <w:rPr>
          <w:sz w:val="26"/>
          <w:szCs w:val="26"/>
        </w:rPr>
        <w:t>ОАО </w:t>
      </w:r>
      <w:r w:rsidRPr="004761E0">
        <w:rPr>
          <w:sz w:val="26"/>
          <w:szCs w:val="26"/>
        </w:rPr>
        <w:t xml:space="preserve">«Одинцовская электросеть», </w:t>
      </w:r>
      <w:r w:rsidR="0008080E">
        <w:rPr>
          <w:sz w:val="26"/>
          <w:szCs w:val="26"/>
        </w:rPr>
        <w:t>ОАО </w:t>
      </w:r>
      <w:r w:rsidRPr="004761E0">
        <w:rPr>
          <w:sz w:val="26"/>
          <w:szCs w:val="26"/>
        </w:rPr>
        <w:t xml:space="preserve">«Оборонэнерго», </w:t>
      </w:r>
      <w:r w:rsidR="0008080E">
        <w:rPr>
          <w:sz w:val="26"/>
          <w:szCs w:val="26"/>
        </w:rPr>
        <w:t>ЗАО </w:t>
      </w:r>
      <w:r w:rsidRPr="004761E0">
        <w:rPr>
          <w:sz w:val="26"/>
          <w:szCs w:val="26"/>
        </w:rPr>
        <w:t xml:space="preserve">«Электросетьэксплуатация». </w:t>
      </w:r>
    </w:p>
    <w:tbl>
      <w:tblPr>
        <w:tblW w:w="9936" w:type="dxa"/>
        <w:tblInd w:w="95" w:type="dxa"/>
        <w:tblLook w:val="04A0"/>
      </w:tblPr>
      <w:tblGrid>
        <w:gridCol w:w="580"/>
        <w:gridCol w:w="4820"/>
        <w:gridCol w:w="1134"/>
        <w:gridCol w:w="1134"/>
        <w:gridCol w:w="1134"/>
        <w:gridCol w:w="1134"/>
      </w:tblGrid>
      <w:tr w:rsidR="00BB2AFF" w:rsidRPr="004761E0" w:rsidTr="00B13D17">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BB2AFF" w:rsidRPr="004761E0" w:rsidRDefault="00BB2AFF" w:rsidP="00B13D17">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xml:space="preserve">№ </w:t>
            </w:r>
            <w:proofErr w:type="gramStart"/>
            <w:r w:rsidRPr="004761E0">
              <w:rPr>
                <w:rFonts w:eastAsia="Times New Roman"/>
                <w:b/>
                <w:color w:val="FFFFFF" w:themeColor="background1"/>
                <w:sz w:val="20"/>
                <w:szCs w:val="20"/>
                <w:lang w:eastAsia="ru-RU"/>
              </w:rPr>
              <w:t>п</w:t>
            </w:r>
            <w:proofErr w:type="gramEnd"/>
            <w:r w:rsidRPr="004761E0">
              <w:rPr>
                <w:rFonts w:eastAsia="Times New Roman"/>
                <w:b/>
                <w:color w:val="FFFFFF" w:themeColor="background1"/>
                <w:sz w:val="20"/>
                <w:szCs w:val="20"/>
                <w:lang w:eastAsia="ru-RU"/>
              </w:rPr>
              <w:t>/п</w:t>
            </w:r>
          </w:p>
        </w:tc>
        <w:tc>
          <w:tcPr>
            <w:tcW w:w="48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BB2AFF" w:rsidRPr="004761E0" w:rsidRDefault="00BB2AFF" w:rsidP="00B13D17">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BB2AFF" w:rsidRPr="004761E0" w:rsidRDefault="00BB2AFF" w:rsidP="00B13D17">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BB2AFF" w:rsidRPr="004761E0" w:rsidRDefault="00BB2AFF" w:rsidP="00B13D17">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BB2AFF" w:rsidRPr="004761E0" w:rsidRDefault="00BB2AFF" w:rsidP="00B13D17">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BB2AFF" w:rsidRPr="004761E0" w:rsidRDefault="00BB2AFF" w:rsidP="00B13D17">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BB2AFF" w:rsidRPr="004761E0" w:rsidTr="00B13D17">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BB2AFF" w:rsidRPr="004761E0" w:rsidRDefault="00BB2AFF" w:rsidP="007076A7">
            <w:pPr>
              <w:numPr>
                <w:ilvl w:val="0"/>
                <w:numId w:val="10"/>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tcPr>
          <w:p w:rsidR="00BB2AFF" w:rsidRPr="004761E0" w:rsidRDefault="00017C39" w:rsidP="00017C39">
            <w:pPr>
              <w:ind w:firstLine="0"/>
              <w:jc w:val="left"/>
              <w:rPr>
                <w:rFonts w:eastAsia="Times New Roman"/>
                <w:sz w:val="20"/>
                <w:szCs w:val="20"/>
                <w:lang w:eastAsia="ru-RU"/>
              </w:rPr>
            </w:pPr>
            <w:r>
              <w:rPr>
                <w:rFonts w:eastAsia="Times New Roman"/>
                <w:sz w:val="20"/>
                <w:szCs w:val="20"/>
                <w:lang w:eastAsia="ru-RU"/>
              </w:rPr>
              <w:t xml:space="preserve">Доля </w:t>
            </w:r>
            <w:r w:rsidR="00BB2AFF" w:rsidRPr="004761E0">
              <w:rPr>
                <w:rFonts w:eastAsia="Times New Roman"/>
                <w:sz w:val="20"/>
                <w:szCs w:val="20"/>
                <w:lang w:eastAsia="ru-RU"/>
              </w:rPr>
              <w:t xml:space="preserve">полезного отпуска </w:t>
            </w:r>
            <w:r w:rsidR="0008080E">
              <w:rPr>
                <w:rFonts w:eastAsia="Times New Roman"/>
                <w:sz w:val="20"/>
                <w:szCs w:val="20"/>
                <w:lang w:eastAsia="ru-RU"/>
              </w:rPr>
              <w:t>ОАО </w:t>
            </w:r>
            <w:r w:rsidR="00BB2AFF" w:rsidRPr="004761E0">
              <w:rPr>
                <w:rFonts w:eastAsia="Times New Roman"/>
                <w:sz w:val="20"/>
                <w:szCs w:val="20"/>
                <w:lang w:eastAsia="ru-RU"/>
              </w:rPr>
              <w:t>«МОЭСК» в полезном отпуске «котловом» Московского региона, %</w:t>
            </w:r>
          </w:p>
        </w:tc>
        <w:tc>
          <w:tcPr>
            <w:tcW w:w="1134" w:type="dxa"/>
            <w:tcBorders>
              <w:top w:val="nil"/>
              <w:left w:val="nil"/>
              <w:bottom w:val="single" w:sz="4" w:space="0" w:color="auto"/>
              <w:right w:val="single" w:sz="4" w:space="0" w:color="auto"/>
            </w:tcBorders>
            <w:shd w:val="clear" w:color="auto" w:fill="auto"/>
            <w:vAlign w:val="center"/>
          </w:tcPr>
          <w:p w:rsidR="00BB2AFF" w:rsidRPr="004761E0" w:rsidRDefault="00BB2AFF" w:rsidP="00B13D17">
            <w:pPr>
              <w:ind w:firstLine="0"/>
              <w:jc w:val="right"/>
              <w:rPr>
                <w:rFonts w:eastAsia="Times New Roman"/>
                <w:color w:val="000000"/>
                <w:sz w:val="20"/>
                <w:szCs w:val="20"/>
                <w:lang w:eastAsia="ru-RU"/>
              </w:rPr>
            </w:pPr>
            <w:r w:rsidRPr="004761E0">
              <w:rPr>
                <w:rFonts w:eastAsia="Times New Roman"/>
                <w:color w:val="000000"/>
                <w:sz w:val="20"/>
                <w:szCs w:val="20"/>
                <w:lang w:eastAsia="ru-RU"/>
              </w:rPr>
              <w:t>78,30</w:t>
            </w:r>
          </w:p>
        </w:tc>
        <w:tc>
          <w:tcPr>
            <w:tcW w:w="1134" w:type="dxa"/>
            <w:tcBorders>
              <w:top w:val="nil"/>
              <w:left w:val="nil"/>
              <w:bottom w:val="single" w:sz="4" w:space="0" w:color="auto"/>
              <w:right w:val="single" w:sz="4" w:space="0" w:color="auto"/>
            </w:tcBorders>
            <w:shd w:val="clear" w:color="auto" w:fill="auto"/>
            <w:vAlign w:val="center"/>
          </w:tcPr>
          <w:p w:rsidR="00BB2AFF" w:rsidRPr="004761E0" w:rsidRDefault="00BB2AFF" w:rsidP="00B13D17">
            <w:pPr>
              <w:ind w:firstLine="0"/>
              <w:jc w:val="right"/>
              <w:rPr>
                <w:rFonts w:eastAsia="Times New Roman"/>
                <w:color w:val="000000"/>
                <w:sz w:val="20"/>
                <w:szCs w:val="20"/>
                <w:lang w:eastAsia="ru-RU"/>
              </w:rPr>
            </w:pPr>
            <w:r w:rsidRPr="004761E0">
              <w:rPr>
                <w:rFonts w:eastAsia="Times New Roman"/>
                <w:color w:val="000000"/>
                <w:sz w:val="20"/>
                <w:szCs w:val="20"/>
                <w:lang w:eastAsia="ru-RU"/>
              </w:rPr>
              <w:t>75,02</w:t>
            </w:r>
          </w:p>
        </w:tc>
        <w:tc>
          <w:tcPr>
            <w:tcW w:w="1134" w:type="dxa"/>
            <w:tcBorders>
              <w:top w:val="nil"/>
              <w:left w:val="nil"/>
              <w:bottom w:val="single" w:sz="4" w:space="0" w:color="auto"/>
              <w:right w:val="single" w:sz="4" w:space="0" w:color="auto"/>
            </w:tcBorders>
            <w:shd w:val="clear" w:color="auto" w:fill="auto"/>
            <w:vAlign w:val="center"/>
          </w:tcPr>
          <w:p w:rsidR="00BB2AFF" w:rsidRPr="004761E0" w:rsidRDefault="00BB2AFF" w:rsidP="00B13D17">
            <w:pPr>
              <w:ind w:firstLine="0"/>
              <w:jc w:val="right"/>
              <w:rPr>
                <w:rFonts w:eastAsia="Times New Roman"/>
                <w:color w:val="000000"/>
                <w:sz w:val="20"/>
                <w:szCs w:val="20"/>
                <w:lang w:eastAsia="ru-RU"/>
              </w:rPr>
            </w:pPr>
            <w:r w:rsidRPr="004761E0">
              <w:rPr>
                <w:rFonts w:eastAsia="Times New Roman"/>
                <w:color w:val="000000"/>
                <w:sz w:val="20"/>
                <w:szCs w:val="20"/>
                <w:lang w:eastAsia="ru-RU"/>
              </w:rPr>
              <w:t>72,30</w:t>
            </w:r>
          </w:p>
        </w:tc>
        <w:tc>
          <w:tcPr>
            <w:tcW w:w="1134" w:type="dxa"/>
            <w:tcBorders>
              <w:top w:val="nil"/>
              <w:left w:val="nil"/>
              <w:bottom w:val="single" w:sz="4" w:space="0" w:color="auto"/>
              <w:right w:val="single" w:sz="4" w:space="0" w:color="auto"/>
            </w:tcBorders>
            <w:shd w:val="clear" w:color="auto" w:fill="auto"/>
            <w:vAlign w:val="center"/>
          </w:tcPr>
          <w:p w:rsidR="00BB2AFF" w:rsidRPr="004761E0" w:rsidRDefault="00BB2AFF" w:rsidP="00B13D17">
            <w:pPr>
              <w:ind w:firstLine="0"/>
              <w:jc w:val="right"/>
              <w:rPr>
                <w:color w:val="000000"/>
                <w:sz w:val="20"/>
                <w:szCs w:val="22"/>
              </w:rPr>
            </w:pPr>
            <w:r w:rsidRPr="004761E0">
              <w:rPr>
                <w:color w:val="000000"/>
                <w:sz w:val="20"/>
                <w:szCs w:val="22"/>
              </w:rPr>
              <w:t>-2,72 п.п.</w:t>
            </w:r>
          </w:p>
        </w:tc>
      </w:tr>
      <w:tr w:rsidR="00BB2AFF" w:rsidRPr="004761E0" w:rsidTr="00B13D17">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BB2AFF" w:rsidRPr="004761E0" w:rsidRDefault="00BB2AFF" w:rsidP="007076A7">
            <w:pPr>
              <w:numPr>
                <w:ilvl w:val="0"/>
                <w:numId w:val="10"/>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tcPr>
          <w:p w:rsidR="00BB2AFF" w:rsidRPr="004761E0" w:rsidRDefault="00C7702C" w:rsidP="00C7702C">
            <w:pPr>
              <w:ind w:firstLine="0"/>
              <w:jc w:val="left"/>
              <w:rPr>
                <w:rFonts w:eastAsia="Times New Roman"/>
                <w:color w:val="000000"/>
                <w:sz w:val="20"/>
                <w:szCs w:val="20"/>
                <w:lang w:eastAsia="ru-RU"/>
              </w:rPr>
            </w:pPr>
            <w:r>
              <w:rPr>
                <w:rFonts w:eastAsia="Times New Roman"/>
                <w:color w:val="000000"/>
                <w:sz w:val="20"/>
                <w:szCs w:val="20"/>
                <w:lang w:eastAsia="ru-RU"/>
              </w:rPr>
              <w:t xml:space="preserve">Доля </w:t>
            </w:r>
            <w:r w:rsidR="00017C39">
              <w:rPr>
                <w:rFonts w:eastAsia="Times New Roman"/>
                <w:color w:val="000000"/>
                <w:sz w:val="20"/>
                <w:szCs w:val="20"/>
                <w:lang w:eastAsia="ru-RU"/>
              </w:rPr>
              <w:t>НВВ</w:t>
            </w:r>
            <w:r>
              <w:rPr>
                <w:rFonts w:eastAsia="Times New Roman"/>
                <w:color w:val="000000"/>
                <w:sz w:val="20"/>
                <w:szCs w:val="20"/>
                <w:lang w:eastAsia="ru-RU"/>
              </w:rPr>
              <w:t xml:space="preserve"> ОАО «МОЭСК» в НВВ Московского региона</w:t>
            </w:r>
            <w:r w:rsidR="00BB2AFF" w:rsidRPr="004761E0">
              <w:rPr>
                <w:rFonts w:eastAsia="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tcPr>
          <w:p w:rsidR="00BB2AFF" w:rsidRPr="004761E0" w:rsidRDefault="00BB2AFF" w:rsidP="00B13D17">
            <w:pPr>
              <w:ind w:firstLine="0"/>
              <w:jc w:val="right"/>
              <w:rPr>
                <w:rFonts w:eastAsia="Times New Roman"/>
                <w:color w:val="000000"/>
                <w:sz w:val="20"/>
                <w:szCs w:val="20"/>
                <w:lang w:eastAsia="ru-RU"/>
              </w:rPr>
            </w:pPr>
            <w:r w:rsidRPr="004761E0">
              <w:rPr>
                <w:rFonts w:eastAsia="Times New Roman"/>
                <w:color w:val="000000"/>
                <w:sz w:val="20"/>
                <w:szCs w:val="20"/>
                <w:lang w:eastAsia="ru-RU"/>
              </w:rPr>
              <w:t>68,67</w:t>
            </w:r>
          </w:p>
        </w:tc>
        <w:tc>
          <w:tcPr>
            <w:tcW w:w="1134" w:type="dxa"/>
            <w:tcBorders>
              <w:top w:val="nil"/>
              <w:left w:val="nil"/>
              <w:bottom w:val="single" w:sz="4" w:space="0" w:color="auto"/>
              <w:right w:val="single" w:sz="4" w:space="0" w:color="auto"/>
            </w:tcBorders>
            <w:shd w:val="clear" w:color="auto" w:fill="auto"/>
            <w:vAlign w:val="center"/>
          </w:tcPr>
          <w:p w:rsidR="00BB2AFF" w:rsidRPr="004761E0" w:rsidRDefault="00BB2AFF" w:rsidP="00B13D17">
            <w:pPr>
              <w:ind w:firstLine="0"/>
              <w:jc w:val="right"/>
              <w:rPr>
                <w:rFonts w:eastAsia="Times New Roman"/>
                <w:color w:val="000000"/>
                <w:sz w:val="20"/>
                <w:szCs w:val="20"/>
                <w:lang w:eastAsia="ru-RU"/>
              </w:rPr>
            </w:pPr>
            <w:r w:rsidRPr="004761E0">
              <w:rPr>
                <w:rFonts w:eastAsia="Times New Roman"/>
                <w:color w:val="000000"/>
                <w:sz w:val="20"/>
                <w:szCs w:val="20"/>
                <w:lang w:eastAsia="ru-RU"/>
              </w:rPr>
              <w:t>75,22</w:t>
            </w:r>
          </w:p>
        </w:tc>
        <w:tc>
          <w:tcPr>
            <w:tcW w:w="1134" w:type="dxa"/>
            <w:tcBorders>
              <w:top w:val="nil"/>
              <w:left w:val="nil"/>
              <w:bottom w:val="single" w:sz="4" w:space="0" w:color="auto"/>
              <w:right w:val="single" w:sz="4" w:space="0" w:color="auto"/>
            </w:tcBorders>
            <w:shd w:val="clear" w:color="auto" w:fill="auto"/>
            <w:vAlign w:val="center"/>
          </w:tcPr>
          <w:p w:rsidR="00BB2AFF" w:rsidRPr="004761E0" w:rsidRDefault="00BB2AFF" w:rsidP="00B13D17">
            <w:pPr>
              <w:ind w:firstLine="0"/>
              <w:jc w:val="right"/>
              <w:rPr>
                <w:rFonts w:eastAsia="Times New Roman"/>
                <w:color w:val="000000"/>
                <w:sz w:val="20"/>
                <w:szCs w:val="20"/>
                <w:lang w:eastAsia="ru-RU"/>
              </w:rPr>
            </w:pPr>
            <w:r w:rsidRPr="004761E0">
              <w:rPr>
                <w:rFonts w:eastAsia="Times New Roman"/>
                <w:color w:val="000000"/>
                <w:sz w:val="20"/>
                <w:szCs w:val="20"/>
                <w:lang w:eastAsia="ru-RU"/>
              </w:rPr>
              <w:t>70,96</w:t>
            </w:r>
          </w:p>
        </w:tc>
        <w:tc>
          <w:tcPr>
            <w:tcW w:w="1134" w:type="dxa"/>
            <w:tcBorders>
              <w:top w:val="nil"/>
              <w:left w:val="nil"/>
              <w:bottom w:val="single" w:sz="4" w:space="0" w:color="auto"/>
              <w:right w:val="single" w:sz="4" w:space="0" w:color="auto"/>
            </w:tcBorders>
            <w:shd w:val="clear" w:color="auto" w:fill="auto"/>
            <w:vAlign w:val="center"/>
          </w:tcPr>
          <w:p w:rsidR="00BB2AFF" w:rsidRPr="004761E0" w:rsidRDefault="00BB2AFF" w:rsidP="00B13D17">
            <w:pPr>
              <w:ind w:firstLine="0"/>
              <w:jc w:val="right"/>
              <w:rPr>
                <w:color w:val="000000"/>
                <w:sz w:val="20"/>
                <w:szCs w:val="22"/>
              </w:rPr>
            </w:pPr>
            <w:r w:rsidRPr="004761E0">
              <w:rPr>
                <w:color w:val="000000"/>
                <w:sz w:val="20"/>
                <w:szCs w:val="22"/>
              </w:rPr>
              <w:t>-4,25 п.п.</w:t>
            </w:r>
          </w:p>
        </w:tc>
      </w:tr>
    </w:tbl>
    <w:p w:rsidR="00BB2AFF" w:rsidRPr="004761E0" w:rsidRDefault="00BB2AFF" w:rsidP="00BB2AFF">
      <w:pPr>
        <w:rPr>
          <w:lang w:eastAsia="ru-RU"/>
        </w:rPr>
      </w:pPr>
    </w:p>
    <w:p w:rsidR="00BB2AFF" w:rsidRPr="004761E0" w:rsidRDefault="00BB2AFF" w:rsidP="00BB2AFF">
      <w:pPr>
        <w:ind w:firstLine="0"/>
        <w:rPr>
          <w:lang w:eastAsia="ru-RU"/>
        </w:rPr>
      </w:pPr>
      <w:r w:rsidRPr="004761E0">
        <w:rPr>
          <w:noProof/>
          <w:lang w:eastAsia="ru-RU"/>
        </w:rPr>
        <w:drawing>
          <wp:inline distT="0" distB="0" distL="0" distR="0">
            <wp:extent cx="3084394" cy="3207224"/>
            <wp:effectExtent l="0" t="0" r="1905" b="0"/>
            <wp:docPr id="254"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4761E0">
        <w:rPr>
          <w:lang w:eastAsia="ru-RU"/>
        </w:rPr>
        <w:t xml:space="preserve"> </w:t>
      </w:r>
      <w:r w:rsidRPr="004761E0">
        <w:rPr>
          <w:noProof/>
          <w:lang w:eastAsia="ru-RU"/>
        </w:rPr>
        <w:drawing>
          <wp:inline distT="0" distB="0" distL="0" distR="0">
            <wp:extent cx="3084394" cy="3207224"/>
            <wp:effectExtent l="0" t="0" r="1905" b="0"/>
            <wp:docPr id="259"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7702C" w:rsidRPr="004761E0" w:rsidRDefault="00C7702C" w:rsidP="00C7702C">
      <w:pPr>
        <w:ind w:firstLine="567"/>
        <w:rPr>
          <w:sz w:val="26"/>
          <w:szCs w:val="26"/>
          <w:lang w:eastAsia="ru-RU"/>
        </w:rPr>
      </w:pPr>
      <w:r>
        <w:rPr>
          <w:sz w:val="26"/>
          <w:szCs w:val="26"/>
          <w:lang w:eastAsia="ru-RU"/>
        </w:rPr>
        <w:t>Аналогичные д</w:t>
      </w:r>
      <w:r w:rsidRPr="004761E0">
        <w:rPr>
          <w:sz w:val="26"/>
          <w:szCs w:val="26"/>
          <w:lang w:eastAsia="ru-RU"/>
        </w:rPr>
        <w:t xml:space="preserve">анные в разбивке на </w:t>
      </w:r>
      <w:proofErr w:type="gramStart"/>
      <w:r w:rsidRPr="004761E0">
        <w:rPr>
          <w:sz w:val="26"/>
          <w:szCs w:val="26"/>
          <w:lang w:eastAsia="ru-RU"/>
        </w:rPr>
        <w:t>г</w:t>
      </w:r>
      <w:proofErr w:type="gramEnd"/>
      <w:r w:rsidRPr="004761E0">
        <w:rPr>
          <w:sz w:val="26"/>
          <w:szCs w:val="26"/>
          <w:lang w:eastAsia="ru-RU"/>
        </w:rPr>
        <w:t>. Москву и Московскую область представлены в Приложении</w:t>
      </w:r>
      <w:r>
        <w:rPr>
          <w:sz w:val="26"/>
          <w:szCs w:val="26"/>
          <w:lang w:eastAsia="ru-RU"/>
        </w:rPr>
        <w:t xml:space="preserve"> 12.</w:t>
      </w:r>
      <w:r w:rsidR="003146BC">
        <w:rPr>
          <w:sz w:val="26"/>
          <w:szCs w:val="26"/>
          <w:lang w:eastAsia="ru-RU"/>
        </w:rPr>
        <w:t>1</w:t>
      </w:r>
      <w:r>
        <w:rPr>
          <w:sz w:val="26"/>
          <w:szCs w:val="26"/>
          <w:lang w:eastAsia="ru-RU"/>
        </w:rPr>
        <w:t>.</w:t>
      </w:r>
      <w:r w:rsidRPr="004761E0">
        <w:rPr>
          <w:sz w:val="26"/>
          <w:szCs w:val="26"/>
          <w:lang w:eastAsia="ru-RU"/>
        </w:rPr>
        <w:t xml:space="preserve"> к Годовому отчету.</w:t>
      </w:r>
    </w:p>
    <w:p w:rsidR="00BB2AFF" w:rsidRPr="004761E0" w:rsidRDefault="00BB2AFF" w:rsidP="00C7702C">
      <w:pPr>
        <w:ind w:firstLine="567"/>
        <w:rPr>
          <w:sz w:val="26"/>
          <w:szCs w:val="26"/>
          <w:lang w:eastAsia="ru-RU"/>
        </w:rPr>
      </w:pPr>
      <w:r w:rsidRPr="004761E0">
        <w:rPr>
          <w:rFonts w:eastAsia="Times New Roman"/>
          <w:color w:val="000000"/>
          <w:sz w:val="26"/>
          <w:szCs w:val="26"/>
          <w:lang w:eastAsia="ru-RU"/>
        </w:rPr>
        <w:t xml:space="preserve">Снижение доли рынка по </w:t>
      </w:r>
      <w:proofErr w:type="gramStart"/>
      <w:r w:rsidRPr="004761E0">
        <w:rPr>
          <w:rFonts w:eastAsia="Times New Roman"/>
          <w:color w:val="000000"/>
          <w:sz w:val="26"/>
          <w:szCs w:val="26"/>
          <w:lang w:eastAsia="ru-RU"/>
        </w:rPr>
        <w:t>г</w:t>
      </w:r>
      <w:proofErr w:type="gramEnd"/>
      <w:r w:rsidRPr="004761E0">
        <w:rPr>
          <w:rFonts w:eastAsia="Times New Roman"/>
          <w:color w:val="000000"/>
          <w:sz w:val="26"/>
          <w:szCs w:val="26"/>
          <w:lang w:eastAsia="ru-RU"/>
        </w:rPr>
        <w:t>. Москве обусловлено выходом на тарифное регулирование в 2013 году новых ТСО (</w:t>
      </w:r>
      <w:r w:rsidR="0008080E">
        <w:rPr>
          <w:rFonts w:eastAsia="Times New Roman"/>
          <w:color w:val="000000"/>
          <w:sz w:val="26"/>
          <w:szCs w:val="26"/>
          <w:lang w:eastAsia="ru-RU"/>
        </w:rPr>
        <w:t>ЗАО </w:t>
      </w:r>
      <w:r w:rsidRPr="004761E0">
        <w:rPr>
          <w:rFonts w:eastAsia="Times New Roman"/>
          <w:color w:val="000000"/>
          <w:sz w:val="26"/>
          <w:szCs w:val="26"/>
          <w:lang w:eastAsia="ru-RU"/>
        </w:rPr>
        <w:t xml:space="preserve">«Энергоинвест», </w:t>
      </w:r>
      <w:r w:rsidR="0008080E">
        <w:rPr>
          <w:rFonts w:eastAsia="Times New Roman"/>
          <w:color w:val="000000"/>
          <w:sz w:val="26"/>
          <w:szCs w:val="26"/>
          <w:lang w:eastAsia="ru-RU"/>
        </w:rPr>
        <w:t>ООО </w:t>
      </w:r>
      <w:r w:rsidRPr="004761E0">
        <w:rPr>
          <w:rFonts w:eastAsia="Times New Roman"/>
          <w:color w:val="000000"/>
          <w:sz w:val="26"/>
          <w:szCs w:val="26"/>
          <w:lang w:eastAsia="ru-RU"/>
        </w:rPr>
        <w:t>«СПЭЭ» и пр.)</w:t>
      </w:r>
      <w:r w:rsidR="00C7702C">
        <w:rPr>
          <w:rFonts w:eastAsia="Times New Roman"/>
          <w:color w:val="000000"/>
          <w:sz w:val="26"/>
          <w:szCs w:val="26"/>
          <w:lang w:eastAsia="ru-RU"/>
        </w:rPr>
        <w:t xml:space="preserve">, </w:t>
      </w:r>
      <w:r w:rsidRPr="004761E0">
        <w:rPr>
          <w:rFonts w:eastAsia="Times New Roman"/>
          <w:color w:val="000000"/>
          <w:sz w:val="26"/>
          <w:szCs w:val="26"/>
          <w:lang w:eastAsia="ru-RU"/>
        </w:rPr>
        <w:t>появлением новых потребителей у ТСО, действовавших в 2012 году (</w:t>
      </w:r>
      <w:r w:rsidR="0008080E">
        <w:rPr>
          <w:rFonts w:eastAsia="Times New Roman"/>
          <w:color w:val="000000"/>
          <w:sz w:val="26"/>
          <w:szCs w:val="26"/>
          <w:lang w:eastAsia="ru-RU"/>
        </w:rPr>
        <w:t>ООО </w:t>
      </w:r>
      <w:r w:rsidRPr="004761E0">
        <w:rPr>
          <w:rFonts w:eastAsia="Times New Roman"/>
          <w:color w:val="000000"/>
          <w:sz w:val="26"/>
          <w:szCs w:val="26"/>
          <w:lang w:eastAsia="ru-RU"/>
        </w:rPr>
        <w:t xml:space="preserve">«Каскад-Энергосеть», </w:t>
      </w:r>
      <w:r w:rsidR="0008080E">
        <w:rPr>
          <w:rFonts w:eastAsia="Times New Roman"/>
          <w:color w:val="000000"/>
          <w:sz w:val="26"/>
          <w:szCs w:val="26"/>
          <w:lang w:eastAsia="ru-RU"/>
        </w:rPr>
        <w:t>ООО </w:t>
      </w:r>
      <w:r w:rsidRPr="004761E0">
        <w:rPr>
          <w:rFonts w:eastAsia="Times New Roman"/>
          <w:color w:val="000000"/>
          <w:sz w:val="26"/>
          <w:szCs w:val="26"/>
          <w:lang w:eastAsia="ru-RU"/>
        </w:rPr>
        <w:t xml:space="preserve">«Сетьэнерготранс», </w:t>
      </w:r>
      <w:r w:rsidR="0008080E">
        <w:rPr>
          <w:rFonts w:eastAsia="Times New Roman"/>
          <w:color w:val="000000"/>
          <w:sz w:val="26"/>
          <w:szCs w:val="26"/>
          <w:lang w:eastAsia="ru-RU"/>
        </w:rPr>
        <w:t>ООО </w:t>
      </w:r>
      <w:r w:rsidRPr="004761E0">
        <w:rPr>
          <w:rFonts w:eastAsia="Times New Roman"/>
          <w:color w:val="000000"/>
          <w:sz w:val="26"/>
          <w:szCs w:val="26"/>
          <w:lang w:eastAsia="ru-RU"/>
        </w:rPr>
        <w:t>«Энергии Технологии» и т.д.).</w:t>
      </w:r>
    </w:p>
    <w:p w:rsidR="00BB2AFF" w:rsidRPr="004761E0" w:rsidRDefault="00BB2AFF" w:rsidP="00BB2AFF">
      <w:pPr>
        <w:pStyle w:val="a5"/>
        <w:ind w:left="0" w:firstLine="567"/>
        <w:rPr>
          <w:rFonts w:eastAsia="Times New Roman"/>
          <w:color w:val="000000"/>
          <w:sz w:val="26"/>
          <w:szCs w:val="26"/>
          <w:lang w:eastAsia="ru-RU"/>
        </w:rPr>
      </w:pPr>
      <w:r w:rsidRPr="004761E0">
        <w:rPr>
          <w:rFonts w:eastAsia="Times New Roman"/>
          <w:color w:val="000000"/>
          <w:sz w:val="26"/>
          <w:szCs w:val="26"/>
          <w:lang w:eastAsia="ru-RU"/>
        </w:rPr>
        <w:t xml:space="preserve">Снижение доли рынка по Московской области связано с разделением в 2013 году функций ряда оптовых покупателей-перепродавцов и образованием на их основе новых </w:t>
      </w:r>
      <w:r w:rsidRPr="004761E0">
        <w:rPr>
          <w:rFonts w:eastAsia="Times New Roman"/>
          <w:color w:val="000000"/>
          <w:sz w:val="26"/>
          <w:szCs w:val="26"/>
          <w:lang w:eastAsia="ru-RU"/>
        </w:rPr>
        <w:lastRenderedPageBreak/>
        <w:t xml:space="preserve">ТСО (МП «Звенигородская электросеть», МУП «Коломенская электросеть», </w:t>
      </w:r>
      <w:r w:rsidR="0008080E">
        <w:rPr>
          <w:rFonts w:eastAsia="Times New Roman"/>
          <w:color w:val="000000"/>
          <w:sz w:val="26"/>
          <w:szCs w:val="26"/>
          <w:lang w:eastAsia="ru-RU"/>
        </w:rPr>
        <w:t>ОАО </w:t>
      </w:r>
      <w:r w:rsidRPr="004761E0">
        <w:rPr>
          <w:rFonts w:eastAsia="Times New Roman"/>
          <w:color w:val="000000"/>
          <w:sz w:val="26"/>
          <w:szCs w:val="26"/>
          <w:lang w:eastAsia="ru-RU"/>
        </w:rPr>
        <w:t>«Химкинская электросеть»).</w:t>
      </w:r>
    </w:p>
    <w:p w:rsidR="00BB2AFF" w:rsidRPr="00F842E0" w:rsidRDefault="00BB2AFF" w:rsidP="00F842E0">
      <w:pPr>
        <w:spacing w:before="120" w:after="120"/>
        <w:ind w:firstLine="567"/>
        <w:rPr>
          <w:b/>
          <w:sz w:val="26"/>
          <w:szCs w:val="26"/>
          <w:lang w:eastAsia="ru-RU"/>
        </w:rPr>
      </w:pPr>
      <w:r w:rsidRPr="00F842E0">
        <w:rPr>
          <w:b/>
          <w:sz w:val="26"/>
          <w:szCs w:val="26"/>
          <w:lang w:eastAsia="ru-RU"/>
        </w:rPr>
        <w:t xml:space="preserve">История развития </w:t>
      </w:r>
    </w:p>
    <w:tbl>
      <w:tblPr>
        <w:tblStyle w:val="ae"/>
        <w:tblW w:w="0" w:type="auto"/>
        <w:tblInd w:w="108" w:type="dxa"/>
        <w:tblLook w:val="04A0"/>
      </w:tblPr>
      <w:tblGrid>
        <w:gridCol w:w="564"/>
        <w:gridCol w:w="1116"/>
        <w:gridCol w:w="8350"/>
      </w:tblGrid>
      <w:tr w:rsidR="00BB2AFF" w:rsidRPr="004761E0" w:rsidTr="00B13D17">
        <w:tc>
          <w:tcPr>
            <w:tcW w:w="567" w:type="dxa"/>
            <w:tcBorders>
              <w:right w:val="single" w:sz="4" w:space="0" w:color="FFFFFF" w:themeColor="background1"/>
            </w:tcBorders>
            <w:shd w:val="clear" w:color="auto" w:fill="0F243E" w:themeFill="text2" w:themeFillShade="80"/>
            <w:vAlign w:val="center"/>
          </w:tcPr>
          <w:p w:rsidR="00BB2AFF" w:rsidRPr="004761E0" w:rsidRDefault="00BB2AFF" w:rsidP="00B13D17">
            <w:pPr>
              <w:ind w:firstLine="0"/>
              <w:jc w:val="left"/>
              <w:rPr>
                <w:b/>
                <w:color w:val="FFFFFF" w:themeColor="background1"/>
                <w:sz w:val="20"/>
                <w:lang w:eastAsia="ru-RU"/>
              </w:rPr>
            </w:pPr>
            <w:r w:rsidRPr="004761E0">
              <w:rPr>
                <w:b/>
                <w:color w:val="FFFFFF" w:themeColor="background1"/>
                <w:sz w:val="20"/>
                <w:lang w:eastAsia="ru-RU"/>
              </w:rPr>
              <w:t xml:space="preserve">№ </w:t>
            </w:r>
            <w:proofErr w:type="gramStart"/>
            <w:r w:rsidRPr="004761E0">
              <w:rPr>
                <w:b/>
                <w:color w:val="FFFFFF" w:themeColor="background1"/>
                <w:sz w:val="20"/>
                <w:lang w:eastAsia="ru-RU"/>
              </w:rPr>
              <w:t>п</w:t>
            </w:r>
            <w:proofErr w:type="gramEnd"/>
            <w:r w:rsidRPr="004761E0">
              <w:rPr>
                <w:b/>
                <w:color w:val="FFFFFF" w:themeColor="background1"/>
                <w:sz w:val="20"/>
                <w:lang w:eastAsia="ru-RU"/>
              </w:rPr>
              <w:t xml:space="preserve">/п </w:t>
            </w:r>
          </w:p>
        </w:tc>
        <w:tc>
          <w:tcPr>
            <w:tcW w:w="851" w:type="dxa"/>
            <w:tcBorders>
              <w:left w:val="single" w:sz="4" w:space="0" w:color="FFFFFF" w:themeColor="background1"/>
              <w:right w:val="single" w:sz="4" w:space="0" w:color="FFFFFF" w:themeColor="background1"/>
            </w:tcBorders>
            <w:shd w:val="clear" w:color="auto" w:fill="0F243E" w:themeFill="text2" w:themeFillShade="80"/>
            <w:vAlign w:val="center"/>
          </w:tcPr>
          <w:p w:rsidR="00BB2AFF" w:rsidRPr="004761E0" w:rsidRDefault="00BB2AFF" w:rsidP="00B13D17">
            <w:pPr>
              <w:ind w:firstLine="0"/>
              <w:jc w:val="left"/>
              <w:rPr>
                <w:b/>
                <w:color w:val="FFFFFF" w:themeColor="background1"/>
                <w:sz w:val="20"/>
                <w:lang w:eastAsia="ru-RU"/>
              </w:rPr>
            </w:pPr>
            <w:r w:rsidRPr="004761E0">
              <w:rPr>
                <w:b/>
                <w:color w:val="FFFFFF" w:themeColor="background1"/>
                <w:sz w:val="20"/>
                <w:lang w:eastAsia="ru-RU"/>
              </w:rPr>
              <w:t>Год</w:t>
            </w:r>
          </w:p>
        </w:tc>
        <w:tc>
          <w:tcPr>
            <w:tcW w:w="8612" w:type="dxa"/>
            <w:tcBorders>
              <w:left w:val="single" w:sz="4" w:space="0" w:color="FFFFFF" w:themeColor="background1"/>
            </w:tcBorders>
            <w:shd w:val="clear" w:color="auto" w:fill="0F243E" w:themeFill="text2" w:themeFillShade="80"/>
            <w:vAlign w:val="center"/>
          </w:tcPr>
          <w:p w:rsidR="00BB2AFF" w:rsidRPr="004761E0" w:rsidRDefault="00BB2AFF" w:rsidP="00B13D17">
            <w:pPr>
              <w:ind w:firstLine="0"/>
              <w:jc w:val="left"/>
              <w:rPr>
                <w:b/>
                <w:color w:val="FFFFFF" w:themeColor="background1"/>
                <w:sz w:val="20"/>
                <w:lang w:eastAsia="ru-RU"/>
              </w:rPr>
            </w:pPr>
            <w:r w:rsidRPr="004761E0">
              <w:rPr>
                <w:b/>
                <w:color w:val="FFFFFF" w:themeColor="background1"/>
                <w:sz w:val="20"/>
                <w:lang w:eastAsia="ru-RU"/>
              </w:rPr>
              <w:t>Событие</w:t>
            </w:r>
          </w:p>
        </w:tc>
      </w:tr>
      <w:tr w:rsidR="00BB2AFF" w:rsidRPr="004761E0" w:rsidTr="00B13D17">
        <w:tc>
          <w:tcPr>
            <w:tcW w:w="567" w:type="dxa"/>
          </w:tcPr>
          <w:p w:rsidR="00BB2AFF" w:rsidRPr="004761E0" w:rsidRDefault="00BB2AFF" w:rsidP="007076A7">
            <w:pPr>
              <w:pStyle w:val="a5"/>
              <w:numPr>
                <w:ilvl w:val="0"/>
                <w:numId w:val="257"/>
              </w:numPr>
              <w:rPr>
                <w:sz w:val="20"/>
                <w:lang w:eastAsia="ru-RU"/>
              </w:rPr>
            </w:pPr>
          </w:p>
        </w:tc>
        <w:tc>
          <w:tcPr>
            <w:tcW w:w="851" w:type="dxa"/>
          </w:tcPr>
          <w:p w:rsidR="00BB2AFF" w:rsidRPr="004761E0" w:rsidRDefault="00BB2AFF" w:rsidP="00B13D17">
            <w:pPr>
              <w:ind w:firstLine="0"/>
              <w:rPr>
                <w:sz w:val="20"/>
                <w:lang w:eastAsia="ru-RU"/>
              </w:rPr>
            </w:pPr>
            <w:r w:rsidRPr="004761E0">
              <w:rPr>
                <w:sz w:val="20"/>
                <w:lang w:eastAsia="ru-RU"/>
              </w:rPr>
              <w:t>11.07.2001</w:t>
            </w:r>
          </w:p>
        </w:tc>
        <w:tc>
          <w:tcPr>
            <w:tcW w:w="8612" w:type="dxa"/>
          </w:tcPr>
          <w:p w:rsidR="00BB2AFF" w:rsidRPr="004761E0" w:rsidRDefault="00BB2AFF" w:rsidP="00B13D17">
            <w:pPr>
              <w:ind w:firstLine="0"/>
              <w:rPr>
                <w:sz w:val="20"/>
                <w:lang w:eastAsia="ru-RU"/>
              </w:rPr>
            </w:pPr>
            <w:r w:rsidRPr="004761E0">
              <w:rPr>
                <w:sz w:val="20"/>
                <w:lang w:eastAsia="ru-RU"/>
              </w:rPr>
              <w:t xml:space="preserve">Начало реформирования </w:t>
            </w:r>
            <w:r w:rsidR="0008080E">
              <w:rPr>
                <w:sz w:val="20"/>
                <w:lang w:eastAsia="ru-RU"/>
              </w:rPr>
              <w:t>ОАО </w:t>
            </w:r>
            <w:r w:rsidRPr="004761E0">
              <w:rPr>
                <w:sz w:val="20"/>
                <w:lang w:eastAsia="ru-RU"/>
              </w:rPr>
              <w:t>«РАО ЕЭС России»</w:t>
            </w:r>
            <w:r w:rsidRPr="006F4AB8">
              <w:rPr>
                <w:rStyle w:val="af1"/>
              </w:rPr>
              <w:footnoteReference w:id="2"/>
            </w:r>
            <w:r w:rsidRPr="004761E0">
              <w:rPr>
                <w:sz w:val="20"/>
                <w:lang w:eastAsia="ru-RU"/>
              </w:rPr>
              <w:t>.</w:t>
            </w:r>
          </w:p>
        </w:tc>
      </w:tr>
      <w:tr w:rsidR="00BB2AFF" w:rsidRPr="004761E0" w:rsidTr="00B13D17">
        <w:tc>
          <w:tcPr>
            <w:tcW w:w="567" w:type="dxa"/>
          </w:tcPr>
          <w:p w:rsidR="00BB2AFF" w:rsidRPr="004761E0" w:rsidRDefault="00BB2AFF" w:rsidP="007076A7">
            <w:pPr>
              <w:pStyle w:val="a5"/>
              <w:numPr>
                <w:ilvl w:val="0"/>
                <w:numId w:val="257"/>
              </w:numPr>
              <w:rPr>
                <w:sz w:val="20"/>
                <w:lang w:eastAsia="ru-RU"/>
              </w:rPr>
            </w:pPr>
          </w:p>
        </w:tc>
        <w:tc>
          <w:tcPr>
            <w:tcW w:w="851" w:type="dxa"/>
          </w:tcPr>
          <w:p w:rsidR="00BB2AFF" w:rsidRPr="004761E0" w:rsidRDefault="00BB2AFF" w:rsidP="00B13D17">
            <w:pPr>
              <w:ind w:firstLine="0"/>
              <w:rPr>
                <w:sz w:val="20"/>
                <w:lang w:eastAsia="ru-RU"/>
              </w:rPr>
            </w:pPr>
            <w:r w:rsidRPr="004761E0">
              <w:rPr>
                <w:sz w:val="20"/>
                <w:lang w:eastAsia="ru-RU"/>
              </w:rPr>
              <w:t>28.06.2004</w:t>
            </w:r>
          </w:p>
        </w:tc>
        <w:tc>
          <w:tcPr>
            <w:tcW w:w="8612" w:type="dxa"/>
          </w:tcPr>
          <w:p w:rsidR="00BB2AFF" w:rsidRPr="004761E0" w:rsidRDefault="00BB2AFF" w:rsidP="00B13D17">
            <w:pPr>
              <w:ind w:firstLine="0"/>
              <w:rPr>
                <w:sz w:val="20"/>
                <w:lang w:eastAsia="ru-RU"/>
              </w:rPr>
            </w:pPr>
            <w:r w:rsidRPr="004761E0">
              <w:rPr>
                <w:sz w:val="20"/>
                <w:lang w:eastAsia="ru-RU"/>
              </w:rPr>
              <w:t xml:space="preserve">Принято решение о реорганизации </w:t>
            </w:r>
            <w:r w:rsidR="0008080E">
              <w:rPr>
                <w:sz w:val="20"/>
                <w:lang w:eastAsia="ru-RU"/>
              </w:rPr>
              <w:t>ОАО </w:t>
            </w:r>
            <w:r w:rsidRPr="004761E0">
              <w:rPr>
                <w:sz w:val="20"/>
                <w:lang w:eastAsia="ru-RU"/>
              </w:rPr>
              <w:t xml:space="preserve">«Мосэнерго» в форме выделения и о создании новых обществ, в т.ч. </w:t>
            </w:r>
            <w:r w:rsidR="0008080E">
              <w:rPr>
                <w:sz w:val="20"/>
                <w:lang w:eastAsia="ru-RU"/>
              </w:rPr>
              <w:t>ОАО </w:t>
            </w:r>
            <w:r w:rsidRPr="004761E0">
              <w:rPr>
                <w:sz w:val="20"/>
                <w:lang w:eastAsia="ru-RU"/>
              </w:rPr>
              <w:t>«Московская областная электросетевая компания».</w:t>
            </w:r>
          </w:p>
        </w:tc>
      </w:tr>
      <w:tr w:rsidR="00BB2AFF" w:rsidRPr="004761E0" w:rsidTr="00B13D17">
        <w:tc>
          <w:tcPr>
            <w:tcW w:w="567" w:type="dxa"/>
          </w:tcPr>
          <w:p w:rsidR="00BB2AFF" w:rsidRPr="004761E0" w:rsidRDefault="00BB2AFF" w:rsidP="007076A7">
            <w:pPr>
              <w:pStyle w:val="a5"/>
              <w:numPr>
                <w:ilvl w:val="0"/>
                <w:numId w:val="257"/>
              </w:numPr>
              <w:rPr>
                <w:sz w:val="20"/>
                <w:lang w:eastAsia="ru-RU"/>
              </w:rPr>
            </w:pPr>
          </w:p>
        </w:tc>
        <w:tc>
          <w:tcPr>
            <w:tcW w:w="851" w:type="dxa"/>
          </w:tcPr>
          <w:p w:rsidR="00BB2AFF" w:rsidRPr="004761E0" w:rsidRDefault="00BB2AFF" w:rsidP="00B13D17">
            <w:pPr>
              <w:ind w:firstLine="0"/>
              <w:rPr>
                <w:sz w:val="20"/>
                <w:lang w:eastAsia="ru-RU"/>
              </w:rPr>
            </w:pPr>
            <w:r w:rsidRPr="004761E0">
              <w:rPr>
                <w:sz w:val="20"/>
                <w:lang w:eastAsia="ru-RU"/>
              </w:rPr>
              <w:t>01.04.2005</w:t>
            </w:r>
          </w:p>
        </w:tc>
        <w:tc>
          <w:tcPr>
            <w:tcW w:w="8612" w:type="dxa"/>
          </w:tcPr>
          <w:p w:rsidR="00BB2AFF" w:rsidRPr="004761E0" w:rsidRDefault="00BB2AFF" w:rsidP="00B13D17">
            <w:pPr>
              <w:ind w:firstLine="0"/>
              <w:rPr>
                <w:sz w:val="20"/>
                <w:lang w:eastAsia="ru-RU"/>
              </w:rPr>
            </w:pPr>
            <w:r w:rsidRPr="004761E0">
              <w:rPr>
                <w:sz w:val="20"/>
                <w:lang w:eastAsia="ru-RU"/>
              </w:rPr>
              <w:t xml:space="preserve">Создано </w:t>
            </w:r>
            <w:r w:rsidR="0008080E">
              <w:rPr>
                <w:sz w:val="20"/>
                <w:lang w:eastAsia="ru-RU"/>
              </w:rPr>
              <w:t>ОАО </w:t>
            </w:r>
            <w:r w:rsidRPr="004761E0">
              <w:rPr>
                <w:sz w:val="20"/>
                <w:lang w:eastAsia="ru-RU"/>
              </w:rPr>
              <w:t xml:space="preserve">«Московская областная электросетевая компания» путем выделения из </w:t>
            </w:r>
            <w:r w:rsidR="0008080E">
              <w:rPr>
                <w:sz w:val="20"/>
                <w:lang w:eastAsia="ru-RU"/>
              </w:rPr>
              <w:t>ОАО </w:t>
            </w:r>
            <w:r w:rsidRPr="004761E0">
              <w:rPr>
                <w:sz w:val="20"/>
                <w:lang w:eastAsia="ru-RU"/>
              </w:rPr>
              <w:t>«Мосэнерго».</w:t>
            </w:r>
          </w:p>
        </w:tc>
      </w:tr>
      <w:tr w:rsidR="00BB2AFF" w:rsidRPr="004761E0" w:rsidTr="00B13D17">
        <w:tc>
          <w:tcPr>
            <w:tcW w:w="567" w:type="dxa"/>
          </w:tcPr>
          <w:p w:rsidR="00BB2AFF" w:rsidRPr="004761E0" w:rsidRDefault="00BB2AFF" w:rsidP="007076A7">
            <w:pPr>
              <w:pStyle w:val="a5"/>
              <w:numPr>
                <w:ilvl w:val="0"/>
                <w:numId w:val="257"/>
              </w:numPr>
              <w:rPr>
                <w:sz w:val="20"/>
                <w:lang w:eastAsia="ru-RU"/>
              </w:rPr>
            </w:pPr>
          </w:p>
        </w:tc>
        <w:tc>
          <w:tcPr>
            <w:tcW w:w="851" w:type="dxa"/>
          </w:tcPr>
          <w:p w:rsidR="00BB2AFF" w:rsidRPr="004761E0" w:rsidRDefault="00BB2AFF" w:rsidP="00B13D17">
            <w:pPr>
              <w:ind w:firstLine="0"/>
              <w:rPr>
                <w:sz w:val="20"/>
                <w:lang w:eastAsia="ru-RU"/>
              </w:rPr>
            </w:pPr>
            <w:r w:rsidRPr="004761E0">
              <w:rPr>
                <w:sz w:val="20"/>
                <w:lang w:eastAsia="ru-RU"/>
              </w:rPr>
              <w:t>04.04.2005</w:t>
            </w:r>
          </w:p>
        </w:tc>
        <w:tc>
          <w:tcPr>
            <w:tcW w:w="8612" w:type="dxa"/>
          </w:tcPr>
          <w:p w:rsidR="00BB2AFF" w:rsidRPr="004761E0" w:rsidRDefault="00BB2AFF" w:rsidP="00B13D17">
            <w:pPr>
              <w:ind w:firstLine="0"/>
              <w:rPr>
                <w:sz w:val="20"/>
                <w:lang w:eastAsia="ru-RU"/>
              </w:rPr>
            </w:pPr>
            <w:r w:rsidRPr="004761E0">
              <w:rPr>
                <w:sz w:val="20"/>
                <w:lang w:eastAsia="ru-RU"/>
              </w:rPr>
              <w:t>Созданы филиалы Южные электрические сети, Восточные электрические сети, Октябрьские электрические сети, Северные электрические сети, Ногинские электрические сети,</w:t>
            </w:r>
          </w:p>
          <w:p w:rsidR="00BB2AFF" w:rsidRPr="004761E0" w:rsidRDefault="00BB2AFF" w:rsidP="00B13D17">
            <w:pPr>
              <w:ind w:firstLine="0"/>
              <w:rPr>
                <w:sz w:val="20"/>
                <w:lang w:eastAsia="ru-RU"/>
              </w:rPr>
            </w:pPr>
            <w:r w:rsidRPr="004761E0">
              <w:rPr>
                <w:sz w:val="20"/>
                <w:lang w:eastAsia="ru-RU"/>
              </w:rPr>
              <w:t xml:space="preserve">Подольские электрические сети, Коломенские электрические сети, </w:t>
            </w:r>
          </w:p>
          <w:p w:rsidR="00BB2AFF" w:rsidRPr="004761E0" w:rsidRDefault="00BB2AFF" w:rsidP="00B13D17">
            <w:pPr>
              <w:ind w:firstLine="0"/>
              <w:rPr>
                <w:sz w:val="20"/>
                <w:lang w:eastAsia="ru-RU"/>
              </w:rPr>
            </w:pPr>
            <w:r w:rsidRPr="004761E0">
              <w:rPr>
                <w:sz w:val="20"/>
                <w:lang w:eastAsia="ru-RU"/>
              </w:rPr>
              <w:t>Шатурские электрические сети, Западные электрические сети, Каширские электрические сети, Можайские электрические сети, Дмитровские электрические сети, Волоколамские электрические сети, Москабельэнергоремонт, Завод по ремонту электротехнического оборудования, Москабельсетьмонтаж, Высоковольтные кабельные сети, Магистральные электрические сети.</w:t>
            </w:r>
          </w:p>
        </w:tc>
      </w:tr>
      <w:tr w:rsidR="00BB2AFF" w:rsidRPr="004761E0" w:rsidTr="00B13D17">
        <w:tc>
          <w:tcPr>
            <w:tcW w:w="567" w:type="dxa"/>
          </w:tcPr>
          <w:p w:rsidR="00BB2AFF" w:rsidRPr="004761E0" w:rsidRDefault="00BB2AFF" w:rsidP="007076A7">
            <w:pPr>
              <w:pStyle w:val="a5"/>
              <w:numPr>
                <w:ilvl w:val="0"/>
                <w:numId w:val="257"/>
              </w:numPr>
              <w:rPr>
                <w:sz w:val="20"/>
                <w:lang w:eastAsia="ru-RU"/>
              </w:rPr>
            </w:pPr>
          </w:p>
        </w:tc>
        <w:tc>
          <w:tcPr>
            <w:tcW w:w="851" w:type="dxa"/>
          </w:tcPr>
          <w:p w:rsidR="00BB2AFF" w:rsidRPr="004761E0" w:rsidRDefault="00BB2AFF" w:rsidP="00B13D17">
            <w:pPr>
              <w:ind w:firstLine="0"/>
              <w:rPr>
                <w:sz w:val="20"/>
                <w:lang w:eastAsia="ru-RU"/>
              </w:rPr>
            </w:pPr>
            <w:r w:rsidRPr="004761E0">
              <w:rPr>
                <w:sz w:val="20"/>
                <w:lang w:eastAsia="ru-RU"/>
              </w:rPr>
              <w:t>20.09.2005</w:t>
            </w:r>
          </w:p>
        </w:tc>
        <w:tc>
          <w:tcPr>
            <w:tcW w:w="8612" w:type="dxa"/>
          </w:tcPr>
          <w:p w:rsidR="00BB2AFF" w:rsidRPr="004761E0" w:rsidRDefault="00BB2AFF" w:rsidP="00B13D17">
            <w:pPr>
              <w:ind w:firstLine="0"/>
              <w:rPr>
                <w:sz w:val="20"/>
                <w:lang w:eastAsia="ru-RU"/>
              </w:rPr>
            </w:pPr>
            <w:r w:rsidRPr="004761E0">
              <w:rPr>
                <w:sz w:val="20"/>
                <w:lang w:eastAsia="ru-RU"/>
              </w:rPr>
              <w:t>Ликвидирован филиал Магистральные электрические сети.</w:t>
            </w:r>
          </w:p>
        </w:tc>
      </w:tr>
      <w:tr w:rsidR="00BB2AFF" w:rsidRPr="004761E0" w:rsidTr="00B13D17">
        <w:tc>
          <w:tcPr>
            <w:tcW w:w="567" w:type="dxa"/>
          </w:tcPr>
          <w:p w:rsidR="00BB2AFF" w:rsidRPr="004761E0" w:rsidRDefault="00BB2AFF" w:rsidP="007076A7">
            <w:pPr>
              <w:pStyle w:val="a5"/>
              <w:numPr>
                <w:ilvl w:val="0"/>
                <w:numId w:val="257"/>
              </w:numPr>
              <w:rPr>
                <w:sz w:val="20"/>
                <w:lang w:eastAsia="ru-RU"/>
              </w:rPr>
            </w:pPr>
          </w:p>
        </w:tc>
        <w:tc>
          <w:tcPr>
            <w:tcW w:w="851" w:type="dxa"/>
          </w:tcPr>
          <w:p w:rsidR="00BB2AFF" w:rsidRPr="004761E0" w:rsidRDefault="00BB2AFF" w:rsidP="00B13D17">
            <w:pPr>
              <w:ind w:firstLine="0"/>
              <w:rPr>
                <w:sz w:val="20"/>
                <w:lang w:eastAsia="ru-RU"/>
              </w:rPr>
            </w:pPr>
            <w:r w:rsidRPr="004761E0">
              <w:rPr>
                <w:sz w:val="20"/>
                <w:lang w:eastAsia="ru-RU"/>
              </w:rPr>
              <w:t>26.06.2006</w:t>
            </w:r>
          </w:p>
        </w:tc>
        <w:tc>
          <w:tcPr>
            <w:tcW w:w="8612" w:type="dxa"/>
          </w:tcPr>
          <w:p w:rsidR="00BB2AFF" w:rsidRPr="004761E0" w:rsidRDefault="0008080E" w:rsidP="00B13D17">
            <w:pPr>
              <w:ind w:firstLine="0"/>
              <w:rPr>
                <w:sz w:val="20"/>
                <w:lang w:eastAsia="ru-RU"/>
              </w:rPr>
            </w:pPr>
            <w:r>
              <w:rPr>
                <w:sz w:val="20"/>
                <w:lang w:eastAsia="ru-RU"/>
              </w:rPr>
              <w:t>ОАО </w:t>
            </w:r>
            <w:r w:rsidR="00BB2AFF" w:rsidRPr="004761E0">
              <w:rPr>
                <w:sz w:val="20"/>
                <w:lang w:eastAsia="ru-RU"/>
              </w:rPr>
              <w:t xml:space="preserve">«Московская областная электросетевая компания» переименовано в </w:t>
            </w:r>
            <w:r>
              <w:rPr>
                <w:sz w:val="20"/>
                <w:lang w:eastAsia="ru-RU"/>
              </w:rPr>
              <w:t>ОАО </w:t>
            </w:r>
            <w:r w:rsidR="00BB2AFF" w:rsidRPr="004761E0">
              <w:rPr>
                <w:sz w:val="20"/>
                <w:lang w:eastAsia="ru-RU"/>
              </w:rPr>
              <w:t>«Московская объединенная электросетевая компания».</w:t>
            </w:r>
          </w:p>
        </w:tc>
      </w:tr>
      <w:tr w:rsidR="00BB2AFF" w:rsidRPr="004761E0" w:rsidTr="00B13D17">
        <w:tc>
          <w:tcPr>
            <w:tcW w:w="567" w:type="dxa"/>
          </w:tcPr>
          <w:p w:rsidR="00BB2AFF" w:rsidRPr="004761E0" w:rsidRDefault="00BB2AFF" w:rsidP="007076A7">
            <w:pPr>
              <w:pStyle w:val="a5"/>
              <w:numPr>
                <w:ilvl w:val="0"/>
                <w:numId w:val="257"/>
              </w:numPr>
              <w:rPr>
                <w:sz w:val="20"/>
                <w:lang w:eastAsia="ru-RU"/>
              </w:rPr>
            </w:pPr>
          </w:p>
        </w:tc>
        <w:tc>
          <w:tcPr>
            <w:tcW w:w="851" w:type="dxa"/>
          </w:tcPr>
          <w:p w:rsidR="00BB2AFF" w:rsidRPr="004761E0" w:rsidRDefault="00BB2AFF" w:rsidP="00B13D17">
            <w:pPr>
              <w:tabs>
                <w:tab w:val="left" w:pos="837"/>
              </w:tabs>
              <w:ind w:firstLine="0"/>
              <w:rPr>
                <w:sz w:val="20"/>
                <w:lang w:eastAsia="ru-RU"/>
              </w:rPr>
            </w:pPr>
            <w:r w:rsidRPr="004761E0">
              <w:rPr>
                <w:sz w:val="20"/>
                <w:lang w:eastAsia="ru-RU"/>
              </w:rPr>
              <w:t>Апр.2007</w:t>
            </w:r>
          </w:p>
        </w:tc>
        <w:tc>
          <w:tcPr>
            <w:tcW w:w="8612" w:type="dxa"/>
          </w:tcPr>
          <w:p w:rsidR="00BB2AFF" w:rsidRPr="004761E0" w:rsidRDefault="00BB2AFF" w:rsidP="00B13D17">
            <w:pPr>
              <w:ind w:firstLine="0"/>
              <w:rPr>
                <w:sz w:val="20"/>
                <w:lang w:eastAsia="ru-RU"/>
              </w:rPr>
            </w:pPr>
            <w:r w:rsidRPr="004761E0">
              <w:rPr>
                <w:sz w:val="20"/>
                <w:lang w:eastAsia="ru-RU"/>
              </w:rPr>
              <w:t xml:space="preserve">Обществом приобретен 50 % пакет акций </w:t>
            </w:r>
            <w:r w:rsidR="0008080E">
              <w:rPr>
                <w:sz w:val="20"/>
                <w:lang w:eastAsia="ru-RU"/>
              </w:rPr>
              <w:t>ОАО </w:t>
            </w:r>
            <w:r w:rsidRPr="004761E0">
              <w:rPr>
                <w:sz w:val="20"/>
                <w:lang w:eastAsia="ru-RU"/>
              </w:rPr>
              <w:t>«Энергоцентр», созданный по инициативе Правительства Московской области для разработки и реализации инвестиционных программ и проектов в электроэнергетике области и обеспечения настоящих и будущих потребностей всех категорий потребителей.</w:t>
            </w:r>
          </w:p>
        </w:tc>
      </w:tr>
      <w:tr w:rsidR="00BB2AFF" w:rsidRPr="004761E0" w:rsidTr="00B13D17">
        <w:tc>
          <w:tcPr>
            <w:tcW w:w="567" w:type="dxa"/>
          </w:tcPr>
          <w:p w:rsidR="00BB2AFF" w:rsidRPr="004761E0" w:rsidRDefault="00BB2AFF" w:rsidP="007076A7">
            <w:pPr>
              <w:pStyle w:val="a5"/>
              <w:numPr>
                <w:ilvl w:val="0"/>
                <w:numId w:val="257"/>
              </w:numPr>
              <w:rPr>
                <w:sz w:val="20"/>
                <w:lang w:eastAsia="ru-RU"/>
              </w:rPr>
            </w:pPr>
          </w:p>
        </w:tc>
        <w:tc>
          <w:tcPr>
            <w:tcW w:w="851" w:type="dxa"/>
          </w:tcPr>
          <w:p w:rsidR="00BB2AFF" w:rsidRPr="004761E0" w:rsidRDefault="00BB2AFF" w:rsidP="00B13D17">
            <w:pPr>
              <w:tabs>
                <w:tab w:val="left" w:pos="837"/>
              </w:tabs>
              <w:ind w:firstLine="0"/>
              <w:rPr>
                <w:sz w:val="20"/>
                <w:lang w:eastAsia="ru-RU"/>
              </w:rPr>
            </w:pPr>
            <w:r w:rsidRPr="004761E0">
              <w:rPr>
                <w:sz w:val="20"/>
                <w:lang w:eastAsia="ru-RU"/>
              </w:rPr>
              <w:t>14.06.2007</w:t>
            </w:r>
          </w:p>
        </w:tc>
        <w:tc>
          <w:tcPr>
            <w:tcW w:w="8612" w:type="dxa"/>
          </w:tcPr>
          <w:p w:rsidR="00BB2AFF" w:rsidRPr="004761E0" w:rsidRDefault="00BB2AFF" w:rsidP="00B13D17">
            <w:pPr>
              <w:ind w:firstLine="0"/>
              <w:rPr>
                <w:sz w:val="20"/>
                <w:lang w:eastAsia="ru-RU"/>
              </w:rPr>
            </w:pPr>
            <w:r w:rsidRPr="004761E0">
              <w:rPr>
                <w:sz w:val="20"/>
                <w:lang w:eastAsia="ru-RU"/>
              </w:rPr>
              <w:t>Создан филиал Центральные электрические сети.</w:t>
            </w:r>
          </w:p>
        </w:tc>
      </w:tr>
      <w:tr w:rsidR="00BB2AFF" w:rsidRPr="004761E0" w:rsidTr="00B13D17">
        <w:tc>
          <w:tcPr>
            <w:tcW w:w="567" w:type="dxa"/>
          </w:tcPr>
          <w:p w:rsidR="00BB2AFF" w:rsidRPr="004761E0" w:rsidRDefault="00BB2AFF" w:rsidP="007076A7">
            <w:pPr>
              <w:pStyle w:val="a5"/>
              <w:numPr>
                <w:ilvl w:val="0"/>
                <w:numId w:val="257"/>
              </w:numPr>
              <w:rPr>
                <w:sz w:val="20"/>
                <w:lang w:eastAsia="ru-RU"/>
              </w:rPr>
            </w:pPr>
          </w:p>
        </w:tc>
        <w:tc>
          <w:tcPr>
            <w:tcW w:w="851" w:type="dxa"/>
          </w:tcPr>
          <w:p w:rsidR="00BB2AFF" w:rsidRPr="004761E0" w:rsidRDefault="00BB2AFF" w:rsidP="00B13D17">
            <w:pPr>
              <w:ind w:firstLine="0"/>
              <w:rPr>
                <w:sz w:val="20"/>
                <w:lang w:eastAsia="ru-RU"/>
              </w:rPr>
            </w:pPr>
            <w:r w:rsidRPr="004761E0">
              <w:rPr>
                <w:sz w:val="20"/>
                <w:lang w:eastAsia="ru-RU"/>
              </w:rPr>
              <w:t>08.10.2007</w:t>
            </w:r>
          </w:p>
        </w:tc>
        <w:tc>
          <w:tcPr>
            <w:tcW w:w="8612" w:type="dxa"/>
          </w:tcPr>
          <w:p w:rsidR="00BB2AFF" w:rsidRPr="004761E0" w:rsidRDefault="00BB2AFF" w:rsidP="00B13D17">
            <w:pPr>
              <w:ind w:firstLine="0"/>
              <w:rPr>
                <w:sz w:val="20"/>
                <w:lang w:eastAsia="ru-RU"/>
              </w:rPr>
            </w:pPr>
            <w:r w:rsidRPr="004761E0">
              <w:rPr>
                <w:sz w:val="20"/>
                <w:lang w:eastAsia="ru-RU"/>
              </w:rPr>
              <w:t xml:space="preserve">Принято решение об укрупнении филиалов: </w:t>
            </w:r>
            <w:proofErr w:type="gramStart"/>
            <w:r w:rsidRPr="004761E0">
              <w:rPr>
                <w:sz w:val="20"/>
                <w:lang w:eastAsia="ru-RU"/>
              </w:rPr>
              <w:t>Северные электрические сети (на базе филиалов Октябрьские электрические сети и Дмитровские</w:t>
            </w:r>
            <w:r w:rsidRPr="004761E0">
              <w:t xml:space="preserve"> </w:t>
            </w:r>
            <w:r w:rsidRPr="004761E0">
              <w:rPr>
                <w:sz w:val="20"/>
                <w:lang w:eastAsia="ru-RU"/>
              </w:rPr>
              <w:t>электрические сети), Южные электрические сети (на базе филиалов Подольские электрические сети и Каширские электрические), Западные электрические сети (на базе филиалов Можайские электрические сети и Волоколамские электрические сети), Восточные электрические сети (на базе филиалов Ногинские электрические сети, Коломенские электрические сети и Шатурские электрические сети).</w:t>
            </w:r>
            <w:proofErr w:type="gramEnd"/>
          </w:p>
        </w:tc>
      </w:tr>
      <w:tr w:rsidR="00BB2AFF" w:rsidRPr="004761E0" w:rsidTr="00B13D17">
        <w:tc>
          <w:tcPr>
            <w:tcW w:w="567" w:type="dxa"/>
          </w:tcPr>
          <w:p w:rsidR="00BB2AFF" w:rsidRPr="004761E0" w:rsidRDefault="00BB2AFF" w:rsidP="007076A7">
            <w:pPr>
              <w:pStyle w:val="a5"/>
              <w:numPr>
                <w:ilvl w:val="0"/>
                <w:numId w:val="257"/>
              </w:numPr>
              <w:rPr>
                <w:sz w:val="20"/>
                <w:lang w:eastAsia="ru-RU"/>
              </w:rPr>
            </w:pPr>
          </w:p>
        </w:tc>
        <w:tc>
          <w:tcPr>
            <w:tcW w:w="851" w:type="dxa"/>
          </w:tcPr>
          <w:p w:rsidR="00BB2AFF" w:rsidRPr="004761E0" w:rsidRDefault="00BB2AFF" w:rsidP="00B13D17">
            <w:pPr>
              <w:ind w:firstLine="0"/>
              <w:rPr>
                <w:sz w:val="20"/>
                <w:lang w:eastAsia="ru-RU"/>
              </w:rPr>
            </w:pPr>
            <w:r w:rsidRPr="004761E0">
              <w:rPr>
                <w:sz w:val="20"/>
                <w:lang w:eastAsia="ru-RU"/>
              </w:rPr>
              <w:t>02.11.2007</w:t>
            </w:r>
          </w:p>
        </w:tc>
        <w:tc>
          <w:tcPr>
            <w:tcW w:w="8612" w:type="dxa"/>
          </w:tcPr>
          <w:p w:rsidR="00BB2AFF" w:rsidRPr="004761E0" w:rsidRDefault="00BB2AFF" w:rsidP="00B13D17">
            <w:pPr>
              <w:ind w:firstLine="0"/>
              <w:rPr>
                <w:sz w:val="20"/>
                <w:lang w:eastAsia="ru-RU"/>
              </w:rPr>
            </w:pPr>
            <w:r w:rsidRPr="004761E0">
              <w:rPr>
                <w:sz w:val="20"/>
                <w:lang w:eastAsia="ru-RU"/>
              </w:rPr>
              <w:t>Ликвидированы филиалы, на базе которых укрупнены Северные электрические сети, Южные электрические сети, Западные электрические сети, Восточные электрические сети</w:t>
            </w:r>
          </w:p>
        </w:tc>
      </w:tr>
      <w:tr w:rsidR="00BB2AFF" w:rsidRPr="004761E0" w:rsidTr="00B13D17">
        <w:tc>
          <w:tcPr>
            <w:tcW w:w="567" w:type="dxa"/>
          </w:tcPr>
          <w:p w:rsidR="00BB2AFF" w:rsidRPr="004761E0" w:rsidRDefault="00BB2AFF" w:rsidP="007076A7">
            <w:pPr>
              <w:pStyle w:val="a5"/>
              <w:numPr>
                <w:ilvl w:val="0"/>
                <w:numId w:val="257"/>
              </w:numPr>
              <w:rPr>
                <w:sz w:val="20"/>
                <w:lang w:eastAsia="ru-RU"/>
              </w:rPr>
            </w:pPr>
          </w:p>
        </w:tc>
        <w:tc>
          <w:tcPr>
            <w:tcW w:w="851" w:type="dxa"/>
          </w:tcPr>
          <w:p w:rsidR="00BB2AFF" w:rsidRPr="004761E0" w:rsidRDefault="00BB2AFF" w:rsidP="00B13D17">
            <w:pPr>
              <w:ind w:firstLine="0"/>
              <w:rPr>
                <w:sz w:val="20"/>
                <w:lang w:eastAsia="ru-RU"/>
              </w:rPr>
            </w:pPr>
            <w:r w:rsidRPr="004761E0">
              <w:rPr>
                <w:sz w:val="20"/>
                <w:lang w:eastAsia="ru-RU"/>
              </w:rPr>
              <w:t>29.12.2007</w:t>
            </w:r>
          </w:p>
        </w:tc>
        <w:tc>
          <w:tcPr>
            <w:tcW w:w="8612" w:type="dxa"/>
          </w:tcPr>
          <w:p w:rsidR="00BB2AFF" w:rsidRPr="004761E0" w:rsidRDefault="00BB2AFF" w:rsidP="00B13D17">
            <w:pPr>
              <w:ind w:firstLine="0"/>
              <w:rPr>
                <w:sz w:val="20"/>
                <w:lang w:eastAsia="ru-RU"/>
              </w:rPr>
            </w:pPr>
            <w:r w:rsidRPr="004761E0">
              <w:rPr>
                <w:sz w:val="20"/>
                <w:lang w:eastAsia="ru-RU"/>
              </w:rPr>
              <w:t xml:space="preserve">Обществом учреждено и зарегистрировано три дочерних общества со 100 %-ным участием </w:t>
            </w:r>
            <w:r w:rsidR="0008080E">
              <w:rPr>
                <w:sz w:val="20"/>
                <w:lang w:eastAsia="ru-RU"/>
              </w:rPr>
              <w:t>ОАО </w:t>
            </w:r>
            <w:r w:rsidRPr="004761E0">
              <w:rPr>
                <w:sz w:val="20"/>
                <w:lang w:eastAsia="ru-RU"/>
              </w:rPr>
              <w:t xml:space="preserve">«МОЭСК»: </w:t>
            </w:r>
            <w:r w:rsidR="0008080E">
              <w:rPr>
                <w:sz w:val="20"/>
                <w:lang w:eastAsia="ru-RU"/>
              </w:rPr>
              <w:t>ОАО </w:t>
            </w:r>
            <w:r w:rsidRPr="004761E0">
              <w:rPr>
                <w:sz w:val="20"/>
                <w:lang w:eastAsia="ru-RU"/>
              </w:rPr>
              <w:t xml:space="preserve">«Москабельсетьмонтаж», </w:t>
            </w:r>
            <w:r w:rsidR="0008080E">
              <w:rPr>
                <w:sz w:val="20"/>
                <w:lang w:eastAsia="ru-RU"/>
              </w:rPr>
              <w:t>ОАО </w:t>
            </w:r>
            <w:r w:rsidRPr="004761E0">
              <w:rPr>
                <w:sz w:val="20"/>
                <w:lang w:eastAsia="ru-RU"/>
              </w:rPr>
              <w:t xml:space="preserve">«Завод по ремонту электротехнического оборудования», </w:t>
            </w:r>
            <w:r w:rsidR="0008080E">
              <w:rPr>
                <w:sz w:val="20"/>
                <w:lang w:eastAsia="ru-RU"/>
              </w:rPr>
              <w:t>ОАО </w:t>
            </w:r>
            <w:r w:rsidRPr="004761E0">
              <w:rPr>
                <w:sz w:val="20"/>
                <w:lang w:eastAsia="ru-RU"/>
              </w:rPr>
              <w:t>«Москабельэнергоремонт».</w:t>
            </w:r>
          </w:p>
        </w:tc>
      </w:tr>
      <w:tr w:rsidR="00BB2AFF" w:rsidRPr="004761E0" w:rsidTr="00B13D17">
        <w:tc>
          <w:tcPr>
            <w:tcW w:w="567" w:type="dxa"/>
          </w:tcPr>
          <w:p w:rsidR="00BB2AFF" w:rsidRPr="004761E0" w:rsidRDefault="00BB2AFF" w:rsidP="007076A7">
            <w:pPr>
              <w:pStyle w:val="a5"/>
              <w:numPr>
                <w:ilvl w:val="0"/>
                <w:numId w:val="257"/>
              </w:numPr>
              <w:rPr>
                <w:sz w:val="20"/>
                <w:lang w:eastAsia="ru-RU"/>
              </w:rPr>
            </w:pPr>
          </w:p>
        </w:tc>
        <w:tc>
          <w:tcPr>
            <w:tcW w:w="851" w:type="dxa"/>
          </w:tcPr>
          <w:p w:rsidR="00BB2AFF" w:rsidRPr="004761E0" w:rsidRDefault="00BB2AFF" w:rsidP="00B13D17">
            <w:pPr>
              <w:ind w:firstLine="0"/>
              <w:rPr>
                <w:sz w:val="20"/>
                <w:lang w:eastAsia="ru-RU"/>
              </w:rPr>
            </w:pPr>
            <w:r w:rsidRPr="004761E0">
              <w:rPr>
                <w:sz w:val="20"/>
                <w:lang w:eastAsia="ru-RU"/>
              </w:rPr>
              <w:t>26.02.2008</w:t>
            </w:r>
          </w:p>
        </w:tc>
        <w:tc>
          <w:tcPr>
            <w:tcW w:w="8612" w:type="dxa"/>
          </w:tcPr>
          <w:p w:rsidR="00BB2AFF" w:rsidRPr="004761E0" w:rsidRDefault="00BB2AFF" w:rsidP="00B13D17">
            <w:pPr>
              <w:ind w:firstLine="0"/>
              <w:rPr>
                <w:sz w:val="20"/>
                <w:lang w:eastAsia="ru-RU"/>
              </w:rPr>
            </w:pPr>
            <w:r w:rsidRPr="004761E0">
              <w:rPr>
                <w:sz w:val="20"/>
                <w:lang w:eastAsia="ru-RU"/>
              </w:rPr>
              <w:t>В Уставе закреплена структура укрупненных филиалов, ликвидированы филиалы Москабельэнергоремонт, Завод по ремонту электротехнического оборудования, Москабельсетьмонтаж</w:t>
            </w:r>
          </w:p>
        </w:tc>
      </w:tr>
      <w:tr w:rsidR="00BB2AFF" w:rsidRPr="004761E0" w:rsidTr="00B13D17">
        <w:tc>
          <w:tcPr>
            <w:tcW w:w="567" w:type="dxa"/>
          </w:tcPr>
          <w:p w:rsidR="00BB2AFF" w:rsidRPr="004761E0" w:rsidRDefault="00BB2AFF" w:rsidP="007076A7">
            <w:pPr>
              <w:pStyle w:val="a5"/>
              <w:numPr>
                <w:ilvl w:val="0"/>
                <w:numId w:val="257"/>
              </w:numPr>
              <w:rPr>
                <w:sz w:val="20"/>
                <w:lang w:eastAsia="ru-RU"/>
              </w:rPr>
            </w:pPr>
          </w:p>
        </w:tc>
        <w:tc>
          <w:tcPr>
            <w:tcW w:w="851" w:type="dxa"/>
          </w:tcPr>
          <w:p w:rsidR="00BB2AFF" w:rsidRPr="004761E0" w:rsidRDefault="00BB2AFF" w:rsidP="00B13D17">
            <w:pPr>
              <w:ind w:firstLine="0"/>
              <w:rPr>
                <w:sz w:val="20"/>
                <w:lang w:eastAsia="ru-RU"/>
              </w:rPr>
            </w:pPr>
            <w:r w:rsidRPr="004761E0">
              <w:rPr>
                <w:sz w:val="20"/>
                <w:lang w:eastAsia="ru-RU"/>
              </w:rPr>
              <w:t>29.02.2008</w:t>
            </w:r>
          </w:p>
        </w:tc>
        <w:tc>
          <w:tcPr>
            <w:tcW w:w="8612" w:type="dxa"/>
          </w:tcPr>
          <w:p w:rsidR="00BB2AFF" w:rsidRPr="004761E0" w:rsidRDefault="00BB2AFF" w:rsidP="00B13D17">
            <w:pPr>
              <w:ind w:firstLine="0"/>
              <w:rPr>
                <w:sz w:val="20"/>
                <w:lang w:eastAsia="ru-RU"/>
              </w:rPr>
            </w:pPr>
            <w:r w:rsidRPr="004761E0">
              <w:rPr>
                <w:sz w:val="20"/>
                <w:lang w:eastAsia="ru-RU"/>
              </w:rPr>
              <w:t xml:space="preserve">Советом директоров </w:t>
            </w:r>
            <w:r w:rsidR="0008080E">
              <w:rPr>
                <w:sz w:val="20"/>
                <w:lang w:eastAsia="ru-RU"/>
              </w:rPr>
              <w:t>ОАО </w:t>
            </w:r>
            <w:r w:rsidRPr="004761E0">
              <w:rPr>
                <w:sz w:val="20"/>
                <w:lang w:eastAsia="ru-RU"/>
              </w:rPr>
              <w:t xml:space="preserve">«РАО «ЕЭС России» принято решение о формировании межрегиональной распределительной сетевой компании </w:t>
            </w:r>
            <w:proofErr w:type="gramStart"/>
            <w:r w:rsidRPr="004761E0">
              <w:rPr>
                <w:sz w:val="20"/>
                <w:lang w:eastAsia="ru-RU"/>
              </w:rPr>
              <w:t>г</w:t>
            </w:r>
            <w:proofErr w:type="gramEnd"/>
            <w:r w:rsidRPr="004761E0">
              <w:rPr>
                <w:sz w:val="20"/>
                <w:lang w:eastAsia="ru-RU"/>
              </w:rPr>
              <w:t xml:space="preserve">. Москвы и Московской области </w:t>
            </w:r>
          </w:p>
          <w:p w:rsidR="00BB2AFF" w:rsidRPr="004761E0" w:rsidRDefault="00BB2AFF" w:rsidP="00B13D17">
            <w:pPr>
              <w:ind w:firstLine="0"/>
              <w:rPr>
                <w:sz w:val="20"/>
                <w:lang w:eastAsia="ru-RU"/>
              </w:rPr>
            </w:pPr>
            <w:r w:rsidRPr="004761E0">
              <w:rPr>
                <w:sz w:val="20"/>
                <w:lang w:eastAsia="ru-RU"/>
              </w:rPr>
              <w:t xml:space="preserve">на базе </w:t>
            </w:r>
            <w:r w:rsidR="0008080E">
              <w:rPr>
                <w:sz w:val="20"/>
                <w:lang w:eastAsia="ru-RU"/>
              </w:rPr>
              <w:t>ОАО </w:t>
            </w:r>
            <w:r w:rsidRPr="004761E0">
              <w:rPr>
                <w:sz w:val="20"/>
                <w:lang w:eastAsia="ru-RU"/>
              </w:rPr>
              <w:t xml:space="preserve">«МОЭСК» в форме реорганизации путем присоединения к нему </w:t>
            </w:r>
            <w:r w:rsidR="0008080E">
              <w:rPr>
                <w:sz w:val="20"/>
                <w:lang w:eastAsia="ru-RU"/>
              </w:rPr>
              <w:t>ОАО </w:t>
            </w:r>
            <w:r w:rsidRPr="004761E0">
              <w:rPr>
                <w:sz w:val="20"/>
                <w:lang w:eastAsia="ru-RU"/>
              </w:rPr>
              <w:t>«Московская городская электросетевая компания» (</w:t>
            </w:r>
            <w:r w:rsidR="0008080E">
              <w:rPr>
                <w:sz w:val="20"/>
                <w:lang w:eastAsia="ru-RU"/>
              </w:rPr>
              <w:t>ОАО </w:t>
            </w:r>
            <w:r w:rsidRPr="004761E0">
              <w:rPr>
                <w:sz w:val="20"/>
                <w:lang w:eastAsia="ru-RU"/>
              </w:rPr>
              <w:t>«МГЭсК).</w:t>
            </w:r>
          </w:p>
        </w:tc>
      </w:tr>
      <w:tr w:rsidR="00BB2AFF" w:rsidRPr="004761E0" w:rsidTr="00B13D17">
        <w:tc>
          <w:tcPr>
            <w:tcW w:w="567" w:type="dxa"/>
          </w:tcPr>
          <w:p w:rsidR="00BB2AFF" w:rsidRPr="004761E0" w:rsidRDefault="00BB2AFF" w:rsidP="007076A7">
            <w:pPr>
              <w:pStyle w:val="a5"/>
              <w:numPr>
                <w:ilvl w:val="0"/>
                <w:numId w:val="257"/>
              </w:numPr>
              <w:rPr>
                <w:sz w:val="20"/>
                <w:lang w:eastAsia="ru-RU"/>
              </w:rPr>
            </w:pPr>
          </w:p>
        </w:tc>
        <w:tc>
          <w:tcPr>
            <w:tcW w:w="851" w:type="dxa"/>
          </w:tcPr>
          <w:p w:rsidR="00BB2AFF" w:rsidRPr="004761E0" w:rsidRDefault="00BB2AFF" w:rsidP="00B13D17">
            <w:pPr>
              <w:ind w:firstLine="0"/>
              <w:rPr>
                <w:sz w:val="20"/>
                <w:lang w:eastAsia="ru-RU"/>
              </w:rPr>
            </w:pPr>
            <w:r w:rsidRPr="004761E0">
              <w:rPr>
                <w:sz w:val="20"/>
                <w:lang w:eastAsia="ru-RU"/>
              </w:rPr>
              <w:t>18.04.2008</w:t>
            </w:r>
          </w:p>
        </w:tc>
        <w:tc>
          <w:tcPr>
            <w:tcW w:w="8612" w:type="dxa"/>
          </w:tcPr>
          <w:p w:rsidR="00BB2AFF" w:rsidRPr="004761E0" w:rsidRDefault="00BB2AFF" w:rsidP="00B13D17">
            <w:pPr>
              <w:ind w:firstLine="0"/>
              <w:rPr>
                <w:sz w:val="20"/>
                <w:lang w:eastAsia="ru-RU"/>
              </w:rPr>
            </w:pPr>
            <w:r w:rsidRPr="004761E0">
              <w:rPr>
                <w:sz w:val="20"/>
                <w:lang w:eastAsia="ru-RU"/>
              </w:rPr>
              <w:t xml:space="preserve">Общество реорганизовано в форме присоединения к нему </w:t>
            </w:r>
            <w:r w:rsidR="0008080E">
              <w:rPr>
                <w:sz w:val="20"/>
                <w:lang w:eastAsia="ru-RU"/>
              </w:rPr>
              <w:t>ОАО </w:t>
            </w:r>
            <w:r w:rsidRPr="004761E0">
              <w:rPr>
                <w:sz w:val="20"/>
                <w:lang w:eastAsia="ru-RU"/>
              </w:rPr>
              <w:t>«МГЭсК.</w:t>
            </w:r>
          </w:p>
        </w:tc>
      </w:tr>
      <w:tr w:rsidR="00BB2AFF" w:rsidRPr="004761E0" w:rsidTr="00B13D17">
        <w:tc>
          <w:tcPr>
            <w:tcW w:w="567" w:type="dxa"/>
          </w:tcPr>
          <w:p w:rsidR="00BB2AFF" w:rsidRPr="004761E0" w:rsidRDefault="00BB2AFF" w:rsidP="007076A7">
            <w:pPr>
              <w:pStyle w:val="a5"/>
              <w:numPr>
                <w:ilvl w:val="0"/>
                <w:numId w:val="257"/>
              </w:numPr>
              <w:rPr>
                <w:sz w:val="20"/>
                <w:lang w:eastAsia="ru-RU"/>
              </w:rPr>
            </w:pPr>
          </w:p>
        </w:tc>
        <w:tc>
          <w:tcPr>
            <w:tcW w:w="851" w:type="dxa"/>
          </w:tcPr>
          <w:p w:rsidR="00BB2AFF" w:rsidRPr="004761E0" w:rsidRDefault="00BB2AFF" w:rsidP="00B13D17">
            <w:pPr>
              <w:ind w:firstLine="0"/>
              <w:rPr>
                <w:sz w:val="20"/>
                <w:lang w:eastAsia="ru-RU"/>
              </w:rPr>
            </w:pPr>
            <w:r w:rsidRPr="004761E0">
              <w:rPr>
                <w:sz w:val="20"/>
                <w:lang w:eastAsia="ru-RU"/>
              </w:rPr>
              <w:t>29.04.2008</w:t>
            </w:r>
          </w:p>
        </w:tc>
        <w:tc>
          <w:tcPr>
            <w:tcW w:w="8612" w:type="dxa"/>
          </w:tcPr>
          <w:p w:rsidR="00BB2AFF" w:rsidRPr="004761E0" w:rsidRDefault="00BB2AFF" w:rsidP="00B13D17">
            <w:pPr>
              <w:ind w:firstLine="0"/>
              <w:rPr>
                <w:sz w:val="20"/>
                <w:lang w:eastAsia="ru-RU"/>
              </w:rPr>
            </w:pPr>
            <w:r w:rsidRPr="004761E0">
              <w:rPr>
                <w:sz w:val="20"/>
                <w:lang w:eastAsia="ru-RU"/>
              </w:rPr>
              <w:t>На базе присоединяемого общества (</w:t>
            </w:r>
            <w:r w:rsidR="0008080E">
              <w:rPr>
                <w:sz w:val="20"/>
                <w:lang w:eastAsia="ru-RU"/>
              </w:rPr>
              <w:t>ОАО </w:t>
            </w:r>
            <w:r w:rsidRPr="004761E0">
              <w:rPr>
                <w:sz w:val="20"/>
                <w:lang w:eastAsia="ru-RU"/>
              </w:rPr>
              <w:t>«МГЭсК) создан филиал Московские кабельные сети.</w:t>
            </w:r>
          </w:p>
        </w:tc>
      </w:tr>
      <w:tr w:rsidR="00BB2AFF" w:rsidRPr="004761E0" w:rsidTr="00B13D17">
        <w:tc>
          <w:tcPr>
            <w:tcW w:w="567" w:type="dxa"/>
          </w:tcPr>
          <w:p w:rsidR="00BB2AFF" w:rsidRPr="004761E0" w:rsidRDefault="00BB2AFF" w:rsidP="007076A7">
            <w:pPr>
              <w:pStyle w:val="a5"/>
              <w:numPr>
                <w:ilvl w:val="0"/>
                <w:numId w:val="257"/>
              </w:numPr>
              <w:rPr>
                <w:sz w:val="20"/>
                <w:lang w:eastAsia="ru-RU"/>
              </w:rPr>
            </w:pPr>
          </w:p>
        </w:tc>
        <w:tc>
          <w:tcPr>
            <w:tcW w:w="851" w:type="dxa"/>
          </w:tcPr>
          <w:p w:rsidR="00BB2AFF" w:rsidRPr="004761E0" w:rsidRDefault="00BB2AFF" w:rsidP="00B13D17">
            <w:pPr>
              <w:ind w:firstLine="0"/>
              <w:rPr>
                <w:sz w:val="20"/>
                <w:lang w:eastAsia="ru-RU"/>
              </w:rPr>
            </w:pPr>
            <w:r w:rsidRPr="004761E0">
              <w:rPr>
                <w:sz w:val="20"/>
                <w:lang w:eastAsia="ru-RU"/>
              </w:rPr>
              <w:t xml:space="preserve">Фев. 2012 </w:t>
            </w:r>
          </w:p>
        </w:tc>
        <w:tc>
          <w:tcPr>
            <w:tcW w:w="8612" w:type="dxa"/>
          </w:tcPr>
          <w:p w:rsidR="00BB2AFF" w:rsidRPr="004761E0" w:rsidRDefault="00BB2AFF" w:rsidP="00E020B0">
            <w:pPr>
              <w:autoSpaceDE w:val="0"/>
              <w:autoSpaceDN w:val="0"/>
              <w:adjustRightInd w:val="0"/>
              <w:ind w:firstLine="0"/>
              <w:rPr>
                <w:sz w:val="20"/>
                <w:lang w:eastAsia="ru-RU"/>
              </w:rPr>
            </w:pPr>
            <w:r w:rsidRPr="004761E0">
              <w:rPr>
                <w:sz w:val="20"/>
                <w:szCs w:val="22"/>
                <w:lang w:eastAsia="ru-RU"/>
              </w:rPr>
              <w:t xml:space="preserve">Общество приобрело дополнительно 9 999 обыкновенных акций </w:t>
            </w:r>
            <w:r w:rsidR="0008080E">
              <w:rPr>
                <w:sz w:val="20"/>
                <w:szCs w:val="22"/>
                <w:lang w:eastAsia="ru-RU"/>
              </w:rPr>
              <w:t>ОАО </w:t>
            </w:r>
            <w:r w:rsidRPr="004761E0">
              <w:rPr>
                <w:sz w:val="20"/>
                <w:szCs w:val="22"/>
                <w:lang w:eastAsia="ru-RU"/>
              </w:rPr>
              <w:t xml:space="preserve">«Энергоцентр» за денежное вознаграждение в размере 51 </w:t>
            </w:r>
            <w:proofErr w:type="gramStart"/>
            <w:r w:rsidRPr="004761E0">
              <w:rPr>
                <w:sz w:val="20"/>
                <w:szCs w:val="22"/>
                <w:lang w:eastAsia="ru-RU"/>
              </w:rPr>
              <w:t>млн</w:t>
            </w:r>
            <w:proofErr w:type="gramEnd"/>
            <w:r w:rsidRPr="004761E0">
              <w:rPr>
                <w:sz w:val="20"/>
                <w:szCs w:val="22"/>
                <w:lang w:eastAsia="ru-RU"/>
              </w:rPr>
              <w:t xml:space="preserve"> руб. Сумма превышения стоимости приобретенной доли, принадлежащей держателям неконтролируюших долей, в размере 242 млн руб. над величиной выплаченного вознаграждения отражена как увеличение нераспределенной прибыли на 191 млн руб. В результате данной операции доля </w:t>
            </w:r>
            <w:r w:rsidR="0008080E">
              <w:rPr>
                <w:sz w:val="20"/>
                <w:szCs w:val="22"/>
                <w:lang w:eastAsia="ru-RU"/>
              </w:rPr>
              <w:t>ОАО </w:t>
            </w:r>
            <w:r w:rsidRPr="004761E0">
              <w:rPr>
                <w:sz w:val="20"/>
                <w:szCs w:val="22"/>
                <w:lang w:eastAsia="ru-RU"/>
              </w:rPr>
              <w:t xml:space="preserve">«МОЭСК» в </w:t>
            </w:r>
            <w:r w:rsidR="0008080E">
              <w:rPr>
                <w:sz w:val="20"/>
                <w:szCs w:val="22"/>
                <w:lang w:eastAsia="ru-RU"/>
              </w:rPr>
              <w:t>ОАО </w:t>
            </w:r>
            <w:r w:rsidRPr="004761E0">
              <w:rPr>
                <w:sz w:val="20"/>
                <w:szCs w:val="22"/>
                <w:lang w:eastAsia="ru-RU"/>
              </w:rPr>
              <w:t>«Энергоцентр» увеличилась с 50 % до 75 % минус одна акция.</w:t>
            </w:r>
          </w:p>
        </w:tc>
      </w:tr>
      <w:tr w:rsidR="00BB2AFF" w:rsidRPr="004761E0" w:rsidTr="00B13D17">
        <w:tc>
          <w:tcPr>
            <w:tcW w:w="567" w:type="dxa"/>
          </w:tcPr>
          <w:p w:rsidR="00BB2AFF" w:rsidRPr="004761E0" w:rsidRDefault="00BB2AFF" w:rsidP="007076A7">
            <w:pPr>
              <w:pStyle w:val="a5"/>
              <w:numPr>
                <w:ilvl w:val="0"/>
                <w:numId w:val="257"/>
              </w:numPr>
              <w:rPr>
                <w:sz w:val="20"/>
                <w:lang w:eastAsia="ru-RU"/>
              </w:rPr>
            </w:pPr>
          </w:p>
        </w:tc>
        <w:tc>
          <w:tcPr>
            <w:tcW w:w="851" w:type="dxa"/>
          </w:tcPr>
          <w:p w:rsidR="00BB2AFF" w:rsidRPr="004761E0" w:rsidRDefault="00BB2AFF" w:rsidP="00B13D17">
            <w:pPr>
              <w:ind w:firstLine="0"/>
              <w:rPr>
                <w:sz w:val="20"/>
                <w:lang w:eastAsia="ru-RU"/>
              </w:rPr>
            </w:pPr>
            <w:r w:rsidRPr="004761E0">
              <w:rPr>
                <w:sz w:val="20"/>
                <w:lang w:eastAsia="ru-RU"/>
              </w:rPr>
              <w:t>20.05.2013</w:t>
            </w:r>
          </w:p>
        </w:tc>
        <w:tc>
          <w:tcPr>
            <w:tcW w:w="8612" w:type="dxa"/>
          </w:tcPr>
          <w:p w:rsidR="00BB2AFF" w:rsidRPr="004761E0" w:rsidRDefault="00BB2AFF" w:rsidP="00B13D17">
            <w:pPr>
              <w:ind w:firstLine="0"/>
              <w:rPr>
                <w:sz w:val="20"/>
                <w:lang w:eastAsia="ru-RU"/>
              </w:rPr>
            </w:pPr>
            <w:r w:rsidRPr="004761E0">
              <w:rPr>
                <w:sz w:val="20"/>
                <w:lang w:eastAsia="ru-RU"/>
              </w:rPr>
              <w:t>Создан филиал Энергоучет.</w:t>
            </w:r>
          </w:p>
        </w:tc>
      </w:tr>
      <w:tr w:rsidR="00BB2AFF" w:rsidRPr="004761E0" w:rsidTr="00B13D17">
        <w:tc>
          <w:tcPr>
            <w:tcW w:w="567" w:type="dxa"/>
          </w:tcPr>
          <w:p w:rsidR="00BB2AFF" w:rsidRPr="004761E0" w:rsidRDefault="00BB2AFF" w:rsidP="007076A7">
            <w:pPr>
              <w:pStyle w:val="a5"/>
              <w:numPr>
                <w:ilvl w:val="0"/>
                <w:numId w:val="257"/>
              </w:numPr>
              <w:rPr>
                <w:sz w:val="20"/>
                <w:lang w:eastAsia="ru-RU"/>
              </w:rPr>
            </w:pPr>
          </w:p>
        </w:tc>
        <w:tc>
          <w:tcPr>
            <w:tcW w:w="851" w:type="dxa"/>
          </w:tcPr>
          <w:p w:rsidR="00BB2AFF" w:rsidRPr="004761E0" w:rsidRDefault="00BB2AFF" w:rsidP="00B13D17">
            <w:pPr>
              <w:ind w:firstLine="0"/>
              <w:rPr>
                <w:sz w:val="20"/>
                <w:lang w:eastAsia="ru-RU"/>
              </w:rPr>
            </w:pPr>
            <w:r w:rsidRPr="004761E0">
              <w:rPr>
                <w:sz w:val="20"/>
                <w:lang w:eastAsia="ru-RU"/>
              </w:rPr>
              <w:t>19.11.2013</w:t>
            </w:r>
          </w:p>
        </w:tc>
        <w:tc>
          <w:tcPr>
            <w:tcW w:w="8612" w:type="dxa"/>
          </w:tcPr>
          <w:p w:rsidR="00BB2AFF" w:rsidRPr="004761E0" w:rsidRDefault="00BB2AFF" w:rsidP="00B13D17">
            <w:pPr>
              <w:ind w:firstLine="0"/>
              <w:rPr>
                <w:sz w:val="20"/>
                <w:lang w:eastAsia="ru-RU"/>
              </w:rPr>
            </w:pPr>
            <w:r w:rsidRPr="004761E0">
              <w:rPr>
                <w:sz w:val="20"/>
                <w:lang w:eastAsia="ru-RU"/>
              </w:rPr>
              <w:t xml:space="preserve">Создан филиал Новая Москва. </w:t>
            </w:r>
          </w:p>
        </w:tc>
      </w:tr>
    </w:tbl>
    <w:p w:rsidR="00BB2AFF" w:rsidRPr="004761E0" w:rsidRDefault="00BB2AFF" w:rsidP="00BB2AFF">
      <w:pPr>
        <w:spacing w:before="120" w:after="120"/>
        <w:ind w:firstLine="567"/>
        <w:rPr>
          <w:b/>
          <w:sz w:val="26"/>
          <w:szCs w:val="26"/>
          <w:lang w:eastAsia="ru-RU"/>
        </w:rPr>
      </w:pPr>
      <w:r w:rsidRPr="004761E0">
        <w:rPr>
          <w:b/>
          <w:sz w:val="26"/>
          <w:szCs w:val="26"/>
          <w:lang w:eastAsia="ru-RU"/>
        </w:rPr>
        <w:lastRenderedPageBreak/>
        <w:t xml:space="preserve">Сведения о филиалах </w:t>
      </w:r>
    </w:p>
    <w:p w:rsidR="00BB2AFF" w:rsidRPr="004761E0" w:rsidRDefault="00BB2AFF" w:rsidP="00BB2AFF">
      <w:pPr>
        <w:ind w:firstLine="567"/>
        <w:rPr>
          <w:sz w:val="26"/>
          <w:szCs w:val="26"/>
          <w:lang w:eastAsia="ru-RU"/>
        </w:rPr>
      </w:pPr>
      <w:r w:rsidRPr="004761E0">
        <w:rPr>
          <w:sz w:val="26"/>
          <w:szCs w:val="26"/>
          <w:lang w:eastAsia="ru-RU"/>
        </w:rPr>
        <w:t>По состоянию на 31.12.2013 в со</w:t>
      </w:r>
      <w:r w:rsidR="00C7702C">
        <w:rPr>
          <w:sz w:val="26"/>
          <w:szCs w:val="26"/>
          <w:lang w:eastAsia="ru-RU"/>
        </w:rPr>
        <w:t>став Общества входят 9 филиалов.</w:t>
      </w:r>
    </w:p>
    <w:tbl>
      <w:tblPr>
        <w:tblW w:w="1031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
        <w:gridCol w:w="3066"/>
        <w:gridCol w:w="6743"/>
      </w:tblGrid>
      <w:tr w:rsidR="00BB2AFF" w:rsidRPr="004761E0" w:rsidTr="00B13D17">
        <w:trPr>
          <w:trHeight w:val="192"/>
        </w:trPr>
        <w:tc>
          <w:tcPr>
            <w:tcW w:w="505" w:type="dxa"/>
            <w:tcBorders>
              <w:right w:val="single" w:sz="4" w:space="0" w:color="FFFFFF" w:themeColor="background1"/>
            </w:tcBorders>
            <w:shd w:val="clear" w:color="auto" w:fill="0F243E" w:themeFill="text2" w:themeFillShade="80"/>
            <w:vAlign w:val="center"/>
            <w:hideMark/>
          </w:tcPr>
          <w:p w:rsidR="00BB2AFF" w:rsidRPr="004761E0" w:rsidRDefault="00BB2AFF" w:rsidP="00B13D17">
            <w:pPr>
              <w:ind w:firstLine="0"/>
              <w:jc w:val="center"/>
              <w:rPr>
                <w:rFonts w:eastAsia="Times New Roman"/>
                <w:b/>
                <w:bCs/>
                <w:color w:val="FFFFFF" w:themeColor="background1"/>
                <w:sz w:val="20"/>
                <w:szCs w:val="20"/>
                <w:lang w:eastAsia="ru-RU"/>
              </w:rPr>
            </w:pPr>
            <w:r w:rsidRPr="004761E0">
              <w:rPr>
                <w:rFonts w:eastAsia="Times New Roman"/>
                <w:b/>
                <w:bCs/>
                <w:color w:val="FFFFFF" w:themeColor="background1"/>
                <w:sz w:val="20"/>
                <w:szCs w:val="20"/>
                <w:lang w:eastAsia="ru-RU"/>
              </w:rPr>
              <w:t xml:space="preserve">№ </w:t>
            </w:r>
            <w:proofErr w:type="gramStart"/>
            <w:r w:rsidRPr="004761E0">
              <w:rPr>
                <w:rFonts w:eastAsia="Times New Roman"/>
                <w:b/>
                <w:bCs/>
                <w:color w:val="FFFFFF" w:themeColor="background1"/>
                <w:sz w:val="20"/>
                <w:szCs w:val="20"/>
                <w:lang w:eastAsia="ru-RU"/>
              </w:rPr>
              <w:t>п</w:t>
            </w:r>
            <w:proofErr w:type="gramEnd"/>
            <w:r w:rsidRPr="004761E0">
              <w:rPr>
                <w:rFonts w:eastAsia="Times New Roman"/>
                <w:b/>
                <w:bCs/>
                <w:color w:val="FFFFFF" w:themeColor="background1"/>
                <w:sz w:val="20"/>
                <w:szCs w:val="20"/>
                <w:lang w:eastAsia="ru-RU"/>
              </w:rPr>
              <w:t>/п</w:t>
            </w:r>
          </w:p>
        </w:tc>
        <w:tc>
          <w:tcPr>
            <w:tcW w:w="3066" w:type="dxa"/>
            <w:tcBorders>
              <w:left w:val="single" w:sz="4" w:space="0" w:color="FFFFFF" w:themeColor="background1"/>
              <w:right w:val="single" w:sz="4" w:space="0" w:color="FFFFFF" w:themeColor="background1"/>
            </w:tcBorders>
            <w:shd w:val="clear" w:color="auto" w:fill="0F243E" w:themeFill="text2" w:themeFillShade="80"/>
            <w:vAlign w:val="center"/>
            <w:hideMark/>
          </w:tcPr>
          <w:p w:rsidR="00BB2AFF" w:rsidRPr="004761E0" w:rsidRDefault="00BB2AFF" w:rsidP="00B13D17">
            <w:pPr>
              <w:ind w:firstLine="0"/>
              <w:jc w:val="left"/>
              <w:rPr>
                <w:rFonts w:eastAsia="Times New Roman"/>
                <w:b/>
                <w:bCs/>
                <w:color w:val="FFFFFF" w:themeColor="background1"/>
                <w:sz w:val="20"/>
                <w:szCs w:val="20"/>
                <w:lang w:eastAsia="ru-RU"/>
              </w:rPr>
            </w:pPr>
            <w:r w:rsidRPr="004761E0">
              <w:rPr>
                <w:rFonts w:eastAsia="Times New Roman"/>
                <w:b/>
                <w:bCs/>
                <w:color w:val="FFFFFF" w:themeColor="background1"/>
                <w:sz w:val="20"/>
                <w:szCs w:val="20"/>
                <w:lang w:eastAsia="ru-RU"/>
              </w:rPr>
              <w:t>Наименование</w:t>
            </w:r>
          </w:p>
        </w:tc>
        <w:tc>
          <w:tcPr>
            <w:tcW w:w="6743" w:type="dxa"/>
            <w:tcBorders>
              <w:left w:val="single" w:sz="4" w:space="0" w:color="FFFFFF" w:themeColor="background1"/>
            </w:tcBorders>
            <w:shd w:val="clear" w:color="auto" w:fill="0F243E" w:themeFill="text2" w:themeFillShade="80"/>
            <w:vAlign w:val="center"/>
            <w:hideMark/>
          </w:tcPr>
          <w:p w:rsidR="00BB2AFF" w:rsidRPr="004761E0" w:rsidRDefault="00BB2AFF" w:rsidP="00B13D17">
            <w:pPr>
              <w:ind w:firstLine="0"/>
              <w:jc w:val="left"/>
              <w:rPr>
                <w:rFonts w:eastAsia="Times New Roman"/>
                <w:b/>
                <w:bCs/>
                <w:color w:val="FFFFFF" w:themeColor="background1"/>
                <w:sz w:val="20"/>
                <w:szCs w:val="20"/>
                <w:lang w:eastAsia="ru-RU"/>
              </w:rPr>
            </w:pPr>
            <w:r w:rsidRPr="004761E0">
              <w:rPr>
                <w:rFonts w:eastAsia="Times New Roman"/>
                <w:b/>
                <w:bCs/>
                <w:color w:val="FFFFFF" w:themeColor="background1"/>
                <w:sz w:val="20"/>
                <w:szCs w:val="20"/>
                <w:lang w:eastAsia="ru-RU"/>
              </w:rPr>
              <w:t>Местонахождение</w:t>
            </w:r>
          </w:p>
        </w:tc>
      </w:tr>
      <w:tr w:rsidR="00BB2AFF" w:rsidRPr="004761E0" w:rsidTr="00B13D17">
        <w:trPr>
          <w:trHeight w:val="77"/>
        </w:trPr>
        <w:tc>
          <w:tcPr>
            <w:tcW w:w="505" w:type="dxa"/>
            <w:shd w:val="clear" w:color="auto" w:fill="auto"/>
            <w:vAlign w:val="center"/>
          </w:tcPr>
          <w:p w:rsidR="00BB2AFF" w:rsidRPr="004761E0" w:rsidRDefault="00BB2AFF" w:rsidP="007076A7">
            <w:pPr>
              <w:pStyle w:val="a5"/>
              <w:numPr>
                <w:ilvl w:val="0"/>
                <w:numId w:val="46"/>
              </w:numPr>
              <w:jc w:val="center"/>
              <w:rPr>
                <w:rFonts w:eastAsia="Times New Roman"/>
                <w:color w:val="000000"/>
                <w:sz w:val="20"/>
                <w:szCs w:val="20"/>
                <w:lang w:eastAsia="ru-RU"/>
              </w:rPr>
            </w:pPr>
          </w:p>
        </w:tc>
        <w:tc>
          <w:tcPr>
            <w:tcW w:w="3066" w:type="dxa"/>
            <w:shd w:val="clear" w:color="auto" w:fill="auto"/>
            <w:vAlign w:val="center"/>
            <w:hideMark/>
          </w:tcPr>
          <w:p w:rsidR="00BB2AFF" w:rsidRPr="004761E0" w:rsidRDefault="00BB2AFF" w:rsidP="00B13D17">
            <w:pPr>
              <w:ind w:firstLine="0"/>
              <w:jc w:val="left"/>
              <w:rPr>
                <w:rFonts w:eastAsia="Times New Roman"/>
                <w:color w:val="000000"/>
                <w:sz w:val="20"/>
                <w:szCs w:val="20"/>
                <w:lang w:eastAsia="ru-RU"/>
              </w:rPr>
            </w:pPr>
            <w:r w:rsidRPr="004761E0">
              <w:rPr>
                <w:rFonts w:eastAsia="Times New Roman"/>
                <w:color w:val="000000"/>
                <w:sz w:val="20"/>
                <w:szCs w:val="20"/>
                <w:lang w:eastAsia="ru-RU"/>
              </w:rPr>
              <w:t>Центральные электрические сети</w:t>
            </w:r>
          </w:p>
        </w:tc>
        <w:tc>
          <w:tcPr>
            <w:tcW w:w="6743" w:type="dxa"/>
            <w:shd w:val="clear" w:color="auto" w:fill="auto"/>
            <w:vAlign w:val="center"/>
            <w:hideMark/>
          </w:tcPr>
          <w:p w:rsidR="00BB2AFF" w:rsidRPr="004761E0" w:rsidRDefault="00BB2AFF" w:rsidP="00B13D17">
            <w:pPr>
              <w:ind w:firstLine="0"/>
              <w:jc w:val="left"/>
              <w:rPr>
                <w:rFonts w:eastAsia="Times New Roman"/>
                <w:color w:val="000000"/>
                <w:sz w:val="20"/>
                <w:szCs w:val="20"/>
                <w:lang w:eastAsia="ru-RU"/>
              </w:rPr>
            </w:pPr>
            <w:r w:rsidRPr="004761E0">
              <w:rPr>
                <w:rFonts w:eastAsia="Times New Roman"/>
                <w:color w:val="000000"/>
                <w:sz w:val="20"/>
                <w:szCs w:val="20"/>
                <w:lang w:eastAsia="ru-RU"/>
              </w:rPr>
              <w:t>115201, г. Москва, Каширское шоссе, д. 18</w:t>
            </w:r>
          </w:p>
        </w:tc>
      </w:tr>
      <w:tr w:rsidR="00BB2AFF" w:rsidRPr="004761E0" w:rsidTr="00B13D17">
        <w:trPr>
          <w:trHeight w:val="77"/>
        </w:trPr>
        <w:tc>
          <w:tcPr>
            <w:tcW w:w="505" w:type="dxa"/>
            <w:shd w:val="clear" w:color="auto" w:fill="auto"/>
            <w:vAlign w:val="center"/>
          </w:tcPr>
          <w:p w:rsidR="00BB2AFF" w:rsidRPr="004761E0" w:rsidRDefault="00BB2AFF" w:rsidP="007076A7">
            <w:pPr>
              <w:pStyle w:val="a5"/>
              <w:numPr>
                <w:ilvl w:val="0"/>
                <w:numId w:val="46"/>
              </w:numPr>
              <w:jc w:val="center"/>
              <w:rPr>
                <w:rFonts w:eastAsia="Times New Roman"/>
                <w:color w:val="000000"/>
                <w:sz w:val="20"/>
                <w:szCs w:val="20"/>
                <w:lang w:eastAsia="ru-RU"/>
              </w:rPr>
            </w:pPr>
          </w:p>
        </w:tc>
        <w:tc>
          <w:tcPr>
            <w:tcW w:w="3066" w:type="dxa"/>
            <w:shd w:val="clear" w:color="auto" w:fill="auto"/>
            <w:vAlign w:val="center"/>
            <w:hideMark/>
          </w:tcPr>
          <w:p w:rsidR="00BB2AFF" w:rsidRPr="004761E0" w:rsidRDefault="00BB2AFF" w:rsidP="00B13D17">
            <w:pPr>
              <w:ind w:firstLine="0"/>
              <w:jc w:val="left"/>
              <w:rPr>
                <w:rFonts w:eastAsia="Times New Roman"/>
                <w:color w:val="000000"/>
                <w:sz w:val="20"/>
                <w:szCs w:val="20"/>
                <w:lang w:eastAsia="ru-RU"/>
              </w:rPr>
            </w:pPr>
            <w:r w:rsidRPr="004761E0">
              <w:rPr>
                <w:rFonts w:eastAsia="Times New Roman"/>
                <w:color w:val="000000"/>
                <w:sz w:val="20"/>
                <w:szCs w:val="20"/>
                <w:lang w:eastAsia="ru-RU"/>
              </w:rPr>
              <w:t>Южные электрические сети</w:t>
            </w:r>
          </w:p>
        </w:tc>
        <w:tc>
          <w:tcPr>
            <w:tcW w:w="6743" w:type="dxa"/>
            <w:shd w:val="clear" w:color="auto" w:fill="auto"/>
            <w:vAlign w:val="center"/>
            <w:hideMark/>
          </w:tcPr>
          <w:p w:rsidR="00BB2AFF" w:rsidRPr="004761E0" w:rsidRDefault="00BB2AFF" w:rsidP="00B13D17">
            <w:pPr>
              <w:ind w:firstLine="0"/>
              <w:jc w:val="left"/>
              <w:rPr>
                <w:rFonts w:eastAsia="Times New Roman"/>
                <w:color w:val="000000"/>
                <w:sz w:val="20"/>
                <w:szCs w:val="20"/>
                <w:lang w:eastAsia="ru-RU"/>
              </w:rPr>
            </w:pPr>
            <w:r w:rsidRPr="004761E0">
              <w:rPr>
                <w:rFonts w:eastAsia="Times New Roman"/>
                <w:color w:val="000000"/>
                <w:sz w:val="20"/>
                <w:szCs w:val="20"/>
                <w:lang w:eastAsia="ru-RU"/>
              </w:rPr>
              <w:t>142117, Московская обл., г. Подольск, ул. Кирова, д. 65</w:t>
            </w:r>
          </w:p>
        </w:tc>
      </w:tr>
      <w:tr w:rsidR="00BB2AFF" w:rsidRPr="004761E0" w:rsidTr="00B13D17">
        <w:trPr>
          <w:trHeight w:val="77"/>
        </w:trPr>
        <w:tc>
          <w:tcPr>
            <w:tcW w:w="505" w:type="dxa"/>
            <w:shd w:val="clear" w:color="auto" w:fill="auto"/>
            <w:vAlign w:val="center"/>
          </w:tcPr>
          <w:p w:rsidR="00BB2AFF" w:rsidRPr="004761E0" w:rsidRDefault="00BB2AFF" w:rsidP="007076A7">
            <w:pPr>
              <w:pStyle w:val="a5"/>
              <w:numPr>
                <w:ilvl w:val="0"/>
                <w:numId w:val="46"/>
              </w:numPr>
              <w:jc w:val="center"/>
              <w:rPr>
                <w:rFonts w:eastAsia="Times New Roman"/>
                <w:color w:val="000000"/>
                <w:sz w:val="20"/>
                <w:szCs w:val="20"/>
                <w:lang w:eastAsia="ru-RU"/>
              </w:rPr>
            </w:pPr>
          </w:p>
        </w:tc>
        <w:tc>
          <w:tcPr>
            <w:tcW w:w="3066" w:type="dxa"/>
            <w:shd w:val="clear" w:color="auto" w:fill="auto"/>
            <w:vAlign w:val="center"/>
            <w:hideMark/>
          </w:tcPr>
          <w:p w:rsidR="00BB2AFF" w:rsidRPr="004761E0" w:rsidRDefault="00BB2AFF" w:rsidP="00B13D17">
            <w:pPr>
              <w:ind w:firstLine="0"/>
              <w:jc w:val="left"/>
              <w:rPr>
                <w:rFonts w:eastAsia="Times New Roman"/>
                <w:color w:val="000000"/>
                <w:sz w:val="20"/>
                <w:szCs w:val="20"/>
                <w:lang w:eastAsia="ru-RU"/>
              </w:rPr>
            </w:pPr>
            <w:r w:rsidRPr="004761E0">
              <w:rPr>
                <w:rFonts w:eastAsia="Times New Roman"/>
                <w:color w:val="000000"/>
                <w:sz w:val="20"/>
                <w:szCs w:val="20"/>
                <w:lang w:eastAsia="ru-RU"/>
              </w:rPr>
              <w:t>Восточные электрические сети</w:t>
            </w:r>
          </w:p>
        </w:tc>
        <w:tc>
          <w:tcPr>
            <w:tcW w:w="6743" w:type="dxa"/>
            <w:shd w:val="clear" w:color="auto" w:fill="auto"/>
            <w:vAlign w:val="center"/>
            <w:hideMark/>
          </w:tcPr>
          <w:p w:rsidR="00BB2AFF" w:rsidRPr="004761E0" w:rsidRDefault="00BB2AFF" w:rsidP="00B13D17">
            <w:pPr>
              <w:ind w:firstLine="0"/>
              <w:jc w:val="left"/>
              <w:rPr>
                <w:rFonts w:eastAsia="Times New Roman"/>
                <w:color w:val="000000"/>
                <w:sz w:val="20"/>
                <w:szCs w:val="20"/>
                <w:lang w:eastAsia="ru-RU"/>
              </w:rPr>
            </w:pPr>
            <w:r w:rsidRPr="004761E0">
              <w:rPr>
                <w:rFonts w:eastAsia="Times New Roman"/>
                <w:color w:val="000000"/>
                <w:sz w:val="20"/>
                <w:szCs w:val="20"/>
                <w:lang w:eastAsia="ru-RU"/>
              </w:rPr>
              <w:t>142400, Московская обл., г. Ногинск, ул. Радченко, д. 13</w:t>
            </w:r>
          </w:p>
        </w:tc>
      </w:tr>
      <w:tr w:rsidR="00BB2AFF" w:rsidRPr="004761E0" w:rsidTr="00B13D17">
        <w:trPr>
          <w:trHeight w:val="159"/>
        </w:trPr>
        <w:tc>
          <w:tcPr>
            <w:tcW w:w="505" w:type="dxa"/>
            <w:shd w:val="clear" w:color="auto" w:fill="auto"/>
            <w:vAlign w:val="center"/>
          </w:tcPr>
          <w:p w:rsidR="00BB2AFF" w:rsidRPr="004761E0" w:rsidRDefault="00BB2AFF" w:rsidP="007076A7">
            <w:pPr>
              <w:pStyle w:val="a5"/>
              <w:numPr>
                <w:ilvl w:val="0"/>
                <w:numId w:val="46"/>
              </w:numPr>
              <w:jc w:val="center"/>
              <w:rPr>
                <w:rFonts w:eastAsia="Times New Roman"/>
                <w:color w:val="000000"/>
                <w:sz w:val="20"/>
                <w:szCs w:val="20"/>
                <w:lang w:eastAsia="ru-RU"/>
              </w:rPr>
            </w:pPr>
          </w:p>
        </w:tc>
        <w:tc>
          <w:tcPr>
            <w:tcW w:w="3066" w:type="dxa"/>
            <w:shd w:val="clear" w:color="auto" w:fill="auto"/>
            <w:vAlign w:val="center"/>
            <w:hideMark/>
          </w:tcPr>
          <w:p w:rsidR="00BB2AFF" w:rsidRPr="004761E0" w:rsidRDefault="00BB2AFF" w:rsidP="00B13D17">
            <w:pPr>
              <w:ind w:firstLine="0"/>
              <w:jc w:val="left"/>
              <w:rPr>
                <w:rFonts w:eastAsia="Times New Roman"/>
                <w:color w:val="000000"/>
                <w:sz w:val="20"/>
                <w:szCs w:val="20"/>
                <w:lang w:eastAsia="ru-RU"/>
              </w:rPr>
            </w:pPr>
            <w:r w:rsidRPr="004761E0">
              <w:rPr>
                <w:rFonts w:eastAsia="Times New Roman"/>
                <w:color w:val="000000"/>
                <w:sz w:val="20"/>
                <w:szCs w:val="20"/>
                <w:lang w:eastAsia="ru-RU"/>
              </w:rPr>
              <w:t>Северные электрические сети</w:t>
            </w:r>
          </w:p>
        </w:tc>
        <w:tc>
          <w:tcPr>
            <w:tcW w:w="6743" w:type="dxa"/>
            <w:shd w:val="clear" w:color="auto" w:fill="auto"/>
            <w:vAlign w:val="center"/>
            <w:hideMark/>
          </w:tcPr>
          <w:p w:rsidR="00BB2AFF" w:rsidRPr="004761E0" w:rsidRDefault="00BB2AFF" w:rsidP="00B13D17">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127254, г. Москва, ул. Руставели, д. 2  </w:t>
            </w:r>
          </w:p>
        </w:tc>
      </w:tr>
      <w:tr w:rsidR="00BB2AFF" w:rsidRPr="004761E0" w:rsidTr="00B13D17">
        <w:trPr>
          <w:trHeight w:val="164"/>
        </w:trPr>
        <w:tc>
          <w:tcPr>
            <w:tcW w:w="505" w:type="dxa"/>
            <w:shd w:val="clear" w:color="auto" w:fill="auto"/>
            <w:vAlign w:val="center"/>
          </w:tcPr>
          <w:p w:rsidR="00BB2AFF" w:rsidRPr="004761E0" w:rsidRDefault="00BB2AFF" w:rsidP="007076A7">
            <w:pPr>
              <w:pStyle w:val="a5"/>
              <w:numPr>
                <w:ilvl w:val="0"/>
                <w:numId w:val="46"/>
              </w:numPr>
              <w:jc w:val="center"/>
              <w:rPr>
                <w:rFonts w:eastAsia="Times New Roman"/>
                <w:color w:val="000000"/>
                <w:sz w:val="20"/>
                <w:szCs w:val="20"/>
                <w:lang w:eastAsia="ru-RU"/>
              </w:rPr>
            </w:pPr>
          </w:p>
        </w:tc>
        <w:tc>
          <w:tcPr>
            <w:tcW w:w="3066" w:type="dxa"/>
            <w:shd w:val="clear" w:color="auto" w:fill="auto"/>
            <w:vAlign w:val="center"/>
            <w:hideMark/>
          </w:tcPr>
          <w:p w:rsidR="00BB2AFF" w:rsidRPr="004761E0" w:rsidRDefault="00BB2AFF" w:rsidP="00B13D17">
            <w:pPr>
              <w:ind w:firstLine="0"/>
              <w:jc w:val="left"/>
              <w:rPr>
                <w:rFonts w:eastAsia="Times New Roman"/>
                <w:color w:val="000000"/>
                <w:sz w:val="20"/>
                <w:szCs w:val="20"/>
                <w:lang w:eastAsia="ru-RU"/>
              </w:rPr>
            </w:pPr>
            <w:r w:rsidRPr="004761E0">
              <w:rPr>
                <w:rFonts w:eastAsia="Times New Roman"/>
                <w:color w:val="000000"/>
                <w:sz w:val="20"/>
                <w:szCs w:val="20"/>
                <w:lang w:eastAsia="ru-RU"/>
              </w:rPr>
              <w:t>Западные электрические сети</w:t>
            </w:r>
          </w:p>
        </w:tc>
        <w:tc>
          <w:tcPr>
            <w:tcW w:w="6743" w:type="dxa"/>
            <w:shd w:val="clear" w:color="auto" w:fill="auto"/>
            <w:vAlign w:val="center"/>
            <w:hideMark/>
          </w:tcPr>
          <w:p w:rsidR="00BB2AFF" w:rsidRPr="004761E0" w:rsidRDefault="00BB2AFF" w:rsidP="00B13D17">
            <w:pPr>
              <w:ind w:firstLine="0"/>
              <w:jc w:val="left"/>
              <w:rPr>
                <w:rFonts w:eastAsia="Times New Roman"/>
                <w:color w:val="000000"/>
                <w:sz w:val="20"/>
                <w:szCs w:val="20"/>
                <w:lang w:eastAsia="ru-RU"/>
              </w:rPr>
            </w:pPr>
            <w:r w:rsidRPr="004761E0">
              <w:rPr>
                <w:rFonts w:eastAsia="Times New Roman"/>
                <w:color w:val="000000"/>
                <w:sz w:val="20"/>
                <w:szCs w:val="20"/>
                <w:lang w:eastAsia="ru-RU"/>
              </w:rPr>
              <w:t>121170, г. Москва, ул. 1812 года, вл. 15</w:t>
            </w:r>
          </w:p>
        </w:tc>
      </w:tr>
      <w:tr w:rsidR="00BB2AFF" w:rsidRPr="004761E0" w:rsidTr="00B13D17">
        <w:trPr>
          <w:trHeight w:val="77"/>
        </w:trPr>
        <w:tc>
          <w:tcPr>
            <w:tcW w:w="505" w:type="dxa"/>
            <w:shd w:val="clear" w:color="auto" w:fill="auto"/>
            <w:vAlign w:val="center"/>
          </w:tcPr>
          <w:p w:rsidR="00BB2AFF" w:rsidRPr="004761E0" w:rsidRDefault="00BB2AFF" w:rsidP="007076A7">
            <w:pPr>
              <w:pStyle w:val="a5"/>
              <w:numPr>
                <w:ilvl w:val="0"/>
                <w:numId w:val="46"/>
              </w:numPr>
              <w:jc w:val="center"/>
              <w:rPr>
                <w:rFonts w:eastAsia="Times New Roman"/>
                <w:color w:val="000000"/>
                <w:sz w:val="20"/>
                <w:szCs w:val="20"/>
                <w:lang w:eastAsia="ru-RU"/>
              </w:rPr>
            </w:pPr>
          </w:p>
        </w:tc>
        <w:tc>
          <w:tcPr>
            <w:tcW w:w="3066" w:type="dxa"/>
            <w:shd w:val="clear" w:color="auto" w:fill="auto"/>
            <w:vAlign w:val="center"/>
            <w:hideMark/>
          </w:tcPr>
          <w:p w:rsidR="00BB2AFF" w:rsidRPr="004761E0" w:rsidRDefault="00BB2AFF" w:rsidP="00B13D17">
            <w:pPr>
              <w:ind w:firstLine="0"/>
              <w:jc w:val="left"/>
              <w:rPr>
                <w:rFonts w:eastAsia="Times New Roman"/>
                <w:color w:val="000000"/>
                <w:sz w:val="20"/>
                <w:szCs w:val="20"/>
                <w:lang w:eastAsia="ru-RU"/>
              </w:rPr>
            </w:pPr>
            <w:r w:rsidRPr="004761E0">
              <w:rPr>
                <w:rFonts w:eastAsia="Times New Roman"/>
                <w:color w:val="000000"/>
                <w:sz w:val="20"/>
                <w:szCs w:val="20"/>
                <w:lang w:eastAsia="ru-RU"/>
              </w:rPr>
              <w:t>Высоковольтные кабельные сети</w:t>
            </w:r>
          </w:p>
        </w:tc>
        <w:tc>
          <w:tcPr>
            <w:tcW w:w="6743" w:type="dxa"/>
            <w:shd w:val="clear" w:color="auto" w:fill="auto"/>
            <w:vAlign w:val="center"/>
            <w:hideMark/>
          </w:tcPr>
          <w:p w:rsidR="00BB2AFF" w:rsidRPr="004761E0" w:rsidRDefault="00BB2AFF" w:rsidP="00B13D17">
            <w:pPr>
              <w:ind w:firstLine="0"/>
              <w:jc w:val="left"/>
              <w:rPr>
                <w:rFonts w:eastAsia="Times New Roman"/>
                <w:color w:val="000000"/>
                <w:sz w:val="20"/>
                <w:szCs w:val="20"/>
                <w:lang w:eastAsia="ru-RU"/>
              </w:rPr>
            </w:pPr>
            <w:r w:rsidRPr="004761E0">
              <w:rPr>
                <w:rFonts w:eastAsia="Times New Roman"/>
                <w:color w:val="000000"/>
                <w:sz w:val="20"/>
                <w:szCs w:val="20"/>
                <w:lang w:eastAsia="ru-RU"/>
              </w:rPr>
              <w:t>107140, г. Москва, ул. Нижняя Красносельская, д. 6, стр.1</w:t>
            </w:r>
          </w:p>
        </w:tc>
      </w:tr>
      <w:tr w:rsidR="00BB2AFF" w:rsidRPr="004761E0" w:rsidTr="00B13D17">
        <w:trPr>
          <w:trHeight w:val="217"/>
        </w:trPr>
        <w:tc>
          <w:tcPr>
            <w:tcW w:w="505" w:type="dxa"/>
            <w:shd w:val="clear" w:color="auto" w:fill="auto"/>
            <w:vAlign w:val="center"/>
          </w:tcPr>
          <w:p w:rsidR="00BB2AFF" w:rsidRPr="004761E0" w:rsidRDefault="00BB2AFF" w:rsidP="007076A7">
            <w:pPr>
              <w:pStyle w:val="a5"/>
              <w:numPr>
                <w:ilvl w:val="0"/>
                <w:numId w:val="46"/>
              </w:numPr>
              <w:jc w:val="center"/>
              <w:rPr>
                <w:rFonts w:eastAsia="Times New Roman"/>
                <w:color w:val="000000"/>
                <w:sz w:val="20"/>
                <w:szCs w:val="20"/>
                <w:lang w:eastAsia="ru-RU"/>
              </w:rPr>
            </w:pPr>
          </w:p>
        </w:tc>
        <w:tc>
          <w:tcPr>
            <w:tcW w:w="3066" w:type="dxa"/>
            <w:shd w:val="clear" w:color="auto" w:fill="auto"/>
            <w:vAlign w:val="center"/>
            <w:hideMark/>
          </w:tcPr>
          <w:p w:rsidR="00BB2AFF" w:rsidRPr="004761E0" w:rsidRDefault="00BB2AFF" w:rsidP="00B13D17">
            <w:pPr>
              <w:ind w:firstLine="0"/>
              <w:jc w:val="left"/>
              <w:rPr>
                <w:rFonts w:eastAsia="Times New Roman"/>
                <w:color w:val="000000"/>
                <w:sz w:val="20"/>
                <w:szCs w:val="20"/>
                <w:lang w:eastAsia="ru-RU"/>
              </w:rPr>
            </w:pPr>
            <w:r w:rsidRPr="004761E0">
              <w:rPr>
                <w:rFonts w:eastAsia="Times New Roman"/>
                <w:color w:val="000000"/>
                <w:sz w:val="20"/>
                <w:szCs w:val="20"/>
                <w:lang w:eastAsia="ru-RU"/>
              </w:rPr>
              <w:t>Московские кабельные сети</w:t>
            </w:r>
          </w:p>
        </w:tc>
        <w:tc>
          <w:tcPr>
            <w:tcW w:w="6743" w:type="dxa"/>
            <w:shd w:val="clear" w:color="auto" w:fill="auto"/>
            <w:vAlign w:val="center"/>
            <w:hideMark/>
          </w:tcPr>
          <w:p w:rsidR="00BB2AFF" w:rsidRPr="004761E0" w:rsidRDefault="00BB2AFF" w:rsidP="00B13D17">
            <w:pPr>
              <w:ind w:firstLine="0"/>
              <w:jc w:val="left"/>
              <w:rPr>
                <w:rFonts w:eastAsia="Times New Roman"/>
                <w:color w:val="000000"/>
                <w:sz w:val="20"/>
                <w:szCs w:val="20"/>
                <w:lang w:eastAsia="ru-RU"/>
              </w:rPr>
            </w:pPr>
            <w:r w:rsidRPr="004761E0">
              <w:rPr>
                <w:rFonts w:eastAsia="Times New Roman"/>
                <w:color w:val="000000"/>
                <w:sz w:val="20"/>
                <w:szCs w:val="20"/>
                <w:lang w:eastAsia="ru-RU"/>
              </w:rPr>
              <w:t>115035, г. Москва, ул. Садовническая, д. 36, стр. 1</w:t>
            </w:r>
          </w:p>
        </w:tc>
      </w:tr>
      <w:tr w:rsidR="00BB2AFF" w:rsidRPr="004761E0" w:rsidTr="00B13D17">
        <w:trPr>
          <w:trHeight w:val="77"/>
        </w:trPr>
        <w:tc>
          <w:tcPr>
            <w:tcW w:w="505" w:type="dxa"/>
            <w:shd w:val="clear" w:color="auto" w:fill="auto"/>
            <w:vAlign w:val="center"/>
          </w:tcPr>
          <w:p w:rsidR="00BB2AFF" w:rsidRPr="004761E0" w:rsidRDefault="00BB2AFF" w:rsidP="007076A7">
            <w:pPr>
              <w:pStyle w:val="a5"/>
              <w:numPr>
                <w:ilvl w:val="0"/>
                <w:numId w:val="46"/>
              </w:numPr>
              <w:jc w:val="center"/>
              <w:rPr>
                <w:rFonts w:eastAsia="Times New Roman"/>
                <w:color w:val="000000"/>
                <w:sz w:val="20"/>
                <w:szCs w:val="20"/>
                <w:lang w:eastAsia="ru-RU"/>
              </w:rPr>
            </w:pPr>
          </w:p>
        </w:tc>
        <w:tc>
          <w:tcPr>
            <w:tcW w:w="3066" w:type="dxa"/>
            <w:shd w:val="clear" w:color="auto" w:fill="auto"/>
            <w:vAlign w:val="center"/>
            <w:hideMark/>
          </w:tcPr>
          <w:p w:rsidR="00BB2AFF" w:rsidRPr="004761E0" w:rsidRDefault="00BB2AFF" w:rsidP="00B13D17">
            <w:pPr>
              <w:ind w:firstLine="0"/>
              <w:jc w:val="left"/>
              <w:rPr>
                <w:rFonts w:eastAsia="Times New Roman"/>
                <w:color w:val="000000"/>
                <w:sz w:val="20"/>
                <w:szCs w:val="20"/>
                <w:lang w:eastAsia="ru-RU"/>
              </w:rPr>
            </w:pPr>
            <w:r w:rsidRPr="004761E0">
              <w:rPr>
                <w:rFonts w:eastAsia="Times New Roman"/>
                <w:color w:val="000000"/>
                <w:sz w:val="20"/>
                <w:szCs w:val="20"/>
                <w:lang w:eastAsia="ru-RU"/>
              </w:rPr>
              <w:t>Новая Москва</w:t>
            </w:r>
          </w:p>
        </w:tc>
        <w:tc>
          <w:tcPr>
            <w:tcW w:w="6743" w:type="dxa"/>
            <w:shd w:val="clear" w:color="auto" w:fill="auto"/>
            <w:vAlign w:val="center"/>
            <w:hideMark/>
          </w:tcPr>
          <w:p w:rsidR="00BB2AFF" w:rsidRPr="004761E0" w:rsidRDefault="00BB2AFF" w:rsidP="00B13D17">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142784, г. Москва, город Московский, 1-ый мкрн, Коммунальная зона, вл. 4 </w:t>
            </w:r>
          </w:p>
        </w:tc>
      </w:tr>
      <w:tr w:rsidR="00BB2AFF" w:rsidRPr="004761E0" w:rsidTr="00B13D17">
        <w:trPr>
          <w:trHeight w:val="246"/>
        </w:trPr>
        <w:tc>
          <w:tcPr>
            <w:tcW w:w="505" w:type="dxa"/>
            <w:shd w:val="clear" w:color="auto" w:fill="auto"/>
            <w:vAlign w:val="center"/>
          </w:tcPr>
          <w:p w:rsidR="00BB2AFF" w:rsidRPr="004761E0" w:rsidRDefault="00BB2AFF" w:rsidP="007076A7">
            <w:pPr>
              <w:pStyle w:val="a5"/>
              <w:numPr>
                <w:ilvl w:val="0"/>
                <w:numId w:val="46"/>
              </w:numPr>
              <w:jc w:val="center"/>
              <w:rPr>
                <w:rFonts w:eastAsia="Times New Roman"/>
                <w:color w:val="000000"/>
                <w:sz w:val="20"/>
                <w:szCs w:val="20"/>
                <w:lang w:eastAsia="ru-RU"/>
              </w:rPr>
            </w:pPr>
          </w:p>
        </w:tc>
        <w:tc>
          <w:tcPr>
            <w:tcW w:w="3066" w:type="dxa"/>
            <w:shd w:val="clear" w:color="auto" w:fill="auto"/>
            <w:vAlign w:val="center"/>
            <w:hideMark/>
          </w:tcPr>
          <w:p w:rsidR="00BB2AFF" w:rsidRPr="004761E0" w:rsidRDefault="00BB2AFF" w:rsidP="00B13D17">
            <w:pPr>
              <w:ind w:firstLine="0"/>
              <w:jc w:val="left"/>
              <w:rPr>
                <w:rFonts w:eastAsia="Times New Roman"/>
                <w:color w:val="000000"/>
                <w:sz w:val="20"/>
                <w:szCs w:val="20"/>
                <w:lang w:eastAsia="ru-RU"/>
              </w:rPr>
            </w:pPr>
            <w:r w:rsidRPr="004761E0">
              <w:rPr>
                <w:rFonts w:eastAsia="Times New Roman"/>
                <w:color w:val="000000"/>
                <w:sz w:val="20"/>
                <w:szCs w:val="20"/>
                <w:lang w:eastAsia="ru-RU"/>
              </w:rPr>
              <w:t>Энергоучет</w:t>
            </w:r>
          </w:p>
        </w:tc>
        <w:tc>
          <w:tcPr>
            <w:tcW w:w="6743" w:type="dxa"/>
            <w:shd w:val="clear" w:color="auto" w:fill="auto"/>
            <w:vAlign w:val="center"/>
            <w:hideMark/>
          </w:tcPr>
          <w:p w:rsidR="00BB2AFF" w:rsidRPr="004761E0" w:rsidRDefault="00BB2AFF" w:rsidP="00B13D17">
            <w:pPr>
              <w:ind w:firstLine="0"/>
              <w:jc w:val="left"/>
              <w:rPr>
                <w:rFonts w:eastAsia="Times New Roman"/>
                <w:color w:val="000000"/>
                <w:sz w:val="20"/>
                <w:szCs w:val="20"/>
                <w:lang w:eastAsia="ru-RU"/>
              </w:rPr>
            </w:pPr>
            <w:r w:rsidRPr="004761E0">
              <w:rPr>
                <w:rFonts w:eastAsia="Times New Roman"/>
                <w:color w:val="000000"/>
                <w:sz w:val="20"/>
                <w:szCs w:val="20"/>
                <w:lang w:eastAsia="ru-RU"/>
              </w:rPr>
              <w:t>115569, г. Москва, ул. Шипиловская, д.13, корп. 2</w:t>
            </w:r>
          </w:p>
        </w:tc>
      </w:tr>
    </w:tbl>
    <w:p w:rsidR="00BB2AFF" w:rsidRPr="004761E0" w:rsidRDefault="00BB2AFF" w:rsidP="00BB2AFF">
      <w:pPr>
        <w:spacing w:before="120" w:after="120"/>
        <w:ind w:firstLine="567"/>
        <w:rPr>
          <w:b/>
          <w:sz w:val="26"/>
          <w:szCs w:val="26"/>
        </w:rPr>
      </w:pPr>
      <w:r w:rsidRPr="004761E0">
        <w:rPr>
          <w:b/>
          <w:sz w:val="26"/>
          <w:szCs w:val="26"/>
        </w:rPr>
        <w:t>Энергоучет</w:t>
      </w:r>
    </w:p>
    <w:p w:rsidR="00BB2AFF" w:rsidRPr="004761E0" w:rsidRDefault="00BB2AFF" w:rsidP="00C7702C">
      <w:pPr>
        <w:ind w:firstLine="567"/>
        <w:rPr>
          <w:bCs/>
          <w:iCs/>
          <w:sz w:val="26"/>
          <w:szCs w:val="26"/>
        </w:rPr>
      </w:pPr>
      <w:r w:rsidRPr="004761E0">
        <w:rPr>
          <w:bCs/>
          <w:iCs/>
          <w:sz w:val="26"/>
          <w:szCs w:val="26"/>
        </w:rPr>
        <w:t xml:space="preserve">Филиал Энергоучет создан </w:t>
      </w:r>
      <w:r w:rsidR="00C7702C">
        <w:rPr>
          <w:bCs/>
          <w:iCs/>
          <w:sz w:val="26"/>
          <w:szCs w:val="26"/>
        </w:rPr>
        <w:t>20</w:t>
      </w:r>
      <w:r w:rsidRPr="004761E0">
        <w:rPr>
          <w:bCs/>
          <w:iCs/>
          <w:sz w:val="26"/>
          <w:szCs w:val="26"/>
        </w:rPr>
        <w:t>.0</w:t>
      </w:r>
      <w:r w:rsidR="00C7702C">
        <w:rPr>
          <w:bCs/>
          <w:iCs/>
          <w:sz w:val="26"/>
          <w:szCs w:val="26"/>
        </w:rPr>
        <w:t>5</w:t>
      </w:r>
      <w:r w:rsidRPr="004761E0">
        <w:rPr>
          <w:bCs/>
          <w:iCs/>
          <w:sz w:val="26"/>
          <w:szCs w:val="26"/>
        </w:rPr>
        <w:t>.2013</w:t>
      </w:r>
      <w:r w:rsidRPr="006F4AB8">
        <w:rPr>
          <w:rStyle w:val="af1"/>
        </w:rPr>
        <w:footnoteReference w:id="3"/>
      </w:r>
      <w:r w:rsidRPr="004761E0">
        <w:rPr>
          <w:bCs/>
          <w:iCs/>
          <w:sz w:val="26"/>
          <w:szCs w:val="26"/>
        </w:rPr>
        <w:t xml:space="preserve">. Основными целями </w:t>
      </w:r>
      <w:r w:rsidR="00C7702C">
        <w:rPr>
          <w:bCs/>
          <w:iCs/>
          <w:sz w:val="26"/>
          <w:szCs w:val="26"/>
        </w:rPr>
        <w:t>данного</w:t>
      </w:r>
      <w:r w:rsidRPr="004761E0">
        <w:rPr>
          <w:bCs/>
          <w:iCs/>
          <w:sz w:val="26"/>
          <w:szCs w:val="26"/>
        </w:rPr>
        <w:t xml:space="preserve"> филиала являются: </w:t>
      </w:r>
    </w:p>
    <w:p w:rsidR="00BB2AFF" w:rsidRPr="004761E0" w:rsidRDefault="00BB2AFF" w:rsidP="007076A7">
      <w:pPr>
        <w:numPr>
          <w:ilvl w:val="0"/>
          <w:numId w:val="300"/>
        </w:numPr>
        <w:tabs>
          <w:tab w:val="clear" w:pos="720"/>
          <w:tab w:val="num" w:pos="1134"/>
        </w:tabs>
        <w:ind w:left="1134" w:hanging="567"/>
        <w:rPr>
          <w:bCs/>
          <w:iCs/>
          <w:sz w:val="26"/>
          <w:szCs w:val="26"/>
        </w:rPr>
      </w:pPr>
      <w:r w:rsidRPr="004761E0">
        <w:rPr>
          <w:rFonts w:eastAsia="Times New Roman"/>
          <w:bCs/>
          <w:iCs/>
          <w:sz w:val="26"/>
          <w:szCs w:val="26"/>
        </w:rPr>
        <w:t>повы</w:t>
      </w:r>
      <w:r w:rsidRPr="004761E0">
        <w:rPr>
          <w:bCs/>
          <w:iCs/>
          <w:sz w:val="26"/>
          <w:szCs w:val="26"/>
        </w:rPr>
        <w:t>шение</w:t>
      </w:r>
      <w:r w:rsidRPr="004761E0">
        <w:rPr>
          <w:rFonts w:eastAsia="Times New Roman"/>
          <w:bCs/>
          <w:iCs/>
          <w:sz w:val="26"/>
          <w:szCs w:val="26"/>
        </w:rPr>
        <w:t xml:space="preserve"> оперативност</w:t>
      </w:r>
      <w:r w:rsidRPr="004761E0">
        <w:rPr>
          <w:bCs/>
          <w:iCs/>
          <w:sz w:val="26"/>
          <w:szCs w:val="26"/>
        </w:rPr>
        <w:t>и</w:t>
      </w:r>
      <w:r w:rsidRPr="004761E0">
        <w:rPr>
          <w:rFonts w:eastAsia="Times New Roman"/>
          <w:bCs/>
          <w:iCs/>
          <w:sz w:val="26"/>
          <w:szCs w:val="26"/>
        </w:rPr>
        <w:t xml:space="preserve"> выявления мест возникновения «очагов» потерь электроэнергии;</w:t>
      </w:r>
    </w:p>
    <w:p w:rsidR="00BB2AFF" w:rsidRPr="004761E0" w:rsidRDefault="00BB2AFF" w:rsidP="007076A7">
      <w:pPr>
        <w:pStyle w:val="a5"/>
        <w:numPr>
          <w:ilvl w:val="0"/>
          <w:numId w:val="299"/>
        </w:numPr>
        <w:tabs>
          <w:tab w:val="left" w:pos="1134"/>
        </w:tabs>
        <w:ind w:left="1134" w:hanging="567"/>
        <w:contextualSpacing w:val="0"/>
        <w:rPr>
          <w:sz w:val="26"/>
          <w:szCs w:val="26"/>
        </w:rPr>
      </w:pPr>
      <w:r w:rsidRPr="004761E0">
        <w:rPr>
          <w:sz w:val="26"/>
          <w:szCs w:val="26"/>
        </w:rPr>
        <w:t>улучшение контроля соблюдения участниками рынка договорных режимов потребления электроэнергии со стороны оптового рынка, субъектов оперативно-диспетчерского управления и распределительных компаний;</w:t>
      </w:r>
    </w:p>
    <w:p w:rsidR="00BB2AFF" w:rsidRPr="004761E0" w:rsidRDefault="00BB2AFF" w:rsidP="007076A7">
      <w:pPr>
        <w:pStyle w:val="a5"/>
        <w:numPr>
          <w:ilvl w:val="0"/>
          <w:numId w:val="299"/>
        </w:numPr>
        <w:tabs>
          <w:tab w:val="left" w:pos="1134"/>
        </w:tabs>
        <w:ind w:left="1134" w:hanging="567"/>
        <w:contextualSpacing w:val="0"/>
        <w:rPr>
          <w:sz w:val="26"/>
          <w:szCs w:val="26"/>
        </w:rPr>
      </w:pPr>
      <w:r w:rsidRPr="004761E0">
        <w:rPr>
          <w:iCs/>
          <w:sz w:val="26"/>
          <w:szCs w:val="26"/>
        </w:rPr>
        <w:t xml:space="preserve">получение возможности составления плановых балансов производства и потребления электроэнергии  и прогнозов потребления. </w:t>
      </w:r>
    </w:p>
    <w:p w:rsidR="00BB2AFF" w:rsidRPr="004761E0" w:rsidRDefault="00BB2AFF" w:rsidP="007076A7">
      <w:pPr>
        <w:pStyle w:val="a5"/>
        <w:numPr>
          <w:ilvl w:val="0"/>
          <w:numId w:val="301"/>
        </w:numPr>
        <w:ind w:left="1134" w:hanging="567"/>
        <w:contextualSpacing w:val="0"/>
        <w:rPr>
          <w:rFonts w:eastAsia="Times New Roman"/>
          <w:sz w:val="26"/>
          <w:szCs w:val="26"/>
          <w:lang w:eastAsia="ru-RU"/>
        </w:rPr>
      </w:pPr>
      <w:r w:rsidRPr="004761E0">
        <w:rPr>
          <w:sz w:val="26"/>
          <w:szCs w:val="26"/>
        </w:rPr>
        <w:t>своевременное и качественное обеспечение участников оптового и</w:t>
      </w:r>
      <w:r w:rsidRPr="004761E0">
        <w:rPr>
          <w:rFonts w:eastAsia="Times New Roman"/>
          <w:sz w:val="26"/>
          <w:szCs w:val="26"/>
          <w:lang w:eastAsia="ru-RU"/>
        </w:rPr>
        <w:t xml:space="preserve"> розничного рынка электроэнергии достоверной информацией о величине фактически отпущенной/принятой электроэнергии и мощности.</w:t>
      </w:r>
    </w:p>
    <w:p w:rsidR="00BB2AFF" w:rsidRPr="004761E0" w:rsidRDefault="00BB2AFF" w:rsidP="00BB2AFF">
      <w:pPr>
        <w:ind w:left="567" w:firstLine="567"/>
        <w:rPr>
          <w:sz w:val="26"/>
          <w:szCs w:val="26"/>
        </w:rPr>
      </w:pPr>
      <w:r w:rsidRPr="004761E0">
        <w:rPr>
          <w:sz w:val="26"/>
          <w:szCs w:val="26"/>
        </w:rPr>
        <w:t>Создание филиала позволит Обществу добиться следующих результатов:</w:t>
      </w:r>
    </w:p>
    <w:p w:rsidR="00BB2AFF" w:rsidRPr="004761E0" w:rsidRDefault="00BB2AFF" w:rsidP="007076A7">
      <w:pPr>
        <w:numPr>
          <w:ilvl w:val="0"/>
          <w:numId w:val="300"/>
        </w:numPr>
        <w:tabs>
          <w:tab w:val="clear" w:pos="720"/>
          <w:tab w:val="num" w:pos="1134"/>
        </w:tabs>
        <w:ind w:left="1134" w:hanging="567"/>
        <w:rPr>
          <w:rFonts w:eastAsia="Times New Roman"/>
          <w:sz w:val="26"/>
          <w:szCs w:val="26"/>
          <w:lang w:eastAsia="ru-RU"/>
        </w:rPr>
      </w:pPr>
      <w:r w:rsidRPr="004761E0">
        <w:rPr>
          <w:rFonts w:eastAsia="Times New Roman"/>
          <w:sz w:val="26"/>
          <w:szCs w:val="26"/>
          <w:lang w:eastAsia="ru-RU"/>
        </w:rPr>
        <w:t>оптимизировать количество персонала, осуществляющего функцию коммерческого учета;</w:t>
      </w:r>
    </w:p>
    <w:p w:rsidR="00BB2AFF" w:rsidRPr="004761E0" w:rsidRDefault="00BB2AFF" w:rsidP="007076A7">
      <w:pPr>
        <w:numPr>
          <w:ilvl w:val="0"/>
          <w:numId w:val="300"/>
        </w:numPr>
        <w:tabs>
          <w:tab w:val="clear" w:pos="720"/>
          <w:tab w:val="num" w:pos="1134"/>
        </w:tabs>
        <w:ind w:left="1134" w:hanging="567"/>
        <w:rPr>
          <w:rFonts w:eastAsia="Times New Roman"/>
          <w:sz w:val="26"/>
          <w:szCs w:val="26"/>
          <w:lang w:eastAsia="ru-RU"/>
        </w:rPr>
      </w:pPr>
      <w:r w:rsidRPr="004761E0">
        <w:rPr>
          <w:rFonts w:eastAsia="Times New Roman"/>
          <w:sz w:val="26"/>
          <w:szCs w:val="26"/>
          <w:lang w:eastAsia="ru-RU"/>
        </w:rPr>
        <w:t>увеличить</w:t>
      </w:r>
      <w:r w:rsidRPr="004761E0">
        <w:rPr>
          <w:sz w:val="26"/>
          <w:szCs w:val="26"/>
        </w:rPr>
        <w:t xml:space="preserve"> </w:t>
      </w:r>
      <w:r w:rsidRPr="004761E0">
        <w:rPr>
          <w:rFonts w:eastAsia="Times New Roman"/>
          <w:sz w:val="26"/>
          <w:szCs w:val="26"/>
          <w:lang w:eastAsia="ru-RU"/>
        </w:rPr>
        <w:t>доход</w:t>
      </w:r>
      <w:r w:rsidRPr="004761E0">
        <w:rPr>
          <w:sz w:val="26"/>
          <w:szCs w:val="26"/>
        </w:rPr>
        <w:t xml:space="preserve"> </w:t>
      </w:r>
      <w:r w:rsidRPr="004761E0">
        <w:rPr>
          <w:rFonts w:eastAsia="Times New Roman"/>
          <w:sz w:val="26"/>
          <w:szCs w:val="26"/>
          <w:lang w:eastAsia="ru-RU"/>
        </w:rPr>
        <w:t>за</w:t>
      </w:r>
      <w:r w:rsidRPr="004761E0">
        <w:rPr>
          <w:sz w:val="26"/>
          <w:szCs w:val="26"/>
        </w:rPr>
        <w:t xml:space="preserve"> </w:t>
      </w:r>
      <w:r w:rsidRPr="004761E0">
        <w:rPr>
          <w:rFonts w:eastAsia="Times New Roman"/>
          <w:sz w:val="26"/>
          <w:szCs w:val="26"/>
          <w:lang w:eastAsia="ru-RU"/>
        </w:rPr>
        <w:t>счет снижения затрат на компенсацию потерь электроэ</w:t>
      </w:r>
      <w:r w:rsidRPr="004761E0">
        <w:rPr>
          <w:sz w:val="26"/>
          <w:szCs w:val="26"/>
        </w:rPr>
        <w:t xml:space="preserve">нергии при ее передаче по сетям </w:t>
      </w:r>
      <w:r w:rsidR="0008080E">
        <w:rPr>
          <w:rFonts w:eastAsia="Times New Roman"/>
          <w:sz w:val="26"/>
          <w:szCs w:val="26"/>
          <w:lang w:eastAsia="ru-RU"/>
        </w:rPr>
        <w:t>ОАО </w:t>
      </w:r>
      <w:r w:rsidRPr="004761E0">
        <w:rPr>
          <w:rFonts w:eastAsia="Times New Roman"/>
          <w:sz w:val="26"/>
          <w:szCs w:val="26"/>
          <w:lang w:eastAsia="ru-RU"/>
        </w:rPr>
        <w:t>«МОЭСК» и оказания дополнительных услуг потребителям электроэнергии.</w:t>
      </w:r>
    </w:p>
    <w:p w:rsidR="00BB2AFF" w:rsidRPr="004761E0" w:rsidRDefault="00BB2AFF" w:rsidP="00BB2AFF">
      <w:pPr>
        <w:spacing w:before="120" w:after="120"/>
        <w:ind w:firstLine="567"/>
        <w:rPr>
          <w:b/>
          <w:sz w:val="26"/>
          <w:szCs w:val="26"/>
        </w:rPr>
      </w:pPr>
      <w:r w:rsidRPr="004761E0">
        <w:rPr>
          <w:b/>
          <w:sz w:val="26"/>
          <w:szCs w:val="26"/>
        </w:rPr>
        <w:t xml:space="preserve">Новая Москва </w:t>
      </w:r>
    </w:p>
    <w:p w:rsidR="00BB2AFF" w:rsidRPr="004761E0" w:rsidRDefault="00BB2AFF" w:rsidP="00BB2AFF">
      <w:pPr>
        <w:ind w:firstLine="567"/>
        <w:rPr>
          <w:sz w:val="26"/>
          <w:szCs w:val="26"/>
        </w:rPr>
      </w:pPr>
      <w:r w:rsidRPr="004761E0">
        <w:rPr>
          <w:sz w:val="26"/>
          <w:szCs w:val="26"/>
        </w:rPr>
        <w:t>С 01.07.2012 утверждено</w:t>
      </w:r>
      <w:r w:rsidRPr="006F4AB8">
        <w:rPr>
          <w:rStyle w:val="af1"/>
        </w:rPr>
        <w:footnoteReference w:id="4"/>
      </w:r>
      <w:r w:rsidRPr="004761E0">
        <w:rPr>
          <w:sz w:val="26"/>
          <w:szCs w:val="26"/>
        </w:rPr>
        <w:t xml:space="preserve"> изменение границ </w:t>
      </w:r>
      <w:proofErr w:type="gramStart"/>
      <w:r w:rsidRPr="004761E0">
        <w:rPr>
          <w:sz w:val="26"/>
          <w:szCs w:val="26"/>
        </w:rPr>
        <w:t>г</w:t>
      </w:r>
      <w:proofErr w:type="gramEnd"/>
      <w:r w:rsidRPr="004761E0">
        <w:rPr>
          <w:sz w:val="26"/>
          <w:szCs w:val="26"/>
        </w:rPr>
        <w:t>. Москвы и Московской области (перевод 144 тыс. га с населением 230 тыс. чел.). Наименования и границы новых внутригородских муниципальных образований г.</w:t>
      </w:r>
      <w:r w:rsidR="00F40969">
        <w:rPr>
          <w:sz w:val="26"/>
          <w:szCs w:val="26"/>
        </w:rPr>
        <w:t> </w:t>
      </w:r>
      <w:r w:rsidRPr="004761E0">
        <w:rPr>
          <w:sz w:val="26"/>
          <w:szCs w:val="26"/>
        </w:rPr>
        <w:t>Москвы обозначены 01.07.2012</w:t>
      </w:r>
      <w:r w:rsidRPr="006F4AB8">
        <w:rPr>
          <w:rStyle w:val="af1"/>
        </w:rPr>
        <w:footnoteReference w:id="5"/>
      </w:r>
      <w:r w:rsidRPr="004761E0">
        <w:rPr>
          <w:sz w:val="26"/>
          <w:szCs w:val="26"/>
        </w:rPr>
        <w:t>. В ц</w:t>
      </w:r>
      <w:r w:rsidRPr="004761E0">
        <w:rPr>
          <w:bCs/>
          <w:sz w:val="26"/>
          <w:szCs w:val="26"/>
        </w:rPr>
        <w:t xml:space="preserve">елях </w:t>
      </w:r>
      <w:r w:rsidRPr="004761E0">
        <w:rPr>
          <w:rFonts w:eastAsia="Times New Roman"/>
          <w:sz w:val="26"/>
          <w:szCs w:val="26"/>
          <w:lang w:eastAsia="ru-RU"/>
        </w:rPr>
        <w:t>обеспечени</w:t>
      </w:r>
      <w:r w:rsidRPr="004761E0">
        <w:rPr>
          <w:sz w:val="26"/>
          <w:szCs w:val="26"/>
        </w:rPr>
        <w:t>я</w:t>
      </w:r>
      <w:r w:rsidRPr="004761E0">
        <w:rPr>
          <w:rFonts w:eastAsia="Times New Roman"/>
          <w:sz w:val="26"/>
          <w:szCs w:val="26"/>
          <w:lang w:eastAsia="ru-RU"/>
        </w:rPr>
        <w:t xml:space="preserve"> надежн</w:t>
      </w:r>
      <w:r w:rsidR="00F40969">
        <w:rPr>
          <w:rFonts w:eastAsia="Times New Roman"/>
          <w:sz w:val="26"/>
          <w:szCs w:val="26"/>
          <w:lang w:eastAsia="ru-RU"/>
        </w:rPr>
        <w:t>ого электроснабжения и повышения</w:t>
      </w:r>
      <w:r w:rsidRPr="004761E0">
        <w:rPr>
          <w:rFonts w:eastAsia="Times New Roman"/>
          <w:sz w:val="26"/>
          <w:szCs w:val="26"/>
          <w:lang w:eastAsia="ru-RU"/>
        </w:rPr>
        <w:t xml:space="preserve"> его качества </w:t>
      </w:r>
      <w:r w:rsidRPr="004761E0">
        <w:rPr>
          <w:sz w:val="26"/>
          <w:szCs w:val="26"/>
        </w:rPr>
        <w:t xml:space="preserve">на территории Новомосковского и Троицкого </w:t>
      </w:r>
      <w:hyperlink r:id="rId29" w:tooltip="Административные округа Москвы" w:history="1">
        <w:r w:rsidRPr="004761E0">
          <w:rPr>
            <w:sz w:val="26"/>
            <w:szCs w:val="26"/>
          </w:rPr>
          <w:t xml:space="preserve">административных </w:t>
        </w:r>
        <w:proofErr w:type="gramStart"/>
        <w:r w:rsidRPr="004761E0">
          <w:rPr>
            <w:sz w:val="26"/>
            <w:szCs w:val="26"/>
          </w:rPr>
          <w:t>округ</w:t>
        </w:r>
      </w:hyperlink>
      <w:r w:rsidRPr="004761E0">
        <w:rPr>
          <w:sz w:val="26"/>
          <w:szCs w:val="26"/>
        </w:rPr>
        <w:t>ов</w:t>
      </w:r>
      <w:proofErr w:type="gramEnd"/>
      <w:r w:rsidRPr="004761E0">
        <w:rPr>
          <w:sz w:val="26"/>
          <w:szCs w:val="26"/>
        </w:rPr>
        <w:t xml:space="preserve"> г. Москвы создан</w:t>
      </w:r>
      <w:r w:rsidRPr="006F4AB8">
        <w:rPr>
          <w:rStyle w:val="af1"/>
        </w:rPr>
        <w:footnoteReference w:id="6"/>
      </w:r>
      <w:r w:rsidRPr="004761E0">
        <w:rPr>
          <w:sz w:val="26"/>
          <w:szCs w:val="26"/>
        </w:rPr>
        <w:t xml:space="preserve"> новый филиал – Новая Москва.</w:t>
      </w:r>
    </w:p>
    <w:p w:rsidR="00BB2AFF" w:rsidRPr="004761E0" w:rsidRDefault="00BB2AFF" w:rsidP="00BB2AFF">
      <w:pPr>
        <w:ind w:firstLine="567"/>
        <w:rPr>
          <w:sz w:val="26"/>
          <w:szCs w:val="26"/>
        </w:rPr>
      </w:pPr>
      <w:r w:rsidRPr="004761E0">
        <w:rPr>
          <w:bCs/>
          <w:sz w:val="26"/>
          <w:szCs w:val="26"/>
        </w:rPr>
        <w:t>Преимущества создания нового филиала:</w:t>
      </w:r>
    </w:p>
    <w:p w:rsidR="00BB2AFF" w:rsidRPr="004761E0" w:rsidRDefault="00BB2AFF" w:rsidP="007076A7">
      <w:pPr>
        <w:pStyle w:val="a5"/>
        <w:numPr>
          <w:ilvl w:val="0"/>
          <w:numId w:val="301"/>
        </w:numPr>
        <w:ind w:left="1134" w:hanging="567"/>
        <w:contextualSpacing w:val="0"/>
        <w:rPr>
          <w:rFonts w:eastAsia="Times New Roman"/>
          <w:sz w:val="26"/>
          <w:szCs w:val="26"/>
          <w:lang w:eastAsia="ru-RU"/>
        </w:rPr>
      </w:pPr>
      <w:r w:rsidRPr="004761E0">
        <w:rPr>
          <w:rFonts w:eastAsia="Times New Roman"/>
          <w:sz w:val="26"/>
          <w:szCs w:val="26"/>
          <w:lang w:eastAsia="ru-RU"/>
        </w:rPr>
        <w:lastRenderedPageBreak/>
        <w:t>наличие центра ответственности за обеспечение надежного электроснабжения потребителей;</w:t>
      </w:r>
    </w:p>
    <w:p w:rsidR="00BB2AFF" w:rsidRPr="004761E0" w:rsidRDefault="00BB2AFF" w:rsidP="007076A7">
      <w:pPr>
        <w:pStyle w:val="a5"/>
        <w:numPr>
          <w:ilvl w:val="0"/>
          <w:numId w:val="301"/>
        </w:numPr>
        <w:ind w:left="1134" w:hanging="567"/>
        <w:contextualSpacing w:val="0"/>
        <w:rPr>
          <w:rFonts w:eastAsia="Times New Roman"/>
          <w:sz w:val="26"/>
          <w:szCs w:val="26"/>
          <w:lang w:eastAsia="ru-RU"/>
        </w:rPr>
      </w:pPr>
      <w:r w:rsidRPr="004761E0">
        <w:rPr>
          <w:rFonts w:eastAsia="Times New Roman"/>
          <w:sz w:val="26"/>
          <w:szCs w:val="26"/>
          <w:lang w:eastAsia="ru-RU"/>
        </w:rPr>
        <w:t>наличие возможности комплексного планирования развития электроэнергетики на новых территориях и управления процессами технологического присоединения потребителей;</w:t>
      </w:r>
    </w:p>
    <w:p w:rsidR="00F842E0" w:rsidRDefault="00BB2AFF" w:rsidP="007076A7">
      <w:pPr>
        <w:pStyle w:val="a5"/>
        <w:numPr>
          <w:ilvl w:val="0"/>
          <w:numId w:val="301"/>
        </w:numPr>
        <w:ind w:left="1134" w:hanging="567"/>
        <w:contextualSpacing w:val="0"/>
        <w:rPr>
          <w:rFonts w:eastAsia="Times New Roman"/>
          <w:sz w:val="26"/>
          <w:szCs w:val="26"/>
          <w:lang w:eastAsia="ru-RU"/>
        </w:rPr>
      </w:pPr>
      <w:r w:rsidRPr="004761E0">
        <w:rPr>
          <w:rFonts w:eastAsia="Times New Roman"/>
          <w:sz w:val="26"/>
          <w:szCs w:val="26"/>
          <w:lang w:eastAsia="ru-RU"/>
        </w:rPr>
        <w:t xml:space="preserve">наличие возможности продуктивного взаимодействия с администрациями муниципальных образований и органами управления в Правительстве </w:t>
      </w:r>
      <w:proofErr w:type="gramStart"/>
      <w:r w:rsidRPr="004761E0">
        <w:rPr>
          <w:rFonts w:eastAsia="Times New Roman"/>
          <w:sz w:val="26"/>
          <w:szCs w:val="26"/>
          <w:lang w:eastAsia="ru-RU"/>
        </w:rPr>
        <w:t>г</w:t>
      </w:r>
      <w:proofErr w:type="gramEnd"/>
      <w:r w:rsidRPr="004761E0">
        <w:rPr>
          <w:rFonts w:eastAsia="Times New Roman"/>
          <w:sz w:val="26"/>
          <w:szCs w:val="26"/>
          <w:lang w:eastAsia="ru-RU"/>
        </w:rPr>
        <w:t>. Москвы.</w:t>
      </w:r>
    </w:p>
    <w:p w:rsidR="00F842E0" w:rsidRDefault="00F842E0">
      <w:pPr>
        <w:ind w:firstLine="0"/>
        <w:jc w:val="left"/>
        <w:rPr>
          <w:rFonts w:eastAsia="Times New Roman"/>
          <w:sz w:val="26"/>
          <w:szCs w:val="26"/>
          <w:lang w:eastAsia="ru-RU"/>
        </w:rPr>
      </w:pPr>
      <w:r>
        <w:rPr>
          <w:rFonts w:eastAsia="Times New Roman"/>
          <w:sz w:val="26"/>
          <w:szCs w:val="26"/>
          <w:lang w:eastAsia="ru-RU"/>
        </w:rPr>
        <w:br w:type="page"/>
      </w:r>
    </w:p>
    <w:p w:rsidR="00136A10" w:rsidRDefault="00E34ACB" w:rsidP="007076A7">
      <w:pPr>
        <w:pStyle w:val="a8"/>
        <w:numPr>
          <w:ilvl w:val="1"/>
          <w:numId w:val="321"/>
        </w:numPr>
        <w:spacing w:before="120" w:after="120"/>
        <w:ind w:left="0" w:firstLine="567"/>
        <w:jc w:val="left"/>
        <w:rPr>
          <w:rFonts w:ascii="Times New Roman" w:hAnsi="Times New Roman"/>
          <w:b/>
          <w:sz w:val="26"/>
          <w:szCs w:val="26"/>
          <w:lang w:val="en-US"/>
        </w:rPr>
      </w:pPr>
      <w:bookmarkStart w:id="20" w:name="_Toc380576896"/>
      <w:bookmarkStart w:id="21" w:name="_Toc385339794"/>
      <w:r w:rsidRPr="00F842E0">
        <w:rPr>
          <w:rFonts w:ascii="Times New Roman" w:hAnsi="Times New Roman"/>
          <w:b/>
          <w:sz w:val="26"/>
          <w:szCs w:val="26"/>
        </w:rPr>
        <w:lastRenderedPageBreak/>
        <w:t>Структура и характеристика электросетевых активов</w:t>
      </w:r>
      <w:bookmarkEnd w:id="20"/>
      <w:bookmarkEnd w:id="21"/>
    </w:p>
    <w:p w:rsidR="00F842E0" w:rsidRPr="00F842E0" w:rsidRDefault="00F842E0" w:rsidP="00F842E0">
      <w:pPr>
        <w:spacing w:before="120" w:after="120"/>
        <w:ind w:firstLine="567"/>
        <w:rPr>
          <w:b/>
          <w:sz w:val="26"/>
          <w:szCs w:val="26"/>
          <w:lang w:val="en-US"/>
        </w:rPr>
      </w:pPr>
      <w:r w:rsidRPr="00F842E0">
        <w:rPr>
          <w:b/>
          <w:sz w:val="26"/>
          <w:szCs w:val="26"/>
        </w:rPr>
        <w:t>Структура электросетевых активов</w:t>
      </w:r>
    </w:p>
    <w:tbl>
      <w:tblPr>
        <w:tblW w:w="9936" w:type="dxa"/>
        <w:tblInd w:w="95" w:type="dxa"/>
        <w:tblLook w:val="04A0"/>
      </w:tblPr>
      <w:tblGrid>
        <w:gridCol w:w="580"/>
        <w:gridCol w:w="4820"/>
        <w:gridCol w:w="1134"/>
        <w:gridCol w:w="1134"/>
        <w:gridCol w:w="1134"/>
        <w:gridCol w:w="1134"/>
      </w:tblGrid>
      <w:tr w:rsidR="00D21549" w:rsidRPr="004761E0" w:rsidTr="00AB051A">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D21549" w:rsidRPr="004761E0" w:rsidRDefault="00D21549" w:rsidP="00D21549">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xml:space="preserve">№ </w:t>
            </w:r>
            <w:proofErr w:type="gramStart"/>
            <w:r w:rsidRPr="004761E0">
              <w:rPr>
                <w:rFonts w:eastAsia="Times New Roman"/>
                <w:b/>
                <w:color w:val="FFFFFF" w:themeColor="background1"/>
                <w:sz w:val="20"/>
                <w:szCs w:val="20"/>
                <w:lang w:eastAsia="ru-RU"/>
              </w:rPr>
              <w:t>п</w:t>
            </w:r>
            <w:proofErr w:type="gramEnd"/>
            <w:r w:rsidRPr="004761E0">
              <w:rPr>
                <w:rFonts w:eastAsia="Times New Roman"/>
                <w:b/>
                <w:color w:val="FFFFFF" w:themeColor="background1"/>
                <w:sz w:val="20"/>
                <w:szCs w:val="20"/>
                <w:lang w:eastAsia="ru-RU"/>
              </w:rPr>
              <w:t>/п</w:t>
            </w:r>
          </w:p>
        </w:tc>
        <w:tc>
          <w:tcPr>
            <w:tcW w:w="48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21549" w:rsidRPr="004761E0" w:rsidRDefault="00D21549" w:rsidP="00D21549">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21549" w:rsidRPr="004761E0" w:rsidRDefault="00D21549" w:rsidP="00AB051A">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21549" w:rsidRPr="004761E0" w:rsidRDefault="00D21549" w:rsidP="00AB051A">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21549" w:rsidRPr="004761E0" w:rsidRDefault="00D21549" w:rsidP="00AB051A">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D21549" w:rsidRPr="004761E0" w:rsidRDefault="00D21549" w:rsidP="00D2154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D21549" w:rsidRPr="004761E0" w:rsidTr="00AB051A">
        <w:trPr>
          <w:trHeight w:val="300"/>
        </w:trPr>
        <w:tc>
          <w:tcPr>
            <w:tcW w:w="580"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D21549" w:rsidRPr="004761E0" w:rsidRDefault="00D21549" w:rsidP="007076A7">
            <w:pPr>
              <w:numPr>
                <w:ilvl w:val="0"/>
                <w:numId w:val="4"/>
              </w:numPr>
              <w:jc w:val="left"/>
              <w:rPr>
                <w:rFonts w:eastAsia="Times New Roman"/>
                <w:b/>
                <w:color w:val="000000"/>
                <w:sz w:val="20"/>
                <w:szCs w:val="20"/>
                <w:lang w:eastAsia="ru-RU"/>
              </w:rPr>
            </w:pPr>
          </w:p>
        </w:tc>
        <w:tc>
          <w:tcPr>
            <w:tcW w:w="9356" w:type="dxa"/>
            <w:gridSpan w:val="5"/>
            <w:tcBorders>
              <w:top w:val="nil"/>
              <w:left w:val="nil"/>
              <w:bottom w:val="single" w:sz="4" w:space="0" w:color="auto"/>
              <w:right w:val="single" w:sz="4" w:space="0" w:color="auto"/>
            </w:tcBorders>
            <w:shd w:val="clear" w:color="auto" w:fill="BFBFBF" w:themeFill="background1" w:themeFillShade="BF"/>
            <w:vAlign w:val="center"/>
            <w:hideMark/>
          </w:tcPr>
          <w:p w:rsidR="00D21549" w:rsidRPr="004761E0" w:rsidRDefault="002E7F83" w:rsidP="002E7F83">
            <w:pPr>
              <w:ind w:firstLine="0"/>
              <w:jc w:val="left"/>
              <w:rPr>
                <w:rFonts w:eastAsia="Times New Roman"/>
                <w:b/>
                <w:color w:val="000000"/>
                <w:sz w:val="20"/>
                <w:szCs w:val="20"/>
                <w:lang w:eastAsia="ru-RU"/>
              </w:rPr>
            </w:pPr>
            <w:r w:rsidRPr="004761E0">
              <w:rPr>
                <w:rFonts w:eastAsia="Times New Roman"/>
                <w:b/>
                <w:bCs/>
                <w:color w:val="000000"/>
                <w:sz w:val="20"/>
                <w:szCs w:val="20"/>
                <w:lang w:eastAsia="ru-RU"/>
              </w:rPr>
              <w:t xml:space="preserve">Протяженность </w:t>
            </w:r>
            <w:r w:rsidR="00D21549" w:rsidRPr="004761E0">
              <w:rPr>
                <w:rFonts w:eastAsia="Times New Roman"/>
                <w:b/>
                <w:bCs/>
                <w:color w:val="000000"/>
                <w:sz w:val="20"/>
                <w:szCs w:val="20"/>
                <w:lang w:eastAsia="ru-RU"/>
              </w:rPr>
              <w:t xml:space="preserve">линий </w:t>
            </w:r>
            <w:r w:rsidRPr="004761E0">
              <w:rPr>
                <w:rFonts w:eastAsia="Times New Roman"/>
                <w:b/>
                <w:bCs/>
                <w:color w:val="000000"/>
                <w:sz w:val="20"/>
                <w:szCs w:val="20"/>
                <w:lang w:eastAsia="ru-RU"/>
              </w:rPr>
              <w:t>(</w:t>
            </w:r>
            <w:r w:rsidR="00D21549" w:rsidRPr="004761E0">
              <w:rPr>
                <w:rFonts w:eastAsia="Times New Roman"/>
                <w:b/>
                <w:bCs/>
                <w:color w:val="000000"/>
                <w:sz w:val="20"/>
                <w:szCs w:val="20"/>
                <w:lang w:eastAsia="ru-RU"/>
              </w:rPr>
              <w:t>по расположению</w:t>
            </w:r>
            <w:r w:rsidRPr="004761E0">
              <w:rPr>
                <w:rFonts w:eastAsia="Times New Roman"/>
                <w:b/>
                <w:bCs/>
                <w:color w:val="000000"/>
                <w:sz w:val="20"/>
                <w:szCs w:val="20"/>
                <w:lang w:eastAsia="ru-RU"/>
              </w:rPr>
              <w:t>)</w:t>
            </w:r>
            <w:r w:rsidR="00D21549" w:rsidRPr="004761E0">
              <w:rPr>
                <w:rFonts w:eastAsia="Times New Roman"/>
                <w:b/>
                <w:bCs/>
                <w:color w:val="000000"/>
                <w:sz w:val="20"/>
                <w:szCs w:val="20"/>
                <w:lang w:eastAsia="ru-RU"/>
              </w:rPr>
              <w:t>:</w:t>
            </w:r>
          </w:p>
        </w:tc>
      </w:tr>
      <w:tr w:rsidR="00D21549" w:rsidRPr="004761E0" w:rsidTr="00AB051A">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21549" w:rsidRPr="004761E0" w:rsidRDefault="00D21549" w:rsidP="007076A7">
            <w:pPr>
              <w:pStyle w:val="a5"/>
              <w:numPr>
                <w:ilvl w:val="1"/>
                <w:numId w:val="4"/>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D21549" w:rsidRPr="004761E0" w:rsidRDefault="000A4E40" w:rsidP="000A4E40">
            <w:pPr>
              <w:ind w:left="176"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воздушные линии </w:t>
            </w:r>
            <w:r w:rsidR="00D21549" w:rsidRPr="004761E0">
              <w:rPr>
                <w:rFonts w:eastAsia="Times New Roman"/>
                <w:color w:val="000000"/>
                <w:sz w:val="20"/>
                <w:szCs w:val="20"/>
                <w:lang w:eastAsia="ru-RU"/>
              </w:rPr>
              <w:t>по цепям</w:t>
            </w:r>
            <w:r w:rsidRPr="004761E0">
              <w:rPr>
                <w:rFonts w:eastAsia="Times New Roman"/>
                <w:color w:val="000000"/>
                <w:sz w:val="20"/>
                <w:szCs w:val="20"/>
                <w:lang w:eastAsia="ru-RU"/>
              </w:rPr>
              <w:t xml:space="preserve">, </w:t>
            </w:r>
            <w:proofErr w:type="gramStart"/>
            <w:r w:rsidRPr="004761E0">
              <w:rPr>
                <w:rFonts w:eastAsia="Times New Roman"/>
                <w:color w:val="000000"/>
                <w:sz w:val="20"/>
                <w:szCs w:val="20"/>
                <w:lang w:eastAsia="ru-RU"/>
              </w:rPr>
              <w:t>км</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D21549" w:rsidRPr="004761E0" w:rsidRDefault="00D21549" w:rsidP="00D21549">
            <w:pPr>
              <w:ind w:firstLine="0"/>
              <w:jc w:val="right"/>
              <w:rPr>
                <w:bCs/>
                <w:sz w:val="20"/>
                <w:szCs w:val="20"/>
              </w:rPr>
            </w:pPr>
            <w:r w:rsidRPr="004761E0">
              <w:rPr>
                <w:bCs/>
                <w:sz w:val="20"/>
                <w:szCs w:val="20"/>
              </w:rPr>
              <w:t>66 086</w:t>
            </w:r>
          </w:p>
        </w:tc>
        <w:tc>
          <w:tcPr>
            <w:tcW w:w="1134" w:type="dxa"/>
            <w:tcBorders>
              <w:top w:val="nil"/>
              <w:left w:val="nil"/>
              <w:bottom w:val="single" w:sz="4" w:space="0" w:color="auto"/>
              <w:right w:val="single" w:sz="4" w:space="0" w:color="auto"/>
            </w:tcBorders>
            <w:shd w:val="clear" w:color="auto" w:fill="auto"/>
            <w:vAlign w:val="center"/>
            <w:hideMark/>
          </w:tcPr>
          <w:p w:rsidR="00D21549" w:rsidRPr="004761E0" w:rsidRDefault="00D21549" w:rsidP="00D21549">
            <w:pPr>
              <w:ind w:firstLine="0"/>
              <w:jc w:val="right"/>
              <w:rPr>
                <w:bCs/>
                <w:sz w:val="20"/>
                <w:szCs w:val="20"/>
              </w:rPr>
            </w:pPr>
            <w:r w:rsidRPr="004761E0">
              <w:rPr>
                <w:bCs/>
                <w:sz w:val="20"/>
                <w:szCs w:val="20"/>
              </w:rPr>
              <w:t>66 725</w:t>
            </w:r>
          </w:p>
        </w:tc>
        <w:tc>
          <w:tcPr>
            <w:tcW w:w="1134" w:type="dxa"/>
            <w:tcBorders>
              <w:top w:val="nil"/>
              <w:left w:val="nil"/>
              <w:bottom w:val="single" w:sz="4" w:space="0" w:color="auto"/>
              <w:right w:val="single" w:sz="4" w:space="0" w:color="auto"/>
            </w:tcBorders>
            <w:shd w:val="clear" w:color="auto" w:fill="auto"/>
            <w:vAlign w:val="center"/>
            <w:hideMark/>
          </w:tcPr>
          <w:p w:rsidR="00D21549" w:rsidRPr="004761E0" w:rsidRDefault="00D21549" w:rsidP="00D21549">
            <w:pPr>
              <w:ind w:firstLine="0"/>
              <w:jc w:val="right"/>
              <w:rPr>
                <w:bCs/>
                <w:sz w:val="20"/>
                <w:szCs w:val="20"/>
              </w:rPr>
            </w:pPr>
            <w:r w:rsidRPr="004761E0">
              <w:rPr>
                <w:bCs/>
                <w:sz w:val="20"/>
                <w:szCs w:val="20"/>
              </w:rPr>
              <w:t>66 563</w:t>
            </w:r>
          </w:p>
        </w:tc>
        <w:tc>
          <w:tcPr>
            <w:tcW w:w="1134" w:type="dxa"/>
            <w:tcBorders>
              <w:top w:val="nil"/>
              <w:left w:val="nil"/>
              <w:bottom w:val="single" w:sz="4" w:space="0" w:color="auto"/>
              <w:right w:val="single" w:sz="4" w:space="0" w:color="auto"/>
            </w:tcBorders>
            <w:shd w:val="clear" w:color="auto" w:fill="auto"/>
            <w:vAlign w:val="center"/>
            <w:hideMark/>
          </w:tcPr>
          <w:p w:rsidR="00D21549" w:rsidRPr="004761E0" w:rsidRDefault="00D21549" w:rsidP="00D21549">
            <w:pPr>
              <w:ind w:firstLine="0"/>
              <w:jc w:val="right"/>
              <w:rPr>
                <w:bCs/>
                <w:sz w:val="20"/>
                <w:szCs w:val="20"/>
              </w:rPr>
            </w:pPr>
            <w:r w:rsidRPr="004761E0">
              <w:rPr>
                <w:bCs/>
                <w:sz w:val="20"/>
                <w:szCs w:val="20"/>
              </w:rPr>
              <w:t>-0,24 %</w:t>
            </w:r>
          </w:p>
        </w:tc>
      </w:tr>
      <w:tr w:rsidR="00D21549" w:rsidRPr="004761E0" w:rsidTr="00AB051A">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21549" w:rsidRPr="004761E0" w:rsidRDefault="00D21549" w:rsidP="007076A7">
            <w:pPr>
              <w:pStyle w:val="a5"/>
              <w:numPr>
                <w:ilvl w:val="1"/>
                <w:numId w:val="4"/>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D21549" w:rsidRPr="004761E0" w:rsidRDefault="000A4E40" w:rsidP="000A4E40">
            <w:pPr>
              <w:ind w:left="176"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воздушные линии </w:t>
            </w:r>
            <w:r w:rsidR="00D21549" w:rsidRPr="004761E0">
              <w:rPr>
                <w:rFonts w:eastAsia="Times New Roman"/>
                <w:color w:val="000000"/>
                <w:sz w:val="20"/>
                <w:szCs w:val="20"/>
                <w:lang w:eastAsia="ru-RU"/>
              </w:rPr>
              <w:t>по трассе</w:t>
            </w:r>
            <w:r w:rsidRPr="004761E0">
              <w:rPr>
                <w:rFonts w:eastAsia="Times New Roman"/>
                <w:color w:val="000000"/>
                <w:sz w:val="20"/>
                <w:szCs w:val="20"/>
                <w:lang w:eastAsia="ru-RU"/>
              </w:rPr>
              <w:t xml:space="preserve">, </w:t>
            </w:r>
            <w:proofErr w:type="gramStart"/>
            <w:r w:rsidRPr="004761E0">
              <w:rPr>
                <w:rFonts w:eastAsia="Times New Roman"/>
                <w:color w:val="000000"/>
                <w:sz w:val="20"/>
                <w:szCs w:val="20"/>
                <w:lang w:eastAsia="ru-RU"/>
              </w:rPr>
              <w:t>км</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D21549" w:rsidRPr="004761E0" w:rsidRDefault="00D21549" w:rsidP="00D21549">
            <w:pPr>
              <w:ind w:firstLine="0"/>
              <w:jc w:val="right"/>
              <w:rPr>
                <w:bCs/>
                <w:sz w:val="20"/>
                <w:szCs w:val="20"/>
              </w:rPr>
            </w:pPr>
            <w:r w:rsidRPr="004761E0">
              <w:rPr>
                <w:bCs/>
                <w:sz w:val="20"/>
                <w:szCs w:val="20"/>
              </w:rPr>
              <w:t>59 047</w:t>
            </w:r>
          </w:p>
        </w:tc>
        <w:tc>
          <w:tcPr>
            <w:tcW w:w="1134" w:type="dxa"/>
            <w:tcBorders>
              <w:top w:val="nil"/>
              <w:left w:val="nil"/>
              <w:bottom w:val="single" w:sz="4" w:space="0" w:color="auto"/>
              <w:right w:val="single" w:sz="4" w:space="0" w:color="auto"/>
            </w:tcBorders>
            <w:shd w:val="clear" w:color="auto" w:fill="auto"/>
            <w:vAlign w:val="center"/>
            <w:hideMark/>
          </w:tcPr>
          <w:p w:rsidR="00D21549" w:rsidRPr="004761E0" w:rsidRDefault="00D21549" w:rsidP="00D21549">
            <w:pPr>
              <w:ind w:firstLine="0"/>
              <w:jc w:val="right"/>
              <w:rPr>
                <w:bCs/>
                <w:sz w:val="20"/>
                <w:szCs w:val="20"/>
              </w:rPr>
            </w:pPr>
            <w:r w:rsidRPr="004761E0">
              <w:rPr>
                <w:bCs/>
                <w:sz w:val="20"/>
                <w:szCs w:val="20"/>
              </w:rPr>
              <w:t>59 815</w:t>
            </w:r>
          </w:p>
        </w:tc>
        <w:tc>
          <w:tcPr>
            <w:tcW w:w="1134" w:type="dxa"/>
            <w:tcBorders>
              <w:top w:val="nil"/>
              <w:left w:val="nil"/>
              <w:bottom w:val="single" w:sz="4" w:space="0" w:color="auto"/>
              <w:right w:val="single" w:sz="4" w:space="0" w:color="auto"/>
            </w:tcBorders>
            <w:shd w:val="clear" w:color="auto" w:fill="auto"/>
            <w:vAlign w:val="center"/>
            <w:hideMark/>
          </w:tcPr>
          <w:p w:rsidR="00D21549" w:rsidRPr="004761E0" w:rsidRDefault="00D21549" w:rsidP="00D21549">
            <w:pPr>
              <w:ind w:firstLine="0"/>
              <w:jc w:val="right"/>
              <w:rPr>
                <w:bCs/>
                <w:sz w:val="20"/>
                <w:szCs w:val="20"/>
              </w:rPr>
            </w:pPr>
            <w:r w:rsidRPr="004761E0">
              <w:rPr>
                <w:bCs/>
                <w:sz w:val="20"/>
                <w:szCs w:val="20"/>
              </w:rPr>
              <w:t>59 645</w:t>
            </w:r>
          </w:p>
        </w:tc>
        <w:tc>
          <w:tcPr>
            <w:tcW w:w="1134" w:type="dxa"/>
            <w:tcBorders>
              <w:top w:val="nil"/>
              <w:left w:val="nil"/>
              <w:bottom w:val="single" w:sz="4" w:space="0" w:color="auto"/>
              <w:right w:val="single" w:sz="4" w:space="0" w:color="auto"/>
            </w:tcBorders>
            <w:shd w:val="clear" w:color="auto" w:fill="auto"/>
            <w:vAlign w:val="center"/>
            <w:hideMark/>
          </w:tcPr>
          <w:p w:rsidR="00D21549" w:rsidRPr="004761E0" w:rsidRDefault="00D21549" w:rsidP="00D21549">
            <w:pPr>
              <w:ind w:firstLine="0"/>
              <w:jc w:val="right"/>
              <w:rPr>
                <w:bCs/>
                <w:sz w:val="20"/>
                <w:szCs w:val="20"/>
              </w:rPr>
            </w:pPr>
            <w:r w:rsidRPr="004761E0">
              <w:rPr>
                <w:bCs/>
                <w:sz w:val="20"/>
                <w:szCs w:val="20"/>
              </w:rPr>
              <w:t>-0,28 %</w:t>
            </w:r>
          </w:p>
        </w:tc>
      </w:tr>
      <w:tr w:rsidR="00D21549" w:rsidRPr="004761E0" w:rsidTr="00AB051A">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21549" w:rsidRPr="004761E0" w:rsidRDefault="00D21549" w:rsidP="007076A7">
            <w:pPr>
              <w:pStyle w:val="a5"/>
              <w:numPr>
                <w:ilvl w:val="1"/>
                <w:numId w:val="4"/>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726BE0" w:rsidRPr="004761E0" w:rsidRDefault="00D21549" w:rsidP="000A4E40">
            <w:pPr>
              <w:ind w:left="176" w:firstLine="0"/>
              <w:jc w:val="left"/>
              <w:rPr>
                <w:rFonts w:eastAsia="Times New Roman"/>
                <w:color w:val="000000"/>
                <w:sz w:val="20"/>
                <w:szCs w:val="20"/>
                <w:lang w:eastAsia="ru-RU"/>
              </w:rPr>
            </w:pPr>
            <w:r w:rsidRPr="004761E0">
              <w:rPr>
                <w:rFonts w:eastAsia="Times New Roman"/>
                <w:color w:val="000000"/>
                <w:sz w:val="20"/>
                <w:szCs w:val="20"/>
                <w:lang w:eastAsia="ru-RU"/>
              </w:rPr>
              <w:t>кабельны</w:t>
            </w:r>
            <w:r w:rsidR="000A4E40" w:rsidRPr="004761E0">
              <w:rPr>
                <w:rFonts w:eastAsia="Times New Roman"/>
                <w:color w:val="000000"/>
                <w:sz w:val="20"/>
                <w:szCs w:val="20"/>
                <w:lang w:eastAsia="ru-RU"/>
              </w:rPr>
              <w:t>е</w:t>
            </w:r>
            <w:r w:rsidRPr="004761E0">
              <w:rPr>
                <w:rFonts w:eastAsia="Times New Roman"/>
                <w:color w:val="000000"/>
                <w:sz w:val="20"/>
                <w:szCs w:val="20"/>
                <w:lang w:eastAsia="ru-RU"/>
              </w:rPr>
              <w:t xml:space="preserve"> лини</w:t>
            </w:r>
            <w:r w:rsidR="000A4E40" w:rsidRPr="004761E0">
              <w:rPr>
                <w:rFonts w:eastAsia="Times New Roman"/>
                <w:color w:val="000000"/>
                <w:sz w:val="20"/>
                <w:szCs w:val="20"/>
                <w:lang w:eastAsia="ru-RU"/>
              </w:rPr>
              <w:t>и</w:t>
            </w:r>
            <w:r w:rsidRPr="004761E0">
              <w:rPr>
                <w:rFonts w:eastAsia="Times New Roman"/>
                <w:color w:val="000000"/>
                <w:sz w:val="20"/>
                <w:szCs w:val="20"/>
                <w:lang w:eastAsia="ru-RU"/>
              </w:rPr>
              <w:t xml:space="preserve">, </w:t>
            </w:r>
            <w:proofErr w:type="gramStart"/>
            <w:r w:rsidRPr="004761E0">
              <w:rPr>
                <w:rFonts w:eastAsia="Times New Roman"/>
                <w:color w:val="000000"/>
                <w:sz w:val="20"/>
                <w:szCs w:val="20"/>
                <w:lang w:eastAsia="ru-RU"/>
              </w:rPr>
              <w:t>км</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D21549" w:rsidRPr="004761E0" w:rsidRDefault="00D21549" w:rsidP="00D21549">
            <w:pPr>
              <w:ind w:firstLine="0"/>
              <w:jc w:val="right"/>
              <w:rPr>
                <w:bCs/>
                <w:sz w:val="20"/>
                <w:szCs w:val="20"/>
              </w:rPr>
            </w:pPr>
            <w:r w:rsidRPr="004761E0">
              <w:rPr>
                <w:bCs/>
                <w:sz w:val="20"/>
                <w:szCs w:val="20"/>
              </w:rPr>
              <w:t>71 920</w:t>
            </w:r>
          </w:p>
        </w:tc>
        <w:tc>
          <w:tcPr>
            <w:tcW w:w="1134" w:type="dxa"/>
            <w:tcBorders>
              <w:top w:val="nil"/>
              <w:left w:val="nil"/>
              <w:bottom w:val="single" w:sz="4" w:space="0" w:color="auto"/>
              <w:right w:val="single" w:sz="4" w:space="0" w:color="auto"/>
            </w:tcBorders>
            <w:shd w:val="clear" w:color="auto" w:fill="auto"/>
            <w:vAlign w:val="center"/>
            <w:hideMark/>
          </w:tcPr>
          <w:p w:rsidR="00D21549" w:rsidRPr="004761E0" w:rsidRDefault="00D21549" w:rsidP="00D21549">
            <w:pPr>
              <w:ind w:firstLine="0"/>
              <w:jc w:val="right"/>
              <w:rPr>
                <w:bCs/>
                <w:sz w:val="20"/>
                <w:szCs w:val="20"/>
              </w:rPr>
            </w:pPr>
            <w:r w:rsidRPr="004761E0">
              <w:rPr>
                <w:bCs/>
                <w:sz w:val="20"/>
                <w:szCs w:val="20"/>
              </w:rPr>
              <w:t>72 303</w:t>
            </w:r>
          </w:p>
        </w:tc>
        <w:tc>
          <w:tcPr>
            <w:tcW w:w="1134" w:type="dxa"/>
            <w:tcBorders>
              <w:top w:val="nil"/>
              <w:left w:val="nil"/>
              <w:bottom w:val="single" w:sz="4" w:space="0" w:color="auto"/>
              <w:right w:val="single" w:sz="4" w:space="0" w:color="auto"/>
            </w:tcBorders>
            <w:shd w:val="clear" w:color="auto" w:fill="auto"/>
            <w:vAlign w:val="center"/>
            <w:hideMark/>
          </w:tcPr>
          <w:p w:rsidR="00D21549" w:rsidRPr="004761E0" w:rsidRDefault="00D21549" w:rsidP="00D21549">
            <w:pPr>
              <w:ind w:firstLine="0"/>
              <w:jc w:val="right"/>
              <w:rPr>
                <w:bCs/>
                <w:sz w:val="20"/>
                <w:szCs w:val="20"/>
              </w:rPr>
            </w:pPr>
            <w:r w:rsidRPr="004761E0">
              <w:rPr>
                <w:bCs/>
                <w:sz w:val="20"/>
                <w:szCs w:val="20"/>
              </w:rPr>
              <w:t>72 693</w:t>
            </w:r>
          </w:p>
        </w:tc>
        <w:tc>
          <w:tcPr>
            <w:tcW w:w="1134" w:type="dxa"/>
            <w:tcBorders>
              <w:top w:val="nil"/>
              <w:left w:val="nil"/>
              <w:bottom w:val="single" w:sz="4" w:space="0" w:color="auto"/>
              <w:right w:val="single" w:sz="4" w:space="0" w:color="auto"/>
            </w:tcBorders>
            <w:shd w:val="clear" w:color="auto" w:fill="auto"/>
            <w:vAlign w:val="center"/>
            <w:hideMark/>
          </w:tcPr>
          <w:p w:rsidR="00D21549" w:rsidRPr="004761E0" w:rsidRDefault="00D21549" w:rsidP="00D21549">
            <w:pPr>
              <w:ind w:firstLine="0"/>
              <w:jc w:val="right"/>
              <w:rPr>
                <w:bCs/>
                <w:sz w:val="20"/>
                <w:szCs w:val="20"/>
              </w:rPr>
            </w:pPr>
            <w:r w:rsidRPr="004761E0">
              <w:rPr>
                <w:bCs/>
                <w:sz w:val="20"/>
                <w:szCs w:val="20"/>
              </w:rPr>
              <w:t>0,54 %</w:t>
            </w:r>
          </w:p>
        </w:tc>
      </w:tr>
      <w:tr w:rsidR="00D21549" w:rsidRPr="004761E0" w:rsidTr="00AB051A">
        <w:trPr>
          <w:trHeight w:val="300"/>
        </w:trPr>
        <w:tc>
          <w:tcPr>
            <w:tcW w:w="580"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D21549" w:rsidRPr="004761E0" w:rsidRDefault="00D21549" w:rsidP="007076A7">
            <w:pPr>
              <w:numPr>
                <w:ilvl w:val="0"/>
                <w:numId w:val="4"/>
              </w:numPr>
              <w:jc w:val="left"/>
              <w:rPr>
                <w:rFonts w:eastAsia="Times New Roman"/>
                <w:b/>
                <w:color w:val="000000"/>
                <w:sz w:val="20"/>
                <w:szCs w:val="20"/>
                <w:lang w:eastAsia="ru-RU"/>
              </w:rPr>
            </w:pPr>
          </w:p>
        </w:tc>
        <w:tc>
          <w:tcPr>
            <w:tcW w:w="9356" w:type="dxa"/>
            <w:gridSpan w:val="5"/>
            <w:tcBorders>
              <w:top w:val="nil"/>
              <w:left w:val="nil"/>
              <w:bottom w:val="single" w:sz="4" w:space="0" w:color="auto"/>
              <w:right w:val="single" w:sz="4" w:space="0" w:color="auto"/>
            </w:tcBorders>
            <w:shd w:val="clear" w:color="auto" w:fill="BFBFBF" w:themeFill="background1" w:themeFillShade="BF"/>
            <w:vAlign w:val="center"/>
            <w:hideMark/>
          </w:tcPr>
          <w:p w:rsidR="00D21549" w:rsidRPr="004761E0" w:rsidRDefault="002E7F83" w:rsidP="002E7F83">
            <w:pPr>
              <w:ind w:firstLine="0"/>
              <w:jc w:val="left"/>
              <w:rPr>
                <w:b/>
                <w:bCs/>
                <w:sz w:val="20"/>
                <w:szCs w:val="20"/>
              </w:rPr>
            </w:pPr>
            <w:r w:rsidRPr="004761E0">
              <w:rPr>
                <w:rFonts w:eastAsia="Times New Roman"/>
                <w:b/>
                <w:bCs/>
                <w:sz w:val="20"/>
                <w:szCs w:val="20"/>
                <w:lang w:eastAsia="ru-RU"/>
              </w:rPr>
              <w:t xml:space="preserve">Протяженность </w:t>
            </w:r>
            <w:r w:rsidR="00D21549" w:rsidRPr="004761E0">
              <w:rPr>
                <w:rFonts w:eastAsia="Times New Roman"/>
                <w:b/>
                <w:bCs/>
                <w:sz w:val="20"/>
                <w:szCs w:val="20"/>
                <w:lang w:eastAsia="ru-RU"/>
              </w:rPr>
              <w:t xml:space="preserve">линий </w:t>
            </w:r>
            <w:r w:rsidRPr="004761E0">
              <w:rPr>
                <w:rFonts w:eastAsia="Times New Roman"/>
                <w:b/>
                <w:bCs/>
                <w:sz w:val="20"/>
                <w:szCs w:val="20"/>
                <w:lang w:eastAsia="ru-RU"/>
              </w:rPr>
              <w:t>(</w:t>
            </w:r>
            <w:r w:rsidR="00D21549" w:rsidRPr="004761E0">
              <w:rPr>
                <w:rFonts w:eastAsia="Times New Roman"/>
                <w:b/>
                <w:bCs/>
                <w:sz w:val="20"/>
                <w:szCs w:val="20"/>
                <w:lang w:eastAsia="ru-RU"/>
              </w:rPr>
              <w:t>по напряжению</w:t>
            </w:r>
            <w:r w:rsidRPr="004761E0">
              <w:rPr>
                <w:rFonts w:eastAsia="Times New Roman"/>
                <w:b/>
                <w:bCs/>
                <w:sz w:val="20"/>
                <w:szCs w:val="20"/>
                <w:lang w:eastAsia="ru-RU"/>
              </w:rPr>
              <w:t>)</w:t>
            </w:r>
            <w:r w:rsidR="00D21549" w:rsidRPr="004761E0">
              <w:rPr>
                <w:rFonts w:eastAsia="Times New Roman"/>
                <w:b/>
                <w:bCs/>
                <w:sz w:val="20"/>
                <w:szCs w:val="20"/>
                <w:lang w:eastAsia="ru-RU"/>
              </w:rPr>
              <w:t>:</w:t>
            </w:r>
          </w:p>
        </w:tc>
      </w:tr>
      <w:tr w:rsidR="00D21549" w:rsidRPr="004761E0" w:rsidTr="00AB051A">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21549" w:rsidRPr="004761E0" w:rsidRDefault="00D21549" w:rsidP="007076A7">
            <w:pPr>
              <w:pStyle w:val="a5"/>
              <w:numPr>
                <w:ilvl w:val="1"/>
                <w:numId w:val="4"/>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D21549" w:rsidRPr="004761E0" w:rsidRDefault="00D21549" w:rsidP="00692926">
            <w:pPr>
              <w:ind w:left="176" w:firstLine="0"/>
              <w:jc w:val="left"/>
              <w:rPr>
                <w:rFonts w:eastAsia="Times New Roman"/>
                <w:color w:val="000000"/>
                <w:sz w:val="20"/>
                <w:szCs w:val="20"/>
                <w:lang w:eastAsia="ru-RU"/>
              </w:rPr>
            </w:pPr>
            <w:r w:rsidRPr="004761E0">
              <w:rPr>
                <w:rFonts w:eastAsia="Times New Roman"/>
                <w:color w:val="000000"/>
                <w:sz w:val="20"/>
                <w:szCs w:val="20"/>
                <w:lang w:eastAsia="ru-RU"/>
              </w:rPr>
              <w:t>высоковольтные линии</w:t>
            </w:r>
            <w:r w:rsidR="000A4E40" w:rsidRPr="004761E0">
              <w:rPr>
                <w:rFonts w:eastAsia="Times New Roman"/>
                <w:color w:val="000000"/>
                <w:sz w:val="20"/>
                <w:szCs w:val="20"/>
                <w:lang w:eastAsia="ru-RU"/>
              </w:rPr>
              <w:t xml:space="preserve"> по цепям</w:t>
            </w:r>
            <w:r w:rsidRPr="004761E0">
              <w:rPr>
                <w:rFonts w:eastAsia="Times New Roman"/>
                <w:color w:val="000000"/>
                <w:sz w:val="20"/>
                <w:szCs w:val="20"/>
                <w:lang w:eastAsia="ru-RU"/>
              </w:rPr>
              <w:t xml:space="preserve">, </w:t>
            </w:r>
            <w:proofErr w:type="gramStart"/>
            <w:r w:rsidRPr="004761E0">
              <w:rPr>
                <w:rFonts w:eastAsia="Times New Roman"/>
                <w:color w:val="000000"/>
                <w:sz w:val="20"/>
                <w:szCs w:val="20"/>
                <w:lang w:eastAsia="ru-RU"/>
              </w:rPr>
              <w:t>км</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D21549" w:rsidRPr="004761E0" w:rsidRDefault="00D21549" w:rsidP="00D21549">
            <w:pPr>
              <w:ind w:firstLine="0"/>
              <w:jc w:val="right"/>
              <w:rPr>
                <w:bCs/>
                <w:sz w:val="20"/>
                <w:szCs w:val="20"/>
              </w:rPr>
            </w:pPr>
            <w:r w:rsidRPr="004761E0">
              <w:rPr>
                <w:bCs/>
                <w:sz w:val="20"/>
                <w:szCs w:val="20"/>
              </w:rPr>
              <w:t>17 000</w:t>
            </w:r>
          </w:p>
        </w:tc>
        <w:tc>
          <w:tcPr>
            <w:tcW w:w="1134" w:type="dxa"/>
            <w:tcBorders>
              <w:top w:val="nil"/>
              <w:left w:val="nil"/>
              <w:bottom w:val="single" w:sz="4" w:space="0" w:color="auto"/>
              <w:right w:val="single" w:sz="4" w:space="0" w:color="auto"/>
            </w:tcBorders>
            <w:shd w:val="clear" w:color="auto" w:fill="auto"/>
            <w:vAlign w:val="center"/>
            <w:hideMark/>
          </w:tcPr>
          <w:p w:rsidR="00D21549" w:rsidRPr="004761E0" w:rsidRDefault="00D21549" w:rsidP="00D21549">
            <w:pPr>
              <w:ind w:firstLine="0"/>
              <w:jc w:val="right"/>
              <w:rPr>
                <w:bCs/>
                <w:sz w:val="20"/>
                <w:szCs w:val="20"/>
              </w:rPr>
            </w:pPr>
            <w:r w:rsidRPr="004761E0">
              <w:rPr>
                <w:bCs/>
                <w:sz w:val="20"/>
                <w:szCs w:val="20"/>
              </w:rPr>
              <w:t>16 997</w:t>
            </w:r>
          </w:p>
        </w:tc>
        <w:tc>
          <w:tcPr>
            <w:tcW w:w="1134" w:type="dxa"/>
            <w:tcBorders>
              <w:top w:val="nil"/>
              <w:left w:val="nil"/>
              <w:bottom w:val="single" w:sz="4" w:space="0" w:color="auto"/>
              <w:right w:val="single" w:sz="4" w:space="0" w:color="auto"/>
            </w:tcBorders>
            <w:shd w:val="clear" w:color="auto" w:fill="auto"/>
            <w:vAlign w:val="center"/>
            <w:hideMark/>
          </w:tcPr>
          <w:p w:rsidR="00D21549" w:rsidRPr="004761E0" w:rsidRDefault="00D21549" w:rsidP="00D21549">
            <w:pPr>
              <w:ind w:firstLine="0"/>
              <w:jc w:val="right"/>
              <w:rPr>
                <w:bCs/>
                <w:sz w:val="20"/>
                <w:szCs w:val="20"/>
              </w:rPr>
            </w:pPr>
            <w:r w:rsidRPr="004761E0">
              <w:rPr>
                <w:bCs/>
                <w:sz w:val="20"/>
                <w:szCs w:val="20"/>
              </w:rPr>
              <w:t>17 016</w:t>
            </w:r>
          </w:p>
        </w:tc>
        <w:tc>
          <w:tcPr>
            <w:tcW w:w="1134" w:type="dxa"/>
            <w:tcBorders>
              <w:top w:val="nil"/>
              <w:left w:val="nil"/>
              <w:bottom w:val="single" w:sz="4" w:space="0" w:color="auto"/>
              <w:right w:val="single" w:sz="4" w:space="0" w:color="auto"/>
            </w:tcBorders>
            <w:shd w:val="clear" w:color="auto" w:fill="auto"/>
            <w:vAlign w:val="center"/>
            <w:hideMark/>
          </w:tcPr>
          <w:p w:rsidR="00D21549" w:rsidRPr="004761E0" w:rsidRDefault="00D21549" w:rsidP="00D21549">
            <w:pPr>
              <w:ind w:firstLine="0"/>
              <w:jc w:val="right"/>
              <w:rPr>
                <w:bCs/>
                <w:sz w:val="20"/>
                <w:szCs w:val="20"/>
              </w:rPr>
            </w:pPr>
            <w:r w:rsidRPr="004761E0">
              <w:rPr>
                <w:bCs/>
                <w:sz w:val="20"/>
                <w:szCs w:val="20"/>
              </w:rPr>
              <w:t>0,11 %</w:t>
            </w:r>
          </w:p>
        </w:tc>
      </w:tr>
      <w:tr w:rsidR="00D21549" w:rsidRPr="004761E0" w:rsidTr="00AB051A">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21549" w:rsidRPr="004761E0" w:rsidRDefault="00D21549" w:rsidP="007076A7">
            <w:pPr>
              <w:pStyle w:val="a5"/>
              <w:numPr>
                <w:ilvl w:val="1"/>
                <w:numId w:val="4"/>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D21549" w:rsidRPr="004761E0" w:rsidRDefault="00692926" w:rsidP="00692926">
            <w:pPr>
              <w:ind w:left="176" w:firstLine="0"/>
              <w:jc w:val="left"/>
              <w:rPr>
                <w:rFonts w:eastAsia="Times New Roman"/>
                <w:color w:val="000000"/>
                <w:sz w:val="20"/>
                <w:szCs w:val="20"/>
                <w:lang w:eastAsia="ru-RU"/>
              </w:rPr>
            </w:pPr>
            <w:r w:rsidRPr="004761E0">
              <w:rPr>
                <w:rFonts w:eastAsia="Times New Roman"/>
                <w:color w:val="000000"/>
                <w:sz w:val="20"/>
                <w:szCs w:val="20"/>
                <w:lang w:eastAsia="ru-RU"/>
              </w:rPr>
              <w:t>распределительные линии</w:t>
            </w:r>
            <w:r w:rsidR="000A4E40" w:rsidRPr="004761E0">
              <w:rPr>
                <w:rFonts w:eastAsia="Times New Roman"/>
                <w:color w:val="000000"/>
                <w:sz w:val="20"/>
                <w:szCs w:val="20"/>
                <w:lang w:eastAsia="ru-RU"/>
              </w:rPr>
              <w:t xml:space="preserve"> по цепям</w:t>
            </w:r>
            <w:r w:rsidR="00D21549" w:rsidRPr="004761E0">
              <w:rPr>
                <w:rFonts w:eastAsia="Times New Roman"/>
                <w:color w:val="000000"/>
                <w:sz w:val="20"/>
                <w:szCs w:val="20"/>
                <w:lang w:eastAsia="ru-RU"/>
              </w:rPr>
              <w:t xml:space="preserve">, </w:t>
            </w:r>
            <w:proofErr w:type="gramStart"/>
            <w:r w:rsidR="00D21549" w:rsidRPr="004761E0">
              <w:rPr>
                <w:rFonts w:eastAsia="Times New Roman"/>
                <w:color w:val="000000"/>
                <w:sz w:val="20"/>
                <w:szCs w:val="20"/>
                <w:lang w:eastAsia="ru-RU"/>
              </w:rPr>
              <w:t>км</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D21549" w:rsidRPr="004761E0" w:rsidRDefault="00D21549" w:rsidP="00D21549">
            <w:pPr>
              <w:ind w:firstLine="0"/>
              <w:jc w:val="right"/>
              <w:rPr>
                <w:bCs/>
                <w:sz w:val="20"/>
                <w:szCs w:val="20"/>
              </w:rPr>
            </w:pPr>
            <w:r w:rsidRPr="004761E0">
              <w:rPr>
                <w:bCs/>
                <w:sz w:val="20"/>
                <w:szCs w:val="20"/>
              </w:rPr>
              <w:t>121 005</w:t>
            </w:r>
          </w:p>
        </w:tc>
        <w:tc>
          <w:tcPr>
            <w:tcW w:w="1134" w:type="dxa"/>
            <w:tcBorders>
              <w:top w:val="nil"/>
              <w:left w:val="nil"/>
              <w:bottom w:val="single" w:sz="4" w:space="0" w:color="auto"/>
              <w:right w:val="single" w:sz="4" w:space="0" w:color="auto"/>
            </w:tcBorders>
            <w:shd w:val="clear" w:color="auto" w:fill="auto"/>
            <w:vAlign w:val="center"/>
            <w:hideMark/>
          </w:tcPr>
          <w:p w:rsidR="00D21549" w:rsidRPr="004761E0" w:rsidRDefault="00D21549" w:rsidP="00D21549">
            <w:pPr>
              <w:ind w:firstLine="0"/>
              <w:jc w:val="right"/>
              <w:rPr>
                <w:bCs/>
                <w:sz w:val="20"/>
                <w:szCs w:val="20"/>
              </w:rPr>
            </w:pPr>
            <w:r w:rsidRPr="004761E0">
              <w:rPr>
                <w:bCs/>
                <w:sz w:val="20"/>
                <w:szCs w:val="20"/>
              </w:rPr>
              <w:t>122 030</w:t>
            </w:r>
          </w:p>
        </w:tc>
        <w:tc>
          <w:tcPr>
            <w:tcW w:w="1134" w:type="dxa"/>
            <w:tcBorders>
              <w:top w:val="nil"/>
              <w:left w:val="nil"/>
              <w:bottom w:val="single" w:sz="4" w:space="0" w:color="auto"/>
              <w:right w:val="single" w:sz="4" w:space="0" w:color="auto"/>
            </w:tcBorders>
            <w:shd w:val="clear" w:color="auto" w:fill="auto"/>
            <w:vAlign w:val="center"/>
            <w:hideMark/>
          </w:tcPr>
          <w:p w:rsidR="00D21549" w:rsidRPr="004761E0" w:rsidRDefault="00D21549" w:rsidP="00D21549">
            <w:pPr>
              <w:ind w:firstLine="0"/>
              <w:jc w:val="right"/>
              <w:rPr>
                <w:bCs/>
                <w:sz w:val="20"/>
                <w:szCs w:val="20"/>
              </w:rPr>
            </w:pPr>
            <w:r w:rsidRPr="004761E0">
              <w:rPr>
                <w:bCs/>
                <w:sz w:val="20"/>
                <w:szCs w:val="20"/>
              </w:rPr>
              <w:t>122 240</w:t>
            </w:r>
          </w:p>
        </w:tc>
        <w:tc>
          <w:tcPr>
            <w:tcW w:w="1134" w:type="dxa"/>
            <w:tcBorders>
              <w:top w:val="nil"/>
              <w:left w:val="nil"/>
              <w:bottom w:val="single" w:sz="4" w:space="0" w:color="auto"/>
              <w:right w:val="single" w:sz="4" w:space="0" w:color="auto"/>
            </w:tcBorders>
            <w:shd w:val="clear" w:color="auto" w:fill="auto"/>
            <w:vAlign w:val="center"/>
            <w:hideMark/>
          </w:tcPr>
          <w:p w:rsidR="00D21549" w:rsidRPr="004761E0" w:rsidRDefault="00D21549" w:rsidP="00D21549">
            <w:pPr>
              <w:ind w:firstLine="0"/>
              <w:jc w:val="right"/>
              <w:rPr>
                <w:bCs/>
                <w:sz w:val="20"/>
                <w:szCs w:val="20"/>
              </w:rPr>
            </w:pPr>
            <w:r w:rsidRPr="004761E0">
              <w:rPr>
                <w:bCs/>
                <w:sz w:val="20"/>
                <w:szCs w:val="20"/>
              </w:rPr>
              <w:t>0,17 %</w:t>
            </w:r>
          </w:p>
        </w:tc>
      </w:tr>
      <w:tr w:rsidR="002E7F83" w:rsidRPr="004761E0" w:rsidTr="002E7F83">
        <w:trPr>
          <w:trHeight w:val="300"/>
        </w:trPr>
        <w:tc>
          <w:tcPr>
            <w:tcW w:w="580"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2E7F83" w:rsidRPr="004761E0" w:rsidRDefault="002E7F83" w:rsidP="007076A7">
            <w:pPr>
              <w:numPr>
                <w:ilvl w:val="0"/>
                <w:numId w:val="4"/>
              </w:numPr>
              <w:jc w:val="left"/>
              <w:rPr>
                <w:rFonts w:eastAsia="Times New Roman"/>
                <w:b/>
                <w:color w:val="000000"/>
                <w:sz w:val="20"/>
                <w:szCs w:val="20"/>
                <w:lang w:eastAsia="ru-RU"/>
              </w:rPr>
            </w:pPr>
          </w:p>
        </w:tc>
        <w:tc>
          <w:tcPr>
            <w:tcW w:w="9356" w:type="dxa"/>
            <w:gridSpan w:val="5"/>
            <w:tcBorders>
              <w:top w:val="nil"/>
              <w:left w:val="nil"/>
              <w:bottom w:val="single" w:sz="4" w:space="0" w:color="auto"/>
              <w:right w:val="single" w:sz="4" w:space="0" w:color="auto"/>
            </w:tcBorders>
            <w:shd w:val="clear" w:color="auto" w:fill="BFBFBF" w:themeFill="background1" w:themeFillShade="BF"/>
            <w:vAlign w:val="center"/>
            <w:hideMark/>
          </w:tcPr>
          <w:p w:rsidR="002E7F83" w:rsidRPr="004761E0" w:rsidRDefault="002E7F83" w:rsidP="002E7F83">
            <w:pPr>
              <w:ind w:firstLine="0"/>
              <w:jc w:val="left"/>
              <w:rPr>
                <w:b/>
                <w:bCs/>
                <w:color w:val="000000"/>
                <w:sz w:val="20"/>
                <w:szCs w:val="20"/>
              </w:rPr>
            </w:pPr>
            <w:r w:rsidRPr="004761E0">
              <w:rPr>
                <w:rFonts w:eastAsia="Times New Roman"/>
                <w:b/>
                <w:bCs/>
                <w:color w:val="000000"/>
                <w:sz w:val="20"/>
                <w:szCs w:val="20"/>
                <w:lang w:eastAsia="ru-RU"/>
              </w:rPr>
              <w:t>Высоковольтные центры питания</w:t>
            </w:r>
          </w:p>
        </w:tc>
      </w:tr>
      <w:tr w:rsidR="002E7F83" w:rsidRPr="004761E0" w:rsidTr="00381754">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2E7F83" w:rsidRPr="004761E0" w:rsidRDefault="002E7F83" w:rsidP="007076A7">
            <w:pPr>
              <w:pStyle w:val="a5"/>
              <w:numPr>
                <w:ilvl w:val="1"/>
                <w:numId w:val="4"/>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2E7F83">
            <w:pPr>
              <w:ind w:left="176" w:firstLine="0"/>
              <w:jc w:val="left"/>
              <w:rPr>
                <w:rFonts w:eastAsia="Times New Roman"/>
                <w:color w:val="000000"/>
                <w:sz w:val="20"/>
                <w:szCs w:val="20"/>
                <w:lang w:eastAsia="ru-RU"/>
              </w:rPr>
            </w:pPr>
            <w:r w:rsidRPr="004761E0">
              <w:rPr>
                <w:rFonts w:eastAsia="Times New Roman"/>
                <w:color w:val="000000"/>
                <w:sz w:val="20"/>
                <w:szCs w:val="20"/>
                <w:lang w:eastAsia="ru-RU"/>
              </w:rPr>
              <w:t>количество, шт.</w:t>
            </w:r>
          </w:p>
        </w:tc>
        <w:tc>
          <w:tcPr>
            <w:tcW w:w="1134" w:type="dxa"/>
            <w:tcBorders>
              <w:top w:val="nil"/>
              <w:left w:val="nil"/>
              <w:bottom w:val="single" w:sz="4" w:space="0" w:color="auto"/>
              <w:right w:val="single" w:sz="4" w:space="0" w:color="auto"/>
            </w:tcBorders>
            <w:shd w:val="clear" w:color="auto" w:fill="auto"/>
            <w:vAlign w:val="center"/>
          </w:tcPr>
          <w:p w:rsidR="002E7F83" w:rsidRPr="004761E0" w:rsidRDefault="002E7F83" w:rsidP="002E7F83">
            <w:pPr>
              <w:ind w:firstLine="0"/>
              <w:jc w:val="right"/>
              <w:rPr>
                <w:bCs/>
                <w:color w:val="000000"/>
                <w:sz w:val="20"/>
                <w:szCs w:val="20"/>
              </w:rPr>
            </w:pPr>
            <w:r w:rsidRPr="004761E0">
              <w:rPr>
                <w:bCs/>
                <w:color w:val="000000"/>
                <w:sz w:val="20"/>
                <w:szCs w:val="20"/>
              </w:rPr>
              <w:t>607</w:t>
            </w:r>
          </w:p>
        </w:tc>
        <w:tc>
          <w:tcPr>
            <w:tcW w:w="1134" w:type="dxa"/>
            <w:tcBorders>
              <w:top w:val="nil"/>
              <w:left w:val="nil"/>
              <w:bottom w:val="single" w:sz="4" w:space="0" w:color="auto"/>
              <w:right w:val="single" w:sz="4" w:space="0" w:color="auto"/>
            </w:tcBorders>
            <w:shd w:val="clear" w:color="auto" w:fill="auto"/>
            <w:vAlign w:val="center"/>
          </w:tcPr>
          <w:p w:rsidR="002E7F83" w:rsidRPr="004761E0" w:rsidRDefault="002E7F83" w:rsidP="002E7F83">
            <w:pPr>
              <w:ind w:firstLine="0"/>
              <w:jc w:val="right"/>
              <w:rPr>
                <w:bCs/>
                <w:color w:val="000000"/>
                <w:sz w:val="20"/>
                <w:szCs w:val="20"/>
              </w:rPr>
            </w:pPr>
            <w:r w:rsidRPr="004761E0">
              <w:rPr>
                <w:bCs/>
                <w:color w:val="000000"/>
                <w:sz w:val="20"/>
                <w:szCs w:val="20"/>
              </w:rPr>
              <w:t>608</w:t>
            </w:r>
          </w:p>
        </w:tc>
        <w:tc>
          <w:tcPr>
            <w:tcW w:w="1134" w:type="dxa"/>
            <w:tcBorders>
              <w:top w:val="nil"/>
              <w:left w:val="nil"/>
              <w:bottom w:val="single" w:sz="4" w:space="0" w:color="auto"/>
              <w:right w:val="single" w:sz="4" w:space="0" w:color="auto"/>
            </w:tcBorders>
            <w:shd w:val="clear" w:color="auto" w:fill="auto"/>
            <w:vAlign w:val="center"/>
          </w:tcPr>
          <w:p w:rsidR="002E7F83" w:rsidRPr="004761E0" w:rsidRDefault="002E7F83" w:rsidP="002E7F83">
            <w:pPr>
              <w:ind w:firstLine="0"/>
              <w:jc w:val="right"/>
              <w:rPr>
                <w:bCs/>
                <w:color w:val="000000"/>
                <w:sz w:val="20"/>
                <w:szCs w:val="20"/>
              </w:rPr>
            </w:pPr>
            <w:r w:rsidRPr="004761E0">
              <w:rPr>
                <w:bCs/>
                <w:color w:val="000000"/>
                <w:sz w:val="20"/>
                <w:szCs w:val="20"/>
              </w:rPr>
              <w:t>608</w:t>
            </w:r>
          </w:p>
        </w:tc>
        <w:tc>
          <w:tcPr>
            <w:tcW w:w="1134" w:type="dxa"/>
            <w:tcBorders>
              <w:top w:val="nil"/>
              <w:left w:val="nil"/>
              <w:bottom w:val="single" w:sz="4" w:space="0" w:color="auto"/>
              <w:right w:val="single" w:sz="4" w:space="0" w:color="auto"/>
            </w:tcBorders>
            <w:shd w:val="clear" w:color="auto" w:fill="auto"/>
            <w:vAlign w:val="center"/>
          </w:tcPr>
          <w:p w:rsidR="002E7F83" w:rsidRPr="004761E0" w:rsidRDefault="002E7F83" w:rsidP="002E7F83">
            <w:pPr>
              <w:ind w:firstLine="0"/>
              <w:jc w:val="right"/>
              <w:rPr>
                <w:bCs/>
                <w:color w:val="000000"/>
                <w:sz w:val="20"/>
                <w:szCs w:val="20"/>
              </w:rPr>
            </w:pPr>
            <w:r w:rsidRPr="004761E0">
              <w:rPr>
                <w:bCs/>
                <w:color w:val="000000"/>
                <w:sz w:val="20"/>
                <w:szCs w:val="20"/>
              </w:rPr>
              <w:t>0,00 %</w:t>
            </w:r>
          </w:p>
        </w:tc>
      </w:tr>
      <w:tr w:rsidR="002E7F83" w:rsidRPr="004761E0" w:rsidTr="002E7F83">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2E7F83" w:rsidRPr="004761E0" w:rsidRDefault="002E7F83" w:rsidP="007076A7">
            <w:pPr>
              <w:pStyle w:val="a5"/>
              <w:numPr>
                <w:ilvl w:val="1"/>
                <w:numId w:val="4"/>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tcPr>
          <w:p w:rsidR="002E7F83" w:rsidRPr="004761E0" w:rsidRDefault="002E7F83" w:rsidP="002E7F83">
            <w:pPr>
              <w:ind w:left="176" w:firstLine="0"/>
              <w:jc w:val="left"/>
              <w:rPr>
                <w:rFonts w:eastAsia="Times New Roman"/>
                <w:color w:val="000000"/>
                <w:sz w:val="20"/>
                <w:szCs w:val="20"/>
                <w:lang w:eastAsia="ru-RU"/>
              </w:rPr>
            </w:pPr>
            <w:r w:rsidRPr="004761E0">
              <w:rPr>
                <w:rFonts w:eastAsia="Times New Roman"/>
                <w:color w:val="000000"/>
                <w:sz w:val="20"/>
                <w:szCs w:val="20"/>
                <w:lang w:eastAsia="ru-RU"/>
              </w:rPr>
              <w:t>установленная мощность, МВА</w:t>
            </w:r>
          </w:p>
        </w:tc>
        <w:tc>
          <w:tcPr>
            <w:tcW w:w="1134" w:type="dxa"/>
            <w:tcBorders>
              <w:top w:val="nil"/>
              <w:left w:val="nil"/>
              <w:bottom w:val="single" w:sz="4" w:space="0" w:color="auto"/>
              <w:right w:val="single" w:sz="4" w:space="0" w:color="auto"/>
            </w:tcBorders>
            <w:shd w:val="clear" w:color="auto" w:fill="auto"/>
            <w:vAlign w:val="center"/>
          </w:tcPr>
          <w:p w:rsidR="002E7F83" w:rsidRPr="004761E0" w:rsidRDefault="002E7F83" w:rsidP="002E7F83">
            <w:pPr>
              <w:ind w:firstLine="0"/>
              <w:jc w:val="right"/>
              <w:rPr>
                <w:bCs/>
                <w:color w:val="000000"/>
                <w:sz w:val="20"/>
                <w:szCs w:val="20"/>
              </w:rPr>
            </w:pPr>
            <w:r w:rsidRPr="004761E0">
              <w:rPr>
                <w:bCs/>
                <w:color w:val="000000"/>
                <w:sz w:val="20"/>
                <w:szCs w:val="20"/>
              </w:rPr>
              <w:t>44 452</w:t>
            </w:r>
          </w:p>
        </w:tc>
        <w:tc>
          <w:tcPr>
            <w:tcW w:w="1134" w:type="dxa"/>
            <w:tcBorders>
              <w:top w:val="nil"/>
              <w:left w:val="nil"/>
              <w:bottom w:val="single" w:sz="4" w:space="0" w:color="auto"/>
              <w:right w:val="single" w:sz="4" w:space="0" w:color="auto"/>
            </w:tcBorders>
            <w:shd w:val="clear" w:color="auto" w:fill="auto"/>
            <w:vAlign w:val="center"/>
          </w:tcPr>
          <w:p w:rsidR="002E7F83" w:rsidRPr="004761E0" w:rsidRDefault="002E7F83" w:rsidP="002E7F83">
            <w:pPr>
              <w:ind w:firstLine="0"/>
              <w:jc w:val="right"/>
              <w:rPr>
                <w:bCs/>
                <w:color w:val="000000"/>
                <w:sz w:val="20"/>
                <w:szCs w:val="20"/>
              </w:rPr>
            </w:pPr>
            <w:r w:rsidRPr="004761E0">
              <w:rPr>
                <w:bCs/>
                <w:color w:val="000000"/>
                <w:sz w:val="20"/>
                <w:szCs w:val="20"/>
              </w:rPr>
              <w:t>46 073</w:t>
            </w:r>
          </w:p>
        </w:tc>
        <w:tc>
          <w:tcPr>
            <w:tcW w:w="1134" w:type="dxa"/>
            <w:tcBorders>
              <w:top w:val="nil"/>
              <w:left w:val="nil"/>
              <w:bottom w:val="single" w:sz="4" w:space="0" w:color="auto"/>
              <w:right w:val="single" w:sz="4" w:space="0" w:color="auto"/>
            </w:tcBorders>
            <w:shd w:val="clear" w:color="auto" w:fill="auto"/>
            <w:vAlign w:val="center"/>
          </w:tcPr>
          <w:p w:rsidR="002E7F83" w:rsidRPr="004761E0" w:rsidRDefault="002E7F83" w:rsidP="002E7F83">
            <w:pPr>
              <w:ind w:firstLine="0"/>
              <w:jc w:val="right"/>
              <w:rPr>
                <w:bCs/>
                <w:color w:val="000000"/>
                <w:sz w:val="20"/>
                <w:szCs w:val="20"/>
              </w:rPr>
            </w:pPr>
            <w:r w:rsidRPr="004761E0">
              <w:rPr>
                <w:bCs/>
                <w:color w:val="000000"/>
                <w:sz w:val="20"/>
                <w:szCs w:val="20"/>
              </w:rPr>
              <w:t>47 291</w:t>
            </w:r>
          </w:p>
        </w:tc>
        <w:tc>
          <w:tcPr>
            <w:tcW w:w="1134" w:type="dxa"/>
            <w:tcBorders>
              <w:top w:val="nil"/>
              <w:left w:val="nil"/>
              <w:bottom w:val="single" w:sz="4" w:space="0" w:color="auto"/>
              <w:right w:val="single" w:sz="4" w:space="0" w:color="auto"/>
            </w:tcBorders>
            <w:shd w:val="clear" w:color="auto" w:fill="auto"/>
            <w:vAlign w:val="center"/>
          </w:tcPr>
          <w:p w:rsidR="002E7F83" w:rsidRPr="004761E0" w:rsidRDefault="002E7F83" w:rsidP="002E7F83">
            <w:pPr>
              <w:ind w:firstLine="0"/>
              <w:jc w:val="right"/>
              <w:rPr>
                <w:bCs/>
                <w:color w:val="000000"/>
                <w:sz w:val="20"/>
                <w:szCs w:val="20"/>
              </w:rPr>
            </w:pPr>
            <w:r w:rsidRPr="004761E0">
              <w:rPr>
                <w:bCs/>
                <w:color w:val="000000"/>
                <w:sz w:val="20"/>
                <w:szCs w:val="20"/>
              </w:rPr>
              <w:t>2,64 %</w:t>
            </w:r>
          </w:p>
        </w:tc>
      </w:tr>
      <w:tr w:rsidR="002E7F83" w:rsidRPr="004761E0" w:rsidTr="002E7F83">
        <w:trPr>
          <w:trHeight w:val="300"/>
        </w:trPr>
        <w:tc>
          <w:tcPr>
            <w:tcW w:w="580"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2E7F83" w:rsidRPr="004761E0" w:rsidRDefault="002E7F83" w:rsidP="007076A7">
            <w:pPr>
              <w:numPr>
                <w:ilvl w:val="0"/>
                <w:numId w:val="4"/>
              </w:numPr>
              <w:jc w:val="left"/>
              <w:rPr>
                <w:rFonts w:eastAsia="Times New Roman"/>
                <w:b/>
                <w:color w:val="000000"/>
                <w:sz w:val="20"/>
                <w:szCs w:val="20"/>
                <w:lang w:eastAsia="ru-RU"/>
              </w:rPr>
            </w:pPr>
          </w:p>
        </w:tc>
        <w:tc>
          <w:tcPr>
            <w:tcW w:w="9356" w:type="dxa"/>
            <w:gridSpan w:val="5"/>
            <w:tcBorders>
              <w:top w:val="nil"/>
              <w:left w:val="nil"/>
              <w:bottom w:val="single" w:sz="4" w:space="0" w:color="auto"/>
              <w:right w:val="single" w:sz="4" w:space="0" w:color="auto"/>
            </w:tcBorders>
            <w:shd w:val="clear" w:color="auto" w:fill="BFBFBF" w:themeFill="background1" w:themeFillShade="BF"/>
            <w:vAlign w:val="center"/>
          </w:tcPr>
          <w:p w:rsidR="002E7F83" w:rsidRPr="004761E0" w:rsidRDefault="002E7F83" w:rsidP="002E7F83">
            <w:pPr>
              <w:ind w:firstLine="0"/>
              <w:jc w:val="left"/>
              <w:rPr>
                <w:b/>
                <w:bCs/>
                <w:sz w:val="20"/>
                <w:szCs w:val="20"/>
              </w:rPr>
            </w:pPr>
            <w:r w:rsidRPr="004761E0">
              <w:rPr>
                <w:rFonts w:eastAsia="Times New Roman"/>
                <w:b/>
                <w:bCs/>
                <w:color w:val="000000"/>
                <w:sz w:val="20"/>
                <w:szCs w:val="20"/>
                <w:lang w:eastAsia="ru-RU"/>
              </w:rPr>
              <w:t>Подстанции распределительных сетей</w:t>
            </w:r>
          </w:p>
        </w:tc>
      </w:tr>
      <w:tr w:rsidR="00A53B0D" w:rsidRPr="004761E0" w:rsidTr="00A53B0D">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A53B0D" w:rsidRPr="004761E0" w:rsidRDefault="00A53B0D" w:rsidP="007076A7">
            <w:pPr>
              <w:pStyle w:val="a5"/>
              <w:numPr>
                <w:ilvl w:val="1"/>
                <w:numId w:val="4"/>
              </w:numPr>
              <w:jc w:val="left"/>
              <w:rPr>
                <w:rFonts w:eastAsia="Times New Roman"/>
                <w:color w:val="000000"/>
                <w:sz w:val="20"/>
                <w:szCs w:val="20"/>
                <w:lang w:eastAsia="ru-RU"/>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A53B0D" w:rsidRPr="004761E0" w:rsidRDefault="00A53B0D" w:rsidP="002E7F83">
            <w:pPr>
              <w:ind w:left="176" w:firstLine="0"/>
              <w:jc w:val="left"/>
              <w:rPr>
                <w:rFonts w:eastAsia="Times New Roman"/>
                <w:color w:val="000000"/>
                <w:sz w:val="20"/>
                <w:szCs w:val="20"/>
                <w:lang w:eastAsia="ru-RU"/>
              </w:rPr>
            </w:pPr>
            <w:r w:rsidRPr="004761E0">
              <w:rPr>
                <w:rFonts w:eastAsia="Times New Roman"/>
                <w:color w:val="000000"/>
                <w:sz w:val="20"/>
                <w:szCs w:val="20"/>
                <w:lang w:eastAsia="ru-RU"/>
              </w:rPr>
              <w:t>количество, шт.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53B0D" w:rsidRPr="00A53B0D" w:rsidRDefault="00A53B0D" w:rsidP="00A53B0D">
            <w:pPr>
              <w:ind w:firstLine="0"/>
              <w:jc w:val="right"/>
              <w:rPr>
                <w:color w:val="000000"/>
                <w:sz w:val="20"/>
                <w:szCs w:val="20"/>
              </w:rPr>
            </w:pPr>
            <w:r w:rsidRPr="00A53B0D">
              <w:rPr>
                <w:bCs/>
                <w:color w:val="000000"/>
                <w:sz w:val="20"/>
                <w:szCs w:val="20"/>
              </w:rPr>
              <w:t>28 082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53B0D" w:rsidRPr="00A53B0D" w:rsidRDefault="00A53B0D" w:rsidP="00A53B0D">
            <w:pPr>
              <w:ind w:firstLine="0"/>
              <w:jc w:val="right"/>
              <w:rPr>
                <w:color w:val="000000"/>
                <w:sz w:val="20"/>
                <w:szCs w:val="20"/>
              </w:rPr>
            </w:pPr>
            <w:r w:rsidRPr="00A53B0D">
              <w:rPr>
                <w:color w:val="000000"/>
                <w:sz w:val="20"/>
                <w:szCs w:val="20"/>
                <w:lang w:val="en-US"/>
              </w:rPr>
              <w:t>28 466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53B0D" w:rsidRPr="00A53B0D" w:rsidRDefault="00A53B0D" w:rsidP="00A53B0D">
            <w:pPr>
              <w:ind w:firstLine="0"/>
              <w:jc w:val="right"/>
              <w:rPr>
                <w:color w:val="000000"/>
                <w:sz w:val="20"/>
                <w:szCs w:val="20"/>
              </w:rPr>
            </w:pPr>
            <w:r w:rsidRPr="00A53B0D">
              <w:rPr>
                <w:color w:val="000000"/>
                <w:sz w:val="20"/>
                <w:szCs w:val="20"/>
                <w:lang w:val="en-US"/>
              </w:rPr>
              <w:t>29 664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53B0D" w:rsidRPr="00A53B0D" w:rsidRDefault="00A53B0D" w:rsidP="00A53B0D">
            <w:pPr>
              <w:ind w:firstLine="0"/>
              <w:jc w:val="right"/>
              <w:rPr>
                <w:color w:val="000000"/>
                <w:sz w:val="20"/>
                <w:szCs w:val="20"/>
              </w:rPr>
            </w:pPr>
            <w:r w:rsidRPr="00A53B0D">
              <w:rPr>
                <w:color w:val="000000"/>
                <w:sz w:val="20"/>
                <w:szCs w:val="20"/>
              </w:rPr>
              <w:t>4,21</w:t>
            </w:r>
            <w:r>
              <w:rPr>
                <w:color w:val="000000"/>
                <w:sz w:val="20"/>
                <w:szCs w:val="20"/>
                <w:lang w:val="en-US"/>
              </w:rPr>
              <w:t xml:space="preserve"> </w:t>
            </w:r>
            <w:r w:rsidRPr="00A53B0D">
              <w:rPr>
                <w:color w:val="000000"/>
                <w:sz w:val="20"/>
                <w:szCs w:val="20"/>
              </w:rPr>
              <w:t>%</w:t>
            </w:r>
          </w:p>
        </w:tc>
      </w:tr>
      <w:tr w:rsidR="00A53B0D" w:rsidRPr="004761E0" w:rsidTr="00A53B0D">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B0D" w:rsidRPr="004761E0" w:rsidRDefault="00A53B0D" w:rsidP="007076A7">
            <w:pPr>
              <w:pStyle w:val="a5"/>
              <w:numPr>
                <w:ilvl w:val="1"/>
                <w:numId w:val="4"/>
              </w:numPr>
              <w:jc w:val="left"/>
              <w:rPr>
                <w:rFonts w:eastAsia="Times New Roman"/>
                <w:color w:val="000000"/>
                <w:sz w:val="20"/>
                <w:szCs w:val="20"/>
                <w:lang w:eastAsia="ru-RU"/>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B0D" w:rsidRPr="004761E0" w:rsidRDefault="00A53B0D" w:rsidP="002E7F83">
            <w:pPr>
              <w:ind w:left="176" w:firstLine="0"/>
              <w:jc w:val="left"/>
              <w:rPr>
                <w:rFonts w:eastAsia="Times New Roman"/>
                <w:color w:val="000000"/>
                <w:sz w:val="20"/>
                <w:szCs w:val="20"/>
                <w:lang w:eastAsia="ru-RU"/>
              </w:rPr>
            </w:pPr>
            <w:r w:rsidRPr="004761E0">
              <w:rPr>
                <w:rFonts w:eastAsia="Times New Roman"/>
                <w:color w:val="000000"/>
                <w:sz w:val="20"/>
                <w:szCs w:val="20"/>
                <w:lang w:eastAsia="ru-RU"/>
              </w:rPr>
              <w:t>установленная мощность, МВА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B0D" w:rsidRPr="00A53B0D" w:rsidRDefault="00A53B0D" w:rsidP="00A53B0D">
            <w:pPr>
              <w:ind w:firstLine="0"/>
              <w:jc w:val="right"/>
              <w:rPr>
                <w:color w:val="000000"/>
                <w:sz w:val="20"/>
                <w:szCs w:val="20"/>
              </w:rPr>
            </w:pPr>
            <w:r w:rsidRPr="00A53B0D">
              <w:rPr>
                <w:bCs/>
                <w:color w:val="000000"/>
                <w:sz w:val="20"/>
                <w:szCs w:val="20"/>
              </w:rPr>
              <w:t>21 209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B0D" w:rsidRPr="00A53B0D" w:rsidRDefault="00A53B0D" w:rsidP="00A53B0D">
            <w:pPr>
              <w:ind w:firstLine="0"/>
              <w:jc w:val="right"/>
              <w:rPr>
                <w:color w:val="000000"/>
                <w:sz w:val="20"/>
                <w:szCs w:val="20"/>
              </w:rPr>
            </w:pPr>
            <w:r w:rsidRPr="00A53B0D">
              <w:rPr>
                <w:color w:val="000000"/>
                <w:sz w:val="20"/>
                <w:szCs w:val="20"/>
                <w:lang w:val="en-US"/>
              </w:rPr>
              <w:t>21 557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B0D" w:rsidRPr="00A53B0D" w:rsidRDefault="00A53B0D" w:rsidP="00A53B0D">
            <w:pPr>
              <w:ind w:firstLine="0"/>
              <w:jc w:val="right"/>
              <w:rPr>
                <w:color w:val="000000"/>
                <w:sz w:val="20"/>
                <w:szCs w:val="20"/>
              </w:rPr>
            </w:pPr>
            <w:r w:rsidRPr="00A53B0D">
              <w:rPr>
                <w:color w:val="000000"/>
                <w:sz w:val="20"/>
                <w:szCs w:val="20"/>
                <w:lang w:val="en-US"/>
              </w:rPr>
              <w:t>22 093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B0D" w:rsidRPr="00A53B0D" w:rsidRDefault="00A53B0D" w:rsidP="00A53B0D">
            <w:pPr>
              <w:ind w:firstLine="0"/>
              <w:jc w:val="right"/>
              <w:rPr>
                <w:color w:val="000000"/>
                <w:sz w:val="20"/>
                <w:szCs w:val="20"/>
              </w:rPr>
            </w:pPr>
            <w:r w:rsidRPr="00A53B0D">
              <w:rPr>
                <w:color w:val="000000"/>
                <w:sz w:val="20"/>
                <w:szCs w:val="20"/>
              </w:rPr>
              <w:t>2,49</w:t>
            </w:r>
            <w:r>
              <w:rPr>
                <w:color w:val="000000"/>
                <w:sz w:val="20"/>
                <w:szCs w:val="20"/>
                <w:lang w:val="en-US"/>
              </w:rPr>
              <w:t xml:space="preserve"> </w:t>
            </w:r>
            <w:r w:rsidRPr="00A53B0D">
              <w:rPr>
                <w:color w:val="000000"/>
                <w:sz w:val="20"/>
                <w:szCs w:val="20"/>
              </w:rPr>
              <w:t>%</w:t>
            </w:r>
          </w:p>
        </w:tc>
      </w:tr>
    </w:tbl>
    <w:p w:rsidR="000A4E40" w:rsidRPr="004761E0" w:rsidRDefault="000A4E40" w:rsidP="00DC75B4">
      <w:pPr>
        <w:spacing w:before="120"/>
        <w:ind w:firstLine="0"/>
        <w:rPr>
          <w:rFonts w:eastAsia="Times New Roman"/>
          <w:bCs/>
          <w:iCs/>
          <w:sz w:val="26"/>
          <w:szCs w:val="26"/>
          <w:lang w:eastAsia="ru-RU"/>
        </w:rPr>
      </w:pPr>
      <w:r w:rsidRPr="004761E0">
        <w:rPr>
          <w:rFonts w:eastAsia="Times New Roman"/>
          <w:bCs/>
          <w:iCs/>
          <w:noProof/>
          <w:sz w:val="26"/>
          <w:szCs w:val="26"/>
          <w:lang w:eastAsia="ru-RU"/>
        </w:rPr>
        <w:drawing>
          <wp:inline distT="0" distB="0" distL="0" distR="0">
            <wp:extent cx="3043451" cy="2770495"/>
            <wp:effectExtent l="0" t="0" r="508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DC75B4" w:rsidRPr="004761E0">
        <w:rPr>
          <w:rFonts w:eastAsia="Times New Roman"/>
          <w:bCs/>
          <w:iCs/>
          <w:noProof/>
          <w:sz w:val="26"/>
          <w:szCs w:val="26"/>
          <w:lang w:eastAsia="ru-RU"/>
        </w:rPr>
        <w:t xml:space="preserve"> </w:t>
      </w:r>
      <w:r w:rsidR="00DC75B4" w:rsidRPr="004761E0">
        <w:rPr>
          <w:rFonts w:eastAsia="Times New Roman"/>
          <w:bCs/>
          <w:iCs/>
          <w:noProof/>
          <w:sz w:val="26"/>
          <w:szCs w:val="26"/>
          <w:lang w:eastAsia="ru-RU"/>
        </w:rPr>
        <w:drawing>
          <wp:inline distT="0" distB="0" distL="0" distR="0">
            <wp:extent cx="3043451" cy="2770495"/>
            <wp:effectExtent l="0" t="0" r="508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A4E40" w:rsidRPr="004761E0" w:rsidRDefault="00DC75B4" w:rsidP="00DC75B4">
      <w:pPr>
        <w:spacing w:before="120"/>
        <w:ind w:firstLine="0"/>
        <w:rPr>
          <w:rFonts w:eastAsia="Times New Roman"/>
          <w:bCs/>
          <w:iCs/>
          <w:sz w:val="26"/>
          <w:szCs w:val="26"/>
          <w:lang w:eastAsia="ru-RU"/>
        </w:rPr>
      </w:pPr>
      <w:r w:rsidRPr="004761E0">
        <w:rPr>
          <w:rFonts w:eastAsia="Times New Roman"/>
          <w:bCs/>
          <w:iCs/>
          <w:noProof/>
          <w:sz w:val="26"/>
          <w:szCs w:val="26"/>
          <w:lang w:eastAsia="ru-RU"/>
        </w:rPr>
        <w:lastRenderedPageBreak/>
        <w:drawing>
          <wp:inline distT="0" distB="0" distL="0" distR="0">
            <wp:extent cx="3043451" cy="3057099"/>
            <wp:effectExtent l="0" t="0" r="508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4761E0">
        <w:rPr>
          <w:rFonts w:eastAsia="Times New Roman"/>
          <w:bCs/>
          <w:iCs/>
          <w:sz w:val="26"/>
          <w:szCs w:val="26"/>
          <w:lang w:eastAsia="ru-RU"/>
        </w:rPr>
        <w:t xml:space="preserve"> </w:t>
      </w:r>
      <w:r w:rsidR="007379BA" w:rsidRPr="004761E0">
        <w:rPr>
          <w:rFonts w:eastAsia="Times New Roman"/>
          <w:bCs/>
          <w:iCs/>
          <w:noProof/>
          <w:sz w:val="26"/>
          <w:szCs w:val="26"/>
          <w:lang w:eastAsia="ru-RU"/>
        </w:rPr>
        <w:drawing>
          <wp:inline distT="0" distB="0" distL="0" distR="0">
            <wp:extent cx="3043451" cy="3057099"/>
            <wp:effectExtent l="0" t="0" r="508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D033C" w:rsidRPr="004761E0" w:rsidRDefault="003D033C" w:rsidP="003D033C">
      <w:pPr>
        <w:ind w:firstLine="567"/>
        <w:rPr>
          <w:sz w:val="26"/>
          <w:szCs w:val="26"/>
          <w:lang w:eastAsia="ru-RU"/>
        </w:rPr>
      </w:pPr>
      <w:r>
        <w:rPr>
          <w:rFonts w:eastAsia="Times New Roman"/>
          <w:bCs/>
          <w:iCs/>
          <w:sz w:val="26"/>
          <w:szCs w:val="26"/>
          <w:lang w:eastAsia="ru-RU"/>
        </w:rPr>
        <w:t xml:space="preserve">Структура электросетевых активов в разбивке по филиалам </w:t>
      </w:r>
      <w:r w:rsidR="009479EC">
        <w:rPr>
          <w:rFonts w:eastAsia="Times New Roman"/>
          <w:bCs/>
          <w:iCs/>
          <w:sz w:val="26"/>
          <w:szCs w:val="26"/>
          <w:lang w:eastAsia="ru-RU"/>
        </w:rPr>
        <w:t xml:space="preserve">и по уровням напряжения </w:t>
      </w:r>
      <w:r>
        <w:rPr>
          <w:rFonts w:eastAsia="Times New Roman"/>
          <w:bCs/>
          <w:iCs/>
          <w:sz w:val="26"/>
          <w:szCs w:val="26"/>
          <w:lang w:eastAsia="ru-RU"/>
        </w:rPr>
        <w:t xml:space="preserve">представлена </w:t>
      </w:r>
      <w:r w:rsidRPr="004761E0">
        <w:rPr>
          <w:sz w:val="26"/>
          <w:szCs w:val="26"/>
          <w:lang w:eastAsia="ru-RU"/>
        </w:rPr>
        <w:t>в Приложении</w:t>
      </w:r>
      <w:r>
        <w:rPr>
          <w:sz w:val="26"/>
          <w:szCs w:val="26"/>
          <w:lang w:eastAsia="ru-RU"/>
        </w:rPr>
        <w:t xml:space="preserve"> 12.</w:t>
      </w:r>
      <w:r w:rsidR="003146BC">
        <w:rPr>
          <w:sz w:val="26"/>
          <w:szCs w:val="26"/>
          <w:lang w:eastAsia="ru-RU"/>
        </w:rPr>
        <w:t>1</w:t>
      </w:r>
      <w:r>
        <w:rPr>
          <w:sz w:val="26"/>
          <w:szCs w:val="26"/>
          <w:lang w:eastAsia="ru-RU"/>
        </w:rPr>
        <w:t>.</w:t>
      </w:r>
      <w:r w:rsidRPr="004761E0">
        <w:rPr>
          <w:sz w:val="26"/>
          <w:szCs w:val="26"/>
          <w:lang w:eastAsia="ru-RU"/>
        </w:rPr>
        <w:t xml:space="preserve"> к Годовому отчету.</w:t>
      </w:r>
    </w:p>
    <w:p w:rsidR="00D21549" w:rsidRPr="004761E0" w:rsidRDefault="00D21549" w:rsidP="00381754">
      <w:pPr>
        <w:ind w:firstLine="567"/>
        <w:rPr>
          <w:rFonts w:eastAsia="Times New Roman"/>
          <w:bCs/>
          <w:iCs/>
          <w:sz w:val="26"/>
          <w:szCs w:val="26"/>
          <w:lang w:eastAsia="ru-RU"/>
        </w:rPr>
      </w:pPr>
      <w:r w:rsidRPr="004761E0">
        <w:rPr>
          <w:rFonts w:eastAsia="Times New Roman"/>
          <w:bCs/>
          <w:iCs/>
          <w:sz w:val="26"/>
          <w:szCs w:val="26"/>
          <w:lang w:eastAsia="ru-RU"/>
        </w:rPr>
        <w:t xml:space="preserve">Все данные представлены в старых границах, т.к. филиал «Новая Москва» создан в конце 2013 года и передача основных фондов на баланс нового филиала из </w:t>
      </w:r>
      <w:r w:rsidR="00997BAC" w:rsidRPr="004761E0">
        <w:rPr>
          <w:rFonts w:eastAsia="Times New Roman"/>
          <w:bCs/>
          <w:iCs/>
          <w:sz w:val="26"/>
          <w:szCs w:val="26"/>
          <w:lang w:eastAsia="ru-RU"/>
        </w:rPr>
        <w:t xml:space="preserve">филиалов </w:t>
      </w:r>
      <w:r w:rsidR="00363C0A" w:rsidRPr="004761E0">
        <w:rPr>
          <w:rFonts w:eastAsia="Times New Roman"/>
          <w:bCs/>
          <w:iCs/>
          <w:sz w:val="26"/>
          <w:szCs w:val="26"/>
          <w:lang w:eastAsia="ru-RU"/>
        </w:rPr>
        <w:t>ЗЭС</w:t>
      </w:r>
      <w:r w:rsidRPr="004761E0">
        <w:rPr>
          <w:rFonts w:eastAsia="Times New Roman"/>
          <w:bCs/>
          <w:iCs/>
          <w:sz w:val="26"/>
          <w:szCs w:val="26"/>
          <w:lang w:eastAsia="ru-RU"/>
        </w:rPr>
        <w:t xml:space="preserve"> и Ю</w:t>
      </w:r>
      <w:r w:rsidR="00363C0A" w:rsidRPr="004761E0">
        <w:rPr>
          <w:rFonts w:eastAsia="Times New Roman"/>
          <w:bCs/>
          <w:iCs/>
          <w:sz w:val="26"/>
          <w:szCs w:val="26"/>
          <w:lang w:eastAsia="ru-RU"/>
        </w:rPr>
        <w:t xml:space="preserve">ЭС </w:t>
      </w:r>
      <w:r w:rsidRPr="004761E0">
        <w:rPr>
          <w:rFonts w:eastAsia="Times New Roman"/>
          <w:bCs/>
          <w:iCs/>
          <w:sz w:val="26"/>
          <w:szCs w:val="26"/>
          <w:lang w:eastAsia="ru-RU"/>
        </w:rPr>
        <w:t>еще не завершена.</w:t>
      </w:r>
    </w:p>
    <w:p w:rsidR="001B6063" w:rsidRPr="004761E0" w:rsidRDefault="001B6063" w:rsidP="00381754">
      <w:pPr>
        <w:ind w:firstLine="567"/>
        <w:rPr>
          <w:rFonts w:eastAsia="Times New Roman"/>
          <w:bCs/>
          <w:iCs/>
          <w:sz w:val="26"/>
          <w:szCs w:val="26"/>
          <w:lang w:eastAsia="ru-RU"/>
        </w:rPr>
      </w:pPr>
      <w:r w:rsidRPr="004761E0">
        <w:rPr>
          <w:rFonts w:eastAsia="Times New Roman"/>
          <w:bCs/>
          <w:iCs/>
          <w:sz w:val="26"/>
          <w:szCs w:val="26"/>
          <w:lang w:eastAsia="ru-RU"/>
        </w:rPr>
        <w:t xml:space="preserve">В 2013 году по </w:t>
      </w:r>
      <w:proofErr w:type="gramStart"/>
      <w:r w:rsidRPr="004761E0">
        <w:rPr>
          <w:rFonts w:eastAsia="Times New Roman"/>
          <w:bCs/>
          <w:iCs/>
          <w:sz w:val="26"/>
          <w:szCs w:val="26"/>
          <w:lang w:eastAsia="ru-RU"/>
        </w:rPr>
        <w:t>г</w:t>
      </w:r>
      <w:proofErr w:type="gramEnd"/>
      <w:r w:rsidRPr="004761E0">
        <w:rPr>
          <w:rFonts w:eastAsia="Times New Roman"/>
          <w:bCs/>
          <w:iCs/>
          <w:sz w:val="26"/>
          <w:szCs w:val="26"/>
          <w:lang w:eastAsia="ru-RU"/>
        </w:rPr>
        <w:t xml:space="preserve">. Москве </w:t>
      </w:r>
      <w:r w:rsidR="00997BAC" w:rsidRPr="004761E0">
        <w:rPr>
          <w:rFonts w:eastAsia="Times New Roman"/>
          <w:bCs/>
          <w:iCs/>
          <w:sz w:val="26"/>
          <w:szCs w:val="26"/>
          <w:lang w:eastAsia="ru-RU"/>
        </w:rPr>
        <w:t xml:space="preserve">увеличилась </w:t>
      </w:r>
      <w:r w:rsidR="00363C0A" w:rsidRPr="004761E0">
        <w:rPr>
          <w:rFonts w:eastAsia="Times New Roman"/>
          <w:bCs/>
          <w:iCs/>
          <w:sz w:val="26"/>
          <w:szCs w:val="26"/>
          <w:lang w:eastAsia="ru-RU"/>
        </w:rPr>
        <w:t xml:space="preserve">на 35,92 % </w:t>
      </w:r>
      <w:r w:rsidR="00997BAC" w:rsidRPr="004761E0">
        <w:rPr>
          <w:rFonts w:eastAsia="Times New Roman"/>
          <w:bCs/>
          <w:iCs/>
          <w:sz w:val="26"/>
          <w:szCs w:val="26"/>
          <w:lang w:eastAsia="ru-RU"/>
        </w:rPr>
        <w:t xml:space="preserve">протяженность воздушных линий 10 кВ </w:t>
      </w:r>
      <w:r w:rsidRPr="004761E0">
        <w:rPr>
          <w:rFonts w:eastAsia="Times New Roman"/>
          <w:bCs/>
          <w:iCs/>
          <w:sz w:val="26"/>
          <w:szCs w:val="26"/>
          <w:lang w:eastAsia="ru-RU"/>
        </w:rPr>
        <w:t xml:space="preserve">за счет ввода новых объектов и перевода сетей с 6 на 10 кВ. Протяженность </w:t>
      </w:r>
      <w:r w:rsidR="00997BAC" w:rsidRPr="004761E0">
        <w:rPr>
          <w:rFonts w:eastAsia="Times New Roman"/>
          <w:bCs/>
          <w:iCs/>
          <w:sz w:val="26"/>
          <w:szCs w:val="26"/>
          <w:lang w:eastAsia="ru-RU"/>
        </w:rPr>
        <w:t xml:space="preserve">воздушных линий </w:t>
      </w:r>
      <w:r w:rsidR="001A25B0" w:rsidRPr="004761E0">
        <w:rPr>
          <w:sz w:val="26"/>
          <w:szCs w:val="26"/>
        </w:rPr>
        <w:t>6 кВ</w:t>
      </w:r>
      <w:r w:rsidRPr="004761E0">
        <w:rPr>
          <w:rFonts w:eastAsia="Times New Roman"/>
          <w:bCs/>
          <w:iCs/>
          <w:sz w:val="26"/>
          <w:szCs w:val="26"/>
          <w:lang w:eastAsia="ru-RU"/>
        </w:rPr>
        <w:t xml:space="preserve"> снизилась вследствие перевода сетей </w:t>
      </w:r>
      <w:r w:rsidR="00997BAC" w:rsidRPr="004761E0">
        <w:rPr>
          <w:rFonts w:eastAsia="Times New Roman"/>
          <w:bCs/>
          <w:iCs/>
          <w:sz w:val="26"/>
          <w:szCs w:val="26"/>
          <w:lang w:eastAsia="ru-RU"/>
        </w:rPr>
        <w:t>на более высоко</w:t>
      </w:r>
      <w:r w:rsidR="0058192B" w:rsidRPr="004761E0">
        <w:rPr>
          <w:rFonts w:eastAsia="Times New Roman"/>
          <w:bCs/>
          <w:iCs/>
          <w:sz w:val="26"/>
          <w:szCs w:val="26"/>
          <w:lang w:eastAsia="ru-RU"/>
        </w:rPr>
        <w:t>е</w:t>
      </w:r>
      <w:r w:rsidR="00997BAC" w:rsidRPr="004761E0">
        <w:rPr>
          <w:rFonts w:eastAsia="Times New Roman"/>
          <w:bCs/>
          <w:iCs/>
          <w:sz w:val="26"/>
          <w:szCs w:val="26"/>
          <w:lang w:eastAsia="ru-RU"/>
        </w:rPr>
        <w:t xml:space="preserve"> напряжение </w:t>
      </w:r>
      <w:r w:rsidRPr="004761E0">
        <w:rPr>
          <w:rFonts w:eastAsia="Times New Roman"/>
          <w:bCs/>
          <w:iCs/>
          <w:sz w:val="26"/>
          <w:szCs w:val="26"/>
          <w:lang w:eastAsia="ru-RU"/>
        </w:rPr>
        <w:t xml:space="preserve">и в кабельное исполнение. Увеличение </w:t>
      </w:r>
      <w:r w:rsidR="00997BAC" w:rsidRPr="004761E0">
        <w:rPr>
          <w:rFonts w:eastAsia="Times New Roman"/>
          <w:bCs/>
          <w:iCs/>
          <w:sz w:val="26"/>
          <w:szCs w:val="26"/>
          <w:lang w:eastAsia="ru-RU"/>
        </w:rPr>
        <w:t xml:space="preserve">протяженности воздушных линий </w:t>
      </w:r>
      <w:r w:rsidRPr="004761E0">
        <w:rPr>
          <w:rFonts w:eastAsia="Times New Roman"/>
          <w:bCs/>
          <w:iCs/>
          <w:sz w:val="26"/>
          <w:szCs w:val="26"/>
          <w:lang w:eastAsia="ru-RU"/>
        </w:rPr>
        <w:t>0,4 кВ произошло за счет ввода новых объектов.</w:t>
      </w:r>
    </w:p>
    <w:p w:rsidR="001B6063" w:rsidRPr="004761E0" w:rsidRDefault="001B6063" w:rsidP="00381754">
      <w:pPr>
        <w:ind w:firstLine="567"/>
        <w:rPr>
          <w:rFonts w:eastAsia="Times New Roman"/>
          <w:bCs/>
          <w:iCs/>
          <w:sz w:val="26"/>
          <w:szCs w:val="26"/>
          <w:lang w:eastAsia="ru-RU"/>
        </w:rPr>
      </w:pPr>
      <w:r w:rsidRPr="004761E0">
        <w:rPr>
          <w:rFonts w:eastAsia="Times New Roman"/>
          <w:bCs/>
          <w:iCs/>
          <w:sz w:val="26"/>
          <w:szCs w:val="26"/>
          <w:lang w:eastAsia="ru-RU"/>
        </w:rPr>
        <w:t xml:space="preserve">По Московской области стоит отметить увеличение количества </w:t>
      </w:r>
      <w:r w:rsidR="00363C0A" w:rsidRPr="004761E0">
        <w:rPr>
          <w:rFonts w:eastAsia="Times New Roman"/>
          <w:bCs/>
          <w:iCs/>
          <w:sz w:val="26"/>
          <w:szCs w:val="26"/>
          <w:lang w:eastAsia="ru-RU"/>
        </w:rPr>
        <w:t>подстанций распределительных сетей</w:t>
      </w:r>
      <w:r w:rsidR="00997BAC" w:rsidRPr="004761E0">
        <w:rPr>
          <w:rFonts w:eastAsia="Times New Roman"/>
          <w:bCs/>
          <w:iCs/>
          <w:sz w:val="26"/>
          <w:szCs w:val="26"/>
          <w:lang w:eastAsia="ru-RU"/>
        </w:rPr>
        <w:t>, что</w:t>
      </w:r>
      <w:r w:rsidR="00363C0A" w:rsidRPr="004761E0">
        <w:rPr>
          <w:rFonts w:eastAsia="Times New Roman"/>
          <w:bCs/>
          <w:iCs/>
          <w:sz w:val="26"/>
          <w:szCs w:val="26"/>
          <w:lang w:eastAsia="ru-RU"/>
        </w:rPr>
        <w:t xml:space="preserve"> </w:t>
      </w:r>
      <w:r w:rsidRPr="004761E0">
        <w:rPr>
          <w:rFonts w:eastAsia="Times New Roman"/>
          <w:bCs/>
          <w:iCs/>
          <w:sz w:val="26"/>
          <w:szCs w:val="26"/>
          <w:lang w:eastAsia="ru-RU"/>
        </w:rPr>
        <w:t xml:space="preserve">связано с приемкой </w:t>
      </w:r>
      <w:r w:rsidR="00363C0A" w:rsidRPr="004761E0">
        <w:rPr>
          <w:rFonts w:eastAsia="Times New Roman"/>
          <w:bCs/>
          <w:iCs/>
          <w:sz w:val="26"/>
          <w:szCs w:val="26"/>
          <w:lang w:eastAsia="ru-RU"/>
        </w:rPr>
        <w:t xml:space="preserve">значительного </w:t>
      </w:r>
      <w:r w:rsidRPr="004761E0">
        <w:rPr>
          <w:rFonts w:eastAsia="Times New Roman"/>
          <w:bCs/>
          <w:iCs/>
          <w:sz w:val="26"/>
          <w:szCs w:val="26"/>
          <w:lang w:eastAsia="ru-RU"/>
        </w:rPr>
        <w:t xml:space="preserve">количества бесхозяйных объектов, в общей стоимости порядка 1 </w:t>
      </w:r>
      <w:proofErr w:type="gramStart"/>
      <w:r w:rsidRPr="004761E0">
        <w:rPr>
          <w:rFonts w:eastAsia="Times New Roman"/>
          <w:bCs/>
          <w:iCs/>
          <w:sz w:val="26"/>
          <w:szCs w:val="26"/>
          <w:lang w:eastAsia="ru-RU"/>
        </w:rPr>
        <w:t>млрд</w:t>
      </w:r>
      <w:proofErr w:type="gramEnd"/>
      <w:r w:rsidRPr="004761E0">
        <w:rPr>
          <w:rFonts w:eastAsia="Times New Roman"/>
          <w:bCs/>
          <w:iCs/>
          <w:sz w:val="26"/>
          <w:szCs w:val="26"/>
          <w:lang w:eastAsia="ru-RU"/>
        </w:rPr>
        <w:t xml:space="preserve"> руб.</w:t>
      </w:r>
    </w:p>
    <w:p w:rsidR="006C4125" w:rsidRPr="004761E0" w:rsidRDefault="006C4125" w:rsidP="006C4125">
      <w:pPr>
        <w:spacing w:before="120"/>
        <w:ind w:firstLine="567"/>
        <w:rPr>
          <w:sz w:val="26"/>
          <w:szCs w:val="26"/>
          <w:lang w:eastAsia="ru-RU"/>
        </w:rPr>
      </w:pPr>
    </w:p>
    <w:p w:rsidR="006C4125" w:rsidRPr="004761E0" w:rsidRDefault="006C4125" w:rsidP="006232E9">
      <w:pPr>
        <w:spacing w:before="120"/>
        <w:ind w:firstLine="567"/>
        <w:rPr>
          <w:sz w:val="26"/>
          <w:szCs w:val="26"/>
          <w:lang w:eastAsia="ru-RU"/>
        </w:rPr>
        <w:sectPr w:rsidR="006C4125" w:rsidRPr="004761E0" w:rsidSect="00A232BD">
          <w:footerReference w:type="default" r:id="rId34"/>
          <w:pgSz w:w="11907" w:h="16840" w:code="9"/>
          <w:pgMar w:top="1418" w:right="851" w:bottom="720" w:left="1134" w:header="720" w:footer="720" w:gutter="0"/>
          <w:cols w:space="720"/>
          <w:docGrid w:linePitch="326"/>
        </w:sectPr>
      </w:pPr>
    </w:p>
    <w:p w:rsidR="006232E9" w:rsidRPr="00F842E0" w:rsidRDefault="006C4125" w:rsidP="00F842E0">
      <w:pPr>
        <w:spacing w:before="120" w:after="120"/>
        <w:ind w:firstLine="567"/>
        <w:rPr>
          <w:b/>
          <w:sz w:val="26"/>
          <w:szCs w:val="26"/>
          <w:lang w:eastAsia="ru-RU"/>
        </w:rPr>
      </w:pPr>
      <w:r w:rsidRPr="00F842E0">
        <w:rPr>
          <w:b/>
          <w:sz w:val="26"/>
          <w:szCs w:val="26"/>
          <w:lang w:eastAsia="ru-RU"/>
        </w:rPr>
        <w:lastRenderedPageBreak/>
        <w:t>Структура имущественного комплекса и произошедшие изменения в 2013 году</w:t>
      </w:r>
    </w:p>
    <w:tbl>
      <w:tblPr>
        <w:tblStyle w:val="16"/>
        <w:tblW w:w="15992" w:type="dxa"/>
        <w:tblInd w:w="-318" w:type="dxa"/>
        <w:tblLook w:val="04A0"/>
      </w:tblPr>
      <w:tblGrid>
        <w:gridCol w:w="668"/>
        <w:gridCol w:w="6732"/>
        <w:gridCol w:w="1606"/>
        <w:gridCol w:w="1371"/>
        <w:gridCol w:w="1331"/>
        <w:gridCol w:w="1484"/>
        <w:gridCol w:w="1429"/>
        <w:gridCol w:w="1371"/>
      </w:tblGrid>
      <w:tr w:rsidR="006C4125" w:rsidRPr="004761E0" w:rsidTr="00316FF1">
        <w:trPr>
          <w:trHeight w:val="765"/>
        </w:trPr>
        <w:tc>
          <w:tcPr>
            <w:tcW w:w="668" w:type="dxa"/>
            <w:vMerge w:val="restart"/>
            <w:tcBorders>
              <w:bottom w:val="single" w:sz="4" w:space="0" w:color="FFFFFF" w:themeColor="background1"/>
              <w:right w:val="single" w:sz="4" w:space="0" w:color="FFFFFF" w:themeColor="background1"/>
            </w:tcBorders>
            <w:shd w:val="clear" w:color="auto" w:fill="0F243E" w:themeFill="text2" w:themeFillShade="80"/>
            <w:vAlign w:val="center"/>
            <w:hideMark/>
          </w:tcPr>
          <w:p w:rsidR="006C4125" w:rsidRPr="00F842E0" w:rsidRDefault="006C4125" w:rsidP="00F842E0">
            <w:pPr>
              <w:ind w:firstLine="0"/>
              <w:rPr>
                <w:b/>
                <w:color w:val="FFFFFF" w:themeColor="background1"/>
                <w:sz w:val="20"/>
                <w:szCs w:val="20"/>
                <w:lang w:eastAsia="ru-RU"/>
              </w:rPr>
            </w:pPr>
            <w:r w:rsidRPr="00F842E0">
              <w:rPr>
                <w:b/>
                <w:color w:val="FFFFFF" w:themeColor="background1"/>
                <w:sz w:val="20"/>
                <w:szCs w:val="20"/>
                <w:lang w:eastAsia="ru-RU"/>
              </w:rPr>
              <w:t xml:space="preserve">№ </w:t>
            </w:r>
            <w:proofErr w:type="gramStart"/>
            <w:r w:rsidRPr="00F842E0">
              <w:rPr>
                <w:b/>
                <w:color w:val="FFFFFF" w:themeColor="background1"/>
                <w:sz w:val="20"/>
                <w:szCs w:val="20"/>
                <w:lang w:eastAsia="ru-RU"/>
              </w:rPr>
              <w:t>п</w:t>
            </w:r>
            <w:proofErr w:type="gramEnd"/>
            <w:r w:rsidRPr="00F842E0">
              <w:rPr>
                <w:b/>
                <w:color w:val="FFFFFF" w:themeColor="background1"/>
                <w:sz w:val="20"/>
                <w:szCs w:val="20"/>
                <w:lang w:eastAsia="ru-RU"/>
              </w:rPr>
              <w:t>/п</w:t>
            </w:r>
          </w:p>
        </w:tc>
        <w:tc>
          <w:tcPr>
            <w:tcW w:w="6732"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6C4125" w:rsidRPr="00F842E0" w:rsidRDefault="006C4125" w:rsidP="00F842E0">
            <w:pPr>
              <w:ind w:firstLine="0"/>
              <w:rPr>
                <w:b/>
                <w:color w:val="FFFFFF" w:themeColor="background1"/>
                <w:sz w:val="20"/>
                <w:szCs w:val="20"/>
                <w:lang w:eastAsia="ru-RU"/>
              </w:rPr>
            </w:pPr>
            <w:r w:rsidRPr="00F842E0">
              <w:rPr>
                <w:b/>
                <w:color w:val="FFFFFF" w:themeColor="background1"/>
                <w:sz w:val="20"/>
                <w:szCs w:val="20"/>
                <w:lang w:eastAsia="ru-RU"/>
              </w:rPr>
              <w:t>Наименование категории</w:t>
            </w:r>
          </w:p>
        </w:tc>
        <w:tc>
          <w:tcPr>
            <w:tcW w:w="1606" w:type="dxa"/>
            <w:tcBorders>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6C4125" w:rsidRPr="00F842E0" w:rsidRDefault="006C4125" w:rsidP="00F842E0">
            <w:pPr>
              <w:ind w:firstLine="0"/>
              <w:jc w:val="right"/>
              <w:rPr>
                <w:b/>
                <w:color w:val="FFFFFF" w:themeColor="background1"/>
                <w:sz w:val="20"/>
                <w:szCs w:val="20"/>
                <w:lang w:eastAsia="ru-RU"/>
              </w:rPr>
            </w:pPr>
            <w:r w:rsidRPr="00F842E0">
              <w:rPr>
                <w:b/>
                <w:color w:val="FFFFFF" w:themeColor="background1"/>
                <w:sz w:val="20"/>
                <w:szCs w:val="20"/>
                <w:lang w:eastAsia="ru-RU"/>
              </w:rPr>
              <w:t>Физические величины:</w:t>
            </w:r>
          </w:p>
        </w:tc>
        <w:tc>
          <w:tcPr>
            <w:tcW w:w="1371" w:type="dxa"/>
            <w:tcBorders>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6C4125" w:rsidRPr="00F842E0" w:rsidRDefault="006C4125" w:rsidP="00F842E0">
            <w:pPr>
              <w:ind w:firstLine="0"/>
              <w:jc w:val="right"/>
              <w:rPr>
                <w:b/>
                <w:color w:val="FFFFFF" w:themeColor="background1"/>
                <w:sz w:val="20"/>
                <w:szCs w:val="20"/>
                <w:lang w:eastAsia="ru-RU"/>
              </w:rPr>
            </w:pPr>
            <w:r w:rsidRPr="00F842E0">
              <w:rPr>
                <w:b/>
                <w:color w:val="FFFFFF" w:themeColor="background1"/>
                <w:sz w:val="20"/>
                <w:szCs w:val="20"/>
                <w:lang w:eastAsia="ru-RU"/>
              </w:rPr>
              <w:t xml:space="preserve">Балансовая (остаточная) стоимость </w:t>
            </w:r>
          </w:p>
        </w:tc>
        <w:tc>
          <w:tcPr>
            <w:tcW w:w="1331" w:type="dxa"/>
            <w:tcBorders>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6C4125" w:rsidRPr="00F842E0" w:rsidRDefault="006C4125" w:rsidP="00F842E0">
            <w:pPr>
              <w:ind w:firstLine="0"/>
              <w:jc w:val="right"/>
              <w:rPr>
                <w:b/>
                <w:color w:val="FFFFFF" w:themeColor="background1"/>
                <w:sz w:val="20"/>
                <w:szCs w:val="20"/>
                <w:lang w:eastAsia="ru-RU"/>
              </w:rPr>
            </w:pPr>
            <w:r w:rsidRPr="00F842E0">
              <w:rPr>
                <w:b/>
                <w:color w:val="FFFFFF" w:themeColor="background1"/>
                <w:sz w:val="20"/>
                <w:szCs w:val="20"/>
                <w:lang w:eastAsia="ru-RU"/>
              </w:rPr>
              <w:t xml:space="preserve">Прибыло за период </w:t>
            </w:r>
          </w:p>
        </w:tc>
        <w:tc>
          <w:tcPr>
            <w:tcW w:w="1484" w:type="dxa"/>
            <w:tcBorders>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6C4125" w:rsidRPr="00F842E0" w:rsidRDefault="006C4125" w:rsidP="00F842E0">
            <w:pPr>
              <w:ind w:firstLine="0"/>
              <w:jc w:val="right"/>
              <w:rPr>
                <w:b/>
                <w:color w:val="FFFFFF" w:themeColor="background1"/>
                <w:sz w:val="20"/>
                <w:szCs w:val="20"/>
                <w:lang w:eastAsia="ru-RU"/>
              </w:rPr>
            </w:pPr>
            <w:r w:rsidRPr="00F842E0">
              <w:rPr>
                <w:b/>
                <w:color w:val="FFFFFF" w:themeColor="background1"/>
                <w:sz w:val="20"/>
                <w:szCs w:val="20"/>
                <w:lang w:eastAsia="ru-RU"/>
              </w:rPr>
              <w:t xml:space="preserve">Выбыло за период </w:t>
            </w:r>
          </w:p>
        </w:tc>
        <w:tc>
          <w:tcPr>
            <w:tcW w:w="1429" w:type="dxa"/>
            <w:tcBorders>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6C4125" w:rsidRPr="00F842E0" w:rsidRDefault="006C4125" w:rsidP="00F842E0">
            <w:pPr>
              <w:ind w:firstLine="0"/>
              <w:jc w:val="right"/>
              <w:rPr>
                <w:b/>
                <w:color w:val="FFFFFF" w:themeColor="background1"/>
                <w:sz w:val="20"/>
                <w:szCs w:val="20"/>
                <w:lang w:eastAsia="ru-RU"/>
              </w:rPr>
            </w:pPr>
            <w:r w:rsidRPr="00F842E0">
              <w:rPr>
                <w:b/>
                <w:color w:val="FFFFFF" w:themeColor="background1"/>
                <w:sz w:val="20"/>
                <w:szCs w:val="20"/>
                <w:lang w:eastAsia="ru-RU"/>
              </w:rPr>
              <w:t xml:space="preserve">Начисленная амортизация за период </w:t>
            </w:r>
          </w:p>
        </w:tc>
        <w:tc>
          <w:tcPr>
            <w:tcW w:w="1371" w:type="dxa"/>
            <w:tcBorders>
              <w:left w:val="single" w:sz="4" w:space="0" w:color="FFFFFF" w:themeColor="background1"/>
              <w:bottom w:val="single" w:sz="4" w:space="0" w:color="FFFFFF" w:themeColor="background1"/>
            </w:tcBorders>
            <w:shd w:val="clear" w:color="auto" w:fill="0F243E" w:themeFill="text2" w:themeFillShade="80"/>
            <w:hideMark/>
          </w:tcPr>
          <w:p w:rsidR="006C4125" w:rsidRPr="00F842E0" w:rsidRDefault="006C4125" w:rsidP="00F842E0">
            <w:pPr>
              <w:ind w:firstLine="0"/>
              <w:jc w:val="right"/>
              <w:rPr>
                <w:b/>
                <w:color w:val="FFFFFF" w:themeColor="background1"/>
                <w:sz w:val="20"/>
                <w:szCs w:val="20"/>
                <w:lang w:eastAsia="ru-RU"/>
              </w:rPr>
            </w:pPr>
            <w:r w:rsidRPr="00F842E0">
              <w:rPr>
                <w:b/>
                <w:color w:val="FFFFFF" w:themeColor="background1"/>
                <w:sz w:val="20"/>
                <w:szCs w:val="20"/>
                <w:lang w:eastAsia="ru-RU"/>
              </w:rPr>
              <w:t xml:space="preserve">Балансовая (остаточная) стоимость </w:t>
            </w:r>
          </w:p>
        </w:tc>
      </w:tr>
      <w:tr w:rsidR="006C4125" w:rsidRPr="004761E0" w:rsidTr="00316FF1">
        <w:trPr>
          <w:trHeight w:val="787"/>
        </w:trPr>
        <w:tc>
          <w:tcPr>
            <w:tcW w:w="668" w:type="dxa"/>
            <w:vMerge/>
            <w:tcBorders>
              <w:top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6C4125" w:rsidRPr="004761E0" w:rsidRDefault="006C4125" w:rsidP="006C4125">
            <w:pPr>
              <w:ind w:firstLine="0"/>
              <w:jc w:val="left"/>
              <w:rPr>
                <w:rFonts w:eastAsia="Times New Roman"/>
                <w:b/>
                <w:color w:val="FFFFFF" w:themeColor="background1"/>
                <w:sz w:val="20"/>
                <w:szCs w:val="20"/>
                <w:lang w:eastAsia="ru-RU"/>
              </w:rPr>
            </w:pPr>
          </w:p>
        </w:tc>
        <w:tc>
          <w:tcPr>
            <w:tcW w:w="673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6C4125" w:rsidRPr="004761E0" w:rsidRDefault="006C4125" w:rsidP="006C4125">
            <w:pPr>
              <w:ind w:firstLine="0"/>
              <w:jc w:val="left"/>
              <w:rPr>
                <w:rFonts w:eastAsia="Times New Roman"/>
                <w:b/>
                <w:color w:val="FFFFFF" w:themeColor="background1"/>
                <w:sz w:val="20"/>
                <w:szCs w:val="20"/>
                <w:lang w:eastAsia="ru-RU"/>
              </w:rPr>
            </w:pPr>
          </w:p>
        </w:tc>
        <w:tc>
          <w:tcPr>
            <w:tcW w:w="1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6C4125" w:rsidRPr="004761E0" w:rsidRDefault="006C4125" w:rsidP="006C4125">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xml:space="preserve">протяженность </w:t>
            </w:r>
            <w:proofErr w:type="gramStart"/>
            <w:r w:rsidRPr="004761E0">
              <w:rPr>
                <w:rFonts w:eastAsia="Times New Roman"/>
                <w:b/>
                <w:color w:val="FFFFFF" w:themeColor="background1"/>
                <w:sz w:val="20"/>
                <w:szCs w:val="20"/>
                <w:lang w:eastAsia="ru-RU"/>
              </w:rPr>
              <w:t>ВЛ</w:t>
            </w:r>
            <w:proofErr w:type="gramEnd"/>
            <w:r w:rsidRPr="004761E0">
              <w:rPr>
                <w:rFonts w:eastAsia="Times New Roman"/>
                <w:b/>
                <w:color w:val="FFFFFF" w:themeColor="background1"/>
                <w:sz w:val="20"/>
                <w:szCs w:val="20"/>
                <w:lang w:eastAsia="ru-RU"/>
              </w:rPr>
              <w:t>, КЛ по цепям / количество ПС, иных активов</w:t>
            </w:r>
          </w:p>
        </w:tc>
        <w:tc>
          <w:tcPr>
            <w:tcW w:w="1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6C4125" w:rsidRPr="004761E0" w:rsidRDefault="006C4125" w:rsidP="006C4125">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 01.01.2013</w:t>
            </w:r>
          </w:p>
        </w:tc>
        <w:tc>
          <w:tcPr>
            <w:tcW w:w="13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6C4125" w:rsidRPr="004761E0" w:rsidRDefault="006C4125" w:rsidP="006C4125">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с 01.01.2013 по 31.12.2013</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6C4125" w:rsidRPr="004761E0" w:rsidRDefault="006C4125" w:rsidP="006C4125">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с 01.01.2013 по 31.12.2013</w:t>
            </w:r>
          </w:p>
        </w:tc>
        <w:tc>
          <w:tcPr>
            <w:tcW w:w="14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6C4125" w:rsidRPr="004761E0" w:rsidRDefault="006C4125" w:rsidP="006C4125">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с 01.01.2013 по 31.12.2013</w:t>
            </w:r>
          </w:p>
        </w:tc>
        <w:tc>
          <w:tcPr>
            <w:tcW w:w="1371" w:type="dxa"/>
            <w:tcBorders>
              <w:top w:val="single" w:sz="4" w:space="0" w:color="FFFFFF" w:themeColor="background1"/>
              <w:left w:val="single" w:sz="4" w:space="0" w:color="FFFFFF" w:themeColor="background1"/>
              <w:bottom w:val="single" w:sz="4" w:space="0" w:color="FFFFFF" w:themeColor="background1"/>
            </w:tcBorders>
            <w:shd w:val="clear" w:color="auto" w:fill="0F243E" w:themeFill="text2" w:themeFillShade="80"/>
            <w:hideMark/>
          </w:tcPr>
          <w:p w:rsidR="006C4125" w:rsidRPr="004761E0" w:rsidRDefault="006C4125" w:rsidP="006C4125">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 31.12.2013</w:t>
            </w:r>
          </w:p>
        </w:tc>
      </w:tr>
      <w:tr w:rsidR="006C4125" w:rsidRPr="004761E0" w:rsidTr="00316FF1">
        <w:trPr>
          <w:trHeight w:val="300"/>
        </w:trPr>
        <w:tc>
          <w:tcPr>
            <w:tcW w:w="668" w:type="dxa"/>
            <w:vMerge/>
            <w:tcBorders>
              <w:top w:val="single" w:sz="4" w:space="0" w:color="FFFFFF" w:themeColor="background1"/>
              <w:right w:val="single" w:sz="4" w:space="0" w:color="FFFFFF" w:themeColor="background1"/>
            </w:tcBorders>
            <w:shd w:val="clear" w:color="auto" w:fill="0F243E" w:themeFill="text2" w:themeFillShade="80"/>
            <w:hideMark/>
          </w:tcPr>
          <w:p w:rsidR="006C4125" w:rsidRPr="004761E0" w:rsidRDefault="006C4125" w:rsidP="006C4125">
            <w:pPr>
              <w:ind w:firstLine="0"/>
              <w:jc w:val="left"/>
              <w:rPr>
                <w:rFonts w:eastAsia="Times New Roman"/>
                <w:b/>
                <w:color w:val="FFFFFF" w:themeColor="background1"/>
                <w:sz w:val="20"/>
                <w:szCs w:val="20"/>
                <w:lang w:eastAsia="ru-RU"/>
              </w:rPr>
            </w:pPr>
          </w:p>
        </w:tc>
        <w:tc>
          <w:tcPr>
            <w:tcW w:w="6732" w:type="dxa"/>
            <w:vMerge/>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hideMark/>
          </w:tcPr>
          <w:p w:rsidR="006C4125" w:rsidRPr="004761E0" w:rsidRDefault="006C4125" w:rsidP="006C4125">
            <w:pPr>
              <w:ind w:firstLine="0"/>
              <w:jc w:val="left"/>
              <w:rPr>
                <w:rFonts w:eastAsia="Times New Roman"/>
                <w:b/>
                <w:color w:val="FFFFFF" w:themeColor="background1"/>
                <w:sz w:val="20"/>
                <w:szCs w:val="20"/>
                <w:lang w:eastAsia="ru-RU"/>
              </w:rPr>
            </w:pPr>
          </w:p>
        </w:tc>
        <w:tc>
          <w:tcPr>
            <w:tcW w:w="1606"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hideMark/>
          </w:tcPr>
          <w:p w:rsidR="006C4125" w:rsidRPr="004761E0" w:rsidRDefault="006C4125" w:rsidP="006C4125">
            <w:pPr>
              <w:ind w:firstLine="0"/>
              <w:jc w:val="right"/>
              <w:rPr>
                <w:rFonts w:eastAsia="Times New Roman"/>
                <w:b/>
                <w:color w:val="FFFFFF" w:themeColor="background1"/>
                <w:sz w:val="20"/>
                <w:szCs w:val="20"/>
                <w:lang w:eastAsia="ru-RU"/>
              </w:rPr>
            </w:pPr>
            <w:proofErr w:type="gramStart"/>
            <w:r w:rsidRPr="004761E0">
              <w:rPr>
                <w:rFonts w:eastAsia="Times New Roman"/>
                <w:b/>
                <w:color w:val="FFFFFF" w:themeColor="background1"/>
                <w:sz w:val="20"/>
                <w:szCs w:val="20"/>
                <w:lang w:eastAsia="ru-RU"/>
              </w:rPr>
              <w:t>км</w:t>
            </w:r>
            <w:proofErr w:type="gramEnd"/>
            <w:r w:rsidRPr="004761E0">
              <w:rPr>
                <w:rFonts w:eastAsia="Times New Roman"/>
                <w:b/>
                <w:color w:val="FFFFFF" w:themeColor="background1"/>
                <w:sz w:val="20"/>
                <w:szCs w:val="20"/>
                <w:lang w:eastAsia="ru-RU"/>
              </w:rPr>
              <w:t xml:space="preserve"> / шт.</w:t>
            </w:r>
          </w:p>
        </w:tc>
        <w:tc>
          <w:tcPr>
            <w:tcW w:w="1371"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hideMark/>
          </w:tcPr>
          <w:p w:rsidR="006C4125" w:rsidRPr="004761E0" w:rsidRDefault="006C4125" w:rsidP="006C4125">
            <w:pPr>
              <w:ind w:firstLine="0"/>
              <w:jc w:val="right"/>
              <w:rPr>
                <w:rFonts w:eastAsia="Times New Roman"/>
                <w:b/>
                <w:color w:val="FFFFFF" w:themeColor="background1"/>
                <w:sz w:val="20"/>
                <w:szCs w:val="20"/>
                <w:lang w:eastAsia="ru-RU"/>
              </w:rPr>
            </w:pPr>
            <w:proofErr w:type="gramStart"/>
            <w:r w:rsidRPr="004761E0">
              <w:rPr>
                <w:rFonts w:eastAsia="Times New Roman"/>
                <w:b/>
                <w:color w:val="FFFFFF" w:themeColor="background1"/>
                <w:sz w:val="20"/>
                <w:szCs w:val="20"/>
                <w:lang w:eastAsia="ru-RU"/>
              </w:rPr>
              <w:t>млн</w:t>
            </w:r>
            <w:proofErr w:type="gramEnd"/>
            <w:r w:rsidRPr="004761E0">
              <w:rPr>
                <w:rFonts w:eastAsia="Times New Roman"/>
                <w:b/>
                <w:color w:val="FFFFFF" w:themeColor="background1"/>
                <w:sz w:val="20"/>
                <w:szCs w:val="20"/>
                <w:lang w:eastAsia="ru-RU"/>
              </w:rPr>
              <w:t xml:space="preserve"> руб.</w:t>
            </w:r>
          </w:p>
        </w:tc>
        <w:tc>
          <w:tcPr>
            <w:tcW w:w="1331"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hideMark/>
          </w:tcPr>
          <w:p w:rsidR="006C4125" w:rsidRPr="004761E0" w:rsidRDefault="006C4125" w:rsidP="006C4125">
            <w:pPr>
              <w:ind w:firstLine="0"/>
              <w:jc w:val="right"/>
              <w:rPr>
                <w:rFonts w:eastAsia="Times New Roman"/>
                <w:b/>
                <w:color w:val="FFFFFF" w:themeColor="background1"/>
                <w:sz w:val="20"/>
                <w:szCs w:val="20"/>
                <w:lang w:eastAsia="ru-RU"/>
              </w:rPr>
            </w:pPr>
            <w:proofErr w:type="gramStart"/>
            <w:r w:rsidRPr="004761E0">
              <w:rPr>
                <w:rFonts w:eastAsia="Times New Roman"/>
                <w:b/>
                <w:color w:val="FFFFFF" w:themeColor="background1"/>
                <w:sz w:val="20"/>
                <w:szCs w:val="20"/>
                <w:lang w:eastAsia="ru-RU"/>
              </w:rPr>
              <w:t>млн</w:t>
            </w:r>
            <w:proofErr w:type="gramEnd"/>
            <w:r w:rsidRPr="004761E0">
              <w:rPr>
                <w:rFonts w:eastAsia="Times New Roman"/>
                <w:b/>
                <w:color w:val="FFFFFF" w:themeColor="background1"/>
                <w:sz w:val="20"/>
                <w:szCs w:val="20"/>
                <w:lang w:eastAsia="ru-RU"/>
              </w:rPr>
              <w:t xml:space="preserve"> руб.</w:t>
            </w:r>
          </w:p>
        </w:tc>
        <w:tc>
          <w:tcPr>
            <w:tcW w:w="1484"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hideMark/>
          </w:tcPr>
          <w:p w:rsidR="006C4125" w:rsidRPr="004761E0" w:rsidRDefault="006C4125" w:rsidP="006C4125">
            <w:pPr>
              <w:ind w:firstLine="0"/>
              <w:jc w:val="right"/>
              <w:rPr>
                <w:rFonts w:eastAsia="Times New Roman"/>
                <w:b/>
                <w:color w:val="FFFFFF" w:themeColor="background1"/>
                <w:sz w:val="20"/>
                <w:szCs w:val="20"/>
                <w:lang w:eastAsia="ru-RU"/>
              </w:rPr>
            </w:pPr>
            <w:proofErr w:type="gramStart"/>
            <w:r w:rsidRPr="004761E0">
              <w:rPr>
                <w:rFonts w:eastAsia="Times New Roman"/>
                <w:b/>
                <w:color w:val="FFFFFF" w:themeColor="background1"/>
                <w:sz w:val="20"/>
                <w:szCs w:val="20"/>
                <w:lang w:eastAsia="ru-RU"/>
              </w:rPr>
              <w:t>млн</w:t>
            </w:r>
            <w:proofErr w:type="gramEnd"/>
            <w:r w:rsidRPr="004761E0">
              <w:rPr>
                <w:rFonts w:eastAsia="Times New Roman"/>
                <w:b/>
                <w:color w:val="FFFFFF" w:themeColor="background1"/>
                <w:sz w:val="20"/>
                <w:szCs w:val="20"/>
                <w:lang w:eastAsia="ru-RU"/>
              </w:rPr>
              <w:t xml:space="preserve"> руб.</w:t>
            </w:r>
          </w:p>
        </w:tc>
        <w:tc>
          <w:tcPr>
            <w:tcW w:w="1429"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hideMark/>
          </w:tcPr>
          <w:p w:rsidR="006C4125" w:rsidRPr="004761E0" w:rsidRDefault="006C4125" w:rsidP="006C4125">
            <w:pPr>
              <w:ind w:firstLine="0"/>
              <w:jc w:val="right"/>
              <w:rPr>
                <w:rFonts w:eastAsia="Times New Roman"/>
                <w:b/>
                <w:color w:val="FFFFFF" w:themeColor="background1"/>
                <w:sz w:val="20"/>
                <w:szCs w:val="20"/>
                <w:lang w:eastAsia="ru-RU"/>
              </w:rPr>
            </w:pPr>
            <w:proofErr w:type="gramStart"/>
            <w:r w:rsidRPr="004761E0">
              <w:rPr>
                <w:rFonts w:eastAsia="Times New Roman"/>
                <w:b/>
                <w:color w:val="FFFFFF" w:themeColor="background1"/>
                <w:sz w:val="20"/>
                <w:szCs w:val="20"/>
                <w:lang w:eastAsia="ru-RU"/>
              </w:rPr>
              <w:t>млн</w:t>
            </w:r>
            <w:proofErr w:type="gramEnd"/>
            <w:r w:rsidRPr="004761E0">
              <w:rPr>
                <w:rFonts w:eastAsia="Times New Roman"/>
                <w:b/>
                <w:color w:val="FFFFFF" w:themeColor="background1"/>
                <w:sz w:val="20"/>
                <w:szCs w:val="20"/>
                <w:lang w:eastAsia="ru-RU"/>
              </w:rPr>
              <w:t xml:space="preserve"> руб.</w:t>
            </w:r>
          </w:p>
        </w:tc>
        <w:tc>
          <w:tcPr>
            <w:tcW w:w="1371" w:type="dxa"/>
            <w:tcBorders>
              <w:top w:val="single" w:sz="4" w:space="0" w:color="FFFFFF" w:themeColor="background1"/>
              <w:left w:val="single" w:sz="4" w:space="0" w:color="FFFFFF" w:themeColor="background1"/>
            </w:tcBorders>
            <w:shd w:val="clear" w:color="auto" w:fill="0F243E" w:themeFill="text2" w:themeFillShade="80"/>
            <w:hideMark/>
          </w:tcPr>
          <w:p w:rsidR="006C4125" w:rsidRPr="004761E0" w:rsidRDefault="006C4125" w:rsidP="006C4125">
            <w:pPr>
              <w:ind w:firstLine="0"/>
              <w:jc w:val="right"/>
              <w:rPr>
                <w:rFonts w:eastAsia="Times New Roman"/>
                <w:b/>
                <w:color w:val="FFFFFF" w:themeColor="background1"/>
                <w:sz w:val="20"/>
                <w:szCs w:val="20"/>
                <w:lang w:eastAsia="ru-RU"/>
              </w:rPr>
            </w:pPr>
            <w:proofErr w:type="gramStart"/>
            <w:r w:rsidRPr="004761E0">
              <w:rPr>
                <w:rFonts w:eastAsia="Times New Roman"/>
                <w:b/>
                <w:color w:val="FFFFFF" w:themeColor="background1"/>
                <w:sz w:val="20"/>
                <w:szCs w:val="20"/>
                <w:lang w:eastAsia="ru-RU"/>
              </w:rPr>
              <w:t>млн</w:t>
            </w:r>
            <w:proofErr w:type="gramEnd"/>
            <w:r w:rsidRPr="004761E0">
              <w:rPr>
                <w:rFonts w:eastAsia="Times New Roman"/>
                <w:b/>
                <w:color w:val="FFFFFF" w:themeColor="background1"/>
                <w:sz w:val="20"/>
                <w:szCs w:val="20"/>
                <w:lang w:eastAsia="ru-RU"/>
              </w:rPr>
              <w:t xml:space="preserve"> руб.</w:t>
            </w:r>
          </w:p>
        </w:tc>
      </w:tr>
      <w:tr w:rsidR="00086514" w:rsidRPr="004761E0" w:rsidTr="00316FF1">
        <w:trPr>
          <w:trHeight w:val="300"/>
        </w:trPr>
        <w:tc>
          <w:tcPr>
            <w:tcW w:w="668" w:type="dxa"/>
          </w:tcPr>
          <w:p w:rsidR="00086514" w:rsidRPr="004761E0" w:rsidRDefault="00086514" w:rsidP="007076A7">
            <w:pPr>
              <w:pStyle w:val="a5"/>
              <w:numPr>
                <w:ilvl w:val="0"/>
                <w:numId w:val="193"/>
              </w:numPr>
              <w:tabs>
                <w:tab w:val="left" w:pos="251"/>
              </w:tabs>
              <w:ind w:left="0" w:firstLine="0"/>
              <w:contextualSpacing w:val="0"/>
              <w:jc w:val="left"/>
              <w:rPr>
                <w:rFonts w:eastAsia="Times New Roman"/>
                <w:b/>
                <w:bCs/>
                <w:color w:val="000000"/>
                <w:sz w:val="20"/>
                <w:szCs w:val="20"/>
                <w:lang w:eastAsia="ru-RU"/>
              </w:rPr>
            </w:pPr>
          </w:p>
        </w:tc>
        <w:tc>
          <w:tcPr>
            <w:tcW w:w="6732" w:type="dxa"/>
            <w:vAlign w:val="center"/>
            <w:hideMark/>
          </w:tcPr>
          <w:p w:rsidR="00086514" w:rsidRPr="004761E0" w:rsidRDefault="00086514" w:rsidP="006C4125">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Активы, относящиеся к объектам электросетевого хозяйства (всего), в т.ч.:</w:t>
            </w:r>
          </w:p>
        </w:tc>
        <w:tc>
          <w:tcPr>
            <w:tcW w:w="1606" w:type="dxa"/>
            <w:vAlign w:val="center"/>
            <w:hideMark/>
          </w:tcPr>
          <w:p w:rsidR="00086514" w:rsidRPr="004761E0" w:rsidRDefault="00086514" w:rsidP="00086514">
            <w:pPr>
              <w:ind w:firstLine="0"/>
              <w:jc w:val="right"/>
              <w:rPr>
                <w:b/>
                <w:sz w:val="20"/>
                <w:szCs w:val="20"/>
              </w:rPr>
            </w:pPr>
          </w:p>
        </w:tc>
        <w:tc>
          <w:tcPr>
            <w:tcW w:w="1371" w:type="dxa"/>
            <w:vAlign w:val="center"/>
            <w:hideMark/>
          </w:tcPr>
          <w:p w:rsidR="00086514" w:rsidRPr="004761E0" w:rsidRDefault="00086514" w:rsidP="00086514">
            <w:pPr>
              <w:ind w:firstLine="0"/>
              <w:jc w:val="right"/>
              <w:rPr>
                <w:b/>
                <w:bCs/>
                <w:sz w:val="20"/>
                <w:szCs w:val="20"/>
              </w:rPr>
            </w:pPr>
            <w:r w:rsidRPr="004761E0">
              <w:rPr>
                <w:b/>
                <w:bCs/>
                <w:sz w:val="20"/>
                <w:szCs w:val="20"/>
              </w:rPr>
              <w:t>191 347,51</w:t>
            </w:r>
          </w:p>
        </w:tc>
        <w:tc>
          <w:tcPr>
            <w:tcW w:w="1331" w:type="dxa"/>
            <w:vAlign w:val="center"/>
            <w:hideMark/>
          </w:tcPr>
          <w:p w:rsidR="00086514" w:rsidRPr="004761E0" w:rsidRDefault="00086514" w:rsidP="00086514">
            <w:pPr>
              <w:ind w:firstLine="0"/>
              <w:jc w:val="right"/>
              <w:rPr>
                <w:b/>
                <w:bCs/>
                <w:sz w:val="20"/>
                <w:szCs w:val="20"/>
              </w:rPr>
            </w:pPr>
            <w:r w:rsidRPr="004761E0">
              <w:rPr>
                <w:b/>
                <w:bCs/>
                <w:sz w:val="20"/>
                <w:szCs w:val="20"/>
              </w:rPr>
              <w:t>43 655,97</w:t>
            </w:r>
          </w:p>
        </w:tc>
        <w:tc>
          <w:tcPr>
            <w:tcW w:w="1484" w:type="dxa"/>
            <w:vAlign w:val="center"/>
            <w:hideMark/>
          </w:tcPr>
          <w:p w:rsidR="00086514" w:rsidRPr="004761E0" w:rsidRDefault="00086514" w:rsidP="00086514">
            <w:pPr>
              <w:ind w:firstLine="0"/>
              <w:jc w:val="right"/>
              <w:rPr>
                <w:b/>
                <w:bCs/>
                <w:sz w:val="20"/>
                <w:szCs w:val="20"/>
              </w:rPr>
            </w:pPr>
            <w:r w:rsidRPr="004761E0">
              <w:rPr>
                <w:b/>
                <w:bCs/>
                <w:sz w:val="20"/>
                <w:szCs w:val="20"/>
              </w:rPr>
              <w:t>15 656,91</w:t>
            </w:r>
          </w:p>
        </w:tc>
        <w:tc>
          <w:tcPr>
            <w:tcW w:w="1429" w:type="dxa"/>
            <w:vAlign w:val="center"/>
            <w:hideMark/>
          </w:tcPr>
          <w:p w:rsidR="00086514" w:rsidRPr="004761E0" w:rsidRDefault="00086514" w:rsidP="00086514">
            <w:pPr>
              <w:ind w:firstLine="0"/>
              <w:jc w:val="right"/>
              <w:rPr>
                <w:b/>
                <w:bCs/>
                <w:sz w:val="20"/>
                <w:szCs w:val="20"/>
              </w:rPr>
            </w:pPr>
            <w:r w:rsidRPr="004761E0">
              <w:rPr>
                <w:b/>
                <w:bCs/>
                <w:sz w:val="20"/>
                <w:szCs w:val="20"/>
              </w:rPr>
              <w:t>17 693,31</w:t>
            </w:r>
          </w:p>
        </w:tc>
        <w:tc>
          <w:tcPr>
            <w:tcW w:w="1371" w:type="dxa"/>
            <w:vAlign w:val="center"/>
            <w:hideMark/>
          </w:tcPr>
          <w:p w:rsidR="00086514" w:rsidRPr="004761E0" w:rsidRDefault="00086514" w:rsidP="00086514">
            <w:pPr>
              <w:ind w:firstLine="0"/>
              <w:jc w:val="right"/>
              <w:rPr>
                <w:b/>
                <w:bCs/>
                <w:sz w:val="20"/>
                <w:szCs w:val="20"/>
              </w:rPr>
            </w:pPr>
            <w:r w:rsidRPr="004761E0">
              <w:rPr>
                <w:b/>
                <w:bCs/>
                <w:sz w:val="20"/>
                <w:szCs w:val="20"/>
              </w:rPr>
              <w:t>201 653,26</w:t>
            </w:r>
          </w:p>
        </w:tc>
      </w:tr>
      <w:tr w:rsidR="00086514" w:rsidRPr="004761E0" w:rsidTr="00316FF1">
        <w:trPr>
          <w:trHeight w:val="300"/>
        </w:trPr>
        <w:tc>
          <w:tcPr>
            <w:tcW w:w="668" w:type="dxa"/>
          </w:tcPr>
          <w:p w:rsidR="00086514" w:rsidRPr="004761E0" w:rsidRDefault="00086514" w:rsidP="007076A7">
            <w:pPr>
              <w:pStyle w:val="a5"/>
              <w:numPr>
                <w:ilvl w:val="1"/>
                <w:numId w:val="193"/>
              </w:numPr>
              <w:tabs>
                <w:tab w:val="left" w:pos="167"/>
              </w:tabs>
              <w:ind w:left="0" w:firstLine="0"/>
              <w:contextualSpacing w:val="0"/>
              <w:jc w:val="left"/>
              <w:rPr>
                <w:rFonts w:eastAsia="Times New Roman"/>
                <w:color w:val="000000"/>
                <w:sz w:val="20"/>
                <w:szCs w:val="20"/>
                <w:lang w:eastAsia="ru-RU"/>
              </w:rPr>
            </w:pPr>
          </w:p>
        </w:tc>
        <w:tc>
          <w:tcPr>
            <w:tcW w:w="6732" w:type="dxa"/>
            <w:vAlign w:val="center"/>
            <w:hideMark/>
          </w:tcPr>
          <w:p w:rsidR="00086514" w:rsidRPr="004761E0" w:rsidRDefault="00086514" w:rsidP="006C4125">
            <w:pPr>
              <w:ind w:firstLineChars="200" w:firstLine="400"/>
              <w:jc w:val="left"/>
              <w:rPr>
                <w:rFonts w:eastAsia="Times New Roman"/>
                <w:color w:val="000000"/>
                <w:sz w:val="20"/>
                <w:szCs w:val="20"/>
                <w:lang w:eastAsia="ru-RU"/>
              </w:rPr>
            </w:pPr>
            <w:proofErr w:type="gramStart"/>
            <w:r w:rsidRPr="004761E0">
              <w:rPr>
                <w:rFonts w:eastAsia="Times New Roman"/>
                <w:color w:val="000000"/>
                <w:sz w:val="20"/>
                <w:szCs w:val="20"/>
                <w:lang w:eastAsia="ru-RU"/>
              </w:rPr>
              <w:t>ВЛ</w:t>
            </w:r>
            <w:proofErr w:type="gramEnd"/>
            <w:r w:rsidRPr="004761E0">
              <w:rPr>
                <w:rFonts w:eastAsia="Times New Roman"/>
                <w:color w:val="000000"/>
                <w:sz w:val="20"/>
                <w:szCs w:val="20"/>
                <w:lang w:eastAsia="ru-RU"/>
              </w:rPr>
              <w:t xml:space="preserve"> 220 кВ и выше</w:t>
            </w:r>
          </w:p>
        </w:tc>
        <w:tc>
          <w:tcPr>
            <w:tcW w:w="1606" w:type="dxa"/>
            <w:vAlign w:val="center"/>
            <w:hideMark/>
          </w:tcPr>
          <w:p w:rsidR="00086514" w:rsidRPr="004761E0" w:rsidRDefault="00086514" w:rsidP="00086514">
            <w:pPr>
              <w:ind w:firstLine="0"/>
              <w:jc w:val="right"/>
              <w:rPr>
                <w:sz w:val="20"/>
                <w:szCs w:val="20"/>
              </w:rPr>
            </w:pPr>
            <w:r w:rsidRPr="004761E0">
              <w:rPr>
                <w:sz w:val="20"/>
                <w:szCs w:val="20"/>
              </w:rPr>
              <w:t>1 408</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4 474,63</w:t>
            </w:r>
          </w:p>
        </w:tc>
        <w:tc>
          <w:tcPr>
            <w:tcW w:w="1331" w:type="dxa"/>
            <w:vAlign w:val="center"/>
            <w:hideMark/>
          </w:tcPr>
          <w:p w:rsidR="00086514" w:rsidRPr="004761E0" w:rsidRDefault="00086514" w:rsidP="00086514">
            <w:pPr>
              <w:ind w:firstLine="0"/>
              <w:jc w:val="right"/>
              <w:rPr>
                <w:bCs/>
                <w:sz w:val="20"/>
                <w:szCs w:val="20"/>
              </w:rPr>
            </w:pPr>
            <w:r w:rsidRPr="004761E0">
              <w:rPr>
                <w:bCs/>
                <w:sz w:val="20"/>
                <w:szCs w:val="20"/>
              </w:rPr>
              <w:t>340,05</w:t>
            </w:r>
          </w:p>
        </w:tc>
        <w:tc>
          <w:tcPr>
            <w:tcW w:w="1484" w:type="dxa"/>
            <w:vAlign w:val="center"/>
            <w:hideMark/>
          </w:tcPr>
          <w:p w:rsidR="00086514" w:rsidRPr="004761E0" w:rsidRDefault="00086514" w:rsidP="00086514">
            <w:pPr>
              <w:ind w:firstLine="0"/>
              <w:jc w:val="right"/>
              <w:rPr>
                <w:bCs/>
                <w:sz w:val="20"/>
                <w:szCs w:val="20"/>
              </w:rPr>
            </w:pPr>
            <w:r w:rsidRPr="004761E0">
              <w:rPr>
                <w:bCs/>
                <w:sz w:val="20"/>
                <w:szCs w:val="20"/>
              </w:rPr>
              <w:t>3,90</w:t>
            </w:r>
          </w:p>
        </w:tc>
        <w:tc>
          <w:tcPr>
            <w:tcW w:w="1429" w:type="dxa"/>
            <w:vAlign w:val="center"/>
            <w:hideMark/>
          </w:tcPr>
          <w:p w:rsidR="00086514" w:rsidRPr="004761E0" w:rsidRDefault="00086514" w:rsidP="00086514">
            <w:pPr>
              <w:ind w:firstLine="0"/>
              <w:jc w:val="right"/>
              <w:rPr>
                <w:bCs/>
                <w:sz w:val="20"/>
                <w:szCs w:val="20"/>
              </w:rPr>
            </w:pPr>
            <w:r w:rsidRPr="004761E0">
              <w:rPr>
                <w:bCs/>
                <w:sz w:val="20"/>
                <w:szCs w:val="20"/>
              </w:rPr>
              <w:t>437,56</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4 373,23</w:t>
            </w:r>
          </w:p>
        </w:tc>
      </w:tr>
      <w:tr w:rsidR="00086514" w:rsidRPr="004761E0" w:rsidTr="00316FF1">
        <w:trPr>
          <w:trHeight w:val="300"/>
        </w:trPr>
        <w:tc>
          <w:tcPr>
            <w:tcW w:w="668" w:type="dxa"/>
          </w:tcPr>
          <w:p w:rsidR="00086514" w:rsidRPr="004761E0" w:rsidRDefault="00086514" w:rsidP="007076A7">
            <w:pPr>
              <w:pStyle w:val="a5"/>
              <w:numPr>
                <w:ilvl w:val="1"/>
                <w:numId w:val="193"/>
              </w:numPr>
              <w:tabs>
                <w:tab w:val="left" w:pos="167"/>
              </w:tabs>
              <w:ind w:left="0" w:firstLine="0"/>
              <w:contextualSpacing w:val="0"/>
              <w:jc w:val="left"/>
              <w:rPr>
                <w:rFonts w:eastAsia="Times New Roman"/>
                <w:color w:val="000000"/>
                <w:sz w:val="20"/>
                <w:szCs w:val="20"/>
                <w:lang w:eastAsia="ru-RU"/>
              </w:rPr>
            </w:pPr>
          </w:p>
        </w:tc>
        <w:tc>
          <w:tcPr>
            <w:tcW w:w="6732" w:type="dxa"/>
            <w:vAlign w:val="center"/>
            <w:hideMark/>
          </w:tcPr>
          <w:p w:rsidR="00086514" w:rsidRPr="004761E0" w:rsidRDefault="00086514" w:rsidP="006C4125">
            <w:pPr>
              <w:ind w:firstLineChars="200" w:firstLine="400"/>
              <w:jc w:val="left"/>
              <w:rPr>
                <w:rFonts w:eastAsia="Times New Roman"/>
                <w:color w:val="000000"/>
                <w:sz w:val="20"/>
                <w:szCs w:val="20"/>
                <w:lang w:eastAsia="ru-RU"/>
              </w:rPr>
            </w:pPr>
            <w:proofErr w:type="gramStart"/>
            <w:r w:rsidRPr="004761E0">
              <w:rPr>
                <w:rFonts w:eastAsia="Times New Roman"/>
                <w:color w:val="000000"/>
                <w:sz w:val="20"/>
                <w:szCs w:val="20"/>
                <w:lang w:eastAsia="ru-RU"/>
              </w:rPr>
              <w:t>ВЛ</w:t>
            </w:r>
            <w:proofErr w:type="gramEnd"/>
            <w:r w:rsidRPr="004761E0">
              <w:rPr>
                <w:rFonts w:eastAsia="Times New Roman"/>
                <w:color w:val="000000"/>
                <w:sz w:val="20"/>
                <w:szCs w:val="20"/>
                <w:lang w:eastAsia="ru-RU"/>
              </w:rPr>
              <w:t xml:space="preserve"> 110 кВ</w:t>
            </w:r>
          </w:p>
        </w:tc>
        <w:tc>
          <w:tcPr>
            <w:tcW w:w="1606" w:type="dxa"/>
            <w:vAlign w:val="center"/>
            <w:hideMark/>
          </w:tcPr>
          <w:p w:rsidR="00086514" w:rsidRPr="004761E0" w:rsidRDefault="00086514" w:rsidP="00086514">
            <w:pPr>
              <w:ind w:firstLine="0"/>
              <w:jc w:val="right"/>
              <w:rPr>
                <w:sz w:val="20"/>
                <w:szCs w:val="20"/>
              </w:rPr>
            </w:pPr>
            <w:r w:rsidRPr="004761E0">
              <w:rPr>
                <w:sz w:val="20"/>
                <w:szCs w:val="20"/>
              </w:rPr>
              <w:t>9 566</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7 442,14</w:t>
            </w:r>
          </w:p>
        </w:tc>
        <w:tc>
          <w:tcPr>
            <w:tcW w:w="1331" w:type="dxa"/>
            <w:vAlign w:val="center"/>
            <w:hideMark/>
          </w:tcPr>
          <w:p w:rsidR="00086514" w:rsidRPr="004761E0" w:rsidRDefault="00086514" w:rsidP="00086514">
            <w:pPr>
              <w:ind w:firstLine="0"/>
              <w:jc w:val="right"/>
              <w:rPr>
                <w:bCs/>
                <w:sz w:val="20"/>
                <w:szCs w:val="20"/>
              </w:rPr>
            </w:pPr>
            <w:r w:rsidRPr="004761E0">
              <w:rPr>
                <w:bCs/>
                <w:sz w:val="20"/>
                <w:szCs w:val="20"/>
              </w:rPr>
              <w:t>1 576,10</w:t>
            </w:r>
          </w:p>
        </w:tc>
        <w:tc>
          <w:tcPr>
            <w:tcW w:w="1484" w:type="dxa"/>
            <w:vAlign w:val="center"/>
            <w:hideMark/>
          </w:tcPr>
          <w:p w:rsidR="00086514" w:rsidRPr="004761E0" w:rsidRDefault="00086514" w:rsidP="00086514">
            <w:pPr>
              <w:ind w:firstLine="0"/>
              <w:jc w:val="right"/>
              <w:rPr>
                <w:bCs/>
                <w:sz w:val="20"/>
                <w:szCs w:val="20"/>
              </w:rPr>
            </w:pPr>
            <w:r w:rsidRPr="004761E0">
              <w:rPr>
                <w:bCs/>
                <w:sz w:val="20"/>
                <w:szCs w:val="20"/>
              </w:rPr>
              <w:t>5,80</w:t>
            </w:r>
          </w:p>
        </w:tc>
        <w:tc>
          <w:tcPr>
            <w:tcW w:w="1429" w:type="dxa"/>
            <w:vAlign w:val="center"/>
            <w:hideMark/>
          </w:tcPr>
          <w:p w:rsidR="00086514" w:rsidRPr="004761E0" w:rsidRDefault="00086514" w:rsidP="00086514">
            <w:pPr>
              <w:ind w:firstLine="0"/>
              <w:jc w:val="right"/>
              <w:rPr>
                <w:bCs/>
                <w:sz w:val="20"/>
                <w:szCs w:val="20"/>
              </w:rPr>
            </w:pPr>
            <w:r w:rsidRPr="004761E0">
              <w:rPr>
                <w:bCs/>
                <w:sz w:val="20"/>
                <w:szCs w:val="20"/>
              </w:rPr>
              <w:t>740,26</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8 272,18</w:t>
            </w:r>
          </w:p>
        </w:tc>
      </w:tr>
      <w:tr w:rsidR="00086514" w:rsidRPr="004761E0" w:rsidTr="00316FF1">
        <w:trPr>
          <w:trHeight w:val="300"/>
        </w:trPr>
        <w:tc>
          <w:tcPr>
            <w:tcW w:w="668" w:type="dxa"/>
          </w:tcPr>
          <w:p w:rsidR="00086514" w:rsidRPr="004761E0" w:rsidRDefault="00086514" w:rsidP="007076A7">
            <w:pPr>
              <w:pStyle w:val="a5"/>
              <w:numPr>
                <w:ilvl w:val="1"/>
                <w:numId w:val="193"/>
              </w:numPr>
              <w:tabs>
                <w:tab w:val="left" w:pos="167"/>
              </w:tabs>
              <w:ind w:left="0" w:firstLine="0"/>
              <w:contextualSpacing w:val="0"/>
              <w:jc w:val="left"/>
              <w:rPr>
                <w:rFonts w:eastAsia="Times New Roman"/>
                <w:color w:val="000000"/>
                <w:sz w:val="20"/>
                <w:szCs w:val="20"/>
                <w:lang w:eastAsia="ru-RU"/>
              </w:rPr>
            </w:pPr>
          </w:p>
        </w:tc>
        <w:tc>
          <w:tcPr>
            <w:tcW w:w="6732" w:type="dxa"/>
            <w:vAlign w:val="center"/>
            <w:hideMark/>
          </w:tcPr>
          <w:p w:rsidR="00086514" w:rsidRPr="004761E0" w:rsidRDefault="00086514" w:rsidP="006C4125">
            <w:pPr>
              <w:ind w:firstLineChars="200" w:firstLine="400"/>
              <w:jc w:val="left"/>
              <w:rPr>
                <w:rFonts w:eastAsia="Times New Roman"/>
                <w:color w:val="000000"/>
                <w:sz w:val="20"/>
                <w:szCs w:val="20"/>
                <w:lang w:eastAsia="ru-RU"/>
              </w:rPr>
            </w:pPr>
            <w:proofErr w:type="gramStart"/>
            <w:r w:rsidRPr="004761E0">
              <w:rPr>
                <w:rFonts w:eastAsia="Times New Roman"/>
                <w:color w:val="000000"/>
                <w:sz w:val="20"/>
                <w:szCs w:val="20"/>
                <w:lang w:eastAsia="ru-RU"/>
              </w:rPr>
              <w:t>ВЛ</w:t>
            </w:r>
            <w:proofErr w:type="gramEnd"/>
            <w:r w:rsidRPr="004761E0">
              <w:rPr>
                <w:rFonts w:eastAsia="Times New Roman"/>
                <w:color w:val="000000"/>
                <w:sz w:val="20"/>
                <w:szCs w:val="20"/>
                <w:lang w:eastAsia="ru-RU"/>
              </w:rPr>
              <w:t xml:space="preserve"> 35 кВ</w:t>
            </w:r>
          </w:p>
        </w:tc>
        <w:tc>
          <w:tcPr>
            <w:tcW w:w="1606" w:type="dxa"/>
            <w:vAlign w:val="center"/>
            <w:hideMark/>
          </w:tcPr>
          <w:p w:rsidR="00086514" w:rsidRPr="004761E0" w:rsidRDefault="00086514" w:rsidP="00086514">
            <w:pPr>
              <w:ind w:firstLine="0"/>
              <w:jc w:val="right"/>
              <w:rPr>
                <w:sz w:val="20"/>
                <w:szCs w:val="20"/>
              </w:rPr>
            </w:pPr>
            <w:r w:rsidRPr="004761E0">
              <w:rPr>
                <w:sz w:val="20"/>
                <w:szCs w:val="20"/>
              </w:rPr>
              <w:t>4 090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890,23</w:t>
            </w:r>
          </w:p>
        </w:tc>
        <w:tc>
          <w:tcPr>
            <w:tcW w:w="1331" w:type="dxa"/>
            <w:vAlign w:val="center"/>
            <w:hideMark/>
          </w:tcPr>
          <w:p w:rsidR="00086514" w:rsidRPr="004761E0" w:rsidRDefault="00086514" w:rsidP="00086514">
            <w:pPr>
              <w:ind w:firstLine="0"/>
              <w:jc w:val="right"/>
              <w:rPr>
                <w:bCs/>
                <w:sz w:val="20"/>
                <w:szCs w:val="20"/>
              </w:rPr>
            </w:pPr>
            <w:r w:rsidRPr="004761E0">
              <w:rPr>
                <w:bCs/>
                <w:sz w:val="20"/>
                <w:szCs w:val="20"/>
              </w:rPr>
              <w:t>70,57</w:t>
            </w:r>
          </w:p>
        </w:tc>
        <w:tc>
          <w:tcPr>
            <w:tcW w:w="1484" w:type="dxa"/>
            <w:vAlign w:val="center"/>
            <w:hideMark/>
          </w:tcPr>
          <w:p w:rsidR="00086514" w:rsidRPr="004761E0" w:rsidRDefault="00086514" w:rsidP="00086514">
            <w:pPr>
              <w:ind w:firstLine="0"/>
              <w:jc w:val="right"/>
              <w:rPr>
                <w:bCs/>
                <w:sz w:val="20"/>
                <w:szCs w:val="20"/>
              </w:rPr>
            </w:pPr>
            <w:r w:rsidRPr="004761E0">
              <w:rPr>
                <w:bCs/>
                <w:sz w:val="20"/>
                <w:szCs w:val="20"/>
              </w:rPr>
              <w:t>0,28</w:t>
            </w:r>
          </w:p>
        </w:tc>
        <w:tc>
          <w:tcPr>
            <w:tcW w:w="1429" w:type="dxa"/>
            <w:vAlign w:val="center"/>
            <w:hideMark/>
          </w:tcPr>
          <w:p w:rsidR="00086514" w:rsidRPr="004761E0" w:rsidRDefault="00086514" w:rsidP="00086514">
            <w:pPr>
              <w:ind w:firstLine="0"/>
              <w:jc w:val="right"/>
              <w:rPr>
                <w:bCs/>
                <w:sz w:val="20"/>
                <w:szCs w:val="20"/>
              </w:rPr>
            </w:pPr>
            <w:r w:rsidRPr="004761E0">
              <w:rPr>
                <w:bCs/>
                <w:sz w:val="20"/>
                <w:szCs w:val="20"/>
              </w:rPr>
              <w:t>96,60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863,92</w:t>
            </w:r>
          </w:p>
        </w:tc>
      </w:tr>
      <w:tr w:rsidR="00086514" w:rsidRPr="004761E0" w:rsidTr="00316FF1">
        <w:trPr>
          <w:trHeight w:val="300"/>
        </w:trPr>
        <w:tc>
          <w:tcPr>
            <w:tcW w:w="668" w:type="dxa"/>
          </w:tcPr>
          <w:p w:rsidR="00086514" w:rsidRPr="004761E0" w:rsidRDefault="00086514" w:rsidP="007076A7">
            <w:pPr>
              <w:pStyle w:val="a5"/>
              <w:numPr>
                <w:ilvl w:val="1"/>
                <w:numId w:val="193"/>
              </w:numPr>
              <w:tabs>
                <w:tab w:val="left" w:pos="167"/>
              </w:tabs>
              <w:ind w:left="0" w:firstLine="0"/>
              <w:contextualSpacing w:val="0"/>
              <w:jc w:val="left"/>
              <w:rPr>
                <w:rFonts w:eastAsia="Times New Roman"/>
                <w:color w:val="000000"/>
                <w:sz w:val="20"/>
                <w:szCs w:val="20"/>
                <w:lang w:eastAsia="ru-RU"/>
              </w:rPr>
            </w:pPr>
          </w:p>
        </w:tc>
        <w:tc>
          <w:tcPr>
            <w:tcW w:w="6732" w:type="dxa"/>
            <w:vAlign w:val="center"/>
            <w:hideMark/>
          </w:tcPr>
          <w:p w:rsidR="00086514" w:rsidRPr="004761E0" w:rsidRDefault="00086514" w:rsidP="006C4125">
            <w:pPr>
              <w:ind w:firstLineChars="200" w:firstLine="400"/>
              <w:jc w:val="left"/>
              <w:rPr>
                <w:rFonts w:eastAsia="Times New Roman"/>
                <w:color w:val="000000"/>
                <w:sz w:val="20"/>
                <w:szCs w:val="20"/>
                <w:lang w:eastAsia="ru-RU"/>
              </w:rPr>
            </w:pPr>
            <w:proofErr w:type="gramStart"/>
            <w:r w:rsidRPr="004761E0">
              <w:rPr>
                <w:rFonts w:eastAsia="Times New Roman"/>
                <w:color w:val="000000"/>
                <w:sz w:val="20"/>
                <w:szCs w:val="20"/>
                <w:lang w:eastAsia="ru-RU"/>
              </w:rPr>
              <w:t>ВЛ</w:t>
            </w:r>
            <w:proofErr w:type="gramEnd"/>
            <w:r w:rsidRPr="004761E0">
              <w:rPr>
                <w:rFonts w:eastAsia="Times New Roman"/>
                <w:color w:val="000000"/>
                <w:sz w:val="20"/>
                <w:szCs w:val="20"/>
                <w:lang w:eastAsia="ru-RU"/>
              </w:rPr>
              <w:t xml:space="preserve"> 10 кВ и ниже</w:t>
            </w:r>
          </w:p>
        </w:tc>
        <w:tc>
          <w:tcPr>
            <w:tcW w:w="1606" w:type="dxa"/>
            <w:vAlign w:val="center"/>
            <w:hideMark/>
          </w:tcPr>
          <w:p w:rsidR="00086514" w:rsidRPr="004761E0" w:rsidRDefault="00086514" w:rsidP="00086514">
            <w:pPr>
              <w:ind w:firstLine="0"/>
              <w:jc w:val="right"/>
              <w:rPr>
                <w:sz w:val="20"/>
                <w:szCs w:val="20"/>
              </w:rPr>
            </w:pPr>
            <w:r w:rsidRPr="004761E0">
              <w:rPr>
                <w:sz w:val="20"/>
                <w:szCs w:val="20"/>
              </w:rPr>
              <w:t>51 362</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12 203,07</w:t>
            </w:r>
          </w:p>
        </w:tc>
        <w:tc>
          <w:tcPr>
            <w:tcW w:w="1331" w:type="dxa"/>
            <w:vAlign w:val="center"/>
            <w:hideMark/>
          </w:tcPr>
          <w:p w:rsidR="00086514" w:rsidRPr="004761E0" w:rsidRDefault="00086514" w:rsidP="00086514">
            <w:pPr>
              <w:ind w:firstLine="0"/>
              <w:jc w:val="right"/>
              <w:rPr>
                <w:bCs/>
                <w:sz w:val="20"/>
                <w:szCs w:val="20"/>
              </w:rPr>
            </w:pPr>
            <w:r w:rsidRPr="004761E0">
              <w:rPr>
                <w:bCs/>
                <w:sz w:val="20"/>
                <w:szCs w:val="20"/>
              </w:rPr>
              <w:t>5 351,75</w:t>
            </w:r>
          </w:p>
        </w:tc>
        <w:tc>
          <w:tcPr>
            <w:tcW w:w="1484" w:type="dxa"/>
            <w:vAlign w:val="center"/>
            <w:hideMark/>
          </w:tcPr>
          <w:p w:rsidR="00086514" w:rsidRPr="004761E0" w:rsidRDefault="00086514" w:rsidP="00086514">
            <w:pPr>
              <w:ind w:firstLine="0"/>
              <w:jc w:val="right"/>
              <w:rPr>
                <w:bCs/>
                <w:sz w:val="20"/>
                <w:szCs w:val="20"/>
              </w:rPr>
            </w:pPr>
            <w:r w:rsidRPr="004761E0">
              <w:rPr>
                <w:bCs/>
                <w:sz w:val="20"/>
                <w:szCs w:val="20"/>
              </w:rPr>
              <w:t>4,92</w:t>
            </w:r>
          </w:p>
        </w:tc>
        <w:tc>
          <w:tcPr>
            <w:tcW w:w="1429" w:type="dxa"/>
            <w:vAlign w:val="center"/>
            <w:hideMark/>
          </w:tcPr>
          <w:p w:rsidR="00086514" w:rsidRPr="004761E0" w:rsidRDefault="00086514" w:rsidP="00086514">
            <w:pPr>
              <w:ind w:firstLine="0"/>
              <w:jc w:val="right"/>
              <w:rPr>
                <w:bCs/>
                <w:sz w:val="20"/>
                <w:szCs w:val="20"/>
              </w:rPr>
            </w:pPr>
            <w:r w:rsidRPr="004761E0">
              <w:rPr>
                <w:bCs/>
                <w:sz w:val="20"/>
                <w:szCs w:val="20"/>
              </w:rPr>
              <w:t>1 180,69</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16 369,21</w:t>
            </w:r>
          </w:p>
        </w:tc>
      </w:tr>
      <w:tr w:rsidR="00086514" w:rsidRPr="004761E0" w:rsidTr="00316FF1">
        <w:trPr>
          <w:trHeight w:val="300"/>
        </w:trPr>
        <w:tc>
          <w:tcPr>
            <w:tcW w:w="668" w:type="dxa"/>
          </w:tcPr>
          <w:p w:rsidR="00086514" w:rsidRPr="004761E0" w:rsidRDefault="00086514" w:rsidP="007076A7">
            <w:pPr>
              <w:pStyle w:val="a5"/>
              <w:numPr>
                <w:ilvl w:val="1"/>
                <w:numId w:val="193"/>
              </w:numPr>
              <w:tabs>
                <w:tab w:val="left" w:pos="167"/>
              </w:tabs>
              <w:ind w:left="0" w:firstLine="0"/>
              <w:contextualSpacing w:val="0"/>
              <w:jc w:val="left"/>
              <w:rPr>
                <w:rFonts w:eastAsia="Times New Roman"/>
                <w:color w:val="000000"/>
                <w:sz w:val="20"/>
                <w:szCs w:val="20"/>
                <w:lang w:eastAsia="ru-RU"/>
              </w:rPr>
            </w:pPr>
          </w:p>
        </w:tc>
        <w:tc>
          <w:tcPr>
            <w:tcW w:w="6732" w:type="dxa"/>
            <w:vAlign w:val="center"/>
            <w:hideMark/>
          </w:tcPr>
          <w:p w:rsidR="00086514" w:rsidRPr="004761E0" w:rsidRDefault="00086514" w:rsidP="006C4125">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ПС 220 кВ и выше</w:t>
            </w:r>
          </w:p>
        </w:tc>
        <w:tc>
          <w:tcPr>
            <w:tcW w:w="1606" w:type="dxa"/>
            <w:vAlign w:val="center"/>
            <w:hideMark/>
          </w:tcPr>
          <w:p w:rsidR="00086514" w:rsidRPr="004761E0" w:rsidRDefault="00086514" w:rsidP="00086514">
            <w:pPr>
              <w:ind w:firstLine="0"/>
              <w:jc w:val="right"/>
              <w:rPr>
                <w:sz w:val="20"/>
                <w:szCs w:val="20"/>
              </w:rPr>
            </w:pPr>
            <w:r w:rsidRPr="004761E0">
              <w:rPr>
                <w:sz w:val="20"/>
                <w:szCs w:val="20"/>
              </w:rPr>
              <w:t>43</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19 266,20</w:t>
            </w:r>
          </w:p>
        </w:tc>
        <w:tc>
          <w:tcPr>
            <w:tcW w:w="1331" w:type="dxa"/>
            <w:vAlign w:val="center"/>
            <w:hideMark/>
          </w:tcPr>
          <w:p w:rsidR="00086514" w:rsidRPr="004761E0" w:rsidRDefault="00086514" w:rsidP="00086514">
            <w:pPr>
              <w:ind w:firstLine="0"/>
              <w:jc w:val="right"/>
              <w:rPr>
                <w:bCs/>
                <w:sz w:val="20"/>
                <w:szCs w:val="20"/>
              </w:rPr>
            </w:pPr>
            <w:r w:rsidRPr="004761E0">
              <w:rPr>
                <w:bCs/>
                <w:sz w:val="20"/>
                <w:szCs w:val="20"/>
              </w:rPr>
              <w:t>4 369,66</w:t>
            </w:r>
          </w:p>
        </w:tc>
        <w:tc>
          <w:tcPr>
            <w:tcW w:w="1484" w:type="dxa"/>
            <w:vAlign w:val="center"/>
            <w:hideMark/>
          </w:tcPr>
          <w:p w:rsidR="00086514" w:rsidRPr="004761E0" w:rsidRDefault="00086514" w:rsidP="00086514">
            <w:pPr>
              <w:ind w:firstLine="0"/>
              <w:jc w:val="right"/>
              <w:rPr>
                <w:bCs/>
                <w:sz w:val="20"/>
                <w:szCs w:val="20"/>
              </w:rPr>
            </w:pPr>
            <w:r w:rsidRPr="004761E0">
              <w:rPr>
                <w:bCs/>
                <w:sz w:val="20"/>
                <w:szCs w:val="20"/>
              </w:rPr>
              <w:t>342,20</w:t>
            </w:r>
          </w:p>
        </w:tc>
        <w:tc>
          <w:tcPr>
            <w:tcW w:w="1429" w:type="dxa"/>
            <w:vAlign w:val="center"/>
            <w:hideMark/>
          </w:tcPr>
          <w:p w:rsidR="00086514" w:rsidRPr="004761E0" w:rsidRDefault="00086514" w:rsidP="00086514">
            <w:pPr>
              <w:ind w:firstLine="0"/>
              <w:jc w:val="right"/>
              <w:rPr>
                <w:bCs/>
                <w:sz w:val="20"/>
                <w:szCs w:val="20"/>
              </w:rPr>
            </w:pPr>
            <w:r w:rsidRPr="004761E0">
              <w:rPr>
                <w:bCs/>
                <w:sz w:val="20"/>
                <w:szCs w:val="20"/>
              </w:rPr>
              <w:t>1 993,32</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21 300,34</w:t>
            </w:r>
          </w:p>
        </w:tc>
      </w:tr>
      <w:tr w:rsidR="00086514" w:rsidRPr="004761E0" w:rsidTr="00316FF1">
        <w:trPr>
          <w:trHeight w:val="300"/>
        </w:trPr>
        <w:tc>
          <w:tcPr>
            <w:tcW w:w="668" w:type="dxa"/>
          </w:tcPr>
          <w:p w:rsidR="00086514" w:rsidRPr="004761E0" w:rsidRDefault="00086514" w:rsidP="007076A7">
            <w:pPr>
              <w:pStyle w:val="a5"/>
              <w:numPr>
                <w:ilvl w:val="1"/>
                <w:numId w:val="193"/>
              </w:numPr>
              <w:tabs>
                <w:tab w:val="left" w:pos="167"/>
              </w:tabs>
              <w:ind w:left="0" w:firstLine="0"/>
              <w:contextualSpacing w:val="0"/>
              <w:jc w:val="left"/>
              <w:rPr>
                <w:rFonts w:eastAsia="Times New Roman"/>
                <w:color w:val="000000"/>
                <w:sz w:val="20"/>
                <w:szCs w:val="20"/>
                <w:lang w:eastAsia="ru-RU"/>
              </w:rPr>
            </w:pPr>
          </w:p>
        </w:tc>
        <w:tc>
          <w:tcPr>
            <w:tcW w:w="6732" w:type="dxa"/>
            <w:vAlign w:val="center"/>
            <w:hideMark/>
          </w:tcPr>
          <w:p w:rsidR="00086514" w:rsidRPr="004761E0" w:rsidRDefault="00086514" w:rsidP="006C4125">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ПС 110 кВ</w:t>
            </w:r>
          </w:p>
        </w:tc>
        <w:tc>
          <w:tcPr>
            <w:tcW w:w="1606" w:type="dxa"/>
            <w:vAlign w:val="center"/>
            <w:hideMark/>
          </w:tcPr>
          <w:p w:rsidR="00086514" w:rsidRPr="004761E0" w:rsidRDefault="00086514" w:rsidP="00086514">
            <w:pPr>
              <w:ind w:firstLine="0"/>
              <w:jc w:val="right"/>
              <w:rPr>
                <w:sz w:val="20"/>
                <w:szCs w:val="20"/>
              </w:rPr>
            </w:pPr>
            <w:r w:rsidRPr="004761E0">
              <w:rPr>
                <w:sz w:val="20"/>
                <w:szCs w:val="20"/>
              </w:rPr>
              <w:t>356</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32 230,67</w:t>
            </w:r>
          </w:p>
        </w:tc>
        <w:tc>
          <w:tcPr>
            <w:tcW w:w="1331" w:type="dxa"/>
            <w:vAlign w:val="center"/>
            <w:hideMark/>
          </w:tcPr>
          <w:p w:rsidR="00086514" w:rsidRPr="004761E0" w:rsidRDefault="00086514" w:rsidP="00086514">
            <w:pPr>
              <w:ind w:firstLine="0"/>
              <w:jc w:val="right"/>
              <w:rPr>
                <w:bCs/>
                <w:sz w:val="20"/>
                <w:szCs w:val="20"/>
              </w:rPr>
            </w:pPr>
            <w:r w:rsidRPr="004761E0">
              <w:rPr>
                <w:bCs/>
                <w:sz w:val="20"/>
                <w:szCs w:val="20"/>
              </w:rPr>
              <w:t>4 857,53</w:t>
            </w:r>
          </w:p>
        </w:tc>
        <w:tc>
          <w:tcPr>
            <w:tcW w:w="1484" w:type="dxa"/>
            <w:vAlign w:val="center"/>
            <w:hideMark/>
          </w:tcPr>
          <w:p w:rsidR="00086514" w:rsidRPr="004761E0" w:rsidRDefault="00086514" w:rsidP="00086514">
            <w:pPr>
              <w:ind w:firstLine="0"/>
              <w:jc w:val="right"/>
              <w:rPr>
                <w:bCs/>
                <w:sz w:val="20"/>
                <w:szCs w:val="20"/>
              </w:rPr>
            </w:pPr>
            <w:r w:rsidRPr="004761E0">
              <w:rPr>
                <w:bCs/>
                <w:sz w:val="20"/>
                <w:szCs w:val="20"/>
              </w:rPr>
              <w:t>695,90</w:t>
            </w:r>
          </w:p>
        </w:tc>
        <w:tc>
          <w:tcPr>
            <w:tcW w:w="1429" w:type="dxa"/>
            <w:vAlign w:val="center"/>
            <w:hideMark/>
          </w:tcPr>
          <w:p w:rsidR="00086514" w:rsidRPr="004761E0" w:rsidRDefault="00086514" w:rsidP="00086514">
            <w:pPr>
              <w:ind w:firstLine="0"/>
              <w:jc w:val="right"/>
              <w:rPr>
                <w:bCs/>
                <w:sz w:val="20"/>
                <w:szCs w:val="20"/>
              </w:rPr>
            </w:pPr>
            <w:r w:rsidRPr="004761E0">
              <w:rPr>
                <w:bCs/>
                <w:sz w:val="20"/>
                <w:szCs w:val="20"/>
              </w:rPr>
              <w:t>3 070,18</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33 322,13</w:t>
            </w:r>
          </w:p>
        </w:tc>
      </w:tr>
      <w:tr w:rsidR="00086514" w:rsidRPr="004761E0" w:rsidTr="00316FF1">
        <w:trPr>
          <w:trHeight w:val="300"/>
        </w:trPr>
        <w:tc>
          <w:tcPr>
            <w:tcW w:w="668" w:type="dxa"/>
          </w:tcPr>
          <w:p w:rsidR="00086514" w:rsidRPr="004761E0" w:rsidRDefault="00086514" w:rsidP="007076A7">
            <w:pPr>
              <w:pStyle w:val="a5"/>
              <w:numPr>
                <w:ilvl w:val="1"/>
                <w:numId w:val="193"/>
              </w:numPr>
              <w:tabs>
                <w:tab w:val="left" w:pos="167"/>
              </w:tabs>
              <w:ind w:left="0" w:firstLine="0"/>
              <w:contextualSpacing w:val="0"/>
              <w:jc w:val="left"/>
              <w:rPr>
                <w:rFonts w:eastAsia="Times New Roman"/>
                <w:color w:val="000000"/>
                <w:sz w:val="20"/>
                <w:szCs w:val="20"/>
                <w:lang w:eastAsia="ru-RU"/>
              </w:rPr>
            </w:pPr>
          </w:p>
        </w:tc>
        <w:tc>
          <w:tcPr>
            <w:tcW w:w="6732" w:type="dxa"/>
            <w:vAlign w:val="center"/>
            <w:hideMark/>
          </w:tcPr>
          <w:p w:rsidR="00086514" w:rsidRPr="004761E0" w:rsidRDefault="00086514" w:rsidP="006C4125">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ПС 35 кВ</w:t>
            </w:r>
          </w:p>
        </w:tc>
        <w:tc>
          <w:tcPr>
            <w:tcW w:w="1606" w:type="dxa"/>
            <w:vAlign w:val="center"/>
            <w:hideMark/>
          </w:tcPr>
          <w:p w:rsidR="00086514" w:rsidRPr="004761E0" w:rsidRDefault="00086514" w:rsidP="00086514">
            <w:pPr>
              <w:ind w:firstLine="0"/>
              <w:jc w:val="right"/>
              <w:rPr>
                <w:sz w:val="20"/>
                <w:szCs w:val="20"/>
              </w:rPr>
            </w:pPr>
            <w:r w:rsidRPr="004761E0">
              <w:rPr>
                <w:sz w:val="20"/>
                <w:szCs w:val="20"/>
              </w:rPr>
              <w:t>206</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1 595,68</w:t>
            </w:r>
          </w:p>
        </w:tc>
        <w:tc>
          <w:tcPr>
            <w:tcW w:w="1331" w:type="dxa"/>
            <w:vAlign w:val="center"/>
            <w:hideMark/>
          </w:tcPr>
          <w:p w:rsidR="00086514" w:rsidRPr="004761E0" w:rsidRDefault="00086514" w:rsidP="00086514">
            <w:pPr>
              <w:ind w:firstLine="0"/>
              <w:jc w:val="right"/>
              <w:rPr>
                <w:bCs/>
                <w:sz w:val="20"/>
                <w:szCs w:val="20"/>
              </w:rPr>
            </w:pPr>
            <w:r w:rsidRPr="004761E0">
              <w:rPr>
                <w:bCs/>
                <w:sz w:val="20"/>
                <w:szCs w:val="20"/>
              </w:rPr>
              <w:t>396,16</w:t>
            </w:r>
          </w:p>
        </w:tc>
        <w:tc>
          <w:tcPr>
            <w:tcW w:w="1484" w:type="dxa"/>
            <w:vAlign w:val="center"/>
            <w:hideMark/>
          </w:tcPr>
          <w:p w:rsidR="00086514" w:rsidRPr="004761E0" w:rsidRDefault="00086514" w:rsidP="00086514">
            <w:pPr>
              <w:ind w:firstLine="0"/>
              <w:jc w:val="right"/>
              <w:rPr>
                <w:bCs/>
                <w:sz w:val="20"/>
                <w:szCs w:val="20"/>
              </w:rPr>
            </w:pPr>
            <w:r w:rsidRPr="004761E0">
              <w:rPr>
                <w:bCs/>
                <w:sz w:val="20"/>
                <w:szCs w:val="20"/>
              </w:rPr>
              <w:t>3,21</w:t>
            </w:r>
          </w:p>
        </w:tc>
        <w:tc>
          <w:tcPr>
            <w:tcW w:w="1429" w:type="dxa"/>
            <w:vAlign w:val="center"/>
            <w:hideMark/>
          </w:tcPr>
          <w:p w:rsidR="00086514" w:rsidRPr="004761E0" w:rsidRDefault="00086514" w:rsidP="00086514">
            <w:pPr>
              <w:ind w:firstLine="0"/>
              <w:jc w:val="right"/>
              <w:rPr>
                <w:bCs/>
                <w:sz w:val="20"/>
                <w:szCs w:val="20"/>
              </w:rPr>
            </w:pPr>
            <w:r w:rsidRPr="004761E0">
              <w:rPr>
                <w:bCs/>
                <w:sz w:val="20"/>
                <w:szCs w:val="20"/>
              </w:rPr>
              <w:t>649,11</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1 339,53</w:t>
            </w:r>
          </w:p>
        </w:tc>
      </w:tr>
      <w:tr w:rsidR="00086514" w:rsidRPr="004761E0" w:rsidTr="00316FF1">
        <w:trPr>
          <w:trHeight w:val="300"/>
        </w:trPr>
        <w:tc>
          <w:tcPr>
            <w:tcW w:w="668" w:type="dxa"/>
          </w:tcPr>
          <w:p w:rsidR="00086514" w:rsidRPr="004761E0" w:rsidRDefault="00086514" w:rsidP="007076A7">
            <w:pPr>
              <w:pStyle w:val="a5"/>
              <w:numPr>
                <w:ilvl w:val="1"/>
                <w:numId w:val="193"/>
              </w:numPr>
              <w:tabs>
                <w:tab w:val="left" w:pos="167"/>
              </w:tabs>
              <w:ind w:left="0" w:firstLine="0"/>
              <w:contextualSpacing w:val="0"/>
              <w:jc w:val="left"/>
              <w:rPr>
                <w:rFonts w:eastAsia="Times New Roman"/>
                <w:color w:val="000000"/>
                <w:sz w:val="20"/>
                <w:szCs w:val="20"/>
                <w:lang w:eastAsia="ru-RU"/>
              </w:rPr>
            </w:pPr>
          </w:p>
        </w:tc>
        <w:tc>
          <w:tcPr>
            <w:tcW w:w="6732" w:type="dxa"/>
            <w:vAlign w:val="center"/>
            <w:hideMark/>
          </w:tcPr>
          <w:p w:rsidR="00086514" w:rsidRPr="004761E0" w:rsidRDefault="00086514" w:rsidP="006C4125">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ПС 10 кВ и ниже</w:t>
            </w:r>
          </w:p>
        </w:tc>
        <w:tc>
          <w:tcPr>
            <w:tcW w:w="1606" w:type="dxa"/>
            <w:vAlign w:val="center"/>
            <w:hideMark/>
          </w:tcPr>
          <w:p w:rsidR="00086514" w:rsidRPr="004761E0" w:rsidRDefault="00086514" w:rsidP="00086514">
            <w:pPr>
              <w:ind w:firstLine="0"/>
              <w:jc w:val="right"/>
              <w:rPr>
                <w:sz w:val="20"/>
                <w:szCs w:val="20"/>
              </w:rPr>
            </w:pPr>
            <w:r w:rsidRPr="004761E0">
              <w:rPr>
                <w:sz w:val="20"/>
                <w:szCs w:val="20"/>
              </w:rPr>
              <w:t>30 217</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38 138,90</w:t>
            </w:r>
          </w:p>
        </w:tc>
        <w:tc>
          <w:tcPr>
            <w:tcW w:w="1331" w:type="dxa"/>
            <w:vAlign w:val="center"/>
            <w:hideMark/>
          </w:tcPr>
          <w:p w:rsidR="00086514" w:rsidRPr="004761E0" w:rsidRDefault="00086514" w:rsidP="00086514">
            <w:pPr>
              <w:ind w:firstLine="0"/>
              <w:jc w:val="right"/>
              <w:rPr>
                <w:bCs/>
                <w:sz w:val="20"/>
                <w:szCs w:val="20"/>
              </w:rPr>
            </w:pPr>
            <w:r w:rsidRPr="004761E0">
              <w:rPr>
                <w:bCs/>
                <w:sz w:val="20"/>
                <w:szCs w:val="20"/>
              </w:rPr>
              <w:t>5 750,49</w:t>
            </w:r>
          </w:p>
        </w:tc>
        <w:tc>
          <w:tcPr>
            <w:tcW w:w="1484" w:type="dxa"/>
            <w:vAlign w:val="center"/>
            <w:hideMark/>
          </w:tcPr>
          <w:p w:rsidR="00086514" w:rsidRPr="004761E0" w:rsidRDefault="00086514" w:rsidP="00086514">
            <w:pPr>
              <w:ind w:firstLine="0"/>
              <w:jc w:val="right"/>
              <w:rPr>
                <w:bCs/>
                <w:sz w:val="20"/>
                <w:szCs w:val="20"/>
              </w:rPr>
            </w:pPr>
            <w:r w:rsidRPr="004761E0">
              <w:rPr>
                <w:bCs/>
                <w:sz w:val="20"/>
                <w:szCs w:val="20"/>
              </w:rPr>
              <w:t>29,18</w:t>
            </w:r>
          </w:p>
        </w:tc>
        <w:tc>
          <w:tcPr>
            <w:tcW w:w="1429" w:type="dxa"/>
            <w:vAlign w:val="center"/>
            <w:hideMark/>
          </w:tcPr>
          <w:p w:rsidR="00086514" w:rsidRPr="004761E0" w:rsidRDefault="00086514" w:rsidP="00086514">
            <w:pPr>
              <w:ind w:firstLine="0"/>
              <w:jc w:val="right"/>
              <w:rPr>
                <w:bCs/>
                <w:sz w:val="20"/>
                <w:szCs w:val="20"/>
              </w:rPr>
            </w:pPr>
            <w:r w:rsidRPr="004761E0">
              <w:rPr>
                <w:bCs/>
                <w:sz w:val="20"/>
                <w:szCs w:val="20"/>
              </w:rPr>
              <w:t>5 967,97</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37 892,24</w:t>
            </w:r>
          </w:p>
        </w:tc>
      </w:tr>
      <w:tr w:rsidR="00086514" w:rsidRPr="004761E0" w:rsidTr="00316FF1">
        <w:trPr>
          <w:trHeight w:val="300"/>
        </w:trPr>
        <w:tc>
          <w:tcPr>
            <w:tcW w:w="668" w:type="dxa"/>
          </w:tcPr>
          <w:p w:rsidR="00086514" w:rsidRPr="004761E0" w:rsidRDefault="00086514" w:rsidP="007076A7">
            <w:pPr>
              <w:pStyle w:val="a5"/>
              <w:numPr>
                <w:ilvl w:val="1"/>
                <w:numId w:val="193"/>
              </w:numPr>
              <w:tabs>
                <w:tab w:val="left" w:pos="167"/>
              </w:tabs>
              <w:ind w:left="0" w:firstLine="0"/>
              <w:contextualSpacing w:val="0"/>
              <w:jc w:val="left"/>
              <w:rPr>
                <w:rFonts w:eastAsia="Times New Roman"/>
                <w:color w:val="000000"/>
                <w:sz w:val="20"/>
                <w:szCs w:val="20"/>
                <w:lang w:eastAsia="ru-RU"/>
              </w:rPr>
            </w:pPr>
          </w:p>
        </w:tc>
        <w:tc>
          <w:tcPr>
            <w:tcW w:w="6732" w:type="dxa"/>
            <w:vAlign w:val="center"/>
            <w:hideMark/>
          </w:tcPr>
          <w:p w:rsidR="00086514" w:rsidRPr="004761E0" w:rsidRDefault="00086514" w:rsidP="006C4125">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КЛ (все классы напряжения)</w:t>
            </w:r>
          </w:p>
        </w:tc>
        <w:tc>
          <w:tcPr>
            <w:tcW w:w="1606" w:type="dxa"/>
            <w:vAlign w:val="center"/>
            <w:hideMark/>
          </w:tcPr>
          <w:p w:rsidR="00086514" w:rsidRPr="004761E0" w:rsidRDefault="00086514" w:rsidP="00086514">
            <w:pPr>
              <w:ind w:firstLine="0"/>
              <w:jc w:val="right"/>
              <w:rPr>
                <w:sz w:val="20"/>
                <w:szCs w:val="20"/>
              </w:rPr>
            </w:pPr>
            <w:r w:rsidRPr="004761E0">
              <w:rPr>
                <w:sz w:val="20"/>
                <w:szCs w:val="20"/>
              </w:rPr>
              <w:t>72 926</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56 740,23</w:t>
            </w:r>
          </w:p>
        </w:tc>
        <w:tc>
          <w:tcPr>
            <w:tcW w:w="1331" w:type="dxa"/>
            <w:vAlign w:val="center"/>
            <w:hideMark/>
          </w:tcPr>
          <w:p w:rsidR="00086514" w:rsidRPr="004761E0" w:rsidRDefault="00086514" w:rsidP="00086514">
            <w:pPr>
              <w:ind w:firstLine="0"/>
              <w:jc w:val="right"/>
              <w:rPr>
                <w:bCs/>
                <w:sz w:val="20"/>
                <w:szCs w:val="20"/>
              </w:rPr>
            </w:pPr>
            <w:r w:rsidRPr="004761E0">
              <w:rPr>
                <w:bCs/>
                <w:sz w:val="20"/>
                <w:szCs w:val="20"/>
              </w:rPr>
              <w:t>20 016,10</w:t>
            </w:r>
          </w:p>
        </w:tc>
        <w:tc>
          <w:tcPr>
            <w:tcW w:w="1484" w:type="dxa"/>
            <w:vAlign w:val="center"/>
            <w:hideMark/>
          </w:tcPr>
          <w:p w:rsidR="00086514" w:rsidRPr="004761E0" w:rsidRDefault="00086514" w:rsidP="00086514">
            <w:pPr>
              <w:ind w:firstLine="0"/>
              <w:jc w:val="right"/>
              <w:rPr>
                <w:bCs/>
                <w:sz w:val="20"/>
                <w:szCs w:val="20"/>
              </w:rPr>
            </w:pPr>
            <w:r w:rsidRPr="004761E0">
              <w:rPr>
                <w:bCs/>
                <w:sz w:val="20"/>
                <w:szCs w:val="20"/>
              </w:rPr>
              <w:t>176,05</w:t>
            </w:r>
          </w:p>
        </w:tc>
        <w:tc>
          <w:tcPr>
            <w:tcW w:w="1429" w:type="dxa"/>
            <w:vAlign w:val="center"/>
            <w:hideMark/>
          </w:tcPr>
          <w:p w:rsidR="00086514" w:rsidRPr="004761E0" w:rsidRDefault="00086514" w:rsidP="00086514">
            <w:pPr>
              <w:ind w:firstLine="0"/>
              <w:jc w:val="right"/>
              <w:rPr>
                <w:bCs/>
                <w:sz w:val="20"/>
                <w:szCs w:val="20"/>
              </w:rPr>
            </w:pPr>
            <w:r w:rsidRPr="004761E0">
              <w:rPr>
                <w:bCs/>
                <w:sz w:val="20"/>
                <w:szCs w:val="20"/>
              </w:rPr>
              <w:t>2 622,34</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73 957,94</w:t>
            </w:r>
          </w:p>
        </w:tc>
      </w:tr>
      <w:tr w:rsidR="00086514" w:rsidRPr="004761E0" w:rsidTr="00316FF1">
        <w:trPr>
          <w:trHeight w:val="300"/>
        </w:trPr>
        <w:tc>
          <w:tcPr>
            <w:tcW w:w="668" w:type="dxa"/>
          </w:tcPr>
          <w:p w:rsidR="00086514" w:rsidRPr="004761E0" w:rsidRDefault="00086514" w:rsidP="007076A7">
            <w:pPr>
              <w:pStyle w:val="a5"/>
              <w:numPr>
                <w:ilvl w:val="1"/>
                <w:numId w:val="193"/>
              </w:numPr>
              <w:tabs>
                <w:tab w:val="left" w:pos="167"/>
              </w:tabs>
              <w:ind w:left="0" w:firstLine="0"/>
              <w:contextualSpacing w:val="0"/>
              <w:jc w:val="left"/>
              <w:rPr>
                <w:rFonts w:eastAsia="Times New Roman"/>
                <w:color w:val="000000"/>
                <w:sz w:val="20"/>
                <w:szCs w:val="20"/>
                <w:lang w:eastAsia="ru-RU"/>
              </w:rPr>
            </w:pPr>
          </w:p>
        </w:tc>
        <w:tc>
          <w:tcPr>
            <w:tcW w:w="6732" w:type="dxa"/>
            <w:vAlign w:val="center"/>
            <w:hideMark/>
          </w:tcPr>
          <w:p w:rsidR="00086514" w:rsidRPr="004761E0" w:rsidRDefault="00086514" w:rsidP="006C4125">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иные активы, предназначенные для обеспечения электрических связей</w:t>
            </w:r>
          </w:p>
        </w:tc>
        <w:tc>
          <w:tcPr>
            <w:tcW w:w="1606" w:type="dxa"/>
            <w:vAlign w:val="center"/>
            <w:hideMark/>
          </w:tcPr>
          <w:p w:rsidR="00086514" w:rsidRPr="004761E0" w:rsidRDefault="00086514" w:rsidP="00086514">
            <w:pPr>
              <w:ind w:firstLine="0"/>
              <w:jc w:val="right"/>
              <w:rPr>
                <w:sz w:val="20"/>
                <w:szCs w:val="20"/>
              </w:rPr>
            </w:pPr>
            <w:r w:rsidRPr="004761E0">
              <w:rPr>
                <w:sz w:val="20"/>
                <w:szCs w:val="20"/>
              </w:rPr>
              <w:t>18 125</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18 365,76</w:t>
            </w:r>
          </w:p>
        </w:tc>
        <w:tc>
          <w:tcPr>
            <w:tcW w:w="1331" w:type="dxa"/>
            <w:vAlign w:val="center"/>
            <w:hideMark/>
          </w:tcPr>
          <w:p w:rsidR="00086514" w:rsidRPr="004761E0" w:rsidRDefault="00086514" w:rsidP="00086514">
            <w:pPr>
              <w:ind w:firstLine="0"/>
              <w:jc w:val="right"/>
              <w:rPr>
                <w:bCs/>
                <w:sz w:val="20"/>
                <w:szCs w:val="20"/>
              </w:rPr>
            </w:pPr>
            <w:r w:rsidRPr="004761E0">
              <w:rPr>
                <w:bCs/>
                <w:sz w:val="20"/>
                <w:szCs w:val="20"/>
              </w:rPr>
              <w:t>927,55</w:t>
            </w:r>
          </w:p>
        </w:tc>
        <w:tc>
          <w:tcPr>
            <w:tcW w:w="1484" w:type="dxa"/>
            <w:vAlign w:val="center"/>
            <w:hideMark/>
          </w:tcPr>
          <w:p w:rsidR="00086514" w:rsidRPr="004761E0" w:rsidRDefault="00086514" w:rsidP="00086514">
            <w:pPr>
              <w:ind w:firstLine="0"/>
              <w:jc w:val="right"/>
              <w:rPr>
                <w:bCs/>
                <w:sz w:val="20"/>
                <w:szCs w:val="20"/>
              </w:rPr>
            </w:pPr>
            <w:r w:rsidRPr="004761E0">
              <w:rPr>
                <w:bCs/>
                <w:sz w:val="20"/>
                <w:szCs w:val="20"/>
              </w:rPr>
              <w:t>14 395,47</w:t>
            </w:r>
          </w:p>
        </w:tc>
        <w:tc>
          <w:tcPr>
            <w:tcW w:w="1429" w:type="dxa"/>
            <w:vAlign w:val="center"/>
            <w:hideMark/>
          </w:tcPr>
          <w:p w:rsidR="00086514" w:rsidRPr="004761E0" w:rsidRDefault="00086514" w:rsidP="00086514">
            <w:pPr>
              <w:ind w:firstLine="0"/>
              <w:jc w:val="right"/>
              <w:rPr>
                <w:bCs/>
                <w:sz w:val="20"/>
                <w:szCs w:val="20"/>
              </w:rPr>
            </w:pPr>
            <w:r w:rsidRPr="004761E0">
              <w:rPr>
                <w:bCs/>
                <w:sz w:val="20"/>
                <w:szCs w:val="20"/>
              </w:rPr>
              <w:t>935,29</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3 962,54</w:t>
            </w:r>
          </w:p>
        </w:tc>
      </w:tr>
      <w:tr w:rsidR="00086514" w:rsidRPr="004761E0" w:rsidTr="00316FF1">
        <w:trPr>
          <w:trHeight w:val="300"/>
        </w:trPr>
        <w:tc>
          <w:tcPr>
            <w:tcW w:w="668" w:type="dxa"/>
          </w:tcPr>
          <w:p w:rsidR="00086514" w:rsidRPr="004761E0" w:rsidRDefault="00086514" w:rsidP="007076A7">
            <w:pPr>
              <w:pStyle w:val="a5"/>
              <w:numPr>
                <w:ilvl w:val="0"/>
                <w:numId w:val="193"/>
              </w:numPr>
              <w:tabs>
                <w:tab w:val="left" w:pos="251"/>
              </w:tabs>
              <w:ind w:left="0" w:firstLine="0"/>
              <w:contextualSpacing w:val="0"/>
              <w:jc w:val="left"/>
              <w:rPr>
                <w:rFonts w:eastAsia="Times New Roman"/>
                <w:b/>
                <w:bCs/>
                <w:color w:val="000000"/>
                <w:sz w:val="20"/>
                <w:szCs w:val="20"/>
                <w:lang w:eastAsia="ru-RU"/>
              </w:rPr>
            </w:pPr>
          </w:p>
        </w:tc>
        <w:tc>
          <w:tcPr>
            <w:tcW w:w="6732" w:type="dxa"/>
            <w:vAlign w:val="center"/>
            <w:hideMark/>
          </w:tcPr>
          <w:p w:rsidR="00086514" w:rsidRPr="004761E0" w:rsidRDefault="00086514" w:rsidP="006C4125">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Непрофильные активы, внесенные в реестр непрофильных активов</w:t>
            </w:r>
          </w:p>
        </w:tc>
        <w:tc>
          <w:tcPr>
            <w:tcW w:w="1606" w:type="dxa"/>
            <w:vAlign w:val="center"/>
            <w:hideMark/>
          </w:tcPr>
          <w:p w:rsidR="00086514" w:rsidRPr="004761E0" w:rsidRDefault="00086514" w:rsidP="00086514">
            <w:pPr>
              <w:ind w:firstLine="0"/>
              <w:jc w:val="right"/>
              <w:rPr>
                <w:b/>
                <w:bCs/>
                <w:sz w:val="20"/>
                <w:szCs w:val="20"/>
              </w:rPr>
            </w:pPr>
            <w:r w:rsidRPr="004761E0">
              <w:rPr>
                <w:b/>
                <w:bCs/>
                <w:sz w:val="20"/>
                <w:szCs w:val="20"/>
              </w:rPr>
              <w:t>3</w:t>
            </w:r>
          </w:p>
        </w:tc>
        <w:tc>
          <w:tcPr>
            <w:tcW w:w="1371" w:type="dxa"/>
            <w:vAlign w:val="center"/>
            <w:hideMark/>
          </w:tcPr>
          <w:p w:rsidR="00086514" w:rsidRPr="004761E0" w:rsidRDefault="00086514" w:rsidP="00086514">
            <w:pPr>
              <w:ind w:firstLine="0"/>
              <w:jc w:val="right"/>
              <w:rPr>
                <w:b/>
                <w:bCs/>
                <w:sz w:val="20"/>
                <w:szCs w:val="20"/>
              </w:rPr>
            </w:pPr>
            <w:r w:rsidRPr="004761E0">
              <w:rPr>
                <w:b/>
                <w:bCs/>
                <w:sz w:val="20"/>
                <w:szCs w:val="20"/>
              </w:rPr>
              <w:t>7,54</w:t>
            </w:r>
          </w:p>
        </w:tc>
        <w:tc>
          <w:tcPr>
            <w:tcW w:w="1331" w:type="dxa"/>
            <w:vAlign w:val="center"/>
            <w:hideMark/>
          </w:tcPr>
          <w:p w:rsidR="00086514" w:rsidRPr="004761E0" w:rsidRDefault="00086514" w:rsidP="00086514">
            <w:pPr>
              <w:ind w:firstLine="0"/>
              <w:jc w:val="right"/>
              <w:rPr>
                <w:b/>
                <w:bCs/>
                <w:sz w:val="20"/>
                <w:szCs w:val="20"/>
              </w:rPr>
            </w:pPr>
            <w:r w:rsidRPr="004761E0">
              <w:rPr>
                <w:b/>
                <w:bCs/>
                <w:sz w:val="20"/>
                <w:szCs w:val="20"/>
              </w:rPr>
              <w:t>0,00</w:t>
            </w:r>
          </w:p>
        </w:tc>
        <w:tc>
          <w:tcPr>
            <w:tcW w:w="1484" w:type="dxa"/>
            <w:vAlign w:val="center"/>
            <w:hideMark/>
          </w:tcPr>
          <w:p w:rsidR="00086514" w:rsidRPr="004761E0" w:rsidRDefault="00086514" w:rsidP="00086514">
            <w:pPr>
              <w:ind w:firstLine="0"/>
              <w:jc w:val="right"/>
              <w:rPr>
                <w:b/>
                <w:bCs/>
                <w:sz w:val="20"/>
                <w:szCs w:val="20"/>
              </w:rPr>
            </w:pPr>
            <w:r w:rsidRPr="004761E0">
              <w:rPr>
                <w:b/>
                <w:bCs/>
                <w:sz w:val="20"/>
                <w:szCs w:val="20"/>
              </w:rPr>
              <w:t>1,23</w:t>
            </w:r>
          </w:p>
        </w:tc>
        <w:tc>
          <w:tcPr>
            <w:tcW w:w="1429" w:type="dxa"/>
            <w:vAlign w:val="center"/>
            <w:hideMark/>
          </w:tcPr>
          <w:p w:rsidR="00086514" w:rsidRPr="004761E0" w:rsidRDefault="00086514" w:rsidP="00086514">
            <w:pPr>
              <w:ind w:firstLine="0"/>
              <w:jc w:val="right"/>
              <w:rPr>
                <w:b/>
                <w:bCs/>
                <w:sz w:val="20"/>
                <w:szCs w:val="20"/>
              </w:rPr>
            </w:pPr>
            <w:r w:rsidRPr="004761E0">
              <w:rPr>
                <w:b/>
                <w:bCs/>
                <w:sz w:val="20"/>
                <w:szCs w:val="20"/>
              </w:rPr>
              <w:t>0,00</w:t>
            </w:r>
          </w:p>
        </w:tc>
        <w:tc>
          <w:tcPr>
            <w:tcW w:w="1371" w:type="dxa"/>
            <w:vAlign w:val="center"/>
            <w:hideMark/>
          </w:tcPr>
          <w:p w:rsidR="00086514" w:rsidRPr="004761E0" w:rsidRDefault="00086514" w:rsidP="00086514">
            <w:pPr>
              <w:ind w:firstLine="0"/>
              <w:jc w:val="right"/>
              <w:rPr>
                <w:b/>
                <w:bCs/>
                <w:sz w:val="20"/>
                <w:szCs w:val="20"/>
              </w:rPr>
            </w:pPr>
            <w:r w:rsidRPr="004761E0">
              <w:rPr>
                <w:b/>
                <w:bCs/>
                <w:sz w:val="20"/>
                <w:szCs w:val="20"/>
              </w:rPr>
              <w:t>6,31</w:t>
            </w:r>
          </w:p>
        </w:tc>
      </w:tr>
      <w:tr w:rsidR="00086514" w:rsidRPr="004761E0" w:rsidTr="00316FF1">
        <w:trPr>
          <w:trHeight w:val="300"/>
        </w:trPr>
        <w:tc>
          <w:tcPr>
            <w:tcW w:w="668" w:type="dxa"/>
          </w:tcPr>
          <w:p w:rsidR="00086514" w:rsidRPr="004761E0" w:rsidRDefault="00086514" w:rsidP="007076A7">
            <w:pPr>
              <w:pStyle w:val="a5"/>
              <w:numPr>
                <w:ilvl w:val="0"/>
                <w:numId w:val="193"/>
              </w:numPr>
              <w:tabs>
                <w:tab w:val="left" w:pos="251"/>
              </w:tabs>
              <w:ind w:left="0" w:firstLine="0"/>
              <w:contextualSpacing w:val="0"/>
              <w:jc w:val="left"/>
              <w:rPr>
                <w:rFonts w:eastAsia="Times New Roman"/>
                <w:b/>
                <w:bCs/>
                <w:color w:val="000000"/>
                <w:sz w:val="20"/>
                <w:szCs w:val="20"/>
                <w:lang w:eastAsia="ru-RU"/>
              </w:rPr>
            </w:pPr>
          </w:p>
        </w:tc>
        <w:tc>
          <w:tcPr>
            <w:tcW w:w="6732" w:type="dxa"/>
            <w:vAlign w:val="center"/>
            <w:hideMark/>
          </w:tcPr>
          <w:p w:rsidR="00086514" w:rsidRPr="004761E0" w:rsidRDefault="00086514" w:rsidP="006C4125">
            <w:pPr>
              <w:ind w:firstLine="0"/>
              <w:jc w:val="left"/>
              <w:rPr>
                <w:rFonts w:eastAsia="Times New Roman"/>
                <w:b/>
                <w:bCs/>
                <w:color w:val="000000"/>
                <w:sz w:val="20"/>
                <w:szCs w:val="20"/>
                <w:lang w:eastAsia="ru-RU"/>
              </w:rPr>
            </w:pPr>
            <w:proofErr w:type="gramStart"/>
            <w:r w:rsidRPr="004761E0">
              <w:rPr>
                <w:rFonts w:eastAsia="Times New Roman"/>
                <w:b/>
                <w:bCs/>
                <w:color w:val="000000"/>
                <w:sz w:val="20"/>
                <w:szCs w:val="20"/>
                <w:lang w:eastAsia="ru-RU"/>
              </w:rPr>
              <w:t>Прочие активы  (п.3 = п.4 – п.2 – п.1) (всего), в т.ч.:</w:t>
            </w:r>
            <w:proofErr w:type="gramEnd"/>
          </w:p>
        </w:tc>
        <w:tc>
          <w:tcPr>
            <w:tcW w:w="1606" w:type="dxa"/>
            <w:vAlign w:val="center"/>
            <w:hideMark/>
          </w:tcPr>
          <w:p w:rsidR="00086514" w:rsidRPr="004761E0" w:rsidRDefault="00086514" w:rsidP="00086514">
            <w:pPr>
              <w:ind w:firstLine="0"/>
              <w:jc w:val="right"/>
              <w:rPr>
                <w:sz w:val="20"/>
                <w:szCs w:val="20"/>
              </w:rPr>
            </w:pPr>
            <w:r w:rsidRPr="004761E0">
              <w:rPr>
                <w:sz w:val="20"/>
                <w:szCs w:val="20"/>
              </w:rPr>
              <w:t>0</w:t>
            </w:r>
          </w:p>
        </w:tc>
        <w:tc>
          <w:tcPr>
            <w:tcW w:w="1371" w:type="dxa"/>
            <w:vAlign w:val="center"/>
            <w:hideMark/>
          </w:tcPr>
          <w:p w:rsidR="00086514" w:rsidRPr="004761E0" w:rsidRDefault="00086514" w:rsidP="00086514">
            <w:pPr>
              <w:ind w:firstLine="0"/>
              <w:jc w:val="right"/>
              <w:rPr>
                <w:b/>
                <w:bCs/>
                <w:sz w:val="20"/>
                <w:szCs w:val="20"/>
              </w:rPr>
            </w:pPr>
            <w:r w:rsidRPr="004761E0">
              <w:rPr>
                <w:b/>
                <w:bCs/>
                <w:sz w:val="20"/>
                <w:szCs w:val="20"/>
              </w:rPr>
              <w:t>2 160,41</w:t>
            </w:r>
          </w:p>
        </w:tc>
        <w:tc>
          <w:tcPr>
            <w:tcW w:w="1331" w:type="dxa"/>
            <w:vAlign w:val="center"/>
            <w:hideMark/>
          </w:tcPr>
          <w:p w:rsidR="00086514" w:rsidRPr="004761E0" w:rsidRDefault="00086514" w:rsidP="00086514">
            <w:pPr>
              <w:ind w:firstLine="0"/>
              <w:jc w:val="right"/>
              <w:rPr>
                <w:b/>
                <w:bCs/>
                <w:sz w:val="20"/>
                <w:szCs w:val="20"/>
              </w:rPr>
            </w:pPr>
            <w:r w:rsidRPr="004761E0">
              <w:rPr>
                <w:b/>
                <w:bCs/>
                <w:sz w:val="20"/>
                <w:szCs w:val="20"/>
              </w:rPr>
              <w:t>3 965,62</w:t>
            </w:r>
          </w:p>
        </w:tc>
        <w:tc>
          <w:tcPr>
            <w:tcW w:w="1484" w:type="dxa"/>
            <w:vAlign w:val="center"/>
            <w:hideMark/>
          </w:tcPr>
          <w:p w:rsidR="00086514" w:rsidRPr="004761E0" w:rsidRDefault="00086514" w:rsidP="00086514">
            <w:pPr>
              <w:ind w:firstLine="0"/>
              <w:jc w:val="right"/>
              <w:rPr>
                <w:b/>
                <w:bCs/>
                <w:sz w:val="20"/>
                <w:szCs w:val="20"/>
              </w:rPr>
            </w:pPr>
            <w:r w:rsidRPr="004761E0">
              <w:rPr>
                <w:b/>
                <w:bCs/>
                <w:sz w:val="20"/>
                <w:szCs w:val="20"/>
              </w:rPr>
              <w:t>-15 013,53</w:t>
            </w:r>
          </w:p>
        </w:tc>
        <w:tc>
          <w:tcPr>
            <w:tcW w:w="1429" w:type="dxa"/>
            <w:vAlign w:val="center"/>
            <w:hideMark/>
          </w:tcPr>
          <w:p w:rsidR="00086514" w:rsidRPr="004761E0" w:rsidRDefault="00086514" w:rsidP="00086514">
            <w:pPr>
              <w:ind w:firstLine="0"/>
              <w:jc w:val="right"/>
              <w:rPr>
                <w:b/>
                <w:bCs/>
                <w:sz w:val="20"/>
                <w:szCs w:val="20"/>
              </w:rPr>
            </w:pPr>
            <w:r w:rsidRPr="004761E0">
              <w:rPr>
                <w:b/>
                <w:bCs/>
                <w:sz w:val="20"/>
                <w:szCs w:val="20"/>
              </w:rPr>
              <w:t>1 044,13</w:t>
            </w:r>
          </w:p>
        </w:tc>
        <w:tc>
          <w:tcPr>
            <w:tcW w:w="1371" w:type="dxa"/>
            <w:vAlign w:val="center"/>
            <w:hideMark/>
          </w:tcPr>
          <w:p w:rsidR="00086514" w:rsidRPr="004761E0" w:rsidRDefault="00086514" w:rsidP="00086514">
            <w:pPr>
              <w:ind w:firstLine="0"/>
              <w:jc w:val="right"/>
              <w:rPr>
                <w:b/>
                <w:bCs/>
                <w:sz w:val="20"/>
                <w:szCs w:val="20"/>
              </w:rPr>
            </w:pPr>
            <w:r w:rsidRPr="004761E0">
              <w:rPr>
                <w:b/>
                <w:bCs/>
                <w:sz w:val="20"/>
                <w:szCs w:val="20"/>
              </w:rPr>
              <w:t>20 095,44</w:t>
            </w:r>
          </w:p>
        </w:tc>
      </w:tr>
      <w:tr w:rsidR="00086514" w:rsidRPr="004761E0" w:rsidTr="00316FF1">
        <w:trPr>
          <w:trHeight w:val="300"/>
        </w:trPr>
        <w:tc>
          <w:tcPr>
            <w:tcW w:w="668" w:type="dxa"/>
          </w:tcPr>
          <w:p w:rsidR="00086514" w:rsidRPr="004761E0" w:rsidRDefault="00086514" w:rsidP="007076A7">
            <w:pPr>
              <w:pStyle w:val="a5"/>
              <w:numPr>
                <w:ilvl w:val="1"/>
                <w:numId w:val="193"/>
              </w:numPr>
              <w:tabs>
                <w:tab w:val="left" w:pos="167"/>
              </w:tabs>
              <w:ind w:left="0" w:firstLine="0"/>
              <w:contextualSpacing w:val="0"/>
              <w:jc w:val="left"/>
              <w:rPr>
                <w:rFonts w:eastAsia="Times New Roman"/>
                <w:color w:val="000000"/>
                <w:sz w:val="20"/>
                <w:szCs w:val="20"/>
                <w:lang w:eastAsia="ru-RU"/>
              </w:rPr>
            </w:pPr>
          </w:p>
        </w:tc>
        <w:tc>
          <w:tcPr>
            <w:tcW w:w="6732" w:type="dxa"/>
            <w:vAlign w:val="center"/>
            <w:hideMark/>
          </w:tcPr>
          <w:p w:rsidR="00086514" w:rsidRPr="004761E0" w:rsidRDefault="00086514" w:rsidP="006C4125">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земельные участки, находящиеся в собственности</w:t>
            </w:r>
          </w:p>
        </w:tc>
        <w:tc>
          <w:tcPr>
            <w:tcW w:w="1606" w:type="dxa"/>
            <w:vAlign w:val="center"/>
            <w:hideMark/>
          </w:tcPr>
          <w:p w:rsidR="00086514" w:rsidRPr="004761E0" w:rsidRDefault="00086514" w:rsidP="00086514">
            <w:pPr>
              <w:ind w:firstLine="0"/>
              <w:jc w:val="right"/>
              <w:rPr>
                <w:sz w:val="20"/>
                <w:szCs w:val="20"/>
              </w:rPr>
            </w:pPr>
            <w:r w:rsidRPr="004761E0">
              <w:rPr>
                <w:sz w:val="20"/>
                <w:szCs w:val="20"/>
              </w:rPr>
              <w:t>13</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82,12</w:t>
            </w:r>
          </w:p>
        </w:tc>
        <w:tc>
          <w:tcPr>
            <w:tcW w:w="1331" w:type="dxa"/>
            <w:vAlign w:val="center"/>
            <w:hideMark/>
          </w:tcPr>
          <w:p w:rsidR="00086514" w:rsidRPr="004761E0" w:rsidRDefault="00086514" w:rsidP="00086514">
            <w:pPr>
              <w:ind w:firstLine="0"/>
              <w:jc w:val="right"/>
              <w:rPr>
                <w:bCs/>
                <w:sz w:val="20"/>
                <w:szCs w:val="20"/>
              </w:rPr>
            </w:pPr>
            <w:r w:rsidRPr="004761E0">
              <w:rPr>
                <w:bCs/>
                <w:sz w:val="20"/>
                <w:szCs w:val="20"/>
              </w:rPr>
              <w:t>0,51</w:t>
            </w:r>
          </w:p>
        </w:tc>
        <w:tc>
          <w:tcPr>
            <w:tcW w:w="1484"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429"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82,63</w:t>
            </w:r>
          </w:p>
        </w:tc>
      </w:tr>
      <w:tr w:rsidR="00086514" w:rsidRPr="004761E0" w:rsidTr="00316FF1">
        <w:trPr>
          <w:trHeight w:val="300"/>
        </w:trPr>
        <w:tc>
          <w:tcPr>
            <w:tcW w:w="668" w:type="dxa"/>
          </w:tcPr>
          <w:p w:rsidR="00086514" w:rsidRPr="004761E0" w:rsidRDefault="00086514" w:rsidP="007076A7">
            <w:pPr>
              <w:pStyle w:val="a5"/>
              <w:numPr>
                <w:ilvl w:val="0"/>
                <w:numId w:val="193"/>
              </w:numPr>
              <w:tabs>
                <w:tab w:val="left" w:pos="251"/>
              </w:tabs>
              <w:ind w:left="0" w:firstLine="0"/>
              <w:contextualSpacing w:val="0"/>
              <w:jc w:val="left"/>
              <w:rPr>
                <w:rFonts w:eastAsia="Times New Roman"/>
                <w:b/>
                <w:bCs/>
                <w:color w:val="000000"/>
                <w:sz w:val="20"/>
                <w:szCs w:val="20"/>
                <w:lang w:eastAsia="ru-RU"/>
              </w:rPr>
            </w:pPr>
          </w:p>
        </w:tc>
        <w:tc>
          <w:tcPr>
            <w:tcW w:w="6732" w:type="dxa"/>
            <w:vAlign w:val="center"/>
            <w:hideMark/>
          </w:tcPr>
          <w:p w:rsidR="00086514" w:rsidRPr="004761E0" w:rsidRDefault="00086514" w:rsidP="006C4125">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«Основные средства» (строка бухгалтерского баланса)</w:t>
            </w:r>
          </w:p>
        </w:tc>
        <w:tc>
          <w:tcPr>
            <w:tcW w:w="1606" w:type="dxa"/>
            <w:vAlign w:val="center"/>
            <w:hideMark/>
          </w:tcPr>
          <w:p w:rsidR="00086514" w:rsidRPr="004761E0" w:rsidRDefault="00086514" w:rsidP="00086514">
            <w:pPr>
              <w:ind w:firstLine="0"/>
              <w:jc w:val="right"/>
              <w:rPr>
                <w:b/>
                <w:bCs/>
                <w:sz w:val="20"/>
                <w:szCs w:val="20"/>
              </w:rPr>
            </w:pPr>
            <w:r w:rsidRPr="004761E0">
              <w:rPr>
                <w:b/>
                <w:bCs/>
                <w:sz w:val="20"/>
                <w:szCs w:val="20"/>
              </w:rPr>
              <w:t>0</w:t>
            </w:r>
          </w:p>
        </w:tc>
        <w:tc>
          <w:tcPr>
            <w:tcW w:w="1371" w:type="dxa"/>
            <w:vAlign w:val="center"/>
            <w:hideMark/>
          </w:tcPr>
          <w:p w:rsidR="00086514" w:rsidRPr="004761E0" w:rsidRDefault="00086514" w:rsidP="00086514">
            <w:pPr>
              <w:ind w:firstLine="0"/>
              <w:jc w:val="right"/>
              <w:rPr>
                <w:b/>
                <w:bCs/>
                <w:sz w:val="20"/>
                <w:szCs w:val="20"/>
              </w:rPr>
            </w:pPr>
            <w:r w:rsidRPr="004761E0">
              <w:rPr>
                <w:b/>
                <w:bCs/>
                <w:sz w:val="20"/>
                <w:szCs w:val="20"/>
              </w:rPr>
              <w:t>193 515,47</w:t>
            </w:r>
          </w:p>
        </w:tc>
        <w:tc>
          <w:tcPr>
            <w:tcW w:w="1331" w:type="dxa"/>
            <w:vAlign w:val="center"/>
            <w:hideMark/>
          </w:tcPr>
          <w:p w:rsidR="00086514" w:rsidRPr="004761E0" w:rsidRDefault="00086514" w:rsidP="00086514">
            <w:pPr>
              <w:ind w:firstLine="0"/>
              <w:jc w:val="right"/>
              <w:rPr>
                <w:b/>
                <w:bCs/>
                <w:sz w:val="20"/>
                <w:szCs w:val="20"/>
              </w:rPr>
            </w:pPr>
            <w:r w:rsidRPr="004761E0">
              <w:rPr>
                <w:b/>
                <w:bCs/>
                <w:sz w:val="20"/>
                <w:szCs w:val="20"/>
              </w:rPr>
              <w:t>47 621,59</w:t>
            </w:r>
          </w:p>
        </w:tc>
        <w:tc>
          <w:tcPr>
            <w:tcW w:w="1484" w:type="dxa"/>
            <w:vAlign w:val="center"/>
            <w:hideMark/>
          </w:tcPr>
          <w:p w:rsidR="00086514" w:rsidRPr="004761E0" w:rsidRDefault="00086514" w:rsidP="00086514">
            <w:pPr>
              <w:ind w:firstLine="0"/>
              <w:jc w:val="right"/>
              <w:rPr>
                <w:b/>
                <w:bCs/>
                <w:sz w:val="20"/>
                <w:szCs w:val="20"/>
              </w:rPr>
            </w:pPr>
            <w:r w:rsidRPr="004761E0">
              <w:rPr>
                <w:b/>
                <w:bCs/>
                <w:sz w:val="20"/>
                <w:szCs w:val="20"/>
              </w:rPr>
              <w:t>644,61</w:t>
            </w:r>
          </w:p>
        </w:tc>
        <w:tc>
          <w:tcPr>
            <w:tcW w:w="1429" w:type="dxa"/>
            <w:vAlign w:val="center"/>
            <w:hideMark/>
          </w:tcPr>
          <w:p w:rsidR="00086514" w:rsidRPr="004761E0" w:rsidRDefault="00086514" w:rsidP="00086514">
            <w:pPr>
              <w:ind w:firstLine="0"/>
              <w:jc w:val="right"/>
              <w:rPr>
                <w:b/>
                <w:bCs/>
                <w:sz w:val="20"/>
                <w:szCs w:val="20"/>
              </w:rPr>
            </w:pPr>
            <w:r w:rsidRPr="004761E0">
              <w:rPr>
                <w:b/>
                <w:bCs/>
                <w:sz w:val="20"/>
                <w:szCs w:val="20"/>
              </w:rPr>
              <w:t>18 737,44</w:t>
            </w:r>
          </w:p>
        </w:tc>
        <w:tc>
          <w:tcPr>
            <w:tcW w:w="1371" w:type="dxa"/>
            <w:vAlign w:val="center"/>
            <w:hideMark/>
          </w:tcPr>
          <w:p w:rsidR="00086514" w:rsidRPr="004761E0" w:rsidRDefault="00086514" w:rsidP="00086514">
            <w:pPr>
              <w:ind w:firstLine="0"/>
              <w:jc w:val="right"/>
              <w:rPr>
                <w:b/>
                <w:bCs/>
                <w:sz w:val="20"/>
                <w:szCs w:val="20"/>
              </w:rPr>
            </w:pPr>
            <w:r w:rsidRPr="004761E0">
              <w:rPr>
                <w:b/>
                <w:bCs/>
                <w:sz w:val="20"/>
                <w:szCs w:val="20"/>
              </w:rPr>
              <w:t>221 755,01</w:t>
            </w:r>
          </w:p>
        </w:tc>
      </w:tr>
      <w:tr w:rsidR="00086514" w:rsidRPr="004761E0" w:rsidTr="00316FF1">
        <w:trPr>
          <w:trHeight w:val="300"/>
        </w:trPr>
        <w:tc>
          <w:tcPr>
            <w:tcW w:w="668" w:type="dxa"/>
          </w:tcPr>
          <w:p w:rsidR="00086514" w:rsidRPr="004761E0" w:rsidRDefault="00086514" w:rsidP="007076A7">
            <w:pPr>
              <w:pStyle w:val="a5"/>
              <w:numPr>
                <w:ilvl w:val="0"/>
                <w:numId w:val="193"/>
              </w:numPr>
              <w:tabs>
                <w:tab w:val="left" w:pos="251"/>
              </w:tabs>
              <w:ind w:left="0" w:firstLine="0"/>
              <w:contextualSpacing w:val="0"/>
              <w:jc w:val="left"/>
              <w:rPr>
                <w:rFonts w:eastAsia="Times New Roman"/>
                <w:b/>
                <w:bCs/>
                <w:color w:val="000000"/>
                <w:sz w:val="20"/>
                <w:szCs w:val="20"/>
                <w:lang w:eastAsia="ru-RU"/>
              </w:rPr>
            </w:pPr>
          </w:p>
        </w:tc>
        <w:tc>
          <w:tcPr>
            <w:tcW w:w="6732" w:type="dxa"/>
            <w:vAlign w:val="center"/>
            <w:hideMark/>
          </w:tcPr>
          <w:p w:rsidR="00086514" w:rsidRPr="004761E0" w:rsidRDefault="00086514" w:rsidP="006C4125">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Арендуемые активы, относящиеся к объектам электросетевого хозяйства (всего), в т.ч.:</w:t>
            </w:r>
          </w:p>
        </w:tc>
        <w:tc>
          <w:tcPr>
            <w:tcW w:w="1606" w:type="dxa"/>
            <w:vAlign w:val="center"/>
            <w:hideMark/>
          </w:tcPr>
          <w:p w:rsidR="00086514" w:rsidRPr="004761E0" w:rsidRDefault="00086514" w:rsidP="00086514">
            <w:pPr>
              <w:ind w:firstLine="0"/>
              <w:jc w:val="right"/>
              <w:rPr>
                <w:sz w:val="20"/>
                <w:szCs w:val="20"/>
              </w:rPr>
            </w:pPr>
            <w:r w:rsidRPr="004761E0">
              <w:rPr>
                <w:sz w:val="20"/>
                <w:szCs w:val="20"/>
              </w:rPr>
              <w:t>0</w:t>
            </w:r>
          </w:p>
        </w:tc>
        <w:tc>
          <w:tcPr>
            <w:tcW w:w="1371" w:type="dxa"/>
            <w:vAlign w:val="center"/>
            <w:hideMark/>
          </w:tcPr>
          <w:p w:rsidR="00086514" w:rsidRPr="004761E0" w:rsidRDefault="00086514" w:rsidP="00086514">
            <w:pPr>
              <w:ind w:firstLine="0"/>
              <w:jc w:val="right"/>
              <w:rPr>
                <w:b/>
                <w:bCs/>
                <w:sz w:val="20"/>
                <w:szCs w:val="20"/>
              </w:rPr>
            </w:pPr>
            <w:r w:rsidRPr="004761E0">
              <w:rPr>
                <w:b/>
                <w:bCs/>
                <w:sz w:val="20"/>
                <w:szCs w:val="20"/>
              </w:rPr>
              <w:t>1 312,72</w:t>
            </w:r>
          </w:p>
        </w:tc>
        <w:tc>
          <w:tcPr>
            <w:tcW w:w="1331" w:type="dxa"/>
            <w:vAlign w:val="center"/>
            <w:hideMark/>
          </w:tcPr>
          <w:p w:rsidR="00086514" w:rsidRPr="004761E0" w:rsidRDefault="00086514" w:rsidP="00086514">
            <w:pPr>
              <w:ind w:firstLine="0"/>
              <w:jc w:val="right"/>
              <w:rPr>
                <w:b/>
                <w:bCs/>
                <w:sz w:val="20"/>
                <w:szCs w:val="20"/>
              </w:rPr>
            </w:pPr>
            <w:r w:rsidRPr="004761E0">
              <w:rPr>
                <w:b/>
                <w:bCs/>
                <w:sz w:val="20"/>
                <w:szCs w:val="20"/>
              </w:rPr>
              <w:t>92,43</w:t>
            </w:r>
          </w:p>
        </w:tc>
        <w:tc>
          <w:tcPr>
            <w:tcW w:w="1484" w:type="dxa"/>
            <w:vAlign w:val="center"/>
            <w:hideMark/>
          </w:tcPr>
          <w:p w:rsidR="00086514" w:rsidRPr="004761E0" w:rsidRDefault="00086514" w:rsidP="00086514">
            <w:pPr>
              <w:ind w:firstLine="0"/>
              <w:jc w:val="right"/>
              <w:rPr>
                <w:b/>
                <w:bCs/>
                <w:sz w:val="20"/>
                <w:szCs w:val="20"/>
              </w:rPr>
            </w:pPr>
            <w:r w:rsidRPr="004761E0">
              <w:rPr>
                <w:b/>
                <w:bCs/>
                <w:sz w:val="20"/>
                <w:szCs w:val="20"/>
              </w:rPr>
              <w:t>124,12</w:t>
            </w:r>
          </w:p>
        </w:tc>
        <w:tc>
          <w:tcPr>
            <w:tcW w:w="1429" w:type="dxa"/>
            <w:vAlign w:val="center"/>
            <w:hideMark/>
          </w:tcPr>
          <w:p w:rsidR="00086514" w:rsidRPr="004761E0" w:rsidRDefault="00086514" w:rsidP="00086514">
            <w:pPr>
              <w:ind w:firstLine="0"/>
              <w:jc w:val="right"/>
              <w:rPr>
                <w:b/>
                <w:bCs/>
                <w:sz w:val="20"/>
                <w:szCs w:val="20"/>
              </w:rPr>
            </w:pPr>
            <w:r w:rsidRPr="004761E0">
              <w:rPr>
                <w:b/>
                <w:bCs/>
                <w:sz w:val="20"/>
                <w:szCs w:val="20"/>
              </w:rPr>
              <w:t>0,00</w:t>
            </w:r>
          </w:p>
        </w:tc>
        <w:tc>
          <w:tcPr>
            <w:tcW w:w="1371" w:type="dxa"/>
            <w:vAlign w:val="center"/>
            <w:hideMark/>
          </w:tcPr>
          <w:p w:rsidR="00086514" w:rsidRPr="004761E0" w:rsidRDefault="00086514" w:rsidP="00086514">
            <w:pPr>
              <w:ind w:firstLine="0"/>
              <w:jc w:val="right"/>
              <w:rPr>
                <w:b/>
                <w:bCs/>
                <w:sz w:val="20"/>
                <w:szCs w:val="20"/>
              </w:rPr>
            </w:pPr>
            <w:r w:rsidRPr="004761E0">
              <w:rPr>
                <w:b/>
                <w:bCs/>
                <w:sz w:val="20"/>
                <w:szCs w:val="20"/>
              </w:rPr>
              <w:t>1 281,03</w:t>
            </w:r>
          </w:p>
        </w:tc>
      </w:tr>
      <w:tr w:rsidR="00086514" w:rsidRPr="004761E0" w:rsidTr="00316FF1">
        <w:trPr>
          <w:trHeight w:val="300"/>
        </w:trPr>
        <w:tc>
          <w:tcPr>
            <w:tcW w:w="668" w:type="dxa"/>
          </w:tcPr>
          <w:p w:rsidR="00086514" w:rsidRPr="004761E0" w:rsidRDefault="00086514" w:rsidP="007076A7">
            <w:pPr>
              <w:pStyle w:val="a5"/>
              <w:numPr>
                <w:ilvl w:val="1"/>
                <w:numId w:val="193"/>
              </w:numPr>
              <w:tabs>
                <w:tab w:val="left" w:pos="167"/>
              </w:tabs>
              <w:ind w:left="0" w:firstLine="0"/>
              <w:contextualSpacing w:val="0"/>
              <w:jc w:val="left"/>
              <w:rPr>
                <w:rFonts w:eastAsia="Times New Roman"/>
                <w:color w:val="000000"/>
                <w:sz w:val="20"/>
                <w:szCs w:val="20"/>
                <w:lang w:eastAsia="ru-RU"/>
              </w:rPr>
            </w:pPr>
          </w:p>
        </w:tc>
        <w:tc>
          <w:tcPr>
            <w:tcW w:w="6732" w:type="dxa"/>
            <w:vAlign w:val="center"/>
            <w:hideMark/>
          </w:tcPr>
          <w:p w:rsidR="00086514" w:rsidRPr="004761E0" w:rsidRDefault="00086514" w:rsidP="006C4125">
            <w:pPr>
              <w:ind w:firstLineChars="200" w:firstLine="400"/>
              <w:jc w:val="left"/>
              <w:rPr>
                <w:rFonts w:eastAsia="Times New Roman"/>
                <w:color w:val="000000"/>
                <w:sz w:val="20"/>
                <w:szCs w:val="20"/>
                <w:lang w:eastAsia="ru-RU"/>
              </w:rPr>
            </w:pPr>
            <w:proofErr w:type="gramStart"/>
            <w:r w:rsidRPr="004761E0">
              <w:rPr>
                <w:rFonts w:eastAsia="Times New Roman"/>
                <w:color w:val="000000"/>
                <w:sz w:val="20"/>
                <w:szCs w:val="20"/>
                <w:lang w:eastAsia="ru-RU"/>
              </w:rPr>
              <w:t>ВЛ</w:t>
            </w:r>
            <w:proofErr w:type="gramEnd"/>
            <w:r w:rsidRPr="004761E0">
              <w:rPr>
                <w:rFonts w:eastAsia="Times New Roman"/>
                <w:color w:val="000000"/>
                <w:sz w:val="20"/>
                <w:szCs w:val="20"/>
                <w:lang w:eastAsia="ru-RU"/>
              </w:rPr>
              <w:t xml:space="preserve"> 220 кВ и выше</w:t>
            </w:r>
          </w:p>
        </w:tc>
        <w:tc>
          <w:tcPr>
            <w:tcW w:w="1606" w:type="dxa"/>
            <w:vAlign w:val="center"/>
            <w:hideMark/>
          </w:tcPr>
          <w:p w:rsidR="00086514" w:rsidRPr="004761E0" w:rsidRDefault="00086514" w:rsidP="00086514">
            <w:pPr>
              <w:ind w:firstLine="0"/>
              <w:jc w:val="right"/>
              <w:rPr>
                <w:sz w:val="20"/>
                <w:szCs w:val="20"/>
              </w:rPr>
            </w:pPr>
            <w:r w:rsidRPr="004761E0">
              <w:rPr>
                <w:sz w:val="20"/>
                <w:szCs w:val="20"/>
              </w:rPr>
              <w:t>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331"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484"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429"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0,00</w:t>
            </w:r>
          </w:p>
        </w:tc>
      </w:tr>
      <w:tr w:rsidR="00086514" w:rsidRPr="004761E0" w:rsidTr="00316FF1">
        <w:trPr>
          <w:trHeight w:val="300"/>
        </w:trPr>
        <w:tc>
          <w:tcPr>
            <w:tcW w:w="668" w:type="dxa"/>
          </w:tcPr>
          <w:p w:rsidR="00086514" w:rsidRPr="004761E0" w:rsidRDefault="00086514" w:rsidP="007076A7">
            <w:pPr>
              <w:pStyle w:val="a5"/>
              <w:numPr>
                <w:ilvl w:val="1"/>
                <w:numId w:val="193"/>
              </w:numPr>
              <w:tabs>
                <w:tab w:val="left" w:pos="167"/>
              </w:tabs>
              <w:ind w:left="0" w:firstLine="0"/>
              <w:contextualSpacing w:val="0"/>
              <w:jc w:val="left"/>
              <w:rPr>
                <w:rFonts w:eastAsia="Times New Roman"/>
                <w:color w:val="000000"/>
                <w:sz w:val="20"/>
                <w:szCs w:val="20"/>
                <w:lang w:eastAsia="ru-RU"/>
              </w:rPr>
            </w:pPr>
          </w:p>
        </w:tc>
        <w:tc>
          <w:tcPr>
            <w:tcW w:w="6732" w:type="dxa"/>
            <w:vAlign w:val="center"/>
            <w:hideMark/>
          </w:tcPr>
          <w:p w:rsidR="00086514" w:rsidRPr="004761E0" w:rsidRDefault="00086514" w:rsidP="006C4125">
            <w:pPr>
              <w:ind w:firstLineChars="200" w:firstLine="400"/>
              <w:jc w:val="left"/>
              <w:rPr>
                <w:rFonts w:eastAsia="Times New Roman"/>
                <w:color w:val="000000"/>
                <w:sz w:val="20"/>
                <w:szCs w:val="20"/>
                <w:lang w:eastAsia="ru-RU"/>
              </w:rPr>
            </w:pPr>
            <w:proofErr w:type="gramStart"/>
            <w:r w:rsidRPr="004761E0">
              <w:rPr>
                <w:rFonts w:eastAsia="Times New Roman"/>
                <w:color w:val="000000"/>
                <w:sz w:val="20"/>
                <w:szCs w:val="20"/>
                <w:lang w:eastAsia="ru-RU"/>
              </w:rPr>
              <w:t>ВЛ</w:t>
            </w:r>
            <w:proofErr w:type="gramEnd"/>
            <w:r w:rsidRPr="004761E0">
              <w:rPr>
                <w:rFonts w:eastAsia="Times New Roman"/>
                <w:color w:val="000000"/>
                <w:sz w:val="20"/>
                <w:szCs w:val="20"/>
                <w:lang w:eastAsia="ru-RU"/>
              </w:rPr>
              <w:t xml:space="preserve"> 110 кВ</w:t>
            </w:r>
          </w:p>
        </w:tc>
        <w:tc>
          <w:tcPr>
            <w:tcW w:w="1606" w:type="dxa"/>
            <w:vAlign w:val="center"/>
            <w:hideMark/>
          </w:tcPr>
          <w:p w:rsidR="00086514" w:rsidRPr="004761E0" w:rsidRDefault="00086514" w:rsidP="00086514">
            <w:pPr>
              <w:ind w:firstLine="0"/>
              <w:jc w:val="right"/>
              <w:rPr>
                <w:sz w:val="20"/>
                <w:szCs w:val="20"/>
              </w:rPr>
            </w:pPr>
            <w:r w:rsidRPr="004761E0">
              <w:rPr>
                <w:sz w:val="20"/>
                <w:szCs w:val="20"/>
              </w:rPr>
              <w:t>146</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23,35</w:t>
            </w:r>
          </w:p>
        </w:tc>
        <w:tc>
          <w:tcPr>
            <w:tcW w:w="1331"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484"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429"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23,35</w:t>
            </w:r>
          </w:p>
        </w:tc>
      </w:tr>
      <w:tr w:rsidR="00086514" w:rsidRPr="004761E0" w:rsidTr="00316FF1">
        <w:trPr>
          <w:trHeight w:val="300"/>
        </w:trPr>
        <w:tc>
          <w:tcPr>
            <w:tcW w:w="668" w:type="dxa"/>
          </w:tcPr>
          <w:p w:rsidR="00086514" w:rsidRPr="004761E0" w:rsidRDefault="00086514" w:rsidP="007076A7">
            <w:pPr>
              <w:pStyle w:val="a5"/>
              <w:numPr>
                <w:ilvl w:val="1"/>
                <w:numId w:val="193"/>
              </w:numPr>
              <w:tabs>
                <w:tab w:val="left" w:pos="167"/>
              </w:tabs>
              <w:ind w:left="0" w:firstLine="0"/>
              <w:contextualSpacing w:val="0"/>
              <w:jc w:val="left"/>
              <w:rPr>
                <w:rFonts w:eastAsia="Times New Roman"/>
                <w:color w:val="000000"/>
                <w:sz w:val="20"/>
                <w:szCs w:val="20"/>
                <w:lang w:eastAsia="ru-RU"/>
              </w:rPr>
            </w:pPr>
          </w:p>
        </w:tc>
        <w:tc>
          <w:tcPr>
            <w:tcW w:w="6732" w:type="dxa"/>
            <w:vAlign w:val="center"/>
            <w:hideMark/>
          </w:tcPr>
          <w:p w:rsidR="00086514" w:rsidRPr="004761E0" w:rsidRDefault="00086514" w:rsidP="006C4125">
            <w:pPr>
              <w:ind w:firstLineChars="200" w:firstLine="400"/>
              <w:jc w:val="left"/>
              <w:rPr>
                <w:rFonts w:eastAsia="Times New Roman"/>
                <w:color w:val="000000"/>
                <w:sz w:val="20"/>
                <w:szCs w:val="20"/>
                <w:lang w:eastAsia="ru-RU"/>
              </w:rPr>
            </w:pPr>
            <w:proofErr w:type="gramStart"/>
            <w:r w:rsidRPr="004761E0">
              <w:rPr>
                <w:rFonts w:eastAsia="Times New Roman"/>
                <w:color w:val="000000"/>
                <w:sz w:val="20"/>
                <w:szCs w:val="20"/>
                <w:lang w:eastAsia="ru-RU"/>
              </w:rPr>
              <w:t>ВЛ</w:t>
            </w:r>
            <w:proofErr w:type="gramEnd"/>
            <w:r w:rsidRPr="004761E0">
              <w:rPr>
                <w:rFonts w:eastAsia="Times New Roman"/>
                <w:color w:val="000000"/>
                <w:sz w:val="20"/>
                <w:szCs w:val="20"/>
                <w:lang w:eastAsia="ru-RU"/>
              </w:rPr>
              <w:t xml:space="preserve"> 35 кВ</w:t>
            </w:r>
          </w:p>
        </w:tc>
        <w:tc>
          <w:tcPr>
            <w:tcW w:w="1606" w:type="dxa"/>
            <w:vAlign w:val="center"/>
            <w:hideMark/>
          </w:tcPr>
          <w:p w:rsidR="00086514" w:rsidRPr="004761E0" w:rsidRDefault="00086514" w:rsidP="00086514">
            <w:pPr>
              <w:ind w:firstLine="0"/>
              <w:jc w:val="right"/>
              <w:rPr>
                <w:sz w:val="20"/>
                <w:szCs w:val="20"/>
              </w:rPr>
            </w:pPr>
            <w:r w:rsidRPr="004761E0">
              <w:rPr>
                <w:sz w:val="20"/>
                <w:szCs w:val="20"/>
              </w:rPr>
              <w:t>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331"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484"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429"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0,00</w:t>
            </w:r>
          </w:p>
        </w:tc>
      </w:tr>
      <w:tr w:rsidR="00086514" w:rsidRPr="004761E0" w:rsidTr="00316FF1">
        <w:trPr>
          <w:trHeight w:val="300"/>
        </w:trPr>
        <w:tc>
          <w:tcPr>
            <w:tcW w:w="668" w:type="dxa"/>
          </w:tcPr>
          <w:p w:rsidR="00086514" w:rsidRPr="004761E0" w:rsidRDefault="00086514" w:rsidP="007076A7">
            <w:pPr>
              <w:pStyle w:val="a5"/>
              <w:numPr>
                <w:ilvl w:val="1"/>
                <w:numId w:val="193"/>
              </w:numPr>
              <w:tabs>
                <w:tab w:val="left" w:pos="167"/>
              </w:tabs>
              <w:ind w:left="0" w:firstLine="0"/>
              <w:contextualSpacing w:val="0"/>
              <w:jc w:val="left"/>
              <w:rPr>
                <w:rFonts w:eastAsia="Times New Roman"/>
                <w:color w:val="000000"/>
                <w:sz w:val="20"/>
                <w:szCs w:val="20"/>
                <w:lang w:eastAsia="ru-RU"/>
              </w:rPr>
            </w:pPr>
          </w:p>
        </w:tc>
        <w:tc>
          <w:tcPr>
            <w:tcW w:w="6732" w:type="dxa"/>
            <w:vAlign w:val="center"/>
            <w:hideMark/>
          </w:tcPr>
          <w:p w:rsidR="00086514" w:rsidRPr="004761E0" w:rsidRDefault="00086514" w:rsidP="006C4125">
            <w:pPr>
              <w:ind w:firstLineChars="200" w:firstLine="400"/>
              <w:jc w:val="left"/>
              <w:rPr>
                <w:rFonts w:eastAsia="Times New Roman"/>
                <w:color w:val="000000"/>
                <w:sz w:val="20"/>
                <w:szCs w:val="20"/>
                <w:lang w:eastAsia="ru-RU"/>
              </w:rPr>
            </w:pPr>
            <w:proofErr w:type="gramStart"/>
            <w:r w:rsidRPr="004761E0">
              <w:rPr>
                <w:rFonts w:eastAsia="Times New Roman"/>
                <w:color w:val="000000"/>
                <w:sz w:val="20"/>
                <w:szCs w:val="20"/>
                <w:lang w:eastAsia="ru-RU"/>
              </w:rPr>
              <w:t>ВЛ</w:t>
            </w:r>
            <w:proofErr w:type="gramEnd"/>
            <w:r w:rsidRPr="004761E0">
              <w:rPr>
                <w:rFonts w:eastAsia="Times New Roman"/>
                <w:color w:val="000000"/>
                <w:sz w:val="20"/>
                <w:szCs w:val="20"/>
                <w:lang w:eastAsia="ru-RU"/>
              </w:rPr>
              <w:t xml:space="preserve"> 10 кВ и ниже</w:t>
            </w:r>
          </w:p>
        </w:tc>
        <w:tc>
          <w:tcPr>
            <w:tcW w:w="1606" w:type="dxa"/>
            <w:vAlign w:val="center"/>
            <w:hideMark/>
          </w:tcPr>
          <w:p w:rsidR="00086514" w:rsidRPr="004761E0" w:rsidRDefault="00086514" w:rsidP="00086514">
            <w:pPr>
              <w:ind w:firstLine="0"/>
              <w:jc w:val="right"/>
              <w:rPr>
                <w:sz w:val="20"/>
                <w:szCs w:val="20"/>
              </w:rPr>
            </w:pPr>
            <w:r w:rsidRPr="004761E0">
              <w:rPr>
                <w:sz w:val="20"/>
                <w:szCs w:val="20"/>
              </w:rPr>
              <w:t>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0,02</w:t>
            </w:r>
          </w:p>
        </w:tc>
        <w:tc>
          <w:tcPr>
            <w:tcW w:w="1331"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484"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429"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0,02</w:t>
            </w:r>
          </w:p>
        </w:tc>
      </w:tr>
      <w:tr w:rsidR="00086514" w:rsidRPr="004761E0" w:rsidTr="00316FF1">
        <w:trPr>
          <w:trHeight w:val="300"/>
        </w:trPr>
        <w:tc>
          <w:tcPr>
            <w:tcW w:w="668" w:type="dxa"/>
          </w:tcPr>
          <w:p w:rsidR="00086514" w:rsidRPr="004761E0" w:rsidRDefault="00086514" w:rsidP="007076A7">
            <w:pPr>
              <w:pStyle w:val="a5"/>
              <w:numPr>
                <w:ilvl w:val="1"/>
                <w:numId w:val="193"/>
              </w:numPr>
              <w:tabs>
                <w:tab w:val="left" w:pos="167"/>
              </w:tabs>
              <w:ind w:left="0" w:firstLine="0"/>
              <w:contextualSpacing w:val="0"/>
              <w:jc w:val="left"/>
              <w:rPr>
                <w:rFonts w:eastAsia="Times New Roman"/>
                <w:color w:val="000000"/>
                <w:sz w:val="20"/>
                <w:szCs w:val="20"/>
                <w:lang w:eastAsia="ru-RU"/>
              </w:rPr>
            </w:pPr>
          </w:p>
        </w:tc>
        <w:tc>
          <w:tcPr>
            <w:tcW w:w="6732" w:type="dxa"/>
            <w:vAlign w:val="center"/>
            <w:hideMark/>
          </w:tcPr>
          <w:p w:rsidR="00086514" w:rsidRPr="004761E0" w:rsidRDefault="00086514" w:rsidP="006C4125">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ПС 220 кВ и выше</w:t>
            </w:r>
          </w:p>
        </w:tc>
        <w:tc>
          <w:tcPr>
            <w:tcW w:w="1606" w:type="dxa"/>
            <w:vAlign w:val="center"/>
            <w:hideMark/>
          </w:tcPr>
          <w:p w:rsidR="00086514" w:rsidRPr="004761E0" w:rsidRDefault="00086514" w:rsidP="00086514">
            <w:pPr>
              <w:ind w:firstLine="0"/>
              <w:jc w:val="right"/>
              <w:rPr>
                <w:sz w:val="20"/>
                <w:szCs w:val="20"/>
              </w:rPr>
            </w:pPr>
            <w:r w:rsidRPr="004761E0">
              <w:rPr>
                <w:sz w:val="20"/>
                <w:szCs w:val="20"/>
              </w:rPr>
              <w:t>1</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1,60</w:t>
            </w:r>
          </w:p>
        </w:tc>
        <w:tc>
          <w:tcPr>
            <w:tcW w:w="1331"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484"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429"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1,60</w:t>
            </w:r>
          </w:p>
        </w:tc>
      </w:tr>
      <w:tr w:rsidR="00086514" w:rsidRPr="004761E0" w:rsidTr="00316FF1">
        <w:trPr>
          <w:trHeight w:val="300"/>
        </w:trPr>
        <w:tc>
          <w:tcPr>
            <w:tcW w:w="668" w:type="dxa"/>
          </w:tcPr>
          <w:p w:rsidR="00086514" w:rsidRPr="004761E0" w:rsidRDefault="00086514" w:rsidP="007076A7">
            <w:pPr>
              <w:pStyle w:val="a5"/>
              <w:numPr>
                <w:ilvl w:val="1"/>
                <w:numId w:val="193"/>
              </w:numPr>
              <w:tabs>
                <w:tab w:val="left" w:pos="167"/>
              </w:tabs>
              <w:ind w:left="0" w:firstLine="0"/>
              <w:contextualSpacing w:val="0"/>
              <w:jc w:val="left"/>
              <w:rPr>
                <w:rFonts w:eastAsia="Times New Roman"/>
                <w:color w:val="000000"/>
                <w:sz w:val="20"/>
                <w:szCs w:val="20"/>
                <w:lang w:eastAsia="ru-RU"/>
              </w:rPr>
            </w:pPr>
          </w:p>
        </w:tc>
        <w:tc>
          <w:tcPr>
            <w:tcW w:w="6732" w:type="dxa"/>
            <w:vAlign w:val="center"/>
            <w:hideMark/>
          </w:tcPr>
          <w:p w:rsidR="00086514" w:rsidRPr="004761E0" w:rsidRDefault="00086514" w:rsidP="006C4125">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ПС 110 кВ</w:t>
            </w:r>
          </w:p>
        </w:tc>
        <w:tc>
          <w:tcPr>
            <w:tcW w:w="1606" w:type="dxa"/>
            <w:vAlign w:val="center"/>
            <w:hideMark/>
          </w:tcPr>
          <w:p w:rsidR="00086514" w:rsidRPr="004761E0" w:rsidRDefault="00086514" w:rsidP="00086514">
            <w:pPr>
              <w:ind w:firstLine="0"/>
              <w:jc w:val="right"/>
              <w:rPr>
                <w:sz w:val="20"/>
                <w:szCs w:val="20"/>
              </w:rPr>
            </w:pPr>
            <w:r w:rsidRPr="004761E0">
              <w:rPr>
                <w:sz w:val="20"/>
                <w:szCs w:val="20"/>
              </w:rPr>
              <w:t>5</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351,68</w:t>
            </w:r>
          </w:p>
        </w:tc>
        <w:tc>
          <w:tcPr>
            <w:tcW w:w="1331"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484" w:type="dxa"/>
            <w:vAlign w:val="center"/>
            <w:hideMark/>
          </w:tcPr>
          <w:p w:rsidR="00086514" w:rsidRPr="004761E0" w:rsidRDefault="00086514" w:rsidP="00086514">
            <w:pPr>
              <w:ind w:firstLine="0"/>
              <w:jc w:val="right"/>
              <w:rPr>
                <w:bCs/>
                <w:sz w:val="20"/>
                <w:szCs w:val="20"/>
              </w:rPr>
            </w:pPr>
            <w:r w:rsidRPr="004761E0">
              <w:rPr>
                <w:bCs/>
                <w:sz w:val="20"/>
                <w:szCs w:val="20"/>
              </w:rPr>
              <w:t>1,51</w:t>
            </w:r>
          </w:p>
        </w:tc>
        <w:tc>
          <w:tcPr>
            <w:tcW w:w="1429"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350,17</w:t>
            </w:r>
          </w:p>
        </w:tc>
      </w:tr>
      <w:tr w:rsidR="00086514" w:rsidRPr="004761E0" w:rsidTr="00316FF1">
        <w:trPr>
          <w:trHeight w:val="300"/>
        </w:trPr>
        <w:tc>
          <w:tcPr>
            <w:tcW w:w="668" w:type="dxa"/>
          </w:tcPr>
          <w:p w:rsidR="00086514" w:rsidRPr="004761E0" w:rsidRDefault="00086514" w:rsidP="007076A7">
            <w:pPr>
              <w:pStyle w:val="a5"/>
              <w:numPr>
                <w:ilvl w:val="1"/>
                <w:numId w:val="193"/>
              </w:numPr>
              <w:tabs>
                <w:tab w:val="left" w:pos="167"/>
              </w:tabs>
              <w:ind w:left="0" w:firstLine="0"/>
              <w:contextualSpacing w:val="0"/>
              <w:jc w:val="left"/>
              <w:rPr>
                <w:rFonts w:eastAsia="Times New Roman"/>
                <w:color w:val="000000"/>
                <w:sz w:val="20"/>
                <w:szCs w:val="20"/>
                <w:lang w:eastAsia="ru-RU"/>
              </w:rPr>
            </w:pPr>
          </w:p>
        </w:tc>
        <w:tc>
          <w:tcPr>
            <w:tcW w:w="6732" w:type="dxa"/>
            <w:vAlign w:val="center"/>
            <w:hideMark/>
          </w:tcPr>
          <w:p w:rsidR="00086514" w:rsidRPr="004761E0" w:rsidRDefault="00086514" w:rsidP="006C4125">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ПС 35 кВ</w:t>
            </w:r>
          </w:p>
        </w:tc>
        <w:tc>
          <w:tcPr>
            <w:tcW w:w="1606" w:type="dxa"/>
            <w:vAlign w:val="center"/>
            <w:hideMark/>
          </w:tcPr>
          <w:p w:rsidR="00086514" w:rsidRPr="004761E0" w:rsidRDefault="00086514" w:rsidP="00086514">
            <w:pPr>
              <w:ind w:firstLine="0"/>
              <w:jc w:val="right"/>
              <w:rPr>
                <w:sz w:val="20"/>
                <w:szCs w:val="20"/>
              </w:rPr>
            </w:pPr>
            <w:r w:rsidRPr="004761E0">
              <w:rPr>
                <w:sz w:val="20"/>
                <w:szCs w:val="20"/>
              </w:rPr>
              <w:t>1</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0,06</w:t>
            </w:r>
          </w:p>
        </w:tc>
        <w:tc>
          <w:tcPr>
            <w:tcW w:w="1331"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484"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429"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0,06</w:t>
            </w:r>
          </w:p>
        </w:tc>
      </w:tr>
      <w:tr w:rsidR="00086514" w:rsidRPr="004761E0" w:rsidTr="00316FF1">
        <w:trPr>
          <w:trHeight w:val="300"/>
        </w:trPr>
        <w:tc>
          <w:tcPr>
            <w:tcW w:w="668" w:type="dxa"/>
          </w:tcPr>
          <w:p w:rsidR="00086514" w:rsidRPr="004761E0" w:rsidRDefault="00086514" w:rsidP="007076A7">
            <w:pPr>
              <w:pStyle w:val="a5"/>
              <w:numPr>
                <w:ilvl w:val="1"/>
                <w:numId w:val="193"/>
              </w:numPr>
              <w:tabs>
                <w:tab w:val="left" w:pos="167"/>
              </w:tabs>
              <w:ind w:left="0" w:firstLine="0"/>
              <w:contextualSpacing w:val="0"/>
              <w:jc w:val="left"/>
              <w:rPr>
                <w:rFonts w:eastAsia="Times New Roman"/>
                <w:color w:val="000000"/>
                <w:sz w:val="20"/>
                <w:szCs w:val="20"/>
                <w:lang w:eastAsia="ru-RU"/>
              </w:rPr>
            </w:pPr>
          </w:p>
        </w:tc>
        <w:tc>
          <w:tcPr>
            <w:tcW w:w="6732" w:type="dxa"/>
            <w:vAlign w:val="center"/>
            <w:hideMark/>
          </w:tcPr>
          <w:p w:rsidR="00086514" w:rsidRPr="004761E0" w:rsidRDefault="00086514" w:rsidP="006C4125">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ПС 10 кВ и ниже</w:t>
            </w:r>
          </w:p>
        </w:tc>
        <w:tc>
          <w:tcPr>
            <w:tcW w:w="1606" w:type="dxa"/>
            <w:vAlign w:val="center"/>
            <w:hideMark/>
          </w:tcPr>
          <w:p w:rsidR="00086514" w:rsidRPr="004761E0" w:rsidRDefault="00086514" w:rsidP="00086514">
            <w:pPr>
              <w:ind w:firstLine="0"/>
              <w:jc w:val="right"/>
              <w:rPr>
                <w:sz w:val="20"/>
                <w:szCs w:val="20"/>
              </w:rPr>
            </w:pPr>
            <w:r w:rsidRPr="004761E0">
              <w:rPr>
                <w:sz w:val="20"/>
                <w:szCs w:val="20"/>
              </w:rPr>
              <w:t>38</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36,58</w:t>
            </w:r>
          </w:p>
        </w:tc>
        <w:tc>
          <w:tcPr>
            <w:tcW w:w="1331"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484"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429"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36,58</w:t>
            </w:r>
          </w:p>
        </w:tc>
      </w:tr>
      <w:tr w:rsidR="00086514" w:rsidRPr="004761E0" w:rsidTr="00316FF1">
        <w:trPr>
          <w:trHeight w:val="300"/>
        </w:trPr>
        <w:tc>
          <w:tcPr>
            <w:tcW w:w="668" w:type="dxa"/>
          </w:tcPr>
          <w:p w:rsidR="00086514" w:rsidRPr="004761E0" w:rsidRDefault="00086514" w:rsidP="007076A7">
            <w:pPr>
              <w:pStyle w:val="a5"/>
              <w:numPr>
                <w:ilvl w:val="1"/>
                <w:numId w:val="193"/>
              </w:numPr>
              <w:tabs>
                <w:tab w:val="left" w:pos="167"/>
              </w:tabs>
              <w:ind w:left="0" w:firstLine="0"/>
              <w:contextualSpacing w:val="0"/>
              <w:jc w:val="left"/>
              <w:rPr>
                <w:rFonts w:eastAsia="Times New Roman"/>
                <w:color w:val="000000"/>
                <w:sz w:val="20"/>
                <w:szCs w:val="20"/>
                <w:lang w:eastAsia="ru-RU"/>
              </w:rPr>
            </w:pPr>
          </w:p>
        </w:tc>
        <w:tc>
          <w:tcPr>
            <w:tcW w:w="6732" w:type="dxa"/>
            <w:vAlign w:val="center"/>
            <w:hideMark/>
          </w:tcPr>
          <w:p w:rsidR="00086514" w:rsidRPr="004761E0" w:rsidRDefault="00086514" w:rsidP="006C4125">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КЛ (все классы напряжения)</w:t>
            </w:r>
          </w:p>
        </w:tc>
        <w:tc>
          <w:tcPr>
            <w:tcW w:w="1606" w:type="dxa"/>
            <w:vAlign w:val="center"/>
            <w:hideMark/>
          </w:tcPr>
          <w:p w:rsidR="00086514" w:rsidRPr="004761E0" w:rsidRDefault="00086514" w:rsidP="00086514">
            <w:pPr>
              <w:ind w:firstLine="0"/>
              <w:jc w:val="right"/>
              <w:rPr>
                <w:sz w:val="20"/>
                <w:szCs w:val="20"/>
              </w:rPr>
            </w:pPr>
            <w:r w:rsidRPr="004761E0">
              <w:rPr>
                <w:sz w:val="20"/>
                <w:szCs w:val="20"/>
              </w:rPr>
              <w:t>10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163,88</w:t>
            </w:r>
          </w:p>
        </w:tc>
        <w:tc>
          <w:tcPr>
            <w:tcW w:w="1331"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484"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429"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163,88</w:t>
            </w:r>
          </w:p>
        </w:tc>
      </w:tr>
      <w:tr w:rsidR="00086514" w:rsidRPr="004761E0" w:rsidTr="00316FF1">
        <w:trPr>
          <w:trHeight w:val="300"/>
        </w:trPr>
        <w:tc>
          <w:tcPr>
            <w:tcW w:w="668" w:type="dxa"/>
          </w:tcPr>
          <w:p w:rsidR="00086514" w:rsidRPr="004761E0" w:rsidRDefault="00086514" w:rsidP="007076A7">
            <w:pPr>
              <w:pStyle w:val="a5"/>
              <w:numPr>
                <w:ilvl w:val="1"/>
                <w:numId w:val="193"/>
              </w:numPr>
              <w:tabs>
                <w:tab w:val="left" w:pos="167"/>
              </w:tabs>
              <w:ind w:left="0" w:firstLine="0"/>
              <w:contextualSpacing w:val="0"/>
              <w:jc w:val="left"/>
              <w:rPr>
                <w:rFonts w:eastAsia="Times New Roman"/>
                <w:color w:val="000000"/>
                <w:sz w:val="20"/>
                <w:szCs w:val="20"/>
                <w:lang w:eastAsia="ru-RU"/>
              </w:rPr>
            </w:pPr>
          </w:p>
        </w:tc>
        <w:tc>
          <w:tcPr>
            <w:tcW w:w="6732" w:type="dxa"/>
            <w:vAlign w:val="center"/>
            <w:hideMark/>
          </w:tcPr>
          <w:p w:rsidR="00086514" w:rsidRPr="004761E0" w:rsidRDefault="00086514" w:rsidP="006C4125">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иные арендуемые активы, предназначенные для обеспечения электрических связей</w:t>
            </w:r>
          </w:p>
        </w:tc>
        <w:tc>
          <w:tcPr>
            <w:tcW w:w="1606" w:type="dxa"/>
            <w:vAlign w:val="center"/>
            <w:hideMark/>
          </w:tcPr>
          <w:p w:rsidR="00086514" w:rsidRPr="004761E0" w:rsidRDefault="00086514" w:rsidP="00086514">
            <w:pPr>
              <w:ind w:firstLine="0"/>
              <w:jc w:val="right"/>
              <w:rPr>
                <w:sz w:val="20"/>
                <w:szCs w:val="20"/>
              </w:rPr>
            </w:pPr>
            <w:r w:rsidRPr="004761E0">
              <w:rPr>
                <w:sz w:val="20"/>
                <w:szCs w:val="20"/>
              </w:rPr>
              <w:t>152</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735,55</w:t>
            </w:r>
          </w:p>
        </w:tc>
        <w:tc>
          <w:tcPr>
            <w:tcW w:w="1331" w:type="dxa"/>
            <w:vAlign w:val="center"/>
            <w:hideMark/>
          </w:tcPr>
          <w:p w:rsidR="00086514" w:rsidRPr="004761E0" w:rsidRDefault="00086514" w:rsidP="00086514">
            <w:pPr>
              <w:ind w:firstLine="0"/>
              <w:jc w:val="right"/>
              <w:rPr>
                <w:bCs/>
                <w:sz w:val="20"/>
                <w:szCs w:val="20"/>
              </w:rPr>
            </w:pPr>
            <w:r w:rsidRPr="004761E0">
              <w:rPr>
                <w:bCs/>
                <w:sz w:val="20"/>
                <w:szCs w:val="20"/>
              </w:rPr>
              <w:t>92,43</w:t>
            </w:r>
          </w:p>
        </w:tc>
        <w:tc>
          <w:tcPr>
            <w:tcW w:w="1484" w:type="dxa"/>
            <w:vAlign w:val="center"/>
            <w:hideMark/>
          </w:tcPr>
          <w:p w:rsidR="00086514" w:rsidRPr="004761E0" w:rsidRDefault="00086514" w:rsidP="00086514">
            <w:pPr>
              <w:ind w:firstLine="0"/>
              <w:jc w:val="right"/>
              <w:rPr>
                <w:bCs/>
                <w:sz w:val="20"/>
                <w:szCs w:val="20"/>
              </w:rPr>
            </w:pPr>
            <w:r w:rsidRPr="004761E0">
              <w:rPr>
                <w:bCs/>
                <w:sz w:val="20"/>
                <w:szCs w:val="20"/>
              </w:rPr>
              <w:t>122,61</w:t>
            </w:r>
          </w:p>
        </w:tc>
        <w:tc>
          <w:tcPr>
            <w:tcW w:w="1429"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705,37</w:t>
            </w:r>
          </w:p>
        </w:tc>
      </w:tr>
      <w:tr w:rsidR="00086514" w:rsidRPr="004761E0" w:rsidTr="00316FF1">
        <w:trPr>
          <w:trHeight w:val="300"/>
        </w:trPr>
        <w:tc>
          <w:tcPr>
            <w:tcW w:w="668" w:type="dxa"/>
          </w:tcPr>
          <w:p w:rsidR="00086514" w:rsidRPr="004761E0" w:rsidRDefault="00086514" w:rsidP="007076A7">
            <w:pPr>
              <w:pStyle w:val="a5"/>
              <w:numPr>
                <w:ilvl w:val="0"/>
                <w:numId w:val="193"/>
              </w:numPr>
              <w:tabs>
                <w:tab w:val="left" w:pos="251"/>
              </w:tabs>
              <w:ind w:left="0" w:firstLine="0"/>
              <w:contextualSpacing w:val="0"/>
              <w:jc w:val="left"/>
              <w:rPr>
                <w:rFonts w:eastAsia="Times New Roman"/>
                <w:b/>
                <w:bCs/>
                <w:color w:val="000000"/>
                <w:sz w:val="20"/>
                <w:szCs w:val="20"/>
                <w:lang w:eastAsia="ru-RU"/>
              </w:rPr>
            </w:pPr>
          </w:p>
        </w:tc>
        <w:tc>
          <w:tcPr>
            <w:tcW w:w="6732" w:type="dxa"/>
            <w:vAlign w:val="center"/>
            <w:hideMark/>
          </w:tcPr>
          <w:p w:rsidR="00086514" w:rsidRPr="004761E0" w:rsidRDefault="00086514" w:rsidP="006C4125">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Прочие арендуемые активы (всего), в т.ч.:</w:t>
            </w:r>
          </w:p>
        </w:tc>
        <w:tc>
          <w:tcPr>
            <w:tcW w:w="1606" w:type="dxa"/>
            <w:vAlign w:val="center"/>
            <w:hideMark/>
          </w:tcPr>
          <w:p w:rsidR="00086514" w:rsidRPr="004761E0" w:rsidRDefault="00086514" w:rsidP="00086514">
            <w:pPr>
              <w:ind w:firstLine="0"/>
              <w:jc w:val="right"/>
              <w:rPr>
                <w:b/>
                <w:bCs/>
                <w:sz w:val="20"/>
                <w:szCs w:val="20"/>
              </w:rPr>
            </w:pPr>
            <w:r w:rsidRPr="004761E0">
              <w:rPr>
                <w:b/>
                <w:bCs/>
                <w:sz w:val="20"/>
                <w:szCs w:val="20"/>
              </w:rPr>
              <w:t>0</w:t>
            </w:r>
          </w:p>
        </w:tc>
        <w:tc>
          <w:tcPr>
            <w:tcW w:w="1371" w:type="dxa"/>
            <w:vAlign w:val="center"/>
            <w:hideMark/>
          </w:tcPr>
          <w:p w:rsidR="00086514" w:rsidRPr="004761E0" w:rsidRDefault="00086514" w:rsidP="00086514">
            <w:pPr>
              <w:ind w:firstLine="0"/>
              <w:jc w:val="right"/>
              <w:rPr>
                <w:b/>
                <w:bCs/>
                <w:sz w:val="20"/>
                <w:szCs w:val="20"/>
              </w:rPr>
            </w:pPr>
            <w:r w:rsidRPr="004761E0">
              <w:rPr>
                <w:b/>
                <w:bCs/>
                <w:sz w:val="20"/>
                <w:szCs w:val="20"/>
              </w:rPr>
              <w:t>6 892,92</w:t>
            </w:r>
          </w:p>
        </w:tc>
        <w:tc>
          <w:tcPr>
            <w:tcW w:w="1331" w:type="dxa"/>
            <w:vAlign w:val="center"/>
            <w:hideMark/>
          </w:tcPr>
          <w:p w:rsidR="00086514" w:rsidRPr="004761E0" w:rsidRDefault="00086514" w:rsidP="00086514">
            <w:pPr>
              <w:ind w:firstLine="0"/>
              <w:jc w:val="right"/>
              <w:rPr>
                <w:b/>
                <w:bCs/>
                <w:sz w:val="20"/>
                <w:szCs w:val="20"/>
              </w:rPr>
            </w:pPr>
            <w:r w:rsidRPr="004761E0">
              <w:rPr>
                <w:b/>
                <w:bCs/>
                <w:sz w:val="20"/>
                <w:szCs w:val="20"/>
              </w:rPr>
              <w:t>1 320,97</w:t>
            </w:r>
          </w:p>
        </w:tc>
        <w:tc>
          <w:tcPr>
            <w:tcW w:w="1484" w:type="dxa"/>
            <w:vAlign w:val="center"/>
            <w:hideMark/>
          </w:tcPr>
          <w:p w:rsidR="00086514" w:rsidRPr="004761E0" w:rsidRDefault="00086514" w:rsidP="00086514">
            <w:pPr>
              <w:ind w:firstLine="0"/>
              <w:jc w:val="right"/>
              <w:rPr>
                <w:b/>
                <w:bCs/>
                <w:sz w:val="20"/>
                <w:szCs w:val="20"/>
              </w:rPr>
            </w:pPr>
            <w:r w:rsidRPr="004761E0">
              <w:rPr>
                <w:b/>
                <w:bCs/>
                <w:sz w:val="20"/>
                <w:szCs w:val="20"/>
              </w:rPr>
              <w:t>28,20</w:t>
            </w:r>
          </w:p>
        </w:tc>
        <w:tc>
          <w:tcPr>
            <w:tcW w:w="1429" w:type="dxa"/>
            <w:vAlign w:val="center"/>
            <w:hideMark/>
          </w:tcPr>
          <w:p w:rsidR="00086514" w:rsidRPr="004761E0" w:rsidRDefault="00086514" w:rsidP="00086514">
            <w:pPr>
              <w:ind w:firstLine="0"/>
              <w:jc w:val="right"/>
              <w:rPr>
                <w:b/>
                <w:bCs/>
                <w:sz w:val="20"/>
                <w:szCs w:val="20"/>
              </w:rPr>
            </w:pPr>
            <w:r w:rsidRPr="004761E0">
              <w:rPr>
                <w:b/>
                <w:bCs/>
                <w:sz w:val="20"/>
                <w:szCs w:val="20"/>
              </w:rPr>
              <w:t>0,00</w:t>
            </w:r>
          </w:p>
        </w:tc>
        <w:tc>
          <w:tcPr>
            <w:tcW w:w="1371" w:type="dxa"/>
            <w:vAlign w:val="center"/>
            <w:hideMark/>
          </w:tcPr>
          <w:p w:rsidR="00086514" w:rsidRPr="004761E0" w:rsidRDefault="00086514" w:rsidP="00086514">
            <w:pPr>
              <w:ind w:firstLine="0"/>
              <w:jc w:val="right"/>
              <w:rPr>
                <w:b/>
                <w:bCs/>
                <w:sz w:val="20"/>
                <w:szCs w:val="20"/>
              </w:rPr>
            </w:pPr>
            <w:r w:rsidRPr="004761E0">
              <w:rPr>
                <w:b/>
                <w:bCs/>
                <w:sz w:val="20"/>
                <w:szCs w:val="20"/>
              </w:rPr>
              <w:t>8 185,68</w:t>
            </w:r>
          </w:p>
        </w:tc>
      </w:tr>
      <w:tr w:rsidR="00086514" w:rsidRPr="004761E0" w:rsidTr="00316FF1">
        <w:trPr>
          <w:trHeight w:val="300"/>
        </w:trPr>
        <w:tc>
          <w:tcPr>
            <w:tcW w:w="668" w:type="dxa"/>
          </w:tcPr>
          <w:p w:rsidR="00086514" w:rsidRPr="004761E0" w:rsidRDefault="00086514" w:rsidP="007076A7">
            <w:pPr>
              <w:pStyle w:val="a5"/>
              <w:numPr>
                <w:ilvl w:val="1"/>
                <w:numId w:val="193"/>
              </w:numPr>
              <w:tabs>
                <w:tab w:val="left" w:pos="167"/>
              </w:tabs>
              <w:ind w:left="0" w:firstLine="0"/>
              <w:contextualSpacing w:val="0"/>
              <w:jc w:val="left"/>
              <w:rPr>
                <w:rFonts w:eastAsia="Times New Roman"/>
                <w:color w:val="000000"/>
                <w:sz w:val="20"/>
                <w:szCs w:val="20"/>
                <w:lang w:eastAsia="ru-RU"/>
              </w:rPr>
            </w:pPr>
          </w:p>
        </w:tc>
        <w:tc>
          <w:tcPr>
            <w:tcW w:w="6732" w:type="dxa"/>
            <w:vAlign w:val="center"/>
            <w:hideMark/>
          </w:tcPr>
          <w:p w:rsidR="00086514" w:rsidRPr="004761E0" w:rsidRDefault="00086514" w:rsidP="006C4125">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земельные участки</w:t>
            </w:r>
          </w:p>
        </w:tc>
        <w:tc>
          <w:tcPr>
            <w:tcW w:w="1606" w:type="dxa"/>
            <w:vAlign w:val="center"/>
            <w:hideMark/>
          </w:tcPr>
          <w:p w:rsidR="00086514" w:rsidRPr="004761E0" w:rsidRDefault="00086514" w:rsidP="00086514">
            <w:pPr>
              <w:ind w:firstLine="0"/>
              <w:jc w:val="right"/>
              <w:rPr>
                <w:sz w:val="20"/>
                <w:szCs w:val="20"/>
              </w:rPr>
            </w:pPr>
            <w:r w:rsidRPr="004761E0">
              <w:rPr>
                <w:sz w:val="20"/>
                <w:szCs w:val="20"/>
              </w:rPr>
              <w:t>16 944</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6 892,92</w:t>
            </w:r>
          </w:p>
        </w:tc>
        <w:tc>
          <w:tcPr>
            <w:tcW w:w="1331" w:type="dxa"/>
            <w:vAlign w:val="center"/>
            <w:hideMark/>
          </w:tcPr>
          <w:p w:rsidR="00086514" w:rsidRPr="004761E0" w:rsidRDefault="00086514" w:rsidP="00086514">
            <w:pPr>
              <w:ind w:firstLine="0"/>
              <w:jc w:val="right"/>
              <w:rPr>
                <w:bCs/>
                <w:sz w:val="20"/>
                <w:szCs w:val="20"/>
              </w:rPr>
            </w:pPr>
            <w:r w:rsidRPr="004761E0">
              <w:rPr>
                <w:bCs/>
                <w:sz w:val="20"/>
                <w:szCs w:val="20"/>
              </w:rPr>
              <w:t>1 320,97</w:t>
            </w:r>
          </w:p>
        </w:tc>
        <w:tc>
          <w:tcPr>
            <w:tcW w:w="1484" w:type="dxa"/>
            <w:vAlign w:val="center"/>
            <w:hideMark/>
          </w:tcPr>
          <w:p w:rsidR="00086514" w:rsidRPr="004761E0" w:rsidRDefault="00086514" w:rsidP="00086514">
            <w:pPr>
              <w:ind w:firstLine="0"/>
              <w:jc w:val="right"/>
              <w:rPr>
                <w:bCs/>
                <w:sz w:val="20"/>
                <w:szCs w:val="20"/>
              </w:rPr>
            </w:pPr>
            <w:r w:rsidRPr="004761E0">
              <w:rPr>
                <w:bCs/>
                <w:sz w:val="20"/>
                <w:szCs w:val="20"/>
              </w:rPr>
              <w:t>28,20</w:t>
            </w:r>
          </w:p>
        </w:tc>
        <w:tc>
          <w:tcPr>
            <w:tcW w:w="1429"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8 185,68</w:t>
            </w:r>
          </w:p>
        </w:tc>
      </w:tr>
      <w:tr w:rsidR="00086514" w:rsidRPr="004761E0" w:rsidTr="00316FF1">
        <w:trPr>
          <w:trHeight w:val="300"/>
        </w:trPr>
        <w:tc>
          <w:tcPr>
            <w:tcW w:w="668" w:type="dxa"/>
          </w:tcPr>
          <w:p w:rsidR="00086514" w:rsidRPr="004761E0" w:rsidRDefault="00086514" w:rsidP="007076A7">
            <w:pPr>
              <w:pStyle w:val="a5"/>
              <w:numPr>
                <w:ilvl w:val="0"/>
                <w:numId w:val="193"/>
              </w:numPr>
              <w:tabs>
                <w:tab w:val="left" w:pos="251"/>
              </w:tabs>
              <w:ind w:left="0" w:firstLine="0"/>
              <w:contextualSpacing w:val="0"/>
              <w:jc w:val="left"/>
              <w:rPr>
                <w:rFonts w:eastAsia="Times New Roman"/>
                <w:b/>
                <w:bCs/>
                <w:color w:val="000000"/>
                <w:sz w:val="20"/>
                <w:szCs w:val="20"/>
                <w:lang w:eastAsia="ru-RU"/>
              </w:rPr>
            </w:pPr>
          </w:p>
        </w:tc>
        <w:tc>
          <w:tcPr>
            <w:tcW w:w="6732" w:type="dxa"/>
            <w:vAlign w:val="center"/>
            <w:hideMark/>
          </w:tcPr>
          <w:p w:rsidR="00086514" w:rsidRPr="004761E0" w:rsidRDefault="00086514" w:rsidP="006C4125">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Активы, используемые по договорам лизинга, относящиеся к объектам электросетевого хозяйства (всего), в т.ч.:</w:t>
            </w:r>
          </w:p>
        </w:tc>
        <w:tc>
          <w:tcPr>
            <w:tcW w:w="1606" w:type="dxa"/>
            <w:vAlign w:val="center"/>
            <w:hideMark/>
          </w:tcPr>
          <w:p w:rsidR="00086514" w:rsidRPr="004761E0" w:rsidRDefault="00086514" w:rsidP="00086514">
            <w:pPr>
              <w:ind w:firstLine="0"/>
              <w:jc w:val="right"/>
              <w:rPr>
                <w:b/>
                <w:sz w:val="20"/>
                <w:szCs w:val="20"/>
              </w:rPr>
            </w:pPr>
            <w:r w:rsidRPr="004761E0">
              <w:rPr>
                <w:b/>
                <w:sz w:val="20"/>
                <w:szCs w:val="20"/>
              </w:rPr>
              <w:t>1</w:t>
            </w:r>
          </w:p>
        </w:tc>
        <w:tc>
          <w:tcPr>
            <w:tcW w:w="1371" w:type="dxa"/>
            <w:vAlign w:val="center"/>
            <w:hideMark/>
          </w:tcPr>
          <w:p w:rsidR="00086514" w:rsidRPr="004761E0" w:rsidRDefault="00086514" w:rsidP="00086514">
            <w:pPr>
              <w:ind w:firstLine="0"/>
              <w:jc w:val="right"/>
              <w:rPr>
                <w:b/>
                <w:bCs/>
                <w:sz w:val="20"/>
                <w:szCs w:val="20"/>
              </w:rPr>
            </w:pPr>
            <w:r w:rsidRPr="004761E0">
              <w:rPr>
                <w:b/>
                <w:bCs/>
                <w:sz w:val="20"/>
                <w:szCs w:val="20"/>
              </w:rPr>
              <w:t>30 072,41</w:t>
            </w:r>
          </w:p>
        </w:tc>
        <w:tc>
          <w:tcPr>
            <w:tcW w:w="1331" w:type="dxa"/>
            <w:vAlign w:val="center"/>
            <w:hideMark/>
          </w:tcPr>
          <w:p w:rsidR="00086514" w:rsidRPr="004761E0" w:rsidRDefault="00086514" w:rsidP="00086514">
            <w:pPr>
              <w:ind w:firstLine="0"/>
              <w:jc w:val="right"/>
              <w:rPr>
                <w:b/>
                <w:bCs/>
                <w:sz w:val="20"/>
                <w:szCs w:val="20"/>
              </w:rPr>
            </w:pPr>
            <w:r w:rsidRPr="004761E0">
              <w:rPr>
                <w:b/>
                <w:bCs/>
                <w:sz w:val="20"/>
                <w:szCs w:val="20"/>
              </w:rPr>
              <w:t>2 322,95</w:t>
            </w:r>
          </w:p>
        </w:tc>
        <w:tc>
          <w:tcPr>
            <w:tcW w:w="1484" w:type="dxa"/>
            <w:vAlign w:val="center"/>
            <w:hideMark/>
          </w:tcPr>
          <w:p w:rsidR="00086514" w:rsidRPr="004761E0" w:rsidRDefault="00086514" w:rsidP="00086514">
            <w:pPr>
              <w:ind w:firstLine="0"/>
              <w:jc w:val="right"/>
              <w:rPr>
                <w:b/>
                <w:bCs/>
                <w:sz w:val="20"/>
                <w:szCs w:val="20"/>
              </w:rPr>
            </w:pPr>
            <w:r w:rsidRPr="004761E0">
              <w:rPr>
                <w:b/>
                <w:bCs/>
                <w:sz w:val="20"/>
                <w:szCs w:val="20"/>
              </w:rPr>
              <w:t>29 790,24</w:t>
            </w:r>
          </w:p>
        </w:tc>
        <w:tc>
          <w:tcPr>
            <w:tcW w:w="1429" w:type="dxa"/>
            <w:vAlign w:val="center"/>
            <w:hideMark/>
          </w:tcPr>
          <w:p w:rsidR="00086514" w:rsidRPr="004761E0" w:rsidRDefault="00086514" w:rsidP="00086514">
            <w:pPr>
              <w:ind w:firstLine="0"/>
              <w:jc w:val="right"/>
              <w:rPr>
                <w:b/>
                <w:bCs/>
                <w:sz w:val="20"/>
                <w:szCs w:val="20"/>
              </w:rPr>
            </w:pPr>
            <w:r w:rsidRPr="004761E0">
              <w:rPr>
                <w:b/>
                <w:bCs/>
                <w:sz w:val="20"/>
                <w:szCs w:val="20"/>
              </w:rPr>
              <w:t>0,00</w:t>
            </w:r>
          </w:p>
        </w:tc>
        <w:tc>
          <w:tcPr>
            <w:tcW w:w="1371" w:type="dxa"/>
            <w:vAlign w:val="center"/>
            <w:hideMark/>
          </w:tcPr>
          <w:p w:rsidR="00086514" w:rsidRPr="004761E0" w:rsidRDefault="00086514" w:rsidP="00086514">
            <w:pPr>
              <w:ind w:firstLine="0"/>
              <w:jc w:val="right"/>
              <w:rPr>
                <w:b/>
                <w:bCs/>
                <w:sz w:val="20"/>
                <w:szCs w:val="20"/>
              </w:rPr>
            </w:pPr>
            <w:r w:rsidRPr="004761E0">
              <w:rPr>
                <w:b/>
                <w:bCs/>
                <w:sz w:val="20"/>
                <w:szCs w:val="20"/>
              </w:rPr>
              <w:t>2 605,13</w:t>
            </w:r>
          </w:p>
        </w:tc>
      </w:tr>
      <w:tr w:rsidR="00086514" w:rsidRPr="004761E0" w:rsidTr="00316FF1">
        <w:trPr>
          <w:trHeight w:val="300"/>
        </w:trPr>
        <w:tc>
          <w:tcPr>
            <w:tcW w:w="668" w:type="dxa"/>
          </w:tcPr>
          <w:p w:rsidR="00086514" w:rsidRPr="004761E0" w:rsidRDefault="00086514" w:rsidP="007076A7">
            <w:pPr>
              <w:pStyle w:val="a5"/>
              <w:numPr>
                <w:ilvl w:val="1"/>
                <w:numId w:val="193"/>
              </w:numPr>
              <w:tabs>
                <w:tab w:val="left" w:pos="167"/>
              </w:tabs>
              <w:ind w:left="0" w:firstLine="0"/>
              <w:contextualSpacing w:val="0"/>
              <w:jc w:val="left"/>
              <w:rPr>
                <w:rFonts w:eastAsia="Times New Roman"/>
                <w:color w:val="000000"/>
                <w:sz w:val="20"/>
                <w:szCs w:val="20"/>
                <w:lang w:eastAsia="ru-RU"/>
              </w:rPr>
            </w:pPr>
          </w:p>
        </w:tc>
        <w:tc>
          <w:tcPr>
            <w:tcW w:w="6732" w:type="dxa"/>
            <w:vAlign w:val="center"/>
            <w:hideMark/>
          </w:tcPr>
          <w:p w:rsidR="00086514" w:rsidRPr="004761E0" w:rsidRDefault="00086514" w:rsidP="006C4125">
            <w:pPr>
              <w:ind w:firstLineChars="200" w:firstLine="400"/>
              <w:jc w:val="left"/>
              <w:rPr>
                <w:rFonts w:eastAsia="Times New Roman"/>
                <w:color w:val="000000"/>
                <w:sz w:val="20"/>
                <w:szCs w:val="20"/>
                <w:lang w:eastAsia="ru-RU"/>
              </w:rPr>
            </w:pPr>
            <w:proofErr w:type="gramStart"/>
            <w:r w:rsidRPr="004761E0">
              <w:rPr>
                <w:rFonts w:eastAsia="Times New Roman"/>
                <w:color w:val="000000"/>
                <w:sz w:val="20"/>
                <w:szCs w:val="20"/>
                <w:lang w:eastAsia="ru-RU"/>
              </w:rPr>
              <w:t>ВЛ</w:t>
            </w:r>
            <w:proofErr w:type="gramEnd"/>
            <w:r w:rsidRPr="004761E0">
              <w:rPr>
                <w:rFonts w:eastAsia="Times New Roman"/>
                <w:color w:val="000000"/>
                <w:sz w:val="20"/>
                <w:szCs w:val="20"/>
                <w:lang w:eastAsia="ru-RU"/>
              </w:rPr>
              <w:t xml:space="preserve"> 220 кВ и выше</w:t>
            </w:r>
          </w:p>
        </w:tc>
        <w:tc>
          <w:tcPr>
            <w:tcW w:w="1606" w:type="dxa"/>
            <w:vAlign w:val="center"/>
            <w:hideMark/>
          </w:tcPr>
          <w:p w:rsidR="00086514" w:rsidRPr="004761E0" w:rsidRDefault="00086514" w:rsidP="00086514">
            <w:pPr>
              <w:ind w:firstLine="0"/>
              <w:jc w:val="right"/>
              <w:rPr>
                <w:sz w:val="20"/>
                <w:szCs w:val="20"/>
              </w:rPr>
            </w:pPr>
            <w:r w:rsidRPr="004761E0">
              <w:rPr>
                <w:sz w:val="20"/>
                <w:szCs w:val="20"/>
              </w:rPr>
              <w:t>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331"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484"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429"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0,00</w:t>
            </w:r>
          </w:p>
        </w:tc>
      </w:tr>
      <w:tr w:rsidR="00086514" w:rsidRPr="004761E0" w:rsidTr="00316FF1">
        <w:trPr>
          <w:trHeight w:val="300"/>
        </w:trPr>
        <w:tc>
          <w:tcPr>
            <w:tcW w:w="668" w:type="dxa"/>
          </w:tcPr>
          <w:p w:rsidR="00086514" w:rsidRPr="004761E0" w:rsidRDefault="00086514" w:rsidP="007076A7">
            <w:pPr>
              <w:pStyle w:val="a5"/>
              <w:numPr>
                <w:ilvl w:val="1"/>
                <w:numId w:val="193"/>
              </w:numPr>
              <w:tabs>
                <w:tab w:val="left" w:pos="167"/>
              </w:tabs>
              <w:ind w:left="0" w:firstLine="0"/>
              <w:contextualSpacing w:val="0"/>
              <w:jc w:val="left"/>
              <w:rPr>
                <w:rFonts w:eastAsia="Times New Roman"/>
                <w:color w:val="000000"/>
                <w:sz w:val="20"/>
                <w:szCs w:val="20"/>
                <w:lang w:eastAsia="ru-RU"/>
              </w:rPr>
            </w:pPr>
          </w:p>
        </w:tc>
        <w:tc>
          <w:tcPr>
            <w:tcW w:w="6732" w:type="dxa"/>
            <w:vAlign w:val="center"/>
            <w:hideMark/>
          </w:tcPr>
          <w:p w:rsidR="00086514" w:rsidRPr="004761E0" w:rsidRDefault="00086514" w:rsidP="006C4125">
            <w:pPr>
              <w:ind w:firstLineChars="200" w:firstLine="400"/>
              <w:jc w:val="left"/>
              <w:rPr>
                <w:rFonts w:eastAsia="Times New Roman"/>
                <w:color w:val="000000"/>
                <w:sz w:val="20"/>
                <w:szCs w:val="20"/>
                <w:lang w:eastAsia="ru-RU"/>
              </w:rPr>
            </w:pPr>
            <w:proofErr w:type="gramStart"/>
            <w:r w:rsidRPr="004761E0">
              <w:rPr>
                <w:rFonts w:eastAsia="Times New Roman"/>
                <w:color w:val="000000"/>
                <w:sz w:val="20"/>
                <w:szCs w:val="20"/>
                <w:lang w:eastAsia="ru-RU"/>
              </w:rPr>
              <w:t>ВЛ</w:t>
            </w:r>
            <w:proofErr w:type="gramEnd"/>
            <w:r w:rsidRPr="004761E0">
              <w:rPr>
                <w:rFonts w:eastAsia="Times New Roman"/>
                <w:color w:val="000000"/>
                <w:sz w:val="20"/>
                <w:szCs w:val="20"/>
                <w:lang w:eastAsia="ru-RU"/>
              </w:rPr>
              <w:t xml:space="preserve"> 110 кВ</w:t>
            </w:r>
          </w:p>
        </w:tc>
        <w:tc>
          <w:tcPr>
            <w:tcW w:w="1606" w:type="dxa"/>
            <w:vAlign w:val="center"/>
            <w:hideMark/>
          </w:tcPr>
          <w:p w:rsidR="00086514" w:rsidRPr="004761E0" w:rsidRDefault="00086514" w:rsidP="00086514">
            <w:pPr>
              <w:ind w:firstLine="0"/>
              <w:jc w:val="right"/>
              <w:rPr>
                <w:sz w:val="20"/>
                <w:szCs w:val="20"/>
              </w:rPr>
            </w:pPr>
            <w:r w:rsidRPr="004761E0">
              <w:rPr>
                <w:sz w:val="20"/>
                <w:szCs w:val="20"/>
              </w:rPr>
              <w:t>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331"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484"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429"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0,00</w:t>
            </w:r>
          </w:p>
        </w:tc>
      </w:tr>
      <w:tr w:rsidR="00086514" w:rsidRPr="004761E0" w:rsidTr="00316FF1">
        <w:trPr>
          <w:trHeight w:val="300"/>
        </w:trPr>
        <w:tc>
          <w:tcPr>
            <w:tcW w:w="668" w:type="dxa"/>
          </w:tcPr>
          <w:p w:rsidR="00086514" w:rsidRPr="004761E0" w:rsidRDefault="00086514" w:rsidP="007076A7">
            <w:pPr>
              <w:pStyle w:val="a5"/>
              <w:numPr>
                <w:ilvl w:val="1"/>
                <w:numId w:val="193"/>
              </w:numPr>
              <w:tabs>
                <w:tab w:val="left" w:pos="167"/>
              </w:tabs>
              <w:ind w:left="0" w:firstLine="0"/>
              <w:contextualSpacing w:val="0"/>
              <w:jc w:val="left"/>
              <w:rPr>
                <w:rFonts w:eastAsia="Times New Roman"/>
                <w:color w:val="000000"/>
                <w:sz w:val="20"/>
                <w:szCs w:val="20"/>
                <w:lang w:eastAsia="ru-RU"/>
              </w:rPr>
            </w:pPr>
          </w:p>
        </w:tc>
        <w:tc>
          <w:tcPr>
            <w:tcW w:w="6732" w:type="dxa"/>
            <w:vAlign w:val="center"/>
            <w:hideMark/>
          </w:tcPr>
          <w:p w:rsidR="00086514" w:rsidRPr="004761E0" w:rsidRDefault="00086514" w:rsidP="006C4125">
            <w:pPr>
              <w:ind w:firstLineChars="200" w:firstLine="400"/>
              <w:jc w:val="left"/>
              <w:rPr>
                <w:rFonts w:eastAsia="Times New Roman"/>
                <w:color w:val="000000"/>
                <w:sz w:val="20"/>
                <w:szCs w:val="20"/>
                <w:lang w:eastAsia="ru-RU"/>
              </w:rPr>
            </w:pPr>
            <w:proofErr w:type="gramStart"/>
            <w:r w:rsidRPr="004761E0">
              <w:rPr>
                <w:rFonts w:eastAsia="Times New Roman"/>
                <w:color w:val="000000"/>
                <w:sz w:val="20"/>
                <w:szCs w:val="20"/>
                <w:lang w:eastAsia="ru-RU"/>
              </w:rPr>
              <w:t>ВЛ</w:t>
            </w:r>
            <w:proofErr w:type="gramEnd"/>
            <w:r w:rsidRPr="004761E0">
              <w:rPr>
                <w:rFonts w:eastAsia="Times New Roman"/>
                <w:color w:val="000000"/>
                <w:sz w:val="20"/>
                <w:szCs w:val="20"/>
                <w:lang w:eastAsia="ru-RU"/>
              </w:rPr>
              <w:t xml:space="preserve"> 35 кВ</w:t>
            </w:r>
          </w:p>
        </w:tc>
        <w:tc>
          <w:tcPr>
            <w:tcW w:w="1606" w:type="dxa"/>
            <w:vAlign w:val="center"/>
            <w:hideMark/>
          </w:tcPr>
          <w:p w:rsidR="00086514" w:rsidRPr="004761E0" w:rsidRDefault="00086514" w:rsidP="00086514">
            <w:pPr>
              <w:ind w:firstLine="0"/>
              <w:jc w:val="right"/>
              <w:rPr>
                <w:sz w:val="20"/>
                <w:szCs w:val="20"/>
              </w:rPr>
            </w:pPr>
            <w:r w:rsidRPr="004761E0">
              <w:rPr>
                <w:sz w:val="20"/>
                <w:szCs w:val="20"/>
              </w:rPr>
              <w:t>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331"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484"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429"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0,00</w:t>
            </w:r>
          </w:p>
        </w:tc>
      </w:tr>
      <w:tr w:rsidR="00086514" w:rsidRPr="004761E0" w:rsidTr="00316FF1">
        <w:trPr>
          <w:trHeight w:val="300"/>
        </w:trPr>
        <w:tc>
          <w:tcPr>
            <w:tcW w:w="668" w:type="dxa"/>
          </w:tcPr>
          <w:p w:rsidR="00086514" w:rsidRPr="004761E0" w:rsidRDefault="00086514" w:rsidP="007076A7">
            <w:pPr>
              <w:pStyle w:val="a5"/>
              <w:numPr>
                <w:ilvl w:val="1"/>
                <w:numId w:val="193"/>
              </w:numPr>
              <w:tabs>
                <w:tab w:val="left" w:pos="167"/>
              </w:tabs>
              <w:ind w:left="0" w:firstLine="0"/>
              <w:contextualSpacing w:val="0"/>
              <w:jc w:val="left"/>
              <w:rPr>
                <w:rFonts w:eastAsia="Times New Roman"/>
                <w:color w:val="000000"/>
                <w:sz w:val="20"/>
                <w:szCs w:val="20"/>
                <w:lang w:eastAsia="ru-RU"/>
              </w:rPr>
            </w:pPr>
          </w:p>
        </w:tc>
        <w:tc>
          <w:tcPr>
            <w:tcW w:w="6732" w:type="dxa"/>
            <w:vAlign w:val="center"/>
            <w:hideMark/>
          </w:tcPr>
          <w:p w:rsidR="00086514" w:rsidRPr="004761E0" w:rsidRDefault="00086514" w:rsidP="006C4125">
            <w:pPr>
              <w:ind w:firstLineChars="200" w:firstLine="400"/>
              <w:jc w:val="left"/>
              <w:rPr>
                <w:rFonts w:eastAsia="Times New Roman"/>
                <w:color w:val="000000"/>
                <w:sz w:val="20"/>
                <w:szCs w:val="20"/>
                <w:lang w:eastAsia="ru-RU"/>
              </w:rPr>
            </w:pPr>
            <w:proofErr w:type="gramStart"/>
            <w:r w:rsidRPr="004761E0">
              <w:rPr>
                <w:rFonts w:eastAsia="Times New Roman"/>
                <w:color w:val="000000"/>
                <w:sz w:val="20"/>
                <w:szCs w:val="20"/>
                <w:lang w:eastAsia="ru-RU"/>
              </w:rPr>
              <w:t>ВЛ</w:t>
            </w:r>
            <w:proofErr w:type="gramEnd"/>
            <w:r w:rsidRPr="004761E0">
              <w:rPr>
                <w:rFonts w:eastAsia="Times New Roman"/>
                <w:color w:val="000000"/>
                <w:sz w:val="20"/>
                <w:szCs w:val="20"/>
                <w:lang w:eastAsia="ru-RU"/>
              </w:rPr>
              <w:t xml:space="preserve"> 10 кВ и ниже</w:t>
            </w:r>
          </w:p>
        </w:tc>
        <w:tc>
          <w:tcPr>
            <w:tcW w:w="1606" w:type="dxa"/>
            <w:vAlign w:val="center"/>
            <w:hideMark/>
          </w:tcPr>
          <w:p w:rsidR="00086514" w:rsidRPr="004761E0" w:rsidRDefault="00086514" w:rsidP="00086514">
            <w:pPr>
              <w:ind w:firstLine="0"/>
              <w:jc w:val="right"/>
              <w:rPr>
                <w:sz w:val="20"/>
                <w:szCs w:val="20"/>
              </w:rPr>
            </w:pPr>
            <w:r w:rsidRPr="004761E0">
              <w:rPr>
                <w:sz w:val="20"/>
                <w:szCs w:val="20"/>
              </w:rPr>
              <w:t>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331"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484"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429"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0,00</w:t>
            </w:r>
          </w:p>
        </w:tc>
      </w:tr>
      <w:tr w:rsidR="00086514" w:rsidRPr="004761E0" w:rsidTr="00316FF1">
        <w:trPr>
          <w:trHeight w:val="300"/>
        </w:trPr>
        <w:tc>
          <w:tcPr>
            <w:tcW w:w="668" w:type="dxa"/>
          </w:tcPr>
          <w:p w:rsidR="00086514" w:rsidRPr="004761E0" w:rsidRDefault="00086514" w:rsidP="007076A7">
            <w:pPr>
              <w:pStyle w:val="a5"/>
              <w:numPr>
                <w:ilvl w:val="1"/>
                <w:numId w:val="193"/>
              </w:numPr>
              <w:tabs>
                <w:tab w:val="left" w:pos="167"/>
              </w:tabs>
              <w:ind w:left="0" w:firstLine="0"/>
              <w:contextualSpacing w:val="0"/>
              <w:jc w:val="left"/>
              <w:rPr>
                <w:rFonts w:eastAsia="Times New Roman"/>
                <w:color w:val="000000"/>
                <w:sz w:val="20"/>
                <w:szCs w:val="20"/>
                <w:lang w:eastAsia="ru-RU"/>
              </w:rPr>
            </w:pPr>
          </w:p>
        </w:tc>
        <w:tc>
          <w:tcPr>
            <w:tcW w:w="6732" w:type="dxa"/>
            <w:vAlign w:val="center"/>
            <w:hideMark/>
          </w:tcPr>
          <w:p w:rsidR="00086514" w:rsidRPr="004761E0" w:rsidRDefault="00086514" w:rsidP="006C4125">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ПС 220 кВ и выше</w:t>
            </w:r>
          </w:p>
        </w:tc>
        <w:tc>
          <w:tcPr>
            <w:tcW w:w="1606" w:type="dxa"/>
            <w:vAlign w:val="center"/>
            <w:hideMark/>
          </w:tcPr>
          <w:p w:rsidR="00086514" w:rsidRPr="004761E0" w:rsidRDefault="00086514" w:rsidP="00086514">
            <w:pPr>
              <w:ind w:firstLine="0"/>
              <w:jc w:val="right"/>
              <w:rPr>
                <w:sz w:val="20"/>
                <w:szCs w:val="20"/>
              </w:rPr>
            </w:pPr>
            <w:r w:rsidRPr="004761E0">
              <w:rPr>
                <w:sz w:val="20"/>
                <w:szCs w:val="20"/>
              </w:rPr>
              <w:t>1</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1 704,57</w:t>
            </w:r>
          </w:p>
        </w:tc>
        <w:tc>
          <w:tcPr>
            <w:tcW w:w="1331"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484" w:type="dxa"/>
            <w:vAlign w:val="center"/>
            <w:hideMark/>
          </w:tcPr>
          <w:p w:rsidR="00086514" w:rsidRPr="004761E0" w:rsidRDefault="00086514" w:rsidP="00086514">
            <w:pPr>
              <w:ind w:firstLine="0"/>
              <w:jc w:val="right"/>
              <w:rPr>
                <w:bCs/>
                <w:sz w:val="20"/>
                <w:szCs w:val="20"/>
              </w:rPr>
            </w:pPr>
            <w:r w:rsidRPr="004761E0">
              <w:rPr>
                <w:bCs/>
                <w:sz w:val="20"/>
                <w:szCs w:val="20"/>
              </w:rPr>
              <w:t>1 565,77</w:t>
            </w:r>
          </w:p>
        </w:tc>
        <w:tc>
          <w:tcPr>
            <w:tcW w:w="1429"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138,80</w:t>
            </w:r>
          </w:p>
        </w:tc>
      </w:tr>
      <w:tr w:rsidR="00086514" w:rsidRPr="004761E0" w:rsidTr="00316FF1">
        <w:trPr>
          <w:trHeight w:val="300"/>
        </w:trPr>
        <w:tc>
          <w:tcPr>
            <w:tcW w:w="668" w:type="dxa"/>
          </w:tcPr>
          <w:p w:rsidR="00086514" w:rsidRPr="004761E0" w:rsidRDefault="00086514" w:rsidP="007076A7">
            <w:pPr>
              <w:pStyle w:val="a5"/>
              <w:numPr>
                <w:ilvl w:val="1"/>
                <w:numId w:val="193"/>
              </w:numPr>
              <w:tabs>
                <w:tab w:val="left" w:pos="167"/>
              </w:tabs>
              <w:ind w:left="0" w:firstLine="0"/>
              <w:contextualSpacing w:val="0"/>
              <w:jc w:val="left"/>
              <w:rPr>
                <w:rFonts w:eastAsia="Times New Roman"/>
                <w:color w:val="000000"/>
                <w:sz w:val="20"/>
                <w:szCs w:val="20"/>
                <w:lang w:eastAsia="ru-RU"/>
              </w:rPr>
            </w:pPr>
          </w:p>
        </w:tc>
        <w:tc>
          <w:tcPr>
            <w:tcW w:w="6732" w:type="dxa"/>
            <w:vAlign w:val="center"/>
            <w:hideMark/>
          </w:tcPr>
          <w:p w:rsidR="00086514" w:rsidRPr="004761E0" w:rsidRDefault="00086514" w:rsidP="006C4125">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ПС 110 кВ</w:t>
            </w:r>
          </w:p>
        </w:tc>
        <w:tc>
          <w:tcPr>
            <w:tcW w:w="1606" w:type="dxa"/>
            <w:vAlign w:val="center"/>
            <w:hideMark/>
          </w:tcPr>
          <w:p w:rsidR="00086514" w:rsidRPr="004761E0" w:rsidRDefault="00086514" w:rsidP="00086514">
            <w:pPr>
              <w:ind w:firstLine="0"/>
              <w:jc w:val="right"/>
              <w:rPr>
                <w:sz w:val="20"/>
                <w:szCs w:val="20"/>
              </w:rPr>
            </w:pPr>
            <w:r w:rsidRPr="004761E0">
              <w:rPr>
                <w:sz w:val="20"/>
                <w:szCs w:val="20"/>
              </w:rPr>
              <w:t>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2 272,20</w:t>
            </w:r>
          </w:p>
        </w:tc>
        <w:tc>
          <w:tcPr>
            <w:tcW w:w="1331"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484" w:type="dxa"/>
            <w:vAlign w:val="center"/>
            <w:hideMark/>
          </w:tcPr>
          <w:p w:rsidR="00086514" w:rsidRPr="004761E0" w:rsidRDefault="00086514" w:rsidP="00086514">
            <w:pPr>
              <w:ind w:firstLine="0"/>
              <w:jc w:val="right"/>
              <w:rPr>
                <w:bCs/>
                <w:sz w:val="20"/>
                <w:szCs w:val="20"/>
              </w:rPr>
            </w:pPr>
            <w:r w:rsidRPr="004761E0">
              <w:rPr>
                <w:bCs/>
                <w:sz w:val="20"/>
                <w:szCs w:val="20"/>
              </w:rPr>
              <w:t>2 272,20</w:t>
            </w:r>
          </w:p>
        </w:tc>
        <w:tc>
          <w:tcPr>
            <w:tcW w:w="1429"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0,00</w:t>
            </w:r>
          </w:p>
        </w:tc>
      </w:tr>
      <w:tr w:rsidR="00086514" w:rsidRPr="004761E0" w:rsidTr="00316FF1">
        <w:trPr>
          <w:trHeight w:val="300"/>
        </w:trPr>
        <w:tc>
          <w:tcPr>
            <w:tcW w:w="668" w:type="dxa"/>
          </w:tcPr>
          <w:p w:rsidR="00086514" w:rsidRPr="004761E0" w:rsidRDefault="00086514" w:rsidP="007076A7">
            <w:pPr>
              <w:pStyle w:val="a5"/>
              <w:numPr>
                <w:ilvl w:val="1"/>
                <w:numId w:val="193"/>
              </w:numPr>
              <w:tabs>
                <w:tab w:val="left" w:pos="167"/>
              </w:tabs>
              <w:ind w:left="0" w:firstLine="0"/>
              <w:contextualSpacing w:val="0"/>
              <w:jc w:val="left"/>
              <w:rPr>
                <w:rFonts w:eastAsia="Times New Roman"/>
                <w:color w:val="000000"/>
                <w:sz w:val="20"/>
                <w:szCs w:val="20"/>
                <w:lang w:eastAsia="ru-RU"/>
              </w:rPr>
            </w:pPr>
          </w:p>
        </w:tc>
        <w:tc>
          <w:tcPr>
            <w:tcW w:w="6732" w:type="dxa"/>
            <w:vAlign w:val="center"/>
            <w:hideMark/>
          </w:tcPr>
          <w:p w:rsidR="00086514" w:rsidRPr="004761E0" w:rsidRDefault="00086514" w:rsidP="006C4125">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ПС 35 кВ</w:t>
            </w:r>
          </w:p>
        </w:tc>
        <w:tc>
          <w:tcPr>
            <w:tcW w:w="1606" w:type="dxa"/>
            <w:vAlign w:val="center"/>
            <w:hideMark/>
          </w:tcPr>
          <w:p w:rsidR="00086514" w:rsidRPr="004761E0" w:rsidRDefault="00086514" w:rsidP="00086514">
            <w:pPr>
              <w:ind w:firstLine="0"/>
              <w:jc w:val="right"/>
              <w:rPr>
                <w:sz w:val="20"/>
                <w:szCs w:val="20"/>
              </w:rPr>
            </w:pPr>
            <w:r w:rsidRPr="004761E0">
              <w:rPr>
                <w:sz w:val="20"/>
                <w:szCs w:val="20"/>
              </w:rPr>
              <w:t>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331"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484"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429"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0,00</w:t>
            </w:r>
          </w:p>
        </w:tc>
      </w:tr>
      <w:tr w:rsidR="00086514" w:rsidRPr="004761E0" w:rsidTr="00316FF1">
        <w:trPr>
          <w:trHeight w:val="300"/>
        </w:trPr>
        <w:tc>
          <w:tcPr>
            <w:tcW w:w="668" w:type="dxa"/>
          </w:tcPr>
          <w:p w:rsidR="00086514" w:rsidRPr="004761E0" w:rsidRDefault="00086514" w:rsidP="007076A7">
            <w:pPr>
              <w:pStyle w:val="a5"/>
              <w:numPr>
                <w:ilvl w:val="1"/>
                <w:numId w:val="193"/>
              </w:numPr>
              <w:tabs>
                <w:tab w:val="left" w:pos="167"/>
              </w:tabs>
              <w:ind w:left="0" w:firstLine="0"/>
              <w:contextualSpacing w:val="0"/>
              <w:jc w:val="left"/>
              <w:rPr>
                <w:rFonts w:eastAsia="Times New Roman"/>
                <w:color w:val="000000"/>
                <w:sz w:val="20"/>
                <w:szCs w:val="20"/>
                <w:lang w:eastAsia="ru-RU"/>
              </w:rPr>
            </w:pPr>
          </w:p>
        </w:tc>
        <w:tc>
          <w:tcPr>
            <w:tcW w:w="6732" w:type="dxa"/>
            <w:vAlign w:val="center"/>
            <w:hideMark/>
          </w:tcPr>
          <w:p w:rsidR="00086514" w:rsidRPr="004761E0" w:rsidRDefault="00086514" w:rsidP="006C4125">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ПС 10 кВ и ниже</w:t>
            </w:r>
          </w:p>
        </w:tc>
        <w:tc>
          <w:tcPr>
            <w:tcW w:w="1606" w:type="dxa"/>
            <w:vAlign w:val="center"/>
            <w:hideMark/>
          </w:tcPr>
          <w:p w:rsidR="00086514" w:rsidRPr="004761E0" w:rsidRDefault="00086514" w:rsidP="00086514">
            <w:pPr>
              <w:ind w:firstLine="0"/>
              <w:jc w:val="right"/>
              <w:rPr>
                <w:sz w:val="20"/>
                <w:szCs w:val="20"/>
              </w:rPr>
            </w:pPr>
            <w:r w:rsidRPr="004761E0">
              <w:rPr>
                <w:sz w:val="20"/>
                <w:szCs w:val="20"/>
              </w:rPr>
              <w:t>2</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91,81</w:t>
            </w:r>
          </w:p>
        </w:tc>
        <w:tc>
          <w:tcPr>
            <w:tcW w:w="1331"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484" w:type="dxa"/>
            <w:vAlign w:val="center"/>
            <w:hideMark/>
          </w:tcPr>
          <w:p w:rsidR="00086514" w:rsidRPr="004761E0" w:rsidRDefault="00086514" w:rsidP="00086514">
            <w:pPr>
              <w:ind w:firstLine="0"/>
              <w:jc w:val="right"/>
              <w:rPr>
                <w:bCs/>
                <w:sz w:val="20"/>
                <w:szCs w:val="20"/>
              </w:rPr>
            </w:pPr>
            <w:r w:rsidRPr="004761E0">
              <w:rPr>
                <w:bCs/>
                <w:sz w:val="20"/>
                <w:szCs w:val="20"/>
              </w:rPr>
              <w:t>91,81</w:t>
            </w:r>
          </w:p>
        </w:tc>
        <w:tc>
          <w:tcPr>
            <w:tcW w:w="1429"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0,00</w:t>
            </w:r>
          </w:p>
        </w:tc>
      </w:tr>
      <w:tr w:rsidR="00086514" w:rsidRPr="004761E0" w:rsidTr="00316FF1">
        <w:trPr>
          <w:trHeight w:val="300"/>
        </w:trPr>
        <w:tc>
          <w:tcPr>
            <w:tcW w:w="668" w:type="dxa"/>
          </w:tcPr>
          <w:p w:rsidR="00086514" w:rsidRPr="004761E0" w:rsidRDefault="00086514" w:rsidP="007076A7">
            <w:pPr>
              <w:pStyle w:val="a5"/>
              <w:numPr>
                <w:ilvl w:val="1"/>
                <w:numId w:val="193"/>
              </w:numPr>
              <w:tabs>
                <w:tab w:val="left" w:pos="167"/>
              </w:tabs>
              <w:ind w:left="0" w:firstLine="0"/>
              <w:contextualSpacing w:val="0"/>
              <w:jc w:val="left"/>
              <w:rPr>
                <w:rFonts w:eastAsia="Times New Roman"/>
                <w:color w:val="000000"/>
                <w:sz w:val="20"/>
                <w:szCs w:val="20"/>
                <w:lang w:eastAsia="ru-RU"/>
              </w:rPr>
            </w:pPr>
          </w:p>
        </w:tc>
        <w:tc>
          <w:tcPr>
            <w:tcW w:w="6732" w:type="dxa"/>
            <w:vAlign w:val="center"/>
            <w:hideMark/>
          </w:tcPr>
          <w:p w:rsidR="00086514" w:rsidRPr="004761E0" w:rsidRDefault="00086514" w:rsidP="006C4125">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КЛ (все классы напряжения)</w:t>
            </w:r>
          </w:p>
        </w:tc>
        <w:tc>
          <w:tcPr>
            <w:tcW w:w="1606" w:type="dxa"/>
            <w:vAlign w:val="center"/>
            <w:hideMark/>
          </w:tcPr>
          <w:p w:rsidR="00086514" w:rsidRPr="004761E0" w:rsidRDefault="00086514" w:rsidP="00086514">
            <w:pPr>
              <w:ind w:firstLine="0"/>
              <w:jc w:val="right"/>
              <w:rPr>
                <w:sz w:val="20"/>
                <w:szCs w:val="20"/>
              </w:rPr>
            </w:pPr>
            <w:r w:rsidRPr="004761E0">
              <w:rPr>
                <w:sz w:val="20"/>
                <w:szCs w:val="20"/>
              </w:rPr>
              <w:t>10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26 003,84</w:t>
            </w:r>
          </w:p>
        </w:tc>
        <w:tc>
          <w:tcPr>
            <w:tcW w:w="1331" w:type="dxa"/>
            <w:vAlign w:val="center"/>
            <w:hideMark/>
          </w:tcPr>
          <w:p w:rsidR="00086514" w:rsidRPr="004761E0" w:rsidRDefault="00086514" w:rsidP="00086514">
            <w:pPr>
              <w:ind w:firstLine="0"/>
              <w:jc w:val="right"/>
              <w:rPr>
                <w:bCs/>
                <w:sz w:val="20"/>
                <w:szCs w:val="20"/>
              </w:rPr>
            </w:pPr>
            <w:r w:rsidRPr="004761E0">
              <w:rPr>
                <w:bCs/>
                <w:sz w:val="20"/>
                <w:szCs w:val="20"/>
              </w:rPr>
              <w:t>2 322,95</w:t>
            </w:r>
          </w:p>
        </w:tc>
        <w:tc>
          <w:tcPr>
            <w:tcW w:w="1484" w:type="dxa"/>
            <w:vAlign w:val="center"/>
            <w:hideMark/>
          </w:tcPr>
          <w:p w:rsidR="00086514" w:rsidRPr="004761E0" w:rsidRDefault="00086514" w:rsidP="00086514">
            <w:pPr>
              <w:ind w:firstLine="0"/>
              <w:jc w:val="right"/>
              <w:rPr>
                <w:bCs/>
                <w:sz w:val="20"/>
                <w:szCs w:val="20"/>
              </w:rPr>
            </w:pPr>
            <w:r w:rsidRPr="004761E0">
              <w:rPr>
                <w:bCs/>
                <w:sz w:val="20"/>
                <w:szCs w:val="20"/>
              </w:rPr>
              <w:t>25 860,46</w:t>
            </w:r>
          </w:p>
        </w:tc>
        <w:tc>
          <w:tcPr>
            <w:tcW w:w="1429" w:type="dxa"/>
            <w:vAlign w:val="center"/>
            <w:hideMark/>
          </w:tcPr>
          <w:p w:rsidR="00086514" w:rsidRPr="004761E0" w:rsidRDefault="00086514" w:rsidP="00086514">
            <w:pPr>
              <w:ind w:firstLine="0"/>
              <w:jc w:val="right"/>
              <w:rPr>
                <w:bCs/>
                <w:sz w:val="20"/>
                <w:szCs w:val="20"/>
              </w:rPr>
            </w:pPr>
            <w:r w:rsidRPr="004761E0">
              <w:rPr>
                <w:bCs/>
                <w:sz w:val="20"/>
                <w:szCs w:val="20"/>
              </w:rPr>
              <w:t>0,00</w:t>
            </w:r>
          </w:p>
        </w:tc>
        <w:tc>
          <w:tcPr>
            <w:tcW w:w="1371" w:type="dxa"/>
            <w:vAlign w:val="center"/>
            <w:hideMark/>
          </w:tcPr>
          <w:p w:rsidR="00086514" w:rsidRPr="004761E0" w:rsidRDefault="00086514" w:rsidP="00086514">
            <w:pPr>
              <w:ind w:firstLine="0"/>
              <w:jc w:val="right"/>
              <w:rPr>
                <w:bCs/>
                <w:sz w:val="20"/>
                <w:szCs w:val="20"/>
              </w:rPr>
            </w:pPr>
            <w:r w:rsidRPr="004761E0">
              <w:rPr>
                <w:bCs/>
                <w:sz w:val="20"/>
                <w:szCs w:val="20"/>
              </w:rPr>
              <w:t>2 466,33</w:t>
            </w:r>
          </w:p>
        </w:tc>
      </w:tr>
      <w:tr w:rsidR="00086514" w:rsidRPr="004761E0" w:rsidTr="00316FF1">
        <w:trPr>
          <w:trHeight w:val="300"/>
        </w:trPr>
        <w:tc>
          <w:tcPr>
            <w:tcW w:w="668" w:type="dxa"/>
          </w:tcPr>
          <w:p w:rsidR="00086514" w:rsidRPr="004761E0" w:rsidRDefault="00086514" w:rsidP="007076A7">
            <w:pPr>
              <w:pStyle w:val="a5"/>
              <w:numPr>
                <w:ilvl w:val="0"/>
                <w:numId w:val="193"/>
              </w:numPr>
              <w:tabs>
                <w:tab w:val="left" w:pos="251"/>
              </w:tabs>
              <w:ind w:left="0" w:firstLine="0"/>
              <w:contextualSpacing w:val="0"/>
              <w:jc w:val="left"/>
              <w:rPr>
                <w:rFonts w:eastAsia="Times New Roman"/>
                <w:b/>
                <w:bCs/>
                <w:color w:val="000000"/>
                <w:sz w:val="20"/>
                <w:szCs w:val="20"/>
                <w:lang w:eastAsia="ru-RU"/>
              </w:rPr>
            </w:pPr>
          </w:p>
        </w:tc>
        <w:tc>
          <w:tcPr>
            <w:tcW w:w="6732" w:type="dxa"/>
            <w:vAlign w:val="center"/>
            <w:hideMark/>
          </w:tcPr>
          <w:p w:rsidR="00086514" w:rsidRPr="004761E0" w:rsidRDefault="00086514" w:rsidP="006C4125">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Иные активы, используемые по договорам лизинга, предназначенные для обеспечения электрических связей</w:t>
            </w:r>
          </w:p>
        </w:tc>
        <w:tc>
          <w:tcPr>
            <w:tcW w:w="1606" w:type="dxa"/>
            <w:vAlign w:val="center"/>
            <w:hideMark/>
          </w:tcPr>
          <w:p w:rsidR="00086514" w:rsidRPr="004761E0" w:rsidRDefault="00086514" w:rsidP="00086514">
            <w:pPr>
              <w:ind w:firstLine="0"/>
              <w:jc w:val="right"/>
              <w:rPr>
                <w:b/>
                <w:bCs/>
                <w:sz w:val="20"/>
                <w:szCs w:val="20"/>
              </w:rPr>
            </w:pPr>
            <w:r w:rsidRPr="004761E0">
              <w:rPr>
                <w:b/>
                <w:bCs/>
                <w:sz w:val="20"/>
                <w:szCs w:val="20"/>
              </w:rPr>
              <w:t>0</w:t>
            </w:r>
          </w:p>
        </w:tc>
        <w:tc>
          <w:tcPr>
            <w:tcW w:w="1371" w:type="dxa"/>
            <w:vAlign w:val="center"/>
            <w:hideMark/>
          </w:tcPr>
          <w:p w:rsidR="00086514" w:rsidRPr="004761E0" w:rsidRDefault="00086514" w:rsidP="00086514">
            <w:pPr>
              <w:ind w:firstLine="0"/>
              <w:jc w:val="right"/>
              <w:rPr>
                <w:b/>
                <w:bCs/>
                <w:sz w:val="20"/>
                <w:szCs w:val="20"/>
              </w:rPr>
            </w:pPr>
            <w:r w:rsidRPr="004761E0">
              <w:rPr>
                <w:b/>
                <w:bCs/>
                <w:sz w:val="20"/>
                <w:szCs w:val="20"/>
              </w:rPr>
              <w:t>737,00</w:t>
            </w:r>
          </w:p>
        </w:tc>
        <w:tc>
          <w:tcPr>
            <w:tcW w:w="1331" w:type="dxa"/>
            <w:vAlign w:val="center"/>
            <w:hideMark/>
          </w:tcPr>
          <w:p w:rsidR="00086514" w:rsidRPr="004761E0" w:rsidRDefault="00086514" w:rsidP="00086514">
            <w:pPr>
              <w:ind w:firstLine="0"/>
              <w:jc w:val="right"/>
              <w:rPr>
                <w:b/>
                <w:bCs/>
                <w:sz w:val="20"/>
                <w:szCs w:val="20"/>
              </w:rPr>
            </w:pPr>
            <w:r w:rsidRPr="004761E0">
              <w:rPr>
                <w:b/>
                <w:bCs/>
                <w:sz w:val="20"/>
                <w:szCs w:val="20"/>
              </w:rPr>
              <w:t>0,00</w:t>
            </w:r>
          </w:p>
        </w:tc>
        <w:tc>
          <w:tcPr>
            <w:tcW w:w="1484" w:type="dxa"/>
            <w:vAlign w:val="center"/>
            <w:hideMark/>
          </w:tcPr>
          <w:p w:rsidR="00086514" w:rsidRPr="004761E0" w:rsidRDefault="00086514" w:rsidP="00086514">
            <w:pPr>
              <w:ind w:firstLine="0"/>
              <w:jc w:val="right"/>
              <w:rPr>
                <w:b/>
                <w:bCs/>
                <w:sz w:val="20"/>
                <w:szCs w:val="20"/>
              </w:rPr>
            </w:pPr>
            <w:r w:rsidRPr="004761E0">
              <w:rPr>
                <w:b/>
                <w:bCs/>
                <w:sz w:val="20"/>
                <w:szCs w:val="20"/>
              </w:rPr>
              <w:t>575,90</w:t>
            </w:r>
          </w:p>
        </w:tc>
        <w:tc>
          <w:tcPr>
            <w:tcW w:w="1429" w:type="dxa"/>
            <w:vAlign w:val="center"/>
            <w:hideMark/>
          </w:tcPr>
          <w:p w:rsidR="00086514" w:rsidRPr="004761E0" w:rsidRDefault="00086514" w:rsidP="00086514">
            <w:pPr>
              <w:ind w:firstLine="0"/>
              <w:jc w:val="right"/>
              <w:rPr>
                <w:b/>
                <w:bCs/>
                <w:sz w:val="20"/>
                <w:szCs w:val="20"/>
              </w:rPr>
            </w:pPr>
            <w:r w:rsidRPr="004761E0">
              <w:rPr>
                <w:b/>
                <w:bCs/>
                <w:sz w:val="20"/>
                <w:szCs w:val="20"/>
              </w:rPr>
              <w:t>0,00</w:t>
            </w:r>
          </w:p>
        </w:tc>
        <w:tc>
          <w:tcPr>
            <w:tcW w:w="1371" w:type="dxa"/>
            <w:vAlign w:val="center"/>
            <w:hideMark/>
          </w:tcPr>
          <w:p w:rsidR="00086514" w:rsidRPr="004761E0" w:rsidRDefault="00086514" w:rsidP="00086514">
            <w:pPr>
              <w:ind w:firstLine="0"/>
              <w:jc w:val="right"/>
              <w:rPr>
                <w:b/>
                <w:bCs/>
                <w:sz w:val="20"/>
                <w:szCs w:val="20"/>
              </w:rPr>
            </w:pPr>
            <w:r w:rsidRPr="004761E0">
              <w:rPr>
                <w:b/>
                <w:bCs/>
                <w:sz w:val="20"/>
                <w:szCs w:val="20"/>
              </w:rPr>
              <w:t>161,10</w:t>
            </w:r>
          </w:p>
        </w:tc>
      </w:tr>
      <w:tr w:rsidR="00086514" w:rsidRPr="004761E0" w:rsidTr="00316FF1">
        <w:trPr>
          <w:trHeight w:val="300"/>
        </w:trPr>
        <w:tc>
          <w:tcPr>
            <w:tcW w:w="668" w:type="dxa"/>
          </w:tcPr>
          <w:p w:rsidR="00086514" w:rsidRPr="004761E0" w:rsidRDefault="00086514" w:rsidP="007076A7">
            <w:pPr>
              <w:pStyle w:val="a5"/>
              <w:numPr>
                <w:ilvl w:val="0"/>
                <w:numId w:val="193"/>
              </w:numPr>
              <w:tabs>
                <w:tab w:val="left" w:pos="251"/>
              </w:tabs>
              <w:ind w:left="0" w:firstLine="0"/>
              <w:contextualSpacing w:val="0"/>
              <w:jc w:val="left"/>
              <w:rPr>
                <w:rFonts w:eastAsia="Times New Roman"/>
                <w:b/>
                <w:bCs/>
                <w:color w:val="000000"/>
                <w:sz w:val="20"/>
                <w:szCs w:val="20"/>
                <w:lang w:eastAsia="ru-RU"/>
              </w:rPr>
            </w:pPr>
          </w:p>
        </w:tc>
        <w:tc>
          <w:tcPr>
            <w:tcW w:w="6732" w:type="dxa"/>
            <w:vAlign w:val="center"/>
            <w:hideMark/>
          </w:tcPr>
          <w:p w:rsidR="00086514" w:rsidRPr="004761E0" w:rsidRDefault="00086514" w:rsidP="006C4125">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Прочие активы, используемые по договорам лизинга</w:t>
            </w:r>
          </w:p>
        </w:tc>
        <w:tc>
          <w:tcPr>
            <w:tcW w:w="1606" w:type="dxa"/>
            <w:vAlign w:val="center"/>
            <w:hideMark/>
          </w:tcPr>
          <w:p w:rsidR="00086514" w:rsidRPr="004761E0" w:rsidRDefault="00086514" w:rsidP="00086514">
            <w:pPr>
              <w:ind w:firstLine="0"/>
              <w:jc w:val="right"/>
              <w:rPr>
                <w:b/>
                <w:bCs/>
                <w:sz w:val="20"/>
                <w:szCs w:val="20"/>
              </w:rPr>
            </w:pPr>
            <w:r w:rsidRPr="004761E0">
              <w:rPr>
                <w:b/>
                <w:bCs/>
                <w:sz w:val="20"/>
                <w:szCs w:val="20"/>
              </w:rPr>
              <w:t>0</w:t>
            </w:r>
          </w:p>
        </w:tc>
        <w:tc>
          <w:tcPr>
            <w:tcW w:w="1371" w:type="dxa"/>
            <w:vAlign w:val="center"/>
            <w:hideMark/>
          </w:tcPr>
          <w:p w:rsidR="00086514" w:rsidRPr="004761E0" w:rsidRDefault="00086514" w:rsidP="00086514">
            <w:pPr>
              <w:ind w:firstLine="0"/>
              <w:jc w:val="right"/>
              <w:rPr>
                <w:b/>
                <w:bCs/>
                <w:sz w:val="20"/>
                <w:szCs w:val="20"/>
              </w:rPr>
            </w:pPr>
            <w:r w:rsidRPr="004761E0">
              <w:rPr>
                <w:b/>
                <w:bCs/>
                <w:sz w:val="20"/>
                <w:szCs w:val="20"/>
              </w:rPr>
              <w:t>0,00</w:t>
            </w:r>
          </w:p>
        </w:tc>
        <w:tc>
          <w:tcPr>
            <w:tcW w:w="1331" w:type="dxa"/>
            <w:vAlign w:val="center"/>
            <w:hideMark/>
          </w:tcPr>
          <w:p w:rsidR="00086514" w:rsidRPr="004761E0" w:rsidRDefault="00086514" w:rsidP="00086514">
            <w:pPr>
              <w:ind w:firstLine="0"/>
              <w:jc w:val="right"/>
              <w:rPr>
                <w:b/>
                <w:bCs/>
                <w:sz w:val="20"/>
                <w:szCs w:val="20"/>
              </w:rPr>
            </w:pPr>
            <w:r w:rsidRPr="004761E0">
              <w:rPr>
                <w:b/>
                <w:bCs/>
                <w:sz w:val="20"/>
                <w:szCs w:val="20"/>
              </w:rPr>
              <w:t>0,00</w:t>
            </w:r>
          </w:p>
        </w:tc>
        <w:tc>
          <w:tcPr>
            <w:tcW w:w="1484" w:type="dxa"/>
            <w:vAlign w:val="center"/>
            <w:hideMark/>
          </w:tcPr>
          <w:p w:rsidR="00086514" w:rsidRPr="004761E0" w:rsidRDefault="00086514" w:rsidP="00086514">
            <w:pPr>
              <w:ind w:firstLine="0"/>
              <w:jc w:val="right"/>
              <w:rPr>
                <w:b/>
                <w:bCs/>
                <w:sz w:val="20"/>
                <w:szCs w:val="20"/>
              </w:rPr>
            </w:pPr>
            <w:r w:rsidRPr="004761E0">
              <w:rPr>
                <w:b/>
                <w:bCs/>
                <w:sz w:val="20"/>
                <w:szCs w:val="20"/>
              </w:rPr>
              <w:t>0,00</w:t>
            </w:r>
          </w:p>
        </w:tc>
        <w:tc>
          <w:tcPr>
            <w:tcW w:w="1429" w:type="dxa"/>
            <w:vAlign w:val="center"/>
            <w:hideMark/>
          </w:tcPr>
          <w:p w:rsidR="00086514" w:rsidRPr="004761E0" w:rsidRDefault="00086514" w:rsidP="00086514">
            <w:pPr>
              <w:ind w:firstLine="0"/>
              <w:jc w:val="right"/>
              <w:rPr>
                <w:b/>
                <w:bCs/>
                <w:sz w:val="20"/>
                <w:szCs w:val="20"/>
              </w:rPr>
            </w:pPr>
            <w:r w:rsidRPr="004761E0">
              <w:rPr>
                <w:b/>
                <w:bCs/>
                <w:sz w:val="20"/>
                <w:szCs w:val="20"/>
              </w:rPr>
              <w:t>0,00</w:t>
            </w:r>
          </w:p>
        </w:tc>
        <w:tc>
          <w:tcPr>
            <w:tcW w:w="1371" w:type="dxa"/>
            <w:vAlign w:val="center"/>
            <w:hideMark/>
          </w:tcPr>
          <w:p w:rsidR="00086514" w:rsidRPr="004761E0" w:rsidRDefault="00086514" w:rsidP="00086514">
            <w:pPr>
              <w:ind w:firstLine="0"/>
              <w:jc w:val="right"/>
              <w:rPr>
                <w:b/>
                <w:bCs/>
                <w:sz w:val="20"/>
                <w:szCs w:val="20"/>
              </w:rPr>
            </w:pPr>
            <w:r w:rsidRPr="004761E0">
              <w:rPr>
                <w:b/>
                <w:bCs/>
                <w:sz w:val="20"/>
                <w:szCs w:val="20"/>
              </w:rPr>
              <w:t>0,00</w:t>
            </w:r>
          </w:p>
        </w:tc>
      </w:tr>
      <w:tr w:rsidR="00086514" w:rsidRPr="004761E0" w:rsidTr="00316FF1">
        <w:trPr>
          <w:trHeight w:val="300"/>
        </w:trPr>
        <w:tc>
          <w:tcPr>
            <w:tcW w:w="668" w:type="dxa"/>
          </w:tcPr>
          <w:p w:rsidR="00086514" w:rsidRPr="004761E0" w:rsidRDefault="00086514" w:rsidP="007076A7">
            <w:pPr>
              <w:pStyle w:val="a5"/>
              <w:numPr>
                <w:ilvl w:val="0"/>
                <w:numId w:val="193"/>
              </w:numPr>
              <w:tabs>
                <w:tab w:val="left" w:pos="251"/>
              </w:tabs>
              <w:ind w:left="0" w:firstLine="0"/>
              <w:contextualSpacing w:val="0"/>
              <w:jc w:val="left"/>
              <w:rPr>
                <w:rFonts w:eastAsia="Times New Roman"/>
                <w:b/>
                <w:bCs/>
                <w:color w:val="000000"/>
                <w:sz w:val="20"/>
                <w:szCs w:val="20"/>
                <w:lang w:eastAsia="ru-RU"/>
              </w:rPr>
            </w:pPr>
          </w:p>
        </w:tc>
        <w:tc>
          <w:tcPr>
            <w:tcW w:w="6732" w:type="dxa"/>
            <w:vAlign w:val="center"/>
            <w:hideMark/>
          </w:tcPr>
          <w:p w:rsidR="00086514" w:rsidRPr="004761E0" w:rsidRDefault="00086514" w:rsidP="006C4125">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Итого арендуемые активы (п.10= п.5 + п.6 + п.7 + п.8 + п.9)</w:t>
            </w:r>
          </w:p>
        </w:tc>
        <w:tc>
          <w:tcPr>
            <w:tcW w:w="1606" w:type="dxa"/>
            <w:vAlign w:val="center"/>
            <w:hideMark/>
          </w:tcPr>
          <w:p w:rsidR="00086514" w:rsidRPr="004761E0" w:rsidRDefault="00086514" w:rsidP="00086514">
            <w:pPr>
              <w:ind w:firstLine="0"/>
              <w:jc w:val="right"/>
              <w:rPr>
                <w:b/>
                <w:bCs/>
                <w:sz w:val="20"/>
                <w:szCs w:val="20"/>
              </w:rPr>
            </w:pPr>
            <w:r w:rsidRPr="004761E0">
              <w:rPr>
                <w:b/>
                <w:bCs/>
                <w:sz w:val="20"/>
                <w:szCs w:val="20"/>
              </w:rPr>
              <w:t>0</w:t>
            </w:r>
          </w:p>
        </w:tc>
        <w:tc>
          <w:tcPr>
            <w:tcW w:w="1371" w:type="dxa"/>
            <w:vAlign w:val="center"/>
            <w:hideMark/>
          </w:tcPr>
          <w:p w:rsidR="00086514" w:rsidRPr="004761E0" w:rsidRDefault="00086514" w:rsidP="00086514">
            <w:pPr>
              <w:ind w:firstLine="0"/>
              <w:jc w:val="right"/>
              <w:rPr>
                <w:b/>
                <w:bCs/>
                <w:sz w:val="20"/>
                <w:szCs w:val="20"/>
              </w:rPr>
            </w:pPr>
            <w:r w:rsidRPr="004761E0">
              <w:rPr>
                <w:b/>
                <w:bCs/>
                <w:sz w:val="20"/>
                <w:szCs w:val="20"/>
              </w:rPr>
              <w:t>39 015,06</w:t>
            </w:r>
          </w:p>
        </w:tc>
        <w:tc>
          <w:tcPr>
            <w:tcW w:w="1331" w:type="dxa"/>
            <w:vAlign w:val="center"/>
            <w:hideMark/>
          </w:tcPr>
          <w:p w:rsidR="00086514" w:rsidRPr="004761E0" w:rsidRDefault="00086514" w:rsidP="00086514">
            <w:pPr>
              <w:ind w:firstLine="0"/>
              <w:jc w:val="right"/>
              <w:rPr>
                <w:b/>
                <w:bCs/>
                <w:sz w:val="20"/>
                <w:szCs w:val="20"/>
              </w:rPr>
            </w:pPr>
            <w:r w:rsidRPr="004761E0">
              <w:rPr>
                <w:b/>
                <w:bCs/>
                <w:sz w:val="20"/>
                <w:szCs w:val="20"/>
              </w:rPr>
              <w:t>3 736,35</w:t>
            </w:r>
          </w:p>
        </w:tc>
        <w:tc>
          <w:tcPr>
            <w:tcW w:w="1484" w:type="dxa"/>
            <w:vAlign w:val="center"/>
            <w:hideMark/>
          </w:tcPr>
          <w:p w:rsidR="00086514" w:rsidRPr="004761E0" w:rsidRDefault="00086514" w:rsidP="00086514">
            <w:pPr>
              <w:ind w:firstLine="0"/>
              <w:jc w:val="right"/>
              <w:rPr>
                <w:b/>
                <w:bCs/>
                <w:sz w:val="20"/>
                <w:szCs w:val="20"/>
              </w:rPr>
            </w:pPr>
            <w:r w:rsidRPr="004761E0">
              <w:rPr>
                <w:b/>
                <w:bCs/>
                <w:sz w:val="20"/>
                <w:szCs w:val="20"/>
              </w:rPr>
              <w:t>30 518,46</w:t>
            </w:r>
          </w:p>
        </w:tc>
        <w:tc>
          <w:tcPr>
            <w:tcW w:w="1429" w:type="dxa"/>
            <w:vAlign w:val="center"/>
            <w:hideMark/>
          </w:tcPr>
          <w:p w:rsidR="00086514" w:rsidRPr="004761E0" w:rsidRDefault="00086514" w:rsidP="00086514">
            <w:pPr>
              <w:ind w:firstLine="0"/>
              <w:jc w:val="right"/>
              <w:rPr>
                <w:b/>
                <w:bCs/>
                <w:sz w:val="20"/>
                <w:szCs w:val="20"/>
              </w:rPr>
            </w:pPr>
            <w:r w:rsidRPr="004761E0">
              <w:rPr>
                <w:b/>
                <w:bCs/>
                <w:sz w:val="20"/>
                <w:szCs w:val="20"/>
              </w:rPr>
              <w:t>0,00</w:t>
            </w:r>
          </w:p>
        </w:tc>
        <w:tc>
          <w:tcPr>
            <w:tcW w:w="1371" w:type="dxa"/>
            <w:vAlign w:val="center"/>
            <w:hideMark/>
          </w:tcPr>
          <w:p w:rsidR="00086514" w:rsidRPr="004761E0" w:rsidRDefault="00086514" w:rsidP="00086514">
            <w:pPr>
              <w:ind w:firstLine="0"/>
              <w:jc w:val="right"/>
              <w:rPr>
                <w:b/>
                <w:bCs/>
                <w:sz w:val="20"/>
                <w:szCs w:val="20"/>
              </w:rPr>
            </w:pPr>
            <w:r w:rsidRPr="004761E0">
              <w:rPr>
                <w:b/>
                <w:bCs/>
                <w:sz w:val="20"/>
                <w:szCs w:val="20"/>
              </w:rPr>
              <w:t>12 232,94</w:t>
            </w:r>
          </w:p>
        </w:tc>
      </w:tr>
      <w:tr w:rsidR="00086514" w:rsidRPr="004761E0" w:rsidTr="00316FF1">
        <w:trPr>
          <w:trHeight w:val="315"/>
        </w:trPr>
        <w:tc>
          <w:tcPr>
            <w:tcW w:w="668" w:type="dxa"/>
          </w:tcPr>
          <w:p w:rsidR="00086514" w:rsidRPr="004761E0" w:rsidRDefault="00086514" w:rsidP="007076A7">
            <w:pPr>
              <w:pStyle w:val="a5"/>
              <w:numPr>
                <w:ilvl w:val="0"/>
                <w:numId w:val="193"/>
              </w:numPr>
              <w:tabs>
                <w:tab w:val="left" w:pos="251"/>
              </w:tabs>
              <w:ind w:left="0" w:firstLine="0"/>
              <w:contextualSpacing w:val="0"/>
              <w:jc w:val="left"/>
              <w:rPr>
                <w:rFonts w:eastAsia="Times New Roman"/>
                <w:b/>
                <w:bCs/>
                <w:color w:val="000000"/>
                <w:sz w:val="20"/>
                <w:szCs w:val="20"/>
                <w:lang w:eastAsia="ru-RU"/>
              </w:rPr>
            </w:pPr>
          </w:p>
        </w:tc>
        <w:tc>
          <w:tcPr>
            <w:tcW w:w="6732" w:type="dxa"/>
            <w:vAlign w:val="center"/>
            <w:hideMark/>
          </w:tcPr>
          <w:p w:rsidR="00086514" w:rsidRPr="004761E0" w:rsidRDefault="00086514" w:rsidP="006C4125">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Итого (п.11 = п.4 + п.10)</w:t>
            </w:r>
          </w:p>
        </w:tc>
        <w:tc>
          <w:tcPr>
            <w:tcW w:w="1606" w:type="dxa"/>
            <w:vAlign w:val="center"/>
            <w:hideMark/>
          </w:tcPr>
          <w:p w:rsidR="00086514" w:rsidRPr="004761E0" w:rsidRDefault="00086514" w:rsidP="00086514">
            <w:pPr>
              <w:ind w:firstLine="0"/>
              <w:jc w:val="right"/>
              <w:rPr>
                <w:b/>
                <w:bCs/>
                <w:sz w:val="20"/>
                <w:szCs w:val="20"/>
              </w:rPr>
            </w:pPr>
            <w:r w:rsidRPr="004761E0">
              <w:rPr>
                <w:b/>
                <w:bCs/>
                <w:sz w:val="20"/>
                <w:szCs w:val="20"/>
              </w:rPr>
              <w:t>0</w:t>
            </w:r>
          </w:p>
        </w:tc>
        <w:tc>
          <w:tcPr>
            <w:tcW w:w="1371" w:type="dxa"/>
            <w:vAlign w:val="center"/>
            <w:hideMark/>
          </w:tcPr>
          <w:p w:rsidR="00086514" w:rsidRPr="004761E0" w:rsidRDefault="00086514" w:rsidP="00086514">
            <w:pPr>
              <w:ind w:firstLine="0"/>
              <w:jc w:val="right"/>
              <w:rPr>
                <w:b/>
                <w:bCs/>
                <w:sz w:val="20"/>
                <w:szCs w:val="20"/>
              </w:rPr>
            </w:pPr>
            <w:r w:rsidRPr="004761E0">
              <w:rPr>
                <w:b/>
                <w:bCs/>
                <w:sz w:val="20"/>
                <w:szCs w:val="20"/>
              </w:rPr>
              <w:t>232 530,52</w:t>
            </w:r>
          </w:p>
        </w:tc>
        <w:tc>
          <w:tcPr>
            <w:tcW w:w="1331" w:type="dxa"/>
            <w:vAlign w:val="center"/>
            <w:hideMark/>
          </w:tcPr>
          <w:p w:rsidR="00086514" w:rsidRPr="004761E0" w:rsidRDefault="00086514" w:rsidP="00086514">
            <w:pPr>
              <w:ind w:firstLine="0"/>
              <w:jc w:val="right"/>
              <w:rPr>
                <w:b/>
                <w:bCs/>
                <w:sz w:val="20"/>
                <w:szCs w:val="20"/>
              </w:rPr>
            </w:pPr>
            <w:r w:rsidRPr="004761E0">
              <w:rPr>
                <w:b/>
                <w:bCs/>
                <w:sz w:val="20"/>
                <w:szCs w:val="20"/>
              </w:rPr>
              <w:t>51 357,94</w:t>
            </w:r>
          </w:p>
        </w:tc>
        <w:tc>
          <w:tcPr>
            <w:tcW w:w="1484" w:type="dxa"/>
            <w:vAlign w:val="center"/>
            <w:hideMark/>
          </w:tcPr>
          <w:p w:rsidR="00086514" w:rsidRPr="004761E0" w:rsidRDefault="00086514" w:rsidP="00086514">
            <w:pPr>
              <w:ind w:firstLine="0"/>
              <w:jc w:val="right"/>
              <w:rPr>
                <w:b/>
                <w:bCs/>
                <w:sz w:val="20"/>
                <w:szCs w:val="20"/>
              </w:rPr>
            </w:pPr>
            <w:r w:rsidRPr="004761E0">
              <w:rPr>
                <w:b/>
                <w:bCs/>
                <w:sz w:val="20"/>
                <w:szCs w:val="20"/>
              </w:rPr>
              <w:t>31 163,07</w:t>
            </w:r>
          </w:p>
        </w:tc>
        <w:tc>
          <w:tcPr>
            <w:tcW w:w="1429" w:type="dxa"/>
            <w:vAlign w:val="center"/>
            <w:hideMark/>
          </w:tcPr>
          <w:p w:rsidR="00086514" w:rsidRPr="004761E0" w:rsidRDefault="00086514" w:rsidP="00086514">
            <w:pPr>
              <w:ind w:firstLine="0"/>
              <w:jc w:val="right"/>
              <w:rPr>
                <w:b/>
                <w:bCs/>
                <w:sz w:val="20"/>
                <w:szCs w:val="20"/>
              </w:rPr>
            </w:pPr>
            <w:r w:rsidRPr="004761E0">
              <w:rPr>
                <w:b/>
                <w:bCs/>
                <w:sz w:val="20"/>
                <w:szCs w:val="20"/>
              </w:rPr>
              <w:t>18 737,44</w:t>
            </w:r>
          </w:p>
        </w:tc>
        <w:tc>
          <w:tcPr>
            <w:tcW w:w="1371" w:type="dxa"/>
            <w:vAlign w:val="center"/>
            <w:hideMark/>
          </w:tcPr>
          <w:p w:rsidR="00086514" w:rsidRPr="004761E0" w:rsidRDefault="00086514" w:rsidP="00086514">
            <w:pPr>
              <w:ind w:firstLine="0"/>
              <w:jc w:val="right"/>
              <w:rPr>
                <w:b/>
                <w:bCs/>
                <w:sz w:val="20"/>
                <w:szCs w:val="20"/>
              </w:rPr>
            </w:pPr>
            <w:r w:rsidRPr="004761E0">
              <w:rPr>
                <w:b/>
                <w:bCs/>
                <w:sz w:val="20"/>
                <w:szCs w:val="20"/>
              </w:rPr>
              <w:t>233 987,95</w:t>
            </w:r>
          </w:p>
        </w:tc>
      </w:tr>
    </w:tbl>
    <w:p w:rsidR="006C4125" w:rsidRPr="004761E0" w:rsidRDefault="006C4125" w:rsidP="00455EDF">
      <w:pPr>
        <w:pStyle w:val="a8"/>
        <w:numPr>
          <w:ilvl w:val="1"/>
          <w:numId w:val="1"/>
        </w:numPr>
        <w:tabs>
          <w:tab w:val="left" w:pos="1134"/>
        </w:tabs>
        <w:ind w:left="1134" w:hanging="567"/>
        <w:jc w:val="left"/>
        <w:rPr>
          <w:b/>
          <w:sz w:val="26"/>
          <w:szCs w:val="26"/>
          <w:lang w:eastAsia="ru-RU"/>
        </w:rPr>
        <w:sectPr w:rsidR="006C4125" w:rsidRPr="004761E0" w:rsidSect="006C4125">
          <w:pgSz w:w="16840" w:h="11907" w:orient="landscape" w:code="9"/>
          <w:pgMar w:top="1134" w:right="1418" w:bottom="851" w:left="720" w:header="720" w:footer="720" w:gutter="0"/>
          <w:cols w:space="720"/>
          <w:docGrid w:linePitch="326"/>
        </w:sectPr>
      </w:pPr>
      <w:bookmarkStart w:id="22" w:name="_Toc380576897"/>
    </w:p>
    <w:p w:rsidR="00136A10" w:rsidRPr="004761E0" w:rsidRDefault="001A25B0" w:rsidP="007076A7">
      <w:pPr>
        <w:pStyle w:val="a8"/>
        <w:numPr>
          <w:ilvl w:val="1"/>
          <w:numId w:val="321"/>
        </w:numPr>
        <w:spacing w:before="120" w:after="120"/>
        <w:ind w:left="0" w:firstLine="567"/>
        <w:jc w:val="left"/>
        <w:rPr>
          <w:rFonts w:ascii="Times New Roman" w:hAnsi="Times New Roman"/>
          <w:b/>
          <w:sz w:val="26"/>
          <w:szCs w:val="26"/>
        </w:rPr>
      </w:pPr>
      <w:bookmarkStart w:id="23" w:name="_Toc385339795"/>
      <w:r w:rsidRPr="004761E0">
        <w:rPr>
          <w:rFonts w:ascii="Times New Roman" w:hAnsi="Times New Roman"/>
          <w:b/>
          <w:sz w:val="26"/>
          <w:szCs w:val="26"/>
        </w:rPr>
        <w:lastRenderedPageBreak/>
        <w:t>Бизнес-модель</w:t>
      </w:r>
      <w:bookmarkEnd w:id="22"/>
      <w:bookmarkEnd w:id="23"/>
    </w:p>
    <w:p w:rsidR="00C0652D" w:rsidRPr="00F842E0" w:rsidRDefault="00DE5327" w:rsidP="00F842E0">
      <w:pPr>
        <w:spacing w:before="120" w:after="120"/>
        <w:ind w:firstLine="567"/>
        <w:rPr>
          <w:b/>
          <w:sz w:val="26"/>
          <w:szCs w:val="26"/>
        </w:rPr>
      </w:pPr>
      <w:r w:rsidRPr="00F842E0">
        <w:rPr>
          <w:b/>
          <w:sz w:val="26"/>
          <w:szCs w:val="26"/>
        </w:rPr>
        <w:t>П</w:t>
      </w:r>
      <w:r w:rsidR="006D32CC" w:rsidRPr="00F842E0">
        <w:rPr>
          <w:b/>
          <w:sz w:val="26"/>
          <w:szCs w:val="26"/>
        </w:rPr>
        <w:t xml:space="preserve">роцесс </w:t>
      </w:r>
      <w:r w:rsidRPr="00F842E0">
        <w:rPr>
          <w:b/>
          <w:sz w:val="26"/>
          <w:szCs w:val="26"/>
        </w:rPr>
        <w:t>«П</w:t>
      </w:r>
      <w:r w:rsidR="006D32CC" w:rsidRPr="00F842E0">
        <w:rPr>
          <w:b/>
          <w:sz w:val="26"/>
          <w:szCs w:val="26"/>
        </w:rPr>
        <w:t>ередач</w:t>
      </w:r>
      <w:r w:rsidRPr="00F842E0">
        <w:rPr>
          <w:b/>
          <w:sz w:val="26"/>
          <w:szCs w:val="26"/>
        </w:rPr>
        <w:t>а</w:t>
      </w:r>
      <w:r w:rsidR="006D32CC" w:rsidRPr="00F842E0">
        <w:rPr>
          <w:b/>
          <w:sz w:val="26"/>
          <w:szCs w:val="26"/>
        </w:rPr>
        <w:t xml:space="preserve"> и распределения электроэнергии</w:t>
      </w:r>
      <w:r w:rsidRPr="00F842E0">
        <w:rPr>
          <w:b/>
          <w:sz w:val="26"/>
          <w:szCs w:val="26"/>
        </w:rPr>
        <w:t>»</w:t>
      </w:r>
    </w:p>
    <w:p w:rsidR="0019221B" w:rsidRPr="004761E0" w:rsidRDefault="0019221B" w:rsidP="0019221B">
      <w:pPr>
        <w:ind w:firstLine="567"/>
        <w:rPr>
          <w:sz w:val="26"/>
          <w:szCs w:val="26"/>
          <w:lang w:eastAsia="ru-RU"/>
        </w:rPr>
      </w:pPr>
      <w:r w:rsidRPr="004761E0">
        <w:rPr>
          <w:sz w:val="26"/>
          <w:szCs w:val="26"/>
          <w:lang w:eastAsia="ru-RU"/>
        </w:rPr>
        <w:t>ОАО «МОЭСК» оказывает услуги по передаче электроэнергии гарантирующим поставщикам, энергосбытовым компаниям и прямым потребителям – участникам оптового и розничного рынка электроэнергии на основании договоров оказания услуг по передаче электроэнергии. Предметом договора является осуществление комплекса организационно-технических мероприятий по поставке электроэнергии конечным потребителям, электроустановки которых непосредственно подключены к сетям ОАО</w:t>
      </w:r>
      <w:r w:rsidR="005D6DA1">
        <w:rPr>
          <w:sz w:val="26"/>
          <w:szCs w:val="26"/>
          <w:lang w:eastAsia="ru-RU"/>
        </w:rPr>
        <w:t> </w:t>
      </w:r>
      <w:r w:rsidRPr="004761E0">
        <w:rPr>
          <w:sz w:val="26"/>
          <w:szCs w:val="26"/>
          <w:lang w:eastAsia="ru-RU"/>
        </w:rPr>
        <w:t>«МОЭСК»</w:t>
      </w:r>
      <w:r>
        <w:rPr>
          <w:sz w:val="26"/>
          <w:szCs w:val="26"/>
          <w:lang w:eastAsia="ru-RU"/>
        </w:rPr>
        <w:t xml:space="preserve"> и иным </w:t>
      </w:r>
      <w:r w:rsidRPr="004761E0">
        <w:rPr>
          <w:sz w:val="26"/>
          <w:szCs w:val="26"/>
          <w:lang w:eastAsia="ru-RU"/>
        </w:rPr>
        <w:t>территориальным сетевым организациям (ТСО).</w:t>
      </w:r>
    </w:p>
    <w:p w:rsidR="0019221B" w:rsidRPr="004761E0" w:rsidRDefault="0019221B" w:rsidP="0019221B">
      <w:pPr>
        <w:ind w:firstLine="567"/>
        <w:rPr>
          <w:sz w:val="26"/>
          <w:szCs w:val="26"/>
          <w:lang w:eastAsia="ru-RU"/>
        </w:rPr>
      </w:pPr>
      <w:r w:rsidRPr="004761E0">
        <w:rPr>
          <w:sz w:val="26"/>
          <w:szCs w:val="26"/>
          <w:lang w:eastAsia="ru-RU"/>
        </w:rPr>
        <w:t xml:space="preserve">ОАО «МОЭСК», получая электроэнергию от генерирующих компаний (электрические станции, </w:t>
      </w:r>
      <w:proofErr w:type="gramStart"/>
      <w:r w:rsidRPr="004761E0">
        <w:rPr>
          <w:sz w:val="26"/>
          <w:szCs w:val="26"/>
          <w:lang w:eastAsia="ru-RU"/>
        </w:rPr>
        <w:t>блок-станции</w:t>
      </w:r>
      <w:proofErr w:type="gramEnd"/>
      <w:r w:rsidRPr="004761E0">
        <w:rPr>
          <w:sz w:val="26"/>
          <w:szCs w:val="26"/>
          <w:lang w:eastAsia="ru-RU"/>
        </w:rPr>
        <w:t xml:space="preserve">), смежных энергосистем, расположенных в соседних субъектах РФ (ОАО «Калугаэнерго», ОАО «Тулаэнерго», ОАО «Владимирэнерго» и др.), магистральных электрических сетей – сетей напряжением 220 кВ и выше (ОАО «ФСК ЕЭС»), передает ее до точек присоединения конечных потребителей или ТСО. </w:t>
      </w:r>
    </w:p>
    <w:p w:rsidR="0019221B" w:rsidRPr="004761E0" w:rsidRDefault="0019221B" w:rsidP="0019221B">
      <w:pPr>
        <w:ind w:firstLine="567"/>
        <w:rPr>
          <w:sz w:val="26"/>
          <w:szCs w:val="26"/>
          <w:lang w:eastAsia="ru-RU"/>
        </w:rPr>
      </w:pPr>
      <w:r w:rsidRPr="004761E0">
        <w:rPr>
          <w:sz w:val="26"/>
          <w:szCs w:val="26"/>
          <w:lang w:eastAsia="ru-RU"/>
        </w:rPr>
        <w:t>За услуги по передаче электроэнергии ОАО «МОЭСК» производит взаиморасчеты с энергосбытовыми (гарантирующим</w:t>
      </w:r>
      <w:r>
        <w:rPr>
          <w:sz w:val="26"/>
          <w:szCs w:val="26"/>
          <w:lang w:eastAsia="ru-RU"/>
        </w:rPr>
        <w:t>и</w:t>
      </w:r>
      <w:r w:rsidRPr="004761E0">
        <w:rPr>
          <w:sz w:val="26"/>
          <w:szCs w:val="26"/>
          <w:lang w:eastAsia="ru-RU"/>
        </w:rPr>
        <w:t xml:space="preserve"> поставщик</w:t>
      </w:r>
      <w:r>
        <w:rPr>
          <w:sz w:val="26"/>
          <w:szCs w:val="26"/>
          <w:lang w:eastAsia="ru-RU"/>
        </w:rPr>
        <w:t>а</w:t>
      </w:r>
      <w:r w:rsidRPr="004761E0">
        <w:rPr>
          <w:sz w:val="26"/>
          <w:szCs w:val="26"/>
          <w:lang w:eastAsia="ru-RU"/>
        </w:rPr>
        <w:t>м</w:t>
      </w:r>
      <w:r>
        <w:rPr>
          <w:sz w:val="26"/>
          <w:szCs w:val="26"/>
          <w:lang w:eastAsia="ru-RU"/>
        </w:rPr>
        <w:t>и</w:t>
      </w:r>
      <w:r w:rsidRPr="004761E0">
        <w:rPr>
          <w:sz w:val="26"/>
          <w:szCs w:val="26"/>
          <w:lang w:eastAsia="ru-RU"/>
        </w:rPr>
        <w:t>,</w:t>
      </w:r>
      <w:r>
        <w:rPr>
          <w:sz w:val="26"/>
          <w:szCs w:val="26"/>
          <w:lang w:eastAsia="ru-RU"/>
        </w:rPr>
        <w:t xml:space="preserve"> энергосбытовыми компаниями, </w:t>
      </w:r>
      <w:r w:rsidRPr="004761E0">
        <w:rPr>
          <w:sz w:val="26"/>
          <w:szCs w:val="26"/>
          <w:lang w:eastAsia="ru-RU"/>
        </w:rPr>
        <w:t xml:space="preserve"> прямыми потребителями) и сетевыми компаниями (ТСО, ОАО «ФСК ЕЭС») по тарифам на оказание услуг по передаче электроэнергии, устанавливаемым Региональной энергетической комиссией </w:t>
      </w:r>
      <w:proofErr w:type="gramStart"/>
      <w:r w:rsidRPr="004761E0">
        <w:rPr>
          <w:sz w:val="26"/>
          <w:szCs w:val="26"/>
          <w:lang w:eastAsia="ru-RU"/>
        </w:rPr>
        <w:t>г</w:t>
      </w:r>
      <w:proofErr w:type="gramEnd"/>
      <w:r w:rsidRPr="004761E0">
        <w:rPr>
          <w:sz w:val="26"/>
          <w:szCs w:val="26"/>
          <w:lang w:eastAsia="ru-RU"/>
        </w:rPr>
        <w:t>. Москвы и Комитетом по ценам и тарифам Московской области.</w:t>
      </w:r>
    </w:p>
    <w:p w:rsidR="0019221B" w:rsidRDefault="0019221B" w:rsidP="0019221B">
      <w:pPr>
        <w:ind w:firstLine="567"/>
        <w:rPr>
          <w:sz w:val="26"/>
          <w:szCs w:val="26"/>
          <w:lang w:eastAsia="ru-RU"/>
        </w:rPr>
      </w:pPr>
      <w:r w:rsidRPr="004761E0">
        <w:rPr>
          <w:sz w:val="26"/>
          <w:szCs w:val="26"/>
          <w:lang w:eastAsia="ru-RU"/>
        </w:rPr>
        <w:t>В процессе передачи электроэнергии в электрических сетях возникают потери электроэнергии, обусловленные технологическим процессом передачи электр</w:t>
      </w:r>
      <w:r>
        <w:rPr>
          <w:sz w:val="26"/>
          <w:szCs w:val="26"/>
          <w:lang w:eastAsia="ru-RU"/>
        </w:rPr>
        <w:t>оэнергии. Потери электроэнергии</w:t>
      </w:r>
      <w:r w:rsidRPr="004761E0">
        <w:rPr>
          <w:sz w:val="26"/>
          <w:szCs w:val="26"/>
          <w:lang w:eastAsia="ru-RU"/>
        </w:rPr>
        <w:t xml:space="preserve"> определя</w:t>
      </w:r>
      <w:r>
        <w:rPr>
          <w:sz w:val="26"/>
          <w:szCs w:val="26"/>
          <w:lang w:eastAsia="ru-RU"/>
        </w:rPr>
        <w:t>ются</w:t>
      </w:r>
      <w:r w:rsidRPr="004761E0">
        <w:rPr>
          <w:sz w:val="26"/>
          <w:szCs w:val="26"/>
          <w:lang w:eastAsia="ru-RU"/>
        </w:rPr>
        <w:t xml:space="preserve"> как разница между объемом </w:t>
      </w:r>
      <w:r>
        <w:rPr>
          <w:sz w:val="26"/>
          <w:szCs w:val="26"/>
          <w:lang w:eastAsia="ru-RU"/>
        </w:rPr>
        <w:t xml:space="preserve">электроэнергии, </w:t>
      </w:r>
      <w:r w:rsidRPr="004761E0">
        <w:rPr>
          <w:sz w:val="26"/>
          <w:szCs w:val="26"/>
          <w:lang w:eastAsia="ru-RU"/>
        </w:rPr>
        <w:t>поступившей в сети</w:t>
      </w:r>
      <w:r>
        <w:rPr>
          <w:sz w:val="26"/>
          <w:szCs w:val="26"/>
          <w:lang w:eastAsia="ru-RU"/>
        </w:rPr>
        <w:t xml:space="preserve"> ОАО «МОЭСК»,</w:t>
      </w:r>
      <w:r w:rsidRPr="004761E0">
        <w:rPr>
          <w:sz w:val="26"/>
          <w:szCs w:val="26"/>
          <w:lang w:eastAsia="ru-RU"/>
        </w:rPr>
        <w:t xml:space="preserve"> и объемом электроэнергии, </w:t>
      </w:r>
      <w:r>
        <w:rPr>
          <w:sz w:val="26"/>
          <w:szCs w:val="26"/>
          <w:lang w:eastAsia="ru-RU"/>
        </w:rPr>
        <w:t xml:space="preserve">отпущенной из сети ОАО «МОЭСК». Указанный объем потерь </w:t>
      </w:r>
      <w:r w:rsidRPr="004761E0">
        <w:rPr>
          <w:sz w:val="26"/>
          <w:szCs w:val="26"/>
          <w:lang w:eastAsia="ru-RU"/>
        </w:rPr>
        <w:t>ОАО «МОЭСК» покупа</w:t>
      </w:r>
      <w:r>
        <w:rPr>
          <w:sz w:val="26"/>
          <w:szCs w:val="26"/>
          <w:lang w:eastAsia="ru-RU"/>
        </w:rPr>
        <w:t>е</w:t>
      </w:r>
      <w:r w:rsidRPr="004761E0">
        <w:rPr>
          <w:sz w:val="26"/>
          <w:szCs w:val="26"/>
          <w:lang w:eastAsia="ru-RU"/>
        </w:rPr>
        <w:t>т у гарантирующего поставщика по договору купли-продажи электроэнергии</w:t>
      </w:r>
      <w:r>
        <w:rPr>
          <w:sz w:val="26"/>
          <w:szCs w:val="26"/>
          <w:lang w:eastAsia="ru-RU"/>
        </w:rPr>
        <w:t>.</w:t>
      </w:r>
    </w:p>
    <w:p w:rsidR="006D32CC" w:rsidRPr="004761E0" w:rsidRDefault="006D32CC" w:rsidP="0019221B">
      <w:pPr>
        <w:ind w:firstLine="567"/>
        <w:rPr>
          <w:sz w:val="26"/>
          <w:szCs w:val="26"/>
          <w:lang w:eastAsia="ru-RU"/>
        </w:rPr>
      </w:pPr>
      <w:r w:rsidRPr="004761E0">
        <w:rPr>
          <w:noProof/>
          <w:lang w:eastAsia="ru-RU"/>
        </w:rPr>
        <w:lastRenderedPageBreak/>
        <w:drawing>
          <wp:inline distT="0" distB="0" distL="0" distR="0">
            <wp:extent cx="5429250" cy="4059599"/>
            <wp:effectExtent l="19050" t="0" r="0" b="0"/>
            <wp:docPr id="69" name="Рисунок 1" descr="МОДЕЛЬ РЫ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МОДЕЛЬ РЫНКА.jpg"/>
                    <pic:cNvPicPr>
                      <a:picLocks noChangeAspect="1"/>
                    </pic:cNvPicPr>
                  </pic:nvPicPr>
                  <pic:blipFill>
                    <a:blip r:embed="rId35" cstate="print"/>
                    <a:stretch>
                      <a:fillRect/>
                    </a:stretch>
                  </pic:blipFill>
                  <pic:spPr>
                    <a:xfrm>
                      <a:off x="0" y="0"/>
                      <a:ext cx="5429564" cy="4059834"/>
                    </a:xfrm>
                    <a:prstGeom prst="rect">
                      <a:avLst/>
                    </a:prstGeom>
                  </pic:spPr>
                </pic:pic>
              </a:graphicData>
            </a:graphic>
          </wp:inline>
        </w:drawing>
      </w:r>
    </w:p>
    <w:p w:rsidR="00F842E0" w:rsidRDefault="00F842E0">
      <w:pPr>
        <w:ind w:firstLine="0"/>
        <w:jc w:val="left"/>
        <w:rPr>
          <w:b/>
          <w:sz w:val="26"/>
          <w:szCs w:val="26"/>
        </w:rPr>
      </w:pPr>
      <w:r>
        <w:rPr>
          <w:b/>
          <w:sz w:val="26"/>
          <w:szCs w:val="26"/>
        </w:rPr>
        <w:br w:type="page"/>
      </w:r>
    </w:p>
    <w:p w:rsidR="00C0652D" w:rsidRDefault="00DE5327" w:rsidP="00F842E0">
      <w:pPr>
        <w:spacing w:before="120" w:after="120"/>
        <w:ind w:firstLine="567"/>
        <w:rPr>
          <w:b/>
          <w:sz w:val="26"/>
          <w:szCs w:val="26"/>
        </w:rPr>
      </w:pPr>
      <w:r w:rsidRPr="004761E0">
        <w:rPr>
          <w:b/>
          <w:sz w:val="26"/>
          <w:szCs w:val="26"/>
        </w:rPr>
        <w:lastRenderedPageBreak/>
        <w:t>Процесс «Технологическое присоединение»</w:t>
      </w:r>
    </w:p>
    <w:tbl>
      <w:tblPr>
        <w:tblW w:w="10053" w:type="dxa"/>
        <w:tblInd w:w="108" w:type="dxa"/>
        <w:tblCellMar>
          <w:left w:w="0" w:type="dxa"/>
          <w:right w:w="0" w:type="dxa"/>
        </w:tblCellMar>
        <w:tblLook w:val="04A0"/>
      </w:tblPr>
      <w:tblGrid>
        <w:gridCol w:w="666"/>
        <w:gridCol w:w="9387"/>
      </w:tblGrid>
      <w:tr w:rsidR="003E17AA" w:rsidTr="003E17AA">
        <w:trPr>
          <w:trHeight w:val="264"/>
        </w:trPr>
        <w:tc>
          <w:tcPr>
            <w:tcW w:w="566" w:type="dxa"/>
            <w:tcBorders>
              <w:top w:val="single" w:sz="8" w:space="0" w:color="auto"/>
              <w:left w:val="single" w:sz="8" w:space="0" w:color="auto"/>
              <w:bottom w:val="single" w:sz="4" w:space="0" w:color="auto"/>
              <w:right w:val="single" w:sz="8" w:space="0" w:color="FFFFFF"/>
            </w:tcBorders>
            <w:shd w:val="clear" w:color="auto" w:fill="0F243E"/>
            <w:tcMar>
              <w:top w:w="0" w:type="dxa"/>
              <w:left w:w="108" w:type="dxa"/>
              <w:bottom w:w="0" w:type="dxa"/>
              <w:right w:w="108" w:type="dxa"/>
            </w:tcMar>
            <w:hideMark/>
          </w:tcPr>
          <w:p w:rsidR="003E17AA" w:rsidRDefault="003E17AA" w:rsidP="003E17AA">
            <w:pPr>
              <w:spacing w:before="120" w:after="120"/>
              <w:ind w:firstLine="0"/>
              <w:rPr>
                <w:rFonts w:eastAsiaTheme="minorHAnsi"/>
                <w:b/>
                <w:bCs/>
                <w:color w:val="FFFFFF"/>
                <w:sz w:val="20"/>
                <w:szCs w:val="20"/>
              </w:rPr>
            </w:pPr>
            <w:r>
              <w:rPr>
                <w:b/>
                <w:bCs/>
                <w:color w:val="FFFFFF"/>
                <w:sz w:val="20"/>
                <w:szCs w:val="20"/>
              </w:rPr>
              <w:t xml:space="preserve">Этап </w:t>
            </w:r>
          </w:p>
        </w:tc>
        <w:tc>
          <w:tcPr>
            <w:tcW w:w="9487" w:type="dxa"/>
            <w:tcBorders>
              <w:top w:val="single" w:sz="8" w:space="0" w:color="auto"/>
              <w:left w:val="nil"/>
              <w:bottom w:val="single" w:sz="4" w:space="0" w:color="auto"/>
              <w:right w:val="single" w:sz="8" w:space="0" w:color="auto"/>
            </w:tcBorders>
            <w:shd w:val="clear" w:color="auto" w:fill="0F243E"/>
            <w:tcMar>
              <w:top w:w="0" w:type="dxa"/>
              <w:left w:w="108" w:type="dxa"/>
              <w:bottom w:w="0" w:type="dxa"/>
              <w:right w:w="108" w:type="dxa"/>
            </w:tcMar>
            <w:hideMark/>
          </w:tcPr>
          <w:p w:rsidR="003E17AA" w:rsidRDefault="003E17AA" w:rsidP="003E17AA">
            <w:pPr>
              <w:spacing w:before="120" w:after="120"/>
              <w:ind w:firstLine="0"/>
              <w:rPr>
                <w:rFonts w:eastAsiaTheme="minorHAnsi"/>
                <w:b/>
                <w:bCs/>
                <w:color w:val="FFFFFF"/>
                <w:sz w:val="20"/>
                <w:szCs w:val="20"/>
              </w:rPr>
            </w:pPr>
            <w:r>
              <w:rPr>
                <w:b/>
                <w:bCs/>
                <w:color w:val="FFFFFF"/>
                <w:sz w:val="20"/>
                <w:szCs w:val="20"/>
              </w:rPr>
              <w:t xml:space="preserve">Технологическое присоединение </w:t>
            </w:r>
          </w:p>
        </w:tc>
      </w:tr>
      <w:tr w:rsidR="003E17AA" w:rsidTr="003E17AA">
        <w:trPr>
          <w:trHeight w:val="36"/>
        </w:trPr>
        <w:tc>
          <w:tcPr>
            <w:tcW w:w="5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E17AA" w:rsidRPr="003E17AA" w:rsidRDefault="003E17AA" w:rsidP="007076A7">
            <w:pPr>
              <w:pStyle w:val="a5"/>
              <w:numPr>
                <w:ilvl w:val="0"/>
                <w:numId w:val="332"/>
              </w:numPr>
              <w:ind w:left="0" w:firstLine="0"/>
              <w:contextualSpacing w:val="0"/>
              <w:jc w:val="left"/>
              <w:rPr>
                <w:bCs/>
                <w:sz w:val="20"/>
                <w:szCs w:val="20"/>
              </w:rPr>
            </w:pPr>
          </w:p>
        </w:tc>
        <w:tc>
          <w:tcPr>
            <w:tcW w:w="94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17AA" w:rsidRPr="003E17AA" w:rsidRDefault="003E17AA" w:rsidP="003E17AA">
            <w:pPr>
              <w:ind w:firstLine="0"/>
              <w:rPr>
                <w:rFonts w:eastAsiaTheme="minorHAnsi"/>
                <w:sz w:val="20"/>
                <w:szCs w:val="20"/>
              </w:rPr>
            </w:pPr>
            <w:r w:rsidRPr="003E17AA">
              <w:rPr>
                <w:sz w:val="20"/>
                <w:szCs w:val="20"/>
              </w:rPr>
              <w:t>Подача юридическим или физическим лицом (</w:t>
            </w:r>
            <w:r>
              <w:rPr>
                <w:sz w:val="20"/>
                <w:szCs w:val="20"/>
              </w:rPr>
              <w:t xml:space="preserve">далее в разделе - </w:t>
            </w:r>
            <w:r w:rsidRPr="003E17AA">
              <w:rPr>
                <w:sz w:val="20"/>
                <w:szCs w:val="20"/>
              </w:rPr>
              <w:t>заявитель) заявки на технологическое присоединение</w:t>
            </w:r>
          </w:p>
        </w:tc>
      </w:tr>
      <w:tr w:rsidR="003E17AA" w:rsidTr="003E17AA">
        <w:trPr>
          <w:trHeight w:val="36"/>
        </w:trPr>
        <w:tc>
          <w:tcPr>
            <w:tcW w:w="5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E17AA" w:rsidRPr="003E17AA" w:rsidRDefault="003E17AA" w:rsidP="007076A7">
            <w:pPr>
              <w:pStyle w:val="a5"/>
              <w:numPr>
                <w:ilvl w:val="0"/>
                <w:numId w:val="332"/>
              </w:numPr>
              <w:ind w:left="0" w:firstLine="0"/>
              <w:contextualSpacing w:val="0"/>
              <w:jc w:val="left"/>
              <w:rPr>
                <w:bCs/>
                <w:sz w:val="20"/>
                <w:szCs w:val="20"/>
              </w:rPr>
            </w:pPr>
          </w:p>
        </w:tc>
        <w:tc>
          <w:tcPr>
            <w:tcW w:w="94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17AA" w:rsidRPr="003E17AA" w:rsidRDefault="003E17AA" w:rsidP="003E17AA">
            <w:pPr>
              <w:ind w:firstLine="0"/>
              <w:rPr>
                <w:rFonts w:eastAsiaTheme="minorHAnsi"/>
                <w:sz w:val="20"/>
                <w:szCs w:val="20"/>
              </w:rPr>
            </w:pPr>
            <w:r w:rsidRPr="003E17AA">
              <w:rPr>
                <w:sz w:val="20"/>
                <w:szCs w:val="20"/>
              </w:rPr>
              <w:t>Заключение договора об осуществлении технологического присоединения электрическим сетям</w:t>
            </w:r>
          </w:p>
        </w:tc>
      </w:tr>
      <w:tr w:rsidR="003E17AA" w:rsidTr="003E17AA">
        <w:trPr>
          <w:trHeight w:val="257"/>
        </w:trPr>
        <w:tc>
          <w:tcPr>
            <w:tcW w:w="5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E17AA" w:rsidRPr="003E17AA" w:rsidRDefault="003E17AA" w:rsidP="007076A7">
            <w:pPr>
              <w:pStyle w:val="a5"/>
              <w:numPr>
                <w:ilvl w:val="0"/>
                <w:numId w:val="332"/>
              </w:numPr>
              <w:ind w:left="0" w:firstLine="0"/>
              <w:contextualSpacing w:val="0"/>
              <w:jc w:val="left"/>
              <w:rPr>
                <w:bCs/>
                <w:sz w:val="20"/>
                <w:szCs w:val="20"/>
              </w:rPr>
            </w:pPr>
          </w:p>
        </w:tc>
        <w:tc>
          <w:tcPr>
            <w:tcW w:w="94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17AA" w:rsidRPr="003E17AA" w:rsidRDefault="003E17AA" w:rsidP="003E17AA">
            <w:pPr>
              <w:ind w:firstLine="0"/>
              <w:rPr>
                <w:rFonts w:eastAsiaTheme="minorHAnsi"/>
                <w:sz w:val="20"/>
                <w:szCs w:val="20"/>
              </w:rPr>
            </w:pPr>
            <w:r w:rsidRPr="003E17AA">
              <w:rPr>
                <w:sz w:val="20"/>
                <w:szCs w:val="20"/>
              </w:rPr>
              <w:t xml:space="preserve">Выполнение сторонами договора технологического присоединения мероприятий, предусмотренных данным договором </w:t>
            </w:r>
          </w:p>
        </w:tc>
      </w:tr>
      <w:tr w:rsidR="003E17AA" w:rsidTr="003E17AA">
        <w:trPr>
          <w:trHeight w:val="34"/>
        </w:trPr>
        <w:tc>
          <w:tcPr>
            <w:tcW w:w="5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E17AA" w:rsidRPr="003E17AA" w:rsidRDefault="003E17AA" w:rsidP="007076A7">
            <w:pPr>
              <w:pStyle w:val="a5"/>
              <w:numPr>
                <w:ilvl w:val="0"/>
                <w:numId w:val="332"/>
              </w:numPr>
              <w:ind w:left="0" w:firstLine="0"/>
              <w:contextualSpacing w:val="0"/>
              <w:jc w:val="left"/>
              <w:rPr>
                <w:bCs/>
                <w:sz w:val="20"/>
                <w:szCs w:val="20"/>
              </w:rPr>
            </w:pPr>
          </w:p>
        </w:tc>
        <w:tc>
          <w:tcPr>
            <w:tcW w:w="94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17AA" w:rsidRPr="003E17AA" w:rsidRDefault="003E17AA" w:rsidP="003E17AA">
            <w:pPr>
              <w:ind w:firstLine="0"/>
              <w:rPr>
                <w:rFonts w:eastAsiaTheme="minorHAnsi"/>
                <w:sz w:val="20"/>
                <w:szCs w:val="20"/>
              </w:rPr>
            </w:pPr>
            <w:r w:rsidRPr="003E17AA">
              <w:rPr>
                <w:sz w:val="20"/>
                <w:szCs w:val="20"/>
              </w:rPr>
              <w:t>Получение разрешения органа федерального государственного энергетического надзора на допуск к эксплуатации объектов заявителя</w:t>
            </w:r>
          </w:p>
        </w:tc>
      </w:tr>
      <w:tr w:rsidR="003E17AA" w:rsidTr="003E17AA">
        <w:trPr>
          <w:trHeight w:val="34"/>
        </w:trPr>
        <w:tc>
          <w:tcPr>
            <w:tcW w:w="5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17AA" w:rsidRPr="003E17AA" w:rsidRDefault="003E17AA" w:rsidP="007076A7">
            <w:pPr>
              <w:pStyle w:val="a5"/>
              <w:numPr>
                <w:ilvl w:val="1"/>
                <w:numId w:val="332"/>
              </w:numPr>
              <w:contextualSpacing w:val="0"/>
              <w:jc w:val="left"/>
              <w:rPr>
                <w:bCs/>
                <w:sz w:val="20"/>
                <w:szCs w:val="20"/>
              </w:rPr>
            </w:pPr>
          </w:p>
        </w:tc>
        <w:tc>
          <w:tcPr>
            <w:tcW w:w="94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17AA" w:rsidRPr="003E17AA" w:rsidRDefault="003E17AA" w:rsidP="003E17AA">
            <w:pPr>
              <w:ind w:firstLine="0"/>
              <w:rPr>
                <w:rFonts w:ascii="Calibri" w:eastAsiaTheme="minorHAnsi" w:hAnsi="Calibri"/>
                <w:sz w:val="20"/>
                <w:szCs w:val="20"/>
              </w:rPr>
            </w:pPr>
            <w:r w:rsidRPr="003E17AA">
              <w:rPr>
                <w:sz w:val="20"/>
                <w:szCs w:val="20"/>
              </w:rPr>
              <w:t>Осуществление сетевой организацией фактического присоединения объектов заявителя к электрическим сетям</w:t>
            </w:r>
          </w:p>
        </w:tc>
      </w:tr>
      <w:tr w:rsidR="003E17AA" w:rsidTr="003E17AA">
        <w:trPr>
          <w:trHeight w:val="385"/>
        </w:trPr>
        <w:tc>
          <w:tcPr>
            <w:tcW w:w="5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17AA" w:rsidRPr="003E17AA" w:rsidRDefault="003E17AA" w:rsidP="007076A7">
            <w:pPr>
              <w:pStyle w:val="a5"/>
              <w:numPr>
                <w:ilvl w:val="1"/>
                <w:numId w:val="332"/>
              </w:numPr>
              <w:contextualSpacing w:val="0"/>
              <w:jc w:val="left"/>
              <w:rPr>
                <w:bCs/>
                <w:sz w:val="20"/>
                <w:szCs w:val="20"/>
              </w:rPr>
            </w:pPr>
          </w:p>
        </w:tc>
        <w:tc>
          <w:tcPr>
            <w:tcW w:w="94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17AA" w:rsidRPr="003E17AA" w:rsidRDefault="003E17AA" w:rsidP="003E17AA">
            <w:pPr>
              <w:ind w:firstLine="0"/>
              <w:rPr>
                <w:rFonts w:ascii="Calibri" w:eastAsiaTheme="minorHAnsi" w:hAnsi="Calibri"/>
                <w:sz w:val="20"/>
                <w:szCs w:val="20"/>
              </w:rPr>
            </w:pPr>
            <w:r w:rsidRPr="003E17AA">
              <w:rPr>
                <w:sz w:val="20"/>
                <w:szCs w:val="20"/>
              </w:rPr>
              <w:t>Фактический прием (подача) напряжения и мощности, осуществляемый путем включения коммутационного аппарата (фиксация коммутационного аппарата в положении «включено»)</w:t>
            </w:r>
          </w:p>
        </w:tc>
      </w:tr>
      <w:tr w:rsidR="003E17AA" w:rsidTr="003E17AA">
        <w:trPr>
          <w:trHeight w:val="368"/>
        </w:trPr>
        <w:tc>
          <w:tcPr>
            <w:tcW w:w="5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E17AA" w:rsidRPr="003E17AA" w:rsidRDefault="003E17AA" w:rsidP="007076A7">
            <w:pPr>
              <w:pStyle w:val="a5"/>
              <w:numPr>
                <w:ilvl w:val="0"/>
                <w:numId w:val="332"/>
              </w:numPr>
              <w:ind w:left="0" w:firstLine="0"/>
              <w:contextualSpacing w:val="0"/>
              <w:jc w:val="left"/>
              <w:rPr>
                <w:bCs/>
                <w:sz w:val="20"/>
                <w:szCs w:val="20"/>
              </w:rPr>
            </w:pPr>
          </w:p>
        </w:tc>
        <w:tc>
          <w:tcPr>
            <w:tcW w:w="94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17AA" w:rsidRPr="003E17AA" w:rsidRDefault="003E17AA" w:rsidP="003E17AA">
            <w:pPr>
              <w:ind w:firstLine="0"/>
              <w:rPr>
                <w:rFonts w:eastAsiaTheme="minorHAnsi"/>
                <w:sz w:val="20"/>
                <w:szCs w:val="20"/>
              </w:rPr>
            </w:pPr>
            <w:r w:rsidRPr="003E17AA">
              <w:rPr>
                <w:sz w:val="20"/>
                <w:szCs w:val="20"/>
              </w:rPr>
              <w:t>Подписание сторонами договора технологического присоединения документов, подтверждающих надлежащее технологическое присоединение.</w:t>
            </w:r>
          </w:p>
        </w:tc>
      </w:tr>
      <w:tr w:rsidR="003E17AA" w:rsidTr="003E17AA">
        <w:trPr>
          <w:trHeight w:val="222"/>
        </w:trPr>
        <w:tc>
          <w:tcPr>
            <w:tcW w:w="5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17AA" w:rsidRPr="003E17AA" w:rsidRDefault="003E17AA" w:rsidP="007076A7">
            <w:pPr>
              <w:pStyle w:val="a5"/>
              <w:numPr>
                <w:ilvl w:val="1"/>
                <w:numId w:val="332"/>
              </w:numPr>
              <w:contextualSpacing w:val="0"/>
              <w:jc w:val="left"/>
              <w:rPr>
                <w:bCs/>
                <w:sz w:val="20"/>
                <w:szCs w:val="20"/>
              </w:rPr>
            </w:pPr>
          </w:p>
        </w:tc>
        <w:tc>
          <w:tcPr>
            <w:tcW w:w="94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17AA" w:rsidRPr="003E17AA" w:rsidRDefault="003E17AA" w:rsidP="003E17AA">
            <w:pPr>
              <w:ind w:firstLine="0"/>
              <w:rPr>
                <w:rFonts w:ascii="Calibri" w:eastAsiaTheme="minorHAnsi" w:hAnsi="Calibri"/>
                <w:sz w:val="20"/>
                <w:szCs w:val="20"/>
              </w:rPr>
            </w:pPr>
            <w:r w:rsidRPr="003E17AA">
              <w:rPr>
                <w:sz w:val="20"/>
                <w:szCs w:val="20"/>
              </w:rPr>
              <w:t>Подпис</w:t>
            </w:r>
            <w:r>
              <w:rPr>
                <w:sz w:val="20"/>
                <w:szCs w:val="20"/>
              </w:rPr>
              <w:t xml:space="preserve">ание договора энергоснабжения </w:t>
            </w:r>
            <w:proofErr w:type="gramStart"/>
            <w:r>
              <w:rPr>
                <w:sz w:val="20"/>
                <w:szCs w:val="20"/>
              </w:rPr>
              <w:t>с</w:t>
            </w:r>
            <w:proofErr w:type="gramEnd"/>
            <w:r>
              <w:rPr>
                <w:sz w:val="20"/>
                <w:szCs w:val="20"/>
              </w:rPr>
              <w:t xml:space="preserve"> </w:t>
            </w:r>
            <w:r w:rsidRPr="003E17AA">
              <w:rPr>
                <w:sz w:val="20"/>
                <w:szCs w:val="20"/>
              </w:rPr>
              <w:t>сбытовой организацией</w:t>
            </w:r>
            <w:r>
              <w:rPr>
                <w:sz w:val="20"/>
                <w:szCs w:val="20"/>
              </w:rPr>
              <w:t>.</w:t>
            </w:r>
          </w:p>
        </w:tc>
      </w:tr>
    </w:tbl>
    <w:p w:rsidR="003E17AA" w:rsidRPr="003E17AA" w:rsidRDefault="003E17AA" w:rsidP="003E17AA">
      <w:pPr>
        <w:rPr>
          <w:sz w:val="26"/>
          <w:szCs w:val="26"/>
        </w:rPr>
      </w:pPr>
      <w:r w:rsidRPr="003E17AA">
        <w:rPr>
          <w:sz w:val="26"/>
          <w:szCs w:val="26"/>
        </w:rPr>
        <w:t>Более подробн</w:t>
      </w:r>
      <w:r>
        <w:rPr>
          <w:sz w:val="26"/>
          <w:szCs w:val="26"/>
        </w:rPr>
        <w:t>ая</w:t>
      </w:r>
      <w:r w:rsidRPr="003E17AA">
        <w:rPr>
          <w:sz w:val="26"/>
          <w:szCs w:val="26"/>
        </w:rPr>
        <w:t xml:space="preserve"> информаци</w:t>
      </w:r>
      <w:r>
        <w:rPr>
          <w:sz w:val="26"/>
          <w:szCs w:val="26"/>
        </w:rPr>
        <w:t>я</w:t>
      </w:r>
      <w:r w:rsidRPr="003E17AA">
        <w:rPr>
          <w:sz w:val="26"/>
          <w:szCs w:val="26"/>
        </w:rPr>
        <w:t xml:space="preserve"> о процессе технологического присоединения </w:t>
      </w:r>
      <w:r>
        <w:rPr>
          <w:sz w:val="26"/>
          <w:szCs w:val="26"/>
        </w:rPr>
        <w:t xml:space="preserve">представлена </w:t>
      </w:r>
      <w:r w:rsidRPr="003E17AA">
        <w:rPr>
          <w:sz w:val="26"/>
          <w:szCs w:val="26"/>
        </w:rPr>
        <w:t>на портале</w:t>
      </w:r>
      <w:r>
        <w:rPr>
          <w:sz w:val="26"/>
          <w:szCs w:val="26"/>
        </w:rPr>
        <w:t xml:space="preserve"> ОАО «МОЭСК» по адресу </w:t>
      </w:r>
      <w:r>
        <w:rPr>
          <w:sz w:val="26"/>
          <w:szCs w:val="26"/>
          <w:lang w:val="en-US"/>
        </w:rPr>
        <w:t>utp</w:t>
      </w:r>
      <w:r w:rsidRPr="003E17AA">
        <w:rPr>
          <w:sz w:val="26"/>
          <w:szCs w:val="26"/>
        </w:rPr>
        <w:t>.</w:t>
      </w:r>
      <w:r>
        <w:rPr>
          <w:sz w:val="26"/>
          <w:szCs w:val="26"/>
          <w:lang w:val="en-US"/>
        </w:rPr>
        <w:t>moesk</w:t>
      </w:r>
      <w:r w:rsidRPr="003E17AA">
        <w:rPr>
          <w:sz w:val="26"/>
          <w:szCs w:val="26"/>
        </w:rPr>
        <w:t>.</w:t>
      </w:r>
      <w:r>
        <w:rPr>
          <w:sz w:val="26"/>
          <w:szCs w:val="26"/>
          <w:lang w:val="en-US"/>
        </w:rPr>
        <w:t>ru</w:t>
      </w:r>
      <w:r>
        <w:rPr>
          <w:sz w:val="26"/>
          <w:szCs w:val="26"/>
        </w:rPr>
        <w:t>.</w:t>
      </w:r>
    </w:p>
    <w:p w:rsidR="00A05E17" w:rsidRDefault="00A05E17" w:rsidP="00A05E17">
      <w:r>
        <w:br w:type="page"/>
      </w:r>
    </w:p>
    <w:p w:rsidR="00A05E17" w:rsidRPr="00A05E17" w:rsidRDefault="00131054" w:rsidP="007076A7">
      <w:pPr>
        <w:pStyle w:val="11"/>
        <w:numPr>
          <w:ilvl w:val="0"/>
          <w:numId w:val="321"/>
        </w:numPr>
        <w:spacing w:before="120" w:after="120"/>
        <w:ind w:left="1134" w:hanging="567"/>
        <w:rPr>
          <w:rFonts w:ascii="Times New Roman" w:hAnsi="Times New Roman"/>
          <w:sz w:val="26"/>
          <w:szCs w:val="26"/>
          <w:lang w:eastAsia="ru-RU"/>
        </w:rPr>
      </w:pPr>
      <w:bookmarkStart w:id="24" w:name="_Toc380576898"/>
      <w:bookmarkStart w:id="25" w:name="_Toc385339796"/>
      <w:r w:rsidRPr="00A05E17">
        <w:rPr>
          <w:rFonts w:ascii="Times New Roman" w:hAnsi="Times New Roman"/>
          <w:sz w:val="26"/>
          <w:szCs w:val="26"/>
          <w:lang w:eastAsia="ru-RU"/>
        </w:rPr>
        <w:lastRenderedPageBreak/>
        <w:t>Стратегия</w:t>
      </w:r>
      <w:bookmarkStart w:id="26" w:name="_Toc380576899"/>
      <w:bookmarkEnd w:id="24"/>
      <w:bookmarkEnd w:id="25"/>
    </w:p>
    <w:p w:rsidR="00136A10" w:rsidRPr="00A05E17" w:rsidRDefault="00E34ACB" w:rsidP="007076A7">
      <w:pPr>
        <w:pStyle w:val="a8"/>
        <w:numPr>
          <w:ilvl w:val="1"/>
          <w:numId w:val="321"/>
        </w:numPr>
        <w:spacing w:before="120" w:after="120"/>
        <w:ind w:left="1287"/>
        <w:jc w:val="left"/>
        <w:rPr>
          <w:rFonts w:ascii="Times New Roman" w:hAnsi="Times New Roman"/>
          <w:b/>
          <w:sz w:val="26"/>
          <w:szCs w:val="26"/>
        </w:rPr>
      </w:pPr>
      <w:bookmarkStart w:id="27" w:name="_Toc385339797"/>
      <w:r w:rsidRPr="00A05E17">
        <w:rPr>
          <w:rFonts w:ascii="Times New Roman" w:hAnsi="Times New Roman"/>
          <w:b/>
          <w:sz w:val="26"/>
          <w:szCs w:val="26"/>
        </w:rPr>
        <w:t xml:space="preserve">Интервью </w:t>
      </w:r>
      <w:bookmarkEnd w:id="26"/>
      <w:r w:rsidR="002A6EE0" w:rsidRPr="004761E0">
        <w:rPr>
          <w:rFonts w:ascii="Times New Roman" w:hAnsi="Times New Roman"/>
          <w:b/>
          <w:sz w:val="26"/>
          <w:szCs w:val="26"/>
        </w:rPr>
        <w:t>директора по автоматизации бизнес-процессов</w:t>
      </w:r>
      <w:bookmarkEnd w:id="27"/>
    </w:p>
    <w:p w:rsidR="002A6EE0" w:rsidRPr="002A6EE0" w:rsidRDefault="002A6EE0" w:rsidP="002A6EE0">
      <w:pPr>
        <w:spacing w:before="120" w:after="120"/>
        <w:ind w:firstLine="567"/>
        <w:rPr>
          <w:b/>
          <w:sz w:val="26"/>
          <w:szCs w:val="26"/>
        </w:rPr>
      </w:pPr>
      <w:bookmarkStart w:id="28" w:name="_Toc380576900"/>
      <w:r w:rsidRPr="002A6EE0">
        <w:rPr>
          <w:b/>
          <w:sz w:val="26"/>
          <w:szCs w:val="26"/>
        </w:rPr>
        <w:t>Каковы основные результаты реализации в отчетном году Программы приоритетных задач до 2015 года?</w:t>
      </w:r>
    </w:p>
    <w:p w:rsidR="002A6EE0" w:rsidRPr="002A6EE0" w:rsidRDefault="002A6EE0" w:rsidP="002A6EE0">
      <w:pPr>
        <w:widowControl w:val="0"/>
        <w:ind w:firstLine="567"/>
        <w:rPr>
          <w:sz w:val="26"/>
          <w:szCs w:val="26"/>
        </w:rPr>
      </w:pPr>
      <w:r w:rsidRPr="002A6EE0">
        <w:rPr>
          <w:sz w:val="26"/>
          <w:szCs w:val="26"/>
        </w:rPr>
        <w:t>Прежде всего, вкратце обозначу основные векторы развития, которые нашли свое отражение в Программе приоритетных задач ОАО «МОЭСК» до 2015 г. Всего их пять:</w:t>
      </w:r>
    </w:p>
    <w:p w:rsidR="002A6EE0" w:rsidRPr="002A6EE0" w:rsidRDefault="002A6EE0" w:rsidP="002A6EE0">
      <w:pPr>
        <w:pStyle w:val="a5"/>
        <w:widowControl w:val="0"/>
        <w:numPr>
          <w:ilvl w:val="0"/>
          <w:numId w:val="339"/>
        </w:numPr>
        <w:ind w:left="1134" w:hanging="567"/>
        <w:contextualSpacing w:val="0"/>
        <w:rPr>
          <w:sz w:val="26"/>
          <w:szCs w:val="26"/>
        </w:rPr>
      </w:pPr>
      <w:r w:rsidRPr="002A6EE0">
        <w:rPr>
          <w:sz w:val="26"/>
          <w:szCs w:val="26"/>
        </w:rPr>
        <w:t>Повышение надежности электроснабжения Московского региона</w:t>
      </w:r>
      <w:r w:rsidR="005026BA">
        <w:rPr>
          <w:sz w:val="26"/>
          <w:szCs w:val="26"/>
        </w:rPr>
        <w:t>;</w:t>
      </w:r>
    </w:p>
    <w:p w:rsidR="002A6EE0" w:rsidRPr="002A6EE0" w:rsidRDefault="002A6EE0" w:rsidP="002A6EE0">
      <w:pPr>
        <w:pStyle w:val="a5"/>
        <w:widowControl w:val="0"/>
        <w:numPr>
          <w:ilvl w:val="0"/>
          <w:numId w:val="339"/>
        </w:numPr>
        <w:ind w:left="1134" w:hanging="567"/>
        <w:contextualSpacing w:val="0"/>
        <w:rPr>
          <w:sz w:val="26"/>
          <w:szCs w:val="26"/>
        </w:rPr>
      </w:pPr>
      <w:r w:rsidRPr="002A6EE0">
        <w:rPr>
          <w:sz w:val="26"/>
          <w:szCs w:val="26"/>
        </w:rPr>
        <w:t>Улучшение качества обслуживания потребителей и повышение доступности электросетевой инфраструктуры</w:t>
      </w:r>
      <w:r w:rsidR="005026BA">
        <w:rPr>
          <w:sz w:val="26"/>
          <w:szCs w:val="26"/>
        </w:rPr>
        <w:t>;</w:t>
      </w:r>
    </w:p>
    <w:p w:rsidR="002A6EE0" w:rsidRPr="002A6EE0" w:rsidRDefault="002A6EE0" w:rsidP="002A6EE0">
      <w:pPr>
        <w:pStyle w:val="a5"/>
        <w:widowControl w:val="0"/>
        <w:numPr>
          <w:ilvl w:val="0"/>
          <w:numId w:val="339"/>
        </w:numPr>
        <w:ind w:left="1134" w:hanging="567"/>
        <w:contextualSpacing w:val="0"/>
        <w:rPr>
          <w:sz w:val="26"/>
          <w:szCs w:val="26"/>
        </w:rPr>
      </w:pPr>
      <w:r w:rsidRPr="002A6EE0">
        <w:rPr>
          <w:sz w:val="26"/>
          <w:szCs w:val="26"/>
        </w:rPr>
        <w:t>Опережающие развитие сети и внедрение новых технологий</w:t>
      </w:r>
      <w:r w:rsidR="005026BA">
        <w:rPr>
          <w:sz w:val="26"/>
          <w:szCs w:val="26"/>
        </w:rPr>
        <w:t>;</w:t>
      </w:r>
    </w:p>
    <w:p w:rsidR="002A6EE0" w:rsidRPr="002A6EE0" w:rsidRDefault="002A6EE0" w:rsidP="002A6EE0">
      <w:pPr>
        <w:pStyle w:val="a5"/>
        <w:widowControl w:val="0"/>
        <w:numPr>
          <w:ilvl w:val="0"/>
          <w:numId w:val="339"/>
        </w:numPr>
        <w:ind w:left="1134" w:hanging="567"/>
        <w:contextualSpacing w:val="0"/>
        <w:rPr>
          <w:sz w:val="26"/>
          <w:szCs w:val="26"/>
        </w:rPr>
      </w:pPr>
      <w:r w:rsidRPr="002A6EE0">
        <w:rPr>
          <w:sz w:val="26"/>
          <w:szCs w:val="26"/>
        </w:rPr>
        <w:t>Рост инвестиционной привлекательности и капитализации</w:t>
      </w:r>
      <w:r w:rsidR="005026BA">
        <w:rPr>
          <w:sz w:val="26"/>
          <w:szCs w:val="26"/>
        </w:rPr>
        <w:t>;</w:t>
      </w:r>
    </w:p>
    <w:p w:rsidR="002A6EE0" w:rsidRPr="002A6EE0" w:rsidRDefault="002A6EE0" w:rsidP="002A6EE0">
      <w:pPr>
        <w:pStyle w:val="a5"/>
        <w:widowControl w:val="0"/>
        <w:numPr>
          <w:ilvl w:val="0"/>
          <w:numId w:val="339"/>
        </w:numPr>
        <w:ind w:left="1134" w:hanging="567"/>
        <w:contextualSpacing w:val="0"/>
        <w:rPr>
          <w:sz w:val="26"/>
          <w:szCs w:val="26"/>
        </w:rPr>
      </w:pPr>
      <w:r w:rsidRPr="002A6EE0">
        <w:rPr>
          <w:sz w:val="26"/>
          <w:szCs w:val="26"/>
        </w:rPr>
        <w:t>Повышение профессионализма и лояльности персонала компании</w:t>
      </w:r>
      <w:r w:rsidR="005026BA">
        <w:rPr>
          <w:sz w:val="26"/>
          <w:szCs w:val="26"/>
        </w:rPr>
        <w:t>.</w:t>
      </w:r>
    </w:p>
    <w:p w:rsidR="002A6EE0" w:rsidRPr="002A6EE0" w:rsidRDefault="002A6EE0" w:rsidP="002A6EE0">
      <w:pPr>
        <w:pStyle w:val="a5"/>
        <w:ind w:left="0" w:firstLine="567"/>
        <w:contextualSpacing w:val="0"/>
        <w:rPr>
          <w:sz w:val="26"/>
          <w:szCs w:val="26"/>
        </w:rPr>
      </w:pPr>
      <w:r w:rsidRPr="002A6EE0">
        <w:rPr>
          <w:sz w:val="26"/>
          <w:szCs w:val="26"/>
        </w:rPr>
        <w:t>Достижение каждой из 5 целей оценивается определенным набором ключевых показателей эффективности, в Программе также зафиксированы ключевые мероприятия, направленные на реализацию целей.</w:t>
      </w:r>
    </w:p>
    <w:p w:rsidR="002A6EE0" w:rsidRPr="002A6EE0" w:rsidRDefault="002A6EE0" w:rsidP="002A6EE0">
      <w:pPr>
        <w:pStyle w:val="a5"/>
        <w:ind w:left="0" w:firstLine="567"/>
        <w:contextualSpacing w:val="0"/>
        <w:rPr>
          <w:sz w:val="26"/>
          <w:szCs w:val="26"/>
        </w:rPr>
      </w:pPr>
      <w:r w:rsidRPr="002A6EE0">
        <w:rPr>
          <w:sz w:val="26"/>
          <w:szCs w:val="26"/>
        </w:rPr>
        <w:t>Что касается достигнутых в 2013 г</w:t>
      </w:r>
      <w:r w:rsidR="008F0ACD">
        <w:rPr>
          <w:sz w:val="26"/>
          <w:szCs w:val="26"/>
        </w:rPr>
        <w:t>оду</w:t>
      </w:r>
      <w:r w:rsidRPr="002A6EE0">
        <w:rPr>
          <w:sz w:val="26"/>
          <w:szCs w:val="26"/>
        </w:rPr>
        <w:t xml:space="preserve"> результатов в рамках реализации Программы – они более чем существенны. Несмотря на то, что Программа рассчитана на трехлетний период, ее реализация идет опережающими темпами. Следует отметить, что в ряде случаев </w:t>
      </w:r>
      <w:r w:rsidR="005026BA">
        <w:rPr>
          <w:sz w:val="26"/>
          <w:szCs w:val="26"/>
        </w:rPr>
        <w:t>К</w:t>
      </w:r>
      <w:r w:rsidRPr="002A6EE0">
        <w:rPr>
          <w:sz w:val="26"/>
          <w:szCs w:val="26"/>
        </w:rPr>
        <w:t>омпания уже в 2013 г</w:t>
      </w:r>
      <w:r w:rsidR="008F0ACD">
        <w:rPr>
          <w:sz w:val="26"/>
          <w:szCs w:val="26"/>
        </w:rPr>
        <w:t>оду</w:t>
      </w:r>
      <w:r w:rsidRPr="002A6EE0">
        <w:rPr>
          <w:sz w:val="26"/>
          <w:szCs w:val="26"/>
        </w:rPr>
        <w:t xml:space="preserve"> достигла результатов, которые изначально планировались на более поздние сроки.</w:t>
      </w:r>
    </w:p>
    <w:p w:rsidR="002A6EE0" w:rsidRPr="002A6EE0" w:rsidRDefault="002A6EE0" w:rsidP="002A6EE0">
      <w:pPr>
        <w:pStyle w:val="a5"/>
        <w:ind w:left="0" w:firstLine="567"/>
        <w:contextualSpacing w:val="0"/>
        <w:rPr>
          <w:sz w:val="26"/>
          <w:szCs w:val="26"/>
        </w:rPr>
      </w:pPr>
      <w:r w:rsidRPr="002A6EE0">
        <w:rPr>
          <w:sz w:val="26"/>
          <w:szCs w:val="26"/>
        </w:rPr>
        <w:t>В первую очередь здесь стоит выделить цели, связанные с надежностью электроснабжения и повышением качества обслуживания потребителей. Именно эти направления оказались наиболее успешными – достигнутые показатели говорят сами за себя.</w:t>
      </w:r>
    </w:p>
    <w:p w:rsidR="002A6EE0" w:rsidRPr="002A6EE0" w:rsidRDefault="002A6EE0" w:rsidP="002A6EE0">
      <w:pPr>
        <w:pStyle w:val="a5"/>
        <w:ind w:left="0" w:firstLine="567"/>
        <w:contextualSpacing w:val="0"/>
        <w:rPr>
          <w:sz w:val="26"/>
          <w:szCs w:val="26"/>
        </w:rPr>
      </w:pPr>
      <w:r w:rsidRPr="002A6EE0">
        <w:rPr>
          <w:sz w:val="26"/>
          <w:szCs w:val="26"/>
        </w:rPr>
        <w:t>Так, например, совокупность целенаправленных технических и организационных мероприятий позволила существенно улучшить такой показатель, характеризующий надежность, как «Среднее время восстановления электроснабжения». В частности, в 2013 году среднее время восстановления электроснабжения составило в Московской области – 122 мин</w:t>
      </w:r>
      <w:r w:rsidR="008F0ACD">
        <w:rPr>
          <w:sz w:val="26"/>
          <w:szCs w:val="26"/>
        </w:rPr>
        <w:t>.</w:t>
      </w:r>
      <w:r w:rsidRPr="002A6EE0">
        <w:rPr>
          <w:sz w:val="26"/>
          <w:szCs w:val="26"/>
        </w:rPr>
        <w:t xml:space="preserve"> (при плане 182 мин</w:t>
      </w:r>
      <w:r w:rsidR="008F0ACD">
        <w:rPr>
          <w:sz w:val="26"/>
          <w:szCs w:val="26"/>
        </w:rPr>
        <w:t>.</w:t>
      </w:r>
      <w:r w:rsidRPr="002A6EE0">
        <w:rPr>
          <w:sz w:val="26"/>
          <w:szCs w:val="26"/>
        </w:rPr>
        <w:t xml:space="preserve">) в </w:t>
      </w:r>
      <w:proofErr w:type="gramStart"/>
      <w:r w:rsidR="008F0ACD">
        <w:rPr>
          <w:sz w:val="26"/>
          <w:szCs w:val="26"/>
        </w:rPr>
        <w:t>г</w:t>
      </w:r>
      <w:proofErr w:type="gramEnd"/>
      <w:r w:rsidR="008F0ACD">
        <w:rPr>
          <w:sz w:val="26"/>
          <w:szCs w:val="26"/>
        </w:rPr>
        <w:t>. </w:t>
      </w:r>
      <w:r w:rsidRPr="002A6EE0">
        <w:rPr>
          <w:sz w:val="26"/>
          <w:szCs w:val="26"/>
        </w:rPr>
        <w:t>Москве 46 мин</w:t>
      </w:r>
      <w:r>
        <w:rPr>
          <w:sz w:val="26"/>
          <w:szCs w:val="26"/>
        </w:rPr>
        <w:t>.</w:t>
      </w:r>
      <w:r w:rsidRPr="002A6EE0">
        <w:rPr>
          <w:sz w:val="26"/>
          <w:szCs w:val="26"/>
        </w:rPr>
        <w:t xml:space="preserve"> (при целевом показателе 47</w:t>
      </w:r>
      <w:r>
        <w:rPr>
          <w:sz w:val="26"/>
          <w:szCs w:val="26"/>
        </w:rPr>
        <w:t> </w:t>
      </w:r>
      <w:r w:rsidRPr="002A6EE0">
        <w:rPr>
          <w:sz w:val="26"/>
          <w:szCs w:val="26"/>
        </w:rPr>
        <w:t>мин</w:t>
      </w:r>
      <w:r>
        <w:rPr>
          <w:sz w:val="26"/>
          <w:szCs w:val="26"/>
        </w:rPr>
        <w:t>.</w:t>
      </w:r>
      <w:r w:rsidRPr="002A6EE0">
        <w:rPr>
          <w:sz w:val="26"/>
          <w:szCs w:val="26"/>
        </w:rPr>
        <w:t>), а в Новой Москве – 108 мин</w:t>
      </w:r>
      <w:r>
        <w:rPr>
          <w:sz w:val="26"/>
          <w:szCs w:val="26"/>
        </w:rPr>
        <w:t>.</w:t>
      </w:r>
      <w:r w:rsidRPr="002A6EE0">
        <w:rPr>
          <w:sz w:val="26"/>
          <w:szCs w:val="26"/>
        </w:rPr>
        <w:t xml:space="preserve"> (план </w:t>
      </w:r>
      <w:r>
        <w:rPr>
          <w:sz w:val="26"/>
          <w:szCs w:val="26"/>
        </w:rPr>
        <w:t>–</w:t>
      </w:r>
      <w:r w:rsidRPr="002A6EE0">
        <w:rPr>
          <w:sz w:val="26"/>
          <w:szCs w:val="26"/>
        </w:rPr>
        <w:t xml:space="preserve"> 167 мин</w:t>
      </w:r>
      <w:r>
        <w:rPr>
          <w:sz w:val="26"/>
          <w:szCs w:val="26"/>
        </w:rPr>
        <w:t>.</w:t>
      </w:r>
      <w:r w:rsidRPr="002A6EE0">
        <w:rPr>
          <w:sz w:val="26"/>
          <w:szCs w:val="26"/>
        </w:rPr>
        <w:t xml:space="preserve">). </w:t>
      </w:r>
    </w:p>
    <w:p w:rsidR="002A6EE0" w:rsidRPr="002A6EE0" w:rsidRDefault="002A6EE0" w:rsidP="002A6EE0">
      <w:pPr>
        <w:spacing w:before="120" w:after="120"/>
        <w:ind w:firstLine="567"/>
        <w:rPr>
          <w:b/>
          <w:sz w:val="26"/>
          <w:szCs w:val="26"/>
        </w:rPr>
      </w:pPr>
      <w:r w:rsidRPr="002A6EE0">
        <w:rPr>
          <w:b/>
          <w:sz w:val="26"/>
          <w:szCs w:val="26"/>
        </w:rPr>
        <w:t>Что было сделано для улучшения качества обслуживания и увеличения доступности присоединения к электросетям?</w:t>
      </w:r>
    </w:p>
    <w:p w:rsidR="002A6EE0" w:rsidRPr="002A6EE0" w:rsidRDefault="002A6EE0" w:rsidP="002A6EE0">
      <w:pPr>
        <w:pStyle w:val="a5"/>
        <w:ind w:left="0" w:firstLine="567"/>
        <w:contextualSpacing w:val="0"/>
        <w:rPr>
          <w:sz w:val="26"/>
          <w:szCs w:val="26"/>
        </w:rPr>
      </w:pPr>
      <w:r w:rsidRPr="002A6EE0">
        <w:rPr>
          <w:sz w:val="26"/>
          <w:szCs w:val="26"/>
        </w:rPr>
        <w:t xml:space="preserve">В рамках этого направления был успешно реализован отдельный комплексный проект «5 шагов за 3 визита». Именно комплексная проработка всех аспектов взаимоотношения с потребителями привела к значимым результатам. </w:t>
      </w:r>
    </w:p>
    <w:p w:rsidR="002A6EE0" w:rsidRPr="002A6EE0" w:rsidRDefault="002A6EE0" w:rsidP="002A6EE0">
      <w:pPr>
        <w:pStyle w:val="a5"/>
        <w:ind w:left="0" w:firstLine="567"/>
        <w:contextualSpacing w:val="0"/>
        <w:rPr>
          <w:color w:val="000000"/>
          <w:sz w:val="26"/>
          <w:szCs w:val="26"/>
        </w:rPr>
      </w:pPr>
      <w:r w:rsidRPr="002A6EE0">
        <w:rPr>
          <w:sz w:val="26"/>
          <w:szCs w:val="26"/>
        </w:rPr>
        <w:t xml:space="preserve">В рамках этого проекта проведено расширение сети центров обслуживания клиентов. Ключевым драйвером перемен стал </w:t>
      </w:r>
      <w:r w:rsidRPr="002A6EE0">
        <w:rPr>
          <w:color w:val="000000"/>
          <w:sz w:val="26"/>
          <w:szCs w:val="26"/>
        </w:rPr>
        <w:t xml:space="preserve">реинжиниринг бизнес-процессов технологического присоединения, предусматривающий сокращение количества этапов в рамках технологического присоединения, а также четкую регламентацию сроков и результатов процедур присоединения к электрическим сетям. </w:t>
      </w:r>
    </w:p>
    <w:p w:rsidR="002A6EE0" w:rsidRPr="002A6EE0" w:rsidRDefault="002A6EE0" w:rsidP="002A6EE0">
      <w:pPr>
        <w:pStyle w:val="a5"/>
        <w:ind w:left="0" w:firstLine="567"/>
        <w:contextualSpacing w:val="0"/>
        <w:rPr>
          <w:color w:val="000000"/>
          <w:sz w:val="26"/>
          <w:szCs w:val="26"/>
        </w:rPr>
      </w:pPr>
      <w:r w:rsidRPr="002A6EE0">
        <w:rPr>
          <w:color w:val="000000"/>
          <w:sz w:val="26"/>
          <w:szCs w:val="26"/>
        </w:rPr>
        <w:t xml:space="preserve">Исключена необходимость непосредственного участия клиентов в отдельных процедурах технологического присоединения, </w:t>
      </w:r>
    </w:p>
    <w:p w:rsidR="002A6EE0" w:rsidRPr="002A6EE0" w:rsidRDefault="002A6EE0" w:rsidP="002A6EE0">
      <w:pPr>
        <w:pStyle w:val="a5"/>
        <w:ind w:left="0" w:firstLine="567"/>
        <w:contextualSpacing w:val="0"/>
        <w:rPr>
          <w:color w:val="000000"/>
          <w:sz w:val="26"/>
          <w:szCs w:val="26"/>
        </w:rPr>
      </w:pPr>
      <w:r w:rsidRPr="002A6EE0">
        <w:rPr>
          <w:color w:val="000000"/>
          <w:sz w:val="26"/>
          <w:szCs w:val="26"/>
        </w:rPr>
        <w:t xml:space="preserve">Для информирования клиентов о процедурах технологического присоединения и о статусе их заявок создан единый контактный центр ОАО </w:t>
      </w:r>
      <w:r w:rsidR="005026BA">
        <w:rPr>
          <w:color w:val="000000"/>
          <w:sz w:val="26"/>
          <w:szCs w:val="26"/>
        </w:rPr>
        <w:t>«</w:t>
      </w:r>
      <w:r w:rsidRPr="002A6EE0">
        <w:rPr>
          <w:color w:val="000000"/>
          <w:sz w:val="26"/>
          <w:szCs w:val="26"/>
        </w:rPr>
        <w:t>МОЭСК</w:t>
      </w:r>
      <w:r w:rsidR="005026BA">
        <w:rPr>
          <w:color w:val="000000"/>
          <w:sz w:val="26"/>
          <w:szCs w:val="26"/>
        </w:rPr>
        <w:t>»</w:t>
      </w:r>
      <w:r w:rsidRPr="002A6EE0">
        <w:rPr>
          <w:color w:val="000000"/>
          <w:sz w:val="26"/>
          <w:szCs w:val="26"/>
        </w:rPr>
        <w:t xml:space="preserve"> </w:t>
      </w:r>
      <w:r w:rsidR="008F0ACD">
        <w:rPr>
          <w:color w:val="000000"/>
          <w:sz w:val="26"/>
          <w:szCs w:val="26"/>
        </w:rPr>
        <w:t>–</w:t>
      </w:r>
      <w:r w:rsidRPr="002A6EE0">
        <w:rPr>
          <w:color w:val="000000"/>
          <w:sz w:val="26"/>
          <w:szCs w:val="26"/>
        </w:rPr>
        <w:t xml:space="preserve"> «Светлая линия».</w:t>
      </w:r>
    </w:p>
    <w:p w:rsidR="002A6EE0" w:rsidRPr="002A6EE0" w:rsidRDefault="002A6EE0" w:rsidP="002A6EE0">
      <w:pPr>
        <w:pStyle w:val="a5"/>
        <w:ind w:left="0" w:firstLine="567"/>
        <w:contextualSpacing w:val="0"/>
        <w:rPr>
          <w:color w:val="000000"/>
          <w:sz w:val="26"/>
          <w:szCs w:val="26"/>
        </w:rPr>
      </w:pPr>
      <w:r w:rsidRPr="002A6EE0">
        <w:rPr>
          <w:color w:val="000000"/>
          <w:sz w:val="26"/>
          <w:szCs w:val="26"/>
        </w:rPr>
        <w:t>Результатом внедрения новых стандартов технологического присоединения стало значительное повышение до</w:t>
      </w:r>
      <w:r w:rsidR="005026BA">
        <w:rPr>
          <w:color w:val="000000"/>
          <w:sz w:val="26"/>
          <w:szCs w:val="26"/>
        </w:rPr>
        <w:t>ступности сервиса для клиентов К</w:t>
      </w:r>
      <w:r w:rsidRPr="002A6EE0">
        <w:rPr>
          <w:color w:val="000000"/>
          <w:sz w:val="26"/>
          <w:szCs w:val="26"/>
        </w:rPr>
        <w:t xml:space="preserve">омпании. В частности, </w:t>
      </w:r>
      <w:r w:rsidRPr="002A6EE0">
        <w:rPr>
          <w:color w:val="000000"/>
          <w:sz w:val="26"/>
          <w:szCs w:val="26"/>
        </w:rPr>
        <w:lastRenderedPageBreak/>
        <w:t>сокращено в 2 раза (до 5-ти) количество этапов в рамках процесса технологического присоединения. Количество визитов клиентов в офисы Компании в рамках оформления техприсоединения не превышает 3-х, а при использовании клиентом интерактивных и почтовых сервисов может быть сокращено до 1-го визита. Существенно сокращены сроки оформления договоров на технологическое присоединение. Например, такие сроки для клиентов, мощность энергопринимающих устройств которых не превышает 150 кВт, в среднем составляют не более 15 дней.</w:t>
      </w:r>
    </w:p>
    <w:p w:rsidR="002A6EE0" w:rsidRPr="002A6EE0" w:rsidRDefault="002A6EE0" w:rsidP="002A6EE0">
      <w:pPr>
        <w:spacing w:before="120" w:after="120"/>
        <w:ind w:firstLine="567"/>
        <w:rPr>
          <w:b/>
          <w:sz w:val="26"/>
          <w:szCs w:val="26"/>
        </w:rPr>
      </w:pPr>
      <w:r w:rsidRPr="002A6EE0">
        <w:rPr>
          <w:b/>
          <w:sz w:val="26"/>
          <w:szCs w:val="26"/>
        </w:rPr>
        <w:t>Какие мероприятия в отчетном году были направлены на удовлетворение перспективных потребностей в энергоресурсах Московского региона?</w:t>
      </w:r>
    </w:p>
    <w:p w:rsidR="002A6EE0" w:rsidRPr="002A6EE0" w:rsidRDefault="002A6EE0" w:rsidP="002A6EE0">
      <w:pPr>
        <w:pStyle w:val="a5"/>
        <w:ind w:left="0" w:firstLine="567"/>
        <w:contextualSpacing w:val="0"/>
        <w:rPr>
          <w:color w:val="000000"/>
          <w:sz w:val="26"/>
          <w:szCs w:val="26"/>
        </w:rPr>
      </w:pPr>
      <w:r w:rsidRPr="002A6EE0">
        <w:rPr>
          <w:color w:val="000000"/>
          <w:sz w:val="26"/>
          <w:szCs w:val="26"/>
        </w:rPr>
        <w:t xml:space="preserve">Положительная динамика экономического развития столичного региона РФ обеспечивает устойчивый спрос на энергетические ресурсы. </w:t>
      </w:r>
    </w:p>
    <w:p w:rsidR="002A6EE0" w:rsidRPr="002A6EE0" w:rsidRDefault="002A6EE0" w:rsidP="002A6EE0">
      <w:pPr>
        <w:pStyle w:val="a5"/>
        <w:ind w:left="0" w:firstLine="567"/>
        <w:contextualSpacing w:val="0"/>
        <w:rPr>
          <w:color w:val="000000"/>
          <w:sz w:val="26"/>
          <w:szCs w:val="26"/>
        </w:rPr>
      </w:pPr>
      <w:r w:rsidRPr="002A6EE0">
        <w:rPr>
          <w:color w:val="000000"/>
          <w:sz w:val="26"/>
          <w:szCs w:val="26"/>
        </w:rPr>
        <w:t>В этой связи задача по обеспечению опережающего развития сетевой инфраструктуры в Московском регионе является приоритетной, поскольку развитие электросетевого хозяйства не должно ограничивать темпов роста экономики региона.</w:t>
      </w:r>
    </w:p>
    <w:p w:rsidR="002A6EE0" w:rsidRPr="002A6EE0" w:rsidRDefault="002A6EE0" w:rsidP="002A6EE0">
      <w:pPr>
        <w:pStyle w:val="a5"/>
        <w:ind w:left="0" w:firstLine="567"/>
        <w:contextualSpacing w:val="0"/>
        <w:rPr>
          <w:color w:val="000000"/>
          <w:sz w:val="26"/>
          <w:szCs w:val="26"/>
        </w:rPr>
      </w:pPr>
      <w:r w:rsidRPr="002A6EE0">
        <w:rPr>
          <w:color w:val="000000"/>
          <w:sz w:val="26"/>
          <w:szCs w:val="26"/>
        </w:rPr>
        <w:t>Для достижения указанной цели в 2013 году разработана Схема развития  электрических сетей ОАО «МОЭСК» напряжением 110 (35) кВ и выше в г. Москве и Московской области на период до 2025 года.</w:t>
      </w:r>
    </w:p>
    <w:p w:rsidR="002A6EE0" w:rsidRPr="002A6EE0" w:rsidRDefault="002A6EE0" w:rsidP="002A6EE0">
      <w:pPr>
        <w:pStyle w:val="a5"/>
        <w:ind w:left="0" w:firstLine="567"/>
        <w:contextualSpacing w:val="0"/>
        <w:rPr>
          <w:color w:val="000000"/>
          <w:sz w:val="26"/>
          <w:szCs w:val="26"/>
        </w:rPr>
      </w:pPr>
      <w:proofErr w:type="gramStart"/>
      <w:r w:rsidRPr="002A6EE0">
        <w:rPr>
          <w:color w:val="000000"/>
          <w:sz w:val="26"/>
          <w:szCs w:val="26"/>
        </w:rPr>
        <w:t>Также в 2013 году разработана Программа снятия ограничений с перегруженных подстанций г. Москвы (корректировка на период 2014-2018 гг.) и Программа снятия ограничений для технологических присоединений с подстанций ОАО «МОЭСК» Московской области на период 2013-2015 гг. и до 2020 г. Основной задачей данных программ является создание резервов мощности для технологических присоединений потребителей к электрическим сетям Компании.</w:t>
      </w:r>
      <w:proofErr w:type="gramEnd"/>
      <w:r w:rsidRPr="002A6EE0">
        <w:rPr>
          <w:color w:val="000000"/>
          <w:sz w:val="26"/>
          <w:szCs w:val="26"/>
        </w:rPr>
        <w:t xml:space="preserve"> В частности, до 2020 года Программами предусмотрена ликвидация ограничений на технологическое присоединение на 20 подстанциях в </w:t>
      </w:r>
      <w:proofErr w:type="gramStart"/>
      <w:r w:rsidRPr="002A6EE0">
        <w:rPr>
          <w:color w:val="000000"/>
          <w:sz w:val="26"/>
          <w:szCs w:val="26"/>
        </w:rPr>
        <w:t>г</w:t>
      </w:r>
      <w:proofErr w:type="gramEnd"/>
      <w:r w:rsidRPr="002A6EE0">
        <w:rPr>
          <w:color w:val="000000"/>
          <w:sz w:val="26"/>
          <w:szCs w:val="26"/>
        </w:rPr>
        <w:t>. Москве и на 122 подстанциях в Московской области.</w:t>
      </w:r>
    </w:p>
    <w:p w:rsidR="002A6EE0" w:rsidRPr="002A6EE0" w:rsidRDefault="002A6EE0" w:rsidP="002A6EE0">
      <w:pPr>
        <w:spacing w:before="120" w:after="120"/>
        <w:ind w:firstLine="567"/>
        <w:rPr>
          <w:b/>
          <w:sz w:val="26"/>
          <w:szCs w:val="26"/>
        </w:rPr>
      </w:pPr>
      <w:r w:rsidRPr="002A6EE0">
        <w:rPr>
          <w:b/>
          <w:sz w:val="26"/>
          <w:szCs w:val="26"/>
        </w:rPr>
        <w:t>Что предпринималось для повышения инвестиционной привлекательности ОАО «МОЭСК»?</w:t>
      </w:r>
    </w:p>
    <w:p w:rsidR="00D120ED" w:rsidRDefault="002A6EE0" w:rsidP="002A6EE0">
      <w:pPr>
        <w:pStyle w:val="a5"/>
        <w:ind w:left="0" w:firstLine="567"/>
        <w:contextualSpacing w:val="0"/>
        <w:rPr>
          <w:color w:val="000000"/>
          <w:sz w:val="26"/>
          <w:szCs w:val="26"/>
        </w:rPr>
      </w:pPr>
      <w:r w:rsidRPr="002A6EE0">
        <w:rPr>
          <w:color w:val="000000"/>
          <w:sz w:val="26"/>
          <w:szCs w:val="26"/>
        </w:rPr>
        <w:t xml:space="preserve">В 2013 года ОАО «МОЭСК» выплатило в полном объеме рекордно высокие дивиденды по итогам 2012 года: на выплату дивидендов было направлено 25 % от чистой прибыли за 2012 год. Дивидендная доходность по акциям составила 5,85 %. </w:t>
      </w:r>
    </w:p>
    <w:p w:rsidR="002A6EE0" w:rsidRPr="002A6EE0" w:rsidRDefault="002A6EE0" w:rsidP="002A6EE0">
      <w:pPr>
        <w:pStyle w:val="a5"/>
        <w:ind w:left="0" w:firstLine="567"/>
        <w:contextualSpacing w:val="0"/>
        <w:rPr>
          <w:color w:val="000000"/>
          <w:sz w:val="26"/>
          <w:szCs w:val="26"/>
        </w:rPr>
      </w:pPr>
      <w:r w:rsidRPr="002A6EE0">
        <w:rPr>
          <w:color w:val="000000"/>
          <w:sz w:val="26"/>
          <w:szCs w:val="26"/>
        </w:rPr>
        <w:t xml:space="preserve">Мы продолжили реализацию Программы сокращения подконтрольных операционных затрат, по итогам которой в 2013 году достигнуто сокращение издержек в размере 10,8 % от уровня 2010 года. </w:t>
      </w:r>
    </w:p>
    <w:p w:rsidR="002A6EE0" w:rsidRPr="002A6EE0" w:rsidRDefault="002A6EE0" w:rsidP="002A6EE0">
      <w:pPr>
        <w:pStyle w:val="a5"/>
        <w:ind w:left="0" w:firstLine="567"/>
        <w:contextualSpacing w:val="0"/>
        <w:rPr>
          <w:color w:val="000000"/>
          <w:sz w:val="26"/>
          <w:szCs w:val="26"/>
        </w:rPr>
      </w:pPr>
      <w:r w:rsidRPr="002A6EE0">
        <w:rPr>
          <w:color w:val="000000"/>
          <w:sz w:val="26"/>
          <w:szCs w:val="26"/>
        </w:rPr>
        <w:t xml:space="preserve">Большое внимание уделялось развитию направления по получению дополнительных доходов от нерегулируемых видов деятельности, выручка от которых составила 519 </w:t>
      </w:r>
      <w:proofErr w:type="gramStart"/>
      <w:r w:rsidRPr="002A6EE0">
        <w:rPr>
          <w:color w:val="000000"/>
          <w:sz w:val="26"/>
          <w:szCs w:val="26"/>
        </w:rPr>
        <w:t>млн</w:t>
      </w:r>
      <w:proofErr w:type="gramEnd"/>
      <w:r w:rsidRPr="002A6EE0">
        <w:rPr>
          <w:color w:val="000000"/>
          <w:sz w:val="26"/>
          <w:szCs w:val="26"/>
        </w:rPr>
        <w:t xml:space="preserve"> руб. </w:t>
      </w:r>
    </w:p>
    <w:p w:rsidR="002A6EE0" w:rsidRPr="002A6EE0" w:rsidRDefault="002A6EE0" w:rsidP="002A6EE0">
      <w:pPr>
        <w:pStyle w:val="a5"/>
        <w:ind w:left="0" w:firstLine="567"/>
        <w:contextualSpacing w:val="0"/>
        <w:rPr>
          <w:color w:val="000000"/>
          <w:sz w:val="26"/>
          <w:szCs w:val="26"/>
        </w:rPr>
      </w:pPr>
      <w:r w:rsidRPr="002A6EE0">
        <w:rPr>
          <w:color w:val="000000"/>
          <w:sz w:val="26"/>
          <w:szCs w:val="26"/>
        </w:rPr>
        <w:t xml:space="preserve">В 2013 году была активизирована работа по повышению информированности инвестиционного сообщества о деятельности </w:t>
      </w:r>
      <w:r w:rsidR="005026BA">
        <w:rPr>
          <w:color w:val="000000"/>
          <w:sz w:val="26"/>
          <w:szCs w:val="26"/>
        </w:rPr>
        <w:t>К</w:t>
      </w:r>
      <w:r w:rsidRPr="002A6EE0">
        <w:rPr>
          <w:color w:val="000000"/>
          <w:sz w:val="26"/>
          <w:szCs w:val="26"/>
        </w:rPr>
        <w:t>омпании. В частности, увеличено количество встреч и других форм коммуникаций с представителями инвестиционного сообщества, выросло качество информации, раскрываемой в разделе «Акционерам и инвесторам» корпоративного сайта Общества. В результате повышения качества корпоративных процедур рейтинговым агентством «Эксперт РА» Обществу присвоен рейтинг корпоративного управления 8 (повышен</w:t>
      </w:r>
      <w:r w:rsidR="00070E0B">
        <w:rPr>
          <w:color w:val="000000"/>
          <w:sz w:val="26"/>
          <w:szCs w:val="26"/>
        </w:rPr>
        <w:t>ный</w:t>
      </w:r>
      <w:r w:rsidRPr="002A6EE0">
        <w:rPr>
          <w:color w:val="000000"/>
          <w:sz w:val="26"/>
          <w:szCs w:val="26"/>
        </w:rPr>
        <w:t xml:space="preserve"> с 7+). </w:t>
      </w:r>
    </w:p>
    <w:p w:rsidR="002A6EE0" w:rsidRPr="002A6EE0" w:rsidRDefault="002A6EE0" w:rsidP="002A6EE0">
      <w:pPr>
        <w:spacing w:before="120" w:after="120"/>
        <w:ind w:firstLine="567"/>
        <w:rPr>
          <w:b/>
          <w:sz w:val="26"/>
          <w:szCs w:val="26"/>
        </w:rPr>
      </w:pPr>
      <w:r w:rsidRPr="002A6EE0">
        <w:rPr>
          <w:b/>
          <w:sz w:val="26"/>
          <w:szCs w:val="26"/>
        </w:rPr>
        <w:t>Каковы основные планы на следующий год и среднесрочную перспективу?</w:t>
      </w:r>
    </w:p>
    <w:p w:rsidR="002A6EE0" w:rsidRPr="002A6EE0" w:rsidRDefault="002A6EE0" w:rsidP="002A6EE0">
      <w:pPr>
        <w:pStyle w:val="a5"/>
        <w:ind w:left="0" w:firstLine="567"/>
        <w:contextualSpacing w:val="0"/>
        <w:rPr>
          <w:color w:val="000000"/>
          <w:sz w:val="26"/>
          <w:szCs w:val="26"/>
        </w:rPr>
      </w:pPr>
      <w:r w:rsidRPr="002A6EE0">
        <w:rPr>
          <w:color w:val="000000"/>
          <w:sz w:val="26"/>
          <w:szCs w:val="26"/>
        </w:rPr>
        <w:lastRenderedPageBreak/>
        <w:t xml:space="preserve">В текущем году Общество продолжит реализацию Программы приоритетных задач на период до 2015 г. </w:t>
      </w:r>
    </w:p>
    <w:p w:rsidR="002A6EE0" w:rsidRPr="002A6EE0" w:rsidRDefault="002A6EE0" w:rsidP="002A6EE0">
      <w:pPr>
        <w:pStyle w:val="a5"/>
        <w:ind w:left="0" w:firstLine="567"/>
        <w:contextualSpacing w:val="0"/>
        <w:rPr>
          <w:color w:val="000000"/>
          <w:sz w:val="26"/>
          <w:szCs w:val="26"/>
        </w:rPr>
      </w:pPr>
      <w:r w:rsidRPr="002A6EE0">
        <w:rPr>
          <w:color w:val="000000"/>
          <w:sz w:val="26"/>
          <w:szCs w:val="26"/>
        </w:rPr>
        <w:t xml:space="preserve">В частности, для повышения надежности электроснабжения запланирована разработка схем перспективного развития РЭС 0,4-20 кВ, предусматривающих мероприятия по секционированию и резервированию сети; развитие систем управления и планирования режимов работы электросетей ОАО «МОЭСК». Планируем перейти к формированию ремонтной программы на базе индекса состояния оборудования и  автоматизировать процесс формирования производственной программы на базе современных информационных технологий. Из организационных инноваций, направленных на повышение надежности, отмечу проект по  переводу  оперативно-выездных и ремонтно-эксплуатационных бригад на организацию работы по принципу комплексных мобильных бригад, что предусматривает повышение универсальности и гибкости использования производственного персонала. В качестве отдельной задачи выделяем мероприятия по </w:t>
      </w:r>
      <w:r w:rsidRPr="002A6EE0">
        <w:rPr>
          <w:rFonts w:eastAsia="Times New Roman"/>
          <w:sz w:val="26"/>
          <w:szCs w:val="26"/>
        </w:rPr>
        <w:t>поэтапному доведению показателей надежности на территории Новой Москвы к уровню мегаполиса.</w:t>
      </w:r>
    </w:p>
    <w:p w:rsidR="002A6EE0" w:rsidRPr="002A6EE0" w:rsidRDefault="002A6EE0" w:rsidP="002A6EE0">
      <w:pPr>
        <w:pStyle w:val="a5"/>
        <w:ind w:left="0" w:firstLine="567"/>
        <w:contextualSpacing w:val="0"/>
        <w:rPr>
          <w:color w:val="000000"/>
          <w:sz w:val="26"/>
          <w:szCs w:val="26"/>
        </w:rPr>
      </w:pPr>
      <w:r w:rsidRPr="002A6EE0">
        <w:rPr>
          <w:color w:val="000000"/>
          <w:sz w:val="26"/>
          <w:szCs w:val="26"/>
        </w:rPr>
        <w:t xml:space="preserve">Большое значение мы придаем реализации программы «3 шага – 2 визита», запущенной в </w:t>
      </w:r>
      <w:r w:rsidR="005026BA">
        <w:rPr>
          <w:color w:val="000000"/>
          <w:sz w:val="26"/>
          <w:szCs w:val="26"/>
          <w:lang w:val="en-US"/>
        </w:rPr>
        <w:t>I</w:t>
      </w:r>
      <w:r w:rsidRPr="002A6EE0">
        <w:rPr>
          <w:color w:val="000000"/>
          <w:sz w:val="26"/>
          <w:szCs w:val="26"/>
        </w:rPr>
        <w:t xml:space="preserve"> кв</w:t>
      </w:r>
      <w:r w:rsidR="005026BA">
        <w:rPr>
          <w:color w:val="000000"/>
          <w:sz w:val="26"/>
          <w:szCs w:val="26"/>
        </w:rPr>
        <w:t xml:space="preserve">артале </w:t>
      </w:r>
      <w:r w:rsidRPr="002A6EE0">
        <w:rPr>
          <w:color w:val="000000"/>
          <w:sz w:val="26"/>
          <w:szCs w:val="26"/>
        </w:rPr>
        <w:t>2014 г</w:t>
      </w:r>
      <w:r w:rsidR="005026BA">
        <w:rPr>
          <w:color w:val="000000"/>
          <w:sz w:val="26"/>
          <w:szCs w:val="26"/>
        </w:rPr>
        <w:t>ода</w:t>
      </w:r>
      <w:r w:rsidRPr="002A6EE0">
        <w:rPr>
          <w:color w:val="000000"/>
          <w:sz w:val="26"/>
          <w:szCs w:val="26"/>
        </w:rPr>
        <w:t xml:space="preserve"> в рамках </w:t>
      </w:r>
      <w:proofErr w:type="gramStart"/>
      <w:r w:rsidRPr="002A6EE0">
        <w:rPr>
          <w:color w:val="000000"/>
          <w:sz w:val="26"/>
          <w:szCs w:val="26"/>
        </w:rPr>
        <w:t>развития системы качества обслуживания клиентов</w:t>
      </w:r>
      <w:proofErr w:type="gramEnd"/>
      <w:r w:rsidRPr="002A6EE0">
        <w:rPr>
          <w:color w:val="000000"/>
          <w:sz w:val="26"/>
          <w:szCs w:val="26"/>
        </w:rPr>
        <w:t xml:space="preserve">. </w:t>
      </w:r>
      <w:proofErr w:type="gramStart"/>
      <w:r w:rsidRPr="002A6EE0">
        <w:rPr>
          <w:color w:val="000000"/>
          <w:sz w:val="26"/>
          <w:szCs w:val="26"/>
        </w:rPr>
        <w:t>Само название</w:t>
      </w:r>
      <w:proofErr w:type="gramEnd"/>
      <w:r w:rsidRPr="002A6EE0">
        <w:rPr>
          <w:color w:val="000000"/>
          <w:sz w:val="26"/>
          <w:szCs w:val="26"/>
        </w:rPr>
        <w:t xml:space="preserve"> программы говорит о дальнейшем снижении общего количества процедур в рамках технологического присоединения и сокращении визитов клиентов в офисы </w:t>
      </w:r>
      <w:r w:rsidR="005026BA">
        <w:rPr>
          <w:color w:val="000000"/>
          <w:sz w:val="26"/>
          <w:szCs w:val="26"/>
        </w:rPr>
        <w:t>К</w:t>
      </w:r>
      <w:r w:rsidRPr="002A6EE0">
        <w:rPr>
          <w:color w:val="000000"/>
          <w:sz w:val="26"/>
          <w:szCs w:val="26"/>
        </w:rPr>
        <w:t xml:space="preserve">омпании в рамках данных процедур. Для отдельных категорий заявителей будет предусмотрено значительное сокращение сроков выполнения мероприятий по договору технологического присоединения, например, мероприятия по присоединению клиентов с максимальной мощностью энергопринимающих устройств до 150 кВт планируется выполнять в сроки, не превышающие 90 дней с момента заключения договора. </w:t>
      </w:r>
    </w:p>
    <w:p w:rsidR="002A6EE0" w:rsidRPr="004761E0" w:rsidRDefault="002A6EE0" w:rsidP="005026BA">
      <w:pPr>
        <w:pStyle w:val="a5"/>
        <w:ind w:left="0" w:firstLine="567"/>
        <w:contextualSpacing w:val="0"/>
        <w:rPr>
          <w:lang w:eastAsia="ru-RU"/>
        </w:rPr>
      </w:pPr>
      <w:proofErr w:type="gramStart"/>
      <w:r w:rsidRPr="002A6EE0">
        <w:rPr>
          <w:color w:val="000000"/>
          <w:sz w:val="26"/>
          <w:szCs w:val="26"/>
        </w:rPr>
        <w:t>С целью опережающего развития электросетевой инфраструктуры региона Общество планирует акцентировать свое внимание на разработке Комплексной программы развития электрических сетей напряжением 110 (35) кВ и выше на территории г. Москвы и Московской области на период 2014</w:t>
      </w:r>
      <w:r w:rsidR="00D83835">
        <w:rPr>
          <w:color w:val="000000"/>
          <w:sz w:val="26"/>
          <w:szCs w:val="26"/>
        </w:rPr>
        <w:t>-</w:t>
      </w:r>
      <w:r w:rsidRPr="002A6EE0">
        <w:rPr>
          <w:color w:val="000000"/>
          <w:sz w:val="26"/>
          <w:szCs w:val="26"/>
        </w:rPr>
        <w:t>2019 гг. и до 2025 г, а также реализации разработанных программ снятия ограничений, закрытых для технологического присоединения центров питания ОАО «МОЭСК» в г. Москве и Московской</w:t>
      </w:r>
      <w:proofErr w:type="gramEnd"/>
      <w:r w:rsidRPr="002A6EE0">
        <w:rPr>
          <w:color w:val="000000"/>
          <w:sz w:val="26"/>
          <w:szCs w:val="26"/>
        </w:rPr>
        <w:t xml:space="preserve"> области на период до 2020 года. В результате реализации вышеука</w:t>
      </w:r>
      <w:r w:rsidR="005026BA">
        <w:rPr>
          <w:color w:val="000000"/>
          <w:sz w:val="26"/>
          <w:szCs w:val="26"/>
        </w:rPr>
        <w:t>занных мероприятий к 2020 году К</w:t>
      </w:r>
      <w:r w:rsidRPr="002A6EE0">
        <w:rPr>
          <w:color w:val="000000"/>
          <w:sz w:val="26"/>
          <w:szCs w:val="26"/>
        </w:rPr>
        <w:t xml:space="preserve">омпания планирует создать дополнительный резерв мощности для технологического присоединения в </w:t>
      </w:r>
      <w:proofErr w:type="gramStart"/>
      <w:r w:rsidRPr="002A6EE0">
        <w:rPr>
          <w:color w:val="000000"/>
          <w:sz w:val="26"/>
          <w:szCs w:val="26"/>
        </w:rPr>
        <w:t>г</w:t>
      </w:r>
      <w:proofErr w:type="gramEnd"/>
      <w:r w:rsidRPr="002A6EE0">
        <w:rPr>
          <w:color w:val="000000"/>
          <w:sz w:val="26"/>
          <w:szCs w:val="26"/>
        </w:rPr>
        <w:t>. Москве 497,5 МВт, в Московской области – 1</w:t>
      </w:r>
      <w:r w:rsidR="005026BA">
        <w:rPr>
          <w:color w:val="000000"/>
          <w:sz w:val="26"/>
          <w:szCs w:val="26"/>
        </w:rPr>
        <w:t> </w:t>
      </w:r>
      <w:r w:rsidRPr="002A6EE0">
        <w:rPr>
          <w:color w:val="000000"/>
          <w:sz w:val="26"/>
          <w:szCs w:val="26"/>
        </w:rPr>
        <w:t>428 МВт.</w:t>
      </w:r>
    </w:p>
    <w:p w:rsidR="00981827" w:rsidRPr="004761E0" w:rsidRDefault="00981827" w:rsidP="00392FE7">
      <w:pPr>
        <w:rPr>
          <w:lang w:eastAsia="ru-RU"/>
        </w:rPr>
        <w:sectPr w:rsidR="00981827" w:rsidRPr="004761E0" w:rsidSect="00A232BD">
          <w:pgSz w:w="11907" w:h="16840" w:code="9"/>
          <w:pgMar w:top="1418" w:right="851" w:bottom="720" w:left="1134" w:header="720" w:footer="720" w:gutter="0"/>
          <w:cols w:space="720"/>
          <w:docGrid w:linePitch="326"/>
        </w:sectPr>
      </w:pPr>
    </w:p>
    <w:p w:rsidR="00136A10" w:rsidRPr="004761E0" w:rsidRDefault="00E34ACB" w:rsidP="007076A7">
      <w:pPr>
        <w:pStyle w:val="a8"/>
        <w:numPr>
          <w:ilvl w:val="1"/>
          <w:numId w:val="321"/>
        </w:numPr>
        <w:spacing w:before="120" w:after="120"/>
        <w:ind w:left="1287"/>
        <w:jc w:val="left"/>
        <w:rPr>
          <w:rFonts w:ascii="Times New Roman" w:hAnsi="Times New Roman"/>
          <w:b/>
          <w:sz w:val="26"/>
          <w:szCs w:val="26"/>
        </w:rPr>
      </w:pPr>
      <w:bookmarkStart w:id="29" w:name="_Toc385339798"/>
      <w:r w:rsidRPr="004761E0">
        <w:rPr>
          <w:rFonts w:ascii="Times New Roman" w:hAnsi="Times New Roman"/>
          <w:b/>
          <w:sz w:val="26"/>
          <w:szCs w:val="26"/>
        </w:rPr>
        <w:lastRenderedPageBreak/>
        <w:t xml:space="preserve">Приоритетные направления деятельности </w:t>
      </w:r>
      <w:r w:rsidR="00F84146" w:rsidRPr="004761E0">
        <w:rPr>
          <w:rFonts w:ascii="Times New Roman" w:hAnsi="Times New Roman"/>
          <w:b/>
          <w:sz w:val="26"/>
          <w:szCs w:val="26"/>
        </w:rPr>
        <w:t xml:space="preserve">и перспективы </w:t>
      </w:r>
      <w:r w:rsidRPr="004761E0">
        <w:rPr>
          <w:rFonts w:ascii="Times New Roman" w:hAnsi="Times New Roman"/>
          <w:b/>
          <w:sz w:val="26"/>
          <w:szCs w:val="26"/>
        </w:rPr>
        <w:t>развития</w:t>
      </w:r>
      <w:bookmarkEnd w:id="28"/>
      <w:bookmarkEnd w:id="29"/>
    </w:p>
    <w:p w:rsidR="00A93A50" w:rsidRPr="004761E0" w:rsidRDefault="00A93A50" w:rsidP="00A05E17">
      <w:pPr>
        <w:spacing w:before="120" w:after="120"/>
        <w:ind w:firstLine="567"/>
        <w:rPr>
          <w:b/>
          <w:sz w:val="26"/>
          <w:szCs w:val="26"/>
        </w:rPr>
      </w:pPr>
      <w:r w:rsidRPr="004761E0">
        <w:rPr>
          <w:b/>
          <w:sz w:val="26"/>
          <w:szCs w:val="26"/>
        </w:rPr>
        <w:t>Миссия</w:t>
      </w:r>
    </w:p>
    <w:p w:rsidR="00A93A50" w:rsidRPr="004761E0" w:rsidRDefault="0008080E" w:rsidP="00A93A50">
      <w:pPr>
        <w:ind w:firstLine="567"/>
        <w:rPr>
          <w:sz w:val="26"/>
          <w:szCs w:val="26"/>
        </w:rPr>
      </w:pPr>
      <w:r>
        <w:rPr>
          <w:sz w:val="26"/>
          <w:szCs w:val="26"/>
        </w:rPr>
        <w:t>ОАО </w:t>
      </w:r>
      <w:r w:rsidR="00A93A50" w:rsidRPr="004761E0">
        <w:rPr>
          <w:sz w:val="26"/>
          <w:szCs w:val="26"/>
        </w:rPr>
        <w:t xml:space="preserve">«МОЭСК», осуществляя электроснабжение столичного региона Российской Федерации, стремится обеспечить максимальный уровень надежности и доступности распределительной сетевой инфраструктуры, используя энергоэффективные технологии и инновации, придерживаясь мировых стандартов качества предоставляемых услуг и лучшей практики корпоративного управления. </w:t>
      </w:r>
    </w:p>
    <w:p w:rsidR="00A93A50" w:rsidRPr="004761E0" w:rsidRDefault="00A93A50" w:rsidP="00A93A50">
      <w:pPr>
        <w:ind w:firstLine="567"/>
        <w:rPr>
          <w:b/>
          <w:sz w:val="26"/>
          <w:szCs w:val="26"/>
        </w:rPr>
      </w:pPr>
      <w:r w:rsidRPr="004761E0">
        <w:rPr>
          <w:b/>
          <w:color w:val="002060"/>
          <w:sz w:val="26"/>
          <w:szCs w:val="26"/>
        </w:rPr>
        <w:t>«Постоянное повышение качества оказываемых услуг мы рассматриваем как одну из базовых составляющих миссии и стратегии Компании»</w:t>
      </w:r>
      <w:r w:rsidRPr="006F4AB8">
        <w:rPr>
          <w:rStyle w:val="af1"/>
        </w:rPr>
        <w:footnoteReference w:id="7"/>
      </w:r>
      <w:r w:rsidRPr="004761E0">
        <w:rPr>
          <w:b/>
          <w:color w:val="002060"/>
          <w:sz w:val="26"/>
          <w:szCs w:val="26"/>
        </w:rPr>
        <w:t>.</w:t>
      </w:r>
    </w:p>
    <w:p w:rsidR="00A93A50" w:rsidRPr="00A05E17" w:rsidRDefault="00A93A50" w:rsidP="00A05E17">
      <w:pPr>
        <w:spacing w:before="120" w:after="120"/>
        <w:ind w:firstLine="567"/>
        <w:rPr>
          <w:b/>
          <w:sz w:val="26"/>
          <w:szCs w:val="26"/>
        </w:rPr>
      </w:pPr>
      <w:r w:rsidRPr="00A05E17">
        <w:rPr>
          <w:b/>
          <w:sz w:val="26"/>
          <w:szCs w:val="26"/>
        </w:rPr>
        <w:t>Основные направления развития и цели</w:t>
      </w:r>
    </w:p>
    <w:p w:rsidR="00A93A50" w:rsidRPr="004761E0" w:rsidRDefault="00A93A50" w:rsidP="000F1C16">
      <w:pPr>
        <w:ind w:firstLine="567"/>
        <w:rPr>
          <w:bCs/>
          <w:sz w:val="26"/>
          <w:szCs w:val="26"/>
        </w:rPr>
      </w:pPr>
      <w:r w:rsidRPr="004761E0">
        <w:rPr>
          <w:bCs/>
          <w:sz w:val="26"/>
          <w:szCs w:val="26"/>
        </w:rPr>
        <w:t xml:space="preserve">Основные направления развития на трехлетнюю перспективу и стратегические цели Общества закреплены в </w:t>
      </w:r>
      <w:r w:rsidRPr="004761E0">
        <w:rPr>
          <w:sz w:val="26"/>
          <w:szCs w:val="26"/>
        </w:rPr>
        <w:t>Программе приоритетных задач на период до 2015 года</w:t>
      </w:r>
      <w:r w:rsidRPr="006F4AB8">
        <w:rPr>
          <w:rStyle w:val="af1"/>
        </w:rPr>
        <w:footnoteReference w:id="8"/>
      </w:r>
      <w:r w:rsidRPr="004761E0">
        <w:rPr>
          <w:sz w:val="26"/>
          <w:szCs w:val="26"/>
        </w:rPr>
        <w:t xml:space="preserve">. Данный документ разработан </w:t>
      </w:r>
      <w:r w:rsidRPr="004761E0">
        <w:rPr>
          <w:bCs/>
          <w:sz w:val="26"/>
          <w:szCs w:val="26"/>
        </w:rPr>
        <w:t>на основе положений Энергетической стратегии РФ до 2030 года</w:t>
      </w:r>
      <w:r w:rsidRPr="006F4AB8">
        <w:rPr>
          <w:rStyle w:val="af1"/>
        </w:rPr>
        <w:footnoteReference w:id="9"/>
      </w:r>
      <w:r w:rsidRPr="004761E0">
        <w:rPr>
          <w:bCs/>
          <w:sz w:val="26"/>
          <w:szCs w:val="26"/>
        </w:rPr>
        <w:t>, стратегий развития (в т.ч. энергетических) регионов присутствия Компании</w:t>
      </w:r>
      <w:r w:rsidRPr="006F4AB8">
        <w:rPr>
          <w:rStyle w:val="af1"/>
        </w:rPr>
        <w:footnoteReference w:id="10"/>
      </w:r>
      <w:r w:rsidRPr="004761E0">
        <w:rPr>
          <w:bCs/>
          <w:sz w:val="26"/>
          <w:szCs w:val="26"/>
        </w:rPr>
        <w:t>, а также с учетом интересов и требований ключевых акционеров.</w:t>
      </w:r>
    </w:p>
    <w:p w:rsidR="00A93A50" w:rsidRPr="004761E0" w:rsidRDefault="00A93A50" w:rsidP="00196C95">
      <w:pPr>
        <w:widowControl w:val="0"/>
        <w:suppressAutoHyphens/>
        <w:spacing w:after="200"/>
        <w:ind w:right="-1" w:firstLine="567"/>
        <w:rPr>
          <w:sz w:val="26"/>
          <w:szCs w:val="26"/>
        </w:rPr>
      </w:pPr>
      <w:r w:rsidRPr="004761E0">
        <w:rPr>
          <w:bCs/>
          <w:sz w:val="26"/>
          <w:szCs w:val="26"/>
        </w:rPr>
        <w:t xml:space="preserve">Программа приоритетных задач на период до 2015 года включает в себя приоритетные на трехлетнюю перспективу направления развития, стратегические цели, набор ключевых показателей, отражающих достижение стратегических целей, и перечень стратегических задач, реализация которых направлена на достижение заявленных целей и показателей. </w:t>
      </w:r>
    </w:p>
    <w:p w:rsidR="00A93A50" w:rsidRPr="004761E0" w:rsidRDefault="00A93A50" w:rsidP="00A93A50">
      <w:pPr>
        <w:widowControl w:val="0"/>
        <w:suppressAutoHyphens/>
        <w:spacing w:after="200"/>
        <w:ind w:right="-187" w:firstLine="0"/>
        <w:rPr>
          <w:sz w:val="20"/>
          <w:szCs w:val="20"/>
        </w:rPr>
        <w:sectPr w:rsidR="00A93A50" w:rsidRPr="004761E0" w:rsidSect="00086514">
          <w:footerReference w:type="default" r:id="rId36"/>
          <w:pgSz w:w="11907" w:h="16840" w:code="9"/>
          <w:pgMar w:top="1418" w:right="851" w:bottom="720" w:left="1134" w:header="720" w:footer="720" w:gutter="0"/>
          <w:cols w:space="720"/>
          <w:docGrid w:linePitch="326"/>
        </w:sectPr>
      </w:pPr>
    </w:p>
    <w:p w:rsidR="00A93A50" w:rsidRPr="00A05E17" w:rsidRDefault="00A93A50" w:rsidP="00A05E17">
      <w:pPr>
        <w:spacing w:before="120" w:after="120"/>
        <w:ind w:firstLine="567"/>
        <w:rPr>
          <w:b/>
          <w:sz w:val="26"/>
          <w:szCs w:val="26"/>
        </w:rPr>
      </w:pPr>
      <w:r w:rsidRPr="004761E0">
        <w:rPr>
          <w:b/>
          <w:sz w:val="26"/>
          <w:szCs w:val="26"/>
        </w:rPr>
        <w:lastRenderedPageBreak/>
        <w:t xml:space="preserve">Итоги реализации в 2013 году мероприятий </w:t>
      </w:r>
      <w:r w:rsidRPr="00A05E17">
        <w:rPr>
          <w:b/>
          <w:sz w:val="26"/>
          <w:szCs w:val="26"/>
        </w:rPr>
        <w:t>Программы приоритетных задач на период до 2015 года</w:t>
      </w:r>
    </w:p>
    <w:tbl>
      <w:tblPr>
        <w:tblW w:w="1616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8222"/>
        <w:gridCol w:w="3685"/>
        <w:gridCol w:w="3685"/>
      </w:tblGrid>
      <w:tr w:rsidR="00A93A50" w:rsidRPr="004761E0" w:rsidTr="00733C41">
        <w:tc>
          <w:tcPr>
            <w:tcW w:w="568" w:type="dxa"/>
            <w:tcBorders>
              <w:right w:val="single" w:sz="4" w:space="0" w:color="FFFFFF"/>
            </w:tcBorders>
            <w:shd w:val="clear" w:color="auto" w:fill="0F243E"/>
          </w:tcPr>
          <w:p w:rsidR="00A93A50" w:rsidRPr="004761E0" w:rsidRDefault="00A93A50" w:rsidP="00086514">
            <w:pPr>
              <w:widowControl w:val="0"/>
              <w:suppressAutoHyphens/>
              <w:ind w:right="33" w:firstLine="0"/>
              <w:jc w:val="left"/>
              <w:rPr>
                <w:b/>
                <w:color w:val="FFFFFF"/>
                <w:sz w:val="20"/>
                <w:szCs w:val="20"/>
              </w:rPr>
            </w:pPr>
            <w:r w:rsidRPr="004761E0">
              <w:rPr>
                <w:b/>
                <w:color w:val="FFFFFF"/>
                <w:sz w:val="20"/>
                <w:szCs w:val="20"/>
              </w:rPr>
              <w:t xml:space="preserve">№ </w:t>
            </w:r>
            <w:proofErr w:type="gramStart"/>
            <w:r w:rsidRPr="004761E0">
              <w:rPr>
                <w:b/>
                <w:color w:val="FFFFFF"/>
                <w:sz w:val="20"/>
                <w:szCs w:val="20"/>
              </w:rPr>
              <w:t>п</w:t>
            </w:r>
            <w:proofErr w:type="gramEnd"/>
            <w:r w:rsidRPr="004761E0">
              <w:rPr>
                <w:b/>
                <w:color w:val="FFFFFF"/>
                <w:sz w:val="20"/>
                <w:szCs w:val="20"/>
              </w:rPr>
              <w:t>/п</w:t>
            </w:r>
          </w:p>
        </w:tc>
        <w:tc>
          <w:tcPr>
            <w:tcW w:w="8222" w:type="dxa"/>
            <w:tcBorders>
              <w:left w:val="single" w:sz="4" w:space="0" w:color="FFFFFF"/>
              <w:right w:val="single" w:sz="4" w:space="0" w:color="FFFFFF"/>
            </w:tcBorders>
            <w:shd w:val="clear" w:color="auto" w:fill="0F243E"/>
            <w:vAlign w:val="center"/>
          </w:tcPr>
          <w:p w:rsidR="00A93A50" w:rsidRPr="004761E0" w:rsidRDefault="00A93A50" w:rsidP="00086514">
            <w:pPr>
              <w:widowControl w:val="0"/>
              <w:suppressAutoHyphens/>
              <w:ind w:right="33" w:firstLine="0"/>
              <w:jc w:val="left"/>
              <w:rPr>
                <w:b/>
                <w:color w:val="FFFFFF"/>
                <w:sz w:val="20"/>
                <w:szCs w:val="20"/>
              </w:rPr>
            </w:pPr>
            <w:r w:rsidRPr="004761E0">
              <w:rPr>
                <w:b/>
                <w:color w:val="FFFFFF"/>
                <w:sz w:val="20"/>
                <w:szCs w:val="20"/>
              </w:rPr>
              <w:t>Мероприятия, проведенные в 2013 году / планы на 2014 год</w:t>
            </w:r>
          </w:p>
        </w:tc>
        <w:tc>
          <w:tcPr>
            <w:tcW w:w="3685" w:type="dxa"/>
            <w:tcBorders>
              <w:left w:val="single" w:sz="4" w:space="0" w:color="FFFFFF"/>
              <w:right w:val="single" w:sz="4" w:space="0" w:color="FFFFFF"/>
            </w:tcBorders>
            <w:shd w:val="clear" w:color="auto" w:fill="0F243E"/>
            <w:vAlign w:val="center"/>
          </w:tcPr>
          <w:p w:rsidR="00A93A50" w:rsidRPr="004761E0" w:rsidRDefault="00611A22" w:rsidP="00086514">
            <w:pPr>
              <w:widowControl w:val="0"/>
              <w:suppressAutoHyphens/>
              <w:ind w:right="35" w:firstLine="0"/>
              <w:jc w:val="left"/>
              <w:rPr>
                <w:b/>
                <w:color w:val="FFFFFF"/>
                <w:sz w:val="20"/>
                <w:szCs w:val="20"/>
              </w:rPr>
            </w:pPr>
            <w:r w:rsidRPr="004761E0">
              <w:rPr>
                <w:b/>
                <w:color w:val="FFFFFF"/>
                <w:sz w:val="20"/>
                <w:szCs w:val="20"/>
              </w:rPr>
              <w:t>План</w:t>
            </w:r>
          </w:p>
        </w:tc>
        <w:tc>
          <w:tcPr>
            <w:tcW w:w="3685" w:type="dxa"/>
            <w:tcBorders>
              <w:left w:val="single" w:sz="4" w:space="0" w:color="FFFFFF"/>
            </w:tcBorders>
            <w:shd w:val="clear" w:color="auto" w:fill="0F243E"/>
            <w:vAlign w:val="center"/>
          </w:tcPr>
          <w:p w:rsidR="00A93A50" w:rsidRPr="004761E0" w:rsidRDefault="00611A22" w:rsidP="00086514">
            <w:pPr>
              <w:widowControl w:val="0"/>
              <w:suppressAutoHyphens/>
              <w:ind w:firstLine="0"/>
              <w:jc w:val="left"/>
              <w:rPr>
                <w:b/>
                <w:color w:val="FFFFFF"/>
                <w:sz w:val="20"/>
                <w:szCs w:val="20"/>
              </w:rPr>
            </w:pPr>
            <w:r w:rsidRPr="004761E0">
              <w:rPr>
                <w:b/>
                <w:color w:val="FFFFFF"/>
                <w:sz w:val="20"/>
                <w:szCs w:val="20"/>
              </w:rPr>
              <w:t>Факт</w:t>
            </w:r>
          </w:p>
        </w:tc>
      </w:tr>
      <w:tr w:rsidR="00A93A50" w:rsidRPr="004761E0" w:rsidTr="00733C41">
        <w:trPr>
          <w:trHeight w:val="109"/>
        </w:trPr>
        <w:tc>
          <w:tcPr>
            <w:tcW w:w="568" w:type="dxa"/>
            <w:shd w:val="clear" w:color="auto" w:fill="BFBFBF"/>
          </w:tcPr>
          <w:p w:rsidR="00A93A50" w:rsidRPr="004761E0" w:rsidRDefault="00A93A50" w:rsidP="007076A7">
            <w:pPr>
              <w:pStyle w:val="a5"/>
              <w:widowControl w:val="0"/>
              <w:numPr>
                <w:ilvl w:val="0"/>
                <w:numId w:val="167"/>
              </w:numPr>
              <w:suppressAutoHyphens/>
              <w:ind w:left="34" w:firstLine="0"/>
              <w:jc w:val="left"/>
              <w:rPr>
                <w:b/>
                <w:sz w:val="20"/>
                <w:szCs w:val="20"/>
              </w:rPr>
            </w:pPr>
          </w:p>
        </w:tc>
        <w:tc>
          <w:tcPr>
            <w:tcW w:w="15592" w:type="dxa"/>
            <w:gridSpan w:val="3"/>
            <w:shd w:val="clear" w:color="auto" w:fill="BFBFBF"/>
          </w:tcPr>
          <w:p w:rsidR="00A93A50" w:rsidRPr="004761E0" w:rsidRDefault="00A93A50" w:rsidP="00086514">
            <w:pPr>
              <w:widowControl w:val="0"/>
              <w:suppressAutoHyphens/>
              <w:ind w:firstLine="0"/>
              <w:jc w:val="left"/>
              <w:rPr>
                <w:rFonts w:eastAsia="Times New Roman"/>
                <w:b/>
                <w:color w:val="000000"/>
                <w:sz w:val="20"/>
                <w:szCs w:val="20"/>
                <w:lang w:eastAsia="ru-RU"/>
              </w:rPr>
            </w:pPr>
            <w:r w:rsidRPr="004761E0">
              <w:rPr>
                <w:rFonts w:eastAsia="Times New Roman"/>
                <w:b/>
                <w:color w:val="000000"/>
                <w:sz w:val="20"/>
                <w:szCs w:val="20"/>
                <w:lang w:eastAsia="ru-RU"/>
              </w:rPr>
              <w:t xml:space="preserve">Направление: Надежность. </w:t>
            </w:r>
          </w:p>
          <w:p w:rsidR="00A93A50" w:rsidRPr="004761E0" w:rsidRDefault="00A93A50" w:rsidP="00086514">
            <w:pPr>
              <w:widowControl w:val="0"/>
              <w:suppressAutoHyphens/>
              <w:ind w:firstLine="0"/>
              <w:jc w:val="left"/>
              <w:rPr>
                <w:rFonts w:eastAsia="Times New Roman"/>
                <w:b/>
                <w:color w:val="000000"/>
                <w:sz w:val="20"/>
                <w:szCs w:val="20"/>
                <w:lang w:eastAsia="ru-RU"/>
              </w:rPr>
            </w:pPr>
            <w:r w:rsidRPr="004761E0">
              <w:rPr>
                <w:rFonts w:eastAsia="Times New Roman"/>
                <w:b/>
                <w:color w:val="000000"/>
                <w:sz w:val="20"/>
                <w:szCs w:val="20"/>
                <w:lang w:eastAsia="ru-RU"/>
              </w:rPr>
              <w:t xml:space="preserve">Цель: </w:t>
            </w:r>
            <w:r w:rsidRPr="004761E0">
              <w:rPr>
                <w:b/>
                <w:sz w:val="20"/>
                <w:szCs w:val="20"/>
              </w:rPr>
              <w:t>Повышение надежности электроснабжения.</w:t>
            </w:r>
          </w:p>
        </w:tc>
      </w:tr>
      <w:tr w:rsidR="00A93A50" w:rsidRPr="004761E0" w:rsidTr="00733C41">
        <w:trPr>
          <w:trHeight w:val="109"/>
        </w:trPr>
        <w:tc>
          <w:tcPr>
            <w:tcW w:w="568" w:type="dxa"/>
          </w:tcPr>
          <w:p w:rsidR="00A93A50" w:rsidRPr="004761E0" w:rsidRDefault="00A93A50" w:rsidP="00086514">
            <w:pPr>
              <w:widowControl w:val="0"/>
              <w:suppressAutoHyphens/>
              <w:ind w:left="142" w:firstLine="0"/>
              <w:jc w:val="left"/>
              <w:rPr>
                <w:sz w:val="20"/>
                <w:szCs w:val="20"/>
              </w:rPr>
            </w:pPr>
          </w:p>
        </w:tc>
        <w:tc>
          <w:tcPr>
            <w:tcW w:w="8222" w:type="dxa"/>
          </w:tcPr>
          <w:p w:rsidR="00A93A50" w:rsidRPr="004761E0" w:rsidRDefault="00A93A50" w:rsidP="00112A97">
            <w:pPr>
              <w:pStyle w:val="a5"/>
              <w:widowControl w:val="0"/>
              <w:suppressAutoHyphens/>
              <w:ind w:left="34" w:firstLine="0"/>
              <w:rPr>
                <w:sz w:val="20"/>
                <w:szCs w:val="20"/>
              </w:rPr>
            </w:pPr>
            <w:r w:rsidRPr="004761E0">
              <w:rPr>
                <w:sz w:val="20"/>
                <w:szCs w:val="20"/>
              </w:rPr>
              <w:t>Для повышения надежности электроснабжения в 2013 году осуществлен следующий комплекс мероприятий:</w:t>
            </w:r>
          </w:p>
          <w:p w:rsidR="00A93A50" w:rsidRPr="004761E0" w:rsidRDefault="00A93A50" w:rsidP="007076A7">
            <w:pPr>
              <w:pStyle w:val="a5"/>
              <w:widowControl w:val="0"/>
              <w:numPr>
                <w:ilvl w:val="0"/>
                <w:numId w:val="168"/>
              </w:numPr>
              <w:suppressAutoHyphens/>
              <w:ind w:left="391" w:hanging="357"/>
              <w:rPr>
                <w:sz w:val="20"/>
                <w:szCs w:val="20"/>
              </w:rPr>
            </w:pPr>
            <w:r w:rsidRPr="004761E0">
              <w:rPr>
                <w:sz w:val="20"/>
                <w:szCs w:val="20"/>
              </w:rPr>
              <w:t>реализ</w:t>
            </w:r>
            <w:r w:rsidR="00EB2034" w:rsidRPr="004761E0">
              <w:rPr>
                <w:sz w:val="20"/>
                <w:szCs w:val="20"/>
              </w:rPr>
              <w:t>ация</w:t>
            </w:r>
            <w:r w:rsidRPr="004761E0">
              <w:rPr>
                <w:sz w:val="20"/>
                <w:szCs w:val="20"/>
              </w:rPr>
              <w:t xml:space="preserve"> масштабн</w:t>
            </w:r>
            <w:r w:rsidR="00EB2034" w:rsidRPr="004761E0">
              <w:rPr>
                <w:sz w:val="20"/>
                <w:szCs w:val="20"/>
              </w:rPr>
              <w:t>ой</w:t>
            </w:r>
            <w:r w:rsidRPr="004761E0">
              <w:rPr>
                <w:sz w:val="20"/>
                <w:szCs w:val="20"/>
              </w:rPr>
              <w:t xml:space="preserve"> ремонтн</w:t>
            </w:r>
            <w:r w:rsidR="00EB2034" w:rsidRPr="004761E0">
              <w:rPr>
                <w:sz w:val="20"/>
                <w:szCs w:val="20"/>
              </w:rPr>
              <w:t>ой</w:t>
            </w:r>
            <w:r w:rsidRPr="004761E0">
              <w:rPr>
                <w:sz w:val="20"/>
                <w:szCs w:val="20"/>
              </w:rPr>
              <w:t xml:space="preserve"> программ</w:t>
            </w:r>
            <w:r w:rsidR="00EB2034" w:rsidRPr="004761E0">
              <w:rPr>
                <w:sz w:val="20"/>
                <w:szCs w:val="20"/>
              </w:rPr>
              <w:t>ы</w:t>
            </w:r>
            <w:r w:rsidRPr="004761E0">
              <w:rPr>
                <w:sz w:val="20"/>
                <w:szCs w:val="20"/>
              </w:rPr>
              <w:t xml:space="preserve"> в объеме 5,</w:t>
            </w:r>
            <w:r w:rsidR="005B1BFF">
              <w:rPr>
                <w:sz w:val="20"/>
                <w:szCs w:val="20"/>
              </w:rPr>
              <w:t>33</w:t>
            </w:r>
            <w:r w:rsidRPr="004761E0">
              <w:rPr>
                <w:sz w:val="20"/>
                <w:szCs w:val="20"/>
              </w:rPr>
              <w:t xml:space="preserve"> </w:t>
            </w:r>
            <w:proofErr w:type="gramStart"/>
            <w:r w:rsidRPr="004761E0">
              <w:rPr>
                <w:sz w:val="20"/>
                <w:szCs w:val="20"/>
              </w:rPr>
              <w:t>млрд</w:t>
            </w:r>
            <w:proofErr w:type="gramEnd"/>
            <w:r w:rsidR="008A6242" w:rsidRPr="004761E0">
              <w:rPr>
                <w:sz w:val="20"/>
                <w:szCs w:val="20"/>
              </w:rPr>
              <w:t xml:space="preserve"> </w:t>
            </w:r>
            <w:r w:rsidRPr="004761E0">
              <w:rPr>
                <w:sz w:val="20"/>
                <w:szCs w:val="20"/>
              </w:rPr>
              <w:t>руб. и инвестиционн</w:t>
            </w:r>
            <w:r w:rsidR="00EB2034" w:rsidRPr="004761E0">
              <w:rPr>
                <w:sz w:val="20"/>
                <w:szCs w:val="20"/>
              </w:rPr>
              <w:t>ой</w:t>
            </w:r>
            <w:r w:rsidRPr="004761E0">
              <w:rPr>
                <w:sz w:val="20"/>
                <w:szCs w:val="20"/>
              </w:rPr>
              <w:t xml:space="preserve"> программ</w:t>
            </w:r>
            <w:r w:rsidR="00EB2034" w:rsidRPr="004761E0">
              <w:rPr>
                <w:sz w:val="20"/>
                <w:szCs w:val="20"/>
              </w:rPr>
              <w:t>ы</w:t>
            </w:r>
            <w:r w:rsidRPr="004761E0">
              <w:rPr>
                <w:sz w:val="20"/>
                <w:szCs w:val="20"/>
              </w:rPr>
              <w:t xml:space="preserve"> в объеме 43 млрд</w:t>
            </w:r>
            <w:r w:rsidR="008A6242" w:rsidRPr="004761E0">
              <w:rPr>
                <w:sz w:val="20"/>
                <w:szCs w:val="20"/>
              </w:rPr>
              <w:t xml:space="preserve"> </w:t>
            </w:r>
            <w:r w:rsidRPr="004761E0">
              <w:rPr>
                <w:sz w:val="20"/>
                <w:szCs w:val="20"/>
              </w:rPr>
              <w:t>руб</w:t>
            </w:r>
            <w:r w:rsidR="006C43DB" w:rsidRPr="004761E0">
              <w:rPr>
                <w:sz w:val="20"/>
                <w:szCs w:val="20"/>
              </w:rPr>
              <w:t>.</w:t>
            </w:r>
            <w:r w:rsidRPr="004761E0">
              <w:rPr>
                <w:sz w:val="20"/>
                <w:szCs w:val="20"/>
              </w:rPr>
              <w:t>;</w:t>
            </w:r>
          </w:p>
          <w:p w:rsidR="006C43DB" w:rsidRPr="004761E0" w:rsidRDefault="00A93A50" w:rsidP="007076A7">
            <w:pPr>
              <w:pStyle w:val="a5"/>
              <w:widowControl w:val="0"/>
              <w:numPr>
                <w:ilvl w:val="0"/>
                <w:numId w:val="168"/>
              </w:numPr>
              <w:suppressAutoHyphens/>
              <w:ind w:left="391" w:hanging="357"/>
              <w:rPr>
                <w:sz w:val="20"/>
                <w:szCs w:val="20"/>
              </w:rPr>
            </w:pPr>
            <w:r w:rsidRPr="004761E0">
              <w:rPr>
                <w:sz w:val="20"/>
                <w:szCs w:val="20"/>
              </w:rPr>
              <w:t>переустро</w:t>
            </w:r>
            <w:r w:rsidR="006C43DB" w:rsidRPr="004761E0">
              <w:rPr>
                <w:sz w:val="20"/>
                <w:szCs w:val="20"/>
              </w:rPr>
              <w:t xml:space="preserve">йство </w:t>
            </w:r>
            <w:proofErr w:type="gramStart"/>
            <w:r w:rsidRPr="004761E0">
              <w:rPr>
                <w:sz w:val="20"/>
                <w:szCs w:val="20"/>
              </w:rPr>
              <w:t>воздушных</w:t>
            </w:r>
            <w:proofErr w:type="gramEnd"/>
            <w:r w:rsidRPr="004761E0">
              <w:rPr>
                <w:sz w:val="20"/>
                <w:szCs w:val="20"/>
              </w:rPr>
              <w:t xml:space="preserve"> ЛЭП в </w:t>
            </w:r>
            <w:r w:rsidR="00B82D97" w:rsidRPr="004761E0">
              <w:rPr>
                <w:sz w:val="20"/>
                <w:szCs w:val="20"/>
              </w:rPr>
              <w:t>СИП</w:t>
            </w:r>
            <w:r w:rsidRPr="004761E0">
              <w:rPr>
                <w:sz w:val="20"/>
                <w:szCs w:val="20"/>
              </w:rPr>
              <w:t xml:space="preserve">. </w:t>
            </w:r>
          </w:p>
          <w:p w:rsidR="00A93A50" w:rsidRPr="004761E0" w:rsidRDefault="00EB2034" w:rsidP="007076A7">
            <w:pPr>
              <w:pStyle w:val="a5"/>
              <w:widowControl w:val="0"/>
              <w:numPr>
                <w:ilvl w:val="0"/>
                <w:numId w:val="168"/>
              </w:numPr>
              <w:suppressAutoHyphens/>
              <w:ind w:left="391" w:hanging="357"/>
              <w:rPr>
                <w:sz w:val="20"/>
                <w:szCs w:val="20"/>
              </w:rPr>
            </w:pPr>
            <w:r w:rsidRPr="004761E0">
              <w:rPr>
                <w:sz w:val="20"/>
                <w:szCs w:val="20"/>
              </w:rPr>
              <w:t>т</w:t>
            </w:r>
            <w:r w:rsidR="00A93A50" w:rsidRPr="004761E0">
              <w:rPr>
                <w:sz w:val="20"/>
                <w:szCs w:val="20"/>
              </w:rPr>
              <w:t>елемеханиз</w:t>
            </w:r>
            <w:r w:rsidR="006C43DB" w:rsidRPr="004761E0">
              <w:rPr>
                <w:sz w:val="20"/>
                <w:szCs w:val="20"/>
              </w:rPr>
              <w:t xml:space="preserve">ация </w:t>
            </w:r>
            <w:r w:rsidR="00A93A50" w:rsidRPr="004761E0">
              <w:rPr>
                <w:sz w:val="20"/>
                <w:szCs w:val="20"/>
              </w:rPr>
              <w:t>подстанци</w:t>
            </w:r>
            <w:r w:rsidR="006C43DB" w:rsidRPr="004761E0">
              <w:rPr>
                <w:sz w:val="20"/>
                <w:szCs w:val="20"/>
              </w:rPr>
              <w:t xml:space="preserve">й, </w:t>
            </w:r>
            <w:r w:rsidR="00A93A50" w:rsidRPr="004761E0">
              <w:rPr>
                <w:sz w:val="20"/>
                <w:szCs w:val="20"/>
              </w:rPr>
              <w:t>распределительных пунктов и узловых трансфор</w:t>
            </w:r>
            <w:r w:rsidR="00246205" w:rsidRPr="004761E0">
              <w:rPr>
                <w:sz w:val="20"/>
                <w:szCs w:val="20"/>
              </w:rPr>
              <w:t>маторных подстанций сети 6-20</w:t>
            </w:r>
            <w:r w:rsidR="00BD5626">
              <w:rPr>
                <w:sz w:val="20"/>
                <w:szCs w:val="20"/>
              </w:rPr>
              <w:t xml:space="preserve"> </w:t>
            </w:r>
            <w:r w:rsidR="00246205" w:rsidRPr="004761E0">
              <w:rPr>
                <w:sz w:val="20"/>
                <w:szCs w:val="20"/>
              </w:rPr>
              <w:t>кВ;</w:t>
            </w:r>
          </w:p>
          <w:p w:rsidR="00246205" w:rsidRPr="004761E0" w:rsidRDefault="00A93A50" w:rsidP="007076A7">
            <w:pPr>
              <w:pStyle w:val="a5"/>
              <w:widowControl w:val="0"/>
              <w:numPr>
                <w:ilvl w:val="0"/>
                <w:numId w:val="168"/>
              </w:numPr>
              <w:suppressAutoHyphens/>
              <w:ind w:left="391" w:hanging="357"/>
              <w:rPr>
                <w:sz w:val="20"/>
                <w:szCs w:val="20"/>
              </w:rPr>
            </w:pPr>
            <w:r w:rsidRPr="004761E0">
              <w:rPr>
                <w:sz w:val="20"/>
                <w:szCs w:val="20"/>
              </w:rPr>
              <w:t xml:space="preserve">расширение просек </w:t>
            </w:r>
            <w:proofErr w:type="gramStart"/>
            <w:r w:rsidR="00246205" w:rsidRPr="004761E0">
              <w:rPr>
                <w:sz w:val="20"/>
                <w:szCs w:val="20"/>
              </w:rPr>
              <w:t>ВЛ</w:t>
            </w:r>
            <w:proofErr w:type="gramEnd"/>
            <w:r w:rsidRPr="004761E0">
              <w:rPr>
                <w:sz w:val="20"/>
                <w:szCs w:val="20"/>
              </w:rPr>
              <w:t>, проходящих по лесным массивам</w:t>
            </w:r>
            <w:r w:rsidR="00246205" w:rsidRPr="004761E0">
              <w:rPr>
                <w:sz w:val="20"/>
                <w:szCs w:val="20"/>
              </w:rPr>
              <w:t>;</w:t>
            </w:r>
          </w:p>
          <w:p w:rsidR="00A93A50" w:rsidRPr="004761E0" w:rsidRDefault="00A93A50" w:rsidP="007076A7">
            <w:pPr>
              <w:pStyle w:val="a5"/>
              <w:widowControl w:val="0"/>
              <w:numPr>
                <w:ilvl w:val="0"/>
                <w:numId w:val="168"/>
              </w:numPr>
              <w:suppressAutoHyphens/>
              <w:ind w:left="391" w:hanging="357"/>
              <w:rPr>
                <w:sz w:val="20"/>
                <w:szCs w:val="20"/>
              </w:rPr>
            </w:pPr>
            <w:r w:rsidRPr="004761E0">
              <w:rPr>
                <w:sz w:val="20"/>
                <w:szCs w:val="20"/>
              </w:rPr>
              <w:t>оптимизация структуры оперативно-технологического управления</w:t>
            </w:r>
            <w:r w:rsidR="00246205" w:rsidRPr="004761E0">
              <w:rPr>
                <w:sz w:val="20"/>
                <w:szCs w:val="20"/>
              </w:rPr>
              <w:t>;</w:t>
            </w:r>
          </w:p>
          <w:p w:rsidR="00A93A50" w:rsidRPr="004761E0" w:rsidRDefault="00A93A50" w:rsidP="007076A7">
            <w:pPr>
              <w:pStyle w:val="a5"/>
              <w:widowControl w:val="0"/>
              <w:numPr>
                <w:ilvl w:val="0"/>
                <w:numId w:val="168"/>
              </w:numPr>
              <w:suppressAutoHyphens/>
              <w:ind w:left="391" w:hanging="357"/>
              <w:rPr>
                <w:sz w:val="20"/>
                <w:szCs w:val="20"/>
              </w:rPr>
            </w:pPr>
            <w:r w:rsidRPr="004761E0">
              <w:rPr>
                <w:sz w:val="20"/>
                <w:szCs w:val="20"/>
              </w:rPr>
              <w:t>внедрение Системы управления активами и переход на формирование ремонтной программы по индексу состояния</w:t>
            </w:r>
            <w:r w:rsidR="00246205" w:rsidRPr="004761E0">
              <w:rPr>
                <w:sz w:val="20"/>
                <w:szCs w:val="20"/>
              </w:rPr>
              <w:t>;</w:t>
            </w:r>
            <w:r w:rsidRPr="004761E0">
              <w:rPr>
                <w:sz w:val="20"/>
                <w:szCs w:val="20"/>
              </w:rPr>
              <w:t xml:space="preserve"> </w:t>
            </w:r>
          </w:p>
          <w:p w:rsidR="00A93A50" w:rsidRPr="004761E0" w:rsidRDefault="00A93A50" w:rsidP="007076A7">
            <w:pPr>
              <w:pStyle w:val="a5"/>
              <w:widowControl w:val="0"/>
              <w:numPr>
                <w:ilvl w:val="0"/>
                <w:numId w:val="168"/>
              </w:numPr>
              <w:suppressAutoHyphens/>
              <w:ind w:left="391" w:hanging="357"/>
              <w:rPr>
                <w:sz w:val="20"/>
                <w:szCs w:val="20"/>
              </w:rPr>
            </w:pPr>
            <w:r w:rsidRPr="004761E0">
              <w:rPr>
                <w:sz w:val="20"/>
                <w:szCs w:val="20"/>
              </w:rPr>
              <w:t>увеличение количества аварийно-восстановительных бригад и оснащение бригад специальной техникой</w:t>
            </w:r>
            <w:r w:rsidR="00611A22" w:rsidRPr="004761E0">
              <w:rPr>
                <w:sz w:val="20"/>
                <w:szCs w:val="20"/>
              </w:rPr>
              <w:t>;</w:t>
            </w:r>
          </w:p>
          <w:p w:rsidR="00A93A50" w:rsidRPr="004761E0" w:rsidRDefault="00A93A50" w:rsidP="007076A7">
            <w:pPr>
              <w:pStyle w:val="a5"/>
              <w:widowControl w:val="0"/>
              <w:numPr>
                <w:ilvl w:val="0"/>
                <w:numId w:val="168"/>
              </w:numPr>
              <w:suppressAutoHyphens/>
              <w:ind w:left="391" w:hanging="357"/>
              <w:rPr>
                <w:sz w:val="20"/>
                <w:szCs w:val="20"/>
              </w:rPr>
            </w:pPr>
            <w:r w:rsidRPr="004761E0">
              <w:rPr>
                <w:sz w:val="20"/>
                <w:szCs w:val="20"/>
              </w:rPr>
              <w:t>приобретение передвижных генераторных</w:t>
            </w:r>
            <w:r w:rsidR="007877E1">
              <w:rPr>
                <w:sz w:val="20"/>
                <w:szCs w:val="20"/>
              </w:rPr>
              <w:t xml:space="preserve"> установок</w:t>
            </w:r>
            <w:r w:rsidRPr="004761E0">
              <w:rPr>
                <w:sz w:val="20"/>
                <w:szCs w:val="20"/>
              </w:rPr>
              <w:t>.</w:t>
            </w:r>
          </w:p>
          <w:p w:rsidR="00611A22" w:rsidRPr="004761E0" w:rsidRDefault="00611A22" w:rsidP="00611A22">
            <w:pPr>
              <w:widowControl w:val="0"/>
              <w:suppressAutoHyphens/>
              <w:ind w:firstLine="0"/>
              <w:rPr>
                <w:sz w:val="20"/>
                <w:szCs w:val="20"/>
              </w:rPr>
            </w:pPr>
            <w:r w:rsidRPr="004761E0">
              <w:rPr>
                <w:sz w:val="20"/>
                <w:szCs w:val="20"/>
              </w:rPr>
              <w:t xml:space="preserve">Более подробно о мероприятиях и результатах в </w:t>
            </w:r>
            <w:r w:rsidR="00374EDF" w:rsidRPr="004761E0">
              <w:rPr>
                <w:sz w:val="20"/>
                <w:szCs w:val="20"/>
              </w:rPr>
              <w:t>направлении</w:t>
            </w:r>
            <w:r w:rsidRPr="004761E0">
              <w:rPr>
                <w:sz w:val="20"/>
                <w:szCs w:val="20"/>
              </w:rPr>
              <w:t xml:space="preserve"> надежности описано в разделе «Повышение надежности» и «Отчет Совета директоров о результатах </w:t>
            </w:r>
            <w:r w:rsidR="00374EDF" w:rsidRPr="004761E0">
              <w:rPr>
                <w:sz w:val="20"/>
                <w:szCs w:val="20"/>
              </w:rPr>
              <w:t>р</w:t>
            </w:r>
            <w:r w:rsidRPr="004761E0">
              <w:rPr>
                <w:sz w:val="20"/>
                <w:szCs w:val="20"/>
              </w:rPr>
              <w:t xml:space="preserve">азвития по приоритетным направлениям». </w:t>
            </w:r>
          </w:p>
          <w:p w:rsidR="00611A22" w:rsidRPr="004761E0" w:rsidRDefault="00611A22" w:rsidP="00611A22">
            <w:pPr>
              <w:widowControl w:val="0"/>
              <w:suppressAutoHyphens/>
              <w:ind w:firstLine="0"/>
              <w:rPr>
                <w:sz w:val="20"/>
                <w:szCs w:val="20"/>
              </w:rPr>
            </w:pPr>
          </w:p>
          <w:p w:rsidR="00A93A50" w:rsidRPr="004761E0" w:rsidRDefault="00A93A50" w:rsidP="00112A97">
            <w:pPr>
              <w:pStyle w:val="a5"/>
              <w:widowControl w:val="0"/>
              <w:suppressAutoHyphens/>
              <w:ind w:left="34" w:firstLine="0"/>
              <w:rPr>
                <w:sz w:val="20"/>
                <w:szCs w:val="20"/>
              </w:rPr>
            </w:pPr>
            <w:r w:rsidRPr="004761E0">
              <w:rPr>
                <w:sz w:val="20"/>
                <w:szCs w:val="20"/>
              </w:rPr>
              <w:t>В качестве перспективных направлений, ориентированных на повышение надежности электроснабжения, Общество планирует в 2014 и последующих годах выполнить следующие мероприятия:</w:t>
            </w:r>
          </w:p>
          <w:p w:rsidR="00A93A50" w:rsidRPr="004761E0" w:rsidRDefault="00A93A50" w:rsidP="007076A7">
            <w:pPr>
              <w:pStyle w:val="a5"/>
              <w:widowControl w:val="0"/>
              <w:numPr>
                <w:ilvl w:val="0"/>
                <w:numId w:val="168"/>
              </w:numPr>
              <w:suppressAutoHyphens/>
              <w:ind w:left="391" w:hanging="357"/>
              <w:rPr>
                <w:sz w:val="20"/>
                <w:szCs w:val="20"/>
              </w:rPr>
            </w:pPr>
            <w:r w:rsidRPr="004761E0">
              <w:rPr>
                <w:sz w:val="20"/>
                <w:szCs w:val="20"/>
              </w:rPr>
              <w:t>внедрение показателей надежности оказываемых услуг, основанных на международных стандартах</w:t>
            </w:r>
            <w:r w:rsidR="00611A22" w:rsidRPr="006F4AB8">
              <w:rPr>
                <w:rStyle w:val="af1"/>
              </w:rPr>
              <w:footnoteReference w:id="11"/>
            </w:r>
            <w:r w:rsidR="00611A22" w:rsidRPr="004761E0">
              <w:rPr>
                <w:sz w:val="20"/>
                <w:szCs w:val="20"/>
              </w:rPr>
              <w:t>;</w:t>
            </w:r>
            <w:r w:rsidRPr="004761E0">
              <w:rPr>
                <w:sz w:val="20"/>
                <w:szCs w:val="20"/>
              </w:rPr>
              <w:t xml:space="preserve"> </w:t>
            </w:r>
          </w:p>
          <w:p w:rsidR="00A93A50" w:rsidRPr="004761E0" w:rsidRDefault="00A93A50" w:rsidP="007076A7">
            <w:pPr>
              <w:pStyle w:val="a5"/>
              <w:widowControl w:val="0"/>
              <w:numPr>
                <w:ilvl w:val="0"/>
                <w:numId w:val="168"/>
              </w:numPr>
              <w:suppressAutoHyphens/>
              <w:ind w:left="391" w:hanging="357"/>
              <w:rPr>
                <w:sz w:val="20"/>
                <w:szCs w:val="20"/>
              </w:rPr>
            </w:pPr>
            <w:r w:rsidRPr="004761E0">
              <w:rPr>
                <w:sz w:val="20"/>
                <w:szCs w:val="20"/>
              </w:rPr>
              <w:t xml:space="preserve">разработку схем перспективного развития РЭС 0,4-20 кВ, предусматривающих мероприятия по секционированию и резервированию сети; </w:t>
            </w:r>
          </w:p>
          <w:p w:rsidR="00A93A50" w:rsidRPr="004761E0" w:rsidRDefault="00A93A50" w:rsidP="007076A7">
            <w:pPr>
              <w:pStyle w:val="a5"/>
              <w:widowControl w:val="0"/>
              <w:numPr>
                <w:ilvl w:val="0"/>
                <w:numId w:val="168"/>
              </w:numPr>
              <w:suppressAutoHyphens/>
              <w:ind w:left="391" w:hanging="357"/>
              <w:rPr>
                <w:sz w:val="20"/>
                <w:szCs w:val="20"/>
              </w:rPr>
            </w:pPr>
            <w:r w:rsidRPr="004761E0">
              <w:rPr>
                <w:sz w:val="20"/>
                <w:szCs w:val="20"/>
              </w:rPr>
              <w:t xml:space="preserve">укрупнение операционных зон и централизацию диспетчерского управления: </w:t>
            </w:r>
            <w:r w:rsidRPr="004761E0">
              <w:rPr>
                <w:bCs/>
                <w:sz w:val="20"/>
                <w:szCs w:val="20"/>
              </w:rPr>
              <w:t xml:space="preserve">объединение Восточной и Южной операционных зон </w:t>
            </w:r>
            <w:r w:rsidR="0008080E">
              <w:rPr>
                <w:bCs/>
                <w:sz w:val="20"/>
                <w:szCs w:val="20"/>
              </w:rPr>
              <w:t>ОАО </w:t>
            </w:r>
            <w:r w:rsidRPr="004761E0">
              <w:rPr>
                <w:bCs/>
                <w:sz w:val="20"/>
                <w:szCs w:val="20"/>
              </w:rPr>
              <w:t>«МОЭСК»</w:t>
            </w:r>
            <w:r w:rsidR="00112A97" w:rsidRPr="004761E0">
              <w:rPr>
                <w:bCs/>
                <w:sz w:val="20"/>
                <w:szCs w:val="20"/>
              </w:rPr>
              <w:t>;</w:t>
            </w:r>
          </w:p>
          <w:p w:rsidR="00A93A50" w:rsidRPr="004761E0" w:rsidRDefault="00A93A50" w:rsidP="007076A7">
            <w:pPr>
              <w:pStyle w:val="a5"/>
              <w:widowControl w:val="0"/>
              <w:numPr>
                <w:ilvl w:val="0"/>
                <w:numId w:val="168"/>
              </w:numPr>
              <w:suppressAutoHyphens/>
              <w:ind w:left="391" w:hanging="357"/>
              <w:rPr>
                <w:sz w:val="20"/>
                <w:szCs w:val="20"/>
              </w:rPr>
            </w:pPr>
            <w:r w:rsidRPr="004761E0">
              <w:rPr>
                <w:sz w:val="20"/>
                <w:szCs w:val="20"/>
              </w:rPr>
              <w:t xml:space="preserve">развитие систем управления и планирования режимов работы электрических сетей </w:t>
            </w:r>
            <w:r w:rsidR="0008080E">
              <w:rPr>
                <w:sz w:val="20"/>
                <w:szCs w:val="20"/>
              </w:rPr>
              <w:lastRenderedPageBreak/>
              <w:t>ОАО </w:t>
            </w:r>
            <w:r w:rsidRPr="004761E0">
              <w:rPr>
                <w:sz w:val="20"/>
                <w:szCs w:val="20"/>
              </w:rPr>
              <w:t xml:space="preserve">«МОЭСК»: </w:t>
            </w:r>
            <w:r w:rsidRPr="004761E0">
              <w:rPr>
                <w:bCs/>
                <w:sz w:val="20"/>
                <w:szCs w:val="20"/>
              </w:rPr>
              <w:t xml:space="preserve">Внедрение в пилотной зоне информационно-аналитических модулей программно-технического комплекса АСДУ </w:t>
            </w:r>
            <w:r w:rsidRPr="004761E0">
              <w:rPr>
                <w:bCs/>
                <w:sz w:val="20"/>
                <w:szCs w:val="20"/>
                <w:lang w:val="en-US"/>
              </w:rPr>
              <w:t>Power</w:t>
            </w:r>
            <w:r w:rsidRPr="004761E0">
              <w:rPr>
                <w:bCs/>
                <w:sz w:val="20"/>
                <w:szCs w:val="20"/>
              </w:rPr>
              <w:t xml:space="preserve"> </w:t>
            </w:r>
            <w:r w:rsidRPr="004761E0">
              <w:rPr>
                <w:bCs/>
                <w:sz w:val="20"/>
                <w:szCs w:val="20"/>
                <w:lang w:val="en-US"/>
              </w:rPr>
              <w:t>On</w:t>
            </w:r>
            <w:r w:rsidRPr="004761E0">
              <w:rPr>
                <w:bCs/>
                <w:sz w:val="20"/>
                <w:szCs w:val="20"/>
              </w:rPr>
              <w:t xml:space="preserve"> (</w:t>
            </w:r>
            <w:r w:rsidRPr="004761E0">
              <w:rPr>
                <w:bCs/>
                <w:sz w:val="20"/>
                <w:szCs w:val="20"/>
                <w:lang w:val="en-US"/>
              </w:rPr>
              <w:t>ENMAC</w:t>
            </w:r>
            <w:r w:rsidRPr="004761E0">
              <w:rPr>
                <w:bCs/>
                <w:sz w:val="20"/>
                <w:szCs w:val="20"/>
              </w:rPr>
              <w:t xml:space="preserve">); Внедрение в пилотной зоне информационно-аналитических модулей программно-технического комплекса АСДУ </w:t>
            </w:r>
            <w:r w:rsidRPr="004761E0">
              <w:rPr>
                <w:bCs/>
                <w:sz w:val="20"/>
                <w:szCs w:val="20"/>
                <w:lang w:val="en-US"/>
              </w:rPr>
              <w:t>Power</w:t>
            </w:r>
            <w:r w:rsidRPr="004761E0">
              <w:rPr>
                <w:bCs/>
                <w:sz w:val="20"/>
                <w:szCs w:val="20"/>
              </w:rPr>
              <w:t xml:space="preserve"> </w:t>
            </w:r>
            <w:r w:rsidRPr="004761E0">
              <w:rPr>
                <w:bCs/>
                <w:sz w:val="20"/>
                <w:szCs w:val="20"/>
                <w:lang w:val="en-US"/>
              </w:rPr>
              <w:t>On</w:t>
            </w:r>
            <w:r w:rsidRPr="004761E0">
              <w:rPr>
                <w:bCs/>
                <w:sz w:val="20"/>
                <w:szCs w:val="20"/>
              </w:rPr>
              <w:t xml:space="preserve"> (</w:t>
            </w:r>
            <w:r w:rsidRPr="004761E0">
              <w:rPr>
                <w:bCs/>
                <w:sz w:val="20"/>
                <w:szCs w:val="20"/>
                <w:lang w:val="en-US"/>
              </w:rPr>
              <w:t>ENMAC</w:t>
            </w:r>
            <w:r w:rsidRPr="004761E0">
              <w:rPr>
                <w:bCs/>
                <w:sz w:val="20"/>
                <w:szCs w:val="20"/>
              </w:rPr>
              <w:t>); Создание системы управления техническими потерями</w:t>
            </w:r>
            <w:r w:rsidR="00611A22" w:rsidRPr="004761E0">
              <w:rPr>
                <w:bCs/>
                <w:sz w:val="20"/>
                <w:szCs w:val="20"/>
              </w:rPr>
              <w:t>;</w:t>
            </w:r>
          </w:p>
          <w:p w:rsidR="00A93A50" w:rsidRPr="004761E0" w:rsidRDefault="00A93A50" w:rsidP="007076A7">
            <w:pPr>
              <w:pStyle w:val="a5"/>
              <w:widowControl w:val="0"/>
              <w:numPr>
                <w:ilvl w:val="0"/>
                <w:numId w:val="168"/>
              </w:numPr>
              <w:suppressAutoHyphens/>
              <w:ind w:left="391" w:hanging="357"/>
              <w:rPr>
                <w:sz w:val="20"/>
                <w:szCs w:val="20"/>
              </w:rPr>
            </w:pPr>
            <w:r w:rsidRPr="004761E0">
              <w:rPr>
                <w:sz w:val="20"/>
                <w:szCs w:val="20"/>
              </w:rPr>
              <w:t xml:space="preserve">переход на ремонт электросетевого оборудования по «индексу технического состояния»: </w:t>
            </w:r>
            <w:r w:rsidRPr="004761E0">
              <w:rPr>
                <w:bCs/>
                <w:sz w:val="20"/>
                <w:szCs w:val="20"/>
              </w:rPr>
              <w:t xml:space="preserve">Создание единой базы данных по оборудованию 0,4-500 кВ на основе базы данных «Паспортизация»; Автоматизация формирования производственной программы на базе </w:t>
            </w:r>
            <w:r w:rsidRPr="004761E0">
              <w:rPr>
                <w:bCs/>
                <w:sz w:val="20"/>
                <w:szCs w:val="20"/>
                <w:lang w:val="en-US"/>
              </w:rPr>
              <w:t>SAP</w:t>
            </w:r>
            <w:r w:rsidR="00112A97" w:rsidRPr="004761E0">
              <w:rPr>
                <w:bCs/>
                <w:sz w:val="20"/>
                <w:szCs w:val="20"/>
              </w:rPr>
              <w:t>;</w:t>
            </w:r>
          </w:p>
          <w:p w:rsidR="00A93A50" w:rsidRPr="004761E0" w:rsidRDefault="00A93A50" w:rsidP="007076A7">
            <w:pPr>
              <w:pStyle w:val="a5"/>
              <w:widowControl w:val="0"/>
              <w:numPr>
                <w:ilvl w:val="0"/>
                <w:numId w:val="168"/>
              </w:numPr>
              <w:suppressAutoHyphens/>
              <w:ind w:left="391" w:hanging="357"/>
              <w:rPr>
                <w:sz w:val="20"/>
                <w:szCs w:val="20"/>
              </w:rPr>
            </w:pPr>
            <w:r w:rsidRPr="004761E0">
              <w:rPr>
                <w:sz w:val="20"/>
                <w:szCs w:val="20"/>
              </w:rPr>
              <w:t xml:space="preserve">перевод 386 оперативно-выездных и ремонтно-эксплуатационных бригад на организацию работы по принципу мобильных бригад; оснащение оперативных и ремонтно-эксплуатационных бригад специализированными мобильными средствами выездных бригад, внедрение средств автоматизированного планирования и учета работ выездных бригад. </w:t>
            </w:r>
          </w:p>
        </w:tc>
        <w:tc>
          <w:tcPr>
            <w:tcW w:w="3685" w:type="dxa"/>
          </w:tcPr>
          <w:p w:rsidR="006D3155" w:rsidRPr="004761E0" w:rsidRDefault="006D3155" w:rsidP="006D3155">
            <w:pPr>
              <w:widowControl w:val="0"/>
              <w:suppressAutoHyphens/>
              <w:ind w:firstLine="0"/>
              <w:jc w:val="left"/>
              <w:rPr>
                <w:rFonts w:eastAsia="Times New Roman"/>
                <w:b/>
                <w:color w:val="000000"/>
                <w:sz w:val="20"/>
                <w:szCs w:val="20"/>
                <w:lang w:eastAsia="ru-RU"/>
              </w:rPr>
            </w:pPr>
            <w:r w:rsidRPr="004761E0">
              <w:rPr>
                <w:rFonts w:eastAsia="Times New Roman"/>
                <w:b/>
                <w:color w:val="000000"/>
                <w:sz w:val="20"/>
                <w:szCs w:val="20"/>
                <w:lang w:eastAsia="ru-RU"/>
              </w:rPr>
              <w:lastRenderedPageBreak/>
              <w:t>Среднее время восстановления электроснабжения:</w:t>
            </w:r>
          </w:p>
          <w:p w:rsidR="006D3155" w:rsidRPr="004761E0" w:rsidRDefault="006D3155" w:rsidP="007076A7">
            <w:pPr>
              <w:pStyle w:val="a5"/>
              <w:widowControl w:val="0"/>
              <w:numPr>
                <w:ilvl w:val="0"/>
                <w:numId w:val="168"/>
              </w:numPr>
              <w:suppressAutoHyphens/>
              <w:ind w:left="391" w:hanging="391"/>
              <w:jc w:val="left"/>
              <w:rPr>
                <w:sz w:val="20"/>
                <w:szCs w:val="20"/>
              </w:rPr>
            </w:pPr>
            <w:r w:rsidRPr="004761E0">
              <w:rPr>
                <w:sz w:val="20"/>
                <w:szCs w:val="20"/>
              </w:rPr>
              <w:t xml:space="preserve">г. Москва: </w:t>
            </w:r>
            <w:r w:rsidRPr="004761E0">
              <w:rPr>
                <w:sz w:val="20"/>
                <w:szCs w:val="20"/>
                <w:u w:val="single"/>
              </w:rPr>
              <w:t>47</w:t>
            </w:r>
            <w:r w:rsidR="00E7117F">
              <w:rPr>
                <w:sz w:val="20"/>
                <w:szCs w:val="20"/>
                <w:u w:val="single"/>
              </w:rPr>
              <w:t xml:space="preserve"> мин.</w:t>
            </w:r>
            <w:r w:rsidRPr="004761E0">
              <w:rPr>
                <w:sz w:val="20"/>
                <w:szCs w:val="20"/>
              </w:rPr>
              <w:t>;</w:t>
            </w:r>
          </w:p>
          <w:p w:rsidR="006D3155" w:rsidRPr="004761E0" w:rsidRDefault="006D3155" w:rsidP="007076A7">
            <w:pPr>
              <w:pStyle w:val="a5"/>
              <w:widowControl w:val="0"/>
              <w:numPr>
                <w:ilvl w:val="0"/>
                <w:numId w:val="168"/>
              </w:numPr>
              <w:suppressAutoHyphens/>
              <w:ind w:left="391" w:hanging="391"/>
              <w:jc w:val="left"/>
              <w:rPr>
                <w:sz w:val="20"/>
                <w:szCs w:val="20"/>
              </w:rPr>
            </w:pPr>
            <w:r w:rsidRPr="004761E0">
              <w:rPr>
                <w:sz w:val="20"/>
                <w:szCs w:val="20"/>
              </w:rPr>
              <w:t xml:space="preserve">Московская область: </w:t>
            </w:r>
            <w:r w:rsidRPr="004761E0">
              <w:rPr>
                <w:sz w:val="20"/>
                <w:szCs w:val="20"/>
                <w:u w:val="single"/>
              </w:rPr>
              <w:t>182</w:t>
            </w:r>
            <w:r w:rsidR="00E7117F">
              <w:rPr>
                <w:sz w:val="20"/>
                <w:szCs w:val="20"/>
                <w:u w:val="single"/>
              </w:rPr>
              <w:t xml:space="preserve"> мин.</w:t>
            </w:r>
            <w:r w:rsidRPr="004761E0">
              <w:rPr>
                <w:sz w:val="20"/>
                <w:szCs w:val="20"/>
              </w:rPr>
              <w:t>;</w:t>
            </w:r>
          </w:p>
          <w:p w:rsidR="006D3155" w:rsidRPr="004761E0" w:rsidRDefault="006D3155" w:rsidP="007076A7">
            <w:pPr>
              <w:pStyle w:val="a5"/>
              <w:widowControl w:val="0"/>
              <w:numPr>
                <w:ilvl w:val="0"/>
                <w:numId w:val="168"/>
              </w:numPr>
              <w:suppressAutoHyphens/>
              <w:ind w:left="391" w:hanging="391"/>
              <w:jc w:val="left"/>
              <w:rPr>
                <w:sz w:val="20"/>
                <w:szCs w:val="20"/>
              </w:rPr>
            </w:pPr>
            <w:r w:rsidRPr="004761E0">
              <w:rPr>
                <w:sz w:val="20"/>
                <w:szCs w:val="20"/>
              </w:rPr>
              <w:t xml:space="preserve">Новая Москва: </w:t>
            </w:r>
            <w:r w:rsidRPr="004761E0">
              <w:rPr>
                <w:sz w:val="20"/>
                <w:szCs w:val="20"/>
                <w:u w:val="single"/>
              </w:rPr>
              <w:t>167</w:t>
            </w:r>
            <w:r w:rsidR="00E7117F">
              <w:rPr>
                <w:sz w:val="20"/>
                <w:szCs w:val="20"/>
                <w:u w:val="single"/>
              </w:rPr>
              <w:t xml:space="preserve"> мин</w:t>
            </w:r>
            <w:r w:rsidRPr="004761E0">
              <w:rPr>
                <w:sz w:val="20"/>
                <w:szCs w:val="20"/>
              </w:rPr>
              <w:t>.</w:t>
            </w:r>
          </w:p>
          <w:p w:rsidR="006D3155" w:rsidRPr="004761E0" w:rsidRDefault="006D3155" w:rsidP="006D3155">
            <w:pPr>
              <w:widowControl w:val="0"/>
              <w:suppressAutoHyphens/>
              <w:ind w:firstLine="0"/>
              <w:jc w:val="left"/>
              <w:rPr>
                <w:sz w:val="20"/>
                <w:szCs w:val="20"/>
              </w:rPr>
            </w:pPr>
          </w:p>
          <w:p w:rsidR="006D3155" w:rsidRPr="004761E0" w:rsidRDefault="006D3155" w:rsidP="006D3155">
            <w:pPr>
              <w:widowControl w:val="0"/>
              <w:suppressAutoHyphens/>
              <w:ind w:firstLine="0"/>
              <w:jc w:val="left"/>
              <w:rPr>
                <w:b/>
                <w:sz w:val="20"/>
                <w:szCs w:val="20"/>
              </w:rPr>
            </w:pPr>
            <w:r w:rsidRPr="004761E0">
              <w:rPr>
                <w:b/>
                <w:sz w:val="20"/>
                <w:szCs w:val="20"/>
              </w:rPr>
              <w:t>Показатель надежности</w:t>
            </w:r>
            <w:r w:rsidRPr="006F4AB8">
              <w:rPr>
                <w:rStyle w:val="af1"/>
              </w:rPr>
              <w:footnoteReference w:id="12"/>
            </w:r>
            <w:r w:rsidRPr="004761E0">
              <w:rPr>
                <w:b/>
                <w:sz w:val="20"/>
                <w:szCs w:val="20"/>
              </w:rPr>
              <w:t>, час/точку присоединения:</w:t>
            </w:r>
          </w:p>
          <w:p w:rsidR="006D3155" w:rsidRPr="004761E0" w:rsidRDefault="006D3155" w:rsidP="007076A7">
            <w:pPr>
              <w:pStyle w:val="a5"/>
              <w:widowControl w:val="0"/>
              <w:numPr>
                <w:ilvl w:val="0"/>
                <w:numId w:val="168"/>
              </w:numPr>
              <w:suppressAutoHyphens/>
              <w:ind w:left="391" w:hanging="391"/>
              <w:jc w:val="left"/>
              <w:rPr>
                <w:sz w:val="20"/>
                <w:szCs w:val="20"/>
              </w:rPr>
            </w:pPr>
            <w:r w:rsidRPr="004761E0">
              <w:rPr>
                <w:sz w:val="20"/>
                <w:szCs w:val="20"/>
              </w:rPr>
              <w:t xml:space="preserve">г. Москва: </w:t>
            </w:r>
            <w:r w:rsidRPr="004761E0">
              <w:rPr>
                <w:sz w:val="20"/>
                <w:szCs w:val="20"/>
                <w:u w:val="single"/>
              </w:rPr>
              <w:t>0,000499</w:t>
            </w:r>
            <w:r w:rsidRPr="004761E0">
              <w:rPr>
                <w:sz w:val="20"/>
                <w:szCs w:val="20"/>
              </w:rPr>
              <w:t>;</w:t>
            </w:r>
          </w:p>
          <w:p w:rsidR="006D3155" w:rsidRPr="004761E0" w:rsidRDefault="006D3155" w:rsidP="007076A7">
            <w:pPr>
              <w:pStyle w:val="a5"/>
              <w:widowControl w:val="0"/>
              <w:numPr>
                <w:ilvl w:val="0"/>
                <w:numId w:val="168"/>
              </w:numPr>
              <w:suppressAutoHyphens/>
              <w:ind w:left="391" w:hanging="391"/>
              <w:jc w:val="left"/>
              <w:rPr>
                <w:sz w:val="20"/>
                <w:szCs w:val="20"/>
              </w:rPr>
            </w:pPr>
            <w:r w:rsidRPr="004761E0">
              <w:rPr>
                <w:sz w:val="20"/>
                <w:szCs w:val="20"/>
              </w:rPr>
              <w:t xml:space="preserve">Московская область: </w:t>
            </w:r>
            <w:r w:rsidRPr="004761E0">
              <w:rPr>
                <w:sz w:val="20"/>
                <w:szCs w:val="20"/>
                <w:u w:val="single"/>
              </w:rPr>
              <w:t>0,075665</w:t>
            </w:r>
            <w:r w:rsidRPr="004761E0">
              <w:rPr>
                <w:sz w:val="20"/>
                <w:szCs w:val="20"/>
              </w:rPr>
              <w:t>;</w:t>
            </w:r>
          </w:p>
          <w:p w:rsidR="006D3155" w:rsidRPr="004761E0" w:rsidRDefault="006D3155" w:rsidP="006D3155">
            <w:pPr>
              <w:widowControl w:val="0"/>
              <w:suppressAutoHyphens/>
              <w:ind w:firstLine="0"/>
              <w:jc w:val="left"/>
              <w:rPr>
                <w:sz w:val="20"/>
                <w:szCs w:val="20"/>
              </w:rPr>
            </w:pPr>
          </w:p>
          <w:p w:rsidR="006D3155" w:rsidRPr="004761E0" w:rsidRDefault="006D3155" w:rsidP="006D3155">
            <w:pPr>
              <w:widowControl w:val="0"/>
              <w:suppressAutoHyphens/>
              <w:ind w:firstLine="0"/>
              <w:jc w:val="left"/>
              <w:rPr>
                <w:rFonts w:eastAsia="Times New Roman"/>
                <w:color w:val="000000"/>
                <w:sz w:val="20"/>
                <w:szCs w:val="20"/>
                <w:lang w:eastAsia="ru-RU"/>
              </w:rPr>
            </w:pPr>
            <w:r w:rsidRPr="004761E0">
              <w:rPr>
                <w:b/>
                <w:sz w:val="20"/>
                <w:szCs w:val="20"/>
              </w:rPr>
              <w:t xml:space="preserve">Доля ЛЭП 0,4-20 кВ в исполнении кабелем и СИП: </w:t>
            </w:r>
            <w:r w:rsidRPr="004761E0">
              <w:rPr>
                <w:rFonts w:eastAsia="Times New Roman"/>
                <w:color w:val="000000"/>
                <w:sz w:val="20"/>
                <w:szCs w:val="20"/>
                <w:u w:val="single"/>
                <w:lang w:eastAsia="ru-RU"/>
              </w:rPr>
              <w:t>66,60</w:t>
            </w:r>
            <w:r w:rsidR="00E7117F">
              <w:rPr>
                <w:rFonts w:eastAsia="Times New Roman"/>
                <w:color w:val="000000"/>
                <w:sz w:val="20"/>
                <w:szCs w:val="20"/>
                <w:u w:val="single"/>
                <w:lang w:eastAsia="ru-RU"/>
              </w:rPr>
              <w:t xml:space="preserve"> %</w:t>
            </w:r>
            <w:r w:rsidRPr="004761E0">
              <w:rPr>
                <w:rFonts w:eastAsia="Times New Roman"/>
                <w:color w:val="000000"/>
                <w:sz w:val="20"/>
                <w:szCs w:val="20"/>
                <w:lang w:eastAsia="ru-RU"/>
              </w:rPr>
              <w:t>.</w:t>
            </w:r>
          </w:p>
          <w:p w:rsidR="00A93A50" w:rsidRPr="004761E0" w:rsidRDefault="00A93A50" w:rsidP="00086514">
            <w:pPr>
              <w:widowControl w:val="0"/>
              <w:suppressAutoHyphens/>
              <w:ind w:firstLine="0"/>
              <w:jc w:val="left"/>
              <w:rPr>
                <w:sz w:val="20"/>
                <w:szCs w:val="20"/>
              </w:rPr>
            </w:pPr>
          </w:p>
        </w:tc>
        <w:tc>
          <w:tcPr>
            <w:tcW w:w="3685" w:type="dxa"/>
          </w:tcPr>
          <w:p w:rsidR="006D3155" w:rsidRPr="004761E0" w:rsidRDefault="006D3155" w:rsidP="006D3155">
            <w:pPr>
              <w:widowControl w:val="0"/>
              <w:suppressAutoHyphens/>
              <w:ind w:firstLine="0"/>
              <w:jc w:val="left"/>
              <w:rPr>
                <w:b/>
                <w:sz w:val="20"/>
                <w:szCs w:val="20"/>
              </w:rPr>
            </w:pPr>
            <w:r w:rsidRPr="004761E0">
              <w:rPr>
                <w:rFonts w:eastAsia="Times New Roman"/>
                <w:b/>
                <w:color w:val="000000"/>
                <w:sz w:val="20"/>
                <w:szCs w:val="20"/>
                <w:lang w:eastAsia="ru-RU"/>
              </w:rPr>
              <w:t>Среднее время восстановления электроснабжения:</w:t>
            </w:r>
          </w:p>
          <w:p w:rsidR="006D3155" w:rsidRPr="004761E0" w:rsidRDefault="006D3155" w:rsidP="007076A7">
            <w:pPr>
              <w:pStyle w:val="a5"/>
              <w:widowControl w:val="0"/>
              <w:numPr>
                <w:ilvl w:val="0"/>
                <w:numId w:val="168"/>
              </w:numPr>
              <w:suppressAutoHyphens/>
              <w:ind w:left="391" w:hanging="391"/>
              <w:jc w:val="left"/>
              <w:rPr>
                <w:sz w:val="20"/>
                <w:szCs w:val="20"/>
              </w:rPr>
            </w:pPr>
            <w:r w:rsidRPr="004761E0">
              <w:rPr>
                <w:sz w:val="20"/>
                <w:szCs w:val="20"/>
              </w:rPr>
              <w:t xml:space="preserve">г. Москва: </w:t>
            </w:r>
            <w:r w:rsidRPr="004761E0">
              <w:rPr>
                <w:sz w:val="20"/>
                <w:szCs w:val="20"/>
                <w:u w:val="single"/>
              </w:rPr>
              <w:t>46</w:t>
            </w:r>
            <w:r w:rsidR="00E7117F">
              <w:rPr>
                <w:sz w:val="20"/>
                <w:szCs w:val="20"/>
                <w:u w:val="single"/>
              </w:rPr>
              <w:t xml:space="preserve"> мин.</w:t>
            </w:r>
            <w:r w:rsidRPr="004761E0">
              <w:rPr>
                <w:sz w:val="20"/>
                <w:szCs w:val="20"/>
              </w:rPr>
              <w:t>;</w:t>
            </w:r>
          </w:p>
          <w:p w:rsidR="006D3155" w:rsidRPr="004761E0" w:rsidRDefault="006D3155" w:rsidP="007076A7">
            <w:pPr>
              <w:pStyle w:val="a5"/>
              <w:widowControl w:val="0"/>
              <w:numPr>
                <w:ilvl w:val="0"/>
                <w:numId w:val="168"/>
              </w:numPr>
              <w:suppressAutoHyphens/>
              <w:ind w:left="391" w:hanging="391"/>
              <w:jc w:val="left"/>
              <w:rPr>
                <w:sz w:val="20"/>
                <w:szCs w:val="20"/>
              </w:rPr>
            </w:pPr>
            <w:r w:rsidRPr="004761E0">
              <w:rPr>
                <w:sz w:val="20"/>
                <w:szCs w:val="20"/>
              </w:rPr>
              <w:t xml:space="preserve">Московская область: </w:t>
            </w:r>
            <w:r w:rsidRPr="004761E0">
              <w:rPr>
                <w:sz w:val="20"/>
                <w:szCs w:val="20"/>
                <w:u w:val="single"/>
              </w:rPr>
              <w:t>122</w:t>
            </w:r>
            <w:r w:rsidR="00E7117F">
              <w:rPr>
                <w:sz w:val="20"/>
                <w:szCs w:val="20"/>
                <w:u w:val="single"/>
              </w:rPr>
              <w:t xml:space="preserve"> мин.</w:t>
            </w:r>
            <w:r w:rsidRPr="004761E0">
              <w:rPr>
                <w:sz w:val="20"/>
                <w:szCs w:val="20"/>
              </w:rPr>
              <w:t>;</w:t>
            </w:r>
          </w:p>
          <w:p w:rsidR="006D3155" w:rsidRPr="004761E0" w:rsidRDefault="006D3155" w:rsidP="007076A7">
            <w:pPr>
              <w:pStyle w:val="a5"/>
              <w:widowControl w:val="0"/>
              <w:numPr>
                <w:ilvl w:val="0"/>
                <w:numId w:val="168"/>
              </w:numPr>
              <w:suppressAutoHyphens/>
              <w:ind w:left="391" w:hanging="391"/>
              <w:jc w:val="left"/>
              <w:rPr>
                <w:sz w:val="20"/>
                <w:szCs w:val="20"/>
              </w:rPr>
            </w:pPr>
            <w:r w:rsidRPr="004761E0">
              <w:rPr>
                <w:sz w:val="20"/>
                <w:szCs w:val="20"/>
              </w:rPr>
              <w:t xml:space="preserve">Новая Москва: </w:t>
            </w:r>
            <w:r w:rsidRPr="004761E0">
              <w:rPr>
                <w:sz w:val="20"/>
                <w:szCs w:val="20"/>
                <w:u w:val="single"/>
              </w:rPr>
              <w:t>108</w:t>
            </w:r>
            <w:r w:rsidR="00E7117F">
              <w:rPr>
                <w:sz w:val="20"/>
                <w:szCs w:val="20"/>
                <w:u w:val="single"/>
              </w:rPr>
              <w:t xml:space="preserve"> мин.</w:t>
            </w:r>
          </w:p>
          <w:p w:rsidR="006D3155" w:rsidRPr="004761E0" w:rsidRDefault="006D3155" w:rsidP="006D3155">
            <w:pPr>
              <w:widowControl w:val="0"/>
              <w:suppressAutoHyphens/>
              <w:ind w:firstLine="0"/>
              <w:jc w:val="left"/>
              <w:rPr>
                <w:sz w:val="20"/>
                <w:szCs w:val="20"/>
              </w:rPr>
            </w:pPr>
          </w:p>
          <w:p w:rsidR="006D3155" w:rsidRPr="004761E0" w:rsidRDefault="006D3155" w:rsidP="006D3155">
            <w:pPr>
              <w:widowControl w:val="0"/>
              <w:suppressAutoHyphens/>
              <w:ind w:firstLine="0"/>
              <w:jc w:val="left"/>
              <w:rPr>
                <w:b/>
                <w:sz w:val="20"/>
                <w:szCs w:val="20"/>
              </w:rPr>
            </w:pPr>
            <w:r w:rsidRPr="004761E0">
              <w:rPr>
                <w:b/>
                <w:sz w:val="20"/>
                <w:szCs w:val="20"/>
              </w:rPr>
              <w:t>Показатель надежности</w:t>
            </w:r>
            <w:r w:rsidRPr="006F4AB8">
              <w:rPr>
                <w:rStyle w:val="af1"/>
              </w:rPr>
              <w:footnoteReference w:id="13"/>
            </w:r>
            <w:r w:rsidRPr="004761E0">
              <w:rPr>
                <w:b/>
                <w:sz w:val="20"/>
                <w:szCs w:val="20"/>
              </w:rPr>
              <w:t>, час/точку присоединения:</w:t>
            </w:r>
          </w:p>
          <w:p w:rsidR="006D3155" w:rsidRPr="004761E0" w:rsidRDefault="006D3155" w:rsidP="007076A7">
            <w:pPr>
              <w:pStyle w:val="a5"/>
              <w:widowControl w:val="0"/>
              <w:numPr>
                <w:ilvl w:val="0"/>
                <w:numId w:val="168"/>
              </w:numPr>
              <w:suppressAutoHyphens/>
              <w:ind w:left="391" w:hanging="391"/>
              <w:jc w:val="left"/>
              <w:rPr>
                <w:sz w:val="20"/>
                <w:szCs w:val="20"/>
              </w:rPr>
            </w:pPr>
            <w:r w:rsidRPr="004761E0">
              <w:rPr>
                <w:sz w:val="20"/>
                <w:szCs w:val="20"/>
              </w:rPr>
              <w:t xml:space="preserve">г. Москва: </w:t>
            </w:r>
            <w:r w:rsidRPr="004761E0">
              <w:rPr>
                <w:rFonts w:eastAsia="Times New Roman"/>
                <w:color w:val="000000"/>
                <w:sz w:val="20"/>
                <w:szCs w:val="20"/>
                <w:u w:val="single"/>
                <w:lang w:eastAsia="ru-RU"/>
              </w:rPr>
              <w:t>0,000</w:t>
            </w:r>
            <w:r>
              <w:rPr>
                <w:rFonts w:eastAsia="Times New Roman"/>
                <w:color w:val="000000"/>
                <w:sz w:val="20"/>
                <w:szCs w:val="20"/>
                <w:u w:val="single"/>
                <w:lang w:eastAsia="ru-RU"/>
              </w:rPr>
              <w:t>410</w:t>
            </w:r>
            <w:r w:rsidRPr="004761E0">
              <w:rPr>
                <w:sz w:val="20"/>
                <w:szCs w:val="20"/>
              </w:rPr>
              <w:t>;</w:t>
            </w:r>
          </w:p>
          <w:p w:rsidR="006D3155" w:rsidRPr="004761E0" w:rsidRDefault="006D3155" w:rsidP="007076A7">
            <w:pPr>
              <w:pStyle w:val="a5"/>
              <w:widowControl w:val="0"/>
              <w:numPr>
                <w:ilvl w:val="0"/>
                <w:numId w:val="168"/>
              </w:numPr>
              <w:suppressAutoHyphens/>
              <w:ind w:left="391" w:hanging="391"/>
              <w:jc w:val="left"/>
              <w:rPr>
                <w:sz w:val="20"/>
                <w:szCs w:val="20"/>
              </w:rPr>
            </w:pPr>
            <w:r w:rsidRPr="004761E0">
              <w:rPr>
                <w:sz w:val="20"/>
                <w:szCs w:val="20"/>
              </w:rPr>
              <w:t xml:space="preserve">Московская область: </w:t>
            </w:r>
            <w:r w:rsidRPr="004761E0">
              <w:rPr>
                <w:sz w:val="20"/>
                <w:szCs w:val="20"/>
                <w:u w:val="single"/>
              </w:rPr>
              <w:t>0,02</w:t>
            </w:r>
            <w:r>
              <w:rPr>
                <w:sz w:val="20"/>
                <w:szCs w:val="20"/>
                <w:u w:val="single"/>
              </w:rPr>
              <w:t>2525</w:t>
            </w:r>
            <w:r w:rsidRPr="004761E0">
              <w:rPr>
                <w:sz w:val="20"/>
                <w:szCs w:val="20"/>
              </w:rPr>
              <w:t>;</w:t>
            </w:r>
          </w:p>
          <w:p w:rsidR="006D3155" w:rsidRPr="004761E0" w:rsidRDefault="006D3155" w:rsidP="006D3155">
            <w:pPr>
              <w:widowControl w:val="0"/>
              <w:suppressAutoHyphens/>
              <w:ind w:firstLine="0"/>
              <w:jc w:val="left"/>
              <w:rPr>
                <w:sz w:val="20"/>
                <w:szCs w:val="20"/>
              </w:rPr>
            </w:pPr>
          </w:p>
          <w:p w:rsidR="00611A22" w:rsidRPr="004761E0" w:rsidRDefault="006D3155" w:rsidP="00E7117F">
            <w:pPr>
              <w:widowControl w:val="0"/>
              <w:suppressAutoHyphens/>
              <w:ind w:firstLine="0"/>
              <w:jc w:val="left"/>
              <w:rPr>
                <w:sz w:val="20"/>
                <w:szCs w:val="20"/>
              </w:rPr>
            </w:pPr>
            <w:r w:rsidRPr="004761E0">
              <w:rPr>
                <w:b/>
                <w:sz w:val="20"/>
                <w:szCs w:val="20"/>
              </w:rPr>
              <w:t>Доля ЛЭП 0,4-20 кВ в исполнении кабелем и СИП:</w:t>
            </w:r>
            <w:r w:rsidRPr="004761E0">
              <w:rPr>
                <w:sz w:val="20"/>
                <w:szCs w:val="20"/>
              </w:rPr>
              <w:t xml:space="preserve"> </w:t>
            </w:r>
            <w:r w:rsidRPr="004761E0">
              <w:rPr>
                <w:rFonts w:eastAsia="Times New Roman"/>
                <w:color w:val="000000"/>
                <w:sz w:val="20"/>
                <w:szCs w:val="20"/>
                <w:u w:val="single"/>
                <w:lang w:eastAsia="ru-RU"/>
              </w:rPr>
              <w:t>66,60</w:t>
            </w:r>
            <w:r w:rsidR="00E7117F">
              <w:rPr>
                <w:rFonts w:eastAsia="Times New Roman"/>
                <w:color w:val="000000"/>
                <w:sz w:val="20"/>
                <w:szCs w:val="20"/>
                <w:u w:val="single"/>
                <w:lang w:eastAsia="ru-RU"/>
              </w:rPr>
              <w:t xml:space="preserve"> %</w:t>
            </w:r>
            <w:r w:rsidRPr="004761E0">
              <w:rPr>
                <w:rFonts w:eastAsia="Times New Roman"/>
                <w:color w:val="000000"/>
                <w:sz w:val="20"/>
                <w:szCs w:val="20"/>
                <w:lang w:eastAsia="ru-RU"/>
              </w:rPr>
              <w:t>.</w:t>
            </w:r>
          </w:p>
        </w:tc>
      </w:tr>
      <w:tr w:rsidR="00A93A50" w:rsidRPr="004761E0" w:rsidTr="00733C41">
        <w:tc>
          <w:tcPr>
            <w:tcW w:w="568" w:type="dxa"/>
            <w:shd w:val="clear" w:color="auto" w:fill="BFBFBF"/>
          </w:tcPr>
          <w:p w:rsidR="00A93A50" w:rsidRPr="004761E0" w:rsidRDefault="00A93A50" w:rsidP="007076A7">
            <w:pPr>
              <w:pStyle w:val="a5"/>
              <w:widowControl w:val="0"/>
              <w:numPr>
                <w:ilvl w:val="0"/>
                <w:numId w:val="167"/>
              </w:numPr>
              <w:suppressAutoHyphens/>
              <w:ind w:left="34" w:firstLine="0"/>
              <w:jc w:val="left"/>
              <w:rPr>
                <w:b/>
                <w:sz w:val="20"/>
                <w:szCs w:val="20"/>
              </w:rPr>
            </w:pPr>
          </w:p>
        </w:tc>
        <w:tc>
          <w:tcPr>
            <w:tcW w:w="15592" w:type="dxa"/>
            <w:gridSpan w:val="3"/>
            <w:shd w:val="clear" w:color="auto" w:fill="BFBFBF"/>
          </w:tcPr>
          <w:p w:rsidR="00A93A50" w:rsidRPr="004761E0" w:rsidRDefault="00A93A50" w:rsidP="00086514">
            <w:pPr>
              <w:widowControl w:val="0"/>
              <w:suppressAutoHyphens/>
              <w:ind w:firstLine="0"/>
              <w:jc w:val="left"/>
              <w:rPr>
                <w:rFonts w:eastAsia="Times New Roman"/>
                <w:b/>
                <w:color w:val="000000"/>
                <w:sz w:val="20"/>
                <w:szCs w:val="20"/>
                <w:lang w:eastAsia="ru-RU"/>
              </w:rPr>
            </w:pPr>
            <w:r w:rsidRPr="004761E0">
              <w:rPr>
                <w:rFonts w:eastAsia="Times New Roman"/>
                <w:b/>
                <w:color w:val="000000"/>
                <w:sz w:val="20"/>
                <w:szCs w:val="20"/>
                <w:lang w:eastAsia="ru-RU"/>
              </w:rPr>
              <w:t>Направление: Качество</w:t>
            </w:r>
            <w:r w:rsidRPr="004761E0">
              <w:rPr>
                <w:sz w:val="20"/>
                <w:szCs w:val="20"/>
              </w:rPr>
              <w:t xml:space="preserve"> </w:t>
            </w:r>
          </w:p>
          <w:p w:rsidR="00A93A50" w:rsidRPr="004761E0" w:rsidRDefault="00A93A50" w:rsidP="00086514">
            <w:pPr>
              <w:pStyle w:val="afc"/>
              <w:spacing w:before="0" w:beforeAutospacing="0" w:after="0" w:afterAutospacing="0"/>
              <w:textAlignment w:val="baseline"/>
              <w:rPr>
                <w:bCs/>
                <w:color w:val="000000"/>
                <w:kern w:val="24"/>
                <w:sz w:val="20"/>
                <w:szCs w:val="20"/>
              </w:rPr>
            </w:pPr>
            <w:r w:rsidRPr="004761E0">
              <w:rPr>
                <w:b/>
                <w:color w:val="000000"/>
                <w:sz w:val="20"/>
                <w:szCs w:val="20"/>
              </w:rPr>
              <w:t xml:space="preserve">Цель: </w:t>
            </w:r>
            <w:r w:rsidRPr="004761E0">
              <w:rPr>
                <w:b/>
                <w:sz w:val="20"/>
                <w:szCs w:val="20"/>
              </w:rPr>
              <w:t>Улучшение качества обслуживания.</w:t>
            </w:r>
            <w:r w:rsidRPr="004761E0">
              <w:t xml:space="preserve"> </w:t>
            </w:r>
            <w:r w:rsidRPr="004761E0">
              <w:rPr>
                <w:b/>
                <w:sz w:val="20"/>
                <w:szCs w:val="20"/>
              </w:rPr>
              <w:t>Доступность присоединения к сети.</w:t>
            </w:r>
          </w:p>
        </w:tc>
      </w:tr>
      <w:tr w:rsidR="00E340E7" w:rsidRPr="004761E0" w:rsidTr="00E340E7">
        <w:trPr>
          <w:trHeight w:val="1870"/>
        </w:trPr>
        <w:tc>
          <w:tcPr>
            <w:tcW w:w="568" w:type="dxa"/>
            <w:vMerge w:val="restart"/>
          </w:tcPr>
          <w:p w:rsidR="00E340E7" w:rsidRPr="004761E0" w:rsidRDefault="00E340E7" w:rsidP="00086514">
            <w:pPr>
              <w:widowControl w:val="0"/>
              <w:suppressAutoHyphens/>
              <w:ind w:left="142" w:firstLine="0"/>
              <w:jc w:val="left"/>
              <w:rPr>
                <w:sz w:val="20"/>
                <w:szCs w:val="20"/>
              </w:rPr>
            </w:pPr>
          </w:p>
        </w:tc>
        <w:tc>
          <w:tcPr>
            <w:tcW w:w="8222" w:type="dxa"/>
            <w:vMerge w:val="restart"/>
          </w:tcPr>
          <w:p w:rsidR="00E340E7" w:rsidRPr="004761E0" w:rsidRDefault="00E340E7" w:rsidP="00E7117F">
            <w:pPr>
              <w:widowControl w:val="0"/>
              <w:suppressAutoHyphens/>
              <w:ind w:right="33" w:firstLine="0"/>
              <w:rPr>
                <w:rFonts w:eastAsia="Times New Roman"/>
                <w:bCs/>
                <w:color w:val="000000"/>
                <w:kern w:val="24"/>
                <w:sz w:val="20"/>
                <w:szCs w:val="20"/>
                <w:lang w:eastAsia="ru-RU"/>
              </w:rPr>
            </w:pPr>
            <w:r w:rsidRPr="004761E0">
              <w:rPr>
                <w:rFonts w:eastAsia="Times New Roman"/>
                <w:bCs/>
                <w:color w:val="000000"/>
                <w:kern w:val="24"/>
                <w:sz w:val="20"/>
                <w:szCs w:val="20"/>
                <w:lang w:eastAsia="ru-RU"/>
              </w:rPr>
              <w:t>С учетом требований Стандарта «Система централизованного обслуживания потребителей услуг»</w:t>
            </w:r>
            <w:r w:rsidRPr="006F4AB8">
              <w:rPr>
                <w:rStyle w:val="af1"/>
              </w:rPr>
              <w:footnoteReference w:id="14"/>
            </w:r>
            <w:r w:rsidRPr="004761E0">
              <w:rPr>
                <w:rFonts w:eastAsia="Times New Roman"/>
                <w:bCs/>
                <w:color w:val="000000"/>
                <w:kern w:val="24"/>
                <w:sz w:val="20"/>
                <w:szCs w:val="20"/>
                <w:lang w:eastAsia="ru-RU"/>
              </w:rPr>
              <w:t xml:space="preserve"> с целью улучшения качества обслуживания клиентов в Обществе в 2013 году продолжал реализовываться крупномасштабный проект «Повышение лояльности потребителей при оказании услуги по технологическому присоединению к электрическим сетям </w:t>
            </w:r>
            <w:r>
              <w:rPr>
                <w:rFonts w:eastAsia="Times New Roman"/>
                <w:bCs/>
                <w:color w:val="000000"/>
                <w:kern w:val="24"/>
                <w:sz w:val="20"/>
                <w:szCs w:val="20"/>
                <w:lang w:eastAsia="ru-RU"/>
              </w:rPr>
              <w:t>ОАО </w:t>
            </w:r>
            <w:r w:rsidRPr="004761E0">
              <w:rPr>
                <w:rFonts w:eastAsia="Times New Roman"/>
                <w:bCs/>
                <w:color w:val="000000"/>
                <w:kern w:val="24"/>
                <w:sz w:val="20"/>
                <w:szCs w:val="20"/>
                <w:lang w:eastAsia="ru-RU"/>
              </w:rPr>
              <w:t>«МОЭСК» («5 шагов за 3 визита»).</w:t>
            </w:r>
          </w:p>
          <w:p w:rsidR="00E340E7" w:rsidRPr="004761E0" w:rsidRDefault="00E340E7" w:rsidP="00E7117F">
            <w:pPr>
              <w:widowControl w:val="0"/>
              <w:suppressAutoHyphens/>
              <w:ind w:right="33" w:firstLine="0"/>
              <w:rPr>
                <w:rFonts w:eastAsia="Times New Roman"/>
                <w:bCs/>
                <w:color w:val="000000"/>
                <w:kern w:val="24"/>
                <w:sz w:val="20"/>
                <w:szCs w:val="20"/>
                <w:lang w:eastAsia="ru-RU"/>
              </w:rPr>
            </w:pPr>
            <w:r w:rsidRPr="004761E0">
              <w:rPr>
                <w:rFonts w:eastAsia="Times New Roman"/>
                <w:bCs/>
                <w:color w:val="000000"/>
                <w:kern w:val="24"/>
                <w:sz w:val="20"/>
                <w:szCs w:val="20"/>
                <w:lang w:eastAsia="ru-RU"/>
              </w:rPr>
              <w:t>В соответствии с указанным проектом в 2013 году реализован следующий комплекс мероприятий:</w:t>
            </w:r>
          </w:p>
          <w:p w:rsidR="00E340E7" w:rsidRPr="004761E0" w:rsidRDefault="00E340E7" w:rsidP="007076A7">
            <w:pPr>
              <w:pStyle w:val="a5"/>
              <w:widowControl w:val="0"/>
              <w:numPr>
                <w:ilvl w:val="0"/>
                <w:numId w:val="168"/>
              </w:numPr>
              <w:suppressAutoHyphens/>
              <w:ind w:left="391" w:right="33" w:hanging="357"/>
              <w:rPr>
                <w:color w:val="000000"/>
                <w:sz w:val="20"/>
                <w:szCs w:val="20"/>
              </w:rPr>
            </w:pPr>
            <w:r w:rsidRPr="004761E0">
              <w:rPr>
                <w:color w:val="000000"/>
                <w:sz w:val="20"/>
                <w:szCs w:val="20"/>
              </w:rPr>
              <w:t>расширение сети центров обслуживания клиентов;</w:t>
            </w:r>
          </w:p>
          <w:p w:rsidR="00E340E7" w:rsidRPr="004761E0" w:rsidRDefault="00E340E7" w:rsidP="007076A7">
            <w:pPr>
              <w:pStyle w:val="a5"/>
              <w:widowControl w:val="0"/>
              <w:numPr>
                <w:ilvl w:val="0"/>
                <w:numId w:val="168"/>
              </w:numPr>
              <w:suppressAutoHyphens/>
              <w:ind w:left="391" w:right="33" w:hanging="357"/>
              <w:rPr>
                <w:color w:val="000000"/>
                <w:sz w:val="20"/>
                <w:szCs w:val="20"/>
              </w:rPr>
            </w:pPr>
            <w:r w:rsidRPr="004761E0">
              <w:rPr>
                <w:color w:val="000000"/>
                <w:sz w:val="20"/>
                <w:szCs w:val="20"/>
              </w:rPr>
              <w:t xml:space="preserve">реинжиниринг бизнес-процессов технологического присоединения; </w:t>
            </w:r>
          </w:p>
          <w:p w:rsidR="00E340E7" w:rsidRPr="004761E0" w:rsidRDefault="00E340E7" w:rsidP="007076A7">
            <w:pPr>
              <w:pStyle w:val="a5"/>
              <w:widowControl w:val="0"/>
              <w:numPr>
                <w:ilvl w:val="0"/>
                <w:numId w:val="168"/>
              </w:numPr>
              <w:suppressAutoHyphens/>
              <w:ind w:left="391" w:right="33" w:hanging="357"/>
              <w:rPr>
                <w:color w:val="000000"/>
                <w:sz w:val="20"/>
                <w:szCs w:val="20"/>
              </w:rPr>
            </w:pPr>
            <w:r w:rsidRPr="004761E0">
              <w:rPr>
                <w:color w:val="000000"/>
                <w:sz w:val="20"/>
                <w:szCs w:val="20"/>
              </w:rPr>
              <w:t>исключение необходимости участия клиентов в отдельных процедурах технологического присоединения и выполнения данных процедур собственными силами Общества, в частности, в процедурах по оформлению документации по выполнению технических условий;</w:t>
            </w:r>
          </w:p>
          <w:p w:rsidR="00E340E7" w:rsidRPr="004761E0" w:rsidRDefault="00E340E7" w:rsidP="007076A7">
            <w:pPr>
              <w:pStyle w:val="a5"/>
              <w:widowControl w:val="0"/>
              <w:numPr>
                <w:ilvl w:val="0"/>
                <w:numId w:val="168"/>
              </w:numPr>
              <w:suppressAutoHyphens/>
              <w:ind w:left="391" w:right="33" w:hanging="357"/>
              <w:rPr>
                <w:color w:val="000000"/>
                <w:sz w:val="20"/>
                <w:szCs w:val="20"/>
              </w:rPr>
            </w:pPr>
            <w:r w:rsidRPr="004761E0">
              <w:rPr>
                <w:color w:val="000000"/>
                <w:sz w:val="20"/>
                <w:szCs w:val="20"/>
              </w:rPr>
              <w:lastRenderedPageBreak/>
              <w:t xml:space="preserve">оформление технологического присоединения с организацией подачи напряжения на </w:t>
            </w:r>
            <w:r w:rsidRPr="004761E0">
              <w:rPr>
                <w:bCs/>
                <w:color w:val="000000"/>
                <w:kern w:val="24"/>
                <w:sz w:val="20"/>
                <w:szCs w:val="20"/>
              </w:rPr>
              <w:t>энергопринимающие устройства</w:t>
            </w:r>
            <w:r w:rsidRPr="004761E0">
              <w:rPr>
                <w:color w:val="000000"/>
                <w:sz w:val="20"/>
                <w:szCs w:val="20"/>
              </w:rPr>
              <w:t xml:space="preserve"> заявителя мощностью до 670 кВт в день осмотра и проверки исполнения заявителем технических условий</w:t>
            </w:r>
            <w:r w:rsidR="00E7117F">
              <w:rPr>
                <w:color w:val="000000"/>
                <w:sz w:val="20"/>
                <w:szCs w:val="20"/>
              </w:rPr>
              <w:t>;</w:t>
            </w:r>
          </w:p>
          <w:p w:rsidR="00E340E7" w:rsidRPr="004761E0" w:rsidRDefault="00E340E7" w:rsidP="007076A7">
            <w:pPr>
              <w:pStyle w:val="a5"/>
              <w:widowControl w:val="0"/>
              <w:numPr>
                <w:ilvl w:val="0"/>
                <w:numId w:val="168"/>
              </w:numPr>
              <w:suppressAutoHyphens/>
              <w:ind w:left="391" w:right="33" w:hanging="357"/>
              <w:rPr>
                <w:color w:val="000000"/>
                <w:sz w:val="20"/>
                <w:szCs w:val="20"/>
              </w:rPr>
            </w:pPr>
            <w:r w:rsidRPr="004761E0">
              <w:rPr>
                <w:color w:val="000000"/>
                <w:sz w:val="20"/>
                <w:szCs w:val="20"/>
              </w:rPr>
              <w:t>откр</w:t>
            </w:r>
            <w:r>
              <w:rPr>
                <w:color w:val="000000"/>
                <w:sz w:val="20"/>
                <w:szCs w:val="20"/>
              </w:rPr>
              <w:t>ытие единого контактного центра</w:t>
            </w:r>
            <w:r w:rsidRPr="004761E0">
              <w:rPr>
                <w:color w:val="000000"/>
                <w:sz w:val="20"/>
                <w:szCs w:val="20"/>
              </w:rPr>
              <w:t xml:space="preserve"> - «Светлая линия»;</w:t>
            </w:r>
          </w:p>
          <w:p w:rsidR="00E340E7" w:rsidRPr="004761E0" w:rsidRDefault="00E340E7" w:rsidP="007076A7">
            <w:pPr>
              <w:pStyle w:val="a5"/>
              <w:widowControl w:val="0"/>
              <w:numPr>
                <w:ilvl w:val="0"/>
                <w:numId w:val="168"/>
              </w:numPr>
              <w:suppressAutoHyphens/>
              <w:ind w:left="391" w:right="33" w:hanging="357"/>
              <w:rPr>
                <w:color w:val="000000"/>
                <w:sz w:val="20"/>
                <w:szCs w:val="20"/>
              </w:rPr>
            </w:pPr>
            <w:r w:rsidRPr="004761E0">
              <w:rPr>
                <w:color w:val="000000"/>
                <w:sz w:val="20"/>
                <w:szCs w:val="20"/>
              </w:rPr>
              <w:t>увеличение количе</w:t>
            </w:r>
            <w:r>
              <w:rPr>
                <w:color w:val="000000"/>
                <w:sz w:val="20"/>
                <w:szCs w:val="20"/>
              </w:rPr>
              <w:t>ства интерактивных сервисов на п</w:t>
            </w:r>
            <w:r w:rsidRPr="004761E0">
              <w:rPr>
                <w:color w:val="000000"/>
                <w:sz w:val="20"/>
                <w:szCs w:val="20"/>
              </w:rPr>
              <w:t>ортале по технологическому присоединению.</w:t>
            </w:r>
          </w:p>
          <w:p w:rsidR="00E340E7" w:rsidRPr="004761E0" w:rsidRDefault="00E340E7" w:rsidP="00E7117F">
            <w:pPr>
              <w:widowControl w:val="0"/>
              <w:suppressAutoHyphens/>
              <w:ind w:firstLine="0"/>
              <w:rPr>
                <w:sz w:val="20"/>
                <w:szCs w:val="20"/>
              </w:rPr>
            </w:pPr>
            <w:r w:rsidRPr="004761E0">
              <w:rPr>
                <w:sz w:val="20"/>
                <w:szCs w:val="20"/>
              </w:rPr>
              <w:t>Более подробно мероприятия и результат</w:t>
            </w:r>
            <w:r w:rsidR="00E7117F">
              <w:rPr>
                <w:sz w:val="20"/>
                <w:szCs w:val="20"/>
              </w:rPr>
              <w:t>ы</w:t>
            </w:r>
            <w:r w:rsidRPr="004761E0">
              <w:rPr>
                <w:sz w:val="20"/>
                <w:szCs w:val="20"/>
              </w:rPr>
              <w:t xml:space="preserve"> в направлении улучшения качества обслуживания описан</w:t>
            </w:r>
            <w:r w:rsidR="00E7117F">
              <w:rPr>
                <w:sz w:val="20"/>
                <w:szCs w:val="20"/>
              </w:rPr>
              <w:t>ы</w:t>
            </w:r>
            <w:r w:rsidRPr="004761E0">
              <w:rPr>
                <w:sz w:val="20"/>
                <w:szCs w:val="20"/>
              </w:rPr>
              <w:t xml:space="preserve"> в разделе «Клиентская политика». </w:t>
            </w:r>
          </w:p>
          <w:p w:rsidR="00E340E7" w:rsidRPr="004761E0" w:rsidRDefault="00E340E7" w:rsidP="00E7117F">
            <w:pPr>
              <w:widowControl w:val="0"/>
              <w:suppressAutoHyphens/>
              <w:ind w:left="34" w:right="33" w:firstLine="0"/>
              <w:rPr>
                <w:color w:val="000000"/>
                <w:sz w:val="20"/>
                <w:szCs w:val="20"/>
              </w:rPr>
            </w:pPr>
          </w:p>
          <w:p w:rsidR="00E340E7" w:rsidRPr="004761E0" w:rsidRDefault="00E340E7" w:rsidP="00E7117F">
            <w:pPr>
              <w:widowControl w:val="0"/>
              <w:suppressAutoHyphens/>
              <w:ind w:right="33" w:firstLine="0"/>
            </w:pPr>
            <w:r w:rsidRPr="004761E0">
              <w:rPr>
                <w:rFonts w:eastAsia="Times New Roman"/>
                <w:bCs/>
                <w:color w:val="000000"/>
                <w:kern w:val="24"/>
                <w:sz w:val="20"/>
                <w:szCs w:val="20"/>
                <w:lang w:eastAsia="ru-RU"/>
              </w:rPr>
              <w:t>В 2014 году запланирована реализация программы «3 шага – 2 визита». Для отдельных категорий заявителей будет предусмотрено значительное сокращение сроков подготовки договора технологического присоединения и исполнения мероприятий по договору технологического присоединения</w:t>
            </w:r>
            <w:r w:rsidR="00E7117F">
              <w:rPr>
                <w:rFonts w:eastAsia="Times New Roman"/>
                <w:bCs/>
                <w:color w:val="000000"/>
                <w:kern w:val="24"/>
                <w:sz w:val="20"/>
                <w:szCs w:val="20"/>
                <w:lang w:eastAsia="ru-RU"/>
              </w:rPr>
              <w:t>. Н</w:t>
            </w:r>
            <w:r w:rsidRPr="004761E0">
              <w:rPr>
                <w:rFonts w:eastAsia="Times New Roman"/>
                <w:bCs/>
                <w:color w:val="000000"/>
                <w:kern w:val="24"/>
                <w:sz w:val="20"/>
                <w:szCs w:val="20"/>
                <w:lang w:eastAsia="ru-RU"/>
              </w:rPr>
              <w:t xml:space="preserve">апример, для заявителей с максимальной мощностью энергопринимающих устройств до 150 кВт </w:t>
            </w:r>
            <w:r>
              <w:rPr>
                <w:rFonts w:eastAsia="Times New Roman"/>
                <w:bCs/>
                <w:color w:val="000000"/>
                <w:kern w:val="24"/>
                <w:sz w:val="20"/>
                <w:szCs w:val="20"/>
                <w:lang w:eastAsia="ru-RU"/>
              </w:rPr>
              <w:t>подготовк</w:t>
            </w:r>
            <w:r w:rsidR="00E7117F">
              <w:rPr>
                <w:rFonts w:eastAsia="Times New Roman"/>
                <w:bCs/>
                <w:color w:val="000000"/>
                <w:kern w:val="24"/>
                <w:sz w:val="20"/>
                <w:szCs w:val="20"/>
                <w:lang w:eastAsia="ru-RU"/>
              </w:rPr>
              <w:t>у</w:t>
            </w:r>
            <w:r>
              <w:rPr>
                <w:rFonts w:eastAsia="Times New Roman"/>
                <w:bCs/>
                <w:color w:val="000000"/>
                <w:kern w:val="24"/>
                <w:sz w:val="20"/>
                <w:szCs w:val="20"/>
                <w:lang w:eastAsia="ru-RU"/>
              </w:rPr>
              <w:t xml:space="preserve"> договоров технологического присоединения</w:t>
            </w:r>
            <w:r w:rsidRPr="004761E0">
              <w:rPr>
                <w:rFonts w:eastAsia="Times New Roman"/>
                <w:bCs/>
                <w:color w:val="000000"/>
                <w:kern w:val="24"/>
                <w:sz w:val="20"/>
                <w:szCs w:val="20"/>
                <w:lang w:eastAsia="ru-RU"/>
              </w:rPr>
              <w:t xml:space="preserve"> </w:t>
            </w:r>
            <w:r w:rsidR="00E7117F" w:rsidRPr="004761E0">
              <w:rPr>
                <w:rFonts w:eastAsia="Times New Roman"/>
                <w:bCs/>
                <w:color w:val="000000"/>
                <w:kern w:val="24"/>
                <w:sz w:val="20"/>
                <w:szCs w:val="20"/>
                <w:lang w:eastAsia="ru-RU"/>
              </w:rPr>
              <w:t>пла</w:t>
            </w:r>
            <w:r w:rsidR="00E7117F">
              <w:rPr>
                <w:rFonts w:eastAsia="Times New Roman"/>
                <w:bCs/>
                <w:color w:val="000000"/>
                <w:kern w:val="24"/>
                <w:sz w:val="20"/>
                <w:szCs w:val="20"/>
                <w:lang w:eastAsia="ru-RU"/>
              </w:rPr>
              <w:t>нируется</w:t>
            </w:r>
            <w:r w:rsidR="00E7117F" w:rsidRPr="004761E0">
              <w:rPr>
                <w:rFonts w:eastAsia="Times New Roman"/>
                <w:bCs/>
                <w:color w:val="000000"/>
                <w:kern w:val="24"/>
                <w:sz w:val="20"/>
                <w:szCs w:val="20"/>
                <w:lang w:eastAsia="ru-RU"/>
              </w:rPr>
              <w:t xml:space="preserve"> </w:t>
            </w:r>
            <w:r w:rsidRPr="004761E0">
              <w:rPr>
                <w:rFonts w:eastAsia="Times New Roman"/>
                <w:bCs/>
                <w:color w:val="000000"/>
                <w:kern w:val="24"/>
                <w:sz w:val="20"/>
                <w:szCs w:val="20"/>
                <w:lang w:eastAsia="ru-RU"/>
              </w:rPr>
              <w:t>осуществлять в срок до 10 дней</w:t>
            </w:r>
            <w:r w:rsidR="00E7117F">
              <w:rPr>
                <w:rFonts w:eastAsia="Times New Roman"/>
                <w:bCs/>
                <w:color w:val="000000"/>
                <w:kern w:val="24"/>
                <w:sz w:val="20"/>
                <w:szCs w:val="20"/>
                <w:lang w:eastAsia="ru-RU"/>
              </w:rPr>
              <w:t>,</w:t>
            </w:r>
            <w:r w:rsidRPr="004761E0">
              <w:rPr>
                <w:rFonts w:eastAsia="Times New Roman"/>
                <w:bCs/>
                <w:color w:val="000000"/>
                <w:kern w:val="24"/>
                <w:sz w:val="20"/>
                <w:szCs w:val="20"/>
                <w:lang w:eastAsia="ru-RU"/>
              </w:rPr>
              <w:t xml:space="preserve"> мероприятия по присоединению выполнять в сроки, не превышающие 90 дней с момента заключения договора.</w:t>
            </w:r>
          </w:p>
        </w:tc>
        <w:tc>
          <w:tcPr>
            <w:tcW w:w="3685" w:type="dxa"/>
            <w:tcBorders>
              <w:bottom w:val="nil"/>
            </w:tcBorders>
          </w:tcPr>
          <w:p w:rsidR="00E340E7" w:rsidRPr="00E340E7" w:rsidRDefault="00E340E7">
            <w:pPr>
              <w:pStyle w:val="afc"/>
              <w:textAlignment w:val="baseline"/>
              <w:rPr>
                <w:rFonts w:eastAsiaTheme="minorHAnsi"/>
                <w:color w:val="000000"/>
                <w:sz w:val="20"/>
              </w:rPr>
            </w:pPr>
            <w:r w:rsidRPr="00E340E7">
              <w:rPr>
                <w:rFonts w:eastAsiaTheme="minorHAnsi"/>
                <w:b/>
                <w:bCs/>
                <w:color w:val="000000"/>
                <w:sz w:val="20"/>
              </w:rPr>
              <w:lastRenderedPageBreak/>
              <w:t>Доля своевременно выданных оферт договоров технологического присоеди</w:t>
            </w:r>
            <w:r>
              <w:rPr>
                <w:rFonts w:eastAsiaTheme="minorHAnsi"/>
                <w:b/>
                <w:bCs/>
                <w:color w:val="000000"/>
                <w:sz w:val="20"/>
              </w:rPr>
              <w:t>нения</w:t>
            </w:r>
            <w:r w:rsidRPr="00E340E7">
              <w:rPr>
                <w:rFonts w:eastAsiaTheme="minorHAnsi"/>
                <w:b/>
                <w:bCs/>
                <w:color w:val="000000"/>
                <w:sz w:val="20"/>
              </w:rPr>
              <w:t>:</w:t>
            </w:r>
            <w:r w:rsidRPr="00E340E7">
              <w:rPr>
                <w:rFonts w:eastAsiaTheme="minorHAnsi"/>
                <w:sz w:val="20"/>
              </w:rPr>
              <w:t xml:space="preserve"> </w:t>
            </w:r>
            <w:r w:rsidRPr="00E340E7">
              <w:rPr>
                <w:rFonts w:eastAsiaTheme="minorHAnsi"/>
                <w:color w:val="000000"/>
                <w:sz w:val="20"/>
                <w:u w:val="single"/>
              </w:rPr>
              <w:t>95</w:t>
            </w:r>
            <w:r>
              <w:rPr>
                <w:rFonts w:eastAsiaTheme="minorHAnsi"/>
                <w:color w:val="000000"/>
                <w:sz w:val="20"/>
                <w:u w:val="single"/>
              </w:rPr>
              <w:t xml:space="preserve"> %</w:t>
            </w:r>
            <w:r w:rsidRPr="00E340E7">
              <w:rPr>
                <w:rFonts w:eastAsiaTheme="minorHAnsi"/>
                <w:color w:val="000000"/>
                <w:sz w:val="20"/>
              </w:rPr>
              <w:t>;</w:t>
            </w:r>
          </w:p>
          <w:p w:rsidR="00E340E7" w:rsidRPr="00E340E7" w:rsidRDefault="00E340E7">
            <w:pPr>
              <w:pStyle w:val="afc"/>
              <w:textAlignment w:val="baseline"/>
              <w:rPr>
                <w:rFonts w:eastAsiaTheme="minorHAnsi"/>
                <w:b/>
                <w:bCs/>
                <w:color w:val="000000"/>
                <w:sz w:val="20"/>
              </w:rPr>
            </w:pPr>
            <w:r w:rsidRPr="00E340E7">
              <w:rPr>
                <w:rFonts w:eastAsiaTheme="minorHAnsi"/>
                <w:b/>
                <w:bCs/>
                <w:color w:val="000000"/>
                <w:sz w:val="20"/>
              </w:rPr>
              <w:t xml:space="preserve">Среднее время подготовки оферты договора технологического присоединения (для заявителей до 150 кВт): </w:t>
            </w:r>
          </w:p>
          <w:p w:rsidR="00E340E7" w:rsidRPr="00E340E7" w:rsidRDefault="00E340E7" w:rsidP="007076A7">
            <w:pPr>
              <w:pStyle w:val="a5"/>
              <w:widowControl w:val="0"/>
              <w:numPr>
                <w:ilvl w:val="0"/>
                <w:numId w:val="168"/>
              </w:numPr>
              <w:suppressAutoHyphens/>
              <w:ind w:left="391" w:hanging="391"/>
              <w:jc w:val="left"/>
              <w:rPr>
                <w:sz w:val="20"/>
                <w:szCs w:val="20"/>
              </w:rPr>
            </w:pPr>
            <w:r w:rsidRPr="00E340E7">
              <w:rPr>
                <w:sz w:val="20"/>
                <w:szCs w:val="20"/>
              </w:rPr>
              <w:t xml:space="preserve">до 23.08.2013: </w:t>
            </w:r>
            <w:r w:rsidRPr="00E340E7">
              <w:rPr>
                <w:rFonts w:eastAsiaTheme="minorHAnsi"/>
                <w:color w:val="000000"/>
                <w:sz w:val="20"/>
                <w:szCs w:val="20"/>
                <w:u w:val="single"/>
                <w:lang w:eastAsia="ru-RU"/>
              </w:rPr>
              <w:t>30 дней;</w:t>
            </w:r>
          </w:p>
          <w:p w:rsidR="00E340E7" w:rsidRPr="00E340E7" w:rsidRDefault="00E340E7" w:rsidP="007076A7">
            <w:pPr>
              <w:pStyle w:val="a5"/>
              <w:widowControl w:val="0"/>
              <w:numPr>
                <w:ilvl w:val="0"/>
                <w:numId w:val="168"/>
              </w:numPr>
              <w:suppressAutoHyphens/>
              <w:ind w:left="391" w:hanging="391"/>
              <w:jc w:val="left"/>
              <w:rPr>
                <w:sz w:val="20"/>
                <w:szCs w:val="20"/>
              </w:rPr>
            </w:pPr>
            <w:r w:rsidRPr="00E340E7">
              <w:rPr>
                <w:sz w:val="20"/>
                <w:szCs w:val="20"/>
              </w:rPr>
              <w:t xml:space="preserve">с 23.08.2013: </w:t>
            </w:r>
            <w:r w:rsidRPr="00E340E7">
              <w:rPr>
                <w:rFonts w:eastAsiaTheme="minorHAnsi"/>
                <w:color w:val="000000"/>
                <w:sz w:val="20"/>
                <w:szCs w:val="20"/>
                <w:u w:val="single"/>
                <w:lang w:eastAsia="ru-RU"/>
              </w:rPr>
              <w:t>15 дней.</w:t>
            </w:r>
          </w:p>
          <w:p w:rsidR="00E340E7" w:rsidRPr="00E340E7" w:rsidRDefault="00E340E7">
            <w:pPr>
              <w:pStyle w:val="afc"/>
              <w:textAlignment w:val="baseline"/>
              <w:rPr>
                <w:rFonts w:eastAsiaTheme="minorHAnsi"/>
                <w:b/>
                <w:bCs/>
                <w:color w:val="000000"/>
              </w:rPr>
            </w:pPr>
          </w:p>
        </w:tc>
        <w:tc>
          <w:tcPr>
            <w:tcW w:w="3685" w:type="dxa"/>
            <w:tcBorders>
              <w:bottom w:val="nil"/>
            </w:tcBorders>
          </w:tcPr>
          <w:p w:rsidR="00E340E7" w:rsidRPr="00E340E7" w:rsidRDefault="00E340E7">
            <w:pPr>
              <w:pStyle w:val="afc"/>
              <w:textAlignment w:val="baseline"/>
              <w:rPr>
                <w:rFonts w:eastAsiaTheme="minorHAnsi"/>
                <w:sz w:val="20"/>
                <w:szCs w:val="20"/>
              </w:rPr>
            </w:pPr>
            <w:r w:rsidRPr="00E340E7">
              <w:rPr>
                <w:rFonts w:eastAsiaTheme="minorHAnsi"/>
                <w:b/>
                <w:bCs/>
                <w:color w:val="000000"/>
                <w:sz w:val="20"/>
                <w:szCs w:val="20"/>
              </w:rPr>
              <w:t>Доля своевременно выданных оферт договоров технологического присоединения:</w:t>
            </w:r>
            <w:r w:rsidRPr="00E340E7">
              <w:rPr>
                <w:rFonts w:eastAsiaTheme="minorHAnsi"/>
                <w:sz w:val="20"/>
                <w:szCs w:val="20"/>
              </w:rPr>
              <w:t xml:space="preserve"> </w:t>
            </w:r>
            <w:r w:rsidRPr="00E340E7">
              <w:rPr>
                <w:rFonts w:eastAsiaTheme="minorHAnsi"/>
                <w:color w:val="000000"/>
                <w:sz w:val="20"/>
                <w:szCs w:val="20"/>
                <w:u w:val="single"/>
              </w:rPr>
              <w:t>9</w:t>
            </w:r>
            <w:r w:rsidR="005466CF">
              <w:rPr>
                <w:rFonts w:eastAsiaTheme="minorHAnsi"/>
                <w:color w:val="000000"/>
                <w:sz w:val="20"/>
                <w:szCs w:val="20"/>
                <w:u w:val="single"/>
              </w:rPr>
              <w:t>8</w:t>
            </w:r>
            <w:r>
              <w:rPr>
                <w:rFonts w:eastAsiaTheme="minorHAnsi"/>
                <w:color w:val="000000"/>
                <w:sz w:val="20"/>
                <w:szCs w:val="20"/>
                <w:u w:val="single"/>
              </w:rPr>
              <w:t xml:space="preserve"> %</w:t>
            </w:r>
            <w:r w:rsidR="005466CF" w:rsidRPr="006F4AB8">
              <w:rPr>
                <w:rStyle w:val="af1"/>
                <w:rFonts w:eastAsiaTheme="minorHAnsi"/>
              </w:rPr>
              <w:footnoteReference w:id="15"/>
            </w:r>
            <w:r w:rsidRPr="00E340E7">
              <w:rPr>
                <w:rFonts w:eastAsiaTheme="minorHAnsi"/>
                <w:color w:val="000000"/>
                <w:sz w:val="20"/>
                <w:szCs w:val="20"/>
                <w:u w:val="single"/>
              </w:rPr>
              <w:t>;</w:t>
            </w:r>
          </w:p>
          <w:p w:rsidR="00E340E7" w:rsidRPr="00E340E7" w:rsidRDefault="00E340E7">
            <w:pPr>
              <w:pStyle w:val="afc"/>
              <w:textAlignment w:val="baseline"/>
              <w:rPr>
                <w:rFonts w:eastAsiaTheme="minorHAnsi"/>
                <w:b/>
                <w:bCs/>
                <w:color w:val="000000"/>
                <w:sz w:val="20"/>
                <w:szCs w:val="20"/>
              </w:rPr>
            </w:pPr>
            <w:r w:rsidRPr="00E340E7">
              <w:rPr>
                <w:rFonts w:eastAsiaTheme="minorHAnsi"/>
                <w:b/>
                <w:bCs/>
                <w:color w:val="000000"/>
                <w:sz w:val="20"/>
                <w:szCs w:val="20"/>
              </w:rPr>
              <w:t>Среднее время подготовки оферты договора технологического присоединения (для заявителей до 150 кВт),</w:t>
            </w:r>
          </w:p>
          <w:p w:rsidR="00E340E7" w:rsidRPr="00E340E7" w:rsidRDefault="00E340E7" w:rsidP="007076A7">
            <w:pPr>
              <w:pStyle w:val="a5"/>
              <w:widowControl w:val="0"/>
              <w:numPr>
                <w:ilvl w:val="0"/>
                <w:numId w:val="168"/>
              </w:numPr>
              <w:suppressAutoHyphens/>
              <w:ind w:left="391" w:hanging="391"/>
              <w:jc w:val="left"/>
              <w:rPr>
                <w:sz w:val="20"/>
                <w:szCs w:val="20"/>
              </w:rPr>
            </w:pPr>
            <w:r w:rsidRPr="00E340E7">
              <w:rPr>
                <w:sz w:val="20"/>
                <w:szCs w:val="20"/>
              </w:rPr>
              <w:t>до 23.08.2013</w:t>
            </w:r>
            <w:r>
              <w:rPr>
                <w:sz w:val="20"/>
                <w:szCs w:val="20"/>
              </w:rPr>
              <w:t xml:space="preserve">: </w:t>
            </w:r>
            <w:r w:rsidRPr="00E340E7">
              <w:rPr>
                <w:sz w:val="20"/>
                <w:szCs w:val="20"/>
                <w:u w:val="single"/>
              </w:rPr>
              <w:t>23 дня</w:t>
            </w:r>
            <w:r w:rsidRPr="006F4AB8">
              <w:rPr>
                <w:rStyle w:val="af1"/>
              </w:rPr>
              <w:footnoteReference w:id="16"/>
            </w:r>
            <w:r w:rsidRPr="00E340E7">
              <w:rPr>
                <w:sz w:val="20"/>
                <w:szCs w:val="20"/>
                <w:u w:val="single"/>
              </w:rPr>
              <w:t>;</w:t>
            </w:r>
          </w:p>
          <w:p w:rsidR="00E340E7" w:rsidRPr="00E340E7" w:rsidRDefault="00E340E7" w:rsidP="007076A7">
            <w:pPr>
              <w:pStyle w:val="a5"/>
              <w:widowControl w:val="0"/>
              <w:numPr>
                <w:ilvl w:val="0"/>
                <w:numId w:val="168"/>
              </w:numPr>
              <w:suppressAutoHyphens/>
              <w:ind w:left="391" w:hanging="391"/>
              <w:jc w:val="left"/>
              <w:rPr>
                <w:sz w:val="20"/>
                <w:szCs w:val="20"/>
                <w:u w:val="single"/>
              </w:rPr>
            </w:pPr>
            <w:r>
              <w:rPr>
                <w:sz w:val="20"/>
                <w:szCs w:val="20"/>
              </w:rPr>
              <w:t>с</w:t>
            </w:r>
            <w:r w:rsidRPr="00E340E7">
              <w:rPr>
                <w:sz w:val="20"/>
                <w:szCs w:val="20"/>
              </w:rPr>
              <w:t xml:space="preserve"> 23.08.2013 по 31.12.2013</w:t>
            </w:r>
            <w:r>
              <w:rPr>
                <w:sz w:val="20"/>
                <w:szCs w:val="20"/>
              </w:rPr>
              <w:t>:</w:t>
            </w:r>
            <w:r w:rsidRPr="00E340E7">
              <w:rPr>
                <w:sz w:val="20"/>
                <w:szCs w:val="20"/>
              </w:rPr>
              <w:t xml:space="preserve"> </w:t>
            </w:r>
            <w:r w:rsidRPr="00E340E7">
              <w:rPr>
                <w:sz w:val="20"/>
                <w:szCs w:val="20"/>
                <w:u w:val="single"/>
              </w:rPr>
              <w:t>11 дней.</w:t>
            </w:r>
          </w:p>
          <w:p w:rsidR="00E340E7" w:rsidRPr="00E340E7" w:rsidRDefault="00E340E7" w:rsidP="00573789">
            <w:pPr>
              <w:pStyle w:val="afc"/>
              <w:textAlignment w:val="baseline"/>
              <w:rPr>
                <w:rFonts w:eastAsiaTheme="minorHAnsi"/>
                <w:b/>
                <w:bCs/>
                <w:color w:val="000000"/>
                <w:sz w:val="20"/>
                <w:szCs w:val="20"/>
              </w:rPr>
            </w:pPr>
          </w:p>
        </w:tc>
      </w:tr>
      <w:tr w:rsidR="00E340E7" w:rsidRPr="004761E0" w:rsidTr="00E340E7">
        <w:trPr>
          <w:trHeight w:val="1181"/>
        </w:trPr>
        <w:tc>
          <w:tcPr>
            <w:tcW w:w="568" w:type="dxa"/>
            <w:vMerge/>
          </w:tcPr>
          <w:p w:rsidR="00E340E7" w:rsidRPr="004761E0" w:rsidRDefault="00E340E7" w:rsidP="00086514">
            <w:pPr>
              <w:widowControl w:val="0"/>
              <w:suppressAutoHyphens/>
              <w:ind w:left="142" w:firstLine="0"/>
              <w:jc w:val="left"/>
              <w:rPr>
                <w:sz w:val="20"/>
                <w:szCs w:val="20"/>
              </w:rPr>
            </w:pPr>
          </w:p>
        </w:tc>
        <w:tc>
          <w:tcPr>
            <w:tcW w:w="8222" w:type="dxa"/>
            <w:vMerge/>
          </w:tcPr>
          <w:p w:rsidR="00E340E7" w:rsidRPr="004761E0" w:rsidRDefault="00E340E7" w:rsidP="00086514">
            <w:pPr>
              <w:widowControl w:val="0"/>
              <w:suppressAutoHyphens/>
              <w:ind w:right="33" w:firstLine="0"/>
              <w:jc w:val="left"/>
              <w:rPr>
                <w:rFonts w:eastAsia="Times New Roman"/>
                <w:bCs/>
                <w:color w:val="000000"/>
                <w:kern w:val="24"/>
                <w:sz w:val="20"/>
                <w:szCs w:val="20"/>
                <w:lang w:eastAsia="ru-RU"/>
              </w:rPr>
            </w:pPr>
          </w:p>
        </w:tc>
        <w:tc>
          <w:tcPr>
            <w:tcW w:w="3685" w:type="dxa"/>
            <w:tcBorders>
              <w:top w:val="nil"/>
            </w:tcBorders>
          </w:tcPr>
          <w:p w:rsidR="00E340E7" w:rsidRPr="00E340E7" w:rsidRDefault="00E340E7" w:rsidP="00AA6D5B">
            <w:pPr>
              <w:pStyle w:val="afc"/>
              <w:textAlignment w:val="baseline"/>
              <w:rPr>
                <w:rFonts w:eastAsiaTheme="minorHAnsi"/>
                <w:b/>
                <w:bCs/>
                <w:color w:val="000000"/>
                <w:sz w:val="20"/>
              </w:rPr>
            </w:pPr>
            <w:r w:rsidRPr="00E340E7">
              <w:rPr>
                <w:rFonts w:eastAsiaTheme="minorHAnsi"/>
                <w:b/>
                <w:bCs/>
                <w:color w:val="000000"/>
                <w:sz w:val="20"/>
              </w:rPr>
              <w:t>Количество очных визитов заявителей в офисы ОАО «МОЭСК» для те</w:t>
            </w:r>
            <w:r w:rsidR="00AA6D5B">
              <w:rPr>
                <w:rFonts w:eastAsiaTheme="minorHAnsi"/>
                <w:b/>
                <w:bCs/>
                <w:color w:val="000000"/>
                <w:sz w:val="20"/>
              </w:rPr>
              <w:t>хнологического присоединения</w:t>
            </w:r>
            <w:r w:rsidRPr="00E340E7">
              <w:rPr>
                <w:rFonts w:eastAsiaTheme="minorHAnsi"/>
                <w:b/>
                <w:bCs/>
                <w:color w:val="000000"/>
                <w:sz w:val="20"/>
              </w:rPr>
              <w:t>:</w:t>
            </w:r>
            <w:r w:rsidRPr="00E340E7">
              <w:rPr>
                <w:rFonts w:eastAsiaTheme="minorHAnsi"/>
                <w:sz w:val="20"/>
              </w:rPr>
              <w:t xml:space="preserve"> </w:t>
            </w:r>
            <w:r w:rsidRPr="00E340E7">
              <w:rPr>
                <w:rFonts w:eastAsiaTheme="minorHAnsi"/>
                <w:sz w:val="20"/>
                <w:u w:val="single"/>
              </w:rPr>
              <w:t>3</w:t>
            </w:r>
            <w:r w:rsidRPr="00E340E7">
              <w:rPr>
                <w:rFonts w:eastAsiaTheme="minorHAnsi"/>
                <w:sz w:val="20"/>
              </w:rPr>
              <w:t>.</w:t>
            </w:r>
          </w:p>
        </w:tc>
        <w:tc>
          <w:tcPr>
            <w:tcW w:w="3685" w:type="dxa"/>
            <w:tcBorders>
              <w:top w:val="nil"/>
            </w:tcBorders>
          </w:tcPr>
          <w:p w:rsidR="00E340E7" w:rsidRPr="00E340E7" w:rsidRDefault="00E340E7" w:rsidP="00AA6D5B">
            <w:pPr>
              <w:pStyle w:val="afc"/>
              <w:textAlignment w:val="baseline"/>
              <w:rPr>
                <w:rFonts w:eastAsiaTheme="minorHAnsi"/>
                <w:b/>
                <w:bCs/>
                <w:color w:val="000000"/>
                <w:sz w:val="20"/>
              </w:rPr>
            </w:pPr>
            <w:r w:rsidRPr="00E340E7">
              <w:rPr>
                <w:rFonts w:eastAsiaTheme="minorHAnsi"/>
                <w:b/>
                <w:bCs/>
                <w:color w:val="000000"/>
                <w:sz w:val="20"/>
              </w:rPr>
              <w:t>Количество очных визитов заявителей в офисы ОАО «МОЭСК» для технологического присоединения:</w:t>
            </w:r>
            <w:r w:rsidRPr="00E340E7">
              <w:rPr>
                <w:rFonts w:eastAsiaTheme="minorHAnsi"/>
                <w:sz w:val="20"/>
              </w:rPr>
              <w:t xml:space="preserve"> </w:t>
            </w:r>
            <w:r w:rsidRPr="00E340E7">
              <w:rPr>
                <w:rFonts w:eastAsiaTheme="minorHAnsi"/>
                <w:sz w:val="20"/>
                <w:u w:val="single"/>
              </w:rPr>
              <w:t>3</w:t>
            </w:r>
            <w:r w:rsidRPr="00E340E7">
              <w:rPr>
                <w:rFonts w:eastAsiaTheme="minorHAnsi"/>
                <w:sz w:val="20"/>
              </w:rPr>
              <w:t>.</w:t>
            </w:r>
          </w:p>
        </w:tc>
      </w:tr>
      <w:tr w:rsidR="00A93A50" w:rsidRPr="004761E0" w:rsidTr="00733C41">
        <w:tc>
          <w:tcPr>
            <w:tcW w:w="568" w:type="dxa"/>
            <w:shd w:val="clear" w:color="auto" w:fill="D9D9D9"/>
          </w:tcPr>
          <w:p w:rsidR="00A93A50" w:rsidRPr="004761E0" w:rsidRDefault="00A93A50" w:rsidP="007076A7">
            <w:pPr>
              <w:pStyle w:val="a5"/>
              <w:widowControl w:val="0"/>
              <w:numPr>
                <w:ilvl w:val="0"/>
                <w:numId w:val="167"/>
              </w:numPr>
              <w:suppressAutoHyphens/>
              <w:ind w:left="34" w:firstLine="0"/>
              <w:jc w:val="left"/>
              <w:rPr>
                <w:sz w:val="20"/>
                <w:szCs w:val="20"/>
              </w:rPr>
            </w:pPr>
          </w:p>
        </w:tc>
        <w:tc>
          <w:tcPr>
            <w:tcW w:w="15592" w:type="dxa"/>
            <w:gridSpan w:val="3"/>
            <w:shd w:val="clear" w:color="auto" w:fill="D9D9D9"/>
          </w:tcPr>
          <w:p w:rsidR="00A93A50" w:rsidRPr="004761E0" w:rsidRDefault="00A93A50" w:rsidP="00086514">
            <w:pPr>
              <w:widowControl w:val="0"/>
              <w:suppressAutoHyphens/>
              <w:ind w:firstLine="0"/>
              <w:jc w:val="left"/>
              <w:rPr>
                <w:rFonts w:eastAsia="Times New Roman"/>
                <w:b/>
                <w:color w:val="000000"/>
                <w:sz w:val="20"/>
                <w:szCs w:val="20"/>
                <w:lang w:eastAsia="ru-RU"/>
              </w:rPr>
            </w:pPr>
            <w:r w:rsidRPr="004761E0">
              <w:rPr>
                <w:rFonts w:eastAsia="Times New Roman"/>
                <w:b/>
                <w:color w:val="000000"/>
                <w:sz w:val="20"/>
                <w:szCs w:val="20"/>
                <w:lang w:eastAsia="ru-RU"/>
              </w:rPr>
              <w:t>Направление: Развитие.</w:t>
            </w:r>
          </w:p>
          <w:p w:rsidR="00A93A50" w:rsidRPr="004761E0" w:rsidRDefault="00A93A50" w:rsidP="00086514">
            <w:pPr>
              <w:pStyle w:val="afc"/>
              <w:spacing w:before="0" w:beforeAutospacing="0" w:after="0" w:afterAutospacing="0"/>
              <w:textAlignment w:val="baseline"/>
              <w:rPr>
                <w:bCs/>
                <w:color w:val="000000"/>
                <w:kern w:val="24"/>
                <w:sz w:val="20"/>
                <w:szCs w:val="20"/>
              </w:rPr>
            </w:pPr>
            <w:r w:rsidRPr="004761E0">
              <w:rPr>
                <w:b/>
                <w:color w:val="000000"/>
                <w:sz w:val="20"/>
                <w:szCs w:val="20"/>
              </w:rPr>
              <w:t xml:space="preserve">Цель: </w:t>
            </w:r>
            <w:r w:rsidRPr="004761E0">
              <w:rPr>
                <w:b/>
                <w:sz w:val="20"/>
                <w:szCs w:val="20"/>
              </w:rPr>
              <w:t>Опережающее развитие сети. Внедрение новых технологий.</w:t>
            </w:r>
          </w:p>
        </w:tc>
      </w:tr>
      <w:tr w:rsidR="00A93A50" w:rsidRPr="004761E0" w:rsidTr="00733C41">
        <w:tc>
          <w:tcPr>
            <w:tcW w:w="568" w:type="dxa"/>
          </w:tcPr>
          <w:p w:rsidR="00A93A50" w:rsidRPr="004761E0" w:rsidRDefault="00A93A50" w:rsidP="00086514">
            <w:pPr>
              <w:widowControl w:val="0"/>
              <w:suppressAutoHyphens/>
              <w:ind w:left="142" w:firstLine="0"/>
              <w:jc w:val="left"/>
              <w:rPr>
                <w:sz w:val="20"/>
                <w:szCs w:val="20"/>
              </w:rPr>
            </w:pPr>
          </w:p>
        </w:tc>
        <w:tc>
          <w:tcPr>
            <w:tcW w:w="8222" w:type="dxa"/>
          </w:tcPr>
          <w:p w:rsidR="00112A97" w:rsidRPr="004761E0" w:rsidRDefault="00374EDF" w:rsidP="00374EDF">
            <w:pPr>
              <w:widowControl w:val="0"/>
              <w:suppressAutoHyphens/>
              <w:ind w:firstLine="0"/>
              <w:rPr>
                <w:rFonts w:eastAsia="Times New Roman"/>
                <w:bCs/>
                <w:color w:val="000000"/>
                <w:kern w:val="24"/>
                <w:sz w:val="20"/>
                <w:szCs w:val="20"/>
                <w:lang w:eastAsia="ru-RU"/>
              </w:rPr>
            </w:pPr>
            <w:r w:rsidRPr="004761E0">
              <w:rPr>
                <w:rFonts w:eastAsia="Times New Roman"/>
                <w:bCs/>
                <w:color w:val="000000"/>
                <w:kern w:val="24"/>
                <w:sz w:val="20"/>
                <w:szCs w:val="20"/>
                <w:lang w:eastAsia="ru-RU"/>
              </w:rPr>
              <w:t>В целях опережающего развития</w:t>
            </w:r>
            <w:r w:rsidR="00A93A50" w:rsidRPr="004761E0">
              <w:rPr>
                <w:rFonts w:eastAsia="Times New Roman"/>
                <w:bCs/>
                <w:color w:val="000000"/>
                <w:kern w:val="24"/>
                <w:sz w:val="20"/>
                <w:szCs w:val="20"/>
                <w:lang w:eastAsia="ru-RU"/>
              </w:rPr>
              <w:t xml:space="preserve"> в 2013 году разработана Схема развития электрических сетей напряжением 110 (35) кВ и выше в г. Москве и Московской области на период до 2025 года</w:t>
            </w:r>
            <w:r w:rsidRPr="006F4AB8">
              <w:rPr>
                <w:rStyle w:val="af1"/>
              </w:rPr>
              <w:footnoteReference w:id="17"/>
            </w:r>
            <w:r w:rsidRPr="004761E0">
              <w:rPr>
                <w:rFonts w:eastAsia="Times New Roman"/>
                <w:bCs/>
                <w:color w:val="000000"/>
                <w:kern w:val="24"/>
                <w:sz w:val="20"/>
                <w:szCs w:val="20"/>
                <w:lang w:eastAsia="ru-RU"/>
              </w:rPr>
              <w:t>.</w:t>
            </w:r>
          </w:p>
          <w:p w:rsidR="00A93A50" w:rsidRPr="004761E0" w:rsidRDefault="00F820D9" w:rsidP="00086514">
            <w:pPr>
              <w:widowControl w:val="0"/>
              <w:suppressAutoHyphens/>
              <w:ind w:firstLine="0"/>
              <w:rPr>
                <w:rFonts w:eastAsia="Times New Roman"/>
                <w:bCs/>
                <w:color w:val="000000"/>
                <w:kern w:val="24"/>
                <w:sz w:val="20"/>
                <w:szCs w:val="20"/>
                <w:lang w:eastAsia="ru-RU"/>
              </w:rPr>
            </w:pPr>
            <w:proofErr w:type="gramStart"/>
            <w:r w:rsidRPr="004761E0">
              <w:rPr>
                <w:rFonts w:eastAsia="Times New Roman"/>
                <w:bCs/>
                <w:color w:val="000000"/>
                <w:kern w:val="24"/>
                <w:sz w:val="20"/>
                <w:szCs w:val="20"/>
                <w:lang w:eastAsia="ru-RU"/>
              </w:rPr>
              <w:t>Д</w:t>
            </w:r>
            <w:r w:rsidR="00374EDF" w:rsidRPr="004761E0">
              <w:rPr>
                <w:rFonts w:eastAsia="Times New Roman"/>
                <w:bCs/>
                <w:color w:val="000000"/>
                <w:kern w:val="24"/>
                <w:sz w:val="20"/>
                <w:szCs w:val="20"/>
                <w:lang w:eastAsia="ru-RU"/>
              </w:rPr>
              <w:t xml:space="preserve">ля решения задачи по ликвидации существующих ограничений для технологического присоединения на центрах питания </w:t>
            </w:r>
            <w:r w:rsidR="0008080E">
              <w:rPr>
                <w:rFonts w:eastAsia="Times New Roman"/>
                <w:bCs/>
                <w:color w:val="000000"/>
                <w:kern w:val="24"/>
                <w:sz w:val="20"/>
                <w:szCs w:val="20"/>
                <w:lang w:eastAsia="ru-RU"/>
              </w:rPr>
              <w:t>ОАО </w:t>
            </w:r>
            <w:r w:rsidR="00374EDF" w:rsidRPr="004761E0">
              <w:rPr>
                <w:rFonts w:eastAsia="Times New Roman"/>
                <w:bCs/>
                <w:color w:val="000000"/>
                <w:kern w:val="24"/>
                <w:sz w:val="20"/>
                <w:szCs w:val="20"/>
                <w:lang w:eastAsia="ru-RU"/>
              </w:rPr>
              <w:t xml:space="preserve">«МОЭСК» и создания резервов мощности для технологических присоединений </w:t>
            </w:r>
            <w:r w:rsidR="00A93A50" w:rsidRPr="004761E0">
              <w:rPr>
                <w:rFonts w:eastAsia="Times New Roman"/>
                <w:bCs/>
                <w:color w:val="000000"/>
                <w:kern w:val="24"/>
                <w:sz w:val="20"/>
                <w:szCs w:val="20"/>
                <w:lang w:eastAsia="ru-RU"/>
              </w:rPr>
              <w:t xml:space="preserve">в 2013 году разработана Программа снятия ограничений с перегруженных подстанций г. Москвы (корректировка на период 2014-2018 гг.) и Программа снятия ограничений для технологических присоединений с подстанций </w:t>
            </w:r>
            <w:r w:rsidR="0008080E">
              <w:rPr>
                <w:rFonts w:eastAsia="Times New Roman"/>
                <w:bCs/>
                <w:color w:val="000000"/>
                <w:kern w:val="24"/>
                <w:sz w:val="20"/>
                <w:szCs w:val="20"/>
                <w:lang w:eastAsia="ru-RU"/>
              </w:rPr>
              <w:t>ОАО </w:t>
            </w:r>
            <w:r w:rsidR="00A93A50" w:rsidRPr="004761E0">
              <w:rPr>
                <w:rFonts w:eastAsia="Times New Roman"/>
                <w:bCs/>
                <w:color w:val="000000"/>
                <w:kern w:val="24"/>
                <w:sz w:val="20"/>
                <w:szCs w:val="20"/>
                <w:lang w:eastAsia="ru-RU"/>
              </w:rPr>
              <w:t>«МОЭСК» Московской области на период 2013-2015 гг. и до 2020 г</w:t>
            </w:r>
            <w:r w:rsidR="00374EDF" w:rsidRPr="004761E0">
              <w:rPr>
                <w:rFonts w:eastAsia="Times New Roman"/>
                <w:bCs/>
                <w:color w:val="000000"/>
                <w:kern w:val="24"/>
                <w:sz w:val="20"/>
                <w:szCs w:val="20"/>
                <w:lang w:eastAsia="ru-RU"/>
              </w:rPr>
              <w:t>ода</w:t>
            </w:r>
            <w:proofErr w:type="gramEnd"/>
            <w:r w:rsidR="00A93A50" w:rsidRPr="004761E0">
              <w:rPr>
                <w:rFonts w:eastAsia="Times New Roman"/>
                <w:bCs/>
                <w:color w:val="000000"/>
                <w:kern w:val="24"/>
                <w:sz w:val="20"/>
                <w:szCs w:val="20"/>
                <w:lang w:eastAsia="ru-RU"/>
              </w:rPr>
              <w:t xml:space="preserve">. Программами предусмотрена ликвидация ограничений на технологическое присоединение на 20 подстанциях в </w:t>
            </w:r>
            <w:proofErr w:type="gramStart"/>
            <w:r w:rsidR="00A93A50" w:rsidRPr="004761E0">
              <w:rPr>
                <w:rFonts w:eastAsia="Times New Roman"/>
                <w:bCs/>
                <w:color w:val="000000"/>
                <w:kern w:val="24"/>
                <w:sz w:val="20"/>
                <w:szCs w:val="20"/>
                <w:lang w:eastAsia="ru-RU"/>
              </w:rPr>
              <w:t>г</w:t>
            </w:r>
            <w:proofErr w:type="gramEnd"/>
            <w:r w:rsidR="00A93A50" w:rsidRPr="004761E0">
              <w:rPr>
                <w:rFonts w:eastAsia="Times New Roman"/>
                <w:bCs/>
                <w:color w:val="000000"/>
                <w:kern w:val="24"/>
                <w:sz w:val="20"/>
                <w:szCs w:val="20"/>
                <w:lang w:eastAsia="ru-RU"/>
              </w:rPr>
              <w:t>. Москве и на 122 подстанциях в Московской области</w:t>
            </w:r>
            <w:r w:rsidRPr="004761E0">
              <w:rPr>
                <w:rFonts w:eastAsia="Times New Roman"/>
                <w:bCs/>
                <w:color w:val="000000"/>
                <w:kern w:val="24"/>
                <w:sz w:val="20"/>
                <w:szCs w:val="20"/>
                <w:lang w:eastAsia="ru-RU"/>
              </w:rPr>
              <w:t xml:space="preserve"> до 2020 года</w:t>
            </w:r>
            <w:r w:rsidR="00A93A50" w:rsidRPr="004761E0">
              <w:rPr>
                <w:rFonts w:eastAsia="Times New Roman"/>
                <w:bCs/>
                <w:color w:val="000000"/>
                <w:kern w:val="24"/>
                <w:sz w:val="20"/>
                <w:szCs w:val="20"/>
                <w:lang w:eastAsia="ru-RU"/>
              </w:rPr>
              <w:t>.</w:t>
            </w:r>
          </w:p>
          <w:p w:rsidR="00A93A50" w:rsidRPr="004761E0" w:rsidRDefault="00F820D9" w:rsidP="00E7117F">
            <w:pPr>
              <w:widowControl w:val="0"/>
              <w:suppressAutoHyphens/>
              <w:ind w:firstLine="0"/>
              <w:rPr>
                <w:rFonts w:eastAsia="Times New Roman"/>
                <w:bCs/>
                <w:color w:val="000000"/>
                <w:kern w:val="24"/>
                <w:sz w:val="20"/>
                <w:szCs w:val="20"/>
                <w:lang w:eastAsia="ru-RU"/>
              </w:rPr>
            </w:pPr>
            <w:r w:rsidRPr="004761E0">
              <w:rPr>
                <w:rFonts w:eastAsia="Times New Roman"/>
                <w:bCs/>
                <w:color w:val="000000"/>
                <w:kern w:val="24"/>
                <w:sz w:val="20"/>
                <w:szCs w:val="20"/>
                <w:lang w:eastAsia="ru-RU"/>
              </w:rPr>
              <w:t xml:space="preserve">В перспективе </w:t>
            </w:r>
            <w:r w:rsidR="00A93A50" w:rsidRPr="004761E0">
              <w:rPr>
                <w:rFonts w:eastAsia="Times New Roman"/>
                <w:bCs/>
                <w:color w:val="000000"/>
                <w:kern w:val="24"/>
                <w:sz w:val="20"/>
                <w:szCs w:val="20"/>
                <w:lang w:eastAsia="ru-RU"/>
              </w:rPr>
              <w:t>Общество планирует акцентировать свое внимание на следующих мероприятиях:</w:t>
            </w:r>
          </w:p>
          <w:p w:rsidR="00A93A50" w:rsidRPr="004761E0" w:rsidRDefault="00A93A50" w:rsidP="007076A7">
            <w:pPr>
              <w:pStyle w:val="a5"/>
              <w:widowControl w:val="0"/>
              <w:numPr>
                <w:ilvl w:val="0"/>
                <w:numId w:val="168"/>
              </w:numPr>
              <w:suppressAutoHyphens/>
              <w:ind w:left="391" w:right="33" w:hanging="391"/>
              <w:rPr>
                <w:color w:val="000000"/>
                <w:sz w:val="20"/>
                <w:szCs w:val="20"/>
              </w:rPr>
            </w:pPr>
            <w:r w:rsidRPr="004761E0">
              <w:rPr>
                <w:color w:val="000000"/>
                <w:sz w:val="20"/>
                <w:szCs w:val="20"/>
              </w:rPr>
              <w:t>разработка Комплексной программы развития электрических сетей напряжением 110 (35) кВ и выше на территории г. Москвы и Моск</w:t>
            </w:r>
            <w:r w:rsidR="00F820D9" w:rsidRPr="004761E0">
              <w:rPr>
                <w:color w:val="000000"/>
                <w:sz w:val="20"/>
                <w:szCs w:val="20"/>
              </w:rPr>
              <w:t>овской области на период 2014-</w:t>
            </w:r>
            <w:r w:rsidRPr="004761E0">
              <w:rPr>
                <w:color w:val="000000"/>
                <w:sz w:val="20"/>
                <w:szCs w:val="20"/>
              </w:rPr>
              <w:t>2019 гг. и до 2025 г.</w:t>
            </w:r>
          </w:p>
          <w:p w:rsidR="00A93A50" w:rsidRPr="004761E0" w:rsidRDefault="00A93A50" w:rsidP="007076A7">
            <w:pPr>
              <w:pStyle w:val="a5"/>
              <w:widowControl w:val="0"/>
              <w:numPr>
                <w:ilvl w:val="0"/>
                <w:numId w:val="168"/>
              </w:numPr>
              <w:suppressAutoHyphens/>
              <w:ind w:left="391" w:right="33" w:hanging="391"/>
              <w:rPr>
                <w:rFonts w:eastAsia="Times New Roman"/>
                <w:bCs/>
                <w:color w:val="000000"/>
                <w:kern w:val="24"/>
                <w:sz w:val="20"/>
                <w:szCs w:val="20"/>
                <w:lang w:eastAsia="ru-RU"/>
              </w:rPr>
            </w:pPr>
            <w:r w:rsidRPr="004761E0">
              <w:rPr>
                <w:color w:val="000000"/>
                <w:sz w:val="20"/>
                <w:szCs w:val="20"/>
              </w:rPr>
              <w:lastRenderedPageBreak/>
              <w:t xml:space="preserve">реализация разработанных программ снятия ограничений, закрытых для технологического присоединения центров питания </w:t>
            </w:r>
            <w:r w:rsidR="0008080E">
              <w:rPr>
                <w:color w:val="000000"/>
                <w:sz w:val="20"/>
                <w:szCs w:val="20"/>
              </w:rPr>
              <w:t>ОАО </w:t>
            </w:r>
            <w:r w:rsidRPr="004761E0">
              <w:rPr>
                <w:color w:val="000000"/>
                <w:sz w:val="20"/>
                <w:szCs w:val="20"/>
              </w:rPr>
              <w:t xml:space="preserve">«МОЭСК» в </w:t>
            </w:r>
            <w:proofErr w:type="gramStart"/>
            <w:r w:rsidRPr="004761E0">
              <w:rPr>
                <w:color w:val="000000"/>
                <w:sz w:val="20"/>
                <w:szCs w:val="20"/>
              </w:rPr>
              <w:t>г</w:t>
            </w:r>
            <w:proofErr w:type="gramEnd"/>
            <w:r w:rsidRPr="004761E0">
              <w:rPr>
                <w:color w:val="000000"/>
                <w:sz w:val="20"/>
                <w:szCs w:val="20"/>
              </w:rPr>
              <w:t>. Москве и Московской области на период до 2020</w:t>
            </w:r>
            <w:r w:rsidRPr="004761E0">
              <w:rPr>
                <w:rFonts w:eastAsia="Times New Roman"/>
                <w:bCs/>
                <w:color w:val="000000"/>
                <w:kern w:val="24"/>
                <w:sz w:val="20"/>
                <w:szCs w:val="20"/>
                <w:lang w:eastAsia="ru-RU"/>
              </w:rPr>
              <w:t xml:space="preserve"> года; </w:t>
            </w:r>
          </w:p>
          <w:p w:rsidR="00A93A50" w:rsidRPr="004761E0" w:rsidRDefault="00A93A50" w:rsidP="00E7117F">
            <w:pPr>
              <w:widowControl w:val="0"/>
              <w:suppressAutoHyphens/>
              <w:ind w:firstLine="0"/>
              <w:rPr>
                <w:rFonts w:eastAsia="Times New Roman"/>
                <w:bCs/>
                <w:color w:val="000000"/>
                <w:kern w:val="24"/>
                <w:sz w:val="20"/>
                <w:szCs w:val="20"/>
                <w:lang w:eastAsia="ru-RU"/>
              </w:rPr>
            </w:pPr>
            <w:r w:rsidRPr="004761E0">
              <w:rPr>
                <w:rFonts w:eastAsia="Times New Roman"/>
                <w:bCs/>
                <w:color w:val="000000"/>
                <w:kern w:val="24"/>
                <w:sz w:val="20"/>
                <w:szCs w:val="20"/>
                <w:lang w:eastAsia="ru-RU"/>
              </w:rPr>
              <w:t xml:space="preserve">В результате реализации вышеуказанных мероприятий к 2020 году Общество планирует создать дополнительный резерв мощности для технологического присоединения в </w:t>
            </w:r>
            <w:proofErr w:type="gramStart"/>
            <w:r w:rsidRPr="004761E0">
              <w:rPr>
                <w:rFonts w:eastAsia="Times New Roman"/>
                <w:bCs/>
                <w:color w:val="000000"/>
                <w:kern w:val="24"/>
                <w:sz w:val="20"/>
                <w:szCs w:val="20"/>
                <w:lang w:eastAsia="ru-RU"/>
              </w:rPr>
              <w:t>г</w:t>
            </w:r>
            <w:proofErr w:type="gramEnd"/>
            <w:r w:rsidRPr="004761E0">
              <w:rPr>
                <w:rFonts w:eastAsia="Times New Roman"/>
                <w:bCs/>
                <w:color w:val="000000"/>
                <w:kern w:val="24"/>
                <w:sz w:val="20"/>
                <w:szCs w:val="20"/>
                <w:lang w:eastAsia="ru-RU"/>
              </w:rPr>
              <w:t>. Москве 497,5 МВт, в Московской области – 1</w:t>
            </w:r>
            <w:r w:rsidR="00F820D9" w:rsidRPr="004761E0">
              <w:rPr>
                <w:rFonts w:eastAsia="Times New Roman"/>
                <w:bCs/>
                <w:color w:val="000000"/>
                <w:kern w:val="24"/>
                <w:sz w:val="20"/>
                <w:szCs w:val="20"/>
                <w:lang w:eastAsia="ru-RU"/>
              </w:rPr>
              <w:t xml:space="preserve"> </w:t>
            </w:r>
            <w:r w:rsidRPr="004761E0">
              <w:rPr>
                <w:rFonts w:eastAsia="Times New Roman"/>
                <w:bCs/>
                <w:color w:val="000000"/>
                <w:kern w:val="24"/>
                <w:sz w:val="20"/>
                <w:szCs w:val="20"/>
                <w:lang w:eastAsia="ru-RU"/>
              </w:rPr>
              <w:t>428 МВт.</w:t>
            </w:r>
          </w:p>
          <w:p w:rsidR="00A93A50" w:rsidRPr="004761E0" w:rsidRDefault="00A93A50" w:rsidP="00E7117F">
            <w:pPr>
              <w:widowControl w:val="0"/>
              <w:suppressAutoHyphens/>
              <w:ind w:firstLine="0"/>
            </w:pPr>
            <w:r w:rsidRPr="004761E0">
              <w:rPr>
                <w:rFonts w:eastAsia="Times New Roman"/>
                <w:bCs/>
                <w:color w:val="000000"/>
                <w:kern w:val="24"/>
                <w:sz w:val="20"/>
                <w:szCs w:val="20"/>
                <w:lang w:eastAsia="ru-RU"/>
              </w:rPr>
              <w:t>В рамках решения задачи по развитию сетевой инфраструктуры Общество планирует разрабатывать и внедрять инновационные решения, рассматриваемые как ключевой фактор, который должен поднять технический уровень электросетевого комплекса до современных отраслевых стандартов, сложившихся в мировой практике, а также повысить надежность электроснабжения столичного региона.</w:t>
            </w:r>
          </w:p>
        </w:tc>
        <w:tc>
          <w:tcPr>
            <w:tcW w:w="3685" w:type="dxa"/>
            <w:shd w:val="clear" w:color="auto" w:fill="auto"/>
          </w:tcPr>
          <w:p w:rsidR="002A16D3" w:rsidRPr="004761E0" w:rsidRDefault="002A16D3" w:rsidP="002A16D3">
            <w:pPr>
              <w:pStyle w:val="afc"/>
              <w:spacing w:before="0" w:beforeAutospacing="0" w:after="0" w:afterAutospacing="0"/>
              <w:textAlignment w:val="baseline"/>
              <w:rPr>
                <w:b/>
                <w:color w:val="000000"/>
                <w:sz w:val="20"/>
                <w:szCs w:val="20"/>
              </w:rPr>
            </w:pPr>
            <w:r w:rsidRPr="004761E0">
              <w:rPr>
                <w:b/>
                <w:color w:val="000000"/>
                <w:sz w:val="20"/>
                <w:szCs w:val="20"/>
              </w:rPr>
              <w:lastRenderedPageBreak/>
              <w:t>Доля центров питания имеющих резерв мощности для технологического присоединения потребителей:</w:t>
            </w:r>
          </w:p>
          <w:p w:rsidR="002A16D3" w:rsidRPr="004761E0" w:rsidRDefault="002A16D3" w:rsidP="007076A7">
            <w:pPr>
              <w:pStyle w:val="a5"/>
              <w:widowControl w:val="0"/>
              <w:numPr>
                <w:ilvl w:val="0"/>
                <w:numId w:val="168"/>
              </w:numPr>
              <w:suppressAutoHyphens/>
              <w:ind w:left="391" w:hanging="391"/>
              <w:jc w:val="left"/>
              <w:rPr>
                <w:sz w:val="20"/>
                <w:szCs w:val="20"/>
              </w:rPr>
            </w:pPr>
            <w:r w:rsidRPr="004761E0">
              <w:rPr>
                <w:sz w:val="20"/>
                <w:szCs w:val="20"/>
              </w:rPr>
              <w:t xml:space="preserve">г. Москва: </w:t>
            </w:r>
            <w:r w:rsidRPr="004761E0">
              <w:rPr>
                <w:sz w:val="20"/>
                <w:szCs w:val="20"/>
                <w:u w:val="single"/>
              </w:rPr>
              <w:t>63</w:t>
            </w:r>
            <w:r w:rsidR="00945CFD">
              <w:rPr>
                <w:sz w:val="20"/>
                <w:szCs w:val="20"/>
                <w:u w:val="single"/>
              </w:rPr>
              <w:t xml:space="preserve"> %</w:t>
            </w:r>
            <w:r w:rsidRPr="004761E0">
              <w:rPr>
                <w:sz w:val="20"/>
                <w:szCs w:val="20"/>
              </w:rPr>
              <w:t>;</w:t>
            </w:r>
          </w:p>
          <w:p w:rsidR="002A16D3" w:rsidRPr="004761E0" w:rsidRDefault="002A16D3" w:rsidP="007076A7">
            <w:pPr>
              <w:pStyle w:val="a5"/>
              <w:widowControl w:val="0"/>
              <w:numPr>
                <w:ilvl w:val="0"/>
                <w:numId w:val="168"/>
              </w:numPr>
              <w:suppressAutoHyphens/>
              <w:ind w:left="391" w:hanging="391"/>
              <w:jc w:val="left"/>
              <w:rPr>
                <w:sz w:val="20"/>
                <w:szCs w:val="20"/>
              </w:rPr>
            </w:pPr>
            <w:r w:rsidRPr="004761E0">
              <w:rPr>
                <w:sz w:val="20"/>
                <w:szCs w:val="20"/>
              </w:rPr>
              <w:t xml:space="preserve">Московская область: </w:t>
            </w:r>
            <w:r w:rsidRPr="004761E0">
              <w:rPr>
                <w:sz w:val="20"/>
                <w:szCs w:val="20"/>
                <w:u w:val="single"/>
              </w:rPr>
              <w:t>67</w:t>
            </w:r>
            <w:r w:rsidR="00945CFD">
              <w:rPr>
                <w:sz w:val="20"/>
                <w:szCs w:val="20"/>
                <w:u w:val="single"/>
              </w:rPr>
              <w:t xml:space="preserve"> %</w:t>
            </w:r>
            <w:r w:rsidRPr="004761E0">
              <w:rPr>
                <w:sz w:val="20"/>
                <w:szCs w:val="20"/>
              </w:rPr>
              <w:t>.</w:t>
            </w:r>
          </w:p>
          <w:p w:rsidR="002A16D3" w:rsidRPr="004761E0" w:rsidRDefault="002A16D3" w:rsidP="002A16D3">
            <w:pPr>
              <w:widowControl w:val="0"/>
              <w:suppressAutoHyphens/>
              <w:ind w:right="-187" w:firstLine="0"/>
              <w:jc w:val="left"/>
              <w:rPr>
                <w:sz w:val="20"/>
                <w:szCs w:val="20"/>
              </w:rPr>
            </w:pPr>
          </w:p>
          <w:p w:rsidR="002A16D3" w:rsidRPr="004761E0" w:rsidRDefault="002A16D3" w:rsidP="002A16D3">
            <w:pPr>
              <w:widowControl w:val="0"/>
              <w:suppressAutoHyphens/>
              <w:ind w:right="-187" w:firstLine="0"/>
              <w:jc w:val="left"/>
              <w:rPr>
                <w:rFonts w:eastAsia="Times New Roman"/>
                <w:color w:val="000000"/>
                <w:sz w:val="20"/>
                <w:szCs w:val="20"/>
                <w:lang w:eastAsia="ru-RU"/>
              </w:rPr>
            </w:pPr>
            <w:r w:rsidRPr="004761E0">
              <w:rPr>
                <w:b/>
                <w:color w:val="000000"/>
                <w:sz w:val="20"/>
                <w:szCs w:val="20"/>
              </w:rPr>
              <w:t>Общие потери электроэнергии при передаче:</w:t>
            </w:r>
            <w:r w:rsidRPr="004761E0">
              <w:rPr>
                <w:sz w:val="20"/>
                <w:szCs w:val="20"/>
              </w:rPr>
              <w:t xml:space="preserve"> </w:t>
            </w:r>
            <w:r w:rsidRPr="004761E0">
              <w:rPr>
                <w:rFonts w:eastAsia="Times New Roman"/>
                <w:color w:val="000000"/>
                <w:sz w:val="20"/>
                <w:szCs w:val="20"/>
                <w:u w:val="single"/>
                <w:lang w:eastAsia="ru-RU"/>
              </w:rPr>
              <w:t>9,19</w:t>
            </w:r>
            <w:r w:rsidR="00945CFD">
              <w:rPr>
                <w:rFonts w:eastAsia="Times New Roman"/>
                <w:color w:val="000000"/>
                <w:sz w:val="20"/>
                <w:szCs w:val="20"/>
                <w:u w:val="single"/>
                <w:lang w:eastAsia="ru-RU"/>
              </w:rPr>
              <w:t xml:space="preserve"> %</w:t>
            </w:r>
            <w:r w:rsidRPr="004761E0">
              <w:rPr>
                <w:rFonts w:eastAsia="Times New Roman"/>
                <w:color w:val="000000"/>
                <w:sz w:val="20"/>
                <w:szCs w:val="20"/>
                <w:lang w:eastAsia="ru-RU"/>
              </w:rPr>
              <w:t>.</w:t>
            </w:r>
          </w:p>
          <w:p w:rsidR="00A93A50" w:rsidRPr="004761E0" w:rsidRDefault="00A93A50" w:rsidP="00086514">
            <w:pPr>
              <w:pStyle w:val="afc"/>
              <w:spacing w:before="0" w:beforeAutospacing="0" w:after="0" w:afterAutospacing="0"/>
              <w:textAlignment w:val="baseline"/>
              <w:rPr>
                <w:sz w:val="20"/>
                <w:szCs w:val="20"/>
              </w:rPr>
            </w:pPr>
          </w:p>
        </w:tc>
        <w:tc>
          <w:tcPr>
            <w:tcW w:w="3685" w:type="dxa"/>
          </w:tcPr>
          <w:p w:rsidR="002A16D3" w:rsidRPr="004761E0" w:rsidRDefault="002A16D3" w:rsidP="002A16D3">
            <w:pPr>
              <w:pStyle w:val="afc"/>
              <w:spacing w:before="0" w:beforeAutospacing="0" w:after="0" w:afterAutospacing="0"/>
              <w:textAlignment w:val="baseline"/>
              <w:rPr>
                <w:b/>
                <w:color w:val="000000"/>
                <w:sz w:val="20"/>
                <w:szCs w:val="20"/>
              </w:rPr>
            </w:pPr>
            <w:r w:rsidRPr="004761E0">
              <w:rPr>
                <w:b/>
                <w:color w:val="000000"/>
                <w:sz w:val="20"/>
                <w:szCs w:val="20"/>
              </w:rPr>
              <w:t>Доля центров питания имеющих резерв мощности для технологического присоединения потребителей:</w:t>
            </w:r>
          </w:p>
          <w:p w:rsidR="002A16D3" w:rsidRPr="004761E0" w:rsidRDefault="002A16D3" w:rsidP="007076A7">
            <w:pPr>
              <w:pStyle w:val="a5"/>
              <w:widowControl w:val="0"/>
              <w:numPr>
                <w:ilvl w:val="0"/>
                <w:numId w:val="168"/>
              </w:numPr>
              <w:suppressAutoHyphens/>
              <w:ind w:left="391" w:hanging="391"/>
              <w:jc w:val="left"/>
              <w:rPr>
                <w:sz w:val="20"/>
                <w:szCs w:val="20"/>
              </w:rPr>
            </w:pPr>
            <w:r w:rsidRPr="004761E0">
              <w:rPr>
                <w:sz w:val="20"/>
                <w:szCs w:val="20"/>
              </w:rPr>
              <w:t xml:space="preserve">г. Москва: </w:t>
            </w:r>
            <w:r w:rsidRPr="004761E0">
              <w:rPr>
                <w:sz w:val="20"/>
                <w:szCs w:val="20"/>
                <w:u w:val="single"/>
              </w:rPr>
              <w:t>63</w:t>
            </w:r>
            <w:r w:rsidR="00945CFD">
              <w:rPr>
                <w:sz w:val="20"/>
                <w:szCs w:val="20"/>
                <w:u w:val="single"/>
              </w:rPr>
              <w:t xml:space="preserve"> %</w:t>
            </w:r>
            <w:r w:rsidRPr="004761E0">
              <w:rPr>
                <w:sz w:val="20"/>
                <w:szCs w:val="20"/>
              </w:rPr>
              <w:t>;</w:t>
            </w:r>
          </w:p>
          <w:p w:rsidR="002A16D3" w:rsidRPr="004761E0" w:rsidRDefault="002A16D3" w:rsidP="007076A7">
            <w:pPr>
              <w:pStyle w:val="a5"/>
              <w:widowControl w:val="0"/>
              <w:numPr>
                <w:ilvl w:val="0"/>
                <w:numId w:val="168"/>
              </w:numPr>
              <w:suppressAutoHyphens/>
              <w:ind w:left="391" w:hanging="391"/>
              <w:jc w:val="left"/>
              <w:rPr>
                <w:sz w:val="20"/>
                <w:szCs w:val="20"/>
              </w:rPr>
            </w:pPr>
            <w:r w:rsidRPr="004761E0">
              <w:rPr>
                <w:sz w:val="20"/>
                <w:szCs w:val="20"/>
              </w:rPr>
              <w:t xml:space="preserve">Московская область: </w:t>
            </w:r>
            <w:r w:rsidRPr="004761E0">
              <w:rPr>
                <w:sz w:val="20"/>
                <w:szCs w:val="20"/>
                <w:u w:val="single"/>
              </w:rPr>
              <w:t>67</w:t>
            </w:r>
            <w:r w:rsidR="00945CFD">
              <w:rPr>
                <w:sz w:val="20"/>
                <w:szCs w:val="20"/>
                <w:u w:val="single"/>
              </w:rPr>
              <w:t xml:space="preserve"> %</w:t>
            </w:r>
            <w:r w:rsidRPr="004761E0">
              <w:rPr>
                <w:sz w:val="20"/>
                <w:szCs w:val="20"/>
              </w:rPr>
              <w:t>.</w:t>
            </w:r>
          </w:p>
          <w:p w:rsidR="002A16D3" w:rsidRPr="004761E0" w:rsidRDefault="002A16D3" w:rsidP="002A16D3">
            <w:pPr>
              <w:widowControl w:val="0"/>
              <w:suppressAutoHyphens/>
              <w:jc w:val="left"/>
              <w:rPr>
                <w:sz w:val="20"/>
                <w:szCs w:val="20"/>
              </w:rPr>
            </w:pPr>
          </w:p>
          <w:p w:rsidR="002A16D3" w:rsidRPr="004761E0" w:rsidRDefault="002A16D3" w:rsidP="00945CFD">
            <w:pPr>
              <w:widowControl w:val="0"/>
              <w:suppressAutoHyphens/>
              <w:ind w:right="-187" w:firstLine="0"/>
              <w:jc w:val="left"/>
              <w:rPr>
                <w:sz w:val="20"/>
                <w:szCs w:val="20"/>
              </w:rPr>
            </w:pPr>
            <w:r w:rsidRPr="004761E0">
              <w:rPr>
                <w:b/>
                <w:color w:val="000000"/>
                <w:sz w:val="20"/>
                <w:szCs w:val="20"/>
              </w:rPr>
              <w:t>Общие потери электроэнергии при передаче:</w:t>
            </w:r>
            <w:r w:rsidRPr="004761E0">
              <w:rPr>
                <w:sz w:val="20"/>
                <w:szCs w:val="20"/>
              </w:rPr>
              <w:t xml:space="preserve"> </w:t>
            </w:r>
            <w:r w:rsidRPr="004761E0">
              <w:rPr>
                <w:color w:val="000000"/>
                <w:sz w:val="20"/>
                <w:szCs w:val="20"/>
                <w:u w:val="single"/>
              </w:rPr>
              <w:t>9,16</w:t>
            </w:r>
            <w:r w:rsidR="00945CFD">
              <w:rPr>
                <w:color w:val="000000"/>
                <w:sz w:val="20"/>
                <w:szCs w:val="20"/>
                <w:u w:val="single"/>
              </w:rPr>
              <w:t xml:space="preserve"> %</w:t>
            </w:r>
            <w:r w:rsidRPr="004761E0">
              <w:rPr>
                <w:color w:val="000000"/>
                <w:sz w:val="20"/>
                <w:szCs w:val="20"/>
                <w:u w:val="single"/>
              </w:rPr>
              <w:t>.</w:t>
            </w:r>
          </w:p>
        </w:tc>
      </w:tr>
      <w:tr w:rsidR="00A93A50" w:rsidRPr="004761E0" w:rsidTr="00733C41">
        <w:tc>
          <w:tcPr>
            <w:tcW w:w="568" w:type="dxa"/>
            <w:shd w:val="clear" w:color="auto" w:fill="D9D9D9"/>
          </w:tcPr>
          <w:p w:rsidR="00A93A50" w:rsidRPr="004761E0" w:rsidRDefault="00A93A50" w:rsidP="007076A7">
            <w:pPr>
              <w:pStyle w:val="a5"/>
              <w:widowControl w:val="0"/>
              <w:numPr>
                <w:ilvl w:val="0"/>
                <w:numId w:val="167"/>
              </w:numPr>
              <w:suppressAutoHyphens/>
              <w:ind w:left="34" w:firstLine="0"/>
              <w:jc w:val="left"/>
              <w:rPr>
                <w:sz w:val="20"/>
                <w:szCs w:val="20"/>
              </w:rPr>
            </w:pPr>
          </w:p>
        </w:tc>
        <w:tc>
          <w:tcPr>
            <w:tcW w:w="15592" w:type="dxa"/>
            <w:gridSpan w:val="3"/>
            <w:shd w:val="clear" w:color="auto" w:fill="D9D9D9"/>
          </w:tcPr>
          <w:p w:rsidR="00A93A50" w:rsidRPr="004761E0" w:rsidRDefault="00A93A50" w:rsidP="00086514">
            <w:pPr>
              <w:widowControl w:val="0"/>
              <w:suppressAutoHyphens/>
              <w:ind w:firstLine="0"/>
              <w:jc w:val="left"/>
              <w:rPr>
                <w:rFonts w:eastAsia="Times New Roman"/>
                <w:b/>
                <w:color w:val="000000"/>
                <w:sz w:val="20"/>
                <w:szCs w:val="20"/>
                <w:lang w:eastAsia="ru-RU"/>
              </w:rPr>
            </w:pPr>
            <w:r w:rsidRPr="004761E0">
              <w:rPr>
                <w:rFonts w:eastAsia="Times New Roman"/>
                <w:b/>
                <w:color w:val="000000"/>
                <w:sz w:val="20"/>
                <w:szCs w:val="20"/>
                <w:lang w:eastAsia="ru-RU"/>
              </w:rPr>
              <w:t>Направление: Ценность.</w:t>
            </w:r>
          </w:p>
          <w:p w:rsidR="00A93A50" w:rsidRPr="004761E0" w:rsidRDefault="00A93A50" w:rsidP="00086514">
            <w:pPr>
              <w:pStyle w:val="afc"/>
              <w:spacing w:before="0" w:beforeAutospacing="0" w:after="0" w:afterAutospacing="0"/>
              <w:textAlignment w:val="baseline"/>
              <w:rPr>
                <w:bCs/>
                <w:color w:val="000000"/>
                <w:kern w:val="24"/>
                <w:sz w:val="20"/>
                <w:szCs w:val="20"/>
              </w:rPr>
            </w:pPr>
            <w:r w:rsidRPr="004761E0">
              <w:rPr>
                <w:b/>
                <w:color w:val="000000"/>
                <w:sz w:val="20"/>
                <w:szCs w:val="20"/>
              </w:rPr>
              <w:t xml:space="preserve">Цель: </w:t>
            </w:r>
            <w:r w:rsidRPr="004761E0">
              <w:rPr>
                <w:b/>
                <w:sz w:val="20"/>
                <w:szCs w:val="20"/>
              </w:rPr>
              <w:t>Рост инвестиционной привлекательности и капитализации.</w:t>
            </w:r>
          </w:p>
        </w:tc>
      </w:tr>
      <w:tr w:rsidR="00A93A50" w:rsidRPr="004761E0" w:rsidTr="00733C41">
        <w:tc>
          <w:tcPr>
            <w:tcW w:w="568" w:type="dxa"/>
          </w:tcPr>
          <w:p w:rsidR="00A93A50" w:rsidRPr="004761E0" w:rsidRDefault="00A93A50" w:rsidP="00086514">
            <w:pPr>
              <w:widowControl w:val="0"/>
              <w:suppressAutoHyphens/>
              <w:ind w:left="142" w:firstLine="0"/>
              <w:jc w:val="left"/>
              <w:rPr>
                <w:sz w:val="20"/>
                <w:szCs w:val="20"/>
              </w:rPr>
            </w:pPr>
          </w:p>
        </w:tc>
        <w:tc>
          <w:tcPr>
            <w:tcW w:w="8222" w:type="dxa"/>
          </w:tcPr>
          <w:p w:rsidR="00A93A50" w:rsidRPr="004761E0" w:rsidRDefault="00A93A50" w:rsidP="00112A97">
            <w:pPr>
              <w:widowControl w:val="0"/>
              <w:suppressAutoHyphens/>
              <w:ind w:right="34" w:firstLine="0"/>
              <w:jc w:val="left"/>
              <w:rPr>
                <w:rFonts w:eastAsia="Times New Roman"/>
                <w:bCs/>
                <w:color w:val="000000"/>
                <w:kern w:val="24"/>
                <w:sz w:val="20"/>
                <w:szCs w:val="20"/>
                <w:lang w:eastAsia="ru-RU"/>
              </w:rPr>
            </w:pPr>
            <w:r w:rsidRPr="004761E0">
              <w:rPr>
                <w:rFonts w:eastAsia="Times New Roman"/>
                <w:bCs/>
                <w:color w:val="000000"/>
                <w:kern w:val="24"/>
                <w:sz w:val="20"/>
                <w:szCs w:val="20"/>
                <w:lang w:eastAsia="ru-RU"/>
              </w:rPr>
              <w:t>В 2013 году для повышения инвестиционной привлекательности Компания реализовала следующий комплекс мер</w:t>
            </w:r>
            <w:r w:rsidR="00E40D1F" w:rsidRPr="004761E0">
              <w:rPr>
                <w:rFonts w:eastAsia="Times New Roman"/>
                <w:bCs/>
                <w:color w:val="000000"/>
                <w:kern w:val="24"/>
                <w:sz w:val="20"/>
                <w:szCs w:val="20"/>
                <w:lang w:eastAsia="ru-RU"/>
              </w:rPr>
              <w:t>оприятий</w:t>
            </w:r>
            <w:r w:rsidRPr="004761E0">
              <w:rPr>
                <w:rFonts w:eastAsia="Times New Roman"/>
                <w:bCs/>
                <w:color w:val="000000"/>
                <w:kern w:val="24"/>
                <w:sz w:val="20"/>
                <w:szCs w:val="20"/>
                <w:lang w:eastAsia="ru-RU"/>
              </w:rPr>
              <w:t>:</w:t>
            </w:r>
          </w:p>
          <w:p w:rsidR="00A93A50" w:rsidRPr="004761E0" w:rsidRDefault="00A93A50" w:rsidP="007076A7">
            <w:pPr>
              <w:pStyle w:val="a5"/>
              <w:widowControl w:val="0"/>
              <w:numPr>
                <w:ilvl w:val="0"/>
                <w:numId w:val="168"/>
              </w:numPr>
              <w:suppressAutoHyphens/>
              <w:ind w:left="391" w:right="34" w:hanging="391"/>
              <w:contextualSpacing w:val="0"/>
              <w:jc w:val="left"/>
              <w:rPr>
                <w:color w:val="000000"/>
                <w:sz w:val="20"/>
                <w:szCs w:val="20"/>
              </w:rPr>
            </w:pPr>
            <w:r w:rsidRPr="004761E0">
              <w:rPr>
                <w:color w:val="000000"/>
                <w:sz w:val="20"/>
                <w:szCs w:val="20"/>
              </w:rPr>
              <w:t xml:space="preserve">сокращение </w:t>
            </w:r>
            <w:r w:rsidR="00E40D1F" w:rsidRPr="004761E0">
              <w:rPr>
                <w:color w:val="000000"/>
                <w:sz w:val="20"/>
                <w:szCs w:val="20"/>
              </w:rPr>
              <w:t xml:space="preserve">подконтрольных операционных затрат </w:t>
            </w:r>
            <w:r w:rsidRPr="004761E0">
              <w:rPr>
                <w:color w:val="000000"/>
                <w:sz w:val="20"/>
                <w:szCs w:val="20"/>
              </w:rPr>
              <w:t xml:space="preserve">в размере </w:t>
            </w:r>
            <w:r w:rsidR="00605A52">
              <w:rPr>
                <w:color w:val="000000"/>
                <w:sz w:val="20"/>
                <w:szCs w:val="20"/>
              </w:rPr>
              <w:t>10,8</w:t>
            </w:r>
            <w:r w:rsidRPr="004761E0">
              <w:rPr>
                <w:color w:val="000000"/>
                <w:sz w:val="20"/>
                <w:szCs w:val="20"/>
              </w:rPr>
              <w:t xml:space="preserve"> % от уровня 2010 года; </w:t>
            </w:r>
          </w:p>
          <w:p w:rsidR="00A93A50" w:rsidRPr="004761E0" w:rsidRDefault="00A93A50" w:rsidP="007076A7">
            <w:pPr>
              <w:pStyle w:val="a5"/>
              <w:widowControl w:val="0"/>
              <w:numPr>
                <w:ilvl w:val="0"/>
                <w:numId w:val="168"/>
              </w:numPr>
              <w:suppressAutoHyphens/>
              <w:ind w:left="391" w:right="34" w:hanging="391"/>
              <w:contextualSpacing w:val="0"/>
              <w:jc w:val="left"/>
              <w:rPr>
                <w:color w:val="000000"/>
                <w:sz w:val="20"/>
                <w:szCs w:val="20"/>
              </w:rPr>
            </w:pPr>
            <w:r w:rsidRPr="004761E0">
              <w:rPr>
                <w:color w:val="000000"/>
                <w:sz w:val="20"/>
                <w:szCs w:val="20"/>
              </w:rPr>
              <w:t>получение дополнительных доходов за счет оказания услуг потребителям в нерегулируемых сегментах рынка;</w:t>
            </w:r>
          </w:p>
          <w:p w:rsidR="00802A86" w:rsidRPr="00802A86" w:rsidRDefault="00802A86" w:rsidP="007076A7">
            <w:pPr>
              <w:pStyle w:val="a5"/>
              <w:widowControl w:val="0"/>
              <w:numPr>
                <w:ilvl w:val="0"/>
                <w:numId w:val="168"/>
              </w:numPr>
              <w:suppressAutoHyphens/>
              <w:ind w:left="391" w:right="34" w:hanging="391"/>
              <w:contextualSpacing w:val="0"/>
              <w:jc w:val="left"/>
              <w:rPr>
                <w:color w:val="000000"/>
                <w:sz w:val="20"/>
                <w:szCs w:val="20"/>
              </w:rPr>
            </w:pPr>
            <w:r w:rsidRPr="00802A86">
              <w:rPr>
                <w:color w:val="000000"/>
                <w:sz w:val="20"/>
                <w:szCs w:val="20"/>
              </w:rPr>
              <w:t xml:space="preserve">консолидация электросетевого имущества и получение имущества  в рамках компенсации потерь в объеме 4 681 </w:t>
            </w:r>
            <w:proofErr w:type="gramStart"/>
            <w:r w:rsidRPr="00802A86">
              <w:rPr>
                <w:color w:val="000000"/>
                <w:sz w:val="20"/>
                <w:szCs w:val="20"/>
              </w:rPr>
              <w:t>млн</w:t>
            </w:r>
            <w:proofErr w:type="gramEnd"/>
            <w:r w:rsidRPr="00802A86">
              <w:rPr>
                <w:color w:val="000000"/>
                <w:sz w:val="20"/>
                <w:szCs w:val="20"/>
              </w:rPr>
              <w:t xml:space="preserve"> руб.</w:t>
            </w:r>
          </w:p>
          <w:p w:rsidR="00A93A50" w:rsidRPr="004761E0" w:rsidRDefault="00A93A50" w:rsidP="007076A7">
            <w:pPr>
              <w:pStyle w:val="a5"/>
              <w:widowControl w:val="0"/>
              <w:numPr>
                <w:ilvl w:val="0"/>
                <w:numId w:val="168"/>
              </w:numPr>
              <w:tabs>
                <w:tab w:val="left" w:pos="5285"/>
              </w:tabs>
              <w:suppressAutoHyphens/>
              <w:ind w:left="391" w:right="34" w:hanging="391"/>
              <w:contextualSpacing w:val="0"/>
              <w:rPr>
                <w:color w:val="000000"/>
                <w:sz w:val="20"/>
                <w:szCs w:val="20"/>
              </w:rPr>
            </w:pPr>
            <w:r w:rsidRPr="004761E0">
              <w:rPr>
                <w:color w:val="000000"/>
                <w:sz w:val="20"/>
                <w:szCs w:val="20"/>
              </w:rPr>
              <w:t>увеличен</w:t>
            </w:r>
            <w:r w:rsidR="00E40D1F" w:rsidRPr="004761E0">
              <w:rPr>
                <w:color w:val="000000"/>
                <w:sz w:val="20"/>
                <w:szCs w:val="20"/>
              </w:rPr>
              <w:t>ие</w:t>
            </w:r>
            <w:r w:rsidRPr="004761E0">
              <w:rPr>
                <w:color w:val="000000"/>
                <w:sz w:val="20"/>
                <w:szCs w:val="20"/>
              </w:rPr>
              <w:t xml:space="preserve"> количеств</w:t>
            </w:r>
            <w:r w:rsidR="00E40D1F" w:rsidRPr="004761E0">
              <w:rPr>
                <w:color w:val="000000"/>
                <w:sz w:val="20"/>
                <w:szCs w:val="20"/>
              </w:rPr>
              <w:t>а</w:t>
            </w:r>
            <w:r w:rsidRPr="004761E0">
              <w:rPr>
                <w:color w:val="000000"/>
                <w:sz w:val="20"/>
                <w:szCs w:val="20"/>
              </w:rPr>
              <w:t xml:space="preserve"> проводимых встреч и других форм коммуникаций с представителями инвестиционного сообщества, качеств</w:t>
            </w:r>
            <w:r w:rsidR="00E40D1F" w:rsidRPr="004761E0">
              <w:rPr>
                <w:color w:val="000000"/>
                <w:sz w:val="20"/>
                <w:szCs w:val="20"/>
              </w:rPr>
              <w:t>а</w:t>
            </w:r>
            <w:r w:rsidRPr="004761E0">
              <w:rPr>
                <w:color w:val="000000"/>
                <w:sz w:val="20"/>
                <w:szCs w:val="20"/>
              </w:rPr>
              <w:t xml:space="preserve"> раскрываемой информации в разделе «Акционерам и инвесторам» корпоративного сайта Общества</w:t>
            </w:r>
            <w:r w:rsidR="00E40D1F" w:rsidRPr="004761E0">
              <w:rPr>
                <w:color w:val="000000"/>
                <w:sz w:val="20"/>
                <w:szCs w:val="20"/>
              </w:rPr>
              <w:t>.</w:t>
            </w:r>
          </w:p>
          <w:p w:rsidR="00F820D9" w:rsidRPr="004761E0" w:rsidRDefault="00F820D9" w:rsidP="00E7117F">
            <w:pPr>
              <w:widowControl w:val="0"/>
              <w:suppressAutoHyphens/>
              <w:ind w:firstLine="0"/>
              <w:rPr>
                <w:sz w:val="20"/>
                <w:szCs w:val="20"/>
              </w:rPr>
            </w:pPr>
            <w:r w:rsidRPr="004761E0">
              <w:rPr>
                <w:sz w:val="20"/>
                <w:szCs w:val="20"/>
              </w:rPr>
              <w:t>Более подробно о мероприятиях и результатах в направлении повышения инвестиционной привлекательности описано в разделе «Основные результаты финансово-экономической деятельности»</w:t>
            </w:r>
            <w:r w:rsidR="00E40D1F" w:rsidRPr="004761E0">
              <w:rPr>
                <w:sz w:val="20"/>
                <w:szCs w:val="20"/>
              </w:rPr>
              <w:t xml:space="preserve"> и «корпоративное управление».</w:t>
            </w:r>
          </w:p>
          <w:p w:rsidR="00F820D9" w:rsidRPr="004761E0" w:rsidRDefault="00F820D9" w:rsidP="00E7117F">
            <w:pPr>
              <w:widowControl w:val="0"/>
              <w:suppressAutoHyphens/>
              <w:ind w:right="34" w:firstLine="0"/>
              <w:rPr>
                <w:rFonts w:eastAsia="Times New Roman"/>
                <w:bCs/>
                <w:color w:val="000000"/>
                <w:kern w:val="24"/>
                <w:sz w:val="20"/>
                <w:szCs w:val="20"/>
                <w:lang w:eastAsia="ru-RU"/>
              </w:rPr>
            </w:pPr>
          </w:p>
          <w:p w:rsidR="00A93A50" w:rsidRPr="004761E0" w:rsidRDefault="00A93A50" w:rsidP="00E7117F">
            <w:pPr>
              <w:widowControl w:val="0"/>
              <w:suppressAutoHyphens/>
              <w:ind w:right="34" w:firstLine="0"/>
              <w:rPr>
                <w:rFonts w:eastAsia="Times New Roman"/>
                <w:bCs/>
                <w:color w:val="000000"/>
                <w:kern w:val="24"/>
                <w:sz w:val="20"/>
                <w:szCs w:val="20"/>
                <w:lang w:eastAsia="ru-RU"/>
              </w:rPr>
            </w:pPr>
            <w:r w:rsidRPr="004761E0">
              <w:rPr>
                <w:rFonts w:eastAsia="Times New Roman"/>
                <w:bCs/>
                <w:color w:val="000000"/>
                <w:kern w:val="24"/>
                <w:sz w:val="20"/>
                <w:szCs w:val="20"/>
                <w:lang w:eastAsia="ru-RU"/>
              </w:rPr>
              <w:t>В качестве дальнейших шагов, направленных на повышение инвестиционной привлекательности и ценности Компании, планируется осуществление следующих мероприятий:</w:t>
            </w:r>
          </w:p>
          <w:p w:rsidR="00A93A50" w:rsidRPr="004761E0" w:rsidRDefault="00A93A50" w:rsidP="007076A7">
            <w:pPr>
              <w:pStyle w:val="a5"/>
              <w:widowControl w:val="0"/>
              <w:numPr>
                <w:ilvl w:val="0"/>
                <w:numId w:val="168"/>
              </w:numPr>
              <w:suppressAutoHyphens/>
              <w:ind w:left="391" w:right="34" w:hanging="391"/>
              <w:contextualSpacing w:val="0"/>
              <w:rPr>
                <w:color w:val="000000"/>
                <w:sz w:val="20"/>
                <w:szCs w:val="20"/>
              </w:rPr>
            </w:pPr>
            <w:r w:rsidRPr="004761E0">
              <w:rPr>
                <w:color w:val="000000"/>
                <w:sz w:val="20"/>
                <w:szCs w:val="20"/>
              </w:rPr>
              <w:t>реализации Программы снижения издержек и повышения операционной эффективности. Снижение подконтрольных затрат на 1</w:t>
            </w:r>
            <w:r w:rsidR="001B0E89">
              <w:rPr>
                <w:color w:val="000000"/>
                <w:sz w:val="20"/>
                <w:szCs w:val="20"/>
              </w:rPr>
              <w:t>5</w:t>
            </w:r>
            <w:r w:rsidRPr="004761E0">
              <w:rPr>
                <w:color w:val="000000"/>
                <w:sz w:val="20"/>
                <w:szCs w:val="20"/>
              </w:rPr>
              <w:t xml:space="preserve"> % в течение 3-х лет;</w:t>
            </w:r>
          </w:p>
          <w:p w:rsidR="00A93A50" w:rsidRPr="004761E0" w:rsidRDefault="00A93A50" w:rsidP="007076A7">
            <w:pPr>
              <w:pStyle w:val="a5"/>
              <w:widowControl w:val="0"/>
              <w:numPr>
                <w:ilvl w:val="0"/>
                <w:numId w:val="168"/>
              </w:numPr>
              <w:suppressAutoHyphens/>
              <w:ind w:left="391" w:right="34" w:hanging="391"/>
              <w:contextualSpacing w:val="0"/>
              <w:rPr>
                <w:color w:val="000000"/>
                <w:sz w:val="20"/>
                <w:szCs w:val="20"/>
              </w:rPr>
            </w:pPr>
            <w:r w:rsidRPr="004761E0">
              <w:rPr>
                <w:color w:val="000000"/>
                <w:sz w:val="20"/>
                <w:szCs w:val="20"/>
              </w:rPr>
              <w:t>разработка и реализация долгосрочной Программы мероприятий по консолидации электросетевых активов;</w:t>
            </w:r>
          </w:p>
          <w:p w:rsidR="00A93A50" w:rsidRPr="004761E0" w:rsidRDefault="00A93A50" w:rsidP="007076A7">
            <w:pPr>
              <w:pStyle w:val="a5"/>
              <w:widowControl w:val="0"/>
              <w:numPr>
                <w:ilvl w:val="0"/>
                <w:numId w:val="168"/>
              </w:numPr>
              <w:suppressAutoHyphens/>
              <w:ind w:left="391" w:right="34" w:hanging="391"/>
              <w:contextualSpacing w:val="0"/>
              <w:rPr>
                <w:color w:val="000000"/>
                <w:sz w:val="20"/>
                <w:szCs w:val="20"/>
              </w:rPr>
            </w:pPr>
            <w:r w:rsidRPr="004761E0">
              <w:rPr>
                <w:color w:val="000000"/>
                <w:sz w:val="20"/>
                <w:szCs w:val="20"/>
              </w:rPr>
              <w:t>получение электросетевых активов в счет компенсации потерь в размере 2</w:t>
            </w:r>
            <w:r w:rsidR="00831EA8" w:rsidRPr="004761E0">
              <w:rPr>
                <w:color w:val="000000"/>
                <w:sz w:val="20"/>
                <w:szCs w:val="20"/>
              </w:rPr>
              <w:t xml:space="preserve"> </w:t>
            </w:r>
            <w:proofErr w:type="gramStart"/>
            <w:r w:rsidRPr="004761E0">
              <w:rPr>
                <w:color w:val="000000"/>
                <w:sz w:val="20"/>
                <w:szCs w:val="20"/>
              </w:rPr>
              <w:t>мл</w:t>
            </w:r>
            <w:r w:rsidR="00831EA8" w:rsidRPr="004761E0">
              <w:rPr>
                <w:color w:val="000000"/>
                <w:sz w:val="20"/>
                <w:szCs w:val="20"/>
              </w:rPr>
              <w:t>рд</w:t>
            </w:r>
            <w:proofErr w:type="gramEnd"/>
            <w:r w:rsidR="00E40D1F" w:rsidRPr="004761E0">
              <w:rPr>
                <w:color w:val="000000"/>
                <w:sz w:val="20"/>
                <w:szCs w:val="20"/>
              </w:rPr>
              <w:t xml:space="preserve"> </w:t>
            </w:r>
            <w:r w:rsidRPr="004761E0">
              <w:rPr>
                <w:color w:val="000000"/>
                <w:sz w:val="20"/>
                <w:szCs w:val="20"/>
              </w:rPr>
              <w:t>руб.;</w:t>
            </w:r>
          </w:p>
          <w:p w:rsidR="00A93A50" w:rsidRPr="004761E0" w:rsidRDefault="00A93A50" w:rsidP="007076A7">
            <w:pPr>
              <w:pStyle w:val="a5"/>
              <w:widowControl w:val="0"/>
              <w:numPr>
                <w:ilvl w:val="0"/>
                <w:numId w:val="168"/>
              </w:numPr>
              <w:suppressAutoHyphens/>
              <w:ind w:left="391" w:right="34" w:hanging="391"/>
              <w:contextualSpacing w:val="0"/>
              <w:rPr>
                <w:color w:val="000000"/>
                <w:sz w:val="20"/>
                <w:szCs w:val="20"/>
              </w:rPr>
            </w:pPr>
            <w:r w:rsidRPr="004761E0">
              <w:rPr>
                <w:color w:val="000000"/>
                <w:sz w:val="20"/>
                <w:szCs w:val="20"/>
              </w:rPr>
              <w:t xml:space="preserve">безвозмездное получение электросетевых активов в размере 500 </w:t>
            </w:r>
            <w:proofErr w:type="gramStart"/>
            <w:r w:rsidRPr="004761E0">
              <w:rPr>
                <w:color w:val="000000"/>
                <w:sz w:val="20"/>
                <w:szCs w:val="20"/>
              </w:rPr>
              <w:t>млн</w:t>
            </w:r>
            <w:proofErr w:type="gramEnd"/>
            <w:r w:rsidR="00E40D1F" w:rsidRPr="004761E0">
              <w:rPr>
                <w:color w:val="000000"/>
                <w:sz w:val="20"/>
                <w:szCs w:val="20"/>
              </w:rPr>
              <w:t xml:space="preserve"> </w:t>
            </w:r>
            <w:r w:rsidRPr="004761E0">
              <w:rPr>
                <w:color w:val="000000"/>
                <w:sz w:val="20"/>
                <w:szCs w:val="20"/>
              </w:rPr>
              <w:t>руб.</w:t>
            </w:r>
          </w:p>
          <w:p w:rsidR="00A93A50" w:rsidRPr="004761E0" w:rsidRDefault="00A93A50" w:rsidP="007076A7">
            <w:pPr>
              <w:pStyle w:val="a5"/>
              <w:widowControl w:val="0"/>
              <w:numPr>
                <w:ilvl w:val="0"/>
                <w:numId w:val="168"/>
              </w:numPr>
              <w:suppressAutoHyphens/>
              <w:ind w:left="391" w:right="34" w:hanging="391"/>
              <w:contextualSpacing w:val="0"/>
              <w:rPr>
                <w:color w:val="000000"/>
                <w:sz w:val="20"/>
                <w:szCs w:val="20"/>
              </w:rPr>
            </w:pPr>
            <w:r w:rsidRPr="004761E0">
              <w:rPr>
                <w:color w:val="000000"/>
                <w:sz w:val="20"/>
                <w:szCs w:val="20"/>
              </w:rPr>
              <w:t xml:space="preserve">снижения удельных затрат на капитальное строительство </w:t>
            </w:r>
            <w:r w:rsidR="00831EA8" w:rsidRPr="004761E0">
              <w:rPr>
                <w:color w:val="000000"/>
                <w:sz w:val="20"/>
                <w:szCs w:val="20"/>
              </w:rPr>
              <w:t xml:space="preserve">электросетевых объектов </w:t>
            </w:r>
            <w:r w:rsidRPr="004761E0">
              <w:rPr>
                <w:color w:val="000000"/>
                <w:sz w:val="20"/>
                <w:szCs w:val="20"/>
              </w:rPr>
              <w:t>к 2015 году на 15 %;</w:t>
            </w:r>
          </w:p>
          <w:p w:rsidR="00A93A50" w:rsidRPr="004761E0" w:rsidRDefault="00A93A50" w:rsidP="007076A7">
            <w:pPr>
              <w:pStyle w:val="a5"/>
              <w:widowControl w:val="0"/>
              <w:numPr>
                <w:ilvl w:val="0"/>
                <w:numId w:val="168"/>
              </w:numPr>
              <w:suppressAutoHyphens/>
              <w:ind w:left="391" w:right="34" w:hanging="391"/>
              <w:contextualSpacing w:val="0"/>
              <w:rPr>
                <w:sz w:val="20"/>
                <w:szCs w:val="20"/>
              </w:rPr>
            </w:pPr>
            <w:r w:rsidRPr="004761E0">
              <w:rPr>
                <w:color w:val="000000"/>
                <w:sz w:val="20"/>
                <w:szCs w:val="20"/>
              </w:rPr>
              <w:t>расширение бизнеса на нерегулируемых рынках</w:t>
            </w:r>
            <w:r w:rsidR="00831EA8" w:rsidRPr="004761E0">
              <w:rPr>
                <w:color w:val="000000"/>
                <w:sz w:val="20"/>
                <w:szCs w:val="20"/>
              </w:rPr>
              <w:t>.</w:t>
            </w:r>
          </w:p>
        </w:tc>
        <w:tc>
          <w:tcPr>
            <w:tcW w:w="3685" w:type="dxa"/>
            <w:shd w:val="clear" w:color="auto" w:fill="auto"/>
          </w:tcPr>
          <w:p w:rsidR="00F820D9" w:rsidRPr="004761E0" w:rsidRDefault="00F820D9" w:rsidP="00F820D9">
            <w:pPr>
              <w:pStyle w:val="afc"/>
              <w:spacing w:before="0" w:beforeAutospacing="0" w:after="0" w:afterAutospacing="0"/>
              <w:textAlignment w:val="baseline"/>
              <w:rPr>
                <w:color w:val="000000"/>
                <w:sz w:val="20"/>
                <w:szCs w:val="20"/>
              </w:rPr>
            </w:pPr>
            <w:r w:rsidRPr="004761E0">
              <w:rPr>
                <w:b/>
                <w:bCs/>
                <w:color w:val="000000"/>
                <w:kern w:val="24"/>
                <w:sz w:val="20"/>
                <w:szCs w:val="20"/>
              </w:rPr>
              <w:t>Удельные эксплуатационные затраты</w:t>
            </w:r>
            <w:r w:rsidR="002B1CBF" w:rsidRPr="002B1CBF">
              <w:rPr>
                <w:b/>
                <w:bCs/>
                <w:color w:val="000000"/>
                <w:kern w:val="24"/>
                <w:sz w:val="20"/>
                <w:szCs w:val="20"/>
              </w:rPr>
              <w:t xml:space="preserve"> </w:t>
            </w:r>
            <w:r w:rsidR="002B1CBF">
              <w:rPr>
                <w:b/>
                <w:bCs/>
                <w:color w:val="000000"/>
                <w:kern w:val="24"/>
                <w:sz w:val="20"/>
                <w:szCs w:val="20"/>
              </w:rPr>
              <w:t>на 1</w:t>
            </w:r>
            <w:r w:rsidRPr="004761E0">
              <w:rPr>
                <w:b/>
                <w:bCs/>
                <w:color w:val="000000"/>
                <w:kern w:val="24"/>
                <w:sz w:val="20"/>
                <w:szCs w:val="20"/>
              </w:rPr>
              <w:t xml:space="preserve"> у.е.:</w:t>
            </w:r>
            <w:r w:rsidRPr="004761E0">
              <w:rPr>
                <w:sz w:val="20"/>
                <w:szCs w:val="20"/>
              </w:rPr>
              <w:t xml:space="preserve"> </w:t>
            </w:r>
            <w:r w:rsidRPr="004761E0">
              <w:rPr>
                <w:color w:val="000000"/>
                <w:sz w:val="20"/>
                <w:szCs w:val="20"/>
                <w:u w:val="single"/>
              </w:rPr>
              <w:t>18,70</w:t>
            </w:r>
            <w:r w:rsidR="002B1CBF">
              <w:rPr>
                <w:color w:val="000000"/>
                <w:sz w:val="20"/>
                <w:szCs w:val="20"/>
                <w:u w:val="single"/>
              </w:rPr>
              <w:t xml:space="preserve"> тыс. руб.</w:t>
            </w:r>
            <w:r w:rsidRPr="004761E0">
              <w:rPr>
                <w:color w:val="000000"/>
                <w:sz w:val="20"/>
                <w:szCs w:val="20"/>
              </w:rPr>
              <w:t>;</w:t>
            </w:r>
          </w:p>
          <w:p w:rsidR="00F820D9" w:rsidRPr="004761E0" w:rsidRDefault="00F820D9" w:rsidP="00F820D9">
            <w:pPr>
              <w:pStyle w:val="afc"/>
              <w:spacing w:before="0" w:beforeAutospacing="0" w:after="0" w:afterAutospacing="0"/>
              <w:textAlignment w:val="baseline"/>
              <w:rPr>
                <w:color w:val="000000"/>
                <w:sz w:val="20"/>
                <w:szCs w:val="20"/>
              </w:rPr>
            </w:pPr>
          </w:p>
          <w:p w:rsidR="00F820D9" w:rsidRPr="004761E0" w:rsidRDefault="00F820D9" w:rsidP="00F820D9">
            <w:pPr>
              <w:pStyle w:val="afc"/>
              <w:spacing w:before="0" w:beforeAutospacing="0" w:after="0" w:afterAutospacing="0"/>
              <w:textAlignment w:val="baseline"/>
              <w:rPr>
                <w:color w:val="000000"/>
                <w:sz w:val="20"/>
                <w:szCs w:val="20"/>
              </w:rPr>
            </w:pPr>
            <w:r w:rsidRPr="004761E0">
              <w:rPr>
                <w:b/>
                <w:color w:val="000000"/>
                <w:sz w:val="20"/>
                <w:szCs w:val="20"/>
              </w:rPr>
              <w:t>Кредитный рейтинг:</w:t>
            </w:r>
            <w:r w:rsidRPr="004761E0">
              <w:rPr>
                <w:sz w:val="20"/>
                <w:szCs w:val="20"/>
              </w:rPr>
              <w:t xml:space="preserve"> </w:t>
            </w:r>
            <w:r w:rsidRPr="004761E0">
              <w:rPr>
                <w:color w:val="000000"/>
                <w:sz w:val="20"/>
                <w:szCs w:val="20"/>
                <w:u w:val="single"/>
              </w:rPr>
              <w:t>BB</w:t>
            </w:r>
            <w:r w:rsidRPr="004761E0">
              <w:rPr>
                <w:color w:val="000000"/>
                <w:sz w:val="20"/>
                <w:szCs w:val="20"/>
              </w:rPr>
              <w:t>.</w:t>
            </w:r>
          </w:p>
          <w:p w:rsidR="00A93A50" w:rsidRPr="004761E0" w:rsidRDefault="00A93A50" w:rsidP="00F820D9">
            <w:pPr>
              <w:widowControl w:val="0"/>
              <w:suppressAutoHyphens/>
              <w:ind w:firstLine="0"/>
              <w:jc w:val="left"/>
              <w:textAlignment w:val="baseline"/>
              <w:rPr>
                <w:bCs/>
                <w:color w:val="000000"/>
                <w:kern w:val="24"/>
                <w:sz w:val="20"/>
                <w:szCs w:val="20"/>
              </w:rPr>
            </w:pPr>
          </w:p>
        </w:tc>
        <w:tc>
          <w:tcPr>
            <w:tcW w:w="3685" w:type="dxa"/>
          </w:tcPr>
          <w:p w:rsidR="00F820D9" w:rsidRPr="004761E0" w:rsidRDefault="00F820D9" w:rsidP="00F820D9">
            <w:pPr>
              <w:pStyle w:val="afc"/>
              <w:spacing w:before="0" w:beforeAutospacing="0" w:after="0" w:afterAutospacing="0"/>
              <w:textAlignment w:val="baseline"/>
              <w:rPr>
                <w:color w:val="000000"/>
                <w:sz w:val="20"/>
                <w:szCs w:val="20"/>
              </w:rPr>
            </w:pPr>
            <w:r w:rsidRPr="004761E0">
              <w:rPr>
                <w:b/>
                <w:bCs/>
                <w:color w:val="000000"/>
                <w:kern w:val="24"/>
                <w:sz w:val="20"/>
                <w:szCs w:val="20"/>
              </w:rPr>
              <w:t>Удельные эксплуатационные затраты</w:t>
            </w:r>
            <w:r w:rsidR="002B1CBF">
              <w:rPr>
                <w:b/>
                <w:bCs/>
                <w:color w:val="000000"/>
                <w:kern w:val="24"/>
                <w:sz w:val="20"/>
                <w:szCs w:val="20"/>
              </w:rPr>
              <w:t xml:space="preserve"> на</w:t>
            </w:r>
            <w:r w:rsidRPr="004761E0">
              <w:rPr>
                <w:b/>
                <w:bCs/>
                <w:color w:val="000000"/>
                <w:kern w:val="24"/>
                <w:sz w:val="20"/>
                <w:szCs w:val="20"/>
              </w:rPr>
              <w:t xml:space="preserve"> 1 у.е.:</w:t>
            </w:r>
            <w:r w:rsidRPr="004761E0">
              <w:rPr>
                <w:sz w:val="20"/>
                <w:szCs w:val="20"/>
              </w:rPr>
              <w:t xml:space="preserve"> </w:t>
            </w:r>
            <w:r w:rsidRPr="004761E0">
              <w:rPr>
                <w:color w:val="000000"/>
                <w:sz w:val="20"/>
                <w:szCs w:val="20"/>
                <w:u w:val="single"/>
              </w:rPr>
              <w:t>17,49</w:t>
            </w:r>
            <w:r w:rsidR="002B1CBF">
              <w:rPr>
                <w:color w:val="000000"/>
                <w:sz w:val="20"/>
                <w:szCs w:val="20"/>
                <w:u w:val="single"/>
              </w:rPr>
              <w:t xml:space="preserve"> тыс. руб.</w:t>
            </w:r>
            <w:r w:rsidRPr="004761E0">
              <w:rPr>
                <w:color w:val="000000"/>
                <w:sz w:val="20"/>
                <w:szCs w:val="20"/>
              </w:rPr>
              <w:t>;</w:t>
            </w:r>
          </w:p>
          <w:p w:rsidR="00F820D9" w:rsidRPr="004761E0" w:rsidRDefault="00F820D9" w:rsidP="00F820D9">
            <w:pPr>
              <w:pStyle w:val="afc"/>
              <w:spacing w:before="0" w:beforeAutospacing="0" w:after="0" w:afterAutospacing="0"/>
              <w:textAlignment w:val="baseline"/>
              <w:rPr>
                <w:color w:val="000000"/>
                <w:sz w:val="20"/>
                <w:szCs w:val="20"/>
              </w:rPr>
            </w:pPr>
          </w:p>
          <w:p w:rsidR="00F820D9" w:rsidRPr="004761E0" w:rsidRDefault="00F820D9" w:rsidP="00F820D9">
            <w:pPr>
              <w:pStyle w:val="afc"/>
              <w:spacing w:before="0" w:beforeAutospacing="0" w:after="0" w:afterAutospacing="0"/>
              <w:textAlignment w:val="baseline"/>
              <w:rPr>
                <w:b/>
                <w:sz w:val="20"/>
                <w:szCs w:val="20"/>
              </w:rPr>
            </w:pPr>
            <w:r w:rsidRPr="004761E0">
              <w:rPr>
                <w:b/>
                <w:color w:val="000000"/>
                <w:sz w:val="20"/>
                <w:szCs w:val="20"/>
              </w:rPr>
              <w:t>Кредитный рейтинг:</w:t>
            </w:r>
            <w:r w:rsidRPr="004761E0">
              <w:rPr>
                <w:b/>
                <w:sz w:val="20"/>
                <w:szCs w:val="20"/>
              </w:rPr>
              <w:t xml:space="preserve"> </w:t>
            </w:r>
          </w:p>
          <w:p w:rsidR="00F820D9" w:rsidRPr="002B1CBF" w:rsidRDefault="00F820D9" w:rsidP="007076A7">
            <w:pPr>
              <w:pStyle w:val="a5"/>
              <w:widowControl w:val="0"/>
              <w:numPr>
                <w:ilvl w:val="0"/>
                <w:numId w:val="168"/>
              </w:numPr>
              <w:suppressAutoHyphens/>
              <w:ind w:left="391" w:hanging="391"/>
              <w:jc w:val="left"/>
              <w:rPr>
                <w:sz w:val="20"/>
                <w:szCs w:val="20"/>
                <w:u w:val="single"/>
              </w:rPr>
            </w:pPr>
            <w:r w:rsidRPr="002B1CBF">
              <w:rPr>
                <w:sz w:val="20"/>
                <w:szCs w:val="20"/>
                <w:u w:val="single"/>
              </w:rPr>
              <w:t>FitchRatings В</w:t>
            </w:r>
            <w:proofErr w:type="gramStart"/>
            <w:r w:rsidRPr="002B1CBF">
              <w:rPr>
                <w:sz w:val="20"/>
                <w:szCs w:val="20"/>
                <w:u w:val="single"/>
              </w:rPr>
              <w:t>B</w:t>
            </w:r>
            <w:proofErr w:type="gramEnd"/>
            <w:r w:rsidRPr="002B1CBF">
              <w:rPr>
                <w:sz w:val="20"/>
                <w:szCs w:val="20"/>
                <w:u w:val="single"/>
              </w:rPr>
              <w:t xml:space="preserve">+ прогноз стабильный; </w:t>
            </w:r>
          </w:p>
          <w:p w:rsidR="00F820D9" w:rsidRPr="002B1CBF" w:rsidRDefault="00F820D9" w:rsidP="007076A7">
            <w:pPr>
              <w:pStyle w:val="a5"/>
              <w:widowControl w:val="0"/>
              <w:numPr>
                <w:ilvl w:val="0"/>
                <w:numId w:val="168"/>
              </w:numPr>
              <w:suppressAutoHyphens/>
              <w:ind w:left="391" w:hanging="391"/>
              <w:jc w:val="left"/>
              <w:rPr>
                <w:sz w:val="20"/>
                <w:szCs w:val="20"/>
                <w:u w:val="single"/>
              </w:rPr>
            </w:pPr>
            <w:r w:rsidRPr="002B1CBF">
              <w:rPr>
                <w:sz w:val="20"/>
                <w:szCs w:val="20"/>
                <w:u w:val="single"/>
              </w:rPr>
              <w:t xml:space="preserve">S&amp;P </w:t>
            </w:r>
            <w:proofErr w:type="gramStart"/>
            <w:r w:rsidRPr="002B1CBF">
              <w:rPr>
                <w:sz w:val="20"/>
                <w:szCs w:val="20"/>
                <w:u w:val="single"/>
              </w:rPr>
              <w:t>ВВ</w:t>
            </w:r>
            <w:proofErr w:type="gramEnd"/>
            <w:r w:rsidRPr="002B1CBF">
              <w:rPr>
                <w:sz w:val="20"/>
                <w:szCs w:val="20"/>
                <w:u w:val="single"/>
              </w:rPr>
              <w:t xml:space="preserve"> прогноз стабильный; </w:t>
            </w:r>
          </w:p>
          <w:p w:rsidR="00A93A50" w:rsidRPr="004761E0" w:rsidRDefault="00F820D9" w:rsidP="007076A7">
            <w:pPr>
              <w:pStyle w:val="a5"/>
              <w:widowControl w:val="0"/>
              <w:numPr>
                <w:ilvl w:val="0"/>
                <w:numId w:val="168"/>
              </w:numPr>
              <w:suppressAutoHyphens/>
              <w:ind w:left="391" w:hanging="391"/>
              <w:jc w:val="left"/>
              <w:rPr>
                <w:color w:val="000000"/>
                <w:sz w:val="20"/>
                <w:szCs w:val="20"/>
              </w:rPr>
            </w:pPr>
            <w:r w:rsidRPr="002B1CBF">
              <w:rPr>
                <w:sz w:val="20"/>
                <w:szCs w:val="20"/>
                <w:u w:val="single"/>
              </w:rPr>
              <w:t>Moody's Ва</w:t>
            </w:r>
            <w:proofErr w:type="gramStart"/>
            <w:r w:rsidRPr="002B1CBF">
              <w:rPr>
                <w:sz w:val="20"/>
                <w:szCs w:val="20"/>
                <w:u w:val="single"/>
              </w:rPr>
              <w:t>2</w:t>
            </w:r>
            <w:proofErr w:type="gramEnd"/>
            <w:r w:rsidRPr="002B1CBF">
              <w:rPr>
                <w:sz w:val="20"/>
                <w:szCs w:val="20"/>
                <w:u w:val="single"/>
              </w:rPr>
              <w:t xml:space="preserve"> прогноз стабильный.</w:t>
            </w:r>
          </w:p>
        </w:tc>
      </w:tr>
      <w:tr w:rsidR="00A93A50" w:rsidRPr="004761E0" w:rsidTr="00733C41">
        <w:tc>
          <w:tcPr>
            <w:tcW w:w="568" w:type="dxa"/>
            <w:shd w:val="clear" w:color="auto" w:fill="D9D9D9"/>
          </w:tcPr>
          <w:p w:rsidR="00A93A50" w:rsidRPr="004761E0" w:rsidRDefault="00A93A50" w:rsidP="007076A7">
            <w:pPr>
              <w:pStyle w:val="a5"/>
              <w:widowControl w:val="0"/>
              <w:numPr>
                <w:ilvl w:val="0"/>
                <w:numId w:val="167"/>
              </w:numPr>
              <w:suppressAutoHyphens/>
              <w:ind w:left="34" w:firstLine="0"/>
              <w:jc w:val="left"/>
            </w:pPr>
          </w:p>
        </w:tc>
        <w:tc>
          <w:tcPr>
            <w:tcW w:w="15592" w:type="dxa"/>
            <w:gridSpan w:val="3"/>
            <w:shd w:val="clear" w:color="auto" w:fill="D9D9D9"/>
          </w:tcPr>
          <w:p w:rsidR="00A93A50" w:rsidRPr="004761E0" w:rsidRDefault="00A93A50" w:rsidP="00086514">
            <w:pPr>
              <w:pStyle w:val="afc"/>
              <w:spacing w:before="0" w:beforeAutospacing="0" w:after="0" w:afterAutospacing="0"/>
              <w:textAlignment w:val="baseline"/>
              <w:rPr>
                <w:b/>
                <w:color w:val="000000"/>
                <w:sz w:val="20"/>
                <w:szCs w:val="20"/>
              </w:rPr>
            </w:pPr>
            <w:r w:rsidRPr="004761E0">
              <w:rPr>
                <w:b/>
                <w:color w:val="000000"/>
                <w:sz w:val="20"/>
                <w:szCs w:val="20"/>
              </w:rPr>
              <w:t>Направление:</w:t>
            </w:r>
            <w:r w:rsidR="005E74B6">
              <w:rPr>
                <w:b/>
                <w:color w:val="000000"/>
                <w:sz w:val="20"/>
                <w:szCs w:val="20"/>
              </w:rPr>
              <w:t xml:space="preserve"> Персонал</w:t>
            </w:r>
          </w:p>
          <w:p w:rsidR="00A93A50" w:rsidRPr="004761E0" w:rsidRDefault="00A93A50" w:rsidP="00086514">
            <w:pPr>
              <w:pStyle w:val="afc"/>
              <w:spacing w:before="0" w:beforeAutospacing="0" w:after="0" w:afterAutospacing="0"/>
              <w:textAlignment w:val="baseline"/>
              <w:rPr>
                <w:b/>
                <w:bCs/>
                <w:color w:val="000000"/>
                <w:kern w:val="24"/>
                <w:sz w:val="20"/>
                <w:szCs w:val="20"/>
              </w:rPr>
            </w:pPr>
            <w:r w:rsidRPr="004761E0">
              <w:rPr>
                <w:b/>
                <w:color w:val="000000"/>
                <w:sz w:val="20"/>
                <w:szCs w:val="20"/>
              </w:rPr>
              <w:t>Цель: Повышение профессионализма и лояльности персонала.</w:t>
            </w:r>
          </w:p>
        </w:tc>
      </w:tr>
      <w:tr w:rsidR="00A93A50" w:rsidRPr="004761E0" w:rsidTr="00733C41">
        <w:tc>
          <w:tcPr>
            <w:tcW w:w="568" w:type="dxa"/>
          </w:tcPr>
          <w:p w:rsidR="00A93A50" w:rsidRPr="004761E0" w:rsidRDefault="00A93A50" w:rsidP="00086514">
            <w:pPr>
              <w:widowControl w:val="0"/>
              <w:suppressAutoHyphens/>
              <w:ind w:left="142" w:firstLine="0"/>
              <w:jc w:val="left"/>
              <w:rPr>
                <w:sz w:val="20"/>
                <w:szCs w:val="20"/>
              </w:rPr>
            </w:pPr>
          </w:p>
        </w:tc>
        <w:tc>
          <w:tcPr>
            <w:tcW w:w="8222" w:type="dxa"/>
            <w:shd w:val="clear" w:color="auto" w:fill="auto"/>
          </w:tcPr>
          <w:p w:rsidR="00A93A50" w:rsidRPr="004761E0" w:rsidRDefault="00A93A50" w:rsidP="00E7117F">
            <w:pPr>
              <w:widowControl w:val="0"/>
              <w:suppressAutoHyphens/>
              <w:ind w:right="34" w:firstLine="0"/>
              <w:rPr>
                <w:rFonts w:eastAsia="Times New Roman"/>
                <w:bCs/>
                <w:color w:val="000000"/>
                <w:kern w:val="24"/>
                <w:sz w:val="20"/>
                <w:szCs w:val="20"/>
                <w:lang w:eastAsia="ru-RU"/>
              </w:rPr>
            </w:pPr>
            <w:r w:rsidRPr="004761E0">
              <w:rPr>
                <w:rFonts w:eastAsia="Times New Roman"/>
                <w:bCs/>
                <w:color w:val="000000"/>
                <w:kern w:val="24"/>
                <w:sz w:val="20"/>
                <w:szCs w:val="20"/>
                <w:lang w:eastAsia="ru-RU"/>
              </w:rPr>
              <w:t>Для повышения профессионализма и лояльности персонала реализованы следующие мероприятия:</w:t>
            </w:r>
          </w:p>
          <w:p w:rsidR="00A93A50" w:rsidRPr="004761E0" w:rsidRDefault="00112A97" w:rsidP="007076A7">
            <w:pPr>
              <w:pStyle w:val="a5"/>
              <w:widowControl w:val="0"/>
              <w:numPr>
                <w:ilvl w:val="0"/>
                <w:numId w:val="168"/>
              </w:numPr>
              <w:suppressAutoHyphens/>
              <w:ind w:left="391" w:right="34" w:hanging="391"/>
              <w:contextualSpacing w:val="0"/>
              <w:rPr>
                <w:rFonts w:eastAsia="Times New Roman"/>
                <w:bCs/>
                <w:color w:val="000000"/>
                <w:kern w:val="24"/>
                <w:sz w:val="20"/>
                <w:szCs w:val="20"/>
                <w:lang w:eastAsia="ru-RU"/>
              </w:rPr>
            </w:pPr>
            <w:r w:rsidRPr="004761E0">
              <w:rPr>
                <w:rFonts w:eastAsia="Times New Roman"/>
                <w:bCs/>
                <w:color w:val="000000"/>
                <w:kern w:val="24"/>
                <w:sz w:val="20"/>
                <w:szCs w:val="20"/>
                <w:lang w:eastAsia="ru-RU"/>
              </w:rPr>
              <w:t>с</w:t>
            </w:r>
            <w:r w:rsidR="00A93A50" w:rsidRPr="004761E0">
              <w:rPr>
                <w:rFonts w:eastAsia="Times New Roman"/>
                <w:bCs/>
                <w:color w:val="000000"/>
                <w:kern w:val="24"/>
                <w:sz w:val="20"/>
                <w:szCs w:val="20"/>
                <w:lang w:eastAsia="ru-RU"/>
              </w:rPr>
              <w:t xml:space="preserve">оздан учебный центр </w:t>
            </w:r>
            <w:r w:rsidR="0008080E">
              <w:rPr>
                <w:rFonts w:eastAsia="Times New Roman"/>
                <w:bCs/>
                <w:color w:val="000000"/>
                <w:kern w:val="24"/>
                <w:sz w:val="20"/>
                <w:szCs w:val="20"/>
                <w:lang w:eastAsia="ru-RU"/>
              </w:rPr>
              <w:t>ОАО </w:t>
            </w:r>
            <w:r w:rsidR="00A93A50" w:rsidRPr="004761E0">
              <w:rPr>
                <w:rFonts w:eastAsia="Times New Roman"/>
                <w:bCs/>
                <w:color w:val="000000"/>
                <w:kern w:val="24"/>
                <w:sz w:val="20"/>
                <w:szCs w:val="20"/>
                <w:lang w:eastAsia="ru-RU"/>
              </w:rPr>
              <w:t>«МОЭСК».</w:t>
            </w:r>
          </w:p>
          <w:p w:rsidR="00A93A50" w:rsidRPr="004761E0" w:rsidRDefault="00112A97" w:rsidP="007076A7">
            <w:pPr>
              <w:pStyle w:val="a5"/>
              <w:widowControl w:val="0"/>
              <w:numPr>
                <w:ilvl w:val="0"/>
                <w:numId w:val="168"/>
              </w:numPr>
              <w:suppressAutoHyphens/>
              <w:ind w:left="391" w:right="34" w:hanging="391"/>
              <w:contextualSpacing w:val="0"/>
              <w:rPr>
                <w:bCs/>
                <w:color w:val="000000"/>
                <w:sz w:val="20"/>
                <w:szCs w:val="20"/>
              </w:rPr>
            </w:pPr>
            <w:r w:rsidRPr="004761E0">
              <w:rPr>
                <w:rFonts w:eastAsia="Times New Roman"/>
                <w:bCs/>
                <w:color w:val="000000"/>
                <w:kern w:val="24"/>
                <w:sz w:val="20"/>
                <w:szCs w:val="20"/>
                <w:lang w:eastAsia="ru-RU"/>
              </w:rPr>
              <w:t>р</w:t>
            </w:r>
            <w:r w:rsidR="00A93A50" w:rsidRPr="004761E0">
              <w:rPr>
                <w:rFonts w:eastAsia="Times New Roman"/>
                <w:bCs/>
                <w:color w:val="000000"/>
                <w:kern w:val="24"/>
                <w:sz w:val="20"/>
                <w:szCs w:val="20"/>
                <w:lang w:eastAsia="ru-RU"/>
              </w:rPr>
              <w:t>еализованы программы развития работников</w:t>
            </w:r>
            <w:r w:rsidR="002A16D3" w:rsidRPr="004761E0">
              <w:rPr>
                <w:rFonts w:eastAsia="Times New Roman"/>
                <w:bCs/>
                <w:color w:val="000000"/>
                <w:kern w:val="24"/>
                <w:sz w:val="20"/>
                <w:szCs w:val="20"/>
                <w:lang w:eastAsia="ru-RU"/>
              </w:rPr>
              <w:t xml:space="preserve"> Общества;</w:t>
            </w:r>
          </w:p>
          <w:p w:rsidR="00A93A50" w:rsidRPr="004761E0" w:rsidRDefault="00112A97" w:rsidP="007076A7">
            <w:pPr>
              <w:pStyle w:val="a5"/>
              <w:widowControl w:val="0"/>
              <w:numPr>
                <w:ilvl w:val="0"/>
                <w:numId w:val="168"/>
              </w:numPr>
              <w:suppressAutoHyphens/>
              <w:ind w:left="391" w:right="34" w:hanging="391"/>
              <w:contextualSpacing w:val="0"/>
              <w:rPr>
                <w:rFonts w:eastAsia="Times New Roman"/>
                <w:bCs/>
                <w:color w:val="000000"/>
                <w:kern w:val="24"/>
                <w:sz w:val="20"/>
                <w:szCs w:val="20"/>
                <w:lang w:eastAsia="ru-RU"/>
              </w:rPr>
            </w:pPr>
            <w:r w:rsidRPr="004761E0">
              <w:rPr>
                <w:rFonts w:eastAsia="Times New Roman"/>
                <w:bCs/>
                <w:color w:val="000000"/>
                <w:kern w:val="24"/>
                <w:sz w:val="20"/>
                <w:szCs w:val="20"/>
                <w:lang w:eastAsia="ru-RU"/>
              </w:rPr>
              <w:t>р</w:t>
            </w:r>
            <w:r w:rsidR="00A93A50" w:rsidRPr="004761E0">
              <w:rPr>
                <w:rFonts w:eastAsia="Times New Roman"/>
                <w:bCs/>
                <w:color w:val="000000"/>
                <w:kern w:val="24"/>
                <w:sz w:val="20"/>
                <w:szCs w:val="20"/>
                <w:lang w:eastAsia="ru-RU"/>
              </w:rPr>
              <w:t>еализ</w:t>
            </w:r>
            <w:r w:rsidR="002A16D3" w:rsidRPr="004761E0">
              <w:rPr>
                <w:rFonts w:eastAsia="Times New Roman"/>
                <w:bCs/>
                <w:color w:val="000000"/>
                <w:kern w:val="24"/>
                <w:sz w:val="20"/>
                <w:szCs w:val="20"/>
                <w:lang w:eastAsia="ru-RU"/>
              </w:rPr>
              <w:t>ованы</w:t>
            </w:r>
            <w:r w:rsidR="00A93A50" w:rsidRPr="004761E0">
              <w:rPr>
                <w:rFonts w:eastAsia="Times New Roman"/>
                <w:bCs/>
                <w:color w:val="000000"/>
                <w:kern w:val="24"/>
                <w:sz w:val="20"/>
                <w:szCs w:val="20"/>
                <w:lang w:eastAsia="ru-RU"/>
              </w:rPr>
              <w:t xml:space="preserve"> программ</w:t>
            </w:r>
            <w:r w:rsidR="002A16D3" w:rsidRPr="004761E0">
              <w:rPr>
                <w:rFonts w:eastAsia="Times New Roman"/>
                <w:bCs/>
                <w:color w:val="000000"/>
                <w:kern w:val="24"/>
                <w:sz w:val="20"/>
                <w:szCs w:val="20"/>
                <w:lang w:eastAsia="ru-RU"/>
              </w:rPr>
              <w:t>ы</w:t>
            </w:r>
            <w:r w:rsidR="00A93A50" w:rsidRPr="004761E0">
              <w:rPr>
                <w:rFonts w:eastAsia="Times New Roman"/>
                <w:bCs/>
                <w:color w:val="000000"/>
                <w:kern w:val="24"/>
                <w:sz w:val="20"/>
                <w:szCs w:val="20"/>
                <w:lang w:eastAsia="ru-RU"/>
              </w:rPr>
              <w:t xml:space="preserve"> содействия в улучшении жилищных условий</w:t>
            </w:r>
            <w:r w:rsidR="002A16D3" w:rsidRPr="004761E0">
              <w:rPr>
                <w:rFonts w:eastAsia="Times New Roman"/>
                <w:bCs/>
                <w:color w:val="000000"/>
                <w:kern w:val="24"/>
                <w:sz w:val="20"/>
                <w:szCs w:val="20"/>
                <w:lang w:eastAsia="ru-RU"/>
              </w:rPr>
              <w:t xml:space="preserve"> работников Общества</w:t>
            </w:r>
            <w:r w:rsidR="00EF47AF">
              <w:rPr>
                <w:rFonts w:eastAsia="Times New Roman"/>
                <w:bCs/>
                <w:color w:val="000000"/>
                <w:kern w:val="24"/>
                <w:sz w:val="20"/>
                <w:szCs w:val="20"/>
                <w:lang w:eastAsia="ru-RU"/>
              </w:rPr>
              <w:t>;</w:t>
            </w:r>
          </w:p>
          <w:p w:rsidR="002A16D3" w:rsidRPr="004761E0" w:rsidRDefault="00112A97" w:rsidP="007076A7">
            <w:pPr>
              <w:pStyle w:val="a5"/>
              <w:widowControl w:val="0"/>
              <w:numPr>
                <w:ilvl w:val="0"/>
                <w:numId w:val="168"/>
              </w:numPr>
              <w:suppressAutoHyphens/>
              <w:ind w:left="391" w:right="34" w:hanging="391"/>
              <w:contextualSpacing w:val="0"/>
              <w:rPr>
                <w:bCs/>
                <w:sz w:val="20"/>
                <w:szCs w:val="20"/>
              </w:rPr>
            </w:pPr>
            <w:r w:rsidRPr="004761E0">
              <w:rPr>
                <w:bCs/>
                <w:sz w:val="20"/>
                <w:szCs w:val="20"/>
              </w:rPr>
              <w:t>с</w:t>
            </w:r>
            <w:r w:rsidR="00A93A50" w:rsidRPr="004761E0">
              <w:rPr>
                <w:bCs/>
                <w:sz w:val="20"/>
                <w:szCs w:val="20"/>
              </w:rPr>
              <w:t>оздан кадровый резерв в объеме 44</w:t>
            </w:r>
            <w:r w:rsidR="00D341DC">
              <w:rPr>
                <w:bCs/>
                <w:sz w:val="20"/>
                <w:szCs w:val="20"/>
              </w:rPr>
              <w:t>2</w:t>
            </w:r>
            <w:r w:rsidR="00EF47AF">
              <w:rPr>
                <w:bCs/>
                <w:sz w:val="20"/>
                <w:szCs w:val="20"/>
              </w:rPr>
              <w:t xml:space="preserve"> чел.;</w:t>
            </w:r>
          </w:p>
          <w:p w:rsidR="00A93A50" w:rsidRPr="004761E0" w:rsidRDefault="00112A97" w:rsidP="007076A7">
            <w:pPr>
              <w:pStyle w:val="a5"/>
              <w:widowControl w:val="0"/>
              <w:numPr>
                <w:ilvl w:val="0"/>
                <w:numId w:val="168"/>
              </w:numPr>
              <w:suppressAutoHyphens/>
              <w:ind w:left="391" w:right="34" w:hanging="391"/>
              <w:contextualSpacing w:val="0"/>
              <w:rPr>
                <w:bCs/>
                <w:sz w:val="20"/>
                <w:szCs w:val="20"/>
              </w:rPr>
            </w:pPr>
            <w:r w:rsidRPr="004761E0">
              <w:rPr>
                <w:bCs/>
                <w:sz w:val="20"/>
                <w:szCs w:val="20"/>
              </w:rPr>
              <w:t>р</w:t>
            </w:r>
            <w:r w:rsidR="00A93A50" w:rsidRPr="004761E0">
              <w:rPr>
                <w:bCs/>
                <w:sz w:val="20"/>
                <w:szCs w:val="20"/>
              </w:rPr>
              <w:t>еализован план внутренней и внешней ротации работников</w:t>
            </w:r>
            <w:r w:rsidR="002A16D3" w:rsidRPr="004761E0">
              <w:rPr>
                <w:bCs/>
                <w:sz w:val="20"/>
                <w:szCs w:val="20"/>
              </w:rPr>
              <w:t>: в</w:t>
            </w:r>
            <w:r w:rsidR="00A93A50" w:rsidRPr="004761E0">
              <w:rPr>
                <w:bCs/>
                <w:sz w:val="20"/>
                <w:szCs w:val="20"/>
              </w:rPr>
              <w:t xml:space="preserve"> 2013 году ротацию прошли 52 работника.</w:t>
            </w:r>
          </w:p>
          <w:p w:rsidR="00E40D1F" w:rsidRPr="004761E0" w:rsidRDefault="00E40D1F" w:rsidP="00E7117F">
            <w:pPr>
              <w:widowControl w:val="0"/>
              <w:suppressAutoHyphens/>
              <w:ind w:firstLine="0"/>
              <w:rPr>
                <w:sz w:val="20"/>
                <w:szCs w:val="20"/>
              </w:rPr>
            </w:pPr>
            <w:r w:rsidRPr="004761E0">
              <w:rPr>
                <w:sz w:val="20"/>
                <w:szCs w:val="20"/>
              </w:rPr>
              <w:t>Более подробно о мероприятиях и результатах в направлении повышения инвестиционной привлекательности описано в разделе «Человеческий капитал и социальная ответственность».</w:t>
            </w:r>
          </w:p>
          <w:p w:rsidR="00E40D1F" w:rsidRPr="004761E0" w:rsidRDefault="00E40D1F" w:rsidP="00E7117F">
            <w:pPr>
              <w:widowControl w:val="0"/>
              <w:suppressAutoHyphens/>
              <w:ind w:right="34" w:firstLine="0"/>
              <w:rPr>
                <w:bCs/>
                <w:sz w:val="20"/>
                <w:szCs w:val="20"/>
              </w:rPr>
            </w:pPr>
          </w:p>
          <w:p w:rsidR="00A93A50" w:rsidRPr="004761E0" w:rsidRDefault="00A93A50" w:rsidP="00E7117F">
            <w:pPr>
              <w:ind w:firstLine="0"/>
              <w:rPr>
                <w:color w:val="000000"/>
                <w:sz w:val="20"/>
                <w:szCs w:val="20"/>
              </w:rPr>
            </w:pPr>
            <w:r w:rsidRPr="004761E0">
              <w:rPr>
                <w:bCs/>
                <w:sz w:val="20"/>
                <w:szCs w:val="20"/>
              </w:rPr>
              <w:t xml:space="preserve">На 2014 год запланированы следующие мероприятия, направленные на </w:t>
            </w:r>
            <w:r w:rsidRPr="004761E0">
              <w:rPr>
                <w:color w:val="000000"/>
                <w:sz w:val="20"/>
                <w:szCs w:val="20"/>
              </w:rPr>
              <w:t>повышение профессионализма и лояльности персонала:</w:t>
            </w:r>
          </w:p>
          <w:p w:rsidR="00A93A50" w:rsidRPr="004761E0" w:rsidRDefault="00112A97" w:rsidP="007076A7">
            <w:pPr>
              <w:pStyle w:val="a5"/>
              <w:widowControl w:val="0"/>
              <w:numPr>
                <w:ilvl w:val="0"/>
                <w:numId w:val="168"/>
              </w:numPr>
              <w:suppressAutoHyphens/>
              <w:ind w:left="391" w:right="34" w:hanging="391"/>
              <w:contextualSpacing w:val="0"/>
              <w:rPr>
                <w:bCs/>
                <w:sz w:val="20"/>
                <w:szCs w:val="20"/>
              </w:rPr>
            </w:pPr>
            <w:r w:rsidRPr="004761E0">
              <w:rPr>
                <w:bCs/>
                <w:sz w:val="20"/>
                <w:szCs w:val="20"/>
              </w:rPr>
              <w:t>р</w:t>
            </w:r>
            <w:r w:rsidR="00A93A50" w:rsidRPr="004761E0">
              <w:rPr>
                <w:bCs/>
                <w:sz w:val="20"/>
                <w:szCs w:val="20"/>
              </w:rPr>
              <w:t>еализация плана внешнего обучения работников</w:t>
            </w:r>
            <w:r w:rsidR="002A16D3" w:rsidRPr="004761E0">
              <w:rPr>
                <w:bCs/>
                <w:sz w:val="20"/>
                <w:szCs w:val="20"/>
              </w:rPr>
              <w:t xml:space="preserve"> Общества;</w:t>
            </w:r>
            <w:r w:rsidR="00A93A50" w:rsidRPr="004761E0">
              <w:rPr>
                <w:bCs/>
                <w:sz w:val="20"/>
                <w:szCs w:val="20"/>
              </w:rPr>
              <w:t xml:space="preserve"> </w:t>
            </w:r>
          </w:p>
          <w:p w:rsidR="00A93A50" w:rsidRPr="004761E0" w:rsidRDefault="002A16D3" w:rsidP="007076A7">
            <w:pPr>
              <w:pStyle w:val="a5"/>
              <w:widowControl w:val="0"/>
              <w:numPr>
                <w:ilvl w:val="0"/>
                <w:numId w:val="168"/>
              </w:numPr>
              <w:suppressAutoHyphens/>
              <w:ind w:left="391" w:right="34" w:hanging="391"/>
              <w:contextualSpacing w:val="0"/>
              <w:rPr>
                <w:bCs/>
                <w:sz w:val="20"/>
                <w:szCs w:val="20"/>
              </w:rPr>
            </w:pPr>
            <w:r w:rsidRPr="004761E0">
              <w:rPr>
                <w:bCs/>
                <w:sz w:val="20"/>
                <w:szCs w:val="20"/>
              </w:rPr>
              <w:t>п</w:t>
            </w:r>
            <w:r w:rsidR="00A93A50" w:rsidRPr="004761E0">
              <w:rPr>
                <w:bCs/>
                <w:sz w:val="20"/>
                <w:szCs w:val="20"/>
              </w:rPr>
              <w:t>олучение учебным центром лицензии на дополнительное профессиональное образование для повышения профессионального уровня работников Общества и обучения персонала сторонних организаций.</w:t>
            </w:r>
          </w:p>
          <w:p w:rsidR="00A93A50" w:rsidRPr="004761E0" w:rsidRDefault="002A16D3" w:rsidP="007076A7">
            <w:pPr>
              <w:pStyle w:val="a5"/>
              <w:widowControl w:val="0"/>
              <w:numPr>
                <w:ilvl w:val="0"/>
                <w:numId w:val="168"/>
              </w:numPr>
              <w:suppressAutoHyphens/>
              <w:ind w:left="391" w:right="34" w:hanging="391"/>
              <w:contextualSpacing w:val="0"/>
              <w:rPr>
                <w:bCs/>
                <w:sz w:val="20"/>
                <w:szCs w:val="20"/>
              </w:rPr>
            </w:pPr>
            <w:r w:rsidRPr="004761E0">
              <w:rPr>
                <w:bCs/>
                <w:sz w:val="20"/>
                <w:szCs w:val="20"/>
              </w:rPr>
              <w:t>в</w:t>
            </w:r>
            <w:r w:rsidR="00A93A50" w:rsidRPr="004761E0">
              <w:rPr>
                <w:bCs/>
                <w:sz w:val="20"/>
                <w:szCs w:val="20"/>
              </w:rPr>
              <w:t xml:space="preserve">ыполнение плана мероприятий по развитию учебного центра </w:t>
            </w:r>
            <w:r w:rsidR="0008080E">
              <w:rPr>
                <w:bCs/>
                <w:sz w:val="20"/>
                <w:szCs w:val="20"/>
              </w:rPr>
              <w:t>ОАО </w:t>
            </w:r>
            <w:r w:rsidR="00A93A50" w:rsidRPr="004761E0">
              <w:rPr>
                <w:bCs/>
                <w:sz w:val="20"/>
                <w:szCs w:val="20"/>
              </w:rPr>
              <w:t>«МОЭСК»:</w:t>
            </w:r>
          </w:p>
          <w:p w:rsidR="00A93A50" w:rsidRPr="004761E0" w:rsidRDefault="002A16D3" w:rsidP="007076A7">
            <w:pPr>
              <w:pStyle w:val="a5"/>
              <w:widowControl w:val="0"/>
              <w:numPr>
                <w:ilvl w:val="0"/>
                <w:numId w:val="168"/>
              </w:numPr>
              <w:suppressAutoHyphens/>
              <w:ind w:left="391" w:right="34" w:hanging="391"/>
              <w:contextualSpacing w:val="0"/>
              <w:rPr>
                <w:bCs/>
                <w:sz w:val="20"/>
                <w:szCs w:val="20"/>
              </w:rPr>
            </w:pPr>
            <w:r w:rsidRPr="004761E0">
              <w:rPr>
                <w:bCs/>
                <w:sz w:val="20"/>
                <w:szCs w:val="20"/>
              </w:rPr>
              <w:t>в</w:t>
            </w:r>
            <w:r w:rsidR="00A93A50" w:rsidRPr="004761E0">
              <w:rPr>
                <w:bCs/>
                <w:sz w:val="20"/>
                <w:szCs w:val="20"/>
              </w:rPr>
              <w:t xml:space="preserve">ыполнение Программы формирования фонда временного (служебного) жилья в объеме 160 </w:t>
            </w:r>
            <w:proofErr w:type="gramStart"/>
            <w:r w:rsidR="00A93A50" w:rsidRPr="004761E0">
              <w:rPr>
                <w:bCs/>
                <w:sz w:val="20"/>
                <w:szCs w:val="20"/>
              </w:rPr>
              <w:t>млн</w:t>
            </w:r>
            <w:proofErr w:type="gramEnd"/>
            <w:r w:rsidRPr="004761E0">
              <w:rPr>
                <w:bCs/>
                <w:sz w:val="20"/>
                <w:szCs w:val="20"/>
              </w:rPr>
              <w:t xml:space="preserve"> </w:t>
            </w:r>
            <w:r w:rsidR="00A93A50" w:rsidRPr="004761E0">
              <w:rPr>
                <w:bCs/>
                <w:sz w:val="20"/>
                <w:szCs w:val="20"/>
              </w:rPr>
              <w:t>руб.</w:t>
            </w:r>
          </w:p>
        </w:tc>
        <w:tc>
          <w:tcPr>
            <w:tcW w:w="3685" w:type="dxa"/>
            <w:shd w:val="clear" w:color="auto" w:fill="auto"/>
          </w:tcPr>
          <w:p w:rsidR="00E40D1F" w:rsidRPr="004761E0" w:rsidRDefault="00E40D1F" w:rsidP="00E40D1F">
            <w:pPr>
              <w:pStyle w:val="afc"/>
              <w:spacing w:before="0" w:beforeAutospacing="0" w:after="0" w:afterAutospacing="0"/>
              <w:textAlignment w:val="baseline"/>
              <w:rPr>
                <w:b/>
                <w:color w:val="000000"/>
                <w:sz w:val="20"/>
                <w:szCs w:val="20"/>
              </w:rPr>
            </w:pPr>
            <w:r w:rsidRPr="004761E0">
              <w:rPr>
                <w:b/>
                <w:color w:val="000000"/>
                <w:sz w:val="20"/>
                <w:szCs w:val="20"/>
              </w:rPr>
              <w:t>Производительность труда</w:t>
            </w:r>
            <w:r w:rsidRPr="006F4AB8">
              <w:rPr>
                <w:rStyle w:val="af1"/>
                <w:rFonts w:eastAsia="Calibri"/>
              </w:rPr>
              <w:footnoteReference w:id="18"/>
            </w:r>
            <w:r w:rsidRPr="004761E0">
              <w:rPr>
                <w:b/>
                <w:color w:val="000000"/>
                <w:sz w:val="20"/>
                <w:szCs w:val="20"/>
              </w:rPr>
              <w:t xml:space="preserve">, </w:t>
            </w:r>
          </w:p>
          <w:p w:rsidR="00E40D1F" w:rsidRPr="004761E0" w:rsidRDefault="00E40D1F" w:rsidP="00E40D1F">
            <w:pPr>
              <w:pStyle w:val="afc"/>
              <w:spacing w:before="0" w:beforeAutospacing="0" w:after="0" w:afterAutospacing="0"/>
              <w:textAlignment w:val="baseline"/>
              <w:rPr>
                <w:color w:val="000000"/>
                <w:sz w:val="20"/>
                <w:szCs w:val="20"/>
                <w:u w:val="single"/>
              </w:rPr>
            </w:pPr>
            <w:r w:rsidRPr="004761E0">
              <w:rPr>
                <w:b/>
                <w:color w:val="000000"/>
                <w:sz w:val="20"/>
                <w:szCs w:val="20"/>
              </w:rPr>
              <w:t>тыс. кВтч / 1 раб</w:t>
            </w:r>
            <w:proofErr w:type="gramStart"/>
            <w:r w:rsidRPr="004761E0">
              <w:rPr>
                <w:b/>
                <w:color w:val="000000"/>
                <w:sz w:val="20"/>
                <w:szCs w:val="20"/>
              </w:rPr>
              <w:t>.:</w:t>
            </w:r>
            <w:r w:rsidRPr="004761E0">
              <w:rPr>
                <w:color w:val="000000"/>
                <w:sz w:val="20"/>
                <w:szCs w:val="20"/>
              </w:rPr>
              <w:t xml:space="preserve"> </w:t>
            </w:r>
            <w:proofErr w:type="gramEnd"/>
            <w:r w:rsidRPr="004761E0">
              <w:rPr>
                <w:color w:val="000000"/>
                <w:sz w:val="20"/>
                <w:szCs w:val="20"/>
                <w:u w:val="single"/>
              </w:rPr>
              <w:t>5 260;</w:t>
            </w:r>
          </w:p>
          <w:p w:rsidR="00A93A50" w:rsidRPr="004761E0" w:rsidRDefault="00A93A50" w:rsidP="007877E1">
            <w:pPr>
              <w:pStyle w:val="afc"/>
              <w:spacing w:before="0" w:beforeAutospacing="0" w:after="0" w:afterAutospacing="0"/>
              <w:textAlignment w:val="baseline"/>
              <w:rPr>
                <w:bCs/>
                <w:color w:val="000000"/>
                <w:kern w:val="24"/>
                <w:sz w:val="20"/>
                <w:szCs w:val="20"/>
              </w:rPr>
            </w:pPr>
          </w:p>
        </w:tc>
        <w:tc>
          <w:tcPr>
            <w:tcW w:w="3685" w:type="dxa"/>
          </w:tcPr>
          <w:p w:rsidR="00E40D1F" w:rsidRPr="004761E0" w:rsidRDefault="00E40D1F" w:rsidP="00E40D1F">
            <w:pPr>
              <w:pStyle w:val="afc"/>
              <w:spacing w:before="0" w:beforeAutospacing="0" w:after="0" w:afterAutospacing="0"/>
              <w:textAlignment w:val="baseline"/>
              <w:rPr>
                <w:b/>
                <w:color w:val="000000"/>
                <w:sz w:val="20"/>
                <w:szCs w:val="20"/>
              </w:rPr>
            </w:pPr>
            <w:r w:rsidRPr="004761E0">
              <w:rPr>
                <w:b/>
                <w:color w:val="000000"/>
                <w:sz w:val="20"/>
                <w:szCs w:val="20"/>
              </w:rPr>
              <w:t>Производительность труда</w:t>
            </w:r>
            <w:r w:rsidRPr="006F4AB8">
              <w:rPr>
                <w:rStyle w:val="af1"/>
                <w:rFonts w:eastAsia="Calibri"/>
              </w:rPr>
              <w:footnoteReference w:id="19"/>
            </w:r>
            <w:r w:rsidRPr="004761E0">
              <w:rPr>
                <w:b/>
                <w:color w:val="000000"/>
                <w:sz w:val="20"/>
                <w:szCs w:val="20"/>
              </w:rPr>
              <w:t xml:space="preserve">, </w:t>
            </w:r>
          </w:p>
          <w:p w:rsidR="00E40D1F" w:rsidRPr="004761E0" w:rsidRDefault="00E40D1F" w:rsidP="00E40D1F">
            <w:pPr>
              <w:pStyle w:val="afc"/>
              <w:spacing w:before="0" w:beforeAutospacing="0" w:after="0" w:afterAutospacing="0"/>
              <w:textAlignment w:val="baseline"/>
              <w:rPr>
                <w:color w:val="000000"/>
                <w:sz w:val="20"/>
                <w:szCs w:val="20"/>
                <w:u w:val="single"/>
              </w:rPr>
            </w:pPr>
            <w:r w:rsidRPr="004761E0">
              <w:rPr>
                <w:b/>
                <w:color w:val="000000"/>
                <w:sz w:val="20"/>
                <w:szCs w:val="20"/>
              </w:rPr>
              <w:t>тыс. кВтч / 1 раб</w:t>
            </w:r>
            <w:proofErr w:type="gramStart"/>
            <w:r w:rsidRPr="004761E0">
              <w:rPr>
                <w:b/>
                <w:color w:val="000000"/>
                <w:sz w:val="20"/>
                <w:szCs w:val="20"/>
              </w:rPr>
              <w:t>.:</w:t>
            </w:r>
            <w:r w:rsidRPr="004761E0">
              <w:rPr>
                <w:color w:val="000000"/>
                <w:sz w:val="20"/>
                <w:szCs w:val="20"/>
              </w:rPr>
              <w:t xml:space="preserve"> </w:t>
            </w:r>
            <w:proofErr w:type="gramEnd"/>
            <w:r w:rsidRPr="004761E0">
              <w:rPr>
                <w:color w:val="000000"/>
                <w:sz w:val="20"/>
                <w:szCs w:val="20"/>
                <w:u w:val="single"/>
              </w:rPr>
              <w:t>5 643,6;</w:t>
            </w:r>
          </w:p>
          <w:p w:rsidR="00A93A50" w:rsidRPr="004761E0" w:rsidRDefault="00A93A50" w:rsidP="007877E1">
            <w:pPr>
              <w:pStyle w:val="afc"/>
              <w:spacing w:before="0" w:beforeAutospacing="0" w:after="0" w:afterAutospacing="0"/>
              <w:textAlignment w:val="baseline"/>
              <w:rPr>
                <w:bCs/>
                <w:color w:val="000000"/>
                <w:kern w:val="24"/>
                <w:sz w:val="20"/>
                <w:szCs w:val="20"/>
                <w:u w:val="single"/>
              </w:rPr>
            </w:pPr>
          </w:p>
        </w:tc>
      </w:tr>
    </w:tbl>
    <w:p w:rsidR="00923660" w:rsidRPr="004761E0" w:rsidRDefault="00923660" w:rsidP="00A95114">
      <w:pPr>
        <w:autoSpaceDE w:val="0"/>
        <w:autoSpaceDN w:val="0"/>
        <w:adjustRightInd w:val="0"/>
        <w:spacing w:before="120" w:after="120"/>
        <w:ind w:firstLine="567"/>
        <w:rPr>
          <w:b/>
          <w:sz w:val="26"/>
          <w:szCs w:val="26"/>
          <w:lang w:eastAsia="ru-RU"/>
        </w:rPr>
        <w:sectPr w:rsidR="00923660" w:rsidRPr="004761E0" w:rsidSect="00923660">
          <w:footerReference w:type="default" r:id="rId37"/>
          <w:pgSz w:w="16840" w:h="11907" w:orient="landscape" w:code="9"/>
          <w:pgMar w:top="1134" w:right="1418" w:bottom="851" w:left="720" w:header="720" w:footer="720" w:gutter="0"/>
          <w:cols w:space="720"/>
          <w:docGrid w:linePitch="326"/>
        </w:sectPr>
      </w:pPr>
    </w:p>
    <w:p w:rsidR="00B20C95" w:rsidRPr="004761E0" w:rsidRDefault="00B20C95" w:rsidP="007076A7">
      <w:pPr>
        <w:pStyle w:val="a8"/>
        <w:numPr>
          <w:ilvl w:val="2"/>
          <w:numId w:val="321"/>
        </w:numPr>
        <w:spacing w:before="120" w:after="120"/>
        <w:ind w:left="1134" w:hanging="567"/>
        <w:jc w:val="left"/>
        <w:rPr>
          <w:rFonts w:ascii="Times New Roman" w:hAnsi="Times New Roman"/>
          <w:b/>
          <w:sz w:val="26"/>
          <w:szCs w:val="26"/>
        </w:rPr>
      </w:pPr>
      <w:bookmarkStart w:id="30" w:name="_Toc380576901"/>
      <w:bookmarkStart w:id="31" w:name="_Toc385339799"/>
      <w:r w:rsidRPr="004761E0">
        <w:rPr>
          <w:rFonts w:ascii="Times New Roman" w:hAnsi="Times New Roman"/>
          <w:b/>
          <w:sz w:val="26"/>
          <w:szCs w:val="26"/>
        </w:rPr>
        <w:lastRenderedPageBreak/>
        <w:t>Отчет Совета директоров о результатах развития по приоритетным направлениям деятельности</w:t>
      </w:r>
      <w:bookmarkEnd w:id="30"/>
      <w:bookmarkEnd w:id="31"/>
    </w:p>
    <w:p w:rsidR="00950820" w:rsidRPr="004761E0" w:rsidRDefault="00950820" w:rsidP="00447B7C">
      <w:pPr>
        <w:autoSpaceDE w:val="0"/>
        <w:autoSpaceDN w:val="0"/>
        <w:adjustRightInd w:val="0"/>
        <w:ind w:firstLine="567"/>
        <w:rPr>
          <w:sz w:val="26"/>
          <w:szCs w:val="26"/>
        </w:rPr>
      </w:pPr>
      <w:r w:rsidRPr="004761E0">
        <w:rPr>
          <w:sz w:val="26"/>
          <w:szCs w:val="26"/>
        </w:rPr>
        <w:t xml:space="preserve">Согласно Уставу Общества </w:t>
      </w:r>
      <w:r w:rsidRPr="004761E0">
        <w:rPr>
          <w:sz w:val="26"/>
          <w:szCs w:val="26"/>
          <w:lang w:eastAsia="ru-RU"/>
        </w:rPr>
        <w:t xml:space="preserve">к компетенции Совета директоров помимо прочих относится вопрос определения приоритетных направлений деятельности Общества. Ежегодно Общему собранию акционеров представляется в формате Годового отчета информация о результатах развития по данным направлениям деятельности. </w:t>
      </w:r>
    </w:p>
    <w:p w:rsidR="00950820" w:rsidRPr="004761E0" w:rsidRDefault="00950820" w:rsidP="00447B7C">
      <w:pPr>
        <w:ind w:firstLine="567"/>
        <w:rPr>
          <w:sz w:val="26"/>
          <w:szCs w:val="26"/>
          <w:lang w:eastAsia="ru-RU"/>
        </w:rPr>
      </w:pPr>
      <w:r w:rsidRPr="004761E0">
        <w:rPr>
          <w:sz w:val="26"/>
          <w:szCs w:val="26"/>
          <w:lang w:eastAsia="ru-RU"/>
        </w:rPr>
        <w:t>В 2013 году приоритетными являлись следующие направления деятельности:</w:t>
      </w:r>
    </w:p>
    <w:tbl>
      <w:tblPr>
        <w:tblStyle w:val="ae"/>
        <w:tblW w:w="14810" w:type="dxa"/>
        <w:tblInd w:w="108" w:type="dxa"/>
        <w:tblLayout w:type="fixed"/>
        <w:tblLook w:val="04A0"/>
      </w:tblPr>
      <w:tblGrid>
        <w:gridCol w:w="545"/>
        <w:gridCol w:w="10654"/>
        <w:gridCol w:w="1275"/>
        <w:gridCol w:w="993"/>
        <w:gridCol w:w="1343"/>
      </w:tblGrid>
      <w:tr w:rsidR="00CB55EB" w:rsidRPr="004761E0" w:rsidTr="001E4658">
        <w:trPr>
          <w:trHeight w:val="351"/>
        </w:trPr>
        <w:tc>
          <w:tcPr>
            <w:tcW w:w="545" w:type="dxa"/>
            <w:tcBorders>
              <w:right w:val="single" w:sz="4" w:space="0" w:color="FFFFFF" w:themeColor="background1"/>
            </w:tcBorders>
            <w:shd w:val="clear" w:color="auto" w:fill="0F243E" w:themeFill="text2" w:themeFillShade="80"/>
            <w:vAlign w:val="center"/>
          </w:tcPr>
          <w:p w:rsidR="00923660" w:rsidRPr="004761E0" w:rsidRDefault="00923660" w:rsidP="00447B7C">
            <w:pPr>
              <w:ind w:firstLine="0"/>
              <w:jc w:val="left"/>
              <w:rPr>
                <w:b/>
                <w:color w:val="FFFFFF" w:themeColor="background1"/>
                <w:sz w:val="20"/>
                <w:szCs w:val="20"/>
                <w:lang w:eastAsia="ru-RU"/>
              </w:rPr>
            </w:pPr>
            <w:r w:rsidRPr="004761E0">
              <w:rPr>
                <w:b/>
                <w:color w:val="FFFFFF" w:themeColor="background1"/>
                <w:sz w:val="20"/>
                <w:szCs w:val="20"/>
                <w:lang w:eastAsia="ru-RU"/>
              </w:rPr>
              <w:t xml:space="preserve">№ </w:t>
            </w:r>
            <w:proofErr w:type="gramStart"/>
            <w:r w:rsidRPr="004761E0">
              <w:rPr>
                <w:b/>
                <w:color w:val="FFFFFF" w:themeColor="background1"/>
                <w:sz w:val="20"/>
                <w:szCs w:val="20"/>
                <w:lang w:eastAsia="ru-RU"/>
              </w:rPr>
              <w:t>п</w:t>
            </w:r>
            <w:proofErr w:type="gramEnd"/>
            <w:r w:rsidRPr="004761E0">
              <w:rPr>
                <w:b/>
                <w:color w:val="FFFFFF" w:themeColor="background1"/>
                <w:sz w:val="20"/>
                <w:szCs w:val="20"/>
                <w:lang w:eastAsia="ru-RU"/>
              </w:rPr>
              <w:t>/п</w:t>
            </w:r>
          </w:p>
        </w:tc>
        <w:tc>
          <w:tcPr>
            <w:tcW w:w="10654" w:type="dxa"/>
            <w:tcBorders>
              <w:left w:val="single" w:sz="4" w:space="0" w:color="FFFFFF" w:themeColor="background1"/>
              <w:right w:val="single" w:sz="4" w:space="0" w:color="FFFFFF" w:themeColor="background1"/>
            </w:tcBorders>
            <w:shd w:val="clear" w:color="auto" w:fill="0F243E" w:themeFill="text2" w:themeFillShade="80"/>
            <w:vAlign w:val="center"/>
          </w:tcPr>
          <w:p w:rsidR="00923660" w:rsidRPr="004761E0" w:rsidRDefault="00923660" w:rsidP="00447B7C">
            <w:pPr>
              <w:ind w:firstLine="0"/>
              <w:jc w:val="left"/>
              <w:rPr>
                <w:b/>
                <w:color w:val="FFFFFF" w:themeColor="background1"/>
                <w:sz w:val="20"/>
                <w:szCs w:val="20"/>
                <w:lang w:eastAsia="ru-RU"/>
              </w:rPr>
            </w:pPr>
            <w:r w:rsidRPr="004761E0">
              <w:rPr>
                <w:b/>
                <w:color w:val="FFFFFF" w:themeColor="background1"/>
                <w:sz w:val="20"/>
                <w:szCs w:val="20"/>
                <w:lang w:eastAsia="ru-RU"/>
              </w:rPr>
              <w:t>Наименование приоритетного направления</w:t>
            </w:r>
          </w:p>
        </w:tc>
        <w:tc>
          <w:tcPr>
            <w:tcW w:w="1275" w:type="dxa"/>
            <w:tcBorders>
              <w:left w:val="single" w:sz="4" w:space="0" w:color="FFFFFF" w:themeColor="background1"/>
              <w:right w:val="single" w:sz="4" w:space="0" w:color="FFFFFF" w:themeColor="background1"/>
            </w:tcBorders>
            <w:shd w:val="clear" w:color="auto" w:fill="0F243E" w:themeFill="text2" w:themeFillShade="80"/>
            <w:vAlign w:val="center"/>
          </w:tcPr>
          <w:p w:rsidR="00923660" w:rsidRPr="004761E0" w:rsidRDefault="00923660" w:rsidP="00CB55EB">
            <w:pPr>
              <w:ind w:firstLine="0"/>
              <w:jc w:val="center"/>
              <w:rPr>
                <w:b/>
                <w:color w:val="FFFFFF" w:themeColor="background1"/>
                <w:sz w:val="20"/>
                <w:szCs w:val="20"/>
                <w:lang w:eastAsia="ru-RU"/>
              </w:rPr>
            </w:pPr>
            <w:r w:rsidRPr="004761E0">
              <w:rPr>
                <w:b/>
                <w:color w:val="FFFFFF" w:themeColor="background1"/>
                <w:sz w:val="20"/>
                <w:szCs w:val="20"/>
                <w:lang w:eastAsia="ru-RU"/>
              </w:rPr>
              <w:t xml:space="preserve">Дата </w:t>
            </w:r>
            <w:r w:rsidR="00CB55EB" w:rsidRPr="004761E0">
              <w:rPr>
                <w:b/>
                <w:color w:val="FFFFFF" w:themeColor="background1"/>
                <w:sz w:val="20"/>
                <w:szCs w:val="20"/>
                <w:lang w:eastAsia="ru-RU"/>
              </w:rPr>
              <w:t xml:space="preserve">заседания </w:t>
            </w:r>
            <w:r w:rsidRPr="004761E0">
              <w:rPr>
                <w:b/>
                <w:color w:val="FFFFFF" w:themeColor="background1"/>
                <w:sz w:val="20"/>
                <w:szCs w:val="20"/>
                <w:lang w:eastAsia="ru-RU"/>
              </w:rPr>
              <w:t>СД</w:t>
            </w:r>
          </w:p>
        </w:tc>
        <w:tc>
          <w:tcPr>
            <w:tcW w:w="993" w:type="dxa"/>
            <w:tcBorders>
              <w:left w:val="single" w:sz="4" w:space="0" w:color="FFFFFF" w:themeColor="background1"/>
              <w:right w:val="single" w:sz="4" w:space="0" w:color="FFFFFF" w:themeColor="background1"/>
            </w:tcBorders>
            <w:shd w:val="clear" w:color="auto" w:fill="0F243E" w:themeFill="text2" w:themeFillShade="80"/>
            <w:vAlign w:val="center"/>
          </w:tcPr>
          <w:p w:rsidR="00923660" w:rsidRPr="004761E0" w:rsidRDefault="00CB55EB" w:rsidP="00923660">
            <w:pPr>
              <w:ind w:firstLine="0"/>
              <w:jc w:val="center"/>
              <w:rPr>
                <w:b/>
                <w:color w:val="FFFFFF" w:themeColor="background1"/>
                <w:sz w:val="20"/>
                <w:szCs w:val="20"/>
                <w:lang w:eastAsia="ru-RU"/>
              </w:rPr>
            </w:pPr>
            <w:r w:rsidRPr="004761E0">
              <w:rPr>
                <w:b/>
                <w:color w:val="FFFFFF" w:themeColor="background1"/>
                <w:sz w:val="20"/>
                <w:szCs w:val="20"/>
                <w:lang w:eastAsia="ru-RU"/>
              </w:rPr>
              <w:t xml:space="preserve">№ </w:t>
            </w:r>
            <w:r w:rsidR="00923660" w:rsidRPr="004761E0">
              <w:rPr>
                <w:b/>
                <w:color w:val="FFFFFF" w:themeColor="background1"/>
                <w:sz w:val="20"/>
                <w:szCs w:val="20"/>
                <w:lang w:eastAsia="ru-RU"/>
              </w:rPr>
              <w:t>протокола</w:t>
            </w:r>
          </w:p>
        </w:tc>
        <w:tc>
          <w:tcPr>
            <w:tcW w:w="1343" w:type="dxa"/>
            <w:tcBorders>
              <w:left w:val="single" w:sz="4" w:space="0" w:color="FFFFFF" w:themeColor="background1"/>
            </w:tcBorders>
            <w:shd w:val="clear" w:color="auto" w:fill="0F243E" w:themeFill="text2" w:themeFillShade="80"/>
            <w:vAlign w:val="center"/>
          </w:tcPr>
          <w:p w:rsidR="00923660" w:rsidRPr="004761E0" w:rsidRDefault="00923660" w:rsidP="00923660">
            <w:pPr>
              <w:ind w:firstLine="0"/>
              <w:jc w:val="center"/>
              <w:rPr>
                <w:b/>
                <w:color w:val="FFFFFF" w:themeColor="background1"/>
                <w:sz w:val="20"/>
                <w:szCs w:val="20"/>
                <w:lang w:eastAsia="ru-RU"/>
              </w:rPr>
            </w:pPr>
            <w:r w:rsidRPr="004761E0">
              <w:rPr>
                <w:b/>
                <w:color w:val="FFFFFF" w:themeColor="background1"/>
                <w:sz w:val="20"/>
                <w:szCs w:val="20"/>
                <w:lang w:eastAsia="ru-RU"/>
              </w:rPr>
              <w:t>Дата протокола</w:t>
            </w:r>
          </w:p>
        </w:tc>
      </w:tr>
      <w:tr w:rsidR="00923660" w:rsidRPr="004761E0" w:rsidTr="00CB55EB">
        <w:trPr>
          <w:trHeight w:val="768"/>
        </w:trPr>
        <w:tc>
          <w:tcPr>
            <w:tcW w:w="545" w:type="dxa"/>
            <w:vAlign w:val="center"/>
          </w:tcPr>
          <w:p w:rsidR="00923660" w:rsidRPr="004761E0" w:rsidRDefault="00923660" w:rsidP="007076A7">
            <w:pPr>
              <w:pStyle w:val="a5"/>
              <w:numPr>
                <w:ilvl w:val="0"/>
                <w:numId w:val="54"/>
              </w:numPr>
              <w:jc w:val="left"/>
              <w:rPr>
                <w:sz w:val="20"/>
                <w:szCs w:val="20"/>
                <w:lang w:eastAsia="ru-RU"/>
              </w:rPr>
            </w:pPr>
          </w:p>
        </w:tc>
        <w:tc>
          <w:tcPr>
            <w:tcW w:w="10654" w:type="dxa"/>
            <w:vAlign w:val="center"/>
          </w:tcPr>
          <w:p w:rsidR="00923660" w:rsidRPr="004761E0" w:rsidRDefault="00923660" w:rsidP="00447B7C">
            <w:pPr>
              <w:ind w:firstLine="0"/>
              <w:jc w:val="left"/>
              <w:rPr>
                <w:sz w:val="20"/>
                <w:szCs w:val="20"/>
                <w:lang w:eastAsia="ru-RU"/>
              </w:rPr>
            </w:pPr>
            <w:r w:rsidRPr="004761E0">
              <w:rPr>
                <w:sz w:val="20"/>
                <w:szCs w:val="20"/>
                <w:lang w:eastAsia="ru-RU"/>
              </w:rPr>
              <w:t>Проведение работ по оформлению прав собственности на объекты недвижимого имущества, оформлению / переоформлению прав пользования на земельные участки на период 2011-2014 гг. с учетом выполнения работ по подготовке сведений о границах охранных зон объектов электросетевого хозяйства</w:t>
            </w:r>
          </w:p>
        </w:tc>
        <w:tc>
          <w:tcPr>
            <w:tcW w:w="1275" w:type="dxa"/>
            <w:vAlign w:val="center"/>
          </w:tcPr>
          <w:p w:rsidR="00CB55EB" w:rsidRPr="004761E0" w:rsidRDefault="00923660">
            <w:pPr>
              <w:ind w:firstLine="0"/>
              <w:jc w:val="right"/>
              <w:rPr>
                <w:sz w:val="20"/>
                <w:szCs w:val="20"/>
                <w:lang w:eastAsia="ru-RU"/>
              </w:rPr>
            </w:pPr>
            <w:r w:rsidRPr="004761E0">
              <w:rPr>
                <w:sz w:val="20"/>
                <w:szCs w:val="20"/>
                <w:lang w:eastAsia="ru-RU"/>
              </w:rPr>
              <w:t>25.11.2010</w:t>
            </w:r>
          </w:p>
        </w:tc>
        <w:tc>
          <w:tcPr>
            <w:tcW w:w="993" w:type="dxa"/>
            <w:vAlign w:val="center"/>
          </w:tcPr>
          <w:p w:rsidR="00CB55EB" w:rsidRPr="004761E0" w:rsidRDefault="00923660">
            <w:pPr>
              <w:ind w:firstLine="0"/>
              <w:jc w:val="right"/>
              <w:rPr>
                <w:sz w:val="20"/>
                <w:szCs w:val="20"/>
                <w:lang w:eastAsia="ru-RU"/>
              </w:rPr>
            </w:pPr>
            <w:r w:rsidRPr="004761E0">
              <w:rPr>
                <w:sz w:val="20"/>
                <w:szCs w:val="20"/>
                <w:lang w:eastAsia="ru-RU"/>
              </w:rPr>
              <w:t>№ 119</w:t>
            </w:r>
          </w:p>
        </w:tc>
        <w:tc>
          <w:tcPr>
            <w:tcW w:w="1343" w:type="dxa"/>
            <w:vAlign w:val="center"/>
          </w:tcPr>
          <w:p w:rsidR="00CB55EB" w:rsidRPr="004761E0" w:rsidRDefault="00923660">
            <w:pPr>
              <w:ind w:firstLine="0"/>
              <w:jc w:val="right"/>
              <w:rPr>
                <w:sz w:val="20"/>
                <w:szCs w:val="20"/>
                <w:lang w:eastAsia="ru-RU"/>
              </w:rPr>
            </w:pPr>
            <w:r w:rsidRPr="004761E0">
              <w:rPr>
                <w:sz w:val="20"/>
                <w:szCs w:val="20"/>
                <w:lang w:eastAsia="ru-RU"/>
              </w:rPr>
              <w:t xml:space="preserve">26.11.2010 </w:t>
            </w:r>
          </w:p>
        </w:tc>
      </w:tr>
      <w:tr w:rsidR="00923660" w:rsidRPr="004761E0" w:rsidTr="00CB55EB">
        <w:trPr>
          <w:trHeight w:val="516"/>
        </w:trPr>
        <w:tc>
          <w:tcPr>
            <w:tcW w:w="545" w:type="dxa"/>
            <w:vAlign w:val="center"/>
          </w:tcPr>
          <w:p w:rsidR="00923660" w:rsidRPr="004761E0" w:rsidRDefault="00923660" w:rsidP="007076A7">
            <w:pPr>
              <w:pStyle w:val="a5"/>
              <w:numPr>
                <w:ilvl w:val="0"/>
                <w:numId w:val="54"/>
              </w:numPr>
              <w:jc w:val="left"/>
              <w:rPr>
                <w:sz w:val="20"/>
                <w:szCs w:val="20"/>
                <w:lang w:eastAsia="ru-RU"/>
              </w:rPr>
            </w:pPr>
          </w:p>
        </w:tc>
        <w:tc>
          <w:tcPr>
            <w:tcW w:w="10654" w:type="dxa"/>
            <w:vAlign w:val="center"/>
          </w:tcPr>
          <w:p w:rsidR="00923660" w:rsidRPr="004761E0" w:rsidRDefault="00923660" w:rsidP="00447B7C">
            <w:pPr>
              <w:ind w:firstLine="0"/>
              <w:jc w:val="left"/>
              <w:rPr>
                <w:sz w:val="20"/>
                <w:szCs w:val="20"/>
                <w:lang w:eastAsia="ru-RU"/>
              </w:rPr>
            </w:pPr>
            <w:r w:rsidRPr="004761E0">
              <w:rPr>
                <w:sz w:val="20"/>
                <w:szCs w:val="20"/>
                <w:lang w:eastAsia="ru-RU"/>
              </w:rPr>
              <w:t xml:space="preserve">Консолидация объектов электросетевого хозяйства, находящихся в собственности </w:t>
            </w:r>
            <w:r w:rsidR="0008080E">
              <w:rPr>
                <w:sz w:val="20"/>
                <w:szCs w:val="20"/>
                <w:lang w:eastAsia="ru-RU"/>
              </w:rPr>
              <w:t>ОАО </w:t>
            </w:r>
            <w:r w:rsidRPr="004761E0">
              <w:rPr>
                <w:sz w:val="20"/>
                <w:szCs w:val="20"/>
                <w:lang w:eastAsia="ru-RU"/>
              </w:rPr>
              <w:t xml:space="preserve">«Мосэнерго» и расположенных на территории </w:t>
            </w:r>
            <w:proofErr w:type="gramStart"/>
            <w:r w:rsidRPr="004761E0">
              <w:rPr>
                <w:sz w:val="20"/>
                <w:szCs w:val="20"/>
                <w:lang w:eastAsia="ru-RU"/>
              </w:rPr>
              <w:t>г</w:t>
            </w:r>
            <w:proofErr w:type="gramEnd"/>
            <w:r w:rsidRPr="004761E0">
              <w:rPr>
                <w:sz w:val="20"/>
                <w:szCs w:val="20"/>
                <w:lang w:eastAsia="ru-RU"/>
              </w:rPr>
              <w:t>. Москвы и Московской области</w:t>
            </w:r>
          </w:p>
        </w:tc>
        <w:tc>
          <w:tcPr>
            <w:tcW w:w="1275" w:type="dxa"/>
            <w:vAlign w:val="center"/>
          </w:tcPr>
          <w:p w:rsidR="00CB55EB" w:rsidRPr="004761E0" w:rsidRDefault="00923660">
            <w:pPr>
              <w:ind w:firstLine="0"/>
              <w:jc w:val="right"/>
              <w:rPr>
                <w:sz w:val="20"/>
                <w:szCs w:val="20"/>
                <w:lang w:eastAsia="ru-RU"/>
              </w:rPr>
            </w:pPr>
            <w:r w:rsidRPr="004761E0">
              <w:rPr>
                <w:sz w:val="20"/>
                <w:szCs w:val="20"/>
                <w:lang w:eastAsia="ru-RU"/>
              </w:rPr>
              <w:t>23.12.2010</w:t>
            </w:r>
          </w:p>
        </w:tc>
        <w:tc>
          <w:tcPr>
            <w:tcW w:w="993" w:type="dxa"/>
            <w:vAlign w:val="center"/>
          </w:tcPr>
          <w:p w:rsidR="00CB55EB" w:rsidRPr="004761E0" w:rsidRDefault="00923660">
            <w:pPr>
              <w:ind w:firstLine="0"/>
              <w:jc w:val="right"/>
              <w:rPr>
                <w:sz w:val="20"/>
                <w:szCs w:val="20"/>
                <w:lang w:eastAsia="ru-RU"/>
              </w:rPr>
            </w:pPr>
            <w:r w:rsidRPr="004761E0">
              <w:rPr>
                <w:sz w:val="20"/>
                <w:szCs w:val="20"/>
                <w:lang w:eastAsia="ru-RU"/>
              </w:rPr>
              <w:t>№ 121</w:t>
            </w:r>
          </w:p>
        </w:tc>
        <w:tc>
          <w:tcPr>
            <w:tcW w:w="1343" w:type="dxa"/>
            <w:vAlign w:val="center"/>
          </w:tcPr>
          <w:p w:rsidR="00CB55EB" w:rsidRPr="004761E0" w:rsidRDefault="00923660">
            <w:pPr>
              <w:ind w:firstLine="0"/>
              <w:jc w:val="right"/>
              <w:rPr>
                <w:sz w:val="20"/>
                <w:szCs w:val="20"/>
                <w:lang w:eastAsia="ru-RU"/>
              </w:rPr>
            </w:pPr>
            <w:r w:rsidRPr="004761E0">
              <w:rPr>
                <w:sz w:val="20"/>
                <w:szCs w:val="20"/>
                <w:lang w:eastAsia="ru-RU"/>
              </w:rPr>
              <w:t xml:space="preserve">24.12.2010 </w:t>
            </w:r>
          </w:p>
        </w:tc>
      </w:tr>
      <w:tr w:rsidR="00923660" w:rsidRPr="004761E0" w:rsidTr="00CB55EB">
        <w:trPr>
          <w:trHeight w:val="437"/>
        </w:trPr>
        <w:tc>
          <w:tcPr>
            <w:tcW w:w="545" w:type="dxa"/>
            <w:vAlign w:val="center"/>
          </w:tcPr>
          <w:p w:rsidR="00923660" w:rsidRPr="004761E0" w:rsidRDefault="00923660" w:rsidP="007076A7">
            <w:pPr>
              <w:pStyle w:val="a5"/>
              <w:numPr>
                <w:ilvl w:val="0"/>
                <w:numId w:val="54"/>
              </w:numPr>
              <w:jc w:val="left"/>
              <w:rPr>
                <w:sz w:val="20"/>
                <w:szCs w:val="20"/>
                <w:lang w:eastAsia="ru-RU"/>
              </w:rPr>
            </w:pPr>
          </w:p>
        </w:tc>
        <w:tc>
          <w:tcPr>
            <w:tcW w:w="10654" w:type="dxa"/>
            <w:vAlign w:val="center"/>
          </w:tcPr>
          <w:p w:rsidR="00923660" w:rsidRPr="004761E0" w:rsidRDefault="00923660" w:rsidP="00447B7C">
            <w:pPr>
              <w:ind w:firstLine="0"/>
              <w:jc w:val="left"/>
              <w:rPr>
                <w:sz w:val="20"/>
                <w:szCs w:val="20"/>
                <w:lang w:eastAsia="ru-RU"/>
              </w:rPr>
            </w:pPr>
            <w:r w:rsidRPr="004761E0">
              <w:rPr>
                <w:sz w:val="20"/>
                <w:szCs w:val="20"/>
                <w:lang w:eastAsia="ru-RU"/>
              </w:rPr>
              <w:t xml:space="preserve">Рубка выпадающих и угрожающих падением деревьев на </w:t>
            </w:r>
            <w:proofErr w:type="gramStart"/>
            <w:r w:rsidRPr="004761E0">
              <w:rPr>
                <w:sz w:val="20"/>
                <w:szCs w:val="20"/>
                <w:lang w:eastAsia="ru-RU"/>
              </w:rPr>
              <w:t>ВЛ</w:t>
            </w:r>
            <w:proofErr w:type="gramEnd"/>
            <w:r w:rsidRPr="004761E0">
              <w:rPr>
                <w:sz w:val="20"/>
                <w:szCs w:val="20"/>
                <w:lang w:eastAsia="ru-RU"/>
              </w:rPr>
              <w:t xml:space="preserve"> 6-220 кВ на территории г. Москвы и Московской области</w:t>
            </w:r>
          </w:p>
        </w:tc>
        <w:tc>
          <w:tcPr>
            <w:tcW w:w="1275" w:type="dxa"/>
            <w:vAlign w:val="center"/>
          </w:tcPr>
          <w:p w:rsidR="00CB55EB" w:rsidRPr="004761E0" w:rsidRDefault="00923660">
            <w:pPr>
              <w:ind w:firstLine="0"/>
              <w:jc w:val="right"/>
              <w:rPr>
                <w:sz w:val="20"/>
                <w:szCs w:val="20"/>
                <w:lang w:eastAsia="ru-RU"/>
              </w:rPr>
            </w:pPr>
            <w:r w:rsidRPr="004761E0">
              <w:rPr>
                <w:sz w:val="20"/>
                <w:szCs w:val="20"/>
                <w:lang w:eastAsia="ru-RU"/>
              </w:rPr>
              <w:t>28.02.2011</w:t>
            </w:r>
          </w:p>
        </w:tc>
        <w:tc>
          <w:tcPr>
            <w:tcW w:w="993" w:type="dxa"/>
            <w:vAlign w:val="center"/>
          </w:tcPr>
          <w:p w:rsidR="00CB55EB" w:rsidRPr="004761E0" w:rsidRDefault="00923660">
            <w:pPr>
              <w:ind w:firstLine="0"/>
              <w:jc w:val="right"/>
              <w:rPr>
                <w:sz w:val="20"/>
                <w:szCs w:val="20"/>
                <w:lang w:eastAsia="ru-RU"/>
              </w:rPr>
            </w:pPr>
            <w:r w:rsidRPr="004761E0">
              <w:rPr>
                <w:sz w:val="20"/>
                <w:szCs w:val="20"/>
                <w:lang w:eastAsia="ru-RU"/>
              </w:rPr>
              <w:t>№ 128</w:t>
            </w:r>
          </w:p>
        </w:tc>
        <w:tc>
          <w:tcPr>
            <w:tcW w:w="1343" w:type="dxa"/>
            <w:vAlign w:val="center"/>
          </w:tcPr>
          <w:p w:rsidR="00CB55EB" w:rsidRPr="004761E0" w:rsidRDefault="00923660">
            <w:pPr>
              <w:ind w:firstLine="0"/>
              <w:jc w:val="right"/>
              <w:rPr>
                <w:sz w:val="20"/>
                <w:szCs w:val="20"/>
                <w:lang w:eastAsia="ru-RU"/>
              </w:rPr>
            </w:pPr>
            <w:r w:rsidRPr="004761E0">
              <w:rPr>
                <w:sz w:val="20"/>
                <w:szCs w:val="20"/>
                <w:lang w:eastAsia="ru-RU"/>
              </w:rPr>
              <w:t xml:space="preserve">28.02.2011 </w:t>
            </w:r>
          </w:p>
        </w:tc>
      </w:tr>
      <w:tr w:rsidR="00923660" w:rsidRPr="004761E0" w:rsidTr="00CB55EB">
        <w:trPr>
          <w:trHeight w:val="768"/>
        </w:trPr>
        <w:tc>
          <w:tcPr>
            <w:tcW w:w="545" w:type="dxa"/>
            <w:vAlign w:val="center"/>
          </w:tcPr>
          <w:p w:rsidR="00923660" w:rsidRPr="004761E0" w:rsidRDefault="00923660" w:rsidP="007076A7">
            <w:pPr>
              <w:pStyle w:val="a5"/>
              <w:numPr>
                <w:ilvl w:val="0"/>
                <w:numId w:val="54"/>
              </w:numPr>
              <w:jc w:val="left"/>
              <w:rPr>
                <w:sz w:val="20"/>
                <w:szCs w:val="20"/>
                <w:lang w:eastAsia="ru-RU"/>
              </w:rPr>
            </w:pPr>
          </w:p>
        </w:tc>
        <w:tc>
          <w:tcPr>
            <w:tcW w:w="10654" w:type="dxa"/>
            <w:vAlign w:val="center"/>
          </w:tcPr>
          <w:p w:rsidR="00923660" w:rsidRPr="004761E0" w:rsidRDefault="00923660" w:rsidP="00447B7C">
            <w:pPr>
              <w:ind w:firstLine="0"/>
              <w:jc w:val="left"/>
              <w:rPr>
                <w:sz w:val="20"/>
                <w:szCs w:val="20"/>
                <w:lang w:eastAsia="ru-RU"/>
              </w:rPr>
            </w:pPr>
            <w:r w:rsidRPr="004761E0">
              <w:rPr>
                <w:sz w:val="20"/>
                <w:szCs w:val="20"/>
                <w:lang w:eastAsia="ru-RU"/>
              </w:rPr>
              <w:t>Обеспечение Обществом установленного органами исполнительной власти субъектов Российской Федерации в области государственного регулирования тарифов уровня надежности и качества оказываемых услуг в соответствии с нормативными правовыми актами</w:t>
            </w:r>
          </w:p>
        </w:tc>
        <w:tc>
          <w:tcPr>
            <w:tcW w:w="1275" w:type="dxa"/>
            <w:vAlign w:val="center"/>
          </w:tcPr>
          <w:p w:rsidR="00CB55EB" w:rsidRPr="004761E0" w:rsidRDefault="00923660">
            <w:pPr>
              <w:ind w:firstLine="0"/>
              <w:jc w:val="right"/>
              <w:rPr>
                <w:sz w:val="20"/>
                <w:szCs w:val="20"/>
                <w:lang w:eastAsia="ru-RU"/>
              </w:rPr>
            </w:pPr>
            <w:r w:rsidRPr="004761E0">
              <w:rPr>
                <w:sz w:val="20"/>
                <w:szCs w:val="20"/>
                <w:lang w:eastAsia="ru-RU"/>
              </w:rPr>
              <w:t>23.09.2011</w:t>
            </w:r>
          </w:p>
        </w:tc>
        <w:tc>
          <w:tcPr>
            <w:tcW w:w="993" w:type="dxa"/>
            <w:vAlign w:val="center"/>
          </w:tcPr>
          <w:p w:rsidR="00CB55EB" w:rsidRPr="004761E0" w:rsidRDefault="00923660">
            <w:pPr>
              <w:ind w:firstLine="0"/>
              <w:jc w:val="right"/>
              <w:rPr>
                <w:sz w:val="20"/>
                <w:szCs w:val="20"/>
                <w:lang w:eastAsia="ru-RU"/>
              </w:rPr>
            </w:pPr>
            <w:r w:rsidRPr="004761E0">
              <w:rPr>
                <w:sz w:val="20"/>
                <w:szCs w:val="20"/>
                <w:lang w:eastAsia="ru-RU"/>
              </w:rPr>
              <w:t>№ 147</w:t>
            </w:r>
          </w:p>
        </w:tc>
        <w:tc>
          <w:tcPr>
            <w:tcW w:w="1343" w:type="dxa"/>
            <w:vAlign w:val="center"/>
          </w:tcPr>
          <w:p w:rsidR="00CB55EB" w:rsidRPr="004761E0" w:rsidRDefault="00923660">
            <w:pPr>
              <w:ind w:firstLine="0"/>
              <w:jc w:val="right"/>
              <w:rPr>
                <w:sz w:val="20"/>
                <w:szCs w:val="20"/>
                <w:lang w:eastAsia="ru-RU"/>
              </w:rPr>
            </w:pPr>
            <w:r w:rsidRPr="004761E0">
              <w:rPr>
                <w:sz w:val="20"/>
                <w:szCs w:val="20"/>
                <w:lang w:eastAsia="ru-RU"/>
              </w:rPr>
              <w:t xml:space="preserve">26.09.2011 </w:t>
            </w:r>
          </w:p>
        </w:tc>
      </w:tr>
      <w:tr w:rsidR="00923660" w:rsidRPr="004761E0" w:rsidTr="00CB55EB">
        <w:trPr>
          <w:trHeight w:val="470"/>
        </w:trPr>
        <w:tc>
          <w:tcPr>
            <w:tcW w:w="545" w:type="dxa"/>
            <w:vAlign w:val="center"/>
          </w:tcPr>
          <w:p w:rsidR="00923660" w:rsidRPr="004761E0" w:rsidRDefault="00923660" w:rsidP="007076A7">
            <w:pPr>
              <w:pStyle w:val="a5"/>
              <w:numPr>
                <w:ilvl w:val="0"/>
                <w:numId w:val="54"/>
              </w:numPr>
              <w:jc w:val="left"/>
              <w:rPr>
                <w:sz w:val="20"/>
                <w:szCs w:val="20"/>
                <w:lang w:eastAsia="ru-RU"/>
              </w:rPr>
            </w:pPr>
          </w:p>
        </w:tc>
        <w:tc>
          <w:tcPr>
            <w:tcW w:w="10654" w:type="dxa"/>
            <w:vAlign w:val="center"/>
          </w:tcPr>
          <w:p w:rsidR="00923660" w:rsidRPr="004761E0" w:rsidRDefault="00923660" w:rsidP="00447B7C">
            <w:pPr>
              <w:ind w:firstLine="0"/>
              <w:jc w:val="left"/>
              <w:rPr>
                <w:sz w:val="20"/>
                <w:szCs w:val="20"/>
                <w:lang w:eastAsia="ru-RU"/>
              </w:rPr>
            </w:pPr>
            <w:r w:rsidRPr="004761E0">
              <w:rPr>
                <w:sz w:val="20"/>
                <w:szCs w:val="20"/>
                <w:lang w:eastAsia="ru-RU"/>
              </w:rPr>
              <w:t>Внедрение системы управления строительством важнейших инвестиционных проектов</w:t>
            </w:r>
          </w:p>
        </w:tc>
        <w:tc>
          <w:tcPr>
            <w:tcW w:w="1275" w:type="dxa"/>
            <w:vAlign w:val="center"/>
          </w:tcPr>
          <w:p w:rsidR="00CB55EB" w:rsidRPr="004761E0" w:rsidRDefault="00923660">
            <w:pPr>
              <w:ind w:firstLine="0"/>
              <w:jc w:val="right"/>
              <w:rPr>
                <w:sz w:val="20"/>
                <w:szCs w:val="20"/>
                <w:lang w:eastAsia="ru-RU"/>
              </w:rPr>
            </w:pPr>
            <w:r w:rsidRPr="004761E0">
              <w:rPr>
                <w:sz w:val="20"/>
                <w:szCs w:val="20"/>
                <w:lang w:eastAsia="ru-RU"/>
              </w:rPr>
              <w:t>23.11.2011</w:t>
            </w:r>
          </w:p>
        </w:tc>
        <w:tc>
          <w:tcPr>
            <w:tcW w:w="993" w:type="dxa"/>
            <w:vAlign w:val="center"/>
          </w:tcPr>
          <w:p w:rsidR="00CB55EB" w:rsidRPr="004761E0" w:rsidRDefault="00923660">
            <w:pPr>
              <w:ind w:firstLine="0"/>
              <w:jc w:val="right"/>
              <w:rPr>
                <w:sz w:val="20"/>
                <w:szCs w:val="20"/>
                <w:lang w:eastAsia="ru-RU"/>
              </w:rPr>
            </w:pPr>
            <w:r w:rsidRPr="004761E0">
              <w:rPr>
                <w:sz w:val="20"/>
                <w:szCs w:val="20"/>
                <w:lang w:eastAsia="ru-RU"/>
              </w:rPr>
              <w:t>№ 152</w:t>
            </w:r>
          </w:p>
        </w:tc>
        <w:tc>
          <w:tcPr>
            <w:tcW w:w="1343" w:type="dxa"/>
            <w:vAlign w:val="center"/>
          </w:tcPr>
          <w:p w:rsidR="00CB55EB" w:rsidRPr="004761E0" w:rsidRDefault="00923660">
            <w:pPr>
              <w:ind w:firstLine="0"/>
              <w:jc w:val="right"/>
              <w:rPr>
                <w:sz w:val="20"/>
                <w:szCs w:val="20"/>
                <w:lang w:eastAsia="ru-RU"/>
              </w:rPr>
            </w:pPr>
            <w:r w:rsidRPr="004761E0">
              <w:rPr>
                <w:sz w:val="20"/>
                <w:szCs w:val="20"/>
                <w:lang w:eastAsia="ru-RU"/>
              </w:rPr>
              <w:t xml:space="preserve">26.09.2011 </w:t>
            </w:r>
          </w:p>
        </w:tc>
      </w:tr>
      <w:tr w:rsidR="00923660" w:rsidRPr="004761E0" w:rsidTr="00CB55EB">
        <w:trPr>
          <w:trHeight w:val="476"/>
        </w:trPr>
        <w:tc>
          <w:tcPr>
            <w:tcW w:w="545" w:type="dxa"/>
            <w:vAlign w:val="center"/>
          </w:tcPr>
          <w:p w:rsidR="00923660" w:rsidRPr="004761E0" w:rsidRDefault="00923660" w:rsidP="007076A7">
            <w:pPr>
              <w:pStyle w:val="a5"/>
              <w:numPr>
                <w:ilvl w:val="0"/>
                <w:numId w:val="54"/>
              </w:numPr>
              <w:jc w:val="left"/>
              <w:rPr>
                <w:sz w:val="20"/>
                <w:szCs w:val="20"/>
                <w:lang w:eastAsia="ru-RU"/>
              </w:rPr>
            </w:pPr>
          </w:p>
        </w:tc>
        <w:tc>
          <w:tcPr>
            <w:tcW w:w="10654" w:type="dxa"/>
            <w:vAlign w:val="center"/>
          </w:tcPr>
          <w:p w:rsidR="00923660" w:rsidRPr="004761E0" w:rsidRDefault="00923660" w:rsidP="00634AE9">
            <w:pPr>
              <w:ind w:firstLine="0"/>
              <w:jc w:val="left"/>
              <w:rPr>
                <w:sz w:val="20"/>
                <w:szCs w:val="20"/>
                <w:lang w:eastAsia="ru-RU"/>
              </w:rPr>
            </w:pPr>
            <w:r w:rsidRPr="004761E0">
              <w:rPr>
                <w:sz w:val="20"/>
                <w:szCs w:val="20"/>
                <w:lang w:eastAsia="ru-RU"/>
              </w:rPr>
              <w:t>Строительство и эксплуатация волоконно-оптических линий связи</w:t>
            </w:r>
          </w:p>
        </w:tc>
        <w:tc>
          <w:tcPr>
            <w:tcW w:w="1275" w:type="dxa"/>
            <w:vAlign w:val="center"/>
          </w:tcPr>
          <w:p w:rsidR="00CB55EB" w:rsidRPr="004761E0" w:rsidRDefault="00923660">
            <w:pPr>
              <w:ind w:firstLine="0"/>
              <w:jc w:val="right"/>
              <w:rPr>
                <w:sz w:val="20"/>
                <w:szCs w:val="20"/>
                <w:lang w:eastAsia="ru-RU"/>
              </w:rPr>
            </w:pPr>
            <w:r w:rsidRPr="004761E0">
              <w:rPr>
                <w:sz w:val="20"/>
                <w:szCs w:val="20"/>
                <w:lang w:eastAsia="ru-RU"/>
              </w:rPr>
              <w:t>23.03.2012</w:t>
            </w:r>
          </w:p>
        </w:tc>
        <w:tc>
          <w:tcPr>
            <w:tcW w:w="993" w:type="dxa"/>
            <w:vAlign w:val="center"/>
          </w:tcPr>
          <w:p w:rsidR="00CB55EB" w:rsidRPr="004761E0" w:rsidRDefault="00923660">
            <w:pPr>
              <w:ind w:firstLine="0"/>
              <w:jc w:val="right"/>
              <w:rPr>
                <w:sz w:val="20"/>
                <w:szCs w:val="20"/>
                <w:lang w:eastAsia="ru-RU"/>
              </w:rPr>
            </w:pPr>
            <w:r w:rsidRPr="004761E0">
              <w:rPr>
                <w:sz w:val="20"/>
                <w:szCs w:val="20"/>
                <w:lang w:eastAsia="ru-RU"/>
              </w:rPr>
              <w:t>№ 164</w:t>
            </w:r>
          </w:p>
        </w:tc>
        <w:tc>
          <w:tcPr>
            <w:tcW w:w="1343" w:type="dxa"/>
            <w:vAlign w:val="center"/>
          </w:tcPr>
          <w:p w:rsidR="00CB55EB" w:rsidRPr="004761E0" w:rsidRDefault="00923660">
            <w:pPr>
              <w:ind w:firstLine="0"/>
              <w:jc w:val="right"/>
              <w:rPr>
                <w:sz w:val="20"/>
                <w:szCs w:val="20"/>
                <w:lang w:eastAsia="ru-RU"/>
              </w:rPr>
            </w:pPr>
            <w:r w:rsidRPr="004761E0">
              <w:rPr>
                <w:sz w:val="20"/>
                <w:szCs w:val="20"/>
                <w:lang w:eastAsia="ru-RU"/>
              </w:rPr>
              <w:t xml:space="preserve">26.03.2012 </w:t>
            </w:r>
          </w:p>
        </w:tc>
      </w:tr>
      <w:tr w:rsidR="00923660" w:rsidRPr="004761E0" w:rsidTr="00CB55EB">
        <w:trPr>
          <w:trHeight w:val="127"/>
        </w:trPr>
        <w:tc>
          <w:tcPr>
            <w:tcW w:w="545" w:type="dxa"/>
            <w:vAlign w:val="center"/>
          </w:tcPr>
          <w:p w:rsidR="00923660" w:rsidRPr="004761E0" w:rsidRDefault="00923660" w:rsidP="007076A7">
            <w:pPr>
              <w:pStyle w:val="a5"/>
              <w:numPr>
                <w:ilvl w:val="0"/>
                <w:numId w:val="54"/>
              </w:numPr>
              <w:jc w:val="left"/>
              <w:rPr>
                <w:sz w:val="20"/>
                <w:szCs w:val="20"/>
                <w:lang w:eastAsia="ru-RU"/>
              </w:rPr>
            </w:pPr>
          </w:p>
        </w:tc>
        <w:tc>
          <w:tcPr>
            <w:tcW w:w="10654" w:type="dxa"/>
            <w:vAlign w:val="center"/>
          </w:tcPr>
          <w:p w:rsidR="00923660" w:rsidRPr="004761E0" w:rsidRDefault="00923660" w:rsidP="00634AE9">
            <w:pPr>
              <w:ind w:firstLine="0"/>
              <w:jc w:val="left"/>
              <w:rPr>
                <w:sz w:val="20"/>
                <w:szCs w:val="20"/>
                <w:lang w:eastAsia="ru-RU"/>
              </w:rPr>
            </w:pPr>
            <w:r w:rsidRPr="004761E0">
              <w:rPr>
                <w:sz w:val="20"/>
                <w:szCs w:val="20"/>
                <w:lang w:eastAsia="ru-RU"/>
              </w:rPr>
              <w:t>Внедрение Системы Авто</w:t>
            </w:r>
            <w:r w:rsidR="00634AE9" w:rsidRPr="004761E0">
              <w:rPr>
                <w:sz w:val="20"/>
                <w:szCs w:val="20"/>
                <w:lang w:eastAsia="ru-RU"/>
              </w:rPr>
              <w:t xml:space="preserve">матизированного проектирования </w:t>
            </w:r>
            <w:r w:rsidRPr="004761E0">
              <w:rPr>
                <w:sz w:val="20"/>
                <w:szCs w:val="20"/>
                <w:lang w:eastAsia="ru-RU"/>
              </w:rPr>
              <w:t xml:space="preserve">воздушных линий электропередачи 35 кВ и выше в </w:t>
            </w:r>
            <w:r w:rsidR="0008080E">
              <w:rPr>
                <w:sz w:val="20"/>
                <w:szCs w:val="20"/>
                <w:lang w:eastAsia="ru-RU"/>
              </w:rPr>
              <w:t>ОАО </w:t>
            </w:r>
            <w:r w:rsidRPr="004761E0">
              <w:rPr>
                <w:sz w:val="20"/>
                <w:szCs w:val="20"/>
                <w:lang w:eastAsia="ru-RU"/>
              </w:rPr>
              <w:t>«МОЭСК»</w:t>
            </w:r>
          </w:p>
        </w:tc>
        <w:tc>
          <w:tcPr>
            <w:tcW w:w="1275" w:type="dxa"/>
            <w:vAlign w:val="center"/>
          </w:tcPr>
          <w:p w:rsidR="00CB55EB" w:rsidRPr="004761E0" w:rsidRDefault="00923660">
            <w:pPr>
              <w:ind w:firstLine="0"/>
              <w:jc w:val="right"/>
              <w:rPr>
                <w:sz w:val="20"/>
                <w:szCs w:val="20"/>
                <w:lang w:eastAsia="ru-RU"/>
              </w:rPr>
            </w:pPr>
            <w:r w:rsidRPr="004761E0">
              <w:rPr>
                <w:sz w:val="20"/>
                <w:szCs w:val="20"/>
                <w:lang w:eastAsia="ru-RU"/>
              </w:rPr>
              <w:t>30.05.2012</w:t>
            </w:r>
          </w:p>
        </w:tc>
        <w:tc>
          <w:tcPr>
            <w:tcW w:w="993" w:type="dxa"/>
            <w:vAlign w:val="center"/>
          </w:tcPr>
          <w:p w:rsidR="00CB55EB" w:rsidRPr="004761E0" w:rsidRDefault="00923660">
            <w:pPr>
              <w:ind w:firstLine="0"/>
              <w:jc w:val="right"/>
              <w:rPr>
                <w:sz w:val="20"/>
                <w:szCs w:val="20"/>
                <w:lang w:eastAsia="ru-RU"/>
              </w:rPr>
            </w:pPr>
            <w:r w:rsidRPr="004761E0">
              <w:rPr>
                <w:sz w:val="20"/>
                <w:szCs w:val="20"/>
                <w:lang w:eastAsia="ru-RU"/>
              </w:rPr>
              <w:t>№ 170</w:t>
            </w:r>
          </w:p>
        </w:tc>
        <w:tc>
          <w:tcPr>
            <w:tcW w:w="1343" w:type="dxa"/>
            <w:vAlign w:val="center"/>
          </w:tcPr>
          <w:p w:rsidR="00CB55EB" w:rsidRPr="004761E0" w:rsidRDefault="00923660">
            <w:pPr>
              <w:ind w:firstLine="0"/>
              <w:jc w:val="right"/>
              <w:rPr>
                <w:sz w:val="20"/>
                <w:szCs w:val="20"/>
                <w:lang w:eastAsia="ru-RU"/>
              </w:rPr>
            </w:pPr>
            <w:r w:rsidRPr="004761E0">
              <w:rPr>
                <w:sz w:val="20"/>
                <w:szCs w:val="20"/>
                <w:lang w:eastAsia="ru-RU"/>
              </w:rPr>
              <w:t xml:space="preserve">01.06.2012 </w:t>
            </w:r>
          </w:p>
        </w:tc>
      </w:tr>
      <w:tr w:rsidR="00923660" w:rsidRPr="004761E0" w:rsidTr="00CB55EB">
        <w:trPr>
          <w:trHeight w:val="490"/>
        </w:trPr>
        <w:tc>
          <w:tcPr>
            <w:tcW w:w="545" w:type="dxa"/>
            <w:vAlign w:val="center"/>
          </w:tcPr>
          <w:p w:rsidR="00923660" w:rsidRPr="004761E0" w:rsidRDefault="00923660" w:rsidP="007076A7">
            <w:pPr>
              <w:pStyle w:val="a5"/>
              <w:numPr>
                <w:ilvl w:val="0"/>
                <w:numId w:val="54"/>
              </w:numPr>
              <w:jc w:val="left"/>
              <w:rPr>
                <w:sz w:val="20"/>
                <w:szCs w:val="20"/>
                <w:lang w:eastAsia="ru-RU"/>
              </w:rPr>
            </w:pPr>
          </w:p>
        </w:tc>
        <w:tc>
          <w:tcPr>
            <w:tcW w:w="10654" w:type="dxa"/>
            <w:vAlign w:val="center"/>
          </w:tcPr>
          <w:p w:rsidR="00923660" w:rsidRPr="004761E0" w:rsidRDefault="00923660" w:rsidP="00447B7C">
            <w:pPr>
              <w:ind w:firstLine="0"/>
              <w:jc w:val="left"/>
              <w:rPr>
                <w:sz w:val="20"/>
                <w:szCs w:val="20"/>
                <w:lang w:eastAsia="ru-RU"/>
              </w:rPr>
            </w:pPr>
            <w:r w:rsidRPr="004761E0">
              <w:rPr>
                <w:sz w:val="20"/>
                <w:szCs w:val="20"/>
                <w:lang w:eastAsia="ru-RU"/>
              </w:rPr>
              <w:t xml:space="preserve">Участие в создании зарядной инфраструктуры для электротранспорта на территории </w:t>
            </w:r>
            <w:proofErr w:type="gramStart"/>
            <w:r w:rsidRPr="004761E0">
              <w:rPr>
                <w:sz w:val="20"/>
                <w:szCs w:val="20"/>
                <w:lang w:eastAsia="ru-RU"/>
              </w:rPr>
              <w:t>г</w:t>
            </w:r>
            <w:proofErr w:type="gramEnd"/>
            <w:r w:rsidRPr="004761E0">
              <w:rPr>
                <w:sz w:val="20"/>
                <w:szCs w:val="20"/>
                <w:lang w:eastAsia="ru-RU"/>
              </w:rPr>
              <w:t>. Москвы и Московской области</w:t>
            </w:r>
          </w:p>
        </w:tc>
        <w:tc>
          <w:tcPr>
            <w:tcW w:w="1275" w:type="dxa"/>
            <w:vAlign w:val="center"/>
          </w:tcPr>
          <w:p w:rsidR="00CB55EB" w:rsidRPr="004761E0" w:rsidRDefault="00923660">
            <w:pPr>
              <w:ind w:firstLine="0"/>
              <w:jc w:val="right"/>
              <w:rPr>
                <w:sz w:val="20"/>
                <w:szCs w:val="20"/>
                <w:lang w:eastAsia="ru-RU"/>
              </w:rPr>
            </w:pPr>
            <w:r w:rsidRPr="004761E0">
              <w:rPr>
                <w:sz w:val="20"/>
                <w:szCs w:val="20"/>
                <w:lang w:eastAsia="ru-RU"/>
              </w:rPr>
              <w:t>22.06.2012</w:t>
            </w:r>
          </w:p>
        </w:tc>
        <w:tc>
          <w:tcPr>
            <w:tcW w:w="993" w:type="dxa"/>
            <w:vAlign w:val="center"/>
          </w:tcPr>
          <w:p w:rsidR="00CB55EB" w:rsidRPr="004761E0" w:rsidRDefault="00923660">
            <w:pPr>
              <w:ind w:firstLine="0"/>
              <w:jc w:val="right"/>
              <w:rPr>
                <w:sz w:val="20"/>
                <w:szCs w:val="20"/>
                <w:lang w:eastAsia="ru-RU"/>
              </w:rPr>
            </w:pPr>
            <w:r w:rsidRPr="004761E0">
              <w:rPr>
                <w:sz w:val="20"/>
                <w:szCs w:val="20"/>
                <w:lang w:eastAsia="ru-RU"/>
              </w:rPr>
              <w:t>№ 174</w:t>
            </w:r>
          </w:p>
        </w:tc>
        <w:tc>
          <w:tcPr>
            <w:tcW w:w="1343" w:type="dxa"/>
            <w:vAlign w:val="center"/>
          </w:tcPr>
          <w:p w:rsidR="00CB55EB" w:rsidRPr="004761E0" w:rsidRDefault="00923660">
            <w:pPr>
              <w:ind w:firstLine="0"/>
              <w:jc w:val="right"/>
              <w:rPr>
                <w:sz w:val="20"/>
                <w:szCs w:val="20"/>
                <w:lang w:eastAsia="ru-RU"/>
              </w:rPr>
            </w:pPr>
            <w:r w:rsidRPr="004761E0">
              <w:rPr>
                <w:sz w:val="20"/>
                <w:szCs w:val="20"/>
                <w:lang w:eastAsia="ru-RU"/>
              </w:rPr>
              <w:t xml:space="preserve">25.06.2012 </w:t>
            </w:r>
          </w:p>
        </w:tc>
      </w:tr>
      <w:tr w:rsidR="00923660" w:rsidRPr="004761E0" w:rsidTr="00CB55EB">
        <w:trPr>
          <w:trHeight w:val="498"/>
        </w:trPr>
        <w:tc>
          <w:tcPr>
            <w:tcW w:w="545" w:type="dxa"/>
            <w:vAlign w:val="center"/>
          </w:tcPr>
          <w:p w:rsidR="00923660" w:rsidRPr="004761E0" w:rsidRDefault="00923660" w:rsidP="007076A7">
            <w:pPr>
              <w:pStyle w:val="a5"/>
              <w:numPr>
                <w:ilvl w:val="0"/>
                <w:numId w:val="54"/>
              </w:numPr>
              <w:jc w:val="left"/>
              <w:rPr>
                <w:sz w:val="20"/>
                <w:szCs w:val="20"/>
                <w:lang w:eastAsia="ru-RU"/>
              </w:rPr>
            </w:pPr>
          </w:p>
        </w:tc>
        <w:tc>
          <w:tcPr>
            <w:tcW w:w="10654" w:type="dxa"/>
            <w:vAlign w:val="center"/>
          </w:tcPr>
          <w:p w:rsidR="00923660" w:rsidRPr="004761E0" w:rsidRDefault="00923660" w:rsidP="00447B7C">
            <w:pPr>
              <w:ind w:firstLine="0"/>
              <w:jc w:val="left"/>
              <w:rPr>
                <w:sz w:val="20"/>
                <w:szCs w:val="20"/>
                <w:lang w:eastAsia="ru-RU"/>
              </w:rPr>
            </w:pPr>
            <w:r w:rsidRPr="004761E0">
              <w:rPr>
                <w:sz w:val="20"/>
                <w:szCs w:val="20"/>
                <w:lang w:eastAsia="ru-RU"/>
              </w:rPr>
              <w:t>Урегулирование дебиторской задолженности с участниками системы «Одного окна»</w:t>
            </w:r>
          </w:p>
        </w:tc>
        <w:tc>
          <w:tcPr>
            <w:tcW w:w="1275" w:type="dxa"/>
            <w:vAlign w:val="center"/>
          </w:tcPr>
          <w:p w:rsidR="00CB55EB" w:rsidRPr="004761E0" w:rsidRDefault="00923660">
            <w:pPr>
              <w:ind w:firstLine="0"/>
              <w:jc w:val="right"/>
              <w:rPr>
                <w:sz w:val="20"/>
                <w:szCs w:val="20"/>
                <w:lang w:eastAsia="ru-RU"/>
              </w:rPr>
            </w:pPr>
            <w:r w:rsidRPr="004761E0">
              <w:rPr>
                <w:sz w:val="20"/>
                <w:szCs w:val="20"/>
                <w:lang w:eastAsia="ru-RU"/>
              </w:rPr>
              <w:t>24.08.2012</w:t>
            </w:r>
          </w:p>
        </w:tc>
        <w:tc>
          <w:tcPr>
            <w:tcW w:w="993" w:type="dxa"/>
            <w:vAlign w:val="center"/>
          </w:tcPr>
          <w:p w:rsidR="00CB55EB" w:rsidRPr="004761E0" w:rsidRDefault="00923660">
            <w:pPr>
              <w:ind w:firstLine="0"/>
              <w:jc w:val="right"/>
              <w:rPr>
                <w:sz w:val="20"/>
                <w:szCs w:val="20"/>
                <w:lang w:eastAsia="ru-RU"/>
              </w:rPr>
            </w:pPr>
            <w:r w:rsidRPr="004761E0">
              <w:rPr>
                <w:sz w:val="20"/>
                <w:szCs w:val="20"/>
                <w:lang w:eastAsia="ru-RU"/>
              </w:rPr>
              <w:t>№ 180</w:t>
            </w:r>
          </w:p>
        </w:tc>
        <w:tc>
          <w:tcPr>
            <w:tcW w:w="1343" w:type="dxa"/>
            <w:vAlign w:val="center"/>
          </w:tcPr>
          <w:p w:rsidR="00CB55EB" w:rsidRPr="004761E0" w:rsidRDefault="00923660">
            <w:pPr>
              <w:ind w:firstLine="0"/>
              <w:jc w:val="right"/>
              <w:rPr>
                <w:sz w:val="20"/>
                <w:szCs w:val="20"/>
                <w:lang w:eastAsia="ru-RU"/>
              </w:rPr>
            </w:pPr>
            <w:r w:rsidRPr="004761E0">
              <w:rPr>
                <w:sz w:val="20"/>
                <w:szCs w:val="20"/>
                <w:lang w:eastAsia="ru-RU"/>
              </w:rPr>
              <w:t xml:space="preserve">27.08.2012 </w:t>
            </w:r>
          </w:p>
        </w:tc>
      </w:tr>
      <w:tr w:rsidR="00923660" w:rsidRPr="004761E0" w:rsidTr="00CB55EB">
        <w:trPr>
          <w:trHeight w:val="419"/>
        </w:trPr>
        <w:tc>
          <w:tcPr>
            <w:tcW w:w="545" w:type="dxa"/>
            <w:vAlign w:val="center"/>
          </w:tcPr>
          <w:p w:rsidR="00923660" w:rsidRPr="004761E0" w:rsidRDefault="00923660" w:rsidP="007076A7">
            <w:pPr>
              <w:pStyle w:val="a5"/>
              <w:numPr>
                <w:ilvl w:val="0"/>
                <w:numId w:val="54"/>
              </w:numPr>
              <w:jc w:val="left"/>
              <w:rPr>
                <w:sz w:val="20"/>
                <w:szCs w:val="20"/>
                <w:lang w:eastAsia="ru-RU"/>
              </w:rPr>
            </w:pPr>
          </w:p>
        </w:tc>
        <w:tc>
          <w:tcPr>
            <w:tcW w:w="10654" w:type="dxa"/>
            <w:vAlign w:val="center"/>
          </w:tcPr>
          <w:p w:rsidR="00923660" w:rsidRPr="004761E0" w:rsidRDefault="00923660" w:rsidP="00447B7C">
            <w:pPr>
              <w:ind w:firstLine="0"/>
              <w:jc w:val="left"/>
              <w:rPr>
                <w:sz w:val="20"/>
                <w:szCs w:val="20"/>
                <w:lang w:eastAsia="ru-RU"/>
              </w:rPr>
            </w:pPr>
            <w:r w:rsidRPr="004761E0">
              <w:rPr>
                <w:sz w:val="20"/>
                <w:szCs w:val="20"/>
                <w:lang w:eastAsia="ru-RU"/>
              </w:rPr>
              <w:t>Внедрение системы управления производственными активами в Обществе</w:t>
            </w:r>
          </w:p>
        </w:tc>
        <w:tc>
          <w:tcPr>
            <w:tcW w:w="1275" w:type="dxa"/>
            <w:vAlign w:val="center"/>
          </w:tcPr>
          <w:p w:rsidR="00CB55EB" w:rsidRPr="004761E0" w:rsidRDefault="00923660">
            <w:pPr>
              <w:ind w:firstLine="0"/>
              <w:jc w:val="right"/>
              <w:rPr>
                <w:sz w:val="20"/>
                <w:szCs w:val="20"/>
                <w:lang w:eastAsia="ru-RU"/>
              </w:rPr>
            </w:pPr>
            <w:r w:rsidRPr="004761E0">
              <w:rPr>
                <w:sz w:val="20"/>
                <w:szCs w:val="20"/>
                <w:lang w:eastAsia="ru-RU"/>
              </w:rPr>
              <w:t>08.11.2012</w:t>
            </w:r>
          </w:p>
        </w:tc>
        <w:tc>
          <w:tcPr>
            <w:tcW w:w="993" w:type="dxa"/>
            <w:vAlign w:val="center"/>
          </w:tcPr>
          <w:p w:rsidR="00CB55EB" w:rsidRPr="004761E0" w:rsidRDefault="00923660">
            <w:pPr>
              <w:ind w:firstLine="0"/>
              <w:jc w:val="right"/>
              <w:rPr>
                <w:sz w:val="20"/>
                <w:szCs w:val="20"/>
                <w:lang w:eastAsia="ru-RU"/>
              </w:rPr>
            </w:pPr>
            <w:r w:rsidRPr="004761E0">
              <w:rPr>
                <w:sz w:val="20"/>
                <w:szCs w:val="20"/>
                <w:lang w:eastAsia="ru-RU"/>
              </w:rPr>
              <w:t>№ 185</w:t>
            </w:r>
          </w:p>
        </w:tc>
        <w:tc>
          <w:tcPr>
            <w:tcW w:w="1343" w:type="dxa"/>
            <w:vAlign w:val="center"/>
          </w:tcPr>
          <w:p w:rsidR="00CB55EB" w:rsidRPr="004761E0" w:rsidRDefault="00923660">
            <w:pPr>
              <w:ind w:firstLine="0"/>
              <w:jc w:val="right"/>
              <w:rPr>
                <w:sz w:val="20"/>
                <w:szCs w:val="20"/>
                <w:lang w:eastAsia="ru-RU"/>
              </w:rPr>
            </w:pPr>
            <w:r w:rsidRPr="004761E0">
              <w:rPr>
                <w:sz w:val="20"/>
                <w:szCs w:val="20"/>
                <w:lang w:eastAsia="ru-RU"/>
              </w:rPr>
              <w:t xml:space="preserve">09.11.2012 </w:t>
            </w:r>
          </w:p>
        </w:tc>
      </w:tr>
      <w:tr w:rsidR="00923660" w:rsidRPr="004761E0" w:rsidTr="00CB55EB">
        <w:trPr>
          <w:trHeight w:val="411"/>
        </w:trPr>
        <w:tc>
          <w:tcPr>
            <w:tcW w:w="545" w:type="dxa"/>
            <w:vAlign w:val="center"/>
          </w:tcPr>
          <w:p w:rsidR="00923660" w:rsidRPr="004761E0" w:rsidRDefault="00923660" w:rsidP="007076A7">
            <w:pPr>
              <w:pStyle w:val="a5"/>
              <w:numPr>
                <w:ilvl w:val="0"/>
                <w:numId w:val="54"/>
              </w:numPr>
              <w:jc w:val="left"/>
              <w:rPr>
                <w:sz w:val="20"/>
                <w:szCs w:val="20"/>
                <w:lang w:eastAsia="ru-RU"/>
              </w:rPr>
            </w:pPr>
          </w:p>
        </w:tc>
        <w:tc>
          <w:tcPr>
            <w:tcW w:w="10654" w:type="dxa"/>
            <w:vAlign w:val="center"/>
          </w:tcPr>
          <w:p w:rsidR="00923660" w:rsidRPr="004761E0" w:rsidRDefault="00923660" w:rsidP="00447B7C">
            <w:pPr>
              <w:ind w:firstLine="0"/>
              <w:jc w:val="left"/>
              <w:rPr>
                <w:sz w:val="20"/>
                <w:szCs w:val="20"/>
                <w:lang w:eastAsia="ru-RU"/>
              </w:rPr>
            </w:pPr>
            <w:r w:rsidRPr="004761E0">
              <w:rPr>
                <w:sz w:val="20"/>
                <w:szCs w:val="20"/>
                <w:lang w:eastAsia="ru-RU"/>
              </w:rPr>
              <w:t xml:space="preserve">Фиксация данных максимальной разрешенной мощности ранее присоединенных потребителей к электрическим сетям </w:t>
            </w:r>
            <w:r w:rsidR="0008080E">
              <w:rPr>
                <w:sz w:val="20"/>
                <w:szCs w:val="20"/>
                <w:lang w:eastAsia="ru-RU"/>
              </w:rPr>
              <w:t>ОАО </w:t>
            </w:r>
            <w:r w:rsidRPr="004761E0">
              <w:rPr>
                <w:sz w:val="20"/>
                <w:szCs w:val="20"/>
                <w:lang w:eastAsia="ru-RU"/>
              </w:rPr>
              <w:t>«МОЭСК»</w:t>
            </w:r>
          </w:p>
        </w:tc>
        <w:tc>
          <w:tcPr>
            <w:tcW w:w="1275" w:type="dxa"/>
            <w:vAlign w:val="center"/>
          </w:tcPr>
          <w:p w:rsidR="00CB55EB" w:rsidRPr="004761E0" w:rsidRDefault="00923660">
            <w:pPr>
              <w:ind w:firstLine="0"/>
              <w:jc w:val="right"/>
              <w:rPr>
                <w:sz w:val="20"/>
                <w:szCs w:val="20"/>
                <w:lang w:eastAsia="ru-RU"/>
              </w:rPr>
            </w:pPr>
            <w:r w:rsidRPr="004761E0">
              <w:rPr>
                <w:sz w:val="20"/>
                <w:szCs w:val="20"/>
                <w:lang w:eastAsia="ru-RU"/>
              </w:rPr>
              <w:t>21.06.2013</w:t>
            </w:r>
          </w:p>
        </w:tc>
        <w:tc>
          <w:tcPr>
            <w:tcW w:w="993" w:type="dxa"/>
            <w:vAlign w:val="center"/>
          </w:tcPr>
          <w:p w:rsidR="00CB55EB" w:rsidRPr="004761E0" w:rsidRDefault="00923660">
            <w:pPr>
              <w:ind w:firstLine="0"/>
              <w:jc w:val="right"/>
              <w:rPr>
                <w:sz w:val="20"/>
                <w:szCs w:val="20"/>
                <w:lang w:eastAsia="ru-RU"/>
              </w:rPr>
            </w:pPr>
            <w:r w:rsidRPr="004761E0">
              <w:rPr>
                <w:sz w:val="20"/>
                <w:szCs w:val="20"/>
                <w:lang w:eastAsia="ru-RU"/>
              </w:rPr>
              <w:t>№ 203</w:t>
            </w:r>
          </w:p>
        </w:tc>
        <w:tc>
          <w:tcPr>
            <w:tcW w:w="1343" w:type="dxa"/>
            <w:vAlign w:val="center"/>
          </w:tcPr>
          <w:p w:rsidR="00CB55EB" w:rsidRPr="004761E0" w:rsidRDefault="00923660">
            <w:pPr>
              <w:ind w:firstLine="0"/>
              <w:jc w:val="right"/>
              <w:rPr>
                <w:sz w:val="20"/>
                <w:szCs w:val="20"/>
                <w:lang w:eastAsia="ru-RU"/>
              </w:rPr>
            </w:pPr>
            <w:r w:rsidRPr="004761E0">
              <w:rPr>
                <w:sz w:val="20"/>
                <w:szCs w:val="20"/>
                <w:lang w:eastAsia="ru-RU"/>
              </w:rPr>
              <w:t xml:space="preserve">24.06.2013 </w:t>
            </w:r>
          </w:p>
        </w:tc>
      </w:tr>
    </w:tbl>
    <w:p w:rsidR="00950820" w:rsidRPr="004761E0" w:rsidRDefault="00950820" w:rsidP="005C0219">
      <w:pPr>
        <w:pStyle w:val="a5"/>
        <w:ind w:left="1134" w:firstLine="0"/>
        <w:rPr>
          <w:lang w:eastAsia="ru-RU"/>
        </w:rPr>
      </w:pPr>
    </w:p>
    <w:p w:rsidR="00950820" w:rsidRPr="004761E0" w:rsidRDefault="00950820" w:rsidP="007076A7">
      <w:pPr>
        <w:pStyle w:val="a8"/>
        <w:numPr>
          <w:ilvl w:val="1"/>
          <w:numId w:val="50"/>
        </w:numPr>
        <w:tabs>
          <w:tab w:val="left" w:pos="1134"/>
        </w:tabs>
        <w:ind w:left="1134" w:hanging="567"/>
        <w:jc w:val="left"/>
        <w:rPr>
          <w:rFonts w:ascii="Times New Roman" w:hAnsi="Times New Roman"/>
          <w:b/>
          <w:sz w:val="26"/>
          <w:szCs w:val="26"/>
          <w:lang w:eastAsia="ru-RU"/>
        </w:rPr>
        <w:sectPr w:rsidR="00950820" w:rsidRPr="004761E0" w:rsidSect="00950820">
          <w:pgSz w:w="16840" w:h="11907" w:orient="landscape" w:code="9"/>
          <w:pgMar w:top="1134" w:right="1418" w:bottom="851" w:left="720" w:header="720" w:footer="720" w:gutter="0"/>
          <w:cols w:space="720"/>
          <w:docGrid w:linePitch="326"/>
        </w:sectPr>
      </w:pPr>
    </w:p>
    <w:p w:rsidR="00CB55EB" w:rsidRPr="004761E0" w:rsidRDefault="00CB55EB" w:rsidP="00894F72">
      <w:pPr>
        <w:spacing w:before="120" w:after="120"/>
        <w:ind w:firstLine="567"/>
        <w:rPr>
          <w:b/>
          <w:sz w:val="26"/>
          <w:szCs w:val="26"/>
          <w:lang w:eastAsia="ru-RU"/>
        </w:rPr>
      </w:pPr>
      <w:r w:rsidRPr="004761E0">
        <w:rPr>
          <w:b/>
          <w:sz w:val="26"/>
          <w:szCs w:val="26"/>
          <w:lang w:eastAsia="ru-RU"/>
        </w:rPr>
        <w:lastRenderedPageBreak/>
        <w:t>Проведение работ по оформлению прав собственности на объекты недвижимого имущества, оформлению / переоформлению прав пользования на земельные участки на период 2011-2014 гг. с учетом выполнения работ по подготовке сведений о границах охранных зон объектов электросетевого хозяйства</w:t>
      </w:r>
    </w:p>
    <w:p w:rsidR="000C5F54" w:rsidRPr="004761E0" w:rsidRDefault="00894F72" w:rsidP="00894F72">
      <w:pPr>
        <w:rPr>
          <w:sz w:val="26"/>
          <w:szCs w:val="26"/>
        </w:rPr>
      </w:pPr>
      <w:proofErr w:type="gramStart"/>
      <w:r w:rsidRPr="004761E0">
        <w:rPr>
          <w:sz w:val="26"/>
          <w:szCs w:val="26"/>
        </w:rPr>
        <w:t xml:space="preserve">В Обществе </w:t>
      </w:r>
      <w:r w:rsidR="00A26B2D" w:rsidRPr="004761E0">
        <w:rPr>
          <w:sz w:val="26"/>
          <w:szCs w:val="26"/>
        </w:rPr>
        <w:t xml:space="preserve">действует скорректированная </w:t>
      </w:r>
      <w:r w:rsidRPr="004761E0">
        <w:rPr>
          <w:sz w:val="26"/>
          <w:szCs w:val="26"/>
        </w:rPr>
        <w:t>Программа работ по оформлению прав собственности на объекты недвижимого имущества, оформлению/переоформлению прав пользования на земельные участки на период 2011-2014 гг.</w:t>
      </w:r>
      <w:r w:rsidR="00A26B2D" w:rsidRPr="006F4AB8">
        <w:rPr>
          <w:rStyle w:val="af1"/>
        </w:rPr>
        <w:footnoteReference w:id="20"/>
      </w:r>
      <w:r w:rsidRPr="004761E0">
        <w:rPr>
          <w:sz w:val="26"/>
          <w:szCs w:val="26"/>
        </w:rPr>
        <w:t xml:space="preserve"> Данная Программа ориентирована на обеспечение правовых условий использования земельно-имущественного комплекса </w:t>
      </w:r>
      <w:r w:rsidR="0008080E">
        <w:rPr>
          <w:sz w:val="26"/>
          <w:szCs w:val="26"/>
        </w:rPr>
        <w:t>ОАО </w:t>
      </w:r>
      <w:r w:rsidRPr="004761E0">
        <w:rPr>
          <w:sz w:val="26"/>
          <w:szCs w:val="26"/>
        </w:rPr>
        <w:t>«МОЭСК»</w:t>
      </w:r>
      <w:r w:rsidR="00832383" w:rsidRPr="004761E0">
        <w:rPr>
          <w:sz w:val="26"/>
          <w:szCs w:val="26"/>
        </w:rPr>
        <w:t xml:space="preserve"> и снижение</w:t>
      </w:r>
      <w:r w:rsidR="00635353" w:rsidRPr="004761E0">
        <w:rPr>
          <w:sz w:val="26"/>
          <w:szCs w:val="26"/>
        </w:rPr>
        <w:t xml:space="preserve"> правовы</w:t>
      </w:r>
      <w:r w:rsidR="00832383" w:rsidRPr="004761E0">
        <w:rPr>
          <w:sz w:val="26"/>
          <w:szCs w:val="26"/>
        </w:rPr>
        <w:t>х</w:t>
      </w:r>
      <w:r w:rsidR="00635353" w:rsidRPr="004761E0">
        <w:rPr>
          <w:sz w:val="26"/>
          <w:szCs w:val="26"/>
        </w:rPr>
        <w:t xml:space="preserve"> и экономически</w:t>
      </w:r>
      <w:r w:rsidR="00832383" w:rsidRPr="004761E0">
        <w:rPr>
          <w:sz w:val="26"/>
          <w:szCs w:val="26"/>
        </w:rPr>
        <w:t>х</w:t>
      </w:r>
      <w:r w:rsidR="00635353" w:rsidRPr="004761E0">
        <w:rPr>
          <w:sz w:val="26"/>
          <w:szCs w:val="26"/>
        </w:rPr>
        <w:t xml:space="preserve"> риск</w:t>
      </w:r>
      <w:r w:rsidR="00832383" w:rsidRPr="004761E0">
        <w:rPr>
          <w:sz w:val="26"/>
          <w:szCs w:val="26"/>
        </w:rPr>
        <w:t>ов</w:t>
      </w:r>
      <w:r w:rsidR="00635353" w:rsidRPr="004761E0">
        <w:rPr>
          <w:sz w:val="26"/>
          <w:szCs w:val="26"/>
        </w:rPr>
        <w:t xml:space="preserve"> при реализации </w:t>
      </w:r>
      <w:r w:rsidR="00832383" w:rsidRPr="004761E0">
        <w:rPr>
          <w:sz w:val="26"/>
          <w:szCs w:val="26"/>
        </w:rPr>
        <w:t>прав собственности объектами недвижимого имущества Общества.</w:t>
      </w:r>
      <w:proofErr w:type="gramEnd"/>
    </w:p>
    <w:tbl>
      <w:tblPr>
        <w:tblStyle w:val="ae"/>
        <w:tblW w:w="0" w:type="auto"/>
        <w:tblInd w:w="108" w:type="dxa"/>
        <w:tblLook w:val="04A0"/>
      </w:tblPr>
      <w:tblGrid>
        <w:gridCol w:w="567"/>
        <w:gridCol w:w="4395"/>
        <w:gridCol w:w="5244"/>
      </w:tblGrid>
      <w:tr w:rsidR="000C5F54" w:rsidRPr="004761E0" w:rsidTr="00A67680">
        <w:tc>
          <w:tcPr>
            <w:tcW w:w="567" w:type="dxa"/>
            <w:tcBorders>
              <w:right w:val="single" w:sz="4" w:space="0" w:color="FFFFFF" w:themeColor="background1"/>
            </w:tcBorders>
            <w:shd w:val="clear" w:color="auto" w:fill="0F243E" w:themeFill="text2" w:themeFillShade="80"/>
            <w:vAlign w:val="center"/>
          </w:tcPr>
          <w:p w:rsidR="000C5F54" w:rsidRPr="004761E0" w:rsidRDefault="000C5F54" w:rsidP="000C5F54">
            <w:pPr>
              <w:ind w:firstLine="0"/>
              <w:jc w:val="left"/>
              <w:rPr>
                <w:b/>
                <w:sz w:val="20"/>
                <w:szCs w:val="26"/>
              </w:rPr>
            </w:pPr>
            <w:r w:rsidRPr="004761E0">
              <w:rPr>
                <w:b/>
                <w:sz w:val="20"/>
                <w:szCs w:val="26"/>
              </w:rPr>
              <w:t xml:space="preserve">№ </w:t>
            </w:r>
            <w:proofErr w:type="gramStart"/>
            <w:r w:rsidRPr="004761E0">
              <w:rPr>
                <w:b/>
                <w:sz w:val="20"/>
                <w:szCs w:val="26"/>
              </w:rPr>
              <w:t>п</w:t>
            </w:r>
            <w:proofErr w:type="gramEnd"/>
            <w:r w:rsidRPr="004761E0">
              <w:rPr>
                <w:b/>
                <w:sz w:val="20"/>
                <w:szCs w:val="26"/>
              </w:rPr>
              <w:t>/п</w:t>
            </w:r>
          </w:p>
        </w:tc>
        <w:tc>
          <w:tcPr>
            <w:tcW w:w="4395" w:type="dxa"/>
            <w:tcBorders>
              <w:left w:val="single" w:sz="4" w:space="0" w:color="FFFFFF" w:themeColor="background1"/>
              <w:right w:val="single" w:sz="4" w:space="0" w:color="FFFFFF" w:themeColor="background1"/>
            </w:tcBorders>
            <w:shd w:val="clear" w:color="auto" w:fill="0F243E" w:themeFill="text2" w:themeFillShade="80"/>
            <w:vAlign w:val="center"/>
          </w:tcPr>
          <w:p w:rsidR="000C5F54" w:rsidRPr="004761E0" w:rsidRDefault="000C5F54" w:rsidP="000C5F54">
            <w:pPr>
              <w:ind w:firstLine="0"/>
              <w:jc w:val="left"/>
              <w:rPr>
                <w:b/>
                <w:sz w:val="20"/>
                <w:szCs w:val="26"/>
              </w:rPr>
            </w:pPr>
            <w:r w:rsidRPr="004761E0">
              <w:rPr>
                <w:b/>
                <w:sz w:val="20"/>
                <w:szCs w:val="26"/>
              </w:rPr>
              <w:t>Виды работ согласно Программе</w:t>
            </w:r>
          </w:p>
        </w:tc>
        <w:tc>
          <w:tcPr>
            <w:tcW w:w="5244" w:type="dxa"/>
            <w:tcBorders>
              <w:left w:val="single" w:sz="4" w:space="0" w:color="FFFFFF" w:themeColor="background1"/>
              <w:right w:val="single" w:sz="4" w:space="0" w:color="FFFFFF" w:themeColor="background1"/>
            </w:tcBorders>
            <w:shd w:val="clear" w:color="auto" w:fill="0F243E" w:themeFill="text2" w:themeFillShade="80"/>
            <w:vAlign w:val="center"/>
          </w:tcPr>
          <w:p w:rsidR="000C5F54" w:rsidRPr="004761E0" w:rsidRDefault="00A67680" w:rsidP="00A67680">
            <w:pPr>
              <w:ind w:firstLine="0"/>
              <w:jc w:val="left"/>
              <w:rPr>
                <w:b/>
                <w:sz w:val="20"/>
                <w:szCs w:val="26"/>
              </w:rPr>
            </w:pPr>
            <w:r w:rsidRPr="004761E0">
              <w:rPr>
                <w:b/>
                <w:sz w:val="20"/>
                <w:szCs w:val="26"/>
              </w:rPr>
              <w:t xml:space="preserve">Результаты </w:t>
            </w:r>
            <w:r w:rsidR="000C5F54" w:rsidRPr="004761E0">
              <w:rPr>
                <w:b/>
                <w:sz w:val="20"/>
                <w:szCs w:val="26"/>
              </w:rPr>
              <w:t>2013 год</w:t>
            </w:r>
            <w:r w:rsidRPr="004761E0">
              <w:rPr>
                <w:b/>
                <w:sz w:val="20"/>
                <w:szCs w:val="26"/>
              </w:rPr>
              <w:t>а</w:t>
            </w:r>
          </w:p>
        </w:tc>
      </w:tr>
      <w:tr w:rsidR="000C5F54" w:rsidRPr="004761E0" w:rsidTr="00A67680">
        <w:tc>
          <w:tcPr>
            <w:tcW w:w="567" w:type="dxa"/>
          </w:tcPr>
          <w:p w:rsidR="000C5F54" w:rsidRPr="004761E0" w:rsidRDefault="000C5F54" w:rsidP="007076A7">
            <w:pPr>
              <w:pStyle w:val="a5"/>
              <w:numPr>
                <w:ilvl w:val="0"/>
                <w:numId w:val="254"/>
              </w:numPr>
              <w:rPr>
                <w:sz w:val="20"/>
                <w:szCs w:val="26"/>
              </w:rPr>
            </w:pPr>
          </w:p>
        </w:tc>
        <w:tc>
          <w:tcPr>
            <w:tcW w:w="4395" w:type="dxa"/>
          </w:tcPr>
          <w:p w:rsidR="000C5F54" w:rsidRPr="004761E0" w:rsidRDefault="000C5F54" w:rsidP="00A67680">
            <w:pPr>
              <w:ind w:firstLine="0"/>
              <w:jc w:val="left"/>
              <w:rPr>
                <w:sz w:val="20"/>
                <w:szCs w:val="26"/>
              </w:rPr>
            </w:pPr>
            <w:r w:rsidRPr="004761E0">
              <w:rPr>
                <w:sz w:val="20"/>
                <w:szCs w:val="26"/>
              </w:rPr>
              <w:t>Кадастровый учет объектов недвижимого имущества и земельных участков</w:t>
            </w:r>
          </w:p>
        </w:tc>
        <w:tc>
          <w:tcPr>
            <w:tcW w:w="5244" w:type="dxa"/>
          </w:tcPr>
          <w:p w:rsidR="000C5F54" w:rsidRPr="004761E0" w:rsidRDefault="00A67680" w:rsidP="000C5F54">
            <w:pPr>
              <w:ind w:firstLine="0"/>
              <w:jc w:val="left"/>
              <w:rPr>
                <w:sz w:val="20"/>
                <w:szCs w:val="26"/>
              </w:rPr>
            </w:pPr>
            <w:proofErr w:type="gramStart"/>
            <w:r w:rsidRPr="004761E0">
              <w:rPr>
                <w:sz w:val="20"/>
                <w:szCs w:val="26"/>
                <w:lang w:eastAsia="ru-RU"/>
              </w:rPr>
              <w:t>Н</w:t>
            </w:r>
            <w:r w:rsidR="000C5F54" w:rsidRPr="004761E0">
              <w:rPr>
                <w:sz w:val="20"/>
                <w:szCs w:val="26"/>
                <w:lang w:eastAsia="ru-RU"/>
              </w:rPr>
              <w:t>а Государс</w:t>
            </w:r>
            <w:r w:rsidRPr="004761E0">
              <w:rPr>
                <w:sz w:val="20"/>
                <w:szCs w:val="26"/>
                <w:lang w:eastAsia="ru-RU"/>
              </w:rPr>
              <w:t>твенный кадастровый учет недвижимого имущества поста</w:t>
            </w:r>
            <w:r w:rsidR="000C5F54" w:rsidRPr="004761E0">
              <w:rPr>
                <w:sz w:val="20"/>
                <w:szCs w:val="26"/>
                <w:lang w:eastAsia="ru-RU"/>
              </w:rPr>
              <w:t>влены 7 200 земельных участков</w:t>
            </w:r>
            <w:r w:rsidRPr="004761E0">
              <w:rPr>
                <w:sz w:val="20"/>
                <w:szCs w:val="26"/>
                <w:lang w:eastAsia="ru-RU"/>
              </w:rPr>
              <w:t>.</w:t>
            </w:r>
            <w:proofErr w:type="gramEnd"/>
          </w:p>
        </w:tc>
      </w:tr>
      <w:tr w:rsidR="000C5F54" w:rsidRPr="004761E0" w:rsidTr="00A67680">
        <w:tc>
          <w:tcPr>
            <w:tcW w:w="567" w:type="dxa"/>
          </w:tcPr>
          <w:p w:rsidR="000C5F54" w:rsidRPr="004761E0" w:rsidRDefault="000C5F54" w:rsidP="007076A7">
            <w:pPr>
              <w:pStyle w:val="a5"/>
              <w:numPr>
                <w:ilvl w:val="0"/>
                <w:numId w:val="254"/>
              </w:numPr>
              <w:rPr>
                <w:sz w:val="20"/>
                <w:szCs w:val="26"/>
              </w:rPr>
            </w:pPr>
          </w:p>
        </w:tc>
        <w:tc>
          <w:tcPr>
            <w:tcW w:w="4395" w:type="dxa"/>
          </w:tcPr>
          <w:p w:rsidR="000C5F54" w:rsidRPr="004761E0" w:rsidRDefault="000C5F54" w:rsidP="00A67680">
            <w:pPr>
              <w:ind w:firstLine="0"/>
              <w:jc w:val="left"/>
              <w:rPr>
                <w:sz w:val="20"/>
                <w:szCs w:val="26"/>
              </w:rPr>
            </w:pPr>
            <w:r w:rsidRPr="004761E0">
              <w:rPr>
                <w:sz w:val="20"/>
                <w:szCs w:val="26"/>
              </w:rPr>
              <w:t>Установление охранных зон</w:t>
            </w:r>
          </w:p>
        </w:tc>
        <w:tc>
          <w:tcPr>
            <w:tcW w:w="5244" w:type="dxa"/>
          </w:tcPr>
          <w:p w:rsidR="000C5F54" w:rsidRPr="004761E0" w:rsidRDefault="00A67680" w:rsidP="0019221B">
            <w:pPr>
              <w:ind w:firstLine="0"/>
              <w:jc w:val="left"/>
              <w:rPr>
                <w:sz w:val="20"/>
                <w:szCs w:val="26"/>
              </w:rPr>
            </w:pPr>
            <w:r w:rsidRPr="004761E0">
              <w:rPr>
                <w:sz w:val="20"/>
                <w:szCs w:val="26"/>
                <w:lang w:eastAsia="ru-RU"/>
              </w:rPr>
              <w:t>П</w:t>
            </w:r>
            <w:r w:rsidR="000C5F54" w:rsidRPr="004761E0">
              <w:rPr>
                <w:sz w:val="20"/>
                <w:szCs w:val="26"/>
                <w:lang w:eastAsia="ru-RU"/>
              </w:rPr>
              <w:t xml:space="preserve">роведены работы по внесению сведений о границах охранных зон </w:t>
            </w:r>
            <w:proofErr w:type="gramStart"/>
            <w:r w:rsidR="000C5F54" w:rsidRPr="004761E0">
              <w:rPr>
                <w:sz w:val="20"/>
                <w:szCs w:val="26"/>
                <w:lang w:eastAsia="ru-RU"/>
              </w:rPr>
              <w:t>ВЛ</w:t>
            </w:r>
            <w:proofErr w:type="gramEnd"/>
            <w:r w:rsidR="0019221B">
              <w:rPr>
                <w:sz w:val="20"/>
                <w:szCs w:val="26"/>
                <w:lang w:eastAsia="ru-RU"/>
              </w:rPr>
              <w:t xml:space="preserve"> </w:t>
            </w:r>
            <w:r w:rsidR="000C5F54" w:rsidRPr="004761E0">
              <w:rPr>
                <w:sz w:val="20"/>
                <w:szCs w:val="26"/>
                <w:lang w:eastAsia="ru-RU"/>
              </w:rPr>
              <w:t>10, КЛ 35-220 кВ в государственный кадастр недвижимости – 3</w:t>
            </w:r>
            <w:r w:rsidRPr="004761E0">
              <w:rPr>
                <w:sz w:val="20"/>
                <w:szCs w:val="26"/>
                <w:lang w:eastAsia="ru-RU"/>
              </w:rPr>
              <w:t xml:space="preserve"> </w:t>
            </w:r>
            <w:r w:rsidR="000C5F54" w:rsidRPr="004761E0">
              <w:rPr>
                <w:sz w:val="20"/>
                <w:szCs w:val="26"/>
                <w:lang w:eastAsia="ru-RU"/>
              </w:rPr>
              <w:t>267 км</w:t>
            </w:r>
            <w:r w:rsidRPr="004761E0">
              <w:rPr>
                <w:sz w:val="20"/>
                <w:szCs w:val="26"/>
                <w:lang w:eastAsia="ru-RU"/>
              </w:rPr>
              <w:t>.</w:t>
            </w:r>
          </w:p>
        </w:tc>
      </w:tr>
      <w:tr w:rsidR="000C5F54" w:rsidRPr="004761E0" w:rsidTr="00A67680">
        <w:tc>
          <w:tcPr>
            <w:tcW w:w="567" w:type="dxa"/>
          </w:tcPr>
          <w:p w:rsidR="000C5F54" w:rsidRPr="004761E0" w:rsidRDefault="000C5F54" w:rsidP="007076A7">
            <w:pPr>
              <w:pStyle w:val="a5"/>
              <w:numPr>
                <w:ilvl w:val="0"/>
                <w:numId w:val="254"/>
              </w:numPr>
              <w:rPr>
                <w:sz w:val="20"/>
                <w:szCs w:val="26"/>
              </w:rPr>
            </w:pPr>
          </w:p>
        </w:tc>
        <w:tc>
          <w:tcPr>
            <w:tcW w:w="4395" w:type="dxa"/>
          </w:tcPr>
          <w:p w:rsidR="000C5F54" w:rsidRPr="004761E0" w:rsidRDefault="000C5F54" w:rsidP="00A67680">
            <w:pPr>
              <w:ind w:firstLine="0"/>
              <w:jc w:val="left"/>
              <w:rPr>
                <w:sz w:val="20"/>
                <w:szCs w:val="26"/>
              </w:rPr>
            </w:pPr>
            <w:r w:rsidRPr="004761E0">
              <w:rPr>
                <w:sz w:val="20"/>
                <w:szCs w:val="26"/>
              </w:rPr>
              <w:t>Оформление//переоформление прав на земельные участки</w:t>
            </w:r>
          </w:p>
        </w:tc>
        <w:tc>
          <w:tcPr>
            <w:tcW w:w="5244" w:type="dxa"/>
          </w:tcPr>
          <w:p w:rsidR="000C5F54" w:rsidRPr="004761E0" w:rsidRDefault="00A67680" w:rsidP="000C5F54">
            <w:pPr>
              <w:ind w:firstLine="0"/>
              <w:jc w:val="left"/>
              <w:rPr>
                <w:sz w:val="20"/>
                <w:szCs w:val="26"/>
              </w:rPr>
            </w:pPr>
            <w:proofErr w:type="gramStart"/>
            <w:r w:rsidRPr="004761E0">
              <w:rPr>
                <w:sz w:val="20"/>
                <w:szCs w:val="26"/>
                <w:lang w:eastAsia="ru-RU"/>
              </w:rPr>
              <w:t>О</w:t>
            </w:r>
            <w:r w:rsidR="000C5F54" w:rsidRPr="004761E0">
              <w:rPr>
                <w:sz w:val="20"/>
                <w:szCs w:val="26"/>
                <w:lang w:eastAsia="ru-RU"/>
              </w:rPr>
              <w:t>формлены</w:t>
            </w:r>
            <w:proofErr w:type="gramEnd"/>
            <w:r w:rsidR="000C5F54" w:rsidRPr="004761E0">
              <w:rPr>
                <w:sz w:val="20"/>
                <w:szCs w:val="26"/>
                <w:lang w:eastAsia="ru-RU"/>
              </w:rPr>
              <w:t>/переоформлены права пользования на 7 013 земельных участков</w:t>
            </w:r>
            <w:r w:rsidR="00832383" w:rsidRPr="004761E0">
              <w:rPr>
                <w:sz w:val="20"/>
                <w:szCs w:val="26"/>
                <w:lang w:eastAsia="ru-RU"/>
              </w:rPr>
              <w:t>.</w:t>
            </w:r>
          </w:p>
        </w:tc>
      </w:tr>
      <w:tr w:rsidR="000C5F54" w:rsidRPr="004761E0" w:rsidTr="00A67680">
        <w:tc>
          <w:tcPr>
            <w:tcW w:w="567" w:type="dxa"/>
          </w:tcPr>
          <w:p w:rsidR="000C5F54" w:rsidRPr="004761E0" w:rsidRDefault="000C5F54" w:rsidP="007076A7">
            <w:pPr>
              <w:pStyle w:val="a5"/>
              <w:numPr>
                <w:ilvl w:val="0"/>
                <w:numId w:val="254"/>
              </w:numPr>
              <w:rPr>
                <w:sz w:val="20"/>
                <w:szCs w:val="26"/>
              </w:rPr>
            </w:pPr>
          </w:p>
        </w:tc>
        <w:tc>
          <w:tcPr>
            <w:tcW w:w="4395" w:type="dxa"/>
          </w:tcPr>
          <w:p w:rsidR="000C5F54" w:rsidRPr="004761E0" w:rsidRDefault="000C5F54" w:rsidP="00A67680">
            <w:pPr>
              <w:ind w:firstLine="0"/>
              <w:jc w:val="left"/>
              <w:rPr>
                <w:sz w:val="20"/>
                <w:szCs w:val="26"/>
              </w:rPr>
            </w:pPr>
            <w:r w:rsidRPr="004761E0">
              <w:rPr>
                <w:sz w:val="20"/>
                <w:szCs w:val="26"/>
              </w:rPr>
              <w:t>Оформление прав на объекты недвижимого имущества</w:t>
            </w:r>
          </w:p>
        </w:tc>
        <w:tc>
          <w:tcPr>
            <w:tcW w:w="5244" w:type="dxa"/>
          </w:tcPr>
          <w:p w:rsidR="000C5F54" w:rsidRPr="004761E0" w:rsidRDefault="00A67680" w:rsidP="000C5F54">
            <w:pPr>
              <w:ind w:firstLine="0"/>
              <w:jc w:val="left"/>
              <w:rPr>
                <w:sz w:val="20"/>
                <w:szCs w:val="26"/>
              </w:rPr>
            </w:pPr>
            <w:r w:rsidRPr="004761E0">
              <w:rPr>
                <w:sz w:val="20"/>
                <w:szCs w:val="26"/>
                <w:lang w:eastAsia="ru-RU"/>
              </w:rPr>
              <w:t>О</w:t>
            </w:r>
            <w:r w:rsidR="000C5F54" w:rsidRPr="004761E0">
              <w:rPr>
                <w:sz w:val="20"/>
                <w:szCs w:val="26"/>
                <w:lang w:eastAsia="ru-RU"/>
              </w:rPr>
              <w:t>существлена государственная регистрация права собственности на 469 объектов недвижимого имущества</w:t>
            </w:r>
            <w:r w:rsidR="00832383" w:rsidRPr="004761E0">
              <w:rPr>
                <w:sz w:val="20"/>
                <w:szCs w:val="26"/>
                <w:lang w:eastAsia="ru-RU"/>
              </w:rPr>
              <w:t>.</w:t>
            </w:r>
          </w:p>
        </w:tc>
      </w:tr>
    </w:tbl>
    <w:p w:rsidR="00CB55EB" w:rsidRPr="004761E0" w:rsidRDefault="00CB55EB" w:rsidP="00431835">
      <w:pPr>
        <w:spacing w:before="120" w:after="120"/>
        <w:ind w:firstLine="567"/>
        <w:rPr>
          <w:b/>
          <w:sz w:val="26"/>
          <w:szCs w:val="26"/>
          <w:lang w:eastAsia="ru-RU"/>
        </w:rPr>
      </w:pPr>
      <w:r w:rsidRPr="004761E0">
        <w:rPr>
          <w:b/>
          <w:sz w:val="26"/>
          <w:szCs w:val="26"/>
          <w:lang w:eastAsia="ru-RU"/>
        </w:rPr>
        <w:t xml:space="preserve">Консолидация объектов электросетевого хозяйства, находящихся в собственности </w:t>
      </w:r>
      <w:r w:rsidR="0008080E">
        <w:rPr>
          <w:b/>
          <w:sz w:val="26"/>
          <w:szCs w:val="26"/>
          <w:lang w:eastAsia="ru-RU"/>
        </w:rPr>
        <w:t>ОАО </w:t>
      </w:r>
      <w:r w:rsidRPr="004761E0">
        <w:rPr>
          <w:b/>
          <w:sz w:val="26"/>
          <w:szCs w:val="26"/>
          <w:lang w:eastAsia="ru-RU"/>
        </w:rPr>
        <w:t xml:space="preserve">«Мосэнерго» и расположенных на территории </w:t>
      </w:r>
      <w:proofErr w:type="gramStart"/>
      <w:r w:rsidRPr="004761E0">
        <w:rPr>
          <w:b/>
          <w:sz w:val="26"/>
          <w:szCs w:val="26"/>
          <w:lang w:eastAsia="ru-RU"/>
        </w:rPr>
        <w:t>г</w:t>
      </w:r>
      <w:proofErr w:type="gramEnd"/>
      <w:r w:rsidRPr="004761E0">
        <w:rPr>
          <w:b/>
          <w:sz w:val="26"/>
          <w:szCs w:val="26"/>
          <w:lang w:eastAsia="ru-RU"/>
        </w:rPr>
        <w:t>. Москвы и Московской области</w:t>
      </w:r>
    </w:p>
    <w:p w:rsidR="00A67680" w:rsidRPr="004761E0" w:rsidRDefault="008176BD" w:rsidP="00431835">
      <w:pPr>
        <w:ind w:firstLine="567"/>
        <w:rPr>
          <w:sz w:val="26"/>
          <w:szCs w:val="26"/>
        </w:rPr>
      </w:pPr>
      <w:r w:rsidRPr="004761E0">
        <w:rPr>
          <w:sz w:val="26"/>
          <w:szCs w:val="26"/>
        </w:rPr>
        <w:t xml:space="preserve">В 2013 году у </w:t>
      </w:r>
      <w:r w:rsidR="0008080E">
        <w:rPr>
          <w:sz w:val="26"/>
          <w:szCs w:val="26"/>
        </w:rPr>
        <w:t>ОАО </w:t>
      </w:r>
      <w:r w:rsidRPr="004761E0">
        <w:rPr>
          <w:sz w:val="26"/>
          <w:szCs w:val="26"/>
        </w:rPr>
        <w:t xml:space="preserve">«Электрозавод» </w:t>
      </w:r>
      <w:proofErr w:type="gramStart"/>
      <w:r w:rsidR="00894F72" w:rsidRPr="004761E0">
        <w:rPr>
          <w:sz w:val="26"/>
          <w:szCs w:val="26"/>
        </w:rPr>
        <w:t>приобретена</w:t>
      </w:r>
      <w:proofErr w:type="gramEnd"/>
      <w:r w:rsidR="00894F72" w:rsidRPr="004761E0">
        <w:rPr>
          <w:sz w:val="26"/>
          <w:szCs w:val="26"/>
        </w:rPr>
        <w:t xml:space="preserve"> ПС 110/10 кВ</w:t>
      </w:r>
      <w:r w:rsidRPr="004761E0">
        <w:rPr>
          <w:sz w:val="26"/>
          <w:szCs w:val="26"/>
        </w:rPr>
        <w:t xml:space="preserve"> «Дворики»</w:t>
      </w:r>
      <w:r w:rsidR="00894F72" w:rsidRPr="004761E0">
        <w:rPr>
          <w:sz w:val="26"/>
          <w:szCs w:val="26"/>
        </w:rPr>
        <w:t xml:space="preserve"> № 300</w:t>
      </w:r>
      <w:r w:rsidRPr="004761E0">
        <w:rPr>
          <w:sz w:val="26"/>
          <w:szCs w:val="26"/>
        </w:rPr>
        <w:t xml:space="preserve">. </w:t>
      </w:r>
    </w:p>
    <w:p w:rsidR="00894F72" w:rsidRPr="004761E0" w:rsidRDefault="008176BD" w:rsidP="00431835">
      <w:pPr>
        <w:ind w:firstLine="567"/>
        <w:rPr>
          <w:sz w:val="26"/>
          <w:szCs w:val="26"/>
        </w:rPr>
      </w:pPr>
      <w:r w:rsidRPr="004761E0">
        <w:rPr>
          <w:sz w:val="26"/>
          <w:szCs w:val="26"/>
        </w:rPr>
        <w:t xml:space="preserve">На безвозмездной основе от собственников получено электросетевое имущество общей рыночной стоимостью 207 </w:t>
      </w:r>
      <w:proofErr w:type="gramStart"/>
      <w:r w:rsidRPr="004761E0">
        <w:rPr>
          <w:sz w:val="26"/>
          <w:szCs w:val="26"/>
        </w:rPr>
        <w:t>млн</w:t>
      </w:r>
      <w:proofErr w:type="gramEnd"/>
      <w:r w:rsidRPr="004761E0">
        <w:rPr>
          <w:sz w:val="26"/>
          <w:szCs w:val="26"/>
        </w:rPr>
        <w:t xml:space="preserve"> руб., в т</w:t>
      </w:r>
      <w:r w:rsidR="00894F72" w:rsidRPr="004761E0">
        <w:rPr>
          <w:sz w:val="26"/>
          <w:szCs w:val="26"/>
        </w:rPr>
        <w:t>.ч.</w:t>
      </w:r>
      <w:r w:rsidRPr="004761E0">
        <w:rPr>
          <w:sz w:val="26"/>
          <w:szCs w:val="26"/>
        </w:rPr>
        <w:t xml:space="preserve"> 188 км ЛЭП, трансформаторы установленной мощностью 20,8 МВА.</w:t>
      </w:r>
    </w:p>
    <w:p w:rsidR="00CB55EB" w:rsidRPr="004761E0" w:rsidRDefault="008176BD" w:rsidP="00431835">
      <w:pPr>
        <w:ind w:firstLine="567"/>
        <w:rPr>
          <w:b/>
          <w:sz w:val="26"/>
          <w:szCs w:val="26"/>
          <w:lang w:eastAsia="ru-RU"/>
        </w:rPr>
      </w:pPr>
      <w:r w:rsidRPr="004761E0">
        <w:rPr>
          <w:sz w:val="26"/>
          <w:szCs w:val="26"/>
        </w:rPr>
        <w:t>В 2014 году планируется продолжение работы по консолидации электросетевых активов.</w:t>
      </w:r>
    </w:p>
    <w:p w:rsidR="008176BD" w:rsidRPr="004761E0" w:rsidRDefault="008176BD" w:rsidP="00431835">
      <w:pPr>
        <w:spacing w:before="120" w:after="120"/>
        <w:ind w:firstLine="567"/>
        <w:rPr>
          <w:b/>
          <w:sz w:val="26"/>
          <w:szCs w:val="26"/>
          <w:lang w:eastAsia="ru-RU"/>
        </w:rPr>
      </w:pPr>
      <w:r w:rsidRPr="004761E0">
        <w:rPr>
          <w:b/>
          <w:sz w:val="26"/>
          <w:szCs w:val="26"/>
          <w:lang w:eastAsia="ru-RU"/>
        </w:rPr>
        <w:t xml:space="preserve">Рубка выпадающих и угрожающих падением деревьев на </w:t>
      </w:r>
      <w:proofErr w:type="gramStart"/>
      <w:r w:rsidRPr="004761E0">
        <w:rPr>
          <w:b/>
          <w:sz w:val="26"/>
          <w:szCs w:val="26"/>
          <w:lang w:eastAsia="ru-RU"/>
        </w:rPr>
        <w:t>ВЛ</w:t>
      </w:r>
      <w:proofErr w:type="gramEnd"/>
      <w:r w:rsidRPr="004761E0">
        <w:rPr>
          <w:b/>
          <w:sz w:val="26"/>
          <w:szCs w:val="26"/>
          <w:lang w:eastAsia="ru-RU"/>
        </w:rPr>
        <w:t xml:space="preserve"> 6-220 кВ на территории г. Москвы и Московской области</w:t>
      </w:r>
    </w:p>
    <w:p w:rsidR="00A609AB" w:rsidRPr="004761E0" w:rsidRDefault="00A609AB" w:rsidP="000A3506">
      <w:pPr>
        <w:ind w:firstLine="567"/>
        <w:rPr>
          <w:sz w:val="26"/>
          <w:szCs w:val="26"/>
        </w:rPr>
      </w:pPr>
      <w:r w:rsidRPr="004761E0">
        <w:rPr>
          <w:sz w:val="26"/>
          <w:szCs w:val="26"/>
        </w:rPr>
        <w:t xml:space="preserve">В Обществе действует </w:t>
      </w:r>
      <w:r w:rsidR="00883D82" w:rsidRPr="004761E0">
        <w:rPr>
          <w:sz w:val="26"/>
          <w:szCs w:val="26"/>
        </w:rPr>
        <w:t xml:space="preserve">Программа </w:t>
      </w:r>
      <w:r w:rsidRPr="004761E0">
        <w:rPr>
          <w:sz w:val="26"/>
          <w:szCs w:val="26"/>
        </w:rPr>
        <w:t xml:space="preserve">по приведению просек трасс </w:t>
      </w:r>
      <w:proofErr w:type="gramStart"/>
      <w:r w:rsidRPr="004761E0">
        <w:rPr>
          <w:sz w:val="26"/>
          <w:szCs w:val="26"/>
        </w:rPr>
        <w:t>ВЛ</w:t>
      </w:r>
      <w:proofErr w:type="gramEnd"/>
      <w:r w:rsidRPr="004761E0">
        <w:rPr>
          <w:sz w:val="26"/>
          <w:szCs w:val="26"/>
        </w:rPr>
        <w:t xml:space="preserve"> </w:t>
      </w:r>
      <w:r w:rsidR="000A3506" w:rsidRPr="004761E0">
        <w:rPr>
          <w:sz w:val="26"/>
          <w:szCs w:val="26"/>
        </w:rPr>
        <w:t>0,4</w:t>
      </w:r>
      <w:r w:rsidRPr="004761E0">
        <w:rPr>
          <w:sz w:val="26"/>
          <w:szCs w:val="26"/>
        </w:rPr>
        <w:t>-220 кВ в соответствии с нормативными требованиями на период 2013-2017 гг.</w:t>
      </w:r>
      <w:r w:rsidR="000A3506" w:rsidRPr="004761E0">
        <w:rPr>
          <w:sz w:val="26"/>
          <w:szCs w:val="26"/>
        </w:rPr>
        <w:t xml:space="preserve"> Согласно Программе общая площадь расширения просек ВЛ </w:t>
      </w:r>
      <w:r w:rsidR="00B66CD7" w:rsidRPr="004761E0">
        <w:rPr>
          <w:sz w:val="26"/>
          <w:szCs w:val="26"/>
        </w:rPr>
        <w:t>0,4</w:t>
      </w:r>
      <w:r w:rsidR="000A3506" w:rsidRPr="004761E0">
        <w:rPr>
          <w:sz w:val="26"/>
          <w:szCs w:val="26"/>
        </w:rPr>
        <w:t>-220 кВ за 2013-2017 гг. составит 2 4</w:t>
      </w:r>
      <w:r w:rsidR="00053190">
        <w:rPr>
          <w:sz w:val="26"/>
          <w:szCs w:val="26"/>
        </w:rPr>
        <w:t>9</w:t>
      </w:r>
      <w:r w:rsidR="000A3506" w:rsidRPr="004761E0">
        <w:rPr>
          <w:sz w:val="26"/>
          <w:szCs w:val="26"/>
        </w:rPr>
        <w:t>0 га</w:t>
      </w:r>
      <w:r w:rsidR="00B66CD7" w:rsidRPr="004761E0">
        <w:rPr>
          <w:sz w:val="26"/>
          <w:szCs w:val="26"/>
        </w:rPr>
        <w:t>, расчистки трасс от древесно-кустарниковой растительности (ДКР) – 14 589 га.</w:t>
      </w:r>
    </w:p>
    <w:tbl>
      <w:tblPr>
        <w:tblW w:w="10206" w:type="dxa"/>
        <w:tblInd w:w="108" w:type="dxa"/>
        <w:tblLayout w:type="fixed"/>
        <w:tblLook w:val="04A0"/>
      </w:tblPr>
      <w:tblGrid>
        <w:gridCol w:w="558"/>
        <w:gridCol w:w="3124"/>
        <w:gridCol w:w="707"/>
        <w:gridCol w:w="714"/>
        <w:gridCol w:w="709"/>
        <w:gridCol w:w="709"/>
        <w:gridCol w:w="850"/>
        <w:gridCol w:w="709"/>
        <w:gridCol w:w="709"/>
        <w:gridCol w:w="710"/>
        <w:gridCol w:w="707"/>
      </w:tblGrid>
      <w:tr w:rsidR="00B66CD7" w:rsidRPr="004761E0" w:rsidTr="00CF70F8">
        <w:trPr>
          <w:trHeight w:val="147"/>
        </w:trPr>
        <w:tc>
          <w:tcPr>
            <w:tcW w:w="558" w:type="dxa"/>
            <w:vMerge w:val="restart"/>
            <w:tcBorders>
              <w:top w:val="single" w:sz="4" w:space="0" w:color="auto"/>
              <w:left w:val="single" w:sz="4" w:space="0" w:color="auto"/>
              <w:bottom w:val="nil"/>
              <w:right w:val="single" w:sz="4" w:space="0" w:color="FFFFFF" w:themeColor="background1"/>
            </w:tcBorders>
            <w:shd w:val="clear" w:color="auto" w:fill="0F243E" w:themeFill="text2" w:themeFillShade="80"/>
            <w:vAlign w:val="center"/>
            <w:hideMark/>
          </w:tcPr>
          <w:p w:rsidR="00B66CD7" w:rsidRPr="004761E0" w:rsidRDefault="00B66CD7" w:rsidP="00883D82">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xml:space="preserve">№ </w:t>
            </w:r>
            <w:proofErr w:type="gramStart"/>
            <w:r w:rsidRPr="004761E0">
              <w:rPr>
                <w:rFonts w:eastAsia="Times New Roman"/>
                <w:b/>
                <w:color w:val="FFFFFF" w:themeColor="background1"/>
                <w:sz w:val="20"/>
                <w:szCs w:val="20"/>
                <w:lang w:eastAsia="ru-RU"/>
              </w:rPr>
              <w:t>п</w:t>
            </w:r>
            <w:proofErr w:type="gramEnd"/>
            <w:r w:rsidRPr="004761E0">
              <w:rPr>
                <w:rFonts w:eastAsia="Times New Roman"/>
                <w:b/>
                <w:color w:val="FFFFFF" w:themeColor="background1"/>
                <w:sz w:val="20"/>
                <w:szCs w:val="20"/>
                <w:lang w:eastAsia="ru-RU"/>
              </w:rPr>
              <w:t>/п</w:t>
            </w:r>
          </w:p>
        </w:tc>
        <w:tc>
          <w:tcPr>
            <w:tcW w:w="3124" w:type="dxa"/>
            <w:vMerge w:val="restart"/>
            <w:tcBorders>
              <w:top w:val="single" w:sz="4" w:space="0" w:color="auto"/>
              <w:left w:val="single" w:sz="4" w:space="0" w:color="FFFFFF" w:themeColor="background1"/>
              <w:bottom w:val="nil"/>
              <w:right w:val="single" w:sz="4" w:space="0" w:color="FFFFFF" w:themeColor="background1"/>
            </w:tcBorders>
            <w:shd w:val="clear" w:color="auto" w:fill="0F243E" w:themeFill="text2" w:themeFillShade="80"/>
            <w:vAlign w:val="center"/>
            <w:hideMark/>
          </w:tcPr>
          <w:p w:rsidR="00B66CD7" w:rsidRPr="004761E0" w:rsidRDefault="00B66CD7" w:rsidP="00883D82">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707" w:type="dxa"/>
            <w:tcBorders>
              <w:top w:val="single" w:sz="4" w:space="0" w:color="auto"/>
              <w:left w:val="single" w:sz="4" w:space="0" w:color="FFFFFF" w:themeColor="background1"/>
              <w:right w:val="single" w:sz="4" w:space="0" w:color="FFFFFF" w:themeColor="background1"/>
            </w:tcBorders>
            <w:shd w:val="clear" w:color="auto" w:fill="0F243E" w:themeFill="text2" w:themeFillShade="80"/>
            <w:vAlign w:val="center"/>
            <w:hideMark/>
          </w:tcPr>
          <w:p w:rsidR="00B66CD7" w:rsidRPr="004761E0" w:rsidRDefault="00B66CD7" w:rsidP="000A3506">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714" w:type="dxa"/>
            <w:tcBorders>
              <w:top w:val="single" w:sz="4" w:space="0" w:color="auto"/>
              <w:left w:val="single" w:sz="4" w:space="0" w:color="FFFFFF" w:themeColor="background1"/>
              <w:right w:val="single" w:sz="4" w:space="0" w:color="FFFFFF" w:themeColor="background1"/>
            </w:tcBorders>
            <w:shd w:val="clear" w:color="auto" w:fill="0F243E" w:themeFill="text2" w:themeFillShade="80"/>
            <w:vAlign w:val="center"/>
            <w:hideMark/>
          </w:tcPr>
          <w:p w:rsidR="00B66CD7" w:rsidRPr="004761E0" w:rsidRDefault="00B66CD7" w:rsidP="000A3506">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418" w:type="dxa"/>
            <w:gridSpan w:val="2"/>
            <w:tcBorders>
              <w:top w:val="single" w:sz="4" w:space="0" w:color="auto"/>
              <w:left w:val="single" w:sz="4" w:space="0" w:color="FFFFFF" w:themeColor="background1"/>
              <w:bottom w:val="nil"/>
              <w:right w:val="single" w:sz="4" w:space="0" w:color="FFFFFF" w:themeColor="background1"/>
            </w:tcBorders>
            <w:shd w:val="clear" w:color="auto" w:fill="0F243E" w:themeFill="text2" w:themeFillShade="80"/>
            <w:vAlign w:val="center"/>
            <w:hideMark/>
          </w:tcPr>
          <w:p w:rsidR="00B66CD7" w:rsidRPr="004761E0" w:rsidRDefault="00B66CD7" w:rsidP="000A3506">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850" w:type="dxa"/>
            <w:vMerge w:val="restart"/>
            <w:tcBorders>
              <w:top w:val="single" w:sz="4" w:space="0" w:color="auto"/>
              <w:left w:val="single" w:sz="4" w:space="0" w:color="FFFFFF" w:themeColor="background1"/>
              <w:right w:val="single" w:sz="4" w:space="0" w:color="FFFFFF" w:themeColor="background1"/>
            </w:tcBorders>
            <w:shd w:val="clear" w:color="auto" w:fill="0F243E" w:themeFill="text2" w:themeFillShade="80"/>
            <w:vAlign w:val="center"/>
          </w:tcPr>
          <w:p w:rsidR="00B66CD7" w:rsidRPr="004761E0" w:rsidRDefault="00B66CD7" w:rsidP="000A3506">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Факт/план</w:t>
            </w:r>
          </w:p>
        </w:tc>
        <w:tc>
          <w:tcPr>
            <w:tcW w:w="709"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B66CD7" w:rsidRPr="004761E0" w:rsidRDefault="00B66CD7" w:rsidP="00F5641F">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2014</w:t>
            </w:r>
          </w:p>
        </w:tc>
        <w:tc>
          <w:tcPr>
            <w:tcW w:w="709"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B66CD7" w:rsidRPr="004761E0" w:rsidRDefault="00B66CD7" w:rsidP="00F5641F">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2015</w:t>
            </w:r>
          </w:p>
        </w:tc>
        <w:tc>
          <w:tcPr>
            <w:tcW w:w="710"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B66CD7" w:rsidRPr="004761E0" w:rsidRDefault="00B66CD7" w:rsidP="00F5641F">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2016</w:t>
            </w:r>
          </w:p>
        </w:tc>
        <w:tc>
          <w:tcPr>
            <w:tcW w:w="707" w:type="dxa"/>
            <w:tcBorders>
              <w:top w:val="single" w:sz="4" w:space="0" w:color="auto"/>
              <w:left w:val="single" w:sz="4" w:space="0" w:color="FFFFFF" w:themeColor="background1"/>
              <w:bottom w:val="single" w:sz="4" w:space="0" w:color="FFFFFF" w:themeColor="background1"/>
              <w:right w:val="single" w:sz="4" w:space="0" w:color="auto"/>
            </w:tcBorders>
            <w:shd w:val="clear" w:color="auto" w:fill="0F243E" w:themeFill="text2" w:themeFillShade="80"/>
            <w:vAlign w:val="center"/>
          </w:tcPr>
          <w:p w:rsidR="00B66CD7" w:rsidRPr="004761E0" w:rsidRDefault="00B66CD7" w:rsidP="00F5641F">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2017</w:t>
            </w:r>
          </w:p>
        </w:tc>
      </w:tr>
      <w:tr w:rsidR="00B66CD7" w:rsidRPr="004761E0" w:rsidTr="00B66CD7">
        <w:trPr>
          <w:trHeight w:val="219"/>
        </w:trPr>
        <w:tc>
          <w:tcPr>
            <w:tcW w:w="558" w:type="dxa"/>
            <w:vMerge/>
            <w:tcBorders>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B66CD7" w:rsidRPr="004761E0" w:rsidRDefault="00B66CD7" w:rsidP="00883D82">
            <w:pPr>
              <w:ind w:firstLine="0"/>
              <w:jc w:val="left"/>
              <w:rPr>
                <w:rFonts w:eastAsia="Times New Roman"/>
                <w:b/>
                <w:color w:val="FFFFFF" w:themeColor="background1"/>
                <w:sz w:val="20"/>
                <w:szCs w:val="20"/>
                <w:lang w:eastAsia="ru-RU"/>
              </w:rPr>
            </w:pPr>
          </w:p>
        </w:tc>
        <w:tc>
          <w:tcPr>
            <w:tcW w:w="3124" w:type="dxa"/>
            <w:vMerge/>
            <w:tcBorders>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B66CD7" w:rsidRPr="004761E0" w:rsidRDefault="00B66CD7" w:rsidP="00883D82">
            <w:pPr>
              <w:ind w:firstLine="0"/>
              <w:jc w:val="left"/>
              <w:rPr>
                <w:rFonts w:eastAsia="Times New Roman"/>
                <w:b/>
                <w:color w:val="FFFFFF" w:themeColor="background1"/>
                <w:sz w:val="20"/>
                <w:szCs w:val="20"/>
                <w:lang w:eastAsia="ru-RU"/>
              </w:rPr>
            </w:pPr>
          </w:p>
        </w:tc>
        <w:tc>
          <w:tcPr>
            <w:tcW w:w="1421"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B66CD7" w:rsidRPr="004761E0" w:rsidRDefault="00B66CD7" w:rsidP="00B66CD7">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Факт</w:t>
            </w: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B66CD7" w:rsidRPr="004761E0" w:rsidRDefault="00B66CD7" w:rsidP="00460434">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План</w:t>
            </w: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B66CD7" w:rsidRPr="004761E0" w:rsidRDefault="00B66CD7" w:rsidP="00460434">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Факт</w:t>
            </w:r>
          </w:p>
        </w:tc>
        <w:tc>
          <w:tcPr>
            <w:tcW w:w="850" w:type="dxa"/>
            <w:vMerge/>
            <w:tcBorders>
              <w:left w:val="single" w:sz="4" w:space="0" w:color="FFFFFF" w:themeColor="background1"/>
              <w:bottom w:val="single" w:sz="4" w:space="0" w:color="auto"/>
              <w:right w:val="single" w:sz="4" w:space="0" w:color="FFFFFF" w:themeColor="background1"/>
            </w:tcBorders>
            <w:shd w:val="clear" w:color="auto" w:fill="0F243E" w:themeFill="text2" w:themeFillShade="80"/>
          </w:tcPr>
          <w:p w:rsidR="00B66CD7" w:rsidRPr="004761E0" w:rsidRDefault="00B66CD7" w:rsidP="000A3506">
            <w:pPr>
              <w:jc w:val="center"/>
              <w:rPr>
                <w:rFonts w:eastAsia="Times New Roman"/>
                <w:b/>
                <w:color w:val="FFFFFF" w:themeColor="background1"/>
                <w:sz w:val="20"/>
                <w:szCs w:val="20"/>
                <w:lang w:eastAsia="ru-RU"/>
              </w:rPr>
            </w:pPr>
          </w:p>
        </w:tc>
        <w:tc>
          <w:tcPr>
            <w:tcW w:w="2835" w:type="dxa"/>
            <w:gridSpan w:val="4"/>
            <w:tcBorders>
              <w:top w:val="single" w:sz="4" w:space="0" w:color="FFFFFF" w:themeColor="background1"/>
              <w:left w:val="single" w:sz="4" w:space="0" w:color="FFFFFF" w:themeColor="background1"/>
              <w:bottom w:val="single" w:sz="4" w:space="0" w:color="auto"/>
              <w:right w:val="single" w:sz="4" w:space="0" w:color="auto"/>
            </w:tcBorders>
            <w:shd w:val="clear" w:color="auto" w:fill="0F243E" w:themeFill="text2" w:themeFillShade="80"/>
          </w:tcPr>
          <w:p w:rsidR="00B66CD7" w:rsidRPr="004761E0" w:rsidRDefault="00B66CD7" w:rsidP="00B66CD7">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План</w:t>
            </w:r>
          </w:p>
        </w:tc>
      </w:tr>
      <w:tr w:rsidR="00B66CD7" w:rsidRPr="004761E0" w:rsidTr="00B66CD7">
        <w:trPr>
          <w:trHeight w:val="300"/>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6CD7" w:rsidRPr="004761E0" w:rsidRDefault="00B66CD7" w:rsidP="007076A7">
            <w:pPr>
              <w:numPr>
                <w:ilvl w:val="0"/>
                <w:numId w:val="116"/>
              </w:numPr>
              <w:jc w:val="left"/>
              <w:rPr>
                <w:rFonts w:eastAsia="Times New Roman"/>
                <w:b/>
                <w:color w:val="000000"/>
                <w:sz w:val="20"/>
                <w:szCs w:val="20"/>
                <w:lang w:eastAsia="ru-RU"/>
              </w:rPr>
            </w:pPr>
          </w:p>
        </w:tc>
        <w:tc>
          <w:tcPr>
            <w:tcW w:w="3124" w:type="dxa"/>
            <w:tcBorders>
              <w:top w:val="single" w:sz="4" w:space="0" w:color="auto"/>
              <w:left w:val="nil"/>
              <w:bottom w:val="single" w:sz="4" w:space="0" w:color="auto"/>
              <w:right w:val="single" w:sz="4" w:space="0" w:color="auto"/>
            </w:tcBorders>
            <w:shd w:val="clear" w:color="auto" w:fill="auto"/>
            <w:vAlign w:val="center"/>
            <w:hideMark/>
          </w:tcPr>
          <w:p w:rsidR="00B66CD7" w:rsidRPr="004761E0" w:rsidRDefault="00B66CD7" w:rsidP="00F5641F">
            <w:pPr>
              <w:ind w:firstLine="0"/>
              <w:jc w:val="left"/>
              <w:rPr>
                <w:rFonts w:eastAsia="Times New Roman"/>
                <w:b/>
                <w:color w:val="000000"/>
                <w:sz w:val="20"/>
                <w:szCs w:val="20"/>
                <w:lang w:eastAsia="ru-RU"/>
              </w:rPr>
            </w:pPr>
            <w:r w:rsidRPr="004761E0">
              <w:rPr>
                <w:rFonts w:eastAsia="Times New Roman"/>
                <w:b/>
                <w:color w:val="000000"/>
                <w:sz w:val="20"/>
                <w:szCs w:val="20"/>
                <w:lang w:eastAsia="ru-RU"/>
              </w:rPr>
              <w:t xml:space="preserve">Расширение просек </w:t>
            </w:r>
            <w:proofErr w:type="gramStart"/>
            <w:r w:rsidRPr="004761E0">
              <w:rPr>
                <w:rFonts w:eastAsia="Times New Roman"/>
                <w:b/>
                <w:color w:val="000000"/>
                <w:sz w:val="20"/>
                <w:szCs w:val="20"/>
                <w:lang w:eastAsia="ru-RU"/>
              </w:rPr>
              <w:t>ВЛ</w:t>
            </w:r>
            <w:proofErr w:type="gramEnd"/>
            <w:r w:rsidRPr="004761E0">
              <w:rPr>
                <w:rFonts w:eastAsia="Times New Roman"/>
                <w:b/>
                <w:color w:val="000000"/>
                <w:sz w:val="20"/>
                <w:szCs w:val="20"/>
                <w:lang w:eastAsia="ru-RU"/>
              </w:rPr>
              <w:t xml:space="preserve"> 0,4-220 кВ, га (всего), в т.ч.</w:t>
            </w:r>
          </w:p>
        </w:tc>
        <w:tc>
          <w:tcPr>
            <w:tcW w:w="707" w:type="dxa"/>
            <w:tcBorders>
              <w:top w:val="single" w:sz="4" w:space="0" w:color="auto"/>
              <w:left w:val="nil"/>
              <w:bottom w:val="single" w:sz="4" w:space="0" w:color="auto"/>
              <w:right w:val="single" w:sz="4" w:space="0" w:color="auto"/>
            </w:tcBorders>
            <w:shd w:val="clear" w:color="auto" w:fill="auto"/>
            <w:vAlign w:val="center"/>
            <w:hideMark/>
          </w:tcPr>
          <w:p w:rsidR="00B66CD7" w:rsidRPr="004761E0" w:rsidRDefault="00B66CD7" w:rsidP="00B66CD7">
            <w:pPr>
              <w:ind w:firstLine="0"/>
              <w:jc w:val="right"/>
              <w:rPr>
                <w:rFonts w:eastAsia="Times New Roman"/>
                <w:b/>
                <w:sz w:val="20"/>
                <w:szCs w:val="20"/>
                <w:lang w:eastAsia="ru-RU"/>
              </w:rPr>
            </w:pPr>
            <w:r w:rsidRPr="004761E0">
              <w:rPr>
                <w:rFonts w:eastAsia="Times New Roman"/>
                <w:b/>
                <w:sz w:val="20"/>
                <w:szCs w:val="20"/>
                <w:lang w:eastAsia="ru-RU"/>
              </w:rPr>
              <w:t>2 872</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B66CD7" w:rsidRPr="004761E0" w:rsidRDefault="00B66CD7" w:rsidP="00B66CD7">
            <w:pPr>
              <w:ind w:firstLine="0"/>
              <w:jc w:val="right"/>
              <w:rPr>
                <w:rFonts w:eastAsia="Times New Roman"/>
                <w:b/>
                <w:sz w:val="20"/>
                <w:szCs w:val="20"/>
                <w:lang w:eastAsia="ru-RU"/>
              </w:rPr>
            </w:pPr>
            <w:r w:rsidRPr="004761E0">
              <w:rPr>
                <w:rFonts w:eastAsia="Times New Roman"/>
                <w:b/>
                <w:sz w:val="20"/>
                <w:szCs w:val="20"/>
                <w:lang w:eastAsia="ru-RU"/>
              </w:rPr>
              <w:t>3 630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66CD7" w:rsidRPr="004761E0" w:rsidRDefault="00B66CD7" w:rsidP="00B66CD7">
            <w:pPr>
              <w:ind w:firstLine="0"/>
              <w:jc w:val="right"/>
              <w:rPr>
                <w:rFonts w:eastAsia="Times New Roman"/>
                <w:b/>
                <w:sz w:val="20"/>
                <w:szCs w:val="20"/>
                <w:lang w:eastAsia="ru-RU"/>
              </w:rPr>
            </w:pPr>
            <w:r w:rsidRPr="004761E0">
              <w:rPr>
                <w:rFonts w:eastAsia="Times New Roman"/>
                <w:b/>
                <w:sz w:val="20"/>
                <w:szCs w:val="20"/>
                <w:lang w:eastAsia="ru-RU"/>
              </w:rPr>
              <w:t>1 004</w:t>
            </w:r>
          </w:p>
        </w:tc>
        <w:tc>
          <w:tcPr>
            <w:tcW w:w="709" w:type="dxa"/>
            <w:tcBorders>
              <w:top w:val="single" w:sz="4" w:space="0" w:color="auto"/>
              <w:left w:val="nil"/>
              <w:bottom w:val="single" w:sz="4" w:space="0" w:color="auto"/>
              <w:right w:val="single" w:sz="4" w:space="0" w:color="auto"/>
            </w:tcBorders>
            <w:shd w:val="clear" w:color="auto" w:fill="auto"/>
            <w:vAlign w:val="center"/>
          </w:tcPr>
          <w:p w:rsidR="00B66CD7" w:rsidRPr="004761E0" w:rsidRDefault="00B66CD7" w:rsidP="00B66CD7">
            <w:pPr>
              <w:ind w:firstLine="0"/>
              <w:jc w:val="right"/>
              <w:rPr>
                <w:rFonts w:eastAsia="Times New Roman"/>
                <w:b/>
                <w:sz w:val="20"/>
                <w:szCs w:val="20"/>
                <w:lang w:eastAsia="ru-RU"/>
              </w:rPr>
            </w:pPr>
            <w:r w:rsidRPr="004761E0">
              <w:rPr>
                <w:rFonts w:eastAsia="Times New Roman"/>
                <w:b/>
                <w:sz w:val="20"/>
                <w:szCs w:val="20"/>
                <w:lang w:eastAsia="ru-RU"/>
              </w:rPr>
              <w:t>1 141</w:t>
            </w:r>
          </w:p>
        </w:tc>
        <w:tc>
          <w:tcPr>
            <w:tcW w:w="850" w:type="dxa"/>
            <w:tcBorders>
              <w:top w:val="single" w:sz="4" w:space="0" w:color="auto"/>
              <w:left w:val="nil"/>
              <w:bottom w:val="single" w:sz="4" w:space="0" w:color="auto"/>
              <w:right w:val="single" w:sz="4" w:space="0" w:color="auto"/>
            </w:tcBorders>
            <w:vAlign w:val="center"/>
          </w:tcPr>
          <w:p w:rsidR="00B66CD7" w:rsidRPr="004761E0" w:rsidRDefault="00B66CD7" w:rsidP="00B66CD7">
            <w:pPr>
              <w:ind w:firstLine="0"/>
              <w:jc w:val="right"/>
              <w:rPr>
                <w:b/>
                <w:bCs/>
                <w:sz w:val="20"/>
                <w:szCs w:val="20"/>
              </w:rPr>
            </w:pPr>
            <w:r w:rsidRPr="004761E0">
              <w:rPr>
                <w:b/>
                <w:bCs/>
                <w:sz w:val="20"/>
                <w:szCs w:val="20"/>
              </w:rPr>
              <w:t>114 %</w:t>
            </w:r>
          </w:p>
        </w:tc>
        <w:tc>
          <w:tcPr>
            <w:tcW w:w="709" w:type="dxa"/>
            <w:tcBorders>
              <w:top w:val="single" w:sz="4" w:space="0" w:color="auto"/>
              <w:left w:val="nil"/>
              <w:bottom w:val="single" w:sz="4" w:space="0" w:color="auto"/>
              <w:right w:val="single" w:sz="4" w:space="0" w:color="auto"/>
            </w:tcBorders>
            <w:vAlign w:val="center"/>
          </w:tcPr>
          <w:p w:rsidR="00B66CD7" w:rsidRPr="004761E0" w:rsidRDefault="00B66CD7" w:rsidP="00B66CD7">
            <w:pPr>
              <w:ind w:firstLine="0"/>
              <w:jc w:val="right"/>
              <w:rPr>
                <w:b/>
                <w:sz w:val="20"/>
                <w:szCs w:val="20"/>
              </w:rPr>
            </w:pPr>
            <w:r w:rsidRPr="004761E0">
              <w:rPr>
                <w:b/>
                <w:sz w:val="20"/>
                <w:szCs w:val="20"/>
              </w:rPr>
              <w:t>660</w:t>
            </w:r>
          </w:p>
        </w:tc>
        <w:tc>
          <w:tcPr>
            <w:tcW w:w="709" w:type="dxa"/>
            <w:tcBorders>
              <w:top w:val="single" w:sz="4" w:space="0" w:color="auto"/>
              <w:left w:val="nil"/>
              <w:bottom w:val="single" w:sz="4" w:space="0" w:color="auto"/>
              <w:right w:val="single" w:sz="4" w:space="0" w:color="auto"/>
            </w:tcBorders>
            <w:vAlign w:val="center"/>
          </w:tcPr>
          <w:p w:rsidR="00B66CD7" w:rsidRPr="004761E0" w:rsidRDefault="00B66CD7" w:rsidP="00B66CD7">
            <w:pPr>
              <w:ind w:firstLine="0"/>
              <w:jc w:val="right"/>
              <w:rPr>
                <w:b/>
                <w:sz w:val="20"/>
                <w:szCs w:val="20"/>
              </w:rPr>
            </w:pPr>
            <w:r w:rsidRPr="004761E0">
              <w:rPr>
                <w:b/>
                <w:sz w:val="20"/>
                <w:szCs w:val="20"/>
              </w:rPr>
              <w:t>826</w:t>
            </w:r>
          </w:p>
        </w:tc>
        <w:tc>
          <w:tcPr>
            <w:tcW w:w="710" w:type="dxa"/>
            <w:tcBorders>
              <w:top w:val="single" w:sz="4" w:space="0" w:color="auto"/>
              <w:left w:val="nil"/>
              <w:bottom w:val="single" w:sz="4" w:space="0" w:color="auto"/>
              <w:right w:val="single" w:sz="4" w:space="0" w:color="auto"/>
            </w:tcBorders>
            <w:vAlign w:val="center"/>
          </w:tcPr>
          <w:p w:rsidR="00B66CD7" w:rsidRPr="004761E0" w:rsidRDefault="00B66CD7" w:rsidP="00B66CD7">
            <w:pPr>
              <w:ind w:firstLine="0"/>
              <w:jc w:val="right"/>
              <w:rPr>
                <w:b/>
                <w:sz w:val="20"/>
                <w:szCs w:val="20"/>
              </w:rPr>
            </w:pPr>
            <w:r w:rsidRPr="004761E0">
              <w:rPr>
                <w:b/>
                <w:sz w:val="20"/>
                <w:szCs w:val="20"/>
              </w:rPr>
              <w:t>–</w:t>
            </w:r>
          </w:p>
        </w:tc>
        <w:tc>
          <w:tcPr>
            <w:tcW w:w="707" w:type="dxa"/>
            <w:tcBorders>
              <w:top w:val="single" w:sz="4" w:space="0" w:color="auto"/>
              <w:left w:val="nil"/>
              <w:bottom w:val="single" w:sz="4" w:space="0" w:color="auto"/>
              <w:right w:val="single" w:sz="4" w:space="0" w:color="auto"/>
            </w:tcBorders>
            <w:vAlign w:val="center"/>
          </w:tcPr>
          <w:p w:rsidR="00B66CD7" w:rsidRPr="004761E0" w:rsidRDefault="00B66CD7" w:rsidP="00B66CD7">
            <w:pPr>
              <w:ind w:firstLine="0"/>
              <w:jc w:val="right"/>
              <w:rPr>
                <w:b/>
                <w:sz w:val="20"/>
                <w:szCs w:val="20"/>
              </w:rPr>
            </w:pPr>
            <w:r w:rsidRPr="004761E0">
              <w:rPr>
                <w:b/>
                <w:sz w:val="20"/>
                <w:szCs w:val="20"/>
              </w:rPr>
              <w:t>–</w:t>
            </w:r>
          </w:p>
        </w:tc>
      </w:tr>
      <w:tr w:rsidR="00B66CD7" w:rsidRPr="004761E0" w:rsidTr="00B66CD7">
        <w:trPr>
          <w:trHeight w:val="300"/>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B66CD7" w:rsidRPr="004761E0" w:rsidRDefault="00B66CD7" w:rsidP="007076A7">
            <w:pPr>
              <w:pStyle w:val="a5"/>
              <w:numPr>
                <w:ilvl w:val="1"/>
                <w:numId w:val="116"/>
              </w:numPr>
              <w:contextualSpacing w:val="0"/>
              <w:jc w:val="left"/>
              <w:rPr>
                <w:rFonts w:eastAsia="Times New Roman"/>
                <w:color w:val="000000"/>
                <w:sz w:val="20"/>
                <w:szCs w:val="20"/>
                <w:lang w:eastAsia="ru-RU"/>
              </w:rPr>
            </w:pPr>
          </w:p>
        </w:tc>
        <w:tc>
          <w:tcPr>
            <w:tcW w:w="3124" w:type="dxa"/>
            <w:tcBorders>
              <w:top w:val="nil"/>
              <w:left w:val="nil"/>
              <w:bottom w:val="single" w:sz="4" w:space="0" w:color="auto"/>
              <w:right w:val="single" w:sz="4" w:space="0" w:color="auto"/>
            </w:tcBorders>
            <w:shd w:val="clear" w:color="auto" w:fill="auto"/>
            <w:vAlign w:val="center"/>
            <w:hideMark/>
          </w:tcPr>
          <w:p w:rsidR="00B66CD7" w:rsidRPr="004761E0" w:rsidRDefault="00B66CD7" w:rsidP="00460434">
            <w:pPr>
              <w:ind w:left="179" w:firstLine="0"/>
              <w:jc w:val="left"/>
              <w:rPr>
                <w:rFonts w:eastAsia="Times New Roman"/>
                <w:color w:val="000000"/>
                <w:sz w:val="20"/>
                <w:szCs w:val="20"/>
                <w:lang w:eastAsia="ru-RU"/>
              </w:rPr>
            </w:pPr>
            <w:r w:rsidRPr="004761E0">
              <w:rPr>
                <w:rFonts w:eastAsia="Times New Roman"/>
                <w:color w:val="000000"/>
                <w:sz w:val="20"/>
                <w:szCs w:val="20"/>
                <w:lang w:eastAsia="ru-RU"/>
              </w:rPr>
              <w:t>0,4-10 кВ</w:t>
            </w:r>
          </w:p>
        </w:tc>
        <w:tc>
          <w:tcPr>
            <w:tcW w:w="707" w:type="dxa"/>
            <w:tcBorders>
              <w:top w:val="nil"/>
              <w:left w:val="nil"/>
              <w:bottom w:val="single" w:sz="4" w:space="0" w:color="auto"/>
              <w:right w:val="single" w:sz="4" w:space="0" w:color="auto"/>
            </w:tcBorders>
            <w:shd w:val="clear" w:color="auto" w:fill="auto"/>
            <w:vAlign w:val="center"/>
            <w:hideMark/>
          </w:tcPr>
          <w:p w:rsidR="00B66CD7" w:rsidRPr="004761E0" w:rsidRDefault="00B66CD7" w:rsidP="00F5641F">
            <w:pPr>
              <w:ind w:firstLine="0"/>
              <w:jc w:val="right"/>
              <w:rPr>
                <w:rFonts w:eastAsia="Times New Roman"/>
                <w:color w:val="000000"/>
                <w:sz w:val="20"/>
                <w:szCs w:val="20"/>
                <w:lang w:eastAsia="ru-RU"/>
              </w:rPr>
            </w:pPr>
            <w:r w:rsidRPr="004761E0">
              <w:rPr>
                <w:rFonts w:eastAsia="Times New Roman"/>
                <w:color w:val="000000"/>
                <w:sz w:val="20"/>
                <w:szCs w:val="20"/>
                <w:lang w:eastAsia="ru-RU"/>
              </w:rPr>
              <w:t>452</w:t>
            </w:r>
          </w:p>
        </w:tc>
        <w:tc>
          <w:tcPr>
            <w:tcW w:w="714" w:type="dxa"/>
            <w:tcBorders>
              <w:top w:val="nil"/>
              <w:left w:val="nil"/>
              <w:bottom w:val="single" w:sz="4" w:space="0" w:color="auto"/>
              <w:right w:val="single" w:sz="4" w:space="0" w:color="auto"/>
            </w:tcBorders>
            <w:shd w:val="clear" w:color="auto" w:fill="auto"/>
            <w:vAlign w:val="center"/>
            <w:hideMark/>
          </w:tcPr>
          <w:p w:rsidR="00B66CD7" w:rsidRPr="004761E0" w:rsidRDefault="00B66CD7" w:rsidP="00F5641F">
            <w:pPr>
              <w:ind w:firstLine="0"/>
              <w:jc w:val="right"/>
              <w:rPr>
                <w:rFonts w:eastAsia="Times New Roman"/>
                <w:color w:val="000000"/>
                <w:sz w:val="20"/>
                <w:szCs w:val="20"/>
                <w:lang w:eastAsia="ru-RU"/>
              </w:rPr>
            </w:pPr>
            <w:r w:rsidRPr="004761E0">
              <w:rPr>
                <w:rFonts w:eastAsia="Times New Roman"/>
                <w:color w:val="000000"/>
                <w:sz w:val="20"/>
                <w:szCs w:val="20"/>
                <w:lang w:eastAsia="ru-RU"/>
              </w:rPr>
              <w:t>744</w:t>
            </w:r>
          </w:p>
        </w:tc>
        <w:tc>
          <w:tcPr>
            <w:tcW w:w="709" w:type="dxa"/>
            <w:tcBorders>
              <w:top w:val="nil"/>
              <w:left w:val="nil"/>
              <w:bottom w:val="single" w:sz="4" w:space="0" w:color="auto"/>
              <w:right w:val="single" w:sz="4" w:space="0" w:color="auto"/>
            </w:tcBorders>
            <w:shd w:val="clear" w:color="auto" w:fill="auto"/>
            <w:vAlign w:val="center"/>
            <w:hideMark/>
          </w:tcPr>
          <w:p w:rsidR="00B66CD7" w:rsidRPr="004761E0" w:rsidRDefault="00B66CD7" w:rsidP="00F5641F">
            <w:pPr>
              <w:ind w:firstLine="0"/>
              <w:jc w:val="right"/>
              <w:rPr>
                <w:rFonts w:eastAsia="Times New Roman"/>
                <w:color w:val="000000"/>
                <w:sz w:val="20"/>
                <w:szCs w:val="20"/>
                <w:lang w:eastAsia="ru-RU"/>
              </w:rPr>
            </w:pPr>
            <w:r w:rsidRPr="004761E0">
              <w:rPr>
                <w:rFonts w:eastAsia="Times New Roman"/>
                <w:color w:val="000000"/>
                <w:sz w:val="20"/>
                <w:szCs w:val="20"/>
                <w:lang w:eastAsia="ru-RU"/>
              </w:rPr>
              <w:t>504</w:t>
            </w:r>
          </w:p>
        </w:tc>
        <w:tc>
          <w:tcPr>
            <w:tcW w:w="709" w:type="dxa"/>
            <w:tcBorders>
              <w:top w:val="nil"/>
              <w:left w:val="nil"/>
              <w:bottom w:val="single" w:sz="4" w:space="0" w:color="auto"/>
              <w:right w:val="single" w:sz="4" w:space="0" w:color="auto"/>
            </w:tcBorders>
            <w:shd w:val="clear" w:color="auto" w:fill="auto"/>
            <w:vAlign w:val="center"/>
          </w:tcPr>
          <w:p w:rsidR="00B66CD7" w:rsidRPr="004761E0" w:rsidRDefault="00B66CD7" w:rsidP="00F5641F">
            <w:pPr>
              <w:ind w:firstLine="0"/>
              <w:jc w:val="right"/>
              <w:rPr>
                <w:rFonts w:eastAsia="Times New Roman"/>
                <w:color w:val="000000"/>
                <w:sz w:val="20"/>
                <w:szCs w:val="20"/>
                <w:lang w:eastAsia="ru-RU"/>
              </w:rPr>
            </w:pPr>
            <w:r w:rsidRPr="004761E0">
              <w:rPr>
                <w:rFonts w:eastAsia="Times New Roman"/>
                <w:color w:val="000000"/>
                <w:sz w:val="20"/>
                <w:szCs w:val="20"/>
                <w:lang w:eastAsia="ru-RU"/>
              </w:rPr>
              <w:t>586</w:t>
            </w:r>
          </w:p>
        </w:tc>
        <w:tc>
          <w:tcPr>
            <w:tcW w:w="850" w:type="dxa"/>
            <w:tcBorders>
              <w:top w:val="nil"/>
              <w:left w:val="nil"/>
              <w:bottom w:val="single" w:sz="4" w:space="0" w:color="auto"/>
              <w:right w:val="single" w:sz="4" w:space="0" w:color="auto"/>
            </w:tcBorders>
            <w:vAlign w:val="center"/>
          </w:tcPr>
          <w:p w:rsidR="00B66CD7" w:rsidRPr="004761E0" w:rsidRDefault="00B66CD7" w:rsidP="00F5641F">
            <w:pPr>
              <w:ind w:firstLine="0"/>
              <w:jc w:val="right"/>
              <w:rPr>
                <w:color w:val="000000"/>
                <w:sz w:val="20"/>
                <w:szCs w:val="20"/>
              </w:rPr>
            </w:pPr>
            <w:r w:rsidRPr="004761E0">
              <w:rPr>
                <w:color w:val="000000"/>
                <w:sz w:val="20"/>
                <w:szCs w:val="20"/>
              </w:rPr>
              <w:t>116 %</w:t>
            </w:r>
          </w:p>
        </w:tc>
        <w:tc>
          <w:tcPr>
            <w:tcW w:w="709" w:type="dxa"/>
            <w:tcBorders>
              <w:top w:val="nil"/>
              <w:left w:val="nil"/>
              <w:bottom w:val="single" w:sz="4" w:space="0" w:color="auto"/>
              <w:right w:val="single" w:sz="4" w:space="0" w:color="auto"/>
            </w:tcBorders>
            <w:vAlign w:val="center"/>
          </w:tcPr>
          <w:p w:rsidR="00B66CD7" w:rsidRPr="004761E0" w:rsidRDefault="00B66CD7" w:rsidP="00F5641F">
            <w:pPr>
              <w:ind w:firstLine="0"/>
              <w:jc w:val="right"/>
              <w:rPr>
                <w:color w:val="000000"/>
                <w:sz w:val="20"/>
                <w:szCs w:val="20"/>
              </w:rPr>
            </w:pPr>
            <w:r w:rsidRPr="004761E0">
              <w:rPr>
                <w:color w:val="000000"/>
                <w:sz w:val="20"/>
                <w:szCs w:val="20"/>
              </w:rPr>
              <w:t>590</w:t>
            </w:r>
          </w:p>
        </w:tc>
        <w:tc>
          <w:tcPr>
            <w:tcW w:w="709" w:type="dxa"/>
            <w:tcBorders>
              <w:top w:val="nil"/>
              <w:left w:val="nil"/>
              <w:bottom w:val="single" w:sz="4" w:space="0" w:color="auto"/>
              <w:right w:val="single" w:sz="4" w:space="0" w:color="auto"/>
            </w:tcBorders>
            <w:vAlign w:val="center"/>
          </w:tcPr>
          <w:p w:rsidR="00B66CD7" w:rsidRPr="004761E0" w:rsidRDefault="00B66CD7" w:rsidP="00F5641F">
            <w:pPr>
              <w:ind w:firstLine="0"/>
              <w:jc w:val="right"/>
              <w:rPr>
                <w:color w:val="000000"/>
                <w:sz w:val="20"/>
                <w:szCs w:val="20"/>
              </w:rPr>
            </w:pPr>
            <w:r w:rsidRPr="004761E0">
              <w:rPr>
                <w:color w:val="000000"/>
                <w:sz w:val="20"/>
                <w:szCs w:val="20"/>
              </w:rPr>
              <w:t>826</w:t>
            </w:r>
          </w:p>
        </w:tc>
        <w:tc>
          <w:tcPr>
            <w:tcW w:w="710" w:type="dxa"/>
            <w:tcBorders>
              <w:top w:val="nil"/>
              <w:left w:val="nil"/>
              <w:bottom w:val="single" w:sz="4" w:space="0" w:color="auto"/>
              <w:right w:val="single" w:sz="4" w:space="0" w:color="auto"/>
            </w:tcBorders>
            <w:vAlign w:val="center"/>
          </w:tcPr>
          <w:p w:rsidR="00B66CD7" w:rsidRPr="004761E0" w:rsidRDefault="00B66CD7" w:rsidP="00F5641F">
            <w:pPr>
              <w:ind w:firstLine="0"/>
              <w:jc w:val="right"/>
              <w:rPr>
                <w:color w:val="000000"/>
                <w:sz w:val="20"/>
                <w:szCs w:val="20"/>
              </w:rPr>
            </w:pPr>
            <w:r w:rsidRPr="004761E0">
              <w:rPr>
                <w:color w:val="000000"/>
                <w:sz w:val="20"/>
                <w:szCs w:val="20"/>
              </w:rPr>
              <w:t>–</w:t>
            </w:r>
          </w:p>
        </w:tc>
        <w:tc>
          <w:tcPr>
            <w:tcW w:w="707" w:type="dxa"/>
            <w:tcBorders>
              <w:top w:val="nil"/>
              <w:left w:val="nil"/>
              <w:bottom w:val="single" w:sz="4" w:space="0" w:color="auto"/>
              <w:right w:val="single" w:sz="4" w:space="0" w:color="auto"/>
            </w:tcBorders>
            <w:vAlign w:val="center"/>
          </w:tcPr>
          <w:p w:rsidR="00B66CD7" w:rsidRPr="004761E0" w:rsidRDefault="00B66CD7" w:rsidP="00F5641F">
            <w:pPr>
              <w:ind w:firstLine="0"/>
              <w:jc w:val="right"/>
              <w:rPr>
                <w:color w:val="000000"/>
                <w:sz w:val="20"/>
                <w:szCs w:val="20"/>
              </w:rPr>
            </w:pPr>
            <w:r w:rsidRPr="004761E0">
              <w:rPr>
                <w:color w:val="000000"/>
                <w:sz w:val="20"/>
                <w:szCs w:val="20"/>
              </w:rPr>
              <w:t>–</w:t>
            </w:r>
          </w:p>
        </w:tc>
      </w:tr>
      <w:tr w:rsidR="00B66CD7" w:rsidRPr="004761E0" w:rsidTr="00B66CD7">
        <w:trPr>
          <w:trHeight w:val="300"/>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B66CD7" w:rsidRPr="004761E0" w:rsidRDefault="00B66CD7" w:rsidP="007076A7">
            <w:pPr>
              <w:pStyle w:val="a5"/>
              <w:numPr>
                <w:ilvl w:val="1"/>
                <w:numId w:val="116"/>
              </w:numPr>
              <w:contextualSpacing w:val="0"/>
              <w:jc w:val="left"/>
              <w:rPr>
                <w:rFonts w:eastAsia="Times New Roman"/>
                <w:color w:val="000000"/>
                <w:sz w:val="20"/>
                <w:szCs w:val="20"/>
                <w:lang w:eastAsia="ru-RU"/>
              </w:rPr>
            </w:pPr>
          </w:p>
        </w:tc>
        <w:tc>
          <w:tcPr>
            <w:tcW w:w="3124" w:type="dxa"/>
            <w:tcBorders>
              <w:top w:val="nil"/>
              <w:left w:val="nil"/>
              <w:bottom w:val="single" w:sz="4" w:space="0" w:color="auto"/>
              <w:right w:val="single" w:sz="4" w:space="0" w:color="auto"/>
            </w:tcBorders>
            <w:shd w:val="clear" w:color="auto" w:fill="auto"/>
            <w:vAlign w:val="center"/>
            <w:hideMark/>
          </w:tcPr>
          <w:p w:rsidR="00B66CD7" w:rsidRPr="004761E0" w:rsidRDefault="00B66CD7" w:rsidP="00883D82">
            <w:pPr>
              <w:ind w:left="179" w:firstLine="0"/>
              <w:jc w:val="left"/>
              <w:rPr>
                <w:rFonts w:eastAsia="Times New Roman"/>
                <w:color w:val="000000"/>
                <w:sz w:val="20"/>
                <w:szCs w:val="20"/>
                <w:lang w:eastAsia="ru-RU"/>
              </w:rPr>
            </w:pPr>
            <w:r w:rsidRPr="004761E0">
              <w:rPr>
                <w:rFonts w:eastAsia="Times New Roman"/>
                <w:color w:val="000000"/>
                <w:sz w:val="20"/>
                <w:szCs w:val="20"/>
                <w:lang w:eastAsia="ru-RU"/>
              </w:rPr>
              <w:t>35-220 кВ</w:t>
            </w:r>
          </w:p>
        </w:tc>
        <w:tc>
          <w:tcPr>
            <w:tcW w:w="707" w:type="dxa"/>
            <w:tcBorders>
              <w:top w:val="nil"/>
              <w:left w:val="nil"/>
              <w:bottom w:val="single" w:sz="4" w:space="0" w:color="auto"/>
              <w:right w:val="single" w:sz="4" w:space="0" w:color="auto"/>
            </w:tcBorders>
            <w:shd w:val="clear" w:color="auto" w:fill="auto"/>
            <w:vAlign w:val="center"/>
            <w:hideMark/>
          </w:tcPr>
          <w:p w:rsidR="00B66CD7" w:rsidRPr="004761E0" w:rsidRDefault="00B66CD7" w:rsidP="00F5641F">
            <w:pPr>
              <w:ind w:firstLine="0"/>
              <w:jc w:val="right"/>
              <w:rPr>
                <w:rFonts w:eastAsia="Times New Roman"/>
                <w:color w:val="000000"/>
                <w:sz w:val="20"/>
                <w:szCs w:val="20"/>
                <w:lang w:eastAsia="ru-RU"/>
              </w:rPr>
            </w:pPr>
            <w:r w:rsidRPr="004761E0">
              <w:rPr>
                <w:rFonts w:eastAsia="Times New Roman"/>
                <w:color w:val="000000"/>
                <w:sz w:val="20"/>
                <w:szCs w:val="20"/>
                <w:lang w:eastAsia="ru-RU"/>
              </w:rPr>
              <w:t>2 420</w:t>
            </w:r>
          </w:p>
        </w:tc>
        <w:tc>
          <w:tcPr>
            <w:tcW w:w="714" w:type="dxa"/>
            <w:tcBorders>
              <w:top w:val="nil"/>
              <w:left w:val="nil"/>
              <w:bottom w:val="single" w:sz="4" w:space="0" w:color="auto"/>
              <w:right w:val="single" w:sz="4" w:space="0" w:color="auto"/>
            </w:tcBorders>
            <w:shd w:val="clear" w:color="auto" w:fill="auto"/>
            <w:vAlign w:val="center"/>
            <w:hideMark/>
          </w:tcPr>
          <w:p w:rsidR="00B66CD7" w:rsidRPr="004761E0" w:rsidRDefault="00B66CD7" w:rsidP="00F5641F">
            <w:pPr>
              <w:ind w:firstLine="0"/>
              <w:jc w:val="right"/>
              <w:rPr>
                <w:rFonts w:eastAsia="Times New Roman"/>
                <w:color w:val="000000"/>
                <w:sz w:val="20"/>
                <w:szCs w:val="20"/>
                <w:lang w:eastAsia="ru-RU"/>
              </w:rPr>
            </w:pPr>
            <w:r w:rsidRPr="004761E0">
              <w:rPr>
                <w:rFonts w:eastAsia="Times New Roman"/>
                <w:color w:val="000000"/>
                <w:sz w:val="20"/>
                <w:szCs w:val="20"/>
                <w:lang w:eastAsia="ru-RU"/>
              </w:rPr>
              <w:t>2 886</w:t>
            </w:r>
          </w:p>
        </w:tc>
        <w:tc>
          <w:tcPr>
            <w:tcW w:w="709" w:type="dxa"/>
            <w:tcBorders>
              <w:top w:val="nil"/>
              <w:left w:val="nil"/>
              <w:bottom w:val="single" w:sz="4" w:space="0" w:color="auto"/>
              <w:right w:val="single" w:sz="4" w:space="0" w:color="auto"/>
            </w:tcBorders>
            <w:shd w:val="clear" w:color="auto" w:fill="auto"/>
            <w:vAlign w:val="center"/>
            <w:hideMark/>
          </w:tcPr>
          <w:p w:rsidR="00B66CD7" w:rsidRPr="004761E0" w:rsidRDefault="00B66CD7" w:rsidP="00F5641F">
            <w:pPr>
              <w:ind w:firstLine="0"/>
              <w:jc w:val="right"/>
              <w:rPr>
                <w:rFonts w:eastAsia="Times New Roman"/>
                <w:color w:val="000000"/>
                <w:sz w:val="20"/>
                <w:szCs w:val="20"/>
                <w:lang w:eastAsia="ru-RU"/>
              </w:rPr>
            </w:pPr>
            <w:r w:rsidRPr="004761E0">
              <w:rPr>
                <w:rFonts w:eastAsia="Times New Roman"/>
                <w:color w:val="000000"/>
                <w:sz w:val="20"/>
                <w:szCs w:val="20"/>
                <w:lang w:eastAsia="ru-RU"/>
              </w:rPr>
              <w:t>500</w:t>
            </w:r>
          </w:p>
        </w:tc>
        <w:tc>
          <w:tcPr>
            <w:tcW w:w="709" w:type="dxa"/>
            <w:tcBorders>
              <w:top w:val="nil"/>
              <w:left w:val="nil"/>
              <w:bottom w:val="single" w:sz="4" w:space="0" w:color="auto"/>
              <w:right w:val="single" w:sz="4" w:space="0" w:color="auto"/>
            </w:tcBorders>
            <w:shd w:val="clear" w:color="auto" w:fill="auto"/>
            <w:vAlign w:val="center"/>
          </w:tcPr>
          <w:p w:rsidR="00B66CD7" w:rsidRPr="004761E0" w:rsidRDefault="00B66CD7" w:rsidP="00F5641F">
            <w:pPr>
              <w:ind w:firstLine="0"/>
              <w:jc w:val="right"/>
              <w:rPr>
                <w:rFonts w:eastAsia="Times New Roman"/>
                <w:color w:val="000000"/>
                <w:sz w:val="20"/>
                <w:szCs w:val="20"/>
                <w:lang w:eastAsia="ru-RU"/>
              </w:rPr>
            </w:pPr>
            <w:r w:rsidRPr="004761E0">
              <w:rPr>
                <w:rFonts w:eastAsia="Times New Roman"/>
                <w:color w:val="000000"/>
                <w:sz w:val="20"/>
                <w:szCs w:val="20"/>
                <w:lang w:eastAsia="ru-RU"/>
              </w:rPr>
              <w:t>555</w:t>
            </w:r>
          </w:p>
        </w:tc>
        <w:tc>
          <w:tcPr>
            <w:tcW w:w="850" w:type="dxa"/>
            <w:tcBorders>
              <w:top w:val="nil"/>
              <w:left w:val="nil"/>
              <w:bottom w:val="single" w:sz="4" w:space="0" w:color="auto"/>
              <w:right w:val="single" w:sz="4" w:space="0" w:color="auto"/>
            </w:tcBorders>
            <w:vAlign w:val="center"/>
          </w:tcPr>
          <w:p w:rsidR="00B66CD7" w:rsidRPr="004761E0" w:rsidRDefault="00B66CD7" w:rsidP="00F5641F">
            <w:pPr>
              <w:ind w:firstLine="0"/>
              <w:jc w:val="right"/>
              <w:rPr>
                <w:color w:val="000000"/>
                <w:sz w:val="20"/>
                <w:szCs w:val="20"/>
              </w:rPr>
            </w:pPr>
            <w:r w:rsidRPr="004761E0">
              <w:rPr>
                <w:color w:val="000000"/>
                <w:sz w:val="20"/>
                <w:szCs w:val="20"/>
              </w:rPr>
              <w:t>111 %</w:t>
            </w:r>
          </w:p>
        </w:tc>
        <w:tc>
          <w:tcPr>
            <w:tcW w:w="709" w:type="dxa"/>
            <w:tcBorders>
              <w:top w:val="nil"/>
              <w:left w:val="nil"/>
              <w:bottom w:val="single" w:sz="4" w:space="0" w:color="auto"/>
              <w:right w:val="single" w:sz="4" w:space="0" w:color="auto"/>
            </w:tcBorders>
            <w:vAlign w:val="center"/>
          </w:tcPr>
          <w:p w:rsidR="00B66CD7" w:rsidRPr="004761E0" w:rsidRDefault="00B66CD7" w:rsidP="00F5641F">
            <w:pPr>
              <w:ind w:firstLine="0"/>
              <w:jc w:val="right"/>
              <w:rPr>
                <w:color w:val="000000"/>
                <w:sz w:val="20"/>
                <w:szCs w:val="20"/>
              </w:rPr>
            </w:pPr>
            <w:r w:rsidRPr="004761E0">
              <w:rPr>
                <w:color w:val="000000"/>
                <w:sz w:val="20"/>
                <w:szCs w:val="20"/>
              </w:rPr>
              <w:t>70</w:t>
            </w:r>
          </w:p>
        </w:tc>
        <w:tc>
          <w:tcPr>
            <w:tcW w:w="709" w:type="dxa"/>
            <w:tcBorders>
              <w:top w:val="nil"/>
              <w:left w:val="nil"/>
              <w:bottom w:val="single" w:sz="4" w:space="0" w:color="auto"/>
              <w:right w:val="single" w:sz="4" w:space="0" w:color="auto"/>
            </w:tcBorders>
            <w:vAlign w:val="center"/>
          </w:tcPr>
          <w:p w:rsidR="00B66CD7" w:rsidRPr="004761E0" w:rsidRDefault="00B66CD7" w:rsidP="00F5641F">
            <w:pPr>
              <w:ind w:firstLine="0"/>
              <w:jc w:val="right"/>
              <w:rPr>
                <w:color w:val="000000"/>
                <w:sz w:val="20"/>
                <w:szCs w:val="20"/>
              </w:rPr>
            </w:pPr>
            <w:r w:rsidRPr="004761E0">
              <w:rPr>
                <w:color w:val="000000"/>
                <w:sz w:val="20"/>
                <w:szCs w:val="20"/>
              </w:rPr>
              <w:t>–</w:t>
            </w:r>
          </w:p>
        </w:tc>
        <w:tc>
          <w:tcPr>
            <w:tcW w:w="710" w:type="dxa"/>
            <w:tcBorders>
              <w:top w:val="nil"/>
              <w:left w:val="nil"/>
              <w:bottom w:val="single" w:sz="4" w:space="0" w:color="auto"/>
              <w:right w:val="single" w:sz="4" w:space="0" w:color="auto"/>
            </w:tcBorders>
            <w:vAlign w:val="center"/>
          </w:tcPr>
          <w:p w:rsidR="00B66CD7" w:rsidRPr="004761E0" w:rsidRDefault="00B66CD7" w:rsidP="00F5641F">
            <w:pPr>
              <w:ind w:firstLine="0"/>
              <w:jc w:val="right"/>
              <w:rPr>
                <w:color w:val="000000"/>
                <w:sz w:val="20"/>
                <w:szCs w:val="20"/>
              </w:rPr>
            </w:pPr>
            <w:r w:rsidRPr="004761E0">
              <w:rPr>
                <w:color w:val="000000"/>
                <w:sz w:val="20"/>
                <w:szCs w:val="20"/>
              </w:rPr>
              <w:t>–</w:t>
            </w:r>
          </w:p>
        </w:tc>
        <w:tc>
          <w:tcPr>
            <w:tcW w:w="707" w:type="dxa"/>
            <w:tcBorders>
              <w:top w:val="nil"/>
              <w:left w:val="nil"/>
              <w:bottom w:val="single" w:sz="4" w:space="0" w:color="auto"/>
              <w:right w:val="single" w:sz="4" w:space="0" w:color="auto"/>
            </w:tcBorders>
            <w:vAlign w:val="center"/>
          </w:tcPr>
          <w:p w:rsidR="00B66CD7" w:rsidRPr="004761E0" w:rsidRDefault="00B66CD7" w:rsidP="00F5641F">
            <w:pPr>
              <w:ind w:firstLine="0"/>
              <w:jc w:val="right"/>
              <w:rPr>
                <w:color w:val="000000"/>
                <w:sz w:val="20"/>
                <w:szCs w:val="20"/>
              </w:rPr>
            </w:pPr>
            <w:r w:rsidRPr="004761E0">
              <w:rPr>
                <w:color w:val="000000"/>
                <w:sz w:val="20"/>
                <w:szCs w:val="20"/>
              </w:rPr>
              <w:t>–</w:t>
            </w:r>
          </w:p>
        </w:tc>
      </w:tr>
      <w:tr w:rsidR="00B66CD7" w:rsidRPr="004761E0" w:rsidTr="00B66CD7">
        <w:trPr>
          <w:trHeight w:val="300"/>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6CD7" w:rsidRPr="004761E0" w:rsidRDefault="00B66CD7" w:rsidP="007076A7">
            <w:pPr>
              <w:numPr>
                <w:ilvl w:val="0"/>
                <w:numId w:val="116"/>
              </w:numPr>
              <w:jc w:val="left"/>
              <w:rPr>
                <w:rFonts w:eastAsia="Times New Roman"/>
                <w:b/>
                <w:color w:val="000000"/>
                <w:sz w:val="20"/>
                <w:szCs w:val="20"/>
                <w:lang w:eastAsia="ru-RU"/>
              </w:rPr>
            </w:pPr>
          </w:p>
        </w:tc>
        <w:tc>
          <w:tcPr>
            <w:tcW w:w="3124" w:type="dxa"/>
            <w:tcBorders>
              <w:top w:val="single" w:sz="4" w:space="0" w:color="auto"/>
              <w:left w:val="nil"/>
              <w:bottom w:val="single" w:sz="4" w:space="0" w:color="auto"/>
              <w:right w:val="single" w:sz="4" w:space="0" w:color="auto"/>
            </w:tcBorders>
            <w:shd w:val="clear" w:color="auto" w:fill="auto"/>
            <w:vAlign w:val="center"/>
            <w:hideMark/>
          </w:tcPr>
          <w:p w:rsidR="00B66CD7" w:rsidRPr="004761E0" w:rsidRDefault="00B66CD7" w:rsidP="00B66CD7">
            <w:pPr>
              <w:ind w:firstLine="0"/>
              <w:jc w:val="left"/>
              <w:rPr>
                <w:rFonts w:eastAsia="Times New Roman"/>
                <w:b/>
                <w:color w:val="000000"/>
                <w:sz w:val="20"/>
                <w:szCs w:val="20"/>
                <w:lang w:eastAsia="ru-RU"/>
              </w:rPr>
            </w:pPr>
            <w:r w:rsidRPr="004761E0">
              <w:rPr>
                <w:rFonts w:eastAsia="Times New Roman"/>
                <w:b/>
                <w:color w:val="000000"/>
                <w:sz w:val="20"/>
                <w:szCs w:val="20"/>
                <w:lang w:eastAsia="ru-RU"/>
              </w:rPr>
              <w:t xml:space="preserve">Расчистка трасс </w:t>
            </w:r>
            <w:proofErr w:type="gramStart"/>
            <w:r w:rsidRPr="004761E0">
              <w:rPr>
                <w:rFonts w:eastAsia="Times New Roman"/>
                <w:b/>
                <w:color w:val="000000"/>
                <w:sz w:val="20"/>
                <w:szCs w:val="20"/>
                <w:lang w:eastAsia="ru-RU"/>
              </w:rPr>
              <w:t>ВЛ</w:t>
            </w:r>
            <w:proofErr w:type="gramEnd"/>
            <w:r w:rsidRPr="004761E0">
              <w:rPr>
                <w:rFonts w:eastAsia="Times New Roman"/>
                <w:b/>
                <w:color w:val="000000"/>
                <w:sz w:val="20"/>
                <w:szCs w:val="20"/>
                <w:lang w:eastAsia="ru-RU"/>
              </w:rPr>
              <w:t xml:space="preserve"> 0,4-220 кВ от ДКР, га (всего), в т.ч.:</w:t>
            </w:r>
          </w:p>
        </w:tc>
        <w:tc>
          <w:tcPr>
            <w:tcW w:w="707" w:type="dxa"/>
            <w:tcBorders>
              <w:top w:val="single" w:sz="4" w:space="0" w:color="auto"/>
              <w:left w:val="nil"/>
              <w:bottom w:val="single" w:sz="4" w:space="0" w:color="auto"/>
              <w:right w:val="single" w:sz="4" w:space="0" w:color="auto"/>
            </w:tcBorders>
            <w:shd w:val="clear" w:color="auto" w:fill="auto"/>
            <w:vAlign w:val="center"/>
            <w:hideMark/>
          </w:tcPr>
          <w:p w:rsidR="00B66CD7" w:rsidRPr="004761E0" w:rsidRDefault="00B66CD7" w:rsidP="00F5641F">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3 961</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B66CD7" w:rsidRPr="004761E0" w:rsidRDefault="00B66CD7" w:rsidP="00F5641F">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3 400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66CD7" w:rsidRPr="004761E0" w:rsidRDefault="00B66CD7" w:rsidP="00F5641F">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1 634</w:t>
            </w:r>
          </w:p>
        </w:tc>
        <w:tc>
          <w:tcPr>
            <w:tcW w:w="709" w:type="dxa"/>
            <w:tcBorders>
              <w:top w:val="single" w:sz="4" w:space="0" w:color="auto"/>
              <w:left w:val="nil"/>
              <w:bottom w:val="single" w:sz="4" w:space="0" w:color="auto"/>
              <w:right w:val="single" w:sz="4" w:space="0" w:color="auto"/>
            </w:tcBorders>
            <w:shd w:val="clear" w:color="auto" w:fill="auto"/>
            <w:vAlign w:val="center"/>
          </w:tcPr>
          <w:p w:rsidR="00B66CD7" w:rsidRPr="004761E0" w:rsidRDefault="00B66CD7" w:rsidP="00F5641F">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2 377</w:t>
            </w:r>
          </w:p>
        </w:tc>
        <w:tc>
          <w:tcPr>
            <w:tcW w:w="850" w:type="dxa"/>
            <w:tcBorders>
              <w:top w:val="single" w:sz="4" w:space="0" w:color="auto"/>
              <w:left w:val="nil"/>
              <w:bottom w:val="single" w:sz="4" w:space="0" w:color="auto"/>
              <w:right w:val="single" w:sz="4" w:space="0" w:color="auto"/>
            </w:tcBorders>
            <w:vAlign w:val="center"/>
          </w:tcPr>
          <w:p w:rsidR="00B66CD7" w:rsidRPr="004761E0" w:rsidRDefault="00B66CD7" w:rsidP="00F5641F">
            <w:pPr>
              <w:ind w:firstLine="0"/>
              <w:jc w:val="right"/>
              <w:rPr>
                <w:b/>
                <w:bCs/>
                <w:color w:val="000000"/>
                <w:sz w:val="20"/>
                <w:szCs w:val="20"/>
              </w:rPr>
            </w:pPr>
            <w:r w:rsidRPr="004761E0">
              <w:rPr>
                <w:b/>
                <w:bCs/>
                <w:color w:val="000000"/>
                <w:sz w:val="20"/>
                <w:szCs w:val="20"/>
              </w:rPr>
              <w:t>145 %</w:t>
            </w:r>
          </w:p>
        </w:tc>
        <w:tc>
          <w:tcPr>
            <w:tcW w:w="709" w:type="dxa"/>
            <w:tcBorders>
              <w:top w:val="single" w:sz="4" w:space="0" w:color="auto"/>
              <w:left w:val="nil"/>
              <w:bottom w:val="single" w:sz="4" w:space="0" w:color="auto"/>
              <w:right w:val="single" w:sz="4" w:space="0" w:color="auto"/>
            </w:tcBorders>
            <w:vAlign w:val="center"/>
          </w:tcPr>
          <w:p w:rsidR="00B66CD7" w:rsidRPr="004761E0" w:rsidRDefault="00B66CD7" w:rsidP="00F5641F">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2 622</w:t>
            </w:r>
          </w:p>
        </w:tc>
        <w:tc>
          <w:tcPr>
            <w:tcW w:w="709" w:type="dxa"/>
            <w:tcBorders>
              <w:top w:val="single" w:sz="4" w:space="0" w:color="auto"/>
              <w:left w:val="nil"/>
              <w:bottom w:val="single" w:sz="4" w:space="0" w:color="auto"/>
              <w:right w:val="single" w:sz="4" w:space="0" w:color="auto"/>
            </w:tcBorders>
            <w:vAlign w:val="center"/>
          </w:tcPr>
          <w:p w:rsidR="00B66CD7" w:rsidRPr="004761E0" w:rsidRDefault="00B66CD7" w:rsidP="00F5641F">
            <w:pPr>
              <w:ind w:firstLine="0"/>
              <w:jc w:val="right"/>
              <w:rPr>
                <w:b/>
                <w:color w:val="000000"/>
                <w:sz w:val="20"/>
                <w:szCs w:val="20"/>
              </w:rPr>
            </w:pPr>
            <w:r w:rsidRPr="004761E0">
              <w:rPr>
                <w:b/>
                <w:color w:val="000000"/>
                <w:sz w:val="20"/>
                <w:szCs w:val="20"/>
              </w:rPr>
              <w:t>2 833</w:t>
            </w:r>
          </w:p>
        </w:tc>
        <w:tc>
          <w:tcPr>
            <w:tcW w:w="710" w:type="dxa"/>
            <w:tcBorders>
              <w:top w:val="single" w:sz="4" w:space="0" w:color="auto"/>
              <w:left w:val="nil"/>
              <w:bottom w:val="single" w:sz="4" w:space="0" w:color="auto"/>
              <w:right w:val="single" w:sz="4" w:space="0" w:color="auto"/>
            </w:tcBorders>
            <w:vAlign w:val="center"/>
          </w:tcPr>
          <w:p w:rsidR="00B66CD7" w:rsidRPr="004761E0" w:rsidRDefault="00B66CD7" w:rsidP="00F5641F">
            <w:pPr>
              <w:ind w:firstLine="0"/>
              <w:jc w:val="right"/>
              <w:rPr>
                <w:b/>
                <w:color w:val="000000"/>
                <w:sz w:val="20"/>
                <w:szCs w:val="20"/>
              </w:rPr>
            </w:pPr>
            <w:r w:rsidRPr="004761E0">
              <w:rPr>
                <w:b/>
                <w:color w:val="000000"/>
                <w:sz w:val="20"/>
                <w:szCs w:val="20"/>
              </w:rPr>
              <w:t>3 300</w:t>
            </w:r>
          </w:p>
        </w:tc>
        <w:tc>
          <w:tcPr>
            <w:tcW w:w="707" w:type="dxa"/>
            <w:tcBorders>
              <w:top w:val="single" w:sz="4" w:space="0" w:color="auto"/>
              <w:left w:val="nil"/>
              <w:bottom w:val="single" w:sz="4" w:space="0" w:color="auto"/>
              <w:right w:val="single" w:sz="4" w:space="0" w:color="auto"/>
            </w:tcBorders>
            <w:vAlign w:val="center"/>
          </w:tcPr>
          <w:p w:rsidR="00B66CD7" w:rsidRPr="004761E0" w:rsidRDefault="00B66CD7" w:rsidP="00F5641F">
            <w:pPr>
              <w:ind w:firstLine="0"/>
              <w:jc w:val="right"/>
              <w:rPr>
                <w:b/>
                <w:color w:val="000000"/>
                <w:sz w:val="20"/>
                <w:szCs w:val="20"/>
              </w:rPr>
            </w:pPr>
            <w:r w:rsidRPr="004761E0">
              <w:rPr>
                <w:b/>
                <w:color w:val="000000"/>
                <w:sz w:val="20"/>
                <w:szCs w:val="20"/>
              </w:rPr>
              <w:t>4 200</w:t>
            </w:r>
          </w:p>
        </w:tc>
      </w:tr>
      <w:tr w:rsidR="00CF70F8" w:rsidRPr="004761E0" w:rsidTr="00CF70F8">
        <w:trPr>
          <w:trHeight w:val="300"/>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0F8" w:rsidRPr="004761E0" w:rsidRDefault="00CF70F8" w:rsidP="007076A7">
            <w:pPr>
              <w:pStyle w:val="a5"/>
              <w:numPr>
                <w:ilvl w:val="1"/>
                <w:numId w:val="116"/>
              </w:numPr>
              <w:contextualSpacing w:val="0"/>
              <w:jc w:val="left"/>
              <w:rPr>
                <w:rFonts w:eastAsia="Times New Roman"/>
                <w:color w:val="000000"/>
                <w:sz w:val="20"/>
                <w:szCs w:val="20"/>
                <w:lang w:eastAsia="ru-RU"/>
              </w:rPr>
            </w:pPr>
          </w:p>
        </w:tc>
        <w:tc>
          <w:tcPr>
            <w:tcW w:w="3124" w:type="dxa"/>
            <w:tcBorders>
              <w:top w:val="single" w:sz="4" w:space="0" w:color="auto"/>
              <w:left w:val="nil"/>
              <w:bottom w:val="single" w:sz="4" w:space="0" w:color="auto"/>
              <w:right w:val="single" w:sz="4" w:space="0" w:color="auto"/>
            </w:tcBorders>
            <w:shd w:val="clear" w:color="auto" w:fill="auto"/>
            <w:vAlign w:val="center"/>
            <w:hideMark/>
          </w:tcPr>
          <w:p w:rsidR="00CF70F8" w:rsidRPr="004761E0" w:rsidRDefault="00CF70F8" w:rsidP="00F5641F">
            <w:pPr>
              <w:ind w:left="179" w:firstLine="0"/>
              <w:jc w:val="left"/>
              <w:rPr>
                <w:rFonts w:eastAsia="Times New Roman"/>
                <w:color w:val="000000"/>
                <w:sz w:val="20"/>
                <w:szCs w:val="20"/>
                <w:lang w:eastAsia="ru-RU"/>
              </w:rPr>
            </w:pPr>
            <w:r w:rsidRPr="004761E0">
              <w:rPr>
                <w:rFonts w:eastAsia="Times New Roman"/>
                <w:color w:val="000000"/>
                <w:sz w:val="20"/>
                <w:szCs w:val="20"/>
                <w:lang w:eastAsia="ru-RU"/>
              </w:rPr>
              <w:t>0,4-10 кВ</w:t>
            </w:r>
          </w:p>
        </w:tc>
        <w:tc>
          <w:tcPr>
            <w:tcW w:w="707" w:type="dxa"/>
            <w:tcBorders>
              <w:top w:val="single" w:sz="4" w:space="0" w:color="auto"/>
              <w:left w:val="nil"/>
              <w:bottom w:val="single" w:sz="4" w:space="0" w:color="auto"/>
              <w:right w:val="single" w:sz="4" w:space="0" w:color="auto"/>
            </w:tcBorders>
            <w:shd w:val="clear" w:color="auto" w:fill="auto"/>
            <w:vAlign w:val="center"/>
            <w:hideMark/>
          </w:tcPr>
          <w:p w:rsidR="00CF70F8" w:rsidRPr="004761E0" w:rsidRDefault="00CF70F8" w:rsidP="00F5641F">
            <w:pPr>
              <w:ind w:firstLine="0"/>
              <w:jc w:val="right"/>
              <w:rPr>
                <w:rFonts w:eastAsia="Times New Roman"/>
                <w:color w:val="000000"/>
                <w:sz w:val="20"/>
                <w:szCs w:val="20"/>
                <w:lang w:eastAsia="ru-RU"/>
              </w:rPr>
            </w:pPr>
            <w:r w:rsidRPr="004761E0">
              <w:rPr>
                <w:rFonts w:eastAsia="Times New Roman"/>
                <w:color w:val="000000"/>
                <w:sz w:val="20"/>
                <w:szCs w:val="20"/>
                <w:lang w:eastAsia="ru-RU"/>
              </w:rPr>
              <w:t>1 539</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CF70F8" w:rsidRPr="004761E0" w:rsidRDefault="00CF70F8" w:rsidP="00F5641F">
            <w:pPr>
              <w:ind w:firstLine="0"/>
              <w:jc w:val="right"/>
              <w:rPr>
                <w:rFonts w:eastAsia="Times New Roman"/>
                <w:color w:val="000000"/>
                <w:sz w:val="20"/>
                <w:szCs w:val="20"/>
                <w:lang w:eastAsia="ru-RU"/>
              </w:rPr>
            </w:pPr>
            <w:r w:rsidRPr="004761E0">
              <w:rPr>
                <w:rFonts w:eastAsia="Times New Roman"/>
                <w:color w:val="000000"/>
                <w:sz w:val="20"/>
                <w:szCs w:val="20"/>
                <w:lang w:eastAsia="ru-RU"/>
              </w:rPr>
              <w:t>734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F70F8" w:rsidRPr="004761E0" w:rsidRDefault="00CF70F8" w:rsidP="00F5641F">
            <w:pPr>
              <w:ind w:firstLine="0"/>
              <w:jc w:val="right"/>
              <w:rPr>
                <w:rFonts w:eastAsia="Times New Roman"/>
                <w:color w:val="000000"/>
                <w:sz w:val="20"/>
                <w:szCs w:val="20"/>
                <w:lang w:eastAsia="ru-RU"/>
              </w:rPr>
            </w:pPr>
            <w:r w:rsidRPr="004761E0">
              <w:rPr>
                <w:rFonts w:eastAsia="Times New Roman"/>
                <w:color w:val="000000"/>
                <w:sz w:val="20"/>
                <w:szCs w:val="20"/>
                <w:lang w:eastAsia="ru-RU"/>
              </w:rPr>
              <w:t>640</w:t>
            </w:r>
          </w:p>
        </w:tc>
        <w:tc>
          <w:tcPr>
            <w:tcW w:w="709" w:type="dxa"/>
            <w:tcBorders>
              <w:top w:val="single" w:sz="4" w:space="0" w:color="auto"/>
              <w:left w:val="nil"/>
              <w:bottom w:val="single" w:sz="4" w:space="0" w:color="auto"/>
              <w:right w:val="single" w:sz="4" w:space="0" w:color="auto"/>
            </w:tcBorders>
            <w:shd w:val="clear" w:color="auto" w:fill="auto"/>
            <w:vAlign w:val="center"/>
          </w:tcPr>
          <w:p w:rsidR="00CF70F8" w:rsidRPr="004761E0" w:rsidRDefault="00CF70F8" w:rsidP="00F5641F">
            <w:pPr>
              <w:ind w:firstLine="0"/>
              <w:jc w:val="right"/>
              <w:rPr>
                <w:rFonts w:eastAsia="Times New Roman"/>
                <w:color w:val="000000"/>
                <w:sz w:val="20"/>
                <w:szCs w:val="20"/>
                <w:lang w:eastAsia="ru-RU"/>
              </w:rPr>
            </w:pPr>
            <w:r w:rsidRPr="004761E0">
              <w:rPr>
                <w:rFonts w:eastAsia="Times New Roman"/>
                <w:color w:val="000000"/>
                <w:sz w:val="20"/>
                <w:szCs w:val="20"/>
                <w:lang w:eastAsia="ru-RU"/>
              </w:rPr>
              <w:t>875</w:t>
            </w:r>
          </w:p>
        </w:tc>
        <w:tc>
          <w:tcPr>
            <w:tcW w:w="850" w:type="dxa"/>
            <w:tcBorders>
              <w:top w:val="single" w:sz="4" w:space="0" w:color="auto"/>
              <w:left w:val="nil"/>
              <w:bottom w:val="single" w:sz="4" w:space="0" w:color="auto"/>
              <w:right w:val="single" w:sz="4" w:space="0" w:color="auto"/>
            </w:tcBorders>
            <w:vAlign w:val="center"/>
          </w:tcPr>
          <w:p w:rsidR="00CF70F8" w:rsidRPr="004761E0" w:rsidRDefault="00CF70F8" w:rsidP="00F5641F">
            <w:pPr>
              <w:ind w:firstLine="0"/>
              <w:jc w:val="right"/>
              <w:rPr>
                <w:color w:val="000000"/>
                <w:sz w:val="20"/>
                <w:szCs w:val="20"/>
              </w:rPr>
            </w:pPr>
            <w:r w:rsidRPr="004761E0">
              <w:rPr>
                <w:color w:val="000000"/>
                <w:sz w:val="20"/>
                <w:szCs w:val="20"/>
              </w:rPr>
              <w:t>137 %</w:t>
            </w:r>
          </w:p>
        </w:tc>
        <w:tc>
          <w:tcPr>
            <w:tcW w:w="709" w:type="dxa"/>
            <w:tcBorders>
              <w:top w:val="single" w:sz="4" w:space="0" w:color="auto"/>
              <w:left w:val="nil"/>
              <w:bottom w:val="single" w:sz="4" w:space="0" w:color="auto"/>
              <w:right w:val="single" w:sz="4" w:space="0" w:color="auto"/>
            </w:tcBorders>
            <w:vAlign w:val="center"/>
          </w:tcPr>
          <w:p w:rsidR="00CF70F8" w:rsidRPr="004761E0" w:rsidRDefault="00CF70F8" w:rsidP="00F5641F">
            <w:pPr>
              <w:ind w:firstLine="0"/>
              <w:jc w:val="right"/>
              <w:rPr>
                <w:rFonts w:eastAsia="Times New Roman"/>
                <w:color w:val="000000"/>
                <w:sz w:val="20"/>
                <w:szCs w:val="20"/>
                <w:lang w:eastAsia="ru-RU"/>
              </w:rPr>
            </w:pPr>
            <w:r w:rsidRPr="004761E0">
              <w:rPr>
                <w:rFonts w:eastAsia="Times New Roman"/>
                <w:color w:val="000000"/>
                <w:sz w:val="20"/>
                <w:szCs w:val="20"/>
                <w:lang w:eastAsia="ru-RU"/>
              </w:rPr>
              <w:t>602</w:t>
            </w:r>
          </w:p>
        </w:tc>
        <w:tc>
          <w:tcPr>
            <w:tcW w:w="709" w:type="dxa"/>
            <w:tcBorders>
              <w:top w:val="single" w:sz="4" w:space="0" w:color="auto"/>
              <w:left w:val="nil"/>
              <w:bottom w:val="single" w:sz="4" w:space="0" w:color="auto"/>
              <w:right w:val="single" w:sz="4" w:space="0" w:color="auto"/>
            </w:tcBorders>
            <w:shd w:val="clear" w:color="auto" w:fill="auto"/>
            <w:vAlign w:val="center"/>
          </w:tcPr>
          <w:p w:rsidR="00CF70F8" w:rsidRPr="00CF70F8" w:rsidRDefault="00CF70F8" w:rsidP="00CF70F8">
            <w:pPr>
              <w:ind w:firstLine="0"/>
              <w:jc w:val="right"/>
              <w:rPr>
                <w:sz w:val="20"/>
                <w:szCs w:val="20"/>
              </w:rPr>
            </w:pPr>
            <w:r w:rsidRPr="00CF70F8">
              <w:rPr>
                <w:sz w:val="20"/>
                <w:szCs w:val="20"/>
              </w:rPr>
              <w:t>632</w:t>
            </w:r>
          </w:p>
        </w:tc>
        <w:tc>
          <w:tcPr>
            <w:tcW w:w="710" w:type="dxa"/>
            <w:tcBorders>
              <w:top w:val="single" w:sz="4" w:space="0" w:color="auto"/>
              <w:left w:val="nil"/>
              <w:bottom w:val="single" w:sz="4" w:space="0" w:color="auto"/>
              <w:right w:val="single" w:sz="4" w:space="0" w:color="auto"/>
            </w:tcBorders>
            <w:shd w:val="clear" w:color="auto" w:fill="auto"/>
            <w:vAlign w:val="center"/>
          </w:tcPr>
          <w:p w:rsidR="00CF70F8" w:rsidRPr="00CF70F8" w:rsidRDefault="00CF70F8" w:rsidP="00CF70F8">
            <w:pPr>
              <w:ind w:firstLine="0"/>
              <w:jc w:val="right"/>
              <w:rPr>
                <w:sz w:val="20"/>
                <w:szCs w:val="20"/>
              </w:rPr>
            </w:pPr>
            <w:r w:rsidRPr="00CF70F8">
              <w:rPr>
                <w:sz w:val="20"/>
                <w:szCs w:val="20"/>
              </w:rPr>
              <w:t>664</w:t>
            </w:r>
          </w:p>
        </w:tc>
        <w:tc>
          <w:tcPr>
            <w:tcW w:w="707" w:type="dxa"/>
            <w:tcBorders>
              <w:top w:val="single" w:sz="4" w:space="0" w:color="auto"/>
              <w:left w:val="nil"/>
              <w:bottom w:val="single" w:sz="4" w:space="0" w:color="auto"/>
              <w:right w:val="single" w:sz="4" w:space="0" w:color="auto"/>
            </w:tcBorders>
            <w:shd w:val="clear" w:color="auto" w:fill="auto"/>
            <w:vAlign w:val="center"/>
          </w:tcPr>
          <w:p w:rsidR="00CF70F8" w:rsidRPr="00CF70F8" w:rsidRDefault="00CF70F8" w:rsidP="00CF70F8">
            <w:pPr>
              <w:ind w:firstLine="0"/>
              <w:jc w:val="right"/>
              <w:rPr>
                <w:sz w:val="20"/>
                <w:szCs w:val="20"/>
              </w:rPr>
            </w:pPr>
            <w:r w:rsidRPr="00CF70F8">
              <w:rPr>
                <w:sz w:val="20"/>
                <w:szCs w:val="20"/>
              </w:rPr>
              <w:t>697</w:t>
            </w:r>
          </w:p>
        </w:tc>
      </w:tr>
      <w:tr w:rsidR="00CF70F8" w:rsidRPr="004761E0" w:rsidTr="00CF70F8">
        <w:trPr>
          <w:trHeight w:val="300"/>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0F8" w:rsidRPr="004761E0" w:rsidRDefault="00CF70F8" w:rsidP="007076A7">
            <w:pPr>
              <w:pStyle w:val="a5"/>
              <w:numPr>
                <w:ilvl w:val="1"/>
                <w:numId w:val="116"/>
              </w:numPr>
              <w:contextualSpacing w:val="0"/>
              <w:jc w:val="left"/>
              <w:rPr>
                <w:rFonts w:eastAsia="Times New Roman"/>
                <w:color w:val="000000"/>
                <w:sz w:val="20"/>
                <w:szCs w:val="20"/>
                <w:lang w:eastAsia="ru-RU"/>
              </w:rPr>
            </w:pPr>
          </w:p>
        </w:tc>
        <w:tc>
          <w:tcPr>
            <w:tcW w:w="3124" w:type="dxa"/>
            <w:tcBorders>
              <w:top w:val="single" w:sz="4" w:space="0" w:color="auto"/>
              <w:left w:val="nil"/>
              <w:bottom w:val="single" w:sz="4" w:space="0" w:color="auto"/>
              <w:right w:val="single" w:sz="4" w:space="0" w:color="auto"/>
            </w:tcBorders>
            <w:shd w:val="clear" w:color="auto" w:fill="auto"/>
            <w:vAlign w:val="center"/>
            <w:hideMark/>
          </w:tcPr>
          <w:p w:rsidR="00CF70F8" w:rsidRPr="004761E0" w:rsidRDefault="00CF70F8" w:rsidP="00F5641F">
            <w:pPr>
              <w:ind w:left="179" w:firstLine="0"/>
              <w:jc w:val="left"/>
              <w:rPr>
                <w:rFonts w:eastAsia="Times New Roman"/>
                <w:color w:val="000000"/>
                <w:sz w:val="20"/>
                <w:szCs w:val="20"/>
                <w:lang w:eastAsia="ru-RU"/>
              </w:rPr>
            </w:pPr>
            <w:r w:rsidRPr="004761E0">
              <w:rPr>
                <w:rFonts w:eastAsia="Times New Roman"/>
                <w:color w:val="000000"/>
                <w:sz w:val="20"/>
                <w:szCs w:val="20"/>
                <w:lang w:eastAsia="ru-RU"/>
              </w:rPr>
              <w:t>35-220 кВ</w:t>
            </w:r>
          </w:p>
        </w:tc>
        <w:tc>
          <w:tcPr>
            <w:tcW w:w="707" w:type="dxa"/>
            <w:tcBorders>
              <w:top w:val="single" w:sz="4" w:space="0" w:color="auto"/>
              <w:left w:val="nil"/>
              <w:bottom w:val="single" w:sz="4" w:space="0" w:color="auto"/>
              <w:right w:val="single" w:sz="4" w:space="0" w:color="auto"/>
            </w:tcBorders>
            <w:shd w:val="clear" w:color="auto" w:fill="auto"/>
            <w:vAlign w:val="center"/>
            <w:hideMark/>
          </w:tcPr>
          <w:p w:rsidR="00CF70F8" w:rsidRPr="004761E0" w:rsidRDefault="00CF70F8" w:rsidP="00F5641F">
            <w:pPr>
              <w:ind w:firstLine="0"/>
              <w:jc w:val="right"/>
              <w:rPr>
                <w:rFonts w:eastAsia="Times New Roman"/>
                <w:color w:val="000000"/>
                <w:sz w:val="20"/>
                <w:szCs w:val="20"/>
                <w:lang w:eastAsia="ru-RU"/>
              </w:rPr>
            </w:pPr>
            <w:r w:rsidRPr="004761E0">
              <w:rPr>
                <w:rFonts w:eastAsia="Times New Roman"/>
                <w:color w:val="000000"/>
                <w:sz w:val="20"/>
                <w:szCs w:val="20"/>
                <w:lang w:eastAsia="ru-RU"/>
              </w:rPr>
              <w:t>2 422</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CF70F8" w:rsidRPr="004761E0" w:rsidRDefault="00CF70F8" w:rsidP="00F5641F">
            <w:pPr>
              <w:ind w:firstLine="0"/>
              <w:jc w:val="right"/>
              <w:rPr>
                <w:rFonts w:eastAsia="Times New Roman"/>
                <w:color w:val="000000"/>
                <w:sz w:val="20"/>
                <w:szCs w:val="20"/>
                <w:lang w:eastAsia="ru-RU"/>
              </w:rPr>
            </w:pPr>
            <w:r w:rsidRPr="004761E0">
              <w:rPr>
                <w:rFonts w:eastAsia="Times New Roman"/>
                <w:color w:val="000000"/>
                <w:sz w:val="20"/>
                <w:szCs w:val="20"/>
                <w:lang w:eastAsia="ru-RU"/>
              </w:rPr>
              <w:t>2 666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F70F8" w:rsidRPr="004761E0" w:rsidRDefault="00CF70F8" w:rsidP="00F5641F">
            <w:pPr>
              <w:ind w:firstLine="0"/>
              <w:jc w:val="right"/>
              <w:rPr>
                <w:rFonts w:eastAsia="Times New Roman"/>
                <w:color w:val="000000"/>
                <w:sz w:val="20"/>
                <w:szCs w:val="20"/>
                <w:lang w:eastAsia="ru-RU"/>
              </w:rPr>
            </w:pPr>
            <w:r w:rsidRPr="004761E0">
              <w:rPr>
                <w:rFonts w:eastAsia="Times New Roman"/>
                <w:color w:val="000000"/>
                <w:sz w:val="20"/>
                <w:szCs w:val="20"/>
                <w:lang w:eastAsia="ru-RU"/>
              </w:rPr>
              <w:t>994</w:t>
            </w:r>
          </w:p>
        </w:tc>
        <w:tc>
          <w:tcPr>
            <w:tcW w:w="709" w:type="dxa"/>
            <w:tcBorders>
              <w:top w:val="single" w:sz="4" w:space="0" w:color="auto"/>
              <w:left w:val="nil"/>
              <w:bottom w:val="single" w:sz="4" w:space="0" w:color="auto"/>
              <w:right w:val="single" w:sz="4" w:space="0" w:color="auto"/>
            </w:tcBorders>
            <w:shd w:val="clear" w:color="auto" w:fill="auto"/>
            <w:vAlign w:val="center"/>
          </w:tcPr>
          <w:p w:rsidR="00CF70F8" w:rsidRPr="004761E0" w:rsidRDefault="00CF70F8" w:rsidP="00F5641F">
            <w:pPr>
              <w:ind w:firstLine="0"/>
              <w:jc w:val="right"/>
              <w:rPr>
                <w:rFonts w:eastAsia="Times New Roman"/>
                <w:color w:val="000000"/>
                <w:sz w:val="20"/>
                <w:szCs w:val="20"/>
                <w:lang w:eastAsia="ru-RU"/>
              </w:rPr>
            </w:pPr>
            <w:r w:rsidRPr="004761E0">
              <w:rPr>
                <w:rFonts w:eastAsia="Times New Roman"/>
                <w:color w:val="000000"/>
                <w:sz w:val="20"/>
                <w:szCs w:val="20"/>
                <w:lang w:eastAsia="ru-RU"/>
              </w:rPr>
              <w:t>1 502</w:t>
            </w:r>
          </w:p>
        </w:tc>
        <w:tc>
          <w:tcPr>
            <w:tcW w:w="850" w:type="dxa"/>
            <w:tcBorders>
              <w:top w:val="single" w:sz="4" w:space="0" w:color="auto"/>
              <w:left w:val="nil"/>
              <w:bottom w:val="single" w:sz="4" w:space="0" w:color="auto"/>
              <w:right w:val="single" w:sz="4" w:space="0" w:color="auto"/>
            </w:tcBorders>
            <w:vAlign w:val="center"/>
          </w:tcPr>
          <w:p w:rsidR="00CF70F8" w:rsidRPr="004761E0" w:rsidRDefault="00CF70F8" w:rsidP="00F5641F">
            <w:pPr>
              <w:ind w:firstLine="0"/>
              <w:jc w:val="right"/>
              <w:rPr>
                <w:color w:val="000000"/>
                <w:sz w:val="20"/>
                <w:szCs w:val="20"/>
              </w:rPr>
            </w:pPr>
            <w:r w:rsidRPr="004761E0">
              <w:rPr>
                <w:color w:val="000000"/>
                <w:sz w:val="20"/>
                <w:szCs w:val="20"/>
              </w:rPr>
              <w:t>151 %</w:t>
            </w:r>
          </w:p>
        </w:tc>
        <w:tc>
          <w:tcPr>
            <w:tcW w:w="709" w:type="dxa"/>
            <w:tcBorders>
              <w:top w:val="single" w:sz="4" w:space="0" w:color="auto"/>
              <w:left w:val="nil"/>
              <w:bottom w:val="single" w:sz="4" w:space="0" w:color="auto"/>
              <w:right w:val="single" w:sz="4" w:space="0" w:color="auto"/>
            </w:tcBorders>
            <w:vAlign w:val="center"/>
          </w:tcPr>
          <w:p w:rsidR="00CF70F8" w:rsidRPr="004761E0" w:rsidRDefault="00CF70F8" w:rsidP="00F5641F">
            <w:pPr>
              <w:ind w:firstLine="0"/>
              <w:jc w:val="right"/>
              <w:rPr>
                <w:rFonts w:eastAsia="Times New Roman"/>
                <w:color w:val="000000"/>
                <w:sz w:val="20"/>
                <w:szCs w:val="20"/>
                <w:lang w:eastAsia="ru-RU"/>
              </w:rPr>
            </w:pPr>
            <w:r w:rsidRPr="004761E0">
              <w:rPr>
                <w:rFonts w:eastAsia="Times New Roman"/>
                <w:color w:val="000000"/>
                <w:sz w:val="20"/>
                <w:szCs w:val="20"/>
                <w:lang w:eastAsia="ru-RU"/>
              </w:rPr>
              <w:t>2 020</w:t>
            </w:r>
          </w:p>
        </w:tc>
        <w:tc>
          <w:tcPr>
            <w:tcW w:w="709" w:type="dxa"/>
            <w:tcBorders>
              <w:top w:val="single" w:sz="4" w:space="0" w:color="auto"/>
              <w:left w:val="nil"/>
              <w:bottom w:val="single" w:sz="4" w:space="0" w:color="auto"/>
              <w:right w:val="single" w:sz="4" w:space="0" w:color="auto"/>
            </w:tcBorders>
            <w:shd w:val="clear" w:color="auto" w:fill="auto"/>
            <w:vAlign w:val="center"/>
          </w:tcPr>
          <w:p w:rsidR="00CF70F8" w:rsidRPr="00CF70F8" w:rsidRDefault="00CF70F8" w:rsidP="00CF70F8">
            <w:pPr>
              <w:ind w:firstLine="0"/>
              <w:jc w:val="right"/>
              <w:rPr>
                <w:sz w:val="20"/>
                <w:szCs w:val="20"/>
              </w:rPr>
            </w:pPr>
            <w:r w:rsidRPr="00CF70F8">
              <w:rPr>
                <w:sz w:val="20"/>
                <w:szCs w:val="20"/>
              </w:rPr>
              <w:t>2 093</w:t>
            </w:r>
          </w:p>
        </w:tc>
        <w:tc>
          <w:tcPr>
            <w:tcW w:w="710" w:type="dxa"/>
            <w:tcBorders>
              <w:top w:val="single" w:sz="4" w:space="0" w:color="auto"/>
              <w:left w:val="nil"/>
              <w:bottom w:val="single" w:sz="4" w:space="0" w:color="auto"/>
              <w:right w:val="single" w:sz="4" w:space="0" w:color="auto"/>
            </w:tcBorders>
            <w:shd w:val="clear" w:color="auto" w:fill="auto"/>
            <w:vAlign w:val="center"/>
          </w:tcPr>
          <w:p w:rsidR="00CF70F8" w:rsidRPr="00CF70F8" w:rsidRDefault="00CF70F8" w:rsidP="00CF70F8">
            <w:pPr>
              <w:ind w:firstLine="0"/>
              <w:jc w:val="right"/>
              <w:rPr>
                <w:sz w:val="20"/>
                <w:szCs w:val="20"/>
              </w:rPr>
            </w:pPr>
            <w:r w:rsidRPr="00CF70F8">
              <w:rPr>
                <w:sz w:val="20"/>
                <w:szCs w:val="20"/>
              </w:rPr>
              <w:t>2 198</w:t>
            </w:r>
          </w:p>
        </w:tc>
        <w:tc>
          <w:tcPr>
            <w:tcW w:w="707" w:type="dxa"/>
            <w:tcBorders>
              <w:top w:val="single" w:sz="4" w:space="0" w:color="auto"/>
              <w:left w:val="nil"/>
              <w:bottom w:val="single" w:sz="4" w:space="0" w:color="auto"/>
              <w:right w:val="single" w:sz="4" w:space="0" w:color="auto"/>
            </w:tcBorders>
            <w:shd w:val="clear" w:color="auto" w:fill="auto"/>
            <w:vAlign w:val="center"/>
          </w:tcPr>
          <w:p w:rsidR="00CF70F8" w:rsidRPr="00CF70F8" w:rsidRDefault="00CF70F8" w:rsidP="00CF70F8">
            <w:pPr>
              <w:ind w:firstLine="0"/>
              <w:jc w:val="right"/>
              <w:rPr>
                <w:sz w:val="20"/>
                <w:szCs w:val="20"/>
              </w:rPr>
            </w:pPr>
            <w:r w:rsidRPr="00CF70F8">
              <w:rPr>
                <w:sz w:val="20"/>
                <w:szCs w:val="20"/>
              </w:rPr>
              <w:t>2 307</w:t>
            </w:r>
          </w:p>
        </w:tc>
      </w:tr>
    </w:tbl>
    <w:p w:rsidR="00CF70F8" w:rsidRPr="00CF70F8" w:rsidRDefault="00CF70F8" w:rsidP="00CF70F8">
      <w:pPr>
        <w:ind w:firstLine="567"/>
        <w:rPr>
          <w:color w:val="1F497D"/>
          <w:sz w:val="26"/>
          <w:szCs w:val="26"/>
        </w:rPr>
      </w:pPr>
      <w:r w:rsidRPr="00CF70F8">
        <w:rPr>
          <w:sz w:val="26"/>
          <w:szCs w:val="26"/>
          <w:lang w:eastAsia="ru-RU"/>
        </w:rPr>
        <w:t xml:space="preserve">Данные по п. 2.1.-2.2. </w:t>
      </w:r>
      <w:r>
        <w:rPr>
          <w:sz w:val="26"/>
          <w:szCs w:val="26"/>
          <w:lang w:eastAsia="ru-RU"/>
        </w:rPr>
        <w:t xml:space="preserve">таблицы </w:t>
      </w:r>
      <w:r w:rsidRPr="00CF70F8">
        <w:rPr>
          <w:sz w:val="26"/>
          <w:szCs w:val="26"/>
          <w:lang w:eastAsia="ru-RU"/>
        </w:rPr>
        <w:t xml:space="preserve">на 2015-2017 гг. </w:t>
      </w:r>
      <w:r>
        <w:rPr>
          <w:sz w:val="26"/>
          <w:szCs w:val="26"/>
          <w:lang w:eastAsia="ru-RU"/>
        </w:rPr>
        <w:t xml:space="preserve">являются </w:t>
      </w:r>
      <w:r w:rsidRPr="00CF70F8">
        <w:rPr>
          <w:sz w:val="26"/>
          <w:szCs w:val="26"/>
          <w:lang w:eastAsia="ru-RU"/>
        </w:rPr>
        <w:t>предварительны</w:t>
      </w:r>
      <w:r>
        <w:rPr>
          <w:sz w:val="26"/>
          <w:szCs w:val="26"/>
          <w:lang w:eastAsia="ru-RU"/>
        </w:rPr>
        <w:t>ми.</w:t>
      </w:r>
    </w:p>
    <w:p w:rsidR="000F1C16" w:rsidRPr="004761E0" w:rsidRDefault="000F1C16" w:rsidP="00431835">
      <w:pPr>
        <w:spacing w:before="120" w:after="120"/>
        <w:ind w:firstLine="567"/>
        <w:rPr>
          <w:b/>
          <w:sz w:val="26"/>
          <w:szCs w:val="26"/>
          <w:lang w:eastAsia="ru-RU"/>
        </w:rPr>
      </w:pPr>
      <w:r w:rsidRPr="004761E0">
        <w:rPr>
          <w:b/>
          <w:sz w:val="26"/>
          <w:szCs w:val="26"/>
          <w:lang w:eastAsia="ru-RU"/>
        </w:rPr>
        <w:lastRenderedPageBreak/>
        <w:t>Обеспечение Обществом установленного органами исполнительной власти субъектов РФ в области государственного регулирования тарифов уровня надежности и качества оказываемых услуг в соответствии с нормативными правовыми актами</w:t>
      </w:r>
    </w:p>
    <w:tbl>
      <w:tblPr>
        <w:tblStyle w:val="ae"/>
        <w:tblW w:w="10181" w:type="dxa"/>
        <w:tblInd w:w="108" w:type="dxa"/>
        <w:tblLayout w:type="fixed"/>
        <w:tblLook w:val="04A0"/>
      </w:tblPr>
      <w:tblGrid>
        <w:gridCol w:w="567"/>
        <w:gridCol w:w="5938"/>
        <w:gridCol w:w="1131"/>
        <w:gridCol w:w="1272"/>
        <w:gridCol w:w="1273"/>
      </w:tblGrid>
      <w:tr w:rsidR="006E796F" w:rsidRPr="004761E0" w:rsidTr="006E796F">
        <w:trPr>
          <w:trHeight w:val="360"/>
        </w:trPr>
        <w:tc>
          <w:tcPr>
            <w:tcW w:w="567" w:type="dxa"/>
            <w:tcBorders>
              <w:right w:val="single" w:sz="4" w:space="0" w:color="FFFFFF" w:themeColor="background1"/>
            </w:tcBorders>
            <w:shd w:val="clear" w:color="auto" w:fill="0F243E" w:themeFill="text2" w:themeFillShade="80"/>
          </w:tcPr>
          <w:p w:rsidR="006E796F" w:rsidRPr="004761E0" w:rsidRDefault="006E796F" w:rsidP="006E796F">
            <w:pPr>
              <w:ind w:firstLine="0"/>
              <w:rPr>
                <w:b/>
                <w:sz w:val="20"/>
                <w:szCs w:val="26"/>
                <w:lang w:eastAsia="ru-RU"/>
              </w:rPr>
            </w:pPr>
            <w:r w:rsidRPr="004761E0">
              <w:rPr>
                <w:b/>
                <w:sz w:val="20"/>
                <w:szCs w:val="26"/>
                <w:lang w:eastAsia="ru-RU"/>
              </w:rPr>
              <w:t xml:space="preserve">№ </w:t>
            </w:r>
            <w:proofErr w:type="gramStart"/>
            <w:r w:rsidRPr="004761E0">
              <w:rPr>
                <w:b/>
                <w:sz w:val="20"/>
                <w:szCs w:val="26"/>
                <w:lang w:eastAsia="ru-RU"/>
              </w:rPr>
              <w:t>п</w:t>
            </w:r>
            <w:proofErr w:type="gramEnd"/>
            <w:r w:rsidRPr="004761E0">
              <w:rPr>
                <w:b/>
                <w:sz w:val="20"/>
                <w:szCs w:val="26"/>
                <w:lang w:eastAsia="ru-RU"/>
              </w:rPr>
              <w:t>/п</w:t>
            </w:r>
          </w:p>
        </w:tc>
        <w:tc>
          <w:tcPr>
            <w:tcW w:w="5938" w:type="dxa"/>
            <w:tcBorders>
              <w:left w:val="single" w:sz="4" w:space="0" w:color="FFFFFF" w:themeColor="background1"/>
              <w:right w:val="single" w:sz="4" w:space="0" w:color="FFFFFF" w:themeColor="background1"/>
            </w:tcBorders>
            <w:shd w:val="clear" w:color="auto" w:fill="0F243E" w:themeFill="text2" w:themeFillShade="80"/>
            <w:vAlign w:val="center"/>
          </w:tcPr>
          <w:p w:rsidR="006E796F" w:rsidRPr="004761E0" w:rsidRDefault="006E796F" w:rsidP="006E796F">
            <w:pPr>
              <w:ind w:firstLine="0"/>
              <w:jc w:val="left"/>
              <w:rPr>
                <w:b/>
                <w:sz w:val="20"/>
                <w:szCs w:val="26"/>
                <w:lang w:eastAsia="ru-RU"/>
              </w:rPr>
            </w:pPr>
            <w:r w:rsidRPr="004761E0">
              <w:rPr>
                <w:b/>
                <w:sz w:val="20"/>
                <w:szCs w:val="26"/>
                <w:lang w:eastAsia="ru-RU"/>
              </w:rPr>
              <w:t>Наименование категории</w:t>
            </w:r>
          </w:p>
        </w:tc>
        <w:tc>
          <w:tcPr>
            <w:tcW w:w="1131" w:type="dxa"/>
            <w:tcBorders>
              <w:left w:val="single" w:sz="4" w:space="0" w:color="FFFFFF" w:themeColor="background1"/>
              <w:right w:val="single" w:sz="4" w:space="0" w:color="FFFFFF" w:themeColor="background1"/>
            </w:tcBorders>
            <w:shd w:val="clear" w:color="auto" w:fill="0F243E" w:themeFill="text2" w:themeFillShade="80"/>
            <w:vAlign w:val="center"/>
          </w:tcPr>
          <w:p w:rsidR="006E796F" w:rsidRPr="004761E0" w:rsidRDefault="006E796F" w:rsidP="006E796F">
            <w:pPr>
              <w:ind w:firstLine="0"/>
              <w:jc w:val="right"/>
              <w:rPr>
                <w:b/>
                <w:bCs/>
                <w:color w:val="FFFFFF"/>
                <w:sz w:val="20"/>
                <w:szCs w:val="26"/>
              </w:rPr>
            </w:pPr>
            <w:r w:rsidRPr="004761E0">
              <w:rPr>
                <w:b/>
                <w:bCs/>
                <w:color w:val="FFFFFF"/>
                <w:sz w:val="20"/>
                <w:szCs w:val="26"/>
              </w:rPr>
              <w:t>План</w:t>
            </w:r>
          </w:p>
        </w:tc>
        <w:tc>
          <w:tcPr>
            <w:tcW w:w="1272" w:type="dxa"/>
            <w:tcBorders>
              <w:left w:val="single" w:sz="4" w:space="0" w:color="FFFFFF" w:themeColor="background1"/>
              <w:right w:val="single" w:sz="4" w:space="0" w:color="FFFFFF" w:themeColor="background1"/>
            </w:tcBorders>
            <w:shd w:val="clear" w:color="auto" w:fill="0F243E" w:themeFill="text2" w:themeFillShade="80"/>
            <w:vAlign w:val="center"/>
          </w:tcPr>
          <w:p w:rsidR="006E796F" w:rsidRPr="004761E0" w:rsidRDefault="006E796F" w:rsidP="006E796F">
            <w:pPr>
              <w:ind w:firstLine="0"/>
              <w:jc w:val="right"/>
              <w:rPr>
                <w:b/>
                <w:bCs/>
                <w:color w:val="FFFFFF"/>
                <w:sz w:val="20"/>
                <w:szCs w:val="26"/>
              </w:rPr>
            </w:pPr>
            <w:r w:rsidRPr="004761E0">
              <w:rPr>
                <w:b/>
                <w:bCs/>
                <w:color w:val="FFFFFF"/>
                <w:sz w:val="20"/>
                <w:szCs w:val="26"/>
              </w:rPr>
              <w:t xml:space="preserve">Факт </w:t>
            </w:r>
          </w:p>
        </w:tc>
        <w:tc>
          <w:tcPr>
            <w:tcW w:w="1273" w:type="dxa"/>
            <w:tcBorders>
              <w:left w:val="single" w:sz="4" w:space="0" w:color="FFFFFF" w:themeColor="background1"/>
            </w:tcBorders>
            <w:shd w:val="clear" w:color="auto" w:fill="0F243E" w:themeFill="text2" w:themeFillShade="80"/>
            <w:vAlign w:val="center"/>
          </w:tcPr>
          <w:p w:rsidR="006E796F" w:rsidRPr="004761E0" w:rsidRDefault="006E796F" w:rsidP="006E796F">
            <w:pPr>
              <w:ind w:firstLine="0"/>
              <w:jc w:val="right"/>
              <w:rPr>
                <w:b/>
                <w:bCs/>
                <w:color w:val="FFFFFF"/>
                <w:sz w:val="20"/>
                <w:szCs w:val="26"/>
              </w:rPr>
            </w:pPr>
            <w:r w:rsidRPr="004761E0">
              <w:rPr>
                <w:b/>
                <w:bCs/>
                <w:color w:val="FFFFFF"/>
                <w:sz w:val="20"/>
                <w:szCs w:val="26"/>
              </w:rPr>
              <w:t>Факт/план</w:t>
            </w:r>
          </w:p>
        </w:tc>
      </w:tr>
      <w:tr w:rsidR="006E796F" w:rsidRPr="004761E0" w:rsidTr="006E796F">
        <w:trPr>
          <w:trHeight w:val="238"/>
        </w:trPr>
        <w:tc>
          <w:tcPr>
            <w:tcW w:w="567" w:type="dxa"/>
          </w:tcPr>
          <w:p w:rsidR="006E796F" w:rsidRPr="004761E0" w:rsidRDefault="006E796F" w:rsidP="007076A7">
            <w:pPr>
              <w:pStyle w:val="a5"/>
              <w:numPr>
                <w:ilvl w:val="0"/>
                <w:numId w:val="293"/>
              </w:numPr>
              <w:ind w:left="0" w:firstLine="0"/>
              <w:contextualSpacing w:val="0"/>
              <w:rPr>
                <w:b/>
                <w:sz w:val="20"/>
                <w:szCs w:val="26"/>
                <w:lang w:eastAsia="ru-RU"/>
              </w:rPr>
            </w:pPr>
          </w:p>
        </w:tc>
        <w:tc>
          <w:tcPr>
            <w:tcW w:w="9614" w:type="dxa"/>
            <w:gridSpan w:val="4"/>
          </w:tcPr>
          <w:p w:rsidR="006E796F" w:rsidRPr="004761E0" w:rsidRDefault="006E796F" w:rsidP="006E796F">
            <w:pPr>
              <w:ind w:firstLine="0"/>
              <w:rPr>
                <w:b/>
                <w:sz w:val="20"/>
                <w:szCs w:val="26"/>
                <w:lang w:eastAsia="ru-RU"/>
              </w:rPr>
            </w:pPr>
            <w:r w:rsidRPr="004761E0">
              <w:rPr>
                <w:b/>
                <w:sz w:val="20"/>
                <w:szCs w:val="26"/>
                <w:lang w:eastAsia="ru-RU"/>
              </w:rPr>
              <w:t>Показатель уровня надежности</w:t>
            </w:r>
          </w:p>
        </w:tc>
      </w:tr>
      <w:tr w:rsidR="006E796F" w:rsidRPr="004761E0" w:rsidTr="006E796F">
        <w:trPr>
          <w:trHeight w:val="245"/>
        </w:trPr>
        <w:tc>
          <w:tcPr>
            <w:tcW w:w="567" w:type="dxa"/>
          </w:tcPr>
          <w:p w:rsidR="006E796F" w:rsidRPr="004761E0" w:rsidRDefault="006E796F" w:rsidP="007076A7">
            <w:pPr>
              <w:pStyle w:val="a5"/>
              <w:numPr>
                <w:ilvl w:val="1"/>
                <w:numId w:val="293"/>
              </w:numPr>
              <w:ind w:left="0" w:firstLine="0"/>
              <w:contextualSpacing w:val="0"/>
              <w:rPr>
                <w:sz w:val="20"/>
                <w:szCs w:val="26"/>
                <w:lang w:eastAsia="ru-RU"/>
              </w:rPr>
            </w:pPr>
          </w:p>
        </w:tc>
        <w:tc>
          <w:tcPr>
            <w:tcW w:w="5938" w:type="dxa"/>
            <w:vAlign w:val="center"/>
          </w:tcPr>
          <w:p w:rsidR="006E796F" w:rsidRPr="004761E0" w:rsidRDefault="006E796F" w:rsidP="006E796F">
            <w:pPr>
              <w:ind w:left="175" w:firstLine="0"/>
              <w:rPr>
                <w:color w:val="000000"/>
                <w:sz w:val="20"/>
                <w:szCs w:val="26"/>
              </w:rPr>
            </w:pPr>
            <w:r w:rsidRPr="004761E0">
              <w:rPr>
                <w:color w:val="000000"/>
                <w:sz w:val="20"/>
                <w:szCs w:val="26"/>
              </w:rPr>
              <w:t>г. Москва</w:t>
            </w:r>
          </w:p>
        </w:tc>
        <w:tc>
          <w:tcPr>
            <w:tcW w:w="1131" w:type="dxa"/>
            <w:vAlign w:val="center"/>
          </w:tcPr>
          <w:p w:rsidR="006E796F" w:rsidRPr="004761E0" w:rsidRDefault="006E796F" w:rsidP="006E796F">
            <w:pPr>
              <w:ind w:firstLine="0"/>
              <w:jc w:val="right"/>
              <w:rPr>
                <w:color w:val="000000"/>
                <w:sz w:val="20"/>
                <w:szCs w:val="26"/>
              </w:rPr>
            </w:pPr>
            <w:r w:rsidRPr="004761E0">
              <w:rPr>
                <w:color w:val="000000"/>
                <w:sz w:val="20"/>
                <w:szCs w:val="26"/>
              </w:rPr>
              <w:t>0,000499</w:t>
            </w:r>
          </w:p>
        </w:tc>
        <w:tc>
          <w:tcPr>
            <w:tcW w:w="1272" w:type="dxa"/>
            <w:vAlign w:val="center"/>
          </w:tcPr>
          <w:p w:rsidR="006E796F" w:rsidRPr="004761E0" w:rsidRDefault="006E796F" w:rsidP="006E796F">
            <w:pPr>
              <w:ind w:firstLine="0"/>
              <w:jc w:val="right"/>
              <w:rPr>
                <w:color w:val="000000"/>
                <w:sz w:val="20"/>
                <w:szCs w:val="26"/>
              </w:rPr>
            </w:pPr>
            <w:r w:rsidRPr="004761E0">
              <w:rPr>
                <w:color w:val="000000"/>
                <w:sz w:val="20"/>
                <w:szCs w:val="26"/>
              </w:rPr>
              <w:t>0,000410</w:t>
            </w:r>
          </w:p>
        </w:tc>
        <w:tc>
          <w:tcPr>
            <w:tcW w:w="1273" w:type="dxa"/>
            <w:vAlign w:val="center"/>
          </w:tcPr>
          <w:p w:rsidR="006E796F" w:rsidRPr="004761E0" w:rsidRDefault="006E796F" w:rsidP="006E796F">
            <w:pPr>
              <w:ind w:firstLine="0"/>
              <w:jc w:val="right"/>
              <w:rPr>
                <w:color w:val="000000"/>
                <w:sz w:val="20"/>
                <w:szCs w:val="26"/>
              </w:rPr>
            </w:pPr>
            <w:r w:rsidRPr="004761E0">
              <w:rPr>
                <w:color w:val="000000"/>
                <w:sz w:val="20"/>
                <w:szCs w:val="26"/>
              </w:rPr>
              <w:t>-18</w:t>
            </w:r>
            <w:r w:rsidR="0036674A" w:rsidRPr="004761E0">
              <w:rPr>
                <w:color w:val="000000"/>
                <w:sz w:val="20"/>
                <w:szCs w:val="26"/>
              </w:rPr>
              <w:t xml:space="preserve"> </w:t>
            </w:r>
            <w:r w:rsidRPr="004761E0">
              <w:rPr>
                <w:color w:val="000000"/>
                <w:sz w:val="20"/>
                <w:szCs w:val="26"/>
              </w:rPr>
              <w:t>%</w:t>
            </w:r>
          </w:p>
        </w:tc>
      </w:tr>
      <w:tr w:rsidR="006E796F" w:rsidRPr="004761E0" w:rsidTr="006E796F">
        <w:trPr>
          <w:trHeight w:val="238"/>
        </w:trPr>
        <w:tc>
          <w:tcPr>
            <w:tcW w:w="567" w:type="dxa"/>
          </w:tcPr>
          <w:p w:rsidR="006E796F" w:rsidRPr="004761E0" w:rsidRDefault="006E796F" w:rsidP="007076A7">
            <w:pPr>
              <w:pStyle w:val="a5"/>
              <w:numPr>
                <w:ilvl w:val="1"/>
                <w:numId w:val="293"/>
              </w:numPr>
              <w:ind w:left="0" w:firstLine="0"/>
              <w:contextualSpacing w:val="0"/>
              <w:rPr>
                <w:sz w:val="20"/>
                <w:szCs w:val="26"/>
                <w:lang w:eastAsia="ru-RU"/>
              </w:rPr>
            </w:pPr>
          </w:p>
        </w:tc>
        <w:tc>
          <w:tcPr>
            <w:tcW w:w="5938" w:type="dxa"/>
            <w:vAlign w:val="center"/>
          </w:tcPr>
          <w:p w:rsidR="006E796F" w:rsidRPr="004761E0" w:rsidRDefault="006E796F" w:rsidP="006E796F">
            <w:pPr>
              <w:ind w:left="175" w:firstLine="0"/>
              <w:rPr>
                <w:color w:val="000000"/>
                <w:sz w:val="20"/>
                <w:szCs w:val="26"/>
              </w:rPr>
            </w:pPr>
            <w:r w:rsidRPr="004761E0">
              <w:rPr>
                <w:color w:val="000000"/>
                <w:sz w:val="20"/>
                <w:szCs w:val="26"/>
              </w:rPr>
              <w:t>Московская область</w:t>
            </w:r>
          </w:p>
        </w:tc>
        <w:tc>
          <w:tcPr>
            <w:tcW w:w="1131" w:type="dxa"/>
            <w:vAlign w:val="center"/>
          </w:tcPr>
          <w:p w:rsidR="006E796F" w:rsidRPr="004761E0" w:rsidRDefault="006E796F" w:rsidP="006E796F">
            <w:pPr>
              <w:ind w:firstLine="0"/>
              <w:jc w:val="right"/>
              <w:rPr>
                <w:color w:val="000000"/>
                <w:sz w:val="20"/>
                <w:szCs w:val="26"/>
              </w:rPr>
            </w:pPr>
            <w:r w:rsidRPr="004761E0">
              <w:rPr>
                <w:color w:val="000000"/>
                <w:sz w:val="20"/>
                <w:szCs w:val="26"/>
              </w:rPr>
              <w:t>0,075665</w:t>
            </w:r>
          </w:p>
        </w:tc>
        <w:tc>
          <w:tcPr>
            <w:tcW w:w="1272" w:type="dxa"/>
            <w:vAlign w:val="center"/>
          </w:tcPr>
          <w:p w:rsidR="006E796F" w:rsidRPr="004761E0" w:rsidRDefault="006E796F" w:rsidP="006E796F">
            <w:pPr>
              <w:ind w:firstLine="0"/>
              <w:jc w:val="right"/>
              <w:rPr>
                <w:color w:val="000000"/>
                <w:sz w:val="20"/>
                <w:szCs w:val="26"/>
              </w:rPr>
            </w:pPr>
            <w:r w:rsidRPr="004761E0">
              <w:rPr>
                <w:color w:val="000000"/>
                <w:sz w:val="20"/>
                <w:szCs w:val="26"/>
              </w:rPr>
              <w:t>0,022525</w:t>
            </w:r>
          </w:p>
        </w:tc>
        <w:tc>
          <w:tcPr>
            <w:tcW w:w="1273" w:type="dxa"/>
            <w:vAlign w:val="center"/>
          </w:tcPr>
          <w:p w:rsidR="006E796F" w:rsidRPr="004761E0" w:rsidRDefault="006E796F" w:rsidP="006E796F">
            <w:pPr>
              <w:ind w:firstLine="0"/>
              <w:jc w:val="right"/>
              <w:rPr>
                <w:color w:val="000000"/>
                <w:sz w:val="20"/>
                <w:szCs w:val="26"/>
              </w:rPr>
            </w:pPr>
            <w:r w:rsidRPr="004761E0">
              <w:rPr>
                <w:color w:val="000000"/>
                <w:sz w:val="20"/>
                <w:szCs w:val="26"/>
              </w:rPr>
              <w:t>-72</w:t>
            </w:r>
            <w:r w:rsidR="0036674A" w:rsidRPr="004761E0">
              <w:rPr>
                <w:color w:val="000000"/>
                <w:sz w:val="20"/>
                <w:szCs w:val="26"/>
              </w:rPr>
              <w:t xml:space="preserve"> </w:t>
            </w:r>
            <w:r w:rsidRPr="004761E0">
              <w:rPr>
                <w:color w:val="000000"/>
                <w:sz w:val="20"/>
                <w:szCs w:val="26"/>
              </w:rPr>
              <w:t>%</w:t>
            </w:r>
          </w:p>
        </w:tc>
      </w:tr>
      <w:tr w:rsidR="006E796F" w:rsidRPr="004761E0" w:rsidTr="006E796F">
        <w:trPr>
          <w:trHeight w:val="238"/>
        </w:trPr>
        <w:tc>
          <w:tcPr>
            <w:tcW w:w="567" w:type="dxa"/>
          </w:tcPr>
          <w:p w:rsidR="006E796F" w:rsidRPr="004761E0" w:rsidRDefault="006E796F" w:rsidP="007076A7">
            <w:pPr>
              <w:pStyle w:val="a5"/>
              <w:numPr>
                <w:ilvl w:val="0"/>
                <w:numId w:val="293"/>
              </w:numPr>
              <w:ind w:left="0" w:firstLine="0"/>
              <w:contextualSpacing w:val="0"/>
              <w:rPr>
                <w:b/>
                <w:sz w:val="20"/>
                <w:szCs w:val="26"/>
                <w:lang w:eastAsia="ru-RU"/>
              </w:rPr>
            </w:pPr>
          </w:p>
        </w:tc>
        <w:tc>
          <w:tcPr>
            <w:tcW w:w="9614" w:type="dxa"/>
            <w:gridSpan w:val="4"/>
          </w:tcPr>
          <w:p w:rsidR="006E796F" w:rsidRPr="004761E0" w:rsidRDefault="006E796F" w:rsidP="006E796F">
            <w:pPr>
              <w:ind w:firstLine="0"/>
              <w:jc w:val="left"/>
              <w:rPr>
                <w:b/>
                <w:sz w:val="20"/>
                <w:szCs w:val="26"/>
                <w:lang w:eastAsia="ru-RU"/>
              </w:rPr>
            </w:pPr>
            <w:r w:rsidRPr="004761E0">
              <w:rPr>
                <w:b/>
                <w:sz w:val="20"/>
                <w:szCs w:val="26"/>
                <w:lang w:eastAsia="ru-RU"/>
              </w:rPr>
              <w:t xml:space="preserve">Показатель уровня качества </w:t>
            </w:r>
            <w:r w:rsidR="0036674A" w:rsidRPr="004761E0">
              <w:rPr>
                <w:b/>
                <w:sz w:val="20"/>
                <w:szCs w:val="26"/>
                <w:lang w:eastAsia="ru-RU"/>
              </w:rPr>
              <w:t xml:space="preserve"> </w:t>
            </w:r>
          </w:p>
        </w:tc>
      </w:tr>
      <w:tr w:rsidR="006E796F" w:rsidRPr="004761E0" w:rsidTr="006E796F">
        <w:trPr>
          <w:trHeight w:val="245"/>
        </w:trPr>
        <w:tc>
          <w:tcPr>
            <w:tcW w:w="567" w:type="dxa"/>
          </w:tcPr>
          <w:p w:rsidR="006E796F" w:rsidRPr="004761E0" w:rsidRDefault="006E796F" w:rsidP="007076A7">
            <w:pPr>
              <w:pStyle w:val="a5"/>
              <w:numPr>
                <w:ilvl w:val="1"/>
                <w:numId w:val="293"/>
              </w:numPr>
              <w:ind w:left="0" w:firstLine="0"/>
              <w:contextualSpacing w:val="0"/>
              <w:rPr>
                <w:sz w:val="20"/>
                <w:szCs w:val="26"/>
                <w:lang w:eastAsia="ru-RU"/>
              </w:rPr>
            </w:pPr>
          </w:p>
        </w:tc>
        <w:tc>
          <w:tcPr>
            <w:tcW w:w="5938" w:type="dxa"/>
            <w:vAlign w:val="center"/>
          </w:tcPr>
          <w:p w:rsidR="006E796F" w:rsidRPr="004761E0" w:rsidRDefault="006E796F" w:rsidP="006E796F">
            <w:pPr>
              <w:ind w:left="175" w:firstLine="0"/>
              <w:rPr>
                <w:color w:val="000000"/>
                <w:sz w:val="20"/>
                <w:szCs w:val="26"/>
              </w:rPr>
            </w:pPr>
            <w:r w:rsidRPr="004761E0">
              <w:rPr>
                <w:color w:val="000000"/>
                <w:sz w:val="20"/>
                <w:szCs w:val="26"/>
              </w:rPr>
              <w:t>г. Москва</w:t>
            </w:r>
          </w:p>
        </w:tc>
        <w:tc>
          <w:tcPr>
            <w:tcW w:w="1131" w:type="dxa"/>
            <w:vAlign w:val="center"/>
          </w:tcPr>
          <w:p w:rsidR="006E796F" w:rsidRPr="004761E0" w:rsidRDefault="006E796F" w:rsidP="006E796F">
            <w:pPr>
              <w:ind w:firstLine="0"/>
              <w:jc w:val="right"/>
              <w:rPr>
                <w:sz w:val="20"/>
                <w:szCs w:val="26"/>
              </w:rPr>
            </w:pPr>
            <w:r w:rsidRPr="004761E0">
              <w:rPr>
                <w:sz w:val="20"/>
                <w:szCs w:val="26"/>
              </w:rPr>
              <w:t>1,01</w:t>
            </w:r>
          </w:p>
        </w:tc>
        <w:tc>
          <w:tcPr>
            <w:tcW w:w="1272" w:type="dxa"/>
            <w:vAlign w:val="center"/>
          </w:tcPr>
          <w:p w:rsidR="006E796F" w:rsidRPr="004761E0" w:rsidRDefault="006E796F" w:rsidP="006E796F">
            <w:pPr>
              <w:ind w:firstLine="0"/>
              <w:jc w:val="right"/>
              <w:rPr>
                <w:sz w:val="20"/>
                <w:szCs w:val="26"/>
              </w:rPr>
            </w:pPr>
            <w:r w:rsidRPr="004761E0">
              <w:rPr>
                <w:sz w:val="20"/>
                <w:szCs w:val="26"/>
              </w:rPr>
              <w:t>0,85</w:t>
            </w:r>
          </w:p>
        </w:tc>
        <w:tc>
          <w:tcPr>
            <w:tcW w:w="1273" w:type="dxa"/>
            <w:vAlign w:val="center"/>
          </w:tcPr>
          <w:p w:rsidR="006E796F" w:rsidRPr="004761E0" w:rsidRDefault="006E796F" w:rsidP="006E796F">
            <w:pPr>
              <w:ind w:firstLine="0"/>
              <w:jc w:val="right"/>
              <w:rPr>
                <w:sz w:val="20"/>
                <w:szCs w:val="26"/>
              </w:rPr>
            </w:pPr>
            <w:r w:rsidRPr="004761E0">
              <w:rPr>
                <w:sz w:val="20"/>
                <w:szCs w:val="26"/>
              </w:rPr>
              <w:t>-16</w:t>
            </w:r>
            <w:r w:rsidR="0036674A" w:rsidRPr="004761E0">
              <w:rPr>
                <w:sz w:val="20"/>
                <w:szCs w:val="26"/>
              </w:rPr>
              <w:t xml:space="preserve"> </w:t>
            </w:r>
            <w:r w:rsidRPr="004761E0">
              <w:rPr>
                <w:sz w:val="20"/>
                <w:szCs w:val="26"/>
              </w:rPr>
              <w:t>%</w:t>
            </w:r>
          </w:p>
        </w:tc>
      </w:tr>
      <w:tr w:rsidR="006E796F" w:rsidRPr="004761E0" w:rsidTr="006E796F">
        <w:trPr>
          <w:trHeight w:val="245"/>
        </w:trPr>
        <w:tc>
          <w:tcPr>
            <w:tcW w:w="567" w:type="dxa"/>
          </w:tcPr>
          <w:p w:rsidR="006E796F" w:rsidRPr="004761E0" w:rsidRDefault="006E796F" w:rsidP="007076A7">
            <w:pPr>
              <w:pStyle w:val="a5"/>
              <w:numPr>
                <w:ilvl w:val="1"/>
                <w:numId w:val="293"/>
              </w:numPr>
              <w:ind w:left="0" w:firstLine="0"/>
              <w:contextualSpacing w:val="0"/>
              <w:rPr>
                <w:sz w:val="20"/>
                <w:szCs w:val="26"/>
                <w:lang w:eastAsia="ru-RU"/>
              </w:rPr>
            </w:pPr>
          </w:p>
        </w:tc>
        <w:tc>
          <w:tcPr>
            <w:tcW w:w="5938" w:type="dxa"/>
            <w:vAlign w:val="center"/>
          </w:tcPr>
          <w:p w:rsidR="006E796F" w:rsidRPr="004761E0" w:rsidRDefault="006E796F" w:rsidP="006E796F">
            <w:pPr>
              <w:ind w:left="175" w:firstLine="0"/>
              <w:rPr>
                <w:color w:val="000000"/>
                <w:sz w:val="20"/>
                <w:szCs w:val="26"/>
              </w:rPr>
            </w:pPr>
            <w:r w:rsidRPr="004761E0">
              <w:rPr>
                <w:color w:val="000000"/>
                <w:sz w:val="20"/>
                <w:szCs w:val="26"/>
              </w:rPr>
              <w:t>Московская область</w:t>
            </w:r>
          </w:p>
        </w:tc>
        <w:tc>
          <w:tcPr>
            <w:tcW w:w="1131" w:type="dxa"/>
            <w:vAlign w:val="center"/>
          </w:tcPr>
          <w:p w:rsidR="006E796F" w:rsidRPr="004761E0" w:rsidRDefault="006E796F" w:rsidP="006E796F">
            <w:pPr>
              <w:ind w:firstLine="0"/>
              <w:jc w:val="right"/>
              <w:rPr>
                <w:sz w:val="20"/>
                <w:szCs w:val="26"/>
              </w:rPr>
            </w:pPr>
            <w:r w:rsidRPr="004761E0">
              <w:rPr>
                <w:sz w:val="20"/>
                <w:szCs w:val="26"/>
              </w:rPr>
              <w:t>1,01</w:t>
            </w:r>
          </w:p>
        </w:tc>
        <w:tc>
          <w:tcPr>
            <w:tcW w:w="1272" w:type="dxa"/>
            <w:vAlign w:val="center"/>
          </w:tcPr>
          <w:p w:rsidR="006E796F" w:rsidRPr="004761E0" w:rsidRDefault="006E796F" w:rsidP="006E796F">
            <w:pPr>
              <w:ind w:firstLine="0"/>
              <w:jc w:val="right"/>
              <w:rPr>
                <w:sz w:val="20"/>
                <w:szCs w:val="26"/>
              </w:rPr>
            </w:pPr>
            <w:r w:rsidRPr="004761E0">
              <w:rPr>
                <w:sz w:val="20"/>
                <w:szCs w:val="26"/>
              </w:rPr>
              <w:t>0,83</w:t>
            </w:r>
          </w:p>
        </w:tc>
        <w:tc>
          <w:tcPr>
            <w:tcW w:w="1273" w:type="dxa"/>
            <w:vAlign w:val="center"/>
          </w:tcPr>
          <w:p w:rsidR="006E796F" w:rsidRPr="004761E0" w:rsidRDefault="006E796F" w:rsidP="006E796F">
            <w:pPr>
              <w:ind w:firstLine="0"/>
              <w:jc w:val="right"/>
              <w:rPr>
                <w:sz w:val="20"/>
                <w:szCs w:val="26"/>
              </w:rPr>
            </w:pPr>
            <w:r w:rsidRPr="004761E0">
              <w:rPr>
                <w:sz w:val="20"/>
                <w:szCs w:val="26"/>
              </w:rPr>
              <w:t>-18</w:t>
            </w:r>
            <w:r w:rsidR="0036674A" w:rsidRPr="004761E0">
              <w:rPr>
                <w:sz w:val="20"/>
                <w:szCs w:val="26"/>
              </w:rPr>
              <w:t xml:space="preserve"> </w:t>
            </w:r>
            <w:r w:rsidRPr="004761E0">
              <w:rPr>
                <w:sz w:val="20"/>
                <w:szCs w:val="26"/>
              </w:rPr>
              <w:t>%</w:t>
            </w:r>
          </w:p>
        </w:tc>
      </w:tr>
    </w:tbl>
    <w:p w:rsidR="00C713E2" w:rsidRPr="004761E0" w:rsidRDefault="00C713E2" w:rsidP="00C713E2">
      <w:pPr>
        <w:pStyle w:val="Default"/>
        <w:ind w:firstLine="567"/>
        <w:jc w:val="both"/>
        <w:rPr>
          <w:rFonts w:ascii="Times New Roman" w:hAnsi="Times New Roman" w:cs="Times New Roman"/>
          <w:sz w:val="26"/>
          <w:szCs w:val="26"/>
        </w:rPr>
      </w:pPr>
      <w:r w:rsidRPr="004761E0">
        <w:rPr>
          <w:rFonts w:ascii="Times New Roman" w:hAnsi="Times New Roman" w:cs="Times New Roman"/>
          <w:sz w:val="26"/>
          <w:szCs w:val="26"/>
        </w:rPr>
        <w:t xml:space="preserve">Значения оценок (коэффициентов) достижения уровня надежности и уровня качества оказываемых услуг используются для расчета обобщенного показателя уровня надежности и качества оказываемых услуг за прошедший период регулирования, на основании которого производится корректировка НВВ при установлении тарифа на очередной период регулирования. </w:t>
      </w:r>
    </w:p>
    <w:p w:rsidR="00C713E2" w:rsidRPr="004761E0" w:rsidRDefault="00C713E2" w:rsidP="00C713E2">
      <w:pPr>
        <w:pStyle w:val="Default"/>
        <w:ind w:firstLine="567"/>
        <w:jc w:val="both"/>
        <w:rPr>
          <w:rFonts w:ascii="Times New Roman" w:hAnsi="Times New Roman" w:cs="Times New Roman"/>
          <w:sz w:val="26"/>
          <w:szCs w:val="26"/>
        </w:rPr>
      </w:pPr>
      <w:r w:rsidRPr="004761E0">
        <w:rPr>
          <w:rFonts w:ascii="Times New Roman" w:hAnsi="Times New Roman" w:cs="Times New Roman"/>
          <w:sz w:val="26"/>
          <w:szCs w:val="26"/>
        </w:rPr>
        <w:t>По итогам 2013 года отклонения фактических значений показателей надежности</w:t>
      </w:r>
      <w:r w:rsidRPr="006F4AB8">
        <w:rPr>
          <w:rStyle w:val="af1"/>
        </w:rPr>
        <w:footnoteReference w:id="21"/>
      </w:r>
      <w:r w:rsidRPr="004761E0">
        <w:rPr>
          <w:rFonts w:ascii="Times New Roman" w:hAnsi="Times New Roman" w:cs="Times New Roman"/>
          <w:sz w:val="26"/>
          <w:szCs w:val="26"/>
        </w:rPr>
        <w:t xml:space="preserve"> и качества</w:t>
      </w:r>
      <w:r w:rsidRPr="006F4AB8">
        <w:rPr>
          <w:rStyle w:val="af1"/>
        </w:rPr>
        <w:footnoteReference w:id="22"/>
      </w:r>
      <w:r w:rsidRPr="004761E0">
        <w:rPr>
          <w:rFonts w:ascii="Times New Roman" w:hAnsi="Times New Roman" w:cs="Times New Roman"/>
          <w:sz w:val="26"/>
          <w:szCs w:val="26"/>
        </w:rPr>
        <w:t xml:space="preserve"> оказываемых услуг от плановых значений по </w:t>
      </w:r>
      <w:proofErr w:type="gramStart"/>
      <w:r w:rsidRPr="004761E0">
        <w:rPr>
          <w:rFonts w:ascii="Times New Roman" w:hAnsi="Times New Roman" w:cs="Times New Roman"/>
          <w:sz w:val="26"/>
          <w:szCs w:val="26"/>
        </w:rPr>
        <w:t>г</w:t>
      </w:r>
      <w:proofErr w:type="gramEnd"/>
      <w:r w:rsidRPr="004761E0">
        <w:rPr>
          <w:rFonts w:ascii="Times New Roman" w:hAnsi="Times New Roman" w:cs="Times New Roman"/>
          <w:sz w:val="26"/>
          <w:szCs w:val="26"/>
        </w:rPr>
        <w:t xml:space="preserve">. Москве находятся в рамках пределов, установленных регулирующими органами (фактическое значение не должно превышать план более чем на 35 %). План по показателю уровня надежности по Московской области значительно перевыполнен: фактическое значение лучше плана на 72 %. В результате НВВ </w:t>
      </w:r>
      <w:r w:rsidR="00D67497" w:rsidRPr="004761E0">
        <w:rPr>
          <w:rFonts w:ascii="Times New Roman" w:hAnsi="Times New Roman" w:cs="Times New Roman"/>
          <w:sz w:val="26"/>
          <w:szCs w:val="26"/>
        </w:rPr>
        <w:t xml:space="preserve">Общества за услуги </w:t>
      </w:r>
      <w:r w:rsidRPr="004761E0">
        <w:rPr>
          <w:rFonts w:ascii="Times New Roman" w:hAnsi="Times New Roman" w:cs="Times New Roman"/>
          <w:sz w:val="26"/>
          <w:szCs w:val="26"/>
        </w:rPr>
        <w:t xml:space="preserve">по передаче электроэнергии на 2015 год по </w:t>
      </w:r>
      <w:proofErr w:type="gramStart"/>
      <w:r w:rsidRPr="004761E0">
        <w:rPr>
          <w:rFonts w:ascii="Times New Roman" w:hAnsi="Times New Roman" w:cs="Times New Roman"/>
          <w:sz w:val="26"/>
          <w:szCs w:val="26"/>
        </w:rPr>
        <w:t>г</w:t>
      </w:r>
      <w:proofErr w:type="gramEnd"/>
      <w:r w:rsidRPr="004761E0">
        <w:rPr>
          <w:rFonts w:ascii="Times New Roman" w:hAnsi="Times New Roman" w:cs="Times New Roman"/>
          <w:sz w:val="26"/>
          <w:szCs w:val="26"/>
        </w:rPr>
        <w:t>.</w:t>
      </w:r>
      <w:r w:rsidR="00D67497" w:rsidRPr="004761E0">
        <w:rPr>
          <w:rFonts w:ascii="Times New Roman" w:hAnsi="Times New Roman" w:cs="Times New Roman"/>
          <w:sz w:val="26"/>
          <w:szCs w:val="26"/>
        </w:rPr>
        <w:t> </w:t>
      </w:r>
      <w:r w:rsidRPr="004761E0">
        <w:rPr>
          <w:rFonts w:ascii="Times New Roman" w:hAnsi="Times New Roman" w:cs="Times New Roman"/>
          <w:sz w:val="26"/>
          <w:szCs w:val="26"/>
        </w:rPr>
        <w:t xml:space="preserve">Москве не корректируется. НВВ Общества по Московской области на 2015 год может быть </w:t>
      </w:r>
      <w:proofErr w:type="gramStart"/>
      <w:r w:rsidRPr="004761E0">
        <w:rPr>
          <w:rFonts w:ascii="Times New Roman" w:hAnsi="Times New Roman" w:cs="Times New Roman"/>
          <w:sz w:val="26"/>
          <w:szCs w:val="26"/>
        </w:rPr>
        <w:t>скорректирована</w:t>
      </w:r>
      <w:proofErr w:type="gramEnd"/>
      <w:r w:rsidRPr="004761E0">
        <w:rPr>
          <w:rFonts w:ascii="Times New Roman" w:hAnsi="Times New Roman" w:cs="Times New Roman"/>
          <w:sz w:val="26"/>
          <w:szCs w:val="26"/>
        </w:rPr>
        <w:t xml:space="preserve"> в сторону увеличения показателей надежности и качества, в случае признания Мособлкомцен факта перевыполнения плана на 2013 год в части показателя надежности.</w:t>
      </w:r>
    </w:p>
    <w:p w:rsidR="00D52FA5" w:rsidRPr="004761E0" w:rsidRDefault="00D52FA5" w:rsidP="00431835">
      <w:pPr>
        <w:spacing w:before="120" w:after="120"/>
        <w:ind w:firstLine="567"/>
        <w:rPr>
          <w:b/>
          <w:sz w:val="26"/>
          <w:szCs w:val="26"/>
          <w:lang w:eastAsia="ru-RU"/>
        </w:rPr>
      </w:pPr>
      <w:r w:rsidRPr="004761E0">
        <w:rPr>
          <w:b/>
          <w:sz w:val="26"/>
          <w:szCs w:val="26"/>
          <w:lang w:eastAsia="ru-RU"/>
        </w:rPr>
        <w:t>Внедрение системы управления строительством важнейших инвестиционных проектов</w:t>
      </w:r>
    </w:p>
    <w:p w:rsidR="00E15981" w:rsidRPr="004761E0" w:rsidRDefault="00E15981" w:rsidP="00E15981">
      <w:pPr>
        <w:ind w:firstLine="567"/>
        <w:rPr>
          <w:sz w:val="26"/>
          <w:szCs w:val="26"/>
        </w:rPr>
      </w:pPr>
      <w:r w:rsidRPr="004761E0">
        <w:rPr>
          <w:sz w:val="26"/>
          <w:szCs w:val="26"/>
        </w:rPr>
        <w:t>Система управления строительством важнейших инвестиционных проектов построена на программе Oracle Primavera. В основе данной программы лежит принцип декомпозиции. В системе управления весь этап строительства расписан по технологическим циклам с указанием количества дней на их осуществление.</w:t>
      </w:r>
    </w:p>
    <w:p w:rsidR="00E15981" w:rsidRPr="004761E0" w:rsidRDefault="00E15981" w:rsidP="00E15981">
      <w:pPr>
        <w:ind w:firstLine="567"/>
        <w:rPr>
          <w:sz w:val="26"/>
          <w:szCs w:val="26"/>
        </w:rPr>
      </w:pPr>
      <w:r w:rsidRPr="004761E0">
        <w:rPr>
          <w:sz w:val="26"/>
          <w:szCs w:val="26"/>
        </w:rPr>
        <w:t>Основные цели внедрения в Обществе системы управления строительством:</w:t>
      </w:r>
    </w:p>
    <w:p w:rsidR="00E15981" w:rsidRPr="004761E0" w:rsidRDefault="00E15981" w:rsidP="007076A7">
      <w:pPr>
        <w:pStyle w:val="a5"/>
        <w:numPr>
          <w:ilvl w:val="1"/>
          <w:numId w:val="255"/>
        </w:numPr>
        <w:ind w:left="1134" w:hanging="567"/>
        <w:rPr>
          <w:sz w:val="26"/>
          <w:szCs w:val="26"/>
        </w:rPr>
      </w:pPr>
      <w:r w:rsidRPr="004761E0">
        <w:rPr>
          <w:sz w:val="26"/>
          <w:szCs w:val="26"/>
        </w:rPr>
        <w:t>получение оперативной информации по технологической стадии строительства;</w:t>
      </w:r>
    </w:p>
    <w:p w:rsidR="00E15981" w:rsidRPr="004761E0" w:rsidRDefault="00E15981" w:rsidP="007076A7">
      <w:pPr>
        <w:pStyle w:val="a5"/>
        <w:numPr>
          <w:ilvl w:val="1"/>
          <w:numId w:val="255"/>
        </w:numPr>
        <w:ind w:left="1134" w:hanging="567"/>
        <w:rPr>
          <w:sz w:val="26"/>
          <w:szCs w:val="26"/>
        </w:rPr>
      </w:pPr>
      <w:r w:rsidRPr="004761E0">
        <w:rPr>
          <w:sz w:val="26"/>
          <w:szCs w:val="26"/>
        </w:rPr>
        <w:t>выявление отклонений от утвержденных сроков строительства;</w:t>
      </w:r>
    </w:p>
    <w:p w:rsidR="00E15981" w:rsidRPr="004761E0" w:rsidRDefault="00E15981" w:rsidP="007076A7">
      <w:pPr>
        <w:pStyle w:val="a5"/>
        <w:numPr>
          <w:ilvl w:val="1"/>
          <w:numId w:val="255"/>
        </w:numPr>
        <w:ind w:left="1134" w:hanging="567"/>
        <w:rPr>
          <w:sz w:val="26"/>
          <w:szCs w:val="26"/>
        </w:rPr>
      </w:pPr>
      <w:r w:rsidRPr="004761E0">
        <w:rPr>
          <w:sz w:val="26"/>
          <w:szCs w:val="26"/>
        </w:rPr>
        <w:t>получение возможности оперативно реагировать и принимать решения в случае отклонения от запланированных сроков.</w:t>
      </w:r>
    </w:p>
    <w:p w:rsidR="002D2AF9" w:rsidRPr="004761E0" w:rsidRDefault="00D52FA5" w:rsidP="00E15981">
      <w:pPr>
        <w:ind w:firstLine="567"/>
        <w:rPr>
          <w:color w:val="1F497D"/>
          <w:sz w:val="26"/>
          <w:szCs w:val="26"/>
        </w:rPr>
      </w:pPr>
      <w:r w:rsidRPr="004761E0">
        <w:rPr>
          <w:color w:val="000000"/>
          <w:sz w:val="26"/>
          <w:szCs w:val="26"/>
        </w:rPr>
        <w:t>Внедрение системы управления строительством важнейших инвестиционных проектов на базе программного комплекса «</w:t>
      </w:r>
      <w:r w:rsidRPr="004761E0">
        <w:rPr>
          <w:color w:val="000000"/>
          <w:sz w:val="26"/>
          <w:szCs w:val="26"/>
          <w:lang w:val="en-US"/>
        </w:rPr>
        <w:t>Oracle</w:t>
      </w:r>
      <w:r w:rsidRPr="004761E0">
        <w:rPr>
          <w:color w:val="000000"/>
          <w:sz w:val="26"/>
          <w:szCs w:val="26"/>
        </w:rPr>
        <w:t xml:space="preserve"> </w:t>
      </w:r>
      <w:r w:rsidRPr="004761E0">
        <w:rPr>
          <w:color w:val="000000"/>
          <w:sz w:val="26"/>
          <w:szCs w:val="26"/>
          <w:lang w:val="en-US"/>
        </w:rPr>
        <w:t>Primavera</w:t>
      </w:r>
      <w:r w:rsidRPr="004761E0">
        <w:rPr>
          <w:color w:val="000000"/>
          <w:sz w:val="26"/>
          <w:szCs w:val="26"/>
        </w:rPr>
        <w:t xml:space="preserve"> </w:t>
      </w:r>
      <w:r w:rsidRPr="004761E0">
        <w:rPr>
          <w:color w:val="000000"/>
          <w:sz w:val="26"/>
          <w:szCs w:val="26"/>
          <w:lang w:val="en-US"/>
        </w:rPr>
        <w:t>P</w:t>
      </w:r>
      <w:r w:rsidRPr="004761E0">
        <w:rPr>
          <w:color w:val="000000"/>
          <w:sz w:val="26"/>
          <w:szCs w:val="26"/>
        </w:rPr>
        <w:t>6» завершено в 2012 году</w:t>
      </w:r>
      <w:r w:rsidR="002D2AF9" w:rsidRPr="004761E0">
        <w:rPr>
          <w:color w:val="1F497D"/>
          <w:sz w:val="26"/>
          <w:szCs w:val="26"/>
        </w:rPr>
        <w:t>.</w:t>
      </w:r>
    </w:p>
    <w:p w:rsidR="00D52FA5" w:rsidRPr="004761E0" w:rsidRDefault="00D52FA5" w:rsidP="00431835">
      <w:pPr>
        <w:ind w:firstLine="567"/>
        <w:rPr>
          <w:b/>
          <w:sz w:val="26"/>
          <w:szCs w:val="26"/>
          <w:lang w:eastAsia="ru-RU"/>
        </w:rPr>
      </w:pPr>
      <w:r w:rsidRPr="004761E0">
        <w:rPr>
          <w:color w:val="000000"/>
          <w:sz w:val="26"/>
          <w:szCs w:val="26"/>
        </w:rPr>
        <w:t>В 2013 году осуществлялись инвестиционные проекты «Реконструкция ПС-220 кВ «Пресня» и «Реконструкция ПС-220 кВ «Гражданская»</w:t>
      </w:r>
      <w:r w:rsidRPr="004761E0">
        <w:rPr>
          <w:color w:val="1F497D"/>
          <w:sz w:val="26"/>
          <w:szCs w:val="26"/>
        </w:rPr>
        <w:t xml:space="preserve">. </w:t>
      </w:r>
      <w:r w:rsidRPr="004761E0">
        <w:rPr>
          <w:sz w:val="26"/>
          <w:szCs w:val="26"/>
        </w:rPr>
        <w:t xml:space="preserve">Применение графиков, </w:t>
      </w:r>
      <w:r w:rsidRPr="004761E0">
        <w:rPr>
          <w:sz w:val="26"/>
          <w:szCs w:val="26"/>
        </w:rPr>
        <w:lastRenderedPageBreak/>
        <w:t>разработанных на программном комплексе</w:t>
      </w:r>
      <w:r w:rsidRPr="004761E0">
        <w:rPr>
          <w:color w:val="000000"/>
          <w:sz w:val="26"/>
          <w:szCs w:val="26"/>
        </w:rPr>
        <w:t xml:space="preserve"> «</w:t>
      </w:r>
      <w:r w:rsidRPr="004761E0">
        <w:rPr>
          <w:color w:val="000000"/>
          <w:sz w:val="26"/>
          <w:szCs w:val="26"/>
          <w:lang w:val="en-US"/>
        </w:rPr>
        <w:t>Oracle</w:t>
      </w:r>
      <w:r w:rsidRPr="004761E0">
        <w:rPr>
          <w:color w:val="000000"/>
          <w:sz w:val="26"/>
          <w:szCs w:val="26"/>
        </w:rPr>
        <w:t xml:space="preserve"> </w:t>
      </w:r>
      <w:r w:rsidRPr="004761E0">
        <w:rPr>
          <w:color w:val="000000"/>
          <w:sz w:val="26"/>
          <w:szCs w:val="26"/>
          <w:lang w:val="en-US"/>
        </w:rPr>
        <w:t>Primavera</w:t>
      </w:r>
      <w:r w:rsidRPr="004761E0">
        <w:rPr>
          <w:color w:val="000000"/>
          <w:sz w:val="26"/>
          <w:szCs w:val="26"/>
        </w:rPr>
        <w:t xml:space="preserve"> </w:t>
      </w:r>
      <w:r w:rsidRPr="004761E0">
        <w:rPr>
          <w:color w:val="000000"/>
          <w:sz w:val="26"/>
          <w:szCs w:val="26"/>
          <w:lang w:val="en-US"/>
        </w:rPr>
        <w:t>P</w:t>
      </w:r>
      <w:r w:rsidRPr="004761E0">
        <w:rPr>
          <w:color w:val="000000"/>
          <w:sz w:val="26"/>
          <w:szCs w:val="26"/>
        </w:rPr>
        <w:t>6» позволило выполнить запланированный объем работ в срок.</w:t>
      </w:r>
    </w:p>
    <w:p w:rsidR="00162369" w:rsidRPr="00B20C95" w:rsidRDefault="00162369" w:rsidP="00B20C95">
      <w:pPr>
        <w:spacing w:before="120" w:after="120"/>
        <w:ind w:firstLine="567"/>
        <w:rPr>
          <w:b/>
          <w:sz w:val="26"/>
          <w:szCs w:val="26"/>
        </w:rPr>
      </w:pPr>
      <w:r w:rsidRPr="00B20C95">
        <w:rPr>
          <w:b/>
          <w:sz w:val="26"/>
          <w:szCs w:val="26"/>
        </w:rPr>
        <w:t>Строительство и эксплуатация волоконно-оптических линий связи</w:t>
      </w:r>
    </w:p>
    <w:p w:rsidR="00A3456D" w:rsidRPr="004761E0" w:rsidRDefault="00634AE9" w:rsidP="008153DE">
      <w:pPr>
        <w:ind w:firstLine="567"/>
        <w:rPr>
          <w:sz w:val="26"/>
          <w:szCs w:val="26"/>
        </w:rPr>
      </w:pPr>
      <w:r w:rsidRPr="004761E0">
        <w:rPr>
          <w:sz w:val="26"/>
          <w:szCs w:val="26"/>
        </w:rPr>
        <w:t>В</w:t>
      </w:r>
      <w:r w:rsidR="00A3456D" w:rsidRPr="004761E0">
        <w:rPr>
          <w:sz w:val="26"/>
          <w:szCs w:val="26"/>
        </w:rPr>
        <w:t xml:space="preserve">олоконно-оптические линии связи являются прогрессивной средой распространения сигналов, позволяют организовать функционирование цифровых систем передачи на высоких скоростях и удовлетворить все потребности энергообъектов </w:t>
      </w:r>
      <w:r w:rsidR="0008080E">
        <w:rPr>
          <w:sz w:val="26"/>
          <w:szCs w:val="26"/>
        </w:rPr>
        <w:t>ОАО </w:t>
      </w:r>
      <w:r w:rsidRPr="004761E0">
        <w:rPr>
          <w:sz w:val="26"/>
          <w:szCs w:val="26"/>
        </w:rPr>
        <w:t>«</w:t>
      </w:r>
      <w:r w:rsidR="00A3456D" w:rsidRPr="004761E0">
        <w:rPr>
          <w:sz w:val="26"/>
          <w:szCs w:val="26"/>
        </w:rPr>
        <w:t>МОЭСК</w:t>
      </w:r>
      <w:r w:rsidRPr="004761E0">
        <w:rPr>
          <w:sz w:val="26"/>
          <w:szCs w:val="26"/>
        </w:rPr>
        <w:t>»</w:t>
      </w:r>
      <w:r w:rsidR="00A3456D" w:rsidRPr="004761E0">
        <w:rPr>
          <w:sz w:val="26"/>
          <w:szCs w:val="26"/>
        </w:rPr>
        <w:t xml:space="preserve"> в служебном трафике.</w:t>
      </w:r>
    </w:p>
    <w:p w:rsidR="00A3456D" w:rsidRPr="004761E0" w:rsidRDefault="00634AE9" w:rsidP="008153DE">
      <w:pPr>
        <w:ind w:firstLine="567"/>
        <w:rPr>
          <w:sz w:val="26"/>
          <w:szCs w:val="26"/>
        </w:rPr>
      </w:pPr>
      <w:r w:rsidRPr="004761E0">
        <w:rPr>
          <w:sz w:val="26"/>
          <w:szCs w:val="26"/>
        </w:rPr>
        <w:t>Волоконно-оптические линии связи</w:t>
      </w:r>
      <w:r w:rsidR="00A3456D" w:rsidRPr="004761E0">
        <w:rPr>
          <w:color w:val="1F497D"/>
          <w:sz w:val="26"/>
          <w:szCs w:val="26"/>
        </w:rPr>
        <w:t xml:space="preserve">, </w:t>
      </w:r>
      <w:r w:rsidRPr="004761E0">
        <w:rPr>
          <w:sz w:val="26"/>
          <w:szCs w:val="26"/>
        </w:rPr>
        <w:t>сооруженные на воздушных линиях (далее – ВОЛС-ВЛ)</w:t>
      </w:r>
      <w:r w:rsidR="00A3456D" w:rsidRPr="004761E0">
        <w:rPr>
          <w:color w:val="1F497D"/>
          <w:sz w:val="26"/>
          <w:szCs w:val="26"/>
        </w:rPr>
        <w:t>,</w:t>
      </w:r>
      <w:r w:rsidR="00A3456D" w:rsidRPr="004761E0">
        <w:rPr>
          <w:sz w:val="26"/>
          <w:szCs w:val="26"/>
        </w:rPr>
        <w:t xml:space="preserve"> </w:t>
      </w:r>
      <w:r w:rsidR="00F61869" w:rsidRPr="004761E0">
        <w:rPr>
          <w:sz w:val="26"/>
          <w:szCs w:val="26"/>
        </w:rPr>
        <w:t xml:space="preserve">используются </w:t>
      </w:r>
      <w:r w:rsidR="00A3456D" w:rsidRPr="004761E0">
        <w:rPr>
          <w:sz w:val="26"/>
          <w:szCs w:val="26"/>
        </w:rPr>
        <w:t xml:space="preserve">в целях диспетчерского и технологического управления энергообъектами, а также повышения уровня </w:t>
      </w:r>
      <w:r w:rsidRPr="004761E0">
        <w:rPr>
          <w:sz w:val="26"/>
          <w:szCs w:val="26"/>
        </w:rPr>
        <w:t xml:space="preserve">их </w:t>
      </w:r>
      <w:r w:rsidR="00A3456D" w:rsidRPr="004761E0">
        <w:rPr>
          <w:sz w:val="26"/>
          <w:szCs w:val="26"/>
        </w:rPr>
        <w:t>наблюдаемости и управляемости.</w:t>
      </w:r>
    </w:p>
    <w:p w:rsidR="00A3456D" w:rsidRPr="004761E0" w:rsidRDefault="00A3456D" w:rsidP="008153DE">
      <w:pPr>
        <w:ind w:firstLine="567"/>
        <w:rPr>
          <w:sz w:val="26"/>
          <w:szCs w:val="26"/>
        </w:rPr>
      </w:pPr>
      <w:r w:rsidRPr="004761E0">
        <w:rPr>
          <w:sz w:val="26"/>
          <w:szCs w:val="26"/>
        </w:rPr>
        <w:t xml:space="preserve">В течение 2013 года </w:t>
      </w:r>
      <w:r w:rsidR="00634AE9" w:rsidRPr="004761E0">
        <w:rPr>
          <w:sz w:val="26"/>
          <w:szCs w:val="26"/>
        </w:rPr>
        <w:t>п</w:t>
      </w:r>
      <w:r w:rsidRPr="004761E0">
        <w:rPr>
          <w:sz w:val="26"/>
          <w:szCs w:val="26"/>
        </w:rPr>
        <w:t xml:space="preserve">остроено 166,84 км ВОЛС-ВЛ. </w:t>
      </w:r>
      <w:r w:rsidR="00634AE9" w:rsidRPr="004761E0">
        <w:rPr>
          <w:sz w:val="26"/>
          <w:szCs w:val="26"/>
        </w:rPr>
        <w:t>Всего по состоянию на 31.12.2013</w:t>
      </w:r>
      <w:r w:rsidRPr="004761E0">
        <w:rPr>
          <w:sz w:val="26"/>
          <w:szCs w:val="26"/>
        </w:rPr>
        <w:t xml:space="preserve"> на балансе О</w:t>
      </w:r>
      <w:r w:rsidR="00634AE9" w:rsidRPr="004761E0">
        <w:rPr>
          <w:sz w:val="26"/>
          <w:szCs w:val="26"/>
        </w:rPr>
        <w:t xml:space="preserve">бщества </w:t>
      </w:r>
      <w:r w:rsidRPr="004761E0">
        <w:rPr>
          <w:sz w:val="26"/>
          <w:szCs w:val="26"/>
        </w:rPr>
        <w:t>находится 862,24 км ВОЛС-ВЛ.</w:t>
      </w:r>
    </w:p>
    <w:p w:rsidR="00431835" w:rsidRPr="00B20C95" w:rsidRDefault="00431835" w:rsidP="00431835">
      <w:pPr>
        <w:spacing w:before="120" w:after="120"/>
        <w:ind w:firstLine="567"/>
        <w:rPr>
          <w:b/>
          <w:sz w:val="26"/>
          <w:szCs w:val="26"/>
        </w:rPr>
      </w:pPr>
      <w:r w:rsidRPr="00B20C95">
        <w:rPr>
          <w:b/>
          <w:sz w:val="26"/>
          <w:szCs w:val="26"/>
        </w:rPr>
        <w:t xml:space="preserve">Внедрение Системы </w:t>
      </w:r>
      <w:r w:rsidR="00CC42DC" w:rsidRPr="00B20C95">
        <w:rPr>
          <w:b/>
          <w:sz w:val="26"/>
          <w:szCs w:val="26"/>
        </w:rPr>
        <w:t>а</w:t>
      </w:r>
      <w:r w:rsidRPr="00B20C95">
        <w:rPr>
          <w:b/>
          <w:sz w:val="26"/>
          <w:szCs w:val="26"/>
        </w:rPr>
        <w:t xml:space="preserve">втоматизированного проектирования воздушных линий электропередачи 35 кВ и выше в </w:t>
      </w:r>
      <w:r w:rsidR="0008080E">
        <w:rPr>
          <w:b/>
          <w:sz w:val="26"/>
          <w:szCs w:val="26"/>
        </w:rPr>
        <w:t>ОАО </w:t>
      </w:r>
      <w:r w:rsidRPr="00B20C95">
        <w:rPr>
          <w:b/>
          <w:sz w:val="26"/>
          <w:szCs w:val="26"/>
        </w:rPr>
        <w:t>«МОЭСК»</w:t>
      </w:r>
    </w:p>
    <w:p w:rsidR="00CC42DC" w:rsidRPr="004761E0" w:rsidRDefault="00CC42DC" w:rsidP="00CC42DC">
      <w:pPr>
        <w:ind w:firstLine="567"/>
        <w:rPr>
          <w:sz w:val="26"/>
          <w:szCs w:val="26"/>
          <w:lang w:eastAsia="ru-RU"/>
        </w:rPr>
      </w:pPr>
      <w:r w:rsidRPr="004761E0">
        <w:rPr>
          <w:sz w:val="26"/>
          <w:szCs w:val="26"/>
          <w:lang w:eastAsia="ru-RU"/>
        </w:rPr>
        <w:t xml:space="preserve">Внедрение Системы автоматизированного проектирования (САПР) воздушных линий электропередачи 35 кВ и выше осуществляется в целях совершенствования системы проектирования, снижения затрат и повышения инвестиционной эффективности проектов воздушных линий 35 кВ и выше. </w:t>
      </w:r>
    </w:p>
    <w:p w:rsidR="00CC42DC" w:rsidRPr="004761E0" w:rsidRDefault="00CC42DC" w:rsidP="00CC42DC">
      <w:pPr>
        <w:ind w:firstLine="567"/>
        <w:rPr>
          <w:sz w:val="26"/>
          <w:szCs w:val="26"/>
          <w:lang w:eastAsia="ru-RU"/>
        </w:rPr>
      </w:pPr>
      <w:r w:rsidRPr="004761E0">
        <w:rPr>
          <w:sz w:val="26"/>
          <w:szCs w:val="26"/>
          <w:lang w:eastAsia="ru-RU"/>
        </w:rPr>
        <w:t>В 2013 году реализованы следующие мероприятия:</w:t>
      </w:r>
    </w:p>
    <w:p w:rsidR="00CC42DC" w:rsidRPr="004761E0" w:rsidRDefault="003213D5" w:rsidP="007076A7">
      <w:pPr>
        <w:pStyle w:val="a5"/>
        <w:numPr>
          <w:ilvl w:val="1"/>
          <w:numId w:val="292"/>
        </w:numPr>
        <w:ind w:left="1134" w:hanging="567"/>
        <w:contextualSpacing w:val="0"/>
        <w:rPr>
          <w:sz w:val="26"/>
          <w:szCs w:val="26"/>
          <w:lang w:eastAsia="ru-RU"/>
        </w:rPr>
      </w:pPr>
      <w:r w:rsidRPr="004761E0">
        <w:rPr>
          <w:sz w:val="26"/>
          <w:szCs w:val="26"/>
          <w:lang w:eastAsia="ru-RU"/>
        </w:rPr>
        <w:t>о</w:t>
      </w:r>
      <w:r w:rsidR="00CC42DC" w:rsidRPr="004761E0">
        <w:rPr>
          <w:sz w:val="26"/>
          <w:szCs w:val="26"/>
          <w:lang w:eastAsia="ru-RU"/>
        </w:rPr>
        <w:t>пределен победитель конкурса по поставке услуг по внедрению САПР.</w:t>
      </w:r>
    </w:p>
    <w:p w:rsidR="00CC42DC" w:rsidRPr="004761E0" w:rsidRDefault="003213D5" w:rsidP="007076A7">
      <w:pPr>
        <w:pStyle w:val="a5"/>
        <w:numPr>
          <w:ilvl w:val="1"/>
          <w:numId w:val="292"/>
        </w:numPr>
        <w:ind w:left="1134" w:hanging="567"/>
        <w:contextualSpacing w:val="0"/>
        <w:rPr>
          <w:sz w:val="26"/>
          <w:szCs w:val="26"/>
          <w:lang w:eastAsia="ru-RU"/>
        </w:rPr>
      </w:pPr>
      <w:r w:rsidRPr="004761E0">
        <w:rPr>
          <w:sz w:val="26"/>
          <w:szCs w:val="26"/>
          <w:lang w:eastAsia="ru-RU"/>
        </w:rPr>
        <w:t>з</w:t>
      </w:r>
      <w:r w:rsidR="00CC42DC" w:rsidRPr="004761E0">
        <w:rPr>
          <w:sz w:val="26"/>
          <w:szCs w:val="26"/>
          <w:lang w:eastAsia="ru-RU"/>
        </w:rPr>
        <w:t xml:space="preserve">аключен договор на  право «Приобретение неисключительных прав ПО Model Studiop CS ЛЭП (nanoCAD)» для нужд </w:t>
      </w:r>
      <w:r w:rsidR="0008080E">
        <w:rPr>
          <w:sz w:val="26"/>
          <w:szCs w:val="26"/>
          <w:lang w:eastAsia="ru-RU"/>
        </w:rPr>
        <w:t>ОАО </w:t>
      </w:r>
      <w:r w:rsidR="00CC42DC" w:rsidRPr="004761E0">
        <w:rPr>
          <w:sz w:val="26"/>
          <w:szCs w:val="26"/>
          <w:lang w:eastAsia="ru-RU"/>
        </w:rPr>
        <w:t xml:space="preserve">«МОЭСК» с </w:t>
      </w:r>
      <w:r w:rsidR="0008080E">
        <w:rPr>
          <w:sz w:val="26"/>
          <w:szCs w:val="26"/>
          <w:lang w:eastAsia="ru-RU"/>
        </w:rPr>
        <w:t>ЗАО </w:t>
      </w:r>
      <w:r w:rsidR="00CC42DC" w:rsidRPr="004761E0">
        <w:rPr>
          <w:sz w:val="26"/>
          <w:szCs w:val="26"/>
          <w:lang w:eastAsia="ru-RU"/>
        </w:rPr>
        <w:t>«СиСофт».</w:t>
      </w:r>
    </w:p>
    <w:p w:rsidR="008153DE" w:rsidRPr="004761E0" w:rsidRDefault="003213D5" w:rsidP="007076A7">
      <w:pPr>
        <w:pStyle w:val="a5"/>
        <w:numPr>
          <w:ilvl w:val="1"/>
          <w:numId w:val="292"/>
        </w:numPr>
        <w:ind w:left="1134" w:hanging="567"/>
        <w:contextualSpacing w:val="0"/>
        <w:rPr>
          <w:sz w:val="26"/>
          <w:szCs w:val="26"/>
          <w:lang w:eastAsia="ru-RU"/>
        </w:rPr>
      </w:pPr>
      <w:r w:rsidRPr="004761E0">
        <w:rPr>
          <w:sz w:val="26"/>
          <w:szCs w:val="26"/>
          <w:lang w:eastAsia="ru-RU"/>
        </w:rPr>
        <w:t>получены лицензии</w:t>
      </w:r>
      <w:r w:rsidR="00CC42DC" w:rsidRPr="004761E0">
        <w:rPr>
          <w:sz w:val="26"/>
          <w:szCs w:val="26"/>
          <w:lang w:eastAsia="ru-RU"/>
        </w:rPr>
        <w:t xml:space="preserve">, </w:t>
      </w:r>
      <w:r w:rsidRPr="004761E0">
        <w:rPr>
          <w:sz w:val="26"/>
          <w:szCs w:val="26"/>
          <w:lang w:eastAsia="ru-RU"/>
        </w:rPr>
        <w:t xml:space="preserve">установлено </w:t>
      </w:r>
      <w:r w:rsidR="00CC42DC" w:rsidRPr="004761E0">
        <w:rPr>
          <w:sz w:val="26"/>
          <w:szCs w:val="26"/>
          <w:lang w:eastAsia="ru-RU"/>
        </w:rPr>
        <w:t xml:space="preserve">программное обеспечение, система внедрена, пользователям предоставлен доступ для работы. </w:t>
      </w:r>
    </w:p>
    <w:p w:rsidR="00274A8A" w:rsidRPr="00B20C95" w:rsidRDefault="00274A8A" w:rsidP="00274A8A">
      <w:pPr>
        <w:spacing w:before="120" w:after="120"/>
        <w:ind w:firstLine="567"/>
        <w:rPr>
          <w:b/>
          <w:sz w:val="26"/>
          <w:szCs w:val="26"/>
        </w:rPr>
      </w:pPr>
      <w:r w:rsidRPr="00B20C95">
        <w:rPr>
          <w:b/>
          <w:sz w:val="26"/>
          <w:szCs w:val="26"/>
        </w:rPr>
        <w:t xml:space="preserve">Участие в создании зарядной инфраструктуры для электротранспорта на территории </w:t>
      </w:r>
      <w:proofErr w:type="gramStart"/>
      <w:r w:rsidRPr="00B20C95">
        <w:rPr>
          <w:b/>
          <w:sz w:val="26"/>
          <w:szCs w:val="26"/>
        </w:rPr>
        <w:t>г</w:t>
      </w:r>
      <w:proofErr w:type="gramEnd"/>
      <w:r w:rsidRPr="00B20C95">
        <w:rPr>
          <w:b/>
          <w:sz w:val="26"/>
          <w:szCs w:val="26"/>
        </w:rPr>
        <w:t>. Москвы и Московской области</w:t>
      </w:r>
    </w:p>
    <w:p w:rsidR="00274A8A" w:rsidRPr="004761E0" w:rsidRDefault="00274A8A" w:rsidP="00274A8A">
      <w:pPr>
        <w:ind w:firstLine="567"/>
        <w:rPr>
          <w:sz w:val="26"/>
          <w:szCs w:val="26"/>
        </w:rPr>
      </w:pPr>
      <w:r w:rsidRPr="004761E0">
        <w:rPr>
          <w:sz w:val="26"/>
          <w:szCs w:val="26"/>
        </w:rPr>
        <w:t xml:space="preserve">Предполагается, что </w:t>
      </w:r>
      <w:r w:rsidR="0008080E">
        <w:rPr>
          <w:sz w:val="26"/>
          <w:szCs w:val="26"/>
        </w:rPr>
        <w:t>ОАО </w:t>
      </w:r>
      <w:r w:rsidRPr="004761E0">
        <w:rPr>
          <w:sz w:val="26"/>
          <w:szCs w:val="26"/>
        </w:rPr>
        <w:t>«МОЭСК» в указанном проекте будет осуществлять технологическое присоединение зарядных станций третьих лиц, передачу электроэнергии и технологическое управление сетью зарядных станций как активным элементом Smart Grid.</w:t>
      </w:r>
    </w:p>
    <w:p w:rsidR="00274A8A" w:rsidRPr="004761E0" w:rsidRDefault="00274A8A" w:rsidP="00274A8A">
      <w:pPr>
        <w:ind w:firstLine="567"/>
        <w:rPr>
          <w:sz w:val="26"/>
          <w:szCs w:val="26"/>
        </w:rPr>
      </w:pPr>
      <w:r w:rsidRPr="004761E0">
        <w:rPr>
          <w:sz w:val="26"/>
          <w:szCs w:val="26"/>
        </w:rPr>
        <w:t>В рамках исполнения решения Правления</w:t>
      </w:r>
      <w:r w:rsidR="003213D5" w:rsidRPr="006F4AB8">
        <w:rPr>
          <w:rStyle w:val="af1"/>
        </w:rPr>
        <w:footnoteReference w:id="23"/>
      </w:r>
      <w:r w:rsidRPr="004761E0">
        <w:rPr>
          <w:sz w:val="26"/>
          <w:szCs w:val="26"/>
        </w:rPr>
        <w:t>в отношении реализации деятельности Общества по развитию электротранспорта на 31.12.2013 проведены следующие мероприятия:</w:t>
      </w:r>
    </w:p>
    <w:p w:rsidR="00274A8A" w:rsidRPr="004761E0" w:rsidRDefault="00274A8A" w:rsidP="007076A7">
      <w:pPr>
        <w:numPr>
          <w:ilvl w:val="0"/>
          <w:numId w:val="258"/>
        </w:numPr>
        <w:ind w:left="1134" w:hanging="567"/>
        <w:rPr>
          <w:sz w:val="26"/>
          <w:szCs w:val="26"/>
        </w:rPr>
      </w:pPr>
      <w:r w:rsidRPr="004761E0">
        <w:rPr>
          <w:sz w:val="26"/>
          <w:szCs w:val="26"/>
        </w:rPr>
        <w:t xml:space="preserve">выполнен 1-й этап опытно-конструкторских работ по разработке инфраструктуры для общественного электротранспорта (электробусов) в </w:t>
      </w:r>
      <w:proofErr w:type="gramStart"/>
      <w:r w:rsidRPr="004761E0">
        <w:rPr>
          <w:sz w:val="26"/>
          <w:szCs w:val="26"/>
        </w:rPr>
        <w:t>г</w:t>
      </w:r>
      <w:proofErr w:type="gramEnd"/>
      <w:r w:rsidRPr="004761E0">
        <w:rPr>
          <w:sz w:val="26"/>
          <w:szCs w:val="26"/>
        </w:rPr>
        <w:t>. Москве: разработан проект автоматизированной станции ультрабыстрой зарядки электробусов;</w:t>
      </w:r>
    </w:p>
    <w:p w:rsidR="00274A8A" w:rsidRPr="004761E0" w:rsidRDefault="00274A8A" w:rsidP="007076A7">
      <w:pPr>
        <w:numPr>
          <w:ilvl w:val="0"/>
          <w:numId w:val="258"/>
        </w:numPr>
        <w:ind w:left="1134" w:hanging="567"/>
        <w:rPr>
          <w:sz w:val="26"/>
          <w:szCs w:val="26"/>
        </w:rPr>
      </w:pPr>
      <w:r w:rsidRPr="004761E0">
        <w:rPr>
          <w:sz w:val="26"/>
          <w:szCs w:val="26"/>
        </w:rPr>
        <w:t xml:space="preserve">проведены закупочные процедуры и организовано заключение договора на поставку электромобилей </w:t>
      </w:r>
      <w:proofErr w:type="gramStart"/>
      <w:r w:rsidRPr="004761E0">
        <w:rPr>
          <w:sz w:val="26"/>
          <w:szCs w:val="26"/>
        </w:rPr>
        <w:t>для</w:t>
      </w:r>
      <w:proofErr w:type="gramEnd"/>
      <w:r w:rsidRPr="004761E0">
        <w:rPr>
          <w:sz w:val="26"/>
          <w:szCs w:val="26"/>
        </w:rPr>
        <w:t xml:space="preserve"> </w:t>
      </w:r>
      <w:proofErr w:type="gramStart"/>
      <w:r w:rsidRPr="004761E0">
        <w:rPr>
          <w:sz w:val="26"/>
          <w:szCs w:val="26"/>
        </w:rPr>
        <w:t>использование</w:t>
      </w:r>
      <w:proofErr w:type="gramEnd"/>
      <w:r w:rsidRPr="004761E0">
        <w:rPr>
          <w:sz w:val="26"/>
          <w:szCs w:val="26"/>
        </w:rPr>
        <w:t xml:space="preserve"> в качестве технологического транспорта филиалами </w:t>
      </w:r>
      <w:r w:rsidR="0008080E">
        <w:rPr>
          <w:sz w:val="26"/>
          <w:szCs w:val="26"/>
        </w:rPr>
        <w:t>ОАО </w:t>
      </w:r>
      <w:r w:rsidRPr="004761E0">
        <w:rPr>
          <w:sz w:val="26"/>
          <w:szCs w:val="26"/>
        </w:rPr>
        <w:t xml:space="preserve">«МОЭСК» (ожидаемая дата поставки электромобилей – </w:t>
      </w:r>
      <w:r w:rsidR="00017C39">
        <w:rPr>
          <w:sz w:val="26"/>
          <w:szCs w:val="26"/>
          <w:lang w:val="en-US"/>
        </w:rPr>
        <w:t>III</w:t>
      </w:r>
      <w:r w:rsidRPr="004761E0">
        <w:rPr>
          <w:sz w:val="26"/>
          <w:szCs w:val="26"/>
        </w:rPr>
        <w:t xml:space="preserve"> квартал 2014 года);</w:t>
      </w:r>
    </w:p>
    <w:p w:rsidR="00274A8A" w:rsidRPr="004761E0" w:rsidRDefault="00274A8A" w:rsidP="007076A7">
      <w:pPr>
        <w:numPr>
          <w:ilvl w:val="0"/>
          <w:numId w:val="258"/>
        </w:numPr>
        <w:ind w:left="1134" w:hanging="567"/>
        <w:rPr>
          <w:sz w:val="26"/>
          <w:szCs w:val="26"/>
        </w:rPr>
      </w:pPr>
      <w:r w:rsidRPr="004761E0">
        <w:rPr>
          <w:sz w:val="26"/>
          <w:szCs w:val="26"/>
        </w:rPr>
        <w:t>разработано техническое задание на поставку и размещение зарядных станций для закупаемых электромобилей.</w:t>
      </w:r>
    </w:p>
    <w:p w:rsidR="00274A8A" w:rsidRPr="004761E0" w:rsidRDefault="00274A8A" w:rsidP="00274A8A">
      <w:pPr>
        <w:ind w:firstLine="567"/>
        <w:rPr>
          <w:b/>
          <w:bCs/>
          <w:sz w:val="26"/>
          <w:szCs w:val="26"/>
        </w:rPr>
      </w:pPr>
      <w:proofErr w:type="gramStart"/>
      <w:r w:rsidRPr="004761E0">
        <w:rPr>
          <w:sz w:val="26"/>
          <w:szCs w:val="26"/>
        </w:rPr>
        <w:lastRenderedPageBreak/>
        <w:t xml:space="preserve">В целях синхронизации планов </w:t>
      </w:r>
      <w:r w:rsidR="0008080E">
        <w:rPr>
          <w:sz w:val="26"/>
          <w:szCs w:val="26"/>
        </w:rPr>
        <w:t>ОАО </w:t>
      </w:r>
      <w:r w:rsidRPr="004761E0">
        <w:rPr>
          <w:sz w:val="26"/>
          <w:szCs w:val="26"/>
        </w:rPr>
        <w:t xml:space="preserve">«МОЭСК» по эксплуатации созданной сети зарядных станций с планами </w:t>
      </w:r>
      <w:r w:rsidR="0008080E">
        <w:rPr>
          <w:sz w:val="26"/>
          <w:szCs w:val="26"/>
        </w:rPr>
        <w:t>ОАО </w:t>
      </w:r>
      <w:r w:rsidRPr="004761E0">
        <w:rPr>
          <w:sz w:val="26"/>
          <w:szCs w:val="26"/>
        </w:rPr>
        <w:t xml:space="preserve">«Россети» и «ФСК ЕЭС» по эксплуатации собственной разрабатываемой зарядной инфраструктуры для электротранспорта на территории г. Москвы предложения о вводе в коммерческую эксплуатацию действующей сети зарядных станций </w:t>
      </w:r>
      <w:r w:rsidR="0008080E">
        <w:rPr>
          <w:sz w:val="26"/>
          <w:szCs w:val="26"/>
        </w:rPr>
        <w:t>ОАО </w:t>
      </w:r>
      <w:r w:rsidRPr="004761E0">
        <w:rPr>
          <w:sz w:val="26"/>
          <w:szCs w:val="26"/>
        </w:rPr>
        <w:t xml:space="preserve">«МОЭСК» будут разработаны в ходе реализации Всероссийской программы развития зарядной инфраструктуры для электротранспорта </w:t>
      </w:r>
      <w:r w:rsidR="0008080E">
        <w:rPr>
          <w:sz w:val="26"/>
          <w:szCs w:val="26"/>
        </w:rPr>
        <w:t>ОАО </w:t>
      </w:r>
      <w:r w:rsidRPr="004761E0">
        <w:rPr>
          <w:sz w:val="26"/>
          <w:szCs w:val="26"/>
        </w:rPr>
        <w:t>«Россети».</w:t>
      </w:r>
      <w:proofErr w:type="gramEnd"/>
    </w:p>
    <w:p w:rsidR="00950820" w:rsidRPr="004761E0" w:rsidRDefault="00447B7C" w:rsidP="00431835">
      <w:pPr>
        <w:spacing w:before="120" w:after="120"/>
        <w:ind w:firstLine="567"/>
        <w:rPr>
          <w:b/>
          <w:sz w:val="26"/>
          <w:szCs w:val="26"/>
        </w:rPr>
      </w:pPr>
      <w:r w:rsidRPr="004761E0">
        <w:rPr>
          <w:b/>
          <w:sz w:val="26"/>
          <w:szCs w:val="26"/>
        </w:rPr>
        <w:t>Урегулирование дебиторской задолженности с участниками системы «Одного окна»</w:t>
      </w:r>
    </w:p>
    <w:p w:rsidR="00950820" w:rsidRPr="004761E0" w:rsidRDefault="00950820" w:rsidP="00431835">
      <w:pPr>
        <w:ind w:firstLine="567"/>
        <w:rPr>
          <w:sz w:val="26"/>
          <w:szCs w:val="26"/>
        </w:rPr>
      </w:pPr>
      <w:r w:rsidRPr="004761E0">
        <w:rPr>
          <w:sz w:val="26"/>
          <w:szCs w:val="26"/>
        </w:rPr>
        <w:t xml:space="preserve">В период с 2006 по 2010 год включительно в </w:t>
      </w:r>
      <w:proofErr w:type="gramStart"/>
      <w:r w:rsidRPr="004761E0">
        <w:rPr>
          <w:sz w:val="26"/>
          <w:szCs w:val="26"/>
        </w:rPr>
        <w:t>г</w:t>
      </w:r>
      <w:proofErr w:type="gramEnd"/>
      <w:r w:rsidRPr="004761E0">
        <w:rPr>
          <w:sz w:val="26"/>
          <w:szCs w:val="26"/>
        </w:rPr>
        <w:t>. Москве существовал принцип «Одного окна»</w:t>
      </w:r>
      <w:r w:rsidRPr="006F4AB8">
        <w:rPr>
          <w:rStyle w:val="af1"/>
        </w:rPr>
        <w:footnoteReference w:id="24"/>
      </w:r>
      <w:r w:rsidRPr="004761E0">
        <w:rPr>
          <w:sz w:val="26"/>
          <w:szCs w:val="26"/>
        </w:rPr>
        <w:t xml:space="preserve">, в соответствии с которым заявки на технологическое присоединение всех потребителей на территории г. Москвы принимались и рассматривались уполномоченной сетевой организацией – </w:t>
      </w:r>
      <w:r w:rsidR="0008080E">
        <w:rPr>
          <w:sz w:val="26"/>
          <w:szCs w:val="26"/>
        </w:rPr>
        <w:t>ОАО </w:t>
      </w:r>
      <w:r w:rsidRPr="004761E0">
        <w:rPr>
          <w:sz w:val="26"/>
          <w:szCs w:val="26"/>
        </w:rPr>
        <w:t>«МОЭСК» (</w:t>
      </w:r>
      <w:r w:rsidR="0008080E">
        <w:rPr>
          <w:sz w:val="26"/>
          <w:szCs w:val="26"/>
        </w:rPr>
        <w:t>ОАО </w:t>
      </w:r>
      <w:r w:rsidRPr="004761E0">
        <w:rPr>
          <w:sz w:val="26"/>
          <w:szCs w:val="26"/>
        </w:rPr>
        <w:t xml:space="preserve">«МГЭсК» до реорганизации). В связи с отсутствием спроса потребителей на мощность от центров питания смежных сетевых организаций, за период с 2006 год по 01.01.2011 у </w:t>
      </w:r>
      <w:r w:rsidR="0008080E">
        <w:rPr>
          <w:sz w:val="26"/>
          <w:szCs w:val="26"/>
        </w:rPr>
        <w:t>ОАО </w:t>
      </w:r>
      <w:r w:rsidRPr="004761E0">
        <w:rPr>
          <w:sz w:val="26"/>
          <w:szCs w:val="26"/>
        </w:rPr>
        <w:t>«МОЭСК» образовалась долгосрочная дебиторская задолженность в размере 23,5</w:t>
      </w:r>
      <w:r w:rsidR="00447B7C" w:rsidRPr="004761E0">
        <w:rPr>
          <w:sz w:val="26"/>
          <w:szCs w:val="26"/>
        </w:rPr>
        <w:t> </w:t>
      </w:r>
      <w:proofErr w:type="gramStart"/>
      <w:r w:rsidRPr="004761E0">
        <w:rPr>
          <w:sz w:val="26"/>
          <w:szCs w:val="26"/>
        </w:rPr>
        <w:t>млрд</w:t>
      </w:r>
      <w:proofErr w:type="gramEnd"/>
      <w:r w:rsidRPr="004761E0">
        <w:rPr>
          <w:sz w:val="26"/>
          <w:szCs w:val="26"/>
        </w:rPr>
        <w:t xml:space="preserve"> руб.</w:t>
      </w:r>
    </w:p>
    <w:p w:rsidR="00950820" w:rsidRPr="004761E0" w:rsidRDefault="00950820" w:rsidP="00431835">
      <w:pPr>
        <w:ind w:firstLine="567"/>
        <w:rPr>
          <w:sz w:val="26"/>
          <w:szCs w:val="26"/>
        </w:rPr>
      </w:pPr>
      <w:r w:rsidRPr="004761E0">
        <w:rPr>
          <w:sz w:val="26"/>
          <w:szCs w:val="26"/>
        </w:rPr>
        <w:t>В 2013 году проведены следующие мероприятия по снижению дебиторской задолженности участников «Одного окна»:</w:t>
      </w:r>
    </w:p>
    <w:tbl>
      <w:tblPr>
        <w:tblW w:w="10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3"/>
        <w:gridCol w:w="2499"/>
        <w:gridCol w:w="6978"/>
      </w:tblGrid>
      <w:tr w:rsidR="00950820" w:rsidRPr="004761E0" w:rsidTr="008153DE">
        <w:tc>
          <w:tcPr>
            <w:tcW w:w="553" w:type="dxa"/>
            <w:tcBorders>
              <w:bottom w:val="single" w:sz="4" w:space="0" w:color="auto"/>
              <w:right w:val="single" w:sz="4" w:space="0" w:color="FFFFFF"/>
            </w:tcBorders>
            <w:shd w:val="clear" w:color="auto" w:fill="0F243E"/>
          </w:tcPr>
          <w:p w:rsidR="00950820" w:rsidRPr="004761E0" w:rsidRDefault="00950820" w:rsidP="008153DE">
            <w:pPr>
              <w:ind w:firstLine="0"/>
              <w:jc w:val="left"/>
              <w:rPr>
                <w:b/>
                <w:color w:val="FFFFFF"/>
                <w:sz w:val="20"/>
                <w:szCs w:val="20"/>
              </w:rPr>
            </w:pPr>
            <w:r w:rsidRPr="004761E0">
              <w:rPr>
                <w:b/>
                <w:color w:val="FFFFFF"/>
                <w:sz w:val="20"/>
                <w:szCs w:val="20"/>
              </w:rPr>
              <w:t xml:space="preserve">№ </w:t>
            </w:r>
            <w:proofErr w:type="gramStart"/>
            <w:r w:rsidRPr="004761E0">
              <w:rPr>
                <w:b/>
                <w:color w:val="FFFFFF"/>
                <w:sz w:val="20"/>
                <w:szCs w:val="20"/>
              </w:rPr>
              <w:t>п</w:t>
            </w:r>
            <w:proofErr w:type="gramEnd"/>
            <w:r w:rsidRPr="004761E0">
              <w:rPr>
                <w:b/>
                <w:color w:val="FFFFFF"/>
                <w:sz w:val="20"/>
                <w:szCs w:val="20"/>
              </w:rPr>
              <w:t xml:space="preserve">/п </w:t>
            </w:r>
          </w:p>
        </w:tc>
        <w:tc>
          <w:tcPr>
            <w:tcW w:w="2499" w:type="dxa"/>
            <w:tcBorders>
              <w:left w:val="single" w:sz="4" w:space="0" w:color="FFFFFF"/>
              <w:bottom w:val="single" w:sz="4" w:space="0" w:color="auto"/>
              <w:right w:val="single" w:sz="4" w:space="0" w:color="FFFFFF"/>
            </w:tcBorders>
            <w:shd w:val="clear" w:color="auto" w:fill="0F243E"/>
            <w:vAlign w:val="center"/>
          </w:tcPr>
          <w:p w:rsidR="00950820" w:rsidRPr="004761E0" w:rsidRDefault="00950820" w:rsidP="008153DE">
            <w:pPr>
              <w:ind w:firstLine="0"/>
              <w:jc w:val="left"/>
              <w:rPr>
                <w:b/>
                <w:color w:val="FFFFFF"/>
                <w:sz w:val="20"/>
                <w:szCs w:val="20"/>
              </w:rPr>
            </w:pPr>
            <w:r w:rsidRPr="004761E0">
              <w:rPr>
                <w:b/>
                <w:color w:val="FFFFFF"/>
                <w:sz w:val="20"/>
                <w:szCs w:val="20"/>
              </w:rPr>
              <w:t xml:space="preserve">Наименование организации – дебитора </w:t>
            </w:r>
          </w:p>
        </w:tc>
        <w:tc>
          <w:tcPr>
            <w:tcW w:w="6978" w:type="dxa"/>
            <w:tcBorders>
              <w:left w:val="single" w:sz="4" w:space="0" w:color="FFFFFF"/>
              <w:bottom w:val="single" w:sz="4" w:space="0" w:color="auto"/>
            </w:tcBorders>
            <w:shd w:val="clear" w:color="auto" w:fill="0F243E"/>
            <w:vAlign w:val="center"/>
          </w:tcPr>
          <w:p w:rsidR="00950820" w:rsidRPr="004761E0" w:rsidRDefault="00950820" w:rsidP="008153DE">
            <w:pPr>
              <w:ind w:firstLine="0"/>
              <w:jc w:val="left"/>
              <w:rPr>
                <w:b/>
                <w:color w:val="FFFFFF"/>
                <w:sz w:val="20"/>
                <w:szCs w:val="20"/>
              </w:rPr>
            </w:pPr>
            <w:r w:rsidRPr="004761E0">
              <w:rPr>
                <w:b/>
                <w:color w:val="FFFFFF"/>
                <w:sz w:val="20"/>
                <w:szCs w:val="20"/>
              </w:rPr>
              <w:t>Проведенные мероприятия в 2013 году</w:t>
            </w:r>
          </w:p>
        </w:tc>
      </w:tr>
      <w:tr w:rsidR="00950820" w:rsidRPr="004761E0" w:rsidTr="008153DE">
        <w:tc>
          <w:tcPr>
            <w:tcW w:w="553" w:type="dxa"/>
            <w:tcBorders>
              <w:bottom w:val="single" w:sz="4" w:space="0" w:color="auto"/>
              <w:right w:val="nil"/>
            </w:tcBorders>
          </w:tcPr>
          <w:p w:rsidR="00950820" w:rsidRPr="004761E0" w:rsidRDefault="00950820" w:rsidP="007076A7">
            <w:pPr>
              <w:pStyle w:val="14"/>
              <w:numPr>
                <w:ilvl w:val="0"/>
                <w:numId w:val="53"/>
              </w:numPr>
              <w:ind w:left="34" w:firstLine="0"/>
              <w:rPr>
                <w:sz w:val="20"/>
                <w:szCs w:val="20"/>
              </w:rPr>
            </w:pPr>
          </w:p>
        </w:tc>
        <w:tc>
          <w:tcPr>
            <w:tcW w:w="2499" w:type="dxa"/>
            <w:tcBorders>
              <w:left w:val="nil"/>
              <w:bottom w:val="single" w:sz="4" w:space="0" w:color="auto"/>
              <w:right w:val="nil"/>
            </w:tcBorders>
          </w:tcPr>
          <w:p w:rsidR="00950820" w:rsidRPr="004761E0" w:rsidRDefault="0008080E" w:rsidP="000F32FF">
            <w:pPr>
              <w:ind w:firstLine="0"/>
              <w:rPr>
                <w:b/>
                <w:sz w:val="20"/>
              </w:rPr>
            </w:pPr>
            <w:r>
              <w:rPr>
                <w:b/>
                <w:sz w:val="20"/>
              </w:rPr>
              <w:t>ОАО </w:t>
            </w:r>
            <w:r w:rsidR="00950820" w:rsidRPr="004761E0">
              <w:rPr>
                <w:b/>
                <w:sz w:val="20"/>
              </w:rPr>
              <w:t>«Энергокомплекс»</w:t>
            </w:r>
          </w:p>
        </w:tc>
        <w:tc>
          <w:tcPr>
            <w:tcW w:w="6978" w:type="dxa"/>
            <w:tcBorders>
              <w:left w:val="nil"/>
              <w:bottom w:val="single" w:sz="4" w:space="0" w:color="auto"/>
            </w:tcBorders>
          </w:tcPr>
          <w:p w:rsidR="00950820" w:rsidRPr="004761E0" w:rsidRDefault="00950820" w:rsidP="00431835">
            <w:pPr>
              <w:ind w:firstLine="567"/>
              <w:rPr>
                <w:sz w:val="20"/>
                <w:szCs w:val="20"/>
              </w:rPr>
            </w:pPr>
            <w:r w:rsidRPr="004761E0">
              <w:rPr>
                <w:sz w:val="20"/>
                <w:szCs w:val="20"/>
              </w:rPr>
              <w:t xml:space="preserve">Судом отказано в удовлетворении иска к </w:t>
            </w:r>
            <w:r w:rsidR="0008080E">
              <w:rPr>
                <w:sz w:val="20"/>
                <w:szCs w:val="20"/>
              </w:rPr>
              <w:t>ОАО </w:t>
            </w:r>
            <w:r w:rsidRPr="004761E0">
              <w:rPr>
                <w:sz w:val="20"/>
                <w:szCs w:val="20"/>
              </w:rPr>
              <w:t>«Энергокомплекс» о взыскании 12</w:t>
            </w:r>
            <w:r w:rsidR="00E020B0">
              <w:rPr>
                <w:sz w:val="20"/>
                <w:szCs w:val="20"/>
              </w:rPr>
              <w:t xml:space="preserve">,549 </w:t>
            </w:r>
            <w:proofErr w:type="gramStart"/>
            <w:r w:rsidR="00E020B0">
              <w:rPr>
                <w:sz w:val="20"/>
                <w:szCs w:val="20"/>
              </w:rPr>
              <w:t>млрд</w:t>
            </w:r>
            <w:proofErr w:type="gramEnd"/>
            <w:r w:rsidR="00E020B0">
              <w:rPr>
                <w:sz w:val="20"/>
                <w:szCs w:val="20"/>
              </w:rPr>
              <w:t xml:space="preserve"> руб. Решение суда </w:t>
            </w:r>
            <w:r w:rsidRPr="004761E0">
              <w:rPr>
                <w:sz w:val="20"/>
                <w:szCs w:val="20"/>
              </w:rPr>
              <w:t xml:space="preserve">обжаловано в апелляционном, кассационном и надзорном порядке, но оставлено вышестоящими судами без изменения. </w:t>
            </w:r>
          </w:p>
          <w:p w:rsidR="00950820" w:rsidRPr="004761E0" w:rsidRDefault="00950820" w:rsidP="00431835">
            <w:pPr>
              <w:ind w:firstLine="567"/>
              <w:rPr>
                <w:sz w:val="20"/>
                <w:szCs w:val="20"/>
              </w:rPr>
            </w:pPr>
            <w:r w:rsidRPr="004761E0">
              <w:rPr>
                <w:sz w:val="20"/>
                <w:szCs w:val="20"/>
              </w:rPr>
              <w:t xml:space="preserve">Взыскание денежных средств с </w:t>
            </w:r>
            <w:r w:rsidR="0008080E">
              <w:rPr>
                <w:sz w:val="20"/>
                <w:szCs w:val="20"/>
              </w:rPr>
              <w:t>ОАО </w:t>
            </w:r>
            <w:r w:rsidRPr="004761E0">
              <w:rPr>
                <w:sz w:val="20"/>
                <w:szCs w:val="20"/>
              </w:rPr>
              <w:t xml:space="preserve">«Энергокомплекс» производится путем предъявления регрессных исков. В 2013 году подано 18 регрессных исков к </w:t>
            </w:r>
            <w:r w:rsidR="0008080E">
              <w:rPr>
                <w:sz w:val="20"/>
                <w:szCs w:val="20"/>
              </w:rPr>
              <w:t>ОАО </w:t>
            </w:r>
            <w:r w:rsidRPr="004761E0">
              <w:rPr>
                <w:sz w:val="20"/>
                <w:szCs w:val="20"/>
              </w:rPr>
              <w:t xml:space="preserve">«Энергокомплекс» в связи с расторжением потребителями договоров на осуществление технологического присоединения на общую сумму 201,76 </w:t>
            </w:r>
            <w:proofErr w:type="gramStart"/>
            <w:r w:rsidRPr="004761E0">
              <w:rPr>
                <w:sz w:val="20"/>
                <w:szCs w:val="20"/>
              </w:rPr>
              <w:t>млн</w:t>
            </w:r>
            <w:proofErr w:type="gramEnd"/>
            <w:r w:rsidRPr="004761E0">
              <w:rPr>
                <w:sz w:val="20"/>
                <w:szCs w:val="20"/>
              </w:rPr>
              <w:t xml:space="preserve"> руб.</w:t>
            </w:r>
          </w:p>
          <w:p w:rsidR="00950820" w:rsidRPr="004761E0" w:rsidRDefault="00950820" w:rsidP="00431835">
            <w:pPr>
              <w:ind w:firstLine="567"/>
              <w:rPr>
                <w:sz w:val="20"/>
                <w:szCs w:val="20"/>
              </w:rPr>
            </w:pPr>
            <w:r w:rsidRPr="004761E0">
              <w:rPr>
                <w:sz w:val="20"/>
                <w:szCs w:val="20"/>
              </w:rPr>
              <w:t xml:space="preserve">Удовлетворены регрессные иски на сумму 113,01 </w:t>
            </w:r>
            <w:proofErr w:type="gramStart"/>
            <w:r w:rsidRPr="004761E0">
              <w:rPr>
                <w:sz w:val="20"/>
                <w:szCs w:val="20"/>
              </w:rPr>
              <w:t>млн</w:t>
            </w:r>
            <w:proofErr w:type="gramEnd"/>
            <w:r w:rsidRPr="004761E0">
              <w:rPr>
                <w:sz w:val="20"/>
                <w:szCs w:val="20"/>
              </w:rPr>
              <w:t xml:space="preserve"> руб. Фактически взыскано по исполнительным листам 92,86 млн руб. Остальные иски находятся на рассмотрении судов. Готовятся к подаче новые иски.</w:t>
            </w:r>
          </w:p>
        </w:tc>
      </w:tr>
      <w:tr w:rsidR="00950820" w:rsidRPr="004761E0" w:rsidTr="008153DE">
        <w:tc>
          <w:tcPr>
            <w:tcW w:w="553" w:type="dxa"/>
            <w:tcBorders>
              <w:top w:val="single" w:sz="4" w:space="0" w:color="auto"/>
              <w:bottom w:val="single" w:sz="4" w:space="0" w:color="auto"/>
              <w:right w:val="nil"/>
            </w:tcBorders>
          </w:tcPr>
          <w:p w:rsidR="00950820" w:rsidRPr="004761E0" w:rsidRDefault="00950820" w:rsidP="007076A7">
            <w:pPr>
              <w:pStyle w:val="14"/>
              <w:numPr>
                <w:ilvl w:val="0"/>
                <w:numId w:val="53"/>
              </w:numPr>
              <w:ind w:left="34" w:firstLine="0"/>
              <w:rPr>
                <w:sz w:val="20"/>
                <w:szCs w:val="20"/>
              </w:rPr>
            </w:pPr>
          </w:p>
        </w:tc>
        <w:tc>
          <w:tcPr>
            <w:tcW w:w="2499" w:type="dxa"/>
            <w:tcBorders>
              <w:top w:val="single" w:sz="4" w:space="0" w:color="auto"/>
              <w:left w:val="nil"/>
              <w:bottom w:val="single" w:sz="4" w:space="0" w:color="auto"/>
              <w:right w:val="nil"/>
            </w:tcBorders>
          </w:tcPr>
          <w:p w:rsidR="00950820" w:rsidRPr="004761E0" w:rsidRDefault="00950820" w:rsidP="000F32FF">
            <w:pPr>
              <w:ind w:firstLine="0"/>
              <w:rPr>
                <w:b/>
                <w:sz w:val="20"/>
              </w:rPr>
            </w:pPr>
            <w:r w:rsidRPr="004761E0">
              <w:rPr>
                <w:b/>
                <w:sz w:val="20"/>
              </w:rPr>
              <w:t>ГУП «Москоллектор»</w:t>
            </w:r>
          </w:p>
        </w:tc>
        <w:tc>
          <w:tcPr>
            <w:tcW w:w="6978" w:type="dxa"/>
            <w:tcBorders>
              <w:top w:val="single" w:sz="4" w:space="0" w:color="auto"/>
              <w:left w:val="nil"/>
              <w:bottom w:val="single" w:sz="4" w:space="0" w:color="auto"/>
            </w:tcBorders>
          </w:tcPr>
          <w:p w:rsidR="00950820" w:rsidRPr="004761E0" w:rsidRDefault="00950820" w:rsidP="00431835">
            <w:pPr>
              <w:ind w:firstLine="567"/>
              <w:rPr>
                <w:sz w:val="20"/>
                <w:szCs w:val="20"/>
              </w:rPr>
            </w:pPr>
            <w:r w:rsidRPr="004761E0">
              <w:rPr>
                <w:sz w:val="20"/>
                <w:szCs w:val="20"/>
              </w:rPr>
              <w:t xml:space="preserve">Удовлетворены регрессные иски на сумму 5,44 </w:t>
            </w:r>
            <w:proofErr w:type="gramStart"/>
            <w:r w:rsidR="0008080E">
              <w:rPr>
                <w:sz w:val="20"/>
                <w:szCs w:val="20"/>
              </w:rPr>
              <w:t>млн</w:t>
            </w:r>
            <w:proofErr w:type="gramEnd"/>
            <w:r w:rsidRPr="004761E0">
              <w:rPr>
                <w:sz w:val="20"/>
                <w:szCs w:val="20"/>
              </w:rPr>
              <w:t xml:space="preserve"> руб. Фактически взыскано по исполнительным листам 12,9 </w:t>
            </w:r>
            <w:r w:rsidR="0008080E">
              <w:rPr>
                <w:sz w:val="20"/>
                <w:szCs w:val="20"/>
              </w:rPr>
              <w:t>млн</w:t>
            </w:r>
            <w:r w:rsidRPr="004761E0">
              <w:rPr>
                <w:sz w:val="20"/>
                <w:szCs w:val="20"/>
              </w:rPr>
              <w:t xml:space="preserve"> руб. </w:t>
            </w:r>
          </w:p>
          <w:p w:rsidR="00950820" w:rsidRPr="004761E0" w:rsidRDefault="00950820" w:rsidP="00431835">
            <w:pPr>
              <w:ind w:firstLine="567"/>
              <w:rPr>
                <w:spacing w:val="-2"/>
                <w:sz w:val="20"/>
                <w:szCs w:val="20"/>
              </w:rPr>
            </w:pPr>
            <w:r w:rsidRPr="004761E0">
              <w:rPr>
                <w:sz w:val="20"/>
                <w:szCs w:val="20"/>
              </w:rPr>
              <w:t xml:space="preserve">Судебными актами судов первой и апелляционной инстанции удовлетворены исковые требования </w:t>
            </w:r>
            <w:r w:rsidR="0008080E">
              <w:rPr>
                <w:sz w:val="20"/>
                <w:szCs w:val="20"/>
              </w:rPr>
              <w:t>ОАО </w:t>
            </w:r>
            <w:r w:rsidRPr="004761E0">
              <w:rPr>
                <w:sz w:val="20"/>
                <w:szCs w:val="20"/>
              </w:rPr>
              <w:t>«МОЭСК» к ГУП «Москоллектор» о взыскании 4 597 </w:t>
            </w:r>
            <w:proofErr w:type="gramStart"/>
            <w:r w:rsidR="0008080E">
              <w:rPr>
                <w:sz w:val="20"/>
                <w:szCs w:val="20"/>
              </w:rPr>
              <w:t>млн</w:t>
            </w:r>
            <w:proofErr w:type="gramEnd"/>
            <w:r w:rsidRPr="004761E0">
              <w:rPr>
                <w:sz w:val="20"/>
                <w:szCs w:val="20"/>
              </w:rPr>
              <w:t xml:space="preserve"> руб. неосновательного обогащения и отказано в удовлетворении встречного иска ГУП «Москоллектор» к </w:t>
            </w:r>
            <w:r w:rsidR="0008080E">
              <w:rPr>
                <w:sz w:val="20"/>
                <w:szCs w:val="20"/>
              </w:rPr>
              <w:t>ОАО </w:t>
            </w:r>
            <w:r w:rsidRPr="004761E0">
              <w:rPr>
                <w:sz w:val="20"/>
                <w:szCs w:val="20"/>
              </w:rPr>
              <w:t xml:space="preserve">«МОЭСК» </w:t>
            </w:r>
            <w:r w:rsidRPr="004761E0">
              <w:rPr>
                <w:spacing w:val="-2"/>
                <w:sz w:val="20"/>
                <w:szCs w:val="20"/>
              </w:rPr>
              <w:t xml:space="preserve">о взыскании денежных средств в размере 302,2 млн руб. в качестве оплаты за оказанные услуги по договору. </w:t>
            </w:r>
          </w:p>
          <w:p w:rsidR="00950820" w:rsidRPr="004761E0" w:rsidRDefault="00950820" w:rsidP="00431835">
            <w:pPr>
              <w:ind w:firstLine="567"/>
              <w:rPr>
                <w:sz w:val="20"/>
                <w:szCs w:val="20"/>
              </w:rPr>
            </w:pPr>
            <w:r w:rsidRPr="004761E0">
              <w:rPr>
                <w:spacing w:val="-2"/>
                <w:sz w:val="20"/>
                <w:szCs w:val="20"/>
              </w:rPr>
              <w:t>Судом кассационной инстанции судебные акты отменены и дело направлено на новое рассмотрение. Имеется особое мнение судьи о том, что судебные акты не подлежали отмене.</w:t>
            </w:r>
          </w:p>
        </w:tc>
      </w:tr>
      <w:tr w:rsidR="00950820" w:rsidRPr="004761E0" w:rsidTr="008153DE">
        <w:tc>
          <w:tcPr>
            <w:tcW w:w="553" w:type="dxa"/>
            <w:tcBorders>
              <w:top w:val="single" w:sz="4" w:space="0" w:color="auto"/>
              <w:bottom w:val="single" w:sz="4" w:space="0" w:color="auto"/>
              <w:right w:val="nil"/>
            </w:tcBorders>
          </w:tcPr>
          <w:p w:rsidR="00950820" w:rsidRPr="004761E0" w:rsidRDefault="00950820" w:rsidP="007076A7">
            <w:pPr>
              <w:pStyle w:val="14"/>
              <w:numPr>
                <w:ilvl w:val="0"/>
                <w:numId w:val="53"/>
              </w:numPr>
              <w:ind w:left="34" w:firstLine="0"/>
              <w:rPr>
                <w:sz w:val="20"/>
                <w:szCs w:val="20"/>
              </w:rPr>
            </w:pPr>
          </w:p>
        </w:tc>
        <w:tc>
          <w:tcPr>
            <w:tcW w:w="2499" w:type="dxa"/>
            <w:tcBorders>
              <w:top w:val="single" w:sz="4" w:space="0" w:color="auto"/>
              <w:left w:val="nil"/>
              <w:bottom w:val="single" w:sz="4" w:space="0" w:color="auto"/>
              <w:right w:val="nil"/>
            </w:tcBorders>
          </w:tcPr>
          <w:p w:rsidR="00950820" w:rsidRPr="004761E0" w:rsidRDefault="0008080E" w:rsidP="000F32FF">
            <w:pPr>
              <w:ind w:firstLine="0"/>
              <w:rPr>
                <w:b/>
                <w:sz w:val="20"/>
              </w:rPr>
            </w:pPr>
            <w:r>
              <w:rPr>
                <w:b/>
                <w:sz w:val="20"/>
              </w:rPr>
              <w:t>ОАО </w:t>
            </w:r>
            <w:r w:rsidR="00950820" w:rsidRPr="004761E0">
              <w:rPr>
                <w:b/>
                <w:sz w:val="20"/>
              </w:rPr>
              <w:t>«ОЭК»</w:t>
            </w:r>
          </w:p>
        </w:tc>
        <w:tc>
          <w:tcPr>
            <w:tcW w:w="6978" w:type="dxa"/>
            <w:tcBorders>
              <w:top w:val="single" w:sz="4" w:space="0" w:color="auto"/>
              <w:left w:val="nil"/>
              <w:bottom w:val="single" w:sz="4" w:space="0" w:color="auto"/>
            </w:tcBorders>
          </w:tcPr>
          <w:p w:rsidR="00950820" w:rsidRPr="004761E0" w:rsidRDefault="00950820" w:rsidP="00431835">
            <w:pPr>
              <w:ind w:firstLine="567"/>
              <w:rPr>
                <w:sz w:val="20"/>
                <w:szCs w:val="20"/>
              </w:rPr>
            </w:pPr>
            <w:r w:rsidRPr="004761E0">
              <w:rPr>
                <w:sz w:val="20"/>
                <w:szCs w:val="20"/>
              </w:rPr>
              <w:t xml:space="preserve">Подано 24 регрессных иска к </w:t>
            </w:r>
            <w:r w:rsidR="0008080E">
              <w:rPr>
                <w:sz w:val="20"/>
                <w:szCs w:val="20"/>
              </w:rPr>
              <w:t>ОАО </w:t>
            </w:r>
            <w:r w:rsidRPr="004761E0">
              <w:rPr>
                <w:sz w:val="20"/>
                <w:szCs w:val="20"/>
              </w:rPr>
              <w:t>«ОЭК» в связи с расторжением потребителями договоров на осуществление технологического присоединения на общую сумму 99,66 </w:t>
            </w:r>
            <w:proofErr w:type="gramStart"/>
            <w:r w:rsidR="0008080E">
              <w:rPr>
                <w:sz w:val="20"/>
                <w:szCs w:val="20"/>
              </w:rPr>
              <w:t>млн</w:t>
            </w:r>
            <w:proofErr w:type="gramEnd"/>
            <w:r w:rsidRPr="004761E0">
              <w:rPr>
                <w:sz w:val="20"/>
                <w:szCs w:val="20"/>
              </w:rPr>
              <w:t xml:space="preserve"> руб.</w:t>
            </w:r>
          </w:p>
          <w:p w:rsidR="00950820" w:rsidRPr="004761E0" w:rsidRDefault="00950820" w:rsidP="00431835">
            <w:pPr>
              <w:ind w:firstLine="567"/>
              <w:rPr>
                <w:sz w:val="20"/>
                <w:szCs w:val="20"/>
              </w:rPr>
            </w:pPr>
            <w:r w:rsidRPr="004761E0">
              <w:rPr>
                <w:sz w:val="20"/>
                <w:szCs w:val="20"/>
              </w:rPr>
              <w:t xml:space="preserve">Удовлетворены регрессные иски на сумму 60,6 </w:t>
            </w:r>
            <w:proofErr w:type="gramStart"/>
            <w:r w:rsidR="0008080E">
              <w:rPr>
                <w:sz w:val="20"/>
                <w:szCs w:val="20"/>
              </w:rPr>
              <w:t>млн</w:t>
            </w:r>
            <w:proofErr w:type="gramEnd"/>
            <w:r w:rsidRPr="004761E0">
              <w:rPr>
                <w:sz w:val="20"/>
                <w:szCs w:val="20"/>
              </w:rPr>
              <w:t xml:space="preserve"> руб. Фактически взыскано по исполнительным листам 30,49 </w:t>
            </w:r>
            <w:r w:rsidR="0008080E">
              <w:rPr>
                <w:sz w:val="20"/>
                <w:szCs w:val="20"/>
              </w:rPr>
              <w:t>млн</w:t>
            </w:r>
            <w:r w:rsidRPr="004761E0">
              <w:rPr>
                <w:sz w:val="20"/>
                <w:szCs w:val="20"/>
              </w:rPr>
              <w:t xml:space="preserve"> руб. Остальные иски находятся на рассмотрении судов. </w:t>
            </w:r>
          </w:p>
          <w:p w:rsidR="00950820" w:rsidRPr="004761E0" w:rsidRDefault="00950820" w:rsidP="00431835">
            <w:pPr>
              <w:ind w:firstLine="567"/>
              <w:rPr>
                <w:sz w:val="20"/>
                <w:szCs w:val="20"/>
              </w:rPr>
            </w:pPr>
            <w:r w:rsidRPr="004761E0">
              <w:rPr>
                <w:sz w:val="20"/>
                <w:szCs w:val="20"/>
              </w:rPr>
              <w:t xml:space="preserve">Проводятся переговоры по вопросу добровольного урегулирования ситуации с дебиторской задолженностью. Решением Совета директоров </w:t>
            </w:r>
            <w:r w:rsidR="0008080E">
              <w:rPr>
                <w:sz w:val="20"/>
                <w:szCs w:val="20"/>
              </w:rPr>
              <w:t>ОАО </w:t>
            </w:r>
            <w:r w:rsidRPr="004761E0">
              <w:rPr>
                <w:sz w:val="20"/>
                <w:szCs w:val="20"/>
              </w:rPr>
              <w:t xml:space="preserve">«МОЭСК» от 30.12.2013 одобрено подписание актов сдачи-приемки услуг с </w:t>
            </w:r>
            <w:r w:rsidR="0008080E">
              <w:rPr>
                <w:sz w:val="20"/>
                <w:szCs w:val="20"/>
              </w:rPr>
              <w:t>ОАО </w:t>
            </w:r>
            <w:r w:rsidRPr="004761E0">
              <w:rPr>
                <w:sz w:val="20"/>
                <w:szCs w:val="20"/>
              </w:rPr>
              <w:t xml:space="preserve">«ОЭК» на общую сумму 396,05 </w:t>
            </w:r>
            <w:proofErr w:type="gramStart"/>
            <w:r w:rsidR="0008080E">
              <w:rPr>
                <w:sz w:val="20"/>
                <w:szCs w:val="20"/>
              </w:rPr>
              <w:t>млн</w:t>
            </w:r>
            <w:proofErr w:type="gramEnd"/>
            <w:r w:rsidRPr="004761E0">
              <w:rPr>
                <w:sz w:val="20"/>
                <w:szCs w:val="20"/>
              </w:rPr>
              <w:t xml:space="preserve"> руб. </w:t>
            </w:r>
          </w:p>
        </w:tc>
      </w:tr>
      <w:tr w:rsidR="00950820" w:rsidRPr="004761E0" w:rsidTr="008153DE">
        <w:tc>
          <w:tcPr>
            <w:tcW w:w="553" w:type="dxa"/>
            <w:tcBorders>
              <w:top w:val="single" w:sz="4" w:space="0" w:color="auto"/>
              <w:right w:val="nil"/>
            </w:tcBorders>
          </w:tcPr>
          <w:p w:rsidR="00950820" w:rsidRPr="004761E0" w:rsidRDefault="00950820" w:rsidP="007076A7">
            <w:pPr>
              <w:pStyle w:val="14"/>
              <w:numPr>
                <w:ilvl w:val="0"/>
                <w:numId w:val="53"/>
              </w:numPr>
              <w:ind w:left="34" w:firstLine="0"/>
              <w:rPr>
                <w:sz w:val="20"/>
                <w:szCs w:val="20"/>
              </w:rPr>
            </w:pPr>
          </w:p>
        </w:tc>
        <w:tc>
          <w:tcPr>
            <w:tcW w:w="2499" w:type="dxa"/>
            <w:tcBorders>
              <w:top w:val="single" w:sz="4" w:space="0" w:color="auto"/>
              <w:left w:val="nil"/>
              <w:right w:val="nil"/>
            </w:tcBorders>
          </w:tcPr>
          <w:p w:rsidR="00950820" w:rsidRPr="004761E0" w:rsidRDefault="0008080E" w:rsidP="000F32FF">
            <w:pPr>
              <w:ind w:firstLine="0"/>
              <w:rPr>
                <w:b/>
                <w:sz w:val="20"/>
              </w:rPr>
            </w:pPr>
            <w:r>
              <w:rPr>
                <w:b/>
                <w:sz w:val="20"/>
              </w:rPr>
              <w:t>ОАО </w:t>
            </w:r>
            <w:r w:rsidR="00950820" w:rsidRPr="004761E0">
              <w:rPr>
                <w:b/>
                <w:sz w:val="20"/>
              </w:rPr>
              <w:t>«Мосэнерго»</w:t>
            </w:r>
          </w:p>
        </w:tc>
        <w:tc>
          <w:tcPr>
            <w:tcW w:w="6978" w:type="dxa"/>
            <w:tcBorders>
              <w:top w:val="single" w:sz="4" w:space="0" w:color="auto"/>
              <w:left w:val="nil"/>
            </w:tcBorders>
          </w:tcPr>
          <w:p w:rsidR="00950820" w:rsidRPr="004761E0" w:rsidRDefault="00950820" w:rsidP="00431835">
            <w:pPr>
              <w:ind w:firstLine="567"/>
              <w:rPr>
                <w:sz w:val="20"/>
                <w:szCs w:val="20"/>
              </w:rPr>
            </w:pPr>
            <w:r w:rsidRPr="004761E0">
              <w:rPr>
                <w:sz w:val="20"/>
                <w:szCs w:val="20"/>
              </w:rPr>
              <w:t xml:space="preserve">В Арбитражный суд г. Москвы подано 19 регрессных исков к </w:t>
            </w:r>
            <w:r w:rsidR="0008080E">
              <w:rPr>
                <w:sz w:val="20"/>
                <w:szCs w:val="20"/>
              </w:rPr>
              <w:t>ОАО </w:t>
            </w:r>
            <w:r w:rsidRPr="004761E0">
              <w:rPr>
                <w:sz w:val="20"/>
                <w:szCs w:val="20"/>
              </w:rPr>
              <w:t xml:space="preserve">«Мосэнерго» в связи с расторжением потребителями договоров на </w:t>
            </w:r>
            <w:r w:rsidRPr="004761E0">
              <w:rPr>
                <w:sz w:val="20"/>
                <w:szCs w:val="20"/>
              </w:rPr>
              <w:lastRenderedPageBreak/>
              <w:t xml:space="preserve">осуществление технологического присоединения на общую сумму 14,8 </w:t>
            </w:r>
            <w:proofErr w:type="gramStart"/>
            <w:r w:rsidRPr="004761E0">
              <w:rPr>
                <w:sz w:val="20"/>
                <w:szCs w:val="20"/>
              </w:rPr>
              <w:t>млн</w:t>
            </w:r>
            <w:proofErr w:type="gramEnd"/>
            <w:r w:rsidRPr="004761E0">
              <w:rPr>
                <w:sz w:val="20"/>
                <w:szCs w:val="20"/>
              </w:rPr>
              <w:t xml:space="preserve"> руб. </w:t>
            </w:r>
          </w:p>
          <w:p w:rsidR="00950820" w:rsidRPr="004761E0" w:rsidRDefault="00950820" w:rsidP="00431835">
            <w:pPr>
              <w:ind w:firstLine="567"/>
              <w:rPr>
                <w:sz w:val="20"/>
                <w:szCs w:val="20"/>
              </w:rPr>
            </w:pPr>
            <w:r w:rsidRPr="004761E0">
              <w:rPr>
                <w:sz w:val="20"/>
                <w:szCs w:val="20"/>
              </w:rPr>
              <w:t xml:space="preserve">Удовлетворены регрессные иски на сумму 5,42 </w:t>
            </w:r>
            <w:proofErr w:type="gramStart"/>
            <w:r w:rsidRPr="004761E0">
              <w:rPr>
                <w:sz w:val="20"/>
                <w:szCs w:val="20"/>
              </w:rPr>
              <w:t>млн</w:t>
            </w:r>
            <w:proofErr w:type="gramEnd"/>
            <w:r w:rsidRPr="004761E0">
              <w:rPr>
                <w:sz w:val="20"/>
                <w:szCs w:val="20"/>
              </w:rPr>
              <w:t xml:space="preserve"> руб. Фактически взыскано по исполнительным листам 5,63 млн руб. Остальные иски находятся на рассмотрении судов. </w:t>
            </w:r>
          </w:p>
        </w:tc>
      </w:tr>
    </w:tbl>
    <w:p w:rsidR="00950820" w:rsidRPr="004761E0" w:rsidDel="00DA6FBD" w:rsidRDefault="00950820" w:rsidP="002B067C">
      <w:pPr>
        <w:pStyle w:val="ac"/>
        <w:ind w:firstLine="0"/>
      </w:pPr>
      <w:r w:rsidRPr="004761E0">
        <w:rPr>
          <w:noProof/>
          <w:lang w:eastAsia="ru-RU"/>
        </w:rPr>
        <w:lastRenderedPageBreak/>
        <w:drawing>
          <wp:inline distT="0" distB="0" distL="0" distR="0">
            <wp:extent cx="2989580" cy="3093085"/>
            <wp:effectExtent l="0" t="0" r="0" b="0"/>
            <wp:docPr id="2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447B7C" w:rsidRPr="004761E0">
        <w:rPr>
          <w:noProof/>
          <w:lang w:eastAsia="ru-RU"/>
        </w:rPr>
        <w:t xml:space="preserve"> </w:t>
      </w:r>
      <w:r w:rsidR="00447B7C" w:rsidRPr="004761E0">
        <w:rPr>
          <w:noProof/>
          <w:lang w:eastAsia="ru-RU"/>
        </w:rPr>
        <w:drawing>
          <wp:inline distT="0" distB="0" distL="0" distR="0">
            <wp:extent cx="2941955" cy="3093085"/>
            <wp:effectExtent l="0" t="0" r="0" b="0"/>
            <wp:docPr id="2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50820" w:rsidRPr="004761E0" w:rsidRDefault="00950820" w:rsidP="00431835">
      <w:pPr>
        <w:ind w:firstLine="567"/>
        <w:rPr>
          <w:sz w:val="26"/>
          <w:szCs w:val="26"/>
        </w:rPr>
      </w:pPr>
      <w:r w:rsidRPr="004761E0">
        <w:rPr>
          <w:sz w:val="26"/>
          <w:szCs w:val="26"/>
        </w:rPr>
        <w:t>В результате проведенных мероприятий дебиторская задолженность участников «Одного окна» снизилась на 0,</w:t>
      </w:r>
      <w:r w:rsidR="001B324F">
        <w:rPr>
          <w:sz w:val="26"/>
          <w:szCs w:val="26"/>
        </w:rPr>
        <w:t>7</w:t>
      </w:r>
      <w:r w:rsidRPr="004761E0">
        <w:rPr>
          <w:sz w:val="26"/>
          <w:szCs w:val="26"/>
        </w:rPr>
        <w:t xml:space="preserve"> % и по состоянию на 31.12.2013 составила 21,6 </w:t>
      </w:r>
      <w:proofErr w:type="gramStart"/>
      <w:r w:rsidRPr="004761E0">
        <w:rPr>
          <w:sz w:val="26"/>
          <w:szCs w:val="26"/>
        </w:rPr>
        <w:t>млрд</w:t>
      </w:r>
      <w:proofErr w:type="gramEnd"/>
      <w:r w:rsidRPr="004761E0">
        <w:rPr>
          <w:sz w:val="26"/>
          <w:szCs w:val="26"/>
        </w:rPr>
        <w:t xml:space="preserve"> руб. Большая часть дебиторской задолженности как и ранее приходится на </w:t>
      </w:r>
      <w:r w:rsidR="0008080E">
        <w:rPr>
          <w:sz w:val="26"/>
          <w:szCs w:val="26"/>
        </w:rPr>
        <w:t>ОАО </w:t>
      </w:r>
      <w:r w:rsidRPr="004761E0">
        <w:rPr>
          <w:sz w:val="26"/>
          <w:szCs w:val="26"/>
        </w:rPr>
        <w:t xml:space="preserve">«Энергокомплекс». </w:t>
      </w:r>
    </w:p>
    <w:p w:rsidR="00D52FA5" w:rsidRPr="00B20C95" w:rsidRDefault="00D52FA5" w:rsidP="00B20C95">
      <w:pPr>
        <w:spacing w:before="120" w:after="120"/>
        <w:ind w:firstLine="567"/>
        <w:rPr>
          <w:b/>
          <w:sz w:val="26"/>
          <w:szCs w:val="26"/>
          <w:lang w:eastAsia="ru-RU"/>
        </w:rPr>
      </w:pPr>
      <w:r w:rsidRPr="00B20C95">
        <w:rPr>
          <w:b/>
          <w:sz w:val="26"/>
          <w:szCs w:val="26"/>
          <w:lang w:eastAsia="ru-RU"/>
        </w:rPr>
        <w:t>Внедрение системы управления производственными активами в Обществе</w:t>
      </w:r>
    </w:p>
    <w:p w:rsidR="00E15981" w:rsidRPr="004761E0" w:rsidRDefault="00E15981" w:rsidP="00E15981">
      <w:pPr>
        <w:ind w:firstLine="567"/>
        <w:rPr>
          <w:sz w:val="26"/>
          <w:szCs w:val="26"/>
        </w:rPr>
      </w:pPr>
      <w:r w:rsidRPr="004761E0">
        <w:rPr>
          <w:sz w:val="26"/>
          <w:szCs w:val="26"/>
        </w:rPr>
        <w:t>Основной целью данного проекта является создание эффективной системы планирования, контроля процессов технического обслуживания, ремонта и реконструкции оборудования 0,4-500 кВ</w:t>
      </w:r>
      <w:r w:rsidRPr="004761E0" w:rsidDel="00C9718F">
        <w:rPr>
          <w:sz w:val="26"/>
          <w:szCs w:val="26"/>
        </w:rPr>
        <w:t xml:space="preserve"> </w:t>
      </w:r>
      <w:r w:rsidRPr="004761E0">
        <w:rPr>
          <w:sz w:val="26"/>
          <w:szCs w:val="26"/>
        </w:rPr>
        <w:t xml:space="preserve">путем внедрения соответствующего программного обеспечения на основании систем </w:t>
      </w:r>
      <w:r w:rsidRPr="004761E0">
        <w:rPr>
          <w:sz w:val="26"/>
          <w:szCs w:val="26"/>
          <w:lang w:val="en-US"/>
        </w:rPr>
        <w:t>ERP</w:t>
      </w:r>
      <w:r w:rsidRPr="004761E0">
        <w:rPr>
          <w:sz w:val="26"/>
          <w:szCs w:val="26"/>
        </w:rPr>
        <w:t xml:space="preserve"> (Enterprise Resource Planning, планирование ресурсов предприятия).</w:t>
      </w:r>
    </w:p>
    <w:p w:rsidR="00E15981" w:rsidRPr="004761E0" w:rsidRDefault="00E15981" w:rsidP="00E15981">
      <w:pPr>
        <w:ind w:firstLine="567"/>
        <w:rPr>
          <w:sz w:val="26"/>
          <w:szCs w:val="26"/>
        </w:rPr>
      </w:pPr>
      <w:r w:rsidRPr="004761E0">
        <w:rPr>
          <w:sz w:val="26"/>
          <w:szCs w:val="26"/>
        </w:rPr>
        <w:t>Внедрение системы управления производственными активами позволит достичь следующих результатов:</w:t>
      </w:r>
    </w:p>
    <w:p w:rsidR="00E15981" w:rsidRPr="004761E0" w:rsidRDefault="00E15981" w:rsidP="007076A7">
      <w:pPr>
        <w:pStyle w:val="a5"/>
        <w:numPr>
          <w:ilvl w:val="0"/>
          <w:numId w:val="256"/>
        </w:numPr>
        <w:ind w:left="1134" w:hanging="567"/>
        <w:contextualSpacing w:val="0"/>
        <w:rPr>
          <w:sz w:val="26"/>
          <w:szCs w:val="26"/>
        </w:rPr>
      </w:pPr>
      <w:r w:rsidRPr="004761E0">
        <w:rPr>
          <w:bCs/>
          <w:sz w:val="26"/>
          <w:szCs w:val="26"/>
        </w:rPr>
        <w:t>снижение объема недоотпуска электроэнергии и связанных с ним штрафов за счет р</w:t>
      </w:r>
      <w:r w:rsidRPr="004761E0">
        <w:rPr>
          <w:sz w:val="26"/>
          <w:szCs w:val="26"/>
        </w:rPr>
        <w:t>асстановки приоритетов при формировании программ технического обслуживания и ремонта, реконструкции  (воздействие в первую очередь будет оказываться на оборудование в наихудшем состоянии и с наибольшими последствиями отказа) и  вывода из эксплуатации неэкономичного оборудования;</w:t>
      </w:r>
    </w:p>
    <w:p w:rsidR="00E15981" w:rsidRPr="004761E0" w:rsidRDefault="00E15981" w:rsidP="007076A7">
      <w:pPr>
        <w:pStyle w:val="a5"/>
        <w:numPr>
          <w:ilvl w:val="0"/>
          <w:numId w:val="256"/>
        </w:numPr>
        <w:ind w:left="1134" w:hanging="567"/>
        <w:contextualSpacing w:val="0"/>
        <w:rPr>
          <w:sz w:val="26"/>
          <w:szCs w:val="26"/>
        </w:rPr>
      </w:pPr>
      <w:r w:rsidRPr="004761E0">
        <w:rPr>
          <w:bCs/>
          <w:sz w:val="26"/>
          <w:szCs w:val="26"/>
        </w:rPr>
        <w:t>повышение оперативности выполнения запросов контролирующих организаций за счет предоставления пользователям прямого доступа к параметрам</w:t>
      </w:r>
      <w:r w:rsidRPr="004761E0">
        <w:rPr>
          <w:sz w:val="26"/>
          <w:szCs w:val="26"/>
        </w:rPr>
        <w:t xml:space="preserve"> технического состояния оборудования, его паспортным данным.</w:t>
      </w:r>
    </w:p>
    <w:p w:rsidR="00D52FA5" w:rsidRPr="004761E0" w:rsidRDefault="00D52FA5" w:rsidP="00E15981">
      <w:pPr>
        <w:ind w:firstLine="567"/>
        <w:rPr>
          <w:sz w:val="26"/>
          <w:szCs w:val="26"/>
        </w:rPr>
      </w:pPr>
      <w:r w:rsidRPr="004761E0">
        <w:rPr>
          <w:sz w:val="26"/>
          <w:szCs w:val="26"/>
        </w:rPr>
        <w:t>В 2013</w:t>
      </w:r>
      <w:r w:rsidR="00513D8E" w:rsidRPr="004761E0">
        <w:rPr>
          <w:sz w:val="26"/>
          <w:szCs w:val="26"/>
        </w:rPr>
        <w:t xml:space="preserve"> </w:t>
      </w:r>
      <w:r w:rsidRPr="004761E0">
        <w:rPr>
          <w:sz w:val="26"/>
          <w:szCs w:val="26"/>
        </w:rPr>
        <w:t>г</w:t>
      </w:r>
      <w:r w:rsidR="00513D8E" w:rsidRPr="004761E0">
        <w:rPr>
          <w:sz w:val="26"/>
          <w:szCs w:val="26"/>
        </w:rPr>
        <w:t>од</w:t>
      </w:r>
      <w:r w:rsidRPr="004761E0">
        <w:rPr>
          <w:sz w:val="26"/>
          <w:szCs w:val="26"/>
        </w:rPr>
        <w:t xml:space="preserve"> завершен первый этап проекта «Управление производственными активами 0,4-220 кВ». В течение года создана база данных, в которую занесены паспортные и эксплуатационные характеристики, рассчитаны индексы фактического состояния оборудования. Ремонтная программа 2014</w:t>
      </w:r>
      <w:r w:rsidR="00513D8E" w:rsidRPr="004761E0">
        <w:rPr>
          <w:sz w:val="26"/>
          <w:szCs w:val="26"/>
        </w:rPr>
        <w:t xml:space="preserve"> </w:t>
      </w:r>
      <w:r w:rsidRPr="004761E0">
        <w:rPr>
          <w:sz w:val="26"/>
          <w:szCs w:val="26"/>
        </w:rPr>
        <w:t>г</w:t>
      </w:r>
      <w:r w:rsidR="00513D8E" w:rsidRPr="004761E0">
        <w:rPr>
          <w:sz w:val="26"/>
          <w:szCs w:val="26"/>
        </w:rPr>
        <w:t>од</w:t>
      </w:r>
      <w:r w:rsidRPr="004761E0">
        <w:rPr>
          <w:sz w:val="26"/>
          <w:szCs w:val="26"/>
        </w:rPr>
        <w:t xml:space="preserve"> разработана с учетом результатов оценки технического состояния и последствий отказа в работе элементов сетей</w:t>
      </w:r>
      <w:r w:rsidR="00513D8E" w:rsidRPr="004761E0">
        <w:rPr>
          <w:sz w:val="26"/>
          <w:szCs w:val="26"/>
        </w:rPr>
        <w:t>.</w:t>
      </w:r>
    </w:p>
    <w:p w:rsidR="00D52FA5" w:rsidRPr="004761E0" w:rsidRDefault="00D52FA5" w:rsidP="00E15981">
      <w:pPr>
        <w:ind w:firstLine="567"/>
        <w:rPr>
          <w:sz w:val="26"/>
          <w:szCs w:val="26"/>
        </w:rPr>
      </w:pPr>
      <w:r w:rsidRPr="004761E0">
        <w:rPr>
          <w:sz w:val="26"/>
          <w:szCs w:val="26"/>
        </w:rPr>
        <w:lastRenderedPageBreak/>
        <w:t>К 2017</w:t>
      </w:r>
      <w:r w:rsidR="00513D8E" w:rsidRPr="004761E0">
        <w:rPr>
          <w:sz w:val="26"/>
          <w:szCs w:val="26"/>
        </w:rPr>
        <w:t xml:space="preserve"> </w:t>
      </w:r>
      <w:r w:rsidRPr="004761E0">
        <w:rPr>
          <w:sz w:val="26"/>
          <w:szCs w:val="26"/>
        </w:rPr>
        <w:t>г</w:t>
      </w:r>
      <w:r w:rsidR="00513D8E" w:rsidRPr="004761E0">
        <w:rPr>
          <w:sz w:val="26"/>
          <w:szCs w:val="26"/>
        </w:rPr>
        <w:t>од</w:t>
      </w:r>
      <w:r w:rsidR="00E15981" w:rsidRPr="004761E0">
        <w:rPr>
          <w:sz w:val="26"/>
          <w:szCs w:val="26"/>
        </w:rPr>
        <w:t>у</w:t>
      </w:r>
      <w:r w:rsidRPr="004761E0">
        <w:rPr>
          <w:sz w:val="26"/>
          <w:szCs w:val="26"/>
        </w:rPr>
        <w:t xml:space="preserve"> </w:t>
      </w:r>
      <w:r w:rsidR="00E15981" w:rsidRPr="004761E0">
        <w:rPr>
          <w:sz w:val="26"/>
          <w:szCs w:val="26"/>
        </w:rPr>
        <w:t xml:space="preserve">совместно с </w:t>
      </w:r>
      <w:r w:rsidR="0008080E">
        <w:rPr>
          <w:sz w:val="26"/>
          <w:szCs w:val="26"/>
        </w:rPr>
        <w:t>ОАО </w:t>
      </w:r>
      <w:r w:rsidR="00E15981" w:rsidRPr="004761E0">
        <w:rPr>
          <w:sz w:val="26"/>
          <w:szCs w:val="26"/>
        </w:rPr>
        <w:t xml:space="preserve">«Россети» </w:t>
      </w:r>
      <w:r w:rsidRPr="004761E0">
        <w:rPr>
          <w:sz w:val="26"/>
          <w:szCs w:val="26"/>
        </w:rPr>
        <w:t>планируется создать автоматизированный комплекс анализа вложенных средств с учетом показателей надежности, фактического технического состояния, нормативных сроков эксплуатации.</w:t>
      </w:r>
    </w:p>
    <w:p w:rsidR="00C76CC5" w:rsidRPr="004761E0" w:rsidRDefault="001575E8" w:rsidP="00431835">
      <w:pPr>
        <w:spacing w:before="120" w:after="120"/>
        <w:ind w:firstLine="567"/>
        <w:rPr>
          <w:b/>
          <w:sz w:val="26"/>
          <w:szCs w:val="26"/>
          <w:lang w:eastAsia="ru-RU"/>
        </w:rPr>
      </w:pPr>
      <w:r w:rsidRPr="004761E0">
        <w:rPr>
          <w:b/>
          <w:sz w:val="26"/>
          <w:szCs w:val="26"/>
          <w:lang w:eastAsia="ru-RU"/>
        </w:rPr>
        <w:t xml:space="preserve">Фиксация данных максимальной разрешенной мощности ранее присоединенных потребителей к </w:t>
      </w:r>
      <w:r w:rsidR="00C76CC5" w:rsidRPr="004761E0">
        <w:rPr>
          <w:b/>
          <w:sz w:val="26"/>
          <w:szCs w:val="26"/>
          <w:lang w:eastAsia="ru-RU"/>
        </w:rPr>
        <w:t xml:space="preserve">электрическим сетям </w:t>
      </w:r>
      <w:r w:rsidR="0008080E">
        <w:rPr>
          <w:b/>
          <w:sz w:val="26"/>
          <w:szCs w:val="26"/>
          <w:lang w:eastAsia="ru-RU"/>
        </w:rPr>
        <w:t>ОАО </w:t>
      </w:r>
      <w:r w:rsidR="00C76CC5" w:rsidRPr="004761E0">
        <w:rPr>
          <w:b/>
          <w:sz w:val="26"/>
          <w:szCs w:val="26"/>
          <w:lang w:eastAsia="ru-RU"/>
        </w:rPr>
        <w:t>«МОЭСК»</w:t>
      </w:r>
    </w:p>
    <w:p w:rsidR="00E71430" w:rsidRPr="004761E0" w:rsidRDefault="00E71430" w:rsidP="00E71430">
      <w:pPr>
        <w:ind w:firstLine="567"/>
        <w:rPr>
          <w:sz w:val="26"/>
          <w:szCs w:val="26"/>
        </w:rPr>
      </w:pPr>
      <w:proofErr w:type="gramStart"/>
      <w:r w:rsidRPr="004761E0">
        <w:rPr>
          <w:sz w:val="26"/>
          <w:szCs w:val="26"/>
        </w:rPr>
        <w:t xml:space="preserve">Проводить работы по фиксации максимальной разрешенной мощности сетевую организацию обязывают </w:t>
      </w:r>
      <w:r w:rsidR="00C94651" w:rsidRPr="004761E0">
        <w:rPr>
          <w:sz w:val="26"/>
          <w:szCs w:val="26"/>
        </w:rPr>
        <w:t>О</w:t>
      </w:r>
      <w:r w:rsidRPr="004761E0">
        <w:rPr>
          <w:sz w:val="26"/>
          <w:szCs w:val="26"/>
        </w:rPr>
        <w:t>сновные положения функционирования розничных рынков</w:t>
      </w:r>
      <w:r w:rsidR="00C94651" w:rsidRPr="004761E0">
        <w:rPr>
          <w:sz w:val="26"/>
          <w:szCs w:val="26"/>
        </w:rPr>
        <w:t xml:space="preserve"> электрической энергии</w:t>
      </w:r>
      <w:r w:rsidRPr="006F4AB8">
        <w:rPr>
          <w:rStyle w:val="af1"/>
        </w:rPr>
        <w:footnoteReference w:id="25"/>
      </w:r>
      <w:r w:rsidRPr="004761E0">
        <w:rPr>
          <w:sz w:val="26"/>
          <w:szCs w:val="26"/>
        </w:rPr>
        <w:t xml:space="preserve">, а также Правила недискриминационного доступа к услугам по передаче </w:t>
      </w:r>
      <w:r w:rsidR="00C94651" w:rsidRPr="004761E0">
        <w:rPr>
          <w:sz w:val="26"/>
          <w:szCs w:val="26"/>
        </w:rPr>
        <w:t>электроэнергии  и оказания этих услуг</w:t>
      </w:r>
      <w:r w:rsidR="00C94651" w:rsidRPr="006F4AB8">
        <w:rPr>
          <w:rStyle w:val="af1"/>
        </w:rPr>
        <w:footnoteReference w:id="26"/>
      </w:r>
      <w:r w:rsidRPr="004761E0">
        <w:rPr>
          <w:sz w:val="26"/>
          <w:szCs w:val="26"/>
        </w:rPr>
        <w:t xml:space="preserve">, в соответствии с которыми величина максимальной мощности, распределенная по точкам поставки, является существенным условием договоров оказания услуг по передаче </w:t>
      </w:r>
      <w:r w:rsidR="00C94651" w:rsidRPr="004761E0">
        <w:rPr>
          <w:sz w:val="26"/>
          <w:szCs w:val="26"/>
        </w:rPr>
        <w:t>электроэнергии (</w:t>
      </w:r>
      <w:r w:rsidRPr="004761E0">
        <w:rPr>
          <w:sz w:val="26"/>
          <w:szCs w:val="26"/>
        </w:rPr>
        <w:t>это величина</w:t>
      </w:r>
      <w:r w:rsidR="00866876" w:rsidRPr="004761E0">
        <w:rPr>
          <w:sz w:val="26"/>
          <w:szCs w:val="26"/>
        </w:rPr>
        <w:t>,</w:t>
      </w:r>
      <w:r w:rsidRPr="004761E0">
        <w:rPr>
          <w:sz w:val="26"/>
          <w:szCs w:val="26"/>
        </w:rPr>
        <w:t xml:space="preserve"> в пределах которой сетевая организация принимает на</w:t>
      </w:r>
      <w:proofErr w:type="gramEnd"/>
      <w:r w:rsidRPr="004761E0">
        <w:rPr>
          <w:sz w:val="26"/>
          <w:szCs w:val="26"/>
        </w:rPr>
        <w:t xml:space="preserve"> се</w:t>
      </w:r>
      <w:r w:rsidR="00C94651" w:rsidRPr="004761E0">
        <w:rPr>
          <w:sz w:val="26"/>
          <w:szCs w:val="26"/>
        </w:rPr>
        <w:t>бя обязательства по передаче электроэнергии).</w:t>
      </w:r>
    </w:p>
    <w:p w:rsidR="00E71430" w:rsidRPr="004761E0" w:rsidRDefault="00E71430" w:rsidP="00E71430">
      <w:pPr>
        <w:ind w:firstLine="567"/>
        <w:rPr>
          <w:sz w:val="26"/>
          <w:szCs w:val="26"/>
        </w:rPr>
      </w:pPr>
      <w:r w:rsidRPr="004761E0">
        <w:rPr>
          <w:sz w:val="26"/>
          <w:szCs w:val="26"/>
        </w:rPr>
        <w:t xml:space="preserve">В целях выявления, определения и рационального использования величины мощности объектов электросетевого хозяйства </w:t>
      </w:r>
      <w:r w:rsidR="00866876" w:rsidRPr="004761E0">
        <w:rPr>
          <w:sz w:val="26"/>
          <w:szCs w:val="26"/>
        </w:rPr>
        <w:t>сетевая организация</w:t>
      </w:r>
      <w:r w:rsidR="00C94651" w:rsidRPr="004761E0">
        <w:rPr>
          <w:sz w:val="26"/>
          <w:szCs w:val="26"/>
        </w:rPr>
        <w:t xml:space="preserve"> </w:t>
      </w:r>
      <w:r w:rsidRPr="004761E0">
        <w:rPr>
          <w:bCs/>
          <w:sz w:val="26"/>
          <w:szCs w:val="26"/>
        </w:rPr>
        <w:t>также</w:t>
      </w:r>
      <w:r w:rsidRPr="004761E0">
        <w:rPr>
          <w:sz w:val="26"/>
          <w:szCs w:val="26"/>
        </w:rPr>
        <w:t xml:space="preserve"> обязана осуществлять учет фактически используемой и резервируемой мощности в отношении потребителей, максимальная мощность энергопринимающих </w:t>
      </w:r>
      <w:proofErr w:type="gramStart"/>
      <w:r w:rsidRPr="004761E0">
        <w:rPr>
          <w:sz w:val="26"/>
          <w:szCs w:val="26"/>
        </w:rPr>
        <w:t>устройств</w:t>
      </w:r>
      <w:proofErr w:type="gramEnd"/>
      <w:r w:rsidRPr="004761E0">
        <w:rPr>
          <w:sz w:val="26"/>
          <w:szCs w:val="26"/>
        </w:rPr>
        <w:t xml:space="preserve"> в границах балансовой принадлежности которых составляет не менее 670 кВт.</w:t>
      </w:r>
    </w:p>
    <w:p w:rsidR="00E71430" w:rsidRPr="004761E0" w:rsidRDefault="00E71430" w:rsidP="00E71430">
      <w:pPr>
        <w:ind w:firstLine="567"/>
        <w:rPr>
          <w:sz w:val="26"/>
          <w:szCs w:val="26"/>
        </w:rPr>
      </w:pPr>
      <w:r w:rsidRPr="004761E0">
        <w:rPr>
          <w:sz w:val="26"/>
          <w:szCs w:val="26"/>
        </w:rPr>
        <w:t xml:space="preserve">Во исполнение указанных выше обязательств </w:t>
      </w:r>
      <w:r w:rsidR="00866876" w:rsidRPr="004761E0">
        <w:rPr>
          <w:sz w:val="26"/>
          <w:szCs w:val="26"/>
        </w:rPr>
        <w:t xml:space="preserve">в Обществе </w:t>
      </w:r>
      <w:r w:rsidRPr="004761E0">
        <w:rPr>
          <w:sz w:val="26"/>
          <w:szCs w:val="26"/>
        </w:rPr>
        <w:t>организована работа по фиксации максимальной мощности по всем категориям потребителей и расчету величины резервируемой мощности потребителей с максимальной разрешенной мощностью свыше 670</w:t>
      </w:r>
      <w:r w:rsidR="00866876" w:rsidRPr="004761E0">
        <w:rPr>
          <w:sz w:val="26"/>
          <w:szCs w:val="26"/>
        </w:rPr>
        <w:t xml:space="preserve"> </w:t>
      </w:r>
      <w:r w:rsidRPr="004761E0">
        <w:rPr>
          <w:sz w:val="26"/>
          <w:szCs w:val="26"/>
        </w:rPr>
        <w:t>кВт.</w:t>
      </w:r>
      <w:r w:rsidR="00866876" w:rsidRPr="004761E0">
        <w:rPr>
          <w:sz w:val="26"/>
          <w:szCs w:val="26"/>
        </w:rPr>
        <w:t xml:space="preserve"> Мероприятия в данном направлении с мая 2012 года</w:t>
      </w:r>
      <w:r w:rsidRPr="004761E0">
        <w:rPr>
          <w:sz w:val="26"/>
          <w:szCs w:val="26"/>
        </w:rPr>
        <w:t xml:space="preserve"> </w:t>
      </w:r>
      <w:r w:rsidR="00866876" w:rsidRPr="004761E0">
        <w:rPr>
          <w:sz w:val="26"/>
          <w:szCs w:val="26"/>
        </w:rPr>
        <w:t xml:space="preserve">выполнял </w:t>
      </w:r>
      <w:r w:rsidRPr="004761E0">
        <w:rPr>
          <w:sz w:val="26"/>
          <w:szCs w:val="26"/>
        </w:rPr>
        <w:t>Департамент коммерческого учета</w:t>
      </w:r>
      <w:r w:rsidR="00866876" w:rsidRPr="004761E0">
        <w:rPr>
          <w:sz w:val="26"/>
          <w:szCs w:val="26"/>
        </w:rPr>
        <w:t xml:space="preserve">, с </w:t>
      </w:r>
      <w:r w:rsidRPr="004761E0">
        <w:rPr>
          <w:sz w:val="26"/>
          <w:szCs w:val="26"/>
        </w:rPr>
        <w:t>июн</w:t>
      </w:r>
      <w:r w:rsidR="00866876" w:rsidRPr="004761E0">
        <w:rPr>
          <w:sz w:val="26"/>
          <w:szCs w:val="26"/>
        </w:rPr>
        <w:t>я</w:t>
      </w:r>
      <w:r w:rsidRPr="004761E0">
        <w:rPr>
          <w:sz w:val="26"/>
          <w:szCs w:val="26"/>
        </w:rPr>
        <w:t xml:space="preserve"> 2013 года </w:t>
      </w:r>
      <w:r w:rsidR="00866876" w:rsidRPr="004761E0">
        <w:rPr>
          <w:sz w:val="26"/>
          <w:szCs w:val="26"/>
        </w:rPr>
        <w:t xml:space="preserve">(момента создания нового филиала) – филиал Энергоучет. </w:t>
      </w:r>
    </w:p>
    <w:p w:rsidR="00C76CC5" w:rsidRPr="004761E0" w:rsidRDefault="00C76CC5" w:rsidP="00C94651">
      <w:pPr>
        <w:ind w:firstLine="567"/>
        <w:rPr>
          <w:sz w:val="26"/>
          <w:szCs w:val="26"/>
          <w:lang w:eastAsia="ru-RU"/>
        </w:rPr>
      </w:pPr>
      <w:r w:rsidRPr="004761E0">
        <w:rPr>
          <w:sz w:val="26"/>
          <w:szCs w:val="26"/>
          <w:lang w:eastAsia="ru-RU"/>
        </w:rPr>
        <w:t xml:space="preserve">В течение 2012-2013 гг. филиалом «Энергоучет» </w:t>
      </w:r>
      <w:r w:rsidR="00C94651" w:rsidRPr="004761E0">
        <w:rPr>
          <w:sz w:val="26"/>
          <w:szCs w:val="26"/>
          <w:lang w:eastAsia="ru-RU"/>
        </w:rPr>
        <w:t xml:space="preserve">(до июня 2013 года – Департаментом коммерческого учета) </w:t>
      </w:r>
      <w:r w:rsidRPr="004761E0">
        <w:rPr>
          <w:sz w:val="26"/>
          <w:szCs w:val="26"/>
          <w:lang w:eastAsia="ru-RU"/>
        </w:rPr>
        <w:t xml:space="preserve">с привлечением сетевых филиалов Общества </w:t>
      </w:r>
      <w:r w:rsidR="00CA110D" w:rsidRPr="004761E0">
        <w:rPr>
          <w:sz w:val="26"/>
          <w:szCs w:val="26"/>
          <w:lang w:eastAsia="ru-RU"/>
        </w:rPr>
        <w:t>решалась</w:t>
      </w:r>
      <w:r w:rsidRPr="004761E0">
        <w:rPr>
          <w:sz w:val="26"/>
          <w:szCs w:val="26"/>
          <w:lang w:eastAsia="ru-RU"/>
        </w:rPr>
        <w:t xml:space="preserve"> задача по фиксации величины максимальной мощности по всем точкам поставки потребителей</w:t>
      </w:r>
      <w:r w:rsidR="00C94651" w:rsidRPr="004761E0">
        <w:rPr>
          <w:sz w:val="26"/>
          <w:szCs w:val="26"/>
          <w:lang w:eastAsia="ru-RU"/>
        </w:rPr>
        <w:t>.</w:t>
      </w:r>
      <w:r w:rsidR="00CA110D" w:rsidRPr="006F4AB8">
        <w:rPr>
          <w:rStyle w:val="af1"/>
        </w:rPr>
        <w:footnoteReference w:id="27"/>
      </w:r>
    </w:p>
    <w:p w:rsidR="00E71430" w:rsidRPr="004761E0" w:rsidRDefault="00C76CC5" w:rsidP="00431835">
      <w:pPr>
        <w:ind w:firstLine="567"/>
        <w:rPr>
          <w:sz w:val="26"/>
          <w:szCs w:val="26"/>
          <w:lang w:eastAsia="ru-RU"/>
        </w:rPr>
      </w:pPr>
      <w:proofErr w:type="gramStart"/>
      <w:r w:rsidRPr="004761E0">
        <w:rPr>
          <w:sz w:val="26"/>
          <w:szCs w:val="26"/>
          <w:lang w:eastAsia="ru-RU"/>
        </w:rPr>
        <w:t xml:space="preserve">В результате проделанной работы по состоянию на 01.01.2014 завершен ввод в </w:t>
      </w:r>
      <w:r w:rsidR="00C94651" w:rsidRPr="004761E0">
        <w:rPr>
          <w:sz w:val="26"/>
          <w:szCs w:val="26"/>
          <w:lang w:eastAsia="ru-RU"/>
        </w:rPr>
        <w:t>Автоматизированную информационную систему (</w:t>
      </w:r>
      <w:r w:rsidRPr="004761E0">
        <w:rPr>
          <w:sz w:val="26"/>
          <w:szCs w:val="26"/>
          <w:lang w:eastAsia="ru-RU"/>
        </w:rPr>
        <w:t>АИС</w:t>
      </w:r>
      <w:r w:rsidR="00C94651" w:rsidRPr="004761E0">
        <w:rPr>
          <w:sz w:val="26"/>
          <w:szCs w:val="26"/>
          <w:lang w:eastAsia="ru-RU"/>
        </w:rPr>
        <w:t>)</w:t>
      </w:r>
      <w:r w:rsidRPr="004761E0">
        <w:rPr>
          <w:sz w:val="26"/>
          <w:szCs w:val="26"/>
          <w:lang w:eastAsia="ru-RU"/>
        </w:rPr>
        <w:t xml:space="preserve"> «КИС Баланс» зафиксированных значений максимальной мощности по всем точкам поставки электроэнергии потребителей-юридических и приравненных к ним лиц (по потребителям в границах </w:t>
      </w:r>
      <w:r w:rsidR="00C94651" w:rsidRPr="004761E0">
        <w:rPr>
          <w:sz w:val="26"/>
          <w:szCs w:val="26"/>
          <w:lang w:eastAsia="ru-RU"/>
        </w:rPr>
        <w:t xml:space="preserve">филиала </w:t>
      </w:r>
      <w:r w:rsidRPr="004761E0">
        <w:rPr>
          <w:sz w:val="26"/>
          <w:szCs w:val="26"/>
          <w:lang w:eastAsia="ru-RU"/>
        </w:rPr>
        <w:t>МКС сформирован электронный реестр точек поставки с указанием величин максимальной мощности) для использования в расчетах и формировании отчетности.</w:t>
      </w:r>
      <w:proofErr w:type="gramEnd"/>
    </w:p>
    <w:p w:rsidR="00CB55EB" w:rsidRPr="004761E0" w:rsidRDefault="00136A10">
      <w:pPr>
        <w:rPr>
          <w:lang w:eastAsia="ru-RU"/>
        </w:rPr>
      </w:pPr>
      <w:r w:rsidRPr="004761E0">
        <w:rPr>
          <w:lang w:eastAsia="ru-RU"/>
        </w:rPr>
        <w:br w:type="page"/>
      </w:r>
      <w:bookmarkStart w:id="32" w:name="_Toc380576902"/>
    </w:p>
    <w:p w:rsidR="00BC314B" w:rsidRPr="004761E0" w:rsidRDefault="00131054" w:rsidP="007076A7">
      <w:pPr>
        <w:pStyle w:val="a8"/>
        <w:numPr>
          <w:ilvl w:val="1"/>
          <w:numId w:val="321"/>
        </w:numPr>
        <w:spacing w:before="120" w:after="120"/>
        <w:ind w:left="1134" w:hanging="567"/>
        <w:jc w:val="left"/>
        <w:rPr>
          <w:rFonts w:ascii="Times New Roman" w:hAnsi="Times New Roman"/>
          <w:b/>
          <w:sz w:val="26"/>
          <w:szCs w:val="26"/>
        </w:rPr>
      </w:pPr>
      <w:bookmarkStart w:id="33" w:name="_Toc380576903"/>
      <w:bookmarkStart w:id="34" w:name="_Toc385339800"/>
      <w:bookmarkEnd w:id="32"/>
      <w:r w:rsidRPr="004761E0">
        <w:rPr>
          <w:rFonts w:ascii="Times New Roman" w:hAnsi="Times New Roman"/>
          <w:b/>
          <w:sz w:val="26"/>
          <w:szCs w:val="26"/>
        </w:rPr>
        <w:lastRenderedPageBreak/>
        <w:t>Исполнение ключевых показателей эффективности</w:t>
      </w:r>
      <w:bookmarkEnd w:id="33"/>
      <w:bookmarkEnd w:id="34"/>
    </w:p>
    <w:p w:rsidR="007B79B9" w:rsidRPr="00BB1187" w:rsidRDefault="007B79B9" w:rsidP="0050032D">
      <w:pPr>
        <w:ind w:firstLine="567"/>
        <w:rPr>
          <w:lang w:eastAsia="ru-RU"/>
        </w:rPr>
      </w:pPr>
      <w:r w:rsidRPr="00BB1187">
        <w:rPr>
          <w:rFonts w:eastAsia="Times New Roman"/>
          <w:sz w:val="24"/>
          <w:szCs w:val="24"/>
          <w:lang w:eastAsia="ru-RU"/>
        </w:rPr>
        <w:t>По итогам 2013 года утвержденные</w:t>
      </w:r>
      <w:r w:rsidR="0050032D" w:rsidRPr="00BB1187">
        <w:rPr>
          <w:rStyle w:val="af1"/>
        </w:rPr>
        <w:footnoteReference w:id="28"/>
      </w:r>
      <w:r w:rsidRPr="00BB1187">
        <w:rPr>
          <w:rFonts w:eastAsia="Times New Roman"/>
          <w:sz w:val="24"/>
          <w:szCs w:val="24"/>
          <w:lang w:eastAsia="ru-RU"/>
        </w:rPr>
        <w:t xml:space="preserve"> показатели эффективности выполнены.</w:t>
      </w:r>
      <w:r w:rsidRPr="00BB1187">
        <w:rPr>
          <w:lang w:eastAsia="ru-RU"/>
        </w:rPr>
        <w:t xml:space="preserve"> </w:t>
      </w:r>
    </w:p>
    <w:tbl>
      <w:tblPr>
        <w:tblW w:w="10601" w:type="dxa"/>
        <w:tblInd w:w="103" w:type="dxa"/>
        <w:tblLayout w:type="fixed"/>
        <w:tblLook w:val="04A0"/>
      </w:tblPr>
      <w:tblGrid>
        <w:gridCol w:w="576"/>
        <w:gridCol w:w="6277"/>
        <w:gridCol w:w="998"/>
        <w:gridCol w:w="1427"/>
        <w:gridCol w:w="1323"/>
      </w:tblGrid>
      <w:tr w:rsidR="0050032D" w:rsidRPr="004761E0" w:rsidTr="00831EA8">
        <w:trPr>
          <w:trHeight w:val="280"/>
        </w:trPr>
        <w:tc>
          <w:tcPr>
            <w:tcW w:w="576"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tcPr>
          <w:p w:rsidR="0050032D" w:rsidRPr="004761E0" w:rsidRDefault="0050032D" w:rsidP="0050032D">
            <w:pPr>
              <w:ind w:firstLine="0"/>
              <w:jc w:val="left"/>
              <w:rPr>
                <w:rFonts w:eastAsia="Times New Roman"/>
                <w:b/>
                <w:bCs/>
                <w:color w:val="FFFFFF" w:themeColor="background1"/>
                <w:sz w:val="20"/>
                <w:szCs w:val="20"/>
                <w:lang w:eastAsia="ru-RU"/>
              </w:rPr>
            </w:pPr>
            <w:r w:rsidRPr="004761E0">
              <w:rPr>
                <w:rFonts w:eastAsia="Times New Roman"/>
                <w:b/>
                <w:bCs/>
                <w:color w:val="FFFFFF" w:themeColor="background1"/>
                <w:sz w:val="20"/>
                <w:szCs w:val="20"/>
                <w:lang w:eastAsia="ru-RU"/>
              </w:rPr>
              <w:t xml:space="preserve">№ </w:t>
            </w:r>
            <w:proofErr w:type="gramStart"/>
            <w:r w:rsidRPr="004761E0">
              <w:rPr>
                <w:rFonts w:eastAsia="Times New Roman"/>
                <w:b/>
                <w:bCs/>
                <w:color w:val="FFFFFF" w:themeColor="background1"/>
                <w:sz w:val="20"/>
                <w:szCs w:val="20"/>
                <w:lang w:eastAsia="ru-RU"/>
              </w:rPr>
              <w:t>п</w:t>
            </w:r>
            <w:proofErr w:type="gramEnd"/>
            <w:r w:rsidRPr="004761E0">
              <w:rPr>
                <w:rFonts w:eastAsia="Times New Roman"/>
                <w:b/>
                <w:bCs/>
                <w:color w:val="FFFFFF" w:themeColor="background1"/>
                <w:sz w:val="20"/>
                <w:szCs w:val="20"/>
                <w:lang w:eastAsia="ru-RU"/>
              </w:rPr>
              <w:t>/п</w:t>
            </w:r>
          </w:p>
        </w:tc>
        <w:tc>
          <w:tcPr>
            <w:tcW w:w="627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0032D" w:rsidRPr="004761E0" w:rsidRDefault="0050032D" w:rsidP="007B79B9">
            <w:pPr>
              <w:ind w:firstLine="0"/>
              <w:jc w:val="left"/>
              <w:rPr>
                <w:rFonts w:eastAsia="Times New Roman"/>
                <w:b/>
                <w:bCs/>
                <w:color w:val="FFFFFF" w:themeColor="background1"/>
                <w:sz w:val="20"/>
                <w:szCs w:val="20"/>
                <w:lang w:eastAsia="ru-RU"/>
              </w:rPr>
            </w:pPr>
            <w:r w:rsidRPr="004761E0">
              <w:rPr>
                <w:rFonts w:eastAsia="Times New Roman"/>
                <w:b/>
                <w:bCs/>
                <w:color w:val="FFFFFF" w:themeColor="background1"/>
                <w:sz w:val="20"/>
                <w:szCs w:val="20"/>
                <w:lang w:eastAsia="ru-RU"/>
              </w:rPr>
              <w:t>Наименование показателя</w:t>
            </w:r>
          </w:p>
        </w:tc>
        <w:tc>
          <w:tcPr>
            <w:tcW w:w="99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0032D" w:rsidRPr="004761E0" w:rsidRDefault="00831EA8" w:rsidP="00982E55">
            <w:pPr>
              <w:ind w:firstLine="0"/>
              <w:jc w:val="center"/>
              <w:rPr>
                <w:rFonts w:eastAsia="Times New Roman"/>
                <w:b/>
                <w:bCs/>
                <w:color w:val="FFFFFF" w:themeColor="background1"/>
                <w:sz w:val="20"/>
                <w:szCs w:val="20"/>
                <w:lang w:eastAsia="ru-RU"/>
              </w:rPr>
            </w:pPr>
            <w:r w:rsidRPr="004761E0">
              <w:rPr>
                <w:rFonts w:eastAsia="Times New Roman"/>
                <w:b/>
                <w:bCs/>
                <w:color w:val="FFFFFF" w:themeColor="background1"/>
                <w:sz w:val="20"/>
                <w:szCs w:val="20"/>
                <w:lang w:eastAsia="ru-RU"/>
              </w:rPr>
              <w:t>Е</w:t>
            </w:r>
            <w:r w:rsidR="0050032D" w:rsidRPr="004761E0">
              <w:rPr>
                <w:rFonts w:eastAsia="Times New Roman"/>
                <w:b/>
                <w:bCs/>
                <w:color w:val="FFFFFF" w:themeColor="background1"/>
                <w:sz w:val="20"/>
                <w:szCs w:val="20"/>
                <w:lang w:eastAsia="ru-RU"/>
              </w:rPr>
              <w:t>д. изм</w:t>
            </w:r>
            <w:r w:rsidR="006366A2">
              <w:rPr>
                <w:rFonts w:eastAsia="Times New Roman"/>
                <w:b/>
                <w:bCs/>
                <w:color w:val="FFFFFF" w:themeColor="background1"/>
                <w:sz w:val="20"/>
                <w:szCs w:val="20"/>
                <w:lang w:eastAsia="ru-RU"/>
              </w:rPr>
              <w:t>.</w:t>
            </w:r>
          </w:p>
        </w:tc>
        <w:tc>
          <w:tcPr>
            <w:tcW w:w="142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0032D" w:rsidRPr="004761E0" w:rsidRDefault="0050032D" w:rsidP="00831EA8">
            <w:pPr>
              <w:ind w:firstLine="0"/>
              <w:jc w:val="right"/>
              <w:rPr>
                <w:rFonts w:eastAsia="Times New Roman"/>
                <w:b/>
                <w:bCs/>
                <w:color w:val="FFFFFF" w:themeColor="background1"/>
                <w:sz w:val="20"/>
                <w:szCs w:val="20"/>
                <w:lang w:eastAsia="ru-RU"/>
              </w:rPr>
            </w:pPr>
            <w:r w:rsidRPr="004761E0">
              <w:rPr>
                <w:rFonts w:eastAsia="Times New Roman"/>
                <w:b/>
                <w:bCs/>
                <w:color w:val="FFFFFF" w:themeColor="background1"/>
                <w:sz w:val="20"/>
                <w:szCs w:val="20"/>
                <w:lang w:eastAsia="ru-RU"/>
              </w:rPr>
              <w:t>Утвержденное значение</w:t>
            </w:r>
          </w:p>
        </w:tc>
        <w:tc>
          <w:tcPr>
            <w:tcW w:w="1323"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50032D" w:rsidRPr="004761E0" w:rsidRDefault="0050032D" w:rsidP="00831EA8">
            <w:pPr>
              <w:ind w:firstLine="0"/>
              <w:jc w:val="right"/>
              <w:rPr>
                <w:rFonts w:eastAsia="Times New Roman"/>
                <w:b/>
                <w:bCs/>
                <w:color w:val="FFFFFF" w:themeColor="background1"/>
                <w:sz w:val="20"/>
                <w:szCs w:val="20"/>
                <w:lang w:eastAsia="ru-RU"/>
              </w:rPr>
            </w:pPr>
            <w:r w:rsidRPr="004761E0">
              <w:rPr>
                <w:rFonts w:eastAsia="Times New Roman"/>
                <w:b/>
                <w:bCs/>
                <w:color w:val="FFFFFF" w:themeColor="background1"/>
                <w:sz w:val="20"/>
                <w:szCs w:val="20"/>
                <w:lang w:eastAsia="ru-RU"/>
              </w:rPr>
              <w:t>Фактическое значение</w:t>
            </w:r>
          </w:p>
        </w:tc>
      </w:tr>
      <w:tr w:rsidR="0050032D" w:rsidRPr="004761E0" w:rsidTr="00831EA8">
        <w:trPr>
          <w:trHeight w:val="254"/>
        </w:trPr>
        <w:tc>
          <w:tcPr>
            <w:tcW w:w="576" w:type="dxa"/>
            <w:tcBorders>
              <w:top w:val="nil"/>
              <w:left w:val="single" w:sz="4" w:space="0" w:color="auto"/>
              <w:bottom w:val="single" w:sz="4" w:space="0" w:color="auto"/>
              <w:right w:val="single" w:sz="4" w:space="0" w:color="auto"/>
            </w:tcBorders>
            <w:vAlign w:val="center"/>
          </w:tcPr>
          <w:p w:rsidR="0050032D" w:rsidRPr="004761E0" w:rsidRDefault="0050032D" w:rsidP="007076A7">
            <w:pPr>
              <w:pStyle w:val="a5"/>
              <w:numPr>
                <w:ilvl w:val="0"/>
                <w:numId w:val="297"/>
              </w:numPr>
              <w:jc w:val="left"/>
              <w:rPr>
                <w:rFonts w:eastAsia="Times New Roman"/>
                <w:sz w:val="20"/>
                <w:szCs w:val="20"/>
                <w:lang w:eastAsia="ru-RU"/>
              </w:rPr>
            </w:pPr>
          </w:p>
        </w:tc>
        <w:tc>
          <w:tcPr>
            <w:tcW w:w="6277" w:type="dxa"/>
            <w:tcBorders>
              <w:top w:val="nil"/>
              <w:left w:val="single" w:sz="4" w:space="0" w:color="auto"/>
              <w:bottom w:val="single" w:sz="4" w:space="0" w:color="auto"/>
              <w:right w:val="single" w:sz="4" w:space="0" w:color="auto"/>
            </w:tcBorders>
            <w:shd w:val="clear" w:color="auto" w:fill="auto"/>
            <w:vAlign w:val="center"/>
            <w:hideMark/>
          </w:tcPr>
          <w:p w:rsidR="0050032D" w:rsidRPr="004761E0" w:rsidRDefault="0050032D" w:rsidP="00982E55">
            <w:pPr>
              <w:ind w:firstLine="0"/>
              <w:jc w:val="left"/>
              <w:rPr>
                <w:rFonts w:eastAsia="Times New Roman"/>
                <w:sz w:val="20"/>
                <w:szCs w:val="20"/>
                <w:lang w:eastAsia="ru-RU"/>
              </w:rPr>
            </w:pPr>
            <w:r w:rsidRPr="004761E0">
              <w:rPr>
                <w:rFonts w:eastAsia="Times New Roman"/>
                <w:sz w:val="20"/>
                <w:szCs w:val="20"/>
                <w:lang w:eastAsia="ru-RU"/>
              </w:rPr>
              <w:t>Наличие чистой прибыли</w:t>
            </w:r>
          </w:p>
        </w:tc>
        <w:tc>
          <w:tcPr>
            <w:tcW w:w="998" w:type="dxa"/>
            <w:tcBorders>
              <w:top w:val="nil"/>
              <w:left w:val="nil"/>
              <w:bottom w:val="single" w:sz="4" w:space="0" w:color="auto"/>
              <w:right w:val="single" w:sz="4" w:space="0" w:color="auto"/>
            </w:tcBorders>
            <w:shd w:val="clear" w:color="auto" w:fill="auto"/>
            <w:vAlign w:val="center"/>
            <w:hideMark/>
          </w:tcPr>
          <w:p w:rsidR="0050032D" w:rsidRPr="004761E0" w:rsidRDefault="0050032D" w:rsidP="007B79B9">
            <w:pPr>
              <w:ind w:firstLine="0"/>
              <w:jc w:val="center"/>
              <w:rPr>
                <w:rFonts w:eastAsia="Times New Roman"/>
                <w:sz w:val="20"/>
                <w:szCs w:val="20"/>
                <w:lang w:eastAsia="ru-RU"/>
              </w:rPr>
            </w:pPr>
            <w:proofErr w:type="gramStart"/>
            <w:r w:rsidRPr="004761E0">
              <w:rPr>
                <w:rFonts w:eastAsia="Times New Roman"/>
                <w:sz w:val="20"/>
                <w:szCs w:val="20"/>
                <w:lang w:eastAsia="ru-RU"/>
              </w:rPr>
              <w:t>млн</w:t>
            </w:r>
            <w:proofErr w:type="gramEnd"/>
            <w:r w:rsidRPr="004761E0">
              <w:rPr>
                <w:rFonts w:eastAsia="Times New Roman"/>
                <w:sz w:val="20"/>
                <w:szCs w:val="20"/>
                <w:lang w:eastAsia="ru-RU"/>
              </w:rPr>
              <w:t xml:space="preserve"> руб.</w:t>
            </w:r>
          </w:p>
        </w:tc>
        <w:tc>
          <w:tcPr>
            <w:tcW w:w="1427" w:type="dxa"/>
            <w:tcBorders>
              <w:top w:val="nil"/>
              <w:left w:val="nil"/>
              <w:bottom w:val="single" w:sz="4" w:space="0" w:color="auto"/>
              <w:right w:val="single" w:sz="4" w:space="0" w:color="auto"/>
            </w:tcBorders>
            <w:shd w:val="clear" w:color="auto" w:fill="auto"/>
            <w:noWrap/>
            <w:vAlign w:val="center"/>
            <w:hideMark/>
          </w:tcPr>
          <w:p w:rsidR="0050032D" w:rsidRPr="004761E0" w:rsidRDefault="0050032D" w:rsidP="00831EA8">
            <w:pPr>
              <w:ind w:firstLine="0"/>
              <w:jc w:val="right"/>
              <w:rPr>
                <w:rFonts w:eastAsia="Times New Roman"/>
                <w:color w:val="000000"/>
                <w:sz w:val="20"/>
                <w:szCs w:val="20"/>
                <w:lang w:eastAsia="ru-RU"/>
              </w:rPr>
            </w:pPr>
            <w:r w:rsidRPr="004761E0">
              <w:rPr>
                <w:rFonts w:eastAsia="Times New Roman"/>
                <w:color w:val="000000"/>
                <w:sz w:val="20"/>
                <w:szCs w:val="20"/>
                <w:lang w:eastAsia="ru-RU"/>
              </w:rPr>
              <w:t>≥ 11 008</w:t>
            </w:r>
          </w:p>
        </w:tc>
        <w:tc>
          <w:tcPr>
            <w:tcW w:w="1323" w:type="dxa"/>
            <w:tcBorders>
              <w:top w:val="nil"/>
              <w:left w:val="nil"/>
              <w:bottom w:val="single" w:sz="4" w:space="0" w:color="auto"/>
              <w:right w:val="single" w:sz="4" w:space="0" w:color="auto"/>
            </w:tcBorders>
            <w:shd w:val="clear" w:color="auto" w:fill="auto"/>
            <w:noWrap/>
            <w:vAlign w:val="center"/>
            <w:hideMark/>
          </w:tcPr>
          <w:p w:rsidR="0050032D" w:rsidRPr="004761E0" w:rsidRDefault="0050032D" w:rsidP="00831EA8">
            <w:pPr>
              <w:ind w:firstLine="0"/>
              <w:jc w:val="right"/>
              <w:rPr>
                <w:rFonts w:eastAsia="Times New Roman"/>
                <w:color w:val="000000"/>
                <w:sz w:val="20"/>
                <w:szCs w:val="20"/>
                <w:lang w:eastAsia="ru-RU"/>
              </w:rPr>
            </w:pPr>
            <w:r w:rsidRPr="004761E0">
              <w:rPr>
                <w:rFonts w:eastAsia="Times New Roman"/>
                <w:color w:val="000000"/>
                <w:sz w:val="20"/>
                <w:szCs w:val="20"/>
                <w:lang w:eastAsia="ru-RU"/>
              </w:rPr>
              <w:t>11 641</w:t>
            </w:r>
          </w:p>
        </w:tc>
      </w:tr>
      <w:tr w:rsidR="0050032D" w:rsidRPr="004761E0" w:rsidTr="00831EA8">
        <w:trPr>
          <w:trHeight w:val="443"/>
        </w:trPr>
        <w:tc>
          <w:tcPr>
            <w:tcW w:w="576" w:type="dxa"/>
            <w:tcBorders>
              <w:top w:val="nil"/>
              <w:left w:val="single" w:sz="4" w:space="0" w:color="auto"/>
              <w:bottom w:val="single" w:sz="4" w:space="0" w:color="auto"/>
              <w:right w:val="single" w:sz="4" w:space="0" w:color="auto"/>
            </w:tcBorders>
            <w:vAlign w:val="center"/>
          </w:tcPr>
          <w:p w:rsidR="0050032D" w:rsidRPr="004761E0" w:rsidRDefault="0050032D" w:rsidP="007076A7">
            <w:pPr>
              <w:pStyle w:val="a5"/>
              <w:numPr>
                <w:ilvl w:val="0"/>
                <w:numId w:val="297"/>
              </w:numPr>
              <w:jc w:val="left"/>
              <w:rPr>
                <w:rFonts w:eastAsia="Times New Roman"/>
                <w:sz w:val="20"/>
                <w:szCs w:val="20"/>
                <w:lang w:eastAsia="ru-RU"/>
              </w:rPr>
            </w:pPr>
          </w:p>
        </w:tc>
        <w:tc>
          <w:tcPr>
            <w:tcW w:w="6277" w:type="dxa"/>
            <w:tcBorders>
              <w:top w:val="nil"/>
              <w:left w:val="single" w:sz="4" w:space="0" w:color="auto"/>
              <w:bottom w:val="single" w:sz="4" w:space="0" w:color="auto"/>
              <w:right w:val="single" w:sz="4" w:space="0" w:color="auto"/>
            </w:tcBorders>
            <w:shd w:val="clear" w:color="auto" w:fill="auto"/>
            <w:vAlign w:val="center"/>
            <w:hideMark/>
          </w:tcPr>
          <w:p w:rsidR="0050032D" w:rsidRPr="004761E0" w:rsidRDefault="0050032D" w:rsidP="00605C86">
            <w:pPr>
              <w:ind w:firstLine="0"/>
              <w:jc w:val="left"/>
              <w:rPr>
                <w:rFonts w:eastAsia="Times New Roman"/>
                <w:sz w:val="20"/>
                <w:szCs w:val="20"/>
                <w:lang w:eastAsia="ru-RU"/>
              </w:rPr>
            </w:pPr>
            <w:r w:rsidRPr="004761E0">
              <w:rPr>
                <w:rFonts w:eastAsia="Times New Roman"/>
                <w:sz w:val="20"/>
                <w:szCs w:val="20"/>
                <w:lang w:eastAsia="ru-RU"/>
              </w:rPr>
              <w:t>Снижение затрат на приобретение товаров (работ, услуг) в расчете на единицу продукции не менее чем на 10</w:t>
            </w:r>
            <w:r w:rsidR="00605C86" w:rsidRPr="004761E0">
              <w:rPr>
                <w:rFonts w:eastAsia="Times New Roman"/>
                <w:sz w:val="20"/>
                <w:szCs w:val="20"/>
                <w:lang w:eastAsia="ru-RU"/>
              </w:rPr>
              <w:t> %</w:t>
            </w:r>
            <w:r w:rsidRPr="004761E0">
              <w:rPr>
                <w:rFonts w:eastAsia="Times New Roman"/>
                <w:sz w:val="20"/>
                <w:szCs w:val="20"/>
                <w:lang w:eastAsia="ru-RU"/>
              </w:rPr>
              <w:t xml:space="preserve"> в год в течение трех лет в реальном выражении в ценах 2010 года </w:t>
            </w:r>
          </w:p>
        </w:tc>
        <w:tc>
          <w:tcPr>
            <w:tcW w:w="998" w:type="dxa"/>
            <w:tcBorders>
              <w:top w:val="nil"/>
              <w:left w:val="nil"/>
              <w:bottom w:val="single" w:sz="4" w:space="0" w:color="auto"/>
              <w:right w:val="single" w:sz="4" w:space="0" w:color="auto"/>
            </w:tcBorders>
            <w:shd w:val="clear" w:color="auto" w:fill="auto"/>
            <w:vAlign w:val="center"/>
            <w:hideMark/>
          </w:tcPr>
          <w:p w:rsidR="0050032D" w:rsidRPr="004761E0" w:rsidRDefault="0050032D" w:rsidP="00982E55">
            <w:pPr>
              <w:ind w:firstLine="0"/>
              <w:jc w:val="center"/>
              <w:rPr>
                <w:rFonts w:eastAsia="Times New Roman"/>
                <w:sz w:val="20"/>
                <w:szCs w:val="20"/>
                <w:lang w:eastAsia="ru-RU"/>
              </w:rPr>
            </w:pPr>
            <w:r w:rsidRPr="004761E0">
              <w:rPr>
                <w:rFonts w:eastAsia="Times New Roman"/>
                <w:sz w:val="20"/>
                <w:szCs w:val="20"/>
                <w:lang w:eastAsia="ru-RU"/>
              </w:rPr>
              <w:t>%</w:t>
            </w:r>
          </w:p>
        </w:tc>
        <w:tc>
          <w:tcPr>
            <w:tcW w:w="1427" w:type="dxa"/>
            <w:tcBorders>
              <w:top w:val="nil"/>
              <w:left w:val="nil"/>
              <w:bottom w:val="single" w:sz="4" w:space="0" w:color="auto"/>
              <w:right w:val="single" w:sz="4" w:space="0" w:color="auto"/>
            </w:tcBorders>
            <w:shd w:val="clear" w:color="auto" w:fill="auto"/>
            <w:noWrap/>
            <w:vAlign w:val="center"/>
            <w:hideMark/>
          </w:tcPr>
          <w:p w:rsidR="0050032D" w:rsidRPr="004761E0" w:rsidRDefault="0050032D" w:rsidP="00831EA8">
            <w:pPr>
              <w:ind w:firstLine="0"/>
              <w:jc w:val="right"/>
              <w:rPr>
                <w:rFonts w:eastAsia="Times New Roman"/>
                <w:color w:val="000000"/>
                <w:sz w:val="20"/>
                <w:szCs w:val="20"/>
                <w:lang w:eastAsia="ru-RU"/>
              </w:rPr>
            </w:pPr>
            <w:r w:rsidRPr="004761E0">
              <w:rPr>
                <w:rFonts w:eastAsia="Times New Roman"/>
                <w:color w:val="000000"/>
                <w:sz w:val="20"/>
                <w:szCs w:val="20"/>
                <w:lang w:eastAsia="ru-RU"/>
              </w:rPr>
              <w:t xml:space="preserve">≥100 </w:t>
            </w:r>
          </w:p>
        </w:tc>
        <w:tc>
          <w:tcPr>
            <w:tcW w:w="1323" w:type="dxa"/>
            <w:tcBorders>
              <w:top w:val="nil"/>
              <w:left w:val="nil"/>
              <w:bottom w:val="single" w:sz="4" w:space="0" w:color="auto"/>
              <w:right w:val="single" w:sz="4" w:space="0" w:color="auto"/>
            </w:tcBorders>
            <w:shd w:val="clear" w:color="auto" w:fill="auto"/>
            <w:noWrap/>
            <w:vAlign w:val="center"/>
            <w:hideMark/>
          </w:tcPr>
          <w:p w:rsidR="0050032D" w:rsidRPr="004761E0" w:rsidRDefault="0050032D" w:rsidP="00831EA8">
            <w:pPr>
              <w:ind w:firstLine="0"/>
              <w:jc w:val="right"/>
              <w:rPr>
                <w:rFonts w:eastAsia="Times New Roman"/>
                <w:color w:val="000000"/>
                <w:sz w:val="20"/>
                <w:szCs w:val="20"/>
                <w:lang w:eastAsia="ru-RU"/>
              </w:rPr>
            </w:pPr>
            <w:r w:rsidRPr="004761E0">
              <w:rPr>
                <w:rFonts w:eastAsia="Times New Roman"/>
                <w:color w:val="000000"/>
                <w:sz w:val="20"/>
                <w:szCs w:val="20"/>
                <w:lang w:eastAsia="ru-RU"/>
              </w:rPr>
              <w:t>108</w:t>
            </w:r>
          </w:p>
        </w:tc>
      </w:tr>
      <w:tr w:rsidR="0050032D" w:rsidRPr="004761E0" w:rsidTr="00831EA8">
        <w:trPr>
          <w:trHeight w:val="450"/>
        </w:trPr>
        <w:tc>
          <w:tcPr>
            <w:tcW w:w="576" w:type="dxa"/>
            <w:tcBorders>
              <w:top w:val="nil"/>
              <w:left w:val="single" w:sz="4" w:space="0" w:color="auto"/>
              <w:bottom w:val="single" w:sz="4" w:space="0" w:color="auto"/>
              <w:right w:val="single" w:sz="4" w:space="0" w:color="auto"/>
            </w:tcBorders>
            <w:vAlign w:val="center"/>
          </w:tcPr>
          <w:p w:rsidR="0050032D" w:rsidRPr="004761E0" w:rsidRDefault="0050032D" w:rsidP="007076A7">
            <w:pPr>
              <w:pStyle w:val="a5"/>
              <w:numPr>
                <w:ilvl w:val="0"/>
                <w:numId w:val="297"/>
              </w:numPr>
              <w:jc w:val="left"/>
              <w:rPr>
                <w:rFonts w:eastAsia="Times New Roman"/>
                <w:sz w:val="20"/>
                <w:szCs w:val="20"/>
                <w:lang w:eastAsia="ru-RU"/>
              </w:rPr>
            </w:pPr>
          </w:p>
        </w:tc>
        <w:tc>
          <w:tcPr>
            <w:tcW w:w="6277" w:type="dxa"/>
            <w:tcBorders>
              <w:top w:val="nil"/>
              <w:left w:val="single" w:sz="4" w:space="0" w:color="auto"/>
              <w:bottom w:val="single" w:sz="4" w:space="0" w:color="auto"/>
              <w:right w:val="single" w:sz="4" w:space="0" w:color="auto"/>
            </w:tcBorders>
            <w:shd w:val="clear" w:color="auto" w:fill="auto"/>
            <w:vAlign w:val="center"/>
            <w:hideMark/>
          </w:tcPr>
          <w:p w:rsidR="0050032D" w:rsidRPr="004761E0" w:rsidRDefault="0050032D" w:rsidP="00982E55">
            <w:pPr>
              <w:ind w:firstLine="0"/>
              <w:jc w:val="left"/>
              <w:rPr>
                <w:rFonts w:eastAsia="Times New Roman"/>
                <w:sz w:val="20"/>
                <w:szCs w:val="20"/>
                <w:lang w:eastAsia="ru-RU"/>
              </w:rPr>
            </w:pPr>
            <w:r w:rsidRPr="004761E0">
              <w:rPr>
                <w:rFonts w:eastAsia="Times New Roman"/>
                <w:sz w:val="20"/>
                <w:szCs w:val="20"/>
                <w:lang w:eastAsia="ru-RU"/>
              </w:rPr>
              <w:t>Отсутствие массовых отключений или повреждений оборудования по вине персонала, приведших к прекращению электроснабжения потребителей общей численностью 200 тыс. человек и более</w:t>
            </w:r>
          </w:p>
        </w:tc>
        <w:tc>
          <w:tcPr>
            <w:tcW w:w="998" w:type="dxa"/>
            <w:tcBorders>
              <w:top w:val="nil"/>
              <w:left w:val="nil"/>
              <w:bottom w:val="single" w:sz="4" w:space="0" w:color="auto"/>
              <w:right w:val="single" w:sz="4" w:space="0" w:color="auto"/>
            </w:tcBorders>
            <w:shd w:val="clear" w:color="auto" w:fill="auto"/>
            <w:vAlign w:val="center"/>
            <w:hideMark/>
          </w:tcPr>
          <w:p w:rsidR="0050032D" w:rsidRPr="004761E0" w:rsidRDefault="0050032D" w:rsidP="00982E55">
            <w:pPr>
              <w:ind w:firstLine="0"/>
              <w:jc w:val="center"/>
              <w:rPr>
                <w:rFonts w:eastAsia="Times New Roman"/>
                <w:sz w:val="20"/>
                <w:szCs w:val="20"/>
                <w:lang w:eastAsia="ru-RU"/>
              </w:rPr>
            </w:pPr>
            <w:r w:rsidRPr="004761E0">
              <w:rPr>
                <w:rFonts w:eastAsia="Times New Roman"/>
                <w:sz w:val="20"/>
                <w:szCs w:val="20"/>
                <w:lang w:eastAsia="ru-RU"/>
              </w:rPr>
              <w:t> </w:t>
            </w:r>
          </w:p>
        </w:tc>
        <w:tc>
          <w:tcPr>
            <w:tcW w:w="1427" w:type="dxa"/>
            <w:tcBorders>
              <w:top w:val="nil"/>
              <w:left w:val="nil"/>
              <w:bottom w:val="single" w:sz="4" w:space="0" w:color="auto"/>
              <w:right w:val="single" w:sz="4" w:space="0" w:color="auto"/>
            </w:tcBorders>
            <w:shd w:val="clear" w:color="auto" w:fill="auto"/>
            <w:noWrap/>
            <w:vAlign w:val="center"/>
            <w:hideMark/>
          </w:tcPr>
          <w:p w:rsidR="0050032D" w:rsidRPr="004761E0" w:rsidRDefault="0050032D" w:rsidP="00831EA8">
            <w:pPr>
              <w:ind w:firstLine="0"/>
              <w:jc w:val="right"/>
              <w:rPr>
                <w:rFonts w:eastAsia="Times New Roman"/>
                <w:color w:val="000000"/>
                <w:sz w:val="20"/>
                <w:szCs w:val="20"/>
                <w:lang w:eastAsia="ru-RU"/>
              </w:rPr>
            </w:pPr>
            <w:r w:rsidRPr="004761E0">
              <w:rPr>
                <w:rFonts w:eastAsia="Times New Roman"/>
                <w:color w:val="000000"/>
                <w:sz w:val="20"/>
                <w:szCs w:val="20"/>
                <w:lang w:eastAsia="ru-RU"/>
              </w:rPr>
              <w:t>0</w:t>
            </w:r>
          </w:p>
        </w:tc>
        <w:tc>
          <w:tcPr>
            <w:tcW w:w="1323" w:type="dxa"/>
            <w:tcBorders>
              <w:top w:val="nil"/>
              <w:left w:val="nil"/>
              <w:bottom w:val="single" w:sz="4" w:space="0" w:color="auto"/>
              <w:right w:val="single" w:sz="4" w:space="0" w:color="auto"/>
            </w:tcBorders>
            <w:shd w:val="clear" w:color="auto" w:fill="auto"/>
            <w:noWrap/>
            <w:vAlign w:val="center"/>
            <w:hideMark/>
          </w:tcPr>
          <w:p w:rsidR="0050032D" w:rsidRPr="004761E0" w:rsidRDefault="0050032D" w:rsidP="00831EA8">
            <w:pPr>
              <w:ind w:firstLine="0"/>
              <w:jc w:val="right"/>
              <w:rPr>
                <w:rFonts w:eastAsia="Times New Roman"/>
                <w:color w:val="000000"/>
                <w:sz w:val="20"/>
                <w:szCs w:val="20"/>
                <w:lang w:eastAsia="ru-RU"/>
              </w:rPr>
            </w:pPr>
            <w:r w:rsidRPr="004761E0">
              <w:rPr>
                <w:rFonts w:eastAsia="Times New Roman"/>
                <w:color w:val="000000"/>
                <w:sz w:val="20"/>
                <w:szCs w:val="20"/>
                <w:lang w:eastAsia="ru-RU"/>
              </w:rPr>
              <w:t>0</w:t>
            </w:r>
          </w:p>
        </w:tc>
      </w:tr>
      <w:tr w:rsidR="0050032D" w:rsidRPr="004761E0" w:rsidTr="00831EA8">
        <w:trPr>
          <w:trHeight w:val="385"/>
        </w:trPr>
        <w:tc>
          <w:tcPr>
            <w:tcW w:w="576" w:type="dxa"/>
            <w:tcBorders>
              <w:top w:val="nil"/>
              <w:left w:val="single" w:sz="4" w:space="0" w:color="auto"/>
              <w:bottom w:val="single" w:sz="4" w:space="0" w:color="auto"/>
              <w:right w:val="single" w:sz="4" w:space="0" w:color="auto"/>
            </w:tcBorders>
            <w:vAlign w:val="center"/>
          </w:tcPr>
          <w:p w:rsidR="0050032D" w:rsidRPr="004761E0" w:rsidRDefault="0050032D" w:rsidP="007076A7">
            <w:pPr>
              <w:pStyle w:val="a5"/>
              <w:numPr>
                <w:ilvl w:val="0"/>
                <w:numId w:val="297"/>
              </w:numPr>
              <w:jc w:val="left"/>
              <w:rPr>
                <w:rFonts w:eastAsia="Times New Roman"/>
                <w:sz w:val="20"/>
                <w:szCs w:val="20"/>
                <w:lang w:eastAsia="ru-RU"/>
              </w:rPr>
            </w:pPr>
          </w:p>
        </w:tc>
        <w:tc>
          <w:tcPr>
            <w:tcW w:w="6277" w:type="dxa"/>
            <w:tcBorders>
              <w:top w:val="nil"/>
              <w:left w:val="single" w:sz="4" w:space="0" w:color="auto"/>
              <w:bottom w:val="single" w:sz="4" w:space="0" w:color="auto"/>
              <w:right w:val="single" w:sz="4" w:space="0" w:color="auto"/>
            </w:tcBorders>
            <w:shd w:val="clear" w:color="auto" w:fill="auto"/>
            <w:vAlign w:val="center"/>
            <w:hideMark/>
          </w:tcPr>
          <w:p w:rsidR="0050032D" w:rsidRPr="004761E0" w:rsidRDefault="0050032D" w:rsidP="00831EA8">
            <w:pPr>
              <w:ind w:firstLine="0"/>
              <w:jc w:val="left"/>
              <w:rPr>
                <w:rFonts w:eastAsia="Times New Roman"/>
                <w:sz w:val="20"/>
                <w:szCs w:val="20"/>
                <w:lang w:eastAsia="ru-RU"/>
              </w:rPr>
            </w:pPr>
            <w:r w:rsidRPr="004761E0">
              <w:rPr>
                <w:rFonts w:eastAsia="Times New Roman"/>
                <w:sz w:val="20"/>
                <w:szCs w:val="20"/>
                <w:lang w:eastAsia="ru-RU"/>
              </w:rPr>
              <w:t>Надежность работы:</w:t>
            </w:r>
            <w:r w:rsidR="00831EA8" w:rsidRPr="004761E0">
              <w:rPr>
                <w:rFonts w:eastAsia="Times New Roman"/>
                <w:sz w:val="20"/>
                <w:szCs w:val="20"/>
                <w:lang w:eastAsia="ru-RU"/>
              </w:rPr>
              <w:t xml:space="preserve"> с</w:t>
            </w:r>
            <w:r w:rsidRPr="004761E0">
              <w:rPr>
                <w:rFonts w:eastAsia="Times New Roman"/>
                <w:sz w:val="20"/>
                <w:szCs w:val="20"/>
                <w:lang w:eastAsia="ru-RU"/>
              </w:rPr>
              <w:t>редняя продолжительность прекращений передачи электрической энергии</w:t>
            </w:r>
          </w:p>
        </w:tc>
        <w:tc>
          <w:tcPr>
            <w:tcW w:w="998" w:type="dxa"/>
            <w:tcBorders>
              <w:top w:val="nil"/>
              <w:left w:val="nil"/>
              <w:bottom w:val="single" w:sz="4" w:space="0" w:color="auto"/>
              <w:right w:val="single" w:sz="4" w:space="0" w:color="auto"/>
            </w:tcBorders>
            <w:shd w:val="clear" w:color="auto" w:fill="auto"/>
            <w:vAlign w:val="center"/>
            <w:hideMark/>
          </w:tcPr>
          <w:p w:rsidR="0050032D" w:rsidRPr="004761E0" w:rsidRDefault="0050032D" w:rsidP="00982E55">
            <w:pPr>
              <w:ind w:firstLine="0"/>
              <w:jc w:val="center"/>
              <w:rPr>
                <w:rFonts w:eastAsia="Times New Roman"/>
                <w:sz w:val="20"/>
                <w:szCs w:val="20"/>
                <w:lang w:eastAsia="ru-RU"/>
              </w:rPr>
            </w:pPr>
            <w:r w:rsidRPr="004761E0">
              <w:rPr>
                <w:rFonts w:eastAsia="Times New Roman"/>
                <w:sz w:val="20"/>
                <w:szCs w:val="20"/>
                <w:lang w:eastAsia="ru-RU"/>
              </w:rPr>
              <w:t>ед.</w:t>
            </w:r>
          </w:p>
        </w:tc>
        <w:tc>
          <w:tcPr>
            <w:tcW w:w="1427" w:type="dxa"/>
            <w:tcBorders>
              <w:top w:val="nil"/>
              <w:left w:val="nil"/>
              <w:bottom w:val="single" w:sz="4" w:space="0" w:color="auto"/>
              <w:right w:val="single" w:sz="4" w:space="0" w:color="auto"/>
            </w:tcBorders>
            <w:shd w:val="clear" w:color="auto" w:fill="auto"/>
            <w:noWrap/>
            <w:vAlign w:val="center"/>
            <w:hideMark/>
          </w:tcPr>
          <w:p w:rsidR="0050032D" w:rsidRPr="004761E0" w:rsidRDefault="0050032D" w:rsidP="00831EA8">
            <w:pPr>
              <w:ind w:firstLine="0"/>
              <w:jc w:val="right"/>
              <w:rPr>
                <w:rFonts w:eastAsia="Times New Roman"/>
                <w:color w:val="000000"/>
                <w:sz w:val="20"/>
                <w:szCs w:val="20"/>
                <w:lang w:eastAsia="ru-RU"/>
              </w:rPr>
            </w:pPr>
            <w:r w:rsidRPr="004761E0">
              <w:rPr>
                <w:rFonts w:eastAsia="Times New Roman"/>
                <w:color w:val="000000"/>
                <w:sz w:val="20"/>
                <w:szCs w:val="20"/>
                <w:lang w:eastAsia="ru-RU"/>
              </w:rPr>
              <w:t>1</w:t>
            </w:r>
          </w:p>
        </w:tc>
        <w:tc>
          <w:tcPr>
            <w:tcW w:w="1323" w:type="dxa"/>
            <w:tcBorders>
              <w:top w:val="nil"/>
              <w:left w:val="nil"/>
              <w:bottom w:val="single" w:sz="4" w:space="0" w:color="auto"/>
              <w:right w:val="single" w:sz="4" w:space="0" w:color="auto"/>
            </w:tcBorders>
            <w:shd w:val="clear" w:color="auto" w:fill="auto"/>
            <w:noWrap/>
            <w:vAlign w:val="center"/>
            <w:hideMark/>
          </w:tcPr>
          <w:p w:rsidR="0050032D" w:rsidRPr="004761E0" w:rsidRDefault="0050032D" w:rsidP="00831EA8">
            <w:pPr>
              <w:ind w:firstLine="0"/>
              <w:jc w:val="right"/>
              <w:rPr>
                <w:rFonts w:eastAsia="Times New Roman"/>
                <w:color w:val="000000"/>
                <w:sz w:val="20"/>
                <w:szCs w:val="20"/>
                <w:lang w:eastAsia="ru-RU"/>
              </w:rPr>
            </w:pPr>
            <w:r w:rsidRPr="004761E0">
              <w:rPr>
                <w:rFonts w:eastAsia="Times New Roman"/>
                <w:color w:val="000000"/>
                <w:sz w:val="20"/>
                <w:szCs w:val="20"/>
                <w:lang w:eastAsia="ru-RU"/>
              </w:rPr>
              <w:t>1</w:t>
            </w:r>
          </w:p>
        </w:tc>
      </w:tr>
      <w:tr w:rsidR="0050032D" w:rsidRPr="004761E0" w:rsidTr="00831EA8">
        <w:trPr>
          <w:trHeight w:val="346"/>
        </w:trPr>
        <w:tc>
          <w:tcPr>
            <w:tcW w:w="576" w:type="dxa"/>
            <w:tcBorders>
              <w:top w:val="nil"/>
              <w:left w:val="single" w:sz="4" w:space="0" w:color="auto"/>
              <w:bottom w:val="single" w:sz="4" w:space="0" w:color="auto"/>
              <w:right w:val="single" w:sz="4" w:space="0" w:color="auto"/>
            </w:tcBorders>
            <w:vAlign w:val="center"/>
          </w:tcPr>
          <w:p w:rsidR="0050032D" w:rsidRPr="004761E0" w:rsidRDefault="0050032D" w:rsidP="007076A7">
            <w:pPr>
              <w:pStyle w:val="a5"/>
              <w:numPr>
                <w:ilvl w:val="0"/>
                <w:numId w:val="297"/>
              </w:numPr>
              <w:jc w:val="left"/>
              <w:rPr>
                <w:rFonts w:eastAsia="Times New Roman"/>
                <w:sz w:val="20"/>
                <w:szCs w:val="20"/>
                <w:lang w:eastAsia="ru-RU"/>
              </w:rPr>
            </w:pPr>
          </w:p>
        </w:tc>
        <w:tc>
          <w:tcPr>
            <w:tcW w:w="6277" w:type="dxa"/>
            <w:tcBorders>
              <w:top w:val="nil"/>
              <w:left w:val="single" w:sz="4" w:space="0" w:color="auto"/>
              <w:bottom w:val="single" w:sz="4" w:space="0" w:color="auto"/>
              <w:right w:val="single" w:sz="4" w:space="0" w:color="auto"/>
            </w:tcBorders>
            <w:shd w:val="clear" w:color="auto" w:fill="auto"/>
            <w:vAlign w:val="center"/>
            <w:hideMark/>
          </w:tcPr>
          <w:p w:rsidR="0050032D" w:rsidRPr="004761E0" w:rsidRDefault="0050032D" w:rsidP="00982E55">
            <w:pPr>
              <w:ind w:firstLine="0"/>
              <w:jc w:val="left"/>
              <w:rPr>
                <w:rFonts w:eastAsia="Times New Roman"/>
                <w:sz w:val="20"/>
                <w:szCs w:val="20"/>
                <w:lang w:eastAsia="ru-RU"/>
              </w:rPr>
            </w:pPr>
            <w:r w:rsidRPr="004761E0">
              <w:rPr>
                <w:rFonts w:eastAsia="Times New Roman"/>
                <w:sz w:val="20"/>
                <w:szCs w:val="20"/>
                <w:lang w:eastAsia="ru-RU"/>
              </w:rPr>
              <w:t>Оборачиваемость дебиторской задолженности за услуги по передаче электроэнергии</w:t>
            </w:r>
          </w:p>
        </w:tc>
        <w:tc>
          <w:tcPr>
            <w:tcW w:w="998" w:type="dxa"/>
            <w:tcBorders>
              <w:top w:val="nil"/>
              <w:left w:val="nil"/>
              <w:bottom w:val="single" w:sz="4" w:space="0" w:color="auto"/>
              <w:right w:val="single" w:sz="4" w:space="0" w:color="auto"/>
            </w:tcBorders>
            <w:shd w:val="clear" w:color="auto" w:fill="auto"/>
            <w:vAlign w:val="center"/>
            <w:hideMark/>
          </w:tcPr>
          <w:p w:rsidR="0050032D" w:rsidRPr="004761E0" w:rsidRDefault="0050032D" w:rsidP="00982E55">
            <w:pPr>
              <w:ind w:firstLine="0"/>
              <w:jc w:val="center"/>
              <w:rPr>
                <w:rFonts w:eastAsia="Times New Roman"/>
                <w:sz w:val="20"/>
                <w:szCs w:val="20"/>
                <w:lang w:eastAsia="ru-RU"/>
              </w:rPr>
            </w:pPr>
            <w:r w:rsidRPr="004761E0">
              <w:rPr>
                <w:rFonts w:eastAsia="Times New Roman"/>
                <w:sz w:val="20"/>
                <w:szCs w:val="20"/>
                <w:lang w:eastAsia="ru-RU"/>
              </w:rPr>
              <w:t>дни</w:t>
            </w:r>
          </w:p>
        </w:tc>
        <w:tc>
          <w:tcPr>
            <w:tcW w:w="1427" w:type="dxa"/>
            <w:tcBorders>
              <w:top w:val="nil"/>
              <w:left w:val="nil"/>
              <w:bottom w:val="single" w:sz="4" w:space="0" w:color="auto"/>
              <w:right w:val="single" w:sz="4" w:space="0" w:color="auto"/>
            </w:tcBorders>
            <w:shd w:val="clear" w:color="auto" w:fill="auto"/>
            <w:noWrap/>
            <w:vAlign w:val="center"/>
            <w:hideMark/>
          </w:tcPr>
          <w:p w:rsidR="0050032D" w:rsidRPr="004761E0" w:rsidRDefault="005B1BFF" w:rsidP="00831EA8">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r>
              <w:rPr>
                <w:rFonts w:eastAsia="Times New Roman"/>
                <w:color w:val="000000"/>
                <w:sz w:val="20"/>
                <w:szCs w:val="20"/>
                <w:lang w:eastAsia="ru-RU"/>
              </w:rPr>
              <w:t xml:space="preserve"> </w:t>
            </w:r>
            <w:r w:rsidR="0050032D" w:rsidRPr="004761E0">
              <w:rPr>
                <w:rFonts w:eastAsia="Times New Roman"/>
                <w:color w:val="000000"/>
                <w:sz w:val="20"/>
                <w:szCs w:val="20"/>
                <w:lang w:eastAsia="ru-RU"/>
              </w:rPr>
              <w:t>31</w:t>
            </w:r>
          </w:p>
        </w:tc>
        <w:tc>
          <w:tcPr>
            <w:tcW w:w="1323" w:type="dxa"/>
            <w:tcBorders>
              <w:top w:val="nil"/>
              <w:left w:val="nil"/>
              <w:bottom w:val="single" w:sz="4" w:space="0" w:color="auto"/>
              <w:right w:val="single" w:sz="4" w:space="0" w:color="auto"/>
            </w:tcBorders>
            <w:shd w:val="clear" w:color="auto" w:fill="auto"/>
            <w:noWrap/>
            <w:vAlign w:val="center"/>
            <w:hideMark/>
          </w:tcPr>
          <w:p w:rsidR="0050032D" w:rsidRPr="004761E0" w:rsidRDefault="0050032D" w:rsidP="00831EA8">
            <w:pPr>
              <w:ind w:firstLine="0"/>
              <w:jc w:val="right"/>
              <w:rPr>
                <w:rFonts w:eastAsia="Times New Roman"/>
                <w:color w:val="000000"/>
                <w:sz w:val="20"/>
                <w:szCs w:val="20"/>
                <w:lang w:eastAsia="ru-RU"/>
              </w:rPr>
            </w:pPr>
            <w:r w:rsidRPr="004761E0">
              <w:rPr>
                <w:rFonts w:eastAsia="Times New Roman"/>
                <w:color w:val="000000"/>
                <w:sz w:val="20"/>
                <w:szCs w:val="20"/>
                <w:lang w:eastAsia="ru-RU"/>
              </w:rPr>
              <w:t>26</w:t>
            </w:r>
          </w:p>
        </w:tc>
      </w:tr>
      <w:tr w:rsidR="0050032D" w:rsidRPr="004761E0" w:rsidTr="00831EA8">
        <w:trPr>
          <w:trHeight w:val="157"/>
        </w:trPr>
        <w:tc>
          <w:tcPr>
            <w:tcW w:w="576" w:type="dxa"/>
            <w:tcBorders>
              <w:top w:val="nil"/>
              <w:left w:val="single" w:sz="4" w:space="0" w:color="auto"/>
              <w:bottom w:val="single" w:sz="4" w:space="0" w:color="auto"/>
              <w:right w:val="single" w:sz="4" w:space="0" w:color="auto"/>
            </w:tcBorders>
            <w:vAlign w:val="center"/>
          </w:tcPr>
          <w:p w:rsidR="0050032D" w:rsidRPr="004761E0" w:rsidRDefault="0050032D" w:rsidP="007076A7">
            <w:pPr>
              <w:pStyle w:val="a5"/>
              <w:numPr>
                <w:ilvl w:val="0"/>
                <w:numId w:val="297"/>
              </w:numPr>
              <w:jc w:val="left"/>
              <w:rPr>
                <w:rFonts w:eastAsia="Times New Roman"/>
                <w:sz w:val="20"/>
                <w:szCs w:val="20"/>
                <w:lang w:eastAsia="ru-RU"/>
              </w:rPr>
            </w:pPr>
          </w:p>
        </w:tc>
        <w:tc>
          <w:tcPr>
            <w:tcW w:w="6277" w:type="dxa"/>
            <w:tcBorders>
              <w:top w:val="nil"/>
              <w:left w:val="single" w:sz="4" w:space="0" w:color="auto"/>
              <w:bottom w:val="single" w:sz="4" w:space="0" w:color="auto"/>
              <w:right w:val="single" w:sz="4" w:space="0" w:color="auto"/>
            </w:tcBorders>
            <w:shd w:val="clear" w:color="auto" w:fill="auto"/>
            <w:vAlign w:val="center"/>
            <w:hideMark/>
          </w:tcPr>
          <w:p w:rsidR="0050032D" w:rsidRPr="004761E0" w:rsidRDefault="0050032D" w:rsidP="00982E55">
            <w:pPr>
              <w:ind w:firstLine="0"/>
              <w:jc w:val="left"/>
              <w:rPr>
                <w:rFonts w:eastAsia="Times New Roman"/>
                <w:sz w:val="20"/>
                <w:szCs w:val="20"/>
                <w:lang w:eastAsia="ru-RU"/>
              </w:rPr>
            </w:pPr>
            <w:r w:rsidRPr="004761E0">
              <w:rPr>
                <w:rFonts w:eastAsia="Times New Roman"/>
                <w:sz w:val="20"/>
                <w:szCs w:val="20"/>
                <w:lang w:eastAsia="ru-RU"/>
              </w:rPr>
              <w:t>EBITDA</w:t>
            </w:r>
          </w:p>
        </w:tc>
        <w:tc>
          <w:tcPr>
            <w:tcW w:w="998" w:type="dxa"/>
            <w:tcBorders>
              <w:top w:val="nil"/>
              <w:left w:val="nil"/>
              <w:bottom w:val="single" w:sz="4" w:space="0" w:color="auto"/>
              <w:right w:val="single" w:sz="4" w:space="0" w:color="auto"/>
            </w:tcBorders>
            <w:shd w:val="clear" w:color="auto" w:fill="auto"/>
            <w:vAlign w:val="center"/>
            <w:hideMark/>
          </w:tcPr>
          <w:p w:rsidR="0050032D" w:rsidRPr="004761E0" w:rsidRDefault="0050032D" w:rsidP="00982E55">
            <w:pPr>
              <w:ind w:firstLine="0"/>
              <w:jc w:val="center"/>
              <w:rPr>
                <w:rFonts w:eastAsia="Times New Roman"/>
                <w:sz w:val="20"/>
                <w:szCs w:val="20"/>
                <w:lang w:eastAsia="ru-RU"/>
              </w:rPr>
            </w:pPr>
            <w:proofErr w:type="gramStart"/>
            <w:r w:rsidRPr="004761E0">
              <w:rPr>
                <w:rFonts w:eastAsia="Times New Roman"/>
                <w:sz w:val="20"/>
                <w:szCs w:val="20"/>
                <w:lang w:eastAsia="ru-RU"/>
              </w:rPr>
              <w:t>млн</w:t>
            </w:r>
            <w:proofErr w:type="gramEnd"/>
            <w:r w:rsidRPr="004761E0">
              <w:rPr>
                <w:rFonts w:eastAsia="Times New Roman"/>
                <w:sz w:val="20"/>
                <w:szCs w:val="20"/>
                <w:lang w:eastAsia="ru-RU"/>
              </w:rPr>
              <w:t xml:space="preserve"> руб.</w:t>
            </w:r>
          </w:p>
        </w:tc>
        <w:tc>
          <w:tcPr>
            <w:tcW w:w="1427" w:type="dxa"/>
            <w:tcBorders>
              <w:top w:val="nil"/>
              <w:left w:val="nil"/>
              <w:bottom w:val="single" w:sz="4" w:space="0" w:color="auto"/>
              <w:right w:val="single" w:sz="4" w:space="0" w:color="auto"/>
            </w:tcBorders>
            <w:shd w:val="clear" w:color="auto" w:fill="auto"/>
            <w:noWrap/>
            <w:vAlign w:val="center"/>
            <w:hideMark/>
          </w:tcPr>
          <w:p w:rsidR="0050032D" w:rsidRPr="004761E0" w:rsidRDefault="0050032D" w:rsidP="00831EA8">
            <w:pPr>
              <w:ind w:firstLine="0"/>
              <w:jc w:val="right"/>
              <w:rPr>
                <w:rFonts w:eastAsia="Times New Roman"/>
                <w:color w:val="000000"/>
                <w:sz w:val="20"/>
                <w:szCs w:val="20"/>
                <w:lang w:eastAsia="ru-RU"/>
              </w:rPr>
            </w:pPr>
            <w:r w:rsidRPr="004761E0">
              <w:rPr>
                <w:rFonts w:eastAsia="Times New Roman"/>
                <w:color w:val="000000"/>
                <w:sz w:val="20"/>
                <w:szCs w:val="20"/>
                <w:lang w:eastAsia="ru-RU"/>
              </w:rPr>
              <w:t>≥ 36 335</w:t>
            </w:r>
          </w:p>
        </w:tc>
        <w:tc>
          <w:tcPr>
            <w:tcW w:w="1323" w:type="dxa"/>
            <w:tcBorders>
              <w:top w:val="nil"/>
              <w:left w:val="nil"/>
              <w:bottom w:val="single" w:sz="4" w:space="0" w:color="auto"/>
              <w:right w:val="single" w:sz="4" w:space="0" w:color="auto"/>
            </w:tcBorders>
            <w:shd w:val="clear" w:color="auto" w:fill="auto"/>
            <w:noWrap/>
            <w:vAlign w:val="center"/>
            <w:hideMark/>
          </w:tcPr>
          <w:p w:rsidR="0050032D" w:rsidRPr="004761E0" w:rsidRDefault="0050032D" w:rsidP="00831EA8">
            <w:pPr>
              <w:ind w:firstLine="0"/>
              <w:jc w:val="right"/>
              <w:rPr>
                <w:rFonts w:eastAsia="Times New Roman"/>
                <w:color w:val="000000"/>
                <w:sz w:val="20"/>
                <w:szCs w:val="20"/>
                <w:lang w:eastAsia="ru-RU"/>
              </w:rPr>
            </w:pPr>
            <w:r w:rsidRPr="004761E0">
              <w:rPr>
                <w:rFonts w:eastAsia="Times New Roman"/>
                <w:color w:val="000000"/>
                <w:sz w:val="20"/>
                <w:szCs w:val="20"/>
                <w:lang w:eastAsia="ru-RU"/>
              </w:rPr>
              <w:t>36 430</w:t>
            </w:r>
          </w:p>
        </w:tc>
      </w:tr>
      <w:tr w:rsidR="0050032D" w:rsidRPr="004761E0" w:rsidTr="00831EA8">
        <w:trPr>
          <w:trHeight w:val="254"/>
        </w:trPr>
        <w:tc>
          <w:tcPr>
            <w:tcW w:w="576" w:type="dxa"/>
            <w:tcBorders>
              <w:top w:val="nil"/>
              <w:left w:val="single" w:sz="4" w:space="0" w:color="auto"/>
              <w:bottom w:val="single" w:sz="4" w:space="0" w:color="auto"/>
              <w:right w:val="single" w:sz="4" w:space="0" w:color="auto"/>
            </w:tcBorders>
            <w:vAlign w:val="center"/>
          </w:tcPr>
          <w:p w:rsidR="0050032D" w:rsidRPr="004761E0" w:rsidRDefault="0050032D" w:rsidP="007076A7">
            <w:pPr>
              <w:pStyle w:val="a5"/>
              <w:numPr>
                <w:ilvl w:val="0"/>
                <w:numId w:val="297"/>
              </w:numPr>
              <w:jc w:val="left"/>
              <w:rPr>
                <w:rFonts w:eastAsia="Times New Roman"/>
                <w:sz w:val="20"/>
                <w:szCs w:val="20"/>
                <w:lang w:eastAsia="ru-RU"/>
              </w:rPr>
            </w:pPr>
          </w:p>
        </w:tc>
        <w:tc>
          <w:tcPr>
            <w:tcW w:w="6277" w:type="dxa"/>
            <w:tcBorders>
              <w:top w:val="nil"/>
              <w:left w:val="single" w:sz="4" w:space="0" w:color="auto"/>
              <w:bottom w:val="single" w:sz="4" w:space="0" w:color="auto"/>
              <w:right w:val="single" w:sz="4" w:space="0" w:color="auto"/>
            </w:tcBorders>
            <w:shd w:val="clear" w:color="auto" w:fill="auto"/>
            <w:vAlign w:val="center"/>
            <w:hideMark/>
          </w:tcPr>
          <w:p w:rsidR="0050032D" w:rsidRPr="004761E0" w:rsidRDefault="0050032D" w:rsidP="00982E55">
            <w:pPr>
              <w:ind w:firstLine="0"/>
              <w:jc w:val="left"/>
              <w:rPr>
                <w:rFonts w:eastAsia="Times New Roman"/>
                <w:sz w:val="20"/>
                <w:szCs w:val="20"/>
                <w:lang w:eastAsia="ru-RU"/>
              </w:rPr>
            </w:pPr>
            <w:r w:rsidRPr="004761E0">
              <w:rPr>
                <w:rFonts w:eastAsia="Times New Roman"/>
                <w:sz w:val="20"/>
                <w:szCs w:val="20"/>
                <w:lang w:eastAsia="ru-RU"/>
              </w:rPr>
              <w:t>Темп роста подконтрольных операционных расходов в периоде к факту предыдущего периода</w:t>
            </w:r>
          </w:p>
        </w:tc>
        <w:tc>
          <w:tcPr>
            <w:tcW w:w="998" w:type="dxa"/>
            <w:tcBorders>
              <w:top w:val="nil"/>
              <w:left w:val="nil"/>
              <w:bottom w:val="single" w:sz="4" w:space="0" w:color="auto"/>
              <w:right w:val="single" w:sz="4" w:space="0" w:color="auto"/>
            </w:tcBorders>
            <w:shd w:val="clear" w:color="auto" w:fill="auto"/>
            <w:vAlign w:val="center"/>
            <w:hideMark/>
          </w:tcPr>
          <w:p w:rsidR="0050032D" w:rsidRPr="004761E0" w:rsidRDefault="0050032D" w:rsidP="00982E55">
            <w:pPr>
              <w:ind w:firstLine="0"/>
              <w:jc w:val="center"/>
              <w:rPr>
                <w:rFonts w:eastAsia="Times New Roman"/>
                <w:sz w:val="20"/>
                <w:szCs w:val="20"/>
                <w:lang w:eastAsia="ru-RU"/>
              </w:rPr>
            </w:pPr>
            <w:r w:rsidRPr="004761E0">
              <w:rPr>
                <w:rFonts w:eastAsia="Times New Roman"/>
                <w:sz w:val="20"/>
                <w:szCs w:val="20"/>
                <w:lang w:eastAsia="ru-RU"/>
              </w:rPr>
              <w:t>ед.</w:t>
            </w:r>
          </w:p>
        </w:tc>
        <w:tc>
          <w:tcPr>
            <w:tcW w:w="1427" w:type="dxa"/>
            <w:tcBorders>
              <w:top w:val="nil"/>
              <w:left w:val="nil"/>
              <w:bottom w:val="single" w:sz="4" w:space="0" w:color="auto"/>
              <w:right w:val="single" w:sz="4" w:space="0" w:color="auto"/>
            </w:tcBorders>
            <w:shd w:val="clear" w:color="auto" w:fill="auto"/>
            <w:noWrap/>
            <w:vAlign w:val="center"/>
            <w:hideMark/>
          </w:tcPr>
          <w:p w:rsidR="0050032D" w:rsidRPr="004761E0" w:rsidRDefault="0050032D" w:rsidP="00831EA8">
            <w:pPr>
              <w:ind w:firstLine="0"/>
              <w:jc w:val="right"/>
              <w:rPr>
                <w:rFonts w:eastAsia="Times New Roman"/>
                <w:color w:val="000000"/>
                <w:sz w:val="20"/>
                <w:szCs w:val="20"/>
                <w:lang w:eastAsia="ru-RU"/>
              </w:rPr>
            </w:pPr>
            <w:r w:rsidRPr="004761E0">
              <w:rPr>
                <w:rFonts w:eastAsia="Times New Roman"/>
                <w:color w:val="000000"/>
                <w:sz w:val="20"/>
                <w:szCs w:val="20"/>
                <w:lang w:eastAsia="ru-RU"/>
              </w:rPr>
              <w:t>≤ 0,98</w:t>
            </w:r>
          </w:p>
        </w:tc>
        <w:tc>
          <w:tcPr>
            <w:tcW w:w="1323" w:type="dxa"/>
            <w:tcBorders>
              <w:top w:val="nil"/>
              <w:left w:val="nil"/>
              <w:bottom w:val="single" w:sz="4" w:space="0" w:color="auto"/>
              <w:right w:val="single" w:sz="4" w:space="0" w:color="auto"/>
            </w:tcBorders>
            <w:shd w:val="clear" w:color="auto" w:fill="auto"/>
            <w:noWrap/>
            <w:vAlign w:val="center"/>
            <w:hideMark/>
          </w:tcPr>
          <w:p w:rsidR="0050032D" w:rsidRPr="004761E0" w:rsidRDefault="0050032D" w:rsidP="002E3D0F">
            <w:pPr>
              <w:ind w:firstLine="0"/>
              <w:jc w:val="right"/>
              <w:rPr>
                <w:rFonts w:eastAsia="Times New Roman"/>
                <w:color w:val="000000"/>
                <w:sz w:val="20"/>
                <w:szCs w:val="20"/>
                <w:lang w:eastAsia="ru-RU"/>
              </w:rPr>
            </w:pPr>
            <w:r w:rsidRPr="004761E0">
              <w:rPr>
                <w:rFonts w:eastAsia="Times New Roman"/>
                <w:color w:val="000000"/>
                <w:sz w:val="20"/>
                <w:szCs w:val="20"/>
                <w:lang w:eastAsia="ru-RU"/>
              </w:rPr>
              <w:t>0,9</w:t>
            </w:r>
            <w:r w:rsidR="002E3D0F">
              <w:rPr>
                <w:rFonts w:eastAsia="Times New Roman"/>
                <w:color w:val="000000"/>
                <w:sz w:val="20"/>
                <w:szCs w:val="20"/>
                <w:lang w:eastAsia="ru-RU"/>
              </w:rPr>
              <w:t>7</w:t>
            </w:r>
          </w:p>
        </w:tc>
      </w:tr>
      <w:tr w:rsidR="0050032D" w:rsidRPr="004761E0" w:rsidTr="00831EA8">
        <w:trPr>
          <w:trHeight w:val="182"/>
        </w:trPr>
        <w:tc>
          <w:tcPr>
            <w:tcW w:w="576" w:type="dxa"/>
            <w:tcBorders>
              <w:top w:val="nil"/>
              <w:left w:val="single" w:sz="4" w:space="0" w:color="auto"/>
              <w:bottom w:val="single" w:sz="4" w:space="0" w:color="auto"/>
              <w:right w:val="single" w:sz="4" w:space="0" w:color="auto"/>
            </w:tcBorders>
            <w:vAlign w:val="center"/>
          </w:tcPr>
          <w:p w:rsidR="0050032D" w:rsidRPr="004761E0" w:rsidRDefault="0050032D" w:rsidP="007076A7">
            <w:pPr>
              <w:pStyle w:val="a5"/>
              <w:numPr>
                <w:ilvl w:val="0"/>
                <w:numId w:val="297"/>
              </w:numPr>
              <w:jc w:val="left"/>
              <w:rPr>
                <w:rFonts w:eastAsia="Times New Roman"/>
                <w:sz w:val="20"/>
                <w:szCs w:val="20"/>
                <w:lang w:eastAsia="ru-RU"/>
              </w:rPr>
            </w:pPr>
          </w:p>
        </w:tc>
        <w:tc>
          <w:tcPr>
            <w:tcW w:w="6277" w:type="dxa"/>
            <w:tcBorders>
              <w:top w:val="nil"/>
              <w:left w:val="single" w:sz="4" w:space="0" w:color="auto"/>
              <w:bottom w:val="single" w:sz="4" w:space="0" w:color="auto"/>
              <w:right w:val="single" w:sz="4" w:space="0" w:color="auto"/>
            </w:tcBorders>
            <w:shd w:val="clear" w:color="auto" w:fill="auto"/>
            <w:vAlign w:val="center"/>
            <w:hideMark/>
          </w:tcPr>
          <w:p w:rsidR="0050032D" w:rsidRPr="004761E0" w:rsidRDefault="0050032D" w:rsidP="00982E55">
            <w:pPr>
              <w:ind w:firstLine="0"/>
              <w:jc w:val="left"/>
              <w:rPr>
                <w:rFonts w:eastAsia="Times New Roman"/>
                <w:sz w:val="20"/>
                <w:szCs w:val="20"/>
                <w:lang w:eastAsia="ru-RU"/>
              </w:rPr>
            </w:pPr>
            <w:r w:rsidRPr="004761E0">
              <w:rPr>
                <w:rFonts w:eastAsia="Times New Roman"/>
                <w:sz w:val="20"/>
                <w:szCs w:val="20"/>
                <w:lang w:eastAsia="ru-RU"/>
              </w:rPr>
              <w:t>Уровень потерь электроэнергии к отпуску в сеть</w:t>
            </w:r>
          </w:p>
        </w:tc>
        <w:tc>
          <w:tcPr>
            <w:tcW w:w="998" w:type="dxa"/>
            <w:tcBorders>
              <w:top w:val="nil"/>
              <w:left w:val="nil"/>
              <w:bottom w:val="single" w:sz="4" w:space="0" w:color="auto"/>
              <w:right w:val="single" w:sz="4" w:space="0" w:color="auto"/>
            </w:tcBorders>
            <w:shd w:val="clear" w:color="auto" w:fill="auto"/>
            <w:vAlign w:val="center"/>
            <w:hideMark/>
          </w:tcPr>
          <w:p w:rsidR="0050032D" w:rsidRPr="004761E0" w:rsidRDefault="0050032D" w:rsidP="00982E55">
            <w:pPr>
              <w:ind w:firstLine="0"/>
              <w:jc w:val="center"/>
              <w:rPr>
                <w:rFonts w:eastAsia="Times New Roman"/>
                <w:sz w:val="20"/>
                <w:szCs w:val="20"/>
                <w:lang w:eastAsia="ru-RU"/>
              </w:rPr>
            </w:pPr>
            <w:r w:rsidRPr="004761E0">
              <w:rPr>
                <w:rFonts w:eastAsia="Times New Roman"/>
                <w:sz w:val="20"/>
                <w:szCs w:val="20"/>
                <w:lang w:eastAsia="ru-RU"/>
              </w:rPr>
              <w:t>%</w:t>
            </w:r>
          </w:p>
        </w:tc>
        <w:tc>
          <w:tcPr>
            <w:tcW w:w="1427" w:type="dxa"/>
            <w:tcBorders>
              <w:top w:val="nil"/>
              <w:left w:val="nil"/>
              <w:bottom w:val="single" w:sz="4" w:space="0" w:color="auto"/>
              <w:right w:val="single" w:sz="4" w:space="0" w:color="auto"/>
            </w:tcBorders>
            <w:shd w:val="clear" w:color="auto" w:fill="auto"/>
            <w:noWrap/>
            <w:vAlign w:val="center"/>
            <w:hideMark/>
          </w:tcPr>
          <w:p w:rsidR="0050032D" w:rsidRPr="004761E0" w:rsidRDefault="0050032D" w:rsidP="00831EA8">
            <w:pPr>
              <w:ind w:firstLine="0"/>
              <w:jc w:val="right"/>
              <w:rPr>
                <w:rFonts w:eastAsia="Times New Roman"/>
                <w:color w:val="000000"/>
                <w:sz w:val="20"/>
                <w:szCs w:val="20"/>
                <w:lang w:eastAsia="ru-RU"/>
              </w:rPr>
            </w:pPr>
            <w:r w:rsidRPr="004761E0">
              <w:rPr>
                <w:rFonts w:eastAsia="Times New Roman"/>
                <w:color w:val="000000"/>
                <w:sz w:val="20"/>
                <w:szCs w:val="20"/>
                <w:lang w:eastAsia="ru-RU"/>
              </w:rPr>
              <w:t>≤ 9,19</w:t>
            </w:r>
          </w:p>
        </w:tc>
        <w:tc>
          <w:tcPr>
            <w:tcW w:w="1323" w:type="dxa"/>
            <w:tcBorders>
              <w:top w:val="nil"/>
              <w:left w:val="nil"/>
              <w:bottom w:val="single" w:sz="4" w:space="0" w:color="auto"/>
              <w:right w:val="single" w:sz="4" w:space="0" w:color="auto"/>
            </w:tcBorders>
            <w:shd w:val="clear" w:color="auto" w:fill="auto"/>
            <w:noWrap/>
            <w:vAlign w:val="center"/>
            <w:hideMark/>
          </w:tcPr>
          <w:p w:rsidR="0050032D" w:rsidRPr="004761E0" w:rsidRDefault="0050032D" w:rsidP="00831EA8">
            <w:pPr>
              <w:ind w:firstLine="0"/>
              <w:jc w:val="right"/>
              <w:rPr>
                <w:rFonts w:eastAsia="Times New Roman"/>
                <w:color w:val="000000"/>
                <w:sz w:val="20"/>
                <w:szCs w:val="20"/>
                <w:lang w:eastAsia="ru-RU"/>
              </w:rPr>
            </w:pPr>
            <w:r w:rsidRPr="004761E0">
              <w:rPr>
                <w:rFonts w:eastAsia="Times New Roman"/>
                <w:color w:val="000000"/>
                <w:sz w:val="20"/>
                <w:szCs w:val="20"/>
                <w:lang w:eastAsia="ru-RU"/>
              </w:rPr>
              <w:t>9,16</w:t>
            </w:r>
          </w:p>
        </w:tc>
      </w:tr>
      <w:tr w:rsidR="0050032D" w:rsidRPr="004761E0" w:rsidTr="00831EA8">
        <w:trPr>
          <w:trHeight w:val="248"/>
        </w:trPr>
        <w:tc>
          <w:tcPr>
            <w:tcW w:w="576" w:type="dxa"/>
            <w:tcBorders>
              <w:top w:val="nil"/>
              <w:left w:val="single" w:sz="4" w:space="0" w:color="auto"/>
              <w:bottom w:val="single" w:sz="4" w:space="0" w:color="auto"/>
              <w:right w:val="single" w:sz="4" w:space="0" w:color="auto"/>
            </w:tcBorders>
            <w:vAlign w:val="center"/>
          </w:tcPr>
          <w:p w:rsidR="0050032D" w:rsidRPr="004761E0" w:rsidRDefault="0050032D" w:rsidP="007076A7">
            <w:pPr>
              <w:pStyle w:val="a5"/>
              <w:numPr>
                <w:ilvl w:val="0"/>
                <w:numId w:val="297"/>
              </w:numPr>
              <w:jc w:val="left"/>
              <w:rPr>
                <w:rFonts w:eastAsia="Times New Roman"/>
                <w:bCs/>
                <w:sz w:val="20"/>
                <w:szCs w:val="20"/>
                <w:lang w:eastAsia="ru-RU"/>
              </w:rPr>
            </w:pPr>
          </w:p>
        </w:tc>
        <w:tc>
          <w:tcPr>
            <w:tcW w:w="6277" w:type="dxa"/>
            <w:tcBorders>
              <w:top w:val="nil"/>
              <w:left w:val="single" w:sz="4" w:space="0" w:color="auto"/>
              <w:bottom w:val="single" w:sz="4" w:space="0" w:color="auto"/>
              <w:right w:val="single" w:sz="4" w:space="0" w:color="auto"/>
            </w:tcBorders>
            <w:shd w:val="clear" w:color="auto" w:fill="auto"/>
            <w:vAlign w:val="center"/>
            <w:hideMark/>
          </w:tcPr>
          <w:p w:rsidR="0050032D" w:rsidRPr="004761E0" w:rsidRDefault="0050032D" w:rsidP="00831EA8">
            <w:pPr>
              <w:ind w:firstLine="0"/>
              <w:jc w:val="left"/>
              <w:rPr>
                <w:rFonts w:eastAsia="Times New Roman"/>
                <w:bCs/>
                <w:sz w:val="20"/>
                <w:szCs w:val="20"/>
                <w:lang w:eastAsia="ru-RU"/>
              </w:rPr>
            </w:pPr>
            <w:r w:rsidRPr="004761E0">
              <w:rPr>
                <w:rFonts w:eastAsia="Times New Roman"/>
                <w:bCs/>
                <w:sz w:val="20"/>
                <w:szCs w:val="20"/>
                <w:lang w:eastAsia="ru-RU"/>
              </w:rPr>
              <w:t>Эффективность инвестиционной деятельности:</w:t>
            </w:r>
          </w:p>
        </w:tc>
        <w:tc>
          <w:tcPr>
            <w:tcW w:w="998" w:type="dxa"/>
            <w:tcBorders>
              <w:top w:val="nil"/>
              <w:left w:val="nil"/>
              <w:bottom w:val="single" w:sz="4" w:space="0" w:color="auto"/>
              <w:right w:val="single" w:sz="4" w:space="0" w:color="auto"/>
            </w:tcBorders>
            <w:shd w:val="clear" w:color="auto" w:fill="auto"/>
            <w:vAlign w:val="center"/>
            <w:hideMark/>
          </w:tcPr>
          <w:p w:rsidR="0050032D" w:rsidRPr="004761E0" w:rsidRDefault="0050032D" w:rsidP="00982E55">
            <w:pPr>
              <w:ind w:firstLine="0"/>
              <w:jc w:val="center"/>
              <w:rPr>
                <w:rFonts w:eastAsia="Times New Roman"/>
                <w:bCs/>
                <w:sz w:val="20"/>
                <w:szCs w:val="20"/>
                <w:lang w:eastAsia="ru-RU"/>
              </w:rPr>
            </w:pPr>
            <w:r w:rsidRPr="004761E0">
              <w:rPr>
                <w:rFonts w:eastAsia="Times New Roman"/>
                <w:bCs/>
                <w:sz w:val="20"/>
                <w:szCs w:val="20"/>
                <w:lang w:eastAsia="ru-RU"/>
              </w:rPr>
              <w:t> </w:t>
            </w:r>
          </w:p>
        </w:tc>
        <w:tc>
          <w:tcPr>
            <w:tcW w:w="1427" w:type="dxa"/>
            <w:tcBorders>
              <w:top w:val="nil"/>
              <w:left w:val="nil"/>
              <w:bottom w:val="single" w:sz="4" w:space="0" w:color="auto"/>
              <w:right w:val="single" w:sz="4" w:space="0" w:color="auto"/>
            </w:tcBorders>
            <w:shd w:val="clear" w:color="auto" w:fill="auto"/>
            <w:noWrap/>
            <w:vAlign w:val="center"/>
            <w:hideMark/>
          </w:tcPr>
          <w:p w:rsidR="0050032D" w:rsidRPr="004761E0" w:rsidRDefault="0050032D" w:rsidP="00831EA8">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 </w:t>
            </w:r>
          </w:p>
        </w:tc>
        <w:tc>
          <w:tcPr>
            <w:tcW w:w="1323" w:type="dxa"/>
            <w:tcBorders>
              <w:top w:val="nil"/>
              <w:left w:val="nil"/>
              <w:bottom w:val="single" w:sz="4" w:space="0" w:color="auto"/>
              <w:right w:val="single" w:sz="4" w:space="0" w:color="auto"/>
            </w:tcBorders>
            <w:shd w:val="clear" w:color="auto" w:fill="auto"/>
            <w:noWrap/>
            <w:vAlign w:val="center"/>
            <w:hideMark/>
          </w:tcPr>
          <w:p w:rsidR="0050032D" w:rsidRPr="004761E0" w:rsidRDefault="0050032D" w:rsidP="00831EA8">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 </w:t>
            </w:r>
          </w:p>
        </w:tc>
      </w:tr>
      <w:tr w:rsidR="0050032D" w:rsidRPr="004761E0" w:rsidTr="00831EA8">
        <w:trPr>
          <w:trHeight w:val="378"/>
        </w:trPr>
        <w:tc>
          <w:tcPr>
            <w:tcW w:w="576" w:type="dxa"/>
            <w:tcBorders>
              <w:top w:val="nil"/>
              <w:left w:val="single" w:sz="4" w:space="0" w:color="auto"/>
              <w:bottom w:val="single" w:sz="4" w:space="0" w:color="auto"/>
              <w:right w:val="single" w:sz="4" w:space="0" w:color="auto"/>
            </w:tcBorders>
            <w:vAlign w:val="center"/>
          </w:tcPr>
          <w:p w:rsidR="0050032D" w:rsidRPr="004761E0" w:rsidRDefault="0050032D" w:rsidP="007076A7">
            <w:pPr>
              <w:pStyle w:val="a5"/>
              <w:numPr>
                <w:ilvl w:val="1"/>
                <w:numId w:val="297"/>
              </w:numPr>
              <w:jc w:val="left"/>
              <w:rPr>
                <w:rFonts w:eastAsia="Times New Roman"/>
                <w:sz w:val="20"/>
                <w:szCs w:val="20"/>
                <w:lang w:eastAsia="ru-RU"/>
              </w:rPr>
            </w:pPr>
          </w:p>
        </w:tc>
        <w:tc>
          <w:tcPr>
            <w:tcW w:w="6277" w:type="dxa"/>
            <w:tcBorders>
              <w:top w:val="nil"/>
              <w:left w:val="single" w:sz="4" w:space="0" w:color="auto"/>
              <w:bottom w:val="single" w:sz="4" w:space="0" w:color="auto"/>
              <w:right w:val="single" w:sz="4" w:space="0" w:color="auto"/>
            </w:tcBorders>
            <w:shd w:val="clear" w:color="auto" w:fill="auto"/>
            <w:vAlign w:val="center"/>
            <w:hideMark/>
          </w:tcPr>
          <w:p w:rsidR="0050032D" w:rsidRPr="004761E0" w:rsidRDefault="0050032D" w:rsidP="00982E55">
            <w:pPr>
              <w:ind w:firstLine="0"/>
              <w:jc w:val="left"/>
              <w:rPr>
                <w:rFonts w:eastAsia="Times New Roman"/>
                <w:sz w:val="20"/>
                <w:szCs w:val="20"/>
                <w:lang w:eastAsia="ru-RU"/>
              </w:rPr>
            </w:pPr>
            <w:r w:rsidRPr="004761E0">
              <w:rPr>
                <w:rFonts w:eastAsia="Times New Roman"/>
                <w:sz w:val="20"/>
                <w:szCs w:val="20"/>
                <w:lang w:eastAsia="ru-RU"/>
              </w:rPr>
              <w:t>Выполнение графиков ввода мощностей и плана по финансированию и объему капитальных вложений, закрытых актами выполненных работ (по году)</w:t>
            </w:r>
          </w:p>
        </w:tc>
        <w:tc>
          <w:tcPr>
            <w:tcW w:w="998" w:type="dxa"/>
            <w:tcBorders>
              <w:top w:val="nil"/>
              <w:left w:val="nil"/>
              <w:bottom w:val="single" w:sz="4" w:space="0" w:color="auto"/>
              <w:right w:val="single" w:sz="4" w:space="0" w:color="auto"/>
            </w:tcBorders>
            <w:shd w:val="clear" w:color="auto" w:fill="auto"/>
            <w:vAlign w:val="center"/>
            <w:hideMark/>
          </w:tcPr>
          <w:p w:rsidR="0050032D" w:rsidRPr="004761E0" w:rsidRDefault="0050032D" w:rsidP="00982E55">
            <w:pPr>
              <w:ind w:firstLine="0"/>
              <w:jc w:val="center"/>
              <w:rPr>
                <w:rFonts w:eastAsia="Times New Roman"/>
                <w:sz w:val="20"/>
                <w:szCs w:val="20"/>
                <w:lang w:eastAsia="ru-RU"/>
              </w:rPr>
            </w:pPr>
            <w:r w:rsidRPr="004761E0">
              <w:rPr>
                <w:rFonts w:eastAsia="Times New Roman"/>
                <w:sz w:val="20"/>
                <w:szCs w:val="20"/>
                <w:lang w:eastAsia="ru-RU"/>
              </w:rPr>
              <w:t>%</w:t>
            </w:r>
          </w:p>
        </w:tc>
        <w:tc>
          <w:tcPr>
            <w:tcW w:w="1427" w:type="dxa"/>
            <w:tcBorders>
              <w:top w:val="nil"/>
              <w:left w:val="nil"/>
              <w:bottom w:val="single" w:sz="4" w:space="0" w:color="auto"/>
              <w:right w:val="single" w:sz="4" w:space="0" w:color="auto"/>
            </w:tcBorders>
            <w:shd w:val="clear" w:color="auto" w:fill="auto"/>
            <w:noWrap/>
            <w:vAlign w:val="center"/>
            <w:hideMark/>
          </w:tcPr>
          <w:p w:rsidR="0050032D" w:rsidRPr="004761E0" w:rsidRDefault="0050032D" w:rsidP="00831EA8">
            <w:pPr>
              <w:ind w:firstLine="0"/>
              <w:jc w:val="right"/>
              <w:rPr>
                <w:rFonts w:eastAsia="Times New Roman"/>
                <w:color w:val="000000"/>
                <w:sz w:val="20"/>
                <w:szCs w:val="20"/>
                <w:lang w:eastAsia="ru-RU"/>
              </w:rPr>
            </w:pPr>
            <w:r w:rsidRPr="004761E0">
              <w:rPr>
                <w:rFonts w:eastAsia="Times New Roman"/>
                <w:color w:val="000000"/>
                <w:sz w:val="20"/>
                <w:szCs w:val="20"/>
                <w:lang w:eastAsia="ru-RU"/>
              </w:rPr>
              <w:t>≥ 95</w:t>
            </w:r>
          </w:p>
        </w:tc>
        <w:tc>
          <w:tcPr>
            <w:tcW w:w="1323" w:type="dxa"/>
            <w:tcBorders>
              <w:top w:val="nil"/>
              <w:left w:val="nil"/>
              <w:bottom w:val="single" w:sz="4" w:space="0" w:color="auto"/>
              <w:right w:val="single" w:sz="4" w:space="0" w:color="auto"/>
            </w:tcBorders>
            <w:shd w:val="clear" w:color="auto" w:fill="auto"/>
            <w:noWrap/>
            <w:vAlign w:val="center"/>
            <w:hideMark/>
          </w:tcPr>
          <w:p w:rsidR="0050032D" w:rsidRPr="004761E0" w:rsidRDefault="0050032D" w:rsidP="00831EA8">
            <w:pPr>
              <w:ind w:firstLine="0"/>
              <w:jc w:val="right"/>
              <w:rPr>
                <w:rFonts w:eastAsia="Times New Roman"/>
                <w:color w:val="000000"/>
                <w:sz w:val="20"/>
                <w:szCs w:val="20"/>
                <w:lang w:eastAsia="ru-RU"/>
              </w:rPr>
            </w:pPr>
            <w:r w:rsidRPr="004761E0">
              <w:rPr>
                <w:rFonts w:eastAsia="Times New Roman"/>
                <w:color w:val="000000"/>
                <w:sz w:val="20"/>
                <w:szCs w:val="20"/>
                <w:lang w:eastAsia="ru-RU"/>
              </w:rPr>
              <w:t>102</w:t>
            </w:r>
          </w:p>
        </w:tc>
      </w:tr>
      <w:tr w:rsidR="0050032D" w:rsidRPr="004761E0" w:rsidTr="00831EA8">
        <w:trPr>
          <w:trHeight w:val="182"/>
        </w:trPr>
        <w:tc>
          <w:tcPr>
            <w:tcW w:w="576" w:type="dxa"/>
            <w:tcBorders>
              <w:top w:val="nil"/>
              <w:left w:val="single" w:sz="4" w:space="0" w:color="auto"/>
              <w:bottom w:val="single" w:sz="4" w:space="0" w:color="auto"/>
              <w:right w:val="single" w:sz="4" w:space="0" w:color="auto"/>
            </w:tcBorders>
            <w:vAlign w:val="center"/>
          </w:tcPr>
          <w:p w:rsidR="0050032D" w:rsidRPr="004761E0" w:rsidRDefault="0050032D" w:rsidP="007076A7">
            <w:pPr>
              <w:pStyle w:val="a5"/>
              <w:numPr>
                <w:ilvl w:val="1"/>
                <w:numId w:val="297"/>
              </w:numPr>
              <w:jc w:val="left"/>
              <w:rPr>
                <w:rFonts w:eastAsia="Times New Roman"/>
                <w:sz w:val="20"/>
                <w:szCs w:val="20"/>
                <w:lang w:eastAsia="ru-RU"/>
              </w:rPr>
            </w:pPr>
          </w:p>
        </w:tc>
        <w:tc>
          <w:tcPr>
            <w:tcW w:w="6277" w:type="dxa"/>
            <w:tcBorders>
              <w:top w:val="nil"/>
              <w:left w:val="single" w:sz="4" w:space="0" w:color="auto"/>
              <w:bottom w:val="single" w:sz="4" w:space="0" w:color="auto"/>
              <w:right w:val="single" w:sz="4" w:space="0" w:color="auto"/>
            </w:tcBorders>
            <w:shd w:val="clear" w:color="auto" w:fill="auto"/>
            <w:vAlign w:val="center"/>
            <w:hideMark/>
          </w:tcPr>
          <w:p w:rsidR="0050032D" w:rsidRPr="004761E0" w:rsidRDefault="0050032D" w:rsidP="00982E55">
            <w:pPr>
              <w:ind w:firstLine="0"/>
              <w:jc w:val="left"/>
              <w:rPr>
                <w:rFonts w:eastAsia="Times New Roman"/>
                <w:sz w:val="20"/>
                <w:szCs w:val="20"/>
                <w:lang w:eastAsia="ru-RU"/>
              </w:rPr>
            </w:pPr>
            <w:r w:rsidRPr="004761E0">
              <w:rPr>
                <w:rFonts w:eastAsia="Times New Roman"/>
                <w:sz w:val="20"/>
                <w:szCs w:val="20"/>
                <w:lang w:eastAsia="ru-RU"/>
              </w:rPr>
              <w:t>Загрузка вновь вводимых мощностей</w:t>
            </w:r>
          </w:p>
        </w:tc>
        <w:tc>
          <w:tcPr>
            <w:tcW w:w="998" w:type="dxa"/>
            <w:tcBorders>
              <w:top w:val="nil"/>
              <w:left w:val="nil"/>
              <w:bottom w:val="single" w:sz="4" w:space="0" w:color="auto"/>
              <w:right w:val="single" w:sz="4" w:space="0" w:color="auto"/>
            </w:tcBorders>
            <w:shd w:val="clear" w:color="auto" w:fill="auto"/>
            <w:vAlign w:val="center"/>
            <w:hideMark/>
          </w:tcPr>
          <w:p w:rsidR="0050032D" w:rsidRPr="004761E0" w:rsidRDefault="0050032D" w:rsidP="00982E55">
            <w:pPr>
              <w:ind w:firstLine="0"/>
              <w:jc w:val="center"/>
              <w:rPr>
                <w:rFonts w:eastAsia="Times New Roman"/>
                <w:sz w:val="20"/>
                <w:szCs w:val="20"/>
                <w:lang w:eastAsia="ru-RU"/>
              </w:rPr>
            </w:pPr>
            <w:r w:rsidRPr="004761E0">
              <w:rPr>
                <w:rFonts w:eastAsia="Times New Roman"/>
                <w:sz w:val="20"/>
                <w:szCs w:val="20"/>
                <w:lang w:eastAsia="ru-RU"/>
              </w:rPr>
              <w:t>ед.</w:t>
            </w:r>
          </w:p>
        </w:tc>
        <w:tc>
          <w:tcPr>
            <w:tcW w:w="1427" w:type="dxa"/>
            <w:tcBorders>
              <w:top w:val="nil"/>
              <w:left w:val="nil"/>
              <w:bottom w:val="single" w:sz="4" w:space="0" w:color="auto"/>
              <w:right w:val="single" w:sz="4" w:space="0" w:color="auto"/>
            </w:tcBorders>
            <w:shd w:val="clear" w:color="auto" w:fill="auto"/>
            <w:noWrap/>
            <w:vAlign w:val="center"/>
            <w:hideMark/>
          </w:tcPr>
          <w:p w:rsidR="0050032D" w:rsidRPr="004761E0" w:rsidRDefault="0050032D" w:rsidP="00831EA8">
            <w:pPr>
              <w:ind w:firstLine="0"/>
              <w:jc w:val="right"/>
              <w:rPr>
                <w:rFonts w:eastAsia="Times New Roman"/>
                <w:color w:val="000000"/>
                <w:sz w:val="20"/>
                <w:szCs w:val="20"/>
                <w:lang w:eastAsia="ru-RU"/>
              </w:rPr>
            </w:pPr>
            <w:r w:rsidRPr="004761E0">
              <w:rPr>
                <w:rFonts w:eastAsia="Times New Roman"/>
                <w:color w:val="000000"/>
                <w:sz w:val="20"/>
                <w:szCs w:val="20"/>
                <w:lang w:eastAsia="ru-RU"/>
              </w:rPr>
              <w:t>≥ 0,25</w:t>
            </w:r>
          </w:p>
        </w:tc>
        <w:tc>
          <w:tcPr>
            <w:tcW w:w="1323" w:type="dxa"/>
            <w:tcBorders>
              <w:top w:val="nil"/>
              <w:left w:val="nil"/>
              <w:bottom w:val="single" w:sz="4" w:space="0" w:color="auto"/>
              <w:right w:val="single" w:sz="4" w:space="0" w:color="auto"/>
            </w:tcBorders>
            <w:shd w:val="clear" w:color="auto" w:fill="auto"/>
            <w:noWrap/>
            <w:vAlign w:val="center"/>
            <w:hideMark/>
          </w:tcPr>
          <w:p w:rsidR="0050032D" w:rsidRPr="004761E0" w:rsidRDefault="0050032D" w:rsidP="00330D33">
            <w:pPr>
              <w:ind w:firstLine="0"/>
              <w:jc w:val="right"/>
              <w:rPr>
                <w:rFonts w:eastAsia="Times New Roman"/>
                <w:color w:val="000000"/>
                <w:sz w:val="20"/>
                <w:szCs w:val="20"/>
                <w:lang w:eastAsia="ru-RU"/>
              </w:rPr>
            </w:pPr>
            <w:r w:rsidRPr="004761E0">
              <w:rPr>
                <w:rFonts w:eastAsia="Times New Roman"/>
                <w:color w:val="000000"/>
                <w:sz w:val="20"/>
                <w:szCs w:val="20"/>
                <w:lang w:eastAsia="ru-RU"/>
              </w:rPr>
              <w:t>0,2</w:t>
            </w:r>
            <w:r w:rsidR="00330D33">
              <w:rPr>
                <w:rFonts w:eastAsia="Times New Roman"/>
                <w:color w:val="000000"/>
                <w:sz w:val="20"/>
                <w:szCs w:val="20"/>
                <w:lang w:eastAsia="ru-RU"/>
              </w:rPr>
              <w:t>7</w:t>
            </w:r>
          </w:p>
        </w:tc>
      </w:tr>
      <w:tr w:rsidR="0050032D" w:rsidRPr="004761E0" w:rsidTr="00831EA8">
        <w:trPr>
          <w:trHeight w:val="182"/>
        </w:trPr>
        <w:tc>
          <w:tcPr>
            <w:tcW w:w="576" w:type="dxa"/>
            <w:tcBorders>
              <w:top w:val="nil"/>
              <w:left w:val="single" w:sz="4" w:space="0" w:color="auto"/>
              <w:bottom w:val="single" w:sz="4" w:space="0" w:color="auto"/>
              <w:right w:val="single" w:sz="4" w:space="0" w:color="auto"/>
            </w:tcBorders>
            <w:vAlign w:val="center"/>
          </w:tcPr>
          <w:p w:rsidR="0050032D" w:rsidRPr="004761E0" w:rsidRDefault="0050032D" w:rsidP="007076A7">
            <w:pPr>
              <w:pStyle w:val="a5"/>
              <w:numPr>
                <w:ilvl w:val="0"/>
                <w:numId w:val="297"/>
              </w:numPr>
              <w:jc w:val="left"/>
              <w:rPr>
                <w:rFonts w:eastAsia="Times New Roman"/>
                <w:bCs/>
                <w:sz w:val="20"/>
                <w:szCs w:val="20"/>
                <w:lang w:eastAsia="ru-RU"/>
              </w:rPr>
            </w:pPr>
          </w:p>
        </w:tc>
        <w:tc>
          <w:tcPr>
            <w:tcW w:w="6277" w:type="dxa"/>
            <w:tcBorders>
              <w:top w:val="nil"/>
              <w:left w:val="single" w:sz="4" w:space="0" w:color="auto"/>
              <w:bottom w:val="single" w:sz="4" w:space="0" w:color="auto"/>
              <w:right w:val="single" w:sz="4" w:space="0" w:color="auto"/>
            </w:tcBorders>
            <w:shd w:val="clear" w:color="auto" w:fill="auto"/>
            <w:vAlign w:val="center"/>
            <w:hideMark/>
          </w:tcPr>
          <w:p w:rsidR="0050032D" w:rsidRPr="004761E0" w:rsidRDefault="0050032D" w:rsidP="00982E55">
            <w:pPr>
              <w:ind w:firstLine="0"/>
              <w:jc w:val="left"/>
              <w:rPr>
                <w:rFonts w:eastAsia="Times New Roman"/>
                <w:bCs/>
                <w:sz w:val="20"/>
                <w:szCs w:val="20"/>
                <w:lang w:eastAsia="ru-RU"/>
              </w:rPr>
            </w:pPr>
            <w:r w:rsidRPr="004761E0">
              <w:rPr>
                <w:rFonts w:eastAsia="Times New Roman"/>
                <w:bCs/>
                <w:sz w:val="20"/>
                <w:szCs w:val="20"/>
                <w:lang w:eastAsia="ru-RU"/>
              </w:rPr>
              <w:t>Уровень качества оказываемых услуг:</w:t>
            </w:r>
          </w:p>
        </w:tc>
        <w:tc>
          <w:tcPr>
            <w:tcW w:w="998" w:type="dxa"/>
            <w:tcBorders>
              <w:top w:val="nil"/>
              <w:left w:val="nil"/>
              <w:bottom w:val="single" w:sz="4" w:space="0" w:color="auto"/>
              <w:right w:val="single" w:sz="4" w:space="0" w:color="auto"/>
            </w:tcBorders>
            <w:shd w:val="clear" w:color="auto" w:fill="auto"/>
            <w:vAlign w:val="center"/>
            <w:hideMark/>
          </w:tcPr>
          <w:p w:rsidR="0050032D" w:rsidRPr="004761E0" w:rsidRDefault="0050032D" w:rsidP="00982E55">
            <w:pPr>
              <w:ind w:firstLine="0"/>
              <w:jc w:val="center"/>
              <w:rPr>
                <w:rFonts w:eastAsia="Times New Roman"/>
                <w:bCs/>
                <w:sz w:val="20"/>
                <w:szCs w:val="20"/>
                <w:lang w:eastAsia="ru-RU"/>
              </w:rPr>
            </w:pPr>
            <w:r w:rsidRPr="004761E0">
              <w:rPr>
                <w:rFonts w:eastAsia="Times New Roman"/>
                <w:bCs/>
                <w:sz w:val="20"/>
                <w:szCs w:val="20"/>
                <w:lang w:eastAsia="ru-RU"/>
              </w:rPr>
              <w:t> </w:t>
            </w:r>
          </w:p>
        </w:tc>
        <w:tc>
          <w:tcPr>
            <w:tcW w:w="1427" w:type="dxa"/>
            <w:tcBorders>
              <w:top w:val="nil"/>
              <w:left w:val="nil"/>
              <w:bottom w:val="single" w:sz="4" w:space="0" w:color="auto"/>
              <w:right w:val="single" w:sz="4" w:space="0" w:color="auto"/>
            </w:tcBorders>
            <w:shd w:val="clear" w:color="auto" w:fill="auto"/>
            <w:noWrap/>
            <w:vAlign w:val="center"/>
            <w:hideMark/>
          </w:tcPr>
          <w:p w:rsidR="0050032D" w:rsidRPr="004761E0" w:rsidRDefault="0050032D" w:rsidP="00831EA8">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 </w:t>
            </w:r>
          </w:p>
        </w:tc>
        <w:tc>
          <w:tcPr>
            <w:tcW w:w="1323" w:type="dxa"/>
            <w:tcBorders>
              <w:top w:val="nil"/>
              <w:left w:val="nil"/>
              <w:bottom w:val="single" w:sz="4" w:space="0" w:color="auto"/>
              <w:right w:val="single" w:sz="4" w:space="0" w:color="auto"/>
            </w:tcBorders>
            <w:shd w:val="clear" w:color="auto" w:fill="auto"/>
            <w:noWrap/>
            <w:vAlign w:val="center"/>
            <w:hideMark/>
          </w:tcPr>
          <w:p w:rsidR="0050032D" w:rsidRPr="004761E0" w:rsidRDefault="0050032D" w:rsidP="00831EA8">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 </w:t>
            </w:r>
          </w:p>
        </w:tc>
      </w:tr>
      <w:tr w:rsidR="0050032D" w:rsidRPr="004761E0" w:rsidTr="00831EA8">
        <w:trPr>
          <w:trHeight w:val="182"/>
        </w:trPr>
        <w:tc>
          <w:tcPr>
            <w:tcW w:w="576" w:type="dxa"/>
            <w:tcBorders>
              <w:top w:val="nil"/>
              <w:left w:val="single" w:sz="4" w:space="0" w:color="auto"/>
              <w:bottom w:val="single" w:sz="4" w:space="0" w:color="auto"/>
              <w:right w:val="single" w:sz="4" w:space="0" w:color="auto"/>
            </w:tcBorders>
            <w:vAlign w:val="center"/>
          </w:tcPr>
          <w:p w:rsidR="0050032D" w:rsidRPr="004761E0" w:rsidRDefault="0050032D" w:rsidP="007076A7">
            <w:pPr>
              <w:pStyle w:val="a5"/>
              <w:numPr>
                <w:ilvl w:val="1"/>
                <w:numId w:val="297"/>
              </w:numPr>
              <w:jc w:val="left"/>
              <w:rPr>
                <w:rFonts w:eastAsia="Times New Roman"/>
                <w:sz w:val="20"/>
                <w:szCs w:val="20"/>
                <w:lang w:eastAsia="ru-RU"/>
              </w:rPr>
            </w:pPr>
          </w:p>
        </w:tc>
        <w:tc>
          <w:tcPr>
            <w:tcW w:w="6277" w:type="dxa"/>
            <w:tcBorders>
              <w:top w:val="nil"/>
              <w:left w:val="single" w:sz="4" w:space="0" w:color="auto"/>
              <w:bottom w:val="single" w:sz="4" w:space="0" w:color="auto"/>
              <w:right w:val="single" w:sz="4" w:space="0" w:color="auto"/>
            </w:tcBorders>
            <w:shd w:val="clear" w:color="auto" w:fill="auto"/>
            <w:vAlign w:val="center"/>
            <w:hideMark/>
          </w:tcPr>
          <w:p w:rsidR="0050032D" w:rsidRPr="004761E0" w:rsidRDefault="0050032D" w:rsidP="00982E55">
            <w:pPr>
              <w:ind w:firstLine="0"/>
              <w:jc w:val="left"/>
              <w:rPr>
                <w:rFonts w:eastAsia="Times New Roman"/>
                <w:sz w:val="20"/>
                <w:szCs w:val="20"/>
                <w:lang w:eastAsia="ru-RU"/>
              </w:rPr>
            </w:pPr>
            <w:r w:rsidRPr="004761E0">
              <w:rPr>
                <w:rFonts w:eastAsia="Times New Roman"/>
                <w:sz w:val="20"/>
                <w:szCs w:val="20"/>
                <w:lang w:eastAsia="ru-RU"/>
              </w:rPr>
              <w:t>Показатель уровня качества услуг по технологическому присоединению</w:t>
            </w:r>
          </w:p>
        </w:tc>
        <w:tc>
          <w:tcPr>
            <w:tcW w:w="998" w:type="dxa"/>
            <w:tcBorders>
              <w:top w:val="nil"/>
              <w:left w:val="nil"/>
              <w:bottom w:val="single" w:sz="4" w:space="0" w:color="auto"/>
              <w:right w:val="single" w:sz="4" w:space="0" w:color="auto"/>
            </w:tcBorders>
            <w:shd w:val="clear" w:color="auto" w:fill="auto"/>
            <w:vAlign w:val="center"/>
            <w:hideMark/>
          </w:tcPr>
          <w:p w:rsidR="0050032D" w:rsidRPr="004761E0" w:rsidRDefault="0050032D" w:rsidP="00982E55">
            <w:pPr>
              <w:ind w:firstLine="0"/>
              <w:jc w:val="center"/>
              <w:rPr>
                <w:rFonts w:eastAsia="Times New Roman"/>
                <w:sz w:val="20"/>
                <w:szCs w:val="20"/>
                <w:lang w:eastAsia="ru-RU"/>
              </w:rPr>
            </w:pPr>
            <w:r w:rsidRPr="004761E0">
              <w:rPr>
                <w:rFonts w:eastAsia="Times New Roman"/>
                <w:sz w:val="20"/>
                <w:szCs w:val="20"/>
                <w:lang w:eastAsia="ru-RU"/>
              </w:rPr>
              <w:t>ед.</w:t>
            </w:r>
          </w:p>
        </w:tc>
        <w:tc>
          <w:tcPr>
            <w:tcW w:w="1427" w:type="dxa"/>
            <w:tcBorders>
              <w:top w:val="nil"/>
              <w:left w:val="nil"/>
              <w:bottom w:val="single" w:sz="4" w:space="0" w:color="auto"/>
              <w:right w:val="single" w:sz="4" w:space="0" w:color="auto"/>
            </w:tcBorders>
            <w:shd w:val="clear" w:color="auto" w:fill="auto"/>
            <w:noWrap/>
            <w:vAlign w:val="center"/>
            <w:hideMark/>
          </w:tcPr>
          <w:p w:rsidR="0050032D" w:rsidRPr="004761E0" w:rsidRDefault="0050032D" w:rsidP="00831EA8">
            <w:pPr>
              <w:ind w:firstLine="0"/>
              <w:jc w:val="right"/>
              <w:rPr>
                <w:rFonts w:eastAsia="Times New Roman"/>
                <w:color w:val="000000"/>
                <w:sz w:val="20"/>
                <w:szCs w:val="20"/>
                <w:lang w:eastAsia="ru-RU"/>
              </w:rPr>
            </w:pPr>
            <w:r w:rsidRPr="004761E0">
              <w:rPr>
                <w:rFonts w:eastAsia="Times New Roman"/>
                <w:color w:val="000000"/>
                <w:sz w:val="20"/>
                <w:szCs w:val="20"/>
                <w:lang w:eastAsia="ru-RU"/>
              </w:rPr>
              <w:t>1</w:t>
            </w:r>
          </w:p>
        </w:tc>
        <w:tc>
          <w:tcPr>
            <w:tcW w:w="1323" w:type="dxa"/>
            <w:tcBorders>
              <w:top w:val="nil"/>
              <w:left w:val="nil"/>
              <w:bottom w:val="single" w:sz="4" w:space="0" w:color="auto"/>
              <w:right w:val="single" w:sz="4" w:space="0" w:color="auto"/>
            </w:tcBorders>
            <w:shd w:val="clear" w:color="auto" w:fill="auto"/>
            <w:noWrap/>
            <w:vAlign w:val="center"/>
            <w:hideMark/>
          </w:tcPr>
          <w:p w:rsidR="0050032D" w:rsidRPr="004761E0" w:rsidRDefault="0050032D" w:rsidP="00831EA8">
            <w:pPr>
              <w:ind w:firstLine="0"/>
              <w:jc w:val="right"/>
              <w:rPr>
                <w:rFonts w:eastAsia="Times New Roman"/>
                <w:color w:val="000000"/>
                <w:sz w:val="20"/>
                <w:szCs w:val="20"/>
                <w:lang w:eastAsia="ru-RU"/>
              </w:rPr>
            </w:pPr>
            <w:r w:rsidRPr="004761E0">
              <w:rPr>
                <w:rFonts w:eastAsia="Times New Roman"/>
                <w:color w:val="000000"/>
                <w:sz w:val="20"/>
                <w:szCs w:val="20"/>
                <w:lang w:eastAsia="ru-RU"/>
              </w:rPr>
              <w:t>1</w:t>
            </w:r>
          </w:p>
        </w:tc>
      </w:tr>
      <w:tr w:rsidR="0050032D" w:rsidRPr="004761E0" w:rsidTr="00831EA8">
        <w:trPr>
          <w:trHeight w:val="182"/>
        </w:trPr>
        <w:tc>
          <w:tcPr>
            <w:tcW w:w="576" w:type="dxa"/>
            <w:tcBorders>
              <w:top w:val="nil"/>
              <w:left w:val="single" w:sz="4" w:space="0" w:color="auto"/>
              <w:bottom w:val="single" w:sz="4" w:space="0" w:color="auto"/>
              <w:right w:val="single" w:sz="4" w:space="0" w:color="auto"/>
            </w:tcBorders>
            <w:vAlign w:val="center"/>
          </w:tcPr>
          <w:p w:rsidR="0050032D" w:rsidRPr="004761E0" w:rsidRDefault="0050032D" w:rsidP="007076A7">
            <w:pPr>
              <w:pStyle w:val="a5"/>
              <w:numPr>
                <w:ilvl w:val="1"/>
                <w:numId w:val="297"/>
              </w:numPr>
              <w:jc w:val="left"/>
              <w:rPr>
                <w:rFonts w:eastAsia="Times New Roman"/>
                <w:sz w:val="20"/>
                <w:szCs w:val="20"/>
                <w:lang w:eastAsia="ru-RU"/>
              </w:rPr>
            </w:pPr>
          </w:p>
        </w:tc>
        <w:tc>
          <w:tcPr>
            <w:tcW w:w="6277" w:type="dxa"/>
            <w:tcBorders>
              <w:top w:val="nil"/>
              <w:left w:val="single" w:sz="4" w:space="0" w:color="auto"/>
              <w:bottom w:val="single" w:sz="4" w:space="0" w:color="auto"/>
              <w:right w:val="single" w:sz="4" w:space="0" w:color="auto"/>
            </w:tcBorders>
            <w:shd w:val="clear" w:color="auto" w:fill="auto"/>
            <w:vAlign w:val="center"/>
            <w:hideMark/>
          </w:tcPr>
          <w:p w:rsidR="0050032D" w:rsidRPr="004761E0" w:rsidRDefault="0050032D" w:rsidP="00982E55">
            <w:pPr>
              <w:ind w:firstLine="0"/>
              <w:jc w:val="left"/>
              <w:rPr>
                <w:rFonts w:eastAsia="Times New Roman"/>
                <w:sz w:val="20"/>
                <w:szCs w:val="20"/>
                <w:lang w:eastAsia="ru-RU"/>
              </w:rPr>
            </w:pPr>
            <w:r w:rsidRPr="004761E0">
              <w:rPr>
                <w:rFonts w:eastAsia="Times New Roman"/>
                <w:sz w:val="20"/>
                <w:szCs w:val="20"/>
                <w:lang w:eastAsia="ru-RU"/>
              </w:rPr>
              <w:t>Показатель уровня качества услуг по передаче электроэнергии</w:t>
            </w:r>
          </w:p>
        </w:tc>
        <w:tc>
          <w:tcPr>
            <w:tcW w:w="998" w:type="dxa"/>
            <w:tcBorders>
              <w:top w:val="nil"/>
              <w:left w:val="nil"/>
              <w:bottom w:val="single" w:sz="4" w:space="0" w:color="auto"/>
              <w:right w:val="single" w:sz="4" w:space="0" w:color="auto"/>
            </w:tcBorders>
            <w:shd w:val="clear" w:color="auto" w:fill="auto"/>
            <w:vAlign w:val="center"/>
            <w:hideMark/>
          </w:tcPr>
          <w:p w:rsidR="0050032D" w:rsidRPr="004761E0" w:rsidRDefault="0050032D" w:rsidP="00982E55">
            <w:pPr>
              <w:ind w:firstLine="0"/>
              <w:jc w:val="center"/>
              <w:rPr>
                <w:rFonts w:eastAsia="Times New Roman"/>
                <w:sz w:val="20"/>
                <w:szCs w:val="20"/>
                <w:lang w:eastAsia="ru-RU"/>
              </w:rPr>
            </w:pPr>
            <w:r w:rsidRPr="004761E0">
              <w:rPr>
                <w:rFonts w:eastAsia="Times New Roman"/>
                <w:sz w:val="20"/>
                <w:szCs w:val="20"/>
                <w:lang w:eastAsia="ru-RU"/>
              </w:rPr>
              <w:t>ед.</w:t>
            </w:r>
          </w:p>
        </w:tc>
        <w:tc>
          <w:tcPr>
            <w:tcW w:w="1427" w:type="dxa"/>
            <w:tcBorders>
              <w:top w:val="nil"/>
              <w:left w:val="nil"/>
              <w:bottom w:val="single" w:sz="4" w:space="0" w:color="auto"/>
              <w:right w:val="single" w:sz="4" w:space="0" w:color="auto"/>
            </w:tcBorders>
            <w:shd w:val="clear" w:color="auto" w:fill="auto"/>
            <w:noWrap/>
            <w:vAlign w:val="center"/>
            <w:hideMark/>
          </w:tcPr>
          <w:p w:rsidR="0050032D" w:rsidRPr="004761E0" w:rsidRDefault="0050032D" w:rsidP="00831EA8">
            <w:pPr>
              <w:ind w:firstLine="0"/>
              <w:jc w:val="right"/>
              <w:rPr>
                <w:rFonts w:eastAsia="Times New Roman"/>
                <w:color w:val="000000"/>
                <w:sz w:val="20"/>
                <w:szCs w:val="20"/>
                <w:lang w:eastAsia="ru-RU"/>
              </w:rPr>
            </w:pPr>
            <w:r w:rsidRPr="004761E0">
              <w:rPr>
                <w:rFonts w:eastAsia="Times New Roman"/>
                <w:color w:val="000000"/>
                <w:sz w:val="20"/>
                <w:szCs w:val="20"/>
                <w:lang w:eastAsia="ru-RU"/>
              </w:rPr>
              <w:t>1</w:t>
            </w:r>
          </w:p>
        </w:tc>
        <w:tc>
          <w:tcPr>
            <w:tcW w:w="1323" w:type="dxa"/>
            <w:tcBorders>
              <w:top w:val="nil"/>
              <w:left w:val="nil"/>
              <w:bottom w:val="single" w:sz="4" w:space="0" w:color="auto"/>
              <w:right w:val="single" w:sz="4" w:space="0" w:color="auto"/>
            </w:tcBorders>
            <w:shd w:val="clear" w:color="auto" w:fill="auto"/>
            <w:noWrap/>
            <w:vAlign w:val="center"/>
            <w:hideMark/>
          </w:tcPr>
          <w:p w:rsidR="0050032D" w:rsidRPr="004761E0" w:rsidRDefault="0050032D" w:rsidP="00831EA8">
            <w:pPr>
              <w:ind w:firstLine="0"/>
              <w:jc w:val="right"/>
              <w:rPr>
                <w:rFonts w:eastAsia="Times New Roman"/>
                <w:color w:val="000000"/>
                <w:sz w:val="20"/>
                <w:szCs w:val="20"/>
                <w:lang w:eastAsia="ru-RU"/>
              </w:rPr>
            </w:pPr>
            <w:r w:rsidRPr="004761E0">
              <w:rPr>
                <w:rFonts w:eastAsia="Times New Roman"/>
                <w:color w:val="000000"/>
                <w:sz w:val="20"/>
                <w:szCs w:val="20"/>
                <w:lang w:eastAsia="ru-RU"/>
              </w:rPr>
              <w:t>1</w:t>
            </w:r>
          </w:p>
        </w:tc>
      </w:tr>
      <w:tr w:rsidR="0050032D" w:rsidRPr="004761E0" w:rsidTr="00831EA8">
        <w:trPr>
          <w:trHeight w:val="182"/>
        </w:trPr>
        <w:tc>
          <w:tcPr>
            <w:tcW w:w="576" w:type="dxa"/>
            <w:tcBorders>
              <w:top w:val="nil"/>
              <w:left w:val="single" w:sz="4" w:space="0" w:color="auto"/>
              <w:bottom w:val="single" w:sz="4" w:space="0" w:color="auto"/>
              <w:right w:val="single" w:sz="4" w:space="0" w:color="auto"/>
            </w:tcBorders>
            <w:vAlign w:val="center"/>
          </w:tcPr>
          <w:p w:rsidR="0050032D" w:rsidRPr="004761E0" w:rsidRDefault="0050032D" w:rsidP="007076A7">
            <w:pPr>
              <w:pStyle w:val="a5"/>
              <w:numPr>
                <w:ilvl w:val="1"/>
                <w:numId w:val="297"/>
              </w:numPr>
              <w:jc w:val="left"/>
              <w:rPr>
                <w:rFonts w:eastAsia="Times New Roman"/>
                <w:sz w:val="20"/>
                <w:szCs w:val="20"/>
                <w:lang w:eastAsia="ru-RU"/>
              </w:rPr>
            </w:pPr>
          </w:p>
        </w:tc>
        <w:tc>
          <w:tcPr>
            <w:tcW w:w="6277" w:type="dxa"/>
            <w:tcBorders>
              <w:top w:val="nil"/>
              <w:left w:val="single" w:sz="4" w:space="0" w:color="auto"/>
              <w:bottom w:val="single" w:sz="4" w:space="0" w:color="auto"/>
              <w:right w:val="single" w:sz="4" w:space="0" w:color="auto"/>
            </w:tcBorders>
            <w:shd w:val="clear" w:color="auto" w:fill="auto"/>
            <w:vAlign w:val="center"/>
            <w:hideMark/>
          </w:tcPr>
          <w:p w:rsidR="0050032D" w:rsidRPr="004761E0" w:rsidRDefault="0050032D" w:rsidP="00982E55">
            <w:pPr>
              <w:ind w:firstLine="0"/>
              <w:jc w:val="left"/>
              <w:rPr>
                <w:rFonts w:eastAsia="Times New Roman"/>
                <w:sz w:val="20"/>
                <w:szCs w:val="20"/>
                <w:lang w:eastAsia="ru-RU"/>
              </w:rPr>
            </w:pPr>
            <w:r w:rsidRPr="004761E0">
              <w:rPr>
                <w:rFonts w:eastAsia="Times New Roman"/>
                <w:sz w:val="20"/>
                <w:szCs w:val="20"/>
                <w:lang w:eastAsia="ru-RU"/>
              </w:rPr>
              <w:t>Показатель уровня качества обслуживания</w:t>
            </w:r>
          </w:p>
        </w:tc>
        <w:tc>
          <w:tcPr>
            <w:tcW w:w="998" w:type="dxa"/>
            <w:tcBorders>
              <w:top w:val="nil"/>
              <w:left w:val="nil"/>
              <w:bottom w:val="single" w:sz="4" w:space="0" w:color="auto"/>
              <w:right w:val="single" w:sz="4" w:space="0" w:color="auto"/>
            </w:tcBorders>
            <w:shd w:val="clear" w:color="auto" w:fill="auto"/>
            <w:vAlign w:val="center"/>
            <w:hideMark/>
          </w:tcPr>
          <w:p w:rsidR="0050032D" w:rsidRPr="004761E0" w:rsidRDefault="0050032D" w:rsidP="00982E55">
            <w:pPr>
              <w:ind w:firstLine="0"/>
              <w:jc w:val="center"/>
              <w:rPr>
                <w:rFonts w:eastAsia="Times New Roman"/>
                <w:sz w:val="20"/>
                <w:szCs w:val="20"/>
                <w:lang w:eastAsia="ru-RU"/>
              </w:rPr>
            </w:pPr>
            <w:r w:rsidRPr="004761E0">
              <w:rPr>
                <w:rFonts w:eastAsia="Times New Roman"/>
                <w:sz w:val="20"/>
                <w:szCs w:val="20"/>
                <w:lang w:eastAsia="ru-RU"/>
              </w:rPr>
              <w:t>ед.</w:t>
            </w:r>
          </w:p>
        </w:tc>
        <w:tc>
          <w:tcPr>
            <w:tcW w:w="1427" w:type="dxa"/>
            <w:tcBorders>
              <w:top w:val="nil"/>
              <w:left w:val="nil"/>
              <w:bottom w:val="single" w:sz="4" w:space="0" w:color="auto"/>
              <w:right w:val="single" w:sz="4" w:space="0" w:color="auto"/>
            </w:tcBorders>
            <w:shd w:val="clear" w:color="auto" w:fill="auto"/>
            <w:noWrap/>
            <w:vAlign w:val="center"/>
            <w:hideMark/>
          </w:tcPr>
          <w:p w:rsidR="0050032D" w:rsidRPr="004761E0" w:rsidRDefault="0050032D" w:rsidP="00831EA8">
            <w:pPr>
              <w:ind w:firstLine="0"/>
              <w:jc w:val="right"/>
              <w:rPr>
                <w:rFonts w:eastAsia="Times New Roman"/>
                <w:color w:val="000000"/>
                <w:sz w:val="20"/>
                <w:szCs w:val="20"/>
                <w:lang w:eastAsia="ru-RU"/>
              </w:rPr>
            </w:pPr>
            <w:r w:rsidRPr="004761E0">
              <w:rPr>
                <w:rFonts w:eastAsia="Times New Roman"/>
                <w:color w:val="000000"/>
                <w:sz w:val="20"/>
                <w:szCs w:val="20"/>
                <w:lang w:eastAsia="ru-RU"/>
              </w:rPr>
              <w:t>1</w:t>
            </w:r>
          </w:p>
        </w:tc>
        <w:tc>
          <w:tcPr>
            <w:tcW w:w="1323" w:type="dxa"/>
            <w:tcBorders>
              <w:top w:val="nil"/>
              <w:left w:val="nil"/>
              <w:bottom w:val="single" w:sz="4" w:space="0" w:color="auto"/>
              <w:right w:val="single" w:sz="4" w:space="0" w:color="auto"/>
            </w:tcBorders>
            <w:shd w:val="clear" w:color="auto" w:fill="auto"/>
            <w:noWrap/>
            <w:vAlign w:val="center"/>
            <w:hideMark/>
          </w:tcPr>
          <w:p w:rsidR="0050032D" w:rsidRPr="004761E0" w:rsidRDefault="0050032D" w:rsidP="00831EA8">
            <w:pPr>
              <w:ind w:firstLine="0"/>
              <w:jc w:val="right"/>
              <w:rPr>
                <w:rFonts w:eastAsia="Times New Roman"/>
                <w:color w:val="000000"/>
                <w:sz w:val="20"/>
                <w:szCs w:val="20"/>
                <w:lang w:eastAsia="ru-RU"/>
              </w:rPr>
            </w:pPr>
            <w:r w:rsidRPr="004761E0">
              <w:rPr>
                <w:rFonts w:eastAsia="Times New Roman"/>
                <w:color w:val="000000"/>
                <w:sz w:val="20"/>
                <w:szCs w:val="20"/>
                <w:lang w:eastAsia="ru-RU"/>
              </w:rPr>
              <w:t>1</w:t>
            </w:r>
          </w:p>
        </w:tc>
      </w:tr>
      <w:tr w:rsidR="0050032D" w:rsidRPr="004761E0" w:rsidTr="00831EA8">
        <w:trPr>
          <w:trHeight w:val="182"/>
        </w:trPr>
        <w:tc>
          <w:tcPr>
            <w:tcW w:w="576" w:type="dxa"/>
            <w:tcBorders>
              <w:top w:val="nil"/>
              <w:left w:val="single" w:sz="4" w:space="0" w:color="auto"/>
              <w:bottom w:val="single" w:sz="4" w:space="0" w:color="auto"/>
              <w:right w:val="single" w:sz="4" w:space="0" w:color="auto"/>
            </w:tcBorders>
            <w:vAlign w:val="center"/>
          </w:tcPr>
          <w:p w:rsidR="0050032D" w:rsidRPr="004761E0" w:rsidRDefault="0050032D" w:rsidP="007076A7">
            <w:pPr>
              <w:pStyle w:val="a5"/>
              <w:numPr>
                <w:ilvl w:val="0"/>
                <w:numId w:val="297"/>
              </w:numPr>
              <w:jc w:val="left"/>
              <w:rPr>
                <w:rFonts w:eastAsia="Times New Roman"/>
                <w:bCs/>
                <w:sz w:val="20"/>
                <w:szCs w:val="20"/>
                <w:lang w:eastAsia="ru-RU"/>
              </w:rPr>
            </w:pPr>
          </w:p>
        </w:tc>
        <w:tc>
          <w:tcPr>
            <w:tcW w:w="6277" w:type="dxa"/>
            <w:tcBorders>
              <w:top w:val="nil"/>
              <w:left w:val="single" w:sz="4" w:space="0" w:color="auto"/>
              <w:bottom w:val="single" w:sz="4" w:space="0" w:color="auto"/>
              <w:right w:val="single" w:sz="4" w:space="0" w:color="auto"/>
            </w:tcBorders>
            <w:shd w:val="clear" w:color="auto" w:fill="auto"/>
            <w:vAlign w:val="center"/>
            <w:hideMark/>
          </w:tcPr>
          <w:p w:rsidR="0050032D" w:rsidRPr="004761E0" w:rsidRDefault="0050032D" w:rsidP="00982E55">
            <w:pPr>
              <w:ind w:firstLine="0"/>
              <w:jc w:val="left"/>
              <w:rPr>
                <w:rFonts w:eastAsia="Times New Roman"/>
                <w:bCs/>
                <w:sz w:val="20"/>
                <w:szCs w:val="20"/>
                <w:lang w:eastAsia="ru-RU"/>
              </w:rPr>
            </w:pPr>
            <w:r w:rsidRPr="004761E0">
              <w:rPr>
                <w:rFonts w:eastAsia="Times New Roman"/>
                <w:bCs/>
                <w:sz w:val="20"/>
                <w:szCs w:val="20"/>
                <w:lang w:eastAsia="ru-RU"/>
              </w:rPr>
              <w:t>Эффективность инновационной деятельности</w:t>
            </w:r>
          </w:p>
        </w:tc>
        <w:tc>
          <w:tcPr>
            <w:tcW w:w="998" w:type="dxa"/>
            <w:tcBorders>
              <w:top w:val="nil"/>
              <w:left w:val="nil"/>
              <w:bottom w:val="single" w:sz="4" w:space="0" w:color="auto"/>
              <w:right w:val="single" w:sz="4" w:space="0" w:color="auto"/>
            </w:tcBorders>
            <w:shd w:val="clear" w:color="auto" w:fill="auto"/>
            <w:vAlign w:val="center"/>
            <w:hideMark/>
          </w:tcPr>
          <w:p w:rsidR="0050032D" w:rsidRPr="004761E0" w:rsidRDefault="0050032D" w:rsidP="00982E55">
            <w:pPr>
              <w:ind w:firstLine="0"/>
              <w:jc w:val="center"/>
              <w:rPr>
                <w:rFonts w:eastAsia="Times New Roman"/>
                <w:bCs/>
                <w:sz w:val="20"/>
                <w:szCs w:val="20"/>
                <w:lang w:eastAsia="ru-RU"/>
              </w:rPr>
            </w:pPr>
            <w:r w:rsidRPr="004761E0">
              <w:rPr>
                <w:rFonts w:eastAsia="Times New Roman"/>
                <w:bCs/>
                <w:sz w:val="20"/>
                <w:szCs w:val="20"/>
                <w:lang w:eastAsia="ru-RU"/>
              </w:rPr>
              <w:t>%</w:t>
            </w:r>
          </w:p>
        </w:tc>
        <w:tc>
          <w:tcPr>
            <w:tcW w:w="1427" w:type="dxa"/>
            <w:tcBorders>
              <w:top w:val="nil"/>
              <w:left w:val="nil"/>
              <w:bottom w:val="single" w:sz="4" w:space="0" w:color="auto"/>
              <w:right w:val="single" w:sz="4" w:space="0" w:color="auto"/>
            </w:tcBorders>
            <w:shd w:val="clear" w:color="auto" w:fill="auto"/>
            <w:noWrap/>
            <w:vAlign w:val="center"/>
            <w:hideMark/>
          </w:tcPr>
          <w:p w:rsidR="0050032D" w:rsidRPr="004761E0" w:rsidRDefault="0050032D" w:rsidP="00831EA8">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 90</w:t>
            </w:r>
          </w:p>
        </w:tc>
        <w:tc>
          <w:tcPr>
            <w:tcW w:w="1323" w:type="dxa"/>
            <w:tcBorders>
              <w:top w:val="nil"/>
              <w:left w:val="nil"/>
              <w:bottom w:val="single" w:sz="4" w:space="0" w:color="auto"/>
              <w:right w:val="single" w:sz="4" w:space="0" w:color="auto"/>
            </w:tcBorders>
            <w:shd w:val="clear" w:color="auto" w:fill="auto"/>
            <w:noWrap/>
            <w:vAlign w:val="center"/>
            <w:hideMark/>
          </w:tcPr>
          <w:p w:rsidR="0050032D" w:rsidRPr="004761E0" w:rsidRDefault="0050032D" w:rsidP="00831EA8">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100</w:t>
            </w:r>
          </w:p>
        </w:tc>
      </w:tr>
    </w:tbl>
    <w:p w:rsidR="00B20C95" w:rsidRDefault="00B20C95" w:rsidP="00B20C95">
      <w:pPr>
        <w:rPr>
          <w:rFonts w:eastAsia="Times New Roman"/>
          <w:lang w:val="en-US" w:eastAsia="ru-RU"/>
        </w:rPr>
      </w:pPr>
      <w:bookmarkStart w:id="35" w:name="_Toc380576904"/>
      <w:r>
        <w:rPr>
          <w:lang w:val="en-US" w:eastAsia="ru-RU"/>
        </w:rPr>
        <w:br w:type="page"/>
      </w:r>
    </w:p>
    <w:p w:rsidR="00136A10" w:rsidRPr="004761E0" w:rsidRDefault="00E34ACB" w:rsidP="007076A7">
      <w:pPr>
        <w:pStyle w:val="a8"/>
        <w:numPr>
          <w:ilvl w:val="1"/>
          <w:numId w:val="321"/>
        </w:numPr>
        <w:spacing w:before="120" w:after="120"/>
        <w:ind w:left="1134" w:hanging="567"/>
        <w:jc w:val="left"/>
        <w:rPr>
          <w:rFonts w:ascii="Times New Roman" w:hAnsi="Times New Roman"/>
          <w:sz w:val="26"/>
          <w:szCs w:val="26"/>
          <w:lang w:eastAsia="ru-RU"/>
        </w:rPr>
      </w:pPr>
      <w:bookmarkStart w:id="36" w:name="_Toc385339801"/>
      <w:r w:rsidRPr="00B20C95">
        <w:rPr>
          <w:rFonts w:ascii="Times New Roman" w:hAnsi="Times New Roman"/>
          <w:b/>
          <w:sz w:val="26"/>
          <w:szCs w:val="26"/>
        </w:rPr>
        <w:lastRenderedPageBreak/>
        <w:t>Система менеджмента качества</w:t>
      </w:r>
      <w:bookmarkEnd w:id="35"/>
      <w:bookmarkEnd w:id="36"/>
    </w:p>
    <w:p w:rsidR="001677A6" w:rsidRPr="004761E0" w:rsidRDefault="001677A6" w:rsidP="001677A6">
      <w:pPr>
        <w:ind w:firstLine="567"/>
        <w:rPr>
          <w:sz w:val="26"/>
          <w:szCs w:val="26"/>
          <w:lang w:eastAsia="ru-RU"/>
        </w:rPr>
      </w:pPr>
      <w:r w:rsidRPr="004761E0">
        <w:rPr>
          <w:sz w:val="26"/>
          <w:szCs w:val="26"/>
          <w:lang w:eastAsia="ru-RU"/>
        </w:rPr>
        <w:t>Одной из ключевых целей Общества является повышение уровня доступности электросетевой инфраструктуры и повышение качества предоставляемых услуг по передаче электрической энергии и технологическому присоединению к электрическим сетям. Основным инструментом достижения этой цели является развитие и совершенствование системы управления в соответствии с требованиями международных стандартов серии ISO 9000.</w:t>
      </w:r>
    </w:p>
    <w:p w:rsidR="001677A6" w:rsidRPr="004761E0" w:rsidRDefault="001677A6" w:rsidP="001677A6">
      <w:pPr>
        <w:ind w:firstLine="567"/>
        <w:rPr>
          <w:sz w:val="26"/>
          <w:szCs w:val="26"/>
          <w:lang w:eastAsia="ru-RU"/>
        </w:rPr>
      </w:pPr>
      <w:r w:rsidRPr="004761E0">
        <w:rPr>
          <w:sz w:val="26"/>
          <w:szCs w:val="26"/>
          <w:lang w:eastAsia="ru-RU"/>
        </w:rPr>
        <w:t xml:space="preserve">С целью обеспечения стабильного качества предоставляемых услуг в </w:t>
      </w:r>
      <w:r w:rsidR="0008080E">
        <w:rPr>
          <w:sz w:val="26"/>
          <w:szCs w:val="26"/>
          <w:lang w:eastAsia="ru-RU"/>
        </w:rPr>
        <w:t>ОАО </w:t>
      </w:r>
      <w:r w:rsidRPr="004761E0">
        <w:rPr>
          <w:sz w:val="26"/>
          <w:szCs w:val="26"/>
          <w:lang w:eastAsia="ru-RU"/>
        </w:rPr>
        <w:t>«МОЭСК» внедрена и поддерживается в рабочем состоянии система менеджмента качества. Система менеджмента качества разработана в соответствии с требованиями международного стандарта ISO 9001.</w:t>
      </w:r>
    </w:p>
    <w:p w:rsidR="001677A6" w:rsidRPr="004761E0" w:rsidRDefault="001677A6" w:rsidP="00B20C95">
      <w:pPr>
        <w:spacing w:before="120" w:after="120"/>
        <w:ind w:firstLine="567"/>
        <w:rPr>
          <w:b/>
          <w:sz w:val="26"/>
          <w:szCs w:val="26"/>
          <w:lang w:eastAsia="ru-RU"/>
        </w:rPr>
      </w:pPr>
      <w:r w:rsidRPr="004761E0">
        <w:rPr>
          <w:b/>
          <w:sz w:val="26"/>
          <w:szCs w:val="26"/>
          <w:lang w:eastAsia="ru-RU"/>
        </w:rPr>
        <w:t>Становление системы менеджмента качества</w:t>
      </w:r>
    </w:p>
    <w:tbl>
      <w:tblPr>
        <w:tblStyle w:val="ae"/>
        <w:tblW w:w="0" w:type="auto"/>
        <w:tblLook w:val="04A0"/>
      </w:tblPr>
      <w:tblGrid>
        <w:gridCol w:w="675"/>
        <w:gridCol w:w="9639"/>
      </w:tblGrid>
      <w:tr w:rsidR="001677A6" w:rsidRPr="004761E0" w:rsidTr="001677A6">
        <w:tc>
          <w:tcPr>
            <w:tcW w:w="675" w:type="dxa"/>
            <w:tcBorders>
              <w:right w:val="single" w:sz="4" w:space="0" w:color="FFFFFF" w:themeColor="background1"/>
            </w:tcBorders>
            <w:shd w:val="clear" w:color="auto" w:fill="0F243E" w:themeFill="text2" w:themeFillShade="80"/>
          </w:tcPr>
          <w:p w:rsidR="001677A6" w:rsidRPr="004761E0" w:rsidRDefault="001677A6" w:rsidP="001677A6">
            <w:pPr>
              <w:ind w:firstLine="0"/>
              <w:rPr>
                <w:b/>
                <w:color w:val="FFFFFF" w:themeColor="background1"/>
                <w:sz w:val="18"/>
                <w:szCs w:val="26"/>
                <w:lang w:eastAsia="ru-RU"/>
              </w:rPr>
            </w:pPr>
            <w:r w:rsidRPr="004761E0">
              <w:rPr>
                <w:b/>
                <w:color w:val="FFFFFF" w:themeColor="background1"/>
                <w:sz w:val="18"/>
                <w:szCs w:val="26"/>
                <w:lang w:eastAsia="ru-RU"/>
              </w:rPr>
              <w:t>Год</w:t>
            </w:r>
          </w:p>
        </w:tc>
        <w:tc>
          <w:tcPr>
            <w:tcW w:w="9639" w:type="dxa"/>
            <w:tcBorders>
              <w:left w:val="single" w:sz="4" w:space="0" w:color="FFFFFF" w:themeColor="background1"/>
            </w:tcBorders>
            <w:shd w:val="clear" w:color="auto" w:fill="0F243E" w:themeFill="text2" w:themeFillShade="80"/>
          </w:tcPr>
          <w:p w:rsidR="001677A6" w:rsidRPr="004761E0" w:rsidRDefault="001677A6" w:rsidP="001677A6">
            <w:pPr>
              <w:ind w:firstLine="0"/>
              <w:rPr>
                <w:b/>
                <w:color w:val="FFFFFF" w:themeColor="background1"/>
                <w:sz w:val="18"/>
                <w:szCs w:val="26"/>
                <w:lang w:eastAsia="ru-RU"/>
              </w:rPr>
            </w:pPr>
            <w:r w:rsidRPr="004761E0">
              <w:rPr>
                <w:b/>
                <w:color w:val="FFFFFF" w:themeColor="background1"/>
                <w:sz w:val="18"/>
                <w:szCs w:val="26"/>
                <w:lang w:eastAsia="ru-RU"/>
              </w:rPr>
              <w:t>Результат</w:t>
            </w:r>
          </w:p>
        </w:tc>
      </w:tr>
      <w:tr w:rsidR="001677A6" w:rsidRPr="004761E0" w:rsidTr="001677A6">
        <w:tc>
          <w:tcPr>
            <w:tcW w:w="675" w:type="dxa"/>
          </w:tcPr>
          <w:p w:rsidR="001677A6" w:rsidRPr="004761E0" w:rsidRDefault="001677A6" w:rsidP="001677A6">
            <w:pPr>
              <w:ind w:firstLine="0"/>
              <w:rPr>
                <w:sz w:val="18"/>
                <w:szCs w:val="26"/>
                <w:lang w:eastAsia="ru-RU"/>
              </w:rPr>
            </w:pPr>
            <w:r w:rsidRPr="004761E0">
              <w:rPr>
                <w:sz w:val="18"/>
                <w:szCs w:val="26"/>
                <w:lang w:eastAsia="ru-RU"/>
              </w:rPr>
              <w:t>2008</w:t>
            </w:r>
          </w:p>
        </w:tc>
        <w:tc>
          <w:tcPr>
            <w:tcW w:w="9639" w:type="dxa"/>
          </w:tcPr>
          <w:p w:rsidR="001677A6" w:rsidRPr="004761E0" w:rsidRDefault="001677A6" w:rsidP="001677A6">
            <w:pPr>
              <w:ind w:firstLine="0"/>
              <w:rPr>
                <w:sz w:val="18"/>
                <w:szCs w:val="26"/>
                <w:lang w:eastAsia="ru-RU"/>
              </w:rPr>
            </w:pPr>
            <w:r w:rsidRPr="004761E0">
              <w:rPr>
                <w:sz w:val="18"/>
                <w:szCs w:val="26"/>
                <w:lang w:eastAsia="ru-RU"/>
              </w:rPr>
              <w:t xml:space="preserve">Система менеджмента качества сертифицирована на соответствие требованиям международного стандарта ISO 9001:2000 </w:t>
            </w:r>
          </w:p>
        </w:tc>
      </w:tr>
      <w:tr w:rsidR="001677A6" w:rsidRPr="004761E0" w:rsidTr="001677A6">
        <w:tc>
          <w:tcPr>
            <w:tcW w:w="675" w:type="dxa"/>
          </w:tcPr>
          <w:p w:rsidR="001677A6" w:rsidRPr="004761E0" w:rsidRDefault="001677A6" w:rsidP="001677A6">
            <w:pPr>
              <w:ind w:firstLine="0"/>
              <w:rPr>
                <w:sz w:val="18"/>
                <w:szCs w:val="26"/>
                <w:lang w:eastAsia="ru-RU"/>
              </w:rPr>
            </w:pPr>
            <w:r w:rsidRPr="004761E0">
              <w:rPr>
                <w:sz w:val="18"/>
                <w:szCs w:val="26"/>
                <w:lang w:eastAsia="ru-RU"/>
              </w:rPr>
              <w:t>2009</w:t>
            </w:r>
          </w:p>
        </w:tc>
        <w:tc>
          <w:tcPr>
            <w:tcW w:w="9639" w:type="dxa"/>
          </w:tcPr>
          <w:p w:rsidR="001677A6" w:rsidRPr="004761E0" w:rsidRDefault="001677A6" w:rsidP="001677A6">
            <w:pPr>
              <w:ind w:firstLine="0"/>
              <w:rPr>
                <w:sz w:val="18"/>
                <w:szCs w:val="26"/>
                <w:lang w:eastAsia="ru-RU"/>
              </w:rPr>
            </w:pPr>
            <w:r w:rsidRPr="004761E0">
              <w:rPr>
                <w:sz w:val="18"/>
                <w:szCs w:val="26"/>
                <w:lang w:eastAsia="ru-RU"/>
              </w:rPr>
              <w:t>Проведено обновление системы менеджмента качества до соответствия требованиям международного стандарта ISO 9001:2008</w:t>
            </w:r>
          </w:p>
        </w:tc>
      </w:tr>
      <w:tr w:rsidR="001677A6" w:rsidRPr="004761E0" w:rsidTr="001677A6">
        <w:tc>
          <w:tcPr>
            <w:tcW w:w="675" w:type="dxa"/>
          </w:tcPr>
          <w:p w:rsidR="001677A6" w:rsidRPr="004761E0" w:rsidRDefault="001677A6" w:rsidP="001677A6">
            <w:pPr>
              <w:ind w:firstLine="0"/>
              <w:rPr>
                <w:sz w:val="18"/>
                <w:szCs w:val="26"/>
                <w:lang w:eastAsia="ru-RU"/>
              </w:rPr>
            </w:pPr>
            <w:r w:rsidRPr="004761E0">
              <w:rPr>
                <w:sz w:val="18"/>
                <w:szCs w:val="26"/>
                <w:lang w:eastAsia="ru-RU"/>
              </w:rPr>
              <w:t>2011</w:t>
            </w:r>
          </w:p>
        </w:tc>
        <w:tc>
          <w:tcPr>
            <w:tcW w:w="9639" w:type="dxa"/>
          </w:tcPr>
          <w:p w:rsidR="001677A6" w:rsidRPr="004761E0" w:rsidRDefault="001677A6" w:rsidP="001677A6">
            <w:pPr>
              <w:ind w:firstLine="0"/>
              <w:rPr>
                <w:sz w:val="18"/>
                <w:szCs w:val="26"/>
                <w:lang w:eastAsia="ru-RU"/>
              </w:rPr>
            </w:pPr>
            <w:r w:rsidRPr="004761E0">
              <w:rPr>
                <w:sz w:val="18"/>
                <w:szCs w:val="26"/>
                <w:lang w:eastAsia="ru-RU"/>
              </w:rPr>
              <w:t>Область сертификации системы менеджмента качества распространена на деятельность филиала МКС</w:t>
            </w:r>
          </w:p>
        </w:tc>
      </w:tr>
      <w:tr w:rsidR="001677A6" w:rsidRPr="004761E0" w:rsidTr="001677A6">
        <w:tc>
          <w:tcPr>
            <w:tcW w:w="675" w:type="dxa"/>
          </w:tcPr>
          <w:p w:rsidR="001677A6" w:rsidRPr="004761E0" w:rsidRDefault="001677A6" w:rsidP="001677A6">
            <w:pPr>
              <w:ind w:firstLine="0"/>
              <w:rPr>
                <w:sz w:val="18"/>
                <w:szCs w:val="26"/>
                <w:lang w:eastAsia="ru-RU"/>
              </w:rPr>
            </w:pPr>
            <w:r w:rsidRPr="004761E0">
              <w:rPr>
                <w:sz w:val="18"/>
                <w:szCs w:val="26"/>
                <w:lang w:eastAsia="ru-RU"/>
              </w:rPr>
              <w:t>2012</w:t>
            </w:r>
          </w:p>
        </w:tc>
        <w:tc>
          <w:tcPr>
            <w:tcW w:w="9639" w:type="dxa"/>
          </w:tcPr>
          <w:p w:rsidR="001677A6" w:rsidRPr="004761E0" w:rsidRDefault="001677A6" w:rsidP="001677A6">
            <w:pPr>
              <w:ind w:firstLine="0"/>
              <w:rPr>
                <w:sz w:val="18"/>
                <w:szCs w:val="26"/>
                <w:lang w:eastAsia="ru-RU"/>
              </w:rPr>
            </w:pPr>
            <w:r w:rsidRPr="004761E0">
              <w:rPr>
                <w:sz w:val="18"/>
                <w:szCs w:val="26"/>
                <w:lang w:eastAsia="ru-RU"/>
              </w:rPr>
              <w:t>Область сертификации распространена на деятельность областных электросетевых филиалов Компании</w:t>
            </w:r>
          </w:p>
        </w:tc>
      </w:tr>
      <w:tr w:rsidR="001677A6" w:rsidRPr="004761E0" w:rsidTr="001677A6">
        <w:tc>
          <w:tcPr>
            <w:tcW w:w="675" w:type="dxa"/>
          </w:tcPr>
          <w:p w:rsidR="001677A6" w:rsidRPr="004761E0" w:rsidRDefault="001677A6" w:rsidP="001677A6">
            <w:pPr>
              <w:ind w:firstLine="0"/>
              <w:rPr>
                <w:sz w:val="18"/>
                <w:szCs w:val="26"/>
                <w:lang w:eastAsia="ru-RU"/>
              </w:rPr>
            </w:pPr>
            <w:r w:rsidRPr="004761E0">
              <w:rPr>
                <w:sz w:val="18"/>
                <w:szCs w:val="26"/>
                <w:lang w:eastAsia="ru-RU"/>
              </w:rPr>
              <w:t>2013</w:t>
            </w:r>
          </w:p>
        </w:tc>
        <w:tc>
          <w:tcPr>
            <w:tcW w:w="9639" w:type="dxa"/>
          </w:tcPr>
          <w:p w:rsidR="001677A6" w:rsidRPr="004761E0" w:rsidRDefault="001677A6" w:rsidP="001677A6">
            <w:pPr>
              <w:ind w:firstLine="0"/>
              <w:rPr>
                <w:sz w:val="18"/>
                <w:szCs w:val="26"/>
                <w:lang w:eastAsia="ru-RU"/>
              </w:rPr>
            </w:pPr>
            <w:r w:rsidRPr="004761E0">
              <w:rPr>
                <w:sz w:val="18"/>
                <w:szCs w:val="26"/>
                <w:lang w:eastAsia="ru-RU"/>
              </w:rPr>
              <w:t>Проведен второй надзорный аудит в рамках расширенной области сертификации</w:t>
            </w:r>
          </w:p>
        </w:tc>
      </w:tr>
    </w:tbl>
    <w:p w:rsidR="001677A6" w:rsidRPr="00B6020E" w:rsidRDefault="00B20C95" w:rsidP="001677A6">
      <w:pPr>
        <w:spacing w:before="120" w:after="120"/>
        <w:ind w:firstLine="567"/>
        <w:rPr>
          <w:b/>
          <w:sz w:val="26"/>
          <w:szCs w:val="26"/>
          <w:lang w:eastAsia="ru-RU"/>
        </w:rPr>
      </w:pPr>
      <w:r>
        <w:rPr>
          <w:b/>
          <w:sz w:val="26"/>
          <w:szCs w:val="26"/>
          <w:lang w:eastAsia="ru-RU"/>
        </w:rPr>
        <w:t>Надзорный аудит</w:t>
      </w:r>
    </w:p>
    <w:p w:rsidR="001677A6" w:rsidRPr="004761E0" w:rsidRDefault="001677A6" w:rsidP="001677A6">
      <w:pPr>
        <w:ind w:firstLine="567"/>
        <w:rPr>
          <w:sz w:val="26"/>
          <w:szCs w:val="26"/>
          <w:lang w:eastAsia="ru-RU"/>
        </w:rPr>
      </w:pPr>
      <w:r w:rsidRPr="004761E0">
        <w:rPr>
          <w:sz w:val="26"/>
          <w:szCs w:val="26"/>
          <w:lang w:eastAsia="ru-RU"/>
        </w:rPr>
        <w:t>В 2013 году соответствие системы менеджмента качества требованиям международного стандарта ISO 9001:2008 подтверждено успешным прохождением второго надзорного аудита, проведенного международным органом по сертификации BUREAU VERITAS Certification в соответствии с условиями действия аккредитованного сертификата BUREAU VERITAS Certification.</w:t>
      </w:r>
    </w:p>
    <w:p w:rsidR="001677A6" w:rsidRPr="004761E0" w:rsidRDefault="001677A6" w:rsidP="001677A6">
      <w:pPr>
        <w:ind w:firstLine="567"/>
        <w:rPr>
          <w:sz w:val="26"/>
          <w:szCs w:val="26"/>
          <w:lang w:eastAsia="ru-RU"/>
        </w:rPr>
      </w:pPr>
      <w:r w:rsidRPr="004761E0">
        <w:rPr>
          <w:sz w:val="26"/>
          <w:szCs w:val="26"/>
          <w:lang w:eastAsia="ru-RU"/>
        </w:rPr>
        <w:t>В качестве объектов второго надзорного аудита выбраны подразделения исполнительного аппарата и филиалов ВКС, ЦЭС и ВЭС.</w:t>
      </w:r>
    </w:p>
    <w:p w:rsidR="001677A6" w:rsidRPr="004761E0" w:rsidRDefault="001677A6" w:rsidP="001677A6">
      <w:pPr>
        <w:ind w:firstLine="567"/>
        <w:rPr>
          <w:sz w:val="26"/>
          <w:szCs w:val="26"/>
          <w:lang w:eastAsia="ru-RU"/>
        </w:rPr>
      </w:pPr>
      <w:r w:rsidRPr="004761E0">
        <w:rPr>
          <w:sz w:val="26"/>
          <w:szCs w:val="26"/>
          <w:lang w:eastAsia="ru-RU"/>
        </w:rPr>
        <w:t>В ходе проверки аудиторы BUREAU VERITAS Certification отметили высокий уровень внимания, уделяемого руководством Компании вопросам развития клиентоориентированности и повышения ее открытости.</w:t>
      </w:r>
    </w:p>
    <w:p w:rsidR="001677A6" w:rsidRPr="004761E0" w:rsidRDefault="001677A6" w:rsidP="001677A6">
      <w:pPr>
        <w:ind w:firstLine="567"/>
        <w:rPr>
          <w:sz w:val="26"/>
          <w:szCs w:val="26"/>
          <w:lang w:eastAsia="ru-RU"/>
        </w:rPr>
      </w:pPr>
      <w:r w:rsidRPr="004761E0">
        <w:rPr>
          <w:sz w:val="26"/>
          <w:szCs w:val="26"/>
          <w:lang w:eastAsia="ru-RU"/>
        </w:rPr>
        <w:t>Внедрение новых интерактивных сервисов, расширение спектра предоставляемых клиентам услуг, регулярные встречи с потребителями на разных площадках являются объективным свидетельством реального воплощения клиентоориентированного подхода при управлении Компанией.</w:t>
      </w:r>
    </w:p>
    <w:p w:rsidR="001677A6" w:rsidRPr="004761E0" w:rsidRDefault="001677A6" w:rsidP="001677A6">
      <w:pPr>
        <w:ind w:firstLine="567"/>
        <w:rPr>
          <w:sz w:val="26"/>
          <w:szCs w:val="26"/>
          <w:lang w:eastAsia="ru-RU"/>
        </w:rPr>
      </w:pPr>
      <w:r w:rsidRPr="004761E0">
        <w:rPr>
          <w:sz w:val="26"/>
          <w:szCs w:val="26"/>
          <w:lang w:eastAsia="ru-RU"/>
        </w:rPr>
        <w:t xml:space="preserve">По итогам второго надзорного аудита органом по сертификации BUREAU VERITAS Certification выдано заключение о том, что система менеджмента качества </w:t>
      </w:r>
      <w:r w:rsidR="0008080E">
        <w:rPr>
          <w:sz w:val="26"/>
          <w:szCs w:val="26"/>
          <w:lang w:eastAsia="ru-RU"/>
        </w:rPr>
        <w:t>ОАО </w:t>
      </w:r>
      <w:r w:rsidRPr="004761E0">
        <w:rPr>
          <w:sz w:val="26"/>
          <w:szCs w:val="26"/>
          <w:lang w:eastAsia="ru-RU"/>
        </w:rPr>
        <w:t>«МОЭСК», развивается, демонстрируя способность к достижению запланированных результатов и постоянному улучшению.</w:t>
      </w:r>
    </w:p>
    <w:p w:rsidR="001677A6" w:rsidRPr="004761E0" w:rsidRDefault="001677A6" w:rsidP="001677A6">
      <w:pPr>
        <w:ind w:firstLine="567"/>
        <w:rPr>
          <w:sz w:val="26"/>
          <w:szCs w:val="26"/>
          <w:lang w:eastAsia="ru-RU"/>
        </w:rPr>
      </w:pPr>
      <w:r w:rsidRPr="004761E0">
        <w:rPr>
          <w:sz w:val="26"/>
          <w:szCs w:val="26"/>
          <w:lang w:eastAsia="ru-RU"/>
        </w:rPr>
        <w:t xml:space="preserve">В настоящее время область применения системы менеджмента качества определена как: «Оказание услуг по передаче, распределению электрической энергии и присоединению к электрическим сетям </w:t>
      </w:r>
      <w:r w:rsidR="0008080E">
        <w:rPr>
          <w:sz w:val="26"/>
          <w:szCs w:val="26"/>
          <w:lang w:eastAsia="ru-RU"/>
        </w:rPr>
        <w:t>ОАО </w:t>
      </w:r>
      <w:r w:rsidRPr="004761E0">
        <w:rPr>
          <w:sz w:val="26"/>
          <w:szCs w:val="26"/>
          <w:lang w:eastAsia="ru-RU"/>
        </w:rPr>
        <w:t xml:space="preserve">«МОЭСК». Управление деятельностью филиалов </w:t>
      </w:r>
      <w:r w:rsidR="0008080E">
        <w:rPr>
          <w:sz w:val="26"/>
          <w:szCs w:val="26"/>
          <w:lang w:eastAsia="ru-RU"/>
        </w:rPr>
        <w:t>ОАО </w:t>
      </w:r>
      <w:r w:rsidRPr="004761E0">
        <w:rPr>
          <w:sz w:val="26"/>
          <w:szCs w:val="26"/>
          <w:lang w:eastAsia="ru-RU"/>
        </w:rPr>
        <w:t>«МОЭСК» при оказании услуг по передаче, распределению электрической энергии и присоединению к электрическим сетям».</w:t>
      </w:r>
    </w:p>
    <w:p w:rsidR="00392FE7" w:rsidRPr="004761E0" w:rsidRDefault="001677A6" w:rsidP="001677A6">
      <w:pPr>
        <w:ind w:firstLine="567"/>
        <w:rPr>
          <w:sz w:val="26"/>
          <w:szCs w:val="26"/>
          <w:lang w:eastAsia="ru-RU"/>
        </w:rPr>
      </w:pPr>
      <w:proofErr w:type="gramStart"/>
      <w:r w:rsidRPr="004761E0">
        <w:rPr>
          <w:sz w:val="26"/>
          <w:szCs w:val="26"/>
          <w:lang w:eastAsia="ru-RU"/>
        </w:rPr>
        <w:t xml:space="preserve">В 2014 году планируется проведение комплекса работ по адаптации системы управления филиала «Энергоучет» к требованиям международного стандарта ISO 9001:2008 и подготовка филиалов Общества, в т.ч. филиала «Энергоучет»,  к проведению ресертификационного аудита системы менеджмента качества на соответствие требованиям международного стандарта ISO 9001:2008 в рамках области сертификации «Оказание </w:t>
      </w:r>
      <w:r w:rsidRPr="004761E0">
        <w:rPr>
          <w:sz w:val="26"/>
          <w:szCs w:val="26"/>
          <w:lang w:eastAsia="ru-RU"/>
        </w:rPr>
        <w:lastRenderedPageBreak/>
        <w:t>услуг по передаче, распределению электрической энергии и присоединению к электрическим сетям</w:t>
      </w:r>
      <w:proofErr w:type="gramEnd"/>
      <w:r w:rsidRPr="004761E0">
        <w:rPr>
          <w:sz w:val="26"/>
          <w:szCs w:val="26"/>
          <w:lang w:eastAsia="ru-RU"/>
        </w:rPr>
        <w:t xml:space="preserve"> </w:t>
      </w:r>
      <w:r w:rsidR="0008080E">
        <w:rPr>
          <w:sz w:val="26"/>
          <w:szCs w:val="26"/>
          <w:lang w:eastAsia="ru-RU"/>
        </w:rPr>
        <w:t>ОАО </w:t>
      </w:r>
      <w:r w:rsidRPr="004761E0">
        <w:rPr>
          <w:sz w:val="26"/>
          <w:szCs w:val="26"/>
          <w:lang w:eastAsia="ru-RU"/>
        </w:rPr>
        <w:t>«МОЭСК».</w:t>
      </w:r>
    </w:p>
    <w:p w:rsidR="00C23B97" w:rsidRPr="004761E0" w:rsidRDefault="00C23B97">
      <w:pPr>
        <w:ind w:firstLine="0"/>
        <w:jc w:val="left"/>
        <w:rPr>
          <w:lang w:eastAsia="ru-RU"/>
        </w:rPr>
      </w:pPr>
      <w:r w:rsidRPr="004761E0">
        <w:rPr>
          <w:lang w:eastAsia="ru-RU"/>
        </w:rPr>
        <w:br w:type="page"/>
      </w:r>
    </w:p>
    <w:p w:rsidR="00C23B97" w:rsidRPr="004761E0" w:rsidRDefault="00C23B97" w:rsidP="007076A7">
      <w:pPr>
        <w:pStyle w:val="a8"/>
        <w:numPr>
          <w:ilvl w:val="1"/>
          <w:numId w:val="321"/>
        </w:numPr>
        <w:spacing w:before="120" w:after="120"/>
        <w:ind w:left="1134" w:hanging="567"/>
        <w:jc w:val="both"/>
        <w:rPr>
          <w:rFonts w:ascii="Times New Roman" w:hAnsi="Times New Roman"/>
          <w:b/>
          <w:sz w:val="26"/>
          <w:szCs w:val="26"/>
        </w:rPr>
      </w:pPr>
      <w:bookmarkStart w:id="37" w:name="_Toc382853099"/>
      <w:bookmarkStart w:id="38" w:name="_Toc385339802"/>
      <w:r w:rsidRPr="004761E0">
        <w:rPr>
          <w:rFonts w:ascii="Times New Roman" w:hAnsi="Times New Roman"/>
          <w:b/>
          <w:sz w:val="26"/>
          <w:szCs w:val="26"/>
        </w:rPr>
        <w:lastRenderedPageBreak/>
        <w:t>Исполнение поручений и указаний Президента РФ и поручений Правительства РФ</w:t>
      </w:r>
      <w:bookmarkEnd w:id="37"/>
      <w:bookmarkEnd w:id="38"/>
    </w:p>
    <w:p w:rsidR="00C23B97" w:rsidRPr="004761E0" w:rsidRDefault="00C23B97" w:rsidP="00C23B97">
      <w:pPr>
        <w:pStyle w:val="a5"/>
        <w:tabs>
          <w:tab w:val="left" w:pos="284"/>
        </w:tabs>
        <w:ind w:left="0" w:firstLine="567"/>
        <w:contextualSpacing w:val="0"/>
        <w:rPr>
          <w:sz w:val="26"/>
          <w:szCs w:val="26"/>
        </w:rPr>
      </w:pPr>
      <w:r w:rsidRPr="004761E0">
        <w:rPr>
          <w:sz w:val="26"/>
          <w:szCs w:val="26"/>
        </w:rPr>
        <w:t>Во исполнение Указа Президента РФ от 22.11.2012 № 156: об ограничении роста тарифов уровнем фактической инфляции предыдущего года выпущено Распоряжение Правительства РФ от 03.04.2013 № 511-р в части исполнения целевого ориентира по снижению удельных инвестиционных расходов на 30 % относительно уровня 2012 года (в рублях на фактическую единицу (км, МВА)).</w:t>
      </w:r>
    </w:p>
    <w:p w:rsidR="00C23B97" w:rsidRPr="004761E0" w:rsidRDefault="00C23B97" w:rsidP="00C23B97">
      <w:pPr>
        <w:ind w:firstLine="567"/>
        <w:textAlignment w:val="baseline"/>
        <w:rPr>
          <w:rFonts w:eastAsia="Times New Roman"/>
          <w:sz w:val="26"/>
          <w:szCs w:val="26"/>
          <w:lang w:eastAsia="ru-RU"/>
        </w:rPr>
      </w:pPr>
      <w:r w:rsidRPr="004761E0">
        <w:rPr>
          <w:rFonts w:eastAsiaTheme="minorEastAsia"/>
          <w:bCs/>
          <w:color w:val="000000"/>
          <w:kern w:val="24"/>
          <w:sz w:val="26"/>
          <w:szCs w:val="26"/>
          <w:lang w:eastAsia="ru-RU"/>
        </w:rPr>
        <w:t xml:space="preserve">В части снижения инвестиционных затрат на 2014-2018 гг. разработан и утвержден </w:t>
      </w:r>
      <w:r w:rsidRPr="004761E0">
        <w:rPr>
          <w:rFonts w:eastAsiaTheme="minorEastAsia"/>
          <w:bCs/>
          <w:iCs/>
          <w:color w:val="000000"/>
          <w:kern w:val="24"/>
          <w:sz w:val="26"/>
          <w:szCs w:val="26"/>
          <w:lang w:eastAsia="ru-RU"/>
        </w:rPr>
        <w:t>План внедрения мероприятий по снижению удельных инвестиционных расходов на 30 %</w:t>
      </w:r>
      <w:r w:rsidRPr="006F4AB8">
        <w:rPr>
          <w:rStyle w:val="af1"/>
        </w:rPr>
        <w:footnoteReference w:id="29"/>
      </w:r>
      <w:r w:rsidRPr="004761E0">
        <w:rPr>
          <w:rFonts w:eastAsiaTheme="minorEastAsia"/>
          <w:bCs/>
          <w:color w:val="000000"/>
          <w:kern w:val="24"/>
          <w:sz w:val="26"/>
          <w:szCs w:val="26"/>
          <w:lang w:eastAsia="ru-RU"/>
        </w:rPr>
        <w:t>.</w:t>
      </w:r>
      <w:r w:rsidRPr="004761E0">
        <w:rPr>
          <w:rFonts w:eastAsia="Times New Roman"/>
          <w:sz w:val="26"/>
          <w:szCs w:val="26"/>
          <w:lang w:eastAsia="ru-RU"/>
        </w:rPr>
        <w:t xml:space="preserve"> </w:t>
      </w:r>
      <w:r w:rsidRPr="004761E0">
        <w:rPr>
          <w:rFonts w:eastAsiaTheme="minorEastAsia"/>
          <w:bCs/>
          <w:color w:val="000000"/>
          <w:kern w:val="24"/>
          <w:sz w:val="26"/>
          <w:szCs w:val="26"/>
          <w:lang w:eastAsia="ru-RU"/>
        </w:rPr>
        <w:t>В соответствии с указанным планом в 2013 году выполнены следующие мероприятия:</w:t>
      </w:r>
    </w:p>
    <w:p w:rsidR="00C23B97" w:rsidRPr="004761E0" w:rsidRDefault="00C23B97" w:rsidP="007076A7">
      <w:pPr>
        <w:pStyle w:val="a5"/>
        <w:numPr>
          <w:ilvl w:val="0"/>
          <w:numId w:val="121"/>
        </w:numPr>
        <w:ind w:left="1134" w:hanging="567"/>
        <w:contextualSpacing w:val="0"/>
        <w:textAlignment w:val="baseline"/>
        <w:rPr>
          <w:rFonts w:eastAsia="Times New Roman"/>
          <w:sz w:val="26"/>
          <w:szCs w:val="26"/>
          <w:lang w:eastAsia="ru-RU"/>
        </w:rPr>
      </w:pPr>
      <w:r w:rsidRPr="004761E0">
        <w:rPr>
          <w:rFonts w:eastAsiaTheme="minorEastAsia"/>
          <w:bCs/>
          <w:color w:val="000000"/>
          <w:kern w:val="24"/>
          <w:sz w:val="26"/>
          <w:szCs w:val="26"/>
          <w:lang w:eastAsia="ru-RU"/>
        </w:rPr>
        <w:t>утверждена Методика расчета предельной стоимости лота, в целях снижения уровня инвестиционных затрат на 30 % относительно уровня 2012 года</w:t>
      </w:r>
      <w:r w:rsidRPr="006F4AB8">
        <w:rPr>
          <w:rStyle w:val="af1"/>
        </w:rPr>
        <w:footnoteReference w:id="30"/>
      </w:r>
      <w:r w:rsidRPr="004761E0">
        <w:rPr>
          <w:rFonts w:eastAsiaTheme="minorEastAsia"/>
          <w:bCs/>
          <w:color w:val="000000"/>
          <w:kern w:val="24"/>
          <w:sz w:val="26"/>
          <w:szCs w:val="26"/>
          <w:lang w:eastAsia="ru-RU"/>
        </w:rPr>
        <w:t>;</w:t>
      </w:r>
    </w:p>
    <w:p w:rsidR="00C23B97" w:rsidRPr="004761E0" w:rsidRDefault="00C23B97" w:rsidP="007076A7">
      <w:pPr>
        <w:pStyle w:val="a5"/>
        <w:numPr>
          <w:ilvl w:val="0"/>
          <w:numId w:val="121"/>
        </w:numPr>
        <w:ind w:left="1134" w:hanging="567"/>
        <w:contextualSpacing w:val="0"/>
        <w:textAlignment w:val="baseline"/>
        <w:rPr>
          <w:rFonts w:eastAsiaTheme="minorEastAsia"/>
          <w:bCs/>
          <w:color w:val="000000"/>
          <w:kern w:val="24"/>
          <w:sz w:val="26"/>
          <w:szCs w:val="26"/>
          <w:lang w:eastAsia="ru-RU"/>
        </w:rPr>
      </w:pPr>
      <w:r w:rsidRPr="004761E0">
        <w:rPr>
          <w:rFonts w:eastAsiaTheme="minorEastAsia"/>
          <w:bCs/>
          <w:color w:val="000000"/>
          <w:kern w:val="24"/>
          <w:sz w:val="26"/>
          <w:szCs w:val="26"/>
          <w:lang w:eastAsia="ru-RU"/>
        </w:rPr>
        <w:t xml:space="preserve">утверждена Методика и порядок </w:t>
      </w:r>
      <w:proofErr w:type="gramStart"/>
      <w:r w:rsidRPr="004761E0">
        <w:rPr>
          <w:rFonts w:eastAsiaTheme="minorEastAsia"/>
          <w:bCs/>
          <w:color w:val="000000"/>
          <w:kern w:val="24"/>
          <w:sz w:val="26"/>
          <w:szCs w:val="26"/>
          <w:lang w:eastAsia="ru-RU"/>
        </w:rPr>
        <w:t>проведения ежегодного мониторинга удельной стоимости строительства инвестиционных проектов</w:t>
      </w:r>
      <w:proofErr w:type="gramEnd"/>
      <w:r w:rsidRPr="004761E0">
        <w:rPr>
          <w:rFonts w:eastAsiaTheme="minorEastAsia"/>
          <w:bCs/>
          <w:color w:val="000000"/>
          <w:kern w:val="24"/>
          <w:sz w:val="26"/>
          <w:szCs w:val="26"/>
          <w:lang w:eastAsia="ru-RU"/>
        </w:rPr>
        <w:t xml:space="preserve"> в рамках бенчмаркинга и сравнительного анализа удельных показателей стоимости строительства</w:t>
      </w:r>
      <w:r w:rsidRPr="006F4AB8">
        <w:rPr>
          <w:rStyle w:val="af1"/>
        </w:rPr>
        <w:footnoteReference w:id="31"/>
      </w:r>
      <w:r w:rsidRPr="004761E0">
        <w:rPr>
          <w:rFonts w:eastAsiaTheme="minorEastAsia"/>
          <w:bCs/>
          <w:color w:val="000000"/>
          <w:kern w:val="24"/>
          <w:sz w:val="26"/>
          <w:szCs w:val="26"/>
          <w:lang w:eastAsia="ru-RU"/>
        </w:rPr>
        <w:t>;</w:t>
      </w:r>
    </w:p>
    <w:p w:rsidR="00C23B97" w:rsidRPr="004761E0" w:rsidRDefault="00C23B97" w:rsidP="007076A7">
      <w:pPr>
        <w:pStyle w:val="a5"/>
        <w:numPr>
          <w:ilvl w:val="0"/>
          <w:numId w:val="121"/>
        </w:numPr>
        <w:ind w:left="1134" w:hanging="567"/>
        <w:contextualSpacing w:val="0"/>
        <w:textAlignment w:val="baseline"/>
        <w:rPr>
          <w:rFonts w:eastAsiaTheme="minorEastAsia"/>
          <w:bCs/>
          <w:color w:val="000000"/>
          <w:kern w:val="24"/>
          <w:sz w:val="26"/>
          <w:szCs w:val="26"/>
          <w:lang w:eastAsia="ru-RU"/>
        </w:rPr>
      </w:pPr>
      <w:r w:rsidRPr="004761E0">
        <w:rPr>
          <w:rFonts w:eastAsiaTheme="minorEastAsia"/>
          <w:bCs/>
          <w:color w:val="000000"/>
          <w:kern w:val="24"/>
          <w:sz w:val="26"/>
          <w:szCs w:val="26"/>
          <w:lang w:eastAsia="ru-RU"/>
        </w:rPr>
        <w:t xml:space="preserve">утверждена Методика планирования снижения инвестиционных затрат на 30 % относительно уровня 2012 года при формировании инвестиционных программ </w:t>
      </w:r>
      <w:r w:rsidR="0008080E">
        <w:rPr>
          <w:rFonts w:eastAsiaTheme="minorEastAsia"/>
          <w:bCs/>
          <w:color w:val="000000"/>
          <w:kern w:val="24"/>
          <w:sz w:val="26"/>
          <w:szCs w:val="26"/>
          <w:lang w:eastAsia="ru-RU"/>
        </w:rPr>
        <w:t>ОАО </w:t>
      </w:r>
      <w:r w:rsidRPr="004761E0">
        <w:rPr>
          <w:rFonts w:eastAsiaTheme="minorEastAsia"/>
          <w:bCs/>
          <w:color w:val="000000"/>
          <w:kern w:val="24"/>
          <w:sz w:val="26"/>
          <w:szCs w:val="26"/>
          <w:lang w:eastAsia="ru-RU"/>
        </w:rPr>
        <w:t>«МОЭСК»</w:t>
      </w:r>
      <w:r w:rsidRPr="006F4AB8">
        <w:rPr>
          <w:rStyle w:val="af1"/>
        </w:rPr>
        <w:footnoteReference w:id="32"/>
      </w:r>
      <w:r w:rsidRPr="004761E0">
        <w:rPr>
          <w:rFonts w:eastAsiaTheme="minorEastAsia"/>
          <w:bCs/>
          <w:color w:val="000000"/>
          <w:kern w:val="24"/>
          <w:sz w:val="26"/>
          <w:szCs w:val="26"/>
          <w:lang w:eastAsia="ru-RU"/>
        </w:rPr>
        <w:t>.</w:t>
      </w:r>
    </w:p>
    <w:p w:rsidR="00C23B97" w:rsidRPr="004761E0" w:rsidRDefault="00C23B97" w:rsidP="00C23B97">
      <w:pPr>
        <w:ind w:firstLine="567"/>
        <w:textAlignment w:val="baseline"/>
        <w:rPr>
          <w:rFonts w:eastAsiaTheme="minorEastAsia"/>
          <w:bCs/>
          <w:color w:val="000000"/>
          <w:kern w:val="24"/>
          <w:sz w:val="26"/>
          <w:szCs w:val="26"/>
          <w:lang w:eastAsia="ru-RU"/>
        </w:rPr>
      </w:pPr>
      <w:r w:rsidRPr="004761E0">
        <w:rPr>
          <w:rFonts w:eastAsiaTheme="minorEastAsia"/>
          <w:bCs/>
          <w:color w:val="000000"/>
          <w:kern w:val="24"/>
          <w:sz w:val="26"/>
          <w:szCs w:val="26"/>
          <w:lang w:eastAsia="ru-RU"/>
        </w:rPr>
        <w:t>Планируемые мероприятия на перспективу:</w:t>
      </w:r>
    </w:p>
    <w:p w:rsidR="00C23B97" w:rsidRPr="004761E0" w:rsidRDefault="00C23B97" w:rsidP="007076A7">
      <w:pPr>
        <w:pStyle w:val="a5"/>
        <w:numPr>
          <w:ilvl w:val="0"/>
          <w:numId w:val="122"/>
        </w:numPr>
        <w:ind w:left="1134" w:hanging="567"/>
        <w:contextualSpacing w:val="0"/>
        <w:textAlignment w:val="baseline"/>
        <w:rPr>
          <w:rFonts w:eastAsiaTheme="minorEastAsia"/>
          <w:bCs/>
          <w:color w:val="000000"/>
          <w:kern w:val="24"/>
          <w:sz w:val="26"/>
          <w:szCs w:val="26"/>
          <w:lang w:eastAsia="ru-RU"/>
        </w:rPr>
      </w:pPr>
      <w:r w:rsidRPr="004761E0">
        <w:rPr>
          <w:rFonts w:eastAsiaTheme="minorEastAsia"/>
          <w:bCs/>
          <w:color w:val="000000"/>
          <w:kern w:val="24"/>
          <w:sz w:val="26"/>
          <w:szCs w:val="26"/>
          <w:lang w:eastAsia="ru-RU"/>
        </w:rPr>
        <w:t>унификация применяемого основного оборудования объектов электроэнергетики;</w:t>
      </w:r>
    </w:p>
    <w:p w:rsidR="00C23B97" w:rsidRPr="004761E0" w:rsidRDefault="00C23B97" w:rsidP="007076A7">
      <w:pPr>
        <w:pStyle w:val="a5"/>
        <w:numPr>
          <w:ilvl w:val="0"/>
          <w:numId w:val="122"/>
        </w:numPr>
        <w:ind w:left="1134" w:hanging="567"/>
        <w:contextualSpacing w:val="0"/>
        <w:textAlignment w:val="baseline"/>
        <w:rPr>
          <w:rFonts w:eastAsiaTheme="minorEastAsia"/>
          <w:bCs/>
          <w:color w:val="000000"/>
          <w:kern w:val="24"/>
          <w:sz w:val="26"/>
          <w:szCs w:val="26"/>
          <w:lang w:eastAsia="ru-RU"/>
        </w:rPr>
      </w:pPr>
      <w:r w:rsidRPr="004761E0">
        <w:rPr>
          <w:rFonts w:eastAsiaTheme="minorEastAsia"/>
          <w:bCs/>
          <w:color w:val="000000"/>
          <w:kern w:val="24"/>
          <w:sz w:val="26"/>
          <w:szCs w:val="26"/>
          <w:lang w:eastAsia="ru-RU"/>
        </w:rPr>
        <w:t>разработка и утверждение типовых технических решений на объекты высокого напряжения (35-220 кВ), объектам распределительных сетей;</w:t>
      </w:r>
    </w:p>
    <w:p w:rsidR="00C23B97" w:rsidRPr="004761E0" w:rsidRDefault="00C23B97" w:rsidP="007076A7">
      <w:pPr>
        <w:pStyle w:val="a5"/>
        <w:numPr>
          <w:ilvl w:val="0"/>
          <w:numId w:val="122"/>
        </w:numPr>
        <w:ind w:left="1134" w:hanging="567"/>
        <w:contextualSpacing w:val="0"/>
        <w:textAlignment w:val="baseline"/>
        <w:rPr>
          <w:rFonts w:eastAsiaTheme="minorEastAsia"/>
          <w:bCs/>
          <w:color w:val="000000"/>
          <w:kern w:val="24"/>
          <w:sz w:val="26"/>
          <w:szCs w:val="26"/>
          <w:lang w:eastAsia="ru-RU"/>
        </w:rPr>
      </w:pPr>
      <w:r w:rsidRPr="004761E0">
        <w:rPr>
          <w:rFonts w:eastAsiaTheme="minorEastAsia"/>
          <w:bCs/>
          <w:color w:val="000000"/>
          <w:kern w:val="24"/>
          <w:sz w:val="26"/>
          <w:szCs w:val="26"/>
          <w:lang w:eastAsia="ru-RU"/>
        </w:rPr>
        <w:t>разработка механизма повторного использования проектов;</w:t>
      </w:r>
    </w:p>
    <w:p w:rsidR="00C23B97" w:rsidRPr="004761E0" w:rsidRDefault="00C23B97" w:rsidP="007076A7">
      <w:pPr>
        <w:pStyle w:val="a5"/>
        <w:numPr>
          <w:ilvl w:val="0"/>
          <w:numId w:val="122"/>
        </w:numPr>
        <w:ind w:left="1134" w:hanging="567"/>
        <w:contextualSpacing w:val="0"/>
        <w:textAlignment w:val="baseline"/>
        <w:rPr>
          <w:rFonts w:eastAsiaTheme="minorEastAsia"/>
          <w:bCs/>
          <w:color w:val="000000"/>
          <w:kern w:val="24"/>
          <w:sz w:val="26"/>
          <w:szCs w:val="26"/>
          <w:lang w:eastAsia="ru-RU"/>
        </w:rPr>
      </w:pPr>
      <w:r w:rsidRPr="004761E0">
        <w:rPr>
          <w:rFonts w:eastAsiaTheme="minorEastAsia"/>
          <w:bCs/>
          <w:color w:val="000000"/>
          <w:kern w:val="24"/>
          <w:sz w:val="26"/>
          <w:szCs w:val="26"/>
          <w:lang w:eastAsia="ru-RU"/>
        </w:rPr>
        <w:t>разработка принципов и механизмов повторного использования оборудования;</w:t>
      </w:r>
    </w:p>
    <w:p w:rsidR="00C23B97" w:rsidRPr="004761E0" w:rsidRDefault="00C23B97" w:rsidP="007076A7">
      <w:pPr>
        <w:pStyle w:val="a5"/>
        <w:numPr>
          <w:ilvl w:val="0"/>
          <w:numId w:val="122"/>
        </w:numPr>
        <w:ind w:left="1134" w:hanging="567"/>
        <w:contextualSpacing w:val="0"/>
        <w:textAlignment w:val="baseline"/>
        <w:rPr>
          <w:rFonts w:eastAsiaTheme="minorEastAsia"/>
          <w:bCs/>
          <w:color w:val="000000"/>
          <w:kern w:val="24"/>
          <w:sz w:val="26"/>
          <w:szCs w:val="26"/>
          <w:lang w:eastAsia="ru-RU"/>
        </w:rPr>
      </w:pPr>
      <w:r w:rsidRPr="004761E0">
        <w:rPr>
          <w:rFonts w:eastAsiaTheme="minorEastAsia"/>
          <w:bCs/>
          <w:color w:val="000000"/>
          <w:kern w:val="24"/>
          <w:sz w:val="26"/>
          <w:szCs w:val="26"/>
          <w:lang w:eastAsia="ru-RU"/>
        </w:rPr>
        <w:t>разработка программы «Прямая Линия» по увеличению доли производителей и их официальных представителей в поставках электротехнического оборудования.</w:t>
      </w:r>
    </w:p>
    <w:p w:rsidR="00C23B97" w:rsidRPr="004761E0" w:rsidRDefault="00C23B97" w:rsidP="00C23B97">
      <w:pPr>
        <w:tabs>
          <w:tab w:val="left" w:pos="284"/>
        </w:tabs>
        <w:spacing w:before="120" w:after="120"/>
        <w:ind w:firstLine="567"/>
        <w:rPr>
          <w:b/>
          <w:sz w:val="26"/>
          <w:szCs w:val="26"/>
        </w:rPr>
      </w:pPr>
      <w:r w:rsidRPr="004761E0">
        <w:rPr>
          <w:b/>
          <w:sz w:val="26"/>
          <w:szCs w:val="26"/>
        </w:rPr>
        <w:t>Поручение Правительства РФ от 18.04.2011 № ИС-П9-2408, от 15.04.2011 № ИС-П9-6576, от 25.10.2011 № ИС-П9-7599 о реализации инвестиционных программ и проектов электроэнергетических компаний с государственным участием</w:t>
      </w:r>
    </w:p>
    <w:p w:rsidR="00C23B97" w:rsidRPr="004761E0" w:rsidRDefault="00C23B97" w:rsidP="00C23B97">
      <w:pPr>
        <w:ind w:firstLine="567"/>
        <w:textAlignment w:val="baseline"/>
        <w:rPr>
          <w:rFonts w:eastAsiaTheme="minorEastAsia"/>
          <w:bCs/>
          <w:color w:val="000000"/>
          <w:kern w:val="24"/>
          <w:sz w:val="26"/>
          <w:szCs w:val="26"/>
          <w:lang w:eastAsia="ru-RU"/>
        </w:rPr>
      </w:pPr>
      <w:r w:rsidRPr="004761E0">
        <w:rPr>
          <w:rFonts w:eastAsiaTheme="minorEastAsia"/>
          <w:bCs/>
          <w:color w:val="000000"/>
          <w:kern w:val="24"/>
          <w:sz w:val="26"/>
          <w:szCs w:val="26"/>
          <w:lang w:eastAsia="ru-RU"/>
        </w:rPr>
        <w:t>Целью данного поручения является:</w:t>
      </w:r>
    </w:p>
    <w:p w:rsidR="00C23B97" w:rsidRPr="004761E0" w:rsidRDefault="00C23B97" w:rsidP="007076A7">
      <w:pPr>
        <w:pStyle w:val="a5"/>
        <w:numPr>
          <w:ilvl w:val="1"/>
          <w:numId w:val="192"/>
        </w:numPr>
        <w:ind w:left="1134" w:hanging="567"/>
        <w:textAlignment w:val="baseline"/>
        <w:rPr>
          <w:rFonts w:eastAsiaTheme="minorEastAsia"/>
          <w:bCs/>
          <w:color w:val="000000"/>
          <w:kern w:val="24"/>
          <w:sz w:val="26"/>
          <w:szCs w:val="26"/>
          <w:lang w:eastAsia="ru-RU"/>
        </w:rPr>
      </w:pPr>
      <w:r w:rsidRPr="004761E0">
        <w:rPr>
          <w:rFonts w:eastAsiaTheme="minorEastAsia"/>
          <w:bCs/>
          <w:color w:val="000000"/>
          <w:kern w:val="24"/>
          <w:sz w:val="26"/>
          <w:szCs w:val="26"/>
          <w:lang w:eastAsia="ru-RU"/>
        </w:rPr>
        <w:t>недопущение случаев удорожания объектов инвестиционной программы;</w:t>
      </w:r>
    </w:p>
    <w:p w:rsidR="00C23B97" w:rsidRPr="004761E0" w:rsidRDefault="00C23B97" w:rsidP="007076A7">
      <w:pPr>
        <w:pStyle w:val="a5"/>
        <w:numPr>
          <w:ilvl w:val="1"/>
          <w:numId w:val="192"/>
        </w:numPr>
        <w:ind w:left="1134" w:hanging="567"/>
        <w:textAlignment w:val="baseline"/>
        <w:rPr>
          <w:rFonts w:eastAsiaTheme="minorEastAsia"/>
          <w:bCs/>
          <w:color w:val="000000"/>
          <w:kern w:val="24"/>
          <w:sz w:val="26"/>
          <w:szCs w:val="26"/>
          <w:lang w:eastAsia="ru-RU"/>
        </w:rPr>
      </w:pPr>
      <w:r w:rsidRPr="004761E0">
        <w:rPr>
          <w:rFonts w:eastAsiaTheme="minorEastAsia"/>
          <w:bCs/>
          <w:color w:val="000000"/>
          <w:kern w:val="24"/>
          <w:sz w:val="26"/>
          <w:szCs w:val="26"/>
          <w:lang w:eastAsia="ru-RU"/>
        </w:rPr>
        <w:t xml:space="preserve">принятие мер, направленных на исключение авансирования выполнения работ и услуг; </w:t>
      </w:r>
    </w:p>
    <w:p w:rsidR="00C23B97" w:rsidRPr="004761E0" w:rsidRDefault="00C23B97" w:rsidP="007076A7">
      <w:pPr>
        <w:pStyle w:val="a5"/>
        <w:numPr>
          <w:ilvl w:val="1"/>
          <w:numId w:val="192"/>
        </w:numPr>
        <w:ind w:left="1134" w:hanging="567"/>
        <w:textAlignment w:val="baseline"/>
        <w:rPr>
          <w:rFonts w:eastAsiaTheme="minorEastAsia"/>
          <w:bCs/>
          <w:color w:val="000000"/>
          <w:kern w:val="24"/>
          <w:sz w:val="26"/>
          <w:szCs w:val="26"/>
          <w:lang w:eastAsia="ru-RU"/>
        </w:rPr>
      </w:pPr>
      <w:r w:rsidRPr="004761E0">
        <w:rPr>
          <w:rFonts w:eastAsiaTheme="minorEastAsia"/>
          <w:bCs/>
          <w:color w:val="000000"/>
          <w:kern w:val="24"/>
          <w:sz w:val="26"/>
          <w:szCs w:val="26"/>
          <w:lang w:eastAsia="ru-RU"/>
        </w:rPr>
        <w:t>обеспечение наличия всей исходно-разрешительной документацией на момент начала строительства объектов;</w:t>
      </w:r>
    </w:p>
    <w:p w:rsidR="00C23B97" w:rsidRPr="004761E0" w:rsidRDefault="00C23B97" w:rsidP="007076A7">
      <w:pPr>
        <w:pStyle w:val="a5"/>
        <w:numPr>
          <w:ilvl w:val="1"/>
          <w:numId w:val="192"/>
        </w:numPr>
        <w:ind w:left="1134" w:hanging="567"/>
        <w:textAlignment w:val="baseline"/>
        <w:rPr>
          <w:rFonts w:eastAsiaTheme="minorEastAsia"/>
          <w:bCs/>
          <w:color w:val="000000"/>
          <w:kern w:val="24"/>
          <w:sz w:val="26"/>
          <w:szCs w:val="26"/>
          <w:lang w:eastAsia="ru-RU"/>
        </w:rPr>
      </w:pPr>
      <w:r w:rsidRPr="004761E0">
        <w:rPr>
          <w:rFonts w:eastAsiaTheme="minorEastAsia"/>
          <w:bCs/>
          <w:color w:val="000000"/>
          <w:kern w:val="24"/>
          <w:sz w:val="26"/>
          <w:szCs w:val="26"/>
          <w:lang w:eastAsia="ru-RU"/>
        </w:rPr>
        <w:t>создание систем комплексного мониторинга выполнения инвестиционных программ.</w:t>
      </w:r>
    </w:p>
    <w:p w:rsidR="00C23B97" w:rsidRPr="004761E0" w:rsidRDefault="00C23B97" w:rsidP="00C23B97">
      <w:pPr>
        <w:ind w:firstLine="567"/>
        <w:textAlignment w:val="baseline"/>
        <w:rPr>
          <w:b/>
          <w:sz w:val="26"/>
          <w:szCs w:val="26"/>
          <w:lang w:eastAsia="ru-RU"/>
        </w:rPr>
      </w:pPr>
      <w:r w:rsidRPr="004761E0">
        <w:rPr>
          <w:rFonts w:eastAsiaTheme="minorEastAsia"/>
          <w:bCs/>
          <w:color w:val="000000"/>
          <w:kern w:val="24"/>
          <w:sz w:val="26"/>
          <w:szCs w:val="26"/>
          <w:lang w:eastAsia="ru-RU"/>
        </w:rPr>
        <w:t xml:space="preserve">Во исполнение данного поручения, Общество ежемесячно </w:t>
      </w:r>
      <w:proofErr w:type="gramStart"/>
      <w:r w:rsidRPr="004761E0">
        <w:rPr>
          <w:rFonts w:eastAsiaTheme="minorEastAsia"/>
          <w:bCs/>
          <w:color w:val="000000"/>
          <w:kern w:val="24"/>
          <w:sz w:val="26"/>
          <w:szCs w:val="26"/>
          <w:lang w:eastAsia="ru-RU"/>
        </w:rPr>
        <w:t>предоставляет отчеты</w:t>
      </w:r>
      <w:proofErr w:type="gramEnd"/>
      <w:r w:rsidRPr="004761E0">
        <w:rPr>
          <w:rFonts w:eastAsiaTheme="minorEastAsia"/>
          <w:bCs/>
          <w:color w:val="000000"/>
          <w:kern w:val="24"/>
          <w:sz w:val="26"/>
          <w:szCs w:val="26"/>
          <w:lang w:eastAsia="ru-RU"/>
        </w:rPr>
        <w:t xml:space="preserve"> в  </w:t>
      </w:r>
      <w:r w:rsidR="0008080E">
        <w:rPr>
          <w:rFonts w:eastAsiaTheme="minorEastAsia"/>
          <w:bCs/>
          <w:color w:val="000000"/>
          <w:kern w:val="24"/>
          <w:sz w:val="26"/>
          <w:szCs w:val="26"/>
          <w:lang w:eastAsia="ru-RU"/>
        </w:rPr>
        <w:t>ОАО </w:t>
      </w:r>
      <w:r w:rsidRPr="004761E0">
        <w:rPr>
          <w:rFonts w:eastAsiaTheme="minorEastAsia"/>
          <w:bCs/>
          <w:color w:val="000000"/>
          <w:kern w:val="24"/>
          <w:sz w:val="26"/>
          <w:szCs w:val="26"/>
          <w:lang w:eastAsia="ru-RU"/>
        </w:rPr>
        <w:t xml:space="preserve">«Россети» и в Центральное Управление федеральной службы по экологическому, технологическому и атомному надзору (Ростехнадзор), контролируя тем самым </w:t>
      </w:r>
      <w:r w:rsidRPr="004761E0">
        <w:rPr>
          <w:rFonts w:eastAsiaTheme="minorEastAsia"/>
          <w:bCs/>
          <w:color w:val="000000"/>
          <w:kern w:val="24"/>
          <w:sz w:val="26"/>
          <w:szCs w:val="26"/>
          <w:lang w:eastAsia="ru-RU"/>
        </w:rPr>
        <w:lastRenderedPageBreak/>
        <w:t>недопущение случаев удорожания объектов, наличие всей необходимой исходно-разрешительной документации и своевременное выполнение инвестиционной программы.</w:t>
      </w:r>
    </w:p>
    <w:p w:rsidR="00B20C95" w:rsidRPr="00B6020E" w:rsidRDefault="00B20C95">
      <w:pPr>
        <w:ind w:firstLine="0"/>
        <w:jc w:val="left"/>
        <w:rPr>
          <w:rFonts w:eastAsia="Times New Roman"/>
          <w:b/>
          <w:bCs/>
          <w:kern w:val="32"/>
          <w:sz w:val="26"/>
          <w:szCs w:val="26"/>
          <w:lang w:eastAsia="ru-RU"/>
        </w:rPr>
      </w:pPr>
      <w:bookmarkStart w:id="39" w:name="_Toc380576905"/>
      <w:r w:rsidRPr="00B6020E">
        <w:rPr>
          <w:sz w:val="26"/>
          <w:szCs w:val="26"/>
          <w:lang w:eastAsia="ru-RU"/>
        </w:rPr>
        <w:br w:type="page"/>
      </w:r>
    </w:p>
    <w:p w:rsidR="0088058E" w:rsidRPr="004761E0" w:rsidRDefault="00BA326D" w:rsidP="007076A7">
      <w:pPr>
        <w:pStyle w:val="11"/>
        <w:numPr>
          <w:ilvl w:val="0"/>
          <w:numId w:val="321"/>
        </w:numPr>
        <w:spacing w:before="120" w:after="120"/>
        <w:ind w:left="1134" w:hanging="567"/>
        <w:rPr>
          <w:rFonts w:ascii="Times New Roman" w:hAnsi="Times New Roman"/>
          <w:sz w:val="26"/>
          <w:szCs w:val="26"/>
          <w:lang w:eastAsia="ru-RU"/>
        </w:rPr>
      </w:pPr>
      <w:bookmarkStart w:id="40" w:name="_Toc385339803"/>
      <w:r w:rsidRPr="004761E0">
        <w:rPr>
          <w:rFonts w:ascii="Times New Roman" w:hAnsi="Times New Roman"/>
          <w:sz w:val="26"/>
          <w:szCs w:val="26"/>
          <w:lang w:eastAsia="ru-RU"/>
        </w:rPr>
        <w:lastRenderedPageBreak/>
        <w:t>Производственная деятельность</w:t>
      </w:r>
      <w:bookmarkEnd w:id="39"/>
      <w:bookmarkEnd w:id="40"/>
    </w:p>
    <w:p w:rsidR="00136A10" w:rsidRPr="004761E0" w:rsidRDefault="00E34ACB" w:rsidP="007076A7">
      <w:pPr>
        <w:pStyle w:val="a8"/>
        <w:numPr>
          <w:ilvl w:val="1"/>
          <w:numId w:val="321"/>
        </w:numPr>
        <w:spacing w:before="120" w:after="120"/>
        <w:ind w:left="1134" w:hanging="567"/>
        <w:jc w:val="both"/>
        <w:rPr>
          <w:rFonts w:ascii="Times New Roman" w:hAnsi="Times New Roman"/>
          <w:b/>
          <w:sz w:val="26"/>
          <w:szCs w:val="26"/>
        </w:rPr>
      </w:pPr>
      <w:bookmarkStart w:id="41" w:name="_Toc380576906"/>
      <w:bookmarkStart w:id="42" w:name="_Toc385339804"/>
      <w:r w:rsidRPr="004761E0">
        <w:rPr>
          <w:rFonts w:ascii="Times New Roman" w:hAnsi="Times New Roman"/>
          <w:b/>
          <w:sz w:val="26"/>
          <w:szCs w:val="26"/>
        </w:rPr>
        <w:t>Интервью заместителя генерального директора по транспорту и учету электроэнергии –</w:t>
      </w:r>
      <w:r w:rsidR="00136A10" w:rsidRPr="004761E0">
        <w:rPr>
          <w:rFonts w:ascii="Times New Roman" w:hAnsi="Times New Roman"/>
          <w:b/>
          <w:sz w:val="26"/>
          <w:szCs w:val="26"/>
        </w:rPr>
        <w:t xml:space="preserve"> директора филиала «Энергоучет»</w:t>
      </w:r>
      <w:bookmarkEnd w:id="41"/>
      <w:bookmarkEnd w:id="42"/>
    </w:p>
    <w:p w:rsidR="00CD424D" w:rsidRPr="004761E0" w:rsidRDefault="00CD424D" w:rsidP="00CD424D">
      <w:pPr>
        <w:spacing w:before="120" w:after="120"/>
        <w:ind w:firstLine="567"/>
        <w:rPr>
          <w:b/>
          <w:sz w:val="26"/>
          <w:szCs w:val="26"/>
        </w:rPr>
      </w:pPr>
      <w:r w:rsidRPr="004761E0">
        <w:rPr>
          <w:b/>
          <w:sz w:val="26"/>
          <w:szCs w:val="26"/>
        </w:rPr>
        <w:t>Каковы основные результаты деятельности в отчетном году в рамках курируемого Вами направления?</w:t>
      </w:r>
    </w:p>
    <w:p w:rsidR="00CD424D" w:rsidRPr="004761E0" w:rsidRDefault="00CD424D" w:rsidP="00CD424D">
      <w:pPr>
        <w:ind w:firstLine="567"/>
        <w:rPr>
          <w:sz w:val="26"/>
          <w:szCs w:val="26"/>
        </w:rPr>
      </w:pPr>
      <w:r w:rsidRPr="004761E0">
        <w:rPr>
          <w:sz w:val="26"/>
          <w:szCs w:val="26"/>
        </w:rPr>
        <w:t xml:space="preserve">Повышение эффективности работы по организации учета электроэнергии в </w:t>
      </w:r>
      <w:r w:rsidR="0008080E">
        <w:rPr>
          <w:sz w:val="26"/>
          <w:szCs w:val="26"/>
        </w:rPr>
        <w:t>ОАО </w:t>
      </w:r>
      <w:r w:rsidR="00E020B0">
        <w:rPr>
          <w:sz w:val="26"/>
          <w:szCs w:val="26"/>
        </w:rPr>
        <w:t>«МОЭСК». В 2013 году</w:t>
      </w:r>
      <w:r w:rsidRPr="004761E0">
        <w:rPr>
          <w:sz w:val="26"/>
          <w:szCs w:val="26"/>
        </w:rPr>
        <w:t xml:space="preserve"> создан филиал Энергоучет. Основные цели его создания: прежде всего, самостоятельное формирование объема оказанных услуг по передаче электрической энергии по сетям Компании, усиление работы в части выявления и предупреждения неучтенного пользования электроэнергии, формирование балансов электрической энергии по всем уровням напряжения, повышение качества обслуживания клиентов. </w:t>
      </w:r>
    </w:p>
    <w:p w:rsidR="00CD424D" w:rsidRPr="004761E0" w:rsidRDefault="00CD424D" w:rsidP="00CD424D">
      <w:pPr>
        <w:ind w:firstLine="567"/>
        <w:rPr>
          <w:sz w:val="26"/>
          <w:szCs w:val="26"/>
        </w:rPr>
      </w:pPr>
      <w:r w:rsidRPr="004761E0">
        <w:rPr>
          <w:sz w:val="26"/>
          <w:szCs w:val="26"/>
        </w:rPr>
        <w:t xml:space="preserve">С целью снижения потерь электроэнергии в сетях Компании подразделения Энергоучета совместно с сотрудниками электросетевых филиалов проводятся технические и организационные мероприятия, что сказалось на экономическом результате деятельности компании. Эффект от реализации Программы по снижению потерь электроэнергии в 2013 году составил 409,4 </w:t>
      </w:r>
      <w:proofErr w:type="gramStart"/>
      <w:r w:rsidRPr="004761E0">
        <w:rPr>
          <w:sz w:val="26"/>
          <w:szCs w:val="26"/>
        </w:rPr>
        <w:t>млн</w:t>
      </w:r>
      <w:proofErr w:type="gramEnd"/>
      <w:r w:rsidRPr="004761E0">
        <w:rPr>
          <w:sz w:val="26"/>
          <w:szCs w:val="26"/>
        </w:rPr>
        <w:t xml:space="preserve"> кВтч, в том числе за счет мероприятий, направленных на недопущение потерь электроэнергии (выявление бездоговорного потребления электроэнергии) – 73,3 млн кВтч. </w:t>
      </w:r>
    </w:p>
    <w:p w:rsidR="00CD424D" w:rsidRPr="004761E0" w:rsidRDefault="00CD424D" w:rsidP="00CD424D">
      <w:pPr>
        <w:ind w:firstLine="567"/>
        <w:rPr>
          <w:sz w:val="26"/>
          <w:szCs w:val="26"/>
        </w:rPr>
      </w:pPr>
      <w:r w:rsidRPr="004761E0">
        <w:rPr>
          <w:sz w:val="26"/>
          <w:szCs w:val="26"/>
        </w:rPr>
        <w:t>В результате реализации Программы перспективного развития систем учета электроэнергии, а также Программы замены счетчиков, трансформаторов тока (0,4-6-10</w:t>
      </w:r>
      <w:r w:rsidR="00355607">
        <w:rPr>
          <w:sz w:val="26"/>
          <w:szCs w:val="26"/>
        </w:rPr>
        <w:t> </w:t>
      </w:r>
      <w:r w:rsidRPr="004761E0">
        <w:rPr>
          <w:sz w:val="26"/>
          <w:szCs w:val="26"/>
        </w:rPr>
        <w:t>кВ) и трансформаторов напряжения (6-10</w:t>
      </w:r>
      <w:r w:rsidR="00E20318">
        <w:rPr>
          <w:sz w:val="26"/>
          <w:szCs w:val="26"/>
        </w:rPr>
        <w:t xml:space="preserve"> </w:t>
      </w:r>
      <w:r w:rsidRPr="004761E0">
        <w:rPr>
          <w:sz w:val="26"/>
          <w:szCs w:val="26"/>
        </w:rPr>
        <w:t xml:space="preserve">кВ) величина потерь электроэнергии сократилась на 29 </w:t>
      </w:r>
      <w:proofErr w:type="gramStart"/>
      <w:r w:rsidRPr="004761E0">
        <w:rPr>
          <w:sz w:val="26"/>
          <w:szCs w:val="26"/>
        </w:rPr>
        <w:t>млн</w:t>
      </w:r>
      <w:proofErr w:type="gramEnd"/>
      <w:r w:rsidRPr="004761E0">
        <w:rPr>
          <w:sz w:val="26"/>
          <w:szCs w:val="26"/>
        </w:rPr>
        <w:t xml:space="preserve"> кВтч.</w:t>
      </w:r>
    </w:p>
    <w:p w:rsidR="00CD424D" w:rsidRPr="004761E0" w:rsidRDefault="00CD424D" w:rsidP="00CD424D">
      <w:pPr>
        <w:ind w:firstLine="567"/>
        <w:rPr>
          <w:sz w:val="26"/>
          <w:szCs w:val="26"/>
        </w:rPr>
      </w:pPr>
      <w:r w:rsidRPr="004761E0">
        <w:rPr>
          <w:sz w:val="26"/>
          <w:szCs w:val="26"/>
        </w:rPr>
        <w:t xml:space="preserve">В течение 2013 года проведено 60 тыс. технических проверок систем учета электроэнергии. В результате устранения выявленных нарушений потери электроэнергии сокращены еще на 4,9 </w:t>
      </w:r>
      <w:proofErr w:type="gramStart"/>
      <w:r w:rsidRPr="004761E0">
        <w:rPr>
          <w:sz w:val="26"/>
          <w:szCs w:val="26"/>
        </w:rPr>
        <w:t>млн</w:t>
      </w:r>
      <w:proofErr w:type="gramEnd"/>
      <w:r w:rsidRPr="004761E0">
        <w:rPr>
          <w:sz w:val="26"/>
          <w:szCs w:val="26"/>
        </w:rPr>
        <w:t xml:space="preserve"> кВтч. </w:t>
      </w:r>
    </w:p>
    <w:p w:rsidR="00CD424D" w:rsidRPr="004761E0" w:rsidRDefault="00CD424D" w:rsidP="00CD424D">
      <w:pPr>
        <w:ind w:firstLine="567"/>
        <w:rPr>
          <w:sz w:val="26"/>
          <w:szCs w:val="26"/>
        </w:rPr>
      </w:pPr>
      <w:r w:rsidRPr="004761E0">
        <w:rPr>
          <w:sz w:val="26"/>
          <w:szCs w:val="26"/>
        </w:rPr>
        <w:t xml:space="preserve">В прошедшем году персоналом филиала велись работы по созданию систем с автоматизированным сбором данных у потребителей. Эти работы будут продолжены в первой половине 2014 года. </w:t>
      </w:r>
    </w:p>
    <w:p w:rsidR="00CD424D" w:rsidRPr="004761E0" w:rsidRDefault="00CD424D" w:rsidP="00CD424D">
      <w:pPr>
        <w:spacing w:before="120" w:after="120"/>
        <w:ind w:firstLine="567"/>
        <w:rPr>
          <w:b/>
          <w:sz w:val="26"/>
          <w:szCs w:val="26"/>
        </w:rPr>
      </w:pPr>
      <w:r w:rsidRPr="004761E0">
        <w:rPr>
          <w:b/>
          <w:sz w:val="26"/>
          <w:szCs w:val="26"/>
        </w:rPr>
        <w:t>Как в отчетном году упростилась деятельность в рамках курируемого Вами направления?</w:t>
      </w:r>
    </w:p>
    <w:p w:rsidR="00CD424D" w:rsidRPr="004761E0" w:rsidRDefault="000F32FF" w:rsidP="00CD424D">
      <w:pPr>
        <w:ind w:firstLine="567"/>
        <w:rPr>
          <w:sz w:val="26"/>
          <w:szCs w:val="26"/>
          <w:lang w:eastAsia="ru-RU"/>
        </w:rPr>
      </w:pPr>
      <w:r w:rsidRPr="004761E0">
        <w:rPr>
          <w:sz w:val="26"/>
          <w:szCs w:val="26"/>
          <w:lang w:eastAsia="ru-RU"/>
        </w:rPr>
        <w:t xml:space="preserve">С созданием филиала </w:t>
      </w:r>
      <w:r w:rsidR="007F0436">
        <w:rPr>
          <w:sz w:val="26"/>
          <w:szCs w:val="26"/>
          <w:lang w:eastAsia="ru-RU"/>
        </w:rPr>
        <w:t>Энергоучет</w:t>
      </w:r>
      <w:r w:rsidR="00CD424D" w:rsidRPr="004761E0">
        <w:rPr>
          <w:sz w:val="26"/>
          <w:szCs w:val="26"/>
          <w:lang w:eastAsia="ru-RU"/>
        </w:rPr>
        <w:t xml:space="preserve"> разделены функции эксплуатации электросетевого комплекса и контроля потребления электроэнергии. В связи с этим, исчезло искусственное деление на административное и функциональное управление.</w:t>
      </w:r>
    </w:p>
    <w:p w:rsidR="00CD424D" w:rsidRPr="004761E0" w:rsidRDefault="00CD424D" w:rsidP="00CD424D">
      <w:pPr>
        <w:ind w:firstLine="567"/>
        <w:rPr>
          <w:sz w:val="26"/>
          <w:szCs w:val="26"/>
          <w:lang w:eastAsia="ru-RU"/>
        </w:rPr>
      </w:pPr>
      <w:r w:rsidRPr="004761E0">
        <w:rPr>
          <w:sz w:val="26"/>
          <w:szCs w:val="26"/>
          <w:lang w:eastAsia="ru-RU"/>
        </w:rPr>
        <w:t xml:space="preserve">Организация вертикали управления бизнес-процессом учета электроэнергии способствует повышению его эффективности и обеспечивает целевое распределение ресурсов для организации учета. </w:t>
      </w:r>
    </w:p>
    <w:p w:rsidR="00CD424D" w:rsidRPr="004761E0" w:rsidRDefault="00CD424D" w:rsidP="00CD424D">
      <w:pPr>
        <w:pStyle w:val="ac"/>
        <w:ind w:firstLine="567"/>
        <w:rPr>
          <w:sz w:val="26"/>
          <w:szCs w:val="26"/>
        </w:rPr>
      </w:pPr>
      <w:r w:rsidRPr="004761E0">
        <w:rPr>
          <w:sz w:val="26"/>
          <w:szCs w:val="26"/>
        </w:rPr>
        <w:t>С 2013 года ведется работа по формированию полезного отпуска собственными силами на основании показаний снятых с приборов учета.</w:t>
      </w:r>
    </w:p>
    <w:p w:rsidR="00CD424D" w:rsidRPr="004761E0" w:rsidRDefault="00CD424D" w:rsidP="00CD424D">
      <w:pPr>
        <w:pStyle w:val="ac"/>
        <w:ind w:firstLine="567"/>
        <w:rPr>
          <w:sz w:val="26"/>
          <w:szCs w:val="26"/>
        </w:rPr>
      </w:pPr>
      <w:r w:rsidRPr="004761E0">
        <w:rPr>
          <w:sz w:val="26"/>
          <w:szCs w:val="26"/>
        </w:rPr>
        <w:t>Для оптимизации функц</w:t>
      </w:r>
      <w:r w:rsidR="000F32FF" w:rsidRPr="004761E0">
        <w:rPr>
          <w:sz w:val="26"/>
          <w:szCs w:val="26"/>
        </w:rPr>
        <w:t xml:space="preserve">ии учета электрической энергии </w:t>
      </w:r>
      <w:r w:rsidRPr="004761E0">
        <w:rPr>
          <w:sz w:val="26"/>
          <w:szCs w:val="26"/>
        </w:rPr>
        <w:t>Энергоучет активно внедряет новейшие программные продукты. Сегодня в 5 из 7 электросетевых филиалов Общества объем переданной электроэнергии формируется с помощью специализированного программного комплекса АИС «КИС Баланс». Указанная информационная система обеспечивает комплексную информатизацию и автоматизацию бизнес-п</w:t>
      </w:r>
      <w:r w:rsidR="000F32FF" w:rsidRPr="004761E0">
        <w:rPr>
          <w:sz w:val="26"/>
          <w:szCs w:val="26"/>
        </w:rPr>
        <w:t>роцессов, реализуемых филиалом Энергоучет</w:t>
      </w:r>
      <w:r w:rsidRPr="004761E0">
        <w:rPr>
          <w:sz w:val="26"/>
          <w:szCs w:val="26"/>
        </w:rPr>
        <w:t xml:space="preserve">, в сфере организации коммерческого учета и транспорта электроэнергии. </w:t>
      </w:r>
    </w:p>
    <w:p w:rsidR="00CD424D" w:rsidRPr="004761E0" w:rsidRDefault="00CD424D" w:rsidP="00CD424D">
      <w:pPr>
        <w:pStyle w:val="ac"/>
        <w:ind w:firstLine="567"/>
        <w:rPr>
          <w:sz w:val="26"/>
          <w:szCs w:val="26"/>
        </w:rPr>
      </w:pPr>
      <w:r w:rsidRPr="004761E0">
        <w:rPr>
          <w:sz w:val="26"/>
          <w:szCs w:val="26"/>
        </w:rPr>
        <w:lastRenderedPageBreak/>
        <w:t>В прошедшем году на 16-ти подстанциях Общества введена в эксплуатацию система АИИС КУЭ (автоматизированная информационно</w:t>
      </w:r>
      <w:r w:rsidR="00E20318">
        <w:rPr>
          <w:sz w:val="26"/>
          <w:szCs w:val="26"/>
        </w:rPr>
        <w:t>-</w:t>
      </w:r>
      <w:r w:rsidRPr="004761E0">
        <w:rPr>
          <w:sz w:val="26"/>
          <w:szCs w:val="26"/>
        </w:rPr>
        <w:t xml:space="preserve">измерительная система коммерческого учета электроэнергии). Она позволяет в автоматическом режиме осуществлять передачу данных о получасовых расходах мощности в </w:t>
      </w:r>
      <w:r w:rsidR="0008080E">
        <w:rPr>
          <w:sz w:val="26"/>
          <w:szCs w:val="26"/>
        </w:rPr>
        <w:t>ОАО </w:t>
      </w:r>
      <w:r w:rsidRPr="004761E0">
        <w:rPr>
          <w:sz w:val="26"/>
          <w:szCs w:val="26"/>
        </w:rPr>
        <w:t>«Мосэнергосбыт».</w:t>
      </w:r>
    </w:p>
    <w:p w:rsidR="00CD424D" w:rsidRPr="004761E0" w:rsidRDefault="00CD424D" w:rsidP="00CD424D">
      <w:pPr>
        <w:spacing w:before="120" w:after="120"/>
        <w:ind w:firstLine="567"/>
        <w:rPr>
          <w:b/>
          <w:sz w:val="26"/>
          <w:szCs w:val="26"/>
        </w:rPr>
      </w:pPr>
      <w:r w:rsidRPr="004761E0">
        <w:rPr>
          <w:b/>
          <w:sz w:val="26"/>
          <w:szCs w:val="26"/>
        </w:rPr>
        <w:t xml:space="preserve">Каким образом результаты деятельности в рамках курируемого направления повлияли в отчетном году на повышение открытости/прозрачности деятельности </w:t>
      </w:r>
      <w:r w:rsidR="0008080E">
        <w:rPr>
          <w:b/>
          <w:sz w:val="26"/>
          <w:szCs w:val="26"/>
        </w:rPr>
        <w:t>ОАО </w:t>
      </w:r>
      <w:r w:rsidRPr="004761E0">
        <w:rPr>
          <w:b/>
          <w:sz w:val="26"/>
          <w:szCs w:val="26"/>
        </w:rPr>
        <w:t>«МОЭСК»?</w:t>
      </w:r>
    </w:p>
    <w:p w:rsidR="00CD424D" w:rsidRPr="004761E0" w:rsidRDefault="00CD424D" w:rsidP="00CD424D">
      <w:pPr>
        <w:ind w:firstLine="567"/>
        <w:rPr>
          <w:sz w:val="26"/>
          <w:szCs w:val="26"/>
          <w:lang w:eastAsia="ru-RU"/>
        </w:rPr>
      </w:pPr>
      <w:r w:rsidRPr="004761E0">
        <w:rPr>
          <w:sz w:val="26"/>
          <w:szCs w:val="26"/>
          <w:lang w:eastAsia="ru-RU"/>
        </w:rPr>
        <w:t>Одна из цел</w:t>
      </w:r>
      <w:r w:rsidR="000F32FF" w:rsidRPr="004761E0">
        <w:rPr>
          <w:sz w:val="26"/>
          <w:szCs w:val="26"/>
          <w:lang w:eastAsia="ru-RU"/>
        </w:rPr>
        <w:t>ей создания филиала Энергоучет</w:t>
      </w:r>
      <w:r w:rsidRPr="004761E0">
        <w:rPr>
          <w:sz w:val="26"/>
          <w:szCs w:val="26"/>
          <w:lang w:eastAsia="ru-RU"/>
        </w:rPr>
        <w:t xml:space="preserve"> – сделать функцию учета электроэнергии прозрачной, то есть Компания должна понимать, сколько она вкладывает именно в учет электроэнергии и как эти инвестиции сказываются на повышении доходов компании.</w:t>
      </w:r>
    </w:p>
    <w:p w:rsidR="00CD424D" w:rsidRPr="004761E0" w:rsidRDefault="00CD424D" w:rsidP="00CD424D">
      <w:pPr>
        <w:ind w:firstLine="567"/>
        <w:rPr>
          <w:sz w:val="26"/>
          <w:szCs w:val="26"/>
        </w:rPr>
      </w:pPr>
      <w:r w:rsidRPr="004761E0">
        <w:rPr>
          <w:sz w:val="26"/>
          <w:szCs w:val="26"/>
        </w:rPr>
        <w:t xml:space="preserve">В 2013 году составлено 3 106 актов при выявлении бездоговорного электропотребления в объеме 404 </w:t>
      </w:r>
      <w:proofErr w:type="gramStart"/>
      <w:r w:rsidRPr="004761E0">
        <w:rPr>
          <w:sz w:val="26"/>
          <w:szCs w:val="26"/>
        </w:rPr>
        <w:t>млн</w:t>
      </w:r>
      <w:proofErr w:type="gramEnd"/>
      <w:r w:rsidRPr="004761E0">
        <w:rPr>
          <w:sz w:val="26"/>
          <w:szCs w:val="26"/>
        </w:rPr>
        <w:t xml:space="preserve"> кВтч. Из ранее составленных оплачено 2 778 актов о бездоговорном потреблении 73,3 </w:t>
      </w:r>
      <w:proofErr w:type="gramStart"/>
      <w:r w:rsidR="00355607">
        <w:rPr>
          <w:sz w:val="26"/>
          <w:szCs w:val="26"/>
        </w:rPr>
        <w:t>млн</w:t>
      </w:r>
      <w:proofErr w:type="gramEnd"/>
      <w:r w:rsidR="00355607">
        <w:rPr>
          <w:sz w:val="26"/>
          <w:szCs w:val="26"/>
        </w:rPr>
        <w:t xml:space="preserve"> </w:t>
      </w:r>
      <w:r w:rsidRPr="004761E0">
        <w:rPr>
          <w:sz w:val="26"/>
          <w:szCs w:val="26"/>
        </w:rPr>
        <w:t>кВтч, что позволило вернуть Обществу стоимость несанкционированного потребления в размере 262,5 млн руб</w:t>
      </w:r>
      <w:r w:rsidR="00355607">
        <w:rPr>
          <w:sz w:val="26"/>
          <w:szCs w:val="26"/>
        </w:rPr>
        <w:t>.</w:t>
      </w:r>
      <w:r w:rsidRPr="004761E0">
        <w:rPr>
          <w:sz w:val="26"/>
          <w:szCs w:val="26"/>
        </w:rPr>
        <w:t xml:space="preserve"> без НДС.</w:t>
      </w:r>
    </w:p>
    <w:p w:rsidR="00CD424D" w:rsidRPr="004761E0" w:rsidRDefault="00CD424D" w:rsidP="00CD424D">
      <w:pPr>
        <w:spacing w:before="120" w:after="120"/>
        <w:ind w:firstLine="567"/>
        <w:rPr>
          <w:b/>
          <w:sz w:val="26"/>
          <w:szCs w:val="26"/>
        </w:rPr>
      </w:pPr>
      <w:r w:rsidRPr="004761E0">
        <w:rPr>
          <w:b/>
          <w:sz w:val="26"/>
          <w:szCs w:val="26"/>
        </w:rPr>
        <w:t>Каким образом результаты деятельности в рамках курируемого направления отразились на взаимоотношениях с клиентами, акционерами, иными заинтересованными сторонами?</w:t>
      </w:r>
    </w:p>
    <w:p w:rsidR="00CD424D" w:rsidRPr="004761E0" w:rsidRDefault="00CD424D" w:rsidP="00CD424D">
      <w:pPr>
        <w:ind w:firstLine="567"/>
        <w:rPr>
          <w:sz w:val="26"/>
          <w:szCs w:val="26"/>
        </w:rPr>
      </w:pPr>
      <w:r w:rsidRPr="004761E0">
        <w:rPr>
          <w:sz w:val="26"/>
          <w:szCs w:val="26"/>
        </w:rPr>
        <w:t xml:space="preserve">Согласно постановлению правительства РФ от </w:t>
      </w:r>
      <w:r w:rsidR="00DF693F">
        <w:rPr>
          <w:sz w:val="26"/>
          <w:szCs w:val="26"/>
        </w:rPr>
        <w:t>0</w:t>
      </w:r>
      <w:r w:rsidRPr="004761E0">
        <w:rPr>
          <w:sz w:val="26"/>
          <w:szCs w:val="26"/>
        </w:rPr>
        <w:t>4</w:t>
      </w:r>
      <w:r w:rsidR="00DF693F">
        <w:rPr>
          <w:sz w:val="26"/>
          <w:szCs w:val="26"/>
        </w:rPr>
        <w:t>.05.</w:t>
      </w:r>
      <w:r w:rsidRPr="004761E0">
        <w:rPr>
          <w:sz w:val="26"/>
          <w:szCs w:val="26"/>
        </w:rPr>
        <w:t>2012 №</w:t>
      </w:r>
      <w:r w:rsidR="00355607">
        <w:rPr>
          <w:sz w:val="26"/>
          <w:szCs w:val="26"/>
        </w:rPr>
        <w:t> </w:t>
      </w:r>
      <w:r w:rsidRPr="004761E0">
        <w:rPr>
          <w:sz w:val="26"/>
          <w:szCs w:val="26"/>
        </w:rPr>
        <w:t>442, электросетевая компания обязана предоставлять потребителю данные о почасовых объемах потребления мощности по приборам учета, установленным на подстанциях Компании. Для повышения прозрачности деятельност</w:t>
      </w:r>
      <w:r w:rsidR="000F32FF" w:rsidRPr="004761E0">
        <w:rPr>
          <w:sz w:val="26"/>
          <w:szCs w:val="26"/>
        </w:rPr>
        <w:t xml:space="preserve">и </w:t>
      </w:r>
      <w:r w:rsidR="004546A6">
        <w:rPr>
          <w:sz w:val="26"/>
          <w:szCs w:val="26"/>
        </w:rPr>
        <w:t>ОАО «</w:t>
      </w:r>
      <w:r w:rsidR="000F32FF" w:rsidRPr="004761E0">
        <w:rPr>
          <w:sz w:val="26"/>
          <w:szCs w:val="26"/>
        </w:rPr>
        <w:t>МОЭСК</w:t>
      </w:r>
      <w:r w:rsidR="004546A6">
        <w:rPr>
          <w:sz w:val="26"/>
          <w:szCs w:val="26"/>
        </w:rPr>
        <w:t>»</w:t>
      </w:r>
      <w:r w:rsidR="000F32FF" w:rsidRPr="004761E0">
        <w:rPr>
          <w:sz w:val="26"/>
          <w:szCs w:val="26"/>
        </w:rPr>
        <w:t xml:space="preserve"> и, в частности филиала </w:t>
      </w:r>
      <w:r w:rsidRPr="004761E0">
        <w:rPr>
          <w:sz w:val="26"/>
          <w:szCs w:val="26"/>
        </w:rPr>
        <w:t xml:space="preserve">Энергоучет, налажена система ежедневного информирования потребителей и сбытовых компаний о потреблении электроэнергии и мощности с использованием системы АИИС КУЭ. </w:t>
      </w:r>
    </w:p>
    <w:p w:rsidR="00CD424D" w:rsidRPr="004761E0" w:rsidRDefault="00CD424D" w:rsidP="00CD424D">
      <w:pPr>
        <w:spacing w:before="120" w:after="120"/>
        <w:ind w:firstLine="567"/>
        <w:rPr>
          <w:b/>
          <w:sz w:val="26"/>
          <w:szCs w:val="26"/>
        </w:rPr>
      </w:pPr>
      <w:r w:rsidRPr="004761E0">
        <w:rPr>
          <w:b/>
          <w:sz w:val="26"/>
          <w:szCs w:val="26"/>
        </w:rPr>
        <w:t xml:space="preserve">Появились ли в рамках курируемого направления новые бизнес-процессы? </w:t>
      </w:r>
    </w:p>
    <w:p w:rsidR="00CD424D" w:rsidRPr="004761E0" w:rsidRDefault="00CD424D" w:rsidP="00CD424D">
      <w:pPr>
        <w:autoSpaceDE w:val="0"/>
        <w:autoSpaceDN w:val="0"/>
        <w:adjustRightInd w:val="0"/>
        <w:ind w:firstLine="567"/>
        <w:rPr>
          <w:sz w:val="26"/>
          <w:szCs w:val="26"/>
          <w:lang w:eastAsia="ru-RU"/>
        </w:rPr>
      </w:pPr>
      <w:r w:rsidRPr="004761E0">
        <w:rPr>
          <w:sz w:val="26"/>
          <w:szCs w:val="26"/>
          <w:lang w:eastAsia="ru-RU"/>
        </w:rPr>
        <w:t>Создание отдельного филиала для учета электроэнергии – инструмент повышения эффективности этого направления деятельности в Обществе. В результате бизнес-процессы координальным образом не изменились, но однозначно изменились технологии и отношение к выполняемым действиям. Больше внимания уделяется функциям, которые сегодня приносят реальный доход. Прежде всего, это формирование балансов электроэнергии, выявление бездоговорного и безучетного энергопотребления. У</w:t>
      </w:r>
      <w:r w:rsidRPr="004761E0">
        <w:rPr>
          <w:sz w:val="26"/>
          <w:szCs w:val="26"/>
        </w:rPr>
        <w:t>силились некоторые основные функции, которым ранее не уделялось должного внимания.  Одновременно перераспределились акценты функционала внутри структурных  подразделений.</w:t>
      </w:r>
    </w:p>
    <w:p w:rsidR="00CD424D" w:rsidRPr="004761E0" w:rsidRDefault="00CD424D" w:rsidP="00CD424D">
      <w:pPr>
        <w:autoSpaceDE w:val="0"/>
        <w:autoSpaceDN w:val="0"/>
        <w:adjustRightInd w:val="0"/>
        <w:ind w:firstLine="567"/>
        <w:rPr>
          <w:sz w:val="26"/>
          <w:szCs w:val="26"/>
        </w:rPr>
      </w:pPr>
      <w:r w:rsidRPr="004761E0">
        <w:rPr>
          <w:sz w:val="26"/>
          <w:szCs w:val="26"/>
        </w:rPr>
        <w:t>К новым бизнес-процессам можно отнести дополнительн</w:t>
      </w:r>
      <w:r w:rsidR="000F32FF" w:rsidRPr="004761E0">
        <w:rPr>
          <w:sz w:val="26"/>
          <w:szCs w:val="26"/>
        </w:rPr>
        <w:t xml:space="preserve">ые услуги для клиентов. Филиал </w:t>
      </w:r>
      <w:r w:rsidRPr="004761E0">
        <w:rPr>
          <w:sz w:val="26"/>
          <w:szCs w:val="26"/>
        </w:rPr>
        <w:t>Энергоучет предлагает потребителям услуги по организации учета электроэнергии под «ключ», модернизацию существующих систем.</w:t>
      </w:r>
    </w:p>
    <w:p w:rsidR="00CD424D" w:rsidRPr="004761E0" w:rsidRDefault="00CD424D" w:rsidP="00CD424D">
      <w:pPr>
        <w:autoSpaceDE w:val="0"/>
        <w:autoSpaceDN w:val="0"/>
        <w:adjustRightInd w:val="0"/>
        <w:spacing w:before="120" w:after="120"/>
        <w:ind w:firstLine="567"/>
        <w:rPr>
          <w:b/>
          <w:sz w:val="26"/>
          <w:szCs w:val="26"/>
        </w:rPr>
      </w:pPr>
      <w:r w:rsidRPr="004761E0">
        <w:rPr>
          <w:b/>
          <w:sz w:val="26"/>
          <w:szCs w:val="26"/>
        </w:rPr>
        <w:t xml:space="preserve">Каковы основные планы на следующий год и среднесрочную перспективу? </w:t>
      </w:r>
    </w:p>
    <w:p w:rsidR="00CD424D" w:rsidRPr="004761E0" w:rsidRDefault="00CD424D" w:rsidP="00CD424D">
      <w:pPr>
        <w:autoSpaceDE w:val="0"/>
        <w:autoSpaceDN w:val="0"/>
        <w:adjustRightInd w:val="0"/>
        <w:ind w:firstLine="567"/>
        <w:rPr>
          <w:sz w:val="26"/>
          <w:szCs w:val="26"/>
          <w:lang w:eastAsia="ru-RU"/>
        </w:rPr>
      </w:pPr>
      <w:r w:rsidRPr="004761E0">
        <w:rPr>
          <w:sz w:val="26"/>
          <w:szCs w:val="26"/>
          <w:lang w:eastAsia="ru-RU"/>
        </w:rPr>
        <w:t xml:space="preserve">Сегодня мы продолжаем работу по совершенствованию технологий учета электроэнергии, установке на объекты новейших систем учета в рамках реализации масштабной инвестиционной программы. </w:t>
      </w:r>
    </w:p>
    <w:p w:rsidR="00CD424D" w:rsidRPr="004761E0" w:rsidRDefault="00CD424D" w:rsidP="00CD424D">
      <w:pPr>
        <w:autoSpaceDE w:val="0"/>
        <w:autoSpaceDN w:val="0"/>
        <w:adjustRightInd w:val="0"/>
        <w:ind w:firstLine="567"/>
        <w:rPr>
          <w:sz w:val="26"/>
          <w:szCs w:val="26"/>
          <w:lang w:eastAsia="ru-RU"/>
        </w:rPr>
      </w:pPr>
      <w:r w:rsidRPr="004761E0">
        <w:rPr>
          <w:sz w:val="26"/>
          <w:szCs w:val="26"/>
          <w:lang w:eastAsia="ru-RU"/>
        </w:rPr>
        <w:t xml:space="preserve">Сотрудники филиала Энергоучет следят за научно-техническим прогрессом в части средств учета электрической энергии, новых технологий в этой области, лучшие из которых будут внедряться в Обществе. Главная задача – обеспечить реализацию </w:t>
      </w:r>
      <w:r w:rsidRPr="004761E0">
        <w:rPr>
          <w:sz w:val="26"/>
          <w:szCs w:val="26"/>
          <w:lang w:eastAsia="ru-RU"/>
        </w:rPr>
        <w:lastRenderedPageBreak/>
        <w:t>намеченных планов, а также – увеличить доход за счет снижения потерь электроэнергии и оказания дополнительных услуг потребителям.</w:t>
      </w:r>
    </w:p>
    <w:p w:rsidR="00CD424D" w:rsidRPr="004761E0" w:rsidRDefault="00CD424D" w:rsidP="00CD424D">
      <w:pPr>
        <w:autoSpaceDE w:val="0"/>
        <w:autoSpaceDN w:val="0"/>
        <w:adjustRightInd w:val="0"/>
        <w:ind w:firstLine="567"/>
        <w:rPr>
          <w:sz w:val="26"/>
          <w:szCs w:val="26"/>
        </w:rPr>
      </w:pPr>
      <w:r w:rsidRPr="004761E0">
        <w:rPr>
          <w:sz w:val="26"/>
          <w:szCs w:val="26"/>
          <w:lang w:eastAsia="ru-RU"/>
        </w:rPr>
        <w:t xml:space="preserve">Кроме того, планируется снижать затраты на обслуживание функции учета электроэнергии за счет совершенствования технологий и повышения эффективности производительности труда сотрудников. </w:t>
      </w:r>
    </w:p>
    <w:p w:rsidR="00B20C95" w:rsidRPr="00B6020E" w:rsidRDefault="00B20C95">
      <w:pPr>
        <w:ind w:firstLine="0"/>
        <w:jc w:val="left"/>
        <w:rPr>
          <w:rFonts w:eastAsia="Times New Roman"/>
          <w:b/>
          <w:sz w:val="26"/>
          <w:szCs w:val="26"/>
          <w:lang w:eastAsia="ru-RU"/>
        </w:rPr>
      </w:pPr>
      <w:bookmarkStart w:id="43" w:name="_Toc380576907"/>
      <w:r w:rsidRPr="00B6020E">
        <w:rPr>
          <w:b/>
          <w:sz w:val="26"/>
          <w:szCs w:val="26"/>
          <w:lang w:eastAsia="ru-RU"/>
        </w:rPr>
        <w:br w:type="page"/>
      </w:r>
    </w:p>
    <w:p w:rsidR="00136A10" w:rsidRPr="004761E0" w:rsidRDefault="00E34ACB" w:rsidP="007076A7">
      <w:pPr>
        <w:pStyle w:val="a8"/>
        <w:numPr>
          <w:ilvl w:val="1"/>
          <w:numId w:val="321"/>
        </w:numPr>
        <w:spacing w:before="120" w:after="120"/>
        <w:ind w:left="1134" w:hanging="567"/>
        <w:jc w:val="both"/>
        <w:rPr>
          <w:rFonts w:ascii="Times New Roman" w:hAnsi="Times New Roman"/>
          <w:b/>
          <w:sz w:val="26"/>
          <w:szCs w:val="26"/>
          <w:lang w:eastAsia="ru-RU"/>
        </w:rPr>
      </w:pPr>
      <w:bookmarkStart w:id="44" w:name="_Toc385339805"/>
      <w:r w:rsidRPr="004761E0">
        <w:rPr>
          <w:rFonts w:ascii="Times New Roman" w:hAnsi="Times New Roman"/>
          <w:b/>
          <w:sz w:val="26"/>
          <w:szCs w:val="26"/>
        </w:rPr>
        <w:lastRenderedPageBreak/>
        <w:t>Передача и распределение электроэнергии</w:t>
      </w:r>
      <w:bookmarkEnd w:id="43"/>
      <w:bookmarkEnd w:id="44"/>
    </w:p>
    <w:p w:rsidR="00B13D17" w:rsidRDefault="006D3155" w:rsidP="00B13D17">
      <w:pPr>
        <w:spacing w:before="120" w:after="120"/>
        <w:ind w:firstLine="0"/>
      </w:pPr>
      <w:r>
        <w:object w:dxaOrig="15079" w:dyaOrig="3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108.75pt" o:ole="">
            <v:imagedata r:id="rId40" o:title=""/>
          </v:shape>
          <o:OLEObject Type="Embed" ProgID="Visio.Drawing.11" ShapeID="_x0000_i1025" DrawAspect="Content" ObjectID="_1462710005" r:id="rId41"/>
        </w:object>
      </w:r>
    </w:p>
    <w:p w:rsidR="006D3155" w:rsidRPr="004761E0" w:rsidRDefault="006D3155" w:rsidP="00B13D17">
      <w:pPr>
        <w:spacing w:before="120" w:after="120"/>
        <w:ind w:firstLine="0"/>
        <w:rPr>
          <w:rFonts w:eastAsia="Times New Roman"/>
          <w:iCs/>
          <w:color w:val="000000"/>
          <w:sz w:val="26"/>
          <w:szCs w:val="26"/>
          <w:lang w:eastAsia="ru-RU"/>
        </w:rPr>
      </w:pPr>
    </w:p>
    <w:p w:rsidR="00B13D17" w:rsidRPr="004761E0" w:rsidRDefault="00B13D17" w:rsidP="00B13D17">
      <w:pPr>
        <w:spacing w:before="120" w:after="120"/>
        <w:ind w:firstLine="567"/>
        <w:rPr>
          <w:b/>
          <w:sz w:val="26"/>
          <w:szCs w:val="26"/>
          <w:lang w:eastAsia="ru-RU"/>
        </w:rPr>
      </w:pPr>
      <w:r w:rsidRPr="004761E0">
        <w:rPr>
          <w:b/>
          <w:sz w:val="26"/>
          <w:szCs w:val="26"/>
          <w:lang w:eastAsia="ru-RU"/>
        </w:rPr>
        <w:t>Порядок расчетов за оказание услуг по передаче электроэнергии</w:t>
      </w:r>
    </w:p>
    <w:p w:rsidR="00B13D17" w:rsidRDefault="00B13D17" w:rsidP="00B13D17">
      <w:pPr>
        <w:ind w:firstLine="567"/>
        <w:rPr>
          <w:rFonts w:eastAsia="Times New Roman"/>
          <w:color w:val="000000"/>
          <w:sz w:val="26"/>
          <w:szCs w:val="26"/>
          <w:lang w:eastAsia="ru-RU"/>
        </w:rPr>
      </w:pPr>
      <w:r w:rsidRPr="004761E0">
        <w:rPr>
          <w:rFonts w:eastAsia="Times New Roman"/>
          <w:color w:val="000000"/>
          <w:sz w:val="26"/>
          <w:szCs w:val="26"/>
          <w:lang w:eastAsia="ru-RU"/>
        </w:rPr>
        <w:t xml:space="preserve">Для расчетов между потребителями и сетевыми организациями за услуги по передаче электроэнергии действует «котловой» принцип, согласно которому сетевые организации, именуемые «котлодержателями», осуществляют сбор платежей по единым («котловым») тарифам на услуги по передаче электроэнергии с потребителей, независимо от того, к сетям какой сетевой организации они присоединены. В регионах деятельности Общества действует порядок «котел сверху», который означает, что платежи за услуги по передаче электроэнергии поступают вначале в Общество, которое в дальнейшем осуществляет расчеты с нижестоящими сетевыми организациями по индивидуальным тарифам. При этом, в г. Москве два «котла сверху», т.е. «котлодержателями» </w:t>
      </w:r>
      <w:r w:rsidRPr="004761E0">
        <w:rPr>
          <w:rFonts w:eastAsia="Times New Roman"/>
          <w:color w:val="000000"/>
          <w:sz w:val="26"/>
          <w:szCs w:val="26"/>
          <w:lang w:val="en-US" w:eastAsia="ru-RU"/>
        </w:rPr>
        <w:t>c</w:t>
      </w:r>
      <w:r w:rsidRPr="004761E0">
        <w:rPr>
          <w:rFonts w:eastAsia="Times New Roman"/>
          <w:color w:val="000000"/>
          <w:sz w:val="26"/>
          <w:szCs w:val="26"/>
          <w:lang w:eastAsia="ru-RU"/>
        </w:rPr>
        <w:t xml:space="preserve"> 01.01.2012 являются </w:t>
      </w:r>
      <w:r w:rsidR="0008080E">
        <w:rPr>
          <w:rFonts w:eastAsia="Times New Roman"/>
          <w:color w:val="000000"/>
          <w:sz w:val="26"/>
          <w:szCs w:val="26"/>
          <w:lang w:eastAsia="ru-RU"/>
        </w:rPr>
        <w:t>ОАО </w:t>
      </w:r>
      <w:r w:rsidRPr="004761E0">
        <w:rPr>
          <w:rFonts w:eastAsia="Times New Roman"/>
          <w:color w:val="000000"/>
          <w:sz w:val="26"/>
          <w:szCs w:val="26"/>
          <w:lang w:eastAsia="ru-RU"/>
        </w:rPr>
        <w:t xml:space="preserve">«МОЭСК» и </w:t>
      </w:r>
      <w:r w:rsidR="0008080E">
        <w:rPr>
          <w:rFonts w:eastAsia="Times New Roman"/>
          <w:color w:val="000000"/>
          <w:sz w:val="26"/>
          <w:szCs w:val="26"/>
          <w:lang w:eastAsia="ru-RU"/>
        </w:rPr>
        <w:t>ОАО </w:t>
      </w:r>
      <w:r w:rsidRPr="004761E0">
        <w:rPr>
          <w:rFonts w:eastAsia="Times New Roman"/>
          <w:color w:val="000000"/>
          <w:sz w:val="26"/>
          <w:szCs w:val="26"/>
          <w:lang w:eastAsia="ru-RU"/>
        </w:rPr>
        <w:t xml:space="preserve">«ОЭК», а в Московской области один «котел сверху»– </w:t>
      </w:r>
      <w:r w:rsidR="0008080E">
        <w:rPr>
          <w:rFonts w:eastAsia="Times New Roman"/>
          <w:color w:val="000000"/>
          <w:sz w:val="26"/>
          <w:szCs w:val="26"/>
          <w:lang w:eastAsia="ru-RU"/>
        </w:rPr>
        <w:t>ОАО </w:t>
      </w:r>
      <w:r w:rsidRPr="004761E0">
        <w:rPr>
          <w:rFonts w:eastAsia="Times New Roman"/>
          <w:color w:val="000000"/>
          <w:sz w:val="26"/>
          <w:szCs w:val="26"/>
          <w:lang w:eastAsia="ru-RU"/>
        </w:rPr>
        <w:t>«МОЭСК».</w:t>
      </w:r>
    </w:p>
    <w:p w:rsidR="005D6DA1" w:rsidRPr="004761E0" w:rsidRDefault="005D6DA1" w:rsidP="00B13D17">
      <w:pPr>
        <w:ind w:firstLine="567"/>
        <w:rPr>
          <w:rFonts w:eastAsia="Times New Roman"/>
          <w:color w:val="000000"/>
          <w:sz w:val="26"/>
          <w:szCs w:val="26"/>
          <w:lang w:eastAsia="ru-RU"/>
        </w:rPr>
      </w:pPr>
      <w:r>
        <w:rPr>
          <w:rFonts w:eastAsia="Times New Roman"/>
          <w:color w:val="000000"/>
          <w:sz w:val="26"/>
          <w:szCs w:val="26"/>
          <w:lang w:eastAsia="ru-RU"/>
        </w:rPr>
        <w:t xml:space="preserve">Транзит включает в себя переток </w:t>
      </w:r>
      <w:r w:rsidR="00DE44D6">
        <w:rPr>
          <w:rFonts w:eastAsia="Times New Roman"/>
          <w:color w:val="000000"/>
          <w:sz w:val="26"/>
          <w:szCs w:val="26"/>
          <w:lang w:eastAsia="ru-RU"/>
        </w:rPr>
        <w:t>эле</w:t>
      </w:r>
      <w:r>
        <w:rPr>
          <w:rFonts w:eastAsia="Times New Roman"/>
          <w:color w:val="000000"/>
          <w:sz w:val="26"/>
          <w:szCs w:val="26"/>
          <w:lang w:eastAsia="ru-RU"/>
        </w:rPr>
        <w:t>к</w:t>
      </w:r>
      <w:r w:rsidR="00DE44D6">
        <w:rPr>
          <w:rFonts w:eastAsia="Times New Roman"/>
          <w:color w:val="000000"/>
          <w:sz w:val="26"/>
          <w:szCs w:val="26"/>
          <w:lang w:eastAsia="ru-RU"/>
        </w:rPr>
        <w:t>т</w:t>
      </w:r>
      <w:r>
        <w:rPr>
          <w:rFonts w:eastAsia="Times New Roman"/>
          <w:color w:val="000000"/>
          <w:sz w:val="26"/>
          <w:szCs w:val="26"/>
          <w:lang w:eastAsia="ru-RU"/>
        </w:rPr>
        <w:t>рической энергии в станции, блок-станции, ОАО «ФСК ЕЭС», а также потери электроэнергии территориальных сетевых организаций (ТСО).</w:t>
      </w:r>
    </w:p>
    <w:p w:rsidR="00B13D17" w:rsidRPr="004761E0" w:rsidRDefault="00B13D17" w:rsidP="00B13D17">
      <w:pPr>
        <w:pageBreakBefore/>
        <w:spacing w:before="120" w:after="120"/>
        <w:ind w:firstLine="567"/>
        <w:rPr>
          <w:rFonts w:eastAsia="Times New Roman"/>
          <w:b/>
          <w:color w:val="000000"/>
          <w:sz w:val="26"/>
          <w:szCs w:val="26"/>
          <w:lang w:eastAsia="ru-RU"/>
        </w:rPr>
      </w:pPr>
      <w:r w:rsidRPr="004761E0">
        <w:rPr>
          <w:rFonts w:eastAsia="Times New Roman"/>
          <w:b/>
          <w:color w:val="000000"/>
          <w:sz w:val="26"/>
          <w:szCs w:val="26"/>
          <w:lang w:eastAsia="ru-RU"/>
        </w:rPr>
        <w:lastRenderedPageBreak/>
        <w:t>г. Москва, два «котла сверху»</w:t>
      </w:r>
    </w:p>
    <w:p w:rsidR="00B13D17" w:rsidRPr="004761E0" w:rsidRDefault="00EA456F" w:rsidP="00B13D17">
      <w:pPr>
        <w:ind w:firstLine="567"/>
        <w:rPr>
          <w:rFonts w:eastAsia="Times New Roman"/>
          <w:color w:val="000000"/>
          <w:sz w:val="26"/>
          <w:szCs w:val="26"/>
          <w:lang w:eastAsia="ru-RU"/>
        </w:rPr>
      </w:pPr>
      <w:r w:rsidRPr="00EA456F">
        <w:rPr>
          <w:noProof/>
          <w:lang w:eastAsia="ru-RU"/>
        </w:rPr>
        <w:pict>
          <v:shapetype id="_x0000_t202" coordsize="21600,21600" o:spt="202" path="m,l,21600r21600,l21600,xe">
            <v:stroke joinstyle="miter"/>
            <v:path gradientshapeok="t" o:connecttype="rect"/>
          </v:shapetype>
          <v:shape id="Text Box 77" o:spid="_x0000_s1136" type="#_x0000_t202" style="position:absolute;left:0;text-align:left;margin-left:166.95pt;margin-top:11.35pt;width:134.8pt;height:107.05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">
            <v:textbox style="mso-next-textbox:#Text Box 77">
              <w:txbxContent>
                <w:p w:rsidR="00EC58E0" w:rsidRPr="00001C8A" w:rsidRDefault="00EC58E0" w:rsidP="00B13D17">
                  <w:pPr>
                    <w:ind w:firstLine="0"/>
                    <w:jc w:val="center"/>
                    <w:rPr>
                      <w:sz w:val="20"/>
                    </w:rPr>
                  </w:pPr>
                  <w:r>
                    <w:rPr>
                      <w:sz w:val="20"/>
                    </w:rPr>
                    <w:t>Сбытовые компании</w:t>
                  </w:r>
                </w:p>
              </w:txbxContent>
            </v:textbox>
          </v:shape>
        </w:pict>
      </w:r>
    </w:p>
    <w:p w:rsidR="00B13D17" w:rsidRPr="004761E0" w:rsidRDefault="00EA456F" w:rsidP="00B13D17">
      <w:pPr>
        <w:ind w:firstLine="567"/>
        <w:rPr>
          <w:rFonts w:eastAsia="Times New Roman"/>
          <w:color w:val="000000"/>
          <w:sz w:val="26"/>
          <w:szCs w:val="26"/>
          <w:lang w:eastAsia="ru-RU"/>
        </w:rPr>
      </w:pPr>
      <w:r w:rsidRPr="00EA456F">
        <w:rPr>
          <w:noProof/>
          <w:lang w:eastAsia="ru-RU"/>
        </w:rPr>
        <w:pict>
          <v:shape id="Text Box 78" o:spid="_x0000_s1137" type="#_x0000_t202" style="position:absolute;left:0;text-align:left;margin-left:325.1pt;margin-top:12.75pt;width:95.3pt;height:41.95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" strokecolor="black [3213]">
            <v:textbox style="mso-next-textbox:#Text Box 78">
              <w:txbxContent>
                <w:p w:rsidR="00EC58E0" w:rsidRPr="00001C8A" w:rsidRDefault="00EC58E0" w:rsidP="00B13D17">
                  <w:pPr>
                    <w:ind w:firstLine="0"/>
                    <w:jc w:val="left"/>
                    <w:rPr>
                      <w:sz w:val="20"/>
                    </w:rPr>
                  </w:pPr>
                  <w:r w:rsidRPr="00001C8A">
                    <w:rPr>
                      <w:sz w:val="20"/>
                    </w:rPr>
                    <w:t xml:space="preserve">Оплата </w:t>
                  </w:r>
                  <w:proofErr w:type="gramStart"/>
                  <w:r w:rsidRPr="00001C8A">
                    <w:rPr>
                      <w:sz w:val="20"/>
                    </w:rPr>
                    <w:t>за</w:t>
                  </w:r>
                  <w:proofErr w:type="gramEnd"/>
                  <w:r w:rsidRPr="00001C8A">
                    <w:rPr>
                      <w:sz w:val="20"/>
                    </w:rPr>
                    <w:t xml:space="preserve"> э</w:t>
                  </w:r>
                  <w:r>
                    <w:rPr>
                      <w:sz w:val="20"/>
                    </w:rPr>
                    <w:t>/э</w:t>
                  </w:r>
                  <w:r w:rsidRPr="00001C8A">
                    <w:rPr>
                      <w:sz w:val="20"/>
                    </w:rPr>
                    <w:t xml:space="preserve"> от потребителей</w:t>
                  </w:r>
                </w:p>
              </w:txbxContent>
            </v:textbox>
          </v:shape>
        </w:pict>
      </w:r>
    </w:p>
    <w:p w:rsidR="00B13D17" w:rsidRPr="004761E0" w:rsidRDefault="00EA456F" w:rsidP="00B13D17">
      <w:pPr>
        <w:ind w:firstLine="567"/>
        <w:rPr>
          <w:rFonts w:eastAsia="Times New Roman"/>
          <w:color w:val="000000"/>
          <w:sz w:val="26"/>
          <w:szCs w:val="26"/>
          <w:lang w:eastAsia="ru-RU"/>
        </w:rPr>
      </w:pPr>
      <w:r w:rsidRPr="00EA456F">
        <w:rPr>
          <w:noProof/>
          <w:lang w:eastAsia="ru-RU"/>
        </w:rPr>
        <w:pict>
          <v:shapetype id="_x0000_t32" coordsize="21600,21600" o:spt="32" o:oned="t" path="m,l21600,21600e" filled="f">
            <v:path arrowok="t" fillok="f" o:connecttype="none"/>
            <o:lock v:ext="edit" shapetype="t"/>
          </v:shapetype>
          <v:shape id="AutoShape 83" o:spid="_x0000_s1168" type="#_x0000_t32" style="position:absolute;left:0;text-align:left;margin-left:271.45pt;margin-top:12.45pt;width:52.45pt;height:0;flip:x;z-index:2517596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" strokecolor="black [3213]">
            <v:stroke endarrow="block"/>
          </v:shape>
        </w:pict>
      </w:r>
      <w:r w:rsidRPr="00EA456F">
        <w:rPr>
          <w:noProof/>
          <w:lang w:eastAsia="ru-RU"/>
        </w:rPr>
        <w:pict>
          <v:shape id="Text Box 80" o:spid="_x0000_s1138" type="#_x0000_t202" style="position:absolute;left:0;text-align:left;margin-left:181.7pt;margin-top:2.7pt;width:111.6pt;height:78.9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">
            <v:textbox style="mso-next-textbox:#Text Box 80">
              <w:txbxContent>
                <w:p w:rsidR="00EC58E0" w:rsidRPr="00001C8A" w:rsidRDefault="00EC58E0" w:rsidP="00B13D17">
                  <w:pPr>
                    <w:ind w:firstLine="0"/>
                    <w:rPr>
                      <w:sz w:val="20"/>
                    </w:rPr>
                  </w:pPr>
                  <w:r w:rsidRPr="00001C8A">
                    <w:rPr>
                      <w:sz w:val="20"/>
                    </w:rPr>
                    <w:t>Выручка, в т.ч.</w:t>
                  </w:r>
                </w:p>
                <w:p w:rsidR="00EC58E0" w:rsidRPr="00001C8A" w:rsidRDefault="00EC58E0" w:rsidP="007076A7">
                  <w:pPr>
                    <w:pStyle w:val="a5"/>
                    <w:numPr>
                      <w:ilvl w:val="0"/>
                      <w:numId w:val="267"/>
                    </w:numPr>
                    <w:ind w:left="284" w:hanging="284"/>
                    <w:jc w:val="left"/>
                    <w:rPr>
                      <w:sz w:val="20"/>
                      <w:szCs w:val="20"/>
                    </w:rPr>
                  </w:pPr>
                  <w:r w:rsidRPr="00001C8A">
                    <w:rPr>
                      <w:sz w:val="20"/>
                      <w:szCs w:val="20"/>
                    </w:rPr>
                    <w:t xml:space="preserve">стоимость </w:t>
                  </w:r>
                  <w:r>
                    <w:rPr>
                      <w:sz w:val="20"/>
                      <w:szCs w:val="20"/>
                    </w:rPr>
                    <w:t>э/э</w:t>
                  </w:r>
                </w:p>
                <w:p w:rsidR="00EC58E0" w:rsidRPr="00001C8A" w:rsidRDefault="00EC58E0" w:rsidP="007076A7">
                  <w:pPr>
                    <w:pStyle w:val="a5"/>
                    <w:numPr>
                      <w:ilvl w:val="0"/>
                      <w:numId w:val="267"/>
                    </w:numPr>
                    <w:ind w:left="284" w:hanging="284"/>
                    <w:jc w:val="left"/>
                    <w:rPr>
                      <w:sz w:val="20"/>
                      <w:szCs w:val="20"/>
                    </w:rPr>
                  </w:pPr>
                  <w:r w:rsidRPr="00001C8A">
                    <w:rPr>
                      <w:sz w:val="20"/>
                      <w:szCs w:val="20"/>
                    </w:rPr>
                    <w:t>стоимость сбытовых услуг</w:t>
                  </w:r>
                </w:p>
                <w:p w:rsidR="00EC58E0" w:rsidRPr="00001C8A" w:rsidRDefault="00EC58E0" w:rsidP="007076A7">
                  <w:pPr>
                    <w:pStyle w:val="a5"/>
                    <w:numPr>
                      <w:ilvl w:val="0"/>
                      <w:numId w:val="267"/>
                    </w:numPr>
                    <w:ind w:left="284" w:hanging="284"/>
                    <w:jc w:val="left"/>
                    <w:rPr>
                      <w:sz w:val="20"/>
                      <w:szCs w:val="20"/>
                    </w:rPr>
                  </w:pPr>
                  <w:r w:rsidRPr="00001C8A">
                    <w:rPr>
                      <w:sz w:val="20"/>
                      <w:szCs w:val="20"/>
                    </w:rPr>
                    <w:t xml:space="preserve">стоимость услуг по передаче </w:t>
                  </w:r>
                  <w:r>
                    <w:rPr>
                      <w:sz w:val="20"/>
                      <w:szCs w:val="20"/>
                    </w:rPr>
                    <w:t>э/э</w:t>
                  </w:r>
                </w:p>
              </w:txbxContent>
            </v:textbox>
          </v:shape>
        </w:pict>
      </w:r>
    </w:p>
    <w:p w:rsidR="00B13D17" w:rsidRPr="004761E0" w:rsidRDefault="00EA456F" w:rsidP="00B13D17">
      <w:pPr>
        <w:ind w:firstLine="567"/>
        <w:rPr>
          <w:rFonts w:eastAsia="Times New Roman"/>
          <w:color w:val="000000"/>
          <w:sz w:val="26"/>
          <w:szCs w:val="26"/>
          <w:lang w:eastAsia="ru-RU"/>
        </w:rPr>
      </w:pPr>
      <w:r w:rsidRPr="00EA456F">
        <w:rPr>
          <w:noProof/>
          <w:lang w:eastAsia="ru-RU"/>
        </w:rPr>
        <w:pict>
          <v:shape id="Text Box 84" o:spid="_x0000_s1139" type="#_x0000_t202" style="position:absolute;left:0;text-align:left;margin-left:14.55pt;margin-top:7.35pt;width:96.75pt;height:40.5pt;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" strokecolor="black [3213]">
            <v:textbox style="mso-next-textbox:#Text Box 84">
              <w:txbxContent>
                <w:p w:rsidR="00EC58E0" w:rsidRPr="00001C8A" w:rsidRDefault="00EC58E0" w:rsidP="00B13D17">
                  <w:pPr>
                    <w:ind w:firstLine="0"/>
                    <w:jc w:val="center"/>
                    <w:rPr>
                      <w:sz w:val="20"/>
                    </w:rPr>
                  </w:pPr>
                  <w:r w:rsidRPr="00001C8A">
                    <w:rPr>
                      <w:sz w:val="20"/>
                    </w:rPr>
                    <w:t>Генерирующие компании</w:t>
                  </w:r>
                </w:p>
              </w:txbxContent>
            </v:textbox>
          </v:shape>
        </w:pict>
      </w:r>
    </w:p>
    <w:p w:rsidR="00B13D17" w:rsidRPr="004761E0" w:rsidRDefault="00B13D17" w:rsidP="00B13D17">
      <w:pPr>
        <w:ind w:firstLine="567"/>
        <w:rPr>
          <w:rFonts w:eastAsia="Times New Roman"/>
          <w:color w:val="000000"/>
          <w:sz w:val="26"/>
          <w:szCs w:val="26"/>
          <w:lang w:eastAsia="ru-RU"/>
        </w:rPr>
      </w:pPr>
    </w:p>
    <w:p w:rsidR="00B13D17" w:rsidRPr="004761E0" w:rsidRDefault="00EA456F" w:rsidP="00B13D17">
      <w:pPr>
        <w:ind w:firstLine="567"/>
        <w:rPr>
          <w:sz w:val="26"/>
          <w:szCs w:val="26"/>
        </w:rPr>
      </w:pPr>
      <w:r w:rsidRPr="00EA456F">
        <w:rPr>
          <w:noProof/>
          <w:lang w:eastAsia="ru-RU"/>
        </w:rPr>
        <w:pict>
          <v:shape id="AutoShape 85" o:spid="_x0000_s1167" type="#_x0000_t32" style="position:absolute;left:0;text-align:left;margin-left:111.3pt;margin-top:.6pt;width:55.65pt;height:0;flip:x;z-index:2517616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" strokecolor="black [3213]">
            <v:stroke endarrow="block"/>
          </v:shape>
        </w:pict>
      </w:r>
    </w:p>
    <w:p w:rsidR="00B13D17" w:rsidRPr="004761E0" w:rsidRDefault="00EA456F" w:rsidP="00B13D17">
      <w:pPr>
        <w:spacing w:before="120" w:after="120"/>
        <w:ind w:firstLine="567"/>
        <w:rPr>
          <w:b/>
          <w:sz w:val="26"/>
          <w:szCs w:val="26"/>
          <w:lang w:eastAsia="ru-RU"/>
        </w:rPr>
      </w:pPr>
      <w:r w:rsidRPr="00EA456F">
        <w:rPr>
          <w:noProof/>
          <w:lang w:eastAsia="ru-RU"/>
        </w:rPr>
        <w:pict>
          <v:shape id="AutoShape 27" o:spid="_x0000_s1166" type="#_x0000_t32" style="position:absolute;left:0;text-align:left;margin-left:257.5pt;margin-top:17.15pt;width:44.25pt;height:51.3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">
            <v:stroke endarrow="block"/>
          </v:shape>
        </w:pict>
      </w:r>
      <w:r w:rsidRPr="00EA456F">
        <w:rPr>
          <w:noProof/>
          <w:lang w:eastAsia="ru-RU"/>
        </w:rPr>
        <w:pict>
          <v:shape id="AutoShape 26" o:spid="_x0000_s1165" type="#_x0000_t32" style="position:absolute;left:0;text-align:left;margin-left:153.45pt;margin-top:17.15pt;width:50.25pt;height:53.4pt;flip:x;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">
            <v:stroke endarrow="block"/>
          </v:shape>
        </w:pict>
      </w:r>
    </w:p>
    <w:p w:rsidR="00B13D17" w:rsidRPr="004761E0" w:rsidRDefault="00EA456F" w:rsidP="00B13D17">
      <w:pPr>
        <w:spacing w:before="120" w:after="120"/>
        <w:ind w:firstLine="567"/>
        <w:rPr>
          <w:b/>
          <w:sz w:val="26"/>
          <w:szCs w:val="26"/>
          <w:lang w:eastAsia="ru-RU"/>
        </w:rPr>
      </w:pPr>
      <w:r w:rsidRPr="00EA456F">
        <w:rPr>
          <w:noProof/>
          <w:lang w:eastAsia="ru-RU"/>
        </w:rPr>
        <w:pict>
          <v:group id="_x0000_s1232" style="position:absolute;left:0;text-align:left;margin-left:477.2pt;margin-top:15.85pt;width:42.9pt;height:98.75pt;z-index:251783168" coordorigin="6771,13431" coordsize="909,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">
            <v:shape id="Text Box 105" o:spid="_x0000_s1233" type="#_x0000_t202" style="position:absolute;left:6771;top:13431;width:909;height:6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EYsIA&#10;AADcAAAADwAAAGRycy9kb3ducmV2LnhtbESPQYvCMBSE7wv+h/AEb2vqCiLVKKJUvShYBfH2aJ5t&#10;sXkpTVbrvzeC4HGYmW+Y6bw1lbhT40rLCgb9CARxZnXJuYLTMfkdg3AeWWNlmRQ8ycF81vmZYqzt&#10;gw90T30uAoRdjAoK7+tYSpcVZND1bU0cvKttDPogm1zqBh8Bbir5F0UjabDksFBgTcuCslv6bxRs&#10;1tkqddJhsj7s6svyrBO910r1uu1iAsJT67/hT3urFQwHQ3ifCUd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cRiwgAAANwAAAAPAAAAAAAAAAAAAAAAAJgCAABkcnMvZG93&#10;bnJldi54bWxQSwUGAAAAAAQABAD1AAAAhwMAAAAA&#10;" strokecolor="black [3213]">
              <v:textbox style="mso-next-textbox:#Text Box 105">
                <w:txbxContent>
                  <w:p w:rsidR="00EC58E0" w:rsidRPr="00001C8A" w:rsidRDefault="00EC58E0" w:rsidP="00924551">
                    <w:pPr>
                      <w:ind w:firstLine="0"/>
                      <w:jc w:val="left"/>
                      <w:rPr>
                        <w:sz w:val="20"/>
                      </w:rPr>
                    </w:pPr>
                    <w:r w:rsidRPr="00001C8A">
                      <w:rPr>
                        <w:sz w:val="20"/>
                      </w:rPr>
                      <w:t>ТСО 1</w:t>
                    </w:r>
                  </w:p>
                </w:txbxContent>
              </v:textbox>
            </v:shape>
            <v:shape id="Text Box 106" o:spid="_x0000_s1234" type="#_x0000_t202" style="position:absolute;left:6771;top:14116;width:909;height: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hcFsMA&#10;AADcAAAADwAAAGRycy9kb3ducmV2LnhtbESPQYvCMBSE74L/ITzBm01dRaQaRZS6XlawCuLt0Tzb&#10;YvNSmqx2//1mYcHjMDPfMMt1Z2rxpNZVlhWMoxgEcW51xYWCyzkdzUE4j6yxtkwKfsjBetXvLTHR&#10;9sUnema+EAHCLkEFpfdNIqXLSzLoItsQB+9uW4M+yLaQusVXgJtafsTxTBqsOCyU2NC2pPyRfRsF&#10;n/t8lznpMN2fvprb9qpTfdRKDQfdZgHCU+ff4f/2QSuYjKfwdy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hcFsMAAADcAAAADwAAAAAAAAAAAAAAAACYAgAAZHJzL2Rv&#10;d25yZXYueG1sUEsFBgAAAAAEAAQA9QAAAIgDAAAAAA==&#10;" strokecolor="black [3213]">
              <v:textbox style="mso-next-textbox:#Text Box 106">
                <w:txbxContent>
                  <w:p w:rsidR="00EC58E0" w:rsidRPr="00001C8A" w:rsidRDefault="00EC58E0" w:rsidP="00924551">
                    <w:pPr>
                      <w:ind w:firstLine="0"/>
                      <w:jc w:val="left"/>
                      <w:rPr>
                        <w:sz w:val="20"/>
                      </w:rPr>
                    </w:pPr>
                    <w:r w:rsidRPr="00001C8A">
                      <w:rPr>
                        <w:sz w:val="20"/>
                      </w:rPr>
                      <w:t>ТСО 2</w:t>
                    </w:r>
                  </w:p>
                </w:txbxContent>
              </v:textbox>
            </v:shape>
            <v:shape id="Text Box 107" o:spid="_x0000_s1235" type="#_x0000_t202" style="position:absolute;left:6771;top:14731;width:909;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5jcMA&#10;AADcAAAADwAAAGRycy9kb3ducmV2LnhtbESPQYvCMBSE74L/ITzBm01dUaQaRZS6XlawCuLt0Tzb&#10;YvNSmqx2//1mYcHjMDPfMMt1Z2rxpNZVlhWMoxgEcW51xYWCyzkdzUE4j6yxtkwKfsjBetXvLTHR&#10;9sUnema+EAHCLkEFpfdNIqXLSzLoItsQB+9uW4M+yLaQusVXgJtafsTxTBqsOCyU2NC2pPyRfRsF&#10;n/t8lznpMN2fvprb9qpTfdRKDQfdZgHCU+ff4f/2QSuYjKfwdy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T5jcMAAADcAAAADwAAAAAAAAAAAAAAAACYAgAAZHJzL2Rv&#10;d25yZXYueG1sUEsFBgAAAAAEAAQA9QAAAIgDAAAAAA==&#10;" strokecolor="black [3213]">
              <v:textbox style="mso-next-textbox:#Text Box 107">
                <w:txbxContent>
                  <w:p w:rsidR="00EC58E0" w:rsidRPr="00001C8A" w:rsidRDefault="00EC58E0" w:rsidP="00924551">
                    <w:pPr>
                      <w:ind w:firstLine="0"/>
                      <w:jc w:val="left"/>
                      <w:rPr>
                        <w:sz w:val="20"/>
                      </w:rPr>
                    </w:pPr>
                    <w:r w:rsidRPr="00001C8A">
                      <w:rPr>
                        <w:sz w:val="20"/>
                      </w:rPr>
                      <w:t>ТСО n</w:t>
                    </w:r>
                  </w:p>
                </w:txbxContent>
              </v:textbox>
            </v:shape>
          </v:group>
        </w:pict>
      </w:r>
      <w:r w:rsidRPr="00EA456F">
        <w:rPr>
          <w:noProof/>
          <w:lang w:eastAsia="ru-RU"/>
        </w:rPr>
        <w:pict>
          <v:shape id="Text Box 87" o:spid="_x0000_s1140" type="#_x0000_t202" style="position:absolute;left:0;text-align:left;margin-left:287.85pt;margin-top:7.25pt;width:205.1pt;height:29.1pt;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" stroked="f">
            <v:fill opacity="771f"/>
            <v:textbox style="mso-next-textbox:#Text Box 87">
              <w:txbxContent>
                <w:p w:rsidR="00EC58E0" w:rsidRDefault="00EC58E0" w:rsidP="00B13D17">
                  <w:pPr>
                    <w:ind w:firstLine="0"/>
                    <w:jc w:val="center"/>
                    <w:rPr>
                      <w:sz w:val="16"/>
                      <w:szCs w:val="16"/>
                    </w:rPr>
                  </w:pPr>
                  <w:r w:rsidRPr="00001C8A">
                    <w:rPr>
                      <w:sz w:val="16"/>
                      <w:szCs w:val="16"/>
                    </w:rPr>
                    <w:t xml:space="preserve">Оплата услуг по «котлу» </w:t>
                  </w:r>
                </w:p>
                <w:p w:rsidR="00EC58E0" w:rsidRPr="00001C8A" w:rsidRDefault="00EC58E0" w:rsidP="00B13D17">
                  <w:pPr>
                    <w:ind w:firstLine="0"/>
                    <w:jc w:val="center"/>
                    <w:rPr>
                      <w:sz w:val="16"/>
                      <w:szCs w:val="16"/>
                    </w:rPr>
                  </w:pPr>
                  <w:r>
                    <w:rPr>
                      <w:sz w:val="16"/>
                      <w:szCs w:val="16"/>
                    </w:rPr>
                    <w:t>ОАО </w:t>
                  </w:r>
                  <w:r w:rsidRPr="00001C8A">
                    <w:rPr>
                      <w:sz w:val="16"/>
                      <w:szCs w:val="16"/>
                    </w:rPr>
                    <w:t>«ОЭК» (по «котловому» тарифу)</w:t>
                  </w:r>
                </w:p>
              </w:txbxContent>
            </v:textbox>
          </v:shape>
        </w:pict>
      </w:r>
    </w:p>
    <w:p w:rsidR="00B13D17" w:rsidRPr="004761E0" w:rsidRDefault="00EA456F" w:rsidP="00B13D17">
      <w:pPr>
        <w:spacing w:before="120" w:after="120"/>
        <w:ind w:firstLine="567"/>
        <w:rPr>
          <w:b/>
          <w:sz w:val="26"/>
          <w:szCs w:val="26"/>
          <w:lang w:eastAsia="ru-RU"/>
        </w:rPr>
      </w:pPr>
      <w:r w:rsidRPr="00EA456F">
        <w:rPr>
          <w:noProof/>
          <w:lang w:eastAsia="ru-RU"/>
        </w:rPr>
        <w:pict>
          <v:shape id="Text Box 76" o:spid="_x0000_s1141" type="#_x0000_t202" style="position:absolute;left:0;text-align:left;margin-left:257.1pt;margin-top:20.15pt;width:146.3pt;height:51.95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" strokecolor="black [3213]">
            <v:textbox style="mso-next-textbox:#Text Box 76">
              <w:txbxContent>
                <w:p w:rsidR="00EC58E0" w:rsidRPr="00001C8A" w:rsidRDefault="00EC58E0" w:rsidP="00B13D17">
                  <w:pPr>
                    <w:ind w:firstLine="0"/>
                    <w:jc w:val="center"/>
                    <w:rPr>
                      <w:sz w:val="20"/>
                    </w:rPr>
                  </w:pPr>
                  <w:r>
                    <w:rPr>
                      <w:sz w:val="20"/>
                    </w:rPr>
                    <w:t>ОАО </w:t>
                  </w:r>
                  <w:r w:rsidRPr="00001C8A">
                    <w:rPr>
                      <w:sz w:val="20"/>
                    </w:rPr>
                    <w:t>«ОЭК»</w:t>
                  </w:r>
                </w:p>
              </w:txbxContent>
            </v:textbox>
          </v:shape>
        </w:pict>
      </w:r>
    </w:p>
    <w:p w:rsidR="00B13D17" w:rsidRPr="004761E0" w:rsidRDefault="00EA456F" w:rsidP="00B13D17">
      <w:pPr>
        <w:spacing w:before="120" w:after="120"/>
        <w:ind w:firstLine="567"/>
        <w:rPr>
          <w:b/>
          <w:sz w:val="26"/>
          <w:szCs w:val="26"/>
          <w:lang w:eastAsia="ru-RU"/>
        </w:rPr>
      </w:pPr>
      <w:r w:rsidRPr="00EA456F">
        <w:rPr>
          <w:noProof/>
          <w:lang w:eastAsia="ru-RU"/>
        </w:rPr>
        <w:pict>
          <v:shape id="_x0000_s1229" type="#_x0000_t32" style="position:absolute;left:0;text-align:left;margin-left:403.85pt;margin-top:1.7pt;width:73.8pt;height:0;z-index:2517800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">
            <v:stroke endarrow="block"/>
          </v:shape>
        </w:pict>
      </w:r>
      <w:r w:rsidRPr="00EA456F">
        <w:rPr>
          <w:noProof/>
          <w:lang w:eastAsia="ru-RU"/>
        </w:rPr>
        <w:pict>
          <v:group id="Group 16" o:spid="_x0000_s1142" style="position:absolute;left:0;text-align:left;margin-left:14.55pt;margin-top:1.7pt;width:182.15pt;height:160.95pt;z-index:251763712" coordorigin="4037,4643" coordsize="3643,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">
            <v:shape id="Text Box 75" o:spid="_x0000_s1143" type="#_x0000_t202" style="position:absolute;left:4037;top:4643;width:3643;height:3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CYcMA&#10;AADcAAAADwAAAGRycy9kb3ducmV2LnhtbESPQYvCMBSE74L/ITzBm01dQaUaRZS6XlawCuLt0Tzb&#10;YvNSmqx2//1mYcHjMDPfMMt1Z2rxpNZVlhWMoxgEcW51xYWCyzkdzUE4j6yxtkwKfsjBetXvLTHR&#10;9sUnema+EAHCLkEFpfdNIqXLSzLoItsQB+9uW4M+yLaQusVXgJtafsTxVBqsOCyU2NC2pPyRfRsF&#10;n/t8lznpMN2fvprb9qpTfdRKDQfdZgHCU+ff4f/2QSuYjGfwdy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rCYcMAAADcAAAADwAAAAAAAAAAAAAAAACYAgAAZHJzL2Rv&#10;d25yZXYueG1sUEsFBgAAAAAEAAQA9QAAAIgDAAAAAA==&#10;" strokecolor="black [3213]">
              <v:textbox style="mso-next-textbox:#Text Box 75">
                <w:txbxContent>
                  <w:p w:rsidR="00EC58E0" w:rsidRPr="00001C8A" w:rsidRDefault="00EC58E0" w:rsidP="00B13D17">
                    <w:pPr>
                      <w:ind w:firstLine="0"/>
                      <w:jc w:val="center"/>
                      <w:rPr>
                        <w:sz w:val="20"/>
                      </w:rPr>
                    </w:pPr>
                    <w:r>
                      <w:rPr>
                        <w:sz w:val="20"/>
                      </w:rPr>
                      <w:t>ОАО </w:t>
                    </w:r>
                    <w:r w:rsidRPr="00001C8A">
                      <w:rPr>
                        <w:sz w:val="20"/>
                      </w:rPr>
                      <w:t>«МОЭСК»</w:t>
                    </w:r>
                  </w:p>
                </w:txbxContent>
              </v:textbox>
            </v:shape>
            <v:shape id="Text Box 93" o:spid="_x0000_s1144" type="#_x0000_t202" style="position:absolute;left:4207;top:4982;width:3360;height:2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WE8EA&#10;AADcAAAADwAAAGRycy9kb3ducmV2LnhtbERPTWvCQBC9F/wPywi91Y0KRdJsRJRoLxWMgvQ2ZKdJ&#10;aHY2ZNck/nv3IHh8vO9kPZpG9NS52rKC+SwCQVxYXXOp4HLOPlYgnEfW2FgmBXdysE4nbwnG2g58&#10;oj73pQgh7GJUUHnfxlK6oiKDbmZb4sD92c6gD7Arpe5wCOGmkYso+pQGaw4NFba0raj4z29GwWFf&#10;7HInHWb700/7u73qTB+1Uu/TcfMFwtPoX+Kn+1srWM7D2nAmHAGZ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VVhPBAAAA3AAAAA8AAAAAAAAAAAAAAAAAmAIAAGRycy9kb3du&#10;cmV2LnhtbFBLBQYAAAAABAAEAPUAAACGAwAAAAA=&#10;" strokecolor="black [3213]">
              <v:textbox style="mso-next-textbox:#Text Box 93">
                <w:txbxContent>
                  <w:p w:rsidR="00EC58E0" w:rsidRPr="009642EF" w:rsidRDefault="00EC58E0" w:rsidP="00B13D17">
                    <w:pPr>
                      <w:ind w:firstLine="0"/>
                      <w:rPr>
                        <w:sz w:val="20"/>
                        <w:szCs w:val="20"/>
                      </w:rPr>
                    </w:pPr>
                    <w:r w:rsidRPr="009642EF">
                      <w:rPr>
                        <w:sz w:val="20"/>
                        <w:szCs w:val="20"/>
                      </w:rPr>
                      <w:t>Выручка от передачи э/э</w:t>
                    </w:r>
                  </w:p>
                  <w:p w:rsidR="00EC58E0" w:rsidRDefault="00EC58E0" w:rsidP="00B13D17">
                    <w:pPr>
                      <w:ind w:firstLine="0"/>
                      <w:rPr>
                        <w:sz w:val="20"/>
                        <w:szCs w:val="20"/>
                      </w:rPr>
                    </w:pPr>
                    <w:r>
                      <w:rPr>
                        <w:sz w:val="20"/>
                        <w:szCs w:val="20"/>
                      </w:rPr>
                      <w:t>(по «котловому» тарифу</w:t>
                    </w:r>
                    <w:r w:rsidRPr="009642EF">
                      <w:rPr>
                        <w:sz w:val="20"/>
                        <w:szCs w:val="20"/>
                      </w:rPr>
                      <w:t>), в т.ч.</w:t>
                    </w:r>
                    <w:r>
                      <w:rPr>
                        <w:sz w:val="20"/>
                        <w:szCs w:val="20"/>
                      </w:rPr>
                      <w:t>:</w:t>
                    </w:r>
                  </w:p>
                  <w:p w:rsidR="00EC58E0" w:rsidRPr="00001C8A" w:rsidRDefault="00EC58E0" w:rsidP="007076A7">
                    <w:pPr>
                      <w:pStyle w:val="a5"/>
                      <w:numPr>
                        <w:ilvl w:val="0"/>
                        <w:numId w:val="268"/>
                      </w:numPr>
                      <w:ind w:left="284" w:hanging="284"/>
                      <w:rPr>
                        <w:sz w:val="20"/>
                        <w:szCs w:val="20"/>
                      </w:rPr>
                    </w:pPr>
                    <w:r w:rsidRPr="00001C8A">
                      <w:rPr>
                        <w:sz w:val="20"/>
                        <w:szCs w:val="20"/>
                      </w:rPr>
                      <w:t xml:space="preserve">стоимость услуг по передаче э/э по тарифу </w:t>
                    </w:r>
                    <w:r>
                      <w:rPr>
                        <w:sz w:val="20"/>
                        <w:szCs w:val="20"/>
                      </w:rPr>
                      <w:t>ОАО </w:t>
                    </w:r>
                    <w:r w:rsidRPr="00001C8A">
                      <w:rPr>
                        <w:sz w:val="20"/>
                        <w:szCs w:val="20"/>
                      </w:rPr>
                      <w:t>«МОЭСК»</w:t>
                    </w:r>
                  </w:p>
                  <w:p w:rsidR="00EC58E0" w:rsidRPr="00001C8A" w:rsidRDefault="00EC58E0" w:rsidP="007076A7">
                    <w:pPr>
                      <w:pStyle w:val="a5"/>
                      <w:numPr>
                        <w:ilvl w:val="0"/>
                        <w:numId w:val="268"/>
                      </w:numPr>
                      <w:ind w:left="284" w:hanging="284"/>
                      <w:rPr>
                        <w:sz w:val="20"/>
                        <w:szCs w:val="20"/>
                      </w:rPr>
                    </w:pPr>
                    <w:r w:rsidRPr="00001C8A">
                      <w:rPr>
                        <w:sz w:val="20"/>
                        <w:szCs w:val="20"/>
                      </w:rPr>
                      <w:t>стоимость услуг по передаче э/э по тарифу ТСО 1</w:t>
                    </w:r>
                  </w:p>
                  <w:p w:rsidR="00EC58E0" w:rsidRDefault="00EC58E0" w:rsidP="007076A7">
                    <w:pPr>
                      <w:pStyle w:val="a5"/>
                      <w:numPr>
                        <w:ilvl w:val="0"/>
                        <w:numId w:val="268"/>
                      </w:numPr>
                      <w:ind w:left="284" w:hanging="284"/>
                      <w:rPr>
                        <w:sz w:val="20"/>
                        <w:szCs w:val="20"/>
                      </w:rPr>
                    </w:pPr>
                    <w:r w:rsidRPr="00001C8A">
                      <w:rPr>
                        <w:sz w:val="20"/>
                        <w:szCs w:val="20"/>
                      </w:rPr>
                      <w:t>стоимость услуг по передаче э/э по тарифу ТСО 2</w:t>
                    </w:r>
                  </w:p>
                  <w:p w:rsidR="00EC58E0" w:rsidRPr="00001C8A" w:rsidRDefault="00EC58E0" w:rsidP="007076A7">
                    <w:pPr>
                      <w:pStyle w:val="a5"/>
                      <w:numPr>
                        <w:ilvl w:val="0"/>
                        <w:numId w:val="268"/>
                      </w:numPr>
                      <w:ind w:left="284" w:hanging="284"/>
                      <w:rPr>
                        <w:sz w:val="20"/>
                        <w:szCs w:val="20"/>
                      </w:rPr>
                    </w:pPr>
                    <w:r w:rsidRPr="00001C8A">
                      <w:rPr>
                        <w:sz w:val="20"/>
                        <w:szCs w:val="20"/>
                      </w:rPr>
                      <w:t>стоимость услуг по передаче э/э по тарифу ТСО n</w:t>
                    </w:r>
                  </w:p>
                </w:txbxContent>
              </v:textbox>
            </v:shape>
          </v:group>
        </w:pict>
      </w:r>
    </w:p>
    <w:p w:rsidR="00B13D17" w:rsidRPr="004761E0" w:rsidRDefault="00EA456F" w:rsidP="00B13D17">
      <w:pPr>
        <w:spacing w:before="120" w:after="120"/>
        <w:ind w:firstLine="567"/>
        <w:rPr>
          <w:b/>
          <w:sz w:val="26"/>
          <w:szCs w:val="26"/>
          <w:lang w:eastAsia="ru-RU"/>
        </w:rPr>
      </w:pPr>
      <w:r w:rsidRPr="00EA456F">
        <w:rPr>
          <w:noProof/>
          <w:lang w:eastAsia="ru-RU"/>
        </w:rPr>
        <w:pict>
          <v:shape id="_x0000_s1230" type="#_x0000_t32" style="position:absolute;left:0;text-align:left;margin-left:403.85pt;margin-top:2.45pt;width:73.8pt;height:0;z-index:2517811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">
            <v:stroke endarrow="block"/>
          </v:shape>
        </w:pict>
      </w:r>
    </w:p>
    <w:p w:rsidR="00B13D17" w:rsidRPr="004761E0" w:rsidRDefault="00EA456F" w:rsidP="00B13D17">
      <w:pPr>
        <w:spacing w:before="120" w:after="120"/>
        <w:ind w:firstLine="567"/>
        <w:rPr>
          <w:b/>
          <w:sz w:val="26"/>
          <w:szCs w:val="26"/>
          <w:lang w:eastAsia="ru-RU"/>
        </w:rPr>
      </w:pPr>
      <w:r w:rsidRPr="00EA456F">
        <w:rPr>
          <w:noProof/>
          <w:lang w:eastAsia="ru-RU"/>
        </w:rPr>
        <w:pict>
          <v:shape id="_x0000_s1231" type="#_x0000_t32" style="position:absolute;left:0;text-align:left;margin-left:403.4pt;margin-top:5.9pt;width:73.8pt;height:0;z-index:2517821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">
            <v:stroke endarrow="block"/>
          </v:shape>
        </w:pict>
      </w:r>
    </w:p>
    <w:p w:rsidR="00B13D17" w:rsidRPr="004761E0" w:rsidRDefault="00EA456F" w:rsidP="00B13D17">
      <w:pPr>
        <w:spacing w:before="120" w:after="120"/>
        <w:ind w:firstLine="567"/>
        <w:rPr>
          <w:b/>
          <w:sz w:val="26"/>
          <w:szCs w:val="26"/>
          <w:lang w:eastAsia="ru-RU"/>
        </w:rPr>
      </w:pPr>
      <w:r w:rsidRPr="00EA456F">
        <w:rPr>
          <w:noProof/>
          <w:lang w:eastAsia="ru-RU"/>
        </w:rPr>
        <w:pict>
          <v:group id="Group 104" o:spid="_x0000_s1145" style="position:absolute;left:0;text-align:left;margin-left:264.85pt;margin-top:1.05pt;width:42.9pt;height:98.75pt;z-index:251766784" coordorigin="6771,13431" coordsize="909,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">
            <v:shape id="Text Box 105" o:spid="_x0000_s1146" type="#_x0000_t202" style="position:absolute;left:6771;top:13431;width:909;height:6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EYsIA&#10;AADcAAAADwAAAGRycy9kb3ducmV2LnhtbESPQYvCMBSE7wv+h/AEb2vqCiLVKKJUvShYBfH2aJ5t&#10;sXkpTVbrvzeC4HGYmW+Y6bw1lbhT40rLCgb9CARxZnXJuYLTMfkdg3AeWWNlmRQ8ycF81vmZYqzt&#10;gw90T30uAoRdjAoK7+tYSpcVZND1bU0cvKttDPogm1zqBh8Bbir5F0UjabDksFBgTcuCslv6bxRs&#10;1tkqddJhsj7s6svyrBO910r1uu1iAsJT67/hT3urFQwHQ3ifCUd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cRiwgAAANwAAAAPAAAAAAAAAAAAAAAAAJgCAABkcnMvZG93&#10;bnJldi54bWxQSwUGAAAAAAQABAD1AAAAhwMAAAAA&#10;" strokecolor="black [3213]">
              <v:textbox>
                <w:txbxContent>
                  <w:p w:rsidR="00EC58E0" w:rsidRPr="00001C8A" w:rsidRDefault="00EC58E0" w:rsidP="00B13D17">
                    <w:pPr>
                      <w:ind w:firstLine="0"/>
                      <w:jc w:val="left"/>
                      <w:rPr>
                        <w:sz w:val="20"/>
                      </w:rPr>
                    </w:pPr>
                    <w:r w:rsidRPr="00001C8A">
                      <w:rPr>
                        <w:sz w:val="20"/>
                      </w:rPr>
                      <w:t>ТСО 1</w:t>
                    </w:r>
                  </w:p>
                </w:txbxContent>
              </v:textbox>
            </v:shape>
            <v:shape id="Text Box 106" o:spid="_x0000_s1147" type="#_x0000_t202" style="position:absolute;left:6771;top:14116;width:909;height: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hcFsMA&#10;AADcAAAADwAAAGRycy9kb3ducmV2LnhtbESPQYvCMBSE74L/ITzBm01dRaQaRZS6XlawCuLt0Tzb&#10;YvNSmqx2//1mYcHjMDPfMMt1Z2rxpNZVlhWMoxgEcW51xYWCyzkdzUE4j6yxtkwKfsjBetXvLTHR&#10;9sUnema+EAHCLkEFpfdNIqXLSzLoItsQB+9uW4M+yLaQusVXgJtafsTxTBqsOCyU2NC2pPyRfRsF&#10;n/t8lznpMN2fvprb9qpTfdRKDQfdZgHCU+ff4f/2QSuYjKfwdy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hcFsMAAADcAAAADwAAAAAAAAAAAAAAAACYAgAAZHJzL2Rv&#10;d25yZXYueG1sUEsFBgAAAAAEAAQA9QAAAIgDAAAAAA==&#10;" strokecolor="black [3213]">
              <v:textbox>
                <w:txbxContent>
                  <w:p w:rsidR="00EC58E0" w:rsidRPr="00001C8A" w:rsidRDefault="00EC58E0" w:rsidP="00B13D17">
                    <w:pPr>
                      <w:ind w:firstLine="0"/>
                      <w:jc w:val="left"/>
                      <w:rPr>
                        <w:sz w:val="20"/>
                      </w:rPr>
                    </w:pPr>
                    <w:r w:rsidRPr="00001C8A">
                      <w:rPr>
                        <w:sz w:val="20"/>
                      </w:rPr>
                      <w:t>ТСО 2</w:t>
                    </w:r>
                  </w:p>
                </w:txbxContent>
              </v:textbox>
            </v:shape>
            <v:shape id="Text Box 107" o:spid="_x0000_s1148" type="#_x0000_t202" style="position:absolute;left:6771;top:14731;width:909;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5jcMA&#10;AADcAAAADwAAAGRycy9kb3ducmV2LnhtbESPQYvCMBSE74L/ITzBm01dUaQaRZS6XlawCuLt0Tzb&#10;YvNSmqx2//1mYcHjMDPfMMt1Z2rxpNZVlhWMoxgEcW51xYWCyzkdzUE4j6yxtkwKfsjBetXvLTHR&#10;9sUnema+EAHCLkEFpfdNIqXLSzLoItsQB+9uW4M+yLaQusVXgJtafsTxTBqsOCyU2NC2pPyRfRsF&#10;n/t8lznpMN2fvprb9qpTfdRKDQfdZgHCU+ff4f/2QSuYjKfwdy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T5jcMAAADcAAAADwAAAAAAAAAAAAAAAACYAgAAZHJzL2Rv&#10;d25yZXYueG1sUEsFBgAAAAAEAAQA9QAAAIgDAAAAAA==&#10;" strokecolor="black [3213]">
              <v:textbox>
                <w:txbxContent>
                  <w:p w:rsidR="00EC58E0" w:rsidRPr="00001C8A" w:rsidRDefault="00EC58E0" w:rsidP="00B13D17">
                    <w:pPr>
                      <w:ind w:firstLine="0"/>
                      <w:jc w:val="left"/>
                      <w:rPr>
                        <w:sz w:val="20"/>
                      </w:rPr>
                    </w:pPr>
                    <w:r w:rsidRPr="00001C8A">
                      <w:rPr>
                        <w:sz w:val="20"/>
                      </w:rPr>
                      <w:t>ТСО n</w:t>
                    </w:r>
                  </w:p>
                </w:txbxContent>
              </v:textbox>
            </v:shape>
          </v:group>
        </w:pict>
      </w:r>
    </w:p>
    <w:p w:rsidR="00B13D17" w:rsidRPr="004761E0" w:rsidRDefault="00EA456F" w:rsidP="00B13D17">
      <w:pPr>
        <w:spacing w:before="120" w:after="120"/>
        <w:ind w:firstLine="567"/>
        <w:rPr>
          <w:b/>
          <w:sz w:val="26"/>
          <w:szCs w:val="26"/>
          <w:lang w:eastAsia="ru-RU"/>
        </w:rPr>
      </w:pPr>
      <w:r w:rsidRPr="00EA456F">
        <w:rPr>
          <w:noProof/>
          <w:lang w:eastAsia="ru-RU"/>
        </w:rPr>
        <w:pict>
          <v:shape id="AutoShape 101" o:spid="_x0000_s1164" type="#_x0000_t32" style="position:absolute;left:0;text-align:left;margin-left:191.05pt;margin-top:11pt;width:73.8pt;height:0;z-index:2517647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">
            <v:stroke endarrow="block"/>
          </v:shape>
        </w:pict>
      </w:r>
    </w:p>
    <w:p w:rsidR="00B13D17" w:rsidRPr="004761E0" w:rsidRDefault="00EA456F" w:rsidP="00B13D17">
      <w:pPr>
        <w:spacing w:before="120" w:after="120"/>
        <w:ind w:firstLine="567"/>
        <w:rPr>
          <w:b/>
          <w:sz w:val="26"/>
          <w:szCs w:val="26"/>
          <w:lang w:eastAsia="ru-RU"/>
        </w:rPr>
      </w:pPr>
      <w:r w:rsidRPr="00EA456F">
        <w:rPr>
          <w:noProof/>
          <w:lang w:eastAsia="ru-RU"/>
        </w:rPr>
        <w:pict>
          <v:shape id="AutoShape 102" o:spid="_x0000_s1163" type="#_x0000_t32" style="position:absolute;left:0;text-align:left;margin-left:191.95pt;margin-top:11.55pt;width:73.8pt;height:0;z-index:2517657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">
            <v:stroke endarrow="block"/>
          </v:shape>
        </w:pict>
      </w:r>
    </w:p>
    <w:p w:rsidR="00B13D17" w:rsidRPr="004761E0" w:rsidRDefault="00EA456F" w:rsidP="00B13D17">
      <w:pPr>
        <w:spacing w:before="120" w:after="120"/>
        <w:ind w:firstLine="567"/>
        <w:rPr>
          <w:b/>
          <w:sz w:val="26"/>
          <w:szCs w:val="26"/>
          <w:lang w:eastAsia="ru-RU"/>
        </w:rPr>
      </w:pPr>
      <w:r w:rsidRPr="00EA456F">
        <w:rPr>
          <w:noProof/>
          <w:lang w:eastAsia="ru-RU"/>
        </w:rPr>
        <w:pict>
          <v:shape id="_x0000_s1162" type="#_x0000_t32" style="position:absolute;left:0;text-align:left;margin-left:191.05pt;margin-top:13.75pt;width:73.8pt;height:0;z-index:2517678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">
            <v:stroke endarrow="block"/>
          </v:shape>
        </w:pict>
      </w:r>
    </w:p>
    <w:p w:rsidR="00B13D17" w:rsidRPr="004761E0" w:rsidRDefault="00B13D17" w:rsidP="00B13D17">
      <w:pPr>
        <w:spacing w:before="120" w:after="120"/>
        <w:ind w:firstLine="567"/>
        <w:rPr>
          <w:b/>
          <w:sz w:val="26"/>
          <w:szCs w:val="26"/>
          <w:lang w:eastAsia="ru-RU"/>
        </w:rPr>
      </w:pPr>
    </w:p>
    <w:p w:rsidR="00B13D17" w:rsidRPr="004761E0" w:rsidRDefault="00B13D17" w:rsidP="00B13D17">
      <w:pPr>
        <w:ind w:firstLine="567"/>
        <w:jc w:val="left"/>
        <w:rPr>
          <w:b/>
          <w:sz w:val="26"/>
          <w:szCs w:val="26"/>
          <w:lang w:eastAsia="ru-RU"/>
        </w:rPr>
      </w:pPr>
      <w:r w:rsidRPr="004761E0">
        <w:rPr>
          <w:b/>
          <w:sz w:val="26"/>
          <w:szCs w:val="26"/>
          <w:lang w:eastAsia="ru-RU"/>
        </w:rPr>
        <w:br w:type="page"/>
      </w:r>
    </w:p>
    <w:p w:rsidR="00DC64F2" w:rsidRPr="00017C39" w:rsidRDefault="00DC64F2" w:rsidP="00017C39">
      <w:pPr>
        <w:spacing w:before="120" w:after="120"/>
        <w:ind w:firstLine="567"/>
        <w:rPr>
          <w:b/>
          <w:sz w:val="26"/>
          <w:szCs w:val="26"/>
          <w:lang w:eastAsia="ru-RU"/>
        </w:rPr>
      </w:pPr>
      <w:r w:rsidRPr="00017C39">
        <w:rPr>
          <w:b/>
          <w:sz w:val="26"/>
          <w:szCs w:val="26"/>
          <w:lang w:eastAsia="ru-RU"/>
        </w:rPr>
        <w:lastRenderedPageBreak/>
        <w:t>Показатели баланса электроэнергии</w:t>
      </w:r>
    </w:p>
    <w:p w:rsidR="00DC64F2" w:rsidRPr="004761E0" w:rsidRDefault="00DC64F2" w:rsidP="00B20C95">
      <w:pPr>
        <w:spacing w:before="120" w:after="120"/>
        <w:ind w:firstLine="567"/>
        <w:rPr>
          <w:sz w:val="26"/>
          <w:szCs w:val="26"/>
          <w:lang w:eastAsia="ru-RU"/>
        </w:rPr>
      </w:pPr>
      <w:r w:rsidRPr="004761E0">
        <w:rPr>
          <w:rFonts w:eastAsia="Times New Roman"/>
          <w:iCs/>
          <w:color w:val="000000"/>
          <w:sz w:val="26"/>
          <w:szCs w:val="26"/>
          <w:lang w:eastAsia="ru-RU"/>
        </w:rPr>
        <w:t xml:space="preserve">В 2013 году </w:t>
      </w:r>
      <w:r w:rsidR="0008080E">
        <w:rPr>
          <w:rFonts w:eastAsia="Times New Roman"/>
          <w:iCs/>
          <w:color w:val="000000"/>
          <w:sz w:val="26"/>
          <w:szCs w:val="26"/>
          <w:lang w:eastAsia="ru-RU"/>
        </w:rPr>
        <w:t>ОАО </w:t>
      </w:r>
      <w:r w:rsidRPr="004761E0">
        <w:rPr>
          <w:rFonts w:eastAsia="Times New Roman"/>
          <w:iCs/>
          <w:color w:val="000000"/>
          <w:sz w:val="26"/>
          <w:szCs w:val="26"/>
          <w:lang w:eastAsia="ru-RU"/>
        </w:rPr>
        <w:t xml:space="preserve">«МОЭСК» получило от генерирующих компаний, смежных энергосистем, расположенных в соседних субъектах РФ, а также магистральных электрических сетей 88 215 млн кВтч электроэнергии. </w:t>
      </w:r>
    </w:p>
    <w:tbl>
      <w:tblPr>
        <w:tblW w:w="9936" w:type="dxa"/>
        <w:tblInd w:w="95" w:type="dxa"/>
        <w:tblLook w:val="04A0"/>
      </w:tblPr>
      <w:tblGrid>
        <w:gridCol w:w="580"/>
        <w:gridCol w:w="4820"/>
        <w:gridCol w:w="1134"/>
        <w:gridCol w:w="1134"/>
        <w:gridCol w:w="1134"/>
        <w:gridCol w:w="1134"/>
      </w:tblGrid>
      <w:tr w:rsidR="00DC64F2" w:rsidRPr="004761E0" w:rsidTr="00DC64F2">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DC64F2" w:rsidRPr="004761E0" w:rsidRDefault="00DC64F2" w:rsidP="00DC64F2">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48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C64F2" w:rsidRPr="004761E0" w:rsidRDefault="00DC64F2" w:rsidP="00DC64F2">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C64F2" w:rsidRPr="004761E0" w:rsidRDefault="00DC64F2" w:rsidP="00DC64F2">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C64F2" w:rsidRPr="004761E0" w:rsidRDefault="00DC64F2" w:rsidP="00DC64F2">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C64F2" w:rsidRPr="004761E0" w:rsidRDefault="00DC64F2" w:rsidP="00DC64F2">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DC64F2" w:rsidRPr="004761E0" w:rsidRDefault="00DC64F2" w:rsidP="00DC64F2">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DC64F2" w:rsidRPr="004761E0" w:rsidTr="00DC64F2">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C64F2" w:rsidRPr="004761E0" w:rsidRDefault="00DC64F2" w:rsidP="007076A7">
            <w:pPr>
              <w:numPr>
                <w:ilvl w:val="0"/>
                <w:numId w:val="326"/>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left"/>
              <w:rPr>
                <w:rFonts w:eastAsia="Times New Roman"/>
                <w:color w:val="000000"/>
                <w:sz w:val="20"/>
                <w:szCs w:val="20"/>
                <w:lang w:eastAsia="ru-RU"/>
              </w:rPr>
            </w:pPr>
            <w:r w:rsidRPr="004761E0">
              <w:rPr>
                <w:rFonts w:eastAsia="Times New Roman"/>
                <w:color w:val="000000"/>
                <w:sz w:val="20"/>
                <w:szCs w:val="20"/>
                <w:lang w:eastAsia="ru-RU"/>
              </w:rPr>
              <w:t>Отпуск в сеть, млн кВтч</w:t>
            </w:r>
          </w:p>
        </w:tc>
        <w:tc>
          <w:tcPr>
            <w:tcW w:w="1134" w:type="dxa"/>
            <w:tcBorders>
              <w:top w:val="nil"/>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rFonts w:eastAsia="Times New Roman"/>
                <w:color w:val="000000"/>
                <w:sz w:val="20"/>
                <w:szCs w:val="20"/>
                <w:lang w:eastAsia="ru-RU"/>
              </w:rPr>
            </w:pPr>
            <w:r w:rsidRPr="004761E0">
              <w:rPr>
                <w:rFonts w:eastAsia="Times New Roman"/>
                <w:color w:val="000000"/>
                <w:sz w:val="20"/>
                <w:szCs w:val="20"/>
                <w:lang w:eastAsia="ru-RU"/>
              </w:rPr>
              <w:t>84 165</w:t>
            </w:r>
          </w:p>
        </w:tc>
        <w:tc>
          <w:tcPr>
            <w:tcW w:w="1134" w:type="dxa"/>
            <w:tcBorders>
              <w:top w:val="nil"/>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rFonts w:eastAsia="Times New Roman"/>
                <w:color w:val="000000"/>
                <w:sz w:val="20"/>
                <w:szCs w:val="20"/>
                <w:lang w:eastAsia="ru-RU"/>
              </w:rPr>
            </w:pPr>
            <w:r w:rsidRPr="004761E0">
              <w:rPr>
                <w:rFonts w:eastAsia="Times New Roman"/>
                <w:color w:val="000000"/>
                <w:sz w:val="20"/>
                <w:szCs w:val="20"/>
                <w:lang w:eastAsia="ru-RU"/>
              </w:rPr>
              <w:t>86 916</w:t>
            </w:r>
          </w:p>
        </w:tc>
        <w:tc>
          <w:tcPr>
            <w:tcW w:w="1134" w:type="dxa"/>
            <w:tcBorders>
              <w:top w:val="nil"/>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rFonts w:eastAsia="Times New Roman"/>
                <w:color w:val="000000"/>
                <w:sz w:val="20"/>
                <w:szCs w:val="20"/>
                <w:lang w:eastAsia="ru-RU"/>
              </w:rPr>
            </w:pPr>
            <w:r w:rsidRPr="004761E0">
              <w:rPr>
                <w:rFonts w:eastAsia="Times New Roman"/>
                <w:color w:val="000000"/>
                <w:sz w:val="20"/>
                <w:szCs w:val="20"/>
                <w:lang w:eastAsia="ru-RU"/>
              </w:rPr>
              <w:t>88 215</w:t>
            </w:r>
          </w:p>
        </w:tc>
        <w:tc>
          <w:tcPr>
            <w:tcW w:w="1134" w:type="dxa"/>
            <w:tcBorders>
              <w:top w:val="nil"/>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rFonts w:eastAsia="Times New Roman"/>
                <w:color w:val="000000"/>
                <w:sz w:val="20"/>
                <w:szCs w:val="20"/>
                <w:lang w:eastAsia="ru-RU"/>
              </w:rPr>
            </w:pPr>
            <w:r w:rsidRPr="004761E0">
              <w:rPr>
                <w:rFonts w:eastAsia="Times New Roman"/>
                <w:color w:val="000000"/>
                <w:sz w:val="20"/>
                <w:szCs w:val="20"/>
                <w:lang w:eastAsia="ru-RU"/>
              </w:rPr>
              <w:t>1,49 %</w:t>
            </w:r>
          </w:p>
        </w:tc>
      </w:tr>
      <w:tr w:rsidR="00DC64F2" w:rsidRPr="004761E0" w:rsidTr="00DC64F2">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C64F2" w:rsidRPr="004761E0" w:rsidRDefault="00DC64F2" w:rsidP="007076A7">
            <w:pPr>
              <w:numPr>
                <w:ilvl w:val="0"/>
                <w:numId w:val="326"/>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left"/>
              <w:rPr>
                <w:rFonts w:eastAsia="Times New Roman"/>
                <w:color w:val="000000"/>
                <w:sz w:val="20"/>
                <w:szCs w:val="20"/>
                <w:lang w:eastAsia="ru-RU"/>
              </w:rPr>
            </w:pPr>
            <w:r w:rsidRPr="004761E0">
              <w:rPr>
                <w:rFonts w:eastAsia="Times New Roman"/>
                <w:color w:val="000000"/>
                <w:sz w:val="20"/>
                <w:szCs w:val="20"/>
                <w:lang w:eastAsia="ru-RU"/>
              </w:rPr>
              <w:t>Полезный отпуск «собственный»</w:t>
            </w:r>
            <w:r w:rsidRPr="006F4AB8">
              <w:rPr>
                <w:rStyle w:val="af1"/>
              </w:rPr>
              <w:footnoteReference w:id="33"/>
            </w:r>
            <w:r w:rsidRPr="004761E0">
              <w:rPr>
                <w:rFonts w:eastAsia="Times New Roman"/>
                <w:color w:val="000000"/>
                <w:sz w:val="20"/>
                <w:szCs w:val="20"/>
                <w:lang w:eastAsia="ru-RU"/>
              </w:rPr>
              <w:t>, млн кВтч</w:t>
            </w:r>
          </w:p>
        </w:tc>
        <w:tc>
          <w:tcPr>
            <w:tcW w:w="1134" w:type="dxa"/>
            <w:tcBorders>
              <w:top w:val="nil"/>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rFonts w:eastAsia="Times New Roman"/>
                <w:color w:val="000000"/>
                <w:sz w:val="20"/>
                <w:szCs w:val="20"/>
                <w:lang w:eastAsia="ru-RU"/>
              </w:rPr>
            </w:pPr>
            <w:r w:rsidRPr="004761E0">
              <w:rPr>
                <w:rFonts w:eastAsia="Times New Roman"/>
                <w:color w:val="000000"/>
                <w:sz w:val="20"/>
                <w:szCs w:val="20"/>
                <w:lang w:eastAsia="ru-RU"/>
              </w:rPr>
              <w:t>75 470</w:t>
            </w:r>
          </w:p>
        </w:tc>
        <w:tc>
          <w:tcPr>
            <w:tcW w:w="1134" w:type="dxa"/>
            <w:tcBorders>
              <w:top w:val="nil"/>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rFonts w:eastAsia="Times New Roman"/>
                <w:color w:val="000000"/>
                <w:sz w:val="20"/>
                <w:szCs w:val="20"/>
                <w:lang w:eastAsia="ru-RU"/>
              </w:rPr>
            </w:pPr>
            <w:r w:rsidRPr="004761E0">
              <w:rPr>
                <w:rFonts w:eastAsia="Times New Roman"/>
                <w:color w:val="000000"/>
                <w:sz w:val="20"/>
                <w:szCs w:val="20"/>
                <w:lang w:eastAsia="ru-RU"/>
              </w:rPr>
              <w:t>78 546</w:t>
            </w:r>
          </w:p>
        </w:tc>
        <w:tc>
          <w:tcPr>
            <w:tcW w:w="1134" w:type="dxa"/>
            <w:tcBorders>
              <w:top w:val="nil"/>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rFonts w:eastAsia="Times New Roman"/>
                <w:color w:val="000000"/>
                <w:sz w:val="20"/>
                <w:szCs w:val="20"/>
                <w:lang w:eastAsia="ru-RU"/>
              </w:rPr>
            </w:pPr>
            <w:r w:rsidRPr="004761E0">
              <w:rPr>
                <w:rFonts w:eastAsia="Times New Roman"/>
                <w:color w:val="000000"/>
                <w:sz w:val="20"/>
                <w:szCs w:val="20"/>
                <w:lang w:eastAsia="ru-RU"/>
              </w:rPr>
              <w:t>80 133</w:t>
            </w:r>
          </w:p>
        </w:tc>
        <w:tc>
          <w:tcPr>
            <w:tcW w:w="1134" w:type="dxa"/>
            <w:tcBorders>
              <w:top w:val="nil"/>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rFonts w:eastAsia="Times New Roman"/>
                <w:color w:val="000000"/>
                <w:sz w:val="20"/>
                <w:szCs w:val="20"/>
                <w:lang w:eastAsia="ru-RU"/>
              </w:rPr>
            </w:pPr>
            <w:r w:rsidRPr="004761E0">
              <w:rPr>
                <w:rFonts w:eastAsia="Times New Roman"/>
                <w:color w:val="000000"/>
                <w:sz w:val="20"/>
                <w:szCs w:val="20"/>
                <w:lang w:eastAsia="ru-RU"/>
              </w:rPr>
              <w:t>2,02 %</w:t>
            </w:r>
          </w:p>
        </w:tc>
      </w:tr>
      <w:tr w:rsidR="00DC64F2" w:rsidRPr="004761E0" w:rsidTr="00DC64F2">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C64F2" w:rsidRPr="004761E0" w:rsidRDefault="00DC64F2" w:rsidP="007076A7">
            <w:pPr>
              <w:numPr>
                <w:ilvl w:val="0"/>
                <w:numId w:val="326"/>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left"/>
              <w:rPr>
                <w:rFonts w:eastAsia="Times New Roman"/>
                <w:color w:val="000000"/>
                <w:sz w:val="20"/>
                <w:szCs w:val="20"/>
                <w:lang w:eastAsia="ru-RU"/>
              </w:rPr>
            </w:pPr>
            <w:r w:rsidRPr="004761E0">
              <w:rPr>
                <w:rFonts w:eastAsia="Times New Roman"/>
                <w:color w:val="000000"/>
                <w:sz w:val="20"/>
                <w:szCs w:val="20"/>
                <w:lang w:eastAsia="ru-RU"/>
              </w:rPr>
              <w:t>Потери, % от отпуска в сеть</w:t>
            </w:r>
          </w:p>
        </w:tc>
        <w:tc>
          <w:tcPr>
            <w:tcW w:w="1134" w:type="dxa"/>
            <w:tcBorders>
              <w:top w:val="nil"/>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rFonts w:eastAsia="Times New Roman"/>
                <w:color w:val="000000"/>
                <w:sz w:val="20"/>
                <w:szCs w:val="20"/>
                <w:lang w:eastAsia="ru-RU"/>
              </w:rPr>
            </w:pPr>
            <w:r w:rsidRPr="004761E0">
              <w:rPr>
                <w:rFonts w:eastAsia="Times New Roman"/>
                <w:color w:val="000000"/>
                <w:sz w:val="20"/>
                <w:szCs w:val="20"/>
                <w:lang w:eastAsia="ru-RU"/>
              </w:rPr>
              <w:t>10,33</w:t>
            </w:r>
          </w:p>
        </w:tc>
        <w:tc>
          <w:tcPr>
            <w:tcW w:w="1134" w:type="dxa"/>
            <w:tcBorders>
              <w:top w:val="nil"/>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rFonts w:eastAsia="Times New Roman"/>
                <w:color w:val="000000"/>
                <w:sz w:val="20"/>
                <w:szCs w:val="20"/>
                <w:lang w:eastAsia="ru-RU"/>
              </w:rPr>
            </w:pPr>
            <w:r w:rsidRPr="004761E0">
              <w:rPr>
                <w:rFonts w:eastAsia="Times New Roman"/>
                <w:color w:val="000000"/>
                <w:sz w:val="20"/>
                <w:szCs w:val="20"/>
                <w:lang w:eastAsia="ru-RU"/>
              </w:rPr>
              <w:t>9,63</w:t>
            </w:r>
          </w:p>
        </w:tc>
        <w:tc>
          <w:tcPr>
            <w:tcW w:w="1134" w:type="dxa"/>
            <w:tcBorders>
              <w:top w:val="nil"/>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rFonts w:eastAsia="Times New Roman"/>
                <w:color w:val="000000"/>
                <w:sz w:val="20"/>
                <w:szCs w:val="20"/>
                <w:lang w:eastAsia="ru-RU"/>
              </w:rPr>
            </w:pPr>
            <w:r w:rsidRPr="004761E0">
              <w:rPr>
                <w:rFonts w:eastAsia="Times New Roman"/>
                <w:color w:val="000000"/>
                <w:sz w:val="20"/>
                <w:szCs w:val="20"/>
                <w:lang w:eastAsia="ru-RU"/>
              </w:rPr>
              <w:t>9,16</w:t>
            </w:r>
          </w:p>
        </w:tc>
        <w:tc>
          <w:tcPr>
            <w:tcW w:w="1134" w:type="dxa"/>
            <w:tcBorders>
              <w:top w:val="nil"/>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rFonts w:eastAsia="Times New Roman"/>
                <w:color w:val="000000"/>
                <w:sz w:val="20"/>
                <w:szCs w:val="20"/>
                <w:lang w:eastAsia="ru-RU"/>
              </w:rPr>
            </w:pPr>
            <w:r w:rsidRPr="004761E0">
              <w:rPr>
                <w:rFonts w:eastAsia="Times New Roman"/>
                <w:color w:val="000000"/>
                <w:sz w:val="20"/>
                <w:szCs w:val="20"/>
                <w:lang w:eastAsia="ru-RU"/>
              </w:rPr>
              <w:t>-0,47 п.п.</w:t>
            </w:r>
          </w:p>
        </w:tc>
      </w:tr>
      <w:tr w:rsidR="00DC64F2" w:rsidRPr="004761E0" w:rsidTr="00DC64F2">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C64F2" w:rsidRPr="004761E0" w:rsidRDefault="00DC64F2" w:rsidP="007076A7">
            <w:pPr>
              <w:numPr>
                <w:ilvl w:val="0"/>
                <w:numId w:val="326"/>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left"/>
              <w:rPr>
                <w:rFonts w:eastAsia="Times New Roman"/>
                <w:color w:val="000000"/>
                <w:sz w:val="20"/>
                <w:szCs w:val="20"/>
                <w:lang w:eastAsia="ru-RU"/>
              </w:rPr>
            </w:pPr>
            <w:r w:rsidRPr="004761E0">
              <w:rPr>
                <w:rFonts w:eastAsia="Times New Roman"/>
                <w:color w:val="000000"/>
                <w:sz w:val="20"/>
                <w:szCs w:val="20"/>
                <w:lang w:eastAsia="ru-RU"/>
              </w:rPr>
              <w:t>Потери, млн кВтч</w:t>
            </w:r>
          </w:p>
        </w:tc>
        <w:tc>
          <w:tcPr>
            <w:tcW w:w="1134" w:type="dxa"/>
            <w:tcBorders>
              <w:top w:val="nil"/>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rFonts w:eastAsia="Times New Roman"/>
                <w:color w:val="000000"/>
                <w:sz w:val="20"/>
                <w:szCs w:val="20"/>
                <w:lang w:eastAsia="ru-RU"/>
              </w:rPr>
            </w:pPr>
            <w:r w:rsidRPr="004761E0">
              <w:rPr>
                <w:rFonts w:eastAsia="Times New Roman"/>
                <w:color w:val="000000"/>
                <w:sz w:val="20"/>
                <w:szCs w:val="20"/>
                <w:lang w:eastAsia="ru-RU"/>
              </w:rPr>
              <w:t>8 696</w:t>
            </w:r>
          </w:p>
        </w:tc>
        <w:tc>
          <w:tcPr>
            <w:tcW w:w="1134" w:type="dxa"/>
            <w:tcBorders>
              <w:top w:val="nil"/>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rFonts w:eastAsia="Times New Roman"/>
                <w:color w:val="000000"/>
                <w:sz w:val="20"/>
                <w:szCs w:val="20"/>
                <w:lang w:eastAsia="ru-RU"/>
              </w:rPr>
            </w:pPr>
            <w:r w:rsidRPr="004761E0">
              <w:rPr>
                <w:rFonts w:eastAsia="Times New Roman"/>
                <w:color w:val="000000"/>
                <w:sz w:val="20"/>
                <w:szCs w:val="20"/>
                <w:lang w:eastAsia="ru-RU"/>
              </w:rPr>
              <w:t>8 370</w:t>
            </w:r>
          </w:p>
        </w:tc>
        <w:tc>
          <w:tcPr>
            <w:tcW w:w="1134" w:type="dxa"/>
            <w:tcBorders>
              <w:top w:val="nil"/>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rFonts w:eastAsia="Times New Roman"/>
                <w:color w:val="000000"/>
                <w:sz w:val="20"/>
                <w:szCs w:val="20"/>
                <w:lang w:eastAsia="ru-RU"/>
              </w:rPr>
            </w:pPr>
            <w:r w:rsidRPr="004761E0">
              <w:rPr>
                <w:rFonts w:eastAsia="Times New Roman"/>
                <w:color w:val="000000"/>
                <w:sz w:val="20"/>
                <w:szCs w:val="20"/>
                <w:lang w:eastAsia="ru-RU"/>
              </w:rPr>
              <w:t>8 082</w:t>
            </w:r>
          </w:p>
        </w:tc>
        <w:tc>
          <w:tcPr>
            <w:tcW w:w="1134" w:type="dxa"/>
            <w:tcBorders>
              <w:top w:val="nil"/>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rFonts w:eastAsia="Times New Roman"/>
                <w:color w:val="000000"/>
                <w:sz w:val="20"/>
                <w:szCs w:val="20"/>
                <w:lang w:eastAsia="ru-RU"/>
              </w:rPr>
            </w:pPr>
            <w:r w:rsidRPr="004761E0">
              <w:rPr>
                <w:rFonts w:eastAsia="Times New Roman"/>
                <w:color w:val="000000"/>
                <w:sz w:val="20"/>
                <w:szCs w:val="20"/>
                <w:lang w:eastAsia="ru-RU"/>
              </w:rPr>
              <w:t>-3,44 %</w:t>
            </w:r>
          </w:p>
        </w:tc>
      </w:tr>
      <w:tr w:rsidR="00E73C21" w:rsidRPr="004761E0" w:rsidTr="00E73C21">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3C21" w:rsidRPr="004761E0" w:rsidRDefault="00E73C21" w:rsidP="00E73C21">
            <w:pPr>
              <w:ind w:left="360" w:firstLine="0"/>
              <w:jc w:val="left"/>
              <w:rPr>
                <w:rFonts w:eastAsia="Times New Roman"/>
                <w:color w:val="000000"/>
                <w:sz w:val="20"/>
                <w:szCs w:val="20"/>
                <w:lang w:eastAsia="ru-RU"/>
              </w:rPr>
            </w:pPr>
          </w:p>
        </w:tc>
        <w:tc>
          <w:tcPr>
            <w:tcW w:w="9356" w:type="dxa"/>
            <w:gridSpan w:val="5"/>
            <w:tcBorders>
              <w:top w:val="single" w:sz="4" w:space="0" w:color="auto"/>
              <w:left w:val="nil"/>
              <w:bottom w:val="single" w:sz="4" w:space="0" w:color="auto"/>
              <w:right w:val="single" w:sz="4" w:space="0" w:color="auto"/>
            </w:tcBorders>
            <w:shd w:val="clear" w:color="auto" w:fill="auto"/>
            <w:vAlign w:val="center"/>
            <w:hideMark/>
          </w:tcPr>
          <w:p w:rsidR="00E73C21" w:rsidRPr="004761E0" w:rsidRDefault="00E73C21" w:rsidP="00E73C21">
            <w:pPr>
              <w:ind w:firstLine="0"/>
              <w:jc w:val="left"/>
              <w:rPr>
                <w:rFonts w:eastAsia="Times New Roman"/>
                <w:color w:val="000000"/>
                <w:sz w:val="20"/>
                <w:szCs w:val="20"/>
                <w:lang w:eastAsia="ru-RU"/>
              </w:rPr>
            </w:pPr>
            <w:r>
              <w:rPr>
                <w:rFonts w:eastAsia="Times New Roman"/>
                <w:color w:val="000000"/>
                <w:sz w:val="20"/>
                <w:szCs w:val="20"/>
                <w:lang w:eastAsia="ru-RU"/>
              </w:rPr>
              <w:t>Справочно:</w:t>
            </w:r>
          </w:p>
        </w:tc>
      </w:tr>
      <w:tr w:rsidR="00DC64F2" w:rsidRPr="004761E0" w:rsidTr="00DC64F2">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F2" w:rsidRPr="004761E0" w:rsidRDefault="00DC64F2" w:rsidP="007076A7">
            <w:pPr>
              <w:numPr>
                <w:ilvl w:val="0"/>
                <w:numId w:val="326"/>
              </w:numPr>
              <w:jc w:val="left"/>
              <w:rPr>
                <w:rFonts w:eastAsia="Times New Roman"/>
                <w:color w:val="000000"/>
                <w:sz w:val="20"/>
                <w:szCs w:val="20"/>
                <w:lang w:eastAsia="ru-RU"/>
              </w:rPr>
            </w:pP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left"/>
              <w:rPr>
                <w:rFonts w:eastAsia="Times New Roman"/>
                <w:color w:val="000000"/>
                <w:sz w:val="20"/>
                <w:szCs w:val="20"/>
                <w:lang w:eastAsia="ru-RU"/>
              </w:rPr>
            </w:pPr>
            <w:r w:rsidRPr="004761E0">
              <w:rPr>
                <w:rFonts w:eastAsia="Times New Roman"/>
                <w:color w:val="000000"/>
                <w:sz w:val="20"/>
                <w:szCs w:val="20"/>
                <w:lang w:eastAsia="ru-RU"/>
              </w:rPr>
              <w:t>Полезный отпуск «котловой»</w:t>
            </w:r>
            <w:r w:rsidR="00017C39">
              <w:rPr>
                <w:rFonts w:eastAsia="Times New Roman"/>
                <w:color w:val="000000"/>
                <w:sz w:val="20"/>
                <w:szCs w:val="20"/>
                <w:lang w:eastAsia="ru-RU"/>
              </w:rPr>
              <w:t>, млн кВтч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rFonts w:eastAsia="Times New Roman"/>
                <w:color w:val="000000"/>
                <w:sz w:val="20"/>
                <w:szCs w:val="20"/>
                <w:lang w:eastAsia="ru-RU"/>
              </w:rPr>
            </w:pPr>
            <w:r w:rsidRPr="004761E0">
              <w:rPr>
                <w:rFonts w:eastAsia="Times New Roman"/>
                <w:color w:val="000000"/>
                <w:sz w:val="20"/>
                <w:szCs w:val="20"/>
                <w:lang w:eastAsia="ru-RU"/>
              </w:rPr>
              <w:t>73 540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rFonts w:eastAsia="Times New Roman"/>
                <w:color w:val="000000"/>
                <w:sz w:val="20"/>
                <w:szCs w:val="20"/>
                <w:lang w:eastAsia="ru-RU"/>
              </w:rPr>
            </w:pPr>
            <w:r w:rsidRPr="004761E0">
              <w:rPr>
                <w:rFonts w:eastAsia="Times New Roman"/>
                <w:color w:val="000000"/>
                <w:sz w:val="20"/>
                <w:szCs w:val="20"/>
                <w:lang w:eastAsia="ru-RU"/>
              </w:rPr>
              <w:t>69 362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rFonts w:eastAsia="Times New Roman"/>
                <w:color w:val="000000"/>
                <w:sz w:val="20"/>
                <w:szCs w:val="20"/>
                <w:lang w:eastAsia="ru-RU"/>
              </w:rPr>
            </w:pPr>
            <w:r w:rsidRPr="004761E0">
              <w:rPr>
                <w:rFonts w:eastAsia="Times New Roman"/>
                <w:color w:val="000000"/>
                <w:sz w:val="20"/>
                <w:szCs w:val="20"/>
                <w:lang w:eastAsia="ru-RU"/>
              </w:rPr>
              <w:t>71 412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rFonts w:eastAsia="Times New Roman"/>
                <w:color w:val="000000"/>
                <w:sz w:val="20"/>
                <w:szCs w:val="20"/>
                <w:lang w:eastAsia="ru-RU"/>
              </w:rPr>
            </w:pPr>
            <w:r w:rsidRPr="004761E0">
              <w:rPr>
                <w:rFonts w:eastAsia="Times New Roman"/>
                <w:color w:val="000000"/>
                <w:sz w:val="20"/>
                <w:szCs w:val="20"/>
                <w:lang w:eastAsia="ru-RU"/>
              </w:rPr>
              <w:t>2,96 %</w:t>
            </w:r>
          </w:p>
        </w:tc>
      </w:tr>
    </w:tbl>
    <w:p w:rsidR="00DC64F2" w:rsidRPr="004761E0" w:rsidRDefault="00DC64F2" w:rsidP="00DC64F2">
      <w:pPr>
        <w:spacing w:before="120" w:after="120"/>
        <w:ind w:firstLine="0"/>
        <w:rPr>
          <w:rFonts w:eastAsia="Times New Roman"/>
          <w:b/>
          <w:iCs/>
          <w:color w:val="000000"/>
          <w:sz w:val="26"/>
          <w:szCs w:val="26"/>
          <w:lang w:eastAsia="ru-RU"/>
        </w:rPr>
      </w:pPr>
      <w:r w:rsidRPr="004761E0">
        <w:rPr>
          <w:rFonts w:eastAsia="Times New Roman"/>
          <w:b/>
          <w:iCs/>
          <w:color w:val="000000"/>
          <w:sz w:val="26"/>
          <w:szCs w:val="26"/>
          <w:lang w:eastAsia="ru-RU"/>
        </w:rPr>
        <w:t xml:space="preserve"> </w:t>
      </w:r>
      <w:r w:rsidRPr="004761E0">
        <w:rPr>
          <w:rFonts w:eastAsia="Times New Roman"/>
          <w:b/>
          <w:iCs/>
          <w:noProof/>
          <w:color w:val="000000"/>
          <w:sz w:val="26"/>
          <w:szCs w:val="26"/>
          <w:lang w:eastAsia="ru-RU"/>
        </w:rPr>
        <w:drawing>
          <wp:inline distT="0" distB="0" distL="0" distR="0">
            <wp:extent cx="3590842" cy="2305878"/>
            <wp:effectExtent l="19050" t="0" r="9608" b="0"/>
            <wp:docPr id="230"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4761E0">
        <w:rPr>
          <w:rFonts w:eastAsia="Times New Roman"/>
          <w:b/>
          <w:iCs/>
          <w:color w:val="000000"/>
          <w:sz w:val="26"/>
          <w:szCs w:val="26"/>
          <w:lang w:eastAsia="ru-RU"/>
        </w:rPr>
        <w:t xml:space="preserve"> </w:t>
      </w:r>
    </w:p>
    <w:p w:rsidR="003D033C" w:rsidRPr="004761E0" w:rsidRDefault="003D033C" w:rsidP="003D033C">
      <w:pPr>
        <w:ind w:firstLine="567"/>
        <w:rPr>
          <w:sz w:val="26"/>
          <w:szCs w:val="26"/>
          <w:lang w:eastAsia="ru-RU"/>
        </w:rPr>
      </w:pPr>
      <w:r>
        <w:rPr>
          <w:sz w:val="26"/>
          <w:szCs w:val="26"/>
          <w:lang w:eastAsia="ru-RU"/>
        </w:rPr>
        <w:t>Аналогичные д</w:t>
      </w:r>
      <w:r w:rsidRPr="004761E0">
        <w:rPr>
          <w:sz w:val="26"/>
          <w:szCs w:val="26"/>
          <w:lang w:eastAsia="ru-RU"/>
        </w:rPr>
        <w:t>анные в разбивке на г. Москву и Московскую область представлены в Приложении</w:t>
      </w:r>
      <w:r>
        <w:rPr>
          <w:sz w:val="26"/>
          <w:szCs w:val="26"/>
          <w:lang w:eastAsia="ru-RU"/>
        </w:rPr>
        <w:t xml:space="preserve"> 12.</w:t>
      </w:r>
      <w:r w:rsidR="003146BC">
        <w:rPr>
          <w:sz w:val="26"/>
          <w:szCs w:val="26"/>
          <w:lang w:eastAsia="ru-RU"/>
        </w:rPr>
        <w:t>1</w:t>
      </w:r>
      <w:r>
        <w:rPr>
          <w:sz w:val="26"/>
          <w:szCs w:val="26"/>
          <w:lang w:eastAsia="ru-RU"/>
        </w:rPr>
        <w:t>.</w:t>
      </w:r>
      <w:r w:rsidRPr="004761E0">
        <w:rPr>
          <w:sz w:val="26"/>
          <w:szCs w:val="26"/>
          <w:lang w:eastAsia="ru-RU"/>
        </w:rPr>
        <w:t xml:space="preserve"> к Годовому отчету.</w:t>
      </w:r>
    </w:p>
    <w:p w:rsidR="00DC64F2" w:rsidRPr="00B20C95" w:rsidRDefault="00DC64F2" w:rsidP="00B20C95">
      <w:pPr>
        <w:spacing w:before="120" w:after="120"/>
        <w:ind w:firstLine="567"/>
        <w:rPr>
          <w:b/>
          <w:sz w:val="26"/>
          <w:szCs w:val="26"/>
          <w:lang w:eastAsia="ru-RU"/>
        </w:rPr>
      </w:pPr>
      <w:r w:rsidRPr="00B20C95">
        <w:rPr>
          <w:b/>
          <w:sz w:val="26"/>
          <w:szCs w:val="26"/>
          <w:lang w:eastAsia="ru-RU"/>
        </w:rPr>
        <w:t>Структура полезного отпуска по группам потребителей</w:t>
      </w:r>
    </w:p>
    <w:tbl>
      <w:tblPr>
        <w:tblW w:w="9938" w:type="dxa"/>
        <w:tblInd w:w="93" w:type="dxa"/>
        <w:tblLook w:val="04A0"/>
      </w:tblPr>
      <w:tblGrid>
        <w:gridCol w:w="582"/>
        <w:gridCol w:w="3969"/>
        <w:gridCol w:w="1340"/>
        <w:gridCol w:w="1340"/>
        <w:gridCol w:w="1431"/>
        <w:gridCol w:w="1276"/>
      </w:tblGrid>
      <w:tr w:rsidR="00DC64F2" w:rsidRPr="004761E0" w:rsidTr="00DC64F2">
        <w:trPr>
          <w:trHeight w:val="70"/>
        </w:trPr>
        <w:tc>
          <w:tcPr>
            <w:tcW w:w="582"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DC64F2" w:rsidRPr="004761E0" w:rsidRDefault="00DC64F2" w:rsidP="00DC64F2">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396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C64F2" w:rsidRPr="004761E0" w:rsidRDefault="00DC64F2" w:rsidP="00DC64F2">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34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C64F2" w:rsidRPr="004761E0" w:rsidRDefault="00DC64F2" w:rsidP="00DC64F2">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34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C64F2" w:rsidRPr="004761E0" w:rsidRDefault="00DC64F2" w:rsidP="00DC64F2">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43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C64F2" w:rsidRPr="004761E0" w:rsidRDefault="00DC64F2" w:rsidP="00DC64F2">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276"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DC64F2" w:rsidRPr="004761E0" w:rsidRDefault="00DC64F2" w:rsidP="00DC64F2">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DC64F2" w:rsidRPr="004761E0" w:rsidTr="00DC64F2">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F2" w:rsidRPr="004761E0" w:rsidRDefault="00DC64F2" w:rsidP="00DC64F2">
            <w:pPr>
              <w:ind w:left="360" w:firstLine="0"/>
              <w:jc w:val="left"/>
              <w:rPr>
                <w:rFonts w:eastAsia="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center"/>
            <w:hideMark/>
          </w:tcPr>
          <w:p w:rsidR="00DC64F2" w:rsidRPr="004761E0" w:rsidRDefault="00DC64F2" w:rsidP="00DC64F2">
            <w:pPr>
              <w:ind w:firstLine="0"/>
              <w:rPr>
                <w:rFonts w:eastAsia="Times New Roman"/>
                <w:color w:val="000000"/>
                <w:sz w:val="20"/>
                <w:szCs w:val="20"/>
                <w:lang w:eastAsia="ru-RU"/>
              </w:rPr>
            </w:pPr>
            <w:r w:rsidRPr="004761E0">
              <w:rPr>
                <w:rFonts w:eastAsia="Times New Roman"/>
                <w:color w:val="000000"/>
                <w:sz w:val="20"/>
                <w:szCs w:val="20"/>
                <w:lang w:eastAsia="ru-RU"/>
              </w:rPr>
              <w:t>Полезный отпуск «котловой», млн кВтч (всего), в т.ч.:</w:t>
            </w:r>
          </w:p>
        </w:tc>
        <w:tc>
          <w:tcPr>
            <w:tcW w:w="1340" w:type="dxa"/>
            <w:tcBorders>
              <w:top w:val="nil"/>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rFonts w:eastAsia="Times New Roman"/>
                <w:color w:val="000000"/>
                <w:sz w:val="20"/>
                <w:szCs w:val="20"/>
                <w:lang w:eastAsia="ru-RU"/>
              </w:rPr>
            </w:pPr>
            <w:r w:rsidRPr="004761E0">
              <w:rPr>
                <w:rFonts w:eastAsia="Times New Roman"/>
                <w:color w:val="000000"/>
                <w:sz w:val="20"/>
                <w:szCs w:val="20"/>
                <w:lang w:eastAsia="ru-RU"/>
              </w:rPr>
              <w:t>73 540</w:t>
            </w:r>
          </w:p>
        </w:tc>
        <w:tc>
          <w:tcPr>
            <w:tcW w:w="1340" w:type="dxa"/>
            <w:tcBorders>
              <w:top w:val="nil"/>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rFonts w:eastAsia="Times New Roman"/>
                <w:color w:val="000000"/>
                <w:sz w:val="20"/>
                <w:szCs w:val="20"/>
                <w:lang w:eastAsia="ru-RU"/>
              </w:rPr>
            </w:pPr>
            <w:r w:rsidRPr="004761E0">
              <w:rPr>
                <w:rFonts w:eastAsia="Times New Roman"/>
                <w:color w:val="000000"/>
                <w:sz w:val="20"/>
                <w:szCs w:val="20"/>
                <w:lang w:eastAsia="ru-RU"/>
              </w:rPr>
              <w:t>69 362</w:t>
            </w:r>
          </w:p>
        </w:tc>
        <w:tc>
          <w:tcPr>
            <w:tcW w:w="1431" w:type="dxa"/>
            <w:tcBorders>
              <w:top w:val="nil"/>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rFonts w:eastAsia="Times New Roman"/>
                <w:color w:val="000000"/>
                <w:sz w:val="20"/>
                <w:szCs w:val="20"/>
                <w:lang w:eastAsia="ru-RU"/>
              </w:rPr>
            </w:pPr>
            <w:r w:rsidRPr="004761E0">
              <w:rPr>
                <w:rFonts w:eastAsia="Times New Roman"/>
                <w:color w:val="000000"/>
                <w:sz w:val="20"/>
                <w:szCs w:val="20"/>
                <w:lang w:eastAsia="ru-RU"/>
              </w:rPr>
              <w:t>71 412</w:t>
            </w:r>
          </w:p>
        </w:tc>
        <w:tc>
          <w:tcPr>
            <w:tcW w:w="1276" w:type="dxa"/>
            <w:tcBorders>
              <w:top w:val="nil"/>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rFonts w:eastAsia="Times New Roman"/>
                <w:color w:val="000000"/>
                <w:sz w:val="20"/>
                <w:szCs w:val="20"/>
                <w:lang w:eastAsia="ru-RU"/>
              </w:rPr>
            </w:pPr>
            <w:r w:rsidRPr="004761E0">
              <w:rPr>
                <w:rFonts w:eastAsia="Times New Roman"/>
                <w:color w:val="000000"/>
                <w:sz w:val="20"/>
                <w:szCs w:val="20"/>
                <w:lang w:eastAsia="ru-RU"/>
              </w:rPr>
              <w:t>2,96 %</w:t>
            </w:r>
          </w:p>
        </w:tc>
      </w:tr>
      <w:tr w:rsidR="00DC64F2" w:rsidRPr="004761E0" w:rsidTr="00DC64F2">
        <w:trPr>
          <w:trHeight w:val="300"/>
        </w:trPr>
        <w:tc>
          <w:tcPr>
            <w:tcW w:w="993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C64F2" w:rsidRPr="004761E0" w:rsidRDefault="00DC64F2" w:rsidP="007076A7">
            <w:pPr>
              <w:pStyle w:val="a5"/>
              <w:numPr>
                <w:ilvl w:val="0"/>
                <w:numId w:val="164"/>
              </w:numPr>
              <w:jc w:val="left"/>
              <w:rPr>
                <w:b/>
                <w:sz w:val="20"/>
                <w:szCs w:val="26"/>
                <w:lang w:eastAsia="ru-RU"/>
              </w:rPr>
            </w:pPr>
            <w:r w:rsidRPr="004761E0">
              <w:rPr>
                <w:b/>
                <w:sz w:val="20"/>
                <w:szCs w:val="26"/>
                <w:lang w:eastAsia="ru-RU"/>
              </w:rPr>
              <w:t xml:space="preserve">По </w:t>
            </w:r>
            <w:r w:rsidR="005D6DA1">
              <w:rPr>
                <w:b/>
                <w:sz w:val="20"/>
                <w:szCs w:val="26"/>
                <w:lang w:eastAsia="ru-RU"/>
              </w:rPr>
              <w:t>категориям потребителей</w:t>
            </w:r>
          </w:p>
        </w:tc>
      </w:tr>
      <w:tr w:rsidR="00DC64F2" w:rsidRPr="004761E0" w:rsidTr="00DC64F2">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DC64F2" w:rsidRPr="004761E0" w:rsidRDefault="00DC64F2" w:rsidP="007076A7">
            <w:pPr>
              <w:numPr>
                <w:ilvl w:val="1"/>
                <w:numId w:val="5"/>
              </w:numPr>
              <w:jc w:val="left"/>
              <w:rPr>
                <w:rFonts w:eastAsia="Times New Roman"/>
                <w:color w:val="000000"/>
                <w:sz w:val="20"/>
                <w:szCs w:val="20"/>
                <w:lang w:eastAsia="ru-RU"/>
              </w:rPr>
            </w:pPr>
          </w:p>
        </w:tc>
        <w:tc>
          <w:tcPr>
            <w:tcW w:w="3969"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391B48">
            <w:pPr>
              <w:spacing w:line="276" w:lineRule="auto"/>
              <w:ind w:left="318" w:firstLine="0"/>
              <w:rPr>
                <w:sz w:val="20"/>
                <w:szCs w:val="20"/>
              </w:rPr>
            </w:pPr>
            <w:r w:rsidRPr="004761E0">
              <w:rPr>
                <w:sz w:val="20"/>
                <w:szCs w:val="20"/>
              </w:rPr>
              <w:t>гарантирующие поставщики</w:t>
            </w:r>
          </w:p>
        </w:tc>
        <w:tc>
          <w:tcPr>
            <w:tcW w:w="1340"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70 462</w:t>
            </w:r>
          </w:p>
        </w:tc>
        <w:tc>
          <w:tcPr>
            <w:tcW w:w="1340"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66 490</w:t>
            </w:r>
          </w:p>
        </w:tc>
        <w:tc>
          <w:tcPr>
            <w:tcW w:w="1431"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69 059</w:t>
            </w:r>
          </w:p>
        </w:tc>
        <w:tc>
          <w:tcPr>
            <w:tcW w:w="1276"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3,86 %</w:t>
            </w:r>
          </w:p>
        </w:tc>
      </w:tr>
      <w:tr w:rsidR="00DC64F2" w:rsidRPr="004761E0" w:rsidTr="00DC64F2">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DC64F2" w:rsidRPr="004761E0" w:rsidRDefault="00DC64F2" w:rsidP="007076A7">
            <w:pPr>
              <w:numPr>
                <w:ilvl w:val="1"/>
                <w:numId w:val="5"/>
              </w:numPr>
              <w:jc w:val="left"/>
              <w:rPr>
                <w:rFonts w:eastAsia="Times New Roman"/>
                <w:color w:val="000000"/>
                <w:sz w:val="20"/>
                <w:szCs w:val="20"/>
                <w:lang w:eastAsia="ru-RU"/>
              </w:rPr>
            </w:pPr>
          </w:p>
        </w:tc>
        <w:tc>
          <w:tcPr>
            <w:tcW w:w="3969"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391B48">
            <w:pPr>
              <w:spacing w:line="276" w:lineRule="auto"/>
              <w:ind w:left="318" w:firstLine="0"/>
              <w:rPr>
                <w:sz w:val="20"/>
                <w:szCs w:val="20"/>
              </w:rPr>
            </w:pPr>
            <w:r w:rsidRPr="004761E0">
              <w:rPr>
                <w:sz w:val="20"/>
                <w:szCs w:val="20"/>
              </w:rPr>
              <w:t>энергосбытовые организации</w:t>
            </w:r>
          </w:p>
        </w:tc>
        <w:tc>
          <w:tcPr>
            <w:tcW w:w="1340"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2 422</w:t>
            </w:r>
          </w:p>
        </w:tc>
        <w:tc>
          <w:tcPr>
            <w:tcW w:w="1340"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2 292</w:t>
            </w:r>
          </w:p>
        </w:tc>
        <w:tc>
          <w:tcPr>
            <w:tcW w:w="1431"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1 527</w:t>
            </w:r>
          </w:p>
        </w:tc>
        <w:tc>
          <w:tcPr>
            <w:tcW w:w="1276"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-33,40 %</w:t>
            </w:r>
          </w:p>
        </w:tc>
      </w:tr>
      <w:tr w:rsidR="00DC64F2" w:rsidRPr="004761E0" w:rsidTr="00DC64F2">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DC64F2" w:rsidRPr="004761E0" w:rsidRDefault="00DC64F2" w:rsidP="007076A7">
            <w:pPr>
              <w:numPr>
                <w:ilvl w:val="1"/>
                <w:numId w:val="5"/>
              </w:numPr>
              <w:jc w:val="left"/>
              <w:rPr>
                <w:rFonts w:eastAsia="Times New Roman"/>
                <w:color w:val="000000"/>
                <w:sz w:val="20"/>
                <w:szCs w:val="20"/>
                <w:lang w:eastAsia="ru-RU"/>
              </w:rPr>
            </w:pPr>
          </w:p>
        </w:tc>
        <w:tc>
          <w:tcPr>
            <w:tcW w:w="3969"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391B48">
            <w:pPr>
              <w:spacing w:line="276" w:lineRule="auto"/>
              <w:ind w:left="318" w:firstLine="0"/>
              <w:rPr>
                <w:sz w:val="20"/>
                <w:szCs w:val="20"/>
              </w:rPr>
            </w:pPr>
            <w:r w:rsidRPr="004761E0">
              <w:rPr>
                <w:sz w:val="20"/>
                <w:szCs w:val="20"/>
              </w:rPr>
              <w:t>прочие потребители</w:t>
            </w:r>
          </w:p>
        </w:tc>
        <w:tc>
          <w:tcPr>
            <w:tcW w:w="1340"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656</w:t>
            </w:r>
          </w:p>
        </w:tc>
        <w:tc>
          <w:tcPr>
            <w:tcW w:w="1340"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579</w:t>
            </w:r>
          </w:p>
        </w:tc>
        <w:tc>
          <w:tcPr>
            <w:tcW w:w="1431"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827</w:t>
            </w:r>
          </w:p>
        </w:tc>
        <w:tc>
          <w:tcPr>
            <w:tcW w:w="1276"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42,82 %</w:t>
            </w:r>
          </w:p>
        </w:tc>
      </w:tr>
      <w:tr w:rsidR="00DC64F2" w:rsidRPr="004761E0" w:rsidTr="00DC64F2">
        <w:trPr>
          <w:trHeight w:val="300"/>
        </w:trPr>
        <w:tc>
          <w:tcPr>
            <w:tcW w:w="993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C64F2" w:rsidRPr="004761E0" w:rsidRDefault="00DC64F2" w:rsidP="007076A7">
            <w:pPr>
              <w:pStyle w:val="a5"/>
              <w:numPr>
                <w:ilvl w:val="0"/>
                <w:numId w:val="164"/>
              </w:numPr>
              <w:jc w:val="left"/>
              <w:rPr>
                <w:rFonts w:eastAsia="Times New Roman"/>
                <w:color w:val="000000"/>
                <w:sz w:val="20"/>
                <w:szCs w:val="20"/>
                <w:lang w:eastAsia="ru-RU"/>
              </w:rPr>
            </w:pPr>
            <w:r w:rsidRPr="004761E0">
              <w:rPr>
                <w:b/>
                <w:sz w:val="20"/>
                <w:szCs w:val="26"/>
                <w:lang w:eastAsia="ru-RU"/>
              </w:rPr>
              <w:t>По группам конечных потребителей</w:t>
            </w:r>
          </w:p>
        </w:tc>
      </w:tr>
      <w:tr w:rsidR="00DC64F2" w:rsidRPr="004761E0" w:rsidTr="00DC64F2">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DC64F2" w:rsidRPr="004761E0" w:rsidRDefault="00DC64F2" w:rsidP="007076A7">
            <w:pPr>
              <w:numPr>
                <w:ilvl w:val="1"/>
                <w:numId w:val="164"/>
              </w:numPr>
              <w:jc w:val="left"/>
              <w:rPr>
                <w:rFonts w:eastAsia="Times New Roman"/>
                <w:color w:val="000000"/>
                <w:sz w:val="20"/>
                <w:szCs w:val="20"/>
                <w:lang w:eastAsia="ru-RU"/>
              </w:rPr>
            </w:pPr>
          </w:p>
        </w:tc>
        <w:tc>
          <w:tcPr>
            <w:tcW w:w="3969"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391B48">
            <w:pPr>
              <w:spacing w:line="276" w:lineRule="auto"/>
              <w:ind w:left="318" w:firstLine="0"/>
              <w:jc w:val="left"/>
              <w:rPr>
                <w:rFonts w:eastAsiaTheme="minorHAnsi"/>
                <w:sz w:val="20"/>
                <w:szCs w:val="20"/>
              </w:rPr>
            </w:pPr>
            <w:r w:rsidRPr="004761E0">
              <w:rPr>
                <w:sz w:val="20"/>
                <w:szCs w:val="20"/>
              </w:rPr>
              <w:t>промышленные потребители</w:t>
            </w:r>
          </w:p>
        </w:tc>
        <w:tc>
          <w:tcPr>
            <w:tcW w:w="1340"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22 954</w:t>
            </w:r>
          </w:p>
        </w:tc>
        <w:tc>
          <w:tcPr>
            <w:tcW w:w="1340"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21 799</w:t>
            </w:r>
          </w:p>
        </w:tc>
        <w:tc>
          <w:tcPr>
            <w:tcW w:w="1431"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22 856</w:t>
            </w:r>
          </w:p>
        </w:tc>
        <w:tc>
          <w:tcPr>
            <w:tcW w:w="1276"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4,85</w:t>
            </w:r>
            <w:r w:rsidR="0008080E">
              <w:rPr>
                <w:color w:val="000000"/>
                <w:sz w:val="20"/>
                <w:szCs w:val="20"/>
              </w:rPr>
              <w:t xml:space="preserve"> </w:t>
            </w:r>
            <w:r w:rsidRPr="004761E0">
              <w:rPr>
                <w:color w:val="000000"/>
                <w:sz w:val="20"/>
                <w:szCs w:val="20"/>
              </w:rPr>
              <w:t>%</w:t>
            </w:r>
          </w:p>
        </w:tc>
      </w:tr>
      <w:tr w:rsidR="00DC64F2" w:rsidRPr="004761E0" w:rsidTr="00DC64F2">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DC64F2" w:rsidRPr="004761E0" w:rsidRDefault="00DC64F2" w:rsidP="007076A7">
            <w:pPr>
              <w:numPr>
                <w:ilvl w:val="1"/>
                <w:numId w:val="164"/>
              </w:numPr>
              <w:jc w:val="left"/>
              <w:rPr>
                <w:rFonts w:eastAsia="Times New Roman"/>
                <w:color w:val="000000"/>
                <w:sz w:val="20"/>
                <w:szCs w:val="20"/>
                <w:lang w:eastAsia="ru-RU"/>
              </w:rPr>
            </w:pPr>
          </w:p>
        </w:tc>
        <w:tc>
          <w:tcPr>
            <w:tcW w:w="3969"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391B48">
            <w:pPr>
              <w:spacing w:line="276" w:lineRule="auto"/>
              <w:ind w:left="318" w:firstLine="0"/>
              <w:jc w:val="left"/>
              <w:rPr>
                <w:rFonts w:eastAsiaTheme="minorHAnsi"/>
                <w:sz w:val="20"/>
                <w:szCs w:val="20"/>
              </w:rPr>
            </w:pPr>
            <w:r w:rsidRPr="004761E0">
              <w:rPr>
                <w:sz w:val="20"/>
                <w:szCs w:val="20"/>
              </w:rPr>
              <w:t>непромышленные потребители</w:t>
            </w:r>
          </w:p>
        </w:tc>
        <w:tc>
          <w:tcPr>
            <w:tcW w:w="1340"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16 136</w:t>
            </w:r>
          </w:p>
        </w:tc>
        <w:tc>
          <w:tcPr>
            <w:tcW w:w="1340"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13 899</w:t>
            </w:r>
          </w:p>
        </w:tc>
        <w:tc>
          <w:tcPr>
            <w:tcW w:w="1431"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14 576</w:t>
            </w:r>
          </w:p>
        </w:tc>
        <w:tc>
          <w:tcPr>
            <w:tcW w:w="1276"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4,87</w:t>
            </w:r>
            <w:r w:rsidR="0008080E">
              <w:rPr>
                <w:color w:val="000000"/>
                <w:sz w:val="20"/>
                <w:szCs w:val="20"/>
              </w:rPr>
              <w:t xml:space="preserve"> </w:t>
            </w:r>
            <w:r w:rsidRPr="004761E0">
              <w:rPr>
                <w:color w:val="000000"/>
                <w:sz w:val="20"/>
                <w:szCs w:val="20"/>
              </w:rPr>
              <w:t>%</w:t>
            </w:r>
          </w:p>
        </w:tc>
      </w:tr>
      <w:tr w:rsidR="00DC64F2" w:rsidRPr="004761E0" w:rsidTr="00DC64F2">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DC64F2" w:rsidRPr="004761E0" w:rsidRDefault="00DC64F2" w:rsidP="007076A7">
            <w:pPr>
              <w:numPr>
                <w:ilvl w:val="1"/>
                <w:numId w:val="164"/>
              </w:numPr>
              <w:jc w:val="left"/>
              <w:rPr>
                <w:rFonts w:eastAsia="Times New Roman"/>
                <w:color w:val="000000"/>
                <w:sz w:val="20"/>
                <w:szCs w:val="20"/>
                <w:lang w:eastAsia="ru-RU"/>
              </w:rPr>
            </w:pPr>
          </w:p>
        </w:tc>
        <w:tc>
          <w:tcPr>
            <w:tcW w:w="3969"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391B48">
            <w:pPr>
              <w:spacing w:line="276" w:lineRule="auto"/>
              <w:ind w:left="318" w:firstLine="0"/>
              <w:jc w:val="left"/>
              <w:rPr>
                <w:rFonts w:eastAsiaTheme="minorHAnsi"/>
                <w:sz w:val="20"/>
                <w:szCs w:val="20"/>
              </w:rPr>
            </w:pPr>
            <w:r w:rsidRPr="004761E0">
              <w:rPr>
                <w:sz w:val="20"/>
                <w:szCs w:val="20"/>
              </w:rPr>
              <w:t>население и приравненные к нему группы потребителей</w:t>
            </w:r>
          </w:p>
        </w:tc>
        <w:tc>
          <w:tcPr>
            <w:tcW w:w="1340"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22 420</w:t>
            </w:r>
          </w:p>
        </w:tc>
        <w:tc>
          <w:tcPr>
            <w:tcW w:w="1340"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21 769</w:t>
            </w:r>
          </w:p>
        </w:tc>
        <w:tc>
          <w:tcPr>
            <w:tcW w:w="1431"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21 969</w:t>
            </w:r>
          </w:p>
        </w:tc>
        <w:tc>
          <w:tcPr>
            <w:tcW w:w="1276"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0,92</w:t>
            </w:r>
            <w:r w:rsidR="0008080E">
              <w:rPr>
                <w:color w:val="000000"/>
                <w:sz w:val="20"/>
                <w:szCs w:val="20"/>
              </w:rPr>
              <w:t xml:space="preserve"> </w:t>
            </w:r>
            <w:r w:rsidRPr="004761E0">
              <w:rPr>
                <w:color w:val="000000"/>
                <w:sz w:val="20"/>
                <w:szCs w:val="20"/>
              </w:rPr>
              <w:t>%</w:t>
            </w:r>
          </w:p>
        </w:tc>
      </w:tr>
      <w:tr w:rsidR="00DC64F2" w:rsidRPr="004761E0" w:rsidTr="00DC64F2">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DC64F2" w:rsidRPr="004761E0" w:rsidRDefault="00DC64F2" w:rsidP="007076A7">
            <w:pPr>
              <w:numPr>
                <w:ilvl w:val="1"/>
                <w:numId w:val="164"/>
              </w:numPr>
              <w:jc w:val="left"/>
              <w:rPr>
                <w:rFonts w:eastAsia="Times New Roman"/>
                <w:color w:val="000000"/>
                <w:sz w:val="20"/>
                <w:szCs w:val="20"/>
                <w:lang w:eastAsia="ru-RU"/>
              </w:rPr>
            </w:pPr>
          </w:p>
        </w:tc>
        <w:tc>
          <w:tcPr>
            <w:tcW w:w="3969"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391B48">
            <w:pPr>
              <w:spacing w:line="276" w:lineRule="auto"/>
              <w:ind w:left="318" w:firstLine="0"/>
              <w:jc w:val="left"/>
              <w:rPr>
                <w:sz w:val="20"/>
                <w:szCs w:val="20"/>
              </w:rPr>
            </w:pPr>
            <w:r w:rsidRPr="004761E0">
              <w:rPr>
                <w:sz w:val="20"/>
                <w:szCs w:val="20"/>
              </w:rPr>
              <w:t>государственные и муниципальные организации, а также прочие бюджетные потребители</w:t>
            </w:r>
          </w:p>
        </w:tc>
        <w:tc>
          <w:tcPr>
            <w:tcW w:w="1340"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6 293</w:t>
            </w:r>
          </w:p>
        </w:tc>
        <w:tc>
          <w:tcPr>
            <w:tcW w:w="1340"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6 021</w:t>
            </w:r>
          </w:p>
        </w:tc>
        <w:tc>
          <w:tcPr>
            <w:tcW w:w="1431"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6 049</w:t>
            </w:r>
          </w:p>
        </w:tc>
        <w:tc>
          <w:tcPr>
            <w:tcW w:w="1276"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0,47</w:t>
            </w:r>
            <w:r w:rsidR="0008080E">
              <w:rPr>
                <w:color w:val="000000"/>
                <w:sz w:val="20"/>
                <w:szCs w:val="20"/>
              </w:rPr>
              <w:t xml:space="preserve"> </w:t>
            </w:r>
            <w:r w:rsidRPr="004761E0">
              <w:rPr>
                <w:color w:val="000000"/>
                <w:sz w:val="20"/>
                <w:szCs w:val="20"/>
              </w:rPr>
              <w:t>%</w:t>
            </w:r>
          </w:p>
        </w:tc>
      </w:tr>
      <w:tr w:rsidR="00DC64F2" w:rsidRPr="004761E0" w:rsidTr="00DC64F2">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DC64F2" w:rsidRPr="004761E0" w:rsidRDefault="00DC64F2" w:rsidP="007076A7">
            <w:pPr>
              <w:numPr>
                <w:ilvl w:val="1"/>
                <w:numId w:val="164"/>
              </w:numPr>
              <w:jc w:val="left"/>
              <w:rPr>
                <w:rFonts w:eastAsia="Times New Roman"/>
                <w:color w:val="000000"/>
                <w:sz w:val="20"/>
                <w:szCs w:val="20"/>
                <w:lang w:eastAsia="ru-RU"/>
              </w:rPr>
            </w:pPr>
          </w:p>
        </w:tc>
        <w:tc>
          <w:tcPr>
            <w:tcW w:w="3969"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391B48">
            <w:pPr>
              <w:spacing w:line="276" w:lineRule="auto"/>
              <w:ind w:left="318" w:firstLine="0"/>
              <w:jc w:val="left"/>
              <w:rPr>
                <w:sz w:val="20"/>
                <w:szCs w:val="20"/>
              </w:rPr>
            </w:pPr>
            <w:r w:rsidRPr="004761E0">
              <w:rPr>
                <w:sz w:val="20"/>
                <w:szCs w:val="20"/>
              </w:rPr>
              <w:t>транспорт</w:t>
            </w:r>
          </w:p>
        </w:tc>
        <w:tc>
          <w:tcPr>
            <w:tcW w:w="1340"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4 500</w:t>
            </w:r>
          </w:p>
        </w:tc>
        <w:tc>
          <w:tcPr>
            <w:tcW w:w="1340"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5 087</w:t>
            </w:r>
          </w:p>
        </w:tc>
        <w:tc>
          <w:tcPr>
            <w:tcW w:w="1431"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5 161</w:t>
            </w:r>
          </w:p>
        </w:tc>
        <w:tc>
          <w:tcPr>
            <w:tcW w:w="1276"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1,45</w:t>
            </w:r>
            <w:r w:rsidR="0008080E">
              <w:rPr>
                <w:color w:val="000000"/>
                <w:sz w:val="20"/>
                <w:szCs w:val="20"/>
              </w:rPr>
              <w:t xml:space="preserve"> </w:t>
            </w:r>
            <w:r w:rsidRPr="004761E0">
              <w:rPr>
                <w:color w:val="000000"/>
                <w:sz w:val="20"/>
                <w:szCs w:val="20"/>
              </w:rPr>
              <w:t>%</w:t>
            </w:r>
          </w:p>
        </w:tc>
      </w:tr>
      <w:tr w:rsidR="00DC64F2" w:rsidRPr="004761E0" w:rsidTr="00DC64F2">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DC64F2" w:rsidRPr="004761E0" w:rsidRDefault="00DC64F2" w:rsidP="007076A7">
            <w:pPr>
              <w:numPr>
                <w:ilvl w:val="1"/>
                <w:numId w:val="164"/>
              </w:numPr>
              <w:jc w:val="left"/>
              <w:rPr>
                <w:rFonts w:eastAsia="Times New Roman"/>
                <w:color w:val="000000"/>
                <w:sz w:val="20"/>
                <w:szCs w:val="20"/>
                <w:lang w:eastAsia="ru-RU"/>
              </w:rPr>
            </w:pPr>
          </w:p>
        </w:tc>
        <w:tc>
          <w:tcPr>
            <w:tcW w:w="3969"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391B48">
            <w:pPr>
              <w:spacing w:line="276" w:lineRule="auto"/>
              <w:ind w:left="318" w:firstLine="0"/>
              <w:jc w:val="left"/>
              <w:rPr>
                <w:sz w:val="20"/>
                <w:szCs w:val="20"/>
              </w:rPr>
            </w:pPr>
            <w:r w:rsidRPr="004761E0">
              <w:rPr>
                <w:sz w:val="20"/>
                <w:szCs w:val="20"/>
              </w:rPr>
              <w:t>сельское хозяйство</w:t>
            </w:r>
          </w:p>
        </w:tc>
        <w:tc>
          <w:tcPr>
            <w:tcW w:w="1340"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736</w:t>
            </w:r>
          </w:p>
        </w:tc>
        <w:tc>
          <w:tcPr>
            <w:tcW w:w="1340"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787</w:t>
            </w:r>
          </w:p>
        </w:tc>
        <w:tc>
          <w:tcPr>
            <w:tcW w:w="1431"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802</w:t>
            </w:r>
          </w:p>
        </w:tc>
        <w:tc>
          <w:tcPr>
            <w:tcW w:w="1276" w:type="dxa"/>
            <w:tcBorders>
              <w:top w:val="single" w:sz="4" w:space="0" w:color="auto"/>
              <w:left w:val="nil"/>
              <w:bottom w:val="single" w:sz="4" w:space="0" w:color="auto"/>
              <w:right w:val="single" w:sz="4" w:space="0" w:color="auto"/>
            </w:tcBorders>
            <w:shd w:val="clear" w:color="auto" w:fill="auto"/>
            <w:vAlign w:val="center"/>
          </w:tcPr>
          <w:p w:rsidR="00DC64F2" w:rsidRPr="004761E0" w:rsidRDefault="00DC64F2" w:rsidP="00DC64F2">
            <w:pPr>
              <w:ind w:firstLine="0"/>
              <w:jc w:val="right"/>
              <w:rPr>
                <w:color w:val="000000"/>
                <w:sz w:val="20"/>
                <w:szCs w:val="20"/>
              </w:rPr>
            </w:pPr>
            <w:r w:rsidRPr="004761E0">
              <w:rPr>
                <w:color w:val="000000"/>
                <w:sz w:val="20"/>
                <w:szCs w:val="20"/>
              </w:rPr>
              <w:t>1,91</w:t>
            </w:r>
            <w:r w:rsidR="0008080E">
              <w:rPr>
                <w:color w:val="000000"/>
                <w:sz w:val="20"/>
                <w:szCs w:val="20"/>
              </w:rPr>
              <w:t xml:space="preserve"> </w:t>
            </w:r>
            <w:r w:rsidRPr="004761E0">
              <w:rPr>
                <w:color w:val="000000"/>
                <w:sz w:val="20"/>
                <w:szCs w:val="20"/>
              </w:rPr>
              <w:t>%</w:t>
            </w:r>
          </w:p>
        </w:tc>
      </w:tr>
    </w:tbl>
    <w:p w:rsidR="00DC64F2" w:rsidRPr="004761E0" w:rsidRDefault="00DC64F2" w:rsidP="00DC64F2">
      <w:pPr>
        <w:ind w:firstLine="567"/>
        <w:rPr>
          <w:rFonts w:eastAsia="Times New Roman"/>
          <w:color w:val="000000"/>
          <w:sz w:val="26"/>
          <w:szCs w:val="26"/>
          <w:lang w:eastAsia="ru-RU"/>
        </w:rPr>
      </w:pPr>
      <w:r w:rsidRPr="004761E0">
        <w:rPr>
          <w:rFonts w:eastAsia="Times New Roman"/>
          <w:color w:val="000000"/>
          <w:sz w:val="26"/>
          <w:szCs w:val="26"/>
          <w:lang w:eastAsia="ru-RU"/>
        </w:rPr>
        <w:t xml:space="preserve">Снижение по группе «Энергосбытовые организации» на 33,4 % связано с переходом потребителей энергосбытовых компаний на обслуживание к гарантирующим поставщикам: потребителей </w:t>
      </w:r>
      <w:r w:rsidR="0008080E">
        <w:rPr>
          <w:rFonts w:eastAsia="Times New Roman"/>
          <w:color w:val="000000"/>
          <w:sz w:val="26"/>
          <w:szCs w:val="26"/>
          <w:lang w:eastAsia="ru-RU"/>
        </w:rPr>
        <w:t>ОАО </w:t>
      </w:r>
      <w:r w:rsidRPr="004761E0">
        <w:rPr>
          <w:rFonts w:eastAsia="Times New Roman"/>
          <w:color w:val="000000"/>
          <w:sz w:val="26"/>
          <w:szCs w:val="26"/>
          <w:lang w:eastAsia="ru-RU"/>
        </w:rPr>
        <w:t xml:space="preserve">«ВСК-Энерго» к </w:t>
      </w:r>
      <w:r w:rsidR="0008080E">
        <w:rPr>
          <w:rFonts w:eastAsia="Times New Roman"/>
          <w:color w:val="000000"/>
          <w:sz w:val="26"/>
          <w:szCs w:val="26"/>
          <w:lang w:eastAsia="ru-RU"/>
        </w:rPr>
        <w:t>ОАО </w:t>
      </w:r>
      <w:r w:rsidRPr="004761E0">
        <w:rPr>
          <w:rFonts w:eastAsia="Times New Roman"/>
          <w:color w:val="000000"/>
          <w:sz w:val="26"/>
          <w:szCs w:val="26"/>
          <w:lang w:eastAsia="ru-RU"/>
        </w:rPr>
        <w:t xml:space="preserve">«Оборонэнергосбыт» и потребителей </w:t>
      </w:r>
      <w:r w:rsidR="0008080E">
        <w:rPr>
          <w:rFonts w:eastAsia="Times New Roman"/>
          <w:color w:val="000000"/>
          <w:sz w:val="26"/>
          <w:szCs w:val="26"/>
          <w:lang w:eastAsia="ru-RU"/>
        </w:rPr>
        <w:t>ОАО </w:t>
      </w:r>
      <w:r w:rsidRPr="004761E0">
        <w:rPr>
          <w:rFonts w:eastAsia="Times New Roman"/>
          <w:color w:val="000000"/>
          <w:sz w:val="26"/>
          <w:szCs w:val="26"/>
          <w:lang w:eastAsia="ru-RU"/>
        </w:rPr>
        <w:t xml:space="preserve">«ЭСКМО» к </w:t>
      </w:r>
      <w:r w:rsidR="0008080E">
        <w:rPr>
          <w:rFonts w:eastAsia="Times New Roman"/>
          <w:color w:val="000000"/>
          <w:sz w:val="26"/>
          <w:szCs w:val="26"/>
          <w:lang w:eastAsia="ru-RU"/>
        </w:rPr>
        <w:t>ОАО </w:t>
      </w:r>
      <w:r w:rsidRPr="004761E0">
        <w:rPr>
          <w:rFonts w:eastAsia="Times New Roman"/>
          <w:color w:val="000000"/>
          <w:sz w:val="26"/>
          <w:szCs w:val="26"/>
          <w:lang w:eastAsia="ru-RU"/>
        </w:rPr>
        <w:t>«Мосэнергосбыт».</w:t>
      </w:r>
    </w:p>
    <w:p w:rsidR="005D6DA1" w:rsidRDefault="00DC64F2" w:rsidP="00DC64F2">
      <w:pPr>
        <w:ind w:firstLine="567"/>
        <w:rPr>
          <w:rFonts w:eastAsia="Times New Roman"/>
          <w:color w:val="000000"/>
          <w:sz w:val="26"/>
          <w:szCs w:val="26"/>
          <w:lang w:eastAsia="ru-RU"/>
        </w:rPr>
      </w:pPr>
      <w:r w:rsidRPr="004761E0">
        <w:rPr>
          <w:rFonts w:eastAsia="Times New Roman"/>
          <w:color w:val="000000"/>
          <w:sz w:val="26"/>
          <w:szCs w:val="26"/>
          <w:lang w:eastAsia="ru-RU"/>
        </w:rPr>
        <w:t xml:space="preserve">Увеличение по группе «Прочие потребители» на 42,82 % обусловлено тем, что </w:t>
      </w:r>
      <w:r w:rsidR="0008080E">
        <w:rPr>
          <w:rFonts w:eastAsia="Times New Roman"/>
          <w:color w:val="000000"/>
          <w:sz w:val="26"/>
          <w:szCs w:val="26"/>
          <w:lang w:eastAsia="ru-RU"/>
        </w:rPr>
        <w:t>ОАО </w:t>
      </w:r>
      <w:r w:rsidRPr="004761E0">
        <w:rPr>
          <w:rFonts w:eastAsia="Times New Roman"/>
          <w:color w:val="000000"/>
          <w:sz w:val="26"/>
          <w:szCs w:val="26"/>
          <w:lang w:eastAsia="ru-RU"/>
        </w:rPr>
        <w:t xml:space="preserve">«Газпромнефть-МНПЗ», ранее являвшееся абонентом </w:t>
      </w:r>
      <w:r w:rsidR="0008080E">
        <w:rPr>
          <w:rFonts w:eastAsia="Times New Roman"/>
          <w:color w:val="000000"/>
          <w:sz w:val="26"/>
          <w:szCs w:val="26"/>
          <w:lang w:eastAsia="ru-RU"/>
        </w:rPr>
        <w:t>ОАО </w:t>
      </w:r>
      <w:r w:rsidRPr="004761E0">
        <w:rPr>
          <w:rFonts w:eastAsia="Times New Roman"/>
          <w:color w:val="000000"/>
          <w:sz w:val="26"/>
          <w:szCs w:val="26"/>
          <w:lang w:eastAsia="ru-RU"/>
        </w:rPr>
        <w:t xml:space="preserve">«Мосэнергосбыт», в IV квартале 2012 года вышло на оптовый рынок и заключило прямой договор с </w:t>
      </w:r>
      <w:r w:rsidR="0008080E">
        <w:rPr>
          <w:rFonts w:eastAsia="Times New Roman"/>
          <w:color w:val="000000"/>
          <w:sz w:val="26"/>
          <w:szCs w:val="26"/>
          <w:lang w:eastAsia="ru-RU"/>
        </w:rPr>
        <w:t>ОАО </w:t>
      </w:r>
      <w:r w:rsidRPr="004761E0">
        <w:rPr>
          <w:rFonts w:eastAsia="Times New Roman"/>
          <w:color w:val="000000"/>
          <w:sz w:val="26"/>
          <w:szCs w:val="26"/>
          <w:lang w:eastAsia="ru-RU"/>
        </w:rPr>
        <w:t>«МОЭСК», став прямым (прочим) потребителем</w:t>
      </w:r>
    </w:p>
    <w:p w:rsidR="00DC64F2" w:rsidRPr="004761E0" w:rsidRDefault="00DC64F2" w:rsidP="005D6DA1">
      <w:pPr>
        <w:ind w:firstLine="0"/>
        <w:rPr>
          <w:rFonts w:eastAsia="Times New Roman"/>
          <w:color w:val="000000"/>
          <w:sz w:val="26"/>
          <w:szCs w:val="26"/>
          <w:lang w:eastAsia="ru-RU"/>
        </w:rPr>
      </w:pPr>
      <w:r w:rsidRPr="004761E0">
        <w:rPr>
          <w:rFonts w:eastAsia="Times New Roman"/>
          <w:color w:val="000000"/>
          <w:sz w:val="26"/>
          <w:szCs w:val="26"/>
          <w:lang w:eastAsia="ru-RU"/>
        </w:rPr>
        <w:t>.</w:t>
      </w:r>
      <w:r w:rsidR="005D6DA1" w:rsidRPr="005D6DA1">
        <w:rPr>
          <w:rFonts w:eastAsia="Times New Roman"/>
          <w:i/>
          <w:iCs/>
          <w:noProof/>
          <w:color w:val="FF0000"/>
          <w:sz w:val="20"/>
          <w:szCs w:val="20"/>
          <w:lang w:eastAsia="ru-RU"/>
        </w:rPr>
        <w:t xml:space="preserve"> </w:t>
      </w:r>
      <w:r w:rsidR="005D6DA1" w:rsidRPr="005D6DA1">
        <w:rPr>
          <w:rFonts w:eastAsia="Times New Roman"/>
          <w:noProof/>
          <w:color w:val="000000"/>
          <w:sz w:val="26"/>
          <w:szCs w:val="26"/>
          <w:lang w:eastAsia="ru-RU"/>
        </w:rPr>
        <w:drawing>
          <wp:inline distT="0" distB="0" distL="0" distR="0">
            <wp:extent cx="2500866" cy="3965944"/>
            <wp:effectExtent l="19050" t="0" r="13734" b="0"/>
            <wp:docPr id="26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5D6DA1" w:rsidRPr="005D6DA1">
        <w:rPr>
          <w:rFonts w:eastAsia="Times New Roman"/>
          <w:i/>
          <w:iCs/>
          <w:noProof/>
          <w:color w:val="FF0000"/>
          <w:sz w:val="20"/>
          <w:szCs w:val="20"/>
          <w:lang w:eastAsia="ru-RU"/>
        </w:rPr>
        <w:drawing>
          <wp:inline distT="0" distB="0" distL="0" distR="0">
            <wp:extent cx="3705101" cy="3942608"/>
            <wp:effectExtent l="0" t="0" r="10160" b="20320"/>
            <wp:docPr id="269"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C64F2" w:rsidRPr="004761E0" w:rsidRDefault="00DC64F2" w:rsidP="00B20C95">
      <w:pPr>
        <w:spacing w:before="120" w:after="120"/>
        <w:ind w:firstLine="567"/>
        <w:rPr>
          <w:b/>
          <w:sz w:val="26"/>
          <w:szCs w:val="26"/>
          <w:lang w:eastAsia="ru-RU"/>
        </w:rPr>
      </w:pPr>
      <w:r w:rsidRPr="004761E0">
        <w:rPr>
          <w:b/>
          <w:sz w:val="26"/>
          <w:szCs w:val="26"/>
          <w:lang w:eastAsia="ru-RU"/>
        </w:rPr>
        <w:t>Структура полезного отпуска «котлового» по уровням напряжения</w:t>
      </w:r>
    </w:p>
    <w:tbl>
      <w:tblPr>
        <w:tblW w:w="10287" w:type="dxa"/>
        <w:tblInd w:w="95" w:type="dxa"/>
        <w:tblLook w:val="04A0"/>
      </w:tblPr>
      <w:tblGrid>
        <w:gridCol w:w="711"/>
        <w:gridCol w:w="4264"/>
        <w:gridCol w:w="1318"/>
        <w:gridCol w:w="1318"/>
        <w:gridCol w:w="1406"/>
        <w:gridCol w:w="1270"/>
      </w:tblGrid>
      <w:tr w:rsidR="00DC64F2" w:rsidRPr="004761E0" w:rsidTr="00391B48">
        <w:trPr>
          <w:trHeight w:val="70"/>
        </w:trPr>
        <w:tc>
          <w:tcPr>
            <w:tcW w:w="711"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DC64F2" w:rsidRPr="004761E0" w:rsidRDefault="00DC64F2" w:rsidP="00DC64F2">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426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C64F2" w:rsidRPr="004761E0" w:rsidRDefault="00DC64F2" w:rsidP="00DC64F2">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31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C64F2" w:rsidRPr="004761E0" w:rsidRDefault="00DC64F2" w:rsidP="00DC64F2">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31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C64F2" w:rsidRPr="004761E0" w:rsidRDefault="00DC64F2" w:rsidP="00DC64F2">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40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C64F2" w:rsidRPr="004761E0" w:rsidRDefault="00DC64F2" w:rsidP="00DC64F2">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270"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DC64F2" w:rsidRPr="004761E0" w:rsidRDefault="00DC64F2" w:rsidP="00DC64F2">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DC64F2" w:rsidRPr="004761E0" w:rsidTr="00391B48">
        <w:trPr>
          <w:trHeight w:val="300"/>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F2" w:rsidRPr="004761E0" w:rsidRDefault="00DC64F2" w:rsidP="007076A7">
            <w:pPr>
              <w:numPr>
                <w:ilvl w:val="0"/>
                <w:numId w:val="6"/>
              </w:numPr>
              <w:jc w:val="left"/>
              <w:rPr>
                <w:rFonts w:eastAsia="Times New Roman"/>
                <w:color w:val="000000"/>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DC64F2" w:rsidRPr="004761E0" w:rsidRDefault="00DC64F2" w:rsidP="00DC64F2">
            <w:pPr>
              <w:ind w:firstLine="0"/>
              <w:rPr>
                <w:rFonts w:eastAsia="Times New Roman"/>
                <w:color w:val="000000"/>
                <w:sz w:val="20"/>
                <w:szCs w:val="20"/>
                <w:lang w:eastAsia="ru-RU"/>
              </w:rPr>
            </w:pPr>
            <w:r w:rsidRPr="004761E0">
              <w:rPr>
                <w:rFonts w:eastAsia="Times New Roman"/>
                <w:color w:val="000000"/>
                <w:sz w:val="20"/>
                <w:szCs w:val="20"/>
                <w:lang w:eastAsia="ru-RU"/>
              </w:rPr>
              <w:t>Полезный отпуск «котловой», млн кВтч (всего), в т.ч.:</w:t>
            </w:r>
          </w:p>
        </w:tc>
        <w:tc>
          <w:tcPr>
            <w:tcW w:w="1318" w:type="dxa"/>
            <w:tcBorders>
              <w:top w:val="nil"/>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color w:val="000000"/>
                <w:sz w:val="20"/>
                <w:szCs w:val="20"/>
              </w:rPr>
            </w:pPr>
            <w:r w:rsidRPr="004761E0">
              <w:rPr>
                <w:color w:val="000000"/>
                <w:sz w:val="20"/>
                <w:szCs w:val="20"/>
              </w:rPr>
              <w:t>73 540</w:t>
            </w:r>
          </w:p>
        </w:tc>
        <w:tc>
          <w:tcPr>
            <w:tcW w:w="1318" w:type="dxa"/>
            <w:tcBorders>
              <w:top w:val="nil"/>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color w:val="000000"/>
                <w:sz w:val="20"/>
                <w:szCs w:val="20"/>
              </w:rPr>
            </w:pPr>
            <w:r w:rsidRPr="004761E0">
              <w:rPr>
                <w:color w:val="000000"/>
                <w:sz w:val="20"/>
                <w:szCs w:val="20"/>
              </w:rPr>
              <w:t>69 361</w:t>
            </w:r>
          </w:p>
        </w:tc>
        <w:tc>
          <w:tcPr>
            <w:tcW w:w="1406" w:type="dxa"/>
            <w:tcBorders>
              <w:top w:val="nil"/>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color w:val="000000"/>
                <w:sz w:val="20"/>
                <w:szCs w:val="20"/>
              </w:rPr>
            </w:pPr>
            <w:r w:rsidRPr="004761E0">
              <w:rPr>
                <w:color w:val="000000"/>
                <w:sz w:val="20"/>
                <w:szCs w:val="20"/>
              </w:rPr>
              <w:t>71 412</w:t>
            </w:r>
          </w:p>
        </w:tc>
        <w:tc>
          <w:tcPr>
            <w:tcW w:w="1270" w:type="dxa"/>
            <w:tcBorders>
              <w:top w:val="nil"/>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color w:val="000000"/>
                <w:sz w:val="20"/>
                <w:szCs w:val="20"/>
              </w:rPr>
            </w:pPr>
            <w:r w:rsidRPr="004761E0">
              <w:rPr>
                <w:color w:val="000000"/>
                <w:sz w:val="20"/>
                <w:szCs w:val="20"/>
              </w:rPr>
              <w:t>2,96 %</w:t>
            </w:r>
          </w:p>
        </w:tc>
      </w:tr>
      <w:tr w:rsidR="00DC64F2" w:rsidRPr="004761E0" w:rsidTr="00391B48">
        <w:trPr>
          <w:trHeight w:val="300"/>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F2" w:rsidRPr="004761E0" w:rsidRDefault="00DC64F2" w:rsidP="007076A7">
            <w:pPr>
              <w:numPr>
                <w:ilvl w:val="1"/>
                <w:numId w:val="6"/>
              </w:numPr>
              <w:jc w:val="left"/>
              <w:rPr>
                <w:rFonts w:eastAsia="Times New Roman"/>
                <w:color w:val="000000"/>
                <w:sz w:val="20"/>
                <w:szCs w:val="20"/>
                <w:lang w:eastAsia="ru-RU"/>
              </w:rPr>
            </w:pPr>
          </w:p>
        </w:tc>
        <w:tc>
          <w:tcPr>
            <w:tcW w:w="4264" w:type="dxa"/>
            <w:tcBorders>
              <w:top w:val="single" w:sz="4" w:space="0" w:color="auto"/>
              <w:left w:val="nil"/>
              <w:bottom w:val="single" w:sz="4" w:space="0" w:color="auto"/>
              <w:right w:val="single" w:sz="4" w:space="0" w:color="auto"/>
            </w:tcBorders>
            <w:shd w:val="clear" w:color="auto" w:fill="auto"/>
            <w:vAlign w:val="center"/>
            <w:hideMark/>
          </w:tcPr>
          <w:p w:rsidR="00DC64F2" w:rsidRPr="004761E0" w:rsidRDefault="00DC64F2" w:rsidP="00DC64F2">
            <w:pPr>
              <w:ind w:left="176" w:firstLine="0"/>
              <w:jc w:val="left"/>
              <w:rPr>
                <w:rFonts w:eastAsia="Times New Roman"/>
                <w:sz w:val="20"/>
                <w:szCs w:val="20"/>
                <w:lang w:eastAsia="ru-RU"/>
              </w:rPr>
            </w:pPr>
            <w:r w:rsidRPr="004761E0">
              <w:rPr>
                <w:rFonts w:eastAsia="Times New Roman"/>
                <w:sz w:val="20"/>
                <w:szCs w:val="20"/>
                <w:lang w:eastAsia="ru-RU"/>
              </w:rPr>
              <w:t>высокое напряжение (110-500 кВ)</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color w:val="000000"/>
                <w:sz w:val="20"/>
                <w:szCs w:val="20"/>
              </w:rPr>
            </w:pPr>
            <w:r w:rsidRPr="004761E0">
              <w:rPr>
                <w:color w:val="000000"/>
                <w:sz w:val="20"/>
                <w:szCs w:val="20"/>
              </w:rPr>
              <w:t>13 035</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color w:val="000000"/>
                <w:sz w:val="20"/>
                <w:szCs w:val="20"/>
              </w:rPr>
            </w:pPr>
            <w:r w:rsidRPr="004761E0">
              <w:rPr>
                <w:color w:val="000000"/>
                <w:sz w:val="20"/>
                <w:szCs w:val="20"/>
              </w:rPr>
              <w:t xml:space="preserve">13 209 </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color w:val="000000"/>
                <w:sz w:val="20"/>
                <w:szCs w:val="20"/>
              </w:rPr>
            </w:pPr>
            <w:r w:rsidRPr="004761E0">
              <w:rPr>
                <w:color w:val="000000"/>
                <w:sz w:val="20"/>
                <w:szCs w:val="20"/>
              </w:rPr>
              <w:t>13 868</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color w:val="000000"/>
                <w:sz w:val="20"/>
                <w:szCs w:val="20"/>
              </w:rPr>
            </w:pPr>
            <w:r w:rsidRPr="004761E0">
              <w:rPr>
                <w:color w:val="000000"/>
                <w:sz w:val="20"/>
                <w:szCs w:val="20"/>
              </w:rPr>
              <w:t>4,99 %</w:t>
            </w:r>
          </w:p>
        </w:tc>
      </w:tr>
      <w:tr w:rsidR="00DC64F2" w:rsidRPr="004761E0" w:rsidTr="00391B48">
        <w:trPr>
          <w:trHeight w:val="300"/>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F2" w:rsidRPr="004761E0" w:rsidRDefault="00DC64F2" w:rsidP="007076A7">
            <w:pPr>
              <w:numPr>
                <w:ilvl w:val="1"/>
                <w:numId w:val="6"/>
              </w:numPr>
              <w:jc w:val="left"/>
              <w:rPr>
                <w:rFonts w:eastAsia="Times New Roman"/>
                <w:color w:val="000000"/>
                <w:sz w:val="20"/>
                <w:szCs w:val="20"/>
                <w:lang w:eastAsia="ru-RU"/>
              </w:rPr>
            </w:pPr>
          </w:p>
        </w:tc>
        <w:tc>
          <w:tcPr>
            <w:tcW w:w="4264" w:type="dxa"/>
            <w:tcBorders>
              <w:top w:val="single" w:sz="4" w:space="0" w:color="auto"/>
              <w:left w:val="nil"/>
              <w:bottom w:val="single" w:sz="4" w:space="0" w:color="auto"/>
              <w:right w:val="single" w:sz="4" w:space="0" w:color="auto"/>
            </w:tcBorders>
            <w:shd w:val="clear" w:color="auto" w:fill="auto"/>
            <w:vAlign w:val="center"/>
            <w:hideMark/>
          </w:tcPr>
          <w:p w:rsidR="00DC64F2" w:rsidRPr="004761E0" w:rsidRDefault="00DC64F2" w:rsidP="00DC64F2">
            <w:pPr>
              <w:ind w:left="176" w:firstLine="0"/>
              <w:jc w:val="left"/>
              <w:rPr>
                <w:rFonts w:eastAsia="Times New Roman"/>
                <w:sz w:val="20"/>
                <w:szCs w:val="20"/>
                <w:lang w:eastAsia="ru-RU"/>
              </w:rPr>
            </w:pPr>
            <w:r w:rsidRPr="004761E0">
              <w:rPr>
                <w:rFonts w:eastAsia="Times New Roman"/>
                <w:sz w:val="20"/>
                <w:szCs w:val="20"/>
                <w:lang w:eastAsia="ru-RU"/>
              </w:rPr>
              <w:t>среднее напряжение-1 (35 кВ)</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color w:val="000000"/>
                <w:sz w:val="20"/>
                <w:szCs w:val="20"/>
              </w:rPr>
            </w:pPr>
            <w:r w:rsidRPr="004761E0">
              <w:rPr>
                <w:color w:val="000000"/>
                <w:sz w:val="20"/>
                <w:szCs w:val="20"/>
              </w:rPr>
              <w:t>1 135</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color w:val="000000"/>
                <w:sz w:val="20"/>
                <w:szCs w:val="20"/>
              </w:rPr>
            </w:pPr>
            <w:r w:rsidRPr="004761E0">
              <w:rPr>
                <w:color w:val="000000"/>
                <w:sz w:val="20"/>
                <w:szCs w:val="20"/>
              </w:rPr>
              <w:t>1 161</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color w:val="000000"/>
                <w:sz w:val="20"/>
                <w:szCs w:val="20"/>
              </w:rPr>
            </w:pPr>
            <w:r w:rsidRPr="004761E0">
              <w:rPr>
                <w:color w:val="000000"/>
                <w:sz w:val="20"/>
                <w:szCs w:val="20"/>
              </w:rPr>
              <w:t>1 174</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color w:val="000000"/>
                <w:sz w:val="20"/>
                <w:szCs w:val="20"/>
              </w:rPr>
            </w:pPr>
            <w:r w:rsidRPr="004761E0">
              <w:rPr>
                <w:color w:val="000000"/>
                <w:sz w:val="20"/>
                <w:szCs w:val="20"/>
              </w:rPr>
              <w:t>1,12 %</w:t>
            </w:r>
          </w:p>
        </w:tc>
      </w:tr>
      <w:tr w:rsidR="00DC64F2" w:rsidRPr="004761E0" w:rsidTr="00391B48">
        <w:trPr>
          <w:trHeight w:val="300"/>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F2" w:rsidRPr="004761E0" w:rsidRDefault="00DC64F2" w:rsidP="007076A7">
            <w:pPr>
              <w:numPr>
                <w:ilvl w:val="1"/>
                <w:numId w:val="6"/>
              </w:numPr>
              <w:jc w:val="left"/>
              <w:rPr>
                <w:rFonts w:eastAsia="Times New Roman"/>
                <w:color w:val="000000"/>
                <w:sz w:val="20"/>
                <w:szCs w:val="20"/>
                <w:lang w:eastAsia="ru-RU"/>
              </w:rPr>
            </w:pPr>
          </w:p>
        </w:tc>
        <w:tc>
          <w:tcPr>
            <w:tcW w:w="4264" w:type="dxa"/>
            <w:tcBorders>
              <w:top w:val="single" w:sz="4" w:space="0" w:color="auto"/>
              <w:left w:val="nil"/>
              <w:bottom w:val="single" w:sz="4" w:space="0" w:color="auto"/>
              <w:right w:val="single" w:sz="4" w:space="0" w:color="auto"/>
            </w:tcBorders>
            <w:shd w:val="clear" w:color="auto" w:fill="auto"/>
            <w:vAlign w:val="center"/>
            <w:hideMark/>
          </w:tcPr>
          <w:p w:rsidR="00DC64F2" w:rsidRPr="004761E0" w:rsidRDefault="00DC64F2" w:rsidP="00DC64F2">
            <w:pPr>
              <w:ind w:left="176" w:firstLine="0"/>
              <w:jc w:val="left"/>
              <w:rPr>
                <w:rFonts w:eastAsia="Times New Roman"/>
                <w:sz w:val="20"/>
                <w:szCs w:val="20"/>
                <w:lang w:eastAsia="ru-RU"/>
              </w:rPr>
            </w:pPr>
            <w:r w:rsidRPr="004761E0">
              <w:rPr>
                <w:rFonts w:eastAsia="Times New Roman"/>
                <w:sz w:val="20"/>
                <w:szCs w:val="20"/>
                <w:lang w:eastAsia="ru-RU"/>
              </w:rPr>
              <w:t>среднее напряжение-2 (1-20 кВ)</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color w:val="000000"/>
                <w:sz w:val="20"/>
                <w:szCs w:val="20"/>
              </w:rPr>
            </w:pPr>
            <w:r w:rsidRPr="004761E0">
              <w:rPr>
                <w:color w:val="000000"/>
                <w:sz w:val="20"/>
                <w:szCs w:val="20"/>
              </w:rPr>
              <w:t>27 237</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color w:val="000000"/>
                <w:sz w:val="20"/>
                <w:szCs w:val="20"/>
              </w:rPr>
            </w:pPr>
            <w:r w:rsidRPr="004761E0">
              <w:rPr>
                <w:color w:val="000000"/>
                <w:sz w:val="20"/>
                <w:szCs w:val="20"/>
              </w:rPr>
              <w:t>25 052</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color w:val="000000"/>
                <w:sz w:val="20"/>
                <w:szCs w:val="20"/>
              </w:rPr>
            </w:pPr>
            <w:r w:rsidRPr="004761E0">
              <w:rPr>
                <w:color w:val="000000"/>
                <w:sz w:val="20"/>
                <w:szCs w:val="20"/>
              </w:rPr>
              <w:t>26 114</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color w:val="000000"/>
                <w:sz w:val="20"/>
                <w:szCs w:val="20"/>
              </w:rPr>
            </w:pPr>
            <w:r w:rsidRPr="004761E0">
              <w:rPr>
                <w:color w:val="000000"/>
                <w:sz w:val="20"/>
                <w:szCs w:val="20"/>
              </w:rPr>
              <w:t>4,24 %</w:t>
            </w:r>
          </w:p>
        </w:tc>
      </w:tr>
      <w:tr w:rsidR="00DC64F2" w:rsidRPr="004761E0" w:rsidTr="00391B48">
        <w:trPr>
          <w:trHeight w:val="300"/>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F2" w:rsidRPr="004761E0" w:rsidRDefault="00DC64F2" w:rsidP="007076A7">
            <w:pPr>
              <w:numPr>
                <w:ilvl w:val="1"/>
                <w:numId w:val="6"/>
              </w:numPr>
              <w:jc w:val="left"/>
              <w:rPr>
                <w:rFonts w:eastAsia="Times New Roman"/>
                <w:color w:val="000000"/>
                <w:sz w:val="20"/>
                <w:szCs w:val="20"/>
                <w:lang w:eastAsia="ru-RU"/>
              </w:rPr>
            </w:pPr>
          </w:p>
        </w:tc>
        <w:tc>
          <w:tcPr>
            <w:tcW w:w="4264" w:type="dxa"/>
            <w:tcBorders>
              <w:top w:val="single" w:sz="4" w:space="0" w:color="auto"/>
              <w:left w:val="nil"/>
              <w:bottom w:val="single" w:sz="4" w:space="0" w:color="auto"/>
              <w:right w:val="single" w:sz="4" w:space="0" w:color="auto"/>
            </w:tcBorders>
            <w:shd w:val="clear" w:color="auto" w:fill="auto"/>
            <w:vAlign w:val="center"/>
            <w:hideMark/>
          </w:tcPr>
          <w:p w:rsidR="00DC64F2" w:rsidRPr="004761E0" w:rsidRDefault="00DC64F2" w:rsidP="00DC64F2">
            <w:pPr>
              <w:ind w:left="176" w:firstLine="0"/>
              <w:jc w:val="left"/>
              <w:rPr>
                <w:rFonts w:eastAsia="Times New Roman"/>
                <w:sz w:val="20"/>
                <w:szCs w:val="20"/>
                <w:lang w:eastAsia="ru-RU"/>
              </w:rPr>
            </w:pPr>
            <w:r w:rsidRPr="004761E0">
              <w:rPr>
                <w:rFonts w:eastAsia="Times New Roman"/>
                <w:sz w:val="20"/>
                <w:szCs w:val="20"/>
                <w:lang w:eastAsia="ru-RU"/>
              </w:rPr>
              <w:t>низкое напряжение (0,4 кВ и ниже)</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color w:val="000000"/>
                <w:sz w:val="20"/>
                <w:szCs w:val="20"/>
              </w:rPr>
            </w:pPr>
            <w:r w:rsidRPr="004761E0">
              <w:rPr>
                <w:color w:val="000000"/>
                <w:sz w:val="20"/>
                <w:szCs w:val="20"/>
              </w:rPr>
              <w:t>32 133</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color w:val="000000"/>
                <w:sz w:val="20"/>
                <w:szCs w:val="20"/>
              </w:rPr>
            </w:pPr>
            <w:r w:rsidRPr="004761E0">
              <w:rPr>
                <w:color w:val="000000"/>
                <w:sz w:val="20"/>
                <w:szCs w:val="20"/>
              </w:rPr>
              <w:t>29 939</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color w:val="000000"/>
                <w:sz w:val="20"/>
                <w:szCs w:val="20"/>
              </w:rPr>
            </w:pPr>
            <w:r w:rsidRPr="004761E0">
              <w:rPr>
                <w:color w:val="000000"/>
                <w:sz w:val="20"/>
                <w:szCs w:val="20"/>
              </w:rPr>
              <w:t>30 256</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DC64F2" w:rsidRPr="004761E0" w:rsidRDefault="00DC64F2" w:rsidP="00DC64F2">
            <w:pPr>
              <w:ind w:firstLine="0"/>
              <w:jc w:val="right"/>
              <w:rPr>
                <w:color w:val="000000"/>
                <w:sz w:val="20"/>
                <w:szCs w:val="20"/>
              </w:rPr>
            </w:pPr>
            <w:r w:rsidRPr="004761E0">
              <w:rPr>
                <w:color w:val="000000"/>
                <w:sz w:val="20"/>
                <w:szCs w:val="20"/>
              </w:rPr>
              <w:t>1,06 %</w:t>
            </w:r>
          </w:p>
        </w:tc>
      </w:tr>
    </w:tbl>
    <w:p w:rsidR="00DC64F2" w:rsidRPr="004761E0" w:rsidRDefault="00DC64F2" w:rsidP="00DC64F2">
      <w:pPr>
        <w:spacing w:before="120" w:after="120"/>
        <w:ind w:firstLine="0"/>
        <w:rPr>
          <w:rFonts w:eastAsia="Times New Roman"/>
          <w:b/>
          <w:iCs/>
          <w:color w:val="000000"/>
          <w:sz w:val="26"/>
          <w:szCs w:val="26"/>
          <w:lang w:eastAsia="ru-RU"/>
        </w:rPr>
      </w:pPr>
      <w:r w:rsidRPr="004761E0">
        <w:rPr>
          <w:rFonts w:eastAsia="Times New Roman"/>
          <w:b/>
          <w:iCs/>
          <w:noProof/>
          <w:color w:val="000000"/>
          <w:sz w:val="26"/>
          <w:szCs w:val="26"/>
          <w:lang w:eastAsia="ru-RU"/>
        </w:rPr>
        <w:lastRenderedPageBreak/>
        <w:drawing>
          <wp:inline distT="0" distB="0" distL="0" distR="0">
            <wp:extent cx="3856008" cy="2613804"/>
            <wp:effectExtent l="19050" t="0" r="11142" b="0"/>
            <wp:docPr id="23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C0C74" w:rsidRDefault="008C0C74">
      <w:pPr>
        <w:ind w:firstLine="0"/>
        <w:jc w:val="left"/>
        <w:rPr>
          <w:b/>
          <w:sz w:val="26"/>
          <w:szCs w:val="26"/>
          <w:lang w:eastAsia="ru-RU"/>
        </w:rPr>
      </w:pPr>
      <w:r>
        <w:rPr>
          <w:b/>
          <w:sz w:val="26"/>
          <w:szCs w:val="26"/>
          <w:lang w:eastAsia="ru-RU"/>
        </w:rPr>
        <w:br w:type="page"/>
      </w:r>
    </w:p>
    <w:p w:rsidR="0088058E" w:rsidRPr="004761E0" w:rsidRDefault="00E34ACB" w:rsidP="007076A7">
      <w:pPr>
        <w:pStyle w:val="a8"/>
        <w:numPr>
          <w:ilvl w:val="1"/>
          <w:numId w:val="321"/>
        </w:numPr>
        <w:spacing w:before="120" w:after="120"/>
        <w:ind w:left="1134" w:hanging="567"/>
        <w:jc w:val="both"/>
        <w:rPr>
          <w:rFonts w:ascii="Times New Roman" w:hAnsi="Times New Roman"/>
          <w:b/>
          <w:sz w:val="26"/>
          <w:szCs w:val="26"/>
          <w:lang w:eastAsia="ru-RU"/>
        </w:rPr>
      </w:pPr>
      <w:bookmarkStart w:id="45" w:name="_Toc380576908"/>
      <w:bookmarkStart w:id="46" w:name="_Toc385339806"/>
      <w:r w:rsidRPr="004761E0">
        <w:rPr>
          <w:rFonts w:ascii="Times New Roman" w:hAnsi="Times New Roman"/>
          <w:b/>
          <w:sz w:val="26"/>
          <w:szCs w:val="26"/>
        </w:rPr>
        <w:lastRenderedPageBreak/>
        <w:t>Энергосбережение и повышение энергоэффективности</w:t>
      </w:r>
      <w:bookmarkEnd w:id="45"/>
      <w:bookmarkEnd w:id="46"/>
    </w:p>
    <w:p w:rsidR="00DA4470" w:rsidRPr="004761E0" w:rsidRDefault="00DA4470" w:rsidP="00DA4470">
      <w:pPr>
        <w:ind w:firstLine="567"/>
        <w:rPr>
          <w:sz w:val="26"/>
          <w:szCs w:val="26"/>
          <w:lang w:eastAsia="ru-RU"/>
        </w:rPr>
      </w:pPr>
      <w:r w:rsidRPr="004761E0">
        <w:rPr>
          <w:sz w:val="26"/>
          <w:szCs w:val="26"/>
          <w:lang w:eastAsia="ru-RU"/>
        </w:rPr>
        <w:t xml:space="preserve">Мероприятия по энергосбережению и повышению энергетической эффективности </w:t>
      </w:r>
      <w:r w:rsidR="0008080E">
        <w:rPr>
          <w:sz w:val="26"/>
          <w:szCs w:val="26"/>
          <w:lang w:eastAsia="ru-RU"/>
        </w:rPr>
        <w:t>ОАО </w:t>
      </w:r>
      <w:r w:rsidRPr="004761E0">
        <w:rPr>
          <w:sz w:val="26"/>
          <w:szCs w:val="26"/>
          <w:lang w:eastAsia="ru-RU"/>
        </w:rPr>
        <w:t>«МОЭСК» в 2013 году выполнялась в соответствии с действующим законодательством РФ в области энергосбережения</w:t>
      </w:r>
      <w:r w:rsidRPr="006F4AB8">
        <w:rPr>
          <w:rStyle w:val="af1"/>
        </w:rPr>
        <w:footnoteReference w:id="34"/>
      </w:r>
      <w:r w:rsidRPr="004761E0">
        <w:rPr>
          <w:sz w:val="26"/>
          <w:szCs w:val="26"/>
          <w:lang w:eastAsia="ru-RU"/>
        </w:rPr>
        <w:t xml:space="preserve"> и Программой энергосбережения и повышения энергетической эффективности </w:t>
      </w:r>
      <w:r w:rsidR="0008080E">
        <w:rPr>
          <w:sz w:val="26"/>
          <w:szCs w:val="26"/>
          <w:lang w:eastAsia="ru-RU"/>
        </w:rPr>
        <w:t>ОАО </w:t>
      </w:r>
      <w:r w:rsidRPr="004761E0">
        <w:rPr>
          <w:sz w:val="26"/>
          <w:szCs w:val="26"/>
          <w:lang w:eastAsia="ru-RU"/>
        </w:rPr>
        <w:t>«МОЭСК» на период 2013-2018 гг.</w:t>
      </w:r>
      <w:r w:rsidRPr="006F4AB8">
        <w:rPr>
          <w:rStyle w:val="af1"/>
        </w:rPr>
        <w:footnoteReference w:id="35"/>
      </w:r>
      <w:r w:rsidRPr="004761E0">
        <w:rPr>
          <w:sz w:val="26"/>
          <w:szCs w:val="26"/>
          <w:lang w:eastAsia="ru-RU"/>
        </w:rPr>
        <w:t xml:space="preserve"> (далее в разделе – Программа).</w:t>
      </w:r>
    </w:p>
    <w:p w:rsidR="00DA4470" w:rsidRPr="004761E0" w:rsidRDefault="00DA4470" w:rsidP="00DA4470">
      <w:pPr>
        <w:rPr>
          <w:sz w:val="26"/>
          <w:szCs w:val="26"/>
        </w:rPr>
      </w:pPr>
      <w:r w:rsidRPr="004761E0">
        <w:rPr>
          <w:sz w:val="26"/>
          <w:szCs w:val="26"/>
        </w:rPr>
        <w:t>Программа состоит из разделов, целевых подпрограмм (мероприятий) и сопутствующих мероприятий, делящихся, в свою очередь, на мероприятия по снижению потерь электроэнергии при передаче и распределении по электрическим сетям и мероприятия по снижению расхода энергетических ресурсов на объектах производственных и хозяйственных нужд и подразделяющихся на организационные и технические мероприятия</w:t>
      </w:r>
      <w:r w:rsidRPr="006F4AB8">
        <w:rPr>
          <w:rStyle w:val="af1"/>
        </w:rPr>
        <w:footnoteReference w:id="36"/>
      </w:r>
      <w:r w:rsidRPr="004761E0">
        <w:rPr>
          <w:sz w:val="26"/>
          <w:szCs w:val="26"/>
        </w:rPr>
        <w:t>.</w:t>
      </w:r>
    </w:p>
    <w:p w:rsidR="00DA4470" w:rsidRPr="004761E0" w:rsidRDefault="00DA4470" w:rsidP="00DA4470">
      <w:pPr>
        <w:ind w:firstLine="0"/>
        <w:jc w:val="center"/>
        <w:rPr>
          <w:sz w:val="26"/>
          <w:szCs w:val="26"/>
          <w:lang w:eastAsia="ru-RU"/>
        </w:rPr>
      </w:pPr>
      <w:r w:rsidRPr="004761E0">
        <w:rPr>
          <w:noProof/>
          <w:sz w:val="26"/>
          <w:szCs w:val="26"/>
          <w:lang w:eastAsia="ru-RU"/>
        </w:rPr>
        <w:drawing>
          <wp:inline distT="0" distB="0" distL="0" distR="0">
            <wp:extent cx="2590800" cy="2000250"/>
            <wp:effectExtent l="19050" t="0" r="0" b="0"/>
            <wp:docPr id="2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6" cstate="print"/>
                    <a:srcRect/>
                    <a:stretch>
                      <a:fillRect/>
                    </a:stretch>
                  </pic:blipFill>
                  <pic:spPr bwMode="auto">
                    <a:xfrm>
                      <a:off x="0" y="0"/>
                      <a:ext cx="2590800" cy="2000250"/>
                    </a:xfrm>
                    <a:prstGeom prst="rect">
                      <a:avLst/>
                    </a:prstGeom>
                    <a:noFill/>
                    <a:ln w="9525">
                      <a:noFill/>
                      <a:miter lim="800000"/>
                      <a:headEnd/>
                      <a:tailEnd/>
                    </a:ln>
                  </pic:spPr>
                </pic:pic>
              </a:graphicData>
            </a:graphic>
          </wp:inline>
        </w:drawing>
      </w:r>
    </w:p>
    <w:p w:rsidR="00DA4470" w:rsidRPr="004761E0" w:rsidRDefault="00DA4470" w:rsidP="00DA4470">
      <w:pPr>
        <w:ind w:firstLine="567"/>
        <w:rPr>
          <w:sz w:val="26"/>
          <w:szCs w:val="26"/>
          <w:lang w:eastAsia="ru-RU"/>
        </w:rPr>
      </w:pPr>
      <w:r w:rsidRPr="004761E0">
        <w:rPr>
          <w:sz w:val="26"/>
          <w:szCs w:val="26"/>
          <w:lang w:eastAsia="ru-RU"/>
        </w:rPr>
        <w:t>В соответствии с Программой приняты следующие целевые показатели:</w:t>
      </w:r>
    </w:p>
    <w:p w:rsidR="00DA4470" w:rsidRPr="004761E0" w:rsidRDefault="00DA4470" w:rsidP="007076A7">
      <w:pPr>
        <w:pStyle w:val="a5"/>
        <w:numPr>
          <w:ilvl w:val="0"/>
          <w:numId w:val="235"/>
        </w:numPr>
        <w:ind w:left="1134" w:hanging="425"/>
        <w:contextualSpacing w:val="0"/>
        <w:rPr>
          <w:sz w:val="26"/>
          <w:szCs w:val="26"/>
          <w:lang w:eastAsia="ru-RU"/>
        </w:rPr>
      </w:pPr>
      <w:r w:rsidRPr="004761E0">
        <w:rPr>
          <w:sz w:val="26"/>
          <w:szCs w:val="26"/>
          <w:lang w:eastAsia="ru-RU"/>
        </w:rPr>
        <w:t xml:space="preserve">потери электроэнергии при передаче и распределении по электрическим сетям; </w:t>
      </w:r>
    </w:p>
    <w:p w:rsidR="00DA4470" w:rsidRPr="004761E0" w:rsidRDefault="00DA4470" w:rsidP="007076A7">
      <w:pPr>
        <w:pStyle w:val="a5"/>
        <w:numPr>
          <w:ilvl w:val="0"/>
          <w:numId w:val="235"/>
        </w:numPr>
        <w:ind w:left="1134" w:hanging="425"/>
        <w:contextualSpacing w:val="0"/>
        <w:rPr>
          <w:sz w:val="26"/>
          <w:szCs w:val="26"/>
          <w:lang w:eastAsia="ru-RU"/>
        </w:rPr>
      </w:pPr>
      <w:r w:rsidRPr="004761E0">
        <w:rPr>
          <w:sz w:val="26"/>
          <w:szCs w:val="26"/>
          <w:lang w:eastAsia="ru-RU"/>
        </w:rPr>
        <w:t>потребление топливно-энергетических ресурсов на хозяйственные нужды (в т.ч. электроэнергия, тепловая энергия, газ, дизельное топливо, керосин, бензин и пр.);</w:t>
      </w:r>
    </w:p>
    <w:p w:rsidR="00DA4470" w:rsidRPr="004761E0" w:rsidRDefault="00DA4470" w:rsidP="007076A7">
      <w:pPr>
        <w:pStyle w:val="a5"/>
        <w:numPr>
          <w:ilvl w:val="0"/>
          <w:numId w:val="235"/>
        </w:numPr>
        <w:ind w:left="1134" w:hanging="425"/>
        <w:contextualSpacing w:val="0"/>
        <w:rPr>
          <w:sz w:val="26"/>
          <w:szCs w:val="26"/>
          <w:lang w:eastAsia="ru-RU"/>
        </w:rPr>
      </w:pPr>
      <w:r w:rsidRPr="004761E0">
        <w:rPr>
          <w:sz w:val="26"/>
          <w:szCs w:val="26"/>
          <w:lang w:eastAsia="ru-RU"/>
        </w:rPr>
        <w:t>оснащенность потребителей современными приборами учета электроэнергии на розничном рынке.</w:t>
      </w:r>
    </w:p>
    <w:p w:rsidR="00DA4470" w:rsidRPr="004761E0" w:rsidRDefault="00DA4470" w:rsidP="00DA4470">
      <w:pPr>
        <w:spacing w:before="120" w:after="120"/>
        <w:ind w:firstLine="567"/>
        <w:rPr>
          <w:b/>
          <w:sz w:val="26"/>
          <w:szCs w:val="26"/>
          <w:lang w:eastAsia="ru-RU"/>
        </w:rPr>
      </w:pPr>
      <w:r w:rsidRPr="004761E0">
        <w:rPr>
          <w:b/>
          <w:sz w:val="26"/>
          <w:szCs w:val="26"/>
          <w:lang w:eastAsia="ru-RU"/>
        </w:rPr>
        <w:lastRenderedPageBreak/>
        <w:t>Мероприятия по снижению и недопущению потерь электроэнергии при передаче и распределении по электрическим сетям, проведенные в 2013 году</w:t>
      </w:r>
    </w:p>
    <w:tbl>
      <w:tblPr>
        <w:tblW w:w="5000" w:type="pct"/>
        <w:tblLook w:val="04A0"/>
      </w:tblPr>
      <w:tblGrid>
        <w:gridCol w:w="843"/>
        <w:gridCol w:w="6884"/>
        <w:gridCol w:w="1098"/>
        <w:gridCol w:w="1596"/>
      </w:tblGrid>
      <w:tr w:rsidR="00DA4470" w:rsidRPr="004761E0" w:rsidTr="00DA4470">
        <w:trPr>
          <w:trHeight w:val="300"/>
        </w:trPr>
        <w:tc>
          <w:tcPr>
            <w:tcW w:w="404" w:type="pct"/>
            <w:vMerge w:val="restart"/>
            <w:tcBorders>
              <w:top w:val="single" w:sz="4" w:space="0" w:color="auto"/>
              <w:left w:val="single" w:sz="4" w:space="0" w:color="auto"/>
              <w:bottom w:val="single" w:sz="4" w:space="0" w:color="FFFFFF"/>
              <w:right w:val="single" w:sz="4" w:space="0" w:color="FFFFFF"/>
            </w:tcBorders>
            <w:shd w:val="clear" w:color="auto" w:fill="0F243E"/>
            <w:vAlign w:val="center"/>
            <w:hideMark/>
          </w:tcPr>
          <w:p w:rsidR="00DA4470" w:rsidRPr="004761E0" w:rsidRDefault="00DA4470" w:rsidP="00DA4470">
            <w:pPr>
              <w:ind w:firstLine="0"/>
              <w:jc w:val="left"/>
              <w:rPr>
                <w:rFonts w:eastAsia="Times New Roman"/>
                <w:b/>
                <w:color w:val="FFFFFF"/>
                <w:sz w:val="20"/>
                <w:szCs w:val="20"/>
                <w:lang w:eastAsia="ru-RU"/>
              </w:rPr>
            </w:pPr>
            <w:r w:rsidRPr="004761E0">
              <w:rPr>
                <w:rFonts w:eastAsia="Times New Roman"/>
                <w:b/>
                <w:color w:val="FFFFFF"/>
                <w:sz w:val="20"/>
                <w:szCs w:val="20"/>
                <w:lang w:eastAsia="ru-RU"/>
              </w:rPr>
              <w:t>№ п/п</w:t>
            </w:r>
          </w:p>
        </w:tc>
        <w:tc>
          <w:tcPr>
            <w:tcW w:w="3303" w:type="pct"/>
            <w:vMerge w:val="restart"/>
            <w:tcBorders>
              <w:top w:val="single" w:sz="4" w:space="0" w:color="auto"/>
              <w:left w:val="single" w:sz="4" w:space="0" w:color="FFFFFF"/>
              <w:bottom w:val="single" w:sz="4" w:space="0" w:color="FFFFFF"/>
              <w:right w:val="single" w:sz="4" w:space="0" w:color="FFFFFF"/>
            </w:tcBorders>
            <w:shd w:val="clear" w:color="auto" w:fill="0F243E"/>
            <w:vAlign w:val="center"/>
            <w:hideMark/>
          </w:tcPr>
          <w:p w:rsidR="00DA4470" w:rsidRPr="004761E0" w:rsidRDefault="00DA4470" w:rsidP="00DA4470">
            <w:pPr>
              <w:ind w:firstLine="0"/>
              <w:jc w:val="left"/>
              <w:rPr>
                <w:rFonts w:eastAsia="Times New Roman"/>
                <w:b/>
                <w:color w:val="FFFFFF"/>
                <w:sz w:val="20"/>
                <w:szCs w:val="20"/>
                <w:lang w:eastAsia="ru-RU"/>
              </w:rPr>
            </w:pPr>
            <w:r w:rsidRPr="004761E0">
              <w:rPr>
                <w:rFonts w:eastAsia="Times New Roman"/>
                <w:b/>
                <w:color w:val="FFFFFF"/>
                <w:sz w:val="20"/>
                <w:szCs w:val="20"/>
                <w:lang w:eastAsia="ru-RU"/>
              </w:rPr>
              <w:t>Наименование категории</w:t>
            </w:r>
          </w:p>
        </w:tc>
        <w:tc>
          <w:tcPr>
            <w:tcW w:w="1293" w:type="pct"/>
            <w:gridSpan w:val="2"/>
            <w:tcBorders>
              <w:top w:val="single" w:sz="4" w:space="0" w:color="auto"/>
              <w:left w:val="single" w:sz="4" w:space="0" w:color="FFFFFF"/>
              <w:bottom w:val="single" w:sz="4" w:space="0" w:color="FFFFFF"/>
              <w:right w:val="single" w:sz="4" w:space="0" w:color="FFFFFF"/>
            </w:tcBorders>
            <w:shd w:val="clear" w:color="auto" w:fill="0F243E"/>
            <w:vAlign w:val="center"/>
          </w:tcPr>
          <w:p w:rsidR="00DA4470" w:rsidRPr="004761E0" w:rsidRDefault="00DA4470" w:rsidP="00DA4470">
            <w:pPr>
              <w:ind w:firstLine="0"/>
              <w:jc w:val="right"/>
              <w:rPr>
                <w:rFonts w:eastAsia="Times New Roman"/>
                <w:b/>
                <w:color w:val="FFFFFF"/>
                <w:sz w:val="20"/>
                <w:szCs w:val="20"/>
                <w:lang w:eastAsia="ru-RU"/>
              </w:rPr>
            </w:pPr>
            <w:r w:rsidRPr="004761E0">
              <w:rPr>
                <w:rFonts w:eastAsia="Times New Roman"/>
                <w:b/>
                <w:color w:val="FFFFFF"/>
                <w:sz w:val="20"/>
                <w:szCs w:val="20"/>
                <w:lang w:eastAsia="ru-RU"/>
              </w:rPr>
              <w:t>Эффект от реализации мероприятий</w:t>
            </w:r>
          </w:p>
        </w:tc>
      </w:tr>
      <w:tr w:rsidR="00DA4470" w:rsidRPr="004761E0" w:rsidTr="00DA4470">
        <w:trPr>
          <w:trHeight w:val="300"/>
        </w:trPr>
        <w:tc>
          <w:tcPr>
            <w:tcW w:w="404" w:type="pct"/>
            <w:vMerge/>
            <w:tcBorders>
              <w:top w:val="single" w:sz="4" w:space="0" w:color="FFFFFF"/>
              <w:left w:val="single" w:sz="4" w:space="0" w:color="auto"/>
              <w:bottom w:val="single" w:sz="4" w:space="0" w:color="auto"/>
              <w:right w:val="single" w:sz="4" w:space="0" w:color="FFFFFF"/>
            </w:tcBorders>
            <w:shd w:val="clear" w:color="auto" w:fill="0F243E"/>
            <w:vAlign w:val="center"/>
          </w:tcPr>
          <w:p w:rsidR="00DA4470" w:rsidRPr="004761E0" w:rsidRDefault="00DA4470" w:rsidP="00DA4470">
            <w:pPr>
              <w:ind w:firstLine="0"/>
              <w:jc w:val="left"/>
              <w:rPr>
                <w:rFonts w:eastAsia="Times New Roman"/>
                <w:b/>
                <w:color w:val="FFFFFF"/>
                <w:sz w:val="20"/>
                <w:szCs w:val="20"/>
                <w:lang w:eastAsia="ru-RU"/>
              </w:rPr>
            </w:pPr>
          </w:p>
        </w:tc>
        <w:tc>
          <w:tcPr>
            <w:tcW w:w="3303" w:type="pct"/>
            <w:vMerge/>
            <w:tcBorders>
              <w:top w:val="single" w:sz="4" w:space="0" w:color="FFFFFF"/>
              <w:left w:val="single" w:sz="4" w:space="0" w:color="FFFFFF"/>
              <w:bottom w:val="single" w:sz="4" w:space="0" w:color="auto"/>
              <w:right w:val="single" w:sz="4" w:space="0" w:color="FFFFFF"/>
            </w:tcBorders>
            <w:shd w:val="clear" w:color="auto" w:fill="0F243E"/>
            <w:vAlign w:val="center"/>
          </w:tcPr>
          <w:p w:rsidR="00DA4470" w:rsidRPr="004761E0" w:rsidRDefault="00DA4470" w:rsidP="00DA4470">
            <w:pPr>
              <w:ind w:firstLine="0"/>
              <w:jc w:val="left"/>
              <w:rPr>
                <w:rFonts w:eastAsia="Times New Roman"/>
                <w:b/>
                <w:color w:val="FFFFFF"/>
                <w:sz w:val="20"/>
                <w:szCs w:val="20"/>
                <w:lang w:eastAsia="ru-RU"/>
              </w:rPr>
            </w:pPr>
          </w:p>
        </w:tc>
        <w:tc>
          <w:tcPr>
            <w:tcW w:w="527" w:type="pct"/>
            <w:tcBorders>
              <w:top w:val="single" w:sz="4" w:space="0" w:color="FFFFFF"/>
              <w:left w:val="single" w:sz="4" w:space="0" w:color="FFFFFF"/>
              <w:bottom w:val="single" w:sz="4" w:space="0" w:color="auto"/>
              <w:right w:val="single" w:sz="4" w:space="0" w:color="FFFFFF"/>
            </w:tcBorders>
            <w:shd w:val="clear" w:color="auto" w:fill="0F243E"/>
            <w:vAlign w:val="center"/>
          </w:tcPr>
          <w:p w:rsidR="00DA4470" w:rsidRPr="004761E0" w:rsidRDefault="00DA4470" w:rsidP="00DA4470">
            <w:pPr>
              <w:ind w:firstLine="0"/>
              <w:jc w:val="right"/>
              <w:rPr>
                <w:rFonts w:eastAsia="Times New Roman"/>
                <w:b/>
                <w:color w:val="FFFFFF"/>
                <w:sz w:val="20"/>
                <w:szCs w:val="20"/>
                <w:lang w:eastAsia="ru-RU"/>
              </w:rPr>
            </w:pPr>
            <w:r w:rsidRPr="004761E0">
              <w:rPr>
                <w:rFonts w:eastAsia="Times New Roman"/>
                <w:b/>
                <w:color w:val="FFFFFF"/>
                <w:sz w:val="20"/>
                <w:szCs w:val="20"/>
                <w:lang w:eastAsia="ru-RU"/>
              </w:rPr>
              <w:t>млн кВтч</w:t>
            </w:r>
          </w:p>
        </w:tc>
        <w:tc>
          <w:tcPr>
            <w:tcW w:w="765" w:type="pct"/>
            <w:tcBorders>
              <w:top w:val="single" w:sz="4" w:space="0" w:color="FFFFFF"/>
              <w:left w:val="single" w:sz="4" w:space="0" w:color="FFFFFF"/>
              <w:bottom w:val="single" w:sz="4" w:space="0" w:color="auto"/>
              <w:right w:val="single" w:sz="4" w:space="0" w:color="FFFFFF"/>
            </w:tcBorders>
            <w:shd w:val="clear" w:color="auto" w:fill="0F243E"/>
            <w:vAlign w:val="center"/>
          </w:tcPr>
          <w:p w:rsidR="00DA4470" w:rsidRPr="004761E0" w:rsidRDefault="00DA4470" w:rsidP="00DA4470">
            <w:pPr>
              <w:ind w:firstLine="0"/>
              <w:jc w:val="right"/>
              <w:rPr>
                <w:rFonts w:eastAsia="Times New Roman"/>
                <w:b/>
                <w:color w:val="FFFFFF"/>
                <w:sz w:val="20"/>
                <w:szCs w:val="20"/>
                <w:lang w:eastAsia="ru-RU"/>
              </w:rPr>
            </w:pPr>
            <w:r w:rsidRPr="004761E0">
              <w:rPr>
                <w:rFonts w:eastAsia="Times New Roman"/>
                <w:b/>
                <w:color w:val="FFFFFF"/>
                <w:sz w:val="20"/>
                <w:szCs w:val="20"/>
                <w:lang w:eastAsia="ru-RU"/>
              </w:rPr>
              <w:t xml:space="preserve">млн руб. </w:t>
            </w:r>
          </w:p>
          <w:p w:rsidR="00DA4470" w:rsidRPr="004761E0" w:rsidRDefault="00DA4470" w:rsidP="00DA4470">
            <w:pPr>
              <w:ind w:firstLine="0"/>
              <w:jc w:val="right"/>
              <w:rPr>
                <w:rFonts w:eastAsia="Times New Roman"/>
                <w:b/>
                <w:color w:val="FFFFFF"/>
                <w:sz w:val="20"/>
                <w:szCs w:val="20"/>
                <w:lang w:eastAsia="ru-RU"/>
              </w:rPr>
            </w:pPr>
            <w:r w:rsidRPr="004761E0">
              <w:rPr>
                <w:rFonts w:eastAsia="Times New Roman"/>
                <w:b/>
                <w:color w:val="FFFFFF"/>
                <w:sz w:val="20"/>
                <w:szCs w:val="20"/>
                <w:lang w:eastAsia="ru-RU"/>
              </w:rPr>
              <w:t>без НДС</w:t>
            </w:r>
          </w:p>
        </w:tc>
      </w:tr>
      <w:tr w:rsidR="00DA4470" w:rsidRPr="004761E0" w:rsidTr="00DA4470">
        <w:trPr>
          <w:trHeight w:val="30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DA4470" w:rsidRPr="004761E0" w:rsidRDefault="00DA4470" w:rsidP="007076A7">
            <w:pPr>
              <w:numPr>
                <w:ilvl w:val="0"/>
                <w:numId w:val="47"/>
              </w:numPr>
              <w:jc w:val="left"/>
              <w:rPr>
                <w:rFonts w:eastAsia="Times New Roman"/>
                <w:color w:val="000000"/>
                <w:sz w:val="20"/>
                <w:szCs w:val="20"/>
                <w:lang w:eastAsia="ru-RU"/>
              </w:rPr>
            </w:pPr>
          </w:p>
        </w:tc>
        <w:tc>
          <w:tcPr>
            <w:tcW w:w="3303" w:type="pct"/>
            <w:tcBorders>
              <w:top w:val="nil"/>
              <w:left w:val="nil"/>
              <w:bottom w:val="single" w:sz="4" w:space="0" w:color="auto"/>
              <w:right w:val="single" w:sz="4" w:space="0" w:color="auto"/>
            </w:tcBorders>
            <w:shd w:val="clear" w:color="auto" w:fill="auto"/>
            <w:vAlign w:val="center"/>
          </w:tcPr>
          <w:p w:rsidR="00DA4470" w:rsidRPr="004761E0" w:rsidRDefault="00DA4470" w:rsidP="00DA4470">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Организационные мероприятия, в т.ч.:</w:t>
            </w:r>
          </w:p>
        </w:tc>
        <w:tc>
          <w:tcPr>
            <w:tcW w:w="527" w:type="pct"/>
            <w:tcBorders>
              <w:top w:val="nil"/>
              <w:left w:val="nil"/>
              <w:bottom w:val="single" w:sz="4" w:space="0" w:color="auto"/>
              <w:right w:val="single" w:sz="4" w:space="0" w:color="auto"/>
            </w:tcBorders>
            <w:shd w:val="clear" w:color="auto" w:fill="auto"/>
            <w:vAlign w:val="center"/>
          </w:tcPr>
          <w:p w:rsidR="00DA4470" w:rsidRPr="004761E0" w:rsidRDefault="00DA4470" w:rsidP="00DA4470">
            <w:pPr>
              <w:ind w:firstLine="0"/>
              <w:jc w:val="right"/>
              <w:rPr>
                <w:b/>
                <w:bCs/>
                <w:color w:val="000000"/>
                <w:sz w:val="20"/>
                <w:szCs w:val="20"/>
              </w:rPr>
            </w:pPr>
            <w:r w:rsidRPr="004761E0">
              <w:rPr>
                <w:b/>
                <w:bCs/>
                <w:color w:val="000000"/>
                <w:sz w:val="20"/>
                <w:szCs w:val="20"/>
              </w:rPr>
              <w:t>365,5</w:t>
            </w:r>
          </w:p>
        </w:tc>
        <w:tc>
          <w:tcPr>
            <w:tcW w:w="765" w:type="pct"/>
            <w:tcBorders>
              <w:top w:val="nil"/>
              <w:left w:val="nil"/>
              <w:bottom w:val="single" w:sz="4" w:space="0" w:color="auto"/>
              <w:right w:val="single" w:sz="4" w:space="0" w:color="auto"/>
            </w:tcBorders>
            <w:shd w:val="clear" w:color="auto" w:fill="auto"/>
            <w:vAlign w:val="center"/>
          </w:tcPr>
          <w:p w:rsidR="00DA4470" w:rsidRPr="004761E0" w:rsidRDefault="00DA4470" w:rsidP="00DA4470">
            <w:pPr>
              <w:ind w:firstLine="0"/>
              <w:jc w:val="right"/>
              <w:rPr>
                <w:b/>
                <w:bCs/>
                <w:color w:val="000000"/>
                <w:sz w:val="20"/>
                <w:szCs w:val="20"/>
              </w:rPr>
            </w:pPr>
            <w:r w:rsidRPr="004761E0">
              <w:rPr>
                <w:b/>
                <w:bCs/>
                <w:color w:val="000000"/>
                <w:sz w:val="20"/>
                <w:szCs w:val="20"/>
              </w:rPr>
              <w:t>1 118,0</w:t>
            </w:r>
          </w:p>
        </w:tc>
      </w:tr>
      <w:tr w:rsidR="00DA4470" w:rsidRPr="004761E0" w:rsidTr="00DA4470">
        <w:trPr>
          <w:trHeight w:val="300"/>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rsidR="00DA4470" w:rsidRPr="004761E0" w:rsidRDefault="00DA4470" w:rsidP="007076A7">
            <w:pPr>
              <w:pStyle w:val="a5"/>
              <w:numPr>
                <w:ilvl w:val="1"/>
                <w:numId w:val="47"/>
              </w:numPr>
              <w:jc w:val="left"/>
              <w:rPr>
                <w:rFonts w:eastAsia="Times New Roman"/>
                <w:color w:val="000000"/>
                <w:sz w:val="20"/>
                <w:szCs w:val="20"/>
                <w:lang w:eastAsia="ru-RU"/>
              </w:rPr>
            </w:pPr>
          </w:p>
        </w:tc>
        <w:tc>
          <w:tcPr>
            <w:tcW w:w="3303"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left="318" w:firstLine="0"/>
              <w:jc w:val="left"/>
              <w:rPr>
                <w:rFonts w:eastAsia="Times New Roman"/>
                <w:color w:val="000000"/>
                <w:sz w:val="20"/>
                <w:szCs w:val="20"/>
                <w:lang w:eastAsia="ru-RU"/>
              </w:rPr>
            </w:pPr>
            <w:r w:rsidRPr="004761E0">
              <w:rPr>
                <w:rFonts w:eastAsia="Times New Roman"/>
                <w:color w:val="000000"/>
                <w:sz w:val="20"/>
                <w:szCs w:val="20"/>
                <w:lang w:eastAsia="ru-RU"/>
              </w:rPr>
              <w:t>выявление безучетного электропотребления</w:t>
            </w:r>
          </w:p>
        </w:tc>
        <w:tc>
          <w:tcPr>
            <w:tcW w:w="527"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firstLine="0"/>
              <w:jc w:val="right"/>
              <w:rPr>
                <w:color w:val="000000"/>
                <w:sz w:val="20"/>
                <w:szCs w:val="20"/>
              </w:rPr>
            </w:pPr>
            <w:r w:rsidRPr="004761E0">
              <w:rPr>
                <w:color w:val="000000"/>
                <w:sz w:val="20"/>
                <w:szCs w:val="20"/>
              </w:rPr>
              <w:t>245,3</w:t>
            </w:r>
          </w:p>
        </w:tc>
        <w:tc>
          <w:tcPr>
            <w:tcW w:w="765"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firstLine="0"/>
              <w:jc w:val="right"/>
              <w:rPr>
                <w:color w:val="000000"/>
                <w:sz w:val="20"/>
                <w:szCs w:val="20"/>
              </w:rPr>
            </w:pPr>
            <w:r w:rsidRPr="004761E0">
              <w:rPr>
                <w:color w:val="000000"/>
                <w:sz w:val="20"/>
                <w:szCs w:val="20"/>
              </w:rPr>
              <w:t>781,7</w:t>
            </w:r>
          </w:p>
        </w:tc>
      </w:tr>
      <w:tr w:rsidR="00DA4470" w:rsidRPr="004761E0" w:rsidTr="00DA4470">
        <w:trPr>
          <w:trHeight w:val="300"/>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rsidR="00DA4470" w:rsidRPr="004761E0" w:rsidRDefault="00DA4470" w:rsidP="007076A7">
            <w:pPr>
              <w:pStyle w:val="a5"/>
              <w:numPr>
                <w:ilvl w:val="1"/>
                <w:numId w:val="47"/>
              </w:numPr>
              <w:jc w:val="left"/>
              <w:rPr>
                <w:rFonts w:eastAsia="Times New Roman"/>
                <w:color w:val="000000"/>
                <w:sz w:val="20"/>
                <w:szCs w:val="20"/>
                <w:lang w:eastAsia="ru-RU"/>
              </w:rPr>
            </w:pPr>
          </w:p>
        </w:tc>
        <w:tc>
          <w:tcPr>
            <w:tcW w:w="3303"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left="318" w:firstLine="0"/>
              <w:jc w:val="left"/>
              <w:rPr>
                <w:rFonts w:eastAsia="Times New Roman"/>
                <w:color w:val="000000"/>
                <w:sz w:val="20"/>
                <w:szCs w:val="20"/>
                <w:lang w:eastAsia="ru-RU"/>
              </w:rPr>
            </w:pPr>
            <w:r w:rsidRPr="004761E0">
              <w:rPr>
                <w:rFonts w:eastAsia="Times New Roman"/>
                <w:color w:val="000000"/>
                <w:sz w:val="20"/>
                <w:szCs w:val="20"/>
                <w:lang w:eastAsia="ru-RU"/>
              </w:rPr>
              <w:t>снятие показаний счетчиков электроэнергии у потребителей-юридических лиц и бытовых абонентов</w:t>
            </w:r>
          </w:p>
        </w:tc>
        <w:tc>
          <w:tcPr>
            <w:tcW w:w="527"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firstLine="0"/>
              <w:jc w:val="right"/>
              <w:rPr>
                <w:color w:val="000000"/>
                <w:sz w:val="20"/>
                <w:szCs w:val="20"/>
              </w:rPr>
            </w:pPr>
            <w:r w:rsidRPr="004761E0">
              <w:rPr>
                <w:color w:val="000000"/>
                <w:sz w:val="20"/>
                <w:szCs w:val="20"/>
              </w:rPr>
              <w:t>47,0</w:t>
            </w:r>
          </w:p>
        </w:tc>
        <w:tc>
          <w:tcPr>
            <w:tcW w:w="765"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firstLine="0"/>
              <w:jc w:val="right"/>
              <w:rPr>
                <w:color w:val="000000"/>
                <w:sz w:val="20"/>
                <w:szCs w:val="20"/>
              </w:rPr>
            </w:pPr>
            <w:r w:rsidRPr="004761E0">
              <w:rPr>
                <w:color w:val="000000"/>
                <w:sz w:val="20"/>
                <w:szCs w:val="20"/>
              </w:rPr>
              <w:t>74,2</w:t>
            </w:r>
          </w:p>
        </w:tc>
      </w:tr>
      <w:tr w:rsidR="00DA4470" w:rsidRPr="004761E0" w:rsidTr="00DA4470">
        <w:trPr>
          <w:trHeight w:val="300"/>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rsidR="00DA4470" w:rsidRPr="004761E0" w:rsidRDefault="00DA4470" w:rsidP="007076A7">
            <w:pPr>
              <w:pStyle w:val="a5"/>
              <w:numPr>
                <w:ilvl w:val="1"/>
                <w:numId w:val="47"/>
              </w:numPr>
              <w:jc w:val="left"/>
              <w:rPr>
                <w:rFonts w:eastAsia="Times New Roman"/>
                <w:color w:val="000000"/>
                <w:sz w:val="20"/>
                <w:szCs w:val="20"/>
                <w:lang w:eastAsia="ru-RU"/>
              </w:rPr>
            </w:pPr>
          </w:p>
        </w:tc>
        <w:tc>
          <w:tcPr>
            <w:tcW w:w="3303"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left="318" w:firstLine="0"/>
              <w:jc w:val="left"/>
              <w:rPr>
                <w:rFonts w:eastAsia="Times New Roman"/>
                <w:color w:val="000000"/>
                <w:sz w:val="20"/>
                <w:szCs w:val="20"/>
                <w:lang w:eastAsia="ru-RU"/>
              </w:rPr>
            </w:pPr>
            <w:r w:rsidRPr="004761E0">
              <w:rPr>
                <w:rFonts w:eastAsia="Times New Roman"/>
                <w:color w:val="000000"/>
                <w:sz w:val="20"/>
                <w:szCs w:val="20"/>
                <w:lang w:eastAsia="ru-RU"/>
              </w:rPr>
              <w:t>выявление бездоговорного электропотребления</w:t>
            </w:r>
          </w:p>
        </w:tc>
        <w:tc>
          <w:tcPr>
            <w:tcW w:w="527"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firstLine="0"/>
              <w:jc w:val="right"/>
              <w:rPr>
                <w:color w:val="000000"/>
                <w:sz w:val="20"/>
                <w:szCs w:val="20"/>
              </w:rPr>
            </w:pPr>
            <w:r w:rsidRPr="004761E0">
              <w:rPr>
                <w:color w:val="000000"/>
                <w:sz w:val="20"/>
                <w:szCs w:val="20"/>
              </w:rPr>
              <w:t>73,3</w:t>
            </w:r>
          </w:p>
        </w:tc>
        <w:tc>
          <w:tcPr>
            <w:tcW w:w="765"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firstLine="0"/>
              <w:jc w:val="right"/>
              <w:rPr>
                <w:color w:val="000000"/>
                <w:sz w:val="20"/>
                <w:szCs w:val="20"/>
              </w:rPr>
            </w:pPr>
            <w:r w:rsidRPr="004761E0">
              <w:rPr>
                <w:color w:val="000000"/>
                <w:sz w:val="20"/>
                <w:szCs w:val="20"/>
              </w:rPr>
              <w:t>262,1</w:t>
            </w:r>
          </w:p>
        </w:tc>
      </w:tr>
      <w:tr w:rsidR="00DA4470" w:rsidRPr="004761E0" w:rsidTr="00DA4470">
        <w:trPr>
          <w:trHeight w:val="300"/>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rsidR="00DA4470" w:rsidRPr="004761E0" w:rsidRDefault="00DA4470" w:rsidP="007076A7">
            <w:pPr>
              <w:numPr>
                <w:ilvl w:val="0"/>
                <w:numId w:val="47"/>
              </w:numPr>
              <w:jc w:val="left"/>
              <w:rPr>
                <w:rFonts w:eastAsia="Times New Roman"/>
                <w:color w:val="000000"/>
                <w:sz w:val="20"/>
                <w:szCs w:val="20"/>
                <w:lang w:eastAsia="ru-RU"/>
              </w:rPr>
            </w:pPr>
          </w:p>
        </w:tc>
        <w:tc>
          <w:tcPr>
            <w:tcW w:w="3303"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Технические мероприятия, в т.ч.:</w:t>
            </w:r>
          </w:p>
        </w:tc>
        <w:tc>
          <w:tcPr>
            <w:tcW w:w="527"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firstLine="0"/>
              <w:jc w:val="right"/>
              <w:rPr>
                <w:b/>
                <w:bCs/>
                <w:color w:val="000000"/>
                <w:sz w:val="20"/>
                <w:szCs w:val="20"/>
              </w:rPr>
            </w:pPr>
            <w:r w:rsidRPr="004761E0">
              <w:rPr>
                <w:b/>
                <w:bCs/>
                <w:color w:val="000000"/>
                <w:sz w:val="20"/>
                <w:szCs w:val="20"/>
              </w:rPr>
              <w:t>43,9</w:t>
            </w:r>
          </w:p>
        </w:tc>
        <w:tc>
          <w:tcPr>
            <w:tcW w:w="765"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firstLine="0"/>
              <w:jc w:val="right"/>
              <w:rPr>
                <w:b/>
                <w:bCs/>
                <w:color w:val="000000"/>
                <w:sz w:val="20"/>
                <w:szCs w:val="20"/>
              </w:rPr>
            </w:pPr>
            <w:r w:rsidRPr="004761E0">
              <w:rPr>
                <w:b/>
                <w:bCs/>
                <w:color w:val="000000"/>
                <w:sz w:val="20"/>
                <w:szCs w:val="20"/>
              </w:rPr>
              <w:t>112,5</w:t>
            </w:r>
          </w:p>
        </w:tc>
      </w:tr>
      <w:tr w:rsidR="00DA4470" w:rsidRPr="004761E0" w:rsidTr="00DA4470">
        <w:trPr>
          <w:trHeight w:val="300"/>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rsidR="00DA4470" w:rsidRPr="004761E0" w:rsidRDefault="00DA4470" w:rsidP="007076A7">
            <w:pPr>
              <w:pStyle w:val="a5"/>
              <w:numPr>
                <w:ilvl w:val="1"/>
                <w:numId w:val="47"/>
              </w:numPr>
              <w:jc w:val="left"/>
              <w:rPr>
                <w:rFonts w:eastAsia="Times New Roman"/>
                <w:color w:val="000000"/>
                <w:sz w:val="20"/>
                <w:szCs w:val="20"/>
                <w:lang w:eastAsia="ru-RU"/>
              </w:rPr>
            </w:pPr>
          </w:p>
        </w:tc>
        <w:tc>
          <w:tcPr>
            <w:tcW w:w="3303"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left="318"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технические мероприятия по коммерческому учету электроэнергии </w:t>
            </w:r>
          </w:p>
        </w:tc>
        <w:tc>
          <w:tcPr>
            <w:tcW w:w="527"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firstLine="0"/>
              <w:jc w:val="right"/>
              <w:rPr>
                <w:color w:val="000000"/>
                <w:sz w:val="20"/>
                <w:szCs w:val="20"/>
              </w:rPr>
            </w:pPr>
            <w:r w:rsidRPr="004761E0">
              <w:rPr>
                <w:color w:val="000000"/>
                <w:sz w:val="20"/>
                <w:szCs w:val="20"/>
              </w:rPr>
              <w:t>28,9</w:t>
            </w:r>
          </w:p>
        </w:tc>
        <w:tc>
          <w:tcPr>
            <w:tcW w:w="765"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firstLine="0"/>
              <w:jc w:val="right"/>
              <w:rPr>
                <w:color w:val="000000"/>
                <w:sz w:val="20"/>
                <w:szCs w:val="20"/>
              </w:rPr>
            </w:pPr>
            <w:r w:rsidRPr="004761E0">
              <w:rPr>
                <w:color w:val="000000"/>
                <w:sz w:val="20"/>
                <w:szCs w:val="20"/>
              </w:rPr>
              <w:t>89,0</w:t>
            </w:r>
          </w:p>
        </w:tc>
      </w:tr>
      <w:tr w:rsidR="00DA4470" w:rsidRPr="004761E0" w:rsidTr="00DA4470">
        <w:trPr>
          <w:trHeight w:val="300"/>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rsidR="00DA4470" w:rsidRPr="004761E0" w:rsidRDefault="00DA4470" w:rsidP="007076A7">
            <w:pPr>
              <w:pStyle w:val="a5"/>
              <w:numPr>
                <w:ilvl w:val="1"/>
                <w:numId w:val="47"/>
              </w:numPr>
              <w:jc w:val="left"/>
              <w:rPr>
                <w:rFonts w:eastAsia="Times New Roman"/>
                <w:color w:val="000000"/>
                <w:sz w:val="20"/>
                <w:szCs w:val="20"/>
                <w:lang w:eastAsia="ru-RU"/>
              </w:rPr>
            </w:pPr>
          </w:p>
        </w:tc>
        <w:tc>
          <w:tcPr>
            <w:tcW w:w="3303"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left="318" w:firstLine="0"/>
              <w:jc w:val="left"/>
              <w:rPr>
                <w:rFonts w:eastAsia="Times New Roman"/>
                <w:color w:val="000000"/>
                <w:sz w:val="20"/>
                <w:szCs w:val="20"/>
                <w:lang w:eastAsia="ru-RU"/>
              </w:rPr>
            </w:pPr>
            <w:r w:rsidRPr="004761E0">
              <w:rPr>
                <w:rFonts w:eastAsia="Times New Roman"/>
                <w:color w:val="000000"/>
                <w:sz w:val="20"/>
                <w:szCs w:val="20"/>
                <w:lang w:eastAsia="ru-RU"/>
              </w:rPr>
              <w:t>замена перегруженных и изношенных трансформаторов 35-220 кВ</w:t>
            </w:r>
          </w:p>
        </w:tc>
        <w:tc>
          <w:tcPr>
            <w:tcW w:w="527"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firstLine="0"/>
              <w:jc w:val="right"/>
              <w:rPr>
                <w:color w:val="000000"/>
                <w:sz w:val="20"/>
                <w:szCs w:val="20"/>
              </w:rPr>
            </w:pPr>
            <w:r w:rsidRPr="004761E0">
              <w:rPr>
                <w:color w:val="000000"/>
                <w:sz w:val="20"/>
                <w:szCs w:val="20"/>
              </w:rPr>
              <w:t>13,6</w:t>
            </w:r>
          </w:p>
        </w:tc>
        <w:tc>
          <w:tcPr>
            <w:tcW w:w="765"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firstLine="0"/>
              <w:jc w:val="right"/>
              <w:rPr>
                <w:color w:val="000000"/>
                <w:sz w:val="20"/>
                <w:szCs w:val="20"/>
              </w:rPr>
            </w:pPr>
            <w:r w:rsidRPr="004761E0">
              <w:rPr>
                <w:color w:val="000000"/>
                <w:sz w:val="20"/>
                <w:szCs w:val="20"/>
              </w:rPr>
              <w:t>21,5</w:t>
            </w:r>
          </w:p>
        </w:tc>
      </w:tr>
      <w:tr w:rsidR="00DA4470" w:rsidRPr="004761E0" w:rsidTr="00DA4470">
        <w:trPr>
          <w:trHeight w:val="300"/>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rsidR="00DA4470" w:rsidRPr="004761E0" w:rsidRDefault="00DA4470" w:rsidP="007076A7">
            <w:pPr>
              <w:pStyle w:val="a5"/>
              <w:numPr>
                <w:ilvl w:val="1"/>
                <w:numId w:val="47"/>
              </w:numPr>
              <w:jc w:val="left"/>
              <w:rPr>
                <w:rFonts w:eastAsia="Times New Roman"/>
                <w:color w:val="000000"/>
                <w:sz w:val="20"/>
                <w:szCs w:val="20"/>
                <w:lang w:eastAsia="ru-RU"/>
              </w:rPr>
            </w:pPr>
          </w:p>
        </w:tc>
        <w:tc>
          <w:tcPr>
            <w:tcW w:w="3303"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left="318" w:firstLine="0"/>
              <w:jc w:val="left"/>
              <w:rPr>
                <w:rFonts w:eastAsia="Times New Roman"/>
                <w:color w:val="000000"/>
                <w:sz w:val="20"/>
                <w:szCs w:val="20"/>
                <w:lang w:eastAsia="ru-RU"/>
              </w:rPr>
            </w:pPr>
            <w:r w:rsidRPr="004761E0">
              <w:rPr>
                <w:rFonts w:eastAsia="Times New Roman"/>
                <w:color w:val="000000"/>
                <w:sz w:val="20"/>
                <w:szCs w:val="20"/>
                <w:lang w:eastAsia="ru-RU"/>
              </w:rPr>
              <w:t>увеличение пропускной способности ЛЭП 35-220 кВ</w:t>
            </w:r>
          </w:p>
        </w:tc>
        <w:tc>
          <w:tcPr>
            <w:tcW w:w="527"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firstLine="0"/>
              <w:jc w:val="right"/>
              <w:rPr>
                <w:color w:val="000000"/>
                <w:sz w:val="20"/>
                <w:szCs w:val="20"/>
              </w:rPr>
            </w:pPr>
            <w:r w:rsidRPr="004761E0">
              <w:rPr>
                <w:color w:val="000000"/>
                <w:sz w:val="20"/>
                <w:szCs w:val="20"/>
              </w:rPr>
              <w:t>0,1</w:t>
            </w:r>
          </w:p>
        </w:tc>
        <w:tc>
          <w:tcPr>
            <w:tcW w:w="765"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firstLine="0"/>
              <w:jc w:val="right"/>
              <w:rPr>
                <w:color w:val="000000"/>
                <w:sz w:val="20"/>
                <w:szCs w:val="20"/>
              </w:rPr>
            </w:pPr>
            <w:r w:rsidRPr="004761E0">
              <w:rPr>
                <w:color w:val="000000"/>
                <w:sz w:val="20"/>
                <w:szCs w:val="20"/>
              </w:rPr>
              <w:t>0,1</w:t>
            </w:r>
          </w:p>
        </w:tc>
      </w:tr>
      <w:tr w:rsidR="00DA4470" w:rsidRPr="004761E0" w:rsidTr="00DA4470">
        <w:trPr>
          <w:trHeight w:val="300"/>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rsidR="00DA4470" w:rsidRPr="004761E0" w:rsidRDefault="00DA4470" w:rsidP="007076A7">
            <w:pPr>
              <w:pStyle w:val="a5"/>
              <w:numPr>
                <w:ilvl w:val="1"/>
                <w:numId w:val="47"/>
              </w:numPr>
              <w:jc w:val="left"/>
              <w:rPr>
                <w:rFonts w:eastAsia="Times New Roman"/>
                <w:color w:val="000000"/>
                <w:sz w:val="20"/>
                <w:szCs w:val="20"/>
                <w:lang w:eastAsia="ru-RU"/>
              </w:rPr>
            </w:pPr>
          </w:p>
        </w:tc>
        <w:tc>
          <w:tcPr>
            <w:tcW w:w="3303"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left="318" w:firstLine="0"/>
              <w:jc w:val="left"/>
              <w:rPr>
                <w:rFonts w:eastAsia="Times New Roman"/>
                <w:color w:val="000000"/>
                <w:sz w:val="20"/>
                <w:szCs w:val="20"/>
                <w:lang w:eastAsia="ru-RU"/>
              </w:rPr>
            </w:pPr>
            <w:r w:rsidRPr="004761E0">
              <w:rPr>
                <w:rFonts w:eastAsia="Times New Roman"/>
                <w:color w:val="000000"/>
                <w:sz w:val="20"/>
                <w:szCs w:val="20"/>
                <w:lang w:eastAsia="ru-RU"/>
              </w:rPr>
              <w:t>развитие распределительной электрической сети 20 кВ</w:t>
            </w:r>
          </w:p>
        </w:tc>
        <w:tc>
          <w:tcPr>
            <w:tcW w:w="527"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firstLine="0"/>
              <w:jc w:val="right"/>
              <w:rPr>
                <w:color w:val="000000"/>
                <w:sz w:val="20"/>
                <w:szCs w:val="20"/>
              </w:rPr>
            </w:pPr>
            <w:r w:rsidRPr="004761E0">
              <w:rPr>
                <w:color w:val="000000"/>
                <w:sz w:val="20"/>
                <w:szCs w:val="20"/>
              </w:rPr>
              <w:t>0,4</w:t>
            </w:r>
          </w:p>
        </w:tc>
        <w:tc>
          <w:tcPr>
            <w:tcW w:w="765"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firstLine="0"/>
              <w:jc w:val="right"/>
              <w:rPr>
                <w:color w:val="000000"/>
                <w:sz w:val="20"/>
                <w:szCs w:val="20"/>
              </w:rPr>
            </w:pPr>
            <w:r w:rsidRPr="004761E0">
              <w:rPr>
                <w:color w:val="000000"/>
                <w:sz w:val="20"/>
                <w:szCs w:val="20"/>
              </w:rPr>
              <w:t>0,6</w:t>
            </w:r>
          </w:p>
        </w:tc>
      </w:tr>
      <w:tr w:rsidR="00DA4470" w:rsidRPr="004761E0" w:rsidTr="00DA4470">
        <w:trPr>
          <w:trHeight w:val="300"/>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rsidR="00DA4470" w:rsidRPr="004761E0" w:rsidRDefault="00DA4470" w:rsidP="007076A7">
            <w:pPr>
              <w:pStyle w:val="a5"/>
              <w:numPr>
                <w:ilvl w:val="1"/>
                <w:numId w:val="47"/>
              </w:numPr>
              <w:jc w:val="left"/>
              <w:rPr>
                <w:rFonts w:eastAsia="Times New Roman"/>
                <w:color w:val="000000"/>
                <w:sz w:val="20"/>
                <w:szCs w:val="20"/>
                <w:lang w:eastAsia="ru-RU"/>
              </w:rPr>
            </w:pPr>
          </w:p>
        </w:tc>
        <w:tc>
          <w:tcPr>
            <w:tcW w:w="3303"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left="318" w:firstLine="0"/>
              <w:jc w:val="left"/>
              <w:rPr>
                <w:rFonts w:eastAsia="Times New Roman"/>
                <w:color w:val="000000"/>
                <w:sz w:val="20"/>
                <w:szCs w:val="20"/>
                <w:lang w:eastAsia="ru-RU"/>
              </w:rPr>
            </w:pPr>
            <w:r w:rsidRPr="004761E0">
              <w:rPr>
                <w:rFonts w:eastAsia="Times New Roman"/>
                <w:color w:val="000000"/>
                <w:sz w:val="20"/>
                <w:szCs w:val="20"/>
                <w:lang w:eastAsia="ru-RU"/>
              </w:rPr>
              <w:t>установка энергосберегающих ламп</w:t>
            </w:r>
          </w:p>
        </w:tc>
        <w:tc>
          <w:tcPr>
            <w:tcW w:w="527"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firstLine="0"/>
              <w:jc w:val="right"/>
              <w:rPr>
                <w:color w:val="000000"/>
                <w:sz w:val="20"/>
                <w:szCs w:val="20"/>
              </w:rPr>
            </w:pPr>
            <w:r w:rsidRPr="004761E0">
              <w:rPr>
                <w:color w:val="000000"/>
                <w:sz w:val="20"/>
                <w:szCs w:val="20"/>
              </w:rPr>
              <w:t>0,1</w:t>
            </w:r>
          </w:p>
        </w:tc>
        <w:tc>
          <w:tcPr>
            <w:tcW w:w="765"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firstLine="0"/>
              <w:jc w:val="right"/>
              <w:rPr>
                <w:color w:val="000000"/>
                <w:sz w:val="20"/>
                <w:szCs w:val="20"/>
              </w:rPr>
            </w:pPr>
            <w:r w:rsidRPr="004761E0">
              <w:rPr>
                <w:color w:val="000000"/>
                <w:sz w:val="20"/>
                <w:szCs w:val="20"/>
              </w:rPr>
              <w:t>0,2</w:t>
            </w:r>
          </w:p>
        </w:tc>
      </w:tr>
      <w:tr w:rsidR="00DA4470" w:rsidRPr="004761E0" w:rsidTr="00DA4470">
        <w:trPr>
          <w:trHeight w:val="300"/>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rsidR="00DA4470" w:rsidRPr="004761E0" w:rsidRDefault="00DA4470" w:rsidP="00DA4470">
            <w:pPr>
              <w:pStyle w:val="a5"/>
              <w:ind w:left="0" w:firstLine="0"/>
              <w:jc w:val="left"/>
              <w:rPr>
                <w:rFonts w:eastAsia="Times New Roman"/>
                <w:color w:val="000000"/>
                <w:sz w:val="20"/>
                <w:szCs w:val="20"/>
                <w:lang w:val="en-US" w:eastAsia="ru-RU"/>
              </w:rPr>
            </w:pPr>
            <w:r w:rsidRPr="004761E0">
              <w:rPr>
                <w:rFonts w:eastAsia="Times New Roman"/>
                <w:color w:val="000000"/>
                <w:sz w:val="20"/>
                <w:szCs w:val="20"/>
                <w:lang w:eastAsia="ru-RU"/>
              </w:rPr>
              <w:t>2.6</w:t>
            </w:r>
            <w:r w:rsidRPr="004761E0">
              <w:rPr>
                <w:rFonts w:eastAsia="Times New Roman"/>
                <w:color w:val="000000"/>
                <w:sz w:val="20"/>
                <w:szCs w:val="20"/>
                <w:lang w:val="en-US" w:eastAsia="ru-RU"/>
              </w:rPr>
              <w:t>.</w:t>
            </w:r>
          </w:p>
        </w:tc>
        <w:tc>
          <w:tcPr>
            <w:tcW w:w="3303"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firstLine="0"/>
              <w:jc w:val="left"/>
              <w:rPr>
                <w:rFonts w:eastAsia="Times New Roman"/>
                <w:bCs/>
                <w:color w:val="000000"/>
                <w:sz w:val="20"/>
                <w:szCs w:val="20"/>
                <w:lang w:eastAsia="ru-RU"/>
              </w:rPr>
            </w:pPr>
            <w:r w:rsidRPr="004761E0">
              <w:rPr>
                <w:rFonts w:eastAsia="Times New Roman"/>
                <w:bCs/>
                <w:color w:val="000000"/>
                <w:sz w:val="20"/>
                <w:szCs w:val="20"/>
                <w:lang w:eastAsia="ru-RU"/>
              </w:rPr>
              <w:t>установка средств компенсации реактивной мощности в электрических сетях</w:t>
            </w:r>
          </w:p>
        </w:tc>
        <w:tc>
          <w:tcPr>
            <w:tcW w:w="527"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firstLine="0"/>
              <w:jc w:val="right"/>
              <w:rPr>
                <w:b/>
                <w:bCs/>
                <w:color w:val="000000"/>
                <w:sz w:val="20"/>
                <w:szCs w:val="20"/>
              </w:rPr>
            </w:pPr>
            <w:r w:rsidRPr="004761E0">
              <w:rPr>
                <w:b/>
                <w:bCs/>
                <w:color w:val="000000"/>
                <w:sz w:val="20"/>
                <w:szCs w:val="20"/>
              </w:rPr>
              <w:t>0,8</w:t>
            </w:r>
          </w:p>
        </w:tc>
        <w:tc>
          <w:tcPr>
            <w:tcW w:w="765"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firstLine="0"/>
              <w:jc w:val="right"/>
              <w:rPr>
                <w:b/>
                <w:bCs/>
                <w:color w:val="000000"/>
                <w:sz w:val="20"/>
                <w:szCs w:val="20"/>
              </w:rPr>
            </w:pPr>
            <w:r w:rsidRPr="004761E0">
              <w:rPr>
                <w:b/>
                <w:bCs/>
                <w:color w:val="000000"/>
                <w:sz w:val="20"/>
                <w:szCs w:val="20"/>
              </w:rPr>
              <w:t>1,2</w:t>
            </w:r>
          </w:p>
        </w:tc>
      </w:tr>
      <w:tr w:rsidR="00DA4470" w:rsidRPr="004761E0" w:rsidTr="00DA4470">
        <w:trPr>
          <w:trHeight w:val="300"/>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rsidR="00DA4470" w:rsidRPr="004761E0" w:rsidRDefault="00DA4470" w:rsidP="00DA4470">
            <w:pPr>
              <w:pStyle w:val="a5"/>
              <w:ind w:left="360" w:firstLine="0"/>
              <w:jc w:val="left"/>
              <w:rPr>
                <w:rFonts w:eastAsia="Times New Roman"/>
                <w:color w:val="000000"/>
                <w:sz w:val="20"/>
                <w:szCs w:val="20"/>
                <w:lang w:eastAsia="ru-RU"/>
              </w:rPr>
            </w:pPr>
          </w:p>
        </w:tc>
        <w:tc>
          <w:tcPr>
            <w:tcW w:w="3303"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Общий эффект от мероприятий по снижению потерь</w:t>
            </w:r>
          </w:p>
        </w:tc>
        <w:tc>
          <w:tcPr>
            <w:tcW w:w="527"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firstLine="0"/>
              <w:jc w:val="right"/>
              <w:rPr>
                <w:b/>
                <w:bCs/>
                <w:color w:val="000000"/>
                <w:sz w:val="20"/>
                <w:szCs w:val="20"/>
              </w:rPr>
            </w:pPr>
            <w:r w:rsidRPr="004761E0">
              <w:rPr>
                <w:b/>
                <w:bCs/>
                <w:color w:val="000000"/>
                <w:sz w:val="20"/>
                <w:szCs w:val="20"/>
              </w:rPr>
              <w:t>336,1</w:t>
            </w:r>
          </w:p>
        </w:tc>
        <w:tc>
          <w:tcPr>
            <w:tcW w:w="765"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firstLine="0"/>
              <w:jc w:val="right"/>
              <w:rPr>
                <w:b/>
                <w:bCs/>
                <w:color w:val="000000"/>
                <w:sz w:val="20"/>
                <w:szCs w:val="20"/>
              </w:rPr>
            </w:pPr>
            <w:r w:rsidRPr="004761E0">
              <w:rPr>
                <w:b/>
                <w:bCs/>
                <w:color w:val="000000"/>
                <w:sz w:val="20"/>
                <w:szCs w:val="20"/>
              </w:rPr>
              <w:t>968,5</w:t>
            </w:r>
          </w:p>
        </w:tc>
      </w:tr>
      <w:tr w:rsidR="00DA4470" w:rsidRPr="004761E0" w:rsidTr="00DA4470">
        <w:trPr>
          <w:trHeight w:val="300"/>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rsidR="00DA4470" w:rsidRPr="004761E0" w:rsidRDefault="00DA4470" w:rsidP="00DA4470">
            <w:pPr>
              <w:pStyle w:val="a5"/>
              <w:ind w:left="360" w:firstLine="0"/>
              <w:jc w:val="left"/>
              <w:rPr>
                <w:rFonts w:eastAsia="Times New Roman"/>
                <w:color w:val="000000"/>
                <w:sz w:val="20"/>
                <w:szCs w:val="20"/>
                <w:lang w:eastAsia="ru-RU"/>
              </w:rPr>
            </w:pPr>
          </w:p>
        </w:tc>
        <w:tc>
          <w:tcPr>
            <w:tcW w:w="3303"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Общий эффект от мероприятий по снижению и недопущению потерь электроэнергии (выявление бездоговорного электропотребления)</w:t>
            </w:r>
          </w:p>
        </w:tc>
        <w:tc>
          <w:tcPr>
            <w:tcW w:w="527"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firstLine="0"/>
              <w:jc w:val="right"/>
              <w:rPr>
                <w:b/>
                <w:bCs/>
                <w:color w:val="000000"/>
                <w:sz w:val="20"/>
                <w:szCs w:val="20"/>
              </w:rPr>
            </w:pPr>
            <w:r w:rsidRPr="004761E0">
              <w:rPr>
                <w:b/>
                <w:bCs/>
                <w:color w:val="000000"/>
                <w:sz w:val="20"/>
                <w:szCs w:val="20"/>
              </w:rPr>
              <w:t>409,4</w:t>
            </w:r>
          </w:p>
        </w:tc>
        <w:tc>
          <w:tcPr>
            <w:tcW w:w="765"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firstLine="0"/>
              <w:jc w:val="right"/>
              <w:rPr>
                <w:b/>
                <w:bCs/>
                <w:color w:val="000000"/>
                <w:sz w:val="20"/>
                <w:szCs w:val="20"/>
              </w:rPr>
            </w:pPr>
            <w:r w:rsidRPr="004761E0">
              <w:rPr>
                <w:b/>
                <w:bCs/>
                <w:color w:val="000000"/>
                <w:sz w:val="20"/>
                <w:szCs w:val="20"/>
              </w:rPr>
              <w:t>1 230,5</w:t>
            </w:r>
          </w:p>
        </w:tc>
      </w:tr>
    </w:tbl>
    <w:p w:rsidR="00DA4470" w:rsidRPr="004761E0" w:rsidRDefault="00DA4470" w:rsidP="00DA4470">
      <w:pPr>
        <w:ind w:firstLine="0"/>
        <w:rPr>
          <w:lang w:eastAsia="ru-RU"/>
        </w:rPr>
      </w:pPr>
    </w:p>
    <w:p w:rsidR="00DA4470" w:rsidRPr="004761E0" w:rsidRDefault="00EA456F" w:rsidP="00DA4470">
      <w:pPr>
        <w:ind w:firstLine="0"/>
        <w:rPr>
          <w:lang w:eastAsia="ru-RU"/>
        </w:rPr>
      </w:pPr>
      <w:r>
        <w:rPr>
          <w:noProof/>
          <w:lang w:eastAsia="ru-RU"/>
        </w:rPr>
        <w:pict>
          <v:rect id="Rectangle 42" o:spid="_x0000_s1149" style="position:absolute;left:0;text-align:left;margin-left:169.05pt;margin-top:143.6pt;width:335.25pt;height:219.8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" filled="f" strokecolor="#4f81bd" strokeweight="1.25pt">
            <v:stroke dashstyle="1 1" endcap="round"/>
            <v:textbox style="mso-next-textbox:#Rectangle 42">
              <w:txbxContent>
                <w:p w:rsidR="00EC58E0" w:rsidRDefault="00EC58E0" w:rsidP="00DA4470">
                  <w:pPr>
                    <w:ind w:firstLine="0"/>
                    <w:rPr>
                      <w:rFonts w:ascii="Calibri" w:hAnsi="Calibri" w:cs="Calibri"/>
                      <w:b/>
                      <w:sz w:val="20"/>
                      <w:u w:val="single"/>
                    </w:rPr>
                  </w:pPr>
                  <w:r w:rsidRPr="004265FE">
                    <w:rPr>
                      <w:rFonts w:ascii="Calibri" w:hAnsi="Calibri" w:cs="Calibri"/>
                      <w:b/>
                      <w:sz w:val="20"/>
                      <w:u w:val="single"/>
                    </w:rPr>
                    <w:t>Технические мероприятия</w:t>
                  </w:r>
                  <w:r>
                    <w:rPr>
                      <w:rFonts w:ascii="Calibri" w:hAnsi="Calibri" w:cs="Calibri"/>
                      <w:b/>
                      <w:sz w:val="20"/>
                      <w:u w:val="single"/>
                    </w:rPr>
                    <w:t>*</w:t>
                  </w:r>
                </w:p>
                <w:p w:rsidR="00EC58E0" w:rsidRDefault="00EC58E0" w:rsidP="00DA4470">
                  <w:pPr>
                    <w:ind w:firstLine="0"/>
                    <w:rPr>
                      <w:rFonts w:ascii="Calibri" w:hAnsi="Calibri" w:cs="Calibri"/>
                      <w:b/>
                      <w:sz w:val="20"/>
                      <w:u w:val="single"/>
                    </w:rPr>
                  </w:pPr>
                </w:p>
                <w:p w:rsidR="00EC58E0" w:rsidRDefault="00EC58E0" w:rsidP="00DA4470">
                  <w:pPr>
                    <w:ind w:firstLine="0"/>
                    <w:rPr>
                      <w:rFonts w:ascii="Calibri" w:hAnsi="Calibri" w:cs="Calibri"/>
                      <w:b/>
                      <w:sz w:val="20"/>
                      <w:u w:val="single"/>
                    </w:rPr>
                  </w:pPr>
                </w:p>
                <w:p w:rsidR="00EC58E0" w:rsidRDefault="00EC58E0" w:rsidP="00DA4470">
                  <w:pPr>
                    <w:ind w:firstLine="0"/>
                    <w:rPr>
                      <w:rFonts w:ascii="Calibri" w:hAnsi="Calibri" w:cs="Calibri"/>
                      <w:b/>
                      <w:sz w:val="20"/>
                      <w:u w:val="single"/>
                    </w:rPr>
                  </w:pPr>
                </w:p>
                <w:p w:rsidR="00EC58E0" w:rsidRDefault="00EC58E0" w:rsidP="00DA4470">
                  <w:pPr>
                    <w:ind w:firstLine="0"/>
                    <w:rPr>
                      <w:rFonts w:ascii="Calibri" w:hAnsi="Calibri" w:cs="Calibri"/>
                      <w:b/>
                      <w:sz w:val="20"/>
                      <w:u w:val="single"/>
                    </w:rPr>
                  </w:pPr>
                </w:p>
                <w:p w:rsidR="00EC58E0" w:rsidRDefault="00EC58E0" w:rsidP="00DA4470">
                  <w:pPr>
                    <w:ind w:firstLine="0"/>
                    <w:rPr>
                      <w:rFonts w:ascii="Calibri" w:hAnsi="Calibri" w:cs="Calibri"/>
                      <w:b/>
                      <w:sz w:val="20"/>
                      <w:u w:val="single"/>
                    </w:rPr>
                  </w:pPr>
                </w:p>
                <w:p w:rsidR="00EC58E0" w:rsidRDefault="00EC58E0" w:rsidP="00DA4470">
                  <w:pPr>
                    <w:ind w:firstLine="0"/>
                    <w:rPr>
                      <w:rFonts w:ascii="Calibri" w:hAnsi="Calibri" w:cs="Calibri"/>
                      <w:b/>
                      <w:sz w:val="20"/>
                      <w:u w:val="single"/>
                    </w:rPr>
                  </w:pPr>
                </w:p>
                <w:p w:rsidR="00EC58E0" w:rsidRDefault="00EC58E0" w:rsidP="00DA4470">
                  <w:pPr>
                    <w:ind w:firstLine="0"/>
                    <w:rPr>
                      <w:rFonts w:ascii="Calibri" w:hAnsi="Calibri" w:cs="Calibri"/>
                      <w:b/>
                      <w:sz w:val="20"/>
                      <w:u w:val="single"/>
                    </w:rPr>
                  </w:pPr>
                </w:p>
                <w:p w:rsidR="00EC58E0" w:rsidRDefault="00EC58E0" w:rsidP="00DA4470">
                  <w:pPr>
                    <w:ind w:firstLine="0"/>
                    <w:rPr>
                      <w:rFonts w:ascii="Calibri" w:hAnsi="Calibri" w:cs="Calibri"/>
                      <w:b/>
                      <w:sz w:val="20"/>
                      <w:u w:val="single"/>
                    </w:rPr>
                  </w:pPr>
                </w:p>
                <w:p w:rsidR="00EC58E0" w:rsidRDefault="00EC58E0" w:rsidP="00DA4470">
                  <w:pPr>
                    <w:ind w:firstLine="0"/>
                    <w:rPr>
                      <w:rFonts w:ascii="Calibri" w:hAnsi="Calibri" w:cs="Calibri"/>
                      <w:b/>
                      <w:sz w:val="20"/>
                      <w:u w:val="single"/>
                    </w:rPr>
                  </w:pPr>
                </w:p>
                <w:p w:rsidR="00EC58E0" w:rsidRDefault="00EC58E0" w:rsidP="00DA4470">
                  <w:pPr>
                    <w:ind w:firstLine="0"/>
                    <w:rPr>
                      <w:rFonts w:ascii="Calibri" w:hAnsi="Calibri" w:cs="Calibri"/>
                      <w:b/>
                      <w:sz w:val="20"/>
                      <w:u w:val="single"/>
                    </w:rPr>
                  </w:pPr>
                </w:p>
                <w:p w:rsidR="00EC58E0" w:rsidRDefault="00EC58E0" w:rsidP="00DA4470">
                  <w:pPr>
                    <w:ind w:firstLine="0"/>
                    <w:rPr>
                      <w:rFonts w:ascii="Calibri" w:hAnsi="Calibri" w:cs="Calibri"/>
                      <w:b/>
                      <w:sz w:val="20"/>
                      <w:u w:val="single"/>
                    </w:rPr>
                  </w:pPr>
                </w:p>
                <w:p w:rsidR="00EC58E0" w:rsidRDefault="00EC58E0" w:rsidP="00DA4470">
                  <w:pPr>
                    <w:ind w:firstLine="0"/>
                    <w:rPr>
                      <w:rFonts w:ascii="Calibri" w:hAnsi="Calibri" w:cs="Calibri"/>
                      <w:b/>
                      <w:sz w:val="20"/>
                      <w:u w:val="single"/>
                    </w:rPr>
                  </w:pPr>
                </w:p>
                <w:p w:rsidR="00EC58E0" w:rsidRDefault="00EC58E0" w:rsidP="00DA4470">
                  <w:pPr>
                    <w:ind w:firstLine="0"/>
                    <w:rPr>
                      <w:rFonts w:ascii="Calibri" w:hAnsi="Calibri" w:cs="Calibri"/>
                      <w:b/>
                      <w:sz w:val="20"/>
                      <w:u w:val="single"/>
                    </w:rPr>
                  </w:pPr>
                </w:p>
                <w:p w:rsidR="00EC58E0" w:rsidRDefault="00EC58E0" w:rsidP="00DA4470">
                  <w:pPr>
                    <w:ind w:firstLine="0"/>
                    <w:rPr>
                      <w:rFonts w:ascii="Calibri" w:hAnsi="Calibri" w:cs="Calibri"/>
                      <w:b/>
                      <w:sz w:val="20"/>
                      <w:u w:val="single"/>
                    </w:rPr>
                  </w:pPr>
                </w:p>
                <w:p w:rsidR="00EC58E0" w:rsidRDefault="00EC58E0" w:rsidP="00DA4470">
                  <w:pPr>
                    <w:ind w:firstLine="0"/>
                    <w:rPr>
                      <w:rFonts w:ascii="Calibri" w:hAnsi="Calibri" w:cs="Calibri"/>
                      <w:b/>
                      <w:sz w:val="20"/>
                      <w:u w:val="single"/>
                    </w:rPr>
                  </w:pPr>
                </w:p>
                <w:p w:rsidR="00EC58E0" w:rsidRPr="00A21AA4" w:rsidRDefault="00EC58E0" w:rsidP="00DA4470">
                  <w:pPr>
                    <w:ind w:firstLine="0"/>
                    <w:rPr>
                      <w:rFonts w:ascii="Calibri" w:hAnsi="Calibri" w:cs="Calibri"/>
                      <w:sz w:val="20"/>
                    </w:rPr>
                  </w:pPr>
                  <w:r w:rsidRPr="00A21AA4">
                    <w:rPr>
                      <w:rFonts w:ascii="Calibri" w:hAnsi="Calibri" w:cs="Calibri"/>
                      <w:sz w:val="20"/>
                    </w:rPr>
                    <w:t>*- мероприятия с сопутствующим эффектом энергосбережения</w:t>
                  </w:r>
                </w:p>
                <w:p w:rsidR="00EC58E0" w:rsidRDefault="00EC58E0" w:rsidP="00DA4470">
                  <w:pPr>
                    <w:ind w:firstLine="0"/>
                    <w:rPr>
                      <w:rFonts w:ascii="Calibri" w:hAnsi="Calibri" w:cs="Calibri"/>
                      <w:b/>
                      <w:sz w:val="20"/>
                      <w:u w:val="single"/>
                    </w:rPr>
                  </w:pPr>
                </w:p>
                <w:p w:rsidR="00EC58E0" w:rsidRDefault="00EC58E0" w:rsidP="00DA4470">
                  <w:pPr>
                    <w:ind w:firstLine="0"/>
                    <w:rPr>
                      <w:rFonts w:ascii="Calibri" w:hAnsi="Calibri" w:cs="Calibri"/>
                      <w:b/>
                      <w:sz w:val="20"/>
                      <w:u w:val="single"/>
                    </w:rPr>
                  </w:pPr>
                </w:p>
                <w:p w:rsidR="00EC58E0" w:rsidRDefault="00EC58E0" w:rsidP="00DA4470">
                  <w:pPr>
                    <w:ind w:firstLine="0"/>
                    <w:rPr>
                      <w:rFonts w:ascii="Calibri" w:hAnsi="Calibri" w:cs="Calibri"/>
                      <w:b/>
                      <w:sz w:val="20"/>
                      <w:u w:val="single"/>
                    </w:rPr>
                  </w:pPr>
                </w:p>
                <w:p w:rsidR="00EC58E0" w:rsidRDefault="00EC58E0" w:rsidP="00DA4470">
                  <w:pPr>
                    <w:ind w:firstLine="0"/>
                    <w:rPr>
                      <w:rFonts w:ascii="Calibri" w:hAnsi="Calibri" w:cs="Calibri"/>
                      <w:b/>
                      <w:sz w:val="20"/>
                      <w:u w:val="single"/>
                    </w:rPr>
                  </w:pPr>
                </w:p>
                <w:p w:rsidR="00EC58E0" w:rsidRDefault="00EC58E0" w:rsidP="00DA4470">
                  <w:pPr>
                    <w:ind w:firstLine="0"/>
                    <w:rPr>
                      <w:rFonts w:ascii="Calibri" w:hAnsi="Calibri" w:cs="Calibri"/>
                      <w:b/>
                      <w:sz w:val="20"/>
                      <w:u w:val="single"/>
                    </w:rPr>
                  </w:pPr>
                </w:p>
                <w:p w:rsidR="00EC58E0" w:rsidRDefault="00EC58E0" w:rsidP="00DA4470">
                  <w:pPr>
                    <w:ind w:firstLine="0"/>
                    <w:rPr>
                      <w:rFonts w:ascii="Calibri" w:hAnsi="Calibri" w:cs="Calibri"/>
                      <w:b/>
                      <w:sz w:val="20"/>
                      <w:u w:val="single"/>
                    </w:rPr>
                  </w:pPr>
                </w:p>
                <w:p w:rsidR="00EC58E0" w:rsidRDefault="00EC58E0" w:rsidP="00DA4470">
                  <w:pPr>
                    <w:ind w:firstLine="0"/>
                    <w:rPr>
                      <w:rFonts w:ascii="Calibri" w:hAnsi="Calibri" w:cs="Calibri"/>
                      <w:b/>
                      <w:sz w:val="20"/>
                      <w:u w:val="single"/>
                    </w:rPr>
                  </w:pPr>
                </w:p>
                <w:p w:rsidR="00EC58E0" w:rsidRPr="003D3AE3" w:rsidRDefault="00EC58E0" w:rsidP="00DA4470">
                  <w:pPr>
                    <w:ind w:firstLine="0"/>
                    <w:rPr>
                      <w:rFonts w:ascii="Calibri" w:hAnsi="Calibri" w:cs="Calibri"/>
                      <w:b/>
                      <w:sz w:val="20"/>
                      <w:u w:val="single"/>
                    </w:rPr>
                  </w:pPr>
                </w:p>
              </w:txbxContent>
            </v:textbox>
          </v:rect>
        </w:pict>
      </w:r>
      <w:r w:rsidRPr="00EA456F">
        <w:rPr>
          <w:noProof/>
          <w:sz w:val="26"/>
          <w:szCs w:val="26"/>
          <w:lang w:eastAsia="ru-RU"/>
        </w:rPr>
        <w:pict>
          <v:rect id="Rectangle 43" o:spid="_x0000_s1150" style="position:absolute;left:0;text-align:left;margin-left:169.05pt;margin-top:45.35pt;width:335.25pt;height:98.2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" filled="f" strokecolor="#4f81bd" strokeweight="1.25pt">
            <v:stroke dashstyle="1 1" endcap="round"/>
            <v:textbox style="mso-next-textbox:#Rectangle 43">
              <w:txbxContent>
                <w:p w:rsidR="00EC58E0" w:rsidRPr="004265FE" w:rsidRDefault="00EC58E0" w:rsidP="00DA4470">
                  <w:pPr>
                    <w:ind w:firstLine="0"/>
                    <w:rPr>
                      <w:rFonts w:ascii="Calibri" w:hAnsi="Calibri" w:cs="Calibri"/>
                      <w:b/>
                      <w:sz w:val="20"/>
                      <w:u w:val="single"/>
                    </w:rPr>
                  </w:pPr>
                  <w:r w:rsidRPr="004265FE">
                    <w:rPr>
                      <w:rFonts w:ascii="Calibri" w:hAnsi="Calibri" w:cs="Calibri"/>
                      <w:b/>
                      <w:sz w:val="20"/>
                      <w:u w:val="single"/>
                    </w:rPr>
                    <w:t>Организационные мероприятия</w:t>
                  </w:r>
                </w:p>
              </w:txbxContent>
            </v:textbox>
          </v:rect>
        </w:pict>
      </w:r>
      <w:r w:rsidR="00DA4470" w:rsidRPr="004761E0">
        <w:rPr>
          <w:noProof/>
          <w:lang w:eastAsia="ru-RU"/>
        </w:rPr>
        <w:drawing>
          <wp:inline distT="0" distB="0" distL="0" distR="0">
            <wp:extent cx="6516370" cy="4495800"/>
            <wp:effectExtent l="19050" t="0" r="17780" b="0"/>
            <wp:docPr id="277"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A4470" w:rsidRPr="004761E0" w:rsidRDefault="00DA4470" w:rsidP="00DA4470">
      <w:pPr>
        <w:ind w:firstLine="567"/>
        <w:rPr>
          <w:color w:val="000000"/>
          <w:sz w:val="26"/>
          <w:szCs w:val="26"/>
        </w:rPr>
      </w:pPr>
    </w:p>
    <w:p w:rsidR="00DA4470" w:rsidRPr="004761E0" w:rsidRDefault="00DA4470" w:rsidP="00DA4470">
      <w:pPr>
        <w:ind w:firstLine="0"/>
        <w:jc w:val="left"/>
        <w:rPr>
          <w:color w:val="000000"/>
          <w:sz w:val="26"/>
          <w:szCs w:val="26"/>
        </w:rPr>
      </w:pPr>
      <w:r w:rsidRPr="004761E0">
        <w:rPr>
          <w:noProof/>
          <w:color w:val="000000"/>
          <w:sz w:val="26"/>
          <w:szCs w:val="26"/>
          <w:lang w:eastAsia="ru-RU"/>
        </w:rPr>
        <w:lastRenderedPageBreak/>
        <w:drawing>
          <wp:inline distT="0" distB="0" distL="0" distR="0">
            <wp:extent cx="2885222" cy="2524835"/>
            <wp:effectExtent l="19050" t="0" r="10378" b="8815"/>
            <wp:docPr id="278" name="Диаграмма 1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A4470" w:rsidRPr="004761E0" w:rsidRDefault="00DA4470" w:rsidP="00DA4470">
      <w:pPr>
        <w:ind w:firstLine="567"/>
        <w:rPr>
          <w:color w:val="000000"/>
          <w:sz w:val="26"/>
          <w:szCs w:val="26"/>
        </w:rPr>
      </w:pPr>
      <w:r w:rsidRPr="004761E0">
        <w:rPr>
          <w:color w:val="000000"/>
          <w:sz w:val="26"/>
          <w:szCs w:val="26"/>
        </w:rPr>
        <w:t xml:space="preserve">По итогам 2013 года потери электроэнергии снижены на 0,47 п.п. в относительном выражении или на 3,44 % в абсолютном. </w:t>
      </w:r>
    </w:p>
    <w:p w:rsidR="00DA4470" w:rsidRPr="004761E0" w:rsidRDefault="00DA4470" w:rsidP="00DA4470">
      <w:pPr>
        <w:spacing w:before="120" w:after="120"/>
        <w:ind w:firstLine="567"/>
        <w:rPr>
          <w:b/>
          <w:sz w:val="26"/>
          <w:szCs w:val="26"/>
        </w:rPr>
      </w:pPr>
      <w:r w:rsidRPr="004761E0">
        <w:rPr>
          <w:b/>
          <w:sz w:val="26"/>
          <w:szCs w:val="26"/>
        </w:rPr>
        <w:t>Мероприятия по снижению расхода топливно-энергетических ресурсов и воды на объектах производственных и хозяйственных нужд</w:t>
      </w:r>
    </w:p>
    <w:p w:rsidR="00DA4470" w:rsidRPr="004761E0" w:rsidRDefault="00DA4470" w:rsidP="00091B98">
      <w:pPr>
        <w:spacing w:before="120" w:after="120"/>
        <w:ind w:firstLine="567"/>
        <w:rPr>
          <w:b/>
          <w:sz w:val="26"/>
          <w:szCs w:val="26"/>
        </w:rPr>
      </w:pPr>
      <w:r w:rsidRPr="004761E0">
        <w:rPr>
          <w:rFonts w:eastAsia="Times New Roman"/>
          <w:b/>
          <w:iCs/>
          <w:color w:val="000000"/>
          <w:sz w:val="26"/>
          <w:szCs w:val="26"/>
          <w:lang w:eastAsia="ru-RU"/>
        </w:rPr>
        <w:t>Сведения о потребления энергоресурсов и воды на производственные и хозяйственные нужды</w:t>
      </w:r>
      <w:r w:rsidRPr="006F4AB8">
        <w:rPr>
          <w:rStyle w:val="af1"/>
        </w:rPr>
        <w:footnoteReference w:id="37"/>
      </w:r>
    </w:p>
    <w:tbl>
      <w:tblPr>
        <w:tblW w:w="5373" w:type="pct"/>
        <w:tblInd w:w="-601" w:type="dxa"/>
        <w:tblLayout w:type="fixed"/>
        <w:tblLook w:val="04A0"/>
      </w:tblPr>
      <w:tblGrid>
        <w:gridCol w:w="710"/>
        <w:gridCol w:w="3870"/>
        <w:gridCol w:w="1700"/>
        <w:gridCol w:w="925"/>
        <w:gridCol w:w="925"/>
        <w:gridCol w:w="925"/>
        <w:gridCol w:w="1012"/>
        <w:gridCol w:w="1131"/>
      </w:tblGrid>
      <w:tr w:rsidR="00DA4470" w:rsidRPr="004761E0" w:rsidTr="00091B98">
        <w:trPr>
          <w:cantSplit/>
          <w:trHeight w:val="251"/>
        </w:trPr>
        <w:tc>
          <w:tcPr>
            <w:tcW w:w="317" w:type="pct"/>
            <w:vMerge w:val="restart"/>
            <w:tcBorders>
              <w:top w:val="single" w:sz="4" w:space="0" w:color="auto"/>
              <w:left w:val="single" w:sz="4" w:space="0" w:color="auto"/>
              <w:right w:val="single" w:sz="4" w:space="0" w:color="FFFFFF"/>
            </w:tcBorders>
            <w:shd w:val="clear" w:color="auto" w:fill="0F243E"/>
            <w:vAlign w:val="center"/>
            <w:hideMark/>
          </w:tcPr>
          <w:p w:rsidR="00DA4470" w:rsidRPr="004761E0" w:rsidRDefault="00DA4470" w:rsidP="00DA4470">
            <w:pPr>
              <w:ind w:firstLine="0"/>
              <w:jc w:val="left"/>
              <w:rPr>
                <w:rFonts w:eastAsia="Times New Roman"/>
                <w:b/>
                <w:color w:val="FFFFFF"/>
                <w:sz w:val="20"/>
                <w:szCs w:val="20"/>
                <w:lang w:eastAsia="ru-RU"/>
              </w:rPr>
            </w:pPr>
            <w:r w:rsidRPr="004761E0">
              <w:rPr>
                <w:rFonts w:eastAsia="Times New Roman"/>
                <w:b/>
                <w:color w:val="FFFFFF"/>
                <w:sz w:val="20"/>
                <w:szCs w:val="20"/>
                <w:lang w:eastAsia="ru-RU"/>
              </w:rPr>
              <w:t>№ п/п</w:t>
            </w:r>
          </w:p>
        </w:tc>
        <w:tc>
          <w:tcPr>
            <w:tcW w:w="1728" w:type="pct"/>
            <w:vMerge w:val="restart"/>
            <w:tcBorders>
              <w:top w:val="single" w:sz="4" w:space="0" w:color="auto"/>
              <w:left w:val="single" w:sz="4" w:space="0" w:color="FFFFFF"/>
              <w:right w:val="single" w:sz="4" w:space="0" w:color="FFFFFF"/>
            </w:tcBorders>
            <w:shd w:val="clear" w:color="auto" w:fill="0F243E"/>
            <w:vAlign w:val="center"/>
            <w:hideMark/>
          </w:tcPr>
          <w:p w:rsidR="00DA4470" w:rsidRPr="004761E0" w:rsidRDefault="00DA4470" w:rsidP="00DA4470">
            <w:pPr>
              <w:ind w:firstLine="0"/>
              <w:jc w:val="left"/>
              <w:rPr>
                <w:rFonts w:eastAsia="Times New Roman"/>
                <w:b/>
                <w:color w:val="FFFFFF"/>
                <w:sz w:val="20"/>
                <w:szCs w:val="20"/>
                <w:lang w:eastAsia="ru-RU"/>
              </w:rPr>
            </w:pPr>
            <w:r w:rsidRPr="004761E0">
              <w:rPr>
                <w:rFonts w:eastAsia="Times New Roman"/>
                <w:b/>
                <w:color w:val="FFFFFF"/>
                <w:sz w:val="20"/>
                <w:szCs w:val="20"/>
                <w:lang w:eastAsia="ru-RU"/>
              </w:rPr>
              <w:t>Наименование категории</w:t>
            </w:r>
          </w:p>
        </w:tc>
        <w:tc>
          <w:tcPr>
            <w:tcW w:w="759" w:type="pct"/>
            <w:vMerge w:val="restart"/>
            <w:tcBorders>
              <w:top w:val="single" w:sz="4" w:space="0" w:color="auto"/>
              <w:left w:val="single" w:sz="4" w:space="0" w:color="FFFFFF"/>
              <w:right w:val="single" w:sz="4" w:space="0" w:color="FFFFFF"/>
            </w:tcBorders>
            <w:shd w:val="clear" w:color="auto" w:fill="0F243E"/>
            <w:vAlign w:val="center"/>
          </w:tcPr>
          <w:p w:rsidR="00DA4470" w:rsidRPr="004761E0" w:rsidRDefault="00DA4470" w:rsidP="00DA4470">
            <w:pPr>
              <w:ind w:firstLine="0"/>
              <w:jc w:val="left"/>
              <w:rPr>
                <w:rFonts w:eastAsia="Times New Roman"/>
                <w:b/>
                <w:color w:val="FFFFFF"/>
                <w:sz w:val="20"/>
                <w:szCs w:val="20"/>
                <w:lang w:eastAsia="ru-RU"/>
              </w:rPr>
            </w:pPr>
            <w:r w:rsidRPr="004761E0">
              <w:rPr>
                <w:rFonts w:eastAsia="Times New Roman"/>
                <w:b/>
                <w:color w:val="FFFFFF"/>
                <w:sz w:val="20"/>
                <w:szCs w:val="20"/>
                <w:lang w:eastAsia="ru-RU"/>
              </w:rPr>
              <w:t>Ед. изм.</w:t>
            </w:r>
          </w:p>
        </w:tc>
        <w:tc>
          <w:tcPr>
            <w:tcW w:w="413" w:type="pct"/>
            <w:vMerge w:val="restart"/>
            <w:tcBorders>
              <w:top w:val="single" w:sz="4" w:space="0" w:color="auto"/>
              <w:left w:val="single" w:sz="4" w:space="0" w:color="FFFFFF"/>
              <w:right w:val="single" w:sz="4" w:space="0" w:color="FFFFFF"/>
            </w:tcBorders>
            <w:shd w:val="clear" w:color="auto" w:fill="0F243E"/>
            <w:vAlign w:val="center"/>
            <w:hideMark/>
          </w:tcPr>
          <w:p w:rsidR="00DA4470" w:rsidRPr="004761E0" w:rsidRDefault="00DA4470" w:rsidP="00DA4470">
            <w:pPr>
              <w:ind w:firstLine="0"/>
              <w:jc w:val="right"/>
              <w:rPr>
                <w:rFonts w:eastAsia="Times New Roman"/>
                <w:b/>
                <w:color w:val="FFFFFF"/>
                <w:sz w:val="20"/>
                <w:szCs w:val="20"/>
                <w:lang w:eastAsia="ru-RU"/>
              </w:rPr>
            </w:pPr>
            <w:r w:rsidRPr="004761E0">
              <w:rPr>
                <w:rFonts w:eastAsia="Times New Roman"/>
                <w:b/>
                <w:color w:val="FFFFFF"/>
                <w:sz w:val="20"/>
                <w:szCs w:val="20"/>
                <w:lang w:eastAsia="ru-RU"/>
              </w:rPr>
              <w:t>2011</w:t>
            </w:r>
          </w:p>
        </w:tc>
        <w:tc>
          <w:tcPr>
            <w:tcW w:w="413" w:type="pct"/>
            <w:vMerge w:val="restart"/>
            <w:tcBorders>
              <w:top w:val="single" w:sz="4" w:space="0" w:color="auto"/>
              <w:left w:val="single" w:sz="4" w:space="0" w:color="FFFFFF"/>
              <w:right w:val="single" w:sz="4" w:space="0" w:color="FFFFFF"/>
            </w:tcBorders>
            <w:shd w:val="clear" w:color="auto" w:fill="0F243E"/>
            <w:vAlign w:val="center"/>
            <w:hideMark/>
          </w:tcPr>
          <w:p w:rsidR="00DA4470" w:rsidRPr="004761E0" w:rsidRDefault="00DA4470" w:rsidP="00DA4470">
            <w:pPr>
              <w:ind w:firstLine="0"/>
              <w:jc w:val="right"/>
              <w:rPr>
                <w:rFonts w:eastAsia="Times New Roman"/>
                <w:b/>
                <w:color w:val="FFFFFF"/>
                <w:sz w:val="20"/>
                <w:szCs w:val="20"/>
                <w:lang w:eastAsia="ru-RU"/>
              </w:rPr>
            </w:pPr>
            <w:r w:rsidRPr="004761E0">
              <w:rPr>
                <w:rFonts w:eastAsia="Times New Roman"/>
                <w:b/>
                <w:color w:val="FFFFFF"/>
                <w:sz w:val="20"/>
                <w:szCs w:val="20"/>
                <w:lang w:eastAsia="ru-RU"/>
              </w:rPr>
              <w:t>2012</w:t>
            </w:r>
          </w:p>
        </w:tc>
        <w:tc>
          <w:tcPr>
            <w:tcW w:w="865" w:type="pct"/>
            <w:gridSpan w:val="2"/>
            <w:tcBorders>
              <w:top w:val="single" w:sz="4" w:space="0" w:color="auto"/>
              <w:left w:val="single" w:sz="4" w:space="0" w:color="FFFFFF"/>
              <w:bottom w:val="single" w:sz="4" w:space="0" w:color="FFFFFF"/>
              <w:right w:val="single" w:sz="4" w:space="0" w:color="FFFFFF"/>
            </w:tcBorders>
            <w:shd w:val="clear" w:color="auto" w:fill="0F243E"/>
          </w:tcPr>
          <w:p w:rsidR="00DA4470" w:rsidRPr="004761E0" w:rsidRDefault="00DA4470" w:rsidP="00DA4470">
            <w:pPr>
              <w:ind w:firstLine="0"/>
              <w:jc w:val="center"/>
              <w:rPr>
                <w:rFonts w:eastAsia="Times New Roman"/>
                <w:b/>
                <w:color w:val="FFFFFF"/>
                <w:sz w:val="20"/>
                <w:szCs w:val="20"/>
                <w:lang w:eastAsia="ru-RU"/>
              </w:rPr>
            </w:pPr>
            <w:r w:rsidRPr="004761E0">
              <w:rPr>
                <w:rFonts w:eastAsia="Times New Roman"/>
                <w:b/>
                <w:color w:val="FFFFFF"/>
                <w:sz w:val="20"/>
                <w:szCs w:val="20"/>
                <w:lang w:eastAsia="ru-RU"/>
              </w:rPr>
              <w:t>2013</w:t>
            </w:r>
          </w:p>
        </w:tc>
        <w:tc>
          <w:tcPr>
            <w:tcW w:w="505" w:type="pct"/>
            <w:vMerge w:val="restart"/>
            <w:tcBorders>
              <w:top w:val="single" w:sz="4" w:space="0" w:color="auto"/>
              <w:left w:val="single" w:sz="4" w:space="0" w:color="FFFFFF"/>
              <w:right w:val="single" w:sz="4" w:space="0" w:color="auto"/>
            </w:tcBorders>
            <w:shd w:val="clear" w:color="auto" w:fill="0F243E"/>
            <w:vAlign w:val="center"/>
            <w:hideMark/>
          </w:tcPr>
          <w:p w:rsidR="00DA4470" w:rsidRPr="004761E0" w:rsidRDefault="00DA4470" w:rsidP="00DA4470">
            <w:pPr>
              <w:ind w:firstLine="0"/>
              <w:jc w:val="right"/>
              <w:rPr>
                <w:rFonts w:eastAsia="Times New Roman"/>
                <w:b/>
                <w:color w:val="FFFFFF"/>
                <w:sz w:val="20"/>
                <w:szCs w:val="20"/>
                <w:lang w:eastAsia="ru-RU"/>
              </w:rPr>
            </w:pPr>
            <w:r w:rsidRPr="004761E0">
              <w:rPr>
                <w:rFonts w:eastAsia="Times New Roman"/>
                <w:b/>
                <w:color w:val="FFFFFF"/>
                <w:sz w:val="20"/>
                <w:szCs w:val="20"/>
                <w:lang w:eastAsia="ru-RU"/>
              </w:rPr>
              <w:t>2013/2012</w:t>
            </w:r>
          </w:p>
        </w:tc>
      </w:tr>
      <w:tr w:rsidR="00DA4470" w:rsidRPr="004761E0" w:rsidTr="00091B98">
        <w:trPr>
          <w:cantSplit/>
          <w:trHeight w:val="201"/>
        </w:trPr>
        <w:tc>
          <w:tcPr>
            <w:tcW w:w="317" w:type="pct"/>
            <w:vMerge/>
            <w:tcBorders>
              <w:left w:val="single" w:sz="4" w:space="0" w:color="auto"/>
              <w:bottom w:val="single" w:sz="4" w:space="0" w:color="auto"/>
              <w:right w:val="single" w:sz="4" w:space="0" w:color="FFFFFF"/>
            </w:tcBorders>
            <w:shd w:val="clear" w:color="auto" w:fill="0F243E"/>
            <w:vAlign w:val="center"/>
            <w:hideMark/>
          </w:tcPr>
          <w:p w:rsidR="00DA4470" w:rsidRPr="004761E0" w:rsidRDefault="00DA4470" w:rsidP="00DA4470">
            <w:pPr>
              <w:ind w:firstLine="0"/>
              <w:jc w:val="left"/>
              <w:rPr>
                <w:rFonts w:eastAsia="Times New Roman"/>
                <w:b/>
                <w:color w:val="FFFFFF"/>
                <w:sz w:val="20"/>
                <w:szCs w:val="20"/>
                <w:lang w:eastAsia="ru-RU"/>
              </w:rPr>
            </w:pPr>
          </w:p>
        </w:tc>
        <w:tc>
          <w:tcPr>
            <w:tcW w:w="1728" w:type="pct"/>
            <w:vMerge/>
            <w:tcBorders>
              <w:left w:val="single" w:sz="4" w:space="0" w:color="FFFFFF"/>
              <w:bottom w:val="single" w:sz="4" w:space="0" w:color="auto"/>
              <w:right w:val="single" w:sz="4" w:space="0" w:color="FFFFFF"/>
            </w:tcBorders>
            <w:shd w:val="clear" w:color="auto" w:fill="0F243E"/>
            <w:vAlign w:val="center"/>
            <w:hideMark/>
          </w:tcPr>
          <w:p w:rsidR="00DA4470" w:rsidRPr="004761E0" w:rsidRDefault="00DA4470" w:rsidP="00DA4470">
            <w:pPr>
              <w:ind w:firstLine="0"/>
              <w:jc w:val="left"/>
              <w:rPr>
                <w:rFonts w:eastAsia="Times New Roman"/>
                <w:b/>
                <w:color w:val="FFFFFF"/>
                <w:sz w:val="20"/>
                <w:szCs w:val="20"/>
                <w:lang w:eastAsia="ru-RU"/>
              </w:rPr>
            </w:pPr>
          </w:p>
        </w:tc>
        <w:tc>
          <w:tcPr>
            <w:tcW w:w="759" w:type="pct"/>
            <w:vMerge/>
            <w:tcBorders>
              <w:left w:val="single" w:sz="4" w:space="0" w:color="FFFFFF"/>
              <w:bottom w:val="single" w:sz="4" w:space="0" w:color="auto"/>
              <w:right w:val="single" w:sz="4" w:space="0" w:color="FFFFFF"/>
            </w:tcBorders>
            <w:shd w:val="clear" w:color="auto" w:fill="0F243E"/>
            <w:vAlign w:val="center"/>
          </w:tcPr>
          <w:p w:rsidR="00DA4470" w:rsidRPr="004761E0" w:rsidRDefault="00DA4470" w:rsidP="00DA4470">
            <w:pPr>
              <w:ind w:firstLine="0"/>
              <w:jc w:val="left"/>
              <w:rPr>
                <w:rFonts w:eastAsia="Times New Roman"/>
                <w:b/>
                <w:color w:val="FFFFFF"/>
                <w:sz w:val="20"/>
                <w:szCs w:val="20"/>
                <w:lang w:eastAsia="ru-RU"/>
              </w:rPr>
            </w:pPr>
          </w:p>
        </w:tc>
        <w:tc>
          <w:tcPr>
            <w:tcW w:w="413" w:type="pct"/>
            <w:vMerge/>
            <w:tcBorders>
              <w:left w:val="single" w:sz="4" w:space="0" w:color="FFFFFF"/>
              <w:bottom w:val="single" w:sz="4" w:space="0" w:color="auto"/>
              <w:right w:val="single" w:sz="4" w:space="0" w:color="FFFFFF"/>
            </w:tcBorders>
            <w:shd w:val="clear" w:color="auto" w:fill="0F243E"/>
            <w:vAlign w:val="center"/>
            <w:hideMark/>
          </w:tcPr>
          <w:p w:rsidR="00DA4470" w:rsidRPr="004761E0" w:rsidRDefault="00DA4470" w:rsidP="00DA4470">
            <w:pPr>
              <w:ind w:firstLine="0"/>
              <w:jc w:val="right"/>
              <w:rPr>
                <w:rFonts w:eastAsia="Times New Roman"/>
                <w:b/>
                <w:color w:val="FFFFFF"/>
                <w:sz w:val="20"/>
                <w:szCs w:val="20"/>
                <w:lang w:eastAsia="ru-RU"/>
              </w:rPr>
            </w:pPr>
          </w:p>
        </w:tc>
        <w:tc>
          <w:tcPr>
            <w:tcW w:w="413" w:type="pct"/>
            <w:vMerge/>
            <w:tcBorders>
              <w:left w:val="single" w:sz="4" w:space="0" w:color="FFFFFF"/>
              <w:bottom w:val="single" w:sz="4" w:space="0" w:color="auto"/>
              <w:right w:val="single" w:sz="4" w:space="0" w:color="FFFFFF"/>
            </w:tcBorders>
            <w:shd w:val="clear" w:color="auto" w:fill="0F243E"/>
            <w:vAlign w:val="center"/>
            <w:hideMark/>
          </w:tcPr>
          <w:p w:rsidR="00DA4470" w:rsidRPr="004761E0" w:rsidRDefault="00DA4470" w:rsidP="00DA4470">
            <w:pPr>
              <w:ind w:firstLine="0"/>
              <w:jc w:val="right"/>
              <w:rPr>
                <w:rFonts w:eastAsia="Times New Roman"/>
                <w:b/>
                <w:color w:val="FFFFFF"/>
                <w:sz w:val="20"/>
                <w:szCs w:val="20"/>
                <w:lang w:eastAsia="ru-RU"/>
              </w:rPr>
            </w:pPr>
          </w:p>
        </w:tc>
        <w:tc>
          <w:tcPr>
            <w:tcW w:w="413" w:type="pct"/>
            <w:tcBorders>
              <w:top w:val="single" w:sz="4" w:space="0" w:color="FFFFFF"/>
              <w:left w:val="single" w:sz="4" w:space="0" w:color="FFFFFF"/>
              <w:bottom w:val="single" w:sz="4" w:space="0" w:color="auto"/>
              <w:right w:val="single" w:sz="4" w:space="0" w:color="FFFFFF"/>
            </w:tcBorders>
            <w:shd w:val="clear" w:color="auto" w:fill="0F243E"/>
          </w:tcPr>
          <w:p w:rsidR="00DA4470" w:rsidRPr="004761E0" w:rsidRDefault="00DA4470" w:rsidP="00DA4470">
            <w:pPr>
              <w:ind w:firstLine="0"/>
              <w:jc w:val="right"/>
              <w:rPr>
                <w:rFonts w:eastAsia="Times New Roman"/>
                <w:b/>
                <w:color w:val="FFFFFF"/>
                <w:sz w:val="20"/>
                <w:szCs w:val="20"/>
                <w:lang w:eastAsia="ru-RU"/>
              </w:rPr>
            </w:pPr>
            <w:r w:rsidRPr="004761E0">
              <w:rPr>
                <w:rFonts w:eastAsia="Times New Roman"/>
                <w:b/>
                <w:color w:val="FFFFFF"/>
                <w:sz w:val="20"/>
                <w:szCs w:val="20"/>
                <w:lang w:eastAsia="ru-RU"/>
              </w:rPr>
              <w:t>План</w:t>
            </w:r>
          </w:p>
        </w:tc>
        <w:tc>
          <w:tcPr>
            <w:tcW w:w="452" w:type="pct"/>
            <w:tcBorders>
              <w:top w:val="single" w:sz="4" w:space="0" w:color="FFFFFF"/>
              <w:left w:val="single" w:sz="4" w:space="0" w:color="FFFFFF"/>
              <w:bottom w:val="single" w:sz="4" w:space="0" w:color="auto"/>
              <w:right w:val="single" w:sz="4" w:space="0" w:color="FFFFFF"/>
            </w:tcBorders>
            <w:shd w:val="clear" w:color="auto" w:fill="0F243E"/>
            <w:vAlign w:val="center"/>
            <w:hideMark/>
          </w:tcPr>
          <w:p w:rsidR="00DA4470" w:rsidRPr="004761E0" w:rsidRDefault="00DA4470" w:rsidP="00DA4470">
            <w:pPr>
              <w:ind w:firstLine="0"/>
              <w:jc w:val="right"/>
              <w:rPr>
                <w:rFonts w:eastAsia="Times New Roman"/>
                <w:b/>
                <w:color w:val="FFFFFF"/>
                <w:sz w:val="20"/>
                <w:szCs w:val="20"/>
                <w:lang w:eastAsia="ru-RU"/>
              </w:rPr>
            </w:pPr>
            <w:r w:rsidRPr="004761E0">
              <w:rPr>
                <w:rFonts w:eastAsia="Times New Roman"/>
                <w:b/>
                <w:color w:val="FFFFFF"/>
                <w:sz w:val="20"/>
                <w:szCs w:val="20"/>
                <w:lang w:eastAsia="ru-RU"/>
              </w:rPr>
              <w:t>Факт</w:t>
            </w:r>
          </w:p>
        </w:tc>
        <w:tc>
          <w:tcPr>
            <w:tcW w:w="505" w:type="pct"/>
            <w:vMerge/>
            <w:tcBorders>
              <w:left w:val="single" w:sz="4" w:space="0" w:color="FFFFFF"/>
              <w:bottom w:val="single" w:sz="4" w:space="0" w:color="auto"/>
              <w:right w:val="single" w:sz="4" w:space="0" w:color="auto"/>
            </w:tcBorders>
            <w:shd w:val="clear" w:color="auto" w:fill="0F243E"/>
            <w:vAlign w:val="center"/>
            <w:hideMark/>
          </w:tcPr>
          <w:p w:rsidR="00DA4470" w:rsidRPr="004761E0" w:rsidRDefault="00DA4470" w:rsidP="00DA4470">
            <w:pPr>
              <w:ind w:firstLine="0"/>
              <w:jc w:val="right"/>
              <w:rPr>
                <w:rFonts w:eastAsia="Times New Roman"/>
                <w:b/>
                <w:color w:val="FFFFFF"/>
                <w:sz w:val="20"/>
                <w:szCs w:val="20"/>
                <w:lang w:eastAsia="ru-RU"/>
              </w:rPr>
            </w:pPr>
          </w:p>
        </w:tc>
      </w:tr>
      <w:tr w:rsidR="00DA4470" w:rsidRPr="004761E0" w:rsidTr="00091B98">
        <w:trPr>
          <w:cantSplit/>
        </w:trPr>
        <w:tc>
          <w:tcPr>
            <w:tcW w:w="317" w:type="pct"/>
            <w:vMerge w:val="restart"/>
            <w:tcBorders>
              <w:top w:val="nil"/>
              <w:left w:val="single" w:sz="4" w:space="0" w:color="auto"/>
              <w:right w:val="single" w:sz="4" w:space="0" w:color="auto"/>
            </w:tcBorders>
            <w:shd w:val="clear" w:color="auto" w:fill="auto"/>
            <w:vAlign w:val="center"/>
            <w:hideMark/>
          </w:tcPr>
          <w:p w:rsidR="00DA4470" w:rsidRPr="004761E0" w:rsidRDefault="00DA4470" w:rsidP="007076A7">
            <w:pPr>
              <w:numPr>
                <w:ilvl w:val="0"/>
                <w:numId w:val="48"/>
              </w:numPr>
              <w:jc w:val="left"/>
              <w:rPr>
                <w:rFonts w:eastAsia="Times New Roman"/>
                <w:color w:val="000000"/>
                <w:sz w:val="20"/>
                <w:szCs w:val="20"/>
                <w:lang w:eastAsia="ru-RU"/>
              </w:rPr>
            </w:pPr>
          </w:p>
        </w:tc>
        <w:tc>
          <w:tcPr>
            <w:tcW w:w="1728" w:type="pct"/>
            <w:vMerge w:val="restart"/>
            <w:tcBorders>
              <w:top w:val="single" w:sz="4" w:space="0" w:color="auto"/>
              <w:left w:val="nil"/>
              <w:right w:val="single" w:sz="4" w:space="0" w:color="auto"/>
            </w:tcBorders>
            <w:shd w:val="clear" w:color="auto" w:fill="auto"/>
            <w:vAlign w:val="center"/>
          </w:tcPr>
          <w:p w:rsidR="00DA4470" w:rsidRPr="004761E0" w:rsidRDefault="00DA4470" w:rsidP="00DA4470">
            <w:pPr>
              <w:ind w:firstLine="0"/>
              <w:rPr>
                <w:rFonts w:eastAsia="Times New Roman"/>
                <w:color w:val="000000"/>
                <w:sz w:val="20"/>
                <w:szCs w:val="20"/>
                <w:lang w:eastAsia="ru-RU"/>
              </w:rPr>
            </w:pPr>
            <w:r w:rsidRPr="004761E0">
              <w:rPr>
                <w:rFonts w:eastAsia="Times New Roman"/>
                <w:color w:val="000000"/>
                <w:sz w:val="20"/>
                <w:szCs w:val="20"/>
                <w:lang w:eastAsia="ru-RU"/>
              </w:rPr>
              <w:t>Потери электроэнергии (всего), в т.ч.:</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DA4470" w:rsidRPr="004761E0" w:rsidRDefault="00DA4470" w:rsidP="00DA4470">
            <w:pPr>
              <w:ind w:firstLine="0"/>
              <w:jc w:val="left"/>
              <w:rPr>
                <w:rFonts w:eastAsia="Times New Roman"/>
                <w:color w:val="000000"/>
                <w:sz w:val="20"/>
                <w:szCs w:val="20"/>
                <w:lang w:eastAsia="ru-RU"/>
              </w:rPr>
            </w:pPr>
            <w:r w:rsidRPr="004761E0">
              <w:rPr>
                <w:rFonts w:eastAsia="Times New Roman"/>
                <w:color w:val="000000"/>
                <w:sz w:val="20"/>
                <w:szCs w:val="20"/>
                <w:lang w:eastAsia="ru-RU"/>
              </w:rPr>
              <w:t>млн кВтч</w:t>
            </w:r>
          </w:p>
        </w:tc>
        <w:tc>
          <w:tcPr>
            <w:tcW w:w="413" w:type="pct"/>
            <w:tcBorders>
              <w:top w:val="nil"/>
              <w:left w:val="nil"/>
              <w:bottom w:val="single" w:sz="4" w:space="0" w:color="auto"/>
              <w:right w:val="single" w:sz="4" w:space="0" w:color="auto"/>
            </w:tcBorders>
            <w:shd w:val="clear" w:color="auto" w:fill="auto"/>
            <w:vAlign w:val="center"/>
          </w:tcPr>
          <w:p w:rsidR="00DA4470" w:rsidRPr="004761E0" w:rsidRDefault="00DA4470" w:rsidP="00091B98">
            <w:pPr>
              <w:ind w:firstLine="0"/>
              <w:jc w:val="right"/>
              <w:rPr>
                <w:rFonts w:eastAsia="Times New Roman"/>
                <w:color w:val="000000"/>
                <w:sz w:val="20"/>
                <w:szCs w:val="20"/>
                <w:lang w:eastAsia="ru-RU"/>
              </w:rPr>
            </w:pPr>
            <w:r w:rsidRPr="004761E0">
              <w:rPr>
                <w:color w:val="000000"/>
                <w:sz w:val="20"/>
                <w:szCs w:val="20"/>
              </w:rPr>
              <w:t>8 695,6</w:t>
            </w:r>
          </w:p>
        </w:tc>
        <w:tc>
          <w:tcPr>
            <w:tcW w:w="413" w:type="pct"/>
            <w:tcBorders>
              <w:top w:val="nil"/>
              <w:left w:val="nil"/>
              <w:bottom w:val="single" w:sz="4" w:space="0" w:color="auto"/>
              <w:right w:val="single" w:sz="4" w:space="0" w:color="auto"/>
            </w:tcBorders>
            <w:shd w:val="clear" w:color="auto" w:fill="auto"/>
            <w:vAlign w:val="center"/>
          </w:tcPr>
          <w:p w:rsidR="00DA4470" w:rsidRPr="004761E0" w:rsidRDefault="00DA4470" w:rsidP="00091B98">
            <w:pPr>
              <w:ind w:firstLine="0"/>
              <w:jc w:val="right"/>
              <w:rPr>
                <w:color w:val="000000"/>
                <w:sz w:val="20"/>
                <w:szCs w:val="20"/>
              </w:rPr>
            </w:pPr>
            <w:r w:rsidRPr="004761E0">
              <w:rPr>
                <w:color w:val="000000"/>
                <w:sz w:val="20"/>
                <w:szCs w:val="20"/>
              </w:rPr>
              <w:t>8 369,5</w:t>
            </w:r>
          </w:p>
        </w:tc>
        <w:tc>
          <w:tcPr>
            <w:tcW w:w="413" w:type="pct"/>
            <w:tcBorders>
              <w:top w:val="single" w:sz="4" w:space="0" w:color="auto"/>
              <w:left w:val="nil"/>
              <w:bottom w:val="single" w:sz="4" w:space="0" w:color="auto"/>
              <w:right w:val="single" w:sz="4" w:space="0" w:color="auto"/>
            </w:tcBorders>
            <w:vAlign w:val="center"/>
          </w:tcPr>
          <w:p w:rsidR="00DA4470" w:rsidRPr="004761E0" w:rsidRDefault="00DA4470" w:rsidP="00091B98">
            <w:pPr>
              <w:ind w:firstLine="0"/>
              <w:jc w:val="right"/>
              <w:rPr>
                <w:color w:val="000000"/>
                <w:sz w:val="20"/>
                <w:szCs w:val="20"/>
              </w:rPr>
            </w:pPr>
            <w:r w:rsidRPr="004761E0">
              <w:rPr>
                <w:color w:val="000000"/>
                <w:sz w:val="20"/>
                <w:szCs w:val="20"/>
              </w:rPr>
              <w:t>8 188,4</w:t>
            </w:r>
          </w:p>
        </w:tc>
        <w:tc>
          <w:tcPr>
            <w:tcW w:w="452" w:type="pct"/>
            <w:tcBorders>
              <w:top w:val="nil"/>
              <w:left w:val="single" w:sz="4" w:space="0" w:color="auto"/>
              <w:bottom w:val="single" w:sz="4" w:space="0" w:color="auto"/>
              <w:right w:val="single" w:sz="4" w:space="0" w:color="auto"/>
            </w:tcBorders>
            <w:shd w:val="clear" w:color="auto" w:fill="auto"/>
            <w:vAlign w:val="center"/>
          </w:tcPr>
          <w:p w:rsidR="00DA4470" w:rsidRPr="004761E0" w:rsidRDefault="00DA4470" w:rsidP="00091B98">
            <w:pPr>
              <w:ind w:firstLine="0"/>
              <w:jc w:val="right"/>
              <w:rPr>
                <w:color w:val="000000"/>
                <w:sz w:val="20"/>
                <w:szCs w:val="20"/>
              </w:rPr>
            </w:pPr>
            <w:r w:rsidRPr="004761E0">
              <w:rPr>
                <w:color w:val="000000"/>
                <w:sz w:val="20"/>
                <w:szCs w:val="20"/>
              </w:rPr>
              <w:t>8 082,0</w:t>
            </w:r>
          </w:p>
        </w:tc>
        <w:tc>
          <w:tcPr>
            <w:tcW w:w="505" w:type="pct"/>
            <w:tcBorders>
              <w:top w:val="nil"/>
              <w:left w:val="nil"/>
              <w:bottom w:val="single" w:sz="4" w:space="0" w:color="auto"/>
              <w:right w:val="single" w:sz="4" w:space="0" w:color="auto"/>
            </w:tcBorders>
            <w:shd w:val="clear" w:color="auto" w:fill="auto"/>
            <w:vAlign w:val="center"/>
          </w:tcPr>
          <w:p w:rsidR="00DA4470" w:rsidRPr="004761E0" w:rsidRDefault="00DA4470" w:rsidP="00091B98">
            <w:pPr>
              <w:ind w:firstLine="0"/>
              <w:jc w:val="right"/>
              <w:rPr>
                <w:color w:val="000000"/>
                <w:sz w:val="20"/>
                <w:szCs w:val="20"/>
              </w:rPr>
            </w:pPr>
            <w:r w:rsidRPr="004761E0">
              <w:rPr>
                <w:color w:val="000000"/>
                <w:sz w:val="20"/>
                <w:szCs w:val="20"/>
              </w:rPr>
              <w:t>-3,44 %</w:t>
            </w:r>
          </w:p>
        </w:tc>
      </w:tr>
      <w:tr w:rsidR="00DA4470" w:rsidRPr="004761E0" w:rsidTr="00091B98">
        <w:trPr>
          <w:cantSplit/>
        </w:trPr>
        <w:tc>
          <w:tcPr>
            <w:tcW w:w="317" w:type="pct"/>
            <w:vMerge/>
            <w:tcBorders>
              <w:left w:val="single" w:sz="4" w:space="0" w:color="auto"/>
              <w:bottom w:val="single" w:sz="4" w:space="0" w:color="auto"/>
              <w:right w:val="single" w:sz="4" w:space="0" w:color="auto"/>
            </w:tcBorders>
            <w:shd w:val="clear" w:color="auto" w:fill="auto"/>
            <w:vAlign w:val="center"/>
          </w:tcPr>
          <w:p w:rsidR="00DA4470" w:rsidRPr="004761E0" w:rsidRDefault="00DA4470" w:rsidP="00DA4470">
            <w:pPr>
              <w:pStyle w:val="a5"/>
              <w:ind w:left="360" w:firstLine="0"/>
              <w:contextualSpacing w:val="0"/>
              <w:jc w:val="left"/>
              <w:rPr>
                <w:rFonts w:eastAsia="Times New Roman"/>
                <w:color w:val="000000"/>
                <w:sz w:val="20"/>
                <w:szCs w:val="20"/>
                <w:lang w:eastAsia="ru-RU"/>
              </w:rPr>
            </w:pPr>
          </w:p>
        </w:tc>
        <w:tc>
          <w:tcPr>
            <w:tcW w:w="1728" w:type="pct"/>
            <w:vMerge/>
            <w:tcBorders>
              <w:left w:val="nil"/>
              <w:bottom w:val="single" w:sz="4" w:space="0" w:color="auto"/>
              <w:right w:val="single" w:sz="4" w:space="0" w:color="auto"/>
            </w:tcBorders>
            <w:shd w:val="clear" w:color="auto" w:fill="auto"/>
            <w:vAlign w:val="center"/>
          </w:tcPr>
          <w:p w:rsidR="00DA4470" w:rsidRPr="004761E0" w:rsidRDefault="00DA4470" w:rsidP="00091B98">
            <w:pPr>
              <w:ind w:firstLineChars="200" w:firstLine="400"/>
              <w:jc w:val="left"/>
              <w:rPr>
                <w:rFonts w:eastAsia="Times New Roman"/>
                <w:color w:val="000000"/>
                <w:sz w:val="20"/>
                <w:szCs w:val="20"/>
                <w:lang w:eastAsia="ru-RU"/>
              </w:rPr>
            </w:pP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DA4470" w:rsidRPr="004761E0" w:rsidRDefault="00DA4470" w:rsidP="00DA4470">
            <w:pPr>
              <w:ind w:firstLine="0"/>
              <w:jc w:val="left"/>
              <w:rPr>
                <w:rFonts w:eastAsia="Times New Roman"/>
                <w:color w:val="000000"/>
                <w:sz w:val="20"/>
                <w:szCs w:val="20"/>
                <w:lang w:eastAsia="ru-RU"/>
              </w:rPr>
            </w:pPr>
            <w:r w:rsidRPr="004761E0">
              <w:rPr>
                <w:rFonts w:eastAsia="Times New Roman"/>
                <w:color w:val="000000"/>
                <w:sz w:val="20"/>
                <w:szCs w:val="20"/>
                <w:lang w:eastAsia="ru-RU"/>
              </w:rPr>
              <w:t>% к отпуску в сеть</w:t>
            </w:r>
          </w:p>
        </w:tc>
        <w:tc>
          <w:tcPr>
            <w:tcW w:w="413"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091B98">
            <w:pPr>
              <w:ind w:firstLine="0"/>
              <w:jc w:val="right"/>
              <w:rPr>
                <w:rFonts w:eastAsia="Times New Roman"/>
                <w:color w:val="000000"/>
                <w:sz w:val="20"/>
                <w:szCs w:val="20"/>
                <w:lang w:eastAsia="ru-RU"/>
              </w:rPr>
            </w:pPr>
            <w:r w:rsidRPr="004761E0">
              <w:rPr>
                <w:color w:val="000000"/>
                <w:sz w:val="20"/>
                <w:szCs w:val="20"/>
              </w:rPr>
              <w:t>10,33</w:t>
            </w:r>
          </w:p>
        </w:tc>
        <w:tc>
          <w:tcPr>
            <w:tcW w:w="413"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091B98">
            <w:pPr>
              <w:ind w:firstLine="0"/>
              <w:jc w:val="right"/>
              <w:rPr>
                <w:color w:val="000000"/>
                <w:sz w:val="20"/>
                <w:szCs w:val="20"/>
              </w:rPr>
            </w:pPr>
            <w:r w:rsidRPr="004761E0">
              <w:rPr>
                <w:color w:val="000000"/>
                <w:sz w:val="20"/>
                <w:szCs w:val="20"/>
              </w:rPr>
              <w:t>9,63</w:t>
            </w:r>
          </w:p>
        </w:tc>
        <w:tc>
          <w:tcPr>
            <w:tcW w:w="413" w:type="pct"/>
            <w:tcBorders>
              <w:top w:val="single" w:sz="4" w:space="0" w:color="auto"/>
              <w:left w:val="nil"/>
              <w:bottom w:val="single" w:sz="4" w:space="0" w:color="auto"/>
              <w:right w:val="single" w:sz="4" w:space="0" w:color="auto"/>
            </w:tcBorders>
            <w:vAlign w:val="center"/>
          </w:tcPr>
          <w:p w:rsidR="00DA4470" w:rsidRPr="004761E0" w:rsidRDefault="00DA4470" w:rsidP="00091B98">
            <w:pPr>
              <w:ind w:firstLine="0"/>
              <w:jc w:val="right"/>
              <w:rPr>
                <w:color w:val="000000"/>
                <w:sz w:val="20"/>
                <w:szCs w:val="20"/>
              </w:rPr>
            </w:pPr>
            <w:r w:rsidRPr="004761E0">
              <w:rPr>
                <w:color w:val="000000"/>
                <w:sz w:val="20"/>
                <w:szCs w:val="20"/>
              </w:rPr>
              <w:t>9,34</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A4470" w:rsidRPr="004761E0" w:rsidRDefault="00DA4470" w:rsidP="00091B98">
            <w:pPr>
              <w:ind w:firstLine="0"/>
              <w:jc w:val="right"/>
              <w:rPr>
                <w:color w:val="000000"/>
                <w:sz w:val="20"/>
                <w:szCs w:val="20"/>
              </w:rPr>
            </w:pPr>
            <w:r w:rsidRPr="004761E0">
              <w:rPr>
                <w:color w:val="000000"/>
                <w:sz w:val="20"/>
                <w:szCs w:val="20"/>
              </w:rPr>
              <w:t>9,16</w:t>
            </w:r>
          </w:p>
        </w:tc>
        <w:tc>
          <w:tcPr>
            <w:tcW w:w="505"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091B98">
            <w:pPr>
              <w:ind w:firstLine="0"/>
              <w:jc w:val="right"/>
              <w:rPr>
                <w:color w:val="000000"/>
                <w:sz w:val="20"/>
                <w:szCs w:val="20"/>
              </w:rPr>
            </w:pPr>
            <w:r w:rsidRPr="004761E0">
              <w:rPr>
                <w:color w:val="000000"/>
                <w:sz w:val="20"/>
                <w:szCs w:val="20"/>
              </w:rPr>
              <w:t>-0,47 п.п.</w:t>
            </w:r>
          </w:p>
        </w:tc>
      </w:tr>
      <w:tr w:rsidR="00DA4470" w:rsidRPr="004761E0" w:rsidTr="00091B98">
        <w:trPr>
          <w:cantSplit/>
        </w:trPr>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DA4470" w:rsidRPr="004761E0" w:rsidRDefault="00DA4470" w:rsidP="007076A7">
            <w:pPr>
              <w:pStyle w:val="a5"/>
              <w:numPr>
                <w:ilvl w:val="1"/>
                <w:numId w:val="48"/>
              </w:numPr>
              <w:contextualSpacing w:val="0"/>
              <w:jc w:val="left"/>
              <w:rPr>
                <w:rFonts w:eastAsia="Times New Roman"/>
                <w:color w:val="000000"/>
                <w:sz w:val="20"/>
                <w:szCs w:val="20"/>
                <w:lang w:eastAsia="ru-RU"/>
              </w:rPr>
            </w:pPr>
          </w:p>
        </w:tc>
        <w:tc>
          <w:tcPr>
            <w:tcW w:w="1728"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091B98">
            <w:pPr>
              <w:ind w:left="317" w:firstLine="0"/>
              <w:jc w:val="left"/>
              <w:rPr>
                <w:rFonts w:eastAsia="Times New Roman"/>
                <w:color w:val="000000"/>
                <w:sz w:val="20"/>
                <w:szCs w:val="20"/>
                <w:lang w:eastAsia="ru-RU"/>
              </w:rPr>
            </w:pPr>
            <w:r w:rsidRPr="004761E0">
              <w:rPr>
                <w:rFonts w:eastAsia="Times New Roman"/>
                <w:color w:val="000000"/>
                <w:sz w:val="20"/>
                <w:szCs w:val="20"/>
                <w:lang w:eastAsia="ru-RU"/>
              </w:rPr>
              <w:t>потребление электроэнергии  на собственные нужды подстанций</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DA4470" w:rsidRPr="004761E0" w:rsidRDefault="00DA4470" w:rsidP="00DA4470">
            <w:pPr>
              <w:ind w:firstLine="0"/>
              <w:jc w:val="left"/>
              <w:rPr>
                <w:rFonts w:eastAsia="Times New Roman"/>
                <w:color w:val="000000"/>
                <w:sz w:val="20"/>
                <w:szCs w:val="20"/>
                <w:lang w:eastAsia="ru-RU"/>
              </w:rPr>
            </w:pPr>
            <w:r w:rsidRPr="004761E0">
              <w:rPr>
                <w:rFonts w:eastAsia="Times New Roman"/>
                <w:color w:val="000000"/>
                <w:sz w:val="20"/>
                <w:szCs w:val="20"/>
                <w:lang w:eastAsia="ru-RU"/>
              </w:rPr>
              <w:t>млн кВтч</w:t>
            </w:r>
          </w:p>
        </w:tc>
        <w:tc>
          <w:tcPr>
            <w:tcW w:w="413"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091B98">
            <w:pPr>
              <w:ind w:firstLine="0"/>
              <w:jc w:val="right"/>
              <w:rPr>
                <w:rFonts w:eastAsia="Times New Roman"/>
                <w:color w:val="000000"/>
                <w:sz w:val="20"/>
                <w:szCs w:val="20"/>
                <w:lang w:eastAsia="ru-RU"/>
              </w:rPr>
            </w:pPr>
            <w:r w:rsidRPr="004761E0">
              <w:rPr>
                <w:color w:val="000000"/>
                <w:sz w:val="20"/>
                <w:szCs w:val="20"/>
              </w:rPr>
              <w:t>250,8</w:t>
            </w:r>
          </w:p>
        </w:tc>
        <w:tc>
          <w:tcPr>
            <w:tcW w:w="413"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091B98">
            <w:pPr>
              <w:ind w:firstLine="0"/>
              <w:jc w:val="right"/>
              <w:rPr>
                <w:color w:val="000000"/>
                <w:sz w:val="20"/>
                <w:szCs w:val="20"/>
              </w:rPr>
            </w:pPr>
            <w:r w:rsidRPr="004761E0">
              <w:rPr>
                <w:color w:val="000000"/>
                <w:sz w:val="20"/>
                <w:szCs w:val="20"/>
              </w:rPr>
              <w:t>249,5</w:t>
            </w:r>
          </w:p>
        </w:tc>
        <w:tc>
          <w:tcPr>
            <w:tcW w:w="413" w:type="pct"/>
            <w:tcBorders>
              <w:top w:val="single" w:sz="4" w:space="0" w:color="auto"/>
              <w:left w:val="nil"/>
              <w:bottom w:val="single" w:sz="4" w:space="0" w:color="auto"/>
              <w:right w:val="single" w:sz="4" w:space="0" w:color="auto"/>
            </w:tcBorders>
            <w:vAlign w:val="center"/>
          </w:tcPr>
          <w:p w:rsidR="00DA4470" w:rsidRPr="004761E0" w:rsidRDefault="00DA4470" w:rsidP="00091B98">
            <w:pPr>
              <w:ind w:firstLine="0"/>
              <w:jc w:val="right"/>
              <w:rPr>
                <w:color w:val="000000"/>
                <w:sz w:val="20"/>
                <w:szCs w:val="20"/>
              </w:rPr>
            </w:pPr>
            <w:r w:rsidRPr="004761E0">
              <w:rPr>
                <w:color w:val="000000"/>
                <w:sz w:val="20"/>
                <w:szCs w:val="20"/>
              </w:rPr>
              <w:t>247,2</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A4470" w:rsidRPr="004761E0" w:rsidRDefault="00DA4470" w:rsidP="00091B98">
            <w:pPr>
              <w:ind w:firstLine="0"/>
              <w:jc w:val="right"/>
              <w:rPr>
                <w:color w:val="000000"/>
                <w:sz w:val="20"/>
                <w:szCs w:val="20"/>
              </w:rPr>
            </w:pPr>
            <w:r w:rsidRPr="004761E0">
              <w:rPr>
                <w:color w:val="000000"/>
                <w:sz w:val="20"/>
                <w:szCs w:val="20"/>
              </w:rPr>
              <w:t>247,0</w:t>
            </w:r>
          </w:p>
        </w:tc>
        <w:tc>
          <w:tcPr>
            <w:tcW w:w="505"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091B98">
            <w:pPr>
              <w:ind w:firstLine="0"/>
              <w:jc w:val="right"/>
              <w:rPr>
                <w:color w:val="000000"/>
                <w:sz w:val="20"/>
                <w:szCs w:val="20"/>
              </w:rPr>
            </w:pPr>
            <w:r w:rsidRPr="004761E0">
              <w:rPr>
                <w:color w:val="000000"/>
                <w:sz w:val="20"/>
                <w:szCs w:val="20"/>
              </w:rPr>
              <w:t>-0,99 %</w:t>
            </w:r>
          </w:p>
        </w:tc>
      </w:tr>
      <w:tr w:rsidR="00DA4470" w:rsidRPr="004761E0" w:rsidTr="00091B98">
        <w:trPr>
          <w:cantSplit/>
        </w:trPr>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DA4470" w:rsidRPr="004761E0" w:rsidRDefault="00DA4470" w:rsidP="007076A7">
            <w:pPr>
              <w:numPr>
                <w:ilvl w:val="0"/>
                <w:numId w:val="48"/>
              </w:numPr>
              <w:jc w:val="left"/>
              <w:rPr>
                <w:rFonts w:eastAsia="Times New Roman"/>
                <w:color w:val="000000"/>
                <w:sz w:val="20"/>
                <w:szCs w:val="20"/>
                <w:lang w:eastAsia="ru-RU"/>
              </w:rPr>
            </w:pPr>
          </w:p>
        </w:tc>
        <w:tc>
          <w:tcPr>
            <w:tcW w:w="1728"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firstLine="0"/>
              <w:jc w:val="left"/>
              <w:rPr>
                <w:rFonts w:eastAsia="Times New Roman"/>
                <w:color w:val="000000"/>
                <w:sz w:val="20"/>
                <w:szCs w:val="20"/>
                <w:lang w:eastAsia="ru-RU"/>
              </w:rPr>
            </w:pPr>
            <w:r w:rsidRPr="004761E0">
              <w:rPr>
                <w:rFonts w:eastAsia="Times New Roman"/>
                <w:color w:val="000000"/>
                <w:sz w:val="20"/>
                <w:szCs w:val="20"/>
                <w:lang w:eastAsia="ru-RU"/>
              </w:rPr>
              <w:t>Потребление ресурсов на хозяйственные нужды (всего), в т.ч. по видам ресурсов:</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DA4470" w:rsidRPr="004761E0" w:rsidRDefault="00DA4470" w:rsidP="00DA4470">
            <w:pPr>
              <w:ind w:firstLine="0"/>
              <w:jc w:val="left"/>
              <w:rPr>
                <w:rFonts w:eastAsia="Times New Roman"/>
                <w:color w:val="000000"/>
                <w:sz w:val="20"/>
                <w:szCs w:val="20"/>
                <w:lang w:eastAsia="ru-RU"/>
              </w:rPr>
            </w:pPr>
            <w:r w:rsidRPr="004761E0">
              <w:rPr>
                <w:rFonts w:eastAsia="Times New Roman"/>
                <w:color w:val="000000"/>
                <w:sz w:val="20"/>
                <w:szCs w:val="20"/>
                <w:lang w:eastAsia="ru-RU"/>
              </w:rPr>
              <w:t>млн руб. с НДС</w:t>
            </w:r>
          </w:p>
        </w:tc>
        <w:tc>
          <w:tcPr>
            <w:tcW w:w="413"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091B98">
            <w:pPr>
              <w:ind w:firstLine="0"/>
              <w:jc w:val="right"/>
              <w:rPr>
                <w:rFonts w:eastAsia="Times New Roman"/>
                <w:color w:val="000000"/>
                <w:sz w:val="20"/>
                <w:szCs w:val="20"/>
                <w:lang w:eastAsia="ru-RU"/>
              </w:rPr>
            </w:pPr>
            <w:r w:rsidRPr="004761E0">
              <w:rPr>
                <w:color w:val="000000"/>
                <w:sz w:val="20"/>
                <w:szCs w:val="20"/>
              </w:rPr>
              <w:t>675,6</w:t>
            </w:r>
          </w:p>
        </w:tc>
        <w:tc>
          <w:tcPr>
            <w:tcW w:w="413"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091B98">
            <w:pPr>
              <w:ind w:firstLine="0"/>
              <w:jc w:val="right"/>
              <w:rPr>
                <w:color w:val="000000"/>
                <w:sz w:val="20"/>
                <w:szCs w:val="20"/>
              </w:rPr>
            </w:pPr>
            <w:r w:rsidRPr="004761E0">
              <w:rPr>
                <w:color w:val="000000"/>
                <w:sz w:val="20"/>
                <w:szCs w:val="20"/>
              </w:rPr>
              <w:t>620,7</w:t>
            </w:r>
          </w:p>
        </w:tc>
        <w:tc>
          <w:tcPr>
            <w:tcW w:w="413" w:type="pct"/>
            <w:tcBorders>
              <w:top w:val="single" w:sz="4" w:space="0" w:color="auto"/>
              <w:left w:val="nil"/>
              <w:bottom w:val="single" w:sz="4" w:space="0" w:color="auto"/>
              <w:right w:val="single" w:sz="4" w:space="0" w:color="auto"/>
            </w:tcBorders>
            <w:vAlign w:val="center"/>
          </w:tcPr>
          <w:p w:rsidR="00DA4470" w:rsidRPr="004761E0" w:rsidRDefault="00DA4470" w:rsidP="00091B98">
            <w:pPr>
              <w:ind w:firstLine="0"/>
              <w:jc w:val="right"/>
              <w:rPr>
                <w:color w:val="000000"/>
                <w:sz w:val="20"/>
                <w:szCs w:val="20"/>
              </w:rPr>
            </w:pPr>
            <w:r w:rsidRPr="004761E0">
              <w:rPr>
                <w:color w:val="000000"/>
                <w:sz w:val="20"/>
                <w:szCs w:val="20"/>
              </w:rPr>
              <w:t>870,6</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A4470" w:rsidRPr="004761E0" w:rsidRDefault="00DA4470" w:rsidP="00091B98">
            <w:pPr>
              <w:ind w:firstLine="0"/>
              <w:jc w:val="right"/>
              <w:rPr>
                <w:color w:val="000000"/>
                <w:sz w:val="20"/>
                <w:szCs w:val="20"/>
              </w:rPr>
            </w:pPr>
            <w:r w:rsidRPr="004761E0">
              <w:rPr>
                <w:color w:val="000000"/>
                <w:sz w:val="20"/>
                <w:szCs w:val="20"/>
              </w:rPr>
              <w:t>636,1</w:t>
            </w:r>
          </w:p>
        </w:tc>
        <w:tc>
          <w:tcPr>
            <w:tcW w:w="505"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091B98">
            <w:pPr>
              <w:ind w:firstLine="0"/>
              <w:jc w:val="right"/>
              <w:rPr>
                <w:color w:val="000000"/>
                <w:sz w:val="20"/>
                <w:szCs w:val="20"/>
              </w:rPr>
            </w:pPr>
            <w:r w:rsidRPr="004761E0">
              <w:rPr>
                <w:color w:val="000000"/>
                <w:sz w:val="20"/>
                <w:szCs w:val="20"/>
              </w:rPr>
              <w:t>2,49 %</w:t>
            </w:r>
          </w:p>
        </w:tc>
      </w:tr>
      <w:tr w:rsidR="00DA4470" w:rsidRPr="004761E0" w:rsidTr="00091B98">
        <w:trPr>
          <w:cantSplit/>
        </w:trPr>
        <w:tc>
          <w:tcPr>
            <w:tcW w:w="317" w:type="pct"/>
            <w:vMerge w:val="restart"/>
            <w:tcBorders>
              <w:top w:val="single" w:sz="4" w:space="0" w:color="auto"/>
              <w:left w:val="single" w:sz="4" w:space="0" w:color="auto"/>
              <w:right w:val="single" w:sz="4" w:space="0" w:color="auto"/>
            </w:tcBorders>
            <w:shd w:val="clear" w:color="auto" w:fill="D9D9D9"/>
            <w:vAlign w:val="center"/>
          </w:tcPr>
          <w:p w:rsidR="00DA4470" w:rsidRPr="004761E0" w:rsidRDefault="00DA4470" w:rsidP="007076A7">
            <w:pPr>
              <w:pStyle w:val="a5"/>
              <w:numPr>
                <w:ilvl w:val="1"/>
                <w:numId w:val="48"/>
              </w:numPr>
              <w:contextualSpacing w:val="0"/>
              <w:jc w:val="left"/>
              <w:rPr>
                <w:rFonts w:eastAsia="Times New Roman"/>
                <w:color w:val="000000"/>
                <w:sz w:val="20"/>
                <w:szCs w:val="20"/>
                <w:lang w:eastAsia="ru-RU"/>
              </w:rPr>
            </w:pPr>
          </w:p>
        </w:tc>
        <w:tc>
          <w:tcPr>
            <w:tcW w:w="1728" w:type="pct"/>
            <w:vMerge w:val="restart"/>
            <w:tcBorders>
              <w:top w:val="single" w:sz="4" w:space="0" w:color="auto"/>
              <w:left w:val="nil"/>
              <w:right w:val="single" w:sz="4" w:space="0" w:color="auto"/>
            </w:tcBorders>
            <w:shd w:val="clear" w:color="auto" w:fill="D9D9D9"/>
            <w:vAlign w:val="center"/>
          </w:tcPr>
          <w:p w:rsidR="00DA4470" w:rsidRPr="004761E0" w:rsidRDefault="00DA4470" w:rsidP="00091B98">
            <w:pPr>
              <w:ind w:left="317" w:firstLine="0"/>
              <w:jc w:val="left"/>
              <w:rPr>
                <w:rFonts w:eastAsia="Times New Roman"/>
                <w:color w:val="000000"/>
                <w:sz w:val="20"/>
                <w:szCs w:val="20"/>
                <w:lang w:eastAsia="ru-RU"/>
              </w:rPr>
            </w:pPr>
            <w:r w:rsidRPr="004761E0">
              <w:rPr>
                <w:rFonts w:eastAsia="Times New Roman"/>
                <w:color w:val="000000"/>
                <w:sz w:val="20"/>
                <w:szCs w:val="20"/>
                <w:lang w:eastAsia="ru-RU"/>
              </w:rPr>
              <w:t>топливо и энергия</w:t>
            </w:r>
          </w:p>
        </w:tc>
        <w:tc>
          <w:tcPr>
            <w:tcW w:w="759" w:type="pct"/>
            <w:tcBorders>
              <w:top w:val="single" w:sz="4" w:space="0" w:color="auto"/>
              <w:left w:val="single" w:sz="4" w:space="0" w:color="auto"/>
              <w:bottom w:val="single" w:sz="4" w:space="0" w:color="auto"/>
              <w:right w:val="single" w:sz="4" w:space="0" w:color="auto"/>
            </w:tcBorders>
            <w:shd w:val="clear" w:color="auto" w:fill="D9D9D9"/>
            <w:vAlign w:val="center"/>
          </w:tcPr>
          <w:p w:rsidR="00DA4470" w:rsidRPr="004761E0" w:rsidRDefault="00DA4470" w:rsidP="00DA4470">
            <w:pPr>
              <w:ind w:firstLine="0"/>
              <w:jc w:val="left"/>
              <w:rPr>
                <w:rFonts w:eastAsia="Times New Roman"/>
                <w:color w:val="000000"/>
                <w:sz w:val="20"/>
                <w:szCs w:val="20"/>
                <w:lang w:eastAsia="ru-RU"/>
              </w:rPr>
            </w:pPr>
            <w:r w:rsidRPr="004761E0">
              <w:rPr>
                <w:rFonts w:eastAsia="Times New Roman"/>
                <w:color w:val="000000"/>
                <w:sz w:val="20"/>
                <w:szCs w:val="20"/>
                <w:lang w:eastAsia="ru-RU"/>
              </w:rPr>
              <w:t>т у.т.</w:t>
            </w:r>
            <w:r w:rsidRPr="006F4AB8">
              <w:rPr>
                <w:rStyle w:val="af1"/>
              </w:rPr>
              <w:footnoteReference w:id="38"/>
            </w:r>
          </w:p>
        </w:tc>
        <w:tc>
          <w:tcPr>
            <w:tcW w:w="413" w:type="pct"/>
            <w:tcBorders>
              <w:top w:val="single" w:sz="4" w:space="0" w:color="auto"/>
              <w:left w:val="nil"/>
              <w:bottom w:val="single" w:sz="4" w:space="0" w:color="auto"/>
              <w:right w:val="single" w:sz="4" w:space="0" w:color="auto"/>
            </w:tcBorders>
            <w:shd w:val="clear" w:color="auto" w:fill="D9D9D9"/>
            <w:vAlign w:val="center"/>
          </w:tcPr>
          <w:p w:rsidR="00DA4470" w:rsidRPr="004761E0" w:rsidRDefault="00DA4470" w:rsidP="00091B98">
            <w:pPr>
              <w:ind w:firstLine="0"/>
              <w:jc w:val="right"/>
              <w:rPr>
                <w:rFonts w:eastAsia="Times New Roman"/>
                <w:color w:val="000000"/>
                <w:sz w:val="20"/>
                <w:szCs w:val="20"/>
                <w:lang w:eastAsia="ru-RU"/>
              </w:rPr>
            </w:pPr>
            <w:r w:rsidRPr="004761E0">
              <w:rPr>
                <w:color w:val="000000"/>
                <w:sz w:val="20"/>
                <w:szCs w:val="20"/>
              </w:rPr>
              <w:t>47 505,9</w:t>
            </w:r>
          </w:p>
        </w:tc>
        <w:tc>
          <w:tcPr>
            <w:tcW w:w="413" w:type="pct"/>
            <w:tcBorders>
              <w:top w:val="single" w:sz="4" w:space="0" w:color="auto"/>
              <w:left w:val="nil"/>
              <w:bottom w:val="single" w:sz="4" w:space="0" w:color="auto"/>
              <w:right w:val="single" w:sz="4" w:space="0" w:color="auto"/>
            </w:tcBorders>
            <w:shd w:val="clear" w:color="auto" w:fill="D9D9D9"/>
            <w:vAlign w:val="center"/>
          </w:tcPr>
          <w:p w:rsidR="00DA4470" w:rsidRPr="004761E0" w:rsidRDefault="00DA4470" w:rsidP="00091B98">
            <w:pPr>
              <w:ind w:firstLine="0"/>
              <w:jc w:val="right"/>
              <w:rPr>
                <w:color w:val="000000"/>
                <w:sz w:val="20"/>
                <w:szCs w:val="20"/>
              </w:rPr>
            </w:pPr>
            <w:r w:rsidRPr="004761E0">
              <w:rPr>
                <w:color w:val="000000"/>
                <w:sz w:val="20"/>
                <w:szCs w:val="20"/>
              </w:rPr>
              <w:t>40 823,2</w:t>
            </w:r>
          </w:p>
        </w:tc>
        <w:tc>
          <w:tcPr>
            <w:tcW w:w="413" w:type="pct"/>
            <w:tcBorders>
              <w:top w:val="single" w:sz="4" w:space="0" w:color="auto"/>
              <w:left w:val="nil"/>
              <w:bottom w:val="single" w:sz="4" w:space="0" w:color="auto"/>
              <w:right w:val="single" w:sz="4" w:space="0" w:color="auto"/>
            </w:tcBorders>
            <w:shd w:val="clear" w:color="auto" w:fill="D9D9D9"/>
            <w:vAlign w:val="center"/>
          </w:tcPr>
          <w:p w:rsidR="00DA4470" w:rsidRPr="004761E0" w:rsidRDefault="00DA4470" w:rsidP="00091B98">
            <w:pPr>
              <w:ind w:firstLine="0"/>
              <w:jc w:val="right"/>
              <w:rPr>
                <w:color w:val="000000"/>
                <w:sz w:val="20"/>
                <w:szCs w:val="20"/>
              </w:rPr>
            </w:pPr>
            <w:r w:rsidRPr="004761E0">
              <w:rPr>
                <w:color w:val="000000"/>
                <w:sz w:val="20"/>
                <w:szCs w:val="20"/>
              </w:rPr>
              <w:t>46 922,0</w:t>
            </w:r>
          </w:p>
        </w:tc>
        <w:tc>
          <w:tcPr>
            <w:tcW w:w="452" w:type="pct"/>
            <w:tcBorders>
              <w:top w:val="single" w:sz="4" w:space="0" w:color="auto"/>
              <w:left w:val="single" w:sz="4" w:space="0" w:color="auto"/>
              <w:bottom w:val="single" w:sz="4" w:space="0" w:color="auto"/>
              <w:right w:val="single" w:sz="4" w:space="0" w:color="auto"/>
            </w:tcBorders>
            <w:shd w:val="clear" w:color="auto" w:fill="D9D9D9"/>
            <w:vAlign w:val="center"/>
          </w:tcPr>
          <w:p w:rsidR="00DA4470" w:rsidRPr="004761E0" w:rsidRDefault="00DA4470" w:rsidP="00091B98">
            <w:pPr>
              <w:ind w:firstLine="0"/>
              <w:jc w:val="right"/>
              <w:rPr>
                <w:color w:val="000000"/>
                <w:sz w:val="20"/>
                <w:szCs w:val="20"/>
              </w:rPr>
            </w:pPr>
            <w:r w:rsidRPr="004761E0">
              <w:rPr>
                <w:color w:val="000000"/>
                <w:sz w:val="20"/>
                <w:szCs w:val="20"/>
              </w:rPr>
              <w:t>40 862,4</w:t>
            </w:r>
          </w:p>
        </w:tc>
        <w:tc>
          <w:tcPr>
            <w:tcW w:w="505" w:type="pct"/>
            <w:tcBorders>
              <w:top w:val="single" w:sz="4" w:space="0" w:color="auto"/>
              <w:left w:val="nil"/>
              <w:bottom w:val="single" w:sz="4" w:space="0" w:color="auto"/>
              <w:right w:val="single" w:sz="4" w:space="0" w:color="auto"/>
            </w:tcBorders>
            <w:shd w:val="clear" w:color="auto" w:fill="D9D9D9"/>
            <w:vAlign w:val="center"/>
          </w:tcPr>
          <w:p w:rsidR="00DA4470" w:rsidRPr="004761E0" w:rsidRDefault="00DA4470" w:rsidP="00091B98">
            <w:pPr>
              <w:ind w:firstLine="0"/>
              <w:jc w:val="right"/>
              <w:rPr>
                <w:color w:val="000000"/>
                <w:sz w:val="20"/>
                <w:szCs w:val="20"/>
              </w:rPr>
            </w:pPr>
            <w:r w:rsidRPr="004761E0">
              <w:rPr>
                <w:color w:val="000000"/>
                <w:sz w:val="20"/>
                <w:szCs w:val="20"/>
              </w:rPr>
              <w:t>0,1</w:t>
            </w:r>
            <w:r w:rsidR="0008080E">
              <w:rPr>
                <w:color w:val="000000"/>
                <w:sz w:val="20"/>
                <w:szCs w:val="20"/>
              </w:rPr>
              <w:t xml:space="preserve"> </w:t>
            </w:r>
            <w:r w:rsidRPr="004761E0">
              <w:rPr>
                <w:color w:val="000000"/>
                <w:sz w:val="20"/>
                <w:szCs w:val="20"/>
              </w:rPr>
              <w:t>%</w:t>
            </w:r>
          </w:p>
        </w:tc>
      </w:tr>
      <w:tr w:rsidR="00DA4470" w:rsidRPr="004761E0" w:rsidTr="00091B98">
        <w:trPr>
          <w:cantSplit/>
        </w:trPr>
        <w:tc>
          <w:tcPr>
            <w:tcW w:w="317" w:type="pct"/>
            <w:vMerge/>
            <w:tcBorders>
              <w:left w:val="single" w:sz="4" w:space="0" w:color="auto"/>
              <w:right w:val="single" w:sz="4" w:space="0" w:color="auto"/>
            </w:tcBorders>
            <w:shd w:val="clear" w:color="auto" w:fill="auto"/>
            <w:vAlign w:val="center"/>
          </w:tcPr>
          <w:p w:rsidR="00DA4470" w:rsidRPr="004761E0" w:rsidRDefault="00DA4470" w:rsidP="00DA4470">
            <w:pPr>
              <w:pStyle w:val="a5"/>
              <w:ind w:left="360" w:firstLine="0"/>
              <w:contextualSpacing w:val="0"/>
              <w:jc w:val="left"/>
              <w:rPr>
                <w:rFonts w:eastAsia="Times New Roman"/>
                <w:color w:val="000000"/>
                <w:sz w:val="20"/>
                <w:szCs w:val="20"/>
                <w:lang w:eastAsia="ru-RU"/>
              </w:rPr>
            </w:pPr>
          </w:p>
        </w:tc>
        <w:tc>
          <w:tcPr>
            <w:tcW w:w="1728" w:type="pct"/>
            <w:vMerge/>
            <w:tcBorders>
              <w:left w:val="nil"/>
              <w:right w:val="single" w:sz="4" w:space="0" w:color="auto"/>
            </w:tcBorders>
            <w:shd w:val="clear" w:color="auto" w:fill="auto"/>
            <w:vAlign w:val="center"/>
          </w:tcPr>
          <w:p w:rsidR="00DA4470" w:rsidRPr="004761E0" w:rsidRDefault="00DA4470" w:rsidP="00091B98">
            <w:pPr>
              <w:ind w:firstLineChars="200" w:firstLine="400"/>
              <w:jc w:val="left"/>
              <w:rPr>
                <w:rFonts w:eastAsia="Times New Roman"/>
                <w:color w:val="000000"/>
                <w:sz w:val="20"/>
                <w:szCs w:val="20"/>
                <w:lang w:eastAsia="ru-RU"/>
              </w:rPr>
            </w:pPr>
          </w:p>
        </w:tc>
        <w:tc>
          <w:tcPr>
            <w:tcW w:w="759" w:type="pct"/>
            <w:tcBorders>
              <w:top w:val="single" w:sz="4" w:space="0" w:color="auto"/>
              <w:left w:val="single" w:sz="4" w:space="0" w:color="auto"/>
              <w:bottom w:val="single" w:sz="4" w:space="0" w:color="auto"/>
              <w:right w:val="single" w:sz="4" w:space="0" w:color="auto"/>
            </w:tcBorders>
            <w:shd w:val="clear" w:color="auto" w:fill="D9D9D9"/>
            <w:vAlign w:val="center"/>
          </w:tcPr>
          <w:p w:rsidR="00DA4470" w:rsidRPr="004761E0" w:rsidRDefault="00DA4470" w:rsidP="00DA4470">
            <w:pPr>
              <w:ind w:firstLine="0"/>
              <w:jc w:val="left"/>
              <w:rPr>
                <w:rFonts w:eastAsia="Times New Roman"/>
                <w:color w:val="000000"/>
                <w:sz w:val="20"/>
                <w:szCs w:val="20"/>
                <w:lang w:eastAsia="ru-RU"/>
              </w:rPr>
            </w:pPr>
            <w:r w:rsidRPr="004761E0">
              <w:rPr>
                <w:rFonts w:eastAsia="Times New Roman"/>
                <w:color w:val="000000"/>
                <w:sz w:val="20"/>
                <w:szCs w:val="20"/>
                <w:lang w:eastAsia="ru-RU"/>
              </w:rPr>
              <w:t>млн руб. с НДС</w:t>
            </w:r>
          </w:p>
        </w:tc>
        <w:tc>
          <w:tcPr>
            <w:tcW w:w="413" w:type="pct"/>
            <w:tcBorders>
              <w:top w:val="single" w:sz="4" w:space="0" w:color="auto"/>
              <w:left w:val="nil"/>
              <w:bottom w:val="single" w:sz="4" w:space="0" w:color="auto"/>
              <w:right w:val="single" w:sz="4" w:space="0" w:color="auto"/>
            </w:tcBorders>
            <w:shd w:val="clear" w:color="auto" w:fill="D9D9D9"/>
            <w:vAlign w:val="center"/>
          </w:tcPr>
          <w:p w:rsidR="00DA4470" w:rsidRPr="004761E0" w:rsidRDefault="00DA4470" w:rsidP="00091B98">
            <w:pPr>
              <w:ind w:firstLine="0"/>
              <w:jc w:val="right"/>
              <w:rPr>
                <w:rFonts w:eastAsia="Times New Roman"/>
                <w:color w:val="000000"/>
                <w:sz w:val="20"/>
                <w:szCs w:val="20"/>
                <w:lang w:eastAsia="ru-RU"/>
              </w:rPr>
            </w:pPr>
            <w:r w:rsidRPr="004761E0">
              <w:rPr>
                <w:color w:val="000000"/>
                <w:sz w:val="20"/>
                <w:szCs w:val="20"/>
              </w:rPr>
              <w:t>656,0</w:t>
            </w:r>
          </w:p>
        </w:tc>
        <w:tc>
          <w:tcPr>
            <w:tcW w:w="413" w:type="pct"/>
            <w:tcBorders>
              <w:top w:val="single" w:sz="4" w:space="0" w:color="auto"/>
              <w:left w:val="nil"/>
              <w:bottom w:val="single" w:sz="4" w:space="0" w:color="auto"/>
              <w:right w:val="single" w:sz="4" w:space="0" w:color="auto"/>
            </w:tcBorders>
            <w:shd w:val="clear" w:color="auto" w:fill="D9D9D9"/>
            <w:vAlign w:val="center"/>
          </w:tcPr>
          <w:p w:rsidR="00DA4470" w:rsidRPr="004761E0" w:rsidRDefault="00DA4470" w:rsidP="00091B98">
            <w:pPr>
              <w:ind w:firstLine="0"/>
              <w:jc w:val="right"/>
              <w:rPr>
                <w:color w:val="000000"/>
                <w:sz w:val="20"/>
                <w:szCs w:val="20"/>
              </w:rPr>
            </w:pPr>
            <w:r w:rsidRPr="004761E0">
              <w:rPr>
                <w:color w:val="000000"/>
                <w:sz w:val="20"/>
                <w:szCs w:val="20"/>
              </w:rPr>
              <w:t>606,0</w:t>
            </w:r>
          </w:p>
        </w:tc>
        <w:tc>
          <w:tcPr>
            <w:tcW w:w="413" w:type="pct"/>
            <w:tcBorders>
              <w:top w:val="single" w:sz="4" w:space="0" w:color="auto"/>
              <w:left w:val="nil"/>
              <w:bottom w:val="single" w:sz="4" w:space="0" w:color="auto"/>
              <w:right w:val="single" w:sz="4" w:space="0" w:color="auto"/>
            </w:tcBorders>
            <w:shd w:val="clear" w:color="auto" w:fill="D9D9D9"/>
            <w:vAlign w:val="center"/>
          </w:tcPr>
          <w:p w:rsidR="00DA4470" w:rsidRPr="004761E0" w:rsidRDefault="00DA4470" w:rsidP="00091B98">
            <w:pPr>
              <w:ind w:firstLine="0"/>
              <w:jc w:val="right"/>
              <w:rPr>
                <w:color w:val="000000"/>
                <w:sz w:val="20"/>
                <w:szCs w:val="20"/>
              </w:rPr>
            </w:pPr>
            <w:r w:rsidRPr="004761E0">
              <w:rPr>
                <w:color w:val="000000"/>
                <w:sz w:val="20"/>
                <w:szCs w:val="20"/>
              </w:rPr>
              <w:t>850,4</w:t>
            </w:r>
          </w:p>
        </w:tc>
        <w:tc>
          <w:tcPr>
            <w:tcW w:w="452" w:type="pct"/>
            <w:tcBorders>
              <w:top w:val="single" w:sz="4" w:space="0" w:color="auto"/>
              <w:left w:val="single" w:sz="4" w:space="0" w:color="auto"/>
              <w:bottom w:val="single" w:sz="4" w:space="0" w:color="auto"/>
              <w:right w:val="single" w:sz="4" w:space="0" w:color="auto"/>
            </w:tcBorders>
            <w:shd w:val="clear" w:color="auto" w:fill="D9D9D9"/>
            <w:vAlign w:val="center"/>
          </w:tcPr>
          <w:p w:rsidR="00DA4470" w:rsidRPr="004761E0" w:rsidRDefault="00DA4470" w:rsidP="00091B98">
            <w:pPr>
              <w:ind w:firstLine="0"/>
              <w:jc w:val="right"/>
              <w:rPr>
                <w:color w:val="000000"/>
                <w:sz w:val="20"/>
                <w:szCs w:val="20"/>
              </w:rPr>
            </w:pPr>
            <w:r w:rsidRPr="004761E0">
              <w:rPr>
                <w:color w:val="000000"/>
                <w:sz w:val="20"/>
                <w:szCs w:val="20"/>
              </w:rPr>
              <w:t>621,8</w:t>
            </w:r>
          </w:p>
        </w:tc>
        <w:tc>
          <w:tcPr>
            <w:tcW w:w="505" w:type="pct"/>
            <w:tcBorders>
              <w:top w:val="single" w:sz="4" w:space="0" w:color="auto"/>
              <w:left w:val="nil"/>
              <w:bottom w:val="single" w:sz="4" w:space="0" w:color="auto"/>
              <w:right w:val="single" w:sz="4" w:space="0" w:color="auto"/>
            </w:tcBorders>
            <w:shd w:val="clear" w:color="auto" w:fill="D9D9D9"/>
            <w:vAlign w:val="center"/>
          </w:tcPr>
          <w:p w:rsidR="00DA4470" w:rsidRPr="004761E0" w:rsidRDefault="00DA4470" w:rsidP="00091B98">
            <w:pPr>
              <w:ind w:firstLine="0"/>
              <w:jc w:val="right"/>
              <w:rPr>
                <w:color w:val="000000"/>
                <w:sz w:val="20"/>
                <w:szCs w:val="20"/>
              </w:rPr>
            </w:pPr>
            <w:r w:rsidRPr="004761E0">
              <w:rPr>
                <w:color w:val="000000"/>
                <w:sz w:val="20"/>
                <w:szCs w:val="20"/>
              </w:rPr>
              <w:t>2,60 %</w:t>
            </w:r>
          </w:p>
        </w:tc>
      </w:tr>
      <w:tr w:rsidR="00DA4470" w:rsidRPr="004761E0" w:rsidTr="00091B98">
        <w:trPr>
          <w:cantSplit/>
        </w:trPr>
        <w:tc>
          <w:tcPr>
            <w:tcW w:w="317" w:type="pct"/>
            <w:vMerge/>
            <w:tcBorders>
              <w:left w:val="single" w:sz="4" w:space="0" w:color="auto"/>
              <w:bottom w:val="single" w:sz="4" w:space="0" w:color="auto"/>
              <w:right w:val="single" w:sz="4" w:space="0" w:color="auto"/>
            </w:tcBorders>
            <w:shd w:val="clear" w:color="auto" w:fill="auto"/>
            <w:vAlign w:val="center"/>
          </w:tcPr>
          <w:p w:rsidR="00DA4470" w:rsidRPr="004761E0" w:rsidRDefault="00DA4470" w:rsidP="00DA4470">
            <w:pPr>
              <w:pStyle w:val="a5"/>
              <w:ind w:left="360" w:firstLine="0"/>
              <w:contextualSpacing w:val="0"/>
              <w:jc w:val="left"/>
              <w:rPr>
                <w:rFonts w:eastAsia="Times New Roman"/>
                <w:color w:val="000000"/>
                <w:sz w:val="20"/>
                <w:szCs w:val="20"/>
                <w:lang w:eastAsia="ru-RU"/>
              </w:rPr>
            </w:pPr>
          </w:p>
        </w:tc>
        <w:tc>
          <w:tcPr>
            <w:tcW w:w="1728" w:type="pct"/>
            <w:vMerge/>
            <w:tcBorders>
              <w:left w:val="nil"/>
              <w:bottom w:val="single" w:sz="4" w:space="0" w:color="auto"/>
              <w:right w:val="single" w:sz="4" w:space="0" w:color="auto"/>
            </w:tcBorders>
            <w:shd w:val="clear" w:color="auto" w:fill="auto"/>
            <w:vAlign w:val="center"/>
          </w:tcPr>
          <w:p w:rsidR="00DA4470" w:rsidRPr="004761E0" w:rsidRDefault="00DA4470" w:rsidP="00091B98">
            <w:pPr>
              <w:ind w:firstLineChars="200" w:firstLine="400"/>
              <w:jc w:val="left"/>
              <w:rPr>
                <w:rFonts w:eastAsia="Times New Roman"/>
                <w:color w:val="000000"/>
                <w:sz w:val="20"/>
                <w:szCs w:val="20"/>
                <w:lang w:eastAsia="ru-RU"/>
              </w:rPr>
            </w:pPr>
          </w:p>
        </w:tc>
        <w:tc>
          <w:tcPr>
            <w:tcW w:w="759" w:type="pct"/>
            <w:tcBorders>
              <w:top w:val="single" w:sz="4" w:space="0" w:color="auto"/>
              <w:left w:val="single" w:sz="4" w:space="0" w:color="auto"/>
              <w:bottom w:val="single" w:sz="4" w:space="0" w:color="auto"/>
              <w:right w:val="single" w:sz="4" w:space="0" w:color="auto"/>
            </w:tcBorders>
            <w:shd w:val="clear" w:color="auto" w:fill="D9D9D9"/>
            <w:vAlign w:val="center"/>
          </w:tcPr>
          <w:p w:rsidR="00DA4470" w:rsidRPr="004761E0" w:rsidRDefault="00DA4470" w:rsidP="00DA4470">
            <w:pPr>
              <w:ind w:firstLine="0"/>
              <w:jc w:val="left"/>
              <w:rPr>
                <w:rFonts w:eastAsia="Times New Roman"/>
                <w:color w:val="000000"/>
                <w:sz w:val="20"/>
                <w:szCs w:val="20"/>
                <w:lang w:eastAsia="ru-RU"/>
              </w:rPr>
            </w:pPr>
            <w:r w:rsidRPr="004761E0">
              <w:rPr>
                <w:rFonts w:eastAsia="Times New Roman"/>
                <w:color w:val="000000"/>
                <w:sz w:val="20"/>
                <w:szCs w:val="20"/>
                <w:lang w:eastAsia="ru-RU"/>
              </w:rPr>
              <w:t>т.у.т на м² площади помещений</w:t>
            </w:r>
          </w:p>
        </w:tc>
        <w:tc>
          <w:tcPr>
            <w:tcW w:w="413" w:type="pct"/>
            <w:tcBorders>
              <w:top w:val="single" w:sz="4" w:space="0" w:color="auto"/>
              <w:left w:val="nil"/>
              <w:bottom w:val="single" w:sz="4" w:space="0" w:color="auto"/>
              <w:right w:val="single" w:sz="4" w:space="0" w:color="auto"/>
            </w:tcBorders>
            <w:shd w:val="clear" w:color="auto" w:fill="D9D9D9"/>
            <w:vAlign w:val="center"/>
          </w:tcPr>
          <w:p w:rsidR="00DA4470" w:rsidRPr="004761E0" w:rsidRDefault="00DA4470" w:rsidP="00091B98">
            <w:pPr>
              <w:ind w:firstLine="0"/>
              <w:jc w:val="right"/>
              <w:rPr>
                <w:rFonts w:eastAsia="Times New Roman"/>
                <w:color w:val="000000"/>
                <w:sz w:val="20"/>
                <w:szCs w:val="20"/>
                <w:lang w:eastAsia="ru-RU"/>
              </w:rPr>
            </w:pPr>
            <w:r w:rsidRPr="004761E0">
              <w:rPr>
                <w:color w:val="000000"/>
                <w:sz w:val="20"/>
                <w:szCs w:val="20"/>
              </w:rPr>
              <w:t>0,12</w:t>
            </w:r>
          </w:p>
        </w:tc>
        <w:tc>
          <w:tcPr>
            <w:tcW w:w="413" w:type="pct"/>
            <w:tcBorders>
              <w:top w:val="single" w:sz="4" w:space="0" w:color="auto"/>
              <w:left w:val="nil"/>
              <w:bottom w:val="single" w:sz="4" w:space="0" w:color="auto"/>
              <w:right w:val="single" w:sz="4" w:space="0" w:color="auto"/>
            </w:tcBorders>
            <w:shd w:val="clear" w:color="auto" w:fill="D9D9D9"/>
            <w:vAlign w:val="center"/>
          </w:tcPr>
          <w:p w:rsidR="00DA4470" w:rsidRPr="004761E0" w:rsidRDefault="00DA4470" w:rsidP="00091B98">
            <w:pPr>
              <w:ind w:firstLine="0"/>
              <w:jc w:val="right"/>
              <w:rPr>
                <w:color w:val="000000"/>
                <w:sz w:val="20"/>
                <w:szCs w:val="20"/>
              </w:rPr>
            </w:pPr>
            <w:r w:rsidRPr="004761E0">
              <w:rPr>
                <w:color w:val="000000"/>
                <w:sz w:val="20"/>
                <w:szCs w:val="20"/>
              </w:rPr>
              <w:t>0,09</w:t>
            </w:r>
          </w:p>
        </w:tc>
        <w:tc>
          <w:tcPr>
            <w:tcW w:w="413" w:type="pct"/>
            <w:tcBorders>
              <w:top w:val="single" w:sz="4" w:space="0" w:color="auto"/>
              <w:left w:val="nil"/>
              <w:bottom w:val="single" w:sz="4" w:space="0" w:color="auto"/>
              <w:right w:val="single" w:sz="4" w:space="0" w:color="auto"/>
            </w:tcBorders>
            <w:shd w:val="clear" w:color="auto" w:fill="D9D9D9"/>
            <w:vAlign w:val="center"/>
          </w:tcPr>
          <w:p w:rsidR="00DA4470" w:rsidRPr="004761E0" w:rsidRDefault="00DA4470" w:rsidP="00091B98">
            <w:pPr>
              <w:ind w:firstLine="0"/>
              <w:jc w:val="right"/>
              <w:rPr>
                <w:color w:val="000000"/>
                <w:sz w:val="20"/>
                <w:szCs w:val="20"/>
              </w:rPr>
            </w:pPr>
            <w:r w:rsidRPr="004761E0">
              <w:rPr>
                <w:color w:val="000000"/>
                <w:sz w:val="20"/>
                <w:szCs w:val="20"/>
              </w:rPr>
              <w:t>0,11</w:t>
            </w:r>
          </w:p>
        </w:tc>
        <w:tc>
          <w:tcPr>
            <w:tcW w:w="452" w:type="pct"/>
            <w:tcBorders>
              <w:top w:val="single" w:sz="4" w:space="0" w:color="auto"/>
              <w:left w:val="single" w:sz="4" w:space="0" w:color="auto"/>
              <w:bottom w:val="single" w:sz="4" w:space="0" w:color="auto"/>
              <w:right w:val="single" w:sz="4" w:space="0" w:color="auto"/>
            </w:tcBorders>
            <w:shd w:val="clear" w:color="auto" w:fill="D9D9D9"/>
            <w:vAlign w:val="center"/>
          </w:tcPr>
          <w:p w:rsidR="00DA4470" w:rsidRPr="004761E0" w:rsidRDefault="00DA4470" w:rsidP="00091B98">
            <w:pPr>
              <w:ind w:firstLine="0"/>
              <w:jc w:val="right"/>
              <w:rPr>
                <w:color w:val="000000"/>
                <w:sz w:val="20"/>
                <w:szCs w:val="20"/>
              </w:rPr>
            </w:pPr>
            <w:r w:rsidRPr="004761E0">
              <w:rPr>
                <w:color w:val="000000"/>
                <w:sz w:val="20"/>
                <w:szCs w:val="20"/>
              </w:rPr>
              <w:t>0,08</w:t>
            </w:r>
          </w:p>
        </w:tc>
        <w:tc>
          <w:tcPr>
            <w:tcW w:w="505" w:type="pct"/>
            <w:tcBorders>
              <w:top w:val="single" w:sz="4" w:space="0" w:color="auto"/>
              <w:left w:val="nil"/>
              <w:bottom w:val="single" w:sz="4" w:space="0" w:color="auto"/>
              <w:right w:val="single" w:sz="4" w:space="0" w:color="auto"/>
            </w:tcBorders>
            <w:shd w:val="clear" w:color="auto" w:fill="D9D9D9"/>
            <w:vAlign w:val="center"/>
          </w:tcPr>
          <w:p w:rsidR="00DA4470" w:rsidRPr="004761E0" w:rsidRDefault="00DA4470" w:rsidP="00091B98">
            <w:pPr>
              <w:ind w:firstLine="0"/>
              <w:jc w:val="right"/>
              <w:rPr>
                <w:color w:val="000000"/>
                <w:sz w:val="20"/>
                <w:szCs w:val="20"/>
              </w:rPr>
            </w:pPr>
            <w:r w:rsidRPr="004761E0">
              <w:rPr>
                <w:color w:val="000000"/>
                <w:sz w:val="20"/>
                <w:szCs w:val="20"/>
              </w:rPr>
              <w:t>-3,97</w:t>
            </w:r>
            <w:r w:rsidR="00091B98" w:rsidRPr="004761E0">
              <w:rPr>
                <w:color w:val="000000"/>
                <w:sz w:val="20"/>
                <w:szCs w:val="20"/>
              </w:rPr>
              <w:t xml:space="preserve"> </w:t>
            </w:r>
            <w:r w:rsidRPr="004761E0">
              <w:rPr>
                <w:color w:val="000000"/>
                <w:sz w:val="20"/>
                <w:szCs w:val="20"/>
              </w:rPr>
              <w:t>%</w:t>
            </w:r>
          </w:p>
        </w:tc>
      </w:tr>
      <w:tr w:rsidR="00DA4470" w:rsidRPr="004761E0" w:rsidTr="00091B98">
        <w:trPr>
          <w:cantSplit/>
        </w:trPr>
        <w:tc>
          <w:tcPr>
            <w:tcW w:w="317" w:type="pct"/>
            <w:vMerge w:val="restart"/>
            <w:tcBorders>
              <w:top w:val="single" w:sz="4" w:space="0" w:color="auto"/>
              <w:left w:val="single" w:sz="4" w:space="0" w:color="auto"/>
              <w:right w:val="single" w:sz="4" w:space="0" w:color="auto"/>
            </w:tcBorders>
            <w:shd w:val="clear" w:color="auto" w:fill="F2F2F2"/>
            <w:vAlign w:val="center"/>
          </w:tcPr>
          <w:p w:rsidR="00DA4470" w:rsidRPr="004761E0" w:rsidRDefault="00DA4470" w:rsidP="007076A7">
            <w:pPr>
              <w:pStyle w:val="a5"/>
              <w:numPr>
                <w:ilvl w:val="2"/>
                <w:numId w:val="48"/>
              </w:numPr>
              <w:contextualSpacing w:val="0"/>
              <w:jc w:val="left"/>
              <w:rPr>
                <w:rFonts w:eastAsia="Times New Roman"/>
                <w:color w:val="000000"/>
                <w:sz w:val="20"/>
                <w:szCs w:val="20"/>
                <w:lang w:eastAsia="ru-RU"/>
              </w:rPr>
            </w:pPr>
          </w:p>
        </w:tc>
        <w:tc>
          <w:tcPr>
            <w:tcW w:w="1728" w:type="pct"/>
            <w:vMerge w:val="restart"/>
            <w:tcBorders>
              <w:top w:val="single" w:sz="4" w:space="0" w:color="auto"/>
              <w:left w:val="nil"/>
              <w:right w:val="single" w:sz="4" w:space="0" w:color="auto"/>
            </w:tcBorders>
            <w:shd w:val="clear" w:color="auto" w:fill="F2F2F2"/>
            <w:vAlign w:val="center"/>
          </w:tcPr>
          <w:p w:rsidR="00DA4470" w:rsidRPr="004761E0" w:rsidRDefault="00DA4470" w:rsidP="00DA4470">
            <w:pPr>
              <w:ind w:left="601" w:firstLine="0"/>
              <w:jc w:val="left"/>
              <w:rPr>
                <w:rFonts w:eastAsia="Times New Roman"/>
                <w:color w:val="000000"/>
                <w:sz w:val="20"/>
                <w:szCs w:val="20"/>
                <w:lang w:eastAsia="ru-RU"/>
              </w:rPr>
            </w:pPr>
            <w:r w:rsidRPr="004761E0">
              <w:rPr>
                <w:rFonts w:eastAsia="Times New Roman"/>
                <w:color w:val="000000"/>
                <w:sz w:val="20"/>
                <w:szCs w:val="20"/>
                <w:lang w:eastAsia="ru-RU"/>
              </w:rPr>
              <w:t>электроэнергия</w:t>
            </w:r>
          </w:p>
        </w:tc>
        <w:tc>
          <w:tcPr>
            <w:tcW w:w="759" w:type="pct"/>
            <w:tcBorders>
              <w:top w:val="single" w:sz="4" w:space="0" w:color="auto"/>
              <w:left w:val="single" w:sz="4" w:space="0" w:color="auto"/>
              <w:bottom w:val="single" w:sz="4" w:space="0" w:color="auto"/>
              <w:right w:val="single" w:sz="4" w:space="0" w:color="auto"/>
            </w:tcBorders>
            <w:shd w:val="clear" w:color="auto" w:fill="F2F2F2"/>
            <w:vAlign w:val="center"/>
          </w:tcPr>
          <w:p w:rsidR="00DA4470" w:rsidRPr="004761E0" w:rsidRDefault="00DA4470" w:rsidP="00DA4470">
            <w:pPr>
              <w:ind w:firstLine="0"/>
              <w:jc w:val="left"/>
              <w:rPr>
                <w:rFonts w:eastAsia="Times New Roman"/>
                <w:color w:val="000000"/>
                <w:sz w:val="20"/>
                <w:szCs w:val="20"/>
                <w:lang w:eastAsia="ru-RU"/>
              </w:rPr>
            </w:pPr>
            <w:r w:rsidRPr="004761E0">
              <w:rPr>
                <w:rFonts w:eastAsia="Times New Roman"/>
                <w:color w:val="000000"/>
                <w:sz w:val="20"/>
                <w:szCs w:val="20"/>
                <w:lang w:eastAsia="ru-RU"/>
              </w:rPr>
              <w:t>млн кВтч</w:t>
            </w:r>
          </w:p>
        </w:tc>
        <w:tc>
          <w:tcPr>
            <w:tcW w:w="413" w:type="pct"/>
            <w:tcBorders>
              <w:top w:val="single" w:sz="4" w:space="0" w:color="auto"/>
              <w:left w:val="nil"/>
              <w:bottom w:val="single" w:sz="4" w:space="0" w:color="auto"/>
              <w:right w:val="single" w:sz="4" w:space="0" w:color="auto"/>
            </w:tcBorders>
            <w:shd w:val="clear" w:color="auto" w:fill="F2F2F2"/>
            <w:vAlign w:val="center"/>
          </w:tcPr>
          <w:p w:rsidR="00DA4470" w:rsidRPr="004761E0" w:rsidRDefault="00DA4470" w:rsidP="00091B98">
            <w:pPr>
              <w:ind w:firstLine="0"/>
              <w:jc w:val="right"/>
              <w:rPr>
                <w:rFonts w:eastAsia="Times New Roman"/>
                <w:color w:val="000000"/>
                <w:sz w:val="20"/>
                <w:szCs w:val="20"/>
                <w:lang w:eastAsia="ru-RU"/>
              </w:rPr>
            </w:pPr>
            <w:r w:rsidRPr="004761E0">
              <w:rPr>
                <w:color w:val="000000"/>
                <w:sz w:val="20"/>
                <w:szCs w:val="20"/>
              </w:rPr>
              <w:t>55,4</w:t>
            </w:r>
          </w:p>
        </w:tc>
        <w:tc>
          <w:tcPr>
            <w:tcW w:w="413" w:type="pct"/>
            <w:tcBorders>
              <w:top w:val="single" w:sz="4" w:space="0" w:color="auto"/>
              <w:left w:val="nil"/>
              <w:bottom w:val="single" w:sz="4" w:space="0" w:color="auto"/>
              <w:right w:val="single" w:sz="4" w:space="0" w:color="auto"/>
            </w:tcBorders>
            <w:shd w:val="clear" w:color="auto" w:fill="F2F2F2"/>
            <w:vAlign w:val="center"/>
          </w:tcPr>
          <w:p w:rsidR="00DA4470" w:rsidRPr="004761E0" w:rsidRDefault="00DA4470" w:rsidP="00091B98">
            <w:pPr>
              <w:ind w:firstLine="0"/>
              <w:jc w:val="right"/>
              <w:rPr>
                <w:color w:val="000000"/>
                <w:sz w:val="20"/>
                <w:szCs w:val="20"/>
              </w:rPr>
            </w:pPr>
            <w:r w:rsidRPr="004761E0">
              <w:rPr>
                <w:color w:val="000000"/>
                <w:sz w:val="20"/>
                <w:szCs w:val="20"/>
              </w:rPr>
              <w:t>52,8</w:t>
            </w:r>
          </w:p>
        </w:tc>
        <w:tc>
          <w:tcPr>
            <w:tcW w:w="413" w:type="pct"/>
            <w:tcBorders>
              <w:top w:val="single" w:sz="4" w:space="0" w:color="auto"/>
              <w:left w:val="nil"/>
              <w:bottom w:val="single" w:sz="4" w:space="0" w:color="auto"/>
              <w:right w:val="single" w:sz="4" w:space="0" w:color="auto"/>
            </w:tcBorders>
            <w:shd w:val="clear" w:color="auto" w:fill="F2F2F2"/>
            <w:vAlign w:val="center"/>
          </w:tcPr>
          <w:p w:rsidR="00DA4470" w:rsidRPr="004761E0" w:rsidRDefault="00DA4470" w:rsidP="00091B98">
            <w:pPr>
              <w:ind w:firstLine="0"/>
              <w:jc w:val="right"/>
              <w:rPr>
                <w:color w:val="000000"/>
                <w:sz w:val="20"/>
                <w:szCs w:val="20"/>
              </w:rPr>
            </w:pPr>
            <w:r w:rsidRPr="004761E0">
              <w:rPr>
                <w:color w:val="000000"/>
                <w:sz w:val="20"/>
                <w:szCs w:val="20"/>
              </w:rPr>
              <w:t>62,4</w:t>
            </w:r>
          </w:p>
        </w:tc>
        <w:tc>
          <w:tcPr>
            <w:tcW w:w="452" w:type="pct"/>
            <w:tcBorders>
              <w:top w:val="single" w:sz="4" w:space="0" w:color="auto"/>
              <w:left w:val="single" w:sz="4" w:space="0" w:color="auto"/>
              <w:bottom w:val="single" w:sz="4" w:space="0" w:color="auto"/>
              <w:right w:val="single" w:sz="4" w:space="0" w:color="auto"/>
            </w:tcBorders>
            <w:shd w:val="clear" w:color="auto" w:fill="F2F2F2"/>
            <w:vAlign w:val="center"/>
          </w:tcPr>
          <w:p w:rsidR="00DA4470" w:rsidRPr="004761E0" w:rsidRDefault="00DA4470" w:rsidP="00091B98">
            <w:pPr>
              <w:ind w:firstLine="0"/>
              <w:jc w:val="right"/>
              <w:rPr>
                <w:color w:val="000000"/>
                <w:sz w:val="20"/>
                <w:szCs w:val="20"/>
              </w:rPr>
            </w:pPr>
            <w:r w:rsidRPr="004761E0">
              <w:rPr>
                <w:color w:val="000000"/>
                <w:sz w:val="20"/>
                <w:szCs w:val="20"/>
              </w:rPr>
              <w:t>56,1</w:t>
            </w:r>
          </w:p>
        </w:tc>
        <w:tc>
          <w:tcPr>
            <w:tcW w:w="505" w:type="pct"/>
            <w:tcBorders>
              <w:top w:val="single" w:sz="4" w:space="0" w:color="auto"/>
              <w:left w:val="nil"/>
              <w:bottom w:val="single" w:sz="4" w:space="0" w:color="auto"/>
              <w:right w:val="single" w:sz="4" w:space="0" w:color="auto"/>
            </w:tcBorders>
            <w:shd w:val="clear" w:color="auto" w:fill="F2F2F2"/>
            <w:vAlign w:val="center"/>
          </w:tcPr>
          <w:p w:rsidR="00DA4470" w:rsidRPr="004761E0" w:rsidRDefault="00DA4470" w:rsidP="00091B98">
            <w:pPr>
              <w:ind w:firstLine="0"/>
              <w:jc w:val="right"/>
              <w:rPr>
                <w:color w:val="000000"/>
                <w:sz w:val="20"/>
                <w:szCs w:val="20"/>
              </w:rPr>
            </w:pPr>
            <w:r w:rsidRPr="004761E0">
              <w:rPr>
                <w:color w:val="000000"/>
                <w:sz w:val="20"/>
                <w:szCs w:val="20"/>
              </w:rPr>
              <w:t>6,12 %</w:t>
            </w:r>
          </w:p>
        </w:tc>
      </w:tr>
      <w:tr w:rsidR="00DA4470" w:rsidRPr="004761E0" w:rsidTr="00091B98">
        <w:trPr>
          <w:cantSplit/>
        </w:trPr>
        <w:tc>
          <w:tcPr>
            <w:tcW w:w="317" w:type="pct"/>
            <w:vMerge/>
            <w:tcBorders>
              <w:left w:val="single" w:sz="4" w:space="0" w:color="auto"/>
              <w:bottom w:val="single" w:sz="4" w:space="0" w:color="auto"/>
              <w:right w:val="single" w:sz="4" w:space="0" w:color="auto"/>
            </w:tcBorders>
            <w:shd w:val="clear" w:color="auto" w:fill="F2F2F2"/>
            <w:vAlign w:val="center"/>
          </w:tcPr>
          <w:p w:rsidR="00DA4470" w:rsidRPr="004761E0" w:rsidRDefault="00DA4470" w:rsidP="00DA4470">
            <w:pPr>
              <w:pStyle w:val="a5"/>
              <w:ind w:left="360" w:firstLine="0"/>
              <w:contextualSpacing w:val="0"/>
              <w:jc w:val="left"/>
              <w:rPr>
                <w:rFonts w:eastAsia="Times New Roman"/>
                <w:color w:val="000000"/>
                <w:sz w:val="20"/>
                <w:szCs w:val="20"/>
                <w:lang w:eastAsia="ru-RU"/>
              </w:rPr>
            </w:pPr>
          </w:p>
        </w:tc>
        <w:tc>
          <w:tcPr>
            <w:tcW w:w="1728" w:type="pct"/>
            <w:vMerge/>
            <w:tcBorders>
              <w:left w:val="nil"/>
              <w:bottom w:val="single" w:sz="4" w:space="0" w:color="auto"/>
              <w:right w:val="single" w:sz="4" w:space="0" w:color="auto"/>
            </w:tcBorders>
            <w:shd w:val="clear" w:color="auto" w:fill="F2F2F2"/>
            <w:vAlign w:val="center"/>
          </w:tcPr>
          <w:p w:rsidR="00DA4470" w:rsidRPr="004761E0" w:rsidRDefault="00DA4470" w:rsidP="00091B98">
            <w:pPr>
              <w:ind w:left="601" w:firstLineChars="200" w:firstLine="400"/>
              <w:jc w:val="left"/>
              <w:rPr>
                <w:rFonts w:eastAsia="Times New Roman"/>
                <w:color w:val="000000"/>
                <w:sz w:val="20"/>
                <w:szCs w:val="20"/>
                <w:lang w:eastAsia="ru-RU"/>
              </w:rPr>
            </w:pPr>
          </w:p>
        </w:tc>
        <w:tc>
          <w:tcPr>
            <w:tcW w:w="759" w:type="pct"/>
            <w:tcBorders>
              <w:top w:val="single" w:sz="4" w:space="0" w:color="auto"/>
              <w:left w:val="single" w:sz="4" w:space="0" w:color="auto"/>
              <w:bottom w:val="single" w:sz="4" w:space="0" w:color="auto"/>
              <w:right w:val="single" w:sz="4" w:space="0" w:color="auto"/>
            </w:tcBorders>
            <w:shd w:val="clear" w:color="auto" w:fill="F2F2F2"/>
            <w:vAlign w:val="center"/>
          </w:tcPr>
          <w:p w:rsidR="00DA4470" w:rsidRPr="004761E0" w:rsidRDefault="00DA4470" w:rsidP="00DA4470">
            <w:pPr>
              <w:ind w:firstLine="0"/>
              <w:jc w:val="left"/>
              <w:rPr>
                <w:rFonts w:eastAsia="Times New Roman"/>
                <w:color w:val="000000"/>
                <w:sz w:val="20"/>
                <w:szCs w:val="20"/>
                <w:lang w:eastAsia="ru-RU"/>
              </w:rPr>
            </w:pPr>
            <w:r w:rsidRPr="004761E0">
              <w:rPr>
                <w:rFonts w:eastAsia="Times New Roman"/>
                <w:color w:val="000000"/>
                <w:sz w:val="20"/>
                <w:szCs w:val="20"/>
                <w:lang w:eastAsia="ru-RU"/>
              </w:rPr>
              <w:t>млн руб. с НДС</w:t>
            </w:r>
          </w:p>
        </w:tc>
        <w:tc>
          <w:tcPr>
            <w:tcW w:w="413" w:type="pct"/>
            <w:tcBorders>
              <w:top w:val="single" w:sz="4" w:space="0" w:color="auto"/>
              <w:left w:val="nil"/>
              <w:bottom w:val="single" w:sz="4" w:space="0" w:color="auto"/>
              <w:right w:val="single" w:sz="4" w:space="0" w:color="auto"/>
            </w:tcBorders>
            <w:shd w:val="clear" w:color="auto" w:fill="F2F2F2"/>
            <w:vAlign w:val="center"/>
          </w:tcPr>
          <w:p w:rsidR="00DA4470" w:rsidRPr="004761E0" w:rsidRDefault="00DA4470" w:rsidP="00091B98">
            <w:pPr>
              <w:ind w:firstLine="0"/>
              <w:jc w:val="right"/>
              <w:rPr>
                <w:rFonts w:eastAsia="Times New Roman"/>
                <w:color w:val="000000"/>
                <w:sz w:val="20"/>
                <w:szCs w:val="20"/>
                <w:lang w:eastAsia="ru-RU"/>
              </w:rPr>
            </w:pPr>
            <w:r w:rsidRPr="004761E0">
              <w:rPr>
                <w:color w:val="000000"/>
                <w:sz w:val="20"/>
                <w:szCs w:val="20"/>
              </w:rPr>
              <w:t>208,4</w:t>
            </w:r>
          </w:p>
        </w:tc>
        <w:tc>
          <w:tcPr>
            <w:tcW w:w="413" w:type="pct"/>
            <w:tcBorders>
              <w:top w:val="single" w:sz="4" w:space="0" w:color="auto"/>
              <w:left w:val="nil"/>
              <w:bottom w:val="single" w:sz="4" w:space="0" w:color="auto"/>
              <w:right w:val="single" w:sz="4" w:space="0" w:color="auto"/>
            </w:tcBorders>
            <w:shd w:val="clear" w:color="auto" w:fill="F2F2F2"/>
            <w:vAlign w:val="center"/>
          </w:tcPr>
          <w:p w:rsidR="00DA4470" w:rsidRPr="004761E0" w:rsidRDefault="00DA4470" w:rsidP="00091B98">
            <w:pPr>
              <w:ind w:firstLine="0"/>
              <w:jc w:val="right"/>
              <w:rPr>
                <w:color w:val="000000"/>
                <w:sz w:val="20"/>
                <w:szCs w:val="20"/>
              </w:rPr>
            </w:pPr>
            <w:r w:rsidRPr="004761E0">
              <w:rPr>
                <w:color w:val="000000"/>
                <w:sz w:val="20"/>
                <w:szCs w:val="20"/>
              </w:rPr>
              <w:t>198,8</w:t>
            </w:r>
          </w:p>
        </w:tc>
        <w:tc>
          <w:tcPr>
            <w:tcW w:w="413" w:type="pct"/>
            <w:tcBorders>
              <w:top w:val="single" w:sz="4" w:space="0" w:color="auto"/>
              <w:left w:val="nil"/>
              <w:bottom w:val="single" w:sz="4" w:space="0" w:color="auto"/>
              <w:right w:val="single" w:sz="4" w:space="0" w:color="auto"/>
            </w:tcBorders>
            <w:shd w:val="clear" w:color="auto" w:fill="F2F2F2"/>
            <w:vAlign w:val="center"/>
          </w:tcPr>
          <w:p w:rsidR="00DA4470" w:rsidRPr="004761E0" w:rsidRDefault="00DA4470" w:rsidP="00091B98">
            <w:pPr>
              <w:ind w:firstLine="0"/>
              <w:jc w:val="right"/>
              <w:rPr>
                <w:color w:val="000000"/>
                <w:sz w:val="20"/>
                <w:szCs w:val="20"/>
              </w:rPr>
            </w:pPr>
            <w:r w:rsidRPr="004761E0">
              <w:rPr>
                <w:color w:val="000000"/>
                <w:sz w:val="20"/>
                <w:szCs w:val="20"/>
              </w:rPr>
              <w:t>293,1</w:t>
            </w:r>
          </w:p>
        </w:tc>
        <w:tc>
          <w:tcPr>
            <w:tcW w:w="452" w:type="pct"/>
            <w:tcBorders>
              <w:top w:val="single" w:sz="4" w:space="0" w:color="auto"/>
              <w:left w:val="single" w:sz="4" w:space="0" w:color="auto"/>
              <w:bottom w:val="single" w:sz="4" w:space="0" w:color="auto"/>
              <w:right w:val="single" w:sz="4" w:space="0" w:color="auto"/>
            </w:tcBorders>
            <w:shd w:val="clear" w:color="auto" w:fill="F2F2F2"/>
            <w:vAlign w:val="center"/>
          </w:tcPr>
          <w:p w:rsidR="00DA4470" w:rsidRPr="004761E0" w:rsidRDefault="00DA4470" w:rsidP="00091B98">
            <w:pPr>
              <w:ind w:firstLine="0"/>
              <w:jc w:val="right"/>
              <w:rPr>
                <w:color w:val="000000"/>
                <w:sz w:val="20"/>
                <w:szCs w:val="20"/>
              </w:rPr>
            </w:pPr>
            <w:r w:rsidRPr="004761E0">
              <w:rPr>
                <w:color w:val="000000"/>
                <w:sz w:val="20"/>
                <w:szCs w:val="20"/>
              </w:rPr>
              <w:t>221,1</w:t>
            </w:r>
          </w:p>
        </w:tc>
        <w:tc>
          <w:tcPr>
            <w:tcW w:w="505" w:type="pct"/>
            <w:tcBorders>
              <w:top w:val="single" w:sz="4" w:space="0" w:color="auto"/>
              <w:left w:val="nil"/>
              <w:bottom w:val="single" w:sz="4" w:space="0" w:color="auto"/>
              <w:right w:val="single" w:sz="4" w:space="0" w:color="auto"/>
            </w:tcBorders>
            <w:shd w:val="clear" w:color="auto" w:fill="F2F2F2"/>
            <w:vAlign w:val="center"/>
          </w:tcPr>
          <w:p w:rsidR="00DA4470" w:rsidRPr="004761E0" w:rsidRDefault="00DA4470" w:rsidP="00091B98">
            <w:pPr>
              <w:ind w:firstLine="0"/>
              <w:jc w:val="right"/>
              <w:rPr>
                <w:color w:val="000000"/>
                <w:sz w:val="20"/>
                <w:szCs w:val="20"/>
              </w:rPr>
            </w:pPr>
            <w:r w:rsidRPr="004761E0">
              <w:rPr>
                <w:color w:val="000000"/>
                <w:sz w:val="20"/>
                <w:szCs w:val="20"/>
              </w:rPr>
              <w:t>11,20 %</w:t>
            </w:r>
          </w:p>
        </w:tc>
      </w:tr>
      <w:tr w:rsidR="00DA4470" w:rsidRPr="004761E0" w:rsidTr="00091B98">
        <w:trPr>
          <w:cantSplit/>
        </w:trPr>
        <w:tc>
          <w:tcPr>
            <w:tcW w:w="317" w:type="pct"/>
            <w:vMerge w:val="restart"/>
            <w:tcBorders>
              <w:top w:val="single" w:sz="4" w:space="0" w:color="auto"/>
              <w:left w:val="single" w:sz="4" w:space="0" w:color="auto"/>
              <w:right w:val="single" w:sz="4" w:space="0" w:color="auto"/>
            </w:tcBorders>
            <w:shd w:val="clear" w:color="auto" w:fill="F2F2F2"/>
            <w:vAlign w:val="center"/>
          </w:tcPr>
          <w:p w:rsidR="00DA4470" w:rsidRPr="004761E0" w:rsidRDefault="00DA4470" w:rsidP="007076A7">
            <w:pPr>
              <w:pStyle w:val="a5"/>
              <w:numPr>
                <w:ilvl w:val="2"/>
                <w:numId w:val="48"/>
              </w:numPr>
              <w:contextualSpacing w:val="0"/>
              <w:jc w:val="left"/>
              <w:rPr>
                <w:rFonts w:eastAsia="Times New Roman"/>
                <w:color w:val="000000"/>
                <w:sz w:val="20"/>
                <w:szCs w:val="20"/>
                <w:lang w:eastAsia="ru-RU"/>
              </w:rPr>
            </w:pPr>
          </w:p>
        </w:tc>
        <w:tc>
          <w:tcPr>
            <w:tcW w:w="1728" w:type="pct"/>
            <w:vMerge w:val="restart"/>
            <w:tcBorders>
              <w:top w:val="single" w:sz="4" w:space="0" w:color="auto"/>
              <w:left w:val="nil"/>
              <w:right w:val="single" w:sz="4" w:space="0" w:color="auto"/>
            </w:tcBorders>
            <w:shd w:val="clear" w:color="auto" w:fill="F2F2F2"/>
            <w:vAlign w:val="center"/>
          </w:tcPr>
          <w:p w:rsidR="00DA4470" w:rsidRPr="004761E0" w:rsidRDefault="00DA4470" w:rsidP="00DA4470">
            <w:pPr>
              <w:ind w:left="601" w:firstLine="0"/>
              <w:jc w:val="left"/>
              <w:rPr>
                <w:rFonts w:eastAsia="Times New Roman"/>
                <w:color w:val="000000"/>
                <w:sz w:val="20"/>
                <w:szCs w:val="20"/>
                <w:lang w:eastAsia="ru-RU"/>
              </w:rPr>
            </w:pPr>
            <w:r w:rsidRPr="004761E0">
              <w:rPr>
                <w:rFonts w:eastAsia="Times New Roman"/>
                <w:color w:val="000000"/>
                <w:sz w:val="20"/>
                <w:szCs w:val="20"/>
                <w:lang w:eastAsia="ru-RU"/>
              </w:rPr>
              <w:t>тепловая энергия</w:t>
            </w:r>
          </w:p>
        </w:tc>
        <w:tc>
          <w:tcPr>
            <w:tcW w:w="759" w:type="pct"/>
            <w:tcBorders>
              <w:top w:val="single" w:sz="4" w:space="0" w:color="auto"/>
              <w:left w:val="single" w:sz="4" w:space="0" w:color="auto"/>
              <w:bottom w:val="single" w:sz="4" w:space="0" w:color="auto"/>
              <w:right w:val="single" w:sz="4" w:space="0" w:color="auto"/>
            </w:tcBorders>
            <w:shd w:val="clear" w:color="auto" w:fill="F2F2F2"/>
            <w:vAlign w:val="center"/>
          </w:tcPr>
          <w:p w:rsidR="00DA4470" w:rsidRPr="004761E0" w:rsidRDefault="00DA4470" w:rsidP="00DA4470">
            <w:pPr>
              <w:ind w:firstLine="0"/>
              <w:jc w:val="left"/>
              <w:rPr>
                <w:rFonts w:eastAsia="Times New Roman"/>
                <w:color w:val="000000"/>
                <w:sz w:val="20"/>
                <w:szCs w:val="20"/>
                <w:lang w:eastAsia="ru-RU"/>
              </w:rPr>
            </w:pPr>
            <w:r w:rsidRPr="004761E0">
              <w:rPr>
                <w:rFonts w:eastAsia="Times New Roman"/>
                <w:color w:val="000000"/>
                <w:sz w:val="20"/>
                <w:szCs w:val="20"/>
                <w:lang w:eastAsia="ru-RU"/>
              </w:rPr>
              <w:t>Гкал</w:t>
            </w:r>
          </w:p>
        </w:tc>
        <w:tc>
          <w:tcPr>
            <w:tcW w:w="413" w:type="pct"/>
            <w:tcBorders>
              <w:top w:val="single" w:sz="4" w:space="0" w:color="auto"/>
              <w:left w:val="nil"/>
              <w:bottom w:val="single" w:sz="4" w:space="0" w:color="auto"/>
              <w:right w:val="single" w:sz="4" w:space="0" w:color="auto"/>
            </w:tcBorders>
            <w:shd w:val="clear" w:color="auto" w:fill="F2F2F2"/>
            <w:vAlign w:val="center"/>
          </w:tcPr>
          <w:p w:rsidR="00DA4470" w:rsidRPr="004761E0" w:rsidRDefault="00DA4470" w:rsidP="00091B98">
            <w:pPr>
              <w:ind w:firstLine="0"/>
              <w:jc w:val="right"/>
              <w:rPr>
                <w:rFonts w:eastAsia="Times New Roman"/>
                <w:color w:val="000000"/>
                <w:sz w:val="20"/>
                <w:szCs w:val="20"/>
                <w:lang w:eastAsia="ru-RU"/>
              </w:rPr>
            </w:pPr>
            <w:r w:rsidRPr="004761E0">
              <w:rPr>
                <w:color w:val="000000"/>
                <w:sz w:val="20"/>
                <w:szCs w:val="20"/>
              </w:rPr>
              <w:t>57 273,4</w:t>
            </w:r>
          </w:p>
        </w:tc>
        <w:tc>
          <w:tcPr>
            <w:tcW w:w="413" w:type="pct"/>
            <w:tcBorders>
              <w:top w:val="single" w:sz="4" w:space="0" w:color="auto"/>
              <w:left w:val="nil"/>
              <w:bottom w:val="single" w:sz="4" w:space="0" w:color="auto"/>
              <w:right w:val="single" w:sz="4" w:space="0" w:color="auto"/>
            </w:tcBorders>
            <w:shd w:val="clear" w:color="auto" w:fill="F2F2F2"/>
            <w:vAlign w:val="center"/>
          </w:tcPr>
          <w:p w:rsidR="00DA4470" w:rsidRPr="004761E0" w:rsidRDefault="00DA4470" w:rsidP="00091B98">
            <w:pPr>
              <w:ind w:firstLine="0"/>
              <w:jc w:val="right"/>
              <w:rPr>
                <w:color w:val="000000"/>
                <w:sz w:val="20"/>
                <w:szCs w:val="20"/>
              </w:rPr>
            </w:pPr>
            <w:r w:rsidRPr="004761E0">
              <w:rPr>
                <w:color w:val="000000"/>
                <w:sz w:val="20"/>
                <w:szCs w:val="20"/>
              </w:rPr>
              <w:t>53 069,2</w:t>
            </w:r>
          </w:p>
        </w:tc>
        <w:tc>
          <w:tcPr>
            <w:tcW w:w="413" w:type="pct"/>
            <w:tcBorders>
              <w:top w:val="single" w:sz="4" w:space="0" w:color="auto"/>
              <w:left w:val="nil"/>
              <w:bottom w:val="single" w:sz="4" w:space="0" w:color="auto"/>
              <w:right w:val="single" w:sz="4" w:space="0" w:color="auto"/>
            </w:tcBorders>
            <w:shd w:val="clear" w:color="auto" w:fill="F2F2F2"/>
            <w:vAlign w:val="center"/>
          </w:tcPr>
          <w:p w:rsidR="00DA4470" w:rsidRPr="004761E0" w:rsidRDefault="00DA4470" w:rsidP="00091B98">
            <w:pPr>
              <w:ind w:firstLine="0"/>
              <w:jc w:val="right"/>
              <w:rPr>
                <w:color w:val="000000"/>
                <w:sz w:val="20"/>
                <w:szCs w:val="20"/>
              </w:rPr>
            </w:pPr>
            <w:r w:rsidRPr="004761E0">
              <w:rPr>
                <w:color w:val="000000"/>
                <w:sz w:val="20"/>
                <w:szCs w:val="20"/>
              </w:rPr>
              <w:t>61 086,8</w:t>
            </w:r>
          </w:p>
        </w:tc>
        <w:tc>
          <w:tcPr>
            <w:tcW w:w="452" w:type="pct"/>
            <w:tcBorders>
              <w:top w:val="single" w:sz="4" w:space="0" w:color="auto"/>
              <w:left w:val="single" w:sz="4" w:space="0" w:color="auto"/>
              <w:bottom w:val="single" w:sz="4" w:space="0" w:color="auto"/>
              <w:right w:val="single" w:sz="4" w:space="0" w:color="auto"/>
            </w:tcBorders>
            <w:shd w:val="clear" w:color="auto" w:fill="F2F2F2"/>
            <w:vAlign w:val="center"/>
          </w:tcPr>
          <w:p w:rsidR="00DA4470" w:rsidRPr="004761E0" w:rsidRDefault="00DA4470" w:rsidP="00091B98">
            <w:pPr>
              <w:ind w:firstLine="0"/>
              <w:jc w:val="right"/>
              <w:rPr>
                <w:color w:val="000000"/>
                <w:sz w:val="20"/>
                <w:szCs w:val="20"/>
              </w:rPr>
            </w:pPr>
            <w:r w:rsidRPr="004761E0">
              <w:rPr>
                <w:color w:val="000000"/>
                <w:sz w:val="20"/>
                <w:szCs w:val="20"/>
              </w:rPr>
              <w:t>54 737,6</w:t>
            </w:r>
          </w:p>
        </w:tc>
        <w:tc>
          <w:tcPr>
            <w:tcW w:w="505" w:type="pct"/>
            <w:tcBorders>
              <w:top w:val="single" w:sz="4" w:space="0" w:color="auto"/>
              <w:left w:val="nil"/>
              <w:bottom w:val="single" w:sz="4" w:space="0" w:color="auto"/>
              <w:right w:val="single" w:sz="4" w:space="0" w:color="auto"/>
            </w:tcBorders>
            <w:shd w:val="clear" w:color="auto" w:fill="F2F2F2"/>
            <w:vAlign w:val="center"/>
          </w:tcPr>
          <w:p w:rsidR="00DA4470" w:rsidRPr="004761E0" w:rsidRDefault="00DA4470" w:rsidP="00091B98">
            <w:pPr>
              <w:ind w:firstLine="0"/>
              <w:jc w:val="right"/>
              <w:rPr>
                <w:color w:val="000000"/>
                <w:sz w:val="20"/>
                <w:szCs w:val="20"/>
              </w:rPr>
            </w:pPr>
            <w:r w:rsidRPr="004761E0">
              <w:rPr>
                <w:color w:val="000000"/>
                <w:sz w:val="20"/>
                <w:szCs w:val="20"/>
              </w:rPr>
              <w:t>3,14</w:t>
            </w:r>
            <w:r w:rsidR="00091B98" w:rsidRPr="004761E0">
              <w:rPr>
                <w:color w:val="000000"/>
                <w:sz w:val="20"/>
                <w:szCs w:val="20"/>
              </w:rPr>
              <w:t xml:space="preserve"> </w:t>
            </w:r>
            <w:r w:rsidRPr="004761E0">
              <w:rPr>
                <w:color w:val="000000"/>
                <w:sz w:val="20"/>
                <w:szCs w:val="20"/>
              </w:rPr>
              <w:t>%</w:t>
            </w:r>
          </w:p>
        </w:tc>
      </w:tr>
      <w:tr w:rsidR="00DA4470" w:rsidRPr="004761E0" w:rsidTr="00091B98">
        <w:trPr>
          <w:cantSplit/>
        </w:trPr>
        <w:tc>
          <w:tcPr>
            <w:tcW w:w="317" w:type="pct"/>
            <w:vMerge/>
            <w:tcBorders>
              <w:left w:val="single" w:sz="4" w:space="0" w:color="auto"/>
              <w:bottom w:val="single" w:sz="4" w:space="0" w:color="auto"/>
              <w:right w:val="single" w:sz="4" w:space="0" w:color="auto"/>
            </w:tcBorders>
            <w:shd w:val="clear" w:color="auto" w:fill="F2F2F2"/>
            <w:vAlign w:val="center"/>
          </w:tcPr>
          <w:p w:rsidR="00DA4470" w:rsidRPr="004761E0" w:rsidRDefault="00DA4470" w:rsidP="007076A7">
            <w:pPr>
              <w:pStyle w:val="a5"/>
              <w:numPr>
                <w:ilvl w:val="2"/>
                <w:numId w:val="48"/>
              </w:numPr>
              <w:contextualSpacing w:val="0"/>
              <w:jc w:val="left"/>
              <w:rPr>
                <w:rFonts w:eastAsia="Times New Roman"/>
                <w:color w:val="000000"/>
                <w:sz w:val="20"/>
                <w:szCs w:val="20"/>
                <w:lang w:eastAsia="ru-RU"/>
              </w:rPr>
            </w:pPr>
          </w:p>
        </w:tc>
        <w:tc>
          <w:tcPr>
            <w:tcW w:w="1728" w:type="pct"/>
            <w:vMerge/>
            <w:tcBorders>
              <w:left w:val="nil"/>
              <w:bottom w:val="single" w:sz="4" w:space="0" w:color="auto"/>
              <w:right w:val="single" w:sz="4" w:space="0" w:color="auto"/>
            </w:tcBorders>
            <w:shd w:val="clear" w:color="auto" w:fill="F2F2F2"/>
            <w:vAlign w:val="center"/>
          </w:tcPr>
          <w:p w:rsidR="00DA4470" w:rsidRPr="004761E0" w:rsidRDefault="00DA4470" w:rsidP="00DA4470">
            <w:pPr>
              <w:ind w:left="601" w:firstLine="0"/>
              <w:jc w:val="left"/>
              <w:rPr>
                <w:rFonts w:eastAsia="Times New Roman"/>
                <w:color w:val="000000"/>
                <w:sz w:val="20"/>
                <w:szCs w:val="20"/>
                <w:lang w:eastAsia="ru-RU"/>
              </w:rPr>
            </w:pPr>
          </w:p>
        </w:tc>
        <w:tc>
          <w:tcPr>
            <w:tcW w:w="759" w:type="pct"/>
            <w:tcBorders>
              <w:top w:val="single" w:sz="4" w:space="0" w:color="auto"/>
              <w:left w:val="single" w:sz="4" w:space="0" w:color="auto"/>
              <w:bottom w:val="single" w:sz="4" w:space="0" w:color="auto"/>
              <w:right w:val="single" w:sz="4" w:space="0" w:color="auto"/>
            </w:tcBorders>
            <w:shd w:val="clear" w:color="auto" w:fill="F2F2F2"/>
            <w:vAlign w:val="center"/>
          </w:tcPr>
          <w:p w:rsidR="00DA4470" w:rsidRPr="004761E0" w:rsidRDefault="00DA4470" w:rsidP="00DA4470">
            <w:pPr>
              <w:ind w:firstLine="0"/>
              <w:jc w:val="left"/>
              <w:rPr>
                <w:rFonts w:eastAsia="Times New Roman"/>
                <w:color w:val="000000"/>
                <w:sz w:val="20"/>
                <w:szCs w:val="20"/>
                <w:lang w:eastAsia="ru-RU"/>
              </w:rPr>
            </w:pPr>
            <w:r w:rsidRPr="004761E0">
              <w:rPr>
                <w:rFonts w:eastAsia="Times New Roman"/>
                <w:color w:val="000000"/>
                <w:sz w:val="20"/>
                <w:szCs w:val="20"/>
                <w:lang w:eastAsia="ru-RU"/>
              </w:rPr>
              <w:t>млн руб. с НДС</w:t>
            </w:r>
          </w:p>
        </w:tc>
        <w:tc>
          <w:tcPr>
            <w:tcW w:w="413" w:type="pct"/>
            <w:tcBorders>
              <w:top w:val="single" w:sz="4" w:space="0" w:color="auto"/>
              <w:left w:val="nil"/>
              <w:bottom w:val="single" w:sz="4" w:space="0" w:color="auto"/>
              <w:right w:val="single" w:sz="4" w:space="0" w:color="auto"/>
            </w:tcBorders>
            <w:shd w:val="clear" w:color="auto" w:fill="F2F2F2"/>
            <w:vAlign w:val="center"/>
          </w:tcPr>
          <w:p w:rsidR="00DA4470" w:rsidRPr="004761E0" w:rsidRDefault="00DA4470" w:rsidP="00091B98">
            <w:pPr>
              <w:ind w:firstLine="0"/>
              <w:jc w:val="right"/>
              <w:rPr>
                <w:rFonts w:eastAsia="Times New Roman"/>
                <w:color w:val="000000"/>
                <w:sz w:val="20"/>
                <w:szCs w:val="20"/>
                <w:lang w:eastAsia="ru-RU"/>
              </w:rPr>
            </w:pPr>
            <w:r w:rsidRPr="004761E0">
              <w:rPr>
                <w:color w:val="000000"/>
                <w:sz w:val="20"/>
                <w:szCs w:val="20"/>
              </w:rPr>
              <w:t>79,9</w:t>
            </w:r>
          </w:p>
        </w:tc>
        <w:tc>
          <w:tcPr>
            <w:tcW w:w="413" w:type="pct"/>
            <w:tcBorders>
              <w:top w:val="single" w:sz="4" w:space="0" w:color="auto"/>
              <w:left w:val="nil"/>
              <w:bottom w:val="single" w:sz="4" w:space="0" w:color="auto"/>
              <w:right w:val="single" w:sz="4" w:space="0" w:color="auto"/>
            </w:tcBorders>
            <w:shd w:val="clear" w:color="auto" w:fill="F2F2F2"/>
            <w:vAlign w:val="center"/>
          </w:tcPr>
          <w:p w:rsidR="00DA4470" w:rsidRPr="004761E0" w:rsidRDefault="00DA4470" w:rsidP="00091B98">
            <w:pPr>
              <w:ind w:firstLine="0"/>
              <w:jc w:val="right"/>
              <w:rPr>
                <w:color w:val="000000"/>
                <w:sz w:val="20"/>
                <w:szCs w:val="20"/>
              </w:rPr>
            </w:pPr>
            <w:r w:rsidRPr="004761E0">
              <w:rPr>
                <w:color w:val="000000"/>
                <w:sz w:val="20"/>
                <w:szCs w:val="20"/>
              </w:rPr>
              <w:t>71,3</w:t>
            </w:r>
          </w:p>
        </w:tc>
        <w:tc>
          <w:tcPr>
            <w:tcW w:w="413" w:type="pct"/>
            <w:tcBorders>
              <w:top w:val="single" w:sz="4" w:space="0" w:color="auto"/>
              <w:left w:val="nil"/>
              <w:bottom w:val="single" w:sz="4" w:space="0" w:color="auto"/>
              <w:right w:val="single" w:sz="4" w:space="0" w:color="auto"/>
            </w:tcBorders>
            <w:shd w:val="clear" w:color="auto" w:fill="F2F2F2"/>
            <w:vAlign w:val="center"/>
          </w:tcPr>
          <w:p w:rsidR="00DA4470" w:rsidRPr="004761E0" w:rsidRDefault="00DA4470" w:rsidP="00091B98">
            <w:pPr>
              <w:ind w:firstLine="0"/>
              <w:jc w:val="right"/>
              <w:rPr>
                <w:color w:val="000000"/>
                <w:sz w:val="20"/>
                <w:szCs w:val="20"/>
              </w:rPr>
            </w:pPr>
            <w:r w:rsidRPr="004761E0">
              <w:rPr>
                <w:color w:val="000000"/>
                <w:sz w:val="20"/>
                <w:szCs w:val="20"/>
              </w:rPr>
              <w:t>93,7</w:t>
            </w:r>
          </w:p>
        </w:tc>
        <w:tc>
          <w:tcPr>
            <w:tcW w:w="452" w:type="pct"/>
            <w:tcBorders>
              <w:top w:val="single" w:sz="4" w:space="0" w:color="auto"/>
              <w:left w:val="single" w:sz="4" w:space="0" w:color="auto"/>
              <w:bottom w:val="single" w:sz="4" w:space="0" w:color="auto"/>
              <w:right w:val="single" w:sz="4" w:space="0" w:color="auto"/>
            </w:tcBorders>
            <w:shd w:val="clear" w:color="auto" w:fill="F2F2F2"/>
            <w:vAlign w:val="center"/>
          </w:tcPr>
          <w:p w:rsidR="00DA4470" w:rsidRPr="004761E0" w:rsidRDefault="00DA4470" w:rsidP="00091B98">
            <w:pPr>
              <w:ind w:firstLine="0"/>
              <w:jc w:val="right"/>
              <w:rPr>
                <w:color w:val="000000"/>
                <w:sz w:val="20"/>
                <w:szCs w:val="20"/>
              </w:rPr>
            </w:pPr>
            <w:r w:rsidRPr="004761E0">
              <w:rPr>
                <w:color w:val="000000"/>
                <w:sz w:val="20"/>
                <w:szCs w:val="20"/>
              </w:rPr>
              <w:t>81,5</w:t>
            </w:r>
          </w:p>
        </w:tc>
        <w:tc>
          <w:tcPr>
            <w:tcW w:w="505" w:type="pct"/>
            <w:tcBorders>
              <w:top w:val="single" w:sz="4" w:space="0" w:color="auto"/>
              <w:left w:val="nil"/>
              <w:bottom w:val="single" w:sz="4" w:space="0" w:color="auto"/>
              <w:right w:val="single" w:sz="4" w:space="0" w:color="auto"/>
            </w:tcBorders>
            <w:shd w:val="clear" w:color="auto" w:fill="F2F2F2"/>
            <w:vAlign w:val="center"/>
          </w:tcPr>
          <w:p w:rsidR="00DA4470" w:rsidRPr="004761E0" w:rsidRDefault="00DA4470" w:rsidP="00091B98">
            <w:pPr>
              <w:ind w:firstLine="0"/>
              <w:jc w:val="right"/>
              <w:rPr>
                <w:color w:val="000000"/>
                <w:sz w:val="20"/>
                <w:szCs w:val="20"/>
              </w:rPr>
            </w:pPr>
            <w:r w:rsidRPr="004761E0">
              <w:rPr>
                <w:color w:val="000000"/>
                <w:sz w:val="20"/>
                <w:szCs w:val="20"/>
              </w:rPr>
              <w:t>14,23 %</w:t>
            </w:r>
          </w:p>
        </w:tc>
      </w:tr>
      <w:tr w:rsidR="00DA4470" w:rsidRPr="004761E0" w:rsidTr="00091B98">
        <w:trPr>
          <w:cantSplit/>
        </w:trPr>
        <w:tc>
          <w:tcPr>
            <w:tcW w:w="317" w:type="pct"/>
            <w:vMerge w:val="restart"/>
            <w:tcBorders>
              <w:top w:val="single" w:sz="4" w:space="0" w:color="auto"/>
              <w:left w:val="single" w:sz="4" w:space="0" w:color="auto"/>
              <w:right w:val="single" w:sz="4" w:space="0" w:color="auto"/>
            </w:tcBorders>
            <w:shd w:val="clear" w:color="auto" w:fill="F2F2F2"/>
            <w:vAlign w:val="center"/>
          </w:tcPr>
          <w:p w:rsidR="00DA4470" w:rsidRPr="004761E0" w:rsidRDefault="00DA4470" w:rsidP="007076A7">
            <w:pPr>
              <w:pStyle w:val="a5"/>
              <w:numPr>
                <w:ilvl w:val="2"/>
                <w:numId w:val="48"/>
              </w:numPr>
              <w:contextualSpacing w:val="0"/>
              <w:jc w:val="left"/>
              <w:rPr>
                <w:rFonts w:eastAsia="Times New Roman"/>
                <w:color w:val="000000"/>
                <w:sz w:val="20"/>
                <w:szCs w:val="20"/>
                <w:lang w:eastAsia="ru-RU"/>
              </w:rPr>
            </w:pPr>
          </w:p>
        </w:tc>
        <w:tc>
          <w:tcPr>
            <w:tcW w:w="1728" w:type="pct"/>
            <w:vMerge w:val="restart"/>
            <w:tcBorders>
              <w:top w:val="single" w:sz="4" w:space="0" w:color="auto"/>
              <w:left w:val="nil"/>
              <w:right w:val="single" w:sz="4" w:space="0" w:color="auto"/>
            </w:tcBorders>
            <w:shd w:val="clear" w:color="auto" w:fill="F2F2F2"/>
            <w:vAlign w:val="center"/>
          </w:tcPr>
          <w:p w:rsidR="00DA4470" w:rsidRPr="004761E0" w:rsidRDefault="00DA4470" w:rsidP="00DA4470">
            <w:pPr>
              <w:ind w:left="601" w:firstLine="0"/>
              <w:jc w:val="left"/>
              <w:rPr>
                <w:rFonts w:eastAsia="Times New Roman"/>
                <w:color w:val="000000"/>
                <w:sz w:val="20"/>
                <w:szCs w:val="20"/>
                <w:lang w:eastAsia="ru-RU"/>
              </w:rPr>
            </w:pPr>
            <w:r w:rsidRPr="004761E0">
              <w:rPr>
                <w:rFonts w:eastAsia="Times New Roman"/>
                <w:color w:val="000000"/>
                <w:sz w:val="20"/>
                <w:szCs w:val="20"/>
                <w:lang w:eastAsia="ru-RU"/>
              </w:rPr>
              <w:t>газ</w:t>
            </w:r>
          </w:p>
        </w:tc>
        <w:tc>
          <w:tcPr>
            <w:tcW w:w="759" w:type="pct"/>
            <w:tcBorders>
              <w:top w:val="single" w:sz="4" w:space="0" w:color="auto"/>
              <w:left w:val="single" w:sz="4" w:space="0" w:color="auto"/>
              <w:bottom w:val="single" w:sz="4" w:space="0" w:color="auto"/>
              <w:right w:val="single" w:sz="4" w:space="0" w:color="auto"/>
            </w:tcBorders>
            <w:shd w:val="clear" w:color="auto" w:fill="F2F2F2"/>
            <w:vAlign w:val="center"/>
          </w:tcPr>
          <w:p w:rsidR="00DA4470" w:rsidRPr="004761E0" w:rsidRDefault="00DA4470" w:rsidP="00DA4470">
            <w:pPr>
              <w:ind w:firstLine="0"/>
              <w:jc w:val="left"/>
              <w:rPr>
                <w:rFonts w:eastAsia="Times New Roman"/>
                <w:color w:val="000000"/>
                <w:sz w:val="20"/>
                <w:szCs w:val="20"/>
                <w:lang w:eastAsia="ru-RU"/>
              </w:rPr>
            </w:pPr>
            <w:r w:rsidRPr="004761E0">
              <w:rPr>
                <w:rFonts w:eastAsia="Times New Roman"/>
                <w:color w:val="000000"/>
                <w:sz w:val="20"/>
                <w:szCs w:val="20"/>
                <w:lang w:eastAsia="ru-RU"/>
              </w:rPr>
              <w:t>тыс. м³</w:t>
            </w:r>
          </w:p>
        </w:tc>
        <w:tc>
          <w:tcPr>
            <w:tcW w:w="413" w:type="pct"/>
            <w:tcBorders>
              <w:top w:val="single" w:sz="4" w:space="0" w:color="auto"/>
              <w:left w:val="nil"/>
              <w:bottom w:val="single" w:sz="4" w:space="0" w:color="auto"/>
              <w:right w:val="single" w:sz="4" w:space="0" w:color="auto"/>
            </w:tcBorders>
            <w:shd w:val="clear" w:color="auto" w:fill="F2F2F2"/>
            <w:vAlign w:val="center"/>
          </w:tcPr>
          <w:p w:rsidR="00DA4470" w:rsidRPr="004761E0" w:rsidRDefault="00DA4470" w:rsidP="00091B98">
            <w:pPr>
              <w:ind w:firstLine="0"/>
              <w:jc w:val="right"/>
              <w:rPr>
                <w:rFonts w:eastAsia="Times New Roman"/>
                <w:color w:val="000000"/>
                <w:sz w:val="20"/>
                <w:szCs w:val="20"/>
                <w:lang w:eastAsia="ru-RU"/>
              </w:rPr>
            </w:pPr>
            <w:r w:rsidRPr="004761E0">
              <w:rPr>
                <w:color w:val="000000"/>
                <w:sz w:val="20"/>
                <w:szCs w:val="20"/>
              </w:rPr>
              <w:t>259,9</w:t>
            </w:r>
          </w:p>
        </w:tc>
        <w:tc>
          <w:tcPr>
            <w:tcW w:w="413" w:type="pct"/>
            <w:tcBorders>
              <w:top w:val="single" w:sz="4" w:space="0" w:color="auto"/>
              <w:left w:val="nil"/>
              <w:bottom w:val="single" w:sz="4" w:space="0" w:color="auto"/>
              <w:right w:val="single" w:sz="4" w:space="0" w:color="auto"/>
            </w:tcBorders>
            <w:shd w:val="clear" w:color="auto" w:fill="F2F2F2"/>
            <w:vAlign w:val="center"/>
          </w:tcPr>
          <w:p w:rsidR="00DA4470" w:rsidRPr="004761E0" w:rsidRDefault="00DA4470" w:rsidP="00091B98">
            <w:pPr>
              <w:ind w:firstLine="0"/>
              <w:jc w:val="right"/>
              <w:rPr>
                <w:color w:val="000000"/>
                <w:sz w:val="20"/>
                <w:szCs w:val="20"/>
              </w:rPr>
            </w:pPr>
            <w:r w:rsidRPr="004761E0">
              <w:rPr>
                <w:color w:val="000000"/>
                <w:sz w:val="20"/>
                <w:szCs w:val="20"/>
              </w:rPr>
              <w:t>265,2</w:t>
            </w:r>
          </w:p>
        </w:tc>
        <w:tc>
          <w:tcPr>
            <w:tcW w:w="413" w:type="pct"/>
            <w:tcBorders>
              <w:top w:val="single" w:sz="4" w:space="0" w:color="auto"/>
              <w:left w:val="nil"/>
              <w:bottom w:val="single" w:sz="4" w:space="0" w:color="auto"/>
              <w:right w:val="single" w:sz="4" w:space="0" w:color="auto"/>
            </w:tcBorders>
            <w:shd w:val="clear" w:color="auto" w:fill="F2F2F2"/>
            <w:vAlign w:val="center"/>
          </w:tcPr>
          <w:p w:rsidR="00DA4470" w:rsidRPr="004761E0" w:rsidRDefault="00DA4470" w:rsidP="00091B98">
            <w:pPr>
              <w:ind w:firstLine="0"/>
              <w:jc w:val="right"/>
              <w:rPr>
                <w:color w:val="000000"/>
                <w:sz w:val="20"/>
                <w:szCs w:val="20"/>
              </w:rPr>
            </w:pPr>
            <w:r w:rsidRPr="004761E0">
              <w:rPr>
                <w:color w:val="000000"/>
                <w:sz w:val="20"/>
                <w:szCs w:val="20"/>
              </w:rPr>
              <w:t>271,1</w:t>
            </w:r>
          </w:p>
        </w:tc>
        <w:tc>
          <w:tcPr>
            <w:tcW w:w="452" w:type="pct"/>
            <w:tcBorders>
              <w:top w:val="single" w:sz="4" w:space="0" w:color="auto"/>
              <w:left w:val="single" w:sz="4" w:space="0" w:color="auto"/>
              <w:bottom w:val="single" w:sz="4" w:space="0" w:color="auto"/>
              <w:right w:val="single" w:sz="4" w:space="0" w:color="auto"/>
            </w:tcBorders>
            <w:shd w:val="clear" w:color="auto" w:fill="F2F2F2"/>
            <w:vAlign w:val="center"/>
          </w:tcPr>
          <w:p w:rsidR="00DA4470" w:rsidRPr="004761E0" w:rsidRDefault="00DA4470" w:rsidP="00091B98">
            <w:pPr>
              <w:ind w:firstLine="0"/>
              <w:jc w:val="right"/>
              <w:rPr>
                <w:color w:val="000000"/>
                <w:sz w:val="20"/>
                <w:szCs w:val="20"/>
              </w:rPr>
            </w:pPr>
            <w:r w:rsidRPr="004761E0">
              <w:rPr>
                <w:color w:val="000000"/>
                <w:sz w:val="20"/>
                <w:szCs w:val="20"/>
              </w:rPr>
              <w:t>149,4</w:t>
            </w:r>
          </w:p>
        </w:tc>
        <w:tc>
          <w:tcPr>
            <w:tcW w:w="505" w:type="pct"/>
            <w:tcBorders>
              <w:top w:val="single" w:sz="4" w:space="0" w:color="auto"/>
              <w:left w:val="nil"/>
              <w:bottom w:val="single" w:sz="4" w:space="0" w:color="auto"/>
              <w:right w:val="single" w:sz="4" w:space="0" w:color="auto"/>
            </w:tcBorders>
            <w:shd w:val="clear" w:color="auto" w:fill="F2F2F2"/>
            <w:vAlign w:val="center"/>
          </w:tcPr>
          <w:p w:rsidR="00DA4470" w:rsidRPr="004761E0" w:rsidRDefault="00DA4470" w:rsidP="00091B98">
            <w:pPr>
              <w:ind w:firstLine="0"/>
              <w:jc w:val="right"/>
              <w:rPr>
                <w:color w:val="000000"/>
                <w:sz w:val="20"/>
                <w:szCs w:val="20"/>
              </w:rPr>
            </w:pPr>
            <w:r w:rsidRPr="004761E0">
              <w:rPr>
                <w:color w:val="000000"/>
                <w:sz w:val="20"/>
                <w:szCs w:val="20"/>
              </w:rPr>
              <w:t>-43,66 %</w:t>
            </w:r>
          </w:p>
        </w:tc>
      </w:tr>
      <w:tr w:rsidR="00DA4470" w:rsidRPr="004761E0" w:rsidTr="00091B98">
        <w:trPr>
          <w:cantSplit/>
        </w:trPr>
        <w:tc>
          <w:tcPr>
            <w:tcW w:w="317" w:type="pct"/>
            <w:vMerge/>
            <w:tcBorders>
              <w:left w:val="single" w:sz="4" w:space="0" w:color="auto"/>
              <w:bottom w:val="single" w:sz="4" w:space="0" w:color="auto"/>
              <w:right w:val="single" w:sz="4" w:space="0" w:color="auto"/>
            </w:tcBorders>
            <w:shd w:val="clear" w:color="auto" w:fill="F2F2F2"/>
            <w:vAlign w:val="center"/>
          </w:tcPr>
          <w:p w:rsidR="00DA4470" w:rsidRPr="004761E0" w:rsidRDefault="00DA4470" w:rsidP="00DA4470">
            <w:pPr>
              <w:pStyle w:val="a5"/>
              <w:ind w:left="360" w:firstLine="0"/>
              <w:contextualSpacing w:val="0"/>
              <w:jc w:val="left"/>
              <w:rPr>
                <w:rFonts w:eastAsia="Times New Roman"/>
                <w:color w:val="000000"/>
                <w:sz w:val="20"/>
                <w:szCs w:val="20"/>
                <w:lang w:eastAsia="ru-RU"/>
              </w:rPr>
            </w:pPr>
          </w:p>
        </w:tc>
        <w:tc>
          <w:tcPr>
            <w:tcW w:w="1728" w:type="pct"/>
            <w:vMerge/>
            <w:tcBorders>
              <w:left w:val="nil"/>
              <w:bottom w:val="single" w:sz="4" w:space="0" w:color="auto"/>
              <w:right w:val="single" w:sz="4" w:space="0" w:color="auto"/>
            </w:tcBorders>
            <w:shd w:val="clear" w:color="auto" w:fill="F2F2F2"/>
            <w:vAlign w:val="center"/>
          </w:tcPr>
          <w:p w:rsidR="00DA4470" w:rsidRPr="004761E0" w:rsidRDefault="00DA4470" w:rsidP="00DA4470">
            <w:pPr>
              <w:ind w:left="601" w:firstLine="0"/>
              <w:jc w:val="left"/>
              <w:rPr>
                <w:rFonts w:eastAsia="Times New Roman"/>
                <w:color w:val="000000"/>
                <w:sz w:val="20"/>
                <w:szCs w:val="20"/>
                <w:lang w:eastAsia="ru-RU"/>
              </w:rPr>
            </w:pPr>
          </w:p>
        </w:tc>
        <w:tc>
          <w:tcPr>
            <w:tcW w:w="759" w:type="pct"/>
            <w:tcBorders>
              <w:top w:val="single" w:sz="4" w:space="0" w:color="auto"/>
              <w:left w:val="single" w:sz="4" w:space="0" w:color="auto"/>
              <w:bottom w:val="single" w:sz="4" w:space="0" w:color="auto"/>
              <w:right w:val="single" w:sz="4" w:space="0" w:color="auto"/>
            </w:tcBorders>
            <w:shd w:val="clear" w:color="auto" w:fill="F2F2F2"/>
            <w:vAlign w:val="center"/>
          </w:tcPr>
          <w:p w:rsidR="00DA4470" w:rsidRPr="004761E0" w:rsidRDefault="00DA4470" w:rsidP="00DA4470">
            <w:pPr>
              <w:ind w:firstLine="0"/>
              <w:jc w:val="left"/>
              <w:rPr>
                <w:rFonts w:eastAsia="Times New Roman"/>
                <w:color w:val="000000"/>
                <w:sz w:val="20"/>
                <w:szCs w:val="20"/>
                <w:lang w:eastAsia="ru-RU"/>
              </w:rPr>
            </w:pPr>
            <w:r w:rsidRPr="004761E0">
              <w:rPr>
                <w:rFonts w:eastAsia="Times New Roman"/>
                <w:color w:val="000000"/>
                <w:sz w:val="20"/>
                <w:szCs w:val="20"/>
                <w:lang w:eastAsia="ru-RU"/>
              </w:rPr>
              <w:t>млн руб. с НДС</w:t>
            </w:r>
          </w:p>
        </w:tc>
        <w:tc>
          <w:tcPr>
            <w:tcW w:w="413" w:type="pct"/>
            <w:tcBorders>
              <w:top w:val="single" w:sz="4" w:space="0" w:color="auto"/>
              <w:left w:val="nil"/>
              <w:bottom w:val="single" w:sz="4" w:space="0" w:color="auto"/>
              <w:right w:val="single" w:sz="4" w:space="0" w:color="auto"/>
            </w:tcBorders>
            <w:shd w:val="clear" w:color="auto" w:fill="F2F2F2"/>
            <w:vAlign w:val="center"/>
          </w:tcPr>
          <w:p w:rsidR="00DA4470" w:rsidRPr="004761E0" w:rsidRDefault="00DA4470" w:rsidP="00091B98">
            <w:pPr>
              <w:ind w:firstLine="0"/>
              <w:jc w:val="right"/>
              <w:rPr>
                <w:rFonts w:eastAsia="Times New Roman"/>
                <w:color w:val="000000"/>
                <w:sz w:val="20"/>
                <w:szCs w:val="20"/>
                <w:lang w:eastAsia="ru-RU"/>
              </w:rPr>
            </w:pPr>
            <w:r w:rsidRPr="004761E0">
              <w:rPr>
                <w:color w:val="000000"/>
                <w:sz w:val="20"/>
                <w:szCs w:val="20"/>
              </w:rPr>
              <w:t>1,0</w:t>
            </w:r>
          </w:p>
        </w:tc>
        <w:tc>
          <w:tcPr>
            <w:tcW w:w="413" w:type="pct"/>
            <w:tcBorders>
              <w:top w:val="single" w:sz="4" w:space="0" w:color="auto"/>
              <w:left w:val="nil"/>
              <w:bottom w:val="single" w:sz="4" w:space="0" w:color="auto"/>
              <w:right w:val="single" w:sz="4" w:space="0" w:color="auto"/>
            </w:tcBorders>
            <w:shd w:val="clear" w:color="auto" w:fill="F2F2F2"/>
            <w:vAlign w:val="center"/>
          </w:tcPr>
          <w:p w:rsidR="00DA4470" w:rsidRPr="004761E0" w:rsidRDefault="00DA4470" w:rsidP="00091B98">
            <w:pPr>
              <w:ind w:firstLine="0"/>
              <w:jc w:val="right"/>
              <w:rPr>
                <w:color w:val="000000"/>
                <w:sz w:val="20"/>
                <w:szCs w:val="20"/>
              </w:rPr>
            </w:pPr>
            <w:r w:rsidRPr="004761E0">
              <w:rPr>
                <w:color w:val="000000"/>
                <w:sz w:val="20"/>
                <w:szCs w:val="20"/>
              </w:rPr>
              <w:t>0,8</w:t>
            </w:r>
          </w:p>
        </w:tc>
        <w:tc>
          <w:tcPr>
            <w:tcW w:w="413" w:type="pct"/>
            <w:tcBorders>
              <w:top w:val="single" w:sz="4" w:space="0" w:color="auto"/>
              <w:left w:val="nil"/>
              <w:bottom w:val="single" w:sz="4" w:space="0" w:color="auto"/>
              <w:right w:val="single" w:sz="4" w:space="0" w:color="auto"/>
            </w:tcBorders>
            <w:shd w:val="clear" w:color="auto" w:fill="F2F2F2"/>
            <w:vAlign w:val="center"/>
          </w:tcPr>
          <w:p w:rsidR="00DA4470" w:rsidRPr="004761E0" w:rsidRDefault="00DA4470" w:rsidP="00091B98">
            <w:pPr>
              <w:ind w:firstLine="0"/>
              <w:jc w:val="right"/>
              <w:rPr>
                <w:color w:val="000000"/>
                <w:sz w:val="20"/>
                <w:szCs w:val="20"/>
              </w:rPr>
            </w:pPr>
            <w:r w:rsidRPr="004761E0">
              <w:rPr>
                <w:color w:val="000000"/>
                <w:sz w:val="20"/>
                <w:szCs w:val="20"/>
              </w:rPr>
              <w:t>1,3</w:t>
            </w:r>
          </w:p>
        </w:tc>
        <w:tc>
          <w:tcPr>
            <w:tcW w:w="452" w:type="pct"/>
            <w:tcBorders>
              <w:top w:val="single" w:sz="4" w:space="0" w:color="auto"/>
              <w:left w:val="single" w:sz="4" w:space="0" w:color="auto"/>
              <w:bottom w:val="single" w:sz="4" w:space="0" w:color="auto"/>
              <w:right w:val="single" w:sz="4" w:space="0" w:color="auto"/>
            </w:tcBorders>
            <w:shd w:val="clear" w:color="auto" w:fill="F2F2F2"/>
            <w:vAlign w:val="center"/>
          </w:tcPr>
          <w:p w:rsidR="00DA4470" w:rsidRPr="004761E0" w:rsidRDefault="00DA4470" w:rsidP="00091B98">
            <w:pPr>
              <w:ind w:firstLine="0"/>
              <w:jc w:val="right"/>
              <w:rPr>
                <w:color w:val="000000"/>
                <w:sz w:val="20"/>
                <w:szCs w:val="20"/>
              </w:rPr>
            </w:pPr>
            <w:r w:rsidRPr="004761E0">
              <w:rPr>
                <w:color w:val="000000"/>
                <w:sz w:val="20"/>
                <w:szCs w:val="20"/>
              </w:rPr>
              <w:t>0,8</w:t>
            </w:r>
          </w:p>
        </w:tc>
        <w:tc>
          <w:tcPr>
            <w:tcW w:w="505" w:type="pct"/>
            <w:tcBorders>
              <w:top w:val="single" w:sz="4" w:space="0" w:color="auto"/>
              <w:left w:val="nil"/>
              <w:bottom w:val="single" w:sz="4" w:space="0" w:color="auto"/>
              <w:right w:val="single" w:sz="4" w:space="0" w:color="auto"/>
            </w:tcBorders>
            <w:shd w:val="clear" w:color="auto" w:fill="F2F2F2"/>
            <w:vAlign w:val="center"/>
          </w:tcPr>
          <w:p w:rsidR="00DA4470" w:rsidRPr="004761E0" w:rsidRDefault="00DA4470" w:rsidP="00091B98">
            <w:pPr>
              <w:ind w:firstLine="0"/>
              <w:jc w:val="right"/>
              <w:rPr>
                <w:color w:val="000000"/>
                <w:sz w:val="20"/>
                <w:szCs w:val="20"/>
              </w:rPr>
            </w:pPr>
            <w:r w:rsidRPr="004761E0">
              <w:rPr>
                <w:color w:val="000000"/>
                <w:sz w:val="20"/>
                <w:szCs w:val="20"/>
              </w:rPr>
              <w:t>-4,53 %</w:t>
            </w:r>
          </w:p>
        </w:tc>
      </w:tr>
      <w:tr w:rsidR="00DA4470" w:rsidRPr="004761E0" w:rsidTr="00091B98">
        <w:trPr>
          <w:cantSplit/>
        </w:trPr>
        <w:tc>
          <w:tcPr>
            <w:tcW w:w="317" w:type="pct"/>
            <w:vMerge w:val="restart"/>
            <w:tcBorders>
              <w:top w:val="single" w:sz="4" w:space="0" w:color="auto"/>
              <w:left w:val="single" w:sz="4" w:space="0" w:color="auto"/>
              <w:right w:val="single" w:sz="4" w:space="0" w:color="auto"/>
            </w:tcBorders>
            <w:shd w:val="clear" w:color="auto" w:fill="F2F2F2"/>
            <w:vAlign w:val="center"/>
          </w:tcPr>
          <w:p w:rsidR="00DA4470" w:rsidRPr="004761E0" w:rsidRDefault="00DA4470" w:rsidP="007076A7">
            <w:pPr>
              <w:pStyle w:val="a5"/>
              <w:numPr>
                <w:ilvl w:val="2"/>
                <w:numId w:val="48"/>
              </w:numPr>
              <w:contextualSpacing w:val="0"/>
              <w:jc w:val="left"/>
              <w:rPr>
                <w:rFonts w:eastAsia="Times New Roman"/>
                <w:color w:val="000000"/>
                <w:sz w:val="20"/>
                <w:szCs w:val="20"/>
                <w:lang w:eastAsia="ru-RU"/>
              </w:rPr>
            </w:pPr>
          </w:p>
        </w:tc>
        <w:tc>
          <w:tcPr>
            <w:tcW w:w="1728" w:type="pct"/>
            <w:vMerge w:val="restart"/>
            <w:tcBorders>
              <w:top w:val="single" w:sz="4" w:space="0" w:color="auto"/>
              <w:left w:val="nil"/>
              <w:right w:val="single" w:sz="4" w:space="0" w:color="auto"/>
            </w:tcBorders>
            <w:shd w:val="clear" w:color="auto" w:fill="F2F2F2"/>
            <w:vAlign w:val="center"/>
          </w:tcPr>
          <w:p w:rsidR="00DA4470" w:rsidRPr="004761E0" w:rsidRDefault="00DA4470" w:rsidP="00DA4470">
            <w:pPr>
              <w:ind w:left="601" w:firstLine="0"/>
              <w:jc w:val="left"/>
              <w:rPr>
                <w:rFonts w:eastAsia="Times New Roman"/>
                <w:color w:val="000000"/>
                <w:sz w:val="20"/>
                <w:szCs w:val="20"/>
                <w:lang w:eastAsia="ru-RU"/>
              </w:rPr>
            </w:pPr>
            <w:r w:rsidRPr="004761E0">
              <w:rPr>
                <w:rFonts w:eastAsia="Times New Roman"/>
                <w:color w:val="000000"/>
                <w:sz w:val="20"/>
                <w:szCs w:val="20"/>
                <w:lang w:eastAsia="ru-RU"/>
              </w:rPr>
              <w:t>иное (дизельное топливо, керосин, бензин и др.)</w:t>
            </w:r>
          </w:p>
        </w:tc>
        <w:tc>
          <w:tcPr>
            <w:tcW w:w="759" w:type="pct"/>
            <w:tcBorders>
              <w:top w:val="single" w:sz="4" w:space="0" w:color="auto"/>
              <w:left w:val="single" w:sz="4" w:space="0" w:color="auto"/>
              <w:bottom w:val="single" w:sz="4" w:space="0" w:color="auto"/>
              <w:right w:val="single" w:sz="4" w:space="0" w:color="auto"/>
            </w:tcBorders>
            <w:shd w:val="clear" w:color="auto" w:fill="F2F2F2"/>
            <w:vAlign w:val="center"/>
          </w:tcPr>
          <w:p w:rsidR="00DA4470" w:rsidRPr="004761E0" w:rsidRDefault="00DA4470" w:rsidP="00DA4470">
            <w:pPr>
              <w:ind w:firstLine="0"/>
              <w:jc w:val="left"/>
              <w:rPr>
                <w:rFonts w:eastAsia="Times New Roman"/>
                <w:color w:val="000000"/>
                <w:sz w:val="20"/>
                <w:szCs w:val="20"/>
                <w:lang w:eastAsia="ru-RU"/>
              </w:rPr>
            </w:pPr>
            <w:r w:rsidRPr="004761E0">
              <w:rPr>
                <w:rFonts w:eastAsia="Times New Roman"/>
                <w:color w:val="000000"/>
                <w:sz w:val="20"/>
                <w:szCs w:val="20"/>
                <w:lang w:eastAsia="ru-RU"/>
              </w:rPr>
              <w:t>тыс. т у. т.</w:t>
            </w:r>
          </w:p>
        </w:tc>
        <w:tc>
          <w:tcPr>
            <w:tcW w:w="413" w:type="pct"/>
            <w:tcBorders>
              <w:top w:val="single" w:sz="4" w:space="0" w:color="auto"/>
              <w:left w:val="nil"/>
              <w:bottom w:val="single" w:sz="4" w:space="0" w:color="auto"/>
              <w:right w:val="single" w:sz="4" w:space="0" w:color="auto"/>
            </w:tcBorders>
            <w:shd w:val="clear" w:color="auto" w:fill="F2F2F2"/>
            <w:vAlign w:val="center"/>
          </w:tcPr>
          <w:p w:rsidR="00DA4470" w:rsidRPr="004761E0" w:rsidRDefault="00DA4470" w:rsidP="00091B98">
            <w:pPr>
              <w:ind w:firstLine="0"/>
              <w:jc w:val="right"/>
              <w:rPr>
                <w:rFonts w:eastAsia="Times New Roman"/>
                <w:color w:val="000000"/>
                <w:sz w:val="20"/>
                <w:szCs w:val="20"/>
                <w:lang w:eastAsia="ru-RU"/>
              </w:rPr>
            </w:pPr>
            <w:r w:rsidRPr="004761E0">
              <w:rPr>
                <w:color w:val="000000"/>
                <w:sz w:val="20"/>
                <w:szCs w:val="20"/>
              </w:rPr>
              <w:t>19,6</w:t>
            </w:r>
          </w:p>
        </w:tc>
        <w:tc>
          <w:tcPr>
            <w:tcW w:w="413" w:type="pct"/>
            <w:tcBorders>
              <w:top w:val="single" w:sz="4" w:space="0" w:color="auto"/>
              <w:left w:val="nil"/>
              <w:bottom w:val="single" w:sz="4" w:space="0" w:color="auto"/>
              <w:right w:val="single" w:sz="4" w:space="0" w:color="auto"/>
            </w:tcBorders>
            <w:shd w:val="clear" w:color="auto" w:fill="F2F2F2"/>
            <w:vAlign w:val="center"/>
          </w:tcPr>
          <w:p w:rsidR="00DA4470" w:rsidRPr="004761E0" w:rsidRDefault="00DA4470" w:rsidP="00091B98">
            <w:pPr>
              <w:ind w:firstLine="0"/>
              <w:jc w:val="right"/>
              <w:rPr>
                <w:color w:val="000000"/>
                <w:sz w:val="20"/>
                <w:szCs w:val="20"/>
              </w:rPr>
            </w:pPr>
            <w:r w:rsidRPr="004761E0">
              <w:rPr>
                <w:color w:val="000000"/>
                <w:sz w:val="20"/>
                <w:szCs w:val="20"/>
              </w:rPr>
              <w:t>14,4</w:t>
            </w:r>
          </w:p>
        </w:tc>
        <w:tc>
          <w:tcPr>
            <w:tcW w:w="413" w:type="pct"/>
            <w:tcBorders>
              <w:top w:val="single" w:sz="4" w:space="0" w:color="auto"/>
              <w:left w:val="nil"/>
              <w:bottom w:val="single" w:sz="4" w:space="0" w:color="auto"/>
              <w:right w:val="single" w:sz="4" w:space="0" w:color="auto"/>
            </w:tcBorders>
            <w:shd w:val="clear" w:color="auto" w:fill="F2F2F2"/>
            <w:vAlign w:val="center"/>
          </w:tcPr>
          <w:p w:rsidR="00DA4470" w:rsidRPr="004761E0" w:rsidRDefault="00DA4470" w:rsidP="00091B98">
            <w:pPr>
              <w:ind w:firstLine="0"/>
              <w:jc w:val="right"/>
              <w:rPr>
                <w:color w:val="000000"/>
                <w:sz w:val="20"/>
                <w:szCs w:val="20"/>
              </w:rPr>
            </w:pPr>
            <w:r w:rsidRPr="004761E0">
              <w:rPr>
                <w:color w:val="000000"/>
                <w:sz w:val="20"/>
                <w:szCs w:val="20"/>
              </w:rPr>
              <w:t>16,0</w:t>
            </w:r>
          </w:p>
        </w:tc>
        <w:tc>
          <w:tcPr>
            <w:tcW w:w="452" w:type="pct"/>
            <w:tcBorders>
              <w:top w:val="single" w:sz="4" w:space="0" w:color="auto"/>
              <w:left w:val="single" w:sz="4" w:space="0" w:color="auto"/>
              <w:bottom w:val="single" w:sz="4" w:space="0" w:color="auto"/>
              <w:right w:val="single" w:sz="4" w:space="0" w:color="auto"/>
            </w:tcBorders>
            <w:shd w:val="clear" w:color="auto" w:fill="F2F2F2"/>
            <w:vAlign w:val="center"/>
          </w:tcPr>
          <w:p w:rsidR="00DA4470" w:rsidRPr="004761E0" w:rsidRDefault="00DA4470" w:rsidP="00091B98">
            <w:pPr>
              <w:ind w:firstLine="0"/>
              <w:jc w:val="right"/>
              <w:rPr>
                <w:color w:val="000000"/>
                <w:sz w:val="20"/>
                <w:szCs w:val="20"/>
              </w:rPr>
            </w:pPr>
            <w:r w:rsidRPr="004761E0">
              <w:rPr>
                <w:color w:val="000000"/>
                <w:sz w:val="20"/>
                <w:szCs w:val="20"/>
              </w:rPr>
              <w:t>13,2</w:t>
            </w:r>
          </w:p>
        </w:tc>
        <w:tc>
          <w:tcPr>
            <w:tcW w:w="505" w:type="pct"/>
            <w:tcBorders>
              <w:top w:val="single" w:sz="4" w:space="0" w:color="auto"/>
              <w:left w:val="nil"/>
              <w:bottom w:val="single" w:sz="4" w:space="0" w:color="auto"/>
              <w:right w:val="single" w:sz="4" w:space="0" w:color="auto"/>
            </w:tcBorders>
            <w:shd w:val="clear" w:color="auto" w:fill="F2F2F2"/>
            <w:vAlign w:val="center"/>
          </w:tcPr>
          <w:p w:rsidR="00DA4470" w:rsidRPr="004761E0" w:rsidRDefault="00DA4470" w:rsidP="00091B98">
            <w:pPr>
              <w:ind w:firstLine="0"/>
              <w:jc w:val="right"/>
              <w:rPr>
                <w:color w:val="000000"/>
                <w:sz w:val="20"/>
                <w:szCs w:val="20"/>
              </w:rPr>
            </w:pPr>
            <w:r w:rsidRPr="004761E0">
              <w:rPr>
                <w:color w:val="000000"/>
                <w:sz w:val="20"/>
                <w:szCs w:val="20"/>
              </w:rPr>
              <w:t>-8,24 %</w:t>
            </w:r>
          </w:p>
        </w:tc>
      </w:tr>
      <w:tr w:rsidR="00DA4470" w:rsidRPr="004761E0" w:rsidTr="00091B98">
        <w:trPr>
          <w:cantSplit/>
        </w:trPr>
        <w:tc>
          <w:tcPr>
            <w:tcW w:w="317" w:type="pct"/>
            <w:vMerge/>
            <w:tcBorders>
              <w:left w:val="single" w:sz="4" w:space="0" w:color="auto"/>
              <w:bottom w:val="single" w:sz="4" w:space="0" w:color="auto"/>
              <w:right w:val="single" w:sz="4" w:space="0" w:color="auto"/>
            </w:tcBorders>
            <w:shd w:val="clear" w:color="auto" w:fill="F2F2F2"/>
            <w:vAlign w:val="center"/>
          </w:tcPr>
          <w:p w:rsidR="00DA4470" w:rsidRPr="004761E0" w:rsidRDefault="00DA4470" w:rsidP="007076A7">
            <w:pPr>
              <w:pStyle w:val="a5"/>
              <w:numPr>
                <w:ilvl w:val="2"/>
                <w:numId w:val="48"/>
              </w:numPr>
              <w:contextualSpacing w:val="0"/>
              <w:jc w:val="left"/>
              <w:rPr>
                <w:rFonts w:eastAsia="Times New Roman"/>
                <w:color w:val="000000"/>
                <w:sz w:val="20"/>
                <w:szCs w:val="20"/>
                <w:lang w:eastAsia="ru-RU"/>
              </w:rPr>
            </w:pPr>
          </w:p>
        </w:tc>
        <w:tc>
          <w:tcPr>
            <w:tcW w:w="1728" w:type="pct"/>
            <w:vMerge/>
            <w:tcBorders>
              <w:left w:val="nil"/>
              <w:bottom w:val="single" w:sz="4" w:space="0" w:color="auto"/>
              <w:right w:val="single" w:sz="4" w:space="0" w:color="auto"/>
            </w:tcBorders>
            <w:shd w:val="clear" w:color="auto" w:fill="F2F2F2"/>
            <w:vAlign w:val="center"/>
          </w:tcPr>
          <w:p w:rsidR="00DA4470" w:rsidRPr="004761E0" w:rsidRDefault="00DA4470" w:rsidP="00091B98">
            <w:pPr>
              <w:ind w:firstLineChars="200" w:firstLine="400"/>
              <w:jc w:val="left"/>
              <w:rPr>
                <w:rFonts w:eastAsia="Times New Roman"/>
                <w:color w:val="000000"/>
                <w:sz w:val="20"/>
                <w:szCs w:val="20"/>
                <w:lang w:eastAsia="ru-RU"/>
              </w:rPr>
            </w:pPr>
          </w:p>
        </w:tc>
        <w:tc>
          <w:tcPr>
            <w:tcW w:w="759" w:type="pct"/>
            <w:tcBorders>
              <w:top w:val="single" w:sz="4" w:space="0" w:color="auto"/>
              <w:left w:val="single" w:sz="4" w:space="0" w:color="auto"/>
              <w:bottom w:val="single" w:sz="4" w:space="0" w:color="auto"/>
              <w:right w:val="single" w:sz="4" w:space="0" w:color="auto"/>
            </w:tcBorders>
            <w:shd w:val="clear" w:color="auto" w:fill="F2F2F2"/>
            <w:vAlign w:val="center"/>
          </w:tcPr>
          <w:p w:rsidR="00DA4470" w:rsidRPr="004761E0" w:rsidRDefault="00DA4470" w:rsidP="00DA4470">
            <w:pPr>
              <w:ind w:firstLine="0"/>
              <w:jc w:val="left"/>
              <w:rPr>
                <w:rFonts w:eastAsia="Times New Roman"/>
                <w:color w:val="000000"/>
                <w:sz w:val="20"/>
                <w:szCs w:val="20"/>
                <w:lang w:eastAsia="ru-RU"/>
              </w:rPr>
            </w:pPr>
            <w:r w:rsidRPr="004761E0">
              <w:rPr>
                <w:rFonts w:eastAsia="Times New Roman"/>
                <w:color w:val="000000"/>
                <w:sz w:val="20"/>
                <w:szCs w:val="20"/>
                <w:lang w:eastAsia="ru-RU"/>
              </w:rPr>
              <w:t>млн руб. с НДС</w:t>
            </w:r>
          </w:p>
        </w:tc>
        <w:tc>
          <w:tcPr>
            <w:tcW w:w="413" w:type="pct"/>
            <w:tcBorders>
              <w:top w:val="single" w:sz="4" w:space="0" w:color="auto"/>
              <w:left w:val="nil"/>
              <w:bottom w:val="single" w:sz="4" w:space="0" w:color="auto"/>
              <w:right w:val="single" w:sz="4" w:space="0" w:color="auto"/>
            </w:tcBorders>
            <w:shd w:val="clear" w:color="auto" w:fill="F2F2F2"/>
            <w:vAlign w:val="center"/>
          </w:tcPr>
          <w:p w:rsidR="00DA4470" w:rsidRPr="004761E0" w:rsidRDefault="00DA4470" w:rsidP="00091B98">
            <w:pPr>
              <w:ind w:firstLine="0"/>
              <w:jc w:val="right"/>
              <w:rPr>
                <w:rFonts w:eastAsia="Times New Roman"/>
                <w:color w:val="000000"/>
                <w:sz w:val="20"/>
                <w:szCs w:val="20"/>
                <w:lang w:eastAsia="ru-RU"/>
              </w:rPr>
            </w:pPr>
            <w:r w:rsidRPr="004761E0">
              <w:rPr>
                <w:color w:val="000000"/>
                <w:sz w:val="20"/>
                <w:szCs w:val="20"/>
              </w:rPr>
              <w:t>366,6</w:t>
            </w:r>
          </w:p>
        </w:tc>
        <w:tc>
          <w:tcPr>
            <w:tcW w:w="413" w:type="pct"/>
            <w:tcBorders>
              <w:top w:val="single" w:sz="4" w:space="0" w:color="auto"/>
              <w:left w:val="nil"/>
              <w:bottom w:val="single" w:sz="4" w:space="0" w:color="auto"/>
              <w:right w:val="single" w:sz="4" w:space="0" w:color="auto"/>
            </w:tcBorders>
            <w:shd w:val="clear" w:color="auto" w:fill="F2F2F2"/>
            <w:vAlign w:val="center"/>
          </w:tcPr>
          <w:p w:rsidR="00DA4470" w:rsidRPr="004761E0" w:rsidRDefault="00DA4470" w:rsidP="00091B98">
            <w:pPr>
              <w:ind w:firstLine="0"/>
              <w:jc w:val="right"/>
              <w:rPr>
                <w:color w:val="000000"/>
                <w:sz w:val="20"/>
                <w:szCs w:val="20"/>
              </w:rPr>
            </w:pPr>
            <w:r w:rsidRPr="004761E0">
              <w:rPr>
                <w:color w:val="000000"/>
                <w:sz w:val="20"/>
                <w:szCs w:val="20"/>
              </w:rPr>
              <w:t>335,1</w:t>
            </w:r>
          </w:p>
        </w:tc>
        <w:tc>
          <w:tcPr>
            <w:tcW w:w="413" w:type="pct"/>
            <w:tcBorders>
              <w:top w:val="single" w:sz="4" w:space="0" w:color="auto"/>
              <w:left w:val="nil"/>
              <w:bottom w:val="single" w:sz="4" w:space="0" w:color="auto"/>
              <w:right w:val="single" w:sz="4" w:space="0" w:color="auto"/>
            </w:tcBorders>
            <w:shd w:val="clear" w:color="auto" w:fill="F2F2F2"/>
            <w:vAlign w:val="center"/>
          </w:tcPr>
          <w:p w:rsidR="00DA4470" w:rsidRPr="004761E0" w:rsidRDefault="00DA4470" w:rsidP="00091B98">
            <w:pPr>
              <w:ind w:firstLine="0"/>
              <w:jc w:val="right"/>
              <w:rPr>
                <w:color w:val="000000"/>
                <w:sz w:val="20"/>
                <w:szCs w:val="20"/>
              </w:rPr>
            </w:pPr>
            <w:r w:rsidRPr="004761E0">
              <w:rPr>
                <w:color w:val="000000"/>
                <w:sz w:val="20"/>
                <w:szCs w:val="20"/>
              </w:rPr>
              <w:t>462,3</w:t>
            </w:r>
          </w:p>
        </w:tc>
        <w:tc>
          <w:tcPr>
            <w:tcW w:w="452" w:type="pct"/>
            <w:tcBorders>
              <w:top w:val="single" w:sz="4" w:space="0" w:color="auto"/>
              <w:left w:val="single" w:sz="4" w:space="0" w:color="auto"/>
              <w:bottom w:val="single" w:sz="4" w:space="0" w:color="auto"/>
              <w:right w:val="single" w:sz="4" w:space="0" w:color="auto"/>
            </w:tcBorders>
            <w:shd w:val="clear" w:color="auto" w:fill="F2F2F2"/>
            <w:vAlign w:val="center"/>
          </w:tcPr>
          <w:p w:rsidR="00DA4470" w:rsidRPr="004761E0" w:rsidRDefault="00DA4470" w:rsidP="00091B98">
            <w:pPr>
              <w:ind w:firstLine="0"/>
              <w:jc w:val="right"/>
              <w:rPr>
                <w:color w:val="000000"/>
                <w:sz w:val="20"/>
                <w:szCs w:val="20"/>
              </w:rPr>
            </w:pPr>
            <w:r w:rsidRPr="004761E0">
              <w:rPr>
                <w:color w:val="000000"/>
                <w:sz w:val="20"/>
                <w:szCs w:val="20"/>
              </w:rPr>
              <w:t>318,4</w:t>
            </w:r>
          </w:p>
        </w:tc>
        <w:tc>
          <w:tcPr>
            <w:tcW w:w="505" w:type="pct"/>
            <w:tcBorders>
              <w:top w:val="single" w:sz="4" w:space="0" w:color="auto"/>
              <w:left w:val="nil"/>
              <w:bottom w:val="single" w:sz="4" w:space="0" w:color="auto"/>
              <w:right w:val="single" w:sz="4" w:space="0" w:color="auto"/>
            </w:tcBorders>
            <w:shd w:val="clear" w:color="auto" w:fill="F2F2F2"/>
            <w:vAlign w:val="center"/>
          </w:tcPr>
          <w:p w:rsidR="00DA4470" w:rsidRPr="004761E0" w:rsidRDefault="00DA4470" w:rsidP="00091B98">
            <w:pPr>
              <w:ind w:firstLine="0"/>
              <w:jc w:val="right"/>
              <w:rPr>
                <w:color w:val="000000"/>
                <w:sz w:val="20"/>
                <w:szCs w:val="20"/>
              </w:rPr>
            </w:pPr>
            <w:r w:rsidRPr="004761E0">
              <w:rPr>
                <w:color w:val="000000"/>
                <w:sz w:val="20"/>
                <w:szCs w:val="20"/>
              </w:rPr>
              <w:t>-4,96 %</w:t>
            </w:r>
          </w:p>
        </w:tc>
      </w:tr>
      <w:tr w:rsidR="00DA4470" w:rsidRPr="004761E0" w:rsidTr="00091B98">
        <w:trPr>
          <w:cantSplit/>
        </w:trPr>
        <w:tc>
          <w:tcPr>
            <w:tcW w:w="317" w:type="pct"/>
            <w:vMerge w:val="restart"/>
            <w:tcBorders>
              <w:top w:val="single" w:sz="4" w:space="0" w:color="auto"/>
              <w:left w:val="single" w:sz="4" w:space="0" w:color="auto"/>
              <w:right w:val="single" w:sz="4" w:space="0" w:color="auto"/>
            </w:tcBorders>
            <w:shd w:val="clear" w:color="auto" w:fill="D9D9D9"/>
            <w:vAlign w:val="center"/>
          </w:tcPr>
          <w:p w:rsidR="00DA4470" w:rsidRPr="004761E0" w:rsidRDefault="00DA4470" w:rsidP="007076A7">
            <w:pPr>
              <w:pStyle w:val="a5"/>
              <w:numPr>
                <w:ilvl w:val="1"/>
                <w:numId w:val="48"/>
              </w:numPr>
              <w:contextualSpacing w:val="0"/>
              <w:jc w:val="left"/>
              <w:rPr>
                <w:rFonts w:eastAsia="Times New Roman"/>
                <w:color w:val="000000"/>
                <w:sz w:val="20"/>
                <w:szCs w:val="20"/>
                <w:lang w:eastAsia="ru-RU"/>
              </w:rPr>
            </w:pPr>
          </w:p>
        </w:tc>
        <w:tc>
          <w:tcPr>
            <w:tcW w:w="1728" w:type="pct"/>
            <w:vMerge w:val="restart"/>
            <w:tcBorders>
              <w:top w:val="single" w:sz="4" w:space="0" w:color="auto"/>
              <w:left w:val="nil"/>
              <w:right w:val="single" w:sz="4" w:space="0" w:color="auto"/>
            </w:tcBorders>
            <w:shd w:val="clear" w:color="auto" w:fill="D9D9D9"/>
            <w:vAlign w:val="center"/>
          </w:tcPr>
          <w:p w:rsidR="00DA4470" w:rsidRPr="004761E0" w:rsidRDefault="00DA4470" w:rsidP="00091B98">
            <w:pPr>
              <w:ind w:left="317" w:firstLine="0"/>
              <w:jc w:val="left"/>
              <w:rPr>
                <w:rFonts w:eastAsia="Times New Roman"/>
                <w:color w:val="000000"/>
                <w:sz w:val="20"/>
                <w:szCs w:val="20"/>
                <w:lang w:eastAsia="ru-RU"/>
              </w:rPr>
            </w:pPr>
            <w:r w:rsidRPr="004761E0">
              <w:rPr>
                <w:rFonts w:eastAsia="Times New Roman"/>
                <w:color w:val="000000"/>
                <w:sz w:val="20"/>
                <w:szCs w:val="20"/>
                <w:lang w:eastAsia="ru-RU"/>
              </w:rPr>
              <w:t>водоснабжение горячее</w:t>
            </w:r>
          </w:p>
        </w:tc>
        <w:tc>
          <w:tcPr>
            <w:tcW w:w="759" w:type="pct"/>
            <w:tcBorders>
              <w:top w:val="single" w:sz="4" w:space="0" w:color="auto"/>
              <w:left w:val="single" w:sz="4" w:space="0" w:color="auto"/>
              <w:bottom w:val="single" w:sz="4" w:space="0" w:color="auto"/>
              <w:right w:val="single" w:sz="4" w:space="0" w:color="auto"/>
            </w:tcBorders>
            <w:shd w:val="clear" w:color="auto" w:fill="D9D9D9"/>
            <w:vAlign w:val="center"/>
          </w:tcPr>
          <w:p w:rsidR="00DA4470" w:rsidRPr="004761E0" w:rsidRDefault="00DA4470" w:rsidP="00DA4470">
            <w:pPr>
              <w:ind w:firstLine="0"/>
              <w:jc w:val="left"/>
              <w:rPr>
                <w:rFonts w:eastAsia="Times New Roman"/>
                <w:color w:val="000000"/>
                <w:sz w:val="20"/>
                <w:szCs w:val="20"/>
                <w:lang w:eastAsia="ru-RU"/>
              </w:rPr>
            </w:pPr>
            <w:r w:rsidRPr="004761E0">
              <w:rPr>
                <w:rFonts w:eastAsia="Times New Roman"/>
                <w:color w:val="000000"/>
                <w:sz w:val="20"/>
                <w:szCs w:val="20"/>
                <w:lang w:eastAsia="ru-RU"/>
              </w:rPr>
              <w:t>тыс. м</w:t>
            </w:r>
            <w:r w:rsidRPr="004761E0">
              <w:rPr>
                <w:rFonts w:eastAsia="Times New Roman"/>
                <w:color w:val="000000"/>
                <w:sz w:val="20"/>
                <w:szCs w:val="20"/>
                <w:vertAlign w:val="superscript"/>
                <w:lang w:eastAsia="ru-RU"/>
              </w:rPr>
              <w:t>3</w:t>
            </w:r>
          </w:p>
        </w:tc>
        <w:tc>
          <w:tcPr>
            <w:tcW w:w="413" w:type="pct"/>
            <w:tcBorders>
              <w:top w:val="single" w:sz="4" w:space="0" w:color="auto"/>
              <w:left w:val="nil"/>
              <w:bottom w:val="single" w:sz="4" w:space="0" w:color="auto"/>
              <w:right w:val="single" w:sz="4" w:space="0" w:color="auto"/>
            </w:tcBorders>
            <w:shd w:val="clear" w:color="auto" w:fill="D9D9D9"/>
            <w:vAlign w:val="center"/>
          </w:tcPr>
          <w:p w:rsidR="00DA4470" w:rsidRPr="004761E0" w:rsidRDefault="00DA4470" w:rsidP="00091B98">
            <w:pPr>
              <w:ind w:firstLine="0"/>
              <w:jc w:val="right"/>
              <w:rPr>
                <w:rFonts w:eastAsia="Times New Roman"/>
                <w:color w:val="000000"/>
                <w:sz w:val="20"/>
                <w:szCs w:val="20"/>
                <w:lang w:eastAsia="ru-RU"/>
              </w:rPr>
            </w:pPr>
            <w:r w:rsidRPr="004761E0">
              <w:rPr>
                <w:color w:val="000000"/>
                <w:sz w:val="20"/>
                <w:szCs w:val="20"/>
              </w:rPr>
              <w:t>17,8</w:t>
            </w:r>
          </w:p>
        </w:tc>
        <w:tc>
          <w:tcPr>
            <w:tcW w:w="413" w:type="pct"/>
            <w:tcBorders>
              <w:top w:val="single" w:sz="4" w:space="0" w:color="auto"/>
              <w:left w:val="nil"/>
              <w:bottom w:val="single" w:sz="4" w:space="0" w:color="auto"/>
              <w:right w:val="single" w:sz="4" w:space="0" w:color="auto"/>
            </w:tcBorders>
            <w:shd w:val="clear" w:color="auto" w:fill="D9D9D9"/>
            <w:vAlign w:val="center"/>
          </w:tcPr>
          <w:p w:rsidR="00DA4470" w:rsidRPr="004761E0" w:rsidRDefault="00DA4470" w:rsidP="00091B98">
            <w:pPr>
              <w:ind w:firstLine="0"/>
              <w:jc w:val="right"/>
              <w:rPr>
                <w:color w:val="000000"/>
                <w:sz w:val="20"/>
                <w:szCs w:val="20"/>
              </w:rPr>
            </w:pPr>
            <w:r w:rsidRPr="004761E0">
              <w:rPr>
                <w:color w:val="000000"/>
                <w:sz w:val="20"/>
                <w:szCs w:val="20"/>
              </w:rPr>
              <w:t>3,9</w:t>
            </w:r>
          </w:p>
        </w:tc>
        <w:tc>
          <w:tcPr>
            <w:tcW w:w="413" w:type="pct"/>
            <w:tcBorders>
              <w:top w:val="single" w:sz="4" w:space="0" w:color="auto"/>
              <w:left w:val="nil"/>
              <w:bottom w:val="single" w:sz="4" w:space="0" w:color="auto"/>
              <w:right w:val="single" w:sz="4" w:space="0" w:color="auto"/>
            </w:tcBorders>
            <w:shd w:val="clear" w:color="auto" w:fill="D9D9D9"/>
            <w:vAlign w:val="center"/>
          </w:tcPr>
          <w:p w:rsidR="00DA4470" w:rsidRPr="004761E0" w:rsidRDefault="00DA4470" w:rsidP="00091B98">
            <w:pPr>
              <w:ind w:firstLine="0"/>
              <w:jc w:val="right"/>
              <w:rPr>
                <w:color w:val="000000"/>
                <w:sz w:val="20"/>
                <w:szCs w:val="20"/>
              </w:rPr>
            </w:pPr>
            <w:r w:rsidRPr="004761E0">
              <w:rPr>
                <w:color w:val="000000"/>
                <w:sz w:val="20"/>
                <w:szCs w:val="20"/>
              </w:rPr>
              <w:t>17,1</w:t>
            </w:r>
          </w:p>
        </w:tc>
        <w:tc>
          <w:tcPr>
            <w:tcW w:w="452" w:type="pct"/>
            <w:tcBorders>
              <w:top w:val="single" w:sz="4" w:space="0" w:color="auto"/>
              <w:left w:val="single" w:sz="4" w:space="0" w:color="auto"/>
              <w:bottom w:val="single" w:sz="4" w:space="0" w:color="auto"/>
              <w:right w:val="single" w:sz="4" w:space="0" w:color="auto"/>
            </w:tcBorders>
            <w:shd w:val="clear" w:color="auto" w:fill="D9D9D9"/>
            <w:vAlign w:val="center"/>
          </w:tcPr>
          <w:p w:rsidR="00DA4470" w:rsidRPr="004761E0" w:rsidRDefault="00DA4470" w:rsidP="00091B98">
            <w:pPr>
              <w:ind w:firstLine="0"/>
              <w:jc w:val="right"/>
              <w:rPr>
                <w:color w:val="000000"/>
                <w:sz w:val="20"/>
                <w:szCs w:val="20"/>
              </w:rPr>
            </w:pPr>
            <w:r w:rsidRPr="004761E0">
              <w:rPr>
                <w:color w:val="000000"/>
                <w:sz w:val="20"/>
                <w:szCs w:val="20"/>
              </w:rPr>
              <w:t>8,7</w:t>
            </w:r>
          </w:p>
        </w:tc>
        <w:tc>
          <w:tcPr>
            <w:tcW w:w="505" w:type="pct"/>
            <w:tcBorders>
              <w:top w:val="single" w:sz="4" w:space="0" w:color="auto"/>
              <w:left w:val="nil"/>
              <w:bottom w:val="single" w:sz="4" w:space="0" w:color="auto"/>
              <w:right w:val="single" w:sz="4" w:space="0" w:color="auto"/>
            </w:tcBorders>
            <w:shd w:val="clear" w:color="auto" w:fill="D9D9D9"/>
            <w:vAlign w:val="center"/>
          </w:tcPr>
          <w:p w:rsidR="00DA4470" w:rsidRPr="004761E0" w:rsidRDefault="00DA4470" w:rsidP="00091B98">
            <w:pPr>
              <w:ind w:firstLine="0"/>
              <w:jc w:val="right"/>
              <w:rPr>
                <w:color w:val="000000"/>
                <w:sz w:val="20"/>
                <w:szCs w:val="20"/>
              </w:rPr>
            </w:pPr>
            <w:r w:rsidRPr="004761E0">
              <w:rPr>
                <w:color w:val="000000"/>
                <w:sz w:val="20"/>
                <w:szCs w:val="20"/>
              </w:rPr>
              <w:t>122,41 %</w:t>
            </w:r>
          </w:p>
        </w:tc>
      </w:tr>
      <w:tr w:rsidR="00DA4470" w:rsidRPr="004761E0" w:rsidTr="00091B98">
        <w:trPr>
          <w:cantSplit/>
        </w:trPr>
        <w:tc>
          <w:tcPr>
            <w:tcW w:w="317" w:type="pct"/>
            <w:vMerge/>
            <w:tcBorders>
              <w:left w:val="single" w:sz="4" w:space="0" w:color="auto"/>
              <w:right w:val="single" w:sz="4" w:space="0" w:color="auto"/>
            </w:tcBorders>
            <w:shd w:val="clear" w:color="auto" w:fill="D9D9D9"/>
            <w:vAlign w:val="center"/>
          </w:tcPr>
          <w:p w:rsidR="00DA4470" w:rsidRPr="004761E0" w:rsidRDefault="00DA4470" w:rsidP="00DA4470">
            <w:pPr>
              <w:pStyle w:val="a5"/>
              <w:ind w:left="360" w:firstLine="0"/>
              <w:contextualSpacing w:val="0"/>
              <w:jc w:val="left"/>
              <w:rPr>
                <w:rFonts w:eastAsia="Times New Roman"/>
                <w:color w:val="000000"/>
                <w:sz w:val="20"/>
                <w:szCs w:val="20"/>
                <w:lang w:eastAsia="ru-RU"/>
              </w:rPr>
            </w:pPr>
          </w:p>
        </w:tc>
        <w:tc>
          <w:tcPr>
            <w:tcW w:w="1728" w:type="pct"/>
            <w:vMerge/>
            <w:tcBorders>
              <w:left w:val="nil"/>
              <w:right w:val="single" w:sz="4" w:space="0" w:color="auto"/>
            </w:tcBorders>
            <w:shd w:val="clear" w:color="auto" w:fill="D9D9D9"/>
            <w:vAlign w:val="center"/>
          </w:tcPr>
          <w:p w:rsidR="00DA4470" w:rsidRPr="004761E0" w:rsidRDefault="00DA4470" w:rsidP="00091B98">
            <w:pPr>
              <w:ind w:left="317" w:firstLine="0"/>
              <w:jc w:val="left"/>
              <w:rPr>
                <w:rFonts w:eastAsia="Times New Roman"/>
                <w:color w:val="000000"/>
                <w:sz w:val="20"/>
                <w:szCs w:val="20"/>
                <w:lang w:eastAsia="ru-RU"/>
              </w:rPr>
            </w:pPr>
          </w:p>
        </w:tc>
        <w:tc>
          <w:tcPr>
            <w:tcW w:w="759" w:type="pct"/>
            <w:tcBorders>
              <w:top w:val="single" w:sz="4" w:space="0" w:color="auto"/>
              <w:left w:val="single" w:sz="4" w:space="0" w:color="auto"/>
              <w:bottom w:val="single" w:sz="4" w:space="0" w:color="auto"/>
              <w:right w:val="single" w:sz="4" w:space="0" w:color="auto"/>
            </w:tcBorders>
            <w:shd w:val="clear" w:color="auto" w:fill="D9D9D9"/>
            <w:vAlign w:val="center"/>
          </w:tcPr>
          <w:p w:rsidR="00DA4470" w:rsidRPr="004761E0" w:rsidRDefault="00DA4470" w:rsidP="00DA4470">
            <w:pPr>
              <w:ind w:firstLine="0"/>
              <w:jc w:val="left"/>
              <w:rPr>
                <w:rFonts w:eastAsia="Times New Roman"/>
                <w:color w:val="000000"/>
                <w:sz w:val="20"/>
                <w:szCs w:val="20"/>
                <w:lang w:eastAsia="ru-RU"/>
              </w:rPr>
            </w:pPr>
            <w:r w:rsidRPr="004761E0">
              <w:rPr>
                <w:rFonts w:eastAsia="Times New Roman"/>
                <w:color w:val="000000"/>
                <w:sz w:val="20"/>
                <w:szCs w:val="20"/>
                <w:lang w:eastAsia="ru-RU"/>
              </w:rPr>
              <w:t>Гкал</w:t>
            </w:r>
          </w:p>
        </w:tc>
        <w:tc>
          <w:tcPr>
            <w:tcW w:w="413" w:type="pct"/>
            <w:tcBorders>
              <w:top w:val="single" w:sz="4" w:space="0" w:color="auto"/>
              <w:left w:val="nil"/>
              <w:bottom w:val="single" w:sz="4" w:space="0" w:color="auto"/>
              <w:right w:val="single" w:sz="4" w:space="0" w:color="auto"/>
            </w:tcBorders>
            <w:shd w:val="clear" w:color="auto" w:fill="D9D9D9"/>
            <w:vAlign w:val="center"/>
          </w:tcPr>
          <w:p w:rsidR="00DA4470" w:rsidRPr="004761E0" w:rsidRDefault="00DA4470" w:rsidP="00091B98">
            <w:pPr>
              <w:ind w:firstLine="0"/>
              <w:jc w:val="right"/>
              <w:rPr>
                <w:rFonts w:eastAsia="Times New Roman"/>
                <w:color w:val="000000"/>
                <w:sz w:val="20"/>
                <w:szCs w:val="20"/>
                <w:lang w:eastAsia="ru-RU"/>
              </w:rPr>
            </w:pPr>
            <w:r w:rsidRPr="004761E0">
              <w:rPr>
                <w:color w:val="000000"/>
                <w:sz w:val="20"/>
                <w:szCs w:val="20"/>
              </w:rPr>
              <w:t>884,3</w:t>
            </w:r>
          </w:p>
        </w:tc>
        <w:tc>
          <w:tcPr>
            <w:tcW w:w="413" w:type="pct"/>
            <w:tcBorders>
              <w:top w:val="single" w:sz="4" w:space="0" w:color="auto"/>
              <w:left w:val="nil"/>
              <w:bottom w:val="single" w:sz="4" w:space="0" w:color="auto"/>
              <w:right w:val="single" w:sz="4" w:space="0" w:color="auto"/>
            </w:tcBorders>
            <w:shd w:val="clear" w:color="auto" w:fill="D9D9D9"/>
            <w:vAlign w:val="center"/>
          </w:tcPr>
          <w:p w:rsidR="00DA4470" w:rsidRPr="004761E0" w:rsidRDefault="00DA4470" w:rsidP="00091B98">
            <w:pPr>
              <w:ind w:firstLine="0"/>
              <w:jc w:val="right"/>
              <w:rPr>
                <w:color w:val="000000"/>
                <w:sz w:val="20"/>
                <w:szCs w:val="20"/>
              </w:rPr>
            </w:pPr>
            <w:r w:rsidRPr="004761E0">
              <w:rPr>
                <w:color w:val="000000"/>
                <w:sz w:val="20"/>
                <w:szCs w:val="20"/>
              </w:rPr>
              <w:t>433,8</w:t>
            </w:r>
          </w:p>
        </w:tc>
        <w:tc>
          <w:tcPr>
            <w:tcW w:w="413" w:type="pct"/>
            <w:tcBorders>
              <w:top w:val="single" w:sz="4" w:space="0" w:color="auto"/>
              <w:left w:val="nil"/>
              <w:bottom w:val="single" w:sz="4" w:space="0" w:color="auto"/>
              <w:right w:val="single" w:sz="4" w:space="0" w:color="auto"/>
            </w:tcBorders>
            <w:shd w:val="clear" w:color="auto" w:fill="D9D9D9"/>
            <w:vAlign w:val="center"/>
          </w:tcPr>
          <w:p w:rsidR="00DA4470" w:rsidRPr="004761E0" w:rsidRDefault="00DA4470" w:rsidP="00091B98">
            <w:pPr>
              <w:ind w:firstLine="0"/>
              <w:jc w:val="right"/>
              <w:rPr>
                <w:color w:val="000000"/>
                <w:sz w:val="20"/>
                <w:szCs w:val="20"/>
              </w:rPr>
            </w:pPr>
            <w:r w:rsidRPr="004761E0">
              <w:rPr>
                <w:color w:val="000000"/>
                <w:sz w:val="20"/>
                <w:szCs w:val="20"/>
              </w:rPr>
              <w:t>809,5</w:t>
            </w:r>
          </w:p>
        </w:tc>
        <w:tc>
          <w:tcPr>
            <w:tcW w:w="452" w:type="pct"/>
            <w:tcBorders>
              <w:top w:val="single" w:sz="4" w:space="0" w:color="auto"/>
              <w:left w:val="single" w:sz="4" w:space="0" w:color="auto"/>
              <w:bottom w:val="single" w:sz="4" w:space="0" w:color="auto"/>
              <w:right w:val="single" w:sz="4" w:space="0" w:color="auto"/>
            </w:tcBorders>
            <w:shd w:val="clear" w:color="auto" w:fill="D9D9D9"/>
            <w:vAlign w:val="center"/>
          </w:tcPr>
          <w:p w:rsidR="00DA4470" w:rsidRPr="004761E0" w:rsidRDefault="00DA4470" w:rsidP="00091B98">
            <w:pPr>
              <w:ind w:firstLine="0"/>
              <w:jc w:val="right"/>
              <w:rPr>
                <w:color w:val="000000"/>
                <w:sz w:val="20"/>
                <w:szCs w:val="20"/>
              </w:rPr>
            </w:pPr>
            <w:r w:rsidRPr="004761E0">
              <w:rPr>
                <w:color w:val="000000"/>
                <w:sz w:val="20"/>
                <w:szCs w:val="20"/>
              </w:rPr>
              <w:t>840,5</w:t>
            </w:r>
          </w:p>
        </w:tc>
        <w:tc>
          <w:tcPr>
            <w:tcW w:w="505" w:type="pct"/>
            <w:tcBorders>
              <w:top w:val="single" w:sz="4" w:space="0" w:color="auto"/>
              <w:left w:val="nil"/>
              <w:bottom w:val="single" w:sz="4" w:space="0" w:color="auto"/>
              <w:right w:val="single" w:sz="4" w:space="0" w:color="auto"/>
            </w:tcBorders>
            <w:shd w:val="clear" w:color="auto" w:fill="D9D9D9"/>
            <w:vAlign w:val="center"/>
          </w:tcPr>
          <w:p w:rsidR="00DA4470" w:rsidRPr="004761E0" w:rsidRDefault="00DA4470" w:rsidP="00091B98">
            <w:pPr>
              <w:ind w:firstLine="0"/>
              <w:jc w:val="right"/>
              <w:rPr>
                <w:color w:val="000000"/>
                <w:sz w:val="20"/>
                <w:szCs w:val="20"/>
              </w:rPr>
            </w:pPr>
            <w:r w:rsidRPr="004761E0">
              <w:rPr>
                <w:color w:val="000000"/>
                <w:sz w:val="20"/>
                <w:szCs w:val="20"/>
              </w:rPr>
              <w:t>93,76</w:t>
            </w:r>
            <w:r w:rsidR="00091B98" w:rsidRPr="004761E0">
              <w:rPr>
                <w:color w:val="000000"/>
                <w:sz w:val="20"/>
                <w:szCs w:val="20"/>
              </w:rPr>
              <w:t xml:space="preserve"> </w:t>
            </w:r>
            <w:r w:rsidRPr="004761E0">
              <w:rPr>
                <w:color w:val="000000"/>
                <w:sz w:val="20"/>
                <w:szCs w:val="20"/>
              </w:rPr>
              <w:t>%</w:t>
            </w:r>
          </w:p>
        </w:tc>
      </w:tr>
      <w:tr w:rsidR="00DA4470" w:rsidRPr="004761E0" w:rsidTr="00091B98">
        <w:trPr>
          <w:cantSplit/>
        </w:trPr>
        <w:tc>
          <w:tcPr>
            <w:tcW w:w="317" w:type="pct"/>
            <w:vMerge/>
            <w:tcBorders>
              <w:left w:val="single" w:sz="4" w:space="0" w:color="auto"/>
              <w:bottom w:val="single" w:sz="4" w:space="0" w:color="auto"/>
              <w:right w:val="single" w:sz="4" w:space="0" w:color="auto"/>
            </w:tcBorders>
            <w:shd w:val="clear" w:color="auto" w:fill="D9D9D9"/>
            <w:vAlign w:val="center"/>
          </w:tcPr>
          <w:p w:rsidR="00DA4470" w:rsidRPr="004761E0" w:rsidRDefault="00DA4470" w:rsidP="00DA4470">
            <w:pPr>
              <w:pStyle w:val="a5"/>
              <w:ind w:left="360" w:firstLine="0"/>
              <w:contextualSpacing w:val="0"/>
              <w:jc w:val="left"/>
              <w:rPr>
                <w:rFonts w:eastAsia="Times New Roman"/>
                <w:color w:val="000000"/>
                <w:sz w:val="20"/>
                <w:szCs w:val="20"/>
                <w:lang w:eastAsia="ru-RU"/>
              </w:rPr>
            </w:pPr>
          </w:p>
        </w:tc>
        <w:tc>
          <w:tcPr>
            <w:tcW w:w="1728" w:type="pct"/>
            <w:vMerge/>
            <w:tcBorders>
              <w:left w:val="nil"/>
              <w:bottom w:val="single" w:sz="4" w:space="0" w:color="auto"/>
              <w:right w:val="single" w:sz="4" w:space="0" w:color="auto"/>
            </w:tcBorders>
            <w:shd w:val="clear" w:color="auto" w:fill="D9D9D9"/>
            <w:vAlign w:val="center"/>
          </w:tcPr>
          <w:p w:rsidR="00DA4470" w:rsidRPr="004761E0" w:rsidRDefault="00DA4470" w:rsidP="00091B98">
            <w:pPr>
              <w:ind w:left="317" w:firstLine="0"/>
              <w:jc w:val="left"/>
              <w:rPr>
                <w:rFonts w:eastAsia="Times New Roman"/>
                <w:color w:val="000000"/>
                <w:sz w:val="20"/>
                <w:szCs w:val="20"/>
                <w:lang w:eastAsia="ru-RU"/>
              </w:rPr>
            </w:pPr>
          </w:p>
        </w:tc>
        <w:tc>
          <w:tcPr>
            <w:tcW w:w="759" w:type="pct"/>
            <w:tcBorders>
              <w:top w:val="single" w:sz="4" w:space="0" w:color="auto"/>
              <w:left w:val="single" w:sz="4" w:space="0" w:color="auto"/>
              <w:bottom w:val="single" w:sz="4" w:space="0" w:color="auto"/>
              <w:right w:val="single" w:sz="4" w:space="0" w:color="auto"/>
            </w:tcBorders>
            <w:shd w:val="clear" w:color="auto" w:fill="D9D9D9"/>
            <w:vAlign w:val="center"/>
          </w:tcPr>
          <w:p w:rsidR="00DA4470" w:rsidRPr="004761E0" w:rsidRDefault="00DA4470" w:rsidP="00DA4470">
            <w:pPr>
              <w:ind w:firstLine="0"/>
              <w:jc w:val="left"/>
              <w:rPr>
                <w:rFonts w:eastAsia="Times New Roman"/>
                <w:color w:val="000000"/>
                <w:sz w:val="20"/>
                <w:szCs w:val="20"/>
                <w:lang w:eastAsia="ru-RU"/>
              </w:rPr>
            </w:pPr>
            <w:r w:rsidRPr="004761E0">
              <w:rPr>
                <w:rFonts w:eastAsia="Times New Roman"/>
                <w:color w:val="000000"/>
                <w:sz w:val="20"/>
                <w:szCs w:val="20"/>
                <w:lang w:eastAsia="ru-RU"/>
              </w:rPr>
              <w:t>млн руб. с НДС</w:t>
            </w:r>
          </w:p>
        </w:tc>
        <w:tc>
          <w:tcPr>
            <w:tcW w:w="413" w:type="pct"/>
            <w:tcBorders>
              <w:top w:val="single" w:sz="4" w:space="0" w:color="auto"/>
              <w:left w:val="nil"/>
              <w:bottom w:val="single" w:sz="4" w:space="0" w:color="auto"/>
              <w:right w:val="single" w:sz="4" w:space="0" w:color="auto"/>
            </w:tcBorders>
            <w:shd w:val="clear" w:color="auto" w:fill="D9D9D9"/>
            <w:vAlign w:val="center"/>
          </w:tcPr>
          <w:p w:rsidR="00DA4470" w:rsidRPr="004761E0" w:rsidRDefault="00DA4470" w:rsidP="00091B98">
            <w:pPr>
              <w:ind w:firstLine="0"/>
              <w:jc w:val="right"/>
              <w:rPr>
                <w:rFonts w:eastAsia="Times New Roman"/>
                <w:color w:val="000000"/>
                <w:sz w:val="20"/>
                <w:szCs w:val="20"/>
                <w:lang w:eastAsia="ru-RU"/>
              </w:rPr>
            </w:pPr>
            <w:r w:rsidRPr="004761E0">
              <w:rPr>
                <w:color w:val="000000"/>
                <w:sz w:val="20"/>
                <w:szCs w:val="20"/>
              </w:rPr>
              <w:t>1,9</w:t>
            </w:r>
          </w:p>
        </w:tc>
        <w:tc>
          <w:tcPr>
            <w:tcW w:w="413" w:type="pct"/>
            <w:tcBorders>
              <w:top w:val="single" w:sz="4" w:space="0" w:color="auto"/>
              <w:left w:val="nil"/>
              <w:bottom w:val="single" w:sz="4" w:space="0" w:color="auto"/>
              <w:right w:val="single" w:sz="4" w:space="0" w:color="auto"/>
            </w:tcBorders>
            <w:shd w:val="clear" w:color="auto" w:fill="D9D9D9"/>
            <w:vAlign w:val="center"/>
          </w:tcPr>
          <w:p w:rsidR="00DA4470" w:rsidRPr="004761E0" w:rsidRDefault="00DA4470" w:rsidP="00091B98">
            <w:pPr>
              <w:ind w:firstLine="0"/>
              <w:jc w:val="right"/>
              <w:rPr>
                <w:color w:val="000000"/>
                <w:sz w:val="20"/>
                <w:szCs w:val="20"/>
              </w:rPr>
            </w:pPr>
            <w:r w:rsidRPr="004761E0">
              <w:rPr>
                <w:color w:val="000000"/>
                <w:sz w:val="20"/>
                <w:szCs w:val="20"/>
              </w:rPr>
              <w:t>1,6</w:t>
            </w:r>
          </w:p>
        </w:tc>
        <w:tc>
          <w:tcPr>
            <w:tcW w:w="413" w:type="pct"/>
            <w:tcBorders>
              <w:top w:val="single" w:sz="4" w:space="0" w:color="auto"/>
              <w:left w:val="nil"/>
              <w:bottom w:val="single" w:sz="4" w:space="0" w:color="auto"/>
              <w:right w:val="single" w:sz="4" w:space="0" w:color="auto"/>
            </w:tcBorders>
            <w:shd w:val="clear" w:color="auto" w:fill="D9D9D9"/>
            <w:vAlign w:val="center"/>
          </w:tcPr>
          <w:p w:rsidR="00DA4470" w:rsidRPr="004761E0" w:rsidRDefault="00DA4470" w:rsidP="00091B98">
            <w:pPr>
              <w:ind w:firstLine="0"/>
              <w:jc w:val="right"/>
              <w:rPr>
                <w:color w:val="000000"/>
                <w:sz w:val="20"/>
                <w:szCs w:val="20"/>
              </w:rPr>
            </w:pPr>
            <w:r w:rsidRPr="004761E0">
              <w:rPr>
                <w:color w:val="000000"/>
                <w:sz w:val="20"/>
                <w:szCs w:val="20"/>
              </w:rPr>
              <w:t>2,1</w:t>
            </w:r>
          </w:p>
        </w:tc>
        <w:tc>
          <w:tcPr>
            <w:tcW w:w="452" w:type="pct"/>
            <w:tcBorders>
              <w:top w:val="single" w:sz="4" w:space="0" w:color="auto"/>
              <w:left w:val="single" w:sz="4" w:space="0" w:color="auto"/>
              <w:bottom w:val="single" w:sz="4" w:space="0" w:color="auto"/>
              <w:right w:val="single" w:sz="4" w:space="0" w:color="auto"/>
            </w:tcBorders>
            <w:shd w:val="clear" w:color="auto" w:fill="D9D9D9"/>
            <w:vAlign w:val="center"/>
          </w:tcPr>
          <w:p w:rsidR="00DA4470" w:rsidRPr="004761E0" w:rsidRDefault="00DA4470" w:rsidP="00091B98">
            <w:pPr>
              <w:ind w:firstLine="0"/>
              <w:jc w:val="right"/>
              <w:rPr>
                <w:color w:val="000000"/>
                <w:sz w:val="20"/>
                <w:szCs w:val="20"/>
              </w:rPr>
            </w:pPr>
            <w:r w:rsidRPr="004761E0">
              <w:rPr>
                <w:color w:val="000000"/>
                <w:sz w:val="20"/>
                <w:szCs w:val="20"/>
              </w:rPr>
              <w:t>1,3</w:t>
            </w:r>
          </w:p>
        </w:tc>
        <w:tc>
          <w:tcPr>
            <w:tcW w:w="505" w:type="pct"/>
            <w:tcBorders>
              <w:top w:val="single" w:sz="4" w:space="0" w:color="auto"/>
              <w:left w:val="nil"/>
              <w:bottom w:val="single" w:sz="4" w:space="0" w:color="auto"/>
              <w:right w:val="single" w:sz="4" w:space="0" w:color="auto"/>
            </w:tcBorders>
            <w:shd w:val="clear" w:color="auto" w:fill="D9D9D9"/>
            <w:vAlign w:val="center"/>
          </w:tcPr>
          <w:p w:rsidR="00DA4470" w:rsidRPr="004761E0" w:rsidRDefault="00DA4470" w:rsidP="00091B98">
            <w:pPr>
              <w:ind w:firstLine="0"/>
              <w:jc w:val="right"/>
              <w:rPr>
                <w:color w:val="000000"/>
                <w:sz w:val="20"/>
                <w:szCs w:val="20"/>
              </w:rPr>
            </w:pPr>
            <w:r w:rsidRPr="004761E0">
              <w:rPr>
                <w:color w:val="000000"/>
                <w:sz w:val="20"/>
                <w:szCs w:val="20"/>
              </w:rPr>
              <w:t>-19,51 %</w:t>
            </w:r>
          </w:p>
        </w:tc>
      </w:tr>
      <w:tr w:rsidR="00DA4470" w:rsidRPr="004761E0" w:rsidTr="00091B98">
        <w:trPr>
          <w:cantSplit/>
        </w:trPr>
        <w:tc>
          <w:tcPr>
            <w:tcW w:w="317" w:type="pct"/>
            <w:vMerge w:val="restart"/>
            <w:tcBorders>
              <w:top w:val="single" w:sz="4" w:space="0" w:color="auto"/>
              <w:left w:val="single" w:sz="4" w:space="0" w:color="auto"/>
              <w:right w:val="single" w:sz="4" w:space="0" w:color="auto"/>
            </w:tcBorders>
            <w:shd w:val="clear" w:color="auto" w:fill="D9D9D9"/>
            <w:vAlign w:val="center"/>
          </w:tcPr>
          <w:p w:rsidR="00DA4470" w:rsidRPr="004761E0" w:rsidRDefault="00DA4470" w:rsidP="007076A7">
            <w:pPr>
              <w:pStyle w:val="a5"/>
              <w:numPr>
                <w:ilvl w:val="1"/>
                <w:numId w:val="48"/>
              </w:numPr>
              <w:contextualSpacing w:val="0"/>
              <w:jc w:val="left"/>
              <w:rPr>
                <w:rFonts w:eastAsia="Times New Roman"/>
                <w:color w:val="000000"/>
                <w:sz w:val="20"/>
                <w:szCs w:val="20"/>
                <w:lang w:eastAsia="ru-RU"/>
              </w:rPr>
            </w:pPr>
          </w:p>
        </w:tc>
        <w:tc>
          <w:tcPr>
            <w:tcW w:w="1728" w:type="pct"/>
            <w:vMerge w:val="restart"/>
            <w:tcBorders>
              <w:top w:val="single" w:sz="4" w:space="0" w:color="auto"/>
              <w:left w:val="nil"/>
              <w:right w:val="single" w:sz="4" w:space="0" w:color="auto"/>
            </w:tcBorders>
            <w:shd w:val="clear" w:color="auto" w:fill="D9D9D9"/>
            <w:vAlign w:val="center"/>
          </w:tcPr>
          <w:p w:rsidR="00DA4470" w:rsidRPr="004761E0" w:rsidRDefault="00DA4470" w:rsidP="00091B98">
            <w:pPr>
              <w:ind w:left="317" w:firstLine="0"/>
              <w:jc w:val="left"/>
              <w:rPr>
                <w:rFonts w:eastAsia="Times New Roman"/>
                <w:color w:val="000000"/>
                <w:sz w:val="20"/>
                <w:szCs w:val="20"/>
                <w:lang w:eastAsia="ru-RU"/>
              </w:rPr>
            </w:pPr>
            <w:r w:rsidRPr="004761E0">
              <w:rPr>
                <w:rFonts w:eastAsia="Times New Roman"/>
                <w:color w:val="000000"/>
                <w:sz w:val="20"/>
                <w:szCs w:val="20"/>
                <w:lang w:eastAsia="ru-RU"/>
              </w:rPr>
              <w:t>водоснабжение холодное</w:t>
            </w:r>
          </w:p>
        </w:tc>
        <w:tc>
          <w:tcPr>
            <w:tcW w:w="759" w:type="pct"/>
            <w:tcBorders>
              <w:top w:val="single" w:sz="4" w:space="0" w:color="auto"/>
              <w:left w:val="single" w:sz="4" w:space="0" w:color="auto"/>
              <w:bottom w:val="single" w:sz="4" w:space="0" w:color="auto"/>
              <w:right w:val="single" w:sz="4" w:space="0" w:color="auto"/>
            </w:tcBorders>
            <w:shd w:val="clear" w:color="auto" w:fill="D9D9D9"/>
            <w:vAlign w:val="center"/>
          </w:tcPr>
          <w:p w:rsidR="00DA4470" w:rsidRPr="004761E0" w:rsidRDefault="00DA4470" w:rsidP="00DA4470">
            <w:pPr>
              <w:ind w:firstLine="0"/>
              <w:jc w:val="left"/>
              <w:rPr>
                <w:rFonts w:eastAsia="Times New Roman"/>
                <w:color w:val="000000"/>
                <w:sz w:val="20"/>
                <w:szCs w:val="20"/>
                <w:lang w:eastAsia="ru-RU"/>
              </w:rPr>
            </w:pPr>
            <w:r w:rsidRPr="004761E0">
              <w:rPr>
                <w:rFonts w:eastAsia="Times New Roman"/>
                <w:color w:val="000000"/>
                <w:sz w:val="20"/>
                <w:szCs w:val="20"/>
                <w:lang w:eastAsia="ru-RU"/>
              </w:rPr>
              <w:t>тыс. м</w:t>
            </w:r>
            <w:r w:rsidRPr="004761E0">
              <w:rPr>
                <w:rFonts w:eastAsia="Times New Roman"/>
                <w:color w:val="000000"/>
                <w:sz w:val="20"/>
                <w:szCs w:val="20"/>
                <w:vertAlign w:val="superscript"/>
                <w:lang w:eastAsia="ru-RU"/>
              </w:rPr>
              <w:t>3</w:t>
            </w:r>
          </w:p>
        </w:tc>
        <w:tc>
          <w:tcPr>
            <w:tcW w:w="413" w:type="pct"/>
            <w:tcBorders>
              <w:top w:val="single" w:sz="4" w:space="0" w:color="auto"/>
              <w:left w:val="nil"/>
              <w:bottom w:val="single" w:sz="4" w:space="0" w:color="auto"/>
              <w:right w:val="single" w:sz="4" w:space="0" w:color="auto"/>
            </w:tcBorders>
            <w:shd w:val="clear" w:color="auto" w:fill="D9D9D9"/>
            <w:vAlign w:val="center"/>
          </w:tcPr>
          <w:p w:rsidR="00DA4470" w:rsidRPr="004761E0" w:rsidRDefault="00DA4470" w:rsidP="00091B98">
            <w:pPr>
              <w:ind w:firstLine="0"/>
              <w:jc w:val="right"/>
              <w:rPr>
                <w:rFonts w:eastAsia="Times New Roman"/>
                <w:color w:val="000000"/>
                <w:sz w:val="20"/>
                <w:szCs w:val="20"/>
                <w:lang w:eastAsia="ru-RU"/>
              </w:rPr>
            </w:pPr>
            <w:r w:rsidRPr="004761E0">
              <w:rPr>
                <w:color w:val="000000"/>
                <w:sz w:val="20"/>
                <w:szCs w:val="20"/>
              </w:rPr>
              <w:t>437,9</w:t>
            </w:r>
          </w:p>
        </w:tc>
        <w:tc>
          <w:tcPr>
            <w:tcW w:w="413" w:type="pct"/>
            <w:tcBorders>
              <w:top w:val="single" w:sz="4" w:space="0" w:color="auto"/>
              <w:left w:val="nil"/>
              <w:bottom w:val="single" w:sz="4" w:space="0" w:color="auto"/>
              <w:right w:val="single" w:sz="4" w:space="0" w:color="auto"/>
            </w:tcBorders>
            <w:shd w:val="clear" w:color="auto" w:fill="D9D9D9"/>
            <w:vAlign w:val="center"/>
          </w:tcPr>
          <w:p w:rsidR="00DA4470" w:rsidRPr="004761E0" w:rsidRDefault="00DA4470" w:rsidP="00091B98">
            <w:pPr>
              <w:ind w:firstLine="0"/>
              <w:jc w:val="right"/>
              <w:rPr>
                <w:color w:val="000000"/>
                <w:sz w:val="20"/>
                <w:szCs w:val="20"/>
              </w:rPr>
            </w:pPr>
            <w:r w:rsidRPr="004761E0">
              <w:rPr>
                <w:color w:val="000000"/>
                <w:sz w:val="20"/>
                <w:szCs w:val="20"/>
              </w:rPr>
              <w:t>337,4</w:t>
            </w:r>
          </w:p>
        </w:tc>
        <w:tc>
          <w:tcPr>
            <w:tcW w:w="413" w:type="pct"/>
            <w:tcBorders>
              <w:top w:val="single" w:sz="4" w:space="0" w:color="auto"/>
              <w:left w:val="nil"/>
              <w:bottom w:val="single" w:sz="4" w:space="0" w:color="auto"/>
              <w:right w:val="single" w:sz="4" w:space="0" w:color="auto"/>
            </w:tcBorders>
            <w:shd w:val="clear" w:color="auto" w:fill="D9D9D9"/>
            <w:vAlign w:val="center"/>
          </w:tcPr>
          <w:p w:rsidR="00DA4470" w:rsidRPr="004761E0" w:rsidRDefault="00DA4470" w:rsidP="00091B98">
            <w:pPr>
              <w:ind w:firstLine="0"/>
              <w:jc w:val="right"/>
              <w:rPr>
                <w:color w:val="000000"/>
                <w:sz w:val="20"/>
                <w:szCs w:val="20"/>
              </w:rPr>
            </w:pPr>
            <w:r w:rsidRPr="004761E0">
              <w:rPr>
                <w:color w:val="000000"/>
                <w:sz w:val="20"/>
                <w:szCs w:val="20"/>
              </w:rPr>
              <w:t>488,9</w:t>
            </w:r>
          </w:p>
        </w:tc>
        <w:tc>
          <w:tcPr>
            <w:tcW w:w="452" w:type="pct"/>
            <w:tcBorders>
              <w:top w:val="single" w:sz="4" w:space="0" w:color="auto"/>
              <w:left w:val="single" w:sz="4" w:space="0" w:color="auto"/>
              <w:bottom w:val="single" w:sz="4" w:space="0" w:color="auto"/>
              <w:right w:val="single" w:sz="4" w:space="0" w:color="auto"/>
            </w:tcBorders>
            <w:shd w:val="clear" w:color="auto" w:fill="D9D9D9"/>
            <w:vAlign w:val="center"/>
          </w:tcPr>
          <w:p w:rsidR="00DA4470" w:rsidRPr="004761E0" w:rsidRDefault="00DA4470" w:rsidP="00091B98">
            <w:pPr>
              <w:ind w:firstLine="0"/>
              <w:jc w:val="right"/>
              <w:rPr>
                <w:color w:val="000000"/>
                <w:sz w:val="20"/>
                <w:szCs w:val="20"/>
              </w:rPr>
            </w:pPr>
            <w:r w:rsidRPr="004761E0">
              <w:rPr>
                <w:color w:val="000000"/>
                <w:sz w:val="20"/>
                <w:szCs w:val="20"/>
              </w:rPr>
              <w:t>315,5</w:t>
            </w:r>
          </w:p>
        </w:tc>
        <w:tc>
          <w:tcPr>
            <w:tcW w:w="505" w:type="pct"/>
            <w:tcBorders>
              <w:top w:val="single" w:sz="4" w:space="0" w:color="auto"/>
              <w:left w:val="nil"/>
              <w:bottom w:val="single" w:sz="4" w:space="0" w:color="auto"/>
              <w:right w:val="single" w:sz="4" w:space="0" w:color="auto"/>
            </w:tcBorders>
            <w:shd w:val="clear" w:color="auto" w:fill="D9D9D9"/>
            <w:vAlign w:val="center"/>
          </w:tcPr>
          <w:p w:rsidR="00DA4470" w:rsidRPr="004761E0" w:rsidRDefault="00DA4470" w:rsidP="00091B98">
            <w:pPr>
              <w:ind w:firstLine="0"/>
              <w:jc w:val="right"/>
              <w:rPr>
                <w:color w:val="000000"/>
                <w:sz w:val="20"/>
                <w:szCs w:val="20"/>
              </w:rPr>
            </w:pPr>
            <w:r w:rsidRPr="004761E0">
              <w:rPr>
                <w:color w:val="000000"/>
                <w:sz w:val="20"/>
                <w:szCs w:val="20"/>
              </w:rPr>
              <w:t>-6,49</w:t>
            </w:r>
            <w:r w:rsidR="00091B98" w:rsidRPr="004761E0">
              <w:rPr>
                <w:color w:val="000000"/>
                <w:sz w:val="20"/>
                <w:szCs w:val="20"/>
              </w:rPr>
              <w:t xml:space="preserve"> </w:t>
            </w:r>
            <w:r w:rsidRPr="004761E0">
              <w:rPr>
                <w:color w:val="000000"/>
                <w:sz w:val="20"/>
                <w:szCs w:val="20"/>
              </w:rPr>
              <w:t>%</w:t>
            </w:r>
          </w:p>
        </w:tc>
      </w:tr>
      <w:tr w:rsidR="00DA4470" w:rsidRPr="004761E0" w:rsidTr="00091B98">
        <w:trPr>
          <w:cantSplit/>
        </w:trPr>
        <w:tc>
          <w:tcPr>
            <w:tcW w:w="317" w:type="pct"/>
            <w:vMerge/>
            <w:tcBorders>
              <w:left w:val="single" w:sz="4" w:space="0" w:color="auto"/>
              <w:bottom w:val="single" w:sz="4" w:space="0" w:color="auto"/>
              <w:right w:val="single" w:sz="4" w:space="0" w:color="auto"/>
            </w:tcBorders>
            <w:shd w:val="clear" w:color="auto" w:fill="D9D9D9"/>
            <w:vAlign w:val="center"/>
          </w:tcPr>
          <w:p w:rsidR="00DA4470" w:rsidRPr="004761E0" w:rsidRDefault="00DA4470" w:rsidP="00DA4470">
            <w:pPr>
              <w:pStyle w:val="a5"/>
              <w:ind w:left="360" w:firstLine="0"/>
              <w:contextualSpacing w:val="0"/>
              <w:jc w:val="left"/>
              <w:rPr>
                <w:rFonts w:eastAsia="Times New Roman"/>
                <w:color w:val="000000"/>
                <w:sz w:val="20"/>
                <w:szCs w:val="20"/>
                <w:lang w:eastAsia="ru-RU"/>
              </w:rPr>
            </w:pPr>
          </w:p>
        </w:tc>
        <w:tc>
          <w:tcPr>
            <w:tcW w:w="1728" w:type="pct"/>
            <w:vMerge/>
            <w:tcBorders>
              <w:left w:val="nil"/>
              <w:bottom w:val="single" w:sz="4" w:space="0" w:color="auto"/>
              <w:right w:val="single" w:sz="4" w:space="0" w:color="auto"/>
            </w:tcBorders>
            <w:shd w:val="clear" w:color="auto" w:fill="D9D9D9"/>
            <w:vAlign w:val="center"/>
          </w:tcPr>
          <w:p w:rsidR="00DA4470" w:rsidRPr="004761E0" w:rsidRDefault="00DA4470" w:rsidP="00091B98">
            <w:pPr>
              <w:ind w:firstLineChars="200" w:firstLine="400"/>
              <w:jc w:val="left"/>
              <w:rPr>
                <w:rFonts w:eastAsia="Times New Roman"/>
                <w:color w:val="000000"/>
                <w:sz w:val="20"/>
                <w:szCs w:val="20"/>
                <w:lang w:eastAsia="ru-RU"/>
              </w:rPr>
            </w:pPr>
          </w:p>
        </w:tc>
        <w:tc>
          <w:tcPr>
            <w:tcW w:w="759" w:type="pct"/>
            <w:tcBorders>
              <w:top w:val="single" w:sz="4" w:space="0" w:color="auto"/>
              <w:left w:val="single" w:sz="4" w:space="0" w:color="auto"/>
              <w:bottom w:val="single" w:sz="4" w:space="0" w:color="auto"/>
              <w:right w:val="single" w:sz="4" w:space="0" w:color="auto"/>
            </w:tcBorders>
            <w:shd w:val="clear" w:color="auto" w:fill="D9D9D9"/>
            <w:vAlign w:val="center"/>
          </w:tcPr>
          <w:p w:rsidR="00DA4470" w:rsidRPr="004761E0" w:rsidRDefault="00DA4470" w:rsidP="00DA4470">
            <w:pPr>
              <w:ind w:firstLine="0"/>
              <w:jc w:val="left"/>
              <w:rPr>
                <w:rFonts w:eastAsia="Times New Roman"/>
                <w:color w:val="000000"/>
                <w:sz w:val="20"/>
                <w:szCs w:val="20"/>
                <w:lang w:eastAsia="ru-RU"/>
              </w:rPr>
            </w:pPr>
            <w:r w:rsidRPr="004761E0">
              <w:rPr>
                <w:rFonts w:eastAsia="Times New Roman"/>
                <w:color w:val="000000"/>
                <w:sz w:val="20"/>
                <w:szCs w:val="20"/>
                <w:lang w:eastAsia="ru-RU"/>
              </w:rPr>
              <w:t>млн руб. с НДС</w:t>
            </w:r>
          </w:p>
        </w:tc>
        <w:tc>
          <w:tcPr>
            <w:tcW w:w="413" w:type="pct"/>
            <w:tcBorders>
              <w:top w:val="single" w:sz="4" w:space="0" w:color="auto"/>
              <w:left w:val="nil"/>
              <w:bottom w:val="single" w:sz="4" w:space="0" w:color="auto"/>
              <w:right w:val="single" w:sz="4" w:space="0" w:color="auto"/>
            </w:tcBorders>
            <w:shd w:val="clear" w:color="auto" w:fill="D9D9D9"/>
            <w:vAlign w:val="center"/>
          </w:tcPr>
          <w:p w:rsidR="00DA4470" w:rsidRPr="004761E0" w:rsidRDefault="00DA4470" w:rsidP="00091B98">
            <w:pPr>
              <w:ind w:firstLine="0"/>
              <w:jc w:val="right"/>
              <w:rPr>
                <w:rFonts w:eastAsia="Times New Roman"/>
                <w:color w:val="000000"/>
                <w:sz w:val="20"/>
                <w:szCs w:val="20"/>
                <w:lang w:eastAsia="ru-RU"/>
              </w:rPr>
            </w:pPr>
            <w:r w:rsidRPr="004761E0">
              <w:rPr>
                <w:color w:val="000000"/>
                <w:sz w:val="20"/>
                <w:szCs w:val="20"/>
              </w:rPr>
              <w:t>17,7</w:t>
            </w:r>
          </w:p>
        </w:tc>
        <w:tc>
          <w:tcPr>
            <w:tcW w:w="413" w:type="pct"/>
            <w:tcBorders>
              <w:top w:val="single" w:sz="4" w:space="0" w:color="auto"/>
              <w:left w:val="nil"/>
              <w:bottom w:val="single" w:sz="4" w:space="0" w:color="auto"/>
              <w:right w:val="single" w:sz="4" w:space="0" w:color="auto"/>
            </w:tcBorders>
            <w:shd w:val="clear" w:color="auto" w:fill="D9D9D9"/>
            <w:vAlign w:val="center"/>
          </w:tcPr>
          <w:p w:rsidR="00DA4470" w:rsidRPr="004761E0" w:rsidRDefault="00DA4470" w:rsidP="00091B98">
            <w:pPr>
              <w:ind w:firstLine="0"/>
              <w:jc w:val="right"/>
              <w:rPr>
                <w:color w:val="000000"/>
                <w:sz w:val="20"/>
                <w:szCs w:val="20"/>
              </w:rPr>
            </w:pPr>
            <w:r w:rsidRPr="004761E0">
              <w:rPr>
                <w:color w:val="000000"/>
                <w:sz w:val="20"/>
                <w:szCs w:val="20"/>
              </w:rPr>
              <w:t>13,0</w:t>
            </w:r>
          </w:p>
        </w:tc>
        <w:tc>
          <w:tcPr>
            <w:tcW w:w="413" w:type="pct"/>
            <w:tcBorders>
              <w:top w:val="single" w:sz="4" w:space="0" w:color="auto"/>
              <w:left w:val="nil"/>
              <w:bottom w:val="single" w:sz="4" w:space="0" w:color="auto"/>
              <w:right w:val="single" w:sz="4" w:space="0" w:color="auto"/>
            </w:tcBorders>
            <w:shd w:val="clear" w:color="auto" w:fill="D9D9D9"/>
            <w:vAlign w:val="center"/>
          </w:tcPr>
          <w:p w:rsidR="00DA4470" w:rsidRPr="004761E0" w:rsidRDefault="00DA4470" w:rsidP="00091B98">
            <w:pPr>
              <w:ind w:firstLine="0"/>
              <w:jc w:val="right"/>
              <w:rPr>
                <w:color w:val="000000"/>
                <w:sz w:val="20"/>
                <w:szCs w:val="20"/>
              </w:rPr>
            </w:pPr>
            <w:r w:rsidRPr="004761E0">
              <w:rPr>
                <w:color w:val="000000"/>
                <w:sz w:val="20"/>
                <w:szCs w:val="20"/>
              </w:rPr>
              <w:t>18,2</w:t>
            </w:r>
          </w:p>
        </w:tc>
        <w:tc>
          <w:tcPr>
            <w:tcW w:w="452" w:type="pct"/>
            <w:tcBorders>
              <w:top w:val="single" w:sz="4" w:space="0" w:color="auto"/>
              <w:left w:val="single" w:sz="4" w:space="0" w:color="auto"/>
              <w:bottom w:val="single" w:sz="4" w:space="0" w:color="auto"/>
              <w:right w:val="single" w:sz="4" w:space="0" w:color="auto"/>
            </w:tcBorders>
            <w:shd w:val="clear" w:color="auto" w:fill="D9D9D9"/>
            <w:vAlign w:val="center"/>
          </w:tcPr>
          <w:p w:rsidR="00DA4470" w:rsidRPr="004761E0" w:rsidRDefault="00DA4470" w:rsidP="00091B98">
            <w:pPr>
              <w:ind w:firstLine="0"/>
              <w:jc w:val="right"/>
              <w:rPr>
                <w:color w:val="000000"/>
                <w:sz w:val="20"/>
                <w:szCs w:val="20"/>
              </w:rPr>
            </w:pPr>
            <w:r w:rsidRPr="004761E0">
              <w:rPr>
                <w:color w:val="000000"/>
                <w:sz w:val="20"/>
                <w:szCs w:val="20"/>
              </w:rPr>
              <w:t>13,1</w:t>
            </w:r>
          </w:p>
        </w:tc>
        <w:tc>
          <w:tcPr>
            <w:tcW w:w="505" w:type="pct"/>
            <w:tcBorders>
              <w:top w:val="single" w:sz="4" w:space="0" w:color="auto"/>
              <w:left w:val="nil"/>
              <w:bottom w:val="single" w:sz="4" w:space="0" w:color="auto"/>
              <w:right w:val="single" w:sz="4" w:space="0" w:color="auto"/>
            </w:tcBorders>
            <w:shd w:val="clear" w:color="auto" w:fill="D9D9D9"/>
            <w:vAlign w:val="center"/>
          </w:tcPr>
          <w:p w:rsidR="00DA4470" w:rsidRPr="004761E0" w:rsidRDefault="00DA4470" w:rsidP="00091B98">
            <w:pPr>
              <w:ind w:firstLine="0"/>
              <w:jc w:val="right"/>
              <w:rPr>
                <w:color w:val="000000"/>
                <w:sz w:val="20"/>
                <w:szCs w:val="20"/>
              </w:rPr>
            </w:pPr>
            <w:r w:rsidRPr="004761E0">
              <w:rPr>
                <w:color w:val="000000"/>
                <w:sz w:val="20"/>
                <w:szCs w:val="20"/>
              </w:rPr>
              <w:t>0,15 %</w:t>
            </w:r>
          </w:p>
        </w:tc>
      </w:tr>
      <w:tr w:rsidR="00DA4470" w:rsidRPr="004761E0" w:rsidTr="00091B98">
        <w:trPr>
          <w:cantSplit/>
        </w:trPr>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DA4470" w:rsidRPr="004761E0" w:rsidRDefault="00DA4470" w:rsidP="007076A7">
            <w:pPr>
              <w:numPr>
                <w:ilvl w:val="0"/>
                <w:numId w:val="48"/>
              </w:numPr>
              <w:jc w:val="left"/>
              <w:rPr>
                <w:rFonts w:eastAsia="Times New Roman"/>
                <w:color w:val="000000"/>
                <w:sz w:val="20"/>
                <w:szCs w:val="20"/>
                <w:lang w:eastAsia="ru-RU"/>
              </w:rPr>
            </w:pPr>
          </w:p>
        </w:tc>
        <w:tc>
          <w:tcPr>
            <w:tcW w:w="1728"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DA4470">
            <w:pPr>
              <w:ind w:firstLine="0"/>
              <w:jc w:val="left"/>
              <w:rPr>
                <w:rFonts w:eastAsia="Times New Roman"/>
                <w:color w:val="000000"/>
                <w:sz w:val="20"/>
                <w:szCs w:val="20"/>
                <w:lang w:eastAsia="ru-RU"/>
              </w:rPr>
            </w:pPr>
            <w:r w:rsidRPr="004761E0">
              <w:rPr>
                <w:rFonts w:eastAsia="Times New Roman"/>
                <w:color w:val="000000"/>
                <w:sz w:val="20"/>
                <w:szCs w:val="20"/>
                <w:lang w:eastAsia="ru-RU"/>
              </w:rPr>
              <w:t>Оснащенность современными приборами учета электроэнергии на розничном рынке</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DA4470" w:rsidRPr="004761E0" w:rsidRDefault="00DA4470" w:rsidP="00DA4470">
            <w:pPr>
              <w:ind w:firstLine="0"/>
              <w:jc w:val="left"/>
              <w:rPr>
                <w:rFonts w:eastAsia="Times New Roman"/>
                <w:color w:val="000000"/>
                <w:sz w:val="20"/>
                <w:szCs w:val="20"/>
                <w:lang w:eastAsia="ru-RU"/>
              </w:rPr>
            </w:pPr>
            <w:r w:rsidRPr="004761E0">
              <w:rPr>
                <w:rFonts w:eastAsia="Times New Roman"/>
                <w:color w:val="000000"/>
                <w:sz w:val="20"/>
                <w:szCs w:val="20"/>
                <w:lang w:eastAsia="ru-RU"/>
              </w:rPr>
              <w:t>%</w:t>
            </w:r>
          </w:p>
        </w:tc>
        <w:tc>
          <w:tcPr>
            <w:tcW w:w="413"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091B98">
            <w:pPr>
              <w:ind w:firstLine="0"/>
              <w:jc w:val="right"/>
              <w:rPr>
                <w:rFonts w:eastAsia="Times New Roman"/>
                <w:color w:val="000000"/>
                <w:sz w:val="20"/>
                <w:szCs w:val="20"/>
                <w:lang w:eastAsia="ru-RU"/>
              </w:rPr>
            </w:pPr>
            <w:r w:rsidRPr="004761E0">
              <w:rPr>
                <w:color w:val="000000"/>
                <w:sz w:val="20"/>
                <w:szCs w:val="20"/>
              </w:rPr>
              <w:t>54,7</w:t>
            </w:r>
          </w:p>
        </w:tc>
        <w:tc>
          <w:tcPr>
            <w:tcW w:w="413"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A4470" w:rsidP="00091B98">
            <w:pPr>
              <w:ind w:firstLine="0"/>
              <w:jc w:val="right"/>
              <w:rPr>
                <w:rFonts w:eastAsia="Times New Roman"/>
                <w:color w:val="000000"/>
                <w:sz w:val="20"/>
                <w:szCs w:val="20"/>
                <w:lang w:eastAsia="ru-RU"/>
              </w:rPr>
            </w:pPr>
            <w:r w:rsidRPr="004761E0">
              <w:rPr>
                <w:color w:val="000000"/>
                <w:sz w:val="20"/>
                <w:szCs w:val="20"/>
              </w:rPr>
              <w:t>56,3</w:t>
            </w:r>
          </w:p>
        </w:tc>
        <w:tc>
          <w:tcPr>
            <w:tcW w:w="413" w:type="pct"/>
            <w:tcBorders>
              <w:top w:val="single" w:sz="4" w:space="0" w:color="auto"/>
              <w:left w:val="nil"/>
              <w:bottom w:val="single" w:sz="4" w:space="0" w:color="auto"/>
              <w:right w:val="single" w:sz="4" w:space="0" w:color="auto"/>
            </w:tcBorders>
            <w:vAlign w:val="center"/>
          </w:tcPr>
          <w:p w:rsidR="00DA4470" w:rsidRPr="004761E0" w:rsidRDefault="00DA4470" w:rsidP="00091B98">
            <w:pPr>
              <w:ind w:firstLine="0"/>
              <w:jc w:val="right"/>
              <w:rPr>
                <w:color w:val="000000"/>
                <w:sz w:val="20"/>
                <w:szCs w:val="20"/>
              </w:rPr>
            </w:pPr>
            <w:r w:rsidRPr="004761E0">
              <w:rPr>
                <w:color w:val="000000"/>
                <w:sz w:val="20"/>
                <w:szCs w:val="20"/>
              </w:rPr>
              <w:t>60,6</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A4470" w:rsidRPr="004761E0" w:rsidRDefault="00DA4470" w:rsidP="00091B98">
            <w:pPr>
              <w:ind w:firstLine="0"/>
              <w:jc w:val="right"/>
              <w:rPr>
                <w:rFonts w:eastAsia="Times New Roman"/>
                <w:color w:val="000000"/>
                <w:sz w:val="20"/>
                <w:szCs w:val="20"/>
                <w:lang w:eastAsia="ru-RU"/>
              </w:rPr>
            </w:pPr>
            <w:r w:rsidRPr="004761E0">
              <w:rPr>
                <w:color w:val="000000"/>
                <w:sz w:val="20"/>
                <w:szCs w:val="20"/>
              </w:rPr>
              <w:t>57,7</w:t>
            </w:r>
          </w:p>
        </w:tc>
        <w:tc>
          <w:tcPr>
            <w:tcW w:w="505" w:type="pct"/>
            <w:tcBorders>
              <w:top w:val="single" w:sz="4" w:space="0" w:color="auto"/>
              <w:left w:val="nil"/>
              <w:bottom w:val="single" w:sz="4" w:space="0" w:color="auto"/>
              <w:right w:val="single" w:sz="4" w:space="0" w:color="auto"/>
            </w:tcBorders>
            <w:shd w:val="clear" w:color="auto" w:fill="auto"/>
            <w:vAlign w:val="center"/>
          </w:tcPr>
          <w:p w:rsidR="00DA4470" w:rsidRPr="004761E0" w:rsidRDefault="00D5240E" w:rsidP="00091B98">
            <w:pPr>
              <w:ind w:firstLine="0"/>
              <w:jc w:val="right"/>
              <w:rPr>
                <w:rFonts w:eastAsia="Times New Roman"/>
                <w:color w:val="000000"/>
                <w:sz w:val="20"/>
                <w:szCs w:val="20"/>
                <w:lang w:eastAsia="ru-RU"/>
              </w:rPr>
            </w:pPr>
            <w:r w:rsidRPr="004761E0">
              <w:rPr>
                <w:color w:val="000000"/>
                <w:sz w:val="20"/>
                <w:szCs w:val="20"/>
              </w:rPr>
              <w:t>-</w:t>
            </w:r>
            <w:r w:rsidR="00DA4470" w:rsidRPr="004761E0">
              <w:rPr>
                <w:color w:val="000000"/>
                <w:sz w:val="20"/>
                <w:szCs w:val="20"/>
              </w:rPr>
              <w:t>1,36 п.п.</w:t>
            </w:r>
          </w:p>
        </w:tc>
      </w:tr>
    </w:tbl>
    <w:p w:rsidR="0062504C" w:rsidRPr="004761E0" w:rsidRDefault="0062504C" w:rsidP="0062504C">
      <w:pPr>
        <w:ind w:firstLine="567"/>
        <w:rPr>
          <w:sz w:val="26"/>
          <w:szCs w:val="26"/>
          <w:lang w:eastAsia="ru-RU"/>
        </w:rPr>
      </w:pPr>
      <w:r>
        <w:rPr>
          <w:sz w:val="26"/>
          <w:szCs w:val="26"/>
          <w:lang w:eastAsia="ru-RU"/>
        </w:rPr>
        <w:lastRenderedPageBreak/>
        <w:t>Аналогичные д</w:t>
      </w:r>
      <w:r w:rsidRPr="004761E0">
        <w:rPr>
          <w:sz w:val="26"/>
          <w:szCs w:val="26"/>
          <w:lang w:eastAsia="ru-RU"/>
        </w:rPr>
        <w:t>анные в разбивке на г. Москву и Московскую область представлены в Приложении</w:t>
      </w:r>
      <w:r>
        <w:rPr>
          <w:sz w:val="26"/>
          <w:szCs w:val="26"/>
          <w:lang w:eastAsia="ru-RU"/>
        </w:rPr>
        <w:t xml:space="preserve"> 12.</w:t>
      </w:r>
      <w:r w:rsidR="003146BC">
        <w:rPr>
          <w:sz w:val="26"/>
          <w:szCs w:val="26"/>
          <w:lang w:eastAsia="ru-RU"/>
        </w:rPr>
        <w:t>1</w:t>
      </w:r>
      <w:r>
        <w:rPr>
          <w:sz w:val="26"/>
          <w:szCs w:val="26"/>
          <w:lang w:eastAsia="ru-RU"/>
        </w:rPr>
        <w:t>.</w:t>
      </w:r>
      <w:r w:rsidRPr="004761E0">
        <w:rPr>
          <w:sz w:val="26"/>
          <w:szCs w:val="26"/>
          <w:lang w:eastAsia="ru-RU"/>
        </w:rPr>
        <w:t xml:space="preserve"> к Годовому отчету.</w:t>
      </w:r>
    </w:p>
    <w:p w:rsidR="00DA4470" w:rsidRPr="004761E0" w:rsidRDefault="00DA4470" w:rsidP="00DA4470">
      <w:pPr>
        <w:ind w:firstLine="567"/>
        <w:rPr>
          <w:iCs/>
          <w:color w:val="000000"/>
          <w:sz w:val="26"/>
          <w:szCs w:val="26"/>
        </w:rPr>
      </w:pPr>
      <w:r w:rsidRPr="004761E0">
        <w:rPr>
          <w:iCs/>
          <w:color w:val="000000"/>
          <w:sz w:val="26"/>
          <w:szCs w:val="26"/>
        </w:rPr>
        <w:t xml:space="preserve">В целях снижения потребления ресурсов на объектах производственных и хозяйственных нужд в 2013 году установлены счетчики учета потребления ресурсов; произведены мероприятия по уменьшению аварийности трубопроводов, оптимизация систем отопления объектов (перевод котельных на природный газ, замена техники с бензиновым двигателем на дизельный). </w:t>
      </w:r>
    </w:p>
    <w:p w:rsidR="00DA4470" w:rsidRPr="004761E0" w:rsidRDefault="00DA4470" w:rsidP="00DA4470">
      <w:pPr>
        <w:ind w:firstLine="567"/>
        <w:rPr>
          <w:iCs/>
          <w:color w:val="000000"/>
          <w:sz w:val="26"/>
          <w:szCs w:val="26"/>
        </w:rPr>
      </w:pPr>
      <w:r w:rsidRPr="004761E0">
        <w:rPr>
          <w:iCs/>
          <w:color w:val="000000"/>
          <w:sz w:val="26"/>
          <w:szCs w:val="26"/>
        </w:rPr>
        <w:t>При этом в отчетном году в эксплуатацию введен ряд новых объектов, в которых осуществляется потребление топливно-энергетических ресурсов. К примеру, здание общеподстанционного пункта управления ПС «Очаково» (филиал ЗЭС), мансардный этаж по адресу 2-ой Павелецкий пр-д д. 3, стр. 2 и др.</w:t>
      </w:r>
    </w:p>
    <w:p w:rsidR="00DA4470" w:rsidRPr="004761E0" w:rsidRDefault="00DA4470" w:rsidP="00DA4470">
      <w:pPr>
        <w:ind w:firstLine="567"/>
        <w:rPr>
          <w:rFonts w:ascii="Calibri" w:eastAsia="Times New Roman" w:hAnsi="Calibri"/>
          <w:color w:val="000000"/>
          <w:sz w:val="22"/>
          <w:szCs w:val="22"/>
          <w:lang w:eastAsia="ru-RU"/>
        </w:rPr>
      </w:pPr>
    </w:p>
    <w:p w:rsidR="00DA4470" w:rsidRPr="004761E0" w:rsidRDefault="00DA4470" w:rsidP="00DA4470">
      <w:pPr>
        <w:ind w:firstLine="0"/>
        <w:jc w:val="left"/>
        <w:rPr>
          <w:b/>
          <w:sz w:val="26"/>
          <w:szCs w:val="26"/>
        </w:rPr>
      </w:pPr>
      <w:r w:rsidRPr="004761E0">
        <w:rPr>
          <w:b/>
          <w:noProof/>
          <w:sz w:val="26"/>
          <w:szCs w:val="26"/>
          <w:lang w:eastAsia="ru-RU"/>
        </w:rPr>
        <w:drawing>
          <wp:inline distT="0" distB="0" distL="0" distR="0">
            <wp:extent cx="2028825" cy="2686050"/>
            <wp:effectExtent l="19050" t="0" r="9525" b="0"/>
            <wp:docPr id="279" name="Диаграмма 1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4761E0">
        <w:rPr>
          <w:b/>
          <w:sz w:val="26"/>
          <w:szCs w:val="26"/>
        </w:rPr>
        <w:t xml:space="preserve"> </w:t>
      </w:r>
      <w:r w:rsidRPr="004761E0">
        <w:rPr>
          <w:b/>
          <w:noProof/>
          <w:sz w:val="26"/>
          <w:szCs w:val="26"/>
          <w:lang w:eastAsia="ru-RU"/>
        </w:rPr>
        <w:drawing>
          <wp:inline distT="0" distB="0" distL="0" distR="0">
            <wp:extent cx="2021290" cy="2681785"/>
            <wp:effectExtent l="19050" t="0" r="17060" b="4265"/>
            <wp:docPr id="280" name="Диаграмма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091B98" w:rsidRPr="004761E0">
        <w:rPr>
          <w:b/>
          <w:noProof/>
          <w:sz w:val="26"/>
          <w:szCs w:val="26"/>
          <w:lang w:eastAsia="ru-RU"/>
        </w:rPr>
        <w:t xml:space="preserve"> </w:t>
      </w:r>
      <w:r w:rsidR="00091B98" w:rsidRPr="004761E0">
        <w:rPr>
          <w:b/>
          <w:noProof/>
          <w:sz w:val="26"/>
          <w:szCs w:val="26"/>
          <w:lang w:eastAsia="ru-RU"/>
        </w:rPr>
        <w:drawing>
          <wp:inline distT="0" distB="0" distL="0" distR="0">
            <wp:extent cx="2066925" cy="2686050"/>
            <wp:effectExtent l="19050" t="0" r="9525" b="0"/>
            <wp:docPr id="287" name="Диаграмма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091B98" w:rsidRPr="004761E0">
        <w:rPr>
          <w:rStyle w:val="af2"/>
          <w:b/>
          <w:noProof/>
          <w:sz w:val="26"/>
          <w:lang w:eastAsia="ru-RU"/>
        </w:rPr>
        <w:t xml:space="preserve"> </w:t>
      </w:r>
    </w:p>
    <w:p w:rsidR="00DA4470" w:rsidRPr="004761E0" w:rsidRDefault="00DA4470" w:rsidP="00DA4470">
      <w:pPr>
        <w:pStyle w:val="af3"/>
        <w:rPr>
          <w:sz w:val="26"/>
          <w:szCs w:val="26"/>
        </w:rPr>
      </w:pPr>
      <w:r w:rsidRPr="004761E0">
        <w:rPr>
          <w:color w:val="000000"/>
          <w:sz w:val="26"/>
          <w:szCs w:val="26"/>
        </w:rPr>
        <w:t>По результатам проведенных мероприятий потребление топливно-энергетических ресурсов на хозяйственные нужды в 2013 году снизилось на 0,01 т у.т./м</w:t>
      </w:r>
      <w:r w:rsidRPr="004761E0">
        <w:rPr>
          <w:color w:val="000000"/>
          <w:sz w:val="26"/>
          <w:szCs w:val="26"/>
          <w:vertAlign w:val="superscript"/>
        </w:rPr>
        <w:t>2</w:t>
      </w:r>
      <w:r w:rsidRPr="004761E0">
        <w:rPr>
          <w:color w:val="000000"/>
          <w:sz w:val="26"/>
          <w:szCs w:val="26"/>
        </w:rPr>
        <w:t xml:space="preserve"> – 40 862,4 т у.т. (0,08 т у.т./м</w:t>
      </w:r>
      <w:r w:rsidRPr="004761E0">
        <w:rPr>
          <w:color w:val="000000"/>
          <w:sz w:val="26"/>
          <w:szCs w:val="26"/>
          <w:vertAlign w:val="superscript"/>
        </w:rPr>
        <w:t>2</w:t>
      </w:r>
      <w:r w:rsidRPr="004761E0">
        <w:rPr>
          <w:color w:val="000000"/>
          <w:sz w:val="26"/>
          <w:szCs w:val="26"/>
        </w:rPr>
        <w:t xml:space="preserve">) по сравнению с 2012 г. </w:t>
      </w:r>
      <w:r w:rsidRPr="004761E0">
        <w:rPr>
          <w:sz w:val="26"/>
          <w:szCs w:val="26"/>
        </w:rPr>
        <w:t>Рост потребления электрической и тепловой энергии в абсолютных значениях обусловлен вводом в эксплуатацию новых объектов.</w:t>
      </w:r>
    </w:p>
    <w:p w:rsidR="00DA4470" w:rsidRPr="004761E0" w:rsidRDefault="00DA4470" w:rsidP="00091B98">
      <w:pPr>
        <w:spacing w:before="120" w:after="120"/>
        <w:ind w:firstLine="0"/>
        <w:jc w:val="left"/>
        <w:rPr>
          <w:rFonts w:eastAsia="Times New Roman"/>
          <w:b/>
          <w:iCs/>
          <w:noProof/>
          <w:color w:val="000000"/>
          <w:sz w:val="26"/>
          <w:szCs w:val="26"/>
          <w:lang w:eastAsia="ru-RU"/>
        </w:rPr>
      </w:pPr>
      <w:r w:rsidRPr="004761E0">
        <w:rPr>
          <w:rFonts w:eastAsia="Times New Roman"/>
          <w:b/>
          <w:iCs/>
          <w:noProof/>
          <w:color w:val="000000"/>
          <w:sz w:val="26"/>
          <w:szCs w:val="26"/>
          <w:lang w:eastAsia="ru-RU"/>
        </w:rPr>
        <w:t xml:space="preserve"> </w:t>
      </w:r>
      <w:r w:rsidRPr="004761E0">
        <w:rPr>
          <w:rFonts w:eastAsia="Times New Roman"/>
          <w:b/>
          <w:noProof/>
          <w:color w:val="000000"/>
          <w:sz w:val="26"/>
          <w:szCs w:val="26"/>
          <w:lang w:eastAsia="ru-RU"/>
        </w:rPr>
        <w:drawing>
          <wp:inline distT="0" distB="0" distL="0" distR="0">
            <wp:extent cx="2085975" cy="2686050"/>
            <wp:effectExtent l="19050" t="0" r="9525" b="0"/>
            <wp:docPr id="282" name="Диаграмма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4761E0">
        <w:rPr>
          <w:rFonts w:eastAsia="Times New Roman"/>
          <w:b/>
          <w:iCs/>
          <w:noProof/>
          <w:color w:val="000000"/>
          <w:sz w:val="26"/>
          <w:szCs w:val="26"/>
          <w:lang w:eastAsia="ru-RU"/>
        </w:rPr>
        <w:t xml:space="preserve"> </w:t>
      </w:r>
      <w:r w:rsidRPr="004761E0">
        <w:rPr>
          <w:b/>
          <w:noProof/>
          <w:sz w:val="26"/>
          <w:szCs w:val="26"/>
          <w:lang w:eastAsia="ru-RU"/>
        </w:rPr>
        <w:drawing>
          <wp:inline distT="0" distB="0" distL="0" distR="0">
            <wp:extent cx="2247900" cy="2681624"/>
            <wp:effectExtent l="19050" t="0" r="19050" b="4426"/>
            <wp:docPr id="286" name="Диаграмма 1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A4470" w:rsidRPr="004761E0" w:rsidRDefault="00DA4470" w:rsidP="00DA4470">
      <w:pPr>
        <w:spacing w:before="120" w:after="120"/>
        <w:ind w:firstLine="567"/>
        <w:rPr>
          <w:color w:val="000000"/>
          <w:sz w:val="26"/>
          <w:szCs w:val="26"/>
        </w:rPr>
      </w:pPr>
      <w:r w:rsidRPr="004761E0">
        <w:rPr>
          <w:color w:val="000000"/>
          <w:sz w:val="26"/>
          <w:szCs w:val="26"/>
        </w:rPr>
        <w:t>Оснащенность потребителей современными приборами учета электроэнергии на розничном рынке составила 57,7 %, превысив значение 2012 года на 1,4 п.п.</w:t>
      </w:r>
      <w:r w:rsidR="00A21AA4" w:rsidRPr="004761E0">
        <w:rPr>
          <w:color w:val="000000"/>
          <w:sz w:val="26"/>
          <w:szCs w:val="26"/>
        </w:rPr>
        <w:t xml:space="preserve"> </w:t>
      </w:r>
    </w:p>
    <w:p w:rsidR="00DA4470" w:rsidRPr="004761E0" w:rsidRDefault="00DA4470" w:rsidP="00DA4470">
      <w:pPr>
        <w:ind w:firstLine="0"/>
        <w:jc w:val="left"/>
        <w:rPr>
          <w:b/>
          <w:sz w:val="26"/>
          <w:szCs w:val="26"/>
        </w:rPr>
      </w:pPr>
      <w:r w:rsidRPr="004761E0">
        <w:rPr>
          <w:b/>
          <w:noProof/>
          <w:color w:val="000000"/>
          <w:sz w:val="26"/>
          <w:szCs w:val="26"/>
          <w:lang w:eastAsia="ru-RU"/>
        </w:rPr>
        <w:lastRenderedPageBreak/>
        <w:drawing>
          <wp:inline distT="0" distB="0" distL="0" distR="0">
            <wp:extent cx="2533650" cy="2647950"/>
            <wp:effectExtent l="19050" t="0" r="19050" b="0"/>
            <wp:docPr id="285" name="Диаграмма 1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A4470" w:rsidRPr="00B20C95" w:rsidRDefault="00DA4470" w:rsidP="00B20C95">
      <w:pPr>
        <w:spacing w:before="120" w:after="120"/>
        <w:ind w:firstLine="567"/>
        <w:rPr>
          <w:b/>
          <w:noProof/>
          <w:sz w:val="26"/>
          <w:szCs w:val="26"/>
          <w:lang w:eastAsia="ru-RU"/>
        </w:rPr>
      </w:pPr>
      <w:r w:rsidRPr="00B20C95">
        <w:rPr>
          <w:b/>
          <w:noProof/>
          <w:sz w:val="26"/>
          <w:szCs w:val="26"/>
          <w:lang w:eastAsia="ru-RU"/>
        </w:rPr>
        <w:t>Общий эффект от реализации мероприятий Программы</w:t>
      </w:r>
    </w:p>
    <w:tbl>
      <w:tblPr>
        <w:tblW w:w="5000" w:type="pct"/>
        <w:tblLook w:val="04A0"/>
      </w:tblPr>
      <w:tblGrid>
        <w:gridCol w:w="591"/>
        <w:gridCol w:w="5204"/>
        <w:gridCol w:w="1157"/>
        <w:gridCol w:w="1157"/>
        <w:gridCol w:w="1157"/>
        <w:gridCol w:w="1155"/>
      </w:tblGrid>
      <w:tr w:rsidR="00DA4470" w:rsidRPr="004761E0" w:rsidTr="00DA4470">
        <w:trPr>
          <w:trHeight w:val="300"/>
        </w:trPr>
        <w:tc>
          <w:tcPr>
            <w:tcW w:w="284" w:type="pct"/>
            <w:tcBorders>
              <w:top w:val="single" w:sz="4" w:space="0" w:color="auto"/>
              <w:left w:val="single" w:sz="4" w:space="0" w:color="auto"/>
              <w:bottom w:val="single" w:sz="4" w:space="0" w:color="auto"/>
              <w:right w:val="single" w:sz="4" w:space="0" w:color="FFFFFF"/>
            </w:tcBorders>
            <w:shd w:val="clear" w:color="auto" w:fill="0F243E"/>
            <w:vAlign w:val="center"/>
            <w:hideMark/>
          </w:tcPr>
          <w:p w:rsidR="00DA4470" w:rsidRPr="004761E0" w:rsidRDefault="00DA4470" w:rsidP="00DA4470">
            <w:pPr>
              <w:ind w:firstLine="0"/>
              <w:jc w:val="left"/>
              <w:rPr>
                <w:rFonts w:eastAsia="Times New Roman"/>
                <w:b/>
                <w:color w:val="FFFFFF"/>
                <w:sz w:val="20"/>
                <w:szCs w:val="20"/>
                <w:lang w:eastAsia="ru-RU"/>
              </w:rPr>
            </w:pPr>
            <w:r w:rsidRPr="004761E0">
              <w:rPr>
                <w:rFonts w:eastAsia="Times New Roman"/>
                <w:b/>
                <w:color w:val="FFFFFF"/>
                <w:sz w:val="20"/>
                <w:szCs w:val="20"/>
                <w:lang w:eastAsia="ru-RU"/>
              </w:rPr>
              <w:t>№ п/п</w:t>
            </w:r>
          </w:p>
        </w:tc>
        <w:tc>
          <w:tcPr>
            <w:tcW w:w="2497" w:type="pct"/>
            <w:tcBorders>
              <w:top w:val="single" w:sz="4" w:space="0" w:color="auto"/>
              <w:left w:val="single" w:sz="4" w:space="0" w:color="FFFFFF"/>
              <w:bottom w:val="single" w:sz="4" w:space="0" w:color="auto"/>
              <w:right w:val="single" w:sz="4" w:space="0" w:color="FFFFFF"/>
            </w:tcBorders>
            <w:shd w:val="clear" w:color="auto" w:fill="0F243E"/>
            <w:vAlign w:val="center"/>
            <w:hideMark/>
          </w:tcPr>
          <w:p w:rsidR="00DA4470" w:rsidRPr="004761E0" w:rsidRDefault="00DA4470" w:rsidP="00DA4470">
            <w:pPr>
              <w:ind w:firstLine="0"/>
              <w:jc w:val="left"/>
              <w:rPr>
                <w:rFonts w:eastAsia="Times New Roman"/>
                <w:b/>
                <w:color w:val="FFFFFF"/>
                <w:sz w:val="20"/>
                <w:szCs w:val="20"/>
                <w:lang w:eastAsia="ru-RU"/>
              </w:rPr>
            </w:pPr>
            <w:r w:rsidRPr="004761E0">
              <w:rPr>
                <w:rFonts w:eastAsia="Times New Roman"/>
                <w:b/>
                <w:color w:val="FFFFFF"/>
                <w:sz w:val="20"/>
                <w:szCs w:val="20"/>
                <w:lang w:eastAsia="ru-RU"/>
              </w:rPr>
              <w:t>Наименование категории</w:t>
            </w:r>
          </w:p>
        </w:tc>
        <w:tc>
          <w:tcPr>
            <w:tcW w:w="555" w:type="pct"/>
            <w:tcBorders>
              <w:top w:val="single" w:sz="4" w:space="0" w:color="auto"/>
              <w:left w:val="single" w:sz="4" w:space="0" w:color="FFFFFF"/>
              <w:bottom w:val="single" w:sz="4" w:space="0" w:color="auto"/>
              <w:right w:val="single" w:sz="4" w:space="0" w:color="FFFFFF"/>
            </w:tcBorders>
            <w:shd w:val="clear" w:color="auto" w:fill="0F243E"/>
            <w:vAlign w:val="center"/>
            <w:hideMark/>
          </w:tcPr>
          <w:p w:rsidR="00DA4470" w:rsidRPr="004761E0" w:rsidRDefault="00DA4470" w:rsidP="00DA4470">
            <w:pPr>
              <w:ind w:firstLine="0"/>
              <w:jc w:val="right"/>
              <w:rPr>
                <w:rFonts w:eastAsia="Times New Roman"/>
                <w:b/>
                <w:color w:val="FFFFFF"/>
                <w:sz w:val="20"/>
                <w:szCs w:val="20"/>
                <w:lang w:eastAsia="ru-RU"/>
              </w:rPr>
            </w:pPr>
            <w:r w:rsidRPr="004761E0">
              <w:rPr>
                <w:rFonts w:eastAsia="Times New Roman"/>
                <w:b/>
                <w:color w:val="FFFFFF"/>
                <w:sz w:val="20"/>
                <w:szCs w:val="20"/>
                <w:lang w:eastAsia="ru-RU"/>
              </w:rPr>
              <w:t>2011</w:t>
            </w:r>
          </w:p>
        </w:tc>
        <w:tc>
          <w:tcPr>
            <w:tcW w:w="555" w:type="pct"/>
            <w:tcBorders>
              <w:top w:val="single" w:sz="4" w:space="0" w:color="auto"/>
              <w:left w:val="single" w:sz="4" w:space="0" w:color="FFFFFF"/>
              <w:bottom w:val="single" w:sz="4" w:space="0" w:color="auto"/>
              <w:right w:val="single" w:sz="4" w:space="0" w:color="FFFFFF"/>
            </w:tcBorders>
            <w:shd w:val="clear" w:color="auto" w:fill="0F243E"/>
            <w:vAlign w:val="center"/>
            <w:hideMark/>
          </w:tcPr>
          <w:p w:rsidR="00DA4470" w:rsidRPr="004761E0" w:rsidRDefault="00DA4470" w:rsidP="00DA4470">
            <w:pPr>
              <w:ind w:firstLine="0"/>
              <w:jc w:val="right"/>
              <w:rPr>
                <w:rFonts w:eastAsia="Times New Roman"/>
                <w:b/>
                <w:color w:val="FFFFFF"/>
                <w:sz w:val="20"/>
                <w:szCs w:val="20"/>
                <w:lang w:eastAsia="ru-RU"/>
              </w:rPr>
            </w:pPr>
            <w:r w:rsidRPr="004761E0">
              <w:rPr>
                <w:rFonts w:eastAsia="Times New Roman"/>
                <w:b/>
                <w:color w:val="FFFFFF"/>
                <w:sz w:val="20"/>
                <w:szCs w:val="20"/>
                <w:lang w:eastAsia="ru-RU"/>
              </w:rPr>
              <w:t>2012</w:t>
            </w:r>
          </w:p>
        </w:tc>
        <w:tc>
          <w:tcPr>
            <w:tcW w:w="555" w:type="pct"/>
            <w:tcBorders>
              <w:top w:val="single" w:sz="4" w:space="0" w:color="auto"/>
              <w:left w:val="single" w:sz="4" w:space="0" w:color="FFFFFF"/>
              <w:bottom w:val="single" w:sz="4" w:space="0" w:color="auto"/>
              <w:right w:val="single" w:sz="4" w:space="0" w:color="FFFFFF"/>
            </w:tcBorders>
            <w:shd w:val="clear" w:color="auto" w:fill="0F243E"/>
            <w:vAlign w:val="center"/>
            <w:hideMark/>
          </w:tcPr>
          <w:p w:rsidR="00DA4470" w:rsidRPr="004761E0" w:rsidRDefault="00DA4470" w:rsidP="00DA4470">
            <w:pPr>
              <w:ind w:firstLine="0"/>
              <w:jc w:val="right"/>
              <w:rPr>
                <w:rFonts w:eastAsia="Times New Roman"/>
                <w:b/>
                <w:color w:val="FFFFFF"/>
                <w:sz w:val="20"/>
                <w:szCs w:val="20"/>
                <w:lang w:eastAsia="ru-RU"/>
              </w:rPr>
            </w:pPr>
            <w:r w:rsidRPr="004761E0">
              <w:rPr>
                <w:rFonts w:eastAsia="Times New Roman"/>
                <w:b/>
                <w:color w:val="FFFFFF"/>
                <w:sz w:val="20"/>
                <w:szCs w:val="20"/>
                <w:lang w:eastAsia="ru-RU"/>
              </w:rPr>
              <w:t>2013</w:t>
            </w:r>
          </w:p>
        </w:tc>
        <w:tc>
          <w:tcPr>
            <w:tcW w:w="555" w:type="pct"/>
            <w:tcBorders>
              <w:top w:val="single" w:sz="4" w:space="0" w:color="auto"/>
              <w:left w:val="single" w:sz="4" w:space="0" w:color="FFFFFF"/>
              <w:bottom w:val="single" w:sz="4" w:space="0" w:color="auto"/>
              <w:right w:val="single" w:sz="4" w:space="0" w:color="auto"/>
            </w:tcBorders>
            <w:shd w:val="clear" w:color="auto" w:fill="0F243E"/>
            <w:vAlign w:val="center"/>
            <w:hideMark/>
          </w:tcPr>
          <w:p w:rsidR="00DA4470" w:rsidRPr="004761E0" w:rsidRDefault="00DA4470" w:rsidP="00DA4470">
            <w:pPr>
              <w:ind w:firstLine="0"/>
              <w:jc w:val="right"/>
              <w:rPr>
                <w:rFonts w:eastAsia="Times New Roman"/>
                <w:b/>
                <w:color w:val="FFFFFF"/>
                <w:sz w:val="20"/>
                <w:szCs w:val="20"/>
                <w:lang w:eastAsia="ru-RU"/>
              </w:rPr>
            </w:pPr>
            <w:r w:rsidRPr="004761E0">
              <w:rPr>
                <w:rFonts w:eastAsia="Times New Roman"/>
                <w:b/>
                <w:color w:val="FFFFFF"/>
                <w:sz w:val="20"/>
                <w:szCs w:val="20"/>
                <w:lang w:eastAsia="ru-RU"/>
              </w:rPr>
              <w:t>2013/2012</w:t>
            </w:r>
          </w:p>
        </w:tc>
      </w:tr>
      <w:tr w:rsidR="00DA4470" w:rsidRPr="004761E0" w:rsidTr="00DA4470">
        <w:trPr>
          <w:trHeight w:val="30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DA4470" w:rsidRPr="004761E0" w:rsidRDefault="00DA4470" w:rsidP="007076A7">
            <w:pPr>
              <w:numPr>
                <w:ilvl w:val="0"/>
                <w:numId w:val="125"/>
              </w:numPr>
              <w:jc w:val="left"/>
              <w:rPr>
                <w:rFonts w:eastAsia="Times New Roman"/>
                <w:color w:val="000000"/>
                <w:sz w:val="20"/>
                <w:szCs w:val="20"/>
                <w:lang w:eastAsia="ru-RU"/>
              </w:rPr>
            </w:pPr>
          </w:p>
        </w:tc>
        <w:tc>
          <w:tcPr>
            <w:tcW w:w="2497" w:type="pct"/>
            <w:tcBorders>
              <w:top w:val="nil"/>
              <w:left w:val="nil"/>
              <w:bottom w:val="single" w:sz="4" w:space="0" w:color="auto"/>
              <w:right w:val="single" w:sz="4" w:space="0" w:color="auto"/>
            </w:tcBorders>
            <w:shd w:val="clear" w:color="auto" w:fill="auto"/>
            <w:vAlign w:val="center"/>
          </w:tcPr>
          <w:p w:rsidR="00DA4470" w:rsidRPr="004761E0" w:rsidRDefault="00DA4470" w:rsidP="00DA4470">
            <w:pPr>
              <w:ind w:firstLine="0"/>
              <w:jc w:val="left"/>
              <w:rPr>
                <w:rFonts w:eastAsia="Times New Roman"/>
                <w:color w:val="000000"/>
                <w:sz w:val="20"/>
                <w:szCs w:val="20"/>
                <w:lang w:eastAsia="ru-RU"/>
              </w:rPr>
            </w:pPr>
            <w:r w:rsidRPr="004761E0">
              <w:rPr>
                <w:rFonts w:eastAsia="Times New Roman"/>
                <w:color w:val="000000"/>
                <w:sz w:val="20"/>
                <w:szCs w:val="20"/>
                <w:lang w:eastAsia="ru-RU"/>
              </w:rPr>
              <w:t>млн руб.</w:t>
            </w:r>
          </w:p>
        </w:tc>
        <w:tc>
          <w:tcPr>
            <w:tcW w:w="555" w:type="pct"/>
            <w:tcBorders>
              <w:top w:val="nil"/>
              <w:left w:val="nil"/>
              <w:bottom w:val="single" w:sz="4" w:space="0" w:color="auto"/>
              <w:right w:val="single" w:sz="4" w:space="0" w:color="auto"/>
            </w:tcBorders>
            <w:shd w:val="clear" w:color="auto" w:fill="auto"/>
            <w:vAlign w:val="center"/>
          </w:tcPr>
          <w:p w:rsidR="00DA4470" w:rsidRPr="004761E0" w:rsidRDefault="00E91CF5" w:rsidP="00E91CF5">
            <w:pPr>
              <w:ind w:firstLine="0"/>
              <w:jc w:val="right"/>
              <w:rPr>
                <w:rFonts w:eastAsia="Times New Roman"/>
                <w:color w:val="000000"/>
                <w:sz w:val="20"/>
                <w:szCs w:val="20"/>
                <w:lang w:eastAsia="ru-RU"/>
              </w:rPr>
            </w:pPr>
            <w:r>
              <w:rPr>
                <w:rFonts w:eastAsia="Times New Roman"/>
                <w:color w:val="000000"/>
                <w:sz w:val="20"/>
                <w:szCs w:val="20"/>
                <w:lang w:eastAsia="ru-RU"/>
              </w:rPr>
              <w:t>760,8</w:t>
            </w:r>
          </w:p>
        </w:tc>
        <w:tc>
          <w:tcPr>
            <w:tcW w:w="555" w:type="pct"/>
            <w:tcBorders>
              <w:top w:val="nil"/>
              <w:left w:val="nil"/>
              <w:bottom w:val="single" w:sz="4" w:space="0" w:color="auto"/>
              <w:right w:val="single" w:sz="4" w:space="0" w:color="auto"/>
            </w:tcBorders>
            <w:shd w:val="clear" w:color="auto" w:fill="auto"/>
            <w:vAlign w:val="center"/>
          </w:tcPr>
          <w:p w:rsidR="00DA4470" w:rsidRPr="004761E0" w:rsidRDefault="00DA4470" w:rsidP="00DA4470">
            <w:pPr>
              <w:ind w:firstLine="0"/>
              <w:jc w:val="right"/>
              <w:rPr>
                <w:rFonts w:eastAsia="Times New Roman"/>
                <w:color w:val="000000"/>
                <w:sz w:val="20"/>
                <w:szCs w:val="20"/>
                <w:lang w:eastAsia="ru-RU"/>
              </w:rPr>
            </w:pPr>
            <w:r w:rsidRPr="004761E0">
              <w:rPr>
                <w:color w:val="000000"/>
                <w:sz w:val="20"/>
                <w:szCs w:val="20"/>
              </w:rPr>
              <w:t>1 109,6</w:t>
            </w:r>
          </w:p>
        </w:tc>
        <w:tc>
          <w:tcPr>
            <w:tcW w:w="555" w:type="pct"/>
            <w:tcBorders>
              <w:top w:val="nil"/>
              <w:left w:val="nil"/>
              <w:bottom w:val="single" w:sz="4" w:space="0" w:color="auto"/>
              <w:right w:val="single" w:sz="4" w:space="0" w:color="auto"/>
            </w:tcBorders>
            <w:shd w:val="clear" w:color="auto" w:fill="auto"/>
            <w:vAlign w:val="center"/>
          </w:tcPr>
          <w:p w:rsidR="00DA4470" w:rsidRPr="004761E0" w:rsidRDefault="00DA4470" w:rsidP="00DA4470">
            <w:pPr>
              <w:ind w:firstLine="0"/>
              <w:jc w:val="right"/>
              <w:rPr>
                <w:rFonts w:eastAsia="Times New Roman"/>
                <w:color w:val="000000"/>
                <w:sz w:val="20"/>
                <w:szCs w:val="20"/>
                <w:lang w:eastAsia="ru-RU"/>
              </w:rPr>
            </w:pPr>
            <w:r w:rsidRPr="004761E0">
              <w:rPr>
                <w:color w:val="000000"/>
                <w:sz w:val="20"/>
                <w:szCs w:val="20"/>
              </w:rPr>
              <w:t>1 230,8</w:t>
            </w:r>
          </w:p>
        </w:tc>
        <w:tc>
          <w:tcPr>
            <w:tcW w:w="555" w:type="pct"/>
            <w:tcBorders>
              <w:top w:val="nil"/>
              <w:left w:val="nil"/>
              <w:bottom w:val="single" w:sz="4" w:space="0" w:color="auto"/>
              <w:right w:val="single" w:sz="4" w:space="0" w:color="auto"/>
            </w:tcBorders>
            <w:shd w:val="clear" w:color="auto" w:fill="auto"/>
            <w:vAlign w:val="center"/>
          </w:tcPr>
          <w:p w:rsidR="00DA4470" w:rsidRPr="004761E0" w:rsidRDefault="00DA4470" w:rsidP="00DA4470">
            <w:pPr>
              <w:ind w:firstLine="0"/>
              <w:jc w:val="right"/>
              <w:rPr>
                <w:rFonts w:eastAsia="Times New Roman"/>
                <w:color w:val="000000"/>
                <w:sz w:val="20"/>
                <w:szCs w:val="20"/>
                <w:lang w:eastAsia="ru-RU"/>
              </w:rPr>
            </w:pPr>
            <w:r w:rsidRPr="004761E0">
              <w:rPr>
                <w:color w:val="000000"/>
                <w:sz w:val="20"/>
                <w:szCs w:val="22"/>
              </w:rPr>
              <w:t>10,92 %</w:t>
            </w:r>
          </w:p>
        </w:tc>
      </w:tr>
      <w:tr w:rsidR="00DA4470" w:rsidRPr="004761E0" w:rsidTr="00DA4470">
        <w:trPr>
          <w:trHeight w:val="30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DA4470" w:rsidRPr="004761E0" w:rsidRDefault="00DA4470" w:rsidP="007076A7">
            <w:pPr>
              <w:numPr>
                <w:ilvl w:val="0"/>
                <w:numId w:val="125"/>
              </w:numPr>
              <w:jc w:val="left"/>
              <w:rPr>
                <w:rFonts w:eastAsia="Times New Roman"/>
                <w:color w:val="000000"/>
                <w:sz w:val="20"/>
                <w:szCs w:val="20"/>
                <w:lang w:eastAsia="ru-RU"/>
              </w:rPr>
            </w:pPr>
          </w:p>
        </w:tc>
        <w:tc>
          <w:tcPr>
            <w:tcW w:w="2497" w:type="pct"/>
            <w:tcBorders>
              <w:top w:val="nil"/>
              <w:left w:val="nil"/>
              <w:bottom w:val="single" w:sz="4" w:space="0" w:color="auto"/>
              <w:right w:val="single" w:sz="4" w:space="0" w:color="auto"/>
            </w:tcBorders>
            <w:shd w:val="clear" w:color="auto" w:fill="auto"/>
            <w:vAlign w:val="center"/>
          </w:tcPr>
          <w:p w:rsidR="00DA4470" w:rsidRPr="004761E0" w:rsidRDefault="00DA4470" w:rsidP="00DA4470">
            <w:pPr>
              <w:ind w:firstLine="0"/>
              <w:jc w:val="left"/>
              <w:rPr>
                <w:rFonts w:eastAsia="Times New Roman"/>
                <w:color w:val="000000"/>
                <w:sz w:val="20"/>
                <w:szCs w:val="20"/>
                <w:lang w:eastAsia="ru-RU"/>
              </w:rPr>
            </w:pPr>
            <w:r w:rsidRPr="004761E0">
              <w:rPr>
                <w:rFonts w:eastAsia="Times New Roman"/>
                <w:color w:val="000000"/>
                <w:sz w:val="20"/>
                <w:szCs w:val="20"/>
                <w:lang w:eastAsia="ru-RU"/>
              </w:rPr>
              <w:t>млн кВтч</w:t>
            </w:r>
          </w:p>
        </w:tc>
        <w:tc>
          <w:tcPr>
            <w:tcW w:w="555" w:type="pct"/>
            <w:tcBorders>
              <w:top w:val="nil"/>
              <w:left w:val="nil"/>
              <w:bottom w:val="single" w:sz="4" w:space="0" w:color="auto"/>
              <w:right w:val="single" w:sz="4" w:space="0" w:color="auto"/>
            </w:tcBorders>
            <w:shd w:val="clear" w:color="auto" w:fill="auto"/>
            <w:vAlign w:val="center"/>
          </w:tcPr>
          <w:p w:rsidR="00DA4470" w:rsidRPr="004761E0" w:rsidRDefault="00DA4470" w:rsidP="00DA4470">
            <w:pPr>
              <w:ind w:firstLine="0"/>
              <w:jc w:val="right"/>
              <w:rPr>
                <w:rFonts w:eastAsia="Times New Roman"/>
                <w:color w:val="000000"/>
                <w:sz w:val="20"/>
                <w:szCs w:val="20"/>
                <w:lang w:eastAsia="ru-RU"/>
              </w:rPr>
            </w:pPr>
            <w:r w:rsidRPr="004761E0">
              <w:rPr>
                <w:color w:val="000000"/>
                <w:sz w:val="20"/>
                <w:szCs w:val="20"/>
              </w:rPr>
              <w:t>352,4</w:t>
            </w:r>
          </w:p>
        </w:tc>
        <w:tc>
          <w:tcPr>
            <w:tcW w:w="555" w:type="pct"/>
            <w:tcBorders>
              <w:top w:val="nil"/>
              <w:left w:val="nil"/>
              <w:bottom w:val="single" w:sz="4" w:space="0" w:color="auto"/>
              <w:right w:val="single" w:sz="4" w:space="0" w:color="auto"/>
            </w:tcBorders>
            <w:shd w:val="clear" w:color="auto" w:fill="auto"/>
            <w:vAlign w:val="center"/>
          </w:tcPr>
          <w:p w:rsidR="00DA4470" w:rsidRPr="004761E0" w:rsidRDefault="00DA4470" w:rsidP="00DA4470">
            <w:pPr>
              <w:ind w:firstLine="0"/>
              <w:jc w:val="right"/>
              <w:rPr>
                <w:rFonts w:eastAsia="Times New Roman"/>
                <w:color w:val="000000"/>
                <w:sz w:val="20"/>
                <w:szCs w:val="20"/>
                <w:lang w:eastAsia="ru-RU"/>
              </w:rPr>
            </w:pPr>
            <w:r w:rsidRPr="004761E0">
              <w:rPr>
                <w:color w:val="000000"/>
                <w:sz w:val="20"/>
                <w:szCs w:val="20"/>
              </w:rPr>
              <w:t>442,3</w:t>
            </w:r>
          </w:p>
        </w:tc>
        <w:tc>
          <w:tcPr>
            <w:tcW w:w="555" w:type="pct"/>
            <w:tcBorders>
              <w:top w:val="nil"/>
              <w:left w:val="nil"/>
              <w:bottom w:val="single" w:sz="4" w:space="0" w:color="auto"/>
              <w:right w:val="single" w:sz="4" w:space="0" w:color="auto"/>
            </w:tcBorders>
            <w:shd w:val="clear" w:color="auto" w:fill="auto"/>
            <w:vAlign w:val="center"/>
          </w:tcPr>
          <w:p w:rsidR="00DA4470" w:rsidRPr="004761E0" w:rsidRDefault="00DA4470" w:rsidP="00DA4470">
            <w:pPr>
              <w:ind w:firstLine="0"/>
              <w:jc w:val="right"/>
              <w:rPr>
                <w:rFonts w:eastAsia="Times New Roman"/>
                <w:color w:val="000000"/>
                <w:sz w:val="20"/>
                <w:szCs w:val="20"/>
                <w:lang w:eastAsia="ru-RU"/>
              </w:rPr>
            </w:pPr>
            <w:r w:rsidRPr="004761E0">
              <w:rPr>
                <w:color w:val="000000"/>
                <w:sz w:val="20"/>
                <w:szCs w:val="20"/>
              </w:rPr>
              <w:t>409,5</w:t>
            </w:r>
          </w:p>
        </w:tc>
        <w:tc>
          <w:tcPr>
            <w:tcW w:w="555" w:type="pct"/>
            <w:tcBorders>
              <w:top w:val="nil"/>
              <w:left w:val="nil"/>
              <w:bottom w:val="single" w:sz="4" w:space="0" w:color="auto"/>
              <w:right w:val="single" w:sz="4" w:space="0" w:color="auto"/>
            </w:tcBorders>
            <w:shd w:val="clear" w:color="auto" w:fill="auto"/>
            <w:vAlign w:val="center"/>
          </w:tcPr>
          <w:p w:rsidR="00DA4470" w:rsidRPr="004761E0" w:rsidRDefault="00DA4470" w:rsidP="00DA4470">
            <w:pPr>
              <w:ind w:firstLine="0"/>
              <w:jc w:val="right"/>
              <w:rPr>
                <w:rFonts w:eastAsia="Times New Roman"/>
                <w:color w:val="000000"/>
                <w:sz w:val="20"/>
                <w:szCs w:val="20"/>
                <w:lang w:eastAsia="ru-RU"/>
              </w:rPr>
            </w:pPr>
            <w:r w:rsidRPr="004761E0">
              <w:rPr>
                <w:color w:val="000000"/>
                <w:sz w:val="20"/>
                <w:szCs w:val="22"/>
              </w:rPr>
              <w:t>-7,42 %</w:t>
            </w:r>
          </w:p>
        </w:tc>
      </w:tr>
    </w:tbl>
    <w:p w:rsidR="00DA4470" w:rsidRPr="004761E0" w:rsidRDefault="00DA4470" w:rsidP="00DA4470">
      <w:pPr>
        <w:spacing w:before="120"/>
        <w:ind w:firstLine="567"/>
        <w:rPr>
          <w:color w:val="000000"/>
          <w:sz w:val="26"/>
          <w:szCs w:val="26"/>
          <w:lang w:eastAsia="ru-RU"/>
        </w:rPr>
      </w:pPr>
      <w:r w:rsidRPr="004761E0">
        <w:rPr>
          <w:color w:val="000000"/>
          <w:sz w:val="26"/>
          <w:szCs w:val="26"/>
          <w:lang w:eastAsia="ru-RU"/>
        </w:rPr>
        <w:t>Реализация мероприятий Программы позволила получить эффект за 2013 год в размере 409,5 млн кВтч или 1 230,8 млн руб. в денежном выражении при плановом значении 379,4 млн кВтч и 1 147,5 млн руб. соответственно. Перевыполнение плана составило 108 % в натуральном выражении и 107 % в денежном выражении.</w:t>
      </w:r>
    </w:p>
    <w:tbl>
      <w:tblPr>
        <w:tblW w:w="0" w:type="auto"/>
        <w:tblInd w:w="93" w:type="dxa"/>
        <w:tblLook w:val="04A0"/>
      </w:tblPr>
      <w:tblGrid>
        <w:gridCol w:w="582"/>
        <w:gridCol w:w="6379"/>
        <w:gridCol w:w="709"/>
        <w:gridCol w:w="850"/>
        <w:gridCol w:w="851"/>
        <w:gridCol w:w="838"/>
      </w:tblGrid>
      <w:tr w:rsidR="00DA4470" w:rsidRPr="004761E0" w:rsidTr="00DA4470">
        <w:trPr>
          <w:trHeight w:val="235"/>
        </w:trPr>
        <w:tc>
          <w:tcPr>
            <w:tcW w:w="582" w:type="dxa"/>
            <w:vMerge w:val="restart"/>
            <w:tcBorders>
              <w:top w:val="single" w:sz="4" w:space="0" w:color="000000"/>
              <w:left w:val="single" w:sz="4" w:space="0" w:color="000000"/>
              <w:bottom w:val="single" w:sz="4" w:space="0" w:color="FFFFFF" w:themeColor="background1"/>
              <w:right w:val="single" w:sz="4" w:space="0" w:color="FFFFFF" w:themeColor="background1"/>
            </w:tcBorders>
            <w:shd w:val="clear" w:color="000000" w:fill="0F243E"/>
            <w:vAlign w:val="center"/>
            <w:hideMark/>
          </w:tcPr>
          <w:p w:rsidR="00DA4470" w:rsidRPr="004761E0" w:rsidRDefault="00DA4470" w:rsidP="00DA4470">
            <w:pPr>
              <w:ind w:firstLine="0"/>
              <w:jc w:val="left"/>
              <w:rPr>
                <w:rFonts w:eastAsia="Times New Roman"/>
                <w:b/>
                <w:bCs/>
                <w:color w:val="FFFFFF"/>
                <w:sz w:val="20"/>
                <w:szCs w:val="20"/>
                <w:lang w:eastAsia="ru-RU"/>
              </w:rPr>
            </w:pPr>
            <w:r w:rsidRPr="004761E0">
              <w:rPr>
                <w:rFonts w:eastAsia="Times New Roman"/>
                <w:b/>
                <w:bCs/>
                <w:color w:val="FFFFFF"/>
                <w:sz w:val="20"/>
                <w:szCs w:val="20"/>
                <w:lang w:eastAsia="ru-RU"/>
              </w:rPr>
              <w:t>№ п/п</w:t>
            </w:r>
          </w:p>
        </w:tc>
        <w:tc>
          <w:tcPr>
            <w:tcW w:w="6379" w:type="dxa"/>
            <w:vMerge w:val="restart"/>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000000" w:fill="0F243E"/>
            <w:vAlign w:val="center"/>
            <w:hideMark/>
          </w:tcPr>
          <w:p w:rsidR="00DA4470" w:rsidRPr="004761E0" w:rsidRDefault="00DA4470" w:rsidP="00DA4470">
            <w:pPr>
              <w:ind w:firstLine="0"/>
              <w:jc w:val="left"/>
              <w:rPr>
                <w:rFonts w:eastAsia="Times New Roman"/>
                <w:b/>
                <w:bCs/>
                <w:color w:val="FFFFFF"/>
                <w:sz w:val="20"/>
                <w:szCs w:val="20"/>
                <w:lang w:eastAsia="ru-RU"/>
              </w:rPr>
            </w:pPr>
            <w:r w:rsidRPr="004761E0">
              <w:rPr>
                <w:rFonts w:eastAsia="Times New Roman"/>
                <w:b/>
                <w:bCs/>
                <w:color w:val="FFFFFF"/>
                <w:sz w:val="20"/>
                <w:szCs w:val="20"/>
                <w:lang w:eastAsia="ru-RU"/>
              </w:rPr>
              <w:t>Наименование категории</w:t>
            </w:r>
          </w:p>
        </w:tc>
        <w:tc>
          <w:tcPr>
            <w:tcW w:w="1559" w:type="dxa"/>
            <w:gridSpan w:val="2"/>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000000" w:fill="0F243E"/>
            <w:hideMark/>
          </w:tcPr>
          <w:p w:rsidR="00DA4470" w:rsidRPr="004761E0" w:rsidRDefault="00DA4470" w:rsidP="00DA4470">
            <w:pPr>
              <w:ind w:firstLine="0"/>
              <w:jc w:val="right"/>
              <w:rPr>
                <w:rFonts w:eastAsia="Times New Roman"/>
                <w:b/>
                <w:bCs/>
                <w:color w:val="FFFFFF"/>
                <w:sz w:val="20"/>
                <w:szCs w:val="20"/>
                <w:lang w:eastAsia="ru-RU"/>
              </w:rPr>
            </w:pPr>
            <w:r w:rsidRPr="004761E0">
              <w:rPr>
                <w:rFonts w:eastAsia="Times New Roman"/>
                <w:b/>
                <w:bCs/>
                <w:color w:val="FFFFFF"/>
                <w:sz w:val="20"/>
                <w:szCs w:val="24"/>
                <w:lang w:eastAsia="ru-RU"/>
              </w:rPr>
              <w:t>млн кВтч</w:t>
            </w:r>
          </w:p>
        </w:tc>
        <w:tc>
          <w:tcPr>
            <w:tcW w:w="1689" w:type="dxa"/>
            <w:gridSpan w:val="2"/>
            <w:tcBorders>
              <w:top w:val="single" w:sz="4" w:space="0" w:color="000000"/>
              <w:left w:val="single" w:sz="4" w:space="0" w:color="FFFFFF" w:themeColor="background1"/>
              <w:bottom w:val="single" w:sz="4" w:space="0" w:color="FFFFFF" w:themeColor="background1"/>
              <w:right w:val="single" w:sz="4" w:space="0" w:color="000000"/>
            </w:tcBorders>
            <w:shd w:val="clear" w:color="000000" w:fill="0F243E"/>
            <w:hideMark/>
          </w:tcPr>
          <w:p w:rsidR="00DA4470" w:rsidRPr="004761E0" w:rsidRDefault="00DA4470" w:rsidP="00DA4470">
            <w:pPr>
              <w:ind w:firstLine="0"/>
              <w:jc w:val="right"/>
              <w:rPr>
                <w:rFonts w:eastAsia="Times New Roman"/>
                <w:b/>
                <w:bCs/>
                <w:color w:val="FFFFFF"/>
                <w:sz w:val="20"/>
                <w:szCs w:val="20"/>
                <w:lang w:eastAsia="ru-RU"/>
              </w:rPr>
            </w:pPr>
            <w:r w:rsidRPr="004761E0">
              <w:rPr>
                <w:rFonts w:eastAsia="Times New Roman"/>
                <w:b/>
                <w:bCs/>
                <w:color w:val="FFFFFF"/>
                <w:sz w:val="20"/>
                <w:szCs w:val="24"/>
                <w:lang w:eastAsia="ru-RU"/>
              </w:rPr>
              <w:t>млн руб.</w:t>
            </w:r>
          </w:p>
        </w:tc>
      </w:tr>
      <w:tr w:rsidR="00DA4470" w:rsidRPr="004761E0" w:rsidTr="00DA4470">
        <w:trPr>
          <w:trHeight w:val="235"/>
        </w:trPr>
        <w:tc>
          <w:tcPr>
            <w:tcW w:w="582" w:type="dxa"/>
            <w:vMerge/>
            <w:tcBorders>
              <w:top w:val="single" w:sz="4" w:space="0" w:color="FFFFFF" w:themeColor="background1"/>
              <w:left w:val="single" w:sz="4" w:space="0" w:color="000000"/>
              <w:bottom w:val="single" w:sz="4" w:space="0" w:color="000000"/>
              <w:right w:val="single" w:sz="4" w:space="0" w:color="FFFFFF" w:themeColor="background1"/>
            </w:tcBorders>
            <w:vAlign w:val="center"/>
            <w:hideMark/>
          </w:tcPr>
          <w:p w:rsidR="00DA4470" w:rsidRPr="004761E0" w:rsidRDefault="00DA4470" w:rsidP="00DA4470">
            <w:pPr>
              <w:ind w:firstLine="0"/>
              <w:jc w:val="left"/>
              <w:rPr>
                <w:rFonts w:eastAsia="Times New Roman"/>
                <w:b/>
                <w:bCs/>
                <w:color w:val="FFFFFF"/>
                <w:sz w:val="20"/>
                <w:szCs w:val="20"/>
                <w:lang w:eastAsia="ru-RU"/>
              </w:rPr>
            </w:pPr>
          </w:p>
        </w:tc>
        <w:tc>
          <w:tcPr>
            <w:tcW w:w="6379" w:type="dxa"/>
            <w:vMerge/>
            <w:tcBorders>
              <w:top w:val="single" w:sz="4" w:space="0" w:color="FFFFFF" w:themeColor="background1"/>
              <w:left w:val="single" w:sz="4" w:space="0" w:color="FFFFFF" w:themeColor="background1"/>
              <w:bottom w:val="single" w:sz="4" w:space="0" w:color="000000"/>
              <w:right w:val="single" w:sz="4" w:space="0" w:color="FFFFFF" w:themeColor="background1"/>
            </w:tcBorders>
            <w:vAlign w:val="center"/>
            <w:hideMark/>
          </w:tcPr>
          <w:p w:rsidR="00DA4470" w:rsidRPr="004761E0" w:rsidRDefault="00DA4470" w:rsidP="00DA4470">
            <w:pPr>
              <w:ind w:firstLine="0"/>
              <w:jc w:val="left"/>
              <w:rPr>
                <w:rFonts w:eastAsia="Times New Roman"/>
                <w:b/>
                <w:bCs/>
                <w:color w:val="FFFFFF"/>
                <w:sz w:val="20"/>
                <w:szCs w:val="20"/>
                <w:lang w:eastAsia="ru-RU"/>
              </w:rPr>
            </w:pPr>
          </w:p>
        </w:tc>
        <w:tc>
          <w:tcPr>
            <w:tcW w:w="709" w:type="dxa"/>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000000" w:fill="0F243E"/>
            <w:hideMark/>
          </w:tcPr>
          <w:p w:rsidR="00DA4470" w:rsidRPr="004761E0" w:rsidRDefault="00DA4470" w:rsidP="00DA4470">
            <w:pPr>
              <w:ind w:firstLine="0"/>
              <w:jc w:val="right"/>
              <w:rPr>
                <w:rFonts w:eastAsia="Times New Roman"/>
                <w:b/>
                <w:bCs/>
                <w:color w:val="FFFFFF"/>
                <w:sz w:val="20"/>
                <w:szCs w:val="20"/>
                <w:lang w:eastAsia="ru-RU"/>
              </w:rPr>
            </w:pPr>
            <w:r w:rsidRPr="004761E0">
              <w:rPr>
                <w:rFonts w:eastAsia="Times New Roman"/>
                <w:b/>
                <w:bCs/>
                <w:color w:val="FFFFFF"/>
                <w:sz w:val="20"/>
                <w:szCs w:val="24"/>
                <w:lang w:eastAsia="ru-RU"/>
              </w:rPr>
              <w:t>план</w:t>
            </w:r>
          </w:p>
        </w:tc>
        <w:tc>
          <w:tcPr>
            <w:tcW w:w="850" w:type="dxa"/>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000000" w:fill="0F243E"/>
            <w:hideMark/>
          </w:tcPr>
          <w:p w:rsidR="00DA4470" w:rsidRPr="004761E0" w:rsidRDefault="00DA4470" w:rsidP="00DA4470">
            <w:pPr>
              <w:ind w:firstLine="0"/>
              <w:jc w:val="right"/>
              <w:rPr>
                <w:rFonts w:eastAsia="Times New Roman"/>
                <w:b/>
                <w:bCs/>
                <w:color w:val="FFFFFF"/>
                <w:sz w:val="20"/>
                <w:szCs w:val="20"/>
                <w:lang w:eastAsia="ru-RU"/>
              </w:rPr>
            </w:pPr>
            <w:r w:rsidRPr="004761E0">
              <w:rPr>
                <w:rFonts w:eastAsia="Times New Roman"/>
                <w:b/>
                <w:bCs/>
                <w:color w:val="FFFFFF"/>
                <w:sz w:val="20"/>
                <w:szCs w:val="24"/>
                <w:lang w:eastAsia="ru-RU"/>
              </w:rPr>
              <w:t>факт</w:t>
            </w:r>
          </w:p>
        </w:tc>
        <w:tc>
          <w:tcPr>
            <w:tcW w:w="851" w:type="dxa"/>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000000" w:fill="0F243E"/>
            <w:hideMark/>
          </w:tcPr>
          <w:p w:rsidR="00DA4470" w:rsidRPr="004761E0" w:rsidRDefault="00DA4470" w:rsidP="00DA4470">
            <w:pPr>
              <w:ind w:firstLine="0"/>
              <w:jc w:val="right"/>
              <w:rPr>
                <w:rFonts w:eastAsia="Times New Roman"/>
                <w:b/>
                <w:bCs/>
                <w:color w:val="FFFFFF"/>
                <w:sz w:val="20"/>
                <w:szCs w:val="20"/>
                <w:lang w:eastAsia="ru-RU"/>
              </w:rPr>
            </w:pPr>
            <w:r w:rsidRPr="004761E0">
              <w:rPr>
                <w:rFonts w:eastAsia="Times New Roman"/>
                <w:b/>
                <w:bCs/>
                <w:color w:val="FFFFFF"/>
                <w:sz w:val="20"/>
                <w:szCs w:val="24"/>
                <w:lang w:eastAsia="ru-RU"/>
              </w:rPr>
              <w:t>план</w:t>
            </w:r>
          </w:p>
        </w:tc>
        <w:tc>
          <w:tcPr>
            <w:tcW w:w="838" w:type="dxa"/>
            <w:tcBorders>
              <w:top w:val="single" w:sz="4" w:space="0" w:color="FFFFFF" w:themeColor="background1"/>
              <w:left w:val="single" w:sz="4" w:space="0" w:color="FFFFFF" w:themeColor="background1"/>
              <w:bottom w:val="single" w:sz="4" w:space="0" w:color="000000"/>
              <w:right w:val="single" w:sz="4" w:space="0" w:color="000000"/>
            </w:tcBorders>
            <w:shd w:val="clear" w:color="000000" w:fill="0F243E"/>
            <w:hideMark/>
          </w:tcPr>
          <w:p w:rsidR="00DA4470" w:rsidRPr="004761E0" w:rsidRDefault="00DA4470" w:rsidP="00DA4470">
            <w:pPr>
              <w:ind w:firstLine="0"/>
              <w:jc w:val="right"/>
              <w:rPr>
                <w:rFonts w:eastAsia="Times New Roman"/>
                <w:b/>
                <w:bCs/>
                <w:color w:val="FFFFFF"/>
                <w:sz w:val="20"/>
                <w:szCs w:val="20"/>
                <w:lang w:eastAsia="ru-RU"/>
              </w:rPr>
            </w:pPr>
            <w:r w:rsidRPr="004761E0">
              <w:rPr>
                <w:rFonts w:eastAsia="Times New Roman"/>
                <w:b/>
                <w:bCs/>
                <w:color w:val="FFFFFF"/>
                <w:sz w:val="20"/>
                <w:szCs w:val="24"/>
                <w:lang w:eastAsia="ru-RU"/>
              </w:rPr>
              <w:t>факт</w:t>
            </w:r>
          </w:p>
        </w:tc>
      </w:tr>
      <w:tr w:rsidR="00DA4470" w:rsidRPr="004761E0" w:rsidTr="00DA4470">
        <w:trPr>
          <w:trHeight w:val="235"/>
        </w:trPr>
        <w:tc>
          <w:tcPr>
            <w:tcW w:w="582" w:type="dxa"/>
            <w:tcBorders>
              <w:top w:val="nil"/>
              <w:left w:val="single" w:sz="4" w:space="0" w:color="000000"/>
              <w:bottom w:val="single" w:sz="4" w:space="0" w:color="000000"/>
              <w:right w:val="single" w:sz="4" w:space="0" w:color="000000"/>
            </w:tcBorders>
            <w:shd w:val="clear" w:color="auto" w:fill="auto"/>
            <w:hideMark/>
          </w:tcPr>
          <w:p w:rsidR="00DA4470" w:rsidRPr="004761E0" w:rsidRDefault="00DA4470" w:rsidP="007076A7">
            <w:pPr>
              <w:pStyle w:val="a5"/>
              <w:numPr>
                <w:ilvl w:val="0"/>
                <w:numId w:val="269"/>
              </w:numPr>
              <w:ind w:left="0" w:firstLine="0"/>
              <w:jc w:val="left"/>
              <w:rPr>
                <w:rFonts w:eastAsia="Times New Roman"/>
                <w:color w:val="000000"/>
                <w:sz w:val="20"/>
                <w:szCs w:val="20"/>
                <w:lang w:eastAsia="ru-RU"/>
              </w:rPr>
            </w:pPr>
          </w:p>
        </w:tc>
        <w:tc>
          <w:tcPr>
            <w:tcW w:w="6379"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firstLine="0"/>
              <w:rPr>
                <w:rFonts w:eastAsia="Times New Roman"/>
                <w:color w:val="000000"/>
                <w:sz w:val="20"/>
                <w:szCs w:val="20"/>
                <w:lang w:eastAsia="ru-RU"/>
              </w:rPr>
            </w:pPr>
            <w:r w:rsidRPr="004761E0">
              <w:rPr>
                <w:rFonts w:eastAsia="Times New Roman"/>
                <w:color w:val="000000"/>
                <w:sz w:val="20"/>
                <w:szCs w:val="24"/>
                <w:lang w:eastAsia="ru-RU"/>
              </w:rPr>
              <w:t>Общий эффект, в т.ч.</w:t>
            </w:r>
          </w:p>
        </w:tc>
        <w:tc>
          <w:tcPr>
            <w:tcW w:w="709"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firstLine="0"/>
              <w:jc w:val="right"/>
              <w:rPr>
                <w:rFonts w:eastAsia="Times New Roman"/>
                <w:color w:val="000000"/>
                <w:sz w:val="20"/>
                <w:szCs w:val="20"/>
                <w:lang w:eastAsia="ru-RU"/>
              </w:rPr>
            </w:pPr>
            <w:r w:rsidRPr="004761E0">
              <w:rPr>
                <w:rFonts w:eastAsia="Times New Roman"/>
                <w:color w:val="000000"/>
                <w:sz w:val="20"/>
                <w:szCs w:val="24"/>
                <w:lang w:eastAsia="ru-RU"/>
              </w:rPr>
              <w:t>379,4</w:t>
            </w:r>
          </w:p>
        </w:tc>
        <w:tc>
          <w:tcPr>
            <w:tcW w:w="850"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firstLine="0"/>
              <w:jc w:val="right"/>
              <w:rPr>
                <w:rFonts w:eastAsia="Times New Roman"/>
                <w:color w:val="000000"/>
                <w:sz w:val="20"/>
                <w:szCs w:val="20"/>
                <w:lang w:eastAsia="ru-RU"/>
              </w:rPr>
            </w:pPr>
            <w:r w:rsidRPr="004761E0">
              <w:rPr>
                <w:rFonts w:eastAsia="Times New Roman"/>
                <w:color w:val="000000"/>
                <w:sz w:val="20"/>
                <w:szCs w:val="24"/>
                <w:lang w:eastAsia="ru-RU"/>
              </w:rPr>
              <w:t>409,5</w:t>
            </w:r>
          </w:p>
        </w:tc>
        <w:tc>
          <w:tcPr>
            <w:tcW w:w="851"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firstLine="0"/>
              <w:jc w:val="right"/>
              <w:rPr>
                <w:rFonts w:eastAsia="Times New Roman"/>
                <w:color w:val="000000"/>
                <w:sz w:val="20"/>
                <w:szCs w:val="20"/>
                <w:lang w:eastAsia="ru-RU"/>
              </w:rPr>
            </w:pPr>
            <w:r w:rsidRPr="004761E0">
              <w:rPr>
                <w:rFonts w:eastAsia="Times New Roman"/>
                <w:color w:val="000000"/>
                <w:sz w:val="20"/>
                <w:szCs w:val="24"/>
                <w:lang w:eastAsia="ru-RU"/>
              </w:rPr>
              <w:t>1147,5</w:t>
            </w:r>
          </w:p>
        </w:tc>
        <w:tc>
          <w:tcPr>
            <w:tcW w:w="838"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firstLine="0"/>
              <w:jc w:val="right"/>
              <w:rPr>
                <w:rFonts w:eastAsia="Times New Roman"/>
                <w:color w:val="000000"/>
                <w:sz w:val="20"/>
                <w:szCs w:val="20"/>
                <w:lang w:eastAsia="ru-RU"/>
              </w:rPr>
            </w:pPr>
            <w:r w:rsidRPr="004761E0">
              <w:rPr>
                <w:rFonts w:eastAsia="Times New Roman"/>
                <w:color w:val="000000"/>
                <w:sz w:val="20"/>
                <w:szCs w:val="20"/>
                <w:lang w:eastAsia="ru-RU"/>
              </w:rPr>
              <w:t>1230,8</w:t>
            </w:r>
          </w:p>
        </w:tc>
      </w:tr>
      <w:tr w:rsidR="00DA4470" w:rsidRPr="004761E0" w:rsidTr="00DA4470">
        <w:trPr>
          <w:trHeight w:val="235"/>
        </w:trPr>
        <w:tc>
          <w:tcPr>
            <w:tcW w:w="582" w:type="dxa"/>
            <w:tcBorders>
              <w:top w:val="nil"/>
              <w:left w:val="single" w:sz="4" w:space="0" w:color="000000"/>
              <w:bottom w:val="single" w:sz="4" w:space="0" w:color="000000"/>
              <w:right w:val="single" w:sz="4" w:space="0" w:color="000000"/>
            </w:tcBorders>
            <w:shd w:val="clear" w:color="auto" w:fill="auto"/>
            <w:hideMark/>
          </w:tcPr>
          <w:p w:rsidR="00DA4470" w:rsidRPr="004761E0" w:rsidRDefault="00DA4470" w:rsidP="007076A7">
            <w:pPr>
              <w:pStyle w:val="a5"/>
              <w:numPr>
                <w:ilvl w:val="1"/>
                <w:numId w:val="269"/>
              </w:numPr>
              <w:rPr>
                <w:rFonts w:eastAsia="Times New Roman"/>
                <w:color w:val="000000"/>
                <w:sz w:val="20"/>
                <w:szCs w:val="20"/>
                <w:lang w:eastAsia="ru-RU"/>
              </w:rPr>
            </w:pPr>
          </w:p>
        </w:tc>
        <w:tc>
          <w:tcPr>
            <w:tcW w:w="6379"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firstLine="0"/>
              <w:rPr>
                <w:rFonts w:eastAsia="Times New Roman"/>
                <w:color w:val="000000"/>
                <w:sz w:val="20"/>
                <w:szCs w:val="20"/>
                <w:lang w:eastAsia="ru-RU"/>
              </w:rPr>
            </w:pPr>
            <w:r w:rsidRPr="004761E0">
              <w:rPr>
                <w:rFonts w:eastAsia="Times New Roman"/>
                <w:color w:val="000000"/>
                <w:sz w:val="20"/>
                <w:szCs w:val="24"/>
                <w:lang w:eastAsia="ru-RU"/>
              </w:rPr>
              <w:t>Целевые мероприятия</w:t>
            </w:r>
          </w:p>
        </w:tc>
        <w:tc>
          <w:tcPr>
            <w:tcW w:w="709"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firstLine="0"/>
              <w:jc w:val="right"/>
              <w:rPr>
                <w:rFonts w:eastAsia="Times New Roman"/>
                <w:color w:val="000000"/>
                <w:sz w:val="20"/>
                <w:szCs w:val="20"/>
                <w:lang w:eastAsia="ru-RU"/>
              </w:rPr>
            </w:pPr>
            <w:r w:rsidRPr="004761E0">
              <w:rPr>
                <w:rFonts w:eastAsia="Times New Roman"/>
                <w:color w:val="000000"/>
                <w:sz w:val="20"/>
                <w:szCs w:val="24"/>
                <w:lang w:eastAsia="ru-RU"/>
              </w:rPr>
              <w:t>193,0</w:t>
            </w:r>
          </w:p>
        </w:tc>
        <w:tc>
          <w:tcPr>
            <w:tcW w:w="850"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firstLine="0"/>
              <w:jc w:val="right"/>
              <w:rPr>
                <w:rFonts w:eastAsia="Times New Roman"/>
                <w:color w:val="000000"/>
                <w:sz w:val="20"/>
                <w:szCs w:val="20"/>
                <w:lang w:eastAsia="ru-RU"/>
              </w:rPr>
            </w:pPr>
            <w:r w:rsidRPr="004761E0">
              <w:rPr>
                <w:rFonts w:eastAsia="Times New Roman"/>
                <w:color w:val="000000"/>
                <w:sz w:val="20"/>
                <w:szCs w:val="24"/>
                <w:lang w:eastAsia="ru-RU"/>
              </w:rPr>
              <w:t>365,6</w:t>
            </w:r>
          </w:p>
        </w:tc>
        <w:tc>
          <w:tcPr>
            <w:tcW w:w="851"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firstLine="0"/>
              <w:jc w:val="right"/>
              <w:rPr>
                <w:rFonts w:eastAsia="Times New Roman"/>
                <w:color w:val="000000"/>
                <w:sz w:val="20"/>
                <w:szCs w:val="20"/>
                <w:lang w:eastAsia="ru-RU"/>
              </w:rPr>
            </w:pPr>
            <w:r w:rsidRPr="004761E0">
              <w:rPr>
                <w:rFonts w:eastAsia="Times New Roman"/>
                <w:color w:val="000000"/>
                <w:sz w:val="20"/>
                <w:szCs w:val="24"/>
                <w:lang w:eastAsia="ru-RU"/>
              </w:rPr>
              <w:t>553,9</w:t>
            </w:r>
          </w:p>
        </w:tc>
        <w:tc>
          <w:tcPr>
            <w:tcW w:w="838"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firstLine="0"/>
              <w:jc w:val="right"/>
              <w:rPr>
                <w:rFonts w:eastAsia="Times New Roman"/>
                <w:color w:val="000000"/>
                <w:sz w:val="20"/>
                <w:szCs w:val="20"/>
                <w:lang w:eastAsia="ru-RU"/>
              </w:rPr>
            </w:pPr>
            <w:r w:rsidRPr="004761E0">
              <w:rPr>
                <w:rFonts w:eastAsia="Times New Roman"/>
                <w:color w:val="000000"/>
                <w:sz w:val="20"/>
                <w:szCs w:val="24"/>
                <w:lang w:eastAsia="ru-RU"/>
              </w:rPr>
              <w:t>1118,3</w:t>
            </w:r>
          </w:p>
        </w:tc>
      </w:tr>
      <w:tr w:rsidR="00DA4470" w:rsidRPr="004761E0" w:rsidTr="00DA4470">
        <w:trPr>
          <w:trHeight w:val="53"/>
        </w:trPr>
        <w:tc>
          <w:tcPr>
            <w:tcW w:w="582" w:type="dxa"/>
            <w:tcBorders>
              <w:top w:val="nil"/>
              <w:left w:val="single" w:sz="4" w:space="0" w:color="000000"/>
              <w:bottom w:val="single" w:sz="4" w:space="0" w:color="000000"/>
              <w:right w:val="single" w:sz="4" w:space="0" w:color="000000"/>
            </w:tcBorders>
            <w:shd w:val="clear" w:color="auto" w:fill="auto"/>
            <w:hideMark/>
          </w:tcPr>
          <w:p w:rsidR="00DA4470" w:rsidRPr="004761E0" w:rsidRDefault="00DA4470" w:rsidP="007076A7">
            <w:pPr>
              <w:pStyle w:val="a5"/>
              <w:numPr>
                <w:ilvl w:val="1"/>
                <w:numId w:val="269"/>
              </w:numPr>
              <w:rPr>
                <w:rFonts w:eastAsia="Times New Roman"/>
                <w:color w:val="000000"/>
                <w:sz w:val="20"/>
                <w:szCs w:val="20"/>
                <w:lang w:eastAsia="ru-RU"/>
              </w:rPr>
            </w:pPr>
          </w:p>
        </w:tc>
        <w:tc>
          <w:tcPr>
            <w:tcW w:w="6379"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firstLine="0"/>
              <w:rPr>
                <w:rFonts w:eastAsia="Times New Roman"/>
                <w:color w:val="000000"/>
                <w:sz w:val="20"/>
                <w:szCs w:val="20"/>
                <w:lang w:eastAsia="ru-RU"/>
              </w:rPr>
            </w:pPr>
            <w:r w:rsidRPr="004761E0">
              <w:rPr>
                <w:rFonts w:eastAsia="Times New Roman"/>
                <w:color w:val="000000"/>
                <w:sz w:val="20"/>
                <w:szCs w:val="24"/>
                <w:lang w:eastAsia="ru-RU"/>
              </w:rPr>
              <w:t>Нецелевые мероприятия, в т.ч. по подпрограммам:</w:t>
            </w:r>
          </w:p>
        </w:tc>
        <w:tc>
          <w:tcPr>
            <w:tcW w:w="709"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firstLine="0"/>
              <w:jc w:val="right"/>
              <w:rPr>
                <w:rFonts w:eastAsia="Times New Roman"/>
                <w:color w:val="000000"/>
                <w:sz w:val="20"/>
                <w:szCs w:val="20"/>
                <w:lang w:eastAsia="ru-RU"/>
              </w:rPr>
            </w:pPr>
            <w:r w:rsidRPr="004761E0">
              <w:rPr>
                <w:rFonts w:eastAsia="Times New Roman"/>
                <w:color w:val="000000"/>
                <w:sz w:val="20"/>
                <w:szCs w:val="24"/>
                <w:lang w:eastAsia="ru-RU"/>
              </w:rPr>
              <w:t>186,4</w:t>
            </w:r>
          </w:p>
        </w:tc>
        <w:tc>
          <w:tcPr>
            <w:tcW w:w="850"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firstLine="0"/>
              <w:jc w:val="right"/>
              <w:rPr>
                <w:rFonts w:eastAsia="Times New Roman"/>
                <w:color w:val="000000"/>
                <w:sz w:val="20"/>
                <w:szCs w:val="20"/>
                <w:lang w:eastAsia="ru-RU"/>
              </w:rPr>
            </w:pPr>
            <w:r w:rsidRPr="004761E0">
              <w:rPr>
                <w:rFonts w:eastAsia="Times New Roman"/>
                <w:color w:val="000000"/>
                <w:sz w:val="20"/>
                <w:szCs w:val="24"/>
                <w:lang w:eastAsia="ru-RU"/>
              </w:rPr>
              <w:t>43,9</w:t>
            </w:r>
          </w:p>
        </w:tc>
        <w:tc>
          <w:tcPr>
            <w:tcW w:w="851"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firstLine="0"/>
              <w:jc w:val="right"/>
              <w:rPr>
                <w:rFonts w:eastAsia="Times New Roman"/>
                <w:color w:val="000000"/>
                <w:sz w:val="20"/>
                <w:szCs w:val="20"/>
                <w:lang w:eastAsia="ru-RU"/>
              </w:rPr>
            </w:pPr>
            <w:r w:rsidRPr="004761E0">
              <w:rPr>
                <w:rFonts w:eastAsia="Times New Roman"/>
                <w:color w:val="000000"/>
                <w:sz w:val="20"/>
                <w:szCs w:val="24"/>
                <w:lang w:eastAsia="ru-RU"/>
              </w:rPr>
              <w:t>593,6</w:t>
            </w:r>
          </w:p>
        </w:tc>
        <w:tc>
          <w:tcPr>
            <w:tcW w:w="838"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firstLine="0"/>
              <w:jc w:val="right"/>
              <w:rPr>
                <w:rFonts w:eastAsia="Times New Roman"/>
                <w:color w:val="000000"/>
                <w:sz w:val="20"/>
                <w:szCs w:val="20"/>
                <w:lang w:eastAsia="ru-RU"/>
              </w:rPr>
            </w:pPr>
            <w:r w:rsidRPr="004761E0">
              <w:rPr>
                <w:rFonts w:eastAsia="Times New Roman"/>
                <w:color w:val="000000"/>
                <w:sz w:val="20"/>
                <w:szCs w:val="24"/>
                <w:lang w:eastAsia="ru-RU"/>
              </w:rPr>
              <w:t>112,6</w:t>
            </w:r>
          </w:p>
        </w:tc>
      </w:tr>
      <w:tr w:rsidR="00DA4470" w:rsidRPr="004761E0" w:rsidTr="00DA4470">
        <w:trPr>
          <w:trHeight w:val="235"/>
        </w:trPr>
        <w:tc>
          <w:tcPr>
            <w:tcW w:w="582" w:type="dxa"/>
            <w:tcBorders>
              <w:top w:val="nil"/>
              <w:left w:val="single" w:sz="4" w:space="0" w:color="000000"/>
              <w:bottom w:val="single" w:sz="4" w:space="0" w:color="000000"/>
              <w:right w:val="single" w:sz="4" w:space="0" w:color="000000"/>
            </w:tcBorders>
            <w:shd w:val="clear" w:color="auto" w:fill="auto"/>
            <w:hideMark/>
          </w:tcPr>
          <w:p w:rsidR="00DA4470" w:rsidRPr="004761E0" w:rsidRDefault="00DA4470" w:rsidP="007076A7">
            <w:pPr>
              <w:pStyle w:val="a5"/>
              <w:numPr>
                <w:ilvl w:val="2"/>
                <w:numId w:val="269"/>
              </w:numPr>
              <w:rPr>
                <w:rFonts w:eastAsia="Times New Roman"/>
                <w:color w:val="000000"/>
                <w:sz w:val="20"/>
                <w:szCs w:val="20"/>
                <w:lang w:eastAsia="ru-RU"/>
              </w:rPr>
            </w:pPr>
          </w:p>
        </w:tc>
        <w:tc>
          <w:tcPr>
            <w:tcW w:w="6379"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left="318" w:firstLine="0"/>
              <w:rPr>
                <w:rFonts w:eastAsia="Times New Roman"/>
                <w:color w:val="000000"/>
                <w:sz w:val="20"/>
                <w:szCs w:val="20"/>
                <w:lang w:eastAsia="ru-RU"/>
              </w:rPr>
            </w:pPr>
            <w:r w:rsidRPr="004761E0">
              <w:rPr>
                <w:rFonts w:eastAsia="Times New Roman"/>
                <w:color w:val="000000"/>
                <w:sz w:val="20"/>
                <w:szCs w:val="24"/>
                <w:lang w:eastAsia="ru-RU"/>
              </w:rPr>
              <w:t>Программа развития системы учета</w:t>
            </w:r>
          </w:p>
        </w:tc>
        <w:tc>
          <w:tcPr>
            <w:tcW w:w="709"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firstLine="0"/>
              <w:jc w:val="right"/>
              <w:rPr>
                <w:rFonts w:eastAsia="Times New Roman"/>
                <w:color w:val="000000"/>
                <w:sz w:val="20"/>
                <w:szCs w:val="20"/>
                <w:lang w:eastAsia="ru-RU"/>
              </w:rPr>
            </w:pPr>
            <w:r w:rsidRPr="004761E0">
              <w:rPr>
                <w:rFonts w:eastAsia="Times New Roman"/>
                <w:color w:val="000000"/>
                <w:sz w:val="20"/>
                <w:szCs w:val="24"/>
                <w:lang w:eastAsia="ru-RU"/>
              </w:rPr>
              <w:t>175,3</w:t>
            </w:r>
          </w:p>
        </w:tc>
        <w:tc>
          <w:tcPr>
            <w:tcW w:w="850"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firstLine="0"/>
              <w:jc w:val="right"/>
              <w:rPr>
                <w:rFonts w:eastAsia="Times New Roman"/>
                <w:color w:val="000000"/>
                <w:sz w:val="20"/>
                <w:szCs w:val="20"/>
                <w:lang w:eastAsia="ru-RU"/>
              </w:rPr>
            </w:pPr>
            <w:r w:rsidRPr="004761E0">
              <w:rPr>
                <w:rFonts w:eastAsia="Times New Roman"/>
                <w:color w:val="000000"/>
                <w:sz w:val="20"/>
                <w:szCs w:val="24"/>
                <w:lang w:eastAsia="ru-RU"/>
              </w:rPr>
              <w:t>28,9</w:t>
            </w:r>
          </w:p>
        </w:tc>
        <w:tc>
          <w:tcPr>
            <w:tcW w:w="851"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firstLine="0"/>
              <w:jc w:val="right"/>
              <w:rPr>
                <w:rFonts w:eastAsia="Times New Roman"/>
                <w:color w:val="000000"/>
                <w:sz w:val="20"/>
                <w:szCs w:val="20"/>
                <w:lang w:eastAsia="ru-RU"/>
              </w:rPr>
            </w:pPr>
            <w:r w:rsidRPr="004761E0">
              <w:rPr>
                <w:rFonts w:eastAsia="Times New Roman"/>
                <w:color w:val="000000"/>
                <w:sz w:val="20"/>
                <w:szCs w:val="24"/>
                <w:lang w:eastAsia="ru-RU"/>
              </w:rPr>
              <w:t>575,5</w:t>
            </w:r>
          </w:p>
        </w:tc>
        <w:tc>
          <w:tcPr>
            <w:tcW w:w="838"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firstLine="0"/>
              <w:jc w:val="right"/>
              <w:rPr>
                <w:rFonts w:eastAsia="Times New Roman"/>
                <w:color w:val="000000"/>
                <w:sz w:val="20"/>
                <w:szCs w:val="20"/>
                <w:lang w:eastAsia="ru-RU"/>
              </w:rPr>
            </w:pPr>
            <w:r w:rsidRPr="004761E0">
              <w:rPr>
                <w:rFonts w:eastAsia="Times New Roman"/>
                <w:color w:val="000000"/>
                <w:sz w:val="20"/>
                <w:szCs w:val="24"/>
                <w:lang w:eastAsia="ru-RU"/>
              </w:rPr>
              <w:t>89,0</w:t>
            </w:r>
          </w:p>
        </w:tc>
      </w:tr>
      <w:tr w:rsidR="00DA4470" w:rsidRPr="004761E0" w:rsidTr="00DA4470">
        <w:trPr>
          <w:trHeight w:val="235"/>
        </w:trPr>
        <w:tc>
          <w:tcPr>
            <w:tcW w:w="582" w:type="dxa"/>
            <w:tcBorders>
              <w:top w:val="nil"/>
              <w:left w:val="single" w:sz="4" w:space="0" w:color="000000"/>
              <w:bottom w:val="single" w:sz="4" w:space="0" w:color="000000"/>
              <w:right w:val="single" w:sz="4" w:space="0" w:color="000000"/>
            </w:tcBorders>
            <w:shd w:val="clear" w:color="auto" w:fill="auto"/>
            <w:hideMark/>
          </w:tcPr>
          <w:p w:rsidR="00DA4470" w:rsidRPr="004761E0" w:rsidRDefault="00DA4470" w:rsidP="007076A7">
            <w:pPr>
              <w:pStyle w:val="a5"/>
              <w:numPr>
                <w:ilvl w:val="2"/>
                <w:numId w:val="269"/>
              </w:numPr>
              <w:rPr>
                <w:rFonts w:eastAsia="Times New Roman"/>
                <w:color w:val="000000"/>
                <w:sz w:val="20"/>
                <w:szCs w:val="20"/>
                <w:lang w:eastAsia="ru-RU"/>
              </w:rPr>
            </w:pPr>
          </w:p>
        </w:tc>
        <w:tc>
          <w:tcPr>
            <w:tcW w:w="6379"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left="318" w:firstLine="0"/>
              <w:rPr>
                <w:rFonts w:eastAsia="Times New Roman"/>
                <w:color w:val="000000"/>
                <w:sz w:val="20"/>
                <w:szCs w:val="20"/>
                <w:lang w:eastAsia="ru-RU"/>
              </w:rPr>
            </w:pPr>
            <w:r w:rsidRPr="004761E0">
              <w:rPr>
                <w:rFonts w:eastAsia="Times New Roman"/>
                <w:color w:val="000000"/>
                <w:sz w:val="20"/>
                <w:szCs w:val="24"/>
                <w:lang w:eastAsia="ru-RU"/>
              </w:rPr>
              <w:t>Программа реновации</w:t>
            </w:r>
          </w:p>
        </w:tc>
        <w:tc>
          <w:tcPr>
            <w:tcW w:w="709"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firstLine="0"/>
              <w:jc w:val="right"/>
              <w:rPr>
                <w:rFonts w:eastAsia="Times New Roman"/>
                <w:color w:val="000000"/>
                <w:sz w:val="20"/>
                <w:szCs w:val="20"/>
                <w:lang w:eastAsia="ru-RU"/>
              </w:rPr>
            </w:pPr>
            <w:r w:rsidRPr="004761E0">
              <w:rPr>
                <w:rFonts w:eastAsia="Times New Roman"/>
                <w:color w:val="000000"/>
                <w:sz w:val="20"/>
                <w:szCs w:val="24"/>
                <w:lang w:eastAsia="ru-RU"/>
              </w:rPr>
              <w:t>9,1</w:t>
            </w:r>
          </w:p>
        </w:tc>
        <w:tc>
          <w:tcPr>
            <w:tcW w:w="850"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firstLine="0"/>
              <w:jc w:val="right"/>
              <w:rPr>
                <w:rFonts w:eastAsia="Times New Roman"/>
                <w:color w:val="000000"/>
                <w:sz w:val="20"/>
                <w:szCs w:val="20"/>
                <w:lang w:eastAsia="ru-RU"/>
              </w:rPr>
            </w:pPr>
            <w:r w:rsidRPr="004761E0">
              <w:rPr>
                <w:rFonts w:eastAsia="Times New Roman"/>
                <w:color w:val="000000"/>
                <w:sz w:val="20"/>
                <w:szCs w:val="24"/>
                <w:lang w:eastAsia="ru-RU"/>
              </w:rPr>
              <w:t>13,7</w:t>
            </w:r>
          </w:p>
        </w:tc>
        <w:tc>
          <w:tcPr>
            <w:tcW w:w="851"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firstLine="0"/>
              <w:jc w:val="right"/>
              <w:rPr>
                <w:rFonts w:eastAsia="Times New Roman"/>
                <w:color w:val="000000"/>
                <w:sz w:val="20"/>
                <w:szCs w:val="20"/>
                <w:lang w:eastAsia="ru-RU"/>
              </w:rPr>
            </w:pPr>
            <w:r w:rsidRPr="004761E0">
              <w:rPr>
                <w:rFonts w:eastAsia="Times New Roman"/>
                <w:color w:val="000000"/>
                <w:sz w:val="20"/>
                <w:szCs w:val="24"/>
                <w:lang w:eastAsia="ru-RU"/>
              </w:rPr>
              <w:t>15,0</w:t>
            </w:r>
          </w:p>
        </w:tc>
        <w:tc>
          <w:tcPr>
            <w:tcW w:w="838"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firstLine="0"/>
              <w:jc w:val="right"/>
              <w:rPr>
                <w:rFonts w:eastAsia="Times New Roman"/>
                <w:color w:val="000000"/>
                <w:sz w:val="20"/>
                <w:szCs w:val="20"/>
                <w:lang w:eastAsia="ru-RU"/>
              </w:rPr>
            </w:pPr>
            <w:r w:rsidRPr="004761E0">
              <w:rPr>
                <w:rFonts w:eastAsia="Times New Roman"/>
                <w:color w:val="000000"/>
                <w:sz w:val="20"/>
                <w:szCs w:val="24"/>
                <w:lang w:eastAsia="ru-RU"/>
              </w:rPr>
              <w:t>21,6</w:t>
            </w:r>
          </w:p>
        </w:tc>
      </w:tr>
      <w:tr w:rsidR="00DA4470" w:rsidRPr="004761E0" w:rsidTr="00DA4470">
        <w:trPr>
          <w:trHeight w:val="235"/>
        </w:trPr>
        <w:tc>
          <w:tcPr>
            <w:tcW w:w="582" w:type="dxa"/>
            <w:tcBorders>
              <w:top w:val="nil"/>
              <w:left w:val="single" w:sz="4" w:space="0" w:color="000000"/>
              <w:bottom w:val="single" w:sz="4" w:space="0" w:color="000000"/>
              <w:right w:val="single" w:sz="4" w:space="0" w:color="000000"/>
            </w:tcBorders>
            <w:shd w:val="clear" w:color="auto" w:fill="auto"/>
            <w:hideMark/>
          </w:tcPr>
          <w:p w:rsidR="00DA4470" w:rsidRPr="004761E0" w:rsidRDefault="00DA4470" w:rsidP="007076A7">
            <w:pPr>
              <w:pStyle w:val="a5"/>
              <w:numPr>
                <w:ilvl w:val="2"/>
                <w:numId w:val="269"/>
              </w:numPr>
              <w:rPr>
                <w:rFonts w:eastAsia="Times New Roman"/>
                <w:color w:val="000000"/>
                <w:sz w:val="20"/>
                <w:szCs w:val="20"/>
                <w:lang w:eastAsia="ru-RU"/>
              </w:rPr>
            </w:pPr>
          </w:p>
        </w:tc>
        <w:tc>
          <w:tcPr>
            <w:tcW w:w="6379"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left="318" w:firstLine="0"/>
              <w:rPr>
                <w:rFonts w:eastAsia="Times New Roman"/>
                <w:color w:val="000000"/>
                <w:sz w:val="20"/>
                <w:szCs w:val="20"/>
                <w:lang w:eastAsia="ru-RU"/>
              </w:rPr>
            </w:pPr>
            <w:r w:rsidRPr="004761E0">
              <w:rPr>
                <w:rFonts w:eastAsia="Times New Roman"/>
                <w:color w:val="000000"/>
                <w:sz w:val="20"/>
                <w:szCs w:val="24"/>
                <w:lang w:eastAsia="ru-RU"/>
              </w:rPr>
              <w:t>Программа перспективного развития распределительной сети</w:t>
            </w:r>
          </w:p>
        </w:tc>
        <w:tc>
          <w:tcPr>
            <w:tcW w:w="709"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firstLine="0"/>
              <w:jc w:val="right"/>
              <w:rPr>
                <w:rFonts w:eastAsia="Times New Roman"/>
                <w:color w:val="000000"/>
                <w:sz w:val="20"/>
                <w:szCs w:val="20"/>
                <w:lang w:eastAsia="ru-RU"/>
              </w:rPr>
            </w:pPr>
            <w:r w:rsidRPr="004761E0">
              <w:rPr>
                <w:rFonts w:eastAsia="Times New Roman"/>
                <w:color w:val="000000"/>
                <w:sz w:val="20"/>
                <w:szCs w:val="24"/>
                <w:lang w:eastAsia="ru-RU"/>
              </w:rPr>
              <w:t>1,0</w:t>
            </w:r>
          </w:p>
        </w:tc>
        <w:tc>
          <w:tcPr>
            <w:tcW w:w="850"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firstLine="0"/>
              <w:jc w:val="right"/>
              <w:rPr>
                <w:rFonts w:eastAsia="Times New Roman"/>
                <w:color w:val="000000"/>
                <w:sz w:val="20"/>
                <w:szCs w:val="20"/>
                <w:lang w:eastAsia="ru-RU"/>
              </w:rPr>
            </w:pPr>
            <w:r w:rsidRPr="004761E0">
              <w:rPr>
                <w:rFonts w:eastAsia="Times New Roman"/>
                <w:color w:val="000000"/>
                <w:sz w:val="20"/>
                <w:szCs w:val="24"/>
                <w:lang w:eastAsia="ru-RU"/>
              </w:rPr>
              <w:t>0,4</w:t>
            </w:r>
          </w:p>
        </w:tc>
        <w:tc>
          <w:tcPr>
            <w:tcW w:w="851"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firstLine="0"/>
              <w:jc w:val="right"/>
              <w:rPr>
                <w:rFonts w:eastAsia="Times New Roman"/>
                <w:color w:val="000000"/>
                <w:sz w:val="20"/>
                <w:szCs w:val="20"/>
                <w:lang w:eastAsia="ru-RU"/>
              </w:rPr>
            </w:pPr>
            <w:r w:rsidRPr="004761E0">
              <w:rPr>
                <w:rFonts w:eastAsia="Times New Roman"/>
                <w:color w:val="000000"/>
                <w:sz w:val="20"/>
                <w:szCs w:val="24"/>
                <w:lang w:eastAsia="ru-RU"/>
              </w:rPr>
              <w:t>1,7</w:t>
            </w:r>
          </w:p>
        </w:tc>
        <w:tc>
          <w:tcPr>
            <w:tcW w:w="838"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firstLine="0"/>
              <w:jc w:val="right"/>
              <w:rPr>
                <w:rFonts w:eastAsia="Times New Roman"/>
                <w:color w:val="000000"/>
                <w:sz w:val="20"/>
                <w:szCs w:val="20"/>
                <w:lang w:eastAsia="ru-RU"/>
              </w:rPr>
            </w:pPr>
            <w:r w:rsidRPr="004761E0">
              <w:rPr>
                <w:rFonts w:eastAsia="Times New Roman"/>
                <w:color w:val="000000"/>
                <w:sz w:val="20"/>
                <w:szCs w:val="24"/>
                <w:lang w:eastAsia="ru-RU"/>
              </w:rPr>
              <w:t>0,6</w:t>
            </w:r>
          </w:p>
        </w:tc>
      </w:tr>
      <w:tr w:rsidR="00DA4470" w:rsidRPr="004761E0" w:rsidTr="00DA4470">
        <w:trPr>
          <w:trHeight w:val="235"/>
        </w:trPr>
        <w:tc>
          <w:tcPr>
            <w:tcW w:w="582" w:type="dxa"/>
            <w:tcBorders>
              <w:top w:val="nil"/>
              <w:left w:val="single" w:sz="4" w:space="0" w:color="000000"/>
              <w:bottom w:val="single" w:sz="4" w:space="0" w:color="000000"/>
              <w:right w:val="single" w:sz="4" w:space="0" w:color="000000"/>
            </w:tcBorders>
            <w:shd w:val="clear" w:color="auto" w:fill="auto"/>
            <w:hideMark/>
          </w:tcPr>
          <w:p w:rsidR="00DA4470" w:rsidRPr="004761E0" w:rsidRDefault="00DA4470" w:rsidP="007076A7">
            <w:pPr>
              <w:pStyle w:val="a5"/>
              <w:numPr>
                <w:ilvl w:val="2"/>
                <w:numId w:val="269"/>
              </w:numPr>
              <w:rPr>
                <w:rFonts w:eastAsia="Times New Roman"/>
                <w:color w:val="000000"/>
                <w:sz w:val="20"/>
                <w:szCs w:val="20"/>
                <w:lang w:eastAsia="ru-RU"/>
              </w:rPr>
            </w:pPr>
          </w:p>
        </w:tc>
        <w:tc>
          <w:tcPr>
            <w:tcW w:w="6379"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left="318" w:firstLine="0"/>
              <w:jc w:val="left"/>
              <w:rPr>
                <w:rFonts w:eastAsia="Times New Roman"/>
                <w:color w:val="000000"/>
                <w:sz w:val="20"/>
                <w:szCs w:val="20"/>
                <w:lang w:eastAsia="ru-RU"/>
              </w:rPr>
            </w:pPr>
            <w:r w:rsidRPr="004761E0">
              <w:rPr>
                <w:rFonts w:eastAsia="Times New Roman"/>
                <w:color w:val="000000"/>
                <w:sz w:val="20"/>
                <w:szCs w:val="24"/>
                <w:lang w:eastAsia="ru-RU"/>
              </w:rPr>
              <w:t>иные мероприятия</w:t>
            </w:r>
          </w:p>
        </w:tc>
        <w:tc>
          <w:tcPr>
            <w:tcW w:w="709"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firstLine="0"/>
              <w:jc w:val="right"/>
              <w:rPr>
                <w:rFonts w:eastAsia="Times New Roman"/>
                <w:color w:val="000000"/>
                <w:sz w:val="20"/>
                <w:szCs w:val="20"/>
                <w:lang w:eastAsia="ru-RU"/>
              </w:rPr>
            </w:pPr>
            <w:r w:rsidRPr="004761E0">
              <w:rPr>
                <w:rFonts w:eastAsia="Times New Roman"/>
                <w:color w:val="000000"/>
                <w:sz w:val="20"/>
                <w:szCs w:val="24"/>
                <w:lang w:eastAsia="ru-RU"/>
              </w:rPr>
              <w:t>0,9</w:t>
            </w:r>
          </w:p>
        </w:tc>
        <w:tc>
          <w:tcPr>
            <w:tcW w:w="850"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firstLine="0"/>
              <w:jc w:val="right"/>
              <w:rPr>
                <w:rFonts w:eastAsia="Times New Roman"/>
                <w:color w:val="000000"/>
                <w:sz w:val="20"/>
                <w:szCs w:val="20"/>
                <w:lang w:eastAsia="ru-RU"/>
              </w:rPr>
            </w:pPr>
            <w:r w:rsidRPr="004761E0">
              <w:rPr>
                <w:rFonts w:eastAsia="Times New Roman"/>
                <w:color w:val="000000"/>
                <w:sz w:val="20"/>
                <w:szCs w:val="24"/>
                <w:lang w:eastAsia="ru-RU"/>
              </w:rPr>
              <w:t>0,9</w:t>
            </w:r>
          </w:p>
        </w:tc>
        <w:tc>
          <w:tcPr>
            <w:tcW w:w="851"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firstLine="0"/>
              <w:jc w:val="right"/>
              <w:rPr>
                <w:rFonts w:eastAsia="Times New Roman"/>
                <w:color w:val="000000"/>
                <w:sz w:val="20"/>
                <w:szCs w:val="20"/>
                <w:lang w:eastAsia="ru-RU"/>
              </w:rPr>
            </w:pPr>
            <w:r w:rsidRPr="004761E0">
              <w:rPr>
                <w:rFonts w:eastAsia="Times New Roman"/>
                <w:color w:val="000000"/>
                <w:sz w:val="20"/>
                <w:szCs w:val="24"/>
                <w:lang w:eastAsia="ru-RU"/>
              </w:rPr>
              <w:t>1,5</w:t>
            </w:r>
          </w:p>
        </w:tc>
        <w:tc>
          <w:tcPr>
            <w:tcW w:w="838" w:type="dxa"/>
            <w:tcBorders>
              <w:top w:val="nil"/>
              <w:left w:val="nil"/>
              <w:bottom w:val="single" w:sz="4" w:space="0" w:color="000000"/>
              <w:right w:val="single" w:sz="4" w:space="0" w:color="000000"/>
            </w:tcBorders>
            <w:shd w:val="clear" w:color="auto" w:fill="auto"/>
            <w:hideMark/>
          </w:tcPr>
          <w:p w:rsidR="00DA4470" w:rsidRPr="004761E0" w:rsidRDefault="00DA4470" w:rsidP="00DA4470">
            <w:pPr>
              <w:ind w:firstLine="0"/>
              <w:jc w:val="right"/>
              <w:rPr>
                <w:rFonts w:eastAsia="Times New Roman"/>
                <w:color w:val="000000"/>
                <w:sz w:val="20"/>
                <w:szCs w:val="20"/>
                <w:lang w:eastAsia="ru-RU"/>
              </w:rPr>
            </w:pPr>
            <w:r w:rsidRPr="004761E0">
              <w:rPr>
                <w:rFonts w:eastAsia="Times New Roman"/>
                <w:color w:val="000000"/>
                <w:sz w:val="20"/>
                <w:szCs w:val="24"/>
                <w:lang w:eastAsia="ru-RU"/>
              </w:rPr>
              <w:t>1,4</w:t>
            </w:r>
          </w:p>
        </w:tc>
      </w:tr>
    </w:tbl>
    <w:p w:rsidR="00DA4470" w:rsidRPr="004761E0" w:rsidRDefault="00DA4470" w:rsidP="00DA4470">
      <w:pPr>
        <w:spacing w:before="120"/>
        <w:ind w:firstLine="567"/>
        <w:rPr>
          <w:color w:val="000000"/>
          <w:sz w:val="26"/>
          <w:szCs w:val="26"/>
        </w:rPr>
      </w:pPr>
      <w:r w:rsidRPr="004761E0">
        <w:rPr>
          <w:color w:val="000000"/>
          <w:sz w:val="26"/>
          <w:szCs w:val="26"/>
        </w:rPr>
        <w:t xml:space="preserve">Затраты на реализацию Программы энергосбережения и повышения энергетической эффективности составили 8 133,2 млн руб. без НДС (99 % от общей стоимости составили нецелевые мероприятия). </w:t>
      </w:r>
    </w:p>
    <w:p w:rsidR="00DA4470" w:rsidRPr="004761E0" w:rsidRDefault="00DA4470" w:rsidP="00DA4470">
      <w:pPr>
        <w:ind w:firstLine="567"/>
        <w:rPr>
          <w:color w:val="000000"/>
          <w:sz w:val="26"/>
          <w:szCs w:val="26"/>
        </w:rPr>
      </w:pPr>
      <w:r w:rsidRPr="004761E0">
        <w:rPr>
          <w:color w:val="000000"/>
          <w:sz w:val="26"/>
          <w:szCs w:val="26"/>
        </w:rPr>
        <w:t>Источниками финансирования Программы являлись инвестиционная программа в объеме 7 969,8 млн руб., ремонтная программа и иные источники – 163,4 млн руб.</w:t>
      </w:r>
    </w:p>
    <w:p w:rsidR="00DA4470" w:rsidRPr="004761E0" w:rsidRDefault="00DA4470" w:rsidP="00B20C95">
      <w:pPr>
        <w:spacing w:before="120" w:after="120"/>
        <w:ind w:firstLine="567"/>
        <w:rPr>
          <w:rFonts w:eastAsia="Times New Roman"/>
          <w:b/>
          <w:iCs/>
          <w:noProof/>
          <w:color w:val="000000"/>
          <w:sz w:val="26"/>
          <w:szCs w:val="26"/>
          <w:lang w:eastAsia="ru-RU"/>
        </w:rPr>
      </w:pPr>
      <w:r w:rsidRPr="00B20C95">
        <w:rPr>
          <w:b/>
          <w:noProof/>
          <w:sz w:val="26"/>
          <w:szCs w:val="26"/>
          <w:lang w:eastAsia="ru-RU"/>
        </w:rPr>
        <w:t>Внедрение системы энергетического менеджмента</w:t>
      </w:r>
    </w:p>
    <w:p w:rsidR="00DA4470" w:rsidRPr="004761E0" w:rsidRDefault="00DA4470" w:rsidP="00DA4470">
      <w:pPr>
        <w:ind w:firstLine="567"/>
        <w:rPr>
          <w:color w:val="000000"/>
          <w:sz w:val="26"/>
          <w:szCs w:val="26"/>
        </w:rPr>
      </w:pPr>
      <w:r w:rsidRPr="004761E0">
        <w:rPr>
          <w:color w:val="000000"/>
          <w:sz w:val="26"/>
          <w:szCs w:val="26"/>
        </w:rPr>
        <w:t xml:space="preserve">В целях обеспечения реализации Программы и согласно приказу </w:t>
      </w:r>
      <w:r w:rsidR="0008080E">
        <w:rPr>
          <w:color w:val="000000"/>
          <w:sz w:val="26"/>
          <w:szCs w:val="26"/>
        </w:rPr>
        <w:t>ОАО </w:t>
      </w:r>
      <w:r w:rsidRPr="004761E0">
        <w:rPr>
          <w:color w:val="000000"/>
          <w:sz w:val="26"/>
          <w:szCs w:val="26"/>
        </w:rPr>
        <w:t>«Россети»</w:t>
      </w:r>
      <w:r w:rsidRPr="006F4AB8">
        <w:rPr>
          <w:rStyle w:val="af1"/>
        </w:rPr>
        <w:footnoteReference w:id="39"/>
      </w:r>
      <w:r w:rsidRPr="004761E0">
        <w:rPr>
          <w:color w:val="000000"/>
          <w:sz w:val="26"/>
          <w:szCs w:val="26"/>
        </w:rPr>
        <w:t xml:space="preserve"> в </w:t>
      </w:r>
      <w:r w:rsidR="0008080E">
        <w:rPr>
          <w:color w:val="000000"/>
          <w:sz w:val="26"/>
          <w:szCs w:val="26"/>
        </w:rPr>
        <w:t>ОАО </w:t>
      </w:r>
      <w:r w:rsidRPr="004761E0">
        <w:rPr>
          <w:color w:val="000000"/>
          <w:sz w:val="26"/>
          <w:szCs w:val="26"/>
        </w:rPr>
        <w:t>«МОЭСК» проводятся работы по внедрению системы энергетического менеджмента (далее в разделе – СЭнМ) в соответствии с требованиями национального стандарта ГОСТ Р ИСО 50001-2012. В данном направлении в 2013 году реализованы следующие мероприятия:</w:t>
      </w:r>
    </w:p>
    <w:p w:rsidR="00DA4470" w:rsidRPr="004761E0" w:rsidRDefault="00DA4470" w:rsidP="007076A7">
      <w:pPr>
        <w:pStyle w:val="a5"/>
        <w:numPr>
          <w:ilvl w:val="0"/>
          <w:numId w:val="236"/>
        </w:numPr>
        <w:ind w:left="1134" w:hanging="567"/>
        <w:rPr>
          <w:color w:val="000000"/>
          <w:sz w:val="26"/>
          <w:szCs w:val="26"/>
        </w:rPr>
      </w:pPr>
      <w:bookmarkStart w:id="47" w:name="OLE_LINK1"/>
      <w:bookmarkStart w:id="48" w:name="OLE_LINK2"/>
      <w:r w:rsidRPr="004761E0">
        <w:rPr>
          <w:color w:val="000000"/>
          <w:sz w:val="26"/>
          <w:szCs w:val="26"/>
        </w:rPr>
        <w:t>разработана Политика в области энергосбережения и повышения энергетической эффективности и Положение о системе энергетического менеджмента;</w:t>
      </w:r>
    </w:p>
    <w:p w:rsidR="00DA4470" w:rsidRPr="004761E0" w:rsidRDefault="00DA4470" w:rsidP="007076A7">
      <w:pPr>
        <w:pStyle w:val="a5"/>
        <w:numPr>
          <w:ilvl w:val="0"/>
          <w:numId w:val="236"/>
        </w:numPr>
        <w:ind w:left="1134" w:hanging="567"/>
        <w:rPr>
          <w:color w:val="000000"/>
          <w:sz w:val="26"/>
          <w:szCs w:val="26"/>
        </w:rPr>
      </w:pPr>
      <w:r w:rsidRPr="004761E0">
        <w:rPr>
          <w:color w:val="000000"/>
          <w:sz w:val="26"/>
          <w:szCs w:val="26"/>
        </w:rPr>
        <w:lastRenderedPageBreak/>
        <w:t>сформирована программа внедрения СЭнМ;</w:t>
      </w:r>
    </w:p>
    <w:p w:rsidR="00DA4470" w:rsidRPr="004761E0" w:rsidRDefault="00DA4470" w:rsidP="007076A7">
      <w:pPr>
        <w:pStyle w:val="a5"/>
        <w:numPr>
          <w:ilvl w:val="0"/>
          <w:numId w:val="236"/>
        </w:numPr>
        <w:ind w:left="1134" w:hanging="567"/>
        <w:rPr>
          <w:color w:val="000000"/>
          <w:sz w:val="26"/>
          <w:szCs w:val="26"/>
        </w:rPr>
      </w:pPr>
      <w:r w:rsidRPr="004761E0">
        <w:rPr>
          <w:color w:val="000000"/>
          <w:sz w:val="26"/>
          <w:szCs w:val="26"/>
        </w:rPr>
        <w:t>назначены представитель руководства по СЭнМ и энергоменеджеры</w:t>
      </w:r>
      <w:r w:rsidRPr="006F4AB8">
        <w:rPr>
          <w:rStyle w:val="af1"/>
        </w:rPr>
        <w:footnoteReference w:id="40"/>
      </w:r>
      <w:r w:rsidRPr="004761E0">
        <w:rPr>
          <w:color w:val="000000"/>
          <w:sz w:val="26"/>
          <w:szCs w:val="26"/>
        </w:rPr>
        <w:t xml:space="preserve">, </w:t>
      </w:r>
    </w:p>
    <w:p w:rsidR="00DA4470" w:rsidRPr="004761E0" w:rsidRDefault="00DA4470" w:rsidP="007076A7">
      <w:pPr>
        <w:pStyle w:val="a5"/>
        <w:numPr>
          <w:ilvl w:val="0"/>
          <w:numId w:val="236"/>
        </w:numPr>
        <w:ind w:left="1134" w:hanging="567"/>
        <w:rPr>
          <w:color w:val="000000"/>
          <w:sz w:val="26"/>
          <w:szCs w:val="26"/>
        </w:rPr>
      </w:pPr>
      <w:r w:rsidRPr="004761E0">
        <w:rPr>
          <w:color w:val="000000"/>
          <w:sz w:val="26"/>
          <w:szCs w:val="26"/>
        </w:rPr>
        <w:t>определены координаторы СЭнМ в филиалах, лица, ответственные за планирование, реализацию и контроль выполнения мероприятий в области энергосбережения и повышения энергетической эффективности (по направлениям деятельности), администраторы СЭнМ, а также создана рабочая группа, осуществляющая анализ выполнения Программы</w:t>
      </w:r>
      <w:r w:rsidRPr="006F4AB8">
        <w:rPr>
          <w:rStyle w:val="af1"/>
        </w:rPr>
        <w:footnoteReference w:id="41"/>
      </w:r>
      <w:r w:rsidRPr="004761E0">
        <w:rPr>
          <w:color w:val="000000"/>
          <w:sz w:val="26"/>
          <w:szCs w:val="26"/>
        </w:rPr>
        <w:t>.</w:t>
      </w:r>
    </w:p>
    <w:bookmarkEnd w:id="47"/>
    <w:bookmarkEnd w:id="48"/>
    <w:p w:rsidR="00DA4470" w:rsidRPr="004761E0" w:rsidRDefault="00DA4470" w:rsidP="00DA4470">
      <w:pPr>
        <w:rPr>
          <w:rFonts w:eastAsia="Times New Roman"/>
          <w:b/>
          <w:iCs/>
          <w:color w:val="000000"/>
          <w:sz w:val="26"/>
          <w:szCs w:val="26"/>
          <w:lang w:eastAsia="ru-RU"/>
        </w:rPr>
      </w:pPr>
      <w:r w:rsidRPr="004761E0">
        <w:rPr>
          <w:color w:val="000000"/>
          <w:sz w:val="26"/>
          <w:szCs w:val="26"/>
        </w:rPr>
        <w:t>В 2014 году и ближайшей перспективе запланировано проведение внутреннего аудита системы энергетического менеджмента, а также повышение квалификации сотрудников в области энергосбережения, повышения энергетической эффективности, в т.ч. обучение внутренних аудиторов системы энергетического менеджмента (в 2013 году подобные мероприятия не проводились)</w:t>
      </w:r>
      <w:r w:rsidRPr="004761E0">
        <w:rPr>
          <w:color w:val="000000"/>
          <w:sz w:val="24"/>
          <w:szCs w:val="24"/>
        </w:rPr>
        <w:t>.</w:t>
      </w:r>
    </w:p>
    <w:p w:rsidR="00D70A94" w:rsidRPr="004761E0" w:rsidRDefault="00D70A94" w:rsidP="00F25B9C">
      <w:pPr>
        <w:pStyle w:val="a8"/>
        <w:tabs>
          <w:tab w:val="left" w:pos="1134"/>
        </w:tabs>
        <w:jc w:val="left"/>
        <w:rPr>
          <w:rFonts w:ascii="Times New Roman" w:hAnsi="Times New Roman"/>
          <w:b/>
          <w:sz w:val="26"/>
          <w:szCs w:val="26"/>
          <w:lang w:eastAsia="ru-RU"/>
        </w:rPr>
        <w:sectPr w:rsidR="00D70A94" w:rsidRPr="004761E0" w:rsidSect="002B067C">
          <w:headerReference w:type="default" r:id="rId55"/>
          <w:footerReference w:type="default" r:id="rId56"/>
          <w:pgSz w:w="11906" w:h="16838"/>
          <w:pgMar w:top="851" w:right="567" w:bottom="992" w:left="1134" w:header="709" w:footer="709" w:gutter="0"/>
          <w:cols w:space="708"/>
          <w:docGrid w:linePitch="360"/>
        </w:sectPr>
      </w:pPr>
    </w:p>
    <w:p w:rsidR="00136A10" w:rsidRPr="004761E0" w:rsidRDefault="00EA456F" w:rsidP="007076A7">
      <w:pPr>
        <w:pStyle w:val="a8"/>
        <w:numPr>
          <w:ilvl w:val="1"/>
          <w:numId w:val="321"/>
        </w:numPr>
        <w:spacing w:before="120" w:after="120"/>
        <w:ind w:left="1134" w:hanging="567"/>
        <w:jc w:val="both"/>
        <w:rPr>
          <w:rFonts w:ascii="Times New Roman" w:hAnsi="Times New Roman"/>
          <w:b/>
          <w:sz w:val="26"/>
          <w:szCs w:val="26"/>
        </w:rPr>
      </w:pPr>
      <w:hyperlink r:id="rId57" w:anchor="'3'!A195" w:history="1">
        <w:bookmarkStart w:id="49" w:name="_Toc380576909"/>
        <w:bookmarkStart w:id="50" w:name="_Toc385339807"/>
        <w:r w:rsidR="00E34ACB" w:rsidRPr="004761E0">
          <w:rPr>
            <w:rFonts w:ascii="Times New Roman" w:hAnsi="Times New Roman"/>
            <w:b/>
            <w:sz w:val="26"/>
            <w:szCs w:val="26"/>
          </w:rPr>
          <w:t xml:space="preserve">Интервью заместителя генерального директора по </w:t>
        </w:r>
        <w:r w:rsidR="009E3EE5">
          <w:rPr>
            <w:rFonts w:ascii="Times New Roman" w:hAnsi="Times New Roman"/>
            <w:b/>
            <w:sz w:val="26"/>
            <w:szCs w:val="26"/>
          </w:rPr>
          <w:t>технологическому присоединению и развитию</w:t>
        </w:r>
        <w:r w:rsidR="00E34ACB" w:rsidRPr="004761E0">
          <w:rPr>
            <w:rFonts w:ascii="Times New Roman" w:hAnsi="Times New Roman"/>
            <w:b/>
            <w:sz w:val="26"/>
            <w:szCs w:val="26"/>
          </w:rPr>
          <w:t xml:space="preserve"> услуг</w:t>
        </w:r>
        <w:bookmarkEnd w:id="49"/>
        <w:bookmarkEnd w:id="50"/>
      </w:hyperlink>
    </w:p>
    <w:p w:rsidR="003B0EA7" w:rsidRPr="004761E0" w:rsidRDefault="003B0EA7" w:rsidP="003B0EA7">
      <w:pPr>
        <w:tabs>
          <w:tab w:val="left" w:pos="426"/>
        </w:tabs>
        <w:spacing w:before="120" w:after="120"/>
        <w:ind w:firstLine="567"/>
        <w:rPr>
          <w:b/>
          <w:sz w:val="26"/>
          <w:szCs w:val="26"/>
        </w:rPr>
      </w:pPr>
      <w:r w:rsidRPr="004761E0">
        <w:rPr>
          <w:b/>
          <w:sz w:val="26"/>
          <w:szCs w:val="26"/>
        </w:rPr>
        <w:t>Каковы основные результаты деятельности в отчетном году в рамках курируемого направления?</w:t>
      </w:r>
    </w:p>
    <w:p w:rsidR="003B0EA7" w:rsidRPr="004761E0" w:rsidRDefault="003B0EA7" w:rsidP="003B0EA7">
      <w:pPr>
        <w:tabs>
          <w:tab w:val="left" w:pos="0"/>
        </w:tabs>
        <w:ind w:firstLine="567"/>
        <w:rPr>
          <w:sz w:val="26"/>
          <w:szCs w:val="26"/>
        </w:rPr>
      </w:pPr>
      <w:r w:rsidRPr="004761E0">
        <w:rPr>
          <w:sz w:val="26"/>
          <w:szCs w:val="26"/>
        </w:rPr>
        <w:t xml:space="preserve">2013 год можно назвать годом реформы существующей системы по взаимодействию с клиентами </w:t>
      </w:r>
      <w:r w:rsidR="00116E47" w:rsidRPr="004761E0">
        <w:rPr>
          <w:sz w:val="26"/>
          <w:szCs w:val="26"/>
        </w:rPr>
        <w:t>К</w:t>
      </w:r>
      <w:r w:rsidRPr="004761E0">
        <w:rPr>
          <w:sz w:val="26"/>
          <w:szCs w:val="26"/>
        </w:rPr>
        <w:t>омпании и системы технологического присоединения к электрическим сетям в целом. Значительно сокращено количество этапов технологического присоединения, реализован проект  «5 шагов за 3 визита».  Внедрены  разл</w:t>
      </w:r>
      <w:r w:rsidR="004546A6">
        <w:rPr>
          <w:sz w:val="26"/>
          <w:szCs w:val="26"/>
        </w:rPr>
        <w:t>ичные интерактивные сервисы на п</w:t>
      </w:r>
      <w:r w:rsidRPr="004761E0">
        <w:rPr>
          <w:sz w:val="26"/>
          <w:szCs w:val="26"/>
        </w:rPr>
        <w:t>ортале по техприсоединению. Итоги этой работы оценены – 117 место в рейтинге Doing Business, что значит улучшение позиции сразу на 71 пункт.</w:t>
      </w:r>
    </w:p>
    <w:p w:rsidR="003B0EA7" w:rsidRPr="004761E0" w:rsidRDefault="003B0EA7" w:rsidP="003B0EA7">
      <w:pPr>
        <w:pStyle w:val="affe"/>
        <w:ind w:firstLine="567"/>
        <w:jc w:val="both"/>
        <w:rPr>
          <w:rFonts w:ascii="Times New Roman" w:hAnsi="Times New Roman"/>
          <w:sz w:val="26"/>
          <w:szCs w:val="26"/>
        </w:rPr>
      </w:pPr>
      <w:r w:rsidRPr="004761E0">
        <w:rPr>
          <w:rFonts w:ascii="Times New Roman" w:hAnsi="Times New Roman"/>
          <w:sz w:val="26"/>
          <w:szCs w:val="26"/>
        </w:rPr>
        <w:t xml:space="preserve">Кроме того, 2013 год нам запомнится как год существенного увеличения спроса на услуги компании. Так общее количество заявок на технологическое присоединение, по сравнению с 2012 годом, увеличилось на </w:t>
      </w:r>
      <w:r w:rsidR="00116E47" w:rsidRPr="004761E0">
        <w:rPr>
          <w:rFonts w:ascii="Times New Roman" w:hAnsi="Times New Roman"/>
          <w:sz w:val="26"/>
          <w:szCs w:val="26"/>
        </w:rPr>
        <w:t xml:space="preserve">72,32 </w:t>
      </w:r>
      <w:r w:rsidRPr="004761E0">
        <w:rPr>
          <w:rFonts w:ascii="Times New Roman" w:hAnsi="Times New Roman"/>
          <w:sz w:val="26"/>
          <w:szCs w:val="26"/>
        </w:rPr>
        <w:t>% (91 610 шт.), а по льготной категории до 15 кВт – почти в два раза – с 44 617 шт. до 8</w:t>
      </w:r>
      <w:r w:rsidR="004A172C">
        <w:rPr>
          <w:rFonts w:ascii="Times New Roman" w:hAnsi="Times New Roman"/>
          <w:sz w:val="26"/>
          <w:szCs w:val="26"/>
        </w:rPr>
        <w:t>1 947</w:t>
      </w:r>
      <w:r w:rsidRPr="004761E0">
        <w:rPr>
          <w:rFonts w:ascii="Times New Roman" w:hAnsi="Times New Roman"/>
          <w:sz w:val="26"/>
          <w:szCs w:val="26"/>
        </w:rPr>
        <w:t xml:space="preserve"> шт.</w:t>
      </w:r>
    </w:p>
    <w:p w:rsidR="003B0EA7" w:rsidRPr="004761E0" w:rsidRDefault="003B0EA7" w:rsidP="003B0EA7">
      <w:pPr>
        <w:tabs>
          <w:tab w:val="left" w:pos="0"/>
        </w:tabs>
        <w:ind w:firstLine="567"/>
        <w:rPr>
          <w:sz w:val="26"/>
          <w:szCs w:val="26"/>
        </w:rPr>
      </w:pPr>
      <w:r w:rsidRPr="004761E0">
        <w:rPr>
          <w:sz w:val="26"/>
          <w:szCs w:val="26"/>
        </w:rPr>
        <w:t>Надо отметить, что в 2013 г</w:t>
      </w:r>
      <w:r w:rsidR="00A53B0D">
        <w:rPr>
          <w:sz w:val="26"/>
          <w:szCs w:val="26"/>
        </w:rPr>
        <w:t>оду</w:t>
      </w:r>
      <w:r w:rsidRPr="004761E0">
        <w:rPr>
          <w:sz w:val="26"/>
          <w:szCs w:val="26"/>
        </w:rPr>
        <w:t xml:space="preserve"> разработана и утверждена «Схема развития  электрических сетей </w:t>
      </w:r>
      <w:r w:rsidR="0008080E">
        <w:rPr>
          <w:sz w:val="26"/>
          <w:szCs w:val="26"/>
        </w:rPr>
        <w:t>ОАО </w:t>
      </w:r>
      <w:r w:rsidRPr="004761E0">
        <w:rPr>
          <w:sz w:val="26"/>
          <w:szCs w:val="26"/>
        </w:rPr>
        <w:t>«МОЭСК» напряжением 110 (35) кВ и выше в г. Москве и Московской области на период до 2025 года». В Схеме разработаны мероприятия по электросетевому строительству до 2025 г</w:t>
      </w:r>
      <w:r w:rsidR="00116E47" w:rsidRPr="004761E0">
        <w:rPr>
          <w:sz w:val="26"/>
          <w:szCs w:val="26"/>
        </w:rPr>
        <w:t>ода</w:t>
      </w:r>
      <w:r w:rsidRPr="004761E0">
        <w:rPr>
          <w:sz w:val="26"/>
          <w:szCs w:val="26"/>
        </w:rPr>
        <w:t xml:space="preserve">, обеспечивающие сбалансированное развитие Московского региона: строительство 112 новых питающих центров мощностью 28 935 МВА и 2 775 км ЛЭП и реконструкция 288 ПС вводом 33 934 МВА трансформаторной мощности и 2 216 км ЛЭП. Стоимость мероприятий в сетях </w:t>
      </w:r>
      <w:r w:rsidR="0008080E">
        <w:rPr>
          <w:sz w:val="26"/>
          <w:szCs w:val="26"/>
        </w:rPr>
        <w:t>ОАО </w:t>
      </w:r>
      <w:r w:rsidRPr="004761E0">
        <w:rPr>
          <w:sz w:val="26"/>
          <w:szCs w:val="26"/>
        </w:rPr>
        <w:t xml:space="preserve">«МОЭСК» составляет более 270 млрд руб. Также разработаны Схемы развития электрических сетей Истринского, Наро-Фоминского и Ленинского районов Московской области напряжением 6-20 кВ. Начаты работы по разработке Корпоративной геоинформационной системе </w:t>
      </w:r>
      <w:r w:rsidR="0008080E">
        <w:rPr>
          <w:sz w:val="26"/>
          <w:szCs w:val="26"/>
        </w:rPr>
        <w:t>ОАО </w:t>
      </w:r>
      <w:r w:rsidRPr="004761E0">
        <w:rPr>
          <w:sz w:val="26"/>
          <w:szCs w:val="26"/>
        </w:rPr>
        <w:t>«МОЭСК».</w:t>
      </w:r>
    </w:p>
    <w:p w:rsidR="003B0EA7" w:rsidRPr="004761E0" w:rsidRDefault="003B0EA7" w:rsidP="003B0EA7">
      <w:pPr>
        <w:tabs>
          <w:tab w:val="left" w:pos="426"/>
        </w:tabs>
        <w:spacing w:before="120" w:after="120"/>
        <w:ind w:firstLine="567"/>
        <w:rPr>
          <w:b/>
          <w:sz w:val="26"/>
          <w:szCs w:val="26"/>
        </w:rPr>
      </w:pPr>
      <w:r w:rsidRPr="004761E0">
        <w:rPr>
          <w:b/>
          <w:sz w:val="26"/>
          <w:szCs w:val="26"/>
        </w:rPr>
        <w:t>Как, по вашему мнению, в отчетном году упростилась деятельность в рамках курируемого направления?</w:t>
      </w:r>
    </w:p>
    <w:p w:rsidR="003B0EA7" w:rsidRPr="004761E0" w:rsidRDefault="003B0EA7" w:rsidP="003B0EA7">
      <w:pPr>
        <w:ind w:firstLine="567"/>
        <w:rPr>
          <w:sz w:val="26"/>
          <w:szCs w:val="26"/>
        </w:rPr>
      </w:pPr>
      <w:r w:rsidRPr="004761E0">
        <w:rPr>
          <w:sz w:val="26"/>
          <w:szCs w:val="26"/>
        </w:rPr>
        <w:t xml:space="preserve">Большое внимание в течение 2013 года уделялось разработке и совершенствованию регламентирующих документов, внедрению «короткого» маршрута прохождения заявки в АИС УТП. Решение о создании </w:t>
      </w:r>
      <w:r w:rsidR="00A4505A" w:rsidRPr="004761E0">
        <w:rPr>
          <w:sz w:val="26"/>
          <w:szCs w:val="26"/>
        </w:rPr>
        <w:t>е</w:t>
      </w:r>
      <w:r w:rsidRPr="004761E0">
        <w:rPr>
          <w:sz w:val="26"/>
          <w:szCs w:val="26"/>
        </w:rPr>
        <w:t xml:space="preserve">диного информационного центра – </w:t>
      </w:r>
      <w:r w:rsidR="00A4505A" w:rsidRPr="004761E0">
        <w:rPr>
          <w:sz w:val="26"/>
          <w:szCs w:val="26"/>
        </w:rPr>
        <w:t>к</w:t>
      </w:r>
      <w:r w:rsidRPr="004761E0">
        <w:rPr>
          <w:sz w:val="26"/>
          <w:szCs w:val="26"/>
        </w:rPr>
        <w:t xml:space="preserve">онтактного центра «Светлая линия» на базе собственного Контактного центра, принятое Правлением </w:t>
      </w:r>
      <w:r w:rsidR="0008080E">
        <w:rPr>
          <w:sz w:val="26"/>
          <w:szCs w:val="26"/>
        </w:rPr>
        <w:t>ОАО </w:t>
      </w:r>
      <w:r w:rsidRPr="004761E0">
        <w:rPr>
          <w:sz w:val="26"/>
          <w:szCs w:val="26"/>
        </w:rPr>
        <w:t>«МОЭСК», тоже спос</w:t>
      </w:r>
      <w:r w:rsidR="00A53B0D">
        <w:rPr>
          <w:sz w:val="26"/>
          <w:szCs w:val="26"/>
        </w:rPr>
        <w:t xml:space="preserve">обствовало оптимизации работы. </w:t>
      </w:r>
    </w:p>
    <w:p w:rsidR="003B0EA7" w:rsidRPr="004761E0" w:rsidRDefault="003B0EA7" w:rsidP="003B0EA7">
      <w:pPr>
        <w:tabs>
          <w:tab w:val="left" w:pos="0"/>
        </w:tabs>
        <w:ind w:firstLine="567"/>
        <w:rPr>
          <w:sz w:val="26"/>
          <w:szCs w:val="26"/>
        </w:rPr>
      </w:pPr>
      <w:r w:rsidRPr="004761E0">
        <w:rPr>
          <w:sz w:val="26"/>
          <w:szCs w:val="26"/>
        </w:rPr>
        <w:t xml:space="preserve">Все обслуживание по информированию потенциальных клиентов и потребителей услуг переведено на единый номер Контактного центра </w:t>
      </w:r>
      <w:r w:rsidR="0008080E">
        <w:rPr>
          <w:sz w:val="26"/>
          <w:szCs w:val="26"/>
        </w:rPr>
        <w:t>ОАО </w:t>
      </w:r>
      <w:r w:rsidRPr="004761E0">
        <w:rPr>
          <w:sz w:val="26"/>
          <w:szCs w:val="26"/>
        </w:rPr>
        <w:t xml:space="preserve">«МОЭСК» </w:t>
      </w:r>
      <w:r w:rsidR="00A53B0D">
        <w:rPr>
          <w:sz w:val="26"/>
          <w:szCs w:val="26"/>
        </w:rPr>
        <w:br/>
      </w:r>
      <w:r w:rsidRPr="004761E0">
        <w:rPr>
          <w:sz w:val="26"/>
          <w:szCs w:val="26"/>
        </w:rPr>
        <w:t>8</w:t>
      </w:r>
      <w:r w:rsidR="00A53B0D">
        <w:rPr>
          <w:sz w:val="26"/>
          <w:szCs w:val="26"/>
        </w:rPr>
        <w:t> </w:t>
      </w:r>
      <w:r w:rsidRPr="004761E0">
        <w:rPr>
          <w:sz w:val="26"/>
          <w:szCs w:val="26"/>
        </w:rPr>
        <w:t>(800)</w:t>
      </w:r>
      <w:r w:rsidR="00A53B0D">
        <w:rPr>
          <w:sz w:val="26"/>
          <w:szCs w:val="26"/>
        </w:rPr>
        <w:t> </w:t>
      </w:r>
      <w:r w:rsidRPr="004761E0">
        <w:rPr>
          <w:sz w:val="26"/>
          <w:szCs w:val="26"/>
        </w:rPr>
        <w:t xml:space="preserve">700-40-70. </w:t>
      </w:r>
    </w:p>
    <w:p w:rsidR="003B0EA7" w:rsidRPr="004761E0" w:rsidRDefault="003B0EA7" w:rsidP="003B0EA7">
      <w:pPr>
        <w:tabs>
          <w:tab w:val="left" w:pos="426"/>
        </w:tabs>
        <w:spacing w:before="120" w:after="120"/>
        <w:ind w:firstLine="567"/>
        <w:rPr>
          <w:b/>
          <w:sz w:val="26"/>
          <w:szCs w:val="26"/>
        </w:rPr>
      </w:pPr>
      <w:r w:rsidRPr="004761E0">
        <w:rPr>
          <w:b/>
          <w:sz w:val="26"/>
          <w:szCs w:val="26"/>
        </w:rPr>
        <w:t xml:space="preserve">Каким образом результаты деятельности в рамках курируемого направления повлияли в отчетном году на повышение открытости/прозрачности деятельности </w:t>
      </w:r>
      <w:r w:rsidR="0008080E">
        <w:rPr>
          <w:b/>
          <w:sz w:val="26"/>
          <w:szCs w:val="26"/>
        </w:rPr>
        <w:t>ОАО </w:t>
      </w:r>
      <w:r w:rsidRPr="004761E0">
        <w:rPr>
          <w:b/>
          <w:sz w:val="26"/>
          <w:szCs w:val="26"/>
        </w:rPr>
        <w:t>«МОЭСК»?</w:t>
      </w:r>
    </w:p>
    <w:p w:rsidR="003B0EA7" w:rsidRPr="004761E0" w:rsidRDefault="003B0EA7" w:rsidP="003B0EA7">
      <w:pPr>
        <w:tabs>
          <w:tab w:val="left" w:pos="0"/>
        </w:tabs>
        <w:ind w:firstLine="567"/>
        <w:rPr>
          <w:sz w:val="26"/>
          <w:szCs w:val="26"/>
        </w:rPr>
      </w:pPr>
      <w:r w:rsidRPr="004761E0">
        <w:rPr>
          <w:sz w:val="26"/>
          <w:szCs w:val="26"/>
        </w:rPr>
        <w:t xml:space="preserve">Программа оптимизации процесса технологического присоединения «5  шагов за 3 визита» подразумевает полную прозрачность процесса для клиентов. </w:t>
      </w:r>
    </w:p>
    <w:p w:rsidR="003B0EA7" w:rsidRPr="004761E0" w:rsidRDefault="003B0EA7" w:rsidP="003B0EA7">
      <w:pPr>
        <w:ind w:firstLine="567"/>
        <w:rPr>
          <w:sz w:val="26"/>
          <w:szCs w:val="26"/>
        </w:rPr>
      </w:pPr>
      <w:r w:rsidRPr="004761E0">
        <w:rPr>
          <w:bCs/>
          <w:sz w:val="26"/>
          <w:szCs w:val="26"/>
        </w:rPr>
        <w:t xml:space="preserve">В результате реализации программы произошли следующие позитивные изменения: </w:t>
      </w:r>
    </w:p>
    <w:p w:rsidR="003B0EA7" w:rsidRPr="004761E0" w:rsidRDefault="003B0EA7" w:rsidP="003B0EA7">
      <w:pPr>
        <w:pStyle w:val="a5"/>
        <w:tabs>
          <w:tab w:val="left" w:pos="0"/>
        </w:tabs>
        <w:ind w:left="0" w:firstLine="567"/>
        <w:rPr>
          <w:bCs/>
          <w:sz w:val="26"/>
          <w:szCs w:val="26"/>
        </w:rPr>
      </w:pPr>
      <w:r w:rsidRPr="004761E0">
        <w:rPr>
          <w:sz w:val="26"/>
          <w:szCs w:val="26"/>
        </w:rPr>
        <w:t xml:space="preserve">Проведен реинжиниринг бизнес-процессов; развитие очных сервисов (открытие новых клиентских и консультационных центров и др.);  развитие заочных и </w:t>
      </w:r>
      <w:r w:rsidRPr="004761E0">
        <w:rPr>
          <w:sz w:val="26"/>
          <w:szCs w:val="26"/>
        </w:rPr>
        <w:lastRenderedPageBreak/>
        <w:t xml:space="preserve">интерактивных сервисов (совершенствование </w:t>
      </w:r>
      <w:r w:rsidRPr="004761E0">
        <w:rPr>
          <w:sz w:val="26"/>
          <w:szCs w:val="26"/>
          <w:lang w:val="en-US"/>
        </w:rPr>
        <w:t>call</w:t>
      </w:r>
      <w:r w:rsidRPr="004761E0">
        <w:rPr>
          <w:sz w:val="26"/>
          <w:szCs w:val="26"/>
        </w:rPr>
        <w:t>-центра «Светлая линия», создание интерактивного портала, разработка информационных материалов, буклетов, видеороликов и др., повышающих прозрачность процесса ТП и предоставляющих клиентам всю необходимую справочную информацию); партнерство с представителями власти, общественными и деловыми организациями, проведение совместных мероприятий.</w:t>
      </w:r>
      <w:r w:rsidRPr="004761E0">
        <w:rPr>
          <w:bCs/>
          <w:sz w:val="26"/>
          <w:szCs w:val="26"/>
        </w:rPr>
        <w:t xml:space="preserve"> Кстати, в отчетном году значительно  увеличилось</w:t>
      </w:r>
      <w:r w:rsidR="004546A6">
        <w:rPr>
          <w:bCs/>
          <w:sz w:val="26"/>
          <w:szCs w:val="26"/>
        </w:rPr>
        <w:t xml:space="preserve"> общее количество обращений на п</w:t>
      </w:r>
      <w:r w:rsidRPr="004761E0">
        <w:rPr>
          <w:bCs/>
          <w:sz w:val="26"/>
          <w:szCs w:val="26"/>
        </w:rPr>
        <w:t>ортал ТП, что говорит о востребованности интерактивных каналов связи. Так, в 2013 году зафиксировано 2,7 млн обращений против 1 млн в 2012 году. Наибольший интерес вызывают разделы «Вопросы и ответы» – 30</w:t>
      </w:r>
      <w:r w:rsidR="0008080E">
        <w:rPr>
          <w:bCs/>
          <w:sz w:val="26"/>
          <w:szCs w:val="26"/>
        </w:rPr>
        <w:t> </w:t>
      </w:r>
      <w:r w:rsidRPr="004761E0">
        <w:rPr>
          <w:bCs/>
          <w:sz w:val="26"/>
          <w:szCs w:val="26"/>
        </w:rPr>
        <w:t>%, Нормативная база – до 40</w:t>
      </w:r>
      <w:r w:rsidR="004546A6">
        <w:rPr>
          <w:bCs/>
          <w:sz w:val="26"/>
          <w:szCs w:val="26"/>
        </w:rPr>
        <w:t> </w:t>
      </w:r>
      <w:r w:rsidRPr="004761E0">
        <w:rPr>
          <w:bCs/>
          <w:sz w:val="26"/>
          <w:szCs w:val="26"/>
        </w:rPr>
        <w:t>% от общего количества обращений.</w:t>
      </w:r>
    </w:p>
    <w:p w:rsidR="003B0EA7" w:rsidRPr="004761E0" w:rsidRDefault="003B0EA7" w:rsidP="003B0EA7">
      <w:pPr>
        <w:tabs>
          <w:tab w:val="left" w:pos="426"/>
        </w:tabs>
        <w:spacing w:before="120" w:after="120"/>
        <w:ind w:firstLine="567"/>
        <w:rPr>
          <w:b/>
          <w:sz w:val="26"/>
          <w:szCs w:val="26"/>
        </w:rPr>
      </w:pPr>
      <w:r w:rsidRPr="004761E0">
        <w:rPr>
          <w:b/>
          <w:sz w:val="26"/>
          <w:szCs w:val="26"/>
        </w:rPr>
        <w:t>Как результаты работы в отчетном году в рамках курируемого направления отразились на деятельности клиентов, акционеров, иных заинтересованных сторон?</w:t>
      </w:r>
    </w:p>
    <w:p w:rsidR="003B0EA7" w:rsidRPr="004761E0" w:rsidRDefault="003B0EA7" w:rsidP="003B0EA7">
      <w:pPr>
        <w:pStyle w:val="a5"/>
        <w:tabs>
          <w:tab w:val="left" w:pos="0"/>
        </w:tabs>
        <w:ind w:left="0" w:firstLine="567"/>
        <w:rPr>
          <w:sz w:val="26"/>
          <w:szCs w:val="26"/>
        </w:rPr>
      </w:pPr>
      <w:r w:rsidRPr="004761E0">
        <w:rPr>
          <w:sz w:val="26"/>
          <w:szCs w:val="26"/>
        </w:rPr>
        <w:t xml:space="preserve">С </w:t>
      </w:r>
      <w:r w:rsidR="007877E1">
        <w:rPr>
          <w:sz w:val="26"/>
          <w:szCs w:val="26"/>
        </w:rPr>
        <w:t>0</w:t>
      </w:r>
      <w:r w:rsidRPr="004761E0">
        <w:rPr>
          <w:sz w:val="26"/>
          <w:szCs w:val="26"/>
        </w:rPr>
        <w:t>5</w:t>
      </w:r>
      <w:r w:rsidR="007877E1">
        <w:rPr>
          <w:sz w:val="26"/>
          <w:szCs w:val="26"/>
        </w:rPr>
        <w:t>.09.2</w:t>
      </w:r>
      <w:r w:rsidRPr="004761E0">
        <w:rPr>
          <w:sz w:val="26"/>
          <w:szCs w:val="26"/>
        </w:rPr>
        <w:t>013</w:t>
      </w:r>
      <w:r w:rsidR="007877E1">
        <w:rPr>
          <w:sz w:val="26"/>
          <w:szCs w:val="26"/>
        </w:rPr>
        <w:t xml:space="preserve"> </w:t>
      </w:r>
      <w:r w:rsidRPr="004761E0">
        <w:rPr>
          <w:sz w:val="26"/>
          <w:szCs w:val="26"/>
        </w:rPr>
        <w:t>IVR</w:t>
      </w:r>
      <w:r w:rsidR="007877E1" w:rsidRPr="006F4AB8">
        <w:rPr>
          <w:rStyle w:val="af1"/>
        </w:rPr>
        <w:footnoteReference w:id="42"/>
      </w:r>
      <w:r w:rsidRPr="004761E0">
        <w:rPr>
          <w:sz w:val="26"/>
          <w:szCs w:val="26"/>
        </w:rPr>
        <w:t xml:space="preserve"> переведен на платформу собственного Единого информационного центра – Контактного центра «Светлая линия», что при одновременном увеличении количества входящих звонков привело к снижению расходов по договорам на предоставление услуг связи подрядной организацией, а именно общей стоимости телефонных переговоров с 1,9 млн руб. в мае месяце до 900</w:t>
      </w:r>
      <w:r w:rsidR="007877E1">
        <w:rPr>
          <w:sz w:val="26"/>
          <w:szCs w:val="26"/>
        </w:rPr>
        <w:t> </w:t>
      </w:r>
      <w:r w:rsidRPr="004761E0">
        <w:rPr>
          <w:sz w:val="26"/>
          <w:szCs w:val="26"/>
        </w:rPr>
        <w:t xml:space="preserve">тыс. руб. в </w:t>
      </w:r>
      <w:r w:rsidR="00017C39">
        <w:rPr>
          <w:sz w:val="26"/>
          <w:szCs w:val="26"/>
          <w:lang w:val="en-US"/>
        </w:rPr>
        <w:t>IV</w:t>
      </w:r>
      <w:r w:rsidRPr="004761E0">
        <w:rPr>
          <w:sz w:val="26"/>
          <w:szCs w:val="26"/>
        </w:rPr>
        <w:t xml:space="preserve"> квартале. </w:t>
      </w:r>
    </w:p>
    <w:p w:rsidR="003B0EA7" w:rsidRPr="004761E0" w:rsidRDefault="003B0EA7" w:rsidP="003B0EA7">
      <w:pPr>
        <w:tabs>
          <w:tab w:val="left" w:pos="426"/>
        </w:tabs>
        <w:ind w:firstLine="567"/>
        <w:rPr>
          <w:sz w:val="26"/>
          <w:szCs w:val="26"/>
        </w:rPr>
      </w:pPr>
      <w:r w:rsidRPr="004761E0">
        <w:rPr>
          <w:sz w:val="26"/>
          <w:szCs w:val="26"/>
        </w:rPr>
        <w:t xml:space="preserve">Компания старается удовлетворять потребность заявителей в подключении к сетям </w:t>
      </w:r>
      <w:r w:rsidR="0008080E">
        <w:rPr>
          <w:sz w:val="26"/>
          <w:szCs w:val="26"/>
        </w:rPr>
        <w:t>ОАО </w:t>
      </w:r>
      <w:r w:rsidRPr="004761E0">
        <w:rPr>
          <w:sz w:val="26"/>
          <w:szCs w:val="26"/>
        </w:rPr>
        <w:t>«МОЭСК». Так, план по присоединенной мощности в 2013 году установлен на уровне 1 07</w:t>
      </w:r>
      <w:r w:rsidR="007F0436">
        <w:rPr>
          <w:sz w:val="26"/>
          <w:szCs w:val="26"/>
        </w:rPr>
        <w:t>8</w:t>
      </w:r>
      <w:r w:rsidRPr="004761E0">
        <w:rPr>
          <w:sz w:val="26"/>
          <w:szCs w:val="26"/>
        </w:rPr>
        <w:t xml:space="preserve"> МВт. По итогам выполненных работ за 2013 год общий объем присоединенной мощности равен 1 53</w:t>
      </w:r>
      <w:r w:rsidR="007F0436">
        <w:rPr>
          <w:sz w:val="26"/>
          <w:szCs w:val="26"/>
        </w:rPr>
        <w:t>1</w:t>
      </w:r>
      <w:r w:rsidRPr="004761E0">
        <w:rPr>
          <w:sz w:val="26"/>
          <w:szCs w:val="26"/>
        </w:rPr>
        <w:t xml:space="preserve"> МВт, что составило 142</w:t>
      </w:r>
      <w:r w:rsidR="0008080E">
        <w:rPr>
          <w:sz w:val="26"/>
          <w:szCs w:val="26"/>
        </w:rPr>
        <w:t> </w:t>
      </w:r>
      <w:r w:rsidRPr="004761E0">
        <w:rPr>
          <w:sz w:val="26"/>
          <w:szCs w:val="26"/>
        </w:rPr>
        <w:t>% выполнения плана за год. Для удовлетво</w:t>
      </w:r>
      <w:r w:rsidR="00E020B0">
        <w:rPr>
          <w:sz w:val="26"/>
          <w:szCs w:val="26"/>
        </w:rPr>
        <w:t xml:space="preserve">рения потребностей клиентов </w:t>
      </w:r>
      <w:r w:rsidRPr="004761E0">
        <w:rPr>
          <w:sz w:val="26"/>
          <w:szCs w:val="26"/>
        </w:rPr>
        <w:t xml:space="preserve">разработаны различные регламентирующие документы, например регламент процесса «Осуществление технологического присоединения к электрическим сетям </w:t>
      </w:r>
      <w:r w:rsidR="0008080E">
        <w:rPr>
          <w:sz w:val="26"/>
          <w:szCs w:val="26"/>
        </w:rPr>
        <w:t>ОАО </w:t>
      </w:r>
      <w:r w:rsidRPr="004761E0">
        <w:rPr>
          <w:sz w:val="26"/>
          <w:szCs w:val="26"/>
        </w:rPr>
        <w:t xml:space="preserve">«МОЭСК» в г. Москве и Московской области» и регламент взаимодействия с </w:t>
      </w:r>
      <w:r w:rsidR="0008080E">
        <w:rPr>
          <w:sz w:val="26"/>
          <w:szCs w:val="26"/>
        </w:rPr>
        <w:t>ОАО </w:t>
      </w:r>
      <w:r w:rsidRPr="004761E0">
        <w:rPr>
          <w:sz w:val="26"/>
          <w:szCs w:val="26"/>
        </w:rPr>
        <w:t xml:space="preserve">«Мосэнергосбыт», Стандарты обслуживания потребителей услуг и др. Реализована возможность подачи напряжения и оформления допуска ЭПУ на месте, реализована возможность подачи заявки на ТП в офисе </w:t>
      </w:r>
      <w:r w:rsidR="0008080E">
        <w:rPr>
          <w:sz w:val="26"/>
          <w:szCs w:val="26"/>
        </w:rPr>
        <w:t>ОАО </w:t>
      </w:r>
      <w:r w:rsidRPr="004761E0">
        <w:rPr>
          <w:sz w:val="26"/>
          <w:szCs w:val="26"/>
        </w:rPr>
        <w:t>«Мосэнергосбыт». В Правительство Москвы и Минэкономразвития направлены предложения по сокращению сроков оформления исходно-разрешительной документации.</w:t>
      </w:r>
    </w:p>
    <w:p w:rsidR="003B0EA7" w:rsidRPr="004761E0" w:rsidRDefault="004546A6" w:rsidP="003B0EA7">
      <w:pPr>
        <w:tabs>
          <w:tab w:val="left" w:pos="426"/>
        </w:tabs>
        <w:ind w:firstLine="567"/>
        <w:rPr>
          <w:sz w:val="26"/>
          <w:szCs w:val="26"/>
        </w:rPr>
      </w:pPr>
      <w:r>
        <w:rPr>
          <w:sz w:val="26"/>
          <w:szCs w:val="26"/>
        </w:rPr>
        <w:t>На п</w:t>
      </w:r>
      <w:r w:rsidR="003B0EA7" w:rsidRPr="004761E0">
        <w:rPr>
          <w:sz w:val="26"/>
          <w:szCs w:val="26"/>
        </w:rPr>
        <w:t xml:space="preserve">ортале ТП размещена интерактивная карта с питающими центрами </w:t>
      </w:r>
      <w:r w:rsidR="0008080E">
        <w:rPr>
          <w:sz w:val="26"/>
          <w:szCs w:val="26"/>
        </w:rPr>
        <w:t>ОАО </w:t>
      </w:r>
      <w:r w:rsidR="003B0EA7" w:rsidRPr="004761E0">
        <w:rPr>
          <w:sz w:val="26"/>
          <w:szCs w:val="26"/>
        </w:rPr>
        <w:t>«МОЭСК» с указанием резерва мощности, внедрен сервис «присоединись по-крупному», где можно выбрать районы с наличием резерва мощности более 50 МВт</w:t>
      </w:r>
      <w:r w:rsidR="007877E1">
        <w:rPr>
          <w:sz w:val="26"/>
          <w:szCs w:val="26"/>
        </w:rPr>
        <w:t>.</w:t>
      </w:r>
    </w:p>
    <w:p w:rsidR="003B0EA7" w:rsidRPr="004761E0" w:rsidRDefault="003B0EA7" w:rsidP="003B0EA7">
      <w:pPr>
        <w:tabs>
          <w:tab w:val="left" w:pos="426"/>
        </w:tabs>
        <w:ind w:firstLine="567"/>
        <w:rPr>
          <w:sz w:val="26"/>
          <w:szCs w:val="26"/>
        </w:rPr>
      </w:pPr>
      <w:r w:rsidRPr="004761E0">
        <w:rPr>
          <w:sz w:val="26"/>
          <w:szCs w:val="26"/>
        </w:rPr>
        <w:t xml:space="preserve">Разработан сервис, который позволит размещать на сайте </w:t>
      </w:r>
      <w:r w:rsidR="0008080E">
        <w:rPr>
          <w:sz w:val="26"/>
          <w:szCs w:val="26"/>
        </w:rPr>
        <w:t>ОАО </w:t>
      </w:r>
      <w:r w:rsidRPr="004761E0">
        <w:rPr>
          <w:sz w:val="26"/>
          <w:szCs w:val="26"/>
        </w:rPr>
        <w:t>«МОЭСК» информацию о лицах, желающих перераспределить свою максимальную мощность.</w:t>
      </w:r>
    </w:p>
    <w:p w:rsidR="003B0EA7" w:rsidRPr="004761E0" w:rsidRDefault="003B0EA7" w:rsidP="003B0EA7">
      <w:pPr>
        <w:tabs>
          <w:tab w:val="left" w:pos="426"/>
        </w:tabs>
        <w:spacing w:before="120" w:after="120"/>
        <w:ind w:firstLine="567"/>
        <w:rPr>
          <w:b/>
          <w:sz w:val="26"/>
          <w:szCs w:val="26"/>
        </w:rPr>
      </w:pPr>
      <w:r w:rsidRPr="004761E0">
        <w:rPr>
          <w:b/>
          <w:sz w:val="26"/>
          <w:szCs w:val="26"/>
        </w:rPr>
        <w:t>Появились ли в рамках курируемого направления новые бизнес-процессы (если да, то необходимо их вкратце описать)</w:t>
      </w:r>
    </w:p>
    <w:p w:rsidR="003B0EA7" w:rsidRPr="004761E0" w:rsidRDefault="003B0EA7" w:rsidP="003B0EA7">
      <w:pPr>
        <w:ind w:firstLine="567"/>
        <w:rPr>
          <w:sz w:val="26"/>
          <w:szCs w:val="26"/>
        </w:rPr>
      </w:pPr>
      <w:r w:rsidRPr="004761E0">
        <w:rPr>
          <w:sz w:val="26"/>
          <w:szCs w:val="26"/>
        </w:rPr>
        <w:t xml:space="preserve">С целью повышения эффективности деятельности по технологическому присоединению и повышения качества обслуживания в Обществе внедрена практика работы Персонального менеджера по работе с крупными и системными потребителями услуг технологического присоединения к электрическим сетям </w:t>
      </w:r>
      <w:r w:rsidR="0008080E">
        <w:rPr>
          <w:sz w:val="26"/>
          <w:szCs w:val="26"/>
        </w:rPr>
        <w:t>ОАО </w:t>
      </w:r>
      <w:r w:rsidR="004E121E" w:rsidRPr="004761E0">
        <w:rPr>
          <w:sz w:val="26"/>
          <w:szCs w:val="26"/>
        </w:rPr>
        <w:t xml:space="preserve">«МОЭСК». В начале 2013 года </w:t>
      </w:r>
      <w:r w:rsidRPr="004761E0">
        <w:rPr>
          <w:sz w:val="26"/>
          <w:szCs w:val="26"/>
        </w:rPr>
        <w:t xml:space="preserve">запущен проект развития дополнительных сервисов компании. В </w:t>
      </w:r>
      <w:r w:rsidRPr="004761E0">
        <w:rPr>
          <w:sz w:val="26"/>
          <w:szCs w:val="26"/>
        </w:rPr>
        <w:lastRenderedPageBreak/>
        <w:t xml:space="preserve">рамках реализации политики клиентоориентированности и упрощения процедуры ТП в Западном филиале </w:t>
      </w:r>
      <w:r w:rsidR="0008080E">
        <w:rPr>
          <w:sz w:val="26"/>
          <w:szCs w:val="26"/>
        </w:rPr>
        <w:t>ОАО </w:t>
      </w:r>
      <w:r w:rsidRPr="004761E0">
        <w:rPr>
          <w:sz w:val="26"/>
          <w:szCs w:val="26"/>
        </w:rPr>
        <w:t xml:space="preserve">«МОЭСК» введена новая услуга «Технологическое присоединение «под ключ», которая подразумевает выполнение работ на стороне клиента согласно техническим условиям силами </w:t>
      </w:r>
      <w:r w:rsidR="0008080E">
        <w:rPr>
          <w:sz w:val="26"/>
          <w:szCs w:val="26"/>
        </w:rPr>
        <w:t>ОАО </w:t>
      </w:r>
      <w:r w:rsidRPr="004761E0">
        <w:rPr>
          <w:sz w:val="26"/>
          <w:szCs w:val="26"/>
        </w:rPr>
        <w:t>«МОЭСК» по отдельному договору.</w:t>
      </w:r>
    </w:p>
    <w:p w:rsidR="003B0EA7" w:rsidRPr="004761E0" w:rsidRDefault="003B0EA7" w:rsidP="00B20C95">
      <w:pPr>
        <w:spacing w:before="120" w:after="120"/>
        <w:ind w:firstLine="567"/>
        <w:rPr>
          <w:b/>
          <w:noProof/>
          <w:sz w:val="26"/>
          <w:szCs w:val="26"/>
          <w:lang w:eastAsia="ru-RU"/>
        </w:rPr>
      </w:pPr>
      <w:r w:rsidRPr="004761E0">
        <w:rPr>
          <w:b/>
          <w:noProof/>
          <w:sz w:val="26"/>
          <w:szCs w:val="26"/>
          <w:lang w:eastAsia="ru-RU"/>
        </w:rPr>
        <w:t>Каковы основные планы на следующий год</w:t>
      </w:r>
    </w:p>
    <w:p w:rsidR="003B0EA7" w:rsidRPr="004761E0" w:rsidRDefault="003B0EA7" w:rsidP="003B0EA7">
      <w:pPr>
        <w:ind w:right="-143" w:firstLine="567"/>
        <w:rPr>
          <w:sz w:val="26"/>
          <w:szCs w:val="26"/>
        </w:rPr>
      </w:pPr>
      <w:r w:rsidRPr="004761E0">
        <w:rPr>
          <w:sz w:val="26"/>
          <w:szCs w:val="26"/>
        </w:rPr>
        <w:t xml:space="preserve">Безусловно, проводимые компанией реформы не ограничатся только текущим годом, основная работа в части улучшения показателей рейтинга </w:t>
      </w:r>
      <w:r w:rsidRPr="004761E0">
        <w:rPr>
          <w:sz w:val="26"/>
          <w:szCs w:val="26"/>
          <w:lang w:val="en-US"/>
        </w:rPr>
        <w:t>Doing</w:t>
      </w:r>
      <w:r w:rsidRPr="004761E0">
        <w:rPr>
          <w:sz w:val="26"/>
          <w:szCs w:val="26"/>
        </w:rPr>
        <w:t xml:space="preserve"> </w:t>
      </w:r>
      <w:r w:rsidRPr="004761E0">
        <w:rPr>
          <w:sz w:val="26"/>
          <w:szCs w:val="26"/>
          <w:lang w:val="en-US"/>
        </w:rPr>
        <w:t>Business</w:t>
      </w:r>
      <w:r w:rsidRPr="004761E0">
        <w:rPr>
          <w:sz w:val="26"/>
          <w:szCs w:val="26"/>
        </w:rPr>
        <w:t xml:space="preserve"> и, как следствие, улучшения делового климата, только начинается.</w:t>
      </w:r>
    </w:p>
    <w:p w:rsidR="003B0EA7" w:rsidRPr="004761E0" w:rsidRDefault="003B0EA7" w:rsidP="003B0EA7">
      <w:pPr>
        <w:tabs>
          <w:tab w:val="left" w:pos="0"/>
        </w:tabs>
        <w:ind w:firstLine="567"/>
        <w:rPr>
          <w:sz w:val="26"/>
          <w:szCs w:val="26"/>
        </w:rPr>
      </w:pPr>
      <w:r w:rsidRPr="004761E0">
        <w:rPr>
          <w:sz w:val="26"/>
          <w:szCs w:val="26"/>
        </w:rPr>
        <w:t>На 2014 год запланировано достижение следующих целевых показателей для клиентов, подключающих мощность до 150 кВт, а именно сокращение количества этапов, необходимых для получения доступа к электрической сети:  проект «3 шага – 2 визита». Мы планируем продолжить работу по сокращению срока подключения к электрической сети, сокращению количество этапов присоединения и упрощению всей процедуры присоединения от подачи заявки до подачи напряжения. В результате станет возможным выдача договора энергоснабжения в один день с актами о технологическом присоединении</w:t>
      </w:r>
      <w:r w:rsidR="00FB3DDA">
        <w:rPr>
          <w:sz w:val="26"/>
          <w:szCs w:val="26"/>
        </w:rPr>
        <w:t>.</w:t>
      </w:r>
      <w:r w:rsidRPr="004761E0">
        <w:rPr>
          <w:sz w:val="26"/>
          <w:szCs w:val="26"/>
        </w:rPr>
        <w:t xml:space="preserve"> Срок подключения к электрической сети – 90 дней, а к 2018 году  этот же показатель должен снизиться до  40 дней. Для более крупных заявителей с максимальной мощностью до 670 кВт срок подключения в 2014 году планируем снизить до 125 дней. </w:t>
      </w:r>
    </w:p>
    <w:p w:rsidR="003B0EA7" w:rsidRPr="004761E0" w:rsidRDefault="003B0EA7" w:rsidP="003B0EA7">
      <w:pPr>
        <w:pStyle w:val="a5"/>
        <w:tabs>
          <w:tab w:val="left" w:pos="0"/>
        </w:tabs>
        <w:ind w:left="0" w:firstLine="567"/>
        <w:rPr>
          <w:bCs/>
          <w:sz w:val="26"/>
          <w:szCs w:val="26"/>
        </w:rPr>
      </w:pPr>
      <w:r w:rsidRPr="004761E0">
        <w:rPr>
          <w:bCs/>
          <w:sz w:val="26"/>
          <w:szCs w:val="26"/>
        </w:rPr>
        <w:t>Много усовершенствований и н</w:t>
      </w:r>
      <w:r w:rsidR="004546A6">
        <w:rPr>
          <w:bCs/>
          <w:sz w:val="26"/>
          <w:szCs w:val="26"/>
        </w:rPr>
        <w:t>овых сервисов запланировано на п</w:t>
      </w:r>
      <w:r w:rsidRPr="004761E0">
        <w:rPr>
          <w:bCs/>
          <w:sz w:val="26"/>
          <w:szCs w:val="26"/>
        </w:rPr>
        <w:t>ортале ТП: прием электронных заявок всех видов с применением электронной подписи; прием электронных заявок на  последующее заключение договора энергоснабжения; прием банковских карт в качестве средств оплаты; прием электронных заявок на дополнительные услуги компании («Энерг</w:t>
      </w:r>
      <w:r w:rsidR="004546A6">
        <w:rPr>
          <w:bCs/>
          <w:sz w:val="26"/>
          <w:szCs w:val="26"/>
        </w:rPr>
        <w:t>обутик»); внедрение раздела на п</w:t>
      </w:r>
      <w:r w:rsidRPr="004761E0">
        <w:rPr>
          <w:bCs/>
          <w:sz w:val="26"/>
          <w:szCs w:val="26"/>
        </w:rPr>
        <w:t>ортале ТП по временному присоединению; внедрение  раздела Личного  кабинета по проверке, монтажу и замене приборов учета.</w:t>
      </w:r>
    </w:p>
    <w:p w:rsidR="003B0EA7" w:rsidRPr="004761E0" w:rsidRDefault="003B0EA7" w:rsidP="003B0EA7">
      <w:pPr>
        <w:tabs>
          <w:tab w:val="left" w:pos="426"/>
        </w:tabs>
        <w:ind w:firstLine="567"/>
        <w:rPr>
          <w:sz w:val="26"/>
          <w:szCs w:val="26"/>
        </w:rPr>
      </w:pPr>
      <w:r w:rsidRPr="004761E0">
        <w:rPr>
          <w:sz w:val="26"/>
          <w:szCs w:val="26"/>
        </w:rPr>
        <w:t xml:space="preserve">На 2014 год запланирована разработка Комплексной программы развития электрических сетей напряжением 110 (35) кВ и выше на территории г. Москвы и Московской области на период 2014–2019 гг. и до 2025 г.», </w:t>
      </w:r>
    </w:p>
    <w:p w:rsidR="003B0EA7" w:rsidRPr="004761E0" w:rsidRDefault="003B0EA7" w:rsidP="003B0EA7">
      <w:pPr>
        <w:tabs>
          <w:tab w:val="left" w:pos="0"/>
        </w:tabs>
        <w:ind w:firstLine="567"/>
        <w:rPr>
          <w:sz w:val="26"/>
          <w:szCs w:val="26"/>
        </w:rPr>
      </w:pPr>
      <w:r w:rsidRPr="004761E0">
        <w:rPr>
          <w:sz w:val="26"/>
          <w:szCs w:val="26"/>
        </w:rPr>
        <w:t>В 2015 году будет завершена разработка:</w:t>
      </w:r>
    </w:p>
    <w:p w:rsidR="003B0EA7" w:rsidRPr="004761E0" w:rsidRDefault="003B0EA7" w:rsidP="007076A7">
      <w:pPr>
        <w:pStyle w:val="a5"/>
        <w:numPr>
          <w:ilvl w:val="0"/>
          <w:numId w:val="271"/>
        </w:numPr>
        <w:tabs>
          <w:tab w:val="left" w:pos="0"/>
        </w:tabs>
        <w:ind w:left="1134" w:hanging="567"/>
        <w:rPr>
          <w:sz w:val="26"/>
          <w:szCs w:val="26"/>
        </w:rPr>
      </w:pPr>
      <w:r w:rsidRPr="004761E0">
        <w:rPr>
          <w:sz w:val="26"/>
          <w:szCs w:val="26"/>
        </w:rPr>
        <w:t>схемы перспективного развития распределительных сетей напряжением 20 кВ в г. Москве;</w:t>
      </w:r>
    </w:p>
    <w:p w:rsidR="003B0EA7" w:rsidRPr="004761E0" w:rsidRDefault="003B0EA7" w:rsidP="007076A7">
      <w:pPr>
        <w:pStyle w:val="a5"/>
        <w:numPr>
          <w:ilvl w:val="0"/>
          <w:numId w:val="271"/>
        </w:numPr>
        <w:tabs>
          <w:tab w:val="left" w:pos="0"/>
        </w:tabs>
        <w:ind w:left="1134" w:hanging="567"/>
        <w:rPr>
          <w:sz w:val="26"/>
          <w:szCs w:val="26"/>
        </w:rPr>
      </w:pPr>
      <w:r w:rsidRPr="004761E0">
        <w:rPr>
          <w:sz w:val="26"/>
          <w:szCs w:val="26"/>
        </w:rPr>
        <w:t>схемы развития электрических сетей муниципальных районов Московской области напряжением 6-20 кВ (сетей РЭС) по оставшимся 34 РЭС.</w:t>
      </w:r>
    </w:p>
    <w:p w:rsidR="003B0EA7" w:rsidRPr="00B6020E" w:rsidRDefault="003B0EA7" w:rsidP="003B0EA7">
      <w:pPr>
        <w:tabs>
          <w:tab w:val="left" w:pos="0"/>
        </w:tabs>
        <w:ind w:firstLine="567"/>
        <w:rPr>
          <w:sz w:val="26"/>
          <w:szCs w:val="26"/>
        </w:rPr>
      </w:pPr>
      <w:r w:rsidRPr="004761E0">
        <w:rPr>
          <w:sz w:val="26"/>
          <w:szCs w:val="26"/>
        </w:rPr>
        <w:t xml:space="preserve">В планах, конечно же, дальнейшая автоматизация всех этапов процесса подключения к электрическим сетям. Создание и запуск в опытно-промышленную  эксплуатацию программного комплекса – КОРПОРАТИВНОЙ ГЕОИНФОРМАЦИОННОЙ СИСТЕМЫ (КГИС) по созданию электронной модели распределительной сети </w:t>
      </w:r>
      <w:r w:rsidR="0008080E">
        <w:rPr>
          <w:sz w:val="26"/>
          <w:szCs w:val="26"/>
        </w:rPr>
        <w:t>ОАО </w:t>
      </w:r>
      <w:r w:rsidRPr="004761E0">
        <w:rPr>
          <w:sz w:val="26"/>
          <w:szCs w:val="26"/>
        </w:rPr>
        <w:t>«МОЭСК» с учетом топографических данных по Москве и Московской области.</w:t>
      </w:r>
    </w:p>
    <w:p w:rsidR="00B20C95" w:rsidRPr="00B6020E" w:rsidRDefault="00B20C95">
      <w:pPr>
        <w:ind w:firstLine="0"/>
        <w:jc w:val="left"/>
        <w:rPr>
          <w:sz w:val="26"/>
          <w:szCs w:val="26"/>
        </w:rPr>
      </w:pPr>
      <w:r w:rsidRPr="00B6020E">
        <w:rPr>
          <w:sz w:val="26"/>
          <w:szCs w:val="26"/>
        </w:rPr>
        <w:br w:type="page"/>
      </w:r>
    </w:p>
    <w:p w:rsidR="008505CC" w:rsidRPr="004761E0" w:rsidRDefault="00E34ACB" w:rsidP="007076A7">
      <w:pPr>
        <w:pStyle w:val="a8"/>
        <w:numPr>
          <w:ilvl w:val="1"/>
          <w:numId w:val="321"/>
        </w:numPr>
        <w:spacing w:before="120" w:after="120"/>
        <w:ind w:left="1134" w:hanging="567"/>
        <w:jc w:val="both"/>
        <w:rPr>
          <w:rFonts w:ascii="Times New Roman" w:hAnsi="Times New Roman"/>
          <w:b/>
          <w:sz w:val="26"/>
          <w:szCs w:val="26"/>
          <w:lang w:eastAsia="ru-RU"/>
        </w:rPr>
      </w:pPr>
      <w:bookmarkStart w:id="51" w:name="_Toc380576910"/>
      <w:bookmarkStart w:id="52" w:name="_Toc385339808"/>
      <w:r w:rsidRPr="004761E0">
        <w:rPr>
          <w:rFonts w:ascii="Times New Roman" w:hAnsi="Times New Roman"/>
          <w:b/>
          <w:sz w:val="26"/>
          <w:szCs w:val="26"/>
        </w:rPr>
        <w:lastRenderedPageBreak/>
        <w:t>Технологическое присоединение</w:t>
      </w:r>
      <w:bookmarkEnd w:id="51"/>
      <w:bookmarkEnd w:id="52"/>
    </w:p>
    <w:tbl>
      <w:tblPr>
        <w:tblW w:w="9936" w:type="dxa"/>
        <w:tblInd w:w="95" w:type="dxa"/>
        <w:tblLook w:val="04A0"/>
      </w:tblPr>
      <w:tblGrid>
        <w:gridCol w:w="580"/>
        <w:gridCol w:w="4820"/>
        <w:gridCol w:w="1134"/>
        <w:gridCol w:w="1134"/>
        <w:gridCol w:w="1134"/>
        <w:gridCol w:w="1134"/>
      </w:tblGrid>
      <w:tr w:rsidR="00343EAB" w:rsidRPr="004761E0" w:rsidTr="0048107C">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343EAB" w:rsidRPr="004761E0" w:rsidRDefault="00343EAB" w:rsidP="00343EAB">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48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43EAB" w:rsidRPr="004761E0" w:rsidRDefault="00343EAB" w:rsidP="00343EAB">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43EAB" w:rsidRPr="004761E0" w:rsidRDefault="00343EAB" w:rsidP="00343EAB">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43EAB" w:rsidRPr="004761E0" w:rsidRDefault="00343EAB" w:rsidP="00343EAB">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43EAB" w:rsidRPr="004761E0" w:rsidRDefault="00343EAB" w:rsidP="00343EAB">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343EAB" w:rsidRPr="004761E0" w:rsidRDefault="00343EAB" w:rsidP="00343EAB">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343EAB" w:rsidRPr="004761E0" w:rsidTr="0048107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343EAB" w:rsidRPr="004761E0" w:rsidRDefault="00343EAB" w:rsidP="007076A7">
            <w:pPr>
              <w:numPr>
                <w:ilvl w:val="0"/>
                <w:numId w:val="103"/>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343EAB" w:rsidRPr="004761E0" w:rsidRDefault="00681D58" w:rsidP="0048107C">
            <w:pPr>
              <w:ind w:firstLine="0"/>
              <w:jc w:val="left"/>
              <w:rPr>
                <w:rFonts w:eastAsia="Times New Roman"/>
                <w:color w:val="000000"/>
                <w:sz w:val="20"/>
                <w:szCs w:val="20"/>
                <w:lang w:eastAsia="ru-RU"/>
              </w:rPr>
            </w:pPr>
            <w:r w:rsidRPr="004761E0">
              <w:rPr>
                <w:rFonts w:eastAsia="Times New Roman"/>
                <w:color w:val="000000"/>
                <w:sz w:val="20"/>
                <w:szCs w:val="20"/>
                <w:lang w:eastAsia="ru-RU"/>
              </w:rPr>
              <w:t>К</w:t>
            </w:r>
            <w:r w:rsidR="00343EAB" w:rsidRPr="004761E0">
              <w:rPr>
                <w:rFonts w:eastAsia="Times New Roman"/>
                <w:color w:val="000000"/>
                <w:sz w:val="20"/>
                <w:szCs w:val="20"/>
                <w:lang w:eastAsia="ru-RU"/>
              </w:rPr>
              <w:t>оличество поданных заявок на технологическое присоединение, шт.</w:t>
            </w:r>
          </w:p>
        </w:tc>
        <w:tc>
          <w:tcPr>
            <w:tcW w:w="1134"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343EAB">
            <w:pPr>
              <w:ind w:firstLine="0"/>
              <w:jc w:val="right"/>
              <w:rPr>
                <w:rFonts w:eastAsia="Times New Roman"/>
                <w:color w:val="000000"/>
                <w:sz w:val="20"/>
                <w:szCs w:val="20"/>
                <w:lang w:eastAsia="ru-RU"/>
              </w:rPr>
            </w:pPr>
            <w:r w:rsidRPr="004761E0">
              <w:rPr>
                <w:rFonts w:eastAsia="Times New Roman"/>
                <w:color w:val="000000"/>
                <w:sz w:val="20"/>
                <w:szCs w:val="20"/>
                <w:lang w:eastAsia="ru-RU"/>
              </w:rPr>
              <w:t>33 543</w:t>
            </w:r>
          </w:p>
        </w:tc>
        <w:tc>
          <w:tcPr>
            <w:tcW w:w="1134"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343EAB">
            <w:pPr>
              <w:ind w:firstLine="0"/>
              <w:jc w:val="right"/>
              <w:rPr>
                <w:rFonts w:eastAsia="Times New Roman"/>
                <w:color w:val="000000"/>
                <w:sz w:val="20"/>
                <w:szCs w:val="20"/>
                <w:lang w:eastAsia="ru-RU"/>
              </w:rPr>
            </w:pPr>
            <w:r w:rsidRPr="004761E0">
              <w:rPr>
                <w:rFonts w:eastAsia="Times New Roman"/>
                <w:color w:val="000000"/>
                <w:sz w:val="20"/>
                <w:szCs w:val="20"/>
                <w:lang w:eastAsia="ru-RU"/>
              </w:rPr>
              <w:t>53 163</w:t>
            </w:r>
          </w:p>
        </w:tc>
        <w:tc>
          <w:tcPr>
            <w:tcW w:w="1134"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343EAB">
            <w:pPr>
              <w:ind w:firstLine="0"/>
              <w:jc w:val="right"/>
              <w:rPr>
                <w:rFonts w:eastAsia="Times New Roman"/>
                <w:color w:val="000000"/>
                <w:sz w:val="20"/>
                <w:szCs w:val="20"/>
                <w:lang w:eastAsia="ru-RU"/>
              </w:rPr>
            </w:pPr>
            <w:r w:rsidRPr="004761E0">
              <w:rPr>
                <w:rFonts w:eastAsia="Times New Roman"/>
                <w:color w:val="000000"/>
                <w:sz w:val="20"/>
                <w:szCs w:val="20"/>
                <w:lang w:eastAsia="ru-RU"/>
              </w:rPr>
              <w:t>91 610</w:t>
            </w:r>
          </w:p>
        </w:tc>
        <w:tc>
          <w:tcPr>
            <w:tcW w:w="1134"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343EAB">
            <w:pPr>
              <w:ind w:firstLine="0"/>
              <w:jc w:val="right"/>
              <w:rPr>
                <w:rFonts w:eastAsia="Times New Roman"/>
                <w:color w:val="000000"/>
                <w:sz w:val="20"/>
                <w:szCs w:val="20"/>
                <w:lang w:eastAsia="ru-RU"/>
              </w:rPr>
            </w:pPr>
            <w:r w:rsidRPr="004761E0">
              <w:rPr>
                <w:rFonts w:eastAsia="Times New Roman"/>
                <w:color w:val="000000"/>
                <w:sz w:val="20"/>
                <w:szCs w:val="20"/>
                <w:lang w:eastAsia="ru-RU"/>
              </w:rPr>
              <w:t>72,32 %</w:t>
            </w:r>
          </w:p>
        </w:tc>
      </w:tr>
      <w:tr w:rsidR="00343EAB" w:rsidRPr="004761E0" w:rsidTr="0048107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343EAB" w:rsidRPr="004761E0" w:rsidRDefault="00343EAB" w:rsidP="007076A7">
            <w:pPr>
              <w:numPr>
                <w:ilvl w:val="0"/>
                <w:numId w:val="103"/>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343EAB" w:rsidRPr="004761E0" w:rsidRDefault="00681D58" w:rsidP="00343EAB">
            <w:pPr>
              <w:ind w:firstLine="0"/>
              <w:jc w:val="left"/>
              <w:rPr>
                <w:rFonts w:eastAsia="Times New Roman"/>
                <w:color w:val="000000"/>
                <w:sz w:val="20"/>
                <w:szCs w:val="20"/>
                <w:lang w:eastAsia="ru-RU"/>
              </w:rPr>
            </w:pPr>
            <w:r w:rsidRPr="004761E0">
              <w:rPr>
                <w:rFonts w:eastAsia="Times New Roman"/>
                <w:color w:val="000000"/>
                <w:sz w:val="20"/>
                <w:szCs w:val="20"/>
                <w:lang w:eastAsia="ru-RU"/>
              </w:rPr>
              <w:t>М</w:t>
            </w:r>
            <w:r w:rsidR="00343EAB" w:rsidRPr="004761E0">
              <w:rPr>
                <w:rFonts w:eastAsia="Times New Roman"/>
                <w:color w:val="000000"/>
                <w:sz w:val="20"/>
                <w:szCs w:val="20"/>
                <w:lang w:eastAsia="ru-RU"/>
              </w:rPr>
              <w:t>ощность по поданным заявкам на технологическое присоединение, МВт</w:t>
            </w:r>
          </w:p>
        </w:tc>
        <w:tc>
          <w:tcPr>
            <w:tcW w:w="1134"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343EAB">
            <w:pPr>
              <w:ind w:firstLine="0"/>
              <w:jc w:val="right"/>
              <w:rPr>
                <w:rFonts w:eastAsia="Times New Roman"/>
                <w:color w:val="000000"/>
                <w:sz w:val="20"/>
                <w:szCs w:val="20"/>
                <w:lang w:eastAsia="ru-RU"/>
              </w:rPr>
            </w:pPr>
            <w:r w:rsidRPr="004761E0">
              <w:rPr>
                <w:rFonts w:eastAsia="Times New Roman"/>
                <w:color w:val="000000"/>
                <w:sz w:val="20"/>
                <w:szCs w:val="20"/>
                <w:lang w:eastAsia="ru-RU"/>
              </w:rPr>
              <w:t>5 660</w:t>
            </w:r>
          </w:p>
        </w:tc>
        <w:tc>
          <w:tcPr>
            <w:tcW w:w="1134"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343EAB">
            <w:pPr>
              <w:ind w:firstLine="0"/>
              <w:jc w:val="right"/>
              <w:rPr>
                <w:rFonts w:eastAsia="Times New Roman"/>
                <w:color w:val="000000"/>
                <w:sz w:val="20"/>
                <w:szCs w:val="20"/>
                <w:lang w:eastAsia="ru-RU"/>
              </w:rPr>
            </w:pPr>
            <w:r w:rsidRPr="004761E0">
              <w:rPr>
                <w:rFonts w:eastAsia="Times New Roman"/>
                <w:color w:val="000000"/>
                <w:sz w:val="20"/>
                <w:szCs w:val="20"/>
                <w:lang w:eastAsia="ru-RU"/>
              </w:rPr>
              <w:t>8 171</w:t>
            </w:r>
          </w:p>
        </w:tc>
        <w:tc>
          <w:tcPr>
            <w:tcW w:w="1134"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343EAB">
            <w:pPr>
              <w:ind w:firstLine="0"/>
              <w:jc w:val="right"/>
              <w:rPr>
                <w:rFonts w:eastAsia="Times New Roman"/>
                <w:color w:val="000000"/>
                <w:sz w:val="20"/>
                <w:szCs w:val="20"/>
                <w:lang w:eastAsia="ru-RU"/>
              </w:rPr>
            </w:pPr>
            <w:r w:rsidRPr="004761E0">
              <w:rPr>
                <w:rFonts w:eastAsia="Times New Roman"/>
                <w:color w:val="000000"/>
                <w:sz w:val="20"/>
                <w:szCs w:val="20"/>
                <w:lang w:eastAsia="ru-RU"/>
              </w:rPr>
              <w:t>8 841</w:t>
            </w:r>
          </w:p>
        </w:tc>
        <w:tc>
          <w:tcPr>
            <w:tcW w:w="1134"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343EAB">
            <w:pPr>
              <w:ind w:firstLine="0"/>
              <w:jc w:val="right"/>
              <w:rPr>
                <w:rFonts w:eastAsia="Times New Roman"/>
                <w:color w:val="000000"/>
                <w:sz w:val="20"/>
                <w:szCs w:val="20"/>
                <w:lang w:eastAsia="ru-RU"/>
              </w:rPr>
            </w:pPr>
            <w:r w:rsidRPr="004761E0">
              <w:rPr>
                <w:rFonts w:eastAsia="Times New Roman"/>
                <w:color w:val="000000"/>
                <w:sz w:val="20"/>
                <w:szCs w:val="20"/>
                <w:lang w:eastAsia="ru-RU"/>
              </w:rPr>
              <w:t>8,20 %</w:t>
            </w:r>
          </w:p>
        </w:tc>
      </w:tr>
      <w:tr w:rsidR="00343EAB" w:rsidRPr="004761E0" w:rsidTr="0048107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343EAB" w:rsidRPr="004761E0" w:rsidRDefault="00343EAB" w:rsidP="007076A7">
            <w:pPr>
              <w:numPr>
                <w:ilvl w:val="0"/>
                <w:numId w:val="103"/>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343EAB" w:rsidRPr="004761E0" w:rsidRDefault="00681D58" w:rsidP="00343EAB">
            <w:pPr>
              <w:ind w:firstLine="0"/>
              <w:jc w:val="left"/>
              <w:rPr>
                <w:rFonts w:eastAsia="Times New Roman"/>
                <w:color w:val="000000"/>
                <w:sz w:val="20"/>
                <w:szCs w:val="20"/>
                <w:lang w:eastAsia="ru-RU"/>
              </w:rPr>
            </w:pPr>
            <w:r w:rsidRPr="004761E0">
              <w:rPr>
                <w:rFonts w:eastAsia="Times New Roman"/>
                <w:color w:val="000000"/>
                <w:sz w:val="20"/>
                <w:szCs w:val="20"/>
                <w:lang w:eastAsia="ru-RU"/>
              </w:rPr>
              <w:t>К</w:t>
            </w:r>
            <w:r w:rsidR="00343EAB" w:rsidRPr="004761E0">
              <w:rPr>
                <w:rFonts w:eastAsia="Times New Roman"/>
                <w:color w:val="000000"/>
                <w:sz w:val="20"/>
                <w:szCs w:val="20"/>
                <w:lang w:eastAsia="ru-RU"/>
              </w:rPr>
              <w:t>оличество заключенных договоров на технологическое присоединение, шт.</w:t>
            </w:r>
          </w:p>
        </w:tc>
        <w:tc>
          <w:tcPr>
            <w:tcW w:w="1134"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343EAB">
            <w:pPr>
              <w:ind w:firstLine="0"/>
              <w:jc w:val="right"/>
              <w:rPr>
                <w:rFonts w:eastAsia="Times New Roman"/>
                <w:color w:val="000000"/>
                <w:sz w:val="20"/>
                <w:szCs w:val="20"/>
                <w:lang w:eastAsia="ru-RU"/>
              </w:rPr>
            </w:pPr>
            <w:r w:rsidRPr="004761E0">
              <w:rPr>
                <w:rFonts w:eastAsia="Times New Roman"/>
                <w:color w:val="000000"/>
                <w:sz w:val="20"/>
                <w:szCs w:val="20"/>
                <w:lang w:eastAsia="ru-RU"/>
              </w:rPr>
              <w:t>22 890</w:t>
            </w:r>
          </w:p>
        </w:tc>
        <w:tc>
          <w:tcPr>
            <w:tcW w:w="1134"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343EAB">
            <w:pPr>
              <w:ind w:firstLine="0"/>
              <w:jc w:val="right"/>
              <w:rPr>
                <w:rFonts w:eastAsia="Times New Roman"/>
                <w:color w:val="000000"/>
                <w:sz w:val="20"/>
                <w:szCs w:val="20"/>
                <w:lang w:eastAsia="ru-RU"/>
              </w:rPr>
            </w:pPr>
            <w:r w:rsidRPr="004761E0">
              <w:rPr>
                <w:rFonts w:eastAsia="Times New Roman"/>
                <w:color w:val="000000"/>
                <w:sz w:val="20"/>
                <w:szCs w:val="20"/>
                <w:lang w:eastAsia="ru-RU"/>
              </w:rPr>
              <w:t>37 505</w:t>
            </w:r>
          </w:p>
        </w:tc>
        <w:tc>
          <w:tcPr>
            <w:tcW w:w="1134"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343EAB">
            <w:pPr>
              <w:ind w:firstLine="0"/>
              <w:jc w:val="right"/>
              <w:rPr>
                <w:rFonts w:eastAsia="Times New Roman"/>
                <w:color w:val="000000"/>
                <w:sz w:val="20"/>
                <w:szCs w:val="20"/>
                <w:lang w:eastAsia="ru-RU"/>
              </w:rPr>
            </w:pPr>
            <w:r w:rsidRPr="004761E0">
              <w:rPr>
                <w:rFonts w:eastAsia="Times New Roman"/>
                <w:color w:val="000000"/>
                <w:sz w:val="20"/>
                <w:szCs w:val="20"/>
                <w:lang w:eastAsia="ru-RU"/>
              </w:rPr>
              <w:t>70 877</w:t>
            </w:r>
          </w:p>
        </w:tc>
        <w:tc>
          <w:tcPr>
            <w:tcW w:w="1134"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343EAB">
            <w:pPr>
              <w:ind w:firstLine="0"/>
              <w:jc w:val="right"/>
              <w:rPr>
                <w:rFonts w:eastAsia="Times New Roman"/>
                <w:color w:val="000000"/>
                <w:sz w:val="20"/>
                <w:szCs w:val="20"/>
                <w:lang w:eastAsia="ru-RU"/>
              </w:rPr>
            </w:pPr>
            <w:r w:rsidRPr="004761E0">
              <w:rPr>
                <w:rFonts w:eastAsia="Times New Roman"/>
                <w:color w:val="000000"/>
                <w:sz w:val="20"/>
                <w:szCs w:val="20"/>
                <w:lang w:eastAsia="ru-RU"/>
              </w:rPr>
              <w:t>88,98 %</w:t>
            </w:r>
          </w:p>
        </w:tc>
      </w:tr>
      <w:tr w:rsidR="00343EAB" w:rsidRPr="004761E0" w:rsidTr="0048107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3EAB" w:rsidRPr="004761E0" w:rsidRDefault="00343EAB" w:rsidP="007076A7">
            <w:pPr>
              <w:numPr>
                <w:ilvl w:val="0"/>
                <w:numId w:val="103"/>
              </w:numPr>
              <w:jc w:val="left"/>
              <w:rPr>
                <w:rFonts w:eastAsia="Times New Roman"/>
                <w:color w:val="000000"/>
                <w:sz w:val="20"/>
                <w:szCs w:val="20"/>
                <w:lang w:eastAsia="ru-RU"/>
              </w:rPr>
            </w:pP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343EAB" w:rsidRPr="004761E0" w:rsidRDefault="00681D58" w:rsidP="00343EAB">
            <w:pPr>
              <w:ind w:firstLine="0"/>
              <w:jc w:val="left"/>
              <w:rPr>
                <w:rFonts w:eastAsia="Times New Roman"/>
                <w:color w:val="000000"/>
                <w:sz w:val="20"/>
                <w:szCs w:val="20"/>
                <w:lang w:eastAsia="ru-RU"/>
              </w:rPr>
            </w:pPr>
            <w:r w:rsidRPr="004761E0">
              <w:rPr>
                <w:rFonts w:eastAsia="Times New Roman"/>
                <w:color w:val="000000"/>
                <w:sz w:val="20"/>
                <w:szCs w:val="20"/>
                <w:lang w:eastAsia="ru-RU"/>
              </w:rPr>
              <w:t>М</w:t>
            </w:r>
            <w:r w:rsidR="00343EAB" w:rsidRPr="004761E0">
              <w:rPr>
                <w:rFonts w:eastAsia="Times New Roman"/>
                <w:color w:val="000000"/>
                <w:sz w:val="20"/>
                <w:szCs w:val="20"/>
                <w:lang w:eastAsia="ru-RU"/>
              </w:rPr>
              <w:t>ощность по заключенным договорам на технологическое присоединение, МВт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43EAB" w:rsidRPr="004761E0" w:rsidRDefault="00343EAB" w:rsidP="00343EAB">
            <w:pPr>
              <w:ind w:firstLine="0"/>
              <w:jc w:val="right"/>
              <w:rPr>
                <w:rFonts w:eastAsia="Times New Roman"/>
                <w:color w:val="000000"/>
                <w:sz w:val="20"/>
                <w:szCs w:val="20"/>
                <w:lang w:eastAsia="ru-RU"/>
              </w:rPr>
            </w:pPr>
            <w:r w:rsidRPr="004761E0">
              <w:rPr>
                <w:rFonts w:eastAsia="Times New Roman"/>
                <w:color w:val="000000"/>
                <w:sz w:val="20"/>
                <w:szCs w:val="20"/>
                <w:lang w:eastAsia="ru-RU"/>
              </w:rPr>
              <w:t>1 778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43EAB" w:rsidRPr="004761E0" w:rsidRDefault="00343EAB" w:rsidP="00343EAB">
            <w:pPr>
              <w:ind w:firstLine="0"/>
              <w:jc w:val="right"/>
              <w:rPr>
                <w:rFonts w:eastAsia="Times New Roman"/>
                <w:color w:val="000000"/>
                <w:sz w:val="20"/>
                <w:szCs w:val="20"/>
                <w:lang w:eastAsia="ru-RU"/>
              </w:rPr>
            </w:pPr>
            <w:r w:rsidRPr="004761E0">
              <w:rPr>
                <w:rFonts w:eastAsia="Times New Roman"/>
                <w:color w:val="000000"/>
                <w:sz w:val="20"/>
                <w:szCs w:val="20"/>
                <w:lang w:eastAsia="ru-RU"/>
              </w:rPr>
              <w:t>2 594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43EAB" w:rsidRPr="004761E0" w:rsidRDefault="00343EAB" w:rsidP="00343EAB">
            <w:pPr>
              <w:ind w:firstLine="0"/>
              <w:jc w:val="right"/>
              <w:rPr>
                <w:rFonts w:eastAsia="Times New Roman"/>
                <w:color w:val="000000"/>
                <w:sz w:val="20"/>
                <w:szCs w:val="20"/>
                <w:lang w:eastAsia="ru-RU"/>
              </w:rPr>
            </w:pPr>
            <w:r w:rsidRPr="004761E0">
              <w:rPr>
                <w:rFonts w:eastAsia="Times New Roman"/>
                <w:color w:val="000000"/>
                <w:sz w:val="20"/>
                <w:szCs w:val="20"/>
                <w:lang w:eastAsia="ru-RU"/>
              </w:rPr>
              <w:t>4 454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43EAB" w:rsidRPr="004761E0" w:rsidRDefault="00343EAB" w:rsidP="00343EAB">
            <w:pPr>
              <w:ind w:firstLine="0"/>
              <w:jc w:val="right"/>
              <w:rPr>
                <w:rFonts w:eastAsia="Times New Roman"/>
                <w:color w:val="000000"/>
                <w:sz w:val="20"/>
                <w:szCs w:val="20"/>
                <w:lang w:eastAsia="ru-RU"/>
              </w:rPr>
            </w:pPr>
            <w:r w:rsidRPr="004761E0">
              <w:rPr>
                <w:rFonts w:eastAsia="Times New Roman"/>
                <w:color w:val="000000"/>
                <w:sz w:val="20"/>
                <w:szCs w:val="20"/>
                <w:lang w:eastAsia="ru-RU"/>
              </w:rPr>
              <w:t>71,72 %</w:t>
            </w:r>
          </w:p>
        </w:tc>
      </w:tr>
      <w:tr w:rsidR="00343EAB" w:rsidRPr="004761E0" w:rsidTr="0048107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3EAB" w:rsidRPr="004761E0" w:rsidRDefault="00343EAB" w:rsidP="007076A7">
            <w:pPr>
              <w:numPr>
                <w:ilvl w:val="0"/>
                <w:numId w:val="103"/>
              </w:numPr>
              <w:jc w:val="left"/>
              <w:rPr>
                <w:rFonts w:eastAsia="Times New Roman"/>
                <w:color w:val="000000"/>
                <w:sz w:val="20"/>
                <w:szCs w:val="20"/>
                <w:lang w:eastAsia="ru-RU"/>
              </w:rPr>
            </w:pP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343EAB" w:rsidRPr="004761E0" w:rsidRDefault="00343EAB" w:rsidP="00343EAB">
            <w:pPr>
              <w:ind w:firstLine="0"/>
              <w:jc w:val="left"/>
              <w:rPr>
                <w:rFonts w:eastAsia="Times New Roman"/>
                <w:color w:val="000000"/>
                <w:sz w:val="20"/>
                <w:szCs w:val="20"/>
                <w:lang w:eastAsia="ru-RU"/>
              </w:rPr>
            </w:pPr>
            <w:r w:rsidRPr="004761E0">
              <w:rPr>
                <w:rFonts w:eastAsia="Times New Roman"/>
                <w:color w:val="000000"/>
                <w:sz w:val="20"/>
                <w:szCs w:val="20"/>
                <w:lang w:eastAsia="ru-RU"/>
              </w:rPr>
              <w:t>Фактическое присоединение, шт.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43EAB" w:rsidRPr="004761E0" w:rsidRDefault="00343EAB" w:rsidP="00343EAB">
            <w:pPr>
              <w:ind w:firstLine="0"/>
              <w:jc w:val="right"/>
              <w:rPr>
                <w:rFonts w:eastAsia="Times New Roman"/>
                <w:color w:val="000000"/>
                <w:sz w:val="20"/>
                <w:szCs w:val="20"/>
                <w:lang w:eastAsia="ru-RU"/>
              </w:rPr>
            </w:pPr>
            <w:r w:rsidRPr="004761E0">
              <w:rPr>
                <w:rFonts w:eastAsia="Times New Roman"/>
                <w:color w:val="000000"/>
                <w:sz w:val="20"/>
                <w:szCs w:val="20"/>
                <w:lang w:eastAsia="ru-RU"/>
              </w:rPr>
              <w:t>14 700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43EAB" w:rsidRPr="004761E0" w:rsidRDefault="00343EAB" w:rsidP="00343EAB">
            <w:pPr>
              <w:ind w:firstLine="0"/>
              <w:jc w:val="right"/>
              <w:rPr>
                <w:rFonts w:eastAsia="Times New Roman"/>
                <w:color w:val="000000"/>
                <w:sz w:val="20"/>
                <w:szCs w:val="20"/>
                <w:lang w:eastAsia="ru-RU"/>
              </w:rPr>
            </w:pPr>
            <w:r w:rsidRPr="004761E0">
              <w:rPr>
                <w:rFonts w:eastAsia="Times New Roman"/>
                <w:color w:val="000000"/>
                <w:sz w:val="20"/>
                <w:szCs w:val="20"/>
                <w:lang w:eastAsia="ru-RU"/>
              </w:rPr>
              <w:t>16 905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43EAB" w:rsidRPr="004761E0" w:rsidRDefault="00343EAB" w:rsidP="00343EAB">
            <w:pPr>
              <w:ind w:firstLine="0"/>
              <w:jc w:val="right"/>
              <w:rPr>
                <w:rFonts w:eastAsia="Times New Roman"/>
                <w:color w:val="000000"/>
                <w:sz w:val="20"/>
                <w:szCs w:val="20"/>
                <w:lang w:eastAsia="ru-RU"/>
              </w:rPr>
            </w:pPr>
            <w:r w:rsidRPr="004761E0">
              <w:rPr>
                <w:rFonts w:eastAsia="Times New Roman"/>
                <w:color w:val="000000"/>
                <w:sz w:val="20"/>
                <w:szCs w:val="20"/>
                <w:lang w:eastAsia="ru-RU"/>
              </w:rPr>
              <w:t>34 859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43EAB" w:rsidRPr="004761E0" w:rsidRDefault="00343EAB" w:rsidP="00343EAB">
            <w:pPr>
              <w:ind w:firstLine="0"/>
              <w:jc w:val="right"/>
              <w:rPr>
                <w:rFonts w:eastAsia="Times New Roman"/>
                <w:color w:val="000000"/>
                <w:sz w:val="20"/>
                <w:szCs w:val="20"/>
                <w:lang w:eastAsia="ru-RU"/>
              </w:rPr>
            </w:pPr>
            <w:r w:rsidRPr="004761E0">
              <w:rPr>
                <w:rFonts w:eastAsia="Times New Roman"/>
                <w:color w:val="000000"/>
                <w:sz w:val="20"/>
                <w:szCs w:val="20"/>
                <w:lang w:eastAsia="ru-RU"/>
              </w:rPr>
              <w:t>106,21 %</w:t>
            </w:r>
          </w:p>
        </w:tc>
      </w:tr>
      <w:tr w:rsidR="00343EAB" w:rsidRPr="004761E0" w:rsidTr="0048107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3EAB" w:rsidRPr="004761E0" w:rsidRDefault="00343EAB" w:rsidP="007076A7">
            <w:pPr>
              <w:numPr>
                <w:ilvl w:val="0"/>
                <w:numId w:val="103"/>
              </w:numPr>
              <w:jc w:val="left"/>
              <w:rPr>
                <w:rFonts w:eastAsia="Times New Roman"/>
                <w:color w:val="000000"/>
                <w:sz w:val="20"/>
                <w:szCs w:val="20"/>
                <w:lang w:eastAsia="ru-RU"/>
              </w:rPr>
            </w:pP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343EAB" w:rsidRPr="004761E0" w:rsidRDefault="00343EAB" w:rsidP="00343EAB">
            <w:pPr>
              <w:ind w:firstLine="0"/>
              <w:jc w:val="left"/>
              <w:rPr>
                <w:rFonts w:eastAsia="Times New Roman"/>
                <w:color w:val="000000"/>
                <w:sz w:val="20"/>
                <w:szCs w:val="20"/>
                <w:lang w:eastAsia="ru-RU"/>
              </w:rPr>
            </w:pPr>
            <w:r w:rsidRPr="004761E0">
              <w:rPr>
                <w:rFonts w:eastAsia="Times New Roman"/>
                <w:color w:val="000000"/>
                <w:sz w:val="20"/>
                <w:szCs w:val="20"/>
                <w:lang w:eastAsia="ru-RU"/>
              </w:rPr>
              <w:t>Фактически присоединенная мощность, МВт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43EAB" w:rsidRPr="004761E0" w:rsidRDefault="00343EAB" w:rsidP="00343EAB">
            <w:pPr>
              <w:ind w:firstLine="0"/>
              <w:jc w:val="right"/>
              <w:rPr>
                <w:rFonts w:eastAsia="Times New Roman"/>
                <w:color w:val="000000"/>
                <w:sz w:val="20"/>
                <w:szCs w:val="20"/>
                <w:lang w:eastAsia="ru-RU"/>
              </w:rPr>
            </w:pPr>
            <w:r w:rsidRPr="004761E0">
              <w:rPr>
                <w:rFonts w:eastAsia="Times New Roman"/>
                <w:color w:val="000000"/>
                <w:sz w:val="20"/>
                <w:szCs w:val="20"/>
                <w:lang w:eastAsia="ru-RU"/>
              </w:rPr>
              <w:t>916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43EAB" w:rsidRPr="004761E0" w:rsidRDefault="00343EAB" w:rsidP="00343EAB">
            <w:pPr>
              <w:ind w:firstLine="0"/>
              <w:jc w:val="right"/>
              <w:rPr>
                <w:rFonts w:eastAsia="Times New Roman"/>
                <w:color w:val="000000"/>
                <w:sz w:val="20"/>
                <w:szCs w:val="20"/>
                <w:lang w:eastAsia="ru-RU"/>
              </w:rPr>
            </w:pPr>
            <w:r w:rsidRPr="004761E0">
              <w:rPr>
                <w:rFonts w:eastAsia="Times New Roman"/>
                <w:color w:val="000000"/>
                <w:sz w:val="20"/>
                <w:szCs w:val="20"/>
                <w:lang w:eastAsia="ru-RU"/>
              </w:rPr>
              <w:t>1 421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43EAB" w:rsidRPr="004761E0" w:rsidRDefault="00343EAB" w:rsidP="00343EAB">
            <w:pPr>
              <w:ind w:firstLine="0"/>
              <w:jc w:val="right"/>
              <w:rPr>
                <w:rFonts w:eastAsia="Times New Roman"/>
                <w:color w:val="000000"/>
                <w:sz w:val="20"/>
                <w:szCs w:val="20"/>
                <w:lang w:eastAsia="ru-RU"/>
              </w:rPr>
            </w:pPr>
            <w:r w:rsidRPr="004761E0">
              <w:rPr>
                <w:rFonts w:eastAsia="Times New Roman"/>
                <w:color w:val="000000"/>
                <w:sz w:val="20"/>
                <w:szCs w:val="20"/>
                <w:lang w:eastAsia="ru-RU"/>
              </w:rPr>
              <w:t>1 531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43EAB" w:rsidRPr="004761E0" w:rsidRDefault="00343EAB" w:rsidP="00343EAB">
            <w:pPr>
              <w:ind w:firstLine="0"/>
              <w:jc w:val="right"/>
              <w:rPr>
                <w:rFonts w:eastAsia="Times New Roman"/>
                <w:color w:val="000000"/>
                <w:sz w:val="20"/>
                <w:szCs w:val="20"/>
                <w:lang w:eastAsia="ru-RU"/>
              </w:rPr>
            </w:pPr>
            <w:r w:rsidRPr="004761E0">
              <w:rPr>
                <w:rFonts w:eastAsia="Times New Roman"/>
                <w:color w:val="000000"/>
                <w:sz w:val="20"/>
                <w:szCs w:val="20"/>
                <w:lang w:eastAsia="ru-RU"/>
              </w:rPr>
              <w:t>7,70 %</w:t>
            </w:r>
          </w:p>
        </w:tc>
      </w:tr>
    </w:tbl>
    <w:p w:rsidR="0048107C" w:rsidRPr="004761E0" w:rsidRDefault="009121A9" w:rsidP="0048107C">
      <w:pPr>
        <w:spacing w:before="120"/>
        <w:ind w:firstLine="0"/>
        <w:rPr>
          <w:rFonts w:eastAsia="Times New Roman"/>
          <w:color w:val="000000"/>
          <w:sz w:val="26"/>
          <w:szCs w:val="26"/>
          <w:lang w:eastAsia="ru-RU"/>
        </w:rPr>
      </w:pPr>
      <w:r w:rsidRPr="004761E0">
        <w:rPr>
          <w:rFonts w:eastAsia="Times New Roman"/>
          <w:noProof/>
          <w:color w:val="000000"/>
          <w:sz w:val="26"/>
          <w:szCs w:val="26"/>
          <w:lang w:eastAsia="ru-RU"/>
        </w:rPr>
        <w:drawing>
          <wp:inline distT="0" distB="0" distL="0" distR="0">
            <wp:extent cx="6295923" cy="2487168"/>
            <wp:effectExtent l="19050" t="0" r="9627" b="8382"/>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F47AF" w:rsidRPr="004761E0" w:rsidRDefault="00EF47AF" w:rsidP="00EF47AF">
      <w:pPr>
        <w:ind w:firstLine="567"/>
        <w:rPr>
          <w:sz w:val="26"/>
          <w:szCs w:val="26"/>
          <w:lang w:eastAsia="ru-RU"/>
        </w:rPr>
      </w:pPr>
      <w:r>
        <w:rPr>
          <w:sz w:val="26"/>
          <w:szCs w:val="26"/>
          <w:lang w:eastAsia="ru-RU"/>
        </w:rPr>
        <w:t>Аналогичные д</w:t>
      </w:r>
      <w:r w:rsidRPr="004761E0">
        <w:rPr>
          <w:sz w:val="26"/>
          <w:szCs w:val="26"/>
          <w:lang w:eastAsia="ru-RU"/>
        </w:rPr>
        <w:t>анные в разбивке на г. Москву и Московскую область представлены в Приложении</w:t>
      </w:r>
      <w:r>
        <w:rPr>
          <w:sz w:val="26"/>
          <w:szCs w:val="26"/>
          <w:lang w:eastAsia="ru-RU"/>
        </w:rPr>
        <w:t xml:space="preserve"> 12.</w:t>
      </w:r>
      <w:r w:rsidR="003146BC">
        <w:rPr>
          <w:sz w:val="26"/>
          <w:szCs w:val="26"/>
          <w:lang w:eastAsia="ru-RU"/>
        </w:rPr>
        <w:t>1</w:t>
      </w:r>
      <w:r>
        <w:rPr>
          <w:sz w:val="26"/>
          <w:szCs w:val="26"/>
          <w:lang w:eastAsia="ru-RU"/>
        </w:rPr>
        <w:t>.</w:t>
      </w:r>
      <w:r w:rsidRPr="004761E0">
        <w:rPr>
          <w:sz w:val="26"/>
          <w:szCs w:val="26"/>
          <w:lang w:eastAsia="ru-RU"/>
        </w:rPr>
        <w:t xml:space="preserve"> к Годовому отчету.</w:t>
      </w:r>
    </w:p>
    <w:p w:rsidR="00C64BC5" w:rsidRPr="004761E0" w:rsidRDefault="0048107C" w:rsidP="00EF47AF">
      <w:pPr>
        <w:ind w:firstLine="567"/>
        <w:rPr>
          <w:rFonts w:eastAsia="Times New Roman"/>
          <w:color w:val="000000"/>
          <w:sz w:val="26"/>
          <w:szCs w:val="26"/>
          <w:lang w:eastAsia="ru-RU"/>
        </w:rPr>
      </w:pPr>
      <w:r w:rsidRPr="004761E0">
        <w:rPr>
          <w:rFonts w:eastAsia="Times New Roman"/>
          <w:color w:val="000000"/>
          <w:sz w:val="26"/>
          <w:szCs w:val="26"/>
          <w:lang w:eastAsia="ru-RU"/>
        </w:rPr>
        <w:t>Значительн</w:t>
      </w:r>
      <w:r w:rsidR="00D21056" w:rsidRPr="004761E0">
        <w:rPr>
          <w:rFonts w:eastAsia="Times New Roman"/>
          <w:color w:val="000000"/>
          <w:sz w:val="26"/>
          <w:szCs w:val="26"/>
          <w:lang w:eastAsia="ru-RU"/>
        </w:rPr>
        <w:t>ое увеличение</w:t>
      </w:r>
      <w:r w:rsidRPr="004761E0">
        <w:rPr>
          <w:rFonts w:eastAsia="Times New Roman"/>
          <w:color w:val="000000"/>
          <w:sz w:val="26"/>
          <w:szCs w:val="26"/>
          <w:lang w:eastAsia="ru-RU"/>
        </w:rPr>
        <w:t xml:space="preserve"> количества поданных в 2013 году заявок на технологическое присоединение, и, как следствие, количества заключенных договоров и объема мощности по заключенным договорам </w:t>
      </w:r>
      <w:r w:rsidR="00D27896" w:rsidRPr="004761E0">
        <w:rPr>
          <w:rFonts w:eastAsia="Times New Roman"/>
          <w:color w:val="000000"/>
          <w:sz w:val="26"/>
          <w:szCs w:val="26"/>
          <w:lang w:eastAsia="ru-RU"/>
        </w:rPr>
        <w:t>технологического присоединения</w:t>
      </w:r>
      <w:r w:rsidRPr="004761E0">
        <w:rPr>
          <w:rFonts w:eastAsia="Times New Roman"/>
          <w:color w:val="000000"/>
          <w:sz w:val="26"/>
          <w:szCs w:val="26"/>
          <w:lang w:eastAsia="ru-RU"/>
        </w:rPr>
        <w:t xml:space="preserve"> произошел, в большей степени, за счет группы заявителей с присоединяемой максимальной мощностью до 15</w:t>
      </w:r>
      <w:r w:rsidR="006B17DA" w:rsidRPr="004761E0">
        <w:rPr>
          <w:rFonts w:eastAsia="Times New Roman"/>
          <w:color w:val="000000"/>
          <w:sz w:val="26"/>
          <w:szCs w:val="26"/>
          <w:lang w:eastAsia="ru-RU"/>
        </w:rPr>
        <w:t> </w:t>
      </w:r>
      <w:r w:rsidRPr="004761E0">
        <w:rPr>
          <w:rFonts w:eastAsia="Times New Roman"/>
          <w:color w:val="000000"/>
          <w:sz w:val="26"/>
          <w:szCs w:val="26"/>
          <w:lang w:eastAsia="ru-RU"/>
        </w:rPr>
        <w:t xml:space="preserve">кВт. </w:t>
      </w:r>
      <w:r w:rsidR="00D21056" w:rsidRPr="004761E0">
        <w:rPr>
          <w:rFonts w:eastAsia="Times New Roman"/>
          <w:color w:val="000000"/>
          <w:sz w:val="26"/>
          <w:szCs w:val="26"/>
          <w:lang w:eastAsia="ru-RU"/>
        </w:rPr>
        <w:t>Р</w:t>
      </w:r>
      <w:r w:rsidRPr="004761E0">
        <w:rPr>
          <w:rFonts w:eastAsia="Times New Roman"/>
          <w:color w:val="000000"/>
          <w:sz w:val="26"/>
          <w:szCs w:val="26"/>
          <w:lang w:eastAsia="ru-RU"/>
        </w:rPr>
        <w:t>остом деловой активности данной группы</w:t>
      </w:r>
      <w:r w:rsidR="00D21056" w:rsidRPr="004761E0">
        <w:rPr>
          <w:rFonts w:eastAsia="Times New Roman"/>
          <w:color w:val="000000"/>
          <w:sz w:val="26"/>
          <w:szCs w:val="26"/>
          <w:lang w:eastAsia="ru-RU"/>
        </w:rPr>
        <w:t xml:space="preserve"> может быть обусловлен </w:t>
      </w:r>
      <w:r w:rsidRPr="004761E0">
        <w:rPr>
          <w:rFonts w:eastAsia="Times New Roman"/>
          <w:color w:val="000000"/>
          <w:sz w:val="26"/>
          <w:szCs w:val="26"/>
          <w:lang w:eastAsia="ru-RU"/>
        </w:rPr>
        <w:t>в первую очередь упрощени</w:t>
      </w:r>
      <w:r w:rsidR="00D21056" w:rsidRPr="004761E0">
        <w:rPr>
          <w:rFonts w:eastAsia="Times New Roman"/>
          <w:color w:val="000000"/>
          <w:sz w:val="26"/>
          <w:szCs w:val="26"/>
          <w:lang w:eastAsia="ru-RU"/>
        </w:rPr>
        <w:t>ем</w:t>
      </w:r>
      <w:r w:rsidRPr="004761E0">
        <w:rPr>
          <w:rFonts w:eastAsia="Times New Roman"/>
          <w:color w:val="000000"/>
          <w:sz w:val="26"/>
          <w:szCs w:val="26"/>
          <w:lang w:eastAsia="ru-RU"/>
        </w:rPr>
        <w:t xml:space="preserve"> процедуры технологического присоединения, реализацией мероприятий Дорожной карты и проекта Doing Business, а именно:</w:t>
      </w:r>
    </w:p>
    <w:p w:rsidR="0048107C" w:rsidRPr="004761E0" w:rsidRDefault="0048107C" w:rsidP="007076A7">
      <w:pPr>
        <w:pStyle w:val="a5"/>
        <w:numPr>
          <w:ilvl w:val="0"/>
          <w:numId w:val="105"/>
        </w:numPr>
        <w:ind w:left="1134" w:hanging="567"/>
        <w:rPr>
          <w:rFonts w:eastAsia="Times New Roman"/>
          <w:color w:val="000000"/>
          <w:sz w:val="26"/>
          <w:szCs w:val="26"/>
          <w:lang w:eastAsia="ru-RU"/>
        </w:rPr>
      </w:pPr>
      <w:r w:rsidRPr="004761E0">
        <w:rPr>
          <w:rFonts w:eastAsia="Times New Roman"/>
          <w:color w:val="000000"/>
          <w:sz w:val="26"/>
          <w:szCs w:val="26"/>
          <w:lang w:eastAsia="ru-RU"/>
        </w:rPr>
        <w:t xml:space="preserve">внедрением интерактивных сервисов обслуживания потребителей с реализацией функционала приема заявок на </w:t>
      </w:r>
      <w:r w:rsidR="00D21056" w:rsidRPr="004761E0">
        <w:rPr>
          <w:rFonts w:eastAsia="Times New Roman"/>
          <w:color w:val="000000"/>
          <w:sz w:val="26"/>
          <w:szCs w:val="26"/>
          <w:lang w:eastAsia="ru-RU"/>
        </w:rPr>
        <w:t>технологическое присоединение</w:t>
      </w:r>
      <w:r w:rsidRPr="004761E0">
        <w:rPr>
          <w:rFonts w:eastAsia="Times New Roman"/>
          <w:color w:val="000000"/>
          <w:sz w:val="26"/>
          <w:szCs w:val="26"/>
          <w:lang w:eastAsia="ru-RU"/>
        </w:rPr>
        <w:t xml:space="preserve"> до 150 кВт в электронном виде с автоматическим калькул</w:t>
      </w:r>
      <w:r w:rsidR="00D21056" w:rsidRPr="004761E0">
        <w:rPr>
          <w:rFonts w:eastAsia="Times New Roman"/>
          <w:color w:val="000000"/>
          <w:sz w:val="26"/>
          <w:szCs w:val="26"/>
          <w:lang w:eastAsia="ru-RU"/>
        </w:rPr>
        <w:t xml:space="preserve">яцией </w:t>
      </w:r>
      <w:r w:rsidRPr="004761E0">
        <w:rPr>
          <w:rFonts w:eastAsia="Times New Roman"/>
          <w:color w:val="000000"/>
          <w:sz w:val="26"/>
          <w:szCs w:val="26"/>
          <w:lang w:eastAsia="ru-RU"/>
        </w:rPr>
        <w:t>стоимости услуг;</w:t>
      </w:r>
    </w:p>
    <w:p w:rsidR="0048107C" w:rsidRPr="004761E0" w:rsidRDefault="0048107C" w:rsidP="007076A7">
      <w:pPr>
        <w:pStyle w:val="a5"/>
        <w:numPr>
          <w:ilvl w:val="0"/>
          <w:numId w:val="105"/>
        </w:numPr>
        <w:ind w:left="1134" w:hanging="567"/>
        <w:rPr>
          <w:rFonts w:eastAsia="Times New Roman"/>
          <w:color w:val="000000"/>
          <w:sz w:val="26"/>
          <w:szCs w:val="26"/>
          <w:lang w:eastAsia="ru-RU"/>
        </w:rPr>
      </w:pPr>
      <w:r w:rsidRPr="004761E0">
        <w:rPr>
          <w:rFonts w:eastAsia="Times New Roman"/>
          <w:color w:val="000000"/>
          <w:sz w:val="26"/>
          <w:szCs w:val="26"/>
          <w:lang w:eastAsia="ru-RU"/>
        </w:rPr>
        <w:t xml:space="preserve">сокращением сроков подготовки требуемой для осуществления </w:t>
      </w:r>
      <w:r w:rsidR="00D21056" w:rsidRPr="004761E0">
        <w:rPr>
          <w:rFonts w:eastAsia="Times New Roman"/>
          <w:color w:val="000000"/>
          <w:sz w:val="26"/>
          <w:szCs w:val="26"/>
          <w:lang w:eastAsia="ru-RU"/>
        </w:rPr>
        <w:t>технологического присоединения</w:t>
      </w:r>
      <w:r w:rsidRPr="004761E0">
        <w:rPr>
          <w:rFonts w:eastAsia="Times New Roman"/>
          <w:color w:val="000000"/>
          <w:sz w:val="26"/>
          <w:szCs w:val="26"/>
          <w:lang w:eastAsia="ru-RU"/>
        </w:rPr>
        <w:t xml:space="preserve"> документации;</w:t>
      </w:r>
    </w:p>
    <w:p w:rsidR="0048107C" w:rsidRPr="004761E0" w:rsidRDefault="0048107C" w:rsidP="007076A7">
      <w:pPr>
        <w:pStyle w:val="a5"/>
        <w:numPr>
          <w:ilvl w:val="0"/>
          <w:numId w:val="105"/>
        </w:numPr>
        <w:ind w:left="1134" w:hanging="567"/>
        <w:rPr>
          <w:rFonts w:eastAsia="Times New Roman"/>
          <w:color w:val="000000"/>
          <w:sz w:val="26"/>
          <w:szCs w:val="26"/>
          <w:lang w:eastAsia="ru-RU"/>
        </w:rPr>
      </w:pPr>
      <w:r w:rsidRPr="004761E0">
        <w:rPr>
          <w:rFonts w:eastAsia="Times New Roman"/>
          <w:color w:val="000000"/>
          <w:sz w:val="26"/>
          <w:szCs w:val="26"/>
          <w:lang w:eastAsia="ru-RU"/>
        </w:rPr>
        <w:t xml:space="preserve">сокращением количества требуемых для осуществления </w:t>
      </w:r>
      <w:r w:rsidR="00D21056" w:rsidRPr="004761E0">
        <w:rPr>
          <w:rFonts w:eastAsia="Times New Roman"/>
          <w:color w:val="000000"/>
          <w:sz w:val="26"/>
          <w:szCs w:val="26"/>
          <w:lang w:eastAsia="ru-RU"/>
        </w:rPr>
        <w:t xml:space="preserve">технологического присоединения </w:t>
      </w:r>
      <w:r w:rsidRPr="004761E0">
        <w:rPr>
          <w:rFonts w:eastAsia="Times New Roman"/>
          <w:color w:val="000000"/>
          <w:sz w:val="26"/>
          <w:szCs w:val="26"/>
          <w:lang w:eastAsia="ru-RU"/>
        </w:rPr>
        <w:t>процедур (</w:t>
      </w:r>
      <w:r w:rsidR="00D21056" w:rsidRPr="004761E0">
        <w:rPr>
          <w:rFonts w:eastAsia="Times New Roman"/>
          <w:color w:val="000000"/>
          <w:sz w:val="26"/>
          <w:szCs w:val="26"/>
          <w:lang w:eastAsia="ru-RU"/>
        </w:rPr>
        <w:t>П</w:t>
      </w:r>
      <w:r w:rsidRPr="004761E0">
        <w:rPr>
          <w:rFonts w:eastAsia="Times New Roman"/>
          <w:color w:val="000000"/>
          <w:sz w:val="26"/>
          <w:szCs w:val="26"/>
          <w:lang w:eastAsia="ru-RU"/>
        </w:rPr>
        <w:t xml:space="preserve">рограмма </w:t>
      </w:r>
      <w:r w:rsidR="00681D58" w:rsidRPr="004761E0">
        <w:rPr>
          <w:rFonts w:eastAsia="Times New Roman"/>
          <w:color w:val="000000"/>
          <w:sz w:val="26"/>
          <w:szCs w:val="26"/>
          <w:lang w:eastAsia="ru-RU"/>
        </w:rPr>
        <w:t>«</w:t>
      </w:r>
      <w:r w:rsidRPr="004761E0">
        <w:rPr>
          <w:rFonts w:eastAsia="Times New Roman"/>
          <w:color w:val="000000"/>
          <w:sz w:val="26"/>
          <w:szCs w:val="26"/>
          <w:lang w:eastAsia="ru-RU"/>
        </w:rPr>
        <w:t>5 шагов за 3 визита</w:t>
      </w:r>
      <w:r w:rsidR="00681D58" w:rsidRPr="004761E0">
        <w:rPr>
          <w:rFonts w:eastAsia="Times New Roman"/>
          <w:color w:val="000000"/>
          <w:sz w:val="26"/>
          <w:szCs w:val="26"/>
          <w:lang w:eastAsia="ru-RU"/>
        </w:rPr>
        <w:t>»</w:t>
      </w:r>
      <w:r w:rsidRPr="004761E0">
        <w:rPr>
          <w:rFonts w:eastAsia="Times New Roman"/>
          <w:color w:val="000000"/>
          <w:sz w:val="26"/>
          <w:szCs w:val="26"/>
          <w:lang w:eastAsia="ru-RU"/>
        </w:rPr>
        <w:t>).</w:t>
      </w:r>
    </w:p>
    <w:p w:rsidR="00681D58" w:rsidRPr="004761E0" w:rsidRDefault="00681D58" w:rsidP="00681D58">
      <w:pPr>
        <w:pStyle w:val="a5"/>
        <w:ind w:left="0" w:firstLine="0"/>
        <w:rPr>
          <w:rFonts w:eastAsia="Times New Roman"/>
          <w:color w:val="000000"/>
          <w:sz w:val="26"/>
          <w:szCs w:val="26"/>
          <w:lang w:eastAsia="ru-RU"/>
        </w:rPr>
      </w:pPr>
      <w:r w:rsidRPr="004761E0">
        <w:rPr>
          <w:rFonts w:eastAsia="Times New Roman"/>
          <w:noProof/>
          <w:color w:val="000000"/>
          <w:sz w:val="26"/>
          <w:szCs w:val="26"/>
          <w:lang w:eastAsia="ru-RU"/>
        </w:rPr>
        <w:lastRenderedPageBreak/>
        <w:drawing>
          <wp:inline distT="0" distB="0" distL="0" distR="0">
            <wp:extent cx="6295923" cy="2487168"/>
            <wp:effectExtent l="19050" t="0" r="9627" b="8382"/>
            <wp:docPr id="86"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25213" w:rsidRPr="004761E0" w:rsidRDefault="00131054" w:rsidP="00681D58">
      <w:pPr>
        <w:spacing w:before="120"/>
        <w:ind w:firstLine="567"/>
        <w:rPr>
          <w:lang w:eastAsia="ru-RU"/>
        </w:rPr>
      </w:pPr>
      <w:r w:rsidRPr="004761E0">
        <w:rPr>
          <w:rFonts w:eastAsia="Times New Roman"/>
          <w:color w:val="000000"/>
          <w:sz w:val="26"/>
          <w:szCs w:val="26"/>
          <w:lang w:eastAsia="ru-RU"/>
        </w:rPr>
        <w:t xml:space="preserve">Увеличение показателей количества присоединений и объема присоединенной мощности обусловлено завершением мероприятий по </w:t>
      </w:r>
      <w:r w:rsidR="00D21056" w:rsidRPr="004761E0">
        <w:rPr>
          <w:rFonts w:eastAsia="Times New Roman"/>
          <w:color w:val="000000"/>
          <w:sz w:val="26"/>
          <w:szCs w:val="26"/>
          <w:lang w:eastAsia="ru-RU"/>
        </w:rPr>
        <w:t>технологическому присоединению</w:t>
      </w:r>
      <w:r w:rsidRPr="004761E0">
        <w:rPr>
          <w:rFonts w:eastAsia="Times New Roman"/>
          <w:color w:val="000000"/>
          <w:sz w:val="26"/>
          <w:szCs w:val="26"/>
          <w:lang w:eastAsia="ru-RU"/>
        </w:rPr>
        <w:t xml:space="preserve"> ранее нормативных сроков в связи с готовностью энергопринимающих устройств заявителей, присоединение которых планировалось на 2014-2015 г</w:t>
      </w:r>
      <w:r w:rsidR="00681D58" w:rsidRPr="004761E0">
        <w:rPr>
          <w:rFonts w:eastAsia="Times New Roman"/>
          <w:color w:val="000000"/>
          <w:sz w:val="26"/>
          <w:szCs w:val="26"/>
          <w:lang w:eastAsia="ru-RU"/>
        </w:rPr>
        <w:t>г</w:t>
      </w:r>
      <w:r w:rsidRPr="004761E0">
        <w:rPr>
          <w:rFonts w:eastAsia="Times New Roman"/>
          <w:color w:val="000000"/>
          <w:sz w:val="26"/>
          <w:szCs w:val="26"/>
          <w:lang w:eastAsia="ru-RU"/>
        </w:rPr>
        <w:t xml:space="preserve">. Кроме того, в рамках проекта Doing Business упрощены процедуры оформления разрешительной документации и сокращены сроки исполнения обязательств по договорам </w:t>
      </w:r>
      <w:r w:rsidR="00D21056" w:rsidRPr="004761E0">
        <w:rPr>
          <w:rFonts w:eastAsia="Times New Roman"/>
          <w:color w:val="000000"/>
          <w:sz w:val="26"/>
          <w:szCs w:val="26"/>
          <w:lang w:eastAsia="ru-RU"/>
        </w:rPr>
        <w:t>технологического присоединения</w:t>
      </w:r>
      <w:r w:rsidRPr="004761E0">
        <w:rPr>
          <w:rFonts w:eastAsia="Times New Roman"/>
          <w:color w:val="000000"/>
          <w:sz w:val="26"/>
          <w:szCs w:val="26"/>
          <w:lang w:eastAsia="ru-RU"/>
        </w:rPr>
        <w:t xml:space="preserve"> для категории до 150 кВт включительно.</w:t>
      </w:r>
    </w:p>
    <w:p w:rsidR="00C64BC5" w:rsidRPr="004761E0" w:rsidRDefault="00131054" w:rsidP="00B20C95">
      <w:pPr>
        <w:tabs>
          <w:tab w:val="left" w:pos="426"/>
        </w:tabs>
        <w:spacing w:before="120" w:after="120"/>
        <w:ind w:firstLine="567"/>
        <w:rPr>
          <w:b/>
          <w:sz w:val="26"/>
          <w:szCs w:val="26"/>
        </w:rPr>
      </w:pPr>
      <w:r w:rsidRPr="004761E0">
        <w:rPr>
          <w:b/>
          <w:sz w:val="26"/>
          <w:szCs w:val="26"/>
        </w:rPr>
        <w:t xml:space="preserve">Подробные результаты </w:t>
      </w:r>
      <w:r w:rsidR="00686CA1" w:rsidRPr="004761E0">
        <w:rPr>
          <w:b/>
          <w:sz w:val="26"/>
          <w:szCs w:val="26"/>
        </w:rPr>
        <w:t>де</w:t>
      </w:r>
      <w:r w:rsidRPr="004761E0">
        <w:rPr>
          <w:b/>
          <w:sz w:val="26"/>
          <w:szCs w:val="26"/>
        </w:rPr>
        <w:t>ятельности по технологическому присоединению</w:t>
      </w:r>
    </w:p>
    <w:tbl>
      <w:tblPr>
        <w:tblStyle w:val="16"/>
        <w:tblW w:w="10348" w:type="dxa"/>
        <w:tblInd w:w="108" w:type="dxa"/>
        <w:tblLook w:val="04A0"/>
      </w:tblPr>
      <w:tblGrid>
        <w:gridCol w:w="566"/>
        <w:gridCol w:w="6238"/>
        <w:gridCol w:w="851"/>
        <w:gridCol w:w="850"/>
        <w:gridCol w:w="771"/>
        <w:gridCol w:w="1072"/>
      </w:tblGrid>
      <w:tr w:rsidR="00525213" w:rsidRPr="004761E0" w:rsidTr="00525213">
        <w:trPr>
          <w:cantSplit/>
          <w:trHeight w:val="470"/>
        </w:trPr>
        <w:tc>
          <w:tcPr>
            <w:tcW w:w="566" w:type="dxa"/>
            <w:tcBorders>
              <w:right w:val="single" w:sz="4" w:space="0" w:color="FFFFFF" w:themeColor="background1"/>
            </w:tcBorders>
            <w:shd w:val="clear" w:color="auto" w:fill="0F243E" w:themeFill="text2" w:themeFillShade="80"/>
            <w:vAlign w:val="center"/>
            <w:hideMark/>
          </w:tcPr>
          <w:p w:rsidR="003A1C23" w:rsidRPr="004761E0" w:rsidRDefault="003A1C23" w:rsidP="003A1C23">
            <w:pPr>
              <w:ind w:firstLine="0"/>
              <w:jc w:val="left"/>
              <w:rPr>
                <w:rFonts w:eastAsia="Times New Roman"/>
                <w:color w:val="000000"/>
                <w:sz w:val="20"/>
                <w:szCs w:val="20"/>
                <w:lang w:eastAsia="ru-RU"/>
              </w:rPr>
            </w:pPr>
            <w:r w:rsidRPr="004761E0">
              <w:rPr>
                <w:rFonts w:eastAsia="Times New Roman"/>
                <w:b/>
                <w:color w:val="FFFFFF" w:themeColor="background1"/>
                <w:sz w:val="20"/>
                <w:szCs w:val="20"/>
                <w:lang w:eastAsia="ru-RU"/>
              </w:rPr>
              <w:t>№ п/п</w:t>
            </w:r>
          </w:p>
        </w:tc>
        <w:tc>
          <w:tcPr>
            <w:tcW w:w="6238" w:type="dxa"/>
            <w:tcBorders>
              <w:left w:val="single" w:sz="4" w:space="0" w:color="FFFFFF" w:themeColor="background1"/>
              <w:right w:val="single" w:sz="4" w:space="0" w:color="FFFFFF" w:themeColor="background1"/>
            </w:tcBorders>
            <w:shd w:val="clear" w:color="auto" w:fill="0F243E" w:themeFill="text2" w:themeFillShade="80"/>
            <w:vAlign w:val="center"/>
            <w:hideMark/>
          </w:tcPr>
          <w:p w:rsidR="003A1C23" w:rsidRPr="004761E0" w:rsidRDefault="003A1C23" w:rsidP="003A1C23">
            <w:pPr>
              <w:ind w:firstLine="0"/>
              <w:jc w:val="left"/>
              <w:rPr>
                <w:rFonts w:eastAsia="Times New Roman"/>
                <w:color w:val="000000"/>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851" w:type="dxa"/>
            <w:tcBorders>
              <w:left w:val="single" w:sz="4" w:space="0" w:color="FFFFFF" w:themeColor="background1"/>
              <w:right w:val="single" w:sz="4" w:space="0" w:color="FFFFFF" w:themeColor="background1"/>
            </w:tcBorders>
            <w:shd w:val="clear" w:color="auto" w:fill="0F243E" w:themeFill="text2" w:themeFillShade="80"/>
            <w:noWrap/>
            <w:vAlign w:val="center"/>
            <w:hideMark/>
          </w:tcPr>
          <w:p w:rsidR="003A1C23" w:rsidRPr="004761E0" w:rsidRDefault="003A1C23" w:rsidP="003A1C23">
            <w:pPr>
              <w:ind w:firstLine="0"/>
              <w:jc w:val="right"/>
              <w:rPr>
                <w:rFonts w:eastAsia="Times New Roman"/>
                <w:color w:val="000000"/>
                <w:sz w:val="20"/>
                <w:szCs w:val="20"/>
                <w:lang w:eastAsia="ru-RU"/>
              </w:rPr>
            </w:pPr>
            <w:r w:rsidRPr="004761E0">
              <w:rPr>
                <w:rFonts w:eastAsia="Times New Roman"/>
                <w:b/>
                <w:color w:val="FFFFFF" w:themeColor="background1"/>
                <w:sz w:val="20"/>
                <w:szCs w:val="20"/>
                <w:lang w:eastAsia="ru-RU"/>
              </w:rPr>
              <w:t>2011</w:t>
            </w:r>
          </w:p>
        </w:tc>
        <w:tc>
          <w:tcPr>
            <w:tcW w:w="850" w:type="dxa"/>
            <w:tcBorders>
              <w:left w:val="single" w:sz="4" w:space="0" w:color="FFFFFF" w:themeColor="background1"/>
              <w:right w:val="single" w:sz="4" w:space="0" w:color="FFFFFF" w:themeColor="background1"/>
            </w:tcBorders>
            <w:shd w:val="clear" w:color="auto" w:fill="0F243E" w:themeFill="text2" w:themeFillShade="80"/>
            <w:noWrap/>
            <w:vAlign w:val="center"/>
            <w:hideMark/>
          </w:tcPr>
          <w:p w:rsidR="003A1C23" w:rsidRPr="004761E0" w:rsidRDefault="003A1C23" w:rsidP="003A1C23">
            <w:pPr>
              <w:ind w:firstLine="0"/>
              <w:jc w:val="right"/>
              <w:rPr>
                <w:rFonts w:eastAsia="Times New Roman"/>
                <w:color w:val="000000"/>
                <w:sz w:val="20"/>
                <w:szCs w:val="20"/>
                <w:lang w:eastAsia="ru-RU"/>
              </w:rPr>
            </w:pPr>
            <w:r w:rsidRPr="004761E0">
              <w:rPr>
                <w:rFonts w:eastAsia="Times New Roman"/>
                <w:b/>
                <w:color w:val="FFFFFF" w:themeColor="background1"/>
                <w:sz w:val="20"/>
                <w:szCs w:val="20"/>
                <w:lang w:eastAsia="ru-RU"/>
              </w:rPr>
              <w:t>2012</w:t>
            </w:r>
          </w:p>
        </w:tc>
        <w:tc>
          <w:tcPr>
            <w:tcW w:w="771" w:type="dxa"/>
            <w:tcBorders>
              <w:left w:val="single" w:sz="4" w:space="0" w:color="FFFFFF" w:themeColor="background1"/>
              <w:right w:val="single" w:sz="4" w:space="0" w:color="FFFFFF" w:themeColor="background1"/>
            </w:tcBorders>
            <w:shd w:val="clear" w:color="auto" w:fill="0F243E" w:themeFill="text2" w:themeFillShade="80"/>
            <w:noWrap/>
            <w:vAlign w:val="center"/>
            <w:hideMark/>
          </w:tcPr>
          <w:p w:rsidR="003A1C23" w:rsidRPr="004761E0" w:rsidRDefault="003A1C23" w:rsidP="003A1C23">
            <w:pPr>
              <w:ind w:firstLine="0"/>
              <w:jc w:val="right"/>
              <w:rPr>
                <w:rFonts w:eastAsia="Times New Roman"/>
                <w:color w:val="000000"/>
                <w:sz w:val="20"/>
                <w:szCs w:val="20"/>
                <w:lang w:eastAsia="ru-RU"/>
              </w:rPr>
            </w:pPr>
            <w:r w:rsidRPr="004761E0">
              <w:rPr>
                <w:rFonts w:eastAsia="Times New Roman"/>
                <w:b/>
                <w:color w:val="FFFFFF" w:themeColor="background1"/>
                <w:sz w:val="20"/>
                <w:szCs w:val="20"/>
                <w:lang w:eastAsia="ru-RU"/>
              </w:rPr>
              <w:t>2013</w:t>
            </w:r>
          </w:p>
        </w:tc>
        <w:tc>
          <w:tcPr>
            <w:tcW w:w="1072" w:type="dxa"/>
            <w:tcBorders>
              <w:left w:val="single" w:sz="4" w:space="0" w:color="FFFFFF" w:themeColor="background1"/>
            </w:tcBorders>
            <w:shd w:val="clear" w:color="auto" w:fill="0F243E" w:themeFill="text2" w:themeFillShade="80"/>
            <w:noWrap/>
            <w:vAlign w:val="center"/>
            <w:hideMark/>
          </w:tcPr>
          <w:p w:rsidR="003A1C23" w:rsidRPr="004761E0" w:rsidRDefault="003A1C23" w:rsidP="003A1C23">
            <w:pPr>
              <w:ind w:firstLine="0"/>
              <w:jc w:val="right"/>
              <w:rPr>
                <w:rFonts w:eastAsia="Times New Roman"/>
                <w:color w:val="000000"/>
                <w:sz w:val="20"/>
                <w:szCs w:val="20"/>
                <w:lang w:eastAsia="ru-RU"/>
              </w:rPr>
            </w:pPr>
            <w:r w:rsidRPr="004761E0">
              <w:rPr>
                <w:rFonts w:eastAsia="Times New Roman"/>
                <w:b/>
                <w:color w:val="FFFFFF" w:themeColor="background1"/>
                <w:sz w:val="20"/>
                <w:szCs w:val="20"/>
                <w:lang w:eastAsia="ru-RU"/>
              </w:rPr>
              <w:t>2013/2012</w:t>
            </w:r>
          </w:p>
        </w:tc>
      </w:tr>
      <w:tr w:rsidR="00525213" w:rsidRPr="004761E0" w:rsidTr="00525213">
        <w:trPr>
          <w:cantSplit/>
        </w:trPr>
        <w:tc>
          <w:tcPr>
            <w:tcW w:w="566" w:type="dxa"/>
            <w:vAlign w:val="center"/>
            <w:hideMark/>
          </w:tcPr>
          <w:p w:rsidR="00525213" w:rsidRPr="004761E0" w:rsidRDefault="00525213" w:rsidP="007076A7">
            <w:pPr>
              <w:pStyle w:val="a5"/>
              <w:numPr>
                <w:ilvl w:val="0"/>
                <w:numId w:val="107"/>
              </w:numPr>
              <w:jc w:val="left"/>
              <w:rPr>
                <w:rFonts w:eastAsia="Times New Roman"/>
                <w:b/>
                <w:bCs/>
                <w:sz w:val="20"/>
                <w:szCs w:val="20"/>
                <w:lang w:eastAsia="ru-RU"/>
              </w:rPr>
            </w:pPr>
          </w:p>
        </w:tc>
        <w:tc>
          <w:tcPr>
            <w:tcW w:w="6238" w:type="dxa"/>
            <w:hideMark/>
          </w:tcPr>
          <w:p w:rsidR="00525213" w:rsidRPr="004761E0" w:rsidRDefault="00525213" w:rsidP="003A1C23">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Общее количество поданных заявок, шт. (всего), в т.ч.:</w:t>
            </w:r>
          </w:p>
        </w:tc>
        <w:tc>
          <w:tcPr>
            <w:tcW w:w="851" w:type="dxa"/>
            <w:noWrap/>
            <w:hideMark/>
          </w:tcPr>
          <w:p w:rsidR="00525213" w:rsidRPr="004761E0" w:rsidRDefault="00525213" w:rsidP="003A1C23">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33 543</w:t>
            </w:r>
          </w:p>
        </w:tc>
        <w:tc>
          <w:tcPr>
            <w:tcW w:w="850" w:type="dxa"/>
            <w:noWrap/>
            <w:hideMark/>
          </w:tcPr>
          <w:p w:rsidR="00525213" w:rsidRPr="004761E0" w:rsidRDefault="00525213" w:rsidP="003A1C23">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53 163</w:t>
            </w:r>
          </w:p>
        </w:tc>
        <w:tc>
          <w:tcPr>
            <w:tcW w:w="771" w:type="dxa"/>
            <w:noWrap/>
            <w:hideMark/>
          </w:tcPr>
          <w:p w:rsidR="00525213" w:rsidRPr="004761E0" w:rsidRDefault="00525213" w:rsidP="003A1C23">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91 610</w:t>
            </w:r>
          </w:p>
        </w:tc>
        <w:tc>
          <w:tcPr>
            <w:tcW w:w="1072" w:type="dxa"/>
            <w:noWrap/>
            <w:hideMark/>
          </w:tcPr>
          <w:p w:rsidR="00525213" w:rsidRPr="004761E0" w:rsidRDefault="00525213" w:rsidP="00525213">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72,32 %</w:t>
            </w:r>
          </w:p>
        </w:tc>
      </w:tr>
      <w:tr w:rsidR="00525213" w:rsidRPr="004761E0" w:rsidTr="00525213">
        <w:trPr>
          <w:cantSplit/>
        </w:trPr>
        <w:tc>
          <w:tcPr>
            <w:tcW w:w="566" w:type="dxa"/>
            <w:vAlign w:val="center"/>
            <w:hideMark/>
          </w:tcPr>
          <w:p w:rsidR="00525213" w:rsidRPr="004761E0" w:rsidRDefault="00525213" w:rsidP="007076A7">
            <w:pPr>
              <w:pStyle w:val="a5"/>
              <w:numPr>
                <w:ilvl w:val="1"/>
                <w:numId w:val="107"/>
              </w:numPr>
              <w:jc w:val="left"/>
              <w:rPr>
                <w:rFonts w:eastAsia="Times New Roman"/>
                <w:sz w:val="20"/>
                <w:szCs w:val="20"/>
                <w:lang w:eastAsia="ru-RU"/>
              </w:rPr>
            </w:pPr>
          </w:p>
        </w:tc>
        <w:tc>
          <w:tcPr>
            <w:tcW w:w="6238" w:type="dxa"/>
            <w:hideMark/>
          </w:tcPr>
          <w:p w:rsidR="00525213" w:rsidRPr="004761E0" w:rsidRDefault="00525213" w:rsidP="00525213">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до 15 кВт (всего), в т.ч.:</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27 830</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44 617</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81 947</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83,67 %</w:t>
            </w:r>
          </w:p>
        </w:tc>
      </w:tr>
      <w:tr w:rsidR="00525213" w:rsidRPr="004761E0" w:rsidTr="00525213">
        <w:trPr>
          <w:cantSplit/>
        </w:trPr>
        <w:tc>
          <w:tcPr>
            <w:tcW w:w="566" w:type="dxa"/>
            <w:vAlign w:val="center"/>
            <w:hideMark/>
          </w:tcPr>
          <w:p w:rsidR="00525213" w:rsidRPr="004761E0" w:rsidRDefault="00525213" w:rsidP="007076A7">
            <w:pPr>
              <w:pStyle w:val="a5"/>
              <w:numPr>
                <w:ilvl w:val="2"/>
                <w:numId w:val="107"/>
              </w:numPr>
              <w:jc w:val="left"/>
              <w:rPr>
                <w:rFonts w:eastAsia="Times New Roman"/>
                <w:sz w:val="20"/>
                <w:szCs w:val="20"/>
                <w:lang w:eastAsia="ru-RU"/>
              </w:rPr>
            </w:pPr>
          </w:p>
        </w:tc>
        <w:tc>
          <w:tcPr>
            <w:tcW w:w="6238" w:type="dxa"/>
            <w:hideMark/>
          </w:tcPr>
          <w:p w:rsidR="00525213" w:rsidRPr="004761E0" w:rsidRDefault="00525213" w:rsidP="00525213">
            <w:pPr>
              <w:ind w:firstLineChars="371" w:firstLine="742"/>
              <w:jc w:val="left"/>
              <w:rPr>
                <w:rFonts w:eastAsia="Times New Roman"/>
                <w:color w:val="000000"/>
                <w:sz w:val="20"/>
                <w:szCs w:val="20"/>
                <w:lang w:eastAsia="ru-RU"/>
              </w:rPr>
            </w:pPr>
            <w:r w:rsidRPr="004761E0">
              <w:rPr>
                <w:rFonts w:eastAsia="Times New Roman"/>
                <w:color w:val="000000"/>
                <w:sz w:val="20"/>
                <w:szCs w:val="20"/>
                <w:lang w:eastAsia="ru-RU"/>
              </w:rPr>
              <w:t>физические лица до 15 кВт</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20 967</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39 273</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72 122</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83,64 %</w:t>
            </w:r>
          </w:p>
        </w:tc>
      </w:tr>
      <w:tr w:rsidR="00525213" w:rsidRPr="004761E0" w:rsidTr="00525213">
        <w:trPr>
          <w:cantSplit/>
        </w:trPr>
        <w:tc>
          <w:tcPr>
            <w:tcW w:w="566" w:type="dxa"/>
            <w:vAlign w:val="center"/>
            <w:hideMark/>
          </w:tcPr>
          <w:p w:rsidR="00525213" w:rsidRPr="004761E0" w:rsidRDefault="00525213" w:rsidP="007076A7">
            <w:pPr>
              <w:pStyle w:val="a5"/>
              <w:numPr>
                <w:ilvl w:val="1"/>
                <w:numId w:val="107"/>
              </w:numPr>
              <w:jc w:val="left"/>
              <w:rPr>
                <w:rFonts w:eastAsia="Times New Roman"/>
                <w:sz w:val="20"/>
                <w:szCs w:val="20"/>
                <w:lang w:eastAsia="ru-RU"/>
              </w:rPr>
            </w:pPr>
          </w:p>
        </w:tc>
        <w:tc>
          <w:tcPr>
            <w:tcW w:w="6238" w:type="dxa"/>
            <w:hideMark/>
          </w:tcPr>
          <w:p w:rsidR="00525213" w:rsidRPr="004761E0" w:rsidRDefault="00525213" w:rsidP="003A1C23">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свыше 15 кВт и до 150 кВт (всего), в т.ч.:</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2 860</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3 999</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5 683</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42,11 %</w:t>
            </w:r>
          </w:p>
        </w:tc>
      </w:tr>
      <w:tr w:rsidR="00525213" w:rsidRPr="004761E0" w:rsidTr="00525213">
        <w:trPr>
          <w:cantSplit/>
        </w:trPr>
        <w:tc>
          <w:tcPr>
            <w:tcW w:w="566" w:type="dxa"/>
            <w:vAlign w:val="center"/>
            <w:hideMark/>
          </w:tcPr>
          <w:p w:rsidR="00525213" w:rsidRPr="004761E0" w:rsidRDefault="00525213" w:rsidP="007076A7">
            <w:pPr>
              <w:pStyle w:val="a5"/>
              <w:numPr>
                <w:ilvl w:val="2"/>
                <w:numId w:val="107"/>
              </w:numPr>
              <w:jc w:val="left"/>
              <w:rPr>
                <w:rFonts w:eastAsia="Times New Roman"/>
                <w:sz w:val="20"/>
                <w:szCs w:val="20"/>
                <w:lang w:eastAsia="ru-RU"/>
              </w:rPr>
            </w:pPr>
          </w:p>
        </w:tc>
        <w:tc>
          <w:tcPr>
            <w:tcW w:w="6238" w:type="dxa"/>
            <w:hideMark/>
          </w:tcPr>
          <w:p w:rsidR="00525213" w:rsidRPr="004761E0" w:rsidRDefault="00525213" w:rsidP="00525213">
            <w:pPr>
              <w:ind w:firstLineChars="371" w:firstLine="742"/>
              <w:jc w:val="left"/>
              <w:rPr>
                <w:rFonts w:eastAsia="Times New Roman"/>
                <w:color w:val="000000"/>
                <w:sz w:val="20"/>
                <w:szCs w:val="20"/>
                <w:lang w:eastAsia="ru-RU"/>
              </w:rPr>
            </w:pPr>
            <w:r w:rsidRPr="004761E0">
              <w:rPr>
                <w:rFonts w:eastAsia="Times New Roman"/>
                <w:color w:val="000000"/>
                <w:sz w:val="20"/>
                <w:szCs w:val="20"/>
                <w:lang w:eastAsia="ru-RU"/>
              </w:rPr>
              <w:t>заявители, воспользовавшиеся рассрочкой</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174</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247</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66</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-73,28 %</w:t>
            </w:r>
          </w:p>
        </w:tc>
      </w:tr>
      <w:tr w:rsidR="00525213" w:rsidRPr="004761E0" w:rsidTr="00525213">
        <w:trPr>
          <w:cantSplit/>
        </w:trPr>
        <w:tc>
          <w:tcPr>
            <w:tcW w:w="566" w:type="dxa"/>
            <w:vAlign w:val="center"/>
            <w:hideMark/>
          </w:tcPr>
          <w:p w:rsidR="00525213" w:rsidRPr="004761E0" w:rsidRDefault="00525213" w:rsidP="007076A7">
            <w:pPr>
              <w:pStyle w:val="a5"/>
              <w:numPr>
                <w:ilvl w:val="1"/>
                <w:numId w:val="107"/>
              </w:numPr>
              <w:jc w:val="left"/>
              <w:rPr>
                <w:rFonts w:eastAsia="Times New Roman"/>
                <w:sz w:val="20"/>
                <w:szCs w:val="20"/>
                <w:lang w:eastAsia="ru-RU"/>
              </w:rPr>
            </w:pPr>
          </w:p>
        </w:tc>
        <w:tc>
          <w:tcPr>
            <w:tcW w:w="6238" w:type="dxa"/>
            <w:hideMark/>
          </w:tcPr>
          <w:p w:rsidR="00525213" w:rsidRPr="004761E0" w:rsidRDefault="00525213" w:rsidP="003A1C23">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свыше 150 кВт и менее 670 кВт</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2 023</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3 163</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2 734</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-13,56 %</w:t>
            </w:r>
          </w:p>
        </w:tc>
      </w:tr>
      <w:tr w:rsidR="00525213" w:rsidRPr="004761E0" w:rsidTr="00525213">
        <w:trPr>
          <w:cantSplit/>
        </w:trPr>
        <w:tc>
          <w:tcPr>
            <w:tcW w:w="566" w:type="dxa"/>
            <w:vAlign w:val="center"/>
            <w:hideMark/>
          </w:tcPr>
          <w:p w:rsidR="00525213" w:rsidRPr="004761E0" w:rsidRDefault="00525213" w:rsidP="007076A7">
            <w:pPr>
              <w:pStyle w:val="a5"/>
              <w:numPr>
                <w:ilvl w:val="1"/>
                <w:numId w:val="107"/>
              </w:numPr>
              <w:jc w:val="left"/>
              <w:rPr>
                <w:rFonts w:eastAsia="Times New Roman"/>
                <w:sz w:val="20"/>
                <w:szCs w:val="20"/>
                <w:lang w:eastAsia="ru-RU"/>
              </w:rPr>
            </w:pPr>
          </w:p>
        </w:tc>
        <w:tc>
          <w:tcPr>
            <w:tcW w:w="6238" w:type="dxa"/>
            <w:hideMark/>
          </w:tcPr>
          <w:p w:rsidR="00525213" w:rsidRPr="004761E0" w:rsidRDefault="00525213" w:rsidP="003A1C23">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не менее 670 кВт</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830</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1 384</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1 246</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-9,97 %</w:t>
            </w:r>
          </w:p>
        </w:tc>
      </w:tr>
      <w:tr w:rsidR="00525213" w:rsidRPr="004761E0" w:rsidTr="00525213">
        <w:trPr>
          <w:cantSplit/>
        </w:trPr>
        <w:tc>
          <w:tcPr>
            <w:tcW w:w="566" w:type="dxa"/>
            <w:vAlign w:val="center"/>
            <w:hideMark/>
          </w:tcPr>
          <w:p w:rsidR="00525213" w:rsidRPr="004761E0" w:rsidRDefault="00525213" w:rsidP="007076A7">
            <w:pPr>
              <w:pStyle w:val="a5"/>
              <w:numPr>
                <w:ilvl w:val="0"/>
                <w:numId w:val="107"/>
              </w:numPr>
              <w:jc w:val="left"/>
              <w:rPr>
                <w:rFonts w:eastAsia="Times New Roman"/>
                <w:b/>
                <w:bCs/>
                <w:sz w:val="20"/>
                <w:szCs w:val="20"/>
                <w:lang w:eastAsia="ru-RU"/>
              </w:rPr>
            </w:pPr>
          </w:p>
        </w:tc>
        <w:tc>
          <w:tcPr>
            <w:tcW w:w="6238" w:type="dxa"/>
            <w:hideMark/>
          </w:tcPr>
          <w:p w:rsidR="00525213" w:rsidRPr="004761E0" w:rsidRDefault="00525213" w:rsidP="003A1C23">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Общая мощность по поданным заявкам, МВт (всего), в т.ч.:</w:t>
            </w:r>
          </w:p>
        </w:tc>
        <w:tc>
          <w:tcPr>
            <w:tcW w:w="851" w:type="dxa"/>
            <w:noWrap/>
            <w:hideMark/>
          </w:tcPr>
          <w:p w:rsidR="00525213" w:rsidRPr="004761E0" w:rsidRDefault="00525213" w:rsidP="003A1C23">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5 661</w:t>
            </w:r>
          </w:p>
        </w:tc>
        <w:tc>
          <w:tcPr>
            <w:tcW w:w="850" w:type="dxa"/>
            <w:noWrap/>
            <w:hideMark/>
          </w:tcPr>
          <w:p w:rsidR="00525213" w:rsidRPr="004761E0" w:rsidRDefault="00525213" w:rsidP="003A1C23">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8 171</w:t>
            </w:r>
          </w:p>
        </w:tc>
        <w:tc>
          <w:tcPr>
            <w:tcW w:w="771" w:type="dxa"/>
            <w:noWrap/>
            <w:hideMark/>
          </w:tcPr>
          <w:p w:rsidR="00525213" w:rsidRPr="004761E0" w:rsidRDefault="00525213" w:rsidP="003A1C23">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8 841</w:t>
            </w:r>
          </w:p>
        </w:tc>
        <w:tc>
          <w:tcPr>
            <w:tcW w:w="1072" w:type="dxa"/>
            <w:noWrap/>
            <w:hideMark/>
          </w:tcPr>
          <w:p w:rsidR="00525213" w:rsidRPr="004761E0" w:rsidRDefault="00525213" w:rsidP="003A1C23">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8,20 %</w:t>
            </w:r>
          </w:p>
        </w:tc>
      </w:tr>
      <w:tr w:rsidR="00525213" w:rsidRPr="004761E0" w:rsidTr="00525213">
        <w:trPr>
          <w:cantSplit/>
        </w:trPr>
        <w:tc>
          <w:tcPr>
            <w:tcW w:w="566" w:type="dxa"/>
            <w:vAlign w:val="center"/>
            <w:hideMark/>
          </w:tcPr>
          <w:p w:rsidR="00525213" w:rsidRPr="004761E0" w:rsidRDefault="00525213" w:rsidP="007076A7">
            <w:pPr>
              <w:pStyle w:val="a5"/>
              <w:numPr>
                <w:ilvl w:val="1"/>
                <w:numId w:val="107"/>
              </w:numPr>
              <w:jc w:val="left"/>
              <w:rPr>
                <w:rFonts w:eastAsia="Times New Roman"/>
                <w:sz w:val="20"/>
                <w:szCs w:val="20"/>
                <w:lang w:eastAsia="ru-RU"/>
              </w:rPr>
            </w:pPr>
          </w:p>
        </w:tc>
        <w:tc>
          <w:tcPr>
            <w:tcW w:w="6238" w:type="dxa"/>
            <w:hideMark/>
          </w:tcPr>
          <w:p w:rsidR="00525213" w:rsidRPr="004761E0" w:rsidRDefault="00525213" w:rsidP="003A1C23">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до 15 кВт (всего), в т.ч.:</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324</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580</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1 084</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86,86 %</w:t>
            </w:r>
          </w:p>
        </w:tc>
      </w:tr>
      <w:tr w:rsidR="00525213" w:rsidRPr="004761E0" w:rsidTr="00525213">
        <w:trPr>
          <w:cantSplit/>
        </w:trPr>
        <w:tc>
          <w:tcPr>
            <w:tcW w:w="566" w:type="dxa"/>
            <w:vAlign w:val="center"/>
            <w:hideMark/>
          </w:tcPr>
          <w:p w:rsidR="00525213" w:rsidRPr="004761E0" w:rsidRDefault="00525213" w:rsidP="007076A7">
            <w:pPr>
              <w:pStyle w:val="a5"/>
              <w:numPr>
                <w:ilvl w:val="2"/>
                <w:numId w:val="107"/>
              </w:numPr>
              <w:jc w:val="left"/>
              <w:rPr>
                <w:rFonts w:eastAsia="Times New Roman"/>
                <w:sz w:val="20"/>
                <w:szCs w:val="20"/>
                <w:lang w:eastAsia="ru-RU"/>
              </w:rPr>
            </w:pPr>
          </w:p>
        </w:tc>
        <w:tc>
          <w:tcPr>
            <w:tcW w:w="6238" w:type="dxa"/>
            <w:hideMark/>
          </w:tcPr>
          <w:p w:rsidR="00525213" w:rsidRPr="004761E0" w:rsidRDefault="00525213" w:rsidP="00525213">
            <w:pPr>
              <w:ind w:firstLineChars="371" w:firstLine="742"/>
              <w:jc w:val="left"/>
              <w:rPr>
                <w:rFonts w:eastAsia="Times New Roman"/>
                <w:color w:val="000000"/>
                <w:sz w:val="20"/>
                <w:szCs w:val="20"/>
                <w:lang w:eastAsia="ru-RU"/>
              </w:rPr>
            </w:pPr>
            <w:r w:rsidRPr="004761E0">
              <w:rPr>
                <w:rFonts w:eastAsia="Times New Roman"/>
                <w:color w:val="000000"/>
                <w:sz w:val="20"/>
                <w:szCs w:val="20"/>
                <w:lang w:eastAsia="ru-RU"/>
              </w:rPr>
              <w:t>физические лица до 15 кВт</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268</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537</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1 000</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86,26 %</w:t>
            </w:r>
          </w:p>
        </w:tc>
      </w:tr>
      <w:tr w:rsidR="00525213" w:rsidRPr="004761E0" w:rsidTr="00525213">
        <w:trPr>
          <w:cantSplit/>
        </w:trPr>
        <w:tc>
          <w:tcPr>
            <w:tcW w:w="566" w:type="dxa"/>
            <w:vAlign w:val="center"/>
            <w:hideMark/>
          </w:tcPr>
          <w:p w:rsidR="00525213" w:rsidRPr="004761E0" w:rsidRDefault="00525213" w:rsidP="007076A7">
            <w:pPr>
              <w:pStyle w:val="a5"/>
              <w:numPr>
                <w:ilvl w:val="1"/>
                <w:numId w:val="107"/>
              </w:numPr>
              <w:jc w:val="left"/>
              <w:rPr>
                <w:rFonts w:eastAsia="Times New Roman"/>
                <w:sz w:val="20"/>
                <w:szCs w:val="20"/>
                <w:lang w:eastAsia="ru-RU"/>
              </w:rPr>
            </w:pPr>
          </w:p>
        </w:tc>
        <w:tc>
          <w:tcPr>
            <w:tcW w:w="6238" w:type="dxa"/>
            <w:hideMark/>
          </w:tcPr>
          <w:p w:rsidR="00525213" w:rsidRPr="004761E0" w:rsidRDefault="00525213" w:rsidP="003A1C23">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свыше 15 кВт и до 150 кВт (всего), в т.ч.:</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152</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217</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378</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74,14 %</w:t>
            </w:r>
          </w:p>
        </w:tc>
      </w:tr>
      <w:tr w:rsidR="00525213" w:rsidRPr="004761E0" w:rsidTr="00525213">
        <w:trPr>
          <w:cantSplit/>
        </w:trPr>
        <w:tc>
          <w:tcPr>
            <w:tcW w:w="566" w:type="dxa"/>
            <w:vAlign w:val="center"/>
            <w:hideMark/>
          </w:tcPr>
          <w:p w:rsidR="00525213" w:rsidRPr="004761E0" w:rsidRDefault="00525213" w:rsidP="007076A7">
            <w:pPr>
              <w:pStyle w:val="a5"/>
              <w:numPr>
                <w:ilvl w:val="2"/>
                <w:numId w:val="107"/>
              </w:numPr>
              <w:jc w:val="left"/>
              <w:rPr>
                <w:rFonts w:eastAsia="Times New Roman"/>
                <w:sz w:val="20"/>
                <w:szCs w:val="20"/>
                <w:lang w:eastAsia="ru-RU"/>
              </w:rPr>
            </w:pPr>
          </w:p>
        </w:tc>
        <w:tc>
          <w:tcPr>
            <w:tcW w:w="6238" w:type="dxa"/>
            <w:hideMark/>
          </w:tcPr>
          <w:p w:rsidR="00525213" w:rsidRPr="004761E0" w:rsidRDefault="00525213" w:rsidP="00525213">
            <w:pPr>
              <w:ind w:firstLineChars="371" w:firstLine="742"/>
              <w:jc w:val="left"/>
              <w:rPr>
                <w:rFonts w:eastAsia="Times New Roman"/>
                <w:color w:val="000000"/>
                <w:sz w:val="20"/>
                <w:szCs w:val="20"/>
                <w:lang w:eastAsia="ru-RU"/>
              </w:rPr>
            </w:pPr>
            <w:r w:rsidRPr="004761E0">
              <w:rPr>
                <w:rFonts w:eastAsia="Times New Roman"/>
                <w:color w:val="000000"/>
                <w:sz w:val="20"/>
                <w:szCs w:val="20"/>
                <w:lang w:eastAsia="ru-RU"/>
              </w:rPr>
              <w:t>заявители, воспользовавшиеся рассрочкой</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14</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19</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7</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-65,32 %</w:t>
            </w:r>
          </w:p>
        </w:tc>
      </w:tr>
      <w:tr w:rsidR="00525213" w:rsidRPr="004761E0" w:rsidTr="00525213">
        <w:trPr>
          <w:cantSplit/>
        </w:trPr>
        <w:tc>
          <w:tcPr>
            <w:tcW w:w="566" w:type="dxa"/>
            <w:vAlign w:val="center"/>
            <w:hideMark/>
          </w:tcPr>
          <w:p w:rsidR="00525213" w:rsidRPr="004761E0" w:rsidRDefault="00525213" w:rsidP="007076A7">
            <w:pPr>
              <w:pStyle w:val="a5"/>
              <w:numPr>
                <w:ilvl w:val="1"/>
                <w:numId w:val="107"/>
              </w:numPr>
              <w:jc w:val="left"/>
              <w:rPr>
                <w:rFonts w:eastAsia="Times New Roman"/>
                <w:sz w:val="20"/>
                <w:szCs w:val="20"/>
                <w:lang w:eastAsia="ru-RU"/>
              </w:rPr>
            </w:pPr>
          </w:p>
        </w:tc>
        <w:tc>
          <w:tcPr>
            <w:tcW w:w="6238" w:type="dxa"/>
            <w:hideMark/>
          </w:tcPr>
          <w:p w:rsidR="00525213" w:rsidRPr="004761E0" w:rsidRDefault="00525213" w:rsidP="003A1C23">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свыше 150 кВт и менее 670 кВт</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640</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946</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979</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3,46 %</w:t>
            </w:r>
          </w:p>
        </w:tc>
      </w:tr>
      <w:tr w:rsidR="00525213" w:rsidRPr="004761E0" w:rsidTr="00525213">
        <w:trPr>
          <w:cantSplit/>
        </w:trPr>
        <w:tc>
          <w:tcPr>
            <w:tcW w:w="566" w:type="dxa"/>
            <w:vAlign w:val="center"/>
            <w:hideMark/>
          </w:tcPr>
          <w:p w:rsidR="00525213" w:rsidRPr="004761E0" w:rsidRDefault="00525213" w:rsidP="007076A7">
            <w:pPr>
              <w:pStyle w:val="a5"/>
              <w:numPr>
                <w:ilvl w:val="1"/>
                <w:numId w:val="107"/>
              </w:numPr>
              <w:jc w:val="left"/>
              <w:rPr>
                <w:rFonts w:eastAsia="Times New Roman"/>
                <w:sz w:val="20"/>
                <w:szCs w:val="20"/>
                <w:lang w:eastAsia="ru-RU"/>
              </w:rPr>
            </w:pPr>
          </w:p>
        </w:tc>
        <w:tc>
          <w:tcPr>
            <w:tcW w:w="6238" w:type="dxa"/>
            <w:hideMark/>
          </w:tcPr>
          <w:p w:rsidR="00525213" w:rsidRPr="004761E0" w:rsidRDefault="00525213" w:rsidP="003A1C23">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не менее 670 кВт</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4 545</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6 428</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6 400</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-0,43 %</w:t>
            </w:r>
          </w:p>
        </w:tc>
      </w:tr>
      <w:tr w:rsidR="00525213" w:rsidRPr="004761E0" w:rsidTr="00525213">
        <w:trPr>
          <w:cantSplit/>
        </w:trPr>
        <w:tc>
          <w:tcPr>
            <w:tcW w:w="566" w:type="dxa"/>
            <w:vAlign w:val="center"/>
            <w:hideMark/>
          </w:tcPr>
          <w:p w:rsidR="00525213" w:rsidRPr="004761E0" w:rsidRDefault="00525213" w:rsidP="007076A7">
            <w:pPr>
              <w:pStyle w:val="a5"/>
              <w:numPr>
                <w:ilvl w:val="0"/>
                <w:numId w:val="107"/>
              </w:numPr>
              <w:jc w:val="left"/>
              <w:rPr>
                <w:rFonts w:eastAsia="Times New Roman"/>
                <w:b/>
                <w:bCs/>
                <w:sz w:val="20"/>
                <w:szCs w:val="20"/>
                <w:lang w:eastAsia="ru-RU"/>
              </w:rPr>
            </w:pPr>
          </w:p>
        </w:tc>
        <w:tc>
          <w:tcPr>
            <w:tcW w:w="6238" w:type="dxa"/>
            <w:hideMark/>
          </w:tcPr>
          <w:p w:rsidR="00525213" w:rsidRPr="004761E0" w:rsidRDefault="00525213" w:rsidP="003A1C23">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Количество заключенных договоров, шт. (всего), в т.ч.:</w:t>
            </w:r>
          </w:p>
        </w:tc>
        <w:tc>
          <w:tcPr>
            <w:tcW w:w="851" w:type="dxa"/>
            <w:noWrap/>
            <w:hideMark/>
          </w:tcPr>
          <w:p w:rsidR="00525213" w:rsidRPr="004761E0" w:rsidRDefault="00525213" w:rsidP="003A1C23">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22 890</w:t>
            </w:r>
          </w:p>
        </w:tc>
        <w:tc>
          <w:tcPr>
            <w:tcW w:w="850" w:type="dxa"/>
            <w:noWrap/>
            <w:hideMark/>
          </w:tcPr>
          <w:p w:rsidR="00525213" w:rsidRPr="004761E0" w:rsidRDefault="00525213" w:rsidP="003A1C23">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37 505</w:t>
            </w:r>
          </w:p>
        </w:tc>
        <w:tc>
          <w:tcPr>
            <w:tcW w:w="771" w:type="dxa"/>
            <w:noWrap/>
            <w:hideMark/>
          </w:tcPr>
          <w:p w:rsidR="00525213" w:rsidRPr="004761E0" w:rsidRDefault="00525213" w:rsidP="003A1C23">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70 877</w:t>
            </w:r>
          </w:p>
        </w:tc>
        <w:tc>
          <w:tcPr>
            <w:tcW w:w="1072" w:type="dxa"/>
            <w:noWrap/>
            <w:hideMark/>
          </w:tcPr>
          <w:p w:rsidR="00525213" w:rsidRPr="004761E0" w:rsidRDefault="00525213" w:rsidP="003A1C23">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88,98 %</w:t>
            </w:r>
          </w:p>
        </w:tc>
      </w:tr>
      <w:tr w:rsidR="00525213" w:rsidRPr="004761E0" w:rsidTr="00525213">
        <w:trPr>
          <w:cantSplit/>
        </w:trPr>
        <w:tc>
          <w:tcPr>
            <w:tcW w:w="566" w:type="dxa"/>
            <w:vAlign w:val="center"/>
            <w:hideMark/>
          </w:tcPr>
          <w:p w:rsidR="00525213" w:rsidRPr="004761E0" w:rsidRDefault="00525213" w:rsidP="007076A7">
            <w:pPr>
              <w:pStyle w:val="a5"/>
              <w:numPr>
                <w:ilvl w:val="1"/>
                <w:numId w:val="107"/>
              </w:numPr>
              <w:jc w:val="left"/>
              <w:rPr>
                <w:rFonts w:eastAsia="Times New Roman"/>
                <w:sz w:val="20"/>
                <w:szCs w:val="20"/>
                <w:lang w:eastAsia="ru-RU"/>
              </w:rPr>
            </w:pPr>
          </w:p>
        </w:tc>
        <w:tc>
          <w:tcPr>
            <w:tcW w:w="6238" w:type="dxa"/>
            <w:hideMark/>
          </w:tcPr>
          <w:p w:rsidR="00525213" w:rsidRPr="004761E0" w:rsidRDefault="00525213" w:rsidP="003A1C23">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до 15 кВт (всего), в т.ч.:</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20 507</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32 449</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64 773</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99,61 %</w:t>
            </w:r>
          </w:p>
        </w:tc>
      </w:tr>
      <w:tr w:rsidR="00525213" w:rsidRPr="004761E0" w:rsidTr="00525213">
        <w:trPr>
          <w:cantSplit/>
        </w:trPr>
        <w:tc>
          <w:tcPr>
            <w:tcW w:w="566" w:type="dxa"/>
            <w:vAlign w:val="center"/>
            <w:hideMark/>
          </w:tcPr>
          <w:p w:rsidR="00525213" w:rsidRPr="004761E0" w:rsidRDefault="00525213" w:rsidP="007076A7">
            <w:pPr>
              <w:pStyle w:val="a5"/>
              <w:numPr>
                <w:ilvl w:val="2"/>
                <w:numId w:val="107"/>
              </w:numPr>
              <w:jc w:val="left"/>
              <w:rPr>
                <w:rFonts w:eastAsia="Times New Roman"/>
                <w:sz w:val="20"/>
                <w:szCs w:val="20"/>
                <w:lang w:eastAsia="ru-RU"/>
              </w:rPr>
            </w:pPr>
          </w:p>
        </w:tc>
        <w:tc>
          <w:tcPr>
            <w:tcW w:w="6238" w:type="dxa"/>
            <w:hideMark/>
          </w:tcPr>
          <w:p w:rsidR="00525213" w:rsidRPr="004761E0" w:rsidRDefault="00525213" w:rsidP="00525213">
            <w:pPr>
              <w:ind w:firstLineChars="371" w:firstLine="742"/>
              <w:jc w:val="left"/>
              <w:rPr>
                <w:rFonts w:eastAsia="Times New Roman"/>
                <w:color w:val="000000"/>
                <w:sz w:val="20"/>
                <w:szCs w:val="20"/>
                <w:lang w:eastAsia="ru-RU"/>
              </w:rPr>
            </w:pPr>
            <w:r w:rsidRPr="004761E0">
              <w:rPr>
                <w:rFonts w:eastAsia="Times New Roman"/>
                <w:color w:val="000000"/>
                <w:sz w:val="20"/>
                <w:szCs w:val="20"/>
                <w:lang w:eastAsia="ru-RU"/>
              </w:rPr>
              <w:t>физические лица до 15 кВт</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17 153</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28 541</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57 915</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102,92 %</w:t>
            </w:r>
          </w:p>
        </w:tc>
      </w:tr>
      <w:tr w:rsidR="00525213" w:rsidRPr="004761E0" w:rsidTr="00525213">
        <w:trPr>
          <w:cantSplit/>
        </w:trPr>
        <w:tc>
          <w:tcPr>
            <w:tcW w:w="566" w:type="dxa"/>
            <w:vAlign w:val="center"/>
            <w:hideMark/>
          </w:tcPr>
          <w:p w:rsidR="00525213" w:rsidRPr="004761E0" w:rsidRDefault="00525213" w:rsidP="007076A7">
            <w:pPr>
              <w:pStyle w:val="a5"/>
              <w:numPr>
                <w:ilvl w:val="1"/>
                <w:numId w:val="107"/>
              </w:numPr>
              <w:jc w:val="left"/>
              <w:rPr>
                <w:rFonts w:eastAsia="Times New Roman"/>
                <w:sz w:val="20"/>
                <w:szCs w:val="20"/>
                <w:lang w:eastAsia="ru-RU"/>
              </w:rPr>
            </w:pPr>
          </w:p>
        </w:tc>
        <w:tc>
          <w:tcPr>
            <w:tcW w:w="6238" w:type="dxa"/>
            <w:hideMark/>
          </w:tcPr>
          <w:p w:rsidR="00525213" w:rsidRPr="004761E0" w:rsidRDefault="00525213" w:rsidP="003A1C23">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свыше 15 кВт и до 150 кВт (всего), в т.ч.:</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1 370</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2 798</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3 867</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38,21 %</w:t>
            </w:r>
          </w:p>
        </w:tc>
      </w:tr>
      <w:tr w:rsidR="00525213" w:rsidRPr="004761E0" w:rsidTr="00525213">
        <w:trPr>
          <w:cantSplit/>
        </w:trPr>
        <w:tc>
          <w:tcPr>
            <w:tcW w:w="566" w:type="dxa"/>
            <w:vAlign w:val="center"/>
            <w:hideMark/>
          </w:tcPr>
          <w:p w:rsidR="00525213" w:rsidRPr="004761E0" w:rsidRDefault="00525213" w:rsidP="007076A7">
            <w:pPr>
              <w:pStyle w:val="a5"/>
              <w:numPr>
                <w:ilvl w:val="2"/>
                <w:numId w:val="107"/>
              </w:numPr>
              <w:jc w:val="left"/>
              <w:rPr>
                <w:rFonts w:eastAsia="Times New Roman"/>
                <w:sz w:val="20"/>
                <w:szCs w:val="20"/>
                <w:lang w:eastAsia="ru-RU"/>
              </w:rPr>
            </w:pPr>
          </w:p>
        </w:tc>
        <w:tc>
          <w:tcPr>
            <w:tcW w:w="6238" w:type="dxa"/>
            <w:hideMark/>
          </w:tcPr>
          <w:p w:rsidR="00525213" w:rsidRPr="004761E0" w:rsidRDefault="00525213" w:rsidP="00525213">
            <w:pPr>
              <w:ind w:firstLineChars="371" w:firstLine="742"/>
              <w:jc w:val="left"/>
              <w:rPr>
                <w:rFonts w:eastAsia="Times New Roman"/>
                <w:color w:val="000000"/>
                <w:sz w:val="20"/>
                <w:szCs w:val="20"/>
                <w:lang w:eastAsia="ru-RU"/>
              </w:rPr>
            </w:pPr>
            <w:r w:rsidRPr="004761E0">
              <w:rPr>
                <w:rFonts w:eastAsia="Times New Roman"/>
                <w:color w:val="000000"/>
                <w:sz w:val="20"/>
                <w:szCs w:val="20"/>
                <w:lang w:eastAsia="ru-RU"/>
              </w:rPr>
              <w:t>заявители, воспользовавшиеся рассрочкой</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110</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149</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75</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-49,66 %</w:t>
            </w:r>
          </w:p>
        </w:tc>
      </w:tr>
      <w:tr w:rsidR="00525213" w:rsidRPr="004761E0" w:rsidTr="00525213">
        <w:trPr>
          <w:cantSplit/>
        </w:trPr>
        <w:tc>
          <w:tcPr>
            <w:tcW w:w="566" w:type="dxa"/>
            <w:vAlign w:val="center"/>
            <w:hideMark/>
          </w:tcPr>
          <w:p w:rsidR="00525213" w:rsidRPr="004761E0" w:rsidRDefault="00525213" w:rsidP="007076A7">
            <w:pPr>
              <w:pStyle w:val="a5"/>
              <w:numPr>
                <w:ilvl w:val="1"/>
                <w:numId w:val="107"/>
              </w:numPr>
              <w:jc w:val="left"/>
              <w:rPr>
                <w:rFonts w:eastAsia="Times New Roman"/>
                <w:sz w:val="20"/>
                <w:szCs w:val="20"/>
                <w:lang w:eastAsia="ru-RU"/>
              </w:rPr>
            </w:pPr>
          </w:p>
        </w:tc>
        <w:tc>
          <w:tcPr>
            <w:tcW w:w="6238" w:type="dxa"/>
            <w:hideMark/>
          </w:tcPr>
          <w:p w:rsidR="00525213" w:rsidRPr="004761E0" w:rsidRDefault="00525213" w:rsidP="003A1C23">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свыше 150 кВт и менее 670 кВт</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793</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1 735</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1 720</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-0,86 %</w:t>
            </w:r>
          </w:p>
        </w:tc>
      </w:tr>
      <w:tr w:rsidR="00525213" w:rsidRPr="004761E0" w:rsidTr="00525213">
        <w:trPr>
          <w:cantSplit/>
        </w:trPr>
        <w:tc>
          <w:tcPr>
            <w:tcW w:w="566" w:type="dxa"/>
            <w:vAlign w:val="center"/>
            <w:hideMark/>
          </w:tcPr>
          <w:p w:rsidR="00525213" w:rsidRPr="004761E0" w:rsidRDefault="00525213" w:rsidP="007076A7">
            <w:pPr>
              <w:pStyle w:val="a5"/>
              <w:numPr>
                <w:ilvl w:val="1"/>
                <w:numId w:val="107"/>
              </w:numPr>
              <w:jc w:val="left"/>
              <w:rPr>
                <w:rFonts w:eastAsia="Times New Roman"/>
                <w:sz w:val="20"/>
                <w:szCs w:val="20"/>
                <w:lang w:eastAsia="ru-RU"/>
              </w:rPr>
            </w:pPr>
          </w:p>
        </w:tc>
        <w:tc>
          <w:tcPr>
            <w:tcW w:w="6238" w:type="dxa"/>
            <w:hideMark/>
          </w:tcPr>
          <w:p w:rsidR="00525213" w:rsidRPr="004761E0" w:rsidRDefault="00525213" w:rsidP="003A1C23">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не менее 670 кВт</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220</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523</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517</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-1,15 %</w:t>
            </w:r>
          </w:p>
        </w:tc>
      </w:tr>
      <w:tr w:rsidR="00525213" w:rsidRPr="004761E0" w:rsidTr="00525213">
        <w:trPr>
          <w:cantSplit/>
        </w:trPr>
        <w:tc>
          <w:tcPr>
            <w:tcW w:w="566" w:type="dxa"/>
            <w:vAlign w:val="center"/>
            <w:hideMark/>
          </w:tcPr>
          <w:p w:rsidR="00525213" w:rsidRPr="004761E0" w:rsidRDefault="00525213" w:rsidP="007076A7">
            <w:pPr>
              <w:pStyle w:val="a5"/>
              <w:numPr>
                <w:ilvl w:val="0"/>
                <w:numId w:val="107"/>
              </w:numPr>
              <w:jc w:val="left"/>
              <w:rPr>
                <w:rFonts w:eastAsia="Times New Roman"/>
                <w:b/>
                <w:bCs/>
                <w:sz w:val="20"/>
                <w:szCs w:val="20"/>
                <w:lang w:eastAsia="ru-RU"/>
              </w:rPr>
            </w:pPr>
          </w:p>
        </w:tc>
        <w:tc>
          <w:tcPr>
            <w:tcW w:w="6238" w:type="dxa"/>
            <w:hideMark/>
          </w:tcPr>
          <w:p w:rsidR="00525213" w:rsidRPr="004761E0" w:rsidRDefault="00525213" w:rsidP="003A1C23">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Общая мощность по заключенным договорам, МВт (всего), в т.ч.:</w:t>
            </w:r>
          </w:p>
        </w:tc>
        <w:tc>
          <w:tcPr>
            <w:tcW w:w="851" w:type="dxa"/>
            <w:noWrap/>
            <w:hideMark/>
          </w:tcPr>
          <w:p w:rsidR="00525213" w:rsidRPr="004761E0" w:rsidRDefault="00525213" w:rsidP="003A1C23">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1 778</w:t>
            </w:r>
          </w:p>
        </w:tc>
        <w:tc>
          <w:tcPr>
            <w:tcW w:w="850" w:type="dxa"/>
            <w:noWrap/>
            <w:hideMark/>
          </w:tcPr>
          <w:p w:rsidR="00525213" w:rsidRPr="004761E0" w:rsidRDefault="00525213" w:rsidP="003A1C23">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2 594</w:t>
            </w:r>
          </w:p>
        </w:tc>
        <w:tc>
          <w:tcPr>
            <w:tcW w:w="771" w:type="dxa"/>
            <w:noWrap/>
            <w:hideMark/>
          </w:tcPr>
          <w:p w:rsidR="00525213" w:rsidRPr="004761E0" w:rsidRDefault="00525213" w:rsidP="003A1C23">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4 454</w:t>
            </w:r>
          </w:p>
        </w:tc>
        <w:tc>
          <w:tcPr>
            <w:tcW w:w="1072" w:type="dxa"/>
            <w:noWrap/>
            <w:hideMark/>
          </w:tcPr>
          <w:p w:rsidR="00525213" w:rsidRPr="004761E0" w:rsidRDefault="00525213" w:rsidP="003A1C23">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71,72 %</w:t>
            </w:r>
          </w:p>
        </w:tc>
      </w:tr>
      <w:tr w:rsidR="00525213" w:rsidRPr="004761E0" w:rsidTr="00525213">
        <w:trPr>
          <w:cantSplit/>
        </w:trPr>
        <w:tc>
          <w:tcPr>
            <w:tcW w:w="566" w:type="dxa"/>
            <w:vAlign w:val="center"/>
            <w:hideMark/>
          </w:tcPr>
          <w:p w:rsidR="00525213" w:rsidRPr="004761E0" w:rsidRDefault="00525213" w:rsidP="007076A7">
            <w:pPr>
              <w:pStyle w:val="a5"/>
              <w:numPr>
                <w:ilvl w:val="1"/>
                <w:numId w:val="107"/>
              </w:numPr>
              <w:jc w:val="left"/>
              <w:rPr>
                <w:rFonts w:eastAsia="Times New Roman"/>
                <w:sz w:val="20"/>
                <w:szCs w:val="20"/>
                <w:lang w:eastAsia="ru-RU"/>
              </w:rPr>
            </w:pPr>
          </w:p>
        </w:tc>
        <w:tc>
          <w:tcPr>
            <w:tcW w:w="6238" w:type="dxa"/>
            <w:hideMark/>
          </w:tcPr>
          <w:p w:rsidR="00525213" w:rsidRPr="004761E0" w:rsidRDefault="00525213" w:rsidP="003A1C23">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до 15 кВт (всего), в т.ч.:</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248</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424</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884</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108,21 %</w:t>
            </w:r>
          </w:p>
        </w:tc>
      </w:tr>
      <w:tr w:rsidR="00525213" w:rsidRPr="004761E0" w:rsidTr="00525213">
        <w:trPr>
          <w:cantSplit/>
        </w:trPr>
        <w:tc>
          <w:tcPr>
            <w:tcW w:w="566" w:type="dxa"/>
            <w:vAlign w:val="center"/>
            <w:hideMark/>
          </w:tcPr>
          <w:p w:rsidR="00525213" w:rsidRPr="004761E0" w:rsidRDefault="00525213" w:rsidP="007076A7">
            <w:pPr>
              <w:pStyle w:val="a5"/>
              <w:numPr>
                <w:ilvl w:val="2"/>
                <w:numId w:val="107"/>
              </w:numPr>
              <w:jc w:val="left"/>
              <w:rPr>
                <w:rFonts w:eastAsia="Times New Roman"/>
                <w:sz w:val="20"/>
                <w:szCs w:val="20"/>
                <w:lang w:eastAsia="ru-RU"/>
              </w:rPr>
            </w:pPr>
          </w:p>
        </w:tc>
        <w:tc>
          <w:tcPr>
            <w:tcW w:w="6238" w:type="dxa"/>
            <w:hideMark/>
          </w:tcPr>
          <w:p w:rsidR="00525213" w:rsidRPr="004761E0" w:rsidRDefault="00525213" w:rsidP="00525213">
            <w:pPr>
              <w:ind w:firstLineChars="371" w:firstLine="742"/>
              <w:jc w:val="left"/>
              <w:rPr>
                <w:rFonts w:eastAsia="Times New Roman"/>
                <w:color w:val="000000"/>
                <w:sz w:val="20"/>
                <w:szCs w:val="20"/>
                <w:lang w:eastAsia="ru-RU"/>
              </w:rPr>
            </w:pPr>
            <w:r w:rsidRPr="004761E0">
              <w:rPr>
                <w:rFonts w:eastAsia="Times New Roman"/>
                <w:color w:val="000000"/>
                <w:sz w:val="20"/>
                <w:szCs w:val="20"/>
                <w:lang w:eastAsia="ru-RU"/>
              </w:rPr>
              <w:t>физические лица до 15 кВт</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217</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388</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811</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109,27 %</w:t>
            </w:r>
          </w:p>
        </w:tc>
      </w:tr>
      <w:tr w:rsidR="00525213" w:rsidRPr="004761E0" w:rsidTr="00525213">
        <w:trPr>
          <w:cantSplit/>
        </w:trPr>
        <w:tc>
          <w:tcPr>
            <w:tcW w:w="566" w:type="dxa"/>
            <w:vAlign w:val="center"/>
            <w:hideMark/>
          </w:tcPr>
          <w:p w:rsidR="00525213" w:rsidRPr="004761E0" w:rsidRDefault="00525213" w:rsidP="007076A7">
            <w:pPr>
              <w:pStyle w:val="a5"/>
              <w:numPr>
                <w:ilvl w:val="1"/>
                <w:numId w:val="107"/>
              </w:numPr>
              <w:jc w:val="left"/>
              <w:rPr>
                <w:rFonts w:eastAsia="Times New Roman"/>
                <w:sz w:val="20"/>
                <w:szCs w:val="20"/>
                <w:lang w:eastAsia="ru-RU"/>
              </w:rPr>
            </w:pPr>
          </w:p>
        </w:tc>
        <w:tc>
          <w:tcPr>
            <w:tcW w:w="6238" w:type="dxa"/>
            <w:hideMark/>
          </w:tcPr>
          <w:p w:rsidR="00525213" w:rsidRPr="004761E0" w:rsidRDefault="00525213" w:rsidP="003A1C23">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свыше 15 кВт и до 150 кВт (всего), в т.ч.:</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75</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151</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262</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73,53 %</w:t>
            </w:r>
          </w:p>
        </w:tc>
      </w:tr>
      <w:tr w:rsidR="00525213" w:rsidRPr="004761E0" w:rsidTr="00525213">
        <w:trPr>
          <w:cantSplit/>
        </w:trPr>
        <w:tc>
          <w:tcPr>
            <w:tcW w:w="566" w:type="dxa"/>
            <w:vAlign w:val="center"/>
            <w:hideMark/>
          </w:tcPr>
          <w:p w:rsidR="00525213" w:rsidRPr="004761E0" w:rsidRDefault="00525213" w:rsidP="007076A7">
            <w:pPr>
              <w:pStyle w:val="a5"/>
              <w:numPr>
                <w:ilvl w:val="2"/>
                <w:numId w:val="107"/>
              </w:numPr>
              <w:jc w:val="left"/>
              <w:rPr>
                <w:rFonts w:eastAsia="Times New Roman"/>
                <w:sz w:val="20"/>
                <w:szCs w:val="20"/>
                <w:lang w:eastAsia="ru-RU"/>
              </w:rPr>
            </w:pPr>
          </w:p>
        </w:tc>
        <w:tc>
          <w:tcPr>
            <w:tcW w:w="6238" w:type="dxa"/>
            <w:hideMark/>
          </w:tcPr>
          <w:p w:rsidR="00525213" w:rsidRPr="004761E0" w:rsidRDefault="00525213" w:rsidP="00525213">
            <w:pPr>
              <w:ind w:firstLineChars="371" w:firstLine="742"/>
              <w:jc w:val="left"/>
              <w:rPr>
                <w:rFonts w:eastAsia="Times New Roman"/>
                <w:color w:val="000000"/>
                <w:sz w:val="20"/>
                <w:szCs w:val="20"/>
                <w:lang w:eastAsia="ru-RU"/>
              </w:rPr>
            </w:pPr>
            <w:r w:rsidRPr="004761E0">
              <w:rPr>
                <w:rFonts w:eastAsia="Times New Roman"/>
                <w:color w:val="000000"/>
                <w:sz w:val="20"/>
                <w:szCs w:val="20"/>
                <w:lang w:eastAsia="ru-RU"/>
              </w:rPr>
              <w:t>заявители, воспользовавшиеся рассрочкой</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7</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28</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7</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-74,14 %</w:t>
            </w:r>
          </w:p>
        </w:tc>
      </w:tr>
      <w:tr w:rsidR="00525213" w:rsidRPr="004761E0" w:rsidTr="00525213">
        <w:trPr>
          <w:cantSplit/>
        </w:trPr>
        <w:tc>
          <w:tcPr>
            <w:tcW w:w="566" w:type="dxa"/>
            <w:vAlign w:val="center"/>
            <w:hideMark/>
          </w:tcPr>
          <w:p w:rsidR="00525213" w:rsidRPr="004761E0" w:rsidRDefault="00525213" w:rsidP="007076A7">
            <w:pPr>
              <w:pStyle w:val="a5"/>
              <w:numPr>
                <w:ilvl w:val="1"/>
                <w:numId w:val="107"/>
              </w:numPr>
              <w:jc w:val="left"/>
              <w:rPr>
                <w:rFonts w:eastAsia="Times New Roman"/>
                <w:sz w:val="20"/>
                <w:szCs w:val="20"/>
                <w:lang w:eastAsia="ru-RU"/>
              </w:rPr>
            </w:pPr>
          </w:p>
        </w:tc>
        <w:tc>
          <w:tcPr>
            <w:tcW w:w="6238" w:type="dxa"/>
            <w:hideMark/>
          </w:tcPr>
          <w:p w:rsidR="00525213" w:rsidRPr="004761E0" w:rsidRDefault="00525213" w:rsidP="003A1C23">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свыше 150 кВт и менее 670 кВт</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238</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502</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599</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19,36 %</w:t>
            </w:r>
          </w:p>
        </w:tc>
      </w:tr>
      <w:tr w:rsidR="00525213" w:rsidRPr="004761E0" w:rsidTr="00525213">
        <w:trPr>
          <w:cantSplit/>
        </w:trPr>
        <w:tc>
          <w:tcPr>
            <w:tcW w:w="566" w:type="dxa"/>
            <w:vAlign w:val="center"/>
            <w:hideMark/>
          </w:tcPr>
          <w:p w:rsidR="00525213" w:rsidRPr="004761E0" w:rsidRDefault="00525213" w:rsidP="007076A7">
            <w:pPr>
              <w:pStyle w:val="a5"/>
              <w:numPr>
                <w:ilvl w:val="1"/>
                <w:numId w:val="107"/>
              </w:numPr>
              <w:jc w:val="left"/>
              <w:rPr>
                <w:rFonts w:eastAsia="Times New Roman"/>
                <w:sz w:val="20"/>
                <w:szCs w:val="20"/>
                <w:lang w:eastAsia="ru-RU"/>
              </w:rPr>
            </w:pPr>
          </w:p>
        </w:tc>
        <w:tc>
          <w:tcPr>
            <w:tcW w:w="6238" w:type="dxa"/>
            <w:hideMark/>
          </w:tcPr>
          <w:p w:rsidR="00525213" w:rsidRPr="004761E0" w:rsidRDefault="00525213" w:rsidP="003A1C23">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не менее 670 кВт</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1 217</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1 516</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2 709</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78,66 %</w:t>
            </w:r>
          </w:p>
        </w:tc>
      </w:tr>
      <w:tr w:rsidR="00525213" w:rsidRPr="004761E0" w:rsidTr="00525213">
        <w:trPr>
          <w:cantSplit/>
        </w:trPr>
        <w:tc>
          <w:tcPr>
            <w:tcW w:w="566" w:type="dxa"/>
            <w:vAlign w:val="center"/>
            <w:hideMark/>
          </w:tcPr>
          <w:p w:rsidR="00525213" w:rsidRPr="004761E0" w:rsidRDefault="00525213" w:rsidP="007076A7">
            <w:pPr>
              <w:pStyle w:val="a5"/>
              <w:numPr>
                <w:ilvl w:val="0"/>
                <w:numId w:val="107"/>
              </w:numPr>
              <w:jc w:val="left"/>
              <w:rPr>
                <w:rFonts w:eastAsia="Times New Roman"/>
                <w:b/>
                <w:bCs/>
                <w:sz w:val="20"/>
                <w:szCs w:val="20"/>
                <w:lang w:eastAsia="ru-RU"/>
              </w:rPr>
            </w:pPr>
          </w:p>
        </w:tc>
        <w:tc>
          <w:tcPr>
            <w:tcW w:w="6238" w:type="dxa"/>
            <w:hideMark/>
          </w:tcPr>
          <w:p w:rsidR="00525213" w:rsidRPr="004761E0" w:rsidRDefault="00525213" w:rsidP="003A1C23">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Фактическое присоединение, шт. (всего), в т.ч.:</w:t>
            </w:r>
          </w:p>
        </w:tc>
        <w:tc>
          <w:tcPr>
            <w:tcW w:w="851" w:type="dxa"/>
            <w:noWrap/>
            <w:hideMark/>
          </w:tcPr>
          <w:p w:rsidR="00525213" w:rsidRPr="004761E0" w:rsidRDefault="00525213" w:rsidP="003A1C23">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14 700</w:t>
            </w:r>
          </w:p>
        </w:tc>
        <w:tc>
          <w:tcPr>
            <w:tcW w:w="850" w:type="dxa"/>
            <w:noWrap/>
            <w:hideMark/>
          </w:tcPr>
          <w:p w:rsidR="00525213" w:rsidRPr="004761E0" w:rsidRDefault="00525213" w:rsidP="003A1C23">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16 905</w:t>
            </w:r>
          </w:p>
        </w:tc>
        <w:tc>
          <w:tcPr>
            <w:tcW w:w="771" w:type="dxa"/>
            <w:noWrap/>
            <w:hideMark/>
          </w:tcPr>
          <w:p w:rsidR="00525213" w:rsidRPr="004761E0" w:rsidRDefault="00525213" w:rsidP="003A1C23">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34 859</w:t>
            </w:r>
          </w:p>
        </w:tc>
        <w:tc>
          <w:tcPr>
            <w:tcW w:w="1072" w:type="dxa"/>
            <w:noWrap/>
            <w:hideMark/>
          </w:tcPr>
          <w:p w:rsidR="00525213" w:rsidRPr="004761E0" w:rsidRDefault="00525213" w:rsidP="003A1C23">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106,21 %</w:t>
            </w:r>
          </w:p>
        </w:tc>
      </w:tr>
      <w:tr w:rsidR="00525213" w:rsidRPr="004761E0" w:rsidTr="00525213">
        <w:trPr>
          <w:cantSplit/>
        </w:trPr>
        <w:tc>
          <w:tcPr>
            <w:tcW w:w="566" w:type="dxa"/>
            <w:vAlign w:val="center"/>
            <w:hideMark/>
          </w:tcPr>
          <w:p w:rsidR="00525213" w:rsidRPr="004761E0" w:rsidRDefault="00525213" w:rsidP="007076A7">
            <w:pPr>
              <w:pStyle w:val="a5"/>
              <w:numPr>
                <w:ilvl w:val="1"/>
                <w:numId w:val="107"/>
              </w:numPr>
              <w:jc w:val="left"/>
              <w:rPr>
                <w:rFonts w:eastAsia="Times New Roman"/>
                <w:sz w:val="20"/>
                <w:szCs w:val="20"/>
                <w:lang w:eastAsia="ru-RU"/>
              </w:rPr>
            </w:pPr>
          </w:p>
        </w:tc>
        <w:tc>
          <w:tcPr>
            <w:tcW w:w="6238" w:type="dxa"/>
            <w:hideMark/>
          </w:tcPr>
          <w:p w:rsidR="00525213" w:rsidRPr="004761E0" w:rsidRDefault="00525213" w:rsidP="003A1C23">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до 15 кВт (всего), в т.ч.:</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13 129</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15 246</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31 818</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108,70 %</w:t>
            </w:r>
          </w:p>
        </w:tc>
      </w:tr>
      <w:tr w:rsidR="00525213" w:rsidRPr="004761E0" w:rsidTr="00525213">
        <w:trPr>
          <w:cantSplit/>
        </w:trPr>
        <w:tc>
          <w:tcPr>
            <w:tcW w:w="566" w:type="dxa"/>
            <w:vAlign w:val="center"/>
            <w:hideMark/>
          </w:tcPr>
          <w:p w:rsidR="00525213" w:rsidRPr="004761E0" w:rsidRDefault="00525213" w:rsidP="007076A7">
            <w:pPr>
              <w:pStyle w:val="a5"/>
              <w:numPr>
                <w:ilvl w:val="2"/>
                <w:numId w:val="107"/>
              </w:numPr>
              <w:jc w:val="left"/>
              <w:rPr>
                <w:rFonts w:eastAsia="Times New Roman"/>
                <w:sz w:val="20"/>
                <w:szCs w:val="20"/>
                <w:lang w:eastAsia="ru-RU"/>
              </w:rPr>
            </w:pPr>
          </w:p>
        </w:tc>
        <w:tc>
          <w:tcPr>
            <w:tcW w:w="6238" w:type="dxa"/>
            <w:hideMark/>
          </w:tcPr>
          <w:p w:rsidR="00525213" w:rsidRPr="004761E0" w:rsidRDefault="00525213" w:rsidP="00525213">
            <w:pPr>
              <w:ind w:firstLineChars="371" w:firstLine="742"/>
              <w:jc w:val="left"/>
              <w:rPr>
                <w:rFonts w:eastAsia="Times New Roman"/>
                <w:color w:val="000000"/>
                <w:sz w:val="20"/>
                <w:szCs w:val="20"/>
                <w:lang w:eastAsia="ru-RU"/>
              </w:rPr>
            </w:pPr>
            <w:r w:rsidRPr="004761E0">
              <w:rPr>
                <w:rFonts w:eastAsia="Times New Roman"/>
                <w:color w:val="000000"/>
                <w:sz w:val="20"/>
                <w:szCs w:val="20"/>
                <w:lang w:eastAsia="ru-RU"/>
              </w:rPr>
              <w:t>физические лица до 15 кВт</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10 715</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13 395</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28 799</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115,00 %</w:t>
            </w:r>
          </w:p>
        </w:tc>
      </w:tr>
      <w:tr w:rsidR="00525213" w:rsidRPr="004761E0" w:rsidTr="00525213">
        <w:trPr>
          <w:cantSplit/>
        </w:trPr>
        <w:tc>
          <w:tcPr>
            <w:tcW w:w="566" w:type="dxa"/>
            <w:vAlign w:val="center"/>
            <w:hideMark/>
          </w:tcPr>
          <w:p w:rsidR="00525213" w:rsidRPr="004761E0" w:rsidRDefault="00525213" w:rsidP="007076A7">
            <w:pPr>
              <w:pStyle w:val="a5"/>
              <w:numPr>
                <w:ilvl w:val="1"/>
                <w:numId w:val="107"/>
              </w:numPr>
              <w:jc w:val="left"/>
              <w:rPr>
                <w:rFonts w:eastAsia="Times New Roman"/>
                <w:sz w:val="20"/>
                <w:szCs w:val="20"/>
                <w:lang w:eastAsia="ru-RU"/>
              </w:rPr>
            </w:pPr>
          </w:p>
        </w:tc>
        <w:tc>
          <w:tcPr>
            <w:tcW w:w="6238" w:type="dxa"/>
            <w:hideMark/>
          </w:tcPr>
          <w:p w:rsidR="00525213" w:rsidRPr="004761E0" w:rsidRDefault="00525213" w:rsidP="003A1C23">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свыше 15 кВт и до 150 кВт (всего), в т.ч.:</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687</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862</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2 050</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137,82 %</w:t>
            </w:r>
          </w:p>
        </w:tc>
      </w:tr>
      <w:tr w:rsidR="00525213" w:rsidRPr="004761E0" w:rsidTr="00525213">
        <w:trPr>
          <w:cantSplit/>
        </w:trPr>
        <w:tc>
          <w:tcPr>
            <w:tcW w:w="566" w:type="dxa"/>
            <w:vAlign w:val="center"/>
            <w:hideMark/>
          </w:tcPr>
          <w:p w:rsidR="00525213" w:rsidRPr="004761E0" w:rsidRDefault="00525213" w:rsidP="007076A7">
            <w:pPr>
              <w:pStyle w:val="a5"/>
              <w:numPr>
                <w:ilvl w:val="2"/>
                <w:numId w:val="107"/>
              </w:numPr>
              <w:jc w:val="left"/>
              <w:rPr>
                <w:rFonts w:eastAsia="Times New Roman"/>
                <w:sz w:val="20"/>
                <w:szCs w:val="20"/>
                <w:lang w:eastAsia="ru-RU"/>
              </w:rPr>
            </w:pPr>
          </w:p>
        </w:tc>
        <w:tc>
          <w:tcPr>
            <w:tcW w:w="6238" w:type="dxa"/>
            <w:hideMark/>
          </w:tcPr>
          <w:p w:rsidR="00525213" w:rsidRPr="004761E0" w:rsidRDefault="00525213" w:rsidP="00525213">
            <w:pPr>
              <w:ind w:firstLineChars="371" w:firstLine="742"/>
              <w:jc w:val="left"/>
              <w:rPr>
                <w:rFonts w:eastAsia="Times New Roman"/>
                <w:color w:val="000000"/>
                <w:sz w:val="20"/>
                <w:szCs w:val="20"/>
                <w:lang w:eastAsia="ru-RU"/>
              </w:rPr>
            </w:pPr>
            <w:r w:rsidRPr="004761E0">
              <w:rPr>
                <w:rFonts w:eastAsia="Times New Roman"/>
                <w:color w:val="000000"/>
                <w:sz w:val="20"/>
                <w:szCs w:val="20"/>
                <w:lang w:eastAsia="ru-RU"/>
              </w:rPr>
              <w:t>заявители, воспользовавшиеся рассрочкой</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215</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300</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17</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-94,33 %</w:t>
            </w:r>
          </w:p>
        </w:tc>
      </w:tr>
      <w:tr w:rsidR="00525213" w:rsidRPr="004761E0" w:rsidTr="00525213">
        <w:trPr>
          <w:cantSplit/>
        </w:trPr>
        <w:tc>
          <w:tcPr>
            <w:tcW w:w="566" w:type="dxa"/>
            <w:vAlign w:val="center"/>
            <w:hideMark/>
          </w:tcPr>
          <w:p w:rsidR="00525213" w:rsidRPr="004761E0" w:rsidRDefault="00525213" w:rsidP="007076A7">
            <w:pPr>
              <w:pStyle w:val="a5"/>
              <w:numPr>
                <w:ilvl w:val="1"/>
                <w:numId w:val="107"/>
              </w:numPr>
              <w:jc w:val="left"/>
              <w:rPr>
                <w:rFonts w:eastAsia="Times New Roman"/>
                <w:sz w:val="20"/>
                <w:szCs w:val="20"/>
                <w:lang w:eastAsia="ru-RU"/>
              </w:rPr>
            </w:pPr>
          </w:p>
        </w:tc>
        <w:tc>
          <w:tcPr>
            <w:tcW w:w="6238" w:type="dxa"/>
            <w:hideMark/>
          </w:tcPr>
          <w:p w:rsidR="00525213" w:rsidRPr="004761E0" w:rsidRDefault="00525213" w:rsidP="003A1C23">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свыше 150 кВт и менее 670 кВт</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660</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601</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720</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19,80 %</w:t>
            </w:r>
          </w:p>
        </w:tc>
      </w:tr>
      <w:tr w:rsidR="00525213" w:rsidRPr="004761E0" w:rsidTr="00525213">
        <w:trPr>
          <w:cantSplit/>
        </w:trPr>
        <w:tc>
          <w:tcPr>
            <w:tcW w:w="566" w:type="dxa"/>
            <w:vAlign w:val="center"/>
            <w:hideMark/>
          </w:tcPr>
          <w:p w:rsidR="00525213" w:rsidRPr="004761E0" w:rsidRDefault="00525213" w:rsidP="007076A7">
            <w:pPr>
              <w:pStyle w:val="a5"/>
              <w:numPr>
                <w:ilvl w:val="1"/>
                <w:numId w:val="107"/>
              </w:numPr>
              <w:jc w:val="left"/>
              <w:rPr>
                <w:rFonts w:eastAsia="Times New Roman"/>
                <w:sz w:val="20"/>
                <w:szCs w:val="20"/>
                <w:lang w:eastAsia="ru-RU"/>
              </w:rPr>
            </w:pPr>
          </w:p>
        </w:tc>
        <w:tc>
          <w:tcPr>
            <w:tcW w:w="6238" w:type="dxa"/>
            <w:hideMark/>
          </w:tcPr>
          <w:p w:rsidR="00525213" w:rsidRPr="004761E0" w:rsidRDefault="00525213" w:rsidP="003A1C23">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не менее 670 кВт</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224</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196</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271</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38,27 %</w:t>
            </w:r>
          </w:p>
        </w:tc>
      </w:tr>
      <w:tr w:rsidR="00525213" w:rsidRPr="004761E0" w:rsidTr="00525213">
        <w:trPr>
          <w:cantSplit/>
        </w:trPr>
        <w:tc>
          <w:tcPr>
            <w:tcW w:w="566" w:type="dxa"/>
            <w:vAlign w:val="center"/>
            <w:hideMark/>
          </w:tcPr>
          <w:p w:rsidR="00525213" w:rsidRPr="004761E0" w:rsidRDefault="00525213" w:rsidP="007076A7">
            <w:pPr>
              <w:pStyle w:val="a5"/>
              <w:numPr>
                <w:ilvl w:val="0"/>
                <w:numId w:val="107"/>
              </w:numPr>
              <w:jc w:val="left"/>
              <w:rPr>
                <w:rFonts w:eastAsia="Times New Roman"/>
                <w:b/>
                <w:bCs/>
                <w:sz w:val="20"/>
                <w:szCs w:val="20"/>
                <w:lang w:eastAsia="ru-RU"/>
              </w:rPr>
            </w:pPr>
          </w:p>
        </w:tc>
        <w:tc>
          <w:tcPr>
            <w:tcW w:w="6238" w:type="dxa"/>
            <w:hideMark/>
          </w:tcPr>
          <w:p w:rsidR="00525213" w:rsidRPr="004761E0" w:rsidRDefault="00525213" w:rsidP="003A1C23">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 xml:space="preserve">Фактически присоединенная мощность, МВт (всего), в т.ч.: </w:t>
            </w:r>
          </w:p>
        </w:tc>
        <w:tc>
          <w:tcPr>
            <w:tcW w:w="851" w:type="dxa"/>
            <w:noWrap/>
            <w:hideMark/>
          </w:tcPr>
          <w:p w:rsidR="00525213" w:rsidRPr="004761E0" w:rsidRDefault="00525213" w:rsidP="00440B45">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91</w:t>
            </w:r>
            <w:r w:rsidR="00440B45">
              <w:rPr>
                <w:rFonts w:eastAsia="Times New Roman"/>
                <w:b/>
                <w:color w:val="000000"/>
                <w:sz w:val="20"/>
                <w:szCs w:val="20"/>
                <w:lang w:eastAsia="ru-RU"/>
              </w:rPr>
              <w:t>6</w:t>
            </w:r>
          </w:p>
        </w:tc>
        <w:tc>
          <w:tcPr>
            <w:tcW w:w="850" w:type="dxa"/>
            <w:noWrap/>
            <w:hideMark/>
          </w:tcPr>
          <w:p w:rsidR="00525213" w:rsidRPr="004761E0" w:rsidRDefault="00525213" w:rsidP="003A1C23">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1 421</w:t>
            </w:r>
          </w:p>
        </w:tc>
        <w:tc>
          <w:tcPr>
            <w:tcW w:w="771" w:type="dxa"/>
            <w:noWrap/>
            <w:hideMark/>
          </w:tcPr>
          <w:p w:rsidR="00525213" w:rsidRPr="004761E0" w:rsidRDefault="00525213" w:rsidP="003A1C23">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1 531</w:t>
            </w:r>
          </w:p>
        </w:tc>
        <w:tc>
          <w:tcPr>
            <w:tcW w:w="1072" w:type="dxa"/>
            <w:noWrap/>
            <w:hideMark/>
          </w:tcPr>
          <w:p w:rsidR="00525213" w:rsidRPr="004761E0" w:rsidRDefault="00525213" w:rsidP="003A1C23">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7,68 %</w:t>
            </w:r>
          </w:p>
        </w:tc>
      </w:tr>
      <w:tr w:rsidR="00525213" w:rsidRPr="004761E0" w:rsidTr="00525213">
        <w:trPr>
          <w:cantSplit/>
        </w:trPr>
        <w:tc>
          <w:tcPr>
            <w:tcW w:w="566" w:type="dxa"/>
            <w:vAlign w:val="center"/>
            <w:hideMark/>
          </w:tcPr>
          <w:p w:rsidR="00525213" w:rsidRPr="004761E0" w:rsidRDefault="00525213" w:rsidP="007076A7">
            <w:pPr>
              <w:pStyle w:val="a5"/>
              <w:numPr>
                <w:ilvl w:val="1"/>
                <w:numId w:val="107"/>
              </w:numPr>
              <w:jc w:val="left"/>
              <w:rPr>
                <w:rFonts w:eastAsia="Times New Roman"/>
                <w:sz w:val="20"/>
                <w:szCs w:val="20"/>
                <w:lang w:eastAsia="ru-RU"/>
              </w:rPr>
            </w:pPr>
          </w:p>
        </w:tc>
        <w:tc>
          <w:tcPr>
            <w:tcW w:w="6238" w:type="dxa"/>
            <w:hideMark/>
          </w:tcPr>
          <w:p w:rsidR="00525213" w:rsidRPr="004761E0" w:rsidRDefault="00525213" w:rsidP="003A1C23">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до 15 кВт (всего), в т.ч.:</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142</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190</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422</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121,84 %</w:t>
            </w:r>
          </w:p>
        </w:tc>
      </w:tr>
      <w:tr w:rsidR="00525213" w:rsidRPr="004761E0" w:rsidTr="00525213">
        <w:trPr>
          <w:cantSplit/>
        </w:trPr>
        <w:tc>
          <w:tcPr>
            <w:tcW w:w="566" w:type="dxa"/>
            <w:vAlign w:val="center"/>
            <w:hideMark/>
          </w:tcPr>
          <w:p w:rsidR="00525213" w:rsidRPr="004761E0" w:rsidRDefault="00525213" w:rsidP="007076A7">
            <w:pPr>
              <w:pStyle w:val="a5"/>
              <w:numPr>
                <w:ilvl w:val="2"/>
                <w:numId w:val="107"/>
              </w:numPr>
              <w:jc w:val="left"/>
              <w:rPr>
                <w:rFonts w:eastAsia="Times New Roman"/>
                <w:sz w:val="20"/>
                <w:szCs w:val="20"/>
                <w:lang w:eastAsia="ru-RU"/>
              </w:rPr>
            </w:pPr>
          </w:p>
        </w:tc>
        <w:tc>
          <w:tcPr>
            <w:tcW w:w="6238" w:type="dxa"/>
            <w:hideMark/>
          </w:tcPr>
          <w:p w:rsidR="00525213" w:rsidRPr="004761E0" w:rsidRDefault="00525213" w:rsidP="00525213">
            <w:pPr>
              <w:ind w:firstLineChars="371" w:firstLine="742"/>
              <w:jc w:val="left"/>
              <w:rPr>
                <w:rFonts w:eastAsia="Times New Roman"/>
                <w:color w:val="000000"/>
                <w:sz w:val="20"/>
                <w:szCs w:val="20"/>
                <w:lang w:eastAsia="ru-RU"/>
              </w:rPr>
            </w:pPr>
            <w:r w:rsidRPr="004761E0">
              <w:rPr>
                <w:rFonts w:eastAsia="Times New Roman"/>
                <w:color w:val="000000"/>
                <w:sz w:val="20"/>
                <w:szCs w:val="20"/>
                <w:lang w:eastAsia="ru-RU"/>
              </w:rPr>
              <w:t>физические лица до 15 кВт</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114</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170</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391</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129,43 %</w:t>
            </w:r>
          </w:p>
        </w:tc>
      </w:tr>
      <w:tr w:rsidR="00525213" w:rsidRPr="004761E0" w:rsidTr="00525213">
        <w:trPr>
          <w:cantSplit/>
        </w:trPr>
        <w:tc>
          <w:tcPr>
            <w:tcW w:w="566" w:type="dxa"/>
            <w:vAlign w:val="center"/>
            <w:hideMark/>
          </w:tcPr>
          <w:p w:rsidR="00525213" w:rsidRPr="004761E0" w:rsidRDefault="00525213" w:rsidP="007076A7">
            <w:pPr>
              <w:pStyle w:val="a5"/>
              <w:numPr>
                <w:ilvl w:val="1"/>
                <w:numId w:val="107"/>
              </w:numPr>
              <w:jc w:val="left"/>
              <w:rPr>
                <w:rFonts w:eastAsia="Times New Roman"/>
                <w:sz w:val="20"/>
                <w:szCs w:val="20"/>
                <w:lang w:eastAsia="ru-RU"/>
              </w:rPr>
            </w:pPr>
          </w:p>
        </w:tc>
        <w:tc>
          <w:tcPr>
            <w:tcW w:w="6238" w:type="dxa"/>
            <w:hideMark/>
          </w:tcPr>
          <w:p w:rsidR="00525213" w:rsidRPr="004761E0" w:rsidRDefault="00525213" w:rsidP="003A1C23">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свыше 15 кВт и до 150 кВт (всего), в т.ч.:</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36</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46</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129</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181,51 %</w:t>
            </w:r>
          </w:p>
        </w:tc>
      </w:tr>
      <w:tr w:rsidR="00525213" w:rsidRPr="004761E0" w:rsidTr="00525213">
        <w:trPr>
          <w:cantSplit/>
        </w:trPr>
        <w:tc>
          <w:tcPr>
            <w:tcW w:w="566" w:type="dxa"/>
            <w:vAlign w:val="center"/>
            <w:hideMark/>
          </w:tcPr>
          <w:p w:rsidR="00525213" w:rsidRPr="004761E0" w:rsidRDefault="00525213" w:rsidP="007076A7">
            <w:pPr>
              <w:pStyle w:val="a5"/>
              <w:numPr>
                <w:ilvl w:val="2"/>
                <w:numId w:val="107"/>
              </w:numPr>
              <w:jc w:val="left"/>
              <w:rPr>
                <w:rFonts w:eastAsia="Times New Roman"/>
                <w:sz w:val="20"/>
                <w:szCs w:val="20"/>
                <w:lang w:eastAsia="ru-RU"/>
              </w:rPr>
            </w:pPr>
          </w:p>
        </w:tc>
        <w:tc>
          <w:tcPr>
            <w:tcW w:w="6238" w:type="dxa"/>
            <w:hideMark/>
          </w:tcPr>
          <w:p w:rsidR="00525213" w:rsidRPr="004761E0" w:rsidRDefault="00525213" w:rsidP="00525213">
            <w:pPr>
              <w:ind w:firstLineChars="371" w:firstLine="742"/>
              <w:jc w:val="left"/>
              <w:rPr>
                <w:rFonts w:eastAsia="Times New Roman"/>
                <w:color w:val="000000"/>
                <w:sz w:val="20"/>
                <w:szCs w:val="20"/>
                <w:lang w:eastAsia="ru-RU"/>
              </w:rPr>
            </w:pPr>
            <w:r w:rsidRPr="004761E0">
              <w:rPr>
                <w:rFonts w:eastAsia="Times New Roman"/>
                <w:color w:val="000000"/>
                <w:sz w:val="20"/>
                <w:szCs w:val="20"/>
                <w:lang w:eastAsia="ru-RU"/>
              </w:rPr>
              <w:t>заявители, воспользовавшиеся рассрочкой</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13</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52</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-98,36 %</w:t>
            </w:r>
          </w:p>
        </w:tc>
      </w:tr>
      <w:tr w:rsidR="00525213" w:rsidRPr="004761E0" w:rsidTr="00525213">
        <w:trPr>
          <w:cantSplit/>
        </w:trPr>
        <w:tc>
          <w:tcPr>
            <w:tcW w:w="566" w:type="dxa"/>
            <w:vAlign w:val="center"/>
            <w:hideMark/>
          </w:tcPr>
          <w:p w:rsidR="00525213" w:rsidRPr="004761E0" w:rsidRDefault="00525213" w:rsidP="007076A7">
            <w:pPr>
              <w:pStyle w:val="a5"/>
              <w:numPr>
                <w:ilvl w:val="1"/>
                <w:numId w:val="107"/>
              </w:numPr>
              <w:jc w:val="left"/>
              <w:rPr>
                <w:rFonts w:eastAsia="Times New Roman"/>
                <w:sz w:val="20"/>
                <w:szCs w:val="20"/>
                <w:lang w:eastAsia="ru-RU"/>
              </w:rPr>
            </w:pPr>
          </w:p>
        </w:tc>
        <w:tc>
          <w:tcPr>
            <w:tcW w:w="6238" w:type="dxa"/>
            <w:hideMark/>
          </w:tcPr>
          <w:p w:rsidR="00525213" w:rsidRPr="004761E0" w:rsidRDefault="00525213" w:rsidP="003A1C23">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свыше 150 кВт и менее 670 кВт</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190</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162</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247</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52,53 %</w:t>
            </w:r>
          </w:p>
        </w:tc>
      </w:tr>
      <w:tr w:rsidR="00525213" w:rsidRPr="004761E0" w:rsidTr="00525213">
        <w:trPr>
          <w:cantSplit/>
        </w:trPr>
        <w:tc>
          <w:tcPr>
            <w:tcW w:w="566" w:type="dxa"/>
            <w:vAlign w:val="center"/>
            <w:hideMark/>
          </w:tcPr>
          <w:p w:rsidR="00525213" w:rsidRPr="004761E0" w:rsidRDefault="00525213" w:rsidP="007076A7">
            <w:pPr>
              <w:pStyle w:val="a5"/>
              <w:numPr>
                <w:ilvl w:val="1"/>
                <w:numId w:val="107"/>
              </w:numPr>
              <w:jc w:val="left"/>
              <w:rPr>
                <w:rFonts w:eastAsia="Times New Roman"/>
                <w:sz w:val="20"/>
                <w:szCs w:val="20"/>
                <w:lang w:eastAsia="ru-RU"/>
              </w:rPr>
            </w:pPr>
          </w:p>
        </w:tc>
        <w:tc>
          <w:tcPr>
            <w:tcW w:w="6238" w:type="dxa"/>
            <w:hideMark/>
          </w:tcPr>
          <w:p w:rsidR="00525213" w:rsidRPr="004761E0" w:rsidRDefault="00525213" w:rsidP="003A1C23">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не менее 670 кВт</w:t>
            </w:r>
          </w:p>
        </w:tc>
        <w:tc>
          <w:tcPr>
            <w:tcW w:w="85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547</w:t>
            </w:r>
          </w:p>
        </w:tc>
        <w:tc>
          <w:tcPr>
            <w:tcW w:w="850"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1 023</w:t>
            </w:r>
          </w:p>
        </w:tc>
        <w:tc>
          <w:tcPr>
            <w:tcW w:w="771"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732</w:t>
            </w:r>
          </w:p>
        </w:tc>
        <w:tc>
          <w:tcPr>
            <w:tcW w:w="1072" w:type="dxa"/>
            <w:noWrap/>
            <w:hideMark/>
          </w:tcPr>
          <w:p w:rsidR="00525213" w:rsidRPr="004761E0" w:rsidRDefault="00525213" w:rsidP="003A1C23">
            <w:pPr>
              <w:ind w:firstLine="0"/>
              <w:jc w:val="right"/>
              <w:rPr>
                <w:rFonts w:eastAsia="Times New Roman"/>
                <w:color w:val="000000"/>
                <w:sz w:val="20"/>
                <w:szCs w:val="20"/>
                <w:lang w:eastAsia="ru-RU"/>
              </w:rPr>
            </w:pPr>
            <w:r w:rsidRPr="004761E0">
              <w:rPr>
                <w:rFonts w:eastAsia="Times New Roman"/>
                <w:color w:val="000000"/>
                <w:sz w:val="20"/>
                <w:szCs w:val="20"/>
                <w:lang w:eastAsia="ru-RU"/>
              </w:rPr>
              <w:t>-28,46 %</w:t>
            </w:r>
          </w:p>
        </w:tc>
      </w:tr>
    </w:tbl>
    <w:p w:rsidR="003A1C23" w:rsidRPr="004761E0" w:rsidRDefault="00B603B0" w:rsidP="00B603B0">
      <w:pPr>
        <w:tabs>
          <w:tab w:val="left" w:pos="426"/>
        </w:tabs>
        <w:spacing w:before="120" w:after="120"/>
        <w:ind w:firstLine="0"/>
        <w:rPr>
          <w:b/>
          <w:sz w:val="26"/>
          <w:szCs w:val="26"/>
        </w:rPr>
      </w:pPr>
      <w:r w:rsidRPr="004761E0">
        <w:rPr>
          <w:b/>
          <w:noProof/>
          <w:sz w:val="26"/>
          <w:szCs w:val="26"/>
          <w:lang w:eastAsia="ru-RU"/>
        </w:rPr>
        <w:drawing>
          <wp:inline distT="0" distB="0" distL="0" distR="0">
            <wp:extent cx="1873360" cy="2890464"/>
            <wp:effectExtent l="19050" t="0" r="12590" b="5136"/>
            <wp:docPr id="88"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4761E0">
        <w:rPr>
          <w:b/>
          <w:sz w:val="26"/>
          <w:szCs w:val="26"/>
        </w:rPr>
        <w:t xml:space="preserve"> </w:t>
      </w:r>
      <w:r w:rsidRPr="004761E0">
        <w:rPr>
          <w:b/>
          <w:noProof/>
          <w:sz w:val="26"/>
          <w:szCs w:val="26"/>
          <w:lang w:eastAsia="ru-RU"/>
        </w:rPr>
        <w:drawing>
          <wp:inline distT="0" distB="0" distL="0" distR="0">
            <wp:extent cx="2072143" cy="2891735"/>
            <wp:effectExtent l="19050" t="0" r="23357" b="3865"/>
            <wp:docPr id="91"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4761E0">
        <w:rPr>
          <w:b/>
          <w:sz w:val="26"/>
          <w:szCs w:val="26"/>
        </w:rPr>
        <w:t xml:space="preserve"> </w:t>
      </w:r>
      <w:r w:rsidRPr="004761E0">
        <w:rPr>
          <w:b/>
          <w:noProof/>
          <w:sz w:val="26"/>
          <w:szCs w:val="26"/>
          <w:lang w:eastAsia="ru-RU"/>
        </w:rPr>
        <w:drawing>
          <wp:inline distT="0" distB="0" distL="0" distR="0">
            <wp:extent cx="2072143" cy="2891735"/>
            <wp:effectExtent l="19050" t="0" r="23357" b="3865"/>
            <wp:docPr id="92"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A1C23" w:rsidRPr="004761E0" w:rsidRDefault="00B603B0" w:rsidP="00B603B0">
      <w:pPr>
        <w:tabs>
          <w:tab w:val="left" w:pos="426"/>
        </w:tabs>
        <w:spacing w:before="120" w:after="120"/>
        <w:ind w:firstLine="0"/>
        <w:rPr>
          <w:b/>
          <w:sz w:val="26"/>
          <w:szCs w:val="26"/>
        </w:rPr>
      </w:pPr>
      <w:r w:rsidRPr="004761E0">
        <w:rPr>
          <w:b/>
          <w:noProof/>
          <w:sz w:val="26"/>
          <w:szCs w:val="26"/>
          <w:lang w:eastAsia="ru-RU"/>
        </w:rPr>
        <w:drawing>
          <wp:inline distT="0" distB="0" distL="0" distR="0">
            <wp:extent cx="1877198" cy="2842757"/>
            <wp:effectExtent l="19050" t="0" r="27802" b="0"/>
            <wp:docPr id="93"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4761E0">
        <w:rPr>
          <w:b/>
          <w:sz w:val="26"/>
          <w:szCs w:val="26"/>
        </w:rPr>
        <w:t xml:space="preserve"> </w:t>
      </w:r>
      <w:r w:rsidRPr="004761E0">
        <w:rPr>
          <w:b/>
          <w:noProof/>
          <w:sz w:val="26"/>
          <w:szCs w:val="26"/>
          <w:lang w:eastAsia="ru-RU"/>
        </w:rPr>
        <w:drawing>
          <wp:inline distT="0" distB="0" distL="0" distR="0">
            <wp:extent cx="2072143" cy="2891735"/>
            <wp:effectExtent l="19050" t="0" r="23357" b="3865"/>
            <wp:docPr id="94"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4761E0">
        <w:rPr>
          <w:b/>
          <w:sz w:val="26"/>
          <w:szCs w:val="26"/>
        </w:rPr>
        <w:t xml:space="preserve"> </w:t>
      </w:r>
      <w:r w:rsidRPr="004761E0">
        <w:rPr>
          <w:b/>
          <w:noProof/>
          <w:sz w:val="26"/>
          <w:szCs w:val="26"/>
          <w:lang w:eastAsia="ru-RU"/>
        </w:rPr>
        <w:drawing>
          <wp:inline distT="0" distB="0" distL="0" distR="0">
            <wp:extent cx="2072143" cy="2891735"/>
            <wp:effectExtent l="19050" t="0" r="23357" b="3865"/>
            <wp:docPr id="95"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F47AF" w:rsidRPr="004761E0" w:rsidRDefault="00EF47AF" w:rsidP="00EF47AF">
      <w:pPr>
        <w:ind w:firstLine="567"/>
        <w:rPr>
          <w:sz w:val="26"/>
          <w:szCs w:val="26"/>
          <w:lang w:eastAsia="ru-RU"/>
        </w:rPr>
      </w:pPr>
      <w:r>
        <w:rPr>
          <w:sz w:val="26"/>
          <w:szCs w:val="26"/>
          <w:lang w:eastAsia="ru-RU"/>
        </w:rPr>
        <w:t>Аналогичные д</w:t>
      </w:r>
      <w:r w:rsidRPr="004761E0">
        <w:rPr>
          <w:sz w:val="26"/>
          <w:szCs w:val="26"/>
          <w:lang w:eastAsia="ru-RU"/>
        </w:rPr>
        <w:t>анные в разбивке на г. Москву и Московскую область представлены в Приложении</w:t>
      </w:r>
      <w:r>
        <w:rPr>
          <w:sz w:val="26"/>
          <w:szCs w:val="26"/>
          <w:lang w:eastAsia="ru-RU"/>
        </w:rPr>
        <w:t xml:space="preserve"> 12.</w:t>
      </w:r>
      <w:r w:rsidR="003146BC">
        <w:rPr>
          <w:sz w:val="26"/>
          <w:szCs w:val="26"/>
          <w:lang w:eastAsia="ru-RU"/>
        </w:rPr>
        <w:t>1</w:t>
      </w:r>
      <w:r>
        <w:rPr>
          <w:sz w:val="26"/>
          <w:szCs w:val="26"/>
          <w:lang w:eastAsia="ru-RU"/>
        </w:rPr>
        <w:t>.</w:t>
      </w:r>
      <w:r w:rsidRPr="004761E0">
        <w:rPr>
          <w:sz w:val="26"/>
          <w:szCs w:val="26"/>
          <w:lang w:eastAsia="ru-RU"/>
        </w:rPr>
        <w:t xml:space="preserve"> к Годовому отчету.</w:t>
      </w:r>
    </w:p>
    <w:p w:rsidR="00C0652D" w:rsidRPr="004761E0" w:rsidRDefault="00D21056">
      <w:pPr>
        <w:spacing w:before="120" w:after="120"/>
        <w:ind w:firstLine="567"/>
        <w:rPr>
          <w:b/>
          <w:sz w:val="26"/>
          <w:szCs w:val="26"/>
          <w:lang w:eastAsia="ru-RU"/>
        </w:rPr>
      </w:pPr>
      <w:r w:rsidRPr="004761E0">
        <w:rPr>
          <w:b/>
          <w:sz w:val="26"/>
          <w:szCs w:val="26"/>
          <w:lang w:eastAsia="ru-RU"/>
        </w:rPr>
        <w:t>Распределение заявляемой мощности по отраслям хозяйственной деятельности</w:t>
      </w:r>
    </w:p>
    <w:tbl>
      <w:tblPr>
        <w:tblStyle w:val="16"/>
        <w:tblW w:w="10348" w:type="dxa"/>
        <w:tblInd w:w="108" w:type="dxa"/>
        <w:tblLook w:val="04A0"/>
      </w:tblPr>
      <w:tblGrid>
        <w:gridCol w:w="566"/>
        <w:gridCol w:w="6238"/>
        <w:gridCol w:w="851"/>
        <w:gridCol w:w="850"/>
        <w:gridCol w:w="771"/>
        <w:gridCol w:w="1072"/>
      </w:tblGrid>
      <w:tr w:rsidR="00D21056" w:rsidRPr="004761E0" w:rsidTr="004E03CC">
        <w:trPr>
          <w:cantSplit/>
          <w:trHeight w:val="470"/>
        </w:trPr>
        <w:tc>
          <w:tcPr>
            <w:tcW w:w="566" w:type="dxa"/>
            <w:tcBorders>
              <w:right w:val="single" w:sz="4" w:space="0" w:color="FFFFFF" w:themeColor="background1"/>
            </w:tcBorders>
            <w:shd w:val="clear" w:color="auto" w:fill="0F243E" w:themeFill="text2" w:themeFillShade="80"/>
            <w:vAlign w:val="center"/>
            <w:hideMark/>
          </w:tcPr>
          <w:p w:rsidR="00D21056" w:rsidRPr="004761E0" w:rsidRDefault="00D21056" w:rsidP="004E03CC">
            <w:pPr>
              <w:ind w:firstLine="0"/>
              <w:jc w:val="left"/>
              <w:rPr>
                <w:rFonts w:eastAsia="Times New Roman"/>
                <w:color w:val="000000"/>
                <w:sz w:val="20"/>
                <w:szCs w:val="20"/>
                <w:lang w:eastAsia="ru-RU"/>
              </w:rPr>
            </w:pPr>
            <w:r w:rsidRPr="004761E0">
              <w:rPr>
                <w:rFonts w:eastAsia="Times New Roman"/>
                <w:b/>
                <w:color w:val="FFFFFF" w:themeColor="background1"/>
                <w:sz w:val="20"/>
                <w:szCs w:val="20"/>
                <w:lang w:eastAsia="ru-RU"/>
              </w:rPr>
              <w:lastRenderedPageBreak/>
              <w:t>№ п/п</w:t>
            </w:r>
          </w:p>
        </w:tc>
        <w:tc>
          <w:tcPr>
            <w:tcW w:w="6238" w:type="dxa"/>
            <w:tcBorders>
              <w:left w:val="single" w:sz="4" w:space="0" w:color="FFFFFF" w:themeColor="background1"/>
              <w:right w:val="single" w:sz="4" w:space="0" w:color="FFFFFF" w:themeColor="background1"/>
            </w:tcBorders>
            <w:shd w:val="clear" w:color="auto" w:fill="0F243E" w:themeFill="text2" w:themeFillShade="80"/>
            <w:vAlign w:val="center"/>
            <w:hideMark/>
          </w:tcPr>
          <w:p w:rsidR="00D21056" w:rsidRPr="004761E0" w:rsidRDefault="00D21056" w:rsidP="004E03CC">
            <w:pPr>
              <w:ind w:firstLine="0"/>
              <w:jc w:val="left"/>
              <w:rPr>
                <w:rFonts w:eastAsia="Times New Roman"/>
                <w:color w:val="000000"/>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851" w:type="dxa"/>
            <w:tcBorders>
              <w:left w:val="single" w:sz="4" w:space="0" w:color="FFFFFF" w:themeColor="background1"/>
              <w:right w:val="single" w:sz="4" w:space="0" w:color="FFFFFF" w:themeColor="background1"/>
            </w:tcBorders>
            <w:shd w:val="clear" w:color="auto" w:fill="0F243E" w:themeFill="text2" w:themeFillShade="80"/>
            <w:noWrap/>
            <w:vAlign w:val="center"/>
            <w:hideMark/>
          </w:tcPr>
          <w:p w:rsidR="00D21056" w:rsidRPr="004761E0" w:rsidRDefault="00D21056" w:rsidP="004E03CC">
            <w:pPr>
              <w:ind w:firstLine="0"/>
              <w:jc w:val="right"/>
              <w:rPr>
                <w:rFonts w:eastAsia="Times New Roman"/>
                <w:color w:val="000000"/>
                <w:sz w:val="20"/>
                <w:szCs w:val="20"/>
                <w:lang w:eastAsia="ru-RU"/>
              </w:rPr>
            </w:pPr>
            <w:r w:rsidRPr="004761E0">
              <w:rPr>
                <w:rFonts w:eastAsia="Times New Roman"/>
                <w:b/>
                <w:color w:val="FFFFFF" w:themeColor="background1"/>
                <w:sz w:val="20"/>
                <w:szCs w:val="20"/>
                <w:lang w:eastAsia="ru-RU"/>
              </w:rPr>
              <w:t>2011</w:t>
            </w:r>
          </w:p>
        </w:tc>
        <w:tc>
          <w:tcPr>
            <w:tcW w:w="850" w:type="dxa"/>
            <w:tcBorders>
              <w:left w:val="single" w:sz="4" w:space="0" w:color="FFFFFF" w:themeColor="background1"/>
              <w:right w:val="single" w:sz="4" w:space="0" w:color="FFFFFF" w:themeColor="background1"/>
            </w:tcBorders>
            <w:shd w:val="clear" w:color="auto" w:fill="0F243E" w:themeFill="text2" w:themeFillShade="80"/>
            <w:noWrap/>
            <w:vAlign w:val="center"/>
            <w:hideMark/>
          </w:tcPr>
          <w:p w:rsidR="00D21056" w:rsidRPr="004761E0" w:rsidRDefault="00D21056" w:rsidP="004E03CC">
            <w:pPr>
              <w:ind w:firstLine="0"/>
              <w:jc w:val="right"/>
              <w:rPr>
                <w:rFonts w:eastAsia="Times New Roman"/>
                <w:color w:val="000000"/>
                <w:sz w:val="20"/>
                <w:szCs w:val="20"/>
                <w:lang w:eastAsia="ru-RU"/>
              </w:rPr>
            </w:pPr>
            <w:r w:rsidRPr="004761E0">
              <w:rPr>
                <w:rFonts w:eastAsia="Times New Roman"/>
                <w:b/>
                <w:color w:val="FFFFFF" w:themeColor="background1"/>
                <w:sz w:val="20"/>
                <w:szCs w:val="20"/>
                <w:lang w:eastAsia="ru-RU"/>
              </w:rPr>
              <w:t>2012</w:t>
            </w:r>
          </w:p>
        </w:tc>
        <w:tc>
          <w:tcPr>
            <w:tcW w:w="771" w:type="dxa"/>
            <w:tcBorders>
              <w:left w:val="single" w:sz="4" w:space="0" w:color="FFFFFF" w:themeColor="background1"/>
              <w:right w:val="single" w:sz="4" w:space="0" w:color="FFFFFF" w:themeColor="background1"/>
            </w:tcBorders>
            <w:shd w:val="clear" w:color="auto" w:fill="0F243E" w:themeFill="text2" w:themeFillShade="80"/>
            <w:noWrap/>
            <w:vAlign w:val="center"/>
            <w:hideMark/>
          </w:tcPr>
          <w:p w:rsidR="00D21056" w:rsidRPr="004761E0" w:rsidRDefault="00D21056" w:rsidP="004E03CC">
            <w:pPr>
              <w:ind w:firstLine="0"/>
              <w:jc w:val="right"/>
              <w:rPr>
                <w:rFonts w:eastAsia="Times New Roman"/>
                <w:color w:val="000000"/>
                <w:sz w:val="20"/>
                <w:szCs w:val="20"/>
                <w:lang w:eastAsia="ru-RU"/>
              </w:rPr>
            </w:pPr>
            <w:r w:rsidRPr="004761E0">
              <w:rPr>
                <w:rFonts w:eastAsia="Times New Roman"/>
                <w:b/>
                <w:color w:val="FFFFFF" w:themeColor="background1"/>
                <w:sz w:val="20"/>
                <w:szCs w:val="20"/>
                <w:lang w:eastAsia="ru-RU"/>
              </w:rPr>
              <w:t>2013</w:t>
            </w:r>
          </w:p>
        </w:tc>
        <w:tc>
          <w:tcPr>
            <w:tcW w:w="1072" w:type="dxa"/>
            <w:tcBorders>
              <w:left w:val="single" w:sz="4" w:space="0" w:color="FFFFFF" w:themeColor="background1"/>
            </w:tcBorders>
            <w:shd w:val="clear" w:color="auto" w:fill="0F243E" w:themeFill="text2" w:themeFillShade="80"/>
            <w:noWrap/>
            <w:vAlign w:val="center"/>
            <w:hideMark/>
          </w:tcPr>
          <w:p w:rsidR="00D21056" w:rsidRPr="004761E0" w:rsidRDefault="00D21056" w:rsidP="004E03CC">
            <w:pPr>
              <w:ind w:firstLine="0"/>
              <w:jc w:val="right"/>
              <w:rPr>
                <w:rFonts w:eastAsia="Times New Roman"/>
                <w:color w:val="000000"/>
                <w:sz w:val="20"/>
                <w:szCs w:val="20"/>
                <w:lang w:eastAsia="ru-RU"/>
              </w:rPr>
            </w:pPr>
            <w:r w:rsidRPr="004761E0">
              <w:rPr>
                <w:rFonts w:eastAsia="Times New Roman"/>
                <w:b/>
                <w:color w:val="FFFFFF" w:themeColor="background1"/>
                <w:sz w:val="20"/>
                <w:szCs w:val="20"/>
                <w:lang w:eastAsia="ru-RU"/>
              </w:rPr>
              <w:t>2013/2012</w:t>
            </w:r>
          </w:p>
        </w:tc>
      </w:tr>
      <w:tr w:rsidR="00D21056" w:rsidRPr="004761E0" w:rsidTr="004E03CC">
        <w:trPr>
          <w:cantSplit/>
        </w:trPr>
        <w:tc>
          <w:tcPr>
            <w:tcW w:w="566" w:type="dxa"/>
            <w:vAlign w:val="center"/>
            <w:hideMark/>
          </w:tcPr>
          <w:p w:rsidR="00C0652D" w:rsidRPr="004761E0" w:rsidRDefault="00C0652D" w:rsidP="007076A7">
            <w:pPr>
              <w:pStyle w:val="a5"/>
              <w:numPr>
                <w:ilvl w:val="0"/>
                <w:numId w:val="109"/>
              </w:numPr>
              <w:jc w:val="left"/>
              <w:rPr>
                <w:rFonts w:eastAsia="Times New Roman"/>
                <w:b/>
                <w:bCs/>
                <w:sz w:val="20"/>
                <w:szCs w:val="20"/>
                <w:lang w:eastAsia="ru-RU"/>
              </w:rPr>
            </w:pPr>
          </w:p>
        </w:tc>
        <w:tc>
          <w:tcPr>
            <w:tcW w:w="6238" w:type="dxa"/>
            <w:vAlign w:val="center"/>
            <w:hideMark/>
          </w:tcPr>
          <w:p w:rsidR="00D21056" w:rsidRPr="004761E0" w:rsidRDefault="00D21056" w:rsidP="00D21056">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Фактически присоединенная мощность</w:t>
            </w:r>
            <w:r w:rsidR="001A25B0" w:rsidRPr="004761E0">
              <w:rPr>
                <w:b/>
                <w:color w:val="000000"/>
                <w:sz w:val="20"/>
                <w:szCs w:val="20"/>
              </w:rPr>
              <w:t xml:space="preserve">, МВт (всего), в т.ч.: </w:t>
            </w:r>
          </w:p>
        </w:tc>
        <w:tc>
          <w:tcPr>
            <w:tcW w:w="851" w:type="dxa"/>
            <w:noWrap/>
            <w:vAlign w:val="bottom"/>
            <w:hideMark/>
          </w:tcPr>
          <w:p w:rsidR="00D21056" w:rsidRPr="004761E0" w:rsidRDefault="001A25B0" w:rsidP="00440B45">
            <w:pPr>
              <w:ind w:firstLine="0"/>
              <w:jc w:val="right"/>
              <w:rPr>
                <w:rFonts w:eastAsia="Times New Roman"/>
                <w:b/>
                <w:color w:val="000000"/>
                <w:sz w:val="20"/>
                <w:szCs w:val="20"/>
                <w:lang w:eastAsia="ru-RU"/>
              </w:rPr>
            </w:pPr>
            <w:r w:rsidRPr="004761E0">
              <w:rPr>
                <w:b/>
                <w:color w:val="000000"/>
                <w:sz w:val="20"/>
                <w:szCs w:val="22"/>
              </w:rPr>
              <w:t>91</w:t>
            </w:r>
            <w:r w:rsidR="00440B45">
              <w:rPr>
                <w:b/>
                <w:color w:val="000000"/>
                <w:sz w:val="20"/>
                <w:szCs w:val="22"/>
              </w:rPr>
              <w:t>6</w:t>
            </w:r>
          </w:p>
        </w:tc>
        <w:tc>
          <w:tcPr>
            <w:tcW w:w="850" w:type="dxa"/>
            <w:noWrap/>
            <w:vAlign w:val="bottom"/>
            <w:hideMark/>
          </w:tcPr>
          <w:p w:rsidR="00D21056" w:rsidRPr="004761E0" w:rsidRDefault="001A25B0" w:rsidP="00D21056">
            <w:pPr>
              <w:ind w:firstLine="0"/>
              <w:jc w:val="right"/>
              <w:rPr>
                <w:rFonts w:eastAsia="Times New Roman"/>
                <w:b/>
                <w:color w:val="000000"/>
                <w:sz w:val="20"/>
                <w:szCs w:val="20"/>
                <w:lang w:eastAsia="ru-RU"/>
              </w:rPr>
            </w:pPr>
            <w:r w:rsidRPr="004761E0">
              <w:rPr>
                <w:b/>
                <w:color w:val="000000"/>
                <w:sz w:val="20"/>
                <w:szCs w:val="22"/>
              </w:rPr>
              <w:t>1 421</w:t>
            </w:r>
          </w:p>
        </w:tc>
        <w:tc>
          <w:tcPr>
            <w:tcW w:w="771" w:type="dxa"/>
            <w:noWrap/>
            <w:vAlign w:val="bottom"/>
            <w:hideMark/>
          </w:tcPr>
          <w:p w:rsidR="00D21056" w:rsidRPr="004761E0" w:rsidRDefault="001A25B0" w:rsidP="00D21056">
            <w:pPr>
              <w:ind w:firstLine="0"/>
              <w:jc w:val="right"/>
              <w:rPr>
                <w:rFonts w:eastAsia="Times New Roman"/>
                <w:b/>
                <w:color w:val="000000"/>
                <w:sz w:val="20"/>
                <w:szCs w:val="20"/>
                <w:lang w:eastAsia="ru-RU"/>
              </w:rPr>
            </w:pPr>
            <w:r w:rsidRPr="004761E0">
              <w:rPr>
                <w:b/>
                <w:color w:val="000000"/>
                <w:sz w:val="20"/>
                <w:szCs w:val="22"/>
              </w:rPr>
              <w:t>1 531</w:t>
            </w:r>
          </w:p>
        </w:tc>
        <w:tc>
          <w:tcPr>
            <w:tcW w:w="1072" w:type="dxa"/>
            <w:noWrap/>
            <w:vAlign w:val="bottom"/>
            <w:hideMark/>
          </w:tcPr>
          <w:p w:rsidR="00D21056" w:rsidRPr="004761E0" w:rsidRDefault="001A25B0" w:rsidP="00D21056">
            <w:pPr>
              <w:ind w:firstLine="0"/>
              <w:jc w:val="right"/>
              <w:rPr>
                <w:rFonts w:eastAsia="Times New Roman"/>
                <w:b/>
                <w:color w:val="000000"/>
                <w:sz w:val="20"/>
                <w:szCs w:val="20"/>
                <w:lang w:eastAsia="ru-RU"/>
              </w:rPr>
            </w:pPr>
            <w:r w:rsidRPr="004761E0">
              <w:rPr>
                <w:b/>
                <w:color w:val="000000"/>
                <w:sz w:val="20"/>
                <w:szCs w:val="22"/>
              </w:rPr>
              <w:t>7,68</w:t>
            </w:r>
            <w:r w:rsidR="0008080E">
              <w:rPr>
                <w:b/>
                <w:color w:val="000000"/>
                <w:sz w:val="20"/>
                <w:szCs w:val="22"/>
              </w:rPr>
              <w:t xml:space="preserve"> </w:t>
            </w:r>
            <w:r w:rsidRPr="004761E0">
              <w:rPr>
                <w:b/>
                <w:color w:val="000000"/>
                <w:sz w:val="20"/>
                <w:szCs w:val="22"/>
              </w:rPr>
              <w:t>%</w:t>
            </w:r>
          </w:p>
        </w:tc>
      </w:tr>
      <w:tr w:rsidR="00D21056" w:rsidRPr="004761E0" w:rsidTr="004E03CC">
        <w:trPr>
          <w:cantSplit/>
        </w:trPr>
        <w:tc>
          <w:tcPr>
            <w:tcW w:w="566" w:type="dxa"/>
            <w:vAlign w:val="center"/>
            <w:hideMark/>
          </w:tcPr>
          <w:p w:rsidR="00C0652D" w:rsidRPr="004761E0" w:rsidRDefault="00C0652D" w:rsidP="007076A7">
            <w:pPr>
              <w:pStyle w:val="a5"/>
              <w:numPr>
                <w:ilvl w:val="1"/>
                <w:numId w:val="109"/>
              </w:numPr>
              <w:jc w:val="left"/>
              <w:rPr>
                <w:rFonts w:eastAsia="Times New Roman"/>
                <w:sz w:val="20"/>
                <w:szCs w:val="20"/>
                <w:lang w:eastAsia="ru-RU"/>
              </w:rPr>
            </w:pPr>
          </w:p>
        </w:tc>
        <w:tc>
          <w:tcPr>
            <w:tcW w:w="6238" w:type="dxa"/>
            <w:vAlign w:val="center"/>
            <w:hideMark/>
          </w:tcPr>
          <w:p w:rsidR="00D21056" w:rsidRPr="004761E0" w:rsidRDefault="00D21056" w:rsidP="004E03CC">
            <w:pPr>
              <w:ind w:firstLineChars="200" w:firstLine="400"/>
              <w:jc w:val="left"/>
              <w:rPr>
                <w:rFonts w:eastAsia="Times New Roman"/>
                <w:color w:val="000000"/>
                <w:sz w:val="20"/>
                <w:szCs w:val="20"/>
                <w:lang w:eastAsia="ru-RU"/>
              </w:rPr>
            </w:pPr>
            <w:r w:rsidRPr="004761E0">
              <w:rPr>
                <w:color w:val="000000"/>
                <w:sz w:val="20"/>
                <w:szCs w:val="20"/>
              </w:rPr>
              <w:t>промышленность</w:t>
            </w:r>
          </w:p>
        </w:tc>
        <w:tc>
          <w:tcPr>
            <w:tcW w:w="851" w:type="dxa"/>
            <w:noWrap/>
            <w:vAlign w:val="bottom"/>
            <w:hideMark/>
          </w:tcPr>
          <w:p w:rsidR="00D21056" w:rsidRPr="004761E0" w:rsidRDefault="001A25B0" w:rsidP="00D21056">
            <w:pPr>
              <w:ind w:firstLine="0"/>
              <w:jc w:val="right"/>
              <w:rPr>
                <w:rFonts w:eastAsia="Times New Roman"/>
                <w:color w:val="000000"/>
                <w:sz w:val="20"/>
                <w:szCs w:val="20"/>
                <w:lang w:eastAsia="ru-RU"/>
              </w:rPr>
            </w:pPr>
            <w:r w:rsidRPr="004761E0">
              <w:rPr>
                <w:color w:val="000000"/>
                <w:sz w:val="20"/>
                <w:szCs w:val="22"/>
              </w:rPr>
              <w:t>16</w:t>
            </w:r>
          </w:p>
        </w:tc>
        <w:tc>
          <w:tcPr>
            <w:tcW w:w="850" w:type="dxa"/>
            <w:noWrap/>
            <w:vAlign w:val="bottom"/>
            <w:hideMark/>
          </w:tcPr>
          <w:p w:rsidR="00D21056" w:rsidRPr="004761E0" w:rsidRDefault="001A25B0" w:rsidP="00D21056">
            <w:pPr>
              <w:ind w:firstLine="0"/>
              <w:jc w:val="right"/>
              <w:rPr>
                <w:rFonts w:eastAsia="Times New Roman"/>
                <w:color w:val="000000"/>
                <w:sz w:val="20"/>
                <w:szCs w:val="20"/>
                <w:lang w:eastAsia="ru-RU"/>
              </w:rPr>
            </w:pPr>
            <w:r w:rsidRPr="004761E0">
              <w:rPr>
                <w:color w:val="000000"/>
                <w:sz w:val="20"/>
                <w:szCs w:val="22"/>
              </w:rPr>
              <w:t>414</w:t>
            </w:r>
          </w:p>
        </w:tc>
        <w:tc>
          <w:tcPr>
            <w:tcW w:w="771" w:type="dxa"/>
            <w:noWrap/>
            <w:vAlign w:val="bottom"/>
            <w:hideMark/>
          </w:tcPr>
          <w:p w:rsidR="00D21056" w:rsidRPr="004761E0" w:rsidRDefault="001A25B0" w:rsidP="00D21056">
            <w:pPr>
              <w:ind w:firstLine="0"/>
              <w:jc w:val="right"/>
              <w:rPr>
                <w:rFonts w:eastAsia="Times New Roman"/>
                <w:color w:val="000000"/>
                <w:sz w:val="20"/>
                <w:szCs w:val="20"/>
                <w:lang w:eastAsia="ru-RU"/>
              </w:rPr>
            </w:pPr>
            <w:r w:rsidRPr="004761E0">
              <w:rPr>
                <w:color w:val="000000"/>
                <w:sz w:val="20"/>
                <w:szCs w:val="22"/>
              </w:rPr>
              <w:t>93</w:t>
            </w:r>
          </w:p>
        </w:tc>
        <w:tc>
          <w:tcPr>
            <w:tcW w:w="1072" w:type="dxa"/>
            <w:noWrap/>
            <w:vAlign w:val="bottom"/>
            <w:hideMark/>
          </w:tcPr>
          <w:p w:rsidR="00D21056" w:rsidRPr="004761E0" w:rsidRDefault="001A25B0" w:rsidP="00D21056">
            <w:pPr>
              <w:ind w:firstLine="0"/>
              <w:jc w:val="right"/>
              <w:rPr>
                <w:rFonts w:eastAsia="Times New Roman"/>
                <w:color w:val="000000"/>
                <w:sz w:val="20"/>
                <w:szCs w:val="20"/>
                <w:lang w:eastAsia="ru-RU"/>
              </w:rPr>
            </w:pPr>
            <w:r w:rsidRPr="004761E0">
              <w:rPr>
                <w:color w:val="000000"/>
                <w:sz w:val="20"/>
                <w:szCs w:val="22"/>
              </w:rPr>
              <w:t>-77,62</w:t>
            </w:r>
            <w:r w:rsidR="0008080E">
              <w:rPr>
                <w:color w:val="000000"/>
                <w:sz w:val="20"/>
                <w:szCs w:val="22"/>
              </w:rPr>
              <w:t xml:space="preserve"> </w:t>
            </w:r>
            <w:r w:rsidRPr="004761E0">
              <w:rPr>
                <w:color w:val="000000"/>
                <w:sz w:val="20"/>
                <w:szCs w:val="22"/>
              </w:rPr>
              <w:t>%</w:t>
            </w:r>
          </w:p>
        </w:tc>
      </w:tr>
      <w:tr w:rsidR="00D21056" w:rsidRPr="004761E0" w:rsidTr="004E03CC">
        <w:trPr>
          <w:cantSplit/>
        </w:trPr>
        <w:tc>
          <w:tcPr>
            <w:tcW w:w="566" w:type="dxa"/>
            <w:vAlign w:val="center"/>
            <w:hideMark/>
          </w:tcPr>
          <w:p w:rsidR="00C0652D" w:rsidRPr="004761E0" w:rsidRDefault="00C0652D" w:rsidP="007076A7">
            <w:pPr>
              <w:pStyle w:val="a5"/>
              <w:numPr>
                <w:ilvl w:val="1"/>
                <w:numId w:val="109"/>
              </w:numPr>
              <w:jc w:val="left"/>
              <w:rPr>
                <w:rFonts w:eastAsia="Times New Roman"/>
                <w:sz w:val="20"/>
                <w:szCs w:val="20"/>
                <w:lang w:eastAsia="ru-RU"/>
              </w:rPr>
            </w:pPr>
          </w:p>
        </w:tc>
        <w:tc>
          <w:tcPr>
            <w:tcW w:w="6238" w:type="dxa"/>
            <w:vAlign w:val="center"/>
            <w:hideMark/>
          </w:tcPr>
          <w:p w:rsidR="00C0652D" w:rsidRPr="004761E0" w:rsidRDefault="00D21056">
            <w:pPr>
              <w:ind w:firstLineChars="200" w:firstLine="400"/>
              <w:jc w:val="left"/>
              <w:rPr>
                <w:color w:val="000000"/>
                <w:sz w:val="20"/>
                <w:szCs w:val="20"/>
              </w:rPr>
            </w:pPr>
            <w:r w:rsidRPr="004761E0">
              <w:rPr>
                <w:color w:val="000000"/>
                <w:sz w:val="20"/>
                <w:szCs w:val="20"/>
              </w:rPr>
              <w:t>сельское хозяйство</w:t>
            </w:r>
          </w:p>
        </w:tc>
        <w:tc>
          <w:tcPr>
            <w:tcW w:w="851" w:type="dxa"/>
            <w:noWrap/>
            <w:vAlign w:val="bottom"/>
            <w:hideMark/>
          </w:tcPr>
          <w:p w:rsidR="00D21056" w:rsidRPr="004761E0" w:rsidRDefault="001A25B0" w:rsidP="00D21056">
            <w:pPr>
              <w:ind w:firstLine="0"/>
              <w:jc w:val="right"/>
              <w:rPr>
                <w:rFonts w:eastAsia="Times New Roman"/>
                <w:color w:val="000000"/>
                <w:sz w:val="20"/>
                <w:szCs w:val="20"/>
                <w:lang w:eastAsia="ru-RU"/>
              </w:rPr>
            </w:pPr>
            <w:r w:rsidRPr="004761E0">
              <w:rPr>
                <w:color w:val="000000"/>
                <w:sz w:val="20"/>
                <w:szCs w:val="22"/>
              </w:rPr>
              <w:t>1</w:t>
            </w:r>
          </w:p>
        </w:tc>
        <w:tc>
          <w:tcPr>
            <w:tcW w:w="850" w:type="dxa"/>
            <w:noWrap/>
            <w:vAlign w:val="bottom"/>
            <w:hideMark/>
          </w:tcPr>
          <w:p w:rsidR="00D21056" w:rsidRPr="004761E0" w:rsidRDefault="001A25B0" w:rsidP="00D21056">
            <w:pPr>
              <w:ind w:firstLine="0"/>
              <w:jc w:val="right"/>
              <w:rPr>
                <w:rFonts w:eastAsia="Times New Roman"/>
                <w:color w:val="000000"/>
                <w:sz w:val="20"/>
                <w:szCs w:val="20"/>
                <w:lang w:eastAsia="ru-RU"/>
              </w:rPr>
            </w:pPr>
            <w:r w:rsidRPr="004761E0">
              <w:rPr>
                <w:color w:val="000000"/>
                <w:sz w:val="20"/>
                <w:szCs w:val="22"/>
              </w:rPr>
              <w:t>1</w:t>
            </w:r>
          </w:p>
        </w:tc>
        <w:tc>
          <w:tcPr>
            <w:tcW w:w="771" w:type="dxa"/>
            <w:noWrap/>
            <w:vAlign w:val="bottom"/>
            <w:hideMark/>
          </w:tcPr>
          <w:p w:rsidR="00D21056" w:rsidRPr="004761E0" w:rsidRDefault="001A25B0" w:rsidP="00D21056">
            <w:pPr>
              <w:ind w:firstLine="0"/>
              <w:jc w:val="right"/>
              <w:rPr>
                <w:rFonts w:eastAsia="Times New Roman"/>
                <w:color w:val="000000"/>
                <w:sz w:val="20"/>
                <w:szCs w:val="20"/>
                <w:lang w:eastAsia="ru-RU"/>
              </w:rPr>
            </w:pPr>
            <w:r w:rsidRPr="004761E0">
              <w:rPr>
                <w:color w:val="000000"/>
                <w:sz w:val="20"/>
                <w:szCs w:val="22"/>
              </w:rPr>
              <w:t>3</w:t>
            </w:r>
          </w:p>
        </w:tc>
        <w:tc>
          <w:tcPr>
            <w:tcW w:w="1072" w:type="dxa"/>
            <w:noWrap/>
            <w:vAlign w:val="bottom"/>
            <w:hideMark/>
          </w:tcPr>
          <w:p w:rsidR="00D21056" w:rsidRPr="004761E0" w:rsidRDefault="001A25B0" w:rsidP="00D21056">
            <w:pPr>
              <w:ind w:firstLine="0"/>
              <w:jc w:val="right"/>
              <w:rPr>
                <w:rFonts w:eastAsia="Times New Roman"/>
                <w:color w:val="000000"/>
                <w:sz w:val="20"/>
                <w:szCs w:val="20"/>
                <w:lang w:eastAsia="ru-RU"/>
              </w:rPr>
            </w:pPr>
            <w:r w:rsidRPr="004761E0">
              <w:rPr>
                <w:color w:val="000000"/>
                <w:sz w:val="20"/>
                <w:szCs w:val="22"/>
              </w:rPr>
              <w:t>243,26</w:t>
            </w:r>
            <w:r w:rsidR="0008080E">
              <w:rPr>
                <w:color w:val="000000"/>
                <w:sz w:val="20"/>
                <w:szCs w:val="22"/>
              </w:rPr>
              <w:t xml:space="preserve"> </w:t>
            </w:r>
            <w:r w:rsidRPr="004761E0">
              <w:rPr>
                <w:color w:val="000000"/>
                <w:sz w:val="20"/>
                <w:szCs w:val="22"/>
              </w:rPr>
              <w:t>%</w:t>
            </w:r>
          </w:p>
        </w:tc>
      </w:tr>
      <w:tr w:rsidR="00D21056" w:rsidRPr="004761E0" w:rsidTr="004E03CC">
        <w:trPr>
          <w:cantSplit/>
        </w:trPr>
        <w:tc>
          <w:tcPr>
            <w:tcW w:w="566" w:type="dxa"/>
            <w:vAlign w:val="center"/>
            <w:hideMark/>
          </w:tcPr>
          <w:p w:rsidR="00C0652D" w:rsidRPr="004761E0" w:rsidRDefault="00C0652D" w:rsidP="007076A7">
            <w:pPr>
              <w:pStyle w:val="a5"/>
              <w:numPr>
                <w:ilvl w:val="1"/>
                <w:numId w:val="109"/>
              </w:numPr>
              <w:jc w:val="left"/>
              <w:rPr>
                <w:rFonts w:eastAsia="Times New Roman"/>
                <w:sz w:val="20"/>
                <w:szCs w:val="20"/>
                <w:lang w:eastAsia="ru-RU"/>
              </w:rPr>
            </w:pPr>
          </w:p>
        </w:tc>
        <w:tc>
          <w:tcPr>
            <w:tcW w:w="6238" w:type="dxa"/>
            <w:vAlign w:val="center"/>
            <w:hideMark/>
          </w:tcPr>
          <w:p w:rsidR="00D21056" w:rsidRPr="004761E0" w:rsidRDefault="00D21056" w:rsidP="004E03CC">
            <w:pPr>
              <w:ind w:firstLineChars="200" w:firstLine="400"/>
              <w:jc w:val="left"/>
              <w:rPr>
                <w:rFonts w:eastAsia="Times New Roman"/>
                <w:color w:val="000000"/>
                <w:sz w:val="20"/>
                <w:szCs w:val="20"/>
                <w:lang w:eastAsia="ru-RU"/>
              </w:rPr>
            </w:pPr>
            <w:r w:rsidRPr="004761E0">
              <w:rPr>
                <w:color w:val="000000"/>
                <w:sz w:val="20"/>
                <w:szCs w:val="20"/>
              </w:rPr>
              <w:t>коммунально-бытовая и социальная сферы</w:t>
            </w:r>
          </w:p>
        </w:tc>
        <w:tc>
          <w:tcPr>
            <w:tcW w:w="851" w:type="dxa"/>
            <w:noWrap/>
            <w:vAlign w:val="bottom"/>
            <w:hideMark/>
          </w:tcPr>
          <w:p w:rsidR="00D21056" w:rsidRPr="004761E0" w:rsidRDefault="001A25B0" w:rsidP="00D21056">
            <w:pPr>
              <w:ind w:firstLine="0"/>
              <w:jc w:val="right"/>
              <w:rPr>
                <w:rFonts w:eastAsia="Times New Roman"/>
                <w:color w:val="000000"/>
                <w:sz w:val="20"/>
                <w:szCs w:val="20"/>
                <w:lang w:eastAsia="ru-RU"/>
              </w:rPr>
            </w:pPr>
            <w:r w:rsidRPr="004761E0">
              <w:rPr>
                <w:color w:val="000000"/>
                <w:sz w:val="20"/>
                <w:szCs w:val="22"/>
              </w:rPr>
              <w:t>364</w:t>
            </w:r>
          </w:p>
        </w:tc>
        <w:tc>
          <w:tcPr>
            <w:tcW w:w="850" w:type="dxa"/>
            <w:noWrap/>
            <w:vAlign w:val="bottom"/>
            <w:hideMark/>
          </w:tcPr>
          <w:p w:rsidR="00D21056" w:rsidRPr="004761E0" w:rsidRDefault="001A25B0" w:rsidP="00D21056">
            <w:pPr>
              <w:ind w:firstLine="0"/>
              <w:jc w:val="right"/>
              <w:rPr>
                <w:rFonts w:eastAsia="Times New Roman"/>
                <w:color w:val="000000"/>
                <w:sz w:val="20"/>
                <w:szCs w:val="20"/>
                <w:lang w:eastAsia="ru-RU"/>
              </w:rPr>
            </w:pPr>
            <w:r w:rsidRPr="004761E0">
              <w:rPr>
                <w:color w:val="000000"/>
                <w:sz w:val="20"/>
                <w:szCs w:val="22"/>
              </w:rPr>
              <w:t>128</w:t>
            </w:r>
          </w:p>
        </w:tc>
        <w:tc>
          <w:tcPr>
            <w:tcW w:w="771" w:type="dxa"/>
            <w:noWrap/>
            <w:vAlign w:val="bottom"/>
            <w:hideMark/>
          </w:tcPr>
          <w:p w:rsidR="00D21056" w:rsidRPr="004761E0" w:rsidRDefault="001A25B0" w:rsidP="00D21056">
            <w:pPr>
              <w:ind w:firstLine="0"/>
              <w:jc w:val="right"/>
              <w:rPr>
                <w:rFonts w:eastAsia="Times New Roman"/>
                <w:color w:val="000000"/>
                <w:sz w:val="20"/>
                <w:szCs w:val="20"/>
                <w:lang w:eastAsia="ru-RU"/>
              </w:rPr>
            </w:pPr>
            <w:r w:rsidRPr="004761E0">
              <w:rPr>
                <w:color w:val="000000"/>
                <w:sz w:val="20"/>
                <w:szCs w:val="22"/>
              </w:rPr>
              <w:t>247</w:t>
            </w:r>
          </w:p>
        </w:tc>
        <w:tc>
          <w:tcPr>
            <w:tcW w:w="1072" w:type="dxa"/>
            <w:noWrap/>
            <w:vAlign w:val="bottom"/>
            <w:hideMark/>
          </w:tcPr>
          <w:p w:rsidR="00D21056" w:rsidRPr="004761E0" w:rsidRDefault="001A25B0" w:rsidP="00D21056">
            <w:pPr>
              <w:ind w:firstLine="0"/>
              <w:jc w:val="right"/>
              <w:rPr>
                <w:rFonts w:eastAsia="Times New Roman"/>
                <w:color w:val="000000"/>
                <w:sz w:val="20"/>
                <w:szCs w:val="20"/>
                <w:lang w:eastAsia="ru-RU"/>
              </w:rPr>
            </w:pPr>
            <w:r w:rsidRPr="004761E0">
              <w:rPr>
                <w:color w:val="000000"/>
                <w:sz w:val="20"/>
                <w:szCs w:val="22"/>
              </w:rPr>
              <w:t>92,42</w:t>
            </w:r>
            <w:r w:rsidR="0008080E">
              <w:rPr>
                <w:color w:val="000000"/>
                <w:sz w:val="20"/>
                <w:szCs w:val="22"/>
              </w:rPr>
              <w:t xml:space="preserve"> </w:t>
            </w:r>
            <w:r w:rsidRPr="004761E0">
              <w:rPr>
                <w:color w:val="000000"/>
                <w:sz w:val="20"/>
                <w:szCs w:val="22"/>
              </w:rPr>
              <w:t>%</w:t>
            </w:r>
          </w:p>
        </w:tc>
      </w:tr>
      <w:tr w:rsidR="00D21056" w:rsidRPr="004761E0" w:rsidTr="004E03CC">
        <w:trPr>
          <w:cantSplit/>
        </w:trPr>
        <w:tc>
          <w:tcPr>
            <w:tcW w:w="566" w:type="dxa"/>
            <w:vAlign w:val="center"/>
            <w:hideMark/>
          </w:tcPr>
          <w:p w:rsidR="00C0652D" w:rsidRPr="004761E0" w:rsidRDefault="00C0652D" w:rsidP="007076A7">
            <w:pPr>
              <w:pStyle w:val="a5"/>
              <w:numPr>
                <w:ilvl w:val="1"/>
                <w:numId w:val="109"/>
              </w:numPr>
              <w:jc w:val="left"/>
              <w:rPr>
                <w:rFonts w:eastAsia="Times New Roman"/>
                <w:sz w:val="20"/>
                <w:szCs w:val="20"/>
                <w:lang w:eastAsia="ru-RU"/>
              </w:rPr>
            </w:pPr>
          </w:p>
        </w:tc>
        <w:tc>
          <w:tcPr>
            <w:tcW w:w="6238" w:type="dxa"/>
            <w:vAlign w:val="center"/>
            <w:hideMark/>
          </w:tcPr>
          <w:p w:rsidR="00C0652D" w:rsidRPr="004761E0" w:rsidRDefault="00D21056">
            <w:pPr>
              <w:ind w:firstLineChars="200" w:firstLine="400"/>
              <w:jc w:val="left"/>
              <w:rPr>
                <w:color w:val="000000"/>
                <w:sz w:val="20"/>
                <w:szCs w:val="20"/>
              </w:rPr>
            </w:pPr>
            <w:r w:rsidRPr="004761E0">
              <w:rPr>
                <w:color w:val="000000"/>
                <w:sz w:val="20"/>
                <w:szCs w:val="20"/>
              </w:rPr>
              <w:t>физические лица</w:t>
            </w:r>
          </w:p>
        </w:tc>
        <w:tc>
          <w:tcPr>
            <w:tcW w:w="851" w:type="dxa"/>
            <w:noWrap/>
            <w:vAlign w:val="bottom"/>
            <w:hideMark/>
          </w:tcPr>
          <w:p w:rsidR="00D21056" w:rsidRPr="004761E0" w:rsidRDefault="001A25B0" w:rsidP="00D21056">
            <w:pPr>
              <w:ind w:firstLine="0"/>
              <w:jc w:val="right"/>
              <w:rPr>
                <w:rFonts w:eastAsia="Times New Roman"/>
                <w:color w:val="000000"/>
                <w:sz w:val="20"/>
                <w:szCs w:val="20"/>
                <w:lang w:eastAsia="ru-RU"/>
              </w:rPr>
            </w:pPr>
            <w:r w:rsidRPr="004761E0">
              <w:rPr>
                <w:color w:val="000000"/>
                <w:sz w:val="20"/>
                <w:szCs w:val="22"/>
              </w:rPr>
              <w:t>111</w:t>
            </w:r>
          </w:p>
        </w:tc>
        <w:tc>
          <w:tcPr>
            <w:tcW w:w="850" w:type="dxa"/>
            <w:noWrap/>
            <w:vAlign w:val="bottom"/>
            <w:hideMark/>
          </w:tcPr>
          <w:p w:rsidR="00D21056" w:rsidRPr="004761E0" w:rsidRDefault="001A25B0" w:rsidP="00D21056">
            <w:pPr>
              <w:ind w:firstLine="0"/>
              <w:jc w:val="right"/>
              <w:rPr>
                <w:rFonts w:eastAsia="Times New Roman"/>
                <w:color w:val="000000"/>
                <w:sz w:val="20"/>
                <w:szCs w:val="20"/>
                <w:lang w:eastAsia="ru-RU"/>
              </w:rPr>
            </w:pPr>
            <w:r w:rsidRPr="004761E0">
              <w:rPr>
                <w:color w:val="000000"/>
                <w:sz w:val="20"/>
                <w:szCs w:val="22"/>
              </w:rPr>
              <w:t>170</w:t>
            </w:r>
          </w:p>
        </w:tc>
        <w:tc>
          <w:tcPr>
            <w:tcW w:w="771" w:type="dxa"/>
            <w:noWrap/>
            <w:vAlign w:val="bottom"/>
            <w:hideMark/>
          </w:tcPr>
          <w:p w:rsidR="00D21056" w:rsidRPr="004761E0" w:rsidRDefault="001A25B0" w:rsidP="00D21056">
            <w:pPr>
              <w:ind w:firstLine="0"/>
              <w:jc w:val="right"/>
              <w:rPr>
                <w:rFonts w:eastAsia="Times New Roman"/>
                <w:color w:val="000000"/>
                <w:sz w:val="20"/>
                <w:szCs w:val="20"/>
                <w:lang w:eastAsia="ru-RU"/>
              </w:rPr>
            </w:pPr>
            <w:r w:rsidRPr="004761E0">
              <w:rPr>
                <w:color w:val="000000"/>
                <w:sz w:val="20"/>
                <w:szCs w:val="22"/>
              </w:rPr>
              <w:t>391</w:t>
            </w:r>
          </w:p>
        </w:tc>
        <w:tc>
          <w:tcPr>
            <w:tcW w:w="1072" w:type="dxa"/>
            <w:noWrap/>
            <w:vAlign w:val="bottom"/>
            <w:hideMark/>
          </w:tcPr>
          <w:p w:rsidR="00D21056" w:rsidRPr="004761E0" w:rsidRDefault="001A25B0" w:rsidP="00D21056">
            <w:pPr>
              <w:ind w:firstLine="0"/>
              <w:jc w:val="right"/>
              <w:rPr>
                <w:rFonts w:eastAsia="Times New Roman"/>
                <w:color w:val="000000"/>
                <w:sz w:val="20"/>
                <w:szCs w:val="20"/>
                <w:lang w:eastAsia="ru-RU"/>
              </w:rPr>
            </w:pPr>
            <w:r w:rsidRPr="004761E0">
              <w:rPr>
                <w:color w:val="000000"/>
                <w:sz w:val="20"/>
                <w:szCs w:val="22"/>
              </w:rPr>
              <w:t>129,43</w:t>
            </w:r>
            <w:r w:rsidR="0008080E">
              <w:rPr>
                <w:color w:val="000000"/>
                <w:sz w:val="20"/>
                <w:szCs w:val="22"/>
              </w:rPr>
              <w:t xml:space="preserve"> </w:t>
            </w:r>
            <w:r w:rsidRPr="004761E0">
              <w:rPr>
                <w:color w:val="000000"/>
                <w:sz w:val="20"/>
                <w:szCs w:val="22"/>
              </w:rPr>
              <w:t>%</w:t>
            </w:r>
          </w:p>
        </w:tc>
      </w:tr>
      <w:tr w:rsidR="00D21056" w:rsidRPr="004761E0" w:rsidTr="004E03CC">
        <w:trPr>
          <w:cantSplit/>
        </w:trPr>
        <w:tc>
          <w:tcPr>
            <w:tcW w:w="566" w:type="dxa"/>
            <w:vAlign w:val="center"/>
            <w:hideMark/>
          </w:tcPr>
          <w:p w:rsidR="00C0652D" w:rsidRPr="004761E0" w:rsidRDefault="00C0652D" w:rsidP="007076A7">
            <w:pPr>
              <w:pStyle w:val="a5"/>
              <w:numPr>
                <w:ilvl w:val="1"/>
                <w:numId w:val="109"/>
              </w:numPr>
              <w:jc w:val="left"/>
              <w:rPr>
                <w:rFonts w:eastAsia="Times New Roman"/>
                <w:sz w:val="20"/>
                <w:szCs w:val="20"/>
                <w:lang w:eastAsia="ru-RU"/>
              </w:rPr>
            </w:pPr>
          </w:p>
        </w:tc>
        <w:tc>
          <w:tcPr>
            <w:tcW w:w="6238" w:type="dxa"/>
            <w:vAlign w:val="center"/>
            <w:hideMark/>
          </w:tcPr>
          <w:p w:rsidR="00D21056" w:rsidRPr="004761E0" w:rsidRDefault="00D21056" w:rsidP="004E03CC">
            <w:pPr>
              <w:ind w:firstLineChars="200" w:firstLine="400"/>
              <w:jc w:val="left"/>
              <w:rPr>
                <w:rFonts w:eastAsia="Times New Roman"/>
                <w:color w:val="000000"/>
                <w:sz w:val="20"/>
                <w:szCs w:val="20"/>
                <w:lang w:eastAsia="ru-RU"/>
              </w:rPr>
            </w:pPr>
            <w:r w:rsidRPr="004761E0">
              <w:rPr>
                <w:color w:val="000000"/>
                <w:sz w:val="20"/>
                <w:szCs w:val="20"/>
              </w:rPr>
              <w:t>прочее</w:t>
            </w:r>
          </w:p>
        </w:tc>
        <w:tc>
          <w:tcPr>
            <w:tcW w:w="851" w:type="dxa"/>
            <w:noWrap/>
            <w:vAlign w:val="bottom"/>
            <w:hideMark/>
          </w:tcPr>
          <w:p w:rsidR="00D21056" w:rsidRPr="004761E0" w:rsidRDefault="001A25B0" w:rsidP="00D21056">
            <w:pPr>
              <w:ind w:firstLine="0"/>
              <w:jc w:val="right"/>
              <w:rPr>
                <w:rFonts w:eastAsia="Times New Roman"/>
                <w:color w:val="000000"/>
                <w:sz w:val="20"/>
                <w:szCs w:val="20"/>
                <w:lang w:eastAsia="ru-RU"/>
              </w:rPr>
            </w:pPr>
            <w:r w:rsidRPr="004761E0">
              <w:rPr>
                <w:color w:val="000000"/>
                <w:sz w:val="20"/>
                <w:szCs w:val="22"/>
              </w:rPr>
              <w:t>424</w:t>
            </w:r>
          </w:p>
        </w:tc>
        <w:tc>
          <w:tcPr>
            <w:tcW w:w="850" w:type="dxa"/>
            <w:noWrap/>
            <w:vAlign w:val="bottom"/>
            <w:hideMark/>
          </w:tcPr>
          <w:p w:rsidR="00D21056" w:rsidRPr="004761E0" w:rsidRDefault="001A25B0" w:rsidP="00D21056">
            <w:pPr>
              <w:ind w:firstLine="0"/>
              <w:jc w:val="right"/>
              <w:rPr>
                <w:rFonts w:eastAsia="Times New Roman"/>
                <w:color w:val="000000"/>
                <w:sz w:val="20"/>
                <w:szCs w:val="20"/>
                <w:lang w:eastAsia="ru-RU"/>
              </w:rPr>
            </w:pPr>
            <w:r w:rsidRPr="004761E0">
              <w:rPr>
                <w:color w:val="000000"/>
                <w:sz w:val="20"/>
                <w:szCs w:val="22"/>
              </w:rPr>
              <w:t>708</w:t>
            </w:r>
          </w:p>
        </w:tc>
        <w:tc>
          <w:tcPr>
            <w:tcW w:w="771" w:type="dxa"/>
            <w:noWrap/>
            <w:vAlign w:val="bottom"/>
            <w:hideMark/>
          </w:tcPr>
          <w:p w:rsidR="00D21056" w:rsidRPr="004761E0" w:rsidRDefault="001A25B0" w:rsidP="00D21056">
            <w:pPr>
              <w:ind w:firstLine="0"/>
              <w:jc w:val="right"/>
              <w:rPr>
                <w:rFonts w:eastAsia="Times New Roman"/>
                <w:color w:val="000000"/>
                <w:sz w:val="20"/>
                <w:szCs w:val="20"/>
                <w:lang w:eastAsia="ru-RU"/>
              </w:rPr>
            </w:pPr>
            <w:r w:rsidRPr="004761E0">
              <w:rPr>
                <w:color w:val="000000"/>
                <w:sz w:val="20"/>
                <w:szCs w:val="22"/>
              </w:rPr>
              <w:t>797</w:t>
            </w:r>
          </w:p>
        </w:tc>
        <w:tc>
          <w:tcPr>
            <w:tcW w:w="1072" w:type="dxa"/>
            <w:noWrap/>
            <w:vAlign w:val="bottom"/>
            <w:hideMark/>
          </w:tcPr>
          <w:p w:rsidR="00D21056" w:rsidRPr="004761E0" w:rsidRDefault="001A25B0" w:rsidP="00D21056">
            <w:pPr>
              <w:ind w:firstLine="0"/>
              <w:jc w:val="right"/>
              <w:rPr>
                <w:rFonts w:eastAsia="Times New Roman"/>
                <w:color w:val="000000"/>
                <w:sz w:val="20"/>
                <w:szCs w:val="20"/>
                <w:lang w:eastAsia="ru-RU"/>
              </w:rPr>
            </w:pPr>
            <w:r w:rsidRPr="004761E0">
              <w:rPr>
                <w:color w:val="000000"/>
                <w:sz w:val="20"/>
                <w:szCs w:val="22"/>
              </w:rPr>
              <w:t>12,60</w:t>
            </w:r>
            <w:r w:rsidR="0008080E">
              <w:rPr>
                <w:color w:val="000000"/>
                <w:sz w:val="20"/>
                <w:szCs w:val="22"/>
              </w:rPr>
              <w:t xml:space="preserve"> </w:t>
            </w:r>
            <w:r w:rsidRPr="004761E0">
              <w:rPr>
                <w:color w:val="000000"/>
                <w:sz w:val="20"/>
                <w:szCs w:val="22"/>
              </w:rPr>
              <w:t>%</w:t>
            </w:r>
          </w:p>
        </w:tc>
      </w:tr>
    </w:tbl>
    <w:p w:rsidR="004E03CC" w:rsidRPr="004761E0" w:rsidRDefault="00C0652D" w:rsidP="00A747DA">
      <w:pPr>
        <w:tabs>
          <w:tab w:val="left" w:pos="426"/>
        </w:tabs>
        <w:spacing w:before="120" w:after="120"/>
        <w:ind w:firstLine="0"/>
        <w:rPr>
          <w:b/>
          <w:sz w:val="26"/>
          <w:szCs w:val="26"/>
        </w:rPr>
      </w:pPr>
      <w:r w:rsidRPr="004761E0">
        <w:rPr>
          <w:b/>
          <w:noProof/>
          <w:sz w:val="26"/>
          <w:szCs w:val="26"/>
          <w:lang w:eastAsia="ru-RU"/>
        </w:rPr>
        <w:drawing>
          <wp:inline distT="0" distB="0" distL="0" distR="0">
            <wp:extent cx="3837332" cy="2536467"/>
            <wp:effectExtent l="19050" t="0" r="10768" b="0"/>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F47AF" w:rsidRPr="004761E0" w:rsidRDefault="00EF47AF" w:rsidP="00EF47AF">
      <w:pPr>
        <w:ind w:firstLine="567"/>
        <w:rPr>
          <w:sz w:val="26"/>
          <w:szCs w:val="26"/>
          <w:lang w:eastAsia="ru-RU"/>
        </w:rPr>
      </w:pPr>
      <w:r>
        <w:rPr>
          <w:sz w:val="26"/>
          <w:szCs w:val="26"/>
          <w:lang w:eastAsia="ru-RU"/>
        </w:rPr>
        <w:t>Аналогичные д</w:t>
      </w:r>
      <w:r w:rsidRPr="004761E0">
        <w:rPr>
          <w:sz w:val="26"/>
          <w:szCs w:val="26"/>
          <w:lang w:eastAsia="ru-RU"/>
        </w:rPr>
        <w:t>анные в разбивке на г. Москву и Московскую область представлены в Приложении</w:t>
      </w:r>
      <w:r>
        <w:rPr>
          <w:sz w:val="26"/>
          <w:szCs w:val="26"/>
          <w:lang w:eastAsia="ru-RU"/>
        </w:rPr>
        <w:t xml:space="preserve"> 12.</w:t>
      </w:r>
      <w:r w:rsidR="003146BC">
        <w:rPr>
          <w:sz w:val="26"/>
          <w:szCs w:val="26"/>
          <w:lang w:eastAsia="ru-RU"/>
        </w:rPr>
        <w:t>1</w:t>
      </w:r>
      <w:r>
        <w:rPr>
          <w:sz w:val="26"/>
          <w:szCs w:val="26"/>
          <w:lang w:eastAsia="ru-RU"/>
        </w:rPr>
        <w:t>.</w:t>
      </w:r>
      <w:r w:rsidRPr="004761E0">
        <w:rPr>
          <w:sz w:val="26"/>
          <w:szCs w:val="26"/>
          <w:lang w:eastAsia="ru-RU"/>
        </w:rPr>
        <w:t xml:space="preserve"> к Годовому отчету.</w:t>
      </w:r>
    </w:p>
    <w:p w:rsidR="00A747DA" w:rsidRPr="004761E0" w:rsidRDefault="001A25B0" w:rsidP="00A747DA">
      <w:pPr>
        <w:tabs>
          <w:tab w:val="left" w:pos="426"/>
        </w:tabs>
        <w:spacing w:before="120" w:after="120"/>
        <w:ind w:firstLine="567"/>
        <w:rPr>
          <w:b/>
          <w:sz w:val="26"/>
          <w:szCs w:val="26"/>
        </w:rPr>
      </w:pPr>
      <w:r w:rsidRPr="004761E0">
        <w:rPr>
          <w:rFonts w:eastAsia="Times New Roman"/>
          <w:b/>
          <w:iCs/>
          <w:color w:val="000000"/>
          <w:sz w:val="26"/>
          <w:szCs w:val="26"/>
          <w:lang w:eastAsia="ru-RU"/>
        </w:rPr>
        <w:t>Анализ частоты использования (выбора заявителем) того или иного способа расчета платы за технологическое присоединение</w:t>
      </w:r>
    </w:p>
    <w:tbl>
      <w:tblPr>
        <w:tblStyle w:val="16"/>
        <w:tblW w:w="10348" w:type="dxa"/>
        <w:tblInd w:w="108" w:type="dxa"/>
        <w:tblLook w:val="04A0"/>
      </w:tblPr>
      <w:tblGrid>
        <w:gridCol w:w="566"/>
        <w:gridCol w:w="5246"/>
        <w:gridCol w:w="1134"/>
        <w:gridCol w:w="992"/>
        <w:gridCol w:w="1055"/>
        <w:gridCol w:w="1355"/>
      </w:tblGrid>
      <w:tr w:rsidR="00A747DA" w:rsidRPr="004761E0" w:rsidTr="00A747DA">
        <w:trPr>
          <w:cantSplit/>
          <w:trHeight w:val="470"/>
        </w:trPr>
        <w:tc>
          <w:tcPr>
            <w:tcW w:w="566" w:type="dxa"/>
            <w:tcBorders>
              <w:right w:val="single" w:sz="4" w:space="0" w:color="FFFFFF" w:themeColor="background1"/>
            </w:tcBorders>
            <w:shd w:val="clear" w:color="auto" w:fill="0F243E" w:themeFill="text2" w:themeFillShade="80"/>
            <w:vAlign w:val="center"/>
            <w:hideMark/>
          </w:tcPr>
          <w:p w:rsidR="00A747DA" w:rsidRPr="004761E0" w:rsidRDefault="00A747DA" w:rsidP="00A747DA">
            <w:pPr>
              <w:ind w:firstLine="0"/>
              <w:jc w:val="left"/>
              <w:rPr>
                <w:rFonts w:eastAsia="Times New Roman"/>
                <w:color w:val="000000"/>
                <w:sz w:val="20"/>
                <w:szCs w:val="20"/>
                <w:lang w:eastAsia="ru-RU"/>
              </w:rPr>
            </w:pPr>
            <w:r w:rsidRPr="004761E0">
              <w:rPr>
                <w:rFonts w:eastAsia="Times New Roman"/>
                <w:b/>
                <w:color w:val="FFFFFF" w:themeColor="background1"/>
                <w:sz w:val="20"/>
                <w:szCs w:val="20"/>
                <w:lang w:eastAsia="ru-RU"/>
              </w:rPr>
              <w:t>№ п/п</w:t>
            </w:r>
          </w:p>
        </w:tc>
        <w:tc>
          <w:tcPr>
            <w:tcW w:w="5246" w:type="dxa"/>
            <w:tcBorders>
              <w:left w:val="single" w:sz="4" w:space="0" w:color="FFFFFF" w:themeColor="background1"/>
              <w:right w:val="single" w:sz="4" w:space="0" w:color="FFFFFF" w:themeColor="background1"/>
            </w:tcBorders>
            <w:shd w:val="clear" w:color="auto" w:fill="0F243E" w:themeFill="text2" w:themeFillShade="80"/>
            <w:vAlign w:val="center"/>
            <w:hideMark/>
          </w:tcPr>
          <w:p w:rsidR="00A747DA" w:rsidRPr="004761E0" w:rsidRDefault="00A747DA" w:rsidP="00A747DA">
            <w:pPr>
              <w:ind w:firstLine="0"/>
              <w:jc w:val="left"/>
              <w:rPr>
                <w:rFonts w:eastAsia="Times New Roman"/>
                <w:color w:val="000000"/>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left w:val="single" w:sz="4" w:space="0" w:color="FFFFFF" w:themeColor="background1"/>
              <w:right w:val="single" w:sz="4" w:space="0" w:color="FFFFFF" w:themeColor="background1"/>
            </w:tcBorders>
            <w:shd w:val="clear" w:color="auto" w:fill="0F243E" w:themeFill="text2" w:themeFillShade="80"/>
            <w:noWrap/>
            <w:vAlign w:val="center"/>
            <w:hideMark/>
          </w:tcPr>
          <w:p w:rsidR="00A747DA" w:rsidRPr="004761E0" w:rsidRDefault="00A747DA" w:rsidP="00A747DA">
            <w:pPr>
              <w:ind w:firstLine="0"/>
              <w:jc w:val="right"/>
              <w:rPr>
                <w:rFonts w:eastAsia="Times New Roman"/>
                <w:color w:val="000000"/>
                <w:sz w:val="20"/>
                <w:szCs w:val="20"/>
                <w:lang w:eastAsia="ru-RU"/>
              </w:rPr>
            </w:pPr>
            <w:r w:rsidRPr="004761E0">
              <w:rPr>
                <w:rFonts w:eastAsia="Times New Roman"/>
                <w:b/>
                <w:color w:val="FFFFFF" w:themeColor="background1"/>
                <w:sz w:val="20"/>
                <w:szCs w:val="20"/>
                <w:lang w:eastAsia="ru-RU"/>
              </w:rPr>
              <w:t>2011</w:t>
            </w:r>
          </w:p>
        </w:tc>
        <w:tc>
          <w:tcPr>
            <w:tcW w:w="992" w:type="dxa"/>
            <w:tcBorders>
              <w:left w:val="single" w:sz="4" w:space="0" w:color="FFFFFF" w:themeColor="background1"/>
              <w:right w:val="single" w:sz="4" w:space="0" w:color="FFFFFF" w:themeColor="background1"/>
            </w:tcBorders>
            <w:shd w:val="clear" w:color="auto" w:fill="0F243E" w:themeFill="text2" w:themeFillShade="80"/>
            <w:noWrap/>
            <w:vAlign w:val="center"/>
            <w:hideMark/>
          </w:tcPr>
          <w:p w:rsidR="00A747DA" w:rsidRPr="004761E0" w:rsidRDefault="00A747DA" w:rsidP="00A747DA">
            <w:pPr>
              <w:ind w:firstLine="0"/>
              <w:jc w:val="right"/>
              <w:rPr>
                <w:rFonts w:eastAsia="Times New Roman"/>
                <w:color w:val="000000"/>
                <w:sz w:val="20"/>
                <w:szCs w:val="20"/>
                <w:lang w:eastAsia="ru-RU"/>
              </w:rPr>
            </w:pPr>
            <w:r w:rsidRPr="004761E0">
              <w:rPr>
                <w:rFonts w:eastAsia="Times New Roman"/>
                <w:b/>
                <w:color w:val="FFFFFF" w:themeColor="background1"/>
                <w:sz w:val="20"/>
                <w:szCs w:val="20"/>
                <w:lang w:eastAsia="ru-RU"/>
              </w:rPr>
              <w:t>2012</w:t>
            </w:r>
          </w:p>
        </w:tc>
        <w:tc>
          <w:tcPr>
            <w:tcW w:w="1055" w:type="dxa"/>
            <w:tcBorders>
              <w:left w:val="single" w:sz="4" w:space="0" w:color="FFFFFF" w:themeColor="background1"/>
              <w:right w:val="single" w:sz="4" w:space="0" w:color="FFFFFF" w:themeColor="background1"/>
            </w:tcBorders>
            <w:shd w:val="clear" w:color="auto" w:fill="0F243E" w:themeFill="text2" w:themeFillShade="80"/>
            <w:noWrap/>
            <w:vAlign w:val="center"/>
            <w:hideMark/>
          </w:tcPr>
          <w:p w:rsidR="00A747DA" w:rsidRPr="004761E0" w:rsidRDefault="00A747DA" w:rsidP="00A747DA">
            <w:pPr>
              <w:ind w:firstLine="0"/>
              <w:jc w:val="right"/>
              <w:rPr>
                <w:rFonts w:eastAsia="Times New Roman"/>
                <w:color w:val="000000"/>
                <w:sz w:val="20"/>
                <w:szCs w:val="20"/>
                <w:lang w:eastAsia="ru-RU"/>
              </w:rPr>
            </w:pPr>
            <w:r w:rsidRPr="004761E0">
              <w:rPr>
                <w:rFonts w:eastAsia="Times New Roman"/>
                <w:b/>
                <w:color w:val="FFFFFF" w:themeColor="background1"/>
                <w:sz w:val="20"/>
                <w:szCs w:val="20"/>
                <w:lang w:eastAsia="ru-RU"/>
              </w:rPr>
              <w:t>2013</w:t>
            </w:r>
          </w:p>
        </w:tc>
        <w:tc>
          <w:tcPr>
            <w:tcW w:w="1355" w:type="dxa"/>
            <w:tcBorders>
              <w:left w:val="single" w:sz="4" w:space="0" w:color="FFFFFF" w:themeColor="background1"/>
            </w:tcBorders>
            <w:shd w:val="clear" w:color="auto" w:fill="0F243E" w:themeFill="text2" w:themeFillShade="80"/>
            <w:noWrap/>
            <w:vAlign w:val="center"/>
            <w:hideMark/>
          </w:tcPr>
          <w:p w:rsidR="00A747DA" w:rsidRPr="004761E0" w:rsidRDefault="00A747DA" w:rsidP="00A747DA">
            <w:pPr>
              <w:ind w:firstLine="0"/>
              <w:jc w:val="right"/>
              <w:rPr>
                <w:rFonts w:eastAsia="Times New Roman"/>
                <w:color w:val="000000"/>
                <w:sz w:val="20"/>
                <w:szCs w:val="20"/>
                <w:lang w:eastAsia="ru-RU"/>
              </w:rPr>
            </w:pPr>
            <w:r w:rsidRPr="004761E0">
              <w:rPr>
                <w:rFonts w:eastAsia="Times New Roman"/>
                <w:b/>
                <w:color w:val="FFFFFF" w:themeColor="background1"/>
                <w:sz w:val="20"/>
                <w:szCs w:val="20"/>
                <w:lang w:eastAsia="ru-RU"/>
              </w:rPr>
              <w:t>2013/2012</w:t>
            </w:r>
          </w:p>
        </w:tc>
      </w:tr>
      <w:tr w:rsidR="00A747DA" w:rsidRPr="004761E0" w:rsidTr="00A747DA">
        <w:trPr>
          <w:cantSplit/>
        </w:trPr>
        <w:tc>
          <w:tcPr>
            <w:tcW w:w="566" w:type="dxa"/>
            <w:vAlign w:val="center"/>
            <w:hideMark/>
          </w:tcPr>
          <w:p w:rsidR="00C0652D" w:rsidRPr="004761E0" w:rsidRDefault="00C0652D" w:rsidP="007076A7">
            <w:pPr>
              <w:pStyle w:val="a5"/>
              <w:numPr>
                <w:ilvl w:val="0"/>
                <w:numId w:val="110"/>
              </w:numPr>
              <w:jc w:val="left"/>
              <w:rPr>
                <w:rFonts w:eastAsia="Times New Roman"/>
                <w:b/>
                <w:bCs/>
                <w:sz w:val="20"/>
                <w:szCs w:val="20"/>
                <w:lang w:eastAsia="ru-RU"/>
              </w:rPr>
            </w:pPr>
          </w:p>
        </w:tc>
        <w:tc>
          <w:tcPr>
            <w:tcW w:w="5246" w:type="dxa"/>
            <w:vAlign w:val="center"/>
            <w:hideMark/>
          </w:tcPr>
          <w:p w:rsidR="00A747DA" w:rsidRPr="004761E0" w:rsidRDefault="00A747DA" w:rsidP="00A747DA">
            <w:pPr>
              <w:ind w:firstLine="0"/>
              <w:jc w:val="left"/>
              <w:rPr>
                <w:rFonts w:eastAsia="Times New Roman"/>
                <w:b/>
                <w:bCs/>
                <w:color w:val="000000"/>
                <w:sz w:val="20"/>
                <w:szCs w:val="20"/>
                <w:lang w:eastAsia="ru-RU"/>
              </w:rPr>
            </w:pPr>
            <w:r w:rsidRPr="004761E0">
              <w:rPr>
                <w:rFonts w:eastAsia="Times New Roman"/>
                <w:color w:val="000000"/>
                <w:sz w:val="20"/>
                <w:szCs w:val="20"/>
                <w:lang w:eastAsia="ru-RU"/>
              </w:rPr>
              <w:t>Индивидуальный проект, шт.</w:t>
            </w:r>
          </w:p>
        </w:tc>
        <w:tc>
          <w:tcPr>
            <w:tcW w:w="1134" w:type="dxa"/>
            <w:noWrap/>
            <w:vAlign w:val="center"/>
            <w:hideMark/>
          </w:tcPr>
          <w:p w:rsidR="00A747DA" w:rsidRPr="004761E0" w:rsidRDefault="00A747DA" w:rsidP="00A747DA">
            <w:pPr>
              <w:ind w:firstLine="0"/>
              <w:jc w:val="right"/>
              <w:rPr>
                <w:rFonts w:eastAsia="Times New Roman"/>
                <w:b/>
                <w:color w:val="000000"/>
                <w:sz w:val="20"/>
                <w:szCs w:val="20"/>
                <w:lang w:eastAsia="ru-RU"/>
              </w:rPr>
            </w:pPr>
            <w:r w:rsidRPr="004761E0">
              <w:rPr>
                <w:rFonts w:eastAsia="Times New Roman"/>
                <w:color w:val="000000"/>
                <w:sz w:val="20"/>
                <w:szCs w:val="20"/>
                <w:lang w:eastAsia="ru-RU"/>
              </w:rPr>
              <w:t>53</w:t>
            </w:r>
          </w:p>
        </w:tc>
        <w:tc>
          <w:tcPr>
            <w:tcW w:w="992" w:type="dxa"/>
            <w:noWrap/>
            <w:vAlign w:val="center"/>
            <w:hideMark/>
          </w:tcPr>
          <w:p w:rsidR="00A747DA" w:rsidRPr="004761E0" w:rsidRDefault="00A747DA" w:rsidP="00A747DA">
            <w:pPr>
              <w:ind w:firstLine="0"/>
              <w:jc w:val="right"/>
              <w:rPr>
                <w:rFonts w:eastAsia="Times New Roman"/>
                <w:b/>
                <w:color w:val="000000"/>
                <w:sz w:val="20"/>
                <w:szCs w:val="20"/>
                <w:lang w:eastAsia="ru-RU"/>
              </w:rPr>
            </w:pPr>
            <w:r w:rsidRPr="004761E0">
              <w:rPr>
                <w:rFonts w:eastAsia="Times New Roman"/>
                <w:color w:val="000000"/>
                <w:sz w:val="20"/>
                <w:szCs w:val="20"/>
                <w:lang w:eastAsia="ru-RU"/>
              </w:rPr>
              <w:t>13</w:t>
            </w:r>
          </w:p>
        </w:tc>
        <w:tc>
          <w:tcPr>
            <w:tcW w:w="1055" w:type="dxa"/>
            <w:noWrap/>
            <w:vAlign w:val="center"/>
            <w:hideMark/>
          </w:tcPr>
          <w:p w:rsidR="00A747DA" w:rsidRPr="004761E0" w:rsidRDefault="00A747DA" w:rsidP="00A747DA">
            <w:pPr>
              <w:ind w:firstLine="0"/>
              <w:jc w:val="right"/>
              <w:rPr>
                <w:rFonts w:eastAsia="Times New Roman"/>
                <w:b/>
                <w:color w:val="000000"/>
                <w:sz w:val="20"/>
                <w:szCs w:val="20"/>
                <w:lang w:eastAsia="ru-RU"/>
              </w:rPr>
            </w:pPr>
            <w:r w:rsidRPr="004761E0">
              <w:rPr>
                <w:rFonts w:eastAsia="Times New Roman"/>
                <w:color w:val="000000"/>
                <w:sz w:val="20"/>
                <w:szCs w:val="20"/>
                <w:lang w:eastAsia="ru-RU"/>
              </w:rPr>
              <w:t>30</w:t>
            </w:r>
          </w:p>
        </w:tc>
        <w:tc>
          <w:tcPr>
            <w:tcW w:w="1355" w:type="dxa"/>
            <w:noWrap/>
            <w:vAlign w:val="center"/>
            <w:hideMark/>
          </w:tcPr>
          <w:p w:rsidR="00A747DA" w:rsidRPr="004761E0" w:rsidRDefault="00A747DA" w:rsidP="007877E1">
            <w:pPr>
              <w:ind w:firstLine="0"/>
              <w:jc w:val="right"/>
              <w:rPr>
                <w:rFonts w:eastAsia="Times New Roman"/>
                <w:b/>
                <w:color w:val="000000"/>
                <w:sz w:val="20"/>
                <w:szCs w:val="20"/>
                <w:lang w:eastAsia="ru-RU"/>
              </w:rPr>
            </w:pPr>
            <w:r w:rsidRPr="004761E0">
              <w:rPr>
                <w:rFonts w:eastAsia="Times New Roman"/>
                <w:color w:val="000000"/>
                <w:sz w:val="20"/>
                <w:szCs w:val="20"/>
                <w:lang w:eastAsia="ru-RU"/>
              </w:rPr>
              <w:t>1</w:t>
            </w:r>
            <w:r w:rsidR="007877E1">
              <w:rPr>
                <w:rFonts w:eastAsia="Times New Roman"/>
                <w:color w:val="000000"/>
                <w:sz w:val="20"/>
                <w:szCs w:val="20"/>
                <w:lang w:eastAsia="ru-RU"/>
              </w:rPr>
              <w:t>30</w:t>
            </w:r>
            <w:r w:rsidRPr="004761E0">
              <w:rPr>
                <w:rFonts w:eastAsia="Times New Roman"/>
                <w:color w:val="000000"/>
                <w:sz w:val="20"/>
                <w:szCs w:val="20"/>
                <w:lang w:eastAsia="ru-RU"/>
              </w:rPr>
              <w:t>,</w:t>
            </w:r>
            <w:r w:rsidR="007877E1">
              <w:rPr>
                <w:rFonts w:eastAsia="Times New Roman"/>
                <w:color w:val="000000"/>
                <w:sz w:val="20"/>
                <w:szCs w:val="20"/>
                <w:lang w:eastAsia="ru-RU"/>
              </w:rPr>
              <w:t>77</w:t>
            </w:r>
            <w:r w:rsidRPr="004761E0">
              <w:rPr>
                <w:rFonts w:eastAsia="Times New Roman"/>
                <w:color w:val="000000"/>
                <w:sz w:val="20"/>
                <w:szCs w:val="20"/>
                <w:lang w:val="en-US" w:eastAsia="ru-RU"/>
              </w:rPr>
              <w:t xml:space="preserve"> </w:t>
            </w:r>
            <w:r w:rsidRPr="004761E0">
              <w:rPr>
                <w:rFonts w:eastAsia="Times New Roman"/>
                <w:color w:val="000000"/>
                <w:sz w:val="20"/>
                <w:szCs w:val="20"/>
                <w:lang w:eastAsia="ru-RU"/>
              </w:rPr>
              <w:t>%</w:t>
            </w:r>
          </w:p>
        </w:tc>
      </w:tr>
      <w:tr w:rsidR="00A747DA" w:rsidRPr="004761E0" w:rsidTr="00A747DA">
        <w:trPr>
          <w:cantSplit/>
        </w:trPr>
        <w:tc>
          <w:tcPr>
            <w:tcW w:w="566" w:type="dxa"/>
            <w:vAlign w:val="center"/>
            <w:hideMark/>
          </w:tcPr>
          <w:p w:rsidR="00C0652D" w:rsidRPr="004761E0" w:rsidRDefault="00C0652D" w:rsidP="007076A7">
            <w:pPr>
              <w:pStyle w:val="a5"/>
              <w:numPr>
                <w:ilvl w:val="0"/>
                <w:numId w:val="110"/>
              </w:numPr>
              <w:jc w:val="left"/>
              <w:rPr>
                <w:rFonts w:eastAsia="Times New Roman"/>
                <w:b/>
                <w:bCs/>
                <w:sz w:val="20"/>
                <w:szCs w:val="20"/>
                <w:lang w:eastAsia="ru-RU"/>
              </w:rPr>
            </w:pPr>
          </w:p>
        </w:tc>
        <w:tc>
          <w:tcPr>
            <w:tcW w:w="5246" w:type="dxa"/>
            <w:vAlign w:val="center"/>
            <w:hideMark/>
          </w:tcPr>
          <w:p w:rsidR="00C0652D" w:rsidRPr="004761E0" w:rsidRDefault="00A747DA">
            <w:pPr>
              <w:ind w:firstLine="0"/>
              <w:jc w:val="left"/>
              <w:rPr>
                <w:rFonts w:eastAsia="Times New Roman"/>
                <w:b/>
                <w:bCs/>
                <w:color w:val="000000"/>
                <w:sz w:val="20"/>
                <w:szCs w:val="20"/>
                <w:lang w:eastAsia="ru-RU"/>
              </w:rPr>
            </w:pPr>
            <w:r w:rsidRPr="004761E0">
              <w:rPr>
                <w:rFonts w:eastAsia="Times New Roman"/>
                <w:color w:val="000000"/>
                <w:sz w:val="20"/>
                <w:szCs w:val="20"/>
                <w:lang w:eastAsia="ru-RU"/>
              </w:rPr>
              <w:t>Стандартизированные тарифные ставки, шт.</w:t>
            </w:r>
          </w:p>
        </w:tc>
        <w:tc>
          <w:tcPr>
            <w:tcW w:w="1134" w:type="dxa"/>
            <w:noWrap/>
            <w:vAlign w:val="center"/>
            <w:hideMark/>
          </w:tcPr>
          <w:p w:rsidR="00A747DA" w:rsidRPr="004761E0" w:rsidRDefault="00A747DA" w:rsidP="00A747DA">
            <w:pPr>
              <w:ind w:firstLine="0"/>
              <w:jc w:val="right"/>
              <w:rPr>
                <w:rFonts w:eastAsia="Times New Roman"/>
                <w:color w:val="000000"/>
                <w:sz w:val="20"/>
                <w:szCs w:val="20"/>
                <w:lang w:eastAsia="ru-RU"/>
              </w:rPr>
            </w:pPr>
            <w:r w:rsidRPr="004761E0">
              <w:rPr>
                <w:rFonts w:eastAsia="Times New Roman"/>
                <w:color w:val="000000"/>
                <w:sz w:val="20"/>
                <w:szCs w:val="20"/>
                <w:lang w:eastAsia="ru-RU"/>
              </w:rPr>
              <w:t>0</w:t>
            </w:r>
          </w:p>
        </w:tc>
        <w:tc>
          <w:tcPr>
            <w:tcW w:w="992" w:type="dxa"/>
            <w:noWrap/>
            <w:vAlign w:val="center"/>
            <w:hideMark/>
          </w:tcPr>
          <w:p w:rsidR="00A747DA" w:rsidRPr="004761E0" w:rsidRDefault="00A747DA" w:rsidP="00A747DA">
            <w:pPr>
              <w:ind w:firstLine="0"/>
              <w:jc w:val="right"/>
              <w:rPr>
                <w:rFonts w:eastAsia="Times New Roman"/>
                <w:color w:val="000000"/>
                <w:sz w:val="20"/>
                <w:szCs w:val="20"/>
                <w:lang w:eastAsia="ru-RU"/>
              </w:rPr>
            </w:pPr>
            <w:r w:rsidRPr="004761E0">
              <w:rPr>
                <w:rFonts w:eastAsia="Times New Roman"/>
                <w:color w:val="000000"/>
                <w:sz w:val="20"/>
                <w:szCs w:val="20"/>
                <w:lang w:eastAsia="ru-RU"/>
              </w:rPr>
              <w:t>0</w:t>
            </w:r>
          </w:p>
        </w:tc>
        <w:tc>
          <w:tcPr>
            <w:tcW w:w="1055" w:type="dxa"/>
            <w:noWrap/>
            <w:vAlign w:val="center"/>
            <w:hideMark/>
          </w:tcPr>
          <w:p w:rsidR="00A747DA" w:rsidRPr="004761E0" w:rsidRDefault="00A747DA" w:rsidP="00A747DA">
            <w:pPr>
              <w:ind w:firstLine="0"/>
              <w:jc w:val="right"/>
              <w:rPr>
                <w:rFonts w:eastAsia="Times New Roman"/>
                <w:color w:val="000000"/>
                <w:sz w:val="20"/>
                <w:szCs w:val="20"/>
                <w:lang w:eastAsia="ru-RU"/>
              </w:rPr>
            </w:pPr>
            <w:r w:rsidRPr="004761E0">
              <w:rPr>
                <w:rFonts w:eastAsia="Times New Roman"/>
                <w:color w:val="000000"/>
                <w:sz w:val="20"/>
                <w:szCs w:val="20"/>
                <w:lang w:eastAsia="ru-RU"/>
              </w:rPr>
              <w:t>436</w:t>
            </w:r>
          </w:p>
        </w:tc>
        <w:tc>
          <w:tcPr>
            <w:tcW w:w="1355" w:type="dxa"/>
            <w:noWrap/>
            <w:vAlign w:val="center"/>
            <w:hideMark/>
          </w:tcPr>
          <w:p w:rsidR="00A747DA" w:rsidRPr="004761E0" w:rsidRDefault="00A747DA" w:rsidP="00A747DA">
            <w:pPr>
              <w:spacing w:after="120"/>
              <w:ind w:firstLine="0"/>
              <w:jc w:val="right"/>
              <w:rPr>
                <w:rFonts w:eastAsia="Times New Roman"/>
                <w:color w:val="000000"/>
                <w:sz w:val="20"/>
                <w:szCs w:val="20"/>
                <w:lang w:val="en-US" w:eastAsia="ru-RU"/>
              </w:rPr>
            </w:pPr>
            <w:r w:rsidRPr="004761E0">
              <w:rPr>
                <w:rFonts w:eastAsia="Times New Roman"/>
                <w:color w:val="000000"/>
                <w:sz w:val="20"/>
                <w:szCs w:val="20"/>
                <w:lang w:val="en-US" w:eastAsia="ru-RU"/>
              </w:rPr>
              <w:t>–</w:t>
            </w:r>
          </w:p>
        </w:tc>
      </w:tr>
      <w:tr w:rsidR="00A747DA" w:rsidRPr="004761E0" w:rsidTr="00A747DA">
        <w:trPr>
          <w:cantSplit/>
        </w:trPr>
        <w:tc>
          <w:tcPr>
            <w:tcW w:w="566" w:type="dxa"/>
            <w:vAlign w:val="center"/>
            <w:hideMark/>
          </w:tcPr>
          <w:p w:rsidR="00C0652D" w:rsidRPr="004761E0" w:rsidRDefault="00C0652D" w:rsidP="007076A7">
            <w:pPr>
              <w:pStyle w:val="a5"/>
              <w:numPr>
                <w:ilvl w:val="0"/>
                <w:numId w:val="110"/>
              </w:numPr>
              <w:jc w:val="left"/>
              <w:rPr>
                <w:rFonts w:eastAsia="Times New Roman"/>
                <w:b/>
                <w:bCs/>
                <w:sz w:val="20"/>
                <w:szCs w:val="20"/>
                <w:lang w:eastAsia="ru-RU"/>
              </w:rPr>
            </w:pPr>
          </w:p>
        </w:tc>
        <w:tc>
          <w:tcPr>
            <w:tcW w:w="5246" w:type="dxa"/>
            <w:vAlign w:val="center"/>
            <w:hideMark/>
          </w:tcPr>
          <w:p w:rsidR="00C0652D" w:rsidRPr="004761E0" w:rsidRDefault="00A747DA">
            <w:pPr>
              <w:ind w:firstLine="0"/>
              <w:jc w:val="left"/>
              <w:rPr>
                <w:rFonts w:eastAsia="Times New Roman"/>
                <w:b/>
                <w:bCs/>
                <w:color w:val="000000"/>
                <w:sz w:val="20"/>
                <w:szCs w:val="20"/>
                <w:lang w:eastAsia="ru-RU"/>
              </w:rPr>
            </w:pPr>
            <w:r w:rsidRPr="004761E0">
              <w:rPr>
                <w:rFonts w:eastAsia="Times New Roman"/>
                <w:color w:val="000000"/>
                <w:sz w:val="20"/>
                <w:szCs w:val="20"/>
                <w:lang w:eastAsia="ru-RU"/>
              </w:rPr>
              <w:t>Ставка за единицу мощности, шт.</w:t>
            </w:r>
          </w:p>
        </w:tc>
        <w:tc>
          <w:tcPr>
            <w:tcW w:w="1134" w:type="dxa"/>
            <w:noWrap/>
            <w:vAlign w:val="center"/>
            <w:hideMark/>
          </w:tcPr>
          <w:p w:rsidR="00A747DA" w:rsidRPr="004761E0" w:rsidRDefault="00A747DA" w:rsidP="00A747DA">
            <w:pPr>
              <w:ind w:firstLine="0"/>
              <w:jc w:val="right"/>
              <w:rPr>
                <w:rFonts w:eastAsia="Times New Roman"/>
                <w:color w:val="000000"/>
                <w:sz w:val="20"/>
                <w:szCs w:val="20"/>
                <w:lang w:eastAsia="ru-RU"/>
              </w:rPr>
            </w:pPr>
            <w:r w:rsidRPr="004761E0">
              <w:rPr>
                <w:rFonts w:eastAsia="Times New Roman"/>
                <w:color w:val="000000"/>
                <w:sz w:val="20"/>
                <w:szCs w:val="20"/>
                <w:lang w:eastAsia="ru-RU"/>
              </w:rPr>
              <w:t>22 837</w:t>
            </w:r>
          </w:p>
        </w:tc>
        <w:tc>
          <w:tcPr>
            <w:tcW w:w="992" w:type="dxa"/>
            <w:noWrap/>
            <w:vAlign w:val="center"/>
            <w:hideMark/>
          </w:tcPr>
          <w:p w:rsidR="00A747DA" w:rsidRPr="004761E0" w:rsidRDefault="00A747DA" w:rsidP="00A747DA">
            <w:pPr>
              <w:ind w:firstLine="0"/>
              <w:jc w:val="right"/>
              <w:rPr>
                <w:rFonts w:eastAsia="Times New Roman"/>
                <w:color w:val="000000"/>
                <w:sz w:val="20"/>
                <w:szCs w:val="20"/>
                <w:lang w:eastAsia="ru-RU"/>
              </w:rPr>
            </w:pPr>
            <w:r w:rsidRPr="004761E0">
              <w:rPr>
                <w:rFonts w:eastAsia="Times New Roman"/>
                <w:color w:val="000000"/>
                <w:sz w:val="20"/>
                <w:szCs w:val="20"/>
                <w:lang w:eastAsia="ru-RU"/>
              </w:rPr>
              <w:t>37 492</w:t>
            </w:r>
          </w:p>
        </w:tc>
        <w:tc>
          <w:tcPr>
            <w:tcW w:w="1055" w:type="dxa"/>
            <w:noWrap/>
            <w:vAlign w:val="center"/>
            <w:hideMark/>
          </w:tcPr>
          <w:p w:rsidR="00A747DA" w:rsidRPr="004761E0" w:rsidRDefault="00A747DA" w:rsidP="00A747DA">
            <w:pPr>
              <w:ind w:firstLine="0"/>
              <w:jc w:val="right"/>
              <w:rPr>
                <w:rFonts w:eastAsia="Times New Roman"/>
                <w:color w:val="000000"/>
                <w:sz w:val="20"/>
                <w:szCs w:val="20"/>
                <w:lang w:eastAsia="ru-RU"/>
              </w:rPr>
            </w:pPr>
            <w:r w:rsidRPr="004761E0">
              <w:rPr>
                <w:rFonts w:eastAsia="Times New Roman"/>
                <w:color w:val="000000"/>
                <w:sz w:val="20"/>
                <w:szCs w:val="20"/>
                <w:lang w:eastAsia="ru-RU"/>
              </w:rPr>
              <w:t>70 411</w:t>
            </w:r>
          </w:p>
        </w:tc>
        <w:tc>
          <w:tcPr>
            <w:tcW w:w="1355" w:type="dxa"/>
            <w:noWrap/>
            <w:vAlign w:val="center"/>
            <w:hideMark/>
          </w:tcPr>
          <w:p w:rsidR="00A747DA" w:rsidRPr="004761E0" w:rsidRDefault="00A747DA" w:rsidP="00A747DA">
            <w:pPr>
              <w:ind w:firstLine="0"/>
              <w:jc w:val="right"/>
              <w:rPr>
                <w:rFonts w:eastAsia="Times New Roman"/>
                <w:color w:val="000000"/>
                <w:sz w:val="20"/>
                <w:szCs w:val="20"/>
                <w:lang w:eastAsia="ru-RU"/>
              </w:rPr>
            </w:pPr>
            <w:r w:rsidRPr="004761E0">
              <w:rPr>
                <w:rFonts w:eastAsia="Times New Roman"/>
                <w:color w:val="000000"/>
                <w:sz w:val="20"/>
                <w:szCs w:val="20"/>
                <w:lang w:eastAsia="ru-RU"/>
              </w:rPr>
              <w:t>87,80</w:t>
            </w:r>
            <w:r w:rsidRPr="004761E0">
              <w:rPr>
                <w:rFonts w:eastAsia="Times New Roman"/>
                <w:color w:val="000000"/>
                <w:sz w:val="20"/>
                <w:szCs w:val="20"/>
                <w:lang w:val="en-US" w:eastAsia="ru-RU"/>
              </w:rPr>
              <w:t xml:space="preserve"> </w:t>
            </w:r>
            <w:r w:rsidRPr="004761E0">
              <w:rPr>
                <w:rFonts w:eastAsia="Times New Roman"/>
                <w:color w:val="000000"/>
                <w:sz w:val="20"/>
                <w:szCs w:val="20"/>
                <w:lang w:eastAsia="ru-RU"/>
              </w:rPr>
              <w:t>%</w:t>
            </w:r>
          </w:p>
        </w:tc>
      </w:tr>
    </w:tbl>
    <w:p w:rsidR="000552E4" w:rsidRPr="004761E0" w:rsidRDefault="000552E4" w:rsidP="00B20C95">
      <w:pPr>
        <w:spacing w:before="120" w:after="120"/>
        <w:ind w:firstLine="567"/>
        <w:rPr>
          <w:b/>
          <w:noProof/>
          <w:sz w:val="26"/>
          <w:szCs w:val="26"/>
          <w:lang w:eastAsia="ru-RU"/>
        </w:rPr>
      </w:pPr>
      <w:r w:rsidRPr="004761E0">
        <w:rPr>
          <w:b/>
          <w:noProof/>
          <w:sz w:val="26"/>
          <w:szCs w:val="26"/>
          <w:lang w:eastAsia="ru-RU"/>
        </w:rPr>
        <w:t>Результаты по организации вторичного оборота неиспользуемой мощности</w:t>
      </w:r>
    </w:p>
    <w:p w:rsidR="00310C92" w:rsidRPr="004761E0" w:rsidRDefault="00131054" w:rsidP="00F403C7">
      <w:pPr>
        <w:ind w:right="-1" w:firstLine="567"/>
        <w:rPr>
          <w:sz w:val="26"/>
          <w:szCs w:val="26"/>
        </w:rPr>
      </w:pPr>
      <w:r w:rsidRPr="004761E0">
        <w:rPr>
          <w:sz w:val="26"/>
          <w:szCs w:val="26"/>
        </w:rPr>
        <w:t>Перераспределение мощности – возможность, предоставляемая лицам, имеющим на праве собственности или на ином законном основании энергопринимающие устройства, в отношении которых до 01.01.2009 осуществлено фактическое технологическое присоединение, снизить объем ранее выделенной максимальной мощности.</w:t>
      </w:r>
    </w:p>
    <w:p w:rsidR="00C64BC5" w:rsidRPr="004761E0" w:rsidRDefault="00131054">
      <w:pPr>
        <w:ind w:right="-1" w:firstLine="567"/>
        <w:rPr>
          <w:sz w:val="26"/>
          <w:szCs w:val="26"/>
        </w:rPr>
      </w:pPr>
      <w:r w:rsidRPr="004761E0">
        <w:rPr>
          <w:sz w:val="26"/>
          <w:szCs w:val="26"/>
        </w:rPr>
        <w:t xml:space="preserve">С 2013 года </w:t>
      </w:r>
      <w:r w:rsidR="0008080E">
        <w:rPr>
          <w:sz w:val="26"/>
          <w:szCs w:val="26"/>
        </w:rPr>
        <w:t>ОАО </w:t>
      </w:r>
      <w:r w:rsidRPr="004761E0">
        <w:rPr>
          <w:sz w:val="26"/>
          <w:szCs w:val="26"/>
        </w:rPr>
        <w:t>«МОЭСК» на портале по технологическому присоединению (</w:t>
      </w:r>
      <w:hyperlink r:id="rId67" w:history="1">
        <w:r w:rsidRPr="004761E0">
          <w:rPr>
            <w:rStyle w:val="a4"/>
            <w:sz w:val="26"/>
            <w:szCs w:val="26"/>
          </w:rPr>
          <w:t>http://utp.moesk.ru/</w:t>
        </w:r>
      </w:hyperlink>
      <w:r w:rsidRPr="004761E0">
        <w:rPr>
          <w:sz w:val="26"/>
          <w:szCs w:val="26"/>
        </w:rPr>
        <w:t>) предоставляет всем заинтересованным лицам возможность размещать и получать информацию о намерении владельцев энергопринимающих устройств перераспределить мощность в пользу иных владельцев при соблюдении условий, предусмотренных законодательством РФ. В свою очередь, лица, заинтересованные в получении перераспределяемой мощности, на портале по технологическому присоединению могут ознакомиться с информацией об объемах перераспределяемой мощности в зоне обслуживания интересующего питающего центра.</w:t>
      </w:r>
    </w:p>
    <w:p w:rsidR="00B20C95" w:rsidRPr="00B6020E" w:rsidRDefault="00131054" w:rsidP="00223FB3">
      <w:pPr>
        <w:ind w:firstLine="567"/>
        <w:rPr>
          <w:sz w:val="26"/>
          <w:szCs w:val="26"/>
        </w:rPr>
      </w:pPr>
      <w:r w:rsidRPr="004761E0">
        <w:rPr>
          <w:sz w:val="26"/>
          <w:szCs w:val="26"/>
        </w:rPr>
        <w:t xml:space="preserve">В 2013 году заявлений о намерении перераспределить максимальную мощность энергопринимающих устройств в пользу иных лиц в </w:t>
      </w:r>
      <w:r w:rsidR="0008080E">
        <w:rPr>
          <w:sz w:val="26"/>
          <w:szCs w:val="26"/>
        </w:rPr>
        <w:t>ОАО </w:t>
      </w:r>
      <w:r w:rsidRPr="004761E0">
        <w:rPr>
          <w:sz w:val="26"/>
          <w:szCs w:val="26"/>
        </w:rPr>
        <w:t>«МОЭСК» не поступало.</w:t>
      </w:r>
      <w:r w:rsidR="00B20C95" w:rsidRPr="00B6020E">
        <w:rPr>
          <w:sz w:val="26"/>
          <w:szCs w:val="26"/>
        </w:rPr>
        <w:br w:type="page"/>
      </w:r>
    </w:p>
    <w:p w:rsidR="00027A32" w:rsidRPr="004761E0" w:rsidRDefault="00EA456F" w:rsidP="007076A7">
      <w:pPr>
        <w:pStyle w:val="a8"/>
        <w:numPr>
          <w:ilvl w:val="1"/>
          <w:numId w:val="321"/>
        </w:numPr>
        <w:spacing w:before="120" w:after="120"/>
        <w:ind w:left="1134" w:hanging="567"/>
        <w:jc w:val="both"/>
        <w:rPr>
          <w:b/>
        </w:rPr>
      </w:pPr>
      <w:hyperlink r:id="rId68" w:anchor="'3'!A267" w:history="1">
        <w:bookmarkStart w:id="53" w:name="_Toc380576911"/>
        <w:bookmarkStart w:id="54" w:name="_Toc385339809"/>
        <w:r w:rsidR="00D12ACE" w:rsidRPr="004761E0">
          <w:rPr>
            <w:rFonts w:ascii="Times New Roman" w:hAnsi="Times New Roman"/>
            <w:b/>
            <w:sz w:val="26"/>
            <w:szCs w:val="26"/>
          </w:rPr>
          <w:t>Клиентская политика</w:t>
        </w:r>
        <w:bookmarkEnd w:id="53"/>
        <w:bookmarkEnd w:id="54"/>
      </w:hyperlink>
    </w:p>
    <w:p w:rsidR="00D42214" w:rsidRPr="004761E0" w:rsidRDefault="00D42214" w:rsidP="00D42214">
      <w:pPr>
        <w:ind w:firstLine="567"/>
      </w:pPr>
      <w:r w:rsidRPr="004761E0">
        <w:rPr>
          <w:sz w:val="26"/>
          <w:szCs w:val="26"/>
        </w:rPr>
        <w:t>В</w:t>
      </w:r>
      <w:r w:rsidR="00D12ACE" w:rsidRPr="004761E0">
        <w:rPr>
          <w:sz w:val="26"/>
          <w:szCs w:val="26"/>
        </w:rPr>
        <w:t xml:space="preserve">заимодействие с </w:t>
      </w:r>
      <w:r w:rsidRPr="004761E0">
        <w:rPr>
          <w:sz w:val="26"/>
          <w:szCs w:val="26"/>
        </w:rPr>
        <w:t>клиентами</w:t>
      </w:r>
      <w:r w:rsidR="00D12ACE" w:rsidRPr="004761E0">
        <w:rPr>
          <w:sz w:val="26"/>
          <w:szCs w:val="26"/>
        </w:rPr>
        <w:t xml:space="preserve"> Общества осуществля</w:t>
      </w:r>
      <w:r w:rsidRPr="004761E0">
        <w:rPr>
          <w:sz w:val="26"/>
          <w:szCs w:val="26"/>
        </w:rPr>
        <w:t>ется</w:t>
      </w:r>
      <w:r w:rsidR="00D12ACE" w:rsidRPr="004761E0">
        <w:rPr>
          <w:sz w:val="26"/>
          <w:szCs w:val="26"/>
        </w:rPr>
        <w:t xml:space="preserve"> посредством очной, заочной и интерактивной формы обслуживания</w:t>
      </w:r>
      <w:r w:rsidRPr="004761E0">
        <w:t>.</w:t>
      </w:r>
    </w:p>
    <w:p w:rsidR="00576C9E" w:rsidRPr="004761E0" w:rsidRDefault="00576C9E" w:rsidP="00B20C95">
      <w:pPr>
        <w:tabs>
          <w:tab w:val="left" w:pos="426"/>
        </w:tabs>
        <w:spacing w:before="120" w:after="120"/>
        <w:ind w:firstLine="567"/>
        <w:rPr>
          <w:b/>
          <w:sz w:val="26"/>
          <w:szCs w:val="26"/>
        </w:rPr>
      </w:pPr>
      <w:r w:rsidRPr="004761E0">
        <w:rPr>
          <w:b/>
          <w:sz w:val="26"/>
          <w:szCs w:val="26"/>
        </w:rPr>
        <w:t>Статистика обращений клиентов</w:t>
      </w:r>
    </w:p>
    <w:tbl>
      <w:tblPr>
        <w:tblStyle w:val="16"/>
        <w:tblW w:w="10348" w:type="dxa"/>
        <w:tblInd w:w="108" w:type="dxa"/>
        <w:tblLook w:val="04A0"/>
      </w:tblPr>
      <w:tblGrid>
        <w:gridCol w:w="565"/>
        <w:gridCol w:w="5247"/>
        <w:gridCol w:w="1134"/>
        <w:gridCol w:w="992"/>
        <w:gridCol w:w="1055"/>
        <w:gridCol w:w="1355"/>
      </w:tblGrid>
      <w:tr w:rsidR="00576C9E" w:rsidRPr="004761E0" w:rsidTr="00E300DF">
        <w:trPr>
          <w:cantSplit/>
          <w:trHeight w:val="373"/>
        </w:trPr>
        <w:tc>
          <w:tcPr>
            <w:tcW w:w="565" w:type="dxa"/>
            <w:tcBorders>
              <w:right w:val="single" w:sz="4" w:space="0" w:color="FFFFFF" w:themeColor="background1"/>
            </w:tcBorders>
            <w:shd w:val="clear" w:color="auto" w:fill="0F243E" w:themeFill="text2" w:themeFillShade="80"/>
            <w:vAlign w:val="center"/>
            <w:hideMark/>
          </w:tcPr>
          <w:p w:rsidR="00576C9E" w:rsidRPr="004761E0" w:rsidRDefault="00576C9E" w:rsidP="00E879E3">
            <w:pPr>
              <w:ind w:firstLine="0"/>
              <w:jc w:val="left"/>
              <w:rPr>
                <w:rFonts w:eastAsia="Times New Roman"/>
                <w:color w:val="000000"/>
                <w:sz w:val="20"/>
                <w:szCs w:val="20"/>
                <w:lang w:eastAsia="ru-RU"/>
              </w:rPr>
            </w:pPr>
            <w:r w:rsidRPr="004761E0">
              <w:rPr>
                <w:rFonts w:eastAsia="Times New Roman"/>
                <w:b/>
                <w:color w:val="FFFFFF" w:themeColor="background1"/>
                <w:sz w:val="20"/>
                <w:szCs w:val="20"/>
                <w:lang w:eastAsia="ru-RU"/>
              </w:rPr>
              <w:t>№ п/п</w:t>
            </w:r>
          </w:p>
        </w:tc>
        <w:tc>
          <w:tcPr>
            <w:tcW w:w="5247" w:type="dxa"/>
            <w:tcBorders>
              <w:left w:val="single" w:sz="4" w:space="0" w:color="FFFFFF" w:themeColor="background1"/>
              <w:right w:val="single" w:sz="4" w:space="0" w:color="FFFFFF" w:themeColor="background1"/>
            </w:tcBorders>
            <w:shd w:val="clear" w:color="auto" w:fill="0F243E" w:themeFill="text2" w:themeFillShade="80"/>
            <w:vAlign w:val="center"/>
            <w:hideMark/>
          </w:tcPr>
          <w:p w:rsidR="00576C9E" w:rsidRPr="004761E0" w:rsidRDefault="00576C9E" w:rsidP="00E879E3">
            <w:pPr>
              <w:ind w:firstLine="0"/>
              <w:jc w:val="left"/>
              <w:rPr>
                <w:rFonts w:eastAsia="Times New Roman"/>
                <w:color w:val="000000"/>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left w:val="single" w:sz="4" w:space="0" w:color="FFFFFF" w:themeColor="background1"/>
              <w:right w:val="single" w:sz="4" w:space="0" w:color="FFFFFF" w:themeColor="background1"/>
            </w:tcBorders>
            <w:shd w:val="clear" w:color="auto" w:fill="0F243E" w:themeFill="text2" w:themeFillShade="80"/>
            <w:noWrap/>
            <w:vAlign w:val="center"/>
            <w:hideMark/>
          </w:tcPr>
          <w:p w:rsidR="00576C9E" w:rsidRPr="004761E0" w:rsidRDefault="00576C9E" w:rsidP="00E879E3">
            <w:pPr>
              <w:ind w:firstLine="0"/>
              <w:jc w:val="right"/>
              <w:rPr>
                <w:rFonts w:eastAsia="Times New Roman"/>
                <w:color w:val="000000"/>
                <w:sz w:val="20"/>
                <w:szCs w:val="20"/>
                <w:lang w:eastAsia="ru-RU"/>
              </w:rPr>
            </w:pPr>
            <w:r w:rsidRPr="004761E0">
              <w:rPr>
                <w:rFonts w:eastAsia="Times New Roman"/>
                <w:b/>
                <w:color w:val="FFFFFF" w:themeColor="background1"/>
                <w:sz w:val="20"/>
                <w:szCs w:val="20"/>
                <w:lang w:eastAsia="ru-RU"/>
              </w:rPr>
              <w:t>2011</w:t>
            </w:r>
          </w:p>
        </w:tc>
        <w:tc>
          <w:tcPr>
            <w:tcW w:w="992" w:type="dxa"/>
            <w:tcBorders>
              <w:left w:val="single" w:sz="4" w:space="0" w:color="FFFFFF" w:themeColor="background1"/>
              <w:right w:val="single" w:sz="4" w:space="0" w:color="FFFFFF" w:themeColor="background1"/>
            </w:tcBorders>
            <w:shd w:val="clear" w:color="auto" w:fill="0F243E" w:themeFill="text2" w:themeFillShade="80"/>
            <w:noWrap/>
            <w:vAlign w:val="center"/>
            <w:hideMark/>
          </w:tcPr>
          <w:p w:rsidR="00576C9E" w:rsidRPr="004761E0" w:rsidRDefault="00576C9E" w:rsidP="00E879E3">
            <w:pPr>
              <w:ind w:firstLine="0"/>
              <w:jc w:val="right"/>
              <w:rPr>
                <w:rFonts w:eastAsia="Times New Roman"/>
                <w:color w:val="000000"/>
                <w:sz w:val="20"/>
                <w:szCs w:val="20"/>
                <w:lang w:eastAsia="ru-RU"/>
              </w:rPr>
            </w:pPr>
            <w:r w:rsidRPr="004761E0">
              <w:rPr>
                <w:rFonts w:eastAsia="Times New Roman"/>
                <w:b/>
                <w:color w:val="FFFFFF" w:themeColor="background1"/>
                <w:sz w:val="20"/>
                <w:szCs w:val="20"/>
                <w:lang w:eastAsia="ru-RU"/>
              </w:rPr>
              <w:t>2012</w:t>
            </w:r>
          </w:p>
        </w:tc>
        <w:tc>
          <w:tcPr>
            <w:tcW w:w="1055" w:type="dxa"/>
            <w:tcBorders>
              <w:left w:val="single" w:sz="4" w:space="0" w:color="FFFFFF" w:themeColor="background1"/>
              <w:right w:val="single" w:sz="4" w:space="0" w:color="FFFFFF" w:themeColor="background1"/>
            </w:tcBorders>
            <w:shd w:val="clear" w:color="auto" w:fill="0F243E" w:themeFill="text2" w:themeFillShade="80"/>
            <w:noWrap/>
            <w:vAlign w:val="center"/>
            <w:hideMark/>
          </w:tcPr>
          <w:p w:rsidR="00576C9E" w:rsidRPr="004761E0" w:rsidRDefault="00576C9E" w:rsidP="00E879E3">
            <w:pPr>
              <w:ind w:firstLine="0"/>
              <w:jc w:val="right"/>
              <w:rPr>
                <w:rFonts w:eastAsia="Times New Roman"/>
                <w:color w:val="000000"/>
                <w:sz w:val="20"/>
                <w:szCs w:val="20"/>
                <w:lang w:eastAsia="ru-RU"/>
              </w:rPr>
            </w:pPr>
            <w:r w:rsidRPr="004761E0">
              <w:rPr>
                <w:rFonts w:eastAsia="Times New Roman"/>
                <w:b/>
                <w:color w:val="FFFFFF" w:themeColor="background1"/>
                <w:sz w:val="20"/>
                <w:szCs w:val="20"/>
                <w:lang w:eastAsia="ru-RU"/>
              </w:rPr>
              <w:t>2013</w:t>
            </w:r>
          </w:p>
        </w:tc>
        <w:tc>
          <w:tcPr>
            <w:tcW w:w="1355" w:type="dxa"/>
            <w:tcBorders>
              <w:left w:val="single" w:sz="4" w:space="0" w:color="FFFFFF" w:themeColor="background1"/>
            </w:tcBorders>
            <w:shd w:val="clear" w:color="auto" w:fill="0F243E" w:themeFill="text2" w:themeFillShade="80"/>
            <w:noWrap/>
            <w:vAlign w:val="center"/>
            <w:hideMark/>
          </w:tcPr>
          <w:p w:rsidR="00576C9E" w:rsidRPr="004761E0" w:rsidRDefault="00576C9E" w:rsidP="00E879E3">
            <w:pPr>
              <w:ind w:firstLine="0"/>
              <w:jc w:val="right"/>
              <w:rPr>
                <w:rFonts w:eastAsia="Times New Roman"/>
                <w:color w:val="000000"/>
                <w:sz w:val="20"/>
                <w:szCs w:val="20"/>
                <w:lang w:eastAsia="ru-RU"/>
              </w:rPr>
            </w:pPr>
            <w:r w:rsidRPr="004761E0">
              <w:rPr>
                <w:rFonts w:eastAsia="Times New Roman"/>
                <w:b/>
                <w:color w:val="FFFFFF" w:themeColor="background1"/>
                <w:sz w:val="20"/>
                <w:szCs w:val="20"/>
                <w:lang w:eastAsia="ru-RU"/>
              </w:rPr>
              <w:t>2013/2012</w:t>
            </w:r>
          </w:p>
        </w:tc>
      </w:tr>
      <w:tr w:rsidR="00576C9E" w:rsidRPr="004761E0" w:rsidTr="00C450CE">
        <w:trPr>
          <w:cantSplit/>
        </w:trPr>
        <w:tc>
          <w:tcPr>
            <w:tcW w:w="565" w:type="dxa"/>
            <w:vAlign w:val="center"/>
            <w:hideMark/>
          </w:tcPr>
          <w:p w:rsidR="00576C9E" w:rsidRPr="004761E0" w:rsidRDefault="00576C9E" w:rsidP="007076A7">
            <w:pPr>
              <w:pStyle w:val="a5"/>
              <w:numPr>
                <w:ilvl w:val="0"/>
                <w:numId w:val="112"/>
              </w:numPr>
              <w:jc w:val="left"/>
              <w:rPr>
                <w:rFonts w:eastAsia="Times New Roman"/>
                <w:b/>
                <w:bCs/>
                <w:sz w:val="20"/>
                <w:szCs w:val="20"/>
                <w:lang w:eastAsia="ru-RU"/>
              </w:rPr>
            </w:pPr>
          </w:p>
        </w:tc>
        <w:tc>
          <w:tcPr>
            <w:tcW w:w="5247" w:type="dxa"/>
            <w:vAlign w:val="center"/>
            <w:hideMark/>
          </w:tcPr>
          <w:p w:rsidR="00576C9E" w:rsidRPr="004761E0" w:rsidRDefault="00576C9E" w:rsidP="00E879E3">
            <w:pPr>
              <w:ind w:firstLine="0"/>
              <w:jc w:val="left"/>
              <w:rPr>
                <w:rFonts w:eastAsia="Times New Roman"/>
                <w:b/>
                <w:bCs/>
                <w:color w:val="000000"/>
                <w:sz w:val="20"/>
                <w:szCs w:val="20"/>
                <w:lang w:eastAsia="ru-RU"/>
              </w:rPr>
            </w:pPr>
            <w:r w:rsidRPr="004761E0">
              <w:rPr>
                <w:rFonts w:eastAsia="Times New Roman"/>
                <w:color w:val="000000"/>
                <w:sz w:val="20"/>
                <w:szCs w:val="20"/>
                <w:lang w:eastAsia="ru-RU"/>
              </w:rPr>
              <w:t>Среднее время, затрачиваемое на заявку, мин.</w:t>
            </w:r>
          </w:p>
        </w:tc>
        <w:tc>
          <w:tcPr>
            <w:tcW w:w="1134" w:type="dxa"/>
            <w:shd w:val="clear" w:color="auto" w:fill="auto"/>
            <w:noWrap/>
            <w:vAlign w:val="center"/>
            <w:hideMark/>
          </w:tcPr>
          <w:p w:rsidR="00576C9E" w:rsidRPr="004761E0" w:rsidRDefault="00E879E3" w:rsidP="00E879E3">
            <w:pPr>
              <w:ind w:firstLine="0"/>
              <w:jc w:val="right"/>
              <w:rPr>
                <w:rFonts w:eastAsia="Times New Roman"/>
                <w:color w:val="000000"/>
                <w:sz w:val="20"/>
                <w:szCs w:val="20"/>
                <w:lang w:eastAsia="ru-RU"/>
              </w:rPr>
            </w:pPr>
            <w:r w:rsidRPr="004761E0">
              <w:rPr>
                <w:rFonts w:eastAsia="Times New Roman"/>
                <w:color w:val="000000"/>
                <w:sz w:val="20"/>
                <w:szCs w:val="20"/>
                <w:lang w:eastAsia="ru-RU"/>
              </w:rPr>
              <w:t>45</w:t>
            </w:r>
          </w:p>
        </w:tc>
        <w:tc>
          <w:tcPr>
            <w:tcW w:w="992" w:type="dxa"/>
            <w:noWrap/>
            <w:vAlign w:val="center"/>
            <w:hideMark/>
          </w:tcPr>
          <w:p w:rsidR="00576C9E" w:rsidRPr="004761E0" w:rsidRDefault="00576C9E" w:rsidP="00E879E3">
            <w:pPr>
              <w:ind w:firstLine="0"/>
              <w:jc w:val="right"/>
              <w:rPr>
                <w:rFonts w:eastAsia="Times New Roman"/>
                <w:b/>
                <w:color w:val="000000"/>
                <w:sz w:val="20"/>
                <w:szCs w:val="20"/>
                <w:lang w:eastAsia="ru-RU"/>
              </w:rPr>
            </w:pPr>
            <w:r w:rsidRPr="004761E0">
              <w:rPr>
                <w:rFonts w:eastAsia="Times New Roman"/>
                <w:color w:val="000000"/>
                <w:sz w:val="20"/>
                <w:szCs w:val="20"/>
                <w:lang w:eastAsia="ru-RU"/>
              </w:rPr>
              <w:t>30</w:t>
            </w:r>
          </w:p>
        </w:tc>
        <w:tc>
          <w:tcPr>
            <w:tcW w:w="1055" w:type="dxa"/>
            <w:noWrap/>
            <w:vAlign w:val="center"/>
            <w:hideMark/>
          </w:tcPr>
          <w:p w:rsidR="00576C9E" w:rsidRPr="004761E0" w:rsidRDefault="00576C9E" w:rsidP="00E879E3">
            <w:pPr>
              <w:ind w:firstLine="0"/>
              <w:jc w:val="right"/>
              <w:rPr>
                <w:rFonts w:eastAsia="Times New Roman"/>
                <w:b/>
                <w:color w:val="000000"/>
                <w:sz w:val="20"/>
                <w:szCs w:val="20"/>
                <w:lang w:eastAsia="ru-RU"/>
              </w:rPr>
            </w:pPr>
            <w:r w:rsidRPr="004761E0">
              <w:rPr>
                <w:rFonts w:eastAsia="Times New Roman"/>
                <w:color w:val="000000"/>
                <w:sz w:val="20"/>
                <w:szCs w:val="20"/>
                <w:lang w:eastAsia="ru-RU"/>
              </w:rPr>
              <w:t>20</w:t>
            </w:r>
          </w:p>
        </w:tc>
        <w:tc>
          <w:tcPr>
            <w:tcW w:w="1355" w:type="dxa"/>
            <w:noWrap/>
            <w:vAlign w:val="center"/>
            <w:hideMark/>
          </w:tcPr>
          <w:p w:rsidR="00576C9E" w:rsidRPr="004761E0" w:rsidRDefault="00576C9E" w:rsidP="00E879E3">
            <w:pPr>
              <w:ind w:firstLine="0"/>
              <w:jc w:val="right"/>
              <w:rPr>
                <w:rFonts w:eastAsia="Times New Roman"/>
                <w:b/>
                <w:color w:val="000000"/>
                <w:sz w:val="20"/>
                <w:szCs w:val="20"/>
                <w:lang w:eastAsia="ru-RU"/>
              </w:rPr>
            </w:pPr>
            <w:r w:rsidRPr="004761E0">
              <w:rPr>
                <w:rFonts w:eastAsia="Times New Roman"/>
                <w:color w:val="000000"/>
                <w:sz w:val="20"/>
                <w:szCs w:val="20"/>
                <w:lang w:eastAsia="ru-RU"/>
              </w:rPr>
              <w:t>-33,33</w:t>
            </w:r>
            <w:r w:rsidRPr="004761E0">
              <w:rPr>
                <w:rFonts w:eastAsia="Times New Roman"/>
                <w:color w:val="000000"/>
                <w:sz w:val="20"/>
                <w:szCs w:val="20"/>
                <w:lang w:val="en-US" w:eastAsia="ru-RU"/>
              </w:rPr>
              <w:t xml:space="preserve"> </w:t>
            </w:r>
            <w:r w:rsidRPr="004761E0">
              <w:rPr>
                <w:rFonts w:eastAsia="Times New Roman"/>
                <w:color w:val="000000"/>
                <w:sz w:val="20"/>
                <w:szCs w:val="20"/>
                <w:lang w:eastAsia="ru-RU"/>
              </w:rPr>
              <w:t>%</w:t>
            </w:r>
          </w:p>
        </w:tc>
      </w:tr>
      <w:tr w:rsidR="00576C9E" w:rsidRPr="004761E0" w:rsidTr="00E879E3">
        <w:trPr>
          <w:cantSplit/>
        </w:trPr>
        <w:tc>
          <w:tcPr>
            <w:tcW w:w="565" w:type="dxa"/>
            <w:vAlign w:val="center"/>
            <w:hideMark/>
          </w:tcPr>
          <w:p w:rsidR="00576C9E" w:rsidRPr="004761E0" w:rsidRDefault="00576C9E" w:rsidP="007076A7">
            <w:pPr>
              <w:pStyle w:val="a5"/>
              <w:numPr>
                <w:ilvl w:val="0"/>
                <w:numId w:val="112"/>
              </w:numPr>
              <w:jc w:val="left"/>
              <w:rPr>
                <w:rFonts w:eastAsia="Times New Roman"/>
                <w:b/>
                <w:bCs/>
                <w:sz w:val="20"/>
                <w:szCs w:val="20"/>
                <w:lang w:eastAsia="ru-RU"/>
              </w:rPr>
            </w:pPr>
          </w:p>
        </w:tc>
        <w:tc>
          <w:tcPr>
            <w:tcW w:w="5247" w:type="dxa"/>
            <w:vAlign w:val="center"/>
            <w:hideMark/>
          </w:tcPr>
          <w:p w:rsidR="00576C9E" w:rsidRPr="004761E0" w:rsidRDefault="00576C9E" w:rsidP="00E879E3">
            <w:pPr>
              <w:ind w:firstLine="0"/>
              <w:jc w:val="left"/>
              <w:rPr>
                <w:rFonts w:eastAsia="Times New Roman"/>
                <w:color w:val="000000"/>
                <w:sz w:val="20"/>
                <w:szCs w:val="20"/>
                <w:lang w:eastAsia="ru-RU"/>
              </w:rPr>
            </w:pPr>
            <w:r w:rsidRPr="004761E0">
              <w:rPr>
                <w:rFonts w:eastAsia="Times New Roman"/>
                <w:color w:val="000000"/>
                <w:sz w:val="20"/>
                <w:szCs w:val="20"/>
                <w:lang w:eastAsia="ru-RU"/>
              </w:rPr>
              <w:t>Количество обращений клиентов по каналам коммуникаций, шт. (всего), в т.ч.:</w:t>
            </w:r>
          </w:p>
        </w:tc>
        <w:tc>
          <w:tcPr>
            <w:tcW w:w="1134" w:type="dxa"/>
            <w:noWrap/>
            <w:vAlign w:val="center"/>
            <w:hideMark/>
          </w:tcPr>
          <w:p w:rsidR="00576C9E" w:rsidRPr="004761E0" w:rsidRDefault="00576C9E" w:rsidP="00E879E3">
            <w:pPr>
              <w:ind w:firstLine="0"/>
              <w:jc w:val="right"/>
              <w:rPr>
                <w:rFonts w:eastAsia="Times New Roman"/>
                <w:b/>
                <w:color w:val="000000"/>
                <w:sz w:val="20"/>
                <w:szCs w:val="20"/>
                <w:lang w:eastAsia="ru-RU"/>
              </w:rPr>
            </w:pPr>
            <w:r w:rsidRPr="004761E0">
              <w:rPr>
                <w:rFonts w:eastAsia="Times New Roman"/>
                <w:color w:val="000000"/>
                <w:sz w:val="20"/>
                <w:szCs w:val="20"/>
                <w:lang w:eastAsia="ru-RU"/>
              </w:rPr>
              <w:t>253 455</w:t>
            </w:r>
          </w:p>
        </w:tc>
        <w:tc>
          <w:tcPr>
            <w:tcW w:w="992" w:type="dxa"/>
            <w:noWrap/>
            <w:vAlign w:val="center"/>
            <w:hideMark/>
          </w:tcPr>
          <w:p w:rsidR="00576C9E" w:rsidRPr="004761E0" w:rsidRDefault="00576C9E" w:rsidP="00E879E3">
            <w:pPr>
              <w:ind w:firstLine="0"/>
              <w:jc w:val="right"/>
              <w:rPr>
                <w:rFonts w:eastAsia="Times New Roman"/>
                <w:b/>
                <w:color w:val="000000"/>
                <w:sz w:val="20"/>
                <w:szCs w:val="20"/>
                <w:lang w:eastAsia="ru-RU"/>
              </w:rPr>
            </w:pPr>
            <w:r w:rsidRPr="004761E0">
              <w:rPr>
                <w:rFonts w:eastAsia="Times New Roman"/>
                <w:color w:val="000000"/>
                <w:sz w:val="20"/>
                <w:szCs w:val="20"/>
                <w:lang w:eastAsia="ru-RU"/>
              </w:rPr>
              <w:t>487 459</w:t>
            </w:r>
          </w:p>
        </w:tc>
        <w:tc>
          <w:tcPr>
            <w:tcW w:w="1055" w:type="dxa"/>
            <w:noWrap/>
            <w:vAlign w:val="center"/>
            <w:hideMark/>
          </w:tcPr>
          <w:p w:rsidR="00576C9E" w:rsidRPr="004761E0" w:rsidRDefault="00576C9E" w:rsidP="00E879E3">
            <w:pPr>
              <w:ind w:firstLine="0"/>
              <w:jc w:val="right"/>
              <w:rPr>
                <w:rFonts w:eastAsia="Times New Roman"/>
                <w:b/>
                <w:color w:val="000000"/>
                <w:sz w:val="20"/>
                <w:szCs w:val="20"/>
                <w:lang w:eastAsia="ru-RU"/>
              </w:rPr>
            </w:pPr>
            <w:r w:rsidRPr="004761E0">
              <w:rPr>
                <w:rFonts w:eastAsia="Times New Roman"/>
                <w:color w:val="000000"/>
                <w:sz w:val="20"/>
                <w:szCs w:val="20"/>
                <w:lang w:eastAsia="ru-RU"/>
              </w:rPr>
              <w:t>577 815</w:t>
            </w:r>
          </w:p>
        </w:tc>
        <w:tc>
          <w:tcPr>
            <w:tcW w:w="1355" w:type="dxa"/>
            <w:noWrap/>
            <w:vAlign w:val="center"/>
            <w:hideMark/>
          </w:tcPr>
          <w:p w:rsidR="00576C9E" w:rsidRPr="004761E0" w:rsidRDefault="00576C9E" w:rsidP="00E879E3">
            <w:pPr>
              <w:ind w:firstLine="0"/>
              <w:jc w:val="right"/>
              <w:rPr>
                <w:rFonts w:eastAsia="Times New Roman"/>
                <w:b/>
                <w:color w:val="000000"/>
                <w:sz w:val="20"/>
                <w:szCs w:val="20"/>
                <w:lang w:eastAsia="ru-RU"/>
              </w:rPr>
            </w:pPr>
            <w:r w:rsidRPr="004761E0">
              <w:rPr>
                <w:rFonts w:eastAsia="Times New Roman"/>
                <w:color w:val="000000"/>
                <w:sz w:val="20"/>
                <w:szCs w:val="20"/>
                <w:lang w:eastAsia="ru-RU"/>
              </w:rPr>
              <w:t>18,54</w:t>
            </w:r>
            <w:r w:rsidRPr="004761E0">
              <w:rPr>
                <w:rFonts w:eastAsia="Times New Roman"/>
                <w:color w:val="000000"/>
                <w:sz w:val="20"/>
                <w:szCs w:val="20"/>
                <w:lang w:val="en-US" w:eastAsia="ru-RU"/>
              </w:rPr>
              <w:t xml:space="preserve"> </w:t>
            </w:r>
            <w:r w:rsidRPr="004761E0">
              <w:rPr>
                <w:rFonts w:eastAsia="Times New Roman"/>
                <w:color w:val="000000"/>
                <w:sz w:val="20"/>
                <w:szCs w:val="20"/>
                <w:lang w:eastAsia="ru-RU"/>
              </w:rPr>
              <w:t>%</w:t>
            </w:r>
          </w:p>
        </w:tc>
      </w:tr>
      <w:tr w:rsidR="00576C9E" w:rsidRPr="004761E0" w:rsidTr="00E879E3">
        <w:trPr>
          <w:cantSplit/>
        </w:trPr>
        <w:tc>
          <w:tcPr>
            <w:tcW w:w="565" w:type="dxa"/>
            <w:vAlign w:val="center"/>
            <w:hideMark/>
          </w:tcPr>
          <w:p w:rsidR="00576C9E" w:rsidRPr="004761E0" w:rsidRDefault="00576C9E" w:rsidP="007076A7">
            <w:pPr>
              <w:pStyle w:val="a5"/>
              <w:numPr>
                <w:ilvl w:val="1"/>
                <w:numId w:val="112"/>
              </w:numPr>
              <w:jc w:val="left"/>
              <w:rPr>
                <w:rFonts w:eastAsia="Times New Roman"/>
                <w:b/>
                <w:bCs/>
                <w:sz w:val="20"/>
                <w:szCs w:val="20"/>
                <w:lang w:eastAsia="ru-RU"/>
              </w:rPr>
            </w:pPr>
          </w:p>
        </w:tc>
        <w:tc>
          <w:tcPr>
            <w:tcW w:w="5247" w:type="dxa"/>
            <w:vAlign w:val="center"/>
            <w:hideMark/>
          </w:tcPr>
          <w:p w:rsidR="00576C9E" w:rsidRPr="004761E0" w:rsidRDefault="00576C9E" w:rsidP="00E879E3">
            <w:pPr>
              <w:ind w:firstLineChars="200" w:firstLine="400"/>
              <w:jc w:val="left"/>
              <w:rPr>
                <w:color w:val="000000"/>
                <w:sz w:val="20"/>
                <w:szCs w:val="20"/>
              </w:rPr>
            </w:pPr>
            <w:r w:rsidRPr="004761E0">
              <w:rPr>
                <w:rFonts w:eastAsia="Times New Roman"/>
                <w:color w:val="000000"/>
                <w:sz w:val="20"/>
                <w:szCs w:val="20"/>
                <w:lang w:eastAsia="ru-RU"/>
              </w:rPr>
              <w:t>очные обращения</w:t>
            </w:r>
          </w:p>
        </w:tc>
        <w:tc>
          <w:tcPr>
            <w:tcW w:w="1134" w:type="dxa"/>
            <w:noWrap/>
            <w:vAlign w:val="center"/>
            <w:hideMark/>
          </w:tcPr>
          <w:p w:rsidR="00576C9E" w:rsidRPr="004761E0" w:rsidRDefault="00576C9E" w:rsidP="00E879E3">
            <w:pPr>
              <w:ind w:firstLine="0"/>
              <w:jc w:val="right"/>
              <w:rPr>
                <w:rFonts w:eastAsia="Times New Roman"/>
                <w:color w:val="000000"/>
                <w:sz w:val="20"/>
                <w:szCs w:val="20"/>
                <w:lang w:eastAsia="ru-RU"/>
              </w:rPr>
            </w:pPr>
            <w:r w:rsidRPr="004761E0">
              <w:rPr>
                <w:rFonts w:eastAsia="Times New Roman"/>
                <w:color w:val="000000"/>
                <w:sz w:val="20"/>
                <w:szCs w:val="20"/>
                <w:lang w:eastAsia="ru-RU"/>
              </w:rPr>
              <w:t>106 224</w:t>
            </w:r>
          </w:p>
        </w:tc>
        <w:tc>
          <w:tcPr>
            <w:tcW w:w="992" w:type="dxa"/>
            <w:noWrap/>
            <w:vAlign w:val="center"/>
            <w:hideMark/>
          </w:tcPr>
          <w:p w:rsidR="00576C9E" w:rsidRPr="004761E0" w:rsidRDefault="00576C9E" w:rsidP="00E879E3">
            <w:pPr>
              <w:ind w:firstLine="0"/>
              <w:jc w:val="right"/>
              <w:rPr>
                <w:rFonts w:eastAsia="Times New Roman"/>
                <w:color w:val="000000"/>
                <w:sz w:val="20"/>
                <w:szCs w:val="20"/>
                <w:lang w:eastAsia="ru-RU"/>
              </w:rPr>
            </w:pPr>
            <w:r w:rsidRPr="004761E0">
              <w:rPr>
                <w:rFonts w:eastAsia="Times New Roman"/>
                <w:color w:val="000000"/>
                <w:sz w:val="20"/>
                <w:szCs w:val="20"/>
                <w:lang w:eastAsia="ru-RU"/>
              </w:rPr>
              <w:t>272 172</w:t>
            </w:r>
          </w:p>
        </w:tc>
        <w:tc>
          <w:tcPr>
            <w:tcW w:w="1055" w:type="dxa"/>
            <w:noWrap/>
            <w:vAlign w:val="center"/>
            <w:hideMark/>
          </w:tcPr>
          <w:p w:rsidR="00576C9E" w:rsidRPr="004761E0" w:rsidRDefault="00576C9E" w:rsidP="00E879E3">
            <w:pPr>
              <w:ind w:firstLine="0"/>
              <w:jc w:val="right"/>
              <w:rPr>
                <w:rFonts w:eastAsia="Times New Roman"/>
                <w:color w:val="000000"/>
                <w:sz w:val="20"/>
                <w:szCs w:val="20"/>
                <w:lang w:eastAsia="ru-RU"/>
              </w:rPr>
            </w:pPr>
            <w:r w:rsidRPr="004761E0">
              <w:rPr>
                <w:rFonts w:eastAsia="Times New Roman"/>
                <w:color w:val="000000"/>
                <w:sz w:val="20"/>
                <w:szCs w:val="20"/>
                <w:lang w:eastAsia="ru-RU"/>
              </w:rPr>
              <w:t>224 298</w:t>
            </w:r>
          </w:p>
        </w:tc>
        <w:tc>
          <w:tcPr>
            <w:tcW w:w="1355" w:type="dxa"/>
            <w:noWrap/>
            <w:vAlign w:val="center"/>
            <w:hideMark/>
          </w:tcPr>
          <w:p w:rsidR="00576C9E" w:rsidRPr="004761E0" w:rsidRDefault="00576C9E" w:rsidP="00E879E3">
            <w:pPr>
              <w:ind w:firstLine="0"/>
              <w:jc w:val="right"/>
              <w:rPr>
                <w:rFonts w:eastAsia="Times New Roman"/>
                <w:color w:val="000000"/>
                <w:sz w:val="20"/>
                <w:szCs w:val="20"/>
                <w:lang w:val="en-US" w:eastAsia="ru-RU"/>
              </w:rPr>
            </w:pPr>
            <w:r w:rsidRPr="004761E0">
              <w:rPr>
                <w:rFonts w:eastAsia="Times New Roman"/>
                <w:color w:val="000000"/>
                <w:sz w:val="20"/>
                <w:szCs w:val="20"/>
                <w:lang w:eastAsia="ru-RU"/>
              </w:rPr>
              <w:t>-17,59</w:t>
            </w:r>
            <w:r w:rsidRPr="004761E0">
              <w:rPr>
                <w:rFonts w:eastAsia="Times New Roman"/>
                <w:color w:val="000000"/>
                <w:sz w:val="20"/>
                <w:szCs w:val="20"/>
                <w:lang w:val="en-US" w:eastAsia="ru-RU"/>
              </w:rPr>
              <w:t xml:space="preserve"> </w:t>
            </w:r>
            <w:r w:rsidRPr="004761E0">
              <w:rPr>
                <w:rFonts w:eastAsia="Times New Roman"/>
                <w:color w:val="000000"/>
                <w:sz w:val="20"/>
                <w:szCs w:val="20"/>
                <w:lang w:eastAsia="ru-RU"/>
              </w:rPr>
              <w:t>%</w:t>
            </w:r>
          </w:p>
        </w:tc>
      </w:tr>
      <w:tr w:rsidR="00576C9E" w:rsidRPr="004761E0" w:rsidTr="00E879E3">
        <w:trPr>
          <w:cantSplit/>
        </w:trPr>
        <w:tc>
          <w:tcPr>
            <w:tcW w:w="565" w:type="dxa"/>
            <w:vAlign w:val="center"/>
            <w:hideMark/>
          </w:tcPr>
          <w:p w:rsidR="00576C9E" w:rsidRPr="004761E0" w:rsidRDefault="00576C9E" w:rsidP="007076A7">
            <w:pPr>
              <w:pStyle w:val="a5"/>
              <w:numPr>
                <w:ilvl w:val="1"/>
                <w:numId w:val="112"/>
              </w:numPr>
              <w:jc w:val="left"/>
              <w:rPr>
                <w:rFonts w:eastAsia="Times New Roman"/>
                <w:b/>
                <w:bCs/>
                <w:sz w:val="20"/>
                <w:szCs w:val="20"/>
                <w:lang w:eastAsia="ru-RU"/>
              </w:rPr>
            </w:pPr>
          </w:p>
        </w:tc>
        <w:tc>
          <w:tcPr>
            <w:tcW w:w="5247" w:type="dxa"/>
            <w:vAlign w:val="center"/>
            <w:hideMark/>
          </w:tcPr>
          <w:p w:rsidR="00576C9E" w:rsidRPr="004761E0" w:rsidRDefault="00576C9E" w:rsidP="00E879E3">
            <w:pPr>
              <w:ind w:firstLineChars="200" w:firstLine="400"/>
              <w:jc w:val="left"/>
              <w:rPr>
                <w:color w:val="000000"/>
                <w:sz w:val="20"/>
                <w:szCs w:val="20"/>
              </w:rPr>
            </w:pPr>
            <w:r w:rsidRPr="004761E0">
              <w:rPr>
                <w:rFonts w:eastAsia="Times New Roman"/>
                <w:color w:val="000000"/>
                <w:sz w:val="20"/>
                <w:szCs w:val="20"/>
                <w:lang w:eastAsia="ru-RU"/>
              </w:rPr>
              <w:t>заочные обращения через call-центр</w:t>
            </w:r>
          </w:p>
        </w:tc>
        <w:tc>
          <w:tcPr>
            <w:tcW w:w="1134" w:type="dxa"/>
            <w:noWrap/>
            <w:vAlign w:val="center"/>
            <w:hideMark/>
          </w:tcPr>
          <w:p w:rsidR="00576C9E" w:rsidRPr="004761E0" w:rsidRDefault="00576C9E" w:rsidP="00E879E3">
            <w:pPr>
              <w:ind w:firstLine="0"/>
              <w:jc w:val="right"/>
              <w:rPr>
                <w:rFonts w:eastAsia="Times New Roman"/>
                <w:color w:val="000000"/>
                <w:sz w:val="20"/>
                <w:szCs w:val="20"/>
                <w:lang w:eastAsia="ru-RU"/>
              </w:rPr>
            </w:pPr>
            <w:r w:rsidRPr="004761E0">
              <w:rPr>
                <w:rFonts w:eastAsia="Times New Roman"/>
                <w:color w:val="000000"/>
                <w:sz w:val="20"/>
                <w:szCs w:val="20"/>
                <w:lang w:eastAsia="ru-RU"/>
              </w:rPr>
              <w:t>132 939</w:t>
            </w:r>
          </w:p>
        </w:tc>
        <w:tc>
          <w:tcPr>
            <w:tcW w:w="992" w:type="dxa"/>
            <w:noWrap/>
            <w:vAlign w:val="center"/>
            <w:hideMark/>
          </w:tcPr>
          <w:p w:rsidR="00576C9E" w:rsidRPr="004761E0" w:rsidRDefault="00576C9E" w:rsidP="00E879E3">
            <w:pPr>
              <w:ind w:firstLine="0"/>
              <w:jc w:val="right"/>
              <w:rPr>
                <w:rFonts w:eastAsia="Times New Roman"/>
                <w:color w:val="000000"/>
                <w:sz w:val="20"/>
                <w:szCs w:val="20"/>
                <w:lang w:eastAsia="ru-RU"/>
              </w:rPr>
            </w:pPr>
            <w:r w:rsidRPr="004761E0">
              <w:rPr>
                <w:rFonts w:eastAsia="Times New Roman"/>
                <w:color w:val="000000"/>
                <w:sz w:val="20"/>
                <w:szCs w:val="20"/>
                <w:lang w:eastAsia="ru-RU"/>
              </w:rPr>
              <w:t>189 174</w:t>
            </w:r>
          </w:p>
        </w:tc>
        <w:tc>
          <w:tcPr>
            <w:tcW w:w="1055" w:type="dxa"/>
            <w:noWrap/>
            <w:vAlign w:val="center"/>
            <w:hideMark/>
          </w:tcPr>
          <w:p w:rsidR="00576C9E" w:rsidRPr="004761E0" w:rsidRDefault="00576C9E" w:rsidP="00E879E3">
            <w:pPr>
              <w:ind w:firstLine="0"/>
              <w:jc w:val="right"/>
              <w:rPr>
                <w:rFonts w:eastAsia="Times New Roman"/>
                <w:color w:val="000000"/>
                <w:sz w:val="20"/>
                <w:szCs w:val="20"/>
                <w:lang w:eastAsia="ru-RU"/>
              </w:rPr>
            </w:pPr>
            <w:r w:rsidRPr="004761E0">
              <w:rPr>
                <w:rFonts w:eastAsia="Times New Roman"/>
                <w:color w:val="000000"/>
                <w:sz w:val="20"/>
                <w:szCs w:val="20"/>
                <w:lang w:eastAsia="ru-RU"/>
              </w:rPr>
              <w:t>304 333</w:t>
            </w:r>
          </w:p>
        </w:tc>
        <w:tc>
          <w:tcPr>
            <w:tcW w:w="1355" w:type="dxa"/>
            <w:noWrap/>
            <w:vAlign w:val="center"/>
            <w:hideMark/>
          </w:tcPr>
          <w:p w:rsidR="00576C9E" w:rsidRPr="004761E0" w:rsidRDefault="00576C9E" w:rsidP="00E879E3">
            <w:pPr>
              <w:ind w:firstLine="0"/>
              <w:jc w:val="right"/>
              <w:rPr>
                <w:rFonts w:eastAsia="Times New Roman"/>
                <w:color w:val="000000"/>
                <w:sz w:val="20"/>
                <w:szCs w:val="20"/>
                <w:lang w:eastAsia="ru-RU"/>
              </w:rPr>
            </w:pPr>
            <w:r w:rsidRPr="004761E0">
              <w:rPr>
                <w:rFonts w:eastAsia="Times New Roman"/>
                <w:color w:val="000000"/>
                <w:sz w:val="20"/>
                <w:szCs w:val="20"/>
                <w:lang w:eastAsia="ru-RU"/>
              </w:rPr>
              <w:t>60,87</w:t>
            </w:r>
            <w:r w:rsidRPr="004761E0">
              <w:rPr>
                <w:rFonts w:eastAsia="Times New Roman"/>
                <w:color w:val="000000"/>
                <w:sz w:val="20"/>
                <w:szCs w:val="20"/>
                <w:lang w:val="en-US" w:eastAsia="ru-RU"/>
              </w:rPr>
              <w:t xml:space="preserve"> </w:t>
            </w:r>
            <w:r w:rsidRPr="004761E0">
              <w:rPr>
                <w:rFonts w:eastAsia="Times New Roman"/>
                <w:color w:val="000000"/>
                <w:sz w:val="20"/>
                <w:szCs w:val="20"/>
                <w:lang w:eastAsia="ru-RU"/>
              </w:rPr>
              <w:t>%</w:t>
            </w:r>
          </w:p>
        </w:tc>
      </w:tr>
      <w:tr w:rsidR="00576C9E" w:rsidRPr="004761E0" w:rsidTr="00E879E3">
        <w:trPr>
          <w:cantSplit/>
        </w:trPr>
        <w:tc>
          <w:tcPr>
            <w:tcW w:w="565" w:type="dxa"/>
            <w:vAlign w:val="center"/>
            <w:hideMark/>
          </w:tcPr>
          <w:p w:rsidR="00576C9E" w:rsidRPr="004761E0" w:rsidRDefault="00576C9E" w:rsidP="007076A7">
            <w:pPr>
              <w:pStyle w:val="a5"/>
              <w:numPr>
                <w:ilvl w:val="1"/>
                <w:numId w:val="112"/>
              </w:numPr>
              <w:jc w:val="left"/>
              <w:rPr>
                <w:rFonts w:eastAsia="Times New Roman"/>
                <w:b/>
                <w:bCs/>
                <w:sz w:val="20"/>
                <w:szCs w:val="20"/>
                <w:lang w:eastAsia="ru-RU"/>
              </w:rPr>
            </w:pPr>
          </w:p>
        </w:tc>
        <w:tc>
          <w:tcPr>
            <w:tcW w:w="5247" w:type="dxa"/>
            <w:vAlign w:val="center"/>
            <w:hideMark/>
          </w:tcPr>
          <w:p w:rsidR="00576C9E" w:rsidRPr="004761E0" w:rsidRDefault="00576C9E" w:rsidP="00E879E3">
            <w:pPr>
              <w:ind w:firstLineChars="200" w:firstLine="400"/>
              <w:jc w:val="left"/>
              <w:rPr>
                <w:color w:val="000000"/>
                <w:sz w:val="20"/>
                <w:szCs w:val="20"/>
              </w:rPr>
            </w:pPr>
            <w:r w:rsidRPr="004761E0">
              <w:rPr>
                <w:rFonts w:eastAsia="Times New Roman"/>
                <w:color w:val="000000"/>
                <w:sz w:val="20"/>
                <w:szCs w:val="20"/>
                <w:lang w:eastAsia="ru-RU"/>
              </w:rPr>
              <w:t>письменные обращения через канцелярию</w:t>
            </w:r>
          </w:p>
        </w:tc>
        <w:tc>
          <w:tcPr>
            <w:tcW w:w="1134" w:type="dxa"/>
            <w:noWrap/>
            <w:vAlign w:val="center"/>
            <w:hideMark/>
          </w:tcPr>
          <w:p w:rsidR="00576C9E" w:rsidRPr="004761E0" w:rsidRDefault="00576C9E" w:rsidP="00E879E3">
            <w:pPr>
              <w:ind w:firstLine="0"/>
              <w:jc w:val="right"/>
              <w:rPr>
                <w:rFonts w:eastAsia="Times New Roman"/>
                <w:color w:val="000000"/>
                <w:sz w:val="20"/>
                <w:szCs w:val="20"/>
                <w:lang w:eastAsia="ru-RU"/>
              </w:rPr>
            </w:pPr>
            <w:r w:rsidRPr="004761E0">
              <w:rPr>
                <w:rFonts w:eastAsia="Times New Roman"/>
                <w:color w:val="000000"/>
                <w:sz w:val="20"/>
                <w:szCs w:val="20"/>
                <w:lang w:eastAsia="ru-RU"/>
              </w:rPr>
              <w:t>10 847</w:t>
            </w:r>
          </w:p>
        </w:tc>
        <w:tc>
          <w:tcPr>
            <w:tcW w:w="992" w:type="dxa"/>
            <w:noWrap/>
            <w:vAlign w:val="center"/>
            <w:hideMark/>
          </w:tcPr>
          <w:p w:rsidR="00576C9E" w:rsidRPr="004761E0" w:rsidRDefault="00576C9E" w:rsidP="00E879E3">
            <w:pPr>
              <w:ind w:firstLine="0"/>
              <w:jc w:val="right"/>
              <w:rPr>
                <w:rFonts w:eastAsia="Times New Roman"/>
                <w:color w:val="000000"/>
                <w:sz w:val="20"/>
                <w:szCs w:val="20"/>
                <w:lang w:eastAsia="ru-RU"/>
              </w:rPr>
            </w:pPr>
            <w:r w:rsidRPr="004761E0">
              <w:rPr>
                <w:rFonts w:eastAsia="Times New Roman"/>
                <w:color w:val="000000"/>
                <w:sz w:val="20"/>
                <w:szCs w:val="20"/>
                <w:lang w:eastAsia="ru-RU"/>
              </w:rPr>
              <w:t>19 695</w:t>
            </w:r>
          </w:p>
        </w:tc>
        <w:tc>
          <w:tcPr>
            <w:tcW w:w="1055" w:type="dxa"/>
            <w:noWrap/>
            <w:vAlign w:val="center"/>
            <w:hideMark/>
          </w:tcPr>
          <w:p w:rsidR="00576C9E" w:rsidRPr="004761E0" w:rsidRDefault="00576C9E" w:rsidP="00E879E3">
            <w:pPr>
              <w:ind w:firstLine="0"/>
              <w:jc w:val="right"/>
              <w:rPr>
                <w:rFonts w:eastAsia="Times New Roman"/>
                <w:color w:val="000000"/>
                <w:sz w:val="20"/>
                <w:szCs w:val="20"/>
                <w:lang w:eastAsia="ru-RU"/>
              </w:rPr>
            </w:pPr>
            <w:r w:rsidRPr="004761E0">
              <w:rPr>
                <w:rFonts w:eastAsia="Times New Roman"/>
                <w:color w:val="000000"/>
                <w:sz w:val="20"/>
                <w:szCs w:val="20"/>
                <w:lang w:eastAsia="ru-RU"/>
              </w:rPr>
              <w:t>28 581</w:t>
            </w:r>
          </w:p>
        </w:tc>
        <w:tc>
          <w:tcPr>
            <w:tcW w:w="1355" w:type="dxa"/>
            <w:noWrap/>
            <w:vAlign w:val="center"/>
            <w:hideMark/>
          </w:tcPr>
          <w:p w:rsidR="00576C9E" w:rsidRPr="004761E0" w:rsidRDefault="00576C9E" w:rsidP="00E879E3">
            <w:pPr>
              <w:ind w:firstLine="0"/>
              <w:jc w:val="right"/>
              <w:rPr>
                <w:rFonts w:eastAsia="Times New Roman"/>
                <w:color w:val="000000"/>
                <w:sz w:val="20"/>
                <w:szCs w:val="20"/>
                <w:lang w:eastAsia="ru-RU"/>
              </w:rPr>
            </w:pPr>
            <w:r w:rsidRPr="004761E0">
              <w:rPr>
                <w:rFonts w:eastAsia="Times New Roman"/>
                <w:color w:val="000000"/>
                <w:sz w:val="20"/>
                <w:szCs w:val="20"/>
                <w:lang w:eastAsia="ru-RU"/>
              </w:rPr>
              <w:t>45,12</w:t>
            </w:r>
            <w:r w:rsidRPr="004761E0">
              <w:rPr>
                <w:rFonts w:eastAsia="Times New Roman"/>
                <w:color w:val="000000"/>
                <w:sz w:val="20"/>
                <w:szCs w:val="20"/>
                <w:lang w:val="en-US" w:eastAsia="ru-RU"/>
              </w:rPr>
              <w:t xml:space="preserve"> </w:t>
            </w:r>
            <w:r w:rsidRPr="004761E0">
              <w:rPr>
                <w:rFonts w:eastAsia="Times New Roman"/>
                <w:color w:val="000000"/>
                <w:sz w:val="20"/>
                <w:szCs w:val="20"/>
                <w:lang w:eastAsia="ru-RU"/>
              </w:rPr>
              <w:t>%</w:t>
            </w:r>
          </w:p>
        </w:tc>
      </w:tr>
      <w:tr w:rsidR="00576C9E" w:rsidRPr="004761E0" w:rsidTr="00E879E3">
        <w:trPr>
          <w:cantSplit/>
        </w:trPr>
        <w:tc>
          <w:tcPr>
            <w:tcW w:w="565" w:type="dxa"/>
            <w:vAlign w:val="center"/>
            <w:hideMark/>
          </w:tcPr>
          <w:p w:rsidR="00576C9E" w:rsidRPr="004761E0" w:rsidRDefault="00576C9E" w:rsidP="007076A7">
            <w:pPr>
              <w:pStyle w:val="a5"/>
              <w:numPr>
                <w:ilvl w:val="1"/>
                <w:numId w:val="112"/>
              </w:numPr>
              <w:jc w:val="left"/>
              <w:rPr>
                <w:rFonts w:eastAsia="Times New Roman"/>
                <w:b/>
                <w:bCs/>
                <w:sz w:val="20"/>
                <w:szCs w:val="20"/>
                <w:lang w:eastAsia="ru-RU"/>
              </w:rPr>
            </w:pPr>
          </w:p>
        </w:tc>
        <w:tc>
          <w:tcPr>
            <w:tcW w:w="5247" w:type="dxa"/>
            <w:vAlign w:val="center"/>
            <w:hideMark/>
          </w:tcPr>
          <w:p w:rsidR="00576C9E" w:rsidRPr="004761E0" w:rsidRDefault="00576C9E" w:rsidP="00E879E3">
            <w:pPr>
              <w:ind w:firstLineChars="200" w:firstLine="400"/>
              <w:jc w:val="left"/>
              <w:rPr>
                <w:color w:val="000000"/>
                <w:sz w:val="20"/>
                <w:szCs w:val="20"/>
              </w:rPr>
            </w:pPr>
            <w:r w:rsidRPr="004761E0">
              <w:rPr>
                <w:rFonts w:eastAsia="Times New Roman"/>
                <w:color w:val="000000"/>
                <w:sz w:val="20"/>
                <w:szCs w:val="20"/>
                <w:lang w:eastAsia="ru-RU"/>
              </w:rPr>
              <w:t>заочные обращения через интернет-приемную/личный кабинет/on-line консультации/e-mail</w:t>
            </w:r>
          </w:p>
        </w:tc>
        <w:tc>
          <w:tcPr>
            <w:tcW w:w="1134" w:type="dxa"/>
            <w:noWrap/>
            <w:vAlign w:val="center"/>
            <w:hideMark/>
          </w:tcPr>
          <w:p w:rsidR="00576C9E" w:rsidRPr="004761E0" w:rsidRDefault="00576C9E" w:rsidP="00E879E3">
            <w:pPr>
              <w:ind w:firstLine="0"/>
              <w:jc w:val="right"/>
              <w:rPr>
                <w:rFonts w:eastAsia="Times New Roman"/>
                <w:color w:val="000000"/>
                <w:sz w:val="20"/>
                <w:szCs w:val="20"/>
                <w:lang w:eastAsia="ru-RU"/>
              </w:rPr>
            </w:pPr>
            <w:r w:rsidRPr="004761E0">
              <w:rPr>
                <w:rFonts w:eastAsia="Times New Roman"/>
                <w:color w:val="000000"/>
                <w:sz w:val="20"/>
                <w:szCs w:val="20"/>
                <w:lang w:eastAsia="ru-RU"/>
              </w:rPr>
              <w:t>3 166</w:t>
            </w:r>
          </w:p>
        </w:tc>
        <w:tc>
          <w:tcPr>
            <w:tcW w:w="992" w:type="dxa"/>
            <w:noWrap/>
            <w:vAlign w:val="center"/>
            <w:hideMark/>
          </w:tcPr>
          <w:p w:rsidR="00576C9E" w:rsidRPr="004761E0" w:rsidRDefault="00576C9E" w:rsidP="00E879E3">
            <w:pPr>
              <w:ind w:firstLine="0"/>
              <w:jc w:val="right"/>
              <w:rPr>
                <w:rFonts w:eastAsia="Times New Roman"/>
                <w:color w:val="000000"/>
                <w:sz w:val="20"/>
                <w:szCs w:val="20"/>
                <w:lang w:eastAsia="ru-RU"/>
              </w:rPr>
            </w:pPr>
            <w:r w:rsidRPr="004761E0">
              <w:rPr>
                <w:rFonts w:eastAsia="Times New Roman"/>
                <w:color w:val="000000"/>
                <w:sz w:val="20"/>
                <w:szCs w:val="20"/>
                <w:lang w:eastAsia="ru-RU"/>
              </w:rPr>
              <w:t>6 271</w:t>
            </w:r>
          </w:p>
        </w:tc>
        <w:tc>
          <w:tcPr>
            <w:tcW w:w="1055" w:type="dxa"/>
            <w:noWrap/>
            <w:vAlign w:val="center"/>
            <w:hideMark/>
          </w:tcPr>
          <w:p w:rsidR="00576C9E" w:rsidRPr="004761E0" w:rsidRDefault="00576C9E" w:rsidP="00E879E3">
            <w:pPr>
              <w:ind w:firstLine="0"/>
              <w:jc w:val="right"/>
              <w:rPr>
                <w:rFonts w:eastAsia="Times New Roman"/>
                <w:color w:val="000000"/>
                <w:sz w:val="20"/>
                <w:szCs w:val="20"/>
                <w:lang w:eastAsia="ru-RU"/>
              </w:rPr>
            </w:pPr>
            <w:r w:rsidRPr="004761E0">
              <w:rPr>
                <w:rFonts w:eastAsia="Times New Roman"/>
                <w:color w:val="000000"/>
                <w:sz w:val="20"/>
                <w:szCs w:val="20"/>
                <w:lang w:eastAsia="ru-RU"/>
              </w:rPr>
              <w:t>12 028</w:t>
            </w:r>
          </w:p>
        </w:tc>
        <w:tc>
          <w:tcPr>
            <w:tcW w:w="1355" w:type="dxa"/>
            <w:noWrap/>
            <w:vAlign w:val="center"/>
            <w:hideMark/>
          </w:tcPr>
          <w:p w:rsidR="00576C9E" w:rsidRPr="004761E0" w:rsidRDefault="00576C9E" w:rsidP="00E879E3">
            <w:pPr>
              <w:ind w:firstLine="0"/>
              <w:jc w:val="right"/>
              <w:rPr>
                <w:rFonts w:eastAsia="Times New Roman"/>
                <w:color w:val="000000"/>
                <w:sz w:val="20"/>
                <w:szCs w:val="20"/>
                <w:lang w:eastAsia="ru-RU"/>
              </w:rPr>
            </w:pPr>
            <w:r w:rsidRPr="004761E0">
              <w:rPr>
                <w:rFonts w:eastAsia="Times New Roman"/>
                <w:color w:val="000000"/>
                <w:sz w:val="20"/>
                <w:szCs w:val="20"/>
                <w:lang w:eastAsia="ru-RU"/>
              </w:rPr>
              <w:t>91,80</w:t>
            </w:r>
            <w:r w:rsidRPr="004761E0">
              <w:rPr>
                <w:rFonts w:eastAsia="Times New Roman"/>
                <w:color w:val="000000"/>
                <w:sz w:val="20"/>
                <w:szCs w:val="20"/>
                <w:lang w:val="en-US" w:eastAsia="ru-RU"/>
              </w:rPr>
              <w:t xml:space="preserve"> </w:t>
            </w:r>
            <w:r w:rsidRPr="004761E0">
              <w:rPr>
                <w:rFonts w:eastAsia="Times New Roman"/>
                <w:color w:val="000000"/>
                <w:sz w:val="20"/>
                <w:szCs w:val="20"/>
                <w:lang w:eastAsia="ru-RU"/>
              </w:rPr>
              <w:t>%</w:t>
            </w:r>
          </w:p>
        </w:tc>
      </w:tr>
      <w:tr w:rsidR="00576C9E" w:rsidRPr="004761E0" w:rsidTr="00E879E3">
        <w:trPr>
          <w:cantSplit/>
        </w:trPr>
        <w:tc>
          <w:tcPr>
            <w:tcW w:w="565" w:type="dxa"/>
            <w:vAlign w:val="center"/>
            <w:hideMark/>
          </w:tcPr>
          <w:p w:rsidR="00576C9E" w:rsidRPr="004761E0" w:rsidRDefault="00576C9E" w:rsidP="007076A7">
            <w:pPr>
              <w:pStyle w:val="a5"/>
              <w:numPr>
                <w:ilvl w:val="1"/>
                <w:numId w:val="112"/>
              </w:numPr>
              <w:jc w:val="left"/>
              <w:rPr>
                <w:rFonts w:eastAsia="Times New Roman"/>
                <w:b/>
                <w:bCs/>
                <w:sz w:val="20"/>
                <w:szCs w:val="20"/>
                <w:lang w:eastAsia="ru-RU"/>
              </w:rPr>
            </w:pPr>
          </w:p>
        </w:tc>
        <w:tc>
          <w:tcPr>
            <w:tcW w:w="5247" w:type="dxa"/>
            <w:vAlign w:val="center"/>
            <w:hideMark/>
          </w:tcPr>
          <w:p w:rsidR="00576C9E" w:rsidRPr="004761E0" w:rsidRDefault="00576C9E" w:rsidP="00E879E3">
            <w:pPr>
              <w:ind w:firstLineChars="200" w:firstLine="400"/>
              <w:jc w:val="left"/>
              <w:rPr>
                <w:color w:val="000000"/>
                <w:sz w:val="20"/>
                <w:szCs w:val="20"/>
              </w:rPr>
            </w:pPr>
            <w:r w:rsidRPr="004761E0">
              <w:rPr>
                <w:rFonts w:eastAsia="Times New Roman"/>
                <w:color w:val="000000"/>
                <w:sz w:val="20"/>
                <w:szCs w:val="20"/>
                <w:lang w:eastAsia="ru-RU"/>
              </w:rPr>
              <w:t>прочее</w:t>
            </w:r>
          </w:p>
        </w:tc>
        <w:tc>
          <w:tcPr>
            <w:tcW w:w="1134" w:type="dxa"/>
            <w:noWrap/>
            <w:vAlign w:val="center"/>
            <w:hideMark/>
          </w:tcPr>
          <w:p w:rsidR="00576C9E" w:rsidRPr="004761E0" w:rsidRDefault="00576C9E" w:rsidP="00E879E3">
            <w:pPr>
              <w:ind w:firstLine="0"/>
              <w:jc w:val="right"/>
              <w:rPr>
                <w:rFonts w:eastAsia="Times New Roman"/>
                <w:color w:val="000000"/>
                <w:sz w:val="20"/>
                <w:szCs w:val="20"/>
                <w:lang w:eastAsia="ru-RU"/>
              </w:rPr>
            </w:pPr>
            <w:r w:rsidRPr="004761E0">
              <w:rPr>
                <w:rFonts w:eastAsia="Times New Roman"/>
                <w:color w:val="000000"/>
                <w:sz w:val="20"/>
                <w:szCs w:val="20"/>
                <w:lang w:eastAsia="ru-RU"/>
              </w:rPr>
              <w:t>259</w:t>
            </w:r>
          </w:p>
        </w:tc>
        <w:tc>
          <w:tcPr>
            <w:tcW w:w="992" w:type="dxa"/>
            <w:noWrap/>
            <w:vAlign w:val="center"/>
            <w:hideMark/>
          </w:tcPr>
          <w:p w:rsidR="00576C9E" w:rsidRPr="004761E0" w:rsidRDefault="00576C9E" w:rsidP="00E879E3">
            <w:pPr>
              <w:ind w:firstLine="0"/>
              <w:jc w:val="right"/>
              <w:rPr>
                <w:rFonts w:eastAsia="Times New Roman"/>
                <w:color w:val="000000"/>
                <w:sz w:val="20"/>
                <w:szCs w:val="20"/>
                <w:lang w:eastAsia="ru-RU"/>
              </w:rPr>
            </w:pPr>
            <w:r w:rsidRPr="004761E0">
              <w:rPr>
                <w:rFonts w:eastAsia="Times New Roman"/>
                <w:color w:val="000000"/>
                <w:sz w:val="20"/>
                <w:szCs w:val="20"/>
                <w:lang w:eastAsia="ru-RU"/>
              </w:rPr>
              <w:t>147</w:t>
            </w:r>
          </w:p>
        </w:tc>
        <w:tc>
          <w:tcPr>
            <w:tcW w:w="1055" w:type="dxa"/>
            <w:noWrap/>
            <w:vAlign w:val="center"/>
            <w:hideMark/>
          </w:tcPr>
          <w:p w:rsidR="00576C9E" w:rsidRPr="004761E0" w:rsidRDefault="00576C9E" w:rsidP="00E879E3">
            <w:pPr>
              <w:ind w:firstLine="0"/>
              <w:jc w:val="right"/>
              <w:rPr>
                <w:rFonts w:eastAsia="Times New Roman"/>
                <w:color w:val="000000"/>
                <w:sz w:val="20"/>
                <w:szCs w:val="20"/>
                <w:lang w:eastAsia="ru-RU"/>
              </w:rPr>
            </w:pPr>
            <w:r w:rsidRPr="004761E0">
              <w:rPr>
                <w:rFonts w:eastAsia="Times New Roman"/>
                <w:color w:val="000000"/>
                <w:sz w:val="20"/>
                <w:szCs w:val="20"/>
                <w:lang w:eastAsia="ru-RU"/>
              </w:rPr>
              <w:t>8 575</w:t>
            </w:r>
          </w:p>
        </w:tc>
        <w:tc>
          <w:tcPr>
            <w:tcW w:w="1355" w:type="dxa"/>
            <w:noWrap/>
            <w:vAlign w:val="center"/>
            <w:hideMark/>
          </w:tcPr>
          <w:p w:rsidR="00576C9E" w:rsidRPr="004761E0" w:rsidRDefault="00D341DC" w:rsidP="00D341DC">
            <w:pPr>
              <w:ind w:firstLine="0"/>
              <w:jc w:val="right"/>
              <w:rPr>
                <w:rFonts w:eastAsia="Times New Roman"/>
                <w:color w:val="000000"/>
                <w:sz w:val="20"/>
                <w:szCs w:val="20"/>
                <w:lang w:eastAsia="ru-RU"/>
              </w:rPr>
            </w:pPr>
            <w:r>
              <w:rPr>
                <w:rFonts w:eastAsia="Times New Roman"/>
                <w:color w:val="000000"/>
                <w:sz w:val="20"/>
                <w:szCs w:val="20"/>
                <w:lang w:eastAsia="ru-RU"/>
              </w:rPr>
              <w:t>5 733</w:t>
            </w:r>
            <w:r w:rsidR="00576C9E" w:rsidRPr="004761E0">
              <w:rPr>
                <w:rFonts w:eastAsia="Times New Roman"/>
                <w:color w:val="000000"/>
                <w:sz w:val="20"/>
                <w:szCs w:val="20"/>
                <w:lang w:eastAsia="ru-RU"/>
              </w:rPr>
              <w:t>,</w:t>
            </w:r>
            <w:r>
              <w:rPr>
                <w:rFonts w:eastAsia="Times New Roman"/>
                <w:color w:val="000000"/>
                <w:sz w:val="20"/>
                <w:szCs w:val="20"/>
                <w:lang w:eastAsia="ru-RU"/>
              </w:rPr>
              <w:t>33</w:t>
            </w:r>
            <w:r w:rsidR="00576C9E" w:rsidRPr="004761E0">
              <w:rPr>
                <w:rFonts w:eastAsia="Times New Roman"/>
                <w:color w:val="000000"/>
                <w:sz w:val="20"/>
                <w:szCs w:val="20"/>
                <w:lang w:val="en-US" w:eastAsia="ru-RU"/>
              </w:rPr>
              <w:t xml:space="preserve"> </w:t>
            </w:r>
            <w:r w:rsidR="00576C9E" w:rsidRPr="004761E0">
              <w:rPr>
                <w:rFonts w:eastAsia="Times New Roman"/>
                <w:color w:val="000000"/>
                <w:sz w:val="20"/>
                <w:szCs w:val="20"/>
                <w:lang w:eastAsia="ru-RU"/>
              </w:rPr>
              <w:t>%</w:t>
            </w:r>
          </w:p>
        </w:tc>
      </w:tr>
    </w:tbl>
    <w:p w:rsidR="00576C9E" w:rsidRPr="004761E0" w:rsidRDefault="00576C9E" w:rsidP="00576C9E">
      <w:pPr>
        <w:spacing w:before="120" w:after="120"/>
        <w:ind w:firstLine="0"/>
        <w:rPr>
          <w:b/>
          <w:noProof/>
          <w:sz w:val="26"/>
          <w:szCs w:val="26"/>
          <w:lang w:eastAsia="ru-RU"/>
        </w:rPr>
      </w:pPr>
      <w:r w:rsidRPr="004761E0">
        <w:rPr>
          <w:b/>
          <w:noProof/>
          <w:sz w:val="26"/>
          <w:szCs w:val="26"/>
          <w:lang w:eastAsia="ru-RU"/>
        </w:rPr>
        <w:drawing>
          <wp:inline distT="0" distB="0" distL="0" distR="0">
            <wp:extent cx="3002445" cy="3132814"/>
            <wp:effectExtent l="19050" t="0" r="26505" b="0"/>
            <wp:docPr id="65"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4761E0">
        <w:rPr>
          <w:b/>
          <w:noProof/>
          <w:sz w:val="26"/>
          <w:szCs w:val="26"/>
          <w:lang w:eastAsia="ru-RU"/>
        </w:rPr>
        <w:t xml:space="preserve"> </w:t>
      </w:r>
      <w:r w:rsidRPr="004761E0">
        <w:rPr>
          <w:b/>
          <w:noProof/>
          <w:sz w:val="26"/>
          <w:szCs w:val="26"/>
          <w:lang w:eastAsia="ru-RU"/>
        </w:rPr>
        <w:drawing>
          <wp:inline distT="0" distB="0" distL="0" distR="0">
            <wp:extent cx="3000872" cy="3132814"/>
            <wp:effectExtent l="19050" t="0" r="28078" b="0"/>
            <wp:docPr id="66"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DA46A3" w:rsidRPr="004761E0" w:rsidRDefault="00D12ACE" w:rsidP="00B20C95">
      <w:pPr>
        <w:tabs>
          <w:tab w:val="left" w:pos="426"/>
        </w:tabs>
        <w:spacing w:before="120" w:after="120"/>
        <w:ind w:firstLine="567"/>
        <w:rPr>
          <w:b/>
          <w:sz w:val="26"/>
          <w:szCs w:val="26"/>
        </w:rPr>
      </w:pPr>
      <w:r w:rsidRPr="004761E0">
        <w:rPr>
          <w:b/>
          <w:sz w:val="26"/>
          <w:szCs w:val="26"/>
        </w:rPr>
        <w:t xml:space="preserve">Очное обслуживание </w:t>
      </w:r>
      <w:r w:rsidR="00503B85" w:rsidRPr="004761E0">
        <w:rPr>
          <w:b/>
          <w:sz w:val="26"/>
          <w:szCs w:val="26"/>
        </w:rPr>
        <w:t>клиентов</w:t>
      </w:r>
    </w:p>
    <w:p w:rsidR="0024237C" w:rsidRPr="004761E0" w:rsidRDefault="00D42214" w:rsidP="0024237C">
      <w:pPr>
        <w:spacing w:before="60"/>
        <w:ind w:firstLine="567"/>
        <w:rPr>
          <w:sz w:val="26"/>
          <w:szCs w:val="26"/>
        </w:rPr>
      </w:pPr>
      <w:r w:rsidRPr="004761E0">
        <w:rPr>
          <w:sz w:val="26"/>
          <w:szCs w:val="26"/>
        </w:rPr>
        <w:t>О</w:t>
      </w:r>
      <w:r w:rsidR="00D12ACE" w:rsidRPr="004761E0">
        <w:rPr>
          <w:sz w:val="26"/>
          <w:szCs w:val="26"/>
        </w:rPr>
        <w:t>чное облуживани</w:t>
      </w:r>
      <w:r w:rsidRPr="004761E0">
        <w:rPr>
          <w:sz w:val="26"/>
          <w:szCs w:val="26"/>
        </w:rPr>
        <w:t>е</w:t>
      </w:r>
      <w:r w:rsidR="00D12ACE" w:rsidRPr="004761E0">
        <w:rPr>
          <w:sz w:val="26"/>
          <w:szCs w:val="26"/>
        </w:rPr>
        <w:t xml:space="preserve"> потребителей услуг осуществл</w:t>
      </w:r>
      <w:r w:rsidRPr="004761E0">
        <w:rPr>
          <w:sz w:val="26"/>
          <w:szCs w:val="26"/>
        </w:rPr>
        <w:t>яется</w:t>
      </w:r>
      <w:r w:rsidR="00D12ACE" w:rsidRPr="004761E0">
        <w:rPr>
          <w:sz w:val="26"/>
          <w:szCs w:val="26"/>
        </w:rPr>
        <w:t xml:space="preserve"> </w:t>
      </w:r>
      <w:r w:rsidR="0088058E" w:rsidRPr="004761E0">
        <w:rPr>
          <w:sz w:val="26"/>
          <w:szCs w:val="26"/>
        </w:rPr>
        <w:t>через</w:t>
      </w:r>
      <w:r w:rsidR="00D12ACE" w:rsidRPr="004761E0">
        <w:rPr>
          <w:sz w:val="26"/>
          <w:szCs w:val="26"/>
        </w:rPr>
        <w:t xml:space="preserve"> </w:t>
      </w:r>
      <w:r w:rsidRPr="004761E0">
        <w:rPr>
          <w:sz w:val="26"/>
          <w:szCs w:val="26"/>
        </w:rPr>
        <w:t>ц</w:t>
      </w:r>
      <w:r w:rsidR="00D12ACE" w:rsidRPr="004761E0">
        <w:rPr>
          <w:sz w:val="26"/>
          <w:szCs w:val="26"/>
        </w:rPr>
        <w:t>ентр</w:t>
      </w:r>
      <w:r w:rsidR="0088058E" w:rsidRPr="004761E0">
        <w:rPr>
          <w:sz w:val="26"/>
          <w:szCs w:val="26"/>
        </w:rPr>
        <w:t>ы</w:t>
      </w:r>
      <w:r w:rsidR="00D12ACE" w:rsidRPr="004761E0">
        <w:rPr>
          <w:sz w:val="26"/>
          <w:szCs w:val="26"/>
        </w:rPr>
        <w:t xml:space="preserve"> обслуживания</w:t>
      </w:r>
      <w:r w:rsidRPr="004761E0">
        <w:rPr>
          <w:sz w:val="26"/>
          <w:szCs w:val="26"/>
        </w:rPr>
        <w:t xml:space="preserve"> </w:t>
      </w:r>
      <w:r w:rsidR="00F42A2B" w:rsidRPr="004761E0">
        <w:rPr>
          <w:sz w:val="26"/>
          <w:szCs w:val="26"/>
        </w:rPr>
        <w:t>клиентов</w:t>
      </w:r>
      <w:r w:rsidRPr="004761E0">
        <w:rPr>
          <w:sz w:val="26"/>
          <w:szCs w:val="26"/>
        </w:rPr>
        <w:t xml:space="preserve"> (далее – ЦОК)</w:t>
      </w:r>
      <w:r w:rsidR="00F42A2B" w:rsidRPr="004761E0">
        <w:rPr>
          <w:sz w:val="26"/>
          <w:szCs w:val="26"/>
        </w:rPr>
        <w:t>, расположенны</w:t>
      </w:r>
      <w:r w:rsidR="0088058E" w:rsidRPr="004761E0">
        <w:rPr>
          <w:sz w:val="26"/>
          <w:szCs w:val="26"/>
        </w:rPr>
        <w:t>е</w:t>
      </w:r>
      <w:r w:rsidR="00F42A2B" w:rsidRPr="004761E0">
        <w:rPr>
          <w:sz w:val="26"/>
          <w:szCs w:val="26"/>
        </w:rPr>
        <w:t xml:space="preserve"> на территории </w:t>
      </w:r>
      <w:r w:rsidRPr="004761E0">
        <w:rPr>
          <w:sz w:val="26"/>
          <w:szCs w:val="26"/>
        </w:rPr>
        <w:t>Московского региона</w:t>
      </w:r>
      <w:r w:rsidR="00F42A2B" w:rsidRPr="004761E0">
        <w:rPr>
          <w:sz w:val="26"/>
          <w:szCs w:val="26"/>
        </w:rPr>
        <w:t xml:space="preserve">, в которых заявитель может получить полный спектр услуг: </w:t>
      </w:r>
      <w:r w:rsidR="005F3058" w:rsidRPr="004761E0">
        <w:rPr>
          <w:sz w:val="26"/>
          <w:szCs w:val="26"/>
        </w:rPr>
        <w:t xml:space="preserve">проконсультироваться по интересующим вопросам, </w:t>
      </w:r>
      <w:r w:rsidR="00F42A2B" w:rsidRPr="004761E0">
        <w:rPr>
          <w:sz w:val="26"/>
          <w:szCs w:val="26"/>
        </w:rPr>
        <w:t>пода</w:t>
      </w:r>
      <w:r w:rsidR="005F3058" w:rsidRPr="004761E0">
        <w:rPr>
          <w:sz w:val="26"/>
          <w:szCs w:val="26"/>
        </w:rPr>
        <w:t>ть</w:t>
      </w:r>
      <w:r w:rsidR="00F42A2B" w:rsidRPr="004761E0">
        <w:rPr>
          <w:sz w:val="26"/>
          <w:szCs w:val="26"/>
        </w:rPr>
        <w:t xml:space="preserve"> заявк</w:t>
      </w:r>
      <w:r w:rsidR="005F3058" w:rsidRPr="004761E0">
        <w:rPr>
          <w:sz w:val="26"/>
          <w:szCs w:val="26"/>
        </w:rPr>
        <w:t>у</w:t>
      </w:r>
      <w:r w:rsidR="00F42A2B" w:rsidRPr="004761E0">
        <w:rPr>
          <w:sz w:val="26"/>
          <w:szCs w:val="26"/>
        </w:rPr>
        <w:t xml:space="preserve"> </w:t>
      </w:r>
      <w:r w:rsidR="0088058E" w:rsidRPr="004761E0">
        <w:rPr>
          <w:sz w:val="26"/>
          <w:szCs w:val="26"/>
        </w:rPr>
        <w:t>на технологическое присоединение</w:t>
      </w:r>
      <w:r w:rsidR="005F3058" w:rsidRPr="004761E0">
        <w:rPr>
          <w:sz w:val="26"/>
          <w:szCs w:val="26"/>
        </w:rPr>
        <w:t xml:space="preserve"> любого вида</w:t>
      </w:r>
      <w:r w:rsidR="00F42A2B" w:rsidRPr="004761E0">
        <w:rPr>
          <w:sz w:val="26"/>
          <w:szCs w:val="26"/>
        </w:rPr>
        <w:t xml:space="preserve">, </w:t>
      </w:r>
      <w:r w:rsidR="005F3058" w:rsidRPr="004761E0">
        <w:rPr>
          <w:sz w:val="26"/>
          <w:szCs w:val="26"/>
        </w:rPr>
        <w:t>получить</w:t>
      </w:r>
      <w:r w:rsidR="00F42A2B" w:rsidRPr="004761E0">
        <w:rPr>
          <w:sz w:val="26"/>
          <w:szCs w:val="26"/>
        </w:rPr>
        <w:t xml:space="preserve"> документ</w:t>
      </w:r>
      <w:r w:rsidR="005F3058" w:rsidRPr="004761E0">
        <w:rPr>
          <w:sz w:val="26"/>
          <w:szCs w:val="26"/>
        </w:rPr>
        <w:t>ы</w:t>
      </w:r>
      <w:r w:rsidR="00F42A2B" w:rsidRPr="004761E0">
        <w:rPr>
          <w:sz w:val="26"/>
          <w:szCs w:val="26"/>
        </w:rPr>
        <w:t xml:space="preserve">. По состоянию на 31.12.2013 </w:t>
      </w:r>
      <w:r w:rsidRPr="004761E0">
        <w:rPr>
          <w:sz w:val="26"/>
          <w:szCs w:val="26"/>
        </w:rPr>
        <w:t xml:space="preserve">на территории Московского региона </w:t>
      </w:r>
      <w:r w:rsidR="00BA326D" w:rsidRPr="004761E0">
        <w:rPr>
          <w:sz w:val="26"/>
          <w:szCs w:val="26"/>
        </w:rPr>
        <w:t>функционирует 33 ЦОК.</w:t>
      </w:r>
      <w:r w:rsidR="0024237C" w:rsidRPr="004761E0">
        <w:rPr>
          <w:sz w:val="26"/>
          <w:szCs w:val="26"/>
        </w:rPr>
        <w:t xml:space="preserve"> Адреса и врем</w:t>
      </w:r>
      <w:r w:rsidR="00DF693F">
        <w:rPr>
          <w:sz w:val="26"/>
          <w:szCs w:val="26"/>
        </w:rPr>
        <w:t>я работы всех ЦОК размещены на п</w:t>
      </w:r>
      <w:r w:rsidR="0024237C" w:rsidRPr="004761E0">
        <w:rPr>
          <w:sz w:val="26"/>
          <w:szCs w:val="26"/>
        </w:rPr>
        <w:t xml:space="preserve">ортале по технологическому присоединению </w:t>
      </w:r>
      <w:hyperlink r:id="rId71" w:history="1">
        <w:r w:rsidR="0024237C" w:rsidRPr="004761E0">
          <w:rPr>
            <w:rStyle w:val="a4"/>
            <w:sz w:val="26"/>
            <w:szCs w:val="26"/>
          </w:rPr>
          <w:t>http://utp.moesk.ru/</w:t>
        </w:r>
      </w:hyperlink>
      <w:r w:rsidR="0024237C" w:rsidRPr="004761E0">
        <w:rPr>
          <w:sz w:val="26"/>
          <w:szCs w:val="26"/>
        </w:rPr>
        <w:t xml:space="preserve"> </w:t>
      </w:r>
    </w:p>
    <w:p w:rsidR="00D42214" w:rsidRPr="004761E0" w:rsidRDefault="00BA326D" w:rsidP="00A70E73">
      <w:pPr>
        <w:ind w:firstLine="567"/>
        <w:rPr>
          <w:sz w:val="26"/>
          <w:szCs w:val="26"/>
        </w:rPr>
      </w:pPr>
      <w:r w:rsidRPr="004761E0">
        <w:rPr>
          <w:sz w:val="26"/>
          <w:szCs w:val="26"/>
        </w:rPr>
        <w:t>В 2013 году в соответствии с Концепцией развития очных сервисов</w:t>
      </w:r>
      <w:r w:rsidR="00A70E73" w:rsidRPr="006F4AB8">
        <w:rPr>
          <w:rStyle w:val="af1"/>
        </w:rPr>
        <w:footnoteReference w:id="43"/>
      </w:r>
      <w:r w:rsidRPr="004761E0">
        <w:rPr>
          <w:sz w:val="26"/>
          <w:szCs w:val="26"/>
        </w:rPr>
        <w:t xml:space="preserve"> проведена работа по модернизации семи ЦОК</w:t>
      </w:r>
      <w:r w:rsidR="007B24E3" w:rsidRPr="004761E0">
        <w:rPr>
          <w:sz w:val="26"/>
          <w:szCs w:val="26"/>
        </w:rPr>
        <w:t>, а также открыт</w:t>
      </w:r>
      <w:r w:rsidR="00A70E73" w:rsidRPr="004761E0">
        <w:rPr>
          <w:sz w:val="26"/>
          <w:szCs w:val="26"/>
        </w:rPr>
        <w:t>ию</w:t>
      </w:r>
      <w:r w:rsidR="007B24E3" w:rsidRPr="004761E0">
        <w:rPr>
          <w:sz w:val="26"/>
          <w:szCs w:val="26"/>
        </w:rPr>
        <w:t xml:space="preserve"> нов</w:t>
      </w:r>
      <w:r w:rsidR="0088058E" w:rsidRPr="004761E0">
        <w:rPr>
          <w:sz w:val="26"/>
          <w:szCs w:val="26"/>
        </w:rPr>
        <w:t>о</w:t>
      </w:r>
      <w:r w:rsidR="00A70E73" w:rsidRPr="004761E0">
        <w:rPr>
          <w:sz w:val="26"/>
          <w:szCs w:val="26"/>
        </w:rPr>
        <w:t>го</w:t>
      </w:r>
      <w:r w:rsidR="007B24E3" w:rsidRPr="004761E0">
        <w:rPr>
          <w:sz w:val="26"/>
          <w:szCs w:val="26"/>
        </w:rPr>
        <w:t xml:space="preserve"> ЦОК </w:t>
      </w:r>
      <w:r w:rsidR="00930F91" w:rsidRPr="004761E0">
        <w:rPr>
          <w:sz w:val="26"/>
          <w:szCs w:val="26"/>
        </w:rPr>
        <w:t>по адресу ул</w:t>
      </w:r>
      <w:r w:rsidRPr="004761E0">
        <w:rPr>
          <w:sz w:val="26"/>
          <w:szCs w:val="26"/>
        </w:rPr>
        <w:t>.</w:t>
      </w:r>
      <w:r w:rsidR="0024237C" w:rsidRPr="004761E0">
        <w:rPr>
          <w:sz w:val="26"/>
          <w:szCs w:val="26"/>
        </w:rPr>
        <w:t> </w:t>
      </w:r>
      <w:r w:rsidRPr="004761E0">
        <w:rPr>
          <w:sz w:val="26"/>
          <w:szCs w:val="26"/>
        </w:rPr>
        <w:t>Б. Тульская, д. 43.</w:t>
      </w:r>
      <w:r w:rsidR="0088058E" w:rsidRPr="004761E0">
        <w:rPr>
          <w:sz w:val="26"/>
          <w:szCs w:val="26"/>
        </w:rPr>
        <w:t xml:space="preserve"> Все ЦОК переведены на постоянное функционирование с графиком работы понедельник-пятница с 09:00 до 17:00.</w:t>
      </w:r>
      <w:r w:rsidR="00ED7BAE" w:rsidRPr="004761E0">
        <w:rPr>
          <w:sz w:val="26"/>
          <w:szCs w:val="26"/>
        </w:rPr>
        <w:t xml:space="preserve"> В результате проведенных мероприятий среднее время ожидания в очереди сокращено </w:t>
      </w:r>
      <w:r w:rsidR="00567740" w:rsidRPr="004761E0">
        <w:rPr>
          <w:sz w:val="26"/>
          <w:szCs w:val="26"/>
        </w:rPr>
        <w:t xml:space="preserve">с 30 </w:t>
      </w:r>
      <w:r w:rsidR="00ED7BAE" w:rsidRPr="004761E0">
        <w:rPr>
          <w:sz w:val="26"/>
          <w:szCs w:val="26"/>
        </w:rPr>
        <w:t>до 20 мин.</w:t>
      </w:r>
    </w:p>
    <w:p w:rsidR="00901C42" w:rsidRPr="004761E0" w:rsidRDefault="001D3790" w:rsidP="001D3790">
      <w:pPr>
        <w:ind w:firstLine="567"/>
        <w:rPr>
          <w:sz w:val="26"/>
          <w:szCs w:val="26"/>
        </w:rPr>
      </w:pPr>
      <w:r w:rsidRPr="004761E0">
        <w:rPr>
          <w:sz w:val="26"/>
          <w:szCs w:val="26"/>
        </w:rPr>
        <w:lastRenderedPageBreak/>
        <w:t xml:space="preserve">Стоит отметить, что в любом действующем ЦОК заявитель может подать заявку на </w:t>
      </w:r>
      <w:r w:rsidR="00BA326D" w:rsidRPr="004761E0">
        <w:rPr>
          <w:sz w:val="26"/>
          <w:szCs w:val="26"/>
        </w:rPr>
        <w:t>дополнительные услуги</w:t>
      </w:r>
      <w:r w:rsidRPr="004761E0">
        <w:rPr>
          <w:sz w:val="26"/>
          <w:szCs w:val="26"/>
        </w:rPr>
        <w:t xml:space="preserve">. </w:t>
      </w:r>
    </w:p>
    <w:p w:rsidR="00C95488" w:rsidRPr="004761E0" w:rsidRDefault="00C95488" w:rsidP="00C95488">
      <w:pPr>
        <w:ind w:firstLine="567"/>
        <w:rPr>
          <w:sz w:val="26"/>
          <w:szCs w:val="26"/>
        </w:rPr>
      </w:pPr>
      <w:r w:rsidRPr="004761E0">
        <w:rPr>
          <w:sz w:val="26"/>
          <w:szCs w:val="26"/>
        </w:rPr>
        <w:t>В 2013 году в</w:t>
      </w:r>
      <w:r w:rsidR="00901C42" w:rsidRPr="004761E0">
        <w:rPr>
          <w:sz w:val="26"/>
          <w:szCs w:val="26"/>
        </w:rPr>
        <w:t xml:space="preserve"> целях повышения эффективности деятельности по оказанию дополнительных услуг утвержден</w:t>
      </w:r>
      <w:r w:rsidR="00901C42" w:rsidRPr="006F4AB8">
        <w:rPr>
          <w:rStyle w:val="af1"/>
        </w:rPr>
        <w:footnoteReference w:id="44"/>
      </w:r>
      <w:r w:rsidR="00901C42" w:rsidRPr="004761E0">
        <w:rPr>
          <w:sz w:val="26"/>
          <w:szCs w:val="26"/>
        </w:rPr>
        <w:t xml:space="preserve"> прейскурант дополнительных услуг</w:t>
      </w:r>
      <w:r w:rsidR="00567740" w:rsidRPr="004761E0">
        <w:rPr>
          <w:sz w:val="26"/>
          <w:szCs w:val="26"/>
        </w:rPr>
        <w:t xml:space="preserve">, согласно которому </w:t>
      </w:r>
      <w:r w:rsidR="00AB5465" w:rsidRPr="004761E0">
        <w:rPr>
          <w:sz w:val="26"/>
          <w:szCs w:val="26"/>
        </w:rPr>
        <w:t xml:space="preserve">Общество </w:t>
      </w:r>
      <w:r w:rsidRPr="004761E0">
        <w:rPr>
          <w:sz w:val="26"/>
          <w:szCs w:val="26"/>
        </w:rPr>
        <w:t xml:space="preserve">предлагает </w:t>
      </w:r>
      <w:r w:rsidR="00AB5465" w:rsidRPr="004761E0">
        <w:rPr>
          <w:sz w:val="26"/>
          <w:szCs w:val="26"/>
        </w:rPr>
        <w:t xml:space="preserve">следующий </w:t>
      </w:r>
      <w:r w:rsidRPr="004761E0">
        <w:rPr>
          <w:sz w:val="26"/>
          <w:szCs w:val="26"/>
        </w:rPr>
        <w:t xml:space="preserve">комплекс услуг: </w:t>
      </w:r>
    </w:p>
    <w:p w:rsidR="00C95488" w:rsidRPr="004761E0" w:rsidRDefault="00AB5465" w:rsidP="007076A7">
      <w:pPr>
        <w:pStyle w:val="a5"/>
        <w:numPr>
          <w:ilvl w:val="0"/>
          <w:numId w:val="298"/>
        </w:numPr>
        <w:ind w:left="1134" w:hanging="567"/>
        <w:rPr>
          <w:sz w:val="26"/>
          <w:szCs w:val="26"/>
        </w:rPr>
      </w:pPr>
      <w:r w:rsidRPr="004761E0">
        <w:rPr>
          <w:sz w:val="26"/>
          <w:szCs w:val="26"/>
        </w:rPr>
        <w:t>э</w:t>
      </w:r>
      <w:r w:rsidR="00C95488" w:rsidRPr="004761E0">
        <w:rPr>
          <w:sz w:val="26"/>
          <w:szCs w:val="26"/>
        </w:rPr>
        <w:t>ксплуатаци</w:t>
      </w:r>
      <w:r w:rsidRPr="004761E0">
        <w:rPr>
          <w:sz w:val="26"/>
          <w:szCs w:val="26"/>
        </w:rPr>
        <w:t>я</w:t>
      </w:r>
      <w:r w:rsidR="00C95488" w:rsidRPr="004761E0">
        <w:rPr>
          <w:sz w:val="26"/>
          <w:szCs w:val="26"/>
        </w:rPr>
        <w:t>, техническо</w:t>
      </w:r>
      <w:r w:rsidRPr="004761E0">
        <w:rPr>
          <w:sz w:val="26"/>
          <w:szCs w:val="26"/>
        </w:rPr>
        <w:t>е</w:t>
      </w:r>
      <w:r w:rsidR="00C95488" w:rsidRPr="004761E0">
        <w:rPr>
          <w:sz w:val="26"/>
          <w:szCs w:val="26"/>
        </w:rPr>
        <w:t xml:space="preserve"> и оперативно</w:t>
      </w:r>
      <w:r w:rsidRPr="004761E0">
        <w:rPr>
          <w:sz w:val="26"/>
          <w:szCs w:val="26"/>
        </w:rPr>
        <w:t>е</w:t>
      </w:r>
      <w:r w:rsidR="00C95488" w:rsidRPr="004761E0">
        <w:rPr>
          <w:sz w:val="26"/>
          <w:szCs w:val="26"/>
        </w:rPr>
        <w:t xml:space="preserve"> обслуживани</w:t>
      </w:r>
      <w:r w:rsidRPr="004761E0">
        <w:rPr>
          <w:sz w:val="26"/>
          <w:szCs w:val="26"/>
        </w:rPr>
        <w:t>е</w:t>
      </w:r>
      <w:r w:rsidR="00C95488" w:rsidRPr="004761E0">
        <w:rPr>
          <w:sz w:val="26"/>
          <w:szCs w:val="26"/>
        </w:rPr>
        <w:t>, ремонт</w:t>
      </w:r>
      <w:r w:rsidRPr="004761E0">
        <w:rPr>
          <w:sz w:val="26"/>
          <w:szCs w:val="26"/>
        </w:rPr>
        <w:t xml:space="preserve"> и оперативно-диспетчерское</w:t>
      </w:r>
      <w:r w:rsidR="00C95488" w:rsidRPr="004761E0">
        <w:rPr>
          <w:sz w:val="26"/>
          <w:szCs w:val="26"/>
        </w:rPr>
        <w:t xml:space="preserve"> управлени</w:t>
      </w:r>
      <w:r w:rsidRPr="004761E0">
        <w:rPr>
          <w:sz w:val="26"/>
          <w:szCs w:val="26"/>
        </w:rPr>
        <w:t>е</w:t>
      </w:r>
      <w:r w:rsidR="00C95488" w:rsidRPr="004761E0">
        <w:rPr>
          <w:sz w:val="26"/>
          <w:szCs w:val="26"/>
        </w:rPr>
        <w:t xml:space="preserve"> электрических сетей 0,4-220 кВ; </w:t>
      </w:r>
    </w:p>
    <w:p w:rsidR="00C95488" w:rsidRPr="004761E0" w:rsidRDefault="00AB5465" w:rsidP="007076A7">
      <w:pPr>
        <w:pStyle w:val="a5"/>
        <w:numPr>
          <w:ilvl w:val="0"/>
          <w:numId w:val="298"/>
        </w:numPr>
        <w:ind w:left="1134" w:hanging="567"/>
        <w:rPr>
          <w:sz w:val="26"/>
          <w:szCs w:val="26"/>
        </w:rPr>
      </w:pPr>
      <w:r w:rsidRPr="004761E0">
        <w:rPr>
          <w:sz w:val="26"/>
          <w:szCs w:val="26"/>
        </w:rPr>
        <w:t>п</w:t>
      </w:r>
      <w:r w:rsidR="00C95488" w:rsidRPr="004761E0">
        <w:rPr>
          <w:sz w:val="26"/>
          <w:szCs w:val="26"/>
        </w:rPr>
        <w:t>роектные и строительно-монтажные работы, в т.ч. по выполнени</w:t>
      </w:r>
      <w:r w:rsidRPr="004761E0">
        <w:rPr>
          <w:sz w:val="26"/>
          <w:szCs w:val="26"/>
        </w:rPr>
        <w:t>е</w:t>
      </w:r>
      <w:r w:rsidR="00C95488" w:rsidRPr="004761E0">
        <w:rPr>
          <w:sz w:val="26"/>
          <w:szCs w:val="26"/>
        </w:rPr>
        <w:t xml:space="preserve"> работ со стороны клиента при технологическом присоединении;</w:t>
      </w:r>
    </w:p>
    <w:p w:rsidR="00C95488" w:rsidRPr="004761E0" w:rsidRDefault="00AB5465" w:rsidP="007076A7">
      <w:pPr>
        <w:pStyle w:val="a5"/>
        <w:numPr>
          <w:ilvl w:val="0"/>
          <w:numId w:val="298"/>
        </w:numPr>
        <w:ind w:left="1134" w:hanging="567"/>
        <w:rPr>
          <w:sz w:val="26"/>
          <w:szCs w:val="26"/>
        </w:rPr>
      </w:pPr>
      <w:r w:rsidRPr="004761E0">
        <w:rPr>
          <w:sz w:val="26"/>
          <w:szCs w:val="26"/>
        </w:rPr>
        <w:t>о</w:t>
      </w:r>
      <w:r w:rsidR="00C95488" w:rsidRPr="004761E0">
        <w:rPr>
          <w:sz w:val="26"/>
          <w:szCs w:val="26"/>
        </w:rPr>
        <w:t>рганизаци</w:t>
      </w:r>
      <w:r w:rsidRPr="004761E0">
        <w:rPr>
          <w:sz w:val="26"/>
          <w:szCs w:val="26"/>
        </w:rPr>
        <w:t>я</w:t>
      </w:r>
      <w:r w:rsidR="00C95488" w:rsidRPr="004761E0">
        <w:rPr>
          <w:sz w:val="26"/>
          <w:szCs w:val="26"/>
        </w:rPr>
        <w:t xml:space="preserve"> учета электроэнергии; </w:t>
      </w:r>
    </w:p>
    <w:p w:rsidR="00C95488" w:rsidRPr="004761E0" w:rsidRDefault="00AB5465" w:rsidP="007076A7">
      <w:pPr>
        <w:pStyle w:val="a5"/>
        <w:numPr>
          <w:ilvl w:val="0"/>
          <w:numId w:val="298"/>
        </w:numPr>
        <w:ind w:left="1134" w:hanging="567"/>
        <w:rPr>
          <w:sz w:val="26"/>
          <w:szCs w:val="26"/>
        </w:rPr>
      </w:pPr>
      <w:r w:rsidRPr="004761E0">
        <w:rPr>
          <w:sz w:val="26"/>
          <w:szCs w:val="26"/>
        </w:rPr>
        <w:t>и</w:t>
      </w:r>
      <w:r w:rsidR="00C95488" w:rsidRPr="004761E0">
        <w:rPr>
          <w:sz w:val="26"/>
          <w:szCs w:val="26"/>
        </w:rPr>
        <w:t xml:space="preserve">спытания электротехнического оборудования и защитных средств (инструментов); </w:t>
      </w:r>
    </w:p>
    <w:p w:rsidR="00C95488" w:rsidRPr="004761E0" w:rsidRDefault="00AB5465" w:rsidP="007076A7">
      <w:pPr>
        <w:pStyle w:val="a5"/>
        <w:numPr>
          <w:ilvl w:val="0"/>
          <w:numId w:val="298"/>
        </w:numPr>
        <w:ind w:left="1134" w:hanging="567"/>
        <w:rPr>
          <w:sz w:val="26"/>
          <w:szCs w:val="26"/>
        </w:rPr>
      </w:pPr>
      <w:r w:rsidRPr="004761E0">
        <w:rPr>
          <w:sz w:val="26"/>
          <w:szCs w:val="26"/>
        </w:rPr>
        <w:t>решение о</w:t>
      </w:r>
      <w:r w:rsidR="00C95488" w:rsidRPr="004761E0">
        <w:rPr>
          <w:sz w:val="26"/>
          <w:szCs w:val="26"/>
        </w:rPr>
        <w:t>рганизационно-технически</w:t>
      </w:r>
      <w:r w:rsidRPr="004761E0">
        <w:rPr>
          <w:sz w:val="26"/>
          <w:szCs w:val="26"/>
        </w:rPr>
        <w:t>х задач</w:t>
      </w:r>
      <w:r w:rsidR="00C95488" w:rsidRPr="004761E0">
        <w:rPr>
          <w:sz w:val="26"/>
          <w:szCs w:val="26"/>
        </w:rPr>
        <w:t xml:space="preserve">; </w:t>
      </w:r>
    </w:p>
    <w:p w:rsidR="00C95488" w:rsidRPr="004761E0" w:rsidRDefault="00AB5465" w:rsidP="007076A7">
      <w:pPr>
        <w:pStyle w:val="a5"/>
        <w:numPr>
          <w:ilvl w:val="0"/>
          <w:numId w:val="298"/>
        </w:numPr>
        <w:ind w:left="1134" w:hanging="567"/>
        <w:rPr>
          <w:sz w:val="26"/>
          <w:szCs w:val="26"/>
        </w:rPr>
      </w:pPr>
      <w:r w:rsidRPr="004761E0">
        <w:rPr>
          <w:sz w:val="26"/>
          <w:szCs w:val="26"/>
        </w:rPr>
        <w:t>р</w:t>
      </w:r>
      <w:r w:rsidR="00C95488" w:rsidRPr="004761E0">
        <w:rPr>
          <w:sz w:val="26"/>
          <w:szCs w:val="26"/>
        </w:rPr>
        <w:t>азмещени</w:t>
      </w:r>
      <w:r w:rsidRPr="004761E0">
        <w:rPr>
          <w:sz w:val="26"/>
          <w:szCs w:val="26"/>
        </w:rPr>
        <w:t>е</w:t>
      </w:r>
      <w:r w:rsidR="00C95488" w:rsidRPr="004761E0">
        <w:rPr>
          <w:sz w:val="26"/>
          <w:szCs w:val="26"/>
        </w:rPr>
        <w:t xml:space="preserve"> телекоммуникационного оборудования, аренд</w:t>
      </w:r>
      <w:r w:rsidRPr="004761E0">
        <w:rPr>
          <w:sz w:val="26"/>
          <w:szCs w:val="26"/>
        </w:rPr>
        <w:t>а</w:t>
      </w:r>
      <w:r w:rsidR="00C95488" w:rsidRPr="004761E0">
        <w:rPr>
          <w:sz w:val="26"/>
          <w:szCs w:val="26"/>
        </w:rPr>
        <w:t xml:space="preserve"> помещений, транспортных средств и др.</w:t>
      </w:r>
    </w:p>
    <w:p w:rsidR="00901C42" w:rsidRPr="004761E0" w:rsidRDefault="00567740" w:rsidP="001D3790">
      <w:pPr>
        <w:ind w:firstLine="567"/>
        <w:rPr>
          <w:sz w:val="26"/>
          <w:szCs w:val="26"/>
        </w:rPr>
      </w:pPr>
      <w:r w:rsidRPr="004761E0">
        <w:rPr>
          <w:sz w:val="26"/>
          <w:szCs w:val="26"/>
        </w:rPr>
        <w:t>П</w:t>
      </w:r>
      <w:r w:rsidR="00AB5465" w:rsidRPr="004761E0">
        <w:rPr>
          <w:sz w:val="26"/>
          <w:szCs w:val="26"/>
        </w:rPr>
        <w:t xml:space="preserve">рейскурант дополнительных услуг </w:t>
      </w:r>
      <w:r w:rsidR="00C95488" w:rsidRPr="004761E0">
        <w:rPr>
          <w:sz w:val="26"/>
          <w:szCs w:val="26"/>
        </w:rPr>
        <w:t xml:space="preserve">размещен на корпоративном сайте Общества в разделе «Клиентам / Дополнительные услуги». </w:t>
      </w:r>
    </w:p>
    <w:p w:rsidR="001D3790" w:rsidRPr="004761E0" w:rsidRDefault="00F05BE8" w:rsidP="001D3790">
      <w:pPr>
        <w:ind w:firstLine="567"/>
        <w:rPr>
          <w:sz w:val="26"/>
          <w:szCs w:val="26"/>
        </w:rPr>
      </w:pPr>
      <w:r w:rsidRPr="004761E0">
        <w:rPr>
          <w:sz w:val="26"/>
          <w:szCs w:val="26"/>
        </w:rPr>
        <w:t xml:space="preserve">В перспективе Общество планирует развивать следующие дополнительные виды </w:t>
      </w:r>
      <w:r w:rsidR="001D3790" w:rsidRPr="004761E0">
        <w:rPr>
          <w:sz w:val="26"/>
          <w:szCs w:val="26"/>
        </w:rPr>
        <w:t>услуг:</w:t>
      </w:r>
    </w:p>
    <w:p w:rsidR="00E300DF" w:rsidRPr="004761E0" w:rsidRDefault="00BA326D" w:rsidP="00333270">
      <w:pPr>
        <w:ind w:firstLine="567"/>
        <w:rPr>
          <w:b/>
          <w:sz w:val="26"/>
          <w:szCs w:val="26"/>
        </w:rPr>
      </w:pPr>
      <w:r w:rsidRPr="004761E0">
        <w:rPr>
          <w:b/>
          <w:sz w:val="26"/>
          <w:szCs w:val="26"/>
        </w:rPr>
        <w:t>«Технологическое присоединение под ключ»</w:t>
      </w:r>
    </w:p>
    <w:p w:rsidR="00333270" w:rsidRPr="004761E0" w:rsidRDefault="009F0DC3" w:rsidP="009F0DC3">
      <w:pPr>
        <w:pStyle w:val="a5"/>
        <w:ind w:left="0" w:firstLine="567"/>
        <w:rPr>
          <w:sz w:val="26"/>
          <w:szCs w:val="26"/>
        </w:rPr>
      </w:pPr>
      <w:r w:rsidRPr="004761E0">
        <w:rPr>
          <w:sz w:val="26"/>
          <w:szCs w:val="26"/>
        </w:rPr>
        <w:t xml:space="preserve">В настоящее время технологическое присоединение состоит из 5 этапов: </w:t>
      </w:r>
    </w:p>
    <w:p w:rsidR="00333270" w:rsidRPr="004761E0" w:rsidRDefault="009F0DC3" w:rsidP="007076A7">
      <w:pPr>
        <w:pStyle w:val="a5"/>
        <w:numPr>
          <w:ilvl w:val="0"/>
          <w:numId w:val="273"/>
        </w:numPr>
        <w:ind w:left="1134" w:hanging="567"/>
        <w:rPr>
          <w:sz w:val="26"/>
          <w:szCs w:val="26"/>
        </w:rPr>
      </w:pPr>
      <w:r w:rsidRPr="004761E0">
        <w:rPr>
          <w:sz w:val="26"/>
          <w:szCs w:val="26"/>
        </w:rPr>
        <w:t>подача заявки в сетевую организацию</w:t>
      </w:r>
      <w:r w:rsidR="00333270" w:rsidRPr="004761E0">
        <w:rPr>
          <w:sz w:val="26"/>
          <w:szCs w:val="26"/>
        </w:rPr>
        <w:t>;</w:t>
      </w:r>
      <w:r w:rsidRPr="004761E0">
        <w:rPr>
          <w:sz w:val="26"/>
          <w:szCs w:val="26"/>
        </w:rPr>
        <w:t xml:space="preserve"> </w:t>
      </w:r>
    </w:p>
    <w:p w:rsidR="00333270" w:rsidRPr="004761E0" w:rsidRDefault="009F0DC3" w:rsidP="007076A7">
      <w:pPr>
        <w:pStyle w:val="a5"/>
        <w:numPr>
          <w:ilvl w:val="0"/>
          <w:numId w:val="273"/>
        </w:numPr>
        <w:ind w:left="1134" w:hanging="567"/>
        <w:rPr>
          <w:sz w:val="26"/>
          <w:szCs w:val="26"/>
        </w:rPr>
      </w:pPr>
      <w:r w:rsidRPr="004761E0">
        <w:rPr>
          <w:sz w:val="26"/>
          <w:szCs w:val="26"/>
        </w:rPr>
        <w:t>заключение договора</w:t>
      </w:r>
      <w:r w:rsidR="00333270" w:rsidRPr="004761E0">
        <w:rPr>
          <w:sz w:val="26"/>
          <w:szCs w:val="26"/>
        </w:rPr>
        <w:t>;</w:t>
      </w:r>
    </w:p>
    <w:p w:rsidR="00333270" w:rsidRPr="004761E0" w:rsidRDefault="009F0DC3" w:rsidP="007076A7">
      <w:pPr>
        <w:pStyle w:val="a5"/>
        <w:numPr>
          <w:ilvl w:val="0"/>
          <w:numId w:val="273"/>
        </w:numPr>
        <w:ind w:left="1134" w:hanging="567"/>
        <w:rPr>
          <w:sz w:val="26"/>
          <w:szCs w:val="26"/>
        </w:rPr>
      </w:pPr>
      <w:r w:rsidRPr="004761E0">
        <w:rPr>
          <w:sz w:val="26"/>
          <w:szCs w:val="26"/>
        </w:rPr>
        <w:t>выполнение сторонами мероприятий, предусмотренных договором</w:t>
      </w:r>
      <w:r w:rsidR="00333270" w:rsidRPr="004761E0">
        <w:rPr>
          <w:sz w:val="26"/>
          <w:szCs w:val="26"/>
        </w:rPr>
        <w:t>;</w:t>
      </w:r>
    </w:p>
    <w:p w:rsidR="00333270" w:rsidRPr="004761E0" w:rsidRDefault="009F0DC3" w:rsidP="007076A7">
      <w:pPr>
        <w:pStyle w:val="a5"/>
        <w:numPr>
          <w:ilvl w:val="0"/>
          <w:numId w:val="273"/>
        </w:numPr>
        <w:ind w:left="1134" w:hanging="567"/>
        <w:rPr>
          <w:sz w:val="26"/>
          <w:szCs w:val="26"/>
        </w:rPr>
      </w:pPr>
      <w:r w:rsidRPr="004761E0">
        <w:rPr>
          <w:sz w:val="26"/>
          <w:szCs w:val="26"/>
        </w:rPr>
        <w:t>осуществление фактического присоединения объекта и фактическая подача напряжения</w:t>
      </w:r>
      <w:r w:rsidR="00333270" w:rsidRPr="004761E0">
        <w:rPr>
          <w:sz w:val="26"/>
          <w:szCs w:val="26"/>
        </w:rPr>
        <w:t>;</w:t>
      </w:r>
    </w:p>
    <w:p w:rsidR="00333270" w:rsidRPr="004761E0" w:rsidRDefault="009F0DC3" w:rsidP="007076A7">
      <w:pPr>
        <w:pStyle w:val="a5"/>
        <w:numPr>
          <w:ilvl w:val="0"/>
          <w:numId w:val="273"/>
        </w:numPr>
        <w:ind w:left="1134" w:hanging="567"/>
        <w:rPr>
          <w:sz w:val="26"/>
          <w:szCs w:val="26"/>
        </w:rPr>
      </w:pPr>
      <w:r w:rsidRPr="004761E0">
        <w:rPr>
          <w:sz w:val="26"/>
          <w:szCs w:val="26"/>
        </w:rPr>
        <w:t xml:space="preserve">составление и подписание необходимых актов. </w:t>
      </w:r>
    </w:p>
    <w:p w:rsidR="00DD1D57" w:rsidRPr="004761E0" w:rsidRDefault="00333270" w:rsidP="00333270">
      <w:pPr>
        <w:ind w:firstLine="567"/>
        <w:rPr>
          <w:sz w:val="26"/>
          <w:szCs w:val="26"/>
        </w:rPr>
      </w:pPr>
      <w:r w:rsidRPr="004761E0">
        <w:rPr>
          <w:sz w:val="26"/>
          <w:szCs w:val="26"/>
        </w:rPr>
        <w:t>Н</w:t>
      </w:r>
      <w:r w:rsidR="009F0DC3" w:rsidRPr="004761E0">
        <w:rPr>
          <w:sz w:val="26"/>
          <w:szCs w:val="26"/>
        </w:rPr>
        <w:t xml:space="preserve">а третьем этапе </w:t>
      </w:r>
      <w:r w:rsidR="00DD1D57" w:rsidRPr="004761E0">
        <w:rPr>
          <w:sz w:val="26"/>
          <w:szCs w:val="26"/>
        </w:rPr>
        <w:t>предусматривается выполнение мероприятий как со стороны сетевой организации, так и со стороны клиента. В рамках пилотного проекта</w:t>
      </w:r>
      <w:r w:rsidRPr="004761E0">
        <w:rPr>
          <w:sz w:val="26"/>
          <w:szCs w:val="26"/>
        </w:rPr>
        <w:t xml:space="preserve">, запущенного в филиале ЗЭС, </w:t>
      </w:r>
      <w:r w:rsidR="0008080E">
        <w:rPr>
          <w:sz w:val="26"/>
          <w:szCs w:val="26"/>
        </w:rPr>
        <w:t>ОАО </w:t>
      </w:r>
      <w:r w:rsidR="00DD1D57" w:rsidRPr="004761E0">
        <w:rPr>
          <w:sz w:val="26"/>
          <w:szCs w:val="26"/>
        </w:rPr>
        <w:t>«МОЭСК» предлагает выполн</w:t>
      </w:r>
      <w:r w:rsidRPr="004761E0">
        <w:rPr>
          <w:sz w:val="26"/>
          <w:szCs w:val="26"/>
        </w:rPr>
        <w:t>ить</w:t>
      </w:r>
      <w:r w:rsidR="00DD1D57" w:rsidRPr="004761E0">
        <w:rPr>
          <w:sz w:val="26"/>
          <w:szCs w:val="26"/>
        </w:rPr>
        <w:t xml:space="preserve"> работ</w:t>
      </w:r>
      <w:r w:rsidRPr="004761E0">
        <w:rPr>
          <w:sz w:val="26"/>
          <w:szCs w:val="26"/>
        </w:rPr>
        <w:t>ы</w:t>
      </w:r>
      <w:r w:rsidR="00DD1D57" w:rsidRPr="004761E0">
        <w:rPr>
          <w:sz w:val="26"/>
          <w:szCs w:val="26"/>
        </w:rPr>
        <w:t xml:space="preserve"> по третьему этапу со стороны клиента согласно техническим </w:t>
      </w:r>
      <w:r w:rsidRPr="004761E0">
        <w:rPr>
          <w:sz w:val="26"/>
          <w:szCs w:val="26"/>
        </w:rPr>
        <w:t>условиям, а именно</w:t>
      </w:r>
      <w:r w:rsidR="00DD1D57" w:rsidRPr="004761E0">
        <w:rPr>
          <w:sz w:val="26"/>
          <w:szCs w:val="26"/>
        </w:rPr>
        <w:t xml:space="preserve">: установку щита учета, счетчика, заземления, вводных автоматических выключателей, проведение провода (кабеля) к подключаемому объекту. При этом все расходные материалы и оборудование включены в данный пакет услуги. Если раньше клиент должен был самостоятельно выполнить весь комплекс работ, то теперь он одновременно с подачей документов на осуществление технологического присоединения может оставить заявку в любом удобном ЦОК филиала ЗЭС на производство работ специалистами </w:t>
      </w:r>
      <w:r w:rsidR="0008080E">
        <w:rPr>
          <w:sz w:val="26"/>
          <w:szCs w:val="26"/>
        </w:rPr>
        <w:t>ОАО </w:t>
      </w:r>
      <w:r w:rsidR="00DD1D57" w:rsidRPr="004761E0">
        <w:rPr>
          <w:sz w:val="26"/>
          <w:szCs w:val="26"/>
        </w:rPr>
        <w:t xml:space="preserve">«МОЭСК» «под ключ». Данный пакет услуг помогает клиенту избежать неприятных последствий выполнения работ со стороны ненадежных организаций, экономит время, позволяет максимально быстро и качественно выполнить все необходимые мероприятия по подключению. </w:t>
      </w:r>
    </w:p>
    <w:p w:rsidR="009F0DC3" w:rsidRPr="004761E0" w:rsidRDefault="00DD1D57" w:rsidP="009F0DC3">
      <w:pPr>
        <w:pStyle w:val="a5"/>
        <w:ind w:left="0" w:firstLine="567"/>
        <w:rPr>
          <w:sz w:val="26"/>
          <w:szCs w:val="26"/>
        </w:rPr>
      </w:pPr>
      <w:r w:rsidRPr="004761E0">
        <w:rPr>
          <w:sz w:val="26"/>
          <w:szCs w:val="26"/>
        </w:rPr>
        <w:t xml:space="preserve">Следует отметить, что </w:t>
      </w:r>
      <w:r w:rsidR="00B12DEF" w:rsidRPr="004761E0">
        <w:rPr>
          <w:sz w:val="26"/>
          <w:szCs w:val="26"/>
        </w:rPr>
        <w:t xml:space="preserve">за </w:t>
      </w:r>
      <w:r w:rsidRPr="004761E0">
        <w:rPr>
          <w:sz w:val="26"/>
          <w:szCs w:val="26"/>
        </w:rPr>
        <w:t xml:space="preserve">первый месяц внедрения пилотного проекта </w:t>
      </w:r>
      <w:r w:rsidR="00333270" w:rsidRPr="004761E0">
        <w:rPr>
          <w:sz w:val="26"/>
          <w:szCs w:val="26"/>
        </w:rPr>
        <w:t>заключено 75 договоров, что говорит о</w:t>
      </w:r>
      <w:r w:rsidRPr="004761E0">
        <w:rPr>
          <w:sz w:val="26"/>
          <w:szCs w:val="26"/>
        </w:rPr>
        <w:t xml:space="preserve"> </w:t>
      </w:r>
      <w:r w:rsidR="00333270" w:rsidRPr="004761E0">
        <w:rPr>
          <w:sz w:val="26"/>
          <w:szCs w:val="26"/>
        </w:rPr>
        <w:t>повышенном</w:t>
      </w:r>
      <w:r w:rsidRPr="004761E0">
        <w:rPr>
          <w:sz w:val="26"/>
          <w:szCs w:val="26"/>
        </w:rPr>
        <w:t xml:space="preserve"> интерес</w:t>
      </w:r>
      <w:r w:rsidR="00333270" w:rsidRPr="004761E0">
        <w:rPr>
          <w:sz w:val="26"/>
          <w:szCs w:val="26"/>
        </w:rPr>
        <w:t>е</w:t>
      </w:r>
      <w:r w:rsidRPr="004761E0">
        <w:rPr>
          <w:sz w:val="26"/>
          <w:szCs w:val="26"/>
        </w:rPr>
        <w:t xml:space="preserve"> клиентов к данной услуге. </w:t>
      </w:r>
    </w:p>
    <w:p w:rsidR="00333270" w:rsidRPr="004761E0" w:rsidRDefault="00333270" w:rsidP="00C25939">
      <w:pPr>
        <w:ind w:firstLine="567"/>
        <w:rPr>
          <w:sz w:val="26"/>
          <w:szCs w:val="26"/>
        </w:rPr>
      </w:pPr>
      <w:r w:rsidRPr="004761E0">
        <w:rPr>
          <w:b/>
          <w:sz w:val="26"/>
          <w:szCs w:val="26"/>
        </w:rPr>
        <w:lastRenderedPageBreak/>
        <w:t>«</w:t>
      </w:r>
      <w:r w:rsidR="00901C42" w:rsidRPr="004761E0">
        <w:rPr>
          <w:b/>
          <w:sz w:val="26"/>
          <w:szCs w:val="26"/>
        </w:rPr>
        <w:t>Э</w:t>
      </w:r>
      <w:r w:rsidRPr="004761E0">
        <w:rPr>
          <w:b/>
          <w:sz w:val="26"/>
          <w:szCs w:val="26"/>
        </w:rPr>
        <w:t>нергопомощь»</w:t>
      </w:r>
      <w:r w:rsidRPr="004761E0">
        <w:rPr>
          <w:sz w:val="26"/>
          <w:szCs w:val="26"/>
        </w:rPr>
        <w:t xml:space="preserve"> </w:t>
      </w:r>
      <w:r w:rsidR="00C25939" w:rsidRPr="004761E0">
        <w:rPr>
          <w:sz w:val="26"/>
          <w:szCs w:val="26"/>
        </w:rPr>
        <w:t>– оперативно-техн</w:t>
      </w:r>
      <w:r w:rsidR="00DD4DB6">
        <w:rPr>
          <w:sz w:val="26"/>
          <w:szCs w:val="26"/>
        </w:rPr>
        <w:t>ологическое</w:t>
      </w:r>
      <w:r w:rsidR="00C25939" w:rsidRPr="004761E0">
        <w:rPr>
          <w:sz w:val="26"/>
          <w:szCs w:val="26"/>
        </w:rPr>
        <w:t xml:space="preserve"> управление и обслуживание электрических сетей потребителей, </w:t>
      </w:r>
      <w:r w:rsidR="002648E5" w:rsidRPr="004761E0">
        <w:rPr>
          <w:sz w:val="26"/>
          <w:szCs w:val="26"/>
        </w:rPr>
        <w:t>в</w:t>
      </w:r>
      <w:r w:rsidR="00C25939" w:rsidRPr="004761E0">
        <w:rPr>
          <w:sz w:val="26"/>
          <w:szCs w:val="26"/>
        </w:rPr>
        <w:t xml:space="preserve"> т.ч. внутридомовых сетей, аварийный ремонт электрооборудования. Обслуживание электросетей и установок силами  </w:t>
      </w:r>
      <w:r w:rsidR="0008080E">
        <w:rPr>
          <w:sz w:val="26"/>
          <w:szCs w:val="26"/>
        </w:rPr>
        <w:t>ОАО </w:t>
      </w:r>
      <w:r w:rsidR="00C25939" w:rsidRPr="004761E0">
        <w:rPr>
          <w:sz w:val="26"/>
          <w:szCs w:val="26"/>
        </w:rPr>
        <w:t>«МОЭСК» дает возможность непрофильным предприятиям существенно сократить расходы на содержание электрооборудования и технического персонала. Эта услуга повысит эффективность и надежность функционирования электросетей при минимальных затратах клиента. Кроме того, она позволяет обеспечить безопасную эксплуатацию электроустановок организации в полном соответствии с требованиями существующих правил безопасности.</w:t>
      </w:r>
    </w:p>
    <w:p w:rsidR="00C25939" w:rsidRPr="004761E0" w:rsidRDefault="00333270" w:rsidP="00C25939">
      <w:pPr>
        <w:ind w:firstLine="567"/>
        <w:rPr>
          <w:sz w:val="26"/>
          <w:szCs w:val="26"/>
        </w:rPr>
      </w:pPr>
      <w:r w:rsidRPr="004761E0">
        <w:rPr>
          <w:b/>
          <w:sz w:val="26"/>
          <w:szCs w:val="26"/>
        </w:rPr>
        <w:t>«</w:t>
      </w:r>
      <w:r w:rsidR="00901C42" w:rsidRPr="004761E0">
        <w:rPr>
          <w:b/>
          <w:sz w:val="26"/>
          <w:szCs w:val="26"/>
        </w:rPr>
        <w:t>С</w:t>
      </w:r>
      <w:r w:rsidRPr="004761E0">
        <w:rPr>
          <w:b/>
          <w:sz w:val="26"/>
          <w:szCs w:val="26"/>
        </w:rPr>
        <w:t>ети вне границ»</w:t>
      </w:r>
      <w:r w:rsidRPr="004761E0">
        <w:rPr>
          <w:sz w:val="26"/>
          <w:szCs w:val="26"/>
        </w:rPr>
        <w:t xml:space="preserve"> </w:t>
      </w:r>
      <w:r w:rsidR="00C25939" w:rsidRPr="004761E0">
        <w:rPr>
          <w:sz w:val="26"/>
          <w:szCs w:val="26"/>
        </w:rPr>
        <w:t xml:space="preserve">– вынос объектов электросетевого хозяйства </w:t>
      </w:r>
      <w:r w:rsidR="0008080E">
        <w:rPr>
          <w:sz w:val="26"/>
          <w:szCs w:val="26"/>
        </w:rPr>
        <w:t>ОАО </w:t>
      </w:r>
      <w:r w:rsidR="00C25939" w:rsidRPr="004761E0">
        <w:rPr>
          <w:sz w:val="26"/>
          <w:szCs w:val="26"/>
        </w:rPr>
        <w:t xml:space="preserve">«МОЭСК» с территории организации, осуществляющей застройку. </w:t>
      </w:r>
      <w:r w:rsidR="00C25939" w:rsidRPr="004761E0">
        <w:rPr>
          <w:bCs/>
          <w:sz w:val="26"/>
          <w:szCs w:val="26"/>
        </w:rPr>
        <w:t xml:space="preserve">Преимущества выноса электросетей силами </w:t>
      </w:r>
      <w:r w:rsidR="0008080E">
        <w:rPr>
          <w:bCs/>
          <w:sz w:val="26"/>
          <w:szCs w:val="26"/>
        </w:rPr>
        <w:t>ОАО </w:t>
      </w:r>
      <w:r w:rsidR="00C25939" w:rsidRPr="004761E0">
        <w:rPr>
          <w:bCs/>
          <w:sz w:val="26"/>
          <w:szCs w:val="26"/>
        </w:rPr>
        <w:t>«МОЭСК»</w:t>
      </w:r>
      <w:r w:rsidR="00CD424D" w:rsidRPr="004761E0">
        <w:rPr>
          <w:bCs/>
          <w:sz w:val="26"/>
          <w:szCs w:val="26"/>
        </w:rPr>
        <w:t xml:space="preserve"> для клиентов</w:t>
      </w:r>
      <w:r w:rsidR="00C25939" w:rsidRPr="004761E0">
        <w:rPr>
          <w:bCs/>
          <w:sz w:val="26"/>
          <w:szCs w:val="26"/>
        </w:rPr>
        <w:t>:</w:t>
      </w:r>
    </w:p>
    <w:p w:rsidR="00C25939" w:rsidRPr="004761E0" w:rsidRDefault="00C25939" w:rsidP="007076A7">
      <w:pPr>
        <w:numPr>
          <w:ilvl w:val="0"/>
          <w:numId w:val="309"/>
        </w:numPr>
        <w:tabs>
          <w:tab w:val="clear" w:pos="720"/>
          <w:tab w:val="num" w:pos="1134"/>
        </w:tabs>
        <w:ind w:left="1134" w:hanging="567"/>
        <w:rPr>
          <w:sz w:val="26"/>
          <w:szCs w:val="26"/>
        </w:rPr>
      </w:pPr>
      <w:r w:rsidRPr="004761E0">
        <w:rPr>
          <w:sz w:val="26"/>
          <w:szCs w:val="26"/>
        </w:rPr>
        <w:t xml:space="preserve">обеспечение высокого уровня проектных и монтажных работ, а также тщательное соблюдение всех требований стандартов, норм и правил при осуществлении выноса электрических сетей предприятия; </w:t>
      </w:r>
    </w:p>
    <w:p w:rsidR="00C25939" w:rsidRPr="004761E0" w:rsidRDefault="00C25939" w:rsidP="007076A7">
      <w:pPr>
        <w:numPr>
          <w:ilvl w:val="0"/>
          <w:numId w:val="309"/>
        </w:numPr>
        <w:tabs>
          <w:tab w:val="clear" w:pos="720"/>
          <w:tab w:val="num" w:pos="1134"/>
        </w:tabs>
        <w:ind w:left="1134" w:hanging="567"/>
        <w:rPr>
          <w:sz w:val="26"/>
          <w:szCs w:val="26"/>
        </w:rPr>
      </w:pPr>
      <w:r w:rsidRPr="004761E0">
        <w:rPr>
          <w:sz w:val="26"/>
          <w:szCs w:val="26"/>
        </w:rPr>
        <w:t xml:space="preserve">сокращение продолжительности работ </w:t>
      </w:r>
      <w:r w:rsidR="00CD424D" w:rsidRPr="004761E0">
        <w:rPr>
          <w:sz w:val="26"/>
          <w:szCs w:val="26"/>
        </w:rPr>
        <w:t>и обеспечение высокого качества услуги за счет высокотехнологичных методов проектирования и современных технологий монтажа</w:t>
      </w:r>
      <w:r w:rsidRPr="004761E0">
        <w:rPr>
          <w:sz w:val="26"/>
          <w:szCs w:val="26"/>
        </w:rPr>
        <w:t>;</w:t>
      </w:r>
    </w:p>
    <w:p w:rsidR="00C25939" w:rsidRPr="004761E0" w:rsidRDefault="00C25939" w:rsidP="007076A7">
      <w:pPr>
        <w:numPr>
          <w:ilvl w:val="0"/>
          <w:numId w:val="309"/>
        </w:numPr>
        <w:tabs>
          <w:tab w:val="clear" w:pos="720"/>
          <w:tab w:val="num" w:pos="1134"/>
        </w:tabs>
        <w:ind w:left="1134" w:hanging="567"/>
        <w:rPr>
          <w:sz w:val="26"/>
          <w:szCs w:val="26"/>
        </w:rPr>
      </w:pPr>
      <w:r w:rsidRPr="004761E0">
        <w:rPr>
          <w:sz w:val="26"/>
          <w:szCs w:val="26"/>
        </w:rPr>
        <w:t xml:space="preserve">сокращение </w:t>
      </w:r>
      <w:r w:rsidR="00CD424D" w:rsidRPr="004761E0">
        <w:rPr>
          <w:sz w:val="26"/>
          <w:szCs w:val="26"/>
        </w:rPr>
        <w:t>затрат.</w:t>
      </w:r>
    </w:p>
    <w:p w:rsidR="00C25939" w:rsidRPr="004761E0" w:rsidRDefault="00901C42" w:rsidP="00C25939">
      <w:pPr>
        <w:tabs>
          <w:tab w:val="num" w:pos="1134"/>
        </w:tabs>
        <w:ind w:firstLine="567"/>
        <w:rPr>
          <w:sz w:val="26"/>
          <w:szCs w:val="26"/>
        </w:rPr>
      </w:pPr>
      <w:r w:rsidRPr="004761E0">
        <w:rPr>
          <w:b/>
          <w:sz w:val="26"/>
          <w:szCs w:val="26"/>
        </w:rPr>
        <w:t>«Я</w:t>
      </w:r>
      <w:r w:rsidR="00333270" w:rsidRPr="004761E0">
        <w:rPr>
          <w:b/>
          <w:sz w:val="26"/>
          <w:szCs w:val="26"/>
        </w:rPr>
        <w:t xml:space="preserve">ркий свет» </w:t>
      </w:r>
      <w:r w:rsidR="00C25939" w:rsidRPr="004761E0">
        <w:rPr>
          <w:sz w:val="26"/>
          <w:szCs w:val="26"/>
        </w:rPr>
        <w:t>– проектирование, строительство, эксплуатация, ремонт сетей</w:t>
      </w:r>
      <w:r w:rsidR="00C25939" w:rsidRPr="004761E0">
        <w:rPr>
          <w:color w:val="FF0000"/>
          <w:sz w:val="26"/>
          <w:szCs w:val="26"/>
        </w:rPr>
        <w:t xml:space="preserve"> </w:t>
      </w:r>
      <w:r w:rsidR="00C25939" w:rsidRPr="004761E0">
        <w:rPr>
          <w:sz w:val="26"/>
          <w:szCs w:val="26"/>
        </w:rPr>
        <w:t xml:space="preserve">наружного освещения путем участия в строительстве новых объектов наружного освещения (в особенности в Новой Москве) и конкурсах на заключение договоров по эксплуатации объектов наружного освещения, выполнение работ в рамках Программы реконструкции внутриподъездного и уличного освещения, заключение договоров на размещение объектов наружного освещения на существующих ЛЭП </w:t>
      </w:r>
      <w:r w:rsidR="0008080E">
        <w:rPr>
          <w:sz w:val="26"/>
          <w:szCs w:val="26"/>
        </w:rPr>
        <w:t>ОАО </w:t>
      </w:r>
      <w:r w:rsidR="00C25939" w:rsidRPr="004761E0">
        <w:rPr>
          <w:sz w:val="26"/>
          <w:szCs w:val="26"/>
        </w:rPr>
        <w:t>«МОЭСК».</w:t>
      </w:r>
    </w:p>
    <w:p w:rsidR="00027A32" w:rsidRPr="004761E0" w:rsidRDefault="00ED7BAE" w:rsidP="00333270">
      <w:pPr>
        <w:ind w:firstLine="567"/>
        <w:rPr>
          <w:sz w:val="26"/>
          <w:szCs w:val="26"/>
        </w:rPr>
      </w:pPr>
      <w:r w:rsidRPr="004761E0">
        <w:rPr>
          <w:sz w:val="26"/>
          <w:szCs w:val="26"/>
        </w:rPr>
        <w:t>В 2013 году К</w:t>
      </w:r>
      <w:r w:rsidR="00BA326D" w:rsidRPr="004761E0">
        <w:rPr>
          <w:sz w:val="26"/>
          <w:szCs w:val="26"/>
        </w:rPr>
        <w:t xml:space="preserve">омпания продолжила масштабную работу по упрощению процесса технологического присоединения к электросетям </w:t>
      </w:r>
      <w:r w:rsidR="0008080E">
        <w:rPr>
          <w:sz w:val="26"/>
          <w:szCs w:val="26"/>
        </w:rPr>
        <w:t>ОАО </w:t>
      </w:r>
      <w:r w:rsidR="00BA326D" w:rsidRPr="004761E0">
        <w:rPr>
          <w:sz w:val="26"/>
          <w:szCs w:val="26"/>
        </w:rPr>
        <w:t>«МОЭСК». В частности, в рамках запущенного в конце 2012 года проекта «</w:t>
      </w:r>
      <w:r w:rsidR="002A16D3" w:rsidRPr="004761E0">
        <w:rPr>
          <w:sz w:val="26"/>
          <w:szCs w:val="26"/>
        </w:rPr>
        <w:t xml:space="preserve">5 шагов за 3 </w:t>
      </w:r>
      <w:r w:rsidR="00BA326D" w:rsidRPr="004761E0">
        <w:rPr>
          <w:sz w:val="26"/>
          <w:szCs w:val="26"/>
        </w:rPr>
        <w:t xml:space="preserve">визита» </w:t>
      </w:r>
      <w:r w:rsidR="0088058E" w:rsidRPr="004761E0">
        <w:rPr>
          <w:sz w:val="26"/>
          <w:szCs w:val="26"/>
        </w:rPr>
        <w:t>для заявителей с максимальной мощностью до 150 кВт</w:t>
      </w:r>
      <w:r w:rsidR="00BA326D" w:rsidRPr="004761E0">
        <w:rPr>
          <w:sz w:val="26"/>
          <w:szCs w:val="26"/>
        </w:rPr>
        <w:t xml:space="preserve">, </w:t>
      </w:r>
      <w:r w:rsidR="00FC1211" w:rsidRPr="004761E0">
        <w:rPr>
          <w:sz w:val="26"/>
          <w:szCs w:val="26"/>
        </w:rPr>
        <w:t>количество этапов технологического присоединения сокращено с 19 до 5</w:t>
      </w:r>
      <w:r w:rsidR="00842AC8" w:rsidRPr="004761E0">
        <w:rPr>
          <w:sz w:val="26"/>
          <w:szCs w:val="26"/>
        </w:rPr>
        <w:t>,</w:t>
      </w:r>
      <w:r w:rsidR="00FC1211" w:rsidRPr="004761E0">
        <w:rPr>
          <w:sz w:val="26"/>
          <w:szCs w:val="26"/>
        </w:rPr>
        <w:t xml:space="preserve"> срок технологического присоединения объектов мощностью от 15 кВт до 150 кВт сокращен со 180 до 120 дней</w:t>
      </w:r>
      <w:r w:rsidR="00223FB3">
        <w:rPr>
          <w:sz w:val="26"/>
          <w:szCs w:val="26"/>
        </w:rPr>
        <w:t xml:space="preserve"> в соответствии с действующим законодательством</w:t>
      </w:r>
      <w:r w:rsidR="00223FB3" w:rsidRPr="006F4AB8">
        <w:rPr>
          <w:rStyle w:val="af1"/>
        </w:rPr>
        <w:footnoteReference w:id="45"/>
      </w:r>
      <w:r w:rsidR="00FC1211" w:rsidRPr="004761E0">
        <w:rPr>
          <w:sz w:val="26"/>
          <w:szCs w:val="26"/>
        </w:rPr>
        <w:t>.</w:t>
      </w:r>
    </w:p>
    <w:p w:rsidR="00027A32" w:rsidRPr="004761E0" w:rsidRDefault="00BA326D" w:rsidP="0036297B">
      <w:pPr>
        <w:shd w:val="clear" w:color="auto" w:fill="FFFFFF"/>
        <w:ind w:firstLine="567"/>
        <w:rPr>
          <w:rFonts w:eastAsia="Times New Roman"/>
          <w:color w:val="000000"/>
          <w:sz w:val="26"/>
          <w:szCs w:val="26"/>
          <w:lang w:eastAsia="ru-RU"/>
        </w:rPr>
      </w:pPr>
      <w:r w:rsidRPr="004761E0">
        <w:rPr>
          <w:rFonts w:eastAsia="Times New Roman"/>
          <w:color w:val="000000"/>
          <w:sz w:val="26"/>
          <w:szCs w:val="26"/>
          <w:lang w:eastAsia="ru-RU"/>
        </w:rPr>
        <w:t xml:space="preserve">Практические результаты проекта легли в основу оценки Всемирного банка в рейтинге Doing Business: </w:t>
      </w:r>
      <w:r w:rsidR="001D3790" w:rsidRPr="004761E0">
        <w:rPr>
          <w:rFonts w:eastAsia="Times New Roman"/>
          <w:color w:val="000000"/>
          <w:sz w:val="26"/>
          <w:szCs w:val="26"/>
          <w:lang w:eastAsia="ru-RU"/>
        </w:rPr>
        <w:t xml:space="preserve">г. </w:t>
      </w:r>
      <w:r w:rsidRPr="004761E0">
        <w:rPr>
          <w:rFonts w:eastAsia="Times New Roman"/>
          <w:color w:val="000000"/>
          <w:sz w:val="26"/>
          <w:szCs w:val="26"/>
          <w:lang w:eastAsia="ru-RU"/>
        </w:rPr>
        <w:t xml:space="preserve">Москва по показателю «доступность сетевой инфраструктуры» за год поднялась почти на 70 пунктов до 117 места. За год столичные энергетики сократили вдвое (с 10 до 5) количество очных визитов в </w:t>
      </w:r>
      <w:r w:rsidR="005E3A32" w:rsidRPr="004761E0">
        <w:rPr>
          <w:rFonts w:eastAsia="Times New Roman"/>
          <w:color w:val="000000"/>
          <w:sz w:val="26"/>
          <w:szCs w:val="26"/>
          <w:lang w:eastAsia="ru-RU"/>
        </w:rPr>
        <w:t>К</w:t>
      </w:r>
      <w:r w:rsidRPr="004761E0">
        <w:rPr>
          <w:rFonts w:eastAsia="Times New Roman"/>
          <w:color w:val="000000"/>
          <w:sz w:val="26"/>
          <w:szCs w:val="26"/>
          <w:lang w:eastAsia="ru-RU"/>
        </w:rPr>
        <w:t>омпанию, сроки подключения – на 40</w:t>
      </w:r>
      <w:r w:rsidR="005E3A32" w:rsidRPr="004761E0">
        <w:rPr>
          <w:rFonts w:eastAsia="Times New Roman"/>
          <w:color w:val="000000"/>
          <w:sz w:val="26"/>
          <w:szCs w:val="26"/>
          <w:lang w:eastAsia="ru-RU"/>
        </w:rPr>
        <w:t> </w:t>
      </w:r>
      <w:r w:rsidRPr="004761E0">
        <w:rPr>
          <w:rFonts w:eastAsia="Times New Roman"/>
          <w:color w:val="000000"/>
          <w:sz w:val="26"/>
          <w:szCs w:val="26"/>
          <w:lang w:eastAsia="ru-RU"/>
        </w:rPr>
        <w:t>%, стоимость присоединения снизили практически в 5 раз. </w:t>
      </w:r>
    </w:p>
    <w:p w:rsidR="001D730F" w:rsidRPr="004761E0" w:rsidRDefault="0088058E" w:rsidP="001D730F">
      <w:pPr>
        <w:shd w:val="clear" w:color="auto" w:fill="FFFFFF"/>
        <w:ind w:firstLine="567"/>
        <w:rPr>
          <w:sz w:val="26"/>
          <w:szCs w:val="26"/>
        </w:rPr>
      </w:pPr>
      <w:r w:rsidRPr="004761E0">
        <w:rPr>
          <w:sz w:val="26"/>
          <w:szCs w:val="26"/>
        </w:rPr>
        <w:t xml:space="preserve">В 2014 году планируется </w:t>
      </w:r>
      <w:r w:rsidR="00BA326D" w:rsidRPr="004761E0">
        <w:rPr>
          <w:sz w:val="26"/>
          <w:szCs w:val="26"/>
        </w:rPr>
        <w:t>к запуску пилотный проект «</w:t>
      </w:r>
      <w:r w:rsidR="002A16D3" w:rsidRPr="004761E0">
        <w:rPr>
          <w:sz w:val="26"/>
          <w:szCs w:val="26"/>
        </w:rPr>
        <w:t>3 шага – 2</w:t>
      </w:r>
      <w:r w:rsidR="00BA326D" w:rsidRPr="004761E0">
        <w:rPr>
          <w:sz w:val="26"/>
          <w:szCs w:val="26"/>
        </w:rPr>
        <w:t xml:space="preserve"> визита», благодаря которому </w:t>
      </w:r>
      <w:r w:rsidR="002A16D3" w:rsidRPr="004761E0">
        <w:rPr>
          <w:sz w:val="26"/>
          <w:szCs w:val="26"/>
        </w:rPr>
        <w:t xml:space="preserve">у потенциальных клиентов </w:t>
      </w:r>
      <w:r w:rsidR="001D730F" w:rsidRPr="004761E0">
        <w:rPr>
          <w:sz w:val="26"/>
          <w:szCs w:val="26"/>
        </w:rPr>
        <w:t xml:space="preserve">появится возможность подать заявку на технологическое присоединение посредством сети «Интернет» без обращения в </w:t>
      </w:r>
      <w:r w:rsidR="001D730F" w:rsidRPr="004761E0">
        <w:rPr>
          <w:sz w:val="26"/>
          <w:szCs w:val="26"/>
        </w:rPr>
        <w:lastRenderedPageBreak/>
        <w:t xml:space="preserve">клиентский офис </w:t>
      </w:r>
      <w:r w:rsidR="0008080E">
        <w:rPr>
          <w:sz w:val="26"/>
          <w:szCs w:val="26"/>
        </w:rPr>
        <w:t>ОАО </w:t>
      </w:r>
      <w:r w:rsidR="001D730F" w:rsidRPr="004761E0">
        <w:rPr>
          <w:sz w:val="26"/>
          <w:szCs w:val="26"/>
        </w:rPr>
        <w:t>«МОЭСК», а при заключении договора технологического присоединения (по желанию клиента) также заключить и договор энергоснабжения. Кроме того, ожидается:</w:t>
      </w:r>
    </w:p>
    <w:p w:rsidR="00C64BC5" w:rsidRPr="004761E0" w:rsidRDefault="00C64BC5" w:rsidP="007076A7">
      <w:pPr>
        <w:pStyle w:val="a5"/>
        <w:numPr>
          <w:ilvl w:val="0"/>
          <w:numId w:val="272"/>
        </w:numPr>
        <w:ind w:left="1134" w:hanging="567"/>
        <w:contextualSpacing w:val="0"/>
        <w:rPr>
          <w:sz w:val="26"/>
          <w:szCs w:val="26"/>
        </w:rPr>
      </w:pPr>
      <w:r w:rsidRPr="004761E0">
        <w:rPr>
          <w:sz w:val="26"/>
          <w:szCs w:val="26"/>
        </w:rPr>
        <w:t>сокращение срока т</w:t>
      </w:r>
      <w:r w:rsidR="001D730F" w:rsidRPr="004761E0">
        <w:rPr>
          <w:sz w:val="26"/>
          <w:szCs w:val="26"/>
        </w:rPr>
        <w:t xml:space="preserve">ехнологического присоединения </w:t>
      </w:r>
      <w:r w:rsidRPr="004761E0">
        <w:rPr>
          <w:sz w:val="26"/>
          <w:szCs w:val="26"/>
        </w:rPr>
        <w:t xml:space="preserve">для абонентов до 150 кВт </w:t>
      </w:r>
      <w:r w:rsidR="001D730F" w:rsidRPr="004761E0">
        <w:rPr>
          <w:sz w:val="26"/>
          <w:szCs w:val="26"/>
        </w:rPr>
        <w:t xml:space="preserve">со 120 </w:t>
      </w:r>
      <w:r w:rsidRPr="004761E0">
        <w:rPr>
          <w:sz w:val="26"/>
          <w:szCs w:val="26"/>
        </w:rPr>
        <w:t>до 90 дней</w:t>
      </w:r>
      <w:r w:rsidR="001D730F" w:rsidRPr="004761E0">
        <w:rPr>
          <w:sz w:val="26"/>
          <w:szCs w:val="26"/>
        </w:rPr>
        <w:t>;</w:t>
      </w:r>
    </w:p>
    <w:p w:rsidR="00C64BC5" w:rsidRPr="004761E0" w:rsidRDefault="00C64BC5" w:rsidP="007076A7">
      <w:pPr>
        <w:pStyle w:val="a5"/>
        <w:numPr>
          <w:ilvl w:val="0"/>
          <w:numId w:val="272"/>
        </w:numPr>
        <w:ind w:left="1134" w:hanging="567"/>
        <w:contextualSpacing w:val="0"/>
        <w:rPr>
          <w:sz w:val="26"/>
          <w:szCs w:val="26"/>
        </w:rPr>
      </w:pPr>
      <w:r w:rsidRPr="004761E0">
        <w:rPr>
          <w:sz w:val="26"/>
          <w:szCs w:val="26"/>
        </w:rPr>
        <w:t xml:space="preserve">сокращение числа визитов </w:t>
      </w:r>
      <w:r w:rsidR="001D730F" w:rsidRPr="004761E0">
        <w:rPr>
          <w:sz w:val="26"/>
          <w:szCs w:val="26"/>
        </w:rPr>
        <w:t>для подписания договора и получения актов технологического присоединения с 3-х до 2-х.</w:t>
      </w:r>
    </w:p>
    <w:p w:rsidR="00C40E81" w:rsidRPr="004761E0" w:rsidRDefault="00BA326D" w:rsidP="00D42214">
      <w:pPr>
        <w:ind w:firstLine="567"/>
        <w:rPr>
          <w:sz w:val="26"/>
          <w:szCs w:val="26"/>
        </w:rPr>
      </w:pPr>
      <w:r w:rsidRPr="004761E0">
        <w:rPr>
          <w:sz w:val="26"/>
          <w:szCs w:val="26"/>
        </w:rPr>
        <w:t xml:space="preserve">В </w:t>
      </w:r>
      <w:r w:rsidR="00C40E81" w:rsidRPr="004761E0">
        <w:rPr>
          <w:sz w:val="26"/>
          <w:szCs w:val="26"/>
        </w:rPr>
        <w:t>целях оперативного решения проблемных вопросов технологиче</w:t>
      </w:r>
      <w:r w:rsidR="001D730F" w:rsidRPr="004761E0">
        <w:rPr>
          <w:sz w:val="26"/>
          <w:szCs w:val="26"/>
        </w:rPr>
        <w:t>с</w:t>
      </w:r>
      <w:r w:rsidR="00C40E81" w:rsidRPr="004761E0">
        <w:rPr>
          <w:sz w:val="26"/>
          <w:szCs w:val="26"/>
        </w:rPr>
        <w:t>кого присоединения</w:t>
      </w:r>
      <w:r w:rsidR="00FC1211" w:rsidRPr="004761E0">
        <w:rPr>
          <w:sz w:val="26"/>
          <w:szCs w:val="26"/>
        </w:rPr>
        <w:t>,</w:t>
      </w:r>
      <w:r w:rsidR="00C40E81" w:rsidRPr="004761E0">
        <w:rPr>
          <w:sz w:val="26"/>
          <w:szCs w:val="26"/>
        </w:rPr>
        <w:t xml:space="preserve"> начиная с </w:t>
      </w:r>
      <w:r w:rsidR="0088058E" w:rsidRPr="004761E0">
        <w:rPr>
          <w:sz w:val="26"/>
          <w:szCs w:val="26"/>
        </w:rPr>
        <w:t xml:space="preserve">августа </w:t>
      </w:r>
      <w:r w:rsidR="00C40E81" w:rsidRPr="004761E0">
        <w:rPr>
          <w:sz w:val="26"/>
          <w:szCs w:val="26"/>
        </w:rPr>
        <w:t>2</w:t>
      </w:r>
      <w:r w:rsidRPr="004761E0">
        <w:rPr>
          <w:sz w:val="26"/>
          <w:szCs w:val="26"/>
        </w:rPr>
        <w:t xml:space="preserve">013 </w:t>
      </w:r>
      <w:r w:rsidR="0088058E" w:rsidRPr="004761E0">
        <w:rPr>
          <w:sz w:val="26"/>
          <w:szCs w:val="26"/>
        </w:rPr>
        <w:t>года</w:t>
      </w:r>
      <w:r w:rsidR="00ED7BAE" w:rsidRPr="004761E0">
        <w:rPr>
          <w:sz w:val="26"/>
          <w:szCs w:val="26"/>
        </w:rPr>
        <w:t>,</w:t>
      </w:r>
      <w:r w:rsidR="0088058E" w:rsidRPr="004761E0">
        <w:rPr>
          <w:sz w:val="26"/>
          <w:szCs w:val="26"/>
        </w:rPr>
        <w:t xml:space="preserve"> </w:t>
      </w:r>
      <w:r w:rsidR="00C40E81" w:rsidRPr="004761E0">
        <w:rPr>
          <w:sz w:val="26"/>
          <w:szCs w:val="26"/>
        </w:rPr>
        <w:t xml:space="preserve">Обществом </w:t>
      </w:r>
      <w:r w:rsidRPr="004761E0">
        <w:rPr>
          <w:sz w:val="26"/>
          <w:szCs w:val="26"/>
        </w:rPr>
        <w:t xml:space="preserve">организовано </w:t>
      </w:r>
      <w:r w:rsidR="00C40E81" w:rsidRPr="004761E0">
        <w:rPr>
          <w:sz w:val="26"/>
          <w:szCs w:val="26"/>
        </w:rPr>
        <w:t xml:space="preserve">регулярное </w:t>
      </w:r>
      <w:r w:rsidRPr="004761E0">
        <w:rPr>
          <w:sz w:val="26"/>
          <w:szCs w:val="26"/>
        </w:rPr>
        <w:t xml:space="preserve">проведение </w:t>
      </w:r>
      <w:r w:rsidR="00C40E81" w:rsidRPr="004761E0">
        <w:rPr>
          <w:sz w:val="26"/>
          <w:szCs w:val="26"/>
        </w:rPr>
        <w:t xml:space="preserve">мероприятия </w:t>
      </w:r>
      <w:r w:rsidRPr="004761E0">
        <w:rPr>
          <w:sz w:val="26"/>
          <w:szCs w:val="26"/>
        </w:rPr>
        <w:t>«Д</w:t>
      </w:r>
      <w:r w:rsidR="00C40E81" w:rsidRPr="004761E0">
        <w:rPr>
          <w:sz w:val="26"/>
          <w:szCs w:val="26"/>
        </w:rPr>
        <w:t>ень</w:t>
      </w:r>
      <w:r w:rsidRPr="004761E0">
        <w:rPr>
          <w:sz w:val="26"/>
          <w:szCs w:val="26"/>
        </w:rPr>
        <w:t xml:space="preserve"> предпринимателя» </w:t>
      </w:r>
      <w:r w:rsidR="00C40E81" w:rsidRPr="004761E0">
        <w:rPr>
          <w:sz w:val="26"/>
          <w:szCs w:val="26"/>
        </w:rPr>
        <w:t xml:space="preserve">(каждую последнюю среду месяца с 11:00 до 17:00) </w:t>
      </w:r>
      <w:r w:rsidRPr="004761E0">
        <w:rPr>
          <w:sz w:val="26"/>
          <w:szCs w:val="26"/>
        </w:rPr>
        <w:t xml:space="preserve">во всех электросетевых филиалах </w:t>
      </w:r>
      <w:r w:rsidR="0008080E">
        <w:rPr>
          <w:sz w:val="26"/>
          <w:szCs w:val="26"/>
        </w:rPr>
        <w:t>ОАО </w:t>
      </w:r>
      <w:r w:rsidR="00ED7BAE" w:rsidRPr="004761E0">
        <w:rPr>
          <w:sz w:val="26"/>
          <w:szCs w:val="26"/>
        </w:rPr>
        <w:t>«МОЭСК»</w:t>
      </w:r>
      <w:r w:rsidR="00C40E81" w:rsidRPr="004761E0">
        <w:rPr>
          <w:sz w:val="26"/>
          <w:szCs w:val="26"/>
        </w:rPr>
        <w:t>.</w:t>
      </w:r>
      <w:r w:rsidR="00ED7BAE" w:rsidRPr="004761E0">
        <w:rPr>
          <w:sz w:val="26"/>
          <w:szCs w:val="26"/>
        </w:rPr>
        <w:t xml:space="preserve"> Мероприятие представляет собой день открытых дверей для представителей бизнес-сообщества, в ходе которого они смогут получить ответы на все вопросы, заданные лично или в режиме он-лайн.</w:t>
      </w:r>
    </w:p>
    <w:p w:rsidR="000C61B7" w:rsidRPr="004761E0" w:rsidRDefault="000C61B7" w:rsidP="000C61B7">
      <w:pPr>
        <w:ind w:firstLine="567"/>
        <w:rPr>
          <w:sz w:val="26"/>
          <w:szCs w:val="26"/>
        </w:rPr>
      </w:pPr>
      <w:r w:rsidRPr="004761E0">
        <w:rPr>
          <w:sz w:val="26"/>
          <w:szCs w:val="26"/>
        </w:rPr>
        <w:t xml:space="preserve">В 2013 году утвержден Регламент взаимодействия с </w:t>
      </w:r>
      <w:r w:rsidR="0008080E">
        <w:rPr>
          <w:sz w:val="26"/>
          <w:szCs w:val="26"/>
        </w:rPr>
        <w:t>ОАО </w:t>
      </w:r>
      <w:r w:rsidRPr="004761E0">
        <w:rPr>
          <w:sz w:val="26"/>
          <w:szCs w:val="26"/>
        </w:rPr>
        <w:t xml:space="preserve">«Мосэнергосбыт», реализована возможность подачи напряжения и оформления допуска </w:t>
      </w:r>
      <w:r w:rsidR="00FC1211" w:rsidRPr="004761E0">
        <w:rPr>
          <w:sz w:val="26"/>
          <w:szCs w:val="26"/>
        </w:rPr>
        <w:t>энергопринимающих устройств</w:t>
      </w:r>
      <w:r w:rsidRPr="004761E0">
        <w:rPr>
          <w:sz w:val="26"/>
          <w:szCs w:val="26"/>
        </w:rPr>
        <w:t xml:space="preserve"> на месте, </w:t>
      </w:r>
      <w:r w:rsidR="005E3A32" w:rsidRPr="004761E0">
        <w:rPr>
          <w:sz w:val="26"/>
          <w:szCs w:val="26"/>
        </w:rPr>
        <w:t>а также</w:t>
      </w:r>
      <w:r w:rsidRPr="004761E0">
        <w:rPr>
          <w:sz w:val="26"/>
          <w:szCs w:val="26"/>
        </w:rPr>
        <w:t xml:space="preserve"> подачи заявки на </w:t>
      </w:r>
      <w:r w:rsidR="00FC1211" w:rsidRPr="004761E0">
        <w:rPr>
          <w:sz w:val="26"/>
          <w:szCs w:val="26"/>
        </w:rPr>
        <w:t>технологическое присоединение</w:t>
      </w:r>
      <w:r w:rsidRPr="004761E0">
        <w:rPr>
          <w:sz w:val="26"/>
          <w:szCs w:val="26"/>
        </w:rPr>
        <w:t xml:space="preserve"> в офисе </w:t>
      </w:r>
      <w:r w:rsidR="0008080E">
        <w:rPr>
          <w:sz w:val="26"/>
          <w:szCs w:val="26"/>
        </w:rPr>
        <w:t>ОАО </w:t>
      </w:r>
      <w:r w:rsidRPr="004761E0">
        <w:rPr>
          <w:sz w:val="26"/>
          <w:szCs w:val="26"/>
        </w:rPr>
        <w:t>«Мосэнергосбыт».</w:t>
      </w:r>
    </w:p>
    <w:p w:rsidR="00027A32" w:rsidRPr="004761E0" w:rsidRDefault="00BA326D" w:rsidP="00B20C95">
      <w:pPr>
        <w:tabs>
          <w:tab w:val="left" w:pos="426"/>
        </w:tabs>
        <w:spacing w:before="120" w:after="120"/>
        <w:ind w:firstLine="567"/>
        <w:rPr>
          <w:b/>
          <w:sz w:val="26"/>
          <w:szCs w:val="26"/>
        </w:rPr>
      </w:pPr>
      <w:r w:rsidRPr="004761E0">
        <w:rPr>
          <w:b/>
          <w:sz w:val="26"/>
          <w:szCs w:val="26"/>
        </w:rPr>
        <w:t>Заочное обслуживание потребителей услуг</w:t>
      </w:r>
    </w:p>
    <w:p w:rsidR="002648E5" w:rsidRPr="007877E1" w:rsidRDefault="00BA326D" w:rsidP="002648E5">
      <w:pPr>
        <w:ind w:firstLine="567"/>
        <w:rPr>
          <w:sz w:val="26"/>
          <w:szCs w:val="26"/>
        </w:rPr>
      </w:pPr>
      <w:r w:rsidRPr="007877E1">
        <w:rPr>
          <w:sz w:val="26"/>
          <w:szCs w:val="26"/>
        </w:rPr>
        <w:t xml:space="preserve">В 2013 году Правлением принято решение </w:t>
      </w:r>
      <w:r w:rsidR="003B7B34" w:rsidRPr="007877E1">
        <w:rPr>
          <w:sz w:val="26"/>
          <w:szCs w:val="26"/>
        </w:rPr>
        <w:t>о</w:t>
      </w:r>
      <w:r w:rsidR="00567740" w:rsidRPr="007877E1">
        <w:rPr>
          <w:sz w:val="26"/>
          <w:szCs w:val="26"/>
        </w:rPr>
        <w:t xml:space="preserve"> создании единого информационного центра – контактного центра «Светлая линия». В результате </w:t>
      </w:r>
      <w:r w:rsidR="005E3A32" w:rsidRPr="007877E1">
        <w:rPr>
          <w:sz w:val="26"/>
          <w:szCs w:val="26"/>
          <w:lang w:val="en-US"/>
        </w:rPr>
        <w:t>c</w:t>
      </w:r>
      <w:r w:rsidR="005E3A32" w:rsidRPr="007877E1">
        <w:rPr>
          <w:color w:val="000000"/>
          <w:sz w:val="26"/>
          <w:szCs w:val="26"/>
          <w:lang w:val="en-US"/>
        </w:rPr>
        <w:t>all</w:t>
      </w:r>
      <w:r w:rsidR="005E3A32" w:rsidRPr="007877E1">
        <w:rPr>
          <w:color w:val="000000"/>
          <w:sz w:val="26"/>
          <w:szCs w:val="26"/>
        </w:rPr>
        <w:t xml:space="preserve">-центры филиалов закрыты, </w:t>
      </w:r>
      <w:r w:rsidR="003B7B34" w:rsidRPr="007877E1">
        <w:rPr>
          <w:color w:val="000000"/>
          <w:sz w:val="26"/>
          <w:szCs w:val="26"/>
        </w:rPr>
        <w:t>обслуживани</w:t>
      </w:r>
      <w:r w:rsidR="00567740" w:rsidRPr="007877E1">
        <w:rPr>
          <w:color w:val="000000"/>
          <w:sz w:val="26"/>
          <w:szCs w:val="26"/>
        </w:rPr>
        <w:t>е</w:t>
      </w:r>
      <w:r w:rsidR="003B7B34" w:rsidRPr="007877E1">
        <w:rPr>
          <w:color w:val="000000"/>
          <w:sz w:val="26"/>
          <w:szCs w:val="26"/>
        </w:rPr>
        <w:t xml:space="preserve"> по информир</w:t>
      </w:r>
      <w:r w:rsidR="00567740" w:rsidRPr="007877E1">
        <w:rPr>
          <w:color w:val="000000"/>
          <w:sz w:val="26"/>
          <w:szCs w:val="26"/>
        </w:rPr>
        <w:t xml:space="preserve">ованию потенциальных клиентов переведено </w:t>
      </w:r>
      <w:r w:rsidR="003B7B34" w:rsidRPr="007877E1">
        <w:rPr>
          <w:color w:val="000000"/>
          <w:sz w:val="26"/>
          <w:szCs w:val="26"/>
        </w:rPr>
        <w:t>на единый номер</w:t>
      </w:r>
      <w:r w:rsidR="00567740" w:rsidRPr="007877E1">
        <w:rPr>
          <w:color w:val="000000"/>
          <w:sz w:val="26"/>
          <w:szCs w:val="26"/>
        </w:rPr>
        <w:t xml:space="preserve"> 8 (800) 700-40-70</w:t>
      </w:r>
      <w:r w:rsidRPr="007877E1">
        <w:rPr>
          <w:color w:val="000000"/>
          <w:sz w:val="26"/>
          <w:szCs w:val="26"/>
        </w:rPr>
        <w:t>.</w:t>
      </w:r>
      <w:r w:rsidR="00576C9E" w:rsidRPr="007877E1">
        <w:rPr>
          <w:color w:val="000000"/>
          <w:sz w:val="26"/>
          <w:szCs w:val="26"/>
        </w:rPr>
        <w:t xml:space="preserve"> </w:t>
      </w:r>
      <w:r w:rsidR="002648E5" w:rsidRPr="007877E1">
        <w:rPr>
          <w:color w:val="000000"/>
          <w:sz w:val="26"/>
          <w:szCs w:val="26"/>
        </w:rPr>
        <w:t>В результате обеспечено увеличение количества принимаемых звонков с одновременным сокращением времени ожидания клиентов в очереди на звонок до 40 сек.</w:t>
      </w:r>
    </w:p>
    <w:p w:rsidR="00D42214" w:rsidRPr="007877E1" w:rsidRDefault="007D2D68" w:rsidP="00D42214">
      <w:pPr>
        <w:tabs>
          <w:tab w:val="left" w:pos="0"/>
        </w:tabs>
        <w:ind w:firstLine="567"/>
        <w:rPr>
          <w:sz w:val="26"/>
          <w:szCs w:val="26"/>
        </w:rPr>
      </w:pPr>
      <w:r w:rsidRPr="007877E1">
        <w:rPr>
          <w:sz w:val="26"/>
          <w:szCs w:val="26"/>
        </w:rPr>
        <w:t>С</w:t>
      </w:r>
      <w:r w:rsidR="00BA326D" w:rsidRPr="007877E1">
        <w:rPr>
          <w:sz w:val="26"/>
          <w:szCs w:val="26"/>
        </w:rPr>
        <w:t xml:space="preserve"> август</w:t>
      </w:r>
      <w:r w:rsidRPr="007877E1">
        <w:rPr>
          <w:sz w:val="26"/>
          <w:szCs w:val="26"/>
        </w:rPr>
        <w:t>а</w:t>
      </w:r>
      <w:r w:rsidR="00BA326D" w:rsidRPr="007877E1">
        <w:rPr>
          <w:sz w:val="26"/>
          <w:szCs w:val="26"/>
        </w:rPr>
        <w:t xml:space="preserve"> 2013 года </w:t>
      </w:r>
      <w:r w:rsidR="003B7B34" w:rsidRPr="007877E1">
        <w:rPr>
          <w:sz w:val="26"/>
          <w:szCs w:val="26"/>
        </w:rPr>
        <w:t xml:space="preserve">Общество </w:t>
      </w:r>
      <w:r w:rsidR="00BA326D" w:rsidRPr="007877E1">
        <w:rPr>
          <w:sz w:val="26"/>
          <w:szCs w:val="26"/>
        </w:rPr>
        <w:t xml:space="preserve">начало информировать клиентов </w:t>
      </w:r>
      <w:r w:rsidR="00BA326D" w:rsidRPr="007877E1">
        <w:rPr>
          <w:color w:val="000000"/>
          <w:sz w:val="26"/>
          <w:szCs w:val="26"/>
        </w:rPr>
        <w:t xml:space="preserve">по вопросам аварийных отключений и качеству энергоснабжения, </w:t>
      </w:r>
      <w:r w:rsidR="00BA326D" w:rsidRPr="007877E1">
        <w:rPr>
          <w:sz w:val="26"/>
          <w:szCs w:val="26"/>
        </w:rPr>
        <w:t>по услугам Общества, дополнительным сервисам.</w:t>
      </w:r>
    </w:p>
    <w:p w:rsidR="00D42214" w:rsidRPr="007877E1" w:rsidRDefault="00BA326D" w:rsidP="00D42214">
      <w:pPr>
        <w:tabs>
          <w:tab w:val="left" w:pos="0"/>
        </w:tabs>
        <w:ind w:firstLine="567"/>
        <w:rPr>
          <w:sz w:val="26"/>
          <w:szCs w:val="26"/>
        </w:rPr>
      </w:pPr>
      <w:r w:rsidRPr="007877E1">
        <w:rPr>
          <w:color w:val="000000"/>
          <w:sz w:val="26"/>
          <w:szCs w:val="26"/>
        </w:rPr>
        <w:t xml:space="preserve">С 05.09.2013 </w:t>
      </w:r>
      <w:r w:rsidRPr="007877E1">
        <w:rPr>
          <w:color w:val="000000"/>
          <w:sz w:val="26"/>
          <w:szCs w:val="26"/>
          <w:lang w:val="en-US"/>
        </w:rPr>
        <w:t>IVR</w:t>
      </w:r>
      <w:r w:rsidR="002648E5" w:rsidRPr="007877E1">
        <w:rPr>
          <w:color w:val="000000"/>
          <w:sz w:val="26"/>
          <w:szCs w:val="26"/>
        </w:rPr>
        <w:t xml:space="preserve"> (от англ. Interactive Voice Response, функция </w:t>
      </w:r>
      <w:r w:rsidR="002648E5" w:rsidRPr="007877E1">
        <w:rPr>
          <w:sz w:val="26"/>
          <w:szCs w:val="26"/>
        </w:rPr>
        <w:t>голосового меню для распределения звонков)</w:t>
      </w:r>
      <w:r w:rsidRPr="007877E1">
        <w:rPr>
          <w:color w:val="000000"/>
          <w:sz w:val="26"/>
          <w:szCs w:val="26"/>
        </w:rPr>
        <w:t xml:space="preserve"> переведен</w:t>
      </w:r>
      <w:r w:rsidR="002648E5" w:rsidRPr="007877E1">
        <w:rPr>
          <w:color w:val="000000"/>
          <w:sz w:val="26"/>
          <w:szCs w:val="26"/>
        </w:rPr>
        <w:t>а</w:t>
      </w:r>
      <w:r w:rsidRPr="007877E1">
        <w:rPr>
          <w:color w:val="000000"/>
          <w:sz w:val="26"/>
          <w:szCs w:val="26"/>
        </w:rPr>
        <w:t xml:space="preserve"> на платформу собственного </w:t>
      </w:r>
      <w:r w:rsidR="007D2D68" w:rsidRPr="007877E1">
        <w:rPr>
          <w:color w:val="000000"/>
          <w:sz w:val="26"/>
          <w:szCs w:val="26"/>
        </w:rPr>
        <w:t>е</w:t>
      </w:r>
      <w:r w:rsidRPr="007877E1">
        <w:rPr>
          <w:color w:val="000000"/>
          <w:sz w:val="26"/>
          <w:szCs w:val="26"/>
        </w:rPr>
        <w:t xml:space="preserve">диного информационного центра – </w:t>
      </w:r>
      <w:r w:rsidR="007D2D68" w:rsidRPr="007877E1">
        <w:rPr>
          <w:color w:val="000000"/>
          <w:sz w:val="26"/>
          <w:szCs w:val="26"/>
        </w:rPr>
        <w:t>к</w:t>
      </w:r>
      <w:r w:rsidRPr="007877E1">
        <w:rPr>
          <w:color w:val="000000"/>
          <w:sz w:val="26"/>
          <w:szCs w:val="26"/>
        </w:rPr>
        <w:t>онтактного центра «Светлая линия», что привело к снижению расходов по договорам на предоставление услуг подрядной организацией, а именно общей стоимости телефонных переговоров. До сентября 2013 года сумма затрат на услуги подрядчиков составляла в месяц около 1,5 млн руб</w:t>
      </w:r>
      <w:r w:rsidR="00576C9E" w:rsidRPr="007877E1">
        <w:rPr>
          <w:color w:val="000000"/>
          <w:sz w:val="26"/>
          <w:szCs w:val="26"/>
        </w:rPr>
        <w:t>.</w:t>
      </w:r>
      <w:r w:rsidRPr="007877E1">
        <w:rPr>
          <w:color w:val="000000"/>
          <w:sz w:val="26"/>
          <w:szCs w:val="26"/>
        </w:rPr>
        <w:t xml:space="preserve">, с переводом </w:t>
      </w:r>
      <w:r w:rsidRPr="007877E1">
        <w:rPr>
          <w:color w:val="000000"/>
          <w:sz w:val="26"/>
          <w:szCs w:val="26"/>
          <w:lang w:val="en-US"/>
        </w:rPr>
        <w:t>IVR</w:t>
      </w:r>
      <w:r w:rsidRPr="007877E1">
        <w:rPr>
          <w:color w:val="000000"/>
          <w:sz w:val="26"/>
          <w:szCs w:val="26"/>
        </w:rPr>
        <w:t xml:space="preserve"> эта сумма уменьшилась до 950 тыс. руб</w:t>
      </w:r>
      <w:r w:rsidR="00576C9E" w:rsidRPr="007877E1">
        <w:rPr>
          <w:color w:val="000000"/>
          <w:sz w:val="26"/>
          <w:szCs w:val="26"/>
        </w:rPr>
        <w:t>.</w:t>
      </w:r>
      <w:r w:rsidRPr="007877E1">
        <w:rPr>
          <w:color w:val="000000"/>
          <w:sz w:val="26"/>
          <w:szCs w:val="26"/>
        </w:rPr>
        <w:t xml:space="preserve"> в месяц. При этом затраты на услуги ЦОВ были и остаются величиной относительно постоянной и составляют около 400-500 тыс. руб</w:t>
      </w:r>
      <w:r w:rsidR="007D2D68" w:rsidRPr="007877E1">
        <w:rPr>
          <w:color w:val="000000"/>
          <w:sz w:val="26"/>
          <w:szCs w:val="26"/>
        </w:rPr>
        <w:t>.</w:t>
      </w:r>
      <w:r w:rsidRPr="007877E1">
        <w:rPr>
          <w:color w:val="000000"/>
          <w:sz w:val="26"/>
          <w:szCs w:val="26"/>
        </w:rPr>
        <w:t xml:space="preserve"> в месяц.</w:t>
      </w:r>
    </w:p>
    <w:p w:rsidR="00D42214" w:rsidRPr="007877E1" w:rsidRDefault="00BA326D" w:rsidP="00D42214">
      <w:pPr>
        <w:tabs>
          <w:tab w:val="left" w:pos="0"/>
        </w:tabs>
        <w:ind w:firstLine="567"/>
        <w:rPr>
          <w:sz w:val="26"/>
          <w:szCs w:val="26"/>
        </w:rPr>
      </w:pPr>
      <w:r w:rsidRPr="007877E1">
        <w:rPr>
          <w:sz w:val="26"/>
          <w:szCs w:val="26"/>
        </w:rPr>
        <w:t>В целях дальнейшего снижения затрат по договорам с аутсорсинговой компанией на услуги центра обработки вызовов, а также затрат на услуги связи, планируется полный перевод всех звонков по вопросам ограничений электроснабжения на операторов собственного Единого информационного центра – Контактного центра «Светлая линия».</w:t>
      </w:r>
    </w:p>
    <w:p w:rsidR="00C64BC5" w:rsidRPr="004761E0" w:rsidRDefault="006C42EA" w:rsidP="00B20C95">
      <w:pPr>
        <w:tabs>
          <w:tab w:val="left" w:pos="426"/>
        </w:tabs>
        <w:spacing w:before="120" w:after="120"/>
        <w:ind w:firstLine="567"/>
        <w:rPr>
          <w:b/>
          <w:sz w:val="26"/>
          <w:szCs w:val="26"/>
        </w:rPr>
      </w:pPr>
      <w:r w:rsidRPr="004761E0">
        <w:rPr>
          <w:b/>
          <w:sz w:val="26"/>
          <w:szCs w:val="26"/>
        </w:rPr>
        <w:t>Интерактивная форма обслуживания</w:t>
      </w:r>
    </w:p>
    <w:p w:rsidR="00840DE1" w:rsidRPr="004761E0" w:rsidRDefault="00840DE1" w:rsidP="001D3790">
      <w:pPr>
        <w:ind w:firstLine="567"/>
        <w:rPr>
          <w:sz w:val="26"/>
          <w:szCs w:val="26"/>
        </w:rPr>
      </w:pPr>
      <w:r w:rsidRPr="004761E0">
        <w:rPr>
          <w:sz w:val="26"/>
          <w:szCs w:val="26"/>
        </w:rPr>
        <w:lastRenderedPageBreak/>
        <w:t xml:space="preserve">В 2013 на портале по технологическому присоединению </w:t>
      </w:r>
      <w:r w:rsidR="0008080E">
        <w:rPr>
          <w:sz w:val="26"/>
          <w:szCs w:val="26"/>
        </w:rPr>
        <w:t>ОАО </w:t>
      </w:r>
      <w:r w:rsidRPr="004761E0">
        <w:rPr>
          <w:sz w:val="26"/>
          <w:szCs w:val="26"/>
        </w:rPr>
        <w:t xml:space="preserve">«МОЭСК» для клиентов внедрен ряд новых сервисов </w:t>
      </w:r>
      <w:r w:rsidR="00EF5C38" w:rsidRPr="004761E0">
        <w:rPr>
          <w:sz w:val="26"/>
          <w:szCs w:val="26"/>
        </w:rPr>
        <w:t>благодаря которым</w:t>
      </w:r>
      <w:r w:rsidRPr="004761E0">
        <w:rPr>
          <w:sz w:val="26"/>
          <w:szCs w:val="26"/>
        </w:rPr>
        <w:t xml:space="preserve"> у потребителей услуг появились следующие возможности:</w:t>
      </w:r>
    </w:p>
    <w:p w:rsidR="00840DE1" w:rsidRPr="004761E0" w:rsidRDefault="00840DE1" w:rsidP="007076A7">
      <w:pPr>
        <w:pStyle w:val="a5"/>
        <w:numPr>
          <w:ilvl w:val="0"/>
          <w:numId w:val="115"/>
        </w:numPr>
        <w:ind w:left="1134" w:hanging="567"/>
        <w:rPr>
          <w:sz w:val="26"/>
          <w:szCs w:val="26"/>
        </w:rPr>
      </w:pPr>
      <w:r w:rsidRPr="004761E0">
        <w:rPr>
          <w:sz w:val="26"/>
          <w:szCs w:val="26"/>
        </w:rPr>
        <w:t>подать заявку на технологическое присоединение в электронной форме</w:t>
      </w:r>
      <w:r w:rsidR="004B0332" w:rsidRPr="004761E0">
        <w:rPr>
          <w:sz w:val="26"/>
          <w:szCs w:val="26"/>
        </w:rPr>
        <w:t xml:space="preserve"> и отслеживать этапы ее рассмотрения, </w:t>
      </w:r>
      <w:r w:rsidRPr="004761E0">
        <w:rPr>
          <w:sz w:val="26"/>
          <w:szCs w:val="26"/>
        </w:rPr>
        <w:t xml:space="preserve">получать информацию о статусе заявки посредством </w:t>
      </w:r>
      <w:r w:rsidRPr="004761E0">
        <w:rPr>
          <w:sz w:val="26"/>
          <w:szCs w:val="26"/>
          <w:lang w:val="en-US"/>
        </w:rPr>
        <w:t>s</w:t>
      </w:r>
      <w:r w:rsidRPr="004761E0">
        <w:rPr>
          <w:sz w:val="26"/>
          <w:szCs w:val="26"/>
        </w:rPr>
        <w:t>ms и электронной почты</w:t>
      </w:r>
      <w:r w:rsidR="00E35E41" w:rsidRPr="004761E0">
        <w:rPr>
          <w:sz w:val="26"/>
          <w:szCs w:val="26"/>
        </w:rPr>
        <w:t xml:space="preserve"> или через личный кабинет</w:t>
      </w:r>
      <w:r w:rsidRPr="004761E0">
        <w:rPr>
          <w:sz w:val="26"/>
          <w:szCs w:val="26"/>
        </w:rPr>
        <w:t>;</w:t>
      </w:r>
    </w:p>
    <w:p w:rsidR="004B0332" w:rsidRPr="004761E0" w:rsidRDefault="004B0332" w:rsidP="007076A7">
      <w:pPr>
        <w:pStyle w:val="a5"/>
        <w:numPr>
          <w:ilvl w:val="0"/>
          <w:numId w:val="115"/>
        </w:numPr>
        <w:ind w:left="1134" w:hanging="567"/>
        <w:rPr>
          <w:sz w:val="26"/>
          <w:szCs w:val="26"/>
        </w:rPr>
      </w:pPr>
      <w:r w:rsidRPr="004761E0">
        <w:rPr>
          <w:sz w:val="26"/>
          <w:szCs w:val="26"/>
        </w:rPr>
        <w:t>рассчитать стоимость технологического присоединения посредством сервиса «Калькулятор стоимости»;</w:t>
      </w:r>
    </w:p>
    <w:p w:rsidR="004B0332" w:rsidRPr="004761E0" w:rsidRDefault="004B0332" w:rsidP="007076A7">
      <w:pPr>
        <w:pStyle w:val="a5"/>
        <w:numPr>
          <w:ilvl w:val="0"/>
          <w:numId w:val="115"/>
        </w:numPr>
        <w:tabs>
          <w:tab w:val="left" w:pos="1134"/>
        </w:tabs>
        <w:ind w:left="1134" w:hanging="567"/>
        <w:rPr>
          <w:sz w:val="26"/>
          <w:szCs w:val="26"/>
        </w:rPr>
      </w:pPr>
      <w:r w:rsidRPr="004761E0">
        <w:rPr>
          <w:sz w:val="26"/>
          <w:szCs w:val="26"/>
        </w:rPr>
        <w:t>ознакомиться с актуальной нормативно-правовой базой</w:t>
      </w:r>
      <w:r w:rsidR="006C42EA" w:rsidRPr="004761E0">
        <w:rPr>
          <w:sz w:val="26"/>
          <w:szCs w:val="26"/>
        </w:rPr>
        <w:t xml:space="preserve">, типовыми формами заявок и договоров, примерами планов электропринимающих устройств, </w:t>
      </w:r>
      <w:r w:rsidRPr="004761E0">
        <w:rPr>
          <w:sz w:val="26"/>
          <w:szCs w:val="26"/>
        </w:rPr>
        <w:t>инструкциями для клиентов</w:t>
      </w:r>
      <w:r w:rsidR="006C42EA" w:rsidRPr="004761E0">
        <w:rPr>
          <w:sz w:val="26"/>
          <w:szCs w:val="26"/>
        </w:rPr>
        <w:t xml:space="preserve">, последними новостями в области технологического присоединения </w:t>
      </w:r>
      <w:r w:rsidRPr="004761E0">
        <w:rPr>
          <w:sz w:val="26"/>
          <w:szCs w:val="26"/>
        </w:rPr>
        <w:t>(информация подлежит регулярному обновлению</w:t>
      </w:r>
      <w:r w:rsidR="00EF5C38" w:rsidRPr="004761E0">
        <w:rPr>
          <w:sz w:val="26"/>
          <w:szCs w:val="26"/>
        </w:rPr>
        <w:t>)</w:t>
      </w:r>
      <w:r w:rsidRPr="004761E0">
        <w:rPr>
          <w:sz w:val="26"/>
          <w:szCs w:val="26"/>
        </w:rPr>
        <w:t>;</w:t>
      </w:r>
    </w:p>
    <w:p w:rsidR="00027A32" w:rsidRPr="004761E0" w:rsidRDefault="006C42EA" w:rsidP="007076A7">
      <w:pPr>
        <w:pStyle w:val="a5"/>
        <w:numPr>
          <w:ilvl w:val="0"/>
          <w:numId w:val="115"/>
        </w:numPr>
        <w:tabs>
          <w:tab w:val="left" w:pos="1134"/>
        </w:tabs>
        <w:ind w:left="1134" w:hanging="567"/>
        <w:rPr>
          <w:sz w:val="26"/>
          <w:szCs w:val="26"/>
        </w:rPr>
      </w:pPr>
      <w:r w:rsidRPr="004761E0">
        <w:rPr>
          <w:sz w:val="26"/>
          <w:szCs w:val="26"/>
        </w:rPr>
        <w:t>заказать посредством интерактивного сервиса обратный звонок;</w:t>
      </w:r>
    </w:p>
    <w:p w:rsidR="004B0332" w:rsidRPr="004761E0" w:rsidRDefault="004B0332" w:rsidP="007076A7">
      <w:pPr>
        <w:pStyle w:val="a5"/>
        <w:numPr>
          <w:ilvl w:val="0"/>
          <w:numId w:val="115"/>
        </w:numPr>
        <w:tabs>
          <w:tab w:val="left" w:pos="1134"/>
        </w:tabs>
        <w:ind w:left="1134" w:hanging="567"/>
        <w:rPr>
          <w:sz w:val="26"/>
          <w:szCs w:val="26"/>
        </w:rPr>
      </w:pPr>
      <w:r w:rsidRPr="004761E0">
        <w:rPr>
          <w:sz w:val="26"/>
          <w:szCs w:val="26"/>
        </w:rPr>
        <w:t>получить ответы по часто задаваемым вопросам технологического присоединения;</w:t>
      </w:r>
    </w:p>
    <w:p w:rsidR="00840DE1" w:rsidRPr="004761E0" w:rsidRDefault="00840DE1" w:rsidP="007076A7">
      <w:pPr>
        <w:pStyle w:val="a5"/>
        <w:numPr>
          <w:ilvl w:val="0"/>
          <w:numId w:val="115"/>
        </w:numPr>
        <w:ind w:left="1134" w:hanging="567"/>
        <w:rPr>
          <w:sz w:val="26"/>
          <w:szCs w:val="26"/>
        </w:rPr>
      </w:pPr>
      <w:r w:rsidRPr="004761E0">
        <w:rPr>
          <w:sz w:val="26"/>
          <w:szCs w:val="26"/>
        </w:rPr>
        <w:t xml:space="preserve">разместить информацию о </w:t>
      </w:r>
      <w:r w:rsidR="00E35E41" w:rsidRPr="004761E0">
        <w:rPr>
          <w:sz w:val="26"/>
          <w:szCs w:val="26"/>
        </w:rPr>
        <w:t xml:space="preserve">лицах, </w:t>
      </w:r>
      <w:r w:rsidRPr="004761E0">
        <w:rPr>
          <w:sz w:val="26"/>
          <w:szCs w:val="26"/>
        </w:rPr>
        <w:t>жела</w:t>
      </w:r>
      <w:r w:rsidR="00E35E41" w:rsidRPr="004761E0">
        <w:rPr>
          <w:sz w:val="26"/>
          <w:szCs w:val="26"/>
        </w:rPr>
        <w:t xml:space="preserve">ющих </w:t>
      </w:r>
      <w:r w:rsidRPr="004761E0">
        <w:rPr>
          <w:sz w:val="26"/>
          <w:szCs w:val="26"/>
        </w:rPr>
        <w:t>перераспределить выделенную максимальную мощность</w:t>
      </w:r>
      <w:r w:rsidR="00930F91" w:rsidRPr="004761E0">
        <w:rPr>
          <w:sz w:val="26"/>
          <w:szCs w:val="26"/>
        </w:rPr>
        <w:t xml:space="preserve"> в разделе портала, посвященному вторичному рынку мощности</w:t>
      </w:r>
      <w:r w:rsidRPr="004761E0">
        <w:rPr>
          <w:sz w:val="26"/>
          <w:szCs w:val="26"/>
        </w:rPr>
        <w:t>;</w:t>
      </w:r>
    </w:p>
    <w:p w:rsidR="00840DE1" w:rsidRPr="004761E0" w:rsidRDefault="00840DE1" w:rsidP="007076A7">
      <w:pPr>
        <w:pStyle w:val="a5"/>
        <w:numPr>
          <w:ilvl w:val="0"/>
          <w:numId w:val="115"/>
        </w:numPr>
        <w:ind w:left="1134" w:hanging="567"/>
        <w:rPr>
          <w:sz w:val="26"/>
          <w:szCs w:val="26"/>
        </w:rPr>
      </w:pPr>
      <w:r w:rsidRPr="004761E0">
        <w:rPr>
          <w:sz w:val="26"/>
          <w:szCs w:val="26"/>
        </w:rPr>
        <w:t xml:space="preserve">выбрать на интерактивной карте с питающими центрами </w:t>
      </w:r>
      <w:r w:rsidR="0008080E">
        <w:rPr>
          <w:sz w:val="26"/>
          <w:szCs w:val="26"/>
        </w:rPr>
        <w:t>ОАО </w:t>
      </w:r>
      <w:r w:rsidRPr="004761E0">
        <w:rPr>
          <w:sz w:val="26"/>
          <w:szCs w:val="26"/>
        </w:rPr>
        <w:t xml:space="preserve">«МОЭСК» районы с наличием резерва мощности </w:t>
      </w:r>
      <w:r w:rsidR="00FE7985" w:rsidRPr="004761E0">
        <w:rPr>
          <w:sz w:val="26"/>
          <w:szCs w:val="26"/>
        </w:rPr>
        <w:t xml:space="preserve">для технологического присоединения </w:t>
      </w:r>
      <w:r w:rsidR="00E35E41" w:rsidRPr="004761E0">
        <w:rPr>
          <w:sz w:val="26"/>
          <w:szCs w:val="26"/>
          <w:shd w:val="clear" w:color="auto" w:fill="FFFFFF"/>
        </w:rPr>
        <w:t>или ограничением по резерву мощности, получить сведения обо всех вновь сооружаемых центрах питания</w:t>
      </w:r>
      <w:r w:rsidR="00FE7985" w:rsidRPr="004761E0">
        <w:rPr>
          <w:sz w:val="26"/>
          <w:szCs w:val="26"/>
          <w:shd w:val="clear" w:color="auto" w:fill="FFFFFF"/>
        </w:rPr>
        <w:t>, найти районы с резервом мощности более 50 МВт</w:t>
      </w:r>
      <w:r w:rsidR="00E35E41" w:rsidRPr="004761E0">
        <w:rPr>
          <w:sz w:val="26"/>
          <w:szCs w:val="26"/>
        </w:rPr>
        <w:t xml:space="preserve"> </w:t>
      </w:r>
      <w:r w:rsidRPr="004761E0">
        <w:rPr>
          <w:sz w:val="26"/>
          <w:szCs w:val="26"/>
        </w:rPr>
        <w:t>посредством сервиса «Присоединись по-крупному».</w:t>
      </w:r>
    </w:p>
    <w:p w:rsidR="00840DE1" w:rsidRPr="004761E0" w:rsidRDefault="00FE7985" w:rsidP="007076A7">
      <w:pPr>
        <w:pStyle w:val="a5"/>
        <w:numPr>
          <w:ilvl w:val="0"/>
          <w:numId w:val="114"/>
        </w:numPr>
        <w:tabs>
          <w:tab w:val="left" w:pos="1134"/>
        </w:tabs>
        <w:ind w:left="1134" w:hanging="567"/>
        <w:rPr>
          <w:sz w:val="26"/>
          <w:szCs w:val="26"/>
        </w:rPr>
      </w:pPr>
      <w:r w:rsidRPr="004761E0">
        <w:rPr>
          <w:sz w:val="26"/>
          <w:szCs w:val="26"/>
        </w:rPr>
        <w:t>выбрать на и</w:t>
      </w:r>
      <w:r w:rsidR="00840DE1" w:rsidRPr="004761E0">
        <w:rPr>
          <w:sz w:val="26"/>
          <w:szCs w:val="26"/>
        </w:rPr>
        <w:t>нтерактивн</w:t>
      </w:r>
      <w:r w:rsidRPr="004761E0">
        <w:rPr>
          <w:sz w:val="26"/>
          <w:szCs w:val="26"/>
        </w:rPr>
        <w:t>ой</w:t>
      </w:r>
      <w:r w:rsidR="00840DE1" w:rsidRPr="004761E0">
        <w:rPr>
          <w:sz w:val="26"/>
          <w:szCs w:val="26"/>
        </w:rPr>
        <w:t xml:space="preserve"> карт</w:t>
      </w:r>
      <w:r w:rsidRPr="004761E0">
        <w:rPr>
          <w:sz w:val="26"/>
          <w:szCs w:val="26"/>
        </w:rPr>
        <w:t>е</w:t>
      </w:r>
      <w:r w:rsidR="00840DE1" w:rsidRPr="004761E0">
        <w:rPr>
          <w:sz w:val="26"/>
          <w:szCs w:val="26"/>
        </w:rPr>
        <w:t xml:space="preserve"> район</w:t>
      </w:r>
      <w:r w:rsidRPr="004761E0">
        <w:rPr>
          <w:sz w:val="26"/>
          <w:szCs w:val="26"/>
        </w:rPr>
        <w:t>ы</w:t>
      </w:r>
      <w:r w:rsidR="00840DE1" w:rsidRPr="004761E0">
        <w:rPr>
          <w:sz w:val="26"/>
          <w:szCs w:val="26"/>
        </w:rPr>
        <w:t>, доступны</w:t>
      </w:r>
      <w:r w:rsidRPr="004761E0">
        <w:rPr>
          <w:sz w:val="26"/>
          <w:szCs w:val="26"/>
        </w:rPr>
        <w:t>е</w:t>
      </w:r>
      <w:r w:rsidR="00840DE1" w:rsidRPr="004761E0">
        <w:rPr>
          <w:sz w:val="26"/>
          <w:szCs w:val="26"/>
        </w:rPr>
        <w:t xml:space="preserve"> для подключения </w:t>
      </w:r>
      <w:r w:rsidRPr="004761E0">
        <w:rPr>
          <w:sz w:val="26"/>
          <w:szCs w:val="26"/>
        </w:rPr>
        <w:t>клиентов</w:t>
      </w:r>
      <w:r w:rsidR="00EF5C38" w:rsidRPr="004761E0">
        <w:rPr>
          <w:sz w:val="26"/>
          <w:szCs w:val="26"/>
        </w:rPr>
        <w:t>.</w:t>
      </w:r>
    </w:p>
    <w:p w:rsidR="004E121E" w:rsidRPr="004761E0" w:rsidRDefault="004E121E" w:rsidP="007076A7">
      <w:pPr>
        <w:pStyle w:val="a5"/>
        <w:numPr>
          <w:ilvl w:val="0"/>
          <w:numId w:val="114"/>
        </w:numPr>
        <w:tabs>
          <w:tab w:val="left" w:pos="1134"/>
        </w:tabs>
        <w:ind w:left="1134" w:hanging="567"/>
        <w:rPr>
          <w:sz w:val="26"/>
          <w:szCs w:val="26"/>
        </w:rPr>
      </w:pPr>
      <w:r w:rsidRPr="004761E0">
        <w:rPr>
          <w:sz w:val="26"/>
          <w:szCs w:val="26"/>
        </w:rPr>
        <w:br w:type="page"/>
      </w:r>
    </w:p>
    <w:p w:rsidR="00027A32" w:rsidRPr="004761E0" w:rsidRDefault="00E34ACB" w:rsidP="007076A7">
      <w:pPr>
        <w:pStyle w:val="a8"/>
        <w:numPr>
          <w:ilvl w:val="1"/>
          <w:numId w:val="321"/>
        </w:numPr>
        <w:spacing w:before="120" w:after="120"/>
        <w:ind w:left="1134" w:hanging="567"/>
        <w:jc w:val="both"/>
        <w:rPr>
          <w:rFonts w:ascii="Times New Roman" w:hAnsi="Times New Roman"/>
          <w:b/>
          <w:sz w:val="26"/>
          <w:szCs w:val="26"/>
        </w:rPr>
      </w:pPr>
      <w:bookmarkStart w:id="55" w:name="_Toc380576912"/>
      <w:bookmarkStart w:id="56" w:name="_Toc385339810"/>
      <w:r w:rsidRPr="00B20C95">
        <w:rPr>
          <w:rFonts w:ascii="Times New Roman" w:hAnsi="Times New Roman"/>
          <w:b/>
          <w:sz w:val="26"/>
          <w:szCs w:val="26"/>
        </w:rPr>
        <w:lastRenderedPageBreak/>
        <w:t>Интервью Первого заместителя генерального директора – главного инженера</w:t>
      </w:r>
      <w:bookmarkEnd w:id="55"/>
      <w:bookmarkEnd w:id="56"/>
    </w:p>
    <w:p w:rsidR="00AA6F64" w:rsidRPr="004761E0" w:rsidRDefault="00AA6F64" w:rsidP="00AA6F64">
      <w:pPr>
        <w:spacing w:before="120" w:after="120"/>
        <w:ind w:firstLine="567"/>
        <w:rPr>
          <w:b/>
          <w:sz w:val="26"/>
          <w:szCs w:val="26"/>
        </w:rPr>
      </w:pPr>
      <w:r w:rsidRPr="004761E0">
        <w:rPr>
          <w:b/>
          <w:sz w:val="26"/>
          <w:szCs w:val="26"/>
        </w:rPr>
        <w:t>Каковы основные результаты деятельности в рамках курируемого направления?</w:t>
      </w:r>
    </w:p>
    <w:p w:rsidR="00AA6F64" w:rsidRPr="004761E0" w:rsidRDefault="00AA6F64" w:rsidP="00AA6F64">
      <w:pPr>
        <w:ind w:firstLine="567"/>
        <w:rPr>
          <w:sz w:val="26"/>
          <w:szCs w:val="26"/>
        </w:rPr>
      </w:pPr>
      <w:r w:rsidRPr="004761E0">
        <w:rPr>
          <w:sz w:val="26"/>
          <w:szCs w:val="26"/>
        </w:rPr>
        <w:t xml:space="preserve">Сетевой комплекс </w:t>
      </w:r>
      <w:r w:rsidR="0008080E">
        <w:rPr>
          <w:sz w:val="26"/>
          <w:szCs w:val="26"/>
        </w:rPr>
        <w:t>ОАО </w:t>
      </w:r>
      <w:r w:rsidRPr="004761E0">
        <w:rPr>
          <w:sz w:val="26"/>
          <w:szCs w:val="26"/>
        </w:rPr>
        <w:t>«МОЭСК», который охватывает порядка 80</w:t>
      </w:r>
      <w:r w:rsidR="0008080E">
        <w:rPr>
          <w:sz w:val="26"/>
          <w:szCs w:val="26"/>
        </w:rPr>
        <w:t> </w:t>
      </w:r>
      <w:r w:rsidRPr="004761E0">
        <w:rPr>
          <w:sz w:val="26"/>
          <w:szCs w:val="26"/>
        </w:rPr>
        <w:t xml:space="preserve">% городских и областных территорий Московского региона, в 2013 году сработал стабильно. Безусловно, за этими словами – труд многотысячного коллектива нашей Компании. Важен и системный поход – как в принятии управленческих решений, так и в соблюдении единых требований Технической политики. Показательно, что Компания по оценке Минэнерго России отмечена в числе лучших по итогам прохождения осенне-зимнего периода нагрузок 2012-2013 гг. </w:t>
      </w:r>
    </w:p>
    <w:p w:rsidR="00AA6F64" w:rsidRPr="004761E0" w:rsidRDefault="00AA6F64" w:rsidP="00AA6F64">
      <w:pPr>
        <w:ind w:firstLine="567"/>
        <w:rPr>
          <w:sz w:val="26"/>
          <w:szCs w:val="26"/>
        </w:rPr>
      </w:pPr>
      <w:r w:rsidRPr="004761E0">
        <w:rPr>
          <w:sz w:val="26"/>
          <w:szCs w:val="26"/>
        </w:rPr>
        <w:t xml:space="preserve">Если говорить о техническом состоянии электросетевого комплекса </w:t>
      </w:r>
      <w:r w:rsidR="0008080E">
        <w:rPr>
          <w:sz w:val="26"/>
          <w:szCs w:val="26"/>
        </w:rPr>
        <w:t>ОАО </w:t>
      </w:r>
      <w:r w:rsidRPr="004761E0">
        <w:rPr>
          <w:sz w:val="26"/>
          <w:szCs w:val="26"/>
        </w:rPr>
        <w:t xml:space="preserve">«МОЭСК», следует отметить, что существенных сбоев в работе оборудования в минувшем году </w:t>
      </w:r>
      <w:r w:rsidR="00876634">
        <w:rPr>
          <w:sz w:val="26"/>
          <w:szCs w:val="26"/>
        </w:rPr>
        <w:t xml:space="preserve">не </w:t>
      </w:r>
      <w:r w:rsidRPr="004761E0">
        <w:rPr>
          <w:sz w:val="26"/>
          <w:szCs w:val="26"/>
        </w:rPr>
        <w:t>допущено. В полном объеме реализованы ремонтная и инвестиционная программы Общества. Четко соблюдались действующие регламенты, в том числе в рамках соглашений о взаимодействии с различными ведомственными организациями. Положительная динамика наблюдается в части уменьшения технологических нарушений (на 4</w:t>
      </w:r>
      <w:r w:rsidR="00BD5626">
        <w:rPr>
          <w:sz w:val="26"/>
          <w:szCs w:val="26"/>
        </w:rPr>
        <w:t xml:space="preserve"> </w:t>
      </w:r>
      <w:r w:rsidRPr="004761E0">
        <w:rPr>
          <w:sz w:val="26"/>
          <w:szCs w:val="26"/>
        </w:rPr>
        <w:t>%), недоотпуска электроэнергии (на 30</w:t>
      </w:r>
      <w:r w:rsidR="0008080E">
        <w:rPr>
          <w:sz w:val="26"/>
          <w:szCs w:val="26"/>
        </w:rPr>
        <w:t> </w:t>
      </w:r>
      <w:r w:rsidRPr="004761E0">
        <w:rPr>
          <w:sz w:val="26"/>
          <w:szCs w:val="26"/>
        </w:rPr>
        <w:t>%), а также времени восстановления электроснабжения потребителей (на 40</w:t>
      </w:r>
      <w:r w:rsidR="0008080E">
        <w:rPr>
          <w:sz w:val="26"/>
          <w:szCs w:val="26"/>
        </w:rPr>
        <w:t> </w:t>
      </w:r>
      <w:r w:rsidRPr="004761E0">
        <w:rPr>
          <w:sz w:val="26"/>
          <w:szCs w:val="26"/>
        </w:rPr>
        <w:t>% по области и на 4</w:t>
      </w:r>
      <w:r w:rsidR="0008080E">
        <w:rPr>
          <w:sz w:val="26"/>
          <w:szCs w:val="26"/>
        </w:rPr>
        <w:t> </w:t>
      </w:r>
      <w:r w:rsidRPr="004761E0">
        <w:rPr>
          <w:sz w:val="26"/>
          <w:szCs w:val="26"/>
        </w:rPr>
        <w:t xml:space="preserve">% по </w:t>
      </w:r>
      <w:r w:rsidR="00876634">
        <w:rPr>
          <w:sz w:val="26"/>
          <w:szCs w:val="26"/>
        </w:rPr>
        <w:t>г. Москве).</w:t>
      </w:r>
    </w:p>
    <w:p w:rsidR="00AA6F64" w:rsidRPr="004761E0" w:rsidRDefault="00AA6F64" w:rsidP="00AA6F64">
      <w:pPr>
        <w:spacing w:before="120" w:after="120"/>
        <w:ind w:firstLine="567"/>
        <w:rPr>
          <w:b/>
          <w:sz w:val="26"/>
          <w:szCs w:val="26"/>
        </w:rPr>
      </w:pPr>
      <w:r w:rsidRPr="004761E0">
        <w:rPr>
          <w:b/>
          <w:sz w:val="26"/>
          <w:szCs w:val="26"/>
        </w:rPr>
        <w:t>Как, по Вашему мнению, упростилась деятельность курируемого вами направления?</w:t>
      </w:r>
    </w:p>
    <w:p w:rsidR="00AA6F64" w:rsidRPr="004761E0" w:rsidRDefault="00AA6F64" w:rsidP="00AA6F64">
      <w:pPr>
        <w:ind w:firstLine="567"/>
        <w:rPr>
          <w:sz w:val="26"/>
          <w:szCs w:val="26"/>
        </w:rPr>
      </w:pPr>
      <w:r w:rsidRPr="004761E0">
        <w:rPr>
          <w:sz w:val="26"/>
          <w:szCs w:val="26"/>
        </w:rPr>
        <w:t xml:space="preserve">Скорее речь идет об оптимизации внутренних процессов, организационного или иного характера, которые в совокупности позволяют решать ключевую для Компании задачу – обеспечение надежного и качественного электроснабжения потребителей. С этой целью в </w:t>
      </w:r>
      <w:r w:rsidR="0008080E">
        <w:rPr>
          <w:sz w:val="26"/>
          <w:szCs w:val="26"/>
        </w:rPr>
        <w:t>ОАО </w:t>
      </w:r>
      <w:r w:rsidRPr="004761E0">
        <w:rPr>
          <w:sz w:val="26"/>
          <w:szCs w:val="26"/>
        </w:rPr>
        <w:t xml:space="preserve">«МОЭСК» разрабатываются и реализуются комплексные программы, актуализируется регламентирующая документация. </w:t>
      </w:r>
    </w:p>
    <w:p w:rsidR="00AA6F64" w:rsidRPr="004761E0" w:rsidRDefault="00AA6F64" w:rsidP="00AA6F64">
      <w:pPr>
        <w:ind w:firstLine="567"/>
        <w:rPr>
          <w:sz w:val="26"/>
          <w:szCs w:val="26"/>
        </w:rPr>
      </w:pPr>
      <w:r w:rsidRPr="004761E0">
        <w:rPr>
          <w:sz w:val="26"/>
          <w:szCs w:val="26"/>
        </w:rPr>
        <w:t xml:space="preserve">К примеру, усовершенствованы схемы размещения передвижных электростанций (ПЭС) для их максимально быстрой доставки к возможному месту аварии. Увеличено количество ПЭС, на 67 единиц до 145. </w:t>
      </w:r>
    </w:p>
    <w:p w:rsidR="00AA6F64" w:rsidRPr="004761E0" w:rsidRDefault="00AA6F64" w:rsidP="00AA6F64">
      <w:pPr>
        <w:ind w:firstLine="567"/>
        <w:rPr>
          <w:b/>
          <w:sz w:val="26"/>
          <w:szCs w:val="26"/>
        </w:rPr>
      </w:pPr>
      <w:r w:rsidRPr="004761E0">
        <w:rPr>
          <w:sz w:val="26"/>
          <w:szCs w:val="26"/>
        </w:rPr>
        <w:t>Для исключения случаев падения деревьев на провода, в том числе в условиях «ледяного» дождя, реализуются программы по приведению трасс и просек вдоль ЛЭП к нормативному состоянию. Суммарный объем выполненных работ в 2013 году составил порядка 2395 га. Это позволило только сократить количество аварийных отключений по причине падения деревьев на 60</w:t>
      </w:r>
      <w:r w:rsidR="006C1AA1">
        <w:rPr>
          <w:sz w:val="26"/>
          <w:szCs w:val="26"/>
        </w:rPr>
        <w:t> </w:t>
      </w:r>
      <w:r w:rsidRPr="004761E0">
        <w:rPr>
          <w:sz w:val="26"/>
          <w:szCs w:val="26"/>
        </w:rPr>
        <w:t>%, суммарно за последние несколько лет – в 5 раз.</w:t>
      </w:r>
    </w:p>
    <w:p w:rsidR="00AA6F64" w:rsidRPr="004761E0" w:rsidRDefault="00AA6F64" w:rsidP="00AA6F64">
      <w:pPr>
        <w:ind w:firstLine="567"/>
        <w:rPr>
          <w:sz w:val="26"/>
          <w:szCs w:val="26"/>
        </w:rPr>
      </w:pPr>
      <w:r w:rsidRPr="004761E0">
        <w:rPr>
          <w:sz w:val="26"/>
          <w:szCs w:val="26"/>
        </w:rPr>
        <w:t>Изменен подход к организации расследования и учета технологических нарушений в сети напряжением 0,4 кВ, которым ранее уделялось меньше внимания, и многое другое.</w:t>
      </w:r>
    </w:p>
    <w:p w:rsidR="00AA6F64" w:rsidRPr="004761E0" w:rsidRDefault="00AA6F64" w:rsidP="00AA6F64">
      <w:pPr>
        <w:ind w:firstLine="567"/>
        <w:rPr>
          <w:sz w:val="26"/>
          <w:szCs w:val="26"/>
        </w:rPr>
      </w:pPr>
      <w:r w:rsidRPr="004761E0">
        <w:rPr>
          <w:sz w:val="26"/>
          <w:szCs w:val="26"/>
        </w:rPr>
        <w:t xml:space="preserve">Внедрены программные комплексы «COGNOS» (подготовка отчетности) и «SAP» (подготовка материалов по переустройству ВЛ 35-220 кВ в кабель), что значительно упростило работу технических служб. </w:t>
      </w:r>
    </w:p>
    <w:p w:rsidR="00AA6F64" w:rsidRPr="004761E0" w:rsidRDefault="00AA6F64" w:rsidP="00AA6F64">
      <w:pPr>
        <w:spacing w:before="120" w:after="120"/>
        <w:ind w:firstLine="567"/>
        <w:rPr>
          <w:b/>
          <w:sz w:val="26"/>
          <w:szCs w:val="26"/>
        </w:rPr>
      </w:pPr>
      <w:r w:rsidRPr="004761E0">
        <w:rPr>
          <w:b/>
          <w:sz w:val="26"/>
          <w:szCs w:val="26"/>
        </w:rPr>
        <w:t xml:space="preserve">Каким образом результаты деятельности по вашему направлению повлияли на повышение прозрачности деятельности </w:t>
      </w:r>
      <w:r w:rsidR="0008080E">
        <w:rPr>
          <w:b/>
          <w:sz w:val="26"/>
          <w:szCs w:val="26"/>
        </w:rPr>
        <w:t>ОАО </w:t>
      </w:r>
      <w:r w:rsidRPr="004761E0">
        <w:rPr>
          <w:b/>
          <w:sz w:val="26"/>
          <w:szCs w:val="26"/>
        </w:rPr>
        <w:t>«МОЭСК»?</w:t>
      </w:r>
    </w:p>
    <w:p w:rsidR="00AA6F64" w:rsidRPr="004761E0" w:rsidRDefault="00AA6F64" w:rsidP="00AA6F64">
      <w:pPr>
        <w:ind w:firstLine="567"/>
        <w:rPr>
          <w:sz w:val="26"/>
          <w:szCs w:val="26"/>
        </w:rPr>
      </w:pPr>
      <w:r w:rsidRPr="004761E0">
        <w:rPr>
          <w:sz w:val="26"/>
          <w:szCs w:val="26"/>
        </w:rPr>
        <w:lastRenderedPageBreak/>
        <w:t xml:space="preserve">Прежде всего – это управляемость процессами в рамках курируемого направления; предсказуемость принятия решений, влияющих на эффективность функционирования энергосистемы </w:t>
      </w:r>
      <w:r w:rsidR="0008080E">
        <w:rPr>
          <w:sz w:val="26"/>
          <w:szCs w:val="26"/>
        </w:rPr>
        <w:t>ОАО </w:t>
      </w:r>
      <w:r w:rsidRPr="004761E0">
        <w:rPr>
          <w:sz w:val="26"/>
          <w:szCs w:val="26"/>
        </w:rPr>
        <w:t xml:space="preserve">«МОЭСК» в целом. </w:t>
      </w:r>
    </w:p>
    <w:p w:rsidR="00AA6F64" w:rsidRPr="004761E0" w:rsidRDefault="00AA6F64" w:rsidP="00AA6F64">
      <w:pPr>
        <w:ind w:firstLine="567"/>
        <w:rPr>
          <w:sz w:val="26"/>
          <w:szCs w:val="26"/>
        </w:rPr>
      </w:pPr>
      <w:r w:rsidRPr="004761E0">
        <w:rPr>
          <w:sz w:val="26"/>
          <w:szCs w:val="26"/>
        </w:rPr>
        <w:t>При определении основных технических направлений деятельности Общества и унификации технических решений учитываются принципы промышленной и экологической безопасности, а также инновационных подходов развития, обеспечивающих всем участникам рынка доступ к электросетям.</w:t>
      </w:r>
    </w:p>
    <w:p w:rsidR="00AA6F64" w:rsidRPr="004761E0" w:rsidRDefault="00AA6F64" w:rsidP="00AA6F64">
      <w:pPr>
        <w:ind w:firstLine="567"/>
        <w:rPr>
          <w:sz w:val="26"/>
          <w:szCs w:val="26"/>
        </w:rPr>
      </w:pPr>
      <w:r w:rsidRPr="004761E0">
        <w:rPr>
          <w:sz w:val="26"/>
          <w:szCs w:val="26"/>
        </w:rPr>
        <w:t xml:space="preserve">Блок ИТСиСС внес вклад в повышение качества предоставляемых услуг и рост удовлетворенности клиентов компании. Так, в 2013 году оснащены  средствами связи Центры обслуживания клиентов (ЦОК). </w:t>
      </w:r>
    </w:p>
    <w:p w:rsidR="00AA6F64" w:rsidRPr="004761E0" w:rsidRDefault="00AA6F64" w:rsidP="00AA6F64">
      <w:pPr>
        <w:ind w:firstLine="567"/>
        <w:rPr>
          <w:sz w:val="26"/>
          <w:szCs w:val="26"/>
        </w:rPr>
      </w:pPr>
      <w:r w:rsidRPr="004761E0">
        <w:rPr>
          <w:sz w:val="26"/>
          <w:szCs w:val="26"/>
        </w:rPr>
        <w:t>Важное направление деятельности нашего блока – охрана электросетевых объектов. Совместно с Пресс-центро</w:t>
      </w:r>
      <w:r w:rsidR="00876634">
        <w:rPr>
          <w:sz w:val="26"/>
          <w:szCs w:val="26"/>
        </w:rPr>
        <w:t>м Компании</w:t>
      </w:r>
      <w:r w:rsidRPr="004761E0">
        <w:rPr>
          <w:sz w:val="26"/>
          <w:szCs w:val="26"/>
        </w:rPr>
        <w:t xml:space="preserve"> подготовлены и опубликованы статьи с описанием случаев и последствий из-за нарушений особых Правил охраны электросетевых объектов.</w:t>
      </w:r>
    </w:p>
    <w:p w:rsidR="00AA6F64" w:rsidRPr="004761E0" w:rsidRDefault="00AA6F64" w:rsidP="00AA6F64">
      <w:pPr>
        <w:spacing w:before="120" w:after="120"/>
        <w:ind w:firstLine="567"/>
        <w:rPr>
          <w:b/>
          <w:sz w:val="26"/>
          <w:szCs w:val="26"/>
        </w:rPr>
      </w:pPr>
      <w:r w:rsidRPr="004761E0">
        <w:rPr>
          <w:b/>
          <w:sz w:val="26"/>
          <w:szCs w:val="26"/>
        </w:rPr>
        <w:t>Как результаты работы отразились на взаимоотношениях с клиентами, акционерами, иными заинтересованными сторонами?</w:t>
      </w:r>
    </w:p>
    <w:p w:rsidR="00AA6F64" w:rsidRPr="004761E0" w:rsidRDefault="00AA6F64" w:rsidP="00AA6F64">
      <w:pPr>
        <w:ind w:firstLine="567"/>
        <w:rPr>
          <w:sz w:val="26"/>
          <w:szCs w:val="26"/>
        </w:rPr>
      </w:pPr>
      <w:r w:rsidRPr="004761E0">
        <w:rPr>
          <w:sz w:val="26"/>
          <w:szCs w:val="26"/>
        </w:rPr>
        <w:t>Гарантируя бесперебойное и качественное электроснабжение потребителей, а также выполнение обязательств по технологическому присоединению, Компания выступает гарантом выполнения заявленных производственных показателей, что также находит свое отражение в финансовой отчетности работы Общества.</w:t>
      </w:r>
    </w:p>
    <w:p w:rsidR="00AA6F64" w:rsidRPr="004761E0" w:rsidRDefault="00AA6F64" w:rsidP="00AA6F64">
      <w:pPr>
        <w:ind w:firstLine="567"/>
        <w:rPr>
          <w:sz w:val="26"/>
          <w:szCs w:val="26"/>
        </w:rPr>
      </w:pPr>
      <w:r w:rsidRPr="004761E0">
        <w:rPr>
          <w:sz w:val="26"/>
          <w:szCs w:val="26"/>
        </w:rPr>
        <w:t>Благодаря тесному взаимодействию с нашими коллегами из смежных энергокомпаний, профильных министерств и ведомств, ежегодно  путем проведения плановых командно-штабных учений и тренировок повышается уровень подготовки наших специалистов к внештатным ситуациям.</w:t>
      </w:r>
    </w:p>
    <w:p w:rsidR="00AA6F64" w:rsidRPr="004761E0" w:rsidRDefault="00AA6F64" w:rsidP="00AA6F64">
      <w:pPr>
        <w:ind w:firstLine="567"/>
        <w:rPr>
          <w:sz w:val="26"/>
          <w:szCs w:val="26"/>
        </w:rPr>
      </w:pPr>
      <w:r w:rsidRPr="004761E0">
        <w:rPr>
          <w:sz w:val="26"/>
          <w:szCs w:val="26"/>
        </w:rPr>
        <w:t xml:space="preserve">С каждым годом повышается открытость Общества с точки зрения доступности оперативной информации. В </w:t>
      </w:r>
      <w:r w:rsidR="0008080E">
        <w:rPr>
          <w:sz w:val="26"/>
          <w:szCs w:val="26"/>
        </w:rPr>
        <w:t>ОАО </w:t>
      </w:r>
      <w:r w:rsidRPr="004761E0">
        <w:rPr>
          <w:sz w:val="26"/>
          <w:szCs w:val="26"/>
        </w:rPr>
        <w:t xml:space="preserve">«МОЭСК» действует единый контактный центр «Светлая линия» 8 (800) 700-40-70, позвонив в который клиент может получить ответ относительно хода проведения восстановительных работ, выполнения плановых ремонтов и т.д. </w:t>
      </w:r>
    </w:p>
    <w:p w:rsidR="00AA6F64" w:rsidRPr="004761E0" w:rsidRDefault="00AA6F64" w:rsidP="00AA6F64">
      <w:pPr>
        <w:spacing w:before="120" w:after="120"/>
        <w:ind w:firstLine="567"/>
        <w:rPr>
          <w:b/>
          <w:sz w:val="26"/>
          <w:szCs w:val="26"/>
        </w:rPr>
      </w:pPr>
      <w:r w:rsidRPr="004761E0">
        <w:rPr>
          <w:b/>
          <w:sz w:val="26"/>
          <w:szCs w:val="26"/>
        </w:rPr>
        <w:t>Появились ли в рамках курируемого направления новые бизнес-процессы (если да, то необходимо их вкратце описать)?</w:t>
      </w:r>
    </w:p>
    <w:p w:rsidR="00AA6F64" w:rsidRPr="004761E0" w:rsidRDefault="00AA6F64" w:rsidP="00AA6F64">
      <w:pPr>
        <w:ind w:firstLine="567"/>
        <w:rPr>
          <w:sz w:val="26"/>
          <w:szCs w:val="26"/>
        </w:rPr>
      </w:pPr>
      <w:r w:rsidRPr="004761E0">
        <w:rPr>
          <w:sz w:val="26"/>
          <w:szCs w:val="26"/>
        </w:rPr>
        <w:t>Один из ключевых факторов повышения надежности электроснабжения, обеспечивающий до 30</w:t>
      </w:r>
      <w:r w:rsidR="006C1AA1">
        <w:rPr>
          <w:sz w:val="26"/>
          <w:szCs w:val="26"/>
        </w:rPr>
        <w:t> </w:t>
      </w:r>
      <w:r w:rsidRPr="004761E0">
        <w:rPr>
          <w:sz w:val="26"/>
          <w:szCs w:val="26"/>
        </w:rPr>
        <w:t>% повышения эффективности работы, – это рациональная организация деятельности ремонтно-эксплуатационных и оперативно-выездных  бригад. Современная практика основана на полном совмещении функций этих типов бригад и оснащении персонала специализированными  мобильными устройствами. Эта работа инициирована и в МОЭСК. В минувшем году сформировано почти 140 подобных (мобильных) бригад, действующих в 43 районах электросетей (порядка 20</w:t>
      </w:r>
      <w:r w:rsidR="006C1AA1">
        <w:rPr>
          <w:sz w:val="26"/>
          <w:szCs w:val="26"/>
        </w:rPr>
        <w:t> </w:t>
      </w:r>
      <w:r w:rsidRPr="004761E0">
        <w:rPr>
          <w:sz w:val="26"/>
          <w:szCs w:val="26"/>
        </w:rPr>
        <w:t>% от общего количества бригад). Дополнительно обучение прошли свыше 1</w:t>
      </w:r>
      <w:r w:rsidR="006C1AA1">
        <w:rPr>
          <w:sz w:val="26"/>
          <w:szCs w:val="26"/>
        </w:rPr>
        <w:t> </w:t>
      </w:r>
      <w:r w:rsidRPr="004761E0">
        <w:rPr>
          <w:sz w:val="26"/>
          <w:szCs w:val="26"/>
        </w:rPr>
        <w:t>200 сотрудников.</w:t>
      </w:r>
    </w:p>
    <w:p w:rsidR="00AA6F64" w:rsidRPr="004761E0" w:rsidRDefault="00AA6F64" w:rsidP="00AA6F64">
      <w:pPr>
        <w:ind w:firstLine="567"/>
        <w:rPr>
          <w:sz w:val="26"/>
          <w:szCs w:val="26"/>
        </w:rPr>
      </w:pPr>
      <w:r w:rsidRPr="004761E0">
        <w:rPr>
          <w:sz w:val="26"/>
          <w:szCs w:val="26"/>
        </w:rPr>
        <w:t xml:space="preserve">В 2013 году завершен первый этап проекта «Управление производственными активами 0,4-220 кВ». Этот проект определен </w:t>
      </w:r>
      <w:r w:rsidR="0008080E">
        <w:rPr>
          <w:sz w:val="26"/>
          <w:szCs w:val="26"/>
        </w:rPr>
        <w:t>ОАО </w:t>
      </w:r>
      <w:r w:rsidRPr="004761E0">
        <w:rPr>
          <w:sz w:val="26"/>
          <w:szCs w:val="26"/>
        </w:rPr>
        <w:t>«Россети» как стратегически важный. В течение года создана база данных, в которую занесены паспортные и эксплуатационные характеристики, рассчитаны индексы фактического состояния оборудования. Ремонтная программа 2014 года уже разработана с учетом результатов оценки технического состояния и последствий отказа в работе элементов сетей. Эта работа, безусловно, будет продолжена.</w:t>
      </w:r>
    </w:p>
    <w:p w:rsidR="00AA6F64" w:rsidRPr="004761E0" w:rsidRDefault="00876634" w:rsidP="00AA6F64">
      <w:pPr>
        <w:ind w:firstLine="567"/>
        <w:rPr>
          <w:sz w:val="26"/>
          <w:szCs w:val="26"/>
        </w:rPr>
      </w:pPr>
      <w:r>
        <w:rPr>
          <w:sz w:val="26"/>
          <w:szCs w:val="26"/>
        </w:rPr>
        <w:lastRenderedPageBreak/>
        <w:t>В 2013 году в К</w:t>
      </w:r>
      <w:r w:rsidR="00AA6F64" w:rsidRPr="004761E0">
        <w:rPr>
          <w:sz w:val="26"/>
          <w:szCs w:val="26"/>
        </w:rPr>
        <w:t xml:space="preserve">омпании создана </w:t>
      </w:r>
      <w:r>
        <w:rPr>
          <w:sz w:val="26"/>
          <w:szCs w:val="26"/>
        </w:rPr>
        <w:t>а</w:t>
      </w:r>
      <w:r w:rsidR="00AA6F64" w:rsidRPr="004761E0">
        <w:rPr>
          <w:sz w:val="26"/>
          <w:szCs w:val="26"/>
        </w:rPr>
        <w:t>варийно-спасательная служба, а также шесть формирований на базе филиалов. Оборудование автомобилей дежурных служб проблесковыми маячками синего цвета и звуковыми спецсигналами уже позволили сократить время прибытия бригад к месту аварийно-восстановительных работ в 3 раза.</w:t>
      </w:r>
    </w:p>
    <w:p w:rsidR="00AA6F64" w:rsidRPr="004761E0" w:rsidRDefault="00AA6F64" w:rsidP="00AA6F64">
      <w:pPr>
        <w:ind w:firstLine="567"/>
        <w:rPr>
          <w:sz w:val="26"/>
          <w:szCs w:val="26"/>
        </w:rPr>
      </w:pPr>
      <w:r w:rsidRPr="004761E0">
        <w:rPr>
          <w:sz w:val="26"/>
          <w:szCs w:val="26"/>
        </w:rPr>
        <w:t>Новым является и продолжение работы по внедрению программного комплекса «SAP» в части учета и планирования работ по обслуживанию и ремонту КЛ 35-220 кВ.</w:t>
      </w:r>
    </w:p>
    <w:p w:rsidR="00AA6F64" w:rsidRPr="004761E0" w:rsidRDefault="00AA6F64" w:rsidP="00B20C95">
      <w:pPr>
        <w:tabs>
          <w:tab w:val="left" w:pos="426"/>
        </w:tabs>
        <w:spacing w:before="120" w:after="120"/>
        <w:ind w:firstLine="567"/>
        <w:rPr>
          <w:b/>
          <w:sz w:val="26"/>
          <w:szCs w:val="26"/>
        </w:rPr>
      </w:pPr>
      <w:r w:rsidRPr="004761E0">
        <w:rPr>
          <w:b/>
          <w:sz w:val="26"/>
          <w:szCs w:val="26"/>
        </w:rPr>
        <w:t>Каковы основные планы на следующий год и среднесрочную перспективу?</w:t>
      </w:r>
    </w:p>
    <w:p w:rsidR="00AA6F64" w:rsidRPr="004761E0" w:rsidRDefault="00AA6F64" w:rsidP="00AA6F64">
      <w:pPr>
        <w:ind w:firstLine="567"/>
        <w:rPr>
          <w:sz w:val="26"/>
          <w:szCs w:val="26"/>
        </w:rPr>
      </w:pPr>
      <w:r w:rsidRPr="004761E0">
        <w:rPr>
          <w:sz w:val="26"/>
          <w:szCs w:val="26"/>
        </w:rPr>
        <w:t>Из актуальных задач – дальнейшее сокращение сроков восстановления электроснабжения; приведение показателей работы электросетевого хозяйства областных территорий до уровня столицы; адаптация энергообъектов Новой Москвы к требованиям, предъявляемым к схемам построения сети и организации эксплуатации электроустановок мегаполисов.</w:t>
      </w:r>
    </w:p>
    <w:p w:rsidR="00355607" w:rsidRPr="004761E0" w:rsidRDefault="00355607" w:rsidP="00355607">
      <w:pPr>
        <w:ind w:firstLine="567"/>
        <w:rPr>
          <w:sz w:val="26"/>
          <w:szCs w:val="26"/>
        </w:rPr>
      </w:pPr>
      <w:r w:rsidRPr="004761E0">
        <w:rPr>
          <w:sz w:val="26"/>
          <w:szCs w:val="26"/>
        </w:rPr>
        <w:t xml:space="preserve">Московский регион – зона ответственности </w:t>
      </w:r>
      <w:r w:rsidR="0008080E">
        <w:rPr>
          <w:sz w:val="26"/>
          <w:szCs w:val="26"/>
        </w:rPr>
        <w:t>ОАО </w:t>
      </w:r>
      <w:r>
        <w:rPr>
          <w:sz w:val="26"/>
          <w:szCs w:val="26"/>
        </w:rPr>
        <w:t>«</w:t>
      </w:r>
      <w:r w:rsidRPr="004761E0">
        <w:rPr>
          <w:sz w:val="26"/>
          <w:szCs w:val="26"/>
        </w:rPr>
        <w:t>МОЭСК</w:t>
      </w:r>
      <w:r>
        <w:rPr>
          <w:sz w:val="26"/>
          <w:szCs w:val="26"/>
        </w:rPr>
        <w:t>»</w:t>
      </w:r>
      <w:r w:rsidRPr="004761E0">
        <w:rPr>
          <w:sz w:val="26"/>
          <w:szCs w:val="26"/>
        </w:rPr>
        <w:t xml:space="preserve"> – это постоянный рост электропотребления, а значит и нагрузки на сеть, высокая плотность жилищной застройки, загруженность дорог и т.д. Эти и другие факторы мы учитываем при формировании и актуализации наших ремонтных и инвестиционных программ. Акцент  – на планово-предупредительных подходах</w:t>
      </w:r>
      <w:r>
        <w:rPr>
          <w:sz w:val="26"/>
          <w:szCs w:val="26"/>
        </w:rPr>
        <w:t xml:space="preserve">, которые позволяют </w:t>
      </w:r>
      <w:r w:rsidRPr="004761E0">
        <w:rPr>
          <w:sz w:val="26"/>
          <w:szCs w:val="26"/>
        </w:rPr>
        <w:t>оптимиз</w:t>
      </w:r>
      <w:r>
        <w:rPr>
          <w:sz w:val="26"/>
          <w:szCs w:val="26"/>
        </w:rPr>
        <w:t>ировать</w:t>
      </w:r>
      <w:r w:rsidRPr="004761E0">
        <w:rPr>
          <w:sz w:val="26"/>
          <w:szCs w:val="26"/>
        </w:rPr>
        <w:t xml:space="preserve"> процесс</w:t>
      </w:r>
      <w:r>
        <w:rPr>
          <w:sz w:val="26"/>
          <w:szCs w:val="26"/>
        </w:rPr>
        <w:t>ы</w:t>
      </w:r>
      <w:r w:rsidRPr="004761E0">
        <w:rPr>
          <w:sz w:val="26"/>
          <w:szCs w:val="26"/>
        </w:rPr>
        <w:t xml:space="preserve"> планирования расходов на ремонт и замену оборудования, а также сокращ</w:t>
      </w:r>
      <w:r>
        <w:rPr>
          <w:sz w:val="26"/>
          <w:szCs w:val="26"/>
        </w:rPr>
        <w:t>ать</w:t>
      </w:r>
      <w:r w:rsidRPr="004761E0">
        <w:rPr>
          <w:sz w:val="26"/>
          <w:szCs w:val="26"/>
        </w:rPr>
        <w:t xml:space="preserve"> стоимост</w:t>
      </w:r>
      <w:r>
        <w:rPr>
          <w:sz w:val="26"/>
          <w:szCs w:val="26"/>
        </w:rPr>
        <w:t>ь</w:t>
      </w:r>
      <w:r w:rsidRPr="004761E0">
        <w:rPr>
          <w:sz w:val="26"/>
          <w:szCs w:val="26"/>
        </w:rPr>
        <w:t xml:space="preserve"> владения основными средствами. </w:t>
      </w:r>
    </w:p>
    <w:p w:rsidR="00355607" w:rsidRPr="004761E0" w:rsidRDefault="00355607" w:rsidP="00355607">
      <w:pPr>
        <w:pStyle w:val="a5"/>
        <w:ind w:left="0" w:firstLine="567"/>
        <w:contextualSpacing w:val="0"/>
        <w:rPr>
          <w:sz w:val="26"/>
          <w:szCs w:val="26"/>
          <w:lang w:eastAsia="ru-RU"/>
        </w:rPr>
      </w:pPr>
      <w:r w:rsidRPr="004761E0">
        <w:rPr>
          <w:sz w:val="26"/>
          <w:szCs w:val="26"/>
          <w:lang w:eastAsia="ru-RU"/>
        </w:rPr>
        <w:t xml:space="preserve">Будет </w:t>
      </w:r>
      <w:r w:rsidRPr="004761E0">
        <w:rPr>
          <w:sz w:val="26"/>
          <w:szCs w:val="26"/>
        </w:rPr>
        <w:t>продолжена  важная работа в рамках комплексной программы развития и повышения надежности оперативно-технологического управления: в</w:t>
      </w:r>
      <w:r w:rsidRPr="004761E0">
        <w:rPr>
          <w:sz w:val="26"/>
          <w:szCs w:val="26"/>
          <w:lang w:eastAsia="ru-RU"/>
        </w:rPr>
        <w:t>недрение АСУ мобильных бригад, объединение диспетчерских пунктов Восточной и Южной ОЗ Центральных ЭС, оснащение филиала «Новая Москва» средствами корпоративной телефонной связи, передачи данных и видеоконференцсвязи; апробирование на пилотной зоне информационно-аналитических модулей ПТК АСДУ PowerOn и другие.</w:t>
      </w:r>
    </w:p>
    <w:p w:rsidR="00136A10" w:rsidRPr="004761E0" w:rsidRDefault="00136A10" w:rsidP="00377A44">
      <w:pPr>
        <w:rPr>
          <w:lang w:eastAsia="ru-RU"/>
        </w:rPr>
      </w:pPr>
      <w:r w:rsidRPr="004761E0">
        <w:rPr>
          <w:lang w:eastAsia="ru-RU"/>
        </w:rPr>
        <w:br w:type="page"/>
      </w:r>
    </w:p>
    <w:p w:rsidR="00CD52D9" w:rsidRPr="00B20C95" w:rsidRDefault="00CD52D9" w:rsidP="007076A7">
      <w:pPr>
        <w:pStyle w:val="a8"/>
        <w:numPr>
          <w:ilvl w:val="1"/>
          <w:numId w:val="321"/>
        </w:numPr>
        <w:spacing w:before="120" w:after="120"/>
        <w:ind w:left="1134" w:hanging="567"/>
        <w:jc w:val="both"/>
        <w:rPr>
          <w:rFonts w:ascii="Times New Roman" w:hAnsi="Times New Roman"/>
          <w:b/>
          <w:sz w:val="26"/>
          <w:szCs w:val="26"/>
        </w:rPr>
      </w:pPr>
      <w:bookmarkStart w:id="57" w:name="_Toc385339811"/>
      <w:r w:rsidRPr="00B20C95">
        <w:rPr>
          <w:rFonts w:ascii="Times New Roman" w:hAnsi="Times New Roman"/>
          <w:b/>
          <w:sz w:val="26"/>
          <w:szCs w:val="26"/>
        </w:rPr>
        <w:lastRenderedPageBreak/>
        <w:t>Повышение надежности</w:t>
      </w:r>
      <w:bookmarkEnd w:id="57"/>
    </w:p>
    <w:p w:rsidR="00993CC8" w:rsidRPr="004761E0" w:rsidRDefault="00DE3804" w:rsidP="00B20C95">
      <w:pPr>
        <w:tabs>
          <w:tab w:val="left" w:pos="426"/>
        </w:tabs>
        <w:spacing w:before="120" w:after="120"/>
        <w:ind w:firstLine="567"/>
        <w:rPr>
          <w:b/>
          <w:sz w:val="26"/>
          <w:szCs w:val="26"/>
        </w:rPr>
      </w:pPr>
      <w:r w:rsidRPr="004761E0">
        <w:rPr>
          <w:b/>
          <w:sz w:val="26"/>
          <w:szCs w:val="26"/>
        </w:rPr>
        <w:t>Выполнение ремонтной программы</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2"/>
        <w:gridCol w:w="7088"/>
        <w:gridCol w:w="1134"/>
        <w:gridCol w:w="1134"/>
      </w:tblGrid>
      <w:tr w:rsidR="00DE3804" w:rsidRPr="004761E0" w:rsidTr="00DE3804">
        <w:trPr>
          <w:cantSplit/>
        </w:trPr>
        <w:tc>
          <w:tcPr>
            <w:tcW w:w="582" w:type="dxa"/>
            <w:tcBorders>
              <w:right w:val="single" w:sz="4" w:space="0" w:color="FFFFFF" w:themeColor="background1"/>
            </w:tcBorders>
            <w:shd w:val="clear" w:color="auto" w:fill="0F243E" w:themeFill="text2" w:themeFillShade="80"/>
            <w:vAlign w:val="center"/>
            <w:hideMark/>
          </w:tcPr>
          <w:p w:rsidR="002E7F83" w:rsidRPr="004761E0" w:rsidRDefault="002E7F83" w:rsidP="002E7F83">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xml:space="preserve">№ п/п </w:t>
            </w:r>
          </w:p>
        </w:tc>
        <w:tc>
          <w:tcPr>
            <w:tcW w:w="7088" w:type="dxa"/>
            <w:tcBorders>
              <w:left w:val="single" w:sz="4" w:space="0" w:color="FFFFFF" w:themeColor="background1"/>
              <w:right w:val="single" w:sz="4" w:space="0" w:color="FFFFFF" w:themeColor="background1"/>
            </w:tcBorders>
            <w:shd w:val="clear" w:color="auto" w:fill="0F243E" w:themeFill="text2" w:themeFillShade="80"/>
            <w:vAlign w:val="center"/>
            <w:hideMark/>
          </w:tcPr>
          <w:p w:rsidR="002E7F83" w:rsidRPr="004761E0" w:rsidRDefault="002E7F83" w:rsidP="002E7F83">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left w:val="single" w:sz="4" w:space="0" w:color="FFFFFF" w:themeColor="background1"/>
              <w:right w:val="single" w:sz="4" w:space="0" w:color="FFFFFF" w:themeColor="background1"/>
            </w:tcBorders>
            <w:shd w:val="clear" w:color="auto" w:fill="0F243E" w:themeFill="text2" w:themeFillShade="80"/>
            <w:vAlign w:val="center"/>
            <w:hideMark/>
          </w:tcPr>
          <w:p w:rsidR="002E7F83" w:rsidRPr="004761E0" w:rsidRDefault="002E7F83" w:rsidP="00DE3804">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Ед. изм.</w:t>
            </w:r>
          </w:p>
        </w:tc>
        <w:tc>
          <w:tcPr>
            <w:tcW w:w="1134" w:type="dxa"/>
            <w:tcBorders>
              <w:left w:val="single" w:sz="4" w:space="0" w:color="FFFFFF" w:themeColor="background1"/>
            </w:tcBorders>
            <w:shd w:val="clear" w:color="auto" w:fill="0F243E" w:themeFill="text2" w:themeFillShade="80"/>
            <w:vAlign w:val="center"/>
            <w:hideMark/>
          </w:tcPr>
          <w:p w:rsidR="002E7F83" w:rsidRPr="004761E0" w:rsidRDefault="002E7F83" w:rsidP="00DE3804">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r>
      <w:tr w:rsidR="002E7F83" w:rsidRPr="004761E0" w:rsidTr="00DE3804">
        <w:trPr>
          <w:cantSplit/>
        </w:trPr>
        <w:tc>
          <w:tcPr>
            <w:tcW w:w="582" w:type="dxa"/>
            <w:shd w:val="clear" w:color="auto" w:fill="BFBFBF" w:themeFill="background1" w:themeFillShade="BF"/>
            <w:vAlign w:val="center"/>
          </w:tcPr>
          <w:p w:rsidR="002E7F83" w:rsidRPr="004761E0" w:rsidRDefault="002E7F83" w:rsidP="007076A7">
            <w:pPr>
              <w:pStyle w:val="a5"/>
              <w:numPr>
                <w:ilvl w:val="0"/>
                <w:numId w:val="13"/>
              </w:numPr>
              <w:jc w:val="left"/>
              <w:rPr>
                <w:rFonts w:eastAsia="Times New Roman"/>
                <w:b/>
                <w:color w:val="000000"/>
                <w:sz w:val="20"/>
                <w:szCs w:val="20"/>
                <w:lang w:eastAsia="ru-RU"/>
              </w:rPr>
            </w:pPr>
          </w:p>
        </w:tc>
        <w:tc>
          <w:tcPr>
            <w:tcW w:w="7088" w:type="dxa"/>
            <w:shd w:val="clear" w:color="auto" w:fill="BFBFBF" w:themeFill="background1" w:themeFillShade="BF"/>
            <w:vAlign w:val="center"/>
            <w:hideMark/>
          </w:tcPr>
          <w:p w:rsidR="002E7F83" w:rsidRPr="004761E0" w:rsidRDefault="002E7F83" w:rsidP="002E7F83">
            <w:pPr>
              <w:ind w:firstLine="0"/>
              <w:jc w:val="left"/>
              <w:rPr>
                <w:rFonts w:eastAsia="Times New Roman"/>
                <w:b/>
                <w:color w:val="000000"/>
                <w:sz w:val="20"/>
                <w:szCs w:val="20"/>
                <w:lang w:eastAsia="ru-RU"/>
              </w:rPr>
            </w:pPr>
            <w:r w:rsidRPr="004761E0">
              <w:rPr>
                <w:rFonts w:eastAsia="Times New Roman"/>
                <w:b/>
                <w:color w:val="000000"/>
                <w:sz w:val="20"/>
                <w:szCs w:val="20"/>
                <w:lang w:eastAsia="ru-RU"/>
              </w:rPr>
              <w:t>Ремонт воздушных линий 0,4-220 кВ, в т.ч.:</w:t>
            </w:r>
          </w:p>
        </w:tc>
        <w:tc>
          <w:tcPr>
            <w:tcW w:w="1134" w:type="dxa"/>
            <w:shd w:val="clear" w:color="auto" w:fill="BFBFBF" w:themeFill="background1" w:themeFillShade="BF"/>
            <w:vAlign w:val="center"/>
            <w:hideMark/>
          </w:tcPr>
          <w:p w:rsidR="002E7F83" w:rsidRPr="004761E0" w:rsidRDefault="002E7F83" w:rsidP="00DE3804">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w:t>
            </w:r>
          </w:p>
        </w:tc>
        <w:tc>
          <w:tcPr>
            <w:tcW w:w="1134" w:type="dxa"/>
            <w:shd w:val="clear" w:color="auto" w:fill="BFBFBF" w:themeFill="background1" w:themeFillShade="BF"/>
            <w:vAlign w:val="center"/>
            <w:hideMark/>
          </w:tcPr>
          <w:p w:rsidR="002E7F83" w:rsidRPr="004761E0" w:rsidRDefault="002E7F83" w:rsidP="00DE3804">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w:t>
            </w:r>
          </w:p>
        </w:tc>
      </w:tr>
      <w:tr w:rsidR="00DE3804" w:rsidRPr="004761E0" w:rsidTr="00DE3804">
        <w:trPr>
          <w:cantSplit/>
        </w:trPr>
        <w:tc>
          <w:tcPr>
            <w:tcW w:w="582" w:type="dxa"/>
            <w:shd w:val="clear" w:color="auto" w:fill="auto"/>
            <w:vAlign w:val="center"/>
          </w:tcPr>
          <w:p w:rsidR="00DE3804" w:rsidRPr="004761E0" w:rsidRDefault="00DE3804" w:rsidP="007076A7">
            <w:pPr>
              <w:pStyle w:val="a5"/>
              <w:numPr>
                <w:ilvl w:val="1"/>
                <w:numId w:val="13"/>
              </w:numPr>
              <w:jc w:val="left"/>
              <w:rPr>
                <w:rFonts w:eastAsia="Times New Roman"/>
                <w:color w:val="000000"/>
                <w:sz w:val="20"/>
                <w:szCs w:val="20"/>
                <w:lang w:eastAsia="ru-RU"/>
              </w:rPr>
            </w:pPr>
          </w:p>
        </w:tc>
        <w:tc>
          <w:tcPr>
            <w:tcW w:w="7088" w:type="dxa"/>
            <w:shd w:val="clear" w:color="auto" w:fill="auto"/>
            <w:vAlign w:val="center"/>
            <w:hideMark/>
          </w:tcPr>
          <w:p w:rsidR="00DE3804" w:rsidRPr="004761E0" w:rsidRDefault="00DE3804" w:rsidP="002E7F83">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капитальный ремонт</w:t>
            </w:r>
          </w:p>
        </w:tc>
        <w:tc>
          <w:tcPr>
            <w:tcW w:w="1134" w:type="dxa"/>
            <w:shd w:val="clear" w:color="auto" w:fill="auto"/>
            <w:vAlign w:val="center"/>
            <w:hideMark/>
          </w:tcPr>
          <w:p w:rsidR="00DE3804" w:rsidRPr="004761E0" w:rsidRDefault="00DE3804" w:rsidP="00DE3804">
            <w:pPr>
              <w:ind w:firstLine="0"/>
              <w:jc w:val="right"/>
              <w:rPr>
                <w:rFonts w:eastAsia="Times New Roman"/>
                <w:color w:val="000000"/>
                <w:sz w:val="20"/>
                <w:szCs w:val="20"/>
                <w:lang w:eastAsia="ru-RU"/>
              </w:rPr>
            </w:pPr>
            <w:r w:rsidRPr="004761E0">
              <w:rPr>
                <w:rFonts w:eastAsia="Times New Roman"/>
                <w:color w:val="000000"/>
                <w:sz w:val="20"/>
                <w:szCs w:val="20"/>
                <w:lang w:eastAsia="ru-RU"/>
              </w:rPr>
              <w:t>км</w:t>
            </w:r>
          </w:p>
        </w:tc>
        <w:tc>
          <w:tcPr>
            <w:tcW w:w="1134" w:type="dxa"/>
            <w:shd w:val="clear" w:color="auto" w:fill="auto"/>
            <w:vAlign w:val="center"/>
            <w:hideMark/>
          </w:tcPr>
          <w:p w:rsidR="00DE3804" w:rsidRPr="004761E0" w:rsidRDefault="00DE3804" w:rsidP="00DE3804">
            <w:pPr>
              <w:ind w:firstLine="0"/>
              <w:jc w:val="right"/>
              <w:rPr>
                <w:bCs/>
                <w:sz w:val="20"/>
                <w:szCs w:val="20"/>
              </w:rPr>
            </w:pPr>
            <w:r w:rsidRPr="004761E0">
              <w:rPr>
                <w:bCs/>
                <w:sz w:val="20"/>
                <w:szCs w:val="20"/>
              </w:rPr>
              <w:t>3 653</w:t>
            </w:r>
          </w:p>
        </w:tc>
      </w:tr>
      <w:tr w:rsidR="00DE3804" w:rsidRPr="004761E0" w:rsidTr="00DE3804">
        <w:trPr>
          <w:cantSplit/>
        </w:trPr>
        <w:tc>
          <w:tcPr>
            <w:tcW w:w="582" w:type="dxa"/>
            <w:shd w:val="clear" w:color="auto" w:fill="auto"/>
            <w:vAlign w:val="center"/>
          </w:tcPr>
          <w:p w:rsidR="00DE3804" w:rsidRPr="004761E0" w:rsidRDefault="00DE3804" w:rsidP="007076A7">
            <w:pPr>
              <w:pStyle w:val="a5"/>
              <w:numPr>
                <w:ilvl w:val="1"/>
                <w:numId w:val="13"/>
              </w:numPr>
              <w:jc w:val="left"/>
              <w:rPr>
                <w:rFonts w:eastAsia="Times New Roman"/>
                <w:color w:val="000000"/>
                <w:sz w:val="20"/>
                <w:szCs w:val="20"/>
                <w:lang w:eastAsia="ru-RU"/>
              </w:rPr>
            </w:pPr>
          </w:p>
        </w:tc>
        <w:tc>
          <w:tcPr>
            <w:tcW w:w="7088" w:type="dxa"/>
            <w:shd w:val="clear" w:color="auto" w:fill="auto"/>
            <w:vAlign w:val="center"/>
            <w:hideMark/>
          </w:tcPr>
          <w:p w:rsidR="00DE3804" w:rsidRPr="004761E0" w:rsidRDefault="00DE3804" w:rsidP="002E7F83">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расчистка трассы</w:t>
            </w:r>
          </w:p>
        </w:tc>
        <w:tc>
          <w:tcPr>
            <w:tcW w:w="1134" w:type="dxa"/>
            <w:shd w:val="clear" w:color="auto" w:fill="auto"/>
            <w:vAlign w:val="center"/>
            <w:hideMark/>
          </w:tcPr>
          <w:p w:rsidR="00DE3804" w:rsidRPr="004761E0" w:rsidRDefault="00DE3804" w:rsidP="00DE3804">
            <w:pPr>
              <w:ind w:firstLine="0"/>
              <w:jc w:val="right"/>
              <w:rPr>
                <w:rFonts w:eastAsia="Times New Roman"/>
                <w:color w:val="000000"/>
                <w:sz w:val="20"/>
                <w:szCs w:val="20"/>
                <w:lang w:eastAsia="ru-RU"/>
              </w:rPr>
            </w:pPr>
            <w:r w:rsidRPr="004761E0">
              <w:rPr>
                <w:rFonts w:eastAsia="Times New Roman"/>
                <w:color w:val="000000"/>
                <w:sz w:val="20"/>
                <w:szCs w:val="20"/>
                <w:lang w:eastAsia="ru-RU"/>
              </w:rPr>
              <w:t>га</w:t>
            </w:r>
          </w:p>
        </w:tc>
        <w:tc>
          <w:tcPr>
            <w:tcW w:w="1134" w:type="dxa"/>
            <w:shd w:val="clear" w:color="auto" w:fill="auto"/>
            <w:vAlign w:val="center"/>
            <w:hideMark/>
          </w:tcPr>
          <w:p w:rsidR="00DE3804" w:rsidRPr="004761E0" w:rsidRDefault="00DE3804" w:rsidP="00DE3804">
            <w:pPr>
              <w:ind w:firstLine="0"/>
              <w:jc w:val="right"/>
              <w:rPr>
                <w:bCs/>
                <w:sz w:val="20"/>
                <w:szCs w:val="20"/>
              </w:rPr>
            </w:pPr>
            <w:r w:rsidRPr="004761E0">
              <w:rPr>
                <w:bCs/>
                <w:sz w:val="20"/>
                <w:szCs w:val="20"/>
              </w:rPr>
              <w:t>2 377</w:t>
            </w:r>
          </w:p>
        </w:tc>
      </w:tr>
      <w:tr w:rsidR="00DE3804" w:rsidRPr="004761E0" w:rsidTr="00DE3804">
        <w:trPr>
          <w:cantSplit/>
        </w:trPr>
        <w:tc>
          <w:tcPr>
            <w:tcW w:w="582" w:type="dxa"/>
            <w:shd w:val="clear" w:color="auto" w:fill="auto"/>
            <w:vAlign w:val="center"/>
          </w:tcPr>
          <w:p w:rsidR="00DE3804" w:rsidRPr="004761E0" w:rsidRDefault="00DE3804" w:rsidP="007076A7">
            <w:pPr>
              <w:pStyle w:val="a5"/>
              <w:numPr>
                <w:ilvl w:val="1"/>
                <w:numId w:val="13"/>
              </w:numPr>
              <w:jc w:val="left"/>
              <w:rPr>
                <w:rFonts w:eastAsia="Times New Roman"/>
                <w:color w:val="000000"/>
                <w:sz w:val="20"/>
                <w:szCs w:val="20"/>
                <w:lang w:eastAsia="ru-RU"/>
              </w:rPr>
            </w:pPr>
          </w:p>
        </w:tc>
        <w:tc>
          <w:tcPr>
            <w:tcW w:w="7088" w:type="dxa"/>
            <w:shd w:val="clear" w:color="auto" w:fill="auto"/>
            <w:vAlign w:val="center"/>
            <w:hideMark/>
          </w:tcPr>
          <w:p w:rsidR="00DE3804" w:rsidRPr="004761E0" w:rsidRDefault="00DE3804" w:rsidP="002E7F83">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замена изоляторов</w:t>
            </w:r>
          </w:p>
        </w:tc>
        <w:tc>
          <w:tcPr>
            <w:tcW w:w="1134" w:type="dxa"/>
            <w:shd w:val="clear" w:color="auto" w:fill="auto"/>
            <w:vAlign w:val="center"/>
            <w:hideMark/>
          </w:tcPr>
          <w:p w:rsidR="00DE3804" w:rsidRPr="004761E0" w:rsidRDefault="00DE3804" w:rsidP="00DE3804">
            <w:pPr>
              <w:ind w:firstLine="0"/>
              <w:jc w:val="right"/>
              <w:rPr>
                <w:rFonts w:eastAsia="Times New Roman"/>
                <w:color w:val="000000"/>
                <w:sz w:val="20"/>
                <w:szCs w:val="20"/>
                <w:lang w:eastAsia="ru-RU"/>
              </w:rPr>
            </w:pPr>
            <w:r w:rsidRPr="004761E0">
              <w:rPr>
                <w:rFonts w:eastAsia="Times New Roman"/>
                <w:color w:val="000000"/>
                <w:sz w:val="20"/>
                <w:szCs w:val="20"/>
                <w:lang w:eastAsia="ru-RU"/>
              </w:rPr>
              <w:t>шт.</w:t>
            </w:r>
          </w:p>
        </w:tc>
        <w:tc>
          <w:tcPr>
            <w:tcW w:w="1134" w:type="dxa"/>
            <w:shd w:val="clear" w:color="auto" w:fill="auto"/>
            <w:vAlign w:val="center"/>
            <w:hideMark/>
          </w:tcPr>
          <w:p w:rsidR="00DE3804" w:rsidRPr="004761E0" w:rsidRDefault="00DE3804" w:rsidP="00DE3804">
            <w:pPr>
              <w:ind w:firstLine="0"/>
              <w:jc w:val="right"/>
              <w:rPr>
                <w:bCs/>
                <w:sz w:val="20"/>
                <w:szCs w:val="20"/>
              </w:rPr>
            </w:pPr>
            <w:r w:rsidRPr="004761E0">
              <w:rPr>
                <w:bCs/>
                <w:sz w:val="20"/>
                <w:szCs w:val="20"/>
              </w:rPr>
              <w:t>66 446</w:t>
            </w:r>
          </w:p>
        </w:tc>
      </w:tr>
      <w:tr w:rsidR="00DE3804" w:rsidRPr="004761E0" w:rsidTr="00DE3804">
        <w:trPr>
          <w:cantSplit/>
        </w:trPr>
        <w:tc>
          <w:tcPr>
            <w:tcW w:w="582" w:type="dxa"/>
            <w:shd w:val="clear" w:color="auto" w:fill="auto"/>
            <w:vAlign w:val="center"/>
          </w:tcPr>
          <w:p w:rsidR="00DE3804" w:rsidRPr="004761E0" w:rsidRDefault="00DE3804" w:rsidP="007076A7">
            <w:pPr>
              <w:pStyle w:val="a5"/>
              <w:numPr>
                <w:ilvl w:val="1"/>
                <w:numId w:val="13"/>
              </w:numPr>
              <w:jc w:val="left"/>
              <w:rPr>
                <w:rFonts w:eastAsia="Times New Roman"/>
                <w:color w:val="000000"/>
                <w:sz w:val="20"/>
                <w:szCs w:val="20"/>
                <w:lang w:eastAsia="ru-RU"/>
              </w:rPr>
            </w:pPr>
          </w:p>
        </w:tc>
        <w:tc>
          <w:tcPr>
            <w:tcW w:w="7088" w:type="dxa"/>
            <w:shd w:val="clear" w:color="auto" w:fill="auto"/>
            <w:vAlign w:val="center"/>
            <w:hideMark/>
          </w:tcPr>
          <w:p w:rsidR="00DE3804" w:rsidRPr="004761E0" w:rsidRDefault="00DE3804" w:rsidP="002E7F83">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 xml:space="preserve">замена опор </w:t>
            </w:r>
          </w:p>
        </w:tc>
        <w:tc>
          <w:tcPr>
            <w:tcW w:w="1134" w:type="dxa"/>
            <w:shd w:val="clear" w:color="auto" w:fill="auto"/>
            <w:vAlign w:val="center"/>
            <w:hideMark/>
          </w:tcPr>
          <w:p w:rsidR="00DE3804" w:rsidRPr="004761E0" w:rsidRDefault="00DE3804" w:rsidP="00DE3804">
            <w:pPr>
              <w:ind w:firstLine="0"/>
              <w:jc w:val="right"/>
              <w:rPr>
                <w:rFonts w:eastAsia="Times New Roman"/>
                <w:color w:val="000000"/>
                <w:sz w:val="20"/>
                <w:szCs w:val="20"/>
                <w:lang w:eastAsia="ru-RU"/>
              </w:rPr>
            </w:pPr>
            <w:r w:rsidRPr="004761E0">
              <w:rPr>
                <w:rFonts w:eastAsia="Times New Roman"/>
                <w:color w:val="000000"/>
                <w:sz w:val="20"/>
                <w:szCs w:val="20"/>
                <w:lang w:eastAsia="ru-RU"/>
              </w:rPr>
              <w:t>шт.</w:t>
            </w:r>
          </w:p>
        </w:tc>
        <w:tc>
          <w:tcPr>
            <w:tcW w:w="1134" w:type="dxa"/>
            <w:shd w:val="clear" w:color="auto" w:fill="auto"/>
            <w:vAlign w:val="center"/>
            <w:hideMark/>
          </w:tcPr>
          <w:p w:rsidR="00DE3804" w:rsidRPr="004761E0" w:rsidRDefault="00DE3804" w:rsidP="00DE3804">
            <w:pPr>
              <w:ind w:firstLine="0"/>
              <w:jc w:val="right"/>
              <w:rPr>
                <w:bCs/>
                <w:sz w:val="20"/>
                <w:szCs w:val="20"/>
              </w:rPr>
            </w:pPr>
            <w:r w:rsidRPr="004761E0">
              <w:rPr>
                <w:bCs/>
                <w:sz w:val="20"/>
                <w:szCs w:val="20"/>
              </w:rPr>
              <w:t>11 873</w:t>
            </w:r>
          </w:p>
        </w:tc>
      </w:tr>
      <w:tr w:rsidR="00DE3804" w:rsidRPr="004761E0" w:rsidTr="00DE3804">
        <w:trPr>
          <w:cantSplit/>
        </w:trPr>
        <w:tc>
          <w:tcPr>
            <w:tcW w:w="582" w:type="dxa"/>
            <w:shd w:val="clear" w:color="auto" w:fill="auto"/>
            <w:vAlign w:val="center"/>
          </w:tcPr>
          <w:p w:rsidR="00DE3804" w:rsidRPr="004761E0" w:rsidRDefault="00DE3804" w:rsidP="007076A7">
            <w:pPr>
              <w:pStyle w:val="a5"/>
              <w:numPr>
                <w:ilvl w:val="1"/>
                <w:numId w:val="13"/>
              </w:numPr>
              <w:jc w:val="left"/>
              <w:rPr>
                <w:rFonts w:eastAsia="Times New Roman"/>
                <w:color w:val="000000"/>
                <w:sz w:val="20"/>
                <w:szCs w:val="20"/>
                <w:lang w:eastAsia="ru-RU"/>
              </w:rPr>
            </w:pPr>
          </w:p>
        </w:tc>
        <w:tc>
          <w:tcPr>
            <w:tcW w:w="7088" w:type="dxa"/>
            <w:shd w:val="clear" w:color="auto" w:fill="auto"/>
            <w:vAlign w:val="center"/>
            <w:hideMark/>
          </w:tcPr>
          <w:p w:rsidR="00DE3804" w:rsidRPr="004761E0" w:rsidRDefault="00DE3804" w:rsidP="002E7F83">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замена провода</w:t>
            </w:r>
          </w:p>
        </w:tc>
        <w:tc>
          <w:tcPr>
            <w:tcW w:w="1134" w:type="dxa"/>
            <w:shd w:val="clear" w:color="auto" w:fill="auto"/>
            <w:vAlign w:val="center"/>
            <w:hideMark/>
          </w:tcPr>
          <w:p w:rsidR="00DE3804" w:rsidRPr="004761E0" w:rsidRDefault="00DE3804" w:rsidP="00DE3804">
            <w:pPr>
              <w:ind w:firstLine="0"/>
              <w:jc w:val="right"/>
              <w:rPr>
                <w:rFonts w:eastAsia="Times New Roman"/>
                <w:color w:val="000000"/>
                <w:sz w:val="20"/>
                <w:szCs w:val="20"/>
                <w:lang w:eastAsia="ru-RU"/>
              </w:rPr>
            </w:pPr>
            <w:r w:rsidRPr="004761E0">
              <w:rPr>
                <w:rFonts w:eastAsia="Times New Roman"/>
                <w:color w:val="000000"/>
                <w:sz w:val="20"/>
                <w:szCs w:val="20"/>
                <w:lang w:eastAsia="ru-RU"/>
              </w:rPr>
              <w:t>км</w:t>
            </w:r>
          </w:p>
        </w:tc>
        <w:tc>
          <w:tcPr>
            <w:tcW w:w="1134" w:type="dxa"/>
            <w:shd w:val="clear" w:color="auto" w:fill="auto"/>
            <w:vAlign w:val="center"/>
            <w:hideMark/>
          </w:tcPr>
          <w:p w:rsidR="00DE3804" w:rsidRPr="004761E0" w:rsidRDefault="00DE3804" w:rsidP="00DE3804">
            <w:pPr>
              <w:ind w:firstLine="0"/>
              <w:jc w:val="right"/>
              <w:rPr>
                <w:bCs/>
                <w:sz w:val="20"/>
                <w:szCs w:val="20"/>
              </w:rPr>
            </w:pPr>
            <w:r w:rsidRPr="004761E0">
              <w:rPr>
                <w:bCs/>
                <w:sz w:val="20"/>
                <w:szCs w:val="20"/>
              </w:rPr>
              <w:t>1 474</w:t>
            </w:r>
          </w:p>
        </w:tc>
      </w:tr>
      <w:tr w:rsidR="00DE3804" w:rsidRPr="004761E0" w:rsidTr="00DE3804">
        <w:trPr>
          <w:cantSplit/>
        </w:trPr>
        <w:tc>
          <w:tcPr>
            <w:tcW w:w="582" w:type="dxa"/>
            <w:shd w:val="clear" w:color="auto" w:fill="BFBFBF" w:themeFill="background1" w:themeFillShade="BF"/>
            <w:vAlign w:val="center"/>
          </w:tcPr>
          <w:p w:rsidR="00DE3804" w:rsidRPr="004761E0" w:rsidRDefault="00DE3804" w:rsidP="007076A7">
            <w:pPr>
              <w:pStyle w:val="a5"/>
              <w:numPr>
                <w:ilvl w:val="0"/>
                <w:numId w:val="13"/>
              </w:numPr>
              <w:jc w:val="left"/>
              <w:rPr>
                <w:rFonts w:eastAsia="Times New Roman"/>
                <w:b/>
                <w:color w:val="000000"/>
                <w:sz w:val="20"/>
                <w:szCs w:val="20"/>
                <w:lang w:eastAsia="ru-RU"/>
              </w:rPr>
            </w:pPr>
          </w:p>
        </w:tc>
        <w:tc>
          <w:tcPr>
            <w:tcW w:w="7088" w:type="dxa"/>
            <w:shd w:val="clear" w:color="auto" w:fill="BFBFBF" w:themeFill="background1" w:themeFillShade="BF"/>
            <w:vAlign w:val="center"/>
            <w:hideMark/>
          </w:tcPr>
          <w:p w:rsidR="00DE3804" w:rsidRPr="004761E0" w:rsidRDefault="00DE3804" w:rsidP="002E7F83">
            <w:pPr>
              <w:ind w:firstLine="0"/>
              <w:jc w:val="left"/>
              <w:rPr>
                <w:rFonts w:eastAsia="Times New Roman"/>
                <w:b/>
                <w:color w:val="000000"/>
                <w:sz w:val="20"/>
                <w:szCs w:val="20"/>
                <w:lang w:eastAsia="ru-RU"/>
              </w:rPr>
            </w:pPr>
            <w:r w:rsidRPr="004761E0">
              <w:rPr>
                <w:rFonts w:eastAsia="Times New Roman"/>
                <w:b/>
                <w:color w:val="000000"/>
                <w:sz w:val="20"/>
                <w:szCs w:val="20"/>
                <w:lang w:eastAsia="ru-RU"/>
              </w:rPr>
              <w:t>Ремонт высоковольтных центров питания кВ, в т.ч.:</w:t>
            </w:r>
          </w:p>
        </w:tc>
        <w:tc>
          <w:tcPr>
            <w:tcW w:w="1134" w:type="dxa"/>
            <w:shd w:val="clear" w:color="auto" w:fill="BFBFBF" w:themeFill="background1" w:themeFillShade="BF"/>
            <w:vAlign w:val="center"/>
            <w:hideMark/>
          </w:tcPr>
          <w:p w:rsidR="00DE3804" w:rsidRPr="004761E0" w:rsidRDefault="00DE3804" w:rsidP="00DE3804">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w:t>
            </w:r>
          </w:p>
        </w:tc>
        <w:tc>
          <w:tcPr>
            <w:tcW w:w="1134" w:type="dxa"/>
            <w:shd w:val="clear" w:color="auto" w:fill="BFBFBF" w:themeFill="background1" w:themeFillShade="BF"/>
            <w:vAlign w:val="center"/>
            <w:hideMark/>
          </w:tcPr>
          <w:p w:rsidR="00DE3804" w:rsidRPr="004761E0" w:rsidRDefault="00DE3804" w:rsidP="00DE3804">
            <w:pPr>
              <w:ind w:firstLine="0"/>
              <w:jc w:val="right"/>
              <w:rPr>
                <w:b/>
                <w:bCs/>
                <w:sz w:val="20"/>
                <w:szCs w:val="20"/>
              </w:rPr>
            </w:pPr>
            <w:r w:rsidRPr="004761E0">
              <w:rPr>
                <w:b/>
                <w:bCs/>
                <w:sz w:val="20"/>
                <w:szCs w:val="20"/>
              </w:rPr>
              <w:t>–</w:t>
            </w:r>
          </w:p>
        </w:tc>
      </w:tr>
      <w:tr w:rsidR="00DE3804" w:rsidRPr="004761E0" w:rsidTr="00DE3804">
        <w:trPr>
          <w:cantSplit/>
        </w:trPr>
        <w:tc>
          <w:tcPr>
            <w:tcW w:w="582" w:type="dxa"/>
            <w:shd w:val="clear" w:color="auto" w:fill="auto"/>
            <w:vAlign w:val="center"/>
          </w:tcPr>
          <w:p w:rsidR="00DE3804" w:rsidRPr="004761E0" w:rsidRDefault="00DE3804" w:rsidP="007076A7">
            <w:pPr>
              <w:pStyle w:val="a5"/>
              <w:numPr>
                <w:ilvl w:val="1"/>
                <w:numId w:val="13"/>
              </w:numPr>
              <w:jc w:val="left"/>
              <w:rPr>
                <w:rFonts w:eastAsia="Times New Roman"/>
                <w:color w:val="000000"/>
                <w:sz w:val="20"/>
                <w:szCs w:val="20"/>
                <w:lang w:eastAsia="ru-RU"/>
              </w:rPr>
            </w:pPr>
          </w:p>
        </w:tc>
        <w:tc>
          <w:tcPr>
            <w:tcW w:w="7088" w:type="dxa"/>
            <w:shd w:val="clear" w:color="auto" w:fill="auto"/>
            <w:vAlign w:val="center"/>
            <w:hideMark/>
          </w:tcPr>
          <w:p w:rsidR="00DE3804" w:rsidRPr="004761E0" w:rsidRDefault="00DE3804" w:rsidP="002E7F83">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 xml:space="preserve">комплексный ремонт </w:t>
            </w:r>
          </w:p>
        </w:tc>
        <w:tc>
          <w:tcPr>
            <w:tcW w:w="1134" w:type="dxa"/>
            <w:shd w:val="clear" w:color="auto" w:fill="auto"/>
            <w:vAlign w:val="center"/>
            <w:hideMark/>
          </w:tcPr>
          <w:p w:rsidR="00DE3804" w:rsidRPr="004761E0" w:rsidRDefault="00DE3804" w:rsidP="00DE3804">
            <w:pPr>
              <w:ind w:firstLine="0"/>
              <w:jc w:val="right"/>
              <w:rPr>
                <w:rFonts w:eastAsia="Times New Roman"/>
                <w:color w:val="000000"/>
                <w:sz w:val="20"/>
                <w:szCs w:val="20"/>
                <w:lang w:eastAsia="ru-RU"/>
              </w:rPr>
            </w:pPr>
            <w:r w:rsidRPr="004761E0">
              <w:rPr>
                <w:rFonts w:eastAsia="Times New Roman"/>
                <w:color w:val="000000"/>
                <w:sz w:val="20"/>
                <w:szCs w:val="20"/>
                <w:lang w:eastAsia="ru-RU"/>
              </w:rPr>
              <w:t>шт.</w:t>
            </w:r>
          </w:p>
        </w:tc>
        <w:tc>
          <w:tcPr>
            <w:tcW w:w="1134" w:type="dxa"/>
            <w:shd w:val="clear" w:color="auto" w:fill="auto"/>
            <w:vAlign w:val="center"/>
            <w:hideMark/>
          </w:tcPr>
          <w:p w:rsidR="00DE3804" w:rsidRPr="004761E0" w:rsidRDefault="00DE3804" w:rsidP="00DE3804">
            <w:pPr>
              <w:ind w:firstLine="0"/>
              <w:jc w:val="right"/>
              <w:rPr>
                <w:bCs/>
                <w:sz w:val="20"/>
                <w:szCs w:val="20"/>
              </w:rPr>
            </w:pPr>
            <w:r w:rsidRPr="004761E0">
              <w:rPr>
                <w:bCs/>
                <w:sz w:val="20"/>
                <w:szCs w:val="20"/>
              </w:rPr>
              <w:t>55</w:t>
            </w:r>
          </w:p>
        </w:tc>
      </w:tr>
      <w:tr w:rsidR="00DE3804" w:rsidRPr="004761E0" w:rsidTr="00DE3804">
        <w:trPr>
          <w:cantSplit/>
        </w:trPr>
        <w:tc>
          <w:tcPr>
            <w:tcW w:w="582" w:type="dxa"/>
            <w:shd w:val="clear" w:color="auto" w:fill="auto"/>
            <w:vAlign w:val="center"/>
          </w:tcPr>
          <w:p w:rsidR="00DE3804" w:rsidRPr="004761E0" w:rsidRDefault="00DE3804" w:rsidP="007076A7">
            <w:pPr>
              <w:pStyle w:val="a5"/>
              <w:numPr>
                <w:ilvl w:val="1"/>
                <w:numId w:val="13"/>
              </w:numPr>
              <w:jc w:val="left"/>
              <w:rPr>
                <w:rFonts w:eastAsia="Times New Roman"/>
                <w:color w:val="000000"/>
                <w:sz w:val="20"/>
                <w:szCs w:val="20"/>
                <w:lang w:eastAsia="ru-RU"/>
              </w:rPr>
            </w:pPr>
          </w:p>
        </w:tc>
        <w:tc>
          <w:tcPr>
            <w:tcW w:w="7088" w:type="dxa"/>
            <w:shd w:val="clear" w:color="auto" w:fill="auto"/>
            <w:vAlign w:val="center"/>
            <w:hideMark/>
          </w:tcPr>
          <w:p w:rsidR="00DE3804" w:rsidRPr="004761E0" w:rsidRDefault="00DE3804" w:rsidP="002E7F83">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силовых трансформаторов</w:t>
            </w:r>
          </w:p>
        </w:tc>
        <w:tc>
          <w:tcPr>
            <w:tcW w:w="1134" w:type="dxa"/>
            <w:shd w:val="clear" w:color="auto" w:fill="auto"/>
            <w:vAlign w:val="center"/>
            <w:hideMark/>
          </w:tcPr>
          <w:p w:rsidR="00DE3804" w:rsidRPr="004761E0" w:rsidRDefault="00DE3804" w:rsidP="00DE3804">
            <w:pPr>
              <w:ind w:firstLine="0"/>
              <w:jc w:val="right"/>
              <w:rPr>
                <w:rFonts w:eastAsia="Times New Roman"/>
                <w:color w:val="000000"/>
                <w:sz w:val="20"/>
                <w:szCs w:val="20"/>
                <w:lang w:eastAsia="ru-RU"/>
              </w:rPr>
            </w:pPr>
            <w:r w:rsidRPr="004761E0">
              <w:rPr>
                <w:rFonts w:eastAsia="Times New Roman"/>
                <w:color w:val="000000"/>
                <w:sz w:val="20"/>
                <w:szCs w:val="20"/>
                <w:lang w:eastAsia="ru-RU"/>
              </w:rPr>
              <w:t>шт.</w:t>
            </w:r>
          </w:p>
        </w:tc>
        <w:tc>
          <w:tcPr>
            <w:tcW w:w="1134" w:type="dxa"/>
            <w:shd w:val="clear" w:color="auto" w:fill="auto"/>
            <w:vAlign w:val="center"/>
            <w:hideMark/>
          </w:tcPr>
          <w:p w:rsidR="00DE3804" w:rsidRPr="004761E0" w:rsidRDefault="00DE3804" w:rsidP="00DE3804">
            <w:pPr>
              <w:ind w:firstLine="0"/>
              <w:jc w:val="right"/>
              <w:rPr>
                <w:bCs/>
                <w:sz w:val="20"/>
                <w:szCs w:val="20"/>
              </w:rPr>
            </w:pPr>
            <w:r w:rsidRPr="004761E0">
              <w:rPr>
                <w:bCs/>
                <w:sz w:val="20"/>
                <w:szCs w:val="20"/>
              </w:rPr>
              <w:t>225</w:t>
            </w:r>
          </w:p>
        </w:tc>
      </w:tr>
      <w:tr w:rsidR="00DE3804" w:rsidRPr="004761E0" w:rsidTr="00DE3804">
        <w:trPr>
          <w:cantSplit/>
        </w:trPr>
        <w:tc>
          <w:tcPr>
            <w:tcW w:w="582" w:type="dxa"/>
            <w:shd w:val="clear" w:color="auto" w:fill="auto"/>
            <w:vAlign w:val="center"/>
          </w:tcPr>
          <w:p w:rsidR="00DE3804" w:rsidRPr="004761E0" w:rsidRDefault="00DE3804" w:rsidP="007076A7">
            <w:pPr>
              <w:pStyle w:val="a5"/>
              <w:numPr>
                <w:ilvl w:val="1"/>
                <w:numId w:val="13"/>
              </w:numPr>
              <w:jc w:val="left"/>
              <w:rPr>
                <w:rFonts w:eastAsia="Times New Roman"/>
                <w:color w:val="000000"/>
                <w:sz w:val="20"/>
                <w:szCs w:val="20"/>
                <w:lang w:eastAsia="ru-RU"/>
              </w:rPr>
            </w:pPr>
          </w:p>
        </w:tc>
        <w:tc>
          <w:tcPr>
            <w:tcW w:w="7088" w:type="dxa"/>
            <w:shd w:val="clear" w:color="auto" w:fill="auto"/>
            <w:vAlign w:val="center"/>
            <w:hideMark/>
          </w:tcPr>
          <w:p w:rsidR="00DE3804" w:rsidRPr="004761E0" w:rsidRDefault="00DE3804" w:rsidP="002E7F83">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ремонт выключателей</w:t>
            </w:r>
          </w:p>
        </w:tc>
        <w:tc>
          <w:tcPr>
            <w:tcW w:w="1134" w:type="dxa"/>
            <w:shd w:val="clear" w:color="auto" w:fill="auto"/>
            <w:vAlign w:val="center"/>
            <w:hideMark/>
          </w:tcPr>
          <w:p w:rsidR="00DE3804" w:rsidRPr="004761E0" w:rsidRDefault="00DE3804" w:rsidP="00DE3804">
            <w:pPr>
              <w:ind w:firstLine="0"/>
              <w:jc w:val="right"/>
              <w:rPr>
                <w:rFonts w:eastAsia="Times New Roman"/>
                <w:color w:val="000000"/>
                <w:sz w:val="20"/>
                <w:szCs w:val="20"/>
                <w:lang w:eastAsia="ru-RU"/>
              </w:rPr>
            </w:pPr>
            <w:r w:rsidRPr="004761E0">
              <w:rPr>
                <w:rFonts w:eastAsia="Times New Roman"/>
                <w:color w:val="000000"/>
                <w:sz w:val="20"/>
                <w:szCs w:val="20"/>
                <w:lang w:eastAsia="ru-RU"/>
              </w:rPr>
              <w:t>шт.</w:t>
            </w:r>
          </w:p>
        </w:tc>
        <w:tc>
          <w:tcPr>
            <w:tcW w:w="1134" w:type="dxa"/>
            <w:shd w:val="clear" w:color="auto" w:fill="auto"/>
            <w:vAlign w:val="center"/>
            <w:hideMark/>
          </w:tcPr>
          <w:p w:rsidR="00DE3804" w:rsidRPr="004761E0" w:rsidRDefault="00DE3804" w:rsidP="00DE3804">
            <w:pPr>
              <w:ind w:firstLine="0"/>
              <w:jc w:val="right"/>
              <w:rPr>
                <w:bCs/>
                <w:sz w:val="20"/>
                <w:szCs w:val="20"/>
              </w:rPr>
            </w:pPr>
            <w:r w:rsidRPr="004761E0">
              <w:rPr>
                <w:bCs/>
                <w:sz w:val="20"/>
                <w:szCs w:val="20"/>
              </w:rPr>
              <w:t>2 002</w:t>
            </w:r>
          </w:p>
        </w:tc>
      </w:tr>
      <w:tr w:rsidR="00DE3804" w:rsidRPr="004761E0" w:rsidTr="00DE3804">
        <w:trPr>
          <w:cantSplit/>
        </w:trPr>
        <w:tc>
          <w:tcPr>
            <w:tcW w:w="582" w:type="dxa"/>
            <w:shd w:val="clear" w:color="auto" w:fill="auto"/>
            <w:vAlign w:val="center"/>
          </w:tcPr>
          <w:p w:rsidR="00DE3804" w:rsidRPr="004761E0" w:rsidRDefault="00DE3804" w:rsidP="007076A7">
            <w:pPr>
              <w:pStyle w:val="a5"/>
              <w:numPr>
                <w:ilvl w:val="1"/>
                <w:numId w:val="13"/>
              </w:numPr>
              <w:jc w:val="left"/>
              <w:rPr>
                <w:rFonts w:eastAsia="Times New Roman"/>
                <w:color w:val="000000"/>
                <w:sz w:val="20"/>
                <w:szCs w:val="20"/>
                <w:lang w:eastAsia="ru-RU"/>
              </w:rPr>
            </w:pPr>
          </w:p>
        </w:tc>
        <w:tc>
          <w:tcPr>
            <w:tcW w:w="7088" w:type="dxa"/>
            <w:shd w:val="clear" w:color="auto" w:fill="auto"/>
            <w:vAlign w:val="center"/>
            <w:hideMark/>
          </w:tcPr>
          <w:p w:rsidR="00DE3804" w:rsidRPr="004761E0" w:rsidRDefault="00DE3804" w:rsidP="002E7F83">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ремонт разъединителей</w:t>
            </w:r>
          </w:p>
        </w:tc>
        <w:tc>
          <w:tcPr>
            <w:tcW w:w="1134" w:type="dxa"/>
            <w:shd w:val="clear" w:color="auto" w:fill="auto"/>
            <w:vAlign w:val="center"/>
            <w:hideMark/>
          </w:tcPr>
          <w:p w:rsidR="00DE3804" w:rsidRPr="004761E0" w:rsidRDefault="00DE3804" w:rsidP="00DE3804">
            <w:pPr>
              <w:ind w:firstLine="0"/>
              <w:jc w:val="right"/>
              <w:rPr>
                <w:rFonts w:eastAsia="Times New Roman"/>
                <w:color w:val="000000"/>
                <w:sz w:val="20"/>
                <w:szCs w:val="20"/>
                <w:lang w:eastAsia="ru-RU"/>
              </w:rPr>
            </w:pPr>
            <w:r w:rsidRPr="004761E0">
              <w:rPr>
                <w:rFonts w:eastAsia="Times New Roman"/>
                <w:color w:val="000000"/>
                <w:sz w:val="20"/>
                <w:szCs w:val="20"/>
                <w:lang w:eastAsia="ru-RU"/>
              </w:rPr>
              <w:t>шт.</w:t>
            </w:r>
          </w:p>
        </w:tc>
        <w:tc>
          <w:tcPr>
            <w:tcW w:w="1134" w:type="dxa"/>
            <w:shd w:val="clear" w:color="auto" w:fill="auto"/>
            <w:vAlign w:val="center"/>
            <w:hideMark/>
          </w:tcPr>
          <w:p w:rsidR="00DE3804" w:rsidRPr="004761E0" w:rsidRDefault="00DE3804" w:rsidP="00DE3804">
            <w:pPr>
              <w:ind w:firstLine="0"/>
              <w:jc w:val="right"/>
              <w:rPr>
                <w:bCs/>
                <w:sz w:val="20"/>
                <w:szCs w:val="20"/>
              </w:rPr>
            </w:pPr>
            <w:r w:rsidRPr="004761E0">
              <w:rPr>
                <w:bCs/>
                <w:sz w:val="20"/>
                <w:szCs w:val="20"/>
              </w:rPr>
              <w:t>876</w:t>
            </w:r>
          </w:p>
        </w:tc>
      </w:tr>
      <w:tr w:rsidR="00DE3804" w:rsidRPr="004761E0" w:rsidTr="00DE3804">
        <w:trPr>
          <w:cantSplit/>
        </w:trPr>
        <w:tc>
          <w:tcPr>
            <w:tcW w:w="582" w:type="dxa"/>
            <w:shd w:val="clear" w:color="auto" w:fill="BFBFBF" w:themeFill="background1" w:themeFillShade="BF"/>
            <w:vAlign w:val="center"/>
          </w:tcPr>
          <w:p w:rsidR="00DE3804" w:rsidRPr="004761E0" w:rsidRDefault="00DE3804" w:rsidP="007076A7">
            <w:pPr>
              <w:pStyle w:val="a5"/>
              <w:numPr>
                <w:ilvl w:val="0"/>
                <w:numId w:val="13"/>
              </w:numPr>
              <w:jc w:val="left"/>
              <w:rPr>
                <w:rFonts w:eastAsia="Times New Roman"/>
                <w:b/>
                <w:color w:val="000000"/>
                <w:sz w:val="20"/>
                <w:szCs w:val="20"/>
                <w:lang w:eastAsia="ru-RU"/>
              </w:rPr>
            </w:pPr>
          </w:p>
        </w:tc>
        <w:tc>
          <w:tcPr>
            <w:tcW w:w="7088" w:type="dxa"/>
            <w:shd w:val="clear" w:color="auto" w:fill="BFBFBF" w:themeFill="background1" w:themeFillShade="BF"/>
            <w:vAlign w:val="center"/>
            <w:hideMark/>
          </w:tcPr>
          <w:p w:rsidR="00DE3804" w:rsidRPr="004761E0" w:rsidRDefault="00DE3804" w:rsidP="002E7F83">
            <w:pPr>
              <w:ind w:firstLine="0"/>
              <w:jc w:val="left"/>
              <w:rPr>
                <w:rFonts w:eastAsia="Times New Roman"/>
                <w:b/>
                <w:color w:val="000000"/>
                <w:sz w:val="20"/>
                <w:szCs w:val="20"/>
                <w:lang w:eastAsia="ru-RU"/>
              </w:rPr>
            </w:pPr>
            <w:r w:rsidRPr="004761E0">
              <w:rPr>
                <w:rFonts w:eastAsia="Times New Roman"/>
                <w:b/>
                <w:color w:val="000000"/>
                <w:sz w:val="20"/>
                <w:szCs w:val="20"/>
                <w:lang w:eastAsia="ru-RU"/>
              </w:rPr>
              <w:t xml:space="preserve">Ремонт подстанций распределительных сетей </w:t>
            </w:r>
          </w:p>
        </w:tc>
        <w:tc>
          <w:tcPr>
            <w:tcW w:w="1134" w:type="dxa"/>
            <w:shd w:val="clear" w:color="auto" w:fill="BFBFBF" w:themeFill="background1" w:themeFillShade="BF"/>
            <w:vAlign w:val="center"/>
            <w:hideMark/>
          </w:tcPr>
          <w:p w:rsidR="00DE3804" w:rsidRPr="004761E0" w:rsidRDefault="00DE3804" w:rsidP="00DE3804">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шт.</w:t>
            </w:r>
          </w:p>
        </w:tc>
        <w:tc>
          <w:tcPr>
            <w:tcW w:w="1134" w:type="dxa"/>
            <w:shd w:val="clear" w:color="auto" w:fill="BFBFBF" w:themeFill="background1" w:themeFillShade="BF"/>
            <w:vAlign w:val="center"/>
            <w:hideMark/>
          </w:tcPr>
          <w:p w:rsidR="00DE3804" w:rsidRPr="004761E0" w:rsidRDefault="00DE3804" w:rsidP="00A53B0D">
            <w:pPr>
              <w:ind w:firstLine="0"/>
              <w:jc w:val="right"/>
              <w:rPr>
                <w:b/>
                <w:bCs/>
                <w:sz w:val="20"/>
                <w:szCs w:val="20"/>
              </w:rPr>
            </w:pPr>
            <w:r w:rsidRPr="004761E0">
              <w:rPr>
                <w:b/>
                <w:bCs/>
                <w:sz w:val="20"/>
                <w:szCs w:val="20"/>
              </w:rPr>
              <w:t xml:space="preserve">2 </w:t>
            </w:r>
            <w:r w:rsidR="00A53B0D">
              <w:rPr>
                <w:b/>
                <w:bCs/>
                <w:sz w:val="20"/>
                <w:szCs w:val="20"/>
                <w:lang w:val="en-US"/>
              </w:rPr>
              <w:t>667</w:t>
            </w:r>
          </w:p>
        </w:tc>
      </w:tr>
      <w:tr w:rsidR="00DE3804" w:rsidRPr="004761E0" w:rsidTr="00DE3804">
        <w:trPr>
          <w:cantSplit/>
        </w:trPr>
        <w:tc>
          <w:tcPr>
            <w:tcW w:w="582" w:type="dxa"/>
            <w:shd w:val="clear" w:color="auto" w:fill="BFBFBF" w:themeFill="background1" w:themeFillShade="BF"/>
            <w:vAlign w:val="center"/>
          </w:tcPr>
          <w:p w:rsidR="00DE3804" w:rsidRPr="004761E0" w:rsidRDefault="00DE3804" w:rsidP="007076A7">
            <w:pPr>
              <w:pStyle w:val="a5"/>
              <w:numPr>
                <w:ilvl w:val="0"/>
                <w:numId w:val="13"/>
              </w:numPr>
              <w:jc w:val="left"/>
              <w:rPr>
                <w:rFonts w:eastAsia="Times New Roman"/>
                <w:b/>
                <w:color w:val="000000"/>
                <w:sz w:val="20"/>
                <w:szCs w:val="20"/>
                <w:lang w:eastAsia="ru-RU"/>
              </w:rPr>
            </w:pPr>
          </w:p>
        </w:tc>
        <w:tc>
          <w:tcPr>
            <w:tcW w:w="7088" w:type="dxa"/>
            <w:shd w:val="clear" w:color="auto" w:fill="BFBFBF" w:themeFill="background1" w:themeFillShade="BF"/>
            <w:vAlign w:val="center"/>
            <w:hideMark/>
          </w:tcPr>
          <w:p w:rsidR="00DE3804" w:rsidRPr="004761E0" w:rsidRDefault="00DE3804" w:rsidP="002E7F83">
            <w:pPr>
              <w:ind w:firstLine="0"/>
              <w:jc w:val="left"/>
              <w:rPr>
                <w:rFonts w:eastAsia="Times New Roman"/>
                <w:b/>
                <w:color w:val="000000"/>
                <w:sz w:val="20"/>
                <w:szCs w:val="20"/>
                <w:lang w:eastAsia="ru-RU"/>
              </w:rPr>
            </w:pPr>
            <w:r w:rsidRPr="004761E0">
              <w:rPr>
                <w:rFonts w:eastAsia="Times New Roman"/>
                <w:b/>
                <w:color w:val="000000"/>
                <w:sz w:val="20"/>
                <w:szCs w:val="20"/>
                <w:lang w:eastAsia="ru-RU"/>
              </w:rPr>
              <w:t>Ремонт кабельных линий 0,4-220 кВ</w:t>
            </w:r>
          </w:p>
        </w:tc>
        <w:tc>
          <w:tcPr>
            <w:tcW w:w="1134" w:type="dxa"/>
            <w:shd w:val="clear" w:color="auto" w:fill="BFBFBF" w:themeFill="background1" w:themeFillShade="BF"/>
            <w:vAlign w:val="center"/>
            <w:hideMark/>
          </w:tcPr>
          <w:p w:rsidR="00DE3804" w:rsidRPr="004761E0" w:rsidRDefault="00DE3804" w:rsidP="00DE3804">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км</w:t>
            </w:r>
          </w:p>
        </w:tc>
        <w:tc>
          <w:tcPr>
            <w:tcW w:w="1134" w:type="dxa"/>
            <w:shd w:val="clear" w:color="auto" w:fill="BFBFBF" w:themeFill="background1" w:themeFillShade="BF"/>
            <w:vAlign w:val="center"/>
            <w:hideMark/>
          </w:tcPr>
          <w:p w:rsidR="00DE3804" w:rsidRPr="004761E0" w:rsidRDefault="00DE3804" w:rsidP="00DE3804">
            <w:pPr>
              <w:ind w:firstLine="0"/>
              <w:jc w:val="right"/>
              <w:rPr>
                <w:b/>
                <w:bCs/>
                <w:sz w:val="20"/>
                <w:szCs w:val="20"/>
              </w:rPr>
            </w:pPr>
            <w:r w:rsidRPr="004761E0">
              <w:rPr>
                <w:b/>
                <w:bCs/>
                <w:sz w:val="20"/>
                <w:szCs w:val="20"/>
              </w:rPr>
              <w:t>312</w:t>
            </w:r>
          </w:p>
        </w:tc>
      </w:tr>
    </w:tbl>
    <w:p w:rsidR="004F48EE" w:rsidRPr="004761E0" w:rsidRDefault="0070707B" w:rsidP="004F48EE">
      <w:pPr>
        <w:shd w:val="clear" w:color="auto" w:fill="FFFFFF"/>
        <w:spacing w:before="120"/>
        <w:rPr>
          <w:sz w:val="26"/>
          <w:szCs w:val="26"/>
          <w:lang w:eastAsia="ru-RU"/>
        </w:rPr>
      </w:pPr>
      <w:r w:rsidRPr="004761E0">
        <w:rPr>
          <w:sz w:val="26"/>
          <w:szCs w:val="26"/>
          <w:lang w:eastAsia="ru-RU"/>
        </w:rPr>
        <w:t>По итогам 2013 года</w:t>
      </w:r>
      <w:r w:rsidR="004F48EE" w:rsidRPr="004761E0">
        <w:rPr>
          <w:sz w:val="26"/>
          <w:szCs w:val="26"/>
          <w:lang w:eastAsia="ru-RU"/>
        </w:rPr>
        <w:t xml:space="preserve"> ремонтная программа выполнена на 102 %. Увеличение финансирования по ремонтному обслуживанию на 2,30 % до 5,33 млрд руб. обусловлено необходимост</w:t>
      </w:r>
      <w:r w:rsidR="005464CF" w:rsidRPr="004761E0">
        <w:rPr>
          <w:sz w:val="26"/>
          <w:szCs w:val="26"/>
          <w:lang w:eastAsia="ru-RU"/>
        </w:rPr>
        <w:t>ью</w:t>
      </w:r>
      <w:r w:rsidR="004F48EE" w:rsidRPr="004761E0">
        <w:rPr>
          <w:sz w:val="26"/>
          <w:szCs w:val="26"/>
          <w:lang w:eastAsia="ru-RU"/>
        </w:rPr>
        <w:t xml:space="preserve"> организации ремонтных работ в соответствии внутренними нормативными актами</w:t>
      </w:r>
      <w:r w:rsidR="004F48EE" w:rsidRPr="006F4AB8">
        <w:rPr>
          <w:rStyle w:val="af1"/>
        </w:rPr>
        <w:footnoteReference w:id="46"/>
      </w:r>
      <w:r w:rsidR="004F48EE" w:rsidRPr="004761E0">
        <w:rPr>
          <w:sz w:val="26"/>
          <w:szCs w:val="26"/>
          <w:lang w:eastAsia="ru-RU"/>
        </w:rPr>
        <w:t>,</w:t>
      </w:r>
      <w:r w:rsidR="005464CF" w:rsidRPr="004761E0">
        <w:rPr>
          <w:sz w:val="26"/>
          <w:szCs w:val="26"/>
          <w:lang w:eastAsia="ru-RU"/>
        </w:rPr>
        <w:t xml:space="preserve"> а также</w:t>
      </w:r>
      <w:r w:rsidR="004F48EE" w:rsidRPr="004761E0">
        <w:rPr>
          <w:sz w:val="26"/>
          <w:szCs w:val="26"/>
          <w:lang w:eastAsia="ru-RU"/>
        </w:rPr>
        <w:t xml:space="preserve"> включением дополнительных мероприятий по ремонту электросетевого оборудования в Новомосковском и Троицком округах г. Москвы.</w:t>
      </w:r>
    </w:p>
    <w:p w:rsidR="002E7F83" w:rsidRPr="004761E0" w:rsidRDefault="00DE3804" w:rsidP="00B20C95">
      <w:pPr>
        <w:tabs>
          <w:tab w:val="left" w:pos="426"/>
        </w:tabs>
        <w:spacing w:before="120" w:after="120"/>
        <w:ind w:firstLine="567"/>
        <w:rPr>
          <w:b/>
          <w:sz w:val="26"/>
          <w:szCs w:val="26"/>
        </w:rPr>
      </w:pPr>
      <w:r w:rsidRPr="004761E0">
        <w:rPr>
          <w:b/>
          <w:sz w:val="26"/>
          <w:szCs w:val="26"/>
        </w:rPr>
        <w:t>Динамика затрат на выполнение ремонтной программы</w:t>
      </w:r>
    </w:p>
    <w:tbl>
      <w:tblPr>
        <w:tblW w:w="9936" w:type="dxa"/>
        <w:tblInd w:w="95" w:type="dxa"/>
        <w:tblLook w:val="04A0"/>
      </w:tblPr>
      <w:tblGrid>
        <w:gridCol w:w="580"/>
        <w:gridCol w:w="4820"/>
        <w:gridCol w:w="1134"/>
        <w:gridCol w:w="1134"/>
        <w:gridCol w:w="1134"/>
        <w:gridCol w:w="1134"/>
      </w:tblGrid>
      <w:tr w:rsidR="00DE3804" w:rsidRPr="004761E0" w:rsidTr="00B23641">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DE3804" w:rsidRPr="004761E0" w:rsidRDefault="00DE3804" w:rsidP="00B23641">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48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E3804" w:rsidRPr="004761E0" w:rsidRDefault="00DE3804" w:rsidP="00B23641">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E3804" w:rsidRPr="004761E0" w:rsidRDefault="00DE3804" w:rsidP="00B23641">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E3804" w:rsidRPr="004761E0" w:rsidRDefault="00DE3804" w:rsidP="00B23641">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E3804" w:rsidRPr="004761E0" w:rsidRDefault="00DE3804" w:rsidP="00B23641">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DE3804" w:rsidRPr="004761E0" w:rsidRDefault="00DE3804" w:rsidP="00B23641">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EF23D8" w:rsidRPr="004761E0" w:rsidTr="00EF23D8">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EF23D8" w:rsidRPr="004761E0" w:rsidRDefault="00EF23D8" w:rsidP="007076A7">
            <w:pPr>
              <w:numPr>
                <w:ilvl w:val="0"/>
                <w:numId w:val="14"/>
              </w:numPr>
              <w:jc w:val="left"/>
              <w:rPr>
                <w:rFonts w:eastAsia="Times New Roman"/>
                <w:b/>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tcPr>
          <w:p w:rsidR="00EF23D8" w:rsidRPr="00A53B0D" w:rsidRDefault="00EF23D8" w:rsidP="00D56A19">
            <w:pPr>
              <w:ind w:firstLine="0"/>
              <w:jc w:val="left"/>
              <w:rPr>
                <w:rFonts w:eastAsia="Times New Roman"/>
                <w:color w:val="000000"/>
                <w:sz w:val="20"/>
                <w:szCs w:val="20"/>
                <w:lang w:eastAsia="ru-RU"/>
              </w:rPr>
            </w:pPr>
            <w:r w:rsidRPr="00A53B0D">
              <w:rPr>
                <w:rFonts w:eastAsia="Times New Roman"/>
                <w:color w:val="000000"/>
                <w:sz w:val="20"/>
                <w:szCs w:val="20"/>
                <w:lang w:eastAsia="ru-RU"/>
              </w:rPr>
              <w:t>Затраты, млн руб. (всего), в т.ч.:</w:t>
            </w:r>
          </w:p>
        </w:tc>
        <w:tc>
          <w:tcPr>
            <w:tcW w:w="1134" w:type="dxa"/>
            <w:tcBorders>
              <w:top w:val="nil"/>
              <w:left w:val="nil"/>
              <w:bottom w:val="single" w:sz="4" w:space="0" w:color="auto"/>
              <w:right w:val="single" w:sz="4" w:space="0" w:color="auto"/>
            </w:tcBorders>
            <w:shd w:val="clear" w:color="auto" w:fill="auto"/>
            <w:vAlign w:val="center"/>
          </w:tcPr>
          <w:p w:rsidR="00EF23D8" w:rsidRPr="00A53B0D" w:rsidRDefault="00EF23D8" w:rsidP="00D56A19">
            <w:pPr>
              <w:ind w:firstLine="0"/>
              <w:jc w:val="right"/>
              <w:rPr>
                <w:rFonts w:eastAsia="Times New Roman"/>
                <w:bCs/>
                <w:color w:val="000000"/>
                <w:sz w:val="20"/>
                <w:szCs w:val="20"/>
                <w:lang w:eastAsia="ru-RU"/>
              </w:rPr>
            </w:pPr>
            <w:r w:rsidRPr="00A53B0D">
              <w:rPr>
                <w:rFonts w:eastAsia="Times New Roman"/>
                <w:bCs/>
                <w:color w:val="000000"/>
                <w:sz w:val="20"/>
                <w:szCs w:val="20"/>
                <w:lang w:eastAsia="ru-RU"/>
              </w:rPr>
              <w:t>101 102</w:t>
            </w:r>
          </w:p>
        </w:tc>
        <w:tc>
          <w:tcPr>
            <w:tcW w:w="1134" w:type="dxa"/>
            <w:tcBorders>
              <w:top w:val="nil"/>
              <w:left w:val="nil"/>
              <w:bottom w:val="single" w:sz="4" w:space="0" w:color="auto"/>
              <w:right w:val="single" w:sz="4" w:space="0" w:color="auto"/>
            </w:tcBorders>
            <w:shd w:val="clear" w:color="auto" w:fill="auto"/>
            <w:vAlign w:val="center"/>
          </w:tcPr>
          <w:p w:rsidR="00EF23D8" w:rsidRPr="00A53B0D" w:rsidRDefault="00EF23D8" w:rsidP="00D56A19">
            <w:pPr>
              <w:ind w:firstLine="0"/>
              <w:jc w:val="right"/>
              <w:rPr>
                <w:rFonts w:eastAsia="Times New Roman"/>
                <w:bCs/>
                <w:color w:val="000000"/>
                <w:sz w:val="20"/>
                <w:szCs w:val="20"/>
                <w:lang w:eastAsia="ru-RU"/>
              </w:rPr>
            </w:pPr>
            <w:r w:rsidRPr="00A53B0D">
              <w:rPr>
                <w:rFonts w:eastAsia="Times New Roman"/>
                <w:bCs/>
                <w:color w:val="000000"/>
                <w:sz w:val="20"/>
                <w:szCs w:val="20"/>
                <w:lang w:eastAsia="ru-RU"/>
              </w:rPr>
              <w:t>92 305</w:t>
            </w:r>
          </w:p>
        </w:tc>
        <w:tc>
          <w:tcPr>
            <w:tcW w:w="1134" w:type="dxa"/>
            <w:tcBorders>
              <w:top w:val="nil"/>
              <w:left w:val="nil"/>
              <w:bottom w:val="single" w:sz="4" w:space="0" w:color="auto"/>
              <w:right w:val="single" w:sz="4" w:space="0" w:color="auto"/>
            </w:tcBorders>
            <w:shd w:val="clear" w:color="auto" w:fill="auto"/>
            <w:vAlign w:val="center"/>
          </w:tcPr>
          <w:p w:rsidR="00EF23D8" w:rsidRPr="00A53B0D" w:rsidRDefault="00EF23D8" w:rsidP="00D56A19">
            <w:pPr>
              <w:ind w:firstLine="0"/>
              <w:jc w:val="right"/>
              <w:rPr>
                <w:rFonts w:eastAsia="Times New Roman"/>
                <w:bCs/>
                <w:color w:val="000000"/>
                <w:sz w:val="20"/>
                <w:szCs w:val="20"/>
                <w:lang w:eastAsia="ru-RU"/>
              </w:rPr>
            </w:pPr>
            <w:r w:rsidRPr="00A53B0D">
              <w:rPr>
                <w:rFonts w:eastAsia="Times New Roman"/>
                <w:bCs/>
                <w:color w:val="000000"/>
                <w:sz w:val="20"/>
                <w:szCs w:val="20"/>
                <w:lang w:eastAsia="ru-RU"/>
              </w:rPr>
              <w:t>103 023</w:t>
            </w:r>
          </w:p>
        </w:tc>
        <w:tc>
          <w:tcPr>
            <w:tcW w:w="1134" w:type="dxa"/>
            <w:tcBorders>
              <w:top w:val="nil"/>
              <w:left w:val="nil"/>
              <w:bottom w:val="single" w:sz="4" w:space="0" w:color="auto"/>
              <w:right w:val="single" w:sz="4" w:space="0" w:color="auto"/>
            </w:tcBorders>
            <w:shd w:val="clear" w:color="auto" w:fill="auto"/>
            <w:vAlign w:val="center"/>
          </w:tcPr>
          <w:p w:rsidR="00EF23D8" w:rsidRPr="00A53B0D" w:rsidRDefault="00EF23D8" w:rsidP="00D56A19">
            <w:pPr>
              <w:ind w:firstLine="0"/>
              <w:jc w:val="right"/>
              <w:rPr>
                <w:rFonts w:eastAsia="Times New Roman"/>
                <w:sz w:val="20"/>
                <w:szCs w:val="20"/>
                <w:lang w:eastAsia="ru-RU"/>
              </w:rPr>
            </w:pPr>
            <w:r w:rsidRPr="00A53B0D">
              <w:rPr>
                <w:rFonts w:eastAsia="Times New Roman"/>
                <w:sz w:val="20"/>
                <w:szCs w:val="20"/>
                <w:lang w:eastAsia="ru-RU"/>
              </w:rPr>
              <w:t>11,61 %</w:t>
            </w:r>
          </w:p>
        </w:tc>
      </w:tr>
      <w:tr w:rsidR="00DE3804" w:rsidRPr="004761E0" w:rsidTr="00DE3804">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E3804" w:rsidRPr="004761E0" w:rsidRDefault="00DE3804" w:rsidP="007076A7">
            <w:pPr>
              <w:pStyle w:val="a5"/>
              <w:numPr>
                <w:ilvl w:val="1"/>
                <w:numId w:val="14"/>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tcPr>
          <w:p w:rsidR="00DE3804" w:rsidRPr="004761E0" w:rsidRDefault="00DE3804" w:rsidP="00DE3804">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затраты на ремонт</w:t>
            </w:r>
          </w:p>
        </w:tc>
        <w:tc>
          <w:tcPr>
            <w:tcW w:w="1134" w:type="dxa"/>
            <w:tcBorders>
              <w:top w:val="nil"/>
              <w:left w:val="nil"/>
              <w:bottom w:val="single" w:sz="4" w:space="0" w:color="auto"/>
              <w:right w:val="single" w:sz="4" w:space="0" w:color="auto"/>
            </w:tcBorders>
            <w:shd w:val="clear" w:color="auto" w:fill="auto"/>
            <w:vAlign w:val="center"/>
            <w:hideMark/>
          </w:tcPr>
          <w:p w:rsidR="00DE3804" w:rsidRPr="004761E0" w:rsidRDefault="00DE3804" w:rsidP="00DE3804">
            <w:pPr>
              <w:ind w:firstLine="0"/>
              <w:jc w:val="right"/>
              <w:rPr>
                <w:rFonts w:eastAsia="Times New Roman"/>
                <w:color w:val="000000"/>
                <w:sz w:val="20"/>
                <w:szCs w:val="20"/>
                <w:lang w:eastAsia="ru-RU"/>
              </w:rPr>
            </w:pPr>
            <w:r w:rsidRPr="004761E0">
              <w:rPr>
                <w:rFonts w:eastAsia="Times New Roman"/>
                <w:color w:val="000000"/>
                <w:sz w:val="20"/>
                <w:szCs w:val="20"/>
                <w:lang w:eastAsia="ru-RU"/>
              </w:rPr>
              <w:t>5 216</w:t>
            </w:r>
          </w:p>
        </w:tc>
        <w:tc>
          <w:tcPr>
            <w:tcW w:w="1134" w:type="dxa"/>
            <w:tcBorders>
              <w:top w:val="nil"/>
              <w:left w:val="nil"/>
              <w:bottom w:val="single" w:sz="4" w:space="0" w:color="auto"/>
              <w:right w:val="single" w:sz="4" w:space="0" w:color="auto"/>
            </w:tcBorders>
            <w:shd w:val="clear" w:color="auto" w:fill="auto"/>
            <w:vAlign w:val="center"/>
            <w:hideMark/>
          </w:tcPr>
          <w:p w:rsidR="00DE3804" w:rsidRPr="004761E0" w:rsidRDefault="00DE3804" w:rsidP="00DE3804">
            <w:pPr>
              <w:ind w:firstLine="0"/>
              <w:jc w:val="right"/>
              <w:rPr>
                <w:rFonts w:eastAsia="Times New Roman"/>
                <w:color w:val="000000"/>
                <w:sz w:val="20"/>
                <w:szCs w:val="20"/>
                <w:lang w:eastAsia="ru-RU"/>
              </w:rPr>
            </w:pPr>
            <w:r w:rsidRPr="004761E0">
              <w:rPr>
                <w:rFonts w:eastAsia="Times New Roman"/>
                <w:color w:val="000000"/>
                <w:sz w:val="20"/>
                <w:szCs w:val="20"/>
                <w:lang w:eastAsia="ru-RU"/>
              </w:rPr>
              <w:t>4 945</w:t>
            </w:r>
          </w:p>
        </w:tc>
        <w:tc>
          <w:tcPr>
            <w:tcW w:w="1134" w:type="dxa"/>
            <w:tcBorders>
              <w:top w:val="nil"/>
              <w:left w:val="nil"/>
              <w:bottom w:val="single" w:sz="4" w:space="0" w:color="auto"/>
              <w:right w:val="single" w:sz="4" w:space="0" w:color="auto"/>
            </w:tcBorders>
            <w:shd w:val="clear" w:color="auto" w:fill="auto"/>
            <w:vAlign w:val="center"/>
            <w:hideMark/>
          </w:tcPr>
          <w:p w:rsidR="00DE3804" w:rsidRPr="00792C6B" w:rsidRDefault="00DE3804" w:rsidP="00792C6B">
            <w:pPr>
              <w:ind w:firstLine="0"/>
              <w:jc w:val="right"/>
              <w:rPr>
                <w:rFonts w:eastAsia="Times New Roman"/>
                <w:color w:val="000000"/>
                <w:sz w:val="20"/>
                <w:szCs w:val="20"/>
                <w:lang w:eastAsia="ru-RU"/>
              </w:rPr>
            </w:pPr>
            <w:r w:rsidRPr="004761E0">
              <w:rPr>
                <w:rFonts w:eastAsia="Times New Roman"/>
                <w:color w:val="000000"/>
                <w:sz w:val="20"/>
                <w:szCs w:val="20"/>
                <w:lang w:eastAsia="ru-RU"/>
              </w:rPr>
              <w:t>5 3</w:t>
            </w:r>
            <w:r w:rsidR="00792C6B">
              <w:rPr>
                <w:rFonts w:eastAsia="Times New Roman"/>
                <w:color w:val="000000"/>
                <w:sz w:val="20"/>
                <w:szCs w:val="20"/>
                <w:lang w:eastAsia="ru-RU"/>
              </w:rPr>
              <w:t>33</w:t>
            </w:r>
          </w:p>
        </w:tc>
        <w:tc>
          <w:tcPr>
            <w:tcW w:w="1134" w:type="dxa"/>
            <w:tcBorders>
              <w:top w:val="nil"/>
              <w:left w:val="nil"/>
              <w:bottom w:val="single" w:sz="4" w:space="0" w:color="auto"/>
              <w:right w:val="single" w:sz="4" w:space="0" w:color="auto"/>
            </w:tcBorders>
            <w:shd w:val="clear" w:color="auto" w:fill="auto"/>
            <w:vAlign w:val="center"/>
            <w:hideMark/>
          </w:tcPr>
          <w:p w:rsidR="00DE3804" w:rsidRPr="004761E0" w:rsidRDefault="00DE3804" w:rsidP="00792C6B">
            <w:pPr>
              <w:ind w:firstLine="0"/>
              <w:jc w:val="right"/>
              <w:rPr>
                <w:rFonts w:eastAsia="Times New Roman"/>
                <w:color w:val="000000"/>
                <w:sz w:val="20"/>
                <w:szCs w:val="20"/>
                <w:lang w:eastAsia="ru-RU"/>
              </w:rPr>
            </w:pPr>
            <w:r w:rsidRPr="004761E0">
              <w:rPr>
                <w:rFonts w:eastAsia="Times New Roman"/>
                <w:color w:val="000000"/>
                <w:sz w:val="20"/>
                <w:szCs w:val="20"/>
                <w:lang w:eastAsia="ru-RU"/>
              </w:rPr>
              <w:t>7,</w:t>
            </w:r>
            <w:r w:rsidR="00792C6B">
              <w:rPr>
                <w:rFonts w:eastAsia="Times New Roman"/>
                <w:color w:val="000000"/>
                <w:sz w:val="20"/>
                <w:szCs w:val="20"/>
                <w:lang w:eastAsia="ru-RU"/>
              </w:rPr>
              <w:t>85</w:t>
            </w:r>
            <w:r w:rsidRPr="004761E0">
              <w:rPr>
                <w:rFonts w:eastAsia="Times New Roman"/>
                <w:color w:val="000000"/>
                <w:sz w:val="20"/>
                <w:szCs w:val="20"/>
                <w:lang w:eastAsia="ru-RU"/>
              </w:rPr>
              <w:t xml:space="preserve"> %</w:t>
            </w:r>
          </w:p>
        </w:tc>
      </w:tr>
    </w:tbl>
    <w:p w:rsidR="00DE3804" w:rsidRPr="004761E0" w:rsidRDefault="00AE18F7" w:rsidP="00B20C95">
      <w:pPr>
        <w:spacing w:before="120" w:after="120"/>
        <w:ind w:firstLine="567"/>
        <w:rPr>
          <w:b/>
          <w:sz w:val="26"/>
          <w:szCs w:val="26"/>
          <w:lang w:eastAsia="ru-RU"/>
        </w:rPr>
      </w:pPr>
      <w:r w:rsidRPr="004761E0">
        <w:rPr>
          <w:b/>
          <w:sz w:val="26"/>
          <w:szCs w:val="26"/>
          <w:lang w:eastAsia="ru-RU"/>
        </w:rPr>
        <w:t xml:space="preserve">Способы проведения </w:t>
      </w:r>
      <w:r w:rsidR="00DE3804" w:rsidRPr="004761E0">
        <w:rPr>
          <w:b/>
          <w:sz w:val="26"/>
          <w:szCs w:val="26"/>
          <w:lang w:eastAsia="ru-RU"/>
        </w:rPr>
        <w:t>ремонт</w:t>
      </w:r>
      <w:r w:rsidRPr="004761E0">
        <w:rPr>
          <w:b/>
          <w:sz w:val="26"/>
          <w:szCs w:val="26"/>
          <w:lang w:eastAsia="ru-RU"/>
        </w:rPr>
        <w:t>а</w:t>
      </w:r>
    </w:p>
    <w:tbl>
      <w:tblPr>
        <w:tblW w:w="9936" w:type="dxa"/>
        <w:tblInd w:w="95" w:type="dxa"/>
        <w:tblLook w:val="04A0"/>
      </w:tblPr>
      <w:tblGrid>
        <w:gridCol w:w="580"/>
        <w:gridCol w:w="4820"/>
        <w:gridCol w:w="1134"/>
        <w:gridCol w:w="1134"/>
        <w:gridCol w:w="1134"/>
        <w:gridCol w:w="1134"/>
      </w:tblGrid>
      <w:tr w:rsidR="00DE3804" w:rsidRPr="004761E0" w:rsidTr="00B23641">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DE3804" w:rsidRPr="004761E0" w:rsidRDefault="00DE3804" w:rsidP="00B23641">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48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E3804" w:rsidRPr="004761E0" w:rsidRDefault="00DE3804" w:rsidP="00B23641">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E3804" w:rsidRPr="004761E0" w:rsidRDefault="00DE3804" w:rsidP="00B23641">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E3804" w:rsidRPr="004761E0" w:rsidRDefault="00DE3804" w:rsidP="00B23641">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E3804" w:rsidRPr="004761E0" w:rsidRDefault="00DE3804" w:rsidP="00B23641">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DE3804" w:rsidRPr="004761E0" w:rsidRDefault="00DE3804" w:rsidP="00B23641">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8C1F00" w:rsidRPr="004761E0" w:rsidTr="008C1F00">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C1F00" w:rsidRPr="004761E0" w:rsidRDefault="008C1F00" w:rsidP="007076A7">
            <w:pPr>
              <w:numPr>
                <w:ilvl w:val="0"/>
                <w:numId w:val="15"/>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tcPr>
          <w:p w:rsidR="008C1F00" w:rsidRPr="004761E0" w:rsidRDefault="008C1F00" w:rsidP="00B23641">
            <w:pPr>
              <w:ind w:firstLine="0"/>
              <w:jc w:val="left"/>
              <w:rPr>
                <w:rFonts w:eastAsia="Times New Roman"/>
                <w:color w:val="000000"/>
                <w:sz w:val="20"/>
                <w:szCs w:val="20"/>
                <w:lang w:eastAsia="ru-RU"/>
              </w:rPr>
            </w:pPr>
            <w:r w:rsidRPr="004761E0">
              <w:rPr>
                <w:rFonts w:eastAsia="Times New Roman"/>
                <w:color w:val="000000"/>
                <w:sz w:val="20"/>
                <w:szCs w:val="20"/>
                <w:lang w:eastAsia="ru-RU"/>
              </w:rPr>
              <w:t>Затраты, млн руб. (всего), в  т.ч.:</w:t>
            </w:r>
          </w:p>
        </w:tc>
        <w:tc>
          <w:tcPr>
            <w:tcW w:w="1134" w:type="dxa"/>
            <w:tcBorders>
              <w:top w:val="nil"/>
              <w:left w:val="nil"/>
              <w:bottom w:val="single" w:sz="4" w:space="0" w:color="auto"/>
              <w:right w:val="single" w:sz="4" w:space="0" w:color="auto"/>
            </w:tcBorders>
            <w:shd w:val="clear" w:color="auto" w:fill="auto"/>
            <w:vAlign w:val="center"/>
          </w:tcPr>
          <w:p w:rsidR="008C1F00" w:rsidRPr="004761E0" w:rsidRDefault="008C1F00" w:rsidP="00B23641">
            <w:pPr>
              <w:ind w:firstLine="0"/>
              <w:jc w:val="right"/>
              <w:rPr>
                <w:rFonts w:eastAsia="Times New Roman"/>
                <w:bCs/>
                <w:sz w:val="20"/>
                <w:szCs w:val="20"/>
                <w:lang w:eastAsia="ru-RU"/>
              </w:rPr>
            </w:pPr>
            <w:r w:rsidRPr="004761E0">
              <w:rPr>
                <w:rFonts w:eastAsia="Times New Roman"/>
                <w:bCs/>
                <w:sz w:val="20"/>
                <w:szCs w:val="20"/>
                <w:lang w:eastAsia="ru-RU"/>
              </w:rPr>
              <w:t>5 216</w:t>
            </w:r>
          </w:p>
        </w:tc>
        <w:tc>
          <w:tcPr>
            <w:tcW w:w="1134" w:type="dxa"/>
            <w:tcBorders>
              <w:top w:val="nil"/>
              <w:left w:val="nil"/>
              <w:bottom w:val="single" w:sz="4" w:space="0" w:color="auto"/>
              <w:right w:val="single" w:sz="4" w:space="0" w:color="auto"/>
            </w:tcBorders>
            <w:shd w:val="clear" w:color="auto" w:fill="auto"/>
            <w:vAlign w:val="center"/>
          </w:tcPr>
          <w:p w:rsidR="008C1F00" w:rsidRDefault="008C1F00" w:rsidP="008C1F00">
            <w:pPr>
              <w:ind w:firstLine="0"/>
              <w:jc w:val="right"/>
              <w:rPr>
                <w:color w:val="000000"/>
                <w:sz w:val="20"/>
                <w:szCs w:val="20"/>
              </w:rPr>
            </w:pPr>
            <w:r>
              <w:rPr>
                <w:color w:val="000000"/>
                <w:sz w:val="20"/>
                <w:szCs w:val="20"/>
              </w:rPr>
              <w:t>4 945</w:t>
            </w:r>
          </w:p>
        </w:tc>
        <w:tc>
          <w:tcPr>
            <w:tcW w:w="1134" w:type="dxa"/>
            <w:tcBorders>
              <w:top w:val="nil"/>
              <w:left w:val="nil"/>
              <w:bottom w:val="single" w:sz="4" w:space="0" w:color="auto"/>
              <w:right w:val="single" w:sz="4" w:space="0" w:color="auto"/>
            </w:tcBorders>
            <w:shd w:val="clear" w:color="auto" w:fill="auto"/>
            <w:vAlign w:val="center"/>
          </w:tcPr>
          <w:p w:rsidR="008C1F00" w:rsidRDefault="008C1F00" w:rsidP="008C1F00">
            <w:pPr>
              <w:ind w:firstLine="0"/>
              <w:jc w:val="right"/>
              <w:rPr>
                <w:color w:val="000000"/>
                <w:sz w:val="20"/>
                <w:szCs w:val="20"/>
              </w:rPr>
            </w:pPr>
            <w:r>
              <w:rPr>
                <w:color w:val="000000"/>
                <w:sz w:val="20"/>
                <w:szCs w:val="20"/>
              </w:rPr>
              <w:t>5 333</w:t>
            </w:r>
          </w:p>
        </w:tc>
        <w:tc>
          <w:tcPr>
            <w:tcW w:w="1134" w:type="dxa"/>
            <w:tcBorders>
              <w:top w:val="nil"/>
              <w:left w:val="nil"/>
              <w:bottom w:val="single" w:sz="4" w:space="0" w:color="auto"/>
              <w:right w:val="single" w:sz="4" w:space="0" w:color="auto"/>
            </w:tcBorders>
            <w:shd w:val="clear" w:color="auto" w:fill="auto"/>
            <w:vAlign w:val="center"/>
          </w:tcPr>
          <w:p w:rsidR="008C1F00" w:rsidRDefault="008C1F00" w:rsidP="008C1F00">
            <w:pPr>
              <w:ind w:firstLine="0"/>
              <w:jc w:val="right"/>
              <w:rPr>
                <w:color w:val="000000"/>
                <w:sz w:val="20"/>
                <w:szCs w:val="20"/>
              </w:rPr>
            </w:pPr>
            <w:r>
              <w:rPr>
                <w:color w:val="000000"/>
                <w:sz w:val="20"/>
                <w:szCs w:val="20"/>
              </w:rPr>
              <w:t>7,85 %</w:t>
            </w:r>
          </w:p>
        </w:tc>
      </w:tr>
      <w:tr w:rsidR="008C1F00" w:rsidRPr="004761E0" w:rsidTr="008C1F00">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8C1F00" w:rsidRPr="004761E0" w:rsidRDefault="008C1F00" w:rsidP="007076A7">
            <w:pPr>
              <w:pStyle w:val="a5"/>
              <w:numPr>
                <w:ilvl w:val="1"/>
                <w:numId w:val="15"/>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tcPr>
          <w:p w:rsidR="008C1F00" w:rsidRPr="004761E0" w:rsidRDefault="008C1F00" w:rsidP="00B23641">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хозяйственным способом</w:t>
            </w:r>
          </w:p>
        </w:tc>
        <w:tc>
          <w:tcPr>
            <w:tcW w:w="1134" w:type="dxa"/>
            <w:tcBorders>
              <w:top w:val="nil"/>
              <w:left w:val="nil"/>
              <w:bottom w:val="single" w:sz="4" w:space="0" w:color="auto"/>
              <w:right w:val="single" w:sz="4" w:space="0" w:color="auto"/>
            </w:tcBorders>
            <w:shd w:val="clear" w:color="auto" w:fill="auto"/>
            <w:vAlign w:val="center"/>
          </w:tcPr>
          <w:p w:rsidR="008C1F00" w:rsidRPr="004761E0" w:rsidRDefault="008C1F00" w:rsidP="00B23641">
            <w:pPr>
              <w:ind w:firstLine="0"/>
              <w:jc w:val="right"/>
              <w:rPr>
                <w:rFonts w:eastAsia="Times New Roman"/>
                <w:bCs/>
                <w:sz w:val="20"/>
                <w:szCs w:val="20"/>
                <w:lang w:eastAsia="ru-RU"/>
              </w:rPr>
            </w:pPr>
            <w:r w:rsidRPr="004761E0">
              <w:rPr>
                <w:rFonts w:eastAsia="Times New Roman"/>
                <w:bCs/>
                <w:sz w:val="20"/>
                <w:szCs w:val="20"/>
                <w:lang w:eastAsia="ru-RU"/>
              </w:rPr>
              <w:t>2 130</w:t>
            </w:r>
          </w:p>
        </w:tc>
        <w:tc>
          <w:tcPr>
            <w:tcW w:w="1134" w:type="dxa"/>
            <w:tcBorders>
              <w:top w:val="nil"/>
              <w:left w:val="nil"/>
              <w:bottom w:val="single" w:sz="4" w:space="0" w:color="auto"/>
              <w:right w:val="single" w:sz="4" w:space="0" w:color="auto"/>
            </w:tcBorders>
            <w:shd w:val="clear" w:color="auto" w:fill="auto"/>
            <w:vAlign w:val="center"/>
          </w:tcPr>
          <w:p w:rsidR="008C1F00" w:rsidRDefault="008C1F00" w:rsidP="008C1F00">
            <w:pPr>
              <w:ind w:firstLine="0"/>
              <w:jc w:val="right"/>
              <w:rPr>
                <w:color w:val="000000"/>
                <w:sz w:val="20"/>
                <w:szCs w:val="20"/>
              </w:rPr>
            </w:pPr>
            <w:r>
              <w:rPr>
                <w:color w:val="000000"/>
                <w:sz w:val="20"/>
                <w:szCs w:val="20"/>
              </w:rPr>
              <w:t>2 087</w:t>
            </w:r>
          </w:p>
        </w:tc>
        <w:tc>
          <w:tcPr>
            <w:tcW w:w="1134" w:type="dxa"/>
            <w:tcBorders>
              <w:top w:val="nil"/>
              <w:left w:val="nil"/>
              <w:bottom w:val="single" w:sz="4" w:space="0" w:color="auto"/>
              <w:right w:val="single" w:sz="4" w:space="0" w:color="auto"/>
            </w:tcBorders>
            <w:shd w:val="clear" w:color="auto" w:fill="auto"/>
            <w:vAlign w:val="center"/>
          </w:tcPr>
          <w:p w:rsidR="008C1F00" w:rsidRDefault="008C1F00" w:rsidP="008C1F00">
            <w:pPr>
              <w:ind w:firstLine="0"/>
              <w:jc w:val="right"/>
              <w:rPr>
                <w:color w:val="000000"/>
                <w:sz w:val="20"/>
                <w:szCs w:val="20"/>
              </w:rPr>
            </w:pPr>
            <w:r>
              <w:rPr>
                <w:color w:val="000000"/>
                <w:sz w:val="20"/>
                <w:szCs w:val="20"/>
              </w:rPr>
              <w:t>2 246</w:t>
            </w:r>
          </w:p>
        </w:tc>
        <w:tc>
          <w:tcPr>
            <w:tcW w:w="1134" w:type="dxa"/>
            <w:tcBorders>
              <w:top w:val="nil"/>
              <w:left w:val="nil"/>
              <w:bottom w:val="single" w:sz="4" w:space="0" w:color="auto"/>
              <w:right w:val="single" w:sz="4" w:space="0" w:color="auto"/>
            </w:tcBorders>
            <w:shd w:val="clear" w:color="auto" w:fill="auto"/>
            <w:vAlign w:val="center"/>
          </w:tcPr>
          <w:p w:rsidR="008C1F00" w:rsidRDefault="008C1F00" w:rsidP="008C1F00">
            <w:pPr>
              <w:ind w:firstLine="0"/>
              <w:jc w:val="right"/>
              <w:rPr>
                <w:color w:val="000000"/>
                <w:sz w:val="20"/>
                <w:szCs w:val="20"/>
              </w:rPr>
            </w:pPr>
            <w:r>
              <w:rPr>
                <w:color w:val="000000"/>
                <w:sz w:val="20"/>
                <w:szCs w:val="20"/>
              </w:rPr>
              <w:t>7,62 %</w:t>
            </w:r>
          </w:p>
        </w:tc>
      </w:tr>
      <w:tr w:rsidR="008C1F00" w:rsidRPr="004761E0" w:rsidTr="008C1F00">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C1F00" w:rsidRPr="004761E0" w:rsidRDefault="008C1F00" w:rsidP="007076A7">
            <w:pPr>
              <w:pStyle w:val="a5"/>
              <w:numPr>
                <w:ilvl w:val="1"/>
                <w:numId w:val="15"/>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tcPr>
          <w:p w:rsidR="008C1F00" w:rsidRPr="004761E0" w:rsidRDefault="008C1F00" w:rsidP="00B23641">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подрядным способом</w:t>
            </w:r>
          </w:p>
        </w:tc>
        <w:tc>
          <w:tcPr>
            <w:tcW w:w="1134" w:type="dxa"/>
            <w:tcBorders>
              <w:top w:val="nil"/>
              <w:left w:val="nil"/>
              <w:bottom w:val="single" w:sz="4" w:space="0" w:color="auto"/>
              <w:right w:val="single" w:sz="4" w:space="0" w:color="auto"/>
            </w:tcBorders>
            <w:shd w:val="clear" w:color="auto" w:fill="auto"/>
            <w:vAlign w:val="center"/>
          </w:tcPr>
          <w:p w:rsidR="008C1F00" w:rsidRPr="004761E0" w:rsidRDefault="008C1F00" w:rsidP="00B23641">
            <w:pPr>
              <w:ind w:firstLine="0"/>
              <w:jc w:val="right"/>
              <w:rPr>
                <w:rFonts w:eastAsia="Times New Roman"/>
                <w:bCs/>
                <w:sz w:val="20"/>
                <w:szCs w:val="20"/>
                <w:lang w:eastAsia="ru-RU"/>
              </w:rPr>
            </w:pPr>
            <w:r w:rsidRPr="004761E0">
              <w:rPr>
                <w:rFonts w:eastAsia="Times New Roman"/>
                <w:bCs/>
                <w:sz w:val="20"/>
                <w:szCs w:val="20"/>
                <w:lang w:eastAsia="ru-RU"/>
              </w:rPr>
              <w:t>3 085</w:t>
            </w:r>
          </w:p>
        </w:tc>
        <w:tc>
          <w:tcPr>
            <w:tcW w:w="1134" w:type="dxa"/>
            <w:tcBorders>
              <w:top w:val="nil"/>
              <w:left w:val="nil"/>
              <w:bottom w:val="single" w:sz="4" w:space="0" w:color="auto"/>
              <w:right w:val="single" w:sz="4" w:space="0" w:color="auto"/>
            </w:tcBorders>
            <w:shd w:val="clear" w:color="auto" w:fill="auto"/>
            <w:vAlign w:val="center"/>
          </w:tcPr>
          <w:p w:rsidR="008C1F00" w:rsidRDefault="008C1F00" w:rsidP="008C1F00">
            <w:pPr>
              <w:ind w:firstLine="0"/>
              <w:jc w:val="right"/>
              <w:rPr>
                <w:color w:val="000000"/>
                <w:sz w:val="20"/>
                <w:szCs w:val="20"/>
              </w:rPr>
            </w:pPr>
            <w:r>
              <w:rPr>
                <w:color w:val="000000"/>
                <w:sz w:val="20"/>
                <w:szCs w:val="20"/>
              </w:rPr>
              <w:t>2 858</w:t>
            </w:r>
          </w:p>
        </w:tc>
        <w:tc>
          <w:tcPr>
            <w:tcW w:w="1134" w:type="dxa"/>
            <w:tcBorders>
              <w:top w:val="nil"/>
              <w:left w:val="nil"/>
              <w:bottom w:val="single" w:sz="4" w:space="0" w:color="auto"/>
              <w:right w:val="single" w:sz="4" w:space="0" w:color="auto"/>
            </w:tcBorders>
            <w:shd w:val="clear" w:color="auto" w:fill="auto"/>
            <w:vAlign w:val="center"/>
          </w:tcPr>
          <w:p w:rsidR="008C1F00" w:rsidRDefault="008C1F00" w:rsidP="008C1F00">
            <w:pPr>
              <w:ind w:firstLine="0"/>
              <w:jc w:val="right"/>
              <w:rPr>
                <w:color w:val="000000"/>
                <w:sz w:val="20"/>
                <w:szCs w:val="20"/>
              </w:rPr>
            </w:pPr>
            <w:r>
              <w:rPr>
                <w:color w:val="000000"/>
                <w:sz w:val="20"/>
                <w:szCs w:val="20"/>
              </w:rPr>
              <w:t>3 086</w:t>
            </w:r>
          </w:p>
        </w:tc>
        <w:tc>
          <w:tcPr>
            <w:tcW w:w="1134" w:type="dxa"/>
            <w:tcBorders>
              <w:top w:val="nil"/>
              <w:left w:val="nil"/>
              <w:bottom w:val="single" w:sz="4" w:space="0" w:color="auto"/>
              <w:right w:val="single" w:sz="4" w:space="0" w:color="auto"/>
            </w:tcBorders>
            <w:shd w:val="clear" w:color="auto" w:fill="auto"/>
            <w:vAlign w:val="center"/>
          </w:tcPr>
          <w:p w:rsidR="008C1F00" w:rsidRDefault="008C1F00" w:rsidP="008C1F00">
            <w:pPr>
              <w:ind w:firstLine="0"/>
              <w:jc w:val="right"/>
              <w:rPr>
                <w:color w:val="000000"/>
                <w:sz w:val="20"/>
                <w:szCs w:val="20"/>
              </w:rPr>
            </w:pPr>
            <w:r>
              <w:rPr>
                <w:color w:val="000000"/>
                <w:sz w:val="20"/>
                <w:szCs w:val="20"/>
              </w:rPr>
              <w:t>7,98 %</w:t>
            </w:r>
          </w:p>
        </w:tc>
      </w:tr>
    </w:tbl>
    <w:p w:rsidR="005464CF" w:rsidRPr="004761E0" w:rsidRDefault="005464CF" w:rsidP="005464CF">
      <w:pPr>
        <w:spacing w:before="120" w:after="120"/>
        <w:ind w:firstLine="0"/>
        <w:rPr>
          <w:rFonts w:eastAsia="Times New Roman"/>
          <w:b/>
          <w:iCs/>
          <w:color w:val="000000"/>
          <w:sz w:val="26"/>
          <w:szCs w:val="26"/>
          <w:lang w:eastAsia="ru-RU"/>
        </w:rPr>
      </w:pPr>
      <w:r w:rsidRPr="004761E0">
        <w:rPr>
          <w:rFonts w:eastAsia="Times New Roman"/>
          <w:b/>
          <w:iCs/>
          <w:noProof/>
          <w:color w:val="000000"/>
          <w:sz w:val="26"/>
          <w:szCs w:val="26"/>
          <w:lang w:eastAsia="ru-RU"/>
        </w:rPr>
        <w:lastRenderedPageBreak/>
        <w:drawing>
          <wp:inline distT="0" distB="0" distL="0" distR="0">
            <wp:extent cx="3002508" cy="2866030"/>
            <wp:effectExtent l="0" t="0" r="7620" b="0"/>
            <wp:docPr id="14"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4761E0">
        <w:rPr>
          <w:rFonts w:eastAsia="Times New Roman"/>
          <w:b/>
          <w:iCs/>
          <w:color w:val="000000"/>
          <w:sz w:val="26"/>
          <w:szCs w:val="26"/>
          <w:lang w:eastAsia="ru-RU"/>
        </w:rPr>
        <w:t xml:space="preserve"> </w:t>
      </w:r>
      <w:r w:rsidRPr="004761E0">
        <w:rPr>
          <w:rFonts w:eastAsia="Times New Roman"/>
          <w:b/>
          <w:iCs/>
          <w:noProof/>
          <w:color w:val="000000"/>
          <w:sz w:val="26"/>
          <w:szCs w:val="26"/>
          <w:lang w:eastAsia="ru-RU"/>
        </w:rPr>
        <w:drawing>
          <wp:inline distT="0" distB="0" distL="0" distR="0">
            <wp:extent cx="3084394" cy="2866030"/>
            <wp:effectExtent l="0" t="0" r="1905" b="0"/>
            <wp:docPr id="1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33FAB" w:rsidRPr="004761E0" w:rsidRDefault="004F2FE6" w:rsidP="00B20C95">
      <w:pPr>
        <w:spacing w:before="120" w:after="120"/>
        <w:ind w:firstLine="567"/>
        <w:rPr>
          <w:b/>
          <w:sz w:val="26"/>
          <w:szCs w:val="26"/>
          <w:lang w:eastAsia="ru-RU"/>
        </w:rPr>
      </w:pPr>
      <w:r w:rsidRPr="004761E0">
        <w:rPr>
          <w:b/>
          <w:sz w:val="26"/>
          <w:szCs w:val="26"/>
          <w:lang w:eastAsia="ru-RU"/>
        </w:rPr>
        <w:t xml:space="preserve">Мероприятия, проведенные в 2013 году, в целях повышения </w:t>
      </w:r>
      <w:r w:rsidR="00B33FAB" w:rsidRPr="004761E0">
        <w:rPr>
          <w:b/>
          <w:sz w:val="26"/>
          <w:szCs w:val="26"/>
          <w:lang w:eastAsia="ru-RU"/>
        </w:rPr>
        <w:t>надежности</w:t>
      </w:r>
    </w:p>
    <w:p w:rsidR="004F2FE6" w:rsidRPr="004761E0" w:rsidRDefault="004F2FE6" w:rsidP="004F2FE6">
      <w:pPr>
        <w:shd w:val="clear" w:color="auto" w:fill="FFFFFF"/>
        <w:ind w:firstLine="567"/>
        <w:rPr>
          <w:sz w:val="26"/>
          <w:szCs w:val="26"/>
          <w:lang w:eastAsia="ru-RU"/>
        </w:rPr>
      </w:pPr>
      <w:r w:rsidRPr="004761E0">
        <w:rPr>
          <w:sz w:val="26"/>
          <w:szCs w:val="26"/>
          <w:lang w:eastAsia="ru-RU"/>
        </w:rPr>
        <w:t>За год расширено 555 га на просеках ВЛ 35-220 кВ и 586 га на просеках ВЛ 0,4-10 кВ, проходящих по лесным массивам. Результатом расширения просек стало снижение количества аварийных отключений, связанных с падением деревьев на провода (ВЛ 0,4-10 кВ на 44 %, в т.ч. с учетом замены ВЛ на СИП; ВЛ 35-220 кВ на 57</w:t>
      </w:r>
      <w:r w:rsidR="006C1AA1">
        <w:rPr>
          <w:sz w:val="26"/>
          <w:szCs w:val="26"/>
          <w:lang w:eastAsia="ru-RU"/>
        </w:rPr>
        <w:t> </w:t>
      </w:r>
      <w:r w:rsidRPr="004761E0">
        <w:rPr>
          <w:sz w:val="26"/>
          <w:szCs w:val="26"/>
          <w:lang w:eastAsia="ru-RU"/>
        </w:rPr>
        <w:t>%).</w:t>
      </w:r>
      <w:r w:rsidR="0070707B" w:rsidRPr="004761E0">
        <w:rPr>
          <w:sz w:val="26"/>
          <w:szCs w:val="26"/>
          <w:lang w:eastAsia="ru-RU"/>
        </w:rPr>
        <w:t xml:space="preserve"> </w:t>
      </w:r>
      <w:r w:rsidRPr="004761E0">
        <w:rPr>
          <w:sz w:val="26"/>
          <w:szCs w:val="26"/>
          <w:lang w:eastAsia="ru-RU"/>
        </w:rPr>
        <w:t>Проведение мероприятий по доведению ширины просек до нормативного состояния на ВЛ 6-10 кВ синхронизировано с реализацией целевой Программы по замене неизолированных проводов на провода марки СИП-3 на ВЛ 6-10 кВ. По итогам 2013 года переустроено 1 670 км воздушных неизолированных проводов ЛЭП в СИП, из них 482 км – на ВЛ 0,4 кВ и 1 188 км – на ВЛ 6-10 кВ.</w:t>
      </w:r>
    </w:p>
    <w:p w:rsidR="004F2FE6" w:rsidRPr="004761E0" w:rsidRDefault="004F2FE6" w:rsidP="005464CF">
      <w:pPr>
        <w:pStyle w:val="af3"/>
        <w:ind w:firstLine="567"/>
        <w:rPr>
          <w:sz w:val="26"/>
          <w:szCs w:val="26"/>
          <w:lang w:eastAsia="ru-RU"/>
        </w:rPr>
      </w:pPr>
      <w:r w:rsidRPr="004761E0">
        <w:rPr>
          <w:sz w:val="26"/>
          <w:szCs w:val="26"/>
          <w:lang w:eastAsia="ru-RU"/>
        </w:rPr>
        <w:t>Кроме того, выполнена Программа по установке автоматических секционирующих пунктов в распределительных сетях 6-10 кВ в количестве 94 шт., проведено техническое освидетельствование:</w:t>
      </w:r>
    </w:p>
    <w:p w:rsidR="004F2FE6" w:rsidRPr="004761E0" w:rsidRDefault="004F2FE6" w:rsidP="007076A7">
      <w:pPr>
        <w:pStyle w:val="af3"/>
        <w:numPr>
          <w:ilvl w:val="0"/>
          <w:numId w:val="291"/>
        </w:numPr>
        <w:ind w:left="1134" w:hanging="567"/>
        <w:rPr>
          <w:sz w:val="26"/>
          <w:szCs w:val="26"/>
          <w:lang w:eastAsia="ru-RU"/>
        </w:rPr>
      </w:pPr>
      <w:r w:rsidRPr="004761E0">
        <w:rPr>
          <w:sz w:val="26"/>
          <w:szCs w:val="26"/>
          <w:lang w:eastAsia="ru-RU"/>
        </w:rPr>
        <w:t>107 подстанций 35-220 кВ;</w:t>
      </w:r>
    </w:p>
    <w:p w:rsidR="004F2FE6" w:rsidRPr="004761E0" w:rsidRDefault="004F2FE6" w:rsidP="007076A7">
      <w:pPr>
        <w:pStyle w:val="af3"/>
        <w:numPr>
          <w:ilvl w:val="0"/>
          <w:numId w:val="291"/>
        </w:numPr>
        <w:ind w:left="1134" w:hanging="567"/>
        <w:rPr>
          <w:sz w:val="26"/>
          <w:szCs w:val="26"/>
          <w:lang w:eastAsia="ru-RU"/>
        </w:rPr>
      </w:pPr>
      <w:r w:rsidRPr="004761E0">
        <w:rPr>
          <w:sz w:val="26"/>
          <w:szCs w:val="26"/>
          <w:lang w:eastAsia="ru-RU"/>
        </w:rPr>
        <w:t>173 ЛЭП 35-220 кВ;</w:t>
      </w:r>
    </w:p>
    <w:p w:rsidR="004F2FE6" w:rsidRPr="004761E0" w:rsidRDefault="004F2FE6" w:rsidP="007076A7">
      <w:pPr>
        <w:pStyle w:val="af3"/>
        <w:numPr>
          <w:ilvl w:val="0"/>
          <w:numId w:val="291"/>
        </w:numPr>
        <w:ind w:left="1134" w:hanging="567"/>
        <w:rPr>
          <w:sz w:val="26"/>
          <w:szCs w:val="26"/>
          <w:lang w:eastAsia="ru-RU"/>
        </w:rPr>
      </w:pPr>
      <w:r w:rsidRPr="004761E0">
        <w:rPr>
          <w:sz w:val="26"/>
          <w:szCs w:val="26"/>
          <w:lang w:eastAsia="ru-RU"/>
        </w:rPr>
        <w:t>2 308 объекта по распределительным сетям;</w:t>
      </w:r>
    </w:p>
    <w:p w:rsidR="004F2FE6" w:rsidRPr="004761E0" w:rsidRDefault="004F2FE6" w:rsidP="007076A7">
      <w:pPr>
        <w:pStyle w:val="af3"/>
        <w:numPr>
          <w:ilvl w:val="0"/>
          <w:numId w:val="291"/>
        </w:numPr>
        <w:ind w:left="1134" w:hanging="567"/>
        <w:rPr>
          <w:sz w:val="26"/>
          <w:szCs w:val="26"/>
          <w:lang w:eastAsia="ru-RU"/>
        </w:rPr>
      </w:pPr>
      <w:r w:rsidRPr="004761E0">
        <w:rPr>
          <w:sz w:val="26"/>
          <w:szCs w:val="26"/>
          <w:lang w:eastAsia="ru-RU"/>
        </w:rPr>
        <w:t xml:space="preserve">727 зданий и сооружений. </w:t>
      </w:r>
    </w:p>
    <w:p w:rsidR="00B82D97" w:rsidRPr="004761E0" w:rsidRDefault="00B82D97" w:rsidP="005464CF">
      <w:pPr>
        <w:pStyle w:val="af3"/>
        <w:ind w:firstLine="567"/>
        <w:rPr>
          <w:sz w:val="26"/>
          <w:szCs w:val="26"/>
          <w:lang w:eastAsia="ru-RU"/>
        </w:rPr>
      </w:pPr>
      <w:r w:rsidRPr="004761E0">
        <w:rPr>
          <w:sz w:val="26"/>
          <w:szCs w:val="26"/>
          <w:lang w:eastAsia="ru-RU"/>
        </w:rPr>
        <w:t>В целях повышения наблюдаемости и управляемости в отчетном году телемеханизирована 31 подстанция. Выполнен типовой проект по телемеханизации 1 120 распределительных пунктов и узловых трансформаторных подстанций сети 6-20 кВ в филиале ЮЭС. Телемеханизировано 20 распределительных пунктов и 55 трансформаторных подстанций Московского и Ленинского РЭС, обеспечивающих электроэнергией потребителей  на территориях Новой Москвы.</w:t>
      </w:r>
    </w:p>
    <w:p w:rsidR="005464CF" w:rsidRPr="004761E0" w:rsidRDefault="00253C5F" w:rsidP="005464CF">
      <w:pPr>
        <w:pStyle w:val="af3"/>
        <w:ind w:firstLine="567"/>
        <w:rPr>
          <w:sz w:val="26"/>
          <w:szCs w:val="26"/>
          <w:lang w:eastAsia="ru-RU"/>
        </w:rPr>
      </w:pPr>
      <w:r w:rsidRPr="004761E0">
        <w:rPr>
          <w:sz w:val="26"/>
          <w:szCs w:val="26"/>
          <w:lang w:eastAsia="ru-RU"/>
        </w:rPr>
        <w:t>В 2013 году 138 бригад ОВБ и РЭБ во всех филиалах переведены на метод работы по принципу мобильных бригад и оснащены специальной техникой. В результате проведенных мероприятий обеспечена надежная эксплуатация электросетевого хозяйства с учетом роста в у</w:t>
      </w:r>
      <w:r w:rsidR="004F2FE6" w:rsidRPr="004761E0">
        <w:rPr>
          <w:sz w:val="26"/>
          <w:szCs w:val="26"/>
          <w:lang w:eastAsia="ru-RU"/>
        </w:rPr>
        <w:t>словных единицах по сравнению с</w:t>
      </w:r>
      <w:r w:rsidRPr="004761E0">
        <w:rPr>
          <w:sz w:val="26"/>
          <w:szCs w:val="26"/>
          <w:lang w:eastAsia="ru-RU"/>
        </w:rPr>
        <w:t xml:space="preserve"> 2012 годом на 2,2 %. Автопарк Общества насчитывает свыше 3</w:t>
      </w:r>
      <w:r w:rsidR="005464CF" w:rsidRPr="004761E0">
        <w:rPr>
          <w:sz w:val="26"/>
          <w:szCs w:val="26"/>
          <w:lang w:eastAsia="ru-RU"/>
        </w:rPr>
        <w:t> </w:t>
      </w:r>
      <w:r w:rsidRPr="004761E0">
        <w:rPr>
          <w:sz w:val="26"/>
          <w:szCs w:val="26"/>
          <w:lang w:eastAsia="ru-RU"/>
        </w:rPr>
        <w:t>500 транспортных средств, в т.ч. более 1</w:t>
      </w:r>
      <w:r w:rsidR="004F2FE6" w:rsidRPr="004761E0">
        <w:rPr>
          <w:sz w:val="26"/>
          <w:szCs w:val="26"/>
          <w:lang w:eastAsia="ru-RU"/>
        </w:rPr>
        <w:t> </w:t>
      </w:r>
      <w:r w:rsidRPr="004761E0">
        <w:rPr>
          <w:sz w:val="26"/>
          <w:szCs w:val="26"/>
          <w:lang w:eastAsia="ru-RU"/>
        </w:rPr>
        <w:t xml:space="preserve">700 единиц спецтехники (бригадные автомобили, автогидроподъемники, бурильно-крановые машины, снегоболотоходы, вездеходы-амфибии и др.). Кроме того, в арсенале энергетиков – 145 </w:t>
      </w:r>
      <w:r w:rsidR="005464CF" w:rsidRPr="004761E0">
        <w:rPr>
          <w:sz w:val="26"/>
          <w:szCs w:val="26"/>
          <w:lang w:eastAsia="ru-RU"/>
        </w:rPr>
        <w:t>передвижных электростанций (</w:t>
      </w:r>
      <w:r w:rsidRPr="004761E0">
        <w:rPr>
          <w:sz w:val="26"/>
          <w:szCs w:val="26"/>
          <w:lang w:eastAsia="ru-RU"/>
        </w:rPr>
        <w:t>ПЭС</w:t>
      </w:r>
      <w:r w:rsidR="005464CF" w:rsidRPr="004761E0">
        <w:rPr>
          <w:sz w:val="26"/>
          <w:szCs w:val="26"/>
          <w:lang w:eastAsia="ru-RU"/>
        </w:rPr>
        <w:t>)</w:t>
      </w:r>
      <w:r w:rsidRPr="004761E0">
        <w:rPr>
          <w:sz w:val="26"/>
          <w:szCs w:val="26"/>
          <w:lang w:eastAsia="ru-RU"/>
        </w:rPr>
        <w:t xml:space="preserve"> различной мощности от 30 до </w:t>
      </w:r>
      <w:r w:rsidRPr="004761E0">
        <w:rPr>
          <w:sz w:val="26"/>
          <w:szCs w:val="26"/>
          <w:lang w:eastAsia="ru-RU"/>
        </w:rPr>
        <w:lastRenderedPageBreak/>
        <w:t>1</w:t>
      </w:r>
      <w:r w:rsidR="004F2FE6" w:rsidRPr="004761E0">
        <w:rPr>
          <w:sz w:val="26"/>
          <w:szCs w:val="26"/>
          <w:lang w:eastAsia="ru-RU"/>
        </w:rPr>
        <w:t> </w:t>
      </w:r>
      <w:r w:rsidRPr="004761E0">
        <w:rPr>
          <w:sz w:val="26"/>
          <w:szCs w:val="26"/>
          <w:lang w:eastAsia="ru-RU"/>
        </w:rPr>
        <w:t xml:space="preserve">000 кВт. До начала осенне-зимнего периода </w:t>
      </w:r>
      <w:r w:rsidR="004F2FE6" w:rsidRPr="004761E0">
        <w:rPr>
          <w:sz w:val="26"/>
          <w:szCs w:val="26"/>
          <w:lang w:eastAsia="ru-RU"/>
        </w:rPr>
        <w:t xml:space="preserve">2013/2014 гг. </w:t>
      </w:r>
      <w:r w:rsidRPr="004761E0">
        <w:rPr>
          <w:sz w:val="26"/>
          <w:szCs w:val="26"/>
          <w:lang w:eastAsia="ru-RU"/>
        </w:rPr>
        <w:t xml:space="preserve">в филиалы дополнительно закуплено 67 </w:t>
      </w:r>
      <w:r w:rsidR="004F2FE6" w:rsidRPr="004761E0">
        <w:rPr>
          <w:sz w:val="26"/>
          <w:szCs w:val="26"/>
          <w:lang w:eastAsia="ru-RU"/>
        </w:rPr>
        <w:t xml:space="preserve">ПЭС с </w:t>
      </w:r>
      <w:r w:rsidRPr="004761E0">
        <w:rPr>
          <w:sz w:val="26"/>
          <w:szCs w:val="26"/>
          <w:lang w:eastAsia="ru-RU"/>
        </w:rPr>
        <w:t xml:space="preserve">целью оперативной передислокации резервных источников питания в районы с нарушенным электроснабжением. </w:t>
      </w:r>
    </w:p>
    <w:p w:rsidR="00253C5F" w:rsidRPr="004761E0" w:rsidRDefault="00253C5F" w:rsidP="005464CF">
      <w:pPr>
        <w:pStyle w:val="af3"/>
        <w:ind w:firstLine="567"/>
        <w:rPr>
          <w:sz w:val="26"/>
          <w:szCs w:val="26"/>
          <w:lang w:eastAsia="ru-RU"/>
        </w:rPr>
      </w:pPr>
      <w:r w:rsidRPr="004761E0">
        <w:rPr>
          <w:sz w:val="26"/>
          <w:szCs w:val="26"/>
          <w:lang w:eastAsia="ru-RU"/>
        </w:rPr>
        <w:t>В Компании в 2013 году принят обновленный Регламент оперативно-технологического управления ПЭС. Ключевые изменения относятся к алгоритму действий персонала в случае необходимости оперативного электроснабжения объектов жизнеобеспечения на время проведения аварийно-восстановительных работ (медицинские и школьные учреждения, объекты коммунальной инфраструктуры, ГО и ЧС и т.д.). Отныне решение о направлении мобильной электростанции с укомплектованным персоналом для подключения обесточенных социально важных объектов диспетчер принимает немедленно, не дожидаясь определения и локализации поврежденного участка сети. При условии массовых нарушений электроснабжения потребителей, необходимость выдвижения ПЭС и объекты их подключения определяются на оперативном штабе. Время аварийной готовности ПЭС с учетом прибытия к месту подключения – не более 2 часов.</w:t>
      </w:r>
      <w:r w:rsidR="00302464" w:rsidRPr="004761E0">
        <w:t xml:space="preserve"> </w:t>
      </w:r>
      <w:r w:rsidR="00302464" w:rsidRPr="004761E0">
        <w:rPr>
          <w:sz w:val="26"/>
          <w:szCs w:val="26"/>
          <w:lang w:eastAsia="ru-RU"/>
        </w:rPr>
        <w:t xml:space="preserve">Для обеспечения готовности к началу работ в </w:t>
      </w:r>
      <w:r w:rsidR="0008080E">
        <w:rPr>
          <w:sz w:val="26"/>
          <w:szCs w:val="26"/>
          <w:lang w:eastAsia="ru-RU"/>
        </w:rPr>
        <w:t>ОАО </w:t>
      </w:r>
      <w:r w:rsidR="00302464" w:rsidRPr="004761E0">
        <w:rPr>
          <w:sz w:val="26"/>
          <w:szCs w:val="26"/>
          <w:lang w:eastAsia="ru-RU"/>
        </w:rPr>
        <w:t xml:space="preserve">«МОЭСК» одновременно дежурят 204 человека </w:t>
      </w:r>
      <w:r w:rsidR="005464CF" w:rsidRPr="004761E0">
        <w:rPr>
          <w:sz w:val="26"/>
          <w:szCs w:val="26"/>
          <w:lang w:eastAsia="ru-RU"/>
        </w:rPr>
        <w:t>аварийно-восстановительной бригады (</w:t>
      </w:r>
      <w:r w:rsidR="00302464" w:rsidRPr="004761E0">
        <w:rPr>
          <w:sz w:val="26"/>
          <w:szCs w:val="26"/>
          <w:lang w:eastAsia="ru-RU"/>
        </w:rPr>
        <w:t>АВБ</w:t>
      </w:r>
      <w:r w:rsidR="005464CF" w:rsidRPr="004761E0">
        <w:rPr>
          <w:sz w:val="26"/>
          <w:szCs w:val="26"/>
          <w:lang w:eastAsia="ru-RU"/>
        </w:rPr>
        <w:t>)</w:t>
      </w:r>
      <w:r w:rsidR="00302464" w:rsidRPr="004761E0">
        <w:rPr>
          <w:sz w:val="26"/>
          <w:szCs w:val="26"/>
          <w:lang w:eastAsia="ru-RU"/>
        </w:rPr>
        <w:t>. Все АВБ распределены по территориальному признаку с привязкой к муниципальному району.</w:t>
      </w:r>
    </w:p>
    <w:p w:rsidR="00253C5F" w:rsidRPr="004761E0" w:rsidRDefault="00253C5F" w:rsidP="005464CF">
      <w:pPr>
        <w:shd w:val="clear" w:color="auto" w:fill="FFFFFF"/>
        <w:ind w:firstLine="567"/>
        <w:rPr>
          <w:sz w:val="26"/>
          <w:szCs w:val="26"/>
          <w:lang w:eastAsia="ru-RU"/>
        </w:rPr>
      </w:pPr>
      <w:r w:rsidRPr="004761E0">
        <w:rPr>
          <w:sz w:val="26"/>
          <w:szCs w:val="26"/>
          <w:lang w:eastAsia="ru-RU"/>
        </w:rPr>
        <w:t xml:space="preserve">В 2013 году сформирована новая профессиональная аварийно-спасательная служба, которая будет координировать деятельность спасательных формирований на базе филиалов. Одним из главных преимуществ статуса «спасательный» является установка на технике проблесковых маячков со спецсигналами, дающими преимущества проезда на дорогах. Это особенно актуально для столичного мегаполиса с его автомобильными пробками, значительно увеличивающими общее время ремонтно-восстановительных работ. </w:t>
      </w:r>
    </w:p>
    <w:p w:rsidR="00253C5F" w:rsidRPr="004761E0" w:rsidRDefault="00253C5F" w:rsidP="005464CF">
      <w:pPr>
        <w:shd w:val="clear" w:color="auto" w:fill="FFFFFF"/>
        <w:ind w:firstLine="567"/>
        <w:rPr>
          <w:sz w:val="26"/>
          <w:szCs w:val="26"/>
          <w:lang w:eastAsia="ru-RU"/>
        </w:rPr>
      </w:pPr>
      <w:r w:rsidRPr="004761E0">
        <w:rPr>
          <w:sz w:val="26"/>
          <w:szCs w:val="26"/>
          <w:lang w:eastAsia="ru-RU"/>
        </w:rPr>
        <w:t>В целях оптимизации структуры оперативно-технологического управления выполнен 3-й этап комплексной программы приведения операционных зон к границам эксплуатационных зон филиалов: к границам эксплуатационных зон приведены границы операционных зон филиалов ЗЭС и ЦЭС. Выполненные мероприятия позволили сократить время прохождения оперативной информации о технологических нарушениях, сроки согласования вывода в ремонт и включения оборудования в работу, время восстановления электроснабжения, а также  снизить риски при организации безопасного производства работ.</w:t>
      </w:r>
    </w:p>
    <w:p w:rsidR="00253C5F" w:rsidRPr="004761E0" w:rsidRDefault="00253C5F" w:rsidP="005464CF">
      <w:pPr>
        <w:pStyle w:val="af3"/>
        <w:ind w:firstLine="567"/>
        <w:rPr>
          <w:sz w:val="26"/>
          <w:szCs w:val="26"/>
        </w:rPr>
      </w:pPr>
      <w:r w:rsidRPr="004761E0">
        <w:rPr>
          <w:sz w:val="26"/>
          <w:szCs w:val="26"/>
        </w:rPr>
        <w:t>Во всех филиалах в соответствии с утвержденными нормати</w:t>
      </w:r>
      <w:r w:rsidR="00302464" w:rsidRPr="004761E0">
        <w:rPr>
          <w:sz w:val="26"/>
          <w:szCs w:val="26"/>
        </w:rPr>
        <w:t>вами п</w:t>
      </w:r>
      <w:r w:rsidR="00302464" w:rsidRPr="004761E0">
        <w:rPr>
          <w:sz w:val="26"/>
          <w:szCs w:val="26"/>
          <w:lang w:eastAsia="ru-RU"/>
        </w:rPr>
        <w:t>олностью укомплектован аварийный резерв оборудования, запасных частей, материалов с определением мест их оптимального размещения для сокращения  сроков доставки к месту проведения аварийно-восстановительных работ</w:t>
      </w:r>
      <w:r w:rsidRPr="004761E0">
        <w:rPr>
          <w:sz w:val="26"/>
          <w:szCs w:val="26"/>
        </w:rPr>
        <w:t xml:space="preserve">. </w:t>
      </w:r>
    </w:p>
    <w:p w:rsidR="00253C5F" w:rsidRPr="004761E0" w:rsidRDefault="00253C5F" w:rsidP="005464CF">
      <w:pPr>
        <w:shd w:val="clear" w:color="auto" w:fill="FFFFFF"/>
        <w:ind w:firstLine="567"/>
        <w:rPr>
          <w:sz w:val="26"/>
          <w:szCs w:val="26"/>
          <w:lang w:eastAsia="ru-RU"/>
        </w:rPr>
      </w:pPr>
      <w:r w:rsidRPr="004761E0">
        <w:rPr>
          <w:sz w:val="26"/>
          <w:szCs w:val="26"/>
          <w:lang w:eastAsia="ru-RU"/>
        </w:rPr>
        <w:t xml:space="preserve">С целью предотвращения возможных технологических нарушений на объектах </w:t>
      </w:r>
      <w:r w:rsidR="0008080E">
        <w:rPr>
          <w:sz w:val="26"/>
          <w:szCs w:val="26"/>
          <w:lang w:eastAsia="ru-RU"/>
        </w:rPr>
        <w:t>ОАО </w:t>
      </w:r>
      <w:r w:rsidRPr="004761E0">
        <w:rPr>
          <w:sz w:val="26"/>
          <w:szCs w:val="26"/>
          <w:lang w:eastAsia="ru-RU"/>
        </w:rPr>
        <w:t xml:space="preserve">«МОЭСК» ведется соответствующий контроль состояния электросетевого оборудования. Так, с 2013 года помимо организации визуального и тепловизионного контроля, в Компании применяется новый метод диагностики изоляции – ультрафиолетовый контроль. Необходимость в его внедрении возникла после того, как энергетики столкнулись с проблемой высокой загрязненности изоляции воздушных линий антигололедными реагентами, которые применяются для обработки автомагистралей. </w:t>
      </w:r>
    </w:p>
    <w:p w:rsidR="00253C5F" w:rsidRPr="004761E0" w:rsidRDefault="00253C5F" w:rsidP="005464CF">
      <w:pPr>
        <w:shd w:val="clear" w:color="auto" w:fill="FFFFFF"/>
        <w:ind w:firstLine="567"/>
        <w:rPr>
          <w:sz w:val="26"/>
          <w:szCs w:val="26"/>
          <w:lang w:eastAsia="ru-RU"/>
        </w:rPr>
      </w:pPr>
      <w:r w:rsidRPr="004761E0">
        <w:rPr>
          <w:sz w:val="26"/>
          <w:szCs w:val="26"/>
          <w:lang w:eastAsia="ru-RU"/>
        </w:rPr>
        <w:t xml:space="preserve">Как и в </w:t>
      </w:r>
      <w:r w:rsidR="005464CF" w:rsidRPr="004761E0">
        <w:rPr>
          <w:sz w:val="26"/>
          <w:szCs w:val="26"/>
          <w:lang w:eastAsia="ru-RU"/>
        </w:rPr>
        <w:t>2012 году</w:t>
      </w:r>
      <w:r w:rsidRPr="004761E0">
        <w:rPr>
          <w:sz w:val="26"/>
          <w:szCs w:val="26"/>
          <w:lang w:eastAsia="ru-RU"/>
        </w:rPr>
        <w:t xml:space="preserve">, в </w:t>
      </w:r>
      <w:r w:rsidR="005464CF" w:rsidRPr="004761E0">
        <w:rPr>
          <w:sz w:val="26"/>
          <w:szCs w:val="26"/>
          <w:lang w:eastAsia="ru-RU"/>
        </w:rPr>
        <w:t xml:space="preserve">отчетном периоде в </w:t>
      </w:r>
      <w:r w:rsidRPr="004761E0">
        <w:rPr>
          <w:sz w:val="26"/>
          <w:szCs w:val="26"/>
          <w:lang w:eastAsia="ru-RU"/>
        </w:rPr>
        <w:t xml:space="preserve">круглосуточном режиме </w:t>
      </w:r>
      <w:r w:rsidR="0000440B" w:rsidRPr="004761E0">
        <w:rPr>
          <w:sz w:val="26"/>
          <w:szCs w:val="26"/>
          <w:lang w:eastAsia="ru-RU"/>
        </w:rPr>
        <w:t xml:space="preserve">во всех филиалах </w:t>
      </w:r>
      <w:r w:rsidRPr="004761E0">
        <w:rPr>
          <w:sz w:val="26"/>
          <w:szCs w:val="26"/>
          <w:lang w:eastAsia="ru-RU"/>
        </w:rPr>
        <w:t xml:space="preserve">организован мониторинг погодных условий с периодичностью один раз в час </w:t>
      </w:r>
      <w:r w:rsidRPr="004761E0">
        <w:rPr>
          <w:sz w:val="26"/>
          <w:szCs w:val="26"/>
          <w:lang w:eastAsia="ru-RU"/>
        </w:rPr>
        <w:lastRenderedPageBreak/>
        <w:t>(соответствующий договор действует с Гидрометеорологическим бюро г. Москвы и Московской области).</w:t>
      </w:r>
    </w:p>
    <w:p w:rsidR="005464CF" w:rsidRPr="004761E0" w:rsidRDefault="001019D1" w:rsidP="001019D1">
      <w:pPr>
        <w:pStyle w:val="af3"/>
        <w:ind w:firstLine="567"/>
        <w:rPr>
          <w:sz w:val="26"/>
          <w:szCs w:val="26"/>
          <w:lang w:eastAsia="ru-RU"/>
        </w:rPr>
      </w:pPr>
      <w:r w:rsidRPr="004761E0">
        <w:rPr>
          <w:sz w:val="26"/>
          <w:szCs w:val="26"/>
          <w:lang w:eastAsia="ru-RU"/>
        </w:rPr>
        <w:t>Подтверждением своевременного и качественного выполнения мероприятий, направленных на повышение надежности электроснабжения,</w:t>
      </w:r>
      <w:r w:rsidRPr="004761E0">
        <w:rPr>
          <w:rFonts w:ascii="Arial" w:hAnsi="Arial" w:cs="Arial"/>
          <w:color w:val="444444"/>
          <w:sz w:val="15"/>
          <w:szCs w:val="15"/>
        </w:rPr>
        <w:t xml:space="preserve"> </w:t>
      </w:r>
      <w:r w:rsidRPr="004761E0">
        <w:rPr>
          <w:sz w:val="26"/>
          <w:szCs w:val="26"/>
          <w:lang w:eastAsia="ru-RU"/>
        </w:rPr>
        <w:t xml:space="preserve">стало получение </w:t>
      </w:r>
      <w:r w:rsidR="005464CF" w:rsidRPr="004761E0">
        <w:rPr>
          <w:sz w:val="26"/>
          <w:szCs w:val="26"/>
          <w:lang w:eastAsia="ru-RU"/>
        </w:rPr>
        <w:t>Паспорт</w:t>
      </w:r>
      <w:r w:rsidRPr="004761E0">
        <w:rPr>
          <w:sz w:val="26"/>
          <w:szCs w:val="26"/>
          <w:lang w:eastAsia="ru-RU"/>
        </w:rPr>
        <w:t>а</w:t>
      </w:r>
      <w:r w:rsidR="005464CF" w:rsidRPr="004761E0">
        <w:rPr>
          <w:sz w:val="26"/>
          <w:szCs w:val="26"/>
          <w:lang w:eastAsia="ru-RU"/>
        </w:rPr>
        <w:t xml:space="preserve"> готовности к работе в осенне-зимний период 2013/2014 гг. Подготовку персонала оценивала специальная комиссия, сформированная по приказу Минэнерго России. В ее состав вошли представители профильных министерств и ведомств, в т.ч. Ростехнадхора, Минэнерго Московской области, ГУ МЧС России по Московской области, Департамента ТЭХ г. Москвы, а также филиала «ФСК ЕЭС» Центр технического надзора, Системного оператора (МосРДУ), Технической дирекции ЕЭС и </w:t>
      </w:r>
      <w:r w:rsidR="0008080E">
        <w:rPr>
          <w:sz w:val="26"/>
          <w:szCs w:val="26"/>
          <w:lang w:eastAsia="ru-RU"/>
        </w:rPr>
        <w:t>ОАО </w:t>
      </w:r>
      <w:r w:rsidR="005464CF" w:rsidRPr="004761E0">
        <w:rPr>
          <w:sz w:val="26"/>
          <w:szCs w:val="26"/>
          <w:lang w:eastAsia="ru-RU"/>
        </w:rPr>
        <w:t xml:space="preserve">«Россети». По итогам работы комиссии отмечено, что для успешного прохождения отопительного сезона в </w:t>
      </w:r>
      <w:r w:rsidR="0008080E">
        <w:rPr>
          <w:sz w:val="26"/>
          <w:szCs w:val="26"/>
          <w:lang w:eastAsia="ru-RU"/>
        </w:rPr>
        <w:t>ОАО </w:t>
      </w:r>
      <w:r w:rsidR="005464CF" w:rsidRPr="004761E0">
        <w:rPr>
          <w:sz w:val="26"/>
          <w:szCs w:val="26"/>
          <w:lang w:eastAsia="ru-RU"/>
        </w:rPr>
        <w:t xml:space="preserve">«МОЭСК» проделана серьезная подготовительная работа. Все запланированные мероприятия ремонтной и инвестиционной программ выполнены в полном объеме, с соблюдением намеченных сроков. </w:t>
      </w:r>
    </w:p>
    <w:p w:rsidR="004E1EBC" w:rsidRPr="004761E0" w:rsidRDefault="004E1EBC" w:rsidP="00B20C95">
      <w:pPr>
        <w:spacing w:before="120" w:after="120"/>
        <w:ind w:firstLine="567"/>
        <w:rPr>
          <w:b/>
          <w:sz w:val="26"/>
          <w:szCs w:val="26"/>
          <w:lang w:eastAsia="ru-RU"/>
        </w:rPr>
      </w:pPr>
      <w:r w:rsidRPr="00B20C95">
        <w:rPr>
          <w:b/>
          <w:sz w:val="26"/>
          <w:szCs w:val="26"/>
          <w:lang w:eastAsia="ru-RU"/>
        </w:rPr>
        <w:t>Динамика показателей надежности</w:t>
      </w:r>
    </w:p>
    <w:tbl>
      <w:tblPr>
        <w:tblW w:w="9936" w:type="dxa"/>
        <w:tblInd w:w="95" w:type="dxa"/>
        <w:tblLook w:val="04A0"/>
      </w:tblPr>
      <w:tblGrid>
        <w:gridCol w:w="580"/>
        <w:gridCol w:w="3810"/>
        <w:gridCol w:w="1152"/>
        <w:gridCol w:w="1134"/>
        <w:gridCol w:w="1134"/>
        <w:gridCol w:w="992"/>
        <w:gridCol w:w="1134"/>
      </w:tblGrid>
      <w:tr w:rsidR="004E1EBC" w:rsidRPr="004761E0" w:rsidTr="00007CB1">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4E1EBC" w:rsidRPr="004761E0" w:rsidRDefault="004E1EBC" w:rsidP="00F2772C">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381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E1EBC" w:rsidRPr="004761E0" w:rsidRDefault="004E1EBC" w:rsidP="00F2772C">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5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4E1EBC" w:rsidRPr="004761E0" w:rsidRDefault="00007CB1" w:rsidP="00007CB1">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Ед. изм.</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E1EBC" w:rsidRPr="004761E0" w:rsidRDefault="004E1EBC" w:rsidP="00F2772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E1EBC" w:rsidRPr="004761E0" w:rsidRDefault="004E1EBC" w:rsidP="00F2772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99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E1EBC" w:rsidRPr="004761E0" w:rsidRDefault="004E1EBC" w:rsidP="00F2772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4E1EBC" w:rsidRPr="004761E0" w:rsidRDefault="004E1EBC" w:rsidP="00F2772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007CB1" w:rsidRPr="004761E0" w:rsidTr="00007CB1">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7CB1" w:rsidRPr="004761E0" w:rsidRDefault="00007CB1" w:rsidP="007076A7">
            <w:pPr>
              <w:numPr>
                <w:ilvl w:val="0"/>
                <w:numId w:val="128"/>
              </w:numPr>
              <w:jc w:val="left"/>
              <w:rPr>
                <w:rFonts w:eastAsia="Times New Roman"/>
                <w:color w:val="000000"/>
                <w:sz w:val="20"/>
                <w:szCs w:val="20"/>
                <w:lang w:eastAsia="ru-RU"/>
              </w:rPr>
            </w:pPr>
          </w:p>
        </w:tc>
        <w:tc>
          <w:tcPr>
            <w:tcW w:w="3810" w:type="dxa"/>
            <w:tcBorders>
              <w:top w:val="single" w:sz="4" w:space="0" w:color="auto"/>
              <w:left w:val="nil"/>
              <w:bottom w:val="single" w:sz="4" w:space="0" w:color="auto"/>
              <w:right w:val="single" w:sz="4" w:space="0" w:color="auto"/>
            </w:tcBorders>
            <w:shd w:val="clear" w:color="auto" w:fill="auto"/>
            <w:vAlign w:val="center"/>
            <w:hideMark/>
          </w:tcPr>
          <w:p w:rsidR="00007CB1" w:rsidRPr="004761E0" w:rsidRDefault="00007CB1" w:rsidP="00F2772C">
            <w:pPr>
              <w:ind w:firstLine="0"/>
              <w:jc w:val="left"/>
              <w:rPr>
                <w:rFonts w:eastAsia="Times New Roman"/>
                <w:sz w:val="20"/>
                <w:szCs w:val="20"/>
                <w:lang w:eastAsia="ru-RU"/>
              </w:rPr>
            </w:pPr>
            <w:r w:rsidRPr="004761E0">
              <w:rPr>
                <w:rFonts w:eastAsia="Times New Roman"/>
                <w:sz w:val="20"/>
                <w:szCs w:val="20"/>
                <w:lang w:eastAsia="ru-RU"/>
              </w:rPr>
              <w:t>Количество технологических нарушений (аварий)</w:t>
            </w:r>
          </w:p>
        </w:tc>
        <w:tc>
          <w:tcPr>
            <w:tcW w:w="1152" w:type="dxa"/>
            <w:tcBorders>
              <w:top w:val="single" w:sz="4" w:space="0" w:color="auto"/>
              <w:left w:val="nil"/>
              <w:bottom w:val="single" w:sz="4" w:space="0" w:color="auto"/>
              <w:right w:val="single" w:sz="4" w:space="0" w:color="auto"/>
            </w:tcBorders>
            <w:shd w:val="clear" w:color="auto" w:fill="auto"/>
            <w:vAlign w:val="center"/>
          </w:tcPr>
          <w:p w:rsidR="00007CB1" w:rsidRPr="004761E0" w:rsidRDefault="00007CB1" w:rsidP="00007CB1">
            <w:pPr>
              <w:ind w:firstLine="0"/>
              <w:jc w:val="right"/>
              <w:rPr>
                <w:sz w:val="20"/>
                <w:szCs w:val="20"/>
              </w:rPr>
            </w:pPr>
            <w:r w:rsidRPr="004761E0">
              <w:rPr>
                <w:sz w:val="20"/>
                <w:szCs w:val="20"/>
              </w:rPr>
              <w:t>шт.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8 570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7 688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7 357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-4,31 %</w:t>
            </w:r>
          </w:p>
        </w:tc>
      </w:tr>
      <w:tr w:rsidR="004E1EBC" w:rsidRPr="004761E0" w:rsidTr="00196C95">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4E1EBC" w:rsidRPr="004761E0" w:rsidRDefault="004E1EBC" w:rsidP="007076A7">
            <w:pPr>
              <w:numPr>
                <w:ilvl w:val="0"/>
                <w:numId w:val="128"/>
              </w:numPr>
              <w:jc w:val="left"/>
              <w:rPr>
                <w:rFonts w:eastAsia="Times New Roman"/>
                <w:color w:val="000000"/>
                <w:sz w:val="20"/>
                <w:szCs w:val="20"/>
                <w:lang w:eastAsia="ru-RU"/>
              </w:rPr>
            </w:pPr>
          </w:p>
        </w:tc>
        <w:tc>
          <w:tcPr>
            <w:tcW w:w="3810" w:type="dxa"/>
            <w:tcBorders>
              <w:top w:val="nil"/>
              <w:left w:val="nil"/>
              <w:bottom w:val="single" w:sz="4" w:space="0" w:color="auto"/>
              <w:right w:val="single" w:sz="4" w:space="0" w:color="auto"/>
            </w:tcBorders>
            <w:shd w:val="clear" w:color="auto" w:fill="auto"/>
            <w:vAlign w:val="center"/>
            <w:hideMark/>
          </w:tcPr>
          <w:p w:rsidR="004E1EBC" w:rsidRPr="004761E0" w:rsidRDefault="004E1EBC" w:rsidP="004E1EBC">
            <w:pPr>
              <w:ind w:firstLine="0"/>
              <w:jc w:val="left"/>
              <w:rPr>
                <w:rFonts w:eastAsia="Times New Roman"/>
                <w:sz w:val="20"/>
                <w:szCs w:val="20"/>
                <w:lang w:eastAsia="ru-RU"/>
              </w:rPr>
            </w:pPr>
            <w:r w:rsidRPr="004761E0">
              <w:rPr>
                <w:rFonts w:eastAsia="Times New Roman"/>
                <w:sz w:val="20"/>
                <w:szCs w:val="20"/>
                <w:lang w:eastAsia="ru-RU"/>
              </w:rPr>
              <w:t xml:space="preserve">Среднее время восстановления электроснабжения </w:t>
            </w:r>
          </w:p>
        </w:tc>
        <w:tc>
          <w:tcPr>
            <w:tcW w:w="1152" w:type="dxa"/>
            <w:tcBorders>
              <w:top w:val="nil"/>
              <w:left w:val="nil"/>
              <w:bottom w:val="single" w:sz="4" w:space="0" w:color="auto"/>
              <w:right w:val="single" w:sz="4" w:space="0" w:color="auto"/>
            </w:tcBorders>
            <w:shd w:val="clear" w:color="auto" w:fill="auto"/>
            <w:vAlign w:val="center"/>
          </w:tcPr>
          <w:p w:rsidR="004E1EBC" w:rsidRPr="004761E0" w:rsidRDefault="00760E5A" w:rsidP="00007CB1">
            <w:pPr>
              <w:ind w:firstLine="0"/>
              <w:jc w:val="right"/>
              <w:rPr>
                <w:rFonts w:eastAsia="Times New Roman"/>
                <w:sz w:val="20"/>
                <w:szCs w:val="20"/>
                <w:lang w:eastAsia="ru-RU"/>
              </w:rPr>
            </w:pPr>
            <w:r w:rsidRPr="004761E0">
              <w:rPr>
                <w:rFonts w:eastAsia="Times New Roman"/>
                <w:sz w:val="20"/>
                <w:szCs w:val="20"/>
                <w:lang w:eastAsia="ru-RU"/>
              </w:rPr>
              <w:t>мин.</w:t>
            </w:r>
          </w:p>
        </w:tc>
        <w:tc>
          <w:tcPr>
            <w:tcW w:w="1134" w:type="dxa"/>
            <w:tcBorders>
              <w:top w:val="nil"/>
              <w:left w:val="nil"/>
              <w:bottom w:val="single" w:sz="4" w:space="0" w:color="auto"/>
              <w:right w:val="single" w:sz="4" w:space="0" w:color="auto"/>
            </w:tcBorders>
            <w:shd w:val="clear" w:color="auto" w:fill="auto"/>
            <w:vAlign w:val="center"/>
            <w:hideMark/>
          </w:tcPr>
          <w:p w:rsidR="004E1EBC" w:rsidRPr="004761E0" w:rsidRDefault="004E1EBC" w:rsidP="00007CB1">
            <w:pPr>
              <w:ind w:firstLine="0"/>
              <w:jc w:val="right"/>
              <w:rPr>
                <w:bCs/>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4E1EBC" w:rsidRPr="004761E0" w:rsidRDefault="00760E5A" w:rsidP="00007CB1">
            <w:pPr>
              <w:ind w:firstLine="0"/>
              <w:jc w:val="right"/>
              <w:rPr>
                <w:bCs/>
                <w:sz w:val="20"/>
                <w:szCs w:val="20"/>
              </w:rPr>
            </w:pPr>
            <w:r w:rsidRPr="004761E0">
              <w:rPr>
                <w:bCs/>
                <w:sz w:val="20"/>
                <w:szCs w:val="20"/>
              </w:rPr>
              <w:t>181</w:t>
            </w:r>
          </w:p>
        </w:tc>
        <w:tc>
          <w:tcPr>
            <w:tcW w:w="992" w:type="dxa"/>
            <w:tcBorders>
              <w:top w:val="nil"/>
              <w:left w:val="nil"/>
              <w:bottom w:val="single" w:sz="4" w:space="0" w:color="auto"/>
              <w:right w:val="single" w:sz="4" w:space="0" w:color="auto"/>
            </w:tcBorders>
            <w:shd w:val="clear" w:color="auto" w:fill="auto"/>
            <w:vAlign w:val="center"/>
            <w:hideMark/>
          </w:tcPr>
          <w:p w:rsidR="004E1EBC" w:rsidRPr="004761E0" w:rsidRDefault="00760E5A" w:rsidP="00007CB1">
            <w:pPr>
              <w:ind w:firstLine="0"/>
              <w:jc w:val="right"/>
              <w:rPr>
                <w:bCs/>
                <w:sz w:val="20"/>
                <w:szCs w:val="20"/>
              </w:rPr>
            </w:pPr>
            <w:r w:rsidRPr="004761E0">
              <w:rPr>
                <w:bCs/>
                <w:sz w:val="20"/>
                <w:szCs w:val="20"/>
              </w:rPr>
              <w:t>110</w:t>
            </w:r>
          </w:p>
        </w:tc>
        <w:tc>
          <w:tcPr>
            <w:tcW w:w="1134" w:type="dxa"/>
            <w:tcBorders>
              <w:top w:val="nil"/>
              <w:left w:val="nil"/>
              <w:bottom w:val="single" w:sz="4" w:space="0" w:color="auto"/>
              <w:right w:val="single" w:sz="4" w:space="0" w:color="auto"/>
            </w:tcBorders>
            <w:shd w:val="clear" w:color="auto" w:fill="auto"/>
            <w:vAlign w:val="center"/>
            <w:hideMark/>
          </w:tcPr>
          <w:p w:rsidR="004E1EBC" w:rsidRPr="004761E0" w:rsidRDefault="00760E5A" w:rsidP="00007CB1">
            <w:pPr>
              <w:ind w:firstLine="0"/>
              <w:jc w:val="right"/>
              <w:rPr>
                <w:rFonts w:eastAsia="Times New Roman"/>
                <w:bCs/>
                <w:sz w:val="20"/>
                <w:szCs w:val="20"/>
                <w:lang w:eastAsia="ru-RU"/>
              </w:rPr>
            </w:pPr>
            <w:r w:rsidRPr="004761E0">
              <w:rPr>
                <w:rFonts w:eastAsia="Times New Roman"/>
                <w:bCs/>
                <w:sz w:val="20"/>
                <w:szCs w:val="20"/>
                <w:lang w:eastAsia="ru-RU"/>
              </w:rPr>
              <w:t>-39,23</w:t>
            </w:r>
          </w:p>
        </w:tc>
      </w:tr>
      <w:tr w:rsidR="00007CB1" w:rsidRPr="004761E0" w:rsidTr="00007CB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07CB1" w:rsidRPr="004761E0" w:rsidRDefault="00007CB1" w:rsidP="007076A7">
            <w:pPr>
              <w:pStyle w:val="a5"/>
              <w:numPr>
                <w:ilvl w:val="1"/>
                <w:numId w:val="128"/>
              </w:numPr>
              <w:jc w:val="left"/>
              <w:rPr>
                <w:rFonts w:eastAsia="Times New Roman"/>
                <w:color w:val="000000"/>
                <w:sz w:val="20"/>
                <w:szCs w:val="20"/>
                <w:lang w:eastAsia="ru-RU"/>
              </w:rPr>
            </w:pPr>
          </w:p>
        </w:tc>
        <w:tc>
          <w:tcPr>
            <w:tcW w:w="3810"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4E1EBC">
            <w:pPr>
              <w:ind w:firstLine="318"/>
              <w:jc w:val="left"/>
              <w:rPr>
                <w:rFonts w:eastAsia="Times New Roman"/>
                <w:sz w:val="20"/>
                <w:szCs w:val="20"/>
                <w:lang w:eastAsia="ru-RU"/>
              </w:rPr>
            </w:pPr>
            <w:r w:rsidRPr="004761E0">
              <w:rPr>
                <w:rFonts w:eastAsia="Times New Roman"/>
                <w:sz w:val="20"/>
                <w:szCs w:val="20"/>
                <w:lang w:eastAsia="ru-RU"/>
              </w:rPr>
              <w:t>по г. Москве</w:t>
            </w:r>
          </w:p>
        </w:tc>
        <w:tc>
          <w:tcPr>
            <w:tcW w:w="1152" w:type="dxa"/>
            <w:tcBorders>
              <w:top w:val="nil"/>
              <w:left w:val="nil"/>
              <w:bottom w:val="single" w:sz="4" w:space="0" w:color="auto"/>
              <w:right w:val="single" w:sz="4" w:space="0" w:color="auto"/>
            </w:tcBorders>
            <w:shd w:val="clear" w:color="auto" w:fill="auto"/>
            <w:vAlign w:val="center"/>
          </w:tcPr>
          <w:p w:rsidR="00007CB1" w:rsidRPr="004761E0" w:rsidRDefault="00007CB1" w:rsidP="00007CB1">
            <w:pPr>
              <w:ind w:firstLine="0"/>
              <w:jc w:val="right"/>
              <w:rPr>
                <w:rFonts w:eastAsia="Times New Roman"/>
                <w:sz w:val="20"/>
                <w:szCs w:val="20"/>
                <w:lang w:eastAsia="ru-RU"/>
              </w:rPr>
            </w:pPr>
            <w:r w:rsidRPr="004761E0">
              <w:rPr>
                <w:rFonts w:eastAsia="Times New Roman"/>
                <w:sz w:val="20"/>
                <w:szCs w:val="20"/>
                <w:lang w:eastAsia="ru-RU"/>
              </w:rPr>
              <w:t>мин.</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sz w:val="20"/>
                <w:szCs w:val="20"/>
              </w:rPr>
            </w:pPr>
            <w:r w:rsidRPr="004761E0">
              <w:rPr>
                <w:sz w:val="20"/>
                <w:szCs w:val="20"/>
              </w:rPr>
              <w:t>50</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sz w:val="20"/>
                <w:szCs w:val="20"/>
              </w:rPr>
            </w:pPr>
            <w:r w:rsidRPr="004761E0">
              <w:rPr>
                <w:sz w:val="20"/>
                <w:szCs w:val="20"/>
              </w:rPr>
              <w:t>48</w:t>
            </w:r>
          </w:p>
        </w:tc>
        <w:tc>
          <w:tcPr>
            <w:tcW w:w="992"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sz w:val="20"/>
                <w:szCs w:val="20"/>
              </w:rPr>
            </w:pPr>
            <w:r w:rsidRPr="004761E0">
              <w:rPr>
                <w:sz w:val="20"/>
                <w:szCs w:val="20"/>
              </w:rPr>
              <w:t>46</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sz w:val="20"/>
                <w:szCs w:val="20"/>
              </w:rPr>
            </w:pPr>
            <w:r w:rsidRPr="004761E0">
              <w:rPr>
                <w:sz w:val="20"/>
                <w:szCs w:val="20"/>
              </w:rPr>
              <w:t>-4,17 %</w:t>
            </w:r>
          </w:p>
        </w:tc>
      </w:tr>
      <w:tr w:rsidR="00007CB1" w:rsidRPr="004761E0" w:rsidTr="00007CB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07CB1" w:rsidRPr="004761E0" w:rsidRDefault="00007CB1" w:rsidP="007076A7">
            <w:pPr>
              <w:numPr>
                <w:ilvl w:val="0"/>
                <w:numId w:val="128"/>
              </w:numPr>
              <w:jc w:val="left"/>
              <w:rPr>
                <w:rFonts w:eastAsia="Times New Roman"/>
                <w:color w:val="000000"/>
                <w:sz w:val="20"/>
                <w:szCs w:val="20"/>
                <w:lang w:eastAsia="ru-RU"/>
              </w:rPr>
            </w:pPr>
          </w:p>
        </w:tc>
        <w:tc>
          <w:tcPr>
            <w:tcW w:w="3810" w:type="dxa"/>
            <w:tcBorders>
              <w:top w:val="nil"/>
              <w:left w:val="nil"/>
              <w:bottom w:val="single" w:sz="4" w:space="0" w:color="auto"/>
              <w:right w:val="single" w:sz="4" w:space="0" w:color="auto"/>
            </w:tcBorders>
            <w:shd w:val="clear" w:color="auto" w:fill="auto"/>
            <w:vAlign w:val="center"/>
            <w:hideMark/>
          </w:tcPr>
          <w:p w:rsidR="00007CB1" w:rsidRPr="004761E0" w:rsidRDefault="00C66D99" w:rsidP="004E1EBC">
            <w:pPr>
              <w:ind w:firstLine="318"/>
              <w:jc w:val="left"/>
              <w:rPr>
                <w:rFonts w:eastAsia="Times New Roman"/>
                <w:sz w:val="20"/>
                <w:szCs w:val="20"/>
                <w:lang w:eastAsia="ru-RU"/>
              </w:rPr>
            </w:pPr>
            <w:r w:rsidRPr="004761E0">
              <w:rPr>
                <w:rFonts w:eastAsia="Times New Roman"/>
                <w:sz w:val="20"/>
                <w:szCs w:val="20"/>
                <w:lang w:eastAsia="ru-RU"/>
              </w:rPr>
              <w:t>п</w:t>
            </w:r>
            <w:r w:rsidR="00007CB1" w:rsidRPr="004761E0">
              <w:rPr>
                <w:rFonts w:eastAsia="Times New Roman"/>
                <w:sz w:val="20"/>
                <w:szCs w:val="20"/>
                <w:lang w:eastAsia="ru-RU"/>
              </w:rPr>
              <w:t>о Московской области</w:t>
            </w:r>
          </w:p>
        </w:tc>
        <w:tc>
          <w:tcPr>
            <w:tcW w:w="1152" w:type="dxa"/>
            <w:tcBorders>
              <w:top w:val="nil"/>
              <w:left w:val="nil"/>
              <w:bottom w:val="single" w:sz="4" w:space="0" w:color="auto"/>
              <w:right w:val="single" w:sz="4" w:space="0" w:color="auto"/>
            </w:tcBorders>
            <w:shd w:val="clear" w:color="auto" w:fill="auto"/>
            <w:vAlign w:val="center"/>
          </w:tcPr>
          <w:p w:rsidR="00007CB1" w:rsidRPr="004761E0" w:rsidRDefault="00007CB1" w:rsidP="00007CB1">
            <w:pPr>
              <w:ind w:firstLine="0"/>
              <w:jc w:val="right"/>
              <w:rPr>
                <w:rFonts w:eastAsia="Times New Roman"/>
                <w:sz w:val="20"/>
                <w:szCs w:val="20"/>
                <w:lang w:eastAsia="ru-RU"/>
              </w:rPr>
            </w:pPr>
            <w:r w:rsidRPr="004761E0">
              <w:rPr>
                <w:rFonts w:eastAsia="Times New Roman"/>
                <w:sz w:val="20"/>
                <w:szCs w:val="20"/>
                <w:lang w:eastAsia="ru-RU"/>
              </w:rPr>
              <w:t>мин.</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sz w:val="20"/>
                <w:szCs w:val="20"/>
              </w:rPr>
            </w:pPr>
            <w:r w:rsidRPr="004761E0">
              <w:rPr>
                <w:sz w:val="20"/>
                <w:szCs w:val="20"/>
              </w:rPr>
              <w:t>220</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sz w:val="20"/>
                <w:szCs w:val="20"/>
              </w:rPr>
            </w:pPr>
            <w:r w:rsidRPr="004761E0">
              <w:rPr>
                <w:sz w:val="20"/>
                <w:szCs w:val="20"/>
              </w:rPr>
              <w:t>204</w:t>
            </w:r>
          </w:p>
        </w:tc>
        <w:tc>
          <w:tcPr>
            <w:tcW w:w="992"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sz w:val="20"/>
                <w:szCs w:val="20"/>
              </w:rPr>
            </w:pPr>
            <w:r w:rsidRPr="004761E0">
              <w:rPr>
                <w:sz w:val="20"/>
                <w:szCs w:val="20"/>
              </w:rPr>
              <w:t>122</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sz w:val="20"/>
                <w:szCs w:val="20"/>
              </w:rPr>
            </w:pPr>
            <w:r w:rsidRPr="004761E0">
              <w:rPr>
                <w:sz w:val="20"/>
                <w:szCs w:val="20"/>
              </w:rPr>
              <w:t>-40,20 %</w:t>
            </w:r>
          </w:p>
        </w:tc>
      </w:tr>
      <w:tr w:rsidR="00007CB1" w:rsidRPr="004761E0" w:rsidTr="00007CB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07CB1" w:rsidRPr="004761E0" w:rsidRDefault="00007CB1" w:rsidP="007076A7">
            <w:pPr>
              <w:numPr>
                <w:ilvl w:val="0"/>
                <w:numId w:val="128"/>
              </w:numPr>
              <w:jc w:val="left"/>
              <w:rPr>
                <w:rFonts w:eastAsia="Times New Roman"/>
                <w:color w:val="000000"/>
                <w:sz w:val="20"/>
                <w:szCs w:val="20"/>
                <w:lang w:eastAsia="ru-RU"/>
              </w:rPr>
            </w:pPr>
          </w:p>
        </w:tc>
        <w:tc>
          <w:tcPr>
            <w:tcW w:w="3810"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F2772C">
            <w:pPr>
              <w:ind w:firstLine="0"/>
              <w:jc w:val="left"/>
              <w:rPr>
                <w:rFonts w:eastAsia="Times New Roman"/>
                <w:sz w:val="20"/>
                <w:szCs w:val="20"/>
                <w:lang w:eastAsia="ru-RU"/>
              </w:rPr>
            </w:pPr>
            <w:r w:rsidRPr="004761E0">
              <w:rPr>
                <w:rFonts w:eastAsia="Times New Roman"/>
                <w:sz w:val="20"/>
                <w:szCs w:val="20"/>
                <w:lang w:eastAsia="ru-RU"/>
              </w:rPr>
              <w:t>Средняя длительность технологических нарушений</w:t>
            </w:r>
          </w:p>
        </w:tc>
        <w:tc>
          <w:tcPr>
            <w:tcW w:w="1152" w:type="dxa"/>
            <w:tcBorders>
              <w:top w:val="nil"/>
              <w:left w:val="nil"/>
              <w:bottom w:val="single" w:sz="4" w:space="0" w:color="auto"/>
              <w:right w:val="single" w:sz="4" w:space="0" w:color="auto"/>
            </w:tcBorders>
            <w:shd w:val="clear" w:color="auto" w:fill="auto"/>
            <w:vAlign w:val="center"/>
          </w:tcPr>
          <w:p w:rsidR="00007CB1" w:rsidRPr="004761E0" w:rsidRDefault="00007CB1" w:rsidP="00007CB1">
            <w:pPr>
              <w:ind w:firstLine="0"/>
              <w:jc w:val="right"/>
              <w:rPr>
                <w:sz w:val="20"/>
                <w:szCs w:val="20"/>
              </w:rPr>
            </w:pPr>
            <w:r w:rsidRPr="004761E0">
              <w:rPr>
                <w:sz w:val="20"/>
                <w:szCs w:val="20"/>
              </w:rPr>
              <w:t>ч.</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1,06</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0,78</w:t>
            </w:r>
          </w:p>
        </w:tc>
        <w:tc>
          <w:tcPr>
            <w:tcW w:w="992"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0,28</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-64,10 %</w:t>
            </w:r>
          </w:p>
        </w:tc>
      </w:tr>
      <w:tr w:rsidR="00007CB1" w:rsidRPr="004761E0" w:rsidTr="00007CB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07CB1" w:rsidRPr="004761E0" w:rsidRDefault="00007CB1" w:rsidP="007076A7">
            <w:pPr>
              <w:numPr>
                <w:ilvl w:val="0"/>
                <w:numId w:val="128"/>
              </w:numPr>
              <w:jc w:val="left"/>
              <w:rPr>
                <w:rFonts w:eastAsia="Times New Roman"/>
                <w:color w:val="000000"/>
                <w:sz w:val="20"/>
                <w:szCs w:val="20"/>
                <w:lang w:eastAsia="ru-RU"/>
              </w:rPr>
            </w:pPr>
          </w:p>
        </w:tc>
        <w:tc>
          <w:tcPr>
            <w:tcW w:w="3810"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F2772C">
            <w:pPr>
              <w:ind w:firstLine="0"/>
              <w:jc w:val="left"/>
              <w:rPr>
                <w:rFonts w:eastAsia="Times New Roman"/>
                <w:sz w:val="20"/>
                <w:szCs w:val="20"/>
                <w:lang w:eastAsia="ru-RU"/>
              </w:rPr>
            </w:pPr>
            <w:r w:rsidRPr="004761E0">
              <w:rPr>
                <w:rFonts w:eastAsia="Times New Roman"/>
                <w:sz w:val="20"/>
                <w:szCs w:val="20"/>
                <w:lang w:eastAsia="ru-RU"/>
              </w:rPr>
              <w:t>Количество технологических нарушений (аварий) / 1000 у.е.</w:t>
            </w:r>
          </w:p>
        </w:tc>
        <w:tc>
          <w:tcPr>
            <w:tcW w:w="1152" w:type="dxa"/>
            <w:tcBorders>
              <w:top w:val="nil"/>
              <w:left w:val="nil"/>
              <w:bottom w:val="single" w:sz="4" w:space="0" w:color="auto"/>
              <w:right w:val="single" w:sz="4" w:space="0" w:color="auto"/>
            </w:tcBorders>
            <w:shd w:val="clear" w:color="auto" w:fill="auto"/>
            <w:vAlign w:val="center"/>
          </w:tcPr>
          <w:p w:rsidR="00007CB1" w:rsidRPr="004761E0" w:rsidRDefault="00007CB1" w:rsidP="00007CB1">
            <w:pPr>
              <w:ind w:firstLine="0"/>
              <w:jc w:val="right"/>
              <w:rPr>
                <w:sz w:val="20"/>
                <w:szCs w:val="20"/>
              </w:rPr>
            </w:pPr>
            <w:r w:rsidRPr="004761E0">
              <w:rPr>
                <w:sz w:val="20"/>
                <w:szCs w:val="20"/>
              </w:rPr>
              <w:t>шт.</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9,34</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8,93</w:t>
            </w:r>
          </w:p>
        </w:tc>
        <w:tc>
          <w:tcPr>
            <w:tcW w:w="992"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8,47</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-5,15 %</w:t>
            </w:r>
          </w:p>
        </w:tc>
      </w:tr>
      <w:tr w:rsidR="00007CB1" w:rsidRPr="004761E0" w:rsidTr="00007CB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07CB1" w:rsidRPr="004761E0" w:rsidRDefault="00007CB1" w:rsidP="007076A7">
            <w:pPr>
              <w:numPr>
                <w:ilvl w:val="0"/>
                <w:numId w:val="128"/>
              </w:numPr>
              <w:jc w:val="left"/>
              <w:rPr>
                <w:rFonts w:eastAsia="Times New Roman"/>
                <w:color w:val="000000"/>
                <w:sz w:val="20"/>
                <w:szCs w:val="20"/>
                <w:lang w:eastAsia="ru-RU"/>
              </w:rPr>
            </w:pPr>
          </w:p>
        </w:tc>
        <w:tc>
          <w:tcPr>
            <w:tcW w:w="3810"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F2772C">
            <w:pPr>
              <w:ind w:firstLine="0"/>
              <w:jc w:val="left"/>
              <w:rPr>
                <w:rFonts w:eastAsia="Times New Roman"/>
                <w:sz w:val="20"/>
                <w:szCs w:val="20"/>
                <w:lang w:eastAsia="ru-RU"/>
              </w:rPr>
            </w:pPr>
            <w:r w:rsidRPr="004761E0">
              <w:rPr>
                <w:rFonts w:eastAsia="Times New Roman"/>
                <w:sz w:val="20"/>
                <w:szCs w:val="20"/>
                <w:lang w:eastAsia="ru-RU"/>
              </w:rPr>
              <w:t>Объем недоотпущенной электроэнергии</w:t>
            </w:r>
          </w:p>
        </w:tc>
        <w:tc>
          <w:tcPr>
            <w:tcW w:w="1152" w:type="dxa"/>
            <w:tcBorders>
              <w:top w:val="nil"/>
              <w:left w:val="nil"/>
              <w:bottom w:val="single" w:sz="4" w:space="0" w:color="auto"/>
              <w:right w:val="single" w:sz="4" w:space="0" w:color="auto"/>
            </w:tcBorders>
            <w:shd w:val="clear" w:color="auto" w:fill="auto"/>
            <w:vAlign w:val="center"/>
          </w:tcPr>
          <w:p w:rsidR="00007CB1" w:rsidRPr="004761E0" w:rsidRDefault="00007CB1" w:rsidP="00007CB1">
            <w:pPr>
              <w:ind w:firstLine="0"/>
              <w:jc w:val="right"/>
              <w:rPr>
                <w:sz w:val="20"/>
                <w:szCs w:val="20"/>
              </w:rPr>
            </w:pPr>
            <w:r w:rsidRPr="004761E0">
              <w:rPr>
                <w:sz w:val="20"/>
                <w:szCs w:val="20"/>
              </w:rPr>
              <w:t>млн кВтч</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2,90</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2,01</w:t>
            </w:r>
          </w:p>
        </w:tc>
        <w:tc>
          <w:tcPr>
            <w:tcW w:w="992"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1,34</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-33,33 %</w:t>
            </w:r>
          </w:p>
        </w:tc>
      </w:tr>
      <w:tr w:rsidR="00007CB1" w:rsidRPr="004761E0" w:rsidTr="00007CB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07CB1" w:rsidRPr="004761E0" w:rsidRDefault="00007CB1" w:rsidP="007076A7">
            <w:pPr>
              <w:numPr>
                <w:ilvl w:val="0"/>
                <w:numId w:val="128"/>
              </w:numPr>
              <w:jc w:val="left"/>
              <w:rPr>
                <w:rFonts w:eastAsia="Times New Roman"/>
                <w:color w:val="000000"/>
                <w:sz w:val="20"/>
                <w:szCs w:val="20"/>
                <w:lang w:eastAsia="ru-RU"/>
              </w:rPr>
            </w:pPr>
          </w:p>
        </w:tc>
        <w:tc>
          <w:tcPr>
            <w:tcW w:w="3810"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F2772C">
            <w:pPr>
              <w:ind w:firstLine="0"/>
              <w:jc w:val="left"/>
              <w:rPr>
                <w:rFonts w:eastAsia="Times New Roman"/>
                <w:sz w:val="20"/>
                <w:szCs w:val="20"/>
                <w:lang w:eastAsia="ru-RU"/>
              </w:rPr>
            </w:pPr>
            <w:r w:rsidRPr="004761E0">
              <w:rPr>
                <w:rFonts w:eastAsia="Times New Roman"/>
                <w:sz w:val="20"/>
                <w:szCs w:val="20"/>
                <w:lang w:eastAsia="ru-RU"/>
              </w:rPr>
              <w:t>Общий экономический ущерб</w:t>
            </w:r>
          </w:p>
        </w:tc>
        <w:tc>
          <w:tcPr>
            <w:tcW w:w="1152" w:type="dxa"/>
            <w:tcBorders>
              <w:top w:val="nil"/>
              <w:left w:val="nil"/>
              <w:bottom w:val="single" w:sz="4" w:space="0" w:color="auto"/>
              <w:right w:val="single" w:sz="4" w:space="0" w:color="auto"/>
            </w:tcBorders>
            <w:shd w:val="clear" w:color="auto" w:fill="auto"/>
            <w:vAlign w:val="center"/>
          </w:tcPr>
          <w:p w:rsidR="00007CB1" w:rsidRPr="004761E0" w:rsidRDefault="00007CB1" w:rsidP="00007CB1">
            <w:pPr>
              <w:ind w:firstLine="0"/>
              <w:jc w:val="right"/>
              <w:rPr>
                <w:sz w:val="20"/>
                <w:szCs w:val="20"/>
              </w:rPr>
            </w:pPr>
            <w:r w:rsidRPr="004761E0">
              <w:rPr>
                <w:sz w:val="20"/>
                <w:szCs w:val="20"/>
              </w:rPr>
              <w:t>млн руб.</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93,02</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99,74</w:t>
            </w:r>
          </w:p>
        </w:tc>
        <w:tc>
          <w:tcPr>
            <w:tcW w:w="992"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148,66</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49,05 %</w:t>
            </w:r>
          </w:p>
        </w:tc>
      </w:tr>
    </w:tbl>
    <w:p w:rsidR="002E6821" w:rsidRPr="004761E0" w:rsidRDefault="002E6821" w:rsidP="002E6821">
      <w:pPr>
        <w:spacing w:before="120" w:after="120"/>
        <w:ind w:firstLine="0"/>
        <w:rPr>
          <w:rFonts w:eastAsia="Times New Roman"/>
          <w:b/>
          <w:iCs/>
          <w:color w:val="000000"/>
          <w:sz w:val="26"/>
          <w:szCs w:val="26"/>
          <w:lang w:eastAsia="ru-RU"/>
        </w:rPr>
      </w:pPr>
      <w:r w:rsidRPr="004761E0">
        <w:rPr>
          <w:rFonts w:eastAsia="Times New Roman"/>
          <w:b/>
          <w:iCs/>
          <w:noProof/>
          <w:color w:val="000000"/>
          <w:sz w:val="26"/>
          <w:szCs w:val="26"/>
          <w:lang w:eastAsia="ru-RU"/>
        </w:rPr>
        <w:drawing>
          <wp:inline distT="0" distB="0" distL="0" distR="0">
            <wp:extent cx="2652898" cy="3119400"/>
            <wp:effectExtent l="19050" t="0" r="14102" b="480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00364823" w:rsidRPr="004761E0">
        <w:rPr>
          <w:rFonts w:eastAsia="Times New Roman"/>
          <w:b/>
          <w:iCs/>
          <w:color w:val="000000"/>
          <w:sz w:val="26"/>
          <w:szCs w:val="26"/>
          <w:lang w:eastAsia="ru-RU"/>
        </w:rPr>
        <w:t xml:space="preserve"> </w:t>
      </w:r>
      <w:r w:rsidR="00B60BD9" w:rsidRPr="004761E0">
        <w:rPr>
          <w:rFonts w:eastAsia="Times New Roman"/>
          <w:b/>
          <w:iCs/>
          <w:color w:val="000000"/>
          <w:sz w:val="26"/>
          <w:szCs w:val="26"/>
          <w:lang w:eastAsia="ru-RU"/>
        </w:rPr>
        <w:t xml:space="preserve"> </w:t>
      </w:r>
    </w:p>
    <w:p w:rsidR="002E6821" w:rsidRPr="004761E0" w:rsidRDefault="00364823" w:rsidP="000228D8">
      <w:pPr>
        <w:spacing w:before="120" w:after="120"/>
        <w:ind w:firstLine="0"/>
        <w:rPr>
          <w:rFonts w:eastAsia="Times New Roman"/>
          <w:b/>
          <w:iCs/>
          <w:color w:val="000000"/>
          <w:sz w:val="26"/>
          <w:szCs w:val="26"/>
          <w:lang w:eastAsia="ru-RU"/>
        </w:rPr>
      </w:pPr>
      <w:r w:rsidRPr="004761E0">
        <w:rPr>
          <w:rFonts w:eastAsia="Times New Roman"/>
          <w:b/>
          <w:iCs/>
          <w:noProof/>
          <w:color w:val="000000"/>
          <w:sz w:val="26"/>
          <w:szCs w:val="26"/>
          <w:lang w:eastAsia="ru-RU"/>
        </w:rPr>
        <w:lastRenderedPageBreak/>
        <w:drawing>
          <wp:inline distT="0" distB="0" distL="0" distR="0">
            <wp:extent cx="2654521" cy="3124862"/>
            <wp:effectExtent l="19050" t="0" r="12479" b="0"/>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00B60BD9" w:rsidRPr="004761E0">
        <w:rPr>
          <w:rFonts w:eastAsia="Times New Roman"/>
          <w:b/>
          <w:iCs/>
          <w:color w:val="000000"/>
          <w:sz w:val="26"/>
          <w:szCs w:val="26"/>
          <w:lang w:eastAsia="ru-RU"/>
        </w:rPr>
        <w:t xml:space="preserve"> </w:t>
      </w:r>
      <w:r w:rsidR="00B60BD9" w:rsidRPr="004761E0">
        <w:rPr>
          <w:rFonts w:eastAsia="Times New Roman"/>
          <w:b/>
          <w:iCs/>
          <w:noProof/>
          <w:color w:val="000000"/>
          <w:sz w:val="26"/>
          <w:szCs w:val="26"/>
          <w:lang w:eastAsia="ru-RU"/>
        </w:rPr>
        <w:drawing>
          <wp:inline distT="0" distB="0" distL="0" distR="0">
            <wp:extent cx="2648898" cy="3123210"/>
            <wp:effectExtent l="19050" t="0" r="18102" b="990"/>
            <wp:docPr id="110"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70707B" w:rsidRPr="004761E0" w:rsidRDefault="000C7C84" w:rsidP="0070707B">
      <w:pPr>
        <w:ind w:firstLine="567"/>
        <w:rPr>
          <w:rFonts w:eastAsia="Times New Roman"/>
          <w:iCs/>
          <w:color w:val="000000"/>
          <w:sz w:val="26"/>
          <w:szCs w:val="26"/>
          <w:lang w:eastAsia="ru-RU"/>
        </w:rPr>
      </w:pPr>
      <w:r w:rsidRPr="004761E0">
        <w:rPr>
          <w:rFonts w:eastAsia="Times New Roman"/>
          <w:iCs/>
          <w:color w:val="000000"/>
          <w:sz w:val="26"/>
          <w:szCs w:val="26"/>
          <w:lang w:eastAsia="ru-RU"/>
        </w:rPr>
        <w:t xml:space="preserve">Выполнение </w:t>
      </w:r>
      <w:r w:rsidR="00BB09B5" w:rsidRPr="004761E0">
        <w:rPr>
          <w:rFonts w:eastAsia="Times New Roman"/>
          <w:iCs/>
          <w:color w:val="000000"/>
          <w:sz w:val="26"/>
          <w:szCs w:val="26"/>
          <w:lang w:eastAsia="ru-RU"/>
        </w:rPr>
        <w:t xml:space="preserve">мероприятий по повышению надежности </w:t>
      </w:r>
      <w:r w:rsidRPr="004761E0">
        <w:rPr>
          <w:rFonts w:eastAsia="Times New Roman"/>
          <w:iCs/>
          <w:color w:val="000000"/>
          <w:sz w:val="26"/>
          <w:szCs w:val="26"/>
          <w:lang w:eastAsia="ru-RU"/>
        </w:rPr>
        <w:t xml:space="preserve">позволило в 2013 году не допустить </w:t>
      </w:r>
      <w:r w:rsidR="00253C5F" w:rsidRPr="004761E0">
        <w:rPr>
          <w:rFonts w:eastAsia="Times New Roman"/>
          <w:iCs/>
          <w:color w:val="000000"/>
          <w:sz w:val="26"/>
          <w:szCs w:val="26"/>
          <w:lang w:eastAsia="ru-RU"/>
        </w:rPr>
        <w:t xml:space="preserve">крупных технологических нарушений </w:t>
      </w:r>
      <w:r w:rsidRPr="004761E0">
        <w:rPr>
          <w:rFonts w:eastAsia="Times New Roman"/>
          <w:iCs/>
          <w:color w:val="000000"/>
          <w:sz w:val="26"/>
          <w:szCs w:val="26"/>
          <w:lang w:eastAsia="ru-RU"/>
        </w:rPr>
        <w:t xml:space="preserve">и снизить общее количество технологических нарушений (аварий) по отношению к 2012 году. По результатам выполненных мероприятий снизилось </w:t>
      </w:r>
      <w:r w:rsidR="00253C5F" w:rsidRPr="004761E0">
        <w:rPr>
          <w:rFonts w:eastAsia="Times New Roman"/>
          <w:iCs/>
          <w:color w:val="000000"/>
          <w:sz w:val="26"/>
          <w:szCs w:val="26"/>
          <w:lang w:eastAsia="ru-RU"/>
        </w:rPr>
        <w:t>средне</w:t>
      </w:r>
      <w:r w:rsidRPr="004761E0">
        <w:rPr>
          <w:rFonts w:eastAsia="Times New Roman"/>
          <w:iCs/>
          <w:color w:val="000000"/>
          <w:sz w:val="26"/>
          <w:szCs w:val="26"/>
          <w:lang w:eastAsia="ru-RU"/>
        </w:rPr>
        <w:t xml:space="preserve">е </w:t>
      </w:r>
      <w:r w:rsidR="00253C5F" w:rsidRPr="004761E0">
        <w:rPr>
          <w:rFonts w:eastAsia="Times New Roman"/>
          <w:iCs/>
          <w:color w:val="000000"/>
          <w:sz w:val="26"/>
          <w:szCs w:val="26"/>
          <w:lang w:eastAsia="ru-RU"/>
        </w:rPr>
        <w:t>врем</w:t>
      </w:r>
      <w:r w:rsidRPr="004761E0">
        <w:rPr>
          <w:rFonts w:eastAsia="Times New Roman"/>
          <w:iCs/>
          <w:color w:val="000000"/>
          <w:sz w:val="26"/>
          <w:szCs w:val="26"/>
          <w:lang w:eastAsia="ru-RU"/>
        </w:rPr>
        <w:t>я</w:t>
      </w:r>
      <w:r w:rsidR="00253C5F" w:rsidRPr="004761E0">
        <w:rPr>
          <w:rFonts w:eastAsia="Times New Roman"/>
          <w:iCs/>
          <w:color w:val="000000"/>
          <w:sz w:val="26"/>
          <w:szCs w:val="26"/>
          <w:lang w:eastAsia="ru-RU"/>
        </w:rPr>
        <w:t xml:space="preserve"> восстановления </w:t>
      </w:r>
      <w:r w:rsidRPr="004761E0">
        <w:rPr>
          <w:rFonts w:eastAsia="Times New Roman"/>
          <w:iCs/>
          <w:color w:val="000000"/>
          <w:sz w:val="26"/>
          <w:szCs w:val="26"/>
          <w:lang w:eastAsia="ru-RU"/>
        </w:rPr>
        <w:t>электроснабжения и</w:t>
      </w:r>
      <w:r w:rsidR="00253C5F" w:rsidRPr="004761E0">
        <w:rPr>
          <w:rFonts w:eastAsia="Times New Roman"/>
          <w:iCs/>
          <w:color w:val="000000"/>
          <w:sz w:val="26"/>
          <w:szCs w:val="26"/>
          <w:lang w:eastAsia="ru-RU"/>
        </w:rPr>
        <w:t xml:space="preserve"> как следствие неодоотпуск электроэнергии. </w:t>
      </w:r>
    </w:p>
    <w:p w:rsidR="00253C5F" w:rsidRPr="004761E0" w:rsidRDefault="00253C5F" w:rsidP="0070707B">
      <w:pPr>
        <w:ind w:firstLine="567"/>
        <w:rPr>
          <w:rFonts w:eastAsia="Times New Roman"/>
          <w:iCs/>
          <w:color w:val="000000"/>
          <w:sz w:val="26"/>
          <w:szCs w:val="26"/>
          <w:lang w:eastAsia="ru-RU"/>
        </w:rPr>
      </w:pPr>
      <w:r w:rsidRPr="004761E0">
        <w:rPr>
          <w:rFonts w:eastAsia="Times New Roman"/>
          <w:iCs/>
          <w:color w:val="000000"/>
          <w:sz w:val="26"/>
          <w:szCs w:val="26"/>
          <w:lang w:eastAsia="ru-RU"/>
        </w:rPr>
        <w:t xml:space="preserve">Рост экономического ущерба обусловлен </w:t>
      </w:r>
      <w:r w:rsidR="00391B48" w:rsidRPr="004761E0">
        <w:rPr>
          <w:rFonts w:eastAsia="Times New Roman"/>
          <w:iCs/>
          <w:color w:val="000000"/>
          <w:sz w:val="26"/>
          <w:szCs w:val="26"/>
          <w:lang w:eastAsia="ru-RU"/>
        </w:rPr>
        <w:t>увеличением з</w:t>
      </w:r>
      <w:r w:rsidRPr="004761E0">
        <w:rPr>
          <w:rFonts w:eastAsia="Times New Roman"/>
          <w:iCs/>
          <w:color w:val="000000"/>
          <w:sz w:val="26"/>
          <w:szCs w:val="26"/>
          <w:lang w:eastAsia="ru-RU"/>
        </w:rPr>
        <w:t>атрат на ремонтно-восстановительные работы при ликвидации технологическ</w:t>
      </w:r>
      <w:r w:rsidR="00391B48" w:rsidRPr="004761E0">
        <w:rPr>
          <w:rFonts w:eastAsia="Times New Roman"/>
          <w:iCs/>
          <w:color w:val="000000"/>
          <w:sz w:val="26"/>
          <w:szCs w:val="26"/>
          <w:lang w:eastAsia="ru-RU"/>
        </w:rPr>
        <w:t>их</w:t>
      </w:r>
      <w:r w:rsidRPr="004761E0">
        <w:rPr>
          <w:rFonts w:eastAsia="Times New Roman"/>
          <w:iCs/>
          <w:color w:val="000000"/>
          <w:sz w:val="26"/>
          <w:szCs w:val="26"/>
          <w:lang w:eastAsia="ru-RU"/>
        </w:rPr>
        <w:t xml:space="preserve"> нарушени</w:t>
      </w:r>
      <w:r w:rsidR="00391B48" w:rsidRPr="004761E0">
        <w:rPr>
          <w:rFonts w:eastAsia="Times New Roman"/>
          <w:iCs/>
          <w:color w:val="000000"/>
          <w:sz w:val="26"/>
          <w:szCs w:val="26"/>
          <w:lang w:eastAsia="ru-RU"/>
        </w:rPr>
        <w:t>й</w:t>
      </w:r>
      <w:r w:rsidRPr="004761E0">
        <w:rPr>
          <w:rFonts w:eastAsia="Times New Roman"/>
          <w:iCs/>
          <w:color w:val="000000"/>
          <w:sz w:val="26"/>
          <w:szCs w:val="26"/>
          <w:lang w:eastAsia="ru-RU"/>
        </w:rPr>
        <w:t xml:space="preserve"> (авари</w:t>
      </w:r>
      <w:r w:rsidR="00391B48" w:rsidRPr="004761E0">
        <w:rPr>
          <w:rFonts w:eastAsia="Times New Roman"/>
          <w:iCs/>
          <w:color w:val="000000"/>
          <w:sz w:val="26"/>
          <w:szCs w:val="26"/>
          <w:lang w:eastAsia="ru-RU"/>
        </w:rPr>
        <w:t>й</w:t>
      </w:r>
      <w:r w:rsidRPr="004761E0">
        <w:rPr>
          <w:rFonts w:eastAsia="Times New Roman"/>
          <w:iCs/>
          <w:color w:val="000000"/>
          <w:sz w:val="26"/>
          <w:szCs w:val="26"/>
          <w:lang w:eastAsia="ru-RU"/>
        </w:rPr>
        <w:t>), величина котор</w:t>
      </w:r>
      <w:r w:rsidR="001D284C" w:rsidRPr="004761E0">
        <w:rPr>
          <w:rFonts w:eastAsia="Times New Roman"/>
          <w:iCs/>
          <w:color w:val="000000"/>
          <w:sz w:val="26"/>
          <w:szCs w:val="26"/>
          <w:lang w:eastAsia="ru-RU"/>
        </w:rPr>
        <w:t>ых</w:t>
      </w:r>
      <w:r w:rsidRPr="004761E0">
        <w:rPr>
          <w:rFonts w:eastAsia="Times New Roman"/>
          <w:iCs/>
          <w:color w:val="000000"/>
          <w:sz w:val="26"/>
          <w:szCs w:val="26"/>
          <w:lang w:eastAsia="ru-RU"/>
        </w:rPr>
        <w:t xml:space="preserve"> зависит от объема повреждений при конкретной аварии, типа и марки поврежденного оборудования, количества задействованного персонала и техники на ликвидацию аварии, а не от количества аварий.</w:t>
      </w:r>
    </w:p>
    <w:p w:rsidR="004E1EBC" w:rsidRPr="00B20C95" w:rsidRDefault="00007CB1" w:rsidP="00B20C95">
      <w:pPr>
        <w:spacing w:before="120" w:after="120"/>
        <w:ind w:firstLine="567"/>
        <w:rPr>
          <w:b/>
          <w:sz w:val="26"/>
          <w:szCs w:val="26"/>
          <w:lang w:eastAsia="ru-RU"/>
        </w:rPr>
      </w:pPr>
      <w:r w:rsidRPr="00B20C95">
        <w:rPr>
          <w:b/>
          <w:sz w:val="26"/>
          <w:szCs w:val="26"/>
          <w:lang w:eastAsia="ru-RU"/>
        </w:rPr>
        <w:t>Основные причины технологических нарушений</w:t>
      </w:r>
      <w:r w:rsidR="000C7C84" w:rsidRPr="00B20C95">
        <w:rPr>
          <w:b/>
          <w:sz w:val="26"/>
          <w:szCs w:val="26"/>
          <w:lang w:eastAsia="ru-RU"/>
        </w:rPr>
        <w:t xml:space="preserve"> (аварий)</w:t>
      </w:r>
    </w:p>
    <w:tbl>
      <w:tblPr>
        <w:tblW w:w="9936" w:type="dxa"/>
        <w:tblInd w:w="95" w:type="dxa"/>
        <w:tblLook w:val="04A0"/>
      </w:tblPr>
      <w:tblGrid>
        <w:gridCol w:w="580"/>
        <w:gridCol w:w="4962"/>
        <w:gridCol w:w="1134"/>
        <w:gridCol w:w="1134"/>
        <w:gridCol w:w="992"/>
        <w:gridCol w:w="1134"/>
      </w:tblGrid>
      <w:tr w:rsidR="00007CB1" w:rsidRPr="004761E0" w:rsidTr="00F2772C">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007CB1" w:rsidRPr="004761E0" w:rsidRDefault="00007CB1" w:rsidP="00F2772C">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496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007CB1" w:rsidRPr="004761E0" w:rsidRDefault="00007CB1" w:rsidP="00F2772C">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007CB1" w:rsidRPr="004761E0" w:rsidRDefault="00007CB1" w:rsidP="00F2772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007CB1" w:rsidRPr="004761E0" w:rsidRDefault="00007CB1" w:rsidP="00F2772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99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007CB1" w:rsidRPr="004761E0" w:rsidRDefault="00007CB1" w:rsidP="00F2772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007CB1" w:rsidRPr="004761E0" w:rsidRDefault="00007CB1" w:rsidP="00F2772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007CB1" w:rsidRPr="004761E0" w:rsidTr="00007CB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07CB1" w:rsidRPr="004761E0" w:rsidRDefault="00007CB1" w:rsidP="007076A7">
            <w:pPr>
              <w:numPr>
                <w:ilvl w:val="0"/>
                <w:numId w:val="129"/>
              </w:numPr>
              <w:jc w:val="left"/>
              <w:rPr>
                <w:rFonts w:eastAsia="Times New Roman"/>
                <w:color w:val="000000"/>
                <w:sz w:val="20"/>
                <w:szCs w:val="20"/>
                <w:lang w:eastAsia="ru-RU"/>
              </w:rPr>
            </w:pPr>
          </w:p>
        </w:tc>
        <w:tc>
          <w:tcPr>
            <w:tcW w:w="4962" w:type="dxa"/>
            <w:tcBorders>
              <w:top w:val="nil"/>
              <w:left w:val="nil"/>
              <w:bottom w:val="single" w:sz="4" w:space="0" w:color="auto"/>
              <w:right w:val="single" w:sz="4" w:space="0" w:color="auto"/>
            </w:tcBorders>
            <w:shd w:val="clear" w:color="auto" w:fill="auto"/>
            <w:vAlign w:val="center"/>
            <w:hideMark/>
          </w:tcPr>
          <w:p w:rsidR="00007CB1" w:rsidRPr="004761E0" w:rsidRDefault="000228D8" w:rsidP="000228D8">
            <w:pPr>
              <w:ind w:firstLine="0"/>
              <w:jc w:val="left"/>
              <w:rPr>
                <w:rFonts w:eastAsia="Times New Roman"/>
                <w:color w:val="000000"/>
                <w:sz w:val="20"/>
                <w:szCs w:val="20"/>
                <w:lang w:eastAsia="ru-RU"/>
              </w:rPr>
            </w:pPr>
            <w:r w:rsidRPr="004761E0">
              <w:rPr>
                <w:rFonts w:eastAsia="Times New Roman"/>
                <w:color w:val="000000"/>
                <w:sz w:val="20"/>
                <w:szCs w:val="20"/>
                <w:lang w:eastAsia="ru-RU"/>
              </w:rPr>
              <w:t>Количество т</w:t>
            </w:r>
            <w:r w:rsidR="00007CB1" w:rsidRPr="004761E0">
              <w:rPr>
                <w:rFonts w:eastAsia="Times New Roman"/>
                <w:color w:val="000000"/>
                <w:sz w:val="20"/>
                <w:szCs w:val="20"/>
                <w:lang w:eastAsia="ru-RU"/>
              </w:rPr>
              <w:t>ехнологических нарушений, шт. (всего), в т.ч.:</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8 570</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7 688</w:t>
            </w:r>
          </w:p>
        </w:tc>
        <w:tc>
          <w:tcPr>
            <w:tcW w:w="992"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7 357</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-4,31 %</w:t>
            </w:r>
          </w:p>
        </w:tc>
      </w:tr>
      <w:tr w:rsidR="00007CB1" w:rsidRPr="004761E0" w:rsidTr="00007CB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07CB1" w:rsidRPr="004761E0" w:rsidRDefault="00007CB1" w:rsidP="007076A7">
            <w:pPr>
              <w:pStyle w:val="a5"/>
              <w:numPr>
                <w:ilvl w:val="1"/>
                <w:numId w:val="129"/>
              </w:numPr>
              <w:jc w:val="left"/>
              <w:rPr>
                <w:rFonts w:eastAsia="Times New Roman"/>
                <w:color w:val="000000"/>
                <w:sz w:val="20"/>
                <w:szCs w:val="20"/>
                <w:lang w:eastAsia="ru-RU"/>
              </w:rPr>
            </w:pPr>
          </w:p>
        </w:tc>
        <w:tc>
          <w:tcPr>
            <w:tcW w:w="4962"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318"/>
              <w:jc w:val="left"/>
              <w:rPr>
                <w:rFonts w:eastAsia="Times New Roman"/>
                <w:color w:val="333333"/>
                <w:sz w:val="20"/>
                <w:szCs w:val="20"/>
                <w:lang w:eastAsia="ru-RU"/>
              </w:rPr>
            </w:pPr>
            <w:r w:rsidRPr="004761E0">
              <w:rPr>
                <w:rFonts w:eastAsia="Times New Roman"/>
                <w:color w:val="333333"/>
                <w:sz w:val="20"/>
                <w:szCs w:val="20"/>
                <w:lang w:eastAsia="ru-RU"/>
              </w:rPr>
              <w:t>естественный износ</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2 159</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2 999</w:t>
            </w:r>
          </w:p>
        </w:tc>
        <w:tc>
          <w:tcPr>
            <w:tcW w:w="992"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2 339</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-22,01 %</w:t>
            </w:r>
          </w:p>
        </w:tc>
      </w:tr>
      <w:tr w:rsidR="00007CB1" w:rsidRPr="004761E0" w:rsidTr="00007CB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07CB1" w:rsidRPr="004761E0" w:rsidRDefault="00007CB1" w:rsidP="007076A7">
            <w:pPr>
              <w:pStyle w:val="a5"/>
              <w:numPr>
                <w:ilvl w:val="1"/>
                <w:numId w:val="129"/>
              </w:numPr>
              <w:jc w:val="left"/>
              <w:rPr>
                <w:rFonts w:eastAsia="Times New Roman"/>
                <w:color w:val="000000"/>
                <w:sz w:val="20"/>
                <w:szCs w:val="20"/>
                <w:lang w:eastAsia="ru-RU"/>
              </w:rPr>
            </w:pPr>
          </w:p>
        </w:tc>
        <w:tc>
          <w:tcPr>
            <w:tcW w:w="4962"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F2772C">
            <w:pPr>
              <w:ind w:firstLine="318"/>
              <w:jc w:val="left"/>
              <w:rPr>
                <w:rFonts w:eastAsia="Times New Roman"/>
                <w:color w:val="333333"/>
                <w:sz w:val="20"/>
                <w:szCs w:val="20"/>
                <w:lang w:eastAsia="ru-RU"/>
              </w:rPr>
            </w:pPr>
            <w:r w:rsidRPr="004761E0">
              <w:rPr>
                <w:rFonts w:eastAsia="Times New Roman"/>
                <w:color w:val="333333"/>
                <w:sz w:val="20"/>
                <w:szCs w:val="20"/>
                <w:lang w:eastAsia="ru-RU"/>
              </w:rPr>
              <w:t>пробои изоляции</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F2772C">
            <w:pPr>
              <w:ind w:firstLine="0"/>
              <w:jc w:val="right"/>
              <w:rPr>
                <w:bCs/>
                <w:sz w:val="20"/>
                <w:szCs w:val="20"/>
              </w:rPr>
            </w:pPr>
            <w:r w:rsidRPr="004761E0">
              <w:rPr>
                <w:bCs/>
                <w:sz w:val="20"/>
                <w:szCs w:val="20"/>
              </w:rPr>
              <w:t>763</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F2772C">
            <w:pPr>
              <w:ind w:firstLine="0"/>
              <w:jc w:val="right"/>
              <w:rPr>
                <w:bCs/>
                <w:sz w:val="20"/>
                <w:szCs w:val="20"/>
              </w:rPr>
            </w:pPr>
            <w:r w:rsidRPr="004761E0">
              <w:rPr>
                <w:bCs/>
                <w:sz w:val="20"/>
                <w:szCs w:val="20"/>
              </w:rPr>
              <w:t>539</w:t>
            </w:r>
          </w:p>
        </w:tc>
        <w:tc>
          <w:tcPr>
            <w:tcW w:w="992"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F2772C">
            <w:pPr>
              <w:ind w:firstLine="0"/>
              <w:jc w:val="right"/>
              <w:rPr>
                <w:bCs/>
                <w:sz w:val="20"/>
                <w:szCs w:val="20"/>
              </w:rPr>
            </w:pPr>
            <w:r w:rsidRPr="004761E0">
              <w:rPr>
                <w:bCs/>
                <w:sz w:val="20"/>
                <w:szCs w:val="20"/>
              </w:rPr>
              <w:t>1 150</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F2772C">
            <w:pPr>
              <w:ind w:firstLine="0"/>
              <w:jc w:val="right"/>
              <w:rPr>
                <w:bCs/>
                <w:sz w:val="20"/>
                <w:szCs w:val="20"/>
              </w:rPr>
            </w:pPr>
            <w:r w:rsidRPr="004761E0">
              <w:rPr>
                <w:bCs/>
                <w:sz w:val="20"/>
                <w:szCs w:val="20"/>
              </w:rPr>
              <w:t>113,36 %</w:t>
            </w:r>
          </w:p>
        </w:tc>
      </w:tr>
      <w:tr w:rsidR="00007CB1" w:rsidRPr="004761E0" w:rsidTr="00007CB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07CB1" w:rsidRPr="004761E0" w:rsidRDefault="00007CB1" w:rsidP="007076A7">
            <w:pPr>
              <w:pStyle w:val="a5"/>
              <w:numPr>
                <w:ilvl w:val="1"/>
                <w:numId w:val="129"/>
              </w:numPr>
              <w:jc w:val="left"/>
              <w:rPr>
                <w:rFonts w:eastAsia="Times New Roman"/>
                <w:color w:val="000000"/>
                <w:sz w:val="20"/>
                <w:szCs w:val="20"/>
                <w:lang w:eastAsia="ru-RU"/>
              </w:rPr>
            </w:pPr>
          </w:p>
        </w:tc>
        <w:tc>
          <w:tcPr>
            <w:tcW w:w="4962" w:type="dxa"/>
            <w:tcBorders>
              <w:top w:val="nil"/>
              <w:left w:val="nil"/>
              <w:bottom w:val="single" w:sz="4" w:space="0" w:color="auto"/>
              <w:right w:val="single" w:sz="4" w:space="0" w:color="auto"/>
            </w:tcBorders>
            <w:shd w:val="clear" w:color="auto" w:fill="auto"/>
            <w:vAlign w:val="center"/>
            <w:hideMark/>
          </w:tcPr>
          <w:p w:rsidR="00007CB1" w:rsidRPr="004761E0" w:rsidRDefault="00253C5F" w:rsidP="00253C5F">
            <w:pPr>
              <w:ind w:firstLine="318"/>
              <w:jc w:val="left"/>
              <w:rPr>
                <w:rFonts w:eastAsia="Times New Roman"/>
                <w:color w:val="333333"/>
                <w:sz w:val="20"/>
                <w:szCs w:val="20"/>
                <w:lang w:eastAsia="ru-RU"/>
              </w:rPr>
            </w:pPr>
            <w:r w:rsidRPr="004761E0">
              <w:rPr>
                <w:rFonts w:eastAsia="Times New Roman"/>
                <w:color w:val="333333"/>
                <w:sz w:val="20"/>
                <w:szCs w:val="20"/>
                <w:lang w:eastAsia="ru-RU"/>
              </w:rPr>
              <w:t>посторонние воздействия</w:t>
            </w:r>
            <w:r w:rsidRPr="006F4AB8">
              <w:rPr>
                <w:rStyle w:val="af1"/>
              </w:rPr>
              <w:footnoteReference w:id="47"/>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1 430</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1 160</w:t>
            </w:r>
          </w:p>
        </w:tc>
        <w:tc>
          <w:tcPr>
            <w:tcW w:w="992"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791</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-31,81 %</w:t>
            </w:r>
          </w:p>
        </w:tc>
      </w:tr>
      <w:tr w:rsidR="00007CB1" w:rsidRPr="004761E0" w:rsidTr="00007CB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07CB1" w:rsidRPr="004761E0" w:rsidRDefault="00007CB1" w:rsidP="007076A7">
            <w:pPr>
              <w:pStyle w:val="a5"/>
              <w:numPr>
                <w:ilvl w:val="1"/>
                <w:numId w:val="129"/>
              </w:numPr>
              <w:jc w:val="left"/>
              <w:rPr>
                <w:rFonts w:eastAsia="Times New Roman"/>
                <w:color w:val="000000"/>
                <w:sz w:val="20"/>
                <w:szCs w:val="20"/>
                <w:lang w:eastAsia="ru-RU"/>
              </w:rPr>
            </w:pPr>
          </w:p>
        </w:tc>
        <w:tc>
          <w:tcPr>
            <w:tcW w:w="4962"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318"/>
              <w:jc w:val="left"/>
              <w:rPr>
                <w:rFonts w:eastAsia="Times New Roman"/>
                <w:color w:val="333333"/>
                <w:sz w:val="20"/>
                <w:szCs w:val="20"/>
                <w:lang w:eastAsia="ru-RU"/>
              </w:rPr>
            </w:pPr>
            <w:r w:rsidRPr="004761E0">
              <w:rPr>
                <w:rFonts w:eastAsia="Times New Roman"/>
                <w:color w:val="333333"/>
                <w:sz w:val="20"/>
                <w:szCs w:val="20"/>
                <w:lang w:eastAsia="ru-RU"/>
              </w:rPr>
              <w:t xml:space="preserve">падение деревьев </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1 760</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768</w:t>
            </w:r>
          </w:p>
        </w:tc>
        <w:tc>
          <w:tcPr>
            <w:tcW w:w="992"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281</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-63,41 %</w:t>
            </w:r>
          </w:p>
        </w:tc>
      </w:tr>
      <w:tr w:rsidR="00007CB1" w:rsidRPr="004761E0" w:rsidTr="00007CB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07CB1" w:rsidRPr="004761E0" w:rsidRDefault="00007CB1" w:rsidP="007076A7">
            <w:pPr>
              <w:pStyle w:val="a5"/>
              <w:numPr>
                <w:ilvl w:val="1"/>
                <w:numId w:val="129"/>
              </w:numPr>
              <w:jc w:val="left"/>
              <w:rPr>
                <w:rFonts w:eastAsia="Times New Roman"/>
                <w:color w:val="000000"/>
                <w:sz w:val="20"/>
                <w:szCs w:val="20"/>
                <w:lang w:eastAsia="ru-RU"/>
              </w:rPr>
            </w:pPr>
          </w:p>
        </w:tc>
        <w:tc>
          <w:tcPr>
            <w:tcW w:w="4962"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318"/>
              <w:jc w:val="left"/>
              <w:rPr>
                <w:rFonts w:eastAsia="Times New Roman"/>
                <w:color w:val="333333"/>
                <w:sz w:val="20"/>
                <w:szCs w:val="20"/>
                <w:lang w:eastAsia="ru-RU"/>
              </w:rPr>
            </w:pPr>
            <w:r w:rsidRPr="004761E0">
              <w:rPr>
                <w:rFonts w:eastAsia="Times New Roman"/>
                <w:color w:val="333333"/>
                <w:sz w:val="20"/>
                <w:szCs w:val="20"/>
                <w:lang w:eastAsia="ru-RU"/>
              </w:rPr>
              <w:t>прочие</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2 458</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2 222</w:t>
            </w:r>
          </w:p>
        </w:tc>
        <w:tc>
          <w:tcPr>
            <w:tcW w:w="992"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2 796</w:t>
            </w:r>
          </w:p>
        </w:tc>
        <w:tc>
          <w:tcPr>
            <w:tcW w:w="1134" w:type="dxa"/>
            <w:tcBorders>
              <w:top w:val="nil"/>
              <w:left w:val="nil"/>
              <w:bottom w:val="single" w:sz="4" w:space="0" w:color="auto"/>
              <w:right w:val="single" w:sz="4" w:space="0" w:color="auto"/>
            </w:tcBorders>
            <w:shd w:val="clear" w:color="auto" w:fill="auto"/>
            <w:vAlign w:val="center"/>
            <w:hideMark/>
          </w:tcPr>
          <w:p w:rsidR="00007CB1" w:rsidRPr="004761E0" w:rsidRDefault="00007CB1" w:rsidP="00007CB1">
            <w:pPr>
              <w:ind w:firstLine="0"/>
              <w:jc w:val="right"/>
              <w:rPr>
                <w:bCs/>
                <w:sz w:val="20"/>
                <w:szCs w:val="20"/>
              </w:rPr>
            </w:pPr>
            <w:r w:rsidRPr="004761E0">
              <w:rPr>
                <w:bCs/>
                <w:sz w:val="20"/>
                <w:szCs w:val="20"/>
              </w:rPr>
              <w:t>25,83 %</w:t>
            </w:r>
          </w:p>
        </w:tc>
      </w:tr>
    </w:tbl>
    <w:p w:rsidR="000C7C84" w:rsidRPr="004761E0" w:rsidRDefault="000C7C84" w:rsidP="000C7C84">
      <w:pPr>
        <w:ind w:firstLine="0"/>
        <w:rPr>
          <w:sz w:val="26"/>
          <w:szCs w:val="26"/>
          <w:lang w:eastAsia="ru-RU"/>
        </w:rPr>
      </w:pPr>
      <w:r w:rsidRPr="004761E0">
        <w:rPr>
          <w:noProof/>
          <w:sz w:val="26"/>
          <w:szCs w:val="26"/>
          <w:lang w:eastAsia="ru-RU"/>
        </w:rPr>
        <w:lastRenderedPageBreak/>
        <w:drawing>
          <wp:inline distT="0" distB="0" distL="0" distR="0">
            <wp:extent cx="2652588" cy="2902226"/>
            <wp:effectExtent l="19050" t="0" r="14412" b="0"/>
            <wp:docPr id="12" name="Диаграмма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4761E0">
        <w:rPr>
          <w:sz w:val="26"/>
          <w:szCs w:val="26"/>
          <w:lang w:eastAsia="ru-RU"/>
        </w:rPr>
        <w:t xml:space="preserve"> </w:t>
      </w:r>
      <w:r w:rsidRPr="004761E0">
        <w:rPr>
          <w:noProof/>
          <w:sz w:val="26"/>
          <w:szCs w:val="26"/>
          <w:lang w:eastAsia="ru-RU"/>
        </w:rPr>
        <w:drawing>
          <wp:inline distT="0" distB="0" distL="0" distR="0">
            <wp:extent cx="3105150" cy="2905125"/>
            <wp:effectExtent l="19050" t="0" r="19050" b="0"/>
            <wp:docPr id="13"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B85C36" w:rsidRPr="004761E0" w:rsidRDefault="00BB09B5" w:rsidP="00253C5F">
      <w:pPr>
        <w:rPr>
          <w:sz w:val="26"/>
          <w:szCs w:val="26"/>
          <w:lang w:eastAsia="ru-RU"/>
        </w:rPr>
      </w:pPr>
      <w:r w:rsidRPr="004761E0">
        <w:rPr>
          <w:sz w:val="26"/>
          <w:szCs w:val="26"/>
          <w:lang w:eastAsia="ru-RU"/>
        </w:rPr>
        <w:t xml:space="preserve">Уменьшение аварий по причине естественного износа на 22,01 % до 2 339 шт. обусловлено </w:t>
      </w:r>
      <w:r w:rsidR="00760E5A" w:rsidRPr="004761E0">
        <w:rPr>
          <w:sz w:val="26"/>
          <w:szCs w:val="26"/>
          <w:lang w:eastAsia="ru-RU"/>
        </w:rPr>
        <w:t xml:space="preserve">реализацией ремонтной и инвестиционной программ, выполнением </w:t>
      </w:r>
      <w:r w:rsidR="00253C5F" w:rsidRPr="004761E0">
        <w:rPr>
          <w:sz w:val="26"/>
          <w:szCs w:val="26"/>
          <w:lang w:eastAsia="ru-RU"/>
        </w:rPr>
        <w:t>работ по своевременной диагностик</w:t>
      </w:r>
      <w:r w:rsidR="0000440B" w:rsidRPr="004761E0">
        <w:rPr>
          <w:sz w:val="26"/>
          <w:szCs w:val="26"/>
          <w:lang w:eastAsia="ru-RU"/>
        </w:rPr>
        <w:t>е</w:t>
      </w:r>
      <w:r w:rsidR="00253C5F" w:rsidRPr="004761E0">
        <w:rPr>
          <w:sz w:val="26"/>
          <w:szCs w:val="26"/>
          <w:lang w:eastAsia="ru-RU"/>
        </w:rPr>
        <w:t xml:space="preserve"> оборудования</w:t>
      </w:r>
      <w:r w:rsidRPr="004761E0">
        <w:rPr>
          <w:sz w:val="26"/>
          <w:szCs w:val="26"/>
          <w:lang w:eastAsia="ru-RU"/>
        </w:rPr>
        <w:t xml:space="preserve">, которая </w:t>
      </w:r>
      <w:r w:rsidR="00253C5F" w:rsidRPr="004761E0">
        <w:rPr>
          <w:sz w:val="26"/>
          <w:szCs w:val="26"/>
          <w:lang w:eastAsia="ru-RU"/>
        </w:rPr>
        <w:t>позволил</w:t>
      </w:r>
      <w:r w:rsidRPr="004761E0">
        <w:rPr>
          <w:sz w:val="26"/>
          <w:szCs w:val="26"/>
          <w:lang w:eastAsia="ru-RU"/>
        </w:rPr>
        <w:t>а</w:t>
      </w:r>
      <w:r w:rsidR="00253C5F" w:rsidRPr="004761E0">
        <w:rPr>
          <w:sz w:val="26"/>
          <w:szCs w:val="26"/>
          <w:lang w:eastAsia="ru-RU"/>
        </w:rPr>
        <w:t xml:space="preserve"> выявлять дефекты на ранних стадиях и планово выводить оборудование в ремонт</w:t>
      </w:r>
      <w:r w:rsidRPr="004761E0">
        <w:rPr>
          <w:sz w:val="26"/>
          <w:szCs w:val="26"/>
          <w:lang w:eastAsia="ru-RU"/>
        </w:rPr>
        <w:t>.</w:t>
      </w:r>
      <w:r w:rsidR="00253C5F" w:rsidRPr="004761E0">
        <w:rPr>
          <w:sz w:val="26"/>
          <w:szCs w:val="26"/>
          <w:lang w:eastAsia="ru-RU"/>
        </w:rPr>
        <w:t xml:space="preserve"> </w:t>
      </w:r>
    </w:p>
    <w:p w:rsidR="00B85C36" w:rsidRPr="004761E0" w:rsidRDefault="00BB09B5" w:rsidP="00253C5F">
      <w:pPr>
        <w:rPr>
          <w:sz w:val="26"/>
          <w:szCs w:val="26"/>
          <w:lang w:eastAsia="ru-RU"/>
        </w:rPr>
      </w:pPr>
      <w:r w:rsidRPr="004761E0">
        <w:rPr>
          <w:sz w:val="26"/>
          <w:szCs w:val="26"/>
          <w:lang w:eastAsia="ru-RU"/>
        </w:rPr>
        <w:t>К</w:t>
      </w:r>
      <w:r w:rsidR="00253C5F" w:rsidRPr="004761E0">
        <w:rPr>
          <w:sz w:val="26"/>
          <w:szCs w:val="26"/>
          <w:lang w:eastAsia="ru-RU"/>
        </w:rPr>
        <w:t>оличество отключений по причине посторонних воздействий</w:t>
      </w:r>
      <w:r w:rsidRPr="004761E0">
        <w:rPr>
          <w:sz w:val="26"/>
          <w:szCs w:val="26"/>
          <w:lang w:eastAsia="ru-RU"/>
        </w:rPr>
        <w:t xml:space="preserve"> снизилось на 31,81</w:t>
      </w:r>
      <w:r w:rsidR="006C1AA1">
        <w:rPr>
          <w:sz w:val="26"/>
          <w:szCs w:val="26"/>
          <w:lang w:eastAsia="ru-RU"/>
        </w:rPr>
        <w:t> </w:t>
      </w:r>
      <w:r w:rsidRPr="004761E0">
        <w:rPr>
          <w:sz w:val="26"/>
          <w:szCs w:val="26"/>
          <w:lang w:eastAsia="ru-RU"/>
        </w:rPr>
        <w:t xml:space="preserve">% до 791 шт. в связи с проведением учащенных обходов трасс ВЛ и КЛ </w:t>
      </w:r>
      <w:r w:rsidR="00B85C36" w:rsidRPr="004761E0">
        <w:rPr>
          <w:sz w:val="26"/>
          <w:szCs w:val="26"/>
          <w:lang w:eastAsia="ru-RU"/>
        </w:rPr>
        <w:t xml:space="preserve">для выявления </w:t>
      </w:r>
      <w:r w:rsidRPr="004761E0">
        <w:rPr>
          <w:sz w:val="26"/>
          <w:szCs w:val="26"/>
          <w:lang w:eastAsia="ru-RU"/>
        </w:rPr>
        <w:t>несанкционированных работ в охранных зонах</w:t>
      </w:r>
      <w:r w:rsidR="00253C5F" w:rsidRPr="004761E0">
        <w:rPr>
          <w:sz w:val="26"/>
          <w:szCs w:val="26"/>
          <w:lang w:eastAsia="ru-RU"/>
        </w:rPr>
        <w:t xml:space="preserve">. </w:t>
      </w:r>
    </w:p>
    <w:p w:rsidR="00B85C36" w:rsidRPr="004761E0" w:rsidRDefault="00253C5F" w:rsidP="00253C5F">
      <w:pPr>
        <w:rPr>
          <w:sz w:val="26"/>
          <w:szCs w:val="26"/>
          <w:lang w:eastAsia="ru-RU"/>
        </w:rPr>
      </w:pPr>
      <w:r w:rsidRPr="004761E0">
        <w:rPr>
          <w:sz w:val="26"/>
          <w:szCs w:val="26"/>
          <w:lang w:eastAsia="ru-RU"/>
        </w:rPr>
        <w:t xml:space="preserve">Снижение количества отключений по причине падения деревьев </w:t>
      </w:r>
      <w:r w:rsidR="00B85C36" w:rsidRPr="004761E0">
        <w:rPr>
          <w:sz w:val="26"/>
          <w:szCs w:val="26"/>
          <w:lang w:eastAsia="ru-RU"/>
        </w:rPr>
        <w:t xml:space="preserve">на 63,41 % до  281 шт. обусловлено проведением описанных выше </w:t>
      </w:r>
      <w:r w:rsidRPr="004761E0">
        <w:rPr>
          <w:sz w:val="26"/>
          <w:szCs w:val="26"/>
          <w:lang w:eastAsia="ru-RU"/>
        </w:rPr>
        <w:t>работ по расчистке</w:t>
      </w:r>
      <w:r w:rsidR="00B85C36" w:rsidRPr="004761E0">
        <w:rPr>
          <w:sz w:val="26"/>
          <w:szCs w:val="26"/>
          <w:lang w:eastAsia="ru-RU"/>
        </w:rPr>
        <w:t xml:space="preserve"> и </w:t>
      </w:r>
      <w:r w:rsidRPr="004761E0">
        <w:rPr>
          <w:sz w:val="26"/>
          <w:szCs w:val="26"/>
          <w:lang w:eastAsia="ru-RU"/>
        </w:rPr>
        <w:t xml:space="preserve">расширению просек на ВЛ 6-220 кВ, замене неизолированных проводов на СИП. </w:t>
      </w:r>
    </w:p>
    <w:p w:rsidR="008C0C74" w:rsidRPr="00B6020E" w:rsidRDefault="00253C5F" w:rsidP="008C0C74">
      <w:pPr>
        <w:rPr>
          <w:sz w:val="26"/>
          <w:szCs w:val="26"/>
          <w:lang w:eastAsia="ru-RU"/>
        </w:rPr>
      </w:pPr>
      <w:r w:rsidRPr="004761E0">
        <w:rPr>
          <w:sz w:val="26"/>
          <w:szCs w:val="26"/>
          <w:lang w:eastAsia="ru-RU"/>
        </w:rPr>
        <w:t xml:space="preserve">Рост </w:t>
      </w:r>
      <w:r w:rsidR="00B85C36" w:rsidRPr="004761E0">
        <w:rPr>
          <w:sz w:val="26"/>
          <w:szCs w:val="26"/>
          <w:lang w:eastAsia="ru-RU"/>
        </w:rPr>
        <w:t xml:space="preserve">технологических нарушений по причине </w:t>
      </w:r>
      <w:r w:rsidRPr="004761E0">
        <w:rPr>
          <w:sz w:val="26"/>
          <w:szCs w:val="26"/>
          <w:lang w:eastAsia="ru-RU"/>
        </w:rPr>
        <w:t xml:space="preserve">пробоя изоляции </w:t>
      </w:r>
      <w:r w:rsidR="00B85C36" w:rsidRPr="004761E0">
        <w:rPr>
          <w:sz w:val="26"/>
          <w:szCs w:val="26"/>
          <w:lang w:eastAsia="ru-RU"/>
        </w:rPr>
        <w:t xml:space="preserve">на 113,36 % до 1 150 шт. в основном </w:t>
      </w:r>
      <w:r w:rsidRPr="004761E0">
        <w:rPr>
          <w:sz w:val="26"/>
          <w:szCs w:val="26"/>
          <w:lang w:eastAsia="ru-RU"/>
        </w:rPr>
        <w:t xml:space="preserve">обусловлен </w:t>
      </w:r>
      <w:r w:rsidR="00B85C36" w:rsidRPr="004761E0">
        <w:rPr>
          <w:sz w:val="26"/>
          <w:szCs w:val="26"/>
          <w:lang w:eastAsia="ru-RU"/>
        </w:rPr>
        <w:t>разрытием грунта</w:t>
      </w:r>
      <w:r w:rsidR="00B85C36" w:rsidRPr="006F4AB8">
        <w:rPr>
          <w:rStyle w:val="af1"/>
        </w:rPr>
        <w:footnoteReference w:id="48"/>
      </w:r>
      <w:r w:rsidR="00B85C36" w:rsidRPr="004761E0">
        <w:rPr>
          <w:sz w:val="26"/>
          <w:szCs w:val="26"/>
          <w:lang w:eastAsia="ru-RU"/>
        </w:rPr>
        <w:t xml:space="preserve"> вблизи трасс КЛ 6-10 кВ при </w:t>
      </w:r>
      <w:r w:rsidRPr="004761E0">
        <w:rPr>
          <w:sz w:val="26"/>
          <w:szCs w:val="26"/>
          <w:lang w:eastAsia="ru-RU"/>
        </w:rPr>
        <w:t>проведени</w:t>
      </w:r>
      <w:r w:rsidR="00B85C36" w:rsidRPr="004761E0">
        <w:rPr>
          <w:sz w:val="26"/>
          <w:szCs w:val="26"/>
          <w:lang w:eastAsia="ru-RU"/>
        </w:rPr>
        <w:t xml:space="preserve">и работ в рамках </w:t>
      </w:r>
      <w:r w:rsidRPr="004761E0">
        <w:rPr>
          <w:sz w:val="26"/>
          <w:szCs w:val="26"/>
          <w:lang w:eastAsia="ru-RU"/>
        </w:rPr>
        <w:t xml:space="preserve">городских программ по реконструкции сети освещения дворов жилых домов, строительства </w:t>
      </w:r>
      <w:r w:rsidR="0000440B" w:rsidRPr="004761E0">
        <w:rPr>
          <w:sz w:val="26"/>
          <w:szCs w:val="26"/>
          <w:lang w:eastAsia="ru-RU"/>
        </w:rPr>
        <w:t>«</w:t>
      </w:r>
      <w:r w:rsidRPr="004761E0">
        <w:rPr>
          <w:sz w:val="26"/>
          <w:szCs w:val="26"/>
          <w:lang w:eastAsia="ru-RU"/>
        </w:rPr>
        <w:t>вылетных</w:t>
      </w:r>
      <w:r w:rsidR="0000440B" w:rsidRPr="004761E0">
        <w:rPr>
          <w:sz w:val="26"/>
          <w:szCs w:val="26"/>
          <w:lang w:eastAsia="ru-RU"/>
        </w:rPr>
        <w:t>»</w:t>
      </w:r>
      <w:r w:rsidRPr="004761E0">
        <w:rPr>
          <w:sz w:val="26"/>
          <w:szCs w:val="26"/>
          <w:lang w:eastAsia="ru-RU"/>
        </w:rPr>
        <w:t xml:space="preserve"> магистралей</w:t>
      </w:r>
      <w:r w:rsidR="00B85C36" w:rsidRPr="004761E0">
        <w:rPr>
          <w:sz w:val="26"/>
          <w:szCs w:val="26"/>
          <w:lang w:eastAsia="ru-RU"/>
        </w:rPr>
        <w:t xml:space="preserve">. </w:t>
      </w:r>
      <w:bookmarkStart w:id="58" w:name="_Toc380576915"/>
    </w:p>
    <w:p w:rsidR="008C0C74" w:rsidRPr="00B6020E" w:rsidRDefault="008C0C74">
      <w:pPr>
        <w:ind w:firstLine="0"/>
        <w:jc w:val="left"/>
        <w:rPr>
          <w:sz w:val="26"/>
          <w:szCs w:val="26"/>
          <w:lang w:eastAsia="ru-RU"/>
        </w:rPr>
      </w:pPr>
      <w:r w:rsidRPr="00B6020E">
        <w:rPr>
          <w:sz w:val="26"/>
          <w:szCs w:val="26"/>
          <w:lang w:eastAsia="ru-RU"/>
        </w:rPr>
        <w:br w:type="page"/>
      </w:r>
    </w:p>
    <w:p w:rsidR="00E34ACB" w:rsidRPr="008C0C74" w:rsidRDefault="00E34ACB" w:rsidP="007076A7">
      <w:pPr>
        <w:pStyle w:val="11"/>
        <w:numPr>
          <w:ilvl w:val="0"/>
          <w:numId w:val="321"/>
        </w:numPr>
        <w:spacing w:before="120" w:after="120"/>
        <w:ind w:left="1134" w:hanging="567"/>
        <w:rPr>
          <w:rFonts w:ascii="Times New Roman" w:hAnsi="Times New Roman"/>
          <w:sz w:val="26"/>
          <w:szCs w:val="26"/>
          <w:lang w:eastAsia="ru-RU"/>
        </w:rPr>
      </w:pPr>
      <w:bookmarkStart w:id="59" w:name="_Toc385339812"/>
      <w:r w:rsidRPr="008C0C74">
        <w:rPr>
          <w:rFonts w:ascii="Times New Roman" w:hAnsi="Times New Roman"/>
          <w:sz w:val="26"/>
          <w:szCs w:val="26"/>
          <w:lang w:eastAsia="ru-RU"/>
        </w:rPr>
        <w:lastRenderedPageBreak/>
        <w:t>Финансово-экономическая деятельность</w:t>
      </w:r>
      <w:bookmarkEnd w:id="58"/>
      <w:bookmarkEnd w:id="59"/>
    </w:p>
    <w:p w:rsidR="00136A10" w:rsidRPr="004761E0" w:rsidRDefault="00E34ACB" w:rsidP="007076A7">
      <w:pPr>
        <w:pStyle w:val="a8"/>
        <w:numPr>
          <w:ilvl w:val="1"/>
          <w:numId w:val="321"/>
        </w:numPr>
        <w:spacing w:before="120" w:after="120"/>
        <w:ind w:left="1134" w:hanging="567"/>
        <w:jc w:val="both"/>
        <w:rPr>
          <w:rFonts w:ascii="Times New Roman" w:hAnsi="Times New Roman"/>
          <w:b/>
          <w:sz w:val="26"/>
          <w:szCs w:val="26"/>
        </w:rPr>
      </w:pPr>
      <w:bookmarkStart w:id="60" w:name="_Toc380576916"/>
      <w:bookmarkStart w:id="61" w:name="_Toc385339813"/>
      <w:r w:rsidRPr="004761E0">
        <w:rPr>
          <w:rFonts w:ascii="Times New Roman" w:hAnsi="Times New Roman"/>
          <w:b/>
          <w:sz w:val="26"/>
          <w:szCs w:val="26"/>
        </w:rPr>
        <w:t>Интервью Первого заместителя генерального директора по финансово-экономической деятельности и корпоративному управлению</w:t>
      </w:r>
      <w:bookmarkEnd w:id="60"/>
      <w:bookmarkEnd w:id="61"/>
    </w:p>
    <w:p w:rsidR="00AA6F64" w:rsidRPr="00B20C95" w:rsidRDefault="00AA6F64" w:rsidP="00B20C95">
      <w:pPr>
        <w:spacing w:before="120" w:after="120"/>
        <w:ind w:firstLine="567"/>
        <w:rPr>
          <w:b/>
          <w:sz w:val="26"/>
          <w:szCs w:val="26"/>
        </w:rPr>
      </w:pPr>
      <w:r w:rsidRPr="00B20C95">
        <w:rPr>
          <w:b/>
          <w:sz w:val="26"/>
          <w:szCs w:val="26"/>
        </w:rPr>
        <w:t>Каковы основные результаты деятельности в отчетном году в рамках курируемого Вами направления?</w:t>
      </w:r>
    </w:p>
    <w:p w:rsidR="00AA6F64" w:rsidRPr="004761E0" w:rsidRDefault="00AA6F64" w:rsidP="00AA6F64">
      <w:pPr>
        <w:ind w:firstLine="567"/>
        <w:rPr>
          <w:sz w:val="26"/>
          <w:szCs w:val="26"/>
        </w:rPr>
      </w:pPr>
      <w:r w:rsidRPr="004761E0">
        <w:rPr>
          <w:sz w:val="26"/>
          <w:szCs w:val="26"/>
        </w:rPr>
        <w:t xml:space="preserve">По итогам 2013 года </w:t>
      </w:r>
      <w:r w:rsidR="0008080E">
        <w:rPr>
          <w:sz w:val="26"/>
          <w:szCs w:val="26"/>
        </w:rPr>
        <w:t>ОАО </w:t>
      </w:r>
      <w:r w:rsidRPr="004761E0">
        <w:rPr>
          <w:sz w:val="26"/>
          <w:szCs w:val="26"/>
        </w:rPr>
        <w:t xml:space="preserve">«МОЭСК» ожидает перевыполнение плана по основным финансовым показателям, в том числе по плану </w:t>
      </w:r>
      <w:r w:rsidRPr="004761E0">
        <w:rPr>
          <w:sz w:val="26"/>
          <w:szCs w:val="26"/>
          <w:lang w:val="en-US"/>
        </w:rPr>
        <w:t>EBITDA</w:t>
      </w:r>
      <w:r w:rsidRPr="004761E0">
        <w:rPr>
          <w:sz w:val="26"/>
          <w:szCs w:val="26"/>
        </w:rPr>
        <w:t xml:space="preserve"> на 0,3</w:t>
      </w:r>
      <w:r w:rsidR="006C1AA1">
        <w:rPr>
          <w:sz w:val="26"/>
          <w:szCs w:val="26"/>
        </w:rPr>
        <w:t> </w:t>
      </w:r>
      <w:r w:rsidRPr="004761E0">
        <w:rPr>
          <w:sz w:val="26"/>
          <w:szCs w:val="26"/>
        </w:rPr>
        <w:t>%, по чистой прибыли в РСБУ перевыполнение плана ожидается на 5,7</w:t>
      </w:r>
      <w:r w:rsidR="006C1AA1">
        <w:rPr>
          <w:sz w:val="26"/>
          <w:szCs w:val="26"/>
        </w:rPr>
        <w:t> </w:t>
      </w:r>
      <w:r w:rsidRPr="004761E0">
        <w:rPr>
          <w:sz w:val="26"/>
          <w:szCs w:val="26"/>
        </w:rPr>
        <w:t xml:space="preserve">% или на 0,6 </w:t>
      </w:r>
      <w:r w:rsidR="0008080E">
        <w:rPr>
          <w:sz w:val="26"/>
          <w:szCs w:val="26"/>
        </w:rPr>
        <w:t>млрд</w:t>
      </w:r>
      <w:r w:rsidRPr="004761E0">
        <w:rPr>
          <w:sz w:val="26"/>
          <w:szCs w:val="26"/>
        </w:rPr>
        <w:t xml:space="preserve"> руб</w:t>
      </w:r>
      <w:r w:rsidR="006C1AA1">
        <w:rPr>
          <w:sz w:val="26"/>
          <w:szCs w:val="26"/>
        </w:rPr>
        <w:t>.</w:t>
      </w:r>
      <w:r w:rsidRPr="004761E0">
        <w:rPr>
          <w:sz w:val="26"/>
          <w:szCs w:val="26"/>
        </w:rPr>
        <w:t xml:space="preserve">, консолидированная чистая прибыль по группе </w:t>
      </w:r>
      <w:r w:rsidR="0008080E">
        <w:rPr>
          <w:sz w:val="26"/>
          <w:szCs w:val="26"/>
        </w:rPr>
        <w:t>ОАО </w:t>
      </w:r>
      <w:r w:rsidRPr="004761E0">
        <w:rPr>
          <w:sz w:val="26"/>
          <w:szCs w:val="26"/>
        </w:rPr>
        <w:t>«МОЭСК» в МСФО ожидается в сумме 17,8 млрд руб.</w:t>
      </w:r>
    </w:p>
    <w:p w:rsidR="00AA6F64" w:rsidRPr="004761E0" w:rsidRDefault="00AA6F64" w:rsidP="00AA6F64">
      <w:pPr>
        <w:ind w:firstLine="567"/>
        <w:rPr>
          <w:sz w:val="26"/>
          <w:szCs w:val="26"/>
        </w:rPr>
      </w:pPr>
      <w:r w:rsidRPr="004761E0">
        <w:rPr>
          <w:sz w:val="26"/>
          <w:szCs w:val="26"/>
        </w:rPr>
        <w:t xml:space="preserve">Финансовое положение компании устойчивое, о чем свидетельствуют такие показатели как соотношение </w:t>
      </w:r>
      <w:r w:rsidRPr="004761E0">
        <w:rPr>
          <w:sz w:val="26"/>
          <w:szCs w:val="26"/>
          <w:lang w:val="en-US"/>
        </w:rPr>
        <w:t>Debt</w:t>
      </w:r>
      <w:r w:rsidRPr="004761E0">
        <w:rPr>
          <w:sz w:val="26"/>
          <w:szCs w:val="26"/>
        </w:rPr>
        <w:t>/</w:t>
      </w:r>
      <w:r w:rsidRPr="004761E0">
        <w:rPr>
          <w:sz w:val="26"/>
          <w:szCs w:val="26"/>
          <w:lang w:val="en-US"/>
        </w:rPr>
        <w:t>EBITDA</w:t>
      </w:r>
      <w:r w:rsidRPr="004761E0">
        <w:rPr>
          <w:sz w:val="26"/>
          <w:szCs w:val="26"/>
        </w:rPr>
        <w:t>, которое на конец года не превысило 1,5</w:t>
      </w:r>
      <w:r w:rsidR="005B1BFF">
        <w:rPr>
          <w:sz w:val="26"/>
          <w:szCs w:val="26"/>
        </w:rPr>
        <w:t>8</w:t>
      </w:r>
      <w:r w:rsidRPr="004761E0">
        <w:rPr>
          <w:sz w:val="26"/>
          <w:szCs w:val="26"/>
        </w:rPr>
        <w:t>.</w:t>
      </w:r>
    </w:p>
    <w:p w:rsidR="00AA6F64" w:rsidRPr="004761E0" w:rsidRDefault="00AA6F64" w:rsidP="00AA6F64">
      <w:pPr>
        <w:ind w:firstLine="567"/>
        <w:rPr>
          <w:sz w:val="26"/>
          <w:szCs w:val="26"/>
        </w:rPr>
      </w:pPr>
      <w:r w:rsidRPr="004761E0">
        <w:rPr>
          <w:sz w:val="26"/>
          <w:szCs w:val="26"/>
        </w:rPr>
        <w:t>Что касается кредитного портфеля компании, то в минувшем году займов привлечено в меньшем объеме и по более низкой стоимости, чем планировалось. В среднем стоимость обслуживания портфеля уменьшилась на 0,5</w:t>
      </w:r>
      <w:r w:rsidR="005B1BFF">
        <w:rPr>
          <w:sz w:val="26"/>
          <w:szCs w:val="26"/>
        </w:rPr>
        <w:t xml:space="preserve"> </w:t>
      </w:r>
      <w:r w:rsidRPr="004761E0">
        <w:rPr>
          <w:sz w:val="26"/>
          <w:szCs w:val="26"/>
        </w:rPr>
        <w:t xml:space="preserve">%. Также компания впервые получила рейтинг в рейтинговом агентстве Fitch на уровне BB+. Повышен кредитный рейтинг </w:t>
      </w:r>
      <w:r w:rsidR="0008080E">
        <w:rPr>
          <w:sz w:val="26"/>
          <w:szCs w:val="26"/>
        </w:rPr>
        <w:t>ОАО </w:t>
      </w:r>
      <w:r w:rsidRPr="004761E0">
        <w:rPr>
          <w:sz w:val="26"/>
          <w:szCs w:val="26"/>
        </w:rPr>
        <w:t>«МОЭСК» агентством  Standard &amp; Poor’s до уровня ВВ.</w:t>
      </w:r>
    </w:p>
    <w:p w:rsidR="00AA6F64" w:rsidRPr="004761E0" w:rsidRDefault="00AA6F64" w:rsidP="00AA6F64">
      <w:pPr>
        <w:tabs>
          <w:tab w:val="left" w:pos="0"/>
          <w:tab w:val="left" w:pos="10959"/>
        </w:tabs>
        <w:ind w:firstLine="567"/>
        <w:rPr>
          <w:sz w:val="26"/>
          <w:szCs w:val="26"/>
        </w:rPr>
      </w:pPr>
      <w:r w:rsidRPr="004761E0">
        <w:rPr>
          <w:sz w:val="26"/>
          <w:szCs w:val="26"/>
        </w:rPr>
        <w:t xml:space="preserve">Важнейшими задачами, поставленными </w:t>
      </w:r>
      <w:r w:rsidR="006C1AA1">
        <w:rPr>
          <w:sz w:val="26"/>
          <w:szCs w:val="26"/>
        </w:rPr>
        <w:t xml:space="preserve">Правительством РФ на 2013-2014 </w:t>
      </w:r>
      <w:r w:rsidRPr="004761E0">
        <w:rPr>
          <w:sz w:val="26"/>
          <w:szCs w:val="26"/>
        </w:rPr>
        <w:t>г</w:t>
      </w:r>
      <w:r w:rsidR="006C1AA1">
        <w:rPr>
          <w:sz w:val="26"/>
          <w:szCs w:val="26"/>
        </w:rPr>
        <w:t>г.</w:t>
      </w:r>
      <w:r w:rsidRPr="004761E0">
        <w:rPr>
          <w:sz w:val="26"/>
          <w:szCs w:val="26"/>
        </w:rPr>
        <w:t xml:space="preserve"> для предприятий электроэнергетики, являются обеспечение ограничения темпов роста тарифов на услуги по передаче электрической энергии</w:t>
      </w:r>
      <w:r w:rsidR="001A4D34">
        <w:rPr>
          <w:sz w:val="26"/>
          <w:szCs w:val="26"/>
        </w:rPr>
        <w:t>,</w:t>
      </w:r>
      <w:r w:rsidRPr="004761E0">
        <w:rPr>
          <w:sz w:val="26"/>
          <w:szCs w:val="26"/>
        </w:rPr>
        <w:t xml:space="preserve"> снижение перекрестного субсидирования и снижение операционных затрат компаний отрасли.</w:t>
      </w:r>
    </w:p>
    <w:p w:rsidR="00AA6F64" w:rsidRPr="004761E0" w:rsidRDefault="00AA6F64" w:rsidP="00AA6F64">
      <w:pPr>
        <w:tabs>
          <w:tab w:val="left" w:pos="0"/>
          <w:tab w:val="left" w:pos="10959"/>
        </w:tabs>
        <w:ind w:firstLine="567"/>
        <w:rPr>
          <w:sz w:val="26"/>
          <w:szCs w:val="26"/>
        </w:rPr>
      </w:pPr>
      <w:r w:rsidRPr="004761E0">
        <w:rPr>
          <w:sz w:val="26"/>
          <w:szCs w:val="26"/>
        </w:rPr>
        <w:t>Единые (котловые) тарифы на услуги по передаче электрической энергии по г.</w:t>
      </w:r>
      <w:r w:rsidR="005B1BFF">
        <w:rPr>
          <w:sz w:val="26"/>
          <w:szCs w:val="26"/>
        </w:rPr>
        <w:t> </w:t>
      </w:r>
      <w:r w:rsidRPr="004761E0">
        <w:rPr>
          <w:sz w:val="26"/>
          <w:szCs w:val="26"/>
        </w:rPr>
        <w:t xml:space="preserve">Москве и Московской области, установленные регулирующими органами субъектов Российской Федерации, не превышают уровней предельных максимальных тарифов, установленных ФСТ России (за исключением тарифов, установленных с </w:t>
      </w:r>
      <w:r w:rsidR="00876634">
        <w:rPr>
          <w:sz w:val="26"/>
          <w:szCs w:val="26"/>
        </w:rPr>
        <w:t>0</w:t>
      </w:r>
      <w:r w:rsidRPr="004761E0">
        <w:rPr>
          <w:sz w:val="26"/>
          <w:szCs w:val="26"/>
        </w:rPr>
        <w:t>1</w:t>
      </w:r>
      <w:r w:rsidR="00876634">
        <w:rPr>
          <w:sz w:val="26"/>
          <w:szCs w:val="26"/>
        </w:rPr>
        <w:t>.07.</w:t>
      </w:r>
      <w:r w:rsidRPr="004761E0">
        <w:rPr>
          <w:sz w:val="26"/>
          <w:szCs w:val="26"/>
        </w:rPr>
        <w:t xml:space="preserve">2013 по Московской области по группе </w:t>
      </w:r>
      <w:r w:rsidR="001A4D34">
        <w:rPr>
          <w:sz w:val="26"/>
          <w:szCs w:val="26"/>
        </w:rPr>
        <w:t>«п</w:t>
      </w:r>
      <w:r w:rsidRPr="004761E0">
        <w:rPr>
          <w:sz w:val="26"/>
          <w:szCs w:val="26"/>
        </w:rPr>
        <w:t>рочие</w:t>
      </w:r>
      <w:r w:rsidR="001A4D34">
        <w:rPr>
          <w:sz w:val="26"/>
          <w:szCs w:val="26"/>
        </w:rPr>
        <w:t>»</w:t>
      </w:r>
      <w:r w:rsidRPr="004761E0">
        <w:rPr>
          <w:sz w:val="26"/>
          <w:szCs w:val="26"/>
        </w:rPr>
        <w:t xml:space="preserve"> потребители, что обусловлено размером инвестиционных программ организаций, оказывающих услуги по передаче электрической энергии на территории субъекта</w:t>
      </w:r>
      <w:r w:rsidRPr="006F4AB8">
        <w:rPr>
          <w:rStyle w:val="af1"/>
        </w:rPr>
        <w:footnoteReference w:id="49"/>
      </w:r>
      <w:r w:rsidRPr="004761E0">
        <w:rPr>
          <w:sz w:val="26"/>
          <w:szCs w:val="26"/>
        </w:rPr>
        <w:t xml:space="preserve">). </w:t>
      </w:r>
    </w:p>
    <w:p w:rsidR="009D3AEB" w:rsidRDefault="009D3AEB" w:rsidP="009D3AEB">
      <w:pPr>
        <w:widowControl w:val="0"/>
        <w:autoSpaceDE w:val="0"/>
        <w:autoSpaceDN w:val="0"/>
        <w:adjustRightInd w:val="0"/>
        <w:ind w:firstLine="567"/>
        <w:rPr>
          <w:sz w:val="26"/>
          <w:szCs w:val="26"/>
        </w:rPr>
      </w:pPr>
      <w:r w:rsidRPr="007742F6">
        <w:rPr>
          <w:sz w:val="26"/>
          <w:szCs w:val="26"/>
        </w:rPr>
        <w:t>В декабре 2013 года пересмотрены и установлены долгосрочные параметры ТСО, регулирование которых осуществляется методом долгосрочной индексации, и НВВ которых составляет не менее 500 млн руб.</w:t>
      </w:r>
    </w:p>
    <w:p w:rsidR="009D3AEB" w:rsidRPr="004761E0" w:rsidRDefault="009D3AEB" w:rsidP="009D3AEB">
      <w:pPr>
        <w:widowControl w:val="0"/>
        <w:autoSpaceDE w:val="0"/>
        <w:autoSpaceDN w:val="0"/>
        <w:adjustRightInd w:val="0"/>
        <w:ind w:firstLine="567"/>
        <w:rPr>
          <w:sz w:val="26"/>
          <w:szCs w:val="26"/>
        </w:rPr>
      </w:pPr>
      <w:r w:rsidRPr="004761E0">
        <w:rPr>
          <w:sz w:val="26"/>
          <w:szCs w:val="26"/>
        </w:rPr>
        <w:t>Указанные мероприятия позволят снизить долю затрат неэффективных ТСО в тарифе на услуги по передаче</w:t>
      </w:r>
      <w:r>
        <w:rPr>
          <w:sz w:val="26"/>
          <w:szCs w:val="26"/>
        </w:rPr>
        <w:t xml:space="preserve"> электрической энергии</w:t>
      </w:r>
      <w:r w:rsidR="00B83BD2">
        <w:rPr>
          <w:sz w:val="26"/>
          <w:szCs w:val="26"/>
        </w:rPr>
        <w:t>.</w:t>
      </w:r>
    </w:p>
    <w:p w:rsidR="001A4D34" w:rsidRPr="004761E0" w:rsidRDefault="001A4D34" w:rsidP="001A4D34">
      <w:pPr>
        <w:pStyle w:val="ConsPlusTitle"/>
        <w:ind w:firstLine="567"/>
        <w:jc w:val="both"/>
        <w:rPr>
          <w:rFonts w:ascii="Times New Roman" w:eastAsia="Times New Roman" w:hAnsi="Times New Roman"/>
          <w:b w:val="0"/>
          <w:bCs w:val="0"/>
          <w:sz w:val="26"/>
          <w:szCs w:val="26"/>
        </w:rPr>
      </w:pPr>
      <w:r w:rsidRPr="004761E0">
        <w:rPr>
          <w:rFonts w:ascii="Times New Roman" w:eastAsia="Times New Roman" w:hAnsi="Times New Roman"/>
          <w:b w:val="0"/>
          <w:bCs w:val="0"/>
          <w:sz w:val="26"/>
          <w:szCs w:val="26"/>
        </w:rPr>
        <w:t>На постоянной основе Общество реализует Программу по сокращению подконтрольных операционных затрат от уровня 2010 года, скорректированных на фактический индекс потребительских цен. За прошедший год ожидается эффект в размере 10,8</w:t>
      </w:r>
      <w:r>
        <w:rPr>
          <w:rFonts w:ascii="Times New Roman" w:eastAsia="Times New Roman" w:hAnsi="Times New Roman"/>
          <w:b w:val="0"/>
          <w:bCs w:val="0"/>
          <w:sz w:val="26"/>
          <w:szCs w:val="26"/>
        </w:rPr>
        <w:t> </w:t>
      </w:r>
      <w:r w:rsidRPr="004761E0">
        <w:rPr>
          <w:rFonts w:ascii="Times New Roman" w:eastAsia="Times New Roman" w:hAnsi="Times New Roman"/>
          <w:b w:val="0"/>
          <w:bCs w:val="0"/>
          <w:sz w:val="26"/>
          <w:szCs w:val="26"/>
        </w:rPr>
        <w:t xml:space="preserve">%, что также соответствует заявленным плановым показателям. </w:t>
      </w:r>
    </w:p>
    <w:p w:rsidR="00AA6F64" w:rsidRPr="00B20C95" w:rsidRDefault="00AA6F64" w:rsidP="00AA6F64">
      <w:pPr>
        <w:spacing w:before="120" w:after="120"/>
        <w:ind w:firstLine="567"/>
        <w:rPr>
          <w:b/>
          <w:sz w:val="26"/>
          <w:szCs w:val="26"/>
        </w:rPr>
      </w:pPr>
      <w:r w:rsidRPr="004761E0">
        <w:rPr>
          <w:b/>
          <w:sz w:val="26"/>
          <w:szCs w:val="26"/>
        </w:rPr>
        <w:t>Как, по Вашему мнению, в отчетном году упростилась деятельность в рамках  курируемого подразделения</w:t>
      </w:r>
      <w:r w:rsidRPr="00B20C95">
        <w:rPr>
          <w:b/>
          <w:sz w:val="26"/>
          <w:szCs w:val="26"/>
        </w:rPr>
        <w:t>?</w:t>
      </w:r>
    </w:p>
    <w:p w:rsidR="00AA6F64" w:rsidRPr="004761E0" w:rsidRDefault="00AA6F64" w:rsidP="00AA6F64">
      <w:pPr>
        <w:ind w:firstLine="567"/>
        <w:rPr>
          <w:sz w:val="26"/>
          <w:szCs w:val="26"/>
        </w:rPr>
      </w:pPr>
      <w:r w:rsidRPr="004761E0">
        <w:rPr>
          <w:sz w:val="26"/>
          <w:szCs w:val="26"/>
        </w:rPr>
        <w:t xml:space="preserve">В 2013 году проделана большая работа </w:t>
      </w:r>
      <w:r w:rsidR="009D3AEB">
        <w:rPr>
          <w:sz w:val="26"/>
          <w:szCs w:val="26"/>
        </w:rPr>
        <w:t>–</w:t>
      </w:r>
      <w:r w:rsidRPr="004761E0">
        <w:rPr>
          <w:sz w:val="26"/>
          <w:szCs w:val="26"/>
        </w:rPr>
        <w:t xml:space="preserve"> создан единый центр компетенции по методологии и развитию автоматизированных систем управления финансово-</w:t>
      </w:r>
      <w:r w:rsidRPr="004761E0">
        <w:rPr>
          <w:sz w:val="26"/>
          <w:szCs w:val="26"/>
        </w:rPr>
        <w:lastRenderedPageBreak/>
        <w:t xml:space="preserve">хозяйственной деятельности – Управление функционального заказчика. Деятельность единого функционального заказчика и единого центра управления проектами развития АСУ позволила существенно повысить эффективность решений по автоматизации, что в свою очередь повлияло на повышение качества бухгалтерского, налогового и управленческого учёта, снижение трудоёмкости формирования отчётности.  </w:t>
      </w:r>
    </w:p>
    <w:p w:rsidR="00AA6F64" w:rsidRPr="004761E0" w:rsidRDefault="00AA6F64" w:rsidP="00AA6F64">
      <w:pPr>
        <w:ind w:firstLine="567"/>
        <w:rPr>
          <w:sz w:val="26"/>
          <w:szCs w:val="26"/>
        </w:rPr>
      </w:pPr>
      <w:r w:rsidRPr="004761E0">
        <w:rPr>
          <w:sz w:val="26"/>
          <w:szCs w:val="26"/>
        </w:rPr>
        <w:t xml:space="preserve">Одним из показателей увеличения эффективности работы Блока, является создание в системе АСУ ФХД механизма контроля и управления за дебиторской и кредиторской задолженностью </w:t>
      </w:r>
      <w:r w:rsidR="0008080E">
        <w:rPr>
          <w:sz w:val="26"/>
          <w:szCs w:val="26"/>
        </w:rPr>
        <w:t>ОАО </w:t>
      </w:r>
      <w:r w:rsidRPr="004761E0">
        <w:rPr>
          <w:sz w:val="26"/>
          <w:szCs w:val="26"/>
        </w:rPr>
        <w:t>«МОЭСК».</w:t>
      </w:r>
    </w:p>
    <w:p w:rsidR="00AA6F64" w:rsidRPr="004761E0" w:rsidRDefault="00AA6F64" w:rsidP="00AA6F64">
      <w:pPr>
        <w:ind w:firstLine="567"/>
        <w:rPr>
          <w:sz w:val="26"/>
          <w:szCs w:val="26"/>
        </w:rPr>
      </w:pPr>
      <w:r w:rsidRPr="004761E0">
        <w:rPr>
          <w:sz w:val="26"/>
          <w:szCs w:val="26"/>
        </w:rPr>
        <w:t xml:space="preserve">В целях дальнейшего повышения эффективности работы не только Блока, но и Общества в целом так же разработана Программа развития производственной и финансово-хозяйственной деятельности </w:t>
      </w:r>
      <w:r w:rsidR="0008080E">
        <w:rPr>
          <w:sz w:val="26"/>
          <w:szCs w:val="26"/>
        </w:rPr>
        <w:t>ОАО </w:t>
      </w:r>
      <w:r w:rsidRPr="004761E0">
        <w:rPr>
          <w:sz w:val="26"/>
          <w:szCs w:val="26"/>
        </w:rPr>
        <w:t xml:space="preserve">«МОЭСК». В соответствии с данной Программой в 2014 году начата реализация 2-ой очереди внедрения АСУ ФХД, в рамках которой будут реализованы такие проекты, как  управления корпоративными финансами и договорами, создание системы учёта и отчётности для целей МСФО и тарифного регулирования </w:t>
      </w:r>
      <w:r w:rsidR="0008080E">
        <w:rPr>
          <w:sz w:val="26"/>
          <w:szCs w:val="26"/>
        </w:rPr>
        <w:t>ОАО </w:t>
      </w:r>
      <w:r w:rsidRPr="004761E0">
        <w:rPr>
          <w:sz w:val="26"/>
          <w:szCs w:val="26"/>
        </w:rPr>
        <w:t>«МОЭСК».</w:t>
      </w:r>
    </w:p>
    <w:p w:rsidR="00AA6F64" w:rsidRPr="004761E0" w:rsidRDefault="00AA6F64" w:rsidP="00AA6F64">
      <w:pPr>
        <w:spacing w:before="120" w:after="120"/>
        <w:ind w:firstLine="567"/>
        <w:rPr>
          <w:b/>
          <w:sz w:val="26"/>
          <w:szCs w:val="26"/>
        </w:rPr>
      </w:pPr>
      <w:r w:rsidRPr="004761E0">
        <w:rPr>
          <w:b/>
          <w:sz w:val="26"/>
          <w:szCs w:val="26"/>
        </w:rPr>
        <w:t xml:space="preserve">Каким образом результаты деятельности в рамках курируемого направления повлияли в отчетном году на повышение открытости/прозрачности деятельности </w:t>
      </w:r>
      <w:r w:rsidR="0008080E">
        <w:rPr>
          <w:b/>
          <w:sz w:val="26"/>
          <w:szCs w:val="26"/>
        </w:rPr>
        <w:t>ОАО </w:t>
      </w:r>
      <w:r w:rsidRPr="004761E0">
        <w:rPr>
          <w:b/>
          <w:sz w:val="26"/>
          <w:szCs w:val="26"/>
        </w:rPr>
        <w:t>«МОЭСК»?</w:t>
      </w:r>
    </w:p>
    <w:p w:rsidR="00AA6F64" w:rsidRPr="004761E0" w:rsidRDefault="00AA6F64" w:rsidP="00AA6F64">
      <w:pPr>
        <w:ind w:firstLine="567"/>
        <w:rPr>
          <w:sz w:val="26"/>
          <w:szCs w:val="26"/>
        </w:rPr>
      </w:pPr>
      <w:r w:rsidRPr="004761E0">
        <w:rPr>
          <w:sz w:val="26"/>
          <w:szCs w:val="26"/>
        </w:rPr>
        <w:t xml:space="preserve">В целях повышения открытости /прозрачности деятельности </w:t>
      </w:r>
      <w:r w:rsidR="0008080E">
        <w:rPr>
          <w:sz w:val="26"/>
          <w:szCs w:val="26"/>
        </w:rPr>
        <w:t>ОАО </w:t>
      </w:r>
      <w:r w:rsidRPr="004761E0">
        <w:rPr>
          <w:sz w:val="26"/>
          <w:szCs w:val="26"/>
        </w:rPr>
        <w:t>«МОЭСК» в 2013</w:t>
      </w:r>
      <w:r w:rsidR="00876634">
        <w:rPr>
          <w:sz w:val="26"/>
          <w:szCs w:val="26"/>
        </w:rPr>
        <w:t xml:space="preserve"> </w:t>
      </w:r>
      <w:r w:rsidRPr="004761E0">
        <w:rPr>
          <w:sz w:val="26"/>
          <w:szCs w:val="26"/>
        </w:rPr>
        <w:t xml:space="preserve">году проведены ряд </w:t>
      </w:r>
      <w:r w:rsidR="00876634">
        <w:rPr>
          <w:sz w:val="26"/>
          <w:szCs w:val="26"/>
        </w:rPr>
        <w:t>веб</w:t>
      </w:r>
      <w:r w:rsidRPr="004761E0">
        <w:rPr>
          <w:sz w:val="26"/>
          <w:szCs w:val="26"/>
        </w:rPr>
        <w:t xml:space="preserve">кастов, встреч с инвестиционными сообществами с докладами о деятельности </w:t>
      </w:r>
      <w:r w:rsidR="00876634">
        <w:rPr>
          <w:sz w:val="26"/>
          <w:szCs w:val="26"/>
        </w:rPr>
        <w:t>К</w:t>
      </w:r>
      <w:r w:rsidRPr="004761E0">
        <w:rPr>
          <w:sz w:val="26"/>
          <w:szCs w:val="26"/>
        </w:rPr>
        <w:t xml:space="preserve">омпании за отчетные периоды, обсуждались проекты планов и сценарные условия формирования бизнес-планов. Инвестиционная программа  Компании </w:t>
      </w:r>
      <w:r w:rsidR="00876634">
        <w:rPr>
          <w:sz w:val="26"/>
          <w:szCs w:val="26"/>
        </w:rPr>
        <w:t xml:space="preserve">заслушана и одобрена </w:t>
      </w:r>
      <w:r w:rsidRPr="004761E0">
        <w:rPr>
          <w:sz w:val="26"/>
          <w:szCs w:val="26"/>
        </w:rPr>
        <w:t xml:space="preserve">на общественных слушаниях в </w:t>
      </w:r>
      <w:r w:rsidR="00876634">
        <w:rPr>
          <w:sz w:val="26"/>
          <w:szCs w:val="26"/>
        </w:rPr>
        <w:t>г. </w:t>
      </w:r>
      <w:r w:rsidRPr="004761E0">
        <w:rPr>
          <w:sz w:val="26"/>
          <w:szCs w:val="26"/>
        </w:rPr>
        <w:t xml:space="preserve">Москве и Московской области, которые инициированы </w:t>
      </w:r>
      <w:r w:rsidR="0008080E">
        <w:rPr>
          <w:sz w:val="26"/>
          <w:szCs w:val="26"/>
        </w:rPr>
        <w:t>ОАО </w:t>
      </w:r>
      <w:r w:rsidRPr="004761E0">
        <w:rPr>
          <w:sz w:val="26"/>
          <w:szCs w:val="26"/>
        </w:rPr>
        <w:t>«МОЭСК».</w:t>
      </w:r>
    </w:p>
    <w:p w:rsidR="00AA6F64" w:rsidRPr="004761E0" w:rsidRDefault="00AA6F64" w:rsidP="00AA6F64">
      <w:pPr>
        <w:spacing w:before="120" w:after="120"/>
        <w:ind w:firstLine="567"/>
        <w:rPr>
          <w:b/>
          <w:sz w:val="26"/>
          <w:szCs w:val="26"/>
        </w:rPr>
      </w:pPr>
      <w:r w:rsidRPr="004761E0">
        <w:rPr>
          <w:b/>
          <w:sz w:val="26"/>
          <w:szCs w:val="26"/>
        </w:rPr>
        <w:t>Как результаты работы в отчетном году в рамках курируемого направления отразились на взаимоотношениях с клиентами, акционерами, иными заинтересованными сторонами?</w:t>
      </w:r>
    </w:p>
    <w:p w:rsidR="00AA6F64" w:rsidRPr="004761E0" w:rsidRDefault="00AA6F64" w:rsidP="00AA6F64">
      <w:pPr>
        <w:ind w:firstLine="567"/>
        <w:rPr>
          <w:sz w:val="26"/>
          <w:szCs w:val="26"/>
        </w:rPr>
      </w:pPr>
      <w:r w:rsidRPr="004761E0">
        <w:rPr>
          <w:sz w:val="26"/>
          <w:szCs w:val="26"/>
        </w:rPr>
        <w:t xml:space="preserve">В настоящее время продолжается работа по подготовке отчетных документов по результатам работы Компании за прошедший  год. Результаты работы </w:t>
      </w:r>
      <w:r w:rsidR="0008080E">
        <w:rPr>
          <w:sz w:val="26"/>
          <w:szCs w:val="26"/>
        </w:rPr>
        <w:t>ОАО </w:t>
      </w:r>
      <w:r w:rsidRPr="004761E0">
        <w:rPr>
          <w:sz w:val="26"/>
          <w:szCs w:val="26"/>
        </w:rPr>
        <w:t>«МОЭСК» по итогам 2013 года еще только будут вынесены на рассмотрение и одобрение акционеров, инвесторов и других заинтересованных пользователей в сроки, в соответствии с корпоративными процедурами и после получения аудиторских заключений в РСБУ и МСФО.</w:t>
      </w:r>
    </w:p>
    <w:p w:rsidR="00AA6F64" w:rsidRPr="004761E0" w:rsidRDefault="00AA6F64" w:rsidP="008C0C74">
      <w:pPr>
        <w:spacing w:before="120" w:after="120"/>
        <w:ind w:firstLine="567"/>
        <w:rPr>
          <w:b/>
          <w:sz w:val="26"/>
          <w:szCs w:val="26"/>
        </w:rPr>
      </w:pPr>
      <w:r w:rsidRPr="004761E0">
        <w:rPr>
          <w:b/>
          <w:sz w:val="26"/>
          <w:szCs w:val="26"/>
        </w:rPr>
        <w:t>Каковы основные планы на следующий год и среднесрочную перспективу?</w:t>
      </w:r>
    </w:p>
    <w:p w:rsidR="00AA6F64" w:rsidRPr="004761E0" w:rsidRDefault="0008080E" w:rsidP="00AA6F64">
      <w:pPr>
        <w:ind w:firstLine="567"/>
        <w:rPr>
          <w:sz w:val="26"/>
          <w:szCs w:val="26"/>
        </w:rPr>
      </w:pPr>
      <w:r>
        <w:rPr>
          <w:sz w:val="26"/>
          <w:szCs w:val="26"/>
        </w:rPr>
        <w:t>ОАО </w:t>
      </w:r>
      <w:r w:rsidR="00AA6F64" w:rsidRPr="004761E0">
        <w:rPr>
          <w:sz w:val="26"/>
          <w:szCs w:val="26"/>
        </w:rPr>
        <w:t>«МОЭСК» работает в рамках утвержденного Советом директоров Бизнес-</w:t>
      </w:r>
      <w:r w:rsidR="00196C95" w:rsidRPr="004761E0">
        <w:rPr>
          <w:sz w:val="26"/>
          <w:szCs w:val="26"/>
        </w:rPr>
        <w:t>плана компании на 2014-2018</w:t>
      </w:r>
      <w:r w:rsidR="00DB376A" w:rsidRPr="004761E0">
        <w:rPr>
          <w:sz w:val="26"/>
          <w:szCs w:val="26"/>
        </w:rPr>
        <w:t xml:space="preserve"> </w:t>
      </w:r>
      <w:r w:rsidR="00196C95" w:rsidRPr="004761E0">
        <w:rPr>
          <w:sz w:val="26"/>
          <w:szCs w:val="26"/>
        </w:rPr>
        <w:t xml:space="preserve">гг. </w:t>
      </w:r>
      <w:r w:rsidR="00AA6F64" w:rsidRPr="004761E0">
        <w:rPr>
          <w:sz w:val="26"/>
          <w:szCs w:val="26"/>
        </w:rPr>
        <w:t xml:space="preserve">Бизнес-план разработан с учетом сценарных условий  продления действующего тарифа </w:t>
      </w:r>
      <w:r w:rsidR="001A4D34">
        <w:rPr>
          <w:sz w:val="26"/>
          <w:szCs w:val="26"/>
        </w:rPr>
        <w:t xml:space="preserve">для потребителей </w:t>
      </w:r>
      <w:r w:rsidR="00AA6F64" w:rsidRPr="004761E0">
        <w:rPr>
          <w:sz w:val="26"/>
          <w:szCs w:val="26"/>
        </w:rPr>
        <w:t xml:space="preserve">(с 1 июля 2013 года)  по состоянию на конец года до 1 июля 2015 года и ограничения роста предельных уровней тарифов на услуги по передаче электрической энергии, с 1 июля 2015 года </w:t>
      </w:r>
      <w:r w:rsidR="00715E7F">
        <w:rPr>
          <w:sz w:val="26"/>
          <w:szCs w:val="26"/>
        </w:rPr>
        <w:t>–</w:t>
      </w:r>
      <w:r w:rsidR="00AA6F64" w:rsidRPr="004761E0">
        <w:rPr>
          <w:sz w:val="26"/>
          <w:szCs w:val="26"/>
        </w:rPr>
        <w:t xml:space="preserve"> на уровне 4,8</w:t>
      </w:r>
      <w:r w:rsidR="006C1AA1">
        <w:rPr>
          <w:sz w:val="26"/>
          <w:szCs w:val="26"/>
        </w:rPr>
        <w:t> </w:t>
      </w:r>
      <w:r w:rsidR="00AA6F64" w:rsidRPr="004761E0">
        <w:rPr>
          <w:sz w:val="26"/>
          <w:szCs w:val="26"/>
        </w:rPr>
        <w:t xml:space="preserve">%, 2016 года </w:t>
      </w:r>
      <w:r w:rsidR="00715E7F">
        <w:rPr>
          <w:sz w:val="26"/>
          <w:szCs w:val="26"/>
        </w:rPr>
        <w:t>–</w:t>
      </w:r>
      <w:r w:rsidR="00AA6F64" w:rsidRPr="004761E0">
        <w:rPr>
          <w:sz w:val="26"/>
          <w:szCs w:val="26"/>
        </w:rPr>
        <w:t xml:space="preserve"> 4,9 %, 2017 года </w:t>
      </w:r>
      <w:r w:rsidR="00715E7F">
        <w:rPr>
          <w:sz w:val="26"/>
          <w:szCs w:val="26"/>
        </w:rPr>
        <w:t>–</w:t>
      </w:r>
      <w:r w:rsidR="00AA6F64" w:rsidRPr="004761E0">
        <w:rPr>
          <w:sz w:val="26"/>
          <w:szCs w:val="26"/>
        </w:rPr>
        <w:t xml:space="preserve"> 5 %, 2018 года </w:t>
      </w:r>
      <w:r w:rsidR="00715E7F">
        <w:rPr>
          <w:sz w:val="26"/>
          <w:szCs w:val="26"/>
        </w:rPr>
        <w:t>–</w:t>
      </w:r>
      <w:r w:rsidR="00AA6F64" w:rsidRPr="004761E0">
        <w:rPr>
          <w:sz w:val="26"/>
          <w:szCs w:val="26"/>
        </w:rPr>
        <w:t xml:space="preserve"> 5 %.</w:t>
      </w:r>
    </w:p>
    <w:p w:rsidR="008C0C74" w:rsidRPr="00B6020E" w:rsidRDefault="00AA6F64" w:rsidP="00AF0FC2">
      <w:pPr>
        <w:ind w:firstLine="567"/>
        <w:rPr>
          <w:sz w:val="26"/>
          <w:szCs w:val="26"/>
        </w:rPr>
      </w:pPr>
      <w:r w:rsidRPr="004761E0">
        <w:rPr>
          <w:sz w:val="26"/>
          <w:szCs w:val="26"/>
        </w:rPr>
        <w:t>В условиях нулевого роста тарифа на передачу электроэнергии, в соответствии со стратегией, к 2017 году Компании необходимо обеспечить снижение операционных расходов на 15</w:t>
      </w:r>
      <w:r w:rsidR="006C1AA1">
        <w:rPr>
          <w:sz w:val="26"/>
          <w:szCs w:val="26"/>
        </w:rPr>
        <w:t> </w:t>
      </w:r>
      <w:r w:rsidRPr="004761E0">
        <w:rPr>
          <w:sz w:val="26"/>
          <w:szCs w:val="26"/>
        </w:rPr>
        <w:t>% с учетом инфляции относительно уровня 2012 года в расчете на единицу обслуживания электротехнического оборудования, в 2014 году целевой показатель снижения расходов необходимо предусмотреть не ниже 5</w:t>
      </w:r>
      <w:r w:rsidR="00041561" w:rsidRPr="004761E0">
        <w:rPr>
          <w:sz w:val="26"/>
          <w:szCs w:val="26"/>
        </w:rPr>
        <w:t> </w:t>
      </w:r>
      <w:r w:rsidRPr="004761E0">
        <w:rPr>
          <w:sz w:val="26"/>
          <w:szCs w:val="26"/>
        </w:rPr>
        <w:t>%.</w:t>
      </w:r>
      <w:r w:rsidR="008C0C74" w:rsidRPr="00B6020E">
        <w:rPr>
          <w:sz w:val="26"/>
          <w:szCs w:val="26"/>
        </w:rPr>
        <w:br w:type="page"/>
      </w:r>
    </w:p>
    <w:p w:rsidR="00136A10" w:rsidRDefault="00E34ACB" w:rsidP="007076A7">
      <w:pPr>
        <w:pStyle w:val="a8"/>
        <w:numPr>
          <w:ilvl w:val="1"/>
          <w:numId w:val="321"/>
        </w:numPr>
        <w:spacing w:before="120" w:after="120"/>
        <w:ind w:left="1134" w:hanging="567"/>
        <w:jc w:val="both"/>
        <w:rPr>
          <w:rFonts w:ascii="Times New Roman" w:hAnsi="Times New Roman"/>
          <w:b/>
          <w:sz w:val="26"/>
          <w:szCs w:val="26"/>
        </w:rPr>
      </w:pPr>
      <w:bookmarkStart w:id="62" w:name="_Toc380576917"/>
      <w:bookmarkStart w:id="63" w:name="_Toc385339814"/>
      <w:r w:rsidRPr="004761E0">
        <w:rPr>
          <w:rFonts w:ascii="Times New Roman" w:hAnsi="Times New Roman"/>
          <w:b/>
          <w:sz w:val="26"/>
          <w:szCs w:val="26"/>
        </w:rPr>
        <w:lastRenderedPageBreak/>
        <w:t>Основные результаты финансово-экономической деятельности по РСБУ</w:t>
      </w:r>
      <w:bookmarkEnd w:id="62"/>
      <w:bookmarkEnd w:id="63"/>
    </w:p>
    <w:tbl>
      <w:tblPr>
        <w:tblW w:w="10219" w:type="dxa"/>
        <w:tblInd w:w="95" w:type="dxa"/>
        <w:tblLook w:val="04A0"/>
      </w:tblPr>
      <w:tblGrid>
        <w:gridCol w:w="580"/>
        <w:gridCol w:w="5103"/>
        <w:gridCol w:w="1134"/>
        <w:gridCol w:w="1134"/>
        <w:gridCol w:w="1134"/>
        <w:gridCol w:w="1134"/>
      </w:tblGrid>
      <w:tr w:rsidR="00397040" w:rsidRPr="004761E0" w:rsidTr="00512DCC">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397040" w:rsidRPr="004761E0" w:rsidRDefault="00397040" w:rsidP="00512DCC">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510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97040" w:rsidRPr="004761E0" w:rsidRDefault="00397040" w:rsidP="00512DCC">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97040" w:rsidRPr="004761E0" w:rsidRDefault="00397040" w:rsidP="00512DC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97040" w:rsidRPr="004761E0" w:rsidRDefault="00397040" w:rsidP="00512DC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97040" w:rsidRPr="004761E0" w:rsidRDefault="00397040" w:rsidP="00512DC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397040" w:rsidRPr="004761E0" w:rsidRDefault="00397040" w:rsidP="00512DC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397040" w:rsidRPr="004761E0" w:rsidTr="00512D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397040" w:rsidRPr="004761E0" w:rsidRDefault="00397040" w:rsidP="007076A7">
            <w:pPr>
              <w:numPr>
                <w:ilvl w:val="0"/>
                <w:numId w:val="202"/>
              </w:numPr>
              <w:jc w:val="left"/>
              <w:rPr>
                <w:rFonts w:eastAsia="Times New Roman"/>
                <w:b/>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397040" w:rsidRPr="004761E0" w:rsidRDefault="00397040" w:rsidP="00512DCC">
            <w:pPr>
              <w:ind w:firstLine="0"/>
              <w:jc w:val="left"/>
              <w:rPr>
                <w:rFonts w:eastAsia="Times New Roman"/>
                <w:sz w:val="20"/>
                <w:szCs w:val="20"/>
                <w:lang w:eastAsia="ru-RU"/>
              </w:rPr>
            </w:pPr>
            <w:r w:rsidRPr="004761E0">
              <w:rPr>
                <w:rFonts w:eastAsia="Times New Roman"/>
                <w:sz w:val="20"/>
                <w:szCs w:val="20"/>
                <w:lang w:eastAsia="ru-RU"/>
              </w:rPr>
              <w:t>Активы, млн руб. (всего), в т.ч.:</w:t>
            </w:r>
          </w:p>
        </w:tc>
        <w:tc>
          <w:tcPr>
            <w:tcW w:w="1134" w:type="dxa"/>
            <w:tcBorders>
              <w:top w:val="nil"/>
              <w:left w:val="nil"/>
              <w:bottom w:val="single" w:sz="4" w:space="0" w:color="auto"/>
              <w:right w:val="single" w:sz="4" w:space="0" w:color="auto"/>
            </w:tcBorders>
            <w:shd w:val="clear" w:color="auto" w:fill="auto"/>
            <w:vAlign w:val="center"/>
          </w:tcPr>
          <w:p w:rsidR="00397040" w:rsidRPr="004761E0" w:rsidRDefault="00397040" w:rsidP="00512DCC">
            <w:pPr>
              <w:ind w:firstLine="0"/>
              <w:jc w:val="right"/>
              <w:rPr>
                <w:rFonts w:eastAsia="Times New Roman"/>
                <w:sz w:val="20"/>
                <w:szCs w:val="20"/>
                <w:lang w:eastAsia="ru-RU"/>
              </w:rPr>
            </w:pPr>
            <w:r w:rsidRPr="004761E0">
              <w:rPr>
                <w:rFonts w:eastAsia="Times New Roman"/>
                <w:sz w:val="20"/>
                <w:szCs w:val="20"/>
                <w:lang w:eastAsia="ru-RU"/>
              </w:rPr>
              <w:t>265 575</w:t>
            </w:r>
          </w:p>
        </w:tc>
        <w:tc>
          <w:tcPr>
            <w:tcW w:w="1134" w:type="dxa"/>
            <w:tcBorders>
              <w:top w:val="nil"/>
              <w:left w:val="nil"/>
              <w:bottom w:val="single" w:sz="4" w:space="0" w:color="auto"/>
              <w:right w:val="single" w:sz="4" w:space="0" w:color="auto"/>
            </w:tcBorders>
            <w:shd w:val="clear" w:color="auto" w:fill="auto"/>
            <w:vAlign w:val="center"/>
          </w:tcPr>
          <w:p w:rsidR="00397040" w:rsidRPr="004761E0" w:rsidRDefault="00397040" w:rsidP="00512DCC">
            <w:pPr>
              <w:ind w:firstLine="0"/>
              <w:jc w:val="right"/>
              <w:rPr>
                <w:rFonts w:eastAsia="Times New Roman"/>
                <w:sz w:val="20"/>
                <w:szCs w:val="20"/>
                <w:lang w:eastAsia="ru-RU"/>
              </w:rPr>
            </w:pPr>
            <w:r w:rsidRPr="004761E0">
              <w:rPr>
                <w:rFonts w:eastAsia="Times New Roman"/>
                <w:sz w:val="20"/>
                <w:szCs w:val="20"/>
                <w:lang w:eastAsia="ru-RU"/>
              </w:rPr>
              <w:t>286 747</w:t>
            </w:r>
          </w:p>
        </w:tc>
        <w:tc>
          <w:tcPr>
            <w:tcW w:w="1134" w:type="dxa"/>
            <w:tcBorders>
              <w:top w:val="nil"/>
              <w:left w:val="nil"/>
              <w:bottom w:val="single" w:sz="4" w:space="0" w:color="auto"/>
              <w:right w:val="single" w:sz="4" w:space="0" w:color="auto"/>
            </w:tcBorders>
            <w:shd w:val="clear" w:color="auto" w:fill="auto"/>
            <w:vAlign w:val="center"/>
          </w:tcPr>
          <w:p w:rsidR="00397040" w:rsidRPr="004761E0" w:rsidRDefault="00397040" w:rsidP="00512DCC">
            <w:pPr>
              <w:ind w:firstLine="0"/>
              <w:jc w:val="right"/>
              <w:rPr>
                <w:rFonts w:eastAsia="Times New Roman"/>
                <w:sz w:val="20"/>
                <w:szCs w:val="20"/>
                <w:lang w:eastAsia="ru-RU"/>
              </w:rPr>
            </w:pPr>
            <w:r w:rsidRPr="004761E0">
              <w:rPr>
                <w:rFonts w:eastAsia="Times New Roman"/>
                <w:sz w:val="20"/>
                <w:szCs w:val="20"/>
                <w:lang w:eastAsia="ru-RU"/>
              </w:rPr>
              <w:t>299 675</w:t>
            </w:r>
          </w:p>
        </w:tc>
        <w:tc>
          <w:tcPr>
            <w:tcW w:w="1134" w:type="dxa"/>
            <w:tcBorders>
              <w:top w:val="nil"/>
              <w:left w:val="nil"/>
              <w:bottom w:val="single" w:sz="4" w:space="0" w:color="auto"/>
              <w:right w:val="single" w:sz="4" w:space="0" w:color="auto"/>
            </w:tcBorders>
            <w:shd w:val="clear" w:color="auto" w:fill="auto"/>
            <w:vAlign w:val="center"/>
          </w:tcPr>
          <w:p w:rsidR="00397040" w:rsidRPr="004761E0" w:rsidRDefault="00397040" w:rsidP="00512DCC">
            <w:pPr>
              <w:ind w:firstLine="0"/>
              <w:jc w:val="right"/>
              <w:rPr>
                <w:rFonts w:eastAsia="Times New Roman"/>
                <w:sz w:val="20"/>
                <w:szCs w:val="20"/>
                <w:lang w:eastAsia="ru-RU"/>
              </w:rPr>
            </w:pPr>
            <w:r w:rsidRPr="004761E0">
              <w:rPr>
                <w:rFonts w:eastAsia="Times New Roman"/>
                <w:sz w:val="20"/>
                <w:szCs w:val="20"/>
                <w:lang w:eastAsia="ru-RU"/>
              </w:rPr>
              <w:t>4,51 %</w:t>
            </w:r>
          </w:p>
        </w:tc>
      </w:tr>
      <w:tr w:rsidR="00397040" w:rsidRPr="004761E0" w:rsidTr="00512D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397040" w:rsidRPr="004761E0" w:rsidRDefault="00397040" w:rsidP="007076A7">
            <w:pPr>
              <w:pStyle w:val="a5"/>
              <w:numPr>
                <w:ilvl w:val="1"/>
                <w:numId w:val="202"/>
              </w:numPr>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397040" w:rsidRPr="004761E0" w:rsidRDefault="00397040" w:rsidP="00512DCC">
            <w:pPr>
              <w:ind w:firstLineChars="200" w:firstLine="400"/>
              <w:jc w:val="left"/>
              <w:rPr>
                <w:rFonts w:eastAsia="Times New Roman"/>
                <w:sz w:val="20"/>
                <w:szCs w:val="20"/>
                <w:lang w:eastAsia="ru-RU"/>
              </w:rPr>
            </w:pPr>
            <w:r w:rsidRPr="004761E0">
              <w:rPr>
                <w:rFonts w:eastAsia="Times New Roman"/>
                <w:sz w:val="20"/>
                <w:szCs w:val="20"/>
                <w:lang w:eastAsia="ru-RU"/>
              </w:rPr>
              <w:t>внеоборотные активы</w:t>
            </w:r>
          </w:p>
        </w:tc>
        <w:tc>
          <w:tcPr>
            <w:tcW w:w="1134" w:type="dxa"/>
            <w:tcBorders>
              <w:top w:val="nil"/>
              <w:left w:val="nil"/>
              <w:bottom w:val="single" w:sz="4" w:space="0" w:color="auto"/>
              <w:right w:val="single" w:sz="4" w:space="0" w:color="auto"/>
            </w:tcBorders>
            <w:shd w:val="clear" w:color="auto" w:fill="auto"/>
            <w:vAlign w:val="center"/>
          </w:tcPr>
          <w:p w:rsidR="00397040" w:rsidRPr="004761E0" w:rsidRDefault="00397040" w:rsidP="00512DCC">
            <w:pPr>
              <w:ind w:firstLine="0"/>
              <w:jc w:val="right"/>
              <w:rPr>
                <w:rFonts w:eastAsia="Times New Roman"/>
                <w:sz w:val="20"/>
                <w:szCs w:val="20"/>
                <w:lang w:eastAsia="ru-RU"/>
              </w:rPr>
            </w:pPr>
            <w:r w:rsidRPr="004761E0">
              <w:rPr>
                <w:rFonts w:eastAsia="Times New Roman"/>
                <w:sz w:val="20"/>
                <w:szCs w:val="20"/>
                <w:lang w:eastAsia="ru-RU"/>
              </w:rPr>
              <w:t>203 523</w:t>
            </w:r>
          </w:p>
        </w:tc>
        <w:tc>
          <w:tcPr>
            <w:tcW w:w="1134" w:type="dxa"/>
            <w:tcBorders>
              <w:top w:val="nil"/>
              <w:left w:val="nil"/>
              <w:bottom w:val="single" w:sz="4" w:space="0" w:color="auto"/>
              <w:right w:val="single" w:sz="4" w:space="0" w:color="auto"/>
            </w:tcBorders>
            <w:shd w:val="clear" w:color="auto" w:fill="auto"/>
            <w:vAlign w:val="center"/>
          </w:tcPr>
          <w:p w:rsidR="00397040" w:rsidRPr="004761E0" w:rsidRDefault="00397040" w:rsidP="00512DCC">
            <w:pPr>
              <w:ind w:firstLine="0"/>
              <w:jc w:val="right"/>
              <w:rPr>
                <w:rFonts w:eastAsia="Times New Roman"/>
                <w:sz w:val="20"/>
                <w:szCs w:val="20"/>
                <w:lang w:eastAsia="ru-RU"/>
              </w:rPr>
            </w:pPr>
            <w:r w:rsidRPr="004761E0">
              <w:rPr>
                <w:rFonts w:eastAsia="Times New Roman"/>
                <w:sz w:val="20"/>
                <w:szCs w:val="20"/>
                <w:lang w:eastAsia="ru-RU"/>
              </w:rPr>
              <w:t>224 687</w:t>
            </w:r>
          </w:p>
        </w:tc>
        <w:tc>
          <w:tcPr>
            <w:tcW w:w="1134" w:type="dxa"/>
            <w:tcBorders>
              <w:top w:val="nil"/>
              <w:left w:val="nil"/>
              <w:bottom w:val="single" w:sz="4" w:space="0" w:color="auto"/>
              <w:right w:val="single" w:sz="4" w:space="0" w:color="auto"/>
            </w:tcBorders>
            <w:shd w:val="clear" w:color="auto" w:fill="auto"/>
            <w:vAlign w:val="center"/>
          </w:tcPr>
          <w:p w:rsidR="00397040" w:rsidRPr="004761E0" w:rsidRDefault="00397040" w:rsidP="00512DCC">
            <w:pPr>
              <w:ind w:firstLine="0"/>
              <w:jc w:val="right"/>
              <w:rPr>
                <w:rFonts w:eastAsia="Times New Roman"/>
                <w:sz w:val="20"/>
                <w:szCs w:val="20"/>
                <w:lang w:eastAsia="ru-RU"/>
              </w:rPr>
            </w:pPr>
            <w:r w:rsidRPr="004761E0">
              <w:rPr>
                <w:rFonts w:eastAsia="Times New Roman"/>
                <w:sz w:val="20"/>
                <w:szCs w:val="20"/>
                <w:lang w:eastAsia="ru-RU"/>
              </w:rPr>
              <w:t>260 154</w:t>
            </w:r>
          </w:p>
        </w:tc>
        <w:tc>
          <w:tcPr>
            <w:tcW w:w="1134" w:type="dxa"/>
            <w:tcBorders>
              <w:top w:val="nil"/>
              <w:left w:val="nil"/>
              <w:bottom w:val="single" w:sz="4" w:space="0" w:color="auto"/>
              <w:right w:val="single" w:sz="4" w:space="0" w:color="auto"/>
            </w:tcBorders>
            <w:shd w:val="clear" w:color="auto" w:fill="auto"/>
            <w:vAlign w:val="center"/>
          </w:tcPr>
          <w:p w:rsidR="00397040" w:rsidRPr="004761E0" w:rsidRDefault="00397040" w:rsidP="00512DCC">
            <w:pPr>
              <w:ind w:firstLine="0"/>
              <w:jc w:val="right"/>
              <w:rPr>
                <w:rFonts w:eastAsia="Times New Roman"/>
                <w:sz w:val="20"/>
                <w:szCs w:val="20"/>
                <w:lang w:eastAsia="ru-RU"/>
              </w:rPr>
            </w:pPr>
            <w:r w:rsidRPr="004761E0">
              <w:rPr>
                <w:rFonts w:eastAsia="Times New Roman"/>
                <w:sz w:val="20"/>
                <w:szCs w:val="20"/>
                <w:lang w:eastAsia="ru-RU"/>
              </w:rPr>
              <w:t>15,79 %</w:t>
            </w:r>
          </w:p>
        </w:tc>
      </w:tr>
      <w:tr w:rsidR="00397040" w:rsidRPr="004761E0" w:rsidTr="00512D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397040" w:rsidRPr="004761E0" w:rsidRDefault="00397040" w:rsidP="007076A7">
            <w:pPr>
              <w:pStyle w:val="a5"/>
              <w:numPr>
                <w:ilvl w:val="1"/>
                <w:numId w:val="202"/>
              </w:numPr>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397040" w:rsidRPr="004761E0" w:rsidRDefault="00397040" w:rsidP="00512DCC">
            <w:pPr>
              <w:ind w:firstLineChars="200" w:firstLine="400"/>
              <w:jc w:val="left"/>
              <w:rPr>
                <w:rFonts w:eastAsia="Times New Roman"/>
                <w:sz w:val="20"/>
                <w:szCs w:val="20"/>
                <w:lang w:eastAsia="ru-RU"/>
              </w:rPr>
            </w:pPr>
            <w:r w:rsidRPr="004761E0">
              <w:rPr>
                <w:rFonts w:eastAsia="Times New Roman"/>
                <w:sz w:val="20"/>
                <w:szCs w:val="20"/>
                <w:lang w:eastAsia="ru-RU"/>
              </w:rPr>
              <w:t>оборотные активы</w:t>
            </w:r>
          </w:p>
        </w:tc>
        <w:tc>
          <w:tcPr>
            <w:tcW w:w="1134" w:type="dxa"/>
            <w:tcBorders>
              <w:top w:val="nil"/>
              <w:left w:val="nil"/>
              <w:bottom w:val="single" w:sz="4" w:space="0" w:color="auto"/>
              <w:right w:val="single" w:sz="4" w:space="0" w:color="auto"/>
            </w:tcBorders>
            <w:shd w:val="clear" w:color="auto" w:fill="auto"/>
            <w:vAlign w:val="center"/>
          </w:tcPr>
          <w:p w:rsidR="00397040" w:rsidRPr="004761E0" w:rsidRDefault="00397040" w:rsidP="00512DCC">
            <w:pPr>
              <w:ind w:firstLine="0"/>
              <w:jc w:val="right"/>
              <w:rPr>
                <w:rFonts w:eastAsia="Times New Roman"/>
                <w:sz w:val="20"/>
                <w:szCs w:val="20"/>
                <w:lang w:eastAsia="ru-RU"/>
              </w:rPr>
            </w:pPr>
            <w:r w:rsidRPr="004761E0">
              <w:rPr>
                <w:rFonts w:eastAsia="Times New Roman"/>
                <w:sz w:val="20"/>
                <w:szCs w:val="20"/>
                <w:lang w:eastAsia="ru-RU"/>
              </w:rPr>
              <w:t>62 052</w:t>
            </w:r>
          </w:p>
        </w:tc>
        <w:tc>
          <w:tcPr>
            <w:tcW w:w="1134" w:type="dxa"/>
            <w:tcBorders>
              <w:top w:val="nil"/>
              <w:left w:val="nil"/>
              <w:bottom w:val="single" w:sz="4" w:space="0" w:color="auto"/>
              <w:right w:val="single" w:sz="4" w:space="0" w:color="auto"/>
            </w:tcBorders>
            <w:shd w:val="clear" w:color="auto" w:fill="auto"/>
            <w:vAlign w:val="center"/>
          </w:tcPr>
          <w:p w:rsidR="00397040" w:rsidRPr="004761E0" w:rsidRDefault="00397040" w:rsidP="00512DCC">
            <w:pPr>
              <w:ind w:firstLine="0"/>
              <w:jc w:val="right"/>
              <w:rPr>
                <w:rFonts w:eastAsia="Times New Roman"/>
                <w:sz w:val="20"/>
                <w:szCs w:val="20"/>
                <w:lang w:eastAsia="ru-RU"/>
              </w:rPr>
            </w:pPr>
            <w:r w:rsidRPr="004761E0">
              <w:rPr>
                <w:rFonts w:eastAsia="Times New Roman"/>
                <w:sz w:val="20"/>
                <w:szCs w:val="20"/>
                <w:lang w:eastAsia="ru-RU"/>
              </w:rPr>
              <w:t>62 060</w:t>
            </w:r>
          </w:p>
        </w:tc>
        <w:tc>
          <w:tcPr>
            <w:tcW w:w="1134" w:type="dxa"/>
            <w:tcBorders>
              <w:top w:val="nil"/>
              <w:left w:val="nil"/>
              <w:bottom w:val="single" w:sz="4" w:space="0" w:color="auto"/>
              <w:right w:val="single" w:sz="4" w:space="0" w:color="auto"/>
            </w:tcBorders>
            <w:shd w:val="clear" w:color="auto" w:fill="auto"/>
            <w:vAlign w:val="center"/>
          </w:tcPr>
          <w:p w:rsidR="00397040" w:rsidRPr="004761E0" w:rsidRDefault="00397040" w:rsidP="00512DCC">
            <w:pPr>
              <w:ind w:firstLine="0"/>
              <w:jc w:val="right"/>
              <w:rPr>
                <w:rFonts w:eastAsia="Times New Roman"/>
                <w:sz w:val="20"/>
                <w:szCs w:val="20"/>
                <w:lang w:eastAsia="ru-RU"/>
              </w:rPr>
            </w:pPr>
            <w:r w:rsidRPr="004761E0">
              <w:rPr>
                <w:rFonts w:eastAsia="Times New Roman"/>
                <w:sz w:val="20"/>
                <w:szCs w:val="20"/>
                <w:lang w:eastAsia="ru-RU"/>
              </w:rPr>
              <w:t>39 521</w:t>
            </w:r>
          </w:p>
        </w:tc>
        <w:tc>
          <w:tcPr>
            <w:tcW w:w="1134" w:type="dxa"/>
            <w:tcBorders>
              <w:top w:val="nil"/>
              <w:left w:val="nil"/>
              <w:bottom w:val="single" w:sz="4" w:space="0" w:color="auto"/>
              <w:right w:val="single" w:sz="4" w:space="0" w:color="auto"/>
            </w:tcBorders>
            <w:shd w:val="clear" w:color="auto" w:fill="auto"/>
            <w:vAlign w:val="center"/>
          </w:tcPr>
          <w:p w:rsidR="00397040" w:rsidRPr="004761E0" w:rsidRDefault="00397040" w:rsidP="00512DCC">
            <w:pPr>
              <w:ind w:firstLine="0"/>
              <w:jc w:val="right"/>
              <w:rPr>
                <w:rFonts w:eastAsia="Times New Roman"/>
                <w:sz w:val="20"/>
                <w:szCs w:val="20"/>
                <w:lang w:eastAsia="ru-RU"/>
              </w:rPr>
            </w:pPr>
            <w:r w:rsidRPr="004761E0">
              <w:rPr>
                <w:rFonts w:eastAsia="Times New Roman"/>
                <w:sz w:val="20"/>
                <w:szCs w:val="20"/>
                <w:lang w:eastAsia="ru-RU"/>
              </w:rPr>
              <w:t>-36,32 %</w:t>
            </w:r>
          </w:p>
        </w:tc>
      </w:tr>
      <w:tr w:rsidR="00397040" w:rsidRPr="004761E0" w:rsidTr="00512D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397040" w:rsidRPr="004761E0" w:rsidRDefault="00397040" w:rsidP="007076A7">
            <w:pPr>
              <w:numPr>
                <w:ilvl w:val="0"/>
                <w:numId w:val="202"/>
              </w:numPr>
              <w:jc w:val="left"/>
              <w:rPr>
                <w:rFonts w:eastAsia="Times New Roman"/>
                <w:b/>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397040" w:rsidRPr="004761E0" w:rsidRDefault="00397040" w:rsidP="00512DCC">
            <w:pPr>
              <w:ind w:firstLine="0"/>
              <w:jc w:val="left"/>
              <w:rPr>
                <w:rFonts w:eastAsia="Times New Roman"/>
                <w:sz w:val="20"/>
                <w:szCs w:val="20"/>
                <w:lang w:eastAsia="ru-RU"/>
              </w:rPr>
            </w:pPr>
            <w:r w:rsidRPr="004761E0">
              <w:rPr>
                <w:rFonts w:eastAsia="Times New Roman"/>
                <w:sz w:val="20"/>
                <w:szCs w:val="20"/>
                <w:lang w:eastAsia="ru-RU"/>
              </w:rPr>
              <w:t>Пассивы, млн руб. (всего), в т.ч.:</w:t>
            </w:r>
          </w:p>
        </w:tc>
        <w:tc>
          <w:tcPr>
            <w:tcW w:w="1134" w:type="dxa"/>
            <w:tcBorders>
              <w:top w:val="nil"/>
              <w:left w:val="nil"/>
              <w:bottom w:val="single" w:sz="4" w:space="0" w:color="auto"/>
              <w:right w:val="single" w:sz="4" w:space="0" w:color="auto"/>
            </w:tcBorders>
            <w:shd w:val="clear" w:color="auto" w:fill="auto"/>
            <w:vAlign w:val="center"/>
          </w:tcPr>
          <w:p w:rsidR="00397040" w:rsidRPr="004761E0" w:rsidRDefault="00397040" w:rsidP="00512DCC">
            <w:pPr>
              <w:ind w:firstLine="0"/>
              <w:jc w:val="right"/>
              <w:rPr>
                <w:rFonts w:eastAsia="Times New Roman"/>
                <w:sz w:val="20"/>
                <w:szCs w:val="20"/>
                <w:lang w:eastAsia="ru-RU"/>
              </w:rPr>
            </w:pPr>
            <w:r w:rsidRPr="004761E0">
              <w:rPr>
                <w:rFonts w:eastAsia="Times New Roman"/>
                <w:sz w:val="20"/>
                <w:szCs w:val="20"/>
                <w:lang w:eastAsia="ru-RU"/>
              </w:rPr>
              <w:t>265 575</w:t>
            </w:r>
          </w:p>
        </w:tc>
        <w:tc>
          <w:tcPr>
            <w:tcW w:w="1134" w:type="dxa"/>
            <w:tcBorders>
              <w:top w:val="nil"/>
              <w:left w:val="nil"/>
              <w:bottom w:val="single" w:sz="4" w:space="0" w:color="auto"/>
              <w:right w:val="single" w:sz="4" w:space="0" w:color="auto"/>
            </w:tcBorders>
            <w:shd w:val="clear" w:color="auto" w:fill="auto"/>
            <w:vAlign w:val="center"/>
          </w:tcPr>
          <w:p w:rsidR="00397040" w:rsidRPr="004761E0" w:rsidRDefault="00397040" w:rsidP="00512DCC">
            <w:pPr>
              <w:ind w:firstLine="0"/>
              <w:jc w:val="right"/>
              <w:rPr>
                <w:rFonts w:eastAsia="Times New Roman"/>
                <w:sz w:val="20"/>
                <w:szCs w:val="20"/>
                <w:lang w:eastAsia="ru-RU"/>
              </w:rPr>
            </w:pPr>
            <w:r w:rsidRPr="004761E0">
              <w:rPr>
                <w:rFonts w:eastAsia="Times New Roman"/>
                <w:sz w:val="20"/>
                <w:szCs w:val="20"/>
                <w:lang w:eastAsia="ru-RU"/>
              </w:rPr>
              <w:t>286 747</w:t>
            </w:r>
          </w:p>
        </w:tc>
        <w:tc>
          <w:tcPr>
            <w:tcW w:w="1134" w:type="dxa"/>
            <w:tcBorders>
              <w:top w:val="nil"/>
              <w:left w:val="nil"/>
              <w:bottom w:val="single" w:sz="4" w:space="0" w:color="auto"/>
              <w:right w:val="single" w:sz="4" w:space="0" w:color="auto"/>
            </w:tcBorders>
            <w:shd w:val="clear" w:color="auto" w:fill="auto"/>
            <w:vAlign w:val="center"/>
          </w:tcPr>
          <w:p w:rsidR="00397040" w:rsidRPr="004761E0" w:rsidRDefault="00397040" w:rsidP="00512DCC">
            <w:pPr>
              <w:ind w:firstLine="0"/>
              <w:jc w:val="right"/>
              <w:rPr>
                <w:rFonts w:eastAsia="Times New Roman"/>
                <w:sz w:val="20"/>
                <w:szCs w:val="20"/>
                <w:lang w:eastAsia="ru-RU"/>
              </w:rPr>
            </w:pPr>
            <w:r w:rsidRPr="004761E0">
              <w:rPr>
                <w:rFonts w:eastAsia="Times New Roman"/>
                <w:sz w:val="20"/>
                <w:szCs w:val="20"/>
                <w:lang w:eastAsia="ru-RU"/>
              </w:rPr>
              <w:t>299 675</w:t>
            </w:r>
          </w:p>
        </w:tc>
        <w:tc>
          <w:tcPr>
            <w:tcW w:w="1134" w:type="dxa"/>
            <w:tcBorders>
              <w:top w:val="nil"/>
              <w:left w:val="nil"/>
              <w:bottom w:val="single" w:sz="4" w:space="0" w:color="auto"/>
              <w:right w:val="single" w:sz="4" w:space="0" w:color="auto"/>
            </w:tcBorders>
            <w:shd w:val="clear" w:color="auto" w:fill="auto"/>
            <w:vAlign w:val="center"/>
          </w:tcPr>
          <w:p w:rsidR="00397040" w:rsidRPr="004761E0" w:rsidRDefault="00397040" w:rsidP="00512DCC">
            <w:pPr>
              <w:ind w:firstLine="0"/>
              <w:jc w:val="right"/>
              <w:rPr>
                <w:rFonts w:eastAsia="Times New Roman"/>
                <w:sz w:val="20"/>
                <w:szCs w:val="20"/>
                <w:lang w:eastAsia="ru-RU"/>
              </w:rPr>
            </w:pPr>
            <w:r w:rsidRPr="004761E0">
              <w:rPr>
                <w:rFonts w:eastAsia="Times New Roman"/>
                <w:sz w:val="20"/>
                <w:szCs w:val="20"/>
                <w:lang w:eastAsia="ru-RU"/>
              </w:rPr>
              <w:t>4,51 %</w:t>
            </w:r>
          </w:p>
        </w:tc>
      </w:tr>
      <w:tr w:rsidR="00397040" w:rsidRPr="004761E0" w:rsidTr="00512DC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202"/>
              </w:numPr>
              <w:jc w:val="left"/>
              <w:rPr>
                <w:rFonts w:eastAsia="Times New Roman"/>
                <w:color w:val="000000"/>
                <w:sz w:val="20"/>
                <w:szCs w:val="20"/>
                <w:lang w:eastAsia="ru-RU"/>
              </w:rPr>
            </w:pPr>
          </w:p>
        </w:tc>
        <w:tc>
          <w:tcPr>
            <w:tcW w:w="5103" w:type="dxa"/>
            <w:tcBorders>
              <w:top w:val="single" w:sz="4" w:space="0" w:color="auto"/>
              <w:left w:val="nil"/>
              <w:bottom w:val="single" w:sz="4" w:space="0" w:color="auto"/>
              <w:right w:val="single" w:sz="4" w:space="0" w:color="auto"/>
            </w:tcBorders>
            <w:shd w:val="clear" w:color="auto" w:fill="auto"/>
            <w:vAlign w:val="center"/>
          </w:tcPr>
          <w:p w:rsidR="00397040" w:rsidRPr="004761E0" w:rsidRDefault="00397040" w:rsidP="00512DCC">
            <w:pPr>
              <w:ind w:firstLineChars="200" w:firstLine="400"/>
              <w:jc w:val="left"/>
              <w:rPr>
                <w:rFonts w:eastAsia="Times New Roman"/>
                <w:sz w:val="20"/>
                <w:szCs w:val="20"/>
                <w:lang w:eastAsia="ru-RU"/>
              </w:rPr>
            </w:pPr>
            <w:r w:rsidRPr="004761E0">
              <w:rPr>
                <w:rFonts w:eastAsia="Times New Roman"/>
                <w:sz w:val="20"/>
                <w:szCs w:val="20"/>
                <w:lang w:eastAsia="ru-RU"/>
              </w:rPr>
              <w:t>капитал и резервы</w:t>
            </w:r>
          </w:p>
        </w:tc>
        <w:tc>
          <w:tcPr>
            <w:tcW w:w="1134" w:type="dxa"/>
            <w:tcBorders>
              <w:top w:val="single" w:sz="4" w:space="0" w:color="auto"/>
              <w:left w:val="nil"/>
              <w:bottom w:val="single" w:sz="4" w:space="0" w:color="auto"/>
              <w:right w:val="single" w:sz="4" w:space="0" w:color="auto"/>
            </w:tcBorders>
            <w:shd w:val="clear" w:color="auto" w:fill="auto"/>
            <w:vAlign w:val="center"/>
          </w:tcPr>
          <w:p w:rsidR="00397040" w:rsidRPr="004761E0" w:rsidRDefault="00397040" w:rsidP="00512DCC">
            <w:pPr>
              <w:ind w:firstLine="0"/>
              <w:jc w:val="right"/>
              <w:rPr>
                <w:rFonts w:eastAsia="Times New Roman"/>
                <w:sz w:val="20"/>
                <w:szCs w:val="20"/>
                <w:lang w:eastAsia="ru-RU"/>
              </w:rPr>
            </w:pPr>
            <w:r w:rsidRPr="004761E0">
              <w:rPr>
                <w:rFonts w:eastAsia="Times New Roman"/>
                <w:sz w:val="20"/>
                <w:szCs w:val="20"/>
                <w:lang w:eastAsia="ru-RU"/>
              </w:rPr>
              <w:t>155 178</w:t>
            </w:r>
          </w:p>
        </w:tc>
        <w:tc>
          <w:tcPr>
            <w:tcW w:w="1134" w:type="dxa"/>
            <w:tcBorders>
              <w:top w:val="single" w:sz="4" w:space="0" w:color="auto"/>
              <w:left w:val="nil"/>
              <w:bottom w:val="single" w:sz="4" w:space="0" w:color="auto"/>
              <w:right w:val="single" w:sz="4" w:space="0" w:color="auto"/>
            </w:tcBorders>
            <w:shd w:val="clear" w:color="auto" w:fill="auto"/>
            <w:vAlign w:val="center"/>
          </w:tcPr>
          <w:p w:rsidR="00397040" w:rsidRPr="004761E0" w:rsidRDefault="00397040" w:rsidP="00512DCC">
            <w:pPr>
              <w:ind w:firstLine="0"/>
              <w:jc w:val="right"/>
              <w:rPr>
                <w:rFonts w:eastAsia="Times New Roman"/>
                <w:sz w:val="20"/>
                <w:szCs w:val="20"/>
                <w:lang w:eastAsia="ru-RU"/>
              </w:rPr>
            </w:pPr>
            <w:r w:rsidRPr="004761E0">
              <w:rPr>
                <w:rFonts w:eastAsia="Times New Roman"/>
                <w:sz w:val="20"/>
                <w:szCs w:val="20"/>
                <w:lang w:eastAsia="ru-RU"/>
              </w:rPr>
              <w:t>171 144</w:t>
            </w:r>
          </w:p>
        </w:tc>
        <w:tc>
          <w:tcPr>
            <w:tcW w:w="1134" w:type="dxa"/>
            <w:tcBorders>
              <w:top w:val="single" w:sz="4" w:space="0" w:color="auto"/>
              <w:left w:val="nil"/>
              <w:bottom w:val="single" w:sz="4" w:space="0" w:color="auto"/>
              <w:right w:val="single" w:sz="4" w:space="0" w:color="auto"/>
            </w:tcBorders>
            <w:shd w:val="clear" w:color="auto" w:fill="auto"/>
            <w:vAlign w:val="center"/>
          </w:tcPr>
          <w:p w:rsidR="00397040" w:rsidRPr="004761E0" w:rsidRDefault="00397040" w:rsidP="00512DCC">
            <w:pPr>
              <w:ind w:firstLine="0"/>
              <w:jc w:val="right"/>
              <w:rPr>
                <w:rFonts w:eastAsia="Times New Roman"/>
                <w:sz w:val="20"/>
                <w:szCs w:val="20"/>
                <w:lang w:eastAsia="ru-RU"/>
              </w:rPr>
            </w:pPr>
            <w:r w:rsidRPr="004761E0">
              <w:rPr>
                <w:rFonts w:eastAsia="Times New Roman"/>
                <w:sz w:val="20"/>
                <w:szCs w:val="20"/>
                <w:lang w:eastAsia="ru-RU"/>
              </w:rPr>
              <w:t>178 489</w:t>
            </w:r>
          </w:p>
        </w:tc>
        <w:tc>
          <w:tcPr>
            <w:tcW w:w="1134" w:type="dxa"/>
            <w:tcBorders>
              <w:top w:val="single" w:sz="4" w:space="0" w:color="auto"/>
              <w:left w:val="nil"/>
              <w:bottom w:val="single" w:sz="4" w:space="0" w:color="auto"/>
              <w:right w:val="single" w:sz="4" w:space="0" w:color="auto"/>
            </w:tcBorders>
            <w:shd w:val="clear" w:color="auto" w:fill="auto"/>
            <w:vAlign w:val="center"/>
          </w:tcPr>
          <w:p w:rsidR="00397040" w:rsidRPr="004761E0" w:rsidRDefault="00397040" w:rsidP="00512DCC">
            <w:pPr>
              <w:ind w:firstLine="0"/>
              <w:jc w:val="right"/>
              <w:rPr>
                <w:rFonts w:eastAsia="Times New Roman"/>
                <w:sz w:val="20"/>
                <w:szCs w:val="20"/>
                <w:lang w:eastAsia="ru-RU"/>
              </w:rPr>
            </w:pPr>
            <w:r w:rsidRPr="004761E0">
              <w:rPr>
                <w:rFonts w:eastAsia="Times New Roman"/>
                <w:sz w:val="20"/>
                <w:szCs w:val="20"/>
                <w:lang w:eastAsia="ru-RU"/>
              </w:rPr>
              <w:t>4,29 %</w:t>
            </w:r>
          </w:p>
        </w:tc>
      </w:tr>
      <w:tr w:rsidR="00397040" w:rsidRPr="004761E0" w:rsidTr="00512DC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202"/>
              </w:numPr>
              <w:jc w:val="left"/>
              <w:rPr>
                <w:rFonts w:eastAsia="Times New Roman"/>
                <w:color w:val="000000"/>
                <w:sz w:val="20"/>
                <w:szCs w:val="20"/>
                <w:lang w:eastAsia="ru-RU"/>
              </w:rPr>
            </w:pPr>
          </w:p>
        </w:tc>
        <w:tc>
          <w:tcPr>
            <w:tcW w:w="5103" w:type="dxa"/>
            <w:tcBorders>
              <w:top w:val="single" w:sz="4" w:space="0" w:color="auto"/>
              <w:left w:val="nil"/>
              <w:bottom w:val="single" w:sz="4" w:space="0" w:color="auto"/>
              <w:right w:val="single" w:sz="4" w:space="0" w:color="auto"/>
            </w:tcBorders>
            <w:shd w:val="clear" w:color="auto" w:fill="auto"/>
            <w:vAlign w:val="center"/>
          </w:tcPr>
          <w:p w:rsidR="00397040" w:rsidRPr="004761E0" w:rsidRDefault="00397040" w:rsidP="00512DCC">
            <w:pPr>
              <w:ind w:firstLineChars="200" w:firstLine="400"/>
              <w:jc w:val="left"/>
              <w:rPr>
                <w:rFonts w:eastAsia="Times New Roman"/>
                <w:sz w:val="20"/>
                <w:szCs w:val="20"/>
                <w:lang w:eastAsia="ru-RU"/>
              </w:rPr>
            </w:pPr>
            <w:r w:rsidRPr="004761E0">
              <w:rPr>
                <w:rFonts w:eastAsia="Times New Roman"/>
                <w:sz w:val="20"/>
                <w:szCs w:val="20"/>
                <w:lang w:eastAsia="ru-RU"/>
              </w:rPr>
              <w:t>долгосрочные обязательства</w:t>
            </w:r>
          </w:p>
        </w:tc>
        <w:tc>
          <w:tcPr>
            <w:tcW w:w="1134" w:type="dxa"/>
            <w:tcBorders>
              <w:top w:val="single" w:sz="4" w:space="0" w:color="auto"/>
              <w:left w:val="nil"/>
              <w:bottom w:val="single" w:sz="4" w:space="0" w:color="auto"/>
              <w:right w:val="single" w:sz="4" w:space="0" w:color="auto"/>
            </w:tcBorders>
            <w:shd w:val="clear" w:color="auto" w:fill="auto"/>
            <w:vAlign w:val="center"/>
          </w:tcPr>
          <w:p w:rsidR="00397040" w:rsidRPr="004761E0" w:rsidRDefault="00397040" w:rsidP="00512DCC">
            <w:pPr>
              <w:ind w:firstLine="0"/>
              <w:jc w:val="right"/>
              <w:rPr>
                <w:rFonts w:eastAsia="Times New Roman"/>
                <w:sz w:val="20"/>
                <w:szCs w:val="20"/>
                <w:lang w:eastAsia="ru-RU"/>
              </w:rPr>
            </w:pPr>
            <w:r w:rsidRPr="004761E0">
              <w:rPr>
                <w:rFonts w:eastAsia="Times New Roman"/>
                <w:sz w:val="20"/>
                <w:szCs w:val="20"/>
                <w:lang w:eastAsia="ru-RU"/>
              </w:rPr>
              <w:t>51 760</w:t>
            </w:r>
          </w:p>
        </w:tc>
        <w:tc>
          <w:tcPr>
            <w:tcW w:w="1134" w:type="dxa"/>
            <w:tcBorders>
              <w:top w:val="single" w:sz="4" w:space="0" w:color="auto"/>
              <w:left w:val="nil"/>
              <w:bottom w:val="single" w:sz="4" w:space="0" w:color="auto"/>
              <w:right w:val="single" w:sz="4" w:space="0" w:color="auto"/>
            </w:tcBorders>
            <w:shd w:val="clear" w:color="auto" w:fill="auto"/>
            <w:vAlign w:val="center"/>
          </w:tcPr>
          <w:p w:rsidR="00397040" w:rsidRPr="004761E0" w:rsidRDefault="00397040" w:rsidP="00512DCC">
            <w:pPr>
              <w:ind w:firstLine="0"/>
              <w:jc w:val="right"/>
              <w:rPr>
                <w:rFonts w:eastAsia="Times New Roman"/>
                <w:sz w:val="20"/>
                <w:szCs w:val="20"/>
                <w:lang w:eastAsia="ru-RU"/>
              </w:rPr>
            </w:pPr>
            <w:r w:rsidRPr="004761E0">
              <w:rPr>
                <w:rFonts w:eastAsia="Times New Roman"/>
                <w:sz w:val="20"/>
                <w:szCs w:val="20"/>
                <w:lang w:eastAsia="ru-RU"/>
              </w:rPr>
              <w:t>55 385</w:t>
            </w:r>
          </w:p>
        </w:tc>
        <w:tc>
          <w:tcPr>
            <w:tcW w:w="1134" w:type="dxa"/>
            <w:tcBorders>
              <w:top w:val="single" w:sz="4" w:space="0" w:color="auto"/>
              <w:left w:val="nil"/>
              <w:bottom w:val="single" w:sz="4" w:space="0" w:color="auto"/>
              <w:right w:val="single" w:sz="4" w:space="0" w:color="auto"/>
            </w:tcBorders>
            <w:shd w:val="clear" w:color="auto" w:fill="auto"/>
            <w:vAlign w:val="center"/>
          </w:tcPr>
          <w:p w:rsidR="00397040" w:rsidRPr="004761E0" w:rsidRDefault="00397040" w:rsidP="00512DCC">
            <w:pPr>
              <w:ind w:firstLine="0"/>
              <w:jc w:val="right"/>
              <w:rPr>
                <w:rFonts w:eastAsia="Times New Roman"/>
                <w:sz w:val="20"/>
                <w:szCs w:val="20"/>
                <w:lang w:eastAsia="ru-RU"/>
              </w:rPr>
            </w:pPr>
            <w:r w:rsidRPr="004761E0">
              <w:rPr>
                <w:rFonts w:eastAsia="Times New Roman"/>
                <w:sz w:val="20"/>
                <w:szCs w:val="20"/>
                <w:lang w:eastAsia="ru-RU"/>
              </w:rPr>
              <w:t>63 045</w:t>
            </w:r>
          </w:p>
        </w:tc>
        <w:tc>
          <w:tcPr>
            <w:tcW w:w="1134" w:type="dxa"/>
            <w:tcBorders>
              <w:top w:val="single" w:sz="4" w:space="0" w:color="auto"/>
              <w:left w:val="nil"/>
              <w:bottom w:val="single" w:sz="4" w:space="0" w:color="auto"/>
              <w:right w:val="single" w:sz="4" w:space="0" w:color="auto"/>
            </w:tcBorders>
            <w:shd w:val="clear" w:color="auto" w:fill="auto"/>
            <w:vAlign w:val="center"/>
          </w:tcPr>
          <w:p w:rsidR="00397040" w:rsidRPr="004761E0" w:rsidRDefault="00397040" w:rsidP="00512DCC">
            <w:pPr>
              <w:ind w:firstLine="0"/>
              <w:jc w:val="right"/>
              <w:rPr>
                <w:rFonts w:eastAsia="Times New Roman"/>
                <w:sz w:val="20"/>
                <w:szCs w:val="20"/>
                <w:lang w:eastAsia="ru-RU"/>
              </w:rPr>
            </w:pPr>
            <w:r w:rsidRPr="004761E0">
              <w:rPr>
                <w:rFonts w:eastAsia="Times New Roman"/>
                <w:sz w:val="20"/>
                <w:szCs w:val="20"/>
                <w:lang w:eastAsia="ru-RU"/>
              </w:rPr>
              <w:t>13,83 %</w:t>
            </w:r>
          </w:p>
        </w:tc>
      </w:tr>
      <w:tr w:rsidR="00397040" w:rsidRPr="004761E0" w:rsidTr="00512DC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7076A7">
            <w:pPr>
              <w:pStyle w:val="a5"/>
              <w:numPr>
                <w:ilvl w:val="1"/>
                <w:numId w:val="202"/>
              </w:numPr>
              <w:jc w:val="left"/>
              <w:rPr>
                <w:rFonts w:eastAsia="Times New Roman"/>
                <w:color w:val="000000"/>
                <w:sz w:val="20"/>
                <w:szCs w:val="20"/>
                <w:lang w:eastAsia="ru-RU"/>
              </w:rPr>
            </w:pPr>
          </w:p>
        </w:tc>
        <w:tc>
          <w:tcPr>
            <w:tcW w:w="5103" w:type="dxa"/>
            <w:tcBorders>
              <w:top w:val="single" w:sz="4" w:space="0" w:color="auto"/>
              <w:left w:val="nil"/>
              <w:bottom w:val="single" w:sz="4" w:space="0" w:color="auto"/>
              <w:right w:val="single" w:sz="4" w:space="0" w:color="auto"/>
            </w:tcBorders>
            <w:shd w:val="clear" w:color="auto" w:fill="auto"/>
            <w:vAlign w:val="center"/>
          </w:tcPr>
          <w:p w:rsidR="00397040" w:rsidRPr="004761E0" w:rsidRDefault="00397040" w:rsidP="00512DCC">
            <w:pPr>
              <w:ind w:firstLineChars="200" w:firstLine="400"/>
              <w:jc w:val="left"/>
              <w:rPr>
                <w:rFonts w:eastAsia="Times New Roman"/>
                <w:sz w:val="20"/>
                <w:szCs w:val="20"/>
                <w:lang w:eastAsia="ru-RU"/>
              </w:rPr>
            </w:pPr>
            <w:r w:rsidRPr="004761E0">
              <w:rPr>
                <w:rFonts w:eastAsia="Times New Roman"/>
                <w:sz w:val="20"/>
                <w:szCs w:val="20"/>
                <w:lang w:eastAsia="ru-RU"/>
              </w:rPr>
              <w:t>краткосрочные обязательства</w:t>
            </w:r>
          </w:p>
        </w:tc>
        <w:tc>
          <w:tcPr>
            <w:tcW w:w="1134" w:type="dxa"/>
            <w:tcBorders>
              <w:top w:val="single" w:sz="4" w:space="0" w:color="auto"/>
              <w:left w:val="nil"/>
              <w:bottom w:val="single" w:sz="4" w:space="0" w:color="auto"/>
              <w:right w:val="single" w:sz="4" w:space="0" w:color="auto"/>
            </w:tcBorders>
            <w:shd w:val="clear" w:color="auto" w:fill="auto"/>
            <w:vAlign w:val="center"/>
          </w:tcPr>
          <w:p w:rsidR="00397040" w:rsidRPr="004761E0" w:rsidRDefault="00397040" w:rsidP="00512DCC">
            <w:pPr>
              <w:ind w:firstLine="0"/>
              <w:jc w:val="right"/>
              <w:rPr>
                <w:rFonts w:eastAsia="Times New Roman"/>
                <w:sz w:val="20"/>
                <w:szCs w:val="20"/>
                <w:lang w:eastAsia="ru-RU"/>
              </w:rPr>
            </w:pPr>
            <w:r w:rsidRPr="004761E0">
              <w:rPr>
                <w:rFonts w:eastAsia="Times New Roman"/>
                <w:sz w:val="20"/>
                <w:szCs w:val="20"/>
                <w:lang w:eastAsia="ru-RU"/>
              </w:rPr>
              <w:t>58 637</w:t>
            </w:r>
          </w:p>
        </w:tc>
        <w:tc>
          <w:tcPr>
            <w:tcW w:w="1134" w:type="dxa"/>
            <w:tcBorders>
              <w:top w:val="single" w:sz="4" w:space="0" w:color="auto"/>
              <w:left w:val="nil"/>
              <w:bottom w:val="single" w:sz="4" w:space="0" w:color="auto"/>
              <w:right w:val="single" w:sz="4" w:space="0" w:color="auto"/>
            </w:tcBorders>
            <w:shd w:val="clear" w:color="auto" w:fill="auto"/>
            <w:vAlign w:val="center"/>
          </w:tcPr>
          <w:p w:rsidR="00397040" w:rsidRPr="004761E0" w:rsidRDefault="00397040" w:rsidP="00512DCC">
            <w:pPr>
              <w:ind w:firstLine="0"/>
              <w:jc w:val="right"/>
              <w:rPr>
                <w:rFonts w:eastAsia="Times New Roman"/>
                <w:sz w:val="20"/>
                <w:szCs w:val="20"/>
                <w:lang w:eastAsia="ru-RU"/>
              </w:rPr>
            </w:pPr>
            <w:r w:rsidRPr="004761E0">
              <w:rPr>
                <w:rFonts w:eastAsia="Times New Roman"/>
                <w:sz w:val="20"/>
                <w:szCs w:val="20"/>
                <w:lang w:eastAsia="ru-RU"/>
              </w:rPr>
              <w:t>60 218</w:t>
            </w:r>
          </w:p>
        </w:tc>
        <w:tc>
          <w:tcPr>
            <w:tcW w:w="1134" w:type="dxa"/>
            <w:tcBorders>
              <w:top w:val="single" w:sz="4" w:space="0" w:color="auto"/>
              <w:left w:val="nil"/>
              <w:bottom w:val="single" w:sz="4" w:space="0" w:color="auto"/>
              <w:right w:val="single" w:sz="4" w:space="0" w:color="auto"/>
            </w:tcBorders>
            <w:shd w:val="clear" w:color="auto" w:fill="auto"/>
            <w:vAlign w:val="center"/>
          </w:tcPr>
          <w:p w:rsidR="00397040" w:rsidRPr="004761E0" w:rsidRDefault="00397040" w:rsidP="00512DCC">
            <w:pPr>
              <w:ind w:firstLine="0"/>
              <w:jc w:val="right"/>
              <w:rPr>
                <w:rFonts w:eastAsia="Times New Roman"/>
                <w:sz w:val="20"/>
                <w:szCs w:val="20"/>
                <w:lang w:eastAsia="ru-RU"/>
              </w:rPr>
            </w:pPr>
            <w:r w:rsidRPr="004761E0">
              <w:rPr>
                <w:rFonts w:eastAsia="Times New Roman"/>
                <w:sz w:val="20"/>
                <w:szCs w:val="20"/>
                <w:lang w:eastAsia="ru-RU"/>
              </w:rPr>
              <w:t>58 141</w:t>
            </w:r>
          </w:p>
        </w:tc>
        <w:tc>
          <w:tcPr>
            <w:tcW w:w="1134" w:type="dxa"/>
            <w:tcBorders>
              <w:top w:val="single" w:sz="4" w:space="0" w:color="auto"/>
              <w:left w:val="nil"/>
              <w:bottom w:val="single" w:sz="4" w:space="0" w:color="auto"/>
              <w:right w:val="single" w:sz="4" w:space="0" w:color="auto"/>
            </w:tcBorders>
            <w:shd w:val="clear" w:color="auto" w:fill="auto"/>
            <w:vAlign w:val="center"/>
          </w:tcPr>
          <w:p w:rsidR="00397040" w:rsidRPr="004761E0" w:rsidRDefault="00397040" w:rsidP="00512DCC">
            <w:pPr>
              <w:ind w:firstLine="0"/>
              <w:jc w:val="right"/>
              <w:rPr>
                <w:rFonts w:eastAsia="Times New Roman"/>
                <w:sz w:val="20"/>
                <w:szCs w:val="20"/>
                <w:lang w:eastAsia="ru-RU"/>
              </w:rPr>
            </w:pPr>
            <w:r w:rsidRPr="004761E0">
              <w:rPr>
                <w:rFonts w:eastAsia="Times New Roman"/>
                <w:sz w:val="20"/>
                <w:szCs w:val="20"/>
                <w:lang w:eastAsia="ru-RU"/>
              </w:rPr>
              <w:t>-3,45 %</w:t>
            </w:r>
          </w:p>
        </w:tc>
      </w:tr>
    </w:tbl>
    <w:p w:rsidR="00397040" w:rsidRPr="00397040" w:rsidRDefault="00397040" w:rsidP="00442E76">
      <w:pPr>
        <w:ind w:firstLine="567"/>
        <w:rPr>
          <w:rFonts w:eastAsia="Times New Roman"/>
          <w:sz w:val="26"/>
          <w:szCs w:val="26"/>
          <w:lang w:eastAsia="ru-RU"/>
        </w:rPr>
      </w:pPr>
      <w:r w:rsidRPr="00397040">
        <w:rPr>
          <w:rFonts w:eastAsia="Times New Roman"/>
          <w:sz w:val="26"/>
          <w:szCs w:val="26"/>
          <w:lang w:eastAsia="ru-RU"/>
        </w:rPr>
        <w:t>Бухгалтерская отчетность за 201</w:t>
      </w:r>
      <w:r w:rsidR="00442E76">
        <w:rPr>
          <w:rFonts w:eastAsia="Times New Roman"/>
          <w:sz w:val="26"/>
          <w:szCs w:val="26"/>
          <w:lang w:eastAsia="ru-RU"/>
        </w:rPr>
        <w:t>3</w:t>
      </w:r>
      <w:r w:rsidRPr="00397040">
        <w:rPr>
          <w:rFonts w:eastAsia="Times New Roman"/>
          <w:sz w:val="26"/>
          <w:szCs w:val="26"/>
          <w:lang w:eastAsia="ru-RU"/>
        </w:rPr>
        <w:t xml:space="preserve"> год</w:t>
      </w:r>
      <w:r w:rsidR="00442E76">
        <w:rPr>
          <w:rFonts w:eastAsia="Times New Roman"/>
          <w:sz w:val="26"/>
          <w:szCs w:val="26"/>
          <w:lang w:eastAsia="ru-RU"/>
        </w:rPr>
        <w:t>, подготовленная в соответствии с РСБУ, представлена</w:t>
      </w:r>
      <w:r w:rsidRPr="00397040">
        <w:rPr>
          <w:rFonts w:eastAsia="Times New Roman"/>
          <w:sz w:val="26"/>
          <w:szCs w:val="26"/>
          <w:lang w:eastAsia="ru-RU"/>
        </w:rPr>
        <w:t xml:space="preserve"> в Приложении </w:t>
      </w:r>
      <w:r w:rsidR="003146BC">
        <w:rPr>
          <w:rFonts w:eastAsia="Times New Roman"/>
          <w:sz w:val="26"/>
          <w:szCs w:val="26"/>
          <w:lang w:eastAsia="ru-RU"/>
        </w:rPr>
        <w:t>12.10</w:t>
      </w:r>
      <w:r w:rsidR="00442E76">
        <w:rPr>
          <w:rFonts w:eastAsia="Times New Roman"/>
          <w:sz w:val="26"/>
          <w:szCs w:val="26"/>
          <w:lang w:eastAsia="ru-RU"/>
        </w:rPr>
        <w:t>.</w:t>
      </w:r>
      <w:r w:rsidRPr="00397040">
        <w:rPr>
          <w:rFonts w:eastAsia="Times New Roman"/>
          <w:sz w:val="26"/>
          <w:szCs w:val="26"/>
          <w:lang w:eastAsia="ru-RU"/>
        </w:rPr>
        <w:t xml:space="preserve"> к Годовому отчету.</w:t>
      </w:r>
    </w:p>
    <w:p w:rsidR="003429ED" w:rsidRPr="004761E0" w:rsidRDefault="003429ED" w:rsidP="008C0C74">
      <w:pPr>
        <w:spacing w:before="120" w:after="120"/>
        <w:ind w:firstLine="567"/>
        <w:rPr>
          <w:b/>
          <w:sz w:val="26"/>
          <w:szCs w:val="26"/>
        </w:rPr>
      </w:pPr>
      <w:r w:rsidRPr="004761E0">
        <w:rPr>
          <w:b/>
          <w:sz w:val="26"/>
          <w:szCs w:val="26"/>
        </w:rPr>
        <w:t>Основные показатели бухгалтерского баланса</w:t>
      </w:r>
    </w:p>
    <w:p w:rsidR="003429ED" w:rsidRPr="004761E0" w:rsidRDefault="003429ED" w:rsidP="003429ED">
      <w:pPr>
        <w:spacing w:before="120" w:after="120"/>
        <w:ind w:firstLine="0"/>
        <w:jc w:val="left"/>
        <w:rPr>
          <w:b/>
          <w:sz w:val="26"/>
          <w:szCs w:val="26"/>
          <w:lang w:eastAsia="ru-RU"/>
        </w:rPr>
      </w:pPr>
      <w:r w:rsidRPr="004761E0">
        <w:rPr>
          <w:b/>
          <w:noProof/>
          <w:sz w:val="26"/>
          <w:szCs w:val="26"/>
          <w:lang w:eastAsia="ru-RU"/>
        </w:rPr>
        <w:drawing>
          <wp:inline distT="0" distB="0" distL="0" distR="0">
            <wp:extent cx="2860158" cy="2307265"/>
            <wp:effectExtent l="19050" t="0" r="16392" b="0"/>
            <wp:docPr id="3" name="Диаграмма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3429ED" w:rsidRPr="004761E0" w:rsidRDefault="003429ED" w:rsidP="003429ED">
      <w:pPr>
        <w:spacing w:before="120" w:after="120"/>
        <w:ind w:firstLine="0"/>
        <w:jc w:val="left"/>
        <w:rPr>
          <w:b/>
          <w:sz w:val="26"/>
          <w:szCs w:val="26"/>
          <w:lang w:eastAsia="ru-RU"/>
        </w:rPr>
      </w:pPr>
      <w:r w:rsidRPr="004761E0">
        <w:rPr>
          <w:b/>
          <w:noProof/>
          <w:sz w:val="26"/>
          <w:szCs w:val="26"/>
          <w:lang w:eastAsia="ru-RU"/>
        </w:rPr>
        <w:drawing>
          <wp:inline distT="0" distB="0" distL="0" distR="0">
            <wp:extent cx="2857500" cy="3009900"/>
            <wp:effectExtent l="19050" t="0" r="19050" b="0"/>
            <wp:docPr id="5" name="Диаграмма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Pr="004761E0">
        <w:rPr>
          <w:b/>
          <w:sz w:val="26"/>
          <w:szCs w:val="26"/>
          <w:lang w:eastAsia="ru-RU"/>
        </w:rPr>
        <w:t xml:space="preserve"> </w:t>
      </w:r>
      <w:r w:rsidRPr="004761E0">
        <w:rPr>
          <w:b/>
          <w:noProof/>
          <w:sz w:val="26"/>
          <w:szCs w:val="26"/>
          <w:lang w:eastAsia="ru-RU"/>
        </w:rPr>
        <w:drawing>
          <wp:inline distT="0" distB="0" distL="0" distR="0">
            <wp:extent cx="2857500" cy="3009900"/>
            <wp:effectExtent l="19050" t="0" r="19050" b="0"/>
            <wp:docPr id="6" name="Диаграмма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3429ED" w:rsidRPr="004761E0" w:rsidRDefault="003429ED" w:rsidP="003429ED">
      <w:pPr>
        <w:spacing w:before="120" w:after="120"/>
        <w:ind w:firstLine="0"/>
        <w:jc w:val="left"/>
        <w:rPr>
          <w:b/>
          <w:sz w:val="26"/>
          <w:szCs w:val="26"/>
          <w:lang w:eastAsia="ru-RU"/>
        </w:rPr>
      </w:pPr>
      <w:r w:rsidRPr="004761E0">
        <w:rPr>
          <w:b/>
          <w:noProof/>
          <w:sz w:val="26"/>
          <w:szCs w:val="26"/>
          <w:lang w:eastAsia="ru-RU"/>
        </w:rPr>
        <w:lastRenderedPageBreak/>
        <w:drawing>
          <wp:inline distT="0" distB="0" distL="0" distR="0">
            <wp:extent cx="2857500" cy="3009900"/>
            <wp:effectExtent l="19050" t="0" r="19050" b="0"/>
            <wp:docPr id="7" name="Диаграмма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Pr="004761E0">
        <w:rPr>
          <w:b/>
          <w:sz w:val="26"/>
          <w:szCs w:val="26"/>
          <w:lang w:eastAsia="ru-RU"/>
        </w:rPr>
        <w:t xml:space="preserve"> </w:t>
      </w:r>
      <w:r w:rsidRPr="004761E0">
        <w:rPr>
          <w:b/>
          <w:noProof/>
          <w:sz w:val="26"/>
          <w:szCs w:val="26"/>
          <w:lang w:eastAsia="ru-RU"/>
        </w:rPr>
        <w:drawing>
          <wp:inline distT="0" distB="0" distL="0" distR="0">
            <wp:extent cx="2857500" cy="3009900"/>
            <wp:effectExtent l="19050" t="0" r="19050" b="0"/>
            <wp:docPr id="19" name="Диаграмма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3429ED" w:rsidRPr="004761E0" w:rsidRDefault="003429ED" w:rsidP="003429ED">
      <w:pPr>
        <w:spacing w:before="120" w:after="120"/>
        <w:ind w:firstLine="0"/>
        <w:jc w:val="left"/>
        <w:rPr>
          <w:b/>
          <w:sz w:val="26"/>
          <w:szCs w:val="26"/>
          <w:lang w:eastAsia="ru-RU"/>
        </w:rPr>
      </w:pPr>
      <w:r w:rsidRPr="004761E0">
        <w:rPr>
          <w:b/>
          <w:noProof/>
          <w:sz w:val="26"/>
          <w:szCs w:val="26"/>
          <w:lang w:eastAsia="ru-RU"/>
        </w:rPr>
        <w:drawing>
          <wp:inline distT="0" distB="0" distL="0" distR="0">
            <wp:extent cx="2881423" cy="3019646"/>
            <wp:effectExtent l="19050" t="0" r="14177" b="9304"/>
            <wp:docPr id="38" name="Диаграмма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Pr="004761E0">
        <w:rPr>
          <w:b/>
          <w:sz w:val="26"/>
          <w:szCs w:val="26"/>
          <w:lang w:eastAsia="ru-RU"/>
        </w:rPr>
        <w:t xml:space="preserve"> </w:t>
      </w:r>
    </w:p>
    <w:p w:rsidR="003429ED" w:rsidRPr="004761E0" w:rsidRDefault="003429ED" w:rsidP="003429ED">
      <w:pPr>
        <w:shd w:val="clear" w:color="auto" w:fill="FFFFFF"/>
        <w:ind w:firstLine="567"/>
        <w:rPr>
          <w:sz w:val="24"/>
          <w:szCs w:val="24"/>
        </w:rPr>
      </w:pPr>
      <w:r w:rsidRPr="004761E0">
        <w:rPr>
          <w:rFonts w:eastAsia="Times New Roman"/>
          <w:sz w:val="26"/>
          <w:szCs w:val="26"/>
          <w:lang w:eastAsia="ru-RU"/>
        </w:rPr>
        <w:t>По итогам 2013 года активы выросли на 4,51 % и составили 299,67 млрд руб. За отчетный период в структуре активов увеличился удельный вес внеоборотных активов (с 78,36 % в 2012 году до 86,81 % в 2013 году). Рост внеоборотных активов вызван увеличением объема основных средств в связи с вводом в эксплуатацию оборудования после проведенного ремонта и реконструкции, а также с выкупом оборудования, находящегося в лизинге. Наибольший удельный вес во внеоборотных активах составляют основные средства – 96,41 %. В оборотных активах наибольший удельный вес приходится на дебиторскую задолженность – 63,29 %, в т.ч. на долгосрочную дебиторскую задолженность – 19,93 %, на краткосрочную дебиторскую задолженность – 43,37</w:t>
      </w:r>
      <w:r w:rsidR="006C1AA1">
        <w:rPr>
          <w:rFonts w:eastAsia="Times New Roman"/>
          <w:sz w:val="26"/>
          <w:szCs w:val="26"/>
          <w:lang w:eastAsia="ru-RU"/>
        </w:rPr>
        <w:t> </w:t>
      </w:r>
      <w:r w:rsidRPr="004761E0">
        <w:rPr>
          <w:rFonts w:eastAsia="Times New Roman"/>
          <w:sz w:val="26"/>
          <w:szCs w:val="26"/>
          <w:lang w:eastAsia="ru-RU"/>
        </w:rPr>
        <w:t>%. Снижение оборотных активов в основном связано со снижением размера дебиторской задолженности. Подробный анализ изменения дебиторской задолженности  приведен в разделе отчета «дебиторская задолженность».</w:t>
      </w:r>
    </w:p>
    <w:p w:rsidR="003429ED" w:rsidRPr="004761E0" w:rsidRDefault="003429ED" w:rsidP="003429ED">
      <w:pPr>
        <w:shd w:val="clear" w:color="auto" w:fill="FFFFFF"/>
        <w:tabs>
          <w:tab w:val="left" w:pos="142"/>
          <w:tab w:val="left" w:pos="284"/>
          <w:tab w:val="left" w:pos="426"/>
          <w:tab w:val="left" w:pos="709"/>
          <w:tab w:val="left" w:pos="851"/>
        </w:tabs>
        <w:ind w:firstLine="567"/>
        <w:rPr>
          <w:rFonts w:eastAsia="Times New Roman"/>
          <w:sz w:val="26"/>
          <w:szCs w:val="26"/>
          <w:lang w:eastAsia="ru-RU"/>
        </w:rPr>
      </w:pPr>
      <w:r w:rsidRPr="004761E0">
        <w:rPr>
          <w:rFonts w:eastAsia="Times New Roman"/>
          <w:sz w:val="26"/>
          <w:szCs w:val="26"/>
          <w:lang w:eastAsia="ru-RU"/>
        </w:rPr>
        <w:t>В 2013 году пассивы Компании выросли до 299,67 млрд руб., наибольший удельный вес в пассивах приходится на капитал и резервы – 60</w:t>
      </w:r>
      <w:r w:rsidR="006C1AA1">
        <w:rPr>
          <w:rFonts w:eastAsia="Times New Roman"/>
          <w:sz w:val="26"/>
          <w:szCs w:val="26"/>
          <w:lang w:eastAsia="ru-RU"/>
        </w:rPr>
        <w:t> </w:t>
      </w:r>
      <w:r w:rsidRPr="004761E0">
        <w:rPr>
          <w:rFonts w:eastAsia="Times New Roman"/>
          <w:sz w:val="26"/>
          <w:szCs w:val="26"/>
          <w:lang w:eastAsia="ru-RU"/>
        </w:rPr>
        <w:t xml:space="preserve">%, при этом удельный </w:t>
      </w:r>
      <w:r w:rsidRPr="004761E0">
        <w:rPr>
          <w:rFonts w:eastAsia="Times New Roman"/>
          <w:sz w:val="26"/>
          <w:szCs w:val="26"/>
          <w:lang w:eastAsia="ru-RU"/>
        </w:rPr>
        <w:lastRenderedPageBreak/>
        <w:t>вес долгосрочных и краткосрочных обязательств соответственно составляет 21 % и 19</w:t>
      </w:r>
      <w:r w:rsidR="006C1AA1">
        <w:rPr>
          <w:rFonts w:eastAsia="Times New Roman"/>
          <w:sz w:val="26"/>
          <w:szCs w:val="26"/>
          <w:lang w:eastAsia="ru-RU"/>
        </w:rPr>
        <w:t> </w:t>
      </w:r>
      <w:r w:rsidRPr="004761E0">
        <w:rPr>
          <w:rFonts w:eastAsia="Times New Roman"/>
          <w:sz w:val="26"/>
          <w:szCs w:val="26"/>
          <w:lang w:eastAsia="ru-RU"/>
        </w:rPr>
        <w:t xml:space="preserve">%. </w:t>
      </w:r>
    </w:p>
    <w:p w:rsidR="003429ED" w:rsidRPr="004761E0" w:rsidRDefault="003429ED" w:rsidP="008C0C74">
      <w:pPr>
        <w:spacing w:before="120" w:after="120"/>
        <w:ind w:firstLine="567"/>
        <w:rPr>
          <w:b/>
          <w:sz w:val="26"/>
          <w:szCs w:val="26"/>
        </w:rPr>
      </w:pPr>
      <w:r w:rsidRPr="004761E0">
        <w:rPr>
          <w:b/>
          <w:sz w:val="26"/>
          <w:szCs w:val="26"/>
        </w:rPr>
        <w:t>Дебиторская задолженность</w:t>
      </w:r>
    </w:p>
    <w:tbl>
      <w:tblPr>
        <w:tblW w:w="10219" w:type="dxa"/>
        <w:tblInd w:w="95" w:type="dxa"/>
        <w:tblLook w:val="04A0"/>
      </w:tblPr>
      <w:tblGrid>
        <w:gridCol w:w="578"/>
        <w:gridCol w:w="5067"/>
        <w:gridCol w:w="1134"/>
        <w:gridCol w:w="1134"/>
        <w:gridCol w:w="1134"/>
        <w:gridCol w:w="1172"/>
      </w:tblGrid>
      <w:tr w:rsidR="003429ED" w:rsidRPr="004761E0" w:rsidTr="003429ED">
        <w:trPr>
          <w:trHeight w:val="300"/>
        </w:trPr>
        <w:tc>
          <w:tcPr>
            <w:tcW w:w="578"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506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31.12.2011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31.12.2012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31.12.2013</w:t>
            </w:r>
          </w:p>
        </w:tc>
        <w:tc>
          <w:tcPr>
            <w:tcW w:w="1172"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31.12.2013/</w:t>
            </w:r>
          </w:p>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31.12.2012</w:t>
            </w:r>
          </w:p>
        </w:tc>
      </w:tr>
      <w:tr w:rsidR="003429ED" w:rsidRPr="004761E0" w:rsidTr="003429ED">
        <w:trPr>
          <w:trHeight w:val="300"/>
        </w:trPr>
        <w:tc>
          <w:tcPr>
            <w:tcW w:w="578"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numPr>
                <w:ilvl w:val="0"/>
                <w:numId w:val="177"/>
              </w:numPr>
              <w:jc w:val="left"/>
              <w:rPr>
                <w:rFonts w:eastAsia="Times New Roman"/>
                <w:b/>
                <w:color w:val="000000"/>
                <w:sz w:val="20"/>
                <w:szCs w:val="20"/>
                <w:lang w:eastAsia="ru-RU"/>
              </w:rPr>
            </w:pPr>
          </w:p>
        </w:tc>
        <w:tc>
          <w:tcPr>
            <w:tcW w:w="5067"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left"/>
              <w:rPr>
                <w:color w:val="000000"/>
                <w:sz w:val="20"/>
                <w:szCs w:val="20"/>
              </w:rPr>
            </w:pPr>
            <w:r w:rsidRPr="004761E0">
              <w:rPr>
                <w:color w:val="000000"/>
                <w:sz w:val="20"/>
                <w:szCs w:val="20"/>
              </w:rPr>
              <w:t>Дебиторская задолженность, млн руб.</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46 607</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42 250</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25 014</w:t>
            </w:r>
          </w:p>
        </w:tc>
        <w:tc>
          <w:tcPr>
            <w:tcW w:w="117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color w:val="000000"/>
                <w:sz w:val="20"/>
                <w:szCs w:val="22"/>
              </w:rPr>
            </w:pPr>
            <w:r w:rsidRPr="004761E0">
              <w:rPr>
                <w:color w:val="000000"/>
                <w:sz w:val="20"/>
                <w:szCs w:val="22"/>
              </w:rPr>
              <w:t>-40,80 %</w:t>
            </w:r>
          </w:p>
        </w:tc>
      </w:tr>
      <w:tr w:rsidR="003429ED" w:rsidRPr="004761E0" w:rsidTr="003429ED">
        <w:trPr>
          <w:trHeight w:val="300"/>
        </w:trPr>
        <w:tc>
          <w:tcPr>
            <w:tcW w:w="578"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numPr>
                <w:ilvl w:val="0"/>
                <w:numId w:val="177"/>
              </w:numPr>
              <w:jc w:val="left"/>
              <w:rPr>
                <w:rFonts w:eastAsia="Times New Roman"/>
                <w:b/>
                <w:color w:val="000000"/>
                <w:sz w:val="20"/>
                <w:szCs w:val="20"/>
                <w:lang w:eastAsia="ru-RU"/>
              </w:rPr>
            </w:pPr>
          </w:p>
        </w:tc>
        <w:tc>
          <w:tcPr>
            <w:tcW w:w="5067"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left"/>
              <w:rPr>
                <w:color w:val="000000"/>
                <w:sz w:val="20"/>
                <w:szCs w:val="20"/>
              </w:rPr>
            </w:pPr>
            <w:r w:rsidRPr="004761E0">
              <w:rPr>
                <w:color w:val="000000"/>
                <w:sz w:val="20"/>
                <w:szCs w:val="20"/>
              </w:rPr>
              <w:t>Кредиторская задолженность, млн руб.</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62 932</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53 159</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55 463</w:t>
            </w:r>
          </w:p>
        </w:tc>
        <w:tc>
          <w:tcPr>
            <w:tcW w:w="117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color w:val="000000"/>
                <w:sz w:val="20"/>
                <w:szCs w:val="22"/>
              </w:rPr>
            </w:pPr>
            <w:r w:rsidRPr="004761E0">
              <w:rPr>
                <w:color w:val="000000"/>
                <w:sz w:val="20"/>
                <w:szCs w:val="22"/>
              </w:rPr>
              <w:t>4,33 %</w:t>
            </w:r>
          </w:p>
        </w:tc>
      </w:tr>
      <w:tr w:rsidR="003429ED" w:rsidRPr="004761E0" w:rsidTr="003429ED">
        <w:trPr>
          <w:trHeight w:val="300"/>
        </w:trPr>
        <w:tc>
          <w:tcPr>
            <w:tcW w:w="578"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numPr>
                <w:ilvl w:val="0"/>
                <w:numId w:val="177"/>
              </w:numPr>
              <w:jc w:val="left"/>
              <w:rPr>
                <w:rFonts w:eastAsia="Times New Roman"/>
                <w:b/>
                <w:color w:val="000000"/>
                <w:sz w:val="20"/>
                <w:szCs w:val="20"/>
                <w:lang w:eastAsia="ru-RU"/>
              </w:rPr>
            </w:pPr>
          </w:p>
        </w:tc>
        <w:tc>
          <w:tcPr>
            <w:tcW w:w="5067"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left"/>
              <w:rPr>
                <w:color w:val="000000"/>
                <w:sz w:val="20"/>
                <w:szCs w:val="20"/>
              </w:rPr>
            </w:pPr>
            <w:r w:rsidRPr="004761E0">
              <w:rPr>
                <w:color w:val="000000"/>
                <w:sz w:val="20"/>
                <w:szCs w:val="20"/>
              </w:rPr>
              <w:t xml:space="preserve">Сальдо дебиторской и кредиторской задолженности, млн руб. </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-16 325</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-10 909</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-30 449</w:t>
            </w:r>
          </w:p>
        </w:tc>
        <w:tc>
          <w:tcPr>
            <w:tcW w:w="117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color w:val="000000"/>
                <w:sz w:val="20"/>
                <w:szCs w:val="22"/>
              </w:rPr>
            </w:pPr>
            <w:r w:rsidRPr="004761E0">
              <w:rPr>
                <w:color w:val="000000"/>
                <w:sz w:val="20"/>
                <w:szCs w:val="22"/>
              </w:rPr>
              <w:t>179,12 %</w:t>
            </w:r>
          </w:p>
        </w:tc>
      </w:tr>
    </w:tbl>
    <w:p w:rsidR="003429ED" w:rsidRPr="004761E0" w:rsidRDefault="003429ED" w:rsidP="003429ED">
      <w:pPr>
        <w:ind w:firstLine="0"/>
        <w:rPr>
          <w:lang w:eastAsia="ru-RU"/>
        </w:rPr>
      </w:pPr>
      <w:r w:rsidRPr="004761E0">
        <w:rPr>
          <w:noProof/>
          <w:lang w:eastAsia="ru-RU"/>
        </w:rPr>
        <w:drawing>
          <wp:inline distT="0" distB="0" distL="0" distR="0">
            <wp:extent cx="3296093" cy="2626242"/>
            <wp:effectExtent l="19050" t="0" r="18607" b="2658"/>
            <wp:docPr id="40" name="Диаграмма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bl>
      <w:tblPr>
        <w:tblW w:w="10541" w:type="dxa"/>
        <w:tblInd w:w="95" w:type="dxa"/>
        <w:tblLook w:val="04A0"/>
      </w:tblPr>
      <w:tblGrid>
        <w:gridCol w:w="722"/>
        <w:gridCol w:w="5245"/>
        <w:gridCol w:w="1134"/>
        <w:gridCol w:w="1134"/>
        <w:gridCol w:w="1134"/>
        <w:gridCol w:w="1172"/>
      </w:tblGrid>
      <w:tr w:rsidR="003429ED" w:rsidRPr="004761E0" w:rsidTr="003429ED">
        <w:trPr>
          <w:trHeight w:val="300"/>
        </w:trPr>
        <w:tc>
          <w:tcPr>
            <w:tcW w:w="722"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524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31.12.2011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31.12.2012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31.12.2013</w:t>
            </w:r>
          </w:p>
        </w:tc>
        <w:tc>
          <w:tcPr>
            <w:tcW w:w="1172"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31.12.2013/</w:t>
            </w:r>
          </w:p>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31.12.2012</w:t>
            </w:r>
          </w:p>
        </w:tc>
      </w:tr>
      <w:tr w:rsidR="003429ED" w:rsidRPr="004761E0" w:rsidTr="003429ED">
        <w:trPr>
          <w:trHeight w:val="300"/>
        </w:trPr>
        <w:tc>
          <w:tcPr>
            <w:tcW w:w="5967" w:type="dxa"/>
            <w:gridSpan w:val="2"/>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3429ED">
            <w:pPr>
              <w:ind w:firstLine="0"/>
              <w:jc w:val="left"/>
              <w:rPr>
                <w:b/>
                <w:color w:val="000000"/>
                <w:sz w:val="20"/>
                <w:szCs w:val="20"/>
              </w:rPr>
            </w:pPr>
            <w:r w:rsidRPr="004761E0">
              <w:rPr>
                <w:b/>
                <w:color w:val="000000"/>
                <w:sz w:val="20"/>
                <w:szCs w:val="20"/>
              </w:rPr>
              <w:t xml:space="preserve">Дебиторская задолженность, млн руб. (всего), в т.ч.: </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46 607</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42 250</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25 014</w:t>
            </w:r>
          </w:p>
        </w:tc>
        <w:tc>
          <w:tcPr>
            <w:tcW w:w="117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b/>
                <w:color w:val="000000"/>
                <w:sz w:val="20"/>
                <w:szCs w:val="22"/>
              </w:rPr>
            </w:pPr>
            <w:r w:rsidRPr="004761E0">
              <w:rPr>
                <w:b/>
                <w:color w:val="000000"/>
                <w:sz w:val="20"/>
                <w:szCs w:val="22"/>
              </w:rPr>
              <w:t>-40,80 %</w:t>
            </w:r>
          </w:p>
        </w:tc>
      </w:tr>
      <w:tr w:rsidR="003429ED" w:rsidRPr="004761E0" w:rsidTr="003429ED">
        <w:trPr>
          <w:trHeight w:val="300"/>
        </w:trPr>
        <w:tc>
          <w:tcPr>
            <w:tcW w:w="722"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0"/>
                <w:numId w:val="281"/>
              </w:numPr>
              <w:ind w:left="47" w:firstLine="0"/>
              <w:jc w:val="left"/>
              <w:rPr>
                <w:rFonts w:eastAsia="Times New Roman"/>
                <w:b/>
                <w:color w:val="000000"/>
                <w:sz w:val="20"/>
                <w:szCs w:val="20"/>
                <w:lang w:eastAsia="ru-RU"/>
              </w:rPr>
            </w:pPr>
          </w:p>
        </w:tc>
        <w:tc>
          <w:tcPr>
            <w:tcW w:w="5245"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178"/>
              <w:jc w:val="left"/>
              <w:rPr>
                <w:sz w:val="20"/>
                <w:szCs w:val="20"/>
              </w:rPr>
            </w:pPr>
            <w:r w:rsidRPr="004761E0">
              <w:rPr>
                <w:b/>
                <w:sz w:val="20"/>
                <w:szCs w:val="20"/>
              </w:rPr>
              <w:t>По сроку погашения</w:t>
            </w:r>
          </w:p>
        </w:tc>
        <w:tc>
          <w:tcPr>
            <w:tcW w:w="4574" w:type="dxa"/>
            <w:gridSpan w:val="4"/>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color w:val="000000"/>
                <w:sz w:val="20"/>
                <w:szCs w:val="22"/>
              </w:rPr>
            </w:pPr>
          </w:p>
        </w:tc>
      </w:tr>
      <w:tr w:rsidR="003429ED" w:rsidRPr="004761E0" w:rsidTr="003429ED">
        <w:trPr>
          <w:trHeight w:val="300"/>
        </w:trPr>
        <w:tc>
          <w:tcPr>
            <w:tcW w:w="722"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1"/>
                <w:numId w:val="100"/>
              </w:numPr>
              <w:ind w:left="47" w:firstLine="0"/>
              <w:jc w:val="left"/>
              <w:rPr>
                <w:rFonts w:eastAsia="Times New Roman"/>
                <w:color w:val="000000"/>
                <w:sz w:val="20"/>
                <w:szCs w:val="20"/>
                <w:lang w:eastAsia="ru-RU"/>
              </w:rPr>
            </w:pPr>
          </w:p>
        </w:tc>
        <w:tc>
          <w:tcPr>
            <w:tcW w:w="5245"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178"/>
              <w:jc w:val="left"/>
              <w:rPr>
                <w:sz w:val="20"/>
                <w:szCs w:val="20"/>
              </w:rPr>
            </w:pPr>
            <w:r w:rsidRPr="004761E0">
              <w:rPr>
                <w:sz w:val="20"/>
                <w:szCs w:val="20"/>
              </w:rPr>
              <w:t>Долгосрочная</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29 781</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26 748</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7 875</w:t>
            </w:r>
          </w:p>
        </w:tc>
        <w:tc>
          <w:tcPr>
            <w:tcW w:w="117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color w:val="000000"/>
                <w:sz w:val="20"/>
                <w:szCs w:val="22"/>
              </w:rPr>
            </w:pPr>
            <w:r w:rsidRPr="004761E0">
              <w:rPr>
                <w:color w:val="000000"/>
                <w:sz w:val="20"/>
                <w:szCs w:val="22"/>
              </w:rPr>
              <w:t>-70,56 %</w:t>
            </w:r>
          </w:p>
        </w:tc>
      </w:tr>
      <w:tr w:rsidR="003429ED" w:rsidRPr="004761E0" w:rsidTr="003429ED">
        <w:trPr>
          <w:trHeight w:val="300"/>
        </w:trPr>
        <w:tc>
          <w:tcPr>
            <w:tcW w:w="722"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1"/>
                <w:numId w:val="100"/>
              </w:numPr>
              <w:ind w:left="47" w:firstLine="0"/>
              <w:jc w:val="left"/>
              <w:rPr>
                <w:rFonts w:eastAsia="Times New Roman"/>
                <w:color w:val="000000"/>
                <w:sz w:val="20"/>
                <w:szCs w:val="20"/>
                <w:lang w:eastAsia="ru-RU"/>
              </w:rPr>
            </w:pPr>
          </w:p>
        </w:tc>
        <w:tc>
          <w:tcPr>
            <w:tcW w:w="5245"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178"/>
              <w:jc w:val="left"/>
              <w:rPr>
                <w:sz w:val="20"/>
                <w:szCs w:val="20"/>
              </w:rPr>
            </w:pPr>
            <w:r w:rsidRPr="004761E0">
              <w:rPr>
                <w:sz w:val="20"/>
                <w:szCs w:val="20"/>
              </w:rPr>
              <w:t xml:space="preserve">Краткосрочная (всего), в т.ч.: </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16 826</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15 501</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17 139</w:t>
            </w:r>
          </w:p>
        </w:tc>
        <w:tc>
          <w:tcPr>
            <w:tcW w:w="117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color w:val="000000"/>
                <w:sz w:val="20"/>
                <w:szCs w:val="22"/>
              </w:rPr>
            </w:pPr>
            <w:r w:rsidRPr="004761E0">
              <w:rPr>
                <w:color w:val="000000"/>
                <w:sz w:val="20"/>
                <w:szCs w:val="22"/>
              </w:rPr>
              <w:t>10,57 %</w:t>
            </w:r>
          </w:p>
        </w:tc>
      </w:tr>
      <w:tr w:rsidR="003429ED" w:rsidRPr="004761E0" w:rsidTr="003429ED">
        <w:trPr>
          <w:trHeight w:val="300"/>
        </w:trPr>
        <w:tc>
          <w:tcPr>
            <w:tcW w:w="722"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2"/>
                <w:numId w:val="100"/>
              </w:numPr>
              <w:ind w:left="47" w:firstLine="0"/>
              <w:jc w:val="left"/>
              <w:rPr>
                <w:rFonts w:eastAsia="Times New Roman"/>
                <w:color w:val="000000"/>
                <w:sz w:val="20"/>
                <w:szCs w:val="20"/>
                <w:lang w:eastAsia="ru-RU"/>
              </w:rPr>
            </w:pPr>
          </w:p>
        </w:tc>
        <w:tc>
          <w:tcPr>
            <w:tcW w:w="5245"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left="318" w:firstLine="0"/>
              <w:jc w:val="left"/>
              <w:rPr>
                <w:color w:val="000000"/>
                <w:sz w:val="20"/>
                <w:szCs w:val="20"/>
              </w:rPr>
            </w:pPr>
            <w:r w:rsidRPr="004761E0">
              <w:rPr>
                <w:color w:val="000000"/>
                <w:sz w:val="20"/>
                <w:szCs w:val="20"/>
              </w:rPr>
              <w:t>покупатели и заказчики</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9 921</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9 953</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10 425</w:t>
            </w:r>
          </w:p>
        </w:tc>
        <w:tc>
          <w:tcPr>
            <w:tcW w:w="117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color w:val="000000"/>
                <w:sz w:val="20"/>
                <w:szCs w:val="22"/>
              </w:rPr>
            </w:pPr>
            <w:r w:rsidRPr="004761E0">
              <w:rPr>
                <w:color w:val="000000"/>
                <w:sz w:val="20"/>
                <w:szCs w:val="22"/>
              </w:rPr>
              <w:t>4,74 %</w:t>
            </w:r>
          </w:p>
        </w:tc>
      </w:tr>
      <w:tr w:rsidR="003429ED" w:rsidRPr="004761E0" w:rsidTr="003429ED">
        <w:trPr>
          <w:trHeight w:val="300"/>
        </w:trPr>
        <w:tc>
          <w:tcPr>
            <w:tcW w:w="722"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2"/>
                <w:numId w:val="100"/>
              </w:numPr>
              <w:ind w:left="47" w:firstLine="0"/>
              <w:jc w:val="left"/>
              <w:rPr>
                <w:rFonts w:eastAsia="Times New Roman"/>
                <w:color w:val="000000"/>
                <w:sz w:val="20"/>
                <w:szCs w:val="20"/>
                <w:lang w:eastAsia="ru-RU"/>
              </w:rPr>
            </w:pPr>
          </w:p>
        </w:tc>
        <w:tc>
          <w:tcPr>
            <w:tcW w:w="5245"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left="318" w:firstLine="0"/>
              <w:jc w:val="left"/>
              <w:rPr>
                <w:color w:val="000000"/>
                <w:sz w:val="20"/>
                <w:szCs w:val="20"/>
              </w:rPr>
            </w:pPr>
            <w:r w:rsidRPr="004761E0">
              <w:rPr>
                <w:color w:val="000000"/>
                <w:sz w:val="20"/>
                <w:szCs w:val="20"/>
              </w:rPr>
              <w:t>авансы выданные</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5 249</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3 993</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3 202</w:t>
            </w:r>
          </w:p>
        </w:tc>
        <w:tc>
          <w:tcPr>
            <w:tcW w:w="117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color w:val="000000"/>
                <w:sz w:val="20"/>
                <w:szCs w:val="22"/>
              </w:rPr>
            </w:pPr>
            <w:r w:rsidRPr="004761E0">
              <w:rPr>
                <w:color w:val="000000"/>
                <w:sz w:val="20"/>
                <w:szCs w:val="22"/>
              </w:rPr>
              <w:t>-19,81 %</w:t>
            </w:r>
          </w:p>
        </w:tc>
      </w:tr>
      <w:tr w:rsidR="003429ED" w:rsidRPr="004761E0" w:rsidTr="003429ED">
        <w:trPr>
          <w:trHeight w:val="300"/>
        </w:trPr>
        <w:tc>
          <w:tcPr>
            <w:tcW w:w="722"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2"/>
                <w:numId w:val="100"/>
              </w:numPr>
              <w:ind w:left="47" w:firstLine="0"/>
              <w:jc w:val="left"/>
              <w:rPr>
                <w:rFonts w:eastAsia="Times New Roman"/>
                <w:color w:val="000000"/>
                <w:sz w:val="20"/>
                <w:szCs w:val="20"/>
                <w:lang w:eastAsia="ru-RU"/>
              </w:rPr>
            </w:pPr>
          </w:p>
        </w:tc>
        <w:tc>
          <w:tcPr>
            <w:tcW w:w="5245"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left="318" w:firstLine="0"/>
              <w:jc w:val="left"/>
              <w:rPr>
                <w:color w:val="000000"/>
                <w:sz w:val="20"/>
                <w:szCs w:val="20"/>
              </w:rPr>
            </w:pPr>
            <w:r w:rsidRPr="004761E0">
              <w:rPr>
                <w:color w:val="000000"/>
                <w:sz w:val="20"/>
                <w:szCs w:val="20"/>
              </w:rPr>
              <w:t>прочие дебиторы</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1 656</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1 555</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3 513</w:t>
            </w:r>
          </w:p>
        </w:tc>
        <w:tc>
          <w:tcPr>
            <w:tcW w:w="117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color w:val="000000"/>
                <w:sz w:val="20"/>
                <w:szCs w:val="22"/>
              </w:rPr>
            </w:pPr>
            <w:r w:rsidRPr="004761E0">
              <w:rPr>
                <w:color w:val="000000"/>
                <w:sz w:val="20"/>
                <w:szCs w:val="22"/>
              </w:rPr>
              <w:t>125,92 %</w:t>
            </w:r>
          </w:p>
        </w:tc>
      </w:tr>
      <w:tr w:rsidR="003429ED" w:rsidRPr="004761E0" w:rsidTr="003429ED">
        <w:trPr>
          <w:trHeight w:val="300"/>
        </w:trPr>
        <w:tc>
          <w:tcPr>
            <w:tcW w:w="722"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0"/>
                <w:numId w:val="100"/>
              </w:numPr>
              <w:ind w:left="47" w:firstLine="0"/>
              <w:jc w:val="left"/>
              <w:rPr>
                <w:rFonts w:eastAsia="Times New Roman"/>
                <w:color w:val="000000"/>
                <w:sz w:val="20"/>
                <w:szCs w:val="20"/>
                <w:lang w:eastAsia="ru-RU"/>
              </w:rPr>
            </w:pPr>
          </w:p>
        </w:tc>
        <w:tc>
          <w:tcPr>
            <w:tcW w:w="5245"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left"/>
              <w:rPr>
                <w:b/>
                <w:color w:val="000000"/>
                <w:sz w:val="20"/>
                <w:szCs w:val="20"/>
              </w:rPr>
            </w:pPr>
            <w:r w:rsidRPr="004761E0">
              <w:rPr>
                <w:b/>
                <w:color w:val="000000"/>
                <w:sz w:val="20"/>
                <w:szCs w:val="22"/>
              </w:rPr>
              <w:t>По видам деятельности</w:t>
            </w:r>
          </w:p>
        </w:tc>
        <w:tc>
          <w:tcPr>
            <w:tcW w:w="4574" w:type="dxa"/>
            <w:gridSpan w:val="4"/>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b/>
                <w:color w:val="000000"/>
                <w:sz w:val="20"/>
                <w:szCs w:val="22"/>
              </w:rPr>
            </w:pPr>
          </w:p>
        </w:tc>
      </w:tr>
      <w:tr w:rsidR="003429ED" w:rsidRPr="004761E0" w:rsidTr="003429ED">
        <w:trPr>
          <w:trHeight w:val="300"/>
        </w:trPr>
        <w:tc>
          <w:tcPr>
            <w:tcW w:w="722"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1"/>
                <w:numId w:val="100"/>
              </w:numPr>
              <w:ind w:left="47" w:firstLine="0"/>
              <w:jc w:val="left"/>
              <w:rPr>
                <w:rFonts w:eastAsia="Times New Roman"/>
                <w:color w:val="000000"/>
                <w:sz w:val="20"/>
                <w:szCs w:val="20"/>
                <w:lang w:eastAsia="ru-RU"/>
              </w:rPr>
            </w:pPr>
          </w:p>
        </w:tc>
        <w:tc>
          <w:tcPr>
            <w:tcW w:w="5245"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left="318" w:firstLine="0"/>
              <w:jc w:val="left"/>
              <w:rPr>
                <w:color w:val="000000"/>
                <w:sz w:val="20"/>
                <w:szCs w:val="20"/>
              </w:rPr>
            </w:pPr>
            <w:r w:rsidRPr="004761E0">
              <w:rPr>
                <w:color w:val="000000"/>
                <w:sz w:val="20"/>
                <w:szCs w:val="20"/>
              </w:rPr>
              <w:t>от оказания услуг по передаче электроэнергии</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8 782</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8 444</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8 945</w:t>
            </w:r>
          </w:p>
        </w:tc>
        <w:tc>
          <w:tcPr>
            <w:tcW w:w="117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color w:val="000000"/>
                <w:sz w:val="20"/>
                <w:szCs w:val="22"/>
              </w:rPr>
            </w:pPr>
            <w:r w:rsidRPr="004761E0">
              <w:rPr>
                <w:color w:val="000000"/>
                <w:sz w:val="20"/>
                <w:szCs w:val="22"/>
              </w:rPr>
              <w:t>5,93 %</w:t>
            </w:r>
          </w:p>
        </w:tc>
      </w:tr>
      <w:tr w:rsidR="003429ED" w:rsidRPr="004761E0" w:rsidTr="003429ED">
        <w:trPr>
          <w:trHeight w:val="300"/>
        </w:trPr>
        <w:tc>
          <w:tcPr>
            <w:tcW w:w="722"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1"/>
                <w:numId w:val="100"/>
              </w:numPr>
              <w:ind w:left="47" w:firstLine="0"/>
              <w:jc w:val="left"/>
              <w:rPr>
                <w:rFonts w:eastAsia="Times New Roman"/>
                <w:color w:val="000000"/>
                <w:sz w:val="20"/>
                <w:szCs w:val="20"/>
                <w:lang w:eastAsia="ru-RU"/>
              </w:rPr>
            </w:pPr>
          </w:p>
        </w:tc>
        <w:tc>
          <w:tcPr>
            <w:tcW w:w="5245"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left="318" w:firstLine="0"/>
              <w:jc w:val="left"/>
              <w:rPr>
                <w:color w:val="000000"/>
                <w:sz w:val="20"/>
                <w:szCs w:val="20"/>
              </w:rPr>
            </w:pPr>
            <w:r w:rsidRPr="004761E0">
              <w:rPr>
                <w:color w:val="000000"/>
                <w:sz w:val="20"/>
                <w:szCs w:val="20"/>
              </w:rPr>
              <w:t xml:space="preserve">от оказания услуг по технологическому присоединению </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21 297</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17 246</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8 583</w:t>
            </w:r>
          </w:p>
        </w:tc>
        <w:tc>
          <w:tcPr>
            <w:tcW w:w="117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color w:val="000000"/>
                <w:sz w:val="20"/>
                <w:szCs w:val="22"/>
              </w:rPr>
            </w:pPr>
            <w:r w:rsidRPr="004761E0">
              <w:rPr>
                <w:color w:val="000000"/>
                <w:sz w:val="20"/>
                <w:szCs w:val="22"/>
              </w:rPr>
              <w:t>-50,23 %</w:t>
            </w:r>
          </w:p>
        </w:tc>
      </w:tr>
      <w:tr w:rsidR="003429ED" w:rsidRPr="004761E0" w:rsidTr="003429ED">
        <w:trPr>
          <w:trHeight w:val="300"/>
        </w:trPr>
        <w:tc>
          <w:tcPr>
            <w:tcW w:w="722"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1"/>
                <w:numId w:val="100"/>
              </w:numPr>
              <w:ind w:left="47" w:firstLine="0"/>
              <w:jc w:val="left"/>
              <w:rPr>
                <w:rFonts w:eastAsia="Times New Roman"/>
                <w:color w:val="000000"/>
                <w:sz w:val="20"/>
                <w:szCs w:val="20"/>
                <w:lang w:eastAsia="ru-RU"/>
              </w:rPr>
            </w:pPr>
          </w:p>
        </w:tc>
        <w:tc>
          <w:tcPr>
            <w:tcW w:w="5245"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left="318" w:firstLine="0"/>
              <w:jc w:val="left"/>
              <w:rPr>
                <w:color w:val="000000"/>
                <w:sz w:val="20"/>
                <w:szCs w:val="20"/>
              </w:rPr>
            </w:pPr>
            <w:r w:rsidRPr="004761E0">
              <w:rPr>
                <w:color w:val="000000"/>
                <w:sz w:val="20"/>
                <w:szCs w:val="20"/>
              </w:rPr>
              <w:t>от прочей деятельности</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16 528</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16 560</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7 487</w:t>
            </w:r>
          </w:p>
        </w:tc>
        <w:tc>
          <w:tcPr>
            <w:tcW w:w="117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color w:val="000000"/>
                <w:sz w:val="20"/>
                <w:szCs w:val="22"/>
              </w:rPr>
            </w:pPr>
            <w:r w:rsidRPr="004761E0">
              <w:rPr>
                <w:color w:val="000000"/>
                <w:sz w:val="20"/>
                <w:szCs w:val="22"/>
              </w:rPr>
              <w:t>-54,79 %</w:t>
            </w:r>
          </w:p>
        </w:tc>
      </w:tr>
      <w:tr w:rsidR="003429ED" w:rsidRPr="004761E0" w:rsidTr="003429ED">
        <w:trPr>
          <w:trHeight w:val="300"/>
        </w:trPr>
        <w:tc>
          <w:tcPr>
            <w:tcW w:w="722"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0"/>
                <w:numId w:val="100"/>
              </w:numPr>
              <w:ind w:left="-95" w:firstLine="142"/>
              <w:jc w:val="left"/>
              <w:rPr>
                <w:rFonts w:eastAsia="Times New Roman"/>
                <w:color w:val="000000"/>
                <w:sz w:val="20"/>
                <w:szCs w:val="20"/>
                <w:lang w:eastAsia="ru-RU"/>
              </w:rPr>
            </w:pPr>
          </w:p>
        </w:tc>
        <w:tc>
          <w:tcPr>
            <w:tcW w:w="5245"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left"/>
              <w:rPr>
                <w:b/>
                <w:color w:val="000000"/>
                <w:sz w:val="20"/>
                <w:szCs w:val="20"/>
              </w:rPr>
            </w:pPr>
            <w:r w:rsidRPr="004761E0">
              <w:rPr>
                <w:b/>
                <w:color w:val="000000"/>
                <w:sz w:val="20"/>
                <w:szCs w:val="20"/>
              </w:rPr>
              <w:t>По статусу задолженности</w:t>
            </w:r>
          </w:p>
        </w:tc>
        <w:tc>
          <w:tcPr>
            <w:tcW w:w="4574" w:type="dxa"/>
            <w:gridSpan w:val="4"/>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b/>
                <w:color w:val="000000"/>
                <w:sz w:val="20"/>
                <w:szCs w:val="22"/>
              </w:rPr>
            </w:pPr>
          </w:p>
        </w:tc>
      </w:tr>
      <w:tr w:rsidR="003429ED" w:rsidRPr="004761E0" w:rsidTr="003429ED">
        <w:trPr>
          <w:trHeight w:val="300"/>
        </w:trPr>
        <w:tc>
          <w:tcPr>
            <w:tcW w:w="722"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1"/>
                <w:numId w:val="100"/>
              </w:numPr>
              <w:ind w:left="47" w:firstLine="0"/>
              <w:jc w:val="left"/>
              <w:rPr>
                <w:rFonts w:eastAsia="Times New Roman"/>
                <w:color w:val="000000"/>
                <w:sz w:val="20"/>
                <w:szCs w:val="20"/>
                <w:lang w:eastAsia="ru-RU"/>
              </w:rPr>
            </w:pPr>
          </w:p>
        </w:tc>
        <w:tc>
          <w:tcPr>
            <w:tcW w:w="5245"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left="318" w:firstLine="0"/>
              <w:jc w:val="left"/>
              <w:rPr>
                <w:color w:val="000000"/>
                <w:sz w:val="20"/>
                <w:szCs w:val="20"/>
              </w:rPr>
            </w:pPr>
            <w:r w:rsidRPr="004761E0">
              <w:rPr>
                <w:color w:val="000000"/>
                <w:sz w:val="20"/>
                <w:szCs w:val="20"/>
              </w:rPr>
              <w:t>текущая</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45 150</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41 330</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24 417</w:t>
            </w:r>
          </w:p>
        </w:tc>
        <w:tc>
          <w:tcPr>
            <w:tcW w:w="117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color w:val="000000"/>
                <w:sz w:val="20"/>
                <w:szCs w:val="22"/>
              </w:rPr>
            </w:pPr>
            <w:r w:rsidRPr="004761E0">
              <w:rPr>
                <w:color w:val="000000"/>
                <w:sz w:val="20"/>
                <w:szCs w:val="22"/>
              </w:rPr>
              <w:t>-40,92 %</w:t>
            </w:r>
          </w:p>
        </w:tc>
      </w:tr>
      <w:tr w:rsidR="003429ED" w:rsidRPr="004761E0" w:rsidTr="003429ED">
        <w:trPr>
          <w:trHeight w:val="300"/>
        </w:trPr>
        <w:tc>
          <w:tcPr>
            <w:tcW w:w="722"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1"/>
                <w:numId w:val="100"/>
              </w:numPr>
              <w:ind w:left="47" w:firstLine="0"/>
              <w:jc w:val="left"/>
              <w:rPr>
                <w:rFonts w:eastAsia="Times New Roman"/>
                <w:color w:val="000000"/>
                <w:sz w:val="20"/>
                <w:szCs w:val="20"/>
                <w:lang w:eastAsia="ru-RU"/>
              </w:rPr>
            </w:pPr>
          </w:p>
        </w:tc>
        <w:tc>
          <w:tcPr>
            <w:tcW w:w="5245"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left="318" w:firstLine="0"/>
              <w:jc w:val="left"/>
              <w:rPr>
                <w:color w:val="000000"/>
                <w:sz w:val="20"/>
                <w:szCs w:val="20"/>
              </w:rPr>
            </w:pPr>
            <w:r w:rsidRPr="004761E0">
              <w:rPr>
                <w:color w:val="000000"/>
                <w:sz w:val="20"/>
                <w:szCs w:val="20"/>
              </w:rPr>
              <w:t>просроченная</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1 457</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920</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597</w:t>
            </w:r>
          </w:p>
        </w:tc>
        <w:tc>
          <w:tcPr>
            <w:tcW w:w="117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color w:val="000000"/>
                <w:sz w:val="20"/>
                <w:szCs w:val="22"/>
              </w:rPr>
            </w:pPr>
            <w:r w:rsidRPr="004761E0">
              <w:rPr>
                <w:color w:val="000000"/>
                <w:sz w:val="20"/>
                <w:szCs w:val="22"/>
              </w:rPr>
              <w:t>-35,11 %</w:t>
            </w:r>
          </w:p>
        </w:tc>
      </w:tr>
      <w:tr w:rsidR="003429ED" w:rsidRPr="004761E0" w:rsidTr="003429ED">
        <w:trPr>
          <w:trHeight w:val="300"/>
        </w:trPr>
        <w:tc>
          <w:tcPr>
            <w:tcW w:w="5967" w:type="dxa"/>
            <w:gridSpan w:val="2"/>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3429ED">
            <w:pPr>
              <w:ind w:firstLine="0"/>
              <w:jc w:val="left"/>
              <w:rPr>
                <w:b/>
                <w:color w:val="000000"/>
                <w:sz w:val="20"/>
                <w:szCs w:val="20"/>
              </w:rPr>
            </w:pPr>
            <w:r w:rsidRPr="004761E0">
              <w:rPr>
                <w:b/>
                <w:color w:val="000000"/>
                <w:sz w:val="20"/>
                <w:szCs w:val="20"/>
              </w:rPr>
              <w:t>Отношение просроченной дебиторской задолженности к общей выручке, %</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1,15</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0,78</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0,48</w:t>
            </w:r>
          </w:p>
        </w:tc>
        <w:tc>
          <w:tcPr>
            <w:tcW w:w="117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b/>
                <w:color w:val="000000" w:themeColor="text1"/>
                <w:sz w:val="20"/>
                <w:szCs w:val="22"/>
              </w:rPr>
            </w:pPr>
            <w:r w:rsidRPr="004761E0">
              <w:rPr>
                <w:b/>
                <w:color w:val="000000" w:themeColor="text1"/>
                <w:sz w:val="20"/>
                <w:szCs w:val="22"/>
              </w:rPr>
              <w:t>-0,30 п.п.</w:t>
            </w:r>
          </w:p>
        </w:tc>
      </w:tr>
    </w:tbl>
    <w:p w:rsidR="003429ED" w:rsidRPr="004761E0" w:rsidRDefault="003429ED" w:rsidP="003429ED">
      <w:pPr>
        <w:ind w:firstLine="0"/>
        <w:rPr>
          <w:lang w:eastAsia="ru-RU"/>
        </w:rPr>
      </w:pPr>
      <w:r w:rsidRPr="004761E0">
        <w:rPr>
          <w:noProof/>
          <w:lang w:eastAsia="ru-RU"/>
        </w:rPr>
        <w:lastRenderedPageBreak/>
        <w:drawing>
          <wp:inline distT="0" distB="0" distL="0" distR="0">
            <wp:extent cx="3094074" cy="2817628"/>
            <wp:effectExtent l="19050" t="0" r="11076" b="1772"/>
            <wp:docPr id="67" name="Диаграмма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Pr="004761E0">
        <w:rPr>
          <w:noProof/>
          <w:lang w:eastAsia="ru-RU"/>
        </w:rPr>
        <w:t xml:space="preserve"> </w:t>
      </w:r>
      <w:r w:rsidRPr="004761E0">
        <w:rPr>
          <w:noProof/>
          <w:lang w:eastAsia="ru-RU"/>
        </w:rPr>
        <w:drawing>
          <wp:inline distT="0" distB="0" distL="0" distR="0">
            <wp:extent cx="3094074" cy="2817628"/>
            <wp:effectExtent l="19050" t="0" r="11076" b="1772"/>
            <wp:docPr id="68"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Pr="004761E0">
        <w:rPr>
          <w:lang w:eastAsia="ru-RU"/>
        </w:rPr>
        <w:t xml:space="preserve"> </w:t>
      </w:r>
    </w:p>
    <w:p w:rsidR="003429ED" w:rsidRPr="004761E0" w:rsidRDefault="003429ED" w:rsidP="003429ED">
      <w:pPr>
        <w:ind w:firstLine="0"/>
        <w:rPr>
          <w:lang w:eastAsia="ru-RU"/>
        </w:rPr>
      </w:pPr>
      <w:r w:rsidRPr="004761E0">
        <w:rPr>
          <w:noProof/>
          <w:lang w:eastAsia="ru-RU"/>
        </w:rPr>
        <w:drawing>
          <wp:inline distT="0" distB="0" distL="0" distR="0">
            <wp:extent cx="3030279" cy="2806995"/>
            <wp:effectExtent l="19050" t="0" r="17721" b="0"/>
            <wp:docPr id="70" name="Диаграмма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Pr="004761E0">
        <w:rPr>
          <w:lang w:eastAsia="ru-RU"/>
        </w:rPr>
        <w:t xml:space="preserve"> </w:t>
      </w:r>
      <w:r w:rsidRPr="004761E0">
        <w:rPr>
          <w:noProof/>
          <w:lang w:eastAsia="ru-RU"/>
        </w:rPr>
        <w:drawing>
          <wp:inline distT="0" distB="0" distL="0" distR="0">
            <wp:extent cx="3094074" cy="2849525"/>
            <wp:effectExtent l="19050" t="0" r="11076" b="7975"/>
            <wp:docPr id="71" name="Диаграмма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3429ED" w:rsidRPr="004761E0" w:rsidRDefault="003429ED" w:rsidP="003429ED">
      <w:pPr>
        <w:ind w:firstLine="567"/>
        <w:rPr>
          <w:rFonts w:eastAsia="Times New Roman"/>
          <w:sz w:val="26"/>
          <w:szCs w:val="26"/>
          <w:lang w:eastAsia="ru-RU"/>
        </w:rPr>
      </w:pPr>
      <w:r w:rsidRPr="004761E0">
        <w:rPr>
          <w:rFonts w:eastAsia="Times New Roman"/>
          <w:sz w:val="26"/>
          <w:szCs w:val="26"/>
          <w:lang w:eastAsia="ru-RU"/>
        </w:rPr>
        <w:t xml:space="preserve">Дебиторская задолженность за 2013 год уменьшилась на  </w:t>
      </w:r>
      <w:r w:rsidRPr="004761E0">
        <w:rPr>
          <w:color w:val="000000"/>
          <w:sz w:val="26"/>
          <w:szCs w:val="26"/>
        </w:rPr>
        <w:t>40,80 % до 25,01 млрд руб., что в большей степени связано со снижением д</w:t>
      </w:r>
      <w:r w:rsidRPr="004761E0">
        <w:rPr>
          <w:rFonts w:eastAsia="Times New Roman"/>
          <w:sz w:val="26"/>
          <w:szCs w:val="26"/>
          <w:lang w:eastAsia="ru-RU"/>
        </w:rPr>
        <w:t>олгосрочной дебиторской задолженности – за 2013 год данный показатель снизился на 18,87 млрд руб. или на 70,56 %. В том числе</w:t>
      </w:r>
      <w:r w:rsidR="00854C42">
        <w:rPr>
          <w:rFonts w:eastAsia="Times New Roman"/>
          <w:sz w:val="26"/>
          <w:szCs w:val="26"/>
          <w:lang w:eastAsia="ru-RU"/>
        </w:rPr>
        <w:t xml:space="preserve"> з</w:t>
      </w:r>
      <w:r w:rsidRPr="004761E0">
        <w:rPr>
          <w:sz w:val="26"/>
          <w:szCs w:val="26"/>
          <w:lang w:eastAsia="ru-RU"/>
        </w:rPr>
        <w:t>адолженность от оказания услуг по технологическому присоединению снизилас</w:t>
      </w:r>
      <w:r w:rsidR="00854C42">
        <w:rPr>
          <w:sz w:val="26"/>
          <w:szCs w:val="26"/>
          <w:lang w:eastAsia="ru-RU"/>
        </w:rPr>
        <w:t>ь на 8,21 млрд руб. или на 51 %, а</w:t>
      </w:r>
      <w:r w:rsidRPr="004761E0">
        <w:rPr>
          <w:rFonts w:eastAsia="Times New Roman"/>
          <w:sz w:val="26"/>
          <w:szCs w:val="26"/>
          <w:lang w:eastAsia="ru-RU"/>
        </w:rPr>
        <w:t xml:space="preserve">вансовые платежи по лизингу снизились в относительных значениях на 99 %, а в абсолютных </w:t>
      </w:r>
      <w:r w:rsidR="001B324F">
        <w:rPr>
          <w:rFonts w:eastAsia="Times New Roman"/>
          <w:sz w:val="26"/>
          <w:szCs w:val="26"/>
          <w:lang w:eastAsia="ru-RU"/>
        </w:rPr>
        <w:t>–</w:t>
      </w:r>
      <w:r w:rsidRPr="004761E0">
        <w:rPr>
          <w:rFonts w:eastAsia="Times New Roman"/>
          <w:sz w:val="26"/>
          <w:szCs w:val="26"/>
          <w:lang w:eastAsia="ru-RU"/>
        </w:rPr>
        <w:t xml:space="preserve"> с 10,73 </w:t>
      </w:r>
      <w:r w:rsidR="0008080E">
        <w:rPr>
          <w:rFonts w:eastAsia="Times New Roman"/>
          <w:sz w:val="26"/>
          <w:szCs w:val="26"/>
          <w:lang w:eastAsia="ru-RU"/>
        </w:rPr>
        <w:t>млрд</w:t>
      </w:r>
      <w:r w:rsidRPr="004761E0">
        <w:rPr>
          <w:rFonts w:eastAsia="Times New Roman"/>
          <w:sz w:val="26"/>
          <w:szCs w:val="26"/>
          <w:lang w:eastAsia="ru-RU"/>
        </w:rPr>
        <w:t xml:space="preserve"> руб. до 0,07 </w:t>
      </w:r>
      <w:r w:rsidR="0008080E">
        <w:rPr>
          <w:rFonts w:eastAsia="Times New Roman"/>
          <w:sz w:val="26"/>
          <w:szCs w:val="26"/>
          <w:lang w:eastAsia="ru-RU"/>
        </w:rPr>
        <w:t>млрд</w:t>
      </w:r>
      <w:r w:rsidRPr="004761E0">
        <w:rPr>
          <w:rFonts w:eastAsia="Times New Roman"/>
          <w:sz w:val="26"/>
          <w:szCs w:val="26"/>
          <w:lang w:eastAsia="ru-RU"/>
        </w:rPr>
        <w:t xml:space="preserve"> руб.</w:t>
      </w:r>
    </w:p>
    <w:p w:rsidR="003429ED" w:rsidRPr="004761E0" w:rsidRDefault="003429ED" w:rsidP="003429ED">
      <w:pPr>
        <w:ind w:firstLine="567"/>
        <w:rPr>
          <w:rFonts w:eastAsia="Times New Roman"/>
          <w:sz w:val="26"/>
          <w:szCs w:val="26"/>
          <w:lang w:eastAsia="ru-RU"/>
        </w:rPr>
      </w:pPr>
      <w:r w:rsidRPr="004761E0">
        <w:rPr>
          <w:rFonts w:eastAsia="Times New Roman"/>
          <w:sz w:val="26"/>
          <w:szCs w:val="26"/>
          <w:lang w:eastAsia="ru-RU"/>
        </w:rPr>
        <w:t>Данное снижение дебиторской задолженности положительно характеризует деятельность Общества и является результатом активно</w:t>
      </w:r>
      <w:r w:rsidR="00854C42">
        <w:rPr>
          <w:rFonts w:eastAsia="Times New Roman"/>
          <w:sz w:val="26"/>
          <w:szCs w:val="26"/>
          <w:lang w:eastAsia="ru-RU"/>
        </w:rPr>
        <w:t xml:space="preserve"> проводимой в Обществе работы с</w:t>
      </w:r>
      <w:r w:rsidRPr="004761E0">
        <w:rPr>
          <w:rFonts w:eastAsia="Times New Roman"/>
          <w:sz w:val="26"/>
          <w:szCs w:val="26"/>
          <w:lang w:eastAsia="ru-RU"/>
        </w:rPr>
        <w:t xml:space="preserve"> дебиторской задолженностью и связано в том числе с проведением операций неденежного характера. В частности, снижение за 2013</w:t>
      </w:r>
      <w:r w:rsidR="00854C42">
        <w:rPr>
          <w:rFonts w:eastAsia="Times New Roman"/>
          <w:sz w:val="26"/>
          <w:szCs w:val="26"/>
          <w:lang w:eastAsia="ru-RU"/>
        </w:rPr>
        <w:t xml:space="preserve"> </w:t>
      </w:r>
      <w:r w:rsidRPr="004761E0">
        <w:rPr>
          <w:rFonts w:eastAsia="Times New Roman"/>
          <w:sz w:val="26"/>
          <w:szCs w:val="26"/>
          <w:lang w:eastAsia="ru-RU"/>
        </w:rPr>
        <w:t>г</w:t>
      </w:r>
      <w:r w:rsidR="00854C42">
        <w:rPr>
          <w:rFonts w:eastAsia="Times New Roman"/>
          <w:sz w:val="26"/>
          <w:szCs w:val="26"/>
          <w:lang w:eastAsia="ru-RU"/>
        </w:rPr>
        <w:t>од</w:t>
      </w:r>
      <w:r w:rsidRPr="004761E0">
        <w:rPr>
          <w:rFonts w:eastAsia="Times New Roman"/>
          <w:sz w:val="26"/>
          <w:szCs w:val="26"/>
          <w:lang w:eastAsia="ru-RU"/>
        </w:rPr>
        <w:t xml:space="preserve"> обусловлено двумя причинами:</w:t>
      </w:r>
    </w:p>
    <w:p w:rsidR="003429ED" w:rsidRPr="004761E0" w:rsidRDefault="003429ED" w:rsidP="007076A7">
      <w:pPr>
        <w:pStyle w:val="a5"/>
        <w:numPr>
          <w:ilvl w:val="0"/>
          <w:numId w:val="316"/>
        </w:numPr>
        <w:rPr>
          <w:rFonts w:eastAsia="Times New Roman"/>
          <w:sz w:val="26"/>
          <w:szCs w:val="26"/>
          <w:lang w:eastAsia="ru-RU"/>
        </w:rPr>
      </w:pPr>
      <w:r w:rsidRPr="004761E0">
        <w:rPr>
          <w:rFonts w:eastAsia="Times New Roman"/>
          <w:sz w:val="26"/>
          <w:szCs w:val="26"/>
          <w:lang w:eastAsia="ru-RU"/>
        </w:rPr>
        <w:t xml:space="preserve">изменением условий договоров по финансовой аренде (лизингу) с </w:t>
      </w:r>
      <w:r w:rsidR="0008080E">
        <w:rPr>
          <w:rFonts w:eastAsia="Times New Roman"/>
          <w:sz w:val="26"/>
          <w:szCs w:val="26"/>
          <w:lang w:eastAsia="ru-RU"/>
        </w:rPr>
        <w:t>ЗАО </w:t>
      </w:r>
      <w:r w:rsidRPr="004761E0">
        <w:rPr>
          <w:rFonts w:eastAsia="Times New Roman"/>
          <w:sz w:val="26"/>
          <w:szCs w:val="26"/>
          <w:lang w:eastAsia="ru-RU"/>
        </w:rPr>
        <w:t xml:space="preserve">«Бизнес Альянс» и, как результат досрочным выкупом и постановкой на баланс Общества имущества, составляющего основные средства, объекты незавершенного строительства, целью использования которых является производство, передача, диспетчирование, распределение электрической и </w:t>
      </w:r>
      <w:r w:rsidRPr="004761E0">
        <w:rPr>
          <w:rFonts w:eastAsia="Times New Roman"/>
          <w:sz w:val="26"/>
          <w:szCs w:val="26"/>
          <w:lang w:eastAsia="ru-RU"/>
        </w:rPr>
        <w:lastRenderedPageBreak/>
        <w:t xml:space="preserve">тепловой энергии. В свою очередь, данные изменения одобрены решением Совета </w:t>
      </w:r>
      <w:r w:rsidR="00F10456">
        <w:rPr>
          <w:rFonts w:eastAsia="Times New Roman"/>
          <w:sz w:val="26"/>
          <w:szCs w:val="26"/>
          <w:lang w:eastAsia="ru-RU"/>
        </w:rPr>
        <w:t>д</w:t>
      </w:r>
      <w:r w:rsidRPr="004761E0">
        <w:rPr>
          <w:rFonts w:eastAsia="Times New Roman"/>
          <w:sz w:val="26"/>
          <w:szCs w:val="26"/>
          <w:lang w:eastAsia="ru-RU"/>
        </w:rPr>
        <w:t>иректоров</w:t>
      </w:r>
      <w:r w:rsidR="00F10456" w:rsidRPr="006F4AB8">
        <w:rPr>
          <w:rStyle w:val="af1"/>
        </w:rPr>
        <w:footnoteReference w:id="50"/>
      </w:r>
      <w:r w:rsidRPr="004761E0">
        <w:rPr>
          <w:rFonts w:eastAsia="Times New Roman"/>
          <w:sz w:val="26"/>
          <w:szCs w:val="26"/>
          <w:lang w:eastAsia="ru-RU"/>
        </w:rPr>
        <w:t>. Снижение дебиторской задолженности по лизингу не приводит к уменьшению активов и валюты баланса.</w:t>
      </w:r>
    </w:p>
    <w:p w:rsidR="00131CBE" w:rsidRPr="00131CBE" w:rsidRDefault="00131CBE" w:rsidP="007076A7">
      <w:pPr>
        <w:pStyle w:val="a5"/>
        <w:numPr>
          <w:ilvl w:val="0"/>
          <w:numId w:val="316"/>
        </w:numPr>
        <w:contextualSpacing w:val="0"/>
        <w:rPr>
          <w:sz w:val="26"/>
          <w:szCs w:val="26"/>
        </w:rPr>
      </w:pPr>
      <w:r w:rsidRPr="00131CBE">
        <w:rPr>
          <w:sz w:val="26"/>
          <w:szCs w:val="26"/>
        </w:rPr>
        <w:t>начислением резерва на обесценение дебиторской задолженности, в т</w:t>
      </w:r>
      <w:r>
        <w:rPr>
          <w:sz w:val="26"/>
          <w:szCs w:val="26"/>
        </w:rPr>
        <w:t>.ч.</w:t>
      </w:r>
      <w:r w:rsidRPr="00131CBE">
        <w:rPr>
          <w:sz w:val="26"/>
          <w:szCs w:val="26"/>
        </w:rPr>
        <w:t xml:space="preserve"> по ОАО Энергокомплекс» на сумму 8,46 млрд руб. за отчетный период до уровня 12,48 млрд руб. по состоянию на 31.12.2013. Предпосылки для создания резерва возникли ранее в период с 2006 по 2010 гг. в результате существующей системы «одного окна» и распределения авансовых платежей от потребителей услуг по технологическому присоединению. В разделе «Дебиторская задолженность участников «одного окна» приведена динамика задолженности, причины и размеры создаваемых резервов по сомнительной задолженности по контрагентам – участникам «одного окна».</w:t>
      </w:r>
    </w:p>
    <w:p w:rsidR="003429ED" w:rsidRPr="004761E0" w:rsidRDefault="003429ED" w:rsidP="009022DF">
      <w:pPr>
        <w:ind w:firstLine="567"/>
        <w:rPr>
          <w:rFonts w:eastAsia="Times New Roman"/>
          <w:sz w:val="26"/>
          <w:szCs w:val="26"/>
          <w:lang w:eastAsia="ru-RU"/>
        </w:rPr>
      </w:pPr>
      <w:r w:rsidRPr="004761E0">
        <w:rPr>
          <w:rFonts w:eastAsia="Times New Roman"/>
          <w:sz w:val="26"/>
          <w:szCs w:val="26"/>
          <w:lang w:eastAsia="ru-RU"/>
        </w:rPr>
        <w:t xml:space="preserve">Краткосрочная дебиторская задолженность за 2013 год увеличилась на 1,64 млрд руб., или на 11 %, Основное увеличение вызвано ростом дебиторской задолженности по статье «Прочие дебиторы» на 1,96 млрд руб., или на 126 % , что обусловлено работой, проводимой в Обществе по выявлению бездоговорного потребления электроэнергии. Снижение кракосрочной дебиторской задолженности по авансовым платежам на сумму 0,79 млрд руб., или на 20 %, </w:t>
      </w:r>
      <w:r w:rsidR="009022DF">
        <w:rPr>
          <w:rFonts w:eastAsia="Times New Roman"/>
          <w:sz w:val="26"/>
          <w:szCs w:val="26"/>
          <w:lang w:eastAsia="ru-RU"/>
        </w:rPr>
        <w:t xml:space="preserve">в основном </w:t>
      </w:r>
      <w:r w:rsidRPr="004761E0">
        <w:rPr>
          <w:rFonts w:eastAsia="Times New Roman"/>
          <w:sz w:val="26"/>
          <w:szCs w:val="26"/>
          <w:lang w:eastAsia="ru-RU"/>
        </w:rPr>
        <w:t>связано с досрочным выкупом оборудования, находящегося в лизинге.</w:t>
      </w:r>
    </w:p>
    <w:p w:rsidR="003429ED" w:rsidRPr="008C0C74" w:rsidRDefault="003429ED" w:rsidP="003429ED">
      <w:pPr>
        <w:spacing w:before="120" w:after="120"/>
        <w:ind w:firstLine="567"/>
        <w:rPr>
          <w:b/>
          <w:sz w:val="26"/>
          <w:szCs w:val="26"/>
        </w:rPr>
      </w:pPr>
      <w:r w:rsidRPr="008C0C74">
        <w:rPr>
          <w:b/>
          <w:sz w:val="26"/>
          <w:szCs w:val="26"/>
        </w:rPr>
        <w:t>Дебиторская задолженность участников системы «Одного окна»</w:t>
      </w:r>
    </w:p>
    <w:p w:rsidR="003429ED" w:rsidRPr="004761E0" w:rsidRDefault="003429ED" w:rsidP="003429ED">
      <w:pPr>
        <w:ind w:firstLine="567"/>
        <w:rPr>
          <w:rFonts w:eastAsia="Times New Roman"/>
          <w:sz w:val="26"/>
          <w:szCs w:val="26"/>
          <w:lang w:eastAsia="ru-RU"/>
        </w:rPr>
      </w:pPr>
      <w:r w:rsidRPr="004761E0">
        <w:rPr>
          <w:rFonts w:eastAsia="Times New Roman"/>
          <w:sz w:val="26"/>
          <w:szCs w:val="26"/>
          <w:lang w:eastAsia="ru-RU"/>
        </w:rPr>
        <w:t>Информация об истории возникновения дебиторской задолженности участников системы «Одного окна» представлена в разделе Отчет Совета директоров о результатах развития по приоритетным направлениям деятельности.</w:t>
      </w:r>
    </w:p>
    <w:tbl>
      <w:tblPr>
        <w:tblW w:w="10239" w:type="dxa"/>
        <w:tblInd w:w="95" w:type="dxa"/>
        <w:tblLook w:val="04A0"/>
      </w:tblPr>
      <w:tblGrid>
        <w:gridCol w:w="722"/>
        <w:gridCol w:w="4961"/>
        <w:gridCol w:w="1128"/>
        <w:gridCol w:w="1128"/>
        <w:gridCol w:w="1128"/>
        <w:gridCol w:w="1172"/>
      </w:tblGrid>
      <w:tr w:rsidR="003429ED" w:rsidRPr="004761E0" w:rsidTr="00BA788C">
        <w:trPr>
          <w:trHeight w:val="300"/>
        </w:trPr>
        <w:tc>
          <w:tcPr>
            <w:tcW w:w="722"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496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2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31.12.2011</w:t>
            </w:r>
          </w:p>
        </w:tc>
        <w:tc>
          <w:tcPr>
            <w:tcW w:w="112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31.12.2012</w:t>
            </w:r>
          </w:p>
        </w:tc>
        <w:tc>
          <w:tcPr>
            <w:tcW w:w="112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31.12.2013</w:t>
            </w:r>
          </w:p>
        </w:tc>
        <w:tc>
          <w:tcPr>
            <w:tcW w:w="1172"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31.12.2013/</w:t>
            </w:r>
          </w:p>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31.12.2012</w:t>
            </w:r>
          </w:p>
        </w:tc>
      </w:tr>
      <w:tr w:rsidR="003429ED" w:rsidRPr="004761E0" w:rsidTr="00BA788C">
        <w:trPr>
          <w:trHeight w:val="300"/>
        </w:trPr>
        <w:tc>
          <w:tcPr>
            <w:tcW w:w="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7076A7">
            <w:pPr>
              <w:numPr>
                <w:ilvl w:val="0"/>
                <w:numId w:val="124"/>
              </w:numPr>
              <w:jc w:val="left"/>
              <w:rPr>
                <w:rFonts w:eastAsia="Times New Roman"/>
                <w:color w:val="000000"/>
                <w:sz w:val="20"/>
                <w:szCs w:val="20"/>
                <w:lang w:eastAsia="ru-RU"/>
              </w:rPr>
            </w:pP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3429ED" w:rsidRPr="004761E0" w:rsidRDefault="003429ED" w:rsidP="003429ED">
            <w:pPr>
              <w:ind w:firstLine="0"/>
              <w:jc w:val="left"/>
              <w:rPr>
                <w:rFonts w:eastAsia="Times New Roman"/>
                <w:color w:val="000000"/>
                <w:sz w:val="20"/>
                <w:szCs w:val="20"/>
                <w:lang w:eastAsia="ru-RU"/>
              </w:rPr>
            </w:pPr>
            <w:r w:rsidRPr="004761E0">
              <w:rPr>
                <w:rFonts w:eastAsia="Times New Roman"/>
                <w:color w:val="000000"/>
                <w:sz w:val="20"/>
                <w:szCs w:val="20"/>
                <w:lang w:eastAsia="ru-RU"/>
              </w:rPr>
              <w:t>Дебиторская задолженность участников системы «Одного окна» (без учета сформированного резерва по сомнительным долгам), млн руб. (всего), в т.ч.:</w:t>
            </w:r>
          </w:p>
        </w:tc>
        <w:tc>
          <w:tcPr>
            <w:tcW w:w="1128" w:type="dxa"/>
            <w:tcBorders>
              <w:top w:val="single" w:sz="4" w:space="0" w:color="auto"/>
              <w:left w:val="nil"/>
              <w:bottom w:val="single" w:sz="4"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23 515</w:t>
            </w:r>
          </w:p>
        </w:tc>
        <w:tc>
          <w:tcPr>
            <w:tcW w:w="1128" w:type="dxa"/>
            <w:tcBorders>
              <w:top w:val="single" w:sz="4" w:space="0" w:color="auto"/>
              <w:left w:val="nil"/>
              <w:bottom w:val="single" w:sz="4"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21 751</w:t>
            </w:r>
          </w:p>
        </w:tc>
        <w:tc>
          <w:tcPr>
            <w:tcW w:w="1128" w:type="dxa"/>
            <w:tcBorders>
              <w:top w:val="single" w:sz="4" w:space="0" w:color="auto"/>
              <w:left w:val="nil"/>
              <w:bottom w:val="single" w:sz="4"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21 598</w:t>
            </w:r>
          </w:p>
        </w:tc>
        <w:tc>
          <w:tcPr>
            <w:tcW w:w="1172" w:type="dxa"/>
            <w:tcBorders>
              <w:top w:val="single" w:sz="4" w:space="0" w:color="auto"/>
              <w:left w:val="nil"/>
              <w:bottom w:val="single" w:sz="4"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-0,70</w:t>
            </w:r>
            <w:r w:rsidR="006C1AA1">
              <w:rPr>
                <w:rFonts w:eastAsia="Times New Roman"/>
                <w:color w:val="000000"/>
                <w:sz w:val="20"/>
                <w:szCs w:val="20"/>
                <w:lang w:eastAsia="ru-RU"/>
              </w:rPr>
              <w:t xml:space="preserve"> </w:t>
            </w:r>
            <w:r w:rsidRPr="004761E0">
              <w:rPr>
                <w:rFonts w:eastAsia="Times New Roman"/>
                <w:color w:val="000000"/>
                <w:sz w:val="20"/>
                <w:szCs w:val="20"/>
                <w:lang w:eastAsia="ru-RU"/>
              </w:rPr>
              <w:t>%</w:t>
            </w:r>
          </w:p>
        </w:tc>
      </w:tr>
      <w:tr w:rsidR="003429ED" w:rsidRPr="004761E0" w:rsidTr="00BA788C">
        <w:trPr>
          <w:trHeight w:val="300"/>
        </w:trPr>
        <w:tc>
          <w:tcPr>
            <w:tcW w:w="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7076A7">
            <w:pPr>
              <w:pStyle w:val="a5"/>
              <w:numPr>
                <w:ilvl w:val="1"/>
                <w:numId w:val="124"/>
              </w:numPr>
              <w:jc w:val="left"/>
              <w:rPr>
                <w:rFonts w:eastAsia="Times New Roman"/>
                <w:color w:val="000000"/>
                <w:sz w:val="20"/>
                <w:szCs w:val="20"/>
                <w:lang w:eastAsia="ru-RU"/>
              </w:rPr>
            </w:pP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3429ED" w:rsidRPr="004761E0" w:rsidRDefault="0008080E" w:rsidP="003429ED">
            <w:pPr>
              <w:ind w:firstLineChars="200" w:firstLine="400"/>
              <w:jc w:val="left"/>
              <w:rPr>
                <w:rFonts w:eastAsia="Times New Roman"/>
                <w:sz w:val="20"/>
                <w:szCs w:val="20"/>
                <w:lang w:eastAsia="ru-RU"/>
              </w:rPr>
            </w:pPr>
            <w:r>
              <w:rPr>
                <w:rFonts w:eastAsia="Times New Roman"/>
                <w:sz w:val="20"/>
                <w:szCs w:val="20"/>
                <w:lang w:eastAsia="ru-RU"/>
              </w:rPr>
              <w:t>ОАО </w:t>
            </w:r>
            <w:r w:rsidR="003429ED" w:rsidRPr="004761E0">
              <w:rPr>
                <w:rFonts w:eastAsia="Times New Roman"/>
                <w:sz w:val="20"/>
                <w:szCs w:val="20"/>
                <w:lang w:eastAsia="ru-RU"/>
              </w:rPr>
              <w:t>«Энергокомплекс»</w:t>
            </w:r>
          </w:p>
        </w:tc>
        <w:tc>
          <w:tcPr>
            <w:tcW w:w="1128" w:type="dxa"/>
            <w:tcBorders>
              <w:top w:val="single" w:sz="4" w:space="0" w:color="auto"/>
              <w:left w:val="nil"/>
              <w:bottom w:val="single" w:sz="4"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12 700</w:t>
            </w:r>
          </w:p>
        </w:tc>
        <w:tc>
          <w:tcPr>
            <w:tcW w:w="1128" w:type="dxa"/>
            <w:tcBorders>
              <w:top w:val="single" w:sz="4" w:space="0" w:color="auto"/>
              <w:left w:val="nil"/>
              <w:bottom w:val="single" w:sz="4"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12 573</w:t>
            </w:r>
          </w:p>
        </w:tc>
        <w:tc>
          <w:tcPr>
            <w:tcW w:w="1128" w:type="dxa"/>
            <w:tcBorders>
              <w:top w:val="single" w:sz="4" w:space="0" w:color="auto"/>
              <w:left w:val="nil"/>
              <w:bottom w:val="single" w:sz="4"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12 480</w:t>
            </w:r>
          </w:p>
        </w:tc>
        <w:tc>
          <w:tcPr>
            <w:tcW w:w="1172" w:type="dxa"/>
            <w:tcBorders>
              <w:top w:val="single" w:sz="4" w:space="0" w:color="auto"/>
              <w:left w:val="nil"/>
              <w:bottom w:val="single" w:sz="4"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-0,74</w:t>
            </w:r>
            <w:r w:rsidR="006C1AA1">
              <w:rPr>
                <w:rFonts w:eastAsia="Times New Roman"/>
                <w:color w:val="000000"/>
                <w:sz w:val="20"/>
                <w:szCs w:val="20"/>
                <w:lang w:eastAsia="ru-RU"/>
              </w:rPr>
              <w:t xml:space="preserve"> </w:t>
            </w:r>
            <w:r w:rsidRPr="004761E0">
              <w:rPr>
                <w:rFonts w:eastAsia="Times New Roman"/>
                <w:color w:val="000000"/>
                <w:sz w:val="20"/>
                <w:szCs w:val="20"/>
                <w:lang w:eastAsia="ru-RU"/>
              </w:rPr>
              <w:t>%</w:t>
            </w:r>
          </w:p>
        </w:tc>
      </w:tr>
      <w:tr w:rsidR="003429ED" w:rsidRPr="004761E0" w:rsidTr="00BA788C">
        <w:trPr>
          <w:trHeight w:val="300"/>
        </w:trPr>
        <w:tc>
          <w:tcPr>
            <w:tcW w:w="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7076A7">
            <w:pPr>
              <w:pStyle w:val="a5"/>
              <w:numPr>
                <w:ilvl w:val="1"/>
                <w:numId w:val="124"/>
              </w:numPr>
              <w:jc w:val="left"/>
              <w:rPr>
                <w:rFonts w:eastAsia="Times New Roman"/>
                <w:color w:val="000000"/>
                <w:sz w:val="20"/>
                <w:szCs w:val="20"/>
                <w:lang w:eastAsia="ru-RU"/>
              </w:rPr>
            </w:pP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3429ED" w:rsidRPr="004761E0" w:rsidRDefault="0008080E" w:rsidP="003429ED">
            <w:pPr>
              <w:ind w:firstLineChars="200" w:firstLine="400"/>
              <w:jc w:val="left"/>
              <w:rPr>
                <w:rFonts w:eastAsia="Times New Roman"/>
                <w:color w:val="000000"/>
                <w:sz w:val="20"/>
                <w:szCs w:val="20"/>
                <w:lang w:eastAsia="ru-RU"/>
              </w:rPr>
            </w:pPr>
            <w:r>
              <w:rPr>
                <w:rFonts w:eastAsia="Times New Roman"/>
                <w:color w:val="000000"/>
                <w:sz w:val="20"/>
                <w:szCs w:val="20"/>
                <w:lang w:eastAsia="ru-RU"/>
              </w:rPr>
              <w:t>ОАО </w:t>
            </w:r>
            <w:r w:rsidR="003429ED" w:rsidRPr="004761E0">
              <w:rPr>
                <w:rFonts w:eastAsia="Times New Roman"/>
                <w:color w:val="000000"/>
                <w:sz w:val="20"/>
                <w:szCs w:val="20"/>
                <w:lang w:eastAsia="ru-RU"/>
              </w:rPr>
              <w:t>«ОЭК»</w:t>
            </w:r>
          </w:p>
        </w:tc>
        <w:tc>
          <w:tcPr>
            <w:tcW w:w="1128" w:type="dxa"/>
            <w:tcBorders>
              <w:top w:val="single" w:sz="4" w:space="0" w:color="auto"/>
              <w:left w:val="nil"/>
              <w:bottom w:val="single" w:sz="4"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5 509</w:t>
            </w:r>
          </w:p>
        </w:tc>
        <w:tc>
          <w:tcPr>
            <w:tcW w:w="1128" w:type="dxa"/>
            <w:tcBorders>
              <w:top w:val="single" w:sz="4" w:space="0" w:color="auto"/>
              <w:left w:val="nil"/>
              <w:bottom w:val="single" w:sz="4"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3 871</w:t>
            </w:r>
          </w:p>
        </w:tc>
        <w:tc>
          <w:tcPr>
            <w:tcW w:w="1128" w:type="dxa"/>
            <w:tcBorders>
              <w:top w:val="single" w:sz="4" w:space="0" w:color="auto"/>
              <w:left w:val="nil"/>
              <w:bottom w:val="single" w:sz="4"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3 840</w:t>
            </w:r>
          </w:p>
        </w:tc>
        <w:tc>
          <w:tcPr>
            <w:tcW w:w="1172" w:type="dxa"/>
            <w:tcBorders>
              <w:top w:val="single" w:sz="4" w:space="0" w:color="auto"/>
              <w:left w:val="nil"/>
              <w:bottom w:val="single" w:sz="4"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-0,80</w:t>
            </w:r>
            <w:r w:rsidR="006C1AA1">
              <w:rPr>
                <w:rFonts w:eastAsia="Times New Roman"/>
                <w:color w:val="000000"/>
                <w:sz w:val="20"/>
                <w:szCs w:val="20"/>
                <w:lang w:eastAsia="ru-RU"/>
              </w:rPr>
              <w:t xml:space="preserve"> </w:t>
            </w:r>
            <w:r w:rsidRPr="004761E0">
              <w:rPr>
                <w:rFonts w:eastAsia="Times New Roman"/>
                <w:color w:val="000000"/>
                <w:sz w:val="20"/>
                <w:szCs w:val="20"/>
                <w:lang w:eastAsia="ru-RU"/>
              </w:rPr>
              <w:t>%</w:t>
            </w:r>
          </w:p>
        </w:tc>
      </w:tr>
      <w:tr w:rsidR="003429ED" w:rsidRPr="004761E0" w:rsidTr="00BA788C">
        <w:trPr>
          <w:trHeight w:val="300"/>
        </w:trPr>
        <w:tc>
          <w:tcPr>
            <w:tcW w:w="722"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3429ED" w:rsidRPr="004761E0" w:rsidRDefault="003429ED" w:rsidP="007076A7">
            <w:pPr>
              <w:pStyle w:val="a5"/>
              <w:numPr>
                <w:ilvl w:val="1"/>
                <w:numId w:val="124"/>
              </w:numPr>
              <w:jc w:val="left"/>
              <w:rPr>
                <w:rFonts w:eastAsia="Times New Roman"/>
                <w:color w:val="000000"/>
                <w:sz w:val="20"/>
                <w:szCs w:val="20"/>
                <w:lang w:eastAsia="ru-RU"/>
              </w:rPr>
            </w:pPr>
          </w:p>
        </w:tc>
        <w:tc>
          <w:tcPr>
            <w:tcW w:w="496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3429ED" w:rsidRPr="004761E0" w:rsidRDefault="003429ED" w:rsidP="003429ED">
            <w:pPr>
              <w:ind w:firstLineChars="200" w:firstLine="400"/>
              <w:jc w:val="left"/>
              <w:rPr>
                <w:rFonts w:eastAsia="Times New Roman"/>
                <w:sz w:val="20"/>
                <w:szCs w:val="20"/>
                <w:lang w:eastAsia="ru-RU"/>
              </w:rPr>
            </w:pPr>
            <w:r w:rsidRPr="004761E0">
              <w:rPr>
                <w:rFonts w:eastAsia="Times New Roman"/>
                <w:sz w:val="20"/>
                <w:szCs w:val="20"/>
                <w:lang w:eastAsia="ru-RU"/>
              </w:rPr>
              <w:t>ГУП «Москоллектор»</w:t>
            </w:r>
          </w:p>
        </w:tc>
        <w:tc>
          <w:tcPr>
            <w:tcW w:w="1128"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4 628</w:t>
            </w:r>
          </w:p>
        </w:tc>
        <w:tc>
          <w:tcPr>
            <w:tcW w:w="1128"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4 628</w:t>
            </w:r>
          </w:p>
        </w:tc>
        <w:tc>
          <w:tcPr>
            <w:tcW w:w="1128"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4 601</w:t>
            </w:r>
          </w:p>
        </w:tc>
        <w:tc>
          <w:tcPr>
            <w:tcW w:w="1172"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-0,57</w:t>
            </w:r>
            <w:r w:rsidR="006C1AA1">
              <w:rPr>
                <w:rFonts w:eastAsia="Times New Roman"/>
                <w:color w:val="000000"/>
                <w:sz w:val="20"/>
                <w:szCs w:val="20"/>
                <w:lang w:eastAsia="ru-RU"/>
              </w:rPr>
              <w:t xml:space="preserve"> </w:t>
            </w:r>
            <w:r w:rsidRPr="004761E0">
              <w:rPr>
                <w:rFonts w:eastAsia="Times New Roman"/>
                <w:color w:val="000000"/>
                <w:sz w:val="20"/>
                <w:szCs w:val="20"/>
                <w:lang w:eastAsia="ru-RU"/>
              </w:rPr>
              <w:t>%</w:t>
            </w:r>
          </w:p>
        </w:tc>
      </w:tr>
      <w:tr w:rsidR="003429ED" w:rsidRPr="004761E0" w:rsidTr="00BA788C">
        <w:trPr>
          <w:trHeight w:val="300"/>
        </w:trPr>
        <w:tc>
          <w:tcPr>
            <w:tcW w:w="722"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3429ED" w:rsidRPr="004761E0" w:rsidRDefault="003429ED" w:rsidP="007076A7">
            <w:pPr>
              <w:pStyle w:val="a5"/>
              <w:numPr>
                <w:ilvl w:val="1"/>
                <w:numId w:val="124"/>
              </w:numPr>
              <w:jc w:val="left"/>
              <w:rPr>
                <w:rFonts w:eastAsia="Times New Roman"/>
                <w:color w:val="000000"/>
                <w:sz w:val="20"/>
                <w:szCs w:val="20"/>
                <w:lang w:eastAsia="ru-RU"/>
              </w:rPr>
            </w:pPr>
          </w:p>
        </w:tc>
        <w:tc>
          <w:tcPr>
            <w:tcW w:w="496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3429ED" w:rsidRPr="004761E0" w:rsidRDefault="0008080E" w:rsidP="003429ED">
            <w:pPr>
              <w:ind w:firstLineChars="200" w:firstLine="400"/>
              <w:jc w:val="left"/>
              <w:rPr>
                <w:rFonts w:eastAsia="Times New Roman"/>
                <w:sz w:val="20"/>
                <w:szCs w:val="20"/>
                <w:lang w:eastAsia="ru-RU"/>
              </w:rPr>
            </w:pPr>
            <w:r>
              <w:rPr>
                <w:rFonts w:eastAsia="Times New Roman"/>
                <w:sz w:val="20"/>
                <w:szCs w:val="20"/>
                <w:lang w:eastAsia="ru-RU"/>
              </w:rPr>
              <w:t>ОАО </w:t>
            </w:r>
            <w:r w:rsidR="003429ED" w:rsidRPr="004761E0">
              <w:rPr>
                <w:rFonts w:eastAsia="Times New Roman"/>
                <w:sz w:val="20"/>
                <w:szCs w:val="20"/>
                <w:lang w:eastAsia="ru-RU"/>
              </w:rPr>
              <w:t>«Мосэнерго»</w:t>
            </w:r>
          </w:p>
        </w:tc>
        <w:tc>
          <w:tcPr>
            <w:tcW w:w="1128"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680</w:t>
            </w:r>
          </w:p>
        </w:tc>
        <w:tc>
          <w:tcPr>
            <w:tcW w:w="1128"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679</w:t>
            </w:r>
          </w:p>
        </w:tc>
        <w:tc>
          <w:tcPr>
            <w:tcW w:w="1128"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677</w:t>
            </w:r>
          </w:p>
        </w:tc>
        <w:tc>
          <w:tcPr>
            <w:tcW w:w="1172"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-0,29 %</w:t>
            </w:r>
          </w:p>
        </w:tc>
      </w:tr>
      <w:tr w:rsidR="003429ED" w:rsidRPr="004761E0" w:rsidTr="00BA788C">
        <w:trPr>
          <w:trHeight w:val="300"/>
        </w:trPr>
        <w:tc>
          <w:tcPr>
            <w:tcW w:w="722"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7076A7">
            <w:pPr>
              <w:numPr>
                <w:ilvl w:val="0"/>
                <w:numId w:val="124"/>
              </w:numPr>
              <w:jc w:val="left"/>
              <w:rPr>
                <w:rFonts w:eastAsia="Times New Roman"/>
                <w:color w:val="000000"/>
                <w:sz w:val="20"/>
                <w:szCs w:val="20"/>
                <w:lang w:eastAsia="ru-RU"/>
              </w:rPr>
            </w:pPr>
          </w:p>
        </w:tc>
        <w:tc>
          <w:tcPr>
            <w:tcW w:w="4961"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left"/>
              <w:rPr>
                <w:rFonts w:eastAsia="Times New Roman"/>
                <w:color w:val="000000"/>
                <w:sz w:val="20"/>
                <w:szCs w:val="20"/>
                <w:lang w:eastAsia="ru-RU"/>
              </w:rPr>
            </w:pPr>
            <w:r w:rsidRPr="004761E0">
              <w:rPr>
                <w:rFonts w:eastAsia="Times New Roman"/>
                <w:color w:val="000000"/>
                <w:sz w:val="20"/>
                <w:szCs w:val="20"/>
                <w:lang w:eastAsia="ru-RU"/>
              </w:rPr>
              <w:t>Резерв по сомнительным долгам, млн руб. (всего), в т.ч.:</w:t>
            </w:r>
          </w:p>
        </w:tc>
        <w:tc>
          <w:tcPr>
            <w:tcW w:w="1128"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2 990</w:t>
            </w:r>
          </w:p>
        </w:tc>
        <w:tc>
          <w:tcPr>
            <w:tcW w:w="1128"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5 736</w:t>
            </w:r>
          </w:p>
        </w:tc>
        <w:tc>
          <w:tcPr>
            <w:tcW w:w="1128"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13 793</w:t>
            </w:r>
          </w:p>
        </w:tc>
        <w:tc>
          <w:tcPr>
            <w:tcW w:w="1172"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140,46 %</w:t>
            </w:r>
          </w:p>
        </w:tc>
      </w:tr>
      <w:tr w:rsidR="003429ED" w:rsidRPr="004761E0" w:rsidTr="00BA788C">
        <w:trPr>
          <w:trHeight w:val="300"/>
        </w:trPr>
        <w:tc>
          <w:tcPr>
            <w:tcW w:w="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7076A7">
            <w:pPr>
              <w:pStyle w:val="a5"/>
              <w:numPr>
                <w:ilvl w:val="1"/>
                <w:numId w:val="124"/>
              </w:numPr>
              <w:jc w:val="left"/>
              <w:rPr>
                <w:rFonts w:eastAsia="Times New Roman"/>
                <w:color w:val="000000"/>
                <w:sz w:val="20"/>
                <w:szCs w:val="20"/>
                <w:lang w:eastAsia="ru-RU"/>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08080E" w:rsidP="003429ED">
            <w:pPr>
              <w:ind w:firstLineChars="200" w:firstLine="400"/>
              <w:jc w:val="left"/>
              <w:rPr>
                <w:rFonts w:eastAsia="Times New Roman"/>
                <w:color w:val="000000"/>
                <w:sz w:val="20"/>
                <w:szCs w:val="20"/>
                <w:lang w:eastAsia="ru-RU"/>
              </w:rPr>
            </w:pPr>
            <w:r>
              <w:rPr>
                <w:rFonts w:eastAsia="Times New Roman"/>
                <w:sz w:val="20"/>
                <w:szCs w:val="20"/>
                <w:lang w:eastAsia="ru-RU"/>
              </w:rPr>
              <w:t>ОАО </w:t>
            </w:r>
            <w:r w:rsidR="003429ED" w:rsidRPr="004761E0">
              <w:rPr>
                <w:rFonts w:eastAsia="Times New Roman"/>
                <w:sz w:val="20"/>
                <w:szCs w:val="20"/>
                <w:lang w:eastAsia="ru-RU"/>
              </w:rPr>
              <w:t>«Энергокомплекс»</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1 575</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4 018</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12 480</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210,60 %</w:t>
            </w:r>
          </w:p>
        </w:tc>
      </w:tr>
      <w:tr w:rsidR="003429ED" w:rsidRPr="004761E0" w:rsidTr="00BA788C">
        <w:trPr>
          <w:trHeight w:val="300"/>
        </w:trPr>
        <w:tc>
          <w:tcPr>
            <w:tcW w:w="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7076A7">
            <w:pPr>
              <w:pStyle w:val="a5"/>
              <w:numPr>
                <w:ilvl w:val="1"/>
                <w:numId w:val="124"/>
              </w:numPr>
              <w:jc w:val="left"/>
              <w:rPr>
                <w:rFonts w:eastAsia="Times New Roman"/>
                <w:color w:val="000000"/>
                <w:sz w:val="20"/>
                <w:szCs w:val="20"/>
                <w:lang w:eastAsia="ru-RU"/>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08080E" w:rsidP="003429ED">
            <w:pPr>
              <w:ind w:firstLineChars="200" w:firstLine="400"/>
              <w:jc w:val="left"/>
              <w:rPr>
                <w:rFonts w:eastAsia="Times New Roman"/>
                <w:color w:val="000000"/>
                <w:sz w:val="20"/>
                <w:szCs w:val="20"/>
                <w:lang w:eastAsia="ru-RU"/>
              </w:rPr>
            </w:pPr>
            <w:r>
              <w:rPr>
                <w:rFonts w:eastAsia="Times New Roman"/>
                <w:color w:val="000000"/>
                <w:sz w:val="20"/>
                <w:szCs w:val="20"/>
                <w:lang w:eastAsia="ru-RU"/>
              </w:rPr>
              <w:t>ОАО </w:t>
            </w:r>
            <w:r w:rsidR="003429ED" w:rsidRPr="004761E0">
              <w:rPr>
                <w:rFonts w:eastAsia="Times New Roman"/>
                <w:color w:val="000000"/>
                <w:sz w:val="20"/>
                <w:szCs w:val="20"/>
                <w:lang w:eastAsia="ru-RU"/>
              </w:rPr>
              <w:t>«ОЭК»</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793</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793</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387</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-51,20 %</w:t>
            </w:r>
          </w:p>
        </w:tc>
      </w:tr>
      <w:tr w:rsidR="003429ED" w:rsidRPr="004761E0" w:rsidTr="00BA788C">
        <w:trPr>
          <w:trHeight w:val="300"/>
        </w:trPr>
        <w:tc>
          <w:tcPr>
            <w:tcW w:w="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7076A7">
            <w:pPr>
              <w:pStyle w:val="a5"/>
              <w:numPr>
                <w:ilvl w:val="1"/>
                <w:numId w:val="124"/>
              </w:numPr>
              <w:jc w:val="left"/>
              <w:rPr>
                <w:rFonts w:eastAsia="Times New Roman"/>
                <w:color w:val="000000"/>
                <w:sz w:val="20"/>
                <w:szCs w:val="20"/>
                <w:lang w:eastAsia="ru-RU"/>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Chars="200" w:firstLine="400"/>
              <w:jc w:val="left"/>
              <w:rPr>
                <w:rFonts w:eastAsia="Times New Roman"/>
                <w:color w:val="000000"/>
                <w:sz w:val="20"/>
                <w:szCs w:val="20"/>
                <w:lang w:eastAsia="ru-RU"/>
              </w:rPr>
            </w:pPr>
            <w:r w:rsidRPr="004761E0">
              <w:rPr>
                <w:rFonts w:eastAsia="Times New Roman"/>
                <w:sz w:val="20"/>
                <w:szCs w:val="20"/>
                <w:lang w:eastAsia="ru-RU"/>
              </w:rPr>
              <w:t>ГУП «Москоллектор»</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498</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926</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926</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0,00 %</w:t>
            </w:r>
          </w:p>
        </w:tc>
      </w:tr>
      <w:tr w:rsidR="003429ED" w:rsidRPr="004761E0" w:rsidTr="00BA788C">
        <w:trPr>
          <w:trHeight w:val="300"/>
        </w:trPr>
        <w:tc>
          <w:tcPr>
            <w:tcW w:w="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7076A7">
            <w:pPr>
              <w:pStyle w:val="a5"/>
              <w:numPr>
                <w:ilvl w:val="1"/>
                <w:numId w:val="124"/>
              </w:numPr>
              <w:jc w:val="left"/>
              <w:rPr>
                <w:rFonts w:eastAsia="Times New Roman"/>
                <w:color w:val="000000"/>
                <w:sz w:val="20"/>
                <w:szCs w:val="20"/>
                <w:lang w:eastAsia="ru-RU"/>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08080E" w:rsidP="003429ED">
            <w:pPr>
              <w:ind w:firstLineChars="200" w:firstLine="400"/>
              <w:jc w:val="left"/>
              <w:rPr>
                <w:rFonts w:eastAsia="Times New Roman"/>
                <w:color w:val="000000"/>
                <w:sz w:val="20"/>
                <w:szCs w:val="20"/>
                <w:lang w:eastAsia="ru-RU"/>
              </w:rPr>
            </w:pPr>
            <w:r>
              <w:rPr>
                <w:rFonts w:eastAsia="Times New Roman"/>
                <w:sz w:val="20"/>
                <w:szCs w:val="20"/>
                <w:lang w:eastAsia="ru-RU"/>
              </w:rPr>
              <w:t>ОАО </w:t>
            </w:r>
            <w:r w:rsidR="003429ED" w:rsidRPr="004761E0">
              <w:rPr>
                <w:rFonts w:eastAsia="Times New Roman"/>
                <w:sz w:val="20"/>
                <w:szCs w:val="20"/>
                <w:lang w:eastAsia="ru-RU"/>
              </w:rPr>
              <w:t>«Мосэнерго»</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125</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0</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0,00 %</w:t>
            </w:r>
          </w:p>
        </w:tc>
      </w:tr>
      <w:tr w:rsidR="003429ED" w:rsidRPr="004761E0" w:rsidTr="00BA788C">
        <w:trPr>
          <w:trHeight w:val="300"/>
        </w:trPr>
        <w:tc>
          <w:tcPr>
            <w:tcW w:w="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7076A7">
            <w:pPr>
              <w:numPr>
                <w:ilvl w:val="0"/>
                <w:numId w:val="124"/>
              </w:numPr>
              <w:jc w:val="left"/>
              <w:rPr>
                <w:rFonts w:eastAsia="Times New Roman"/>
                <w:color w:val="000000"/>
                <w:sz w:val="20"/>
                <w:szCs w:val="20"/>
                <w:lang w:eastAsia="ru-RU"/>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BA788C" w:rsidRDefault="003429ED" w:rsidP="00BA788C">
            <w:pPr>
              <w:ind w:firstLine="0"/>
              <w:jc w:val="left"/>
              <w:rPr>
                <w:rFonts w:eastAsia="Times New Roman"/>
                <w:color w:val="000000"/>
                <w:sz w:val="20"/>
                <w:szCs w:val="20"/>
                <w:lang w:eastAsia="ru-RU"/>
              </w:rPr>
            </w:pPr>
            <w:r w:rsidRPr="004761E0">
              <w:rPr>
                <w:rFonts w:eastAsia="Times New Roman"/>
                <w:color w:val="000000"/>
                <w:sz w:val="20"/>
                <w:szCs w:val="20"/>
                <w:lang w:eastAsia="ru-RU"/>
              </w:rPr>
              <w:t>Дебиторская задолженность участников системы «Одного окна» (с учетом сформированного резерва по сомнительным долгам), млн руб. (всего), в т.ч.:</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20 526</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16 015</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7 806</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-51,26</w:t>
            </w:r>
            <w:r w:rsidR="006C1AA1">
              <w:rPr>
                <w:rFonts w:eastAsia="Times New Roman"/>
                <w:color w:val="000000"/>
                <w:sz w:val="20"/>
                <w:szCs w:val="20"/>
                <w:lang w:eastAsia="ru-RU"/>
              </w:rPr>
              <w:t xml:space="preserve"> </w:t>
            </w:r>
            <w:r w:rsidRPr="004761E0">
              <w:rPr>
                <w:rFonts w:eastAsia="Times New Roman"/>
                <w:color w:val="000000"/>
                <w:sz w:val="20"/>
                <w:szCs w:val="20"/>
                <w:lang w:eastAsia="ru-RU"/>
              </w:rPr>
              <w:t>%</w:t>
            </w:r>
          </w:p>
        </w:tc>
      </w:tr>
      <w:tr w:rsidR="003429ED" w:rsidRPr="004761E0" w:rsidTr="00BA788C">
        <w:trPr>
          <w:trHeight w:val="300"/>
        </w:trPr>
        <w:tc>
          <w:tcPr>
            <w:tcW w:w="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7076A7">
            <w:pPr>
              <w:pStyle w:val="a5"/>
              <w:numPr>
                <w:ilvl w:val="1"/>
                <w:numId w:val="124"/>
              </w:numPr>
              <w:jc w:val="left"/>
              <w:rPr>
                <w:rFonts w:eastAsia="Times New Roman"/>
                <w:color w:val="000000"/>
                <w:sz w:val="20"/>
                <w:szCs w:val="20"/>
                <w:lang w:eastAsia="ru-RU"/>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08080E" w:rsidP="003429ED">
            <w:pPr>
              <w:ind w:firstLineChars="200" w:firstLine="400"/>
              <w:jc w:val="left"/>
              <w:rPr>
                <w:rFonts w:eastAsia="Times New Roman"/>
                <w:sz w:val="20"/>
                <w:szCs w:val="20"/>
                <w:lang w:eastAsia="ru-RU"/>
              </w:rPr>
            </w:pPr>
            <w:r>
              <w:rPr>
                <w:rFonts w:eastAsia="Times New Roman"/>
                <w:sz w:val="20"/>
                <w:szCs w:val="20"/>
                <w:lang w:eastAsia="ru-RU"/>
              </w:rPr>
              <w:t>ОАО </w:t>
            </w:r>
            <w:r w:rsidR="003429ED" w:rsidRPr="004761E0">
              <w:rPr>
                <w:rFonts w:eastAsia="Times New Roman"/>
                <w:sz w:val="20"/>
                <w:szCs w:val="20"/>
                <w:lang w:eastAsia="ru-RU"/>
              </w:rPr>
              <w:t>«Энергокомплекс»</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11 125</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8 555</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0</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-100,00</w:t>
            </w:r>
            <w:r w:rsidR="006C1AA1">
              <w:rPr>
                <w:rFonts w:eastAsia="Times New Roman"/>
                <w:color w:val="000000"/>
                <w:sz w:val="20"/>
                <w:szCs w:val="20"/>
                <w:lang w:eastAsia="ru-RU"/>
              </w:rPr>
              <w:t xml:space="preserve"> </w:t>
            </w:r>
            <w:r w:rsidRPr="004761E0">
              <w:rPr>
                <w:rFonts w:eastAsia="Times New Roman"/>
                <w:color w:val="000000"/>
                <w:sz w:val="20"/>
                <w:szCs w:val="20"/>
                <w:lang w:eastAsia="ru-RU"/>
              </w:rPr>
              <w:t>%</w:t>
            </w:r>
          </w:p>
        </w:tc>
      </w:tr>
      <w:tr w:rsidR="003429ED" w:rsidRPr="004761E0" w:rsidTr="00BA788C">
        <w:trPr>
          <w:trHeight w:val="300"/>
        </w:trPr>
        <w:tc>
          <w:tcPr>
            <w:tcW w:w="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7076A7">
            <w:pPr>
              <w:pStyle w:val="a5"/>
              <w:numPr>
                <w:ilvl w:val="1"/>
                <w:numId w:val="124"/>
              </w:numPr>
              <w:jc w:val="left"/>
              <w:rPr>
                <w:rFonts w:eastAsia="Times New Roman"/>
                <w:color w:val="000000"/>
                <w:sz w:val="20"/>
                <w:szCs w:val="20"/>
                <w:lang w:eastAsia="ru-RU"/>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08080E" w:rsidP="003429ED">
            <w:pPr>
              <w:ind w:firstLineChars="200" w:firstLine="400"/>
              <w:jc w:val="left"/>
              <w:rPr>
                <w:rFonts w:eastAsia="Times New Roman"/>
                <w:sz w:val="20"/>
                <w:szCs w:val="20"/>
                <w:lang w:eastAsia="ru-RU"/>
              </w:rPr>
            </w:pPr>
            <w:r>
              <w:rPr>
                <w:rFonts w:eastAsia="Times New Roman"/>
                <w:color w:val="000000"/>
                <w:sz w:val="20"/>
                <w:szCs w:val="20"/>
                <w:lang w:eastAsia="ru-RU"/>
              </w:rPr>
              <w:t>ОАО </w:t>
            </w:r>
            <w:r w:rsidR="003429ED" w:rsidRPr="004761E0">
              <w:rPr>
                <w:rFonts w:eastAsia="Times New Roman"/>
                <w:color w:val="000000"/>
                <w:sz w:val="20"/>
                <w:szCs w:val="20"/>
                <w:lang w:eastAsia="ru-RU"/>
              </w:rPr>
              <w:t>«ОЭК»</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4 716</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3 078</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3 453</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12,18</w:t>
            </w:r>
            <w:r w:rsidR="006C1AA1">
              <w:rPr>
                <w:rFonts w:eastAsia="Times New Roman"/>
                <w:color w:val="000000"/>
                <w:sz w:val="20"/>
                <w:szCs w:val="20"/>
                <w:lang w:eastAsia="ru-RU"/>
              </w:rPr>
              <w:t xml:space="preserve"> </w:t>
            </w:r>
            <w:r w:rsidRPr="004761E0">
              <w:rPr>
                <w:rFonts w:eastAsia="Times New Roman"/>
                <w:color w:val="000000"/>
                <w:sz w:val="20"/>
                <w:szCs w:val="20"/>
                <w:lang w:eastAsia="ru-RU"/>
              </w:rPr>
              <w:t>%</w:t>
            </w:r>
          </w:p>
        </w:tc>
      </w:tr>
      <w:tr w:rsidR="003429ED" w:rsidRPr="004761E0" w:rsidTr="00BA788C">
        <w:trPr>
          <w:trHeight w:val="300"/>
        </w:trPr>
        <w:tc>
          <w:tcPr>
            <w:tcW w:w="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7076A7">
            <w:pPr>
              <w:pStyle w:val="a5"/>
              <w:numPr>
                <w:ilvl w:val="1"/>
                <w:numId w:val="124"/>
              </w:numPr>
              <w:jc w:val="left"/>
              <w:rPr>
                <w:rFonts w:eastAsia="Times New Roman"/>
                <w:color w:val="000000"/>
                <w:sz w:val="20"/>
                <w:szCs w:val="20"/>
                <w:lang w:eastAsia="ru-RU"/>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Chars="200" w:firstLine="400"/>
              <w:jc w:val="left"/>
              <w:rPr>
                <w:rFonts w:eastAsia="Times New Roman"/>
                <w:sz w:val="20"/>
                <w:szCs w:val="20"/>
                <w:lang w:eastAsia="ru-RU"/>
              </w:rPr>
            </w:pPr>
            <w:r w:rsidRPr="004761E0">
              <w:rPr>
                <w:rFonts w:eastAsia="Times New Roman"/>
                <w:sz w:val="20"/>
                <w:szCs w:val="20"/>
                <w:lang w:eastAsia="ru-RU"/>
              </w:rPr>
              <w:t>ГУП «Москоллектор»</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4 130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3 702</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3 676</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-0,71</w:t>
            </w:r>
            <w:r w:rsidR="006C1AA1">
              <w:rPr>
                <w:rFonts w:eastAsia="Times New Roman"/>
                <w:color w:val="000000"/>
                <w:sz w:val="20"/>
                <w:szCs w:val="20"/>
                <w:lang w:eastAsia="ru-RU"/>
              </w:rPr>
              <w:t xml:space="preserve"> </w:t>
            </w:r>
            <w:r w:rsidRPr="004761E0">
              <w:rPr>
                <w:rFonts w:eastAsia="Times New Roman"/>
                <w:color w:val="000000"/>
                <w:sz w:val="20"/>
                <w:szCs w:val="20"/>
                <w:lang w:eastAsia="ru-RU"/>
              </w:rPr>
              <w:t>%</w:t>
            </w:r>
          </w:p>
        </w:tc>
      </w:tr>
      <w:tr w:rsidR="003429ED" w:rsidRPr="004761E0" w:rsidTr="00BA788C">
        <w:trPr>
          <w:trHeight w:val="300"/>
        </w:trPr>
        <w:tc>
          <w:tcPr>
            <w:tcW w:w="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7076A7">
            <w:pPr>
              <w:pStyle w:val="a5"/>
              <w:numPr>
                <w:ilvl w:val="1"/>
                <w:numId w:val="124"/>
              </w:numPr>
              <w:jc w:val="left"/>
              <w:rPr>
                <w:rFonts w:eastAsia="Times New Roman"/>
                <w:color w:val="000000"/>
                <w:sz w:val="20"/>
                <w:szCs w:val="20"/>
                <w:lang w:eastAsia="ru-RU"/>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08080E" w:rsidP="003429ED">
            <w:pPr>
              <w:ind w:firstLineChars="200" w:firstLine="400"/>
              <w:jc w:val="left"/>
              <w:rPr>
                <w:rFonts w:eastAsia="Times New Roman"/>
                <w:sz w:val="20"/>
                <w:szCs w:val="20"/>
                <w:lang w:eastAsia="ru-RU"/>
              </w:rPr>
            </w:pPr>
            <w:r>
              <w:rPr>
                <w:rFonts w:eastAsia="Times New Roman"/>
                <w:sz w:val="20"/>
                <w:szCs w:val="20"/>
                <w:lang w:eastAsia="ru-RU"/>
              </w:rPr>
              <w:t>ОАО </w:t>
            </w:r>
            <w:r w:rsidR="003429ED" w:rsidRPr="004761E0">
              <w:rPr>
                <w:rFonts w:eastAsia="Times New Roman"/>
                <w:sz w:val="20"/>
                <w:szCs w:val="20"/>
                <w:lang w:eastAsia="ru-RU"/>
              </w:rPr>
              <w:t>«Мосэнерго»</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555</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680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677</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-0,34</w:t>
            </w:r>
            <w:r w:rsidR="006C1AA1">
              <w:rPr>
                <w:rFonts w:eastAsia="Times New Roman"/>
                <w:color w:val="000000"/>
                <w:sz w:val="20"/>
                <w:szCs w:val="20"/>
                <w:lang w:eastAsia="ru-RU"/>
              </w:rPr>
              <w:t xml:space="preserve"> </w:t>
            </w:r>
            <w:r w:rsidRPr="004761E0">
              <w:rPr>
                <w:rFonts w:eastAsia="Times New Roman"/>
                <w:color w:val="000000"/>
                <w:sz w:val="20"/>
                <w:szCs w:val="20"/>
                <w:lang w:eastAsia="ru-RU"/>
              </w:rPr>
              <w:t>%</w:t>
            </w:r>
          </w:p>
        </w:tc>
      </w:tr>
    </w:tbl>
    <w:p w:rsidR="003429ED" w:rsidRPr="004761E0" w:rsidRDefault="003429ED" w:rsidP="003429ED">
      <w:pPr>
        <w:ind w:firstLine="0"/>
        <w:rPr>
          <w:noProof/>
          <w:sz w:val="26"/>
          <w:szCs w:val="26"/>
          <w:lang w:eastAsia="ru-RU"/>
        </w:rPr>
      </w:pPr>
      <w:r w:rsidRPr="004761E0">
        <w:rPr>
          <w:noProof/>
          <w:sz w:val="16"/>
          <w:szCs w:val="16"/>
          <w:lang w:eastAsia="ru-RU"/>
        </w:rPr>
        <w:lastRenderedPageBreak/>
        <w:drawing>
          <wp:anchor distT="0" distB="0" distL="114300" distR="114300" simplePos="0" relativeHeight="251662336" behindDoc="0" locked="0" layoutInCell="1" allowOverlap="1">
            <wp:simplePos x="0" y="0"/>
            <wp:positionH relativeFrom="column">
              <wp:posOffset>3158579</wp:posOffset>
            </wp:positionH>
            <wp:positionV relativeFrom="paragraph">
              <wp:posOffset>385</wp:posOffset>
            </wp:positionV>
            <wp:extent cx="3160395" cy="3019646"/>
            <wp:effectExtent l="19050" t="0" r="20955" b="9304"/>
            <wp:wrapNone/>
            <wp:docPr id="72" name="Диаграмма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r w:rsidRPr="004761E0">
        <w:rPr>
          <w:noProof/>
          <w:sz w:val="26"/>
          <w:szCs w:val="26"/>
          <w:lang w:eastAsia="ru-RU"/>
        </w:rPr>
        <w:drawing>
          <wp:inline distT="0" distB="0" distL="0" distR="0">
            <wp:extent cx="3138820" cy="2998381"/>
            <wp:effectExtent l="19050" t="0" r="23480" b="0"/>
            <wp:docPr id="73" name="Диаграмма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3429ED" w:rsidRPr="004761E0" w:rsidRDefault="003429ED" w:rsidP="003429ED">
      <w:pPr>
        <w:ind w:firstLine="0"/>
        <w:rPr>
          <w:noProof/>
          <w:sz w:val="26"/>
          <w:szCs w:val="26"/>
          <w:lang w:eastAsia="ru-RU"/>
        </w:rPr>
      </w:pPr>
    </w:p>
    <w:p w:rsidR="003429ED" w:rsidRPr="004761E0" w:rsidRDefault="003429ED" w:rsidP="003429ED">
      <w:pPr>
        <w:ind w:firstLine="0"/>
        <w:rPr>
          <w:noProof/>
          <w:sz w:val="26"/>
          <w:szCs w:val="26"/>
          <w:lang w:eastAsia="ru-RU"/>
        </w:rPr>
      </w:pPr>
      <w:r w:rsidRPr="004761E0">
        <w:rPr>
          <w:noProof/>
          <w:sz w:val="26"/>
          <w:szCs w:val="26"/>
          <w:lang w:eastAsia="ru-RU"/>
        </w:rPr>
        <w:drawing>
          <wp:inline distT="0" distB="0" distL="0" distR="0">
            <wp:extent cx="2902688" cy="3125972"/>
            <wp:effectExtent l="19050" t="0" r="11962" b="0"/>
            <wp:docPr id="74" name="Диаграмма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Pr="004761E0">
        <w:rPr>
          <w:noProof/>
          <w:sz w:val="26"/>
          <w:szCs w:val="26"/>
          <w:lang w:eastAsia="ru-RU"/>
        </w:rPr>
        <w:t xml:space="preserve"> </w:t>
      </w:r>
      <w:r w:rsidRPr="004761E0">
        <w:rPr>
          <w:noProof/>
          <w:sz w:val="26"/>
          <w:szCs w:val="26"/>
          <w:lang w:eastAsia="ru-RU"/>
        </w:rPr>
        <w:drawing>
          <wp:inline distT="0" distB="0" distL="0" distR="0">
            <wp:extent cx="2902688" cy="3125972"/>
            <wp:effectExtent l="19050" t="0" r="11962" b="0"/>
            <wp:docPr id="76" name="Диаграмма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3429ED" w:rsidRPr="004761E0" w:rsidRDefault="003429ED" w:rsidP="003429ED">
      <w:pPr>
        <w:ind w:firstLine="0"/>
        <w:rPr>
          <w:noProof/>
          <w:sz w:val="26"/>
          <w:szCs w:val="26"/>
          <w:lang w:eastAsia="ru-RU"/>
        </w:rPr>
      </w:pPr>
    </w:p>
    <w:p w:rsidR="003429ED" w:rsidRPr="004761E0" w:rsidRDefault="003429ED" w:rsidP="003429ED">
      <w:pPr>
        <w:ind w:firstLine="0"/>
        <w:rPr>
          <w:noProof/>
          <w:sz w:val="26"/>
          <w:szCs w:val="26"/>
          <w:lang w:eastAsia="ru-RU"/>
        </w:rPr>
      </w:pPr>
      <w:r w:rsidRPr="004761E0">
        <w:rPr>
          <w:noProof/>
          <w:sz w:val="26"/>
          <w:szCs w:val="26"/>
          <w:lang w:eastAsia="ru-RU"/>
        </w:rPr>
        <w:lastRenderedPageBreak/>
        <w:drawing>
          <wp:inline distT="0" distB="0" distL="0" distR="0">
            <wp:extent cx="2902688" cy="3125972"/>
            <wp:effectExtent l="19050" t="0" r="11962" b="0"/>
            <wp:docPr id="78" name="Диаграмма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Pr="004761E0">
        <w:rPr>
          <w:noProof/>
          <w:sz w:val="26"/>
          <w:szCs w:val="26"/>
          <w:lang w:eastAsia="ru-RU"/>
        </w:rPr>
        <w:t xml:space="preserve">  </w:t>
      </w:r>
      <w:r w:rsidRPr="004761E0">
        <w:rPr>
          <w:noProof/>
          <w:sz w:val="26"/>
          <w:szCs w:val="26"/>
          <w:lang w:eastAsia="ru-RU"/>
        </w:rPr>
        <w:drawing>
          <wp:inline distT="0" distB="0" distL="0" distR="0">
            <wp:extent cx="2902688" cy="3125972"/>
            <wp:effectExtent l="0" t="0" r="12065" b="17780"/>
            <wp:docPr id="82" name="Диаграмма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3429ED" w:rsidRPr="004761E0" w:rsidRDefault="003429ED" w:rsidP="003429ED">
      <w:pPr>
        <w:ind w:firstLine="567"/>
        <w:rPr>
          <w:sz w:val="26"/>
          <w:szCs w:val="26"/>
        </w:rPr>
      </w:pPr>
      <w:r w:rsidRPr="004761E0">
        <w:rPr>
          <w:sz w:val="26"/>
          <w:szCs w:val="26"/>
        </w:rPr>
        <w:t>По итогам 2013 года увеличен резерв по сомнительным долгам на 141 % до 13,79</w:t>
      </w:r>
      <w:r w:rsidR="006C1AA1">
        <w:rPr>
          <w:sz w:val="26"/>
          <w:szCs w:val="26"/>
        </w:rPr>
        <w:t> </w:t>
      </w:r>
      <w:r w:rsidRPr="004761E0">
        <w:rPr>
          <w:sz w:val="26"/>
          <w:szCs w:val="26"/>
        </w:rPr>
        <w:t>млрд руб. Данный резерв формируется в Обществе с 2011 года и на конец 2013 года покрывает 64</w:t>
      </w:r>
      <w:r w:rsidR="006C1AA1">
        <w:rPr>
          <w:sz w:val="26"/>
          <w:szCs w:val="26"/>
        </w:rPr>
        <w:t> </w:t>
      </w:r>
      <w:r w:rsidRPr="004761E0">
        <w:rPr>
          <w:sz w:val="26"/>
          <w:szCs w:val="26"/>
        </w:rPr>
        <w:t>% дебиторской задолженности по участникам системы «Одного окна». В отчетности по РСБУ дебиторская задолженность отражается с учетом сформированного резерва.</w:t>
      </w:r>
    </w:p>
    <w:p w:rsidR="003429ED" w:rsidRPr="004761E0" w:rsidRDefault="003429ED" w:rsidP="003429ED">
      <w:pPr>
        <w:ind w:firstLine="567"/>
        <w:rPr>
          <w:sz w:val="26"/>
          <w:szCs w:val="26"/>
        </w:rPr>
      </w:pPr>
      <w:r w:rsidRPr="004761E0">
        <w:rPr>
          <w:sz w:val="26"/>
          <w:szCs w:val="26"/>
        </w:rPr>
        <w:t xml:space="preserve">В Обществе создана Комиссия по контролю над дебиторской и кредиторской задолженностью, основной задачей которой является недопущение роста просроченной задолженности, анализ состояния задолженности и выработка </w:t>
      </w:r>
      <w:r w:rsidR="0064682E">
        <w:rPr>
          <w:sz w:val="26"/>
          <w:szCs w:val="26"/>
        </w:rPr>
        <w:t>соответствующих мероприятий</w:t>
      </w:r>
      <w:r w:rsidRPr="004761E0">
        <w:rPr>
          <w:sz w:val="26"/>
          <w:szCs w:val="26"/>
        </w:rPr>
        <w:t>. В целях контроля за дебиторской задолженности в 2013 году Комиссия на заседании 23.01.2014 одобрила следующие решения об объеме резерва по сомнительным долгам по задолженности участников «одного окна»:</w:t>
      </w:r>
    </w:p>
    <w:p w:rsidR="00131CBE" w:rsidRPr="00131CBE" w:rsidRDefault="00131CBE" w:rsidP="007076A7">
      <w:pPr>
        <w:pStyle w:val="a5"/>
        <w:numPr>
          <w:ilvl w:val="0"/>
          <w:numId w:val="290"/>
        </w:numPr>
        <w:ind w:left="1134" w:hanging="567"/>
        <w:rPr>
          <w:sz w:val="26"/>
          <w:szCs w:val="26"/>
        </w:rPr>
      </w:pPr>
      <w:r w:rsidRPr="00131CBE">
        <w:rPr>
          <w:sz w:val="26"/>
          <w:szCs w:val="26"/>
        </w:rPr>
        <w:t>создать резерв в полном объеме дебиторской задолженности (12,48 млрд руб.) в отношении ОАО «Энергокомплекс» в связи с отказом Высшим Арбитражным Судом (ВАС) РФ в передаче в Президиум ВАС РФ для пересмотра в порядке надзора судебных актов по иску к ОАО «Энергокомплекс» о взыскании, вынесенных не в пользу ОАО «МОЭСК»;</w:t>
      </w:r>
    </w:p>
    <w:p w:rsidR="003429ED" w:rsidRPr="004761E0" w:rsidRDefault="003429ED" w:rsidP="007076A7">
      <w:pPr>
        <w:pStyle w:val="a5"/>
        <w:numPr>
          <w:ilvl w:val="0"/>
          <w:numId w:val="290"/>
        </w:numPr>
        <w:ind w:left="1134" w:hanging="567"/>
        <w:rPr>
          <w:sz w:val="26"/>
          <w:szCs w:val="26"/>
        </w:rPr>
      </w:pPr>
      <w:r w:rsidRPr="004761E0">
        <w:rPr>
          <w:sz w:val="26"/>
          <w:szCs w:val="26"/>
        </w:rPr>
        <w:t>оставить неизменным по отношению к началу 2013 года резерв в отношении ГУП «Москоллектор» в размере 0,93 млрд руб., в связи с тем, что постановлением ФАС МО дело по иску к ГУП «Москоллектор»</w:t>
      </w:r>
      <w:r w:rsidRPr="006F4AB8">
        <w:rPr>
          <w:rStyle w:val="af1"/>
        </w:rPr>
        <w:footnoteReference w:id="51"/>
      </w:r>
      <w:r w:rsidRPr="004761E0">
        <w:rPr>
          <w:sz w:val="26"/>
          <w:szCs w:val="26"/>
        </w:rPr>
        <w:t xml:space="preserve"> направлено на новое рассмотрение в суд первой инстанции с указанием о правильной квалификации судом отношений сторон и необходимости проверить правильность расчета суммы иска;</w:t>
      </w:r>
    </w:p>
    <w:p w:rsidR="0064682E" w:rsidRDefault="0064682E" w:rsidP="007076A7">
      <w:pPr>
        <w:pStyle w:val="a5"/>
        <w:numPr>
          <w:ilvl w:val="0"/>
          <w:numId w:val="290"/>
        </w:numPr>
        <w:ind w:left="1134" w:hanging="567"/>
        <w:rPr>
          <w:sz w:val="26"/>
          <w:szCs w:val="26"/>
        </w:rPr>
      </w:pPr>
      <w:r>
        <w:rPr>
          <w:sz w:val="26"/>
          <w:szCs w:val="26"/>
        </w:rPr>
        <w:t xml:space="preserve">восстановить часть резерва, созданного на начало 2013 года на 0,41 млрд руб. до уровня 0,39 млрд руб. на 31.12.2014, в отношении </w:t>
      </w:r>
      <w:r w:rsidR="0008080E">
        <w:rPr>
          <w:sz w:val="26"/>
          <w:szCs w:val="26"/>
        </w:rPr>
        <w:t>ОАО </w:t>
      </w:r>
      <w:r>
        <w:rPr>
          <w:sz w:val="26"/>
          <w:szCs w:val="26"/>
        </w:rPr>
        <w:t>«ОЭК, т.к. достигнуто соглашение о возможном урегулировании спора в добровольном порядке.</w:t>
      </w:r>
    </w:p>
    <w:p w:rsidR="003429ED" w:rsidRPr="004761E0" w:rsidRDefault="003429ED" w:rsidP="0064682E">
      <w:pPr>
        <w:spacing w:before="120" w:after="120"/>
        <w:ind w:firstLine="567"/>
        <w:rPr>
          <w:rFonts w:eastAsia="Times New Roman"/>
          <w:b/>
          <w:iCs/>
          <w:sz w:val="26"/>
          <w:szCs w:val="26"/>
          <w:lang w:eastAsia="ru-RU"/>
        </w:rPr>
      </w:pPr>
      <w:r w:rsidRPr="004761E0">
        <w:rPr>
          <w:rFonts w:eastAsia="Times New Roman"/>
          <w:b/>
          <w:iCs/>
          <w:sz w:val="26"/>
          <w:szCs w:val="26"/>
          <w:lang w:eastAsia="ru-RU"/>
        </w:rPr>
        <w:lastRenderedPageBreak/>
        <w:t xml:space="preserve">Структура дебиторской задолженности за услуги по передаче электроэнергии (без учета РСД) </w:t>
      </w:r>
    </w:p>
    <w:tbl>
      <w:tblPr>
        <w:tblW w:w="10220" w:type="dxa"/>
        <w:tblInd w:w="95" w:type="dxa"/>
        <w:tblLook w:val="04A0"/>
      </w:tblPr>
      <w:tblGrid>
        <w:gridCol w:w="580"/>
        <w:gridCol w:w="5066"/>
        <w:gridCol w:w="1134"/>
        <w:gridCol w:w="1134"/>
        <w:gridCol w:w="1134"/>
        <w:gridCol w:w="1172"/>
      </w:tblGrid>
      <w:tr w:rsidR="003429ED" w:rsidRPr="004761E0" w:rsidTr="003429ED">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506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31.12.2011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31.12.2012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31.12.2013</w:t>
            </w:r>
          </w:p>
        </w:tc>
        <w:tc>
          <w:tcPr>
            <w:tcW w:w="1172"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31.12.2013 /31.12.2012</w:t>
            </w:r>
          </w:p>
        </w:tc>
      </w:tr>
      <w:tr w:rsidR="003429ED" w:rsidRPr="004761E0" w:rsidTr="003429ED">
        <w:trPr>
          <w:trHeight w:val="300"/>
        </w:trPr>
        <w:tc>
          <w:tcPr>
            <w:tcW w:w="56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Дебиторская задолженность за услуги по передаче электроэнергии, млн руб. (всего), в т.ч в разрезе групп потребителей для </w:t>
            </w:r>
            <w:r w:rsidR="0008080E">
              <w:rPr>
                <w:rFonts w:eastAsia="Times New Roman"/>
                <w:color w:val="000000"/>
                <w:sz w:val="20"/>
                <w:szCs w:val="20"/>
                <w:lang w:eastAsia="ru-RU"/>
              </w:rPr>
              <w:t>ОАО </w:t>
            </w:r>
            <w:r w:rsidRPr="004761E0">
              <w:rPr>
                <w:rFonts w:eastAsia="Times New Roman"/>
                <w:color w:val="000000"/>
                <w:sz w:val="20"/>
                <w:szCs w:val="20"/>
                <w:lang w:eastAsia="ru-RU"/>
              </w:rPr>
              <w:t>«МОЭСК»</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9 530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9 307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9 234</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-0,78 %</w:t>
            </w:r>
          </w:p>
        </w:tc>
      </w:tr>
      <w:tr w:rsidR="003429ED" w:rsidRPr="004761E0" w:rsidTr="003429ED">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0"/>
                <w:numId w:val="283"/>
              </w:numPr>
              <w:ind w:left="47" w:firstLine="0"/>
              <w:jc w:val="left"/>
              <w:rPr>
                <w:rFonts w:eastAsia="Times New Roman"/>
                <w:b/>
                <w:color w:val="000000"/>
                <w:sz w:val="20"/>
                <w:szCs w:val="20"/>
                <w:lang w:eastAsia="ru-RU"/>
              </w:rPr>
            </w:pPr>
          </w:p>
        </w:tc>
        <w:tc>
          <w:tcPr>
            <w:tcW w:w="9640" w:type="dxa"/>
            <w:gridSpan w:val="5"/>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firstLine="0"/>
              <w:jc w:val="left"/>
              <w:rPr>
                <w:rFonts w:eastAsia="Times New Roman"/>
                <w:b/>
                <w:color w:val="000000"/>
                <w:sz w:val="20"/>
                <w:szCs w:val="20"/>
                <w:lang w:eastAsia="ru-RU"/>
              </w:rPr>
            </w:pPr>
            <w:r w:rsidRPr="004761E0">
              <w:rPr>
                <w:rFonts w:eastAsia="Times New Roman"/>
                <w:b/>
                <w:sz w:val="20"/>
                <w:szCs w:val="20"/>
                <w:lang w:eastAsia="ru-RU"/>
              </w:rPr>
              <w:t xml:space="preserve">По группам конечных потребителей для </w:t>
            </w:r>
            <w:r w:rsidR="0008080E">
              <w:rPr>
                <w:rFonts w:eastAsia="Times New Roman"/>
                <w:b/>
                <w:sz w:val="20"/>
                <w:szCs w:val="20"/>
                <w:lang w:eastAsia="ru-RU"/>
              </w:rPr>
              <w:t>ОАО </w:t>
            </w:r>
            <w:r w:rsidRPr="004761E0">
              <w:rPr>
                <w:rFonts w:eastAsia="Times New Roman"/>
                <w:b/>
                <w:sz w:val="20"/>
                <w:szCs w:val="20"/>
                <w:lang w:eastAsia="ru-RU"/>
              </w:rPr>
              <w:t>«МОЭСК»</w:t>
            </w:r>
          </w:p>
        </w:tc>
      </w:tr>
      <w:tr w:rsidR="003429ED" w:rsidRPr="004761E0" w:rsidTr="003429ED">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7076A7">
            <w:pPr>
              <w:pStyle w:val="a5"/>
              <w:numPr>
                <w:ilvl w:val="1"/>
                <w:numId w:val="282"/>
              </w:numPr>
              <w:jc w:val="left"/>
              <w:rPr>
                <w:rFonts w:eastAsia="Times New Roman"/>
                <w:color w:val="000000"/>
                <w:sz w:val="20"/>
                <w:szCs w:val="20"/>
                <w:lang w:eastAsia="ru-RU"/>
              </w:rPr>
            </w:pPr>
          </w:p>
        </w:tc>
        <w:tc>
          <w:tcPr>
            <w:tcW w:w="5066" w:type="dxa"/>
            <w:tcBorders>
              <w:top w:val="single" w:sz="4" w:space="0" w:color="auto"/>
              <w:left w:val="nil"/>
              <w:bottom w:val="single" w:sz="4" w:space="0" w:color="auto"/>
              <w:right w:val="single" w:sz="4" w:space="0" w:color="auto"/>
            </w:tcBorders>
            <w:shd w:val="clear" w:color="auto" w:fill="auto"/>
            <w:vAlign w:val="center"/>
            <w:hideMark/>
          </w:tcPr>
          <w:p w:rsidR="003429ED" w:rsidRPr="004761E0" w:rsidRDefault="003429ED" w:rsidP="003429ED">
            <w:pPr>
              <w:ind w:firstLineChars="200" w:firstLine="400"/>
              <w:jc w:val="left"/>
              <w:rPr>
                <w:rFonts w:eastAsia="Times New Roman"/>
                <w:sz w:val="20"/>
                <w:szCs w:val="20"/>
                <w:lang w:eastAsia="ru-RU"/>
              </w:rPr>
            </w:pPr>
            <w:r w:rsidRPr="004761E0">
              <w:rPr>
                <w:rFonts w:eastAsia="Times New Roman"/>
                <w:sz w:val="20"/>
                <w:szCs w:val="20"/>
                <w:lang w:eastAsia="ru-RU"/>
              </w:rPr>
              <w:t>гарантирующие поставщики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8 564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8 239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8 656</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5,06 %</w:t>
            </w:r>
          </w:p>
        </w:tc>
      </w:tr>
      <w:tr w:rsidR="003429ED" w:rsidRPr="004761E0" w:rsidTr="003429ED">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7076A7">
            <w:pPr>
              <w:pStyle w:val="a5"/>
              <w:numPr>
                <w:ilvl w:val="1"/>
                <w:numId w:val="282"/>
              </w:numPr>
              <w:jc w:val="left"/>
              <w:rPr>
                <w:rFonts w:eastAsia="Times New Roman"/>
                <w:color w:val="000000"/>
                <w:sz w:val="20"/>
                <w:szCs w:val="20"/>
                <w:lang w:eastAsia="ru-RU"/>
              </w:rPr>
            </w:pPr>
          </w:p>
        </w:tc>
        <w:tc>
          <w:tcPr>
            <w:tcW w:w="5066" w:type="dxa"/>
            <w:tcBorders>
              <w:top w:val="single" w:sz="4" w:space="0" w:color="auto"/>
              <w:left w:val="nil"/>
              <w:bottom w:val="single" w:sz="4" w:space="0" w:color="auto"/>
              <w:right w:val="single" w:sz="4" w:space="0" w:color="auto"/>
            </w:tcBorders>
            <w:shd w:val="clear" w:color="auto" w:fill="auto"/>
            <w:vAlign w:val="center"/>
            <w:hideMark/>
          </w:tcPr>
          <w:p w:rsidR="003429ED" w:rsidRPr="004761E0" w:rsidRDefault="003429ED" w:rsidP="003429ED">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энергосбытовые организации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848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988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520</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-47,33 %</w:t>
            </w:r>
          </w:p>
        </w:tc>
      </w:tr>
      <w:tr w:rsidR="003429ED" w:rsidRPr="004761E0" w:rsidTr="003429ED">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7076A7">
            <w:pPr>
              <w:pStyle w:val="a5"/>
              <w:numPr>
                <w:ilvl w:val="1"/>
                <w:numId w:val="282"/>
              </w:numPr>
              <w:jc w:val="left"/>
              <w:rPr>
                <w:rFonts w:eastAsia="Times New Roman"/>
                <w:color w:val="000000"/>
                <w:sz w:val="20"/>
                <w:szCs w:val="20"/>
                <w:lang w:eastAsia="ru-RU"/>
              </w:rPr>
            </w:pPr>
          </w:p>
        </w:tc>
        <w:tc>
          <w:tcPr>
            <w:tcW w:w="5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Chars="200" w:firstLine="400"/>
              <w:jc w:val="left"/>
              <w:rPr>
                <w:rFonts w:eastAsia="Times New Roman"/>
                <w:sz w:val="20"/>
                <w:szCs w:val="20"/>
                <w:lang w:eastAsia="ru-RU"/>
              </w:rPr>
            </w:pPr>
            <w:r w:rsidRPr="004761E0">
              <w:rPr>
                <w:rFonts w:eastAsia="Times New Roman"/>
                <w:sz w:val="20"/>
                <w:szCs w:val="20"/>
                <w:lang w:eastAsia="ru-RU"/>
              </w:rPr>
              <w:t>прочие потребители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 xml:space="preserve">118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59</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-26,79 %</w:t>
            </w:r>
          </w:p>
        </w:tc>
      </w:tr>
      <w:tr w:rsidR="003429ED" w:rsidRPr="004761E0" w:rsidTr="003429ED">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7076A7">
            <w:pPr>
              <w:pStyle w:val="a5"/>
              <w:numPr>
                <w:ilvl w:val="0"/>
                <w:numId w:val="283"/>
              </w:numPr>
              <w:ind w:left="47" w:firstLine="0"/>
              <w:jc w:val="left"/>
              <w:rPr>
                <w:rFonts w:eastAsia="Times New Roman"/>
                <w:b/>
                <w:color w:val="000000"/>
                <w:sz w:val="20"/>
                <w:szCs w:val="20"/>
                <w:lang w:eastAsia="ru-RU"/>
              </w:rPr>
            </w:pPr>
          </w:p>
        </w:tc>
        <w:tc>
          <w:tcPr>
            <w:tcW w:w="96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rPr>
                <w:rFonts w:eastAsia="Times New Roman"/>
                <w:b/>
                <w:color w:val="000000"/>
                <w:sz w:val="20"/>
                <w:szCs w:val="20"/>
                <w:lang w:eastAsia="ru-RU"/>
              </w:rPr>
            </w:pPr>
            <w:r w:rsidRPr="004761E0">
              <w:rPr>
                <w:rFonts w:eastAsia="Times New Roman"/>
                <w:b/>
                <w:color w:val="000000"/>
                <w:sz w:val="20"/>
                <w:szCs w:val="20"/>
                <w:lang w:eastAsia="ru-RU"/>
              </w:rPr>
              <w:t>По статусу задолженности</w:t>
            </w:r>
          </w:p>
        </w:tc>
      </w:tr>
      <w:tr w:rsidR="003429ED" w:rsidRPr="004761E0" w:rsidTr="003429ED">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7076A7">
            <w:pPr>
              <w:pStyle w:val="a5"/>
              <w:numPr>
                <w:ilvl w:val="1"/>
                <w:numId w:val="282"/>
              </w:numPr>
              <w:jc w:val="left"/>
              <w:rPr>
                <w:rFonts w:eastAsia="Times New Roman"/>
                <w:color w:val="000000"/>
                <w:sz w:val="20"/>
                <w:szCs w:val="20"/>
                <w:lang w:eastAsia="ru-RU"/>
              </w:rPr>
            </w:pPr>
          </w:p>
        </w:tc>
        <w:tc>
          <w:tcPr>
            <w:tcW w:w="5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текущая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8 551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7 913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8 348</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5,49</w:t>
            </w:r>
            <w:r w:rsidR="006C1AA1">
              <w:rPr>
                <w:rFonts w:eastAsia="Times New Roman"/>
                <w:color w:val="000000"/>
                <w:sz w:val="20"/>
                <w:szCs w:val="20"/>
                <w:lang w:eastAsia="ru-RU"/>
              </w:rPr>
              <w:t xml:space="preserve"> </w:t>
            </w:r>
            <w:r w:rsidRPr="004761E0">
              <w:rPr>
                <w:rFonts w:eastAsia="Times New Roman"/>
                <w:color w:val="000000"/>
                <w:sz w:val="20"/>
                <w:szCs w:val="20"/>
                <w:lang w:eastAsia="ru-RU"/>
              </w:rPr>
              <w:t>%</w:t>
            </w:r>
          </w:p>
        </w:tc>
      </w:tr>
      <w:tr w:rsidR="003429ED" w:rsidRPr="004761E0" w:rsidTr="003429ED">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7076A7">
            <w:pPr>
              <w:pStyle w:val="a5"/>
              <w:numPr>
                <w:ilvl w:val="1"/>
                <w:numId w:val="282"/>
              </w:numPr>
              <w:jc w:val="left"/>
              <w:rPr>
                <w:rFonts w:eastAsia="Times New Roman"/>
                <w:color w:val="000000"/>
                <w:sz w:val="20"/>
                <w:szCs w:val="20"/>
                <w:lang w:eastAsia="ru-RU"/>
              </w:rPr>
            </w:pPr>
          </w:p>
        </w:tc>
        <w:tc>
          <w:tcPr>
            <w:tcW w:w="5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просроченная (неоспариваемая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315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615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761</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23,76</w:t>
            </w:r>
            <w:r w:rsidR="006C1AA1">
              <w:rPr>
                <w:rFonts w:eastAsia="Times New Roman"/>
                <w:color w:val="000000"/>
                <w:sz w:val="20"/>
                <w:szCs w:val="20"/>
                <w:lang w:eastAsia="ru-RU"/>
              </w:rPr>
              <w:t xml:space="preserve"> </w:t>
            </w:r>
            <w:r w:rsidRPr="004761E0">
              <w:rPr>
                <w:rFonts w:eastAsia="Times New Roman"/>
                <w:color w:val="000000"/>
                <w:sz w:val="20"/>
                <w:szCs w:val="20"/>
                <w:lang w:eastAsia="ru-RU"/>
              </w:rPr>
              <w:t>%</w:t>
            </w:r>
          </w:p>
        </w:tc>
      </w:tr>
      <w:tr w:rsidR="003429ED" w:rsidRPr="004761E0" w:rsidTr="003429ED">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7076A7">
            <w:pPr>
              <w:pStyle w:val="a5"/>
              <w:numPr>
                <w:ilvl w:val="1"/>
                <w:numId w:val="282"/>
              </w:numPr>
              <w:jc w:val="left"/>
              <w:rPr>
                <w:rFonts w:eastAsia="Times New Roman"/>
                <w:color w:val="000000"/>
                <w:sz w:val="20"/>
                <w:szCs w:val="20"/>
                <w:lang w:eastAsia="ru-RU"/>
              </w:rPr>
            </w:pPr>
          </w:p>
        </w:tc>
        <w:tc>
          <w:tcPr>
            <w:tcW w:w="5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спорная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664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779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126</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-83,87</w:t>
            </w:r>
            <w:r w:rsidR="006C1AA1">
              <w:rPr>
                <w:rFonts w:eastAsia="Times New Roman"/>
                <w:color w:val="000000"/>
                <w:sz w:val="20"/>
                <w:szCs w:val="20"/>
                <w:lang w:eastAsia="ru-RU"/>
              </w:rPr>
              <w:t xml:space="preserve"> </w:t>
            </w:r>
            <w:r w:rsidRPr="004761E0">
              <w:rPr>
                <w:rFonts w:eastAsia="Times New Roman"/>
                <w:color w:val="000000"/>
                <w:sz w:val="20"/>
                <w:szCs w:val="20"/>
                <w:lang w:eastAsia="ru-RU"/>
              </w:rPr>
              <w:t>%</w:t>
            </w:r>
          </w:p>
        </w:tc>
      </w:tr>
    </w:tbl>
    <w:p w:rsidR="003429ED" w:rsidRPr="004761E0" w:rsidRDefault="003429ED" w:rsidP="003429ED">
      <w:pPr>
        <w:ind w:left="-142" w:firstLine="0"/>
        <w:rPr>
          <w:rFonts w:eastAsia="Times New Roman"/>
          <w:color w:val="000000"/>
          <w:sz w:val="26"/>
          <w:szCs w:val="26"/>
          <w:lang w:eastAsia="ru-RU"/>
        </w:rPr>
      </w:pPr>
      <w:r w:rsidRPr="004761E0">
        <w:rPr>
          <w:rFonts w:eastAsia="Times New Roman"/>
          <w:noProof/>
          <w:color w:val="000000"/>
          <w:sz w:val="26"/>
          <w:szCs w:val="26"/>
          <w:lang w:eastAsia="ru-RU"/>
        </w:rPr>
        <w:drawing>
          <wp:inline distT="0" distB="0" distL="0" distR="0">
            <wp:extent cx="2147777" cy="2477386"/>
            <wp:effectExtent l="19050" t="0" r="23923" b="0"/>
            <wp:docPr id="8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Pr="004761E0">
        <w:rPr>
          <w:rFonts w:eastAsia="Times New Roman"/>
          <w:noProof/>
          <w:color w:val="000000"/>
          <w:sz w:val="26"/>
          <w:szCs w:val="26"/>
          <w:lang w:eastAsia="ru-RU"/>
        </w:rPr>
        <w:drawing>
          <wp:inline distT="0" distB="0" distL="0" distR="0">
            <wp:extent cx="1998921" cy="2477386"/>
            <wp:effectExtent l="19050" t="0" r="20379" b="0"/>
            <wp:docPr id="96"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4761E0">
        <w:rPr>
          <w:rFonts w:eastAsia="Times New Roman"/>
          <w:noProof/>
          <w:color w:val="000000"/>
          <w:sz w:val="26"/>
          <w:szCs w:val="26"/>
          <w:lang w:eastAsia="ru-RU"/>
        </w:rPr>
        <w:t xml:space="preserve"> </w:t>
      </w:r>
      <w:r w:rsidRPr="004761E0">
        <w:rPr>
          <w:rFonts w:eastAsia="Times New Roman"/>
          <w:noProof/>
          <w:color w:val="000000"/>
          <w:sz w:val="26"/>
          <w:szCs w:val="26"/>
          <w:lang w:eastAsia="ru-RU"/>
        </w:rPr>
        <w:drawing>
          <wp:inline distT="0" distB="0" distL="0" distR="0">
            <wp:extent cx="2084599" cy="2476383"/>
            <wp:effectExtent l="19050" t="0" r="10901" b="117"/>
            <wp:docPr id="98"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3429ED" w:rsidRPr="004761E0" w:rsidRDefault="003429ED" w:rsidP="003429ED">
      <w:pPr>
        <w:ind w:firstLine="567"/>
        <w:rPr>
          <w:rFonts w:eastAsia="Times New Roman"/>
          <w:color w:val="000000"/>
          <w:sz w:val="26"/>
          <w:szCs w:val="26"/>
          <w:lang w:eastAsia="ru-RU"/>
        </w:rPr>
      </w:pPr>
      <w:r w:rsidRPr="004761E0">
        <w:rPr>
          <w:rFonts w:eastAsia="Times New Roman"/>
          <w:color w:val="000000"/>
          <w:sz w:val="26"/>
          <w:szCs w:val="26"/>
          <w:lang w:eastAsia="ru-RU"/>
        </w:rPr>
        <w:t xml:space="preserve">При анализе дебиторской задолженности за услуги по передаче электроэнергии по группам конечных потребителей </w:t>
      </w:r>
      <w:r w:rsidR="0008080E">
        <w:rPr>
          <w:rFonts w:eastAsia="Times New Roman"/>
          <w:color w:val="000000"/>
          <w:sz w:val="26"/>
          <w:szCs w:val="26"/>
          <w:lang w:eastAsia="ru-RU"/>
        </w:rPr>
        <w:t>ОАО </w:t>
      </w:r>
      <w:r w:rsidRPr="004761E0">
        <w:rPr>
          <w:rFonts w:eastAsia="Times New Roman"/>
          <w:color w:val="000000"/>
          <w:sz w:val="26"/>
          <w:szCs w:val="26"/>
          <w:lang w:eastAsia="ru-RU"/>
        </w:rPr>
        <w:t>«МОЭСК» наблюдается снижение дебиторской задолженности по категории «Энергосбытовые орагнизации» на 47 % до 0,52 млрд руб, что связано с переходом части энергосбытовых организаций на обслуживание к гарантирующим</w:t>
      </w:r>
      <w:r w:rsidR="0064682E">
        <w:rPr>
          <w:rFonts w:eastAsia="Times New Roman"/>
          <w:color w:val="000000"/>
          <w:sz w:val="26"/>
          <w:szCs w:val="26"/>
          <w:lang w:eastAsia="ru-RU"/>
        </w:rPr>
        <w:t xml:space="preserve"> поставщикам</w:t>
      </w:r>
      <w:r w:rsidRPr="004761E0">
        <w:rPr>
          <w:rFonts w:eastAsia="Times New Roman"/>
          <w:color w:val="000000"/>
          <w:sz w:val="26"/>
          <w:szCs w:val="26"/>
          <w:lang w:eastAsia="ru-RU"/>
        </w:rPr>
        <w:t>. Соответственно, по категории «Гарантирующие поставщики» дебиторская задолженность по данной причине выросла на 5</w:t>
      </w:r>
      <w:r w:rsidR="00547BB3">
        <w:rPr>
          <w:rFonts w:eastAsia="Times New Roman"/>
          <w:color w:val="000000"/>
          <w:sz w:val="26"/>
          <w:szCs w:val="26"/>
          <w:lang w:eastAsia="ru-RU"/>
        </w:rPr>
        <w:t> </w:t>
      </w:r>
      <w:r w:rsidRPr="004761E0">
        <w:rPr>
          <w:rFonts w:eastAsia="Times New Roman"/>
          <w:color w:val="000000"/>
          <w:sz w:val="26"/>
          <w:szCs w:val="26"/>
          <w:lang w:eastAsia="ru-RU"/>
        </w:rPr>
        <w:t>% до 8,66 млрд руб. Снижение дебиторской задолженности по категории «Прочие потребители» на 27 % до 0,06 млрд руб. обусловлено улучшением платежной дисциплины прямых потребителей, в т.ч. ГУП «Моссвет».</w:t>
      </w:r>
    </w:p>
    <w:p w:rsidR="003429ED" w:rsidRPr="000830E8" w:rsidRDefault="003429ED" w:rsidP="003429ED">
      <w:pPr>
        <w:ind w:firstLine="567"/>
        <w:rPr>
          <w:rFonts w:eastAsia="Times New Roman"/>
          <w:color w:val="000000"/>
          <w:sz w:val="26"/>
          <w:szCs w:val="26"/>
          <w:lang w:eastAsia="ru-RU"/>
        </w:rPr>
      </w:pPr>
      <w:r w:rsidRPr="000830E8">
        <w:rPr>
          <w:rFonts w:eastAsia="Times New Roman"/>
          <w:color w:val="000000"/>
          <w:sz w:val="26"/>
          <w:szCs w:val="26"/>
          <w:lang w:eastAsia="ru-RU"/>
        </w:rPr>
        <w:t>Дебиторская задолженность за услуги по передаче в разрезе ее статуса в 2013 году изменилась следующим образом:</w:t>
      </w:r>
    </w:p>
    <w:p w:rsidR="003429ED" w:rsidRPr="009B5AE4" w:rsidRDefault="003429ED" w:rsidP="007076A7">
      <w:pPr>
        <w:pStyle w:val="a5"/>
        <w:numPr>
          <w:ilvl w:val="0"/>
          <w:numId w:val="323"/>
        </w:numPr>
        <w:ind w:left="1134" w:hanging="567"/>
        <w:rPr>
          <w:rFonts w:eastAsia="Times New Roman"/>
          <w:color w:val="000000"/>
          <w:sz w:val="26"/>
          <w:szCs w:val="26"/>
          <w:lang w:eastAsia="ru-RU"/>
        </w:rPr>
      </w:pPr>
      <w:r w:rsidRPr="009B5AE4">
        <w:rPr>
          <w:rFonts w:eastAsia="Times New Roman"/>
          <w:color w:val="000000"/>
          <w:sz w:val="26"/>
          <w:szCs w:val="26"/>
          <w:lang w:eastAsia="ru-RU"/>
        </w:rPr>
        <w:t>текущая задолженность увеличилась на 6 % до 8,35 млрд руб., что связано с увеличением объема выручки, полученной за 2013 год за услуги по передаче электроэнергии;</w:t>
      </w:r>
    </w:p>
    <w:p w:rsidR="003429ED" w:rsidRPr="009B5AE4" w:rsidRDefault="003429ED" w:rsidP="007076A7">
      <w:pPr>
        <w:pStyle w:val="a5"/>
        <w:numPr>
          <w:ilvl w:val="0"/>
          <w:numId w:val="323"/>
        </w:numPr>
        <w:ind w:left="1134" w:hanging="567"/>
        <w:rPr>
          <w:rFonts w:eastAsia="Times New Roman"/>
          <w:color w:val="000000"/>
          <w:sz w:val="26"/>
          <w:szCs w:val="26"/>
          <w:lang w:eastAsia="ru-RU"/>
        </w:rPr>
      </w:pPr>
      <w:r w:rsidRPr="009B5AE4">
        <w:rPr>
          <w:rFonts w:eastAsia="Times New Roman"/>
          <w:color w:val="000000"/>
          <w:sz w:val="26"/>
          <w:szCs w:val="26"/>
          <w:lang w:eastAsia="ru-RU"/>
        </w:rPr>
        <w:t>рост просроченной (неоспариваемой) задолженности на 24 % до 0,76</w:t>
      </w:r>
      <w:r w:rsidR="0064682E">
        <w:rPr>
          <w:rFonts w:eastAsia="Times New Roman"/>
          <w:color w:val="000000"/>
          <w:sz w:val="26"/>
          <w:szCs w:val="26"/>
          <w:lang w:eastAsia="ru-RU"/>
        </w:rPr>
        <w:t> </w:t>
      </w:r>
      <w:r w:rsidRPr="009B5AE4">
        <w:rPr>
          <w:rFonts w:eastAsia="Times New Roman"/>
          <w:color w:val="000000"/>
          <w:sz w:val="26"/>
          <w:szCs w:val="26"/>
          <w:lang w:eastAsia="ru-RU"/>
        </w:rPr>
        <w:t>млрд</w:t>
      </w:r>
      <w:r w:rsidR="0064682E">
        <w:rPr>
          <w:rFonts w:eastAsia="Times New Roman"/>
          <w:color w:val="000000"/>
          <w:sz w:val="26"/>
          <w:szCs w:val="26"/>
          <w:lang w:eastAsia="ru-RU"/>
        </w:rPr>
        <w:t> </w:t>
      </w:r>
      <w:r w:rsidRPr="009B5AE4">
        <w:rPr>
          <w:rFonts w:eastAsia="Times New Roman"/>
          <w:color w:val="000000"/>
          <w:sz w:val="26"/>
          <w:szCs w:val="26"/>
          <w:lang w:eastAsia="ru-RU"/>
        </w:rPr>
        <w:t>руб. произошел в результате нарушения сроков оплаты сбытовыми компаниями по договорам оказания услуг по передаче электроэнергии;</w:t>
      </w:r>
    </w:p>
    <w:p w:rsidR="003429ED" w:rsidRPr="004761E0" w:rsidRDefault="003429ED" w:rsidP="007076A7">
      <w:pPr>
        <w:pStyle w:val="a5"/>
        <w:numPr>
          <w:ilvl w:val="0"/>
          <w:numId w:val="323"/>
        </w:numPr>
        <w:ind w:left="1134" w:hanging="567"/>
        <w:rPr>
          <w:lang w:eastAsia="ru-RU"/>
        </w:rPr>
      </w:pPr>
      <w:r w:rsidRPr="009B5AE4">
        <w:rPr>
          <w:rFonts w:eastAsia="Times New Roman"/>
          <w:color w:val="000000"/>
          <w:sz w:val="26"/>
          <w:szCs w:val="26"/>
          <w:lang w:eastAsia="ru-RU"/>
        </w:rPr>
        <w:t xml:space="preserve">спорная задолженность снизилась на 84 % до 0,13 млрд руб. за счет оплаты </w:t>
      </w:r>
      <w:r w:rsidR="0008080E">
        <w:rPr>
          <w:rFonts w:eastAsia="Times New Roman"/>
          <w:color w:val="000000"/>
          <w:sz w:val="26"/>
          <w:szCs w:val="26"/>
          <w:lang w:eastAsia="ru-RU"/>
        </w:rPr>
        <w:t>ЗАО </w:t>
      </w:r>
      <w:r w:rsidRPr="009B5AE4">
        <w:rPr>
          <w:rFonts w:eastAsia="Times New Roman"/>
          <w:color w:val="000000"/>
          <w:sz w:val="26"/>
          <w:szCs w:val="26"/>
          <w:lang w:eastAsia="ru-RU"/>
        </w:rPr>
        <w:t xml:space="preserve">«БЭЛС» по решению суда спорного долга за 2011 год, а также списания </w:t>
      </w:r>
      <w:r w:rsidRPr="009B5AE4">
        <w:rPr>
          <w:rFonts w:eastAsia="Times New Roman"/>
          <w:color w:val="000000"/>
          <w:sz w:val="26"/>
          <w:szCs w:val="26"/>
          <w:lang w:eastAsia="ru-RU"/>
        </w:rPr>
        <w:lastRenderedPageBreak/>
        <w:t xml:space="preserve">задолженности по </w:t>
      </w:r>
      <w:r w:rsidR="0008080E">
        <w:rPr>
          <w:rFonts w:eastAsia="Times New Roman"/>
          <w:color w:val="000000"/>
          <w:sz w:val="26"/>
          <w:szCs w:val="26"/>
          <w:lang w:eastAsia="ru-RU"/>
        </w:rPr>
        <w:t>ОАО </w:t>
      </w:r>
      <w:r w:rsidRPr="009B5AE4">
        <w:rPr>
          <w:rFonts w:eastAsia="Times New Roman"/>
          <w:color w:val="000000"/>
          <w:sz w:val="26"/>
          <w:szCs w:val="26"/>
          <w:lang w:eastAsia="ru-RU"/>
        </w:rPr>
        <w:t xml:space="preserve">«ЭСКМО», </w:t>
      </w:r>
      <w:r w:rsidR="0008080E">
        <w:rPr>
          <w:rFonts w:eastAsia="Times New Roman"/>
          <w:color w:val="000000"/>
          <w:sz w:val="26"/>
          <w:szCs w:val="26"/>
          <w:lang w:eastAsia="ru-RU"/>
        </w:rPr>
        <w:t>ОАО </w:t>
      </w:r>
      <w:r w:rsidRPr="009B5AE4">
        <w:rPr>
          <w:rFonts w:eastAsia="Times New Roman"/>
          <w:color w:val="000000"/>
          <w:sz w:val="26"/>
          <w:szCs w:val="26"/>
          <w:lang w:eastAsia="ru-RU"/>
        </w:rPr>
        <w:t xml:space="preserve">«ВСК» за 2008-2009 гг. на основании судебных решений, вынесенных не в пользу </w:t>
      </w:r>
      <w:r w:rsidR="0008080E">
        <w:rPr>
          <w:rFonts w:eastAsia="Times New Roman"/>
          <w:color w:val="000000"/>
          <w:sz w:val="26"/>
          <w:szCs w:val="26"/>
          <w:lang w:eastAsia="ru-RU"/>
        </w:rPr>
        <w:t>ОАО </w:t>
      </w:r>
      <w:r w:rsidRPr="009B5AE4">
        <w:rPr>
          <w:rFonts w:eastAsia="Times New Roman"/>
          <w:color w:val="000000"/>
          <w:sz w:val="26"/>
          <w:szCs w:val="26"/>
          <w:lang w:eastAsia="ru-RU"/>
        </w:rPr>
        <w:t>«МОЭСК».</w:t>
      </w:r>
      <w:r w:rsidR="0064682E">
        <w:rPr>
          <w:rFonts w:eastAsia="Times New Roman"/>
          <w:color w:val="000000"/>
          <w:sz w:val="26"/>
          <w:szCs w:val="26"/>
          <w:lang w:eastAsia="ru-RU"/>
        </w:rPr>
        <w:t xml:space="preserve"> Данный </w:t>
      </w:r>
      <w:r w:rsidRPr="009B5AE4">
        <w:rPr>
          <w:rFonts w:eastAsia="Times New Roman"/>
          <w:color w:val="000000"/>
          <w:sz w:val="26"/>
          <w:szCs w:val="26"/>
          <w:lang w:eastAsia="ru-RU"/>
        </w:rPr>
        <w:t xml:space="preserve">объем списанной задолженности </w:t>
      </w:r>
      <w:r w:rsidR="0064682E">
        <w:rPr>
          <w:rFonts w:eastAsia="Times New Roman"/>
          <w:color w:val="000000"/>
          <w:sz w:val="26"/>
          <w:szCs w:val="26"/>
          <w:lang w:eastAsia="ru-RU"/>
        </w:rPr>
        <w:t xml:space="preserve">обеспечен </w:t>
      </w:r>
      <w:r w:rsidRPr="009B5AE4">
        <w:rPr>
          <w:rFonts w:eastAsia="Times New Roman"/>
          <w:color w:val="000000"/>
          <w:sz w:val="26"/>
          <w:szCs w:val="26"/>
          <w:lang w:eastAsia="ru-RU"/>
        </w:rPr>
        <w:t>резер</w:t>
      </w:r>
      <w:r w:rsidR="0064682E">
        <w:rPr>
          <w:rFonts w:eastAsia="Times New Roman"/>
          <w:color w:val="000000"/>
          <w:sz w:val="26"/>
          <w:szCs w:val="26"/>
          <w:lang w:eastAsia="ru-RU"/>
        </w:rPr>
        <w:t>вом</w:t>
      </w:r>
      <w:r w:rsidRPr="009B5AE4">
        <w:rPr>
          <w:rFonts w:eastAsia="Times New Roman"/>
          <w:color w:val="000000"/>
          <w:sz w:val="26"/>
          <w:szCs w:val="26"/>
          <w:lang w:eastAsia="ru-RU"/>
        </w:rPr>
        <w:t xml:space="preserve"> по сомнительным долгам. </w:t>
      </w:r>
      <w:r w:rsidRPr="009B5AE4">
        <w:rPr>
          <w:sz w:val="26"/>
          <w:szCs w:val="26"/>
          <w:lang w:eastAsia="ru-RU"/>
        </w:rPr>
        <w:t>По всему объему просроченной и спорной задолженности рассматриваются иски в судах различных инстанций</w:t>
      </w:r>
      <w:r w:rsidRPr="004761E0">
        <w:rPr>
          <w:lang w:eastAsia="ru-RU"/>
        </w:rPr>
        <w:t>.</w:t>
      </w:r>
    </w:p>
    <w:p w:rsidR="003429ED" w:rsidRPr="004761E0" w:rsidRDefault="003429ED" w:rsidP="003429ED">
      <w:pPr>
        <w:ind w:firstLine="567"/>
        <w:rPr>
          <w:sz w:val="26"/>
          <w:szCs w:val="26"/>
        </w:rPr>
      </w:pPr>
      <w:r w:rsidRPr="004761E0">
        <w:rPr>
          <w:sz w:val="26"/>
          <w:szCs w:val="26"/>
        </w:rPr>
        <w:t xml:space="preserve">В отчетности по РСБУ дебиторская задолженность по передаче электроэнергии отражается с учетом сформированного резерва по сомнительным долгам. Объем резерва на 31.12.2013 составляет 0,3 млрд руб. </w:t>
      </w:r>
    </w:p>
    <w:p w:rsidR="003429ED" w:rsidRPr="008C0C74" w:rsidRDefault="003429ED" w:rsidP="003429ED">
      <w:pPr>
        <w:spacing w:before="120" w:after="120"/>
        <w:ind w:firstLine="567"/>
        <w:rPr>
          <w:b/>
          <w:sz w:val="26"/>
          <w:szCs w:val="26"/>
        </w:rPr>
      </w:pPr>
      <w:r w:rsidRPr="008C0C74">
        <w:rPr>
          <w:b/>
          <w:sz w:val="26"/>
          <w:szCs w:val="26"/>
        </w:rPr>
        <w:t>Кредиторская задолженность</w:t>
      </w:r>
    </w:p>
    <w:tbl>
      <w:tblPr>
        <w:tblW w:w="10221" w:type="dxa"/>
        <w:tblInd w:w="95" w:type="dxa"/>
        <w:tblLook w:val="04A0"/>
      </w:tblPr>
      <w:tblGrid>
        <w:gridCol w:w="580"/>
        <w:gridCol w:w="5067"/>
        <w:gridCol w:w="1134"/>
        <w:gridCol w:w="1134"/>
        <w:gridCol w:w="1134"/>
        <w:gridCol w:w="1172"/>
      </w:tblGrid>
      <w:tr w:rsidR="003429ED" w:rsidRPr="004761E0" w:rsidTr="003429ED">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506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31.12.2011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31.12.2012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31.12.2013</w:t>
            </w:r>
          </w:p>
        </w:tc>
        <w:tc>
          <w:tcPr>
            <w:tcW w:w="1172"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31.12.2013/</w:t>
            </w:r>
          </w:p>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31.12.2012</w:t>
            </w:r>
          </w:p>
        </w:tc>
      </w:tr>
      <w:tr w:rsidR="003429ED" w:rsidRPr="004761E0" w:rsidTr="003429ED">
        <w:trPr>
          <w:trHeight w:val="300"/>
        </w:trPr>
        <w:tc>
          <w:tcPr>
            <w:tcW w:w="5647" w:type="dxa"/>
            <w:gridSpan w:val="2"/>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3429ED">
            <w:pPr>
              <w:ind w:firstLine="0"/>
              <w:jc w:val="left"/>
              <w:rPr>
                <w:b/>
                <w:color w:val="000000"/>
                <w:sz w:val="20"/>
                <w:szCs w:val="20"/>
              </w:rPr>
            </w:pPr>
            <w:r w:rsidRPr="004761E0">
              <w:rPr>
                <w:b/>
                <w:color w:val="000000"/>
                <w:sz w:val="20"/>
                <w:szCs w:val="20"/>
              </w:rPr>
              <w:t>Кредиторская задолженность, млн руб. без НДС (всего), в т.ч.:</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62 932</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53 159</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55 463</w:t>
            </w:r>
          </w:p>
        </w:tc>
        <w:tc>
          <w:tcPr>
            <w:tcW w:w="117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b/>
                <w:color w:val="000000"/>
                <w:sz w:val="20"/>
                <w:szCs w:val="22"/>
              </w:rPr>
            </w:pPr>
            <w:r w:rsidRPr="004761E0">
              <w:rPr>
                <w:b/>
                <w:color w:val="000000"/>
                <w:sz w:val="20"/>
                <w:szCs w:val="22"/>
              </w:rPr>
              <w:t>4,33 %</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0"/>
                <w:numId w:val="284"/>
              </w:numPr>
              <w:jc w:val="left"/>
              <w:rPr>
                <w:rFonts w:eastAsia="Times New Roman"/>
                <w:color w:val="000000"/>
                <w:sz w:val="20"/>
                <w:szCs w:val="20"/>
                <w:lang w:eastAsia="ru-RU"/>
              </w:rPr>
            </w:pPr>
          </w:p>
        </w:tc>
        <w:tc>
          <w:tcPr>
            <w:tcW w:w="9641" w:type="dxa"/>
            <w:gridSpan w:val="5"/>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left"/>
              <w:rPr>
                <w:b/>
                <w:color w:val="000000"/>
                <w:sz w:val="20"/>
                <w:szCs w:val="22"/>
              </w:rPr>
            </w:pPr>
            <w:r w:rsidRPr="004761E0">
              <w:rPr>
                <w:b/>
                <w:sz w:val="20"/>
                <w:szCs w:val="20"/>
              </w:rPr>
              <w:t>По сроку погашения задолженности</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1"/>
                <w:numId w:val="284"/>
              </w:numPr>
              <w:jc w:val="left"/>
              <w:rPr>
                <w:rFonts w:eastAsia="Times New Roman"/>
                <w:color w:val="000000"/>
                <w:sz w:val="20"/>
                <w:szCs w:val="20"/>
                <w:lang w:eastAsia="ru-RU"/>
              </w:rPr>
            </w:pPr>
          </w:p>
        </w:tc>
        <w:tc>
          <w:tcPr>
            <w:tcW w:w="5067"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178"/>
              <w:jc w:val="left"/>
              <w:rPr>
                <w:sz w:val="20"/>
                <w:szCs w:val="20"/>
              </w:rPr>
            </w:pPr>
            <w:r w:rsidRPr="004761E0">
              <w:rPr>
                <w:sz w:val="20"/>
                <w:szCs w:val="20"/>
              </w:rPr>
              <w:t>Долгосрочная (всего)</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9 278</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2 327</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6 536</w:t>
            </w:r>
          </w:p>
        </w:tc>
        <w:tc>
          <w:tcPr>
            <w:tcW w:w="117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color w:val="000000"/>
                <w:sz w:val="20"/>
                <w:szCs w:val="22"/>
              </w:rPr>
            </w:pPr>
            <w:r w:rsidRPr="004761E0">
              <w:rPr>
                <w:color w:val="000000"/>
                <w:sz w:val="20"/>
                <w:szCs w:val="22"/>
              </w:rPr>
              <w:t>180,88 %</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1"/>
                <w:numId w:val="284"/>
              </w:numPr>
              <w:jc w:val="left"/>
              <w:rPr>
                <w:rFonts w:eastAsia="Times New Roman"/>
                <w:color w:val="000000"/>
                <w:sz w:val="20"/>
                <w:szCs w:val="20"/>
                <w:lang w:eastAsia="ru-RU"/>
              </w:rPr>
            </w:pPr>
          </w:p>
        </w:tc>
        <w:tc>
          <w:tcPr>
            <w:tcW w:w="5067"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178"/>
              <w:jc w:val="left"/>
              <w:rPr>
                <w:sz w:val="20"/>
                <w:szCs w:val="20"/>
              </w:rPr>
            </w:pPr>
            <w:r w:rsidRPr="004761E0">
              <w:rPr>
                <w:sz w:val="20"/>
                <w:szCs w:val="20"/>
              </w:rPr>
              <w:t xml:space="preserve">Краткосрочная (всего), в т.ч.: </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53 654</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50 831</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48 927</w:t>
            </w:r>
          </w:p>
        </w:tc>
        <w:tc>
          <w:tcPr>
            <w:tcW w:w="117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color w:val="000000"/>
                <w:sz w:val="20"/>
                <w:szCs w:val="22"/>
              </w:rPr>
            </w:pPr>
            <w:r w:rsidRPr="004761E0">
              <w:rPr>
                <w:color w:val="000000"/>
                <w:sz w:val="20"/>
                <w:szCs w:val="22"/>
              </w:rPr>
              <w:t>-3,75 %</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2"/>
                <w:numId w:val="284"/>
              </w:numPr>
              <w:jc w:val="left"/>
              <w:rPr>
                <w:rFonts w:eastAsia="Times New Roman"/>
                <w:color w:val="000000"/>
                <w:sz w:val="20"/>
                <w:szCs w:val="20"/>
                <w:lang w:eastAsia="ru-RU"/>
              </w:rPr>
            </w:pPr>
          </w:p>
        </w:tc>
        <w:tc>
          <w:tcPr>
            <w:tcW w:w="5067"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left="318" w:firstLine="0"/>
              <w:jc w:val="left"/>
              <w:rPr>
                <w:color w:val="000000"/>
                <w:sz w:val="20"/>
                <w:szCs w:val="20"/>
              </w:rPr>
            </w:pPr>
            <w:r w:rsidRPr="004761E0">
              <w:rPr>
                <w:color w:val="000000"/>
                <w:sz w:val="20"/>
                <w:szCs w:val="20"/>
              </w:rPr>
              <w:t>поставщики и подрядчики</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12 898</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9 102</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15 457</w:t>
            </w:r>
          </w:p>
        </w:tc>
        <w:tc>
          <w:tcPr>
            <w:tcW w:w="117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color w:val="000000"/>
                <w:sz w:val="20"/>
                <w:szCs w:val="22"/>
              </w:rPr>
            </w:pPr>
            <w:r w:rsidRPr="004761E0">
              <w:rPr>
                <w:color w:val="000000"/>
                <w:sz w:val="20"/>
                <w:szCs w:val="22"/>
              </w:rPr>
              <w:t>69,82 %</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2"/>
                <w:numId w:val="284"/>
              </w:numPr>
              <w:jc w:val="left"/>
              <w:rPr>
                <w:rFonts w:eastAsia="Times New Roman"/>
                <w:color w:val="000000"/>
                <w:sz w:val="20"/>
                <w:szCs w:val="20"/>
                <w:lang w:eastAsia="ru-RU"/>
              </w:rPr>
            </w:pPr>
          </w:p>
        </w:tc>
        <w:tc>
          <w:tcPr>
            <w:tcW w:w="5067"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left="318" w:firstLine="0"/>
              <w:jc w:val="left"/>
              <w:rPr>
                <w:color w:val="000000"/>
                <w:sz w:val="20"/>
                <w:szCs w:val="20"/>
              </w:rPr>
            </w:pPr>
            <w:r w:rsidRPr="004761E0">
              <w:rPr>
                <w:color w:val="000000"/>
                <w:sz w:val="20"/>
                <w:szCs w:val="20"/>
              </w:rPr>
              <w:t>задолженность по оплате труда перед персоналом</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0</w:t>
            </w:r>
          </w:p>
        </w:tc>
        <w:tc>
          <w:tcPr>
            <w:tcW w:w="117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color w:val="000000"/>
                <w:sz w:val="20"/>
                <w:szCs w:val="22"/>
              </w:rPr>
            </w:pPr>
            <w:r w:rsidRPr="004761E0">
              <w:rPr>
                <w:color w:val="000000"/>
                <w:sz w:val="20"/>
                <w:szCs w:val="22"/>
              </w:rPr>
              <w:t>-100,00 %</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2"/>
                <w:numId w:val="284"/>
              </w:numPr>
              <w:jc w:val="left"/>
              <w:rPr>
                <w:rFonts w:eastAsia="Times New Roman"/>
                <w:color w:val="000000"/>
                <w:sz w:val="20"/>
                <w:szCs w:val="20"/>
                <w:lang w:eastAsia="ru-RU"/>
              </w:rPr>
            </w:pPr>
          </w:p>
        </w:tc>
        <w:tc>
          <w:tcPr>
            <w:tcW w:w="5067"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left="318" w:firstLine="0"/>
              <w:jc w:val="left"/>
              <w:rPr>
                <w:color w:val="000000"/>
                <w:sz w:val="20"/>
                <w:szCs w:val="20"/>
              </w:rPr>
            </w:pPr>
            <w:r w:rsidRPr="004761E0">
              <w:rPr>
                <w:color w:val="000000"/>
                <w:sz w:val="20"/>
                <w:szCs w:val="20"/>
              </w:rPr>
              <w:t xml:space="preserve">задолженность перед государственными и внебюджетными фондами </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0</w:t>
            </w:r>
          </w:p>
        </w:tc>
        <w:tc>
          <w:tcPr>
            <w:tcW w:w="117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color w:val="000000"/>
                <w:sz w:val="20"/>
                <w:szCs w:val="22"/>
              </w:rPr>
            </w:pPr>
            <w:r w:rsidRPr="004761E0">
              <w:rPr>
                <w:color w:val="000000"/>
                <w:sz w:val="20"/>
                <w:szCs w:val="22"/>
              </w:rPr>
              <w:t>-</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2"/>
                <w:numId w:val="284"/>
              </w:numPr>
              <w:jc w:val="left"/>
              <w:rPr>
                <w:rFonts w:eastAsia="Times New Roman"/>
                <w:color w:val="000000"/>
                <w:sz w:val="20"/>
                <w:szCs w:val="20"/>
                <w:lang w:eastAsia="ru-RU"/>
              </w:rPr>
            </w:pPr>
          </w:p>
        </w:tc>
        <w:tc>
          <w:tcPr>
            <w:tcW w:w="5067"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left="318" w:firstLine="0"/>
              <w:jc w:val="left"/>
              <w:rPr>
                <w:color w:val="000000"/>
                <w:sz w:val="20"/>
                <w:szCs w:val="20"/>
              </w:rPr>
            </w:pPr>
            <w:r w:rsidRPr="004761E0">
              <w:rPr>
                <w:color w:val="000000"/>
                <w:sz w:val="20"/>
                <w:szCs w:val="20"/>
              </w:rPr>
              <w:t>задолженность перед бюджетом текущая</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65</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1 370</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238</w:t>
            </w:r>
          </w:p>
        </w:tc>
        <w:tc>
          <w:tcPr>
            <w:tcW w:w="117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color w:val="000000"/>
                <w:sz w:val="20"/>
                <w:szCs w:val="22"/>
              </w:rPr>
            </w:pPr>
            <w:r w:rsidRPr="004761E0">
              <w:rPr>
                <w:color w:val="000000"/>
                <w:sz w:val="20"/>
                <w:szCs w:val="22"/>
              </w:rPr>
              <w:t>-82,63 %</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2"/>
                <w:numId w:val="284"/>
              </w:numPr>
              <w:jc w:val="left"/>
              <w:rPr>
                <w:rFonts w:eastAsia="Times New Roman"/>
                <w:color w:val="000000"/>
                <w:sz w:val="20"/>
                <w:szCs w:val="20"/>
                <w:lang w:eastAsia="ru-RU"/>
              </w:rPr>
            </w:pPr>
          </w:p>
        </w:tc>
        <w:tc>
          <w:tcPr>
            <w:tcW w:w="5067"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left="318" w:firstLine="0"/>
              <w:jc w:val="left"/>
              <w:rPr>
                <w:color w:val="000000"/>
                <w:sz w:val="20"/>
                <w:szCs w:val="20"/>
              </w:rPr>
            </w:pPr>
            <w:r w:rsidRPr="004761E0">
              <w:rPr>
                <w:color w:val="000000"/>
                <w:sz w:val="20"/>
                <w:szCs w:val="20"/>
              </w:rPr>
              <w:t>авансы полученные</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40 677</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40 283</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33 220</w:t>
            </w:r>
          </w:p>
        </w:tc>
        <w:tc>
          <w:tcPr>
            <w:tcW w:w="117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color w:val="000000"/>
                <w:sz w:val="20"/>
                <w:szCs w:val="22"/>
              </w:rPr>
            </w:pPr>
            <w:r w:rsidRPr="004761E0">
              <w:rPr>
                <w:color w:val="000000"/>
                <w:sz w:val="20"/>
                <w:szCs w:val="22"/>
              </w:rPr>
              <w:t>-17,53 %</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2"/>
                <w:numId w:val="284"/>
              </w:numPr>
              <w:jc w:val="left"/>
              <w:rPr>
                <w:rFonts w:eastAsia="Times New Roman"/>
                <w:color w:val="000000"/>
                <w:sz w:val="20"/>
                <w:szCs w:val="20"/>
                <w:lang w:eastAsia="ru-RU"/>
              </w:rPr>
            </w:pPr>
          </w:p>
        </w:tc>
        <w:tc>
          <w:tcPr>
            <w:tcW w:w="5067"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left="318" w:firstLine="0"/>
              <w:jc w:val="left"/>
              <w:rPr>
                <w:color w:val="000000"/>
                <w:sz w:val="20"/>
                <w:szCs w:val="20"/>
              </w:rPr>
            </w:pPr>
            <w:r w:rsidRPr="004761E0">
              <w:rPr>
                <w:color w:val="000000"/>
                <w:sz w:val="20"/>
                <w:szCs w:val="20"/>
              </w:rPr>
              <w:t>прочие кредиторы</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6</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72</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12</w:t>
            </w:r>
          </w:p>
        </w:tc>
        <w:tc>
          <w:tcPr>
            <w:tcW w:w="117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color w:val="000000"/>
                <w:sz w:val="20"/>
                <w:szCs w:val="22"/>
              </w:rPr>
            </w:pPr>
            <w:r w:rsidRPr="004761E0">
              <w:rPr>
                <w:color w:val="000000"/>
                <w:sz w:val="20"/>
                <w:szCs w:val="22"/>
              </w:rPr>
              <w:t>-83,33 %</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0"/>
                <w:numId w:val="284"/>
              </w:numPr>
              <w:jc w:val="left"/>
              <w:rPr>
                <w:rFonts w:eastAsia="Times New Roman"/>
                <w:color w:val="000000"/>
                <w:sz w:val="20"/>
                <w:szCs w:val="20"/>
                <w:lang w:eastAsia="ru-RU"/>
              </w:rPr>
            </w:pPr>
          </w:p>
        </w:tc>
        <w:tc>
          <w:tcPr>
            <w:tcW w:w="9641" w:type="dxa"/>
            <w:gridSpan w:val="5"/>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left"/>
              <w:rPr>
                <w:b/>
                <w:color w:val="000000" w:themeColor="text1"/>
                <w:sz w:val="20"/>
                <w:szCs w:val="22"/>
              </w:rPr>
            </w:pPr>
            <w:r w:rsidRPr="004761E0">
              <w:rPr>
                <w:b/>
                <w:color w:val="000000"/>
                <w:sz w:val="20"/>
                <w:szCs w:val="20"/>
              </w:rPr>
              <w:t>По видам деятельности</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1"/>
                <w:numId w:val="284"/>
              </w:numPr>
              <w:jc w:val="left"/>
              <w:rPr>
                <w:rFonts w:eastAsia="Times New Roman"/>
                <w:color w:val="000000"/>
                <w:sz w:val="20"/>
                <w:szCs w:val="20"/>
                <w:lang w:eastAsia="ru-RU"/>
              </w:rPr>
            </w:pPr>
          </w:p>
        </w:tc>
        <w:tc>
          <w:tcPr>
            <w:tcW w:w="5067"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left="318" w:firstLine="0"/>
              <w:jc w:val="left"/>
              <w:rPr>
                <w:color w:val="000000"/>
                <w:sz w:val="20"/>
                <w:szCs w:val="20"/>
              </w:rPr>
            </w:pPr>
            <w:r w:rsidRPr="004761E0">
              <w:rPr>
                <w:color w:val="000000"/>
                <w:sz w:val="20"/>
                <w:szCs w:val="20"/>
              </w:rPr>
              <w:t xml:space="preserve">от оказания услуг по технологическому присоединению </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49 812</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42 418</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39 572</w:t>
            </w:r>
          </w:p>
        </w:tc>
        <w:tc>
          <w:tcPr>
            <w:tcW w:w="117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color w:val="000000" w:themeColor="text1"/>
                <w:sz w:val="20"/>
                <w:szCs w:val="22"/>
              </w:rPr>
            </w:pPr>
            <w:r w:rsidRPr="004761E0">
              <w:rPr>
                <w:color w:val="000000" w:themeColor="text1"/>
                <w:sz w:val="20"/>
                <w:szCs w:val="22"/>
              </w:rPr>
              <w:t>-6,71 %</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1"/>
                <w:numId w:val="284"/>
              </w:numPr>
              <w:jc w:val="left"/>
              <w:rPr>
                <w:rFonts w:eastAsia="Times New Roman"/>
                <w:color w:val="000000"/>
                <w:sz w:val="20"/>
                <w:szCs w:val="20"/>
                <w:lang w:eastAsia="ru-RU"/>
              </w:rPr>
            </w:pPr>
          </w:p>
        </w:tc>
        <w:tc>
          <w:tcPr>
            <w:tcW w:w="5067"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left="318" w:firstLine="0"/>
              <w:jc w:val="left"/>
              <w:rPr>
                <w:color w:val="000000"/>
                <w:sz w:val="20"/>
                <w:szCs w:val="20"/>
              </w:rPr>
            </w:pPr>
            <w:r w:rsidRPr="004761E0">
              <w:rPr>
                <w:color w:val="000000"/>
                <w:sz w:val="20"/>
                <w:szCs w:val="20"/>
              </w:rPr>
              <w:t>от прочей деятельности</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13 120</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10 741</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15 892</w:t>
            </w:r>
          </w:p>
        </w:tc>
        <w:tc>
          <w:tcPr>
            <w:tcW w:w="117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color w:val="000000" w:themeColor="text1"/>
                <w:sz w:val="20"/>
                <w:szCs w:val="22"/>
              </w:rPr>
            </w:pPr>
            <w:r w:rsidRPr="004761E0">
              <w:rPr>
                <w:color w:val="000000" w:themeColor="text1"/>
                <w:sz w:val="20"/>
                <w:szCs w:val="22"/>
              </w:rPr>
              <w:t>47,96 %</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numPr>
                <w:ilvl w:val="0"/>
                <w:numId w:val="284"/>
              </w:numPr>
              <w:jc w:val="left"/>
              <w:rPr>
                <w:rFonts w:eastAsia="Times New Roman"/>
                <w:b/>
                <w:color w:val="000000"/>
                <w:sz w:val="20"/>
                <w:szCs w:val="20"/>
                <w:lang w:eastAsia="ru-RU"/>
              </w:rPr>
            </w:pPr>
          </w:p>
        </w:tc>
        <w:tc>
          <w:tcPr>
            <w:tcW w:w="9641" w:type="dxa"/>
            <w:gridSpan w:val="5"/>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left"/>
              <w:rPr>
                <w:b/>
                <w:color w:val="000000" w:themeColor="text1"/>
                <w:sz w:val="20"/>
                <w:szCs w:val="22"/>
              </w:rPr>
            </w:pPr>
            <w:r w:rsidRPr="004761E0">
              <w:rPr>
                <w:b/>
                <w:color w:val="000000"/>
                <w:sz w:val="20"/>
                <w:szCs w:val="20"/>
              </w:rPr>
              <w:t>По статусу задолженности</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1"/>
                <w:numId w:val="284"/>
              </w:numPr>
              <w:jc w:val="left"/>
              <w:rPr>
                <w:rFonts w:eastAsia="Times New Roman"/>
                <w:color w:val="000000"/>
                <w:sz w:val="20"/>
                <w:szCs w:val="20"/>
                <w:lang w:eastAsia="ru-RU"/>
              </w:rPr>
            </w:pPr>
          </w:p>
        </w:tc>
        <w:tc>
          <w:tcPr>
            <w:tcW w:w="5067"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left="318" w:firstLine="0"/>
              <w:jc w:val="left"/>
              <w:rPr>
                <w:color w:val="000000"/>
                <w:sz w:val="20"/>
                <w:szCs w:val="20"/>
              </w:rPr>
            </w:pPr>
            <w:r w:rsidRPr="004761E0">
              <w:rPr>
                <w:color w:val="000000"/>
                <w:sz w:val="20"/>
                <w:szCs w:val="20"/>
              </w:rPr>
              <w:t>текущая</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51 675</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40 443</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43 347</w:t>
            </w:r>
          </w:p>
        </w:tc>
        <w:tc>
          <w:tcPr>
            <w:tcW w:w="117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color w:val="000000" w:themeColor="text1"/>
                <w:sz w:val="20"/>
                <w:szCs w:val="22"/>
              </w:rPr>
            </w:pPr>
            <w:r w:rsidRPr="004761E0">
              <w:rPr>
                <w:color w:val="000000" w:themeColor="text1"/>
                <w:sz w:val="20"/>
                <w:szCs w:val="22"/>
              </w:rPr>
              <w:t>7,18 %</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1"/>
                <w:numId w:val="284"/>
              </w:numPr>
              <w:jc w:val="left"/>
              <w:rPr>
                <w:rFonts w:eastAsia="Times New Roman"/>
                <w:color w:val="000000"/>
                <w:sz w:val="20"/>
                <w:szCs w:val="20"/>
                <w:lang w:eastAsia="ru-RU"/>
              </w:rPr>
            </w:pPr>
          </w:p>
        </w:tc>
        <w:tc>
          <w:tcPr>
            <w:tcW w:w="5067"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left="318" w:firstLine="0"/>
              <w:jc w:val="left"/>
              <w:rPr>
                <w:color w:val="000000"/>
                <w:sz w:val="20"/>
                <w:szCs w:val="20"/>
              </w:rPr>
            </w:pPr>
            <w:r w:rsidRPr="004761E0">
              <w:rPr>
                <w:color w:val="000000"/>
                <w:sz w:val="20"/>
                <w:szCs w:val="20"/>
              </w:rPr>
              <w:t>просроченная</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11 257</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12 715</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12 116</w:t>
            </w:r>
          </w:p>
        </w:tc>
        <w:tc>
          <w:tcPr>
            <w:tcW w:w="117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color w:val="000000" w:themeColor="text1"/>
                <w:sz w:val="20"/>
                <w:szCs w:val="22"/>
              </w:rPr>
            </w:pPr>
            <w:r w:rsidRPr="004761E0">
              <w:rPr>
                <w:color w:val="000000" w:themeColor="text1"/>
                <w:sz w:val="20"/>
                <w:szCs w:val="22"/>
              </w:rPr>
              <w:t>-4,71 %</w:t>
            </w:r>
          </w:p>
        </w:tc>
      </w:tr>
      <w:tr w:rsidR="003429ED" w:rsidRPr="004761E0" w:rsidTr="003429ED">
        <w:trPr>
          <w:trHeight w:val="300"/>
        </w:trPr>
        <w:tc>
          <w:tcPr>
            <w:tcW w:w="5647" w:type="dxa"/>
            <w:gridSpan w:val="2"/>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3429ED">
            <w:pPr>
              <w:ind w:firstLine="0"/>
              <w:jc w:val="left"/>
              <w:rPr>
                <w:b/>
                <w:color w:val="000000"/>
                <w:sz w:val="20"/>
                <w:szCs w:val="20"/>
              </w:rPr>
            </w:pPr>
            <w:r w:rsidRPr="004761E0">
              <w:rPr>
                <w:b/>
                <w:color w:val="000000"/>
                <w:sz w:val="20"/>
                <w:szCs w:val="20"/>
              </w:rPr>
              <w:t>Отношение просроченной кредиторской задолженности к общей выручке, %</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8,90</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10,77</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9,71</w:t>
            </w:r>
          </w:p>
        </w:tc>
        <w:tc>
          <w:tcPr>
            <w:tcW w:w="117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b/>
                <w:color w:val="000000" w:themeColor="text1"/>
                <w:sz w:val="20"/>
                <w:szCs w:val="22"/>
              </w:rPr>
            </w:pPr>
            <w:r w:rsidRPr="004761E0">
              <w:rPr>
                <w:b/>
                <w:color w:val="000000" w:themeColor="text1"/>
                <w:sz w:val="20"/>
                <w:szCs w:val="22"/>
              </w:rPr>
              <w:t>-1,06 п.п.</w:t>
            </w:r>
          </w:p>
        </w:tc>
      </w:tr>
    </w:tbl>
    <w:p w:rsidR="003429ED" w:rsidRPr="004761E0" w:rsidRDefault="003429ED" w:rsidP="003429ED">
      <w:pPr>
        <w:ind w:firstLine="0"/>
        <w:rPr>
          <w:rFonts w:eastAsia="Times New Roman"/>
          <w:sz w:val="26"/>
          <w:szCs w:val="26"/>
          <w:lang w:eastAsia="ru-RU"/>
        </w:rPr>
      </w:pPr>
      <w:r w:rsidRPr="004761E0">
        <w:rPr>
          <w:noProof/>
          <w:lang w:eastAsia="ru-RU"/>
        </w:rPr>
        <w:drawing>
          <wp:inline distT="0" distB="0" distL="0" distR="0">
            <wp:extent cx="2913321" cy="2849525"/>
            <wp:effectExtent l="0" t="0" r="20955" b="27305"/>
            <wp:docPr id="101" name="Диаграмма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Pr="004761E0">
        <w:rPr>
          <w:rFonts w:eastAsia="Times New Roman"/>
          <w:sz w:val="26"/>
          <w:szCs w:val="26"/>
          <w:lang w:eastAsia="ru-RU"/>
        </w:rPr>
        <w:t xml:space="preserve"> </w:t>
      </w:r>
      <w:r w:rsidRPr="004761E0">
        <w:rPr>
          <w:noProof/>
          <w:lang w:eastAsia="ru-RU"/>
        </w:rPr>
        <w:drawing>
          <wp:inline distT="0" distB="0" distL="0" distR="0">
            <wp:extent cx="2966484" cy="2806995"/>
            <wp:effectExtent l="0" t="0" r="24765" b="12700"/>
            <wp:docPr id="102" name="Диаграмма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3429ED" w:rsidRPr="004761E0" w:rsidRDefault="003429ED" w:rsidP="003429ED">
      <w:pPr>
        <w:ind w:firstLine="0"/>
        <w:rPr>
          <w:rFonts w:eastAsia="Times New Roman"/>
          <w:sz w:val="26"/>
          <w:szCs w:val="26"/>
          <w:lang w:eastAsia="ru-RU"/>
        </w:rPr>
      </w:pPr>
      <w:r w:rsidRPr="004761E0">
        <w:rPr>
          <w:noProof/>
          <w:lang w:eastAsia="ru-RU"/>
        </w:rPr>
        <w:lastRenderedPageBreak/>
        <w:drawing>
          <wp:inline distT="0" distB="0" distL="0" distR="0">
            <wp:extent cx="2913321" cy="2860158"/>
            <wp:effectExtent l="0" t="0" r="20955" b="16510"/>
            <wp:docPr id="104" name="Диаграмма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3429ED" w:rsidRPr="004761E0" w:rsidRDefault="003429ED" w:rsidP="003429ED">
      <w:pPr>
        <w:ind w:firstLine="567"/>
        <w:rPr>
          <w:rFonts w:eastAsia="Times New Roman"/>
          <w:sz w:val="26"/>
          <w:szCs w:val="26"/>
          <w:lang w:eastAsia="ru-RU"/>
        </w:rPr>
      </w:pPr>
      <w:r w:rsidRPr="004761E0">
        <w:rPr>
          <w:rFonts w:eastAsia="Times New Roman"/>
          <w:sz w:val="26"/>
          <w:szCs w:val="26"/>
          <w:lang w:eastAsia="ru-RU"/>
        </w:rPr>
        <w:t>Кредиторская задолженность за 2013 год увеличилась на 4 % до 55,46 млрд руб., что связано с ростом долгосрочной кредиторской задолженности на 181 % за счет поступления авансовых платежей от потребителей за оказание услуг по технологическому присоединению в соответствии с условиями договоров.</w:t>
      </w:r>
    </w:p>
    <w:p w:rsidR="003429ED" w:rsidRPr="004761E0" w:rsidRDefault="003429ED" w:rsidP="003429ED">
      <w:pPr>
        <w:ind w:firstLine="567"/>
        <w:rPr>
          <w:rFonts w:eastAsia="Times New Roman"/>
          <w:sz w:val="26"/>
          <w:szCs w:val="26"/>
          <w:lang w:eastAsia="ru-RU"/>
        </w:rPr>
      </w:pPr>
      <w:r w:rsidRPr="004761E0">
        <w:rPr>
          <w:rFonts w:eastAsia="Times New Roman"/>
          <w:sz w:val="26"/>
          <w:szCs w:val="26"/>
          <w:lang w:eastAsia="ru-RU"/>
        </w:rPr>
        <w:t>Несмотря на то, что краткосрочная кредиторская задолженность за отчетный период снизилась</w:t>
      </w:r>
      <w:r w:rsidRPr="004761E0" w:rsidDel="00C67D2C">
        <w:rPr>
          <w:rFonts w:eastAsia="Times New Roman"/>
          <w:sz w:val="26"/>
          <w:szCs w:val="26"/>
          <w:lang w:eastAsia="ru-RU"/>
        </w:rPr>
        <w:t xml:space="preserve"> </w:t>
      </w:r>
      <w:r w:rsidRPr="004761E0">
        <w:rPr>
          <w:rFonts w:eastAsia="Times New Roman"/>
          <w:sz w:val="26"/>
          <w:szCs w:val="26"/>
          <w:lang w:eastAsia="ru-RU"/>
        </w:rPr>
        <w:t xml:space="preserve">незначительно (на 3,75 % до 48,93 млрд руб.) в ее составе произошли следующие существенные изменения: </w:t>
      </w:r>
    </w:p>
    <w:p w:rsidR="003429ED" w:rsidRPr="004761E0" w:rsidRDefault="003429ED" w:rsidP="007076A7">
      <w:pPr>
        <w:pStyle w:val="a5"/>
        <w:numPr>
          <w:ilvl w:val="0"/>
          <w:numId w:val="178"/>
        </w:numPr>
        <w:ind w:left="1134" w:hanging="425"/>
        <w:rPr>
          <w:rFonts w:eastAsia="Times New Roman"/>
          <w:sz w:val="26"/>
          <w:szCs w:val="26"/>
          <w:lang w:eastAsia="ru-RU"/>
        </w:rPr>
      </w:pPr>
      <w:r w:rsidRPr="004761E0">
        <w:rPr>
          <w:rFonts w:eastAsia="Times New Roman"/>
          <w:sz w:val="26"/>
          <w:szCs w:val="26"/>
          <w:lang w:eastAsia="ru-RU"/>
        </w:rPr>
        <w:t>задолженность по статье «Поставщики и подрядчики» увеличилась на 69,82 % в связи выполнение работ по капитальному строительству в рамках выполнения инвестиционной программы 2013 года, объем освоения которой увеличен по отношение к объему освоения инвестиционной программы 2012 года.</w:t>
      </w:r>
    </w:p>
    <w:p w:rsidR="003429ED" w:rsidRPr="004761E0" w:rsidRDefault="003429ED" w:rsidP="007076A7">
      <w:pPr>
        <w:pStyle w:val="a5"/>
        <w:numPr>
          <w:ilvl w:val="0"/>
          <w:numId w:val="178"/>
        </w:numPr>
        <w:ind w:left="1134" w:hanging="425"/>
        <w:rPr>
          <w:rFonts w:eastAsia="Times New Roman"/>
          <w:sz w:val="26"/>
          <w:szCs w:val="26"/>
          <w:lang w:eastAsia="ru-RU"/>
        </w:rPr>
      </w:pPr>
      <w:r w:rsidRPr="004761E0">
        <w:rPr>
          <w:rFonts w:eastAsia="Times New Roman"/>
          <w:sz w:val="26"/>
          <w:szCs w:val="26"/>
          <w:lang w:eastAsia="ru-RU"/>
        </w:rPr>
        <w:t xml:space="preserve">задолженность по статье «Авансы полученные» снизилась на 17,53 %. Сокращение обусловлено выполнением обязательств по договорам техприсоединения, по которым предусмотрен ввод объектов </w:t>
      </w:r>
      <w:r w:rsidR="00DF693F">
        <w:rPr>
          <w:rFonts w:eastAsia="Times New Roman"/>
          <w:sz w:val="26"/>
          <w:szCs w:val="26"/>
          <w:lang w:eastAsia="ru-RU"/>
        </w:rPr>
        <w:t xml:space="preserve">технологического присоединения </w:t>
      </w:r>
      <w:r w:rsidRPr="004761E0">
        <w:rPr>
          <w:rFonts w:eastAsia="Times New Roman"/>
          <w:sz w:val="26"/>
          <w:szCs w:val="26"/>
          <w:lang w:eastAsia="ru-RU"/>
        </w:rPr>
        <w:t xml:space="preserve">и присоединения к данным объектам в отчетном году в соответствии с планом вводов и техприсоединения. Размер кредиторской задолженности по авансам, полученным в рамках технологического присоединения снижен а 7,06 млрд руб. до 33,04 млрд руб. </w:t>
      </w:r>
    </w:p>
    <w:p w:rsidR="005E2365" w:rsidRPr="005E2365" w:rsidRDefault="005E2365" w:rsidP="00367ED5">
      <w:pPr>
        <w:ind w:firstLine="567"/>
        <w:rPr>
          <w:sz w:val="26"/>
          <w:szCs w:val="26"/>
        </w:rPr>
      </w:pPr>
      <w:r w:rsidRPr="005E2365">
        <w:rPr>
          <w:sz w:val="26"/>
          <w:szCs w:val="26"/>
        </w:rPr>
        <w:t>Наличие на балансе кредиторской задолженности по технологическому присоединению вызвано порядком оплаты и сроками действия договоров технологического присоединения, установленных законодательством для различных групп потребителей от 6 мес</w:t>
      </w:r>
      <w:r w:rsidR="00367ED5">
        <w:rPr>
          <w:sz w:val="26"/>
          <w:szCs w:val="26"/>
        </w:rPr>
        <w:t>яцев</w:t>
      </w:r>
      <w:r w:rsidRPr="005E2365">
        <w:rPr>
          <w:sz w:val="26"/>
          <w:szCs w:val="26"/>
        </w:rPr>
        <w:t xml:space="preserve"> до 4 лет. На протяжении данного срока потребитель оплачивает стоимость присоединения в рамках графика оплаты (приложение к договору). После оплаты потребителем стоимости присоединения у Общества появляется кредиторская задолженность, погашение которой осуществляется после полного выполнения обязательств сторонами и фактического присоединения потребителя. </w:t>
      </w:r>
    </w:p>
    <w:p w:rsidR="003429ED" w:rsidRPr="004761E0" w:rsidRDefault="003429ED" w:rsidP="003429ED">
      <w:pPr>
        <w:spacing w:before="120" w:after="120"/>
        <w:ind w:firstLine="567"/>
        <w:rPr>
          <w:b/>
          <w:sz w:val="26"/>
          <w:szCs w:val="26"/>
        </w:rPr>
      </w:pPr>
      <w:r w:rsidRPr="004761E0">
        <w:rPr>
          <w:b/>
          <w:sz w:val="26"/>
          <w:szCs w:val="26"/>
        </w:rPr>
        <w:t>Основные показатели отчета о финансовых результатах</w:t>
      </w:r>
    </w:p>
    <w:tbl>
      <w:tblPr>
        <w:tblW w:w="9936" w:type="dxa"/>
        <w:tblInd w:w="95" w:type="dxa"/>
        <w:tblLook w:val="04A0"/>
      </w:tblPr>
      <w:tblGrid>
        <w:gridCol w:w="580"/>
        <w:gridCol w:w="4962"/>
        <w:gridCol w:w="992"/>
        <w:gridCol w:w="1134"/>
        <w:gridCol w:w="1134"/>
        <w:gridCol w:w="1134"/>
      </w:tblGrid>
      <w:tr w:rsidR="003429ED" w:rsidRPr="004761E0" w:rsidTr="003429ED">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496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99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numPr>
                <w:ilvl w:val="0"/>
                <w:numId w:val="197"/>
              </w:numPr>
              <w:jc w:val="left"/>
              <w:rPr>
                <w:rFonts w:eastAsia="Times New Roman"/>
                <w:b/>
                <w:color w:val="000000"/>
                <w:sz w:val="20"/>
                <w:szCs w:val="20"/>
                <w:lang w:eastAsia="ru-RU"/>
              </w:rPr>
            </w:pPr>
          </w:p>
        </w:tc>
        <w:tc>
          <w:tcPr>
            <w:tcW w:w="496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rPr>
                <w:rFonts w:eastAsia="Times New Roman"/>
                <w:b/>
                <w:sz w:val="20"/>
                <w:szCs w:val="20"/>
                <w:lang w:eastAsia="ru-RU"/>
              </w:rPr>
            </w:pPr>
            <w:r w:rsidRPr="004761E0">
              <w:rPr>
                <w:rFonts w:eastAsia="Times New Roman"/>
                <w:b/>
                <w:sz w:val="20"/>
                <w:szCs w:val="20"/>
                <w:lang w:eastAsia="ru-RU"/>
              </w:rPr>
              <w:t>Выручка, млн руб. без НДС (всего), в т.ч.:</w:t>
            </w:r>
          </w:p>
        </w:tc>
        <w:tc>
          <w:tcPr>
            <w:tcW w:w="99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bCs/>
                <w:color w:val="000000"/>
                <w:sz w:val="20"/>
                <w:szCs w:val="20"/>
                <w:lang w:eastAsia="ru-RU"/>
              </w:rPr>
            </w:pPr>
            <w:r w:rsidRPr="004761E0">
              <w:rPr>
                <w:rFonts w:eastAsia="Times New Roman"/>
                <w:b/>
                <w:bCs/>
                <w:color w:val="000000"/>
                <w:sz w:val="20"/>
                <w:szCs w:val="20"/>
                <w:lang w:eastAsia="ru-RU"/>
              </w:rPr>
              <w:t>126 546</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bCs/>
                <w:color w:val="000000"/>
                <w:sz w:val="20"/>
                <w:szCs w:val="20"/>
                <w:lang w:eastAsia="ru-RU"/>
              </w:rPr>
            </w:pPr>
            <w:r w:rsidRPr="004761E0">
              <w:rPr>
                <w:rFonts w:eastAsia="Times New Roman"/>
                <w:b/>
                <w:bCs/>
                <w:color w:val="000000"/>
                <w:sz w:val="20"/>
                <w:szCs w:val="20"/>
                <w:lang w:eastAsia="ru-RU"/>
              </w:rPr>
              <w:t>118 008</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bCs/>
                <w:color w:val="000000"/>
                <w:sz w:val="20"/>
                <w:szCs w:val="20"/>
                <w:lang w:eastAsia="ru-RU"/>
              </w:rPr>
            </w:pPr>
            <w:r w:rsidRPr="004761E0">
              <w:rPr>
                <w:rFonts w:eastAsia="Times New Roman"/>
                <w:b/>
                <w:bCs/>
                <w:color w:val="000000"/>
                <w:sz w:val="20"/>
                <w:szCs w:val="20"/>
                <w:lang w:eastAsia="ru-RU"/>
              </w:rPr>
              <w:t>124 731</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sz w:val="20"/>
                <w:szCs w:val="20"/>
                <w:lang w:eastAsia="ru-RU"/>
              </w:rPr>
            </w:pPr>
            <w:r w:rsidRPr="004761E0">
              <w:rPr>
                <w:rFonts w:eastAsia="Times New Roman"/>
                <w:b/>
                <w:sz w:val="20"/>
                <w:szCs w:val="20"/>
                <w:lang w:eastAsia="ru-RU"/>
              </w:rPr>
              <w:t>5,70 %</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1"/>
                <w:numId w:val="197"/>
              </w:numPr>
              <w:jc w:val="left"/>
              <w:rPr>
                <w:rFonts w:eastAsia="Times New Roman"/>
                <w:color w:val="000000"/>
                <w:sz w:val="20"/>
                <w:szCs w:val="20"/>
                <w:lang w:eastAsia="ru-RU"/>
              </w:rPr>
            </w:pPr>
          </w:p>
        </w:tc>
        <w:tc>
          <w:tcPr>
            <w:tcW w:w="496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left="318" w:firstLine="0"/>
              <w:jc w:val="left"/>
              <w:rPr>
                <w:rFonts w:eastAsia="Times New Roman"/>
                <w:sz w:val="20"/>
                <w:szCs w:val="20"/>
                <w:lang w:eastAsia="ru-RU"/>
              </w:rPr>
            </w:pPr>
            <w:r w:rsidRPr="004761E0">
              <w:rPr>
                <w:rFonts w:eastAsia="Times New Roman"/>
                <w:sz w:val="20"/>
                <w:szCs w:val="20"/>
                <w:lang w:eastAsia="ru-RU"/>
              </w:rPr>
              <w:t>от оказания услуг по передаче электроэнергии</w:t>
            </w:r>
          </w:p>
        </w:tc>
        <w:tc>
          <w:tcPr>
            <w:tcW w:w="99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106 994</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100 280</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110 981</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10,67 %</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1"/>
                <w:numId w:val="197"/>
              </w:numPr>
              <w:jc w:val="left"/>
              <w:rPr>
                <w:rFonts w:eastAsia="Times New Roman"/>
                <w:color w:val="000000"/>
                <w:sz w:val="20"/>
                <w:szCs w:val="20"/>
                <w:lang w:eastAsia="ru-RU"/>
              </w:rPr>
            </w:pPr>
          </w:p>
        </w:tc>
        <w:tc>
          <w:tcPr>
            <w:tcW w:w="496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left="318" w:firstLine="0"/>
              <w:jc w:val="left"/>
              <w:rPr>
                <w:rFonts w:eastAsia="Times New Roman"/>
                <w:sz w:val="20"/>
                <w:szCs w:val="20"/>
                <w:lang w:eastAsia="ru-RU"/>
              </w:rPr>
            </w:pPr>
            <w:r w:rsidRPr="004761E0">
              <w:rPr>
                <w:rFonts w:eastAsia="Times New Roman"/>
                <w:sz w:val="20"/>
                <w:szCs w:val="20"/>
                <w:lang w:eastAsia="ru-RU"/>
              </w:rPr>
              <w:t xml:space="preserve">от оказания услуг по технологическому присоединению </w:t>
            </w:r>
          </w:p>
        </w:tc>
        <w:tc>
          <w:tcPr>
            <w:tcW w:w="99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18 860</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17 386</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13 231</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-23,90 %</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1"/>
                <w:numId w:val="197"/>
              </w:numPr>
              <w:jc w:val="left"/>
              <w:rPr>
                <w:rFonts w:eastAsia="Times New Roman"/>
                <w:color w:val="000000"/>
                <w:sz w:val="20"/>
                <w:szCs w:val="20"/>
                <w:lang w:eastAsia="ru-RU"/>
              </w:rPr>
            </w:pPr>
          </w:p>
        </w:tc>
        <w:tc>
          <w:tcPr>
            <w:tcW w:w="496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left="318" w:firstLine="0"/>
              <w:jc w:val="left"/>
              <w:rPr>
                <w:rFonts w:eastAsia="Times New Roman"/>
                <w:sz w:val="20"/>
                <w:szCs w:val="20"/>
                <w:lang w:eastAsia="ru-RU"/>
              </w:rPr>
            </w:pPr>
            <w:r w:rsidRPr="004761E0">
              <w:rPr>
                <w:rFonts w:eastAsia="Times New Roman"/>
                <w:sz w:val="20"/>
                <w:szCs w:val="20"/>
                <w:lang w:eastAsia="ru-RU"/>
              </w:rPr>
              <w:t>от прочей деятельности</w:t>
            </w:r>
          </w:p>
        </w:tc>
        <w:tc>
          <w:tcPr>
            <w:tcW w:w="99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693</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341</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519</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52,11 %</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numPr>
                <w:ilvl w:val="0"/>
                <w:numId w:val="197"/>
              </w:numPr>
              <w:jc w:val="left"/>
              <w:rPr>
                <w:rFonts w:eastAsia="Times New Roman"/>
                <w:b/>
                <w:color w:val="000000"/>
                <w:sz w:val="20"/>
                <w:szCs w:val="20"/>
                <w:lang w:eastAsia="ru-RU"/>
              </w:rPr>
            </w:pPr>
          </w:p>
        </w:tc>
        <w:tc>
          <w:tcPr>
            <w:tcW w:w="496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left"/>
              <w:rPr>
                <w:rFonts w:eastAsia="Times New Roman"/>
                <w:b/>
                <w:sz w:val="20"/>
                <w:szCs w:val="20"/>
                <w:lang w:eastAsia="ru-RU"/>
              </w:rPr>
            </w:pPr>
            <w:r w:rsidRPr="004761E0">
              <w:rPr>
                <w:rFonts w:eastAsia="Times New Roman"/>
                <w:b/>
                <w:sz w:val="20"/>
                <w:szCs w:val="20"/>
                <w:lang w:eastAsia="ru-RU"/>
              </w:rPr>
              <w:t>Себестоимость, млн руб. без НДС (всего), в т.ч.:</w:t>
            </w:r>
          </w:p>
        </w:tc>
        <w:tc>
          <w:tcPr>
            <w:tcW w:w="99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bCs/>
                <w:color w:val="000000"/>
                <w:sz w:val="20"/>
                <w:szCs w:val="20"/>
                <w:lang w:eastAsia="ru-RU"/>
              </w:rPr>
            </w:pPr>
            <w:r w:rsidRPr="004761E0">
              <w:rPr>
                <w:rFonts w:eastAsia="Times New Roman"/>
                <w:b/>
                <w:bCs/>
                <w:color w:val="000000"/>
                <w:sz w:val="20"/>
                <w:szCs w:val="20"/>
                <w:lang w:eastAsia="ru-RU"/>
              </w:rPr>
              <w:t>101 102</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bCs/>
                <w:color w:val="000000"/>
                <w:sz w:val="20"/>
                <w:szCs w:val="20"/>
                <w:lang w:eastAsia="ru-RU"/>
              </w:rPr>
            </w:pPr>
            <w:r w:rsidRPr="004761E0">
              <w:rPr>
                <w:rFonts w:eastAsia="Times New Roman"/>
                <w:b/>
                <w:bCs/>
                <w:color w:val="000000"/>
                <w:sz w:val="20"/>
                <w:szCs w:val="20"/>
                <w:lang w:eastAsia="ru-RU"/>
              </w:rPr>
              <w:t>92 305</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bCs/>
                <w:color w:val="000000"/>
                <w:sz w:val="20"/>
                <w:szCs w:val="20"/>
                <w:lang w:eastAsia="ru-RU"/>
              </w:rPr>
            </w:pPr>
            <w:r w:rsidRPr="004761E0">
              <w:rPr>
                <w:rFonts w:eastAsia="Times New Roman"/>
                <w:b/>
                <w:bCs/>
                <w:color w:val="000000"/>
                <w:sz w:val="20"/>
                <w:szCs w:val="20"/>
                <w:lang w:eastAsia="ru-RU"/>
              </w:rPr>
              <w:t>103 023</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sz w:val="20"/>
                <w:szCs w:val="20"/>
                <w:lang w:eastAsia="ru-RU"/>
              </w:rPr>
            </w:pPr>
            <w:r w:rsidRPr="004761E0">
              <w:rPr>
                <w:rFonts w:eastAsia="Times New Roman"/>
                <w:b/>
                <w:sz w:val="20"/>
                <w:szCs w:val="20"/>
                <w:lang w:eastAsia="ru-RU"/>
              </w:rPr>
              <w:t>11,61 %</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1"/>
                <w:numId w:val="197"/>
              </w:numPr>
              <w:jc w:val="left"/>
              <w:rPr>
                <w:rFonts w:eastAsia="Times New Roman"/>
                <w:color w:val="000000"/>
                <w:sz w:val="20"/>
                <w:szCs w:val="20"/>
                <w:lang w:eastAsia="ru-RU"/>
              </w:rPr>
            </w:pPr>
          </w:p>
        </w:tc>
        <w:tc>
          <w:tcPr>
            <w:tcW w:w="496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left="318" w:firstLine="0"/>
              <w:jc w:val="left"/>
              <w:rPr>
                <w:rFonts w:eastAsia="Times New Roman"/>
                <w:sz w:val="20"/>
                <w:szCs w:val="20"/>
                <w:lang w:eastAsia="ru-RU"/>
              </w:rPr>
            </w:pPr>
            <w:r w:rsidRPr="004761E0">
              <w:rPr>
                <w:rFonts w:eastAsia="Times New Roman"/>
                <w:sz w:val="20"/>
                <w:szCs w:val="20"/>
                <w:lang w:eastAsia="ru-RU"/>
              </w:rPr>
              <w:t>от оказания услуг по передаче электроэнергии</w:t>
            </w:r>
          </w:p>
        </w:tc>
        <w:tc>
          <w:tcPr>
            <w:tcW w:w="99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96 906</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88 855</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101 891</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14,67 %</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1"/>
                <w:numId w:val="197"/>
              </w:numPr>
              <w:jc w:val="left"/>
              <w:rPr>
                <w:rFonts w:eastAsia="Times New Roman"/>
                <w:color w:val="000000"/>
                <w:sz w:val="20"/>
                <w:szCs w:val="20"/>
                <w:lang w:eastAsia="ru-RU"/>
              </w:rPr>
            </w:pPr>
          </w:p>
        </w:tc>
        <w:tc>
          <w:tcPr>
            <w:tcW w:w="496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left="318" w:firstLine="0"/>
              <w:jc w:val="left"/>
              <w:rPr>
                <w:rFonts w:eastAsia="Times New Roman"/>
                <w:sz w:val="20"/>
                <w:szCs w:val="20"/>
                <w:lang w:eastAsia="ru-RU"/>
              </w:rPr>
            </w:pPr>
            <w:r w:rsidRPr="004761E0">
              <w:rPr>
                <w:rFonts w:eastAsia="Times New Roman"/>
                <w:sz w:val="20"/>
                <w:szCs w:val="20"/>
                <w:lang w:eastAsia="ru-RU"/>
              </w:rPr>
              <w:t xml:space="preserve">от оказания услуг по технологическому присоединению </w:t>
            </w:r>
          </w:p>
        </w:tc>
        <w:tc>
          <w:tcPr>
            <w:tcW w:w="99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3 720</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3 334</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969</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-70,92 %</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1"/>
                <w:numId w:val="197"/>
              </w:numPr>
              <w:jc w:val="left"/>
              <w:rPr>
                <w:rFonts w:eastAsia="Times New Roman"/>
                <w:color w:val="000000"/>
                <w:sz w:val="20"/>
                <w:szCs w:val="20"/>
                <w:lang w:eastAsia="ru-RU"/>
              </w:rPr>
            </w:pPr>
          </w:p>
        </w:tc>
        <w:tc>
          <w:tcPr>
            <w:tcW w:w="496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left="318" w:firstLine="0"/>
              <w:jc w:val="left"/>
              <w:rPr>
                <w:rFonts w:eastAsia="Times New Roman"/>
                <w:sz w:val="20"/>
                <w:szCs w:val="20"/>
                <w:lang w:eastAsia="ru-RU"/>
              </w:rPr>
            </w:pPr>
            <w:r w:rsidRPr="004761E0">
              <w:rPr>
                <w:rFonts w:eastAsia="Times New Roman"/>
                <w:sz w:val="20"/>
                <w:szCs w:val="20"/>
                <w:lang w:eastAsia="ru-RU"/>
              </w:rPr>
              <w:t>от прочей деятельности</w:t>
            </w:r>
          </w:p>
        </w:tc>
        <w:tc>
          <w:tcPr>
            <w:tcW w:w="99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476</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116</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163</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40,29 %</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numPr>
                <w:ilvl w:val="0"/>
                <w:numId w:val="197"/>
              </w:numPr>
              <w:jc w:val="left"/>
              <w:rPr>
                <w:rFonts w:eastAsia="Times New Roman"/>
                <w:b/>
                <w:color w:val="000000"/>
                <w:sz w:val="20"/>
                <w:szCs w:val="20"/>
                <w:lang w:eastAsia="ru-RU"/>
              </w:rPr>
            </w:pPr>
          </w:p>
        </w:tc>
        <w:tc>
          <w:tcPr>
            <w:tcW w:w="496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left"/>
              <w:rPr>
                <w:rFonts w:eastAsia="Times New Roman"/>
                <w:b/>
                <w:sz w:val="20"/>
                <w:szCs w:val="20"/>
                <w:lang w:eastAsia="ru-RU"/>
              </w:rPr>
            </w:pPr>
            <w:r w:rsidRPr="004761E0">
              <w:rPr>
                <w:rFonts w:eastAsia="Times New Roman"/>
                <w:b/>
                <w:sz w:val="20"/>
                <w:szCs w:val="20"/>
                <w:lang w:eastAsia="ru-RU"/>
              </w:rPr>
              <w:t>EBITDA, млн руб. без НДС (всего), в т.ч.:</w:t>
            </w:r>
          </w:p>
        </w:tc>
        <w:tc>
          <w:tcPr>
            <w:tcW w:w="99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bCs/>
                <w:color w:val="000000"/>
                <w:sz w:val="20"/>
                <w:szCs w:val="20"/>
                <w:lang w:eastAsia="ru-RU"/>
              </w:rPr>
            </w:pPr>
            <w:r w:rsidRPr="004761E0">
              <w:rPr>
                <w:rFonts w:eastAsia="Times New Roman"/>
                <w:b/>
                <w:bCs/>
                <w:color w:val="000000"/>
                <w:sz w:val="20"/>
                <w:szCs w:val="20"/>
                <w:lang w:eastAsia="ru-RU"/>
              </w:rPr>
              <w:t>39 578</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bCs/>
                <w:color w:val="000000"/>
                <w:sz w:val="20"/>
                <w:szCs w:val="20"/>
                <w:lang w:eastAsia="ru-RU"/>
              </w:rPr>
            </w:pPr>
            <w:r w:rsidRPr="004761E0">
              <w:rPr>
                <w:rFonts w:eastAsia="Times New Roman"/>
                <w:b/>
                <w:bCs/>
                <w:color w:val="000000"/>
                <w:sz w:val="20"/>
                <w:szCs w:val="20"/>
                <w:lang w:eastAsia="ru-RU"/>
              </w:rPr>
              <w:t>41 212</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bCs/>
                <w:color w:val="000000"/>
                <w:sz w:val="20"/>
                <w:szCs w:val="20"/>
                <w:lang w:eastAsia="ru-RU"/>
              </w:rPr>
            </w:pPr>
            <w:r w:rsidRPr="004761E0">
              <w:rPr>
                <w:rFonts w:eastAsia="Times New Roman"/>
                <w:b/>
                <w:bCs/>
                <w:color w:val="000000"/>
                <w:sz w:val="20"/>
                <w:szCs w:val="20"/>
                <w:lang w:eastAsia="ru-RU"/>
              </w:rPr>
              <w:t>36 430</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sz w:val="20"/>
                <w:szCs w:val="20"/>
                <w:lang w:eastAsia="ru-RU"/>
              </w:rPr>
            </w:pPr>
            <w:r w:rsidRPr="004761E0">
              <w:rPr>
                <w:rFonts w:eastAsia="Times New Roman"/>
                <w:b/>
                <w:sz w:val="20"/>
                <w:szCs w:val="20"/>
                <w:lang w:eastAsia="ru-RU"/>
              </w:rPr>
              <w:t>-11,60 %</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1"/>
                <w:numId w:val="197"/>
              </w:numPr>
              <w:jc w:val="left"/>
              <w:rPr>
                <w:rFonts w:eastAsia="Times New Roman"/>
                <w:color w:val="000000"/>
                <w:sz w:val="20"/>
                <w:szCs w:val="20"/>
                <w:lang w:eastAsia="ru-RU"/>
              </w:rPr>
            </w:pPr>
          </w:p>
        </w:tc>
        <w:tc>
          <w:tcPr>
            <w:tcW w:w="496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left="318" w:firstLine="0"/>
              <w:jc w:val="left"/>
              <w:rPr>
                <w:rFonts w:eastAsia="Times New Roman"/>
                <w:sz w:val="20"/>
                <w:szCs w:val="20"/>
                <w:lang w:eastAsia="ru-RU"/>
              </w:rPr>
            </w:pPr>
            <w:r w:rsidRPr="004761E0">
              <w:rPr>
                <w:rFonts w:eastAsia="Times New Roman"/>
                <w:sz w:val="20"/>
                <w:szCs w:val="20"/>
                <w:lang w:eastAsia="ru-RU"/>
              </w:rPr>
              <w:t>от оказания услуг по передаче электроэнергии</w:t>
            </w:r>
          </w:p>
        </w:tc>
        <w:tc>
          <w:tcPr>
            <w:tcW w:w="99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24 220</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26 934</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32 273</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19,82 %</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1"/>
                <w:numId w:val="197"/>
              </w:numPr>
              <w:jc w:val="left"/>
              <w:rPr>
                <w:rFonts w:eastAsia="Times New Roman"/>
                <w:color w:val="000000"/>
                <w:sz w:val="20"/>
                <w:szCs w:val="20"/>
                <w:lang w:eastAsia="ru-RU"/>
              </w:rPr>
            </w:pPr>
          </w:p>
        </w:tc>
        <w:tc>
          <w:tcPr>
            <w:tcW w:w="496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left="318" w:firstLine="0"/>
              <w:jc w:val="left"/>
              <w:rPr>
                <w:rFonts w:eastAsia="Times New Roman"/>
                <w:sz w:val="20"/>
                <w:szCs w:val="20"/>
                <w:lang w:eastAsia="ru-RU"/>
              </w:rPr>
            </w:pPr>
            <w:r w:rsidRPr="004761E0">
              <w:rPr>
                <w:rFonts w:eastAsia="Times New Roman"/>
                <w:sz w:val="20"/>
                <w:szCs w:val="20"/>
                <w:lang w:eastAsia="ru-RU"/>
              </w:rPr>
              <w:t xml:space="preserve">от оказания услуг по технологическому присоединению </w:t>
            </w:r>
          </w:p>
        </w:tc>
        <w:tc>
          <w:tcPr>
            <w:tcW w:w="99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15 141</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14 052</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3 800</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-72,96 %</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1"/>
                <w:numId w:val="197"/>
              </w:numPr>
              <w:jc w:val="left"/>
              <w:rPr>
                <w:rFonts w:eastAsia="Times New Roman"/>
                <w:color w:val="000000"/>
                <w:sz w:val="20"/>
                <w:szCs w:val="20"/>
                <w:lang w:eastAsia="ru-RU"/>
              </w:rPr>
            </w:pPr>
          </w:p>
        </w:tc>
        <w:tc>
          <w:tcPr>
            <w:tcW w:w="496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left="318" w:firstLine="0"/>
              <w:jc w:val="left"/>
              <w:rPr>
                <w:rFonts w:eastAsia="Times New Roman"/>
                <w:sz w:val="20"/>
                <w:szCs w:val="20"/>
                <w:lang w:eastAsia="ru-RU"/>
              </w:rPr>
            </w:pPr>
            <w:r w:rsidRPr="004761E0">
              <w:rPr>
                <w:rFonts w:eastAsia="Times New Roman"/>
                <w:sz w:val="20"/>
                <w:szCs w:val="20"/>
                <w:lang w:eastAsia="ru-RU"/>
              </w:rPr>
              <w:t>от прочей деятельности</w:t>
            </w:r>
          </w:p>
        </w:tc>
        <w:tc>
          <w:tcPr>
            <w:tcW w:w="99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217</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226</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357</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58,11 %</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numPr>
                <w:ilvl w:val="0"/>
                <w:numId w:val="197"/>
              </w:numPr>
              <w:jc w:val="left"/>
              <w:rPr>
                <w:rFonts w:eastAsia="Times New Roman"/>
                <w:b/>
                <w:color w:val="000000"/>
                <w:sz w:val="20"/>
                <w:szCs w:val="20"/>
                <w:lang w:eastAsia="ru-RU"/>
              </w:rPr>
            </w:pPr>
          </w:p>
        </w:tc>
        <w:tc>
          <w:tcPr>
            <w:tcW w:w="496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left"/>
              <w:rPr>
                <w:rFonts w:eastAsia="Times New Roman"/>
                <w:b/>
                <w:sz w:val="20"/>
                <w:szCs w:val="20"/>
                <w:lang w:eastAsia="ru-RU"/>
              </w:rPr>
            </w:pPr>
            <w:r w:rsidRPr="004761E0">
              <w:rPr>
                <w:rFonts w:eastAsia="Times New Roman"/>
                <w:b/>
                <w:sz w:val="20"/>
                <w:szCs w:val="20"/>
                <w:lang w:eastAsia="ru-RU"/>
              </w:rPr>
              <w:t>Рентабельность по EBITDA, %</w:t>
            </w:r>
          </w:p>
        </w:tc>
        <w:tc>
          <w:tcPr>
            <w:tcW w:w="99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bCs/>
                <w:color w:val="000000"/>
                <w:sz w:val="20"/>
                <w:szCs w:val="20"/>
                <w:lang w:eastAsia="ru-RU"/>
              </w:rPr>
            </w:pPr>
            <w:r w:rsidRPr="004761E0">
              <w:rPr>
                <w:rFonts w:eastAsia="Times New Roman"/>
                <w:b/>
                <w:bCs/>
                <w:color w:val="000000"/>
                <w:sz w:val="20"/>
                <w:szCs w:val="20"/>
                <w:lang w:eastAsia="ru-RU"/>
              </w:rPr>
              <w:t>31,28</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bCs/>
                <w:color w:val="000000"/>
                <w:sz w:val="20"/>
                <w:szCs w:val="20"/>
                <w:lang w:eastAsia="ru-RU"/>
              </w:rPr>
            </w:pPr>
            <w:r w:rsidRPr="004761E0">
              <w:rPr>
                <w:rFonts w:eastAsia="Times New Roman"/>
                <w:b/>
                <w:bCs/>
                <w:color w:val="000000"/>
                <w:sz w:val="20"/>
                <w:szCs w:val="20"/>
                <w:lang w:eastAsia="ru-RU"/>
              </w:rPr>
              <w:t>34,92</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bCs/>
                <w:color w:val="000000"/>
                <w:sz w:val="20"/>
                <w:szCs w:val="20"/>
                <w:lang w:eastAsia="ru-RU"/>
              </w:rPr>
            </w:pPr>
            <w:r w:rsidRPr="004761E0">
              <w:rPr>
                <w:rFonts w:eastAsia="Times New Roman"/>
                <w:b/>
                <w:bCs/>
                <w:color w:val="000000"/>
                <w:sz w:val="20"/>
                <w:szCs w:val="20"/>
                <w:lang w:eastAsia="ru-RU"/>
              </w:rPr>
              <w:t>29,21</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sz w:val="20"/>
                <w:szCs w:val="20"/>
                <w:lang w:eastAsia="ru-RU"/>
              </w:rPr>
            </w:pPr>
            <w:r w:rsidRPr="004761E0">
              <w:rPr>
                <w:rFonts w:eastAsia="Times New Roman"/>
                <w:b/>
                <w:sz w:val="20"/>
                <w:szCs w:val="20"/>
                <w:lang w:eastAsia="ru-RU"/>
              </w:rPr>
              <w:t>-5,72 п.п.</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numPr>
                <w:ilvl w:val="0"/>
                <w:numId w:val="197"/>
              </w:numPr>
              <w:jc w:val="left"/>
              <w:rPr>
                <w:rFonts w:eastAsia="Times New Roman"/>
                <w:b/>
                <w:color w:val="000000"/>
                <w:sz w:val="20"/>
                <w:szCs w:val="20"/>
                <w:lang w:eastAsia="ru-RU"/>
              </w:rPr>
            </w:pPr>
          </w:p>
        </w:tc>
        <w:tc>
          <w:tcPr>
            <w:tcW w:w="496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left"/>
              <w:rPr>
                <w:rFonts w:eastAsia="Times New Roman"/>
                <w:b/>
                <w:sz w:val="20"/>
                <w:szCs w:val="20"/>
                <w:lang w:eastAsia="ru-RU"/>
              </w:rPr>
            </w:pPr>
            <w:r w:rsidRPr="004761E0">
              <w:rPr>
                <w:rFonts w:eastAsia="Times New Roman"/>
                <w:b/>
                <w:sz w:val="20"/>
                <w:szCs w:val="20"/>
                <w:lang w:eastAsia="ru-RU"/>
              </w:rPr>
              <w:t>Чистая прибыль, млн руб. без НДС (всего), в т.ч.:</w:t>
            </w:r>
          </w:p>
        </w:tc>
        <w:tc>
          <w:tcPr>
            <w:tcW w:w="99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bCs/>
                <w:color w:val="000000"/>
                <w:sz w:val="20"/>
                <w:szCs w:val="20"/>
                <w:lang w:eastAsia="ru-RU"/>
              </w:rPr>
            </w:pPr>
            <w:r w:rsidRPr="004761E0">
              <w:rPr>
                <w:rFonts w:eastAsia="Times New Roman"/>
                <w:b/>
                <w:bCs/>
                <w:color w:val="000000"/>
                <w:sz w:val="20"/>
                <w:szCs w:val="20"/>
                <w:lang w:eastAsia="ru-RU"/>
              </w:rPr>
              <w:t>17 053</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bCs/>
                <w:color w:val="000000"/>
                <w:sz w:val="20"/>
                <w:szCs w:val="20"/>
                <w:lang w:eastAsia="ru-RU"/>
              </w:rPr>
            </w:pPr>
            <w:r w:rsidRPr="004761E0">
              <w:rPr>
                <w:rFonts w:eastAsia="Times New Roman"/>
                <w:b/>
                <w:bCs/>
                <w:color w:val="000000"/>
                <w:sz w:val="20"/>
                <w:szCs w:val="20"/>
                <w:lang w:eastAsia="ru-RU"/>
              </w:rPr>
              <w:t>17 184</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bCs/>
                <w:color w:val="000000"/>
                <w:sz w:val="20"/>
                <w:szCs w:val="20"/>
                <w:lang w:eastAsia="ru-RU"/>
              </w:rPr>
            </w:pPr>
            <w:r w:rsidRPr="004761E0">
              <w:rPr>
                <w:rFonts w:eastAsia="Times New Roman"/>
                <w:b/>
                <w:bCs/>
                <w:color w:val="000000"/>
                <w:sz w:val="20"/>
                <w:szCs w:val="20"/>
                <w:lang w:eastAsia="ru-RU"/>
              </w:rPr>
              <w:t>11 641</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sz w:val="20"/>
                <w:szCs w:val="20"/>
                <w:lang w:eastAsia="ru-RU"/>
              </w:rPr>
            </w:pPr>
            <w:r w:rsidRPr="004761E0">
              <w:rPr>
                <w:rFonts w:eastAsia="Times New Roman"/>
                <w:b/>
                <w:sz w:val="20"/>
                <w:szCs w:val="20"/>
                <w:lang w:eastAsia="ru-RU"/>
              </w:rPr>
              <w:t>-32,26 %</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1"/>
                <w:numId w:val="197"/>
              </w:numPr>
              <w:jc w:val="left"/>
              <w:rPr>
                <w:rFonts w:eastAsia="Times New Roman"/>
                <w:color w:val="000000"/>
                <w:sz w:val="20"/>
                <w:szCs w:val="20"/>
                <w:lang w:eastAsia="ru-RU"/>
              </w:rPr>
            </w:pPr>
          </w:p>
        </w:tc>
        <w:tc>
          <w:tcPr>
            <w:tcW w:w="496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left="318" w:firstLine="0"/>
              <w:jc w:val="left"/>
              <w:rPr>
                <w:rFonts w:eastAsia="Times New Roman"/>
                <w:sz w:val="20"/>
                <w:szCs w:val="20"/>
                <w:lang w:eastAsia="ru-RU"/>
              </w:rPr>
            </w:pPr>
            <w:r w:rsidRPr="004761E0">
              <w:rPr>
                <w:rFonts w:eastAsia="Times New Roman"/>
                <w:sz w:val="20"/>
                <w:szCs w:val="20"/>
                <w:lang w:eastAsia="ru-RU"/>
              </w:rPr>
              <w:t>от оказания услуг по передаче электроэнергии</w:t>
            </w:r>
          </w:p>
        </w:tc>
        <w:tc>
          <w:tcPr>
            <w:tcW w:w="99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4 768</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5 762</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8 316</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44,33 %</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1"/>
                <w:numId w:val="197"/>
              </w:numPr>
              <w:jc w:val="left"/>
              <w:rPr>
                <w:rFonts w:eastAsia="Times New Roman"/>
                <w:color w:val="000000"/>
                <w:sz w:val="20"/>
                <w:szCs w:val="20"/>
                <w:lang w:eastAsia="ru-RU"/>
              </w:rPr>
            </w:pPr>
          </w:p>
        </w:tc>
        <w:tc>
          <w:tcPr>
            <w:tcW w:w="496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left="318" w:firstLine="0"/>
              <w:jc w:val="left"/>
              <w:rPr>
                <w:rFonts w:eastAsia="Times New Roman"/>
                <w:sz w:val="20"/>
                <w:szCs w:val="20"/>
                <w:lang w:eastAsia="ru-RU"/>
              </w:rPr>
            </w:pPr>
            <w:r w:rsidRPr="004761E0">
              <w:rPr>
                <w:rFonts w:eastAsia="Times New Roman"/>
                <w:sz w:val="20"/>
                <w:szCs w:val="20"/>
                <w:lang w:eastAsia="ru-RU"/>
              </w:rPr>
              <w:t xml:space="preserve">от оказания услуг по технологическому присоединению </w:t>
            </w:r>
          </w:p>
        </w:tc>
        <w:tc>
          <w:tcPr>
            <w:tcW w:w="99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12 111</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11 242</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3 040</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-72,96 %</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1"/>
                <w:numId w:val="197"/>
              </w:numPr>
              <w:jc w:val="left"/>
              <w:rPr>
                <w:rFonts w:eastAsia="Times New Roman"/>
                <w:color w:val="000000"/>
                <w:sz w:val="20"/>
                <w:szCs w:val="20"/>
                <w:lang w:eastAsia="ru-RU"/>
              </w:rPr>
            </w:pPr>
          </w:p>
        </w:tc>
        <w:tc>
          <w:tcPr>
            <w:tcW w:w="496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left="318" w:firstLine="0"/>
              <w:jc w:val="left"/>
              <w:rPr>
                <w:rFonts w:eastAsia="Times New Roman"/>
                <w:sz w:val="20"/>
                <w:szCs w:val="20"/>
                <w:lang w:eastAsia="ru-RU"/>
              </w:rPr>
            </w:pPr>
            <w:r w:rsidRPr="004761E0">
              <w:rPr>
                <w:rFonts w:eastAsia="Times New Roman"/>
                <w:sz w:val="20"/>
                <w:szCs w:val="20"/>
                <w:lang w:eastAsia="ru-RU"/>
              </w:rPr>
              <w:t>от прочей деятельности</w:t>
            </w:r>
          </w:p>
        </w:tc>
        <w:tc>
          <w:tcPr>
            <w:tcW w:w="99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174</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180</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285</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58,18 %</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3429ED" w:rsidRPr="004761E0" w:rsidRDefault="003429ED" w:rsidP="007076A7">
            <w:pPr>
              <w:numPr>
                <w:ilvl w:val="0"/>
                <w:numId w:val="197"/>
              </w:numPr>
              <w:jc w:val="left"/>
              <w:rPr>
                <w:rFonts w:eastAsia="Times New Roman"/>
                <w:b/>
                <w:color w:val="000000"/>
                <w:sz w:val="20"/>
                <w:szCs w:val="20"/>
                <w:lang w:eastAsia="ru-RU"/>
              </w:rPr>
            </w:pPr>
          </w:p>
        </w:tc>
        <w:tc>
          <w:tcPr>
            <w:tcW w:w="496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left"/>
              <w:rPr>
                <w:rFonts w:eastAsia="Times New Roman"/>
                <w:b/>
                <w:sz w:val="20"/>
                <w:szCs w:val="20"/>
                <w:lang w:eastAsia="ru-RU"/>
              </w:rPr>
            </w:pPr>
            <w:r w:rsidRPr="004761E0">
              <w:rPr>
                <w:rFonts w:eastAsia="Times New Roman"/>
                <w:b/>
                <w:sz w:val="20"/>
                <w:szCs w:val="20"/>
                <w:lang w:eastAsia="ru-RU"/>
              </w:rPr>
              <w:t>Рентабельность по чистой прибыли, %</w:t>
            </w:r>
          </w:p>
        </w:tc>
        <w:tc>
          <w:tcPr>
            <w:tcW w:w="992"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bCs/>
                <w:color w:val="000000"/>
                <w:sz w:val="20"/>
                <w:szCs w:val="20"/>
                <w:lang w:eastAsia="ru-RU"/>
              </w:rPr>
            </w:pPr>
            <w:r w:rsidRPr="004761E0">
              <w:rPr>
                <w:rFonts w:eastAsia="Times New Roman"/>
                <w:b/>
                <w:bCs/>
                <w:color w:val="000000"/>
                <w:sz w:val="20"/>
                <w:szCs w:val="20"/>
                <w:lang w:eastAsia="ru-RU"/>
              </w:rPr>
              <w:t>13,48</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bCs/>
                <w:color w:val="000000"/>
                <w:sz w:val="20"/>
                <w:szCs w:val="20"/>
                <w:lang w:eastAsia="ru-RU"/>
              </w:rPr>
            </w:pPr>
            <w:r w:rsidRPr="004761E0">
              <w:rPr>
                <w:rFonts w:eastAsia="Times New Roman"/>
                <w:b/>
                <w:bCs/>
                <w:color w:val="000000"/>
                <w:sz w:val="20"/>
                <w:szCs w:val="20"/>
                <w:lang w:eastAsia="ru-RU"/>
              </w:rPr>
              <w:t>14,56</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bCs/>
                <w:color w:val="000000"/>
                <w:sz w:val="20"/>
                <w:szCs w:val="20"/>
                <w:lang w:eastAsia="ru-RU"/>
              </w:rPr>
            </w:pPr>
            <w:r w:rsidRPr="004761E0">
              <w:rPr>
                <w:rFonts w:eastAsia="Times New Roman"/>
                <w:b/>
                <w:bCs/>
                <w:color w:val="000000"/>
                <w:sz w:val="20"/>
                <w:szCs w:val="20"/>
                <w:lang w:eastAsia="ru-RU"/>
              </w:rPr>
              <w:t>9,33</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sz w:val="20"/>
                <w:szCs w:val="20"/>
                <w:lang w:eastAsia="ru-RU"/>
              </w:rPr>
            </w:pPr>
            <w:r w:rsidRPr="004761E0">
              <w:rPr>
                <w:rFonts w:eastAsia="Times New Roman"/>
                <w:b/>
                <w:sz w:val="20"/>
                <w:szCs w:val="20"/>
                <w:lang w:eastAsia="ru-RU"/>
              </w:rPr>
              <w:t>-5,23 п.п.</w:t>
            </w:r>
          </w:p>
        </w:tc>
      </w:tr>
    </w:tbl>
    <w:p w:rsidR="00193A23" w:rsidRPr="004761E0" w:rsidRDefault="00193A23" w:rsidP="00193A23">
      <w:pPr>
        <w:ind w:firstLine="567"/>
        <w:rPr>
          <w:sz w:val="26"/>
          <w:szCs w:val="26"/>
          <w:lang w:eastAsia="ru-RU"/>
        </w:rPr>
      </w:pPr>
      <w:r>
        <w:rPr>
          <w:sz w:val="26"/>
          <w:szCs w:val="26"/>
          <w:lang w:eastAsia="ru-RU"/>
        </w:rPr>
        <w:t>Аналогичные д</w:t>
      </w:r>
      <w:r w:rsidRPr="004761E0">
        <w:rPr>
          <w:sz w:val="26"/>
          <w:szCs w:val="26"/>
          <w:lang w:eastAsia="ru-RU"/>
        </w:rPr>
        <w:t>анные в разбивке на г. Москву и Московскую область представлены в Приложении</w:t>
      </w:r>
      <w:r>
        <w:rPr>
          <w:sz w:val="26"/>
          <w:szCs w:val="26"/>
          <w:lang w:eastAsia="ru-RU"/>
        </w:rPr>
        <w:t xml:space="preserve"> 12.</w:t>
      </w:r>
      <w:r w:rsidR="003146BC">
        <w:rPr>
          <w:sz w:val="26"/>
          <w:szCs w:val="26"/>
          <w:lang w:eastAsia="ru-RU"/>
        </w:rPr>
        <w:t>1</w:t>
      </w:r>
      <w:r>
        <w:rPr>
          <w:sz w:val="26"/>
          <w:szCs w:val="26"/>
          <w:lang w:eastAsia="ru-RU"/>
        </w:rPr>
        <w:t>.</w:t>
      </w:r>
      <w:r w:rsidRPr="004761E0">
        <w:rPr>
          <w:sz w:val="26"/>
          <w:szCs w:val="26"/>
          <w:lang w:eastAsia="ru-RU"/>
        </w:rPr>
        <w:t xml:space="preserve"> к Годовому отчету.</w:t>
      </w:r>
    </w:p>
    <w:p w:rsidR="00193A23" w:rsidRPr="004761E0" w:rsidRDefault="00193A23" w:rsidP="003429ED">
      <w:pPr>
        <w:pStyle w:val="a5"/>
        <w:spacing w:before="120"/>
        <w:ind w:left="0" w:firstLine="0"/>
        <w:contextualSpacing w:val="0"/>
        <w:rPr>
          <w:sz w:val="26"/>
          <w:szCs w:val="26"/>
        </w:rPr>
      </w:pPr>
      <w:r w:rsidRPr="00193A23">
        <w:rPr>
          <w:noProof/>
          <w:sz w:val="26"/>
          <w:szCs w:val="26"/>
          <w:lang w:eastAsia="ru-RU"/>
        </w:rPr>
        <w:drawing>
          <wp:inline distT="0" distB="0" distL="0" distR="0">
            <wp:extent cx="6300470" cy="2613914"/>
            <wp:effectExtent l="19050" t="0" r="24130" b="0"/>
            <wp:docPr id="299" name="Диаграмма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3429ED" w:rsidRPr="004761E0" w:rsidRDefault="003429ED" w:rsidP="003429ED">
      <w:pPr>
        <w:pStyle w:val="a5"/>
        <w:spacing w:before="120" w:after="120"/>
        <w:ind w:left="0" w:firstLine="567"/>
        <w:contextualSpacing w:val="0"/>
        <w:rPr>
          <w:b/>
          <w:sz w:val="26"/>
          <w:szCs w:val="26"/>
        </w:rPr>
      </w:pPr>
      <w:r w:rsidRPr="004761E0">
        <w:rPr>
          <w:b/>
          <w:sz w:val="26"/>
          <w:szCs w:val="26"/>
        </w:rPr>
        <w:t>Выручка</w:t>
      </w:r>
    </w:p>
    <w:p w:rsidR="003429ED" w:rsidRPr="004761E0" w:rsidRDefault="003429ED" w:rsidP="003429ED">
      <w:pPr>
        <w:ind w:firstLine="567"/>
        <w:rPr>
          <w:rFonts w:eastAsia="Times New Roman"/>
          <w:sz w:val="26"/>
          <w:szCs w:val="26"/>
          <w:lang w:eastAsia="ru-RU"/>
        </w:rPr>
      </w:pPr>
      <w:r w:rsidRPr="004761E0">
        <w:rPr>
          <w:rFonts w:eastAsia="Times New Roman"/>
          <w:sz w:val="26"/>
          <w:szCs w:val="26"/>
          <w:lang w:eastAsia="ru-RU"/>
        </w:rPr>
        <w:t>По итогам 2013 года Компании удалось достигнуть роста выручки: данный показатель достиг 124,73 млрд руб., что на 5,7 % превышает результат 2012 года. В частности, выручка от оказания услуг по передаче электроэнергии выросла на 10,67</w:t>
      </w:r>
      <w:r w:rsidR="006C1AA1">
        <w:rPr>
          <w:rFonts w:eastAsia="Times New Roman"/>
          <w:sz w:val="26"/>
          <w:szCs w:val="26"/>
          <w:lang w:eastAsia="ru-RU"/>
        </w:rPr>
        <w:t> </w:t>
      </w:r>
      <w:r w:rsidRPr="004761E0">
        <w:rPr>
          <w:rFonts w:eastAsia="Times New Roman"/>
          <w:sz w:val="26"/>
          <w:szCs w:val="26"/>
          <w:lang w:eastAsia="ru-RU"/>
        </w:rPr>
        <w:t xml:space="preserve">% и составила 110,98 млрд руб., а выручка от оказания услуг по технологическому присоединению сократилась на 23,90 % до 13,23 млрд руб. </w:t>
      </w:r>
    </w:p>
    <w:p w:rsidR="005D6DA1" w:rsidRPr="005D6DA1" w:rsidRDefault="005D6DA1" w:rsidP="005D6DA1">
      <w:pPr>
        <w:ind w:firstLine="567"/>
        <w:rPr>
          <w:rFonts w:eastAsia="Times New Roman"/>
          <w:sz w:val="26"/>
          <w:szCs w:val="26"/>
          <w:lang w:eastAsia="ru-RU"/>
        </w:rPr>
      </w:pPr>
      <w:r w:rsidRPr="004761E0">
        <w:rPr>
          <w:rFonts w:eastAsia="Times New Roman"/>
          <w:sz w:val="26"/>
          <w:szCs w:val="26"/>
          <w:lang w:eastAsia="ru-RU"/>
        </w:rPr>
        <w:t xml:space="preserve">Позитивная динамика выручки от услуг по передаче электроэнергии связана с ростом полезного отпуска: по итогам 2013 года полезный отпуск «котловой» увеличился на </w:t>
      </w:r>
      <w:r>
        <w:rPr>
          <w:rFonts w:eastAsia="Times New Roman"/>
          <w:sz w:val="26"/>
          <w:szCs w:val="26"/>
          <w:lang w:eastAsia="ru-RU"/>
        </w:rPr>
        <w:t xml:space="preserve">2,96 </w:t>
      </w:r>
      <w:r w:rsidRPr="004761E0">
        <w:rPr>
          <w:rFonts w:eastAsia="Times New Roman"/>
          <w:sz w:val="26"/>
          <w:szCs w:val="26"/>
          <w:lang w:eastAsia="ru-RU"/>
        </w:rPr>
        <w:t xml:space="preserve">% </w:t>
      </w:r>
      <w:r w:rsidRPr="005D6DA1">
        <w:rPr>
          <w:rFonts w:eastAsia="Times New Roman"/>
          <w:sz w:val="26"/>
          <w:szCs w:val="26"/>
          <w:lang w:eastAsia="ru-RU"/>
        </w:rPr>
        <w:t xml:space="preserve">за счет роста электропотребления (подробнее – раздел «Передача и </w:t>
      </w:r>
      <w:r w:rsidRPr="005D6DA1">
        <w:rPr>
          <w:rFonts w:eastAsia="Times New Roman"/>
          <w:sz w:val="26"/>
          <w:szCs w:val="26"/>
          <w:lang w:eastAsia="ru-RU"/>
        </w:rPr>
        <w:lastRenderedPageBreak/>
        <w:t xml:space="preserve">распределение электроэнергии») и реализации мероприятий по снижению потерь электроэнергии. </w:t>
      </w:r>
    </w:p>
    <w:p w:rsidR="009D3AEB" w:rsidRPr="009D3AEB" w:rsidRDefault="009D3AEB" w:rsidP="003429ED">
      <w:pPr>
        <w:ind w:firstLine="567"/>
        <w:rPr>
          <w:sz w:val="26"/>
          <w:szCs w:val="26"/>
        </w:rPr>
      </w:pPr>
      <w:r w:rsidRPr="005D6DA1">
        <w:rPr>
          <w:sz w:val="26"/>
          <w:szCs w:val="26"/>
        </w:rPr>
        <w:t>Снижение</w:t>
      </w:r>
      <w:r w:rsidRPr="009D3AEB">
        <w:rPr>
          <w:sz w:val="26"/>
          <w:szCs w:val="26"/>
        </w:rPr>
        <w:t xml:space="preserve"> выручки от оказания услуг по технологическому присоединению связано с изменением нормативно-правовых актов, регламентирующих деятельность по технологическому присоединению. С 01.01.2011 в состав платы за технологическое присоединение включаются расходы только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 Ранее в составе платы за технологическое присоединение учитывались расходы на реконструкцию питающей и распределительной сети.</w:t>
      </w:r>
    </w:p>
    <w:p w:rsidR="003429ED" w:rsidRPr="004761E0" w:rsidRDefault="009D3AEB" w:rsidP="003429ED">
      <w:pPr>
        <w:ind w:firstLine="567"/>
        <w:rPr>
          <w:rFonts w:eastAsia="Times New Roman"/>
          <w:sz w:val="26"/>
          <w:szCs w:val="26"/>
          <w:lang w:eastAsia="ru-RU"/>
        </w:rPr>
      </w:pPr>
      <w:r>
        <w:rPr>
          <w:sz w:val="22"/>
          <w:szCs w:val="22"/>
        </w:rPr>
        <w:t>У</w:t>
      </w:r>
      <w:r w:rsidR="003429ED" w:rsidRPr="004761E0">
        <w:rPr>
          <w:rFonts w:eastAsia="Times New Roman"/>
          <w:sz w:val="26"/>
          <w:szCs w:val="26"/>
          <w:lang w:eastAsia="ru-RU"/>
        </w:rPr>
        <w:t>величение выручки от прочей деятельности на 52,11 % до 0,52 млрд руб. обусловлено развитием нерегулируемых услуг (подробнее о видах развиваемых нерегулируемых услуг – раздел «Клиентская политика»).</w:t>
      </w:r>
    </w:p>
    <w:p w:rsidR="003429ED" w:rsidRPr="004761E0" w:rsidRDefault="003429ED" w:rsidP="003429ED">
      <w:pPr>
        <w:pStyle w:val="a5"/>
        <w:spacing w:before="120"/>
        <w:ind w:left="0" w:firstLine="0"/>
        <w:contextualSpacing w:val="0"/>
        <w:rPr>
          <w:sz w:val="26"/>
          <w:szCs w:val="26"/>
        </w:rPr>
      </w:pPr>
      <w:r w:rsidRPr="004761E0">
        <w:rPr>
          <w:noProof/>
          <w:sz w:val="26"/>
          <w:szCs w:val="26"/>
          <w:lang w:eastAsia="ru-RU"/>
        </w:rPr>
        <w:drawing>
          <wp:inline distT="0" distB="0" distL="0" distR="0">
            <wp:extent cx="2764465" cy="3200400"/>
            <wp:effectExtent l="19050" t="0" r="16835" b="0"/>
            <wp:docPr id="288" name="Диаграмма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Pr="004761E0">
        <w:rPr>
          <w:sz w:val="26"/>
          <w:szCs w:val="26"/>
        </w:rPr>
        <w:t xml:space="preserve"> </w:t>
      </w:r>
      <w:r w:rsidRPr="004761E0">
        <w:rPr>
          <w:noProof/>
          <w:sz w:val="26"/>
          <w:szCs w:val="26"/>
          <w:lang w:eastAsia="ru-RU"/>
        </w:rPr>
        <w:drawing>
          <wp:inline distT="0" distB="0" distL="0" distR="0">
            <wp:extent cx="2764465" cy="3200400"/>
            <wp:effectExtent l="19050" t="0" r="16835" b="0"/>
            <wp:docPr id="289" name="Диаграмма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3429ED" w:rsidRPr="004761E0" w:rsidRDefault="003429ED" w:rsidP="003429ED">
      <w:pPr>
        <w:spacing w:before="120" w:after="120"/>
        <w:ind w:firstLine="567"/>
        <w:rPr>
          <w:b/>
          <w:sz w:val="26"/>
          <w:szCs w:val="26"/>
        </w:rPr>
      </w:pPr>
      <w:r w:rsidRPr="004761E0">
        <w:rPr>
          <w:b/>
          <w:sz w:val="26"/>
          <w:szCs w:val="26"/>
        </w:rPr>
        <w:t>Структура выручки от оказания услуг по передаче электроэнергии по группам потребителей</w:t>
      </w:r>
    </w:p>
    <w:tbl>
      <w:tblPr>
        <w:tblW w:w="10340" w:type="dxa"/>
        <w:tblInd w:w="95" w:type="dxa"/>
        <w:tblLook w:val="04A0"/>
      </w:tblPr>
      <w:tblGrid>
        <w:gridCol w:w="580"/>
        <w:gridCol w:w="4409"/>
        <w:gridCol w:w="867"/>
        <w:gridCol w:w="1036"/>
        <w:gridCol w:w="1036"/>
        <w:gridCol w:w="1122"/>
        <w:gridCol w:w="1290"/>
      </w:tblGrid>
      <w:tr w:rsidR="003429ED" w:rsidRPr="004761E0" w:rsidTr="003429ED">
        <w:trPr>
          <w:trHeight w:val="662"/>
        </w:trPr>
        <w:tc>
          <w:tcPr>
            <w:tcW w:w="580"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4409"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867"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036"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036"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22"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c>
          <w:tcPr>
            <w:tcW w:w="1290"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tcPr>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Справочно: полезный отпуск 2013/2012</w:t>
            </w:r>
          </w:p>
        </w:tc>
      </w:tr>
      <w:tr w:rsidR="003429ED" w:rsidRPr="004761E0" w:rsidTr="003429ED">
        <w:trPr>
          <w:trHeight w:val="300"/>
        </w:trPr>
        <w:tc>
          <w:tcPr>
            <w:tcW w:w="4989" w:type="dxa"/>
            <w:gridSpan w:val="2"/>
            <w:tcBorders>
              <w:top w:val="single" w:sz="4" w:space="0" w:color="FFFFFF" w:themeColor="background1"/>
              <w:left w:val="single" w:sz="4" w:space="0" w:color="auto"/>
              <w:bottom w:val="single" w:sz="4" w:space="0" w:color="auto"/>
              <w:right w:val="single" w:sz="4" w:space="0" w:color="auto"/>
            </w:tcBorders>
            <w:shd w:val="clear" w:color="auto" w:fill="auto"/>
            <w:vAlign w:val="center"/>
            <w:hideMark/>
          </w:tcPr>
          <w:p w:rsidR="003429ED" w:rsidRPr="004761E0" w:rsidRDefault="003429ED" w:rsidP="003429ED">
            <w:pPr>
              <w:ind w:firstLine="0"/>
              <w:jc w:val="left"/>
              <w:rPr>
                <w:rFonts w:eastAsia="Times New Roman"/>
                <w:sz w:val="20"/>
                <w:szCs w:val="20"/>
                <w:lang w:eastAsia="ru-RU"/>
              </w:rPr>
            </w:pPr>
            <w:r w:rsidRPr="004761E0">
              <w:rPr>
                <w:rFonts w:eastAsia="Times New Roman"/>
                <w:sz w:val="20"/>
                <w:szCs w:val="20"/>
                <w:lang w:eastAsia="ru-RU"/>
              </w:rPr>
              <w:t>Выручка от оказания услуг по передаче электроэнергии, млн руб. без НДС (всего), в т.ч.:</w:t>
            </w:r>
          </w:p>
        </w:tc>
        <w:tc>
          <w:tcPr>
            <w:tcW w:w="867" w:type="dxa"/>
            <w:tcBorders>
              <w:top w:val="single" w:sz="4" w:space="0" w:color="FFFFFF" w:themeColor="background1"/>
              <w:left w:val="nil"/>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106 994</w:t>
            </w:r>
          </w:p>
        </w:tc>
        <w:tc>
          <w:tcPr>
            <w:tcW w:w="1036" w:type="dxa"/>
            <w:tcBorders>
              <w:top w:val="single" w:sz="4" w:space="0" w:color="FFFFFF" w:themeColor="background1"/>
              <w:left w:val="nil"/>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100 280</w:t>
            </w:r>
          </w:p>
        </w:tc>
        <w:tc>
          <w:tcPr>
            <w:tcW w:w="1036" w:type="dxa"/>
            <w:tcBorders>
              <w:top w:val="single" w:sz="4" w:space="0" w:color="FFFFFF" w:themeColor="background1"/>
              <w:left w:val="nil"/>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110 981</w:t>
            </w:r>
          </w:p>
        </w:tc>
        <w:tc>
          <w:tcPr>
            <w:tcW w:w="1122" w:type="dxa"/>
            <w:tcBorders>
              <w:top w:val="single" w:sz="4" w:space="0" w:color="FFFFFF" w:themeColor="background1"/>
              <w:left w:val="nil"/>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10,67 %</w:t>
            </w:r>
          </w:p>
        </w:tc>
        <w:tc>
          <w:tcPr>
            <w:tcW w:w="1290" w:type="dxa"/>
            <w:tcBorders>
              <w:top w:val="single" w:sz="4" w:space="0" w:color="FFFFFF" w:themeColor="background1"/>
              <w:left w:val="nil"/>
              <w:bottom w:val="single" w:sz="4" w:space="0" w:color="auto"/>
              <w:right w:val="single" w:sz="4" w:space="0" w:color="auto"/>
            </w:tcBorders>
            <w:shd w:val="clear" w:color="auto" w:fill="D9D9D9" w:themeFill="background1" w:themeFillShade="D9"/>
            <w:vAlign w:val="center"/>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r>
      <w:tr w:rsidR="003429ED" w:rsidRPr="004761E0" w:rsidTr="003429ED">
        <w:trPr>
          <w:trHeight w:val="300"/>
        </w:trPr>
        <w:tc>
          <w:tcPr>
            <w:tcW w:w="10340" w:type="dxa"/>
            <w:gridSpan w:val="7"/>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3429ED" w:rsidRPr="004761E0" w:rsidRDefault="003429ED" w:rsidP="007076A7">
            <w:pPr>
              <w:pStyle w:val="a5"/>
              <w:numPr>
                <w:ilvl w:val="0"/>
                <w:numId w:val="163"/>
              </w:numPr>
              <w:jc w:val="left"/>
              <w:rPr>
                <w:rFonts w:eastAsia="Times New Roman"/>
                <w:color w:val="000000"/>
                <w:sz w:val="20"/>
                <w:szCs w:val="20"/>
                <w:lang w:eastAsia="ru-RU"/>
              </w:rPr>
            </w:pPr>
            <w:r w:rsidRPr="004761E0">
              <w:rPr>
                <w:b/>
                <w:sz w:val="20"/>
                <w:szCs w:val="26"/>
                <w:lang w:eastAsia="ru-RU"/>
              </w:rPr>
              <w:t xml:space="preserve">По </w:t>
            </w:r>
            <w:r w:rsidR="001434B7">
              <w:rPr>
                <w:b/>
                <w:sz w:val="20"/>
                <w:szCs w:val="26"/>
                <w:lang w:eastAsia="ru-RU"/>
              </w:rPr>
              <w:t>категориям потребителей</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3429ED" w:rsidRPr="004761E0" w:rsidRDefault="003429ED" w:rsidP="007076A7">
            <w:pPr>
              <w:pStyle w:val="a5"/>
              <w:numPr>
                <w:ilvl w:val="1"/>
                <w:numId w:val="285"/>
              </w:numPr>
              <w:ind w:left="0" w:firstLine="0"/>
              <w:jc w:val="left"/>
              <w:rPr>
                <w:rFonts w:eastAsia="Times New Roman"/>
                <w:color w:val="000000"/>
                <w:sz w:val="20"/>
                <w:szCs w:val="20"/>
                <w:lang w:eastAsia="ru-RU"/>
              </w:rPr>
            </w:pPr>
          </w:p>
        </w:tc>
        <w:tc>
          <w:tcPr>
            <w:tcW w:w="4409" w:type="dxa"/>
            <w:tcBorders>
              <w:top w:val="nil"/>
              <w:left w:val="nil"/>
              <w:bottom w:val="single" w:sz="4" w:space="0" w:color="auto"/>
              <w:right w:val="single" w:sz="4" w:space="0" w:color="auto"/>
            </w:tcBorders>
            <w:shd w:val="clear" w:color="auto" w:fill="auto"/>
            <w:vAlign w:val="center"/>
            <w:hideMark/>
          </w:tcPr>
          <w:p w:rsidR="003429ED" w:rsidRPr="004761E0" w:rsidRDefault="003429ED" w:rsidP="003429ED">
            <w:pPr>
              <w:ind w:left="332" w:firstLine="0"/>
              <w:jc w:val="left"/>
              <w:rPr>
                <w:rFonts w:eastAsia="Times New Roman"/>
                <w:sz w:val="20"/>
                <w:szCs w:val="20"/>
                <w:lang w:eastAsia="ru-RU"/>
              </w:rPr>
            </w:pPr>
            <w:r w:rsidRPr="004761E0">
              <w:rPr>
                <w:rFonts w:eastAsia="Times New Roman"/>
                <w:sz w:val="20"/>
                <w:szCs w:val="20"/>
                <w:lang w:eastAsia="ru-RU"/>
              </w:rPr>
              <w:t>гарантирующие поставщики</w:t>
            </w:r>
          </w:p>
        </w:tc>
        <w:tc>
          <w:tcPr>
            <w:tcW w:w="867" w:type="dxa"/>
            <w:tcBorders>
              <w:top w:val="nil"/>
              <w:left w:val="nil"/>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102 660</w:t>
            </w:r>
          </w:p>
        </w:tc>
        <w:tc>
          <w:tcPr>
            <w:tcW w:w="1036" w:type="dxa"/>
            <w:tcBorders>
              <w:top w:val="nil"/>
              <w:left w:val="nil"/>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96 062</w:t>
            </w:r>
          </w:p>
        </w:tc>
        <w:tc>
          <w:tcPr>
            <w:tcW w:w="1036" w:type="dxa"/>
            <w:tcBorders>
              <w:top w:val="nil"/>
              <w:left w:val="nil"/>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107 461</w:t>
            </w:r>
          </w:p>
        </w:tc>
        <w:tc>
          <w:tcPr>
            <w:tcW w:w="1122" w:type="dxa"/>
            <w:tcBorders>
              <w:top w:val="nil"/>
              <w:left w:val="nil"/>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11,87 %</w:t>
            </w:r>
          </w:p>
        </w:tc>
        <w:tc>
          <w:tcPr>
            <w:tcW w:w="1290" w:type="dxa"/>
            <w:tcBorders>
              <w:top w:val="nil"/>
              <w:left w:val="nil"/>
              <w:bottom w:val="single" w:sz="4" w:space="0" w:color="auto"/>
              <w:right w:val="single" w:sz="4" w:space="0" w:color="auto"/>
            </w:tcBorders>
            <w:shd w:val="clear" w:color="auto" w:fill="D9D9D9" w:themeFill="background1" w:themeFillShade="D9"/>
            <w:vAlign w:val="center"/>
          </w:tcPr>
          <w:p w:rsidR="003429ED" w:rsidRPr="004761E0" w:rsidRDefault="003429ED" w:rsidP="003429ED">
            <w:pPr>
              <w:ind w:firstLine="0"/>
              <w:jc w:val="right"/>
              <w:rPr>
                <w:color w:val="000000"/>
                <w:sz w:val="20"/>
                <w:szCs w:val="20"/>
              </w:rPr>
            </w:pPr>
            <w:r w:rsidRPr="004761E0">
              <w:rPr>
                <w:color w:val="000000"/>
                <w:sz w:val="20"/>
                <w:szCs w:val="20"/>
              </w:rPr>
              <w:t>3,86 %</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3429ED" w:rsidRPr="004761E0" w:rsidRDefault="003429ED" w:rsidP="007076A7">
            <w:pPr>
              <w:pStyle w:val="a5"/>
              <w:numPr>
                <w:ilvl w:val="1"/>
                <w:numId w:val="285"/>
              </w:numPr>
              <w:ind w:left="0" w:firstLine="0"/>
              <w:jc w:val="left"/>
              <w:rPr>
                <w:rFonts w:eastAsia="Times New Roman"/>
                <w:color w:val="000000"/>
                <w:sz w:val="20"/>
                <w:szCs w:val="20"/>
                <w:lang w:eastAsia="ru-RU"/>
              </w:rPr>
            </w:pPr>
          </w:p>
        </w:tc>
        <w:tc>
          <w:tcPr>
            <w:tcW w:w="4409" w:type="dxa"/>
            <w:tcBorders>
              <w:top w:val="nil"/>
              <w:left w:val="nil"/>
              <w:bottom w:val="single" w:sz="4" w:space="0" w:color="auto"/>
              <w:right w:val="single" w:sz="4" w:space="0" w:color="auto"/>
            </w:tcBorders>
            <w:shd w:val="clear" w:color="auto" w:fill="auto"/>
            <w:vAlign w:val="center"/>
            <w:hideMark/>
          </w:tcPr>
          <w:p w:rsidR="003429ED" w:rsidRPr="004761E0" w:rsidRDefault="003429ED" w:rsidP="003429ED">
            <w:pPr>
              <w:ind w:left="332" w:firstLine="0"/>
              <w:jc w:val="left"/>
              <w:rPr>
                <w:rFonts w:eastAsia="Times New Roman"/>
                <w:sz w:val="20"/>
                <w:szCs w:val="20"/>
                <w:lang w:eastAsia="ru-RU"/>
              </w:rPr>
            </w:pPr>
            <w:r w:rsidRPr="004761E0">
              <w:rPr>
                <w:rFonts w:eastAsia="Times New Roman"/>
                <w:sz w:val="20"/>
                <w:szCs w:val="20"/>
                <w:lang w:eastAsia="ru-RU"/>
              </w:rPr>
              <w:t>энергосбытовые организации</w:t>
            </w:r>
          </w:p>
        </w:tc>
        <w:tc>
          <w:tcPr>
            <w:tcW w:w="867" w:type="dxa"/>
            <w:tcBorders>
              <w:top w:val="nil"/>
              <w:left w:val="nil"/>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3 227</w:t>
            </w:r>
          </w:p>
        </w:tc>
        <w:tc>
          <w:tcPr>
            <w:tcW w:w="1036" w:type="dxa"/>
            <w:tcBorders>
              <w:top w:val="nil"/>
              <w:left w:val="nil"/>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3 368</w:t>
            </w:r>
          </w:p>
        </w:tc>
        <w:tc>
          <w:tcPr>
            <w:tcW w:w="1036" w:type="dxa"/>
            <w:tcBorders>
              <w:top w:val="nil"/>
              <w:left w:val="nil"/>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2 478</w:t>
            </w:r>
          </w:p>
        </w:tc>
        <w:tc>
          <w:tcPr>
            <w:tcW w:w="1122" w:type="dxa"/>
            <w:tcBorders>
              <w:top w:val="nil"/>
              <w:left w:val="nil"/>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-26,43 %</w:t>
            </w:r>
          </w:p>
        </w:tc>
        <w:tc>
          <w:tcPr>
            <w:tcW w:w="1290" w:type="dxa"/>
            <w:tcBorders>
              <w:top w:val="nil"/>
              <w:left w:val="nil"/>
              <w:bottom w:val="single" w:sz="4" w:space="0" w:color="auto"/>
              <w:right w:val="single" w:sz="4" w:space="0" w:color="auto"/>
            </w:tcBorders>
            <w:shd w:val="clear" w:color="auto" w:fill="D9D9D9" w:themeFill="background1" w:themeFillShade="D9"/>
            <w:vAlign w:val="center"/>
          </w:tcPr>
          <w:p w:rsidR="003429ED" w:rsidRPr="004761E0" w:rsidRDefault="003429ED" w:rsidP="003429ED">
            <w:pPr>
              <w:ind w:firstLine="0"/>
              <w:jc w:val="right"/>
              <w:rPr>
                <w:color w:val="000000"/>
                <w:sz w:val="20"/>
                <w:szCs w:val="20"/>
              </w:rPr>
            </w:pPr>
            <w:r w:rsidRPr="004761E0">
              <w:rPr>
                <w:color w:val="000000"/>
                <w:sz w:val="20"/>
                <w:szCs w:val="20"/>
              </w:rPr>
              <w:t>-33,40 %</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3429ED" w:rsidRPr="004761E0" w:rsidRDefault="003429ED" w:rsidP="007076A7">
            <w:pPr>
              <w:pStyle w:val="a5"/>
              <w:numPr>
                <w:ilvl w:val="1"/>
                <w:numId w:val="285"/>
              </w:numPr>
              <w:ind w:left="0" w:firstLine="0"/>
              <w:jc w:val="left"/>
              <w:rPr>
                <w:rFonts w:eastAsia="Times New Roman"/>
                <w:color w:val="000000"/>
                <w:sz w:val="20"/>
                <w:szCs w:val="20"/>
                <w:lang w:eastAsia="ru-RU"/>
              </w:rPr>
            </w:pPr>
          </w:p>
        </w:tc>
        <w:tc>
          <w:tcPr>
            <w:tcW w:w="4409" w:type="dxa"/>
            <w:tcBorders>
              <w:top w:val="nil"/>
              <w:left w:val="nil"/>
              <w:bottom w:val="single" w:sz="4" w:space="0" w:color="auto"/>
              <w:right w:val="single" w:sz="4" w:space="0" w:color="auto"/>
            </w:tcBorders>
            <w:shd w:val="clear" w:color="auto" w:fill="auto"/>
            <w:vAlign w:val="center"/>
            <w:hideMark/>
          </w:tcPr>
          <w:p w:rsidR="003429ED" w:rsidRPr="004761E0" w:rsidRDefault="003429ED" w:rsidP="003429ED">
            <w:pPr>
              <w:ind w:left="332" w:firstLine="0"/>
              <w:jc w:val="left"/>
              <w:rPr>
                <w:rFonts w:eastAsia="Times New Roman"/>
                <w:sz w:val="20"/>
                <w:szCs w:val="20"/>
                <w:lang w:eastAsia="ru-RU"/>
              </w:rPr>
            </w:pPr>
            <w:r w:rsidRPr="004761E0">
              <w:rPr>
                <w:rFonts w:eastAsia="Times New Roman"/>
                <w:sz w:val="20"/>
                <w:szCs w:val="20"/>
                <w:lang w:eastAsia="ru-RU"/>
              </w:rPr>
              <w:t>прочие потребители</w:t>
            </w:r>
          </w:p>
        </w:tc>
        <w:tc>
          <w:tcPr>
            <w:tcW w:w="867" w:type="dxa"/>
            <w:tcBorders>
              <w:top w:val="nil"/>
              <w:left w:val="nil"/>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1 107</w:t>
            </w:r>
          </w:p>
        </w:tc>
        <w:tc>
          <w:tcPr>
            <w:tcW w:w="1036" w:type="dxa"/>
            <w:tcBorders>
              <w:top w:val="nil"/>
              <w:left w:val="nil"/>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850</w:t>
            </w:r>
          </w:p>
        </w:tc>
        <w:tc>
          <w:tcPr>
            <w:tcW w:w="1036" w:type="dxa"/>
            <w:tcBorders>
              <w:top w:val="nil"/>
              <w:left w:val="nil"/>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1 041</w:t>
            </w:r>
          </w:p>
        </w:tc>
        <w:tc>
          <w:tcPr>
            <w:tcW w:w="1122" w:type="dxa"/>
            <w:tcBorders>
              <w:top w:val="nil"/>
              <w:left w:val="nil"/>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color w:val="000000"/>
                <w:sz w:val="20"/>
                <w:szCs w:val="20"/>
                <w:lang w:eastAsia="ru-RU"/>
              </w:rPr>
            </w:pPr>
            <w:r w:rsidRPr="004761E0">
              <w:rPr>
                <w:rFonts w:eastAsia="Times New Roman"/>
                <w:color w:val="000000"/>
                <w:sz w:val="20"/>
                <w:szCs w:val="20"/>
                <w:lang w:eastAsia="ru-RU"/>
              </w:rPr>
              <w:t>22,47 %</w:t>
            </w:r>
          </w:p>
        </w:tc>
        <w:tc>
          <w:tcPr>
            <w:tcW w:w="1290" w:type="dxa"/>
            <w:tcBorders>
              <w:top w:val="nil"/>
              <w:left w:val="nil"/>
              <w:bottom w:val="single" w:sz="4" w:space="0" w:color="auto"/>
              <w:right w:val="single" w:sz="4" w:space="0" w:color="auto"/>
            </w:tcBorders>
            <w:shd w:val="clear" w:color="auto" w:fill="D9D9D9" w:themeFill="background1" w:themeFillShade="D9"/>
            <w:vAlign w:val="center"/>
          </w:tcPr>
          <w:p w:rsidR="003429ED" w:rsidRPr="004761E0" w:rsidRDefault="003429ED" w:rsidP="003429ED">
            <w:pPr>
              <w:ind w:firstLine="0"/>
              <w:jc w:val="right"/>
              <w:rPr>
                <w:color w:val="000000"/>
                <w:sz w:val="20"/>
                <w:szCs w:val="20"/>
              </w:rPr>
            </w:pPr>
            <w:r w:rsidRPr="004761E0">
              <w:rPr>
                <w:color w:val="000000"/>
                <w:sz w:val="20"/>
                <w:szCs w:val="20"/>
              </w:rPr>
              <w:t>42,82 %</w:t>
            </w:r>
          </w:p>
        </w:tc>
      </w:tr>
      <w:tr w:rsidR="003429ED" w:rsidRPr="004761E0" w:rsidTr="003429ED">
        <w:trPr>
          <w:trHeight w:val="300"/>
        </w:trPr>
        <w:tc>
          <w:tcPr>
            <w:tcW w:w="10340"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29ED" w:rsidRPr="004761E0" w:rsidRDefault="003429ED" w:rsidP="007076A7">
            <w:pPr>
              <w:pStyle w:val="a5"/>
              <w:numPr>
                <w:ilvl w:val="0"/>
                <w:numId w:val="163"/>
              </w:numPr>
              <w:jc w:val="left"/>
              <w:rPr>
                <w:rFonts w:eastAsia="Times New Roman"/>
                <w:color w:val="000000"/>
                <w:sz w:val="20"/>
                <w:szCs w:val="20"/>
                <w:lang w:eastAsia="ru-RU"/>
              </w:rPr>
            </w:pPr>
            <w:r w:rsidRPr="004761E0">
              <w:rPr>
                <w:b/>
                <w:sz w:val="20"/>
                <w:szCs w:val="26"/>
                <w:lang w:eastAsia="ru-RU"/>
              </w:rPr>
              <w:t>По группам конечных потребителей</w:t>
            </w:r>
          </w:p>
        </w:tc>
      </w:tr>
      <w:tr w:rsidR="003429ED" w:rsidRPr="004761E0" w:rsidTr="003429ED">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7076A7">
            <w:pPr>
              <w:pStyle w:val="a5"/>
              <w:numPr>
                <w:ilvl w:val="1"/>
                <w:numId w:val="283"/>
              </w:numPr>
              <w:ind w:left="0" w:firstLine="0"/>
              <w:jc w:val="left"/>
              <w:rPr>
                <w:rFonts w:eastAsia="Times New Roman"/>
                <w:color w:val="000000"/>
                <w:sz w:val="20"/>
                <w:szCs w:val="20"/>
                <w:lang w:eastAsia="ru-RU"/>
              </w:rPr>
            </w:pPr>
          </w:p>
        </w:tc>
        <w:tc>
          <w:tcPr>
            <w:tcW w:w="4409" w:type="dxa"/>
            <w:tcBorders>
              <w:top w:val="single" w:sz="4" w:space="0" w:color="auto"/>
              <w:left w:val="nil"/>
              <w:bottom w:val="single" w:sz="4" w:space="0" w:color="auto"/>
              <w:right w:val="single" w:sz="4" w:space="0" w:color="auto"/>
            </w:tcBorders>
            <w:shd w:val="clear" w:color="auto" w:fill="auto"/>
            <w:vAlign w:val="center"/>
            <w:hideMark/>
          </w:tcPr>
          <w:p w:rsidR="003429ED" w:rsidRPr="004761E0" w:rsidRDefault="003429ED" w:rsidP="003429ED">
            <w:pPr>
              <w:ind w:left="332" w:firstLine="0"/>
              <w:jc w:val="left"/>
              <w:rPr>
                <w:rFonts w:eastAsia="Times New Roman"/>
                <w:sz w:val="20"/>
                <w:szCs w:val="20"/>
                <w:lang w:eastAsia="ru-RU"/>
              </w:rPr>
            </w:pPr>
            <w:r w:rsidRPr="004761E0">
              <w:rPr>
                <w:rFonts w:eastAsia="Times New Roman"/>
                <w:sz w:val="20"/>
                <w:szCs w:val="20"/>
                <w:lang w:eastAsia="ru-RU"/>
              </w:rPr>
              <w:t>промышленные потребители</w:t>
            </w:r>
          </w:p>
        </w:tc>
        <w:tc>
          <w:tcPr>
            <w:tcW w:w="867" w:type="dxa"/>
            <w:tcBorders>
              <w:top w:val="single" w:sz="4" w:space="0" w:color="auto"/>
              <w:left w:val="nil"/>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35 363</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32 999</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37 798</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14,54 %</w:t>
            </w:r>
          </w:p>
        </w:tc>
        <w:tc>
          <w:tcPr>
            <w:tcW w:w="12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4,8</w:t>
            </w:r>
            <w:r w:rsidR="005C3266">
              <w:rPr>
                <w:rFonts w:eastAsia="Times New Roman"/>
                <w:sz w:val="20"/>
                <w:szCs w:val="20"/>
                <w:lang w:eastAsia="ru-RU"/>
              </w:rPr>
              <w:t>5</w:t>
            </w:r>
            <w:r w:rsidRPr="004761E0">
              <w:rPr>
                <w:rFonts w:eastAsia="Times New Roman"/>
                <w:sz w:val="20"/>
                <w:szCs w:val="20"/>
                <w:lang w:eastAsia="ru-RU"/>
              </w:rPr>
              <w:t xml:space="preserve"> %</w:t>
            </w:r>
          </w:p>
        </w:tc>
      </w:tr>
      <w:tr w:rsidR="003429ED" w:rsidRPr="004761E0" w:rsidTr="003429ED">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1"/>
                <w:numId w:val="283"/>
              </w:numPr>
              <w:ind w:left="0" w:firstLine="0"/>
              <w:jc w:val="left"/>
              <w:rPr>
                <w:rFonts w:eastAsia="Times New Roman"/>
                <w:color w:val="000000"/>
                <w:sz w:val="20"/>
                <w:szCs w:val="20"/>
                <w:lang w:eastAsia="ru-RU"/>
              </w:rPr>
            </w:pPr>
          </w:p>
        </w:tc>
        <w:tc>
          <w:tcPr>
            <w:tcW w:w="4409"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left="332" w:firstLine="0"/>
              <w:jc w:val="left"/>
              <w:rPr>
                <w:rFonts w:eastAsia="Times New Roman"/>
                <w:sz w:val="20"/>
                <w:szCs w:val="20"/>
                <w:lang w:eastAsia="ru-RU"/>
              </w:rPr>
            </w:pPr>
            <w:r w:rsidRPr="004761E0">
              <w:rPr>
                <w:rFonts w:eastAsia="Times New Roman"/>
                <w:sz w:val="20"/>
                <w:szCs w:val="20"/>
                <w:lang w:eastAsia="ru-RU"/>
              </w:rPr>
              <w:t>непромышленные потребители</w:t>
            </w:r>
          </w:p>
        </w:tc>
        <w:tc>
          <w:tcPr>
            <w:tcW w:w="867"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24 860</w:t>
            </w:r>
          </w:p>
        </w:tc>
        <w:tc>
          <w:tcPr>
            <w:tcW w:w="1036"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21 040</w:t>
            </w:r>
          </w:p>
        </w:tc>
        <w:tc>
          <w:tcPr>
            <w:tcW w:w="1036"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24 105</w:t>
            </w:r>
          </w:p>
        </w:tc>
        <w:tc>
          <w:tcPr>
            <w:tcW w:w="1122"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14,57 %</w:t>
            </w:r>
          </w:p>
        </w:tc>
        <w:tc>
          <w:tcPr>
            <w:tcW w:w="12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3429ED" w:rsidRPr="004761E0" w:rsidRDefault="005C3266" w:rsidP="003429ED">
            <w:pPr>
              <w:ind w:firstLine="0"/>
              <w:jc w:val="right"/>
              <w:rPr>
                <w:rFonts w:eastAsia="Times New Roman"/>
                <w:sz w:val="20"/>
                <w:szCs w:val="20"/>
                <w:lang w:eastAsia="ru-RU"/>
              </w:rPr>
            </w:pPr>
            <w:r>
              <w:rPr>
                <w:rFonts w:eastAsia="Times New Roman"/>
                <w:sz w:val="20"/>
                <w:szCs w:val="20"/>
                <w:lang w:eastAsia="ru-RU"/>
              </w:rPr>
              <w:t>4,87</w:t>
            </w:r>
            <w:r w:rsidR="003429ED" w:rsidRPr="004761E0">
              <w:rPr>
                <w:rFonts w:eastAsia="Times New Roman"/>
                <w:sz w:val="20"/>
                <w:szCs w:val="20"/>
                <w:lang w:eastAsia="ru-RU"/>
              </w:rPr>
              <w:t xml:space="preserve"> %</w:t>
            </w:r>
          </w:p>
        </w:tc>
      </w:tr>
      <w:tr w:rsidR="003429ED" w:rsidRPr="004761E0" w:rsidTr="003429ED">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1"/>
                <w:numId w:val="283"/>
              </w:numPr>
              <w:ind w:left="0" w:firstLine="0"/>
              <w:jc w:val="left"/>
              <w:rPr>
                <w:rFonts w:eastAsia="Times New Roman"/>
                <w:color w:val="000000"/>
                <w:sz w:val="20"/>
                <w:szCs w:val="20"/>
                <w:lang w:eastAsia="ru-RU"/>
              </w:rPr>
            </w:pPr>
          </w:p>
        </w:tc>
        <w:tc>
          <w:tcPr>
            <w:tcW w:w="4409"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left="332" w:firstLine="0"/>
              <w:jc w:val="left"/>
              <w:rPr>
                <w:rFonts w:eastAsia="Times New Roman"/>
                <w:sz w:val="20"/>
                <w:szCs w:val="20"/>
                <w:lang w:eastAsia="ru-RU"/>
              </w:rPr>
            </w:pPr>
            <w:r w:rsidRPr="004761E0">
              <w:rPr>
                <w:rFonts w:eastAsia="Times New Roman"/>
                <w:sz w:val="20"/>
                <w:szCs w:val="20"/>
                <w:lang w:eastAsia="ru-RU"/>
              </w:rPr>
              <w:t>население и приравненные к нему группы потребителей</w:t>
            </w:r>
          </w:p>
        </w:tc>
        <w:tc>
          <w:tcPr>
            <w:tcW w:w="867"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28 237</w:t>
            </w:r>
          </w:p>
        </w:tc>
        <w:tc>
          <w:tcPr>
            <w:tcW w:w="1036"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28 235</w:t>
            </w:r>
          </w:p>
        </w:tc>
        <w:tc>
          <w:tcPr>
            <w:tcW w:w="1036"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29 212</w:t>
            </w:r>
          </w:p>
        </w:tc>
        <w:tc>
          <w:tcPr>
            <w:tcW w:w="1122"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3,46 %</w:t>
            </w:r>
          </w:p>
        </w:tc>
        <w:tc>
          <w:tcPr>
            <w:tcW w:w="12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3429ED" w:rsidRPr="004761E0" w:rsidRDefault="005C3266" w:rsidP="003429ED">
            <w:pPr>
              <w:ind w:firstLine="0"/>
              <w:jc w:val="right"/>
              <w:rPr>
                <w:rFonts w:eastAsia="Times New Roman"/>
                <w:sz w:val="20"/>
                <w:szCs w:val="20"/>
                <w:lang w:eastAsia="ru-RU"/>
              </w:rPr>
            </w:pPr>
            <w:r>
              <w:rPr>
                <w:rFonts w:eastAsia="Times New Roman"/>
                <w:sz w:val="20"/>
                <w:szCs w:val="20"/>
                <w:lang w:eastAsia="ru-RU"/>
              </w:rPr>
              <w:t>0,92 %</w:t>
            </w:r>
          </w:p>
        </w:tc>
      </w:tr>
      <w:tr w:rsidR="003429ED" w:rsidRPr="004761E0" w:rsidTr="003429ED">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1"/>
                <w:numId w:val="283"/>
              </w:numPr>
              <w:ind w:left="0" w:firstLine="0"/>
              <w:jc w:val="left"/>
              <w:rPr>
                <w:rFonts w:eastAsia="Times New Roman"/>
                <w:color w:val="000000"/>
                <w:sz w:val="20"/>
                <w:szCs w:val="20"/>
                <w:lang w:eastAsia="ru-RU"/>
              </w:rPr>
            </w:pPr>
          </w:p>
        </w:tc>
        <w:tc>
          <w:tcPr>
            <w:tcW w:w="4409"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left="332" w:firstLine="0"/>
              <w:jc w:val="left"/>
              <w:rPr>
                <w:rFonts w:eastAsia="Times New Roman"/>
                <w:sz w:val="20"/>
                <w:szCs w:val="20"/>
                <w:lang w:eastAsia="ru-RU"/>
              </w:rPr>
            </w:pPr>
            <w:r w:rsidRPr="004761E0">
              <w:rPr>
                <w:rFonts w:eastAsia="Times New Roman"/>
                <w:sz w:val="20"/>
                <w:szCs w:val="20"/>
                <w:lang w:eastAsia="ru-RU"/>
              </w:rPr>
              <w:t>государственные и муниципальные организации, а также прочие бюджетные потребители</w:t>
            </w:r>
          </w:p>
        </w:tc>
        <w:tc>
          <w:tcPr>
            <w:tcW w:w="867"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9 696</w:t>
            </w:r>
          </w:p>
        </w:tc>
        <w:tc>
          <w:tcPr>
            <w:tcW w:w="1036"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9 115</w:t>
            </w:r>
          </w:p>
        </w:tc>
        <w:tc>
          <w:tcPr>
            <w:tcW w:w="1036"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10 003</w:t>
            </w:r>
          </w:p>
        </w:tc>
        <w:tc>
          <w:tcPr>
            <w:tcW w:w="1122"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9,74 %</w:t>
            </w:r>
          </w:p>
        </w:tc>
        <w:tc>
          <w:tcPr>
            <w:tcW w:w="12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3429ED" w:rsidRPr="004761E0" w:rsidRDefault="003429ED" w:rsidP="005C3266">
            <w:pPr>
              <w:ind w:firstLine="0"/>
              <w:jc w:val="right"/>
              <w:rPr>
                <w:rFonts w:eastAsia="Times New Roman"/>
                <w:sz w:val="20"/>
                <w:szCs w:val="20"/>
                <w:lang w:eastAsia="ru-RU"/>
              </w:rPr>
            </w:pPr>
            <w:r w:rsidRPr="004761E0">
              <w:rPr>
                <w:rFonts w:eastAsia="Times New Roman"/>
                <w:sz w:val="20"/>
                <w:szCs w:val="20"/>
                <w:lang w:eastAsia="ru-RU"/>
              </w:rPr>
              <w:t>0,</w:t>
            </w:r>
            <w:r w:rsidR="005C3266">
              <w:rPr>
                <w:rFonts w:eastAsia="Times New Roman"/>
                <w:sz w:val="20"/>
                <w:szCs w:val="20"/>
                <w:lang w:eastAsia="ru-RU"/>
              </w:rPr>
              <w:t>47</w:t>
            </w:r>
            <w:r w:rsidRPr="004761E0">
              <w:rPr>
                <w:rFonts w:eastAsia="Times New Roman"/>
                <w:sz w:val="20"/>
                <w:szCs w:val="20"/>
                <w:lang w:eastAsia="ru-RU"/>
              </w:rPr>
              <w:t xml:space="preserve"> %</w:t>
            </w:r>
          </w:p>
        </w:tc>
      </w:tr>
      <w:tr w:rsidR="003429ED" w:rsidRPr="004761E0" w:rsidTr="003429ED">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1"/>
                <w:numId w:val="283"/>
              </w:numPr>
              <w:ind w:left="0" w:firstLine="0"/>
              <w:jc w:val="left"/>
              <w:rPr>
                <w:rFonts w:eastAsia="Times New Roman"/>
                <w:color w:val="000000"/>
                <w:sz w:val="20"/>
                <w:szCs w:val="20"/>
                <w:lang w:eastAsia="ru-RU"/>
              </w:rPr>
            </w:pPr>
          </w:p>
        </w:tc>
        <w:tc>
          <w:tcPr>
            <w:tcW w:w="4409"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left="332" w:firstLine="0"/>
              <w:jc w:val="left"/>
              <w:rPr>
                <w:rFonts w:eastAsia="Times New Roman"/>
                <w:sz w:val="20"/>
                <w:szCs w:val="20"/>
                <w:lang w:eastAsia="ru-RU"/>
              </w:rPr>
            </w:pPr>
            <w:r w:rsidRPr="004761E0">
              <w:rPr>
                <w:rFonts w:eastAsia="Times New Roman"/>
                <w:sz w:val="20"/>
                <w:szCs w:val="20"/>
                <w:lang w:eastAsia="ru-RU"/>
              </w:rPr>
              <w:t>транспорт</w:t>
            </w:r>
          </w:p>
        </w:tc>
        <w:tc>
          <w:tcPr>
            <w:tcW w:w="867"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7 703</w:t>
            </w:r>
          </w:p>
        </w:tc>
        <w:tc>
          <w:tcPr>
            <w:tcW w:w="1036"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7 700</w:t>
            </w:r>
          </w:p>
        </w:tc>
        <w:tc>
          <w:tcPr>
            <w:tcW w:w="1036"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8 536</w:t>
            </w:r>
          </w:p>
        </w:tc>
        <w:tc>
          <w:tcPr>
            <w:tcW w:w="1122"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10,85 %</w:t>
            </w:r>
          </w:p>
        </w:tc>
        <w:tc>
          <w:tcPr>
            <w:tcW w:w="12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3429ED" w:rsidRPr="004761E0" w:rsidRDefault="005C3266" w:rsidP="003429ED">
            <w:pPr>
              <w:ind w:firstLine="0"/>
              <w:jc w:val="right"/>
              <w:rPr>
                <w:rFonts w:eastAsia="Times New Roman"/>
                <w:sz w:val="20"/>
                <w:szCs w:val="20"/>
                <w:lang w:eastAsia="ru-RU"/>
              </w:rPr>
            </w:pPr>
            <w:r>
              <w:rPr>
                <w:rFonts w:eastAsia="Times New Roman"/>
                <w:sz w:val="20"/>
                <w:szCs w:val="20"/>
                <w:lang w:eastAsia="ru-RU"/>
              </w:rPr>
              <w:t>1,45</w:t>
            </w:r>
            <w:r w:rsidR="003429ED" w:rsidRPr="004761E0">
              <w:rPr>
                <w:rFonts w:eastAsia="Times New Roman"/>
                <w:sz w:val="20"/>
                <w:szCs w:val="20"/>
                <w:lang w:eastAsia="ru-RU"/>
              </w:rPr>
              <w:t xml:space="preserve"> %</w:t>
            </w:r>
          </w:p>
        </w:tc>
      </w:tr>
      <w:tr w:rsidR="003429ED" w:rsidRPr="004761E0" w:rsidTr="003429ED">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1"/>
                <w:numId w:val="283"/>
              </w:numPr>
              <w:ind w:left="0" w:firstLine="0"/>
              <w:jc w:val="left"/>
              <w:rPr>
                <w:rFonts w:eastAsia="Times New Roman"/>
                <w:color w:val="000000"/>
                <w:sz w:val="20"/>
                <w:szCs w:val="20"/>
                <w:lang w:eastAsia="ru-RU"/>
              </w:rPr>
            </w:pPr>
          </w:p>
        </w:tc>
        <w:tc>
          <w:tcPr>
            <w:tcW w:w="4409"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left="332" w:firstLine="0"/>
              <w:jc w:val="left"/>
              <w:rPr>
                <w:rFonts w:eastAsia="Times New Roman"/>
                <w:sz w:val="20"/>
                <w:szCs w:val="20"/>
                <w:lang w:eastAsia="ru-RU"/>
              </w:rPr>
            </w:pPr>
            <w:r w:rsidRPr="004761E0">
              <w:rPr>
                <w:rFonts w:eastAsia="Times New Roman"/>
                <w:sz w:val="20"/>
                <w:szCs w:val="20"/>
                <w:lang w:eastAsia="ru-RU"/>
              </w:rPr>
              <w:t>сельское хозяйство</w:t>
            </w:r>
          </w:p>
        </w:tc>
        <w:tc>
          <w:tcPr>
            <w:tcW w:w="867"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1 134</w:t>
            </w:r>
          </w:p>
        </w:tc>
        <w:tc>
          <w:tcPr>
            <w:tcW w:w="1036"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1 191</w:t>
            </w:r>
          </w:p>
        </w:tc>
        <w:tc>
          <w:tcPr>
            <w:tcW w:w="1036"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1 326</w:t>
            </w:r>
          </w:p>
        </w:tc>
        <w:tc>
          <w:tcPr>
            <w:tcW w:w="1122"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11,37 %</w:t>
            </w:r>
          </w:p>
        </w:tc>
        <w:tc>
          <w:tcPr>
            <w:tcW w:w="12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1,9</w:t>
            </w:r>
            <w:r w:rsidR="005C3266">
              <w:rPr>
                <w:rFonts w:eastAsia="Times New Roman"/>
                <w:sz w:val="20"/>
                <w:szCs w:val="20"/>
                <w:lang w:eastAsia="ru-RU"/>
              </w:rPr>
              <w:t>1</w:t>
            </w:r>
            <w:r w:rsidRPr="004761E0">
              <w:rPr>
                <w:rFonts w:eastAsia="Times New Roman"/>
                <w:sz w:val="20"/>
                <w:szCs w:val="20"/>
                <w:lang w:eastAsia="ru-RU"/>
              </w:rPr>
              <w:t xml:space="preserve"> %</w:t>
            </w:r>
          </w:p>
        </w:tc>
      </w:tr>
    </w:tbl>
    <w:p w:rsidR="003429ED" w:rsidRPr="004761E0" w:rsidRDefault="003429ED" w:rsidP="003429ED">
      <w:pPr>
        <w:spacing w:before="120" w:after="120"/>
        <w:ind w:firstLine="0"/>
        <w:rPr>
          <w:rFonts w:eastAsia="Times New Roman"/>
          <w:i/>
          <w:iCs/>
          <w:color w:val="FF0000"/>
          <w:sz w:val="20"/>
          <w:szCs w:val="20"/>
          <w:lang w:eastAsia="ru-RU"/>
        </w:rPr>
      </w:pPr>
      <w:r w:rsidRPr="004761E0">
        <w:rPr>
          <w:rFonts w:eastAsia="Times New Roman"/>
          <w:i/>
          <w:iCs/>
          <w:noProof/>
          <w:color w:val="FF0000"/>
          <w:sz w:val="20"/>
          <w:szCs w:val="20"/>
          <w:lang w:eastAsia="ru-RU"/>
        </w:rPr>
        <w:drawing>
          <wp:inline distT="0" distB="0" distL="0" distR="0">
            <wp:extent cx="3062177" cy="3030279"/>
            <wp:effectExtent l="19050" t="0" r="23923" b="0"/>
            <wp:docPr id="290" name="Диаграмма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sidRPr="004761E0">
        <w:rPr>
          <w:rFonts w:eastAsia="Times New Roman"/>
          <w:i/>
          <w:iCs/>
          <w:color w:val="FF0000"/>
          <w:sz w:val="20"/>
          <w:szCs w:val="20"/>
          <w:lang w:eastAsia="ru-RU"/>
        </w:rPr>
        <w:t xml:space="preserve">  </w:t>
      </w:r>
      <w:r w:rsidRPr="004761E0">
        <w:rPr>
          <w:rFonts w:eastAsia="Times New Roman"/>
          <w:i/>
          <w:iCs/>
          <w:noProof/>
          <w:color w:val="FF0000"/>
          <w:sz w:val="20"/>
          <w:szCs w:val="20"/>
          <w:lang w:eastAsia="ru-RU"/>
        </w:rPr>
        <w:drawing>
          <wp:inline distT="0" distB="0" distL="0" distR="0">
            <wp:extent cx="3062177" cy="3030279"/>
            <wp:effectExtent l="19050" t="0" r="23923" b="0"/>
            <wp:docPr id="292" name="Диаграмма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3429ED" w:rsidRPr="004761E0" w:rsidRDefault="003429ED" w:rsidP="003429ED">
      <w:pPr>
        <w:spacing w:before="120" w:after="120"/>
        <w:ind w:firstLine="0"/>
        <w:rPr>
          <w:rFonts w:eastAsia="Times New Roman"/>
          <w:i/>
          <w:iCs/>
          <w:color w:val="FF0000"/>
          <w:sz w:val="20"/>
          <w:szCs w:val="20"/>
          <w:lang w:eastAsia="ru-RU"/>
        </w:rPr>
      </w:pPr>
      <w:r w:rsidRPr="004761E0">
        <w:rPr>
          <w:rFonts w:eastAsia="Times New Roman"/>
          <w:i/>
          <w:iCs/>
          <w:noProof/>
          <w:color w:val="FF0000"/>
          <w:sz w:val="20"/>
          <w:szCs w:val="20"/>
          <w:lang w:eastAsia="ru-RU"/>
        </w:rPr>
        <w:drawing>
          <wp:inline distT="0" distB="0" distL="0" distR="0">
            <wp:extent cx="6422065" cy="3200400"/>
            <wp:effectExtent l="0" t="0" r="17145" b="19050"/>
            <wp:docPr id="291" name="Диаграмма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3429ED" w:rsidRPr="004761E0" w:rsidRDefault="003429ED" w:rsidP="003429ED">
      <w:pPr>
        <w:spacing w:before="120" w:after="120"/>
        <w:ind w:hanging="142"/>
        <w:rPr>
          <w:rFonts w:eastAsia="Times New Roman"/>
          <w:b/>
          <w:color w:val="000000"/>
          <w:sz w:val="26"/>
          <w:szCs w:val="26"/>
          <w:lang w:eastAsia="ru-RU"/>
        </w:rPr>
      </w:pPr>
      <w:r w:rsidRPr="004761E0">
        <w:rPr>
          <w:rFonts w:eastAsia="Times New Roman"/>
          <w:b/>
          <w:noProof/>
          <w:color w:val="000000"/>
          <w:sz w:val="26"/>
          <w:szCs w:val="26"/>
          <w:lang w:eastAsia="ru-RU"/>
        </w:rPr>
        <w:lastRenderedPageBreak/>
        <w:drawing>
          <wp:inline distT="0" distB="0" distL="0" distR="0">
            <wp:extent cx="6517758" cy="3200400"/>
            <wp:effectExtent l="19050" t="0" r="16392" b="0"/>
            <wp:docPr id="293" name="Диаграмма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3429ED" w:rsidRPr="004761E0" w:rsidRDefault="003429ED" w:rsidP="003429ED">
      <w:pPr>
        <w:spacing w:before="120" w:after="120"/>
        <w:ind w:firstLine="567"/>
        <w:rPr>
          <w:rFonts w:eastAsia="Times New Roman"/>
          <w:b/>
          <w:color w:val="000000"/>
          <w:sz w:val="26"/>
          <w:szCs w:val="26"/>
          <w:lang w:eastAsia="ru-RU"/>
        </w:rPr>
      </w:pPr>
      <w:r w:rsidRPr="004761E0">
        <w:rPr>
          <w:rFonts w:eastAsia="Times New Roman"/>
          <w:b/>
          <w:color w:val="000000"/>
          <w:sz w:val="26"/>
          <w:szCs w:val="26"/>
          <w:lang w:eastAsia="ru-RU"/>
        </w:rPr>
        <w:t>Анализ структуры выручки</w:t>
      </w:r>
    </w:p>
    <w:p w:rsidR="001434B7" w:rsidRPr="00DE44D6" w:rsidRDefault="001434B7" w:rsidP="00DE44D6">
      <w:pPr>
        <w:ind w:firstLine="567"/>
        <w:rPr>
          <w:rFonts w:eastAsia="Times New Roman"/>
          <w:color w:val="000000"/>
          <w:sz w:val="26"/>
          <w:szCs w:val="26"/>
          <w:lang w:eastAsia="ru-RU"/>
        </w:rPr>
      </w:pPr>
      <w:r w:rsidRPr="00DE44D6">
        <w:rPr>
          <w:rFonts w:eastAsia="Times New Roman"/>
          <w:color w:val="000000"/>
          <w:sz w:val="26"/>
          <w:szCs w:val="26"/>
          <w:lang w:eastAsia="ru-RU"/>
        </w:rPr>
        <w:t>В структуре выручки от оказания услуг по передаче электроэнергии конечным потребителям произошли следующие изменения: в 2013 году по отношению к 2012 году выручка от оказания услуг энергосбытовым организациям снизилась на 26,43 % до 2,48 млрд руб., в то время как выручка от оказания услуг гарантирующим поставщикам увеличилась на 11,87 % до 107,46 млрд руб., что обусловлено переходо</w:t>
      </w:r>
      <w:r w:rsidR="007C2AD9">
        <w:rPr>
          <w:rFonts w:eastAsia="Times New Roman"/>
          <w:color w:val="000000"/>
          <w:sz w:val="26"/>
          <w:szCs w:val="26"/>
          <w:lang w:eastAsia="ru-RU"/>
        </w:rPr>
        <w:t>м в т</w:t>
      </w:r>
      <w:r w:rsidRPr="00DE44D6">
        <w:rPr>
          <w:rFonts w:eastAsia="Times New Roman"/>
          <w:color w:val="000000"/>
          <w:sz w:val="26"/>
          <w:szCs w:val="26"/>
          <w:lang w:eastAsia="ru-RU"/>
        </w:rPr>
        <w:t xml:space="preserve">ечение 2013 года потребителей ООО «Химэнергосбыт», ОАО «ЭСКМО», и ОАО «Мосгорэнерго» на обслуживание к гарантирующим поставщикам. </w:t>
      </w:r>
    </w:p>
    <w:p w:rsidR="003429ED" w:rsidRPr="00DE44D6" w:rsidRDefault="003429ED" w:rsidP="00DE44D6">
      <w:pPr>
        <w:ind w:firstLine="567"/>
        <w:rPr>
          <w:rFonts w:eastAsia="Times New Roman"/>
          <w:color w:val="000000"/>
          <w:sz w:val="26"/>
          <w:szCs w:val="26"/>
          <w:lang w:eastAsia="ru-RU"/>
        </w:rPr>
      </w:pPr>
      <w:r w:rsidRPr="00DE44D6">
        <w:rPr>
          <w:rFonts w:eastAsia="Times New Roman"/>
          <w:color w:val="000000"/>
          <w:sz w:val="26"/>
          <w:szCs w:val="26"/>
          <w:lang w:eastAsia="ru-RU"/>
        </w:rPr>
        <w:t xml:space="preserve">Согласно представленной структуре 64,74 % выручки Компании за 2013 год приходится на потребителей, спрос которых на электроэнергию устойчив к негативным экономическим изменениям. В частности, к потребителям электроэнергии с устойчивым спросом </w:t>
      </w:r>
      <w:r w:rsidR="0008080E" w:rsidRPr="00DE44D6">
        <w:rPr>
          <w:rFonts w:eastAsia="Times New Roman"/>
          <w:color w:val="000000"/>
          <w:sz w:val="26"/>
          <w:szCs w:val="26"/>
          <w:lang w:eastAsia="ru-RU"/>
        </w:rPr>
        <w:t>ОАО </w:t>
      </w:r>
      <w:r w:rsidRPr="00DE44D6">
        <w:rPr>
          <w:rFonts w:eastAsia="Times New Roman"/>
          <w:color w:val="000000"/>
          <w:sz w:val="26"/>
          <w:szCs w:val="26"/>
          <w:lang w:eastAsia="ru-RU"/>
        </w:rPr>
        <w:t>«МОЭСК» относит население и приравненные к нему группы потребителей, непромышленные потребители, государственные и муниципальные организации, а также прочие бюджетные потребители, транспорт. Данная структура выручки свидетельствует об устойчивости полезного отпуска Компании к экономическим спадам.</w:t>
      </w:r>
    </w:p>
    <w:p w:rsidR="003429ED" w:rsidRPr="004761E0" w:rsidRDefault="003429ED" w:rsidP="003429ED">
      <w:pPr>
        <w:spacing w:before="120" w:after="120"/>
        <w:ind w:firstLine="567"/>
        <w:rPr>
          <w:b/>
          <w:sz w:val="26"/>
          <w:szCs w:val="26"/>
          <w:lang w:eastAsia="ru-RU"/>
        </w:rPr>
      </w:pPr>
      <w:r w:rsidRPr="004761E0">
        <w:rPr>
          <w:b/>
          <w:sz w:val="26"/>
          <w:szCs w:val="26"/>
          <w:lang w:eastAsia="ru-RU"/>
        </w:rPr>
        <w:t>Сравнение фактической выручки от услуг по передаче электроэнергии и учтенного значения в Бизнес-плане и тарифно-балансовом  решении</w:t>
      </w:r>
    </w:p>
    <w:tbl>
      <w:tblPr>
        <w:tblW w:w="9934" w:type="dxa"/>
        <w:tblInd w:w="97" w:type="dxa"/>
        <w:tblLayout w:type="fixed"/>
        <w:tblLook w:val="04A0"/>
      </w:tblPr>
      <w:tblGrid>
        <w:gridCol w:w="578"/>
        <w:gridCol w:w="5245"/>
        <w:gridCol w:w="1275"/>
        <w:gridCol w:w="1702"/>
        <w:gridCol w:w="1134"/>
      </w:tblGrid>
      <w:tr w:rsidR="003429ED" w:rsidRPr="004761E0" w:rsidTr="00431F22">
        <w:trPr>
          <w:trHeight w:val="258"/>
        </w:trPr>
        <w:tc>
          <w:tcPr>
            <w:tcW w:w="578" w:type="dxa"/>
            <w:tcBorders>
              <w:top w:val="single" w:sz="4" w:space="0" w:color="auto"/>
              <w:left w:val="single" w:sz="4" w:space="0" w:color="auto"/>
              <w:bottom w:val="single" w:sz="4" w:space="0" w:color="FFFFFF" w:themeColor="background1"/>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5245"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275"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3429ED" w:rsidRPr="004761E0" w:rsidRDefault="003429ED" w:rsidP="003429ED">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Бизнес-план</w:t>
            </w:r>
          </w:p>
        </w:tc>
        <w:tc>
          <w:tcPr>
            <w:tcW w:w="1702"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3429ED" w:rsidRPr="004761E0" w:rsidRDefault="003429ED" w:rsidP="003429ED">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Тарифно-балансовое решение</w:t>
            </w:r>
          </w:p>
        </w:tc>
        <w:tc>
          <w:tcPr>
            <w:tcW w:w="1134" w:type="dxa"/>
            <w:tcBorders>
              <w:top w:val="single" w:sz="4" w:space="0" w:color="auto"/>
              <w:left w:val="single" w:sz="4" w:space="0" w:color="FFFFFF" w:themeColor="background1"/>
              <w:bottom w:val="single" w:sz="4" w:space="0" w:color="FFFFFF" w:themeColor="background1"/>
              <w:right w:val="single" w:sz="4" w:space="0" w:color="auto"/>
            </w:tcBorders>
            <w:shd w:val="clear" w:color="auto" w:fill="0F243E" w:themeFill="text2" w:themeFillShade="80"/>
            <w:vAlign w:val="center"/>
          </w:tcPr>
          <w:p w:rsidR="003429ED" w:rsidRPr="004761E0" w:rsidRDefault="003429ED" w:rsidP="003429ED">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Факт</w:t>
            </w:r>
          </w:p>
        </w:tc>
      </w:tr>
      <w:tr w:rsidR="003429ED" w:rsidRPr="004761E0" w:rsidTr="00431F22">
        <w:trPr>
          <w:trHeight w:val="300"/>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7076A7">
            <w:pPr>
              <w:pStyle w:val="a5"/>
              <w:numPr>
                <w:ilvl w:val="0"/>
                <w:numId w:val="288"/>
              </w:numPr>
              <w:ind w:left="0" w:firstLine="0"/>
              <w:jc w:val="left"/>
              <w:rPr>
                <w:rFonts w:eastAsia="Times New Roman"/>
                <w:sz w:val="20"/>
                <w:szCs w:val="20"/>
                <w:lang w:eastAsia="ru-RU"/>
              </w:rPr>
            </w:pPr>
          </w:p>
        </w:tc>
        <w:tc>
          <w:tcPr>
            <w:tcW w:w="5245"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firstLine="0"/>
              <w:jc w:val="left"/>
              <w:rPr>
                <w:rFonts w:eastAsia="Times New Roman"/>
                <w:sz w:val="20"/>
                <w:szCs w:val="20"/>
                <w:lang w:eastAsia="ru-RU"/>
              </w:rPr>
            </w:pPr>
            <w:r w:rsidRPr="004761E0">
              <w:rPr>
                <w:rFonts w:eastAsia="Times New Roman"/>
                <w:sz w:val="20"/>
                <w:szCs w:val="20"/>
                <w:lang w:eastAsia="ru-RU"/>
              </w:rPr>
              <w:t>Выручка без учета нагрузочных потерь</w:t>
            </w:r>
          </w:p>
        </w:tc>
        <w:tc>
          <w:tcPr>
            <w:tcW w:w="1275"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431F22">
            <w:pPr>
              <w:ind w:firstLine="0"/>
              <w:jc w:val="right"/>
              <w:rPr>
                <w:rFonts w:eastAsia="Times New Roman"/>
                <w:color w:val="000000"/>
                <w:sz w:val="20"/>
                <w:szCs w:val="20"/>
                <w:lang w:eastAsia="ru-RU"/>
              </w:rPr>
            </w:pPr>
            <w:r w:rsidRPr="004761E0">
              <w:rPr>
                <w:rFonts w:eastAsia="Times New Roman"/>
                <w:color w:val="000000"/>
                <w:sz w:val="20"/>
                <w:szCs w:val="20"/>
                <w:lang w:eastAsia="ru-RU"/>
              </w:rPr>
              <w:t>111 808</w:t>
            </w:r>
          </w:p>
        </w:tc>
        <w:tc>
          <w:tcPr>
            <w:tcW w:w="1702" w:type="dxa"/>
            <w:tcBorders>
              <w:top w:val="single" w:sz="4" w:space="0" w:color="auto"/>
              <w:left w:val="nil"/>
              <w:bottom w:val="single" w:sz="4" w:space="0" w:color="auto"/>
              <w:right w:val="single" w:sz="4" w:space="0" w:color="auto"/>
            </w:tcBorders>
            <w:shd w:val="clear" w:color="auto" w:fill="auto"/>
            <w:vAlign w:val="center"/>
          </w:tcPr>
          <w:p w:rsidR="003429ED" w:rsidRPr="000C7799" w:rsidRDefault="000C7799" w:rsidP="00431F22">
            <w:pPr>
              <w:ind w:firstLine="0"/>
              <w:jc w:val="right"/>
              <w:rPr>
                <w:rFonts w:eastAsia="Times New Roman"/>
                <w:color w:val="000000"/>
                <w:sz w:val="20"/>
                <w:szCs w:val="20"/>
                <w:lang w:val="en-US" w:eastAsia="ru-RU"/>
              </w:rPr>
            </w:pPr>
            <w:r>
              <w:rPr>
                <w:rFonts w:eastAsia="Times New Roman"/>
                <w:color w:val="000000"/>
                <w:sz w:val="20"/>
                <w:szCs w:val="20"/>
                <w:lang w:val="en-US"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431F22">
            <w:pPr>
              <w:ind w:firstLine="0"/>
              <w:jc w:val="right"/>
              <w:rPr>
                <w:rFonts w:eastAsia="Times New Roman"/>
                <w:color w:val="000000"/>
                <w:sz w:val="20"/>
                <w:szCs w:val="20"/>
                <w:lang w:eastAsia="ru-RU"/>
              </w:rPr>
            </w:pPr>
            <w:r w:rsidRPr="004761E0">
              <w:rPr>
                <w:rFonts w:eastAsia="Times New Roman"/>
                <w:color w:val="000000"/>
                <w:sz w:val="20"/>
                <w:szCs w:val="20"/>
                <w:lang w:eastAsia="ru-RU"/>
              </w:rPr>
              <w:t>110 980</w:t>
            </w:r>
          </w:p>
        </w:tc>
      </w:tr>
      <w:tr w:rsidR="003429ED" w:rsidRPr="004761E0" w:rsidTr="00431F22">
        <w:trPr>
          <w:trHeight w:val="300"/>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0"/>
                <w:numId w:val="288"/>
              </w:numPr>
              <w:ind w:left="0" w:firstLine="0"/>
              <w:jc w:val="left"/>
              <w:rPr>
                <w:rFonts w:eastAsia="Times New Roman"/>
                <w:color w:val="000000"/>
                <w:sz w:val="20"/>
                <w:szCs w:val="20"/>
                <w:lang w:eastAsia="ru-RU"/>
              </w:rPr>
            </w:pPr>
          </w:p>
        </w:tc>
        <w:tc>
          <w:tcPr>
            <w:tcW w:w="5245"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firstLine="0"/>
              <w:jc w:val="left"/>
              <w:rPr>
                <w:rFonts w:eastAsia="Times New Roman"/>
                <w:sz w:val="20"/>
                <w:szCs w:val="20"/>
                <w:lang w:eastAsia="ru-RU"/>
              </w:rPr>
            </w:pPr>
            <w:r w:rsidRPr="004761E0">
              <w:rPr>
                <w:rFonts w:eastAsia="Times New Roman"/>
                <w:sz w:val="20"/>
                <w:szCs w:val="20"/>
                <w:lang w:eastAsia="ru-RU"/>
              </w:rPr>
              <w:t>Выручка с учетом нагрузочных потерь</w:t>
            </w:r>
          </w:p>
        </w:tc>
        <w:tc>
          <w:tcPr>
            <w:tcW w:w="1275"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1434B7" w:rsidP="00431F22">
            <w:pPr>
              <w:ind w:firstLine="0"/>
              <w:jc w:val="right"/>
              <w:rPr>
                <w:rFonts w:eastAsia="Times New Roman"/>
                <w:color w:val="000000"/>
                <w:sz w:val="20"/>
                <w:szCs w:val="20"/>
                <w:lang w:eastAsia="ru-RU"/>
              </w:rPr>
            </w:pPr>
            <w:r>
              <w:rPr>
                <w:rFonts w:eastAsia="Times New Roman"/>
                <w:color w:val="000000"/>
                <w:sz w:val="20"/>
                <w:szCs w:val="20"/>
                <w:lang w:eastAsia="ru-RU"/>
              </w:rPr>
              <w:t>114 798</w:t>
            </w:r>
          </w:p>
        </w:tc>
        <w:tc>
          <w:tcPr>
            <w:tcW w:w="1702"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431F22">
            <w:pPr>
              <w:ind w:firstLine="0"/>
              <w:jc w:val="right"/>
              <w:rPr>
                <w:rFonts w:eastAsia="Times New Roman"/>
                <w:color w:val="000000"/>
                <w:sz w:val="20"/>
                <w:szCs w:val="20"/>
                <w:lang w:eastAsia="ru-RU"/>
              </w:rPr>
            </w:pPr>
            <w:r w:rsidRPr="004761E0">
              <w:rPr>
                <w:color w:val="000000"/>
                <w:sz w:val="20"/>
                <w:szCs w:val="20"/>
              </w:rPr>
              <w:t>111 460</w:t>
            </w:r>
          </w:p>
        </w:tc>
        <w:tc>
          <w:tcPr>
            <w:tcW w:w="1134"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431F22">
            <w:pPr>
              <w:ind w:firstLine="0"/>
              <w:jc w:val="right"/>
              <w:rPr>
                <w:color w:val="000000"/>
                <w:sz w:val="20"/>
                <w:szCs w:val="20"/>
              </w:rPr>
            </w:pPr>
            <w:r w:rsidRPr="004761E0">
              <w:rPr>
                <w:color w:val="000000"/>
                <w:sz w:val="20"/>
                <w:szCs w:val="20"/>
              </w:rPr>
              <w:t>114 081</w:t>
            </w:r>
          </w:p>
        </w:tc>
      </w:tr>
      <w:tr w:rsidR="003429ED" w:rsidRPr="004761E0" w:rsidTr="00431F22">
        <w:trPr>
          <w:trHeight w:val="300"/>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0"/>
                <w:numId w:val="288"/>
              </w:numPr>
              <w:ind w:left="0" w:firstLine="0"/>
              <w:jc w:val="left"/>
              <w:rPr>
                <w:rFonts w:eastAsia="Times New Roman"/>
                <w:color w:val="000000"/>
                <w:sz w:val="20"/>
                <w:szCs w:val="20"/>
                <w:lang w:eastAsia="ru-RU"/>
              </w:rPr>
            </w:pPr>
          </w:p>
        </w:tc>
        <w:tc>
          <w:tcPr>
            <w:tcW w:w="5245"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firstLine="0"/>
              <w:jc w:val="left"/>
              <w:rPr>
                <w:rFonts w:eastAsia="Times New Roman"/>
                <w:sz w:val="20"/>
                <w:szCs w:val="20"/>
                <w:lang w:eastAsia="ru-RU"/>
              </w:rPr>
            </w:pPr>
            <w:r w:rsidRPr="004761E0">
              <w:rPr>
                <w:rFonts w:eastAsia="Times New Roman"/>
                <w:sz w:val="20"/>
                <w:szCs w:val="20"/>
                <w:lang w:eastAsia="ru-RU"/>
              </w:rPr>
              <w:t>Стоимость нагрузочных потерь</w:t>
            </w:r>
            <w:r w:rsidRPr="006F4AB8">
              <w:rPr>
                <w:rStyle w:val="af1"/>
              </w:rPr>
              <w:footnoteReference w:id="52"/>
            </w:r>
          </w:p>
        </w:tc>
        <w:tc>
          <w:tcPr>
            <w:tcW w:w="1275"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431F22">
            <w:pPr>
              <w:ind w:firstLine="0"/>
              <w:jc w:val="right"/>
              <w:rPr>
                <w:rFonts w:eastAsia="Times New Roman"/>
                <w:color w:val="000000"/>
                <w:sz w:val="20"/>
                <w:szCs w:val="20"/>
                <w:lang w:eastAsia="ru-RU"/>
              </w:rPr>
            </w:pPr>
            <w:r w:rsidRPr="004761E0">
              <w:rPr>
                <w:rFonts w:eastAsia="Times New Roman"/>
                <w:color w:val="000000"/>
                <w:sz w:val="20"/>
                <w:szCs w:val="20"/>
                <w:lang w:eastAsia="ru-RU"/>
              </w:rPr>
              <w:t>2 991</w:t>
            </w:r>
          </w:p>
        </w:tc>
        <w:tc>
          <w:tcPr>
            <w:tcW w:w="1702" w:type="dxa"/>
            <w:tcBorders>
              <w:top w:val="single" w:sz="4" w:space="0" w:color="auto"/>
              <w:left w:val="nil"/>
              <w:bottom w:val="single" w:sz="4" w:space="0" w:color="auto"/>
              <w:right w:val="single" w:sz="4" w:space="0" w:color="auto"/>
            </w:tcBorders>
            <w:shd w:val="clear" w:color="auto" w:fill="auto"/>
            <w:vAlign w:val="center"/>
          </w:tcPr>
          <w:p w:rsidR="003429ED" w:rsidRPr="000C7799" w:rsidRDefault="000C7799" w:rsidP="00431F22">
            <w:pPr>
              <w:ind w:firstLine="0"/>
              <w:jc w:val="right"/>
              <w:rPr>
                <w:rFonts w:eastAsia="Times New Roman"/>
                <w:color w:val="000000"/>
                <w:sz w:val="20"/>
                <w:szCs w:val="20"/>
                <w:lang w:val="en-US" w:eastAsia="ru-RU"/>
              </w:rPr>
            </w:pPr>
            <w:r>
              <w:rPr>
                <w:rFonts w:eastAsia="Times New Roman"/>
                <w:color w:val="000000"/>
                <w:sz w:val="20"/>
                <w:szCs w:val="20"/>
                <w:lang w:val="en-US"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431F22">
            <w:pPr>
              <w:ind w:firstLine="0"/>
              <w:jc w:val="right"/>
              <w:rPr>
                <w:rFonts w:eastAsia="Times New Roman"/>
                <w:color w:val="000000"/>
                <w:sz w:val="20"/>
                <w:szCs w:val="20"/>
                <w:lang w:eastAsia="ru-RU"/>
              </w:rPr>
            </w:pPr>
            <w:r w:rsidRPr="004761E0">
              <w:rPr>
                <w:color w:val="000000"/>
                <w:sz w:val="20"/>
                <w:szCs w:val="20"/>
              </w:rPr>
              <w:t>3 101</w:t>
            </w:r>
          </w:p>
        </w:tc>
      </w:tr>
      <w:tr w:rsidR="003429ED" w:rsidRPr="004761E0" w:rsidTr="00431F22">
        <w:trPr>
          <w:trHeight w:val="300"/>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0"/>
                <w:numId w:val="288"/>
              </w:numPr>
              <w:ind w:left="0" w:firstLine="0"/>
              <w:jc w:val="left"/>
              <w:rPr>
                <w:rFonts w:eastAsia="Times New Roman"/>
                <w:color w:val="000000"/>
                <w:sz w:val="20"/>
                <w:szCs w:val="20"/>
                <w:lang w:eastAsia="ru-RU"/>
              </w:rPr>
            </w:pPr>
          </w:p>
        </w:tc>
        <w:tc>
          <w:tcPr>
            <w:tcW w:w="5245"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firstLine="0"/>
              <w:jc w:val="left"/>
              <w:rPr>
                <w:rFonts w:eastAsia="Times New Roman"/>
                <w:sz w:val="20"/>
                <w:szCs w:val="20"/>
                <w:lang w:eastAsia="ru-RU"/>
              </w:rPr>
            </w:pPr>
            <w:r w:rsidRPr="004761E0">
              <w:rPr>
                <w:rFonts w:eastAsia="Times New Roman"/>
                <w:sz w:val="20"/>
                <w:szCs w:val="20"/>
                <w:lang w:eastAsia="ru-RU"/>
              </w:rPr>
              <w:t>Полезный отпуск «котловой»</w:t>
            </w:r>
          </w:p>
        </w:tc>
        <w:tc>
          <w:tcPr>
            <w:tcW w:w="1275"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431F22">
            <w:pPr>
              <w:ind w:firstLine="0"/>
              <w:jc w:val="right"/>
              <w:rPr>
                <w:rFonts w:eastAsia="Times New Roman"/>
                <w:color w:val="000000"/>
                <w:sz w:val="20"/>
                <w:szCs w:val="20"/>
                <w:lang w:eastAsia="ru-RU"/>
              </w:rPr>
            </w:pPr>
            <w:r w:rsidRPr="004761E0">
              <w:rPr>
                <w:rFonts w:eastAsia="Times New Roman"/>
                <w:color w:val="000000"/>
                <w:sz w:val="20"/>
                <w:szCs w:val="20"/>
                <w:lang w:eastAsia="ru-RU"/>
              </w:rPr>
              <w:t>71 766</w:t>
            </w:r>
          </w:p>
        </w:tc>
        <w:tc>
          <w:tcPr>
            <w:tcW w:w="1702"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431F22">
            <w:pPr>
              <w:ind w:firstLine="0"/>
              <w:jc w:val="right"/>
              <w:rPr>
                <w:rFonts w:eastAsia="Times New Roman"/>
                <w:color w:val="000000"/>
                <w:sz w:val="20"/>
                <w:szCs w:val="20"/>
                <w:lang w:eastAsia="ru-RU"/>
              </w:rPr>
            </w:pPr>
            <w:r w:rsidRPr="004761E0">
              <w:rPr>
                <w:color w:val="000000"/>
                <w:sz w:val="20"/>
                <w:szCs w:val="20"/>
              </w:rPr>
              <w:t>69 627</w:t>
            </w:r>
          </w:p>
        </w:tc>
        <w:tc>
          <w:tcPr>
            <w:tcW w:w="1134"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431F22">
            <w:pPr>
              <w:ind w:firstLine="0"/>
              <w:jc w:val="right"/>
              <w:rPr>
                <w:rFonts w:eastAsia="Times New Roman"/>
                <w:color w:val="000000"/>
                <w:sz w:val="20"/>
                <w:szCs w:val="20"/>
                <w:lang w:eastAsia="ru-RU"/>
              </w:rPr>
            </w:pPr>
            <w:r w:rsidRPr="004761E0">
              <w:rPr>
                <w:color w:val="000000"/>
                <w:sz w:val="20"/>
                <w:szCs w:val="20"/>
              </w:rPr>
              <w:t>71 412</w:t>
            </w:r>
          </w:p>
        </w:tc>
      </w:tr>
      <w:tr w:rsidR="003429ED" w:rsidRPr="004761E0" w:rsidTr="00431F22">
        <w:trPr>
          <w:trHeight w:val="300"/>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3429ED" w:rsidRPr="004761E0" w:rsidRDefault="003429ED" w:rsidP="007076A7">
            <w:pPr>
              <w:pStyle w:val="a5"/>
              <w:numPr>
                <w:ilvl w:val="0"/>
                <w:numId w:val="288"/>
              </w:numPr>
              <w:ind w:left="0" w:firstLine="0"/>
              <w:jc w:val="left"/>
              <w:rPr>
                <w:rFonts w:eastAsia="Times New Roman"/>
                <w:color w:val="000000"/>
                <w:sz w:val="20"/>
                <w:szCs w:val="20"/>
                <w:lang w:eastAsia="ru-RU"/>
              </w:rPr>
            </w:pPr>
          </w:p>
        </w:tc>
        <w:tc>
          <w:tcPr>
            <w:tcW w:w="5245"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firstLine="0"/>
              <w:jc w:val="left"/>
              <w:rPr>
                <w:rFonts w:eastAsia="Times New Roman"/>
                <w:sz w:val="20"/>
                <w:szCs w:val="20"/>
                <w:lang w:eastAsia="ru-RU"/>
              </w:rPr>
            </w:pPr>
            <w:r w:rsidRPr="004761E0">
              <w:rPr>
                <w:rFonts w:eastAsia="Times New Roman"/>
                <w:sz w:val="20"/>
                <w:szCs w:val="20"/>
                <w:lang w:eastAsia="ru-RU"/>
              </w:rPr>
              <w:t>Средний тариф</w:t>
            </w:r>
          </w:p>
        </w:tc>
        <w:tc>
          <w:tcPr>
            <w:tcW w:w="1275"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431F22">
            <w:pPr>
              <w:ind w:firstLine="0"/>
              <w:jc w:val="right"/>
              <w:rPr>
                <w:rFonts w:eastAsia="Times New Roman"/>
                <w:color w:val="000000"/>
                <w:sz w:val="20"/>
                <w:szCs w:val="20"/>
                <w:lang w:eastAsia="ru-RU"/>
              </w:rPr>
            </w:pPr>
            <w:r w:rsidRPr="004761E0">
              <w:rPr>
                <w:rFonts w:eastAsia="Times New Roman"/>
                <w:color w:val="000000"/>
                <w:sz w:val="20"/>
                <w:szCs w:val="20"/>
                <w:lang w:eastAsia="ru-RU"/>
              </w:rPr>
              <w:t>160,0</w:t>
            </w:r>
          </w:p>
        </w:tc>
        <w:tc>
          <w:tcPr>
            <w:tcW w:w="1702"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431F22">
            <w:pPr>
              <w:ind w:firstLine="0"/>
              <w:jc w:val="right"/>
              <w:rPr>
                <w:rFonts w:eastAsia="Times New Roman"/>
                <w:color w:val="000000"/>
                <w:sz w:val="20"/>
                <w:szCs w:val="20"/>
                <w:lang w:eastAsia="ru-RU"/>
              </w:rPr>
            </w:pPr>
            <w:r w:rsidRPr="004761E0">
              <w:rPr>
                <w:color w:val="000000"/>
                <w:sz w:val="20"/>
                <w:szCs w:val="20"/>
              </w:rPr>
              <w:t>160,1</w:t>
            </w:r>
          </w:p>
        </w:tc>
        <w:tc>
          <w:tcPr>
            <w:tcW w:w="1134"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431F22">
            <w:pPr>
              <w:ind w:firstLine="0"/>
              <w:jc w:val="right"/>
              <w:rPr>
                <w:rFonts w:eastAsia="Times New Roman"/>
                <w:color w:val="000000"/>
                <w:sz w:val="20"/>
                <w:szCs w:val="20"/>
                <w:lang w:eastAsia="ru-RU"/>
              </w:rPr>
            </w:pPr>
            <w:r w:rsidRPr="004761E0">
              <w:rPr>
                <w:color w:val="000000"/>
                <w:sz w:val="20"/>
                <w:szCs w:val="20"/>
              </w:rPr>
              <w:t>159,8</w:t>
            </w:r>
          </w:p>
        </w:tc>
      </w:tr>
    </w:tbl>
    <w:p w:rsidR="00193A23" w:rsidRPr="004761E0" w:rsidRDefault="00193A23" w:rsidP="00193A23">
      <w:pPr>
        <w:ind w:firstLine="567"/>
        <w:rPr>
          <w:sz w:val="26"/>
          <w:szCs w:val="26"/>
          <w:lang w:eastAsia="ru-RU"/>
        </w:rPr>
      </w:pPr>
      <w:r>
        <w:rPr>
          <w:sz w:val="26"/>
          <w:szCs w:val="26"/>
          <w:lang w:eastAsia="ru-RU"/>
        </w:rPr>
        <w:lastRenderedPageBreak/>
        <w:t>Аналогичные д</w:t>
      </w:r>
      <w:r w:rsidRPr="004761E0">
        <w:rPr>
          <w:sz w:val="26"/>
          <w:szCs w:val="26"/>
          <w:lang w:eastAsia="ru-RU"/>
        </w:rPr>
        <w:t>анные в разбивке на г. Москву и Московскую область представлены в Приложении</w:t>
      </w:r>
      <w:r w:rsidR="003146BC">
        <w:rPr>
          <w:sz w:val="26"/>
          <w:szCs w:val="26"/>
          <w:lang w:eastAsia="ru-RU"/>
        </w:rPr>
        <w:t xml:space="preserve"> 12.1</w:t>
      </w:r>
      <w:r>
        <w:rPr>
          <w:sz w:val="26"/>
          <w:szCs w:val="26"/>
          <w:lang w:eastAsia="ru-RU"/>
        </w:rPr>
        <w:t>.</w:t>
      </w:r>
      <w:r w:rsidRPr="004761E0">
        <w:rPr>
          <w:sz w:val="26"/>
          <w:szCs w:val="26"/>
          <w:lang w:eastAsia="ru-RU"/>
        </w:rPr>
        <w:t xml:space="preserve"> к Годовому отчету.</w:t>
      </w:r>
    </w:p>
    <w:p w:rsidR="003429ED" w:rsidRPr="004761E0" w:rsidRDefault="003429ED" w:rsidP="00547BB3">
      <w:pPr>
        <w:ind w:firstLine="567"/>
        <w:rPr>
          <w:lang w:eastAsia="ru-RU"/>
        </w:rPr>
      </w:pPr>
      <w:r w:rsidRPr="004761E0">
        <w:rPr>
          <w:rFonts w:eastAsia="Times New Roman"/>
          <w:iCs/>
          <w:color w:val="000000"/>
          <w:sz w:val="26"/>
          <w:szCs w:val="26"/>
          <w:lang w:eastAsia="ru-RU"/>
        </w:rPr>
        <w:t>Выручка Компании при утверждении регулирующим органом включает нагрузочные потери</w:t>
      </w:r>
      <w:r w:rsidRPr="004761E0">
        <w:rPr>
          <w:rFonts w:eastAsia="Times New Roman"/>
          <w:i/>
          <w:iCs/>
          <w:color w:val="000000"/>
          <w:sz w:val="26"/>
          <w:szCs w:val="26"/>
          <w:lang w:eastAsia="ru-RU"/>
        </w:rPr>
        <w:t>.</w:t>
      </w:r>
    </w:p>
    <w:p w:rsidR="003429ED" w:rsidRPr="004761E0" w:rsidRDefault="003429ED" w:rsidP="003429ED">
      <w:pPr>
        <w:spacing w:before="120" w:after="120"/>
        <w:ind w:firstLine="567"/>
        <w:rPr>
          <w:b/>
          <w:sz w:val="26"/>
          <w:szCs w:val="26"/>
          <w:lang w:eastAsia="ru-RU"/>
        </w:rPr>
      </w:pPr>
      <w:r w:rsidRPr="004761E0">
        <w:rPr>
          <w:b/>
          <w:sz w:val="26"/>
          <w:szCs w:val="26"/>
          <w:lang w:eastAsia="ru-RU"/>
        </w:rPr>
        <w:t>Структура выручки от оказания услуг по технологическому присоединению по группам конечных потребителей</w:t>
      </w:r>
    </w:p>
    <w:tbl>
      <w:tblPr>
        <w:tblStyle w:val="16"/>
        <w:tblW w:w="10206" w:type="dxa"/>
        <w:tblInd w:w="108" w:type="dxa"/>
        <w:tblLook w:val="04A0"/>
      </w:tblPr>
      <w:tblGrid>
        <w:gridCol w:w="566"/>
        <w:gridCol w:w="5104"/>
        <w:gridCol w:w="1134"/>
        <w:gridCol w:w="1134"/>
        <w:gridCol w:w="1134"/>
        <w:gridCol w:w="1134"/>
      </w:tblGrid>
      <w:tr w:rsidR="003429ED" w:rsidRPr="004761E0" w:rsidTr="003429ED">
        <w:trPr>
          <w:cantSplit/>
          <w:trHeight w:val="470"/>
        </w:trPr>
        <w:tc>
          <w:tcPr>
            <w:tcW w:w="566" w:type="dxa"/>
            <w:tcBorders>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left"/>
              <w:rPr>
                <w:rFonts w:eastAsia="Times New Roman"/>
                <w:color w:val="000000"/>
                <w:sz w:val="20"/>
                <w:szCs w:val="20"/>
              </w:rPr>
            </w:pPr>
            <w:r w:rsidRPr="004761E0">
              <w:rPr>
                <w:rFonts w:eastAsia="Times New Roman"/>
                <w:b/>
                <w:color w:val="FFFFFF" w:themeColor="background1"/>
                <w:sz w:val="20"/>
                <w:szCs w:val="20"/>
              </w:rPr>
              <w:t>№ п/п</w:t>
            </w:r>
          </w:p>
        </w:tc>
        <w:tc>
          <w:tcPr>
            <w:tcW w:w="5104" w:type="dxa"/>
            <w:tcBorders>
              <w:left w:val="single" w:sz="4" w:space="0" w:color="FFFFFF" w:themeColor="background1"/>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left"/>
              <w:rPr>
                <w:rFonts w:eastAsia="Times New Roman"/>
                <w:color w:val="000000"/>
                <w:sz w:val="20"/>
                <w:szCs w:val="20"/>
              </w:rPr>
            </w:pPr>
            <w:r w:rsidRPr="004761E0">
              <w:rPr>
                <w:rFonts w:eastAsia="Times New Roman"/>
                <w:b/>
                <w:color w:val="FFFFFF" w:themeColor="background1"/>
                <w:sz w:val="20"/>
                <w:szCs w:val="20"/>
              </w:rPr>
              <w:t>Наименование категории</w:t>
            </w:r>
          </w:p>
        </w:tc>
        <w:tc>
          <w:tcPr>
            <w:tcW w:w="1134" w:type="dxa"/>
            <w:tcBorders>
              <w:left w:val="single" w:sz="4" w:space="0" w:color="FFFFFF" w:themeColor="background1"/>
              <w:right w:val="single" w:sz="4" w:space="0" w:color="FFFFFF" w:themeColor="background1"/>
            </w:tcBorders>
            <w:shd w:val="clear" w:color="auto" w:fill="0F243E" w:themeFill="text2" w:themeFillShade="80"/>
            <w:noWrap/>
            <w:vAlign w:val="center"/>
            <w:hideMark/>
          </w:tcPr>
          <w:p w:rsidR="003429ED" w:rsidRPr="004761E0" w:rsidRDefault="003429ED" w:rsidP="003429ED">
            <w:pPr>
              <w:ind w:firstLine="0"/>
              <w:jc w:val="right"/>
              <w:rPr>
                <w:rFonts w:eastAsia="Times New Roman"/>
                <w:color w:val="000000"/>
                <w:sz w:val="20"/>
                <w:szCs w:val="20"/>
              </w:rPr>
            </w:pPr>
            <w:r w:rsidRPr="004761E0">
              <w:rPr>
                <w:rFonts w:eastAsia="Times New Roman"/>
                <w:b/>
                <w:color w:val="FFFFFF" w:themeColor="background1"/>
                <w:sz w:val="20"/>
                <w:szCs w:val="20"/>
              </w:rPr>
              <w:t>2011</w:t>
            </w:r>
          </w:p>
        </w:tc>
        <w:tc>
          <w:tcPr>
            <w:tcW w:w="1134" w:type="dxa"/>
            <w:tcBorders>
              <w:left w:val="single" w:sz="4" w:space="0" w:color="FFFFFF" w:themeColor="background1"/>
              <w:right w:val="single" w:sz="4" w:space="0" w:color="FFFFFF" w:themeColor="background1"/>
            </w:tcBorders>
            <w:shd w:val="clear" w:color="auto" w:fill="0F243E" w:themeFill="text2" w:themeFillShade="80"/>
            <w:noWrap/>
            <w:vAlign w:val="center"/>
            <w:hideMark/>
          </w:tcPr>
          <w:p w:rsidR="003429ED" w:rsidRPr="004761E0" w:rsidRDefault="003429ED" w:rsidP="003429ED">
            <w:pPr>
              <w:ind w:firstLine="0"/>
              <w:jc w:val="right"/>
              <w:rPr>
                <w:rFonts w:eastAsia="Times New Roman"/>
                <w:color w:val="000000"/>
                <w:sz w:val="20"/>
                <w:szCs w:val="20"/>
              </w:rPr>
            </w:pPr>
            <w:r w:rsidRPr="004761E0">
              <w:rPr>
                <w:rFonts w:eastAsia="Times New Roman"/>
                <w:b/>
                <w:color w:val="FFFFFF" w:themeColor="background1"/>
                <w:sz w:val="20"/>
                <w:szCs w:val="20"/>
              </w:rPr>
              <w:t>2012</w:t>
            </w:r>
          </w:p>
        </w:tc>
        <w:tc>
          <w:tcPr>
            <w:tcW w:w="1134" w:type="dxa"/>
            <w:tcBorders>
              <w:left w:val="single" w:sz="4" w:space="0" w:color="FFFFFF" w:themeColor="background1"/>
              <w:right w:val="single" w:sz="4" w:space="0" w:color="FFFFFF" w:themeColor="background1"/>
            </w:tcBorders>
            <w:shd w:val="clear" w:color="auto" w:fill="0F243E" w:themeFill="text2" w:themeFillShade="80"/>
            <w:noWrap/>
            <w:vAlign w:val="center"/>
            <w:hideMark/>
          </w:tcPr>
          <w:p w:rsidR="003429ED" w:rsidRPr="004761E0" w:rsidRDefault="003429ED" w:rsidP="003429ED">
            <w:pPr>
              <w:ind w:firstLine="0"/>
              <w:jc w:val="right"/>
              <w:rPr>
                <w:rFonts w:eastAsia="Times New Roman"/>
                <w:color w:val="000000"/>
                <w:sz w:val="20"/>
                <w:szCs w:val="20"/>
              </w:rPr>
            </w:pPr>
            <w:r w:rsidRPr="004761E0">
              <w:rPr>
                <w:rFonts w:eastAsia="Times New Roman"/>
                <w:b/>
                <w:color w:val="FFFFFF" w:themeColor="background1"/>
                <w:sz w:val="20"/>
                <w:szCs w:val="20"/>
              </w:rPr>
              <w:t>2013</w:t>
            </w:r>
          </w:p>
        </w:tc>
        <w:tc>
          <w:tcPr>
            <w:tcW w:w="1134" w:type="dxa"/>
            <w:tcBorders>
              <w:left w:val="single" w:sz="4" w:space="0" w:color="FFFFFF" w:themeColor="background1"/>
            </w:tcBorders>
            <w:shd w:val="clear" w:color="auto" w:fill="0F243E" w:themeFill="text2" w:themeFillShade="80"/>
            <w:noWrap/>
            <w:vAlign w:val="center"/>
            <w:hideMark/>
          </w:tcPr>
          <w:p w:rsidR="003429ED" w:rsidRPr="004761E0" w:rsidRDefault="003429ED" w:rsidP="003429ED">
            <w:pPr>
              <w:ind w:firstLine="0"/>
              <w:jc w:val="right"/>
              <w:rPr>
                <w:rFonts w:eastAsia="Times New Roman"/>
                <w:color w:val="000000"/>
                <w:sz w:val="20"/>
                <w:szCs w:val="20"/>
              </w:rPr>
            </w:pPr>
            <w:r w:rsidRPr="004761E0">
              <w:rPr>
                <w:rFonts w:eastAsia="Times New Roman"/>
                <w:b/>
                <w:color w:val="FFFFFF" w:themeColor="background1"/>
                <w:sz w:val="20"/>
                <w:szCs w:val="20"/>
              </w:rPr>
              <w:t>2013/2012</w:t>
            </w:r>
          </w:p>
        </w:tc>
      </w:tr>
      <w:tr w:rsidR="003429ED" w:rsidRPr="004761E0" w:rsidTr="003429ED">
        <w:trPr>
          <w:cantSplit/>
        </w:trPr>
        <w:tc>
          <w:tcPr>
            <w:tcW w:w="566" w:type="dxa"/>
            <w:vAlign w:val="center"/>
            <w:hideMark/>
          </w:tcPr>
          <w:p w:rsidR="003429ED" w:rsidRPr="004761E0" w:rsidRDefault="003429ED" w:rsidP="007076A7">
            <w:pPr>
              <w:pStyle w:val="a5"/>
              <w:numPr>
                <w:ilvl w:val="0"/>
                <w:numId w:val="133"/>
              </w:numPr>
              <w:jc w:val="left"/>
              <w:rPr>
                <w:rFonts w:eastAsia="Times New Roman"/>
                <w:b/>
                <w:bCs/>
                <w:sz w:val="20"/>
                <w:szCs w:val="20"/>
              </w:rPr>
            </w:pPr>
          </w:p>
        </w:tc>
        <w:tc>
          <w:tcPr>
            <w:tcW w:w="5104" w:type="dxa"/>
            <w:hideMark/>
          </w:tcPr>
          <w:p w:rsidR="003429ED" w:rsidRPr="004761E0" w:rsidRDefault="003429ED" w:rsidP="003429ED">
            <w:pPr>
              <w:ind w:firstLine="0"/>
              <w:jc w:val="left"/>
              <w:rPr>
                <w:rFonts w:eastAsia="Times New Roman"/>
                <w:bCs/>
                <w:color w:val="000000"/>
                <w:sz w:val="20"/>
                <w:szCs w:val="20"/>
              </w:rPr>
            </w:pPr>
            <w:r w:rsidRPr="004761E0">
              <w:rPr>
                <w:rFonts w:eastAsia="Times New Roman"/>
                <w:bCs/>
                <w:color w:val="000000"/>
                <w:sz w:val="20"/>
                <w:szCs w:val="20"/>
              </w:rPr>
              <w:t>Выручка от услуг по технологическому присоединению, млн руб. (всего), в т.ч.:</w:t>
            </w:r>
          </w:p>
        </w:tc>
        <w:tc>
          <w:tcPr>
            <w:tcW w:w="1134" w:type="dxa"/>
            <w:noWrap/>
            <w:vAlign w:val="center"/>
            <w:hideMark/>
          </w:tcPr>
          <w:p w:rsidR="003429ED" w:rsidRPr="004761E0" w:rsidRDefault="003429ED" w:rsidP="003429ED">
            <w:pPr>
              <w:ind w:firstLine="0"/>
              <w:jc w:val="right"/>
              <w:rPr>
                <w:bCs/>
                <w:color w:val="000000"/>
                <w:sz w:val="20"/>
                <w:szCs w:val="20"/>
              </w:rPr>
            </w:pPr>
            <w:r w:rsidRPr="004761E0">
              <w:rPr>
                <w:bCs/>
                <w:color w:val="000000"/>
                <w:sz w:val="20"/>
                <w:szCs w:val="20"/>
              </w:rPr>
              <w:t>18 860</w:t>
            </w:r>
          </w:p>
        </w:tc>
        <w:tc>
          <w:tcPr>
            <w:tcW w:w="1134" w:type="dxa"/>
            <w:noWrap/>
            <w:vAlign w:val="center"/>
            <w:hideMark/>
          </w:tcPr>
          <w:p w:rsidR="003429ED" w:rsidRPr="004761E0" w:rsidRDefault="003429ED" w:rsidP="003429ED">
            <w:pPr>
              <w:ind w:firstLine="0"/>
              <w:jc w:val="right"/>
              <w:rPr>
                <w:bCs/>
                <w:color w:val="000000"/>
                <w:sz w:val="20"/>
                <w:szCs w:val="20"/>
              </w:rPr>
            </w:pPr>
            <w:r w:rsidRPr="004761E0">
              <w:rPr>
                <w:bCs/>
                <w:color w:val="000000"/>
                <w:sz w:val="20"/>
                <w:szCs w:val="20"/>
              </w:rPr>
              <w:t>17 386</w:t>
            </w:r>
          </w:p>
        </w:tc>
        <w:tc>
          <w:tcPr>
            <w:tcW w:w="1134" w:type="dxa"/>
            <w:noWrap/>
            <w:vAlign w:val="center"/>
            <w:hideMark/>
          </w:tcPr>
          <w:p w:rsidR="003429ED" w:rsidRPr="004761E0" w:rsidRDefault="003429ED" w:rsidP="003429ED">
            <w:pPr>
              <w:ind w:firstLine="0"/>
              <w:jc w:val="right"/>
              <w:rPr>
                <w:bCs/>
                <w:color w:val="000000"/>
                <w:sz w:val="20"/>
                <w:szCs w:val="20"/>
              </w:rPr>
            </w:pPr>
            <w:r w:rsidRPr="004761E0">
              <w:rPr>
                <w:bCs/>
                <w:color w:val="000000"/>
                <w:sz w:val="20"/>
                <w:szCs w:val="20"/>
              </w:rPr>
              <w:t>13 231</w:t>
            </w:r>
          </w:p>
        </w:tc>
        <w:tc>
          <w:tcPr>
            <w:tcW w:w="1134" w:type="dxa"/>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-23,90 %</w:t>
            </w:r>
          </w:p>
        </w:tc>
      </w:tr>
      <w:tr w:rsidR="003429ED" w:rsidRPr="004761E0" w:rsidTr="003429ED">
        <w:trPr>
          <w:cantSplit/>
        </w:trPr>
        <w:tc>
          <w:tcPr>
            <w:tcW w:w="566" w:type="dxa"/>
            <w:vAlign w:val="center"/>
            <w:hideMark/>
          </w:tcPr>
          <w:p w:rsidR="003429ED" w:rsidRPr="004761E0" w:rsidRDefault="003429ED" w:rsidP="007076A7">
            <w:pPr>
              <w:pStyle w:val="a5"/>
              <w:numPr>
                <w:ilvl w:val="1"/>
                <w:numId w:val="133"/>
              </w:numPr>
              <w:jc w:val="left"/>
              <w:rPr>
                <w:rFonts w:eastAsia="Times New Roman"/>
                <w:sz w:val="20"/>
                <w:szCs w:val="20"/>
              </w:rPr>
            </w:pPr>
          </w:p>
        </w:tc>
        <w:tc>
          <w:tcPr>
            <w:tcW w:w="5104" w:type="dxa"/>
            <w:hideMark/>
          </w:tcPr>
          <w:p w:rsidR="003429ED" w:rsidRPr="004761E0" w:rsidRDefault="003429ED" w:rsidP="003429ED">
            <w:pPr>
              <w:ind w:firstLineChars="200" w:firstLine="400"/>
              <w:jc w:val="left"/>
              <w:rPr>
                <w:rFonts w:eastAsia="Times New Roman"/>
                <w:color w:val="000000"/>
                <w:sz w:val="20"/>
                <w:szCs w:val="20"/>
              </w:rPr>
            </w:pPr>
            <w:r w:rsidRPr="004761E0">
              <w:rPr>
                <w:rFonts w:eastAsia="Times New Roman"/>
                <w:color w:val="000000"/>
                <w:sz w:val="20"/>
                <w:szCs w:val="20"/>
              </w:rPr>
              <w:t>до 15 кВт (всего), в т.ч.:</w:t>
            </w:r>
          </w:p>
        </w:tc>
        <w:tc>
          <w:tcPr>
            <w:tcW w:w="1134" w:type="dxa"/>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117</w:t>
            </w:r>
          </w:p>
        </w:tc>
        <w:tc>
          <w:tcPr>
            <w:tcW w:w="1134" w:type="dxa"/>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261</w:t>
            </w:r>
          </w:p>
        </w:tc>
        <w:tc>
          <w:tcPr>
            <w:tcW w:w="1134" w:type="dxa"/>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64</w:t>
            </w:r>
          </w:p>
        </w:tc>
        <w:tc>
          <w:tcPr>
            <w:tcW w:w="1134" w:type="dxa"/>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-75,50 %</w:t>
            </w:r>
          </w:p>
        </w:tc>
      </w:tr>
      <w:tr w:rsidR="003429ED" w:rsidRPr="004761E0" w:rsidTr="003429ED">
        <w:trPr>
          <w:cantSplit/>
        </w:trPr>
        <w:tc>
          <w:tcPr>
            <w:tcW w:w="566" w:type="dxa"/>
            <w:vAlign w:val="center"/>
            <w:hideMark/>
          </w:tcPr>
          <w:p w:rsidR="003429ED" w:rsidRPr="004761E0" w:rsidRDefault="003429ED" w:rsidP="007076A7">
            <w:pPr>
              <w:pStyle w:val="a5"/>
              <w:numPr>
                <w:ilvl w:val="2"/>
                <w:numId w:val="133"/>
              </w:numPr>
              <w:jc w:val="left"/>
              <w:rPr>
                <w:rFonts w:eastAsia="Times New Roman"/>
                <w:sz w:val="20"/>
                <w:szCs w:val="20"/>
              </w:rPr>
            </w:pPr>
          </w:p>
        </w:tc>
        <w:tc>
          <w:tcPr>
            <w:tcW w:w="5104" w:type="dxa"/>
            <w:hideMark/>
          </w:tcPr>
          <w:p w:rsidR="003429ED" w:rsidRPr="004761E0" w:rsidRDefault="003429ED" w:rsidP="003429ED">
            <w:pPr>
              <w:ind w:firstLineChars="371" w:firstLine="742"/>
              <w:jc w:val="left"/>
              <w:rPr>
                <w:rFonts w:eastAsia="Times New Roman"/>
                <w:color w:val="000000"/>
                <w:sz w:val="20"/>
                <w:szCs w:val="20"/>
              </w:rPr>
            </w:pPr>
            <w:r w:rsidRPr="004761E0">
              <w:rPr>
                <w:rFonts w:eastAsia="Times New Roman"/>
                <w:color w:val="000000"/>
                <w:sz w:val="20"/>
                <w:szCs w:val="20"/>
              </w:rPr>
              <w:t>физические лица до 15 кВт</w:t>
            </w:r>
          </w:p>
        </w:tc>
        <w:tc>
          <w:tcPr>
            <w:tcW w:w="1134" w:type="dxa"/>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5</w:t>
            </w:r>
          </w:p>
        </w:tc>
        <w:tc>
          <w:tcPr>
            <w:tcW w:w="1134" w:type="dxa"/>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6</w:t>
            </w:r>
          </w:p>
        </w:tc>
        <w:tc>
          <w:tcPr>
            <w:tcW w:w="1134" w:type="dxa"/>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10</w:t>
            </w:r>
          </w:p>
        </w:tc>
        <w:tc>
          <w:tcPr>
            <w:tcW w:w="1134" w:type="dxa"/>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86,70 %</w:t>
            </w:r>
          </w:p>
        </w:tc>
      </w:tr>
      <w:tr w:rsidR="003429ED" w:rsidRPr="004761E0" w:rsidTr="003429ED">
        <w:trPr>
          <w:cantSplit/>
        </w:trPr>
        <w:tc>
          <w:tcPr>
            <w:tcW w:w="566" w:type="dxa"/>
            <w:vAlign w:val="center"/>
            <w:hideMark/>
          </w:tcPr>
          <w:p w:rsidR="003429ED" w:rsidRPr="004761E0" w:rsidRDefault="003429ED" w:rsidP="007076A7">
            <w:pPr>
              <w:pStyle w:val="a5"/>
              <w:numPr>
                <w:ilvl w:val="1"/>
                <w:numId w:val="133"/>
              </w:numPr>
              <w:jc w:val="left"/>
              <w:rPr>
                <w:rFonts w:eastAsia="Times New Roman"/>
                <w:sz w:val="20"/>
                <w:szCs w:val="20"/>
              </w:rPr>
            </w:pPr>
          </w:p>
        </w:tc>
        <w:tc>
          <w:tcPr>
            <w:tcW w:w="5104" w:type="dxa"/>
            <w:hideMark/>
          </w:tcPr>
          <w:p w:rsidR="003429ED" w:rsidRPr="004761E0" w:rsidRDefault="003429ED" w:rsidP="003429ED">
            <w:pPr>
              <w:ind w:firstLineChars="200" w:firstLine="400"/>
              <w:jc w:val="left"/>
              <w:rPr>
                <w:rFonts w:eastAsia="Times New Roman"/>
                <w:color w:val="000000"/>
                <w:sz w:val="20"/>
                <w:szCs w:val="20"/>
              </w:rPr>
            </w:pPr>
            <w:r w:rsidRPr="004761E0">
              <w:rPr>
                <w:rFonts w:eastAsia="Times New Roman"/>
                <w:color w:val="000000"/>
                <w:sz w:val="20"/>
                <w:szCs w:val="20"/>
              </w:rPr>
              <w:t>свыше 15 кВт и до 150 кВт (всего), в т.ч.:</w:t>
            </w:r>
          </w:p>
        </w:tc>
        <w:tc>
          <w:tcPr>
            <w:tcW w:w="1134" w:type="dxa"/>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828</w:t>
            </w:r>
          </w:p>
        </w:tc>
        <w:tc>
          <w:tcPr>
            <w:tcW w:w="1134" w:type="dxa"/>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587</w:t>
            </w:r>
          </w:p>
        </w:tc>
        <w:tc>
          <w:tcPr>
            <w:tcW w:w="1134" w:type="dxa"/>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831</w:t>
            </w:r>
          </w:p>
        </w:tc>
        <w:tc>
          <w:tcPr>
            <w:tcW w:w="1134" w:type="dxa"/>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41,59 %</w:t>
            </w:r>
          </w:p>
        </w:tc>
      </w:tr>
      <w:tr w:rsidR="003429ED" w:rsidRPr="004761E0" w:rsidTr="003429ED">
        <w:trPr>
          <w:cantSplit/>
        </w:trPr>
        <w:tc>
          <w:tcPr>
            <w:tcW w:w="566" w:type="dxa"/>
            <w:vAlign w:val="center"/>
            <w:hideMark/>
          </w:tcPr>
          <w:p w:rsidR="003429ED" w:rsidRPr="004761E0" w:rsidRDefault="003429ED" w:rsidP="007076A7">
            <w:pPr>
              <w:pStyle w:val="a5"/>
              <w:numPr>
                <w:ilvl w:val="2"/>
                <w:numId w:val="133"/>
              </w:numPr>
              <w:jc w:val="left"/>
              <w:rPr>
                <w:rFonts w:eastAsia="Times New Roman"/>
                <w:sz w:val="20"/>
                <w:szCs w:val="20"/>
              </w:rPr>
            </w:pPr>
          </w:p>
        </w:tc>
        <w:tc>
          <w:tcPr>
            <w:tcW w:w="5104" w:type="dxa"/>
            <w:hideMark/>
          </w:tcPr>
          <w:p w:rsidR="003429ED" w:rsidRPr="004761E0" w:rsidRDefault="003429ED" w:rsidP="003429ED">
            <w:pPr>
              <w:ind w:firstLineChars="371" w:firstLine="742"/>
              <w:jc w:val="left"/>
              <w:rPr>
                <w:rFonts w:eastAsia="Times New Roman"/>
                <w:color w:val="000000"/>
                <w:sz w:val="20"/>
                <w:szCs w:val="20"/>
              </w:rPr>
            </w:pPr>
            <w:r w:rsidRPr="004761E0">
              <w:rPr>
                <w:rFonts w:eastAsia="Times New Roman"/>
                <w:color w:val="000000"/>
                <w:sz w:val="20"/>
                <w:szCs w:val="20"/>
              </w:rPr>
              <w:t>заявители, воспользовавшиеся рассрочкой</w:t>
            </w:r>
          </w:p>
        </w:tc>
        <w:tc>
          <w:tcPr>
            <w:tcW w:w="1134" w:type="dxa"/>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2</w:t>
            </w:r>
          </w:p>
        </w:tc>
        <w:tc>
          <w:tcPr>
            <w:tcW w:w="1134" w:type="dxa"/>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0</w:t>
            </w:r>
          </w:p>
        </w:tc>
        <w:tc>
          <w:tcPr>
            <w:tcW w:w="1134" w:type="dxa"/>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15</w:t>
            </w:r>
          </w:p>
        </w:tc>
        <w:tc>
          <w:tcPr>
            <w:tcW w:w="1134" w:type="dxa"/>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 xml:space="preserve"> –</w:t>
            </w:r>
          </w:p>
        </w:tc>
      </w:tr>
      <w:tr w:rsidR="003429ED" w:rsidRPr="004761E0" w:rsidTr="003429ED">
        <w:trPr>
          <w:cantSplit/>
        </w:trPr>
        <w:tc>
          <w:tcPr>
            <w:tcW w:w="566" w:type="dxa"/>
            <w:vAlign w:val="center"/>
            <w:hideMark/>
          </w:tcPr>
          <w:p w:rsidR="003429ED" w:rsidRPr="004761E0" w:rsidRDefault="003429ED" w:rsidP="007076A7">
            <w:pPr>
              <w:pStyle w:val="a5"/>
              <w:numPr>
                <w:ilvl w:val="1"/>
                <w:numId w:val="133"/>
              </w:numPr>
              <w:jc w:val="left"/>
              <w:rPr>
                <w:rFonts w:eastAsia="Times New Roman"/>
                <w:sz w:val="20"/>
                <w:szCs w:val="20"/>
              </w:rPr>
            </w:pPr>
          </w:p>
        </w:tc>
        <w:tc>
          <w:tcPr>
            <w:tcW w:w="5104" w:type="dxa"/>
            <w:hideMark/>
          </w:tcPr>
          <w:p w:rsidR="003429ED" w:rsidRPr="004761E0" w:rsidRDefault="003429ED" w:rsidP="003429ED">
            <w:pPr>
              <w:ind w:firstLineChars="200" w:firstLine="400"/>
              <w:jc w:val="left"/>
              <w:rPr>
                <w:rFonts w:eastAsia="Times New Roman"/>
                <w:color w:val="000000"/>
                <w:sz w:val="20"/>
                <w:szCs w:val="20"/>
              </w:rPr>
            </w:pPr>
            <w:r w:rsidRPr="004761E0">
              <w:rPr>
                <w:rFonts w:eastAsia="Times New Roman"/>
                <w:color w:val="000000"/>
                <w:sz w:val="20"/>
                <w:szCs w:val="20"/>
              </w:rPr>
              <w:t>свыше 150 кВт и менее 670 кВт</w:t>
            </w:r>
          </w:p>
        </w:tc>
        <w:tc>
          <w:tcPr>
            <w:tcW w:w="1134" w:type="dxa"/>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5 107</w:t>
            </w:r>
          </w:p>
        </w:tc>
        <w:tc>
          <w:tcPr>
            <w:tcW w:w="1134" w:type="dxa"/>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3 681</w:t>
            </w:r>
          </w:p>
        </w:tc>
        <w:tc>
          <w:tcPr>
            <w:tcW w:w="1134" w:type="dxa"/>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2 594</w:t>
            </w:r>
          </w:p>
        </w:tc>
        <w:tc>
          <w:tcPr>
            <w:tcW w:w="1134" w:type="dxa"/>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-29,53 %</w:t>
            </w:r>
          </w:p>
        </w:tc>
      </w:tr>
      <w:tr w:rsidR="003429ED" w:rsidRPr="004761E0" w:rsidTr="003429ED">
        <w:trPr>
          <w:cantSplit/>
        </w:trPr>
        <w:tc>
          <w:tcPr>
            <w:tcW w:w="566" w:type="dxa"/>
            <w:vAlign w:val="center"/>
            <w:hideMark/>
          </w:tcPr>
          <w:p w:rsidR="003429ED" w:rsidRPr="004761E0" w:rsidRDefault="003429ED" w:rsidP="007076A7">
            <w:pPr>
              <w:pStyle w:val="a5"/>
              <w:numPr>
                <w:ilvl w:val="1"/>
                <w:numId w:val="133"/>
              </w:numPr>
              <w:jc w:val="left"/>
              <w:rPr>
                <w:rFonts w:eastAsia="Times New Roman"/>
                <w:sz w:val="20"/>
                <w:szCs w:val="20"/>
              </w:rPr>
            </w:pPr>
          </w:p>
        </w:tc>
        <w:tc>
          <w:tcPr>
            <w:tcW w:w="5104" w:type="dxa"/>
            <w:hideMark/>
          </w:tcPr>
          <w:p w:rsidR="003429ED" w:rsidRPr="004761E0" w:rsidRDefault="003429ED" w:rsidP="003429ED">
            <w:pPr>
              <w:ind w:firstLineChars="200" w:firstLine="400"/>
              <w:jc w:val="left"/>
              <w:rPr>
                <w:rFonts w:eastAsia="Times New Roman"/>
                <w:color w:val="000000"/>
                <w:sz w:val="20"/>
                <w:szCs w:val="20"/>
              </w:rPr>
            </w:pPr>
            <w:r w:rsidRPr="004761E0">
              <w:rPr>
                <w:rFonts w:eastAsia="Times New Roman"/>
                <w:color w:val="000000"/>
                <w:sz w:val="20"/>
                <w:szCs w:val="20"/>
              </w:rPr>
              <w:t>не менее 670 кВт</w:t>
            </w:r>
          </w:p>
        </w:tc>
        <w:tc>
          <w:tcPr>
            <w:tcW w:w="1134" w:type="dxa"/>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12 808</w:t>
            </w:r>
          </w:p>
        </w:tc>
        <w:tc>
          <w:tcPr>
            <w:tcW w:w="1134" w:type="dxa"/>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12 857</w:t>
            </w:r>
          </w:p>
        </w:tc>
        <w:tc>
          <w:tcPr>
            <w:tcW w:w="1134" w:type="dxa"/>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9 742</w:t>
            </w:r>
          </w:p>
        </w:tc>
        <w:tc>
          <w:tcPr>
            <w:tcW w:w="1134" w:type="dxa"/>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-24,23 %</w:t>
            </w:r>
          </w:p>
        </w:tc>
      </w:tr>
    </w:tbl>
    <w:p w:rsidR="003429ED" w:rsidRPr="004761E0" w:rsidRDefault="003429ED" w:rsidP="003429ED">
      <w:pPr>
        <w:spacing w:before="120" w:after="120"/>
        <w:ind w:firstLine="0"/>
        <w:jc w:val="left"/>
        <w:rPr>
          <w:b/>
          <w:sz w:val="26"/>
          <w:szCs w:val="26"/>
          <w:lang w:eastAsia="ru-RU"/>
        </w:rPr>
      </w:pPr>
      <w:r w:rsidRPr="004761E0">
        <w:rPr>
          <w:b/>
          <w:noProof/>
          <w:sz w:val="26"/>
          <w:szCs w:val="26"/>
          <w:lang w:eastAsia="ru-RU"/>
        </w:rPr>
        <w:drawing>
          <wp:inline distT="0" distB="0" distL="0" distR="0">
            <wp:extent cx="3557846" cy="2587925"/>
            <wp:effectExtent l="0" t="0" r="24130" b="22225"/>
            <wp:docPr id="105"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8556DA" w:rsidRDefault="008556DA" w:rsidP="008556DA">
      <w:pPr>
        <w:ind w:firstLine="567"/>
        <w:rPr>
          <w:color w:val="000000"/>
          <w:sz w:val="26"/>
          <w:szCs w:val="26"/>
        </w:rPr>
      </w:pPr>
      <w:r w:rsidRPr="008556DA">
        <w:rPr>
          <w:sz w:val="26"/>
          <w:szCs w:val="26"/>
        </w:rPr>
        <w:t>Выручка, полученная от оказания услуг физическим лицам, выросла на 86,70 %, что обусловлено</w:t>
      </w:r>
      <w:r>
        <w:rPr>
          <w:color w:val="000000"/>
          <w:sz w:val="26"/>
          <w:szCs w:val="26"/>
        </w:rPr>
        <w:t xml:space="preserve"> ростом спроса на услуги по технологическому присоединению со стороны физических лиц при неизменном тарифе. В 2013 году ОАО «МОЭСК» присоединило мощности потребителям (с заявленной мощностью свыше 15 кВт и до 150 кВт) в 2,8 раза больше чем в 2012 году, что обеспечило рост выручки по данной категории потребителей на 41,59 %. Выручка, полученная от технологического присоединения свыше 150 кВт и менее 670 кВт, а также не менее 670 кВт, сократилась на 29,53 % и 24,23 % соответственно. Снижение выручки по категории свыше 150 кВт и менее 670 кВт обусловлено итогами тарифного регулирования на 2013 год: средняя стоимость присоединения 1 МВт за год снизилась примерно в 2 раза. Сокращение выручки по категории не менее 670 кВт в первую очередь связано со снижением объема присоединенной мощности по данной категории потребителей на 28,45 %.</w:t>
      </w:r>
    </w:p>
    <w:p w:rsidR="003429ED" w:rsidRPr="004761E0" w:rsidRDefault="003429ED" w:rsidP="003429ED">
      <w:pPr>
        <w:spacing w:before="120" w:after="120"/>
        <w:ind w:firstLine="567"/>
        <w:rPr>
          <w:rFonts w:eastAsia="Times New Roman"/>
          <w:b/>
          <w:color w:val="000000"/>
          <w:sz w:val="26"/>
          <w:szCs w:val="26"/>
          <w:lang w:eastAsia="ru-RU"/>
        </w:rPr>
      </w:pPr>
      <w:r w:rsidRPr="004761E0">
        <w:rPr>
          <w:rFonts w:eastAsia="Times New Roman"/>
          <w:b/>
          <w:color w:val="000000"/>
          <w:sz w:val="26"/>
          <w:szCs w:val="26"/>
          <w:lang w:eastAsia="ru-RU"/>
        </w:rPr>
        <w:t>Себестоимость</w:t>
      </w:r>
    </w:p>
    <w:p w:rsidR="003429ED" w:rsidRPr="004761E0" w:rsidRDefault="003429ED" w:rsidP="003429ED">
      <w:pPr>
        <w:shd w:val="clear" w:color="auto" w:fill="FFFFFF"/>
        <w:ind w:firstLine="0"/>
        <w:rPr>
          <w:rFonts w:eastAsia="Times New Roman"/>
          <w:sz w:val="26"/>
          <w:szCs w:val="26"/>
          <w:lang w:eastAsia="ru-RU"/>
        </w:rPr>
      </w:pPr>
      <w:r w:rsidRPr="004761E0">
        <w:rPr>
          <w:rFonts w:eastAsia="Times New Roman"/>
          <w:noProof/>
          <w:sz w:val="26"/>
          <w:szCs w:val="26"/>
          <w:lang w:eastAsia="ru-RU"/>
        </w:rPr>
        <w:lastRenderedPageBreak/>
        <w:drawing>
          <wp:inline distT="0" distB="0" distL="0" distR="0">
            <wp:extent cx="3009014" cy="3200400"/>
            <wp:effectExtent l="0" t="0" r="20320" b="19050"/>
            <wp:docPr id="294" name="Диаграмма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Pr="004761E0">
        <w:rPr>
          <w:rFonts w:eastAsia="Times New Roman"/>
          <w:sz w:val="26"/>
          <w:szCs w:val="26"/>
          <w:lang w:eastAsia="ru-RU"/>
        </w:rPr>
        <w:t xml:space="preserve"> </w:t>
      </w:r>
      <w:r w:rsidRPr="004761E0">
        <w:rPr>
          <w:rFonts w:eastAsia="Times New Roman"/>
          <w:noProof/>
          <w:sz w:val="26"/>
          <w:szCs w:val="26"/>
          <w:lang w:eastAsia="ru-RU"/>
        </w:rPr>
        <w:drawing>
          <wp:inline distT="0" distB="0" distL="0" distR="0">
            <wp:extent cx="3009014" cy="3200400"/>
            <wp:effectExtent l="0" t="0" r="20320" b="19050"/>
            <wp:docPr id="295" name="Диаграмма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3429ED" w:rsidRPr="004761E0" w:rsidRDefault="003429ED" w:rsidP="003429ED">
      <w:pPr>
        <w:shd w:val="clear" w:color="auto" w:fill="FFFFFF"/>
        <w:ind w:firstLine="567"/>
        <w:rPr>
          <w:rFonts w:eastAsia="Times New Roman"/>
          <w:sz w:val="26"/>
          <w:szCs w:val="26"/>
          <w:lang w:eastAsia="ru-RU"/>
        </w:rPr>
      </w:pPr>
      <w:r w:rsidRPr="004761E0">
        <w:rPr>
          <w:rFonts w:eastAsia="Times New Roman"/>
          <w:sz w:val="26"/>
          <w:szCs w:val="26"/>
          <w:lang w:eastAsia="ru-RU"/>
        </w:rPr>
        <w:t>За 2013 год себестоимость, оказываемых Компанией услуг, выросла на 11,61 % до 103,02 млрд руб., в частности, себестоимость услуг по передаче электроэнергии увеличилась  на 14,67 % до 101,89</w:t>
      </w:r>
      <w:r w:rsidR="005B1BFF">
        <w:rPr>
          <w:rFonts w:eastAsia="Times New Roman"/>
          <w:sz w:val="26"/>
          <w:szCs w:val="26"/>
          <w:lang w:eastAsia="ru-RU"/>
        </w:rPr>
        <w:t xml:space="preserve"> </w:t>
      </w:r>
      <w:r w:rsidRPr="004761E0">
        <w:rPr>
          <w:rFonts w:eastAsia="Times New Roman"/>
          <w:sz w:val="26"/>
          <w:szCs w:val="26"/>
          <w:lang w:eastAsia="ru-RU"/>
        </w:rPr>
        <w:t>млрд</w:t>
      </w:r>
      <w:r w:rsidR="005B1BFF">
        <w:rPr>
          <w:rFonts w:eastAsia="Times New Roman"/>
          <w:sz w:val="26"/>
          <w:szCs w:val="26"/>
          <w:lang w:eastAsia="ru-RU"/>
        </w:rPr>
        <w:t xml:space="preserve"> </w:t>
      </w:r>
      <w:r w:rsidRPr="004761E0">
        <w:rPr>
          <w:rFonts w:eastAsia="Times New Roman"/>
          <w:sz w:val="26"/>
          <w:szCs w:val="26"/>
          <w:lang w:eastAsia="ru-RU"/>
        </w:rPr>
        <w:t xml:space="preserve">руб., себестоимость услуг по технологическому присоединению сократилась на 70,92 % до 0,97 млрд руб., а себестоимость прочей деятельности выросла на 40,3 % до 0,16 млрд руб. </w:t>
      </w:r>
    </w:p>
    <w:p w:rsidR="003429ED" w:rsidRPr="004761E0" w:rsidRDefault="003429ED" w:rsidP="003429ED">
      <w:pPr>
        <w:shd w:val="clear" w:color="auto" w:fill="FFFFFF"/>
        <w:ind w:firstLine="567"/>
        <w:rPr>
          <w:rFonts w:eastAsia="Times New Roman"/>
          <w:sz w:val="26"/>
          <w:szCs w:val="26"/>
          <w:lang w:eastAsia="ru-RU"/>
        </w:rPr>
      </w:pPr>
      <w:r w:rsidRPr="004761E0">
        <w:rPr>
          <w:rFonts w:eastAsia="Times New Roman"/>
          <w:sz w:val="26"/>
          <w:szCs w:val="26"/>
          <w:lang w:eastAsia="ru-RU"/>
        </w:rPr>
        <w:t xml:space="preserve">Рост себестоимости услуг по передаче электроэнергии обусловлен преимущественно увеличением стоимости услуг сетевых организаций (МУП, ТСО) и </w:t>
      </w:r>
      <w:r w:rsidR="0008080E">
        <w:rPr>
          <w:rFonts w:eastAsia="Times New Roman"/>
          <w:sz w:val="26"/>
          <w:szCs w:val="26"/>
          <w:lang w:eastAsia="ru-RU"/>
        </w:rPr>
        <w:t>ОАО </w:t>
      </w:r>
      <w:r w:rsidRPr="004761E0">
        <w:rPr>
          <w:rFonts w:eastAsia="Times New Roman"/>
          <w:sz w:val="26"/>
          <w:szCs w:val="26"/>
          <w:lang w:eastAsia="ru-RU"/>
        </w:rPr>
        <w:t>«ФСК ЕЭС», а также ростом затрат на покупку электроэнергии для компенсации потерь. Снижение себестоимости по технологическому присоединению обусловлено снижением затрат по услугам лизинга</w:t>
      </w:r>
      <w:r w:rsidR="005B1BFF">
        <w:rPr>
          <w:rFonts w:eastAsia="Times New Roman"/>
          <w:sz w:val="26"/>
          <w:szCs w:val="26"/>
          <w:lang w:eastAsia="ru-RU"/>
        </w:rPr>
        <w:t xml:space="preserve"> в связи </w:t>
      </w:r>
      <w:r w:rsidRPr="004761E0">
        <w:rPr>
          <w:sz w:val="26"/>
          <w:szCs w:val="26"/>
        </w:rPr>
        <w:t xml:space="preserve">с завершением договоров лизинга с </w:t>
      </w:r>
      <w:r w:rsidR="0008080E">
        <w:rPr>
          <w:sz w:val="26"/>
          <w:szCs w:val="26"/>
        </w:rPr>
        <w:t>ООО </w:t>
      </w:r>
      <w:r w:rsidRPr="004761E0">
        <w:rPr>
          <w:sz w:val="26"/>
          <w:szCs w:val="26"/>
        </w:rPr>
        <w:t xml:space="preserve">«РБ Лизинг» и </w:t>
      </w:r>
      <w:r w:rsidR="0008080E">
        <w:rPr>
          <w:sz w:val="26"/>
          <w:szCs w:val="26"/>
        </w:rPr>
        <w:t>ЗАО </w:t>
      </w:r>
      <w:r w:rsidRPr="004761E0">
        <w:rPr>
          <w:sz w:val="26"/>
          <w:szCs w:val="26"/>
        </w:rPr>
        <w:t>«Газпромбанк Лизинг».</w:t>
      </w:r>
      <w:r w:rsidRPr="004761E0">
        <w:rPr>
          <w:rFonts w:eastAsia="Times New Roman"/>
          <w:sz w:val="26"/>
          <w:szCs w:val="26"/>
          <w:lang w:eastAsia="ru-RU"/>
        </w:rPr>
        <w:t xml:space="preserve"> Увеличение себестоимости прочей деятельности обусловлено ростом объемов оказания услуг по нерегулируемым видам деятельности.</w:t>
      </w:r>
    </w:p>
    <w:p w:rsidR="003429ED" w:rsidRPr="004761E0" w:rsidRDefault="003429ED" w:rsidP="003429ED">
      <w:pPr>
        <w:spacing w:before="120" w:after="120"/>
        <w:ind w:firstLine="567"/>
        <w:jc w:val="left"/>
        <w:rPr>
          <w:rFonts w:eastAsia="Times New Roman"/>
          <w:b/>
          <w:iCs/>
          <w:sz w:val="26"/>
          <w:szCs w:val="26"/>
          <w:lang w:eastAsia="ru-RU"/>
        </w:rPr>
      </w:pPr>
      <w:r w:rsidRPr="004761E0">
        <w:rPr>
          <w:rFonts w:eastAsia="Times New Roman"/>
          <w:b/>
          <w:iCs/>
          <w:sz w:val="26"/>
          <w:szCs w:val="26"/>
          <w:lang w:eastAsia="ru-RU"/>
        </w:rPr>
        <w:t>Структура себестоимости по статьям затрат</w:t>
      </w:r>
    </w:p>
    <w:tbl>
      <w:tblPr>
        <w:tblStyle w:val="16"/>
        <w:tblW w:w="10206" w:type="dxa"/>
        <w:tblInd w:w="108" w:type="dxa"/>
        <w:tblLook w:val="04A0"/>
      </w:tblPr>
      <w:tblGrid>
        <w:gridCol w:w="566"/>
        <w:gridCol w:w="5104"/>
        <w:gridCol w:w="1134"/>
        <w:gridCol w:w="1134"/>
        <w:gridCol w:w="1134"/>
        <w:gridCol w:w="1134"/>
      </w:tblGrid>
      <w:tr w:rsidR="00193A23" w:rsidRPr="004761E0" w:rsidTr="005C4306">
        <w:trPr>
          <w:cantSplit/>
          <w:trHeight w:val="470"/>
        </w:trPr>
        <w:tc>
          <w:tcPr>
            <w:tcW w:w="566" w:type="dxa"/>
            <w:tcBorders>
              <w:right w:val="single" w:sz="4" w:space="0" w:color="FFFFFF" w:themeColor="background1"/>
            </w:tcBorders>
            <w:shd w:val="clear" w:color="auto" w:fill="0F243E" w:themeFill="text2" w:themeFillShade="80"/>
            <w:vAlign w:val="center"/>
            <w:hideMark/>
          </w:tcPr>
          <w:p w:rsidR="00193A23" w:rsidRPr="004761E0" w:rsidRDefault="00193A23" w:rsidP="005C4306">
            <w:pPr>
              <w:ind w:firstLine="0"/>
              <w:jc w:val="left"/>
              <w:rPr>
                <w:rFonts w:eastAsia="Times New Roman"/>
                <w:color w:val="000000"/>
                <w:sz w:val="20"/>
                <w:szCs w:val="20"/>
              </w:rPr>
            </w:pPr>
            <w:r w:rsidRPr="004761E0">
              <w:rPr>
                <w:rFonts w:eastAsia="Times New Roman"/>
                <w:b/>
                <w:color w:val="FFFFFF" w:themeColor="background1"/>
                <w:sz w:val="20"/>
                <w:szCs w:val="20"/>
              </w:rPr>
              <w:t>№ п/п</w:t>
            </w:r>
          </w:p>
        </w:tc>
        <w:tc>
          <w:tcPr>
            <w:tcW w:w="5104" w:type="dxa"/>
            <w:tcBorders>
              <w:left w:val="single" w:sz="4" w:space="0" w:color="FFFFFF" w:themeColor="background1"/>
              <w:right w:val="single" w:sz="4" w:space="0" w:color="FFFFFF" w:themeColor="background1"/>
            </w:tcBorders>
            <w:shd w:val="clear" w:color="auto" w:fill="0F243E" w:themeFill="text2" w:themeFillShade="80"/>
            <w:vAlign w:val="center"/>
            <w:hideMark/>
          </w:tcPr>
          <w:p w:rsidR="00193A23" w:rsidRPr="004761E0" w:rsidRDefault="00193A23" w:rsidP="005C4306">
            <w:pPr>
              <w:ind w:firstLine="0"/>
              <w:jc w:val="left"/>
              <w:rPr>
                <w:rFonts w:eastAsia="Times New Roman"/>
                <w:color w:val="000000"/>
                <w:sz w:val="20"/>
                <w:szCs w:val="20"/>
              </w:rPr>
            </w:pPr>
            <w:r w:rsidRPr="004761E0">
              <w:rPr>
                <w:rFonts w:eastAsia="Times New Roman"/>
                <w:b/>
                <w:color w:val="FFFFFF" w:themeColor="background1"/>
                <w:sz w:val="20"/>
                <w:szCs w:val="20"/>
              </w:rPr>
              <w:t>Наименование категории</w:t>
            </w:r>
          </w:p>
        </w:tc>
        <w:tc>
          <w:tcPr>
            <w:tcW w:w="1134" w:type="dxa"/>
            <w:tcBorders>
              <w:left w:val="single" w:sz="4" w:space="0" w:color="FFFFFF" w:themeColor="background1"/>
              <w:right w:val="single" w:sz="4" w:space="0" w:color="FFFFFF" w:themeColor="background1"/>
            </w:tcBorders>
            <w:shd w:val="clear" w:color="auto" w:fill="0F243E" w:themeFill="text2" w:themeFillShade="80"/>
            <w:noWrap/>
            <w:vAlign w:val="center"/>
            <w:hideMark/>
          </w:tcPr>
          <w:p w:rsidR="00193A23" w:rsidRPr="004761E0" w:rsidRDefault="00193A23" w:rsidP="005C4306">
            <w:pPr>
              <w:ind w:firstLine="0"/>
              <w:jc w:val="right"/>
              <w:rPr>
                <w:rFonts w:eastAsia="Times New Roman"/>
                <w:color w:val="000000"/>
                <w:sz w:val="20"/>
                <w:szCs w:val="20"/>
              </w:rPr>
            </w:pPr>
            <w:r w:rsidRPr="004761E0">
              <w:rPr>
                <w:rFonts w:eastAsia="Times New Roman"/>
                <w:b/>
                <w:color w:val="FFFFFF" w:themeColor="background1"/>
                <w:sz w:val="20"/>
                <w:szCs w:val="20"/>
              </w:rPr>
              <w:t>2011</w:t>
            </w:r>
          </w:p>
        </w:tc>
        <w:tc>
          <w:tcPr>
            <w:tcW w:w="1134" w:type="dxa"/>
            <w:tcBorders>
              <w:left w:val="single" w:sz="4" w:space="0" w:color="FFFFFF" w:themeColor="background1"/>
              <w:right w:val="single" w:sz="4" w:space="0" w:color="FFFFFF" w:themeColor="background1"/>
            </w:tcBorders>
            <w:shd w:val="clear" w:color="auto" w:fill="0F243E" w:themeFill="text2" w:themeFillShade="80"/>
            <w:noWrap/>
            <w:vAlign w:val="center"/>
            <w:hideMark/>
          </w:tcPr>
          <w:p w:rsidR="00193A23" w:rsidRPr="004761E0" w:rsidRDefault="00193A23" w:rsidP="005C4306">
            <w:pPr>
              <w:ind w:firstLine="0"/>
              <w:jc w:val="right"/>
              <w:rPr>
                <w:rFonts w:eastAsia="Times New Roman"/>
                <w:color w:val="000000"/>
                <w:sz w:val="20"/>
                <w:szCs w:val="20"/>
              </w:rPr>
            </w:pPr>
            <w:r w:rsidRPr="004761E0">
              <w:rPr>
                <w:rFonts w:eastAsia="Times New Roman"/>
                <w:b/>
                <w:color w:val="FFFFFF" w:themeColor="background1"/>
                <w:sz w:val="20"/>
                <w:szCs w:val="20"/>
              </w:rPr>
              <w:t>2012</w:t>
            </w:r>
          </w:p>
        </w:tc>
        <w:tc>
          <w:tcPr>
            <w:tcW w:w="1134" w:type="dxa"/>
            <w:tcBorders>
              <w:left w:val="single" w:sz="4" w:space="0" w:color="FFFFFF" w:themeColor="background1"/>
              <w:right w:val="single" w:sz="4" w:space="0" w:color="FFFFFF" w:themeColor="background1"/>
            </w:tcBorders>
            <w:shd w:val="clear" w:color="auto" w:fill="0F243E" w:themeFill="text2" w:themeFillShade="80"/>
            <w:noWrap/>
            <w:vAlign w:val="center"/>
            <w:hideMark/>
          </w:tcPr>
          <w:p w:rsidR="00193A23" w:rsidRPr="004761E0" w:rsidRDefault="00193A23" w:rsidP="005C4306">
            <w:pPr>
              <w:ind w:firstLine="0"/>
              <w:jc w:val="right"/>
              <w:rPr>
                <w:rFonts w:eastAsia="Times New Roman"/>
                <w:color w:val="000000"/>
                <w:sz w:val="20"/>
                <w:szCs w:val="20"/>
              </w:rPr>
            </w:pPr>
            <w:r w:rsidRPr="004761E0">
              <w:rPr>
                <w:rFonts w:eastAsia="Times New Roman"/>
                <w:b/>
                <w:color w:val="FFFFFF" w:themeColor="background1"/>
                <w:sz w:val="20"/>
                <w:szCs w:val="20"/>
              </w:rPr>
              <w:t>2013</w:t>
            </w:r>
          </w:p>
        </w:tc>
        <w:tc>
          <w:tcPr>
            <w:tcW w:w="1134" w:type="dxa"/>
            <w:tcBorders>
              <w:left w:val="single" w:sz="4" w:space="0" w:color="FFFFFF" w:themeColor="background1"/>
            </w:tcBorders>
            <w:shd w:val="clear" w:color="auto" w:fill="0F243E" w:themeFill="text2" w:themeFillShade="80"/>
            <w:noWrap/>
            <w:vAlign w:val="center"/>
            <w:hideMark/>
          </w:tcPr>
          <w:p w:rsidR="00193A23" w:rsidRPr="004761E0" w:rsidRDefault="00193A23" w:rsidP="005C4306">
            <w:pPr>
              <w:ind w:firstLine="0"/>
              <w:jc w:val="right"/>
              <w:rPr>
                <w:rFonts w:eastAsia="Times New Roman"/>
                <w:color w:val="000000"/>
                <w:sz w:val="20"/>
                <w:szCs w:val="20"/>
              </w:rPr>
            </w:pPr>
            <w:r w:rsidRPr="004761E0">
              <w:rPr>
                <w:rFonts w:eastAsia="Times New Roman"/>
                <w:b/>
                <w:color w:val="FFFFFF" w:themeColor="background1"/>
                <w:sz w:val="20"/>
                <w:szCs w:val="20"/>
              </w:rPr>
              <w:t>2013/2012</w:t>
            </w:r>
          </w:p>
        </w:tc>
      </w:tr>
      <w:tr w:rsidR="00193A23" w:rsidRPr="004761E0" w:rsidTr="005C4306">
        <w:trPr>
          <w:cantSplit/>
        </w:trPr>
        <w:tc>
          <w:tcPr>
            <w:tcW w:w="566" w:type="dxa"/>
            <w:vAlign w:val="center"/>
          </w:tcPr>
          <w:p w:rsidR="00193A23" w:rsidRPr="004761E0" w:rsidRDefault="00193A23" w:rsidP="007076A7">
            <w:pPr>
              <w:pStyle w:val="a5"/>
              <w:numPr>
                <w:ilvl w:val="0"/>
                <w:numId w:val="203"/>
              </w:numPr>
              <w:jc w:val="left"/>
              <w:rPr>
                <w:rFonts w:eastAsia="Times New Roman"/>
                <w:b/>
                <w:bCs/>
                <w:sz w:val="20"/>
                <w:szCs w:val="20"/>
              </w:rPr>
            </w:pPr>
          </w:p>
        </w:tc>
        <w:tc>
          <w:tcPr>
            <w:tcW w:w="5104" w:type="dxa"/>
            <w:vAlign w:val="center"/>
          </w:tcPr>
          <w:p w:rsidR="00193A23" w:rsidRPr="004761E0" w:rsidRDefault="00193A23" w:rsidP="005C4306">
            <w:pPr>
              <w:ind w:firstLine="0"/>
              <w:rPr>
                <w:rFonts w:eastAsia="Times New Roman"/>
                <w:b/>
                <w:sz w:val="20"/>
                <w:szCs w:val="20"/>
              </w:rPr>
            </w:pPr>
            <w:r w:rsidRPr="004761E0">
              <w:rPr>
                <w:rFonts w:eastAsia="Times New Roman"/>
                <w:b/>
                <w:sz w:val="20"/>
                <w:szCs w:val="20"/>
              </w:rPr>
              <w:t>Себестоимость, млн руб. без НДС (всего), в т.ч.:</w:t>
            </w:r>
          </w:p>
        </w:tc>
        <w:tc>
          <w:tcPr>
            <w:tcW w:w="1134" w:type="dxa"/>
            <w:noWrap/>
            <w:vAlign w:val="center"/>
          </w:tcPr>
          <w:p w:rsidR="00193A23" w:rsidRPr="004761E0" w:rsidRDefault="00193A23" w:rsidP="005C4306">
            <w:pPr>
              <w:ind w:firstLine="0"/>
              <w:jc w:val="right"/>
              <w:rPr>
                <w:b/>
                <w:color w:val="000000"/>
                <w:sz w:val="20"/>
                <w:szCs w:val="20"/>
              </w:rPr>
            </w:pPr>
            <w:r w:rsidRPr="004761E0">
              <w:rPr>
                <w:b/>
                <w:color w:val="000000"/>
                <w:sz w:val="20"/>
                <w:szCs w:val="20"/>
              </w:rPr>
              <w:t>101 102</w:t>
            </w:r>
          </w:p>
        </w:tc>
        <w:tc>
          <w:tcPr>
            <w:tcW w:w="1134" w:type="dxa"/>
            <w:noWrap/>
            <w:vAlign w:val="center"/>
          </w:tcPr>
          <w:p w:rsidR="00193A23" w:rsidRPr="004761E0" w:rsidRDefault="00193A23" w:rsidP="005C4306">
            <w:pPr>
              <w:ind w:firstLine="0"/>
              <w:jc w:val="right"/>
              <w:rPr>
                <w:b/>
                <w:color w:val="000000"/>
                <w:sz w:val="20"/>
                <w:szCs w:val="20"/>
              </w:rPr>
            </w:pPr>
            <w:r w:rsidRPr="004761E0">
              <w:rPr>
                <w:b/>
                <w:color w:val="000000"/>
                <w:sz w:val="20"/>
                <w:szCs w:val="20"/>
              </w:rPr>
              <w:t>92 305</w:t>
            </w:r>
          </w:p>
        </w:tc>
        <w:tc>
          <w:tcPr>
            <w:tcW w:w="1134" w:type="dxa"/>
            <w:noWrap/>
            <w:vAlign w:val="center"/>
          </w:tcPr>
          <w:p w:rsidR="00193A23" w:rsidRPr="004761E0" w:rsidRDefault="00193A23" w:rsidP="005C4306">
            <w:pPr>
              <w:ind w:firstLine="0"/>
              <w:jc w:val="right"/>
              <w:rPr>
                <w:b/>
                <w:color w:val="000000"/>
                <w:sz w:val="20"/>
                <w:szCs w:val="20"/>
              </w:rPr>
            </w:pPr>
            <w:r w:rsidRPr="004761E0">
              <w:rPr>
                <w:b/>
                <w:color w:val="000000"/>
                <w:sz w:val="20"/>
                <w:szCs w:val="20"/>
              </w:rPr>
              <w:t>103 023</w:t>
            </w:r>
          </w:p>
        </w:tc>
        <w:tc>
          <w:tcPr>
            <w:tcW w:w="1134" w:type="dxa"/>
            <w:noWrap/>
            <w:vAlign w:val="center"/>
          </w:tcPr>
          <w:p w:rsidR="00193A23" w:rsidRPr="004761E0" w:rsidRDefault="00193A23" w:rsidP="005C4306">
            <w:pPr>
              <w:ind w:firstLine="0"/>
              <w:jc w:val="right"/>
              <w:rPr>
                <w:b/>
                <w:color w:val="000000"/>
                <w:sz w:val="20"/>
                <w:szCs w:val="22"/>
              </w:rPr>
            </w:pPr>
            <w:r w:rsidRPr="004761E0">
              <w:rPr>
                <w:b/>
                <w:color w:val="000000"/>
                <w:sz w:val="20"/>
                <w:szCs w:val="22"/>
              </w:rPr>
              <w:t>11,61 %</w:t>
            </w:r>
          </w:p>
        </w:tc>
      </w:tr>
      <w:tr w:rsidR="00193A23" w:rsidRPr="004761E0" w:rsidTr="005C4306">
        <w:trPr>
          <w:cantSplit/>
        </w:trPr>
        <w:tc>
          <w:tcPr>
            <w:tcW w:w="566" w:type="dxa"/>
            <w:vAlign w:val="center"/>
          </w:tcPr>
          <w:p w:rsidR="00193A23" w:rsidRPr="004761E0" w:rsidRDefault="00193A23" w:rsidP="007076A7">
            <w:pPr>
              <w:pStyle w:val="a5"/>
              <w:numPr>
                <w:ilvl w:val="1"/>
                <w:numId w:val="203"/>
              </w:numPr>
              <w:jc w:val="left"/>
              <w:rPr>
                <w:rFonts w:eastAsia="Times New Roman"/>
                <w:bCs/>
                <w:sz w:val="20"/>
                <w:szCs w:val="20"/>
              </w:rPr>
            </w:pPr>
          </w:p>
        </w:tc>
        <w:tc>
          <w:tcPr>
            <w:tcW w:w="5104" w:type="dxa"/>
            <w:vAlign w:val="center"/>
          </w:tcPr>
          <w:p w:rsidR="00193A23" w:rsidRPr="004761E0" w:rsidRDefault="00193A23" w:rsidP="005C4306">
            <w:pPr>
              <w:ind w:firstLine="0"/>
              <w:rPr>
                <w:rFonts w:eastAsia="Times New Roman"/>
                <w:sz w:val="20"/>
                <w:szCs w:val="20"/>
              </w:rPr>
            </w:pPr>
            <w:r w:rsidRPr="004761E0">
              <w:rPr>
                <w:rFonts w:eastAsia="Times New Roman"/>
                <w:sz w:val="20"/>
                <w:szCs w:val="20"/>
              </w:rPr>
              <w:t>Условно неподконтрольные затраты (всего), в т.ч.:</w:t>
            </w:r>
          </w:p>
        </w:tc>
        <w:tc>
          <w:tcPr>
            <w:tcW w:w="1134" w:type="dxa"/>
            <w:noWrap/>
            <w:vAlign w:val="center"/>
          </w:tcPr>
          <w:p w:rsidR="00193A23" w:rsidRPr="004761E0" w:rsidRDefault="00193A23" w:rsidP="005C4306">
            <w:pPr>
              <w:ind w:firstLine="0"/>
              <w:jc w:val="right"/>
              <w:rPr>
                <w:color w:val="000000"/>
                <w:sz w:val="20"/>
                <w:szCs w:val="20"/>
              </w:rPr>
            </w:pPr>
            <w:r w:rsidRPr="004761E0">
              <w:rPr>
                <w:color w:val="000000"/>
                <w:sz w:val="20"/>
                <w:szCs w:val="20"/>
              </w:rPr>
              <w:t>69 327</w:t>
            </w:r>
          </w:p>
        </w:tc>
        <w:tc>
          <w:tcPr>
            <w:tcW w:w="1134" w:type="dxa"/>
            <w:noWrap/>
            <w:vAlign w:val="center"/>
          </w:tcPr>
          <w:p w:rsidR="00193A23" w:rsidRPr="004761E0" w:rsidRDefault="00193A23" w:rsidP="005C4306">
            <w:pPr>
              <w:ind w:firstLine="0"/>
              <w:jc w:val="right"/>
              <w:rPr>
                <w:color w:val="000000"/>
                <w:sz w:val="20"/>
                <w:szCs w:val="20"/>
              </w:rPr>
            </w:pPr>
            <w:r w:rsidRPr="004761E0">
              <w:rPr>
                <w:color w:val="000000"/>
                <w:sz w:val="20"/>
                <w:szCs w:val="20"/>
              </w:rPr>
              <w:t>62 251</w:t>
            </w:r>
          </w:p>
        </w:tc>
        <w:tc>
          <w:tcPr>
            <w:tcW w:w="1134" w:type="dxa"/>
            <w:noWrap/>
            <w:vAlign w:val="center"/>
          </w:tcPr>
          <w:p w:rsidR="00193A23" w:rsidRPr="004761E0" w:rsidRDefault="00193A23" w:rsidP="005C4306">
            <w:pPr>
              <w:ind w:firstLine="0"/>
              <w:jc w:val="right"/>
              <w:rPr>
                <w:color w:val="000000"/>
                <w:sz w:val="20"/>
                <w:szCs w:val="20"/>
              </w:rPr>
            </w:pPr>
            <w:r w:rsidRPr="004761E0">
              <w:rPr>
                <w:color w:val="000000"/>
                <w:sz w:val="20"/>
                <w:szCs w:val="20"/>
              </w:rPr>
              <w:t>72 401</w:t>
            </w:r>
          </w:p>
        </w:tc>
        <w:tc>
          <w:tcPr>
            <w:tcW w:w="1134" w:type="dxa"/>
            <w:noWrap/>
            <w:vAlign w:val="center"/>
          </w:tcPr>
          <w:p w:rsidR="00193A23" w:rsidRPr="004761E0" w:rsidRDefault="00193A23" w:rsidP="005C4306">
            <w:pPr>
              <w:ind w:firstLine="0"/>
              <w:jc w:val="right"/>
              <w:rPr>
                <w:color w:val="000000"/>
                <w:sz w:val="20"/>
                <w:szCs w:val="22"/>
              </w:rPr>
            </w:pPr>
            <w:r w:rsidRPr="004761E0">
              <w:rPr>
                <w:color w:val="000000"/>
                <w:sz w:val="20"/>
                <w:szCs w:val="22"/>
              </w:rPr>
              <w:t>16,30 %</w:t>
            </w:r>
          </w:p>
        </w:tc>
      </w:tr>
      <w:tr w:rsidR="00193A23" w:rsidRPr="004761E0" w:rsidTr="005C4306">
        <w:trPr>
          <w:cantSplit/>
        </w:trPr>
        <w:tc>
          <w:tcPr>
            <w:tcW w:w="566" w:type="dxa"/>
            <w:vAlign w:val="center"/>
          </w:tcPr>
          <w:p w:rsidR="00193A23" w:rsidRPr="004761E0" w:rsidRDefault="00193A23" w:rsidP="007076A7">
            <w:pPr>
              <w:pStyle w:val="a5"/>
              <w:numPr>
                <w:ilvl w:val="2"/>
                <w:numId w:val="203"/>
              </w:numPr>
              <w:jc w:val="left"/>
              <w:rPr>
                <w:rFonts w:eastAsia="Times New Roman"/>
                <w:bCs/>
                <w:sz w:val="20"/>
                <w:szCs w:val="20"/>
              </w:rPr>
            </w:pPr>
          </w:p>
        </w:tc>
        <w:tc>
          <w:tcPr>
            <w:tcW w:w="5104" w:type="dxa"/>
            <w:vAlign w:val="center"/>
          </w:tcPr>
          <w:p w:rsidR="00193A23" w:rsidRPr="004761E0" w:rsidRDefault="00193A23" w:rsidP="005C4306">
            <w:pPr>
              <w:ind w:left="460" w:firstLine="0"/>
              <w:rPr>
                <w:rFonts w:eastAsia="Times New Roman"/>
                <w:sz w:val="20"/>
                <w:szCs w:val="20"/>
              </w:rPr>
            </w:pPr>
            <w:r w:rsidRPr="004761E0">
              <w:rPr>
                <w:rFonts w:eastAsia="Times New Roman"/>
                <w:sz w:val="20"/>
                <w:szCs w:val="20"/>
              </w:rPr>
              <w:t>покупная электроэнергия на компенсацию потерь</w:t>
            </w:r>
          </w:p>
        </w:tc>
        <w:tc>
          <w:tcPr>
            <w:tcW w:w="1134" w:type="dxa"/>
            <w:noWrap/>
            <w:vAlign w:val="center"/>
          </w:tcPr>
          <w:p w:rsidR="00193A23" w:rsidRPr="004761E0" w:rsidRDefault="00193A23" w:rsidP="005C4306">
            <w:pPr>
              <w:ind w:firstLine="0"/>
              <w:jc w:val="right"/>
              <w:rPr>
                <w:color w:val="000000"/>
                <w:sz w:val="20"/>
                <w:szCs w:val="20"/>
              </w:rPr>
            </w:pPr>
            <w:r w:rsidRPr="004761E0">
              <w:rPr>
                <w:color w:val="000000"/>
                <w:sz w:val="20"/>
                <w:szCs w:val="20"/>
              </w:rPr>
              <w:t>13 038</w:t>
            </w:r>
          </w:p>
        </w:tc>
        <w:tc>
          <w:tcPr>
            <w:tcW w:w="1134" w:type="dxa"/>
            <w:noWrap/>
            <w:vAlign w:val="center"/>
          </w:tcPr>
          <w:p w:rsidR="00193A23" w:rsidRPr="004761E0" w:rsidRDefault="00193A23" w:rsidP="005C4306">
            <w:pPr>
              <w:ind w:firstLine="0"/>
              <w:jc w:val="right"/>
              <w:rPr>
                <w:color w:val="000000"/>
                <w:sz w:val="20"/>
                <w:szCs w:val="20"/>
              </w:rPr>
            </w:pPr>
            <w:r w:rsidRPr="004761E0">
              <w:rPr>
                <w:color w:val="000000"/>
                <w:sz w:val="20"/>
                <w:szCs w:val="20"/>
              </w:rPr>
              <w:t>11 486</w:t>
            </w:r>
          </w:p>
        </w:tc>
        <w:tc>
          <w:tcPr>
            <w:tcW w:w="1134" w:type="dxa"/>
            <w:noWrap/>
            <w:vAlign w:val="center"/>
          </w:tcPr>
          <w:p w:rsidR="00193A23" w:rsidRPr="004761E0" w:rsidRDefault="00193A23" w:rsidP="005C4306">
            <w:pPr>
              <w:ind w:firstLine="0"/>
              <w:jc w:val="right"/>
              <w:rPr>
                <w:color w:val="000000"/>
                <w:sz w:val="20"/>
                <w:szCs w:val="20"/>
              </w:rPr>
            </w:pPr>
            <w:r w:rsidRPr="004761E0">
              <w:rPr>
                <w:color w:val="000000"/>
                <w:sz w:val="20"/>
                <w:szCs w:val="20"/>
              </w:rPr>
              <w:t>11 836</w:t>
            </w:r>
          </w:p>
        </w:tc>
        <w:tc>
          <w:tcPr>
            <w:tcW w:w="1134" w:type="dxa"/>
            <w:noWrap/>
            <w:vAlign w:val="center"/>
          </w:tcPr>
          <w:p w:rsidR="00193A23" w:rsidRPr="004761E0" w:rsidRDefault="00193A23" w:rsidP="005C4306">
            <w:pPr>
              <w:ind w:firstLine="0"/>
              <w:jc w:val="right"/>
              <w:rPr>
                <w:color w:val="000000"/>
                <w:sz w:val="20"/>
                <w:szCs w:val="22"/>
              </w:rPr>
            </w:pPr>
            <w:r w:rsidRPr="004761E0">
              <w:rPr>
                <w:color w:val="000000"/>
                <w:sz w:val="20"/>
                <w:szCs w:val="22"/>
              </w:rPr>
              <w:t>3,05 %</w:t>
            </w:r>
          </w:p>
        </w:tc>
      </w:tr>
      <w:tr w:rsidR="00193A23" w:rsidRPr="004761E0" w:rsidTr="005C4306">
        <w:trPr>
          <w:cantSplit/>
        </w:trPr>
        <w:tc>
          <w:tcPr>
            <w:tcW w:w="566" w:type="dxa"/>
            <w:vAlign w:val="center"/>
          </w:tcPr>
          <w:p w:rsidR="00193A23" w:rsidRPr="004761E0" w:rsidRDefault="00193A23" w:rsidP="007076A7">
            <w:pPr>
              <w:pStyle w:val="a5"/>
              <w:numPr>
                <w:ilvl w:val="2"/>
                <w:numId w:val="203"/>
              </w:numPr>
              <w:jc w:val="left"/>
              <w:rPr>
                <w:rFonts w:eastAsia="Times New Roman"/>
                <w:bCs/>
                <w:sz w:val="20"/>
                <w:szCs w:val="20"/>
              </w:rPr>
            </w:pPr>
          </w:p>
        </w:tc>
        <w:tc>
          <w:tcPr>
            <w:tcW w:w="5104" w:type="dxa"/>
            <w:vAlign w:val="center"/>
          </w:tcPr>
          <w:p w:rsidR="00193A23" w:rsidRPr="004761E0" w:rsidRDefault="00193A23" w:rsidP="005C4306">
            <w:pPr>
              <w:ind w:left="460" w:firstLine="0"/>
              <w:rPr>
                <w:rFonts w:eastAsia="Times New Roman"/>
                <w:sz w:val="20"/>
                <w:szCs w:val="20"/>
              </w:rPr>
            </w:pPr>
            <w:r w:rsidRPr="004761E0">
              <w:rPr>
                <w:rFonts w:eastAsia="Times New Roman"/>
                <w:sz w:val="20"/>
                <w:szCs w:val="20"/>
              </w:rPr>
              <w:t xml:space="preserve">услуги </w:t>
            </w:r>
            <w:r>
              <w:rPr>
                <w:rFonts w:eastAsia="Times New Roman"/>
                <w:sz w:val="20"/>
                <w:szCs w:val="20"/>
              </w:rPr>
              <w:t>ОАО </w:t>
            </w:r>
            <w:r w:rsidRPr="004761E0">
              <w:rPr>
                <w:rFonts w:eastAsia="Times New Roman"/>
                <w:sz w:val="20"/>
                <w:szCs w:val="20"/>
              </w:rPr>
              <w:t>«ФСК ЕЭС»</w:t>
            </w:r>
          </w:p>
        </w:tc>
        <w:tc>
          <w:tcPr>
            <w:tcW w:w="1134" w:type="dxa"/>
            <w:noWrap/>
            <w:vAlign w:val="center"/>
          </w:tcPr>
          <w:p w:rsidR="00193A23" w:rsidRPr="004761E0" w:rsidRDefault="00193A23" w:rsidP="005C4306">
            <w:pPr>
              <w:ind w:firstLine="0"/>
              <w:jc w:val="right"/>
              <w:rPr>
                <w:color w:val="000000"/>
                <w:sz w:val="20"/>
                <w:szCs w:val="20"/>
              </w:rPr>
            </w:pPr>
            <w:r w:rsidRPr="004761E0">
              <w:rPr>
                <w:color w:val="000000"/>
                <w:sz w:val="20"/>
                <w:szCs w:val="20"/>
              </w:rPr>
              <w:t>11 026</w:t>
            </w:r>
          </w:p>
        </w:tc>
        <w:tc>
          <w:tcPr>
            <w:tcW w:w="1134" w:type="dxa"/>
            <w:noWrap/>
            <w:vAlign w:val="center"/>
          </w:tcPr>
          <w:p w:rsidR="00193A23" w:rsidRPr="004761E0" w:rsidRDefault="00193A23" w:rsidP="005C4306">
            <w:pPr>
              <w:ind w:firstLine="0"/>
              <w:jc w:val="right"/>
              <w:rPr>
                <w:color w:val="000000"/>
                <w:sz w:val="20"/>
                <w:szCs w:val="20"/>
              </w:rPr>
            </w:pPr>
            <w:r w:rsidRPr="004761E0">
              <w:rPr>
                <w:color w:val="000000"/>
                <w:sz w:val="20"/>
                <w:szCs w:val="20"/>
              </w:rPr>
              <w:t>12 273</w:t>
            </w:r>
          </w:p>
        </w:tc>
        <w:tc>
          <w:tcPr>
            <w:tcW w:w="1134" w:type="dxa"/>
            <w:noWrap/>
            <w:vAlign w:val="center"/>
          </w:tcPr>
          <w:p w:rsidR="00193A23" w:rsidRPr="004761E0" w:rsidRDefault="00193A23" w:rsidP="005C4306">
            <w:pPr>
              <w:ind w:firstLine="0"/>
              <w:jc w:val="right"/>
              <w:rPr>
                <w:color w:val="000000"/>
                <w:sz w:val="20"/>
                <w:szCs w:val="20"/>
              </w:rPr>
            </w:pPr>
            <w:r w:rsidRPr="004761E0">
              <w:rPr>
                <w:color w:val="000000"/>
                <w:sz w:val="20"/>
                <w:szCs w:val="20"/>
              </w:rPr>
              <w:t>13 529</w:t>
            </w:r>
          </w:p>
        </w:tc>
        <w:tc>
          <w:tcPr>
            <w:tcW w:w="1134" w:type="dxa"/>
            <w:noWrap/>
            <w:vAlign w:val="center"/>
          </w:tcPr>
          <w:p w:rsidR="00193A23" w:rsidRPr="004761E0" w:rsidRDefault="00193A23" w:rsidP="005C4306">
            <w:pPr>
              <w:ind w:firstLine="0"/>
              <w:jc w:val="right"/>
              <w:rPr>
                <w:color w:val="000000"/>
                <w:sz w:val="20"/>
                <w:szCs w:val="22"/>
              </w:rPr>
            </w:pPr>
            <w:r w:rsidRPr="004761E0">
              <w:rPr>
                <w:color w:val="000000"/>
                <w:sz w:val="20"/>
                <w:szCs w:val="22"/>
              </w:rPr>
              <w:t>10,23 %</w:t>
            </w:r>
          </w:p>
        </w:tc>
      </w:tr>
      <w:tr w:rsidR="00193A23" w:rsidRPr="004761E0" w:rsidTr="005C4306">
        <w:trPr>
          <w:cantSplit/>
        </w:trPr>
        <w:tc>
          <w:tcPr>
            <w:tcW w:w="566" w:type="dxa"/>
            <w:vAlign w:val="center"/>
          </w:tcPr>
          <w:p w:rsidR="00193A23" w:rsidRPr="004761E0" w:rsidRDefault="00193A23" w:rsidP="007076A7">
            <w:pPr>
              <w:pStyle w:val="a5"/>
              <w:numPr>
                <w:ilvl w:val="2"/>
                <w:numId w:val="203"/>
              </w:numPr>
              <w:jc w:val="left"/>
              <w:rPr>
                <w:rFonts w:eastAsia="Times New Roman"/>
                <w:bCs/>
                <w:sz w:val="20"/>
                <w:szCs w:val="20"/>
              </w:rPr>
            </w:pPr>
          </w:p>
        </w:tc>
        <w:tc>
          <w:tcPr>
            <w:tcW w:w="5104" w:type="dxa"/>
            <w:vAlign w:val="center"/>
          </w:tcPr>
          <w:p w:rsidR="00193A23" w:rsidRPr="004761E0" w:rsidRDefault="00193A23" w:rsidP="005C4306">
            <w:pPr>
              <w:ind w:left="460" w:firstLine="0"/>
              <w:rPr>
                <w:rFonts w:eastAsia="Times New Roman"/>
                <w:sz w:val="20"/>
                <w:szCs w:val="20"/>
              </w:rPr>
            </w:pPr>
            <w:r w:rsidRPr="004761E0">
              <w:rPr>
                <w:rFonts w:eastAsia="Times New Roman"/>
                <w:sz w:val="20"/>
                <w:szCs w:val="20"/>
              </w:rPr>
              <w:t>услуги распределительных сетевых компаний</w:t>
            </w:r>
          </w:p>
        </w:tc>
        <w:tc>
          <w:tcPr>
            <w:tcW w:w="1134" w:type="dxa"/>
            <w:noWrap/>
            <w:vAlign w:val="center"/>
          </w:tcPr>
          <w:p w:rsidR="00193A23" w:rsidRPr="004761E0" w:rsidRDefault="00193A23" w:rsidP="005C4306">
            <w:pPr>
              <w:ind w:firstLine="0"/>
              <w:jc w:val="right"/>
              <w:rPr>
                <w:color w:val="000000"/>
                <w:sz w:val="20"/>
                <w:szCs w:val="20"/>
              </w:rPr>
            </w:pPr>
            <w:r w:rsidRPr="004761E0">
              <w:rPr>
                <w:color w:val="000000"/>
                <w:sz w:val="20"/>
                <w:szCs w:val="20"/>
              </w:rPr>
              <w:t>30 067</w:t>
            </w:r>
          </w:p>
        </w:tc>
        <w:tc>
          <w:tcPr>
            <w:tcW w:w="1134" w:type="dxa"/>
            <w:noWrap/>
            <w:vAlign w:val="center"/>
          </w:tcPr>
          <w:p w:rsidR="00193A23" w:rsidRPr="004761E0" w:rsidRDefault="00193A23" w:rsidP="005C4306">
            <w:pPr>
              <w:ind w:firstLine="0"/>
              <w:jc w:val="right"/>
              <w:rPr>
                <w:color w:val="000000"/>
                <w:sz w:val="20"/>
                <w:szCs w:val="20"/>
              </w:rPr>
            </w:pPr>
            <w:r w:rsidRPr="004761E0">
              <w:rPr>
                <w:color w:val="000000"/>
                <w:sz w:val="20"/>
                <w:szCs w:val="20"/>
              </w:rPr>
              <w:t>21 812</w:t>
            </w:r>
          </w:p>
        </w:tc>
        <w:tc>
          <w:tcPr>
            <w:tcW w:w="1134" w:type="dxa"/>
            <w:noWrap/>
            <w:vAlign w:val="center"/>
          </w:tcPr>
          <w:p w:rsidR="00193A23" w:rsidRPr="004761E0" w:rsidRDefault="00193A23" w:rsidP="005C4306">
            <w:pPr>
              <w:ind w:firstLine="0"/>
              <w:jc w:val="right"/>
              <w:rPr>
                <w:color w:val="000000"/>
                <w:sz w:val="20"/>
                <w:szCs w:val="20"/>
              </w:rPr>
            </w:pPr>
            <w:r w:rsidRPr="004761E0">
              <w:rPr>
                <w:color w:val="000000"/>
                <w:sz w:val="20"/>
                <w:szCs w:val="20"/>
              </w:rPr>
              <w:t>28 298</w:t>
            </w:r>
          </w:p>
        </w:tc>
        <w:tc>
          <w:tcPr>
            <w:tcW w:w="1134" w:type="dxa"/>
            <w:noWrap/>
            <w:vAlign w:val="center"/>
          </w:tcPr>
          <w:p w:rsidR="00193A23" w:rsidRPr="004761E0" w:rsidRDefault="00193A23" w:rsidP="005C4306">
            <w:pPr>
              <w:ind w:firstLine="0"/>
              <w:jc w:val="right"/>
              <w:rPr>
                <w:color w:val="000000"/>
                <w:sz w:val="20"/>
                <w:szCs w:val="22"/>
              </w:rPr>
            </w:pPr>
            <w:r w:rsidRPr="004761E0">
              <w:rPr>
                <w:color w:val="000000"/>
                <w:sz w:val="20"/>
                <w:szCs w:val="22"/>
              </w:rPr>
              <w:t>29,74 %</w:t>
            </w:r>
          </w:p>
        </w:tc>
      </w:tr>
      <w:tr w:rsidR="00193A23" w:rsidRPr="004761E0" w:rsidTr="005C4306">
        <w:trPr>
          <w:cantSplit/>
        </w:trPr>
        <w:tc>
          <w:tcPr>
            <w:tcW w:w="566" w:type="dxa"/>
            <w:vAlign w:val="center"/>
          </w:tcPr>
          <w:p w:rsidR="00193A23" w:rsidRPr="004761E0" w:rsidRDefault="00193A23" w:rsidP="007076A7">
            <w:pPr>
              <w:pStyle w:val="a5"/>
              <w:numPr>
                <w:ilvl w:val="2"/>
                <w:numId w:val="203"/>
              </w:numPr>
              <w:jc w:val="left"/>
              <w:rPr>
                <w:rFonts w:eastAsia="Times New Roman"/>
                <w:bCs/>
                <w:sz w:val="20"/>
                <w:szCs w:val="20"/>
              </w:rPr>
            </w:pPr>
          </w:p>
        </w:tc>
        <w:tc>
          <w:tcPr>
            <w:tcW w:w="5104" w:type="dxa"/>
            <w:vAlign w:val="center"/>
          </w:tcPr>
          <w:p w:rsidR="00193A23" w:rsidRPr="004761E0" w:rsidRDefault="00193A23" w:rsidP="005C4306">
            <w:pPr>
              <w:ind w:left="460" w:firstLine="0"/>
              <w:rPr>
                <w:rFonts w:eastAsia="Times New Roman"/>
                <w:sz w:val="20"/>
                <w:szCs w:val="20"/>
              </w:rPr>
            </w:pPr>
            <w:r w:rsidRPr="004761E0">
              <w:rPr>
                <w:rFonts w:eastAsia="Times New Roman"/>
                <w:sz w:val="20"/>
                <w:szCs w:val="20"/>
              </w:rPr>
              <w:t>амортизация</w:t>
            </w:r>
          </w:p>
        </w:tc>
        <w:tc>
          <w:tcPr>
            <w:tcW w:w="1134" w:type="dxa"/>
            <w:noWrap/>
            <w:vAlign w:val="center"/>
          </w:tcPr>
          <w:p w:rsidR="00193A23" w:rsidRPr="004761E0" w:rsidRDefault="00193A23" w:rsidP="005C4306">
            <w:pPr>
              <w:ind w:firstLine="0"/>
              <w:jc w:val="right"/>
              <w:rPr>
                <w:color w:val="000000"/>
                <w:sz w:val="20"/>
                <w:szCs w:val="20"/>
              </w:rPr>
            </w:pPr>
            <w:r w:rsidRPr="004761E0">
              <w:rPr>
                <w:color w:val="000000"/>
                <w:sz w:val="20"/>
                <w:szCs w:val="20"/>
              </w:rPr>
              <w:t>15 196</w:t>
            </w:r>
          </w:p>
        </w:tc>
        <w:tc>
          <w:tcPr>
            <w:tcW w:w="1134" w:type="dxa"/>
            <w:noWrap/>
            <w:vAlign w:val="center"/>
          </w:tcPr>
          <w:p w:rsidR="00193A23" w:rsidRPr="004761E0" w:rsidRDefault="00193A23" w:rsidP="005C4306">
            <w:pPr>
              <w:ind w:firstLine="0"/>
              <w:jc w:val="right"/>
              <w:rPr>
                <w:color w:val="000000"/>
                <w:sz w:val="20"/>
                <w:szCs w:val="20"/>
              </w:rPr>
            </w:pPr>
            <w:r w:rsidRPr="004761E0">
              <w:rPr>
                <w:color w:val="000000"/>
                <w:sz w:val="20"/>
                <w:szCs w:val="20"/>
              </w:rPr>
              <w:t>16 680</w:t>
            </w:r>
          </w:p>
        </w:tc>
        <w:tc>
          <w:tcPr>
            <w:tcW w:w="1134" w:type="dxa"/>
            <w:noWrap/>
            <w:vAlign w:val="center"/>
          </w:tcPr>
          <w:p w:rsidR="00193A23" w:rsidRPr="004761E0" w:rsidRDefault="00193A23" w:rsidP="005C4306">
            <w:pPr>
              <w:ind w:firstLine="0"/>
              <w:jc w:val="right"/>
              <w:rPr>
                <w:color w:val="000000"/>
                <w:sz w:val="20"/>
                <w:szCs w:val="20"/>
              </w:rPr>
            </w:pPr>
            <w:r w:rsidRPr="004761E0">
              <w:rPr>
                <w:color w:val="000000"/>
                <w:sz w:val="20"/>
                <w:szCs w:val="20"/>
              </w:rPr>
              <w:t>18 737</w:t>
            </w:r>
          </w:p>
        </w:tc>
        <w:tc>
          <w:tcPr>
            <w:tcW w:w="1134" w:type="dxa"/>
            <w:noWrap/>
            <w:vAlign w:val="center"/>
          </w:tcPr>
          <w:p w:rsidR="00193A23" w:rsidRPr="004761E0" w:rsidRDefault="00193A23" w:rsidP="005C4306">
            <w:pPr>
              <w:ind w:firstLine="0"/>
              <w:jc w:val="right"/>
              <w:rPr>
                <w:color w:val="000000"/>
                <w:sz w:val="20"/>
                <w:szCs w:val="22"/>
              </w:rPr>
            </w:pPr>
            <w:r w:rsidRPr="004761E0">
              <w:rPr>
                <w:color w:val="000000"/>
                <w:sz w:val="20"/>
                <w:szCs w:val="22"/>
              </w:rPr>
              <w:t>12,33 %</w:t>
            </w:r>
          </w:p>
        </w:tc>
      </w:tr>
      <w:tr w:rsidR="00193A23" w:rsidRPr="004761E0" w:rsidTr="005C4306">
        <w:trPr>
          <w:cantSplit/>
        </w:trPr>
        <w:tc>
          <w:tcPr>
            <w:tcW w:w="566" w:type="dxa"/>
            <w:vAlign w:val="center"/>
          </w:tcPr>
          <w:p w:rsidR="00193A23" w:rsidRPr="004761E0" w:rsidRDefault="00193A23" w:rsidP="007076A7">
            <w:pPr>
              <w:pStyle w:val="a5"/>
              <w:numPr>
                <w:ilvl w:val="1"/>
                <w:numId w:val="203"/>
              </w:numPr>
              <w:jc w:val="left"/>
              <w:rPr>
                <w:rFonts w:eastAsia="Times New Roman"/>
                <w:bCs/>
                <w:sz w:val="20"/>
                <w:szCs w:val="20"/>
              </w:rPr>
            </w:pPr>
          </w:p>
        </w:tc>
        <w:tc>
          <w:tcPr>
            <w:tcW w:w="5104" w:type="dxa"/>
            <w:vAlign w:val="center"/>
          </w:tcPr>
          <w:p w:rsidR="00193A23" w:rsidRPr="004761E0" w:rsidRDefault="00193A23" w:rsidP="005C4306">
            <w:pPr>
              <w:ind w:firstLine="0"/>
              <w:rPr>
                <w:rFonts w:eastAsia="Times New Roman"/>
                <w:sz w:val="20"/>
                <w:szCs w:val="20"/>
              </w:rPr>
            </w:pPr>
            <w:r w:rsidRPr="004761E0">
              <w:rPr>
                <w:rFonts w:eastAsia="Times New Roman"/>
                <w:sz w:val="20"/>
                <w:szCs w:val="20"/>
              </w:rPr>
              <w:t>Подконтрольные затраты (всего), в т.ч.:</w:t>
            </w:r>
          </w:p>
        </w:tc>
        <w:tc>
          <w:tcPr>
            <w:tcW w:w="1134" w:type="dxa"/>
            <w:noWrap/>
            <w:vAlign w:val="center"/>
          </w:tcPr>
          <w:p w:rsidR="00193A23" w:rsidRPr="004761E0" w:rsidRDefault="00193A23" w:rsidP="005C4306">
            <w:pPr>
              <w:ind w:firstLine="0"/>
              <w:jc w:val="right"/>
              <w:rPr>
                <w:color w:val="000000"/>
                <w:sz w:val="20"/>
                <w:szCs w:val="20"/>
              </w:rPr>
            </w:pPr>
            <w:r w:rsidRPr="004761E0">
              <w:rPr>
                <w:color w:val="000000"/>
                <w:sz w:val="20"/>
                <w:szCs w:val="20"/>
              </w:rPr>
              <w:t>31 775</w:t>
            </w:r>
          </w:p>
        </w:tc>
        <w:tc>
          <w:tcPr>
            <w:tcW w:w="1134" w:type="dxa"/>
            <w:noWrap/>
            <w:vAlign w:val="center"/>
          </w:tcPr>
          <w:p w:rsidR="00193A23" w:rsidRPr="004761E0" w:rsidRDefault="00193A23" w:rsidP="005C4306">
            <w:pPr>
              <w:ind w:firstLine="0"/>
              <w:jc w:val="right"/>
              <w:rPr>
                <w:color w:val="000000"/>
                <w:sz w:val="20"/>
                <w:szCs w:val="20"/>
              </w:rPr>
            </w:pPr>
            <w:r w:rsidRPr="004761E0">
              <w:rPr>
                <w:color w:val="000000"/>
                <w:sz w:val="20"/>
                <w:szCs w:val="20"/>
              </w:rPr>
              <w:t>30 054</w:t>
            </w:r>
          </w:p>
        </w:tc>
        <w:tc>
          <w:tcPr>
            <w:tcW w:w="1134" w:type="dxa"/>
            <w:noWrap/>
            <w:vAlign w:val="center"/>
          </w:tcPr>
          <w:p w:rsidR="00193A23" w:rsidRPr="004761E0" w:rsidRDefault="00193A23" w:rsidP="005C4306">
            <w:pPr>
              <w:ind w:firstLine="0"/>
              <w:jc w:val="right"/>
              <w:rPr>
                <w:color w:val="000000"/>
                <w:sz w:val="20"/>
                <w:szCs w:val="20"/>
              </w:rPr>
            </w:pPr>
            <w:r w:rsidRPr="004761E0">
              <w:rPr>
                <w:color w:val="000000"/>
                <w:sz w:val="20"/>
                <w:szCs w:val="20"/>
              </w:rPr>
              <w:t>30 622</w:t>
            </w:r>
          </w:p>
        </w:tc>
        <w:tc>
          <w:tcPr>
            <w:tcW w:w="1134" w:type="dxa"/>
            <w:noWrap/>
            <w:vAlign w:val="center"/>
          </w:tcPr>
          <w:p w:rsidR="00193A23" w:rsidRPr="004761E0" w:rsidRDefault="00193A23" w:rsidP="005C4306">
            <w:pPr>
              <w:ind w:firstLine="0"/>
              <w:jc w:val="right"/>
              <w:rPr>
                <w:color w:val="000000"/>
                <w:sz w:val="20"/>
                <w:szCs w:val="22"/>
              </w:rPr>
            </w:pPr>
            <w:r w:rsidRPr="004761E0">
              <w:rPr>
                <w:color w:val="000000"/>
                <w:sz w:val="20"/>
                <w:szCs w:val="22"/>
              </w:rPr>
              <w:t>1,89 %</w:t>
            </w:r>
          </w:p>
        </w:tc>
      </w:tr>
      <w:tr w:rsidR="00193A23" w:rsidRPr="004761E0" w:rsidTr="005C4306">
        <w:trPr>
          <w:cantSplit/>
        </w:trPr>
        <w:tc>
          <w:tcPr>
            <w:tcW w:w="566" w:type="dxa"/>
            <w:vAlign w:val="center"/>
          </w:tcPr>
          <w:p w:rsidR="00193A23" w:rsidRPr="004761E0" w:rsidRDefault="00193A23" w:rsidP="007076A7">
            <w:pPr>
              <w:pStyle w:val="a5"/>
              <w:numPr>
                <w:ilvl w:val="2"/>
                <w:numId w:val="203"/>
              </w:numPr>
              <w:jc w:val="left"/>
              <w:rPr>
                <w:rFonts w:eastAsia="Times New Roman"/>
                <w:bCs/>
                <w:sz w:val="20"/>
                <w:szCs w:val="20"/>
              </w:rPr>
            </w:pPr>
          </w:p>
        </w:tc>
        <w:tc>
          <w:tcPr>
            <w:tcW w:w="5104" w:type="dxa"/>
            <w:vAlign w:val="center"/>
          </w:tcPr>
          <w:p w:rsidR="00193A23" w:rsidRPr="004761E0" w:rsidRDefault="00193A23" w:rsidP="005C4306">
            <w:pPr>
              <w:ind w:left="460" w:firstLine="0"/>
              <w:rPr>
                <w:rFonts w:eastAsia="Times New Roman"/>
                <w:sz w:val="20"/>
                <w:szCs w:val="20"/>
              </w:rPr>
            </w:pPr>
            <w:r w:rsidRPr="004761E0">
              <w:rPr>
                <w:rFonts w:eastAsia="Times New Roman"/>
                <w:sz w:val="20"/>
                <w:szCs w:val="20"/>
              </w:rPr>
              <w:t>затраты на персонал (оплата труда, страховые взносы, НПФ)</w:t>
            </w:r>
          </w:p>
        </w:tc>
        <w:tc>
          <w:tcPr>
            <w:tcW w:w="1134" w:type="dxa"/>
            <w:noWrap/>
            <w:vAlign w:val="center"/>
          </w:tcPr>
          <w:p w:rsidR="00193A23" w:rsidRPr="004761E0" w:rsidRDefault="00193A23" w:rsidP="005C4306">
            <w:pPr>
              <w:ind w:firstLine="0"/>
              <w:jc w:val="right"/>
              <w:rPr>
                <w:color w:val="000000"/>
                <w:sz w:val="20"/>
                <w:szCs w:val="20"/>
              </w:rPr>
            </w:pPr>
            <w:r w:rsidRPr="004761E0">
              <w:rPr>
                <w:color w:val="000000"/>
                <w:sz w:val="20"/>
                <w:szCs w:val="20"/>
              </w:rPr>
              <w:t>13 987</w:t>
            </w:r>
          </w:p>
        </w:tc>
        <w:tc>
          <w:tcPr>
            <w:tcW w:w="1134" w:type="dxa"/>
            <w:noWrap/>
            <w:vAlign w:val="center"/>
          </w:tcPr>
          <w:p w:rsidR="00193A23" w:rsidRPr="004761E0" w:rsidRDefault="00193A23" w:rsidP="005C4306">
            <w:pPr>
              <w:ind w:firstLine="0"/>
              <w:jc w:val="right"/>
              <w:rPr>
                <w:color w:val="000000"/>
                <w:sz w:val="20"/>
                <w:szCs w:val="20"/>
              </w:rPr>
            </w:pPr>
            <w:r w:rsidRPr="004761E0">
              <w:rPr>
                <w:color w:val="000000"/>
                <w:sz w:val="20"/>
                <w:szCs w:val="20"/>
              </w:rPr>
              <w:t>13 407</w:t>
            </w:r>
          </w:p>
        </w:tc>
        <w:tc>
          <w:tcPr>
            <w:tcW w:w="1134" w:type="dxa"/>
            <w:noWrap/>
            <w:vAlign w:val="center"/>
          </w:tcPr>
          <w:p w:rsidR="00193A23" w:rsidRPr="004761E0" w:rsidRDefault="00193A23" w:rsidP="005C4306">
            <w:pPr>
              <w:ind w:firstLine="0"/>
              <w:jc w:val="right"/>
              <w:rPr>
                <w:color w:val="000000"/>
                <w:sz w:val="20"/>
                <w:szCs w:val="20"/>
              </w:rPr>
            </w:pPr>
            <w:r w:rsidRPr="004761E0">
              <w:rPr>
                <w:color w:val="000000"/>
                <w:sz w:val="20"/>
                <w:szCs w:val="20"/>
              </w:rPr>
              <w:t>14 880</w:t>
            </w:r>
          </w:p>
        </w:tc>
        <w:tc>
          <w:tcPr>
            <w:tcW w:w="1134" w:type="dxa"/>
            <w:noWrap/>
            <w:vAlign w:val="center"/>
          </w:tcPr>
          <w:p w:rsidR="00193A23" w:rsidRPr="004761E0" w:rsidRDefault="00193A23" w:rsidP="005C4306">
            <w:pPr>
              <w:ind w:firstLine="0"/>
              <w:jc w:val="right"/>
              <w:rPr>
                <w:color w:val="000000"/>
                <w:sz w:val="20"/>
                <w:szCs w:val="22"/>
              </w:rPr>
            </w:pPr>
            <w:r w:rsidRPr="004761E0">
              <w:rPr>
                <w:color w:val="000000"/>
                <w:sz w:val="20"/>
                <w:szCs w:val="22"/>
              </w:rPr>
              <w:t>10,99 %</w:t>
            </w:r>
          </w:p>
        </w:tc>
      </w:tr>
      <w:tr w:rsidR="00193A23" w:rsidRPr="004761E0" w:rsidTr="005C4306">
        <w:trPr>
          <w:cantSplit/>
        </w:trPr>
        <w:tc>
          <w:tcPr>
            <w:tcW w:w="566" w:type="dxa"/>
            <w:vAlign w:val="center"/>
          </w:tcPr>
          <w:p w:rsidR="00193A23" w:rsidRPr="004761E0" w:rsidRDefault="00193A23" w:rsidP="007076A7">
            <w:pPr>
              <w:pStyle w:val="a5"/>
              <w:numPr>
                <w:ilvl w:val="2"/>
                <w:numId w:val="203"/>
              </w:numPr>
              <w:jc w:val="left"/>
              <w:rPr>
                <w:rFonts w:eastAsia="Times New Roman"/>
                <w:bCs/>
                <w:sz w:val="20"/>
                <w:szCs w:val="20"/>
              </w:rPr>
            </w:pPr>
          </w:p>
        </w:tc>
        <w:tc>
          <w:tcPr>
            <w:tcW w:w="5104" w:type="dxa"/>
            <w:vAlign w:val="center"/>
          </w:tcPr>
          <w:p w:rsidR="00193A23" w:rsidRPr="004761E0" w:rsidRDefault="00193A23" w:rsidP="005C4306">
            <w:pPr>
              <w:ind w:left="460" w:firstLine="0"/>
              <w:rPr>
                <w:rFonts w:eastAsia="Times New Roman"/>
                <w:sz w:val="20"/>
                <w:szCs w:val="20"/>
              </w:rPr>
            </w:pPr>
            <w:r w:rsidRPr="004761E0">
              <w:rPr>
                <w:rFonts w:eastAsia="Times New Roman"/>
                <w:sz w:val="20"/>
                <w:szCs w:val="20"/>
              </w:rPr>
              <w:t>ремонтное обслуживание</w:t>
            </w:r>
          </w:p>
        </w:tc>
        <w:tc>
          <w:tcPr>
            <w:tcW w:w="1134" w:type="dxa"/>
            <w:noWrap/>
            <w:vAlign w:val="center"/>
          </w:tcPr>
          <w:p w:rsidR="00193A23" w:rsidRPr="004761E0" w:rsidRDefault="00193A23" w:rsidP="005C4306">
            <w:pPr>
              <w:ind w:firstLine="0"/>
              <w:jc w:val="right"/>
              <w:rPr>
                <w:color w:val="000000"/>
                <w:sz w:val="20"/>
                <w:szCs w:val="20"/>
              </w:rPr>
            </w:pPr>
            <w:r w:rsidRPr="004761E0">
              <w:rPr>
                <w:color w:val="000000"/>
                <w:sz w:val="20"/>
                <w:szCs w:val="20"/>
              </w:rPr>
              <w:t>5 216</w:t>
            </w:r>
          </w:p>
        </w:tc>
        <w:tc>
          <w:tcPr>
            <w:tcW w:w="1134" w:type="dxa"/>
            <w:noWrap/>
            <w:vAlign w:val="center"/>
          </w:tcPr>
          <w:p w:rsidR="00193A23" w:rsidRPr="004761E0" w:rsidRDefault="00193A23" w:rsidP="005C4306">
            <w:pPr>
              <w:ind w:firstLine="0"/>
              <w:jc w:val="right"/>
              <w:rPr>
                <w:color w:val="000000"/>
                <w:sz w:val="20"/>
                <w:szCs w:val="20"/>
              </w:rPr>
            </w:pPr>
            <w:r w:rsidRPr="004761E0">
              <w:rPr>
                <w:color w:val="000000"/>
                <w:sz w:val="20"/>
                <w:szCs w:val="20"/>
              </w:rPr>
              <w:t>4 945</w:t>
            </w:r>
          </w:p>
        </w:tc>
        <w:tc>
          <w:tcPr>
            <w:tcW w:w="1134" w:type="dxa"/>
            <w:noWrap/>
            <w:vAlign w:val="center"/>
          </w:tcPr>
          <w:p w:rsidR="00193A23" w:rsidRPr="004761E0" w:rsidRDefault="00193A23" w:rsidP="005C4306">
            <w:pPr>
              <w:ind w:firstLine="0"/>
              <w:jc w:val="right"/>
              <w:rPr>
                <w:color w:val="000000"/>
                <w:sz w:val="20"/>
                <w:szCs w:val="20"/>
              </w:rPr>
            </w:pPr>
            <w:r w:rsidRPr="004761E0">
              <w:rPr>
                <w:color w:val="000000"/>
                <w:sz w:val="20"/>
                <w:szCs w:val="20"/>
              </w:rPr>
              <w:t>5 333</w:t>
            </w:r>
          </w:p>
        </w:tc>
        <w:tc>
          <w:tcPr>
            <w:tcW w:w="1134" w:type="dxa"/>
            <w:noWrap/>
            <w:vAlign w:val="center"/>
          </w:tcPr>
          <w:p w:rsidR="00193A23" w:rsidRPr="004761E0" w:rsidRDefault="00193A23" w:rsidP="005C4306">
            <w:pPr>
              <w:ind w:firstLine="0"/>
              <w:jc w:val="right"/>
              <w:rPr>
                <w:color w:val="000000"/>
                <w:sz w:val="20"/>
                <w:szCs w:val="22"/>
              </w:rPr>
            </w:pPr>
            <w:r w:rsidRPr="004761E0">
              <w:rPr>
                <w:color w:val="000000"/>
                <w:sz w:val="20"/>
                <w:szCs w:val="22"/>
              </w:rPr>
              <w:t>7,85 %</w:t>
            </w:r>
          </w:p>
        </w:tc>
      </w:tr>
      <w:tr w:rsidR="00193A23" w:rsidRPr="004761E0" w:rsidTr="005C4306">
        <w:trPr>
          <w:cantSplit/>
        </w:trPr>
        <w:tc>
          <w:tcPr>
            <w:tcW w:w="566" w:type="dxa"/>
            <w:vAlign w:val="center"/>
          </w:tcPr>
          <w:p w:rsidR="00193A23" w:rsidRPr="004761E0" w:rsidRDefault="00193A23" w:rsidP="007076A7">
            <w:pPr>
              <w:pStyle w:val="a5"/>
              <w:numPr>
                <w:ilvl w:val="2"/>
                <w:numId w:val="203"/>
              </w:numPr>
              <w:jc w:val="left"/>
              <w:rPr>
                <w:rFonts w:eastAsia="Times New Roman"/>
                <w:bCs/>
                <w:sz w:val="20"/>
                <w:szCs w:val="20"/>
              </w:rPr>
            </w:pPr>
          </w:p>
        </w:tc>
        <w:tc>
          <w:tcPr>
            <w:tcW w:w="5104" w:type="dxa"/>
            <w:vAlign w:val="center"/>
          </w:tcPr>
          <w:p w:rsidR="00193A23" w:rsidRPr="004761E0" w:rsidRDefault="00193A23" w:rsidP="005C4306">
            <w:pPr>
              <w:ind w:left="460" w:firstLine="0"/>
              <w:rPr>
                <w:rFonts w:eastAsia="Times New Roman"/>
                <w:sz w:val="20"/>
                <w:szCs w:val="20"/>
              </w:rPr>
            </w:pPr>
            <w:r w:rsidRPr="004761E0">
              <w:rPr>
                <w:rFonts w:eastAsia="Times New Roman"/>
                <w:sz w:val="20"/>
                <w:szCs w:val="20"/>
              </w:rPr>
              <w:t>лизинговые платежи</w:t>
            </w:r>
          </w:p>
        </w:tc>
        <w:tc>
          <w:tcPr>
            <w:tcW w:w="1134" w:type="dxa"/>
            <w:noWrap/>
            <w:vAlign w:val="center"/>
          </w:tcPr>
          <w:p w:rsidR="00193A23" w:rsidRPr="004761E0" w:rsidRDefault="00193A23" w:rsidP="005C4306">
            <w:pPr>
              <w:ind w:firstLine="0"/>
              <w:jc w:val="right"/>
              <w:rPr>
                <w:color w:val="000000"/>
                <w:sz w:val="20"/>
                <w:szCs w:val="20"/>
              </w:rPr>
            </w:pPr>
            <w:r w:rsidRPr="004761E0">
              <w:rPr>
                <w:color w:val="000000"/>
                <w:sz w:val="20"/>
                <w:szCs w:val="20"/>
              </w:rPr>
              <w:t>3 943</w:t>
            </w:r>
          </w:p>
        </w:tc>
        <w:tc>
          <w:tcPr>
            <w:tcW w:w="1134" w:type="dxa"/>
            <w:noWrap/>
            <w:vAlign w:val="center"/>
          </w:tcPr>
          <w:p w:rsidR="00193A23" w:rsidRPr="004761E0" w:rsidRDefault="00193A23" w:rsidP="005C4306">
            <w:pPr>
              <w:ind w:firstLine="0"/>
              <w:jc w:val="right"/>
              <w:rPr>
                <w:color w:val="000000"/>
                <w:sz w:val="20"/>
                <w:szCs w:val="20"/>
              </w:rPr>
            </w:pPr>
            <w:r w:rsidRPr="004761E0">
              <w:rPr>
                <w:color w:val="000000"/>
                <w:sz w:val="20"/>
                <w:szCs w:val="20"/>
              </w:rPr>
              <w:t>3 214</w:t>
            </w:r>
          </w:p>
        </w:tc>
        <w:tc>
          <w:tcPr>
            <w:tcW w:w="1134" w:type="dxa"/>
            <w:noWrap/>
            <w:vAlign w:val="center"/>
          </w:tcPr>
          <w:p w:rsidR="00193A23" w:rsidRPr="004761E0" w:rsidRDefault="00193A23" w:rsidP="005C4306">
            <w:pPr>
              <w:ind w:firstLine="0"/>
              <w:jc w:val="right"/>
              <w:rPr>
                <w:color w:val="000000"/>
                <w:sz w:val="20"/>
                <w:szCs w:val="20"/>
              </w:rPr>
            </w:pPr>
            <w:r w:rsidRPr="004761E0">
              <w:rPr>
                <w:color w:val="000000"/>
                <w:sz w:val="20"/>
                <w:szCs w:val="20"/>
              </w:rPr>
              <w:t>2 169</w:t>
            </w:r>
          </w:p>
        </w:tc>
        <w:tc>
          <w:tcPr>
            <w:tcW w:w="1134" w:type="dxa"/>
            <w:noWrap/>
            <w:vAlign w:val="center"/>
          </w:tcPr>
          <w:p w:rsidR="00193A23" w:rsidRPr="004761E0" w:rsidRDefault="00193A23" w:rsidP="005C4306">
            <w:pPr>
              <w:ind w:firstLine="0"/>
              <w:jc w:val="right"/>
              <w:rPr>
                <w:color w:val="000000"/>
                <w:sz w:val="20"/>
                <w:szCs w:val="22"/>
              </w:rPr>
            </w:pPr>
            <w:r w:rsidRPr="004761E0">
              <w:rPr>
                <w:color w:val="000000"/>
                <w:sz w:val="20"/>
                <w:szCs w:val="22"/>
              </w:rPr>
              <w:t>-32,51 %</w:t>
            </w:r>
          </w:p>
        </w:tc>
      </w:tr>
      <w:tr w:rsidR="00193A23" w:rsidRPr="004761E0" w:rsidTr="005C4306">
        <w:trPr>
          <w:cantSplit/>
        </w:trPr>
        <w:tc>
          <w:tcPr>
            <w:tcW w:w="566" w:type="dxa"/>
            <w:vAlign w:val="center"/>
          </w:tcPr>
          <w:p w:rsidR="00193A23" w:rsidRPr="004761E0" w:rsidRDefault="00193A23" w:rsidP="007076A7">
            <w:pPr>
              <w:pStyle w:val="a5"/>
              <w:numPr>
                <w:ilvl w:val="2"/>
                <w:numId w:val="203"/>
              </w:numPr>
              <w:jc w:val="left"/>
              <w:rPr>
                <w:rFonts w:eastAsia="Times New Roman"/>
                <w:bCs/>
                <w:sz w:val="20"/>
                <w:szCs w:val="20"/>
              </w:rPr>
            </w:pPr>
          </w:p>
        </w:tc>
        <w:tc>
          <w:tcPr>
            <w:tcW w:w="5104" w:type="dxa"/>
            <w:vAlign w:val="center"/>
          </w:tcPr>
          <w:p w:rsidR="00193A23" w:rsidRPr="004761E0" w:rsidRDefault="00193A23" w:rsidP="005C4306">
            <w:pPr>
              <w:ind w:left="460" w:firstLine="0"/>
              <w:rPr>
                <w:rFonts w:eastAsia="Times New Roman"/>
                <w:sz w:val="20"/>
                <w:szCs w:val="20"/>
              </w:rPr>
            </w:pPr>
            <w:r w:rsidRPr="004761E0">
              <w:rPr>
                <w:rFonts w:eastAsia="Times New Roman"/>
                <w:sz w:val="20"/>
                <w:szCs w:val="20"/>
              </w:rPr>
              <w:t>ИТ-затраты</w:t>
            </w:r>
          </w:p>
        </w:tc>
        <w:tc>
          <w:tcPr>
            <w:tcW w:w="1134" w:type="dxa"/>
            <w:noWrap/>
            <w:vAlign w:val="center"/>
          </w:tcPr>
          <w:p w:rsidR="00193A23" w:rsidRPr="004761E0" w:rsidRDefault="00193A23" w:rsidP="005C4306">
            <w:pPr>
              <w:ind w:firstLine="0"/>
              <w:jc w:val="right"/>
              <w:rPr>
                <w:color w:val="000000"/>
                <w:sz w:val="20"/>
                <w:szCs w:val="20"/>
              </w:rPr>
            </w:pPr>
            <w:r w:rsidRPr="004761E0">
              <w:rPr>
                <w:color w:val="000000"/>
                <w:sz w:val="20"/>
                <w:szCs w:val="20"/>
              </w:rPr>
              <w:t>352</w:t>
            </w:r>
          </w:p>
        </w:tc>
        <w:tc>
          <w:tcPr>
            <w:tcW w:w="1134" w:type="dxa"/>
            <w:noWrap/>
            <w:vAlign w:val="center"/>
          </w:tcPr>
          <w:p w:rsidR="00193A23" w:rsidRPr="004761E0" w:rsidRDefault="00193A23" w:rsidP="005C4306">
            <w:pPr>
              <w:ind w:firstLine="0"/>
              <w:jc w:val="right"/>
              <w:rPr>
                <w:color w:val="000000"/>
                <w:sz w:val="20"/>
                <w:szCs w:val="20"/>
              </w:rPr>
            </w:pPr>
            <w:r w:rsidRPr="004761E0">
              <w:rPr>
                <w:color w:val="000000"/>
                <w:sz w:val="20"/>
                <w:szCs w:val="20"/>
              </w:rPr>
              <w:t>401</w:t>
            </w:r>
          </w:p>
        </w:tc>
        <w:tc>
          <w:tcPr>
            <w:tcW w:w="1134" w:type="dxa"/>
            <w:noWrap/>
            <w:vAlign w:val="center"/>
          </w:tcPr>
          <w:p w:rsidR="00193A23" w:rsidRPr="004761E0" w:rsidRDefault="00193A23" w:rsidP="005C4306">
            <w:pPr>
              <w:ind w:firstLine="0"/>
              <w:jc w:val="right"/>
              <w:rPr>
                <w:color w:val="000000"/>
                <w:sz w:val="20"/>
                <w:szCs w:val="20"/>
              </w:rPr>
            </w:pPr>
            <w:r w:rsidRPr="004761E0">
              <w:rPr>
                <w:color w:val="000000"/>
                <w:sz w:val="20"/>
                <w:szCs w:val="20"/>
              </w:rPr>
              <w:t>367</w:t>
            </w:r>
          </w:p>
        </w:tc>
        <w:tc>
          <w:tcPr>
            <w:tcW w:w="1134" w:type="dxa"/>
            <w:noWrap/>
            <w:vAlign w:val="center"/>
          </w:tcPr>
          <w:p w:rsidR="00193A23" w:rsidRPr="004761E0" w:rsidRDefault="00193A23" w:rsidP="005C4306">
            <w:pPr>
              <w:ind w:firstLine="0"/>
              <w:jc w:val="right"/>
              <w:rPr>
                <w:color w:val="000000"/>
                <w:sz w:val="20"/>
                <w:szCs w:val="22"/>
              </w:rPr>
            </w:pPr>
            <w:r w:rsidRPr="004761E0">
              <w:rPr>
                <w:color w:val="000000"/>
                <w:sz w:val="20"/>
                <w:szCs w:val="22"/>
              </w:rPr>
              <w:t>-8,48 %</w:t>
            </w:r>
          </w:p>
        </w:tc>
      </w:tr>
      <w:tr w:rsidR="00193A23" w:rsidRPr="004761E0" w:rsidTr="005C4306">
        <w:trPr>
          <w:cantSplit/>
        </w:trPr>
        <w:tc>
          <w:tcPr>
            <w:tcW w:w="566" w:type="dxa"/>
            <w:vAlign w:val="center"/>
          </w:tcPr>
          <w:p w:rsidR="00193A23" w:rsidRPr="004761E0" w:rsidRDefault="00193A23" w:rsidP="007076A7">
            <w:pPr>
              <w:pStyle w:val="a5"/>
              <w:numPr>
                <w:ilvl w:val="2"/>
                <w:numId w:val="203"/>
              </w:numPr>
              <w:jc w:val="left"/>
              <w:rPr>
                <w:rFonts w:eastAsia="Times New Roman"/>
                <w:bCs/>
                <w:sz w:val="20"/>
                <w:szCs w:val="20"/>
              </w:rPr>
            </w:pPr>
          </w:p>
        </w:tc>
        <w:tc>
          <w:tcPr>
            <w:tcW w:w="5104" w:type="dxa"/>
            <w:vAlign w:val="center"/>
          </w:tcPr>
          <w:p w:rsidR="00193A23" w:rsidRPr="004761E0" w:rsidRDefault="00193A23" w:rsidP="005C4306">
            <w:pPr>
              <w:ind w:left="460" w:firstLine="0"/>
              <w:rPr>
                <w:rFonts w:eastAsia="Times New Roman"/>
                <w:sz w:val="20"/>
                <w:szCs w:val="20"/>
              </w:rPr>
            </w:pPr>
            <w:r w:rsidRPr="004761E0">
              <w:rPr>
                <w:rFonts w:eastAsia="Times New Roman"/>
                <w:sz w:val="20"/>
                <w:szCs w:val="20"/>
              </w:rPr>
              <w:t>прочие расходы</w:t>
            </w:r>
          </w:p>
        </w:tc>
        <w:tc>
          <w:tcPr>
            <w:tcW w:w="1134" w:type="dxa"/>
            <w:noWrap/>
            <w:vAlign w:val="center"/>
          </w:tcPr>
          <w:p w:rsidR="00193A23" w:rsidRPr="004761E0" w:rsidRDefault="00193A23" w:rsidP="005C4306">
            <w:pPr>
              <w:ind w:firstLine="0"/>
              <w:jc w:val="right"/>
              <w:rPr>
                <w:color w:val="000000"/>
                <w:sz w:val="20"/>
                <w:szCs w:val="20"/>
              </w:rPr>
            </w:pPr>
            <w:r w:rsidRPr="004761E0">
              <w:rPr>
                <w:color w:val="000000"/>
                <w:sz w:val="20"/>
                <w:szCs w:val="20"/>
              </w:rPr>
              <w:t>8 278</w:t>
            </w:r>
          </w:p>
        </w:tc>
        <w:tc>
          <w:tcPr>
            <w:tcW w:w="1134" w:type="dxa"/>
            <w:noWrap/>
            <w:vAlign w:val="center"/>
          </w:tcPr>
          <w:p w:rsidR="00193A23" w:rsidRPr="004761E0" w:rsidRDefault="00193A23" w:rsidP="005C4306">
            <w:pPr>
              <w:ind w:firstLine="0"/>
              <w:jc w:val="right"/>
              <w:rPr>
                <w:color w:val="000000"/>
                <w:sz w:val="20"/>
                <w:szCs w:val="20"/>
              </w:rPr>
            </w:pPr>
            <w:r w:rsidRPr="004761E0">
              <w:rPr>
                <w:color w:val="000000"/>
                <w:sz w:val="20"/>
                <w:szCs w:val="20"/>
              </w:rPr>
              <w:t>8 086</w:t>
            </w:r>
          </w:p>
        </w:tc>
        <w:tc>
          <w:tcPr>
            <w:tcW w:w="1134" w:type="dxa"/>
            <w:noWrap/>
            <w:vAlign w:val="center"/>
          </w:tcPr>
          <w:p w:rsidR="00193A23" w:rsidRPr="004761E0" w:rsidRDefault="00193A23" w:rsidP="005C4306">
            <w:pPr>
              <w:ind w:firstLine="0"/>
              <w:jc w:val="right"/>
              <w:rPr>
                <w:color w:val="000000"/>
                <w:sz w:val="20"/>
                <w:szCs w:val="20"/>
              </w:rPr>
            </w:pPr>
            <w:r w:rsidRPr="004761E0">
              <w:rPr>
                <w:color w:val="000000"/>
                <w:sz w:val="20"/>
                <w:szCs w:val="20"/>
              </w:rPr>
              <w:t>7 873</w:t>
            </w:r>
          </w:p>
        </w:tc>
        <w:tc>
          <w:tcPr>
            <w:tcW w:w="1134" w:type="dxa"/>
            <w:noWrap/>
            <w:vAlign w:val="center"/>
          </w:tcPr>
          <w:p w:rsidR="00193A23" w:rsidRPr="004761E0" w:rsidRDefault="00193A23" w:rsidP="005C4306">
            <w:pPr>
              <w:ind w:firstLine="0"/>
              <w:jc w:val="right"/>
              <w:rPr>
                <w:color w:val="000000"/>
                <w:sz w:val="20"/>
                <w:szCs w:val="22"/>
              </w:rPr>
            </w:pPr>
            <w:r w:rsidRPr="004761E0">
              <w:rPr>
                <w:color w:val="000000"/>
                <w:sz w:val="20"/>
                <w:szCs w:val="22"/>
              </w:rPr>
              <w:t>-2,63 %</w:t>
            </w:r>
          </w:p>
        </w:tc>
      </w:tr>
      <w:tr w:rsidR="00193A23" w:rsidRPr="004761E0" w:rsidTr="005C4306">
        <w:trPr>
          <w:cantSplit/>
        </w:trPr>
        <w:tc>
          <w:tcPr>
            <w:tcW w:w="566" w:type="dxa"/>
            <w:vAlign w:val="center"/>
          </w:tcPr>
          <w:p w:rsidR="00193A23" w:rsidRPr="004761E0" w:rsidRDefault="00193A23" w:rsidP="005C4306">
            <w:pPr>
              <w:ind w:firstLine="0"/>
              <w:jc w:val="left"/>
              <w:rPr>
                <w:rFonts w:eastAsia="Times New Roman"/>
                <w:bCs/>
                <w:sz w:val="20"/>
                <w:szCs w:val="20"/>
              </w:rPr>
            </w:pPr>
          </w:p>
        </w:tc>
        <w:tc>
          <w:tcPr>
            <w:tcW w:w="5104" w:type="dxa"/>
            <w:vAlign w:val="center"/>
          </w:tcPr>
          <w:p w:rsidR="00193A23" w:rsidRPr="004761E0" w:rsidRDefault="00193A23" w:rsidP="005C4306">
            <w:pPr>
              <w:ind w:left="35" w:firstLine="0"/>
              <w:rPr>
                <w:rFonts w:eastAsia="Times New Roman"/>
                <w:sz w:val="20"/>
                <w:szCs w:val="20"/>
              </w:rPr>
            </w:pPr>
            <w:r w:rsidRPr="004761E0">
              <w:rPr>
                <w:rFonts w:eastAsia="Times New Roman"/>
                <w:sz w:val="20"/>
                <w:szCs w:val="20"/>
              </w:rPr>
              <w:t>Справочно:</w:t>
            </w:r>
          </w:p>
        </w:tc>
        <w:tc>
          <w:tcPr>
            <w:tcW w:w="1134" w:type="dxa"/>
            <w:noWrap/>
            <w:vAlign w:val="center"/>
          </w:tcPr>
          <w:p w:rsidR="00193A23" w:rsidRPr="004761E0" w:rsidRDefault="00193A23" w:rsidP="005C4306">
            <w:pPr>
              <w:ind w:firstLine="0"/>
              <w:jc w:val="right"/>
              <w:rPr>
                <w:color w:val="000000"/>
                <w:sz w:val="20"/>
                <w:szCs w:val="20"/>
              </w:rPr>
            </w:pPr>
          </w:p>
        </w:tc>
        <w:tc>
          <w:tcPr>
            <w:tcW w:w="1134" w:type="dxa"/>
            <w:noWrap/>
            <w:vAlign w:val="center"/>
          </w:tcPr>
          <w:p w:rsidR="00193A23" w:rsidRPr="004761E0" w:rsidRDefault="00193A23" w:rsidP="005C4306">
            <w:pPr>
              <w:ind w:firstLine="0"/>
              <w:jc w:val="right"/>
              <w:rPr>
                <w:color w:val="000000"/>
                <w:sz w:val="20"/>
                <w:szCs w:val="20"/>
              </w:rPr>
            </w:pPr>
          </w:p>
        </w:tc>
        <w:tc>
          <w:tcPr>
            <w:tcW w:w="1134" w:type="dxa"/>
            <w:noWrap/>
            <w:vAlign w:val="center"/>
          </w:tcPr>
          <w:p w:rsidR="00193A23" w:rsidRPr="004761E0" w:rsidRDefault="00193A23" w:rsidP="005C4306">
            <w:pPr>
              <w:ind w:firstLine="0"/>
              <w:jc w:val="right"/>
              <w:rPr>
                <w:color w:val="000000"/>
                <w:sz w:val="20"/>
                <w:szCs w:val="20"/>
              </w:rPr>
            </w:pPr>
          </w:p>
        </w:tc>
        <w:tc>
          <w:tcPr>
            <w:tcW w:w="1134" w:type="dxa"/>
            <w:noWrap/>
            <w:vAlign w:val="center"/>
          </w:tcPr>
          <w:p w:rsidR="00193A23" w:rsidRPr="004761E0" w:rsidRDefault="00193A23" w:rsidP="005C4306">
            <w:pPr>
              <w:ind w:firstLine="0"/>
              <w:jc w:val="right"/>
              <w:rPr>
                <w:color w:val="000000"/>
                <w:sz w:val="20"/>
                <w:szCs w:val="22"/>
              </w:rPr>
            </w:pPr>
          </w:p>
        </w:tc>
      </w:tr>
      <w:tr w:rsidR="00193A23" w:rsidRPr="004761E0" w:rsidTr="005C4306">
        <w:trPr>
          <w:cantSplit/>
        </w:trPr>
        <w:tc>
          <w:tcPr>
            <w:tcW w:w="566" w:type="dxa"/>
            <w:vAlign w:val="center"/>
          </w:tcPr>
          <w:p w:rsidR="00193A23" w:rsidRPr="00D341DC" w:rsidRDefault="00193A23" w:rsidP="007076A7">
            <w:pPr>
              <w:pStyle w:val="a5"/>
              <w:numPr>
                <w:ilvl w:val="0"/>
                <w:numId w:val="203"/>
              </w:numPr>
              <w:jc w:val="left"/>
              <w:rPr>
                <w:rFonts w:eastAsia="Times New Roman"/>
                <w:bCs/>
                <w:sz w:val="20"/>
                <w:szCs w:val="20"/>
              </w:rPr>
            </w:pPr>
          </w:p>
        </w:tc>
        <w:tc>
          <w:tcPr>
            <w:tcW w:w="5104" w:type="dxa"/>
            <w:vAlign w:val="center"/>
          </w:tcPr>
          <w:p w:rsidR="00193A23" w:rsidRPr="004761E0" w:rsidRDefault="00193A23" w:rsidP="005C4306">
            <w:pPr>
              <w:ind w:firstLine="0"/>
              <w:rPr>
                <w:rFonts w:eastAsia="Times New Roman"/>
                <w:sz w:val="20"/>
                <w:szCs w:val="20"/>
                <w:lang w:eastAsia="ru-RU"/>
              </w:rPr>
            </w:pPr>
            <w:r w:rsidRPr="004761E0">
              <w:rPr>
                <w:rFonts w:eastAsia="Times New Roman"/>
                <w:sz w:val="20"/>
                <w:szCs w:val="20"/>
                <w:lang w:eastAsia="ru-RU"/>
              </w:rPr>
              <w:t>Стоимость 1 кВтч электроэнергии, приобретаемой в целях компенсации потерь, руб./кВтч</w:t>
            </w:r>
          </w:p>
        </w:tc>
        <w:tc>
          <w:tcPr>
            <w:tcW w:w="1134" w:type="dxa"/>
            <w:noWrap/>
            <w:vAlign w:val="center"/>
          </w:tcPr>
          <w:p w:rsidR="00193A23" w:rsidRPr="004761E0" w:rsidRDefault="00193A23" w:rsidP="005C4306">
            <w:pPr>
              <w:ind w:firstLine="0"/>
              <w:jc w:val="right"/>
              <w:rPr>
                <w:rFonts w:eastAsia="Times New Roman"/>
                <w:sz w:val="20"/>
                <w:szCs w:val="20"/>
                <w:lang w:eastAsia="ru-RU"/>
              </w:rPr>
            </w:pPr>
            <w:r w:rsidRPr="004761E0">
              <w:rPr>
                <w:rFonts w:eastAsia="Times New Roman"/>
                <w:sz w:val="20"/>
                <w:szCs w:val="20"/>
                <w:lang w:eastAsia="ru-RU"/>
              </w:rPr>
              <w:t>1,59</w:t>
            </w:r>
          </w:p>
        </w:tc>
        <w:tc>
          <w:tcPr>
            <w:tcW w:w="1134" w:type="dxa"/>
            <w:noWrap/>
            <w:vAlign w:val="center"/>
          </w:tcPr>
          <w:p w:rsidR="00193A23" w:rsidRPr="004761E0" w:rsidRDefault="00193A23" w:rsidP="005C4306">
            <w:pPr>
              <w:ind w:firstLine="0"/>
              <w:jc w:val="right"/>
              <w:rPr>
                <w:rFonts w:eastAsia="Times New Roman"/>
                <w:sz w:val="20"/>
                <w:szCs w:val="20"/>
                <w:lang w:eastAsia="ru-RU"/>
              </w:rPr>
            </w:pPr>
            <w:r w:rsidRPr="004761E0">
              <w:rPr>
                <w:rFonts w:eastAsia="Times New Roman"/>
                <w:sz w:val="20"/>
                <w:szCs w:val="20"/>
                <w:lang w:eastAsia="ru-RU"/>
              </w:rPr>
              <w:t>1,48</w:t>
            </w:r>
          </w:p>
        </w:tc>
        <w:tc>
          <w:tcPr>
            <w:tcW w:w="1134" w:type="dxa"/>
            <w:noWrap/>
            <w:vAlign w:val="center"/>
          </w:tcPr>
          <w:p w:rsidR="00193A23" w:rsidRPr="004761E0" w:rsidRDefault="00193A23" w:rsidP="005C4306">
            <w:pPr>
              <w:ind w:firstLine="0"/>
              <w:jc w:val="right"/>
              <w:rPr>
                <w:rFonts w:eastAsia="Times New Roman"/>
                <w:sz w:val="20"/>
                <w:szCs w:val="20"/>
                <w:lang w:eastAsia="ru-RU"/>
              </w:rPr>
            </w:pPr>
            <w:r w:rsidRPr="004761E0">
              <w:rPr>
                <w:rFonts w:eastAsia="Times New Roman"/>
                <w:sz w:val="20"/>
                <w:szCs w:val="20"/>
                <w:lang w:eastAsia="ru-RU"/>
              </w:rPr>
              <w:t>1,57</w:t>
            </w:r>
          </w:p>
        </w:tc>
        <w:tc>
          <w:tcPr>
            <w:tcW w:w="1134" w:type="dxa"/>
            <w:noWrap/>
            <w:vAlign w:val="center"/>
          </w:tcPr>
          <w:p w:rsidR="00193A23" w:rsidRPr="004761E0" w:rsidRDefault="00193A23" w:rsidP="005C4306">
            <w:pPr>
              <w:ind w:firstLine="0"/>
              <w:jc w:val="right"/>
              <w:rPr>
                <w:rFonts w:eastAsia="Times New Roman"/>
                <w:sz w:val="20"/>
                <w:szCs w:val="20"/>
                <w:lang w:eastAsia="ru-RU"/>
              </w:rPr>
            </w:pPr>
            <w:r w:rsidRPr="004761E0">
              <w:rPr>
                <w:rFonts w:eastAsia="Times New Roman"/>
                <w:sz w:val="20"/>
                <w:szCs w:val="20"/>
                <w:lang w:eastAsia="ru-RU"/>
              </w:rPr>
              <w:t>6,08 %</w:t>
            </w:r>
          </w:p>
        </w:tc>
      </w:tr>
    </w:tbl>
    <w:p w:rsidR="00193A23" w:rsidRDefault="00193A23" w:rsidP="00193A23">
      <w:pPr>
        <w:ind w:firstLine="567"/>
        <w:rPr>
          <w:bCs/>
        </w:rPr>
      </w:pPr>
      <w:r>
        <w:rPr>
          <w:sz w:val="26"/>
          <w:szCs w:val="26"/>
          <w:lang w:eastAsia="ru-RU"/>
        </w:rPr>
        <w:lastRenderedPageBreak/>
        <w:t>Аналогичные д</w:t>
      </w:r>
      <w:r w:rsidRPr="004761E0">
        <w:rPr>
          <w:sz w:val="26"/>
          <w:szCs w:val="26"/>
          <w:lang w:eastAsia="ru-RU"/>
        </w:rPr>
        <w:t>анные в разбивке на г. Москву и Московскую область представлены в Приложении</w:t>
      </w:r>
      <w:r w:rsidR="003146BC">
        <w:rPr>
          <w:sz w:val="26"/>
          <w:szCs w:val="26"/>
          <w:lang w:eastAsia="ru-RU"/>
        </w:rPr>
        <w:t xml:space="preserve"> 12.1</w:t>
      </w:r>
      <w:r>
        <w:rPr>
          <w:sz w:val="26"/>
          <w:szCs w:val="26"/>
          <w:lang w:eastAsia="ru-RU"/>
        </w:rPr>
        <w:t>.</w:t>
      </w:r>
      <w:r w:rsidRPr="004761E0">
        <w:rPr>
          <w:sz w:val="26"/>
          <w:szCs w:val="26"/>
          <w:lang w:eastAsia="ru-RU"/>
        </w:rPr>
        <w:t xml:space="preserve"> к Годовому отчету.</w:t>
      </w:r>
    </w:p>
    <w:p w:rsidR="003429ED" w:rsidRPr="004761E0" w:rsidRDefault="00EA456F" w:rsidP="003429ED">
      <w:pPr>
        <w:spacing w:before="120"/>
        <w:ind w:firstLine="0"/>
        <w:rPr>
          <w:bCs/>
        </w:rPr>
      </w:pPr>
      <w:r>
        <w:rPr>
          <w:bCs/>
          <w:noProof/>
          <w:lang w:eastAsia="ru-RU"/>
        </w:rPr>
        <w:pict>
          <v:rect id="Прямоугольник 274" o:spid="_x0000_s1151" style="position:absolute;left:0;text-align:left;margin-left:260.6pt;margin-top:168.6pt;width:171.6pt;height:154pt;z-index:251772928;visibility:visibl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" filled="f" strokecolor="#243f60 [1604]" strokeweight="2pt">
            <v:path arrowok="t"/>
            <v:textbox style="mso-next-textbox:#Прямоугольник 274">
              <w:txbxContent>
                <w:p w:rsidR="00EC58E0" w:rsidRPr="00393E1F" w:rsidRDefault="00EC58E0" w:rsidP="003429ED">
                  <w:pPr>
                    <w:ind w:firstLine="0"/>
                    <w:jc w:val="center"/>
                    <w:rPr>
                      <w:b/>
                      <w:color w:val="000000" w:themeColor="text1"/>
                      <w:sz w:val="26"/>
                      <w:szCs w:val="26"/>
                    </w:rPr>
                  </w:pPr>
                  <w:r>
                    <w:rPr>
                      <w:b/>
                      <w:color w:val="000000" w:themeColor="text1"/>
                      <w:sz w:val="26"/>
                      <w:szCs w:val="26"/>
                    </w:rPr>
                    <w:t>Условно неп</w:t>
                  </w:r>
                  <w:r w:rsidRPr="00393E1F">
                    <w:rPr>
                      <w:b/>
                      <w:color w:val="000000" w:themeColor="text1"/>
                      <w:sz w:val="26"/>
                      <w:szCs w:val="26"/>
                    </w:rPr>
                    <w:t>одконтрольные затраты</w:t>
                  </w:r>
                </w:p>
              </w:txbxContent>
            </v:textbox>
          </v:rect>
        </w:pict>
      </w:r>
      <w:r>
        <w:rPr>
          <w:bCs/>
          <w:noProof/>
          <w:lang w:eastAsia="ru-RU"/>
        </w:rPr>
        <w:pict>
          <v:rect id="Прямоугольник 271" o:spid="_x0000_s1152" style="position:absolute;left:0;text-align:left;margin-left:260.6pt;margin-top:12.05pt;width:171.6pt;height:148.15pt;z-index:2517719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" filled="f" strokecolor="#243f60 [1604]" strokeweight="2pt">
            <v:path arrowok="t"/>
            <v:textbox style="mso-next-textbox:#Прямоугольник 271">
              <w:txbxContent>
                <w:p w:rsidR="00EC58E0" w:rsidRPr="00393E1F" w:rsidRDefault="00EC58E0" w:rsidP="003429ED">
                  <w:pPr>
                    <w:ind w:firstLine="0"/>
                    <w:jc w:val="center"/>
                    <w:rPr>
                      <w:b/>
                      <w:color w:val="000000" w:themeColor="text1"/>
                      <w:sz w:val="26"/>
                      <w:szCs w:val="26"/>
                    </w:rPr>
                  </w:pPr>
                  <w:r w:rsidRPr="00393E1F">
                    <w:rPr>
                      <w:b/>
                      <w:color w:val="000000" w:themeColor="text1"/>
                      <w:sz w:val="26"/>
                      <w:szCs w:val="26"/>
                    </w:rPr>
                    <w:t>Подконтрольные затраты</w:t>
                  </w:r>
                </w:p>
              </w:txbxContent>
            </v:textbox>
          </v:rect>
        </w:pict>
      </w:r>
      <w:r w:rsidR="003429ED" w:rsidRPr="004761E0">
        <w:rPr>
          <w:bCs/>
          <w:noProof/>
          <w:lang w:eastAsia="ru-RU"/>
        </w:rPr>
        <w:drawing>
          <wp:inline distT="0" distB="0" distL="0" distR="0">
            <wp:extent cx="5486400" cy="4019107"/>
            <wp:effectExtent l="19050" t="0" r="19050" b="443"/>
            <wp:docPr id="270" name="Диаграмма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3429ED" w:rsidRPr="004761E0" w:rsidRDefault="003429ED" w:rsidP="003429ED">
      <w:pPr>
        <w:spacing w:before="120"/>
        <w:rPr>
          <w:bCs/>
        </w:rPr>
      </w:pPr>
    </w:p>
    <w:p w:rsidR="003429ED" w:rsidRPr="004761E0" w:rsidRDefault="00EA456F" w:rsidP="003429ED">
      <w:pPr>
        <w:spacing w:before="120"/>
        <w:ind w:firstLine="0"/>
        <w:rPr>
          <w:bCs/>
        </w:rPr>
      </w:pPr>
      <w:r>
        <w:rPr>
          <w:bCs/>
          <w:noProof/>
          <w:lang w:eastAsia="ru-RU"/>
        </w:rPr>
        <w:pict>
          <v:rect id="Прямоугольник 283" o:spid="_x0000_s1153" style="position:absolute;left:0;text-align:left;margin-left:260.85pt;margin-top:9.7pt;width:171.6pt;height:148.15pt;z-index:2517749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" filled="f" strokecolor="#243f60 [1604]" strokeweight="2pt">
            <v:path arrowok="t"/>
            <v:textbox style="mso-next-textbox:#Прямоугольник 283">
              <w:txbxContent>
                <w:p w:rsidR="00EC58E0" w:rsidRPr="00393E1F" w:rsidRDefault="00EC58E0" w:rsidP="003429ED">
                  <w:pPr>
                    <w:ind w:firstLine="0"/>
                    <w:jc w:val="center"/>
                    <w:rPr>
                      <w:b/>
                      <w:color w:val="000000" w:themeColor="text1"/>
                      <w:sz w:val="26"/>
                      <w:szCs w:val="26"/>
                    </w:rPr>
                  </w:pPr>
                  <w:r w:rsidRPr="00393E1F">
                    <w:rPr>
                      <w:b/>
                      <w:color w:val="000000" w:themeColor="text1"/>
                      <w:sz w:val="26"/>
                      <w:szCs w:val="26"/>
                    </w:rPr>
                    <w:t>Подконтрольные затраты</w:t>
                  </w:r>
                </w:p>
              </w:txbxContent>
            </v:textbox>
          </v:rect>
        </w:pict>
      </w:r>
      <w:r>
        <w:rPr>
          <w:bCs/>
          <w:noProof/>
          <w:lang w:eastAsia="ru-RU"/>
        </w:rPr>
        <w:pict>
          <v:rect id="Прямоугольник 281" o:spid="_x0000_s1154" style="position:absolute;left:0;text-align:left;margin-left:260.6pt;margin-top:165.2pt;width:171.6pt;height:151.5pt;z-index:251773952;visibility:visibl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" filled="f" strokecolor="#243f60 [1604]" strokeweight="2pt">
            <v:path arrowok="t"/>
            <v:textbox style="mso-next-textbox:#Прямоугольник 281">
              <w:txbxContent>
                <w:p w:rsidR="00EC58E0" w:rsidRPr="00393E1F" w:rsidRDefault="00EC58E0" w:rsidP="003429ED">
                  <w:pPr>
                    <w:ind w:firstLine="0"/>
                    <w:jc w:val="center"/>
                    <w:rPr>
                      <w:b/>
                      <w:color w:val="000000" w:themeColor="text1"/>
                      <w:sz w:val="26"/>
                      <w:szCs w:val="26"/>
                    </w:rPr>
                  </w:pPr>
                  <w:r>
                    <w:rPr>
                      <w:b/>
                      <w:color w:val="000000" w:themeColor="text1"/>
                      <w:sz w:val="26"/>
                      <w:szCs w:val="26"/>
                    </w:rPr>
                    <w:t>Условно неп</w:t>
                  </w:r>
                  <w:r w:rsidRPr="00393E1F">
                    <w:rPr>
                      <w:b/>
                      <w:color w:val="000000" w:themeColor="text1"/>
                      <w:sz w:val="26"/>
                      <w:szCs w:val="26"/>
                    </w:rPr>
                    <w:t>одконтрольные затраты</w:t>
                  </w:r>
                </w:p>
              </w:txbxContent>
            </v:textbox>
          </v:rect>
        </w:pict>
      </w:r>
      <w:r w:rsidR="003429ED" w:rsidRPr="004761E0">
        <w:rPr>
          <w:bCs/>
          <w:noProof/>
          <w:lang w:eastAsia="ru-RU"/>
        </w:rPr>
        <w:drawing>
          <wp:inline distT="0" distB="0" distL="0" distR="0">
            <wp:extent cx="5486400" cy="4019107"/>
            <wp:effectExtent l="19050" t="0" r="19050" b="443"/>
            <wp:docPr id="276" name="Диаграмма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3429ED" w:rsidRPr="004761E0" w:rsidRDefault="003429ED" w:rsidP="00DE44D6">
      <w:pPr>
        <w:spacing w:before="120"/>
        <w:ind w:firstLine="567"/>
        <w:rPr>
          <w:sz w:val="26"/>
          <w:szCs w:val="26"/>
        </w:rPr>
      </w:pPr>
      <w:r w:rsidRPr="004761E0">
        <w:rPr>
          <w:bCs/>
          <w:sz w:val="26"/>
          <w:szCs w:val="26"/>
        </w:rPr>
        <w:lastRenderedPageBreak/>
        <w:t>У</w:t>
      </w:r>
      <w:r w:rsidRPr="004761E0">
        <w:rPr>
          <w:sz w:val="26"/>
          <w:szCs w:val="26"/>
        </w:rPr>
        <w:t>словно неподконтрольные затраты в 2013 году выросли на 16,30 % до 72,40</w:t>
      </w:r>
      <w:r w:rsidR="005B1BFF">
        <w:rPr>
          <w:sz w:val="26"/>
          <w:szCs w:val="26"/>
        </w:rPr>
        <w:t> </w:t>
      </w:r>
      <w:r w:rsidRPr="004761E0">
        <w:rPr>
          <w:sz w:val="26"/>
          <w:szCs w:val="26"/>
        </w:rPr>
        <w:t>млрд руб., в частности:</w:t>
      </w:r>
    </w:p>
    <w:p w:rsidR="003429ED" w:rsidRPr="004761E0" w:rsidRDefault="003429ED" w:rsidP="007076A7">
      <w:pPr>
        <w:pStyle w:val="a5"/>
        <w:numPr>
          <w:ilvl w:val="0"/>
          <w:numId w:val="204"/>
        </w:numPr>
        <w:ind w:left="1134" w:hanging="567"/>
        <w:contextualSpacing w:val="0"/>
        <w:rPr>
          <w:sz w:val="26"/>
          <w:szCs w:val="26"/>
        </w:rPr>
      </w:pPr>
      <w:r w:rsidRPr="004761E0">
        <w:rPr>
          <w:sz w:val="26"/>
          <w:szCs w:val="26"/>
        </w:rPr>
        <w:t>затраты на компенсацию потерь электроэнергии увеличились на 3,05</w:t>
      </w:r>
      <w:r w:rsidR="005B1BFF">
        <w:rPr>
          <w:sz w:val="26"/>
          <w:szCs w:val="26"/>
        </w:rPr>
        <w:t> </w:t>
      </w:r>
      <w:r w:rsidRPr="004761E0">
        <w:rPr>
          <w:sz w:val="26"/>
          <w:szCs w:val="26"/>
        </w:rPr>
        <w:t>% в связи с ростом средней цены покупки электроэнергии для их компенсации на 9 коп.</w:t>
      </w:r>
    </w:p>
    <w:p w:rsidR="003429ED" w:rsidRPr="004761E0" w:rsidRDefault="003429ED" w:rsidP="007076A7">
      <w:pPr>
        <w:pStyle w:val="a5"/>
        <w:numPr>
          <w:ilvl w:val="0"/>
          <w:numId w:val="204"/>
        </w:numPr>
        <w:ind w:left="1134" w:hanging="567"/>
        <w:contextualSpacing w:val="0"/>
        <w:rPr>
          <w:sz w:val="26"/>
          <w:szCs w:val="26"/>
        </w:rPr>
      </w:pPr>
      <w:r w:rsidRPr="004761E0">
        <w:rPr>
          <w:sz w:val="26"/>
          <w:szCs w:val="26"/>
        </w:rPr>
        <w:t xml:space="preserve">затраты на оплату услуг </w:t>
      </w:r>
      <w:r w:rsidR="0008080E">
        <w:rPr>
          <w:sz w:val="26"/>
          <w:szCs w:val="26"/>
        </w:rPr>
        <w:t>ОАО </w:t>
      </w:r>
      <w:r w:rsidRPr="004761E0">
        <w:rPr>
          <w:sz w:val="26"/>
          <w:szCs w:val="26"/>
        </w:rPr>
        <w:t>«ФСК ЕЭС» увеличились на 10,23 % в связи с ростом объема заявленной мощности, а также тарифа на содержание сетей;</w:t>
      </w:r>
    </w:p>
    <w:p w:rsidR="003429ED" w:rsidRPr="004761E0" w:rsidRDefault="003429ED" w:rsidP="007076A7">
      <w:pPr>
        <w:pStyle w:val="a5"/>
        <w:numPr>
          <w:ilvl w:val="0"/>
          <w:numId w:val="204"/>
        </w:numPr>
        <w:ind w:left="1134" w:hanging="567"/>
        <w:contextualSpacing w:val="0"/>
        <w:rPr>
          <w:sz w:val="26"/>
          <w:szCs w:val="26"/>
        </w:rPr>
      </w:pPr>
      <w:r w:rsidRPr="004761E0">
        <w:rPr>
          <w:sz w:val="26"/>
          <w:szCs w:val="26"/>
        </w:rPr>
        <w:t>затраты на услуги распределительных сетевых компаний (</w:t>
      </w:r>
      <w:r w:rsidR="005B1BFF">
        <w:rPr>
          <w:sz w:val="26"/>
          <w:szCs w:val="26"/>
        </w:rPr>
        <w:t>ТСО</w:t>
      </w:r>
      <w:r w:rsidRPr="004761E0">
        <w:rPr>
          <w:sz w:val="26"/>
          <w:szCs w:val="26"/>
        </w:rPr>
        <w:t>) выросли на 67,5 % по г.</w:t>
      </w:r>
      <w:r w:rsidR="00547BB3">
        <w:rPr>
          <w:sz w:val="26"/>
          <w:szCs w:val="26"/>
        </w:rPr>
        <w:t> </w:t>
      </w:r>
      <w:r w:rsidRPr="004761E0">
        <w:rPr>
          <w:sz w:val="26"/>
          <w:szCs w:val="26"/>
        </w:rPr>
        <w:t xml:space="preserve">Москве в связи с увеличением индивидуального тарифа </w:t>
      </w:r>
      <w:r w:rsidR="0008080E">
        <w:rPr>
          <w:sz w:val="26"/>
          <w:szCs w:val="26"/>
        </w:rPr>
        <w:t>ОАО </w:t>
      </w:r>
      <w:r w:rsidRPr="004761E0">
        <w:rPr>
          <w:sz w:val="26"/>
          <w:szCs w:val="26"/>
        </w:rPr>
        <w:t xml:space="preserve">«ОЭК», а также ростом объема оплачиваемого транзита по договору с </w:t>
      </w:r>
      <w:r w:rsidR="0008080E">
        <w:rPr>
          <w:sz w:val="26"/>
          <w:szCs w:val="26"/>
        </w:rPr>
        <w:t>ОАО </w:t>
      </w:r>
      <w:r w:rsidRPr="004761E0">
        <w:rPr>
          <w:sz w:val="26"/>
          <w:szCs w:val="26"/>
        </w:rPr>
        <w:t xml:space="preserve">«ОЭК» на 250 млн кВтч; на 12,9 % по Московской области </w:t>
      </w:r>
      <w:r w:rsidR="001434B7">
        <w:rPr>
          <w:sz w:val="26"/>
          <w:szCs w:val="26"/>
        </w:rPr>
        <w:t>–</w:t>
      </w:r>
      <w:r w:rsidRPr="004761E0">
        <w:rPr>
          <w:sz w:val="26"/>
          <w:szCs w:val="26"/>
        </w:rPr>
        <w:t xml:space="preserve"> в связи с ростом </w:t>
      </w:r>
      <w:r w:rsidR="001434B7">
        <w:rPr>
          <w:sz w:val="26"/>
          <w:szCs w:val="26"/>
        </w:rPr>
        <w:t xml:space="preserve">индивидуальных </w:t>
      </w:r>
      <w:r w:rsidRPr="004761E0">
        <w:rPr>
          <w:sz w:val="26"/>
          <w:szCs w:val="26"/>
        </w:rPr>
        <w:t xml:space="preserve">тарифов </w:t>
      </w:r>
      <w:r w:rsidR="001434B7">
        <w:rPr>
          <w:sz w:val="26"/>
          <w:szCs w:val="26"/>
        </w:rPr>
        <w:t xml:space="preserve">ТСО </w:t>
      </w:r>
      <w:r w:rsidRPr="004761E0">
        <w:rPr>
          <w:sz w:val="26"/>
          <w:szCs w:val="26"/>
        </w:rPr>
        <w:t>на услуги</w:t>
      </w:r>
      <w:r w:rsidR="001434B7">
        <w:rPr>
          <w:sz w:val="26"/>
          <w:szCs w:val="26"/>
        </w:rPr>
        <w:t xml:space="preserve"> по передаче электроэнергии;</w:t>
      </w:r>
      <w:r w:rsidRPr="004761E0">
        <w:rPr>
          <w:sz w:val="26"/>
          <w:szCs w:val="26"/>
        </w:rPr>
        <w:t xml:space="preserve"> </w:t>
      </w:r>
    </w:p>
    <w:p w:rsidR="003429ED" w:rsidRPr="004761E0" w:rsidRDefault="003429ED" w:rsidP="007076A7">
      <w:pPr>
        <w:pStyle w:val="a5"/>
        <w:numPr>
          <w:ilvl w:val="0"/>
          <w:numId w:val="204"/>
        </w:numPr>
        <w:tabs>
          <w:tab w:val="left" w:pos="0"/>
        </w:tabs>
        <w:ind w:left="1134" w:hanging="567"/>
        <w:contextualSpacing w:val="0"/>
        <w:rPr>
          <w:sz w:val="26"/>
          <w:szCs w:val="26"/>
        </w:rPr>
      </w:pPr>
      <w:r w:rsidRPr="004761E0">
        <w:rPr>
          <w:sz w:val="26"/>
          <w:szCs w:val="26"/>
        </w:rPr>
        <w:t>амортизационные отчисления выросли на 12,33 %, что обусловлено вводами объектов в основные фонды в результате реконструкции и капитального строительства.</w:t>
      </w:r>
    </w:p>
    <w:p w:rsidR="003429ED" w:rsidRPr="004761E0" w:rsidRDefault="003429ED" w:rsidP="003429ED">
      <w:pPr>
        <w:rPr>
          <w:sz w:val="26"/>
          <w:szCs w:val="26"/>
        </w:rPr>
      </w:pPr>
      <w:r w:rsidRPr="004761E0">
        <w:rPr>
          <w:sz w:val="26"/>
          <w:szCs w:val="26"/>
        </w:rPr>
        <w:t>Подконтрольные затраты в 2013 году увеличились на 1,89 % до 30,62 млрд руб., в частности:</w:t>
      </w:r>
    </w:p>
    <w:p w:rsidR="003429ED" w:rsidRPr="004761E0" w:rsidRDefault="003429ED" w:rsidP="007076A7">
      <w:pPr>
        <w:pStyle w:val="a5"/>
        <w:numPr>
          <w:ilvl w:val="0"/>
          <w:numId w:val="204"/>
        </w:numPr>
        <w:ind w:left="1134" w:hanging="567"/>
        <w:contextualSpacing w:val="0"/>
        <w:rPr>
          <w:sz w:val="26"/>
          <w:szCs w:val="26"/>
        </w:rPr>
      </w:pPr>
      <w:r w:rsidRPr="004761E0">
        <w:rPr>
          <w:sz w:val="26"/>
          <w:szCs w:val="26"/>
        </w:rPr>
        <w:t>затраты на персонал увеличились на 10,99 % (подробнее – разделы «Корпоративное управление» и «Человеческий капитал и социальная ответственность»);</w:t>
      </w:r>
    </w:p>
    <w:p w:rsidR="003429ED" w:rsidRPr="004761E0" w:rsidRDefault="003429ED" w:rsidP="007076A7">
      <w:pPr>
        <w:pStyle w:val="a5"/>
        <w:numPr>
          <w:ilvl w:val="0"/>
          <w:numId w:val="204"/>
        </w:numPr>
        <w:ind w:left="1134" w:hanging="567"/>
        <w:contextualSpacing w:val="0"/>
        <w:rPr>
          <w:sz w:val="26"/>
          <w:szCs w:val="26"/>
        </w:rPr>
      </w:pPr>
      <w:r w:rsidRPr="004761E0">
        <w:rPr>
          <w:sz w:val="26"/>
          <w:szCs w:val="26"/>
        </w:rPr>
        <w:t>затраты на ремонтное обслуживание увеличились на 7,85 % (подробнее – раздел «Повышение надежности»);</w:t>
      </w:r>
    </w:p>
    <w:p w:rsidR="003429ED" w:rsidRPr="004761E0" w:rsidRDefault="003429ED" w:rsidP="007076A7">
      <w:pPr>
        <w:pStyle w:val="a5"/>
        <w:numPr>
          <w:ilvl w:val="0"/>
          <w:numId w:val="204"/>
        </w:numPr>
        <w:ind w:left="1134" w:hanging="567"/>
        <w:contextualSpacing w:val="0"/>
        <w:rPr>
          <w:sz w:val="26"/>
          <w:szCs w:val="26"/>
        </w:rPr>
      </w:pPr>
      <w:r w:rsidRPr="004761E0">
        <w:rPr>
          <w:sz w:val="26"/>
          <w:szCs w:val="26"/>
        </w:rPr>
        <w:t xml:space="preserve">размер лизинговых платежей сократился на 1,05 млрд руб. или на 32,51 %, что связано с завершением договоров лизинга с </w:t>
      </w:r>
      <w:r w:rsidR="0008080E">
        <w:rPr>
          <w:sz w:val="26"/>
          <w:szCs w:val="26"/>
        </w:rPr>
        <w:t>ООО </w:t>
      </w:r>
      <w:r w:rsidRPr="004761E0">
        <w:rPr>
          <w:sz w:val="26"/>
          <w:szCs w:val="26"/>
        </w:rPr>
        <w:t xml:space="preserve">«РБ Лизинг» и </w:t>
      </w:r>
      <w:r w:rsidR="0008080E">
        <w:rPr>
          <w:sz w:val="26"/>
          <w:szCs w:val="26"/>
        </w:rPr>
        <w:t>ЗАО </w:t>
      </w:r>
      <w:r w:rsidRPr="004761E0">
        <w:rPr>
          <w:sz w:val="26"/>
          <w:szCs w:val="26"/>
        </w:rPr>
        <w:t>«Газпромбанк Лизинг».</w:t>
      </w:r>
    </w:p>
    <w:p w:rsidR="003429ED" w:rsidRPr="004761E0" w:rsidRDefault="003429ED" w:rsidP="003429ED">
      <w:pPr>
        <w:shd w:val="clear" w:color="auto" w:fill="FFFFFF"/>
        <w:spacing w:before="120" w:after="120"/>
        <w:ind w:firstLine="567"/>
        <w:rPr>
          <w:sz w:val="26"/>
          <w:szCs w:val="26"/>
        </w:rPr>
      </w:pPr>
      <w:r w:rsidRPr="004761E0">
        <w:rPr>
          <w:b/>
          <w:sz w:val="26"/>
          <w:szCs w:val="26"/>
        </w:rPr>
        <w:t>Реализация программы сокращения издержек в 2013 году</w:t>
      </w:r>
      <w:r w:rsidRPr="004761E0">
        <w:rPr>
          <w:sz w:val="26"/>
          <w:szCs w:val="26"/>
        </w:rPr>
        <w:t xml:space="preserve"> </w:t>
      </w:r>
    </w:p>
    <w:p w:rsidR="003429ED" w:rsidRPr="004761E0" w:rsidRDefault="003429ED" w:rsidP="003429ED">
      <w:pPr>
        <w:shd w:val="clear" w:color="auto" w:fill="FFFFFF"/>
        <w:ind w:firstLine="567"/>
        <w:rPr>
          <w:sz w:val="26"/>
          <w:szCs w:val="26"/>
        </w:rPr>
      </w:pPr>
      <w:r w:rsidRPr="004761E0">
        <w:rPr>
          <w:sz w:val="26"/>
          <w:szCs w:val="26"/>
        </w:rPr>
        <w:t xml:space="preserve">Выполнение плана мероприятий по повышению эффективности имеет приоритетное значение в </w:t>
      </w:r>
      <w:r w:rsidR="0008080E">
        <w:rPr>
          <w:sz w:val="26"/>
          <w:szCs w:val="26"/>
        </w:rPr>
        <w:t>ОАО </w:t>
      </w:r>
      <w:r w:rsidRPr="004761E0">
        <w:rPr>
          <w:sz w:val="26"/>
          <w:szCs w:val="26"/>
        </w:rPr>
        <w:t>«МОЭСК». В целях сохранения должного уровня рентабельности разработаны и реализуются мероприятия по получению дополнительного дохода и сокращению расходов. Совокупный экономический эффект от реализации указанных мероприятий в 2013 году составил 5,16 млрд руб.</w:t>
      </w:r>
    </w:p>
    <w:tbl>
      <w:tblPr>
        <w:tblStyle w:val="ae"/>
        <w:tblW w:w="10030" w:type="dxa"/>
        <w:tblInd w:w="108" w:type="dxa"/>
        <w:tblLook w:val="04A0"/>
      </w:tblPr>
      <w:tblGrid>
        <w:gridCol w:w="567"/>
        <w:gridCol w:w="7095"/>
        <w:gridCol w:w="1092"/>
        <w:gridCol w:w="1276"/>
      </w:tblGrid>
      <w:tr w:rsidR="003429ED" w:rsidRPr="004761E0" w:rsidTr="003429ED">
        <w:trPr>
          <w:trHeight w:val="219"/>
        </w:trPr>
        <w:tc>
          <w:tcPr>
            <w:tcW w:w="567" w:type="dxa"/>
            <w:vMerge w:val="restart"/>
            <w:tcBorders>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left"/>
              <w:rPr>
                <w:rFonts w:eastAsia="Times New Roman"/>
                <w:b/>
                <w:bCs/>
                <w:color w:val="FFFFFF" w:themeColor="background1"/>
                <w:sz w:val="20"/>
                <w:szCs w:val="20"/>
              </w:rPr>
            </w:pPr>
            <w:r w:rsidRPr="004761E0">
              <w:rPr>
                <w:rFonts w:eastAsia="Times New Roman"/>
                <w:b/>
                <w:bCs/>
                <w:color w:val="FFFFFF" w:themeColor="background1"/>
                <w:sz w:val="20"/>
                <w:szCs w:val="20"/>
              </w:rPr>
              <w:t>№ п/п</w:t>
            </w:r>
          </w:p>
        </w:tc>
        <w:tc>
          <w:tcPr>
            <w:tcW w:w="7095" w:type="dxa"/>
            <w:vMerge w:val="restart"/>
            <w:tcBorders>
              <w:left w:val="single" w:sz="4" w:space="0" w:color="FFFFFF" w:themeColor="background1"/>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left"/>
              <w:rPr>
                <w:rFonts w:eastAsia="Times New Roman"/>
                <w:b/>
                <w:bCs/>
                <w:color w:val="FFFFFF" w:themeColor="background1"/>
                <w:sz w:val="20"/>
                <w:szCs w:val="20"/>
              </w:rPr>
            </w:pPr>
            <w:r w:rsidRPr="004761E0">
              <w:rPr>
                <w:rFonts w:eastAsia="Times New Roman"/>
                <w:b/>
                <w:bCs/>
                <w:color w:val="FFFFFF" w:themeColor="background1"/>
                <w:sz w:val="20"/>
                <w:szCs w:val="20"/>
              </w:rPr>
              <w:t>Наименование мероприятия</w:t>
            </w:r>
          </w:p>
        </w:tc>
        <w:tc>
          <w:tcPr>
            <w:tcW w:w="2368" w:type="dxa"/>
            <w:gridSpan w:val="2"/>
            <w:tcBorders>
              <w:left w:val="single" w:sz="4" w:space="0" w:color="FFFFFF" w:themeColor="background1"/>
              <w:bottom w:val="single" w:sz="4" w:space="0" w:color="FFFFFF" w:themeColor="background1"/>
            </w:tcBorders>
            <w:shd w:val="clear" w:color="auto" w:fill="0F243E" w:themeFill="text2" w:themeFillShade="80"/>
          </w:tcPr>
          <w:p w:rsidR="003429ED" w:rsidRPr="004761E0" w:rsidRDefault="003429ED" w:rsidP="003429ED">
            <w:pPr>
              <w:ind w:firstLine="0"/>
              <w:jc w:val="center"/>
              <w:rPr>
                <w:rFonts w:eastAsia="Times New Roman"/>
                <w:b/>
                <w:bCs/>
                <w:color w:val="FFFFFF" w:themeColor="background1"/>
                <w:sz w:val="20"/>
                <w:szCs w:val="20"/>
              </w:rPr>
            </w:pPr>
            <w:r w:rsidRPr="004761E0">
              <w:rPr>
                <w:rFonts w:eastAsia="Times New Roman"/>
                <w:b/>
                <w:bCs/>
                <w:color w:val="FFFFFF" w:themeColor="background1"/>
                <w:sz w:val="20"/>
                <w:szCs w:val="20"/>
              </w:rPr>
              <w:t>Эффект, млн руб.</w:t>
            </w:r>
          </w:p>
        </w:tc>
      </w:tr>
      <w:tr w:rsidR="003429ED" w:rsidRPr="004761E0" w:rsidTr="003429ED">
        <w:trPr>
          <w:trHeight w:val="154"/>
        </w:trPr>
        <w:tc>
          <w:tcPr>
            <w:tcW w:w="567" w:type="dxa"/>
            <w:vMerge/>
            <w:tcBorders>
              <w:right w:val="single" w:sz="4" w:space="0" w:color="FFFFFF" w:themeColor="background1"/>
            </w:tcBorders>
            <w:shd w:val="clear" w:color="auto" w:fill="0F243E" w:themeFill="text2" w:themeFillShade="80"/>
            <w:vAlign w:val="center"/>
          </w:tcPr>
          <w:p w:rsidR="003429ED" w:rsidRPr="004761E0" w:rsidRDefault="003429ED" w:rsidP="003429ED">
            <w:pPr>
              <w:ind w:firstLine="0"/>
              <w:jc w:val="center"/>
              <w:rPr>
                <w:rFonts w:eastAsia="Times New Roman"/>
                <w:b/>
                <w:bCs/>
                <w:color w:val="FFFFFF" w:themeColor="background1"/>
                <w:sz w:val="20"/>
                <w:szCs w:val="20"/>
              </w:rPr>
            </w:pPr>
          </w:p>
        </w:tc>
        <w:tc>
          <w:tcPr>
            <w:tcW w:w="7095" w:type="dxa"/>
            <w:vMerge/>
            <w:tcBorders>
              <w:left w:val="single" w:sz="4" w:space="0" w:color="FFFFFF" w:themeColor="background1"/>
              <w:right w:val="single" w:sz="4" w:space="0" w:color="FFFFFF" w:themeColor="background1"/>
            </w:tcBorders>
            <w:shd w:val="clear" w:color="auto" w:fill="0F243E" w:themeFill="text2" w:themeFillShade="80"/>
            <w:vAlign w:val="center"/>
          </w:tcPr>
          <w:p w:rsidR="003429ED" w:rsidRPr="004761E0" w:rsidRDefault="003429ED" w:rsidP="003429ED">
            <w:pPr>
              <w:ind w:firstLine="0"/>
              <w:jc w:val="center"/>
              <w:rPr>
                <w:rFonts w:eastAsia="Times New Roman"/>
                <w:b/>
                <w:bCs/>
                <w:color w:val="FFFFFF" w:themeColor="background1"/>
                <w:sz w:val="20"/>
                <w:szCs w:val="20"/>
              </w:rPr>
            </w:pPr>
          </w:p>
        </w:tc>
        <w:tc>
          <w:tcPr>
            <w:tcW w:w="1092"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rsidR="003429ED" w:rsidRPr="004761E0" w:rsidRDefault="003429ED" w:rsidP="003429ED">
            <w:pPr>
              <w:ind w:firstLine="0"/>
              <w:jc w:val="center"/>
              <w:rPr>
                <w:rFonts w:eastAsia="Times New Roman"/>
                <w:b/>
                <w:bCs/>
                <w:color w:val="FFFFFF" w:themeColor="background1"/>
                <w:sz w:val="20"/>
                <w:szCs w:val="20"/>
              </w:rPr>
            </w:pPr>
            <w:r w:rsidRPr="004761E0">
              <w:rPr>
                <w:rFonts w:eastAsia="Times New Roman"/>
                <w:b/>
                <w:bCs/>
                <w:color w:val="FFFFFF" w:themeColor="background1"/>
                <w:sz w:val="20"/>
                <w:szCs w:val="20"/>
              </w:rPr>
              <w:t>2012</w:t>
            </w:r>
          </w:p>
        </w:tc>
        <w:tc>
          <w:tcPr>
            <w:tcW w:w="1276" w:type="dxa"/>
            <w:tcBorders>
              <w:top w:val="single" w:sz="4" w:space="0" w:color="FFFFFF" w:themeColor="background1"/>
              <w:left w:val="single" w:sz="4" w:space="0" w:color="FFFFFF" w:themeColor="background1"/>
            </w:tcBorders>
            <w:shd w:val="clear" w:color="auto" w:fill="0F243E" w:themeFill="text2" w:themeFillShade="80"/>
            <w:vAlign w:val="center"/>
          </w:tcPr>
          <w:p w:rsidR="003429ED" w:rsidRPr="004761E0" w:rsidRDefault="003429ED" w:rsidP="003429ED">
            <w:pPr>
              <w:ind w:firstLine="0"/>
              <w:jc w:val="center"/>
              <w:rPr>
                <w:rFonts w:eastAsia="Times New Roman"/>
                <w:b/>
                <w:bCs/>
                <w:color w:val="FFFFFF" w:themeColor="background1"/>
                <w:sz w:val="20"/>
                <w:szCs w:val="20"/>
              </w:rPr>
            </w:pPr>
            <w:r w:rsidRPr="004761E0">
              <w:rPr>
                <w:rFonts w:eastAsia="Times New Roman"/>
                <w:b/>
                <w:bCs/>
                <w:color w:val="FFFFFF" w:themeColor="background1"/>
                <w:sz w:val="20"/>
                <w:szCs w:val="20"/>
              </w:rPr>
              <w:t>2013</w:t>
            </w:r>
          </w:p>
        </w:tc>
      </w:tr>
      <w:tr w:rsidR="003429ED" w:rsidRPr="004761E0" w:rsidTr="003429ED">
        <w:trPr>
          <w:trHeight w:val="280"/>
        </w:trPr>
        <w:tc>
          <w:tcPr>
            <w:tcW w:w="567" w:type="dxa"/>
            <w:noWrap/>
          </w:tcPr>
          <w:p w:rsidR="003429ED" w:rsidRPr="004761E0" w:rsidRDefault="003429ED" w:rsidP="007076A7">
            <w:pPr>
              <w:pStyle w:val="a5"/>
              <w:numPr>
                <w:ilvl w:val="0"/>
                <w:numId w:val="195"/>
              </w:numPr>
              <w:ind w:left="0" w:firstLine="0"/>
              <w:contextualSpacing w:val="0"/>
              <w:jc w:val="left"/>
              <w:rPr>
                <w:rFonts w:eastAsia="Times New Roman"/>
                <w:color w:val="000000" w:themeColor="text1"/>
                <w:sz w:val="20"/>
                <w:szCs w:val="20"/>
              </w:rPr>
            </w:pPr>
          </w:p>
        </w:tc>
        <w:tc>
          <w:tcPr>
            <w:tcW w:w="7095" w:type="dxa"/>
            <w:hideMark/>
          </w:tcPr>
          <w:p w:rsidR="003429ED" w:rsidRPr="004761E0" w:rsidRDefault="003429ED" w:rsidP="003429ED">
            <w:pPr>
              <w:ind w:firstLine="0"/>
              <w:jc w:val="left"/>
              <w:rPr>
                <w:rFonts w:eastAsia="Times New Roman"/>
                <w:bCs/>
                <w:color w:val="000000" w:themeColor="text1"/>
                <w:sz w:val="20"/>
                <w:szCs w:val="20"/>
              </w:rPr>
            </w:pPr>
            <w:r w:rsidRPr="004761E0">
              <w:rPr>
                <w:rFonts w:eastAsia="Times New Roman"/>
                <w:bCs/>
                <w:color w:val="000000" w:themeColor="text1"/>
                <w:sz w:val="20"/>
                <w:szCs w:val="20"/>
              </w:rPr>
              <w:t>Увеличение  выручки по передаче электроэнергии за счет выявления бездоговорного и безучетного потребления</w:t>
            </w:r>
          </w:p>
        </w:tc>
        <w:tc>
          <w:tcPr>
            <w:tcW w:w="1092" w:type="dxa"/>
            <w:vAlign w:val="center"/>
          </w:tcPr>
          <w:p w:rsidR="003429ED" w:rsidRPr="004761E0" w:rsidRDefault="003429ED" w:rsidP="003429ED">
            <w:pPr>
              <w:ind w:firstLine="0"/>
              <w:jc w:val="right"/>
              <w:rPr>
                <w:color w:val="000000"/>
                <w:sz w:val="20"/>
                <w:szCs w:val="20"/>
              </w:rPr>
            </w:pPr>
            <w:r w:rsidRPr="004761E0">
              <w:rPr>
                <w:color w:val="000000"/>
                <w:sz w:val="20"/>
                <w:szCs w:val="20"/>
              </w:rPr>
              <w:t>561</w:t>
            </w:r>
          </w:p>
        </w:tc>
        <w:tc>
          <w:tcPr>
            <w:tcW w:w="1276" w:type="dxa"/>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701</w:t>
            </w:r>
          </w:p>
        </w:tc>
      </w:tr>
      <w:tr w:rsidR="003429ED" w:rsidRPr="004761E0" w:rsidTr="003429ED">
        <w:trPr>
          <w:trHeight w:val="294"/>
        </w:trPr>
        <w:tc>
          <w:tcPr>
            <w:tcW w:w="567" w:type="dxa"/>
            <w:noWrap/>
          </w:tcPr>
          <w:p w:rsidR="003429ED" w:rsidRPr="004761E0" w:rsidRDefault="003429ED" w:rsidP="007076A7">
            <w:pPr>
              <w:pStyle w:val="a5"/>
              <w:numPr>
                <w:ilvl w:val="0"/>
                <w:numId w:val="195"/>
              </w:numPr>
              <w:ind w:left="0" w:firstLine="0"/>
              <w:contextualSpacing w:val="0"/>
              <w:jc w:val="left"/>
              <w:rPr>
                <w:rFonts w:eastAsia="Times New Roman"/>
                <w:color w:val="000000" w:themeColor="text1"/>
                <w:sz w:val="20"/>
                <w:szCs w:val="20"/>
              </w:rPr>
            </w:pPr>
          </w:p>
        </w:tc>
        <w:tc>
          <w:tcPr>
            <w:tcW w:w="7095" w:type="dxa"/>
            <w:hideMark/>
          </w:tcPr>
          <w:p w:rsidR="003429ED" w:rsidRPr="004761E0" w:rsidRDefault="003429ED" w:rsidP="003429ED">
            <w:pPr>
              <w:ind w:firstLine="0"/>
              <w:jc w:val="left"/>
              <w:rPr>
                <w:rFonts w:eastAsia="Times New Roman"/>
                <w:bCs/>
                <w:color w:val="000000" w:themeColor="text1"/>
                <w:sz w:val="20"/>
                <w:szCs w:val="20"/>
              </w:rPr>
            </w:pPr>
            <w:r w:rsidRPr="004761E0">
              <w:rPr>
                <w:rFonts w:eastAsia="Times New Roman"/>
                <w:bCs/>
                <w:color w:val="000000" w:themeColor="text1"/>
                <w:sz w:val="20"/>
                <w:szCs w:val="20"/>
              </w:rPr>
              <w:t>Снижение себестоимости за счет проведения регламентированных процедур закупок:</w:t>
            </w:r>
          </w:p>
        </w:tc>
        <w:tc>
          <w:tcPr>
            <w:tcW w:w="1092" w:type="dxa"/>
            <w:vAlign w:val="center"/>
          </w:tcPr>
          <w:p w:rsidR="003429ED" w:rsidRPr="004761E0" w:rsidRDefault="003429ED" w:rsidP="003429ED">
            <w:pPr>
              <w:ind w:firstLine="0"/>
              <w:jc w:val="right"/>
              <w:rPr>
                <w:color w:val="000000"/>
                <w:sz w:val="20"/>
                <w:szCs w:val="20"/>
              </w:rPr>
            </w:pPr>
            <w:r w:rsidRPr="004761E0">
              <w:rPr>
                <w:color w:val="000000"/>
                <w:sz w:val="20"/>
                <w:szCs w:val="20"/>
              </w:rPr>
              <w:t>592</w:t>
            </w:r>
          </w:p>
        </w:tc>
        <w:tc>
          <w:tcPr>
            <w:tcW w:w="1276" w:type="dxa"/>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1 258</w:t>
            </w:r>
          </w:p>
        </w:tc>
      </w:tr>
      <w:tr w:rsidR="003429ED" w:rsidRPr="004761E0" w:rsidTr="003429ED">
        <w:trPr>
          <w:trHeight w:val="77"/>
        </w:trPr>
        <w:tc>
          <w:tcPr>
            <w:tcW w:w="567" w:type="dxa"/>
          </w:tcPr>
          <w:p w:rsidR="003429ED" w:rsidRPr="004761E0" w:rsidRDefault="003429ED" w:rsidP="007076A7">
            <w:pPr>
              <w:pStyle w:val="a5"/>
              <w:numPr>
                <w:ilvl w:val="1"/>
                <w:numId w:val="195"/>
              </w:numPr>
              <w:contextualSpacing w:val="0"/>
              <w:jc w:val="left"/>
              <w:rPr>
                <w:rFonts w:eastAsia="Times New Roman"/>
                <w:color w:val="000000" w:themeColor="text1"/>
                <w:sz w:val="20"/>
                <w:szCs w:val="20"/>
              </w:rPr>
            </w:pPr>
          </w:p>
        </w:tc>
        <w:tc>
          <w:tcPr>
            <w:tcW w:w="7095" w:type="dxa"/>
            <w:hideMark/>
          </w:tcPr>
          <w:p w:rsidR="003429ED" w:rsidRPr="004761E0" w:rsidRDefault="003429ED" w:rsidP="007076A7">
            <w:pPr>
              <w:pStyle w:val="a5"/>
              <w:numPr>
                <w:ilvl w:val="0"/>
                <w:numId w:val="196"/>
              </w:numPr>
              <w:ind w:left="459" w:hanging="425"/>
              <w:contextualSpacing w:val="0"/>
              <w:jc w:val="left"/>
              <w:rPr>
                <w:rFonts w:eastAsia="Times New Roman"/>
                <w:bCs/>
                <w:color w:val="000000" w:themeColor="text1"/>
                <w:sz w:val="20"/>
                <w:szCs w:val="20"/>
              </w:rPr>
            </w:pPr>
            <w:r w:rsidRPr="004761E0">
              <w:rPr>
                <w:rFonts w:eastAsia="Times New Roman"/>
                <w:bCs/>
                <w:color w:val="000000" w:themeColor="text1"/>
                <w:sz w:val="20"/>
                <w:szCs w:val="20"/>
              </w:rPr>
              <w:t>снижение стоимости закупок сырья и материалов на производственные цели</w:t>
            </w:r>
          </w:p>
        </w:tc>
        <w:tc>
          <w:tcPr>
            <w:tcW w:w="1092" w:type="dxa"/>
            <w:vAlign w:val="center"/>
          </w:tcPr>
          <w:p w:rsidR="003429ED" w:rsidRPr="004761E0" w:rsidRDefault="003429ED" w:rsidP="003429ED">
            <w:pPr>
              <w:ind w:firstLine="0"/>
              <w:jc w:val="right"/>
              <w:rPr>
                <w:color w:val="000000"/>
                <w:sz w:val="20"/>
                <w:szCs w:val="20"/>
              </w:rPr>
            </w:pPr>
            <w:r w:rsidRPr="004761E0">
              <w:rPr>
                <w:color w:val="000000"/>
                <w:sz w:val="20"/>
                <w:szCs w:val="20"/>
              </w:rPr>
              <w:t>228</w:t>
            </w:r>
          </w:p>
        </w:tc>
        <w:tc>
          <w:tcPr>
            <w:tcW w:w="1276" w:type="dxa"/>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147</w:t>
            </w:r>
          </w:p>
        </w:tc>
      </w:tr>
      <w:tr w:rsidR="003429ED" w:rsidRPr="004761E0" w:rsidTr="003429ED">
        <w:trPr>
          <w:trHeight w:val="316"/>
        </w:trPr>
        <w:tc>
          <w:tcPr>
            <w:tcW w:w="567" w:type="dxa"/>
          </w:tcPr>
          <w:p w:rsidR="003429ED" w:rsidRPr="004761E0" w:rsidRDefault="003429ED" w:rsidP="007076A7">
            <w:pPr>
              <w:pStyle w:val="a5"/>
              <w:numPr>
                <w:ilvl w:val="1"/>
                <w:numId w:val="195"/>
              </w:numPr>
              <w:contextualSpacing w:val="0"/>
              <w:jc w:val="left"/>
              <w:rPr>
                <w:rFonts w:eastAsia="Times New Roman"/>
                <w:color w:val="000000" w:themeColor="text1"/>
                <w:sz w:val="20"/>
                <w:szCs w:val="20"/>
              </w:rPr>
            </w:pPr>
          </w:p>
        </w:tc>
        <w:tc>
          <w:tcPr>
            <w:tcW w:w="7095" w:type="dxa"/>
            <w:hideMark/>
          </w:tcPr>
          <w:p w:rsidR="003429ED" w:rsidRPr="004761E0" w:rsidRDefault="003429ED" w:rsidP="007076A7">
            <w:pPr>
              <w:pStyle w:val="a5"/>
              <w:numPr>
                <w:ilvl w:val="0"/>
                <w:numId w:val="196"/>
              </w:numPr>
              <w:ind w:left="459" w:hanging="425"/>
              <w:contextualSpacing w:val="0"/>
              <w:jc w:val="left"/>
              <w:rPr>
                <w:rFonts w:eastAsia="Times New Roman"/>
                <w:bCs/>
                <w:color w:val="000000" w:themeColor="text1"/>
                <w:sz w:val="20"/>
                <w:szCs w:val="20"/>
              </w:rPr>
            </w:pPr>
            <w:r w:rsidRPr="004761E0">
              <w:rPr>
                <w:rFonts w:eastAsia="Times New Roman"/>
                <w:bCs/>
                <w:color w:val="000000" w:themeColor="text1"/>
                <w:sz w:val="20"/>
                <w:szCs w:val="20"/>
              </w:rPr>
              <w:t>сокращение затрат на эксплуатацию и услуги прочих сторонних организаций за счет организации закупок на конкурсной основе</w:t>
            </w:r>
          </w:p>
        </w:tc>
        <w:tc>
          <w:tcPr>
            <w:tcW w:w="1092" w:type="dxa"/>
            <w:vAlign w:val="center"/>
          </w:tcPr>
          <w:p w:rsidR="003429ED" w:rsidRPr="004761E0" w:rsidRDefault="003429ED" w:rsidP="003429ED">
            <w:pPr>
              <w:ind w:firstLine="0"/>
              <w:jc w:val="right"/>
              <w:rPr>
                <w:color w:val="000000"/>
                <w:sz w:val="20"/>
                <w:szCs w:val="20"/>
              </w:rPr>
            </w:pPr>
            <w:r w:rsidRPr="004761E0">
              <w:rPr>
                <w:color w:val="000000"/>
                <w:sz w:val="20"/>
                <w:szCs w:val="20"/>
              </w:rPr>
              <w:t>240</w:t>
            </w:r>
          </w:p>
        </w:tc>
        <w:tc>
          <w:tcPr>
            <w:tcW w:w="1276" w:type="dxa"/>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798</w:t>
            </w:r>
          </w:p>
        </w:tc>
      </w:tr>
      <w:tr w:rsidR="003429ED" w:rsidRPr="004761E0" w:rsidTr="003429ED">
        <w:trPr>
          <w:trHeight w:val="300"/>
        </w:trPr>
        <w:tc>
          <w:tcPr>
            <w:tcW w:w="567" w:type="dxa"/>
          </w:tcPr>
          <w:p w:rsidR="003429ED" w:rsidRPr="004761E0" w:rsidRDefault="003429ED" w:rsidP="007076A7">
            <w:pPr>
              <w:pStyle w:val="a5"/>
              <w:numPr>
                <w:ilvl w:val="1"/>
                <w:numId w:val="195"/>
              </w:numPr>
              <w:contextualSpacing w:val="0"/>
              <w:jc w:val="left"/>
              <w:rPr>
                <w:rFonts w:eastAsia="Times New Roman"/>
                <w:color w:val="000000" w:themeColor="text1"/>
                <w:sz w:val="20"/>
                <w:szCs w:val="20"/>
              </w:rPr>
            </w:pPr>
          </w:p>
        </w:tc>
        <w:tc>
          <w:tcPr>
            <w:tcW w:w="7095" w:type="dxa"/>
            <w:hideMark/>
          </w:tcPr>
          <w:p w:rsidR="003429ED" w:rsidRPr="004761E0" w:rsidRDefault="003429ED" w:rsidP="007076A7">
            <w:pPr>
              <w:pStyle w:val="a5"/>
              <w:numPr>
                <w:ilvl w:val="0"/>
                <w:numId w:val="196"/>
              </w:numPr>
              <w:ind w:left="459" w:hanging="425"/>
              <w:contextualSpacing w:val="0"/>
              <w:jc w:val="left"/>
              <w:rPr>
                <w:rFonts w:eastAsia="Times New Roman"/>
                <w:bCs/>
                <w:color w:val="000000" w:themeColor="text1"/>
                <w:sz w:val="20"/>
                <w:szCs w:val="20"/>
              </w:rPr>
            </w:pPr>
            <w:r w:rsidRPr="004761E0">
              <w:rPr>
                <w:rFonts w:eastAsia="Times New Roman"/>
                <w:bCs/>
                <w:color w:val="000000" w:themeColor="text1"/>
                <w:sz w:val="20"/>
                <w:szCs w:val="20"/>
              </w:rPr>
              <w:t>сокращение затрат на ремонты за счёт проведения регламентированных закупок на услуги  ремонтных организаций</w:t>
            </w:r>
          </w:p>
        </w:tc>
        <w:tc>
          <w:tcPr>
            <w:tcW w:w="1092" w:type="dxa"/>
            <w:vAlign w:val="center"/>
          </w:tcPr>
          <w:p w:rsidR="003429ED" w:rsidRPr="004761E0" w:rsidRDefault="003429ED" w:rsidP="003429ED">
            <w:pPr>
              <w:ind w:firstLine="0"/>
              <w:jc w:val="right"/>
              <w:rPr>
                <w:color w:val="000000"/>
                <w:sz w:val="20"/>
                <w:szCs w:val="20"/>
              </w:rPr>
            </w:pPr>
            <w:r w:rsidRPr="004761E0">
              <w:rPr>
                <w:color w:val="000000"/>
                <w:sz w:val="20"/>
                <w:szCs w:val="20"/>
              </w:rPr>
              <w:t>124</w:t>
            </w:r>
          </w:p>
        </w:tc>
        <w:tc>
          <w:tcPr>
            <w:tcW w:w="1276" w:type="dxa"/>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312</w:t>
            </w:r>
          </w:p>
        </w:tc>
      </w:tr>
      <w:tr w:rsidR="003429ED" w:rsidRPr="004761E0" w:rsidTr="003429ED">
        <w:trPr>
          <w:trHeight w:val="404"/>
        </w:trPr>
        <w:tc>
          <w:tcPr>
            <w:tcW w:w="567" w:type="dxa"/>
          </w:tcPr>
          <w:p w:rsidR="003429ED" w:rsidRPr="004761E0" w:rsidRDefault="003429ED" w:rsidP="007076A7">
            <w:pPr>
              <w:pStyle w:val="a5"/>
              <w:numPr>
                <w:ilvl w:val="0"/>
                <w:numId w:val="195"/>
              </w:numPr>
              <w:ind w:left="0" w:firstLine="0"/>
              <w:contextualSpacing w:val="0"/>
              <w:jc w:val="left"/>
              <w:rPr>
                <w:rFonts w:eastAsia="Times New Roman"/>
                <w:color w:val="000000" w:themeColor="text1"/>
                <w:sz w:val="20"/>
                <w:szCs w:val="20"/>
              </w:rPr>
            </w:pPr>
          </w:p>
        </w:tc>
        <w:tc>
          <w:tcPr>
            <w:tcW w:w="7095" w:type="dxa"/>
            <w:hideMark/>
          </w:tcPr>
          <w:p w:rsidR="003429ED" w:rsidRPr="004761E0" w:rsidRDefault="003429ED" w:rsidP="003429ED">
            <w:pPr>
              <w:ind w:firstLine="0"/>
              <w:jc w:val="left"/>
              <w:rPr>
                <w:rFonts w:eastAsia="Times New Roman"/>
                <w:bCs/>
                <w:color w:val="000000" w:themeColor="text1"/>
                <w:sz w:val="20"/>
                <w:szCs w:val="20"/>
              </w:rPr>
            </w:pPr>
            <w:r w:rsidRPr="004761E0">
              <w:rPr>
                <w:rFonts w:eastAsia="Times New Roman"/>
                <w:bCs/>
                <w:color w:val="000000" w:themeColor="text1"/>
                <w:sz w:val="20"/>
                <w:szCs w:val="20"/>
              </w:rPr>
              <w:t>Снижение потерь электрической и тепловой энергии за счет организационных, нецелевых технических мероприятий и замены проводов на большее сечение</w:t>
            </w:r>
          </w:p>
        </w:tc>
        <w:tc>
          <w:tcPr>
            <w:tcW w:w="1092" w:type="dxa"/>
            <w:vAlign w:val="center"/>
          </w:tcPr>
          <w:p w:rsidR="003429ED" w:rsidRPr="004761E0" w:rsidRDefault="003429ED" w:rsidP="003429ED">
            <w:pPr>
              <w:ind w:firstLine="0"/>
              <w:jc w:val="right"/>
              <w:rPr>
                <w:color w:val="000000"/>
                <w:sz w:val="20"/>
                <w:szCs w:val="20"/>
              </w:rPr>
            </w:pPr>
            <w:r w:rsidRPr="004761E0">
              <w:rPr>
                <w:color w:val="000000"/>
                <w:sz w:val="20"/>
                <w:szCs w:val="20"/>
              </w:rPr>
              <w:t>548</w:t>
            </w:r>
          </w:p>
        </w:tc>
        <w:tc>
          <w:tcPr>
            <w:tcW w:w="1276" w:type="dxa"/>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530</w:t>
            </w:r>
          </w:p>
        </w:tc>
      </w:tr>
      <w:tr w:rsidR="003429ED" w:rsidRPr="004761E0" w:rsidTr="003429ED">
        <w:trPr>
          <w:trHeight w:val="271"/>
        </w:trPr>
        <w:tc>
          <w:tcPr>
            <w:tcW w:w="567" w:type="dxa"/>
          </w:tcPr>
          <w:p w:rsidR="003429ED" w:rsidRPr="004761E0" w:rsidRDefault="003429ED" w:rsidP="007076A7">
            <w:pPr>
              <w:pStyle w:val="a5"/>
              <w:numPr>
                <w:ilvl w:val="0"/>
                <w:numId w:val="195"/>
              </w:numPr>
              <w:ind w:left="0" w:firstLine="0"/>
              <w:contextualSpacing w:val="0"/>
              <w:jc w:val="left"/>
              <w:rPr>
                <w:rFonts w:eastAsia="Times New Roman"/>
                <w:color w:val="000000" w:themeColor="text1"/>
                <w:sz w:val="20"/>
                <w:szCs w:val="20"/>
              </w:rPr>
            </w:pPr>
          </w:p>
        </w:tc>
        <w:tc>
          <w:tcPr>
            <w:tcW w:w="7095" w:type="dxa"/>
            <w:hideMark/>
          </w:tcPr>
          <w:p w:rsidR="003429ED" w:rsidRPr="004761E0" w:rsidRDefault="003429ED" w:rsidP="003429ED">
            <w:pPr>
              <w:ind w:firstLine="0"/>
              <w:jc w:val="left"/>
              <w:rPr>
                <w:rFonts w:eastAsia="Times New Roman"/>
                <w:bCs/>
                <w:color w:val="000000" w:themeColor="text1"/>
                <w:sz w:val="20"/>
                <w:szCs w:val="20"/>
              </w:rPr>
            </w:pPr>
            <w:r w:rsidRPr="004761E0">
              <w:rPr>
                <w:rFonts w:eastAsia="Times New Roman"/>
                <w:bCs/>
                <w:color w:val="000000" w:themeColor="text1"/>
                <w:sz w:val="20"/>
                <w:szCs w:val="20"/>
              </w:rPr>
              <w:t>Сокращение административно-управленческих расходов</w:t>
            </w:r>
          </w:p>
        </w:tc>
        <w:tc>
          <w:tcPr>
            <w:tcW w:w="1092" w:type="dxa"/>
            <w:vAlign w:val="center"/>
          </w:tcPr>
          <w:p w:rsidR="003429ED" w:rsidRPr="004761E0" w:rsidRDefault="003429ED" w:rsidP="003429ED">
            <w:pPr>
              <w:ind w:firstLine="0"/>
              <w:jc w:val="right"/>
              <w:rPr>
                <w:color w:val="000000"/>
                <w:sz w:val="20"/>
                <w:szCs w:val="20"/>
              </w:rPr>
            </w:pPr>
            <w:r w:rsidRPr="004761E0">
              <w:rPr>
                <w:color w:val="000000"/>
                <w:sz w:val="20"/>
                <w:szCs w:val="20"/>
              </w:rPr>
              <w:t>5</w:t>
            </w:r>
          </w:p>
        </w:tc>
        <w:tc>
          <w:tcPr>
            <w:tcW w:w="1276" w:type="dxa"/>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10</w:t>
            </w:r>
          </w:p>
        </w:tc>
      </w:tr>
      <w:tr w:rsidR="003429ED" w:rsidRPr="004761E0" w:rsidTr="003429ED">
        <w:trPr>
          <w:trHeight w:val="488"/>
        </w:trPr>
        <w:tc>
          <w:tcPr>
            <w:tcW w:w="567" w:type="dxa"/>
          </w:tcPr>
          <w:p w:rsidR="003429ED" w:rsidRPr="004761E0" w:rsidRDefault="003429ED" w:rsidP="007076A7">
            <w:pPr>
              <w:pStyle w:val="a5"/>
              <w:numPr>
                <w:ilvl w:val="0"/>
                <w:numId w:val="195"/>
              </w:numPr>
              <w:ind w:left="0" w:firstLine="0"/>
              <w:contextualSpacing w:val="0"/>
              <w:jc w:val="left"/>
              <w:rPr>
                <w:rFonts w:eastAsia="Times New Roman"/>
                <w:color w:val="000000" w:themeColor="text1"/>
                <w:sz w:val="20"/>
                <w:szCs w:val="20"/>
              </w:rPr>
            </w:pPr>
          </w:p>
        </w:tc>
        <w:tc>
          <w:tcPr>
            <w:tcW w:w="7095" w:type="dxa"/>
            <w:hideMark/>
          </w:tcPr>
          <w:p w:rsidR="003429ED" w:rsidRPr="004761E0" w:rsidRDefault="003429ED" w:rsidP="003429ED">
            <w:pPr>
              <w:ind w:firstLine="0"/>
              <w:jc w:val="left"/>
              <w:rPr>
                <w:rFonts w:eastAsia="Times New Roman"/>
                <w:bCs/>
                <w:color w:val="000000" w:themeColor="text1"/>
                <w:sz w:val="20"/>
                <w:szCs w:val="20"/>
              </w:rPr>
            </w:pPr>
            <w:r w:rsidRPr="004761E0">
              <w:rPr>
                <w:rFonts w:eastAsia="Times New Roman"/>
                <w:bCs/>
                <w:color w:val="000000" w:themeColor="text1"/>
                <w:sz w:val="20"/>
                <w:szCs w:val="20"/>
              </w:rPr>
              <w:t>Мероприятия в области техперевооружения и реконструкции (сокращение затрат за счет проведения регламентированных процедур на услуги, сырье и материалы)</w:t>
            </w:r>
          </w:p>
        </w:tc>
        <w:tc>
          <w:tcPr>
            <w:tcW w:w="1092" w:type="dxa"/>
            <w:vAlign w:val="center"/>
          </w:tcPr>
          <w:p w:rsidR="003429ED" w:rsidRPr="004761E0" w:rsidRDefault="003429ED" w:rsidP="003429ED">
            <w:pPr>
              <w:ind w:firstLine="0"/>
              <w:jc w:val="right"/>
              <w:rPr>
                <w:color w:val="000000"/>
                <w:sz w:val="20"/>
                <w:szCs w:val="20"/>
              </w:rPr>
            </w:pPr>
            <w:r w:rsidRPr="004761E0">
              <w:rPr>
                <w:color w:val="000000"/>
                <w:sz w:val="20"/>
                <w:szCs w:val="20"/>
              </w:rPr>
              <w:t>2 042</w:t>
            </w:r>
          </w:p>
        </w:tc>
        <w:tc>
          <w:tcPr>
            <w:tcW w:w="1276" w:type="dxa"/>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2 105</w:t>
            </w:r>
          </w:p>
        </w:tc>
      </w:tr>
      <w:tr w:rsidR="003429ED" w:rsidRPr="004761E0" w:rsidTr="003429ED">
        <w:trPr>
          <w:trHeight w:val="27"/>
        </w:trPr>
        <w:tc>
          <w:tcPr>
            <w:tcW w:w="567" w:type="dxa"/>
            <w:tcBorders>
              <w:bottom w:val="single" w:sz="4" w:space="0" w:color="auto"/>
            </w:tcBorders>
          </w:tcPr>
          <w:p w:rsidR="003429ED" w:rsidRPr="004761E0" w:rsidRDefault="003429ED" w:rsidP="007076A7">
            <w:pPr>
              <w:pStyle w:val="a5"/>
              <w:numPr>
                <w:ilvl w:val="0"/>
                <w:numId w:val="195"/>
              </w:numPr>
              <w:ind w:left="0" w:firstLine="0"/>
              <w:contextualSpacing w:val="0"/>
              <w:jc w:val="left"/>
              <w:rPr>
                <w:rFonts w:eastAsia="Times New Roman"/>
                <w:color w:val="000000" w:themeColor="text1"/>
                <w:sz w:val="20"/>
                <w:szCs w:val="20"/>
              </w:rPr>
            </w:pPr>
          </w:p>
        </w:tc>
        <w:tc>
          <w:tcPr>
            <w:tcW w:w="7095" w:type="dxa"/>
            <w:tcBorders>
              <w:bottom w:val="single" w:sz="4" w:space="0" w:color="auto"/>
            </w:tcBorders>
            <w:hideMark/>
          </w:tcPr>
          <w:p w:rsidR="003429ED" w:rsidRPr="004761E0" w:rsidRDefault="003429ED" w:rsidP="003429ED">
            <w:pPr>
              <w:ind w:firstLine="0"/>
              <w:jc w:val="left"/>
              <w:rPr>
                <w:rFonts w:eastAsia="Times New Roman"/>
                <w:bCs/>
                <w:color w:val="000000" w:themeColor="text1"/>
                <w:sz w:val="20"/>
                <w:szCs w:val="20"/>
              </w:rPr>
            </w:pPr>
            <w:r w:rsidRPr="004761E0">
              <w:rPr>
                <w:rFonts w:eastAsia="Times New Roman"/>
                <w:bCs/>
                <w:color w:val="000000" w:themeColor="text1"/>
                <w:sz w:val="20"/>
                <w:szCs w:val="20"/>
              </w:rPr>
              <w:t xml:space="preserve">Мероприятия в области нового строительства и расширения (сокращение </w:t>
            </w:r>
            <w:r w:rsidRPr="004761E0">
              <w:rPr>
                <w:rFonts w:eastAsia="Times New Roman"/>
                <w:bCs/>
                <w:color w:val="000000" w:themeColor="text1"/>
                <w:sz w:val="20"/>
                <w:szCs w:val="20"/>
              </w:rPr>
              <w:lastRenderedPageBreak/>
              <w:t xml:space="preserve">затрат за счет проведения регламентированных процедур на услуги) </w:t>
            </w:r>
          </w:p>
        </w:tc>
        <w:tc>
          <w:tcPr>
            <w:tcW w:w="1092" w:type="dxa"/>
            <w:tcBorders>
              <w:bottom w:val="single" w:sz="4" w:space="0" w:color="auto"/>
            </w:tcBorders>
            <w:vAlign w:val="center"/>
          </w:tcPr>
          <w:p w:rsidR="003429ED" w:rsidRPr="004761E0" w:rsidRDefault="003429ED" w:rsidP="003429ED">
            <w:pPr>
              <w:ind w:firstLine="0"/>
              <w:jc w:val="right"/>
              <w:rPr>
                <w:color w:val="000000"/>
                <w:sz w:val="20"/>
                <w:szCs w:val="20"/>
              </w:rPr>
            </w:pPr>
            <w:r w:rsidRPr="004761E0">
              <w:rPr>
                <w:color w:val="000000"/>
                <w:sz w:val="20"/>
                <w:szCs w:val="20"/>
              </w:rPr>
              <w:lastRenderedPageBreak/>
              <w:t>490</w:t>
            </w:r>
          </w:p>
        </w:tc>
        <w:tc>
          <w:tcPr>
            <w:tcW w:w="1276" w:type="dxa"/>
            <w:tcBorders>
              <w:bottom w:val="single" w:sz="4" w:space="0" w:color="auto"/>
            </w:tcBorders>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560</w:t>
            </w:r>
          </w:p>
        </w:tc>
      </w:tr>
      <w:tr w:rsidR="003429ED" w:rsidRPr="004761E0" w:rsidTr="003429ED">
        <w:trPr>
          <w:trHeight w:val="222"/>
        </w:trPr>
        <w:tc>
          <w:tcPr>
            <w:tcW w:w="567" w:type="dxa"/>
            <w:shd w:val="clear" w:color="auto" w:fill="auto"/>
            <w:noWrap/>
            <w:vAlign w:val="center"/>
            <w:hideMark/>
          </w:tcPr>
          <w:p w:rsidR="003429ED" w:rsidRPr="004761E0" w:rsidRDefault="003429ED" w:rsidP="003429ED">
            <w:pPr>
              <w:jc w:val="center"/>
              <w:rPr>
                <w:rFonts w:eastAsia="Times New Roman"/>
                <w:color w:val="000000" w:themeColor="text1"/>
                <w:sz w:val="20"/>
                <w:szCs w:val="20"/>
              </w:rPr>
            </w:pPr>
          </w:p>
        </w:tc>
        <w:tc>
          <w:tcPr>
            <w:tcW w:w="7095" w:type="dxa"/>
            <w:shd w:val="clear" w:color="auto" w:fill="auto"/>
            <w:vAlign w:val="center"/>
            <w:hideMark/>
          </w:tcPr>
          <w:p w:rsidR="003429ED" w:rsidRPr="004761E0" w:rsidRDefault="003429ED" w:rsidP="003429ED">
            <w:pPr>
              <w:ind w:firstLine="0"/>
              <w:rPr>
                <w:rFonts w:eastAsia="Times New Roman"/>
                <w:b/>
                <w:bCs/>
                <w:color w:val="000000" w:themeColor="text1"/>
                <w:sz w:val="20"/>
                <w:szCs w:val="20"/>
              </w:rPr>
            </w:pPr>
            <w:r w:rsidRPr="004761E0">
              <w:rPr>
                <w:rFonts w:eastAsia="Times New Roman"/>
                <w:b/>
                <w:bCs/>
                <w:color w:val="000000" w:themeColor="text1"/>
                <w:sz w:val="20"/>
                <w:szCs w:val="20"/>
              </w:rPr>
              <w:t>Итого совокупный эффект от реализации мероприятий</w:t>
            </w:r>
          </w:p>
        </w:tc>
        <w:tc>
          <w:tcPr>
            <w:tcW w:w="1092" w:type="dxa"/>
            <w:shd w:val="clear" w:color="auto" w:fill="auto"/>
            <w:vAlign w:val="center"/>
          </w:tcPr>
          <w:p w:rsidR="003429ED" w:rsidRPr="004761E0" w:rsidRDefault="003429ED" w:rsidP="003429ED">
            <w:pPr>
              <w:ind w:firstLine="0"/>
              <w:jc w:val="right"/>
              <w:rPr>
                <w:color w:val="000000"/>
                <w:sz w:val="20"/>
                <w:szCs w:val="20"/>
              </w:rPr>
            </w:pPr>
            <w:r w:rsidRPr="004761E0">
              <w:rPr>
                <w:color w:val="000000"/>
                <w:sz w:val="20"/>
                <w:szCs w:val="20"/>
              </w:rPr>
              <w:t>4 239</w:t>
            </w:r>
          </w:p>
        </w:tc>
        <w:tc>
          <w:tcPr>
            <w:tcW w:w="1276" w:type="dxa"/>
            <w:shd w:val="clear" w:color="auto" w:fill="auto"/>
            <w:noWrap/>
            <w:vAlign w:val="center"/>
            <w:hideMark/>
          </w:tcPr>
          <w:p w:rsidR="003429ED" w:rsidRPr="004761E0" w:rsidRDefault="003429ED" w:rsidP="003429ED">
            <w:pPr>
              <w:ind w:firstLine="0"/>
              <w:jc w:val="right"/>
              <w:rPr>
                <w:color w:val="000000"/>
                <w:sz w:val="20"/>
                <w:szCs w:val="20"/>
              </w:rPr>
            </w:pPr>
            <w:r w:rsidRPr="004761E0">
              <w:rPr>
                <w:color w:val="000000"/>
                <w:sz w:val="20"/>
                <w:szCs w:val="20"/>
              </w:rPr>
              <w:t>5 164</w:t>
            </w:r>
          </w:p>
        </w:tc>
      </w:tr>
    </w:tbl>
    <w:p w:rsidR="003429ED" w:rsidRPr="004761E0" w:rsidRDefault="003429ED" w:rsidP="003429ED">
      <w:pPr>
        <w:spacing w:before="120" w:after="120"/>
        <w:ind w:firstLine="0"/>
        <w:jc w:val="left"/>
        <w:rPr>
          <w:b/>
          <w:sz w:val="26"/>
          <w:szCs w:val="26"/>
          <w:lang w:eastAsia="ru-RU"/>
        </w:rPr>
      </w:pPr>
      <w:r w:rsidRPr="004761E0">
        <w:rPr>
          <w:b/>
          <w:noProof/>
          <w:sz w:val="26"/>
          <w:szCs w:val="26"/>
          <w:lang w:eastAsia="ru-RU"/>
        </w:rPr>
        <w:drawing>
          <wp:inline distT="0" distB="0" distL="0" distR="0">
            <wp:extent cx="6391275" cy="3152775"/>
            <wp:effectExtent l="0" t="0" r="9525" b="9525"/>
            <wp:docPr id="257" name="Диаграмма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AA7AA7" w:rsidRPr="004761E0" w:rsidRDefault="00654E0B" w:rsidP="003429ED">
      <w:pPr>
        <w:spacing w:before="120" w:after="120"/>
        <w:ind w:firstLine="567"/>
        <w:jc w:val="left"/>
        <w:rPr>
          <w:b/>
          <w:sz w:val="26"/>
          <w:szCs w:val="26"/>
          <w:lang w:eastAsia="ru-RU"/>
        </w:rPr>
      </w:pPr>
      <w:r w:rsidRPr="004761E0">
        <w:rPr>
          <w:b/>
          <w:sz w:val="26"/>
          <w:szCs w:val="26"/>
          <w:lang w:eastAsia="ru-RU"/>
        </w:rPr>
        <w:t>Динамика снижения затрат</w:t>
      </w:r>
    </w:p>
    <w:tbl>
      <w:tblPr>
        <w:tblW w:w="9861" w:type="dxa"/>
        <w:tblInd w:w="93" w:type="dxa"/>
        <w:tblLook w:val="04A0"/>
      </w:tblPr>
      <w:tblGrid>
        <w:gridCol w:w="516"/>
        <w:gridCol w:w="4602"/>
        <w:gridCol w:w="851"/>
        <w:gridCol w:w="992"/>
        <w:gridCol w:w="823"/>
        <w:gridCol w:w="988"/>
        <w:gridCol w:w="1089"/>
      </w:tblGrid>
      <w:tr w:rsidR="00654E0B" w:rsidRPr="004761E0" w:rsidTr="00654E0B">
        <w:trPr>
          <w:trHeight w:val="423"/>
        </w:trPr>
        <w:tc>
          <w:tcPr>
            <w:tcW w:w="516"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AA7AA7" w:rsidRPr="004761E0" w:rsidRDefault="00AA7AA7" w:rsidP="00654E0B">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460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noWrap/>
            <w:vAlign w:val="center"/>
            <w:hideMark/>
          </w:tcPr>
          <w:p w:rsidR="00AA7AA7" w:rsidRPr="004761E0" w:rsidRDefault="00AA7AA7" w:rsidP="00654E0B">
            <w:pPr>
              <w:ind w:firstLine="0"/>
              <w:jc w:val="left"/>
              <w:rPr>
                <w:rFonts w:eastAsia="Times New Roman"/>
                <w:b/>
                <w:sz w:val="20"/>
                <w:szCs w:val="20"/>
                <w:lang w:eastAsia="ru-RU"/>
              </w:rPr>
            </w:pPr>
            <w:r w:rsidRPr="004761E0">
              <w:rPr>
                <w:rFonts w:eastAsia="Times New Roman"/>
                <w:b/>
                <w:sz w:val="20"/>
                <w:szCs w:val="20"/>
                <w:lang w:eastAsia="ru-RU"/>
              </w:rPr>
              <w:t>Наименование категории</w:t>
            </w:r>
          </w:p>
        </w:tc>
        <w:tc>
          <w:tcPr>
            <w:tcW w:w="85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noWrap/>
            <w:vAlign w:val="center"/>
            <w:hideMark/>
          </w:tcPr>
          <w:p w:rsidR="00AA7AA7" w:rsidRPr="004761E0" w:rsidRDefault="00AA7AA7" w:rsidP="00654E0B">
            <w:pPr>
              <w:ind w:firstLine="0"/>
              <w:jc w:val="right"/>
              <w:rPr>
                <w:rFonts w:eastAsia="Times New Roman"/>
                <w:b/>
                <w:sz w:val="20"/>
                <w:szCs w:val="20"/>
                <w:lang w:eastAsia="ru-RU"/>
              </w:rPr>
            </w:pPr>
            <w:r w:rsidRPr="004761E0">
              <w:rPr>
                <w:rFonts w:eastAsia="Times New Roman"/>
                <w:b/>
                <w:sz w:val="20"/>
                <w:szCs w:val="20"/>
                <w:lang w:eastAsia="ru-RU"/>
              </w:rPr>
              <w:t>2010</w:t>
            </w:r>
          </w:p>
        </w:tc>
        <w:tc>
          <w:tcPr>
            <w:tcW w:w="99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noWrap/>
            <w:vAlign w:val="center"/>
            <w:hideMark/>
          </w:tcPr>
          <w:p w:rsidR="00AA7AA7" w:rsidRPr="004761E0" w:rsidRDefault="00AA7AA7" w:rsidP="00654E0B">
            <w:pPr>
              <w:ind w:firstLine="0"/>
              <w:jc w:val="right"/>
              <w:rPr>
                <w:rFonts w:eastAsia="Times New Roman"/>
                <w:b/>
                <w:sz w:val="20"/>
                <w:szCs w:val="20"/>
                <w:lang w:eastAsia="ru-RU"/>
              </w:rPr>
            </w:pPr>
            <w:r w:rsidRPr="004761E0">
              <w:rPr>
                <w:rFonts w:eastAsia="Times New Roman"/>
                <w:b/>
                <w:sz w:val="20"/>
                <w:szCs w:val="20"/>
                <w:lang w:eastAsia="ru-RU"/>
              </w:rPr>
              <w:t>2011</w:t>
            </w:r>
          </w:p>
        </w:tc>
        <w:tc>
          <w:tcPr>
            <w:tcW w:w="82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noWrap/>
            <w:vAlign w:val="center"/>
            <w:hideMark/>
          </w:tcPr>
          <w:p w:rsidR="00AA7AA7" w:rsidRPr="004761E0" w:rsidRDefault="00AA7AA7" w:rsidP="00654E0B">
            <w:pPr>
              <w:ind w:firstLine="0"/>
              <w:jc w:val="right"/>
              <w:rPr>
                <w:rFonts w:eastAsia="Times New Roman"/>
                <w:b/>
                <w:sz w:val="20"/>
                <w:szCs w:val="20"/>
                <w:lang w:eastAsia="ru-RU"/>
              </w:rPr>
            </w:pPr>
            <w:r w:rsidRPr="004761E0">
              <w:rPr>
                <w:rFonts w:eastAsia="Times New Roman"/>
                <w:b/>
                <w:sz w:val="20"/>
                <w:szCs w:val="20"/>
                <w:lang w:eastAsia="ru-RU"/>
              </w:rPr>
              <w:t>2012</w:t>
            </w:r>
          </w:p>
        </w:tc>
        <w:tc>
          <w:tcPr>
            <w:tcW w:w="98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noWrap/>
            <w:vAlign w:val="center"/>
            <w:hideMark/>
          </w:tcPr>
          <w:p w:rsidR="00AA7AA7" w:rsidRPr="004761E0" w:rsidRDefault="00AA7AA7" w:rsidP="00654E0B">
            <w:pPr>
              <w:ind w:firstLine="0"/>
              <w:jc w:val="right"/>
              <w:rPr>
                <w:rFonts w:eastAsia="Times New Roman"/>
                <w:b/>
                <w:sz w:val="20"/>
                <w:szCs w:val="20"/>
                <w:lang w:eastAsia="ru-RU"/>
              </w:rPr>
            </w:pPr>
            <w:r w:rsidRPr="004761E0">
              <w:rPr>
                <w:rFonts w:eastAsia="Times New Roman"/>
                <w:b/>
                <w:sz w:val="20"/>
                <w:szCs w:val="20"/>
                <w:lang w:eastAsia="ru-RU"/>
              </w:rPr>
              <w:t>2013</w:t>
            </w:r>
          </w:p>
        </w:tc>
        <w:tc>
          <w:tcPr>
            <w:tcW w:w="1089"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AA7AA7" w:rsidRPr="004761E0" w:rsidRDefault="00AA7AA7" w:rsidP="00654E0B">
            <w:pPr>
              <w:ind w:firstLine="0"/>
              <w:jc w:val="right"/>
              <w:rPr>
                <w:rFonts w:eastAsia="Times New Roman"/>
                <w:b/>
                <w:sz w:val="20"/>
                <w:szCs w:val="20"/>
                <w:lang w:eastAsia="ru-RU"/>
              </w:rPr>
            </w:pPr>
            <w:r w:rsidRPr="004761E0">
              <w:rPr>
                <w:rFonts w:eastAsia="Times New Roman"/>
                <w:b/>
                <w:sz w:val="20"/>
                <w:szCs w:val="20"/>
                <w:lang w:eastAsia="ru-RU"/>
              </w:rPr>
              <w:t>2013/2012</w:t>
            </w:r>
          </w:p>
        </w:tc>
      </w:tr>
      <w:tr w:rsidR="00AA7AA7" w:rsidRPr="004761E0" w:rsidTr="00654E0B">
        <w:trPr>
          <w:trHeight w:val="211"/>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AA7AA7" w:rsidRPr="004761E0" w:rsidRDefault="00AA7AA7" w:rsidP="007076A7">
            <w:pPr>
              <w:pStyle w:val="a5"/>
              <w:numPr>
                <w:ilvl w:val="0"/>
                <w:numId w:val="318"/>
              </w:numPr>
              <w:tabs>
                <w:tab w:val="left" w:pos="170"/>
              </w:tabs>
              <w:ind w:left="0" w:firstLine="0"/>
              <w:contextualSpacing w:val="0"/>
              <w:jc w:val="left"/>
              <w:rPr>
                <w:rFonts w:eastAsia="Times New Roman"/>
                <w:sz w:val="20"/>
                <w:szCs w:val="20"/>
                <w:lang w:eastAsia="ru-RU"/>
              </w:rPr>
            </w:pPr>
          </w:p>
        </w:tc>
        <w:tc>
          <w:tcPr>
            <w:tcW w:w="4602"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654E0B">
            <w:pPr>
              <w:ind w:firstLine="0"/>
              <w:rPr>
                <w:rFonts w:eastAsia="Times New Roman"/>
                <w:sz w:val="20"/>
                <w:szCs w:val="20"/>
                <w:lang w:eastAsia="ru-RU"/>
              </w:rPr>
            </w:pPr>
            <w:r w:rsidRPr="004761E0">
              <w:rPr>
                <w:rFonts w:eastAsia="Times New Roman"/>
                <w:sz w:val="20"/>
                <w:szCs w:val="20"/>
                <w:lang w:eastAsia="ru-RU"/>
              </w:rPr>
              <w:t>Себестоимость, млн руб. без НДС, (всего), в т.ч.:</w:t>
            </w:r>
          </w:p>
        </w:tc>
        <w:tc>
          <w:tcPr>
            <w:tcW w:w="851"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654E0B">
            <w:pPr>
              <w:ind w:firstLine="0"/>
              <w:jc w:val="right"/>
              <w:rPr>
                <w:rFonts w:eastAsia="Times New Roman"/>
                <w:sz w:val="20"/>
                <w:szCs w:val="20"/>
                <w:lang w:eastAsia="ru-RU"/>
              </w:rPr>
            </w:pPr>
            <w:r w:rsidRPr="004761E0">
              <w:rPr>
                <w:rFonts w:eastAsia="Times New Roman"/>
                <w:sz w:val="20"/>
                <w:szCs w:val="20"/>
                <w:lang w:eastAsia="ru-RU"/>
              </w:rPr>
              <w:t>85 240</w:t>
            </w:r>
          </w:p>
        </w:tc>
        <w:tc>
          <w:tcPr>
            <w:tcW w:w="992"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654E0B">
            <w:pPr>
              <w:ind w:firstLine="0"/>
              <w:jc w:val="right"/>
              <w:rPr>
                <w:rFonts w:eastAsia="Times New Roman"/>
                <w:sz w:val="20"/>
                <w:szCs w:val="20"/>
                <w:lang w:eastAsia="ru-RU"/>
              </w:rPr>
            </w:pPr>
            <w:r w:rsidRPr="004761E0">
              <w:rPr>
                <w:rFonts w:eastAsia="Times New Roman"/>
                <w:sz w:val="20"/>
                <w:szCs w:val="20"/>
                <w:lang w:eastAsia="ru-RU"/>
              </w:rPr>
              <w:t>101 102</w:t>
            </w:r>
          </w:p>
        </w:tc>
        <w:tc>
          <w:tcPr>
            <w:tcW w:w="823"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654E0B">
            <w:pPr>
              <w:ind w:firstLine="0"/>
              <w:jc w:val="right"/>
              <w:rPr>
                <w:rFonts w:eastAsia="Times New Roman"/>
                <w:sz w:val="20"/>
                <w:szCs w:val="20"/>
                <w:lang w:eastAsia="ru-RU"/>
              </w:rPr>
            </w:pPr>
            <w:r w:rsidRPr="004761E0">
              <w:rPr>
                <w:rFonts w:eastAsia="Times New Roman"/>
                <w:sz w:val="20"/>
                <w:szCs w:val="20"/>
                <w:lang w:eastAsia="ru-RU"/>
              </w:rPr>
              <w:t>92 305</w:t>
            </w:r>
          </w:p>
        </w:tc>
        <w:tc>
          <w:tcPr>
            <w:tcW w:w="988"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654E0B">
            <w:pPr>
              <w:ind w:firstLine="0"/>
              <w:jc w:val="right"/>
              <w:rPr>
                <w:rFonts w:eastAsia="Times New Roman"/>
                <w:sz w:val="20"/>
                <w:szCs w:val="20"/>
                <w:lang w:eastAsia="ru-RU"/>
              </w:rPr>
            </w:pPr>
            <w:r w:rsidRPr="004761E0">
              <w:rPr>
                <w:rFonts w:eastAsia="Times New Roman"/>
                <w:sz w:val="20"/>
                <w:szCs w:val="20"/>
                <w:lang w:eastAsia="ru-RU"/>
              </w:rPr>
              <w:t>103 023</w:t>
            </w:r>
          </w:p>
        </w:tc>
        <w:tc>
          <w:tcPr>
            <w:tcW w:w="1089"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2B068D">
            <w:pPr>
              <w:ind w:firstLine="0"/>
              <w:jc w:val="right"/>
              <w:rPr>
                <w:rFonts w:eastAsia="Times New Roman"/>
                <w:sz w:val="20"/>
                <w:szCs w:val="20"/>
                <w:lang w:eastAsia="ru-RU"/>
              </w:rPr>
            </w:pPr>
            <w:r w:rsidRPr="004761E0">
              <w:rPr>
                <w:rFonts w:eastAsia="Times New Roman"/>
                <w:sz w:val="20"/>
                <w:szCs w:val="20"/>
                <w:lang w:eastAsia="ru-RU"/>
              </w:rPr>
              <w:t>1</w:t>
            </w:r>
            <w:r w:rsidR="002B068D">
              <w:rPr>
                <w:rFonts w:eastAsia="Times New Roman"/>
                <w:sz w:val="20"/>
                <w:szCs w:val="20"/>
                <w:lang w:eastAsia="ru-RU"/>
              </w:rPr>
              <w:t>1</w:t>
            </w:r>
            <w:r w:rsidRPr="004761E0">
              <w:rPr>
                <w:rFonts w:eastAsia="Times New Roman"/>
                <w:sz w:val="20"/>
                <w:szCs w:val="20"/>
                <w:lang w:eastAsia="ru-RU"/>
              </w:rPr>
              <w:t>,</w:t>
            </w:r>
            <w:r w:rsidR="002B068D">
              <w:rPr>
                <w:rFonts w:eastAsia="Times New Roman"/>
                <w:sz w:val="20"/>
                <w:szCs w:val="20"/>
                <w:lang w:eastAsia="ru-RU"/>
              </w:rPr>
              <w:t>61</w:t>
            </w:r>
            <w:r w:rsidR="00654E0B" w:rsidRPr="004761E0">
              <w:rPr>
                <w:rFonts w:eastAsia="Times New Roman"/>
                <w:sz w:val="20"/>
                <w:szCs w:val="20"/>
                <w:lang w:eastAsia="ru-RU"/>
              </w:rPr>
              <w:t xml:space="preserve"> </w:t>
            </w:r>
            <w:r w:rsidRPr="004761E0">
              <w:rPr>
                <w:rFonts w:eastAsia="Times New Roman"/>
                <w:sz w:val="20"/>
                <w:szCs w:val="20"/>
                <w:lang w:eastAsia="ru-RU"/>
              </w:rPr>
              <w:t>%</w:t>
            </w:r>
          </w:p>
        </w:tc>
      </w:tr>
      <w:tr w:rsidR="00AA7AA7" w:rsidRPr="004761E0" w:rsidTr="00654E0B">
        <w:trPr>
          <w:trHeight w:val="211"/>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AA7AA7" w:rsidRPr="004761E0" w:rsidRDefault="00AA7AA7" w:rsidP="00654E0B">
            <w:pPr>
              <w:ind w:firstLine="0"/>
              <w:jc w:val="left"/>
              <w:rPr>
                <w:rFonts w:eastAsia="Times New Roman"/>
                <w:color w:val="000000"/>
                <w:sz w:val="20"/>
                <w:szCs w:val="20"/>
                <w:lang w:eastAsia="ru-RU"/>
              </w:rPr>
            </w:pPr>
            <w:r w:rsidRPr="004761E0">
              <w:rPr>
                <w:rFonts w:eastAsia="Times New Roman"/>
                <w:color w:val="000000"/>
                <w:sz w:val="20"/>
                <w:szCs w:val="20"/>
                <w:lang w:eastAsia="ru-RU"/>
              </w:rPr>
              <w:t>1.1.</w:t>
            </w:r>
          </w:p>
        </w:tc>
        <w:tc>
          <w:tcPr>
            <w:tcW w:w="4602" w:type="dxa"/>
            <w:tcBorders>
              <w:top w:val="nil"/>
              <w:left w:val="nil"/>
              <w:bottom w:val="single" w:sz="4" w:space="0" w:color="auto"/>
              <w:right w:val="single" w:sz="4" w:space="0" w:color="auto"/>
            </w:tcBorders>
            <w:shd w:val="clear" w:color="auto" w:fill="auto"/>
            <w:vAlign w:val="center"/>
            <w:hideMark/>
          </w:tcPr>
          <w:p w:rsidR="00AA7AA7" w:rsidRPr="004761E0" w:rsidRDefault="00AA7AA7" w:rsidP="00654E0B">
            <w:pPr>
              <w:ind w:firstLineChars="200" w:firstLine="400"/>
              <w:jc w:val="left"/>
              <w:rPr>
                <w:rFonts w:eastAsia="Times New Roman"/>
                <w:sz w:val="20"/>
                <w:szCs w:val="20"/>
                <w:lang w:eastAsia="ru-RU"/>
              </w:rPr>
            </w:pPr>
            <w:r w:rsidRPr="004761E0">
              <w:rPr>
                <w:rFonts w:eastAsia="Times New Roman"/>
                <w:sz w:val="20"/>
                <w:szCs w:val="20"/>
                <w:lang w:eastAsia="ru-RU"/>
              </w:rPr>
              <w:t>условно неподконтрольные затраты</w:t>
            </w:r>
          </w:p>
        </w:tc>
        <w:tc>
          <w:tcPr>
            <w:tcW w:w="851"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654E0B">
            <w:pPr>
              <w:ind w:firstLine="0"/>
              <w:jc w:val="right"/>
              <w:rPr>
                <w:rFonts w:eastAsia="Times New Roman"/>
                <w:sz w:val="20"/>
                <w:szCs w:val="20"/>
                <w:lang w:eastAsia="ru-RU"/>
              </w:rPr>
            </w:pPr>
            <w:r w:rsidRPr="004761E0">
              <w:rPr>
                <w:rFonts w:eastAsia="Times New Roman"/>
                <w:sz w:val="20"/>
                <w:szCs w:val="20"/>
                <w:lang w:eastAsia="ru-RU"/>
              </w:rPr>
              <w:t>67 862</w:t>
            </w:r>
          </w:p>
        </w:tc>
        <w:tc>
          <w:tcPr>
            <w:tcW w:w="992"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654E0B">
            <w:pPr>
              <w:ind w:firstLine="0"/>
              <w:jc w:val="right"/>
              <w:rPr>
                <w:rFonts w:eastAsia="Times New Roman"/>
                <w:sz w:val="20"/>
                <w:szCs w:val="20"/>
                <w:lang w:eastAsia="ru-RU"/>
              </w:rPr>
            </w:pPr>
            <w:r w:rsidRPr="004761E0">
              <w:rPr>
                <w:rFonts w:eastAsia="Times New Roman"/>
                <w:sz w:val="20"/>
                <w:szCs w:val="20"/>
                <w:lang w:eastAsia="ru-RU"/>
              </w:rPr>
              <w:t>82 942</w:t>
            </w:r>
          </w:p>
        </w:tc>
        <w:tc>
          <w:tcPr>
            <w:tcW w:w="823"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654E0B">
            <w:pPr>
              <w:ind w:firstLine="0"/>
              <w:jc w:val="right"/>
              <w:rPr>
                <w:rFonts w:eastAsia="Times New Roman"/>
                <w:sz w:val="20"/>
                <w:szCs w:val="20"/>
                <w:lang w:eastAsia="ru-RU"/>
              </w:rPr>
            </w:pPr>
            <w:r w:rsidRPr="004761E0">
              <w:rPr>
                <w:rFonts w:eastAsia="Times New Roman"/>
                <w:sz w:val="20"/>
                <w:szCs w:val="20"/>
                <w:lang w:eastAsia="ru-RU"/>
              </w:rPr>
              <w:t>72 461</w:t>
            </w:r>
          </w:p>
        </w:tc>
        <w:tc>
          <w:tcPr>
            <w:tcW w:w="988"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654E0B">
            <w:pPr>
              <w:ind w:firstLine="0"/>
              <w:jc w:val="right"/>
              <w:rPr>
                <w:rFonts w:eastAsia="Times New Roman"/>
                <w:sz w:val="20"/>
                <w:szCs w:val="20"/>
                <w:lang w:eastAsia="ru-RU"/>
              </w:rPr>
            </w:pPr>
            <w:r w:rsidRPr="004761E0">
              <w:rPr>
                <w:rFonts w:eastAsia="Times New Roman"/>
                <w:sz w:val="20"/>
                <w:szCs w:val="20"/>
                <w:lang w:eastAsia="ru-RU"/>
              </w:rPr>
              <w:t>82 452</w:t>
            </w:r>
          </w:p>
        </w:tc>
        <w:tc>
          <w:tcPr>
            <w:tcW w:w="1089"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2B068D">
            <w:pPr>
              <w:ind w:firstLine="0"/>
              <w:jc w:val="right"/>
              <w:rPr>
                <w:rFonts w:eastAsia="Times New Roman"/>
                <w:sz w:val="20"/>
                <w:szCs w:val="20"/>
                <w:lang w:eastAsia="ru-RU"/>
              </w:rPr>
            </w:pPr>
            <w:r w:rsidRPr="004761E0">
              <w:rPr>
                <w:rFonts w:eastAsia="Times New Roman"/>
                <w:sz w:val="20"/>
                <w:szCs w:val="20"/>
                <w:lang w:eastAsia="ru-RU"/>
              </w:rPr>
              <w:t>1</w:t>
            </w:r>
            <w:r w:rsidR="002B068D">
              <w:rPr>
                <w:rFonts w:eastAsia="Times New Roman"/>
                <w:sz w:val="20"/>
                <w:szCs w:val="20"/>
                <w:lang w:eastAsia="ru-RU"/>
              </w:rPr>
              <w:t>3</w:t>
            </w:r>
            <w:r w:rsidRPr="004761E0">
              <w:rPr>
                <w:rFonts w:eastAsia="Times New Roman"/>
                <w:sz w:val="20"/>
                <w:szCs w:val="20"/>
                <w:lang w:eastAsia="ru-RU"/>
              </w:rPr>
              <w:t>,</w:t>
            </w:r>
            <w:r w:rsidR="002B068D">
              <w:rPr>
                <w:rFonts w:eastAsia="Times New Roman"/>
                <w:sz w:val="20"/>
                <w:szCs w:val="20"/>
                <w:lang w:eastAsia="ru-RU"/>
              </w:rPr>
              <w:t>79</w:t>
            </w:r>
            <w:r w:rsidR="00654E0B" w:rsidRPr="004761E0">
              <w:rPr>
                <w:rFonts w:eastAsia="Times New Roman"/>
                <w:sz w:val="20"/>
                <w:szCs w:val="20"/>
                <w:lang w:eastAsia="ru-RU"/>
              </w:rPr>
              <w:t xml:space="preserve"> </w:t>
            </w:r>
            <w:r w:rsidRPr="004761E0">
              <w:rPr>
                <w:rFonts w:eastAsia="Times New Roman"/>
                <w:sz w:val="20"/>
                <w:szCs w:val="20"/>
                <w:lang w:eastAsia="ru-RU"/>
              </w:rPr>
              <w:t>%</w:t>
            </w:r>
          </w:p>
        </w:tc>
      </w:tr>
      <w:tr w:rsidR="00AA7AA7" w:rsidRPr="004761E0" w:rsidTr="00654E0B">
        <w:trPr>
          <w:trHeight w:val="211"/>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AA7AA7" w:rsidRPr="004761E0" w:rsidRDefault="00AA7AA7" w:rsidP="00654E0B">
            <w:pPr>
              <w:ind w:firstLine="0"/>
              <w:jc w:val="left"/>
              <w:rPr>
                <w:rFonts w:eastAsia="Times New Roman"/>
                <w:color w:val="000000"/>
                <w:sz w:val="20"/>
                <w:szCs w:val="20"/>
                <w:lang w:eastAsia="ru-RU"/>
              </w:rPr>
            </w:pPr>
            <w:r w:rsidRPr="004761E0">
              <w:rPr>
                <w:rFonts w:eastAsia="Times New Roman"/>
                <w:color w:val="000000"/>
                <w:sz w:val="20"/>
                <w:szCs w:val="20"/>
                <w:lang w:eastAsia="ru-RU"/>
              </w:rPr>
              <w:t>1.2.</w:t>
            </w:r>
          </w:p>
        </w:tc>
        <w:tc>
          <w:tcPr>
            <w:tcW w:w="4602" w:type="dxa"/>
            <w:tcBorders>
              <w:top w:val="nil"/>
              <w:left w:val="nil"/>
              <w:bottom w:val="single" w:sz="4" w:space="0" w:color="auto"/>
              <w:right w:val="single" w:sz="4" w:space="0" w:color="auto"/>
            </w:tcBorders>
            <w:shd w:val="clear" w:color="auto" w:fill="auto"/>
            <w:vAlign w:val="center"/>
            <w:hideMark/>
          </w:tcPr>
          <w:p w:rsidR="00AA7AA7" w:rsidRPr="004761E0" w:rsidRDefault="00AA7AA7" w:rsidP="00654E0B">
            <w:pPr>
              <w:ind w:firstLineChars="200" w:firstLine="400"/>
              <w:jc w:val="left"/>
              <w:rPr>
                <w:rFonts w:eastAsia="Times New Roman"/>
                <w:sz w:val="20"/>
                <w:szCs w:val="20"/>
                <w:lang w:eastAsia="ru-RU"/>
              </w:rPr>
            </w:pPr>
            <w:r w:rsidRPr="004761E0">
              <w:rPr>
                <w:rFonts w:eastAsia="Times New Roman"/>
                <w:sz w:val="20"/>
                <w:szCs w:val="20"/>
                <w:lang w:eastAsia="ru-RU"/>
              </w:rPr>
              <w:t>подконтрольные затраты</w:t>
            </w:r>
          </w:p>
        </w:tc>
        <w:tc>
          <w:tcPr>
            <w:tcW w:w="851"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654E0B">
            <w:pPr>
              <w:ind w:firstLine="0"/>
              <w:jc w:val="right"/>
              <w:rPr>
                <w:rFonts w:eastAsia="Times New Roman"/>
                <w:sz w:val="20"/>
                <w:szCs w:val="20"/>
                <w:lang w:eastAsia="ru-RU"/>
              </w:rPr>
            </w:pPr>
            <w:r w:rsidRPr="004761E0">
              <w:rPr>
                <w:rFonts w:eastAsia="Times New Roman"/>
                <w:sz w:val="20"/>
                <w:szCs w:val="20"/>
                <w:lang w:eastAsia="ru-RU"/>
              </w:rPr>
              <w:t>17 378</w:t>
            </w:r>
          </w:p>
        </w:tc>
        <w:tc>
          <w:tcPr>
            <w:tcW w:w="992"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654E0B">
            <w:pPr>
              <w:ind w:firstLine="0"/>
              <w:jc w:val="right"/>
              <w:rPr>
                <w:rFonts w:eastAsia="Times New Roman"/>
                <w:sz w:val="20"/>
                <w:szCs w:val="20"/>
                <w:lang w:eastAsia="ru-RU"/>
              </w:rPr>
            </w:pPr>
            <w:r w:rsidRPr="004761E0">
              <w:rPr>
                <w:rFonts w:eastAsia="Times New Roman"/>
                <w:sz w:val="20"/>
                <w:szCs w:val="20"/>
                <w:lang w:eastAsia="ru-RU"/>
              </w:rPr>
              <w:t>18 160</w:t>
            </w:r>
          </w:p>
        </w:tc>
        <w:tc>
          <w:tcPr>
            <w:tcW w:w="823"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654E0B">
            <w:pPr>
              <w:ind w:firstLine="0"/>
              <w:jc w:val="right"/>
              <w:rPr>
                <w:rFonts w:eastAsia="Times New Roman"/>
                <w:sz w:val="20"/>
                <w:szCs w:val="20"/>
                <w:lang w:eastAsia="ru-RU"/>
              </w:rPr>
            </w:pPr>
            <w:r w:rsidRPr="004761E0">
              <w:rPr>
                <w:rFonts w:eastAsia="Times New Roman"/>
                <w:sz w:val="20"/>
                <w:szCs w:val="20"/>
                <w:lang w:eastAsia="ru-RU"/>
              </w:rPr>
              <w:t>19 844</w:t>
            </w:r>
          </w:p>
        </w:tc>
        <w:tc>
          <w:tcPr>
            <w:tcW w:w="988"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654E0B">
            <w:pPr>
              <w:ind w:firstLine="0"/>
              <w:jc w:val="right"/>
              <w:rPr>
                <w:rFonts w:eastAsia="Times New Roman"/>
                <w:sz w:val="20"/>
                <w:szCs w:val="20"/>
                <w:lang w:eastAsia="ru-RU"/>
              </w:rPr>
            </w:pPr>
            <w:r w:rsidRPr="004761E0">
              <w:rPr>
                <w:rFonts w:eastAsia="Times New Roman"/>
                <w:sz w:val="20"/>
                <w:szCs w:val="20"/>
                <w:lang w:eastAsia="ru-RU"/>
              </w:rPr>
              <w:t>20 571</w:t>
            </w:r>
          </w:p>
        </w:tc>
        <w:tc>
          <w:tcPr>
            <w:tcW w:w="1089"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2B068D">
            <w:pPr>
              <w:ind w:firstLine="0"/>
              <w:jc w:val="right"/>
              <w:rPr>
                <w:rFonts w:eastAsia="Times New Roman"/>
                <w:sz w:val="20"/>
                <w:szCs w:val="20"/>
                <w:lang w:eastAsia="ru-RU"/>
              </w:rPr>
            </w:pPr>
            <w:r w:rsidRPr="004761E0">
              <w:rPr>
                <w:rFonts w:eastAsia="Times New Roman"/>
                <w:sz w:val="20"/>
                <w:szCs w:val="20"/>
                <w:lang w:eastAsia="ru-RU"/>
              </w:rPr>
              <w:t>3,</w:t>
            </w:r>
            <w:r w:rsidR="002B068D">
              <w:rPr>
                <w:rFonts w:eastAsia="Times New Roman"/>
                <w:sz w:val="20"/>
                <w:szCs w:val="20"/>
                <w:lang w:eastAsia="ru-RU"/>
              </w:rPr>
              <w:t>66</w:t>
            </w:r>
            <w:r w:rsidR="00654E0B" w:rsidRPr="004761E0">
              <w:rPr>
                <w:rFonts w:eastAsia="Times New Roman"/>
                <w:sz w:val="20"/>
                <w:szCs w:val="20"/>
                <w:lang w:eastAsia="ru-RU"/>
              </w:rPr>
              <w:t xml:space="preserve"> </w:t>
            </w:r>
            <w:r w:rsidRPr="004761E0">
              <w:rPr>
                <w:rFonts w:eastAsia="Times New Roman"/>
                <w:sz w:val="20"/>
                <w:szCs w:val="20"/>
                <w:lang w:eastAsia="ru-RU"/>
              </w:rPr>
              <w:t>%</w:t>
            </w:r>
          </w:p>
        </w:tc>
      </w:tr>
      <w:tr w:rsidR="00AA7AA7" w:rsidRPr="004761E0" w:rsidTr="00654E0B">
        <w:trPr>
          <w:trHeight w:val="211"/>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AA7AA7" w:rsidRPr="004761E0" w:rsidRDefault="00AA7AA7" w:rsidP="007076A7">
            <w:pPr>
              <w:pStyle w:val="a5"/>
              <w:numPr>
                <w:ilvl w:val="0"/>
                <w:numId w:val="318"/>
              </w:numPr>
              <w:tabs>
                <w:tab w:val="left" w:pos="170"/>
              </w:tabs>
              <w:ind w:left="0" w:firstLine="0"/>
              <w:contextualSpacing w:val="0"/>
              <w:jc w:val="left"/>
              <w:rPr>
                <w:rFonts w:eastAsia="Times New Roman"/>
                <w:sz w:val="20"/>
                <w:szCs w:val="20"/>
                <w:lang w:eastAsia="ru-RU"/>
              </w:rPr>
            </w:pPr>
          </w:p>
        </w:tc>
        <w:tc>
          <w:tcPr>
            <w:tcW w:w="4602"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2B068D">
            <w:pPr>
              <w:ind w:firstLine="0"/>
              <w:rPr>
                <w:rFonts w:eastAsia="Times New Roman"/>
                <w:sz w:val="20"/>
                <w:szCs w:val="20"/>
                <w:lang w:eastAsia="ru-RU"/>
              </w:rPr>
            </w:pPr>
            <w:r w:rsidRPr="004761E0">
              <w:rPr>
                <w:rFonts w:eastAsia="Times New Roman"/>
                <w:sz w:val="20"/>
                <w:szCs w:val="20"/>
                <w:lang w:eastAsia="ru-RU"/>
              </w:rPr>
              <w:t>Индекс потребительских цен 2011 года</w:t>
            </w:r>
            <w:r w:rsidR="00C261EF" w:rsidRPr="006F4AB8">
              <w:rPr>
                <w:rStyle w:val="af1"/>
              </w:rPr>
              <w:footnoteReference w:id="53"/>
            </w:r>
            <w:r w:rsidRPr="004761E0">
              <w:rPr>
                <w:rFonts w:eastAsia="Times New Roman"/>
                <w:sz w:val="20"/>
                <w:szCs w:val="20"/>
                <w:lang w:eastAsia="ru-RU"/>
              </w:rPr>
              <w:t>, х</w:t>
            </w:r>
          </w:p>
        </w:tc>
        <w:tc>
          <w:tcPr>
            <w:tcW w:w="851" w:type="dxa"/>
            <w:tcBorders>
              <w:top w:val="nil"/>
              <w:left w:val="nil"/>
              <w:bottom w:val="single" w:sz="4" w:space="0" w:color="auto"/>
              <w:right w:val="single" w:sz="4" w:space="0" w:color="auto"/>
            </w:tcBorders>
            <w:shd w:val="clear" w:color="auto" w:fill="auto"/>
            <w:vAlign w:val="center"/>
            <w:hideMark/>
          </w:tcPr>
          <w:p w:rsidR="00AA7AA7" w:rsidRPr="004761E0" w:rsidRDefault="00AA7AA7" w:rsidP="00654E0B">
            <w:pPr>
              <w:ind w:firstLine="0"/>
              <w:jc w:val="right"/>
              <w:rPr>
                <w:rFonts w:eastAsia="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AA7AA7" w:rsidRPr="004761E0" w:rsidRDefault="00AA7AA7" w:rsidP="00654E0B">
            <w:pPr>
              <w:ind w:firstLine="0"/>
              <w:jc w:val="right"/>
              <w:rPr>
                <w:rFonts w:eastAsia="Times New Roman"/>
                <w:color w:val="000000"/>
                <w:sz w:val="20"/>
                <w:szCs w:val="20"/>
                <w:lang w:eastAsia="ru-RU"/>
              </w:rPr>
            </w:pPr>
            <w:r w:rsidRPr="004761E0">
              <w:rPr>
                <w:rFonts w:eastAsia="Times New Roman"/>
                <w:color w:val="000000"/>
                <w:sz w:val="20"/>
                <w:szCs w:val="20"/>
                <w:lang w:eastAsia="ru-RU"/>
              </w:rPr>
              <w:t>1,061</w:t>
            </w:r>
          </w:p>
        </w:tc>
        <w:tc>
          <w:tcPr>
            <w:tcW w:w="823" w:type="dxa"/>
            <w:tcBorders>
              <w:top w:val="nil"/>
              <w:left w:val="nil"/>
              <w:bottom w:val="single" w:sz="4" w:space="0" w:color="auto"/>
              <w:right w:val="single" w:sz="4" w:space="0" w:color="auto"/>
            </w:tcBorders>
            <w:shd w:val="clear" w:color="auto" w:fill="auto"/>
            <w:vAlign w:val="center"/>
            <w:hideMark/>
          </w:tcPr>
          <w:p w:rsidR="00AA7AA7" w:rsidRPr="004761E0" w:rsidRDefault="00AA7AA7" w:rsidP="00654E0B">
            <w:pPr>
              <w:ind w:firstLine="0"/>
              <w:jc w:val="right"/>
              <w:rPr>
                <w:rFonts w:eastAsia="Times New Roman"/>
                <w:sz w:val="20"/>
                <w:szCs w:val="20"/>
                <w:lang w:eastAsia="ru-RU"/>
              </w:rPr>
            </w:pPr>
            <w:r w:rsidRPr="004761E0">
              <w:rPr>
                <w:rFonts w:eastAsia="Times New Roman"/>
                <w:sz w:val="20"/>
                <w:szCs w:val="20"/>
                <w:lang w:eastAsia="ru-RU"/>
              </w:rPr>
              <w:t>1,061</w:t>
            </w:r>
          </w:p>
        </w:tc>
        <w:tc>
          <w:tcPr>
            <w:tcW w:w="988"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654E0B">
            <w:pPr>
              <w:ind w:firstLine="0"/>
              <w:jc w:val="right"/>
              <w:rPr>
                <w:rFonts w:eastAsia="Times New Roman"/>
                <w:sz w:val="20"/>
                <w:szCs w:val="20"/>
                <w:lang w:eastAsia="ru-RU"/>
              </w:rPr>
            </w:pPr>
            <w:r w:rsidRPr="004761E0">
              <w:rPr>
                <w:rFonts w:eastAsia="Times New Roman"/>
                <w:sz w:val="20"/>
                <w:szCs w:val="20"/>
                <w:lang w:eastAsia="ru-RU"/>
              </w:rPr>
              <w:t>1,061</w:t>
            </w:r>
          </w:p>
        </w:tc>
        <w:tc>
          <w:tcPr>
            <w:tcW w:w="1089"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654E0B">
            <w:pPr>
              <w:ind w:firstLine="0"/>
              <w:jc w:val="right"/>
              <w:rPr>
                <w:rFonts w:eastAsia="Times New Roman"/>
                <w:sz w:val="20"/>
                <w:szCs w:val="20"/>
                <w:lang w:eastAsia="ru-RU"/>
              </w:rPr>
            </w:pPr>
          </w:p>
        </w:tc>
      </w:tr>
      <w:tr w:rsidR="00AA7AA7" w:rsidRPr="004761E0" w:rsidTr="00654E0B">
        <w:trPr>
          <w:trHeight w:val="211"/>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AA7AA7" w:rsidRPr="004761E0" w:rsidRDefault="00AA7AA7" w:rsidP="007076A7">
            <w:pPr>
              <w:pStyle w:val="a5"/>
              <w:numPr>
                <w:ilvl w:val="0"/>
                <w:numId w:val="318"/>
              </w:numPr>
              <w:tabs>
                <w:tab w:val="left" w:pos="170"/>
              </w:tabs>
              <w:ind w:left="0" w:firstLine="0"/>
              <w:contextualSpacing w:val="0"/>
              <w:jc w:val="left"/>
              <w:rPr>
                <w:rFonts w:eastAsia="Times New Roman"/>
                <w:sz w:val="20"/>
                <w:szCs w:val="20"/>
                <w:lang w:eastAsia="ru-RU"/>
              </w:rPr>
            </w:pPr>
          </w:p>
        </w:tc>
        <w:tc>
          <w:tcPr>
            <w:tcW w:w="4602"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C261EF">
            <w:pPr>
              <w:ind w:firstLine="0"/>
              <w:rPr>
                <w:rFonts w:eastAsia="Times New Roman"/>
                <w:sz w:val="20"/>
                <w:szCs w:val="20"/>
                <w:lang w:eastAsia="ru-RU"/>
              </w:rPr>
            </w:pPr>
            <w:r w:rsidRPr="004761E0">
              <w:rPr>
                <w:rFonts w:eastAsia="Times New Roman"/>
                <w:sz w:val="20"/>
                <w:szCs w:val="20"/>
                <w:lang w:eastAsia="ru-RU"/>
              </w:rPr>
              <w:t>Индекс потребительских цен 2012 года, х</w:t>
            </w:r>
          </w:p>
        </w:tc>
        <w:tc>
          <w:tcPr>
            <w:tcW w:w="851" w:type="dxa"/>
            <w:tcBorders>
              <w:top w:val="nil"/>
              <w:left w:val="nil"/>
              <w:bottom w:val="single" w:sz="4" w:space="0" w:color="auto"/>
              <w:right w:val="single" w:sz="4" w:space="0" w:color="auto"/>
            </w:tcBorders>
            <w:shd w:val="clear" w:color="auto" w:fill="auto"/>
            <w:vAlign w:val="center"/>
            <w:hideMark/>
          </w:tcPr>
          <w:p w:rsidR="00AA7AA7" w:rsidRPr="004761E0" w:rsidRDefault="00AA7AA7" w:rsidP="00654E0B">
            <w:pPr>
              <w:ind w:firstLine="0"/>
              <w:jc w:val="right"/>
              <w:rPr>
                <w:rFonts w:eastAsia="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AA7AA7" w:rsidRPr="004761E0" w:rsidRDefault="00AA7AA7" w:rsidP="00654E0B">
            <w:pPr>
              <w:ind w:firstLine="0"/>
              <w:jc w:val="right"/>
              <w:rPr>
                <w:rFonts w:eastAsia="Times New Roman"/>
                <w:color w:val="000000"/>
                <w:sz w:val="20"/>
                <w:szCs w:val="20"/>
                <w:lang w:eastAsia="ru-RU"/>
              </w:rPr>
            </w:pPr>
          </w:p>
        </w:tc>
        <w:tc>
          <w:tcPr>
            <w:tcW w:w="823" w:type="dxa"/>
            <w:tcBorders>
              <w:top w:val="nil"/>
              <w:left w:val="nil"/>
              <w:bottom w:val="single" w:sz="4" w:space="0" w:color="auto"/>
              <w:right w:val="single" w:sz="4" w:space="0" w:color="auto"/>
            </w:tcBorders>
            <w:shd w:val="clear" w:color="auto" w:fill="auto"/>
            <w:vAlign w:val="center"/>
            <w:hideMark/>
          </w:tcPr>
          <w:p w:rsidR="00AA7AA7" w:rsidRPr="004761E0" w:rsidRDefault="00AA7AA7" w:rsidP="00654E0B">
            <w:pPr>
              <w:ind w:firstLine="0"/>
              <w:jc w:val="right"/>
              <w:rPr>
                <w:rFonts w:eastAsia="Times New Roman"/>
                <w:sz w:val="20"/>
                <w:szCs w:val="20"/>
                <w:lang w:eastAsia="ru-RU"/>
              </w:rPr>
            </w:pPr>
            <w:r w:rsidRPr="004761E0">
              <w:rPr>
                <w:rFonts w:eastAsia="Times New Roman"/>
                <w:sz w:val="20"/>
                <w:szCs w:val="20"/>
                <w:lang w:eastAsia="ru-RU"/>
              </w:rPr>
              <w:t>1,066</w:t>
            </w:r>
          </w:p>
        </w:tc>
        <w:tc>
          <w:tcPr>
            <w:tcW w:w="988"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654E0B">
            <w:pPr>
              <w:ind w:firstLine="0"/>
              <w:jc w:val="right"/>
              <w:rPr>
                <w:rFonts w:eastAsia="Times New Roman"/>
                <w:sz w:val="20"/>
                <w:szCs w:val="20"/>
                <w:lang w:eastAsia="ru-RU"/>
              </w:rPr>
            </w:pPr>
            <w:r w:rsidRPr="004761E0">
              <w:rPr>
                <w:rFonts w:eastAsia="Times New Roman"/>
                <w:sz w:val="20"/>
                <w:szCs w:val="20"/>
                <w:lang w:eastAsia="ru-RU"/>
              </w:rPr>
              <w:t>1,066</w:t>
            </w:r>
          </w:p>
        </w:tc>
        <w:tc>
          <w:tcPr>
            <w:tcW w:w="1089"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654E0B">
            <w:pPr>
              <w:ind w:firstLine="0"/>
              <w:jc w:val="right"/>
              <w:rPr>
                <w:rFonts w:eastAsia="Times New Roman"/>
                <w:sz w:val="20"/>
                <w:szCs w:val="20"/>
                <w:lang w:eastAsia="ru-RU"/>
              </w:rPr>
            </w:pPr>
          </w:p>
        </w:tc>
      </w:tr>
      <w:tr w:rsidR="00AA7AA7" w:rsidRPr="004761E0" w:rsidTr="00654E0B">
        <w:trPr>
          <w:trHeight w:val="211"/>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AA7AA7" w:rsidRPr="004761E0" w:rsidRDefault="00AA7AA7" w:rsidP="007076A7">
            <w:pPr>
              <w:pStyle w:val="a5"/>
              <w:numPr>
                <w:ilvl w:val="0"/>
                <w:numId w:val="318"/>
              </w:numPr>
              <w:tabs>
                <w:tab w:val="left" w:pos="170"/>
              </w:tabs>
              <w:ind w:left="0" w:firstLine="0"/>
              <w:contextualSpacing w:val="0"/>
              <w:jc w:val="left"/>
              <w:rPr>
                <w:rFonts w:eastAsia="Times New Roman"/>
                <w:sz w:val="20"/>
                <w:szCs w:val="20"/>
                <w:lang w:eastAsia="ru-RU"/>
              </w:rPr>
            </w:pPr>
          </w:p>
        </w:tc>
        <w:tc>
          <w:tcPr>
            <w:tcW w:w="4602"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C261EF">
            <w:pPr>
              <w:ind w:firstLine="0"/>
              <w:rPr>
                <w:rFonts w:eastAsia="Times New Roman"/>
                <w:sz w:val="20"/>
                <w:szCs w:val="20"/>
                <w:lang w:eastAsia="ru-RU"/>
              </w:rPr>
            </w:pPr>
            <w:r w:rsidRPr="004761E0">
              <w:rPr>
                <w:rFonts w:eastAsia="Times New Roman"/>
                <w:sz w:val="20"/>
                <w:szCs w:val="20"/>
                <w:lang w:eastAsia="ru-RU"/>
              </w:rPr>
              <w:t>Индекс потребительских цен 2013 года, х</w:t>
            </w:r>
          </w:p>
        </w:tc>
        <w:tc>
          <w:tcPr>
            <w:tcW w:w="851" w:type="dxa"/>
            <w:tcBorders>
              <w:top w:val="nil"/>
              <w:left w:val="nil"/>
              <w:bottom w:val="single" w:sz="4" w:space="0" w:color="auto"/>
              <w:right w:val="single" w:sz="4" w:space="0" w:color="auto"/>
            </w:tcBorders>
            <w:shd w:val="clear" w:color="auto" w:fill="auto"/>
            <w:vAlign w:val="center"/>
            <w:hideMark/>
          </w:tcPr>
          <w:p w:rsidR="00AA7AA7" w:rsidRPr="004761E0" w:rsidRDefault="00AA7AA7" w:rsidP="00654E0B">
            <w:pPr>
              <w:ind w:firstLine="0"/>
              <w:jc w:val="right"/>
              <w:rPr>
                <w:rFonts w:eastAsia="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AA7AA7" w:rsidRPr="004761E0" w:rsidRDefault="00AA7AA7" w:rsidP="00654E0B">
            <w:pPr>
              <w:ind w:firstLine="0"/>
              <w:jc w:val="right"/>
              <w:rPr>
                <w:rFonts w:eastAsia="Times New Roman"/>
                <w:color w:val="000000"/>
                <w:sz w:val="20"/>
                <w:szCs w:val="20"/>
                <w:lang w:eastAsia="ru-RU"/>
              </w:rPr>
            </w:pPr>
          </w:p>
        </w:tc>
        <w:tc>
          <w:tcPr>
            <w:tcW w:w="823" w:type="dxa"/>
            <w:tcBorders>
              <w:top w:val="nil"/>
              <w:left w:val="nil"/>
              <w:bottom w:val="single" w:sz="4" w:space="0" w:color="auto"/>
              <w:right w:val="single" w:sz="4" w:space="0" w:color="auto"/>
            </w:tcBorders>
            <w:shd w:val="clear" w:color="auto" w:fill="auto"/>
            <w:vAlign w:val="center"/>
            <w:hideMark/>
          </w:tcPr>
          <w:p w:rsidR="00AA7AA7" w:rsidRPr="004761E0" w:rsidRDefault="00AA7AA7" w:rsidP="00654E0B">
            <w:pPr>
              <w:ind w:firstLine="0"/>
              <w:jc w:val="right"/>
              <w:rPr>
                <w:rFonts w:eastAsia="Times New Roman"/>
                <w:sz w:val="20"/>
                <w:szCs w:val="20"/>
                <w:lang w:eastAsia="ru-RU"/>
              </w:rPr>
            </w:pPr>
          </w:p>
        </w:tc>
        <w:tc>
          <w:tcPr>
            <w:tcW w:w="988"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654E0B">
            <w:pPr>
              <w:ind w:firstLine="0"/>
              <w:jc w:val="right"/>
              <w:rPr>
                <w:rFonts w:eastAsia="Times New Roman"/>
                <w:sz w:val="20"/>
                <w:szCs w:val="20"/>
                <w:lang w:eastAsia="ru-RU"/>
              </w:rPr>
            </w:pPr>
            <w:r w:rsidRPr="004761E0">
              <w:rPr>
                <w:rFonts w:eastAsia="Times New Roman"/>
                <w:sz w:val="20"/>
                <w:szCs w:val="20"/>
                <w:lang w:eastAsia="ru-RU"/>
              </w:rPr>
              <w:t>1,065</w:t>
            </w:r>
          </w:p>
        </w:tc>
        <w:tc>
          <w:tcPr>
            <w:tcW w:w="1089"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654E0B">
            <w:pPr>
              <w:ind w:firstLine="0"/>
              <w:jc w:val="right"/>
              <w:rPr>
                <w:rFonts w:eastAsia="Times New Roman"/>
                <w:sz w:val="20"/>
                <w:szCs w:val="20"/>
                <w:lang w:eastAsia="ru-RU"/>
              </w:rPr>
            </w:pPr>
          </w:p>
        </w:tc>
      </w:tr>
      <w:tr w:rsidR="00AA7AA7" w:rsidRPr="004761E0" w:rsidTr="00654E0B">
        <w:trPr>
          <w:trHeight w:val="211"/>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AA7AA7" w:rsidRPr="004761E0" w:rsidRDefault="00AA7AA7" w:rsidP="007076A7">
            <w:pPr>
              <w:pStyle w:val="a5"/>
              <w:numPr>
                <w:ilvl w:val="0"/>
                <w:numId w:val="318"/>
              </w:numPr>
              <w:tabs>
                <w:tab w:val="left" w:pos="170"/>
              </w:tabs>
              <w:ind w:left="0" w:firstLine="0"/>
              <w:contextualSpacing w:val="0"/>
              <w:jc w:val="left"/>
              <w:rPr>
                <w:rFonts w:eastAsia="Times New Roman"/>
                <w:sz w:val="20"/>
                <w:szCs w:val="20"/>
                <w:lang w:eastAsia="ru-RU"/>
              </w:rPr>
            </w:pPr>
          </w:p>
        </w:tc>
        <w:tc>
          <w:tcPr>
            <w:tcW w:w="4602"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654E0B">
            <w:pPr>
              <w:ind w:firstLine="0"/>
              <w:rPr>
                <w:rFonts w:eastAsia="Times New Roman"/>
                <w:sz w:val="20"/>
                <w:szCs w:val="20"/>
                <w:lang w:eastAsia="ru-RU"/>
              </w:rPr>
            </w:pPr>
            <w:r w:rsidRPr="004761E0">
              <w:rPr>
                <w:rFonts w:eastAsia="Times New Roman"/>
                <w:sz w:val="20"/>
                <w:szCs w:val="20"/>
                <w:lang w:eastAsia="ru-RU"/>
              </w:rPr>
              <w:t>Рост у.е. с учетом эластичности</w:t>
            </w:r>
            <w:r w:rsidR="00C261EF" w:rsidRPr="006F4AB8">
              <w:rPr>
                <w:rStyle w:val="af1"/>
              </w:rPr>
              <w:footnoteReference w:id="54"/>
            </w:r>
            <w:r w:rsidRPr="004761E0">
              <w:rPr>
                <w:rFonts w:eastAsia="Times New Roman"/>
                <w:sz w:val="20"/>
                <w:szCs w:val="20"/>
                <w:lang w:eastAsia="ru-RU"/>
              </w:rPr>
              <w:t>, х</w:t>
            </w:r>
          </w:p>
        </w:tc>
        <w:tc>
          <w:tcPr>
            <w:tcW w:w="851" w:type="dxa"/>
            <w:tcBorders>
              <w:top w:val="nil"/>
              <w:left w:val="nil"/>
              <w:bottom w:val="single" w:sz="4" w:space="0" w:color="auto"/>
              <w:right w:val="single" w:sz="4" w:space="0" w:color="auto"/>
            </w:tcBorders>
            <w:shd w:val="clear" w:color="auto" w:fill="auto"/>
            <w:vAlign w:val="center"/>
            <w:hideMark/>
          </w:tcPr>
          <w:p w:rsidR="00AA7AA7" w:rsidRPr="004761E0" w:rsidRDefault="00AA7AA7" w:rsidP="00654E0B">
            <w:pPr>
              <w:ind w:firstLine="0"/>
              <w:jc w:val="right"/>
              <w:rPr>
                <w:rFonts w:eastAsia="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AA7AA7" w:rsidRPr="004761E0" w:rsidRDefault="00AA7AA7" w:rsidP="00654E0B">
            <w:pPr>
              <w:ind w:firstLine="0"/>
              <w:jc w:val="right"/>
              <w:rPr>
                <w:rFonts w:eastAsia="Times New Roman"/>
                <w:color w:val="000000"/>
                <w:sz w:val="20"/>
                <w:szCs w:val="20"/>
                <w:lang w:eastAsia="ru-RU"/>
              </w:rPr>
            </w:pPr>
            <w:r w:rsidRPr="004761E0">
              <w:rPr>
                <w:rFonts w:eastAsia="Times New Roman"/>
                <w:color w:val="000000"/>
                <w:sz w:val="20"/>
                <w:szCs w:val="20"/>
                <w:lang w:eastAsia="ru-RU"/>
              </w:rPr>
              <w:t>1,021</w:t>
            </w:r>
          </w:p>
        </w:tc>
        <w:tc>
          <w:tcPr>
            <w:tcW w:w="823" w:type="dxa"/>
            <w:tcBorders>
              <w:top w:val="nil"/>
              <w:left w:val="nil"/>
              <w:bottom w:val="single" w:sz="4" w:space="0" w:color="auto"/>
              <w:right w:val="single" w:sz="4" w:space="0" w:color="auto"/>
            </w:tcBorders>
            <w:shd w:val="clear" w:color="auto" w:fill="auto"/>
            <w:vAlign w:val="center"/>
            <w:hideMark/>
          </w:tcPr>
          <w:p w:rsidR="00AA7AA7" w:rsidRPr="004761E0" w:rsidRDefault="00AA7AA7" w:rsidP="00654E0B">
            <w:pPr>
              <w:ind w:firstLine="0"/>
              <w:jc w:val="right"/>
              <w:rPr>
                <w:rFonts w:eastAsia="Times New Roman"/>
                <w:sz w:val="20"/>
                <w:szCs w:val="20"/>
                <w:lang w:eastAsia="ru-RU"/>
              </w:rPr>
            </w:pPr>
            <w:r w:rsidRPr="004761E0">
              <w:rPr>
                <w:rFonts w:eastAsia="Times New Roman"/>
                <w:sz w:val="20"/>
                <w:szCs w:val="20"/>
                <w:lang w:eastAsia="ru-RU"/>
              </w:rPr>
              <w:t>1,070</w:t>
            </w:r>
          </w:p>
        </w:tc>
        <w:tc>
          <w:tcPr>
            <w:tcW w:w="988"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654E0B">
            <w:pPr>
              <w:ind w:firstLine="0"/>
              <w:jc w:val="right"/>
              <w:rPr>
                <w:rFonts w:eastAsia="Times New Roman"/>
                <w:sz w:val="20"/>
                <w:szCs w:val="20"/>
                <w:lang w:eastAsia="ru-RU"/>
              </w:rPr>
            </w:pPr>
            <w:r w:rsidRPr="004761E0">
              <w:rPr>
                <w:rFonts w:eastAsia="Times New Roman"/>
                <w:sz w:val="20"/>
                <w:szCs w:val="20"/>
                <w:lang w:eastAsia="ru-RU"/>
              </w:rPr>
              <w:t>1,102</w:t>
            </w:r>
          </w:p>
        </w:tc>
        <w:tc>
          <w:tcPr>
            <w:tcW w:w="1089"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654E0B">
            <w:pPr>
              <w:ind w:firstLine="0"/>
              <w:jc w:val="right"/>
              <w:rPr>
                <w:rFonts w:eastAsia="Times New Roman"/>
                <w:sz w:val="20"/>
                <w:szCs w:val="20"/>
                <w:lang w:eastAsia="ru-RU"/>
              </w:rPr>
            </w:pPr>
          </w:p>
        </w:tc>
      </w:tr>
      <w:tr w:rsidR="00AA7AA7" w:rsidRPr="004761E0" w:rsidTr="00654E0B">
        <w:trPr>
          <w:trHeight w:val="211"/>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AA7AA7" w:rsidRPr="004761E0" w:rsidRDefault="00AA7AA7" w:rsidP="007076A7">
            <w:pPr>
              <w:pStyle w:val="a5"/>
              <w:numPr>
                <w:ilvl w:val="0"/>
                <w:numId w:val="318"/>
              </w:numPr>
              <w:tabs>
                <w:tab w:val="left" w:pos="170"/>
              </w:tabs>
              <w:ind w:left="0" w:firstLine="0"/>
              <w:contextualSpacing w:val="0"/>
              <w:jc w:val="left"/>
              <w:rPr>
                <w:rFonts w:eastAsia="Times New Roman"/>
                <w:sz w:val="20"/>
                <w:szCs w:val="20"/>
                <w:lang w:eastAsia="ru-RU"/>
              </w:rPr>
            </w:pPr>
          </w:p>
        </w:tc>
        <w:tc>
          <w:tcPr>
            <w:tcW w:w="4602"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654E0B">
            <w:pPr>
              <w:ind w:firstLine="0"/>
              <w:rPr>
                <w:rFonts w:eastAsia="Times New Roman"/>
                <w:sz w:val="20"/>
                <w:szCs w:val="20"/>
                <w:lang w:eastAsia="ru-RU"/>
              </w:rPr>
            </w:pPr>
            <w:r w:rsidRPr="004761E0">
              <w:rPr>
                <w:rFonts w:eastAsia="Times New Roman"/>
                <w:sz w:val="20"/>
                <w:szCs w:val="20"/>
                <w:lang w:eastAsia="ru-RU"/>
              </w:rPr>
              <w:t>Коэффициент приведения</w:t>
            </w:r>
            <w:r w:rsidR="00C261EF" w:rsidRPr="006F4AB8">
              <w:rPr>
                <w:rStyle w:val="af1"/>
              </w:rPr>
              <w:footnoteReference w:id="55"/>
            </w:r>
            <w:r w:rsidRPr="004761E0">
              <w:rPr>
                <w:rFonts w:eastAsia="Times New Roman"/>
                <w:sz w:val="20"/>
                <w:szCs w:val="20"/>
                <w:lang w:eastAsia="ru-RU"/>
              </w:rPr>
              <w:t>, х</w:t>
            </w:r>
          </w:p>
        </w:tc>
        <w:tc>
          <w:tcPr>
            <w:tcW w:w="851" w:type="dxa"/>
            <w:tcBorders>
              <w:top w:val="nil"/>
              <w:left w:val="nil"/>
              <w:bottom w:val="single" w:sz="4" w:space="0" w:color="auto"/>
              <w:right w:val="single" w:sz="4" w:space="0" w:color="auto"/>
            </w:tcBorders>
            <w:shd w:val="clear" w:color="auto" w:fill="auto"/>
            <w:vAlign w:val="center"/>
            <w:hideMark/>
          </w:tcPr>
          <w:p w:rsidR="00AA7AA7" w:rsidRPr="004761E0" w:rsidRDefault="00AA7AA7" w:rsidP="00654E0B">
            <w:pPr>
              <w:ind w:firstLine="0"/>
              <w:jc w:val="right"/>
              <w:rPr>
                <w:rFonts w:eastAsia="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AA7AA7" w:rsidRPr="004761E0" w:rsidRDefault="00AA7AA7" w:rsidP="00654E0B">
            <w:pPr>
              <w:ind w:firstLine="0"/>
              <w:jc w:val="right"/>
              <w:rPr>
                <w:rFonts w:eastAsia="Times New Roman"/>
                <w:color w:val="000000"/>
                <w:sz w:val="20"/>
                <w:szCs w:val="20"/>
                <w:lang w:eastAsia="ru-RU"/>
              </w:rPr>
            </w:pPr>
            <w:r w:rsidRPr="004761E0">
              <w:rPr>
                <w:rFonts w:eastAsia="Times New Roman"/>
                <w:color w:val="000000"/>
                <w:sz w:val="20"/>
                <w:szCs w:val="20"/>
                <w:lang w:eastAsia="ru-RU"/>
              </w:rPr>
              <w:t>1,083</w:t>
            </w:r>
          </w:p>
        </w:tc>
        <w:tc>
          <w:tcPr>
            <w:tcW w:w="823" w:type="dxa"/>
            <w:tcBorders>
              <w:top w:val="nil"/>
              <w:left w:val="nil"/>
              <w:bottom w:val="single" w:sz="4" w:space="0" w:color="auto"/>
              <w:right w:val="single" w:sz="4" w:space="0" w:color="auto"/>
            </w:tcBorders>
            <w:shd w:val="clear" w:color="auto" w:fill="auto"/>
            <w:vAlign w:val="center"/>
            <w:hideMark/>
          </w:tcPr>
          <w:p w:rsidR="00AA7AA7" w:rsidRPr="004761E0" w:rsidRDefault="00AA7AA7" w:rsidP="00654E0B">
            <w:pPr>
              <w:ind w:firstLine="0"/>
              <w:jc w:val="right"/>
              <w:rPr>
                <w:rFonts w:eastAsia="Times New Roman"/>
                <w:sz w:val="20"/>
                <w:szCs w:val="20"/>
                <w:lang w:eastAsia="ru-RU"/>
              </w:rPr>
            </w:pPr>
            <w:r w:rsidRPr="004761E0">
              <w:rPr>
                <w:rFonts w:eastAsia="Times New Roman"/>
                <w:sz w:val="20"/>
                <w:szCs w:val="20"/>
                <w:lang w:eastAsia="ru-RU"/>
              </w:rPr>
              <w:t>1,211</w:t>
            </w:r>
          </w:p>
        </w:tc>
        <w:tc>
          <w:tcPr>
            <w:tcW w:w="988"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654E0B">
            <w:pPr>
              <w:ind w:firstLine="0"/>
              <w:jc w:val="right"/>
              <w:rPr>
                <w:rFonts w:eastAsia="Times New Roman"/>
                <w:sz w:val="20"/>
                <w:szCs w:val="20"/>
                <w:lang w:eastAsia="ru-RU"/>
              </w:rPr>
            </w:pPr>
            <w:r w:rsidRPr="004761E0">
              <w:rPr>
                <w:rFonts w:eastAsia="Times New Roman"/>
                <w:sz w:val="20"/>
                <w:szCs w:val="20"/>
                <w:lang w:eastAsia="ru-RU"/>
              </w:rPr>
              <w:t>1,327</w:t>
            </w:r>
          </w:p>
        </w:tc>
        <w:tc>
          <w:tcPr>
            <w:tcW w:w="1089"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654E0B">
            <w:pPr>
              <w:ind w:firstLine="0"/>
              <w:jc w:val="right"/>
              <w:rPr>
                <w:rFonts w:eastAsia="Times New Roman"/>
                <w:sz w:val="20"/>
                <w:szCs w:val="20"/>
                <w:lang w:eastAsia="ru-RU"/>
              </w:rPr>
            </w:pPr>
          </w:p>
        </w:tc>
      </w:tr>
      <w:tr w:rsidR="00AA7AA7" w:rsidRPr="004761E0" w:rsidTr="00654E0B">
        <w:trPr>
          <w:trHeight w:val="42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AA7AA7" w:rsidRPr="004761E0" w:rsidRDefault="00AA7AA7" w:rsidP="007076A7">
            <w:pPr>
              <w:pStyle w:val="a5"/>
              <w:numPr>
                <w:ilvl w:val="0"/>
                <w:numId w:val="318"/>
              </w:numPr>
              <w:tabs>
                <w:tab w:val="left" w:pos="170"/>
              </w:tabs>
              <w:ind w:left="0" w:firstLine="0"/>
              <w:contextualSpacing w:val="0"/>
              <w:jc w:val="left"/>
              <w:rPr>
                <w:rFonts w:eastAsia="Times New Roman"/>
                <w:sz w:val="20"/>
                <w:szCs w:val="20"/>
                <w:lang w:eastAsia="ru-RU"/>
              </w:rPr>
            </w:pPr>
          </w:p>
        </w:tc>
        <w:tc>
          <w:tcPr>
            <w:tcW w:w="4602"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654E0B">
            <w:pPr>
              <w:ind w:firstLine="0"/>
              <w:rPr>
                <w:rFonts w:eastAsia="Times New Roman"/>
                <w:sz w:val="20"/>
                <w:szCs w:val="20"/>
                <w:lang w:eastAsia="ru-RU"/>
              </w:rPr>
            </w:pPr>
            <w:r w:rsidRPr="004761E0">
              <w:rPr>
                <w:rFonts w:eastAsia="Times New Roman"/>
                <w:sz w:val="20"/>
                <w:szCs w:val="20"/>
                <w:lang w:eastAsia="ru-RU"/>
              </w:rPr>
              <w:t>Подконтрольные затраты с учетом коэффициента приведения</w:t>
            </w:r>
            <w:r w:rsidR="00F14CAD" w:rsidRPr="006F4AB8">
              <w:rPr>
                <w:rStyle w:val="af1"/>
              </w:rPr>
              <w:footnoteReference w:id="56"/>
            </w:r>
            <w:r w:rsidRPr="004761E0">
              <w:rPr>
                <w:rFonts w:eastAsia="Times New Roman"/>
                <w:sz w:val="20"/>
                <w:szCs w:val="20"/>
                <w:lang w:eastAsia="ru-RU"/>
              </w:rPr>
              <w:t>, млн руб.</w:t>
            </w:r>
          </w:p>
        </w:tc>
        <w:tc>
          <w:tcPr>
            <w:tcW w:w="851" w:type="dxa"/>
            <w:tcBorders>
              <w:top w:val="nil"/>
              <w:left w:val="nil"/>
              <w:bottom w:val="single" w:sz="4" w:space="0" w:color="auto"/>
              <w:right w:val="single" w:sz="4" w:space="0" w:color="auto"/>
            </w:tcBorders>
            <w:shd w:val="clear" w:color="auto" w:fill="auto"/>
            <w:vAlign w:val="center"/>
            <w:hideMark/>
          </w:tcPr>
          <w:p w:rsidR="00AA7AA7" w:rsidRPr="004761E0" w:rsidRDefault="00AA7AA7" w:rsidP="00654E0B">
            <w:pPr>
              <w:ind w:firstLine="0"/>
              <w:jc w:val="right"/>
              <w:rPr>
                <w:rFonts w:eastAsia="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AA7AA7" w:rsidRPr="004761E0" w:rsidRDefault="00AA7AA7" w:rsidP="00654E0B">
            <w:pPr>
              <w:ind w:firstLine="0"/>
              <w:jc w:val="right"/>
              <w:rPr>
                <w:rFonts w:eastAsia="Times New Roman"/>
                <w:color w:val="000000"/>
                <w:sz w:val="20"/>
                <w:szCs w:val="20"/>
                <w:lang w:eastAsia="ru-RU"/>
              </w:rPr>
            </w:pPr>
            <w:r w:rsidRPr="004761E0">
              <w:rPr>
                <w:rFonts w:eastAsia="Times New Roman"/>
                <w:color w:val="000000"/>
                <w:sz w:val="20"/>
                <w:szCs w:val="20"/>
                <w:lang w:eastAsia="ru-RU"/>
              </w:rPr>
              <w:t>16 768</w:t>
            </w:r>
          </w:p>
        </w:tc>
        <w:tc>
          <w:tcPr>
            <w:tcW w:w="823" w:type="dxa"/>
            <w:tcBorders>
              <w:top w:val="nil"/>
              <w:left w:val="nil"/>
              <w:bottom w:val="single" w:sz="4" w:space="0" w:color="auto"/>
              <w:right w:val="single" w:sz="4" w:space="0" w:color="auto"/>
            </w:tcBorders>
            <w:shd w:val="clear" w:color="auto" w:fill="auto"/>
            <w:vAlign w:val="center"/>
            <w:hideMark/>
          </w:tcPr>
          <w:p w:rsidR="00AA7AA7" w:rsidRPr="004761E0" w:rsidRDefault="00AA7AA7" w:rsidP="00654E0B">
            <w:pPr>
              <w:ind w:firstLine="0"/>
              <w:jc w:val="right"/>
              <w:rPr>
                <w:rFonts w:eastAsia="Times New Roman"/>
                <w:color w:val="000000"/>
                <w:sz w:val="20"/>
                <w:szCs w:val="20"/>
                <w:lang w:eastAsia="ru-RU"/>
              </w:rPr>
            </w:pPr>
            <w:r w:rsidRPr="004761E0">
              <w:rPr>
                <w:rFonts w:eastAsia="Times New Roman"/>
                <w:color w:val="000000"/>
                <w:sz w:val="20"/>
                <w:szCs w:val="20"/>
                <w:lang w:eastAsia="ru-RU"/>
              </w:rPr>
              <w:t>16 390</w:t>
            </w:r>
          </w:p>
        </w:tc>
        <w:tc>
          <w:tcPr>
            <w:tcW w:w="988" w:type="dxa"/>
            <w:tcBorders>
              <w:top w:val="nil"/>
              <w:left w:val="nil"/>
              <w:bottom w:val="single" w:sz="4" w:space="0" w:color="auto"/>
              <w:right w:val="single" w:sz="4" w:space="0" w:color="auto"/>
            </w:tcBorders>
            <w:shd w:val="clear" w:color="auto" w:fill="auto"/>
            <w:vAlign w:val="center"/>
            <w:hideMark/>
          </w:tcPr>
          <w:p w:rsidR="00AA7AA7" w:rsidRPr="004761E0" w:rsidRDefault="00AA7AA7" w:rsidP="00654E0B">
            <w:pPr>
              <w:ind w:firstLine="0"/>
              <w:jc w:val="right"/>
              <w:rPr>
                <w:rFonts w:eastAsia="Times New Roman"/>
                <w:color w:val="000000"/>
                <w:sz w:val="20"/>
                <w:szCs w:val="20"/>
                <w:lang w:eastAsia="ru-RU"/>
              </w:rPr>
            </w:pPr>
            <w:r w:rsidRPr="004761E0">
              <w:rPr>
                <w:rFonts w:eastAsia="Times New Roman"/>
                <w:color w:val="000000"/>
                <w:sz w:val="20"/>
                <w:szCs w:val="20"/>
                <w:lang w:eastAsia="ru-RU"/>
              </w:rPr>
              <w:t>15 502</w:t>
            </w:r>
          </w:p>
        </w:tc>
        <w:tc>
          <w:tcPr>
            <w:tcW w:w="1089"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2B068D">
            <w:pPr>
              <w:ind w:firstLine="0"/>
              <w:jc w:val="right"/>
              <w:rPr>
                <w:rFonts w:eastAsia="Times New Roman"/>
                <w:sz w:val="20"/>
                <w:szCs w:val="20"/>
                <w:lang w:eastAsia="ru-RU"/>
              </w:rPr>
            </w:pPr>
            <w:r w:rsidRPr="004761E0">
              <w:rPr>
                <w:rFonts w:eastAsia="Times New Roman"/>
                <w:sz w:val="20"/>
                <w:szCs w:val="20"/>
                <w:lang w:eastAsia="ru-RU"/>
              </w:rPr>
              <w:t>-5,</w:t>
            </w:r>
            <w:r w:rsidR="002B068D">
              <w:rPr>
                <w:rFonts w:eastAsia="Times New Roman"/>
                <w:sz w:val="20"/>
                <w:szCs w:val="20"/>
                <w:lang w:eastAsia="ru-RU"/>
              </w:rPr>
              <w:t>42</w:t>
            </w:r>
            <w:r w:rsidR="00654E0B" w:rsidRPr="004761E0">
              <w:rPr>
                <w:rFonts w:eastAsia="Times New Roman"/>
                <w:sz w:val="20"/>
                <w:szCs w:val="20"/>
                <w:lang w:eastAsia="ru-RU"/>
              </w:rPr>
              <w:t xml:space="preserve"> </w:t>
            </w:r>
            <w:r w:rsidRPr="004761E0">
              <w:rPr>
                <w:rFonts w:eastAsia="Times New Roman"/>
                <w:sz w:val="20"/>
                <w:szCs w:val="20"/>
                <w:lang w:eastAsia="ru-RU"/>
              </w:rPr>
              <w:t>%</w:t>
            </w:r>
          </w:p>
        </w:tc>
      </w:tr>
      <w:tr w:rsidR="00AA7AA7" w:rsidRPr="004761E0" w:rsidTr="00654E0B">
        <w:trPr>
          <w:trHeight w:val="211"/>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AA7AA7" w:rsidRPr="004761E0" w:rsidRDefault="00AA7AA7" w:rsidP="007076A7">
            <w:pPr>
              <w:pStyle w:val="a5"/>
              <w:numPr>
                <w:ilvl w:val="0"/>
                <w:numId w:val="318"/>
              </w:numPr>
              <w:tabs>
                <w:tab w:val="left" w:pos="170"/>
              </w:tabs>
              <w:ind w:left="0" w:firstLine="0"/>
              <w:contextualSpacing w:val="0"/>
              <w:jc w:val="left"/>
              <w:rPr>
                <w:rFonts w:eastAsia="Times New Roman"/>
                <w:sz w:val="20"/>
                <w:szCs w:val="20"/>
                <w:lang w:eastAsia="ru-RU"/>
              </w:rPr>
            </w:pPr>
          </w:p>
        </w:tc>
        <w:tc>
          <w:tcPr>
            <w:tcW w:w="4602"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654E0B">
            <w:pPr>
              <w:ind w:firstLine="0"/>
              <w:rPr>
                <w:rFonts w:eastAsia="Times New Roman"/>
                <w:sz w:val="20"/>
                <w:szCs w:val="20"/>
                <w:lang w:eastAsia="ru-RU"/>
              </w:rPr>
            </w:pPr>
            <w:r w:rsidRPr="004761E0">
              <w:rPr>
                <w:rFonts w:eastAsia="Times New Roman"/>
                <w:sz w:val="20"/>
                <w:szCs w:val="20"/>
                <w:lang w:eastAsia="ru-RU"/>
              </w:rPr>
              <w:t>Снижение затрат</w:t>
            </w:r>
            <w:r w:rsidR="00F14CAD" w:rsidRPr="006F4AB8">
              <w:rPr>
                <w:rStyle w:val="af1"/>
              </w:rPr>
              <w:footnoteReference w:id="57"/>
            </w:r>
            <w:r w:rsidRPr="004761E0">
              <w:rPr>
                <w:rFonts w:eastAsia="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AA7AA7" w:rsidRPr="004761E0" w:rsidRDefault="00AA7AA7" w:rsidP="00654E0B">
            <w:pPr>
              <w:ind w:firstLine="0"/>
              <w:jc w:val="right"/>
              <w:rPr>
                <w:rFonts w:eastAsia="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AA7AA7" w:rsidRPr="004761E0" w:rsidRDefault="00AA7AA7" w:rsidP="00654E0B">
            <w:pPr>
              <w:ind w:firstLine="0"/>
              <w:jc w:val="right"/>
              <w:rPr>
                <w:rFonts w:eastAsia="Times New Roman"/>
                <w:color w:val="000000"/>
                <w:sz w:val="20"/>
                <w:szCs w:val="20"/>
                <w:lang w:eastAsia="ru-RU"/>
              </w:rPr>
            </w:pPr>
            <w:r w:rsidRPr="004761E0">
              <w:rPr>
                <w:rFonts w:eastAsia="Times New Roman"/>
                <w:color w:val="000000"/>
                <w:sz w:val="20"/>
                <w:szCs w:val="20"/>
                <w:lang w:eastAsia="ru-RU"/>
              </w:rPr>
              <w:t>3,5</w:t>
            </w:r>
            <w:r w:rsidR="00654E0B" w:rsidRPr="004761E0">
              <w:rPr>
                <w:rFonts w:eastAsia="Times New Roman"/>
                <w:color w:val="000000"/>
                <w:sz w:val="20"/>
                <w:szCs w:val="20"/>
                <w:lang w:eastAsia="ru-RU"/>
              </w:rPr>
              <w:t xml:space="preserve"> </w:t>
            </w:r>
            <w:r w:rsidRPr="004761E0">
              <w:rPr>
                <w:rFonts w:eastAsia="Times New Roman"/>
                <w:color w:val="000000"/>
                <w:sz w:val="20"/>
                <w:szCs w:val="20"/>
                <w:lang w:eastAsia="ru-RU"/>
              </w:rPr>
              <w:t>%</w:t>
            </w:r>
          </w:p>
        </w:tc>
        <w:tc>
          <w:tcPr>
            <w:tcW w:w="823" w:type="dxa"/>
            <w:tcBorders>
              <w:top w:val="nil"/>
              <w:left w:val="nil"/>
              <w:bottom w:val="single" w:sz="4" w:space="0" w:color="auto"/>
              <w:right w:val="single" w:sz="4" w:space="0" w:color="auto"/>
            </w:tcBorders>
            <w:shd w:val="clear" w:color="auto" w:fill="auto"/>
            <w:vAlign w:val="center"/>
            <w:hideMark/>
          </w:tcPr>
          <w:p w:rsidR="00AA7AA7" w:rsidRPr="004761E0" w:rsidRDefault="00AA7AA7" w:rsidP="00654E0B">
            <w:pPr>
              <w:ind w:firstLine="0"/>
              <w:jc w:val="right"/>
              <w:rPr>
                <w:rFonts w:eastAsia="Times New Roman"/>
                <w:color w:val="000000"/>
                <w:sz w:val="20"/>
                <w:szCs w:val="20"/>
                <w:lang w:eastAsia="ru-RU"/>
              </w:rPr>
            </w:pPr>
            <w:r w:rsidRPr="004761E0">
              <w:rPr>
                <w:rFonts w:eastAsia="Times New Roman"/>
                <w:color w:val="000000"/>
                <w:sz w:val="20"/>
                <w:szCs w:val="20"/>
                <w:lang w:eastAsia="ru-RU"/>
              </w:rPr>
              <w:t>5,7</w:t>
            </w:r>
            <w:r w:rsidR="00654E0B" w:rsidRPr="004761E0">
              <w:rPr>
                <w:rFonts w:eastAsia="Times New Roman"/>
                <w:color w:val="000000"/>
                <w:sz w:val="20"/>
                <w:szCs w:val="20"/>
                <w:lang w:eastAsia="ru-RU"/>
              </w:rPr>
              <w:t xml:space="preserve"> </w:t>
            </w:r>
            <w:r w:rsidRPr="004761E0">
              <w:rPr>
                <w:rFonts w:eastAsia="Times New Roman"/>
                <w:color w:val="000000"/>
                <w:sz w:val="20"/>
                <w:szCs w:val="20"/>
                <w:lang w:eastAsia="ru-RU"/>
              </w:rPr>
              <w:t>%</w:t>
            </w:r>
          </w:p>
        </w:tc>
        <w:tc>
          <w:tcPr>
            <w:tcW w:w="988" w:type="dxa"/>
            <w:tcBorders>
              <w:top w:val="nil"/>
              <w:left w:val="nil"/>
              <w:bottom w:val="single" w:sz="4" w:space="0" w:color="auto"/>
              <w:right w:val="single" w:sz="4" w:space="0" w:color="auto"/>
            </w:tcBorders>
            <w:shd w:val="clear" w:color="auto" w:fill="auto"/>
            <w:vAlign w:val="center"/>
            <w:hideMark/>
          </w:tcPr>
          <w:p w:rsidR="00AA7AA7" w:rsidRPr="004761E0" w:rsidRDefault="00AA7AA7" w:rsidP="00654E0B">
            <w:pPr>
              <w:ind w:firstLine="0"/>
              <w:jc w:val="right"/>
              <w:rPr>
                <w:rFonts w:eastAsia="Times New Roman"/>
                <w:color w:val="000000"/>
                <w:sz w:val="20"/>
                <w:szCs w:val="20"/>
                <w:lang w:eastAsia="ru-RU"/>
              </w:rPr>
            </w:pPr>
            <w:r w:rsidRPr="004761E0">
              <w:rPr>
                <w:rFonts w:eastAsia="Times New Roman"/>
                <w:color w:val="000000"/>
                <w:sz w:val="20"/>
                <w:szCs w:val="20"/>
                <w:lang w:eastAsia="ru-RU"/>
              </w:rPr>
              <w:t>10,8</w:t>
            </w:r>
            <w:r w:rsidR="00654E0B" w:rsidRPr="004761E0">
              <w:rPr>
                <w:rFonts w:eastAsia="Times New Roman"/>
                <w:color w:val="000000"/>
                <w:sz w:val="20"/>
                <w:szCs w:val="20"/>
                <w:lang w:eastAsia="ru-RU"/>
              </w:rPr>
              <w:t xml:space="preserve"> </w:t>
            </w:r>
            <w:r w:rsidRPr="004761E0">
              <w:rPr>
                <w:rFonts w:eastAsia="Times New Roman"/>
                <w:color w:val="000000"/>
                <w:sz w:val="20"/>
                <w:szCs w:val="20"/>
                <w:lang w:eastAsia="ru-RU"/>
              </w:rPr>
              <w:t>%</w:t>
            </w:r>
          </w:p>
        </w:tc>
        <w:tc>
          <w:tcPr>
            <w:tcW w:w="1089" w:type="dxa"/>
            <w:tcBorders>
              <w:top w:val="nil"/>
              <w:left w:val="nil"/>
              <w:bottom w:val="single" w:sz="4" w:space="0" w:color="auto"/>
              <w:right w:val="single" w:sz="4" w:space="0" w:color="auto"/>
            </w:tcBorders>
            <w:shd w:val="clear" w:color="000000" w:fill="FFFFFF"/>
            <w:noWrap/>
            <w:vAlign w:val="center"/>
            <w:hideMark/>
          </w:tcPr>
          <w:p w:rsidR="00AA7AA7" w:rsidRPr="004761E0" w:rsidRDefault="00AA7AA7" w:rsidP="00654E0B">
            <w:pPr>
              <w:ind w:firstLine="0"/>
              <w:jc w:val="right"/>
              <w:rPr>
                <w:rFonts w:eastAsia="Times New Roman"/>
                <w:sz w:val="20"/>
                <w:szCs w:val="20"/>
                <w:lang w:eastAsia="ru-RU"/>
              </w:rPr>
            </w:pPr>
          </w:p>
        </w:tc>
      </w:tr>
    </w:tbl>
    <w:p w:rsidR="002B068D" w:rsidRPr="008C0C74" w:rsidRDefault="00654E0B" w:rsidP="002B068D">
      <w:pPr>
        <w:ind w:firstLine="567"/>
        <w:rPr>
          <w:sz w:val="20"/>
          <w:szCs w:val="20"/>
        </w:rPr>
      </w:pPr>
      <w:r w:rsidRPr="008C0C74">
        <w:rPr>
          <w:sz w:val="20"/>
          <w:szCs w:val="20"/>
        </w:rPr>
        <w:t xml:space="preserve">Состав </w:t>
      </w:r>
      <w:r w:rsidR="002B068D">
        <w:rPr>
          <w:sz w:val="20"/>
          <w:szCs w:val="20"/>
        </w:rPr>
        <w:t xml:space="preserve">условно </w:t>
      </w:r>
      <w:r w:rsidRPr="008C0C74">
        <w:rPr>
          <w:sz w:val="20"/>
          <w:szCs w:val="20"/>
        </w:rPr>
        <w:t xml:space="preserve">неподконтрольных и подконтрольных </w:t>
      </w:r>
      <w:r w:rsidR="002B068D">
        <w:rPr>
          <w:sz w:val="20"/>
          <w:szCs w:val="20"/>
        </w:rPr>
        <w:t>затрат</w:t>
      </w:r>
      <w:r w:rsidRPr="008C0C74">
        <w:rPr>
          <w:sz w:val="20"/>
          <w:szCs w:val="20"/>
        </w:rPr>
        <w:t xml:space="preserve"> определяется сценарными условиями формирования Бизнес-плана.</w:t>
      </w:r>
      <w:r w:rsidR="002B068D">
        <w:rPr>
          <w:sz w:val="20"/>
          <w:szCs w:val="20"/>
        </w:rPr>
        <w:t xml:space="preserve"> </w:t>
      </w:r>
      <w:r w:rsidR="002B068D" w:rsidRPr="002B068D">
        <w:rPr>
          <w:sz w:val="20"/>
          <w:szCs w:val="20"/>
        </w:rPr>
        <w:t>В расчете ко</w:t>
      </w:r>
      <w:r w:rsidR="002B068D">
        <w:rPr>
          <w:sz w:val="20"/>
          <w:szCs w:val="20"/>
        </w:rPr>
        <w:t>эффициента приведения на 2013 год</w:t>
      </w:r>
      <w:r w:rsidR="002B068D" w:rsidRPr="002B068D">
        <w:rPr>
          <w:sz w:val="20"/>
          <w:szCs w:val="20"/>
        </w:rPr>
        <w:t xml:space="preserve"> у</w:t>
      </w:r>
      <w:r w:rsidR="002B068D">
        <w:rPr>
          <w:sz w:val="20"/>
          <w:szCs w:val="20"/>
        </w:rPr>
        <w:t>.</w:t>
      </w:r>
      <w:r w:rsidR="002B068D" w:rsidRPr="002B068D">
        <w:rPr>
          <w:sz w:val="20"/>
          <w:szCs w:val="20"/>
        </w:rPr>
        <w:t>е. приведены в сопоставимые условия к плану 2013 г</w:t>
      </w:r>
      <w:r w:rsidR="002B068D">
        <w:rPr>
          <w:sz w:val="20"/>
          <w:szCs w:val="20"/>
        </w:rPr>
        <w:t>ода</w:t>
      </w:r>
      <w:r w:rsidR="002B068D" w:rsidRPr="002B068D">
        <w:rPr>
          <w:sz w:val="20"/>
          <w:szCs w:val="20"/>
        </w:rPr>
        <w:t>.</w:t>
      </w:r>
    </w:p>
    <w:p w:rsidR="00654E0B" w:rsidRPr="004761E0" w:rsidRDefault="00654E0B" w:rsidP="00654E0B">
      <w:pPr>
        <w:ind w:firstLine="567"/>
        <w:rPr>
          <w:sz w:val="26"/>
          <w:szCs w:val="26"/>
        </w:rPr>
      </w:pPr>
      <w:r w:rsidRPr="004761E0">
        <w:rPr>
          <w:sz w:val="26"/>
          <w:szCs w:val="26"/>
        </w:rPr>
        <w:t xml:space="preserve">В соответствии с требованиями Минэнерго России Общество осуществляло реализацию Программы по сокращению подконтрольных операционных затрат от уровня 2010 года, скорректированного на фактический индекс потребительских цен, и коэффициент эластичности изменения роста условных единиц основного оборудования. </w:t>
      </w:r>
      <w:r w:rsidRPr="004761E0">
        <w:rPr>
          <w:sz w:val="26"/>
          <w:szCs w:val="26"/>
        </w:rPr>
        <w:lastRenderedPageBreak/>
        <w:t>В результате эффект от сокращения подконтрольных операционных издержек в 2013</w:t>
      </w:r>
      <w:r w:rsidR="002B068D">
        <w:rPr>
          <w:sz w:val="26"/>
          <w:szCs w:val="26"/>
        </w:rPr>
        <w:t> </w:t>
      </w:r>
      <w:r w:rsidRPr="004761E0">
        <w:rPr>
          <w:sz w:val="26"/>
          <w:szCs w:val="26"/>
        </w:rPr>
        <w:t>году составил 10,8 %.</w:t>
      </w:r>
    </w:p>
    <w:p w:rsidR="00654E0B" w:rsidRPr="004761E0" w:rsidRDefault="00654E0B" w:rsidP="008C0C74">
      <w:pPr>
        <w:spacing w:before="120" w:after="120"/>
        <w:ind w:firstLine="567"/>
        <w:jc w:val="left"/>
        <w:rPr>
          <w:b/>
          <w:sz w:val="26"/>
          <w:szCs w:val="26"/>
          <w:lang w:eastAsia="ru-RU"/>
        </w:rPr>
      </w:pPr>
      <w:r w:rsidRPr="004761E0">
        <w:rPr>
          <w:b/>
          <w:sz w:val="26"/>
          <w:szCs w:val="26"/>
          <w:lang w:eastAsia="ru-RU"/>
        </w:rPr>
        <w:t xml:space="preserve">Эксплуатационные затраты на 1 </w:t>
      </w:r>
      <w:r w:rsidR="00F14CAD" w:rsidRPr="004761E0">
        <w:rPr>
          <w:b/>
          <w:sz w:val="26"/>
          <w:szCs w:val="26"/>
          <w:lang w:eastAsia="ru-RU"/>
        </w:rPr>
        <w:t>у</w:t>
      </w:r>
      <w:r w:rsidRPr="004761E0">
        <w:rPr>
          <w:b/>
          <w:sz w:val="26"/>
          <w:szCs w:val="26"/>
          <w:lang w:eastAsia="ru-RU"/>
        </w:rPr>
        <w:t>.</w:t>
      </w:r>
      <w:r w:rsidR="00F14CAD" w:rsidRPr="004761E0">
        <w:rPr>
          <w:b/>
          <w:sz w:val="26"/>
          <w:szCs w:val="26"/>
          <w:lang w:eastAsia="ru-RU"/>
        </w:rPr>
        <w:t>е</w:t>
      </w:r>
      <w:r w:rsidRPr="004761E0">
        <w:rPr>
          <w:b/>
          <w:sz w:val="26"/>
          <w:szCs w:val="26"/>
          <w:lang w:eastAsia="ru-RU"/>
        </w:rPr>
        <w:t>.</w:t>
      </w:r>
    </w:p>
    <w:tbl>
      <w:tblPr>
        <w:tblW w:w="98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4820"/>
        <w:gridCol w:w="1134"/>
        <w:gridCol w:w="1134"/>
        <w:gridCol w:w="1134"/>
        <w:gridCol w:w="1134"/>
      </w:tblGrid>
      <w:tr w:rsidR="00654E0B" w:rsidRPr="004761E0" w:rsidTr="00654E0B">
        <w:trPr>
          <w:trHeight w:val="315"/>
        </w:trPr>
        <w:tc>
          <w:tcPr>
            <w:tcW w:w="503" w:type="dxa"/>
            <w:tcBorders>
              <w:right w:val="single" w:sz="4" w:space="0" w:color="FFFFFF" w:themeColor="background1"/>
            </w:tcBorders>
            <w:shd w:val="clear" w:color="auto" w:fill="0F243E" w:themeFill="text2" w:themeFillShade="80"/>
            <w:noWrap/>
            <w:vAlign w:val="center"/>
            <w:hideMark/>
          </w:tcPr>
          <w:p w:rsidR="00654E0B" w:rsidRPr="004761E0" w:rsidRDefault="00654E0B" w:rsidP="00654E0B">
            <w:pPr>
              <w:ind w:firstLine="0"/>
              <w:rPr>
                <w:rFonts w:eastAsia="Times New Roman"/>
                <w:b/>
                <w:sz w:val="20"/>
                <w:szCs w:val="20"/>
                <w:lang w:eastAsia="ru-RU"/>
              </w:rPr>
            </w:pPr>
            <w:r w:rsidRPr="004761E0">
              <w:rPr>
                <w:rFonts w:eastAsia="Times New Roman"/>
                <w:b/>
                <w:sz w:val="20"/>
                <w:szCs w:val="20"/>
                <w:lang w:eastAsia="ru-RU"/>
              </w:rPr>
              <w:t>№ п/п</w:t>
            </w:r>
          </w:p>
        </w:tc>
        <w:tc>
          <w:tcPr>
            <w:tcW w:w="4820" w:type="dxa"/>
            <w:tcBorders>
              <w:left w:val="single" w:sz="4" w:space="0" w:color="FFFFFF" w:themeColor="background1"/>
              <w:right w:val="single" w:sz="4" w:space="0" w:color="FFFFFF" w:themeColor="background1"/>
            </w:tcBorders>
            <w:shd w:val="clear" w:color="auto" w:fill="0F243E" w:themeFill="text2" w:themeFillShade="80"/>
            <w:noWrap/>
            <w:vAlign w:val="center"/>
            <w:hideMark/>
          </w:tcPr>
          <w:p w:rsidR="00654E0B" w:rsidRPr="004761E0" w:rsidRDefault="00654E0B" w:rsidP="00654E0B">
            <w:pPr>
              <w:ind w:firstLine="0"/>
              <w:rPr>
                <w:rFonts w:eastAsia="Times New Roman"/>
                <w:b/>
                <w:sz w:val="20"/>
                <w:szCs w:val="20"/>
                <w:lang w:eastAsia="ru-RU"/>
              </w:rPr>
            </w:pPr>
            <w:r w:rsidRPr="004761E0">
              <w:rPr>
                <w:rFonts w:eastAsia="Times New Roman"/>
                <w:b/>
                <w:sz w:val="20"/>
                <w:szCs w:val="20"/>
                <w:lang w:eastAsia="ru-RU"/>
              </w:rPr>
              <w:t>Наименование категории</w:t>
            </w:r>
          </w:p>
        </w:tc>
        <w:tc>
          <w:tcPr>
            <w:tcW w:w="1134" w:type="dxa"/>
            <w:tcBorders>
              <w:left w:val="single" w:sz="4" w:space="0" w:color="FFFFFF" w:themeColor="background1"/>
              <w:right w:val="single" w:sz="4" w:space="0" w:color="FFFFFF" w:themeColor="background1"/>
            </w:tcBorders>
            <w:shd w:val="clear" w:color="auto" w:fill="0F243E" w:themeFill="text2" w:themeFillShade="80"/>
            <w:noWrap/>
            <w:vAlign w:val="center"/>
            <w:hideMark/>
          </w:tcPr>
          <w:p w:rsidR="00654E0B" w:rsidRPr="004761E0" w:rsidRDefault="00654E0B" w:rsidP="00654E0B">
            <w:pPr>
              <w:ind w:firstLine="0"/>
              <w:jc w:val="right"/>
              <w:rPr>
                <w:rFonts w:eastAsia="Times New Roman"/>
                <w:b/>
                <w:sz w:val="20"/>
                <w:szCs w:val="20"/>
                <w:lang w:eastAsia="ru-RU"/>
              </w:rPr>
            </w:pPr>
            <w:r w:rsidRPr="004761E0">
              <w:rPr>
                <w:rFonts w:eastAsia="Times New Roman"/>
                <w:b/>
                <w:sz w:val="20"/>
                <w:szCs w:val="20"/>
                <w:lang w:eastAsia="ru-RU"/>
              </w:rPr>
              <w:t>2011</w:t>
            </w:r>
          </w:p>
        </w:tc>
        <w:tc>
          <w:tcPr>
            <w:tcW w:w="1134" w:type="dxa"/>
            <w:tcBorders>
              <w:left w:val="single" w:sz="4" w:space="0" w:color="FFFFFF" w:themeColor="background1"/>
              <w:right w:val="single" w:sz="4" w:space="0" w:color="FFFFFF" w:themeColor="background1"/>
            </w:tcBorders>
            <w:shd w:val="clear" w:color="auto" w:fill="0F243E" w:themeFill="text2" w:themeFillShade="80"/>
            <w:noWrap/>
            <w:vAlign w:val="center"/>
            <w:hideMark/>
          </w:tcPr>
          <w:p w:rsidR="00654E0B" w:rsidRPr="004761E0" w:rsidRDefault="00654E0B" w:rsidP="00654E0B">
            <w:pPr>
              <w:ind w:firstLine="0"/>
              <w:jc w:val="right"/>
              <w:rPr>
                <w:rFonts w:eastAsia="Times New Roman"/>
                <w:b/>
                <w:sz w:val="20"/>
                <w:szCs w:val="20"/>
                <w:lang w:eastAsia="ru-RU"/>
              </w:rPr>
            </w:pPr>
            <w:r w:rsidRPr="004761E0">
              <w:rPr>
                <w:rFonts w:eastAsia="Times New Roman"/>
                <w:b/>
                <w:sz w:val="20"/>
                <w:szCs w:val="20"/>
                <w:lang w:eastAsia="ru-RU"/>
              </w:rPr>
              <w:t>2012</w:t>
            </w:r>
          </w:p>
        </w:tc>
        <w:tc>
          <w:tcPr>
            <w:tcW w:w="1134" w:type="dxa"/>
            <w:tcBorders>
              <w:left w:val="single" w:sz="4" w:space="0" w:color="FFFFFF" w:themeColor="background1"/>
              <w:right w:val="single" w:sz="4" w:space="0" w:color="FFFFFF" w:themeColor="background1"/>
            </w:tcBorders>
            <w:shd w:val="clear" w:color="auto" w:fill="0F243E" w:themeFill="text2" w:themeFillShade="80"/>
            <w:noWrap/>
            <w:vAlign w:val="center"/>
            <w:hideMark/>
          </w:tcPr>
          <w:p w:rsidR="00654E0B" w:rsidRPr="004761E0" w:rsidRDefault="00654E0B" w:rsidP="00654E0B">
            <w:pPr>
              <w:ind w:firstLine="0"/>
              <w:jc w:val="right"/>
              <w:rPr>
                <w:rFonts w:eastAsia="Times New Roman"/>
                <w:b/>
                <w:sz w:val="20"/>
                <w:szCs w:val="20"/>
                <w:lang w:eastAsia="ru-RU"/>
              </w:rPr>
            </w:pPr>
            <w:r w:rsidRPr="004761E0">
              <w:rPr>
                <w:rFonts w:eastAsia="Times New Roman"/>
                <w:b/>
                <w:sz w:val="20"/>
                <w:szCs w:val="20"/>
                <w:lang w:eastAsia="ru-RU"/>
              </w:rPr>
              <w:t>2013</w:t>
            </w:r>
          </w:p>
        </w:tc>
        <w:tc>
          <w:tcPr>
            <w:tcW w:w="1134" w:type="dxa"/>
            <w:tcBorders>
              <w:left w:val="single" w:sz="4" w:space="0" w:color="FFFFFF" w:themeColor="background1"/>
            </w:tcBorders>
            <w:shd w:val="clear" w:color="auto" w:fill="0F243E" w:themeFill="text2" w:themeFillShade="80"/>
            <w:noWrap/>
            <w:vAlign w:val="center"/>
            <w:hideMark/>
          </w:tcPr>
          <w:p w:rsidR="00654E0B" w:rsidRPr="004761E0" w:rsidRDefault="00654E0B" w:rsidP="00654E0B">
            <w:pPr>
              <w:ind w:firstLine="0"/>
              <w:jc w:val="right"/>
              <w:rPr>
                <w:rFonts w:eastAsia="Times New Roman"/>
                <w:b/>
                <w:sz w:val="20"/>
                <w:szCs w:val="20"/>
                <w:lang w:eastAsia="ru-RU"/>
              </w:rPr>
            </w:pPr>
            <w:r w:rsidRPr="004761E0">
              <w:rPr>
                <w:rFonts w:eastAsia="Times New Roman"/>
                <w:b/>
                <w:sz w:val="20"/>
                <w:szCs w:val="20"/>
                <w:lang w:eastAsia="ru-RU"/>
              </w:rPr>
              <w:t>2013/2012</w:t>
            </w:r>
          </w:p>
        </w:tc>
      </w:tr>
      <w:tr w:rsidR="0056696B" w:rsidRPr="004761E0" w:rsidTr="00654E0B">
        <w:trPr>
          <w:trHeight w:val="315"/>
        </w:trPr>
        <w:tc>
          <w:tcPr>
            <w:tcW w:w="503" w:type="dxa"/>
            <w:shd w:val="clear" w:color="000000" w:fill="FFFFFF"/>
            <w:noWrap/>
            <w:vAlign w:val="center"/>
            <w:hideMark/>
          </w:tcPr>
          <w:p w:rsidR="0056696B" w:rsidRPr="004761E0" w:rsidRDefault="0056696B" w:rsidP="007076A7">
            <w:pPr>
              <w:pStyle w:val="a5"/>
              <w:numPr>
                <w:ilvl w:val="0"/>
                <w:numId w:val="317"/>
              </w:numPr>
              <w:ind w:left="0" w:firstLine="0"/>
              <w:rPr>
                <w:rFonts w:eastAsia="Times New Roman"/>
                <w:sz w:val="20"/>
                <w:szCs w:val="20"/>
                <w:lang w:eastAsia="ru-RU"/>
              </w:rPr>
            </w:pPr>
          </w:p>
        </w:tc>
        <w:tc>
          <w:tcPr>
            <w:tcW w:w="4820" w:type="dxa"/>
            <w:shd w:val="clear" w:color="000000" w:fill="FFFFFF"/>
            <w:noWrap/>
            <w:vAlign w:val="center"/>
            <w:hideMark/>
          </w:tcPr>
          <w:p w:rsidR="0056696B" w:rsidRPr="0056696B" w:rsidRDefault="0056696B" w:rsidP="0056696B">
            <w:pPr>
              <w:ind w:firstLine="0"/>
              <w:rPr>
                <w:sz w:val="20"/>
                <w:szCs w:val="20"/>
              </w:rPr>
            </w:pPr>
            <w:r w:rsidRPr="0056696B">
              <w:rPr>
                <w:sz w:val="20"/>
                <w:szCs w:val="20"/>
              </w:rPr>
              <w:t>Количество у.е.</w:t>
            </w:r>
          </w:p>
        </w:tc>
        <w:tc>
          <w:tcPr>
            <w:tcW w:w="1134" w:type="dxa"/>
            <w:shd w:val="clear" w:color="000000" w:fill="FFFFFF"/>
            <w:noWrap/>
            <w:vAlign w:val="center"/>
            <w:hideMark/>
          </w:tcPr>
          <w:p w:rsidR="0056696B" w:rsidRPr="0056696B" w:rsidRDefault="0056696B" w:rsidP="0056696B">
            <w:pPr>
              <w:ind w:firstLine="0"/>
              <w:jc w:val="right"/>
              <w:rPr>
                <w:sz w:val="20"/>
                <w:szCs w:val="20"/>
              </w:rPr>
            </w:pPr>
            <w:r w:rsidRPr="0056696B">
              <w:rPr>
                <w:sz w:val="20"/>
                <w:szCs w:val="20"/>
              </w:rPr>
              <w:t>1 220 840</w:t>
            </w:r>
          </w:p>
        </w:tc>
        <w:tc>
          <w:tcPr>
            <w:tcW w:w="1134" w:type="dxa"/>
            <w:shd w:val="clear" w:color="000000" w:fill="FFFFFF"/>
            <w:noWrap/>
            <w:vAlign w:val="center"/>
            <w:hideMark/>
          </w:tcPr>
          <w:p w:rsidR="0056696B" w:rsidRPr="0056696B" w:rsidRDefault="0056696B" w:rsidP="0056696B">
            <w:pPr>
              <w:ind w:firstLine="0"/>
              <w:jc w:val="right"/>
              <w:rPr>
                <w:sz w:val="20"/>
                <w:szCs w:val="20"/>
              </w:rPr>
            </w:pPr>
            <w:r w:rsidRPr="0056696B">
              <w:rPr>
                <w:sz w:val="20"/>
                <w:szCs w:val="20"/>
              </w:rPr>
              <w:t>1 299 609</w:t>
            </w:r>
          </w:p>
        </w:tc>
        <w:tc>
          <w:tcPr>
            <w:tcW w:w="1134" w:type="dxa"/>
            <w:shd w:val="clear" w:color="auto" w:fill="FFFFFF" w:themeFill="background1"/>
            <w:noWrap/>
            <w:vAlign w:val="center"/>
            <w:hideMark/>
          </w:tcPr>
          <w:p w:rsidR="0056696B" w:rsidRPr="0056696B" w:rsidRDefault="0056696B" w:rsidP="0056696B">
            <w:pPr>
              <w:ind w:firstLine="0"/>
              <w:jc w:val="right"/>
              <w:rPr>
                <w:sz w:val="20"/>
                <w:szCs w:val="20"/>
              </w:rPr>
            </w:pPr>
            <w:r w:rsidRPr="0056696B">
              <w:rPr>
                <w:sz w:val="20"/>
                <w:szCs w:val="20"/>
              </w:rPr>
              <w:t>1 426 952</w:t>
            </w:r>
          </w:p>
        </w:tc>
        <w:tc>
          <w:tcPr>
            <w:tcW w:w="1134" w:type="dxa"/>
            <w:shd w:val="clear" w:color="000000" w:fill="FFFFFF"/>
            <w:noWrap/>
            <w:vAlign w:val="center"/>
            <w:hideMark/>
          </w:tcPr>
          <w:p w:rsidR="0056696B" w:rsidRPr="0056696B" w:rsidRDefault="0056696B" w:rsidP="0056696B">
            <w:pPr>
              <w:ind w:firstLine="0"/>
              <w:jc w:val="right"/>
              <w:rPr>
                <w:sz w:val="20"/>
                <w:szCs w:val="20"/>
              </w:rPr>
            </w:pPr>
            <w:r w:rsidRPr="0056696B">
              <w:rPr>
                <w:sz w:val="20"/>
                <w:szCs w:val="20"/>
              </w:rPr>
              <w:t>9,80</w:t>
            </w:r>
            <w:r>
              <w:rPr>
                <w:sz w:val="20"/>
                <w:szCs w:val="20"/>
              </w:rPr>
              <w:t xml:space="preserve"> </w:t>
            </w:r>
            <w:r w:rsidRPr="0056696B">
              <w:rPr>
                <w:sz w:val="20"/>
                <w:szCs w:val="20"/>
              </w:rPr>
              <w:t>%</w:t>
            </w:r>
          </w:p>
        </w:tc>
      </w:tr>
      <w:tr w:rsidR="0056696B" w:rsidRPr="004761E0" w:rsidTr="00654E0B">
        <w:trPr>
          <w:trHeight w:val="315"/>
        </w:trPr>
        <w:tc>
          <w:tcPr>
            <w:tcW w:w="503" w:type="dxa"/>
            <w:shd w:val="clear" w:color="000000" w:fill="FFFFFF"/>
            <w:noWrap/>
            <w:vAlign w:val="center"/>
            <w:hideMark/>
          </w:tcPr>
          <w:p w:rsidR="0056696B" w:rsidRPr="004761E0" w:rsidRDefault="0056696B" w:rsidP="007076A7">
            <w:pPr>
              <w:pStyle w:val="a5"/>
              <w:numPr>
                <w:ilvl w:val="0"/>
                <w:numId w:val="317"/>
              </w:numPr>
              <w:ind w:left="0" w:firstLine="0"/>
              <w:rPr>
                <w:rFonts w:eastAsia="Times New Roman"/>
                <w:sz w:val="20"/>
                <w:szCs w:val="20"/>
                <w:lang w:eastAsia="ru-RU"/>
              </w:rPr>
            </w:pPr>
          </w:p>
        </w:tc>
        <w:tc>
          <w:tcPr>
            <w:tcW w:w="4820" w:type="dxa"/>
            <w:shd w:val="clear" w:color="000000" w:fill="FFFFFF"/>
            <w:noWrap/>
            <w:vAlign w:val="center"/>
            <w:hideMark/>
          </w:tcPr>
          <w:p w:rsidR="0056696B" w:rsidRPr="0056696B" w:rsidRDefault="0056696B" w:rsidP="0056696B">
            <w:pPr>
              <w:ind w:firstLine="0"/>
              <w:rPr>
                <w:sz w:val="20"/>
                <w:szCs w:val="20"/>
              </w:rPr>
            </w:pPr>
            <w:r w:rsidRPr="0056696B">
              <w:rPr>
                <w:sz w:val="20"/>
                <w:szCs w:val="20"/>
              </w:rPr>
              <w:t>Эксплуатационные затраты, тыс.</w:t>
            </w:r>
            <w:r w:rsidR="009040A6">
              <w:rPr>
                <w:sz w:val="20"/>
                <w:szCs w:val="20"/>
              </w:rPr>
              <w:t xml:space="preserve"> </w:t>
            </w:r>
            <w:r w:rsidRPr="0056696B">
              <w:rPr>
                <w:sz w:val="20"/>
                <w:szCs w:val="20"/>
              </w:rPr>
              <w:t xml:space="preserve">руб. </w:t>
            </w:r>
          </w:p>
        </w:tc>
        <w:tc>
          <w:tcPr>
            <w:tcW w:w="1134" w:type="dxa"/>
            <w:shd w:val="clear" w:color="000000" w:fill="FFFFFF"/>
            <w:noWrap/>
            <w:vAlign w:val="center"/>
            <w:hideMark/>
          </w:tcPr>
          <w:p w:rsidR="0056696B" w:rsidRPr="0056696B" w:rsidRDefault="0056696B" w:rsidP="0056696B">
            <w:pPr>
              <w:ind w:firstLine="0"/>
              <w:jc w:val="right"/>
              <w:rPr>
                <w:sz w:val="20"/>
                <w:szCs w:val="20"/>
              </w:rPr>
            </w:pPr>
            <w:r w:rsidRPr="0056696B">
              <w:rPr>
                <w:sz w:val="20"/>
                <w:szCs w:val="20"/>
              </w:rPr>
              <w:t>24 286 378</w:t>
            </w:r>
          </w:p>
        </w:tc>
        <w:tc>
          <w:tcPr>
            <w:tcW w:w="1134" w:type="dxa"/>
            <w:shd w:val="clear" w:color="000000" w:fill="FFFFFF"/>
            <w:noWrap/>
            <w:vAlign w:val="center"/>
            <w:hideMark/>
          </w:tcPr>
          <w:p w:rsidR="0056696B" w:rsidRPr="0056696B" w:rsidRDefault="0056696B" w:rsidP="0056696B">
            <w:pPr>
              <w:ind w:firstLine="0"/>
              <w:jc w:val="right"/>
              <w:rPr>
                <w:sz w:val="20"/>
                <w:szCs w:val="20"/>
              </w:rPr>
            </w:pPr>
            <w:r w:rsidRPr="0056696B">
              <w:rPr>
                <w:sz w:val="20"/>
                <w:szCs w:val="20"/>
              </w:rPr>
              <w:t>23 165 843</w:t>
            </w:r>
          </w:p>
        </w:tc>
        <w:tc>
          <w:tcPr>
            <w:tcW w:w="1134" w:type="dxa"/>
            <w:shd w:val="clear" w:color="auto" w:fill="FFFFFF" w:themeFill="background1"/>
            <w:noWrap/>
            <w:vAlign w:val="center"/>
            <w:hideMark/>
          </w:tcPr>
          <w:p w:rsidR="0056696B" w:rsidRPr="0056696B" w:rsidRDefault="0056696B" w:rsidP="0056696B">
            <w:pPr>
              <w:ind w:firstLine="0"/>
              <w:jc w:val="right"/>
              <w:rPr>
                <w:sz w:val="20"/>
                <w:szCs w:val="20"/>
              </w:rPr>
            </w:pPr>
            <w:r w:rsidRPr="0056696B">
              <w:rPr>
                <w:sz w:val="20"/>
                <w:szCs w:val="20"/>
              </w:rPr>
              <w:t>24 956 730</w:t>
            </w:r>
          </w:p>
        </w:tc>
        <w:tc>
          <w:tcPr>
            <w:tcW w:w="1134" w:type="dxa"/>
            <w:shd w:val="clear" w:color="000000" w:fill="FFFFFF"/>
            <w:noWrap/>
            <w:vAlign w:val="center"/>
            <w:hideMark/>
          </w:tcPr>
          <w:p w:rsidR="0056696B" w:rsidRPr="0056696B" w:rsidRDefault="0056696B" w:rsidP="0056696B">
            <w:pPr>
              <w:ind w:firstLine="0"/>
              <w:jc w:val="right"/>
              <w:rPr>
                <w:sz w:val="20"/>
                <w:szCs w:val="20"/>
              </w:rPr>
            </w:pPr>
            <w:r w:rsidRPr="0056696B">
              <w:rPr>
                <w:sz w:val="20"/>
                <w:szCs w:val="20"/>
              </w:rPr>
              <w:t>7,73</w:t>
            </w:r>
            <w:r>
              <w:rPr>
                <w:sz w:val="20"/>
                <w:szCs w:val="20"/>
              </w:rPr>
              <w:t xml:space="preserve"> </w:t>
            </w:r>
            <w:r w:rsidRPr="0056696B">
              <w:rPr>
                <w:sz w:val="20"/>
                <w:szCs w:val="20"/>
              </w:rPr>
              <w:t>%</w:t>
            </w:r>
          </w:p>
        </w:tc>
      </w:tr>
      <w:tr w:rsidR="0056696B" w:rsidRPr="004761E0" w:rsidTr="00654E0B">
        <w:trPr>
          <w:trHeight w:val="315"/>
        </w:trPr>
        <w:tc>
          <w:tcPr>
            <w:tcW w:w="503" w:type="dxa"/>
            <w:shd w:val="clear" w:color="000000" w:fill="FFFFFF"/>
            <w:noWrap/>
            <w:vAlign w:val="center"/>
            <w:hideMark/>
          </w:tcPr>
          <w:p w:rsidR="0056696B" w:rsidRPr="004761E0" w:rsidRDefault="0056696B" w:rsidP="007076A7">
            <w:pPr>
              <w:pStyle w:val="a5"/>
              <w:numPr>
                <w:ilvl w:val="0"/>
                <w:numId w:val="317"/>
              </w:numPr>
              <w:ind w:left="0" w:firstLine="0"/>
              <w:rPr>
                <w:rFonts w:eastAsia="Times New Roman"/>
                <w:sz w:val="20"/>
                <w:szCs w:val="20"/>
                <w:lang w:eastAsia="ru-RU"/>
              </w:rPr>
            </w:pPr>
          </w:p>
        </w:tc>
        <w:tc>
          <w:tcPr>
            <w:tcW w:w="4820" w:type="dxa"/>
            <w:shd w:val="clear" w:color="000000" w:fill="FFFFFF"/>
            <w:noWrap/>
            <w:vAlign w:val="center"/>
            <w:hideMark/>
          </w:tcPr>
          <w:p w:rsidR="0056696B" w:rsidRPr="0056696B" w:rsidRDefault="0056696B" w:rsidP="00CC0CB0">
            <w:pPr>
              <w:ind w:firstLine="0"/>
              <w:rPr>
                <w:sz w:val="20"/>
                <w:szCs w:val="20"/>
              </w:rPr>
            </w:pPr>
            <w:r w:rsidRPr="0056696B">
              <w:rPr>
                <w:sz w:val="20"/>
                <w:szCs w:val="20"/>
              </w:rPr>
              <w:t>Эксплуатационные затраты</w:t>
            </w:r>
            <w:r w:rsidR="00CC0CB0">
              <w:rPr>
                <w:sz w:val="20"/>
                <w:szCs w:val="20"/>
              </w:rPr>
              <w:t xml:space="preserve"> на 1 у.е.</w:t>
            </w:r>
            <w:r w:rsidRPr="0056696B">
              <w:rPr>
                <w:sz w:val="20"/>
                <w:szCs w:val="20"/>
              </w:rPr>
              <w:t>, тыс.</w:t>
            </w:r>
            <w:r w:rsidR="009040A6">
              <w:rPr>
                <w:sz w:val="20"/>
                <w:szCs w:val="20"/>
              </w:rPr>
              <w:t xml:space="preserve"> </w:t>
            </w:r>
            <w:r w:rsidRPr="0056696B">
              <w:rPr>
                <w:sz w:val="20"/>
                <w:szCs w:val="20"/>
              </w:rPr>
              <w:t>руб</w:t>
            </w:r>
            <w:r w:rsidR="00CC0CB0">
              <w:rPr>
                <w:sz w:val="20"/>
                <w:szCs w:val="20"/>
              </w:rPr>
              <w:t>.</w:t>
            </w:r>
          </w:p>
        </w:tc>
        <w:tc>
          <w:tcPr>
            <w:tcW w:w="1134" w:type="dxa"/>
            <w:shd w:val="clear" w:color="000000" w:fill="FFFFFF"/>
            <w:noWrap/>
            <w:vAlign w:val="center"/>
            <w:hideMark/>
          </w:tcPr>
          <w:p w:rsidR="0056696B" w:rsidRPr="0056696B" w:rsidRDefault="0056696B" w:rsidP="0056696B">
            <w:pPr>
              <w:ind w:firstLine="0"/>
              <w:jc w:val="right"/>
              <w:rPr>
                <w:sz w:val="20"/>
                <w:szCs w:val="20"/>
              </w:rPr>
            </w:pPr>
            <w:r w:rsidRPr="0056696B">
              <w:rPr>
                <w:sz w:val="20"/>
                <w:szCs w:val="20"/>
              </w:rPr>
              <w:t>19,89</w:t>
            </w:r>
          </w:p>
        </w:tc>
        <w:tc>
          <w:tcPr>
            <w:tcW w:w="1134" w:type="dxa"/>
            <w:shd w:val="clear" w:color="000000" w:fill="FFFFFF"/>
            <w:noWrap/>
            <w:vAlign w:val="center"/>
            <w:hideMark/>
          </w:tcPr>
          <w:p w:rsidR="0056696B" w:rsidRPr="0056696B" w:rsidRDefault="0056696B" w:rsidP="0056696B">
            <w:pPr>
              <w:ind w:firstLine="0"/>
              <w:jc w:val="right"/>
              <w:rPr>
                <w:sz w:val="20"/>
                <w:szCs w:val="20"/>
              </w:rPr>
            </w:pPr>
            <w:r w:rsidRPr="0056696B">
              <w:rPr>
                <w:sz w:val="20"/>
                <w:szCs w:val="20"/>
              </w:rPr>
              <w:t>17,83</w:t>
            </w:r>
          </w:p>
        </w:tc>
        <w:tc>
          <w:tcPr>
            <w:tcW w:w="1134" w:type="dxa"/>
            <w:shd w:val="clear" w:color="auto" w:fill="FFFFFF" w:themeFill="background1"/>
            <w:noWrap/>
            <w:vAlign w:val="center"/>
            <w:hideMark/>
          </w:tcPr>
          <w:p w:rsidR="0056696B" w:rsidRPr="0056696B" w:rsidRDefault="0056696B" w:rsidP="0056696B">
            <w:pPr>
              <w:ind w:firstLine="0"/>
              <w:jc w:val="right"/>
              <w:rPr>
                <w:sz w:val="20"/>
                <w:szCs w:val="20"/>
              </w:rPr>
            </w:pPr>
            <w:r w:rsidRPr="0056696B">
              <w:rPr>
                <w:sz w:val="20"/>
                <w:szCs w:val="20"/>
              </w:rPr>
              <w:t>17,49</w:t>
            </w:r>
          </w:p>
        </w:tc>
        <w:tc>
          <w:tcPr>
            <w:tcW w:w="1134" w:type="dxa"/>
            <w:shd w:val="clear" w:color="auto" w:fill="auto"/>
            <w:noWrap/>
            <w:vAlign w:val="center"/>
            <w:hideMark/>
          </w:tcPr>
          <w:p w:rsidR="0056696B" w:rsidRPr="0056696B" w:rsidRDefault="0056696B" w:rsidP="0056696B">
            <w:pPr>
              <w:ind w:firstLine="0"/>
              <w:jc w:val="right"/>
              <w:rPr>
                <w:sz w:val="20"/>
                <w:szCs w:val="20"/>
              </w:rPr>
            </w:pPr>
            <w:r w:rsidRPr="0056696B">
              <w:rPr>
                <w:sz w:val="20"/>
                <w:szCs w:val="20"/>
              </w:rPr>
              <w:t>-1,88</w:t>
            </w:r>
            <w:r>
              <w:rPr>
                <w:sz w:val="20"/>
                <w:szCs w:val="20"/>
              </w:rPr>
              <w:t xml:space="preserve"> </w:t>
            </w:r>
            <w:r w:rsidRPr="0056696B">
              <w:rPr>
                <w:sz w:val="20"/>
                <w:szCs w:val="20"/>
              </w:rPr>
              <w:t>%</w:t>
            </w:r>
          </w:p>
        </w:tc>
      </w:tr>
    </w:tbl>
    <w:p w:rsidR="003429ED" w:rsidRPr="004761E0" w:rsidRDefault="003429ED" w:rsidP="003429ED">
      <w:pPr>
        <w:spacing w:before="120" w:after="120"/>
        <w:ind w:firstLine="567"/>
        <w:jc w:val="left"/>
        <w:rPr>
          <w:b/>
          <w:sz w:val="26"/>
          <w:szCs w:val="26"/>
          <w:lang w:eastAsia="ru-RU"/>
        </w:rPr>
      </w:pPr>
      <w:r w:rsidRPr="004761E0">
        <w:rPr>
          <w:b/>
          <w:sz w:val="26"/>
          <w:szCs w:val="26"/>
          <w:lang w:eastAsia="ru-RU"/>
        </w:rPr>
        <w:t>EBITDA</w:t>
      </w:r>
      <w:r w:rsidRPr="006F4AB8">
        <w:rPr>
          <w:rStyle w:val="af1"/>
        </w:rPr>
        <w:footnoteReference w:id="58"/>
      </w:r>
    </w:p>
    <w:tbl>
      <w:tblPr>
        <w:tblW w:w="9936" w:type="dxa"/>
        <w:tblInd w:w="95" w:type="dxa"/>
        <w:tblLook w:val="04A0"/>
      </w:tblPr>
      <w:tblGrid>
        <w:gridCol w:w="580"/>
        <w:gridCol w:w="4820"/>
        <w:gridCol w:w="1134"/>
        <w:gridCol w:w="1134"/>
        <w:gridCol w:w="1134"/>
        <w:gridCol w:w="1134"/>
      </w:tblGrid>
      <w:tr w:rsidR="003429ED" w:rsidRPr="004761E0" w:rsidTr="003429ED">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48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3429ED" w:rsidRPr="004761E0" w:rsidRDefault="003429ED" w:rsidP="003429E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3429ED" w:rsidRPr="004761E0" w:rsidRDefault="003429ED" w:rsidP="007076A7">
            <w:pPr>
              <w:numPr>
                <w:ilvl w:val="0"/>
                <w:numId w:val="200"/>
              </w:numPr>
              <w:jc w:val="left"/>
              <w:rPr>
                <w:rFonts w:eastAsia="Times New Roman"/>
                <w:b/>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left"/>
              <w:rPr>
                <w:rFonts w:eastAsia="Times New Roman"/>
                <w:b/>
                <w:sz w:val="20"/>
                <w:szCs w:val="20"/>
                <w:lang w:eastAsia="ru-RU"/>
              </w:rPr>
            </w:pPr>
            <w:r w:rsidRPr="004761E0">
              <w:rPr>
                <w:rFonts w:eastAsia="Times New Roman"/>
                <w:b/>
                <w:sz w:val="20"/>
                <w:szCs w:val="20"/>
                <w:lang w:eastAsia="ru-RU"/>
              </w:rPr>
              <w:t>EBITDA, млн руб. без НДС (всего), в т.ч.:</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sz w:val="20"/>
                <w:szCs w:val="20"/>
                <w:lang w:eastAsia="ru-RU"/>
              </w:rPr>
            </w:pPr>
            <w:r w:rsidRPr="004761E0">
              <w:rPr>
                <w:rFonts w:eastAsia="Times New Roman"/>
                <w:b/>
                <w:sz w:val="20"/>
                <w:szCs w:val="20"/>
                <w:lang w:eastAsia="ru-RU"/>
              </w:rPr>
              <w:t>39 578</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sz w:val="20"/>
                <w:szCs w:val="20"/>
                <w:lang w:eastAsia="ru-RU"/>
              </w:rPr>
            </w:pPr>
            <w:r w:rsidRPr="004761E0">
              <w:rPr>
                <w:rFonts w:eastAsia="Times New Roman"/>
                <w:b/>
                <w:sz w:val="20"/>
                <w:szCs w:val="20"/>
                <w:lang w:eastAsia="ru-RU"/>
              </w:rPr>
              <w:t>41 212</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b/>
                <w:sz w:val="20"/>
                <w:szCs w:val="20"/>
                <w:lang w:eastAsia="ru-RU"/>
              </w:rPr>
            </w:pPr>
            <w:r w:rsidRPr="004761E0">
              <w:rPr>
                <w:rFonts w:eastAsia="Times New Roman"/>
                <w:b/>
                <w:sz w:val="20"/>
                <w:szCs w:val="20"/>
                <w:lang w:eastAsia="ru-RU"/>
              </w:rPr>
              <w:t>36 430</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b/>
                <w:sz w:val="20"/>
                <w:szCs w:val="20"/>
              </w:rPr>
            </w:pPr>
            <w:r w:rsidRPr="004761E0">
              <w:rPr>
                <w:b/>
                <w:sz w:val="20"/>
                <w:szCs w:val="20"/>
              </w:rPr>
              <w:t>-11,60 %</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3429ED" w:rsidRPr="004761E0" w:rsidRDefault="003429ED" w:rsidP="007076A7">
            <w:pPr>
              <w:pStyle w:val="a5"/>
              <w:numPr>
                <w:ilvl w:val="1"/>
                <w:numId w:val="200"/>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Chars="200" w:firstLine="400"/>
              <w:jc w:val="left"/>
              <w:rPr>
                <w:rFonts w:eastAsia="Times New Roman"/>
                <w:sz w:val="20"/>
                <w:szCs w:val="20"/>
                <w:lang w:eastAsia="ru-RU"/>
              </w:rPr>
            </w:pPr>
            <w:r w:rsidRPr="004761E0">
              <w:rPr>
                <w:rFonts w:eastAsia="Times New Roman"/>
                <w:sz w:val="20"/>
                <w:szCs w:val="20"/>
                <w:lang w:eastAsia="ru-RU"/>
              </w:rPr>
              <w:t xml:space="preserve">амортизация </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15 196</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16 680</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18 737</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sz w:val="20"/>
                <w:szCs w:val="20"/>
              </w:rPr>
            </w:pPr>
            <w:r w:rsidRPr="004761E0">
              <w:rPr>
                <w:sz w:val="20"/>
                <w:szCs w:val="20"/>
              </w:rPr>
              <w:t>12,33 %</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3429ED" w:rsidRPr="004761E0" w:rsidRDefault="003429ED" w:rsidP="007076A7">
            <w:pPr>
              <w:pStyle w:val="a5"/>
              <w:numPr>
                <w:ilvl w:val="1"/>
                <w:numId w:val="200"/>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Chars="200" w:firstLine="400"/>
              <w:jc w:val="left"/>
              <w:rPr>
                <w:rFonts w:eastAsia="Times New Roman"/>
                <w:sz w:val="20"/>
                <w:szCs w:val="20"/>
                <w:lang w:eastAsia="ru-RU"/>
              </w:rPr>
            </w:pPr>
            <w:r w:rsidRPr="004761E0">
              <w:rPr>
                <w:rFonts w:eastAsia="Times New Roman"/>
                <w:sz w:val="20"/>
                <w:szCs w:val="20"/>
                <w:lang w:eastAsia="ru-RU"/>
              </w:rPr>
              <w:t>налоги</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4 855</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3 746</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3 983</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sz w:val="20"/>
                <w:szCs w:val="20"/>
              </w:rPr>
            </w:pPr>
            <w:r w:rsidRPr="004761E0">
              <w:rPr>
                <w:sz w:val="20"/>
                <w:szCs w:val="20"/>
              </w:rPr>
              <w:t>6,33 %</w:t>
            </w:r>
          </w:p>
        </w:tc>
      </w:tr>
      <w:tr w:rsidR="003429ED"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3429ED" w:rsidRPr="004761E0" w:rsidRDefault="003429ED" w:rsidP="007076A7">
            <w:pPr>
              <w:pStyle w:val="a5"/>
              <w:numPr>
                <w:ilvl w:val="1"/>
                <w:numId w:val="200"/>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Chars="200" w:firstLine="400"/>
              <w:jc w:val="left"/>
              <w:rPr>
                <w:rFonts w:eastAsia="Times New Roman"/>
                <w:sz w:val="20"/>
                <w:szCs w:val="20"/>
                <w:lang w:eastAsia="ru-RU"/>
              </w:rPr>
            </w:pPr>
            <w:r w:rsidRPr="004761E0">
              <w:rPr>
                <w:rFonts w:eastAsia="Times New Roman"/>
                <w:sz w:val="20"/>
                <w:szCs w:val="20"/>
                <w:lang w:eastAsia="ru-RU"/>
              </w:rPr>
              <w:t>проценты (нетто-величина)</w:t>
            </w:r>
            <w:r w:rsidRPr="006F4AB8">
              <w:rPr>
                <w:rStyle w:val="af1"/>
              </w:rPr>
              <w:footnoteReference w:id="59"/>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2 474</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3 603</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2 070</w:t>
            </w:r>
          </w:p>
        </w:tc>
        <w:tc>
          <w:tcPr>
            <w:tcW w:w="1134" w:type="dxa"/>
            <w:tcBorders>
              <w:top w:val="nil"/>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sz w:val="20"/>
                <w:szCs w:val="20"/>
              </w:rPr>
            </w:pPr>
            <w:r w:rsidRPr="004761E0">
              <w:rPr>
                <w:sz w:val="20"/>
                <w:szCs w:val="20"/>
              </w:rPr>
              <w:t>-42,55 %</w:t>
            </w:r>
          </w:p>
        </w:tc>
      </w:tr>
      <w:tr w:rsidR="003429ED" w:rsidRPr="004761E0" w:rsidTr="003429ED">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9ED" w:rsidRPr="004761E0" w:rsidRDefault="003429ED" w:rsidP="007076A7">
            <w:pPr>
              <w:pStyle w:val="a5"/>
              <w:numPr>
                <w:ilvl w:val="1"/>
                <w:numId w:val="200"/>
              </w:numPr>
              <w:jc w:val="left"/>
              <w:rPr>
                <w:rFonts w:eastAsia="Times New Roman"/>
                <w:color w:val="000000"/>
                <w:sz w:val="20"/>
                <w:szCs w:val="20"/>
                <w:lang w:eastAsia="ru-RU"/>
              </w:rPr>
            </w:pPr>
          </w:p>
        </w:tc>
        <w:tc>
          <w:tcPr>
            <w:tcW w:w="4820"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firstLineChars="200" w:firstLine="400"/>
              <w:jc w:val="left"/>
              <w:rPr>
                <w:rFonts w:eastAsia="Times New Roman"/>
                <w:sz w:val="20"/>
                <w:szCs w:val="20"/>
                <w:lang w:eastAsia="ru-RU"/>
              </w:rPr>
            </w:pPr>
            <w:r w:rsidRPr="004761E0">
              <w:rPr>
                <w:rFonts w:eastAsia="Times New Roman"/>
                <w:sz w:val="20"/>
                <w:szCs w:val="20"/>
                <w:lang w:eastAsia="ru-RU"/>
              </w:rPr>
              <w:t>чистая прибыль</w:t>
            </w:r>
          </w:p>
        </w:tc>
        <w:tc>
          <w:tcPr>
            <w:tcW w:w="1134"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17 053</w:t>
            </w:r>
          </w:p>
        </w:tc>
        <w:tc>
          <w:tcPr>
            <w:tcW w:w="1134"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17 184</w:t>
            </w:r>
          </w:p>
        </w:tc>
        <w:tc>
          <w:tcPr>
            <w:tcW w:w="1134"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rFonts w:eastAsia="Times New Roman"/>
                <w:sz w:val="20"/>
                <w:szCs w:val="20"/>
                <w:lang w:eastAsia="ru-RU"/>
              </w:rPr>
            </w:pPr>
            <w:r w:rsidRPr="004761E0">
              <w:rPr>
                <w:rFonts w:eastAsia="Times New Roman"/>
                <w:sz w:val="20"/>
                <w:szCs w:val="20"/>
                <w:lang w:eastAsia="ru-RU"/>
              </w:rPr>
              <w:t>11 641</w:t>
            </w:r>
          </w:p>
        </w:tc>
        <w:tc>
          <w:tcPr>
            <w:tcW w:w="1134" w:type="dxa"/>
            <w:tcBorders>
              <w:top w:val="single" w:sz="4" w:space="0" w:color="auto"/>
              <w:left w:val="nil"/>
              <w:bottom w:val="single" w:sz="4" w:space="0" w:color="auto"/>
              <w:right w:val="single" w:sz="4" w:space="0" w:color="auto"/>
            </w:tcBorders>
            <w:shd w:val="clear" w:color="auto" w:fill="auto"/>
            <w:vAlign w:val="center"/>
          </w:tcPr>
          <w:p w:rsidR="003429ED" w:rsidRPr="004761E0" w:rsidRDefault="003429ED" w:rsidP="003429ED">
            <w:pPr>
              <w:ind w:firstLine="0"/>
              <w:jc w:val="right"/>
              <w:rPr>
                <w:sz w:val="20"/>
                <w:szCs w:val="20"/>
              </w:rPr>
            </w:pPr>
            <w:r w:rsidRPr="004761E0">
              <w:rPr>
                <w:sz w:val="20"/>
                <w:szCs w:val="20"/>
              </w:rPr>
              <w:t>-32,26 %</w:t>
            </w:r>
          </w:p>
        </w:tc>
      </w:tr>
    </w:tbl>
    <w:p w:rsidR="003429ED" w:rsidRPr="004761E0" w:rsidRDefault="003429ED" w:rsidP="003429ED">
      <w:pPr>
        <w:spacing w:before="120" w:after="120"/>
        <w:ind w:firstLine="0"/>
        <w:jc w:val="left"/>
        <w:rPr>
          <w:b/>
          <w:sz w:val="26"/>
          <w:szCs w:val="26"/>
          <w:lang w:eastAsia="ru-RU"/>
        </w:rPr>
      </w:pPr>
      <w:r w:rsidRPr="004761E0">
        <w:rPr>
          <w:b/>
          <w:noProof/>
          <w:sz w:val="26"/>
          <w:szCs w:val="26"/>
          <w:lang w:eastAsia="ru-RU"/>
        </w:rPr>
        <w:drawing>
          <wp:anchor distT="0" distB="0" distL="114300" distR="114300" simplePos="0" relativeHeight="251657216" behindDoc="0" locked="0" layoutInCell="1" allowOverlap="1">
            <wp:simplePos x="0" y="0"/>
            <wp:positionH relativeFrom="column">
              <wp:posOffset>3226804</wp:posOffset>
            </wp:positionH>
            <wp:positionV relativeFrom="paragraph">
              <wp:posOffset>72198</wp:posOffset>
            </wp:positionV>
            <wp:extent cx="3085968" cy="3200400"/>
            <wp:effectExtent l="19050" t="0" r="19182" b="0"/>
            <wp:wrapNone/>
            <wp:docPr id="284" name="Диаграмма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anchor>
        </w:drawing>
      </w:r>
      <w:r w:rsidRPr="004761E0">
        <w:rPr>
          <w:b/>
          <w:noProof/>
          <w:sz w:val="26"/>
          <w:szCs w:val="26"/>
          <w:lang w:eastAsia="ru-RU"/>
        </w:rPr>
        <w:t xml:space="preserve">  </w:t>
      </w:r>
      <w:r w:rsidRPr="004761E0">
        <w:rPr>
          <w:b/>
          <w:noProof/>
          <w:sz w:val="26"/>
          <w:szCs w:val="26"/>
          <w:lang w:eastAsia="ru-RU"/>
        </w:rPr>
        <w:drawing>
          <wp:inline distT="0" distB="0" distL="0" distR="0">
            <wp:extent cx="2775098" cy="3189767"/>
            <wp:effectExtent l="19050" t="0" r="25252" b="0"/>
            <wp:docPr id="106" name="Диаграмма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3429ED" w:rsidRPr="004761E0" w:rsidRDefault="003429ED" w:rsidP="003429ED">
      <w:pPr>
        <w:spacing w:before="120" w:after="120"/>
        <w:ind w:firstLine="567"/>
        <w:rPr>
          <w:sz w:val="26"/>
          <w:szCs w:val="26"/>
          <w:lang w:eastAsia="ru-RU"/>
        </w:rPr>
      </w:pPr>
      <w:r w:rsidRPr="004761E0">
        <w:rPr>
          <w:sz w:val="26"/>
          <w:szCs w:val="26"/>
          <w:lang w:eastAsia="ru-RU"/>
        </w:rPr>
        <w:t>Показатель EBITDA за 2013 год сократился на 11,60 % и составил 36,43 млрд руб. Снижению показателя способствовали как рост себестоимости, опережающий темпы увеличения выручки, так и отчисления в резерв по сомнительным долгам.</w:t>
      </w:r>
    </w:p>
    <w:p w:rsidR="00196C95" w:rsidRPr="004761E0" w:rsidRDefault="00196C95" w:rsidP="008C0C74">
      <w:pPr>
        <w:spacing w:before="120" w:after="120"/>
        <w:ind w:firstLine="567"/>
        <w:jc w:val="left"/>
        <w:rPr>
          <w:b/>
          <w:sz w:val="26"/>
          <w:szCs w:val="26"/>
          <w:lang w:eastAsia="ru-RU"/>
        </w:rPr>
      </w:pPr>
      <w:r w:rsidRPr="004761E0">
        <w:rPr>
          <w:b/>
          <w:sz w:val="26"/>
          <w:szCs w:val="26"/>
          <w:lang w:eastAsia="ru-RU"/>
        </w:rPr>
        <w:t xml:space="preserve">Налоговая нагрузка </w:t>
      </w:r>
    </w:p>
    <w:tbl>
      <w:tblPr>
        <w:tblW w:w="10219" w:type="dxa"/>
        <w:tblInd w:w="95" w:type="dxa"/>
        <w:tblLook w:val="04A0"/>
      </w:tblPr>
      <w:tblGrid>
        <w:gridCol w:w="580"/>
        <w:gridCol w:w="5103"/>
        <w:gridCol w:w="1134"/>
        <w:gridCol w:w="1134"/>
        <w:gridCol w:w="1134"/>
        <w:gridCol w:w="1134"/>
      </w:tblGrid>
      <w:tr w:rsidR="00196C95" w:rsidRPr="004761E0" w:rsidTr="00DB376A">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196C95" w:rsidRPr="004761E0" w:rsidRDefault="00196C95" w:rsidP="00DB376A">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510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196C95" w:rsidRPr="004761E0" w:rsidRDefault="00196C95" w:rsidP="00DB376A">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196C95" w:rsidRPr="004761E0" w:rsidRDefault="00196C95" w:rsidP="00DB376A">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196C95" w:rsidRPr="004761E0" w:rsidRDefault="00196C95" w:rsidP="00DB376A">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196C95" w:rsidRPr="004761E0" w:rsidRDefault="00196C95" w:rsidP="00DB376A">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196C95" w:rsidRPr="004761E0" w:rsidRDefault="00196C95" w:rsidP="00DB376A">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196C95" w:rsidRPr="004761E0" w:rsidTr="00DB376A">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196C95" w:rsidRPr="004761E0" w:rsidRDefault="00196C95" w:rsidP="007076A7">
            <w:pPr>
              <w:numPr>
                <w:ilvl w:val="0"/>
                <w:numId w:val="131"/>
              </w:numPr>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left"/>
              <w:rPr>
                <w:color w:val="000000"/>
                <w:sz w:val="20"/>
                <w:szCs w:val="22"/>
              </w:rPr>
            </w:pPr>
            <w:r w:rsidRPr="004761E0">
              <w:rPr>
                <w:color w:val="000000"/>
                <w:sz w:val="20"/>
                <w:szCs w:val="22"/>
              </w:rPr>
              <w:t>Налоги, млн руб. (всего), в т.ч.</w:t>
            </w:r>
          </w:p>
        </w:tc>
        <w:tc>
          <w:tcPr>
            <w:tcW w:w="1134"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right"/>
              <w:rPr>
                <w:bCs/>
                <w:color w:val="000000"/>
                <w:sz w:val="20"/>
                <w:szCs w:val="22"/>
              </w:rPr>
            </w:pPr>
            <w:r w:rsidRPr="004761E0">
              <w:rPr>
                <w:bCs/>
                <w:color w:val="000000"/>
                <w:sz w:val="20"/>
                <w:szCs w:val="22"/>
              </w:rPr>
              <w:t>12 702</w:t>
            </w:r>
          </w:p>
        </w:tc>
        <w:tc>
          <w:tcPr>
            <w:tcW w:w="1134"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right"/>
              <w:rPr>
                <w:bCs/>
                <w:color w:val="000000"/>
                <w:sz w:val="20"/>
                <w:szCs w:val="22"/>
              </w:rPr>
            </w:pPr>
            <w:r w:rsidRPr="004761E0">
              <w:rPr>
                <w:bCs/>
                <w:color w:val="000000"/>
                <w:sz w:val="20"/>
                <w:szCs w:val="22"/>
              </w:rPr>
              <w:t>13 255</w:t>
            </w:r>
          </w:p>
        </w:tc>
        <w:tc>
          <w:tcPr>
            <w:tcW w:w="1134"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right"/>
              <w:rPr>
                <w:bCs/>
                <w:color w:val="000000"/>
                <w:sz w:val="20"/>
                <w:szCs w:val="22"/>
              </w:rPr>
            </w:pPr>
            <w:r w:rsidRPr="004761E0">
              <w:rPr>
                <w:bCs/>
                <w:color w:val="000000"/>
                <w:sz w:val="20"/>
                <w:szCs w:val="22"/>
              </w:rPr>
              <w:t>13 031</w:t>
            </w:r>
          </w:p>
        </w:tc>
        <w:tc>
          <w:tcPr>
            <w:tcW w:w="1134"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right"/>
              <w:rPr>
                <w:color w:val="000000"/>
                <w:sz w:val="20"/>
                <w:szCs w:val="22"/>
              </w:rPr>
            </w:pPr>
            <w:r w:rsidRPr="004761E0">
              <w:rPr>
                <w:color w:val="000000"/>
                <w:sz w:val="20"/>
                <w:szCs w:val="22"/>
              </w:rPr>
              <w:t>-1,69 %</w:t>
            </w:r>
          </w:p>
        </w:tc>
      </w:tr>
      <w:tr w:rsidR="00196C95" w:rsidRPr="004761E0" w:rsidTr="00DB376A">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196C95" w:rsidRPr="004761E0" w:rsidRDefault="00196C95" w:rsidP="007076A7">
            <w:pPr>
              <w:pStyle w:val="a5"/>
              <w:numPr>
                <w:ilvl w:val="1"/>
                <w:numId w:val="131"/>
              </w:numPr>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318"/>
              <w:jc w:val="left"/>
              <w:rPr>
                <w:color w:val="000000"/>
                <w:sz w:val="20"/>
                <w:szCs w:val="22"/>
              </w:rPr>
            </w:pPr>
            <w:r w:rsidRPr="004761E0">
              <w:rPr>
                <w:color w:val="000000"/>
                <w:sz w:val="20"/>
                <w:szCs w:val="22"/>
              </w:rPr>
              <w:t>налог на прибыль</w:t>
            </w:r>
          </w:p>
        </w:tc>
        <w:tc>
          <w:tcPr>
            <w:tcW w:w="1134"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right"/>
              <w:rPr>
                <w:color w:val="000000"/>
                <w:sz w:val="20"/>
                <w:szCs w:val="22"/>
              </w:rPr>
            </w:pPr>
            <w:r w:rsidRPr="004761E0">
              <w:rPr>
                <w:color w:val="000000"/>
                <w:sz w:val="20"/>
                <w:szCs w:val="22"/>
              </w:rPr>
              <w:t>4 712</w:t>
            </w:r>
          </w:p>
        </w:tc>
        <w:tc>
          <w:tcPr>
            <w:tcW w:w="1134"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right"/>
              <w:rPr>
                <w:color w:val="000000"/>
                <w:sz w:val="20"/>
                <w:szCs w:val="22"/>
              </w:rPr>
            </w:pPr>
            <w:r w:rsidRPr="004761E0">
              <w:rPr>
                <w:color w:val="000000"/>
                <w:sz w:val="20"/>
                <w:szCs w:val="22"/>
              </w:rPr>
              <w:t>4 066</w:t>
            </w:r>
          </w:p>
        </w:tc>
        <w:tc>
          <w:tcPr>
            <w:tcW w:w="1134"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right"/>
              <w:rPr>
                <w:color w:val="000000"/>
                <w:sz w:val="20"/>
                <w:szCs w:val="22"/>
              </w:rPr>
            </w:pPr>
            <w:r w:rsidRPr="004761E0">
              <w:rPr>
                <w:color w:val="000000"/>
                <w:sz w:val="20"/>
                <w:szCs w:val="22"/>
              </w:rPr>
              <w:t>4 745</w:t>
            </w:r>
          </w:p>
        </w:tc>
        <w:tc>
          <w:tcPr>
            <w:tcW w:w="1134"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right"/>
              <w:rPr>
                <w:color w:val="000000"/>
                <w:sz w:val="20"/>
                <w:szCs w:val="22"/>
              </w:rPr>
            </w:pPr>
            <w:r w:rsidRPr="004761E0">
              <w:rPr>
                <w:color w:val="000000"/>
                <w:sz w:val="20"/>
                <w:szCs w:val="22"/>
              </w:rPr>
              <w:t>16,69 %</w:t>
            </w:r>
          </w:p>
        </w:tc>
      </w:tr>
      <w:tr w:rsidR="00196C95" w:rsidRPr="004761E0" w:rsidTr="00DB376A">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196C95" w:rsidRPr="004761E0" w:rsidRDefault="00196C95" w:rsidP="007076A7">
            <w:pPr>
              <w:pStyle w:val="a5"/>
              <w:numPr>
                <w:ilvl w:val="1"/>
                <w:numId w:val="131"/>
              </w:numPr>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318"/>
              <w:jc w:val="left"/>
              <w:rPr>
                <w:color w:val="000000"/>
                <w:sz w:val="20"/>
                <w:szCs w:val="22"/>
              </w:rPr>
            </w:pPr>
            <w:r w:rsidRPr="004761E0">
              <w:rPr>
                <w:color w:val="000000"/>
                <w:sz w:val="20"/>
                <w:szCs w:val="22"/>
              </w:rPr>
              <w:t>налог на добавленную стоимость (НДС)</w:t>
            </w:r>
          </w:p>
        </w:tc>
        <w:tc>
          <w:tcPr>
            <w:tcW w:w="1134"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right"/>
              <w:rPr>
                <w:color w:val="000000"/>
                <w:sz w:val="20"/>
                <w:szCs w:val="22"/>
              </w:rPr>
            </w:pPr>
            <w:r w:rsidRPr="004761E0">
              <w:rPr>
                <w:color w:val="000000"/>
                <w:sz w:val="20"/>
                <w:szCs w:val="22"/>
              </w:rPr>
              <w:t>4 127</w:t>
            </w:r>
          </w:p>
        </w:tc>
        <w:tc>
          <w:tcPr>
            <w:tcW w:w="1134"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right"/>
              <w:rPr>
                <w:color w:val="000000"/>
                <w:sz w:val="20"/>
                <w:szCs w:val="22"/>
              </w:rPr>
            </w:pPr>
            <w:r w:rsidRPr="004761E0">
              <w:rPr>
                <w:color w:val="000000"/>
                <w:sz w:val="20"/>
                <w:szCs w:val="22"/>
              </w:rPr>
              <w:t>4 962</w:t>
            </w:r>
          </w:p>
        </w:tc>
        <w:tc>
          <w:tcPr>
            <w:tcW w:w="1134"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right"/>
              <w:rPr>
                <w:color w:val="000000"/>
                <w:sz w:val="20"/>
                <w:szCs w:val="22"/>
              </w:rPr>
            </w:pPr>
            <w:r w:rsidRPr="004761E0">
              <w:rPr>
                <w:color w:val="000000"/>
                <w:sz w:val="20"/>
                <w:szCs w:val="22"/>
              </w:rPr>
              <w:t>3 132</w:t>
            </w:r>
          </w:p>
        </w:tc>
        <w:tc>
          <w:tcPr>
            <w:tcW w:w="1134"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right"/>
              <w:rPr>
                <w:color w:val="000000"/>
                <w:sz w:val="20"/>
                <w:szCs w:val="22"/>
              </w:rPr>
            </w:pPr>
            <w:r w:rsidRPr="004761E0">
              <w:rPr>
                <w:color w:val="000000"/>
                <w:sz w:val="20"/>
                <w:szCs w:val="22"/>
              </w:rPr>
              <w:t>-36,88 %</w:t>
            </w:r>
          </w:p>
        </w:tc>
      </w:tr>
      <w:tr w:rsidR="00196C95" w:rsidRPr="004761E0" w:rsidTr="00DB376A">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196C95" w:rsidRPr="004761E0" w:rsidRDefault="00196C95" w:rsidP="007076A7">
            <w:pPr>
              <w:pStyle w:val="a5"/>
              <w:numPr>
                <w:ilvl w:val="1"/>
                <w:numId w:val="131"/>
              </w:numPr>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318"/>
              <w:jc w:val="left"/>
              <w:rPr>
                <w:color w:val="000000"/>
                <w:sz w:val="20"/>
                <w:szCs w:val="22"/>
              </w:rPr>
            </w:pPr>
            <w:r w:rsidRPr="004761E0">
              <w:rPr>
                <w:color w:val="000000"/>
                <w:sz w:val="20"/>
                <w:szCs w:val="22"/>
              </w:rPr>
              <w:t>налог на имущество</w:t>
            </w:r>
          </w:p>
        </w:tc>
        <w:tc>
          <w:tcPr>
            <w:tcW w:w="1134"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right"/>
              <w:rPr>
                <w:color w:val="000000"/>
                <w:sz w:val="20"/>
                <w:szCs w:val="22"/>
              </w:rPr>
            </w:pPr>
            <w:r w:rsidRPr="004761E0">
              <w:rPr>
                <w:color w:val="000000"/>
                <w:sz w:val="20"/>
                <w:szCs w:val="22"/>
              </w:rPr>
              <w:t>290</w:t>
            </w:r>
          </w:p>
        </w:tc>
        <w:tc>
          <w:tcPr>
            <w:tcW w:w="1134"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right"/>
              <w:rPr>
                <w:color w:val="000000"/>
                <w:sz w:val="20"/>
                <w:szCs w:val="22"/>
              </w:rPr>
            </w:pPr>
            <w:r w:rsidRPr="004761E0">
              <w:rPr>
                <w:color w:val="000000"/>
                <w:sz w:val="20"/>
                <w:szCs w:val="22"/>
              </w:rPr>
              <w:t>327</w:t>
            </w:r>
          </w:p>
        </w:tc>
        <w:tc>
          <w:tcPr>
            <w:tcW w:w="1134"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right"/>
              <w:rPr>
                <w:color w:val="000000"/>
                <w:sz w:val="20"/>
                <w:szCs w:val="22"/>
              </w:rPr>
            </w:pPr>
            <w:r w:rsidRPr="004761E0">
              <w:rPr>
                <w:color w:val="000000"/>
                <w:sz w:val="20"/>
                <w:szCs w:val="22"/>
              </w:rPr>
              <w:t>1 029</w:t>
            </w:r>
          </w:p>
        </w:tc>
        <w:tc>
          <w:tcPr>
            <w:tcW w:w="1134"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right"/>
              <w:rPr>
                <w:color w:val="000000"/>
                <w:sz w:val="20"/>
                <w:szCs w:val="22"/>
              </w:rPr>
            </w:pPr>
            <w:r w:rsidRPr="004761E0">
              <w:rPr>
                <w:color w:val="000000"/>
                <w:sz w:val="20"/>
                <w:szCs w:val="22"/>
              </w:rPr>
              <w:t>214,18 %</w:t>
            </w:r>
          </w:p>
        </w:tc>
      </w:tr>
      <w:tr w:rsidR="00196C95" w:rsidRPr="004761E0" w:rsidTr="00DB376A">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196C95" w:rsidRPr="004761E0" w:rsidRDefault="00196C95" w:rsidP="007076A7">
            <w:pPr>
              <w:pStyle w:val="a5"/>
              <w:numPr>
                <w:ilvl w:val="1"/>
                <w:numId w:val="131"/>
              </w:numPr>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318"/>
              <w:jc w:val="left"/>
              <w:rPr>
                <w:color w:val="000000"/>
                <w:sz w:val="20"/>
                <w:szCs w:val="22"/>
              </w:rPr>
            </w:pPr>
            <w:r w:rsidRPr="004761E0">
              <w:rPr>
                <w:color w:val="000000"/>
                <w:sz w:val="20"/>
                <w:szCs w:val="22"/>
              </w:rPr>
              <w:t>налог на землю</w:t>
            </w:r>
          </w:p>
        </w:tc>
        <w:tc>
          <w:tcPr>
            <w:tcW w:w="1134"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right"/>
              <w:rPr>
                <w:color w:val="000000"/>
                <w:sz w:val="20"/>
                <w:szCs w:val="22"/>
              </w:rPr>
            </w:pPr>
            <w:r w:rsidRPr="004761E0">
              <w:rPr>
                <w:color w:val="000000"/>
                <w:sz w:val="20"/>
                <w:szCs w:val="22"/>
              </w:rPr>
              <w:t>46</w:t>
            </w:r>
          </w:p>
        </w:tc>
        <w:tc>
          <w:tcPr>
            <w:tcW w:w="1134"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right"/>
              <w:rPr>
                <w:color w:val="000000"/>
                <w:sz w:val="20"/>
                <w:szCs w:val="22"/>
              </w:rPr>
            </w:pPr>
            <w:r w:rsidRPr="004761E0">
              <w:rPr>
                <w:color w:val="000000"/>
                <w:sz w:val="20"/>
                <w:szCs w:val="22"/>
              </w:rPr>
              <w:t>44</w:t>
            </w:r>
          </w:p>
        </w:tc>
        <w:tc>
          <w:tcPr>
            <w:tcW w:w="1134"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right"/>
              <w:rPr>
                <w:color w:val="000000"/>
                <w:sz w:val="20"/>
                <w:szCs w:val="22"/>
              </w:rPr>
            </w:pPr>
            <w:r w:rsidRPr="004761E0">
              <w:rPr>
                <w:color w:val="000000"/>
                <w:sz w:val="20"/>
                <w:szCs w:val="22"/>
              </w:rPr>
              <w:t>41</w:t>
            </w:r>
          </w:p>
        </w:tc>
        <w:tc>
          <w:tcPr>
            <w:tcW w:w="1134"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right"/>
              <w:rPr>
                <w:color w:val="000000"/>
                <w:sz w:val="20"/>
                <w:szCs w:val="22"/>
              </w:rPr>
            </w:pPr>
            <w:r w:rsidRPr="004761E0">
              <w:rPr>
                <w:color w:val="000000"/>
                <w:sz w:val="20"/>
                <w:szCs w:val="22"/>
              </w:rPr>
              <w:t>-7,17 %</w:t>
            </w:r>
          </w:p>
        </w:tc>
      </w:tr>
      <w:tr w:rsidR="00196C95" w:rsidRPr="004761E0" w:rsidTr="00DB376A">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196C95" w:rsidRPr="004761E0" w:rsidRDefault="00196C95" w:rsidP="007076A7">
            <w:pPr>
              <w:pStyle w:val="a5"/>
              <w:numPr>
                <w:ilvl w:val="1"/>
                <w:numId w:val="131"/>
              </w:numPr>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318"/>
              <w:jc w:val="left"/>
              <w:rPr>
                <w:color w:val="000000"/>
                <w:sz w:val="20"/>
                <w:szCs w:val="22"/>
              </w:rPr>
            </w:pPr>
            <w:r w:rsidRPr="004761E0">
              <w:rPr>
                <w:color w:val="000000"/>
                <w:sz w:val="20"/>
                <w:szCs w:val="22"/>
              </w:rPr>
              <w:t>транспортный налог</w:t>
            </w:r>
          </w:p>
        </w:tc>
        <w:tc>
          <w:tcPr>
            <w:tcW w:w="1134"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right"/>
              <w:rPr>
                <w:color w:val="000000"/>
                <w:sz w:val="20"/>
                <w:szCs w:val="22"/>
              </w:rPr>
            </w:pPr>
            <w:r w:rsidRPr="004761E0">
              <w:rPr>
                <w:color w:val="000000"/>
                <w:sz w:val="20"/>
                <w:szCs w:val="22"/>
              </w:rPr>
              <w:t>10</w:t>
            </w:r>
          </w:p>
        </w:tc>
        <w:tc>
          <w:tcPr>
            <w:tcW w:w="1134"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right"/>
              <w:rPr>
                <w:color w:val="000000"/>
                <w:sz w:val="20"/>
                <w:szCs w:val="22"/>
              </w:rPr>
            </w:pPr>
            <w:r w:rsidRPr="004761E0">
              <w:rPr>
                <w:color w:val="000000"/>
                <w:sz w:val="20"/>
                <w:szCs w:val="22"/>
              </w:rPr>
              <w:t>12</w:t>
            </w:r>
          </w:p>
        </w:tc>
        <w:tc>
          <w:tcPr>
            <w:tcW w:w="1134"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right"/>
              <w:rPr>
                <w:color w:val="000000"/>
                <w:sz w:val="20"/>
                <w:szCs w:val="22"/>
              </w:rPr>
            </w:pPr>
            <w:r w:rsidRPr="004761E0">
              <w:rPr>
                <w:color w:val="000000"/>
                <w:sz w:val="20"/>
                <w:szCs w:val="22"/>
              </w:rPr>
              <w:t>14</w:t>
            </w:r>
          </w:p>
        </w:tc>
        <w:tc>
          <w:tcPr>
            <w:tcW w:w="1134"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right"/>
              <w:rPr>
                <w:color w:val="000000"/>
                <w:sz w:val="20"/>
                <w:szCs w:val="22"/>
              </w:rPr>
            </w:pPr>
            <w:r w:rsidRPr="004761E0">
              <w:rPr>
                <w:color w:val="000000"/>
                <w:sz w:val="20"/>
                <w:szCs w:val="22"/>
              </w:rPr>
              <w:t>15,76 %</w:t>
            </w:r>
          </w:p>
        </w:tc>
      </w:tr>
      <w:tr w:rsidR="00196C95" w:rsidRPr="004761E0" w:rsidTr="00DB376A">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196C95" w:rsidRPr="004761E0" w:rsidRDefault="00196C95" w:rsidP="007076A7">
            <w:pPr>
              <w:pStyle w:val="a5"/>
              <w:numPr>
                <w:ilvl w:val="1"/>
                <w:numId w:val="131"/>
              </w:numPr>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318"/>
              <w:jc w:val="left"/>
              <w:rPr>
                <w:color w:val="000000"/>
                <w:sz w:val="20"/>
                <w:szCs w:val="22"/>
              </w:rPr>
            </w:pPr>
            <w:r w:rsidRPr="004761E0">
              <w:rPr>
                <w:color w:val="000000"/>
                <w:sz w:val="20"/>
                <w:szCs w:val="22"/>
              </w:rPr>
              <w:t>налог на доходы физических лиц (НДФЛ)</w:t>
            </w:r>
          </w:p>
        </w:tc>
        <w:tc>
          <w:tcPr>
            <w:tcW w:w="1134"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right"/>
              <w:rPr>
                <w:color w:val="000000"/>
                <w:sz w:val="20"/>
                <w:szCs w:val="22"/>
              </w:rPr>
            </w:pPr>
            <w:r w:rsidRPr="004761E0">
              <w:rPr>
                <w:color w:val="000000"/>
                <w:sz w:val="20"/>
                <w:szCs w:val="22"/>
              </w:rPr>
              <w:t>1 444</w:t>
            </w:r>
          </w:p>
        </w:tc>
        <w:tc>
          <w:tcPr>
            <w:tcW w:w="1134"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right"/>
              <w:rPr>
                <w:color w:val="000000"/>
                <w:sz w:val="20"/>
                <w:szCs w:val="22"/>
              </w:rPr>
            </w:pPr>
            <w:r w:rsidRPr="004761E0">
              <w:rPr>
                <w:color w:val="000000"/>
                <w:sz w:val="20"/>
                <w:szCs w:val="22"/>
              </w:rPr>
              <w:t>1 553</w:t>
            </w:r>
          </w:p>
        </w:tc>
        <w:tc>
          <w:tcPr>
            <w:tcW w:w="1134"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right"/>
              <w:rPr>
                <w:color w:val="000000"/>
                <w:sz w:val="20"/>
                <w:szCs w:val="22"/>
              </w:rPr>
            </w:pPr>
            <w:r w:rsidRPr="004761E0">
              <w:rPr>
                <w:color w:val="000000"/>
                <w:sz w:val="20"/>
                <w:szCs w:val="22"/>
              </w:rPr>
              <w:t>1 693</w:t>
            </w:r>
          </w:p>
        </w:tc>
        <w:tc>
          <w:tcPr>
            <w:tcW w:w="1134"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right"/>
              <w:rPr>
                <w:color w:val="000000"/>
                <w:sz w:val="20"/>
                <w:szCs w:val="22"/>
              </w:rPr>
            </w:pPr>
            <w:r w:rsidRPr="004761E0">
              <w:rPr>
                <w:color w:val="000000"/>
                <w:sz w:val="20"/>
                <w:szCs w:val="22"/>
              </w:rPr>
              <w:t>9,00 %</w:t>
            </w:r>
          </w:p>
        </w:tc>
      </w:tr>
      <w:tr w:rsidR="00196C95" w:rsidRPr="004761E0" w:rsidTr="00DB376A">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196C95" w:rsidRPr="004761E0" w:rsidRDefault="00196C95" w:rsidP="007076A7">
            <w:pPr>
              <w:numPr>
                <w:ilvl w:val="0"/>
                <w:numId w:val="131"/>
              </w:numPr>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left"/>
              <w:rPr>
                <w:color w:val="000000"/>
                <w:sz w:val="20"/>
                <w:szCs w:val="22"/>
              </w:rPr>
            </w:pPr>
            <w:r w:rsidRPr="004761E0">
              <w:rPr>
                <w:color w:val="000000"/>
                <w:sz w:val="20"/>
                <w:szCs w:val="22"/>
              </w:rPr>
              <w:t>Страховые взносы</w:t>
            </w:r>
          </w:p>
        </w:tc>
        <w:tc>
          <w:tcPr>
            <w:tcW w:w="1134"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right"/>
              <w:rPr>
                <w:color w:val="000000"/>
                <w:sz w:val="20"/>
                <w:szCs w:val="22"/>
              </w:rPr>
            </w:pPr>
            <w:r w:rsidRPr="004761E0">
              <w:rPr>
                <w:color w:val="000000"/>
                <w:sz w:val="20"/>
                <w:szCs w:val="22"/>
              </w:rPr>
              <w:t>2 072</w:t>
            </w:r>
          </w:p>
        </w:tc>
        <w:tc>
          <w:tcPr>
            <w:tcW w:w="1134"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right"/>
              <w:rPr>
                <w:color w:val="000000"/>
                <w:sz w:val="20"/>
                <w:szCs w:val="22"/>
              </w:rPr>
            </w:pPr>
            <w:r w:rsidRPr="004761E0">
              <w:rPr>
                <w:color w:val="000000"/>
                <w:sz w:val="20"/>
                <w:szCs w:val="22"/>
              </w:rPr>
              <w:t>2 291</w:t>
            </w:r>
          </w:p>
        </w:tc>
        <w:tc>
          <w:tcPr>
            <w:tcW w:w="1134"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right"/>
              <w:rPr>
                <w:color w:val="000000"/>
                <w:sz w:val="20"/>
                <w:szCs w:val="22"/>
              </w:rPr>
            </w:pPr>
            <w:r w:rsidRPr="004761E0">
              <w:rPr>
                <w:color w:val="000000"/>
                <w:sz w:val="20"/>
                <w:szCs w:val="22"/>
              </w:rPr>
              <w:t>2 379</w:t>
            </w:r>
          </w:p>
        </w:tc>
        <w:tc>
          <w:tcPr>
            <w:tcW w:w="1134" w:type="dxa"/>
            <w:tcBorders>
              <w:top w:val="nil"/>
              <w:left w:val="nil"/>
              <w:bottom w:val="single" w:sz="4" w:space="0" w:color="auto"/>
              <w:right w:val="single" w:sz="4" w:space="0" w:color="auto"/>
            </w:tcBorders>
            <w:shd w:val="clear" w:color="auto" w:fill="auto"/>
            <w:vAlign w:val="center"/>
          </w:tcPr>
          <w:p w:rsidR="00196C95" w:rsidRPr="004761E0" w:rsidRDefault="00196C95" w:rsidP="00DB376A">
            <w:pPr>
              <w:ind w:firstLine="0"/>
              <w:jc w:val="right"/>
              <w:rPr>
                <w:color w:val="000000"/>
                <w:sz w:val="20"/>
                <w:szCs w:val="22"/>
              </w:rPr>
            </w:pPr>
            <w:r w:rsidRPr="004761E0">
              <w:rPr>
                <w:color w:val="000000"/>
                <w:sz w:val="20"/>
                <w:szCs w:val="22"/>
              </w:rPr>
              <w:t>3,81 %</w:t>
            </w:r>
          </w:p>
        </w:tc>
      </w:tr>
    </w:tbl>
    <w:p w:rsidR="00196C95" w:rsidRPr="004761E0" w:rsidRDefault="00196C95" w:rsidP="00196C95">
      <w:pPr>
        <w:ind w:firstLine="0"/>
        <w:jc w:val="left"/>
        <w:rPr>
          <w:lang w:eastAsia="ru-RU"/>
        </w:rPr>
      </w:pPr>
      <w:r w:rsidRPr="004761E0">
        <w:rPr>
          <w:noProof/>
          <w:lang w:eastAsia="ru-RU"/>
        </w:rPr>
        <w:drawing>
          <wp:inline distT="0" distB="0" distL="0" distR="0">
            <wp:extent cx="2781300" cy="2886075"/>
            <wp:effectExtent l="0" t="0" r="0" b="0"/>
            <wp:docPr id="83"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sidRPr="004761E0">
        <w:rPr>
          <w:lang w:eastAsia="ru-RU"/>
        </w:rPr>
        <w:t xml:space="preserve"> </w:t>
      </w:r>
      <w:r w:rsidRPr="004761E0">
        <w:rPr>
          <w:noProof/>
          <w:lang w:eastAsia="ru-RU"/>
        </w:rPr>
        <w:drawing>
          <wp:inline distT="0" distB="0" distL="0" distR="0">
            <wp:extent cx="3228975" cy="2886075"/>
            <wp:effectExtent l="0" t="0" r="9525" b="9525"/>
            <wp:docPr id="87"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196C95" w:rsidRPr="004761E0" w:rsidRDefault="00196C95" w:rsidP="00196C95">
      <w:pPr>
        <w:ind w:firstLine="567"/>
        <w:rPr>
          <w:rFonts w:eastAsia="Times New Roman"/>
          <w:color w:val="000000"/>
          <w:sz w:val="26"/>
          <w:szCs w:val="26"/>
          <w:lang w:eastAsia="ru-RU"/>
        </w:rPr>
      </w:pPr>
      <w:r w:rsidRPr="004761E0">
        <w:rPr>
          <w:rFonts w:eastAsia="Times New Roman"/>
          <w:color w:val="000000"/>
          <w:sz w:val="26"/>
          <w:szCs w:val="26"/>
          <w:lang w:eastAsia="ru-RU"/>
        </w:rPr>
        <w:t>Налоговая нагрузка Общества за 2013 год снизилась на 1,69 % до 13,03 млрд руб. По итогам года произошли следующие изменения:</w:t>
      </w:r>
    </w:p>
    <w:p w:rsidR="00196C95" w:rsidRPr="00AC5070" w:rsidRDefault="00AC5070" w:rsidP="007076A7">
      <w:pPr>
        <w:pStyle w:val="a5"/>
        <w:numPr>
          <w:ilvl w:val="0"/>
          <w:numId w:val="289"/>
        </w:numPr>
        <w:ind w:left="1134" w:hanging="567"/>
        <w:rPr>
          <w:rFonts w:eastAsia="Times New Roman"/>
          <w:color w:val="000000"/>
          <w:sz w:val="26"/>
          <w:szCs w:val="26"/>
          <w:lang w:eastAsia="ru-RU"/>
        </w:rPr>
      </w:pPr>
      <w:r w:rsidRPr="00AC5070">
        <w:rPr>
          <w:rFonts w:eastAsia="Times New Roman"/>
          <w:color w:val="000000"/>
          <w:sz w:val="26"/>
          <w:szCs w:val="26"/>
          <w:lang w:eastAsia="ru-RU"/>
        </w:rPr>
        <w:t>сумма налога на прибыль увеличилась на 16,69 % в связи с подачей уточненных налоговых деклараций по налогу на прибыль: в 2012 году за счет уточненных деклараций налог на прибыль уменьшен на 3,11 млрд руб., а в 2013 году – на 0,32 млрд руб.;</w:t>
      </w:r>
    </w:p>
    <w:p w:rsidR="00196C95" w:rsidRPr="004761E0" w:rsidRDefault="00196C95" w:rsidP="007076A7">
      <w:pPr>
        <w:pStyle w:val="a5"/>
        <w:numPr>
          <w:ilvl w:val="0"/>
          <w:numId w:val="289"/>
        </w:numPr>
        <w:ind w:left="1134" w:hanging="567"/>
        <w:rPr>
          <w:rFonts w:eastAsia="Times New Roman"/>
          <w:color w:val="000000"/>
          <w:sz w:val="26"/>
          <w:szCs w:val="26"/>
          <w:lang w:eastAsia="ru-RU"/>
        </w:rPr>
      </w:pPr>
      <w:r w:rsidRPr="004761E0">
        <w:rPr>
          <w:rFonts w:eastAsia="Times New Roman"/>
          <w:color w:val="000000"/>
          <w:sz w:val="26"/>
          <w:szCs w:val="26"/>
          <w:lang w:eastAsia="ru-RU"/>
        </w:rPr>
        <w:t>сумма НДС сократилась на 36,88 % из-за увеличения налоговых вычетов;</w:t>
      </w:r>
    </w:p>
    <w:p w:rsidR="00196C95" w:rsidRPr="004761E0" w:rsidRDefault="00196C95" w:rsidP="007076A7">
      <w:pPr>
        <w:pStyle w:val="a5"/>
        <w:numPr>
          <w:ilvl w:val="0"/>
          <w:numId w:val="289"/>
        </w:numPr>
        <w:ind w:left="1134" w:hanging="567"/>
        <w:rPr>
          <w:rFonts w:eastAsia="Times New Roman"/>
          <w:color w:val="000000"/>
          <w:sz w:val="26"/>
          <w:szCs w:val="26"/>
          <w:lang w:eastAsia="ru-RU"/>
        </w:rPr>
      </w:pPr>
      <w:r w:rsidRPr="004761E0">
        <w:rPr>
          <w:rFonts w:eastAsia="Times New Roman"/>
          <w:color w:val="000000"/>
          <w:sz w:val="26"/>
          <w:szCs w:val="26"/>
          <w:lang w:eastAsia="ru-RU"/>
        </w:rPr>
        <w:t>суммы налога на имущество увеличилась на 214,18 % в связи с отменой льготы по данному налогу с 01.01.2013</w:t>
      </w:r>
      <w:r w:rsidRPr="006F4AB8">
        <w:rPr>
          <w:rStyle w:val="af1"/>
        </w:rPr>
        <w:footnoteReference w:id="60"/>
      </w:r>
      <w:r w:rsidRPr="004761E0">
        <w:rPr>
          <w:rFonts w:eastAsia="Times New Roman"/>
          <w:color w:val="000000"/>
          <w:sz w:val="26"/>
          <w:szCs w:val="26"/>
          <w:lang w:eastAsia="ru-RU"/>
        </w:rPr>
        <w:t>, а также вводом основных средств при выполнении инвестиционной программы;</w:t>
      </w:r>
    </w:p>
    <w:p w:rsidR="00196C95" w:rsidRPr="004761E0" w:rsidRDefault="00196C95" w:rsidP="007076A7">
      <w:pPr>
        <w:pStyle w:val="a5"/>
        <w:numPr>
          <w:ilvl w:val="0"/>
          <w:numId w:val="289"/>
        </w:numPr>
        <w:ind w:left="1134" w:hanging="567"/>
        <w:rPr>
          <w:rFonts w:eastAsia="Times New Roman"/>
          <w:color w:val="000000"/>
          <w:sz w:val="26"/>
          <w:szCs w:val="26"/>
          <w:lang w:eastAsia="ru-RU"/>
        </w:rPr>
      </w:pPr>
      <w:r w:rsidRPr="004761E0">
        <w:rPr>
          <w:rFonts w:eastAsia="Times New Roman"/>
          <w:color w:val="000000"/>
          <w:sz w:val="26"/>
          <w:szCs w:val="26"/>
          <w:lang w:eastAsia="ru-RU"/>
        </w:rPr>
        <w:t xml:space="preserve">суммы налога на землю сократилась на 0,02 млрд руб. или на 7,17 % в связи с процессом оформления земельных участков в аренду (Подробнее – раздел Управление собственностью); </w:t>
      </w:r>
    </w:p>
    <w:p w:rsidR="00196C95" w:rsidRPr="004761E0" w:rsidRDefault="00196C95" w:rsidP="007076A7">
      <w:pPr>
        <w:pStyle w:val="a5"/>
        <w:numPr>
          <w:ilvl w:val="0"/>
          <w:numId w:val="289"/>
        </w:numPr>
        <w:ind w:left="1134" w:hanging="567"/>
        <w:rPr>
          <w:rFonts w:eastAsia="Times New Roman"/>
          <w:color w:val="000000"/>
          <w:sz w:val="26"/>
          <w:szCs w:val="26"/>
          <w:lang w:eastAsia="ru-RU"/>
        </w:rPr>
      </w:pPr>
      <w:r w:rsidRPr="004761E0">
        <w:rPr>
          <w:rFonts w:eastAsia="Times New Roman"/>
          <w:color w:val="000000"/>
          <w:sz w:val="26"/>
          <w:szCs w:val="26"/>
          <w:lang w:eastAsia="ru-RU"/>
        </w:rPr>
        <w:t>сумма транспортного налога увеличилась на 15,76 % из-за роста ставок транспортного налога</w:t>
      </w:r>
      <w:r w:rsidRPr="006F4AB8">
        <w:rPr>
          <w:rStyle w:val="af1"/>
        </w:rPr>
        <w:footnoteReference w:id="61"/>
      </w:r>
      <w:r w:rsidRPr="004761E0">
        <w:rPr>
          <w:rFonts w:eastAsia="Times New Roman"/>
          <w:color w:val="000000"/>
          <w:sz w:val="26"/>
          <w:szCs w:val="26"/>
          <w:lang w:eastAsia="ru-RU"/>
        </w:rPr>
        <w:t>, а также закупки нового транспорта;</w:t>
      </w:r>
    </w:p>
    <w:p w:rsidR="00196C95" w:rsidRPr="004761E0" w:rsidRDefault="00196C95" w:rsidP="007076A7">
      <w:pPr>
        <w:pStyle w:val="a5"/>
        <w:numPr>
          <w:ilvl w:val="0"/>
          <w:numId w:val="289"/>
        </w:numPr>
        <w:ind w:left="1134" w:hanging="567"/>
        <w:rPr>
          <w:rFonts w:eastAsia="Times New Roman"/>
          <w:color w:val="000000"/>
          <w:sz w:val="26"/>
          <w:szCs w:val="26"/>
          <w:lang w:eastAsia="ru-RU"/>
        </w:rPr>
      </w:pPr>
      <w:r w:rsidRPr="004761E0">
        <w:rPr>
          <w:rFonts w:eastAsia="Times New Roman"/>
          <w:color w:val="000000"/>
          <w:sz w:val="26"/>
          <w:szCs w:val="26"/>
          <w:lang w:eastAsia="ru-RU"/>
        </w:rPr>
        <w:t>сумма НДФЛ увеличилась на 9,00 % в связи с ростом оплаты труда.</w:t>
      </w:r>
    </w:p>
    <w:p w:rsidR="00196C95" w:rsidRPr="004761E0" w:rsidRDefault="00196C95" w:rsidP="00196C95">
      <w:pPr>
        <w:ind w:firstLine="567"/>
        <w:rPr>
          <w:rFonts w:eastAsia="Times New Roman"/>
          <w:color w:val="000000"/>
          <w:sz w:val="26"/>
          <w:szCs w:val="26"/>
          <w:lang w:eastAsia="ru-RU"/>
        </w:rPr>
      </w:pPr>
      <w:r w:rsidRPr="004761E0">
        <w:rPr>
          <w:rFonts w:eastAsia="Times New Roman"/>
          <w:color w:val="000000"/>
          <w:sz w:val="26"/>
          <w:szCs w:val="26"/>
          <w:lang w:eastAsia="ru-RU"/>
        </w:rPr>
        <w:t xml:space="preserve">Сумма страховых взносов в 2013 году выросла на 0,09 млрд руб. или на 3,81 % из-за повышения оплаты труда и </w:t>
      </w:r>
      <w:r w:rsidR="009B5AE4">
        <w:rPr>
          <w:rFonts w:eastAsia="Times New Roman"/>
          <w:color w:val="000000"/>
          <w:sz w:val="26"/>
          <w:szCs w:val="26"/>
          <w:lang w:eastAsia="ru-RU"/>
        </w:rPr>
        <w:t>введения дополнительных тарифов.</w:t>
      </w:r>
    </w:p>
    <w:p w:rsidR="003429ED" w:rsidRPr="008C0C74" w:rsidRDefault="003429ED" w:rsidP="008C0C74">
      <w:pPr>
        <w:spacing w:before="120" w:after="120"/>
        <w:ind w:firstLine="567"/>
        <w:jc w:val="left"/>
        <w:rPr>
          <w:b/>
          <w:sz w:val="26"/>
          <w:szCs w:val="26"/>
          <w:lang w:eastAsia="ru-RU"/>
        </w:rPr>
      </w:pPr>
      <w:r w:rsidRPr="008C0C74">
        <w:rPr>
          <w:b/>
          <w:sz w:val="26"/>
          <w:szCs w:val="26"/>
          <w:lang w:eastAsia="ru-RU"/>
        </w:rPr>
        <w:t>Чистая прибыль</w:t>
      </w:r>
    </w:p>
    <w:p w:rsidR="003429ED" w:rsidRPr="004761E0" w:rsidRDefault="003429ED" w:rsidP="003429ED">
      <w:pPr>
        <w:shd w:val="clear" w:color="auto" w:fill="FFFFFF"/>
        <w:ind w:firstLine="567"/>
        <w:rPr>
          <w:rFonts w:eastAsia="Times New Roman"/>
          <w:sz w:val="26"/>
          <w:szCs w:val="26"/>
          <w:lang w:eastAsia="ru-RU"/>
        </w:rPr>
      </w:pPr>
      <w:r w:rsidRPr="004761E0">
        <w:rPr>
          <w:rFonts w:eastAsia="Times New Roman"/>
          <w:sz w:val="26"/>
          <w:szCs w:val="26"/>
          <w:lang w:eastAsia="ru-RU"/>
        </w:rPr>
        <w:t xml:space="preserve">Чистая прибыль за 2013 год составила 11,64 млрд руб., что на 32,26 % ниже показателя 2012 года. Снижение чистой прибыли в отчетном году связано с ростом </w:t>
      </w:r>
      <w:r w:rsidRPr="004761E0">
        <w:rPr>
          <w:sz w:val="26"/>
          <w:szCs w:val="26"/>
        </w:rPr>
        <w:t>условно неподконтрольных затрат</w:t>
      </w:r>
      <w:r w:rsidRPr="004761E0">
        <w:rPr>
          <w:rFonts w:eastAsia="Times New Roman"/>
          <w:sz w:val="26"/>
          <w:szCs w:val="26"/>
          <w:lang w:eastAsia="ru-RU"/>
        </w:rPr>
        <w:t xml:space="preserve"> по услугам</w:t>
      </w:r>
      <w:r w:rsidRPr="004761E0">
        <w:rPr>
          <w:sz w:val="26"/>
          <w:szCs w:val="26"/>
        </w:rPr>
        <w:t xml:space="preserve"> </w:t>
      </w:r>
      <w:r w:rsidR="0008080E">
        <w:rPr>
          <w:sz w:val="26"/>
          <w:szCs w:val="26"/>
        </w:rPr>
        <w:t>ОАО </w:t>
      </w:r>
      <w:r w:rsidRPr="004761E0">
        <w:rPr>
          <w:sz w:val="26"/>
          <w:szCs w:val="26"/>
        </w:rPr>
        <w:t xml:space="preserve">«ФСК ЕЭС», распределительных </w:t>
      </w:r>
      <w:r w:rsidRPr="004761E0">
        <w:rPr>
          <w:sz w:val="26"/>
          <w:szCs w:val="26"/>
        </w:rPr>
        <w:lastRenderedPageBreak/>
        <w:t>сетевых компаний (</w:t>
      </w:r>
      <w:r w:rsidR="005B1BFF">
        <w:rPr>
          <w:sz w:val="26"/>
          <w:szCs w:val="26"/>
        </w:rPr>
        <w:t>ТСО</w:t>
      </w:r>
      <w:r w:rsidRPr="004761E0">
        <w:rPr>
          <w:sz w:val="26"/>
          <w:szCs w:val="26"/>
        </w:rPr>
        <w:t xml:space="preserve">) </w:t>
      </w:r>
      <w:r w:rsidRPr="004761E0">
        <w:rPr>
          <w:rFonts w:eastAsia="Times New Roman"/>
          <w:sz w:val="26"/>
          <w:szCs w:val="26"/>
          <w:lang w:eastAsia="ru-RU"/>
        </w:rPr>
        <w:t xml:space="preserve">и </w:t>
      </w:r>
      <w:r w:rsidR="005B1BFF">
        <w:rPr>
          <w:rFonts w:eastAsia="Times New Roman"/>
          <w:sz w:val="26"/>
          <w:szCs w:val="26"/>
          <w:lang w:eastAsia="ru-RU"/>
        </w:rPr>
        <w:t xml:space="preserve">начислением </w:t>
      </w:r>
      <w:r w:rsidRPr="004761E0">
        <w:rPr>
          <w:rFonts w:eastAsia="Times New Roman"/>
          <w:sz w:val="26"/>
          <w:szCs w:val="26"/>
          <w:lang w:eastAsia="ru-RU"/>
        </w:rPr>
        <w:t>резерва на обесценени</w:t>
      </w:r>
      <w:r w:rsidR="005B1BFF">
        <w:rPr>
          <w:rFonts w:eastAsia="Times New Roman"/>
          <w:sz w:val="26"/>
          <w:szCs w:val="26"/>
          <w:lang w:eastAsia="ru-RU"/>
        </w:rPr>
        <w:t>е</w:t>
      </w:r>
      <w:r w:rsidRPr="004761E0">
        <w:rPr>
          <w:rFonts w:eastAsia="Times New Roman"/>
          <w:sz w:val="26"/>
          <w:szCs w:val="26"/>
          <w:lang w:eastAsia="ru-RU"/>
        </w:rPr>
        <w:t xml:space="preserve"> дебиторской задолженности </w:t>
      </w:r>
      <w:r w:rsidR="0008080E">
        <w:rPr>
          <w:sz w:val="26"/>
          <w:szCs w:val="26"/>
        </w:rPr>
        <w:t>ОАО </w:t>
      </w:r>
      <w:r w:rsidRPr="004761E0">
        <w:rPr>
          <w:sz w:val="26"/>
          <w:szCs w:val="26"/>
        </w:rPr>
        <w:t xml:space="preserve">«Энергокомплекс» </w:t>
      </w:r>
      <w:r w:rsidR="005B1BFF">
        <w:rPr>
          <w:sz w:val="26"/>
          <w:szCs w:val="26"/>
        </w:rPr>
        <w:t>на сумму 8,</w:t>
      </w:r>
      <w:r w:rsidR="007C2AD9">
        <w:rPr>
          <w:sz w:val="26"/>
          <w:szCs w:val="26"/>
        </w:rPr>
        <w:t>46</w:t>
      </w:r>
      <w:r w:rsidR="005B1BFF">
        <w:rPr>
          <w:sz w:val="26"/>
          <w:szCs w:val="26"/>
        </w:rPr>
        <w:t xml:space="preserve"> млрд руб. </w:t>
      </w:r>
      <w:r w:rsidRPr="004761E0">
        <w:rPr>
          <w:sz w:val="26"/>
          <w:szCs w:val="26"/>
        </w:rPr>
        <w:t>(имеет неденежный характер).</w:t>
      </w:r>
    </w:p>
    <w:p w:rsidR="003429ED" w:rsidRPr="004761E0" w:rsidRDefault="003429ED" w:rsidP="003429ED">
      <w:pPr>
        <w:spacing w:before="120" w:after="120"/>
        <w:ind w:firstLine="0"/>
        <w:rPr>
          <w:rFonts w:eastAsia="Times New Roman"/>
          <w:b/>
          <w:iCs/>
          <w:sz w:val="26"/>
          <w:szCs w:val="26"/>
          <w:lang w:eastAsia="ru-RU"/>
        </w:rPr>
      </w:pPr>
      <w:r w:rsidRPr="004761E0">
        <w:rPr>
          <w:rFonts w:eastAsia="Times New Roman"/>
          <w:b/>
          <w:iCs/>
          <w:noProof/>
          <w:sz w:val="26"/>
          <w:szCs w:val="26"/>
          <w:lang w:eastAsia="ru-RU"/>
        </w:rPr>
        <w:drawing>
          <wp:inline distT="0" distB="0" distL="0" distR="0">
            <wp:extent cx="2668772" cy="3083442"/>
            <wp:effectExtent l="19050" t="0" r="17278" b="2658"/>
            <wp:docPr id="107"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r w:rsidRPr="004761E0">
        <w:rPr>
          <w:rFonts w:eastAsia="Times New Roman"/>
          <w:b/>
          <w:iCs/>
          <w:sz w:val="26"/>
          <w:szCs w:val="26"/>
          <w:lang w:eastAsia="ru-RU"/>
        </w:rPr>
        <w:t xml:space="preserve"> </w:t>
      </w:r>
      <w:r w:rsidRPr="004761E0">
        <w:rPr>
          <w:rFonts w:eastAsia="Times New Roman"/>
          <w:b/>
          <w:iCs/>
          <w:noProof/>
          <w:sz w:val="26"/>
          <w:szCs w:val="26"/>
          <w:lang w:eastAsia="ru-RU"/>
        </w:rPr>
        <w:drawing>
          <wp:inline distT="0" distB="0" distL="0" distR="0">
            <wp:extent cx="3349256" cy="3094074"/>
            <wp:effectExtent l="0" t="0" r="22860" b="11430"/>
            <wp:docPr id="108"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3429ED" w:rsidRPr="008C0C74" w:rsidRDefault="003429ED" w:rsidP="008C0C74">
      <w:pPr>
        <w:spacing w:before="120" w:after="120"/>
        <w:ind w:firstLine="567"/>
        <w:jc w:val="left"/>
        <w:rPr>
          <w:b/>
          <w:sz w:val="26"/>
          <w:szCs w:val="26"/>
          <w:lang w:eastAsia="ru-RU"/>
        </w:rPr>
      </w:pPr>
      <w:r w:rsidRPr="008C0C74">
        <w:rPr>
          <w:b/>
          <w:sz w:val="26"/>
          <w:szCs w:val="26"/>
          <w:lang w:eastAsia="ru-RU"/>
        </w:rPr>
        <w:t>Распределение чистой прибыли в соответствии с решениями годового Общего собрания акционеров</w:t>
      </w:r>
    </w:p>
    <w:tbl>
      <w:tblPr>
        <w:tblW w:w="9794" w:type="dxa"/>
        <w:tblInd w:w="95" w:type="dxa"/>
        <w:tblLook w:val="04A0"/>
      </w:tblPr>
      <w:tblGrid>
        <w:gridCol w:w="722"/>
        <w:gridCol w:w="4020"/>
        <w:gridCol w:w="1691"/>
        <w:gridCol w:w="1691"/>
        <w:gridCol w:w="1670"/>
      </w:tblGrid>
      <w:tr w:rsidR="004245B5" w:rsidRPr="004761E0" w:rsidTr="004245B5">
        <w:trPr>
          <w:trHeight w:val="70"/>
        </w:trPr>
        <w:tc>
          <w:tcPr>
            <w:tcW w:w="722" w:type="dxa"/>
            <w:vMerge w:val="restart"/>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4245B5" w:rsidRPr="004761E0" w:rsidRDefault="004245B5" w:rsidP="003429ED">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4020" w:type="dxa"/>
            <w:vMerge w:val="restart"/>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245B5" w:rsidRPr="004761E0" w:rsidRDefault="004245B5" w:rsidP="003429ED">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691"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245B5" w:rsidRPr="004761E0" w:rsidRDefault="004245B5" w:rsidP="004245B5">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Решение ГОСА 2</w:t>
            </w:r>
            <w:r>
              <w:rPr>
                <w:rFonts w:eastAsia="Times New Roman"/>
                <w:b/>
                <w:color w:val="FFFFFF" w:themeColor="background1"/>
                <w:sz w:val="20"/>
                <w:szCs w:val="20"/>
                <w:lang w:eastAsia="ru-RU"/>
              </w:rPr>
              <w:t>0</w:t>
            </w:r>
            <w:r w:rsidRPr="004761E0">
              <w:rPr>
                <w:rFonts w:eastAsia="Times New Roman"/>
                <w:b/>
                <w:color w:val="FFFFFF" w:themeColor="background1"/>
                <w:sz w:val="20"/>
                <w:szCs w:val="20"/>
                <w:lang w:eastAsia="ru-RU"/>
              </w:rPr>
              <w:t>.06.201</w:t>
            </w:r>
            <w:r>
              <w:rPr>
                <w:rFonts w:eastAsia="Times New Roman"/>
                <w:b/>
                <w:color w:val="FFFFFF" w:themeColor="background1"/>
                <w:sz w:val="20"/>
                <w:szCs w:val="20"/>
                <w:lang w:eastAsia="ru-RU"/>
              </w:rPr>
              <w:t>1</w:t>
            </w:r>
          </w:p>
        </w:tc>
        <w:tc>
          <w:tcPr>
            <w:tcW w:w="1691"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245B5" w:rsidRPr="004761E0" w:rsidRDefault="004245B5" w:rsidP="004245B5">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Решение ГОСА 25.06.2012</w:t>
            </w:r>
          </w:p>
        </w:tc>
        <w:tc>
          <w:tcPr>
            <w:tcW w:w="1670"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245B5" w:rsidRDefault="004245B5" w:rsidP="004245B5">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Решение</w:t>
            </w:r>
            <w:r>
              <w:rPr>
                <w:rFonts w:eastAsia="Times New Roman"/>
                <w:b/>
                <w:color w:val="FFFFFF" w:themeColor="background1"/>
                <w:sz w:val="20"/>
                <w:szCs w:val="20"/>
                <w:lang w:eastAsia="ru-RU"/>
              </w:rPr>
              <w:t xml:space="preserve"> </w:t>
            </w:r>
            <w:r w:rsidRPr="004761E0">
              <w:rPr>
                <w:rFonts w:eastAsia="Times New Roman"/>
                <w:b/>
                <w:color w:val="FFFFFF" w:themeColor="background1"/>
                <w:sz w:val="20"/>
                <w:szCs w:val="20"/>
                <w:lang w:eastAsia="ru-RU"/>
              </w:rPr>
              <w:t xml:space="preserve">ГОСА </w:t>
            </w:r>
          </w:p>
          <w:p w:rsidR="004245B5" w:rsidRPr="004761E0" w:rsidRDefault="004245B5" w:rsidP="004245B5">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26.06.2013</w:t>
            </w:r>
          </w:p>
        </w:tc>
      </w:tr>
      <w:tr w:rsidR="00FB17D6" w:rsidRPr="004761E0" w:rsidTr="004245B5">
        <w:trPr>
          <w:trHeight w:val="360"/>
        </w:trPr>
        <w:tc>
          <w:tcPr>
            <w:tcW w:w="722" w:type="dxa"/>
            <w:vMerge/>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tcPr>
          <w:p w:rsidR="00FB17D6" w:rsidRPr="004761E0" w:rsidRDefault="00FB17D6" w:rsidP="003429ED">
            <w:pPr>
              <w:ind w:firstLine="0"/>
              <w:jc w:val="left"/>
              <w:rPr>
                <w:rFonts w:eastAsia="Times New Roman"/>
                <w:b/>
                <w:color w:val="FFFFFF" w:themeColor="background1"/>
                <w:sz w:val="20"/>
                <w:szCs w:val="20"/>
                <w:lang w:eastAsia="ru-RU"/>
              </w:rPr>
            </w:pPr>
          </w:p>
        </w:tc>
        <w:tc>
          <w:tcPr>
            <w:tcW w:w="4020" w:type="dxa"/>
            <w:vMerge/>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FB17D6" w:rsidRPr="004761E0" w:rsidRDefault="00FB17D6" w:rsidP="003429ED">
            <w:pPr>
              <w:ind w:firstLine="0"/>
              <w:jc w:val="left"/>
              <w:rPr>
                <w:rFonts w:eastAsia="Times New Roman"/>
                <w:b/>
                <w:color w:val="FFFFFF" w:themeColor="background1"/>
                <w:sz w:val="20"/>
                <w:szCs w:val="20"/>
                <w:lang w:eastAsia="ru-RU"/>
              </w:rPr>
            </w:pPr>
          </w:p>
        </w:tc>
        <w:tc>
          <w:tcPr>
            <w:tcW w:w="169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tcPr>
          <w:p w:rsidR="00FB17D6" w:rsidRDefault="00FB17D6" w:rsidP="003429ED">
            <w:pPr>
              <w:ind w:firstLine="0"/>
              <w:jc w:val="right"/>
              <w:rPr>
                <w:rFonts w:eastAsia="Times New Roman"/>
                <w:b/>
                <w:sz w:val="20"/>
                <w:szCs w:val="20"/>
                <w:lang w:eastAsia="ru-RU"/>
              </w:rPr>
            </w:pPr>
            <w:r>
              <w:rPr>
                <w:rFonts w:eastAsia="Times New Roman"/>
                <w:b/>
                <w:sz w:val="20"/>
                <w:szCs w:val="20"/>
                <w:lang w:eastAsia="ru-RU"/>
              </w:rPr>
              <w:t xml:space="preserve">по итогам </w:t>
            </w:r>
          </w:p>
          <w:p w:rsidR="00FB17D6" w:rsidRPr="004761E0" w:rsidRDefault="00FB17D6" w:rsidP="003429ED">
            <w:pPr>
              <w:ind w:firstLine="0"/>
              <w:jc w:val="right"/>
              <w:rPr>
                <w:rFonts w:eastAsia="Times New Roman"/>
                <w:b/>
                <w:sz w:val="20"/>
                <w:szCs w:val="20"/>
                <w:lang w:eastAsia="ru-RU"/>
              </w:rPr>
            </w:pPr>
            <w:r>
              <w:rPr>
                <w:rFonts w:eastAsia="Times New Roman"/>
                <w:b/>
                <w:sz w:val="20"/>
                <w:szCs w:val="20"/>
                <w:lang w:eastAsia="ru-RU"/>
              </w:rPr>
              <w:t>2010 г.</w:t>
            </w:r>
          </w:p>
        </w:tc>
        <w:tc>
          <w:tcPr>
            <w:tcW w:w="169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FB17D6" w:rsidRPr="004761E0" w:rsidRDefault="00FB17D6" w:rsidP="003429ED">
            <w:pPr>
              <w:ind w:firstLine="0"/>
              <w:jc w:val="right"/>
              <w:rPr>
                <w:rFonts w:eastAsia="Times New Roman"/>
                <w:b/>
                <w:sz w:val="20"/>
                <w:szCs w:val="20"/>
                <w:lang w:eastAsia="ru-RU"/>
              </w:rPr>
            </w:pPr>
            <w:r w:rsidRPr="004761E0">
              <w:rPr>
                <w:rFonts w:eastAsia="Times New Roman"/>
                <w:b/>
                <w:sz w:val="20"/>
                <w:szCs w:val="20"/>
                <w:lang w:eastAsia="ru-RU"/>
              </w:rPr>
              <w:t xml:space="preserve">по итогам </w:t>
            </w:r>
          </w:p>
          <w:p w:rsidR="00FB17D6" w:rsidRPr="004761E0" w:rsidRDefault="00FB17D6" w:rsidP="003429ED">
            <w:pPr>
              <w:ind w:firstLine="0"/>
              <w:jc w:val="right"/>
              <w:rPr>
                <w:rFonts w:eastAsia="Times New Roman"/>
                <w:b/>
                <w:sz w:val="20"/>
                <w:szCs w:val="20"/>
                <w:lang w:eastAsia="ru-RU"/>
              </w:rPr>
            </w:pPr>
            <w:r w:rsidRPr="004761E0">
              <w:rPr>
                <w:rFonts w:eastAsia="Times New Roman"/>
                <w:b/>
                <w:sz w:val="20"/>
                <w:szCs w:val="20"/>
                <w:lang w:eastAsia="ru-RU"/>
              </w:rPr>
              <w:t>2011 г.</w:t>
            </w:r>
          </w:p>
        </w:tc>
        <w:tc>
          <w:tcPr>
            <w:tcW w:w="167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FB17D6" w:rsidRPr="004761E0" w:rsidRDefault="00FB17D6" w:rsidP="003429ED">
            <w:pPr>
              <w:ind w:firstLine="0"/>
              <w:jc w:val="right"/>
              <w:rPr>
                <w:rFonts w:eastAsia="Times New Roman"/>
                <w:b/>
                <w:sz w:val="20"/>
                <w:szCs w:val="20"/>
                <w:lang w:eastAsia="ru-RU"/>
              </w:rPr>
            </w:pPr>
            <w:r w:rsidRPr="004761E0">
              <w:rPr>
                <w:rFonts w:eastAsia="Times New Roman"/>
                <w:b/>
                <w:sz w:val="20"/>
                <w:szCs w:val="20"/>
                <w:lang w:eastAsia="ru-RU"/>
              </w:rPr>
              <w:t xml:space="preserve">по итогам </w:t>
            </w:r>
          </w:p>
          <w:p w:rsidR="00FB17D6" w:rsidRPr="004761E0" w:rsidRDefault="00FB17D6" w:rsidP="003429ED">
            <w:pPr>
              <w:ind w:firstLine="0"/>
              <w:jc w:val="right"/>
              <w:rPr>
                <w:rFonts w:eastAsia="Times New Roman"/>
                <w:b/>
                <w:sz w:val="20"/>
                <w:szCs w:val="20"/>
                <w:lang w:eastAsia="ru-RU"/>
              </w:rPr>
            </w:pPr>
            <w:r w:rsidRPr="004761E0">
              <w:rPr>
                <w:rFonts w:eastAsia="Times New Roman"/>
                <w:b/>
                <w:sz w:val="20"/>
                <w:szCs w:val="20"/>
                <w:lang w:eastAsia="ru-RU"/>
              </w:rPr>
              <w:t>2012 г.</w:t>
            </w:r>
          </w:p>
        </w:tc>
      </w:tr>
      <w:tr w:rsidR="00FB17D6" w:rsidRPr="004761E0" w:rsidTr="004245B5">
        <w:trPr>
          <w:trHeight w:val="30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FB17D6" w:rsidRPr="004761E0" w:rsidRDefault="00FB17D6" w:rsidP="007076A7">
            <w:pPr>
              <w:numPr>
                <w:ilvl w:val="0"/>
                <w:numId w:val="201"/>
              </w:numPr>
              <w:jc w:val="left"/>
              <w:rPr>
                <w:rFonts w:eastAsia="Times New Roman"/>
                <w:b/>
                <w:color w:val="000000"/>
                <w:sz w:val="20"/>
                <w:szCs w:val="20"/>
                <w:lang w:eastAsia="ru-RU"/>
              </w:rPr>
            </w:pPr>
          </w:p>
        </w:tc>
        <w:tc>
          <w:tcPr>
            <w:tcW w:w="4020" w:type="dxa"/>
            <w:tcBorders>
              <w:top w:val="nil"/>
              <w:left w:val="nil"/>
              <w:bottom w:val="single" w:sz="4" w:space="0" w:color="auto"/>
              <w:right w:val="single" w:sz="4" w:space="0" w:color="auto"/>
            </w:tcBorders>
            <w:shd w:val="clear" w:color="auto" w:fill="auto"/>
            <w:vAlign w:val="center"/>
          </w:tcPr>
          <w:p w:rsidR="00FB17D6" w:rsidRPr="004761E0" w:rsidRDefault="00FB17D6" w:rsidP="003429ED">
            <w:pPr>
              <w:ind w:firstLine="0"/>
              <w:jc w:val="left"/>
              <w:rPr>
                <w:rFonts w:eastAsia="Times New Roman"/>
                <w:b/>
                <w:sz w:val="20"/>
                <w:szCs w:val="20"/>
                <w:lang w:eastAsia="ru-RU"/>
              </w:rPr>
            </w:pPr>
            <w:r w:rsidRPr="004761E0">
              <w:rPr>
                <w:rFonts w:eastAsia="Times New Roman"/>
                <w:b/>
                <w:sz w:val="20"/>
                <w:szCs w:val="20"/>
                <w:lang w:eastAsia="ru-RU"/>
              </w:rPr>
              <w:t>Чистая прибыль, млн руб. без НДС (всего), в т.ч.:</w:t>
            </w:r>
          </w:p>
        </w:tc>
        <w:tc>
          <w:tcPr>
            <w:tcW w:w="1691" w:type="dxa"/>
            <w:tcBorders>
              <w:top w:val="single" w:sz="4" w:space="0" w:color="auto"/>
              <w:left w:val="nil"/>
              <w:bottom w:val="single" w:sz="4" w:space="0" w:color="auto"/>
              <w:right w:val="single" w:sz="4" w:space="0" w:color="auto"/>
            </w:tcBorders>
            <w:vAlign w:val="center"/>
          </w:tcPr>
          <w:p w:rsidR="00FB17D6" w:rsidRPr="004761E0" w:rsidRDefault="008A49DC" w:rsidP="00FB17D6">
            <w:pPr>
              <w:ind w:firstLine="0"/>
              <w:jc w:val="right"/>
              <w:rPr>
                <w:rFonts w:eastAsia="Times New Roman"/>
                <w:b/>
                <w:sz w:val="20"/>
                <w:szCs w:val="20"/>
                <w:lang w:eastAsia="ru-RU"/>
              </w:rPr>
            </w:pPr>
            <w:r>
              <w:rPr>
                <w:rFonts w:eastAsia="Times New Roman"/>
                <w:b/>
                <w:sz w:val="20"/>
                <w:szCs w:val="20"/>
                <w:lang w:eastAsia="ru-RU"/>
              </w:rPr>
              <w:t>15 622</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FB17D6" w:rsidRPr="004761E0" w:rsidRDefault="00FB17D6" w:rsidP="003429ED">
            <w:pPr>
              <w:ind w:firstLine="0"/>
              <w:jc w:val="right"/>
              <w:rPr>
                <w:rFonts w:eastAsia="Times New Roman"/>
                <w:b/>
                <w:sz w:val="20"/>
                <w:szCs w:val="20"/>
                <w:lang w:eastAsia="ru-RU"/>
              </w:rPr>
            </w:pPr>
            <w:r w:rsidRPr="004761E0">
              <w:rPr>
                <w:rFonts w:eastAsia="Times New Roman"/>
                <w:b/>
                <w:sz w:val="20"/>
                <w:szCs w:val="20"/>
                <w:lang w:eastAsia="ru-RU"/>
              </w:rPr>
              <w:t>17 053</w:t>
            </w:r>
          </w:p>
        </w:tc>
        <w:tc>
          <w:tcPr>
            <w:tcW w:w="1670" w:type="dxa"/>
            <w:tcBorders>
              <w:top w:val="nil"/>
              <w:left w:val="nil"/>
              <w:bottom w:val="single" w:sz="4" w:space="0" w:color="auto"/>
              <w:right w:val="single" w:sz="4" w:space="0" w:color="auto"/>
            </w:tcBorders>
            <w:shd w:val="clear" w:color="auto" w:fill="auto"/>
            <w:vAlign w:val="center"/>
          </w:tcPr>
          <w:p w:rsidR="00FB17D6" w:rsidRPr="004761E0" w:rsidRDefault="00FB17D6" w:rsidP="003429ED">
            <w:pPr>
              <w:ind w:firstLine="0"/>
              <w:jc w:val="right"/>
              <w:rPr>
                <w:rFonts w:eastAsia="Times New Roman"/>
                <w:b/>
                <w:sz w:val="20"/>
                <w:szCs w:val="20"/>
                <w:lang w:eastAsia="ru-RU"/>
              </w:rPr>
            </w:pPr>
            <w:r w:rsidRPr="004761E0">
              <w:rPr>
                <w:rFonts w:eastAsia="Times New Roman"/>
                <w:b/>
                <w:sz w:val="20"/>
                <w:szCs w:val="20"/>
                <w:lang w:eastAsia="ru-RU"/>
              </w:rPr>
              <w:t>17 184</w:t>
            </w:r>
          </w:p>
        </w:tc>
      </w:tr>
      <w:tr w:rsidR="00FB17D6" w:rsidRPr="004761E0" w:rsidTr="004245B5">
        <w:trPr>
          <w:trHeight w:val="30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FB17D6" w:rsidRPr="004761E0" w:rsidRDefault="00FB17D6" w:rsidP="007076A7">
            <w:pPr>
              <w:pStyle w:val="a5"/>
              <w:numPr>
                <w:ilvl w:val="1"/>
                <w:numId w:val="201"/>
              </w:numPr>
              <w:jc w:val="left"/>
              <w:rPr>
                <w:rFonts w:eastAsia="Times New Roman"/>
                <w:color w:val="000000"/>
                <w:sz w:val="20"/>
                <w:szCs w:val="20"/>
                <w:lang w:eastAsia="ru-RU"/>
              </w:rPr>
            </w:pPr>
          </w:p>
        </w:tc>
        <w:tc>
          <w:tcPr>
            <w:tcW w:w="4020" w:type="dxa"/>
            <w:tcBorders>
              <w:top w:val="nil"/>
              <w:left w:val="nil"/>
              <w:bottom w:val="single" w:sz="4" w:space="0" w:color="auto"/>
              <w:right w:val="single" w:sz="4" w:space="0" w:color="auto"/>
            </w:tcBorders>
            <w:shd w:val="clear" w:color="auto" w:fill="auto"/>
            <w:vAlign w:val="center"/>
          </w:tcPr>
          <w:p w:rsidR="00FB17D6" w:rsidRPr="004761E0" w:rsidRDefault="00FB17D6" w:rsidP="003429ED">
            <w:pPr>
              <w:ind w:firstLineChars="200" w:firstLine="400"/>
              <w:jc w:val="left"/>
              <w:rPr>
                <w:rFonts w:eastAsia="Times New Roman"/>
                <w:sz w:val="20"/>
                <w:szCs w:val="20"/>
                <w:lang w:eastAsia="ru-RU"/>
              </w:rPr>
            </w:pPr>
            <w:r w:rsidRPr="004761E0">
              <w:rPr>
                <w:rFonts w:eastAsia="Times New Roman"/>
                <w:sz w:val="20"/>
                <w:szCs w:val="20"/>
                <w:lang w:eastAsia="ru-RU"/>
              </w:rPr>
              <w:t xml:space="preserve">резервный фонд </w:t>
            </w:r>
          </w:p>
        </w:tc>
        <w:tc>
          <w:tcPr>
            <w:tcW w:w="1691" w:type="dxa"/>
            <w:tcBorders>
              <w:top w:val="single" w:sz="4" w:space="0" w:color="auto"/>
              <w:left w:val="nil"/>
              <w:bottom w:val="single" w:sz="4" w:space="0" w:color="auto"/>
              <w:right w:val="single" w:sz="4" w:space="0" w:color="auto"/>
            </w:tcBorders>
            <w:vAlign w:val="center"/>
          </w:tcPr>
          <w:p w:rsidR="00FB17D6" w:rsidRPr="004761E0" w:rsidRDefault="008A49DC" w:rsidP="00FB17D6">
            <w:pPr>
              <w:ind w:firstLine="0"/>
              <w:jc w:val="right"/>
              <w:rPr>
                <w:rFonts w:eastAsia="Times New Roman"/>
                <w:sz w:val="20"/>
                <w:szCs w:val="20"/>
                <w:lang w:eastAsia="ru-RU"/>
              </w:rPr>
            </w:pPr>
            <w:r>
              <w:rPr>
                <w:rFonts w:eastAsia="Times New Roman"/>
                <w:sz w:val="20"/>
                <w:szCs w:val="20"/>
                <w:lang w:eastAsia="ru-RU"/>
              </w:rPr>
              <w:t>91</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FB17D6" w:rsidRPr="004761E0" w:rsidRDefault="00FB17D6" w:rsidP="003429ED">
            <w:pPr>
              <w:ind w:firstLine="0"/>
              <w:jc w:val="right"/>
              <w:rPr>
                <w:rFonts w:eastAsia="Times New Roman"/>
                <w:sz w:val="20"/>
                <w:szCs w:val="20"/>
                <w:lang w:eastAsia="ru-RU"/>
              </w:rPr>
            </w:pPr>
            <w:r w:rsidRPr="004761E0">
              <w:rPr>
                <w:rFonts w:eastAsia="Times New Roman"/>
                <w:sz w:val="20"/>
                <w:szCs w:val="20"/>
                <w:lang w:eastAsia="ru-RU"/>
              </w:rPr>
              <w:t>0</w:t>
            </w:r>
          </w:p>
        </w:tc>
        <w:tc>
          <w:tcPr>
            <w:tcW w:w="1670" w:type="dxa"/>
            <w:tcBorders>
              <w:top w:val="nil"/>
              <w:left w:val="nil"/>
              <w:bottom w:val="single" w:sz="4" w:space="0" w:color="auto"/>
              <w:right w:val="single" w:sz="4" w:space="0" w:color="auto"/>
            </w:tcBorders>
            <w:shd w:val="clear" w:color="auto" w:fill="auto"/>
            <w:vAlign w:val="center"/>
          </w:tcPr>
          <w:p w:rsidR="00FB17D6" w:rsidRPr="004761E0" w:rsidRDefault="00FB17D6" w:rsidP="003429ED">
            <w:pPr>
              <w:ind w:firstLine="0"/>
              <w:jc w:val="right"/>
              <w:rPr>
                <w:rFonts w:eastAsia="Times New Roman"/>
                <w:sz w:val="20"/>
                <w:szCs w:val="20"/>
                <w:lang w:eastAsia="ru-RU"/>
              </w:rPr>
            </w:pPr>
            <w:r w:rsidRPr="004761E0">
              <w:rPr>
                <w:rFonts w:eastAsia="Times New Roman"/>
                <w:sz w:val="20"/>
                <w:szCs w:val="20"/>
                <w:lang w:eastAsia="ru-RU"/>
              </w:rPr>
              <w:t>0</w:t>
            </w:r>
          </w:p>
        </w:tc>
      </w:tr>
      <w:tr w:rsidR="00FB17D6" w:rsidRPr="004761E0" w:rsidTr="004245B5">
        <w:trPr>
          <w:trHeight w:val="30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FB17D6" w:rsidRPr="004761E0" w:rsidRDefault="00FB17D6" w:rsidP="007076A7">
            <w:pPr>
              <w:pStyle w:val="a5"/>
              <w:numPr>
                <w:ilvl w:val="1"/>
                <w:numId w:val="201"/>
              </w:numPr>
              <w:jc w:val="left"/>
              <w:rPr>
                <w:rFonts w:eastAsia="Times New Roman"/>
                <w:color w:val="000000"/>
                <w:sz w:val="20"/>
                <w:szCs w:val="20"/>
                <w:lang w:eastAsia="ru-RU"/>
              </w:rPr>
            </w:pPr>
          </w:p>
        </w:tc>
        <w:tc>
          <w:tcPr>
            <w:tcW w:w="4020" w:type="dxa"/>
            <w:tcBorders>
              <w:top w:val="nil"/>
              <w:left w:val="nil"/>
              <w:bottom w:val="single" w:sz="4" w:space="0" w:color="auto"/>
              <w:right w:val="single" w:sz="4" w:space="0" w:color="auto"/>
            </w:tcBorders>
            <w:shd w:val="clear" w:color="auto" w:fill="auto"/>
            <w:vAlign w:val="center"/>
          </w:tcPr>
          <w:p w:rsidR="00FB17D6" w:rsidRPr="004761E0" w:rsidRDefault="00FB17D6" w:rsidP="003429ED">
            <w:pPr>
              <w:ind w:firstLineChars="200" w:firstLine="400"/>
              <w:jc w:val="left"/>
              <w:rPr>
                <w:rFonts w:eastAsia="Times New Roman"/>
                <w:sz w:val="20"/>
                <w:szCs w:val="20"/>
                <w:lang w:eastAsia="ru-RU"/>
              </w:rPr>
            </w:pPr>
            <w:r w:rsidRPr="004761E0">
              <w:rPr>
                <w:rFonts w:eastAsia="Times New Roman"/>
                <w:sz w:val="20"/>
                <w:szCs w:val="20"/>
                <w:lang w:eastAsia="ru-RU"/>
              </w:rPr>
              <w:t>прибыль на развитие</w:t>
            </w:r>
          </w:p>
        </w:tc>
        <w:tc>
          <w:tcPr>
            <w:tcW w:w="1691" w:type="dxa"/>
            <w:tcBorders>
              <w:top w:val="single" w:sz="4" w:space="0" w:color="auto"/>
              <w:left w:val="nil"/>
              <w:bottom w:val="single" w:sz="4" w:space="0" w:color="auto"/>
              <w:right w:val="single" w:sz="4" w:space="0" w:color="auto"/>
            </w:tcBorders>
            <w:vAlign w:val="center"/>
          </w:tcPr>
          <w:p w:rsidR="00FB17D6" w:rsidRPr="004761E0" w:rsidRDefault="008A49DC" w:rsidP="00FB17D6">
            <w:pPr>
              <w:ind w:firstLine="0"/>
              <w:jc w:val="right"/>
              <w:rPr>
                <w:rFonts w:eastAsia="Times New Roman"/>
                <w:sz w:val="20"/>
                <w:szCs w:val="20"/>
                <w:lang w:eastAsia="ru-RU"/>
              </w:rPr>
            </w:pPr>
            <w:r>
              <w:rPr>
                <w:rFonts w:eastAsia="Times New Roman"/>
                <w:sz w:val="20"/>
                <w:szCs w:val="20"/>
                <w:lang w:eastAsia="ru-RU"/>
              </w:rPr>
              <w:t>14 330</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FB17D6" w:rsidRPr="004761E0" w:rsidRDefault="00FB17D6" w:rsidP="003429ED">
            <w:pPr>
              <w:ind w:firstLine="0"/>
              <w:jc w:val="right"/>
              <w:rPr>
                <w:rFonts w:eastAsia="Times New Roman"/>
                <w:sz w:val="20"/>
                <w:szCs w:val="20"/>
                <w:lang w:eastAsia="ru-RU"/>
              </w:rPr>
            </w:pPr>
            <w:r w:rsidRPr="004761E0">
              <w:rPr>
                <w:rFonts w:eastAsia="Times New Roman"/>
                <w:sz w:val="20"/>
                <w:szCs w:val="20"/>
                <w:lang w:eastAsia="ru-RU"/>
              </w:rPr>
              <w:t>15 835</w:t>
            </w:r>
          </w:p>
        </w:tc>
        <w:tc>
          <w:tcPr>
            <w:tcW w:w="1670" w:type="dxa"/>
            <w:tcBorders>
              <w:top w:val="nil"/>
              <w:left w:val="nil"/>
              <w:bottom w:val="single" w:sz="4" w:space="0" w:color="auto"/>
              <w:right w:val="single" w:sz="4" w:space="0" w:color="auto"/>
            </w:tcBorders>
            <w:shd w:val="clear" w:color="auto" w:fill="auto"/>
            <w:vAlign w:val="center"/>
          </w:tcPr>
          <w:p w:rsidR="00FB17D6" w:rsidRPr="004761E0" w:rsidRDefault="00FB17D6" w:rsidP="003429ED">
            <w:pPr>
              <w:ind w:firstLine="0"/>
              <w:jc w:val="right"/>
              <w:rPr>
                <w:rFonts w:eastAsia="Times New Roman"/>
                <w:sz w:val="20"/>
                <w:szCs w:val="20"/>
                <w:lang w:eastAsia="ru-RU"/>
              </w:rPr>
            </w:pPr>
            <w:r w:rsidRPr="004761E0">
              <w:rPr>
                <w:rFonts w:eastAsia="Times New Roman"/>
                <w:sz w:val="20"/>
                <w:szCs w:val="20"/>
                <w:lang w:eastAsia="ru-RU"/>
              </w:rPr>
              <w:t>12 888</w:t>
            </w:r>
          </w:p>
        </w:tc>
      </w:tr>
      <w:tr w:rsidR="00FB17D6" w:rsidRPr="004761E0" w:rsidTr="004245B5">
        <w:trPr>
          <w:trHeight w:val="300"/>
        </w:trPr>
        <w:tc>
          <w:tcPr>
            <w:tcW w:w="722" w:type="dxa"/>
            <w:tcBorders>
              <w:top w:val="nil"/>
              <w:left w:val="single" w:sz="4" w:space="0" w:color="auto"/>
              <w:bottom w:val="single" w:sz="4" w:space="0" w:color="auto"/>
              <w:right w:val="single" w:sz="4" w:space="0" w:color="auto"/>
            </w:tcBorders>
            <w:shd w:val="clear" w:color="auto" w:fill="auto"/>
            <w:vAlign w:val="center"/>
          </w:tcPr>
          <w:p w:rsidR="00FB17D6" w:rsidRPr="004761E0" w:rsidRDefault="00FB17D6" w:rsidP="007076A7">
            <w:pPr>
              <w:pStyle w:val="a5"/>
              <w:numPr>
                <w:ilvl w:val="1"/>
                <w:numId w:val="201"/>
              </w:numPr>
              <w:jc w:val="left"/>
              <w:rPr>
                <w:rFonts w:eastAsia="Times New Roman"/>
                <w:color w:val="000000"/>
                <w:sz w:val="20"/>
                <w:szCs w:val="20"/>
                <w:lang w:eastAsia="ru-RU"/>
              </w:rPr>
            </w:pPr>
          </w:p>
        </w:tc>
        <w:tc>
          <w:tcPr>
            <w:tcW w:w="4020" w:type="dxa"/>
            <w:tcBorders>
              <w:top w:val="nil"/>
              <w:left w:val="nil"/>
              <w:bottom w:val="single" w:sz="4" w:space="0" w:color="auto"/>
              <w:right w:val="single" w:sz="4" w:space="0" w:color="auto"/>
            </w:tcBorders>
            <w:shd w:val="clear" w:color="auto" w:fill="auto"/>
            <w:vAlign w:val="center"/>
          </w:tcPr>
          <w:p w:rsidR="00FB17D6" w:rsidRPr="004761E0" w:rsidRDefault="00FB17D6" w:rsidP="003429ED">
            <w:pPr>
              <w:ind w:firstLineChars="200" w:firstLine="400"/>
              <w:jc w:val="left"/>
              <w:rPr>
                <w:rFonts w:eastAsia="Times New Roman"/>
                <w:sz w:val="20"/>
                <w:szCs w:val="20"/>
                <w:lang w:eastAsia="ru-RU"/>
              </w:rPr>
            </w:pPr>
            <w:r w:rsidRPr="004761E0">
              <w:rPr>
                <w:rFonts w:eastAsia="Times New Roman"/>
                <w:sz w:val="20"/>
                <w:szCs w:val="20"/>
                <w:lang w:eastAsia="ru-RU"/>
              </w:rPr>
              <w:t>дивиденды</w:t>
            </w:r>
          </w:p>
        </w:tc>
        <w:tc>
          <w:tcPr>
            <w:tcW w:w="1691" w:type="dxa"/>
            <w:tcBorders>
              <w:top w:val="single" w:sz="4" w:space="0" w:color="auto"/>
              <w:left w:val="nil"/>
              <w:bottom w:val="single" w:sz="4" w:space="0" w:color="auto"/>
              <w:right w:val="single" w:sz="4" w:space="0" w:color="auto"/>
            </w:tcBorders>
            <w:vAlign w:val="center"/>
          </w:tcPr>
          <w:p w:rsidR="00FB17D6" w:rsidRPr="004761E0" w:rsidRDefault="008A49DC" w:rsidP="00FB17D6">
            <w:pPr>
              <w:ind w:firstLine="0"/>
              <w:jc w:val="right"/>
              <w:rPr>
                <w:rFonts w:eastAsia="Times New Roman"/>
                <w:sz w:val="20"/>
                <w:szCs w:val="20"/>
                <w:lang w:eastAsia="ru-RU"/>
              </w:rPr>
            </w:pPr>
            <w:r>
              <w:rPr>
                <w:rFonts w:eastAsia="Times New Roman"/>
                <w:sz w:val="20"/>
                <w:szCs w:val="20"/>
                <w:lang w:eastAsia="ru-RU"/>
              </w:rPr>
              <w:t>1 200</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FB17D6" w:rsidRPr="004761E0" w:rsidRDefault="00FB17D6" w:rsidP="003429ED">
            <w:pPr>
              <w:ind w:firstLine="0"/>
              <w:jc w:val="right"/>
              <w:rPr>
                <w:rFonts w:eastAsia="Times New Roman"/>
                <w:sz w:val="20"/>
                <w:szCs w:val="20"/>
                <w:lang w:eastAsia="ru-RU"/>
              </w:rPr>
            </w:pPr>
            <w:r w:rsidRPr="004761E0">
              <w:rPr>
                <w:rFonts w:eastAsia="Times New Roman"/>
                <w:sz w:val="20"/>
                <w:szCs w:val="20"/>
                <w:lang w:eastAsia="ru-RU"/>
              </w:rPr>
              <w:t>1 218</w:t>
            </w:r>
          </w:p>
        </w:tc>
        <w:tc>
          <w:tcPr>
            <w:tcW w:w="1670" w:type="dxa"/>
            <w:tcBorders>
              <w:top w:val="nil"/>
              <w:left w:val="nil"/>
              <w:bottom w:val="single" w:sz="4" w:space="0" w:color="auto"/>
              <w:right w:val="single" w:sz="4" w:space="0" w:color="auto"/>
            </w:tcBorders>
            <w:shd w:val="clear" w:color="auto" w:fill="auto"/>
            <w:vAlign w:val="center"/>
          </w:tcPr>
          <w:p w:rsidR="00FB17D6" w:rsidRPr="004761E0" w:rsidRDefault="00FB17D6" w:rsidP="003429ED">
            <w:pPr>
              <w:ind w:firstLine="0"/>
              <w:jc w:val="right"/>
              <w:rPr>
                <w:rFonts w:eastAsia="Times New Roman"/>
                <w:sz w:val="20"/>
                <w:szCs w:val="20"/>
                <w:lang w:eastAsia="ru-RU"/>
              </w:rPr>
            </w:pPr>
            <w:r w:rsidRPr="004761E0">
              <w:rPr>
                <w:rFonts w:eastAsia="Times New Roman"/>
                <w:sz w:val="20"/>
                <w:szCs w:val="20"/>
                <w:lang w:eastAsia="ru-RU"/>
              </w:rPr>
              <w:t>4 296</w:t>
            </w:r>
          </w:p>
        </w:tc>
      </w:tr>
      <w:tr w:rsidR="00FB17D6" w:rsidRPr="004761E0" w:rsidTr="004245B5">
        <w:trPr>
          <w:trHeight w:val="300"/>
        </w:trPr>
        <w:tc>
          <w:tcPr>
            <w:tcW w:w="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7D6" w:rsidRPr="004761E0" w:rsidRDefault="00FB17D6" w:rsidP="007076A7">
            <w:pPr>
              <w:pStyle w:val="a5"/>
              <w:numPr>
                <w:ilvl w:val="1"/>
                <w:numId w:val="201"/>
              </w:numPr>
              <w:jc w:val="left"/>
              <w:rPr>
                <w:rFonts w:eastAsia="Times New Roman"/>
                <w:b/>
                <w:color w:val="000000"/>
                <w:sz w:val="20"/>
                <w:szCs w:val="20"/>
                <w:lang w:eastAsia="ru-RU"/>
              </w:rPr>
            </w:pPr>
          </w:p>
        </w:tc>
        <w:tc>
          <w:tcPr>
            <w:tcW w:w="4020" w:type="dxa"/>
            <w:tcBorders>
              <w:top w:val="single" w:sz="4" w:space="0" w:color="auto"/>
              <w:left w:val="nil"/>
              <w:bottom w:val="single" w:sz="4" w:space="0" w:color="auto"/>
              <w:right w:val="single" w:sz="4" w:space="0" w:color="auto"/>
            </w:tcBorders>
            <w:shd w:val="clear" w:color="auto" w:fill="auto"/>
            <w:vAlign w:val="center"/>
          </w:tcPr>
          <w:p w:rsidR="00FB17D6" w:rsidRPr="004761E0" w:rsidRDefault="00FB17D6" w:rsidP="003429ED">
            <w:pPr>
              <w:ind w:firstLineChars="200" w:firstLine="400"/>
              <w:jc w:val="left"/>
              <w:rPr>
                <w:rFonts w:eastAsia="Times New Roman"/>
                <w:sz w:val="20"/>
                <w:szCs w:val="20"/>
                <w:lang w:eastAsia="ru-RU"/>
              </w:rPr>
            </w:pPr>
            <w:r w:rsidRPr="004761E0">
              <w:rPr>
                <w:rFonts w:eastAsia="Times New Roman"/>
                <w:sz w:val="20"/>
                <w:szCs w:val="20"/>
                <w:lang w:eastAsia="ru-RU"/>
              </w:rPr>
              <w:t>погашение убытков прошлых лет</w:t>
            </w:r>
          </w:p>
        </w:tc>
        <w:tc>
          <w:tcPr>
            <w:tcW w:w="1691" w:type="dxa"/>
            <w:tcBorders>
              <w:top w:val="single" w:sz="4" w:space="0" w:color="auto"/>
              <w:left w:val="nil"/>
              <w:bottom w:val="single" w:sz="4" w:space="0" w:color="auto"/>
              <w:right w:val="single" w:sz="4" w:space="0" w:color="auto"/>
            </w:tcBorders>
            <w:vAlign w:val="center"/>
          </w:tcPr>
          <w:p w:rsidR="00FB17D6" w:rsidRPr="004761E0" w:rsidRDefault="008A49DC" w:rsidP="00FB17D6">
            <w:pPr>
              <w:ind w:firstLine="0"/>
              <w:jc w:val="right"/>
              <w:rPr>
                <w:rFonts w:eastAsia="Times New Roman"/>
                <w:sz w:val="20"/>
                <w:szCs w:val="20"/>
                <w:lang w:eastAsia="ru-RU"/>
              </w:rPr>
            </w:pPr>
            <w:r>
              <w:rPr>
                <w:rFonts w:eastAsia="Times New Roman"/>
                <w:sz w:val="20"/>
                <w:szCs w:val="20"/>
                <w:lang w:eastAsia="ru-RU"/>
              </w:rPr>
              <w:t>0</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FB17D6" w:rsidRPr="004761E0" w:rsidRDefault="00FB17D6" w:rsidP="003429ED">
            <w:pPr>
              <w:ind w:firstLine="0"/>
              <w:jc w:val="right"/>
              <w:rPr>
                <w:rFonts w:eastAsia="Times New Roman"/>
                <w:sz w:val="20"/>
                <w:szCs w:val="20"/>
                <w:lang w:eastAsia="ru-RU"/>
              </w:rPr>
            </w:pPr>
            <w:r w:rsidRPr="004761E0">
              <w:rPr>
                <w:rFonts w:eastAsia="Times New Roman"/>
                <w:sz w:val="20"/>
                <w:szCs w:val="20"/>
                <w:lang w:eastAsia="ru-RU"/>
              </w:rPr>
              <w:t>0</w:t>
            </w:r>
          </w:p>
        </w:tc>
        <w:tc>
          <w:tcPr>
            <w:tcW w:w="1670" w:type="dxa"/>
            <w:tcBorders>
              <w:top w:val="single" w:sz="4" w:space="0" w:color="auto"/>
              <w:left w:val="nil"/>
              <w:bottom w:val="single" w:sz="4" w:space="0" w:color="auto"/>
              <w:right w:val="single" w:sz="4" w:space="0" w:color="auto"/>
            </w:tcBorders>
            <w:shd w:val="clear" w:color="auto" w:fill="auto"/>
            <w:vAlign w:val="center"/>
          </w:tcPr>
          <w:p w:rsidR="00FB17D6" w:rsidRPr="004761E0" w:rsidRDefault="00FB17D6" w:rsidP="003429ED">
            <w:pPr>
              <w:ind w:firstLine="0"/>
              <w:jc w:val="right"/>
              <w:rPr>
                <w:rFonts w:eastAsia="Times New Roman"/>
                <w:sz w:val="20"/>
                <w:szCs w:val="20"/>
                <w:lang w:eastAsia="ru-RU"/>
              </w:rPr>
            </w:pPr>
            <w:r w:rsidRPr="004761E0">
              <w:rPr>
                <w:rFonts w:eastAsia="Times New Roman"/>
                <w:sz w:val="20"/>
                <w:szCs w:val="20"/>
                <w:lang w:eastAsia="ru-RU"/>
              </w:rPr>
              <w:t>0</w:t>
            </w:r>
          </w:p>
        </w:tc>
      </w:tr>
    </w:tbl>
    <w:p w:rsidR="003429ED" w:rsidRPr="004761E0" w:rsidRDefault="003429ED" w:rsidP="003429ED">
      <w:pPr>
        <w:rPr>
          <w:rFonts w:eastAsia="Times New Roman"/>
          <w:color w:val="000000"/>
          <w:sz w:val="22"/>
          <w:szCs w:val="22"/>
          <w:lang w:eastAsia="ru-RU"/>
        </w:rPr>
      </w:pPr>
    </w:p>
    <w:p w:rsidR="003429ED" w:rsidRPr="004761E0" w:rsidRDefault="003429ED" w:rsidP="003429ED">
      <w:pPr>
        <w:ind w:firstLine="0"/>
        <w:rPr>
          <w:rFonts w:eastAsia="Times New Roman"/>
          <w:color w:val="000000"/>
          <w:sz w:val="26"/>
          <w:szCs w:val="26"/>
          <w:lang w:eastAsia="ru-RU"/>
        </w:rPr>
      </w:pPr>
      <w:r w:rsidRPr="004761E0">
        <w:rPr>
          <w:rFonts w:eastAsia="Times New Roman"/>
          <w:noProof/>
          <w:color w:val="000000"/>
          <w:sz w:val="26"/>
          <w:szCs w:val="26"/>
          <w:lang w:eastAsia="ru-RU"/>
        </w:rPr>
        <w:lastRenderedPageBreak/>
        <w:drawing>
          <wp:inline distT="0" distB="0" distL="0" distR="0">
            <wp:extent cx="3048000" cy="3152775"/>
            <wp:effectExtent l="0" t="0" r="19050" b="9525"/>
            <wp:docPr id="260" name="Диаграмма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654E0B" w:rsidRPr="004761E0" w:rsidRDefault="00654E0B">
      <w:pPr>
        <w:ind w:firstLine="0"/>
        <w:jc w:val="left"/>
        <w:rPr>
          <w:rFonts w:eastAsia="Times New Roman"/>
          <w:b/>
          <w:sz w:val="26"/>
          <w:szCs w:val="26"/>
          <w:lang w:eastAsia="ru-RU"/>
        </w:rPr>
      </w:pPr>
    </w:p>
    <w:p w:rsidR="00654E0B" w:rsidRPr="004761E0" w:rsidRDefault="00654E0B" w:rsidP="00654E0B">
      <w:pPr>
        <w:rPr>
          <w:lang w:eastAsia="ru-RU"/>
        </w:rPr>
        <w:sectPr w:rsidR="00654E0B" w:rsidRPr="004761E0" w:rsidSect="000830E8">
          <w:pgSz w:w="11907" w:h="16840" w:code="9"/>
          <w:pgMar w:top="1418" w:right="851" w:bottom="720" w:left="1134" w:header="170" w:footer="720" w:gutter="0"/>
          <w:cols w:space="720"/>
          <w:docGrid w:linePitch="381"/>
        </w:sectPr>
      </w:pPr>
    </w:p>
    <w:p w:rsidR="00654E0B" w:rsidRPr="004761E0" w:rsidRDefault="00654E0B" w:rsidP="00654E0B">
      <w:pPr>
        <w:spacing w:before="120" w:after="120"/>
        <w:ind w:firstLine="567"/>
        <w:rPr>
          <w:b/>
          <w:sz w:val="26"/>
          <w:szCs w:val="26"/>
        </w:rPr>
      </w:pPr>
      <w:r w:rsidRPr="004761E0">
        <w:rPr>
          <w:b/>
          <w:sz w:val="26"/>
          <w:szCs w:val="26"/>
        </w:rPr>
        <w:lastRenderedPageBreak/>
        <w:t>Анализ платежеспособности и финансового положения</w:t>
      </w:r>
    </w:p>
    <w:tbl>
      <w:tblPr>
        <w:tblW w:w="14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
        <w:gridCol w:w="3242"/>
        <w:gridCol w:w="3248"/>
        <w:gridCol w:w="2668"/>
        <w:gridCol w:w="1142"/>
        <w:gridCol w:w="1128"/>
        <w:gridCol w:w="988"/>
        <w:gridCol w:w="1337"/>
      </w:tblGrid>
      <w:tr w:rsidR="007C11BF" w:rsidRPr="004761E0" w:rsidTr="006F4AB8">
        <w:trPr>
          <w:trHeight w:val="56"/>
        </w:trPr>
        <w:tc>
          <w:tcPr>
            <w:tcW w:w="722" w:type="dxa"/>
            <w:tcBorders>
              <w:right w:val="single" w:sz="4" w:space="0" w:color="FFFFFF"/>
            </w:tcBorders>
            <w:shd w:val="clear" w:color="auto" w:fill="0F243E"/>
            <w:hideMark/>
          </w:tcPr>
          <w:p w:rsidR="007C11BF" w:rsidRPr="0001264E" w:rsidRDefault="007C11BF" w:rsidP="006F4AB8">
            <w:pPr>
              <w:ind w:firstLine="0"/>
              <w:jc w:val="left"/>
              <w:rPr>
                <w:rFonts w:eastAsia="Times New Roman"/>
                <w:b/>
                <w:color w:val="FFFFFF"/>
                <w:sz w:val="20"/>
                <w:szCs w:val="20"/>
              </w:rPr>
            </w:pPr>
            <w:r w:rsidRPr="0001264E">
              <w:rPr>
                <w:rFonts w:eastAsia="Times New Roman"/>
                <w:b/>
                <w:color w:val="FFFFFF"/>
                <w:sz w:val="20"/>
                <w:szCs w:val="20"/>
              </w:rPr>
              <w:t>№ п/п</w:t>
            </w:r>
          </w:p>
        </w:tc>
        <w:tc>
          <w:tcPr>
            <w:tcW w:w="3242" w:type="dxa"/>
            <w:tcBorders>
              <w:left w:val="single" w:sz="4" w:space="0" w:color="FFFFFF"/>
              <w:right w:val="single" w:sz="4" w:space="0" w:color="FFFFFF"/>
            </w:tcBorders>
            <w:shd w:val="clear" w:color="auto" w:fill="0F243E"/>
            <w:vAlign w:val="center"/>
            <w:hideMark/>
          </w:tcPr>
          <w:p w:rsidR="007C11BF" w:rsidRPr="0001264E" w:rsidRDefault="007C11BF" w:rsidP="006F4AB8">
            <w:pPr>
              <w:ind w:firstLine="0"/>
              <w:jc w:val="left"/>
              <w:rPr>
                <w:rFonts w:eastAsia="Times New Roman"/>
                <w:b/>
                <w:color w:val="FFFFFF"/>
                <w:sz w:val="20"/>
                <w:szCs w:val="20"/>
              </w:rPr>
            </w:pPr>
            <w:r w:rsidRPr="0001264E">
              <w:rPr>
                <w:rFonts w:eastAsia="Times New Roman"/>
                <w:b/>
                <w:color w:val="FFFFFF"/>
                <w:sz w:val="20"/>
                <w:szCs w:val="20"/>
              </w:rPr>
              <w:t>Наименование категории</w:t>
            </w:r>
          </w:p>
        </w:tc>
        <w:tc>
          <w:tcPr>
            <w:tcW w:w="5916" w:type="dxa"/>
            <w:gridSpan w:val="2"/>
            <w:tcBorders>
              <w:left w:val="single" w:sz="4" w:space="0" w:color="FFFFFF"/>
              <w:right w:val="single" w:sz="4" w:space="0" w:color="FFFFFF"/>
            </w:tcBorders>
            <w:shd w:val="clear" w:color="auto" w:fill="0F243E"/>
            <w:vAlign w:val="center"/>
            <w:hideMark/>
          </w:tcPr>
          <w:p w:rsidR="007C11BF" w:rsidRPr="0001264E" w:rsidRDefault="007C11BF" w:rsidP="006F4AB8">
            <w:pPr>
              <w:ind w:firstLine="0"/>
              <w:jc w:val="left"/>
              <w:rPr>
                <w:rFonts w:eastAsia="Times New Roman"/>
                <w:b/>
                <w:color w:val="FFFFFF"/>
                <w:sz w:val="20"/>
                <w:szCs w:val="20"/>
              </w:rPr>
            </w:pPr>
            <w:r w:rsidRPr="0001264E">
              <w:rPr>
                <w:rFonts w:eastAsia="Times New Roman"/>
                <w:b/>
                <w:color w:val="FFFFFF"/>
                <w:sz w:val="20"/>
                <w:szCs w:val="20"/>
              </w:rPr>
              <w:t>Формула расчета</w:t>
            </w:r>
            <w:r w:rsidRPr="006F4AB8">
              <w:rPr>
                <w:rStyle w:val="af1"/>
              </w:rPr>
              <w:footnoteReference w:id="62"/>
            </w:r>
          </w:p>
        </w:tc>
        <w:tc>
          <w:tcPr>
            <w:tcW w:w="1142" w:type="dxa"/>
            <w:tcBorders>
              <w:left w:val="single" w:sz="4" w:space="0" w:color="FFFFFF"/>
              <w:right w:val="single" w:sz="4" w:space="0" w:color="FFFFFF"/>
            </w:tcBorders>
            <w:shd w:val="clear" w:color="auto" w:fill="0F243E"/>
            <w:vAlign w:val="center"/>
            <w:hideMark/>
          </w:tcPr>
          <w:p w:rsidR="007C11BF" w:rsidRPr="0001264E" w:rsidRDefault="007C11BF" w:rsidP="006F4AB8">
            <w:pPr>
              <w:ind w:firstLine="0"/>
              <w:jc w:val="right"/>
              <w:rPr>
                <w:rFonts w:eastAsia="Times New Roman"/>
                <w:b/>
                <w:color w:val="FFFFFF"/>
                <w:sz w:val="20"/>
                <w:szCs w:val="20"/>
              </w:rPr>
            </w:pPr>
            <w:r w:rsidRPr="0001264E">
              <w:rPr>
                <w:rFonts w:eastAsia="Times New Roman"/>
                <w:b/>
                <w:color w:val="FFFFFF"/>
                <w:sz w:val="20"/>
                <w:szCs w:val="20"/>
              </w:rPr>
              <w:t>2011</w:t>
            </w:r>
          </w:p>
        </w:tc>
        <w:tc>
          <w:tcPr>
            <w:tcW w:w="1128" w:type="dxa"/>
            <w:tcBorders>
              <w:left w:val="single" w:sz="4" w:space="0" w:color="FFFFFF"/>
              <w:right w:val="single" w:sz="4" w:space="0" w:color="FFFFFF"/>
            </w:tcBorders>
            <w:shd w:val="clear" w:color="auto" w:fill="0F243E"/>
            <w:vAlign w:val="center"/>
            <w:hideMark/>
          </w:tcPr>
          <w:p w:rsidR="007C11BF" w:rsidRPr="0001264E" w:rsidRDefault="007C11BF" w:rsidP="006F4AB8">
            <w:pPr>
              <w:ind w:firstLine="0"/>
              <w:jc w:val="right"/>
              <w:rPr>
                <w:rFonts w:eastAsia="Times New Roman"/>
                <w:b/>
                <w:color w:val="FFFFFF"/>
                <w:sz w:val="20"/>
                <w:szCs w:val="20"/>
              </w:rPr>
            </w:pPr>
            <w:r w:rsidRPr="0001264E">
              <w:rPr>
                <w:rFonts w:eastAsia="Times New Roman"/>
                <w:b/>
                <w:color w:val="FFFFFF"/>
                <w:sz w:val="20"/>
                <w:szCs w:val="20"/>
              </w:rPr>
              <w:t>2012</w:t>
            </w:r>
          </w:p>
        </w:tc>
        <w:tc>
          <w:tcPr>
            <w:tcW w:w="988" w:type="dxa"/>
            <w:tcBorders>
              <w:left w:val="single" w:sz="4" w:space="0" w:color="FFFFFF"/>
              <w:right w:val="single" w:sz="4" w:space="0" w:color="FFFFFF"/>
            </w:tcBorders>
            <w:shd w:val="clear" w:color="auto" w:fill="0F243E"/>
            <w:vAlign w:val="center"/>
            <w:hideMark/>
          </w:tcPr>
          <w:p w:rsidR="007C11BF" w:rsidRPr="0001264E" w:rsidRDefault="007C11BF" w:rsidP="006F4AB8">
            <w:pPr>
              <w:ind w:firstLine="0"/>
              <w:jc w:val="right"/>
              <w:rPr>
                <w:rFonts w:eastAsia="Times New Roman"/>
                <w:b/>
                <w:color w:val="FFFFFF"/>
                <w:sz w:val="20"/>
                <w:szCs w:val="20"/>
              </w:rPr>
            </w:pPr>
            <w:r w:rsidRPr="0001264E">
              <w:rPr>
                <w:rFonts w:eastAsia="Times New Roman"/>
                <w:b/>
                <w:color w:val="FFFFFF"/>
                <w:sz w:val="20"/>
                <w:szCs w:val="20"/>
              </w:rPr>
              <w:t>2013</w:t>
            </w:r>
          </w:p>
        </w:tc>
        <w:tc>
          <w:tcPr>
            <w:tcW w:w="1337" w:type="dxa"/>
            <w:tcBorders>
              <w:left w:val="single" w:sz="4" w:space="0" w:color="FFFFFF"/>
            </w:tcBorders>
            <w:shd w:val="clear" w:color="auto" w:fill="0F243E"/>
            <w:vAlign w:val="center"/>
            <w:hideMark/>
          </w:tcPr>
          <w:p w:rsidR="007C11BF" w:rsidRPr="0001264E" w:rsidRDefault="007C11BF" w:rsidP="006F4AB8">
            <w:pPr>
              <w:ind w:firstLine="0"/>
              <w:jc w:val="right"/>
              <w:rPr>
                <w:rFonts w:eastAsia="Times New Roman"/>
                <w:b/>
                <w:color w:val="FFFFFF"/>
                <w:sz w:val="20"/>
                <w:szCs w:val="20"/>
              </w:rPr>
            </w:pPr>
            <w:r w:rsidRPr="0001264E">
              <w:rPr>
                <w:rFonts w:eastAsia="Times New Roman"/>
                <w:b/>
                <w:color w:val="FFFFFF"/>
                <w:sz w:val="20"/>
                <w:szCs w:val="20"/>
              </w:rPr>
              <w:t>2013/2012</w:t>
            </w:r>
          </w:p>
        </w:tc>
      </w:tr>
      <w:tr w:rsidR="007C11BF" w:rsidRPr="004761E0" w:rsidTr="006F4AB8">
        <w:trPr>
          <w:trHeight w:val="217"/>
        </w:trPr>
        <w:tc>
          <w:tcPr>
            <w:tcW w:w="722" w:type="dxa"/>
            <w:shd w:val="clear" w:color="auto" w:fill="D9D9D9"/>
          </w:tcPr>
          <w:p w:rsidR="007C11BF" w:rsidRPr="0001264E" w:rsidRDefault="007C11BF" w:rsidP="007C11BF">
            <w:pPr>
              <w:pStyle w:val="a5"/>
              <w:numPr>
                <w:ilvl w:val="0"/>
                <w:numId w:val="179"/>
              </w:numPr>
              <w:ind w:left="0" w:firstLine="0"/>
              <w:contextualSpacing w:val="0"/>
              <w:jc w:val="left"/>
              <w:rPr>
                <w:rFonts w:eastAsia="Times New Roman"/>
                <w:b/>
                <w:bCs/>
                <w:color w:val="000000"/>
                <w:sz w:val="20"/>
                <w:szCs w:val="20"/>
              </w:rPr>
            </w:pPr>
          </w:p>
        </w:tc>
        <w:tc>
          <w:tcPr>
            <w:tcW w:w="13753" w:type="dxa"/>
            <w:gridSpan w:val="7"/>
            <w:shd w:val="clear" w:color="auto" w:fill="D9D9D9"/>
            <w:hideMark/>
          </w:tcPr>
          <w:p w:rsidR="007C11BF" w:rsidRPr="0001264E" w:rsidRDefault="007C11BF" w:rsidP="006F4AB8">
            <w:pPr>
              <w:ind w:firstLine="0"/>
              <w:jc w:val="left"/>
              <w:rPr>
                <w:rFonts w:eastAsia="Times New Roman"/>
                <w:b/>
                <w:bCs/>
                <w:color w:val="000000"/>
                <w:sz w:val="20"/>
                <w:szCs w:val="20"/>
              </w:rPr>
            </w:pPr>
            <w:r w:rsidRPr="0001264E">
              <w:rPr>
                <w:rFonts w:eastAsia="Times New Roman"/>
                <w:b/>
                <w:bCs/>
                <w:color w:val="000000"/>
                <w:sz w:val="20"/>
                <w:szCs w:val="20"/>
              </w:rPr>
              <w:t>Показатели ликвидности</w:t>
            </w:r>
          </w:p>
        </w:tc>
      </w:tr>
      <w:tr w:rsidR="007C11BF" w:rsidRPr="004761E0" w:rsidTr="006F4AB8">
        <w:trPr>
          <w:trHeight w:val="749"/>
        </w:trPr>
        <w:tc>
          <w:tcPr>
            <w:tcW w:w="722" w:type="dxa"/>
          </w:tcPr>
          <w:p w:rsidR="007C11BF" w:rsidRPr="0001264E" w:rsidRDefault="007C11BF" w:rsidP="007C11BF">
            <w:pPr>
              <w:pStyle w:val="a5"/>
              <w:numPr>
                <w:ilvl w:val="1"/>
                <w:numId w:val="179"/>
              </w:numPr>
              <w:contextualSpacing w:val="0"/>
              <w:jc w:val="left"/>
              <w:rPr>
                <w:rFonts w:eastAsia="Times New Roman"/>
                <w:color w:val="000000"/>
                <w:sz w:val="20"/>
                <w:szCs w:val="20"/>
              </w:rPr>
            </w:pPr>
          </w:p>
        </w:tc>
        <w:tc>
          <w:tcPr>
            <w:tcW w:w="3242" w:type="dxa"/>
            <w:hideMark/>
          </w:tcPr>
          <w:p w:rsidR="007C11BF" w:rsidRPr="0001264E" w:rsidRDefault="007C11BF" w:rsidP="006F4AB8">
            <w:pPr>
              <w:ind w:firstLine="0"/>
              <w:jc w:val="left"/>
              <w:rPr>
                <w:rFonts w:eastAsia="Times New Roman"/>
                <w:color w:val="000000"/>
                <w:sz w:val="20"/>
                <w:szCs w:val="20"/>
              </w:rPr>
            </w:pPr>
            <w:r w:rsidRPr="0001264E">
              <w:rPr>
                <w:rFonts w:eastAsia="Times New Roman"/>
                <w:color w:val="000000"/>
                <w:sz w:val="20"/>
                <w:szCs w:val="20"/>
              </w:rPr>
              <w:t>Коэффициент абсолютной ликвидности</w:t>
            </w:r>
          </w:p>
          <w:p w:rsidR="007C11BF" w:rsidRPr="0001264E" w:rsidRDefault="007C11BF" w:rsidP="006F4AB8">
            <w:pPr>
              <w:ind w:firstLine="0"/>
              <w:jc w:val="left"/>
              <w:rPr>
                <w:rFonts w:eastAsia="Times New Roman"/>
                <w:color w:val="000000"/>
                <w:sz w:val="20"/>
                <w:szCs w:val="20"/>
                <w:vertAlign w:val="superscript"/>
              </w:rPr>
            </w:pPr>
            <w:r w:rsidRPr="0001264E">
              <w:rPr>
                <w:rFonts w:eastAsia="Times New Roman"/>
                <w:color w:val="000000"/>
                <w:sz w:val="20"/>
                <w:szCs w:val="20"/>
                <w:vertAlign w:val="superscript"/>
              </w:rPr>
              <w:t>(показывает, какую часть краткосрочной задолженности можно погасить за счет денежных средств и прочих оборотных активов и)</w:t>
            </w:r>
          </w:p>
        </w:tc>
        <w:tc>
          <w:tcPr>
            <w:tcW w:w="3248" w:type="dxa"/>
            <w:hideMark/>
          </w:tcPr>
          <w:p w:rsidR="007C11BF" w:rsidRPr="0001264E" w:rsidRDefault="007C11BF" w:rsidP="006F4AB8">
            <w:pPr>
              <w:ind w:firstLine="0"/>
              <w:jc w:val="left"/>
              <w:rPr>
                <w:rFonts w:eastAsia="Times New Roman"/>
                <w:color w:val="000000"/>
                <w:sz w:val="20"/>
                <w:szCs w:val="20"/>
              </w:rPr>
            </w:pPr>
            <w:r w:rsidRPr="0001264E">
              <w:rPr>
                <w:rFonts w:eastAsia="Times New Roman"/>
                <w:color w:val="000000"/>
                <w:sz w:val="20"/>
                <w:szCs w:val="20"/>
              </w:rPr>
              <w:t>(Денежные средства и денежные эквиваленты + Краткосрочные финансовые вложения) / Краткосрочные обязательства</w:t>
            </w:r>
          </w:p>
        </w:tc>
        <w:tc>
          <w:tcPr>
            <w:tcW w:w="2668" w:type="dxa"/>
            <w:hideMark/>
          </w:tcPr>
          <w:p w:rsidR="007C11BF" w:rsidRPr="0001264E" w:rsidRDefault="007C11BF" w:rsidP="006F4AB8">
            <w:pPr>
              <w:ind w:firstLine="0"/>
              <w:jc w:val="center"/>
              <w:rPr>
                <w:rFonts w:eastAsia="Times New Roman"/>
                <w:color w:val="000000"/>
                <w:sz w:val="20"/>
                <w:szCs w:val="20"/>
              </w:rPr>
            </w:pPr>
            <w:r w:rsidRPr="0001264E">
              <w:rPr>
                <w:rFonts w:eastAsia="Times New Roman"/>
                <w:color w:val="000000"/>
                <w:sz w:val="20"/>
                <w:szCs w:val="20"/>
              </w:rPr>
              <w:t>(стр. 1240 ф.1 + стр. 1250 ф.1) / стр. 1500 ф.1</w:t>
            </w:r>
          </w:p>
        </w:tc>
        <w:tc>
          <w:tcPr>
            <w:tcW w:w="1142" w:type="dxa"/>
            <w:vAlign w:val="center"/>
            <w:hideMark/>
          </w:tcPr>
          <w:p w:rsidR="007C11BF" w:rsidRPr="0001264E" w:rsidRDefault="007C11BF" w:rsidP="006F4AB8">
            <w:pPr>
              <w:ind w:firstLine="0"/>
              <w:jc w:val="right"/>
              <w:rPr>
                <w:color w:val="000000"/>
                <w:sz w:val="20"/>
                <w:szCs w:val="20"/>
              </w:rPr>
            </w:pPr>
            <w:r w:rsidRPr="0001264E">
              <w:rPr>
                <w:color w:val="000000"/>
                <w:sz w:val="20"/>
                <w:szCs w:val="20"/>
              </w:rPr>
              <w:t>0,05</w:t>
            </w:r>
          </w:p>
        </w:tc>
        <w:tc>
          <w:tcPr>
            <w:tcW w:w="1128" w:type="dxa"/>
            <w:vAlign w:val="center"/>
            <w:hideMark/>
          </w:tcPr>
          <w:p w:rsidR="007C11BF" w:rsidRPr="0001264E" w:rsidRDefault="007C11BF" w:rsidP="006F4AB8">
            <w:pPr>
              <w:ind w:firstLine="0"/>
              <w:jc w:val="right"/>
              <w:rPr>
                <w:color w:val="000000"/>
                <w:sz w:val="20"/>
                <w:szCs w:val="20"/>
              </w:rPr>
            </w:pPr>
            <w:r w:rsidRPr="0001264E">
              <w:rPr>
                <w:color w:val="000000"/>
                <w:sz w:val="20"/>
                <w:szCs w:val="20"/>
              </w:rPr>
              <w:t>0,13</w:t>
            </w:r>
          </w:p>
        </w:tc>
        <w:tc>
          <w:tcPr>
            <w:tcW w:w="988" w:type="dxa"/>
            <w:vAlign w:val="center"/>
            <w:hideMark/>
          </w:tcPr>
          <w:p w:rsidR="007C11BF" w:rsidRPr="0001264E" w:rsidRDefault="007C11BF" w:rsidP="006F4AB8">
            <w:pPr>
              <w:ind w:firstLine="0"/>
              <w:jc w:val="right"/>
              <w:rPr>
                <w:color w:val="000000"/>
                <w:sz w:val="20"/>
                <w:szCs w:val="20"/>
              </w:rPr>
            </w:pPr>
            <w:r w:rsidRPr="0001264E">
              <w:rPr>
                <w:color w:val="000000"/>
                <w:sz w:val="20"/>
                <w:szCs w:val="20"/>
              </w:rPr>
              <w:t>0,03</w:t>
            </w:r>
          </w:p>
        </w:tc>
        <w:tc>
          <w:tcPr>
            <w:tcW w:w="1337" w:type="dxa"/>
            <w:vAlign w:val="center"/>
            <w:hideMark/>
          </w:tcPr>
          <w:p w:rsidR="007C11BF" w:rsidRPr="0001264E" w:rsidRDefault="007C11BF" w:rsidP="006F4AB8">
            <w:pPr>
              <w:ind w:firstLine="0"/>
              <w:jc w:val="right"/>
              <w:rPr>
                <w:color w:val="000000"/>
                <w:sz w:val="20"/>
                <w:szCs w:val="20"/>
              </w:rPr>
            </w:pPr>
            <w:r w:rsidRPr="0001264E">
              <w:rPr>
                <w:color w:val="000000"/>
                <w:sz w:val="20"/>
                <w:szCs w:val="20"/>
              </w:rPr>
              <w:t>-0,09 п.п.</w:t>
            </w:r>
          </w:p>
        </w:tc>
      </w:tr>
      <w:tr w:rsidR="007C11BF" w:rsidRPr="004761E0" w:rsidTr="006F4AB8">
        <w:trPr>
          <w:trHeight w:val="1151"/>
        </w:trPr>
        <w:tc>
          <w:tcPr>
            <w:tcW w:w="722" w:type="dxa"/>
          </w:tcPr>
          <w:p w:rsidR="007C11BF" w:rsidRPr="0001264E" w:rsidRDefault="007C11BF" w:rsidP="007C11BF">
            <w:pPr>
              <w:pStyle w:val="a5"/>
              <w:numPr>
                <w:ilvl w:val="1"/>
                <w:numId w:val="179"/>
              </w:numPr>
              <w:contextualSpacing w:val="0"/>
              <w:jc w:val="left"/>
              <w:rPr>
                <w:rFonts w:eastAsia="Times New Roman"/>
                <w:color w:val="000000"/>
                <w:sz w:val="20"/>
                <w:szCs w:val="20"/>
              </w:rPr>
            </w:pPr>
          </w:p>
        </w:tc>
        <w:tc>
          <w:tcPr>
            <w:tcW w:w="3242" w:type="dxa"/>
            <w:hideMark/>
          </w:tcPr>
          <w:p w:rsidR="007C11BF" w:rsidRPr="0001264E" w:rsidRDefault="007C11BF" w:rsidP="006F4AB8">
            <w:pPr>
              <w:ind w:firstLine="0"/>
              <w:jc w:val="left"/>
              <w:rPr>
                <w:rFonts w:eastAsia="Times New Roman"/>
                <w:color w:val="000000"/>
                <w:sz w:val="20"/>
                <w:szCs w:val="20"/>
              </w:rPr>
            </w:pPr>
            <w:r w:rsidRPr="0001264E">
              <w:rPr>
                <w:rFonts w:eastAsia="Times New Roman"/>
                <w:color w:val="000000"/>
                <w:sz w:val="20"/>
                <w:szCs w:val="20"/>
              </w:rPr>
              <w:t>Коэффициент срочной ликвидности</w:t>
            </w:r>
          </w:p>
          <w:p w:rsidR="007C11BF" w:rsidRPr="0001264E" w:rsidRDefault="007C11BF" w:rsidP="006F4AB8">
            <w:pPr>
              <w:ind w:firstLine="0"/>
              <w:jc w:val="left"/>
              <w:rPr>
                <w:rFonts w:eastAsia="Times New Roman"/>
                <w:color w:val="000000"/>
                <w:sz w:val="20"/>
                <w:szCs w:val="20"/>
                <w:vertAlign w:val="superscript"/>
              </w:rPr>
            </w:pPr>
            <w:r w:rsidRPr="0001264E">
              <w:rPr>
                <w:rFonts w:eastAsia="Times New Roman"/>
                <w:color w:val="000000"/>
                <w:sz w:val="20"/>
                <w:szCs w:val="20"/>
                <w:vertAlign w:val="superscript"/>
              </w:rPr>
              <w:t>(отражает отношение наиболее ликвидной части оборотных средств к краткосрочным обязательствам)</w:t>
            </w:r>
          </w:p>
        </w:tc>
        <w:tc>
          <w:tcPr>
            <w:tcW w:w="3248" w:type="dxa"/>
            <w:hideMark/>
          </w:tcPr>
          <w:p w:rsidR="007C11BF" w:rsidRPr="0001264E" w:rsidRDefault="007C11BF" w:rsidP="006F4AB8">
            <w:pPr>
              <w:ind w:firstLine="0"/>
              <w:jc w:val="left"/>
              <w:rPr>
                <w:rFonts w:eastAsia="Times New Roman"/>
                <w:color w:val="000000"/>
                <w:sz w:val="20"/>
                <w:szCs w:val="20"/>
              </w:rPr>
            </w:pPr>
            <w:r w:rsidRPr="0001264E">
              <w:rPr>
                <w:rFonts w:eastAsia="Times New Roman"/>
                <w:color w:val="000000"/>
                <w:sz w:val="20"/>
                <w:szCs w:val="20"/>
              </w:rPr>
              <w:t>(Денежные средства и денежные эквиваленты + Краткосрочные финансовые вложения + Дебиторская задолженность менее 12 месяцев + Прочие оборотные активы) / Краткосрочные обязательства</w:t>
            </w:r>
          </w:p>
        </w:tc>
        <w:tc>
          <w:tcPr>
            <w:tcW w:w="2668" w:type="dxa"/>
            <w:hideMark/>
          </w:tcPr>
          <w:p w:rsidR="007C11BF" w:rsidRPr="0001264E" w:rsidRDefault="007C11BF" w:rsidP="006F4AB8">
            <w:pPr>
              <w:ind w:firstLine="0"/>
              <w:jc w:val="center"/>
              <w:rPr>
                <w:rFonts w:eastAsia="Times New Roman"/>
                <w:color w:val="000000"/>
                <w:sz w:val="20"/>
                <w:szCs w:val="20"/>
              </w:rPr>
            </w:pPr>
            <w:r w:rsidRPr="0001264E">
              <w:rPr>
                <w:rFonts w:eastAsia="Times New Roman"/>
                <w:color w:val="000000"/>
                <w:sz w:val="20"/>
                <w:szCs w:val="20"/>
              </w:rPr>
              <w:t>(стр. 1260 ф.1 + стр. 1250 ф.1 + стр. 1240 ф.1 +стр. 1232 ф.1) / стр. 1500 ф.1</w:t>
            </w:r>
          </w:p>
        </w:tc>
        <w:tc>
          <w:tcPr>
            <w:tcW w:w="1142" w:type="dxa"/>
            <w:vAlign w:val="center"/>
            <w:hideMark/>
          </w:tcPr>
          <w:p w:rsidR="007C11BF" w:rsidRPr="0001264E" w:rsidRDefault="007C11BF" w:rsidP="006F4AB8">
            <w:pPr>
              <w:ind w:firstLine="0"/>
              <w:jc w:val="right"/>
              <w:rPr>
                <w:color w:val="000000"/>
                <w:sz w:val="20"/>
                <w:szCs w:val="20"/>
              </w:rPr>
            </w:pPr>
            <w:r w:rsidRPr="0001264E">
              <w:rPr>
                <w:color w:val="000000"/>
                <w:sz w:val="20"/>
                <w:szCs w:val="20"/>
              </w:rPr>
              <w:t>0,47</w:t>
            </w:r>
          </w:p>
        </w:tc>
        <w:tc>
          <w:tcPr>
            <w:tcW w:w="1128" w:type="dxa"/>
            <w:vAlign w:val="center"/>
            <w:hideMark/>
          </w:tcPr>
          <w:p w:rsidR="007C11BF" w:rsidRPr="0001264E" w:rsidRDefault="007C11BF" w:rsidP="006F4AB8">
            <w:pPr>
              <w:ind w:firstLine="0"/>
              <w:jc w:val="right"/>
              <w:rPr>
                <w:color w:val="000000"/>
                <w:sz w:val="20"/>
                <w:szCs w:val="20"/>
              </w:rPr>
            </w:pPr>
            <w:r w:rsidRPr="0001264E">
              <w:rPr>
                <w:color w:val="000000"/>
                <w:sz w:val="20"/>
                <w:szCs w:val="20"/>
              </w:rPr>
              <w:t>0,49</w:t>
            </w:r>
          </w:p>
        </w:tc>
        <w:tc>
          <w:tcPr>
            <w:tcW w:w="988" w:type="dxa"/>
            <w:vAlign w:val="center"/>
            <w:hideMark/>
          </w:tcPr>
          <w:p w:rsidR="007C11BF" w:rsidRPr="0001264E" w:rsidRDefault="007C11BF" w:rsidP="006F4AB8">
            <w:pPr>
              <w:ind w:firstLine="0"/>
              <w:jc w:val="right"/>
              <w:rPr>
                <w:color w:val="000000"/>
                <w:sz w:val="20"/>
                <w:szCs w:val="20"/>
              </w:rPr>
            </w:pPr>
            <w:r w:rsidRPr="0001264E">
              <w:rPr>
                <w:color w:val="000000"/>
                <w:sz w:val="20"/>
                <w:szCs w:val="20"/>
              </w:rPr>
              <w:t>0,43</w:t>
            </w:r>
          </w:p>
        </w:tc>
        <w:tc>
          <w:tcPr>
            <w:tcW w:w="1337" w:type="dxa"/>
            <w:vAlign w:val="center"/>
            <w:hideMark/>
          </w:tcPr>
          <w:p w:rsidR="007C11BF" w:rsidRPr="0001264E" w:rsidRDefault="007C11BF" w:rsidP="006F4AB8">
            <w:pPr>
              <w:ind w:firstLine="0"/>
              <w:jc w:val="right"/>
              <w:rPr>
                <w:color w:val="000000"/>
                <w:sz w:val="20"/>
                <w:szCs w:val="20"/>
              </w:rPr>
            </w:pPr>
            <w:r w:rsidRPr="0001264E">
              <w:rPr>
                <w:color w:val="000000"/>
                <w:sz w:val="20"/>
                <w:szCs w:val="20"/>
              </w:rPr>
              <w:t>-0,06 п.п.</w:t>
            </w:r>
          </w:p>
        </w:tc>
      </w:tr>
      <w:tr w:rsidR="007C11BF" w:rsidRPr="004761E0" w:rsidTr="006F4AB8">
        <w:trPr>
          <w:trHeight w:val="77"/>
        </w:trPr>
        <w:tc>
          <w:tcPr>
            <w:tcW w:w="722" w:type="dxa"/>
          </w:tcPr>
          <w:p w:rsidR="007C11BF" w:rsidRPr="0001264E" w:rsidRDefault="007C11BF" w:rsidP="007C11BF">
            <w:pPr>
              <w:pStyle w:val="a5"/>
              <w:numPr>
                <w:ilvl w:val="1"/>
                <w:numId w:val="179"/>
              </w:numPr>
              <w:contextualSpacing w:val="0"/>
              <w:jc w:val="left"/>
              <w:rPr>
                <w:rFonts w:eastAsia="Times New Roman"/>
                <w:color w:val="000000"/>
                <w:sz w:val="20"/>
                <w:szCs w:val="20"/>
              </w:rPr>
            </w:pPr>
          </w:p>
        </w:tc>
        <w:tc>
          <w:tcPr>
            <w:tcW w:w="3242" w:type="dxa"/>
            <w:hideMark/>
          </w:tcPr>
          <w:p w:rsidR="007C11BF" w:rsidRPr="0001264E" w:rsidRDefault="007C11BF" w:rsidP="006F4AB8">
            <w:pPr>
              <w:ind w:firstLine="0"/>
              <w:jc w:val="left"/>
              <w:rPr>
                <w:rFonts w:eastAsia="Times New Roman"/>
                <w:color w:val="000000"/>
                <w:sz w:val="20"/>
                <w:szCs w:val="20"/>
              </w:rPr>
            </w:pPr>
            <w:r w:rsidRPr="0001264E">
              <w:rPr>
                <w:rFonts w:eastAsia="Times New Roman"/>
                <w:color w:val="000000"/>
                <w:sz w:val="20"/>
                <w:szCs w:val="20"/>
              </w:rPr>
              <w:t>Коэффициент текущей ликвидности</w:t>
            </w:r>
          </w:p>
          <w:p w:rsidR="007C11BF" w:rsidRPr="0001264E" w:rsidRDefault="007C11BF" w:rsidP="006F4AB8">
            <w:pPr>
              <w:ind w:firstLine="0"/>
              <w:jc w:val="left"/>
              <w:rPr>
                <w:rFonts w:eastAsia="Times New Roman"/>
                <w:color w:val="000000"/>
                <w:sz w:val="20"/>
                <w:szCs w:val="20"/>
                <w:vertAlign w:val="superscript"/>
              </w:rPr>
            </w:pPr>
            <w:r w:rsidRPr="0001264E">
              <w:rPr>
                <w:rFonts w:eastAsia="Times New Roman"/>
                <w:color w:val="000000"/>
                <w:sz w:val="20"/>
                <w:szCs w:val="20"/>
                <w:vertAlign w:val="superscript"/>
              </w:rPr>
              <w:t>(характеризует общую обеспеченность предприятия оборотными средствами для ведения хозяйственной деятельности и своевременного погашения срочных (текущих) обязательств)</w:t>
            </w:r>
          </w:p>
        </w:tc>
        <w:tc>
          <w:tcPr>
            <w:tcW w:w="3248" w:type="dxa"/>
            <w:hideMark/>
          </w:tcPr>
          <w:p w:rsidR="007C11BF" w:rsidRPr="0001264E" w:rsidRDefault="007C11BF" w:rsidP="006F4AB8">
            <w:pPr>
              <w:ind w:firstLine="0"/>
              <w:jc w:val="left"/>
              <w:rPr>
                <w:rFonts w:eastAsia="Times New Roman"/>
                <w:color w:val="000000"/>
                <w:sz w:val="20"/>
                <w:szCs w:val="20"/>
              </w:rPr>
            </w:pPr>
            <w:r w:rsidRPr="0001264E">
              <w:rPr>
                <w:rFonts w:eastAsia="Times New Roman"/>
                <w:color w:val="000000"/>
                <w:sz w:val="20"/>
                <w:szCs w:val="20"/>
              </w:rPr>
              <w:t>Текущие активы / Текущие обязательства</w:t>
            </w:r>
          </w:p>
        </w:tc>
        <w:tc>
          <w:tcPr>
            <w:tcW w:w="2668" w:type="dxa"/>
            <w:hideMark/>
          </w:tcPr>
          <w:p w:rsidR="007C11BF" w:rsidRPr="0001264E" w:rsidRDefault="007C11BF" w:rsidP="006F4AB8">
            <w:pPr>
              <w:ind w:firstLine="0"/>
              <w:jc w:val="center"/>
              <w:rPr>
                <w:rFonts w:eastAsia="Times New Roman"/>
                <w:color w:val="000000"/>
                <w:sz w:val="20"/>
                <w:szCs w:val="20"/>
              </w:rPr>
            </w:pPr>
            <w:r w:rsidRPr="0001264E">
              <w:rPr>
                <w:rFonts w:eastAsia="Times New Roman"/>
                <w:color w:val="000000"/>
                <w:sz w:val="20"/>
                <w:szCs w:val="20"/>
              </w:rPr>
              <w:t>стр. 1200 ф.1 / стр. 1500 ф.1</w:t>
            </w:r>
          </w:p>
        </w:tc>
        <w:tc>
          <w:tcPr>
            <w:tcW w:w="1142" w:type="dxa"/>
            <w:vAlign w:val="center"/>
            <w:hideMark/>
          </w:tcPr>
          <w:p w:rsidR="007C11BF" w:rsidRPr="0001264E" w:rsidRDefault="007C11BF" w:rsidP="006F4AB8">
            <w:pPr>
              <w:ind w:firstLine="0"/>
              <w:jc w:val="right"/>
              <w:rPr>
                <w:color w:val="000000"/>
                <w:sz w:val="20"/>
                <w:szCs w:val="20"/>
              </w:rPr>
            </w:pPr>
            <w:r w:rsidRPr="0001264E">
              <w:rPr>
                <w:color w:val="000000"/>
                <w:sz w:val="20"/>
                <w:szCs w:val="20"/>
              </w:rPr>
              <w:t>1,06</w:t>
            </w:r>
          </w:p>
        </w:tc>
        <w:tc>
          <w:tcPr>
            <w:tcW w:w="1128" w:type="dxa"/>
            <w:vAlign w:val="center"/>
            <w:hideMark/>
          </w:tcPr>
          <w:p w:rsidR="007C11BF" w:rsidRPr="0001264E" w:rsidRDefault="007C11BF" w:rsidP="006F4AB8">
            <w:pPr>
              <w:ind w:firstLine="0"/>
              <w:jc w:val="right"/>
              <w:rPr>
                <w:color w:val="000000"/>
                <w:sz w:val="20"/>
                <w:szCs w:val="20"/>
              </w:rPr>
            </w:pPr>
            <w:r w:rsidRPr="0001264E">
              <w:rPr>
                <w:color w:val="000000"/>
                <w:sz w:val="20"/>
                <w:szCs w:val="20"/>
              </w:rPr>
              <w:t>1,03</w:t>
            </w:r>
          </w:p>
        </w:tc>
        <w:tc>
          <w:tcPr>
            <w:tcW w:w="988" w:type="dxa"/>
            <w:vAlign w:val="center"/>
            <w:hideMark/>
          </w:tcPr>
          <w:p w:rsidR="007C11BF" w:rsidRPr="0001264E" w:rsidRDefault="007C11BF" w:rsidP="006F4AB8">
            <w:pPr>
              <w:ind w:firstLine="0"/>
              <w:jc w:val="right"/>
              <w:rPr>
                <w:color w:val="000000"/>
                <w:sz w:val="20"/>
                <w:szCs w:val="20"/>
              </w:rPr>
            </w:pPr>
            <w:r w:rsidRPr="0001264E">
              <w:rPr>
                <w:color w:val="000000"/>
                <w:sz w:val="20"/>
                <w:szCs w:val="20"/>
              </w:rPr>
              <w:t>0,68</w:t>
            </w:r>
          </w:p>
        </w:tc>
        <w:tc>
          <w:tcPr>
            <w:tcW w:w="1337" w:type="dxa"/>
            <w:vAlign w:val="center"/>
            <w:hideMark/>
          </w:tcPr>
          <w:p w:rsidR="007C11BF" w:rsidRPr="0001264E" w:rsidRDefault="007C11BF" w:rsidP="006F4AB8">
            <w:pPr>
              <w:ind w:firstLine="0"/>
              <w:jc w:val="right"/>
              <w:rPr>
                <w:color w:val="000000"/>
                <w:sz w:val="20"/>
                <w:szCs w:val="20"/>
              </w:rPr>
            </w:pPr>
            <w:r w:rsidRPr="0001264E">
              <w:rPr>
                <w:color w:val="000000"/>
                <w:sz w:val="20"/>
                <w:szCs w:val="20"/>
              </w:rPr>
              <w:t>-0,35 п.п.</w:t>
            </w:r>
          </w:p>
        </w:tc>
      </w:tr>
      <w:tr w:rsidR="007C11BF" w:rsidRPr="004761E0" w:rsidTr="006F4AB8">
        <w:trPr>
          <w:trHeight w:val="217"/>
        </w:trPr>
        <w:tc>
          <w:tcPr>
            <w:tcW w:w="722" w:type="dxa"/>
            <w:shd w:val="clear" w:color="auto" w:fill="D9D9D9"/>
          </w:tcPr>
          <w:p w:rsidR="007C11BF" w:rsidRPr="0001264E" w:rsidRDefault="007C11BF" w:rsidP="007C11BF">
            <w:pPr>
              <w:pStyle w:val="a5"/>
              <w:numPr>
                <w:ilvl w:val="0"/>
                <w:numId w:val="179"/>
              </w:numPr>
              <w:ind w:left="0" w:firstLine="0"/>
              <w:contextualSpacing w:val="0"/>
              <w:jc w:val="left"/>
              <w:rPr>
                <w:rFonts w:eastAsia="Times New Roman"/>
                <w:b/>
                <w:bCs/>
                <w:color w:val="000000"/>
                <w:sz w:val="20"/>
                <w:szCs w:val="20"/>
              </w:rPr>
            </w:pPr>
          </w:p>
        </w:tc>
        <w:tc>
          <w:tcPr>
            <w:tcW w:w="13753" w:type="dxa"/>
            <w:gridSpan w:val="7"/>
            <w:shd w:val="clear" w:color="auto" w:fill="D9D9D9"/>
            <w:hideMark/>
          </w:tcPr>
          <w:p w:rsidR="007C11BF" w:rsidRPr="0001264E" w:rsidRDefault="007C11BF" w:rsidP="006F4AB8">
            <w:pPr>
              <w:ind w:firstLine="0"/>
              <w:jc w:val="left"/>
              <w:rPr>
                <w:rFonts w:eastAsia="Times New Roman"/>
                <w:b/>
                <w:bCs/>
                <w:color w:val="000000"/>
                <w:sz w:val="20"/>
                <w:szCs w:val="20"/>
              </w:rPr>
            </w:pPr>
            <w:r w:rsidRPr="0001264E">
              <w:rPr>
                <w:rFonts w:eastAsia="Times New Roman"/>
                <w:b/>
                <w:bCs/>
                <w:color w:val="000000"/>
                <w:sz w:val="20"/>
                <w:szCs w:val="20"/>
              </w:rPr>
              <w:t>Показатели финансовой устойчивости</w:t>
            </w:r>
          </w:p>
        </w:tc>
      </w:tr>
      <w:tr w:rsidR="007C11BF" w:rsidRPr="004761E0" w:rsidTr="006F4AB8">
        <w:trPr>
          <w:trHeight w:val="651"/>
        </w:trPr>
        <w:tc>
          <w:tcPr>
            <w:tcW w:w="722" w:type="dxa"/>
          </w:tcPr>
          <w:p w:rsidR="007C11BF" w:rsidRPr="0001264E" w:rsidRDefault="007C11BF" w:rsidP="007C11BF">
            <w:pPr>
              <w:pStyle w:val="a5"/>
              <w:numPr>
                <w:ilvl w:val="1"/>
                <w:numId w:val="179"/>
              </w:numPr>
              <w:contextualSpacing w:val="0"/>
              <w:jc w:val="left"/>
              <w:rPr>
                <w:rFonts w:eastAsia="Times New Roman"/>
                <w:color w:val="000000"/>
                <w:sz w:val="20"/>
                <w:szCs w:val="20"/>
              </w:rPr>
            </w:pPr>
          </w:p>
        </w:tc>
        <w:tc>
          <w:tcPr>
            <w:tcW w:w="3242" w:type="dxa"/>
            <w:hideMark/>
          </w:tcPr>
          <w:p w:rsidR="007C11BF" w:rsidRPr="0001264E" w:rsidRDefault="007C11BF" w:rsidP="006F4AB8">
            <w:pPr>
              <w:ind w:firstLine="0"/>
              <w:jc w:val="left"/>
              <w:rPr>
                <w:rFonts w:eastAsia="Times New Roman"/>
                <w:color w:val="000000"/>
                <w:sz w:val="20"/>
                <w:szCs w:val="20"/>
              </w:rPr>
            </w:pPr>
            <w:r w:rsidRPr="0001264E">
              <w:rPr>
                <w:rFonts w:eastAsia="Times New Roman"/>
                <w:color w:val="000000"/>
                <w:sz w:val="20"/>
                <w:szCs w:val="20"/>
              </w:rPr>
              <w:t>Коэффициент автономии (финансовой независимости)</w:t>
            </w:r>
          </w:p>
          <w:p w:rsidR="007C11BF" w:rsidRPr="0001264E" w:rsidRDefault="007C11BF" w:rsidP="006F4AB8">
            <w:pPr>
              <w:ind w:firstLine="0"/>
              <w:jc w:val="left"/>
              <w:rPr>
                <w:rFonts w:eastAsia="Times New Roman"/>
                <w:color w:val="000000"/>
                <w:sz w:val="20"/>
                <w:szCs w:val="20"/>
                <w:vertAlign w:val="superscript"/>
              </w:rPr>
            </w:pPr>
            <w:r w:rsidRPr="0001264E">
              <w:rPr>
                <w:rFonts w:eastAsia="Times New Roman"/>
                <w:color w:val="000000"/>
                <w:sz w:val="20"/>
                <w:szCs w:val="20"/>
                <w:vertAlign w:val="superscript"/>
              </w:rPr>
              <w:t>(показывает долю активов Компании, финансируемую за счет собственных средств)</w:t>
            </w:r>
          </w:p>
        </w:tc>
        <w:tc>
          <w:tcPr>
            <w:tcW w:w="3248" w:type="dxa"/>
            <w:hideMark/>
          </w:tcPr>
          <w:p w:rsidR="007C11BF" w:rsidRPr="0001264E" w:rsidRDefault="007C11BF" w:rsidP="006F4AB8">
            <w:pPr>
              <w:ind w:firstLine="0"/>
              <w:jc w:val="left"/>
              <w:rPr>
                <w:rFonts w:eastAsia="Times New Roman"/>
                <w:color w:val="000000"/>
                <w:sz w:val="20"/>
                <w:szCs w:val="20"/>
              </w:rPr>
            </w:pPr>
            <w:r w:rsidRPr="0001264E">
              <w:rPr>
                <w:rFonts w:eastAsia="Times New Roman"/>
                <w:color w:val="000000"/>
                <w:sz w:val="20"/>
                <w:szCs w:val="20"/>
              </w:rPr>
              <w:t>Собственный капитал / Совокупные пассивы</w:t>
            </w:r>
          </w:p>
        </w:tc>
        <w:tc>
          <w:tcPr>
            <w:tcW w:w="2668" w:type="dxa"/>
            <w:hideMark/>
          </w:tcPr>
          <w:p w:rsidR="007C11BF" w:rsidRPr="0001264E" w:rsidRDefault="007C11BF" w:rsidP="006F4AB8">
            <w:pPr>
              <w:ind w:firstLine="0"/>
              <w:jc w:val="center"/>
              <w:rPr>
                <w:rFonts w:eastAsia="Times New Roman"/>
                <w:color w:val="000000"/>
                <w:sz w:val="20"/>
                <w:szCs w:val="20"/>
              </w:rPr>
            </w:pPr>
            <w:r w:rsidRPr="0001264E">
              <w:rPr>
                <w:rFonts w:eastAsia="Times New Roman"/>
                <w:color w:val="000000"/>
                <w:sz w:val="20"/>
                <w:szCs w:val="20"/>
              </w:rPr>
              <w:t xml:space="preserve">стр. 1300 ф. 1 / </w:t>
            </w:r>
          </w:p>
          <w:p w:rsidR="007C11BF" w:rsidRPr="0001264E" w:rsidRDefault="007C11BF" w:rsidP="006F4AB8">
            <w:pPr>
              <w:ind w:firstLine="0"/>
              <w:jc w:val="center"/>
              <w:rPr>
                <w:rFonts w:eastAsia="Times New Roman"/>
                <w:color w:val="000000"/>
                <w:sz w:val="20"/>
                <w:szCs w:val="20"/>
              </w:rPr>
            </w:pPr>
            <w:r w:rsidRPr="0001264E">
              <w:rPr>
                <w:rFonts w:eastAsia="Times New Roman"/>
                <w:color w:val="000000"/>
                <w:sz w:val="20"/>
                <w:szCs w:val="20"/>
              </w:rPr>
              <w:t>стр. 1700 ф. 1</w:t>
            </w:r>
          </w:p>
        </w:tc>
        <w:tc>
          <w:tcPr>
            <w:tcW w:w="1142" w:type="dxa"/>
            <w:vAlign w:val="center"/>
            <w:hideMark/>
          </w:tcPr>
          <w:p w:rsidR="007C11BF" w:rsidRPr="0001264E" w:rsidRDefault="007C11BF" w:rsidP="006F4AB8">
            <w:pPr>
              <w:ind w:firstLine="0"/>
              <w:jc w:val="right"/>
              <w:rPr>
                <w:sz w:val="20"/>
                <w:szCs w:val="20"/>
              </w:rPr>
            </w:pPr>
            <w:r w:rsidRPr="0001264E">
              <w:rPr>
                <w:sz w:val="20"/>
                <w:szCs w:val="20"/>
              </w:rPr>
              <w:t>0,58</w:t>
            </w:r>
          </w:p>
        </w:tc>
        <w:tc>
          <w:tcPr>
            <w:tcW w:w="1128" w:type="dxa"/>
            <w:vAlign w:val="center"/>
            <w:hideMark/>
          </w:tcPr>
          <w:p w:rsidR="007C11BF" w:rsidRPr="0001264E" w:rsidRDefault="007C11BF" w:rsidP="006F4AB8">
            <w:pPr>
              <w:ind w:firstLine="0"/>
              <w:jc w:val="right"/>
              <w:rPr>
                <w:sz w:val="20"/>
                <w:szCs w:val="20"/>
              </w:rPr>
            </w:pPr>
            <w:r w:rsidRPr="0001264E">
              <w:rPr>
                <w:sz w:val="20"/>
                <w:szCs w:val="20"/>
              </w:rPr>
              <w:t>0,60</w:t>
            </w:r>
          </w:p>
        </w:tc>
        <w:tc>
          <w:tcPr>
            <w:tcW w:w="988" w:type="dxa"/>
            <w:vAlign w:val="center"/>
            <w:hideMark/>
          </w:tcPr>
          <w:p w:rsidR="007C11BF" w:rsidRPr="0001264E" w:rsidRDefault="007C11BF" w:rsidP="006F4AB8">
            <w:pPr>
              <w:ind w:firstLine="0"/>
              <w:jc w:val="right"/>
              <w:rPr>
                <w:sz w:val="20"/>
                <w:szCs w:val="20"/>
              </w:rPr>
            </w:pPr>
            <w:r w:rsidRPr="0001264E">
              <w:rPr>
                <w:sz w:val="20"/>
                <w:szCs w:val="20"/>
              </w:rPr>
              <w:t>0,60</w:t>
            </w:r>
          </w:p>
        </w:tc>
        <w:tc>
          <w:tcPr>
            <w:tcW w:w="1337" w:type="dxa"/>
            <w:vAlign w:val="center"/>
            <w:hideMark/>
          </w:tcPr>
          <w:p w:rsidR="007C11BF" w:rsidRPr="0001264E" w:rsidRDefault="007C11BF" w:rsidP="006F4AB8">
            <w:pPr>
              <w:ind w:firstLine="0"/>
              <w:jc w:val="right"/>
              <w:rPr>
                <w:sz w:val="20"/>
                <w:szCs w:val="20"/>
              </w:rPr>
            </w:pPr>
            <w:r w:rsidRPr="0001264E">
              <w:rPr>
                <w:sz w:val="20"/>
                <w:szCs w:val="20"/>
              </w:rPr>
              <w:t>0,00</w:t>
            </w:r>
          </w:p>
        </w:tc>
      </w:tr>
      <w:tr w:rsidR="007C11BF" w:rsidRPr="004761E0" w:rsidTr="006F4AB8">
        <w:trPr>
          <w:trHeight w:val="651"/>
        </w:trPr>
        <w:tc>
          <w:tcPr>
            <w:tcW w:w="722" w:type="dxa"/>
          </w:tcPr>
          <w:p w:rsidR="007C11BF" w:rsidRPr="0001264E" w:rsidRDefault="007C11BF" w:rsidP="007C11BF">
            <w:pPr>
              <w:pStyle w:val="a5"/>
              <w:numPr>
                <w:ilvl w:val="1"/>
                <w:numId w:val="179"/>
              </w:numPr>
              <w:contextualSpacing w:val="0"/>
              <w:jc w:val="left"/>
              <w:rPr>
                <w:rFonts w:eastAsia="Times New Roman"/>
                <w:color w:val="000000"/>
                <w:sz w:val="20"/>
                <w:szCs w:val="20"/>
              </w:rPr>
            </w:pPr>
          </w:p>
        </w:tc>
        <w:tc>
          <w:tcPr>
            <w:tcW w:w="3242" w:type="dxa"/>
            <w:hideMark/>
          </w:tcPr>
          <w:p w:rsidR="007C11BF" w:rsidRPr="0001264E" w:rsidRDefault="007C11BF" w:rsidP="006F4AB8">
            <w:pPr>
              <w:ind w:firstLine="0"/>
              <w:jc w:val="left"/>
              <w:rPr>
                <w:rFonts w:eastAsia="Times New Roman"/>
                <w:color w:val="000000"/>
                <w:sz w:val="20"/>
                <w:szCs w:val="20"/>
              </w:rPr>
            </w:pPr>
            <w:r w:rsidRPr="0001264E">
              <w:rPr>
                <w:rFonts w:eastAsia="Times New Roman"/>
                <w:color w:val="000000"/>
                <w:sz w:val="20"/>
                <w:szCs w:val="20"/>
              </w:rPr>
              <w:t>Отношение совокупного долга к EBITDA</w:t>
            </w:r>
          </w:p>
        </w:tc>
        <w:tc>
          <w:tcPr>
            <w:tcW w:w="3248" w:type="dxa"/>
            <w:hideMark/>
          </w:tcPr>
          <w:p w:rsidR="007C11BF" w:rsidRPr="0001264E" w:rsidRDefault="007C11BF" w:rsidP="006F4AB8">
            <w:pPr>
              <w:ind w:firstLine="0"/>
              <w:jc w:val="left"/>
              <w:rPr>
                <w:rFonts w:eastAsia="Times New Roman"/>
                <w:color w:val="000000"/>
                <w:sz w:val="20"/>
                <w:szCs w:val="20"/>
              </w:rPr>
            </w:pPr>
            <w:r w:rsidRPr="0001264E">
              <w:rPr>
                <w:rFonts w:eastAsia="Times New Roman"/>
                <w:color w:val="000000"/>
                <w:sz w:val="20"/>
                <w:szCs w:val="20"/>
              </w:rPr>
              <w:t>(Долгосрочные заемные средства + Краткосрочные заемные средства) / EBITDA</w:t>
            </w:r>
          </w:p>
        </w:tc>
        <w:tc>
          <w:tcPr>
            <w:tcW w:w="2668" w:type="dxa"/>
            <w:hideMark/>
          </w:tcPr>
          <w:p w:rsidR="007C11BF" w:rsidRPr="0001264E" w:rsidRDefault="007C11BF" w:rsidP="006F4AB8">
            <w:pPr>
              <w:ind w:firstLine="0"/>
              <w:jc w:val="center"/>
              <w:rPr>
                <w:rFonts w:eastAsia="Times New Roman"/>
                <w:color w:val="000000"/>
                <w:sz w:val="20"/>
                <w:szCs w:val="20"/>
              </w:rPr>
            </w:pPr>
            <w:r w:rsidRPr="0001264E">
              <w:rPr>
                <w:rFonts w:eastAsia="Times New Roman"/>
                <w:color w:val="000000"/>
                <w:sz w:val="20"/>
                <w:szCs w:val="20"/>
              </w:rPr>
              <w:t>(стр. 1410 ф. 1 + стр. 1510 ф. 1) / EBITDA</w:t>
            </w:r>
          </w:p>
        </w:tc>
        <w:tc>
          <w:tcPr>
            <w:tcW w:w="1142" w:type="dxa"/>
            <w:vAlign w:val="center"/>
            <w:hideMark/>
          </w:tcPr>
          <w:p w:rsidR="007C11BF" w:rsidRPr="0001264E" w:rsidRDefault="007C11BF" w:rsidP="006F4AB8">
            <w:pPr>
              <w:ind w:firstLine="0"/>
              <w:jc w:val="right"/>
              <w:rPr>
                <w:sz w:val="20"/>
                <w:szCs w:val="20"/>
              </w:rPr>
            </w:pPr>
            <w:r w:rsidRPr="0001264E">
              <w:rPr>
                <w:sz w:val="20"/>
                <w:szCs w:val="20"/>
              </w:rPr>
              <w:t>1,02</w:t>
            </w:r>
          </w:p>
        </w:tc>
        <w:tc>
          <w:tcPr>
            <w:tcW w:w="1128" w:type="dxa"/>
            <w:vAlign w:val="center"/>
            <w:hideMark/>
          </w:tcPr>
          <w:p w:rsidR="007C11BF" w:rsidRPr="0001264E" w:rsidRDefault="007C11BF" w:rsidP="006F4AB8">
            <w:pPr>
              <w:ind w:firstLine="0"/>
              <w:jc w:val="right"/>
              <w:rPr>
                <w:sz w:val="20"/>
                <w:szCs w:val="20"/>
              </w:rPr>
            </w:pPr>
            <w:r w:rsidRPr="0001264E">
              <w:rPr>
                <w:sz w:val="20"/>
                <w:szCs w:val="20"/>
              </w:rPr>
              <w:t>1,27</w:t>
            </w:r>
          </w:p>
        </w:tc>
        <w:tc>
          <w:tcPr>
            <w:tcW w:w="988" w:type="dxa"/>
            <w:vAlign w:val="center"/>
            <w:hideMark/>
          </w:tcPr>
          <w:p w:rsidR="007C11BF" w:rsidRPr="0001264E" w:rsidRDefault="007C11BF" w:rsidP="006F4AB8">
            <w:pPr>
              <w:ind w:firstLine="0"/>
              <w:jc w:val="right"/>
              <w:rPr>
                <w:sz w:val="20"/>
                <w:szCs w:val="20"/>
              </w:rPr>
            </w:pPr>
            <w:r w:rsidRPr="0001264E">
              <w:rPr>
                <w:sz w:val="20"/>
                <w:szCs w:val="20"/>
              </w:rPr>
              <w:t>1,58</w:t>
            </w:r>
          </w:p>
        </w:tc>
        <w:tc>
          <w:tcPr>
            <w:tcW w:w="1337" w:type="dxa"/>
            <w:vAlign w:val="center"/>
            <w:hideMark/>
          </w:tcPr>
          <w:p w:rsidR="007C11BF" w:rsidRPr="0001264E" w:rsidRDefault="007C11BF" w:rsidP="006F4AB8">
            <w:pPr>
              <w:ind w:firstLine="0"/>
              <w:jc w:val="right"/>
              <w:rPr>
                <w:sz w:val="20"/>
                <w:szCs w:val="20"/>
              </w:rPr>
            </w:pPr>
            <w:r w:rsidRPr="0001264E">
              <w:rPr>
                <w:sz w:val="20"/>
                <w:szCs w:val="20"/>
              </w:rPr>
              <w:t>0,30</w:t>
            </w:r>
          </w:p>
        </w:tc>
      </w:tr>
      <w:tr w:rsidR="007C11BF" w:rsidRPr="004761E0" w:rsidTr="006F4AB8">
        <w:trPr>
          <w:trHeight w:val="923"/>
        </w:trPr>
        <w:tc>
          <w:tcPr>
            <w:tcW w:w="722" w:type="dxa"/>
          </w:tcPr>
          <w:p w:rsidR="007C11BF" w:rsidRPr="0001264E" w:rsidRDefault="007C11BF" w:rsidP="007C11BF">
            <w:pPr>
              <w:pStyle w:val="a5"/>
              <w:numPr>
                <w:ilvl w:val="1"/>
                <w:numId w:val="179"/>
              </w:numPr>
              <w:contextualSpacing w:val="0"/>
              <w:jc w:val="left"/>
              <w:rPr>
                <w:rFonts w:eastAsia="Times New Roman"/>
                <w:color w:val="000000"/>
                <w:sz w:val="20"/>
                <w:szCs w:val="20"/>
              </w:rPr>
            </w:pPr>
          </w:p>
        </w:tc>
        <w:tc>
          <w:tcPr>
            <w:tcW w:w="3242" w:type="dxa"/>
            <w:hideMark/>
          </w:tcPr>
          <w:p w:rsidR="007C11BF" w:rsidRPr="0001264E" w:rsidRDefault="007C11BF" w:rsidP="006F4AB8">
            <w:pPr>
              <w:ind w:firstLine="0"/>
              <w:jc w:val="left"/>
              <w:rPr>
                <w:rFonts w:eastAsia="Times New Roman"/>
                <w:color w:val="000000"/>
                <w:sz w:val="20"/>
                <w:szCs w:val="20"/>
                <w:lang w:eastAsia="ru-RU"/>
              </w:rPr>
            </w:pPr>
            <w:r w:rsidRPr="0001264E">
              <w:rPr>
                <w:rFonts w:eastAsia="Times New Roman"/>
                <w:color w:val="000000"/>
                <w:sz w:val="20"/>
                <w:szCs w:val="20"/>
                <w:lang w:eastAsia="ru-RU"/>
              </w:rPr>
              <w:t>Коэффициент обеспеченности собственными оборотными средствами</w:t>
            </w:r>
          </w:p>
        </w:tc>
        <w:tc>
          <w:tcPr>
            <w:tcW w:w="3248" w:type="dxa"/>
            <w:hideMark/>
          </w:tcPr>
          <w:p w:rsidR="007C11BF" w:rsidRPr="0001264E" w:rsidRDefault="007C11BF" w:rsidP="006F4AB8">
            <w:pPr>
              <w:ind w:firstLine="0"/>
              <w:jc w:val="left"/>
              <w:rPr>
                <w:rFonts w:eastAsia="Times New Roman"/>
                <w:color w:val="000000"/>
                <w:sz w:val="20"/>
                <w:szCs w:val="20"/>
                <w:lang w:eastAsia="ru-RU"/>
              </w:rPr>
            </w:pPr>
            <w:r w:rsidRPr="0001264E">
              <w:rPr>
                <w:rFonts w:eastAsia="Times New Roman"/>
                <w:color w:val="000000"/>
                <w:sz w:val="20"/>
                <w:szCs w:val="20"/>
                <w:lang w:eastAsia="ru-RU"/>
              </w:rPr>
              <w:t>(Оборотные активы - Дебиторская задолженность более 12 месяцев - Краткосрочные обязательства) / Оборотные активы</w:t>
            </w:r>
          </w:p>
        </w:tc>
        <w:tc>
          <w:tcPr>
            <w:tcW w:w="2668" w:type="dxa"/>
            <w:vAlign w:val="center"/>
            <w:hideMark/>
          </w:tcPr>
          <w:p w:rsidR="007C11BF" w:rsidRPr="0001264E" w:rsidRDefault="007C11BF" w:rsidP="006F4AB8">
            <w:pPr>
              <w:ind w:firstLine="0"/>
              <w:jc w:val="center"/>
              <w:rPr>
                <w:rFonts w:eastAsia="Times New Roman"/>
                <w:color w:val="000000"/>
                <w:sz w:val="20"/>
                <w:szCs w:val="20"/>
                <w:lang w:eastAsia="ru-RU"/>
              </w:rPr>
            </w:pPr>
            <w:r w:rsidRPr="0001264E">
              <w:rPr>
                <w:rFonts w:eastAsia="Times New Roman"/>
                <w:color w:val="000000"/>
                <w:sz w:val="20"/>
                <w:szCs w:val="20"/>
                <w:lang w:eastAsia="ru-RU"/>
              </w:rPr>
              <w:t xml:space="preserve">(стр. 1200 ф.1 - стр. 1231 ф. 1 - стр. 1500 ф. 1) / </w:t>
            </w:r>
          </w:p>
          <w:p w:rsidR="007C11BF" w:rsidRPr="0001264E" w:rsidRDefault="007C11BF" w:rsidP="006F4AB8">
            <w:pPr>
              <w:ind w:firstLine="0"/>
              <w:jc w:val="center"/>
              <w:rPr>
                <w:rFonts w:eastAsia="Times New Roman"/>
                <w:color w:val="000000"/>
                <w:sz w:val="20"/>
                <w:szCs w:val="20"/>
                <w:lang w:eastAsia="ru-RU"/>
              </w:rPr>
            </w:pPr>
            <w:r w:rsidRPr="0001264E">
              <w:rPr>
                <w:rFonts w:eastAsia="Times New Roman"/>
                <w:color w:val="000000"/>
                <w:sz w:val="20"/>
                <w:szCs w:val="20"/>
                <w:lang w:eastAsia="ru-RU"/>
              </w:rPr>
              <w:t>стр. 1200 ф. 1</w:t>
            </w:r>
          </w:p>
        </w:tc>
        <w:tc>
          <w:tcPr>
            <w:tcW w:w="1142" w:type="dxa"/>
            <w:vAlign w:val="center"/>
            <w:hideMark/>
          </w:tcPr>
          <w:p w:rsidR="007C11BF" w:rsidRPr="0001264E" w:rsidRDefault="007C11BF" w:rsidP="006F4AB8">
            <w:pPr>
              <w:ind w:firstLine="0"/>
              <w:jc w:val="right"/>
              <w:rPr>
                <w:rFonts w:eastAsia="Times New Roman"/>
                <w:sz w:val="20"/>
                <w:szCs w:val="20"/>
                <w:lang w:eastAsia="ru-RU"/>
              </w:rPr>
            </w:pPr>
            <w:r w:rsidRPr="0001264E">
              <w:rPr>
                <w:rFonts w:eastAsia="Times New Roman"/>
                <w:sz w:val="20"/>
                <w:szCs w:val="20"/>
                <w:lang w:eastAsia="ru-RU"/>
              </w:rPr>
              <w:t>-0,42</w:t>
            </w:r>
          </w:p>
        </w:tc>
        <w:tc>
          <w:tcPr>
            <w:tcW w:w="1128" w:type="dxa"/>
            <w:vAlign w:val="center"/>
            <w:hideMark/>
          </w:tcPr>
          <w:p w:rsidR="007C11BF" w:rsidRPr="0001264E" w:rsidRDefault="007C11BF" w:rsidP="006F4AB8">
            <w:pPr>
              <w:ind w:firstLine="0"/>
              <w:jc w:val="right"/>
              <w:rPr>
                <w:rFonts w:eastAsia="Times New Roman"/>
                <w:sz w:val="20"/>
                <w:szCs w:val="20"/>
                <w:lang w:eastAsia="ru-RU"/>
              </w:rPr>
            </w:pPr>
            <w:r w:rsidRPr="0001264E">
              <w:rPr>
                <w:rFonts w:eastAsia="Times New Roman"/>
                <w:sz w:val="20"/>
                <w:szCs w:val="20"/>
                <w:lang w:eastAsia="ru-RU"/>
              </w:rPr>
              <w:t>-0,40</w:t>
            </w:r>
          </w:p>
        </w:tc>
        <w:tc>
          <w:tcPr>
            <w:tcW w:w="988" w:type="dxa"/>
            <w:vAlign w:val="center"/>
            <w:hideMark/>
          </w:tcPr>
          <w:p w:rsidR="007C11BF" w:rsidRPr="0001264E" w:rsidRDefault="007C11BF" w:rsidP="006F4AB8">
            <w:pPr>
              <w:ind w:firstLine="0"/>
              <w:jc w:val="right"/>
              <w:rPr>
                <w:rFonts w:eastAsia="Times New Roman"/>
                <w:sz w:val="20"/>
                <w:szCs w:val="20"/>
                <w:lang w:eastAsia="ru-RU"/>
              </w:rPr>
            </w:pPr>
            <w:r w:rsidRPr="0001264E">
              <w:rPr>
                <w:rFonts w:eastAsia="Times New Roman"/>
                <w:sz w:val="20"/>
                <w:szCs w:val="20"/>
                <w:lang w:eastAsia="ru-RU"/>
              </w:rPr>
              <w:t>-0,67</w:t>
            </w:r>
          </w:p>
        </w:tc>
        <w:tc>
          <w:tcPr>
            <w:tcW w:w="1337" w:type="dxa"/>
            <w:vAlign w:val="center"/>
            <w:hideMark/>
          </w:tcPr>
          <w:p w:rsidR="007C11BF" w:rsidRPr="0001264E" w:rsidRDefault="007C11BF" w:rsidP="006F4AB8">
            <w:pPr>
              <w:ind w:firstLine="0"/>
              <w:jc w:val="right"/>
              <w:rPr>
                <w:rFonts w:eastAsia="Times New Roman"/>
                <w:sz w:val="20"/>
                <w:szCs w:val="20"/>
                <w:lang w:eastAsia="ru-RU"/>
              </w:rPr>
            </w:pPr>
            <w:r w:rsidRPr="0001264E">
              <w:rPr>
                <w:rFonts w:eastAsia="Times New Roman"/>
                <w:sz w:val="20"/>
                <w:szCs w:val="20"/>
                <w:lang w:eastAsia="ru-RU"/>
              </w:rPr>
              <w:t>-0,27</w:t>
            </w:r>
          </w:p>
        </w:tc>
      </w:tr>
      <w:tr w:rsidR="007C11BF" w:rsidRPr="004761E0" w:rsidTr="006F4AB8">
        <w:trPr>
          <w:trHeight w:val="217"/>
        </w:trPr>
        <w:tc>
          <w:tcPr>
            <w:tcW w:w="722" w:type="dxa"/>
            <w:shd w:val="clear" w:color="auto" w:fill="D9D9D9"/>
          </w:tcPr>
          <w:p w:rsidR="007C11BF" w:rsidRPr="0001264E" w:rsidRDefault="007C11BF" w:rsidP="007C11BF">
            <w:pPr>
              <w:pStyle w:val="a5"/>
              <w:numPr>
                <w:ilvl w:val="0"/>
                <w:numId w:val="179"/>
              </w:numPr>
              <w:ind w:left="0" w:firstLine="0"/>
              <w:contextualSpacing w:val="0"/>
              <w:jc w:val="left"/>
              <w:rPr>
                <w:rFonts w:eastAsia="Times New Roman"/>
                <w:b/>
                <w:bCs/>
                <w:color w:val="000000"/>
                <w:sz w:val="20"/>
                <w:szCs w:val="20"/>
              </w:rPr>
            </w:pPr>
          </w:p>
        </w:tc>
        <w:tc>
          <w:tcPr>
            <w:tcW w:w="13753" w:type="dxa"/>
            <w:gridSpan w:val="7"/>
            <w:shd w:val="clear" w:color="auto" w:fill="D9D9D9"/>
            <w:hideMark/>
          </w:tcPr>
          <w:p w:rsidR="007C11BF" w:rsidRPr="0001264E" w:rsidRDefault="007C11BF" w:rsidP="006F4AB8">
            <w:pPr>
              <w:ind w:firstLine="0"/>
              <w:jc w:val="left"/>
              <w:rPr>
                <w:rFonts w:eastAsia="Times New Roman"/>
                <w:b/>
                <w:bCs/>
                <w:color w:val="000000"/>
                <w:sz w:val="20"/>
                <w:szCs w:val="20"/>
              </w:rPr>
            </w:pPr>
            <w:r w:rsidRPr="0001264E">
              <w:rPr>
                <w:rFonts w:eastAsia="Times New Roman"/>
                <w:b/>
                <w:bCs/>
                <w:color w:val="000000"/>
                <w:sz w:val="20"/>
                <w:szCs w:val="20"/>
              </w:rPr>
              <w:t>Показатели рентабельности</w:t>
            </w:r>
          </w:p>
        </w:tc>
      </w:tr>
      <w:tr w:rsidR="007C11BF" w:rsidRPr="004761E0" w:rsidTr="006F4AB8">
        <w:trPr>
          <w:trHeight w:val="651"/>
        </w:trPr>
        <w:tc>
          <w:tcPr>
            <w:tcW w:w="722" w:type="dxa"/>
          </w:tcPr>
          <w:p w:rsidR="007C11BF" w:rsidRPr="0001264E" w:rsidRDefault="007C11BF" w:rsidP="007C11BF">
            <w:pPr>
              <w:pStyle w:val="a5"/>
              <w:numPr>
                <w:ilvl w:val="1"/>
                <w:numId w:val="179"/>
              </w:numPr>
              <w:contextualSpacing w:val="0"/>
              <w:jc w:val="left"/>
              <w:rPr>
                <w:rFonts w:eastAsia="Times New Roman"/>
                <w:color w:val="000000"/>
                <w:sz w:val="20"/>
                <w:szCs w:val="20"/>
              </w:rPr>
            </w:pPr>
          </w:p>
        </w:tc>
        <w:tc>
          <w:tcPr>
            <w:tcW w:w="3242" w:type="dxa"/>
            <w:hideMark/>
          </w:tcPr>
          <w:p w:rsidR="007C11BF" w:rsidRPr="0001264E" w:rsidRDefault="007C11BF" w:rsidP="006F4AB8">
            <w:pPr>
              <w:ind w:firstLine="0"/>
              <w:jc w:val="left"/>
              <w:rPr>
                <w:rFonts w:eastAsia="Times New Roman"/>
                <w:color w:val="000000"/>
                <w:sz w:val="20"/>
                <w:szCs w:val="20"/>
                <w:lang w:eastAsia="ru-RU"/>
              </w:rPr>
            </w:pPr>
            <w:r w:rsidRPr="0001264E">
              <w:rPr>
                <w:rFonts w:eastAsia="Times New Roman"/>
                <w:color w:val="000000"/>
                <w:sz w:val="20"/>
                <w:szCs w:val="20"/>
                <w:lang w:eastAsia="ru-RU"/>
              </w:rPr>
              <w:t>Рентабельность собственного капитала (ROE)</w:t>
            </w:r>
          </w:p>
        </w:tc>
        <w:tc>
          <w:tcPr>
            <w:tcW w:w="3248" w:type="dxa"/>
            <w:hideMark/>
          </w:tcPr>
          <w:p w:rsidR="007C11BF" w:rsidRPr="0001264E" w:rsidRDefault="007C11BF" w:rsidP="006F4AB8">
            <w:pPr>
              <w:ind w:firstLine="0"/>
              <w:jc w:val="left"/>
              <w:rPr>
                <w:rFonts w:eastAsia="Times New Roman"/>
                <w:color w:val="000000"/>
                <w:sz w:val="20"/>
                <w:szCs w:val="20"/>
                <w:lang w:eastAsia="ru-RU"/>
              </w:rPr>
            </w:pPr>
            <w:r w:rsidRPr="0001264E">
              <w:rPr>
                <w:rFonts w:eastAsia="Times New Roman"/>
                <w:color w:val="000000"/>
                <w:sz w:val="20"/>
                <w:szCs w:val="20"/>
                <w:lang w:eastAsia="ru-RU"/>
              </w:rPr>
              <w:t>(Чистая прибыль / Собственный капитал) * 100 %</w:t>
            </w:r>
          </w:p>
        </w:tc>
        <w:tc>
          <w:tcPr>
            <w:tcW w:w="2668" w:type="dxa"/>
            <w:vAlign w:val="center"/>
            <w:hideMark/>
          </w:tcPr>
          <w:p w:rsidR="007C11BF" w:rsidRPr="0001264E" w:rsidRDefault="007C11BF" w:rsidP="006F4AB8">
            <w:pPr>
              <w:ind w:firstLine="0"/>
              <w:jc w:val="center"/>
              <w:rPr>
                <w:rFonts w:eastAsia="Times New Roman"/>
                <w:color w:val="000000"/>
                <w:sz w:val="20"/>
                <w:szCs w:val="20"/>
                <w:lang w:eastAsia="ru-RU"/>
              </w:rPr>
            </w:pPr>
            <w:r w:rsidRPr="0001264E">
              <w:rPr>
                <w:rFonts w:eastAsia="Times New Roman"/>
                <w:color w:val="000000"/>
                <w:sz w:val="20"/>
                <w:szCs w:val="20"/>
                <w:lang w:eastAsia="ru-RU"/>
              </w:rPr>
              <w:t>[стр. 2400 ф.2 / ((стр. 1300 ф. 1 отчет. + стр. 1300 ф. 1 баз.) / 2)]*100 %</w:t>
            </w:r>
          </w:p>
        </w:tc>
        <w:tc>
          <w:tcPr>
            <w:tcW w:w="1142" w:type="dxa"/>
            <w:vAlign w:val="center"/>
            <w:hideMark/>
          </w:tcPr>
          <w:p w:rsidR="007C11BF" w:rsidRPr="0001264E" w:rsidRDefault="007C11BF" w:rsidP="006F4AB8">
            <w:pPr>
              <w:ind w:firstLine="0"/>
              <w:jc w:val="right"/>
              <w:rPr>
                <w:rFonts w:eastAsia="Times New Roman"/>
                <w:sz w:val="20"/>
                <w:szCs w:val="20"/>
                <w:lang w:eastAsia="ru-RU"/>
              </w:rPr>
            </w:pPr>
            <w:r w:rsidRPr="0001264E">
              <w:rPr>
                <w:rFonts w:eastAsia="Times New Roman"/>
                <w:sz w:val="20"/>
                <w:szCs w:val="20"/>
                <w:lang w:eastAsia="ru-RU"/>
              </w:rPr>
              <w:t>11,54</w:t>
            </w:r>
          </w:p>
        </w:tc>
        <w:tc>
          <w:tcPr>
            <w:tcW w:w="1128" w:type="dxa"/>
            <w:vAlign w:val="center"/>
            <w:hideMark/>
          </w:tcPr>
          <w:p w:rsidR="007C11BF" w:rsidRPr="0001264E" w:rsidRDefault="007C11BF" w:rsidP="006F4AB8">
            <w:pPr>
              <w:ind w:firstLine="0"/>
              <w:jc w:val="right"/>
              <w:rPr>
                <w:rFonts w:eastAsia="Times New Roman"/>
                <w:sz w:val="20"/>
                <w:szCs w:val="20"/>
                <w:lang w:eastAsia="ru-RU"/>
              </w:rPr>
            </w:pPr>
            <w:r w:rsidRPr="0001264E">
              <w:rPr>
                <w:rFonts w:eastAsia="Times New Roman"/>
                <w:sz w:val="20"/>
                <w:szCs w:val="20"/>
                <w:lang w:eastAsia="ru-RU"/>
              </w:rPr>
              <w:t>10,53</w:t>
            </w:r>
          </w:p>
        </w:tc>
        <w:tc>
          <w:tcPr>
            <w:tcW w:w="988" w:type="dxa"/>
            <w:vAlign w:val="center"/>
            <w:hideMark/>
          </w:tcPr>
          <w:p w:rsidR="007C11BF" w:rsidRPr="0001264E" w:rsidRDefault="007C11BF" w:rsidP="006F4AB8">
            <w:pPr>
              <w:ind w:firstLine="0"/>
              <w:jc w:val="right"/>
              <w:rPr>
                <w:rFonts w:eastAsia="Times New Roman"/>
                <w:sz w:val="20"/>
                <w:szCs w:val="20"/>
                <w:lang w:eastAsia="ru-RU"/>
              </w:rPr>
            </w:pPr>
            <w:r w:rsidRPr="0001264E">
              <w:rPr>
                <w:rFonts w:eastAsia="Times New Roman"/>
                <w:sz w:val="20"/>
                <w:szCs w:val="20"/>
                <w:lang w:eastAsia="ru-RU"/>
              </w:rPr>
              <w:t>6,66</w:t>
            </w:r>
          </w:p>
        </w:tc>
        <w:tc>
          <w:tcPr>
            <w:tcW w:w="1337" w:type="dxa"/>
            <w:vAlign w:val="center"/>
            <w:hideMark/>
          </w:tcPr>
          <w:p w:rsidR="007C11BF" w:rsidRPr="0001264E" w:rsidRDefault="007C11BF" w:rsidP="006F4AB8">
            <w:pPr>
              <w:ind w:firstLine="0"/>
              <w:jc w:val="right"/>
              <w:rPr>
                <w:rFonts w:eastAsia="Times New Roman"/>
                <w:sz w:val="20"/>
                <w:szCs w:val="20"/>
                <w:lang w:eastAsia="ru-RU"/>
              </w:rPr>
            </w:pPr>
            <w:r w:rsidRPr="0001264E">
              <w:rPr>
                <w:rFonts w:eastAsia="Times New Roman"/>
                <w:sz w:val="20"/>
                <w:szCs w:val="20"/>
                <w:lang w:eastAsia="ru-RU"/>
              </w:rPr>
              <w:t>-3,87 п.п.</w:t>
            </w:r>
          </w:p>
        </w:tc>
      </w:tr>
      <w:tr w:rsidR="007C11BF" w:rsidRPr="004761E0" w:rsidTr="006F4AB8">
        <w:trPr>
          <w:trHeight w:val="651"/>
        </w:trPr>
        <w:tc>
          <w:tcPr>
            <w:tcW w:w="722" w:type="dxa"/>
          </w:tcPr>
          <w:p w:rsidR="007C11BF" w:rsidRPr="0001264E" w:rsidRDefault="007C11BF" w:rsidP="007C11BF">
            <w:pPr>
              <w:pStyle w:val="a5"/>
              <w:numPr>
                <w:ilvl w:val="1"/>
                <w:numId w:val="179"/>
              </w:numPr>
              <w:contextualSpacing w:val="0"/>
              <w:jc w:val="left"/>
              <w:rPr>
                <w:rFonts w:eastAsia="Times New Roman"/>
                <w:color w:val="000000"/>
                <w:sz w:val="20"/>
                <w:szCs w:val="20"/>
              </w:rPr>
            </w:pPr>
          </w:p>
        </w:tc>
        <w:tc>
          <w:tcPr>
            <w:tcW w:w="3242" w:type="dxa"/>
            <w:hideMark/>
          </w:tcPr>
          <w:p w:rsidR="007C11BF" w:rsidRPr="0001264E" w:rsidRDefault="007C11BF" w:rsidP="006F4AB8">
            <w:pPr>
              <w:ind w:firstLine="0"/>
              <w:jc w:val="left"/>
              <w:rPr>
                <w:rFonts w:eastAsia="Times New Roman"/>
                <w:color w:val="000000"/>
                <w:sz w:val="20"/>
                <w:szCs w:val="20"/>
                <w:lang w:eastAsia="ru-RU"/>
              </w:rPr>
            </w:pPr>
            <w:r w:rsidRPr="0001264E">
              <w:rPr>
                <w:rFonts w:eastAsia="Times New Roman"/>
                <w:color w:val="000000"/>
                <w:sz w:val="20"/>
                <w:szCs w:val="20"/>
                <w:lang w:eastAsia="ru-RU"/>
              </w:rPr>
              <w:t>Рентабельность совокупных активов (ROTA) по прибыли до налогообложения</w:t>
            </w:r>
          </w:p>
        </w:tc>
        <w:tc>
          <w:tcPr>
            <w:tcW w:w="3248" w:type="dxa"/>
            <w:hideMark/>
          </w:tcPr>
          <w:p w:rsidR="007C11BF" w:rsidRPr="0001264E" w:rsidRDefault="007C11BF" w:rsidP="006F4AB8">
            <w:pPr>
              <w:ind w:firstLine="0"/>
              <w:jc w:val="left"/>
              <w:rPr>
                <w:rFonts w:eastAsia="Times New Roman"/>
                <w:color w:val="000000"/>
                <w:sz w:val="20"/>
                <w:szCs w:val="20"/>
                <w:lang w:eastAsia="ru-RU"/>
              </w:rPr>
            </w:pPr>
            <w:r w:rsidRPr="0001264E">
              <w:rPr>
                <w:rFonts w:eastAsia="Times New Roman"/>
                <w:color w:val="000000"/>
                <w:sz w:val="20"/>
                <w:szCs w:val="20"/>
                <w:lang w:eastAsia="ru-RU"/>
              </w:rPr>
              <w:t>(Прибыль до налогообложения / Совокупные активы)*100 %</w:t>
            </w:r>
          </w:p>
        </w:tc>
        <w:tc>
          <w:tcPr>
            <w:tcW w:w="2668" w:type="dxa"/>
            <w:vAlign w:val="center"/>
            <w:hideMark/>
          </w:tcPr>
          <w:p w:rsidR="007C11BF" w:rsidRPr="0001264E" w:rsidRDefault="007C11BF" w:rsidP="006F4AB8">
            <w:pPr>
              <w:ind w:firstLine="0"/>
              <w:jc w:val="center"/>
              <w:rPr>
                <w:rFonts w:eastAsia="Times New Roman"/>
                <w:color w:val="000000"/>
                <w:sz w:val="20"/>
                <w:szCs w:val="20"/>
                <w:lang w:eastAsia="ru-RU"/>
              </w:rPr>
            </w:pPr>
            <w:r w:rsidRPr="0001264E">
              <w:rPr>
                <w:rFonts w:eastAsia="Times New Roman"/>
                <w:color w:val="000000"/>
                <w:sz w:val="20"/>
                <w:szCs w:val="20"/>
                <w:lang w:eastAsia="ru-RU"/>
              </w:rPr>
              <w:t>[стр. 2300 ф.2 / ((стр. 1600 ф. 1 отчет + стр. 1600 ф. 1 баз.) / 2)]*100 %</w:t>
            </w:r>
          </w:p>
        </w:tc>
        <w:tc>
          <w:tcPr>
            <w:tcW w:w="1142" w:type="dxa"/>
            <w:vAlign w:val="center"/>
            <w:hideMark/>
          </w:tcPr>
          <w:p w:rsidR="007C11BF" w:rsidRPr="0001264E" w:rsidRDefault="007C11BF" w:rsidP="006F4AB8">
            <w:pPr>
              <w:ind w:firstLine="0"/>
              <w:jc w:val="right"/>
              <w:rPr>
                <w:rFonts w:eastAsia="Times New Roman"/>
                <w:sz w:val="20"/>
                <w:szCs w:val="20"/>
                <w:lang w:eastAsia="ru-RU"/>
              </w:rPr>
            </w:pPr>
            <w:r w:rsidRPr="0001264E">
              <w:rPr>
                <w:rFonts w:eastAsia="Times New Roman"/>
                <w:sz w:val="20"/>
                <w:szCs w:val="20"/>
                <w:lang w:eastAsia="ru-RU"/>
              </w:rPr>
              <w:t>8,50</w:t>
            </w:r>
          </w:p>
        </w:tc>
        <w:tc>
          <w:tcPr>
            <w:tcW w:w="1128" w:type="dxa"/>
            <w:vAlign w:val="center"/>
            <w:hideMark/>
          </w:tcPr>
          <w:p w:rsidR="007C11BF" w:rsidRPr="0001264E" w:rsidRDefault="007C11BF" w:rsidP="006F4AB8">
            <w:pPr>
              <w:ind w:firstLine="0"/>
              <w:jc w:val="right"/>
              <w:rPr>
                <w:rFonts w:eastAsia="Times New Roman"/>
                <w:sz w:val="20"/>
                <w:szCs w:val="20"/>
                <w:lang w:eastAsia="ru-RU"/>
              </w:rPr>
            </w:pPr>
            <w:r w:rsidRPr="0001264E">
              <w:rPr>
                <w:rFonts w:eastAsia="Times New Roman"/>
                <w:sz w:val="20"/>
                <w:szCs w:val="20"/>
                <w:lang w:eastAsia="ru-RU"/>
              </w:rPr>
              <w:t>7,58</w:t>
            </w:r>
          </w:p>
        </w:tc>
        <w:tc>
          <w:tcPr>
            <w:tcW w:w="988" w:type="dxa"/>
            <w:vAlign w:val="center"/>
            <w:hideMark/>
          </w:tcPr>
          <w:p w:rsidR="007C11BF" w:rsidRPr="0001264E" w:rsidRDefault="007C11BF" w:rsidP="006F4AB8">
            <w:pPr>
              <w:ind w:firstLine="0"/>
              <w:jc w:val="right"/>
              <w:rPr>
                <w:rFonts w:eastAsia="Times New Roman"/>
                <w:sz w:val="20"/>
                <w:szCs w:val="20"/>
                <w:lang w:eastAsia="ru-RU"/>
              </w:rPr>
            </w:pPr>
            <w:r w:rsidRPr="0001264E">
              <w:rPr>
                <w:rFonts w:eastAsia="Times New Roman"/>
                <w:sz w:val="20"/>
                <w:szCs w:val="20"/>
                <w:lang w:eastAsia="ru-RU"/>
              </w:rPr>
              <w:t>5,33</w:t>
            </w:r>
          </w:p>
        </w:tc>
        <w:tc>
          <w:tcPr>
            <w:tcW w:w="1337" w:type="dxa"/>
            <w:vAlign w:val="center"/>
            <w:hideMark/>
          </w:tcPr>
          <w:p w:rsidR="007C11BF" w:rsidRPr="0001264E" w:rsidRDefault="007C11BF" w:rsidP="006F4AB8">
            <w:pPr>
              <w:ind w:firstLine="0"/>
              <w:jc w:val="right"/>
              <w:rPr>
                <w:rFonts w:eastAsia="Times New Roman"/>
                <w:sz w:val="20"/>
                <w:szCs w:val="20"/>
                <w:lang w:eastAsia="ru-RU"/>
              </w:rPr>
            </w:pPr>
            <w:r w:rsidRPr="0001264E">
              <w:rPr>
                <w:rFonts w:eastAsia="Times New Roman"/>
                <w:sz w:val="20"/>
                <w:szCs w:val="20"/>
                <w:lang w:eastAsia="ru-RU"/>
              </w:rPr>
              <w:t>-2,25 п.п.</w:t>
            </w:r>
          </w:p>
        </w:tc>
      </w:tr>
      <w:tr w:rsidR="007C11BF" w:rsidRPr="004761E0" w:rsidTr="006F4AB8">
        <w:trPr>
          <w:trHeight w:val="77"/>
        </w:trPr>
        <w:tc>
          <w:tcPr>
            <w:tcW w:w="722" w:type="dxa"/>
          </w:tcPr>
          <w:p w:rsidR="007C11BF" w:rsidRPr="0001264E" w:rsidRDefault="007C11BF" w:rsidP="007C11BF">
            <w:pPr>
              <w:pStyle w:val="a5"/>
              <w:numPr>
                <w:ilvl w:val="1"/>
                <w:numId w:val="179"/>
              </w:numPr>
              <w:contextualSpacing w:val="0"/>
              <w:jc w:val="left"/>
              <w:rPr>
                <w:rFonts w:eastAsia="Times New Roman"/>
                <w:color w:val="000000"/>
                <w:sz w:val="20"/>
                <w:szCs w:val="20"/>
              </w:rPr>
            </w:pPr>
          </w:p>
        </w:tc>
        <w:tc>
          <w:tcPr>
            <w:tcW w:w="3242" w:type="dxa"/>
            <w:hideMark/>
          </w:tcPr>
          <w:p w:rsidR="007C11BF" w:rsidRPr="0001264E" w:rsidRDefault="007C11BF" w:rsidP="006F4AB8">
            <w:pPr>
              <w:ind w:firstLine="0"/>
              <w:jc w:val="left"/>
              <w:rPr>
                <w:rFonts w:eastAsia="Times New Roman"/>
                <w:color w:val="000000"/>
                <w:sz w:val="20"/>
                <w:szCs w:val="20"/>
              </w:rPr>
            </w:pPr>
            <w:r w:rsidRPr="0001264E">
              <w:rPr>
                <w:rFonts w:eastAsia="Times New Roman"/>
                <w:color w:val="000000"/>
                <w:sz w:val="20"/>
                <w:szCs w:val="20"/>
              </w:rPr>
              <w:t>Рентабельность EBITDA</w:t>
            </w:r>
          </w:p>
        </w:tc>
        <w:tc>
          <w:tcPr>
            <w:tcW w:w="3248" w:type="dxa"/>
            <w:hideMark/>
          </w:tcPr>
          <w:p w:rsidR="007C11BF" w:rsidRPr="0001264E" w:rsidRDefault="007C11BF" w:rsidP="006F4AB8">
            <w:pPr>
              <w:ind w:firstLine="0"/>
              <w:jc w:val="left"/>
              <w:rPr>
                <w:rFonts w:eastAsia="Times New Roman"/>
                <w:color w:val="000000"/>
                <w:sz w:val="20"/>
                <w:szCs w:val="20"/>
              </w:rPr>
            </w:pPr>
            <w:r w:rsidRPr="0001264E">
              <w:rPr>
                <w:rFonts w:eastAsia="Times New Roman"/>
                <w:color w:val="000000"/>
                <w:sz w:val="20"/>
                <w:szCs w:val="20"/>
              </w:rPr>
              <w:t>EBITDA / Выручка от реализации</w:t>
            </w:r>
          </w:p>
        </w:tc>
        <w:tc>
          <w:tcPr>
            <w:tcW w:w="2668" w:type="dxa"/>
            <w:hideMark/>
          </w:tcPr>
          <w:p w:rsidR="007C11BF" w:rsidRPr="0001264E" w:rsidRDefault="007C11BF" w:rsidP="006F4AB8">
            <w:pPr>
              <w:ind w:firstLine="0"/>
              <w:jc w:val="center"/>
              <w:rPr>
                <w:rFonts w:eastAsia="Times New Roman"/>
                <w:color w:val="000000"/>
                <w:sz w:val="20"/>
                <w:szCs w:val="20"/>
              </w:rPr>
            </w:pPr>
            <w:r w:rsidRPr="0001264E">
              <w:rPr>
                <w:rFonts w:eastAsia="Times New Roman"/>
                <w:color w:val="000000"/>
                <w:sz w:val="20"/>
                <w:szCs w:val="20"/>
              </w:rPr>
              <w:t>(стр. 2110 ф. 2))*100</w:t>
            </w:r>
            <w:r w:rsidRPr="0001264E">
              <w:rPr>
                <w:rFonts w:eastAsia="Times New Roman"/>
                <w:color w:val="000000"/>
                <w:sz w:val="16"/>
                <w:szCs w:val="16"/>
              </w:rPr>
              <w:t> </w:t>
            </w:r>
            <w:r w:rsidRPr="0001264E">
              <w:rPr>
                <w:rFonts w:eastAsia="Times New Roman"/>
                <w:color w:val="000000"/>
                <w:sz w:val="20"/>
                <w:szCs w:val="20"/>
              </w:rPr>
              <w:t>%</w:t>
            </w:r>
          </w:p>
        </w:tc>
        <w:tc>
          <w:tcPr>
            <w:tcW w:w="1142" w:type="dxa"/>
            <w:vAlign w:val="center"/>
            <w:hideMark/>
          </w:tcPr>
          <w:p w:rsidR="007C11BF" w:rsidRPr="0001264E" w:rsidRDefault="007C11BF" w:rsidP="006F4AB8">
            <w:pPr>
              <w:ind w:firstLine="0"/>
              <w:jc w:val="right"/>
              <w:rPr>
                <w:sz w:val="20"/>
                <w:szCs w:val="20"/>
              </w:rPr>
            </w:pPr>
            <w:r w:rsidRPr="0001264E">
              <w:rPr>
                <w:sz w:val="20"/>
                <w:szCs w:val="20"/>
              </w:rPr>
              <w:t>31,28</w:t>
            </w:r>
          </w:p>
        </w:tc>
        <w:tc>
          <w:tcPr>
            <w:tcW w:w="1128" w:type="dxa"/>
            <w:vAlign w:val="center"/>
            <w:hideMark/>
          </w:tcPr>
          <w:p w:rsidR="007C11BF" w:rsidRPr="0001264E" w:rsidRDefault="007C11BF" w:rsidP="006F4AB8">
            <w:pPr>
              <w:ind w:firstLine="0"/>
              <w:jc w:val="right"/>
              <w:rPr>
                <w:sz w:val="20"/>
                <w:szCs w:val="20"/>
              </w:rPr>
            </w:pPr>
            <w:r w:rsidRPr="0001264E">
              <w:rPr>
                <w:sz w:val="20"/>
                <w:szCs w:val="20"/>
              </w:rPr>
              <w:t>34,92</w:t>
            </w:r>
          </w:p>
        </w:tc>
        <w:tc>
          <w:tcPr>
            <w:tcW w:w="988" w:type="dxa"/>
            <w:vAlign w:val="center"/>
            <w:hideMark/>
          </w:tcPr>
          <w:p w:rsidR="007C11BF" w:rsidRPr="0001264E" w:rsidRDefault="007C11BF" w:rsidP="006F4AB8">
            <w:pPr>
              <w:ind w:firstLine="0"/>
              <w:jc w:val="right"/>
              <w:rPr>
                <w:sz w:val="20"/>
                <w:szCs w:val="20"/>
              </w:rPr>
            </w:pPr>
            <w:r w:rsidRPr="0001264E">
              <w:rPr>
                <w:sz w:val="20"/>
                <w:szCs w:val="20"/>
              </w:rPr>
              <w:t>29,21</w:t>
            </w:r>
          </w:p>
        </w:tc>
        <w:tc>
          <w:tcPr>
            <w:tcW w:w="1337" w:type="dxa"/>
            <w:vAlign w:val="center"/>
            <w:hideMark/>
          </w:tcPr>
          <w:p w:rsidR="007C11BF" w:rsidRPr="0001264E" w:rsidRDefault="007C11BF" w:rsidP="006F4AB8">
            <w:pPr>
              <w:ind w:firstLine="0"/>
              <w:jc w:val="right"/>
              <w:rPr>
                <w:sz w:val="20"/>
                <w:szCs w:val="20"/>
              </w:rPr>
            </w:pPr>
            <w:r w:rsidRPr="0001264E">
              <w:rPr>
                <w:sz w:val="20"/>
                <w:szCs w:val="20"/>
              </w:rPr>
              <w:t>-5,72 п.п.</w:t>
            </w:r>
          </w:p>
        </w:tc>
      </w:tr>
      <w:tr w:rsidR="007C11BF" w:rsidRPr="004761E0" w:rsidTr="006F4AB8">
        <w:trPr>
          <w:trHeight w:val="217"/>
        </w:trPr>
        <w:tc>
          <w:tcPr>
            <w:tcW w:w="722" w:type="dxa"/>
            <w:shd w:val="clear" w:color="auto" w:fill="D9D9D9"/>
          </w:tcPr>
          <w:p w:rsidR="007C11BF" w:rsidRPr="0001264E" w:rsidRDefault="007C11BF" w:rsidP="007C11BF">
            <w:pPr>
              <w:pStyle w:val="a5"/>
              <w:numPr>
                <w:ilvl w:val="0"/>
                <w:numId w:val="179"/>
              </w:numPr>
              <w:ind w:left="0" w:firstLine="0"/>
              <w:contextualSpacing w:val="0"/>
              <w:jc w:val="left"/>
              <w:rPr>
                <w:rFonts w:eastAsia="Times New Roman"/>
                <w:b/>
                <w:bCs/>
                <w:color w:val="000000"/>
                <w:sz w:val="20"/>
                <w:szCs w:val="20"/>
              </w:rPr>
            </w:pPr>
          </w:p>
        </w:tc>
        <w:tc>
          <w:tcPr>
            <w:tcW w:w="13753" w:type="dxa"/>
            <w:gridSpan w:val="7"/>
            <w:shd w:val="clear" w:color="auto" w:fill="D9D9D9"/>
            <w:hideMark/>
          </w:tcPr>
          <w:p w:rsidR="007C11BF" w:rsidRPr="0001264E" w:rsidRDefault="007C11BF" w:rsidP="006F4AB8">
            <w:pPr>
              <w:ind w:firstLine="0"/>
              <w:jc w:val="left"/>
              <w:rPr>
                <w:rFonts w:eastAsia="Times New Roman"/>
                <w:b/>
                <w:bCs/>
                <w:color w:val="000000"/>
                <w:sz w:val="20"/>
                <w:szCs w:val="20"/>
              </w:rPr>
            </w:pPr>
            <w:r w:rsidRPr="0001264E">
              <w:rPr>
                <w:rFonts w:eastAsia="Times New Roman"/>
                <w:b/>
                <w:bCs/>
                <w:color w:val="000000"/>
                <w:sz w:val="20"/>
                <w:szCs w:val="20"/>
              </w:rPr>
              <w:t>Показатели деловой активности</w:t>
            </w:r>
          </w:p>
        </w:tc>
      </w:tr>
      <w:tr w:rsidR="007C11BF" w:rsidRPr="004761E0" w:rsidTr="006F4AB8">
        <w:trPr>
          <w:trHeight w:val="803"/>
        </w:trPr>
        <w:tc>
          <w:tcPr>
            <w:tcW w:w="722" w:type="dxa"/>
            <w:vMerge w:val="restart"/>
          </w:tcPr>
          <w:p w:rsidR="007C11BF" w:rsidRPr="0001264E" w:rsidRDefault="007C11BF" w:rsidP="007C11BF">
            <w:pPr>
              <w:pStyle w:val="a5"/>
              <w:numPr>
                <w:ilvl w:val="1"/>
                <w:numId w:val="179"/>
              </w:numPr>
              <w:contextualSpacing w:val="0"/>
              <w:jc w:val="left"/>
              <w:rPr>
                <w:rFonts w:eastAsia="Times New Roman"/>
                <w:color w:val="000000"/>
                <w:sz w:val="20"/>
                <w:szCs w:val="20"/>
              </w:rPr>
            </w:pPr>
          </w:p>
        </w:tc>
        <w:tc>
          <w:tcPr>
            <w:tcW w:w="3242" w:type="dxa"/>
            <w:vMerge w:val="restart"/>
            <w:hideMark/>
          </w:tcPr>
          <w:p w:rsidR="007C11BF" w:rsidRPr="0001264E" w:rsidRDefault="007C11BF" w:rsidP="006F4AB8">
            <w:pPr>
              <w:ind w:firstLine="0"/>
              <w:jc w:val="left"/>
              <w:rPr>
                <w:rFonts w:eastAsia="Times New Roman"/>
                <w:color w:val="000000"/>
                <w:sz w:val="20"/>
                <w:szCs w:val="20"/>
              </w:rPr>
            </w:pPr>
            <w:r w:rsidRPr="0001264E">
              <w:rPr>
                <w:rFonts w:eastAsia="Times New Roman"/>
                <w:color w:val="000000"/>
                <w:sz w:val="20"/>
                <w:szCs w:val="20"/>
              </w:rPr>
              <w:t>Соотношение темпов роста дебиторской и кредиторской задолженности</w:t>
            </w:r>
          </w:p>
        </w:tc>
        <w:tc>
          <w:tcPr>
            <w:tcW w:w="3248" w:type="dxa"/>
            <w:hideMark/>
          </w:tcPr>
          <w:p w:rsidR="007C11BF" w:rsidRPr="0001264E" w:rsidRDefault="007C11BF" w:rsidP="006F4AB8">
            <w:pPr>
              <w:ind w:firstLine="0"/>
              <w:jc w:val="left"/>
              <w:rPr>
                <w:rFonts w:eastAsia="Times New Roman"/>
                <w:color w:val="000000"/>
                <w:sz w:val="20"/>
                <w:szCs w:val="20"/>
              </w:rPr>
            </w:pPr>
            <w:r w:rsidRPr="0001264E">
              <w:rPr>
                <w:rFonts w:eastAsia="Times New Roman"/>
                <w:color w:val="000000"/>
                <w:sz w:val="20"/>
                <w:szCs w:val="20"/>
              </w:rPr>
              <w:t>Суммарная величина ДЗ на конец отчетного периода / Суммарная величина ДЗ на конец базового периода</w:t>
            </w:r>
          </w:p>
        </w:tc>
        <w:tc>
          <w:tcPr>
            <w:tcW w:w="2668" w:type="dxa"/>
            <w:hideMark/>
          </w:tcPr>
          <w:p w:rsidR="007C11BF" w:rsidRPr="0001264E" w:rsidRDefault="007C11BF" w:rsidP="006F4AB8">
            <w:pPr>
              <w:ind w:firstLine="0"/>
              <w:jc w:val="center"/>
              <w:rPr>
                <w:rFonts w:eastAsia="Times New Roman"/>
                <w:color w:val="000000"/>
                <w:sz w:val="20"/>
                <w:szCs w:val="20"/>
              </w:rPr>
            </w:pPr>
            <w:r w:rsidRPr="0001264E">
              <w:rPr>
                <w:rFonts w:eastAsia="Times New Roman"/>
                <w:color w:val="000000"/>
                <w:sz w:val="20"/>
                <w:szCs w:val="20"/>
              </w:rPr>
              <w:t>стр. 1230 ф. 1 отч. / стр. 1230 ф. 1 баз.</w:t>
            </w:r>
          </w:p>
        </w:tc>
        <w:tc>
          <w:tcPr>
            <w:tcW w:w="1142" w:type="dxa"/>
            <w:vAlign w:val="center"/>
            <w:hideMark/>
          </w:tcPr>
          <w:p w:rsidR="007C11BF" w:rsidRPr="0001264E" w:rsidRDefault="007C11BF" w:rsidP="006F4AB8">
            <w:pPr>
              <w:ind w:firstLine="0"/>
              <w:jc w:val="right"/>
              <w:rPr>
                <w:sz w:val="20"/>
                <w:szCs w:val="20"/>
              </w:rPr>
            </w:pPr>
            <w:r w:rsidRPr="0001264E">
              <w:rPr>
                <w:sz w:val="20"/>
                <w:szCs w:val="20"/>
              </w:rPr>
              <w:t>0,82</w:t>
            </w:r>
          </w:p>
        </w:tc>
        <w:tc>
          <w:tcPr>
            <w:tcW w:w="1128" w:type="dxa"/>
            <w:vAlign w:val="center"/>
            <w:hideMark/>
          </w:tcPr>
          <w:p w:rsidR="007C11BF" w:rsidRPr="0001264E" w:rsidRDefault="007C11BF" w:rsidP="006F4AB8">
            <w:pPr>
              <w:ind w:firstLine="0"/>
              <w:jc w:val="right"/>
              <w:rPr>
                <w:sz w:val="20"/>
                <w:szCs w:val="20"/>
              </w:rPr>
            </w:pPr>
            <w:r w:rsidRPr="0001264E">
              <w:rPr>
                <w:sz w:val="20"/>
                <w:szCs w:val="20"/>
              </w:rPr>
              <w:t>0,91</w:t>
            </w:r>
          </w:p>
        </w:tc>
        <w:tc>
          <w:tcPr>
            <w:tcW w:w="988" w:type="dxa"/>
            <w:vAlign w:val="center"/>
            <w:hideMark/>
          </w:tcPr>
          <w:p w:rsidR="007C11BF" w:rsidRPr="0001264E" w:rsidRDefault="007C11BF" w:rsidP="006F4AB8">
            <w:pPr>
              <w:ind w:firstLine="0"/>
              <w:jc w:val="right"/>
              <w:rPr>
                <w:sz w:val="20"/>
                <w:szCs w:val="20"/>
              </w:rPr>
            </w:pPr>
            <w:r w:rsidRPr="0001264E">
              <w:rPr>
                <w:sz w:val="20"/>
                <w:szCs w:val="20"/>
              </w:rPr>
              <w:t>0,59</w:t>
            </w:r>
          </w:p>
        </w:tc>
        <w:tc>
          <w:tcPr>
            <w:tcW w:w="1337" w:type="dxa"/>
            <w:vAlign w:val="center"/>
            <w:hideMark/>
          </w:tcPr>
          <w:p w:rsidR="007C11BF" w:rsidRPr="0001264E" w:rsidRDefault="007C11BF" w:rsidP="006F4AB8">
            <w:pPr>
              <w:ind w:firstLine="0"/>
              <w:jc w:val="right"/>
              <w:rPr>
                <w:sz w:val="20"/>
                <w:szCs w:val="20"/>
              </w:rPr>
            </w:pPr>
            <w:r w:rsidRPr="0001264E">
              <w:rPr>
                <w:sz w:val="20"/>
                <w:szCs w:val="20"/>
              </w:rPr>
              <w:t>-0,31</w:t>
            </w:r>
          </w:p>
        </w:tc>
      </w:tr>
      <w:tr w:rsidR="007C11BF" w:rsidRPr="004761E0" w:rsidTr="006F4AB8">
        <w:trPr>
          <w:trHeight w:val="999"/>
        </w:trPr>
        <w:tc>
          <w:tcPr>
            <w:tcW w:w="722" w:type="dxa"/>
            <w:vMerge/>
          </w:tcPr>
          <w:p w:rsidR="007C11BF" w:rsidRPr="0001264E" w:rsidRDefault="007C11BF" w:rsidP="007C11BF">
            <w:pPr>
              <w:pStyle w:val="a5"/>
              <w:numPr>
                <w:ilvl w:val="1"/>
                <w:numId w:val="179"/>
              </w:numPr>
              <w:contextualSpacing w:val="0"/>
              <w:jc w:val="left"/>
              <w:rPr>
                <w:rFonts w:eastAsia="Times New Roman"/>
                <w:color w:val="000000"/>
                <w:sz w:val="20"/>
                <w:szCs w:val="20"/>
              </w:rPr>
            </w:pPr>
          </w:p>
        </w:tc>
        <w:tc>
          <w:tcPr>
            <w:tcW w:w="3242" w:type="dxa"/>
            <w:vMerge/>
            <w:hideMark/>
          </w:tcPr>
          <w:p w:rsidR="007C11BF" w:rsidRPr="0001264E" w:rsidRDefault="007C11BF" w:rsidP="006F4AB8">
            <w:pPr>
              <w:ind w:firstLine="0"/>
              <w:jc w:val="left"/>
              <w:rPr>
                <w:rFonts w:eastAsia="Times New Roman"/>
                <w:color w:val="000000"/>
                <w:sz w:val="20"/>
                <w:szCs w:val="20"/>
              </w:rPr>
            </w:pPr>
          </w:p>
        </w:tc>
        <w:tc>
          <w:tcPr>
            <w:tcW w:w="3248" w:type="dxa"/>
            <w:hideMark/>
          </w:tcPr>
          <w:p w:rsidR="007C11BF" w:rsidRPr="0001264E" w:rsidRDefault="007C11BF" w:rsidP="006F4AB8">
            <w:pPr>
              <w:ind w:firstLine="0"/>
              <w:jc w:val="left"/>
              <w:rPr>
                <w:rFonts w:eastAsia="Times New Roman"/>
                <w:color w:val="000000"/>
                <w:sz w:val="20"/>
                <w:szCs w:val="20"/>
              </w:rPr>
            </w:pPr>
            <w:r w:rsidRPr="0001264E">
              <w:rPr>
                <w:rFonts w:eastAsia="Times New Roman"/>
                <w:color w:val="000000"/>
                <w:sz w:val="20"/>
                <w:szCs w:val="20"/>
              </w:rPr>
              <w:t>Суммарная величина краткосрочной КЗ на конец отчетного периода / Суммарная величина краткосрочной КЗ на конец базового периода</w:t>
            </w:r>
          </w:p>
        </w:tc>
        <w:tc>
          <w:tcPr>
            <w:tcW w:w="2668" w:type="dxa"/>
            <w:hideMark/>
          </w:tcPr>
          <w:p w:rsidR="007C11BF" w:rsidRPr="0001264E" w:rsidRDefault="007C11BF" w:rsidP="006F4AB8">
            <w:pPr>
              <w:ind w:firstLine="0"/>
              <w:jc w:val="center"/>
              <w:rPr>
                <w:rFonts w:eastAsia="Times New Roman"/>
                <w:color w:val="000000"/>
                <w:sz w:val="20"/>
                <w:szCs w:val="20"/>
              </w:rPr>
            </w:pPr>
            <w:r w:rsidRPr="0001264E">
              <w:rPr>
                <w:rFonts w:eastAsia="Times New Roman"/>
                <w:color w:val="000000"/>
                <w:sz w:val="20"/>
                <w:szCs w:val="20"/>
              </w:rPr>
              <w:t xml:space="preserve">стр. 1520 ф. 1 отч. / </w:t>
            </w:r>
          </w:p>
          <w:p w:rsidR="007C11BF" w:rsidRPr="0001264E" w:rsidRDefault="007C11BF" w:rsidP="006F4AB8">
            <w:pPr>
              <w:ind w:firstLine="0"/>
              <w:jc w:val="center"/>
              <w:rPr>
                <w:rFonts w:eastAsia="Times New Roman"/>
                <w:color w:val="000000"/>
                <w:sz w:val="20"/>
                <w:szCs w:val="20"/>
              </w:rPr>
            </w:pPr>
            <w:r w:rsidRPr="0001264E">
              <w:rPr>
                <w:rFonts w:eastAsia="Times New Roman"/>
                <w:color w:val="000000"/>
                <w:sz w:val="20"/>
                <w:szCs w:val="20"/>
              </w:rPr>
              <w:t>стр. 1520 ф. 1 баз.</w:t>
            </w:r>
          </w:p>
        </w:tc>
        <w:tc>
          <w:tcPr>
            <w:tcW w:w="1142" w:type="dxa"/>
            <w:vAlign w:val="center"/>
            <w:hideMark/>
          </w:tcPr>
          <w:p w:rsidR="007C11BF" w:rsidRPr="0001264E" w:rsidRDefault="007C11BF" w:rsidP="006F4AB8">
            <w:pPr>
              <w:ind w:firstLine="0"/>
              <w:jc w:val="right"/>
              <w:rPr>
                <w:sz w:val="20"/>
                <w:szCs w:val="20"/>
              </w:rPr>
            </w:pPr>
            <w:r w:rsidRPr="0001264E">
              <w:rPr>
                <w:sz w:val="20"/>
                <w:szCs w:val="20"/>
              </w:rPr>
              <w:t>0,86</w:t>
            </w:r>
          </w:p>
        </w:tc>
        <w:tc>
          <w:tcPr>
            <w:tcW w:w="1128" w:type="dxa"/>
            <w:vAlign w:val="center"/>
            <w:hideMark/>
          </w:tcPr>
          <w:p w:rsidR="007C11BF" w:rsidRPr="0001264E" w:rsidRDefault="007C11BF" w:rsidP="006F4AB8">
            <w:pPr>
              <w:ind w:firstLine="0"/>
              <w:jc w:val="right"/>
              <w:rPr>
                <w:sz w:val="20"/>
                <w:szCs w:val="20"/>
              </w:rPr>
            </w:pPr>
            <w:r w:rsidRPr="0001264E">
              <w:rPr>
                <w:sz w:val="20"/>
                <w:szCs w:val="20"/>
              </w:rPr>
              <w:t>0,95</w:t>
            </w:r>
          </w:p>
        </w:tc>
        <w:tc>
          <w:tcPr>
            <w:tcW w:w="988" w:type="dxa"/>
            <w:vAlign w:val="center"/>
            <w:hideMark/>
          </w:tcPr>
          <w:p w:rsidR="007C11BF" w:rsidRPr="0001264E" w:rsidRDefault="007C11BF" w:rsidP="006F4AB8">
            <w:pPr>
              <w:ind w:firstLine="0"/>
              <w:jc w:val="right"/>
              <w:rPr>
                <w:sz w:val="20"/>
                <w:szCs w:val="20"/>
              </w:rPr>
            </w:pPr>
            <w:r w:rsidRPr="0001264E">
              <w:rPr>
                <w:sz w:val="20"/>
                <w:szCs w:val="20"/>
              </w:rPr>
              <w:t>0,96</w:t>
            </w:r>
          </w:p>
        </w:tc>
        <w:tc>
          <w:tcPr>
            <w:tcW w:w="1337" w:type="dxa"/>
            <w:vAlign w:val="center"/>
            <w:hideMark/>
          </w:tcPr>
          <w:p w:rsidR="007C11BF" w:rsidRPr="0001264E" w:rsidRDefault="007C11BF" w:rsidP="006F4AB8">
            <w:pPr>
              <w:ind w:firstLine="0"/>
              <w:jc w:val="right"/>
              <w:rPr>
                <w:sz w:val="20"/>
                <w:szCs w:val="20"/>
              </w:rPr>
            </w:pPr>
            <w:r w:rsidRPr="0001264E">
              <w:rPr>
                <w:sz w:val="20"/>
                <w:szCs w:val="20"/>
              </w:rPr>
              <w:t>0,02</w:t>
            </w:r>
          </w:p>
        </w:tc>
      </w:tr>
      <w:tr w:rsidR="007C11BF" w:rsidRPr="004761E0" w:rsidTr="006F4AB8">
        <w:trPr>
          <w:trHeight w:val="651"/>
        </w:trPr>
        <w:tc>
          <w:tcPr>
            <w:tcW w:w="722" w:type="dxa"/>
            <w:vMerge/>
          </w:tcPr>
          <w:p w:rsidR="007C11BF" w:rsidRPr="0001264E" w:rsidRDefault="007C11BF" w:rsidP="007C11BF">
            <w:pPr>
              <w:pStyle w:val="a5"/>
              <w:numPr>
                <w:ilvl w:val="1"/>
                <w:numId w:val="179"/>
              </w:numPr>
              <w:contextualSpacing w:val="0"/>
              <w:jc w:val="left"/>
              <w:rPr>
                <w:rFonts w:eastAsia="Times New Roman"/>
                <w:color w:val="000000"/>
                <w:sz w:val="20"/>
                <w:szCs w:val="20"/>
              </w:rPr>
            </w:pPr>
          </w:p>
        </w:tc>
        <w:tc>
          <w:tcPr>
            <w:tcW w:w="3242" w:type="dxa"/>
            <w:vMerge/>
            <w:hideMark/>
          </w:tcPr>
          <w:p w:rsidR="007C11BF" w:rsidRPr="0001264E" w:rsidRDefault="007C11BF" w:rsidP="006F4AB8">
            <w:pPr>
              <w:ind w:firstLine="0"/>
              <w:jc w:val="left"/>
              <w:rPr>
                <w:rFonts w:eastAsia="Times New Roman"/>
                <w:color w:val="000000"/>
                <w:sz w:val="20"/>
                <w:szCs w:val="20"/>
              </w:rPr>
            </w:pPr>
          </w:p>
        </w:tc>
        <w:tc>
          <w:tcPr>
            <w:tcW w:w="3248" w:type="dxa"/>
            <w:hideMark/>
          </w:tcPr>
          <w:p w:rsidR="007C11BF" w:rsidRPr="0001264E" w:rsidRDefault="007C11BF" w:rsidP="006F4AB8">
            <w:pPr>
              <w:ind w:firstLine="0"/>
              <w:jc w:val="left"/>
              <w:rPr>
                <w:rFonts w:eastAsia="Times New Roman"/>
                <w:color w:val="000000"/>
                <w:sz w:val="20"/>
                <w:szCs w:val="20"/>
              </w:rPr>
            </w:pPr>
            <w:r w:rsidRPr="0001264E">
              <w:rPr>
                <w:rFonts w:eastAsia="Times New Roman"/>
                <w:color w:val="000000"/>
                <w:sz w:val="20"/>
                <w:szCs w:val="20"/>
              </w:rPr>
              <w:t>ТДЗ / ТКЗ</w:t>
            </w:r>
          </w:p>
        </w:tc>
        <w:tc>
          <w:tcPr>
            <w:tcW w:w="2668" w:type="dxa"/>
            <w:hideMark/>
          </w:tcPr>
          <w:p w:rsidR="007C11BF" w:rsidRPr="0001264E" w:rsidRDefault="007C11BF" w:rsidP="006F4AB8">
            <w:pPr>
              <w:ind w:firstLine="0"/>
              <w:jc w:val="center"/>
              <w:rPr>
                <w:rFonts w:eastAsia="Times New Roman"/>
                <w:color w:val="000000"/>
                <w:sz w:val="20"/>
                <w:szCs w:val="20"/>
              </w:rPr>
            </w:pPr>
            <w:r w:rsidRPr="0001264E">
              <w:rPr>
                <w:rFonts w:eastAsia="Times New Roman"/>
                <w:color w:val="000000"/>
                <w:sz w:val="20"/>
                <w:szCs w:val="20"/>
              </w:rPr>
              <w:t>(стр. 1230 ф. 1 отч. / стр. 1230 ф. 1 баз.) / (стр. 1520 ф. 1 отч. / стр. 1520 ф. 1 баз.)</w:t>
            </w:r>
          </w:p>
        </w:tc>
        <w:tc>
          <w:tcPr>
            <w:tcW w:w="1142" w:type="dxa"/>
            <w:vAlign w:val="center"/>
            <w:hideMark/>
          </w:tcPr>
          <w:p w:rsidR="007C11BF" w:rsidRPr="0001264E" w:rsidRDefault="007C11BF" w:rsidP="006F4AB8">
            <w:pPr>
              <w:ind w:firstLine="0"/>
              <w:jc w:val="right"/>
              <w:rPr>
                <w:sz w:val="20"/>
                <w:szCs w:val="20"/>
              </w:rPr>
            </w:pPr>
            <w:r w:rsidRPr="0001264E">
              <w:rPr>
                <w:sz w:val="20"/>
                <w:szCs w:val="20"/>
              </w:rPr>
              <w:t>0,96</w:t>
            </w:r>
          </w:p>
        </w:tc>
        <w:tc>
          <w:tcPr>
            <w:tcW w:w="1128" w:type="dxa"/>
            <w:vAlign w:val="center"/>
            <w:hideMark/>
          </w:tcPr>
          <w:p w:rsidR="007C11BF" w:rsidRPr="0001264E" w:rsidRDefault="007C11BF" w:rsidP="006F4AB8">
            <w:pPr>
              <w:ind w:firstLine="0"/>
              <w:jc w:val="right"/>
              <w:rPr>
                <w:sz w:val="20"/>
                <w:szCs w:val="20"/>
              </w:rPr>
            </w:pPr>
            <w:r w:rsidRPr="0001264E">
              <w:rPr>
                <w:sz w:val="20"/>
                <w:szCs w:val="20"/>
              </w:rPr>
              <w:t>0,96</w:t>
            </w:r>
          </w:p>
        </w:tc>
        <w:tc>
          <w:tcPr>
            <w:tcW w:w="988" w:type="dxa"/>
            <w:vAlign w:val="center"/>
            <w:hideMark/>
          </w:tcPr>
          <w:p w:rsidR="007C11BF" w:rsidRPr="0001264E" w:rsidRDefault="007C11BF" w:rsidP="006F4AB8">
            <w:pPr>
              <w:ind w:firstLine="0"/>
              <w:jc w:val="right"/>
              <w:rPr>
                <w:sz w:val="20"/>
                <w:szCs w:val="20"/>
              </w:rPr>
            </w:pPr>
            <w:r w:rsidRPr="0001264E">
              <w:rPr>
                <w:sz w:val="20"/>
                <w:szCs w:val="20"/>
              </w:rPr>
              <w:t>0,62</w:t>
            </w:r>
          </w:p>
        </w:tc>
        <w:tc>
          <w:tcPr>
            <w:tcW w:w="1337" w:type="dxa"/>
            <w:vAlign w:val="center"/>
            <w:hideMark/>
          </w:tcPr>
          <w:p w:rsidR="007C11BF" w:rsidRPr="0001264E" w:rsidRDefault="007C11BF" w:rsidP="006F4AB8">
            <w:pPr>
              <w:ind w:firstLine="0"/>
              <w:jc w:val="right"/>
              <w:rPr>
                <w:sz w:val="20"/>
                <w:szCs w:val="20"/>
              </w:rPr>
            </w:pPr>
            <w:r w:rsidRPr="0001264E">
              <w:rPr>
                <w:sz w:val="20"/>
                <w:szCs w:val="20"/>
              </w:rPr>
              <w:t>-0,34</w:t>
            </w:r>
          </w:p>
        </w:tc>
      </w:tr>
      <w:tr w:rsidR="007C11BF" w:rsidRPr="004761E0" w:rsidTr="006F4AB8">
        <w:trPr>
          <w:trHeight w:val="56"/>
        </w:trPr>
        <w:tc>
          <w:tcPr>
            <w:tcW w:w="722" w:type="dxa"/>
          </w:tcPr>
          <w:p w:rsidR="007C11BF" w:rsidRPr="0001264E" w:rsidRDefault="007C11BF" w:rsidP="007C11BF">
            <w:pPr>
              <w:pStyle w:val="a5"/>
              <w:numPr>
                <w:ilvl w:val="1"/>
                <w:numId w:val="179"/>
              </w:numPr>
              <w:contextualSpacing w:val="0"/>
              <w:jc w:val="left"/>
              <w:rPr>
                <w:rFonts w:eastAsia="Times New Roman"/>
                <w:color w:val="000000"/>
                <w:sz w:val="20"/>
                <w:szCs w:val="20"/>
              </w:rPr>
            </w:pPr>
          </w:p>
        </w:tc>
        <w:tc>
          <w:tcPr>
            <w:tcW w:w="3242" w:type="dxa"/>
            <w:hideMark/>
          </w:tcPr>
          <w:p w:rsidR="007C11BF" w:rsidRPr="0001264E" w:rsidRDefault="007C11BF" w:rsidP="006F4AB8">
            <w:pPr>
              <w:ind w:firstLine="0"/>
              <w:jc w:val="left"/>
              <w:rPr>
                <w:rFonts w:eastAsia="Times New Roman"/>
                <w:color w:val="000000"/>
                <w:sz w:val="20"/>
                <w:szCs w:val="20"/>
              </w:rPr>
            </w:pPr>
            <w:r w:rsidRPr="0001264E">
              <w:rPr>
                <w:rFonts w:eastAsia="Times New Roman"/>
                <w:color w:val="000000"/>
                <w:sz w:val="20"/>
                <w:szCs w:val="20"/>
              </w:rPr>
              <w:t>Соотношение совокупной дебиторской и кредиторской задолженности</w:t>
            </w:r>
          </w:p>
        </w:tc>
        <w:tc>
          <w:tcPr>
            <w:tcW w:w="3248" w:type="dxa"/>
            <w:hideMark/>
          </w:tcPr>
          <w:p w:rsidR="007C11BF" w:rsidRPr="0001264E" w:rsidRDefault="007C11BF" w:rsidP="006F4AB8">
            <w:pPr>
              <w:ind w:firstLine="0"/>
              <w:jc w:val="left"/>
              <w:rPr>
                <w:rFonts w:eastAsia="Times New Roman"/>
                <w:color w:val="000000"/>
                <w:sz w:val="20"/>
                <w:szCs w:val="20"/>
              </w:rPr>
            </w:pPr>
            <w:r w:rsidRPr="0001264E">
              <w:rPr>
                <w:rFonts w:eastAsia="Times New Roman"/>
                <w:color w:val="000000"/>
                <w:sz w:val="20"/>
                <w:szCs w:val="20"/>
              </w:rPr>
              <w:t>Суммарная ДЗ на конец отчетного периода / Суммарная КЗ на конец отчетного периода</w:t>
            </w:r>
          </w:p>
        </w:tc>
        <w:tc>
          <w:tcPr>
            <w:tcW w:w="2668" w:type="dxa"/>
            <w:hideMark/>
          </w:tcPr>
          <w:p w:rsidR="007C11BF" w:rsidRPr="0001264E" w:rsidRDefault="007C11BF" w:rsidP="006F4AB8">
            <w:pPr>
              <w:ind w:firstLine="0"/>
              <w:jc w:val="center"/>
              <w:rPr>
                <w:rFonts w:eastAsia="Times New Roman"/>
                <w:color w:val="000000"/>
                <w:sz w:val="20"/>
                <w:szCs w:val="20"/>
              </w:rPr>
            </w:pPr>
            <w:r w:rsidRPr="0001264E">
              <w:rPr>
                <w:rFonts w:eastAsia="Times New Roman"/>
                <w:color w:val="000000"/>
                <w:sz w:val="20"/>
                <w:szCs w:val="20"/>
              </w:rPr>
              <w:t>стр. 1230 ф.1 / (стр. 1450 ф.1 + стр. 1520 ф.1).</w:t>
            </w:r>
          </w:p>
        </w:tc>
        <w:tc>
          <w:tcPr>
            <w:tcW w:w="1142" w:type="dxa"/>
            <w:vAlign w:val="center"/>
            <w:hideMark/>
          </w:tcPr>
          <w:p w:rsidR="007C11BF" w:rsidRPr="0001264E" w:rsidRDefault="007C11BF" w:rsidP="006F4AB8">
            <w:pPr>
              <w:ind w:firstLine="0"/>
              <w:jc w:val="right"/>
              <w:rPr>
                <w:sz w:val="20"/>
                <w:szCs w:val="20"/>
              </w:rPr>
            </w:pPr>
            <w:r w:rsidRPr="0001264E">
              <w:rPr>
                <w:sz w:val="20"/>
                <w:szCs w:val="20"/>
              </w:rPr>
              <w:t>0,74</w:t>
            </w:r>
          </w:p>
        </w:tc>
        <w:tc>
          <w:tcPr>
            <w:tcW w:w="1128" w:type="dxa"/>
            <w:vAlign w:val="center"/>
            <w:hideMark/>
          </w:tcPr>
          <w:p w:rsidR="007C11BF" w:rsidRPr="0001264E" w:rsidRDefault="007C11BF" w:rsidP="006F4AB8">
            <w:pPr>
              <w:ind w:firstLine="0"/>
              <w:jc w:val="right"/>
              <w:rPr>
                <w:sz w:val="20"/>
                <w:szCs w:val="20"/>
              </w:rPr>
            </w:pPr>
            <w:r w:rsidRPr="0001264E">
              <w:rPr>
                <w:sz w:val="20"/>
                <w:szCs w:val="20"/>
              </w:rPr>
              <w:t>0,79</w:t>
            </w:r>
          </w:p>
        </w:tc>
        <w:tc>
          <w:tcPr>
            <w:tcW w:w="988" w:type="dxa"/>
            <w:vAlign w:val="center"/>
            <w:hideMark/>
          </w:tcPr>
          <w:p w:rsidR="007C11BF" w:rsidRPr="0001264E" w:rsidRDefault="007C11BF" w:rsidP="006F4AB8">
            <w:pPr>
              <w:ind w:firstLine="0"/>
              <w:jc w:val="right"/>
              <w:rPr>
                <w:sz w:val="20"/>
                <w:szCs w:val="20"/>
              </w:rPr>
            </w:pPr>
            <w:r w:rsidRPr="0001264E">
              <w:rPr>
                <w:sz w:val="20"/>
                <w:szCs w:val="20"/>
              </w:rPr>
              <w:t>0,45</w:t>
            </w:r>
          </w:p>
        </w:tc>
        <w:tc>
          <w:tcPr>
            <w:tcW w:w="1337" w:type="dxa"/>
            <w:vAlign w:val="center"/>
            <w:hideMark/>
          </w:tcPr>
          <w:p w:rsidR="007C11BF" w:rsidRPr="0001264E" w:rsidRDefault="007C11BF" w:rsidP="006F4AB8">
            <w:pPr>
              <w:ind w:firstLine="0"/>
              <w:jc w:val="right"/>
              <w:rPr>
                <w:sz w:val="20"/>
                <w:szCs w:val="20"/>
              </w:rPr>
            </w:pPr>
            <w:r w:rsidRPr="0001264E">
              <w:rPr>
                <w:sz w:val="20"/>
                <w:szCs w:val="20"/>
              </w:rPr>
              <w:t>-0,34</w:t>
            </w:r>
          </w:p>
        </w:tc>
      </w:tr>
      <w:tr w:rsidR="007C11BF" w:rsidRPr="004761E0" w:rsidTr="006F4AB8">
        <w:trPr>
          <w:trHeight w:val="56"/>
        </w:trPr>
        <w:tc>
          <w:tcPr>
            <w:tcW w:w="722" w:type="dxa"/>
          </w:tcPr>
          <w:p w:rsidR="007C11BF" w:rsidRPr="0001264E" w:rsidRDefault="007C11BF" w:rsidP="007C11BF">
            <w:pPr>
              <w:pStyle w:val="a5"/>
              <w:numPr>
                <w:ilvl w:val="1"/>
                <w:numId w:val="179"/>
              </w:numPr>
              <w:contextualSpacing w:val="0"/>
              <w:jc w:val="left"/>
              <w:rPr>
                <w:rFonts w:eastAsia="Times New Roman"/>
                <w:color w:val="000000"/>
                <w:sz w:val="20"/>
                <w:szCs w:val="20"/>
              </w:rPr>
            </w:pPr>
          </w:p>
        </w:tc>
        <w:tc>
          <w:tcPr>
            <w:tcW w:w="3242" w:type="dxa"/>
            <w:hideMark/>
          </w:tcPr>
          <w:p w:rsidR="007C11BF" w:rsidRPr="0001264E" w:rsidRDefault="007C11BF" w:rsidP="006F4AB8">
            <w:pPr>
              <w:ind w:firstLine="0"/>
              <w:jc w:val="left"/>
              <w:rPr>
                <w:rFonts w:eastAsia="Times New Roman"/>
                <w:color w:val="000000"/>
                <w:sz w:val="20"/>
                <w:szCs w:val="20"/>
              </w:rPr>
            </w:pPr>
            <w:r w:rsidRPr="0001264E">
              <w:rPr>
                <w:rFonts w:eastAsia="Times New Roman"/>
                <w:color w:val="000000"/>
                <w:sz w:val="20"/>
                <w:szCs w:val="20"/>
              </w:rPr>
              <w:t>Соотношение наиболее ликвидной дебиторской и кредиторской задолженности</w:t>
            </w:r>
          </w:p>
        </w:tc>
        <w:tc>
          <w:tcPr>
            <w:tcW w:w="3248" w:type="dxa"/>
            <w:hideMark/>
          </w:tcPr>
          <w:p w:rsidR="007C11BF" w:rsidRPr="0001264E" w:rsidRDefault="007C11BF" w:rsidP="006F4AB8">
            <w:pPr>
              <w:ind w:firstLine="0"/>
              <w:jc w:val="left"/>
              <w:rPr>
                <w:rFonts w:eastAsia="Times New Roman"/>
                <w:color w:val="000000"/>
                <w:sz w:val="20"/>
                <w:szCs w:val="20"/>
              </w:rPr>
            </w:pPr>
            <w:r w:rsidRPr="0001264E">
              <w:rPr>
                <w:rFonts w:eastAsia="Times New Roman"/>
                <w:color w:val="000000"/>
                <w:sz w:val="20"/>
                <w:szCs w:val="20"/>
              </w:rPr>
              <w:t>Наиболее ликвидная ДЗ на конец отчетного периода / КЗ перед поставщиками и подрядчиками на конец отчетного периода</w:t>
            </w:r>
          </w:p>
        </w:tc>
        <w:tc>
          <w:tcPr>
            <w:tcW w:w="2668" w:type="dxa"/>
            <w:hideMark/>
          </w:tcPr>
          <w:p w:rsidR="007C11BF" w:rsidRPr="0001264E" w:rsidRDefault="007C11BF" w:rsidP="006F4AB8">
            <w:pPr>
              <w:ind w:firstLine="0"/>
              <w:jc w:val="center"/>
              <w:rPr>
                <w:rFonts w:eastAsia="Times New Roman"/>
                <w:color w:val="000000"/>
                <w:sz w:val="20"/>
                <w:szCs w:val="20"/>
              </w:rPr>
            </w:pPr>
            <w:r w:rsidRPr="0001264E">
              <w:rPr>
                <w:rFonts w:eastAsia="Times New Roman"/>
                <w:color w:val="000000"/>
                <w:sz w:val="20"/>
                <w:szCs w:val="20"/>
              </w:rPr>
              <w:t>(стр. 123201 ф.1 + стр. 123206 ф. 1) / (стр. 1521 ф.1 + стр. 1528 ф.1)</w:t>
            </w:r>
          </w:p>
        </w:tc>
        <w:tc>
          <w:tcPr>
            <w:tcW w:w="1142" w:type="dxa"/>
            <w:vAlign w:val="center"/>
            <w:hideMark/>
          </w:tcPr>
          <w:p w:rsidR="007C11BF" w:rsidRPr="0001264E" w:rsidRDefault="007C11BF" w:rsidP="006F4AB8">
            <w:pPr>
              <w:ind w:firstLine="0"/>
              <w:jc w:val="right"/>
              <w:rPr>
                <w:sz w:val="20"/>
                <w:szCs w:val="20"/>
              </w:rPr>
            </w:pPr>
            <w:r w:rsidRPr="0001264E">
              <w:rPr>
                <w:sz w:val="20"/>
                <w:szCs w:val="20"/>
              </w:rPr>
              <w:t>0,90</w:t>
            </w:r>
          </w:p>
        </w:tc>
        <w:tc>
          <w:tcPr>
            <w:tcW w:w="1128" w:type="dxa"/>
            <w:vAlign w:val="center"/>
            <w:hideMark/>
          </w:tcPr>
          <w:p w:rsidR="007C11BF" w:rsidRPr="0001264E" w:rsidRDefault="007C11BF" w:rsidP="006F4AB8">
            <w:pPr>
              <w:ind w:firstLine="0"/>
              <w:jc w:val="right"/>
              <w:rPr>
                <w:sz w:val="20"/>
                <w:szCs w:val="20"/>
              </w:rPr>
            </w:pPr>
            <w:r w:rsidRPr="0001264E">
              <w:rPr>
                <w:sz w:val="20"/>
                <w:szCs w:val="20"/>
              </w:rPr>
              <w:t>1,25</w:t>
            </w:r>
          </w:p>
        </w:tc>
        <w:tc>
          <w:tcPr>
            <w:tcW w:w="988" w:type="dxa"/>
            <w:vAlign w:val="center"/>
            <w:hideMark/>
          </w:tcPr>
          <w:p w:rsidR="007C11BF" w:rsidRPr="0001264E" w:rsidRDefault="007C11BF" w:rsidP="006F4AB8">
            <w:pPr>
              <w:ind w:firstLine="0"/>
              <w:jc w:val="right"/>
              <w:rPr>
                <w:sz w:val="20"/>
                <w:szCs w:val="20"/>
              </w:rPr>
            </w:pPr>
            <w:r w:rsidRPr="0001264E">
              <w:rPr>
                <w:sz w:val="20"/>
                <w:szCs w:val="20"/>
              </w:rPr>
              <w:t>0,90</w:t>
            </w:r>
          </w:p>
        </w:tc>
        <w:tc>
          <w:tcPr>
            <w:tcW w:w="1337" w:type="dxa"/>
            <w:vAlign w:val="center"/>
            <w:hideMark/>
          </w:tcPr>
          <w:p w:rsidR="007C11BF" w:rsidRPr="0001264E" w:rsidRDefault="007C11BF" w:rsidP="006F4AB8">
            <w:pPr>
              <w:ind w:firstLine="0"/>
              <w:jc w:val="right"/>
              <w:rPr>
                <w:sz w:val="20"/>
                <w:szCs w:val="20"/>
              </w:rPr>
            </w:pPr>
            <w:r w:rsidRPr="0001264E">
              <w:rPr>
                <w:sz w:val="20"/>
                <w:szCs w:val="20"/>
              </w:rPr>
              <w:t>-0,35</w:t>
            </w:r>
          </w:p>
        </w:tc>
      </w:tr>
    </w:tbl>
    <w:p w:rsidR="00F97D9D" w:rsidRPr="00F97D9D" w:rsidRDefault="00F97D9D" w:rsidP="00F97D9D">
      <w:pPr>
        <w:pStyle w:val="af3"/>
        <w:pageBreakBefore/>
        <w:jc w:val="left"/>
        <w:rPr>
          <w:color w:val="000000" w:themeColor="text1"/>
        </w:rPr>
      </w:pPr>
      <w:r w:rsidRPr="00F97D9D">
        <w:rPr>
          <w:b/>
          <w:color w:val="000000" w:themeColor="text1"/>
          <w:sz w:val="26"/>
          <w:szCs w:val="26"/>
        </w:rPr>
        <w:lastRenderedPageBreak/>
        <w:t>Анализ платежеспособности и финансового положения (без учета полученных авансов по договорам технологического присоединения)</w:t>
      </w:r>
      <w:r w:rsidRPr="00F97D9D">
        <w:rPr>
          <w:rStyle w:val="af1"/>
          <w:rFonts w:eastAsia="Times New Roman"/>
          <w:color w:val="000000" w:themeColor="text1"/>
          <w:lang w:eastAsia="ru-RU"/>
        </w:rPr>
        <w:t xml:space="preserve"> </w:t>
      </w:r>
      <w:r w:rsidRPr="00F97D9D">
        <w:rPr>
          <w:rStyle w:val="af1"/>
          <w:rFonts w:eastAsia="Times New Roman"/>
          <w:color w:val="000000" w:themeColor="text1"/>
          <w:lang w:eastAsia="ru-RU"/>
        </w:rPr>
        <w:footnoteReference w:id="63"/>
      </w:r>
    </w:p>
    <w:p w:rsidR="00F97D9D" w:rsidRPr="00F97D9D" w:rsidRDefault="00F97D9D" w:rsidP="00F97D9D">
      <w:pPr>
        <w:pStyle w:val="af3"/>
        <w:jc w:val="left"/>
        <w:rPr>
          <w:color w:val="000000" w:themeColor="text1"/>
        </w:rPr>
      </w:pPr>
    </w:p>
    <w:tbl>
      <w:tblPr>
        <w:tblW w:w="14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
        <w:gridCol w:w="3242"/>
        <w:gridCol w:w="3248"/>
        <w:gridCol w:w="2668"/>
        <w:gridCol w:w="1142"/>
        <w:gridCol w:w="1128"/>
        <w:gridCol w:w="988"/>
        <w:gridCol w:w="1337"/>
      </w:tblGrid>
      <w:tr w:rsidR="00F97D9D" w:rsidRPr="00F97D9D" w:rsidTr="00145C24">
        <w:trPr>
          <w:trHeight w:val="56"/>
        </w:trPr>
        <w:tc>
          <w:tcPr>
            <w:tcW w:w="722" w:type="dxa"/>
            <w:tcBorders>
              <w:right w:val="single" w:sz="4" w:space="0" w:color="FFFFFF"/>
            </w:tcBorders>
            <w:shd w:val="clear" w:color="auto" w:fill="0F243E"/>
            <w:hideMark/>
          </w:tcPr>
          <w:p w:rsidR="00F97D9D" w:rsidRPr="00F97D9D" w:rsidRDefault="00F97D9D" w:rsidP="00145C24">
            <w:pPr>
              <w:ind w:firstLine="0"/>
              <w:jc w:val="left"/>
              <w:rPr>
                <w:rFonts w:eastAsia="Times New Roman"/>
                <w:b/>
                <w:color w:val="000000" w:themeColor="text1"/>
                <w:sz w:val="20"/>
                <w:szCs w:val="20"/>
              </w:rPr>
            </w:pPr>
            <w:r w:rsidRPr="00F97D9D">
              <w:rPr>
                <w:rFonts w:eastAsia="Times New Roman"/>
                <w:b/>
                <w:color w:val="000000" w:themeColor="text1"/>
                <w:sz w:val="20"/>
                <w:szCs w:val="20"/>
              </w:rPr>
              <w:t>№ п/п</w:t>
            </w:r>
          </w:p>
        </w:tc>
        <w:tc>
          <w:tcPr>
            <w:tcW w:w="3242" w:type="dxa"/>
            <w:tcBorders>
              <w:left w:val="single" w:sz="4" w:space="0" w:color="FFFFFF"/>
              <w:right w:val="single" w:sz="4" w:space="0" w:color="FFFFFF"/>
            </w:tcBorders>
            <w:shd w:val="clear" w:color="auto" w:fill="0F243E"/>
            <w:vAlign w:val="center"/>
            <w:hideMark/>
          </w:tcPr>
          <w:p w:rsidR="00F97D9D" w:rsidRPr="00F97D9D" w:rsidRDefault="00F97D9D" w:rsidP="00145C24">
            <w:pPr>
              <w:ind w:firstLine="0"/>
              <w:jc w:val="left"/>
              <w:rPr>
                <w:rFonts w:eastAsia="Times New Roman"/>
                <w:b/>
                <w:color w:val="000000" w:themeColor="text1"/>
                <w:sz w:val="20"/>
                <w:szCs w:val="20"/>
              </w:rPr>
            </w:pPr>
            <w:r w:rsidRPr="00F97D9D">
              <w:rPr>
                <w:rFonts w:eastAsia="Times New Roman"/>
                <w:b/>
                <w:color w:val="000000" w:themeColor="text1"/>
                <w:sz w:val="20"/>
                <w:szCs w:val="20"/>
              </w:rPr>
              <w:t>Наименование категории</w:t>
            </w:r>
          </w:p>
        </w:tc>
        <w:tc>
          <w:tcPr>
            <w:tcW w:w="5916" w:type="dxa"/>
            <w:gridSpan w:val="2"/>
            <w:tcBorders>
              <w:left w:val="single" w:sz="4" w:space="0" w:color="FFFFFF"/>
              <w:right w:val="single" w:sz="4" w:space="0" w:color="FFFFFF"/>
            </w:tcBorders>
            <w:shd w:val="clear" w:color="auto" w:fill="0F243E"/>
            <w:vAlign w:val="center"/>
            <w:hideMark/>
          </w:tcPr>
          <w:p w:rsidR="00F97D9D" w:rsidRPr="00F97D9D" w:rsidRDefault="00F97D9D" w:rsidP="00145C24">
            <w:pPr>
              <w:ind w:firstLine="0"/>
              <w:jc w:val="left"/>
              <w:rPr>
                <w:rFonts w:eastAsia="Times New Roman"/>
                <w:b/>
                <w:color w:val="000000" w:themeColor="text1"/>
                <w:sz w:val="20"/>
                <w:szCs w:val="20"/>
              </w:rPr>
            </w:pPr>
            <w:r w:rsidRPr="00F97D9D">
              <w:rPr>
                <w:rFonts w:eastAsia="Times New Roman"/>
                <w:b/>
                <w:color w:val="000000" w:themeColor="text1"/>
                <w:sz w:val="20"/>
                <w:szCs w:val="20"/>
              </w:rPr>
              <w:t>Формула расчета</w:t>
            </w:r>
            <w:r w:rsidRPr="00F97D9D">
              <w:rPr>
                <w:rStyle w:val="af1"/>
                <w:rFonts w:eastAsia="Times New Roman"/>
                <w:b/>
                <w:color w:val="000000" w:themeColor="text1"/>
                <w:sz w:val="20"/>
                <w:szCs w:val="20"/>
              </w:rPr>
              <w:footnoteReference w:id="64"/>
            </w:r>
          </w:p>
        </w:tc>
        <w:tc>
          <w:tcPr>
            <w:tcW w:w="1142" w:type="dxa"/>
            <w:tcBorders>
              <w:left w:val="single" w:sz="4" w:space="0" w:color="FFFFFF"/>
              <w:right w:val="single" w:sz="4" w:space="0" w:color="FFFFFF"/>
            </w:tcBorders>
            <w:shd w:val="clear" w:color="auto" w:fill="0F243E"/>
            <w:vAlign w:val="center"/>
            <w:hideMark/>
          </w:tcPr>
          <w:p w:rsidR="00F97D9D" w:rsidRPr="00F97D9D" w:rsidRDefault="00F97D9D" w:rsidP="00145C24">
            <w:pPr>
              <w:ind w:firstLine="0"/>
              <w:jc w:val="right"/>
              <w:rPr>
                <w:rFonts w:eastAsia="Times New Roman"/>
                <w:b/>
                <w:color w:val="000000" w:themeColor="text1"/>
                <w:sz w:val="20"/>
                <w:szCs w:val="20"/>
              </w:rPr>
            </w:pPr>
            <w:r w:rsidRPr="00F97D9D">
              <w:rPr>
                <w:rFonts w:eastAsia="Times New Roman"/>
                <w:b/>
                <w:color w:val="000000" w:themeColor="text1"/>
                <w:sz w:val="20"/>
                <w:szCs w:val="20"/>
              </w:rPr>
              <w:t>2011</w:t>
            </w:r>
          </w:p>
        </w:tc>
        <w:tc>
          <w:tcPr>
            <w:tcW w:w="1128" w:type="dxa"/>
            <w:tcBorders>
              <w:left w:val="single" w:sz="4" w:space="0" w:color="FFFFFF"/>
              <w:right w:val="single" w:sz="4" w:space="0" w:color="FFFFFF"/>
            </w:tcBorders>
            <w:shd w:val="clear" w:color="auto" w:fill="0F243E"/>
            <w:vAlign w:val="center"/>
            <w:hideMark/>
          </w:tcPr>
          <w:p w:rsidR="00F97D9D" w:rsidRPr="00F97D9D" w:rsidRDefault="00F97D9D" w:rsidP="00145C24">
            <w:pPr>
              <w:ind w:firstLine="0"/>
              <w:jc w:val="right"/>
              <w:rPr>
                <w:rFonts w:eastAsia="Times New Roman"/>
                <w:b/>
                <w:color w:val="000000" w:themeColor="text1"/>
                <w:sz w:val="20"/>
                <w:szCs w:val="20"/>
              </w:rPr>
            </w:pPr>
            <w:r w:rsidRPr="00F97D9D">
              <w:rPr>
                <w:rFonts w:eastAsia="Times New Roman"/>
                <w:b/>
                <w:color w:val="000000" w:themeColor="text1"/>
                <w:sz w:val="20"/>
                <w:szCs w:val="20"/>
              </w:rPr>
              <w:t>2012</w:t>
            </w:r>
          </w:p>
        </w:tc>
        <w:tc>
          <w:tcPr>
            <w:tcW w:w="988" w:type="dxa"/>
            <w:tcBorders>
              <w:left w:val="single" w:sz="4" w:space="0" w:color="FFFFFF"/>
              <w:right w:val="single" w:sz="4" w:space="0" w:color="FFFFFF"/>
            </w:tcBorders>
            <w:shd w:val="clear" w:color="auto" w:fill="0F243E"/>
            <w:vAlign w:val="center"/>
            <w:hideMark/>
          </w:tcPr>
          <w:p w:rsidR="00F97D9D" w:rsidRPr="00F97D9D" w:rsidRDefault="00F97D9D" w:rsidP="00145C24">
            <w:pPr>
              <w:ind w:firstLine="0"/>
              <w:jc w:val="right"/>
              <w:rPr>
                <w:rFonts w:eastAsia="Times New Roman"/>
                <w:b/>
                <w:color w:val="000000" w:themeColor="text1"/>
                <w:sz w:val="20"/>
                <w:szCs w:val="20"/>
              </w:rPr>
            </w:pPr>
            <w:r w:rsidRPr="00F97D9D">
              <w:rPr>
                <w:rFonts w:eastAsia="Times New Roman"/>
                <w:b/>
                <w:color w:val="000000" w:themeColor="text1"/>
                <w:sz w:val="20"/>
                <w:szCs w:val="20"/>
              </w:rPr>
              <w:t>2013</w:t>
            </w:r>
          </w:p>
        </w:tc>
        <w:tc>
          <w:tcPr>
            <w:tcW w:w="1337" w:type="dxa"/>
            <w:tcBorders>
              <w:left w:val="single" w:sz="4" w:space="0" w:color="FFFFFF"/>
            </w:tcBorders>
            <w:shd w:val="clear" w:color="auto" w:fill="0F243E"/>
            <w:vAlign w:val="center"/>
            <w:hideMark/>
          </w:tcPr>
          <w:p w:rsidR="00F97D9D" w:rsidRPr="00F97D9D" w:rsidRDefault="00F97D9D" w:rsidP="00145C24">
            <w:pPr>
              <w:ind w:firstLine="0"/>
              <w:jc w:val="right"/>
              <w:rPr>
                <w:rFonts w:eastAsia="Times New Roman"/>
                <w:b/>
                <w:color w:val="000000" w:themeColor="text1"/>
                <w:sz w:val="20"/>
                <w:szCs w:val="20"/>
              </w:rPr>
            </w:pPr>
            <w:r w:rsidRPr="00F97D9D">
              <w:rPr>
                <w:rFonts w:eastAsia="Times New Roman"/>
                <w:b/>
                <w:color w:val="000000" w:themeColor="text1"/>
                <w:sz w:val="20"/>
                <w:szCs w:val="20"/>
              </w:rPr>
              <w:t>2013/2012</w:t>
            </w:r>
          </w:p>
        </w:tc>
      </w:tr>
      <w:tr w:rsidR="00F97D9D" w:rsidRPr="00F97D9D" w:rsidTr="00145C24">
        <w:trPr>
          <w:trHeight w:val="272"/>
        </w:trPr>
        <w:tc>
          <w:tcPr>
            <w:tcW w:w="14475" w:type="dxa"/>
            <w:gridSpan w:val="8"/>
            <w:shd w:val="clear" w:color="auto" w:fill="BFBFBF"/>
          </w:tcPr>
          <w:p w:rsidR="00F97D9D" w:rsidRPr="00F97D9D" w:rsidRDefault="00F97D9D" w:rsidP="00F97D9D">
            <w:pPr>
              <w:pStyle w:val="a5"/>
              <w:numPr>
                <w:ilvl w:val="0"/>
                <w:numId w:val="343"/>
              </w:numPr>
              <w:ind w:left="0" w:firstLine="0"/>
              <w:contextualSpacing w:val="0"/>
              <w:jc w:val="left"/>
              <w:rPr>
                <w:rFonts w:eastAsia="Times New Roman"/>
                <w:b/>
                <w:bCs/>
                <w:color w:val="000000" w:themeColor="text1"/>
                <w:sz w:val="20"/>
                <w:szCs w:val="20"/>
              </w:rPr>
            </w:pPr>
            <w:r w:rsidRPr="00F97D9D">
              <w:rPr>
                <w:rFonts w:eastAsia="Times New Roman"/>
                <w:b/>
                <w:bCs/>
                <w:color w:val="000000" w:themeColor="text1"/>
                <w:sz w:val="20"/>
                <w:szCs w:val="20"/>
              </w:rPr>
              <w:t>Показатели ликвидности</w:t>
            </w:r>
          </w:p>
        </w:tc>
      </w:tr>
      <w:tr w:rsidR="00F97D9D" w:rsidRPr="00F97D9D" w:rsidTr="00145C24">
        <w:trPr>
          <w:trHeight w:val="749"/>
        </w:trPr>
        <w:tc>
          <w:tcPr>
            <w:tcW w:w="722" w:type="dxa"/>
          </w:tcPr>
          <w:p w:rsidR="00F97D9D" w:rsidRPr="00F97D9D" w:rsidRDefault="00F97D9D" w:rsidP="00145C24">
            <w:pPr>
              <w:pStyle w:val="a5"/>
              <w:ind w:left="0" w:firstLine="0"/>
              <w:contextualSpacing w:val="0"/>
              <w:jc w:val="left"/>
              <w:rPr>
                <w:rFonts w:eastAsia="Times New Roman"/>
                <w:color w:val="000000" w:themeColor="text1"/>
                <w:sz w:val="20"/>
                <w:szCs w:val="20"/>
              </w:rPr>
            </w:pPr>
            <w:r w:rsidRPr="00F97D9D">
              <w:rPr>
                <w:rFonts w:eastAsia="Times New Roman"/>
                <w:color w:val="000000" w:themeColor="text1"/>
                <w:sz w:val="20"/>
                <w:szCs w:val="20"/>
                <w:lang w:val="en-US"/>
              </w:rPr>
              <w:t>1</w:t>
            </w:r>
            <w:r w:rsidRPr="00F97D9D">
              <w:rPr>
                <w:rFonts w:eastAsia="Times New Roman"/>
                <w:color w:val="000000" w:themeColor="text1"/>
                <w:sz w:val="20"/>
                <w:szCs w:val="20"/>
              </w:rPr>
              <w:t>.1</w:t>
            </w:r>
          </w:p>
        </w:tc>
        <w:tc>
          <w:tcPr>
            <w:tcW w:w="3242" w:type="dxa"/>
            <w:hideMark/>
          </w:tcPr>
          <w:p w:rsidR="00F97D9D" w:rsidRPr="00F97D9D" w:rsidRDefault="00F97D9D" w:rsidP="00145C24">
            <w:pPr>
              <w:ind w:firstLine="0"/>
              <w:jc w:val="left"/>
              <w:rPr>
                <w:rFonts w:eastAsia="Times New Roman"/>
                <w:color w:val="000000" w:themeColor="text1"/>
                <w:sz w:val="20"/>
                <w:szCs w:val="20"/>
              </w:rPr>
            </w:pPr>
            <w:r w:rsidRPr="00F97D9D">
              <w:rPr>
                <w:rFonts w:eastAsia="Times New Roman"/>
                <w:color w:val="000000" w:themeColor="text1"/>
                <w:sz w:val="20"/>
                <w:szCs w:val="20"/>
              </w:rPr>
              <w:t>Коэффициент абсолютной ликвидности</w:t>
            </w:r>
          </w:p>
          <w:p w:rsidR="00F97D9D" w:rsidRPr="00F97D9D" w:rsidRDefault="00F97D9D" w:rsidP="00145C24">
            <w:pPr>
              <w:ind w:firstLine="0"/>
              <w:jc w:val="left"/>
              <w:rPr>
                <w:rFonts w:eastAsia="Times New Roman"/>
                <w:color w:val="000000" w:themeColor="text1"/>
                <w:sz w:val="20"/>
                <w:szCs w:val="20"/>
                <w:vertAlign w:val="superscript"/>
              </w:rPr>
            </w:pPr>
            <w:r w:rsidRPr="00F97D9D">
              <w:rPr>
                <w:rFonts w:eastAsia="Times New Roman"/>
                <w:color w:val="000000" w:themeColor="text1"/>
                <w:sz w:val="20"/>
                <w:szCs w:val="20"/>
                <w:vertAlign w:val="superscript"/>
              </w:rPr>
              <w:t>(показывает, какую часть краткосрочной задолженности можно погасить за счет денежных средств и прочих оборотных активов и)</w:t>
            </w:r>
          </w:p>
        </w:tc>
        <w:tc>
          <w:tcPr>
            <w:tcW w:w="3248" w:type="dxa"/>
            <w:hideMark/>
          </w:tcPr>
          <w:p w:rsidR="00F97D9D" w:rsidRPr="00F97D9D" w:rsidRDefault="00F97D9D" w:rsidP="00145C24">
            <w:pPr>
              <w:ind w:firstLine="0"/>
              <w:jc w:val="left"/>
              <w:rPr>
                <w:rFonts w:eastAsia="Times New Roman"/>
                <w:color w:val="000000" w:themeColor="text1"/>
                <w:sz w:val="20"/>
                <w:szCs w:val="20"/>
              </w:rPr>
            </w:pPr>
            <w:r w:rsidRPr="00F97D9D">
              <w:rPr>
                <w:rFonts w:eastAsia="Times New Roman"/>
                <w:color w:val="000000" w:themeColor="text1"/>
                <w:sz w:val="20"/>
                <w:szCs w:val="20"/>
              </w:rPr>
              <w:t>(Денежные средства и денежные эквиваленты + Краткосрочные финансовые вложения) / (Краткосрочные обязательства -Авансы по ТП)</w:t>
            </w:r>
          </w:p>
        </w:tc>
        <w:tc>
          <w:tcPr>
            <w:tcW w:w="2668" w:type="dxa"/>
            <w:hideMark/>
          </w:tcPr>
          <w:p w:rsidR="00F97D9D" w:rsidRPr="00F97D9D" w:rsidRDefault="00F97D9D" w:rsidP="00145C24">
            <w:pPr>
              <w:ind w:firstLine="0"/>
              <w:jc w:val="center"/>
              <w:rPr>
                <w:rFonts w:eastAsia="Times New Roman"/>
                <w:color w:val="000000" w:themeColor="text1"/>
                <w:sz w:val="20"/>
                <w:szCs w:val="20"/>
              </w:rPr>
            </w:pPr>
            <w:r w:rsidRPr="00F97D9D">
              <w:rPr>
                <w:rFonts w:eastAsia="Times New Roman"/>
                <w:color w:val="000000" w:themeColor="text1"/>
                <w:sz w:val="20"/>
                <w:szCs w:val="20"/>
              </w:rPr>
              <w:t>(стр. 1240 ф.1 + стр. 1250 ф.1) / (стр. 1500 ф.1 - стр. 1526 ф.1 в части авансов полученных по договорам технологического присоединения)</w:t>
            </w:r>
          </w:p>
        </w:tc>
        <w:tc>
          <w:tcPr>
            <w:tcW w:w="1142" w:type="dxa"/>
            <w:vAlign w:val="center"/>
            <w:hideMark/>
          </w:tcPr>
          <w:p w:rsidR="00F97D9D" w:rsidRPr="00F97D9D" w:rsidRDefault="00F97D9D" w:rsidP="00145C24">
            <w:pPr>
              <w:ind w:firstLine="0"/>
              <w:jc w:val="center"/>
              <w:rPr>
                <w:color w:val="000000" w:themeColor="text1"/>
                <w:sz w:val="20"/>
                <w:szCs w:val="20"/>
              </w:rPr>
            </w:pPr>
            <w:r w:rsidRPr="00F97D9D">
              <w:rPr>
                <w:color w:val="000000" w:themeColor="text1"/>
                <w:sz w:val="20"/>
                <w:szCs w:val="20"/>
              </w:rPr>
              <w:t>0,17</w:t>
            </w:r>
          </w:p>
        </w:tc>
        <w:tc>
          <w:tcPr>
            <w:tcW w:w="1128" w:type="dxa"/>
            <w:vAlign w:val="center"/>
            <w:hideMark/>
          </w:tcPr>
          <w:p w:rsidR="00F97D9D" w:rsidRPr="00F97D9D" w:rsidRDefault="00F97D9D" w:rsidP="00145C24">
            <w:pPr>
              <w:ind w:firstLine="0"/>
              <w:jc w:val="center"/>
              <w:rPr>
                <w:color w:val="000000" w:themeColor="text1"/>
                <w:sz w:val="20"/>
                <w:szCs w:val="20"/>
              </w:rPr>
            </w:pPr>
            <w:r w:rsidRPr="00F97D9D">
              <w:rPr>
                <w:color w:val="000000" w:themeColor="text1"/>
                <w:sz w:val="20"/>
                <w:szCs w:val="20"/>
              </w:rPr>
              <w:t>0,38</w:t>
            </w:r>
          </w:p>
        </w:tc>
        <w:tc>
          <w:tcPr>
            <w:tcW w:w="988" w:type="dxa"/>
            <w:vAlign w:val="center"/>
            <w:hideMark/>
          </w:tcPr>
          <w:p w:rsidR="00F97D9D" w:rsidRPr="00F97D9D" w:rsidRDefault="00F97D9D" w:rsidP="00145C24">
            <w:pPr>
              <w:ind w:firstLine="0"/>
              <w:jc w:val="center"/>
              <w:rPr>
                <w:color w:val="000000" w:themeColor="text1"/>
                <w:sz w:val="20"/>
                <w:szCs w:val="20"/>
              </w:rPr>
            </w:pPr>
            <w:r w:rsidRPr="00F97D9D">
              <w:rPr>
                <w:color w:val="000000" w:themeColor="text1"/>
                <w:sz w:val="20"/>
                <w:szCs w:val="20"/>
              </w:rPr>
              <w:t>0,08</w:t>
            </w:r>
          </w:p>
        </w:tc>
        <w:tc>
          <w:tcPr>
            <w:tcW w:w="1337" w:type="dxa"/>
            <w:vAlign w:val="center"/>
            <w:hideMark/>
          </w:tcPr>
          <w:p w:rsidR="00F97D9D" w:rsidRPr="00F97D9D" w:rsidRDefault="00F97D9D" w:rsidP="00145C24">
            <w:pPr>
              <w:ind w:firstLine="0"/>
              <w:jc w:val="center"/>
              <w:rPr>
                <w:color w:val="000000" w:themeColor="text1"/>
                <w:sz w:val="20"/>
                <w:szCs w:val="20"/>
              </w:rPr>
            </w:pPr>
            <w:r w:rsidRPr="00F97D9D">
              <w:rPr>
                <w:color w:val="000000" w:themeColor="text1"/>
                <w:sz w:val="20"/>
                <w:szCs w:val="20"/>
              </w:rPr>
              <w:t>-0,30 п.п.</w:t>
            </w:r>
          </w:p>
        </w:tc>
      </w:tr>
      <w:tr w:rsidR="00F97D9D" w:rsidRPr="00F97D9D" w:rsidTr="00145C24">
        <w:trPr>
          <w:trHeight w:val="1151"/>
        </w:trPr>
        <w:tc>
          <w:tcPr>
            <w:tcW w:w="722" w:type="dxa"/>
          </w:tcPr>
          <w:p w:rsidR="00F97D9D" w:rsidRPr="00F97D9D" w:rsidRDefault="00F97D9D" w:rsidP="00145C24">
            <w:pPr>
              <w:pStyle w:val="a5"/>
              <w:ind w:left="0" w:firstLine="0"/>
              <w:contextualSpacing w:val="0"/>
              <w:jc w:val="left"/>
              <w:rPr>
                <w:rFonts w:eastAsia="Times New Roman"/>
                <w:color w:val="000000" w:themeColor="text1"/>
                <w:sz w:val="20"/>
                <w:szCs w:val="20"/>
              </w:rPr>
            </w:pPr>
            <w:r w:rsidRPr="00F97D9D">
              <w:rPr>
                <w:rFonts w:eastAsia="Times New Roman"/>
                <w:color w:val="000000" w:themeColor="text1"/>
                <w:sz w:val="20"/>
                <w:szCs w:val="20"/>
              </w:rPr>
              <w:t>1.2</w:t>
            </w:r>
          </w:p>
        </w:tc>
        <w:tc>
          <w:tcPr>
            <w:tcW w:w="3242" w:type="dxa"/>
            <w:hideMark/>
          </w:tcPr>
          <w:p w:rsidR="00F97D9D" w:rsidRPr="00F97D9D" w:rsidRDefault="00F97D9D" w:rsidP="00145C24">
            <w:pPr>
              <w:ind w:firstLine="0"/>
              <w:jc w:val="left"/>
              <w:rPr>
                <w:rFonts w:eastAsia="Times New Roman"/>
                <w:color w:val="000000" w:themeColor="text1"/>
                <w:sz w:val="20"/>
                <w:szCs w:val="20"/>
              </w:rPr>
            </w:pPr>
            <w:r w:rsidRPr="00F97D9D">
              <w:rPr>
                <w:rFonts w:eastAsia="Times New Roman"/>
                <w:color w:val="000000" w:themeColor="text1"/>
                <w:sz w:val="20"/>
                <w:szCs w:val="20"/>
              </w:rPr>
              <w:t>Коэффициент срочной ликвидности</w:t>
            </w:r>
          </w:p>
          <w:p w:rsidR="00F97D9D" w:rsidRPr="00F97D9D" w:rsidRDefault="00F97D9D" w:rsidP="00145C24">
            <w:pPr>
              <w:ind w:firstLine="0"/>
              <w:jc w:val="left"/>
              <w:rPr>
                <w:rFonts w:eastAsia="Times New Roman"/>
                <w:color w:val="000000" w:themeColor="text1"/>
                <w:sz w:val="20"/>
                <w:szCs w:val="20"/>
                <w:vertAlign w:val="superscript"/>
              </w:rPr>
            </w:pPr>
            <w:r w:rsidRPr="00F97D9D">
              <w:rPr>
                <w:rFonts w:eastAsia="Times New Roman"/>
                <w:color w:val="000000" w:themeColor="text1"/>
                <w:sz w:val="20"/>
                <w:szCs w:val="20"/>
                <w:vertAlign w:val="superscript"/>
              </w:rPr>
              <w:t>(отражает отношение наиболее ликвидной части оборотных средств к краткосрочным обязательствам)</w:t>
            </w:r>
          </w:p>
        </w:tc>
        <w:tc>
          <w:tcPr>
            <w:tcW w:w="3248" w:type="dxa"/>
            <w:hideMark/>
          </w:tcPr>
          <w:p w:rsidR="00F97D9D" w:rsidRPr="00F97D9D" w:rsidRDefault="00F97D9D" w:rsidP="00145C24">
            <w:pPr>
              <w:ind w:firstLine="0"/>
              <w:jc w:val="left"/>
              <w:rPr>
                <w:rFonts w:eastAsia="Times New Roman"/>
                <w:color w:val="000000" w:themeColor="text1"/>
                <w:sz w:val="20"/>
                <w:szCs w:val="20"/>
              </w:rPr>
            </w:pPr>
            <w:r w:rsidRPr="00F97D9D">
              <w:rPr>
                <w:rFonts w:eastAsia="Times New Roman"/>
                <w:color w:val="000000" w:themeColor="text1"/>
                <w:sz w:val="20"/>
                <w:szCs w:val="20"/>
              </w:rPr>
              <w:t>(Денежные средства и денежные эквиваленты + Краткосрочные финансовые вложения + Дебиторская задолженность менее 12 месяцев + Прочие оборотные активы) / (Краткосрочные обязательства -Авансы по ТП)</w:t>
            </w:r>
          </w:p>
        </w:tc>
        <w:tc>
          <w:tcPr>
            <w:tcW w:w="2668" w:type="dxa"/>
            <w:hideMark/>
          </w:tcPr>
          <w:p w:rsidR="00F97D9D" w:rsidRPr="00F97D9D" w:rsidRDefault="00F97D9D" w:rsidP="00145C24">
            <w:pPr>
              <w:ind w:firstLine="0"/>
              <w:jc w:val="center"/>
              <w:rPr>
                <w:rFonts w:eastAsia="Times New Roman"/>
                <w:color w:val="000000" w:themeColor="text1"/>
                <w:sz w:val="20"/>
                <w:szCs w:val="20"/>
              </w:rPr>
            </w:pPr>
            <w:r w:rsidRPr="00F97D9D">
              <w:rPr>
                <w:rFonts w:eastAsia="Times New Roman"/>
                <w:color w:val="000000" w:themeColor="text1"/>
                <w:sz w:val="20"/>
                <w:szCs w:val="20"/>
              </w:rPr>
              <w:t>(стр. 1260 ф.1 + стр. 1250 ф.1 + стр. 1240 ф.1 +стр. 1232 ф.1) / (стр. 1500 ф.1 - стр. 1526 ф.1 в части авансов полученных по договорам технологического присоединения)</w:t>
            </w:r>
          </w:p>
        </w:tc>
        <w:tc>
          <w:tcPr>
            <w:tcW w:w="1142" w:type="dxa"/>
            <w:vAlign w:val="center"/>
            <w:hideMark/>
          </w:tcPr>
          <w:p w:rsidR="00F97D9D" w:rsidRPr="00F97D9D" w:rsidRDefault="00F97D9D" w:rsidP="00145C24">
            <w:pPr>
              <w:ind w:firstLine="0"/>
              <w:jc w:val="center"/>
              <w:rPr>
                <w:color w:val="000000" w:themeColor="text1"/>
                <w:sz w:val="20"/>
                <w:szCs w:val="20"/>
              </w:rPr>
            </w:pPr>
            <w:r w:rsidRPr="00F97D9D">
              <w:rPr>
                <w:color w:val="000000" w:themeColor="text1"/>
                <w:sz w:val="20"/>
                <w:szCs w:val="20"/>
              </w:rPr>
              <w:t>1,52</w:t>
            </w:r>
          </w:p>
        </w:tc>
        <w:tc>
          <w:tcPr>
            <w:tcW w:w="1128" w:type="dxa"/>
            <w:vAlign w:val="center"/>
            <w:hideMark/>
          </w:tcPr>
          <w:p w:rsidR="00F97D9D" w:rsidRPr="00F97D9D" w:rsidRDefault="00F97D9D" w:rsidP="00145C24">
            <w:pPr>
              <w:ind w:firstLine="0"/>
              <w:jc w:val="center"/>
              <w:rPr>
                <w:color w:val="000000" w:themeColor="text1"/>
                <w:sz w:val="20"/>
                <w:szCs w:val="20"/>
              </w:rPr>
            </w:pPr>
            <w:r w:rsidRPr="00F97D9D">
              <w:rPr>
                <w:color w:val="000000" w:themeColor="text1"/>
                <w:sz w:val="20"/>
                <w:szCs w:val="20"/>
              </w:rPr>
              <w:t>1,47</w:t>
            </w:r>
          </w:p>
        </w:tc>
        <w:tc>
          <w:tcPr>
            <w:tcW w:w="988" w:type="dxa"/>
            <w:vAlign w:val="center"/>
            <w:hideMark/>
          </w:tcPr>
          <w:p w:rsidR="00F97D9D" w:rsidRPr="00F97D9D" w:rsidRDefault="00F97D9D" w:rsidP="00145C24">
            <w:pPr>
              <w:ind w:firstLine="0"/>
              <w:jc w:val="center"/>
              <w:rPr>
                <w:color w:val="000000" w:themeColor="text1"/>
                <w:sz w:val="20"/>
                <w:szCs w:val="20"/>
              </w:rPr>
            </w:pPr>
            <w:r w:rsidRPr="00F97D9D">
              <w:rPr>
                <w:color w:val="000000" w:themeColor="text1"/>
                <w:sz w:val="20"/>
                <w:szCs w:val="20"/>
              </w:rPr>
              <w:t>1,00</w:t>
            </w:r>
          </w:p>
        </w:tc>
        <w:tc>
          <w:tcPr>
            <w:tcW w:w="1337" w:type="dxa"/>
            <w:vAlign w:val="center"/>
            <w:hideMark/>
          </w:tcPr>
          <w:p w:rsidR="00F97D9D" w:rsidRPr="00F97D9D" w:rsidRDefault="00F97D9D" w:rsidP="00145C24">
            <w:pPr>
              <w:ind w:firstLine="0"/>
              <w:jc w:val="center"/>
              <w:rPr>
                <w:color w:val="000000" w:themeColor="text1"/>
                <w:sz w:val="20"/>
                <w:szCs w:val="20"/>
              </w:rPr>
            </w:pPr>
            <w:r w:rsidRPr="00F97D9D">
              <w:rPr>
                <w:color w:val="000000" w:themeColor="text1"/>
                <w:sz w:val="20"/>
                <w:szCs w:val="20"/>
              </w:rPr>
              <w:t>-0,47 п.п.</w:t>
            </w:r>
          </w:p>
        </w:tc>
      </w:tr>
      <w:tr w:rsidR="00F97D9D" w:rsidRPr="00F97D9D" w:rsidTr="00145C24">
        <w:trPr>
          <w:trHeight w:val="77"/>
        </w:trPr>
        <w:tc>
          <w:tcPr>
            <w:tcW w:w="722" w:type="dxa"/>
          </w:tcPr>
          <w:p w:rsidR="00F97D9D" w:rsidRPr="00F97D9D" w:rsidRDefault="00F97D9D" w:rsidP="00145C24">
            <w:pPr>
              <w:pStyle w:val="a5"/>
              <w:ind w:left="0" w:firstLine="0"/>
              <w:contextualSpacing w:val="0"/>
              <w:jc w:val="left"/>
              <w:rPr>
                <w:rFonts w:eastAsia="Times New Roman"/>
                <w:color w:val="000000" w:themeColor="text1"/>
                <w:sz w:val="20"/>
                <w:szCs w:val="20"/>
              </w:rPr>
            </w:pPr>
            <w:r w:rsidRPr="00F97D9D">
              <w:rPr>
                <w:rFonts w:eastAsia="Times New Roman"/>
                <w:color w:val="000000" w:themeColor="text1"/>
                <w:sz w:val="20"/>
                <w:szCs w:val="20"/>
              </w:rPr>
              <w:t>1.3</w:t>
            </w:r>
          </w:p>
        </w:tc>
        <w:tc>
          <w:tcPr>
            <w:tcW w:w="3242" w:type="dxa"/>
            <w:hideMark/>
          </w:tcPr>
          <w:p w:rsidR="00F97D9D" w:rsidRPr="00F97D9D" w:rsidRDefault="00F97D9D" w:rsidP="00145C24">
            <w:pPr>
              <w:ind w:firstLine="0"/>
              <w:jc w:val="left"/>
              <w:rPr>
                <w:rFonts w:eastAsia="Times New Roman"/>
                <w:color w:val="000000" w:themeColor="text1"/>
                <w:sz w:val="20"/>
                <w:szCs w:val="20"/>
              </w:rPr>
            </w:pPr>
            <w:r w:rsidRPr="00F97D9D">
              <w:rPr>
                <w:rFonts w:eastAsia="Times New Roman"/>
                <w:color w:val="000000" w:themeColor="text1"/>
                <w:sz w:val="20"/>
                <w:szCs w:val="20"/>
              </w:rPr>
              <w:t>Коэффициент текущей ликвидности</w:t>
            </w:r>
          </w:p>
          <w:p w:rsidR="00F97D9D" w:rsidRPr="00F97D9D" w:rsidRDefault="00F97D9D" w:rsidP="00145C24">
            <w:pPr>
              <w:ind w:firstLine="0"/>
              <w:jc w:val="left"/>
              <w:rPr>
                <w:rFonts w:eastAsia="Times New Roman"/>
                <w:color w:val="000000" w:themeColor="text1"/>
                <w:sz w:val="20"/>
                <w:szCs w:val="20"/>
                <w:vertAlign w:val="superscript"/>
              </w:rPr>
            </w:pPr>
            <w:r w:rsidRPr="00F97D9D">
              <w:rPr>
                <w:rFonts w:eastAsia="Times New Roman"/>
                <w:color w:val="000000" w:themeColor="text1"/>
                <w:sz w:val="20"/>
                <w:szCs w:val="20"/>
                <w:vertAlign w:val="superscript"/>
              </w:rPr>
              <w:t>(характеризует общую обеспеченность предприятия оборотными средствами для ведения хозяйственной деятельности и своевременного погашения срочных (текущих) обязательств)</w:t>
            </w:r>
          </w:p>
        </w:tc>
        <w:tc>
          <w:tcPr>
            <w:tcW w:w="3248" w:type="dxa"/>
            <w:hideMark/>
          </w:tcPr>
          <w:p w:rsidR="00F97D9D" w:rsidRPr="00F97D9D" w:rsidRDefault="00F97D9D" w:rsidP="00145C24">
            <w:pPr>
              <w:spacing w:before="240"/>
              <w:ind w:firstLine="0"/>
              <w:jc w:val="left"/>
              <w:rPr>
                <w:rFonts w:eastAsia="Times New Roman"/>
                <w:color w:val="000000" w:themeColor="text1"/>
                <w:sz w:val="20"/>
                <w:szCs w:val="20"/>
              </w:rPr>
            </w:pPr>
            <w:r w:rsidRPr="00F97D9D">
              <w:rPr>
                <w:rFonts w:eastAsia="Times New Roman"/>
                <w:color w:val="000000" w:themeColor="text1"/>
                <w:sz w:val="20"/>
                <w:szCs w:val="20"/>
              </w:rPr>
              <w:t>Текущие активы / (Текущие обязательства-Авансы по ТП)</w:t>
            </w:r>
          </w:p>
        </w:tc>
        <w:tc>
          <w:tcPr>
            <w:tcW w:w="2668" w:type="dxa"/>
            <w:hideMark/>
          </w:tcPr>
          <w:p w:rsidR="00F97D9D" w:rsidRPr="00F97D9D" w:rsidRDefault="00F97D9D" w:rsidP="00145C24">
            <w:pPr>
              <w:ind w:firstLine="0"/>
              <w:jc w:val="center"/>
              <w:rPr>
                <w:rFonts w:eastAsia="Times New Roman"/>
                <w:color w:val="000000" w:themeColor="text1"/>
                <w:sz w:val="20"/>
                <w:szCs w:val="20"/>
              </w:rPr>
            </w:pPr>
            <w:r w:rsidRPr="00F97D9D">
              <w:rPr>
                <w:rFonts w:eastAsia="Times New Roman"/>
                <w:color w:val="000000" w:themeColor="text1"/>
                <w:sz w:val="20"/>
                <w:szCs w:val="20"/>
              </w:rPr>
              <w:t>стр. 1200 ф.1 / стр. 1500 ф.1 (стр. 1500 ф.1 - стр. 1526 ф.1 в части авансов полученных по договорам технологического присоединения)</w:t>
            </w:r>
          </w:p>
        </w:tc>
        <w:tc>
          <w:tcPr>
            <w:tcW w:w="1142" w:type="dxa"/>
            <w:vAlign w:val="center"/>
            <w:hideMark/>
          </w:tcPr>
          <w:p w:rsidR="00F97D9D" w:rsidRPr="00F97D9D" w:rsidRDefault="00F97D9D" w:rsidP="00145C24">
            <w:pPr>
              <w:ind w:firstLine="0"/>
              <w:jc w:val="center"/>
              <w:rPr>
                <w:color w:val="000000" w:themeColor="text1"/>
                <w:sz w:val="20"/>
                <w:szCs w:val="20"/>
              </w:rPr>
            </w:pPr>
            <w:r w:rsidRPr="00F97D9D">
              <w:rPr>
                <w:color w:val="000000" w:themeColor="text1"/>
                <w:sz w:val="20"/>
                <w:szCs w:val="20"/>
              </w:rPr>
              <w:t>3,43</w:t>
            </w:r>
          </w:p>
        </w:tc>
        <w:tc>
          <w:tcPr>
            <w:tcW w:w="1128" w:type="dxa"/>
            <w:vAlign w:val="center"/>
            <w:hideMark/>
          </w:tcPr>
          <w:p w:rsidR="00F97D9D" w:rsidRPr="00F97D9D" w:rsidRDefault="00F97D9D" w:rsidP="00145C24">
            <w:pPr>
              <w:ind w:firstLine="0"/>
              <w:jc w:val="center"/>
              <w:rPr>
                <w:color w:val="000000" w:themeColor="text1"/>
                <w:sz w:val="20"/>
                <w:szCs w:val="20"/>
              </w:rPr>
            </w:pPr>
            <w:r w:rsidRPr="00F97D9D">
              <w:rPr>
                <w:color w:val="000000" w:themeColor="text1"/>
                <w:sz w:val="20"/>
                <w:szCs w:val="20"/>
              </w:rPr>
              <w:t>3,08</w:t>
            </w:r>
          </w:p>
        </w:tc>
        <w:tc>
          <w:tcPr>
            <w:tcW w:w="988" w:type="dxa"/>
            <w:vAlign w:val="center"/>
            <w:hideMark/>
          </w:tcPr>
          <w:p w:rsidR="00F97D9D" w:rsidRPr="00F97D9D" w:rsidRDefault="00F97D9D" w:rsidP="00145C24">
            <w:pPr>
              <w:ind w:firstLine="0"/>
              <w:jc w:val="center"/>
              <w:rPr>
                <w:color w:val="000000" w:themeColor="text1"/>
                <w:sz w:val="20"/>
                <w:szCs w:val="20"/>
              </w:rPr>
            </w:pPr>
            <w:r w:rsidRPr="00F97D9D">
              <w:rPr>
                <w:color w:val="000000" w:themeColor="text1"/>
                <w:sz w:val="20"/>
                <w:szCs w:val="20"/>
              </w:rPr>
              <w:t>1,57</w:t>
            </w:r>
          </w:p>
        </w:tc>
        <w:tc>
          <w:tcPr>
            <w:tcW w:w="1337" w:type="dxa"/>
            <w:vAlign w:val="center"/>
            <w:hideMark/>
          </w:tcPr>
          <w:p w:rsidR="00F97D9D" w:rsidRPr="00F97D9D" w:rsidRDefault="00F97D9D" w:rsidP="00145C24">
            <w:pPr>
              <w:ind w:firstLine="0"/>
              <w:jc w:val="center"/>
              <w:rPr>
                <w:color w:val="000000" w:themeColor="text1"/>
                <w:sz w:val="20"/>
                <w:szCs w:val="20"/>
              </w:rPr>
            </w:pPr>
            <w:r w:rsidRPr="00F97D9D">
              <w:rPr>
                <w:color w:val="000000" w:themeColor="text1"/>
                <w:sz w:val="20"/>
                <w:szCs w:val="20"/>
              </w:rPr>
              <w:t>-1,51 п.п.</w:t>
            </w:r>
          </w:p>
        </w:tc>
      </w:tr>
      <w:tr w:rsidR="00F97D9D" w:rsidRPr="00F97D9D" w:rsidTr="00145C24">
        <w:trPr>
          <w:trHeight w:val="77"/>
        </w:trPr>
        <w:tc>
          <w:tcPr>
            <w:tcW w:w="14475" w:type="dxa"/>
            <w:gridSpan w:val="8"/>
            <w:shd w:val="clear" w:color="auto" w:fill="BFBFBF"/>
          </w:tcPr>
          <w:p w:rsidR="00F97D9D" w:rsidRPr="00F97D9D" w:rsidRDefault="00F97D9D" w:rsidP="00F97D9D">
            <w:pPr>
              <w:numPr>
                <w:ilvl w:val="0"/>
                <w:numId w:val="343"/>
              </w:numPr>
              <w:ind w:left="0" w:firstLine="0"/>
              <w:jc w:val="left"/>
              <w:rPr>
                <w:rFonts w:eastAsia="Times New Roman"/>
                <w:color w:val="000000" w:themeColor="text1"/>
                <w:sz w:val="20"/>
                <w:szCs w:val="20"/>
                <w:lang w:eastAsia="ru-RU"/>
              </w:rPr>
            </w:pPr>
            <w:r w:rsidRPr="00F97D9D">
              <w:rPr>
                <w:rFonts w:eastAsia="Times New Roman"/>
                <w:b/>
                <w:bCs/>
                <w:color w:val="000000" w:themeColor="text1"/>
                <w:sz w:val="20"/>
                <w:szCs w:val="20"/>
              </w:rPr>
              <w:t>Показатели финансовой устойчивости</w:t>
            </w:r>
          </w:p>
        </w:tc>
      </w:tr>
      <w:tr w:rsidR="00F97D9D" w:rsidRPr="00F97D9D" w:rsidTr="00145C24">
        <w:trPr>
          <w:trHeight w:val="77"/>
        </w:trPr>
        <w:tc>
          <w:tcPr>
            <w:tcW w:w="722" w:type="dxa"/>
          </w:tcPr>
          <w:p w:rsidR="00F97D9D" w:rsidRPr="00F97D9D" w:rsidRDefault="00F97D9D" w:rsidP="00145C24">
            <w:pPr>
              <w:pStyle w:val="a5"/>
              <w:ind w:left="0" w:firstLine="0"/>
              <w:contextualSpacing w:val="0"/>
              <w:jc w:val="left"/>
              <w:rPr>
                <w:rFonts w:eastAsia="Times New Roman"/>
                <w:color w:val="000000" w:themeColor="text1"/>
                <w:sz w:val="20"/>
                <w:szCs w:val="20"/>
              </w:rPr>
            </w:pPr>
            <w:r w:rsidRPr="00F97D9D">
              <w:rPr>
                <w:rFonts w:eastAsia="Times New Roman"/>
                <w:color w:val="000000" w:themeColor="text1"/>
                <w:sz w:val="20"/>
                <w:szCs w:val="20"/>
              </w:rPr>
              <w:t>2.1</w:t>
            </w:r>
          </w:p>
        </w:tc>
        <w:tc>
          <w:tcPr>
            <w:tcW w:w="3242" w:type="dxa"/>
            <w:hideMark/>
          </w:tcPr>
          <w:p w:rsidR="00F97D9D" w:rsidRPr="00F97D9D" w:rsidRDefault="00F97D9D" w:rsidP="00145C24">
            <w:pPr>
              <w:ind w:firstLine="0"/>
              <w:jc w:val="left"/>
              <w:rPr>
                <w:rFonts w:eastAsia="Times New Roman"/>
                <w:color w:val="000000" w:themeColor="text1"/>
                <w:sz w:val="20"/>
                <w:szCs w:val="20"/>
                <w:lang w:eastAsia="ru-RU"/>
              </w:rPr>
            </w:pPr>
            <w:r w:rsidRPr="00F97D9D">
              <w:rPr>
                <w:rFonts w:eastAsia="Times New Roman"/>
                <w:color w:val="000000" w:themeColor="text1"/>
                <w:sz w:val="20"/>
                <w:szCs w:val="20"/>
                <w:lang w:eastAsia="ru-RU"/>
              </w:rPr>
              <w:t>Коэффициент обеспеченности собственными оборотными средствами (без учета авансов, полученных по технологическому присоединению)</w:t>
            </w:r>
          </w:p>
        </w:tc>
        <w:tc>
          <w:tcPr>
            <w:tcW w:w="3248" w:type="dxa"/>
            <w:hideMark/>
          </w:tcPr>
          <w:p w:rsidR="00F97D9D" w:rsidRPr="00F97D9D" w:rsidRDefault="00F97D9D" w:rsidP="00145C24">
            <w:pPr>
              <w:ind w:firstLine="0"/>
              <w:jc w:val="left"/>
              <w:rPr>
                <w:rFonts w:eastAsia="Times New Roman"/>
                <w:color w:val="000000" w:themeColor="text1"/>
                <w:sz w:val="20"/>
                <w:szCs w:val="20"/>
                <w:lang w:eastAsia="ru-RU"/>
              </w:rPr>
            </w:pPr>
            <w:r w:rsidRPr="00F97D9D">
              <w:rPr>
                <w:rFonts w:eastAsia="Times New Roman"/>
                <w:color w:val="000000" w:themeColor="text1"/>
                <w:sz w:val="20"/>
                <w:szCs w:val="20"/>
                <w:lang w:eastAsia="ru-RU"/>
              </w:rPr>
              <w:t>(Оборотные активы - Дебиторская задолженность более 12 месяцев - Краткосрочные обязательства) / Оборотные активы</w:t>
            </w:r>
          </w:p>
        </w:tc>
        <w:tc>
          <w:tcPr>
            <w:tcW w:w="2668" w:type="dxa"/>
            <w:vAlign w:val="center"/>
            <w:hideMark/>
          </w:tcPr>
          <w:p w:rsidR="00F97D9D" w:rsidRPr="00F97D9D" w:rsidRDefault="00F97D9D" w:rsidP="00145C24">
            <w:pPr>
              <w:ind w:firstLine="0"/>
              <w:jc w:val="center"/>
              <w:rPr>
                <w:rFonts w:eastAsia="Times New Roman"/>
                <w:color w:val="000000" w:themeColor="text1"/>
                <w:sz w:val="20"/>
                <w:szCs w:val="20"/>
                <w:lang w:eastAsia="ru-RU"/>
              </w:rPr>
            </w:pPr>
            <w:r w:rsidRPr="00F97D9D">
              <w:rPr>
                <w:rFonts w:eastAsia="Times New Roman"/>
                <w:color w:val="000000" w:themeColor="text1"/>
                <w:sz w:val="20"/>
                <w:szCs w:val="20"/>
                <w:lang w:eastAsia="ru-RU"/>
              </w:rPr>
              <w:t xml:space="preserve">(стр. 1200 ф. 1 - стр. 1231 ф. 1 – (стр. 1500 ф. 1 </w:t>
            </w:r>
            <w:r w:rsidRPr="00F97D9D">
              <w:rPr>
                <w:rFonts w:eastAsia="Times New Roman"/>
                <w:color w:val="000000" w:themeColor="text1"/>
                <w:sz w:val="20"/>
                <w:szCs w:val="20"/>
              </w:rPr>
              <w:t>- стр. 1526 ф.1 в части авансов полученных по договорам технологического присоединения)</w:t>
            </w:r>
            <w:r w:rsidRPr="00F97D9D">
              <w:rPr>
                <w:rFonts w:eastAsia="Times New Roman"/>
                <w:color w:val="000000" w:themeColor="text1"/>
                <w:sz w:val="20"/>
                <w:szCs w:val="20"/>
                <w:lang w:eastAsia="ru-RU"/>
              </w:rPr>
              <w:t xml:space="preserve">) / </w:t>
            </w:r>
          </w:p>
          <w:p w:rsidR="00F97D9D" w:rsidRPr="00F97D9D" w:rsidRDefault="00F97D9D" w:rsidP="00145C24">
            <w:pPr>
              <w:ind w:firstLine="0"/>
              <w:jc w:val="center"/>
              <w:rPr>
                <w:rFonts w:eastAsia="Times New Roman"/>
                <w:color w:val="000000" w:themeColor="text1"/>
                <w:sz w:val="20"/>
                <w:szCs w:val="20"/>
                <w:lang w:eastAsia="ru-RU"/>
              </w:rPr>
            </w:pPr>
            <w:r w:rsidRPr="00F97D9D">
              <w:rPr>
                <w:rFonts w:eastAsia="Times New Roman"/>
                <w:color w:val="000000" w:themeColor="text1"/>
                <w:sz w:val="20"/>
                <w:szCs w:val="20"/>
                <w:lang w:eastAsia="ru-RU"/>
              </w:rPr>
              <w:t>стр. 1200 ф. 1</w:t>
            </w:r>
          </w:p>
        </w:tc>
        <w:tc>
          <w:tcPr>
            <w:tcW w:w="1142" w:type="dxa"/>
            <w:vAlign w:val="center"/>
            <w:hideMark/>
          </w:tcPr>
          <w:p w:rsidR="00F97D9D" w:rsidRPr="00F97D9D" w:rsidRDefault="00F97D9D" w:rsidP="00145C24">
            <w:pPr>
              <w:ind w:firstLine="0"/>
              <w:jc w:val="center"/>
              <w:rPr>
                <w:rFonts w:eastAsia="Times New Roman"/>
                <w:color w:val="000000" w:themeColor="text1"/>
                <w:sz w:val="20"/>
                <w:szCs w:val="20"/>
                <w:lang w:eastAsia="ru-RU"/>
              </w:rPr>
            </w:pPr>
            <w:r w:rsidRPr="00F97D9D">
              <w:rPr>
                <w:rFonts w:eastAsia="Times New Roman"/>
                <w:color w:val="000000" w:themeColor="text1"/>
                <w:sz w:val="20"/>
                <w:szCs w:val="20"/>
                <w:lang w:eastAsia="ru-RU"/>
              </w:rPr>
              <w:t>0,23</w:t>
            </w:r>
          </w:p>
        </w:tc>
        <w:tc>
          <w:tcPr>
            <w:tcW w:w="1128" w:type="dxa"/>
            <w:vAlign w:val="center"/>
            <w:hideMark/>
          </w:tcPr>
          <w:p w:rsidR="00F97D9D" w:rsidRPr="00F97D9D" w:rsidRDefault="00F97D9D" w:rsidP="00145C24">
            <w:pPr>
              <w:ind w:firstLine="0"/>
              <w:jc w:val="center"/>
              <w:rPr>
                <w:rFonts w:eastAsia="Times New Roman"/>
                <w:color w:val="000000" w:themeColor="text1"/>
                <w:sz w:val="20"/>
                <w:szCs w:val="20"/>
                <w:lang w:eastAsia="ru-RU"/>
              </w:rPr>
            </w:pPr>
            <w:r w:rsidRPr="00F97D9D">
              <w:rPr>
                <w:rFonts w:eastAsia="Times New Roman"/>
                <w:color w:val="000000" w:themeColor="text1"/>
                <w:sz w:val="20"/>
                <w:szCs w:val="20"/>
                <w:lang w:eastAsia="ru-RU"/>
              </w:rPr>
              <w:t>0,24</w:t>
            </w:r>
          </w:p>
        </w:tc>
        <w:tc>
          <w:tcPr>
            <w:tcW w:w="988" w:type="dxa"/>
            <w:vAlign w:val="center"/>
            <w:hideMark/>
          </w:tcPr>
          <w:p w:rsidR="00F97D9D" w:rsidRPr="00F97D9D" w:rsidRDefault="00F97D9D" w:rsidP="00145C24">
            <w:pPr>
              <w:ind w:firstLine="0"/>
              <w:jc w:val="center"/>
              <w:rPr>
                <w:rFonts w:eastAsia="Times New Roman"/>
                <w:color w:val="000000" w:themeColor="text1"/>
                <w:sz w:val="20"/>
                <w:szCs w:val="20"/>
                <w:lang w:eastAsia="ru-RU"/>
              </w:rPr>
            </w:pPr>
            <w:r w:rsidRPr="00F97D9D">
              <w:rPr>
                <w:rFonts w:eastAsia="Times New Roman"/>
                <w:color w:val="000000" w:themeColor="text1"/>
                <w:sz w:val="20"/>
                <w:szCs w:val="20"/>
                <w:lang w:eastAsia="ru-RU"/>
              </w:rPr>
              <w:t>0,17</w:t>
            </w:r>
          </w:p>
        </w:tc>
        <w:tc>
          <w:tcPr>
            <w:tcW w:w="1337" w:type="dxa"/>
            <w:vAlign w:val="center"/>
            <w:hideMark/>
          </w:tcPr>
          <w:p w:rsidR="00F97D9D" w:rsidRPr="00F97D9D" w:rsidRDefault="00F97D9D" w:rsidP="00145C24">
            <w:pPr>
              <w:ind w:firstLine="0"/>
              <w:jc w:val="center"/>
              <w:rPr>
                <w:rFonts w:eastAsia="Times New Roman"/>
                <w:color w:val="000000" w:themeColor="text1"/>
                <w:sz w:val="20"/>
                <w:szCs w:val="20"/>
                <w:lang w:eastAsia="ru-RU"/>
              </w:rPr>
            </w:pPr>
            <w:r w:rsidRPr="00F97D9D">
              <w:rPr>
                <w:rFonts w:eastAsia="Times New Roman"/>
                <w:color w:val="000000" w:themeColor="text1"/>
                <w:sz w:val="20"/>
                <w:szCs w:val="20"/>
                <w:lang w:eastAsia="ru-RU"/>
              </w:rPr>
              <w:t>-0,08</w:t>
            </w:r>
            <w:r w:rsidRPr="00F97D9D">
              <w:rPr>
                <w:color w:val="000000" w:themeColor="text1"/>
                <w:sz w:val="20"/>
                <w:szCs w:val="20"/>
              </w:rPr>
              <w:t xml:space="preserve"> п.п.</w:t>
            </w:r>
          </w:p>
        </w:tc>
      </w:tr>
    </w:tbl>
    <w:p w:rsidR="007C11BF" w:rsidRDefault="007C11BF" w:rsidP="00654E0B">
      <w:pPr>
        <w:pStyle w:val="af3"/>
        <w:jc w:val="left"/>
      </w:pPr>
    </w:p>
    <w:p w:rsidR="007C11BF" w:rsidRPr="004761E0" w:rsidRDefault="007C11BF" w:rsidP="00654E0B">
      <w:pPr>
        <w:pStyle w:val="af3"/>
        <w:jc w:val="left"/>
        <w:sectPr w:rsidR="007C11BF" w:rsidRPr="004761E0" w:rsidSect="00654E0B">
          <w:pgSz w:w="16840" w:h="11907" w:orient="landscape" w:code="9"/>
          <w:pgMar w:top="1134" w:right="1418" w:bottom="851" w:left="720" w:header="720" w:footer="720" w:gutter="0"/>
          <w:cols w:space="720"/>
          <w:docGrid w:linePitch="326"/>
        </w:sectPr>
      </w:pPr>
    </w:p>
    <w:p w:rsidR="0049679D" w:rsidRPr="00EE25F5" w:rsidRDefault="0049679D" w:rsidP="0049679D">
      <w:pPr>
        <w:shd w:val="clear" w:color="auto" w:fill="FFFFFF"/>
        <w:spacing w:before="120" w:after="120"/>
        <w:ind w:firstLine="567"/>
        <w:rPr>
          <w:b/>
          <w:sz w:val="26"/>
          <w:szCs w:val="26"/>
        </w:rPr>
      </w:pPr>
      <w:bookmarkStart w:id="64" w:name="_Toc380576918"/>
      <w:r w:rsidRPr="00EE25F5">
        <w:rPr>
          <w:b/>
          <w:sz w:val="26"/>
          <w:szCs w:val="26"/>
        </w:rPr>
        <w:lastRenderedPageBreak/>
        <w:t>Показатели ликвидности</w:t>
      </w:r>
    </w:p>
    <w:p w:rsidR="00F97D9D" w:rsidRPr="00F97D9D" w:rsidRDefault="00F97D9D" w:rsidP="00F97D9D">
      <w:pPr>
        <w:ind w:firstLine="567"/>
        <w:rPr>
          <w:color w:val="000000" w:themeColor="text1"/>
          <w:sz w:val="26"/>
          <w:szCs w:val="26"/>
        </w:rPr>
      </w:pPr>
      <w:r w:rsidRPr="00F97D9D">
        <w:rPr>
          <w:color w:val="000000" w:themeColor="text1"/>
          <w:sz w:val="26"/>
          <w:szCs w:val="26"/>
        </w:rPr>
        <w:t xml:space="preserve">ОАО «МОЭСК» – предприятие, относящееся к капиталоемкой отрасли, в структуре актива преобладают внеоборотные активы, а структура пассивов характеризуется значительным объемом заемных средств. Для капиталоемких предприятий значения коэффициентов ликвидности могут находиться на уровне ниже традиционно рекомендуемых. </w:t>
      </w:r>
    </w:p>
    <w:p w:rsidR="00F97D9D" w:rsidRPr="00F97D9D" w:rsidRDefault="00F97D9D" w:rsidP="00F97D9D">
      <w:pPr>
        <w:ind w:firstLine="567"/>
        <w:rPr>
          <w:color w:val="000000" w:themeColor="text1"/>
          <w:sz w:val="26"/>
          <w:szCs w:val="26"/>
        </w:rPr>
      </w:pPr>
      <w:r w:rsidRPr="00F97D9D">
        <w:rPr>
          <w:color w:val="000000" w:themeColor="text1"/>
          <w:sz w:val="26"/>
          <w:szCs w:val="26"/>
        </w:rPr>
        <w:t xml:space="preserve">Общество имеет по состоянию на конец года  значительную  сумму кредиторской задолженности по авансам, полученным от заявителей по договорам на технологическое присоединение. </w:t>
      </w:r>
    </w:p>
    <w:p w:rsidR="00F97D9D" w:rsidRPr="00F97D9D" w:rsidRDefault="00F97D9D" w:rsidP="00F97D9D">
      <w:pPr>
        <w:ind w:firstLine="567"/>
        <w:rPr>
          <w:color w:val="000000" w:themeColor="text1"/>
          <w:sz w:val="26"/>
          <w:szCs w:val="26"/>
        </w:rPr>
      </w:pPr>
      <w:r w:rsidRPr="00F97D9D">
        <w:rPr>
          <w:color w:val="000000" w:themeColor="text1"/>
          <w:sz w:val="26"/>
          <w:szCs w:val="26"/>
        </w:rPr>
        <w:t>В большинстве случаев оплата за услуги по присоединению к сетям ОАО «МОЭСК» – это авансы, которые платятся при заключении договора на присоединение, и которые фактически являются долгосрочным источником средств, поскольку связаны с осуществлением Обществом долгосрочной инвестиционной программы. Указанные обязательства не требуют обеспеченности текущими активами, т.к. являются источниками для формирования внеоборотных активов Общества и погашаются при оказании услуг по технологическому присоединению.</w:t>
      </w:r>
    </w:p>
    <w:p w:rsidR="00F97D9D" w:rsidRPr="00F97D9D" w:rsidRDefault="00F97D9D" w:rsidP="00F97D9D">
      <w:pPr>
        <w:ind w:firstLine="567"/>
        <w:rPr>
          <w:color w:val="000000" w:themeColor="text1"/>
          <w:sz w:val="26"/>
          <w:szCs w:val="26"/>
        </w:rPr>
      </w:pPr>
      <w:r w:rsidRPr="00F97D9D">
        <w:rPr>
          <w:color w:val="000000" w:themeColor="text1"/>
          <w:sz w:val="26"/>
          <w:szCs w:val="26"/>
        </w:rPr>
        <w:t>В соответствии с этим, при анализе коэффициентов ликвидности необходимо исключать влияние кредиторской задолженности по договорам на технологическое присоединение. Без учета кредиторской задолженности по договорам на технологическое присоединение коэффициенты ликвидности находятся в границах рекомендуемых значений, в том числе значения коэффициентов срочной и текущей ликвидности составляют величины более единицы.</w:t>
      </w:r>
    </w:p>
    <w:p w:rsidR="0049679D" w:rsidRPr="00EE25F5" w:rsidRDefault="0049679D" w:rsidP="0049679D">
      <w:pPr>
        <w:shd w:val="clear" w:color="auto" w:fill="FFFFFF"/>
        <w:spacing w:before="120" w:after="120"/>
        <w:ind w:firstLine="567"/>
        <w:rPr>
          <w:b/>
          <w:sz w:val="26"/>
          <w:szCs w:val="26"/>
        </w:rPr>
      </w:pPr>
      <w:r w:rsidRPr="00EE25F5">
        <w:rPr>
          <w:b/>
          <w:sz w:val="26"/>
          <w:szCs w:val="26"/>
        </w:rPr>
        <w:t>Показатели финансовой устойчивости</w:t>
      </w:r>
    </w:p>
    <w:p w:rsidR="0049679D" w:rsidRPr="00EE25F5" w:rsidRDefault="0049679D" w:rsidP="0049679D">
      <w:pPr>
        <w:ind w:firstLine="567"/>
        <w:rPr>
          <w:sz w:val="26"/>
          <w:szCs w:val="26"/>
        </w:rPr>
      </w:pPr>
      <w:r>
        <w:rPr>
          <w:sz w:val="26"/>
          <w:szCs w:val="26"/>
        </w:rPr>
        <w:t>Ф</w:t>
      </w:r>
      <w:r w:rsidRPr="00EE25F5">
        <w:rPr>
          <w:sz w:val="26"/>
          <w:szCs w:val="26"/>
        </w:rPr>
        <w:t>инансов</w:t>
      </w:r>
      <w:r>
        <w:rPr>
          <w:sz w:val="26"/>
          <w:szCs w:val="26"/>
        </w:rPr>
        <w:t>ая</w:t>
      </w:r>
      <w:r w:rsidRPr="00EE25F5">
        <w:rPr>
          <w:sz w:val="26"/>
          <w:szCs w:val="26"/>
        </w:rPr>
        <w:t xml:space="preserve"> </w:t>
      </w:r>
      <w:r>
        <w:rPr>
          <w:sz w:val="26"/>
          <w:szCs w:val="26"/>
        </w:rPr>
        <w:t>у</w:t>
      </w:r>
      <w:r w:rsidRPr="00EE25F5">
        <w:rPr>
          <w:sz w:val="26"/>
          <w:szCs w:val="26"/>
        </w:rPr>
        <w:t>стойчивость предприятия зависит от структуры источников капитала (соотношения собственных и заемных средств) и структуры активов предприятия.</w:t>
      </w:r>
    </w:p>
    <w:p w:rsidR="0049679D" w:rsidRPr="00EE25F5" w:rsidRDefault="0049679D" w:rsidP="0049679D">
      <w:pPr>
        <w:ind w:firstLine="567"/>
        <w:rPr>
          <w:sz w:val="26"/>
          <w:szCs w:val="26"/>
        </w:rPr>
      </w:pPr>
      <w:r>
        <w:rPr>
          <w:sz w:val="26"/>
          <w:szCs w:val="26"/>
        </w:rPr>
        <w:t>З</w:t>
      </w:r>
      <w:r w:rsidRPr="00EE25F5">
        <w:rPr>
          <w:sz w:val="26"/>
          <w:szCs w:val="26"/>
        </w:rPr>
        <w:t xml:space="preserve">начительная доля собственных средств на балансе Общества свидетельствует о его достаточной финансовой независимости. </w:t>
      </w:r>
    </w:p>
    <w:p w:rsidR="0049679D" w:rsidRDefault="0049679D" w:rsidP="0049679D">
      <w:pPr>
        <w:ind w:firstLine="567"/>
        <w:rPr>
          <w:sz w:val="26"/>
          <w:szCs w:val="26"/>
        </w:rPr>
      </w:pPr>
      <w:r w:rsidRPr="00EE25F5">
        <w:rPr>
          <w:sz w:val="26"/>
          <w:szCs w:val="26"/>
        </w:rPr>
        <w:t xml:space="preserve">В целом, </w:t>
      </w:r>
      <w:r>
        <w:rPr>
          <w:sz w:val="26"/>
          <w:szCs w:val="26"/>
        </w:rPr>
        <w:t xml:space="preserve">значение показателей, а именно </w:t>
      </w:r>
      <w:r w:rsidRPr="00EE25F5">
        <w:rPr>
          <w:sz w:val="26"/>
          <w:szCs w:val="26"/>
        </w:rPr>
        <w:t>коэффициент</w:t>
      </w:r>
      <w:r>
        <w:rPr>
          <w:sz w:val="26"/>
          <w:szCs w:val="26"/>
        </w:rPr>
        <w:t>а автономии (</w:t>
      </w:r>
      <w:r w:rsidRPr="00EE25F5">
        <w:rPr>
          <w:sz w:val="26"/>
          <w:szCs w:val="26"/>
        </w:rPr>
        <w:t>финансовой независимости</w:t>
      </w:r>
      <w:r>
        <w:rPr>
          <w:sz w:val="26"/>
          <w:szCs w:val="26"/>
        </w:rPr>
        <w:t>)</w:t>
      </w:r>
      <w:r w:rsidRPr="00EE25F5">
        <w:rPr>
          <w:sz w:val="26"/>
          <w:szCs w:val="26"/>
        </w:rPr>
        <w:t>, отношени</w:t>
      </w:r>
      <w:r>
        <w:rPr>
          <w:sz w:val="26"/>
          <w:szCs w:val="26"/>
        </w:rPr>
        <w:t>я</w:t>
      </w:r>
      <w:r w:rsidRPr="00EE25F5">
        <w:rPr>
          <w:sz w:val="26"/>
          <w:szCs w:val="26"/>
        </w:rPr>
        <w:t xml:space="preserve"> совокупного долга к EBITDA</w:t>
      </w:r>
      <w:r>
        <w:rPr>
          <w:sz w:val="26"/>
          <w:szCs w:val="26"/>
        </w:rPr>
        <w:t>,</w:t>
      </w:r>
      <w:r w:rsidRPr="00BC5D51">
        <w:rPr>
          <w:rFonts w:eastAsia="Times New Roman"/>
          <w:color w:val="000000"/>
          <w:sz w:val="20"/>
          <w:szCs w:val="20"/>
          <w:lang w:eastAsia="ru-RU"/>
        </w:rPr>
        <w:t xml:space="preserve"> </w:t>
      </w:r>
      <w:r>
        <w:rPr>
          <w:sz w:val="26"/>
          <w:szCs w:val="26"/>
        </w:rPr>
        <w:t>к</w:t>
      </w:r>
      <w:r w:rsidRPr="00BC5D51">
        <w:rPr>
          <w:sz w:val="26"/>
          <w:szCs w:val="26"/>
        </w:rPr>
        <w:t>оэффициент</w:t>
      </w:r>
      <w:r>
        <w:rPr>
          <w:sz w:val="26"/>
          <w:szCs w:val="26"/>
        </w:rPr>
        <w:t>а</w:t>
      </w:r>
      <w:r w:rsidRPr="00BC5D51">
        <w:rPr>
          <w:sz w:val="26"/>
          <w:szCs w:val="26"/>
        </w:rPr>
        <w:t xml:space="preserve"> обеспеченности собственными оборотными средствами </w:t>
      </w:r>
      <w:r w:rsidRPr="00EE25F5">
        <w:rPr>
          <w:sz w:val="26"/>
          <w:szCs w:val="26"/>
        </w:rPr>
        <w:t>по итогам 2013 г</w:t>
      </w:r>
      <w:r w:rsidR="00F97D9D">
        <w:rPr>
          <w:sz w:val="26"/>
          <w:szCs w:val="26"/>
        </w:rPr>
        <w:t>.</w:t>
      </w:r>
      <w:r w:rsidRPr="00EE25F5">
        <w:rPr>
          <w:sz w:val="26"/>
          <w:szCs w:val="26"/>
        </w:rPr>
        <w:t xml:space="preserve"> находятся в рамках</w:t>
      </w:r>
      <w:r w:rsidRPr="00BC5D51">
        <w:rPr>
          <w:sz w:val="26"/>
          <w:szCs w:val="26"/>
        </w:rPr>
        <w:t xml:space="preserve"> </w:t>
      </w:r>
      <w:r>
        <w:rPr>
          <w:sz w:val="26"/>
          <w:szCs w:val="26"/>
        </w:rPr>
        <w:t>допустимых значений,</w:t>
      </w:r>
      <w:r w:rsidRPr="00BC5D51">
        <w:rPr>
          <w:sz w:val="26"/>
          <w:szCs w:val="26"/>
        </w:rPr>
        <w:t xml:space="preserve"> </w:t>
      </w:r>
      <w:r w:rsidRPr="00EE25F5">
        <w:rPr>
          <w:sz w:val="26"/>
          <w:szCs w:val="26"/>
        </w:rPr>
        <w:t>что положительно</w:t>
      </w:r>
      <w:r>
        <w:rPr>
          <w:sz w:val="26"/>
          <w:szCs w:val="26"/>
        </w:rPr>
        <w:t xml:space="preserve"> характеризует деятельность Общества</w:t>
      </w:r>
      <w:r w:rsidRPr="00EE25F5">
        <w:rPr>
          <w:sz w:val="26"/>
          <w:szCs w:val="26"/>
        </w:rPr>
        <w:t>.</w:t>
      </w:r>
      <w:r w:rsidRPr="00BC5D51">
        <w:rPr>
          <w:sz w:val="26"/>
          <w:szCs w:val="26"/>
        </w:rPr>
        <w:t xml:space="preserve"> </w:t>
      </w:r>
    </w:p>
    <w:p w:rsidR="0049679D" w:rsidRPr="00BC5D51" w:rsidRDefault="0049679D" w:rsidP="0049679D">
      <w:pPr>
        <w:ind w:firstLine="567"/>
        <w:rPr>
          <w:sz w:val="26"/>
          <w:szCs w:val="26"/>
        </w:rPr>
      </w:pPr>
      <w:r w:rsidRPr="00EE25F5">
        <w:rPr>
          <w:sz w:val="26"/>
          <w:szCs w:val="26"/>
        </w:rPr>
        <w:t>Коэффициент автономии (финансовой независимости) по итогам 2013 г</w:t>
      </w:r>
      <w:r w:rsidR="00F97D9D">
        <w:rPr>
          <w:sz w:val="26"/>
          <w:szCs w:val="26"/>
        </w:rPr>
        <w:t>.</w:t>
      </w:r>
      <w:r w:rsidRPr="00EE25F5">
        <w:rPr>
          <w:sz w:val="26"/>
          <w:szCs w:val="26"/>
        </w:rPr>
        <w:t xml:space="preserve"> составил 0,6. Это означает, что за счет собственных средств финансируется 60 % активов Компании. Значение показателя свидетельствует о финансовой устойчивости Общества.</w:t>
      </w:r>
    </w:p>
    <w:p w:rsidR="0049679D" w:rsidRPr="005E2365" w:rsidRDefault="0049679D" w:rsidP="0049679D">
      <w:pPr>
        <w:ind w:firstLine="567"/>
        <w:rPr>
          <w:sz w:val="26"/>
          <w:szCs w:val="26"/>
        </w:rPr>
      </w:pPr>
      <w:r w:rsidRPr="00EE25F5">
        <w:rPr>
          <w:sz w:val="26"/>
          <w:szCs w:val="26"/>
        </w:rPr>
        <w:t>Коэффициент обеспеченности собственными оборотными средствами ОАО</w:t>
      </w:r>
      <w:r w:rsidR="007F4B23">
        <w:rPr>
          <w:sz w:val="26"/>
          <w:szCs w:val="26"/>
        </w:rPr>
        <w:t> </w:t>
      </w:r>
      <w:r w:rsidRPr="00EE25F5">
        <w:rPr>
          <w:sz w:val="26"/>
          <w:szCs w:val="26"/>
        </w:rPr>
        <w:t xml:space="preserve">«МОЭСК» </w:t>
      </w:r>
      <w:r>
        <w:rPr>
          <w:sz w:val="26"/>
          <w:szCs w:val="26"/>
        </w:rPr>
        <w:t>по итогам 2013</w:t>
      </w:r>
      <w:r w:rsidR="007F4B23">
        <w:rPr>
          <w:sz w:val="26"/>
          <w:szCs w:val="26"/>
        </w:rPr>
        <w:t xml:space="preserve"> </w:t>
      </w:r>
      <w:r>
        <w:rPr>
          <w:sz w:val="26"/>
          <w:szCs w:val="26"/>
        </w:rPr>
        <w:t>г</w:t>
      </w:r>
      <w:r w:rsidR="00F97D9D">
        <w:rPr>
          <w:sz w:val="26"/>
          <w:szCs w:val="26"/>
        </w:rPr>
        <w:t>.</w:t>
      </w:r>
      <w:r>
        <w:rPr>
          <w:sz w:val="26"/>
          <w:szCs w:val="26"/>
        </w:rPr>
        <w:t xml:space="preserve"> составляет </w:t>
      </w:r>
      <w:r w:rsidR="00F97D9D" w:rsidRPr="00F97D9D">
        <w:rPr>
          <w:sz w:val="26"/>
          <w:szCs w:val="26"/>
        </w:rPr>
        <w:t>(</w:t>
      </w:r>
      <w:r>
        <w:rPr>
          <w:sz w:val="26"/>
          <w:szCs w:val="26"/>
        </w:rPr>
        <w:t>-0,67</w:t>
      </w:r>
      <w:r w:rsidR="00F97D9D" w:rsidRPr="00F97D9D">
        <w:rPr>
          <w:sz w:val="26"/>
          <w:szCs w:val="26"/>
        </w:rPr>
        <w:t>)</w:t>
      </w:r>
      <w:r>
        <w:rPr>
          <w:sz w:val="26"/>
          <w:szCs w:val="26"/>
        </w:rPr>
        <w:t xml:space="preserve">. Показатель </w:t>
      </w:r>
      <w:r w:rsidRPr="00EE25F5">
        <w:rPr>
          <w:sz w:val="26"/>
          <w:szCs w:val="26"/>
        </w:rPr>
        <w:t xml:space="preserve">принимает отрицательное значение в силу отраслевой специфики Общества. </w:t>
      </w:r>
      <w:r>
        <w:rPr>
          <w:sz w:val="26"/>
          <w:szCs w:val="26"/>
        </w:rPr>
        <w:t>Так</w:t>
      </w:r>
      <w:r w:rsidRPr="00BC5D51">
        <w:rPr>
          <w:sz w:val="26"/>
          <w:szCs w:val="26"/>
        </w:rPr>
        <w:t xml:space="preserve"> значительная доля краткосрочных обязательств приходится на авансы, полученные по технологическому присоединению. </w:t>
      </w:r>
      <w:r w:rsidRPr="005E2365">
        <w:rPr>
          <w:sz w:val="26"/>
          <w:szCs w:val="26"/>
        </w:rPr>
        <w:t>Наличие на балансе кредиторской задолженности по технологическому присоединению вызвано порядком оплаты и сроками действия договоров технологического присоединения, установленны</w:t>
      </w:r>
      <w:r w:rsidR="007F4B23">
        <w:rPr>
          <w:sz w:val="26"/>
          <w:szCs w:val="26"/>
        </w:rPr>
        <w:t>ми</w:t>
      </w:r>
      <w:r w:rsidRPr="005E2365">
        <w:rPr>
          <w:sz w:val="26"/>
          <w:szCs w:val="26"/>
        </w:rPr>
        <w:t xml:space="preserve"> законодательством для различных групп потребителей от 6 мес</w:t>
      </w:r>
      <w:r>
        <w:rPr>
          <w:sz w:val="26"/>
          <w:szCs w:val="26"/>
        </w:rPr>
        <w:t>яцев</w:t>
      </w:r>
      <w:r w:rsidRPr="005E2365">
        <w:rPr>
          <w:sz w:val="26"/>
          <w:szCs w:val="26"/>
        </w:rPr>
        <w:t xml:space="preserve"> до 4 лет. На протяжении данного срока потребитель оплачивает стоимость присоединения в рамках графика оплаты</w:t>
      </w:r>
      <w:r>
        <w:rPr>
          <w:sz w:val="26"/>
          <w:szCs w:val="26"/>
        </w:rPr>
        <w:t xml:space="preserve">, являющегося обязательным </w:t>
      </w:r>
      <w:r w:rsidRPr="005E2365">
        <w:rPr>
          <w:sz w:val="26"/>
          <w:szCs w:val="26"/>
        </w:rPr>
        <w:t>приложение</w:t>
      </w:r>
      <w:r>
        <w:rPr>
          <w:sz w:val="26"/>
          <w:szCs w:val="26"/>
        </w:rPr>
        <w:t>м</w:t>
      </w:r>
      <w:r w:rsidRPr="005E2365">
        <w:rPr>
          <w:sz w:val="26"/>
          <w:szCs w:val="26"/>
        </w:rPr>
        <w:t xml:space="preserve"> к договору. После оплаты потребителем стоимости присоединения у Общества появляется кредиторская задолженность</w:t>
      </w:r>
      <w:r>
        <w:rPr>
          <w:sz w:val="26"/>
          <w:szCs w:val="26"/>
        </w:rPr>
        <w:t xml:space="preserve"> в виде авансов, </w:t>
      </w:r>
      <w:r>
        <w:rPr>
          <w:sz w:val="26"/>
          <w:szCs w:val="26"/>
        </w:rPr>
        <w:lastRenderedPageBreak/>
        <w:t>полученных</w:t>
      </w:r>
      <w:r w:rsidRPr="005E2365">
        <w:rPr>
          <w:sz w:val="26"/>
          <w:szCs w:val="26"/>
        </w:rPr>
        <w:t>, погашение которой осуществляется после полного выполнения обязательств сторонами</w:t>
      </w:r>
      <w:r>
        <w:rPr>
          <w:sz w:val="26"/>
          <w:szCs w:val="26"/>
        </w:rPr>
        <w:t>,</w:t>
      </w:r>
      <w:r w:rsidRPr="005E2365">
        <w:rPr>
          <w:sz w:val="26"/>
          <w:szCs w:val="26"/>
        </w:rPr>
        <w:t xml:space="preserve"> и фактического присоединения потребителя. </w:t>
      </w:r>
    </w:p>
    <w:p w:rsidR="0049679D" w:rsidRPr="00BC5D51" w:rsidRDefault="0049679D" w:rsidP="0049679D">
      <w:pPr>
        <w:pStyle w:val="af"/>
        <w:ind w:firstLine="567"/>
        <w:rPr>
          <w:sz w:val="26"/>
          <w:szCs w:val="26"/>
        </w:rPr>
      </w:pPr>
      <w:r>
        <w:rPr>
          <w:sz w:val="26"/>
          <w:szCs w:val="26"/>
        </w:rPr>
        <w:t>С</w:t>
      </w:r>
      <w:r w:rsidRPr="00BC5D51">
        <w:rPr>
          <w:sz w:val="26"/>
          <w:szCs w:val="26"/>
        </w:rPr>
        <w:t>оответственно, коэффициент обеспеченности собственными оборотными средствами без учета авансов полученных по технологическому присоединению более точно отражает финансовое состояние Компании</w:t>
      </w:r>
      <w:r>
        <w:rPr>
          <w:sz w:val="26"/>
          <w:szCs w:val="26"/>
        </w:rPr>
        <w:t>, и по итогам 2013 г. его значение составляет 0,17</w:t>
      </w:r>
      <w:r w:rsidRPr="00BC5D51">
        <w:rPr>
          <w:sz w:val="26"/>
          <w:szCs w:val="26"/>
        </w:rPr>
        <w:t>.</w:t>
      </w:r>
    </w:p>
    <w:p w:rsidR="0049679D" w:rsidRPr="00EE25F5" w:rsidRDefault="0049679D" w:rsidP="0049679D">
      <w:pPr>
        <w:shd w:val="clear" w:color="auto" w:fill="FFFFFF"/>
        <w:spacing w:before="120" w:after="120"/>
        <w:ind w:firstLine="567"/>
        <w:rPr>
          <w:b/>
          <w:sz w:val="26"/>
          <w:szCs w:val="26"/>
        </w:rPr>
      </w:pPr>
      <w:r w:rsidRPr="00EE25F5">
        <w:rPr>
          <w:b/>
          <w:sz w:val="26"/>
          <w:szCs w:val="26"/>
        </w:rPr>
        <w:t>Показатели рентабельности</w:t>
      </w:r>
    </w:p>
    <w:p w:rsidR="00F97D9D" w:rsidRPr="00F97D9D" w:rsidRDefault="00F97D9D" w:rsidP="00F97D9D">
      <w:pPr>
        <w:ind w:firstLine="567"/>
        <w:rPr>
          <w:sz w:val="26"/>
          <w:szCs w:val="26"/>
        </w:rPr>
      </w:pPr>
      <w:r w:rsidRPr="00F97D9D">
        <w:rPr>
          <w:sz w:val="26"/>
          <w:szCs w:val="26"/>
        </w:rPr>
        <w:t>Положительные значения показателей рентабельности Общества в 2013 г. являются индикатором прибыльности деятельности Общества.</w:t>
      </w:r>
    </w:p>
    <w:p w:rsidR="00F97D9D" w:rsidRPr="00F97D9D" w:rsidRDefault="00F97D9D" w:rsidP="00F97D9D">
      <w:pPr>
        <w:ind w:firstLine="567"/>
        <w:rPr>
          <w:sz w:val="26"/>
          <w:szCs w:val="26"/>
        </w:rPr>
      </w:pPr>
      <w:r w:rsidRPr="00F97D9D">
        <w:rPr>
          <w:sz w:val="26"/>
          <w:szCs w:val="26"/>
        </w:rPr>
        <w:t>Показатель рентабельности по EBITDA отражает величину EBITDA, приходящуюся на каждый рубль полученной Обществом выручки, за 2013</w:t>
      </w:r>
      <w:r>
        <w:rPr>
          <w:sz w:val="26"/>
          <w:szCs w:val="26"/>
          <w:lang w:val="en-US"/>
        </w:rPr>
        <w:t> </w:t>
      </w:r>
      <w:r w:rsidRPr="00F97D9D">
        <w:rPr>
          <w:sz w:val="26"/>
          <w:szCs w:val="26"/>
        </w:rPr>
        <w:t xml:space="preserve">г. на 1 руб. выручки приходится 29 коп. EBITDA. </w:t>
      </w:r>
    </w:p>
    <w:p w:rsidR="00F97D9D" w:rsidRPr="00F97D9D" w:rsidRDefault="00F97D9D" w:rsidP="00F97D9D">
      <w:pPr>
        <w:ind w:firstLine="567"/>
        <w:rPr>
          <w:sz w:val="26"/>
          <w:szCs w:val="26"/>
        </w:rPr>
      </w:pPr>
      <w:r w:rsidRPr="00F97D9D">
        <w:rPr>
          <w:sz w:val="26"/>
          <w:szCs w:val="26"/>
        </w:rPr>
        <w:t xml:space="preserve">Показатель рентабельности собственного капитала (ROE) является одним из ключевых показателей, характеризующих эффективность функционирования предприятия, и отражает величину прибыли, полученную его собственниками с каждого рубля, вложенного в Общество. По итогам 2013 г. значение показателя составило 6,66. </w:t>
      </w:r>
    </w:p>
    <w:p w:rsidR="0049679D" w:rsidRPr="00F97D9D" w:rsidRDefault="00F97D9D" w:rsidP="00F97D9D">
      <w:pPr>
        <w:ind w:firstLine="567"/>
        <w:rPr>
          <w:sz w:val="26"/>
          <w:szCs w:val="26"/>
        </w:rPr>
      </w:pPr>
      <w:r w:rsidRPr="00F97D9D">
        <w:rPr>
          <w:sz w:val="26"/>
          <w:szCs w:val="26"/>
        </w:rPr>
        <w:t>Значение показателя рентабельности совокупных активов по прибыли до налогообложения (ROTA) отражает, что на каждый рубль, вложенный в активы, в 2013</w:t>
      </w:r>
      <w:r>
        <w:rPr>
          <w:sz w:val="26"/>
          <w:szCs w:val="26"/>
          <w:lang w:val="en-US"/>
        </w:rPr>
        <w:t> </w:t>
      </w:r>
      <w:r w:rsidRPr="00F97D9D">
        <w:rPr>
          <w:sz w:val="26"/>
          <w:szCs w:val="26"/>
        </w:rPr>
        <w:t>г. Обществом получено 5,33 коп. прибыли до налогообложения</w:t>
      </w:r>
      <w:r w:rsidR="0049679D">
        <w:rPr>
          <w:sz w:val="26"/>
          <w:szCs w:val="26"/>
        </w:rPr>
        <w:t>.</w:t>
      </w:r>
    </w:p>
    <w:p w:rsidR="0049679D" w:rsidRPr="00EE25F5" w:rsidRDefault="0049679D" w:rsidP="0049679D">
      <w:pPr>
        <w:shd w:val="clear" w:color="auto" w:fill="FFFFFF"/>
        <w:spacing w:before="120" w:after="120"/>
        <w:ind w:firstLine="567"/>
        <w:rPr>
          <w:b/>
          <w:sz w:val="26"/>
          <w:szCs w:val="26"/>
        </w:rPr>
      </w:pPr>
      <w:r w:rsidRPr="00EE25F5">
        <w:rPr>
          <w:b/>
          <w:sz w:val="26"/>
          <w:szCs w:val="26"/>
        </w:rPr>
        <w:t>Показатели деловой активности</w:t>
      </w:r>
    </w:p>
    <w:p w:rsidR="00F97D9D" w:rsidRPr="00F97D9D" w:rsidRDefault="00F97D9D" w:rsidP="00F97D9D">
      <w:pPr>
        <w:ind w:firstLine="567"/>
        <w:rPr>
          <w:sz w:val="26"/>
          <w:szCs w:val="26"/>
        </w:rPr>
      </w:pPr>
      <w:r w:rsidRPr="00F97D9D">
        <w:rPr>
          <w:sz w:val="26"/>
          <w:szCs w:val="26"/>
        </w:rPr>
        <w:t>Изменение  показателей деловой активности в отчетном периоде обусловлено изменением объема дебиторской задолженности, в связи со следующими факторами:</w:t>
      </w:r>
    </w:p>
    <w:p w:rsidR="0049679D" w:rsidRPr="00EE25F5" w:rsidRDefault="0049679D" w:rsidP="0049679D">
      <w:pPr>
        <w:pStyle w:val="a5"/>
        <w:numPr>
          <w:ilvl w:val="0"/>
          <w:numId w:val="327"/>
        </w:numPr>
        <w:ind w:left="1134" w:hanging="567"/>
        <w:contextualSpacing w:val="0"/>
        <w:rPr>
          <w:sz w:val="26"/>
          <w:szCs w:val="26"/>
        </w:rPr>
      </w:pPr>
      <w:r w:rsidRPr="00EE25F5">
        <w:rPr>
          <w:sz w:val="26"/>
          <w:szCs w:val="26"/>
        </w:rPr>
        <w:t>изменение условий договоров по финансовой аренде (лизингу) с ЗАО «Бизнес Альянс» и, как результат досрочный выкуп и постановка на баланс Общества имущества, составляющего основные средства, объекты незавершенного строительства, целью использования которых является производство, передача, диспетчирование, распределение электрической и тепловой энергии. В свою очередь, данные изменения одобрены решением Совета директоров</w:t>
      </w:r>
      <w:r w:rsidRPr="006F4AB8">
        <w:rPr>
          <w:rStyle w:val="af1"/>
        </w:rPr>
        <w:footnoteReference w:id="65"/>
      </w:r>
      <w:r w:rsidRPr="00EE25F5">
        <w:rPr>
          <w:sz w:val="26"/>
          <w:szCs w:val="26"/>
        </w:rPr>
        <w:t>. Снижение дебиторской задолженности по лизингу не приводит к уменьшению активов и валюты баланса.</w:t>
      </w:r>
    </w:p>
    <w:p w:rsidR="0049679D" w:rsidRPr="00EE25F5" w:rsidRDefault="0049679D" w:rsidP="0049679D">
      <w:pPr>
        <w:pStyle w:val="a5"/>
        <w:numPr>
          <w:ilvl w:val="0"/>
          <w:numId w:val="327"/>
        </w:numPr>
        <w:ind w:left="1134" w:hanging="567"/>
        <w:contextualSpacing w:val="0"/>
        <w:rPr>
          <w:sz w:val="26"/>
          <w:szCs w:val="26"/>
        </w:rPr>
      </w:pPr>
      <w:r w:rsidRPr="00EE25F5">
        <w:rPr>
          <w:sz w:val="26"/>
          <w:szCs w:val="26"/>
        </w:rPr>
        <w:t>начислением резерва на обесценение дебиторской задолженности, в т.ч. по ОАО </w:t>
      </w:r>
      <w:r w:rsidR="00FA60D0">
        <w:rPr>
          <w:sz w:val="26"/>
          <w:szCs w:val="26"/>
        </w:rPr>
        <w:t>«</w:t>
      </w:r>
      <w:r w:rsidRPr="00EE25F5">
        <w:rPr>
          <w:sz w:val="26"/>
          <w:szCs w:val="26"/>
        </w:rPr>
        <w:t>Энергокомплекс» на сумму 8,46 млрд руб. за отчетный период до уровня 12,48 млрд руб. по состоянию на 31.12.2013. Предпосылки для создания резерва возникли ранее в период с 2006 по 2010 гг. в результате существующей системы «одного окна» и распределения авансовых платежей от потребителей услуг по технологическому присоединению. В разделе «Дебитор</w:t>
      </w:r>
      <w:r w:rsidR="00FA60D0">
        <w:rPr>
          <w:sz w:val="26"/>
          <w:szCs w:val="26"/>
        </w:rPr>
        <w:t>ская задолженность участников «О</w:t>
      </w:r>
      <w:r w:rsidRPr="00EE25F5">
        <w:rPr>
          <w:sz w:val="26"/>
          <w:szCs w:val="26"/>
        </w:rPr>
        <w:t>дного окна» приведена динамика задолженности, причины и размеры создаваемых резервов по сомнительной задолженности</w:t>
      </w:r>
      <w:r w:rsidR="00F97D9D">
        <w:rPr>
          <w:sz w:val="26"/>
          <w:szCs w:val="26"/>
        </w:rPr>
        <w:t xml:space="preserve"> по контрагентам – участникам «О</w:t>
      </w:r>
      <w:r w:rsidRPr="00EE25F5">
        <w:rPr>
          <w:sz w:val="26"/>
          <w:szCs w:val="26"/>
        </w:rPr>
        <w:t>дного окна».</w:t>
      </w:r>
    </w:p>
    <w:p w:rsidR="005E74B6" w:rsidRPr="004761E0" w:rsidRDefault="005E74B6" w:rsidP="00654E0B">
      <w:pPr>
        <w:rPr>
          <w:rFonts w:eastAsia="Times New Roman"/>
          <w:sz w:val="26"/>
          <w:szCs w:val="26"/>
          <w:lang w:eastAsia="ru-RU"/>
        </w:rPr>
      </w:pPr>
    </w:p>
    <w:p w:rsidR="00654E0B" w:rsidRPr="004761E0" w:rsidRDefault="00654E0B" w:rsidP="00654E0B">
      <w:pPr>
        <w:pStyle w:val="a8"/>
        <w:tabs>
          <w:tab w:val="left" w:pos="1134"/>
        </w:tabs>
        <w:jc w:val="both"/>
        <w:outlineLvl w:val="0"/>
        <w:rPr>
          <w:rFonts w:ascii="Times New Roman" w:hAnsi="Times New Roman"/>
          <w:b/>
          <w:sz w:val="26"/>
          <w:szCs w:val="26"/>
          <w:lang w:eastAsia="ru-RU"/>
        </w:rPr>
        <w:sectPr w:rsidR="00654E0B" w:rsidRPr="004761E0" w:rsidSect="00654E0B">
          <w:pgSz w:w="11907" w:h="16840" w:code="9"/>
          <w:pgMar w:top="1418" w:right="851" w:bottom="720" w:left="1134" w:header="720" w:footer="720" w:gutter="0"/>
          <w:cols w:space="720"/>
          <w:docGrid w:linePitch="326"/>
        </w:sectPr>
      </w:pPr>
    </w:p>
    <w:p w:rsidR="00136A10" w:rsidRDefault="00E34ACB" w:rsidP="007076A7">
      <w:pPr>
        <w:pStyle w:val="a8"/>
        <w:numPr>
          <w:ilvl w:val="1"/>
          <w:numId w:val="321"/>
        </w:numPr>
        <w:spacing w:before="120" w:after="120"/>
        <w:ind w:left="1134" w:hanging="567"/>
        <w:jc w:val="both"/>
        <w:rPr>
          <w:rFonts w:ascii="Times New Roman" w:hAnsi="Times New Roman"/>
          <w:b/>
          <w:sz w:val="26"/>
          <w:szCs w:val="26"/>
        </w:rPr>
      </w:pPr>
      <w:bookmarkStart w:id="65" w:name="_Toc385339815"/>
      <w:r w:rsidRPr="004761E0">
        <w:rPr>
          <w:rFonts w:ascii="Times New Roman" w:hAnsi="Times New Roman"/>
          <w:b/>
          <w:sz w:val="26"/>
          <w:szCs w:val="26"/>
        </w:rPr>
        <w:lastRenderedPageBreak/>
        <w:t>Основные результаты финансово-экономической деятельности по МСФО</w:t>
      </w:r>
      <w:bookmarkEnd w:id="64"/>
      <w:bookmarkEnd w:id="65"/>
    </w:p>
    <w:p w:rsidR="003303F9" w:rsidRPr="003303F9" w:rsidRDefault="003303F9" w:rsidP="003303F9">
      <w:pPr>
        <w:spacing w:before="120" w:after="120"/>
        <w:ind w:firstLine="567"/>
        <w:rPr>
          <w:b/>
          <w:sz w:val="26"/>
          <w:szCs w:val="26"/>
        </w:rPr>
      </w:pPr>
      <w:r w:rsidRPr="003303F9">
        <w:rPr>
          <w:b/>
          <w:sz w:val="26"/>
          <w:szCs w:val="26"/>
        </w:rPr>
        <w:t>Консолидированный отчет о совокупной прибыли</w:t>
      </w:r>
    </w:p>
    <w:tbl>
      <w:tblPr>
        <w:tblW w:w="10206" w:type="dxa"/>
        <w:tblInd w:w="250" w:type="dxa"/>
        <w:tblLook w:val="04A0"/>
      </w:tblPr>
      <w:tblGrid>
        <w:gridCol w:w="567"/>
        <w:gridCol w:w="5103"/>
        <w:gridCol w:w="1134"/>
        <w:gridCol w:w="1134"/>
        <w:gridCol w:w="1134"/>
        <w:gridCol w:w="1134"/>
      </w:tblGrid>
      <w:tr w:rsidR="002D6A3E" w:rsidRPr="004761E0" w:rsidTr="00E45A2B">
        <w:trPr>
          <w:trHeight w:val="300"/>
        </w:trPr>
        <w:tc>
          <w:tcPr>
            <w:tcW w:w="567"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2D6A3E" w:rsidRPr="004761E0" w:rsidRDefault="002D6A3E" w:rsidP="002D6A3E">
            <w:pPr>
              <w:ind w:firstLine="0"/>
              <w:jc w:val="left"/>
              <w:rPr>
                <w:rFonts w:eastAsia="Times New Roman"/>
                <w:b/>
                <w:color w:val="FFFFFF" w:themeColor="background1"/>
                <w:sz w:val="20"/>
                <w:szCs w:val="20"/>
                <w:lang w:eastAsia="ru-RU"/>
              </w:rPr>
            </w:pPr>
            <w:bookmarkStart w:id="66" w:name="_Toc380576920"/>
            <w:r w:rsidRPr="004761E0">
              <w:rPr>
                <w:rFonts w:eastAsia="Times New Roman"/>
                <w:b/>
                <w:color w:val="FFFFFF" w:themeColor="background1"/>
                <w:sz w:val="20"/>
                <w:szCs w:val="20"/>
                <w:lang w:eastAsia="ru-RU"/>
              </w:rPr>
              <w:t>№ п/п</w:t>
            </w:r>
          </w:p>
        </w:tc>
        <w:tc>
          <w:tcPr>
            <w:tcW w:w="510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2D6A3E" w:rsidRPr="004761E0" w:rsidRDefault="002D6A3E" w:rsidP="002D6A3E">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2D6A3E" w:rsidRPr="004761E0" w:rsidRDefault="002D6A3E" w:rsidP="002D6A3E">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2D6A3E" w:rsidRPr="004761E0" w:rsidRDefault="002D6A3E" w:rsidP="002D6A3E">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2D6A3E" w:rsidRPr="004761E0" w:rsidRDefault="002D6A3E" w:rsidP="002D6A3E">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2D6A3E" w:rsidRPr="004761E0" w:rsidRDefault="002D6A3E" w:rsidP="002D6A3E">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E45A2B"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5A2B" w:rsidRPr="00E45A2B" w:rsidRDefault="00E45A2B" w:rsidP="00E45A2B">
            <w:pPr>
              <w:pStyle w:val="a5"/>
              <w:numPr>
                <w:ilvl w:val="0"/>
                <w:numId w:val="1"/>
              </w:numPr>
              <w:jc w:val="left"/>
              <w:rPr>
                <w:rFonts w:eastAsia="Times New Roman"/>
                <w:b/>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left"/>
              <w:rPr>
                <w:color w:val="000000"/>
                <w:sz w:val="20"/>
                <w:szCs w:val="20"/>
              </w:rPr>
            </w:pPr>
            <w:r>
              <w:rPr>
                <w:color w:val="000000"/>
                <w:sz w:val="20"/>
                <w:szCs w:val="20"/>
              </w:rPr>
              <w:t>Выручка, млн руб. (всего), в т.ч.:</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 xml:space="preserve">129 366 </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 xml:space="preserve">125 324 </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 xml:space="preserve">129 125 </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3,03 %</w:t>
            </w:r>
          </w:p>
        </w:tc>
      </w:tr>
      <w:tr w:rsidR="00E45A2B"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5A2B" w:rsidRPr="00E45A2B" w:rsidRDefault="00E45A2B" w:rsidP="00E45A2B">
            <w:pPr>
              <w:pStyle w:val="a5"/>
              <w:numPr>
                <w:ilvl w:val="1"/>
                <w:numId w:val="1"/>
              </w:numPr>
              <w:ind w:left="317" w:hanging="347"/>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E45A2B" w:rsidRDefault="00E45A2B" w:rsidP="003303F9">
            <w:pPr>
              <w:ind w:left="176" w:firstLine="0"/>
              <w:jc w:val="left"/>
              <w:rPr>
                <w:color w:val="000000"/>
                <w:sz w:val="20"/>
                <w:szCs w:val="20"/>
              </w:rPr>
            </w:pPr>
            <w:r>
              <w:rPr>
                <w:color w:val="000000"/>
                <w:sz w:val="20"/>
                <w:szCs w:val="20"/>
              </w:rPr>
              <w:t>от оказания услуг по передаче электроэнергии, млн руб.</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 xml:space="preserve">106 994 </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 xml:space="preserve">100 280 </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 xml:space="preserve">110 981 </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10,67 %</w:t>
            </w:r>
          </w:p>
        </w:tc>
      </w:tr>
      <w:tr w:rsidR="00E45A2B"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5A2B" w:rsidRPr="002D6A3E" w:rsidRDefault="00E45A2B" w:rsidP="00E45A2B">
            <w:pPr>
              <w:pStyle w:val="a5"/>
              <w:numPr>
                <w:ilvl w:val="1"/>
                <w:numId w:val="1"/>
              </w:numPr>
              <w:ind w:left="317" w:hanging="347"/>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E45A2B" w:rsidRDefault="00E45A2B" w:rsidP="003303F9">
            <w:pPr>
              <w:ind w:left="176" w:firstLine="0"/>
              <w:jc w:val="left"/>
              <w:rPr>
                <w:color w:val="000000"/>
                <w:sz w:val="20"/>
                <w:szCs w:val="20"/>
              </w:rPr>
            </w:pPr>
            <w:r>
              <w:rPr>
                <w:color w:val="000000"/>
                <w:sz w:val="20"/>
                <w:szCs w:val="20"/>
              </w:rPr>
              <w:t>от оказания услуг по технологическому присоединению, млн руб.</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 xml:space="preserve">19 999 </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 xml:space="preserve">22 930 </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 xml:space="preserve">16 900 </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-26,30 %</w:t>
            </w:r>
          </w:p>
        </w:tc>
      </w:tr>
      <w:tr w:rsidR="00E45A2B"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5A2B" w:rsidRPr="002D6A3E" w:rsidRDefault="00E45A2B" w:rsidP="00E45A2B">
            <w:pPr>
              <w:pStyle w:val="a5"/>
              <w:numPr>
                <w:ilvl w:val="1"/>
                <w:numId w:val="1"/>
              </w:numPr>
              <w:ind w:left="317" w:hanging="347"/>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E45A2B" w:rsidRDefault="00E45A2B" w:rsidP="003303F9">
            <w:pPr>
              <w:ind w:left="176" w:firstLine="0"/>
              <w:jc w:val="left"/>
              <w:rPr>
                <w:color w:val="000000"/>
                <w:sz w:val="20"/>
                <w:szCs w:val="20"/>
              </w:rPr>
            </w:pPr>
            <w:r>
              <w:rPr>
                <w:color w:val="000000"/>
                <w:sz w:val="20"/>
                <w:szCs w:val="20"/>
              </w:rPr>
              <w:t>от прочей деятельности, млн руб.</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 xml:space="preserve">2 373 </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 xml:space="preserve">2 114 </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 xml:space="preserve">1 244 </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-41,13 %</w:t>
            </w:r>
          </w:p>
        </w:tc>
      </w:tr>
      <w:tr w:rsidR="00E45A2B"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5A2B" w:rsidRPr="00E45A2B" w:rsidRDefault="00E45A2B" w:rsidP="00E45A2B">
            <w:pPr>
              <w:pStyle w:val="a5"/>
              <w:numPr>
                <w:ilvl w:val="0"/>
                <w:numId w:val="1"/>
              </w:numPr>
              <w:jc w:val="left"/>
              <w:rPr>
                <w:rFonts w:eastAsia="Times New Roman"/>
                <w:b/>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left"/>
              <w:rPr>
                <w:color w:val="000000"/>
                <w:sz w:val="20"/>
                <w:szCs w:val="20"/>
              </w:rPr>
            </w:pPr>
            <w:r>
              <w:rPr>
                <w:color w:val="000000"/>
                <w:sz w:val="20"/>
                <w:szCs w:val="20"/>
              </w:rPr>
              <w:t>Операционные расходы, млн руб. (всего), в т.ч.:</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 xml:space="preserve">(105 634) </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 xml:space="preserve">(102 549) </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3303F9" w:rsidP="003303F9">
            <w:pPr>
              <w:ind w:firstLine="0"/>
              <w:jc w:val="right"/>
              <w:rPr>
                <w:sz w:val="20"/>
                <w:szCs w:val="20"/>
              </w:rPr>
            </w:pPr>
            <w:r w:rsidRPr="003303F9">
              <w:rPr>
                <w:sz w:val="20"/>
                <w:szCs w:val="20"/>
              </w:rPr>
              <w:t>(</w:t>
            </w:r>
            <w:r w:rsidR="00E45A2B" w:rsidRPr="003303F9">
              <w:rPr>
                <w:sz w:val="20"/>
                <w:szCs w:val="20"/>
              </w:rPr>
              <w:t>106</w:t>
            </w:r>
            <w:r w:rsidRPr="003303F9">
              <w:rPr>
                <w:sz w:val="20"/>
                <w:szCs w:val="20"/>
              </w:rPr>
              <w:t> </w:t>
            </w:r>
            <w:r w:rsidR="00E45A2B" w:rsidRPr="003303F9">
              <w:rPr>
                <w:sz w:val="20"/>
                <w:szCs w:val="20"/>
              </w:rPr>
              <w:t>760</w:t>
            </w:r>
            <w:r w:rsidRPr="003303F9">
              <w:rPr>
                <w:sz w:val="20"/>
                <w:szCs w:val="20"/>
              </w:rPr>
              <w:t>)</w:t>
            </w:r>
            <w:r w:rsidR="00E45A2B" w:rsidRPr="003303F9">
              <w:rPr>
                <w:sz w:val="20"/>
                <w:szCs w:val="20"/>
              </w:rPr>
              <w:t xml:space="preserve"> </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4,11 %</w:t>
            </w:r>
          </w:p>
        </w:tc>
      </w:tr>
      <w:tr w:rsidR="00E45A2B"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5A2B" w:rsidRPr="00E45A2B" w:rsidRDefault="00E45A2B" w:rsidP="00E45A2B">
            <w:pPr>
              <w:pStyle w:val="a5"/>
              <w:numPr>
                <w:ilvl w:val="1"/>
                <w:numId w:val="1"/>
              </w:numPr>
              <w:ind w:left="317" w:hanging="347"/>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E45A2B" w:rsidRDefault="00E45A2B" w:rsidP="003303F9">
            <w:pPr>
              <w:ind w:left="176" w:firstLine="0"/>
              <w:jc w:val="left"/>
              <w:rPr>
                <w:color w:val="000000"/>
                <w:sz w:val="20"/>
                <w:szCs w:val="20"/>
              </w:rPr>
            </w:pPr>
            <w:r>
              <w:rPr>
                <w:color w:val="000000"/>
                <w:sz w:val="20"/>
                <w:szCs w:val="20"/>
              </w:rPr>
              <w:t>расходы на услуги ОАО «ФСК ЕЭС», млн руб.</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 xml:space="preserve">(11 026) </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 xml:space="preserve">(12 273) </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3303F9" w:rsidP="003303F9">
            <w:pPr>
              <w:ind w:firstLine="0"/>
              <w:jc w:val="right"/>
              <w:rPr>
                <w:sz w:val="20"/>
                <w:szCs w:val="20"/>
              </w:rPr>
            </w:pPr>
            <w:r w:rsidRPr="003303F9">
              <w:rPr>
                <w:sz w:val="20"/>
                <w:szCs w:val="20"/>
              </w:rPr>
              <w:t>(</w:t>
            </w:r>
            <w:r w:rsidR="00E45A2B" w:rsidRPr="003303F9">
              <w:rPr>
                <w:sz w:val="20"/>
                <w:szCs w:val="20"/>
              </w:rPr>
              <w:t>13</w:t>
            </w:r>
            <w:r w:rsidRPr="003303F9">
              <w:rPr>
                <w:sz w:val="20"/>
                <w:szCs w:val="20"/>
              </w:rPr>
              <w:t> </w:t>
            </w:r>
            <w:r w:rsidR="00E45A2B" w:rsidRPr="003303F9">
              <w:rPr>
                <w:sz w:val="20"/>
                <w:szCs w:val="20"/>
              </w:rPr>
              <w:t>529</w:t>
            </w:r>
            <w:r w:rsidRPr="003303F9">
              <w:rPr>
                <w:sz w:val="20"/>
                <w:szCs w:val="20"/>
              </w:rPr>
              <w:t>)</w:t>
            </w:r>
            <w:r w:rsidR="00E45A2B" w:rsidRPr="003303F9">
              <w:rPr>
                <w:sz w:val="20"/>
                <w:szCs w:val="20"/>
              </w:rPr>
              <w:t xml:space="preserve"> </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10,24 %</w:t>
            </w:r>
          </w:p>
        </w:tc>
      </w:tr>
      <w:tr w:rsidR="00E45A2B"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5A2B" w:rsidRPr="002D6A3E" w:rsidRDefault="00E45A2B" w:rsidP="00E45A2B">
            <w:pPr>
              <w:pStyle w:val="a5"/>
              <w:numPr>
                <w:ilvl w:val="1"/>
                <w:numId w:val="1"/>
              </w:numPr>
              <w:ind w:left="317" w:hanging="347"/>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E45A2B" w:rsidRDefault="00E45A2B" w:rsidP="003303F9">
            <w:pPr>
              <w:ind w:left="176" w:firstLine="0"/>
              <w:jc w:val="left"/>
              <w:rPr>
                <w:color w:val="000000"/>
                <w:sz w:val="20"/>
                <w:szCs w:val="20"/>
              </w:rPr>
            </w:pPr>
            <w:r>
              <w:rPr>
                <w:color w:val="000000"/>
                <w:sz w:val="20"/>
                <w:szCs w:val="20"/>
              </w:rPr>
              <w:t>расходы на услуги территориальных сетевых компаний, млн руб.</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(30 067)</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 xml:space="preserve">(21 812) </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3303F9" w:rsidP="003303F9">
            <w:pPr>
              <w:ind w:firstLine="0"/>
              <w:jc w:val="right"/>
              <w:rPr>
                <w:sz w:val="20"/>
                <w:szCs w:val="20"/>
              </w:rPr>
            </w:pPr>
            <w:r w:rsidRPr="003303F9">
              <w:rPr>
                <w:sz w:val="20"/>
                <w:szCs w:val="20"/>
              </w:rPr>
              <w:t>(</w:t>
            </w:r>
            <w:r w:rsidR="00E45A2B" w:rsidRPr="003303F9">
              <w:rPr>
                <w:sz w:val="20"/>
                <w:szCs w:val="20"/>
              </w:rPr>
              <w:t>28</w:t>
            </w:r>
            <w:r w:rsidRPr="003303F9">
              <w:rPr>
                <w:sz w:val="20"/>
                <w:szCs w:val="20"/>
              </w:rPr>
              <w:t> </w:t>
            </w:r>
            <w:r w:rsidR="00E45A2B" w:rsidRPr="003303F9">
              <w:rPr>
                <w:sz w:val="20"/>
                <w:szCs w:val="20"/>
              </w:rPr>
              <w:t>298</w:t>
            </w:r>
            <w:r w:rsidRPr="003303F9">
              <w:rPr>
                <w:sz w:val="20"/>
                <w:szCs w:val="20"/>
              </w:rPr>
              <w:t>)</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29,74 %</w:t>
            </w:r>
          </w:p>
        </w:tc>
      </w:tr>
      <w:tr w:rsidR="00E45A2B"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5A2B" w:rsidRPr="002D6A3E" w:rsidRDefault="00E45A2B" w:rsidP="00E45A2B">
            <w:pPr>
              <w:pStyle w:val="a5"/>
              <w:numPr>
                <w:ilvl w:val="1"/>
                <w:numId w:val="1"/>
              </w:numPr>
              <w:ind w:left="317" w:hanging="347"/>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E45A2B" w:rsidRDefault="00E45A2B" w:rsidP="003303F9">
            <w:pPr>
              <w:ind w:left="176" w:firstLine="0"/>
              <w:jc w:val="left"/>
              <w:rPr>
                <w:color w:val="000000"/>
                <w:sz w:val="20"/>
                <w:szCs w:val="20"/>
              </w:rPr>
            </w:pPr>
            <w:r>
              <w:rPr>
                <w:color w:val="000000"/>
                <w:sz w:val="20"/>
                <w:szCs w:val="20"/>
              </w:rPr>
              <w:t>расходы на покупку электроэнергии в целях компенсации потерь, млн руб.</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 xml:space="preserve">(13 038) </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 xml:space="preserve">(11 486) </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3303F9" w:rsidP="003303F9">
            <w:pPr>
              <w:ind w:firstLine="0"/>
              <w:jc w:val="right"/>
              <w:rPr>
                <w:sz w:val="20"/>
                <w:szCs w:val="20"/>
              </w:rPr>
            </w:pPr>
            <w:r w:rsidRPr="003303F9">
              <w:rPr>
                <w:sz w:val="20"/>
                <w:szCs w:val="20"/>
              </w:rPr>
              <w:t>(</w:t>
            </w:r>
            <w:r w:rsidR="00E45A2B" w:rsidRPr="003303F9">
              <w:rPr>
                <w:sz w:val="20"/>
                <w:szCs w:val="20"/>
              </w:rPr>
              <w:t>11</w:t>
            </w:r>
            <w:r w:rsidRPr="003303F9">
              <w:rPr>
                <w:sz w:val="20"/>
                <w:szCs w:val="20"/>
              </w:rPr>
              <w:t> </w:t>
            </w:r>
            <w:r w:rsidR="00E45A2B" w:rsidRPr="003303F9">
              <w:rPr>
                <w:sz w:val="20"/>
                <w:szCs w:val="20"/>
              </w:rPr>
              <w:t>836</w:t>
            </w:r>
            <w:r w:rsidRPr="003303F9">
              <w:rPr>
                <w:sz w:val="20"/>
                <w:szCs w:val="20"/>
              </w:rPr>
              <w:t>)</w:t>
            </w:r>
            <w:r w:rsidR="00E45A2B" w:rsidRPr="003303F9">
              <w:rPr>
                <w:sz w:val="20"/>
                <w:szCs w:val="20"/>
              </w:rPr>
              <w:t xml:space="preserve"> </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3,05 %</w:t>
            </w:r>
          </w:p>
        </w:tc>
      </w:tr>
      <w:tr w:rsidR="00E45A2B"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5A2B" w:rsidRPr="002D6A3E" w:rsidRDefault="00E45A2B" w:rsidP="00E45A2B">
            <w:pPr>
              <w:pStyle w:val="a5"/>
              <w:numPr>
                <w:ilvl w:val="0"/>
                <w:numId w:val="1"/>
              </w:numPr>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left"/>
              <w:rPr>
                <w:color w:val="000000"/>
                <w:sz w:val="20"/>
                <w:szCs w:val="20"/>
              </w:rPr>
            </w:pPr>
            <w:r>
              <w:rPr>
                <w:color w:val="000000"/>
                <w:sz w:val="20"/>
                <w:szCs w:val="20"/>
              </w:rPr>
              <w:t>Валовая прибыль, млн руб.</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 xml:space="preserve">23 732 </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 xml:space="preserve">22 775 </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 xml:space="preserve">22 365 </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-1,80 %</w:t>
            </w:r>
          </w:p>
        </w:tc>
      </w:tr>
      <w:tr w:rsidR="00E45A2B"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5A2B" w:rsidRPr="002D6A3E" w:rsidRDefault="00E45A2B" w:rsidP="00E45A2B">
            <w:pPr>
              <w:pStyle w:val="a5"/>
              <w:numPr>
                <w:ilvl w:val="0"/>
                <w:numId w:val="1"/>
              </w:numPr>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left"/>
              <w:rPr>
                <w:color w:val="000000"/>
                <w:sz w:val="20"/>
                <w:szCs w:val="20"/>
              </w:rPr>
            </w:pPr>
            <w:r>
              <w:rPr>
                <w:color w:val="000000"/>
                <w:sz w:val="20"/>
                <w:szCs w:val="20"/>
              </w:rPr>
              <w:t>Рентабельность по валовой прибыли, %</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18,35%</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18,17%</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17,32%</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-0,85 п.п.</w:t>
            </w:r>
          </w:p>
        </w:tc>
      </w:tr>
      <w:tr w:rsidR="00E45A2B"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5A2B" w:rsidRPr="002D6A3E" w:rsidRDefault="00E45A2B" w:rsidP="00E45A2B">
            <w:pPr>
              <w:pStyle w:val="a5"/>
              <w:numPr>
                <w:ilvl w:val="0"/>
                <w:numId w:val="1"/>
              </w:numPr>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left"/>
              <w:rPr>
                <w:color w:val="000000"/>
                <w:sz w:val="20"/>
                <w:szCs w:val="20"/>
              </w:rPr>
            </w:pPr>
            <w:r>
              <w:rPr>
                <w:color w:val="000000"/>
                <w:sz w:val="20"/>
                <w:szCs w:val="20"/>
              </w:rPr>
              <w:t>EBITDA, млн руб. (всего), в т.ч.:</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 xml:space="preserve">41 649 </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 xml:space="preserve">43 521 </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 xml:space="preserve">44 446 </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2,12 %</w:t>
            </w:r>
          </w:p>
        </w:tc>
      </w:tr>
      <w:tr w:rsidR="00E45A2B"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5A2B" w:rsidRPr="002D6A3E" w:rsidRDefault="00E45A2B" w:rsidP="00E45A2B">
            <w:pPr>
              <w:pStyle w:val="a5"/>
              <w:numPr>
                <w:ilvl w:val="1"/>
                <w:numId w:val="1"/>
              </w:numPr>
              <w:ind w:left="317" w:hanging="347"/>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E45A2B" w:rsidRDefault="00E45A2B" w:rsidP="003303F9">
            <w:pPr>
              <w:ind w:left="176" w:firstLine="0"/>
              <w:jc w:val="left"/>
              <w:rPr>
                <w:color w:val="000000"/>
                <w:sz w:val="20"/>
                <w:szCs w:val="20"/>
              </w:rPr>
            </w:pPr>
            <w:r>
              <w:rPr>
                <w:color w:val="000000"/>
                <w:sz w:val="20"/>
                <w:szCs w:val="20"/>
              </w:rPr>
              <w:t>амортизация, млн руб.</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(16 539)</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 xml:space="preserve">(17 395) </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3303F9" w:rsidP="003303F9">
            <w:pPr>
              <w:ind w:firstLine="0"/>
              <w:jc w:val="right"/>
              <w:rPr>
                <w:sz w:val="20"/>
                <w:szCs w:val="20"/>
              </w:rPr>
            </w:pPr>
            <w:r w:rsidRPr="003303F9">
              <w:rPr>
                <w:sz w:val="20"/>
                <w:szCs w:val="20"/>
              </w:rPr>
              <w:t>(</w:t>
            </w:r>
            <w:r w:rsidR="00E45A2B" w:rsidRPr="003303F9">
              <w:rPr>
                <w:sz w:val="20"/>
                <w:szCs w:val="20"/>
              </w:rPr>
              <w:t>17</w:t>
            </w:r>
            <w:r w:rsidRPr="003303F9">
              <w:rPr>
                <w:sz w:val="20"/>
                <w:szCs w:val="20"/>
              </w:rPr>
              <w:t> </w:t>
            </w:r>
            <w:r w:rsidR="00E45A2B" w:rsidRPr="003303F9">
              <w:rPr>
                <w:sz w:val="20"/>
                <w:szCs w:val="20"/>
              </w:rPr>
              <w:t>918</w:t>
            </w:r>
            <w:r w:rsidRPr="003303F9">
              <w:rPr>
                <w:sz w:val="20"/>
                <w:szCs w:val="20"/>
              </w:rPr>
              <w:t>)</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3,01 %</w:t>
            </w:r>
          </w:p>
        </w:tc>
      </w:tr>
      <w:tr w:rsidR="00E45A2B"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5A2B" w:rsidRPr="002D6A3E" w:rsidRDefault="00E45A2B" w:rsidP="00E45A2B">
            <w:pPr>
              <w:pStyle w:val="a5"/>
              <w:numPr>
                <w:ilvl w:val="1"/>
                <w:numId w:val="1"/>
              </w:numPr>
              <w:ind w:left="317" w:hanging="347"/>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E45A2B" w:rsidRDefault="00E45A2B" w:rsidP="003303F9">
            <w:pPr>
              <w:ind w:left="176" w:firstLine="0"/>
              <w:jc w:val="left"/>
              <w:rPr>
                <w:color w:val="000000"/>
                <w:sz w:val="20"/>
                <w:szCs w:val="20"/>
              </w:rPr>
            </w:pPr>
            <w:r>
              <w:rPr>
                <w:color w:val="000000"/>
                <w:sz w:val="20"/>
                <w:szCs w:val="20"/>
              </w:rPr>
              <w:t xml:space="preserve">налоги, млн руб. </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 xml:space="preserve">(5 402) </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 xml:space="preserve">(6 433) </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3303F9" w:rsidP="003303F9">
            <w:pPr>
              <w:ind w:firstLine="0"/>
              <w:jc w:val="right"/>
              <w:rPr>
                <w:sz w:val="20"/>
                <w:szCs w:val="20"/>
              </w:rPr>
            </w:pPr>
            <w:r w:rsidRPr="003303F9">
              <w:rPr>
                <w:sz w:val="20"/>
                <w:szCs w:val="20"/>
              </w:rPr>
              <w:t>(</w:t>
            </w:r>
            <w:r w:rsidR="00E45A2B" w:rsidRPr="003303F9">
              <w:rPr>
                <w:sz w:val="20"/>
                <w:szCs w:val="20"/>
              </w:rPr>
              <w:t>4</w:t>
            </w:r>
            <w:r w:rsidRPr="003303F9">
              <w:rPr>
                <w:sz w:val="20"/>
                <w:szCs w:val="20"/>
              </w:rPr>
              <w:t> </w:t>
            </w:r>
            <w:r w:rsidR="00E45A2B" w:rsidRPr="003303F9">
              <w:rPr>
                <w:sz w:val="20"/>
                <w:szCs w:val="20"/>
              </w:rPr>
              <w:t>898</w:t>
            </w:r>
            <w:r w:rsidRPr="003303F9">
              <w:rPr>
                <w:sz w:val="20"/>
                <w:szCs w:val="20"/>
              </w:rPr>
              <w:t>)</w:t>
            </w:r>
            <w:r w:rsidR="00E45A2B" w:rsidRPr="003303F9">
              <w:rPr>
                <w:sz w:val="20"/>
                <w:szCs w:val="20"/>
              </w:rPr>
              <w:t xml:space="preserve"> </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-23,86 %</w:t>
            </w:r>
          </w:p>
        </w:tc>
      </w:tr>
      <w:tr w:rsidR="00E45A2B"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5A2B" w:rsidRPr="002D6A3E" w:rsidRDefault="00E45A2B" w:rsidP="00E45A2B">
            <w:pPr>
              <w:pStyle w:val="a5"/>
              <w:numPr>
                <w:ilvl w:val="1"/>
                <w:numId w:val="1"/>
              </w:numPr>
              <w:ind w:left="317" w:hanging="347"/>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E45A2B" w:rsidRDefault="00E45A2B" w:rsidP="003303F9">
            <w:pPr>
              <w:ind w:left="176" w:firstLine="0"/>
              <w:jc w:val="left"/>
              <w:rPr>
                <w:color w:val="000000"/>
                <w:sz w:val="20"/>
                <w:szCs w:val="20"/>
              </w:rPr>
            </w:pPr>
            <w:r>
              <w:rPr>
                <w:color w:val="000000"/>
                <w:sz w:val="20"/>
                <w:szCs w:val="20"/>
              </w:rPr>
              <w:t>проценты, млн руб.</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 xml:space="preserve">(1 665) </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 xml:space="preserve">(796) </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3303F9" w:rsidP="003303F9">
            <w:pPr>
              <w:ind w:firstLine="0"/>
              <w:jc w:val="right"/>
              <w:rPr>
                <w:sz w:val="20"/>
                <w:szCs w:val="20"/>
              </w:rPr>
            </w:pPr>
            <w:r w:rsidRPr="003303F9">
              <w:rPr>
                <w:sz w:val="20"/>
                <w:szCs w:val="20"/>
              </w:rPr>
              <w:t>(</w:t>
            </w:r>
            <w:r w:rsidR="00E45A2B" w:rsidRPr="003303F9">
              <w:rPr>
                <w:sz w:val="20"/>
                <w:szCs w:val="20"/>
              </w:rPr>
              <w:t>2</w:t>
            </w:r>
            <w:r w:rsidRPr="003303F9">
              <w:rPr>
                <w:sz w:val="20"/>
                <w:szCs w:val="20"/>
              </w:rPr>
              <w:t> </w:t>
            </w:r>
            <w:r w:rsidR="00E45A2B" w:rsidRPr="003303F9">
              <w:rPr>
                <w:sz w:val="20"/>
                <w:szCs w:val="20"/>
              </w:rPr>
              <w:t>156</w:t>
            </w:r>
            <w:r w:rsidRPr="003303F9">
              <w:rPr>
                <w:sz w:val="20"/>
                <w:szCs w:val="20"/>
              </w:rPr>
              <w:t>)</w:t>
            </w:r>
            <w:r w:rsidR="00E45A2B" w:rsidRPr="003303F9">
              <w:rPr>
                <w:sz w:val="20"/>
                <w:szCs w:val="20"/>
              </w:rPr>
              <w:t xml:space="preserve"> </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170,92 %</w:t>
            </w:r>
          </w:p>
        </w:tc>
      </w:tr>
      <w:tr w:rsidR="00E45A2B"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5A2B" w:rsidRPr="002D6A3E" w:rsidRDefault="00E45A2B" w:rsidP="00E45A2B">
            <w:pPr>
              <w:pStyle w:val="a5"/>
              <w:numPr>
                <w:ilvl w:val="1"/>
                <w:numId w:val="1"/>
              </w:numPr>
              <w:ind w:left="317" w:hanging="347"/>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E45A2B" w:rsidRDefault="00E45A2B" w:rsidP="003303F9">
            <w:pPr>
              <w:ind w:left="176" w:firstLine="0"/>
              <w:jc w:val="left"/>
              <w:rPr>
                <w:color w:val="000000"/>
                <w:sz w:val="20"/>
                <w:szCs w:val="20"/>
              </w:rPr>
            </w:pPr>
            <w:r>
              <w:rPr>
                <w:color w:val="000000"/>
                <w:sz w:val="20"/>
                <w:szCs w:val="20"/>
              </w:rPr>
              <w:t>прибыль, млн руб.</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 xml:space="preserve">18 043 </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 xml:space="preserve">18 897 </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 xml:space="preserve">19 473 </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3,05 %</w:t>
            </w:r>
          </w:p>
        </w:tc>
      </w:tr>
      <w:tr w:rsidR="00E45A2B"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5A2B" w:rsidRPr="002D6A3E" w:rsidRDefault="00E45A2B" w:rsidP="00E45A2B">
            <w:pPr>
              <w:pStyle w:val="a5"/>
              <w:numPr>
                <w:ilvl w:val="0"/>
                <w:numId w:val="1"/>
              </w:numPr>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left"/>
              <w:rPr>
                <w:color w:val="000000"/>
                <w:sz w:val="20"/>
                <w:szCs w:val="20"/>
              </w:rPr>
            </w:pPr>
            <w:r>
              <w:rPr>
                <w:color w:val="000000"/>
                <w:sz w:val="20"/>
                <w:szCs w:val="20"/>
              </w:rPr>
              <w:t>Рентабельность по EBITDA, %</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32,19%</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34,73%</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34,42%</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-0,31 п.п.</w:t>
            </w:r>
          </w:p>
        </w:tc>
      </w:tr>
      <w:tr w:rsidR="00E45A2B"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5A2B" w:rsidRPr="002D6A3E" w:rsidRDefault="00E45A2B" w:rsidP="00E45A2B">
            <w:pPr>
              <w:pStyle w:val="a5"/>
              <w:numPr>
                <w:ilvl w:val="0"/>
                <w:numId w:val="1"/>
              </w:numPr>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left"/>
              <w:rPr>
                <w:color w:val="000000"/>
                <w:sz w:val="20"/>
                <w:szCs w:val="20"/>
              </w:rPr>
            </w:pPr>
            <w:r>
              <w:rPr>
                <w:color w:val="000000"/>
                <w:sz w:val="20"/>
                <w:szCs w:val="20"/>
              </w:rPr>
              <w:t>Проценты к уплате, млн руб.</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 xml:space="preserve">(1 789) </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 xml:space="preserve">(2 730) </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3303F9" w:rsidP="003303F9">
            <w:pPr>
              <w:ind w:firstLine="0"/>
              <w:jc w:val="right"/>
              <w:rPr>
                <w:sz w:val="20"/>
                <w:szCs w:val="20"/>
              </w:rPr>
            </w:pPr>
            <w:r w:rsidRPr="003303F9">
              <w:rPr>
                <w:sz w:val="20"/>
                <w:szCs w:val="20"/>
              </w:rPr>
              <w:t>(</w:t>
            </w:r>
            <w:r w:rsidR="00E45A2B" w:rsidRPr="003303F9">
              <w:rPr>
                <w:sz w:val="20"/>
                <w:szCs w:val="20"/>
              </w:rPr>
              <w:t>2</w:t>
            </w:r>
            <w:r w:rsidRPr="003303F9">
              <w:rPr>
                <w:sz w:val="20"/>
                <w:szCs w:val="20"/>
              </w:rPr>
              <w:t> </w:t>
            </w:r>
            <w:r w:rsidR="00E45A2B" w:rsidRPr="003303F9">
              <w:rPr>
                <w:sz w:val="20"/>
                <w:szCs w:val="20"/>
              </w:rPr>
              <w:t>559</w:t>
            </w:r>
            <w:r w:rsidRPr="003303F9">
              <w:rPr>
                <w:sz w:val="20"/>
                <w:szCs w:val="20"/>
              </w:rPr>
              <w:t>)</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-6,26 %</w:t>
            </w:r>
          </w:p>
        </w:tc>
      </w:tr>
      <w:tr w:rsidR="00E45A2B"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5A2B" w:rsidRPr="002D6A3E" w:rsidRDefault="00E45A2B" w:rsidP="00E45A2B">
            <w:pPr>
              <w:pStyle w:val="a5"/>
              <w:numPr>
                <w:ilvl w:val="0"/>
                <w:numId w:val="1"/>
              </w:numPr>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left"/>
              <w:rPr>
                <w:color w:val="000000"/>
                <w:sz w:val="20"/>
                <w:szCs w:val="20"/>
              </w:rPr>
            </w:pPr>
            <w:r>
              <w:rPr>
                <w:color w:val="000000"/>
                <w:sz w:val="20"/>
                <w:szCs w:val="20"/>
              </w:rPr>
              <w:t>Прочие доходы, млн руб.</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 xml:space="preserve">1 377 </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 xml:space="preserve">3 352 </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 xml:space="preserve">4 163 </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24,20 %</w:t>
            </w:r>
          </w:p>
        </w:tc>
      </w:tr>
      <w:tr w:rsidR="00E45A2B"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5A2B" w:rsidRPr="002D6A3E" w:rsidRDefault="00E45A2B" w:rsidP="00E45A2B">
            <w:pPr>
              <w:pStyle w:val="a5"/>
              <w:numPr>
                <w:ilvl w:val="0"/>
                <w:numId w:val="1"/>
              </w:numPr>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left"/>
              <w:rPr>
                <w:color w:val="000000"/>
                <w:sz w:val="20"/>
                <w:szCs w:val="20"/>
              </w:rPr>
            </w:pPr>
            <w:r>
              <w:rPr>
                <w:color w:val="000000"/>
                <w:sz w:val="20"/>
                <w:szCs w:val="20"/>
              </w:rPr>
              <w:t>Прибыль до налогообложения, млн руб.</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 xml:space="preserve">23 445 </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 xml:space="preserve">25 330 </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 xml:space="preserve">24 371 </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-3,79 %</w:t>
            </w:r>
          </w:p>
        </w:tc>
      </w:tr>
      <w:tr w:rsidR="00E45A2B"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5A2B" w:rsidRPr="002D6A3E" w:rsidRDefault="00E45A2B" w:rsidP="00E45A2B">
            <w:pPr>
              <w:pStyle w:val="a5"/>
              <w:numPr>
                <w:ilvl w:val="0"/>
                <w:numId w:val="1"/>
              </w:numPr>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left"/>
              <w:rPr>
                <w:color w:val="000000"/>
                <w:sz w:val="20"/>
                <w:szCs w:val="20"/>
              </w:rPr>
            </w:pPr>
            <w:r>
              <w:rPr>
                <w:color w:val="000000"/>
                <w:sz w:val="20"/>
                <w:szCs w:val="20"/>
              </w:rPr>
              <w:t>Налог на прибыль и иные платежи, млн руб.</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 xml:space="preserve">(5 402) </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E45A2B" w:rsidP="003303F9">
            <w:pPr>
              <w:ind w:firstLine="0"/>
              <w:jc w:val="right"/>
              <w:rPr>
                <w:sz w:val="20"/>
                <w:szCs w:val="20"/>
              </w:rPr>
            </w:pPr>
            <w:r w:rsidRPr="003303F9">
              <w:rPr>
                <w:sz w:val="20"/>
                <w:szCs w:val="20"/>
              </w:rPr>
              <w:t>(6 433)</w:t>
            </w:r>
          </w:p>
        </w:tc>
        <w:tc>
          <w:tcPr>
            <w:tcW w:w="1134" w:type="dxa"/>
            <w:tcBorders>
              <w:top w:val="nil"/>
              <w:left w:val="nil"/>
              <w:bottom w:val="single" w:sz="4" w:space="0" w:color="auto"/>
              <w:right w:val="single" w:sz="4" w:space="0" w:color="auto"/>
            </w:tcBorders>
            <w:shd w:val="clear" w:color="auto" w:fill="auto"/>
            <w:vAlign w:val="center"/>
          </w:tcPr>
          <w:p w:rsidR="00E45A2B" w:rsidRPr="003303F9" w:rsidRDefault="003303F9" w:rsidP="003303F9">
            <w:pPr>
              <w:ind w:firstLine="0"/>
              <w:jc w:val="right"/>
              <w:rPr>
                <w:sz w:val="20"/>
                <w:szCs w:val="20"/>
              </w:rPr>
            </w:pPr>
            <w:r w:rsidRPr="003303F9">
              <w:rPr>
                <w:sz w:val="20"/>
                <w:szCs w:val="20"/>
              </w:rPr>
              <w:t>(</w:t>
            </w:r>
            <w:r w:rsidR="00E45A2B" w:rsidRPr="003303F9">
              <w:rPr>
                <w:sz w:val="20"/>
                <w:szCs w:val="20"/>
              </w:rPr>
              <w:t>4</w:t>
            </w:r>
            <w:r w:rsidRPr="003303F9">
              <w:rPr>
                <w:sz w:val="20"/>
                <w:szCs w:val="20"/>
              </w:rPr>
              <w:t> </w:t>
            </w:r>
            <w:r w:rsidR="00E45A2B" w:rsidRPr="003303F9">
              <w:rPr>
                <w:sz w:val="20"/>
                <w:szCs w:val="20"/>
              </w:rPr>
              <w:t>898</w:t>
            </w:r>
            <w:r w:rsidRPr="003303F9">
              <w:rPr>
                <w:sz w:val="20"/>
                <w:szCs w:val="20"/>
              </w:rPr>
              <w:t>)</w:t>
            </w:r>
            <w:r w:rsidR="00E45A2B" w:rsidRPr="003303F9">
              <w:rPr>
                <w:sz w:val="20"/>
                <w:szCs w:val="20"/>
              </w:rPr>
              <w:t xml:space="preserve"> </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-23,86 %</w:t>
            </w:r>
          </w:p>
        </w:tc>
      </w:tr>
      <w:tr w:rsidR="00E45A2B"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5A2B" w:rsidRPr="002D6A3E" w:rsidRDefault="00E45A2B" w:rsidP="00E45A2B">
            <w:pPr>
              <w:pStyle w:val="a5"/>
              <w:numPr>
                <w:ilvl w:val="0"/>
                <w:numId w:val="1"/>
              </w:numPr>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left"/>
              <w:rPr>
                <w:color w:val="000000"/>
                <w:sz w:val="20"/>
                <w:szCs w:val="20"/>
              </w:rPr>
            </w:pPr>
            <w:r>
              <w:rPr>
                <w:color w:val="000000"/>
                <w:sz w:val="20"/>
                <w:szCs w:val="20"/>
              </w:rPr>
              <w:t>Чистая прибыль, млн руб.</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 xml:space="preserve">18 043 </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 xml:space="preserve">18 897 </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 xml:space="preserve">19 473 </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3,05 %</w:t>
            </w:r>
          </w:p>
        </w:tc>
      </w:tr>
      <w:tr w:rsidR="00E45A2B"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5A2B" w:rsidRPr="002D6A3E" w:rsidRDefault="00E45A2B" w:rsidP="00E45A2B">
            <w:pPr>
              <w:pStyle w:val="a5"/>
              <w:numPr>
                <w:ilvl w:val="0"/>
                <w:numId w:val="1"/>
              </w:numPr>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left"/>
              <w:rPr>
                <w:color w:val="000000"/>
                <w:sz w:val="20"/>
                <w:szCs w:val="20"/>
              </w:rPr>
            </w:pPr>
            <w:r>
              <w:rPr>
                <w:color w:val="000000"/>
                <w:sz w:val="20"/>
                <w:szCs w:val="20"/>
              </w:rPr>
              <w:t>Рентабельность по чистой прибыли, %</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13,95%</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15,08%</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15,08%</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0,00 п.п.</w:t>
            </w:r>
          </w:p>
        </w:tc>
      </w:tr>
      <w:tr w:rsidR="00E45A2B"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45A2B" w:rsidRPr="002D6A3E" w:rsidRDefault="00E45A2B" w:rsidP="00E45A2B">
            <w:pPr>
              <w:pStyle w:val="a5"/>
              <w:numPr>
                <w:ilvl w:val="0"/>
                <w:numId w:val="1"/>
              </w:numPr>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left"/>
              <w:rPr>
                <w:color w:val="000000"/>
                <w:sz w:val="20"/>
                <w:szCs w:val="20"/>
              </w:rPr>
            </w:pPr>
            <w:r>
              <w:rPr>
                <w:color w:val="000000"/>
                <w:sz w:val="20"/>
                <w:szCs w:val="20"/>
              </w:rPr>
              <w:t>Базовая и разводненная прибыль на акцию, руб.</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0,37</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0,39</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0,40</w:t>
            </w:r>
          </w:p>
        </w:tc>
        <w:tc>
          <w:tcPr>
            <w:tcW w:w="1134" w:type="dxa"/>
            <w:tcBorders>
              <w:top w:val="nil"/>
              <w:left w:val="nil"/>
              <w:bottom w:val="single" w:sz="4" w:space="0" w:color="auto"/>
              <w:right w:val="single" w:sz="4" w:space="0" w:color="auto"/>
            </w:tcBorders>
            <w:shd w:val="clear" w:color="auto" w:fill="auto"/>
            <w:vAlign w:val="center"/>
          </w:tcPr>
          <w:p w:rsidR="00E45A2B" w:rsidRDefault="00E45A2B" w:rsidP="003303F9">
            <w:pPr>
              <w:ind w:firstLine="0"/>
              <w:jc w:val="right"/>
              <w:rPr>
                <w:color w:val="000000"/>
                <w:sz w:val="20"/>
                <w:szCs w:val="20"/>
              </w:rPr>
            </w:pPr>
            <w:r>
              <w:rPr>
                <w:color w:val="000000"/>
                <w:sz w:val="20"/>
                <w:szCs w:val="20"/>
              </w:rPr>
              <w:t>2,27 %</w:t>
            </w:r>
          </w:p>
        </w:tc>
      </w:tr>
    </w:tbl>
    <w:p w:rsidR="00A426F9" w:rsidRPr="003303F9" w:rsidRDefault="003303F9" w:rsidP="005E74B6">
      <w:pPr>
        <w:spacing w:before="120" w:after="120"/>
        <w:ind w:firstLine="567"/>
        <w:rPr>
          <w:b/>
          <w:sz w:val="26"/>
          <w:szCs w:val="26"/>
        </w:rPr>
      </w:pPr>
      <w:r w:rsidRPr="003303F9">
        <w:rPr>
          <w:b/>
          <w:sz w:val="26"/>
          <w:szCs w:val="26"/>
        </w:rPr>
        <w:t>Консолидированный отчет о финансовом положении</w:t>
      </w:r>
    </w:p>
    <w:tbl>
      <w:tblPr>
        <w:tblW w:w="10206" w:type="dxa"/>
        <w:tblInd w:w="250" w:type="dxa"/>
        <w:tblLook w:val="04A0"/>
      </w:tblPr>
      <w:tblGrid>
        <w:gridCol w:w="567"/>
        <w:gridCol w:w="5103"/>
        <w:gridCol w:w="1134"/>
        <w:gridCol w:w="1134"/>
        <w:gridCol w:w="1134"/>
        <w:gridCol w:w="1134"/>
      </w:tblGrid>
      <w:tr w:rsidR="003303F9" w:rsidRPr="004761E0" w:rsidTr="003303F9">
        <w:trPr>
          <w:trHeight w:val="300"/>
        </w:trPr>
        <w:tc>
          <w:tcPr>
            <w:tcW w:w="567"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3303F9" w:rsidRPr="004761E0" w:rsidRDefault="003303F9" w:rsidP="003303F9">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510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303F9" w:rsidRPr="004761E0" w:rsidRDefault="003303F9" w:rsidP="003303F9">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303F9" w:rsidRPr="004761E0" w:rsidRDefault="003303F9" w:rsidP="003303F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303F9" w:rsidRPr="004761E0" w:rsidRDefault="003303F9" w:rsidP="003303F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303F9" w:rsidRPr="004761E0" w:rsidRDefault="003303F9" w:rsidP="003303F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3303F9" w:rsidRPr="004761E0" w:rsidRDefault="003303F9" w:rsidP="003303F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3303F9"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303F9" w:rsidRPr="00E45A2B" w:rsidRDefault="003303F9" w:rsidP="007076A7">
            <w:pPr>
              <w:pStyle w:val="a5"/>
              <w:numPr>
                <w:ilvl w:val="0"/>
                <w:numId w:val="333"/>
              </w:numPr>
              <w:jc w:val="left"/>
              <w:rPr>
                <w:rFonts w:eastAsia="Times New Roman"/>
                <w:b/>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left"/>
              <w:rPr>
                <w:color w:val="000000"/>
                <w:sz w:val="20"/>
                <w:szCs w:val="20"/>
              </w:rPr>
            </w:pPr>
            <w:r>
              <w:rPr>
                <w:color w:val="000000"/>
                <w:sz w:val="20"/>
                <w:szCs w:val="20"/>
              </w:rPr>
              <w:t>Активы, млн руб. (всего), в т.ч.:</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 xml:space="preserve">249 559 </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 xml:space="preserve">269 057 </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 xml:space="preserve">286 301 </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6,41 %</w:t>
            </w:r>
          </w:p>
        </w:tc>
      </w:tr>
      <w:tr w:rsidR="003303F9"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303F9" w:rsidRPr="00E45A2B" w:rsidRDefault="003303F9" w:rsidP="007076A7">
            <w:pPr>
              <w:pStyle w:val="a5"/>
              <w:numPr>
                <w:ilvl w:val="1"/>
                <w:numId w:val="333"/>
              </w:numPr>
              <w:ind w:left="317" w:hanging="347"/>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3303F9" w:rsidRDefault="003303F9" w:rsidP="003303F9">
            <w:pPr>
              <w:ind w:left="176" w:firstLine="0"/>
              <w:jc w:val="left"/>
              <w:rPr>
                <w:color w:val="000000"/>
                <w:sz w:val="20"/>
                <w:szCs w:val="20"/>
              </w:rPr>
            </w:pPr>
            <w:r>
              <w:rPr>
                <w:color w:val="000000"/>
                <w:sz w:val="20"/>
                <w:szCs w:val="20"/>
              </w:rPr>
              <w:t>внеоборотные активы, млн руб.</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 xml:space="preserve">220 776 </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 xml:space="preserve">238 515 </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 xml:space="preserve">259 902 </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8,97 %</w:t>
            </w:r>
          </w:p>
        </w:tc>
      </w:tr>
      <w:tr w:rsidR="003303F9"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303F9" w:rsidRPr="002D6A3E" w:rsidRDefault="003303F9" w:rsidP="007076A7">
            <w:pPr>
              <w:pStyle w:val="a5"/>
              <w:numPr>
                <w:ilvl w:val="1"/>
                <w:numId w:val="333"/>
              </w:numPr>
              <w:ind w:left="317" w:hanging="347"/>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3303F9" w:rsidRDefault="003303F9" w:rsidP="003303F9">
            <w:pPr>
              <w:ind w:left="176" w:firstLine="0"/>
              <w:jc w:val="left"/>
              <w:rPr>
                <w:color w:val="000000"/>
                <w:sz w:val="20"/>
                <w:szCs w:val="20"/>
              </w:rPr>
            </w:pPr>
            <w:r>
              <w:rPr>
                <w:color w:val="000000"/>
                <w:sz w:val="20"/>
                <w:szCs w:val="20"/>
              </w:rPr>
              <w:t>оборотные активы, млн руб.</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 xml:space="preserve">28 782 </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 xml:space="preserve">30 541 </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 xml:space="preserve">26 399 </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-13,56 %</w:t>
            </w:r>
          </w:p>
        </w:tc>
      </w:tr>
      <w:tr w:rsidR="003303F9"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303F9" w:rsidRPr="002D6A3E" w:rsidRDefault="003303F9" w:rsidP="007076A7">
            <w:pPr>
              <w:pStyle w:val="a5"/>
              <w:numPr>
                <w:ilvl w:val="1"/>
                <w:numId w:val="333"/>
              </w:numPr>
              <w:ind w:left="317" w:hanging="347"/>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left"/>
              <w:rPr>
                <w:color w:val="000000"/>
                <w:sz w:val="20"/>
                <w:szCs w:val="20"/>
              </w:rPr>
            </w:pPr>
            <w:r>
              <w:rPr>
                <w:color w:val="000000"/>
                <w:sz w:val="20"/>
                <w:szCs w:val="20"/>
              </w:rPr>
              <w:t>Пассивы, млн руб. (всего), в т.ч.:</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 xml:space="preserve">249 559 </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 xml:space="preserve">269 057 </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 xml:space="preserve">286 301 </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6,41 %</w:t>
            </w:r>
          </w:p>
        </w:tc>
      </w:tr>
      <w:tr w:rsidR="003303F9"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303F9" w:rsidRPr="00E45A2B" w:rsidRDefault="003303F9" w:rsidP="007076A7">
            <w:pPr>
              <w:pStyle w:val="a5"/>
              <w:numPr>
                <w:ilvl w:val="0"/>
                <w:numId w:val="333"/>
              </w:numPr>
              <w:jc w:val="left"/>
              <w:rPr>
                <w:rFonts w:eastAsia="Times New Roman"/>
                <w:b/>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3303F9" w:rsidRDefault="003303F9" w:rsidP="003303F9">
            <w:pPr>
              <w:ind w:left="176" w:firstLine="0"/>
              <w:jc w:val="left"/>
              <w:rPr>
                <w:color w:val="000000"/>
                <w:sz w:val="20"/>
                <w:szCs w:val="20"/>
              </w:rPr>
            </w:pPr>
            <w:r>
              <w:rPr>
                <w:color w:val="000000"/>
                <w:sz w:val="20"/>
                <w:szCs w:val="20"/>
              </w:rPr>
              <w:t>капитал и резервы, млн руб.</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 xml:space="preserve">121 868 </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 xml:space="preserve">138 947 </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 xml:space="preserve">153 578 </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10,53 %</w:t>
            </w:r>
          </w:p>
        </w:tc>
      </w:tr>
      <w:tr w:rsidR="003303F9"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303F9" w:rsidRPr="00E45A2B" w:rsidRDefault="003303F9" w:rsidP="007076A7">
            <w:pPr>
              <w:pStyle w:val="a5"/>
              <w:numPr>
                <w:ilvl w:val="1"/>
                <w:numId w:val="333"/>
              </w:numPr>
              <w:ind w:left="317" w:hanging="347"/>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3303F9" w:rsidRDefault="003303F9" w:rsidP="003303F9">
            <w:pPr>
              <w:ind w:left="176" w:firstLine="0"/>
              <w:jc w:val="left"/>
              <w:rPr>
                <w:color w:val="000000"/>
                <w:sz w:val="20"/>
                <w:szCs w:val="20"/>
              </w:rPr>
            </w:pPr>
            <w:r>
              <w:rPr>
                <w:color w:val="000000"/>
                <w:sz w:val="20"/>
                <w:szCs w:val="20"/>
              </w:rPr>
              <w:t>долгосрочные обязательства, млн руб.</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 xml:space="preserve">72 622 </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 xml:space="preserve">72 517 </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 xml:space="preserve">73 902 </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1,91 %</w:t>
            </w:r>
          </w:p>
        </w:tc>
      </w:tr>
      <w:tr w:rsidR="003303F9"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303F9" w:rsidRPr="002D6A3E" w:rsidRDefault="003303F9" w:rsidP="007076A7">
            <w:pPr>
              <w:pStyle w:val="a5"/>
              <w:numPr>
                <w:ilvl w:val="1"/>
                <w:numId w:val="333"/>
              </w:numPr>
              <w:ind w:left="317" w:hanging="347"/>
              <w:jc w:val="left"/>
              <w:rPr>
                <w:rFonts w:eastAsia="Times New Roman"/>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3303F9" w:rsidRDefault="003303F9" w:rsidP="003303F9">
            <w:pPr>
              <w:ind w:left="176" w:firstLine="0"/>
              <w:jc w:val="left"/>
              <w:rPr>
                <w:color w:val="000000"/>
                <w:sz w:val="20"/>
                <w:szCs w:val="20"/>
              </w:rPr>
            </w:pPr>
            <w:r>
              <w:rPr>
                <w:color w:val="000000"/>
                <w:sz w:val="20"/>
                <w:szCs w:val="20"/>
              </w:rPr>
              <w:t>краткосрочные обязательства, млн руб.</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 xml:space="preserve">55 069 </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 xml:space="preserve">57 593 </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 xml:space="preserve">58 822 </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2,13 %</w:t>
            </w:r>
          </w:p>
        </w:tc>
      </w:tr>
    </w:tbl>
    <w:p w:rsidR="00A426F9" w:rsidRPr="003303F9" w:rsidRDefault="003303F9" w:rsidP="005E74B6">
      <w:pPr>
        <w:spacing w:before="120" w:after="120"/>
        <w:ind w:firstLine="567"/>
        <w:rPr>
          <w:b/>
          <w:sz w:val="26"/>
          <w:szCs w:val="26"/>
        </w:rPr>
      </w:pPr>
      <w:r w:rsidRPr="003303F9">
        <w:rPr>
          <w:b/>
          <w:sz w:val="26"/>
          <w:szCs w:val="26"/>
        </w:rPr>
        <w:t>Консолидированный отчет о движении денежных средств</w:t>
      </w:r>
    </w:p>
    <w:tbl>
      <w:tblPr>
        <w:tblW w:w="10206" w:type="dxa"/>
        <w:tblInd w:w="250" w:type="dxa"/>
        <w:tblLook w:val="04A0"/>
      </w:tblPr>
      <w:tblGrid>
        <w:gridCol w:w="567"/>
        <w:gridCol w:w="5103"/>
        <w:gridCol w:w="1134"/>
        <w:gridCol w:w="1134"/>
        <w:gridCol w:w="1134"/>
        <w:gridCol w:w="1134"/>
      </w:tblGrid>
      <w:tr w:rsidR="003303F9" w:rsidRPr="004761E0" w:rsidTr="003303F9">
        <w:trPr>
          <w:trHeight w:val="300"/>
        </w:trPr>
        <w:tc>
          <w:tcPr>
            <w:tcW w:w="567"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3303F9" w:rsidRPr="004761E0" w:rsidRDefault="003303F9" w:rsidP="003303F9">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510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303F9" w:rsidRPr="004761E0" w:rsidRDefault="003303F9" w:rsidP="003303F9">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303F9" w:rsidRPr="004761E0" w:rsidRDefault="003303F9" w:rsidP="003303F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303F9" w:rsidRPr="004761E0" w:rsidRDefault="003303F9" w:rsidP="003303F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303F9" w:rsidRPr="004761E0" w:rsidRDefault="003303F9" w:rsidP="003303F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3303F9" w:rsidRPr="004761E0" w:rsidRDefault="003303F9" w:rsidP="003303F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3303F9"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303F9" w:rsidRPr="00E45A2B" w:rsidRDefault="003303F9" w:rsidP="007076A7">
            <w:pPr>
              <w:pStyle w:val="a5"/>
              <w:numPr>
                <w:ilvl w:val="0"/>
                <w:numId w:val="334"/>
              </w:numPr>
              <w:jc w:val="left"/>
              <w:rPr>
                <w:rFonts w:eastAsia="Times New Roman"/>
                <w:b/>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bottom"/>
          </w:tcPr>
          <w:p w:rsidR="003303F9" w:rsidRDefault="003303F9" w:rsidP="003303F9">
            <w:pPr>
              <w:ind w:firstLine="0"/>
              <w:jc w:val="left"/>
              <w:rPr>
                <w:color w:val="000000"/>
                <w:sz w:val="20"/>
                <w:szCs w:val="20"/>
              </w:rPr>
            </w:pPr>
            <w:r>
              <w:rPr>
                <w:color w:val="000000"/>
                <w:sz w:val="20"/>
                <w:szCs w:val="20"/>
              </w:rPr>
              <w:t>Денежные средства от операционной деятельности, млн руб.</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29 425</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39 692</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36 168</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-8,88 %</w:t>
            </w:r>
          </w:p>
        </w:tc>
      </w:tr>
      <w:tr w:rsidR="003303F9"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303F9" w:rsidRPr="003303F9" w:rsidRDefault="003303F9" w:rsidP="007076A7">
            <w:pPr>
              <w:pStyle w:val="a5"/>
              <w:numPr>
                <w:ilvl w:val="0"/>
                <w:numId w:val="334"/>
              </w:numPr>
              <w:jc w:val="left"/>
              <w:rPr>
                <w:rFonts w:eastAsia="Times New Roman"/>
                <w:b/>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bottom"/>
          </w:tcPr>
          <w:p w:rsidR="003303F9" w:rsidRDefault="003303F9" w:rsidP="003303F9">
            <w:pPr>
              <w:ind w:firstLine="0"/>
              <w:jc w:val="left"/>
              <w:rPr>
                <w:color w:val="000000"/>
                <w:sz w:val="20"/>
                <w:szCs w:val="20"/>
              </w:rPr>
            </w:pPr>
            <w:r>
              <w:rPr>
                <w:color w:val="000000"/>
                <w:sz w:val="20"/>
                <w:szCs w:val="20"/>
              </w:rPr>
              <w:t>Денежные средства от инвестиционной деятельности, млн руб.</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(29 776)</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(38 703)</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(38 535)</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-0,43 %</w:t>
            </w:r>
          </w:p>
        </w:tc>
      </w:tr>
      <w:tr w:rsidR="003303F9"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303F9" w:rsidRPr="003303F9" w:rsidRDefault="003303F9" w:rsidP="007076A7">
            <w:pPr>
              <w:pStyle w:val="a5"/>
              <w:numPr>
                <w:ilvl w:val="0"/>
                <w:numId w:val="334"/>
              </w:numPr>
              <w:jc w:val="left"/>
              <w:rPr>
                <w:rFonts w:eastAsia="Times New Roman"/>
                <w:b/>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bottom"/>
          </w:tcPr>
          <w:p w:rsidR="003303F9" w:rsidRDefault="003303F9" w:rsidP="003303F9">
            <w:pPr>
              <w:ind w:firstLine="0"/>
              <w:jc w:val="left"/>
              <w:rPr>
                <w:color w:val="000000"/>
                <w:sz w:val="20"/>
                <w:szCs w:val="20"/>
              </w:rPr>
            </w:pPr>
            <w:r>
              <w:rPr>
                <w:color w:val="000000"/>
                <w:sz w:val="20"/>
                <w:szCs w:val="20"/>
              </w:rPr>
              <w:t>Денежные средства от финансовой деятельности, млн руб.</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1 365</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3 397</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(4 368)</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-228,58 %</w:t>
            </w:r>
          </w:p>
        </w:tc>
      </w:tr>
      <w:tr w:rsidR="003303F9" w:rsidRPr="004761E0" w:rsidTr="003303F9">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303F9" w:rsidRPr="003303F9" w:rsidRDefault="003303F9" w:rsidP="007076A7">
            <w:pPr>
              <w:pStyle w:val="a5"/>
              <w:numPr>
                <w:ilvl w:val="0"/>
                <w:numId w:val="334"/>
              </w:numPr>
              <w:jc w:val="left"/>
              <w:rPr>
                <w:rFonts w:eastAsia="Times New Roman"/>
                <w:b/>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bottom"/>
          </w:tcPr>
          <w:p w:rsidR="003303F9" w:rsidRDefault="003303F9" w:rsidP="003303F9">
            <w:pPr>
              <w:ind w:firstLine="0"/>
              <w:jc w:val="left"/>
              <w:rPr>
                <w:color w:val="000000"/>
                <w:sz w:val="20"/>
                <w:szCs w:val="20"/>
              </w:rPr>
            </w:pPr>
            <w:r>
              <w:rPr>
                <w:color w:val="000000"/>
                <w:sz w:val="20"/>
                <w:szCs w:val="20"/>
              </w:rPr>
              <w:t>Денежные средства и их эквиваленты на конец периода, млн руб.</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3 945</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8 332</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1 596</w:t>
            </w:r>
          </w:p>
        </w:tc>
        <w:tc>
          <w:tcPr>
            <w:tcW w:w="1134" w:type="dxa"/>
            <w:tcBorders>
              <w:top w:val="nil"/>
              <w:left w:val="nil"/>
              <w:bottom w:val="single" w:sz="4" w:space="0" w:color="auto"/>
              <w:right w:val="single" w:sz="4" w:space="0" w:color="auto"/>
            </w:tcBorders>
            <w:shd w:val="clear" w:color="auto" w:fill="auto"/>
            <w:vAlign w:val="center"/>
          </w:tcPr>
          <w:p w:rsidR="003303F9" w:rsidRDefault="003303F9" w:rsidP="003303F9">
            <w:pPr>
              <w:ind w:firstLine="0"/>
              <w:jc w:val="right"/>
              <w:rPr>
                <w:color w:val="000000"/>
                <w:sz w:val="20"/>
                <w:szCs w:val="20"/>
              </w:rPr>
            </w:pPr>
            <w:r>
              <w:rPr>
                <w:color w:val="000000"/>
                <w:sz w:val="20"/>
                <w:szCs w:val="20"/>
              </w:rPr>
              <w:t>-80,84 %</w:t>
            </w:r>
          </w:p>
        </w:tc>
      </w:tr>
    </w:tbl>
    <w:p w:rsidR="00504DBE" w:rsidRPr="00504DBE" w:rsidRDefault="00504DBE" w:rsidP="00504DBE">
      <w:pPr>
        <w:pStyle w:val="aff4"/>
        <w:spacing w:after="0"/>
        <w:ind w:firstLine="567"/>
        <w:rPr>
          <w:sz w:val="26"/>
          <w:szCs w:val="26"/>
        </w:rPr>
      </w:pPr>
      <w:r w:rsidRPr="00504DBE">
        <w:rPr>
          <w:sz w:val="26"/>
          <w:szCs w:val="26"/>
        </w:rPr>
        <w:t xml:space="preserve">В консолидированную финансовую отчетность группы включены результаты деятельности ОАО «МОЭСК» и всех его дочерних обществ, а именно ОАО «Москабельсетьмонтаж», ОАО «Москабельэнергоремонт», ОАО «Завод по ремонту электротехнического оборудования» и ОАО «Энергоцентр». </w:t>
      </w:r>
    </w:p>
    <w:p w:rsidR="00504DBE" w:rsidRPr="00504DBE" w:rsidRDefault="00504DBE" w:rsidP="00504DBE">
      <w:pPr>
        <w:pStyle w:val="aff4"/>
        <w:spacing w:after="0"/>
        <w:ind w:firstLine="567"/>
        <w:rPr>
          <w:bCs/>
          <w:sz w:val="26"/>
          <w:szCs w:val="26"/>
        </w:rPr>
      </w:pPr>
      <w:r w:rsidRPr="00504DBE">
        <w:rPr>
          <w:sz w:val="26"/>
          <w:szCs w:val="26"/>
        </w:rPr>
        <w:t>В</w:t>
      </w:r>
      <w:r w:rsidRPr="00504DBE">
        <w:rPr>
          <w:bCs/>
          <w:sz w:val="26"/>
          <w:szCs w:val="26"/>
        </w:rPr>
        <w:t xml:space="preserve"> целом финансовые показатели отчетности группы за 2013 года отражают стабильную динамику.</w:t>
      </w:r>
    </w:p>
    <w:p w:rsidR="00504DBE" w:rsidRPr="00504DBE" w:rsidRDefault="00504DBE" w:rsidP="00504DBE">
      <w:pPr>
        <w:pStyle w:val="aff4"/>
        <w:spacing w:after="0"/>
        <w:ind w:firstLine="567"/>
        <w:rPr>
          <w:bCs/>
          <w:sz w:val="26"/>
          <w:szCs w:val="26"/>
        </w:rPr>
      </w:pPr>
      <w:r w:rsidRPr="00504DBE">
        <w:rPr>
          <w:bCs/>
          <w:sz w:val="26"/>
          <w:szCs w:val="26"/>
        </w:rPr>
        <w:t>При повышении показателя полезного отпуска на 3</w:t>
      </w:r>
      <w:r>
        <w:rPr>
          <w:bCs/>
          <w:sz w:val="26"/>
          <w:szCs w:val="26"/>
        </w:rPr>
        <w:t> </w:t>
      </w:r>
      <w:r w:rsidRPr="00504DBE">
        <w:rPr>
          <w:bCs/>
          <w:sz w:val="26"/>
          <w:szCs w:val="26"/>
        </w:rPr>
        <w:t>%, показатель EBITDA составил 44,4 млрд руб., что на 2,1 % выше, чем в прошлом году. Примерно такое же повышение по показателю чистой прибыли – 3</w:t>
      </w:r>
      <w:r>
        <w:rPr>
          <w:bCs/>
          <w:sz w:val="26"/>
          <w:szCs w:val="26"/>
        </w:rPr>
        <w:t> </w:t>
      </w:r>
      <w:r w:rsidRPr="00504DBE">
        <w:rPr>
          <w:bCs/>
          <w:sz w:val="26"/>
          <w:szCs w:val="26"/>
        </w:rPr>
        <w:t xml:space="preserve">%. Активы </w:t>
      </w:r>
      <w:r>
        <w:rPr>
          <w:bCs/>
          <w:sz w:val="26"/>
          <w:szCs w:val="26"/>
        </w:rPr>
        <w:t>К</w:t>
      </w:r>
      <w:r w:rsidRPr="00504DBE">
        <w:rPr>
          <w:bCs/>
          <w:sz w:val="26"/>
          <w:szCs w:val="26"/>
        </w:rPr>
        <w:t>омпании увеличились на 6</w:t>
      </w:r>
      <w:r>
        <w:rPr>
          <w:bCs/>
          <w:sz w:val="26"/>
          <w:szCs w:val="26"/>
        </w:rPr>
        <w:t> </w:t>
      </w:r>
      <w:r w:rsidRPr="00504DBE">
        <w:rPr>
          <w:bCs/>
          <w:sz w:val="26"/>
          <w:szCs w:val="26"/>
        </w:rPr>
        <w:t>%, составив 286 млр</w:t>
      </w:r>
      <w:r>
        <w:rPr>
          <w:bCs/>
          <w:sz w:val="26"/>
          <w:szCs w:val="26"/>
        </w:rPr>
        <w:t>д</w:t>
      </w:r>
      <w:r w:rsidRPr="00504DBE">
        <w:rPr>
          <w:bCs/>
          <w:sz w:val="26"/>
          <w:szCs w:val="26"/>
        </w:rPr>
        <w:t xml:space="preserve"> руб. </w:t>
      </w:r>
      <w:r>
        <w:rPr>
          <w:bCs/>
          <w:sz w:val="26"/>
          <w:szCs w:val="26"/>
        </w:rPr>
        <w:t>Р</w:t>
      </w:r>
      <w:r w:rsidRPr="00504DBE">
        <w:rPr>
          <w:bCs/>
          <w:sz w:val="26"/>
          <w:szCs w:val="26"/>
        </w:rPr>
        <w:t>ост чистых активов произошел на 11</w:t>
      </w:r>
      <w:r>
        <w:rPr>
          <w:bCs/>
          <w:sz w:val="26"/>
          <w:szCs w:val="26"/>
        </w:rPr>
        <w:t> </w:t>
      </w:r>
      <w:r w:rsidRPr="00504DBE">
        <w:rPr>
          <w:bCs/>
          <w:sz w:val="26"/>
          <w:szCs w:val="26"/>
        </w:rPr>
        <w:t>%, составив 153,6</w:t>
      </w:r>
      <w:r>
        <w:rPr>
          <w:bCs/>
          <w:sz w:val="26"/>
          <w:szCs w:val="26"/>
        </w:rPr>
        <w:t> </w:t>
      </w:r>
      <w:r w:rsidRPr="00504DBE">
        <w:rPr>
          <w:bCs/>
          <w:sz w:val="26"/>
          <w:szCs w:val="26"/>
        </w:rPr>
        <w:t>млрд руб. на конец 2013 года.</w:t>
      </w:r>
    </w:p>
    <w:p w:rsidR="00504DBE" w:rsidRPr="00504DBE" w:rsidRDefault="00504DBE" w:rsidP="00504DBE">
      <w:pPr>
        <w:pStyle w:val="aff4"/>
        <w:spacing w:after="0"/>
        <w:ind w:firstLine="567"/>
        <w:rPr>
          <w:bCs/>
          <w:sz w:val="26"/>
          <w:szCs w:val="26"/>
        </w:rPr>
      </w:pPr>
      <w:r>
        <w:rPr>
          <w:bCs/>
          <w:sz w:val="26"/>
          <w:szCs w:val="26"/>
        </w:rPr>
        <w:t>Среди н</w:t>
      </w:r>
      <w:r w:rsidRPr="00504DBE">
        <w:rPr>
          <w:bCs/>
          <w:sz w:val="26"/>
          <w:szCs w:val="26"/>
        </w:rPr>
        <w:t>аиболее существенны</w:t>
      </w:r>
      <w:r>
        <w:rPr>
          <w:bCs/>
          <w:sz w:val="26"/>
          <w:szCs w:val="26"/>
        </w:rPr>
        <w:t>х</w:t>
      </w:r>
      <w:r w:rsidRPr="00504DBE">
        <w:rPr>
          <w:bCs/>
          <w:sz w:val="26"/>
          <w:szCs w:val="26"/>
        </w:rPr>
        <w:t xml:space="preserve"> изменени</w:t>
      </w:r>
      <w:r>
        <w:rPr>
          <w:bCs/>
          <w:sz w:val="26"/>
          <w:szCs w:val="26"/>
        </w:rPr>
        <w:t>й</w:t>
      </w:r>
      <w:r w:rsidRPr="00504DBE">
        <w:rPr>
          <w:bCs/>
          <w:sz w:val="26"/>
          <w:szCs w:val="26"/>
        </w:rPr>
        <w:t xml:space="preserve"> в активах и обязательствах </w:t>
      </w:r>
      <w:r>
        <w:rPr>
          <w:bCs/>
          <w:sz w:val="26"/>
          <w:szCs w:val="26"/>
        </w:rPr>
        <w:t>К</w:t>
      </w:r>
      <w:r w:rsidRPr="00504DBE">
        <w:rPr>
          <w:bCs/>
          <w:sz w:val="26"/>
          <w:szCs w:val="26"/>
        </w:rPr>
        <w:t>омпании за 2013 год</w:t>
      </w:r>
      <w:r>
        <w:rPr>
          <w:bCs/>
          <w:sz w:val="26"/>
          <w:szCs w:val="26"/>
        </w:rPr>
        <w:t xml:space="preserve"> сле</w:t>
      </w:r>
      <w:r w:rsidRPr="00504DBE">
        <w:rPr>
          <w:bCs/>
          <w:sz w:val="26"/>
          <w:szCs w:val="26"/>
        </w:rPr>
        <w:t>дует отметить:</w:t>
      </w:r>
    </w:p>
    <w:p w:rsidR="00504DBE" w:rsidRPr="00504DBE" w:rsidRDefault="00504DBE" w:rsidP="00504DBE">
      <w:pPr>
        <w:pStyle w:val="aff4"/>
        <w:numPr>
          <w:ilvl w:val="0"/>
          <w:numId w:val="342"/>
        </w:numPr>
        <w:spacing w:after="0"/>
        <w:ind w:left="1134" w:hanging="567"/>
        <w:rPr>
          <w:bCs/>
          <w:sz w:val="26"/>
          <w:szCs w:val="26"/>
        </w:rPr>
      </w:pPr>
      <w:r>
        <w:rPr>
          <w:bCs/>
          <w:sz w:val="26"/>
          <w:szCs w:val="26"/>
        </w:rPr>
        <w:t>у</w:t>
      </w:r>
      <w:r w:rsidRPr="00504DBE">
        <w:rPr>
          <w:bCs/>
          <w:sz w:val="26"/>
          <w:szCs w:val="26"/>
        </w:rPr>
        <w:t xml:space="preserve">величение внеоборотных активов обусловленное ростом балансовой стоимости основных средств на 26 млрд руб. (12 %), в связи с вводом </w:t>
      </w:r>
      <w:r>
        <w:rPr>
          <w:bCs/>
          <w:sz w:val="26"/>
          <w:szCs w:val="26"/>
        </w:rPr>
        <w:t>в эксплуатацию основных средств;</w:t>
      </w:r>
    </w:p>
    <w:p w:rsidR="00504DBE" w:rsidRPr="00504DBE" w:rsidRDefault="00504DBE" w:rsidP="00504DBE">
      <w:pPr>
        <w:pStyle w:val="aff4"/>
        <w:numPr>
          <w:ilvl w:val="0"/>
          <w:numId w:val="342"/>
        </w:numPr>
        <w:spacing w:after="0"/>
        <w:ind w:left="1134" w:hanging="567"/>
        <w:rPr>
          <w:bCs/>
          <w:sz w:val="26"/>
          <w:szCs w:val="26"/>
        </w:rPr>
      </w:pPr>
      <w:r>
        <w:rPr>
          <w:bCs/>
          <w:sz w:val="26"/>
          <w:szCs w:val="26"/>
        </w:rPr>
        <w:t>умен</w:t>
      </w:r>
      <w:r w:rsidRPr="00504DBE">
        <w:rPr>
          <w:bCs/>
          <w:sz w:val="26"/>
          <w:szCs w:val="26"/>
        </w:rPr>
        <w:t xml:space="preserve">ьшение оборотных активов </w:t>
      </w:r>
      <w:r>
        <w:rPr>
          <w:bCs/>
          <w:sz w:val="26"/>
          <w:szCs w:val="26"/>
        </w:rPr>
        <w:t xml:space="preserve">на 14 % </w:t>
      </w:r>
      <w:r w:rsidRPr="00504DBE">
        <w:rPr>
          <w:bCs/>
          <w:sz w:val="26"/>
          <w:szCs w:val="26"/>
        </w:rPr>
        <w:t>произошло за счет уменьшения остатка денежных средств на банковских счетах</w:t>
      </w:r>
      <w:r>
        <w:rPr>
          <w:bCs/>
          <w:sz w:val="26"/>
          <w:szCs w:val="26"/>
        </w:rPr>
        <w:t>;</w:t>
      </w:r>
    </w:p>
    <w:p w:rsidR="00504DBE" w:rsidRPr="00504DBE" w:rsidRDefault="00504DBE" w:rsidP="00504DBE">
      <w:pPr>
        <w:pStyle w:val="aff4"/>
        <w:numPr>
          <w:ilvl w:val="0"/>
          <w:numId w:val="342"/>
        </w:numPr>
        <w:spacing w:after="0"/>
        <w:ind w:left="1134" w:hanging="567"/>
        <w:rPr>
          <w:bCs/>
          <w:sz w:val="26"/>
          <w:szCs w:val="26"/>
        </w:rPr>
      </w:pPr>
      <w:r>
        <w:rPr>
          <w:bCs/>
          <w:sz w:val="26"/>
          <w:szCs w:val="26"/>
        </w:rPr>
        <w:t>р</w:t>
      </w:r>
      <w:r w:rsidRPr="00504DBE">
        <w:rPr>
          <w:bCs/>
          <w:sz w:val="26"/>
          <w:szCs w:val="26"/>
        </w:rPr>
        <w:t>ост по статье обязательств «кредиты и займы» в связи с размещением ОАО</w:t>
      </w:r>
      <w:r>
        <w:rPr>
          <w:bCs/>
          <w:sz w:val="26"/>
          <w:szCs w:val="26"/>
        </w:rPr>
        <w:t> </w:t>
      </w:r>
      <w:r w:rsidRPr="00504DBE">
        <w:rPr>
          <w:bCs/>
          <w:sz w:val="26"/>
          <w:szCs w:val="26"/>
        </w:rPr>
        <w:t>«МОЭСК» в 2013 г</w:t>
      </w:r>
      <w:r>
        <w:rPr>
          <w:bCs/>
          <w:sz w:val="26"/>
          <w:szCs w:val="26"/>
        </w:rPr>
        <w:t>оду</w:t>
      </w:r>
      <w:r w:rsidRPr="00504DBE">
        <w:rPr>
          <w:bCs/>
          <w:sz w:val="26"/>
          <w:szCs w:val="26"/>
        </w:rPr>
        <w:t xml:space="preserve"> облигационного займа на сумму 5 млрд руб.</w:t>
      </w:r>
      <w:r>
        <w:rPr>
          <w:bCs/>
          <w:sz w:val="26"/>
          <w:szCs w:val="26"/>
        </w:rPr>
        <w:t>;</w:t>
      </w:r>
    </w:p>
    <w:p w:rsidR="007C11BF" w:rsidRDefault="00504DBE" w:rsidP="00504DBE">
      <w:pPr>
        <w:pStyle w:val="aff4"/>
        <w:numPr>
          <w:ilvl w:val="0"/>
          <w:numId w:val="342"/>
        </w:numPr>
        <w:spacing w:after="0"/>
        <w:ind w:left="1134" w:hanging="567"/>
        <w:rPr>
          <w:bCs/>
          <w:sz w:val="26"/>
          <w:szCs w:val="26"/>
        </w:rPr>
      </w:pPr>
      <w:r w:rsidRPr="007C11BF">
        <w:rPr>
          <w:bCs/>
          <w:sz w:val="26"/>
          <w:szCs w:val="26"/>
        </w:rPr>
        <w:t>увеличение на 5</w:t>
      </w:r>
      <w:r w:rsidR="007C11BF">
        <w:rPr>
          <w:bCs/>
          <w:sz w:val="26"/>
          <w:szCs w:val="26"/>
        </w:rPr>
        <w:t> </w:t>
      </w:r>
      <w:r w:rsidRPr="007C11BF">
        <w:rPr>
          <w:bCs/>
          <w:sz w:val="26"/>
          <w:szCs w:val="26"/>
        </w:rPr>
        <w:t>% обязательств по полученным авансам, в части сумм по договорам технологического присоеди</w:t>
      </w:r>
      <w:r w:rsidR="007C11BF">
        <w:rPr>
          <w:bCs/>
          <w:sz w:val="26"/>
          <w:szCs w:val="26"/>
        </w:rPr>
        <w:t>нения составило (2,3 млрд руб.);</w:t>
      </w:r>
    </w:p>
    <w:p w:rsidR="00504DBE" w:rsidRPr="007C11BF" w:rsidRDefault="00504DBE" w:rsidP="00504DBE">
      <w:pPr>
        <w:pStyle w:val="aff4"/>
        <w:numPr>
          <w:ilvl w:val="0"/>
          <w:numId w:val="342"/>
        </w:numPr>
        <w:spacing w:after="0"/>
        <w:ind w:left="1134" w:hanging="567"/>
        <w:rPr>
          <w:bCs/>
          <w:sz w:val="26"/>
          <w:szCs w:val="26"/>
        </w:rPr>
      </w:pPr>
      <w:r w:rsidRPr="007C11BF">
        <w:rPr>
          <w:bCs/>
          <w:sz w:val="26"/>
          <w:szCs w:val="26"/>
        </w:rPr>
        <w:t>уменьшение резервов на 2,7 млрд руб. обусловлено использованием и восстановлением (в связи с выигранными делами) резервов по искам, предъявленных к ОАО «МОЭСК»;</w:t>
      </w:r>
    </w:p>
    <w:p w:rsidR="00504DBE" w:rsidRPr="00504DBE" w:rsidRDefault="00504DBE" w:rsidP="00504DBE">
      <w:pPr>
        <w:pStyle w:val="aff4"/>
        <w:numPr>
          <w:ilvl w:val="0"/>
          <w:numId w:val="342"/>
        </w:numPr>
        <w:spacing w:after="0"/>
        <w:ind w:left="1134" w:hanging="567"/>
        <w:rPr>
          <w:bCs/>
          <w:sz w:val="26"/>
          <w:szCs w:val="26"/>
        </w:rPr>
      </w:pPr>
      <w:r>
        <w:rPr>
          <w:bCs/>
          <w:sz w:val="26"/>
          <w:szCs w:val="26"/>
        </w:rPr>
        <w:t>у</w:t>
      </w:r>
      <w:r w:rsidRPr="00504DBE">
        <w:rPr>
          <w:bCs/>
          <w:sz w:val="26"/>
          <w:szCs w:val="26"/>
        </w:rPr>
        <w:t>величение капитала на 11</w:t>
      </w:r>
      <w:r>
        <w:rPr>
          <w:bCs/>
          <w:sz w:val="26"/>
          <w:szCs w:val="26"/>
        </w:rPr>
        <w:t> </w:t>
      </w:r>
      <w:r w:rsidRPr="00504DBE">
        <w:rPr>
          <w:bCs/>
          <w:sz w:val="26"/>
          <w:szCs w:val="26"/>
        </w:rPr>
        <w:t>% отражает заработанную Группой чистую прибыль за 2013 год в размере 19,5 млрд руб., распределение дивидендов – 4,3</w:t>
      </w:r>
      <w:r>
        <w:rPr>
          <w:bCs/>
          <w:sz w:val="26"/>
          <w:szCs w:val="26"/>
        </w:rPr>
        <w:t> млрд</w:t>
      </w:r>
      <w:r w:rsidRPr="00504DBE">
        <w:rPr>
          <w:bCs/>
          <w:sz w:val="26"/>
          <w:szCs w:val="26"/>
        </w:rPr>
        <w:t xml:space="preserve"> руб. </w:t>
      </w:r>
    </w:p>
    <w:p w:rsidR="00504DBE" w:rsidRPr="00504DBE" w:rsidRDefault="00504DBE" w:rsidP="00504DBE">
      <w:pPr>
        <w:pStyle w:val="aff4"/>
        <w:spacing w:after="0"/>
        <w:ind w:firstLine="567"/>
        <w:rPr>
          <w:bCs/>
          <w:sz w:val="26"/>
          <w:szCs w:val="26"/>
        </w:rPr>
      </w:pPr>
      <w:r>
        <w:rPr>
          <w:bCs/>
          <w:sz w:val="26"/>
          <w:szCs w:val="26"/>
        </w:rPr>
        <w:t>Ф</w:t>
      </w:r>
      <w:r w:rsidRPr="00504DBE">
        <w:rPr>
          <w:bCs/>
          <w:sz w:val="26"/>
          <w:szCs w:val="26"/>
        </w:rPr>
        <w:t>инансовый результат Компании в 2013 году сформировался с учетом следующих составляющих и предпосылок:</w:t>
      </w:r>
    </w:p>
    <w:p w:rsidR="00504DBE" w:rsidRPr="00504DBE" w:rsidRDefault="00504DBE" w:rsidP="00504DBE">
      <w:pPr>
        <w:pStyle w:val="aff4"/>
        <w:numPr>
          <w:ilvl w:val="0"/>
          <w:numId w:val="342"/>
        </w:numPr>
        <w:spacing w:after="0"/>
        <w:ind w:left="1134" w:hanging="567"/>
        <w:rPr>
          <w:bCs/>
          <w:sz w:val="26"/>
          <w:szCs w:val="26"/>
        </w:rPr>
      </w:pPr>
      <w:r>
        <w:rPr>
          <w:bCs/>
          <w:sz w:val="26"/>
          <w:szCs w:val="26"/>
        </w:rPr>
        <w:t>у</w:t>
      </w:r>
      <w:r w:rsidRPr="00504DBE">
        <w:rPr>
          <w:bCs/>
          <w:sz w:val="26"/>
          <w:szCs w:val="26"/>
        </w:rPr>
        <w:t>величение общей выручки на 3</w:t>
      </w:r>
      <w:r w:rsidR="007C11BF">
        <w:rPr>
          <w:bCs/>
          <w:sz w:val="26"/>
          <w:szCs w:val="26"/>
        </w:rPr>
        <w:t> </w:t>
      </w:r>
      <w:r w:rsidRPr="00504DBE">
        <w:rPr>
          <w:bCs/>
          <w:sz w:val="26"/>
          <w:szCs w:val="26"/>
        </w:rPr>
        <w:t xml:space="preserve">% связано с </w:t>
      </w:r>
      <w:r w:rsidRPr="00504DBE">
        <w:rPr>
          <w:sz w:val="26"/>
          <w:szCs w:val="26"/>
        </w:rPr>
        <w:t xml:space="preserve">ростом выручки от передачи электроэнергии. На </w:t>
      </w:r>
      <w:r w:rsidRPr="00504DBE">
        <w:rPr>
          <w:bCs/>
          <w:sz w:val="26"/>
          <w:szCs w:val="26"/>
        </w:rPr>
        <w:t>увеличение операционных расходов на 4</w:t>
      </w:r>
      <w:r>
        <w:rPr>
          <w:bCs/>
          <w:sz w:val="26"/>
          <w:szCs w:val="26"/>
        </w:rPr>
        <w:t> </w:t>
      </w:r>
      <w:r w:rsidR="00C82372">
        <w:rPr>
          <w:bCs/>
          <w:sz w:val="26"/>
          <w:szCs w:val="26"/>
        </w:rPr>
        <w:t>%</w:t>
      </w:r>
      <w:r w:rsidRPr="00504DBE">
        <w:rPr>
          <w:sz w:val="26"/>
          <w:szCs w:val="26"/>
        </w:rPr>
        <w:t>, главным образом, оказало влияние увеличение расход</w:t>
      </w:r>
      <w:r w:rsidR="007C11BF">
        <w:rPr>
          <w:sz w:val="26"/>
          <w:szCs w:val="26"/>
        </w:rPr>
        <w:t>ов по передаче электроэнергии;</w:t>
      </w:r>
    </w:p>
    <w:p w:rsidR="00504DBE" w:rsidRPr="00504DBE" w:rsidRDefault="007C11BF" w:rsidP="00504DBE">
      <w:pPr>
        <w:pStyle w:val="aff4"/>
        <w:numPr>
          <w:ilvl w:val="0"/>
          <w:numId w:val="342"/>
        </w:numPr>
        <w:spacing w:after="0"/>
        <w:ind w:left="1134" w:hanging="567"/>
        <w:rPr>
          <w:bCs/>
          <w:sz w:val="26"/>
          <w:szCs w:val="26"/>
        </w:rPr>
      </w:pPr>
      <w:r>
        <w:rPr>
          <w:bCs/>
          <w:sz w:val="26"/>
          <w:szCs w:val="26"/>
        </w:rPr>
        <w:t>у</w:t>
      </w:r>
      <w:r w:rsidR="00504DBE" w:rsidRPr="00504DBE">
        <w:rPr>
          <w:bCs/>
          <w:sz w:val="26"/>
          <w:szCs w:val="26"/>
        </w:rPr>
        <w:t>величение на 11</w:t>
      </w:r>
      <w:r>
        <w:rPr>
          <w:bCs/>
          <w:sz w:val="26"/>
          <w:szCs w:val="26"/>
        </w:rPr>
        <w:t> </w:t>
      </w:r>
      <w:r w:rsidR="00504DBE" w:rsidRPr="00504DBE">
        <w:rPr>
          <w:bCs/>
          <w:sz w:val="26"/>
          <w:szCs w:val="26"/>
        </w:rPr>
        <w:t xml:space="preserve">% выручки от оказания услуг по передаче электроэнергии, обусловлено </w:t>
      </w:r>
      <w:r w:rsidR="00504DBE" w:rsidRPr="00504DBE">
        <w:rPr>
          <w:sz w:val="26"/>
          <w:szCs w:val="26"/>
        </w:rPr>
        <w:t>ростом полезного отпуска: по итогам 2013 года полезный отпуск «котловой» увеличился на 2,96</w:t>
      </w:r>
      <w:r>
        <w:rPr>
          <w:sz w:val="26"/>
          <w:szCs w:val="26"/>
        </w:rPr>
        <w:t> </w:t>
      </w:r>
      <w:r w:rsidR="00504DBE" w:rsidRPr="00504DBE">
        <w:rPr>
          <w:sz w:val="26"/>
          <w:szCs w:val="26"/>
        </w:rPr>
        <w:t xml:space="preserve">% за счет роста электропотребления и реализации мероприятий по снижению потерь электроэнергии. </w:t>
      </w:r>
    </w:p>
    <w:p w:rsidR="00504DBE" w:rsidRPr="00504DBE" w:rsidRDefault="00504DBE" w:rsidP="00504DBE">
      <w:pPr>
        <w:pStyle w:val="aff4"/>
        <w:spacing w:after="0"/>
        <w:ind w:firstLine="567"/>
        <w:rPr>
          <w:bCs/>
          <w:sz w:val="26"/>
          <w:szCs w:val="26"/>
        </w:rPr>
      </w:pPr>
      <w:r w:rsidRPr="00504DBE">
        <w:rPr>
          <w:bCs/>
          <w:sz w:val="26"/>
          <w:szCs w:val="26"/>
        </w:rPr>
        <w:t>Так</w:t>
      </w:r>
      <w:r>
        <w:rPr>
          <w:bCs/>
          <w:sz w:val="26"/>
          <w:szCs w:val="26"/>
        </w:rPr>
        <w:t>,</w:t>
      </w:r>
      <w:r w:rsidRPr="00504DBE">
        <w:rPr>
          <w:bCs/>
          <w:sz w:val="26"/>
          <w:szCs w:val="26"/>
        </w:rPr>
        <w:t xml:space="preserve"> расходы на передачу электроэнергии увеличились на 4% и составили 53,7</w:t>
      </w:r>
      <w:r>
        <w:rPr>
          <w:bCs/>
          <w:sz w:val="26"/>
          <w:szCs w:val="26"/>
        </w:rPr>
        <w:t> </w:t>
      </w:r>
      <w:r w:rsidRPr="00504DBE">
        <w:rPr>
          <w:bCs/>
          <w:sz w:val="26"/>
          <w:szCs w:val="26"/>
        </w:rPr>
        <w:t>млрд</w:t>
      </w:r>
      <w:r>
        <w:rPr>
          <w:bCs/>
          <w:sz w:val="26"/>
          <w:szCs w:val="26"/>
        </w:rPr>
        <w:t> </w:t>
      </w:r>
      <w:r w:rsidRPr="00504DBE">
        <w:rPr>
          <w:bCs/>
          <w:sz w:val="26"/>
          <w:szCs w:val="26"/>
        </w:rPr>
        <w:t>руб., в т.ч.:</w:t>
      </w:r>
    </w:p>
    <w:p w:rsidR="00504DBE" w:rsidRPr="00504DBE" w:rsidRDefault="00504DBE" w:rsidP="00504DBE">
      <w:pPr>
        <w:pStyle w:val="aff4"/>
        <w:numPr>
          <w:ilvl w:val="0"/>
          <w:numId w:val="341"/>
        </w:numPr>
        <w:spacing w:after="0"/>
        <w:ind w:left="1134" w:hanging="567"/>
        <w:rPr>
          <w:bCs/>
          <w:sz w:val="26"/>
          <w:szCs w:val="26"/>
        </w:rPr>
      </w:pPr>
      <w:r w:rsidRPr="00504DBE">
        <w:rPr>
          <w:bCs/>
          <w:sz w:val="26"/>
          <w:szCs w:val="26"/>
        </w:rPr>
        <w:t>на 30</w:t>
      </w:r>
      <w:r w:rsidR="007C11BF">
        <w:rPr>
          <w:bCs/>
          <w:sz w:val="26"/>
          <w:szCs w:val="26"/>
        </w:rPr>
        <w:t> </w:t>
      </w:r>
      <w:r w:rsidRPr="00504DBE">
        <w:rPr>
          <w:bCs/>
          <w:sz w:val="26"/>
          <w:szCs w:val="26"/>
        </w:rPr>
        <w:t>% увеличились затраты на услуги территориальных сетевых компаний, что обусловлено ростом тарифа на услуги компаний;</w:t>
      </w:r>
    </w:p>
    <w:p w:rsidR="00504DBE" w:rsidRPr="00504DBE" w:rsidRDefault="00504DBE" w:rsidP="00504DBE">
      <w:pPr>
        <w:pStyle w:val="aff4"/>
        <w:numPr>
          <w:ilvl w:val="0"/>
          <w:numId w:val="341"/>
        </w:numPr>
        <w:spacing w:after="0"/>
        <w:ind w:left="1134" w:hanging="567"/>
        <w:rPr>
          <w:bCs/>
          <w:sz w:val="26"/>
          <w:szCs w:val="26"/>
        </w:rPr>
      </w:pPr>
      <w:r w:rsidRPr="00504DBE">
        <w:rPr>
          <w:bCs/>
          <w:sz w:val="26"/>
          <w:szCs w:val="26"/>
        </w:rPr>
        <w:lastRenderedPageBreak/>
        <w:t>на 3% увеличились платежи в целях компенсации потерь электроэнергии, что обусловлено увеличением объема потерь и средней цены покупки электроэнергии для компенсации потерь по сравнению с аналогичным периодом прошлого года;</w:t>
      </w:r>
    </w:p>
    <w:p w:rsidR="00504DBE" w:rsidRPr="00504DBE" w:rsidRDefault="00504DBE" w:rsidP="00504DBE">
      <w:pPr>
        <w:pStyle w:val="aff4"/>
        <w:numPr>
          <w:ilvl w:val="0"/>
          <w:numId w:val="341"/>
        </w:numPr>
        <w:spacing w:after="0"/>
        <w:ind w:left="1134" w:hanging="567"/>
        <w:rPr>
          <w:bCs/>
          <w:sz w:val="26"/>
          <w:szCs w:val="26"/>
        </w:rPr>
      </w:pPr>
      <w:r w:rsidRPr="00504DBE">
        <w:rPr>
          <w:bCs/>
          <w:sz w:val="26"/>
          <w:szCs w:val="26"/>
        </w:rPr>
        <w:t xml:space="preserve">увеличение на 10% расходов на услуги ОАО «ФСК ЕЭС» обусловлено ростом тарифа на услуги компании. </w:t>
      </w:r>
    </w:p>
    <w:p w:rsidR="00504DBE" w:rsidRPr="00504DBE" w:rsidRDefault="00504DBE" w:rsidP="00504DBE">
      <w:pPr>
        <w:pStyle w:val="aff4"/>
        <w:spacing w:after="0"/>
        <w:ind w:firstLine="567"/>
        <w:rPr>
          <w:bCs/>
          <w:sz w:val="26"/>
          <w:szCs w:val="26"/>
        </w:rPr>
      </w:pPr>
      <w:r w:rsidRPr="00504DBE">
        <w:rPr>
          <w:bCs/>
          <w:sz w:val="26"/>
          <w:szCs w:val="26"/>
        </w:rPr>
        <w:t>Еще одна суще</w:t>
      </w:r>
      <w:r>
        <w:rPr>
          <w:bCs/>
          <w:sz w:val="26"/>
          <w:szCs w:val="26"/>
        </w:rPr>
        <w:t>ственная составляющая расходов К</w:t>
      </w:r>
      <w:r w:rsidRPr="00504DBE">
        <w:rPr>
          <w:bCs/>
          <w:sz w:val="26"/>
          <w:szCs w:val="26"/>
        </w:rPr>
        <w:t xml:space="preserve">омпании </w:t>
      </w:r>
      <w:r>
        <w:rPr>
          <w:bCs/>
          <w:sz w:val="26"/>
          <w:szCs w:val="26"/>
        </w:rPr>
        <w:t>–</w:t>
      </w:r>
      <w:r w:rsidRPr="00504DBE">
        <w:rPr>
          <w:bCs/>
          <w:sz w:val="26"/>
          <w:szCs w:val="26"/>
        </w:rPr>
        <w:t xml:space="preserve"> амортизация увеличилась на 3 % (в связи со значительным вводом в эксплуатацию и модернизацией основных средств в конце 2012 года и в течение 2013 года).</w:t>
      </w:r>
    </w:p>
    <w:p w:rsidR="00504DBE" w:rsidRPr="00504DBE" w:rsidRDefault="00504DBE" w:rsidP="00504DBE">
      <w:pPr>
        <w:pStyle w:val="aff4"/>
        <w:spacing w:after="0"/>
        <w:ind w:firstLine="567"/>
        <w:rPr>
          <w:bCs/>
          <w:sz w:val="26"/>
          <w:szCs w:val="26"/>
        </w:rPr>
      </w:pPr>
      <w:r w:rsidRPr="00504DBE">
        <w:rPr>
          <w:bCs/>
          <w:sz w:val="26"/>
          <w:szCs w:val="26"/>
        </w:rPr>
        <w:t>Рост прочего операционного дохода (24</w:t>
      </w:r>
      <w:r>
        <w:rPr>
          <w:bCs/>
          <w:sz w:val="26"/>
          <w:szCs w:val="26"/>
          <w:lang w:val="en-US"/>
        </w:rPr>
        <w:t> </w:t>
      </w:r>
      <w:r w:rsidRPr="00504DBE">
        <w:rPr>
          <w:bCs/>
          <w:sz w:val="26"/>
          <w:szCs w:val="26"/>
        </w:rPr>
        <w:t xml:space="preserve">% – 3,3 млрд руб. в 2012 г) связан с увеличением доходов от бездоговорного потребления электроэнергии. </w:t>
      </w:r>
    </w:p>
    <w:p w:rsidR="00504DBE" w:rsidRPr="00504DBE" w:rsidRDefault="00504DBE" w:rsidP="00504DBE">
      <w:pPr>
        <w:pStyle w:val="aff4"/>
        <w:spacing w:after="0"/>
        <w:ind w:firstLine="567"/>
        <w:rPr>
          <w:bCs/>
          <w:sz w:val="26"/>
          <w:szCs w:val="26"/>
        </w:rPr>
      </w:pPr>
      <w:r w:rsidRPr="00504DBE">
        <w:rPr>
          <w:bCs/>
          <w:sz w:val="26"/>
          <w:szCs w:val="26"/>
        </w:rPr>
        <w:t>Уровень финансовых расходов остался на уровне прошлого года и составил 2,6</w:t>
      </w:r>
      <w:r>
        <w:rPr>
          <w:bCs/>
          <w:sz w:val="26"/>
          <w:szCs w:val="26"/>
        </w:rPr>
        <w:t> </w:t>
      </w:r>
      <w:r w:rsidRPr="00504DBE">
        <w:rPr>
          <w:bCs/>
          <w:sz w:val="26"/>
          <w:szCs w:val="26"/>
        </w:rPr>
        <w:t>млрд руб.</w:t>
      </w:r>
    </w:p>
    <w:p w:rsidR="00504DBE" w:rsidRPr="00504DBE" w:rsidRDefault="00504DBE" w:rsidP="00504DBE">
      <w:pPr>
        <w:pStyle w:val="aff4"/>
        <w:spacing w:after="0"/>
        <w:ind w:firstLine="567"/>
        <w:rPr>
          <w:bCs/>
          <w:sz w:val="26"/>
          <w:szCs w:val="26"/>
        </w:rPr>
      </w:pPr>
      <w:r w:rsidRPr="00504DBE">
        <w:rPr>
          <w:bCs/>
          <w:sz w:val="26"/>
          <w:szCs w:val="26"/>
        </w:rPr>
        <w:t>Таким образом, чистая прибыль</w:t>
      </w:r>
      <w:r>
        <w:rPr>
          <w:bCs/>
          <w:sz w:val="26"/>
          <w:szCs w:val="26"/>
        </w:rPr>
        <w:t xml:space="preserve"> К</w:t>
      </w:r>
      <w:r w:rsidRPr="00504DBE">
        <w:rPr>
          <w:bCs/>
          <w:sz w:val="26"/>
          <w:szCs w:val="26"/>
        </w:rPr>
        <w:t>омпании за 2013 год составила 19,5 млрд руб. и прибыль на акцию увеличилась на 2 % и составила 39,70 коп.</w:t>
      </w:r>
    </w:p>
    <w:p w:rsidR="00504DBE" w:rsidRPr="00504DBE" w:rsidRDefault="00504DBE" w:rsidP="00504DBE">
      <w:pPr>
        <w:ind w:firstLine="567"/>
        <w:rPr>
          <w:sz w:val="26"/>
          <w:szCs w:val="26"/>
        </w:rPr>
      </w:pPr>
      <w:r w:rsidRPr="00504DBE">
        <w:rPr>
          <w:sz w:val="26"/>
          <w:szCs w:val="26"/>
        </w:rPr>
        <w:t>Чистый денежный поток от операционной деятельности за 2013</w:t>
      </w:r>
      <w:r w:rsidR="007C11BF">
        <w:rPr>
          <w:sz w:val="26"/>
          <w:szCs w:val="26"/>
        </w:rPr>
        <w:t xml:space="preserve"> год</w:t>
      </w:r>
      <w:r w:rsidRPr="00504DBE">
        <w:rPr>
          <w:sz w:val="26"/>
          <w:szCs w:val="26"/>
        </w:rPr>
        <w:t xml:space="preserve"> составил</w:t>
      </w:r>
      <w:r w:rsidRPr="00504DBE">
        <w:rPr>
          <w:rFonts w:eastAsia="+mn-ea"/>
          <w:color w:val="003D73"/>
          <w:kern w:val="24"/>
        </w:rPr>
        <w:t xml:space="preserve"> </w:t>
      </w:r>
      <w:r w:rsidRPr="00504DBE">
        <w:rPr>
          <w:sz w:val="26"/>
          <w:szCs w:val="26"/>
        </w:rPr>
        <w:t>36,</w:t>
      </w:r>
      <w:r w:rsidR="007C11BF">
        <w:rPr>
          <w:sz w:val="26"/>
          <w:szCs w:val="26"/>
        </w:rPr>
        <w:t>2</w:t>
      </w:r>
      <w:r>
        <w:rPr>
          <w:sz w:val="26"/>
          <w:szCs w:val="26"/>
        </w:rPr>
        <w:t> </w:t>
      </w:r>
      <w:r w:rsidRPr="00504DBE">
        <w:rPr>
          <w:sz w:val="26"/>
          <w:szCs w:val="26"/>
        </w:rPr>
        <w:t>млрд</w:t>
      </w:r>
      <w:r>
        <w:rPr>
          <w:sz w:val="26"/>
          <w:szCs w:val="26"/>
        </w:rPr>
        <w:t> </w:t>
      </w:r>
      <w:r w:rsidRPr="00504DBE">
        <w:rPr>
          <w:sz w:val="26"/>
          <w:szCs w:val="26"/>
        </w:rPr>
        <w:t>руб. и направлен на финансирование инвестиционной программы.</w:t>
      </w:r>
    </w:p>
    <w:p w:rsidR="00504DBE" w:rsidRDefault="00504DBE" w:rsidP="00504DBE">
      <w:pPr>
        <w:spacing w:before="120" w:after="120"/>
        <w:ind w:firstLine="567"/>
        <w:rPr>
          <w:b/>
          <w:sz w:val="26"/>
          <w:szCs w:val="26"/>
        </w:rPr>
      </w:pPr>
      <w:r w:rsidRPr="003303F9">
        <w:rPr>
          <w:b/>
          <w:sz w:val="26"/>
          <w:szCs w:val="26"/>
        </w:rPr>
        <w:t>Иные финансовые коэффициенты</w:t>
      </w:r>
    </w:p>
    <w:tbl>
      <w:tblPr>
        <w:tblW w:w="10206" w:type="dxa"/>
        <w:tblInd w:w="250" w:type="dxa"/>
        <w:tblLook w:val="04A0"/>
      </w:tblPr>
      <w:tblGrid>
        <w:gridCol w:w="567"/>
        <w:gridCol w:w="5103"/>
        <w:gridCol w:w="1134"/>
        <w:gridCol w:w="1134"/>
        <w:gridCol w:w="1134"/>
        <w:gridCol w:w="1134"/>
      </w:tblGrid>
      <w:tr w:rsidR="00504DBE" w:rsidRPr="004761E0" w:rsidTr="007F635D">
        <w:trPr>
          <w:trHeight w:val="300"/>
        </w:trPr>
        <w:tc>
          <w:tcPr>
            <w:tcW w:w="567"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504DBE" w:rsidRPr="004761E0" w:rsidRDefault="00504DBE" w:rsidP="007F635D">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510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04DBE" w:rsidRPr="004761E0" w:rsidRDefault="00504DBE" w:rsidP="007F635D">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04DBE" w:rsidRPr="004761E0" w:rsidRDefault="00504DBE" w:rsidP="007F635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04DBE" w:rsidRPr="004761E0" w:rsidRDefault="00504DBE" w:rsidP="007F635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04DBE" w:rsidRPr="004761E0" w:rsidRDefault="00504DBE" w:rsidP="007F635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504DBE" w:rsidRPr="004761E0" w:rsidRDefault="00504DBE" w:rsidP="007F635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504DBE" w:rsidRPr="004761E0" w:rsidTr="007F635D">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04DBE" w:rsidRPr="00E45A2B" w:rsidRDefault="00504DBE" w:rsidP="007F635D">
            <w:pPr>
              <w:pStyle w:val="a5"/>
              <w:numPr>
                <w:ilvl w:val="0"/>
                <w:numId w:val="335"/>
              </w:numPr>
              <w:jc w:val="left"/>
              <w:rPr>
                <w:rFonts w:eastAsia="Times New Roman"/>
                <w:b/>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left"/>
              <w:rPr>
                <w:color w:val="000000"/>
                <w:sz w:val="20"/>
                <w:szCs w:val="20"/>
              </w:rPr>
            </w:pPr>
            <w:r>
              <w:rPr>
                <w:color w:val="000000"/>
                <w:sz w:val="20"/>
                <w:szCs w:val="20"/>
              </w:rPr>
              <w:t>Чистый долг, млн руб.</w:t>
            </w:r>
          </w:p>
        </w:tc>
        <w:tc>
          <w:tcPr>
            <w:tcW w:w="1134"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right"/>
              <w:rPr>
                <w:color w:val="000000"/>
                <w:sz w:val="20"/>
                <w:szCs w:val="20"/>
              </w:rPr>
            </w:pPr>
            <w:r>
              <w:rPr>
                <w:color w:val="000000"/>
                <w:sz w:val="20"/>
                <w:szCs w:val="20"/>
              </w:rPr>
              <w:t xml:space="preserve">42 531 </w:t>
            </w:r>
          </w:p>
        </w:tc>
        <w:tc>
          <w:tcPr>
            <w:tcW w:w="1134"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right"/>
              <w:rPr>
                <w:color w:val="000000"/>
                <w:sz w:val="20"/>
                <w:szCs w:val="20"/>
              </w:rPr>
            </w:pPr>
            <w:r>
              <w:rPr>
                <w:color w:val="000000"/>
                <w:sz w:val="20"/>
                <w:szCs w:val="20"/>
              </w:rPr>
              <w:t xml:space="preserve">45 776 </w:t>
            </w:r>
          </w:p>
        </w:tc>
        <w:tc>
          <w:tcPr>
            <w:tcW w:w="1134"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right"/>
              <w:rPr>
                <w:color w:val="000000"/>
                <w:sz w:val="20"/>
                <w:szCs w:val="20"/>
              </w:rPr>
            </w:pPr>
            <w:r>
              <w:rPr>
                <w:color w:val="000000"/>
                <w:sz w:val="20"/>
                <w:szCs w:val="20"/>
              </w:rPr>
              <w:t xml:space="preserve">56 689 </w:t>
            </w:r>
          </w:p>
        </w:tc>
        <w:tc>
          <w:tcPr>
            <w:tcW w:w="1134"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right"/>
              <w:rPr>
                <w:color w:val="000000"/>
                <w:sz w:val="20"/>
                <w:szCs w:val="20"/>
              </w:rPr>
            </w:pPr>
            <w:r>
              <w:rPr>
                <w:color w:val="000000"/>
                <w:sz w:val="20"/>
                <w:szCs w:val="20"/>
              </w:rPr>
              <w:t>23,84 %</w:t>
            </w:r>
          </w:p>
        </w:tc>
      </w:tr>
      <w:tr w:rsidR="00504DBE" w:rsidRPr="004761E0" w:rsidTr="007F635D">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04DBE" w:rsidRPr="00E45A2B" w:rsidRDefault="00504DBE" w:rsidP="007F635D">
            <w:pPr>
              <w:pStyle w:val="a5"/>
              <w:numPr>
                <w:ilvl w:val="0"/>
                <w:numId w:val="335"/>
              </w:numPr>
              <w:jc w:val="left"/>
              <w:rPr>
                <w:rFonts w:eastAsia="Times New Roman"/>
                <w:b/>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left"/>
              <w:rPr>
                <w:color w:val="000000"/>
                <w:sz w:val="20"/>
                <w:szCs w:val="20"/>
              </w:rPr>
            </w:pPr>
            <w:r>
              <w:rPr>
                <w:color w:val="000000"/>
                <w:sz w:val="20"/>
                <w:szCs w:val="20"/>
              </w:rPr>
              <w:t>Чистый долг/EBITDA, %</w:t>
            </w:r>
          </w:p>
        </w:tc>
        <w:tc>
          <w:tcPr>
            <w:tcW w:w="1134"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right"/>
              <w:rPr>
                <w:color w:val="000000"/>
                <w:sz w:val="20"/>
                <w:szCs w:val="20"/>
              </w:rPr>
            </w:pPr>
            <w:r>
              <w:rPr>
                <w:color w:val="000000"/>
                <w:sz w:val="20"/>
                <w:szCs w:val="20"/>
              </w:rPr>
              <w:t>102,12</w:t>
            </w:r>
          </w:p>
        </w:tc>
        <w:tc>
          <w:tcPr>
            <w:tcW w:w="1134"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right"/>
              <w:rPr>
                <w:color w:val="000000"/>
                <w:sz w:val="20"/>
                <w:szCs w:val="20"/>
              </w:rPr>
            </w:pPr>
            <w:r>
              <w:rPr>
                <w:color w:val="000000"/>
                <w:sz w:val="20"/>
                <w:szCs w:val="20"/>
              </w:rPr>
              <w:t>105,18</w:t>
            </w:r>
          </w:p>
        </w:tc>
        <w:tc>
          <w:tcPr>
            <w:tcW w:w="1134"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right"/>
              <w:rPr>
                <w:color w:val="000000"/>
                <w:sz w:val="20"/>
                <w:szCs w:val="20"/>
              </w:rPr>
            </w:pPr>
            <w:r>
              <w:rPr>
                <w:color w:val="000000"/>
                <w:sz w:val="20"/>
                <w:szCs w:val="20"/>
              </w:rPr>
              <w:t>127,55</w:t>
            </w:r>
          </w:p>
        </w:tc>
        <w:tc>
          <w:tcPr>
            <w:tcW w:w="1134"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right"/>
              <w:rPr>
                <w:color w:val="000000"/>
                <w:sz w:val="20"/>
                <w:szCs w:val="20"/>
              </w:rPr>
            </w:pPr>
            <w:r>
              <w:rPr>
                <w:color w:val="000000"/>
                <w:sz w:val="20"/>
                <w:szCs w:val="20"/>
              </w:rPr>
              <w:t>22,37 п.п.</w:t>
            </w:r>
          </w:p>
        </w:tc>
      </w:tr>
      <w:tr w:rsidR="00504DBE" w:rsidRPr="004761E0" w:rsidTr="007F635D">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04DBE" w:rsidRPr="00E45A2B" w:rsidRDefault="00504DBE" w:rsidP="007F635D">
            <w:pPr>
              <w:pStyle w:val="a5"/>
              <w:numPr>
                <w:ilvl w:val="0"/>
                <w:numId w:val="335"/>
              </w:numPr>
              <w:jc w:val="left"/>
              <w:rPr>
                <w:rFonts w:eastAsia="Times New Roman"/>
                <w:b/>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left"/>
              <w:rPr>
                <w:color w:val="000000"/>
                <w:sz w:val="20"/>
                <w:szCs w:val="20"/>
              </w:rPr>
            </w:pPr>
            <w:r>
              <w:rPr>
                <w:color w:val="000000"/>
                <w:sz w:val="20"/>
                <w:szCs w:val="20"/>
              </w:rPr>
              <w:t>Чистый долг/Капитал, %</w:t>
            </w:r>
          </w:p>
        </w:tc>
        <w:tc>
          <w:tcPr>
            <w:tcW w:w="1134"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right"/>
              <w:rPr>
                <w:color w:val="000000"/>
                <w:sz w:val="20"/>
                <w:szCs w:val="20"/>
              </w:rPr>
            </w:pPr>
            <w:r>
              <w:rPr>
                <w:color w:val="000000"/>
                <w:sz w:val="20"/>
                <w:szCs w:val="20"/>
              </w:rPr>
              <w:t>34,90</w:t>
            </w:r>
          </w:p>
        </w:tc>
        <w:tc>
          <w:tcPr>
            <w:tcW w:w="1134"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right"/>
              <w:rPr>
                <w:color w:val="000000"/>
                <w:sz w:val="20"/>
                <w:szCs w:val="20"/>
              </w:rPr>
            </w:pPr>
            <w:r>
              <w:rPr>
                <w:color w:val="000000"/>
                <w:sz w:val="20"/>
                <w:szCs w:val="20"/>
              </w:rPr>
              <w:t>32,94</w:t>
            </w:r>
          </w:p>
        </w:tc>
        <w:tc>
          <w:tcPr>
            <w:tcW w:w="1134"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right"/>
              <w:rPr>
                <w:color w:val="000000"/>
                <w:sz w:val="20"/>
                <w:szCs w:val="20"/>
              </w:rPr>
            </w:pPr>
            <w:r>
              <w:rPr>
                <w:color w:val="000000"/>
                <w:sz w:val="20"/>
                <w:szCs w:val="20"/>
              </w:rPr>
              <w:t>36,91</w:t>
            </w:r>
          </w:p>
        </w:tc>
        <w:tc>
          <w:tcPr>
            <w:tcW w:w="1134"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right"/>
              <w:rPr>
                <w:color w:val="000000"/>
                <w:sz w:val="20"/>
                <w:szCs w:val="20"/>
              </w:rPr>
            </w:pPr>
            <w:r>
              <w:rPr>
                <w:color w:val="000000"/>
                <w:sz w:val="20"/>
                <w:szCs w:val="20"/>
              </w:rPr>
              <w:t>3,97 п.п.</w:t>
            </w:r>
          </w:p>
        </w:tc>
      </w:tr>
      <w:tr w:rsidR="00504DBE" w:rsidRPr="004761E0" w:rsidTr="007F635D">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04DBE" w:rsidRPr="00E45A2B" w:rsidRDefault="00504DBE" w:rsidP="007F635D">
            <w:pPr>
              <w:pStyle w:val="a5"/>
              <w:numPr>
                <w:ilvl w:val="0"/>
                <w:numId w:val="335"/>
              </w:numPr>
              <w:jc w:val="left"/>
              <w:rPr>
                <w:rFonts w:eastAsia="Times New Roman"/>
                <w:b/>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left"/>
              <w:rPr>
                <w:color w:val="000000"/>
                <w:sz w:val="20"/>
                <w:szCs w:val="20"/>
              </w:rPr>
            </w:pPr>
            <w:r>
              <w:rPr>
                <w:color w:val="000000"/>
                <w:sz w:val="20"/>
                <w:szCs w:val="20"/>
              </w:rPr>
              <w:t>Капитал/совокупные активы, %</w:t>
            </w:r>
          </w:p>
        </w:tc>
        <w:tc>
          <w:tcPr>
            <w:tcW w:w="1134"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right"/>
              <w:rPr>
                <w:color w:val="000000"/>
                <w:sz w:val="20"/>
                <w:szCs w:val="20"/>
              </w:rPr>
            </w:pPr>
            <w:r>
              <w:rPr>
                <w:color w:val="000000"/>
                <w:sz w:val="20"/>
                <w:szCs w:val="20"/>
              </w:rPr>
              <w:t>48,83</w:t>
            </w:r>
          </w:p>
        </w:tc>
        <w:tc>
          <w:tcPr>
            <w:tcW w:w="1134"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right"/>
              <w:rPr>
                <w:color w:val="000000"/>
                <w:sz w:val="20"/>
                <w:szCs w:val="20"/>
              </w:rPr>
            </w:pPr>
            <w:r>
              <w:rPr>
                <w:color w:val="000000"/>
                <w:sz w:val="20"/>
                <w:szCs w:val="20"/>
              </w:rPr>
              <w:t>51,64</w:t>
            </w:r>
          </w:p>
        </w:tc>
        <w:tc>
          <w:tcPr>
            <w:tcW w:w="1134"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right"/>
              <w:rPr>
                <w:color w:val="000000"/>
                <w:sz w:val="20"/>
                <w:szCs w:val="20"/>
              </w:rPr>
            </w:pPr>
            <w:r>
              <w:rPr>
                <w:color w:val="000000"/>
                <w:sz w:val="20"/>
                <w:szCs w:val="20"/>
              </w:rPr>
              <w:t>53,64</w:t>
            </w:r>
          </w:p>
        </w:tc>
        <w:tc>
          <w:tcPr>
            <w:tcW w:w="1134"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right"/>
              <w:rPr>
                <w:color w:val="000000"/>
                <w:sz w:val="20"/>
                <w:szCs w:val="20"/>
              </w:rPr>
            </w:pPr>
            <w:r>
              <w:rPr>
                <w:color w:val="000000"/>
                <w:sz w:val="20"/>
                <w:szCs w:val="20"/>
              </w:rPr>
              <w:t>2,00 п.п.</w:t>
            </w:r>
          </w:p>
        </w:tc>
      </w:tr>
      <w:tr w:rsidR="00504DBE" w:rsidRPr="004761E0" w:rsidTr="007F635D">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04DBE" w:rsidRPr="003303F9" w:rsidRDefault="00504DBE" w:rsidP="007F635D">
            <w:pPr>
              <w:pStyle w:val="a5"/>
              <w:ind w:left="360" w:firstLine="0"/>
              <w:jc w:val="left"/>
              <w:rPr>
                <w:rFonts w:eastAsia="Times New Roman"/>
                <w:b/>
                <w:color w:val="000000"/>
                <w:sz w:val="20"/>
                <w:szCs w:val="20"/>
                <w:lang w:eastAsia="ru-RU"/>
              </w:rPr>
            </w:pPr>
          </w:p>
        </w:tc>
        <w:tc>
          <w:tcPr>
            <w:tcW w:w="9639" w:type="dxa"/>
            <w:gridSpan w:val="5"/>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left"/>
              <w:rPr>
                <w:color w:val="000000"/>
                <w:sz w:val="20"/>
                <w:szCs w:val="20"/>
              </w:rPr>
            </w:pPr>
            <w:r>
              <w:rPr>
                <w:color w:val="000000"/>
                <w:sz w:val="20"/>
                <w:szCs w:val="20"/>
              </w:rPr>
              <w:t>Справочно:</w:t>
            </w:r>
          </w:p>
        </w:tc>
      </w:tr>
      <w:tr w:rsidR="00504DBE" w:rsidRPr="004761E0" w:rsidTr="007F635D">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04DBE" w:rsidRPr="003303F9" w:rsidRDefault="00504DBE" w:rsidP="007F635D">
            <w:pPr>
              <w:pStyle w:val="a5"/>
              <w:numPr>
                <w:ilvl w:val="0"/>
                <w:numId w:val="335"/>
              </w:numPr>
              <w:jc w:val="left"/>
              <w:rPr>
                <w:rFonts w:eastAsia="Times New Roman"/>
                <w:b/>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left"/>
              <w:rPr>
                <w:color w:val="000000"/>
                <w:sz w:val="20"/>
                <w:szCs w:val="20"/>
              </w:rPr>
            </w:pPr>
            <w:r>
              <w:rPr>
                <w:color w:val="000000"/>
                <w:sz w:val="20"/>
                <w:szCs w:val="20"/>
              </w:rPr>
              <w:t>Полезный отпуск («котловой»), млн кВтч</w:t>
            </w:r>
          </w:p>
        </w:tc>
        <w:tc>
          <w:tcPr>
            <w:tcW w:w="1134"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right"/>
              <w:rPr>
                <w:color w:val="000000"/>
                <w:sz w:val="20"/>
                <w:szCs w:val="20"/>
              </w:rPr>
            </w:pPr>
            <w:r>
              <w:rPr>
                <w:color w:val="000000"/>
                <w:sz w:val="20"/>
                <w:szCs w:val="20"/>
              </w:rPr>
              <w:t xml:space="preserve">73 540 </w:t>
            </w:r>
          </w:p>
        </w:tc>
        <w:tc>
          <w:tcPr>
            <w:tcW w:w="1134"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right"/>
              <w:rPr>
                <w:color w:val="000000"/>
                <w:sz w:val="20"/>
                <w:szCs w:val="20"/>
              </w:rPr>
            </w:pPr>
            <w:r>
              <w:rPr>
                <w:color w:val="000000"/>
                <w:sz w:val="20"/>
                <w:szCs w:val="20"/>
              </w:rPr>
              <w:t xml:space="preserve">69 362 </w:t>
            </w:r>
          </w:p>
        </w:tc>
        <w:tc>
          <w:tcPr>
            <w:tcW w:w="1134"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right"/>
              <w:rPr>
                <w:color w:val="000000"/>
                <w:sz w:val="20"/>
                <w:szCs w:val="20"/>
              </w:rPr>
            </w:pPr>
            <w:r>
              <w:rPr>
                <w:color w:val="000000"/>
                <w:sz w:val="20"/>
                <w:szCs w:val="20"/>
              </w:rPr>
              <w:t xml:space="preserve">71 412 </w:t>
            </w:r>
          </w:p>
        </w:tc>
        <w:tc>
          <w:tcPr>
            <w:tcW w:w="1134"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right"/>
              <w:rPr>
                <w:color w:val="000000"/>
                <w:sz w:val="20"/>
                <w:szCs w:val="20"/>
              </w:rPr>
            </w:pPr>
            <w:r>
              <w:rPr>
                <w:color w:val="000000"/>
                <w:sz w:val="20"/>
                <w:szCs w:val="20"/>
              </w:rPr>
              <w:t>2,96 %</w:t>
            </w:r>
          </w:p>
        </w:tc>
      </w:tr>
      <w:tr w:rsidR="00504DBE" w:rsidRPr="004761E0" w:rsidTr="007F635D">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04DBE" w:rsidRPr="003303F9" w:rsidRDefault="00504DBE" w:rsidP="007F635D">
            <w:pPr>
              <w:pStyle w:val="a5"/>
              <w:numPr>
                <w:ilvl w:val="0"/>
                <w:numId w:val="335"/>
              </w:numPr>
              <w:jc w:val="left"/>
              <w:rPr>
                <w:rFonts w:eastAsia="Times New Roman"/>
                <w:b/>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left"/>
              <w:rPr>
                <w:color w:val="000000"/>
                <w:sz w:val="20"/>
                <w:szCs w:val="20"/>
              </w:rPr>
            </w:pPr>
            <w:r>
              <w:rPr>
                <w:color w:val="000000"/>
                <w:sz w:val="20"/>
                <w:szCs w:val="20"/>
              </w:rPr>
              <w:t>Присоединенная мощность, МВт</w:t>
            </w:r>
          </w:p>
        </w:tc>
        <w:tc>
          <w:tcPr>
            <w:tcW w:w="1134"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right"/>
              <w:rPr>
                <w:color w:val="000000"/>
                <w:sz w:val="20"/>
                <w:szCs w:val="20"/>
              </w:rPr>
            </w:pPr>
            <w:r>
              <w:rPr>
                <w:color w:val="000000"/>
                <w:sz w:val="20"/>
                <w:szCs w:val="20"/>
              </w:rPr>
              <w:t xml:space="preserve">917 </w:t>
            </w:r>
          </w:p>
        </w:tc>
        <w:tc>
          <w:tcPr>
            <w:tcW w:w="1134"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right"/>
              <w:rPr>
                <w:color w:val="000000"/>
                <w:sz w:val="20"/>
                <w:szCs w:val="20"/>
              </w:rPr>
            </w:pPr>
            <w:r>
              <w:rPr>
                <w:color w:val="000000"/>
                <w:sz w:val="20"/>
                <w:szCs w:val="20"/>
              </w:rPr>
              <w:t xml:space="preserve">1 421 </w:t>
            </w:r>
          </w:p>
        </w:tc>
        <w:tc>
          <w:tcPr>
            <w:tcW w:w="1134"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right"/>
              <w:rPr>
                <w:color w:val="000000"/>
                <w:sz w:val="20"/>
                <w:szCs w:val="20"/>
              </w:rPr>
            </w:pPr>
            <w:r>
              <w:rPr>
                <w:color w:val="000000"/>
                <w:sz w:val="20"/>
                <w:szCs w:val="20"/>
              </w:rPr>
              <w:t xml:space="preserve">1 531 </w:t>
            </w:r>
          </w:p>
        </w:tc>
        <w:tc>
          <w:tcPr>
            <w:tcW w:w="1134"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right"/>
              <w:rPr>
                <w:color w:val="000000"/>
                <w:sz w:val="20"/>
                <w:szCs w:val="20"/>
              </w:rPr>
            </w:pPr>
            <w:r>
              <w:rPr>
                <w:color w:val="000000"/>
                <w:sz w:val="20"/>
                <w:szCs w:val="20"/>
              </w:rPr>
              <w:t>7,74 %</w:t>
            </w:r>
          </w:p>
        </w:tc>
      </w:tr>
      <w:tr w:rsidR="00504DBE" w:rsidRPr="004761E0" w:rsidTr="007F635D">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04DBE" w:rsidRPr="003303F9" w:rsidRDefault="00504DBE" w:rsidP="007F635D">
            <w:pPr>
              <w:pStyle w:val="a5"/>
              <w:numPr>
                <w:ilvl w:val="0"/>
                <w:numId w:val="335"/>
              </w:numPr>
              <w:jc w:val="left"/>
              <w:rPr>
                <w:rFonts w:eastAsia="Times New Roman"/>
                <w:b/>
                <w:color w:val="000000"/>
                <w:sz w:val="20"/>
                <w:szCs w:val="20"/>
                <w:lang w:eastAsia="ru-RU"/>
              </w:rPr>
            </w:pPr>
          </w:p>
        </w:tc>
        <w:tc>
          <w:tcPr>
            <w:tcW w:w="5103"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left"/>
              <w:rPr>
                <w:color w:val="000000"/>
                <w:sz w:val="20"/>
                <w:szCs w:val="20"/>
              </w:rPr>
            </w:pPr>
            <w:r>
              <w:rPr>
                <w:color w:val="000000"/>
                <w:sz w:val="20"/>
                <w:szCs w:val="20"/>
              </w:rPr>
              <w:t>Объем инвестиционной программы (капитальные вложения), млн руб.</w:t>
            </w:r>
          </w:p>
        </w:tc>
        <w:tc>
          <w:tcPr>
            <w:tcW w:w="1134"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right"/>
              <w:rPr>
                <w:color w:val="000000"/>
                <w:sz w:val="20"/>
                <w:szCs w:val="20"/>
              </w:rPr>
            </w:pPr>
            <w:r>
              <w:rPr>
                <w:color w:val="000000"/>
                <w:sz w:val="20"/>
                <w:szCs w:val="20"/>
              </w:rPr>
              <w:t xml:space="preserve">29 707 </w:t>
            </w:r>
          </w:p>
        </w:tc>
        <w:tc>
          <w:tcPr>
            <w:tcW w:w="1134"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right"/>
              <w:rPr>
                <w:color w:val="000000"/>
                <w:sz w:val="20"/>
                <w:szCs w:val="20"/>
              </w:rPr>
            </w:pPr>
            <w:r>
              <w:rPr>
                <w:color w:val="000000"/>
                <w:sz w:val="20"/>
                <w:szCs w:val="20"/>
              </w:rPr>
              <w:t xml:space="preserve">36 212 </w:t>
            </w:r>
          </w:p>
        </w:tc>
        <w:tc>
          <w:tcPr>
            <w:tcW w:w="1134"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right"/>
              <w:rPr>
                <w:color w:val="000000"/>
                <w:sz w:val="20"/>
                <w:szCs w:val="20"/>
              </w:rPr>
            </w:pPr>
            <w:r>
              <w:rPr>
                <w:color w:val="000000"/>
                <w:sz w:val="20"/>
                <w:szCs w:val="20"/>
              </w:rPr>
              <w:t xml:space="preserve">51 384 </w:t>
            </w:r>
          </w:p>
        </w:tc>
        <w:tc>
          <w:tcPr>
            <w:tcW w:w="1134" w:type="dxa"/>
            <w:tcBorders>
              <w:top w:val="nil"/>
              <w:left w:val="nil"/>
              <w:bottom w:val="single" w:sz="4" w:space="0" w:color="auto"/>
              <w:right w:val="single" w:sz="4" w:space="0" w:color="auto"/>
            </w:tcBorders>
            <w:shd w:val="clear" w:color="auto" w:fill="auto"/>
            <w:vAlign w:val="center"/>
          </w:tcPr>
          <w:p w:rsidR="00504DBE" w:rsidRDefault="00504DBE" w:rsidP="007F635D">
            <w:pPr>
              <w:ind w:firstLine="0"/>
              <w:jc w:val="right"/>
              <w:rPr>
                <w:color w:val="000000"/>
                <w:sz w:val="20"/>
                <w:szCs w:val="20"/>
              </w:rPr>
            </w:pPr>
            <w:r>
              <w:rPr>
                <w:color w:val="000000"/>
                <w:sz w:val="20"/>
                <w:szCs w:val="20"/>
              </w:rPr>
              <w:t>41,90 %</w:t>
            </w:r>
          </w:p>
        </w:tc>
      </w:tr>
    </w:tbl>
    <w:p w:rsidR="005E74B6" w:rsidRDefault="005E74B6" w:rsidP="005E74B6">
      <w:pPr>
        <w:spacing w:before="120" w:after="120"/>
        <w:ind w:firstLine="567"/>
        <w:rPr>
          <w:rFonts w:ascii="Cambria" w:eastAsia="Times New Roman" w:hAnsi="Cambria"/>
          <w:b/>
          <w:sz w:val="26"/>
          <w:szCs w:val="26"/>
          <w:lang w:eastAsia="ru-RU"/>
        </w:rPr>
      </w:pPr>
      <w:r>
        <w:rPr>
          <w:b/>
          <w:sz w:val="26"/>
          <w:szCs w:val="26"/>
          <w:lang w:eastAsia="ru-RU"/>
        </w:rPr>
        <w:br w:type="page"/>
      </w:r>
    </w:p>
    <w:p w:rsidR="00136A10" w:rsidRPr="004761E0" w:rsidRDefault="00E34ACB" w:rsidP="007076A7">
      <w:pPr>
        <w:pStyle w:val="a8"/>
        <w:numPr>
          <w:ilvl w:val="1"/>
          <w:numId w:val="321"/>
        </w:numPr>
        <w:spacing w:before="120" w:after="120"/>
        <w:ind w:left="1134" w:hanging="567"/>
        <w:jc w:val="both"/>
        <w:rPr>
          <w:b/>
          <w:sz w:val="26"/>
          <w:szCs w:val="26"/>
          <w:lang w:eastAsia="ru-RU"/>
        </w:rPr>
      </w:pPr>
      <w:bookmarkStart w:id="67" w:name="_Toc385339816"/>
      <w:r w:rsidRPr="005E74B6">
        <w:rPr>
          <w:rFonts w:ascii="Times New Roman" w:hAnsi="Times New Roman"/>
          <w:b/>
          <w:sz w:val="26"/>
          <w:szCs w:val="26"/>
        </w:rPr>
        <w:lastRenderedPageBreak/>
        <w:t>Кредитная политика</w:t>
      </w:r>
      <w:bookmarkEnd w:id="66"/>
      <w:bookmarkEnd w:id="67"/>
    </w:p>
    <w:p w:rsidR="00DB376A" w:rsidRPr="004761E0" w:rsidRDefault="00AE3E25" w:rsidP="00050AA7">
      <w:pPr>
        <w:ind w:firstLine="567"/>
        <w:rPr>
          <w:sz w:val="26"/>
          <w:szCs w:val="26"/>
        </w:rPr>
      </w:pPr>
      <w:r w:rsidRPr="004761E0">
        <w:rPr>
          <w:sz w:val="26"/>
          <w:szCs w:val="26"/>
        </w:rPr>
        <w:t>В 2013 году кредитная политика Общества ориентирована на снижение стоимостных параметров заимствования путем рефинансирования текущей задолженности. В отчетном периоде лимиты долговой позиции Общества соответствовали условиям Положения о кредитной политике</w:t>
      </w:r>
      <w:r w:rsidRPr="006F4AB8">
        <w:rPr>
          <w:rStyle w:val="af1"/>
        </w:rPr>
        <w:footnoteReference w:id="66"/>
      </w:r>
      <w:r w:rsidRPr="004761E0">
        <w:rPr>
          <w:sz w:val="26"/>
          <w:szCs w:val="26"/>
        </w:rPr>
        <w:t xml:space="preserve">, а кредитоспособность Общества </w:t>
      </w:r>
      <w:r w:rsidR="00DB376A" w:rsidRPr="004761E0">
        <w:rPr>
          <w:sz w:val="26"/>
          <w:szCs w:val="26"/>
        </w:rPr>
        <w:t>–</w:t>
      </w:r>
      <w:r w:rsidRPr="004761E0">
        <w:rPr>
          <w:sz w:val="26"/>
          <w:szCs w:val="26"/>
        </w:rPr>
        <w:t xml:space="preserve"> высшей группе «А».</w:t>
      </w:r>
      <w:r w:rsidR="00DB376A" w:rsidRPr="004761E0">
        <w:rPr>
          <w:sz w:val="26"/>
          <w:szCs w:val="26"/>
        </w:rPr>
        <w:t xml:space="preserve"> </w:t>
      </w:r>
    </w:p>
    <w:p w:rsidR="00AE3E25" w:rsidRPr="004761E0" w:rsidRDefault="00DB376A" w:rsidP="00050AA7">
      <w:pPr>
        <w:ind w:firstLine="567"/>
        <w:rPr>
          <w:sz w:val="26"/>
          <w:szCs w:val="26"/>
        </w:rPr>
      </w:pPr>
      <w:r w:rsidRPr="004761E0">
        <w:rPr>
          <w:sz w:val="26"/>
          <w:szCs w:val="26"/>
        </w:rPr>
        <w:t xml:space="preserve">При формировании кредитного портфеля Общество придерживается соотношения </w:t>
      </w:r>
      <w:r w:rsidRPr="004761E0">
        <w:rPr>
          <w:sz w:val="26"/>
          <w:szCs w:val="26"/>
          <w:lang w:val="en-US"/>
        </w:rPr>
        <w:t>Debt</w:t>
      </w:r>
      <w:r w:rsidRPr="004761E0">
        <w:rPr>
          <w:sz w:val="26"/>
          <w:szCs w:val="26"/>
        </w:rPr>
        <w:t>/</w:t>
      </w:r>
      <w:r w:rsidRPr="004761E0">
        <w:rPr>
          <w:sz w:val="26"/>
          <w:szCs w:val="26"/>
          <w:lang w:val="en-US"/>
        </w:rPr>
        <w:t>EBITDA</w:t>
      </w:r>
      <w:r w:rsidRPr="004761E0">
        <w:rPr>
          <w:sz w:val="26"/>
          <w:szCs w:val="26"/>
        </w:rPr>
        <w:t xml:space="preserve"> не более 2х.</w:t>
      </w:r>
    </w:p>
    <w:p w:rsidR="00AE3E25" w:rsidRPr="004761E0" w:rsidRDefault="00AE3E25" w:rsidP="00050AA7">
      <w:pPr>
        <w:ind w:firstLine="567"/>
        <w:rPr>
          <w:sz w:val="26"/>
          <w:szCs w:val="26"/>
        </w:rPr>
      </w:pPr>
      <w:r w:rsidRPr="004761E0">
        <w:rPr>
          <w:sz w:val="26"/>
          <w:szCs w:val="26"/>
        </w:rPr>
        <w:t xml:space="preserve">В структуре заемных денежных средств Общества преобладает долгосрочная кредиторская задолженность. Несущественный рост краткосрочной кредиторской задолженности обусловлен переходом части долгосрочной </w:t>
      </w:r>
      <w:r w:rsidR="009C65F1" w:rsidRPr="004761E0">
        <w:rPr>
          <w:sz w:val="26"/>
          <w:szCs w:val="26"/>
        </w:rPr>
        <w:t>задолженности в краткосрочную.</w:t>
      </w:r>
    </w:p>
    <w:p w:rsidR="00AE3E25" w:rsidRPr="008C0C74" w:rsidRDefault="00AE3E25" w:rsidP="008C0C74">
      <w:pPr>
        <w:shd w:val="clear" w:color="auto" w:fill="FFFFFF"/>
        <w:spacing w:before="120" w:after="120"/>
        <w:ind w:firstLine="567"/>
        <w:rPr>
          <w:b/>
          <w:sz w:val="26"/>
          <w:szCs w:val="26"/>
          <w:lang w:eastAsia="ru-RU"/>
        </w:rPr>
      </w:pPr>
      <w:r w:rsidRPr="008C0C74">
        <w:rPr>
          <w:b/>
          <w:sz w:val="26"/>
          <w:szCs w:val="26"/>
          <w:lang w:eastAsia="ru-RU"/>
        </w:rPr>
        <w:t>Структура заемных денежных средств</w:t>
      </w:r>
    </w:p>
    <w:tbl>
      <w:tblPr>
        <w:tblW w:w="9936" w:type="dxa"/>
        <w:tblInd w:w="95" w:type="dxa"/>
        <w:tblLook w:val="04A0"/>
      </w:tblPr>
      <w:tblGrid>
        <w:gridCol w:w="569"/>
        <w:gridCol w:w="4831"/>
        <w:gridCol w:w="1134"/>
        <w:gridCol w:w="1134"/>
        <w:gridCol w:w="1142"/>
        <w:gridCol w:w="1126"/>
      </w:tblGrid>
      <w:tr w:rsidR="00AE3E25" w:rsidRPr="004761E0" w:rsidTr="00AE3E25">
        <w:trPr>
          <w:trHeight w:val="300"/>
        </w:trPr>
        <w:tc>
          <w:tcPr>
            <w:tcW w:w="569"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AE3E25" w:rsidRPr="004761E0" w:rsidRDefault="00AE3E25" w:rsidP="00AE3E25">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483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AE3E25" w:rsidRPr="004761E0" w:rsidRDefault="00AE3E25" w:rsidP="00AE3E25">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источника долга</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AE3E25" w:rsidRPr="004761E0" w:rsidRDefault="00AE3E25" w:rsidP="00AE3E25">
            <w:pPr>
              <w:ind w:firstLine="0"/>
              <w:jc w:val="right"/>
              <w:rPr>
                <w:b/>
                <w:sz w:val="20"/>
                <w:szCs w:val="20"/>
              </w:rPr>
            </w:pPr>
            <w:r w:rsidRPr="004761E0">
              <w:rPr>
                <w:b/>
                <w:sz w:val="20"/>
                <w:szCs w:val="20"/>
              </w:rPr>
              <w:t>31.12.2011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AE3E25" w:rsidRPr="004761E0" w:rsidRDefault="00AE3E25" w:rsidP="00AE3E25">
            <w:pPr>
              <w:ind w:firstLine="0"/>
              <w:jc w:val="right"/>
              <w:rPr>
                <w:b/>
                <w:sz w:val="20"/>
                <w:szCs w:val="20"/>
              </w:rPr>
            </w:pPr>
            <w:r w:rsidRPr="004761E0">
              <w:rPr>
                <w:b/>
                <w:sz w:val="20"/>
                <w:szCs w:val="20"/>
              </w:rPr>
              <w:t>31.12.2012</w:t>
            </w:r>
          </w:p>
        </w:tc>
        <w:tc>
          <w:tcPr>
            <w:tcW w:w="114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AE3E25" w:rsidRPr="004761E0" w:rsidRDefault="00AE3E25" w:rsidP="00AE3E25">
            <w:pPr>
              <w:ind w:firstLine="0"/>
              <w:jc w:val="right"/>
              <w:rPr>
                <w:b/>
                <w:sz w:val="20"/>
                <w:szCs w:val="20"/>
              </w:rPr>
            </w:pPr>
            <w:r w:rsidRPr="004761E0">
              <w:rPr>
                <w:b/>
                <w:sz w:val="20"/>
                <w:szCs w:val="20"/>
              </w:rPr>
              <w:t>31.12.2013</w:t>
            </w:r>
          </w:p>
        </w:tc>
        <w:tc>
          <w:tcPr>
            <w:tcW w:w="1126"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AE3E25" w:rsidRPr="004761E0" w:rsidRDefault="00AE3E25" w:rsidP="00AE3E25">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1B2F8D" w:rsidRPr="004761E0" w:rsidTr="001B2F8D">
        <w:trPr>
          <w:trHeight w:val="300"/>
        </w:trPr>
        <w:tc>
          <w:tcPr>
            <w:tcW w:w="569" w:type="dxa"/>
            <w:tcBorders>
              <w:top w:val="nil"/>
              <w:left w:val="single" w:sz="4" w:space="0" w:color="auto"/>
              <w:bottom w:val="single" w:sz="4" w:space="0" w:color="auto"/>
              <w:right w:val="single" w:sz="4" w:space="0" w:color="auto"/>
            </w:tcBorders>
            <w:shd w:val="clear" w:color="auto" w:fill="auto"/>
            <w:vAlign w:val="center"/>
          </w:tcPr>
          <w:p w:rsidR="001B2F8D" w:rsidRPr="004761E0" w:rsidRDefault="001B2F8D" w:rsidP="007076A7">
            <w:pPr>
              <w:numPr>
                <w:ilvl w:val="0"/>
                <w:numId w:val="158"/>
              </w:numPr>
              <w:jc w:val="left"/>
              <w:rPr>
                <w:rFonts w:eastAsia="Times New Roman"/>
                <w:b/>
                <w:color w:val="000000"/>
                <w:sz w:val="20"/>
                <w:szCs w:val="20"/>
                <w:lang w:eastAsia="ru-RU"/>
              </w:rPr>
            </w:pPr>
          </w:p>
        </w:tc>
        <w:tc>
          <w:tcPr>
            <w:tcW w:w="4831" w:type="dxa"/>
            <w:tcBorders>
              <w:top w:val="nil"/>
              <w:left w:val="nil"/>
              <w:bottom w:val="single" w:sz="4" w:space="0" w:color="auto"/>
              <w:right w:val="single" w:sz="4" w:space="0" w:color="auto"/>
            </w:tcBorders>
            <w:shd w:val="clear" w:color="auto" w:fill="auto"/>
            <w:vAlign w:val="center"/>
          </w:tcPr>
          <w:p w:rsidR="001B2F8D" w:rsidRPr="004761E0" w:rsidRDefault="001B2F8D" w:rsidP="000F7D98">
            <w:pPr>
              <w:ind w:firstLine="0"/>
              <w:jc w:val="left"/>
              <w:rPr>
                <w:b/>
                <w:color w:val="000000"/>
                <w:sz w:val="20"/>
                <w:szCs w:val="20"/>
              </w:rPr>
            </w:pPr>
            <w:r w:rsidRPr="004761E0">
              <w:rPr>
                <w:b/>
                <w:color w:val="000000"/>
                <w:sz w:val="20"/>
                <w:szCs w:val="20"/>
              </w:rPr>
              <w:t>Заемные денежные средства, млн руб. (всего), в т.ч.:</w:t>
            </w:r>
          </w:p>
        </w:tc>
        <w:tc>
          <w:tcPr>
            <w:tcW w:w="1134" w:type="dxa"/>
            <w:tcBorders>
              <w:top w:val="nil"/>
              <w:left w:val="nil"/>
              <w:bottom w:val="single" w:sz="4" w:space="0" w:color="auto"/>
              <w:right w:val="single" w:sz="4" w:space="0" w:color="auto"/>
            </w:tcBorders>
            <w:shd w:val="clear" w:color="auto" w:fill="auto"/>
            <w:vAlign w:val="center"/>
          </w:tcPr>
          <w:p w:rsidR="001B2F8D" w:rsidRPr="004761E0" w:rsidRDefault="001B2F8D" w:rsidP="00AE3E25">
            <w:pPr>
              <w:ind w:firstLine="0"/>
              <w:jc w:val="right"/>
              <w:rPr>
                <w:b/>
                <w:color w:val="000000"/>
                <w:sz w:val="20"/>
                <w:szCs w:val="20"/>
              </w:rPr>
            </w:pPr>
            <w:r w:rsidRPr="004761E0">
              <w:rPr>
                <w:b/>
                <w:color w:val="000000"/>
                <w:sz w:val="20"/>
                <w:szCs w:val="20"/>
              </w:rPr>
              <w:t>40 426</w:t>
            </w:r>
          </w:p>
        </w:tc>
        <w:tc>
          <w:tcPr>
            <w:tcW w:w="1134" w:type="dxa"/>
            <w:tcBorders>
              <w:top w:val="nil"/>
              <w:left w:val="nil"/>
              <w:bottom w:val="single" w:sz="4" w:space="0" w:color="auto"/>
              <w:right w:val="single" w:sz="4" w:space="0" w:color="auto"/>
            </w:tcBorders>
            <w:shd w:val="clear" w:color="auto" w:fill="auto"/>
            <w:vAlign w:val="center"/>
          </w:tcPr>
          <w:p w:rsidR="001B2F8D" w:rsidRPr="004761E0" w:rsidRDefault="001B2F8D" w:rsidP="00AE3E25">
            <w:pPr>
              <w:ind w:firstLine="0"/>
              <w:jc w:val="right"/>
              <w:rPr>
                <w:b/>
                <w:color w:val="000000"/>
                <w:sz w:val="20"/>
                <w:szCs w:val="20"/>
              </w:rPr>
            </w:pPr>
            <w:r w:rsidRPr="004761E0">
              <w:rPr>
                <w:b/>
                <w:color w:val="000000"/>
                <w:sz w:val="20"/>
                <w:szCs w:val="20"/>
              </w:rPr>
              <w:t>52 530</w:t>
            </w:r>
          </w:p>
        </w:tc>
        <w:tc>
          <w:tcPr>
            <w:tcW w:w="1142" w:type="dxa"/>
            <w:tcBorders>
              <w:top w:val="nil"/>
              <w:left w:val="nil"/>
              <w:bottom w:val="single" w:sz="4" w:space="0" w:color="auto"/>
              <w:right w:val="single" w:sz="4" w:space="0" w:color="auto"/>
            </w:tcBorders>
            <w:shd w:val="clear" w:color="auto" w:fill="auto"/>
            <w:vAlign w:val="center"/>
          </w:tcPr>
          <w:p w:rsidR="001B2F8D" w:rsidRPr="004761E0" w:rsidRDefault="001B2F8D" w:rsidP="00AE3E25">
            <w:pPr>
              <w:ind w:firstLine="0"/>
              <w:jc w:val="right"/>
              <w:rPr>
                <w:b/>
                <w:color w:val="000000"/>
                <w:sz w:val="20"/>
                <w:szCs w:val="22"/>
              </w:rPr>
            </w:pPr>
            <w:r w:rsidRPr="004761E0">
              <w:rPr>
                <w:b/>
                <w:color w:val="000000"/>
                <w:sz w:val="20"/>
                <w:szCs w:val="22"/>
              </w:rPr>
              <w:t>57 527</w:t>
            </w:r>
          </w:p>
        </w:tc>
        <w:tc>
          <w:tcPr>
            <w:tcW w:w="1126" w:type="dxa"/>
            <w:tcBorders>
              <w:top w:val="nil"/>
              <w:left w:val="nil"/>
              <w:bottom w:val="single" w:sz="4" w:space="0" w:color="auto"/>
              <w:right w:val="single" w:sz="4" w:space="0" w:color="auto"/>
            </w:tcBorders>
            <w:shd w:val="clear" w:color="auto" w:fill="auto"/>
            <w:vAlign w:val="center"/>
          </w:tcPr>
          <w:p w:rsidR="001B2F8D" w:rsidRPr="004761E0" w:rsidRDefault="001B2F8D" w:rsidP="001B2F8D">
            <w:pPr>
              <w:ind w:firstLine="0"/>
              <w:jc w:val="right"/>
              <w:rPr>
                <w:b/>
                <w:color w:val="000000"/>
                <w:sz w:val="20"/>
                <w:szCs w:val="22"/>
              </w:rPr>
            </w:pPr>
            <w:r w:rsidRPr="004761E0">
              <w:rPr>
                <w:b/>
                <w:color w:val="000000"/>
                <w:sz w:val="20"/>
                <w:szCs w:val="22"/>
              </w:rPr>
              <w:t>9,51 %</w:t>
            </w:r>
          </w:p>
        </w:tc>
      </w:tr>
      <w:tr w:rsidR="001B2F8D" w:rsidRPr="004761E0" w:rsidTr="001B2F8D">
        <w:trPr>
          <w:trHeight w:val="300"/>
        </w:trPr>
        <w:tc>
          <w:tcPr>
            <w:tcW w:w="569" w:type="dxa"/>
            <w:tcBorders>
              <w:top w:val="nil"/>
              <w:left w:val="single" w:sz="4" w:space="0" w:color="auto"/>
              <w:bottom w:val="single" w:sz="4" w:space="0" w:color="auto"/>
              <w:right w:val="single" w:sz="4" w:space="0" w:color="auto"/>
            </w:tcBorders>
            <w:shd w:val="clear" w:color="auto" w:fill="auto"/>
            <w:vAlign w:val="center"/>
            <w:hideMark/>
          </w:tcPr>
          <w:p w:rsidR="001B2F8D" w:rsidRPr="004761E0" w:rsidRDefault="001B2F8D" w:rsidP="007076A7">
            <w:pPr>
              <w:pStyle w:val="a5"/>
              <w:numPr>
                <w:ilvl w:val="1"/>
                <w:numId w:val="158"/>
              </w:numPr>
              <w:jc w:val="left"/>
              <w:rPr>
                <w:rFonts w:eastAsia="Times New Roman"/>
                <w:color w:val="000000"/>
                <w:sz w:val="20"/>
                <w:szCs w:val="20"/>
                <w:lang w:eastAsia="ru-RU"/>
              </w:rPr>
            </w:pPr>
          </w:p>
        </w:tc>
        <w:tc>
          <w:tcPr>
            <w:tcW w:w="4831" w:type="dxa"/>
            <w:tcBorders>
              <w:top w:val="nil"/>
              <w:left w:val="nil"/>
              <w:bottom w:val="single" w:sz="4" w:space="0" w:color="auto"/>
              <w:right w:val="single" w:sz="4" w:space="0" w:color="auto"/>
            </w:tcBorders>
            <w:shd w:val="clear" w:color="auto" w:fill="auto"/>
            <w:vAlign w:val="center"/>
          </w:tcPr>
          <w:p w:rsidR="001B2F8D" w:rsidRPr="004761E0" w:rsidRDefault="001B2F8D" w:rsidP="00D75DF3">
            <w:pPr>
              <w:ind w:left="187" w:firstLine="0"/>
              <w:jc w:val="left"/>
              <w:rPr>
                <w:color w:val="000000"/>
                <w:sz w:val="20"/>
                <w:szCs w:val="20"/>
              </w:rPr>
            </w:pPr>
            <w:r w:rsidRPr="004761E0">
              <w:rPr>
                <w:color w:val="000000"/>
                <w:sz w:val="20"/>
                <w:szCs w:val="20"/>
              </w:rPr>
              <w:t>Кредиты, млн руб. (всего), в. т.ч.:</w:t>
            </w:r>
          </w:p>
        </w:tc>
        <w:tc>
          <w:tcPr>
            <w:tcW w:w="1134" w:type="dxa"/>
            <w:tcBorders>
              <w:top w:val="nil"/>
              <w:left w:val="nil"/>
              <w:bottom w:val="single" w:sz="4" w:space="0" w:color="auto"/>
              <w:right w:val="single" w:sz="4" w:space="0" w:color="auto"/>
            </w:tcBorders>
            <w:shd w:val="clear" w:color="auto" w:fill="auto"/>
            <w:vAlign w:val="center"/>
          </w:tcPr>
          <w:p w:rsidR="001B2F8D" w:rsidRPr="004761E0" w:rsidRDefault="001B2F8D" w:rsidP="001B2F8D">
            <w:pPr>
              <w:ind w:firstLine="0"/>
              <w:jc w:val="right"/>
              <w:rPr>
                <w:color w:val="000000"/>
                <w:sz w:val="18"/>
              </w:rPr>
            </w:pPr>
            <w:r w:rsidRPr="004761E0">
              <w:rPr>
                <w:color w:val="000000"/>
                <w:sz w:val="18"/>
                <w:szCs w:val="22"/>
              </w:rPr>
              <w:t>39 131</w:t>
            </w:r>
          </w:p>
        </w:tc>
        <w:tc>
          <w:tcPr>
            <w:tcW w:w="1134" w:type="dxa"/>
            <w:tcBorders>
              <w:top w:val="nil"/>
              <w:left w:val="nil"/>
              <w:bottom w:val="single" w:sz="4" w:space="0" w:color="auto"/>
              <w:right w:val="single" w:sz="4" w:space="0" w:color="auto"/>
            </w:tcBorders>
            <w:shd w:val="clear" w:color="auto" w:fill="auto"/>
            <w:vAlign w:val="center"/>
          </w:tcPr>
          <w:p w:rsidR="001B2F8D" w:rsidRPr="004761E0" w:rsidRDefault="001B2F8D" w:rsidP="001B2F8D">
            <w:pPr>
              <w:ind w:firstLine="0"/>
              <w:jc w:val="right"/>
              <w:rPr>
                <w:color w:val="000000"/>
                <w:sz w:val="18"/>
              </w:rPr>
            </w:pPr>
            <w:r w:rsidRPr="004761E0">
              <w:rPr>
                <w:color w:val="000000"/>
                <w:sz w:val="18"/>
                <w:szCs w:val="22"/>
              </w:rPr>
              <w:t>42 332</w:t>
            </w:r>
          </w:p>
        </w:tc>
        <w:tc>
          <w:tcPr>
            <w:tcW w:w="1142" w:type="dxa"/>
            <w:tcBorders>
              <w:top w:val="nil"/>
              <w:left w:val="nil"/>
              <w:bottom w:val="single" w:sz="4" w:space="0" w:color="auto"/>
              <w:right w:val="single" w:sz="4" w:space="0" w:color="auto"/>
            </w:tcBorders>
            <w:shd w:val="clear" w:color="auto" w:fill="auto"/>
            <w:vAlign w:val="center"/>
          </w:tcPr>
          <w:p w:rsidR="001B2F8D" w:rsidRPr="004761E0" w:rsidRDefault="001B2F8D" w:rsidP="001B2F8D">
            <w:pPr>
              <w:ind w:firstLine="0"/>
              <w:jc w:val="right"/>
              <w:rPr>
                <w:color w:val="000000"/>
                <w:sz w:val="18"/>
              </w:rPr>
            </w:pPr>
            <w:r w:rsidRPr="004761E0">
              <w:rPr>
                <w:color w:val="000000"/>
                <w:sz w:val="18"/>
                <w:szCs w:val="22"/>
              </w:rPr>
              <w:t>42 165</w:t>
            </w:r>
          </w:p>
        </w:tc>
        <w:tc>
          <w:tcPr>
            <w:tcW w:w="1126" w:type="dxa"/>
            <w:tcBorders>
              <w:top w:val="nil"/>
              <w:left w:val="nil"/>
              <w:bottom w:val="single" w:sz="4" w:space="0" w:color="auto"/>
              <w:right w:val="single" w:sz="4" w:space="0" w:color="auto"/>
            </w:tcBorders>
            <w:shd w:val="clear" w:color="auto" w:fill="auto"/>
            <w:vAlign w:val="center"/>
          </w:tcPr>
          <w:p w:rsidR="001B2F8D" w:rsidRPr="004761E0" w:rsidRDefault="001B2F8D" w:rsidP="001B2F8D">
            <w:pPr>
              <w:ind w:firstLine="0"/>
              <w:jc w:val="right"/>
              <w:rPr>
                <w:color w:val="000000"/>
                <w:sz w:val="20"/>
                <w:szCs w:val="22"/>
              </w:rPr>
            </w:pPr>
            <w:r w:rsidRPr="004761E0">
              <w:rPr>
                <w:color w:val="000000"/>
                <w:sz w:val="20"/>
                <w:szCs w:val="22"/>
              </w:rPr>
              <w:t>-0,39 %</w:t>
            </w:r>
          </w:p>
        </w:tc>
      </w:tr>
      <w:tr w:rsidR="001B2F8D" w:rsidRPr="004761E0" w:rsidTr="001B2F8D">
        <w:trPr>
          <w:trHeight w:val="300"/>
        </w:trPr>
        <w:tc>
          <w:tcPr>
            <w:tcW w:w="569" w:type="dxa"/>
            <w:tcBorders>
              <w:top w:val="nil"/>
              <w:left w:val="single" w:sz="4" w:space="0" w:color="auto"/>
              <w:bottom w:val="single" w:sz="4" w:space="0" w:color="auto"/>
              <w:right w:val="single" w:sz="4" w:space="0" w:color="auto"/>
            </w:tcBorders>
            <w:shd w:val="clear" w:color="auto" w:fill="auto"/>
            <w:vAlign w:val="center"/>
            <w:hideMark/>
          </w:tcPr>
          <w:p w:rsidR="001B2F8D" w:rsidRPr="004761E0" w:rsidRDefault="001B2F8D" w:rsidP="007076A7">
            <w:pPr>
              <w:pStyle w:val="a5"/>
              <w:numPr>
                <w:ilvl w:val="2"/>
                <w:numId w:val="158"/>
              </w:numPr>
              <w:jc w:val="left"/>
              <w:rPr>
                <w:rFonts w:eastAsia="Times New Roman"/>
                <w:color w:val="000000"/>
                <w:sz w:val="20"/>
                <w:szCs w:val="20"/>
                <w:lang w:eastAsia="ru-RU"/>
              </w:rPr>
            </w:pPr>
          </w:p>
        </w:tc>
        <w:tc>
          <w:tcPr>
            <w:tcW w:w="4831" w:type="dxa"/>
            <w:tcBorders>
              <w:top w:val="nil"/>
              <w:left w:val="nil"/>
              <w:bottom w:val="single" w:sz="4" w:space="0" w:color="auto"/>
              <w:right w:val="single" w:sz="4" w:space="0" w:color="auto"/>
            </w:tcBorders>
            <w:shd w:val="clear" w:color="auto" w:fill="auto"/>
            <w:vAlign w:val="center"/>
          </w:tcPr>
          <w:p w:rsidR="001B2F8D" w:rsidRPr="004761E0" w:rsidRDefault="001B2F8D" w:rsidP="00AE3E25">
            <w:pPr>
              <w:ind w:firstLineChars="200" w:firstLine="400"/>
              <w:jc w:val="left"/>
              <w:rPr>
                <w:color w:val="000000"/>
                <w:sz w:val="20"/>
                <w:szCs w:val="20"/>
              </w:rPr>
            </w:pPr>
            <w:r w:rsidRPr="004761E0">
              <w:rPr>
                <w:color w:val="000000"/>
                <w:sz w:val="20"/>
                <w:szCs w:val="20"/>
              </w:rPr>
              <w:t xml:space="preserve">долгосрочные </w:t>
            </w:r>
          </w:p>
        </w:tc>
        <w:tc>
          <w:tcPr>
            <w:tcW w:w="1134" w:type="dxa"/>
            <w:tcBorders>
              <w:top w:val="nil"/>
              <w:left w:val="nil"/>
              <w:bottom w:val="single" w:sz="4" w:space="0" w:color="auto"/>
              <w:right w:val="single" w:sz="4" w:space="0" w:color="auto"/>
            </w:tcBorders>
            <w:shd w:val="clear" w:color="auto" w:fill="auto"/>
            <w:vAlign w:val="center"/>
          </w:tcPr>
          <w:p w:rsidR="001B2F8D" w:rsidRPr="004761E0" w:rsidRDefault="001B2F8D" w:rsidP="001B2F8D">
            <w:pPr>
              <w:ind w:firstLine="0"/>
              <w:jc w:val="right"/>
              <w:rPr>
                <w:color w:val="000000"/>
                <w:sz w:val="18"/>
              </w:rPr>
            </w:pPr>
            <w:r w:rsidRPr="004761E0">
              <w:rPr>
                <w:color w:val="000000"/>
                <w:sz w:val="18"/>
                <w:szCs w:val="22"/>
              </w:rPr>
              <w:t>39 106</w:t>
            </w:r>
          </w:p>
        </w:tc>
        <w:tc>
          <w:tcPr>
            <w:tcW w:w="1134" w:type="dxa"/>
            <w:tcBorders>
              <w:top w:val="nil"/>
              <w:left w:val="nil"/>
              <w:bottom w:val="single" w:sz="4" w:space="0" w:color="auto"/>
              <w:right w:val="single" w:sz="4" w:space="0" w:color="auto"/>
            </w:tcBorders>
            <w:shd w:val="clear" w:color="auto" w:fill="auto"/>
            <w:vAlign w:val="center"/>
          </w:tcPr>
          <w:p w:rsidR="001B2F8D" w:rsidRPr="004761E0" w:rsidRDefault="001B2F8D" w:rsidP="001B2F8D">
            <w:pPr>
              <w:ind w:firstLine="0"/>
              <w:jc w:val="right"/>
              <w:rPr>
                <w:color w:val="000000"/>
                <w:sz w:val="18"/>
              </w:rPr>
            </w:pPr>
            <w:r w:rsidRPr="004761E0">
              <w:rPr>
                <w:color w:val="000000"/>
                <w:sz w:val="18"/>
                <w:szCs w:val="22"/>
              </w:rPr>
              <w:t>39 301</w:t>
            </w:r>
          </w:p>
        </w:tc>
        <w:tc>
          <w:tcPr>
            <w:tcW w:w="1142" w:type="dxa"/>
            <w:tcBorders>
              <w:top w:val="nil"/>
              <w:left w:val="nil"/>
              <w:bottom w:val="single" w:sz="4" w:space="0" w:color="auto"/>
              <w:right w:val="single" w:sz="4" w:space="0" w:color="auto"/>
            </w:tcBorders>
            <w:shd w:val="clear" w:color="auto" w:fill="auto"/>
            <w:vAlign w:val="center"/>
          </w:tcPr>
          <w:p w:rsidR="001B2F8D" w:rsidRPr="004761E0" w:rsidRDefault="001B2F8D" w:rsidP="001B2F8D">
            <w:pPr>
              <w:ind w:firstLine="0"/>
              <w:jc w:val="right"/>
              <w:rPr>
                <w:color w:val="000000"/>
                <w:sz w:val="18"/>
              </w:rPr>
            </w:pPr>
            <w:r w:rsidRPr="004761E0">
              <w:rPr>
                <w:color w:val="000000"/>
                <w:sz w:val="18"/>
                <w:szCs w:val="22"/>
              </w:rPr>
              <w:t>36 721</w:t>
            </w:r>
          </w:p>
        </w:tc>
        <w:tc>
          <w:tcPr>
            <w:tcW w:w="1126" w:type="dxa"/>
            <w:tcBorders>
              <w:top w:val="nil"/>
              <w:left w:val="nil"/>
              <w:bottom w:val="single" w:sz="4" w:space="0" w:color="auto"/>
              <w:right w:val="single" w:sz="4" w:space="0" w:color="auto"/>
            </w:tcBorders>
            <w:shd w:val="clear" w:color="auto" w:fill="auto"/>
            <w:vAlign w:val="center"/>
          </w:tcPr>
          <w:p w:rsidR="001B2F8D" w:rsidRPr="004761E0" w:rsidRDefault="001B2F8D" w:rsidP="001B2F8D">
            <w:pPr>
              <w:ind w:firstLine="0"/>
              <w:jc w:val="right"/>
              <w:rPr>
                <w:color w:val="000000"/>
                <w:sz w:val="20"/>
                <w:szCs w:val="22"/>
              </w:rPr>
            </w:pPr>
            <w:r w:rsidRPr="004761E0">
              <w:rPr>
                <w:color w:val="000000"/>
                <w:sz w:val="20"/>
                <w:szCs w:val="22"/>
              </w:rPr>
              <w:t>-6,56 %</w:t>
            </w:r>
          </w:p>
        </w:tc>
      </w:tr>
      <w:tr w:rsidR="001B2F8D" w:rsidRPr="004761E0" w:rsidTr="001B2F8D">
        <w:trPr>
          <w:trHeight w:val="300"/>
        </w:trPr>
        <w:tc>
          <w:tcPr>
            <w:tcW w:w="569" w:type="dxa"/>
            <w:tcBorders>
              <w:top w:val="nil"/>
              <w:left w:val="single" w:sz="4" w:space="0" w:color="auto"/>
              <w:bottom w:val="single" w:sz="4" w:space="0" w:color="auto"/>
              <w:right w:val="single" w:sz="4" w:space="0" w:color="auto"/>
            </w:tcBorders>
            <w:shd w:val="clear" w:color="auto" w:fill="auto"/>
            <w:vAlign w:val="center"/>
            <w:hideMark/>
          </w:tcPr>
          <w:p w:rsidR="001B2F8D" w:rsidRPr="004761E0" w:rsidRDefault="001B2F8D" w:rsidP="007076A7">
            <w:pPr>
              <w:pStyle w:val="a5"/>
              <w:numPr>
                <w:ilvl w:val="2"/>
                <w:numId w:val="158"/>
              </w:numPr>
              <w:jc w:val="left"/>
              <w:rPr>
                <w:rFonts w:eastAsia="Times New Roman"/>
                <w:color w:val="000000"/>
                <w:sz w:val="20"/>
                <w:szCs w:val="20"/>
                <w:lang w:eastAsia="ru-RU"/>
              </w:rPr>
            </w:pPr>
          </w:p>
        </w:tc>
        <w:tc>
          <w:tcPr>
            <w:tcW w:w="4831" w:type="dxa"/>
            <w:tcBorders>
              <w:top w:val="nil"/>
              <w:left w:val="nil"/>
              <w:bottom w:val="single" w:sz="4" w:space="0" w:color="auto"/>
              <w:right w:val="single" w:sz="4" w:space="0" w:color="auto"/>
            </w:tcBorders>
            <w:shd w:val="clear" w:color="auto" w:fill="auto"/>
            <w:vAlign w:val="center"/>
          </w:tcPr>
          <w:p w:rsidR="001B2F8D" w:rsidRPr="004761E0" w:rsidRDefault="001B2F8D" w:rsidP="00AE3E25">
            <w:pPr>
              <w:ind w:firstLineChars="200" w:firstLine="400"/>
              <w:jc w:val="left"/>
              <w:rPr>
                <w:color w:val="000000"/>
                <w:sz w:val="20"/>
                <w:szCs w:val="20"/>
              </w:rPr>
            </w:pPr>
            <w:r w:rsidRPr="004761E0">
              <w:rPr>
                <w:color w:val="000000"/>
                <w:sz w:val="20"/>
                <w:szCs w:val="20"/>
              </w:rPr>
              <w:t>краткосрочные</w:t>
            </w:r>
          </w:p>
        </w:tc>
        <w:tc>
          <w:tcPr>
            <w:tcW w:w="1134" w:type="dxa"/>
            <w:tcBorders>
              <w:top w:val="nil"/>
              <w:left w:val="nil"/>
              <w:bottom w:val="single" w:sz="4" w:space="0" w:color="auto"/>
              <w:right w:val="single" w:sz="4" w:space="0" w:color="auto"/>
            </w:tcBorders>
            <w:shd w:val="clear" w:color="auto" w:fill="auto"/>
            <w:vAlign w:val="center"/>
          </w:tcPr>
          <w:p w:rsidR="001B2F8D" w:rsidRPr="004761E0" w:rsidRDefault="001B2F8D" w:rsidP="001B2F8D">
            <w:pPr>
              <w:ind w:firstLine="0"/>
              <w:jc w:val="right"/>
              <w:rPr>
                <w:color w:val="000000"/>
                <w:sz w:val="18"/>
              </w:rPr>
            </w:pPr>
            <w:r w:rsidRPr="004761E0">
              <w:rPr>
                <w:color w:val="000000"/>
                <w:sz w:val="18"/>
                <w:szCs w:val="22"/>
              </w:rPr>
              <w:t>25</w:t>
            </w:r>
          </w:p>
        </w:tc>
        <w:tc>
          <w:tcPr>
            <w:tcW w:w="1134" w:type="dxa"/>
            <w:tcBorders>
              <w:top w:val="nil"/>
              <w:left w:val="nil"/>
              <w:bottom w:val="single" w:sz="4" w:space="0" w:color="auto"/>
              <w:right w:val="single" w:sz="4" w:space="0" w:color="auto"/>
            </w:tcBorders>
            <w:shd w:val="clear" w:color="auto" w:fill="auto"/>
            <w:vAlign w:val="center"/>
          </w:tcPr>
          <w:p w:rsidR="001B2F8D" w:rsidRPr="004761E0" w:rsidRDefault="001B2F8D" w:rsidP="001B2F8D">
            <w:pPr>
              <w:ind w:firstLine="0"/>
              <w:jc w:val="right"/>
              <w:rPr>
                <w:color w:val="000000"/>
                <w:sz w:val="18"/>
              </w:rPr>
            </w:pPr>
            <w:r w:rsidRPr="004761E0">
              <w:rPr>
                <w:color w:val="000000"/>
                <w:sz w:val="18"/>
                <w:szCs w:val="22"/>
              </w:rPr>
              <w:t>3 031</w:t>
            </w:r>
          </w:p>
        </w:tc>
        <w:tc>
          <w:tcPr>
            <w:tcW w:w="1142" w:type="dxa"/>
            <w:tcBorders>
              <w:top w:val="nil"/>
              <w:left w:val="nil"/>
              <w:bottom w:val="single" w:sz="4" w:space="0" w:color="auto"/>
              <w:right w:val="single" w:sz="4" w:space="0" w:color="auto"/>
            </w:tcBorders>
            <w:shd w:val="clear" w:color="auto" w:fill="auto"/>
            <w:vAlign w:val="center"/>
          </w:tcPr>
          <w:p w:rsidR="001B2F8D" w:rsidRPr="004761E0" w:rsidRDefault="001B2F8D" w:rsidP="001B2F8D">
            <w:pPr>
              <w:ind w:firstLine="0"/>
              <w:jc w:val="right"/>
              <w:rPr>
                <w:color w:val="000000"/>
                <w:sz w:val="18"/>
              </w:rPr>
            </w:pPr>
            <w:r w:rsidRPr="004761E0">
              <w:rPr>
                <w:color w:val="000000"/>
                <w:sz w:val="18"/>
                <w:szCs w:val="22"/>
              </w:rPr>
              <w:t>5 444</w:t>
            </w:r>
          </w:p>
        </w:tc>
        <w:tc>
          <w:tcPr>
            <w:tcW w:w="1126" w:type="dxa"/>
            <w:tcBorders>
              <w:top w:val="nil"/>
              <w:left w:val="nil"/>
              <w:bottom w:val="single" w:sz="4" w:space="0" w:color="auto"/>
              <w:right w:val="single" w:sz="4" w:space="0" w:color="auto"/>
            </w:tcBorders>
            <w:shd w:val="clear" w:color="auto" w:fill="auto"/>
            <w:vAlign w:val="center"/>
          </w:tcPr>
          <w:p w:rsidR="001B2F8D" w:rsidRPr="004761E0" w:rsidRDefault="001B2F8D" w:rsidP="001B2F8D">
            <w:pPr>
              <w:ind w:firstLine="0"/>
              <w:jc w:val="right"/>
              <w:rPr>
                <w:color w:val="000000"/>
                <w:sz w:val="20"/>
                <w:szCs w:val="22"/>
              </w:rPr>
            </w:pPr>
            <w:r w:rsidRPr="004761E0">
              <w:rPr>
                <w:color w:val="000000"/>
                <w:sz w:val="20"/>
                <w:szCs w:val="22"/>
              </w:rPr>
              <w:t>79,61 %</w:t>
            </w:r>
          </w:p>
        </w:tc>
      </w:tr>
      <w:tr w:rsidR="001B2F8D" w:rsidRPr="004761E0" w:rsidTr="001B2F8D">
        <w:trPr>
          <w:trHeight w:val="300"/>
        </w:trPr>
        <w:tc>
          <w:tcPr>
            <w:tcW w:w="569" w:type="dxa"/>
            <w:tcBorders>
              <w:top w:val="nil"/>
              <w:left w:val="single" w:sz="4" w:space="0" w:color="auto"/>
              <w:bottom w:val="single" w:sz="4" w:space="0" w:color="auto"/>
              <w:right w:val="single" w:sz="4" w:space="0" w:color="auto"/>
            </w:tcBorders>
            <w:shd w:val="clear" w:color="auto" w:fill="auto"/>
            <w:vAlign w:val="center"/>
            <w:hideMark/>
          </w:tcPr>
          <w:p w:rsidR="001B2F8D" w:rsidRPr="004761E0" w:rsidRDefault="001B2F8D" w:rsidP="007076A7">
            <w:pPr>
              <w:pStyle w:val="a5"/>
              <w:numPr>
                <w:ilvl w:val="1"/>
                <w:numId w:val="158"/>
              </w:numPr>
              <w:jc w:val="left"/>
              <w:rPr>
                <w:rFonts w:eastAsia="Times New Roman"/>
                <w:color w:val="000000"/>
                <w:sz w:val="20"/>
                <w:szCs w:val="20"/>
                <w:lang w:eastAsia="ru-RU"/>
              </w:rPr>
            </w:pPr>
          </w:p>
        </w:tc>
        <w:tc>
          <w:tcPr>
            <w:tcW w:w="4831" w:type="dxa"/>
            <w:tcBorders>
              <w:top w:val="nil"/>
              <w:left w:val="nil"/>
              <w:bottom w:val="single" w:sz="4" w:space="0" w:color="auto"/>
              <w:right w:val="single" w:sz="4" w:space="0" w:color="auto"/>
            </w:tcBorders>
            <w:shd w:val="clear" w:color="auto" w:fill="auto"/>
            <w:vAlign w:val="center"/>
          </w:tcPr>
          <w:p w:rsidR="001B2F8D" w:rsidRPr="004761E0" w:rsidRDefault="001B2F8D" w:rsidP="009C65F1">
            <w:pPr>
              <w:ind w:left="187" w:firstLine="0"/>
              <w:jc w:val="left"/>
              <w:rPr>
                <w:color w:val="000000"/>
                <w:sz w:val="20"/>
                <w:szCs w:val="20"/>
              </w:rPr>
            </w:pPr>
            <w:r w:rsidRPr="004761E0">
              <w:rPr>
                <w:color w:val="000000"/>
                <w:sz w:val="20"/>
                <w:szCs w:val="20"/>
              </w:rPr>
              <w:t>Векселя и облигационный заем, млн руб. (всего), в. т.ч.:</w:t>
            </w:r>
          </w:p>
        </w:tc>
        <w:tc>
          <w:tcPr>
            <w:tcW w:w="1134" w:type="dxa"/>
            <w:tcBorders>
              <w:top w:val="nil"/>
              <w:left w:val="nil"/>
              <w:bottom w:val="single" w:sz="4" w:space="0" w:color="auto"/>
              <w:right w:val="single" w:sz="4" w:space="0" w:color="auto"/>
            </w:tcBorders>
            <w:shd w:val="clear" w:color="auto" w:fill="auto"/>
            <w:vAlign w:val="center"/>
          </w:tcPr>
          <w:p w:rsidR="001B2F8D" w:rsidRPr="004761E0" w:rsidRDefault="001B2F8D" w:rsidP="000C0F2C">
            <w:pPr>
              <w:ind w:firstLine="0"/>
              <w:jc w:val="right"/>
              <w:rPr>
                <w:color w:val="000000"/>
                <w:sz w:val="20"/>
              </w:rPr>
            </w:pPr>
            <w:r w:rsidRPr="004761E0">
              <w:rPr>
                <w:color w:val="000000"/>
                <w:sz w:val="20"/>
                <w:szCs w:val="22"/>
              </w:rPr>
              <w:t>1 295</w:t>
            </w:r>
          </w:p>
        </w:tc>
        <w:tc>
          <w:tcPr>
            <w:tcW w:w="1134" w:type="dxa"/>
            <w:tcBorders>
              <w:top w:val="nil"/>
              <w:left w:val="nil"/>
              <w:bottom w:val="single" w:sz="4" w:space="0" w:color="auto"/>
              <w:right w:val="single" w:sz="4" w:space="0" w:color="auto"/>
            </w:tcBorders>
            <w:shd w:val="clear" w:color="auto" w:fill="auto"/>
            <w:vAlign w:val="center"/>
          </w:tcPr>
          <w:p w:rsidR="001B2F8D" w:rsidRPr="004761E0" w:rsidRDefault="001B2F8D" w:rsidP="000C0F2C">
            <w:pPr>
              <w:ind w:firstLine="0"/>
              <w:jc w:val="right"/>
              <w:rPr>
                <w:color w:val="000000"/>
                <w:sz w:val="20"/>
              </w:rPr>
            </w:pPr>
            <w:r w:rsidRPr="004761E0">
              <w:rPr>
                <w:color w:val="000000"/>
                <w:sz w:val="20"/>
                <w:szCs w:val="22"/>
              </w:rPr>
              <w:t>10 198</w:t>
            </w:r>
          </w:p>
        </w:tc>
        <w:tc>
          <w:tcPr>
            <w:tcW w:w="1142" w:type="dxa"/>
            <w:tcBorders>
              <w:top w:val="nil"/>
              <w:left w:val="nil"/>
              <w:bottom w:val="single" w:sz="4" w:space="0" w:color="auto"/>
              <w:right w:val="single" w:sz="4" w:space="0" w:color="auto"/>
            </w:tcBorders>
            <w:shd w:val="clear" w:color="auto" w:fill="auto"/>
            <w:vAlign w:val="center"/>
          </w:tcPr>
          <w:p w:rsidR="001B2F8D" w:rsidRPr="004761E0" w:rsidRDefault="001B2F8D" w:rsidP="000C0F2C">
            <w:pPr>
              <w:ind w:firstLine="0"/>
              <w:jc w:val="right"/>
              <w:rPr>
                <w:color w:val="000000"/>
                <w:sz w:val="20"/>
              </w:rPr>
            </w:pPr>
            <w:r w:rsidRPr="004761E0">
              <w:rPr>
                <w:color w:val="000000"/>
                <w:sz w:val="20"/>
                <w:szCs w:val="22"/>
              </w:rPr>
              <w:t>15 362</w:t>
            </w:r>
          </w:p>
        </w:tc>
        <w:tc>
          <w:tcPr>
            <w:tcW w:w="1126" w:type="dxa"/>
            <w:tcBorders>
              <w:top w:val="nil"/>
              <w:left w:val="nil"/>
              <w:bottom w:val="single" w:sz="4" w:space="0" w:color="auto"/>
              <w:right w:val="single" w:sz="4" w:space="0" w:color="auto"/>
            </w:tcBorders>
            <w:shd w:val="clear" w:color="auto" w:fill="auto"/>
            <w:vAlign w:val="center"/>
          </w:tcPr>
          <w:p w:rsidR="001B2F8D" w:rsidRPr="004761E0" w:rsidRDefault="001B2F8D" w:rsidP="001B2F8D">
            <w:pPr>
              <w:ind w:firstLine="0"/>
              <w:jc w:val="right"/>
              <w:rPr>
                <w:color w:val="000000"/>
                <w:sz w:val="20"/>
                <w:szCs w:val="22"/>
              </w:rPr>
            </w:pPr>
            <w:r w:rsidRPr="004761E0">
              <w:rPr>
                <w:color w:val="000000"/>
                <w:sz w:val="20"/>
                <w:szCs w:val="22"/>
              </w:rPr>
              <w:t>50,64 %</w:t>
            </w:r>
          </w:p>
        </w:tc>
      </w:tr>
      <w:tr w:rsidR="001B2F8D" w:rsidRPr="004761E0" w:rsidTr="001B2F8D">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2F8D" w:rsidRPr="004761E0" w:rsidRDefault="001B2F8D" w:rsidP="007076A7">
            <w:pPr>
              <w:pStyle w:val="a5"/>
              <w:numPr>
                <w:ilvl w:val="1"/>
                <w:numId w:val="158"/>
              </w:numPr>
              <w:jc w:val="left"/>
              <w:rPr>
                <w:rFonts w:eastAsia="Times New Roman"/>
                <w:color w:val="000000"/>
                <w:sz w:val="20"/>
                <w:szCs w:val="20"/>
                <w:lang w:eastAsia="ru-RU"/>
              </w:rPr>
            </w:pPr>
          </w:p>
        </w:tc>
        <w:tc>
          <w:tcPr>
            <w:tcW w:w="4831" w:type="dxa"/>
            <w:tcBorders>
              <w:top w:val="single" w:sz="4" w:space="0" w:color="auto"/>
              <w:left w:val="nil"/>
              <w:bottom w:val="single" w:sz="4" w:space="0" w:color="auto"/>
              <w:right w:val="single" w:sz="4" w:space="0" w:color="auto"/>
            </w:tcBorders>
            <w:shd w:val="clear" w:color="auto" w:fill="auto"/>
            <w:vAlign w:val="center"/>
          </w:tcPr>
          <w:p w:rsidR="001B2F8D" w:rsidRPr="004761E0" w:rsidRDefault="001B2F8D" w:rsidP="00AE3E25">
            <w:pPr>
              <w:ind w:firstLineChars="200" w:firstLine="400"/>
              <w:jc w:val="left"/>
              <w:rPr>
                <w:color w:val="000000"/>
                <w:sz w:val="20"/>
                <w:szCs w:val="20"/>
              </w:rPr>
            </w:pPr>
            <w:r w:rsidRPr="004761E0">
              <w:rPr>
                <w:color w:val="000000"/>
                <w:sz w:val="20"/>
                <w:szCs w:val="20"/>
              </w:rPr>
              <w:t xml:space="preserve">долгосрочные </w:t>
            </w:r>
          </w:p>
        </w:tc>
        <w:tc>
          <w:tcPr>
            <w:tcW w:w="1134" w:type="dxa"/>
            <w:tcBorders>
              <w:top w:val="single" w:sz="4" w:space="0" w:color="auto"/>
              <w:left w:val="nil"/>
              <w:bottom w:val="single" w:sz="4" w:space="0" w:color="auto"/>
              <w:right w:val="single" w:sz="4" w:space="0" w:color="auto"/>
            </w:tcBorders>
            <w:shd w:val="clear" w:color="auto" w:fill="auto"/>
            <w:vAlign w:val="center"/>
          </w:tcPr>
          <w:p w:rsidR="001B2F8D" w:rsidRPr="004761E0" w:rsidRDefault="001B2F8D" w:rsidP="000C0F2C">
            <w:pPr>
              <w:ind w:firstLine="0"/>
              <w:jc w:val="right"/>
              <w:rPr>
                <w:color w:val="000000"/>
                <w:sz w:val="20"/>
              </w:rPr>
            </w:pPr>
            <w:r w:rsidRPr="004761E0">
              <w:rPr>
                <w:color w:val="000000"/>
                <w:sz w:val="20"/>
                <w:szCs w:val="22"/>
              </w:rPr>
              <w:t>0</w:t>
            </w:r>
          </w:p>
        </w:tc>
        <w:tc>
          <w:tcPr>
            <w:tcW w:w="1134" w:type="dxa"/>
            <w:tcBorders>
              <w:top w:val="single" w:sz="4" w:space="0" w:color="auto"/>
              <w:left w:val="nil"/>
              <w:bottom w:val="single" w:sz="4" w:space="0" w:color="auto"/>
              <w:right w:val="single" w:sz="4" w:space="0" w:color="auto"/>
            </w:tcBorders>
            <w:shd w:val="clear" w:color="auto" w:fill="auto"/>
            <w:vAlign w:val="center"/>
          </w:tcPr>
          <w:p w:rsidR="001B2F8D" w:rsidRPr="004761E0" w:rsidRDefault="001B2F8D" w:rsidP="000C0F2C">
            <w:pPr>
              <w:ind w:firstLine="0"/>
              <w:jc w:val="right"/>
              <w:rPr>
                <w:color w:val="000000"/>
                <w:sz w:val="20"/>
              </w:rPr>
            </w:pPr>
            <w:r w:rsidRPr="004761E0">
              <w:rPr>
                <w:color w:val="000000"/>
                <w:sz w:val="20"/>
                <w:szCs w:val="22"/>
              </w:rPr>
              <w:t>10 000</w:t>
            </w:r>
          </w:p>
        </w:tc>
        <w:tc>
          <w:tcPr>
            <w:tcW w:w="1142" w:type="dxa"/>
            <w:tcBorders>
              <w:top w:val="single" w:sz="4" w:space="0" w:color="auto"/>
              <w:left w:val="nil"/>
              <w:bottom w:val="single" w:sz="4" w:space="0" w:color="auto"/>
              <w:right w:val="single" w:sz="4" w:space="0" w:color="auto"/>
            </w:tcBorders>
            <w:shd w:val="clear" w:color="auto" w:fill="auto"/>
            <w:vAlign w:val="center"/>
          </w:tcPr>
          <w:p w:rsidR="001B2F8D" w:rsidRPr="004761E0" w:rsidRDefault="001B2F8D" w:rsidP="000C0F2C">
            <w:pPr>
              <w:ind w:firstLine="0"/>
              <w:jc w:val="right"/>
              <w:rPr>
                <w:color w:val="000000"/>
                <w:sz w:val="20"/>
              </w:rPr>
            </w:pPr>
            <w:r w:rsidRPr="004761E0">
              <w:rPr>
                <w:color w:val="000000"/>
                <w:sz w:val="20"/>
                <w:szCs w:val="22"/>
              </w:rPr>
              <w:t>15 000</w:t>
            </w:r>
          </w:p>
        </w:tc>
        <w:tc>
          <w:tcPr>
            <w:tcW w:w="1126" w:type="dxa"/>
            <w:tcBorders>
              <w:top w:val="single" w:sz="4" w:space="0" w:color="auto"/>
              <w:left w:val="nil"/>
              <w:bottom w:val="single" w:sz="4" w:space="0" w:color="auto"/>
              <w:right w:val="single" w:sz="4" w:space="0" w:color="auto"/>
            </w:tcBorders>
            <w:shd w:val="clear" w:color="auto" w:fill="auto"/>
            <w:vAlign w:val="center"/>
          </w:tcPr>
          <w:p w:rsidR="001B2F8D" w:rsidRPr="004761E0" w:rsidRDefault="001B2F8D" w:rsidP="001B2F8D">
            <w:pPr>
              <w:ind w:firstLine="0"/>
              <w:jc w:val="right"/>
              <w:rPr>
                <w:color w:val="000000"/>
                <w:sz w:val="20"/>
                <w:szCs w:val="22"/>
              </w:rPr>
            </w:pPr>
            <w:r w:rsidRPr="004761E0">
              <w:rPr>
                <w:color w:val="000000"/>
                <w:sz w:val="20"/>
                <w:szCs w:val="22"/>
              </w:rPr>
              <w:t xml:space="preserve">50,00 % </w:t>
            </w:r>
          </w:p>
        </w:tc>
      </w:tr>
      <w:tr w:rsidR="001B2F8D" w:rsidRPr="004761E0" w:rsidTr="001B2F8D">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B2F8D" w:rsidRPr="004761E0" w:rsidRDefault="001B2F8D" w:rsidP="007076A7">
            <w:pPr>
              <w:pStyle w:val="a5"/>
              <w:numPr>
                <w:ilvl w:val="1"/>
                <w:numId w:val="158"/>
              </w:numPr>
              <w:jc w:val="left"/>
              <w:rPr>
                <w:rFonts w:eastAsia="Times New Roman"/>
                <w:color w:val="000000"/>
                <w:sz w:val="20"/>
                <w:szCs w:val="20"/>
                <w:lang w:eastAsia="ru-RU"/>
              </w:rPr>
            </w:pPr>
          </w:p>
        </w:tc>
        <w:tc>
          <w:tcPr>
            <w:tcW w:w="4831" w:type="dxa"/>
            <w:tcBorders>
              <w:top w:val="single" w:sz="4" w:space="0" w:color="auto"/>
              <w:left w:val="nil"/>
              <w:bottom w:val="single" w:sz="4" w:space="0" w:color="auto"/>
              <w:right w:val="single" w:sz="4" w:space="0" w:color="auto"/>
            </w:tcBorders>
            <w:shd w:val="clear" w:color="auto" w:fill="auto"/>
            <w:vAlign w:val="center"/>
          </w:tcPr>
          <w:p w:rsidR="001B2F8D" w:rsidRPr="004761E0" w:rsidRDefault="001B2F8D" w:rsidP="00AE3E25">
            <w:pPr>
              <w:ind w:firstLineChars="200" w:firstLine="400"/>
              <w:jc w:val="left"/>
              <w:rPr>
                <w:color w:val="000000"/>
                <w:sz w:val="20"/>
                <w:szCs w:val="20"/>
              </w:rPr>
            </w:pPr>
            <w:r w:rsidRPr="004761E0">
              <w:rPr>
                <w:color w:val="000000"/>
                <w:sz w:val="20"/>
                <w:szCs w:val="20"/>
              </w:rPr>
              <w:t>краткосрочные</w:t>
            </w:r>
          </w:p>
        </w:tc>
        <w:tc>
          <w:tcPr>
            <w:tcW w:w="1134" w:type="dxa"/>
            <w:tcBorders>
              <w:top w:val="single" w:sz="4" w:space="0" w:color="auto"/>
              <w:left w:val="nil"/>
              <w:bottom w:val="single" w:sz="4" w:space="0" w:color="auto"/>
              <w:right w:val="single" w:sz="4" w:space="0" w:color="auto"/>
            </w:tcBorders>
            <w:shd w:val="clear" w:color="auto" w:fill="auto"/>
            <w:vAlign w:val="center"/>
          </w:tcPr>
          <w:p w:rsidR="001B2F8D" w:rsidRPr="004761E0" w:rsidRDefault="001B2F8D" w:rsidP="000C0F2C">
            <w:pPr>
              <w:ind w:firstLine="0"/>
              <w:jc w:val="right"/>
              <w:rPr>
                <w:color w:val="000000"/>
                <w:sz w:val="20"/>
              </w:rPr>
            </w:pPr>
            <w:r w:rsidRPr="004761E0">
              <w:rPr>
                <w:color w:val="000000"/>
                <w:sz w:val="20"/>
                <w:szCs w:val="22"/>
              </w:rPr>
              <w:t>1 295</w:t>
            </w:r>
          </w:p>
        </w:tc>
        <w:tc>
          <w:tcPr>
            <w:tcW w:w="1134" w:type="dxa"/>
            <w:tcBorders>
              <w:top w:val="single" w:sz="4" w:space="0" w:color="auto"/>
              <w:left w:val="nil"/>
              <w:bottom w:val="single" w:sz="4" w:space="0" w:color="auto"/>
              <w:right w:val="single" w:sz="4" w:space="0" w:color="auto"/>
            </w:tcBorders>
            <w:shd w:val="clear" w:color="auto" w:fill="auto"/>
            <w:vAlign w:val="center"/>
          </w:tcPr>
          <w:p w:rsidR="001B2F8D" w:rsidRPr="004761E0" w:rsidRDefault="001B2F8D" w:rsidP="000C0F2C">
            <w:pPr>
              <w:ind w:firstLine="0"/>
              <w:jc w:val="right"/>
              <w:rPr>
                <w:color w:val="000000"/>
                <w:sz w:val="20"/>
              </w:rPr>
            </w:pPr>
            <w:r w:rsidRPr="004761E0">
              <w:rPr>
                <w:color w:val="000000"/>
                <w:sz w:val="20"/>
                <w:szCs w:val="22"/>
              </w:rPr>
              <w:t>198</w:t>
            </w:r>
          </w:p>
        </w:tc>
        <w:tc>
          <w:tcPr>
            <w:tcW w:w="1142" w:type="dxa"/>
            <w:tcBorders>
              <w:top w:val="single" w:sz="4" w:space="0" w:color="auto"/>
              <w:left w:val="nil"/>
              <w:bottom w:val="single" w:sz="4" w:space="0" w:color="auto"/>
              <w:right w:val="single" w:sz="4" w:space="0" w:color="auto"/>
            </w:tcBorders>
            <w:shd w:val="clear" w:color="auto" w:fill="auto"/>
            <w:vAlign w:val="center"/>
          </w:tcPr>
          <w:p w:rsidR="001B2F8D" w:rsidRPr="004761E0" w:rsidRDefault="001B2F8D" w:rsidP="000C0F2C">
            <w:pPr>
              <w:ind w:firstLine="0"/>
              <w:jc w:val="right"/>
              <w:rPr>
                <w:color w:val="000000"/>
                <w:sz w:val="20"/>
              </w:rPr>
            </w:pPr>
            <w:r w:rsidRPr="004761E0">
              <w:rPr>
                <w:color w:val="000000"/>
                <w:sz w:val="20"/>
                <w:szCs w:val="22"/>
              </w:rPr>
              <w:t>362</w:t>
            </w:r>
          </w:p>
        </w:tc>
        <w:tc>
          <w:tcPr>
            <w:tcW w:w="1126" w:type="dxa"/>
            <w:tcBorders>
              <w:top w:val="single" w:sz="4" w:space="0" w:color="auto"/>
              <w:left w:val="nil"/>
              <w:bottom w:val="single" w:sz="4" w:space="0" w:color="auto"/>
              <w:right w:val="single" w:sz="4" w:space="0" w:color="auto"/>
            </w:tcBorders>
            <w:shd w:val="clear" w:color="auto" w:fill="auto"/>
            <w:vAlign w:val="center"/>
          </w:tcPr>
          <w:p w:rsidR="001B2F8D" w:rsidRPr="004761E0" w:rsidRDefault="001B2F8D" w:rsidP="001B2F8D">
            <w:pPr>
              <w:ind w:firstLine="0"/>
              <w:jc w:val="right"/>
              <w:rPr>
                <w:color w:val="000000"/>
                <w:sz w:val="20"/>
                <w:szCs w:val="22"/>
              </w:rPr>
            </w:pPr>
            <w:r w:rsidRPr="004761E0">
              <w:rPr>
                <w:color w:val="000000"/>
                <w:sz w:val="20"/>
                <w:szCs w:val="22"/>
              </w:rPr>
              <w:t>82,83 %</w:t>
            </w:r>
          </w:p>
        </w:tc>
      </w:tr>
      <w:tr w:rsidR="001B2F8D" w:rsidRPr="004761E0" w:rsidTr="001B2F8D">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1B2F8D" w:rsidRPr="004761E0" w:rsidRDefault="001B2F8D" w:rsidP="007076A7">
            <w:pPr>
              <w:numPr>
                <w:ilvl w:val="0"/>
                <w:numId w:val="158"/>
              </w:numPr>
              <w:jc w:val="left"/>
              <w:rPr>
                <w:rFonts w:eastAsia="Times New Roman"/>
                <w:b/>
                <w:color w:val="000000"/>
                <w:sz w:val="20"/>
                <w:szCs w:val="20"/>
                <w:lang w:eastAsia="ru-RU"/>
              </w:rPr>
            </w:pPr>
          </w:p>
        </w:tc>
        <w:tc>
          <w:tcPr>
            <w:tcW w:w="4831" w:type="dxa"/>
            <w:tcBorders>
              <w:top w:val="single" w:sz="4" w:space="0" w:color="auto"/>
              <w:left w:val="nil"/>
              <w:bottom w:val="single" w:sz="4" w:space="0" w:color="auto"/>
              <w:right w:val="single" w:sz="4" w:space="0" w:color="auto"/>
            </w:tcBorders>
            <w:shd w:val="clear" w:color="auto" w:fill="auto"/>
            <w:vAlign w:val="center"/>
          </w:tcPr>
          <w:p w:rsidR="001B2F8D" w:rsidRPr="004761E0" w:rsidRDefault="001B2F8D" w:rsidP="00AE3E25">
            <w:pPr>
              <w:ind w:firstLine="0"/>
              <w:jc w:val="left"/>
              <w:rPr>
                <w:b/>
                <w:bCs/>
                <w:color w:val="000000"/>
                <w:sz w:val="20"/>
                <w:szCs w:val="20"/>
              </w:rPr>
            </w:pPr>
            <w:r w:rsidRPr="004761E0">
              <w:rPr>
                <w:b/>
                <w:bCs/>
                <w:color w:val="000000"/>
                <w:sz w:val="20"/>
                <w:szCs w:val="20"/>
              </w:rPr>
              <w:t>Обязательства по финансовой аренде</w:t>
            </w:r>
          </w:p>
        </w:tc>
        <w:tc>
          <w:tcPr>
            <w:tcW w:w="1134" w:type="dxa"/>
            <w:tcBorders>
              <w:top w:val="single" w:sz="4" w:space="0" w:color="auto"/>
              <w:left w:val="nil"/>
              <w:bottom w:val="single" w:sz="4" w:space="0" w:color="auto"/>
              <w:right w:val="single" w:sz="4" w:space="0" w:color="auto"/>
            </w:tcBorders>
            <w:shd w:val="clear" w:color="auto" w:fill="auto"/>
            <w:vAlign w:val="center"/>
          </w:tcPr>
          <w:p w:rsidR="001B2F8D" w:rsidRPr="004761E0" w:rsidRDefault="001B2F8D" w:rsidP="00AE3E25">
            <w:pPr>
              <w:ind w:firstLine="0"/>
              <w:jc w:val="right"/>
              <w:rPr>
                <w:b/>
                <w:bCs/>
                <w:color w:val="000000"/>
                <w:sz w:val="20"/>
                <w:szCs w:val="20"/>
              </w:rPr>
            </w:pPr>
            <w:r w:rsidRPr="004761E0">
              <w:rPr>
                <w:b/>
                <w:bCs/>
                <w:color w:val="000000"/>
                <w:sz w:val="20"/>
                <w:szCs w:val="20"/>
              </w:rPr>
              <w:t>6 732</w:t>
            </w:r>
          </w:p>
        </w:tc>
        <w:tc>
          <w:tcPr>
            <w:tcW w:w="1134" w:type="dxa"/>
            <w:tcBorders>
              <w:top w:val="single" w:sz="4" w:space="0" w:color="auto"/>
              <w:left w:val="nil"/>
              <w:bottom w:val="single" w:sz="4" w:space="0" w:color="auto"/>
              <w:right w:val="single" w:sz="4" w:space="0" w:color="auto"/>
            </w:tcBorders>
            <w:shd w:val="clear" w:color="auto" w:fill="auto"/>
            <w:vAlign w:val="center"/>
          </w:tcPr>
          <w:p w:rsidR="001B2F8D" w:rsidRPr="004761E0" w:rsidRDefault="001B2F8D" w:rsidP="00AE3E25">
            <w:pPr>
              <w:ind w:firstLine="0"/>
              <w:jc w:val="right"/>
              <w:rPr>
                <w:b/>
                <w:bCs/>
                <w:color w:val="000000"/>
                <w:sz w:val="20"/>
                <w:szCs w:val="20"/>
              </w:rPr>
            </w:pPr>
            <w:r w:rsidRPr="004761E0">
              <w:rPr>
                <w:b/>
                <w:bCs/>
                <w:color w:val="000000"/>
                <w:sz w:val="20"/>
                <w:szCs w:val="20"/>
              </w:rPr>
              <w:t>2 288</w:t>
            </w:r>
          </w:p>
        </w:tc>
        <w:tc>
          <w:tcPr>
            <w:tcW w:w="1142" w:type="dxa"/>
            <w:tcBorders>
              <w:top w:val="single" w:sz="4" w:space="0" w:color="auto"/>
              <w:left w:val="nil"/>
              <w:bottom w:val="single" w:sz="4" w:space="0" w:color="auto"/>
              <w:right w:val="single" w:sz="4" w:space="0" w:color="auto"/>
            </w:tcBorders>
            <w:shd w:val="clear" w:color="auto" w:fill="auto"/>
            <w:vAlign w:val="center"/>
          </w:tcPr>
          <w:p w:rsidR="001B2F8D" w:rsidRPr="004761E0" w:rsidRDefault="001B2F8D" w:rsidP="00AE3E25">
            <w:pPr>
              <w:ind w:firstLine="0"/>
              <w:jc w:val="right"/>
              <w:rPr>
                <w:b/>
                <w:color w:val="000000"/>
                <w:sz w:val="20"/>
                <w:szCs w:val="22"/>
              </w:rPr>
            </w:pPr>
            <w:r w:rsidRPr="004761E0">
              <w:rPr>
                <w:b/>
                <w:bCs/>
                <w:color w:val="000000"/>
                <w:sz w:val="20"/>
                <w:szCs w:val="22"/>
              </w:rPr>
              <w:t>23</w:t>
            </w:r>
          </w:p>
        </w:tc>
        <w:tc>
          <w:tcPr>
            <w:tcW w:w="1126" w:type="dxa"/>
            <w:tcBorders>
              <w:top w:val="single" w:sz="4" w:space="0" w:color="auto"/>
              <w:left w:val="nil"/>
              <w:bottom w:val="single" w:sz="4" w:space="0" w:color="auto"/>
              <w:right w:val="single" w:sz="4" w:space="0" w:color="auto"/>
            </w:tcBorders>
            <w:shd w:val="clear" w:color="auto" w:fill="auto"/>
            <w:vAlign w:val="center"/>
          </w:tcPr>
          <w:p w:rsidR="001B2F8D" w:rsidRPr="004761E0" w:rsidRDefault="001B2F8D" w:rsidP="001B2F8D">
            <w:pPr>
              <w:ind w:firstLine="0"/>
              <w:jc w:val="right"/>
              <w:rPr>
                <w:b/>
                <w:color w:val="000000"/>
                <w:sz w:val="20"/>
                <w:szCs w:val="22"/>
              </w:rPr>
            </w:pPr>
            <w:r w:rsidRPr="004761E0">
              <w:rPr>
                <w:b/>
                <w:color w:val="000000"/>
                <w:sz w:val="20"/>
                <w:szCs w:val="22"/>
              </w:rPr>
              <w:t>-98,99 %</w:t>
            </w:r>
          </w:p>
        </w:tc>
      </w:tr>
    </w:tbl>
    <w:p w:rsidR="00AE3E25" w:rsidRPr="004761E0" w:rsidRDefault="00AE3E25" w:rsidP="009C65F1">
      <w:pPr>
        <w:spacing w:before="120"/>
        <w:ind w:firstLine="567"/>
        <w:rPr>
          <w:sz w:val="26"/>
          <w:szCs w:val="26"/>
        </w:rPr>
      </w:pPr>
      <w:r w:rsidRPr="004761E0">
        <w:rPr>
          <w:sz w:val="26"/>
          <w:szCs w:val="26"/>
        </w:rPr>
        <w:t xml:space="preserve">В целях рефинансирования текущей задолженности, пополнения оборотных средств, а также финансирования инвестиционной деятельности </w:t>
      </w:r>
      <w:r w:rsidR="009C65F1" w:rsidRPr="004761E0">
        <w:rPr>
          <w:sz w:val="26"/>
          <w:szCs w:val="26"/>
        </w:rPr>
        <w:t>оборудования Обществом в 2013 году</w:t>
      </w:r>
      <w:r w:rsidRPr="004761E0">
        <w:rPr>
          <w:sz w:val="26"/>
          <w:szCs w:val="26"/>
        </w:rPr>
        <w:t xml:space="preserve"> привлечены денежные средства в размере 28 633 млн руб., в т</w:t>
      </w:r>
      <w:r w:rsidR="009C65F1" w:rsidRPr="004761E0">
        <w:rPr>
          <w:sz w:val="26"/>
          <w:szCs w:val="26"/>
        </w:rPr>
        <w:t>.ч.</w:t>
      </w:r>
      <w:r w:rsidRPr="004761E0">
        <w:rPr>
          <w:sz w:val="26"/>
          <w:szCs w:val="26"/>
        </w:rPr>
        <w:t xml:space="preserve"> выпущены облигации в объеме 5 000 млн </w:t>
      </w:r>
      <w:r w:rsidR="009C65F1" w:rsidRPr="004761E0">
        <w:rPr>
          <w:sz w:val="26"/>
          <w:szCs w:val="26"/>
        </w:rPr>
        <w:t>руб.</w:t>
      </w:r>
    </w:p>
    <w:p w:rsidR="000F7D98" w:rsidRPr="004761E0" w:rsidRDefault="000F7D98">
      <w:pPr>
        <w:ind w:firstLine="0"/>
        <w:jc w:val="left"/>
        <w:rPr>
          <w:b/>
          <w:iCs/>
          <w:color w:val="000000"/>
          <w:sz w:val="26"/>
          <w:szCs w:val="26"/>
        </w:rPr>
      </w:pPr>
      <w:r w:rsidRPr="004761E0">
        <w:rPr>
          <w:b/>
          <w:iCs/>
          <w:noProof/>
          <w:color w:val="000000"/>
          <w:sz w:val="26"/>
          <w:szCs w:val="26"/>
          <w:lang w:eastAsia="ru-RU"/>
        </w:rPr>
        <w:drawing>
          <wp:inline distT="0" distB="0" distL="0" distR="0">
            <wp:extent cx="2847975" cy="2790825"/>
            <wp:effectExtent l="0" t="0" r="9525" b="9525"/>
            <wp:docPr id="238" name="Диаграмма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r w:rsidRPr="004761E0">
        <w:rPr>
          <w:b/>
          <w:iCs/>
          <w:color w:val="000000"/>
          <w:sz w:val="26"/>
          <w:szCs w:val="26"/>
        </w:rPr>
        <w:t xml:space="preserve"> </w:t>
      </w:r>
      <w:r w:rsidRPr="004761E0">
        <w:rPr>
          <w:rFonts w:eastAsia="Times New Roman"/>
          <w:noProof/>
          <w:color w:val="000000"/>
          <w:sz w:val="20"/>
          <w:szCs w:val="20"/>
          <w:lang w:eastAsia="ru-RU"/>
        </w:rPr>
        <w:drawing>
          <wp:inline distT="0" distB="0" distL="0" distR="0">
            <wp:extent cx="2847975" cy="2781300"/>
            <wp:effectExtent l="0" t="0" r="9525" b="19050"/>
            <wp:docPr id="239" name="Диаграмма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0F7D98" w:rsidRPr="004761E0" w:rsidRDefault="000F7D98">
      <w:pPr>
        <w:ind w:firstLine="0"/>
        <w:jc w:val="left"/>
        <w:rPr>
          <w:b/>
          <w:iCs/>
          <w:color w:val="000000"/>
          <w:sz w:val="26"/>
          <w:szCs w:val="26"/>
        </w:rPr>
      </w:pPr>
    </w:p>
    <w:p w:rsidR="000F7D98" w:rsidRPr="004761E0" w:rsidRDefault="000F7D98" w:rsidP="009C65F1">
      <w:pPr>
        <w:spacing w:before="120" w:after="120"/>
        <w:ind w:firstLine="567"/>
        <w:rPr>
          <w:b/>
          <w:iCs/>
          <w:color w:val="000000"/>
          <w:sz w:val="26"/>
          <w:szCs w:val="26"/>
        </w:rPr>
        <w:sectPr w:rsidR="000F7D98" w:rsidRPr="004761E0" w:rsidSect="00A232BD">
          <w:pgSz w:w="11907" w:h="16840" w:code="9"/>
          <w:pgMar w:top="1418" w:right="851" w:bottom="720" w:left="1134" w:header="720" w:footer="720" w:gutter="0"/>
          <w:cols w:space="720"/>
          <w:docGrid w:linePitch="326"/>
        </w:sectPr>
      </w:pPr>
    </w:p>
    <w:p w:rsidR="009C65F1" w:rsidRPr="008C0C74" w:rsidRDefault="000F7D98" w:rsidP="008C0C74">
      <w:pPr>
        <w:shd w:val="clear" w:color="auto" w:fill="FFFFFF"/>
        <w:spacing w:before="120" w:after="120"/>
        <w:ind w:firstLine="567"/>
        <w:rPr>
          <w:b/>
          <w:sz w:val="26"/>
          <w:szCs w:val="26"/>
          <w:lang w:eastAsia="ru-RU"/>
        </w:rPr>
      </w:pPr>
      <w:r w:rsidRPr="008C0C74">
        <w:rPr>
          <w:b/>
          <w:sz w:val="26"/>
          <w:szCs w:val="26"/>
          <w:lang w:eastAsia="ru-RU"/>
        </w:rPr>
        <w:lastRenderedPageBreak/>
        <w:t>И</w:t>
      </w:r>
      <w:r w:rsidR="009C65F1" w:rsidRPr="008C0C74">
        <w:rPr>
          <w:b/>
          <w:sz w:val="26"/>
          <w:szCs w:val="26"/>
          <w:lang w:eastAsia="ru-RU"/>
        </w:rPr>
        <w:t>зменени</w:t>
      </w:r>
      <w:r w:rsidRPr="008C0C74">
        <w:rPr>
          <w:b/>
          <w:sz w:val="26"/>
          <w:szCs w:val="26"/>
          <w:lang w:eastAsia="ru-RU"/>
        </w:rPr>
        <w:t>е</w:t>
      </w:r>
      <w:r w:rsidR="009C65F1" w:rsidRPr="008C0C74">
        <w:rPr>
          <w:b/>
          <w:sz w:val="26"/>
          <w:szCs w:val="26"/>
          <w:lang w:eastAsia="ru-RU"/>
        </w:rPr>
        <w:t xml:space="preserve"> кредитного портфеля</w:t>
      </w:r>
      <w:r w:rsidRPr="008C0C74">
        <w:rPr>
          <w:b/>
          <w:sz w:val="26"/>
          <w:szCs w:val="26"/>
          <w:lang w:eastAsia="ru-RU"/>
        </w:rPr>
        <w:t xml:space="preserve"> в 2013 году</w:t>
      </w:r>
    </w:p>
    <w:p w:rsidR="009C65F1" w:rsidRPr="004761E0" w:rsidRDefault="009C65F1" w:rsidP="000F7D98">
      <w:pPr>
        <w:ind w:firstLine="0"/>
        <w:rPr>
          <w:sz w:val="26"/>
          <w:szCs w:val="26"/>
        </w:rPr>
      </w:pPr>
      <w:r w:rsidRPr="004761E0">
        <w:rPr>
          <w:noProof/>
          <w:sz w:val="26"/>
          <w:szCs w:val="26"/>
          <w:lang w:eastAsia="ru-RU"/>
        </w:rPr>
        <w:drawing>
          <wp:inline distT="0" distB="0" distL="0" distR="0">
            <wp:extent cx="5057775" cy="2724150"/>
            <wp:effectExtent l="19050" t="0" r="9525" b="0"/>
            <wp:docPr id="236" name="Диаграмма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0F7D98" w:rsidRPr="004761E0" w:rsidRDefault="000F7D98" w:rsidP="000F7D98">
      <w:pPr>
        <w:spacing w:before="120"/>
        <w:ind w:firstLine="567"/>
        <w:rPr>
          <w:sz w:val="26"/>
          <w:szCs w:val="26"/>
        </w:rPr>
      </w:pPr>
      <w:r w:rsidRPr="004761E0">
        <w:rPr>
          <w:sz w:val="26"/>
          <w:szCs w:val="26"/>
        </w:rPr>
        <w:t>За отчетный период погашены обязательства в сумме 23 806 млн руб., в т.ч. задолженность по овердрафтам в размере 3 061 млн руб. По состоянию на 31.12.2013 задолженность по кредитам и займам с учетом начисленных процентов составила 57 527 млн руб.</w:t>
      </w:r>
    </w:p>
    <w:p w:rsidR="000F7D98" w:rsidRPr="004761E0" w:rsidRDefault="000F7D98" w:rsidP="000F7D98">
      <w:pPr>
        <w:spacing w:before="120"/>
        <w:ind w:firstLine="567"/>
        <w:rPr>
          <w:sz w:val="26"/>
          <w:szCs w:val="26"/>
        </w:rPr>
        <w:sectPr w:rsidR="000F7D98" w:rsidRPr="004761E0" w:rsidSect="000F7D98">
          <w:pgSz w:w="16840" w:h="11907" w:orient="landscape" w:code="9"/>
          <w:pgMar w:top="1134" w:right="1418" w:bottom="851" w:left="720" w:header="720" w:footer="720" w:gutter="0"/>
          <w:cols w:space="720"/>
          <w:docGrid w:linePitch="326"/>
        </w:sectPr>
      </w:pPr>
    </w:p>
    <w:p w:rsidR="00AE3E25" w:rsidRPr="008C0C74" w:rsidRDefault="000F7D98" w:rsidP="008C0C74">
      <w:pPr>
        <w:spacing w:before="120" w:after="120"/>
        <w:ind w:firstLine="567"/>
        <w:rPr>
          <w:b/>
          <w:iCs/>
          <w:color w:val="000000"/>
          <w:sz w:val="26"/>
          <w:szCs w:val="26"/>
        </w:rPr>
      </w:pPr>
      <w:r w:rsidRPr="008C0C74">
        <w:rPr>
          <w:b/>
          <w:sz w:val="26"/>
          <w:szCs w:val="26"/>
          <w:lang w:eastAsia="ru-RU"/>
        </w:rPr>
        <w:lastRenderedPageBreak/>
        <w:t>Структура кредитного портфеля по состоянию на 31.12.2013</w:t>
      </w:r>
      <w:r w:rsidRPr="006F4AB8">
        <w:rPr>
          <w:rStyle w:val="af1"/>
        </w:rPr>
        <w:footnoteReference w:id="67"/>
      </w:r>
    </w:p>
    <w:tbl>
      <w:tblPr>
        <w:tblW w:w="9936" w:type="dxa"/>
        <w:tblInd w:w="95" w:type="dxa"/>
        <w:tblLayout w:type="fixed"/>
        <w:tblLook w:val="04A0"/>
      </w:tblPr>
      <w:tblGrid>
        <w:gridCol w:w="548"/>
        <w:gridCol w:w="3293"/>
        <w:gridCol w:w="2126"/>
        <w:gridCol w:w="1984"/>
        <w:gridCol w:w="1985"/>
      </w:tblGrid>
      <w:tr w:rsidR="000F7D98" w:rsidRPr="004761E0" w:rsidTr="000F7D98">
        <w:trPr>
          <w:trHeight w:val="300"/>
        </w:trPr>
        <w:tc>
          <w:tcPr>
            <w:tcW w:w="548"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0F7D98" w:rsidRPr="004761E0" w:rsidRDefault="000F7D98" w:rsidP="001B3AA0">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329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0F7D98" w:rsidRPr="004761E0" w:rsidRDefault="000F7D98" w:rsidP="000F7D98">
            <w:pPr>
              <w:ind w:firstLine="0"/>
              <w:jc w:val="left"/>
              <w:rPr>
                <w:b/>
                <w:sz w:val="20"/>
                <w:szCs w:val="20"/>
              </w:rPr>
            </w:pPr>
            <w:r w:rsidRPr="004761E0">
              <w:rPr>
                <w:rFonts w:eastAsia="Times New Roman"/>
                <w:b/>
                <w:color w:val="FFFFFF" w:themeColor="background1"/>
                <w:sz w:val="20"/>
                <w:szCs w:val="20"/>
                <w:lang w:eastAsia="ru-RU"/>
              </w:rPr>
              <w:t>Наименование кредитора</w:t>
            </w:r>
          </w:p>
        </w:tc>
        <w:tc>
          <w:tcPr>
            <w:tcW w:w="212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bottom"/>
          </w:tcPr>
          <w:p w:rsidR="000F7D98" w:rsidRPr="004761E0" w:rsidRDefault="000F7D98" w:rsidP="000F7D98">
            <w:pPr>
              <w:ind w:firstLine="0"/>
              <w:jc w:val="right"/>
              <w:rPr>
                <w:b/>
                <w:color w:val="FFFFFF" w:themeColor="background1"/>
                <w:sz w:val="20"/>
                <w:szCs w:val="26"/>
              </w:rPr>
            </w:pPr>
            <w:r w:rsidRPr="004761E0">
              <w:rPr>
                <w:b/>
                <w:color w:val="FFFFFF" w:themeColor="background1"/>
                <w:sz w:val="20"/>
                <w:szCs w:val="26"/>
              </w:rPr>
              <w:t>Средневзвешенная ставка, %</w:t>
            </w:r>
          </w:p>
        </w:tc>
        <w:tc>
          <w:tcPr>
            <w:tcW w:w="198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bottom"/>
          </w:tcPr>
          <w:p w:rsidR="000F7D98" w:rsidRPr="004761E0" w:rsidRDefault="000F7D98" w:rsidP="000F7D98">
            <w:pPr>
              <w:ind w:firstLine="0"/>
              <w:jc w:val="right"/>
              <w:rPr>
                <w:b/>
                <w:color w:val="FFFFFF" w:themeColor="background1"/>
                <w:sz w:val="20"/>
                <w:szCs w:val="26"/>
              </w:rPr>
            </w:pPr>
            <w:r w:rsidRPr="004761E0">
              <w:rPr>
                <w:b/>
                <w:color w:val="FFFFFF" w:themeColor="background1"/>
                <w:sz w:val="20"/>
                <w:szCs w:val="26"/>
              </w:rPr>
              <w:t>Срок действия кредитного договора, год</w:t>
            </w:r>
          </w:p>
        </w:tc>
        <w:tc>
          <w:tcPr>
            <w:tcW w:w="1985"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bottom"/>
          </w:tcPr>
          <w:p w:rsidR="000F7D98" w:rsidRPr="004761E0" w:rsidRDefault="000F7D98" w:rsidP="000F7D98">
            <w:pPr>
              <w:ind w:firstLine="0"/>
              <w:jc w:val="right"/>
              <w:rPr>
                <w:b/>
                <w:color w:val="FFFFFF" w:themeColor="background1"/>
                <w:sz w:val="20"/>
                <w:szCs w:val="26"/>
              </w:rPr>
            </w:pPr>
            <w:r w:rsidRPr="004761E0">
              <w:rPr>
                <w:b/>
                <w:color w:val="FFFFFF" w:themeColor="background1"/>
                <w:sz w:val="20"/>
                <w:szCs w:val="26"/>
              </w:rPr>
              <w:t>Ссудная задолженность, млн руб.</w:t>
            </w:r>
          </w:p>
        </w:tc>
      </w:tr>
      <w:tr w:rsidR="00DF56C1" w:rsidRPr="004761E0" w:rsidTr="000F7D98">
        <w:trPr>
          <w:trHeight w:val="300"/>
        </w:trPr>
        <w:tc>
          <w:tcPr>
            <w:tcW w:w="548" w:type="dxa"/>
            <w:tcBorders>
              <w:top w:val="nil"/>
              <w:left w:val="single" w:sz="4" w:space="0" w:color="auto"/>
              <w:bottom w:val="single" w:sz="4" w:space="0" w:color="auto"/>
              <w:right w:val="single" w:sz="4" w:space="0" w:color="auto"/>
            </w:tcBorders>
            <w:shd w:val="clear" w:color="auto" w:fill="auto"/>
            <w:vAlign w:val="center"/>
          </w:tcPr>
          <w:p w:rsidR="00DF56C1" w:rsidRPr="004761E0" w:rsidRDefault="00DF56C1" w:rsidP="007076A7">
            <w:pPr>
              <w:numPr>
                <w:ilvl w:val="0"/>
                <w:numId w:val="159"/>
              </w:numPr>
              <w:jc w:val="left"/>
              <w:rPr>
                <w:rFonts w:eastAsia="Times New Roman"/>
                <w:b/>
                <w:color w:val="000000"/>
                <w:sz w:val="20"/>
                <w:szCs w:val="20"/>
                <w:lang w:eastAsia="ru-RU"/>
              </w:rPr>
            </w:pPr>
          </w:p>
        </w:tc>
        <w:tc>
          <w:tcPr>
            <w:tcW w:w="3293" w:type="dxa"/>
            <w:tcBorders>
              <w:top w:val="nil"/>
              <w:left w:val="nil"/>
              <w:bottom w:val="single" w:sz="4" w:space="0" w:color="auto"/>
              <w:right w:val="single" w:sz="4" w:space="0" w:color="auto"/>
            </w:tcBorders>
            <w:shd w:val="clear" w:color="auto" w:fill="auto"/>
            <w:vAlign w:val="center"/>
          </w:tcPr>
          <w:p w:rsidR="00DF56C1" w:rsidRPr="004761E0" w:rsidRDefault="00DF56C1" w:rsidP="00CF70F8">
            <w:pPr>
              <w:ind w:firstLine="0"/>
              <w:jc w:val="left"/>
              <w:rPr>
                <w:color w:val="000000"/>
                <w:sz w:val="20"/>
                <w:szCs w:val="26"/>
              </w:rPr>
            </w:pPr>
            <w:r w:rsidRPr="004761E0">
              <w:rPr>
                <w:color w:val="000000"/>
                <w:sz w:val="20"/>
                <w:szCs w:val="26"/>
              </w:rPr>
              <w:t>Кредитор 1</w:t>
            </w:r>
          </w:p>
        </w:tc>
        <w:tc>
          <w:tcPr>
            <w:tcW w:w="2126" w:type="dxa"/>
            <w:tcBorders>
              <w:top w:val="nil"/>
              <w:left w:val="nil"/>
              <w:bottom w:val="single" w:sz="4" w:space="0" w:color="auto"/>
              <w:right w:val="single" w:sz="4" w:space="0" w:color="auto"/>
            </w:tcBorders>
            <w:shd w:val="clear" w:color="auto" w:fill="auto"/>
            <w:vAlign w:val="center"/>
          </w:tcPr>
          <w:p w:rsidR="00DF56C1" w:rsidRPr="004761E0" w:rsidRDefault="00DF56C1" w:rsidP="00CF70F8">
            <w:pPr>
              <w:ind w:firstLine="0"/>
              <w:jc w:val="right"/>
              <w:rPr>
                <w:color w:val="000000"/>
                <w:sz w:val="20"/>
                <w:szCs w:val="26"/>
              </w:rPr>
            </w:pPr>
            <w:r w:rsidRPr="004761E0">
              <w:rPr>
                <w:color w:val="000000"/>
                <w:sz w:val="20"/>
                <w:szCs w:val="26"/>
              </w:rPr>
              <w:t>7,83</w:t>
            </w:r>
          </w:p>
        </w:tc>
        <w:tc>
          <w:tcPr>
            <w:tcW w:w="1984" w:type="dxa"/>
            <w:tcBorders>
              <w:top w:val="nil"/>
              <w:left w:val="nil"/>
              <w:bottom w:val="single" w:sz="4" w:space="0" w:color="auto"/>
              <w:right w:val="single" w:sz="4" w:space="0" w:color="auto"/>
            </w:tcBorders>
            <w:shd w:val="clear" w:color="auto" w:fill="auto"/>
            <w:vAlign w:val="center"/>
          </w:tcPr>
          <w:p w:rsidR="00DF56C1" w:rsidRPr="004761E0" w:rsidRDefault="00DF56C1" w:rsidP="00CF70F8">
            <w:pPr>
              <w:ind w:firstLine="0"/>
              <w:jc w:val="right"/>
              <w:rPr>
                <w:color w:val="000000"/>
                <w:sz w:val="20"/>
                <w:szCs w:val="26"/>
              </w:rPr>
            </w:pPr>
            <w:r w:rsidRPr="004761E0">
              <w:rPr>
                <w:color w:val="000000"/>
                <w:sz w:val="20"/>
                <w:szCs w:val="26"/>
              </w:rPr>
              <w:t>2020</w:t>
            </w:r>
          </w:p>
        </w:tc>
        <w:tc>
          <w:tcPr>
            <w:tcW w:w="1985" w:type="dxa"/>
            <w:tcBorders>
              <w:top w:val="nil"/>
              <w:left w:val="nil"/>
              <w:bottom w:val="single" w:sz="4" w:space="0" w:color="auto"/>
              <w:right w:val="single" w:sz="4" w:space="0" w:color="auto"/>
            </w:tcBorders>
            <w:shd w:val="clear" w:color="auto" w:fill="auto"/>
            <w:vAlign w:val="center"/>
          </w:tcPr>
          <w:p w:rsidR="00DF56C1" w:rsidRPr="004761E0" w:rsidRDefault="00DF56C1" w:rsidP="00CF70F8">
            <w:pPr>
              <w:ind w:firstLine="0"/>
              <w:jc w:val="right"/>
              <w:rPr>
                <w:color w:val="000000"/>
                <w:sz w:val="20"/>
                <w:szCs w:val="26"/>
              </w:rPr>
            </w:pPr>
            <w:r w:rsidRPr="004761E0">
              <w:rPr>
                <w:color w:val="000000"/>
                <w:sz w:val="20"/>
                <w:szCs w:val="26"/>
              </w:rPr>
              <w:t>34 110</w:t>
            </w:r>
          </w:p>
        </w:tc>
      </w:tr>
      <w:tr w:rsidR="00DF56C1" w:rsidRPr="004761E0" w:rsidTr="000F7D98">
        <w:trPr>
          <w:trHeight w:val="300"/>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F56C1" w:rsidRPr="004761E0" w:rsidRDefault="00DF56C1" w:rsidP="007076A7">
            <w:pPr>
              <w:numPr>
                <w:ilvl w:val="0"/>
                <w:numId w:val="159"/>
              </w:numPr>
              <w:jc w:val="left"/>
              <w:rPr>
                <w:rFonts w:eastAsia="Times New Roman"/>
                <w:b/>
                <w:color w:val="000000"/>
                <w:sz w:val="20"/>
                <w:szCs w:val="20"/>
                <w:lang w:eastAsia="ru-RU"/>
              </w:rPr>
            </w:pPr>
          </w:p>
        </w:tc>
        <w:tc>
          <w:tcPr>
            <w:tcW w:w="3293" w:type="dxa"/>
            <w:tcBorders>
              <w:top w:val="nil"/>
              <w:left w:val="nil"/>
              <w:bottom w:val="single" w:sz="4" w:space="0" w:color="auto"/>
              <w:right w:val="single" w:sz="4" w:space="0" w:color="auto"/>
            </w:tcBorders>
            <w:shd w:val="clear" w:color="auto" w:fill="auto"/>
            <w:vAlign w:val="center"/>
          </w:tcPr>
          <w:p w:rsidR="00DF56C1" w:rsidRPr="004761E0" w:rsidRDefault="00DF56C1" w:rsidP="00CF70F8">
            <w:pPr>
              <w:ind w:firstLine="0"/>
              <w:jc w:val="left"/>
              <w:rPr>
                <w:sz w:val="20"/>
                <w:szCs w:val="26"/>
              </w:rPr>
            </w:pPr>
            <w:r w:rsidRPr="004761E0">
              <w:rPr>
                <w:color w:val="000000"/>
                <w:sz w:val="20"/>
                <w:szCs w:val="26"/>
              </w:rPr>
              <w:t>Кредитор 2</w:t>
            </w:r>
          </w:p>
        </w:tc>
        <w:tc>
          <w:tcPr>
            <w:tcW w:w="2126" w:type="dxa"/>
            <w:tcBorders>
              <w:top w:val="nil"/>
              <w:left w:val="nil"/>
              <w:bottom w:val="single" w:sz="4" w:space="0" w:color="auto"/>
              <w:right w:val="single" w:sz="4" w:space="0" w:color="auto"/>
            </w:tcBorders>
            <w:shd w:val="clear" w:color="auto" w:fill="auto"/>
            <w:vAlign w:val="center"/>
          </w:tcPr>
          <w:p w:rsidR="00DF56C1" w:rsidRPr="004761E0" w:rsidRDefault="00DF56C1" w:rsidP="00CF70F8">
            <w:pPr>
              <w:ind w:firstLine="0"/>
              <w:jc w:val="right"/>
              <w:rPr>
                <w:color w:val="000000"/>
                <w:sz w:val="20"/>
                <w:szCs w:val="26"/>
              </w:rPr>
            </w:pPr>
            <w:r w:rsidRPr="004761E0">
              <w:rPr>
                <w:color w:val="000000"/>
                <w:sz w:val="20"/>
                <w:szCs w:val="26"/>
              </w:rPr>
              <w:t>8,5</w:t>
            </w:r>
          </w:p>
        </w:tc>
        <w:tc>
          <w:tcPr>
            <w:tcW w:w="1984" w:type="dxa"/>
            <w:tcBorders>
              <w:top w:val="nil"/>
              <w:left w:val="nil"/>
              <w:bottom w:val="single" w:sz="4" w:space="0" w:color="auto"/>
              <w:right w:val="single" w:sz="4" w:space="0" w:color="auto"/>
            </w:tcBorders>
            <w:shd w:val="clear" w:color="auto" w:fill="auto"/>
            <w:vAlign w:val="center"/>
          </w:tcPr>
          <w:p w:rsidR="00DF56C1" w:rsidRPr="004761E0" w:rsidRDefault="00DF56C1" w:rsidP="00CF70F8">
            <w:pPr>
              <w:ind w:firstLine="0"/>
              <w:jc w:val="right"/>
              <w:rPr>
                <w:color w:val="000000"/>
                <w:sz w:val="20"/>
                <w:szCs w:val="26"/>
              </w:rPr>
            </w:pPr>
            <w:r w:rsidRPr="004761E0">
              <w:rPr>
                <w:color w:val="000000"/>
                <w:sz w:val="20"/>
                <w:szCs w:val="26"/>
              </w:rPr>
              <w:t>2018</w:t>
            </w:r>
          </w:p>
        </w:tc>
        <w:tc>
          <w:tcPr>
            <w:tcW w:w="1985" w:type="dxa"/>
            <w:tcBorders>
              <w:top w:val="nil"/>
              <w:left w:val="nil"/>
              <w:bottom w:val="single" w:sz="4" w:space="0" w:color="auto"/>
              <w:right w:val="single" w:sz="4" w:space="0" w:color="auto"/>
            </w:tcBorders>
            <w:shd w:val="clear" w:color="auto" w:fill="auto"/>
            <w:vAlign w:val="center"/>
          </w:tcPr>
          <w:p w:rsidR="00DF56C1" w:rsidRPr="004761E0" w:rsidRDefault="00DF56C1" w:rsidP="00CF70F8">
            <w:pPr>
              <w:ind w:firstLine="0"/>
              <w:jc w:val="right"/>
              <w:rPr>
                <w:color w:val="000000"/>
                <w:sz w:val="20"/>
                <w:szCs w:val="26"/>
              </w:rPr>
            </w:pPr>
            <w:r w:rsidRPr="004761E0">
              <w:rPr>
                <w:color w:val="000000"/>
                <w:sz w:val="20"/>
                <w:szCs w:val="26"/>
              </w:rPr>
              <w:t>8 003</w:t>
            </w:r>
          </w:p>
        </w:tc>
      </w:tr>
      <w:tr w:rsidR="00DF56C1" w:rsidRPr="004761E0" w:rsidTr="000F7D98">
        <w:trPr>
          <w:trHeight w:val="300"/>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F56C1" w:rsidRPr="004761E0" w:rsidRDefault="00DF56C1" w:rsidP="007076A7">
            <w:pPr>
              <w:numPr>
                <w:ilvl w:val="0"/>
                <w:numId w:val="159"/>
              </w:numPr>
              <w:jc w:val="left"/>
              <w:rPr>
                <w:rFonts w:eastAsia="Times New Roman"/>
                <w:b/>
                <w:color w:val="000000"/>
                <w:sz w:val="20"/>
                <w:szCs w:val="20"/>
                <w:lang w:eastAsia="ru-RU"/>
              </w:rPr>
            </w:pPr>
          </w:p>
        </w:tc>
        <w:tc>
          <w:tcPr>
            <w:tcW w:w="3293" w:type="dxa"/>
            <w:tcBorders>
              <w:top w:val="nil"/>
              <w:left w:val="nil"/>
              <w:bottom w:val="single" w:sz="4" w:space="0" w:color="auto"/>
              <w:right w:val="single" w:sz="4" w:space="0" w:color="auto"/>
            </w:tcBorders>
            <w:shd w:val="clear" w:color="auto" w:fill="auto"/>
            <w:vAlign w:val="center"/>
          </w:tcPr>
          <w:p w:rsidR="00DF56C1" w:rsidRPr="004761E0" w:rsidRDefault="00DF56C1" w:rsidP="00CF70F8">
            <w:pPr>
              <w:ind w:firstLine="0"/>
              <w:jc w:val="left"/>
              <w:rPr>
                <w:sz w:val="20"/>
                <w:szCs w:val="26"/>
              </w:rPr>
            </w:pPr>
            <w:r>
              <w:rPr>
                <w:color w:val="000000"/>
                <w:sz w:val="20"/>
                <w:szCs w:val="26"/>
              </w:rPr>
              <w:t>Облигационные займы</w:t>
            </w:r>
          </w:p>
        </w:tc>
        <w:tc>
          <w:tcPr>
            <w:tcW w:w="2126" w:type="dxa"/>
            <w:tcBorders>
              <w:top w:val="nil"/>
              <w:left w:val="nil"/>
              <w:bottom w:val="single" w:sz="4" w:space="0" w:color="auto"/>
              <w:right w:val="single" w:sz="4" w:space="0" w:color="auto"/>
            </w:tcBorders>
            <w:shd w:val="clear" w:color="auto" w:fill="auto"/>
            <w:vAlign w:val="center"/>
          </w:tcPr>
          <w:p w:rsidR="00DF56C1" w:rsidRPr="004761E0" w:rsidRDefault="00DF56C1" w:rsidP="00CF70F8">
            <w:pPr>
              <w:ind w:firstLine="0"/>
              <w:jc w:val="right"/>
              <w:rPr>
                <w:color w:val="000000"/>
                <w:sz w:val="20"/>
                <w:szCs w:val="26"/>
              </w:rPr>
            </w:pPr>
            <w:r w:rsidRPr="004761E0">
              <w:rPr>
                <w:color w:val="000000"/>
                <w:sz w:val="20"/>
                <w:szCs w:val="26"/>
              </w:rPr>
              <w:t>8,7</w:t>
            </w:r>
          </w:p>
        </w:tc>
        <w:tc>
          <w:tcPr>
            <w:tcW w:w="1984" w:type="dxa"/>
            <w:tcBorders>
              <w:top w:val="nil"/>
              <w:left w:val="nil"/>
              <w:bottom w:val="single" w:sz="4" w:space="0" w:color="auto"/>
              <w:right w:val="single" w:sz="4" w:space="0" w:color="auto"/>
            </w:tcBorders>
            <w:shd w:val="clear" w:color="auto" w:fill="auto"/>
            <w:vAlign w:val="center"/>
          </w:tcPr>
          <w:p w:rsidR="00DF56C1" w:rsidRPr="004761E0" w:rsidRDefault="00DF56C1" w:rsidP="00CF70F8">
            <w:pPr>
              <w:ind w:firstLine="0"/>
              <w:jc w:val="right"/>
              <w:rPr>
                <w:color w:val="000000"/>
                <w:sz w:val="20"/>
                <w:szCs w:val="26"/>
              </w:rPr>
            </w:pPr>
            <w:r w:rsidRPr="004761E0">
              <w:rPr>
                <w:color w:val="000000"/>
                <w:sz w:val="20"/>
                <w:szCs w:val="26"/>
              </w:rPr>
              <w:t>2016</w:t>
            </w:r>
          </w:p>
        </w:tc>
        <w:tc>
          <w:tcPr>
            <w:tcW w:w="1985" w:type="dxa"/>
            <w:tcBorders>
              <w:top w:val="nil"/>
              <w:left w:val="nil"/>
              <w:bottom w:val="single" w:sz="4" w:space="0" w:color="auto"/>
              <w:right w:val="single" w:sz="4" w:space="0" w:color="auto"/>
            </w:tcBorders>
            <w:shd w:val="clear" w:color="auto" w:fill="auto"/>
            <w:vAlign w:val="center"/>
          </w:tcPr>
          <w:p w:rsidR="00DF56C1" w:rsidRPr="004761E0" w:rsidRDefault="00DF56C1" w:rsidP="00CF70F8">
            <w:pPr>
              <w:ind w:firstLine="0"/>
              <w:jc w:val="right"/>
              <w:rPr>
                <w:color w:val="000000"/>
                <w:sz w:val="20"/>
                <w:szCs w:val="26"/>
              </w:rPr>
            </w:pPr>
            <w:r w:rsidRPr="004761E0">
              <w:rPr>
                <w:color w:val="000000"/>
                <w:sz w:val="20"/>
                <w:szCs w:val="26"/>
              </w:rPr>
              <w:t>15 362</w:t>
            </w:r>
          </w:p>
        </w:tc>
      </w:tr>
      <w:tr w:rsidR="00DF56C1" w:rsidRPr="004761E0" w:rsidTr="000F7D98">
        <w:trPr>
          <w:trHeight w:val="300"/>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F56C1" w:rsidRPr="004761E0" w:rsidRDefault="00DF56C1" w:rsidP="007076A7">
            <w:pPr>
              <w:numPr>
                <w:ilvl w:val="0"/>
                <w:numId w:val="159"/>
              </w:numPr>
              <w:jc w:val="left"/>
              <w:rPr>
                <w:rFonts w:eastAsia="Times New Roman"/>
                <w:b/>
                <w:color w:val="000000"/>
                <w:sz w:val="20"/>
                <w:szCs w:val="20"/>
                <w:lang w:eastAsia="ru-RU"/>
              </w:rPr>
            </w:pPr>
          </w:p>
        </w:tc>
        <w:tc>
          <w:tcPr>
            <w:tcW w:w="3293" w:type="dxa"/>
            <w:tcBorders>
              <w:top w:val="nil"/>
              <w:left w:val="nil"/>
              <w:bottom w:val="single" w:sz="4" w:space="0" w:color="auto"/>
              <w:right w:val="single" w:sz="4" w:space="0" w:color="auto"/>
            </w:tcBorders>
            <w:shd w:val="clear" w:color="auto" w:fill="auto"/>
            <w:vAlign w:val="center"/>
          </w:tcPr>
          <w:p w:rsidR="00DF56C1" w:rsidRPr="004761E0" w:rsidRDefault="00DF56C1" w:rsidP="00CF70F8">
            <w:pPr>
              <w:ind w:firstLine="0"/>
              <w:jc w:val="left"/>
              <w:rPr>
                <w:sz w:val="20"/>
                <w:szCs w:val="26"/>
              </w:rPr>
            </w:pPr>
            <w:r>
              <w:rPr>
                <w:color w:val="000000"/>
                <w:sz w:val="20"/>
                <w:szCs w:val="26"/>
              </w:rPr>
              <w:t>Овердрафт</w:t>
            </w:r>
          </w:p>
        </w:tc>
        <w:tc>
          <w:tcPr>
            <w:tcW w:w="2126" w:type="dxa"/>
            <w:tcBorders>
              <w:top w:val="nil"/>
              <w:left w:val="nil"/>
              <w:bottom w:val="single" w:sz="4" w:space="0" w:color="auto"/>
              <w:right w:val="single" w:sz="4" w:space="0" w:color="auto"/>
            </w:tcBorders>
            <w:shd w:val="clear" w:color="auto" w:fill="auto"/>
            <w:vAlign w:val="center"/>
          </w:tcPr>
          <w:p w:rsidR="00DF56C1" w:rsidRPr="004761E0" w:rsidRDefault="00DF56C1" w:rsidP="00CF70F8">
            <w:pPr>
              <w:ind w:firstLine="0"/>
              <w:jc w:val="right"/>
              <w:rPr>
                <w:color w:val="000000"/>
                <w:sz w:val="20"/>
                <w:szCs w:val="26"/>
              </w:rPr>
            </w:pPr>
            <w:r w:rsidRPr="004761E0">
              <w:rPr>
                <w:color w:val="000000"/>
                <w:sz w:val="20"/>
                <w:szCs w:val="26"/>
              </w:rPr>
              <w:t>7,94</w:t>
            </w:r>
          </w:p>
        </w:tc>
        <w:tc>
          <w:tcPr>
            <w:tcW w:w="1984" w:type="dxa"/>
            <w:tcBorders>
              <w:top w:val="nil"/>
              <w:left w:val="nil"/>
              <w:bottom w:val="single" w:sz="4" w:space="0" w:color="auto"/>
              <w:right w:val="single" w:sz="4" w:space="0" w:color="auto"/>
            </w:tcBorders>
            <w:shd w:val="clear" w:color="auto" w:fill="auto"/>
            <w:vAlign w:val="center"/>
          </w:tcPr>
          <w:p w:rsidR="00DF56C1" w:rsidRPr="004761E0" w:rsidRDefault="00DF56C1" w:rsidP="00CF70F8">
            <w:pPr>
              <w:ind w:firstLine="0"/>
              <w:jc w:val="right"/>
              <w:rPr>
                <w:color w:val="000000"/>
                <w:sz w:val="20"/>
                <w:szCs w:val="26"/>
              </w:rPr>
            </w:pPr>
            <w:r w:rsidRPr="004761E0">
              <w:rPr>
                <w:color w:val="000000"/>
                <w:sz w:val="20"/>
                <w:szCs w:val="26"/>
              </w:rPr>
              <w:t>2014</w:t>
            </w:r>
          </w:p>
        </w:tc>
        <w:tc>
          <w:tcPr>
            <w:tcW w:w="1985" w:type="dxa"/>
            <w:tcBorders>
              <w:top w:val="nil"/>
              <w:left w:val="nil"/>
              <w:bottom w:val="single" w:sz="4" w:space="0" w:color="auto"/>
              <w:right w:val="single" w:sz="4" w:space="0" w:color="auto"/>
            </w:tcBorders>
            <w:shd w:val="clear" w:color="auto" w:fill="auto"/>
            <w:vAlign w:val="center"/>
          </w:tcPr>
          <w:p w:rsidR="00DF56C1" w:rsidRPr="004761E0" w:rsidRDefault="00DF56C1" w:rsidP="00CF70F8">
            <w:pPr>
              <w:ind w:firstLine="0"/>
              <w:jc w:val="right"/>
              <w:rPr>
                <w:color w:val="000000"/>
                <w:sz w:val="20"/>
                <w:szCs w:val="26"/>
              </w:rPr>
            </w:pPr>
            <w:r w:rsidRPr="004761E0">
              <w:rPr>
                <w:color w:val="000000"/>
                <w:sz w:val="20"/>
                <w:szCs w:val="26"/>
              </w:rPr>
              <w:t>52</w:t>
            </w:r>
          </w:p>
        </w:tc>
      </w:tr>
      <w:tr w:rsidR="000F7D98" w:rsidRPr="004761E0" w:rsidTr="001B3AA0">
        <w:trPr>
          <w:trHeight w:val="300"/>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0F7D98" w:rsidRPr="004761E0" w:rsidRDefault="000F7D98" w:rsidP="000F7D98">
            <w:pPr>
              <w:ind w:firstLine="0"/>
              <w:jc w:val="left"/>
              <w:rPr>
                <w:rFonts w:eastAsia="Times New Roman"/>
                <w:color w:val="000000"/>
                <w:sz w:val="20"/>
                <w:szCs w:val="20"/>
                <w:lang w:eastAsia="ru-RU"/>
              </w:rPr>
            </w:pPr>
          </w:p>
        </w:tc>
        <w:tc>
          <w:tcPr>
            <w:tcW w:w="3293"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ind w:firstLine="0"/>
              <w:jc w:val="left"/>
              <w:rPr>
                <w:color w:val="000000"/>
                <w:sz w:val="20"/>
                <w:szCs w:val="20"/>
              </w:rPr>
            </w:pPr>
            <w:r w:rsidRPr="004761E0">
              <w:rPr>
                <w:color w:val="000000"/>
                <w:sz w:val="20"/>
                <w:szCs w:val="20"/>
              </w:rPr>
              <w:t>Итого</w:t>
            </w:r>
          </w:p>
        </w:tc>
        <w:tc>
          <w:tcPr>
            <w:tcW w:w="6095" w:type="dxa"/>
            <w:gridSpan w:val="3"/>
            <w:tcBorders>
              <w:top w:val="nil"/>
              <w:left w:val="nil"/>
              <w:bottom w:val="single" w:sz="4" w:space="0" w:color="auto"/>
              <w:right w:val="single" w:sz="4" w:space="0" w:color="auto"/>
            </w:tcBorders>
            <w:shd w:val="clear" w:color="auto" w:fill="auto"/>
            <w:vAlign w:val="center"/>
          </w:tcPr>
          <w:p w:rsidR="000F7D98" w:rsidRPr="004761E0" w:rsidRDefault="000F7D98" w:rsidP="001B3AA0">
            <w:pPr>
              <w:ind w:firstLine="0"/>
              <w:jc w:val="right"/>
              <w:rPr>
                <w:color w:val="000000"/>
                <w:sz w:val="20"/>
                <w:szCs w:val="22"/>
              </w:rPr>
            </w:pPr>
            <w:r w:rsidRPr="004761E0">
              <w:rPr>
                <w:b/>
                <w:bCs/>
                <w:color w:val="000000"/>
                <w:sz w:val="20"/>
                <w:szCs w:val="26"/>
              </w:rPr>
              <w:t>57 527</w:t>
            </w:r>
          </w:p>
        </w:tc>
      </w:tr>
    </w:tbl>
    <w:p w:rsidR="000F7D98" w:rsidRPr="004761E0" w:rsidRDefault="000F7D98" w:rsidP="000F7D98">
      <w:pPr>
        <w:spacing w:before="120"/>
        <w:ind w:firstLine="0"/>
        <w:rPr>
          <w:sz w:val="26"/>
          <w:szCs w:val="26"/>
        </w:rPr>
      </w:pPr>
      <w:r w:rsidRPr="004761E0">
        <w:rPr>
          <w:noProof/>
          <w:sz w:val="26"/>
          <w:szCs w:val="26"/>
          <w:lang w:eastAsia="ru-RU"/>
        </w:rPr>
        <w:drawing>
          <wp:inline distT="0" distB="0" distL="0" distR="0">
            <wp:extent cx="3209925" cy="2400300"/>
            <wp:effectExtent l="0" t="0" r="9525" b="19050"/>
            <wp:docPr id="240" name="Диаграмма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AE3E25" w:rsidRPr="004761E0" w:rsidRDefault="00AE3E25" w:rsidP="000F7D98">
      <w:pPr>
        <w:spacing w:before="120"/>
        <w:ind w:firstLine="567"/>
        <w:rPr>
          <w:sz w:val="26"/>
          <w:szCs w:val="26"/>
        </w:rPr>
      </w:pPr>
      <w:r w:rsidRPr="004761E0">
        <w:rPr>
          <w:sz w:val="26"/>
          <w:szCs w:val="26"/>
        </w:rPr>
        <w:t xml:space="preserve">Успешное размещение в </w:t>
      </w:r>
      <w:r w:rsidR="00017C39">
        <w:rPr>
          <w:sz w:val="26"/>
          <w:szCs w:val="26"/>
          <w:lang w:val="en-US"/>
        </w:rPr>
        <w:t>I</w:t>
      </w:r>
      <w:r w:rsidRPr="004761E0">
        <w:rPr>
          <w:sz w:val="26"/>
          <w:szCs w:val="26"/>
        </w:rPr>
        <w:t xml:space="preserve"> кв</w:t>
      </w:r>
      <w:r w:rsidR="000F7D98" w:rsidRPr="004761E0">
        <w:rPr>
          <w:sz w:val="26"/>
          <w:szCs w:val="26"/>
        </w:rPr>
        <w:t xml:space="preserve">артале </w:t>
      </w:r>
      <w:r w:rsidRPr="004761E0">
        <w:rPr>
          <w:sz w:val="26"/>
          <w:szCs w:val="26"/>
        </w:rPr>
        <w:t xml:space="preserve">2013 </w:t>
      </w:r>
      <w:r w:rsidR="000F7D98" w:rsidRPr="004761E0">
        <w:rPr>
          <w:sz w:val="26"/>
          <w:szCs w:val="26"/>
        </w:rPr>
        <w:t xml:space="preserve">года </w:t>
      </w:r>
      <w:r w:rsidRPr="004761E0">
        <w:rPr>
          <w:sz w:val="26"/>
          <w:szCs w:val="26"/>
        </w:rPr>
        <w:t xml:space="preserve">биржевых облигаций серии БО-03, а также заключение в </w:t>
      </w:r>
      <w:r w:rsidR="00017C39">
        <w:rPr>
          <w:sz w:val="26"/>
          <w:szCs w:val="26"/>
          <w:lang w:val="en-US"/>
        </w:rPr>
        <w:t>III</w:t>
      </w:r>
      <w:r w:rsidR="00017C39" w:rsidRPr="00017C39">
        <w:rPr>
          <w:sz w:val="26"/>
          <w:szCs w:val="26"/>
        </w:rPr>
        <w:t>-</w:t>
      </w:r>
      <w:r w:rsidR="00017C39">
        <w:rPr>
          <w:sz w:val="26"/>
          <w:szCs w:val="26"/>
          <w:lang w:val="en-US"/>
        </w:rPr>
        <w:t>IV</w:t>
      </w:r>
      <w:r w:rsidRPr="004761E0">
        <w:rPr>
          <w:sz w:val="26"/>
          <w:szCs w:val="26"/>
        </w:rPr>
        <w:t xml:space="preserve"> кв</w:t>
      </w:r>
      <w:r w:rsidR="000F7D98" w:rsidRPr="004761E0">
        <w:rPr>
          <w:sz w:val="26"/>
          <w:szCs w:val="26"/>
        </w:rPr>
        <w:t xml:space="preserve">арталах </w:t>
      </w:r>
      <w:r w:rsidRPr="004761E0">
        <w:rPr>
          <w:sz w:val="26"/>
          <w:szCs w:val="26"/>
        </w:rPr>
        <w:t>соглашений о долгосрочных возобновляемых кредитных лини</w:t>
      </w:r>
      <w:r w:rsidR="000F7D98" w:rsidRPr="004761E0">
        <w:rPr>
          <w:sz w:val="26"/>
          <w:szCs w:val="26"/>
        </w:rPr>
        <w:t>ях</w:t>
      </w:r>
      <w:r w:rsidRPr="004761E0">
        <w:rPr>
          <w:sz w:val="26"/>
          <w:szCs w:val="26"/>
        </w:rPr>
        <w:t xml:space="preserve"> с крупнейшими банками с благоприятными условиями привлечения 40 млрд руб. позволило рефинансировать «дорогие» кредитные линии </w:t>
      </w:r>
      <w:r w:rsidR="0008080E">
        <w:rPr>
          <w:sz w:val="26"/>
          <w:szCs w:val="26"/>
        </w:rPr>
        <w:t>ОАО </w:t>
      </w:r>
      <w:r w:rsidRPr="004761E0">
        <w:rPr>
          <w:sz w:val="26"/>
          <w:szCs w:val="26"/>
        </w:rPr>
        <w:t xml:space="preserve">«Альфа-Банка» и Внешэкономбанка и оказало существенное положительное влияние на стоимость обслуживания долга. </w:t>
      </w:r>
    </w:p>
    <w:p w:rsidR="00AE3E25" w:rsidRPr="008C0C74" w:rsidRDefault="000F7D98" w:rsidP="008C0C74">
      <w:pPr>
        <w:spacing w:before="120" w:after="120"/>
        <w:ind w:firstLine="567"/>
        <w:rPr>
          <w:b/>
          <w:sz w:val="26"/>
          <w:szCs w:val="26"/>
        </w:rPr>
      </w:pPr>
      <w:r w:rsidRPr="008C0C74">
        <w:rPr>
          <w:b/>
          <w:sz w:val="26"/>
          <w:szCs w:val="26"/>
        </w:rPr>
        <w:t>Средневзвешенная ставка по обслуживанию заемных денежных средств</w:t>
      </w:r>
    </w:p>
    <w:tbl>
      <w:tblPr>
        <w:tblW w:w="9936" w:type="dxa"/>
        <w:tblInd w:w="95" w:type="dxa"/>
        <w:tblLook w:val="04A0"/>
      </w:tblPr>
      <w:tblGrid>
        <w:gridCol w:w="563"/>
        <w:gridCol w:w="2610"/>
        <w:gridCol w:w="1116"/>
        <w:gridCol w:w="1116"/>
        <w:gridCol w:w="1133"/>
        <w:gridCol w:w="1133"/>
        <w:gridCol w:w="1140"/>
        <w:gridCol w:w="1125"/>
      </w:tblGrid>
      <w:tr w:rsidR="000F7D98" w:rsidRPr="004761E0" w:rsidTr="000F7D98">
        <w:trPr>
          <w:trHeight w:val="300"/>
        </w:trPr>
        <w:tc>
          <w:tcPr>
            <w:tcW w:w="563"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0F7D98" w:rsidRPr="004761E0" w:rsidRDefault="000F7D98" w:rsidP="001B3AA0">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261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0F7D98" w:rsidRPr="004761E0" w:rsidRDefault="000F7D98" w:rsidP="000F7D98">
            <w:pPr>
              <w:ind w:firstLine="0"/>
              <w:jc w:val="left"/>
              <w:rPr>
                <w:b/>
                <w:color w:val="FFFFFF" w:themeColor="background1"/>
                <w:sz w:val="20"/>
                <w:szCs w:val="20"/>
              </w:rPr>
            </w:pPr>
            <w:r w:rsidRPr="004761E0">
              <w:rPr>
                <w:b/>
                <w:color w:val="FFFFFF" w:themeColor="background1"/>
                <w:sz w:val="20"/>
                <w:szCs w:val="20"/>
              </w:rPr>
              <w:t>Наименование категории</w:t>
            </w:r>
          </w:p>
        </w:tc>
        <w:tc>
          <w:tcPr>
            <w:tcW w:w="111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0F7D98" w:rsidRPr="004761E0" w:rsidRDefault="000F7D98" w:rsidP="000F7D98">
            <w:pPr>
              <w:ind w:firstLine="0"/>
              <w:jc w:val="right"/>
              <w:rPr>
                <w:b/>
                <w:color w:val="FFFFFF" w:themeColor="background1"/>
                <w:sz w:val="20"/>
                <w:szCs w:val="20"/>
              </w:rPr>
            </w:pPr>
            <w:r w:rsidRPr="004761E0">
              <w:rPr>
                <w:b/>
                <w:color w:val="FFFFFF" w:themeColor="background1"/>
                <w:sz w:val="20"/>
                <w:szCs w:val="20"/>
              </w:rPr>
              <w:t>31.12.2011</w:t>
            </w:r>
          </w:p>
        </w:tc>
        <w:tc>
          <w:tcPr>
            <w:tcW w:w="111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0F7D98" w:rsidRPr="004761E0" w:rsidRDefault="000F7D98" w:rsidP="000F7D98">
            <w:pPr>
              <w:ind w:firstLine="0"/>
              <w:jc w:val="right"/>
              <w:rPr>
                <w:b/>
                <w:color w:val="FFFFFF" w:themeColor="background1"/>
                <w:sz w:val="20"/>
                <w:szCs w:val="20"/>
              </w:rPr>
            </w:pPr>
            <w:r w:rsidRPr="004761E0">
              <w:rPr>
                <w:b/>
                <w:color w:val="FFFFFF" w:themeColor="background1"/>
                <w:sz w:val="20"/>
                <w:szCs w:val="20"/>
              </w:rPr>
              <w:t>31.12.2012</w:t>
            </w:r>
          </w:p>
        </w:tc>
        <w:tc>
          <w:tcPr>
            <w:tcW w:w="113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0F7D98" w:rsidRPr="004761E0" w:rsidRDefault="000F7D98" w:rsidP="000F7D98">
            <w:pPr>
              <w:ind w:firstLine="0"/>
              <w:jc w:val="right"/>
              <w:rPr>
                <w:b/>
                <w:color w:val="FFFFFF" w:themeColor="background1"/>
                <w:sz w:val="20"/>
                <w:szCs w:val="20"/>
              </w:rPr>
            </w:pPr>
            <w:r w:rsidRPr="004761E0">
              <w:rPr>
                <w:b/>
                <w:color w:val="FFFFFF" w:themeColor="background1"/>
                <w:sz w:val="20"/>
                <w:szCs w:val="20"/>
              </w:rPr>
              <w:t>31.03.2013</w:t>
            </w:r>
          </w:p>
        </w:tc>
        <w:tc>
          <w:tcPr>
            <w:tcW w:w="113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0F7D98" w:rsidRPr="004761E0" w:rsidRDefault="000F7D98" w:rsidP="000F7D98">
            <w:pPr>
              <w:ind w:firstLine="0"/>
              <w:jc w:val="right"/>
              <w:rPr>
                <w:b/>
                <w:color w:val="FFFFFF" w:themeColor="background1"/>
                <w:sz w:val="20"/>
                <w:szCs w:val="20"/>
              </w:rPr>
            </w:pPr>
            <w:r w:rsidRPr="004761E0">
              <w:rPr>
                <w:b/>
                <w:color w:val="FFFFFF" w:themeColor="background1"/>
                <w:sz w:val="20"/>
                <w:szCs w:val="20"/>
              </w:rPr>
              <w:t>30.06.2013</w:t>
            </w:r>
          </w:p>
        </w:tc>
        <w:tc>
          <w:tcPr>
            <w:tcW w:w="114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0F7D98" w:rsidRPr="004761E0" w:rsidRDefault="000F7D98" w:rsidP="000F7D98">
            <w:pPr>
              <w:ind w:firstLine="0"/>
              <w:jc w:val="right"/>
              <w:rPr>
                <w:b/>
                <w:color w:val="FFFFFF" w:themeColor="background1"/>
                <w:sz w:val="20"/>
                <w:szCs w:val="20"/>
              </w:rPr>
            </w:pPr>
            <w:r w:rsidRPr="004761E0">
              <w:rPr>
                <w:b/>
                <w:color w:val="FFFFFF" w:themeColor="background1"/>
                <w:sz w:val="20"/>
                <w:szCs w:val="20"/>
              </w:rPr>
              <w:t>30.09.2013</w:t>
            </w:r>
          </w:p>
        </w:tc>
        <w:tc>
          <w:tcPr>
            <w:tcW w:w="1125"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tcPr>
          <w:p w:rsidR="000F7D98" w:rsidRPr="004761E0" w:rsidRDefault="000F7D98" w:rsidP="000F7D98">
            <w:pPr>
              <w:ind w:firstLine="0"/>
              <w:jc w:val="right"/>
              <w:rPr>
                <w:b/>
                <w:color w:val="FFFFFF" w:themeColor="background1"/>
                <w:sz w:val="20"/>
                <w:szCs w:val="20"/>
              </w:rPr>
            </w:pPr>
            <w:r w:rsidRPr="004761E0">
              <w:rPr>
                <w:b/>
                <w:color w:val="FFFFFF" w:themeColor="background1"/>
                <w:sz w:val="20"/>
                <w:szCs w:val="20"/>
              </w:rPr>
              <w:t>31.12.2013</w:t>
            </w:r>
          </w:p>
        </w:tc>
      </w:tr>
      <w:tr w:rsidR="000F7D98" w:rsidRPr="004761E0" w:rsidTr="000F7D98">
        <w:trPr>
          <w:trHeight w:val="300"/>
        </w:trPr>
        <w:tc>
          <w:tcPr>
            <w:tcW w:w="563" w:type="dxa"/>
            <w:tcBorders>
              <w:top w:val="nil"/>
              <w:left w:val="single" w:sz="4" w:space="0" w:color="auto"/>
              <w:bottom w:val="single" w:sz="4" w:space="0" w:color="auto"/>
              <w:right w:val="single" w:sz="4" w:space="0" w:color="auto"/>
            </w:tcBorders>
            <w:shd w:val="clear" w:color="auto" w:fill="auto"/>
            <w:vAlign w:val="center"/>
          </w:tcPr>
          <w:p w:rsidR="000F7D98" w:rsidRPr="004761E0" w:rsidRDefault="000F7D98" w:rsidP="007076A7">
            <w:pPr>
              <w:numPr>
                <w:ilvl w:val="0"/>
                <w:numId w:val="160"/>
              </w:numPr>
              <w:jc w:val="left"/>
              <w:rPr>
                <w:rFonts w:eastAsia="Times New Roman"/>
                <w:b/>
                <w:color w:val="000000"/>
                <w:sz w:val="20"/>
                <w:szCs w:val="20"/>
                <w:lang w:eastAsia="ru-RU"/>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0F7D98" w:rsidRPr="004761E0" w:rsidRDefault="000F7D98" w:rsidP="000F7D98">
            <w:pPr>
              <w:ind w:firstLine="0"/>
              <w:jc w:val="left"/>
              <w:rPr>
                <w:color w:val="000000"/>
                <w:sz w:val="20"/>
                <w:szCs w:val="20"/>
              </w:rPr>
            </w:pPr>
            <w:r w:rsidRPr="004761E0">
              <w:rPr>
                <w:color w:val="000000"/>
                <w:sz w:val="20"/>
                <w:szCs w:val="20"/>
              </w:rPr>
              <w:t>Средневзвешенная ставка с учетом векселей и облигационного займа, %</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8,49</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8,65</w:t>
            </w:r>
          </w:p>
        </w:tc>
        <w:tc>
          <w:tcPr>
            <w:tcW w:w="1133" w:type="dxa"/>
            <w:tcBorders>
              <w:top w:val="nil"/>
              <w:left w:val="single" w:sz="4" w:space="0" w:color="auto"/>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8,43</w:t>
            </w:r>
          </w:p>
        </w:tc>
        <w:tc>
          <w:tcPr>
            <w:tcW w:w="1133"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8,42</w:t>
            </w:r>
          </w:p>
        </w:tc>
        <w:tc>
          <w:tcPr>
            <w:tcW w:w="1140"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8,19</w:t>
            </w:r>
          </w:p>
        </w:tc>
        <w:tc>
          <w:tcPr>
            <w:tcW w:w="1125"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8,15</w:t>
            </w:r>
          </w:p>
        </w:tc>
      </w:tr>
      <w:tr w:rsidR="000F7D98" w:rsidRPr="004761E0" w:rsidTr="000F7D98">
        <w:trPr>
          <w:trHeight w:val="300"/>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0F7D98" w:rsidRPr="004761E0" w:rsidRDefault="000F7D98" w:rsidP="007076A7">
            <w:pPr>
              <w:numPr>
                <w:ilvl w:val="0"/>
                <w:numId w:val="160"/>
              </w:numPr>
              <w:jc w:val="left"/>
              <w:rPr>
                <w:rFonts w:eastAsia="Times New Roman"/>
                <w:b/>
                <w:color w:val="000000"/>
                <w:sz w:val="20"/>
                <w:szCs w:val="20"/>
                <w:lang w:eastAsia="ru-RU"/>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0F7D98" w:rsidRPr="004761E0" w:rsidRDefault="000F7D98" w:rsidP="000F7D98">
            <w:pPr>
              <w:ind w:firstLine="0"/>
              <w:jc w:val="left"/>
              <w:rPr>
                <w:color w:val="000000"/>
                <w:sz w:val="20"/>
                <w:szCs w:val="20"/>
              </w:rPr>
            </w:pPr>
            <w:r w:rsidRPr="004761E0">
              <w:rPr>
                <w:color w:val="000000"/>
                <w:sz w:val="20"/>
                <w:szCs w:val="20"/>
              </w:rPr>
              <w:t>Средневзвешенная ставка без учета векселей и облигационного займа, %</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8,48</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8,61</w:t>
            </w:r>
          </w:p>
        </w:tc>
        <w:tc>
          <w:tcPr>
            <w:tcW w:w="1133" w:type="dxa"/>
            <w:tcBorders>
              <w:top w:val="nil"/>
              <w:left w:val="single" w:sz="4" w:space="0" w:color="auto"/>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8,31</w:t>
            </w:r>
          </w:p>
        </w:tc>
        <w:tc>
          <w:tcPr>
            <w:tcW w:w="1133"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8,29</w:t>
            </w:r>
          </w:p>
        </w:tc>
        <w:tc>
          <w:tcPr>
            <w:tcW w:w="1140"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7,97</w:t>
            </w:r>
          </w:p>
        </w:tc>
        <w:tc>
          <w:tcPr>
            <w:tcW w:w="1125"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7,96</w:t>
            </w:r>
          </w:p>
        </w:tc>
      </w:tr>
      <w:tr w:rsidR="000F7D98" w:rsidRPr="004761E0" w:rsidTr="000F7D98">
        <w:trPr>
          <w:trHeight w:val="300"/>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0F7D98" w:rsidRPr="004761E0" w:rsidRDefault="000F7D98" w:rsidP="007076A7">
            <w:pPr>
              <w:numPr>
                <w:ilvl w:val="0"/>
                <w:numId w:val="160"/>
              </w:numPr>
              <w:jc w:val="left"/>
              <w:rPr>
                <w:rFonts w:eastAsia="Times New Roman"/>
                <w:b/>
                <w:color w:val="000000"/>
                <w:sz w:val="20"/>
                <w:szCs w:val="20"/>
                <w:lang w:eastAsia="ru-RU"/>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0F7D98" w:rsidRPr="004761E0" w:rsidRDefault="000F7D98" w:rsidP="000F7D98">
            <w:pPr>
              <w:ind w:firstLine="0"/>
              <w:jc w:val="left"/>
              <w:rPr>
                <w:color w:val="000000"/>
                <w:sz w:val="20"/>
                <w:szCs w:val="20"/>
              </w:rPr>
            </w:pPr>
            <w:r w:rsidRPr="004761E0">
              <w:rPr>
                <w:color w:val="000000"/>
                <w:sz w:val="20"/>
                <w:szCs w:val="20"/>
              </w:rPr>
              <w:t>Ставка MosPrime 3M, %</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7,22</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7,47</w:t>
            </w:r>
          </w:p>
        </w:tc>
        <w:tc>
          <w:tcPr>
            <w:tcW w:w="1133" w:type="dxa"/>
            <w:tcBorders>
              <w:top w:val="nil"/>
              <w:left w:val="single" w:sz="4" w:space="0" w:color="auto"/>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7,11</w:t>
            </w:r>
          </w:p>
        </w:tc>
        <w:tc>
          <w:tcPr>
            <w:tcW w:w="1133"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7,05</w:t>
            </w:r>
          </w:p>
        </w:tc>
        <w:tc>
          <w:tcPr>
            <w:tcW w:w="1140"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6,82</w:t>
            </w:r>
          </w:p>
        </w:tc>
        <w:tc>
          <w:tcPr>
            <w:tcW w:w="1125"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7,15</w:t>
            </w:r>
          </w:p>
        </w:tc>
      </w:tr>
      <w:tr w:rsidR="000F7D98" w:rsidRPr="004761E0" w:rsidTr="000F7D98">
        <w:trPr>
          <w:trHeight w:val="300"/>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0F7D98" w:rsidRPr="004761E0" w:rsidRDefault="000F7D98" w:rsidP="007076A7">
            <w:pPr>
              <w:numPr>
                <w:ilvl w:val="0"/>
                <w:numId w:val="160"/>
              </w:numPr>
              <w:jc w:val="left"/>
              <w:rPr>
                <w:rFonts w:eastAsia="Times New Roman"/>
                <w:b/>
                <w:color w:val="000000"/>
                <w:sz w:val="20"/>
                <w:szCs w:val="20"/>
                <w:lang w:eastAsia="ru-RU"/>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0F7D98" w:rsidRPr="004761E0" w:rsidRDefault="000F7D98" w:rsidP="000F7D98">
            <w:pPr>
              <w:ind w:firstLine="0"/>
              <w:jc w:val="left"/>
              <w:rPr>
                <w:color w:val="000000"/>
                <w:sz w:val="20"/>
                <w:szCs w:val="20"/>
              </w:rPr>
            </w:pPr>
            <w:r w:rsidRPr="004761E0">
              <w:rPr>
                <w:color w:val="000000"/>
                <w:sz w:val="20"/>
                <w:szCs w:val="20"/>
              </w:rPr>
              <w:t>Ставка рефинансирования Центрального Банка Российской Федерации, %</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8,00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8,25</w:t>
            </w:r>
          </w:p>
        </w:tc>
        <w:tc>
          <w:tcPr>
            <w:tcW w:w="1133" w:type="dxa"/>
            <w:tcBorders>
              <w:top w:val="nil"/>
              <w:left w:val="single" w:sz="4" w:space="0" w:color="auto"/>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8,25</w:t>
            </w:r>
          </w:p>
        </w:tc>
        <w:tc>
          <w:tcPr>
            <w:tcW w:w="1133"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8,25</w:t>
            </w:r>
          </w:p>
        </w:tc>
        <w:tc>
          <w:tcPr>
            <w:tcW w:w="1140"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8,25</w:t>
            </w:r>
          </w:p>
        </w:tc>
        <w:tc>
          <w:tcPr>
            <w:tcW w:w="1125"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8,25</w:t>
            </w:r>
          </w:p>
        </w:tc>
      </w:tr>
    </w:tbl>
    <w:p w:rsidR="000F7D98" w:rsidRPr="004761E0" w:rsidRDefault="000F7D98" w:rsidP="000F7D98">
      <w:pPr>
        <w:spacing w:before="120" w:after="120"/>
        <w:ind w:firstLine="0"/>
        <w:rPr>
          <w:b/>
          <w:iCs/>
          <w:color w:val="000000"/>
          <w:sz w:val="26"/>
          <w:szCs w:val="26"/>
        </w:rPr>
      </w:pPr>
      <w:r w:rsidRPr="004761E0">
        <w:rPr>
          <w:b/>
          <w:iCs/>
          <w:noProof/>
          <w:color w:val="000000"/>
          <w:sz w:val="26"/>
          <w:szCs w:val="26"/>
          <w:lang w:eastAsia="ru-RU"/>
        </w:rPr>
        <w:lastRenderedPageBreak/>
        <w:drawing>
          <wp:inline distT="0" distB="0" distL="0" distR="0">
            <wp:extent cx="4334493" cy="3040083"/>
            <wp:effectExtent l="0" t="0" r="9525" b="27305"/>
            <wp:docPr id="241" name="Диаграмма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rsidRPr="004761E0">
        <w:rPr>
          <w:b/>
          <w:iCs/>
          <w:color w:val="000000"/>
          <w:sz w:val="26"/>
          <w:szCs w:val="26"/>
        </w:rPr>
        <w:t xml:space="preserve"> </w:t>
      </w:r>
    </w:p>
    <w:p w:rsidR="00AE3E25" w:rsidRPr="004761E0" w:rsidRDefault="000F7D98" w:rsidP="008C0C74">
      <w:pPr>
        <w:spacing w:before="120" w:after="120"/>
        <w:ind w:firstLine="567"/>
        <w:rPr>
          <w:b/>
          <w:sz w:val="26"/>
          <w:szCs w:val="26"/>
        </w:rPr>
      </w:pPr>
      <w:r w:rsidRPr="004761E0">
        <w:rPr>
          <w:b/>
          <w:sz w:val="26"/>
          <w:szCs w:val="26"/>
        </w:rPr>
        <w:t>Облигационные займы</w:t>
      </w:r>
    </w:p>
    <w:p w:rsidR="000F7D98" w:rsidRPr="004761E0" w:rsidRDefault="00AE3E25" w:rsidP="000F7D98">
      <w:pPr>
        <w:ind w:firstLine="567"/>
        <w:rPr>
          <w:i/>
          <w:iCs/>
          <w:color w:val="000000"/>
          <w:sz w:val="26"/>
          <w:szCs w:val="26"/>
        </w:rPr>
      </w:pPr>
      <w:r w:rsidRPr="004761E0">
        <w:rPr>
          <w:sz w:val="26"/>
          <w:szCs w:val="26"/>
        </w:rPr>
        <w:t>С целью оптимизации кредитного портфеля и рефинансирования текущей задолженности в благоприятных рыночных условиях в феврале 2013 г</w:t>
      </w:r>
      <w:r w:rsidR="000F7D98" w:rsidRPr="004761E0">
        <w:rPr>
          <w:sz w:val="26"/>
          <w:szCs w:val="26"/>
        </w:rPr>
        <w:t>ода</w:t>
      </w:r>
      <w:r w:rsidRPr="004761E0">
        <w:rPr>
          <w:sz w:val="26"/>
          <w:szCs w:val="26"/>
        </w:rPr>
        <w:t>. разме</w:t>
      </w:r>
      <w:r w:rsidR="000F7D98" w:rsidRPr="004761E0">
        <w:rPr>
          <w:sz w:val="26"/>
          <w:szCs w:val="26"/>
        </w:rPr>
        <w:t>щены</w:t>
      </w:r>
      <w:r w:rsidRPr="004761E0">
        <w:rPr>
          <w:sz w:val="26"/>
          <w:szCs w:val="26"/>
        </w:rPr>
        <w:t xml:space="preserve"> биржевые облигаций серии БО-03 сроком обращения 3 года объемом 5 000 млн руб. по ставке 8,50 % годовых.</w:t>
      </w:r>
      <w:r w:rsidR="000F7D98" w:rsidRPr="004761E0">
        <w:rPr>
          <w:i/>
          <w:iCs/>
          <w:color w:val="000000"/>
          <w:sz w:val="26"/>
          <w:szCs w:val="26"/>
        </w:rPr>
        <w:t xml:space="preserve"> </w:t>
      </w:r>
    </w:p>
    <w:p w:rsidR="00AE3E25" w:rsidRPr="004761E0" w:rsidRDefault="000F7D98" w:rsidP="008C0C74">
      <w:pPr>
        <w:spacing w:before="120" w:after="120"/>
        <w:ind w:firstLine="567"/>
        <w:rPr>
          <w:b/>
          <w:sz w:val="26"/>
          <w:szCs w:val="26"/>
        </w:rPr>
      </w:pPr>
      <w:r w:rsidRPr="004761E0">
        <w:rPr>
          <w:b/>
          <w:sz w:val="26"/>
          <w:szCs w:val="26"/>
        </w:rPr>
        <w:t>Обращающиеся выпуски облигаций</w:t>
      </w:r>
    </w:p>
    <w:tbl>
      <w:tblPr>
        <w:tblW w:w="9936" w:type="dxa"/>
        <w:tblInd w:w="95" w:type="dxa"/>
        <w:tblLayout w:type="fixed"/>
        <w:tblLook w:val="04A0"/>
      </w:tblPr>
      <w:tblGrid>
        <w:gridCol w:w="548"/>
        <w:gridCol w:w="4143"/>
        <w:gridCol w:w="1843"/>
        <w:gridCol w:w="1701"/>
        <w:gridCol w:w="1701"/>
      </w:tblGrid>
      <w:tr w:rsidR="000F7D98" w:rsidRPr="004761E0" w:rsidTr="000F7D98">
        <w:trPr>
          <w:trHeight w:val="300"/>
        </w:trPr>
        <w:tc>
          <w:tcPr>
            <w:tcW w:w="548"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0F7D98" w:rsidRPr="004761E0" w:rsidRDefault="000F7D98" w:rsidP="001B3AA0">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414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0F7D98" w:rsidRPr="004761E0" w:rsidRDefault="000F7D98" w:rsidP="000F7D98">
            <w:pPr>
              <w:ind w:firstLine="0"/>
              <w:jc w:val="left"/>
              <w:rPr>
                <w:b/>
                <w:sz w:val="20"/>
                <w:szCs w:val="20"/>
              </w:rPr>
            </w:pPr>
            <w:r w:rsidRPr="004761E0">
              <w:rPr>
                <w:rFonts w:eastAsia="Times New Roman"/>
                <w:b/>
                <w:color w:val="FFFFFF" w:themeColor="background1"/>
                <w:sz w:val="20"/>
                <w:szCs w:val="20"/>
                <w:lang w:eastAsia="ru-RU"/>
              </w:rPr>
              <w:t>Наименование категории</w:t>
            </w:r>
          </w:p>
        </w:tc>
        <w:tc>
          <w:tcPr>
            <w:tcW w:w="184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0F7D98" w:rsidRPr="004761E0" w:rsidRDefault="000F7D98" w:rsidP="000F7D98">
            <w:pPr>
              <w:ind w:firstLine="0"/>
              <w:jc w:val="right"/>
              <w:rPr>
                <w:b/>
                <w:color w:val="FFFFFF" w:themeColor="background1"/>
                <w:sz w:val="20"/>
                <w:szCs w:val="20"/>
              </w:rPr>
            </w:pPr>
            <w:r w:rsidRPr="004761E0">
              <w:rPr>
                <w:b/>
                <w:color w:val="FFFFFF" w:themeColor="background1"/>
                <w:sz w:val="20"/>
                <w:szCs w:val="20"/>
              </w:rPr>
              <w:t>2012</w:t>
            </w:r>
          </w:p>
        </w:tc>
        <w:tc>
          <w:tcPr>
            <w:tcW w:w="170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0F7D98" w:rsidRPr="004761E0" w:rsidRDefault="000F7D98" w:rsidP="000F7D98">
            <w:pPr>
              <w:jc w:val="right"/>
              <w:rPr>
                <w:b/>
                <w:color w:val="FFFFFF" w:themeColor="background1"/>
                <w:sz w:val="20"/>
                <w:szCs w:val="20"/>
              </w:rPr>
            </w:pPr>
            <w:r w:rsidRPr="004761E0">
              <w:rPr>
                <w:b/>
                <w:color w:val="FFFFFF" w:themeColor="background1"/>
                <w:sz w:val="20"/>
                <w:szCs w:val="20"/>
              </w:rPr>
              <w:t>2012</w:t>
            </w:r>
          </w:p>
        </w:tc>
        <w:tc>
          <w:tcPr>
            <w:tcW w:w="1701"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tcPr>
          <w:p w:rsidR="000F7D98" w:rsidRPr="004761E0" w:rsidRDefault="000F7D98" w:rsidP="000F7D98">
            <w:pPr>
              <w:ind w:firstLine="0"/>
              <w:jc w:val="right"/>
              <w:rPr>
                <w:b/>
                <w:color w:val="FFFFFF" w:themeColor="background1"/>
                <w:sz w:val="20"/>
                <w:szCs w:val="20"/>
              </w:rPr>
            </w:pPr>
            <w:r w:rsidRPr="004761E0">
              <w:rPr>
                <w:b/>
                <w:color w:val="FFFFFF" w:themeColor="background1"/>
                <w:sz w:val="20"/>
                <w:szCs w:val="20"/>
              </w:rPr>
              <w:t>2013</w:t>
            </w:r>
          </w:p>
        </w:tc>
      </w:tr>
      <w:tr w:rsidR="000F7D98" w:rsidRPr="004761E0" w:rsidTr="000F7D98">
        <w:trPr>
          <w:trHeight w:val="300"/>
        </w:trPr>
        <w:tc>
          <w:tcPr>
            <w:tcW w:w="548" w:type="dxa"/>
            <w:tcBorders>
              <w:top w:val="nil"/>
              <w:left w:val="single" w:sz="4" w:space="0" w:color="auto"/>
              <w:bottom w:val="single" w:sz="4" w:space="0" w:color="auto"/>
              <w:right w:val="single" w:sz="4" w:space="0" w:color="auto"/>
            </w:tcBorders>
            <w:shd w:val="clear" w:color="auto" w:fill="auto"/>
            <w:vAlign w:val="center"/>
          </w:tcPr>
          <w:p w:rsidR="000F7D98" w:rsidRPr="004761E0" w:rsidRDefault="000F7D98" w:rsidP="007076A7">
            <w:pPr>
              <w:numPr>
                <w:ilvl w:val="0"/>
                <w:numId w:val="161"/>
              </w:numPr>
              <w:jc w:val="left"/>
              <w:rPr>
                <w:rFonts w:eastAsia="Times New Roman"/>
                <w:b/>
                <w:color w:val="000000"/>
                <w:sz w:val="20"/>
                <w:szCs w:val="20"/>
                <w:lang w:eastAsia="ru-RU"/>
              </w:rPr>
            </w:pPr>
          </w:p>
        </w:tc>
        <w:tc>
          <w:tcPr>
            <w:tcW w:w="4143"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ind w:firstLine="0"/>
              <w:jc w:val="left"/>
              <w:rPr>
                <w:color w:val="000000"/>
                <w:sz w:val="20"/>
                <w:szCs w:val="20"/>
              </w:rPr>
            </w:pPr>
            <w:r w:rsidRPr="004761E0">
              <w:rPr>
                <w:color w:val="000000"/>
                <w:sz w:val="20"/>
                <w:szCs w:val="20"/>
              </w:rPr>
              <w:t>Серия</w:t>
            </w:r>
          </w:p>
        </w:tc>
        <w:tc>
          <w:tcPr>
            <w:tcW w:w="1843"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БО-01</w:t>
            </w:r>
          </w:p>
        </w:tc>
        <w:tc>
          <w:tcPr>
            <w:tcW w:w="1701"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БО-02</w:t>
            </w:r>
          </w:p>
        </w:tc>
        <w:tc>
          <w:tcPr>
            <w:tcW w:w="1701"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БО-03</w:t>
            </w:r>
          </w:p>
        </w:tc>
      </w:tr>
      <w:tr w:rsidR="000F7D98" w:rsidRPr="004761E0" w:rsidTr="000F7D98">
        <w:trPr>
          <w:trHeight w:val="300"/>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0F7D98" w:rsidRPr="004761E0" w:rsidRDefault="000F7D98" w:rsidP="007076A7">
            <w:pPr>
              <w:numPr>
                <w:ilvl w:val="0"/>
                <w:numId w:val="161"/>
              </w:numPr>
              <w:jc w:val="left"/>
              <w:rPr>
                <w:rFonts w:eastAsia="Times New Roman"/>
                <w:b/>
                <w:color w:val="000000"/>
                <w:sz w:val="20"/>
                <w:szCs w:val="20"/>
                <w:lang w:eastAsia="ru-RU"/>
              </w:rPr>
            </w:pPr>
          </w:p>
        </w:tc>
        <w:tc>
          <w:tcPr>
            <w:tcW w:w="4143"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ind w:firstLine="0"/>
              <w:jc w:val="left"/>
              <w:rPr>
                <w:color w:val="000000"/>
                <w:sz w:val="20"/>
                <w:szCs w:val="20"/>
              </w:rPr>
            </w:pPr>
            <w:r w:rsidRPr="004761E0">
              <w:rPr>
                <w:color w:val="000000"/>
                <w:sz w:val="20"/>
                <w:szCs w:val="20"/>
              </w:rPr>
              <w:t>Вид ценных бумаг</w:t>
            </w:r>
          </w:p>
        </w:tc>
        <w:tc>
          <w:tcPr>
            <w:tcW w:w="5245" w:type="dxa"/>
            <w:gridSpan w:val="3"/>
            <w:tcBorders>
              <w:top w:val="nil"/>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Документарные процентные неконвертируемые биржевые облигации на предъявителя</w:t>
            </w:r>
          </w:p>
        </w:tc>
      </w:tr>
      <w:tr w:rsidR="000F7D98" w:rsidRPr="004761E0" w:rsidTr="000F7D98">
        <w:trPr>
          <w:trHeight w:val="300"/>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0F7D98" w:rsidRPr="004761E0" w:rsidRDefault="000F7D98" w:rsidP="007076A7">
            <w:pPr>
              <w:numPr>
                <w:ilvl w:val="0"/>
                <w:numId w:val="161"/>
              </w:numPr>
              <w:jc w:val="left"/>
              <w:rPr>
                <w:rFonts w:eastAsia="Times New Roman"/>
                <w:b/>
                <w:color w:val="000000"/>
                <w:sz w:val="20"/>
                <w:szCs w:val="20"/>
                <w:lang w:eastAsia="ru-RU"/>
              </w:rPr>
            </w:pPr>
          </w:p>
        </w:tc>
        <w:tc>
          <w:tcPr>
            <w:tcW w:w="4143"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ind w:firstLine="0"/>
              <w:jc w:val="left"/>
              <w:rPr>
                <w:color w:val="000000"/>
                <w:sz w:val="20"/>
                <w:szCs w:val="20"/>
              </w:rPr>
            </w:pPr>
            <w:r w:rsidRPr="004761E0">
              <w:rPr>
                <w:color w:val="000000"/>
                <w:sz w:val="20"/>
                <w:szCs w:val="20"/>
              </w:rPr>
              <w:t>Регистрационный номер</w:t>
            </w:r>
          </w:p>
        </w:tc>
        <w:tc>
          <w:tcPr>
            <w:tcW w:w="1843"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4B02-01-65116-D</w:t>
            </w:r>
          </w:p>
        </w:tc>
        <w:tc>
          <w:tcPr>
            <w:tcW w:w="1701"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4B02-02-65116-D</w:t>
            </w:r>
          </w:p>
        </w:tc>
        <w:tc>
          <w:tcPr>
            <w:tcW w:w="1701"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4B02-03-65116-D</w:t>
            </w:r>
          </w:p>
        </w:tc>
      </w:tr>
      <w:tr w:rsidR="000F7D98" w:rsidRPr="004761E0" w:rsidTr="000F7D98">
        <w:trPr>
          <w:trHeight w:val="300"/>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0F7D98" w:rsidRPr="004761E0" w:rsidRDefault="000F7D98" w:rsidP="007076A7">
            <w:pPr>
              <w:numPr>
                <w:ilvl w:val="0"/>
                <w:numId w:val="161"/>
              </w:numPr>
              <w:jc w:val="left"/>
              <w:rPr>
                <w:rFonts w:eastAsia="Times New Roman"/>
                <w:b/>
                <w:color w:val="000000"/>
                <w:sz w:val="20"/>
                <w:szCs w:val="20"/>
                <w:lang w:eastAsia="ru-RU"/>
              </w:rPr>
            </w:pPr>
          </w:p>
        </w:tc>
        <w:tc>
          <w:tcPr>
            <w:tcW w:w="4143"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ind w:firstLine="0"/>
              <w:jc w:val="left"/>
              <w:rPr>
                <w:color w:val="000000"/>
                <w:sz w:val="20"/>
                <w:szCs w:val="20"/>
              </w:rPr>
            </w:pPr>
            <w:r w:rsidRPr="004761E0">
              <w:rPr>
                <w:color w:val="000000"/>
                <w:sz w:val="20"/>
                <w:szCs w:val="20"/>
              </w:rPr>
              <w:t>Объем выпуска, млн руб.</w:t>
            </w:r>
          </w:p>
        </w:tc>
        <w:tc>
          <w:tcPr>
            <w:tcW w:w="1843"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5 000</w:t>
            </w:r>
          </w:p>
        </w:tc>
        <w:tc>
          <w:tcPr>
            <w:tcW w:w="1701"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5 000</w:t>
            </w:r>
          </w:p>
        </w:tc>
        <w:tc>
          <w:tcPr>
            <w:tcW w:w="1701"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5 000</w:t>
            </w:r>
          </w:p>
        </w:tc>
      </w:tr>
      <w:tr w:rsidR="000F7D98" w:rsidRPr="004761E0" w:rsidTr="000F7D98">
        <w:trPr>
          <w:trHeight w:val="300"/>
        </w:trPr>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0F7D98" w:rsidRPr="004761E0" w:rsidRDefault="000F7D98" w:rsidP="007076A7">
            <w:pPr>
              <w:numPr>
                <w:ilvl w:val="0"/>
                <w:numId w:val="161"/>
              </w:numPr>
              <w:jc w:val="left"/>
              <w:rPr>
                <w:rFonts w:eastAsia="Times New Roman"/>
                <w:b/>
                <w:color w:val="000000"/>
                <w:sz w:val="20"/>
                <w:szCs w:val="20"/>
                <w:lang w:eastAsia="ru-RU"/>
              </w:rPr>
            </w:pPr>
          </w:p>
        </w:tc>
        <w:tc>
          <w:tcPr>
            <w:tcW w:w="4143"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left"/>
              <w:rPr>
                <w:color w:val="000000"/>
                <w:sz w:val="20"/>
                <w:szCs w:val="20"/>
              </w:rPr>
            </w:pPr>
            <w:r w:rsidRPr="004761E0">
              <w:rPr>
                <w:color w:val="000000"/>
                <w:sz w:val="20"/>
                <w:szCs w:val="20"/>
              </w:rPr>
              <w:t>Количество, млн шт.</w:t>
            </w:r>
          </w:p>
        </w:tc>
        <w:tc>
          <w:tcPr>
            <w:tcW w:w="1843"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5</w:t>
            </w:r>
          </w:p>
        </w:tc>
        <w:tc>
          <w:tcPr>
            <w:tcW w:w="1701"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5</w:t>
            </w:r>
          </w:p>
        </w:tc>
        <w:tc>
          <w:tcPr>
            <w:tcW w:w="1701"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5</w:t>
            </w:r>
          </w:p>
        </w:tc>
      </w:tr>
      <w:tr w:rsidR="000F7D98" w:rsidRPr="004761E0" w:rsidTr="000F7D98">
        <w:trPr>
          <w:trHeight w:val="300"/>
        </w:trPr>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0F7D98" w:rsidRPr="004761E0" w:rsidRDefault="000F7D98" w:rsidP="007076A7">
            <w:pPr>
              <w:numPr>
                <w:ilvl w:val="0"/>
                <w:numId w:val="161"/>
              </w:numPr>
              <w:jc w:val="left"/>
              <w:rPr>
                <w:rFonts w:eastAsia="Times New Roman"/>
                <w:b/>
                <w:color w:val="000000"/>
                <w:sz w:val="20"/>
                <w:szCs w:val="20"/>
                <w:lang w:eastAsia="ru-RU"/>
              </w:rPr>
            </w:pPr>
          </w:p>
        </w:tc>
        <w:tc>
          <w:tcPr>
            <w:tcW w:w="4143"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left"/>
              <w:rPr>
                <w:color w:val="000000"/>
                <w:sz w:val="20"/>
                <w:szCs w:val="20"/>
              </w:rPr>
            </w:pPr>
            <w:r w:rsidRPr="004761E0">
              <w:rPr>
                <w:color w:val="000000"/>
                <w:sz w:val="20"/>
                <w:szCs w:val="20"/>
              </w:rPr>
              <w:t>Номинальная стоимость, руб.</w:t>
            </w:r>
          </w:p>
        </w:tc>
        <w:tc>
          <w:tcPr>
            <w:tcW w:w="1843"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1 000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1 000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1 000</w:t>
            </w:r>
          </w:p>
        </w:tc>
      </w:tr>
      <w:tr w:rsidR="000F7D98" w:rsidRPr="004761E0" w:rsidTr="000F7D98">
        <w:trPr>
          <w:trHeight w:val="300"/>
        </w:trPr>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0F7D98" w:rsidRPr="004761E0" w:rsidRDefault="000F7D98" w:rsidP="007076A7">
            <w:pPr>
              <w:numPr>
                <w:ilvl w:val="0"/>
                <w:numId w:val="161"/>
              </w:numPr>
              <w:jc w:val="left"/>
              <w:rPr>
                <w:rFonts w:eastAsia="Times New Roman"/>
                <w:b/>
                <w:color w:val="000000"/>
                <w:sz w:val="20"/>
                <w:szCs w:val="20"/>
                <w:lang w:eastAsia="ru-RU"/>
              </w:rPr>
            </w:pPr>
          </w:p>
        </w:tc>
        <w:tc>
          <w:tcPr>
            <w:tcW w:w="4143"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left"/>
              <w:rPr>
                <w:color w:val="000000"/>
                <w:sz w:val="20"/>
                <w:szCs w:val="20"/>
              </w:rPr>
            </w:pPr>
            <w:r w:rsidRPr="004761E0">
              <w:rPr>
                <w:color w:val="000000"/>
                <w:sz w:val="20"/>
                <w:szCs w:val="20"/>
              </w:rPr>
              <w:t>Срок обращения, лет</w:t>
            </w:r>
          </w:p>
        </w:tc>
        <w:tc>
          <w:tcPr>
            <w:tcW w:w="1843"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3</w:t>
            </w:r>
          </w:p>
        </w:tc>
        <w:tc>
          <w:tcPr>
            <w:tcW w:w="1701"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3</w:t>
            </w:r>
          </w:p>
        </w:tc>
        <w:tc>
          <w:tcPr>
            <w:tcW w:w="1701"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3</w:t>
            </w:r>
          </w:p>
        </w:tc>
      </w:tr>
      <w:tr w:rsidR="000F7D98" w:rsidRPr="004761E0" w:rsidTr="000F7D98">
        <w:trPr>
          <w:trHeight w:val="300"/>
        </w:trPr>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0F7D98" w:rsidRPr="004761E0" w:rsidRDefault="000F7D98" w:rsidP="007076A7">
            <w:pPr>
              <w:numPr>
                <w:ilvl w:val="0"/>
                <w:numId w:val="161"/>
              </w:numPr>
              <w:jc w:val="left"/>
              <w:rPr>
                <w:rFonts w:eastAsia="Times New Roman"/>
                <w:b/>
                <w:color w:val="000000"/>
                <w:sz w:val="20"/>
                <w:szCs w:val="20"/>
                <w:lang w:eastAsia="ru-RU"/>
              </w:rPr>
            </w:pPr>
          </w:p>
        </w:tc>
        <w:tc>
          <w:tcPr>
            <w:tcW w:w="4143"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left"/>
              <w:rPr>
                <w:color w:val="000000"/>
                <w:sz w:val="20"/>
                <w:szCs w:val="20"/>
              </w:rPr>
            </w:pPr>
            <w:r w:rsidRPr="004761E0">
              <w:rPr>
                <w:color w:val="000000"/>
                <w:sz w:val="20"/>
                <w:szCs w:val="20"/>
              </w:rPr>
              <w:t>Ставка, %</w:t>
            </w:r>
          </w:p>
        </w:tc>
        <w:tc>
          <w:tcPr>
            <w:tcW w:w="1843"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8,8</w:t>
            </w:r>
          </w:p>
        </w:tc>
        <w:tc>
          <w:tcPr>
            <w:tcW w:w="1701"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8,8</w:t>
            </w:r>
          </w:p>
        </w:tc>
        <w:tc>
          <w:tcPr>
            <w:tcW w:w="1701"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8,5</w:t>
            </w:r>
          </w:p>
        </w:tc>
      </w:tr>
      <w:tr w:rsidR="000F7D98" w:rsidRPr="004761E0" w:rsidTr="000F7D98">
        <w:trPr>
          <w:trHeight w:val="300"/>
        </w:trPr>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0F7D98" w:rsidRPr="004761E0" w:rsidRDefault="000F7D98" w:rsidP="007076A7">
            <w:pPr>
              <w:numPr>
                <w:ilvl w:val="0"/>
                <w:numId w:val="161"/>
              </w:numPr>
              <w:jc w:val="left"/>
              <w:rPr>
                <w:rFonts w:eastAsia="Times New Roman"/>
                <w:b/>
                <w:color w:val="000000"/>
                <w:sz w:val="20"/>
                <w:szCs w:val="20"/>
                <w:lang w:eastAsia="ru-RU"/>
              </w:rPr>
            </w:pPr>
          </w:p>
        </w:tc>
        <w:tc>
          <w:tcPr>
            <w:tcW w:w="4143"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left"/>
              <w:rPr>
                <w:color w:val="000000"/>
                <w:sz w:val="20"/>
                <w:szCs w:val="20"/>
              </w:rPr>
            </w:pPr>
            <w:r w:rsidRPr="004761E0">
              <w:rPr>
                <w:color w:val="000000"/>
                <w:sz w:val="20"/>
                <w:szCs w:val="20"/>
              </w:rPr>
              <w:t>Дата государственной регистрации выпуска</w:t>
            </w:r>
          </w:p>
        </w:tc>
        <w:tc>
          <w:tcPr>
            <w:tcW w:w="1843"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03.07.2012</w:t>
            </w:r>
          </w:p>
        </w:tc>
        <w:tc>
          <w:tcPr>
            <w:tcW w:w="1701"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03.07.2012</w:t>
            </w:r>
          </w:p>
        </w:tc>
        <w:tc>
          <w:tcPr>
            <w:tcW w:w="1701"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03.07.2012</w:t>
            </w:r>
          </w:p>
        </w:tc>
      </w:tr>
      <w:tr w:rsidR="000F7D98" w:rsidRPr="004761E0" w:rsidTr="000F7D98">
        <w:trPr>
          <w:trHeight w:val="300"/>
        </w:trPr>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0F7D98" w:rsidRPr="004761E0" w:rsidRDefault="000F7D98" w:rsidP="007076A7">
            <w:pPr>
              <w:numPr>
                <w:ilvl w:val="0"/>
                <w:numId w:val="161"/>
              </w:numPr>
              <w:jc w:val="left"/>
              <w:rPr>
                <w:rFonts w:eastAsia="Times New Roman"/>
                <w:b/>
                <w:color w:val="000000"/>
                <w:sz w:val="20"/>
                <w:szCs w:val="20"/>
                <w:lang w:eastAsia="ru-RU"/>
              </w:rPr>
            </w:pPr>
          </w:p>
        </w:tc>
        <w:tc>
          <w:tcPr>
            <w:tcW w:w="4143"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left"/>
              <w:rPr>
                <w:color w:val="000000"/>
                <w:sz w:val="20"/>
                <w:szCs w:val="20"/>
              </w:rPr>
            </w:pPr>
            <w:r w:rsidRPr="004761E0">
              <w:rPr>
                <w:color w:val="000000"/>
                <w:sz w:val="20"/>
                <w:szCs w:val="20"/>
              </w:rPr>
              <w:t>Дата размещения</w:t>
            </w:r>
          </w:p>
        </w:tc>
        <w:tc>
          <w:tcPr>
            <w:tcW w:w="1843"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21.09.2012</w:t>
            </w:r>
          </w:p>
        </w:tc>
        <w:tc>
          <w:tcPr>
            <w:tcW w:w="1701"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29.10.2012</w:t>
            </w:r>
          </w:p>
        </w:tc>
        <w:tc>
          <w:tcPr>
            <w:tcW w:w="1701"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14.02.2013</w:t>
            </w:r>
          </w:p>
        </w:tc>
      </w:tr>
      <w:tr w:rsidR="000F7D98" w:rsidRPr="004761E0" w:rsidTr="000F7D98">
        <w:trPr>
          <w:trHeight w:val="300"/>
        </w:trPr>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0F7D98" w:rsidRPr="004761E0" w:rsidRDefault="000F7D98" w:rsidP="007076A7">
            <w:pPr>
              <w:numPr>
                <w:ilvl w:val="0"/>
                <w:numId w:val="161"/>
              </w:numPr>
              <w:jc w:val="left"/>
              <w:rPr>
                <w:rFonts w:eastAsia="Times New Roman"/>
                <w:b/>
                <w:color w:val="000000"/>
                <w:sz w:val="20"/>
                <w:szCs w:val="20"/>
                <w:lang w:eastAsia="ru-RU"/>
              </w:rPr>
            </w:pPr>
          </w:p>
        </w:tc>
        <w:tc>
          <w:tcPr>
            <w:tcW w:w="4143"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left"/>
              <w:rPr>
                <w:color w:val="000000"/>
                <w:sz w:val="20"/>
                <w:szCs w:val="20"/>
              </w:rPr>
            </w:pPr>
            <w:r w:rsidRPr="004761E0">
              <w:rPr>
                <w:color w:val="000000"/>
                <w:sz w:val="20"/>
                <w:szCs w:val="20"/>
              </w:rPr>
              <w:t>Дата погашения / оферты</w:t>
            </w:r>
          </w:p>
        </w:tc>
        <w:tc>
          <w:tcPr>
            <w:tcW w:w="1843"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18.09.2015</w:t>
            </w:r>
          </w:p>
        </w:tc>
        <w:tc>
          <w:tcPr>
            <w:tcW w:w="1701"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26.10.2015</w:t>
            </w:r>
          </w:p>
        </w:tc>
        <w:tc>
          <w:tcPr>
            <w:tcW w:w="1701"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10.02.2016</w:t>
            </w:r>
          </w:p>
        </w:tc>
      </w:tr>
      <w:tr w:rsidR="000F7D98" w:rsidRPr="004761E0" w:rsidTr="000F7D98">
        <w:trPr>
          <w:trHeight w:val="300"/>
        </w:trPr>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0F7D98" w:rsidRPr="004761E0" w:rsidRDefault="000F7D98" w:rsidP="007076A7">
            <w:pPr>
              <w:numPr>
                <w:ilvl w:val="0"/>
                <w:numId w:val="161"/>
              </w:numPr>
              <w:jc w:val="left"/>
              <w:rPr>
                <w:rFonts w:eastAsia="Times New Roman"/>
                <w:b/>
                <w:color w:val="000000"/>
                <w:sz w:val="20"/>
                <w:szCs w:val="20"/>
                <w:lang w:eastAsia="ru-RU"/>
              </w:rPr>
            </w:pPr>
          </w:p>
        </w:tc>
        <w:tc>
          <w:tcPr>
            <w:tcW w:w="4143"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left"/>
              <w:rPr>
                <w:color w:val="000000"/>
                <w:sz w:val="20"/>
                <w:szCs w:val="20"/>
              </w:rPr>
            </w:pPr>
            <w:r w:rsidRPr="004761E0">
              <w:rPr>
                <w:color w:val="000000"/>
                <w:sz w:val="20"/>
                <w:szCs w:val="20"/>
              </w:rPr>
              <w:t>Купонный доход по 1 облигации</w:t>
            </w:r>
          </w:p>
        </w:tc>
        <w:tc>
          <w:tcPr>
            <w:tcW w:w="1843"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43,88</w:t>
            </w:r>
          </w:p>
        </w:tc>
        <w:tc>
          <w:tcPr>
            <w:tcW w:w="1701"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43,88</w:t>
            </w:r>
          </w:p>
        </w:tc>
        <w:tc>
          <w:tcPr>
            <w:tcW w:w="1701"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42,38</w:t>
            </w:r>
          </w:p>
        </w:tc>
      </w:tr>
      <w:tr w:rsidR="000F7D98" w:rsidRPr="004761E0" w:rsidTr="000F7D98">
        <w:trPr>
          <w:trHeight w:val="300"/>
        </w:trPr>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0F7D98" w:rsidRPr="004761E0" w:rsidRDefault="000F7D98" w:rsidP="007076A7">
            <w:pPr>
              <w:numPr>
                <w:ilvl w:val="0"/>
                <w:numId w:val="161"/>
              </w:numPr>
              <w:jc w:val="left"/>
              <w:rPr>
                <w:rFonts w:eastAsia="Times New Roman"/>
                <w:b/>
                <w:color w:val="000000"/>
                <w:sz w:val="20"/>
                <w:szCs w:val="20"/>
                <w:lang w:eastAsia="ru-RU"/>
              </w:rPr>
            </w:pPr>
          </w:p>
        </w:tc>
        <w:tc>
          <w:tcPr>
            <w:tcW w:w="4143"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left"/>
              <w:rPr>
                <w:color w:val="000000"/>
                <w:sz w:val="20"/>
                <w:szCs w:val="20"/>
              </w:rPr>
            </w:pPr>
            <w:r w:rsidRPr="004761E0">
              <w:rPr>
                <w:color w:val="000000"/>
                <w:sz w:val="20"/>
                <w:szCs w:val="20"/>
              </w:rPr>
              <w:t xml:space="preserve">Фондовая биржа </w:t>
            </w:r>
          </w:p>
        </w:tc>
        <w:tc>
          <w:tcPr>
            <w:tcW w:w="5245" w:type="dxa"/>
            <w:gridSpan w:val="3"/>
            <w:tcBorders>
              <w:top w:val="single" w:sz="4" w:space="0" w:color="auto"/>
              <w:left w:val="nil"/>
              <w:bottom w:val="single" w:sz="4" w:space="0" w:color="auto"/>
              <w:right w:val="single" w:sz="4" w:space="0" w:color="auto"/>
            </w:tcBorders>
            <w:shd w:val="clear" w:color="auto" w:fill="auto"/>
            <w:vAlign w:val="center"/>
          </w:tcPr>
          <w:p w:rsidR="000F7D98" w:rsidRPr="004761E0" w:rsidRDefault="0008080E" w:rsidP="000F7D98">
            <w:pPr>
              <w:ind w:firstLine="0"/>
              <w:jc w:val="right"/>
              <w:rPr>
                <w:color w:val="000000"/>
                <w:sz w:val="20"/>
                <w:szCs w:val="20"/>
              </w:rPr>
            </w:pPr>
            <w:r>
              <w:rPr>
                <w:color w:val="000000"/>
                <w:sz w:val="20"/>
                <w:szCs w:val="20"/>
              </w:rPr>
              <w:t>ЗАО </w:t>
            </w:r>
            <w:r w:rsidR="000F7D98" w:rsidRPr="004761E0">
              <w:rPr>
                <w:color w:val="000000"/>
                <w:sz w:val="20"/>
                <w:szCs w:val="20"/>
              </w:rPr>
              <w:t>«Фондовая биржа ММВБ»</w:t>
            </w:r>
          </w:p>
        </w:tc>
      </w:tr>
      <w:tr w:rsidR="000F7D98" w:rsidRPr="004761E0" w:rsidTr="000F7D98">
        <w:trPr>
          <w:trHeight w:val="300"/>
        </w:trPr>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0F7D98" w:rsidRPr="004761E0" w:rsidRDefault="000F7D98" w:rsidP="007076A7">
            <w:pPr>
              <w:numPr>
                <w:ilvl w:val="0"/>
                <w:numId w:val="161"/>
              </w:numPr>
              <w:jc w:val="left"/>
              <w:rPr>
                <w:rFonts w:eastAsia="Times New Roman"/>
                <w:b/>
                <w:color w:val="000000"/>
                <w:sz w:val="20"/>
                <w:szCs w:val="20"/>
                <w:lang w:eastAsia="ru-RU"/>
              </w:rPr>
            </w:pPr>
          </w:p>
        </w:tc>
        <w:tc>
          <w:tcPr>
            <w:tcW w:w="4143" w:type="dxa"/>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left"/>
              <w:rPr>
                <w:color w:val="000000"/>
                <w:sz w:val="20"/>
                <w:szCs w:val="20"/>
              </w:rPr>
            </w:pPr>
            <w:r w:rsidRPr="004761E0">
              <w:rPr>
                <w:color w:val="000000"/>
                <w:sz w:val="20"/>
                <w:szCs w:val="20"/>
              </w:rPr>
              <w:t>Котировальный список</w:t>
            </w:r>
          </w:p>
        </w:tc>
        <w:tc>
          <w:tcPr>
            <w:tcW w:w="5245" w:type="dxa"/>
            <w:gridSpan w:val="3"/>
            <w:tcBorders>
              <w:top w:val="single" w:sz="4" w:space="0" w:color="auto"/>
              <w:left w:val="nil"/>
              <w:bottom w:val="single" w:sz="4" w:space="0" w:color="auto"/>
              <w:right w:val="single" w:sz="4" w:space="0" w:color="auto"/>
            </w:tcBorders>
            <w:shd w:val="clear" w:color="auto" w:fill="auto"/>
            <w:vAlign w:val="center"/>
          </w:tcPr>
          <w:p w:rsidR="000F7D98" w:rsidRPr="004761E0" w:rsidRDefault="000F7D98" w:rsidP="000F7D98">
            <w:pPr>
              <w:ind w:firstLine="0"/>
              <w:jc w:val="right"/>
              <w:rPr>
                <w:color w:val="000000"/>
                <w:sz w:val="20"/>
                <w:szCs w:val="20"/>
              </w:rPr>
            </w:pPr>
            <w:r w:rsidRPr="004761E0">
              <w:rPr>
                <w:color w:val="000000"/>
                <w:sz w:val="20"/>
                <w:szCs w:val="20"/>
              </w:rPr>
              <w:t>А «первого уровня»</w:t>
            </w:r>
          </w:p>
        </w:tc>
      </w:tr>
    </w:tbl>
    <w:p w:rsidR="001E0ACA" w:rsidRPr="004761E0" w:rsidRDefault="001E0ACA" w:rsidP="001E0ACA">
      <w:pPr>
        <w:ind w:firstLine="567"/>
        <w:rPr>
          <w:sz w:val="26"/>
          <w:szCs w:val="26"/>
        </w:rPr>
      </w:pPr>
      <w:r w:rsidRPr="004761E0">
        <w:rPr>
          <w:sz w:val="26"/>
          <w:szCs w:val="26"/>
        </w:rPr>
        <w:t>Кроме того Обществом</w:t>
      </w:r>
      <w:r w:rsidRPr="006F4AB8">
        <w:rPr>
          <w:rStyle w:val="af1"/>
        </w:rPr>
        <w:footnoteReference w:id="68"/>
      </w:r>
      <w:r w:rsidRPr="004761E0">
        <w:rPr>
          <w:sz w:val="26"/>
          <w:szCs w:val="26"/>
        </w:rPr>
        <w:t xml:space="preserve"> принято разместить документарные процентные неконвертируемые биржевые облигации на предъявителя серий Б0-04, БО-05, БО-06, БО-07, БО-08, БО-09, БО-10 с обязательным централизованных хранением общей номинальной стоимостью 50 млрд руб. </w:t>
      </w:r>
    </w:p>
    <w:p w:rsidR="001E0ACA" w:rsidRPr="004761E0" w:rsidRDefault="001E0ACA" w:rsidP="001E0ACA">
      <w:pPr>
        <w:ind w:firstLine="567"/>
        <w:rPr>
          <w:sz w:val="26"/>
          <w:szCs w:val="26"/>
        </w:rPr>
      </w:pPr>
      <w:r w:rsidRPr="004761E0">
        <w:rPr>
          <w:sz w:val="26"/>
          <w:szCs w:val="26"/>
        </w:rPr>
        <w:lastRenderedPageBreak/>
        <w:t>Общество планирует реализовать по открытой подписке 50 млн облигаций. Номинальная стоимость одной ценной бумаги составит 1000 руб. Срок обращения каждого займа составит 10 лет с даты начала размещения.</w:t>
      </w:r>
    </w:p>
    <w:p w:rsidR="001E0ACA" w:rsidRPr="004761E0" w:rsidRDefault="001E0ACA" w:rsidP="001E0ACA">
      <w:pPr>
        <w:ind w:firstLine="567"/>
        <w:rPr>
          <w:sz w:val="26"/>
          <w:szCs w:val="26"/>
        </w:rPr>
      </w:pPr>
      <w:r w:rsidRPr="004761E0">
        <w:rPr>
          <w:sz w:val="26"/>
          <w:szCs w:val="26"/>
        </w:rPr>
        <w:t xml:space="preserve">Новые выпуски уже включены в список ценных бумаг, допущенных к торгам в </w:t>
      </w:r>
      <w:r w:rsidR="0008080E">
        <w:rPr>
          <w:sz w:val="26"/>
          <w:szCs w:val="26"/>
        </w:rPr>
        <w:t>ЗАО </w:t>
      </w:r>
      <w:r w:rsidRPr="004761E0">
        <w:rPr>
          <w:sz w:val="26"/>
          <w:szCs w:val="26"/>
        </w:rPr>
        <w:t>«ФБ ММВБ» с присвоенными идентификационными номерами 4B02-04-65116-D, 4B02-05-65116-D, 4B02-06-65116-D, 4B02-07-65116-D, 4B02-08-65116-D, 4B02-09-65116-D и 4B02-10-65116-D соответственно.</w:t>
      </w:r>
    </w:p>
    <w:p w:rsidR="00AE3E25" w:rsidRPr="004761E0" w:rsidRDefault="000F7D98" w:rsidP="008C0C74">
      <w:pPr>
        <w:spacing w:before="120" w:after="120"/>
        <w:ind w:firstLine="567"/>
        <w:rPr>
          <w:b/>
          <w:sz w:val="26"/>
          <w:szCs w:val="26"/>
        </w:rPr>
      </w:pPr>
      <w:r w:rsidRPr="004761E0">
        <w:rPr>
          <w:b/>
          <w:sz w:val="26"/>
          <w:szCs w:val="26"/>
        </w:rPr>
        <w:t>Кредитные р</w:t>
      </w:r>
      <w:r w:rsidR="00AE3E25" w:rsidRPr="004761E0">
        <w:rPr>
          <w:b/>
          <w:sz w:val="26"/>
          <w:szCs w:val="26"/>
        </w:rPr>
        <w:t>ейтинг</w:t>
      </w:r>
      <w:r w:rsidRPr="004761E0">
        <w:rPr>
          <w:b/>
          <w:sz w:val="26"/>
          <w:szCs w:val="26"/>
        </w:rPr>
        <w:t>и</w:t>
      </w:r>
    </w:p>
    <w:tbl>
      <w:tblPr>
        <w:tblW w:w="9936" w:type="dxa"/>
        <w:tblInd w:w="95" w:type="dxa"/>
        <w:tblLayout w:type="fixed"/>
        <w:tblLook w:val="04A0"/>
      </w:tblPr>
      <w:tblGrid>
        <w:gridCol w:w="548"/>
        <w:gridCol w:w="3293"/>
        <w:gridCol w:w="2126"/>
        <w:gridCol w:w="1984"/>
        <w:gridCol w:w="1985"/>
      </w:tblGrid>
      <w:tr w:rsidR="000F7D98" w:rsidRPr="004761E0" w:rsidTr="000F7D98">
        <w:trPr>
          <w:trHeight w:val="217"/>
        </w:trPr>
        <w:tc>
          <w:tcPr>
            <w:tcW w:w="548" w:type="dxa"/>
            <w:vMerge w:val="restart"/>
            <w:tcBorders>
              <w:top w:val="single" w:sz="4" w:space="0" w:color="auto"/>
              <w:left w:val="single" w:sz="4" w:space="0" w:color="auto"/>
              <w:right w:val="single" w:sz="4" w:space="0" w:color="FFFFFF" w:themeColor="background1"/>
            </w:tcBorders>
            <w:shd w:val="clear" w:color="auto" w:fill="0F243E" w:themeFill="text2" w:themeFillShade="80"/>
            <w:vAlign w:val="center"/>
            <w:hideMark/>
          </w:tcPr>
          <w:p w:rsidR="000F7D98" w:rsidRPr="004761E0" w:rsidRDefault="000F7D98" w:rsidP="001B3AA0">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3293" w:type="dxa"/>
            <w:vMerge w:val="restart"/>
            <w:tcBorders>
              <w:top w:val="single" w:sz="4" w:space="0" w:color="auto"/>
              <w:left w:val="single" w:sz="4" w:space="0" w:color="FFFFFF" w:themeColor="background1"/>
              <w:right w:val="single" w:sz="4" w:space="0" w:color="FFFFFF" w:themeColor="background1"/>
            </w:tcBorders>
            <w:shd w:val="clear" w:color="auto" w:fill="0F243E" w:themeFill="text2" w:themeFillShade="80"/>
            <w:vAlign w:val="center"/>
          </w:tcPr>
          <w:p w:rsidR="000F7D98" w:rsidRPr="004761E0" w:rsidRDefault="000F7D98" w:rsidP="000F7D98">
            <w:pPr>
              <w:ind w:firstLine="0"/>
              <w:jc w:val="left"/>
              <w:rPr>
                <w:b/>
                <w:sz w:val="20"/>
                <w:szCs w:val="20"/>
              </w:rPr>
            </w:pPr>
            <w:r w:rsidRPr="004761E0">
              <w:rPr>
                <w:rFonts w:eastAsia="Times New Roman"/>
                <w:b/>
                <w:color w:val="FFFFFF" w:themeColor="background1"/>
                <w:sz w:val="20"/>
                <w:szCs w:val="20"/>
                <w:lang w:eastAsia="ru-RU"/>
              </w:rPr>
              <w:t>Наименование рейтингового агентства</w:t>
            </w:r>
          </w:p>
        </w:tc>
        <w:tc>
          <w:tcPr>
            <w:tcW w:w="411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0F7D98" w:rsidRPr="004761E0" w:rsidRDefault="000F7D98" w:rsidP="000F7D98">
            <w:pPr>
              <w:ind w:firstLine="0"/>
              <w:jc w:val="right"/>
              <w:rPr>
                <w:b/>
                <w:color w:val="FFFFFF" w:themeColor="background1"/>
                <w:sz w:val="20"/>
                <w:szCs w:val="20"/>
              </w:rPr>
            </w:pPr>
            <w:r w:rsidRPr="004761E0">
              <w:rPr>
                <w:b/>
                <w:color w:val="FFFFFF" w:themeColor="background1"/>
                <w:sz w:val="20"/>
                <w:szCs w:val="20"/>
              </w:rPr>
              <w:t>Рейтинг по международной шкале</w:t>
            </w:r>
          </w:p>
        </w:tc>
        <w:tc>
          <w:tcPr>
            <w:tcW w:w="1985" w:type="dxa"/>
            <w:vMerge w:val="restart"/>
            <w:tcBorders>
              <w:top w:val="single" w:sz="4" w:space="0" w:color="auto"/>
              <w:left w:val="single" w:sz="4" w:space="0" w:color="FFFFFF" w:themeColor="background1"/>
              <w:right w:val="single" w:sz="4" w:space="0" w:color="auto"/>
            </w:tcBorders>
            <w:shd w:val="clear" w:color="auto" w:fill="0F243E" w:themeFill="text2" w:themeFillShade="80"/>
            <w:vAlign w:val="bottom"/>
          </w:tcPr>
          <w:p w:rsidR="000F7D98" w:rsidRPr="004761E0" w:rsidRDefault="000F7D98" w:rsidP="000F7D98">
            <w:pPr>
              <w:ind w:firstLine="0"/>
              <w:jc w:val="right"/>
              <w:rPr>
                <w:b/>
                <w:color w:val="FFFFFF" w:themeColor="background1"/>
                <w:sz w:val="20"/>
                <w:szCs w:val="20"/>
              </w:rPr>
            </w:pPr>
            <w:r w:rsidRPr="004761E0">
              <w:rPr>
                <w:b/>
                <w:color w:val="FFFFFF" w:themeColor="background1"/>
                <w:sz w:val="20"/>
                <w:szCs w:val="20"/>
              </w:rPr>
              <w:t>Дата присвоение/</w:t>
            </w:r>
          </w:p>
          <w:p w:rsidR="000F7D98" w:rsidRPr="004761E0" w:rsidRDefault="000F7D98" w:rsidP="000F7D98">
            <w:pPr>
              <w:ind w:firstLine="0"/>
              <w:jc w:val="right"/>
              <w:rPr>
                <w:b/>
                <w:color w:val="FFFFFF" w:themeColor="background1"/>
                <w:sz w:val="20"/>
                <w:szCs w:val="20"/>
              </w:rPr>
            </w:pPr>
            <w:r w:rsidRPr="004761E0">
              <w:rPr>
                <w:b/>
                <w:color w:val="FFFFFF" w:themeColor="background1"/>
                <w:sz w:val="20"/>
                <w:szCs w:val="20"/>
              </w:rPr>
              <w:t>обновления</w:t>
            </w:r>
          </w:p>
        </w:tc>
      </w:tr>
      <w:tr w:rsidR="000F7D98" w:rsidRPr="004761E0" w:rsidTr="000F7D98">
        <w:trPr>
          <w:trHeight w:val="224"/>
        </w:trPr>
        <w:tc>
          <w:tcPr>
            <w:tcW w:w="548" w:type="dxa"/>
            <w:vMerge/>
            <w:tcBorders>
              <w:left w:val="single" w:sz="4" w:space="0" w:color="auto"/>
              <w:bottom w:val="single" w:sz="4" w:space="0" w:color="auto"/>
              <w:right w:val="single" w:sz="4" w:space="0" w:color="FFFFFF" w:themeColor="background1"/>
            </w:tcBorders>
            <w:shd w:val="clear" w:color="auto" w:fill="0F243E" w:themeFill="text2" w:themeFillShade="80"/>
            <w:vAlign w:val="center"/>
          </w:tcPr>
          <w:p w:rsidR="000F7D98" w:rsidRPr="004761E0" w:rsidRDefault="000F7D98" w:rsidP="001B3AA0">
            <w:pPr>
              <w:ind w:firstLine="0"/>
              <w:jc w:val="left"/>
              <w:rPr>
                <w:rFonts w:eastAsia="Times New Roman"/>
                <w:b/>
                <w:color w:val="FFFFFF" w:themeColor="background1"/>
                <w:sz w:val="20"/>
                <w:szCs w:val="20"/>
                <w:lang w:eastAsia="ru-RU"/>
              </w:rPr>
            </w:pPr>
          </w:p>
        </w:tc>
        <w:tc>
          <w:tcPr>
            <w:tcW w:w="3293" w:type="dxa"/>
            <w:vMerge/>
            <w:tcBorders>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0F7D98" w:rsidRPr="004761E0" w:rsidRDefault="000F7D98" w:rsidP="001B3AA0">
            <w:pPr>
              <w:ind w:firstLine="0"/>
              <w:jc w:val="left"/>
              <w:rPr>
                <w:rFonts w:eastAsia="Times New Roman"/>
                <w:color w:val="FFFFFF" w:themeColor="background1"/>
                <w:sz w:val="20"/>
                <w:szCs w:val="20"/>
                <w:lang w:eastAsia="ru-RU"/>
              </w:rPr>
            </w:pPr>
          </w:p>
        </w:tc>
        <w:tc>
          <w:tcPr>
            <w:tcW w:w="212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0F7D98" w:rsidRPr="004761E0" w:rsidRDefault="000F7D98" w:rsidP="000F7D98">
            <w:pPr>
              <w:ind w:firstLine="0"/>
              <w:jc w:val="right"/>
              <w:rPr>
                <w:b/>
                <w:sz w:val="20"/>
                <w:szCs w:val="20"/>
              </w:rPr>
            </w:pPr>
            <w:r w:rsidRPr="004761E0">
              <w:rPr>
                <w:b/>
                <w:sz w:val="20"/>
                <w:szCs w:val="20"/>
              </w:rPr>
              <w:t>значение</w:t>
            </w:r>
          </w:p>
        </w:tc>
        <w:tc>
          <w:tcPr>
            <w:tcW w:w="198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0F7D98" w:rsidRPr="004761E0" w:rsidRDefault="000F7D98" w:rsidP="000F7D98">
            <w:pPr>
              <w:ind w:firstLine="0"/>
              <w:jc w:val="right"/>
              <w:rPr>
                <w:b/>
                <w:sz w:val="20"/>
                <w:szCs w:val="20"/>
              </w:rPr>
            </w:pPr>
            <w:r w:rsidRPr="004761E0">
              <w:rPr>
                <w:b/>
                <w:sz w:val="20"/>
                <w:szCs w:val="20"/>
              </w:rPr>
              <w:t>прогноз</w:t>
            </w:r>
          </w:p>
        </w:tc>
        <w:tc>
          <w:tcPr>
            <w:tcW w:w="1985" w:type="dxa"/>
            <w:vMerge/>
            <w:tcBorders>
              <w:left w:val="single" w:sz="4" w:space="0" w:color="FFFFFF" w:themeColor="background1"/>
              <w:bottom w:val="single" w:sz="4" w:space="0" w:color="auto"/>
              <w:right w:val="single" w:sz="4" w:space="0" w:color="auto"/>
            </w:tcBorders>
            <w:shd w:val="clear" w:color="auto" w:fill="0F243E" w:themeFill="text2" w:themeFillShade="80"/>
            <w:vAlign w:val="bottom"/>
          </w:tcPr>
          <w:p w:rsidR="000F7D98" w:rsidRPr="004761E0" w:rsidRDefault="000F7D98" w:rsidP="001B3AA0">
            <w:pPr>
              <w:ind w:firstLine="0"/>
              <w:jc w:val="right"/>
              <w:rPr>
                <w:color w:val="FFFFFF" w:themeColor="background1"/>
                <w:sz w:val="20"/>
                <w:szCs w:val="20"/>
              </w:rPr>
            </w:pPr>
          </w:p>
        </w:tc>
      </w:tr>
      <w:tr w:rsidR="000F7D98" w:rsidRPr="004761E0" w:rsidTr="000F7D98">
        <w:trPr>
          <w:trHeight w:val="300"/>
        </w:trPr>
        <w:tc>
          <w:tcPr>
            <w:tcW w:w="548" w:type="dxa"/>
            <w:tcBorders>
              <w:top w:val="nil"/>
              <w:left w:val="single" w:sz="4" w:space="0" w:color="auto"/>
              <w:bottom w:val="single" w:sz="4" w:space="0" w:color="auto"/>
              <w:right w:val="single" w:sz="4" w:space="0" w:color="auto"/>
            </w:tcBorders>
            <w:shd w:val="clear" w:color="auto" w:fill="auto"/>
            <w:vAlign w:val="center"/>
          </w:tcPr>
          <w:p w:rsidR="000F7D98" w:rsidRPr="004761E0" w:rsidRDefault="000F7D98" w:rsidP="007076A7">
            <w:pPr>
              <w:numPr>
                <w:ilvl w:val="0"/>
                <w:numId w:val="162"/>
              </w:numPr>
              <w:jc w:val="left"/>
              <w:rPr>
                <w:rFonts w:eastAsia="Times New Roman"/>
                <w:b/>
                <w:color w:val="000000"/>
                <w:sz w:val="20"/>
                <w:szCs w:val="20"/>
                <w:lang w:eastAsia="ru-RU"/>
              </w:rPr>
            </w:pPr>
          </w:p>
        </w:tc>
        <w:tc>
          <w:tcPr>
            <w:tcW w:w="3293"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spacing w:before="60" w:line="276" w:lineRule="auto"/>
              <w:ind w:firstLine="0"/>
              <w:jc w:val="left"/>
              <w:rPr>
                <w:sz w:val="20"/>
                <w:szCs w:val="20"/>
                <w:lang w:val="en-US"/>
              </w:rPr>
            </w:pPr>
            <w:r w:rsidRPr="004761E0">
              <w:rPr>
                <w:sz w:val="20"/>
                <w:szCs w:val="20"/>
                <w:lang w:val="en-US"/>
              </w:rPr>
              <w:t>Moody’s</w:t>
            </w:r>
          </w:p>
        </w:tc>
        <w:tc>
          <w:tcPr>
            <w:tcW w:w="2126"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spacing w:before="60" w:line="276" w:lineRule="auto"/>
              <w:ind w:firstLine="0"/>
              <w:jc w:val="right"/>
              <w:rPr>
                <w:sz w:val="20"/>
                <w:szCs w:val="20"/>
                <w:lang w:val="en-US"/>
              </w:rPr>
            </w:pPr>
            <w:r w:rsidRPr="004761E0">
              <w:rPr>
                <w:sz w:val="20"/>
                <w:szCs w:val="20"/>
                <w:lang w:val="en-US"/>
              </w:rPr>
              <w:t>Ba2</w:t>
            </w:r>
          </w:p>
        </w:tc>
        <w:tc>
          <w:tcPr>
            <w:tcW w:w="1984"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spacing w:before="60" w:line="276" w:lineRule="auto"/>
              <w:ind w:firstLine="0"/>
              <w:jc w:val="right"/>
              <w:rPr>
                <w:sz w:val="20"/>
                <w:szCs w:val="20"/>
              </w:rPr>
            </w:pPr>
            <w:r w:rsidRPr="004761E0">
              <w:rPr>
                <w:sz w:val="20"/>
                <w:szCs w:val="20"/>
              </w:rPr>
              <w:t>Стабильный</w:t>
            </w:r>
          </w:p>
        </w:tc>
        <w:tc>
          <w:tcPr>
            <w:tcW w:w="1985"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spacing w:before="60" w:line="276" w:lineRule="auto"/>
              <w:ind w:firstLine="0"/>
              <w:jc w:val="right"/>
              <w:rPr>
                <w:sz w:val="20"/>
                <w:szCs w:val="20"/>
                <w:lang w:val="en-US"/>
              </w:rPr>
            </w:pPr>
            <w:r w:rsidRPr="004761E0">
              <w:rPr>
                <w:sz w:val="20"/>
                <w:szCs w:val="20"/>
                <w:lang w:val="en-US"/>
              </w:rPr>
              <w:t>03.07.2012</w:t>
            </w:r>
          </w:p>
        </w:tc>
      </w:tr>
      <w:tr w:rsidR="000F7D98" w:rsidRPr="004761E0" w:rsidTr="000F7D98">
        <w:trPr>
          <w:trHeight w:val="300"/>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0F7D98" w:rsidRPr="004761E0" w:rsidRDefault="000F7D98" w:rsidP="007076A7">
            <w:pPr>
              <w:numPr>
                <w:ilvl w:val="0"/>
                <w:numId w:val="162"/>
              </w:numPr>
              <w:jc w:val="left"/>
              <w:rPr>
                <w:rFonts w:eastAsia="Times New Roman"/>
                <w:b/>
                <w:color w:val="000000"/>
                <w:sz w:val="20"/>
                <w:szCs w:val="20"/>
                <w:lang w:eastAsia="ru-RU"/>
              </w:rPr>
            </w:pPr>
          </w:p>
        </w:tc>
        <w:tc>
          <w:tcPr>
            <w:tcW w:w="3293" w:type="dxa"/>
            <w:tcBorders>
              <w:top w:val="nil"/>
              <w:left w:val="nil"/>
              <w:bottom w:val="single" w:sz="4" w:space="0" w:color="auto"/>
              <w:right w:val="single" w:sz="4" w:space="0" w:color="auto"/>
            </w:tcBorders>
            <w:shd w:val="clear" w:color="auto" w:fill="auto"/>
            <w:vAlign w:val="center"/>
          </w:tcPr>
          <w:p w:rsidR="000F7D98" w:rsidRPr="004761E0" w:rsidRDefault="000F7D98" w:rsidP="005E74B6">
            <w:pPr>
              <w:spacing w:before="60" w:line="276" w:lineRule="auto"/>
              <w:ind w:firstLine="0"/>
              <w:jc w:val="left"/>
              <w:rPr>
                <w:sz w:val="20"/>
                <w:szCs w:val="20"/>
                <w:lang w:val="en-US"/>
              </w:rPr>
            </w:pPr>
            <w:r w:rsidRPr="004761E0">
              <w:rPr>
                <w:sz w:val="20"/>
                <w:szCs w:val="20"/>
                <w:lang w:val="en-US"/>
              </w:rPr>
              <w:t xml:space="preserve">Standard </w:t>
            </w:r>
            <w:r w:rsidR="005E74B6">
              <w:rPr>
                <w:sz w:val="20"/>
                <w:szCs w:val="20"/>
                <w:lang w:val="en-US"/>
              </w:rPr>
              <w:t>&amp;</w:t>
            </w:r>
            <w:r w:rsidRPr="004761E0">
              <w:rPr>
                <w:sz w:val="20"/>
                <w:szCs w:val="20"/>
                <w:lang w:val="en-US"/>
              </w:rPr>
              <w:t xml:space="preserve"> Poor’s</w:t>
            </w:r>
          </w:p>
        </w:tc>
        <w:tc>
          <w:tcPr>
            <w:tcW w:w="2126"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spacing w:before="60" w:line="276" w:lineRule="auto"/>
              <w:ind w:firstLine="0"/>
              <w:jc w:val="right"/>
              <w:rPr>
                <w:sz w:val="20"/>
                <w:szCs w:val="20"/>
              </w:rPr>
            </w:pPr>
            <w:r w:rsidRPr="004761E0">
              <w:rPr>
                <w:sz w:val="20"/>
                <w:szCs w:val="20"/>
                <w:lang w:val="en-US"/>
              </w:rPr>
              <w:t>BB</w:t>
            </w:r>
          </w:p>
        </w:tc>
        <w:tc>
          <w:tcPr>
            <w:tcW w:w="1984"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spacing w:before="60" w:line="276" w:lineRule="auto"/>
              <w:ind w:firstLine="0"/>
              <w:jc w:val="right"/>
              <w:rPr>
                <w:sz w:val="20"/>
                <w:szCs w:val="20"/>
              </w:rPr>
            </w:pPr>
            <w:r w:rsidRPr="004761E0">
              <w:rPr>
                <w:sz w:val="20"/>
                <w:szCs w:val="20"/>
              </w:rPr>
              <w:t>Стабильный</w:t>
            </w:r>
          </w:p>
        </w:tc>
        <w:tc>
          <w:tcPr>
            <w:tcW w:w="1985"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spacing w:before="60" w:line="276" w:lineRule="auto"/>
              <w:ind w:firstLine="0"/>
              <w:jc w:val="right"/>
              <w:rPr>
                <w:sz w:val="20"/>
                <w:szCs w:val="20"/>
              </w:rPr>
            </w:pPr>
            <w:r w:rsidRPr="004761E0">
              <w:rPr>
                <w:sz w:val="20"/>
                <w:szCs w:val="20"/>
              </w:rPr>
              <w:t>19.02.2013</w:t>
            </w:r>
          </w:p>
        </w:tc>
      </w:tr>
      <w:tr w:rsidR="000F7D98" w:rsidRPr="004761E0" w:rsidTr="000F7D98">
        <w:trPr>
          <w:trHeight w:val="300"/>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0F7D98" w:rsidRPr="004761E0" w:rsidRDefault="000F7D98" w:rsidP="007076A7">
            <w:pPr>
              <w:numPr>
                <w:ilvl w:val="0"/>
                <w:numId w:val="162"/>
              </w:numPr>
              <w:jc w:val="left"/>
              <w:rPr>
                <w:rFonts w:eastAsia="Times New Roman"/>
                <w:b/>
                <w:color w:val="000000"/>
                <w:sz w:val="20"/>
                <w:szCs w:val="20"/>
                <w:lang w:eastAsia="ru-RU"/>
              </w:rPr>
            </w:pPr>
          </w:p>
        </w:tc>
        <w:tc>
          <w:tcPr>
            <w:tcW w:w="3293"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spacing w:before="60" w:line="276" w:lineRule="auto"/>
              <w:ind w:firstLine="0"/>
              <w:jc w:val="left"/>
              <w:rPr>
                <w:sz w:val="20"/>
                <w:szCs w:val="20"/>
                <w:lang w:val="en-US"/>
              </w:rPr>
            </w:pPr>
            <w:r w:rsidRPr="004761E0">
              <w:rPr>
                <w:sz w:val="20"/>
                <w:szCs w:val="20"/>
                <w:lang w:val="en-US"/>
              </w:rPr>
              <w:t>Fitch Ratings</w:t>
            </w:r>
          </w:p>
        </w:tc>
        <w:tc>
          <w:tcPr>
            <w:tcW w:w="2126"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spacing w:before="60" w:line="276" w:lineRule="auto"/>
              <w:ind w:firstLine="0"/>
              <w:jc w:val="right"/>
              <w:rPr>
                <w:sz w:val="20"/>
                <w:szCs w:val="20"/>
                <w:lang w:val="en-US"/>
              </w:rPr>
            </w:pPr>
            <w:r w:rsidRPr="004761E0">
              <w:rPr>
                <w:sz w:val="20"/>
                <w:szCs w:val="20"/>
                <w:lang w:val="en-US"/>
              </w:rPr>
              <w:t>BB+</w:t>
            </w:r>
          </w:p>
        </w:tc>
        <w:tc>
          <w:tcPr>
            <w:tcW w:w="1984" w:type="dxa"/>
            <w:tcBorders>
              <w:top w:val="nil"/>
              <w:left w:val="nil"/>
              <w:bottom w:val="single" w:sz="4" w:space="0" w:color="auto"/>
              <w:right w:val="single" w:sz="4" w:space="0" w:color="auto"/>
            </w:tcBorders>
            <w:shd w:val="clear" w:color="auto" w:fill="auto"/>
            <w:vAlign w:val="center"/>
          </w:tcPr>
          <w:p w:rsidR="000F7D98" w:rsidRPr="004761E0" w:rsidRDefault="000F7D98" w:rsidP="001B3AA0">
            <w:pPr>
              <w:spacing w:before="60" w:line="276" w:lineRule="auto"/>
              <w:ind w:firstLine="0"/>
              <w:jc w:val="right"/>
              <w:rPr>
                <w:sz w:val="20"/>
                <w:szCs w:val="20"/>
              </w:rPr>
            </w:pPr>
            <w:r w:rsidRPr="004761E0">
              <w:rPr>
                <w:sz w:val="20"/>
                <w:szCs w:val="20"/>
              </w:rPr>
              <w:t>Стабильный</w:t>
            </w:r>
          </w:p>
        </w:tc>
        <w:tc>
          <w:tcPr>
            <w:tcW w:w="1985" w:type="dxa"/>
            <w:tcBorders>
              <w:top w:val="nil"/>
              <w:left w:val="nil"/>
              <w:bottom w:val="single" w:sz="4" w:space="0" w:color="auto"/>
              <w:right w:val="single" w:sz="4" w:space="0" w:color="auto"/>
            </w:tcBorders>
            <w:shd w:val="clear" w:color="auto" w:fill="auto"/>
            <w:vAlign w:val="center"/>
          </w:tcPr>
          <w:p w:rsidR="000F7D98" w:rsidRPr="004761E0" w:rsidRDefault="000F7D98" w:rsidP="000F7D98">
            <w:pPr>
              <w:spacing w:before="60" w:line="276" w:lineRule="auto"/>
              <w:ind w:firstLine="0"/>
              <w:jc w:val="right"/>
              <w:rPr>
                <w:sz w:val="20"/>
                <w:szCs w:val="20"/>
              </w:rPr>
            </w:pPr>
            <w:r w:rsidRPr="004761E0">
              <w:rPr>
                <w:sz w:val="20"/>
                <w:szCs w:val="20"/>
              </w:rPr>
              <w:t>09.08.2013</w:t>
            </w:r>
          </w:p>
        </w:tc>
      </w:tr>
    </w:tbl>
    <w:p w:rsidR="001E0ACA" w:rsidRPr="004761E0" w:rsidRDefault="001E0ACA" w:rsidP="001E0ACA">
      <w:pPr>
        <w:shd w:val="clear" w:color="auto" w:fill="FFFFFF"/>
        <w:rPr>
          <w:color w:val="000000"/>
          <w:sz w:val="26"/>
          <w:szCs w:val="26"/>
        </w:rPr>
      </w:pPr>
      <w:r w:rsidRPr="004761E0">
        <w:rPr>
          <w:bCs/>
          <w:iCs/>
          <w:color w:val="000000"/>
          <w:sz w:val="26"/>
          <w:szCs w:val="26"/>
        </w:rPr>
        <w:t xml:space="preserve">19 февраля 2013 года международное рейтинговое агентство Standard &amp; Poor's повысило рейтинги </w:t>
      </w:r>
      <w:r w:rsidR="0008080E">
        <w:rPr>
          <w:bCs/>
          <w:iCs/>
          <w:color w:val="000000"/>
          <w:sz w:val="26"/>
          <w:szCs w:val="26"/>
        </w:rPr>
        <w:t>ОАО </w:t>
      </w:r>
      <w:r w:rsidRPr="004761E0">
        <w:rPr>
          <w:bCs/>
          <w:iCs/>
          <w:color w:val="000000"/>
          <w:sz w:val="26"/>
          <w:szCs w:val="26"/>
        </w:rPr>
        <w:t>«МОЭСК» до уровня BB/ruAA, прогноз «стабильный», на ожидании положительных изменений по показателям долга и ликвидности.</w:t>
      </w:r>
    </w:p>
    <w:p w:rsidR="001E0ACA" w:rsidRPr="004761E0" w:rsidRDefault="001E0ACA" w:rsidP="001E0ACA">
      <w:pPr>
        <w:shd w:val="clear" w:color="auto" w:fill="FFFFFF"/>
        <w:rPr>
          <w:color w:val="000000"/>
          <w:sz w:val="26"/>
          <w:szCs w:val="26"/>
        </w:rPr>
      </w:pPr>
      <w:r w:rsidRPr="004761E0">
        <w:rPr>
          <w:color w:val="000000"/>
          <w:sz w:val="26"/>
          <w:szCs w:val="26"/>
        </w:rPr>
        <w:t xml:space="preserve">В сообщении Агентства говорится, что оценка ликвидности </w:t>
      </w:r>
      <w:r w:rsidR="0008080E">
        <w:rPr>
          <w:color w:val="000000"/>
          <w:sz w:val="26"/>
          <w:szCs w:val="26"/>
        </w:rPr>
        <w:t>ОАО </w:t>
      </w:r>
      <w:r w:rsidRPr="004761E0">
        <w:rPr>
          <w:color w:val="000000"/>
          <w:sz w:val="26"/>
          <w:szCs w:val="26"/>
        </w:rPr>
        <w:t xml:space="preserve">«МОЭСК» повышена до уровня «адекватная» против «менее, чем адекватная», определенного при присвоении рейтинга в 2012 году. </w:t>
      </w:r>
    </w:p>
    <w:p w:rsidR="001E0ACA" w:rsidRPr="004761E0" w:rsidRDefault="001E0ACA" w:rsidP="001E0ACA">
      <w:pPr>
        <w:shd w:val="clear" w:color="auto" w:fill="FFFFFF"/>
        <w:rPr>
          <w:color w:val="000000"/>
          <w:sz w:val="26"/>
          <w:szCs w:val="26"/>
        </w:rPr>
      </w:pPr>
      <w:r w:rsidRPr="004761E0">
        <w:rPr>
          <w:color w:val="000000"/>
          <w:sz w:val="26"/>
          <w:szCs w:val="26"/>
        </w:rPr>
        <w:t xml:space="preserve">Поддерживающими факторами повышения рейтингов </w:t>
      </w:r>
      <w:r w:rsidR="0008080E">
        <w:rPr>
          <w:color w:val="000000"/>
          <w:sz w:val="26"/>
          <w:szCs w:val="26"/>
        </w:rPr>
        <w:t>ОАО </w:t>
      </w:r>
      <w:r w:rsidR="003130DE" w:rsidRPr="004761E0">
        <w:rPr>
          <w:color w:val="000000"/>
          <w:sz w:val="26"/>
          <w:szCs w:val="26"/>
        </w:rPr>
        <w:t>«</w:t>
      </w:r>
      <w:r w:rsidRPr="004761E0">
        <w:rPr>
          <w:color w:val="000000"/>
          <w:sz w:val="26"/>
          <w:szCs w:val="26"/>
        </w:rPr>
        <w:t>МОЭСК</w:t>
      </w:r>
      <w:r w:rsidR="003130DE" w:rsidRPr="004761E0">
        <w:rPr>
          <w:color w:val="000000"/>
          <w:sz w:val="26"/>
          <w:szCs w:val="26"/>
        </w:rPr>
        <w:t>»</w:t>
      </w:r>
      <w:r w:rsidRPr="004761E0">
        <w:rPr>
          <w:color w:val="000000"/>
          <w:sz w:val="26"/>
          <w:szCs w:val="26"/>
        </w:rPr>
        <w:t xml:space="preserve"> явились доминирующая позиция среди распределительных операторов г. Москвы и Московской области, относительно стабильный денежный поток от передачи электроэнергии и благоприятный в долгосрочной перспективе профиль сроков расчетов по обязательствам.</w:t>
      </w:r>
    </w:p>
    <w:p w:rsidR="001E0ACA" w:rsidRPr="004761E0" w:rsidRDefault="001E0ACA" w:rsidP="001E0ACA">
      <w:pPr>
        <w:shd w:val="clear" w:color="auto" w:fill="FFFFFF"/>
        <w:rPr>
          <w:color w:val="000000"/>
          <w:sz w:val="26"/>
          <w:szCs w:val="26"/>
        </w:rPr>
      </w:pPr>
      <w:r w:rsidRPr="004761E0">
        <w:rPr>
          <w:color w:val="000000"/>
          <w:sz w:val="26"/>
          <w:szCs w:val="26"/>
        </w:rPr>
        <w:t xml:space="preserve">Standard &amp; Poor's определяет </w:t>
      </w:r>
      <w:r w:rsidR="0008080E">
        <w:rPr>
          <w:color w:val="000000"/>
          <w:sz w:val="26"/>
          <w:szCs w:val="26"/>
        </w:rPr>
        <w:t>ОАО </w:t>
      </w:r>
      <w:r w:rsidRPr="004761E0">
        <w:rPr>
          <w:color w:val="000000"/>
          <w:sz w:val="26"/>
          <w:szCs w:val="26"/>
        </w:rPr>
        <w:t>«МОЭСК» как компанию, связанную с государством. Отмечается вероятность государственной поддержки в случае финансовых затруднений Компании.</w:t>
      </w:r>
    </w:p>
    <w:p w:rsidR="001E0ACA" w:rsidRPr="004761E0" w:rsidRDefault="001E0ACA" w:rsidP="001E0ACA">
      <w:pPr>
        <w:shd w:val="clear" w:color="auto" w:fill="FFFFFF"/>
        <w:rPr>
          <w:bCs/>
          <w:iCs/>
          <w:color w:val="000000"/>
          <w:sz w:val="26"/>
          <w:szCs w:val="26"/>
        </w:rPr>
      </w:pPr>
      <w:r w:rsidRPr="004761E0">
        <w:rPr>
          <w:bCs/>
          <w:iCs/>
          <w:color w:val="000000"/>
          <w:sz w:val="26"/>
          <w:szCs w:val="26"/>
        </w:rPr>
        <w:t xml:space="preserve">8 августа 2013 года международное рейтинговое агентство Fitch Ratings присвоило долгосрочный корпоративный кредитный рейтинг </w:t>
      </w:r>
      <w:r w:rsidR="0008080E">
        <w:rPr>
          <w:bCs/>
          <w:iCs/>
          <w:color w:val="000000"/>
          <w:sz w:val="26"/>
          <w:szCs w:val="26"/>
        </w:rPr>
        <w:t>ОАО </w:t>
      </w:r>
      <w:r w:rsidRPr="004761E0">
        <w:rPr>
          <w:bCs/>
          <w:iCs/>
          <w:color w:val="000000"/>
          <w:sz w:val="26"/>
          <w:szCs w:val="26"/>
        </w:rPr>
        <w:t>«МОЭСК» в иностранной и национальной валюте уровня BB+ со «стабильным» прогнозом и краткосрочный кредитный рейтинг в иностранной валюте на уровне B.</w:t>
      </w:r>
    </w:p>
    <w:p w:rsidR="001E0ACA" w:rsidRPr="004761E0" w:rsidRDefault="003130DE" w:rsidP="001E0ACA">
      <w:pPr>
        <w:shd w:val="clear" w:color="auto" w:fill="FFFFFF"/>
        <w:rPr>
          <w:color w:val="000000"/>
          <w:sz w:val="26"/>
          <w:szCs w:val="26"/>
        </w:rPr>
      </w:pPr>
      <w:r w:rsidRPr="004761E0">
        <w:rPr>
          <w:color w:val="000000"/>
          <w:sz w:val="26"/>
          <w:szCs w:val="26"/>
        </w:rPr>
        <w:t>По мнению агентства о</w:t>
      </w:r>
      <w:r w:rsidR="001E0ACA" w:rsidRPr="004761E0">
        <w:rPr>
          <w:color w:val="000000"/>
          <w:sz w:val="26"/>
          <w:szCs w:val="26"/>
        </w:rPr>
        <w:t xml:space="preserve">ценка самостоятельной кредитоспособности </w:t>
      </w:r>
      <w:r w:rsidR="0008080E">
        <w:rPr>
          <w:color w:val="000000"/>
          <w:sz w:val="26"/>
          <w:szCs w:val="26"/>
        </w:rPr>
        <w:t>ОАО </w:t>
      </w:r>
      <w:r w:rsidR="001E0ACA" w:rsidRPr="004761E0">
        <w:rPr>
          <w:color w:val="000000"/>
          <w:sz w:val="26"/>
          <w:szCs w:val="26"/>
        </w:rPr>
        <w:t>«МОЭСК» поддерживается ее близкой к монопольной позицией на рынке распределения электроэнергии в Москве и Московской области, диверсифицированной клиентской базой, параметрами, лучше установленных регулятивных целевых уровней, и хорошими показателями кредитоспособности. Одним из основных факторов, сдерживающих рейтинг, является неопределенность и низкая предсказуемость свойственная российской регулятивной среде для компаний по распределению электроэнергии.</w:t>
      </w:r>
    </w:p>
    <w:p w:rsidR="002E2553" w:rsidRPr="009817EE" w:rsidRDefault="002E2553" w:rsidP="009817EE">
      <w:pPr>
        <w:spacing w:before="120" w:after="120"/>
        <w:ind w:firstLine="567"/>
        <w:rPr>
          <w:b/>
          <w:sz w:val="26"/>
          <w:szCs w:val="26"/>
        </w:rPr>
      </w:pPr>
      <w:r w:rsidRPr="009817EE">
        <w:rPr>
          <w:b/>
          <w:sz w:val="26"/>
          <w:szCs w:val="26"/>
        </w:rPr>
        <w:t>Основные коэффициенты</w:t>
      </w:r>
    </w:p>
    <w:tbl>
      <w:tblPr>
        <w:tblW w:w="9936" w:type="dxa"/>
        <w:tblInd w:w="95" w:type="dxa"/>
        <w:tblLook w:val="04A0"/>
      </w:tblPr>
      <w:tblGrid>
        <w:gridCol w:w="580"/>
        <w:gridCol w:w="4820"/>
        <w:gridCol w:w="1134"/>
        <w:gridCol w:w="1134"/>
        <w:gridCol w:w="1134"/>
        <w:gridCol w:w="1134"/>
      </w:tblGrid>
      <w:tr w:rsidR="00050AA7" w:rsidRPr="004761E0" w:rsidTr="002C5A29">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050AA7" w:rsidRPr="004761E0" w:rsidRDefault="00050AA7" w:rsidP="002C5A29">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48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050AA7" w:rsidRPr="004761E0" w:rsidRDefault="00050AA7" w:rsidP="002C5A29">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050AA7" w:rsidRPr="004761E0" w:rsidRDefault="00050AA7" w:rsidP="002C5A2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050AA7" w:rsidRPr="004761E0" w:rsidRDefault="00050AA7" w:rsidP="002C5A2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050AA7" w:rsidRPr="004761E0" w:rsidRDefault="00050AA7" w:rsidP="002C5A2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050AA7" w:rsidRPr="004761E0" w:rsidRDefault="00050AA7" w:rsidP="002C5A2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512DCC" w:rsidRPr="004761E0" w:rsidTr="00050AA7">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12DCC" w:rsidRPr="004761E0" w:rsidRDefault="00512DCC" w:rsidP="007076A7">
            <w:pPr>
              <w:numPr>
                <w:ilvl w:val="0"/>
                <w:numId w:val="224"/>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512DCC" w:rsidRPr="004761E0" w:rsidRDefault="00512DCC" w:rsidP="00512DCC">
            <w:pPr>
              <w:ind w:firstLine="0"/>
              <w:jc w:val="left"/>
              <w:rPr>
                <w:rFonts w:eastAsia="Times New Roman"/>
                <w:sz w:val="20"/>
                <w:szCs w:val="20"/>
                <w:lang w:eastAsia="ru-RU"/>
              </w:rPr>
            </w:pPr>
            <w:r>
              <w:rPr>
                <w:rFonts w:eastAsia="Times New Roman"/>
                <w:sz w:val="20"/>
                <w:szCs w:val="20"/>
                <w:lang w:eastAsia="ru-RU"/>
              </w:rPr>
              <w:t>Суммарный долг (включая обя</w:t>
            </w:r>
            <w:r w:rsidR="00504DBE">
              <w:rPr>
                <w:rFonts w:eastAsia="Times New Roman"/>
                <w:sz w:val="20"/>
                <w:szCs w:val="20"/>
                <w:lang w:eastAsia="ru-RU"/>
              </w:rPr>
              <w:t xml:space="preserve">зательства по фин. аренде), млн </w:t>
            </w:r>
            <w:r>
              <w:rPr>
                <w:rFonts w:eastAsia="Times New Roman"/>
                <w:sz w:val="20"/>
                <w:szCs w:val="20"/>
                <w:lang w:eastAsia="ru-RU"/>
              </w:rPr>
              <w:t>руб.</w:t>
            </w:r>
          </w:p>
        </w:tc>
        <w:tc>
          <w:tcPr>
            <w:tcW w:w="1134" w:type="dxa"/>
            <w:tcBorders>
              <w:top w:val="nil"/>
              <w:left w:val="nil"/>
              <w:bottom w:val="single" w:sz="4" w:space="0" w:color="auto"/>
              <w:right w:val="single" w:sz="4" w:space="0" w:color="auto"/>
            </w:tcBorders>
            <w:shd w:val="clear" w:color="auto" w:fill="auto"/>
            <w:vAlign w:val="center"/>
            <w:hideMark/>
          </w:tcPr>
          <w:p w:rsidR="00512DCC" w:rsidRPr="004761E0" w:rsidRDefault="00512DCC" w:rsidP="00512DCC">
            <w:pPr>
              <w:ind w:firstLine="0"/>
              <w:jc w:val="right"/>
              <w:rPr>
                <w:rFonts w:eastAsia="Times New Roman"/>
                <w:sz w:val="20"/>
                <w:szCs w:val="20"/>
                <w:lang w:eastAsia="ru-RU"/>
              </w:rPr>
            </w:pPr>
            <w:r>
              <w:rPr>
                <w:rFonts w:eastAsia="Times New Roman"/>
                <w:sz w:val="20"/>
                <w:szCs w:val="20"/>
                <w:lang w:eastAsia="ru-RU"/>
              </w:rPr>
              <w:t>47 158</w:t>
            </w:r>
          </w:p>
        </w:tc>
        <w:tc>
          <w:tcPr>
            <w:tcW w:w="1134" w:type="dxa"/>
            <w:tcBorders>
              <w:top w:val="nil"/>
              <w:left w:val="nil"/>
              <w:bottom w:val="single" w:sz="4" w:space="0" w:color="auto"/>
              <w:right w:val="single" w:sz="4" w:space="0" w:color="auto"/>
            </w:tcBorders>
            <w:shd w:val="clear" w:color="auto" w:fill="auto"/>
            <w:vAlign w:val="center"/>
            <w:hideMark/>
          </w:tcPr>
          <w:p w:rsidR="00512DCC" w:rsidRPr="004761E0" w:rsidRDefault="00512DCC" w:rsidP="00512DCC">
            <w:pPr>
              <w:ind w:firstLine="0"/>
              <w:jc w:val="right"/>
              <w:rPr>
                <w:rFonts w:eastAsia="Times New Roman"/>
                <w:sz w:val="20"/>
                <w:szCs w:val="20"/>
                <w:lang w:eastAsia="ru-RU"/>
              </w:rPr>
            </w:pPr>
            <w:r>
              <w:rPr>
                <w:rFonts w:eastAsia="Times New Roman"/>
                <w:sz w:val="20"/>
                <w:szCs w:val="20"/>
                <w:lang w:eastAsia="ru-RU"/>
              </w:rPr>
              <w:t>54 818</w:t>
            </w:r>
          </w:p>
        </w:tc>
        <w:tc>
          <w:tcPr>
            <w:tcW w:w="1134" w:type="dxa"/>
            <w:tcBorders>
              <w:top w:val="nil"/>
              <w:left w:val="nil"/>
              <w:bottom w:val="single" w:sz="4" w:space="0" w:color="auto"/>
              <w:right w:val="single" w:sz="4" w:space="0" w:color="auto"/>
            </w:tcBorders>
            <w:shd w:val="clear" w:color="auto" w:fill="auto"/>
            <w:vAlign w:val="center"/>
            <w:hideMark/>
          </w:tcPr>
          <w:p w:rsidR="00512DCC" w:rsidRPr="004761E0" w:rsidRDefault="00512DCC" w:rsidP="00512DCC">
            <w:pPr>
              <w:ind w:firstLine="0"/>
              <w:jc w:val="right"/>
              <w:rPr>
                <w:rFonts w:eastAsia="Times New Roman"/>
                <w:sz w:val="20"/>
                <w:szCs w:val="20"/>
                <w:lang w:eastAsia="ru-RU"/>
              </w:rPr>
            </w:pPr>
            <w:r>
              <w:rPr>
                <w:rFonts w:eastAsia="Times New Roman"/>
                <w:sz w:val="20"/>
                <w:szCs w:val="20"/>
                <w:lang w:eastAsia="ru-RU"/>
              </w:rPr>
              <w:t>57 550</w:t>
            </w:r>
          </w:p>
        </w:tc>
        <w:tc>
          <w:tcPr>
            <w:tcW w:w="1134" w:type="dxa"/>
            <w:tcBorders>
              <w:top w:val="nil"/>
              <w:left w:val="nil"/>
              <w:bottom w:val="single" w:sz="4" w:space="0" w:color="auto"/>
              <w:right w:val="single" w:sz="4" w:space="0" w:color="auto"/>
            </w:tcBorders>
            <w:shd w:val="clear" w:color="auto" w:fill="auto"/>
            <w:vAlign w:val="center"/>
            <w:hideMark/>
          </w:tcPr>
          <w:p w:rsidR="00512DCC" w:rsidRPr="004761E0" w:rsidRDefault="00512DCC" w:rsidP="00512DCC">
            <w:pPr>
              <w:ind w:firstLine="34"/>
              <w:jc w:val="right"/>
              <w:rPr>
                <w:color w:val="000000"/>
                <w:sz w:val="20"/>
                <w:szCs w:val="20"/>
              </w:rPr>
            </w:pPr>
            <w:r>
              <w:rPr>
                <w:color w:val="000000"/>
                <w:sz w:val="20"/>
                <w:szCs w:val="20"/>
              </w:rPr>
              <w:t>4,98 %</w:t>
            </w:r>
          </w:p>
        </w:tc>
      </w:tr>
      <w:tr w:rsidR="00512DCC" w:rsidRPr="004761E0" w:rsidTr="00050AA7">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12DCC" w:rsidRPr="004761E0" w:rsidRDefault="00512DCC" w:rsidP="007076A7">
            <w:pPr>
              <w:numPr>
                <w:ilvl w:val="0"/>
                <w:numId w:val="224"/>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512DCC" w:rsidRPr="004761E0" w:rsidRDefault="00512DCC" w:rsidP="00512DCC">
            <w:pPr>
              <w:ind w:firstLine="0"/>
              <w:jc w:val="left"/>
              <w:rPr>
                <w:rFonts w:eastAsia="Times New Roman"/>
                <w:sz w:val="20"/>
                <w:szCs w:val="20"/>
                <w:lang w:eastAsia="ru-RU"/>
              </w:rPr>
            </w:pPr>
            <w:r w:rsidRPr="004761E0">
              <w:rPr>
                <w:rFonts w:eastAsia="Times New Roman"/>
                <w:sz w:val="20"/>
                <w:szCs w:val="20"/>
                <w:lang w:eastAsia="ru-RU"/>
              </w:rPr>
              <w:t>Долг</w:t>
            </w:r>
            <w:r w:rsidR="00DD16E2" w:rsidRPr="00DB2C5C">
              <w:rPr>
                <w:rFonts w:eastAsia="Times New Roman"/>
                <w:sz w:val="20"/>
                <w:szCs w:val="20"/>
                <w:lang w:eastAsia="ru-RU"/>
              </w:rPr>
              <w:t xml:space="preserve"> </w:t>
            </w:r>
            <w:r>
              <w:rPr>
                <w:rFonts w:eastAsia="Times New Roman"/>
                <w:sz w:val="20"/>
                <w:szCs w:val="20"/>
                <w:lang w:eastAsia="ru-RU"/>
              </w:rPr>
              <w:t>(кредиты и облигационные займы)</w:t>
            </w:r>
            <w:r w:rsidRPr="004761E0">
              <w:rPr>
                <w:rFonts w:eastAsia="Times New Roman"/>
                <w:sz w:val="20"/>
                <w:szCs w:val="20"/>
                <w:lang w:eastAsia="ru-RU"/>
              </w:rPr>
              <w:t>, млн руб.</w:t>
            </w:r>
          </w:p>
        </w:tc>
        <w:tc>
          <w:tcPr>
            <w:tcW w:w="1134" w:type="dxa"/>
            <w:tcBorders>
              <w:top w:val="nil"/>
              <w:left w:val="nil"/>
              <w:bottom w:val="single" w:sz="4" w:space="0" w:color="auto"/>
              <w:right w:val="single" w:sz="4" w:space="0" w:color="auto"/>
            </w:tcBorders>
            <w:shd w:val="clear" w:color="auto" w:fill="auto"/>
            <w:vAlign w:val="center"/>
            <w:hideMark/>
          </w:tcPr>
          <w:p w:rsidR="00512DCC" w:rsidRPr="004761E0" w:rsidRDefault="00512DCC" w:rsidP="00512DCC">
            <w:pPr>
              <w:ind w:firstLine="0"/>
              <w:jc w:val="right"/>
              <w:rPr>
                <w:rFonts w:eastAsia="Times New Roman"/>
                <w:sz w:val="20"/>
                <w:szCs w:val="20"/>
                <w:lang w:eastAsia="ru-RU"/>
              </w:rPr>
            </w:pPr>
            <w:r w:rsidRPr="004761E0">
              <w:rPr>
                <w:rFonts w:eastAsia="Times New Roman"/>
                <w:sz w:val="20"/>
                <w:szCs w:val="20"/>
                <w:lang w:eastAsia="ru-RU"/>
              </w:rPr>
              <w:t>40 426</w:t>
            </w:r>
          </w:p>
        </w:tc>
        <w:tc>
          <w:tcPr>
            <w:tcW w:w="1134" w:type="dxa"/>
            <w:tcBorders>
              <w:top w:val="nil"/>
              <w:left w:val="nil"/>
              <w:bottom w:val="single" w:sz="4" w:space="0" w:color="auto"/>
              <w:right w:val="single" w:sz="4" w:space="0" w:color="auto"/>
            </w:tcBorders>
            <w:shd w:val="clear" w:color="auto" w:fill="auto"/>
            <w:vAlign w:val="center"/>
            <w:hideMark/>
          </w:tcPr>
          <w:p w:rsidR="00512DCC" w:rsidRPr="004761E0" w:rsidRDefault="00512DCC" w:rsidP="00512DCC">
            <w:pPr>
              <w:ind w:firstLine="0"/>
              <w:jc w:val="right"/>
              <w:rPr>
                <w:rFonts w:eastAsia="Times New Roman"/>
                <w:sz w:val="20"/>
                <w:szCs w:val="20"/>
                <w:lang w:eastAsia="ru-RU"/>
              </w:rPr>
            </w:pPr>
            <w:r w:rsidRPr="004761E0">
              <w:rPr>
                <w:rFonts w:eastAsia="Times New Roman"/>
                <w:sz w:val="20"/>
                <w:szCs w:val="20"/>
                <w:lang w:eastAsia="ru-RU"/>
              </w:rPr>
              <w:t>52 530</w:t>
            </w:r>
          </w:p>
        </w:tc>
        <w:tc>
          <w:tcPr>
            <w:tcW w:w="1134" w:type="dxa"/>
            <w:tcBorders>
              <w:top w:val="nil"/>
              <w:left w:val="nil"/>
              <w:bottom w:val="single" w:sz="4" w:space="0" w:color="auto"/>
              <w:right w:val="single" w:sz="4" w:space="0" w:color="auto"/>
            </w:tcBorders>
            <w:shd w:val="clear" w:color="auto" w:fill="auto"/>
            <w:vAlign w:val="center"/>
            <w:hideMark/>
          </w:tcPr>
          <w:p w:rsidR="00512DCC" w:rsidRPr="004761E0" w:rsidRDefault="00512DCC" w:rsidP="00512DCC">
            <w:pPr>
              <w:ind w:firstLine="0"/>
              <w:jc w:val="right"/>
              <w:rPr>
                <w:rFonts w:eastAsia="Times New Roman"/>
                <w:sz w:val="20"/>
                <w:szCs w:val="20"/>
                <w:lang w:eastAsia="ru-RU"/>
              </w:rPr>
            </w:pPr>
            <w:r w:rsidRPr="004761E0">
              <w:rPr>
                <w:rFonts w:eastAsia="Times New Roman"/>
                <w:sz w:val="20"/>
                <w:szCs w:val="20"/>
                <w:lang w:eastAsia="ru-RU"/>
              </w:rPr>
              <w:t>57 527</w:t>
            </w:r>
          </w:p>
        </w:tc>
        <w:tc>
          <w:tcPr>
            <w:tcW w:w="1134" w:type="dxa"/>
            <w:tcBorders>
              <w:top w:val="nil"/>
              <w:left w:val="nil"/>
              <w:bottom w:val="single" w:sz="4" w:space="0" w:color="auto"/>
              <w:right w:val="single" w:sz="4" w:space="0" w:color="auto"/>
            </w:tcBorders>
            <w:shd w:val="clear" w:color="auto" w:fill="auto"/>
            <w:vAlign w:val="center"/>
            <w:hideMark/>
          </w:tcPr>
          <w:p w:rsidR="00512DCC" w:rsidRPr="004761E0" w:rsidRDefault="00512DCC" w:rsidP="00512DCC">
            <w:pPr>
              <w:ind w:firstLine="34"/>
              <w:jc w:val="right"/>
              <w:rPr>
                <w:color w:val="000000"/>
                <w:sz w:val="20"/>
                <w:szCs w:val="20"/>
              </w:rPr>
            </w:pPr>
            <w:r w:rsidRPr="004761E0">
              <w:rPr>
                <w:color w:val="000000"/>
                <w:sz w:val="20"/>
                <w:szCs w:val="20"/>
              </w:rPr>
              <w:t>9,51 %</w:t>
            </w:r>
          </w:p>
        </w:tc>
      </w:tr>
      <w:tr w:rsidR="00050AA7" w:rsidRPr="004761E0" w:rsidTr="00050AA7">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50AA7" w:rsidRPr="004761E0" w:rsidRDefault="00050AA7" w:rsidP="007076A7">
            <w:pPr>
              <w:numPr>
                <w:ilvl w:val="0"/>
                <w:numId w:val="224"/>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050AA7" w:rsidRPr="004761E0" w:rsidRDefault="00050AA7" w:rsidP="002C5A29">
            <w:pPr>
              <w:ind w:firstLine="0"/>
              <w:jc w:val="left"/>
              <w:rPr>
                <w:rFonts w:eastAsia="Times New Roman"/>
                <w:sz w:val="20"/>
                <w:szCs w:val="20"/>
                <w:lang w:eastAsia="ru-RU"/>
              </w:rPr>
            </w:pPr>
            <w:r w:rsidRPr="004761E0">
              <w:rPr>
                <w:rFonts w:eastAsia="Times New Roman"/>
                <w:sz w:val="20"/>
                <w:szCs w:val="20"/>
                <w:lang w:eastAsia="ru-RU"/>
              </w:rPr>
              <w:t>Долг/собственный капитал,  х</w:t>
            </w:r>
          </w:p>
        </w:tc>
        <w:tc>
          <w:tcPr>
            <w:tcW w:w="1134" w:type="dxa"/>
            <w:tcBorders>
              <w:top w:val="nil"/>
              <w:left w:val="nil"/>
              <w:bottom w:val="single" w:sz="4" w:space="0" w:color="auto"/>
              <w:right w:val="single" w:sz="4" w:space="0" w:color="auto"/>
            </w:tcBorders>
            <w:shd w:val="clear" w:color="auto" w:fill="auto"/>
            <w:vAlign w:val="center"/>
            <w:hideMark/>
          </w:tcPr>
          <w:p w:rsidR="00050AA7" w:rsidRPr="004761E0" w:rsidRDefault="00050AA7" w:rsidP="002C5A29">
            <w:pPr>
              <w:ind w:firstLine="0"/>
              <w:jc w:val="right"/>
              <w:rPr>
                <w:rFonts w:eastAsia="Times New Roman"/>
                <w:sz w:val="20"/>
                <w:szCs w:val="20"/>
                <w:lang w:eastAsia="ru-RU"/>
              </w:rPr>
            </w:pPr>
            <w:r w:rsidRPr="004761E0">
              <w:rPr>
                <w:rFonts w:eastAsia="Times New Roman"/>
                <w:sz w:val="20"/>
                <w:szCs w:val="20"/>
                <w:lang w:eastAsia="ru-RU"/>
              </w:rPr>
              <w:t>0,26</w:t>
            </w:r>
          </w:p>
        </w:tc>
        <w:tc>
          <w:tcPr>
            <w:tcW w:w="1134" w:type="dxa"/>
            <w:tcBorders>
              <w:top w:val="nil"/>
              <w:left w:val="nil"/>
              <w:bottom w:val="single" w:sz="4" w:space="0" w:color="auto"/>
              <w:right w:val="single" w:sz="4" w:space="0" w:color="auto"/>
            </w:tcBorders>
            <w:shd w:val="clear" w:color="auto" w:fill="auto"/>
            <w:vAlign w:val="center"/>
            <w:hideMark/>
          </w:tcPr>
          <w:p w:rsidR="00050AA7" w:rsidRPr="004761E0" w:rsidRDefault="00050AA7" w:rsidP="002C5A29">
            <w:pPr>
              <w:ind w:firstLine="0"/>
              <w:jc w:val="right"/>
              <w:rPr>
                <w:rFonts w:eastAsia="Times New Roman"/>
                <w:sz w:val="20"/>
                <w:szCs w:val="20"/>
                <w:lang w:eastAsia="ru-RU"/>
              </w:rPr>
            </w:pPr>
            <w:r w:rsidRPr="004761E0">
              <w:rPr>
                <w:rFonts w:eastAsia="Times New Roman"/>
                <w:sz w:val="20"/>
                <w:szCs w:val="20"/>
                <w:lang w:eastAsia="ru-RU"/>
              </w:rPr>
              <w:t>0,31</w:t>
            </w:r>
          </w:p>
        </w:tc>
        <w:tc>
          <w:tcPr>
            <w:tcW w:w="1134" w:type="dxa"/>
            <w:tcBorders>
              <w:top w:val="nil"/>
              <w:left w:val="nil"/>
              <w:bottom w:val="single" w:sz="4" w:space="0" w:color="auto"/>
              <w:right w:val="single" w:sz="4" w:space="0" w:color="auto"/>
            </w:tcBorders>
            <w:shd w:val="clear" w:color="auto" w:fill="auto"/>
            <w:vAlign w:val="center"/>
            <w:hideMark/>
          </w:tcPr>
          <w:p w:rsidR="00050AA7" w:rsidRPr="004761E0" w:rsidRDefault="00050AA7" w:rsidP="002C5A29">
            <w:pPr>
              <w:ind w:firstLine="0"/>
              <w:jc w:val="right"/>
              <w:rPr>
                <w:rFonts w:eastAsia="Times New Roman"/>
                <w:sz w:val="20"/>
                <w:szCs w:val="20"/>
                <w:lang w:eastAsia="ru-RU"/>
              </w:rPr>
            </w:pPr>
            <w:r w:rsidRPr="004761E0">
              <w:rPr>
                <w:rFonts w:eastAsia="Times New Roman"/>
                <w:sz w:val="20"/>
                <w:szCs w:val="20"/>
                <w:lang w:eastAsia="ru-RU"/>
              </w:rPr>
              <w:t>0,32</w:t>
            </w:r>
          </w:p>
        </w:tc>
        <w:tc>
          <w:tcPr>
            <w:tcW w:w="1134" w:type="dxa"/>
            <w:tcBorders>
              <w:top w:val="nil"/>
              <w:left w:val="nil"/>
              <w:bottom w:val="single" w:sz="4" w:space="0" w:color="auto"/>
              <w:right w:val="single" w:sz="4" w:space="0" w:color="auto"/>
            </w:tcBorders>
            <w:shd w:val="clear" w:color="auto" w:fill="auto"/>
            <w:vAlign w:val="center"/>
            <w:hideMark/>
          </w:tcPr>
          <w:p w:rsidR="00050AA7" w:rsidRPr="004761E0" w:rsidRDefault="00050AA7" w:rsidP="00050AA7">
            <w:pPr>
              <w:ind w:firstLine="34"/>
              <w:jc w:val="right"/>
              <w:rPr>
                <w:color w:val="000000"/>
                <w:sz w:val="20"/>
                <w:szCs w:val="20"/>
              </w:rPr>
            </w:pPr>
            <w:r w:rsidRPr="004761E0">
              <w:rPr>
                <w:color w:val="000000"/>
                <w:sz w:val="20"/>
                <w:szCs w:val="20"/>
              </w:rPr>
              <w:t>0,01 п.п.</w:t>
            </w:r>
          </w:p>
        </w:tc>
      </w:tr>
      <w:tr w:rsidR="00050AA7" w:rsidRPr="004761E0" w:rsidTr="00050AA7">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50AA7" w:rsidRPr="004761E0" w:rsidRDefault="00050AA7" w:rsidP="007076A7">
            <w:pPr>
              <w:numPr>
                <w:ilvl w:val="0"/>
                <w:numId w:val="224"/>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050AA7" w:rsidRPr="004761E0" w:rsidRDefault="00050AA7" w:rsidP="002C5A29">
            <w:pPr>
              <w:ind w:firstLine="0"/>
              <w:jc w:val="left"/>
              <w:rPr>
                <w:rFonts w:eastAsia="Times New Roman"/>
                <w:sz w:val="20"/>
                <w:szCs w:val="20"/>
                <w:lang w:eastAsia="ru-RU"/>
              </w:rPr>
            </w:pPr>
            <w:r w:rsidRPr="004761E0">
              <w:rPr>
                <w:rFonts w:eastAsia="Times New Roman"/>
                <w:sz w:val="20"/>
                <w:szCs w:val="20"/>
                <w:lang w:eastAsia="ru-RU"/>
              </w:rPr>
              <w:t>Долг/EBITDA, х</w:t>
            </w:r>
          </w:p>
        </w:tc>
        <w:tc>
          <w:tcPr>
            <w:tcW w:w="1134" w:type="dxa"/>
            <w:tcBorders>
              <w:top w:val="nil"/>
              <w:left w:val="nil"/>
              <w:bottom w:val="single" w:sz="4" w:space="0" w:color="auto"/>
              <w:right w:val="single" w:sz="4" w:space="0" w:color="auto"/>
            </w:tcBorders>
            <w:shd w:val="clear" w:color="auto" w:fill="auto"/>
            <w:vAlign w:val="center"/>
            <w:hideMark/>
          </w:tcPr>
          <w:p w:rsidR="00050AA7" w:rsidRPr="004761E0" w:rsidRDefault="00050AA7" w:rsidP="002C5A29">
            <w:pPr>
              <w:ind w:firstLine="0"/>
              <w:jc w:val="right"/>
              <w:rPr>
                <w:rFonts w:eastAsia="Times New Roman"/>
                <w:sz w:val="20"/>
                <w:szCs w:val="20"/>
                <w:lang w:eastAsia="ru-RU"/>
              </w:rPr>
            </w:pPr>
            <w:r w:rsidRPr="004761E0">
              <w:rPr>
                <w:rFonts w:eastAsia="Times New Roman"/>
                <w:sz w:val="20"/>
                <w:szCs w:val="20"/>
                <w:lang w:eastAsia="ru-RU"/>
              </w:rPr>
              <w:t>1,02</w:t>
            </w:r>
          </w:p>
        </w:tc>
        <w:tc>
          <w:tcPr>
            <w:tcW w:w="1134" w:type="dxa"/>
            <w:tcBorders>
              <w:top w:val="nil"/>
              <w:left w:val="nil"/>
              <w:bottom w:val="single" w:sz="4" w:space="0" w:color="auto"/>
              <w:right w:val="single" w:sz="4" w:space="0" w:color="auto"/>
            </w:tcBorders>
            <w:shd w:val="clear" w:color="auto" w:fill="auto"/>
            <w:vAlign w:val="center"/>
            <w:hideMark/>
          </w:tcPr>
          <w:p w:rsidR="00050AA7" w:rsidRPr="004761E0" w:rsidRDefault="00050AA7" w:rsidP="002C5A29">
            <w:pPr>
              <w:ind w:firstLine="0"/>
              <w:jc w:val="right"/>
              <w:rPr>
                <w:rFonts w:eastAsia="Times New Roman"/>
                <w:sz w:val="20"/>
                <w:szCs w:val="20"/>
                <w:lang w:eastAsia="ru-RU"/>
              </w:rPr>
            </w:pPr>
            <w:r w:rsidRPr="004761E0">
              <w:rPr>
                <w:rFonts w:eastAsia="Times New Roman"/>
                <w:sz w:val="20"/>
                <w:szCs w:val="20"/>
                <w:lang w:eastAsia="ru-RU"/>
              </w:rPr>
              <w:t>1,27</w:t>
            </w:r>
          </w:p>
        </w:tc>
        <w:tc>
          <w:tcPr>
            <w:tcW w:w="1134" w:type="dxa"/>
            <w:tcBorders>
              <w:top w:val="nil"/>
              <w:left w:val="nil"/>
              <w:bottom w:val="single" w:sz="4" w:space="0" w:color="auto"/>
              <w:right w:val="single" w:sz="4" w:space="0" w:color="auto"/>
            </w:tcBorders>
            <w:shd w:val="clear" w:color="auto" w:fill="auto"/>
            <w:vAlign w:val="center"/>
            <w:hideMark/>
          </w:tcPr>
          <w:p w:rsidR="00050AA7" w:rsidRPr="004761E0" w:rsidRDefault="00050AA7" w:rsidP="002C5A29">
            <w:pPr>
              <w:ind w:firstLine="0"/>
              <w:jc w:val="right"/>
              <w:rPr>
                <w:rFonts w:eastAsia="Times New Roman"/>
                <w:sz w:val="20"/>
                <w:szCs w:val="20"/>
                <w:lang w:eastAsia="ru-RU"/>
              </w:rPr>
            </w:pPr>
            <w:r w:rsidRPr="004761E0">
              <w:rPr>
                <w:rFonts w:eastAsia="Times New Roman"/>
                <w:sz w:val="20"/>
                <w:szCs w:val="20"/>
                <w:lang w:eastAsia="ru-RU"/>
              </w:rPr>
              <w:t>1,58</w:t>
            </w:r>
          </w:p>
        </w:tc>
        <w:tc>
          <w:tcPr>
            <w:tcW w:w="1134" w:type="dxa"/>
            <w:tcBorders>
              <w:top w:val="nil"/>
              <w:left w:val="nil"/>
              <w:bottom w:val="single" w:sz="4" w:space="0" w:color="auto"/>
              <w:right w:val="single" w:sz="4" w:space="0" w:color="auto"/>
            </w:tcBorders>
            <w:shd w:val="clear" w:color="auto" w:fill="auto"/>
            <w:vAlign w:val="center"/>
            <w:hideMark/>
          </w:tcPr>
          <w:p w:rsidR="00050AA7" w:rsidRPr="004761E0" w:rsidRDefault="00050AA7" w:rsidP="00050AA7">
            <w:pPr>
              <w:ind w:firstLine="34"/>
              <w:jc w:val="right"/>
              <w:rPr>
                <w:color w:val="000000"/>
                <w:sz w:val="20"/>
                <w:szCs w:val="20"/>
              </w:rPr>
            </w:pPr>
            <w:r w:rsidRPr="004761E0">
              <w:rPr>
                <w:color w:val="000000"/>
                <w:sz w:val="20"/>
                <w:szCs w:val="20"/>
              </w:rPr>
              <w:t>0,31 п.п.</w:t>
            </w:r>
          </w:p>
        </w:tc>
      </w:tr>
      <w:tr w:rsidR="00050AA7" w:rsidRPr="004761E0" w:rsidTr="00050AA7">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50AA7" w:rsidRPr="004761E0" w:rsidRDefault="00050AA7" w:rsidP="007076A7">
            <w:pPr>
              <w:numPr>
                <w:ilvl w:val="0"/>
                <w:numId w:val="224"/>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050AA7" w:rsidRPr="004761E0" w:rsidRDefault="00050AA7" w:rsidP="002C5A29">
            <w:pPr>
              <w:ind w:firstLine="0"/>
              <w:jc w:val="left"/>
              <w:rPr>
                <w:rFonts w:eastAsia="Times New Roman"/>
                <w:sz w:val="20"/>
                <w:szCs w:val="20"/>
                <w:lang w:eastAsia="ru-RU"/>
              </w:rPr>
            </w:pPr>
            <w:r w:rsidRPr="004761E0">
              <w:rPr>
                <w:rFonts w:eastAsia="Times New Roman"/>
                <w:sz w:val="20"/>
                <w:szCs w:val="20"/>
                <w:lang w:eastAsia="ru-RU"/>
              </w:rPr>
              <w:t>Чистый долг, млн руб.</w:t>
            </w:r>
          </w:p>
        </w:tc>
        <w:tc>
          <w:tcPr>
            <w:tcW w:w="1134" w:type="dxa"/>
            <w:tcBorders>
              <w:top w:val="nil"/>
              <w:left w:val="nil"/>
              <w:bottom w:val="single" w:sz="4" w:space="0" w:color="auto"/>
              <w:right w:val="single" w:sz="4" w:space="0" w:color="auto"/>
            </w:tcBorders>
            <w:shd w:val="clear" w:color="auto" w:fill="auto"/>
            <w:vAlign w:val="center"/>
            <w:hideMark/>
          </w:tcPr>
          <w:p w:rsidR="00050AA7" w:rsidRPr="004761E0" w:rsidRDefault="00050AA7" w:rsidP="002C5A29">
            <w:pPr>
              <w:ind w:firstLine="0"/>
              <w:jc w:val="right"/>
              <w:rPr>
                <w:rFonts w:eastAsia="Times New Roman"/>
                <w:sz w:val="20"/>
                <w:szCs w:val="20"/>
                <w:lang w:eastAsia="ru-RU"/>
              </w:rPr>
            </w:pPr>
            <w:r w:rsidRPr="004761E0">
              <w:rPr>
                <w:rFonts w:eastAsia="Times New Roman"/>
                <w:sz w:val="20"/>
                <w:szCs w:val="20"/>
                <w:lang w:eastAsia="ru-RU"/>
              </w:rPr>
              <w:t>43 944</w:t>
            </w:r>
          </w:p>
        </w:tc>
        <w:tc>
          <w:tcPr>
            <w:tcW w:w="1134" w:type="dxa"/>
            <w:tcBorders>
              <w:top w:val="nil"/>
              <w:left w:val="nil"/>
              <w:bottom w:val="single" w:sz="4" w:space="0" w:color="auto"/>
              <w:right w:val="single" w:sz="4" w:space="0" w:color="auto"/>
            </w:tcBorders>
            <w:shd w:val="clear" w:color="auto" w:fill="auto"/>
            <w:vAlign w:val="center"/>
            <w:hideMark/>
          </w:tcPr>
          <w:p w:rsidR="00050AA7" w:rsidRPr="004761E0" w:rsidRDefault="00050AA7" w:rsidP="002C5A29">
            <w:pPr>
              <w:ind w:firstLine="0"/>
              <w:jc w:val="right"/>
              <w:rPr>
                <w:rFonts w:eastAsia="Times New Roman"/>
                <w:sz w:val="20"/>
                <w:szCs w:val="20"/>
                <w:lang w:eastAsia="ru-RU"/>
              </w:rPr>
            </w:pPr>
            <w:r w:rsidRPr="004761E0">
              <w:rPr>
                <w:rFonts w:eastAsia="Times New Roman"/>
                <w:sz w:val="20"/>
                <w:szCs w:val="20"/>
                <w:lang w:eastAsia="ru-RU"/>
              </w:rPr>
              <w:t>47 190</w:t>
            </w:r>
          </w:p>
        </w:tc>
        <w:tc>
          <w:tcPr>
            <w:tcW w:w="1134" w:type="dxa"/>
            <w:tcBorders>
              <w:top w:val="nil"/>
              <w:left w:val="nil"/>
              <w:bottom w:val="single" w:sz="4" w:space="0" w:color="auto"/>
              <w:right w:val="single" w:sz="4" w:space="0" w:color="auto"/>
            </w:tcBorders>
            <w:shd w:val="clear" w:color="auto" w:fill="auto"/>
            <w:vAlign w:val="center"/>
            <w:hideMark/>
          </w:tcPr>
          <w:p w:rsidR="00050AA7" w:rsidRPr="004761E0" w:rsidRDefault="00050AA7" w:rsidP="002C5A29">
            <w:pPr>
              <w:ind w:firstLine="0"/>
              <w:jc w:val="right"/>
              <w:rPr>
                <w:rFonts w:eastAsia="Times New Roman"/>
                <w:sz w:val="20"/>
                <w:szCs w:val="20"/>
                <w:lang w:eastAsia="ru-RU"/>
              </w:rPr>
            </w:pPr>
            <w:r w:rsidRPr="004761E0">
              <w:rPr>
                <w:rFonts w:eastAsia="Times New Roman"/>
                <w:sz w:val="20"/>
                <w:szCs w:val="20"/>
                <w:lang w:eastAsia="ru-RU"/>
              </w:rPr>
              <w:t>56 046</w:t>
            </w:r>
          </w:p>
        </w:tc>
        <w:tc>
          <w:tcPr>
            <w:tcW w:w="1134" w:type="dxa"/>
            <w:tcBorders>
              <w:top w:val="nil"/>
              <w:left w:val="nil"/>
              <w:bottom w:val="single" w:sz="4" w:space="0" w:color="auto"/>
              <w:right w:val="single" w:sz="4" w:space="0" w:color="auto"/>
            </w:tcBorders>
            <w:shd w:val="clear" w:color="auto" w:fill="auto"/>
            <w:vAlign w:val="center"/>
            <w:hideMark/>
          </w:tcPr>
          <w:p w:rsidR="00050AA7" w:rsidRPr="004761E0" w:rsidRDefault="00050AA7" w:rsidP="00050AA7">
            <w:pPr>
              <w:ind w:firstLine="34"/>
              <w:jc w:val="right"/>
              <w:rPr>
                <w:color w:val="000000"/>
                <w:sz w:val="20"/>
                <w:szCs w:val="20"/>
              </w:rPr>
            </w:pPr>
            <w:r w:rsidRPr="004761E0">
              <w:rPr>
                <w:color w:val="000000"/>
                <w:sz w:val="20"/>
                <w:szCs w:val="20"/>
              </w:rPr>
              <w:t>18,77 %</w:t>
            </w:r>
          </w:p>
        </w:tc>
      </w:tr>
      <w:tr w:rsidR="00512DCC" w:rsidRPr="004761E0" w:rsidTr="00050AA7">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12DCC" w:rsidRPr="004761E0" w:rsidRDefault="00512DCC" w:rsidP="007076A7">
            <w:pPr>
              <w:numPr>
                <w:ilvl w:val="0"/>
                <w:numId w:val="224"/>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512DCC" w:rsidRPr="004761E0" w:rsidRDefault="00512DCC" w:rsidP="00512DCC">
            <w:pPr>
              <w:ind w:firstLine="0"/>
              <w:jc w:val="left"/>
              <w:rPr>
                <w:rFonts w:eastAsia="Times New Roman"/>
                <w:sz w:val="20"/>
                <w:szCs w:val="20"/>
                <w:lang w:eastAsia="ru-RU"/>
              </w:rPr>
            </w:pPr>
            <w:r>
              <w:rPr>
                <w:rFonts w:eastAsia="Times New Roman"/>
                <w:sz w:val="20"/>
                <w:szCs w:val="20"/>
                <w:lang w:eastAsia="ru-RU"/>
              </w:rPr>
              <w:t>Долг, включая обязательства по лизингу /</w:t>
            </w:r>
            <w:r w:rsidRPr="004761E0">
              <w:rPr>
                <w:rFonts w:eastAsia="Times New Roman"/>
                <w:sz w:val="20"/>
                <w:szCs w:val="20"/>
                <w:lang w:eastAsia="ru-RU"/>
              </w:rPr>
              <w:t xml:space="preserve"> EBITDA, х</w:t>
            </w:r>
          </w:p>
        </w:tc>
        <w:tc>
          <w:tcPr>
            <w:tcW w:w="1134" w:type="dxa"/>
            <w:tcBorders>
              <w:top w:val="nil"/>
              <w:left w:val="nil"/>
              <w:bottom w:val="single" w:sz="4" w:space="0" w:color="auto"/>
              <w:right w:val="single" w:sz="4" w:space="0" w:color="auto"/>
            </w:tcBorders>
            <w:shd w:val="clear" w:color="auto" w:fill="auto"/>
            <w:vAlign w:val="center"/>
            <w:hideMark/>
          </w:tcPr>
          <w:p w:rsidR="00512DCC" w:rsidRPr="004761E0" w:rsidRDefault="00512DCC" w:rsidP="00512DCC">
            <w:pPr>
              <w:ind w:firstLine="0"/>
              <w:jc w:val="right"/>
              <w:rPr>
                <w:rFonts w:eastAsia="Times New Roman"/>
                <w:sz w:val="20"/>
                <w:szCs w:val="20"/>
                <w:lang w:eastAsia="ru-RU"/>
              </w:rPr>
            </w:pPr>
            <w:r>
              <w:rPr>
                <w:rFonts w:eastAsia="Times New Roman"/>
                <w:sz w:val="20"/>
                <w:szCs w:val="20"/>
                <w:lang w:eastAsia="ru-RU"/>
              </w:rPr>
              <w:t>1,19</w:t>
            </w:r>
          </w:p>
        </w:tc>
        <w:tc>
          <w:tcPr>
            <w:tcW w:w="1134" w:type="dxa"/>
            <w:tcBorders>
              <w:top w:val="nil"/>
              <w:left w:val="nil"/>
              <w:bottom w:val="single" w:sz="4" w:space="0" w:color="auto"/>
              <w:right w:val="single" w:sz="4" w:space="0" w:color="auto"/>
            </w:tcBorders>
            <w:shd w:val="clear" w:color="auto" w:fill="auto"/>
            <w:vAlign w:val="center"/>
            <w:hideMark/>
          </w:tcPr>
          <w:p w:rsidR="00512DCC" w:rsidRPr="004761E0" w:rsidRDefault="00512DCC" w:rsidP="00512DCC">
            <w:pPr>
              <w:ind w:firstLine="0"/>
              <w:jc w:val="right"/>
              <w:rPr>
                <w:rFonts w:eastAsia="Times New Roman"/>
                <w:sz w:val="20"/>
                <w:szCs w:val="20"/>
                <w:lang w:eastAsia="ru-RU"/>
              </w:rPr>
            </w:pPr>
            <w:r>
              <w:rPr>
                <w:rFonts w:eastAsia="Times New Roman"/>
                <w:sz w:val="20"/>
                <w:szCs w:val="20"/>
                <w:lang w:eastAsia="ru-RU"/>
              </w:rPr>
              <w:t>1,33</w:t>
            </w:r>
          </w:p>
        </w:tc>
        <w:tc>
          <w:tcPr>
            <w:tcW w:w="1134" w:type="dxa"/>
            <w:tcBorders>
              <w:top w:val="nil"/>
              <w:left w:val="nil"/>
              <w:bottom w:val="single" w:sz="4" w:space="0" w:color="auto"/>
              <w:right w:val="single" w:sz="4" w:space="0" w:color="auto"/>
            </w:tcBorders>
            <w:shd w:val="clear" w:color="auto" w:fill="auto"/>
            <w:vAlign w:val="center"/>
            <w:hideMark/>
          </w:tcPr>
          <w:p w:rsidR="00512DCC" w:rsidRPr="004761E0" w:rsidRDefault="00512DCC" w:rsidP="00512DCC">
            <w:pPr>
              <w:ind w:firstLine="0"/>
              <w:jc w:val="right"/>
              <w:rPr>
                <w:rFonts w:eastAsia="Times New Roman"/>
                <w:sz w:val="20"/>
                <w:szCs w:val="20"/>
                <w:lang w:eastAsia="ru-RU"/>
              </w:rPr>
            </w:pPr>
            <w:r>
              <w:rPr>
                <w:rFonts w:eastAsia="Times New Roman"/>
                <w:sz w:val="20"/>
                <w:szCs w:val="20"/>
                <w:lang w:eastAsia="ru-RU"/>
              </w:rPr>
              <w:t>1,58</w:t>
            </w:r>
          </w:p>
        </w:tc>
        <w:tc>
          <w:tcPr>
            <w:tcW w:w="1134" w:type="dxa"/>
            <w:tcBorders>
              <w:top w:val="nil"/>
              <w:left w:val="nil"/>
              <w:bottom w:val="single" w:sz="4" w:space="0" w:color="auto"/>
              <w:right w:val="single" w:sz="4" w:space="0" w:color="auto"/>
            </w:tcBorders>
            <w:shd w:val="clear" w:color="auto" w:fill="auto"/>
            <w:vAlign w:val="center"/>
            <w:hideMark/>
          </w:tcPr>
          <w:p w:rsidR="00512DCC" w:rsidRPr="004761E0" w:rsidRDefault="00512DCC" w:rsidP="00512DCC">
            <w:pPr>
              <w:ind w:firstLine="34"/>
              <w:jc w:val="right"/>
              <w:rPr>
                <w:color w:val="000000"/>
                <w:sz w:val="20"/>
                <w:szCs w:val="20"/>
              </w:rPr>
            </w:pPr>
            <w:r>
              <w:rPr>
                <w:color w:val="000000"/>
                <w:sz w:val="20"/>
                <w:szCs w:val="20"/>
              </w:rPr>
              <w:t>0,25 п.п.</w:t>
            </w:r>
          </w:p>
        </w:tc>
      </w:tr>
      <w:tr w:rsidR="00050AA7" w:rsidRPr="004761E0" w:rsidTr="00050AA7">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50AA7" w:rsidRPr="004761E0" w:rsidRDefault="00050AA7" w:rsidP="007076A7">
            <w:pPr>
              <w:numPr>
                <w:ilvl w:val="0"/>
                <w:numId w:val="224"/>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050AA7" w:rsidRPr="004761E0" w:rsidRDefault="00050AA7" w:rsidP="002C5A29">
            <w:pPr>
              <w:ind w:firstLine="0"/>
              <w:jc w:val="left"/>
              <w:rPr>
                <w:rFonts w:eastAsia="Times New Roman"/>
                <w:sz w:val="20"/>
                <w:szCs w:val="20"/>
                <w:lang w:eastAsia="ru-RU"/>
              </w:rPr>
            </w:pPr>
            <w:r w:rsidRPr="004761E0">
              <w:rPr>
                <w:rFonts w:eastAsia="Times New Roman"/>
                <w:sz w:val="20"/>
                <w:szCs w:val="20"/>
                <w:lang w:eastAsia="ru-RU"/>
              </w:rPr>
              <w:t>Чистый долг/EBITDA,  х</w:t>
            </w:r>
          </w:p>
        </w:tc>
        <w:tc>
          <w:tcPr>
            <w:tcW w:w="1134" w:type="dxa"/>
            <w:tcBorders>
              <w:top w:val="nil"/>
              <w:left w:val="nil"/>
              <w:bottom w:val="single" w:sz="4" w:space="0" w:color="auto"/>
              <w:right w:val="single" w:sz="4" w:space="0" w:color="auto"/>
            </w:tcBorders>
            <w:shd w:val="clear" w:color="auto" w:fill="auto"/>
            <w:vAlign w:val="center"/>
            <w:hideMark/>
          </w:tcPr>
          <w:p w:rsidR="00050AA7" w:rsidRPr="004761E0" w:rsidRDefault="00050AA7" w:rsidP="002C5A29">
            <w:pPr>
              <w:ind w:firstLine="0"/>
              <w:jc w:val="right"/>
              <w:rPr>
                <w:rFonts w:eastAsia="Times New Roman"/>
                <w:sz w:val="20"/>
                <w:szCs w:val="20"/>
                <w:lang w:eastAsia="ru-RU"/>
              </w:rPr>
            </w:pPr>
            <w:r w:rsidRPr="004761E0">
              <w:rPr>
                <w:rFonts w:eastAsia="Times New Roman"/>
                <w:sz w:val="20"/>
                <w:szCs w:val="20"/>
                <w:lang w:eastAsia="ru-RU"/>
              </w:rPr>
              <w:t>1,11</w:t>
            </w:r>
          </w:p>
        </w:tc>
        <w:tc>
          <w:tcPr>
            <w:tcW w:w="1134" w:type="dxa"/>
            <w:tcBorders>
              <w:top w:val="nil"/>
              <w:left w:val="nil"/>
              <w:bottom w:val="single" w:sz="4" w:space="0" w:color="auto"/>
              <w:right w:val="single" w:sz="4" w:space="0" w:color="auto"/>
            </w:tcBorders>
            <w:shd w:val="clear" w:color="auto" w:fill="auto"/>
            <w:vAlign w:val="center"/>
            <w:hideMark/>
          </w:tcPr>
          <w:p w:rsidR="00050AA7" w:rsidRPr="004761E0" w:rsidRDefault="00050AA7" w:rsidP="002C5A29">
            <w:pPr>
              <w:ind w:firstLine="0"/>
              <w:jc w:val="right"/>
              <w:rPr>
                <w:rFonts w:eastAsia="Times New Roman"/>
                <w:sz w:val="20"/>
                <w:szCs w:val="20"/>
                <w:lang w:eastAsia="ru-RU"/>
              </w:rPr>
            </w:pPr>
            <w:r w:rsidRPr="004761E0">
              <w:rPr>
                <w:rFonts w:eastAsia="Times New Roman"/>
                <w:sz w:val="20"/>
                <w:szCs w:val="20"/>
                <w:lang w:eastAsia="ru-RU"/>
              </w:rPr>
              <w:t>1,15</w:t>
            </w:r>
          </w:p>
        </w:tc>
        <w:tc>
          <w:tcPr>
            <w:tcW w:w="1134" w:type="dxa"/>
            <w:tcBorders>
              <w:top w:val="nil"/>
              <w:left w:val="nil"/>
              <w:bottom w:val="single" w:sz="4" w:space="0" w:color="auto"/>
              <w:right w:val="single" w:sz="4" w:space="0" w:color="auto"/>
            </w:tcBorders>
            <w:shd w:val="clear" w:color="auto" w:fill="auto"/>
            <w:vAlign w:val="center"/>
            <w:hideMark/>
          </w:tcPr>
          <w:p w:rsidR="00050AA7" w:rsidRPr="004761E0" w:rsidRDefault="00050AA7" w:rsidP="002C5A29">
            <w:pPr>
              <w:ind w:firstLine="0"/>
              <w:jc w:val="right"/>
              <w:rPr>
                <w:rFonts w:eastAsia="Times New Roman"/>
                <w:sz w:val="20"/>
                <w:szCs w:val="20"/>
                <w:lang w:eastAsia="ru-RU"/>
              </w:rPr>
            </w:pPr>
            <w:r w:rsidRPr="004761E0">
              <w:rPr>
                <w:rFonts w:eastAsia="Times New Roman"/>
                <w:sz w:val="20"/>
                <w:szCs w:val="20"/>
                <w:lang w:eastAsia="ru-RU"/>
              </w:rPr>
              <w:t>1,54</w:t>
            </w:r>
          </w:p>
        </w:tc>
        <w:tc>
          <w:tcPr>
            <w:tcW w:w="1134" w:type="dxa"/>
            <w:tcBorders>
              <w:top w:val="nil"/>
              <w:left w:val="nil"/>
              <w:bottom w:val="single" w:sz="4" w:space="0" w:color="auto"/>
              <w:right w:val="single" w:sz="4" w:space="0" w:color="auto"/>
            </w:tcBorders>
            <w:shd w:val="clear" w:color="auto" w:fill="auto"/>
            <w:vAlign w:val="center"/>
            <w:hideMark/>
          </w:tcPr>
          <w:p w:rsidR="00050AA7" w:rsidRPr="004761E0" w:rsidRDefault="00050AA7" w:rsidP="00050AA7">
            <w:pPr>
              <w:ind w:firstLine="34"/>
              <w:jc w:val="right"/>
              <w:rPr>
                <w:color w:val="000000"/>
                <w:sz w:val="20"/>
                <w:szCs w:val="20"/>
              </w:rPr>
            </w:pPr>
            <w:r w:rsidRPr="004761E0">
              <w:rPr>
                <w:color w:val="000000"/>
                <w:sz w:val="20"/>
                <w:szCs w:val="20"/>
              </w:rPr>
              <w:t>0,39 п.п.</w:t>
            </w:r>
          </w:p>
        </w:tc>
      </w:tr>
      <w:tr w:rsidR="00050AA7" w:rsidRPr="004761E0" w:rsidTr="00050AA7">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50AA7" w:rsidRPr="004761E0" w:rsidRDefault="00050AA7" w:rsidP="007076A7">
            <w:pPr>
              <w:numPr>
                <w:ilvl w:val="0"/>
                <w:numId w:val="224"/>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050AA7" w:rsidRPr="004761E0" w:rsidRDefault="00050AA7" w:rsidP="002C5A29">
            <w:pPr>
              <w:ind w:firstLine="0"/>
              <w:jc w:val="left"/>
              <w:rPr>
                <w:rFonts w:eastAsia="Times New Roman"/>
                <w:sz w:val="20"/>
                <w:szCs w:val="20"/>
                <w:lang w:eastAsia="ru-RU"/>
              </w:rPr>
            </w:pPr>
            <w:r w:rsidRPr="004761E0">
              <w:rPr>
                <w:rFonts w:eastAsia="Times New Roman"/>
                <w:sz w:val="20"/>
                <w:szCs w:val="20"/>
                <w:lang w:eastAsia="ru-RU"/>
              </w:rPr>
              <w:t>Проценты к уплате, млн руб.</w:t>
            </w:r>
          </w:p>
        </w:tc>
        <w:tc>
          <w:tcPr>
            <w:tcW w:w="1134" w:type="dxa"/>
            <w:tcBorders>
              <w:top w:val="nil"/>
              <w:left w:val="nil"/>
              <w:bottom w:val="single" w:sz="4" w:space="0" w:color="auto"/>
              <w:right w:val="single" w:sz="4" w:space="0" w:color="auto"/>
            </w:tcBorders>
            <w:shd w:val="clear" w:color="auto" w:fill="auto"/>
            <w:vAlign w:val="center"/>
            <w:hideMark/>
          </w:tcPr>
          <w:p w:rsidR="00050AA7" w:rsidRPr="004761E0" w:rsidRDefault="00050AA7" w:rsidP="002C5A29">
            <w:pPr>
              <w:ind w:firstLine="0"/>
              <w:jc w:val="right"/>
              <w:rPr>
                <w:rFonts w:eastAsia="Times New Roman"/>
                <w:sz w:val="20"/>
                <w:szCs w:val="20"/>
                <w:lang w:eastAsia="ru-RU"/>
              </w:rPr>
            </w:pPr>
            <w:r w:rsidRPr="004761E0">
              <w:rPr>
                <w:rFonts w:eastAsia="Times New Roman"/>
                <w:sz w:val="20"/>
                <w:szCs w:val="20"/>
                <w:lang w:eastAsia="ru-RU"/>
              </w:rPr>
              <w:t>2 581</w:t>
            </w:r>
          </w:p>
        </w:tc>
        <w:tc>
          <w:tcPr>
            <w:tcW w:w="1134" w:type="dxa"/>
            <w:tcBorders>
              <w:top w:val="nil"/>
              <w:left w:val="nil"/>
              <w:bottom w:val="single" w:sz="4" w:space="0" w:color="auto"/>
              <w:right w:val="single" w:sz="4" w:space="0" w:color="auto"/>
            </w:tcBorders>
            <w:shd w:val="clear" w:color="auto" w:fill="auto"/>
            <w:vAlign w:val="center"/>
            <w:hideMark/>
          </w:tcPr>
          <w:p w:rsidR="00050AA7" w:rsidRPr="004761E0" w:rsidRDefault="00050AA7" w:rsidP="002C5A29">
            <w:pPr>
              <w:ind w:firstLine="0"/>
              <w:jc w:val="right"/>
              <w:rPr>
                <w:rFonts w:eastAsia="Times New Roman"/>
                <w:sz w:val="20"/>
                <w:szCs w:val="20"/>
                <w:lang w:eastAsia="ru-RU"/>
              </w:rPr>
            </w:pPr>
            <w:r w:rsidRPr="004761E0">
              <w:rPr>
                <w:rFonts w:eastAsia="Times New Roman"/>
                <w:sz w:val="20"/>
                <w:szCs w:val="20"/>
                <w:lang w:eastAsia="ru-RU"/>
              </w:rPr>
              <w:t>3 923</w:t>
            </w:r>
          </w:p>
        </w:tc>
        <w:tc>
          <w:tcPr>
            <w:tcW w:w="1134" w:type="dxa"/>
            <w:tcBorders>
              <w:top w:val="nil"/>
              <w:left w:val="nil"/>
              <w:bottom w:val="single" w:sz="4" w:space="0" w:color="auto"/>
              <w:right w:val="single" w:sz="4" w:space="0" w:color="auto"/>
            </w:tcBorders>
            <w:shd w:val="clear" w:color="auto" w:fill="auto"/>
            <w:vAlign w:val="center"/>
            <w:hideMark/>
          </w:tcPr>
          <w:p w:rsidR="00050AA7" w:rsidRPr="004761E0" w:rsidRDefault="00050AA7" w:rsidP="002C5A29">
            <w:pPr>
              <w:ind w:firstLine="0"/>
              <w:jc w:val="right"/>
              <w:rPr>
                <w:rFonts w:eastAsia="Times New Roman"/>
                <w:sz w:val="20"/>
                <w:szCs w:val="20"/>
                <w:lang w:eastAsia="ru-RU"/>
              </w:rPr>
            </w:pPr>
            <w:r w:rsidRPr="004761E0">
              <w:rPr>
                <w:rFonts w:eastAsia="Times New Roman"/>
                <w:sz w:val="20"/>
                <w:szCs w:val="20"/>
                <w:lang w:eastAsia="ru-RU"/>
              </w:rPr>
              <w:t>2 448</w:t>
            </w:r>
          </w:p>
        </w:tc>
        <w:tc>
          <w:tcPr>
            <w:tcW w:w="1134" w:type="dxa"/>
            <w:tcBorders>
              <w:top w:val="nil"/>
              <w:left w:val="nil"/>
              <w:bottom w:val="single" w:sz="4" w:space="0" w:color="auto"/>
              <w:right w:val="single" w:sz="4" w:space="0" w:color="auto"/>
            </w:tcBorders>
            <w:shd w:val="clear" w:color="auto" w:fill="auto"/>
            <w:vAlign w:val="center"/>
            <w:hideMark/>
          </w:tcPr>
          <w:p w:rsidR="00050AA7" w:rsidRPr="004761E0" w:rsidRDefault="00050AA7" w:rsidP="00050AA7">
            <w:pPr>
              <w:ind w:firstLine="34"/>
              <w:jc w:val="right"/>
              <w:rPr>
                <w:color w:val="000000"/>
                <w:sz w:val="20"/>
                <w:szCs w:val="20"/>
              </w:rPr>
            </w:pPr>
            <w:r w:rsidRPr="004761E0">
              <w:rPr>
                <w:color w:val="000000"/>
                <w:sz w:val="20"/>
                <w:szCs w:val="20"/>
              </w:rPr>
              <w:t>-37,60 %</w:t>
            </w:r>
          </w:p>
        </w:tc>
      </w:tr>
      <w:tr w:rsidR="00050AA7" w:rsidRPr="004761E0" w:rsidTr="00050AA7">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50AA7" w:rsidRPr="004761E0" w:rsidRDefault="00050AA7" w:rsidP="007076A7">
            <w:pPr>
              <w:numPr>
                <w:ilvl w:val="0"/>
                <w:numId w:val="224"/>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050AA7" w:rsidRPr="004761E0" w:rsidRDefault="00050AA7" w:rsidP="002C5A29">
            <w:pPr>
              <w:ind w:firstLine="0"/>
              <w:jc w:val="left"/>
              <w:rPr>
                <w:rFonts w:eastAsia="Times New Roman"/>
                <w:sz w:val="20"/>
                <w:szCs w:val="20"/>
                <w:lang w:eastAsia="ru-RU"/>
              </w:rPr>
            </w:pPr>
            <w:r w:rsidRPr="004761E0">
              <w:rPr>
                <w:rFonts w:eastAsia="Times New Roman"/>
                <w:sz w:val="20"/>
                <w:szCs w:val="20"/>
                <w:lang w:eastAsia="ru-RU"/>
              </w:rPr>
              <w:t>EBITDA/проценты к уплате,  х</w:t>
            </w:r>
          </w:p>
        </w:tc>
        <w:tc>
          <w:tcPr>
            <w:tcW w:w="1134" w:type="dxa"/>
            <w:tcBorders>
              <w:top w:val="nil"/>
              <w:left w:val="nil"/>
              <w:bottom w:val="single" w:sz="4" w:space="0" w:color="auto"/>
              <w:right w:val="single" w:sz="4" w:space="0" w:color="auto"/>
            </w:tcBorders>
            <w:shd w:val="clear" w:color="auto" w:fill="auto"/>
            <w:vAlign w:val="center"/>
            <w:hideMark/>
          </w:tcPr>
          <w:p w:rsidR="00050AA7" w:rsidRPr="004761E0" w:rsidRDefault="00050AA7" w:rsidP="002C5A29">
            <w:pPr>
              <w:ind w:firstLine="0"/>
              <w:jc w:val="right"/>
              <w:rPr>
                <w:rFonts w:eastAsia="Times New Roman"/>
                <w:sz w:val="20"/>
                <w:szCs w:val="20"/>
                <w:lang w:eastAsia="ru-RU"/>
              </w:rPr>
            </w:pPr>
            <w:r w:rsidRPr="004761E0">
              <w:rPr>
                <w:rFonts w:eastAsia="Times New Roman"/>
                <w:sz w:val="20"/>
                <w:szCs w:val="20"/>
                <w:lang w:eastAsia="ru-RU"/>
              </w:rPr>
              <w:t>15,34</w:t>
            </w:r>
          </w:p>
        </w:tc>
        <w:tc>
          <w:tcPr>
            <w:tcW w:w="1134" w:type="dxa"/>
            <w:tcBorders>
              <w:top w:val="nil"/>
              <w:left w:val="nil"/>
              <w:bottom w:val="single" w:sz="4" w:space="0" w:color="auto"/>
              <w:right w:val="single" w:sz="4" w:space="0" w:color="auto"/>
            </w:tcBorders>
            <w:shd w:val="clear" w:color="auto" w:fill="auto"/>
            <w:vAlign w:val="center"/>
            <w:hideMark/>
          </w:tcPr>
          <w:p w:rsidR="00050AA7" w:rsidRPr="004761E0" w:rsidRDefault="00050AA7" w:rsidP="002C5A29">
            <w:pPr>
              <w:ind w:firstLine="0"/>
              <w:jc w:val="right"/>
              <w:rPr>
                <w:rFonts w:eastAsia="Times New Roman"/>
                <w:sz w:val="20"/>
                <w:szCs w:val="20"/>
                <w:lang w:eastAsia="ru-RU"/>
              </w:rPr>
            </w:pPr>
            <w:r w:rsidRPr="004761E0">
              <w:rPr>
                <w:rFonts w:eastAsia="Times New Roman"/>
                <w:sz w:val="20"/>
                <w:szCs w:val="20"/>
                <w:lang w:eastAsia="ru-RU"/>
              </w:rPr>
              <w:t>10,51</w:t>
            </w:r>
          </w:p>
        </w:tc>
        <w:tc>
          <w:tcPr>
            <w:tcW w:w="1134" w:type="dxa"/>
            <w:tcBorders>
              <w:top w:val="nil"/>
              <w:left w:val="nil"/>
              <w:bottom w:val="single" w:sz="4" w:space="0" w:color="auto"/>
              <w:right w:val="single" w:sz="4" w:space="0" w:color="auto"/>
            </w:tcBorders>
            <w:shd w:val="clear" w:color="auto" w:fill="auto"/>
            <w:vAlign w:val="center"/>
            <w:hideMark/>
          </w:tcPr>
          <w:p w:rsidR="00050AA7" w:rsidRPr="004761E0" w:rsidRDefault="00050AA7" w:rsidP="002C5A29">
            <w:pPr>
              <w:ind w:firstLine="0"/>
              <w:jc w:val="right"/>
              <w:rPr>
                <w:rFonts w:eastAsia="Times New Roman"/>
                <w:sz w:val="20"/>
                <w:szCs w:val="20"/>
                <w:lang w:eastAsia="ru-RU"/>
              </w:rPr>
            </w:pPr>
            <w:r w:rsidRPr="004761E0">
              <w:rPr>
                <w:rFonts w:eastAsia="Times New Roman"/>
                <w:sz w:val="20"/>
                <w:szCs w:val="20"/>
                <w:lang w:eastAsia="ru-RU"/>
              </w:rPr>
              <w:t>14,88</w:t>
            </w:r>
          </w:p>
        </w:tc>
        <w:tc>
          <w:tcPr>
            <w:tcW w:w="1134" w:type="dxa"/>
            <w:tcBorders>
              <w:top w:val="nil"/>
              <w:left w:val="nil"/>
              <w:bottom w:val="single" w:sz="4" w:space="0" w:color="auto"/>
              <w:right w:val="single" w:sz="4" w:space="0" w:color="auto"/>
            </w:tcBorders>
            <w:shd w:val="clear" w:color="auto" w:fill="auto"/>
            <w:vAlign w:val="center"/>
            <w:hideMark/>
          </w:tcPr>
          <w:p w:rsidR="00050AA7" w:rsidRPr="004761E0" w:rsidRDefault="00050AA7" w:rsidP="00050AA7">
            <w:pPr>
              <w:ind w:firstLine="34"/>
              <w:jc w:val="right"/>
              <w:rPr>
                <w:color w:val="000000"/>
                <w:sz w:val="20"/>
                <w:szCs w:val="20"/>
              </w:rPr>
            </w:pPr>
            <w:r w:rsidRPr="004761E0">
              <w:rPr>
                <w:color w:val="000000"/>
                <w:sz w:val="20"/>
                <w:szCs w:val="20"/>
              </w:rPr>
              <w:t>4,37 п.п.</w:t>
            </w:r>
          </w:p>
        </w:tc>
      </w:tr>
      <w:tr w:rsidR="00050AA7" w:rsidRPr="004761E0" w:rsidTr="002C5A29">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0AA7" w:rsidRPr="004761E0" w:rsidRDefault="00050AA7" w:rsidP="00050AA7">
            <w:pPr>
              <w:ind w:left="360" w:firstLine="0"/>
              <w:jc w:val="left"/>
              <w:rPr>
                <w:rFonts w:eastAsia="Times New Roman"/>
                <w:color w:val="000000"/>
                <w:sz w:val="20"/>
                <w:szCs w:val="20"/>
                <w:lang w:eastAsia="ru-RU"/>
              </w:rPr>
            </w:pPr>
          </w:p>
        </w:tc>
        <w:tc>
          <w:tcPr>
            <w:tcW w:w="9356" w:type="dxa"/>
            <w:gridSpan w:val="5"/>
            <w:tcBorders>
              <w:top w:val="single" w:sz="4" w:space="0" w:color="auto"/>
              <w:left w:val="nil"/>
              <w:bottom w:val="single" w:sz="4" w:space="0" w:color="auto"/>
              <w:right w:val="single" w:sz="4" w:space="0" w:color="auto"/>
            </w:tcBorders>
            <w:shd w:val="clear" w:color="auto" w:fill="auto"/>
            <w:vAlign w:val="center"/>
            <w:hideMark/>
          </w:tcPr>
          <w:p w:rsidR="00050AA7" w:rsidRPr="004761E0" w:rsidRDefault="00050AA7" w:rsidP="00050AA7">
            <w:pPr>
              <w:ind w:firstLine="0"/>
              <w:jc w:val="left"/>
              <w:rPr>
                <w:rFonts w:eastAsia="Times New Roman"/>
                <w:color w:val="000000"/>
                <w:sz w:val="20"/>
                <w:szCs w:val="20"/>
                <w:lang w:eastAsia="ru-RU"/>
              </w:rPr>
            </w:pPr>
            <w:r w:rsidRPr="004761E0">
              <w:rPr>
                <w:rFonts w:eastAsia="Times New Roman"/>
                <w:color w:val="000000"/>
                <w:sz w:val="20"/>
                <w:szCs w:val="20"/>
                <w:lang w:eastAsia="ru-RU"/>
              </w:rPr>
              <w:t>Справочно:</w:t>
            </w:r>
          </w:p>
        </w:tc>
      </w:tr>
      <w:tr w:rsidR="00050AA7" w:rsidRPr="004761E0" w:rsidTr="00050AA7">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0AA7" w:rsidRPr="004761E0" w:rsidRDefault="00050AA7" w:rsidP="007076A7">
            <w:pPr>
              <w:numPr>
                <w:ilvl w:val="0"/>
                <w:numId w:val="224"/>
              </w:numPr>
              <w:jc w:val="left"/>
              <w:rPr>
                <w:rFonts w:eastAsia="Times New Roman"/>
                <w:color w:val="000000"/>
                <w:sz w:val="20"/>
                <w:szCs w:val="20"/>
                <w:lang w:eastAsia="ru-RU"/>
              </w:rPr>
            </w:pP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050AA7" w:rsidRPr="004761E0" w:rsidRDefault="00050AA7" w:rsidP="002C5A29">
            <w:pPr>
              <w:ind w:firstLine="0"/>
              <w:jc w:val="left"/>
              <w:rPr>
                <w:rFonts w:eastAsia="Times New Roman"/>
                <w:sz w:val="20"/>
                <w:szCs w:val="20"/>
                <w:lang w:eastAsia="ru-RU"/>
              </w:rPr>
            </w:pPr>
            <w:r w:rsidRPr="004761E0">
              <w:rPr>
                <w:rFonts w:eastAsia="Times New Roman"/>
                <w:sz w:val="20"/>
                <w:szCs w:val="20"/>
                <w:lang w:eastAsia="ru-RU"/>
              </w:rPr>
              <w:t>Собственный капитал, млн руб.</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50AA7" w:rsidRPr="004761E0" w:rsidRDefault="00050AA7" w:rsidP="002C5A29">
            <w:pPr>
              <w:ind w:firstLine="0"/>
              <w:jc w:val="right"/>
              <w:rPr>
                <w:rFonts w:eastAsia="Times New Roman"/>
                <w:sz w:val="20"/>
                <w:szCs w:val="20"/>
                <w:lang w:eastAsia="ru-RU"/>
              </w:rPr>
            </w:pPr>
            <w:r w:rsidRPr="004761E0">
              <w:rPr>
                <w:rFonts w:eastAsia="Times New Roman"/>
                <w:sz w:val="20"/>
                <w:szCs w:val="20"/>
                <w:lang w:eastAsia="ru-RU"/>
              </w:rPr>
              <w:t>155 178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50AA7" w:rsidRPr="004761E0" w:rsidRDefault="00050AA7" w:rsidP="002C5A29">
            <w:pPr>
              <w:ind w:firstLine="0"/>
              <w:jc w:val="right"/>
              <w:rPr>
                <w:rFonts w:eastAsia="Times New Roman"/>
                <w:sz w:val="20"/>
                <w:szCs w:val="20"/>
                <w:lang w:eastAsia="ru-RU"/>
              </w:rPr>
            </w:pPr>
            <w:r w:rsidRPr="004761E0">
              <w:rPr>
                <w:rFonts w:eastAsia="Times New Roman"/>
                <w:sz w:val="20"/>
                <w:szCs w:val="20"/>
                <w:lang w:eastAsia="ru-RU"/>
              </w:rPr>
              <w:t>171 144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50AA7" w:rsidRPr="004761E0" w:rsidRDefault="00050AA7" w:rsidP="002C5A29">
            <w:pPr>
              <w:ind w:firstLine="0"/>
              <w:jc w:val="right"/>
              <w:rPr>
                <w:rFonts w:eastAsia="Times New Roman"/>
                <w:sz w:val="20"/>
                <w:szCs w:val="20"/>
                <w:lang w:eastAsia="ru-RU"/>
              </w:rPr>
            </w:pPr>
            <w:r w:rsidRPr="004761E0">
              <w:rPr>
                <w:rFonts w:eastAsia="Times New Roman"/>
                <w:sz w:val="20"/>
                <w:szCs w:val="20"/>
                <w:lang w:eastAsia="ru-RU"/>
              </w:rPr>
              <w:t>178 489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50AA7" w:rsidRPr="004761E0" w:rsidRDefault="00050AA7" w:rsidP="00050AA7">
            <w:pPr>
              <w:ind w:firstLine="0"/>
              <w:jc w:val="right"/>
              <w:rPr>
                <w:color w:val="000000"/>
                <w:sz w:val="20"/>
                <w:szCs w:val="22"/>
              </w:rPr>
            </w:pPr>
            <w:r w:rsidRPr="004761E0">
              <w:rPr>
                <w:color w:val="000000"/>
                <w:sz w:val="20"/>
                <w:szCs w:val="22"/>
              </w:rPr>
              <w:t>4,29 %</w:t>
            </w:r>
          </w:p>
        </w:tc>
      </w:tr>
      <w:tr w:rsidR="00050AA7" w:rsidRPr="004761E0" w:rsidTr="00050AA7">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0AA7" w:rsidRPr="004761E0" w:rsidRDefault="00050AA7" w:rsidP="007076A7">
            <w:pPr>
              <w:numPr>
                <w:ilvl w:val="0"/>
                <w:numId w:val="224"/>
              </w:numPr>
              <w:jc w:val="left"/>
              <w:rPr>
                <w:rFonts w:eastAsia="Times New Roman"/>
                <w:color w:val="000000"/>
                <w:sz w:val="20"/>
                <w:szCs w:val="20"/>
                <w:lang w:eastAsia="ru-RU"/>
              </w:rPr>
            </w:pP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050AA7" w:rsidRPr="004761E0" w:rsidRDefault="00050AA7" w:rsidP="002C5A29">
            <w:pPr>
              <w:ind w:firstLine="0"/>
              <w:jc w:val="left"/>
              <w:rPr>
                <w:rFonts w:eastAsia="Times New Roman"/>
                <w:sz w:val="20"/>
                <w:szCs w:val="20"/>
                <w:lang w:eastAsia="ru-RU"/>
              </w:rPr>
            </w:pPr>
            <w:r w:rsidRPr="004761E0">
              <w:rPr>
                <w:rFonts w:eastAsia="Times New Roman"/>
                <w:sz w:val="20"/>
                <w:szCs w:val="20"/>
                <w:lang w:eastAsia="ru-RU"/>
              </w:rPr>
              <w:t xml:space="preserve">EBITDA, млн руб.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50AA7" w:rsidRPr="004761E0" w:rsidRDefault="00050AA7" w:rsidP="002C5A29">
            <w:pPr>
              <w:ind w:firstLine="0"/>
              <w:jc w:val="right"/>
              <w:rPr>
                <w:rFonts w:eastAsia="Times New Roman"/>
                <w:sz w:val="20"/>
                <w:szCs w:val="20"/>
                <w:lang w:eastAsia="ru-RU"/>
              </w:rPr>
            </w:pPr>
            <w:r w:rsidRPr="004761E0">
              <w:rPr>
                <w:rFonts w:eastAsia="Times New Roman"/>
                <w:sz w:val="20"/>
                <w:szCs w:val="20"/>
                <w:lang w:eastAsia="ru-RU"/>
              </w:rPr>
              <w:t>39 578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50AA7" w:rsidRPr="004761E0" w:rsidRDefault="00050AA7" w:rsidP="002C5A29">
            <w:pPr>
              <w:ind w:firstLine="0"/>
              <w:jc w:val="right"/>
              <w:rPr>
                <w:rFonts w:eastAsia="Times New Roman"/>
                <w:sz w:val="20"/>
                <w:szCs w:val="20"/>
                <w:lang w:eastAsia="ru-RU"/>
              </w:rPr>
            </w:pPr>
            <w:r w:rsidRPr="004761E0">
              <w:rPr>
                <w:rFonts w:eastAsia="Times New Roman"/>
                <w:sz w:val="20"/>
                <w:szCs w:val="20"/>
                <w:lang w:eastAsia="ru-RU"/>
              </w:rPr>
              <w:t>41 212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50AA7" w:rsidRPr="004761E0" w:rsidRDefault="00050AA7" w:rsidP="002C5A29">
            <w:pPr>
              <w:ind w:firstLine="0"/>
              <w:jc w:val="right"/>
              <w:rPr>
                <w:rFonts w:eastAsia="Times New Roman"/>
                <w:sz w:val="20"/>
                <w:szCs w:val="20"/>
                <w:lang w:eastAsia="ru-RU"/>
              </w:rPr>
            </w:pPr>
            <w:r w:rsidRPr="004761E0">
              <w:rPr>
                <w:rFonts w:eastAsia="Times New Roman"/>
                <w:sz w:val="20"/>
                <w:szCs w:val="20"/>
                <w:lang w:eastAsia="ru-RU"/>
              </w:rPr>
              <w:t>36 430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50AA7" w:rsidRPr="004761E0" w:rsidRDefault="00050AA7" w:rsidP="00050AA7">
            <w:pPr>
              <w:ind w:firstLine="0"/>
              <w:jc w:val="right"/>
              <w:rPr>
                <w:color w:val="000000"/>
                <w:sz w:val="20"/>
                <w:szCs w:val="22"/>
              </w:rPr>
            </w:pPr>
            <w:r w:rsidRPr="004761E0">
              <w:rPr>
                <w:color w:val="000000"/>
                <w:sz w:val="20"/>
                <w:szCs w:val="22"/>
              </w:rPr>
              <w:t>-11,60 %</w:t>
            </w:r>
          </w:p>
        </w:tc>
      </w:tr>
    </w:tbl>
    <w:p w:rsidR="00512DCC" w:rsidRDefault="00512DCC" w:rsidP="00512DCC">
      <w:pPr>
        <w:tabs>
          <w:tab w:val="left" w:pos="426"/>
        </w:tabs>
        <w:ind w:firstLine="567"/>
        <w:rPr>
          <w:sz w:val="26"/>
          <w:szCs w:val="26"/>
          <w:lang w:eastAsia="ru-RU"/>
        </w:rPr>
      </w:pPr>
      <w:bookmarkStart w:id="68" w:name="_Toc380576921"/>
      <w:r w:rsidRPr="00467D3E">
        <w:rPr>
          <w:sz w:val="26"/>
          <w:szCs w:val="26"/>
          <w:lang w:eastAsia="ru-RU"/>
        </w:rPr>
        <w:t>Суммарный долг компании незначительно вырос в отчетном периоде, рост составил 4,98</w:t>
      </w:r>
      <w:r>
        <w:rPr>
          <w:sz w:val="26"/>
          <w:szCs w:val="26"/>
          <w:lang w:eastAsia="ru-RU"/>
        </w:rPr>
        <w:t xml:space="preserve"> </w:t>
      </w:r>
      <w:r w:rsidRPr="00467D3E">
        <w:rPr>
          <w:sz w:val="26"/>
          <w:szCs w:val="26"/>
          <w:lang w:eastAsia="ru-RU"/>
        </w:rPr>
        <w:t xml:space="preserve">%, что объясняется реализацией инвестиционных планов </w:t>
      </w:r>
      <w:r>
        <w:rPr>
          <w:sz w:val="26"/>
          <w:szCs w:val="26"/>
          <w:lang w:eastAsia="ru-RU"/>
        </w:rPr>
        <w:t>К</w:t>
      </w:r>
      <w:r w:rsidRPr="00467D3E">
        <w:rPr>
          <w:sz w:val="26"/>
          <w:szCs w:val="26"/>
          <w:lang w:eastAsia="ru-RU"/>
        </w:rPr>
        <w:t xml:space="preserve">омпании. Однако соотношение долга к </w:t>
      </w:r>
      <w:r w:rsidRPr="00467D3E">
        <w:rPr>
          <w:sz w:val="26"/>
          <w:szCs w:val="26"/>
          <w:lang w:val="en-US" w:eastAsia="ru-RU"/>
        </w:rPr>
        <w:t>EBITDA</w:t>
      </w:r>
      <w:r w:rsidRPr="00467D3E">
        <w:rPr>
          <w:sz w:val="26"/>
          <w:szCs w:val="26"/>
          <w:lang w:eastAsia="ru-RU"/>
        </w:rPr>
        <w:t xml:space="preserve">, которое составило 1,58 остается на традиционно низком уровне как для отрасли так и для сетевого сектора. В ближайшей перспективе </w:t>
      </w:r>
      <w:r>
        <w:rPr>
          <w:sz w:val="26"/>
          <w:szCs w:val="26"/>
          <w:lang w:eastAsia="ru-RU"/>
        </w:rPr>
        <w:t>К</w:t>
      </w:r>
      <w:r w:rsidRPr="00467D3E">
        <w:rPr>
          <w:sz w:val="26"/>
          <w:szCs w:val="26"/>
          <w:lang w:eastAsia="ru-RU"/>
        </w:rPr>
        <w:t xml:space="preserve">омпания не планирует роста данного показателя более 2. Обычно для расчета долговой нагрузки банки и кредитные агентства считают приемлемым данный коэффициент в пределах 3-4. </w:t>
      </w:r>
    </w:p>
    <w:p w:rsidR="009817EE" w:rsidRPr="00512DCC" w:rsidRDefault="009817EE" w:rsidP="009817EE">
      <w:pPr>
        <w:rPr>
          <w:rFonts w:eastAsia="Times New Roman"/>
          <w:lang w:eastAsia="ru-RU"/>
        </w:rPr>
      </w:pPr>
      <w:r w:rsidRPr="00512DCC">
        <w:rPr>
          <w:lang w:eastAsia="ru-RU"/>
        </w:rPr>
        <w:br w:type="page"/>
      </w:r>
    </w:p>
    <w:p w:rsidR="00136A10" w:rsidRPr="004761E0" w:rsidRDefault="00E34ACB" w:rsidP="007076A7">
      <w:pPr>
        <w:pStyle w:val="a8"/>
        <w:numPr>
          <w:ilvl w:val="1"/>
          <w:numId w:val="321"/>
        </w:numPr>
        <w:spacing w:before="120" w:after="120"/>
        <w:ind w:left="1134" w:hanging="567"/>
        <w:jc w:val="both"/>
        <w:rPr>
          <w:rFonts w:ascii="Times New Roman" w:hAnsi="Times New Roman"/>
          <w:b/>
          <w:sz w:val="26"/>
          <w:szCs w:val="26"/>
          <w:lang w:eastAsia="ru-RU"/>
        </w:rPr>
      </w:pPr>
      <w:bookmarkStart w:id="69" w:name="_Toc385339817"/>
      <w:r w:rsidRPr="004761E0">
        <w:rPr>
          <w:rFonts w:ascii="Times New Roman" w:hAnsi="Times New Roman"/>
          <w:b/>
          <w:sz w:val="26"/>
          <w:szCs w:val="26"/>
        </w:rPr>
        <w:lastRenderedPageBreak/>
        <w:t>Интервью заместителя генерального директора по капитальному строительству</w:t>
      </w:r>
      <w:bookmarkEnd w:id="68"/>
      <w:bookmarkEnd w:id="69"/>
    </w:p>
    <w:p w:rsidR="00122F38" w:rsidRPr="008C0C74" w:rsidRDefault="00122F38" w:rsidP="008C0C74">
      <w:pPr>
        <w:spacing w:before="120" w:after="120"/>
        <w:ind w:firstLine="567"/>
        <w:rPr>
          <w:b/>
          <w:sz w:val="26"/>
          <w:szCs w:val="26"/>
        </w:rPr>
      </w:pPr>
      <w:r w:rsidRPr="008C0C74">
        <w:rPr>
          <w:b/>
          <w:sz w:val="26"/>
          <w:szCs w:val="26"/>
        </w:rPr>
        <w:t>Каковы основные результаты деятельности в отчетном  году в рамках курируемого Вами направления?</w:t>
      </w:r>
    </w:p>
    <w:p w:rsidR="00122F38" w:rsidRPr="004761E0" w:rsidRDefault="0008080E" w:rsidP="00122F38">
      <w:pPr>
        <w:pStyle w:val="a5"/>
        <w:ind w:left="0" w:firstLine="567"/>
        <w:contextualSpacing w:val="0"/>
        <w:rPr>
          <w:sz w:val="26"/>
          <w:szCs w:val="26"/>
        </w:rPr>
      </w:pPr>
      <w:r>
        <w:rPr>
          <w:sz w:val="26"/>
          <w:szCs w:val="26"/>
        </w:rPr>
        <w:t>ОАО </w:t>
      </w:r>
      <w:r w:rsidR="00122F38" w:rsidRPr="004761E0">
        <w:rPr>
          <w:sz w:val="26"/>
          <w:szCs w:val="26"/>
        </w:rPr>
        <w:t xml:space="preserve">«МОЭСК» с каждым годом наращивает объемы инвестиционной программы, и в 2013 году перед </w:t>
      </w:r>
      <w:r w:rsidR="00C914F1" w:rsidRPr="004761E0">
        <w:rPr>
          <w:sz w:val="26"/>
          <w:szCs w:val="26"/>
        </w:rPr>
        <w:t>б</w:t>
      </w:r>
      <w:r w:rsidR="00122F38" w:rsidRPr="004761E0">
        <w:rPr>
          <w:sz w:val="26"/>
          <w:szCs w:val="26"/>
        </w:rPr>
        <w:t>локом капитального строительства стояла непростая задача по ее реализации. Но мы с ней успешно справились – инвестиционная программа Общества на 2013 год выполнена в полном объеме. Результаты следующие: освоено 51 212 млн руб. капитальных вложений, что составляет 104</w:t>
      </w:r>
      <w:r w:rsidR="00570119" w:rsidRPr="004761E0">
        <w:rPr>
          <w:sz w:val="26"/>
          <w:szCs w:val="26"/>
        </w:rPr>
        <w:t> </w:t>
      </w:r>
      <w:r w:rsidR="00122F38" w:rsidRPr="004761E0">
        <w:rPr>
          <w:sz w:val="26"/>
          <w:szCs w:val="26"/>
        </w:rPr>
        <w:t>% от плана (49 306 млн руб.) По сравнению с 2012 годом освоение капитальных вложений увеличилось на 15 117 млн руб. (прирост 42</w:t>
      </w:r>
      <w:r w:rsidR="00570119" w:rsidRPr="004761E0">
        <w:rPr>
          <w:sz w:val="26"/>
          <w:szCs w:val="26"/>
        </w:rPr>
        <w:t> </w:t>
      </w:r>
      <w:r w:rsidR="00122F38" w:rsidRPr="004761E0">
        <w:rPr>
          <w:sz w:val="26"/>
          <w:szCs w:val="26"/>
        </w:rPr>
        <w:t>%), с 2011 годом –</w:t>
      </w:r>
      <w:r w:rsidR="00570119" w:rsidRPr="004761E0">
        <w:rPr>
          <w:sz w:val="26"/>
          <w:szCs w:val="26"/>
        </w:rPr>
        <w:t xml:space="preserve"> на 21 685 млн руб. (прирост 73 </w:t>
      </w:r>
      <w:r w:rsidR="00122F38" w:rsidRPr="004761E0">
        <w:rPr>
          <w:sz w:val="26"/>
          <w:szCs w:val="26"/>
        </w:rPr>
        <w:t xml:space="preserve">%). По остальным показателям инвестиционной программы </w:t>
      </w:r>
      <w:r w:rsidR="00C914F1" w:rsidRPr="004761E0">
        <w:rPr>
          <w:sz w:val="26"/>
          <w:szCs w:val="26"/>
        </w:rPr>
        <w:t>–</w:t>
      </w:r>
      <w:r w:rsidR="00122F38" w:rsidRPr="004761E0">
        <w:rPr>
          <w:sz w:val="26"/>
          <w:szCs w:val="26"/>
        </w:rPr>
        <w:t xml:space="preserve"> вводу основных фондов и мощностей, финансированию, – также наблюдается рост. Ввод основных фондов в 2013 году составил  45 827 млн руб., то есть 102</w:t>
      </w:r>
      <w:r w:rsidR="00570119" w:rsidRPr="004761E0">
        <w:rPr>
          <w:sz w:val="26"/>
          <w:szCs w:val="26"/>
        </w:rPr>
        <w:t> </w:t>
      </w:r>
      <w:r w:rsidR="00122F38" w:rsidRPr="004761E0">
        <w:rPr>
          <w:sz w:val="26"/>
          <w:szCs w:val="26"/>
        </w:rPr>
        <w:t>% от запланированного объема – 45 126 млн руб. Если говорить о физических величинах, то ввод трансформаторной мощности достиг 4 453 МВА (106</w:t>
      </w:r>
      <w:r w:rsidR="00570119" w:rsidRPr="004761E0">
        <w:rPr>
          <w:sz w:val="26"/>
          <w:szCs w:val="26"/>
        </w:rPr>
        <w:t> </w:t>
      </w:r>
      <w:r w:rsidR="00122F38" w:rsidRPr="004761E0">
        <w:rPr>
          <w:sz w:val="26"/>
          <w:szCs w:val="26"/>
        </w:rPr>
        <w:t>% от запланированного на 2013 год объема). Также Общество ввело в основные фонды 6 195 км линий электропередачи, выполнив план по вводу ЛЭП на 113</w:t>
      </w:r>
      <w:r w:rsidR="00570119" w:rsidRPr="004761E0">
        <w:rPr>
          <w:sz w:val="26"/>
          <w:szCs w:val="26"/>
        </w:rPr>
        <w:t> </w:t>
      </w:r>
      <w:r w:rsidR="00122F38" w:rsidRPr="004761E0">
        <w:rPr>
          <w:sz w:val="26"/>
          <w:szCs w:val="26"/>
        </w:rPr>
        <w:t xml:space="preserve">%. </w:t>
      </w:r>
    </w:p>
    <w:p w:rsidR="00122F38" w:rsidRPr="004761E0" w:rsidRDefault="00122F38" w:rsidP="00122F38">
      <w:pPr>
        <w:pStyle w:val="a5"/>
        <w:ind w:left="0" w:firstLine="567"/>
        <w:contextualSpacing w:val="0"/>
        <w:rPr>
          <w:sz w:val="26"/>
          <w:szCs w:val="26"/>
        </w:rPr>
      </w:pPr>
      <w:r w:rsidRPr="004761E0">
        <w:rPr>
          <w:sz w:val="26"/>
          <w:szCs w:val="26"/>
        </w:rPr>
        <w:t>Отдельно хочется отметить, что в части объектов, включенных в базу определения доходности инвестированного капитала (RAB), показатели инвестиционной программы выполнены в полном объеме. Также инвестиционная программа выполнена в разрезе регионов: по г. Москве и Московской области.</w:t>
      </w:r>
    </w:p>
    <w:p w:rsidR="00122F38" w:rsidRPr="004761E0" w:rsidRDefault="00122F38" w:rsidP="008C0C74">
      <w:pPr>
        <w:spacing w:before="120" w:after="120"/>
        <w:ind w:firstLine="567"/>
        <w:rPr>
          <w:b/>
          <w:sz w:val="26"/>
          <w:szCs w:val="26"/>
        </w:rPr>
      </w:pPr>
      <w:r w:rsidRPr="004761E0">
        <w:rPr>
          <w:b/>
          <w:sz w:val="26"/>
          <w:szCs w:val="26"/>
        </w:rPr>
        <w:t>Как, по Вашему мнению, в отчетном году упростилась деятельность в рамках курируемого направления?</w:t>
      </w:r>
    </w:p>
    <w:p w:rsidR="00122F38" w:rsidRPr="004761E0" w:rsidRDefault="00122F38" w:rsidP="00122F38">
      <w:pPr>
        <w:pStyle w:val="a5"/>
        <w:ind w:left="0" w:firstLine="567"/>
        <w:contextualSpacing w:val="0"/>
        <w:rPr>
          <w:sz w:val="26"/>
          <w:szCs w:val="26"/>
        </w:rPr>
      </w:pPr>
      <w:r w:rsidRPr="004761E0">
        <w:rPr>
          <w:sz w:val="26"/>
          <w:szCs w:val="26"/>
        </w:rPr>
        <w:t xml:space="preserve">В 2013 году </w:t>
      </w:r>
      <w:r w:rsidR="00C914F1" w:rsidRPr="004761E0">
        <w:rPr>
          <w:sz w:val="26"/>
          <w:szCs w:val="26"/>
        </w:rPr>
        <w:t>б</w:t>
      </w:r>
      <w:r w:rsidRPr="004761E0">
        <w:rPr>
          <w:sz w:val="26"/>
          <w:szCs w:val="26"/>
        </w:rPr>
        <w:t>лок капитального строительства столкнулся в своей деятельности с новыми вызовами. Одним из наиболее серьезных факторов, влияющих на своевременное выполнение инвестпрограмм Общества, является получение в органах местного самоуправления г. Москвы и М</w:t>
      </w:r>
      <w:r w:rsidR="00C914F1" w:rsidRPr="004761E0">
        <w:rPr>
          <w:sz w:val="26"/>
          <w:szCs w:val="26"/>
        </w:rPr>
        <w:t>осковской области</w:t>
      </w:r>
      <w:r w:rsidRPr="004761E0">
        <w:rPr>
          <w:sz w:val="26"/>
          <w:szCs w:val="26"/>
        </w:rPr>
        <w:t xml:space="preserve"> разрешительной документации на строительство и реконструкцию объектов электросетевого хозяйства для возможности подключения новых потребителей. К сожалению, несмотря на работу в этом направлении, проведенную </w:t>
      </w:r>
      <w:r w:rsidR="00E75C03" w:rsidRPr="004761E0">
        <w:rPr>
          <w:sz w:val="26"/>
          <w:szCs w:val="26"/>
        </w:rPr>
        <w:t>б</w:t>
      </w:r>
      <w:r w:rsidRPr="004761E0">
        <w:rPr>
          <w:sz w:val="26"/>
          <w:szCs w:val="26"/>
        </w:rPr>
        <w:t xml:space="preserve">локом капитального строительства с Правительствами г. Москвы и Московской области в 2012 году, ситуация в 2013 году не улучшилась. </w:t>
      </w:r>
    </w:p>
    <w:p w:rsidR="00122F38" w:rsidRPr="004761E0" w:rsidRDefault="00122F38" w:rsidP="008C0C74">
      <w:pPr>
        <w:spacing w:before="120" w:after="120"/>
        <w:ind w:firstLine="567"/>
        <w:rPr>
          <w:b/>
          <w:sz w:val="26"/>
          <w:szCs w:val="26"/>
        </w:rPr>
      </w:pPr>
      <w:r w:rsidRPr="004761E0">
        <w:rPr>
          <w:b/>
          <w:sz w:val="26"/>
          <w:szCs w:val="26"/>
        </w:rPr>
        <w:t xml:space="preserve">Каким образом результаты деятельности в рамках курируемого направления повлияли в отчетном году на повышении открытости/прозрачности деятельности </w:t>
      </w:r>
      <w:r w:rsidR="0008080E">
        <w:rPr>
          <w:b/>
          <w:sz w:val="26"/>
          <w:szCs w:val="26"/>
        </w:rPr>
        <w:t>ОАО </w:t>
      </w:r>
      <w:r w:rsidRPr="004761E0">
        <w:rPr>
          <w:b/>
          <w:sz w:val="26"/>
          <w:szCs w:val="26"/>
        </w:rPr>
        <w:t>«МОЭСК»?</w:t>
      </w:r>
    </w:p>
    <w:p w:rsidR="00122F38" w:rsidRPr="004761E0" w:rsidRDefault="00122F38" w:rsidP="00122F38">
      <w:pPr>
        <w:pStyle w:val="a5"/>
        <w:ind w:left="0" w:firstLine="567"/>
        <w:contextualSpacing w:val="0"/>
        <w:rPr>
          <w:sz w:val="26"/>
          <w:szCs w:val="26"/>
        </w:rPr>
      </w:pPr>
      <w:r w:rsidRPr="004761E0">
        <w:rPr>
          <w:sz w:val="26"/>
          <w:szCs w:val="26"/>
        </w:rPr>
        <w:t xml:space="preserve">Уровень открытости и прозрачности деятельности </w:t>
      </w:r>
      <w:r w:rsidR="0008080E">
        <w:rPr>
          <w:sz w:val="26"/>
          <w:szCs w:val="26"/>
        </w:rPr>
        <w:t>ОАО </w:t>
      </w:r>
      <w:r w:rsidRPr="004761E0">
        <w:rPr>
          <w:sz w:val="26"/>
          <w:szCs w:val="26"/>
        </w:rPr>
        <w:t>«МОЭСК» в 2013 году остался по-прежнему высоким, в том числе благодаря тому, что максимально открыто работает Блок капитального строительства. Деятельность Блока регламентируется законодательными актами, утвержденными как на уровне государства, так и Общества. В соответствии с Постановлением Правительства РФ от 21.01.2004 №</w:t>
      </w:r>
      <w:r w:rsidR="00DF693F">
        <w:rPr>
          <w:sz w:val="26"/>
          <w:szCs w:val="26"/>
        </w:rPr>
        <w:t xml:space="preserve"> </w:t>
      </w:r>
      <w:r w:rsidRPr="004761E0">
        <w:rPr>
          <w:sz w:val="26"/>
          <w:szCs w:val="26"/>
        </w:rPr>
        <w:t xml:space="preserve">24 «Об утверждении стандартов раскрытия информации субъектами оптового и розничных рынков электрической энергии» Блок предоставляет информацию о реализации инвестиционных программ, включая отчеты о выполнении годовых планов капитальных вложений с указанием достигнутых результатов. Кроме того, ежеквартально Блок капитального строительства направляет отчетность по инвестиционной программе в </w:t>
      </w:r>
      <w:r w:rsidRPr="004761E0">
        <w:rPr>
          <w:sz w:val="26"/>
          <w:szCs w:val="26"/>
        </w:rPr>
        <w:lastRenderedPageBreak/>
        <w:t>Минэнерго России в соответствии с установленными форматами</w:t>
      </w:r>
      <w:r w:rsidR="00DF693F" w:rsidRPr="006F4AB8">
        <w:rPr>
          <w:rStyle w:val="af1"/>
        </w:rPr>
        <w:footnoteReference w:id="69"/>
      </w:r>
      <w:r w:rsidRPr="004761E0">
        <w:rPr>
          <w:sz w:val="26"/>
          <w:szCs w:val="26"/>
        </w:rPr>
        <w:t xml:space="preserve">. Также информация направляется всем заинтересованным лицам, обратившимся в </w:t>
      </w:r>
      <w:r w:rsidR="0008080E">
        <w:rPr>
          <w:sz w:val="26"/>
          <w:szCs w:val="26"/>
        </w:rPr>
        <w:t>ОАО </w:t>
      </w:r>
      <w:r w:rsidRPr="004761E0">
        <w:rPr>
          <w:sz w:val="26"/>
          <w:szCs w:val="26"/>
        </w:rPr>
        <w:t>«МОЭСК».</w:t>
      </w:r>
    </w:p>
    <w:p w:rsidR="00122F38" w:rsidRPr="004761E0" w:rsidRDefault="00122F38" w:rsidP="008C0C74">
      <w:pPr>
        <w:spacing w:before="120" w:after="120"/>
        <w:ind w:firstLine="567"/>
        <w:rPr>
          <w:b/>
          <w:sz w:val="26"/>
          <w:szCs w:val="26"/>
        </w:rPr>
      </w:pPr>
      <w:r w:rsidRPr="004761E0">
        <w:rPr>
          <w:b/>
          <w:sz w:val="26"/>
          <w:szCs w:val="26"/>
        </w:rPr>
        <w:t>Как результаты деятельности в отчетном году в рамках курируемого направления отразились на взаимоотношениях с клиентами, акционерами, иными заинтересованными сторонами?</w:t>
      </w:r>
    </w:p>
    <w:p w:rsidR="00122F38" w:rsidRPr="004761E0" w:rsidRDefault="00122F38" w:rsidP="00122F38">
      <w:pPr>
        <w:pStyle w:val="a5"/>
        <w:ind w:left="0" w:firstLine="567"/>
        <w:contextualSpacing w:val="0"/>
        <w:rPr>
          <w:sz w:val="26"/>
          <w:szCs w:val="26"/>
        </w:rPr>
      </w:pPr>
      <w:r w:rsidRPr="004761E0">
        <w:rPr>
          <w:sz w:val="26"/>
          <w:szCs w:val="26"/>
        </w:rPr>
        <w:t xml:space="preserve">К заинтересованным сторонам, чьи действия могут повлиять на способность </w:t>
      </w:r>
      <w:r w:rsidR="0008080E">
        <w:rPr>
          <w:sz w:val="26"/>
          <w:szCs w:val="26"/>
        </w:rPr>
        <w:t>ОАО </w:t>
      </w:r>
      <w:r w:rsidRPr="004761E0">
        <w:rPr>
          <w:sz w:val="26"/>
          <w:szCs w:val="26"/>
        </w:rPr>
        <w:t>«МОЭСК» успешно реализовывать свою стратегию и достигать поставленных целей, со стороны капитального строительства относятся все подрядные организации и поставщики оборудования и материалов, с которыми Общество имеет договорные отношения на выполнение работ (строительно-монтажных, проектно-изыскательских), поставку продукции и оказание услуг для нужд капитального строительства.</w:t>
      </w:r>
    </w:p>
    <w:p w:rsidR="00122F38" w:rsidRPr="004761E0" w:rsidRDefault="00122F38" w:rsidP="00122F38">
      <w:pPr>
        <w:pStyle w:val="a5"/>
        <w:ind w:left="0" w:firstLine="567"/>
        <w:contextualSpacing w:val="0"/>
        <w:rPr>
          <w:sz w:val="26"/>
          <w:szCs w:val="26"/>
        </w:rPr>
      </w:pPr>
      <w:r w:rsidRPr="004761E0">
        <w:rPr>
          <w:sz w:val="26"/>
          <w:szCs w:val="26"/>
        </w:rPr>
        <w:t xml:space="preserve">Основанием для отбора  подрядных организаций для капитального строительства служат результаты торгово-закупочных процедур, которые осуществляются на основании Положения о порядке проведения регламентированных закупок товаров, работ, услуг для нужд </w:t>
      </w:r>
      <w:r w:rsidR="0008080E">
        <w:rPr>
          <w:sz w:val="26"/>
          <w:szCs w:val="26"/>
        </w:rPr>
        <w:t>ОАО </w:t>
      </w:r>
      <w:r w:rsidRPr="004761E0">
        <w:rPr>
          <w:sz w:val="26"/>
          <w:szCs w:val="26"/>
        </w:rPr>
        <w:t>«МОЭСК».</w:t>
      </w:r>
    </w:p>
    <w:p w:rsidR="00122F38" w:rsidRPr="004761E0" w:rsidRDefault="00122F38" w:rsidP="00122F38">
      <w:pPr>
        <w:pStyle w:val="a5"/>
        <w:ind w:left="0" w:firstLine="567"/>
        <w:contextualSpacing w:val="0"/>
        <w:rPr>
          <w:sz w:val="26"/>
          <w:szCs w:val="26"/>
        </w:rPr>
      </w:pPr>
      <w:r w:rsidRPr="004761E0">
        <w:rPr>
          <w:sz w:val="26"/>
          <w:szCs w:val="26"/>
        </w:rPr>
        <w:t xml:space="preserve">Степень влияния Общества и заинтересованных сторон друг на друга определяется параметрами решений </w:t>
      </w:r>
      <w:r w:rsidR="00E75C03" w:rsidRPr="004761E0">
        <w:rPr>
          <w:sz w:val="26"/>
          <w:szCs w:val="26"/>
        </w:rPr>
        <w:t>з</w:t>
      </w:r>
      <w:r w:rsidRPr="004761E0">
        <w:rPr>
          <w:sz w:val="26"/>
          <w:szCs w:val="26"/>
        </w:rPr>
        <w:t xml:space="preserve">акупочного органа </w:t>
      </w:r>
      <w:r w:rsidR="0008080E">
        <w:rPr>
          <w:sz w:val="26"/>
          <w:szCs w:val="26"/>
        </w:rPr>
        <w:t>ОАО </w:t>
      </w:r>
      <w:r w:rsidRPr="004761E0">
        <w:rPr>
          <w:sz w:val="26"/>
          <w:szCs w:val="26"/>
        </w:rPr>
        <w:t>«МОЭСК» и фиксируется в Протоколе о результатах торгово-закупочной процедуры. Дальнейшее взаимодействие О</w:t>
      </w:r>
      <w:r w:rsidR="00E75C03" w:rsidRPr="004761E0">
        <w:rPr>
          <w:sz w:val="26"/>
          <w:szCs w:val="26"/>
        </w:rPr>
        <w:t>бщества</w:t>
      </w:r>
      <w:r w:rsidRPr="004761E0">
        <w:rPr>
          <w:sz w:val="26"/>
          <w:szCs w:val="26"/>
        </w:rPr>
        <w:t xml:space="preserve"> и заинтересованных сторон осуществляется на основании условий договоров, заключенных по результатам торгово-закупочных процедур.</w:t>
      </w:r>
    </w:p>
    <w:p w:rsidR="00122F38" w:rsidRPr="004761E0" w:rsidRDefault="00122F38" w:rsidP="00122F38">
      <w:pPr>
        <w:pStyle w:val="a5"/>
        <w:ind w:left="0" w:firstLine="567"/>
        <w:contextualSpacing w:val="0"/>
        <w:rPr>
          <w:sz w:val="26"/>
          <w:szCs w:val="26"/>
        </w:rPr>
      </w:pPr>
      <w:r w:rsidRPr="004761E0">
        <w:rPr>
          <w:sz w:val="26"/>
          <w:szCs w:val="26"/>
        </w:rPr>
        <w:t>Ключевыми аспектами, выявляемыми в процессе взаимодействия с заинтересованными сторонами в области капитального строительства, являются:</w:t>
      </w:r>
    </w:p>
    <w:p w:rsidR="00122F38" w:rsidRPr="004761E0" w:rsidRDefault="00122F38" w:rsidP="007076A7">
      <w:pPr>
        <w:pStyle w:val="a5"/>
        <w:numPr>
          <w:ilvl w:val="0"/>
          <w:numId w:val="274"/>
        </w:numPr>
        <w:ind w:left="1134" w:hanging="567"/>
        <w:contextualSpacing w:val="0"/>
        <w:rPr>
          <w:sz w:val="26"/>
          <w:szCs w:val="26"/>
        </w:rPr>
      </w:pPr>
      <w:r w:rsidRPr="004761E0">
        <w:rPr>
          <w:sz w:val="26"/>
          <w:szCs w:val="26"/>
        </w:rPr>
        <w:t>выполнение заинтересованными сторонами (подрядными организациями, поставщиками) своих обязательств в соответствии с условиями договоров. В рамках данной темы ответственные подразде</w:t>
      </w:r>
      <w:r w:rsidR="00DF693F">
        <w:rPr>
          <w:sz w:val="26"/>
          <w:szCs w:val="26"/>
        </w:rPr>
        <w:t>ления общества (УКСы филиалов, и</w:t>
      </w:r>
      <w:r w:rsidRPr="004761E0">
        <w:rPr>
          <w:sz w:val="26"/>
          <w:szCs w:val="26"/>
        </w:rPr>
        <w:t xml:space="preserve">сполнительный аппарат (ДУКИП), Управление комплектации оборудования) осуществляют контроль выполнения работ в соответствии с условиями договоров, приемку оборудования и оформление первичных документов. В случае невыполнения заинтересованными сторонами своих обязательств по договорам взаимодействие переходит в область претензионно-исковой работы; </w:t>
      </w:r>
    </w:p>
    <w:p w:rsidR="00122F38" w:rsidRPr="004761E0" w:rsidRDefault="00122F38" w:rsidP="007076A7">
      <w:pPr>
        <w:pStyle w:val="a5"/>
        <w:numPr>
          <w:ilvl w:val="0"/>
          <w:numId w:val="274"/>
        </w:numPr>
        <w:ind w:left="1134" w:hanging="567"/>
        <w:contextualSpacing w:val="0"/>
        <w:rPr>
          <w:sz w:val="26"/>
          <w:szCs w:val="26"/>
        </w:rPr>
      </w:pPr>
      <w:r w:rsidRPr="004761E0">
        <w:rPr>
          <w:sz w:val="26"/>
          <w:szCs w:val="26"/>
        </w:rPr>
        <w:t xml:space="preserve">выполнение обязательств перед заинтересованными сторонами </w:t>
      </w:r>
      <w:r w:rsidR="00E75C03" w:rsidRPr="004761E0">
        <w:rPr>
          <w:sz w:val="26"/>
          <w:szCs w:val="26"/>
        </w:rPr>
        <w:t>о</w:t>
      </w:r>
      <w:r w:rsidRPr="004761E0">
        <w:rPr>
          <w:sz w:val="26"/>
          <w:szCs w:val="26"/>
        </w:rPr>
        <w:t xml:space="preserve">существлялось путем расчетов за выполненные работы (или выплату авансов) в соответствии с условиями договоров. Расчеты с заинтересованными организациями в 2013 году  производились на основании условий договоров в объемах утвержденного бюджета Общества; </w:t>
      </w:r>
    </w:p>
    <w:p w:rsidR="00122F38" w:rsidRPr="004761E0" w:rsidRDefault="00122F38" w:rsidP="007076A7">
      <w:pPr>
        <w:pStyle w:val="a5"/>
        <w:numPr>
          <w:ilvl w:val="0"/>
          <w:numId w:val="274"/>
        </w:numPr>
        <w:ind w:left="1134" w:hanging="567"/>
        <w:contextualSpacing w:val="0"/>
        <w:rPr>
          <w:sz w:val="26"/>
          <w:szCs w:val="26"/>
        </w:rPr>
      </w:pPr>
      <w:r w:rsidRPr="004761E0">
        <w:rPr>
          <w:sz w:val="26"/>
          <w:szCs w:val="26"/>
        </w:rPr>
        <w:t>отчетность. Воздействие Общества на заинтересованные организации осуществлялось путем раскрытия информации в рамках предоставления данных о цепочке собственников контрагентов по поручению Председателя Правительства РФ от 28.12.2011 №</w:t>
      </w:r>
      <w:r w:rsidR="00DF693F">
        <w:rPr>
          <w:sz w:val="26"/>
          <w:szCs w:val="26"/>
        </w:rPr>
        <w:t xml:space="preserve"> </w:t>
      </w:r>
      <w:r w:rsidRPr="004761E0">
        <w:rPr>
          <w:sz w:val="26"/>
          <w:szCs w:val="26"/>
        </w:rPr>
        <w:t>ВП-П13-9308, а также в регламентированной отчетности по договорам и по исполнению годовой комплексной программы закупок Общества, предоставляемой в вышестоящие организации (</w:t>
      </w:r>
      <w:r w:rsidR="0008080E">
        <w:rPr>
          <w:sz w:val="26"/>
          <w:szCs w:val="26"/>
        </w:rPr>
        <w:t>ОАО </w:t>
      </w:r>
      <w:r w:rsidRPr="004761E0">
        <w:rPr>
          <w:sz w:val="26"/>
          <w:szCs w:val="26"/>
        </w:rPr>
        <w:t>«Россети», Минэнерго Р</w:t>
      </w:r>
      <w:r w:rsidR="00DF693F">
        <w:rPr>
          <w:sz w:val="26"/>
          <w:szCs w:val="26"/>
        </w:rPr>
        <w:t>оссии</w:t>
      </w:r>
      <w:r w:rsidRPr="004761E0">
        <w:rPr>
          <w:sz w:val="26"/>
          <w:szCs w:val="26"/>
        </w:rPr>
        <w:t xml:space="preserve">). </w:t>
      </w:r>
    </w:p>
    <w:p w:rsidR="00122F38" w:rsidRPr="004761E0" w:rsidRDefault="00122F38" w:rsidP="008C0C74">
      <w:pPr>
        <w:spacing w:before="120" w:after="120"/>
        <w:ind w:firstLine="567"/>
        <w:rPr>
          <w:b/>
          <w:sz w:val="26"/>
          <w:szCs w:val="26"/>
        </w:rPr>
      </w:pPr>
      <w:r w:rsidRPr="004761E0">
        <w:rPr>
          <w:b/>
          <w:sz w:val="26"/>
          <w:szCs w:val="26"/>
        </w:rPr>
        <w:t>Каковы основные планы на следующий год и среднесрочную перспективу?</w:t>
      </w:r>
    </w:p>
    <w:p w:rsidR="00122F38" w:rsidRPr="004761E0" w:rsidRDefault="00122F38" w:rsidP="00122F38">
      <w:pPr>
        <w:pStyle w:val="a5"/>
        <w:ind w:left="0" w:firstLine="567"/>
        <w:contextualSpacing w:val="0"/>
        <w:rPr>
          <w:sz w:val="26"/>
          <w:szCs w:val="26"/>
        </w:rPr>
      </w:pPr>
      <w:r w:rsidRPr="004761E0">
        <w:rPr>
          <w:sz w:val="26"/>
          <w:szCs w:val="26"/>
        </w:rPr>
        <w:lastRenderedPageBreak/>
        <w:t xml:space="preserve">Ключевой задачей </w:t>
      </w:r>
      <w:r w:rsidR="00193A23">
        <w:rPr>
          <w:sz w:val="26"/>
          <w:szCs w:val="26"/>
        </w:rPr>
        <w:t>б</w:t>
      </w:r>
      <w:r w:rsidRPr="004761E0">
        <w:rPr>
          <w:sz w:val="26"/>
          <w:szCs w:val="26"/>
        </w:rPr>
        <w:t>лока капитального строительства на 2014 год является выполнение инвестиционной программы в следующих плановых параметрах: освоение капитальных вложений – более 41 млрд руб., ф</w:t>
      </w:r>
      <w:r w:rsidR="00570119" w:rsidRPr="004761E0">
        <w:rPr>
          <w:sz w:val="26"/>
          <w:szCs w:val="26"/>
        </w:rPr>
        <w:t>инансирование – 42,9 млрд руб.,</w:t>
      </w:r>
      <w:r w:rsidRPr="004761E0">
        <w:rPr>
          <w:sz w:val="26"/>
          <w:szCs w:val="26"/>
        </w:rPr>
        <w:t xml:space="preserve"> ввод – 44,9 млрд руб. Инвестпрограмма на 2014 год примерно соответствует уровню 2013 года, однако приоритетным является развитие распределительной сети и подключение растущего числа потребителей. Если в 2013 году по этому направлению запланировано 17,6 млрд руб. капитальных вложений, то в 2014 году предусмотрено 22,2 млрд руб.</w:t>
      </w:r>
    </w:p>
    <w:p w:rsidR="00122F38" w:rsidRPr="00B6020E" w:rsidRDefault="00122F38" w:rsidP="00570119">
      <w:pPr>
        <w:pStyle w:val="a5"/>
        <w:ind w:left="0" w:firstLine="567"/>
        <w:contextualSpacing w:val="0"/>
        <w:rPr>
          <w:sz w:val="26"/>
          <w:szCs w:val="26"/>
        </w:rPr>
      </w:pPr>
      <w:r w:rsidRPr="004761E0">
        <w:rPr>
          <w:sz w:val="26"/>
          <w:szCs w:val="26"/>
        </w:rPr>
        <w:t>Кроме того, в 2014 году Блок капитального строительства планирует продолжить работу по взаимодействию с органами государственной власти для упрощения условий получения разрешительной документации, необходимой для реализации инвестиционной программы.</w:t>
      </w:r>
    </w:p>
    <w:p w:rsidR="009817EE" w:rsidRPr="00B6020E" w:rsidRDefault="009817EE">
      <w:pPr>
        <w:ind w:firstLine="0"/>
        <w:jc w:val="left"/>
        <w:rPr>
          <w:sz w:val="26"/>
          <w:szCs w:val="26"/>
        </w:rPr>
      </w:pPr>
      <w:r w:rsidRPr="00B6020E">
        <w:rPr>
          <w:sz w:val="26"/>
          <w:szCs w:val="26"/>
        </w:rPr>
        <w:br w:type="page"/>
      </w:r>
    </w:p>
    <w:p w:rsidR="005923CF" w:rsidRPr="004761E0" w:rsidRDefault="009817EE" w:rsidP="007076A7">
      <w:pPr>
        <w:pStyle w:val="a8"/>
        <w:numPr>
          <w:ilvl w:val="1"/>
          <w:numId w:val="321"/>
        </w:numPr>
        <w:spacing w:before="120" w:after="120"/>
        <w:ind w:left="1134" w:hanging="567"/>
        <w:jc w:val="both"/>
        <w:rPr>
          <w:rFonts w:ascii="Times New Roman" w:hAnsi="Times New Roman"/>
          <w:b/>
          <w:sz w:val="26"/>
          <w:szCs w:val="26"/>
          <w:lang w:eastAsia="ru-RU"/>
        </w:rPr>
      </w:pPr>
      <w:bookmarkStart w:id="70" w:name="_Toc380576922"/>
      <w:bookmarkStart w:id="71" w:name="_Toc385339818"/>
      <w:r>
        <w:rPr>
          <w:rFonts w:ascii="Times New Roman" w:hAnsi="Times New Roman"/>
          <w:b/>
          <w:sz w:val="26"/>
          <w:szCs w:val="26"/>
        </w:rPr>
        <w:lastRenderedPageBreak/>
        <w:t>И</w:t>
      </w:r>
      <w:r w:rsidR="00E34ACB" w:rsidRPr="004761E0">
        <w:rPr>
          <w:rFonts w:ascii="Times New Roman" w:hAnsi="Times New Roman"/>
          <w:b/>
          <w:sz w:val="26"/>
          <w:szCs w:val="26"/>
        </w:rPr>
        <w:t>нвестиционн</w:t>
      </w:r>
      <w:r>
        <w:rPr>
          <w:rFonts w:ascii="Times New Roman" w:hAnsi="Times New Roman"/>
          <w:b/>
          <w:sz w:val="26"/>
          <w:szCs w:val="26"/>
        </w:rPr>
        <w:t>ая</w:t>
      </w:r>
      <w:r w:rsidR="00E34ACB" w:rsidRPr="004761E0">
        <w:rPr>
          <w:rFonts w:ascii="Times New Roman" w:hAnsi="Times New Roman"/>
          <w:b/>
          <w:sz w:val="26"/>
          <w:szCs w:val="26"/>
        </w:rPr>
        <w:t xml:space="preserve"> деятельност</w:t>
      </w:r>
      <w:bookmarkEnd w:id="70"/>
      <w:r>
        <w:rPr>
          <w:rFonts w:ascii="Times New Roman" w:hAnsi="Times New Roman"/>
          <w:b/>
          <w:sz w:val="26"/>
          <w:szCs w:val="26"/>
        </w:rPr>
        <w:t>ь</w:t>
      </w:r>
      <w:bookmarkEnd w:id="71"/>
    </w:p>
    <w:p w:rsidR="009817EE" w:rsidRPr="009817EE" w:rsidRDefault="009817EE" w:rsidP="009817EE">
      <w:pPr>
        <w:spacing w:before="120" w:after="120"/>
        <w:ind w:firstLine="567"/>
        <w:rPr>
          <w:b/>
          <w:sz w:val="26"/>
          <w:szCs w:val="26"/>
        </w:rPr>
      </w:pPr>
      <w:r w:rsidRPr="009817EE">
        <w:rPr>
          <w:b/>
          <w:sz w:val="26"/>
          <w:szCs w:val="26"/>
        </w:rPr>
        <w:t>Реализация инвестиционной программы в 2013 году</w:t>
      </w:r>
    </w:p>
    <w:p w:rsidR="005923CF" w:rsidRPr="004761E0" w:rsidRDefault="005923CF" w:rsidP="005923CF">
      <w:pPr>
        <w:ind w:firstLine="567"/>
        <w:rPr>
          <w:sz w:val="26"/>
          <w:szCs w:val="26"/>
        </w:rPr>
      </w:pPr>
      <w:r w:rsidRPr="004761E0">
        <w:rPr>
          <w:sz w:val="26"/>
          <w:szCs w:val="26"/>
        </w:rPr>
        <w:t xml:space="preserve">Инвестиционная программа на 2013 год утверждена Приказом Минэнерго России от 05.05.2012 № 241 в составе долгосрочной инвестиционной программы на 2012-2017 гг. Приказом Минэнерго России от 30.09.2013 № 667 утверждена скорректированная программа. </w:t>
      </w:r>
    </w:p>
    <w:p w:rsidR="00CC181E" w:rsidRDefault="005923CF" w:rsidP="00CC181E">
      <w:pPr>
        <w:ind w:firstLine="567"/>
        <w:rPr>
          <w:sz w:val="26"/>
          <w:szCs w:val="26"/>
        </w:rPr>
      </w:pPr>
      <w:r w:rsidRPr="004761E0">
        <w:rPr>
          <w:sz w:val="26"/>
          <w:szCs w:val="26"/>
        </w:rPr>
        <w:t>Всего в инвестиционную программу 2013 года включено свыше 19 тыс. объектов. Информация о значимых объект</w:t>
      </w:r>
      <w:r w:rsidR="00CC181E">
        <w:rPr>
          <w:sz w:val="26"/>
          <w:szCs w:val="26"/>
        </w:rPr>
        <w:t>ах</w:t>
      </w:r>
      <w:r w:rsidRPr="004761E0">
        <w:rPr>
          <w:sz w:val="26"/>
          <w:szCs w:val="26"/>
        </w:rPr>
        <w:t xml:space="preserve"> инвестиционной программы</w:t>
      </w:r>
      <w:r w:rsidR="00CC181E">
        <w:rPr>
          <w:sz w:val="26"/>
          <w:szCs w:val="26"/>
        </w:rPr>
        <w:t>, введенных в эксплуатацию в 2013</w:t>
      </w:r>
      <w:r w:rsidRPr="004761E0">
        <w:rPr>
          <w:sz w:val="26"/>
          <w:szCs w:val="26"/>
        </w:rPr>
        <w:t xml:space="preserve"> году, </w:t>
      </w:r>
      <w:r w:rsidR="00CC181E">
        <w:rPr>
          <w:sz w:val="26"/>
          <w:szCs w:val="26"/>
        </w:rPr>
        <w:t xml:space="preserve">представлена в </w:t>
      </w:r>
      <w:r w:rsidRPr="004761E0">
        <w:rPr>
          <w:sz w:val="26"/>
          <w:szCs w:val="26"/>
        </w:rPr>
        <w:t xml:space="preserve">Приложении </w:t>
      </w:r>
      <w:r w:rsidR="00CC181E">
        <w:rPr>
          <w:sz w:val="26"/>
          <w:szCs w:val="26"/>
        </w:rPr>
        <w:t>12.</w:t>
      </w:r>
      <w:r w:rsidR="003146BC">
        <w:rPr>
          <w:sz w:val="26"/>
          <w:szCs w:val="26"/>
        </w:rPr>
        <w:t>8</w:t>
      </w:r>
      <w:r w:rsidR="00CC181E">
        <w:rPr>
          <w:sz w:val="26"/>
          <w:szCs w:val="26"/>
        </w:rPr>
        <w:t xml:space="preserve">. </w:t>
      </w:r>
      <w:r w:rsidRPr="004761E0">
        <w:rPr>
          <w:sz w:val="26"/>
          <w:szCs w:val="26"/>
        </w:rPr>
        <w:t>к Годовому отчету.</w:t>
      </w:r>
      <w:r w:rsidR="00CC181E">
        <w:rPr>
          <w:sz w:val="26"/>
          <w:szCs w:val="26"/>
        </w:rPr>
        <w:t xml:space="preserve"> </w:t>
      </w:r>
      <w:r w:rsidR="00CC181E" w:rsidRPr="004761E0">
        <w:rPr>
          <w:sz w:val="26"/>
          <w:szCs w:val="26"/>
        </w:rPr>
        <w:t>Информация о значимых объект</w:t>
      </w:r>
      <w:r w:rsidR="00CC181E">
        <w:rPr>
          <w:sz w:val="26"/>
          <w:szCs w:val="26"/>
        </w:rPr>
        <w:t>ах</w:t>
      </w:r>
      <w:r w:rsidR="00CC181E" w:rsidRPr="004761E0">
        <w:rPr>
          <w:sz w:val="26"/>
          <w:szCs w:val="26"/>
        </w:rPr>
        <w:t xml:space="preserve"> инвестиционной программы</w:t>
      </w:r>
      <w:r w:rsidR="00CC181E">
        <w:rPr>
          <w:sz w:val="26"/>
          <w:szCs w:val="26"/>
        </w:rPr>
        <w:t>, начатых в 2013</w:t>
      </w:r>
      <w:r w:rsidR="00CC181E" w:rsidRPr="004761E0">
        <w:rPr>
          <w:sz w:val="26"/>
          <w:szCs w:val="26"/>
        </w:rPr>
        <w:t xml:space="preserve"> году, </w:t>
      </w:r>
      <w:r w:rsidR="00CC181E">
        <w:rPr>
          <w:sz w:val="26"/>
          <w:szCs w:val="26"/>
        </w:rPr>
        <w:t xml:space="preserve">представлена в </w:t>
      </w:r>
      <w:r w:rsidR="00CC181E" w:rsidRPr="004761E0">
        <w:rPr>
          <w:sz w:val="26"/>
          <w:szCs w:val="26"/>
        </w:rPr>
        <w:t xml:space="preserve">Приложении </w:t>
      </w:r>
      <w:r w:rsidR="00CC181E">
        <w:rPr>
          <w:sz w:val="26"/>
          <w:szCs w:val="26"/>
        </w:rPr>
        <w:t>12.</w:t>
      </w:r>
      <w:r w:rsidR="003146BC">
        <w:rPr>
          <w:sz w:val="26"/>
          <w:szCs w:val="26"/>
        </w:rPr>
        <w:t>9</w:t>
      </w:r>
      <w:r w:rsidR="00CC181E">
        <w:rPr>
          <w:sz w:val="26"/>
          <w:szCs w:val="26"/>
        </w:rPr>
        <w:t xml:space="preserve">. </w:t>
      </w:r>
      <w:r w:rsidR="00CC181E" w:rsidRPr="004761E0">
        <w:rPr>
          <w:sz w:val="26"/>
          <w:szCs w:val="26"/>
        </w:rPr>
        <w:t>к Годовому отчету.</w:t>
      </w:r>
    </w:p>
    <w:p w:rsidR="005923CF" w:rsidRPr="004761E0" w:rsidRDefault="005923CF" w:rsidP="005923CF">
      <w:pPr>
        <w:spacing w:before="120" w:after="120"/>
        <w:ind w:firstLine="567"/>
        <w:rPr>
          <w:b/>
          <w:sz w:val="26"/>
          <w:szCs w:val="26"/>
        </w:rPr>
      </w:pPr>
      <w:r w:rsidRPr="004761E0">
        <w:rPr>
          <w:b/>
          <w:sz w:val="26"/>
          <w:szCs w:val="26"/>
        </w:rPr>
        <w:t>Стоимостные и физические параметры инвестиционной деятельности</w:t>
      </w:r>
    </w:p>
    <w:tbl>
      <w:tblPr>
        <w:tblW w:w="10361" w:type="dxa"/>
        <w:tblInd w:w="95" w:type="dxa"/>
        <w:tblLook w:val="04A0"/>
      </w:tblPr>
      <w:tblGrid>
        <w:gridCol w:w="580"/>
        <w:gridCol w:w="5245"/>
        <w:gridCol w:w="1134"/>
        <w:gridCol w:w="1134"/>
        <w:gridCol w:w="1134"/>
        <w:gridCol w:w="1134"/>
      </w:tblGrid>
      <w:tr w:rsidR="005923CF" w:rsidRPr="00CC181E" w:rsidTr="00B13D17">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5923CF" w:rsidRPr="00CC181E" w:rsidRDefault="005923CF" w:rsidP="00B13D17">
            <w:pPr>
              <w:ind w:firstLine="0"/>
              <w:jc w:val="left"/>
              <w:rPr>
                <w:rFonts w:eastAsia="Times New Roman"/>
                <w:b/>
                <w:color w:val="FFFFFF" w:themeColor="background1"/>
                <w:sz w:val="20"/>
                <w:szCs w:val="20"/>
                <w:lang w:eastAsia="ru-RU"/>
              </w:rPr>
            </w:pPr>
            <w:r w:rsidRPr="00CC181E">
              <w:rPr>
                <w:rFonts w:eastAsia="Times New Roman"/>
                <w:b/>
                <w:color w:val="FFFFFF" w:themeColor="background1"/>
                <w:sz w:val="20"/>
                <w:szCs w:val="20"/>
                <w:lang w:eastAsia="ru-RU"/>
              </w:rPr>
              <w:t>№ п/п</w:t>
            </w:r>
          </w:p>
        </w:tc>
        <w:tc>
          <w:tcPr>
            <w:tcW w:w="524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923CF" w:rsidRPr="00CC181E" w:rsidRDefault="005923CF" w:rsidP="00B13D17">
            <w:pPr>
              <w:ind w:firstLine="0"/>
              <w:jc w:val="left"/>
              <w:rPr>
                <w:rFonts w:eastAsia="Times New Roman"/>
                <w:b/>
                <w:color w:val="FFFFFF" w:themeColor="background1"/>
                <w:sz w:val="20"/>
                <w:szCs w:val="20"/>
                <w:lang w:eastAsia="ru-RU"/>
              </w:rPr>
            </w:pPr>
            <w:r w:rsidRPr="00CC181E">
              <w:rPr>
                <w:rFonts w:eastAsia="Times New Roman"/>
                <w:b/>
                <w:color w:val="FFFFFF" w:themeColor="background1"/>
                <w:sz w:val="20"/>
                <w:szCs w:val="20"/>
                <w:lang w:eastAsia="ru-RU"/>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923CF" w:rsidRPr="00CC181E" w:rsidRDefault="005923CF" w:rsidP="00B13D17">
            <w:pPr>
              <w:ind w:firstLine="0"/>
              <w:jc w:val="right"/>
              <w:rPr>
                <w:rFonts w:eastAsia="Times New Roman"/>
                <w:b/>
                <w:color w:val="FFFFFF" w:themeColor="background1"/>
                <w:sz w:val="20"/>
                <w:szCs w:val="20"/>
                <w:lang w:eastAsia="ru-RU"/>
              </w:rPr>
            </w:pPr>
            <w:r w:rsidRPr="00CC181E">
              <w:rPr>
                <w:rFonts w:eastAsia="Times New Roman"/>
                <w:b/>
                <w:color w:val="FFFFFF" w:themeColor="background1"/>
                <w:sz w:val="20"/>
                <w:szCs w:val="20"/>
                <w:lang w:eastAsia="ru-RU"/>
              </w:rPr>
              <w:t>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923CF" w:rsidRPr="00CC181E" w:rsidRDefault="005923CF" w:rsidP="00B13D17">
            <w:pPr>
              <w:ind w:firstLine="0"/>
              <w:jc w:val="right"/>
              <w:rPr>
                <w:rFonts w:eastAsia="Times New Roman"/>
                <w:b/>
                <w:color w:val="FFFFFF" w:themeColor="background1"/>
                <w:sz w:val="20"/>
                <w:szCs w:val="20"/>
                <w:lang w:eastAsia="ru-RU"/>
              </w:rPr>
            </w:pPr>
            <w:r w:rsidRPr="00CC181E">
              <w:rPr>
                <w:rFonts w:eastAsia="Times New Roman"/>
                <w:b/>
                <w:color w:val="FFFFFF" w:themeColor="background1"/>
                <w:sz w:val="20"/>
                <w:szCs w:val="20"/>
                <w:lang w:eastAsia="ru-RU"/>
              </w:rPr>
              <w:t>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923CF" w:rsidRPr="00CC181E" w:rsidRDefault="005923CF" w:rsidP="00B13D17">
            <w:pPr>
              <w:ind w:firstLine="0"/>
              <w:jc w:val="right"/>
              <w:rPr>
                <w:rFonts w:eastAsia="Times New Roman"/>
                <w:b/>
                <w:color w:val="FFFFFF" w:themeColor="background1"/>
                <w:sz w:val="20"/>
                <w:szCs w:val="20"/>
                <w:lang w:eastAsia="ru-RU"/>
              </w:rPr>
            </w:pPr>
            <w:r w:rsidRPr="00CC181E">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5923CF" w:rsidRPr="00CC181E" w:rsidRDefault="005923CF" w:rsidP="00B13D17">
            <w:pPr>
              <w:ind w:firstLine="0"/>
              <w:jc w:val="right"/>
              <w:rPr>
                <w:rFonts w:eastAsia="Times New Roman"/>
                <w:b/>
                <w:color w:val="FFFFFF" w:themeColor="background1"/>
                <w:sz w:val="20"/>
                <w:szCs w:val="20"/>
                <w:lang w:eastAsia="ru-RU"/>
              </w:rPr>
            </w:pPr>
            <w:r w:rsidRPr="00CC181E">
              <w:rPr>
                <w:rFonts w:eastAsia="Times New Roman"/>
                <w:b/>
                <w:color w:val="FFFFFF" w:themeColor="background1"/>
                <w:sz w:val="20"/>
                <w:szCs w:val="20"/>
                <w:lang w:eastAsia="ru-RU"/>
              </w:rPr>
              <w:t>2013/2012</w:t>
            </w:r>
          </w:p>
        </w:tc>
      </w:tr>
      <w:tr w:rsidR="005923CF" w:rsidRPr="00CC181E" w:rsidTr="00B13D17">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923CF" w:rsidRPr="00CC181E" w:rsidRDefault="005923CF" w:rsidP="007076A7">
            <w:pPr>
              <w:numPr>
                <w:ilvl w:val="0"/>
                <w:numId w:val="95"/>
              </w:numPr>
              <w:jc w:val="left"/>
              <w:rPr>
                <w:rFonts w:eastAsia="Times New Roman"/>
                <w:color w:val="000000"/>
                <w:sz w:val="20"/>
                <w:szCs w:val="20"/>
                <w:lang w:eastAsia="ru-RU"/>
              </w:rPr>
            </w:pPr>
          </w:p>
        </w:tc>
        <w:tc>
          <w:tcPr>
            <w:tcW w:w="5245" w:type="dxa"/>
            <w:tcBorders>
              <w:top w:val="nil"/>
              <w:left w:val="nil"/>
              <w:bottom w:val="single" w:sz="4" w:space="0" w:color="auto"/>
              <w:right w:val="single" w:sz="4" w:space="0" w:color="auto"/>
            </w:tcBorders>
            <w:shd w:val="clear" w:color="auto" w:fill="auto"/>
            <w:vAlign w:val="center"/>
          </w:tcPr>
          <w:p w:rsidR="005923CF" w:rsidRPr="00CC181E" w:rsidRDefault="006F0A6A" w:rsidP="006F0A6A">
            <w:pPr>
              <w:tabs>
                <w:tab w:val="left" w:pos="1843"/>
              </w:tabs>
              <w:ind w:right="-1" w:firstLine="0"/>
              <w:jc w:val="left"/>
              <w:rPr>
                <w:sz w:val="20"/>
                <w:szCs w:val="20"/>
              </w:rPr>
            </w:pPr>
            <w:r>
              <w:rPr>
                <w:color w:val="000000"/>
                <w:sz w:val="20"/>
                <w:szCs w:val="20"/>
              </w:rPr>
              <w:t>К</w:t>
            </w:r>
            <w:r w:rsidR="005923CF" w:rsidRPr="00CC181E">
              <w:rPr>
                <w:color w:val="000000"/>
                <w:sz w:val="20"/>
                <w:szCs w:val="20"/>
              </w:rPr>
              <w:t>апитальны</w:t>
            </w:r>
            <w:r>
              <w:rPr>
                <w:color w:val="000000"/>
                <w:sz w:val="20"/>
                <w:szCs w:val="20"/>
              </w:rPr>
              <w:t>е</w:t>
            </w:r>
            <w:r w:rsidR="005923CF" w:rsidRPr="00CC181E">
              <w:rPr>
                <w:color w:val="000000"/>
                <w:sz w:val="20"/>
                <w:szCs w:val="20"/>
              </w:rPr>
              <w:t xml:space="preserve"> вложени</w:t>
            </w:r>
            <w:r>
              <w:rPr>
                <w:color w:val="000000"/>
                <w:sz w:val="20"/>
                <w:szCs w:val="20"/>
              </w:rPr>
              <w:t>я</w:t>
            </w:r>
            <w:r w:rsidR="005923CF" w:rsidRPr="00CC181E">
              <w:rPr>
                <w:color w:val="000000"/>
                <w:sz w:val="20"/>
                <w:szCs w:val="20"/>
              </w:rPr>
              <w:t>, млн руб. без НДС</w:t>
            </w:r>
          </w:p>
        </w:tc>
        <w:tc>
          <w:tcPr>
            <w:tcW w:w="1134" w:type="dxa"/>
            <w:tcBorders>
              <w:top w:val="nil"/>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right="-1" w:firstLine="0"/>
              <w:jc w:val="right"/>
              <w:rPr>
                <w:color w:val="000000"/>
                <w:sz w:val="20"/>
                <w:szCs w:val="20"/>
              </w:rPr>
            </w:pPr>
            <w:r w:rsidRPr="00CC181E">
              <w:rPr>
                <w:color w:val="000000"/>
                <w:sz w:val="20"/>
                <w:szCs w:val="20"/>
              </w:rPr>
              <w:t>29 527</w:t>
            </w:r>
          </w:p>
        </w:tc>
        <w:tc>
          <w:tcPr>
            <w:tcW w:w="1134" w:type="dxa"/>
            <w:tcBorders>
              <w:top w:val="nil"/>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right="-1" w:firstLine="0"/>
              <w:jc w:val="right"/>
              <w:rPr>
                <w:color w:val="000000"/>
                <w:sz w:val="20"/>
                <w:szCs w:val="20"/>
              </w:rPr>
            </w:pPr>
            <w:r w:rsidRPr="00CC181E">
              <w:rPr>
                <w:color w:val="000000"/>
                <w:sz w:val="20"/>
                <w:szCs w:val="20"/>
              </w:rPr>
              <w:t>36 095</w:t>
            </w:r>
          </w:p>
        </w:tc>
        <w:tc>
          <w:tcPr>
            <w:tcW w:w="1134" w:type="dxa"/>
            <w:tcBorders>
              <w:top w:val="nil"/>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right="-1" w:firstLine="0"/>
              <w:jc w:val="right"/>
              <w:rPr>
                <w:color w:val="000000"/>
                <w:sz w:val="20"/>
                <w:szCs w:val="20"/>
              </w:rPr>
            </w:pPr>
            <w:r w:rsidRPr="00CC181E">
              <w:rPr>
                <w:color w:val="000000"/>
                <w:sz w:val="20"/>
                <w:szCs w:val="20"/>
              </w:rPr>
              <w:t>51 212</w:t>
            </w:r>
          </w:p>
        </w:tc>
        <w:tc>
          <w:tcPr>
            <w:tcW w:w="1134" w:type="dxa"/>
            <w:tcBorders>
              <w:top w:val="nil"/>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right="-1" w:firstLine="0"/>
              <w:jc w:val="right"/>
              <w:rPr>
                <w:color w:val="000000"/>
                <w:sz w:val="20"/>
                <w:szCs w:val="20"/>
              </w:rPr>
            </w:pPr>
            <w:r w:rsidRPr="00CC181E">
              <w:rPr>
                <w:color w:val="000000"/>
                <w:sz w:val="20"/>
                <w:szCs w:val="20"/>
              </w:rPr>
              <w:t>41,88 %</w:t>
            </w:r>
          </w:p>
        </w:tc>
      </w:tr>
      <w:tr w:rsidR="005923CF" w:rsidRPr="00CC181E" w:rsidTr="00B13D17">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923CF" w:rsidRPr="00CC181E" w:rsidRDefault="005923CF" w:rsidP="007076A7">
            <w:pPr>
              <w:numPr>
                <w:ilvl w:val="0"/>
                <w:numId w:val="95"/>
              </w:numPr>
              <w:jc w:val="left"/>
              <w:rPr>
                <w:rFonts w:eastAsia="Times New Roman"/>
                <w:color w:val="000000"/>
                <w:sz w:val="20"/>
                <w:szCs w:val="20"/>
                <w:lang w:eastAsia="ru-RU"/>
              </w:rPr>
            </w:pPr>
          </w:p>
        </w:tc>
        <w:tc>
          <w:tcPr>
            <w:tcW w:w="5245" w:type="dxa"/>
            <w:tcBorders>
              <w:top w:val="nil"/>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right="-1" w:firstLine="0"/>
              <w:jc w:val="left"/>
              <w:rPr>
                <w:color w:val="000000"/>
                <w:sz w:val="20"/>
                <w:szCs w:val="20"/>
              </w:rPr>
            </w:pPr>
            <w:r w:rsidRPr="00CC181E">
              <w:rPr>
                <w:color w:val="000000"/>
                <w:sz w:val="20"/>
                <w:szCs w:val="20"/>
              </w:rPr>
              <w:t>Ввод основных фондов, млн руб. без НДС</w:t>
            </w:r>
          </w:p>
        </w:tc>
        <w:tc>
          <w:tcPr>
            <w:tcW w:w="1134" w:type="dxa"/>
            <w:tcBorders>
              <w:top w:val="nil"/>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right="-1" w:firstLine="0"/>
              <w:jc w:val="right"/>
              <w:rPr>
                <w:color w:val="000000"/>
                <w:sz w:val="20"/>
                <w:szCs w:val="20"/>
              </w:rPr>
            </w:pPr>
            <w:r w:rsidRPr="00CC181E">
              <w:rPr>
                <w:color w:val="000000"/>
                <w:sz w:val="20"/>
                <w:szCs w:val="20"/>
              </w:rPr>
              <w:t>30 118</w:t>
            </w:r>
          </w:p>
        </w:tc>
        <w:tc>
          <w:tcPr>
            <w:tcW w:w="1134" w:type="dxa"/>
            <w:tcBorders>
              <w:top w:val="nil"/>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right="-1" w:firstLine="0"/>
              <w:jc w:val="right"/>
              <w:rPr>
                <w:color w:val="000000"/>
                <w:sz w:val="20"/>
                <w:szCs w:val="20"/>
              </w:rPr>
            </w:pPr>
            <w:r w:rsidRPr="00CC181E">
              <w:rPr>
                <w:color w:val="000000"/>
                <w:sz w:val="20"/>
                <w:szCs w:val="20"/>
              </w:rPr>
              <w:t>39 095</w:t>
            </w:r>
          </w:p>
        </w:tc>
        <w:tc>
          <w:tcPr>
            <w:tcW w:w="1134" w:type="dxa"/>
            <w:tcBorders>
              <w:top w:val="nil"/>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right="-1" w:firstLine="0"/>
              <w:jc w:val="right"/>
              <w:rPr>
                <w:color w:val="000000"/>
                <w:sz w:val="20"/>
                <w:szCs w:val="20"/>
              </w:rPr>
            </w:pPr>
            <w:r w:rsidRPr="00CC181E">
              <w:rPr>
                <w:color w:val="000000"/>
                <w:sz w:val="20"/>
                <w:szCs w:val="20"/>
              </w:rPr>
              <w:t>45 827</w:t>
            </w:r>
          </w:p>
        </w:tc>
        <w:tc>
          <w:tcPr>
            <w:tcW w:w="1134" w:type="dxa"/>
            <w:tcBorders>
              <w:top w:val="nil"/>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right="-1" w:firstLine="0"/>
              <w:jc w:val="right"/>
              <w:rPr>
                <w:color w:val="000000"/>
                <w:sz w:val="20"/>
                <w:szCs w:val="20"/>
              </w:rPr>
            </w:pPr>
            <w:r w:rsidRPr="00CC181E">
              <w:rPr>
                <w:color w:val="000000"/>
                <w:sz w:val="20"/>
                <w:szCs w:val="20"/>
              </w:rPr>
              <w:t>17,22 %</w:t>
            </w:r>
          </w:p>
        </w:tc>
      </w:tr>
      <w:tr w:rsidR="005923CF" w:rsidRPr="00CC181E" w:rsidTr="00B13D17">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923CF" w:rsidRPr="00CC181E" w:rsidRDefault="005923CF" w:rsidP="007076A7">
            <w:pPr>
              <w:numPr>
                <w:ilvl w:val="0"/>
                <w:numId w:val="95"/>
              </w:numPr>
              <w:jc w:val="left"/>
              <w:rPr>
                <w:rFonts w:eastAsia="Times New Roman"/>
                <w:color w:val="000000"/>
                <w:sz w:val="20"/>
                <w:szCs w:val="20"/>
                <w:lang w:eastAsia="ru-RU"/>
              </w:rPr>
            </w:pPr>
          </w:p>
        </w:tc>
        <w:tc>
          <w:tcPr>
            <w:tcW w:w="5245" w:type="dxa"/>
            <w:tcBorders>
              <w:top w:val="nil"/>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right="-1" w:firstLine="0"/>
              <w:jc w:val="left"/>
              <w:rPr>
                <w:color w:val="000000"/>
                <w:sz w:val="20"/>
                <w:szCs w:val="20"/>
              </w:rPr>
            </w:pPr>
            <w:r w:rsidRPr="00CC181E">
              <w:rPr>
                <w:color w:val="000000"/>
                <w:sz w:val="20"/>
                <w:szCs w:val="20"/>
              </w:rPr>
              <w:t>Финансирование, млн руб. с НДС</w:t>
            </w:r>
          </w:p>
        </w:tc>
        <w:tc>
          <w:tcPr>
            <w:tcW w:w="1134" w:type="dxa"/>
            <w:tcBorders>
              <w:top w:val="nil"/>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right="-1" w:firstLine="0"/>
              <w:jc w:val="right"/>
              <w:rPr>
                <w:color w:val="000000"/>
                <w:sz w:val="20"/>
                <w:szCs w:val="20"/>
              </w:rPr>
            </w:pPr>
            <w:r w:rsidRPr="00CC181E">
              <w:rPr>
                <w:color w:val="000000"/>
                <w:sz w:val="20"/>
                <w:szCs w:val="20"/>
              </w:rPr>
              <w:t>31 680</w:t>
            </w:r>
          </w:p>
        </w:tc>
        <w:tc>
          <w:tcPr>
            <w:tcW w:w="1134" w:type="dxa"/>
            <w:tcBorders>
              <w:top w:val="nil"/>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right="-1" w:firstLine="0"/>
              <w:jc w:val="right"/>
              <w:rPr>
                <w:color w:val="000000"/>
                <w:sz w:val="20"/>
                <w:szCs w:val="20"/>
              </w:rPr>
            </w:pPr>
            <w:r w:rsidRPr="00CC181E">
              <w:rPr>
                <w:color w:val="000000"/>
                <w:sz w:val="20"/>
                <w:szCs w:val="20"/>
              </w:rPr>
              <w:t>37 425</w:t>
            </w:r>
          </w:p>
        </w:tc>
        <w:tc>
          <w:tcPr>
            <w:tcW w:w="1134" w:type="dxa"/>
            <w:tcBorders>
              <w:top w:val="nil"/>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right="-1" w:firstLine="0"/>
              <w:jc w:val="right"/>
              <w:rPr>
                <w:color w:val="000000"/>
                <w:sz w:val="20"/>
                <w:szCs w:val="20"/>
              </w:rPr>
            </w:pPr>
            <w:r w:rsidRPr="00CC181E">
              <w:rPr>
                <w:color w:val="000000"/>
                <w:sz w:val="20"/>
                <w:szCs w:val="20"/>
              </w:rPr>
              <w:t>42 694</w:t>
            </w:r>
          </w:p>
        </w:tc>
        <w:tc>
          <w:tcPr>
            <w:tcW w:w="1134" w:type="dxa"/>
            <w:tcBorders>
              <w:top w:val="nil"/>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right="-1" w:firstLine="0"/>
              <w:jc w:val="right"/>
              <w:rPr>
                <w:color w:val="000000"/>
                <w:sz w:val="20"/>
                <w:szCs w:val="20"/>
              </w:rPr>
            </w:pPr>
            <w:r w:rsidRPr="00CC181E">
              <w:rPr>
                <w:color w:val="000000"/>
                <w:sz w:val="20"/>
                <w:szCs w:val="20"/>
              </w:rPr>
              <w:t>14,08 %</w:t>
            </w:r>
          </w:p>
        </w:tc>
      </w:tr>
      <w:tr w:rsidR="005923CF" w:rsidRPr="00CC181E" w:rsidTr="00B13D17">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923CF" w:rsidRPr="00CC181E" w:rsidRDefault="005923CF" w:rsidP="007076A7">
            <w:pPr>
              <w:numPr>
                <w:ilvl w:val="0"/>
                <w:numId w:val="95"/>
              </w:numPr>
              <w:jc w:val="left"/>
              <w:rPr>
                <w:rFonts w:eastAsia="Times New Roman"/>
                <w:color w:val="000000"/>
                <w:sz w:val="20"/>
                <w:szCs w:val="20"/>
                <w:lang w:eastAsia="ru-RU"/>
              </w:rPr>
            </w:pPr>
          </w:p>
        </w:tc>
        <w:tc>
          <w:tcPr>
            <w:tcW w:w="9781" w:type="dxa"/>
            <w:gridSpan w:val="5"/>
            <w:tcBorders>
              <w:top w:val="nil"/>
              <w:left w:val="nil"/>
              <w:bottom w:val="single" w:sz="4" w:space="0" w:color="auto"/>
              <w:right w:val="single" w:sz="4" w:space="0" w:color="auto"/>
            </w:tcBorders>
            <w:shd w:val="clear" w:color="auto" w:fill="auto"/>
            <w:vAlign w:val="center"/>
          </w:tcPr>
          <w:p w:rsidR="005923CF" w:rsidRPr="00CC181E" w:rsidRDefault="005923CF" w:rsidP="00B13D17">
            <w:pPr>
              <w:ind w:firstLine="0"/>
              <w:jc w:val="left"/>
              <w:rPr>
                <w:rFonts w:eastAsia="Times New Roman"/>
                <w:color w:val="000000"/>
                <w:sz w:val="20"/>
                <w:szCs w:val="20"/>
                <w:lang w:eastAsia="ru-RU"/>
              </w:rPr>
            </w:pPr>
            <w:r w:rsidRPr="00CC181E">
              <w:rPr>
                <w:color w:val="000000"/>
                <w:sz w:val="20"/>
                <w:szCs w:val="20"/>
              </w:rPr>
              <w:t>Ввод основных фондов:</w:t>
            </w:r>
          </w:p>
        </w:tc>
      </w:tr>
      <w:tr w:rsidR="005923CF" w:rsidRPr="00CC181E" w:rsidTr="00B13D17">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5923CF" w:rsidRPr="00CC181E" w:rsidRDefault="005923CF" w:rsidP="007076A7">
            <w:pPr>
              <w:pStyle w:val="a5"/>
              <w:numPr>
                <w:ilvl w:val="1"/>
                <w:numId w:val="95"/>
              </w:numPr>
              <w:jc w:val="left"/>
              <w:rPr>
                <w:rFonts w:eastAsia="Times New Roman"/>
                <w:color w:val="000000"/>
                <w:sz w:val="20"/>
                <w:szCs w:val="20"/>
                <w:lang w:eastAsia="ru-RU"/>
              </w:rPr>
            </w:pPr>
          </w:p>
        </w:tc>
        <w:tc>
          <w:tcPr>
            <w:tcW w:w="5245" w:type="dxa"/>
            <w:tcBorders>
              <w:top w:val="single" w:sz="4" w:space="0" w:color="auto"/>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left="459" w:right="-1" w:firstLine="0"/>
              <w:jc w:val="left"/>
              <w:rPr>
                <w:color w:val="000000"/>
                <w:sz w:val="20"/>
                <w:szCs w:val="20"/>
              </w:rPr>
            </w:pPr>
            <w:r w:rsidRPr="00CC181E">
              <w:rPr>
                <w:color w:val="000000"/>
                <w:sz w:val="20"/>
                <w:szCs w:val="20"/>
              </w:rPr>
              <w:t>трансформаторной мощности, МВА</w:t>
            </w:r>
          </w:p>
        </w:tc>
        <w:tc>
          <w:tcPr>
            <w:tcW w:w="1134" w:type="dxa"/>
            <w:tcBorders>
              <w:top w:val="single" w:sz="4" w:space="0" w:color="auto"/>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right="-1" w:firstLine="0"/>
              <w:jc w:val="right"/>
              <w:rPr>
                <w:color w:val="000000"/>
                <w:sz w:val="20"/>
                <w:szCs w:val="20"/>
              </w:rPr>
            </w:pPr>
            <w:r w:rsidRPr="00CC181E">
              <w:rPr>
                <w:color w:val="000000"/>
                <w:sz w:val="20"/>
                <w:szCs w:val="20"/>
              </w:rPr>
              <w:t>1 597</w:t>
            </w:r>
          </w:p>
        </w:tc>
        <w:tc>
          <w:tcPr>
            <w:tcW w:w="1134" w:type="dxa"/>
            <w:tcBorders>
              <w:top w:val="single" w:sz="4" w:space="0" w:color="auto"/>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right="-1" w:firstLine="0"/>
              <w:jc w:val="right"/>
              <w:rPr>
                <w:color w:val="000000"/>
                <w:sz w:val="20"/>
                <w:szCs w:val="20"/>
              </w:rPr>
            </w:pPr>
            <w:r w:rsidRPr="00CC181E">
              <w:rPr>
                <w:color w:val="000000"/>
                <w:sz w:val="20"/>
                <w:szCs w:val="20"/>
              </w:rPr>
              <w:t>4 792</w:t>
            </w:r>
          </w:p>
        </w:tc>
        <w:tc>
          <w:tcPr>
            <w:tcW w:w="1134" w:type="dxa"/>
            <w:tcBorders>
              <w:top w:val="single" w:sz="4" w:space="0" w:color="auto"/>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right="-1" w:firstLine="0"/>
              <w:jc w:val="right"/>
              <w:rPr>
                <w:color w:val="000000"/>
                <w:sz w:val="20"/>
                <w:szCs w:val="20"/>
              </w:rPr>
            </w:pPr>
            <w:r w:rsidRPr="00CC181E">
              <w:rPr>
                <w:color w:val="000000"/>
                <w:sz w:val="20"/>
                <w:szCs w:val="20"/>
              </w:rPr>
              <w:t>4 453</w:t>
            </w:r>
          </w:p>
        </w:tc>
        <w:tc>
          <w:tcPr>
            <w:tcW w:w="1134" w:type="dxa"/>
            <w:tcBorders>
              <w:top w:val="single" w:sz="4" w:space="0" w:color="auto"/>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right="-1" w:firstLine="0"/>
              <w:jc w:val="right"/>
              <w:rPr>
                <w:color w:val="000000"/>
                <w:sz w:val="20"/>
                <w:szCs w:val="20"/>
              </w:rPr>
            </w:pPr>
            <w:r w:rsidRPr="00CC181E">
              <w:rPr>
                <w:color w:val="000000"/>
                <w:sz w:val="20"/>
                <w:szCs w:val="20"/>
              </w:rPr>
              <w:t>-7,07 %</w:t>
            </w:r>
          </w:p>
        </w:tc>
      </w:tr>
      <w:tr w:rsidR="005923CF" w:rsidRPr="00CC181E" w:rsidTr="00B13D17">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5923CF" w:rsidRPr="00CC181E" w:rsidRDefault="005923CF" w:rsidP="007076A7">
            <w:pPr>
              <w:pStyle w:val="a5"/>
              <w:numPr>
                <w:ilvl w:val="1"/>
                <w:numId w:val="95"/>
              </w:numPr>
              <w:jc w:val="left"/>
              <w:rPr>
                <w:rFonts w:eastAsia="Times New Roman"/>
                <w:color w:val="000000"/>
                <w:sz w:val="20"/>
                <w:szCs w:val="20"/>
                <w:lang w:eastAsia="ru-RU"/>
              </w:rPr>
            </w:pPr>
          </w:p>
        </w:tc>
        <w:tc>
          <w:tcPr>
            <w:tcW w:w="5245" w:type="dxa"/>
            <w:tcBorders>
              <w:top w:val="single" w:sz="4" w:space="0" w:color="auto"/>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left="459" w:right="-1" w:firstLine="0"/>
              <w:jc w:val="left"/>
              <w:rPr>
                <w:sz w:val="20"/>
                <w:szCs w:val="20"/>
              </w:rPr>
            </w:pPr>
            <w:r w:rsidRPr="00CC181E">
              <w:rPr>
                <w:color w:val="000000"/>
                <w:sz w:val="20"/>
                <w:szCs w:val="20"/>
              </w:rPr>
              <w:t>линий электропередач, км</w:t>
            </w:r>
          </w:p>
        </w:tc>
        <w:tc>
          <w:tcPr>
            <w:tcW w:w="1134" w:type="dxa"/>
            <w:tcBorders>
              <w:top w:val="single" w:sz="4" w:space="0" w:color="auto"/>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right="-1" w:firstLine="0"/>
              <w:jc w:val="right"/>
              <w:rPr>
                <w:color w:val="000000"/>
                <w:sz w:val="20"/>
                <w:szCs w:val="20"/>
              </w:rPr>
            </w:pPr>
            <w:r w:rsidRPr="00CC181E">
              <w:rPr>
                <w:color w:val="000000"/>
                <w:sz w:val="20"/>
                <w:szCs w:val="20"/>
              </w:rPr>
              <w:t>2 726</w:t>
            </w:r>
          </w:p>
        </w:tc>
        <w:tc>
          <w:tcPr>
            <w:tcW w:w="1134" w:type="dxa"/>
            <w:tcBorders>
              <w:top w:val="single" w:sz="4" w:space="0" w:color="auto"/>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right="-1" w:firstLine="0"/>
              <w:jc w:val="right"/>
              <w:rPr>
                <w:color w:val="000000"/>
                <w:sz w:val="20"/>
                <w:szCs w:val="20"/>
              </w:rPr>
            </w:pPr>
            <w:r w:rsidRPr="00CC181E">
              <w:rPr>
                <w:color w:val="000000"/>
                <w:sz w:val="20"/>
                <w:szCs w:val="20"/>
              </w:rPr>
              <w:t>4 320</w:t>
            </w:r>
          </w:p>
        </w:tc>
        <w:tc>
          <w:tcPr>
            <w:tcW w:w="1134" w:type="dxa"/>
            <w:tcBorders>
              <w:top w:val="single" w:sz="4" w:space="0" w:color="auto"/>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right="-1" w:firstLine="0"/>
              <w:jc w:val="right"/>
              <w:rPr>
                <w:color w:val="000000"/>
                <w:sz w:val="20"/>
                <w:szCs w:val="20"/>
              </w:rPr>
            </w:pPr>
            <w:r w:rsidRPr="00CC181E">
              <w:rPr>
                <w:color w:val="000000"/>
                <w:sz w:val="20"/>
                <w:szCs w:val="20"/>
              </w:rPr>
              <w:t>6 195</w:t>
            </w:r>
          </w:p>
        </w:tc>
        <w:tc>
          <w:tcPr>
            <w:tcW w:w="1134" w:type="dxa"/>
            <w:tcBorders>
              <w:top w:val="single" w:sz="4" w:space="0" w:color="auto"/>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right="-1" w:firstLine="0"/>
              <w:jc w:val="right"/>
              <w:rPr>
                <w:color w:val="000000"/>
                <w:sz w:val="20"/>
                <w:szCs w:val="20"/>
              </w:rPr>
            </w:pPr>
            <w:r w:rsidRPr="00CC181E">
              <w:rPr>
                <w:color w:val="000000"/>
                <w:sz w:val="20"/>
                <w:szCs w:val="20"/>
              </w:rPr>
              <w:t>43,40 %</w:t>
            </w:r>
          </w:p>
        </w:tc>
      </w:tr>
      <w:tr w:rsidR="005923CF" w:rsidRPr="00CC181E" w:rsidTr="00B13D17">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5923CF" w:rsidRPr="00CC181E" w:rsidRDefault="005923CF" w:rsidP="007076A7">
            <w:pPr>
              <w:numPr>
                <w:ilvl w:val="0"/>
                <w:numId w:val="95"/>
              </w:numPr>
              <w:jc w:val="left"/>
              <w:rPr>
                <w:rFonts w:eastAsia="Times New Roman"/>
                <w:color w:val="000000"/>
                <w:sz w:val="20"/>
                <w:szCs w:val="20"/>
                <w:lang w:eastAsia="ru-RU"/>
              </w:rPr>
            </w:pPr>
          </w:p>
        </w:tc>
        <w:tc>
          <w:tcPr>
            <w:tcW w:w="9781" w:type="dxa"/>
            <w:gridSpan w:val="5"/>
            <w:tcBorders>
              <w:top w:val="single" w:sz="4" w:space="0" w:color="auto"/>
              <w:left w:val="nil"/>
              <w:bottom w:val="single" w:sz="4" w:space="0" w:color="auto"/>
              <w:right w:val="single" w:sz="4" w:space="0" w:color="auto"/>
            </w:tcBorders>
            <w:shd w:val="clear" w:color="auto" w:fill="auto"/>
            <w:vAlign w:val="center"/>
          </w:tcPr>
          <w:p w:rsidR="005923CF" w:rsidRPr="00CC181E" w:rsidRDefault="005923CF" w:rsidP="00B13D17">
            <w:pPr>
              <w:ind w:firstLine="0"/>
              <w:jc w:val="left"/>
              <w:rPr>
                <w:rFonts w:eastAsia="Times New Roman"/>
                <w:color w:val="000000"/>
                <w:sz w:val="20"/>
                <w:szCs w:val="20"/>
                <w:lang w:eastAsia="ru-RU"/>
              </w:rPr>
            </w:pPr>
            <w:r w:rsidRPr="00CC181E">
              <w:rPr>
                <w:color w:val="000000"/>
                <w:sz w:val="20"/>
                <w:szCs w:val="20"/>
              </w:rPr>
              <w:t>Прирост:</w:t>
            </w:r>
          </w:p>
        </w:tc>
      </w:tr>
      <w:tr w:rsidR="005923CF" w:rsidRPr="00CC181E" w:rsidTr="00B13D17">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5923CF" w:rsidRPr="00CC181E" w:rsidRDefault="005923CF" w:rsidP="007076A7">
            <w:pPr>
              <w:pStyle w:val="a5"/>
              <w:numPr>
                <w:ilvl w:val="1"/>
                <w:numId w:val="95"/>
              </w:numPr>
              <w:jc w:val="left"/>
              <w:rPr>
                <w:rFonts w:eastAsia="Times New Roman"/>
                <w:color w:val="000000"/>
                <w:sz w:val="20"/>
                <w:szCs w:val="20"/>
                <w:lang w:eastAsia="ru-RU"/>
              </w:rPr>
            </w:pPr>
          </w:p>
        </w:tc>
        <w:tc>
          <w:tcPr>
            <w:tcW w:w="5245" w:type="dxa"/>
            <w:tcBorders>
              <w:top w:val="single" w:sz="4" w:space="0" w:color="auto"/>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left="459" w:right="-1" w:firstLine="0"/>
              <w:jc w:val="left"/>
              <w:rPr>
                <w:color w:val="000000"/>
                <w:sz w:val="20"/>
                <w:szCs w:val="20"/>
              </w:rPr>
            </w:pPr>
            <w:r w:rsidRPr="00CC181E">
              <w:rPr>
                <w:color w:val="000000"/>
                <w:sz w:val="20"/>
                <w:szCs w:val="20"/>
              </w:rPr>
              <w:t>трансформаторной мощности, МВА</w:t>
            </w:r>
          </w:p>
        </w:tc>
        <w:tc>
          <w:tcPr>
            <w:tcW w:w="1134" w:type="dxa"/>
            <w:tcBorders>
              <w:top w:val="single" w:sz="4" w:space="0" w:color="auto"/>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right="-1" w:firstLine="0"/>
              <w:jc w:val="right"/>
              <w:rPr>
                <w:color w:val="000000"/>
                <w:sz w:val="20"/>
                <w:szCs w:val="20"/>
              </w:rPr>
            </w:pPr>
            <w:r w:rsidRPr="00CC181E">
              <w:rPr>
                <w:color w:val="000000"/>
                <w:sz w:val="20"/>
                <w:szCs w:val="20"/>
              </w:rPr>
              <w:t>1 344</w:t>
            </w:r>
          </w:p>
        </w:tc>
        <w:tc>
          <w:tcPr>
            <w:tcW w:w="1134" w:type="dxa"/>
            <w:tcBorders>
              <w:top w:val="single" w:sz="4" w:space="0" w:color="auto"/>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right="-1" w:firstLine="0"/>
              <w:jc w:val="right"/>
              <w:rPr>
                <w:color w:val="000000"/>
                <w:sz w:val="20"/>
                <w:szCs w:val="20"/>
              </w:rPr>
            </w:pPr>
            <w:r w:rsidRPr="00CC181E">
              <w:rPr>
                <w:color w:val="000000"/>
                <w:sz w:val="20"/>
                <w:szCs w:val="20"/>
              </w:rPr>
              <w:t>1 870</w:t>
            </w:r>
          </w:p>
        </w:tc>
        <w:tc>
          <w:tcPr>
            <w:tcW w:w="1134" w:type="dxa"/>
            <w:tcBorders>
              <w:top w:val="single" w:sz="4" w:space="0" w:color="auto"/>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right="-1" w:firstLine="0"/>
              <w:jc w:val="right"/>
              <w:rPr>
                <w:color w:val="000000"/>
                <w:sz w:val="20"/>
                <w:szCs w:val="20"/>
              </w:rPr>
            </w:pPr>
            <w:r w:rsidRPr="00CC181E">
              <w:rPr>
                <w:color w:val="000000"/>
                <w:sz w:val="20"/>
                <w:szCs w:val="20"/>
              </w:rPr>
              <w:t>2 304</w:t>
            </w:r>
          </w:p>
        </w:tc>
        <w:tc>
          <w:tcPr>
            <w:tcW w:w="1134" w:type="dxa"/>
            <w:tcBorders>
              <w:top w:val="single" w:sz="4" w:space="0" w:color="auto"/>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right="-1" w:firstLine="0"/>
              <w:jc w:val="right"/>
              <w:rPr>
                <w:color w:val="000000"/>
                <w:sz w:val="20"/>
                <w:szCs w:val="20"/>
              </w:rPr>
            </w:pPr>
            <w:r w:rsidRPr="00CC181E">
              <w:rPr>
                <w:color w:val="000000"/>
                <w:sz w:val="20"/>
                <w:szCs w:val="20"/>
              </w:rPr>
              <w:t>23,21 %</w:t>
            </w:r>
          </w:p>
        </w:tc>
      </w:tr>
      <w:tr w:rsidR="005923CF" w:rsidRPr="00CC181E" w:rsidTr="00B13D17">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5923CF" w:rsidRPr="00CC181E" w:rsidRDefault="005923CF" w:rsidP="007076A7">
            <w:pPr>
              <w:pStyle w:val="a5"/>
              <w:numPr>
                <w:ilvl w:val="1"/>
                <w:numId w:val="95"/>
              </w:numPr>
              <w:jc w:val="left"/>
              <w:rPr>
                <w:rFonts w:eastAsia="Times New Roman"/>
                <w:color w:val="000000"/>
                <w:sz w:val="20"/>
                <w:szCs w:val="20"/>
                <w:lang w:eastAsia="ru-RU"/>
              </w:rPr>
            </w:pPr>
          </w:p>
        </w:tc>
        <w:tc>
          <w:tcPr>
            <w:tcW w:w="5245" w:type="dxa"/>
            <w:tcBorders>
              <w:top w:val="single" w:sz="4" w:space="0" w:color="auto"/>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left="459" w:right="-1" w:firstLine="0"/>
              <w:jc w:val="left"/>
              <w:rPr>
                <w:color w:val="000000"/>
                <w:sz w:val="20"/>
                <w:szCs w:val="20"/>
              </w:rPr>
            </w:pPr>
            <w:r w:rsidRPr="00CC181E">
              <w:rPr>
                <w:color w:val="000000"/>
                <w:sz w:val="20"/>
                <w:szCs w:val="20"/>
              </w:rPr>
              <w:t>линий электропередач, км</w:t>
            </w:r>
          </w:p>
        </w:tc>
        <w:tc>
          <w:tcPr>
            <w:tcW w:w="1134" w:type="dxa"/>
            <w:tcBorders>
              <w:top w:val="single" w:sz="4" w:space="0" w:color="auto"/>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right="-1" w:firstLine="0"/>
              <w:jc w:val="right"/>
              <w:rPr>
                <w:color w:val="000000"/>
                <w:sz w:val="20"/>
                <w:szCs w:val="20"/>
              </w:rPr>
            </w:pPr>
            <w:r w:rsidRPr="00CC181E">
              <w:rPr>
                <w:color w:val="000000"/>
                <w:sz w:val="20"/>
                <w:szCs w:val="20"/>
              </w:rPr>
              <w:t>1 454</w:t>
            </w:r>
          </w:p>
        </w:tc>
        <w:tc>
          <w:tcPr>
            <w:tcW w:w="1134" w:type="dxa"/>
            <w:tcBorders>
              <w:top w:val="single" w:sz="4" w:space="0" w:color="auto"/>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right="-1" w:firstLine="0"/>
              <w:jc w:val="right"/>
              <w:rPr>
                <w:color w:val="000000"/>
                <w:sz w:val="20"/>
                <w:szCs w:val="20"/>
              </w:rPr>
            </w:pPr>
            <w:r w:rsidRPr="00CC181E">
              <w:rPr>
                <w:color w:val="000000"/>
                <w:sz w:val="20"/>
                <w:szCs w:val="20"/>
              </w:rPr>
              <w:t>1 961</w:t>
            </w:r>
          </w:p>
        </w:tc>
        <w:tc>
          <w:tcPr>
            <w:tcW w:w="1134" w:type="dxa"/>
            <w:tcBorders>
              <w:top w:val="single" w:sz="4" w:space="0" w:color="auto"/>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right="-1" w:firstLine="0"/>
              <w:jc w:val="right"/>
              <w:rPr>
                <w:color w:val="000000"/>
                <w:sz w:val="20"/>
                <w:szCs w:val="20"/>
              </w:rPr>
            </w:pPr>
            <w:r w:rsidRPr="00CC181E">
              <w:rPr>
                <w:color w:val="000000"/>
                <w:sz w:val="20"/>
                <w:szCs w:val="20"/>
              </w:rPr>
              <w:t>2 727</w:t>
            </w:r>
          </w:p>
        </w:tc>
        <w:tc>
          <w:tcPr>
            <w:tcW w:w="1134" w:type="dxa"/>
            <w:tcBorders>
              <w:top w:val="single" w:sz="4" w:space="0" w:color="auto"/>
              <w:left w:val="nil"/>
              <w:bottom w:val="single" w:sz="4" w:space="0" w:color="auto"/>
              <w:right w:val="single" w:sz="4" w:space="0" w:color="auto"/>
            </w:tcBorders>
            <w:shd w:val="clear" w:color="auto" w:fill="auto"/>
            <w:vAlign w:val="center"/>
          </w:tcPr>
          <w:p w:rsidR="005923CF" w:rsidRPr="00CC181E" w:rsidRDefault="005923CF" w:rsidP="00B13D17">
            <w:pPr>
              <w:tabs>
                <w:tab w:val="left" w:pos="1843"/>
              </w:tabs>
              <w:ind w:right="-1" w:firstLine="0"/>
              <w:jc w:val="right"/>
              <w:rPr>
                <w:color w:val="000000"/>
                <w:sz w:val="20"/>
                <w:szCs w:val="20"/>
              </w:rPr>
            </w:pPr>
            <w:r w:rsidRPr="00CC181E">
              <w:rPr>
                <w:color w:val="000000"/>
                <w:sz w:val="20"/>
                <w:szCs w:val="20"/>
              </w:rPr>
              <w:t>39,06 %</w:t>
            </w:r>
          </w:p>
        </w:tc>
      </w:tr>
    </w:tbl>
    <w:p w:rsidR="00193A23" w:rsidRPr="004761E0" w:rsidRDefault="00193A23" w:rsidP="00193A23">
      <w:pPr>
        <w:ind w:firstLine="567"/>
        <w:rPr>
          <w:sz w:val="26"/>
          <w:szCs w:val="26"/>
          <w:lang w:eastAsia="ru-RU"/>
        </w:rPr>
      </w:pPr>
      <w:r>
        <w:rPr>
          <w:sz w:val="26"/>
          <w:szCs w:val="26"/>
          <w:lang w:eastAsia="ru-RU"/>
        </w:rPr>
        <w:t>Аналогичные д</w:t>
      </w:r>
      <w:r w:rsidRPr="004761E0">
        <w:rPr>
          <w:sz w:val="26"/>
          <w:szCs w:val="26"/>
          <w:lang w:eastAsia="ru-RU"/>
        </w:rPr>
        <w:t>анные в разбивке на г. Москву и Московскую область представлены в Приложении</w:t>
      </w:r>
      <w:r>
        <w:rPr>
          <w:sz w:val="26"/>
          <w:szCs w:val="26"/>
          <w:lang w:eastAsia="ru-RU"/>
        </w:rPr>
        <w:t xml:space="preserve"> 12.</w:t>
      </w:r>
      <w:r w:rsidR="003146BC">
        <w:rPr>
          <w:sz w:val="26"/>
          <w:szCs w:val="26"/>
          <w:lang w:eastAsia="ru-RU"/>
        </w:rPr>
        <w:t>1</w:t>
      </w:r>
      <w:r>
        <w:rPr>
          <w:sz w:val="26"/>
          <w:szCs w:val="26"/>
          <w:lang w:eastAsia="ru-RU"/>
        </w:rPr>
        <w:t>.</w:t>
      </w:r>
      <w:r w:rsidRPr="004761E0">
        <w:rPr>
          <w:sz w:val="26"/>
          <w:szCs w:val="26"/>
          <w:lang w:eastAsia="ru-RU"/>
        </w:rPr>
        <w:t xml:space="preserve"> к Годовому отчету.</w:t>
      </w:r>
    </w:p>
    <w:p w:rsidR="00193A23" w:rsidRPr="004761E0" w:rsidRDefault="00193A23" w:rsidP="005923CF">
      <w:pPr>
        <w:pStyle w:val="a5"/>
        <w:spacing w:before="120" w:after="120"/>
        <w:ind w:left="0" w:firstLine="0"/>
        <w:contextualSpacing w:val="0"/>
        <w:rPr>
          <w:b/>
          <w:sz w:val="26"/>
          <w:szCs w:val="26"/>
        </w:rPr>
      </w:pPr>
      <w:r w:rsidRPr="00193A23">
        <w:rPr>
          <w:b/>
          <w:noProof/>
          <w:sz w:val="26"/>
          <w:szCs w:val="26"/>
          <w:lang w:eastAsia="ru-RU"/>
        </w:rPr>
        <w:drawing>
          <wp:inline distT="0" distB="0" distL="0" distR="0">
            <wp:extent cx="6300470" cy="2349850"/>
            <wp:effectExtent l="19050" t="0" r="24130" b="0"/>
            <wp:docPr id="298"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5923CF" w:rsidRPr="004761E0" w:rsidRDefault="005923CF" w:rsidP="00CC181E">
      <w:pPr>
        <w:pStyle w:val="a5"/>
        <w:ind w:left="0" w:firstLine="567"/>
        <w:contextualSpacing w:val="0"/>
        <w:rPr>
          <w:sz w:val="26"/>
          <w:szCs w:val="26"/>
        </w:rPr>
      </w:pPr>
      <w:r w:rsidRPr="004761E0">
        <w:rPr>
          <w:sz w:val="26"/>
          <w:szCs w:val="26"/>
        </w:rPr>
        <w:t xml:space="preserve">По итогам 2013 года </w:t>
      </w:r>
      <w:r w:rsidR="006F0A6A">
        <w:rPr>
          <w:sz w:val="26"/>
          <w:szCs w:val="26"/>
        </w:rPr>
        <w:t>к</w:t>
      </w:r>
      <w:r w:rsidRPr="004761E0">
        <w:rPr>
          <w:sz w:val="26"/>
          <w:szCs w:val="26"/>
        </w:rPr>
        <w:t>апитальны</w:t>
      </w:r>
      <w:r w:rsidR="006F0A6A">
        <w:rPr>
          <w:sz w:val="26"/>
          <w:szCs w:val="26"/>
        </w:rPr>
        <w:t>е</w:t>
      </w:r>
      <w:r w:rsidRPr="004761E0">
        <w:rPr>
          <w:sz w:val="26"/>
          <w:szCs w:val="26"/>
        </w:rPr>
        <w:t xml:space="preserve"> вложени</w:t>
      </w:r>
      <w:r w:rsidR="006F0A6A">
        <w:rPr>
          <w:sz w:val="26"/>
          <w:szCs w:val="26"/>
        </w:rPr>
        <w:t>я</w:t>
      </w:r>
      <w:r w:rsidRPr="004761E0">
        <w:rPr>
          <w:sz w:val="26"/>
          <w:szCs w:val="26"/>
        </w:rPr>
        <w:t xml:space="preserve"> относительно 2012 года увеличил</w:t>
      </w:r>
      <w:r w:rsidR="006F0A6A">
        <w:rPr>
          <w:sz w:val="26"/>
          <w:szCs w:val="26"/>
        </w:rPr>
        <w:t>и</w:t>
      </w:r>
      <w:r w:rsidRPr="004761E0">
        <w:rPr>
          <w:sz w:val="26"/>
          <w:szCs w:val="26"/>
        </w:rPr>
        <w:t xml:space="preserve">сь на 41,88 % до 51 212 млн руб., что обусловлено необходимостью решения следующих задач: </w:t>
      </w:r>
    </w:p>
    <w:p w:rsidR="005923CF" w:rsidRPr="004761E0" w:rsidRDefault="005923CF" w:rsidP="007076A7">
      <w:pPr>
        <w:pStyle w:val="a5"/>
        <w:numPr>
          <w:ilvl w:val="0"/>
          <w:numId w:val="175"/>
        </w:numPr>
        <w:spacing w:before="120" w:after="120"/>
        <w:ind w:left="1134" w:hanging="567"/>
        <w:rPr>
          <w:sz w:val="26"/>
          <w:szCs w:val="26"/>
        </w:rPr>
      </w:pPr>
      <w:r w:rsidRPr="004761E0">
        <w:rPr>
          <w:sz w:val="26"/>
          <w:szCs w:val="26"/>
        </w:rPr>
        <w:t>снижения износа сетей;</w:t>
      </w:r>
    </w:p>
    <w:p w:rsidR="005923CF" w:rsidRPr="004761E0" w:rsidRDefault="005923CF" w:rsidP="007076A7">
      <w:pPr>
        <w:pStyle w:val="a5"/>
        <w:numPr>
          <w:ilvl w:val="0"/>
          <w:numId w:val="175"/>
        </w:numPr>
        <w:spacing w:before="120" w:after="120"/>
        <w:ind w:left="1134" w:hanging="567"/>
        <w:rPr>
          <w:sz w:val="26"/>
          <w:szCs w:val="26"/>
        </w:rPr>
      </w:pPr>
      <w:r w:rsidRPr="004761E0">
        <w:rPr>
          <w:sz w:val="26"/>
          <w:szCs w:val="26"/>
        </w:rPr>
        <w:t>повышения надежности электроснабжения;</w:t>
      </w:r>
    </w:p>
    <w:p w:rsidR="005923CF" w:rsidRPr="004761E0" w:rsidRDefault="005923CF" w:rsidP="007076A7">
      <w:pPr>
        <w:pStyle w:val="a5"/>
        <w:numPr>
          <w:ilvl w:val="0"/>
          <w:numId w:val="175"/>
        </w:numPr>
        <w:spacing w:before="120" w:after="120"/>
        <w:ind w:left="1134" w:hanging="567"/>
        <w:rPr>
          <w:sz w:val="26"/>
          <w:szCs w:val="26"/>
        </w:rPr>
      </w:pPr>
      <w:r w:rsidRPr="004761E0">
        <w:rPr>
          <w:sz w:val="26"/>
          <w:szCs w:val="26"/>
        </w:rPr>
        <w:t>развития сетей электропередачи;</w:t>
      </w:r>
    </w:p>
    <w:p w:rsidR="005923CF" w:rsidRPr="004761E0" w:rsidRDefault="005923CF" w:rsidP="00A25C21">
      <w:pPr>
        <w:pStyle w:val="a5"/>
        <w:numPr>
          <w:ilvl w:val="0"/>
          <w:numId w:val="175"/>
        </w:numPr>
        <w:ind w:left="1134" w:hanging="567"/>
        <w:contextualSpacing w:val="0"/>
        <w:rPr>
          <w:sz w:val="26"/>
          <w:szCs w:val="26"/>
        </w:rPr>
      </w:pPr>
      <w:r w:rsidRPr="004761E0">
        <w:rPr>
          <w:sz w:val="26"/>
          <w:szCs w:val="26"/>
        </w:rPr>
        <w:lastRenderedPageBreak/>
        <w:t>подключения новых потребителей к электросетям Общества, количество и потребности в мощности которых постоянно увеличиваются.</w:t>
      </w:r>
    </w:p>
    <w:p w:rsidR="005923CF" w:rsidRPr="004761E0" w:rsidRDefault="005923CF" w:rsidP="00A25C21">
      <w:pPr>
        <w:ind w:firstLine="567"/>
        <w:rPr>
          <w:sz w:val="26"/>
          <w:szCs w:val="26"/>
        </w:rPr>
      </w:pPr>
      <w:r w:rsidRPr="004761E0">
        <w:rPr>
          <w:sz w:val="26"/>
          <w:szCs w:val="26"/>
        </w:rPr>
        <w:t xml:space="preserve">В 2013 году, как и в предыдущие годы, более 60 % объема капитальных вложений приходится на г. Москву, что объясняется геополитическим местоположением столичного региона. В то же время в 2013 году по Московской области темпы прироста капитальных вложений, как и в случае </w:t>
      </w:r>
      <w:r w:rsidRPr="004761E0">
        <w:rPr>
          <w:sz w:val="26"/>
          <w:szCs w:val="26"/>
          <w:lang w:val="en-US"/>
        </w:rPr>
        <w:t>c</w:t>
      </w:r>
      <w:r w:rsidRPr="004761E0">
        <w:rPr>
          <w:sz w:val="26"/>
          <w:szCs w:val="26"/>
        </w:rPr>
        <w:t xml:space="preserve"> вводом в основные фонды, выше, чем по г. Москве. Это объясняется тем, что на территорию Московской области с территории г. Москвы выведена основная часть промышленных предприятий, вследствие чего перенаправлены миграционные потоки, способствовавшие, в частности, развитию жилищного строительства.</w:t>
      </w:r>
    </w:p>
    <w:p w:rsidR="005923CF" w:rsidRPr="004761E0" w:rsidRDefault="005923CF" w:rsidP="005923CF">
      <w:pPr>
        <w:autoSpaceDE w:val="0"/>
        <w:autoSpaceDN w:val="0"/>
        <w:adjustRightInd w:val="0"/>
        <w:ind w:firstLine="567"/>
        <w:rPr>
          <w:sz w:val="26"/>
          <w:szCs w:val="26"/>
        </w:rPr>
      </w:pPr>
      <w:r w:rsidRPr="004761E0">
        <w:rPr>
          <w:sz w:val="26"/>
          <w:szCs w:val="26"/>
        </w:rPr>
        <w:t xml:space="preserve">Ввод основных фондов в 2013 году увеличился на 17,22 % до 45 827 млн руб. Ежегодное увеличение объемов ввода основных фондов обусловлено ростом объема капитальных вложений, увеличением количества объектов в инвестиционной программе и окончанием строительства по ряду крупных объектов с длительным сроком строительства/реконструкции. </w:t>
      </w:r>
    </w:p>
    <w:p w:rsidR="005923CF" w:rsidRPr="004761E0" w:rsidRDefault="005923CF" w:rsidP="005923CF">
      <w:pPr>
        <w:autoSpaceDE w:val="0"/>
        <w:autoSpaceDN w:val="0"/>
        <w:adjustRightInd w:val="0"/>
        <w:ind w:firstLine="567"/>
        <w:rPr>
          <w:sz w:val="26"/>
          <w:szCs w:val="26"/>
        </w:rPr>
      </w:pPr>
      <w:r w:rsidRPr="004761E0">
        <w:rPr>
          <w:sz w:val="26"/>
          <w:szCs w:val="26"/>
        </w:rPr>
        <w:t>Ввод основных фондов по трансформаторной мощности в 2013 году сократился на 7,07 % до 4 453 МВА, что связано со снижением выкупа оборудования из лизинга на 29,28 % до 1 239 МВА. Сокращение объемов лизинга обусловлено реализацией планов Компании по отказу от договоров финансовой аренды с 2015 года. Без учета выкупа из лизинга в 2013 году ввод трансформаторной мощности увеличился на 5,72</w:t>
      </w:r>
      <w:r w:rsidR="007529AC">
        <w:rPr>
          <w:sz w:val="26"/>
          <w:szCs w:val="26"/>
        </w:rPr>
        <w:t xml:space="preserve"> </w:t>
      </w:r>
      <w:r w:rsidRPr="004761E0">
        <w:rPr>
          <w:sz w:val="26"/>
          <w:szCs w:val="26"/>
        </w:rPr>
        <w:t>% до 3 214 МВА, что является естественным ввиду ежегодного роста объемов капитальных вложений.</w:t>
      </w:r>
    </w:p>
    <w:p w:rsidR="005923CF" w:rsidRPr="004761E0" w:rsidRDefault="005923CF" w:rsidP="005923CF">
      <w:pPr>
        <w:spacing w:before="200" w:after="200"/>
        <w:ind w:firstLine="567"/>
        <w:contextualSpacing/>
        <w:rPr>
          <w:sz w:val="26"/>
          <w:szCs w:val="26"/>
        </w:rPr>
      </w:pPr>
      <w:bookmarkStart w:id="72" w:name="_Toc349928490"/>
      <w:bookmarkStart w:id="73" w:name="_Toc351727715"/>
      <w:r w:rsidRPr="004761E0">
        <w:rPr>
          <w:sz w:val="26"/>
          <w:szCs w:val="26"/>
        </w:rPr>
        <w:t>Приоритетным направлением капитальных вложений Общества остается реконструкция и техническое перевооружение, призванные обеспечить бесперебойное электроснабжение потребителей Московского региона. Доля затрат, приходящихся на техперевооружение и реконструкцию в общем объеме капитальных вложений в 2013</w:t>
      </w:r>
      <w:r w:rsidR="00A25C21">
        <w:rPr>
          <w:sz w:val="26"/>
          <w:szCs w:val="26"/>
        </w:rPr>
        <w:t xml:space="preserve"> </w:t>
      </w:r>
      <w:r w:rsidRPr="004761E0">
        <w:rPr>
          <w:sz w:val="26"/>
          <w:szCs w:val="26"/>
        </w:rPr>
        <w:t>г</w:t>
      </w:r>
      <w:r w:rsidR="00A25C21">
        <w:rPr>
          <w:sz w:val="26"/>
          <w:szCs w:val="26"/>
        </w:rPr>
        <w:t>оду</w:t>
      </w:r>
      <w:r w:rsidRPr="004761E0">
        <w:rPr>
          <w:sz w:val="26"/>
          <w:szCs w:val="26"/>
        </w:rPr>
        <w:t xml:space="preserve"> осталась на уровне 2012</w:t>
      </w:r>
      <w:r w:rsidR="001735E7">
        <w:rPr>
          <w:sz w:val="26"/>
          <w:szCs w:val="26"/>
        </w:rPr>
        <w:t xml:space="preserve"> </w:t>
      </w:r>
      <w:r w:rsidRPr="004761E0">
        <w:rPr>
          <w:sz w:val="26"/>
          <w:szCs w:val="26"/>
        </w:rPr>
        <w:t>г</w:t>
      </w:r>
      <w:r w:rsidR="001735E7">
        <w:rPr>
          <w:sz w:val="26"/>
          <w:szCs w:val="26"/>
        </w:rPr>
        <w:t>ода</w:t>
      </w:r>
      <w:r w:rsidRPr="004761E0">
        <w:rPr>
          <w:sz w:val="26"/>
          <w:szCs w:val="26"/>
        </w:rPr>
        <w:t xml:space="preserve"> (48</w:t>
      </w:r>
      <w:r w:rsidR="007529AC">
        <w:rPr>
          <w:sz w:val="26"/>
          <w:szCs w:val="26"/>
        </w:rPr>
        <w:t xml:space="preserve"> </w:t>
      </w:r>
      <w:r w:rsidRPr="004761E0">
        <w:rPr>
          <w:sz w:val="26"/>
          <w:szCs w:val="26"/>
        </w:rPr>
        <w:t>%).</w:t>
      </w:r>
    </w:p>
    <w:p w:rsidR="005923CF" w:rsidRPr="004761E0" w:rsidRDefault="005923CF" w:rsidP="00DB376A">
      <w:pPr>
        <w:spacing w:before="200" w:after="200"/>
        <w:ind w:firstLine="567"/>
        <w:contextualSpacing/>
        <w:rPr>
          <w:sz w:val="26"/>
          <w:szCs w:val="26"/>
        </w:rPr>
      </w:pPr>
      <w:r w:rsidRPr="004761E0">
        <w:rPr>
          <w:sz w:val="26"/>
          <w:szCs w:val="26"/>
        </w:rPr>
        <w:t>В абсолютном значении произошел рост: объем капитальных вложений, направленных на техперевооружение и реконструкцию, за 2013 год увеличился на 46,35</w:t>
      </w:r>
      <w:r w:rsidR="00DB376A" w:rsidRPr="004761E0">
        <w:rPr>
          <w:sz w:val="26"/>
          <w:szCs w:val="26"/>
        </w:rPr>
        <w:t> </w:t>
      </w:r>
      <w:r w:rsidRPr="004761E0">
        <w:rPr>
          <w:sz w:val="26"/>
          <w:szCs w:val="26"/>
        </w:rPr>
        <w:t>% до 24 797 млн руб.</w:t>
      </w:r>
      <w:r w:rsidR="001735E7">
        <w:rPr>
          <w:sz w:val="26"/>
          <w:szCs w:val="26"/>
        </w:rPr>
        <w:t xml:space="preserve"> </w:t>
      </w:r>
      <w:r w:rsidRPr="004761E0">
        <w:rPr>
          <w:sz w:val="26"/>
          <w:szCs w:val="26"/>
        </w:rPr>
        <w:t>Это связано с тем, что по ряду крупных объектов в 2013г., в соответствии с сетевым графиком реализации проектов, этап проектирования завершен и производились строительно-монтажные и пусконаладочные работы. Так в 2012 г</w:t>
      </w:r>
      <w:r w:rsidR="007529AC">
        <w:rPr>
          <w:sz w:val="26"/>
          <w:szCs w:val="26"/>
        </w:rPr>
        <w:t>оду</w:t>
      </w:r>
      <w:r w:rsidRPr="004761E0">
        <w:rPr>
          <w:sz w:val="26"/>
          <w:szCs w:val="26"/>
        </w:rPr>
        <w:t xml:space="preserve"> доля проектных работ составила 16</w:t>
      </w:r>
      <w:r w:rsidR="007529AC">
        <w:rPr>
          <w:sz w:val="26"/>
          <w:szCs w:val="26"/>
        </w:rPr>
        <w:t xml:space="preserve"> </w:t>
      </w:r>
      <w:r w:rsidRPr="004761E0">
        <w:rPr>
          <w:sz w:val="26"/>
          <w:szCs w:val="26"/>
        </w:rPr>
        <w:t>% от общего объема капитальных вложений, а в 2013</w:t>
      </w:r>
      <w:r w:rsidR="007529AC">
        <w:rPr>
          <w:sz w:val="26"/>
          <w:szCs w:val="26"/>
        </w:rPr>
        <w:t xml:space="preserve"> </w:t>
      </w:r>
      <w:r w:rsidRPr="004761E0">
        <w:rPr>
          <w:sz w:val="26"/>
          <w:szCs w:val="26"/>
        </w:rPr>
        <w:t>г</w:t>
      </w:r>
      <w:r w:rsidR="007529AC">
        <w:rPr>
          <w:sz w:val="26"/>
          <w:szCs w:val="26"/>
        </w:rPr>
        <w:t>оду</w:t>
      </w:r>
      <w:r w:rsidRPr="004761E0">
        <w:rPr>
          <w:sz w:val="26"/>
          <w:szCs w:val="26"/>
        </w:rPr>
        <w:t xml:space="preserve"> снизилась более чем в два раза и составила 7</w:t>
      </w:r>
      <w:r w:rsidR="007529AC">
        <w:rPr>
          <w:sz w:val="26"/>
          <w:szCs w:val="26"/>
        </w:rPr>
        <w:t xml:space="preserve"> </w:t>
      </w:r>
      <w:r w:rsidRPr="004761E0">
        <w:rPr>
          <w:sz w:val="26"/>
          <w:szCs w:val="26"/>
        </w:rPr>
        <w:t>%.</w:t>
      </w:r>
    </w:p>
    <w:p w:rsidR="005923CF" w:rsidRPr="004761E0" w:rsidRDefault="005923CF" w:rsidP="005923CF">
      <w:pPr>
        <w:spacing w:before="200" w:after="200"/>
        <w:ind w:firstLine="567"/>
        <w:contextualSpacing/>
        <w:rPr>
          <w:sz w:val="26"/>
          <w:szCs w:val="26"/>
        </w:rPr>
      </w:pPr>
      <w:r w:rsidRPr="004761E0">
        <w:rPr>
          <w:sz w:val="26"/>
          <w:szCs w:val="26"/>
        </w:rPr>
        <w:t xml:space="preserve">В 2013 году произошло снижение капитальных вложений, направленных на новое строительство (развитие сети) на 4,82 % до 14 416 млн руб. Инвестиции, направляемые на новое строительство, включают в себя два основных направления: выполнение работ по подключению потребителей к распределительной сети, производимых в соответствии с техническими условиями по договорам технологического присоединения и строительство питающих центров (ПС 35-220 кВ). В 2013 году на технологическое присоединение направлено 10 967 млн руб., что на 32,66 % больше показателя 2012 года. Увеличение технологического присоединения связано с ростом заявок потребителей на данную услугу, предоставляемую Компанией. При этом в 2013 году объем капитальных вложений, направленных на строительство питающих центров высокого напряжения, сократился на 69,66 % до 1 151 млн руб. Данная тенденция объясняется тем, что в инвестиционной программе 2013 года начало строительства новых питающих центров не предусмотрено и завершается строительство начатых ранее </w:t>
      </w:r>
      <w:r w:rsidRPr="004761E0">
        <w:rPr>
          <w:sz w:val="26"/>
          <w:szCs w:val="26"/>
        </w:rPr>
        <w:lastRenderedPageBreak/>
        <w:t>объектов. Сокращение строительства новых питающих центров связано с политикой ограничения роста тарифов естественных монополий и схемами перспективного развития территорий, предусматривающих строительство питающих центров в последующие годы.</w:t>
      </w:r>
    </w:p>
    <w:p w:rsidR="005923CF" w:rsidRPr="004761E0" w:rsidRDefault="005923CF" w:rsidP="005923CF">
      <w:pPr>
        <w:spacing w:before="200" w:after="200"/>
        <w:ind w:firstLine="567"/>
        <w:rPr>
          <w:i/>
          <w:sz w:val="26"/>
          <w:szCs w:val="26"/>
        </w:rPr>
      </w:pPr>
      <w:r w:rsidRPr="004761E0">
        <w:rPr>
          <w:sz w:val="26"/>
          <w:szCs w:val="26"/>
        </w:rPr>
        <w:t>Основной прирост капитальных вложений в 2013 году приходится на категорию «Прочее»: объем капитальных вложений увеличился на 199,68 % до 11 999 млн руб. Рост инвестиций произошел за счет приобретения ПС «Дворики» (252 млн руб.) и кабельных линий высокого напряжения из лизинга (9 616 млн руб.). По договорам компенсации потерь, которые также относятся к категории «Прочее», наблюдается сокращение объемов капитальных вложений на 1 597 млн руб или на 41 %.</w:t>
      </w:r>
    </w:p>
    <w:p w:rsidR="005923CF" w:rsidRDefault="005923CF" w:rsidP="008F0ACD">
      <w:pPr>
        <w:spacing w:before="120" w:after="120"/>
        <w:ind w:firstLine="567"/>
        <w:rPr>
          <w:b/>
          <w:sz w:val="26"/>
          <w:szCs w:val="26"/>
        </w:rPr>
      </w:pPr>
      <w:r w:rsidRPr="004761E0">
        <w:rPr>
          <w:b/>
          <w:sz w:val="26"/>
          <w:szCs w:val="26"/>
        </w:rPr>
        <w:t>Капитальные вложения по видам основных средств</w:t>
      </w:r>
    </w:p>
    <w:tbl>
      <w:tblPr>
        <w:tblW w:w="9820" w:type="dxa"/>
        <w:tblInd w:w="93" w:type="dxa"/>
        <w:tblLook w:val="04A0"/>
      </w:tblPr>
      <w:tblGrid>
        <w:gridCol w:w="845"/>
        <w:gridCol w:w="4947"/>
        <w:gridCol w:w="912"/>
        <w:gridCol w:w="951"/>
        <w:gridCol w:w="951"/>
        <w:gridCol w:w="1214"/>
      </w:tblGrid>
      <w:tr w:rsidR="008F0ACD" w:rsidRPr="00392094" w:rsidTr="00A25C21">
        <w:trPr>
          <w:trHeight w:val="315"/>
        </w:trPr>
        <w:tc>
          <w:tcPr>
            <w:tcW w:w="845" w:type="dxa"/>
            <w:tcBorders>
              <w:top w:val="single" w:sz="8" w:space="0" w:color="auto"/>
              <w:left w:val="single" w:sz="8" w:space="0" w:color="auto"/>
              <w:bottom w:val="single" w:sz="4" w:space="0" w:color="auto"/>
              <w:right w:val="single" w:sz="8" w:space="0" w:color="FFFFFF"/>
            </w:tcBorders>
            <w:shd w:val="clear" w:color="000000" w:fill="0F243E"/>
            <w:vAlign w:val="center"/>
            <w:hideMark/>
          </w:tcPr>
          <w:p w:rsidR="008F0ACD" w:rsidRPr="00392094" w:rsidRDefault="008F0ACD" w:rsidP="00D120ED">
            <w:pPr>
              <w:ind w:firstLine="0"/>
              <w:jc w:val="left"/>
              <w:rPr>
                <w:rFonts w:eastAsia="Times New Roman"/>
                <w:b/>
                <w:bCs/>
                <w:color w:val="FFFFFF"/>
                <w:sz w:val="20"/>
                <w:szCs w:val="20"/>
                <w:lang w:eastAsia="ru-RU"/>
              </w:rPr>
            </w:pPr>
            <w:r w:rsidRPr="00392094">
              <w:rPr>
                <w:rFonts w:eastAsia="Times New Roman"/>
                <w:b/>
                <w:bCs/>
                <w:color w:val="FFFFFF"/>
                <w:sz w:val="20"/>
                <w:szCs w:val="20"/>
                <w:lang w:eastAsia="ru-RU"/>
              </w:rPr>
              <w:t>№ п/п</w:t>
            </w:r>
          </w:p>
        </w:tc>
        <w:tc>
          <w:tcPr>
            <w:tcW w:w="4947" w:type="dxa"/>
            <w:tcBorders>
              <w:top w:val="single" w:sz="8" w:space="0" w:color="auto"/>
              <w:left w:val="nil"/>
              <w:bottom w:val="single" w:sz="4" w:space="0" w:color="auto"/>
              <w:right w:val="single" w:sz="8" w:space="0" w:color="FFFFFF"/>
            </w:tcBorders>
            <w:shd w:val="clear" w:color="000000" w:fill="0F243E"/>
            <w:vAlign w:val="center"/>
            <w:hideMark/>
          </w:tcPr>
          <w:p w:rsidR="008F0ACD" w:rsidRPr="00392094" w:rsidRDefault="008F0ACD" w:rsidP="00D120ED">
            <w:pPr>
              <w:ind w:firstLine="0"/>
              <w:jc w:val="left"/>
              <w:rPr>
                <w:rFonts w:eastAsia="Times New Roman"/>
                <w:b/>
                <w:bCs/>
                <w:color w:val="FFFFFF"/>
                <w:sz w:val="20"/>
                <w:szCs w:val="20"/>
                <w:lang w:eastAsia="ru-RU"/>
              </w:rPr>
            </w:pPr>
            <w:r w:rsidRPr="00392094">
              <w:rPr>
                <w:rFonts w:eastAsia="Times New Roman"/>
                <w:b/>
                <w:bCs/>
                <w:color w:val="FFFFFF"/>
                <w:sz w:val="20"/>
                <w:szCs w:val="20"/>
                <w:lang w:eastAsia="ru-RU"/>
              </w:rPr>
              <w:t>Наименование категории</w:t>
            </w:r>
          </w:p>
        </w:tc>
        <w:tc>
          <w:tcPr>
            <w:tcW w:w="912" w:type="dxa"/>
            <w:tcBorders>
              <w:top w:val="single" w:sz="8" w:space="0" w:color="auto"/>
              <w:left w:val="nil"/>
              <w:bottom w:val="single" w:sz="4" w:space="0" w:color="auto"/>
              <w:right w:val="single" w:sz="8" w:space="0" w:color="FFFFFF"/>
            </w:tcBorders>
            <w:shd w:val="clear" w:color="000000" w:fill="0F243E"/>
            <w:vAlign w:val="center"/>
            <w:hideMark/>
          </w:tcPr>
          <w:p w:rsidR="008F0ACD" w:rsidRPr="00392094" w:rsidRDefault="008F0ACD" w:rsidP="00D120ED">
            <w:pPr>
              <w:ind w:firstLine="0"/>
              <w:jc w:val="right"/>
              <w:rPr>
                <w:rFonts w:eastAsia="Times New Roman"/>
                <w:b/>
                <w:bCs/>
                <w:color w:val="FFFFFF"/>
                <w:sz w:val="20"/>
                <w:szCs w:val="20"/>
                <w:lang w:eastAsia="ru-RU"/>
              </w:rPr>
            </w:pPr>
            <w:r w:rsidRPr="00392094">
              <w:rPr>
                <w:rFonts w:eastAsia="Times New Roman"/>
                <w:b/>
                <w:bCs/>
                <w:color w:val="FFFFFF"/>
                <w:sz w:val="20"/>
                <w:szCs w:val="20"/>
                <w:lang w:eastAsia="ru-RU"/>
              </w:rPr>
              <w:t>2011</w:t>
            </w:r>
          </w:p>
        </w:tc>
        <w:tc>
          <w:tcPr>
            <w:tcW w:w="951" w:type="dxa"/>
            <w:tcBorders>
              <w:top w:val="single" w:sz="8" w:space="0" w:color="auto"/>
              <w:left w:val="nil"/>
              <w:bottom w:val="single" w:sz="4" w:space="0" w:color="auto"/>
              <w:right w:val="single" w:sz="8" w:space="0" w:color="FFFFFF"/>
            </w:tcBorders>
            <w:shd w:val="clear" w:color="000000" w:fill="0F243E"/>
            <w:vAlign w:val="center"/>
            <w:hideMark/>
          </w:tcPr>
          <w:p w:rsidR="008F0ACD" w:rsidRPr="00392094" w:rsidRDefault="008F0ACD" w:rsidP="00D120ED">
            <w:pPr>
              <w:ind w:firstLine="0"/>
              <w:jc w:val="right"/>
              <w:rPr>
                <w:rFonts w:eastAsia="Times New Roman"/>
                <w:b/>
                <w:bCs/>
                <w:color w:val="FFFFFF"/>
                <w:sz w:val="20"/>
                <w:szCs w:val="20"/>
                <w:lang w:eastAsia="ru-RU"/>
              </w:rPr>
            </w:pPr>
            <w:r w:rsidRPr="00392094">
              <w:rPr>
                <w:rFonts w:eastAsia="Times New Roman"/>
                <w:b/>
                <w:bCs/>
                <w:color w:val="FFFFFF"/>
                <w:sz w:val="20"/>
                <w:szCs w:val="20"/>
                <w:lang w:eastAsia="ru-RU"/>
              </w:rPr>
              <w:t>2012</w:t>
            </w:r>
          </w:p>
        </w:tc>
        <w:tc>
          <w:tcPr>
            <w:tcW w:w="951" w:type="dxa"/>
            <w:tcBorders>
              <w:top w:val="single" w:sz="8" w:space="0" w:color="auto"/>
              <w:left w:val="nil"/>
              <w:bottom w:val="single" w:sz="4" w:space="0" w:color="auto"/>
              <w:right w:val="single" w:sz="8" w:space="0" w:color="FFFFFF"/>
            </w:tcBorders>
            <w:shd w:val="clear" w:color="000000" w:fill="0F243E"/>
            <w:vAlign w:val="center"/>
            <w:hideMark/>
          </w:tcPr>
          <w:p w:rsidR="008F0ACD" w:rsidRPr="00392094" w:rsidRDefault="008F0ACD" w:rsidP="00D120ED">
            <w:pPr>
              <w:ind w:firstLine="0"/>
              <w:jc w:val="right"/>
              <w:rPr>
                <w:rFonts w:eastAsia="Times New Roman"/>
                <w:b/>
                <w:bCs/>
                <w:color w:val="FFFFFF"/>
                <w:sz w:val="20"/>
                <w:szCs w:val="20"/>
                <w:lang w:eastAsia="ru-RU"/>
              </w:rPr>
            </w:pPr>
            <w:r w:rsidRPr="00392094">
              <w:rPr>
                <w:rFonts w:eastAsia="Times New Roman"/>
                <w:b/>
                <w:bCs/>
                <w:color w:val="FFFFFF"/>
                <w:sz w:val="20"/>
                <w:szCs w:val="20"/>
                <w:lang w:eastAsia="ru-RU"/>
              </w:rPr>
              <w:t>2013</w:t>
            </w:r>
          </w:p>
        </w:tc>
        <w:tc>
          <w:tcPr>
            <w:tcW w:w="1214" w:type="dxa"/>
            <w:tcBorders>
              <w:top w:val="single" w:sz="8" w:space="0" w:color="auto"/>
              <w:left w:val="nil"/>
              <w:bottom w:val="single" w:sz="4" w:space="0" w:color="auto"/>
              <w:right w:val="single" w:sz="8" w:space="0" w:color="auto"/>
            </w:tcBorders>
            <w:shd w:val="clear" w:color="000000" w:fill="0F243E"/>
            <w:vAlign w:val="center"/>
            <w:hideMark/>
          </w:tcPr>
          <w:p w:rsidR="008F0ACD" w:rsidRPr="00392094" w:rsidRDefault="008F0ACD" w:rsidP="00D120ED">
            <w:pPr>
              <w:ind w:firstLine="0"/>
              <w:jc w:val="right"/>
              <w:rPr>
                <w:rFonts w:eastAsia="Times New Roman"/>
                <w:b/>
                <w:bCs/>
                <w:color w:val="FFFFFF"/>
                <w:sz w:val="20"/>
                <w:szCs w:val="20"/>
                <w:lang w:eastAsia="ru-RU"/>
              </w:rPr>
            </w:pPr>
            <w:r w:rsidRPr="00392094">
              <w:rPr>
                <w:rFonts w:eastAsia="Times New Roman"/>
                <w:b/>
                <w:bCs/>
                <w:color w:val="FFFFFF"/>
                <w:sz w:val="20"/>
                <w:szCs w:val="20"/>
                <w:lang w:eastAsia="ru-RU"/>
              </w:rPr>
              <w:t>2013/2012</w:t>
            </w:r>
          </w:p>
        </w:tc>
      </w:tr>
      <w:tr w:rsidR="008F0ACD" w:rsidRPr="00392094" w:rsidTr="00A25C21">
        <w:trPr>
          <w:trHeight w:val="525"/>
        </w:trPr>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ascii="Calibri" w:eastAsia="Times New Roman" w:hAnsi="Calibri"/>
                <w:color w:val="000000"/>
                <w:sz w:val="22"/>
                <w:szCs w:val="22"/>
                <w:lang w:eastAsia="ru-RU"/>
              </w:rPr>
            </w:pPr>
            <w:r w:rsidRPr="00392094">
              <w:rPr>
                <w:rFonts w:ascii="Calibri" w:eastAsia="Times New Roman" w:hAnsi="Calibri"/>
                <w:color w:val="000000"/>
                <w:sz w:val="22"/>
                <w:szCs w:val="22"/>
                <w:lang w:eastAsia="ru-RU"/>
              </w:rPr>
              <w:t> </w:t>
            </w:r>
          </w:p>
        </w:tc>
        <w:tc>
          <w:tcPr>
            <w:tcW w:w="4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b/>
                <w:bCs/>
                <w:color w:val="000000"/>
                <w:sz w:val="20"/>
                <w:szCs w:val="20"/>
                <w:lang w:eastAsia="ru-RU"/>
              </w:rPr>
            </w:pPr>
            <w:r w:rsidRPr="00392094">
              <w:rPr>
                <w:rFonts w:eastAsia="Times New Roman"/>
                <w:b/>
                <w:bCs/>
                <w:color w:val="000000"/>
                <w:sz w:val="20"/>
                <w:szCs w:val="20"/>
                <w:lang w:eastAsia="ru-RU"/>
              </w:rPr>
              <w:t>Капитальные вложения, млн руб. без НДС (всего), в т.ч.:</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29 527</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36 095</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51 212</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41,88</w:t>
            </w:r>
            <w:r>
              <w:rPr>
                <w:rFonts w:eastAsia="Times New Roman"/>
                <w:b/>
                <w:bCs/>
                <w:color w:val="000000"/>
                <w:sz w:val="20"/>
                <w:szCs w:val="20"/>
                <w:lang w:eastAsia="ru-RU"/>
              </w:rPr>
              <w:t xml:space="preserve"> </w:t>
            </w:r>
            <w:r w:rsidRPr="00392094">
              <w:rPr>
                <w:rFonts w:eastAsia="Times New Roman"/>
                <w:b/>
                <w:bCs/>
                <w:color w:val="000000"/>
                <w:sz w:val="20"/>
                <w:szCs w:val="20"/>
                <w:lang w:eastAsia="ru-RU"/>
              </w:rPr>
              <w:t>%</w:t>
            </w:r>
          </w:p>
        </w:tc>
      </w:tr>
      <w:tr w:rsidR="008F0ACD" w:rsidRPr="00392094" w:rsidTr="00A25C21">
        <w:trPr>
          <w:trHeight w:val="315"/>
        </w:trPr>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ascii="Calibri" w:eastAsia="Times New Roman" w:hAnsi="Calibri"/>
                <w:color w:val="000000"/>
                <w:sz w:val="22"/>
                <w:szCs w:val="22"/>
                <w:lang w:eastAsia="ru-RU"/>
              </w:rPr>
            </w:pPr>
            <w:r w:rsidRPr="00392094">
              <w:rPr>
                <w:rFonts w:ascii="Calibri" w:eastAsia="Times New Roman" w:hAnsi="Calibri"/>
                <w:color w:val="000000"/>
                <w:sz w:val="22"/>
                <w:szCs w:val="22"/>
                <w:lang w:eastAsia="ru-RU"/>
              </w:rPr>
              <w:t> </w:t>
            </w:r>
          </w:p>
        </w:tc>
        <w:tc>
          <w:tcPr>
            <w:tcW w:w="4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color w:val="000000"/>
                <w:sz w:val="20"/>
                <w:szCs w:val="20"/>
                <w:lang w:eastAsia="ru-RU"/>
              </w:rPr>
            </w:pPr>
            <w:r w:rsidRPr="00392094">
              <w:rPr>
                <w:rFonts w:eastAsia="Times New Roman"/>
                <w:color w:val="000000"/>
                <w:sz w:val="20"/>
                <w:szCs w:val="20"/>
                <w:lang w:eastAsia="ru-RU"/>
              </w:rPr>
              <w:t>техперевооружение и реконструкция</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17 147</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16 944</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24 797</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46,34</w:t>
            </w:r>
            <w:r>
              <w:rPr>
                <w:rFonts w:eastAsia="Times New Roman"/>
                <w:color w:val="000000"/>
                <w:sz w:val="20"/>
                <w:szCs w:val="20"/>
                <w:lang w:eastAsia="ru-RU"/>
              </w:rPr>
              <w:t xml:space="preserve"> </w:t>
            </w:r>
            <w:r w:rsidRPr="00392094">
              <w:rPr>
                <w:rFonts w:eastAsia="Times New Roman"/>
                <w:color w:val="000000"/>
                <w:sz w:val="20"/>
                <w:szCs w:val="20"/>
                <w:lang w:eastAsia="ru-RU"/>
              </w:rPr>
              <w:t>%</w:t>
            </w:r>
          </w:p>
        </w:tc>
      </w:tr>
      <w:tr w:rsidR="008F0ACD" w:rsidRPr="00392094" w:rsidTr="00A25C21">
        <w:trPr>
          <w:trHeight w:val="315"/>
        </w:trPr>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ascii="Calibri" w:eastAsia="Times New Roman" w:hAnsi="Calibri"/>
                <w:color w:val="000000"/>
                <w:sz w:val="22"/>
                <w:szCs w:val="22"/>
                <w:lang w:eastAsia="ru-RU"/>
              </w:rPr>
            </w:pPr>
            <w:r w:rsidRPr="00392094">
              <w:rPr>
                <w:rFonts w:ascii="Calibri" w:eastAsia="Times New Roman" w:hAnsi="Calibri"/>
                <w:color w:val="000000"/>
                <w:sz w:val="22"/>
                <w:szCs w:val="22"/>
                <w:lang w:eastAsia="ru-RU"/>
              </w:rPr>
              <w:t> </w:t>
            </w:r>
          </w:p>
        </w:tc>
        <w:tc>
          <w:tcPr>
            <w:tcW w:w="4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color w:val="000000"/>
                <w:sz w:val="20"/>
                <w:szCs w:val="20"/>
                <w:lang w:eastAsia="ru-RU"/>
              </w:rPr>
            </w:pPr>
            <w:r w:rsidRPr="00392094">
              <w:rPr>
                <w:rFonts w:eastAsia="Times New Roman"/>
                <w:color w:val="000000"/>
                <w:sz w:val="20"/>
                <w:szCs w:val="20"/>
                <w:lang w:eastAsia="ru-RU"/>
              </w:rPr>
              <w:t>новое строительство</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10 623</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15 146</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14 416</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-4,81</w:t>
            </w:r>
            <w:r>
              <w:rPr>
                <w:rFonts w:eastAsia="Times New Roman"/>
                <w:color w:val="000000"/>
                <w:sz w:val="20"/>
                <w:szCs w:val="20"/>
                <w:lang w:eastAsia="ru-RU"/>
              </w:rPr>
              <w:t xml:space="preserve"> </w:t>
            </w:r>
            <w:r w:rsidRPr="00392094">
              <w:rPr>
                <w:rFonts w:eastAsia="Times New Roman"/>
                <w:color w:val="000000"/>
                <w:sz w:val="20"/>
                <w:szCs w:val="20"/>
                <w:lang w:eastAsia="ru-RU"/>
              </w:rPr>
              <w:t>%</w:t>
            </w:r>
          </w:p>
        </w:tc>
      </w:tr>
      <w:tr w:rsidR="008F0ACD" w:rsidRPr="00392094" w:rsidTr="00A25C21">
        <w:trPr>
          <w:trHeight w:val="315"/>
        </w:trPr>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b/>
                <w:bCs/>
                <w:color w:val="000000"/>
                <w:sz w:val="20"/>
                <w:szCs w:val="20"/>
                <w:lang w:eastAsia="ru-RU"/>
              </w:rPr>
            </w:pPr>
            <w:r w:rsidRPr="00392094">
              <w:rPr>
                <w:rFonts w:eastAsia="Times New Roman"/>
                <w:b/>
                <w:bCs/>
                <w:color w:val="000000"/>
                <w:sz w:val="20"/>
                <w:szCs w:val="20"/>
                <w:lang w:eastAsia="ru-RU"/>
              </w:rPr>
              <w:t>1.1.</w:t>
            </w:r>
          </w:p>
        </w:tc>
        <w:tc>
          <w:tcPr>
            <w:tcW w:w="4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b/>
                <w:bCs/>
                <w:color w:val="000000"/>
                <w:sz w:val="20"/>
                <w:szCs w:val="20"/>
                <w:lang w:eastAsia="ru-RU"/>
              </w:rPr>
            </w:pPr>
            <w:r w:rsidRPr="00392094">
              <w:rPr>
                <w:rFonts w:eastAsia="Times New Roman"/>
                <w:b/>
                <w:bCs/>
                <w:color w:val="000000"/>
                <w:sz w:val="20"/>
                <w:szCs w:val="20"/>
                <w:lang w:eastAsia="ru-RU"/>
              </w:rPr>
              <w:t>Важнейшие проекты</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7 765</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8 041</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3,55</w:t>
            </w:r>
            <w:r>
              <w:rPr>
                <w:rFonts w:eastAsia="Times New Roman"/>
                <w:b/>
                <w:bCs/>
                <w:color w:val="000000"/>
                <w:sz w:val="20"/>
                <w:szCs w:val="20"/>
                <w:lang w:eastAsia="ru-RU"/>
              </w:rPr>
              <w:t xml:space="preserve"> </w:t>
            </w:r>
            <w:r w:rsidRPr="00392094">
              <w:rPr>
                <w:rFonts w:eastAsia="Times New Roman"/>
                <w:b/>
                <w:bCs/>
                <w:color w:val="000000"/>
                <w:sz w:val="20"/>
                <w:szCs w:val="20"/>
                <w:lang w:eastAsia="ru-RU"/>
              </w:rPr>
              <w:t>%</w:t>
            </w:r>
          </w:p>
        </w:tc>
      </w:tr>
      <w:tr w:rsidR="008F0ACD" w:rsidRPr="00392094" w:rsidTr="00A25C21">
        <w:trPr>
          <w:trHeight w:val="315"/>
        </w:trPr>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color w:val="000000"/>
                <w:sz w:val="20"/>
                <w:szCs w:val="20"/>
                <w:lang w:eastAsia="ru-RU"/>
              </w:rPr>
            </w:pPr>
            <w:r w:rsidRPr="00392094">
              <w:rPr>
                <w:rFonts w:eastAsia="Times New Roman"/>
                <w:color w:val="000000"/>
                <w:sz w:val="20"/>
                <w:szCs w:val="20"/>
                <w:lang w:eastAsia="ru-RU"/>
              </w:rPr>
              <w:t>1.1.1.</w:t>
            </w:r>
          </w:p>
        </w:tc>
        <w:tc>
          <w:tcPr>
            <w:tcW w:w="4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color w:val="000000"/>
                <w:sz w:val="20"/>
                <w:szCs w:val="20"/>
                <w:lang w:eastAsia="ru-RU"/>
              </w:rPr>
            </w:pPr>
            <w:r w:rsidRPr="00392094">
              <w:rPr>
                <w:rFonts w:eastAsia="Times New Roman"/>
                <w:color w:val="000000"/>
                <w:sz w:val="20"/>
                <w:szCs w:val="20"/>
                <w:lang w:eastAsia="ru-RU"/>
              </w:rPr>
              <w:t>техперевооружение и реконструкция</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9 262</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4 603</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6 937</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50,71</w:t>
            </w:r>
            <w:r>
              <w:rPr>
                <w:rFonts w:eastAsia="Times New Roman"/>
                <w:color w:val="000000"/>
                <w:sz w:val="20"/>
                <w:szCs w:val="20"/>
                <w:lang w:eastAsia="ru-RU"/>
              </w:rPr>
              <w:t xml:space="preserve"> </w:t>
            </w:r>
            <w:r w:rsidRPr="00392094">
              <w:rPr>
                <w:rFonts w:eastAsia="Times New Roman"/>
                <w:color w:val="000000"/>
                <w:sz w:val="20"/>
                <w:szCs w:val="20"/>
                <w:lang w:eastAsia="ru-RU"/>
              </w:rPr>
              <w:t>%</w:t>
            </w:r>
          </w:p>
        </w:tc>
      </w:tr>
      <w:tr w:rsidR="008F0ACD" w:rsidRPr="00392094" w:rsidTr="00A25C21">
        <w:trPr>
          <w:trHeight w:val="315"/>
        </w:trPr>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color w:val="000000"/>
                <w:sz w:val="20"/>
                <w:szCs w:val="20"/>
                <w:lang w:eastAsia="ru-RU"/>
              </w:rPr>
            </w:pPr>
            <w:r w:rsidRPr="00392094">
              <w:rPr>
                <w:rFonts w:eastAsia="Times New Roman"/>
                <w:color w:val="000000"/>
                <w:sz w:val="20"/>
                <w:szCs w:val="20"/>
                <w:lang w:eastAsia="ru-RU"/>
              </w:rPr>
              <w:t>1.1.2.</w:t>
            </w:r>
          </w:p>
        </w:tc>
        <w:tc>
          <w:tcPr>
            <w:tcW w:w="4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color w:val="000000"/>
                <w:sz w:val="20"/>
                <w:szCs w:val="20"/>
                <w:lang w:eastAsia="ru-RU"/>
              </w:rPr>
            </w:pPr>
            <w:r w:rsidRPr="00392094">
              <w:rPr>
                <w:rFonts w:eastAsia="Times New Roman"/>
                <w:color w:val="000000"/>
                <w:sz w:val="20"/>
                <w:szCs w:val="20"/>
                <w:lang w:eastAsia="ru-RU"/>
              </w:rPr>
              <w:t>новое строительство</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2 919</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3 163</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1 104</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-65,10</w:t>
            </w:r>
            <w:r>
              <w:rPr>
                <w:rFonts w:eastAsia="Times New Roman"/>
                <w:color w:val="000000"/>
                <w:sz w:val="20"/>
                <w:szCs w:val="20"/>
                <w:lang w:eastAsia="ru-RU"/>
              </w:rPr>
              <w:t xml:space="preserve"> </w:t>
            </w:r>
            <w:r w:rsidRPr="00392094">
              <w:rPr>
                <w:rFonts w:eastAsia="Times New Roman"/>
                <w:color w:val="000000"/>
                <w:sz w:val="20"/>
                <w:szCs w:val="20"/>
                <w:lang w:eastAsia="ru-RU"/>
              </w:rPr>
              <w:t>%</w:t>
            </w:r>
          </w:p>
        </w:tc>
      </w:tr>
      <w:tr w:rsidR="008F0ACD" w:rsidRPr="00392094" w:rsidTr="00A25C21">
        <w:trPr>
          <w:trHeight w:val="315"/>
        </w:trPr>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b/>
                <w:bCs/>
                <w:color w:val="000000"/>
                <w:sz w:val="20"/>
                <w:szCs w:val="20"/>
                <w:lang w:eastAsia="ru-RU"/>
              </w:rPr>
            </w:pPr>
            <w:r w:rsidRPr="00392094">
              <w:rPr>
                <w:rFonts w:eastAsia="Times New Roman"/>
                <w:b/>
                <w:bCs/>
                <w:color w:val="000000"/>
                <w:sz w:val="20"/>
                <w:szCs w:val="20"/>
                <w:lang w:eastAsia="ru-RU"/>
              </w:rPr>
              <w:t>1.2.</w:t>
            </w:r>
            <w:r>
              <w:rPr>
                <w:rFonts w:eastAsia="Times New Roman"/>
                <w:b/>
                <w:bCs/>
                <w:color w:val="000000"/>
                <w:sz w:val="14"/>
                <w:szCs w:val="14"/>
                <w:lang w:eastAsia="ru-RU"/>
              </w:rPr>
              <w:t> </w:t>
            </w:r>
          </w:p>
        </w:tc>
        <w:tc>
          <w:tcPr>
            <w:tcW w:w="4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b/>
                <w:bCs/>
                <w:color w:val="000000"/>
                <w:sz w:val="20"/>
                <w:szCs w:val="20"/>
                <w:lang w:eastAsia="ru-RU"/>
              </w:rPr>
            </w:pPr>
            <w:r w:rsidRPr="00392094">
              <w:rPr>
                <w:rFonts w:eastAsia="Times New Roman"/>
                <w:b/>
                <w:bCs/>
                <w:color w:val="000000"/>
                <w:sz w:val="20"/>
                <w:szCs w:val="20"/>
                <w:lang w:eastAsia="ru-RU"/>
              </w:rPr>
              <w:t>Программа по объектам 35-330 кВ</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7 318</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9 514</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52,39</w:t>
            </w:r>
            <w:r>
              <w:rPr>
                <w:rFonts w:eastAsia="Times New Roman"/>
                <w:b/>
                <w:bCs/>
                <w:color w:val="000000"/>
                <w:sz w:val="20"/>
                <w:szCs w:val="20"/>
                <w:lang w:eastAsia="ru-RU"/>
              </w:rPr>
              <w:t xml:space="preserve"> </w:t>
            </w:r>
            <w:r w:rsidRPr="00392094">
              <w:rPr>
                <w:rFonts w:eastAsia="Times New Roman"/>
                <w:b/>
                <w:bCs/>
                <w:color w:val="000000"/>
                <w:sz w:val="20"/>
                <w:szCs w:val="20"/>
                <w:lang w:eastAsia="ru-RU"/>
              </w:rPr>
              <w:t>%</w:t>
            </w:r>
          </w:p>
        </w:tc>
      </w:tr>
      <w:tr w:rsidR="008F0ACD" w:rsidRPr="00392094" w:rsidTr="00A25C21">
        <w:trPr>
          <w:trHeight w:val="54"/>
        </w:trPr>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color w:val="000000"/>
                <w:sz w:val="20"/>
                <w:szCs w:val="20"/>
                <w:lang w:eastAsia="ru-RU"/>
              </w:rPr>
            </w:pPr>
            <w:r w:rsidRPr="00392094">
              <w:rPr>
                <w:rFonts w:eastAsia="Times New Roman"/>
                <w:color w:val="000000"/>
                <w:sz w:val="20"/>
                <w:szCs w:val="20"/>
                <w:lang w:eastAsia="ru-RU"/>
              </w:rPr>
              <w:t>1.2.1.</w:t>
            </w:r>
          </w:p>
        </w:tc>
        <w:tc>
          <w:tcPr>
            <w:tcW w:w="4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left="196" w:firstLine="0"/>
              <w:jc w:val="left"/>
              <w:rPr>
                <w:rFonts w:eastAsia="Times New Roman"/>
                <w:color w:val="000000"/>
                <w:sz w:val="20"/>
                <w:szCs w:val="20"/>
                <w:lang w:eastAsia="ru-RU"/>
              </w:rPr>
            </w:pPr>
            <w:r w:rsidRPr="00392094">
              <w:rPr>
                <w:rFonts w:eastAsia="Times New Roman"/>
                <w:color w:val="000000"/>
                <w:sz w:val="20"/>
                <w:szCs w:val="20"/>
                <w:lang w:eastAsia="ru-RU"/>
              </w:rPr>
              <w:t>техперевооружение и реконструкция по высокому напряжению (ЛЭП, ПС)</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6 687</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9 467</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41,57</w:t>
            </w:r>
            <w:r>
              <w:rPr>
                <w:rFonts w:eastAsia="Times New Roman"/>
                <w:color w:val="000000"/>
                <w:sz w:val="20"/>
                <w:szCs w:val="20"/>
                <w:lang w:eastAsia="ru-RU"/>
              </w:rPr>
              <w:t xml:space="preserve"> </w:t>
            </w:r>
            <w:r w:rsidRPr="00392094">
              <w:rPr>
                <w:rFonts w:eastAsia="Times New Roman"/>
                <w:color w:val="000000"/>
                <w:sz w:val="20"/>
                <w:szCs w:val="20"/>
                <w:lang w:eastAsia="ru-RU"/>
              </w:rPr>
              <w:t>%</w:t>
            </w:r>
          </w:p>
        </w:tc>
      </w:tr>
      <w:tr w:rsidR="008F0ACD" w:rsidRPr="00392094" w:rsidTr="00A25C21">
        <w:trPr>
          <w:trHeight w:val="525"/>
        </w:trPr>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color w:val="000000"/>
                <w:sz w:val="20"/>
                <w:szCs w:val="20"/>
                <w:lang w:eastAsia="ru-RU"/>
              </w:rPr>
            </w:pPr>
            <w:r w:rsidRPr="00392094">
              <w:rPr>
                <w:rFonts w:eastAsia="Times New Roman"/>
                <w:color w:val="000000"/>
                <w:sz w:val="20"/>
                <w:szCs w:val="20"/>
                <w:lang w:eastAsia="ru-RU"/>
              </w:rPr>
              <w:t>1.2.2.</w:t>
            </w:r>
          </w:p>
        </w:tc>
        <w:tc>
          <w:tcPr>
            <w:tcW w:w="4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left="196" w:firstLine="4"/>
              <w:jc w:val="left"/>
              <w:rPr>
                <w:rFonts w:eastAsia="Times New Roman"/>
                <w:color w:val="000000"/>
                <w:sz w:val="20"/>
                <w:szCs w:val="20"/>
                <w:lang w:eastAsia="ru-RU"/>
              </w:rPr>
            </w:pPr>
            <w:r w:rsidRPr="00392094">
              <w:rPr>
                <w:rFonts w:eastAsia="Times New Roman"/>
                <w:color w:val="000000"/>
                <w:sz w:val="20"/>
                <w:szCs w:val="20"/>
                <w:lang w:eastAsia="ru-RU"/>
              </w:rPr>
              <w:t>новое строительство по высокому напряжению (ЛЭП, ПС)</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631</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47</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-92,55</w:t>
            </w:r>
            <w:r>
              <w:rPr>
                <w:rFonts w:eastAsia="Times New Roman"/>
                <w:color w:val="000000"/>
                <w:sz w:val="20"/>
                <w:szCs w:val="20"/>
                <w:lang w:eastAsia="ru-RU"/>
              </w:rPr>
              <w:t xml:space="preserve"> </w:t>
            </w:r>
            <w:r w:rsidRPr="00392094">
              <w:rPr>
                <w:rFonts w:eastAsia="Times New Roman"/>
                <w:color w:val="000000"/>
                <w:sz w:val="20"/>
                <w:szCs w:val="20"/>
                <w:lang w:eastAsia="ru-RU"/>
              </w:rPr>
              <w:t>%</w:t>
            </w:r>
          </w:p>
        </w:tc>
      </w:tr>
      <w:tr w:rsidR="008F0ACD" w:rsidRPr="00392094" w:rsidTr="00A25C21">
        <w:trPr>
          <w:trHeight w:val="525"/>
        </w:trPr>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b/>
                <w:bCs/>
                <w:color w:val="000000"/>
                <w:sz w:val="20"/>
                <w:szCs w:val="20"/>
                <w:lang w:eastAsia="ru-RU"/>
              </w:rPr>
            </w:pPr>
            <w:r w:rsidRPr="00392094">
              <w:rPr>
                <w:rFonts w:eastAsia="Times New Roman"/>
                <w:b/>
                <w:bCs/>
                <w:color w:val="000000"/>
                <w:sz w:val="20"/>
                <w:szCs w:val="20"/>
                <w:lang w:eastAsia="ru-RU"/>
              </w:rPr>
              <w:t>1.3.</w:t>
            </w:r>
          </w:p>
        </w:tc>
        <w:tc>
          <w:tcPr>
            <w:tcW w:w="4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b/>
                <w:bCs/>
                <w:color w:val="000000"/>
                <w:sz w:val="20"/>
                <w:szCs w:val="20"/>
                <w:lang w:eastAsia="ru-RU"/>
              </w:rPr>
            </w:pPr>
            <w:r w:rsidRPr="00392094">
              <w:rPr>
                <w:rFonts w:eastAsia="Times New Roman"/>
                <w:b/>
                <w:bCs/>
                <w:color w:val="000000"/>
                <w:sz w:val="20"/>
                <w:szCs w:val="20"/>
                <w:lang w:eastAsia="ru-RU"/>
              </w:rPr>
              <w:t>Объекты технологического присоединения (всего), в т.ч.:</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8 013</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8 267</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10 967</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32,66</w:t>
            </w:r>
            <w:r>
              <w:rPr>
                <w:rFonts w:eastAsia="Times New Roman"/>
                <w:b/>
                <w:bCs/>
                <w:color w:val="000000"/>
                <w:sz w:val="20"/>
                <w:szCs w:val="20"/>
                <w:lang w:eastAsia="ru-RU"/>
              </w:rPr>
              <w:t xml:space="preserve"> </w:t>
            </w:r>
            <w:r w:rsidRPr="00392094">
              <w:rPr>
                <w:rFonts w:eastAsia="Times New Roman"/>
                <w:b/>
                <w:bCs/>
                <w:color w:val="000000"/>
                <w:sz w:val="20"/>
                <w:szCs w:val="20"/>
                <w:lang w:eastAsia="ru-RU"/>
              </w:rPr>
              <w:t>%</w:t>
            </w:r>
          </w:p>
        </w:tc>
      </w:tr>
      <w:tr w:rsidR="008F0ACD" w:rsidRPr="00392094" w:rsidTr="00A25C21">
        <w:trPr>
          <w:trHeight w:val="54"/>
        </w:trPr>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color w:val="000000"/>
                <w:sz w:val="20"/>
                <w:szCs w:val="20"/>
                <w:lang w:eastAsia="ru-RU"/>
              </w:rPr>
            </w:pPr>
            <w:r w:rsidRPr="00392094">
              <w:rPr>
                <w:rFonts w:eastAsia="Times New Roman"/>
                <w:color w:val="000000"/>
                <w:sz w:val="20"/>
                <w:szCs w:val="20"/>
                <w:lang w:eastAsia="ru-RU"/>
              </w:rPr>
              <w:t>А)</w:t>
            </w:r>
          </w:p>
        </w:tc>
        <w:tc>
          <w:tcPr>
            <w:tcW w:w="4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Chars="300" w:firstLine="600"/>
              <w:jc w:val="left"/>
              <w:rPr>
                <w:rFonts w:eastAsia="Times New Roman"/>
                <w:color w:val="000000"/>
                <w:sz w:val="20"/>
                <w:szCs w:val="20"/>
                <w:lang w:eastAsia="ru-RU"/>
              </w:rPr>
            </w:pPr>
            <w:r w:rsidRPr="00392094">
              <w:rPr>
                <w:rFonts w:eastAsia="Times New Roman"/>
                <w:color w:val="000000"/>
                <w:sz w:val="20"/>
                <w:szCs w:val="20"/>
                <w:lang w:eastAsia="ru-RU"/>
              </w:rPr>
              <w:t xml:space="preserve">объекты ТП мощностью свыше 100 кВт </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6 799</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5 746</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6 285</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9,38</w:t>
            </w:r>
            <w:r>
              <w:rPr>
                <w:rFonts w:eastAsia="Times New Roman"/>
                <w:color w:val="000000"/>
                <w:sz w:val="20"/>
                <w:szCs w:val="20"/>
                <w:lang w:eastAsia="ru-RU"/>
              </w:rPr>
              <w:t xml:space="preserve"> </w:t>
            </w:r>
            <w:r w:rsidRPr="00392094">
              <w:rPr>
                <w:rFonts w:eastAsia="Times New Roman"/>
                <w:color w:val="000000"/>
                <w:sz w:val="20"/>
                <w:szCs w:val="20"/>
                <w:lang w:eastAsia="ru-RU"/>
              </w:rPr>
              <w:t>%</w:t>
            </w:r>
          </w:p>
        </w:tc>
      </w:tr>
      <w:tr w:rsidR="008F0ACD" w:rsidRPr="00392094" w:rsidTr="00A25C21">
        <w:trPr>
          <w:trHeight w:val="54"/>
        </w:trPr>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color w:val="000000"/>
                <w:sz w:val="20"/>
                <w:szCs w:val="20"/>
                <w:lang w:eastAsia="ru-RU"/>
              </w:rPr>
            </w:pPr>
            <w:r w:rsidRPr="00392094">
              <w:rPr>
                <w:rFonts w:eastAsia="Times New Roman"/>
                <w:color w:val="000000"/>
                <w:sz w:val="20"/>
                <w:szCs w:val="20"/>
                <w:lang w:eastAsia="ru-RU"/>
              </w:rPr>
              <w:t>Б)</w:t>
            </w:r>
          </w:p>
        </w:tc>
        <w:tc>
          <w:tcPr>
            <w:tcW w:w="4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Chars="300" w:firstLine="600"/>
              <w:jc w:val="left"/>
              <w:rPr>
                <w:rFonts w:eastAsia="Times New Roman"/>
                <w:color w:val="000000"/>
                <w:sz w:val="20"/>
                <w:szCs w:val="20"/>
                <w:lang w:eastAsia="ru-RU"/>
              </w:rPr>
            </w:pPr>
            <w:r w:rsidRPr="00392094">
              <w:rPr>
                <w:rFonts w:eastAsia="Times New Roman"/>
                <w:color w:val="000000"/>
                <w:sz w:val="20"/>
                <w:szCs w:val="20"/>
                <w:lang w:eastAsia="ru-RU"/>
              </w:rPr>
              <w:t>объекты ТП мощностью от 15 до 100 кВт</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185</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155</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383</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147,10</w:t>
            </w:r>
            <w:r>
              <w:rPr>
                <w:rFonts w:eastAsia="Times New Roman"/>
                <w:color w:val="000000"/>
                <w:sz w:val="20"/>
                <w:szCs w:val="20"/>
                <w:lang w:eastAsia="ru-RU"/>
              </w:rPr>
              <w:t xml:space="preserve"> </w:t>
            </w:r>
            <w:r w:rsidRPr="00392094">
              <w:rPr>
                <w:rFonts w:eastAsia="Times New Roman"/>
                <w:color w:val="000000"/>
                <w:sz w:val="20"/>
                <w:szCs w:val="20"/>
                <w:lang w:eastAsia="ru-RU"/>
              </w:rPr>
              <w:t>%</w:t>
            </w:r>
          </w:p>
        </w:tc>
      </w:tr>
      <w:tr w:rsidR="008F0ACD" w:rsidRPr="00392094" w:rsidTr="00A25C21">
        <w:trPr>
          <w:trHeight w:val="54"/>
        </w:trPr>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color w:val="000000"/>
                <w:sz w:val="20"/>
                <w:szCs w:val="20"/>
                <w:lang w:eastAsia="ru-RU"/>
              </w:rPr>
            </w:pPr>
            <w:r w:rsidRPr="00392094">
              <w:rPr>
                <w:rFonts w:eastAsia="Times New Roman"/>
                <w:color w:val="000000"/>
                <w:sz w:val="20"/>
                <w:szCs w:val="20"/>
                <w:lang w:eastAsia="ru-RU"/>
              </w:rPr>
              <w:t>В)</w:t>
            </w:r>
          </w:p>
        </w:tc>
        <w:tc>
          <w:tcPr>
            <w:tcW w:w="4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Chars="300" w:firstLine="600"/>
              <w:jc w:val="left"/>
              <w:rPr>
                <w:rFonts w:eastAsia="Times New Roman"/>
                <w:color w:val="000000"/>
                <w:sz w:val="20"/>
                <w:szCs w:val="20"/>
                <w:lang w:eastAsia="ru-RU"/>
              </w:rPr>
            </w:pPr>
            <w:r w:rsidRPr="00392094">
              <w:rPr>
                <w:rFonts w:eastAsia="Times New Roman"/>
                <w:color w:val="000000"/>
                <w:sz w:val="20"/>
                <w:szCs w:val="20"/>
                <w:lang w:eastAsia="ru-RU"/>
              </w:rPr>
              <w:t xml:space="preserve">объекты ТП мощностью до 15 кВт </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1 029</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2 366</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4 298</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81,66</w:t>
            </w:r>
            <w:r>
              <w:rPr>
                <w:rFonts w:eastAsia="Times New Roman"/>
                <w:color w:val="000000"/>
                <w:sz w:val="20"/>
                <w:szCs w:val="20"/>
                <w:lang w:eastAsia="ru-RU"/>
              </w:rPr>
              <w:t xml:space="preserve"> </w:t>
            </w:r>
            <w:r w:rsidRPr="00392094">
              <w:rPr>
                <w:rFonts w:eastAsia="Times New Roman"/>
                <w:color w:val="000000"/>
                <w:sz w:val="20"/>
                <w:szCs w:val="20"/>
                <w:lang w:eastAsia="ru-RU"/>
              </w:rPr>
              <w:t>%</w:t>
            </w:r>
          </w:p>
        </w:tc>
      </w:tr>
      <w:tr w:rsidR="008F0ACD" w:rsidRPr="00392094" w:rsidTr="00A25C21">
        <w:trPr>
          <w:trHeight w:val="54"/>
        </w:trPr>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color w:val="000000"/>
                <w:sz w:val="20"/>
                <w:szCs w:val="20"/>
                <w:lang w:eastAsia="ru-RU"/>
              </w:rPr>
            </w:pPr>
            <w:r w:rsidRPr="00392094">
              <w:rPr>
                <w:rFonts w:eastAsia="Times New Roman"/>
                <w:color w:val="000000"/>
                <w:sz w:val="20"/>
                <w:szCs w:val="20"/>
                <w:lang w:eastAsia="ru-RU"/>
              </w:rPr>
              <w:t>Г)</w:t>
            </w:r>
          </w:p>
        </w:tc>
        <w:tc>
          <w:tcPr>
            <w:tcW w:w="4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Chars="300" w:firstLine="600"/>
              <w:jc w:val="left"/>
              <w:rPr>
                <w:rFonts w:eastAsia="Times New Roman"/>
                <w:color w:val="000000"/>
                <w:sz w:val="20"/>
                <w:szCs w:val="20"/>
                <w:lang w:eastAsia="ru-RU"/>
              </w:rPr>
            </w:pPr>
            <w:r w:rsidRPr="00392094">
              <w:rPr>
                <w:rFonts w:eastAsia="Times New Roman"/>
                <w:color w:val="000000"/>
                <w:sz w:val="20"/>
                <w:szCs w:val="20"/>
                <w:lang w:eastAsia="ru-RU"/>
              </w:rPr>
              <w:t>генерация</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0</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0</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0</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 xml:space="preserve"> –</w:t>
            </w:r>
          </w:p>
        </w:tc>
      </w:tr>
      <w:tr w:rsidR="008F0ACD" w:rsidRPr="00392094" w:rsidTr="00A25C21">
        <w:trPr>
          <w:trHeight w:val="315"/>
        </w:trPr>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b/>
                <w:bCs/>
                <w:color w:val="000000"/>
                <w:sz w:val="20"/>
                <w:szCs w:val="20"/>
                <w:lang w:eastAsia="ru-RU"/>
              </w:rPr>
            </w:pPr>
            <w:r w:rsidRPr="00392094">
              <w:rPr>
                <w:rFonts w:eastAsia="Times New Roman"/>
                <w:b/>
                <w:bCs/>
                <w:color w:val="000000"/>
                <w:sz w:val="20"/>
                <w:szCs w:val="20"/>
                <w:lang w:eastAsia="ru-RU"/>
              </w:rPr>
              <w:t>1.4.</w:t>
            </w:r>
          </w:p>
        </w:tc>
        <w:tc>
          <w:tcPr>
            <w:tcW w:w="4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b/>
                <w:bCs/>
                <w:color w:val="000000"/>
                <w:sz w:val="20"/>
                <w:szCs w:val="20"/>
                <w:lang w:eastAsia="ru-RU"/>
              </w:rPr>
            </w:pPr>
            <w:r w:rsidRPr="00392094">
              <w:rPr>
                <w:rFonts w:eastAsia="Times New Roman"/>
                <w:b/>
                <w:bCs/>
                <w:color w:val="000000"/>
                <w:sz w:val="20"/>
                <w:szCs w:val="20"/>
                <w:lang w:eastAsia="ru-RU"/>
              </w:rPr>
              <w:t>Распределительные сети</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2 540</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5 056</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6 238</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23,38</w:t>
            </w:r>
            <w:r>
              <w:rPr>
                <w:rFonts w:eastAsia="Times New Roman"/>
                <w:b/>
                <w:bCs/>
                <w:color w:val="000000"/>
                <w:sz w:val="20"/>
                <w:szCs w:val="20"/>
                <w:lang w:eastAsia="ru-RU"/>
              </w:rPr>
              <w:t xml:space="preserve"> </w:t>
            </w:r>
            <w:r w:rsidRPr="00392094">
              <w:rPr>
                <w:rFonts w:eastAsia="Times New Roman"/>
                <w:b/>
                <w:bCs/>
                <w:color w:val="000000"/>
                <w:sz w:val="20"/>
                <w:szCs w:val="20"/>
                <w:lang w:eastAsia="ru-RU"/>
              </w:rPr>
              <w:t>%</w:t>
            </w:r>
          </w:p>
        </w:tc>
      </w:tr>
      <w:tr w:rsidR="008F0ACD" w:rsidRPr="00392094" w:rsidTr="00A25C21">
        <w:trPr>
          <w:trHeight w:val="315"/>
        </w:trPr>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color w:val="000000"/>
                <w:sz w:val="20"/>
                <w:szCs w:val="20"/>
                <w:lang w:eastAsia="ru-RU"/>
              </w:rPr>
            </w:pPr>
            <w:r w:rsidRPr="00392094">
              <w:rPr>
                <w:rFonts w:eastAsia="Times New Roman"/>
                <w:color w:val="000000"/>
                <w:sz w:val="20"/>
                <w:szCs w:val="20"/>
                <w:lang w:eastAsia="ru-RU"/>
              </w:rPr>
              <w:t>1.4.1.</w:t>
            </w:r>
          </w:p>
        </w:tc>
        <w:tc>
          <w:tcPr>
            <w:tcW w:w="4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color w:val="000000"/>
                <w:sz w:val="20"/>
                <w:szCs w:val="20"/>
                <w:lang w:eastAsia="ru-RU"/>
              </w:rPr>
            </w:pPr>
            <w:r w:rsidRPr="00392094">
              <w:rPr>
                <w:rFonts w:eastAsia="Times New Roman"/>
                <w:color w:val="000000"/>
                <w:sz w:val="20"/>
                <w:szCs w:val="20"/>
                <w:lang w:eastAsia="ru-RU"/>
              </w:rPr>
              <w:t>техперевооружение и реконструкция</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2 443</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4 601</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6 082</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32,20</w:t>
            </w:r>
            <w:r>
              <w:rPr>
                <w:rFonts w:eastAsia="Times New Roman"/>
                <w:color w:val="000000"/>
                <w:sz w:val="20"/>
                <w:szCs w:val="20"/>
                <w:lang w:eastAsia="ru-RU"/>
              </w:rPr>
              <w:t xml:space="preserve"> </w:t>
            </w:r>
            <w:r w:rsidRPr="00392094">
              <w:rPr>
                <w:rFonts w:eastAsia="Times New Roman"/>
                <w:color w:val="000000"/>
                <w:sz w:val="20"/>
                <w:szCs w:val="20"/>
                <w:lang w:eastAsia="ru-RU"/>
              </w:rPr>
              <w:t>%</w:t>
            </w:r>
          </w:p>
        </w:tc>
      </w:tr>
      <w:tr w:rsidR="008F0ACD" w:rsidRPr="00392094" w:rsidTr="00A25C21">
        <w:trPr>
          <w:trHeight w:val="315"/>
        </w:trPr>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color w:val="000000"/>
                <w:sz w:val="20"/>
                <w:szCs w:val="20"/>
                <w:lang w:eastAsia="ru-RU"/>
              </w:rPr>
            </w:pPr>
            <w:r w:rsidRPr="00392094">
              <w:rPr>
                <w:rFonts w:eastAsia="Times New Roman"/>
                <w:color w:val="000000"/>
                <w:sz w:val="20"/>
                <w:szCs w:val="20"/>
                <w:lang w:eastAsia="ru-RU"/>
              </w:rPr>
              <w:t>1.4.2.</w:t>
            </w:r>
          </w:p>
        </w:tc>
        <w:tc>
          <w:tcPr>
            <w:tcW w:w="4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color w:val="000000"/>
                <w:sz w:val="20"/>
                <w:szCs w:val="20"/>
                <w:lang w:eastAsia="ru-RU"/>
              </w:rPr>
            </w:pPr>
            <w:r w:rsidRPr="00392094">
              <w:rPr>
                <w:rFonts w:eastAsia="Times New Roman"/>
                <w:color w:val="000000"/>
                <w:sz w:val="20"/>
                <w:szCs w:val="20"/>
                <w:lang w:eastAsia="ru-RU"/>
              </w:rPr>
              <w:t>новое строительство</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96</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455</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156</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color w:val="000000"/>
                <w:sz w:val="20"/>
                <w:szCs w:val="20"/>
                <w:lang w:eastAsia="ru-RU"/>
              </w:rPr>
            </w:pPr>
            <w:r w:rsidRPr="00392094">
              <w:rPr>
                <w:rFonts w:eastAsia="Times New Roman"/>
                <w:color w:val="000000"/>
                <w:sz w:val="20"/>
                <w:szCs w:val="20"/>
                <w:lang w:eastAsia="ru-RU"/>
              </w:rPr>
              <w:t>-65,82</w:t>
            </w:r>
            <w:r>
              <w:rPr>
                <w:rFonts w:eastAsia="Times New Roman"/>
                <w:color w:val="000000"/>
                <w:sz w:val="20"/>
                <w:szCs w:val="20"/>
                <w:lang w:eastAsia="ru-RU"/>
              </w:rPr>
              <w:t xml:space="preserve"> </w:t>
            </w:r>
            <w:r w:rsidRPr="00392094">
              <w:rPr>
                <w:rFonts w:eastAsia="Times New Roman"/>
                <w:color w:val="000000"/>
                <w:sz w:val="20"/>
                <w:szCs w:val="20"/>
                <w:lang w:eastAsia="ru-RU"/>
              </w:rPr>
              <w:t>%</w:t>
            </w:r>
          </w:p>
        </w:tc>
      </w:tr>
      <w:tr w:rsidR="008F0ACD" w:rsidRPr="00392094" w:rsidTr="00A25C21">
        <w:trPr>
          <w:trHeight w:val="525"/>
        </w:trPr>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b/>
                <w:bCs/>
                <w:color w:val="000000"/>
                <w:sz w:val="20"/>
                <w:szCs w:val="20"/>
                <w:lang w:eastAsia="ru-RU"/>
              </w:rPr>
            </w:pPr>
            <w:r w:rsidRPr="00392094">
              <w:rPr>
                <w:rFonts w:eastAsia="Times New Roman"/>
                <w:b/>
                <w:bCs/>
                <w:color w:val="000000"/>
                <w:sz w:val="20"/>
                <w:szCs w:val="20"/>
                <w:lang w:eastAsia="ru-RU"/>
              </w:rPr>
              <w:t>1.5.</w:t>
            </w:r>
          </w:p>
        </w:tc>
        <w:tc>
          <w:tcPr>
            <w:tcW w:w="4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b/>
                <w:bCs/>
                <w:color w:val="000000"/>
                <w:sz w:val="20"/>
                <w:szCs w:val="20"/>
                <w:lang w:eastAsia="ru-RU"/>
              </w:rPr>
            </w:pPr>
            <w:r w:rsidRPr="00392094">
              <w:rPr>
                <w:rFonts w:eastAsia="Times New Roman"/>
                <w:b/>
                <w:bCs/>
                <w:color w:val="000000"/>
                <w:sz w:val="20"/>
                <w:szCs w:val="20"/>
                <w:lang w:eastAsia="ru-RU"/>
              </w:rPr>
              <w:t>Автоматизация технологического управления (кроме АИСКУЭ)</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1 132</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1 393</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1 597</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14,64</w:t>
            </w:r>
            <w:r>
              <w:rPr>
                <w:rFonts w:eastAsia="Times New Roman"/>
                <w:b/>
                <w:bCs/>
                <w:color w:val="000000"/>
                <w:sz w:val="20"/>
                <w:szCs w:val="20"/>
                <w:lang w:eastAsia="ru-RU"/>
              </w:rPr>
              <w:t xml:space="preserve"> </w:t>
            </w:r>
            <w:r w:rsidRPr="00392094">
              <w:rPr>
                <w:rFonts w:eastAsia="Times New Roman"/>
                <w:b/>
                <w:bCs/>
                <w:color w:val="000000"/>
                <w:sz w:val="20"/>
                <w:szCs w:val="20"/>
                <w:lang w:eastAsia="ru-RU"/>
              </w:rPr>
              <w:t>%</w:t>
            </w:r>
          </w:p>
        </w:tc>
      </w:tr>
      <w:tr w:rsidR="008F0ACD" w:rsidRPr="00392094" w:rsidTr="00A25C21">
        <w:trPr>
          <w:trHeight w:val="525"/>
        </w:trPr>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b/>
                <w:bCs/>
                <w:color w:val="000000"/>
                <w:sz w:val="20"/>
                <w:szCs w:val="20"/>
                <w:lang w:eastAsia="ru-RU"/>
              </w:rPr>
            </w:pPr>
            <w:r w:rsidRPr="00392094">
              <w:rPr>
                <w:rFonts w:eastAsia="Times New Roman"/>
                <w:b/>
                <w:bCs/>
                <w:color w:val="000000"/>
                <w:sz w:val="20"/>
                <w:szCs w:val="20"/>
                <w:lang w:eastAsia="ru-RU"/>
              </w:rPr>
              <w:t>1.6.</w:t>
            </w:r>
          </w:p>
        </w:tc>
        <w:tc>
          <w:tcPr>
            <w:tcW w:w="4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b/>
                <w:bCs/>
                <w:color w:val="000000"/>
                <w:sz w:val="20"/>
                <w:szCs w:val="20"/>
                <w:lang w:eastAsia="ru-RU"/>
              </w:rPr>
            </w:pPr>
            <w:r w:rsidRPr="00392094">
              <w:rPr>
                <w:rFonts w:eastAsia="Times New Roman"/>
                <w:b/>
                <w:bCs/>
                <w:color w:val="000000"/>
                <w:sz w:val="20"/>
                <w:szCs w:val="20"/>
                <w:lang w:eastAsia="ru-RU"/>
              </w:rPr>
              <w:t>Средства учета, контроля электроэнергии (АИСКУЭ)</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305</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423</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562</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32,86</w:t>
            </w:r>
            <w:r>
              <w:rPr>
                <w:rFonts w:eastAsia="Times New Roman"/>
                <w:b/>
                <w:bCs/>
                <w:color w:val="000000"/>
                <w:sz w:val="20"/>
                <w:szCs w:val="20"/>
                <w:lang w:eastAsia="ru-RU"/>
              </w:rPr>
              <w:t xml:space="preserve"> </w:t>
            </w:r>
            <w:r w:rsidRPr="00392094">
              <w:rPr>
                <w:rFonts w:eastAsia="Times New Roman"/>
                <w:b/>
                <w:bCs/>
                <w:color w:val="000000"/>
                <w:sz w:val="20"/>
                <w:szCs w:val="20"/>
                <w:lang w:eastAsia="ru-RU"/>
              </w:rPr>
              <w:t>%</w:t>
            </w:r>
          </w:p>
        </w:tc>
      </w:tr>
      <w:tr w:rsidR="008F0ACD" w:rsidRPr="00392094" w:rsidTr="00A25C21">
        <w:trPr>
          <w:trHeight w:val="315"/>
        </w:trPr>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b/>
                <w:bCs/>
                <w:color w:val="000000"/>
                <w:sz w:val="20"/>
                <w:szCs w:val="20"/>
                <w:lang w:eastAsia="ru-RU"/>
              </w:rPr>
            </w:pPr>
            <w:r w:rsidRPr="00392094">
              <w:rPr>
                <w:rFonts w:eastAsia="Times New Roman"/>
                <w:b/>
                <w:bCs/>
                <w:color w:val="000000"/>
                <w:sz w:val="20"/>
                <w:szCs w:val="20"/>
                <w:lang w:eastAsia="ru-RU"/>
              </w:rPr>
              <w:t>1.7.</w:t>
            </w:r>
          </w:p>
        </w:tc>
        <w:tc>
          <w:tcPr>
            <w:tcW w:w="4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b/>
                <w:bCs/>
                <w:color w:val="000000"/>
                <w:sz w:val="20"/>
                <w:szCs w:val="20"/>
                <w:lang w:eastAsia="ru-RU"/>
              </w:rPr>
            </w:pPr>
            <w:r w:rsidRPr="00392094">
              <w:rPr>
                <w:rFonts w:eastAsia="Times New Roman"/>
                <w:b/>
                <w:bCs/>
                <w:color w:val="000000"/>
                <w:sz w:val="20"/>
                <w:szCs w:val="20"/>
                <w:lang w:eastAsia="ru-RU"/>
              </w:rPr>
              <w:t>Программы по обеспечению безопасности</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126</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327</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463</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41,59</w:t>
            </w:r>
            <w:r>
              <w:rPr>
                <w:rFonts w:eastAsia="Times New Roman"/>
                <w:b/>
                <w:bCs/>
                <w:color w:val="000000"/>
                <w:sz w:val="20"/>
                <w:szCs w:val="20"/>
                <w:lang w:eastAsia="ru-RU"/>
              </w:rPr>
              <w:t xml:space="preserve"> </w:t>
            </w:r>
            <w:r w:rsidRPr="00392094">
              <w:rPr>
                <w:rFonts w:eastAsia="Times New Roman"/>
                <w:b/>
                <w:bCs/>
                <w:color w:val="000000"/>
                <w:sz w:val="20"/>
                <w:szCs w:val="20"/>
                <w:lang w:eastAsia="ru-RU"/>
              </w:rPr>
              <w:t>%</w:t>
            </w:r>
          </w:p>
        </w:tc>
      </w:tr>
      <w:tr w:rsidR="008F0ACD" w:rsidRPr="00392094" w:rsidTr="00A25C21">
        <w:trPr>
          <w:trHeight w:val="525"/>
        </w:trPr>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b/>
                <w:bCs/>
                <w:color w:val="000000"/>
                <w:sz w:val="20"/>
                <w:szCs w:val="20"/>
                <w:lang w:eastAsia="ru-RU"/>
              </w:rPr>
            </w:pPr>
            <w:r w:rsidRPr="00392094">
              <w:rPr>
                <w:rFonts w:eastAsia="Times New Roman"/>
                <w:b/>
                <w:bCs/>
                <w:color w:val="000000"/>
                <w:sz w:val="20"/>
                <w:szCs w:val="20"/>
                <w:lang w:eastAsia="ru-RU"/>
              </w:rPr>
              <w:t>1.8.</w:t>
            </w:r>
          </w:p>
        </w:tc>
        <w:tc>
          <w:tcPr>
            <w:tcW w:w="4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b/>
                <w:bCs/>
                <w:color w:val="000000"/>
                <w:sz w:val="20"/>
                <w:szCs w:val="20"/>
                <w:lang w:eastAsia="ru-RU"/>
              </w:rPr>
            </w:pPr>
            <w:r w:rsidRPr="00392094">
              <w:rPr>
                <w:rFonts w:eastAsia="Times New Roman"/>
                <w:b/>
                <w:bCs/>
                <w:color w:val="000000"/>
                <w:sz w:val="20"/>
                <w:szCs w:val="20"/>
                <w:lang w:eastAsia="ru-RU"/>
              </w:rPr>
              <w:t>Приобретение электросетевых активов, земельных участков и прочих объектов</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1 756</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4 004</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11 999</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199,68</w:t>
            </w:r>
            <w:r>
              <w:rPr>
                <w:rFonts w:eastAsia="Times New Roman"/>
                <w:b/>
                <w:bCs/>
                <w:color w:val="000000"/>
                <w:sz w:val="20"/>
                <w:szCs w:val="20"/>
                <w:lang w:eastAsia="ru-RU"/>
              </w:rPr>
              <w:t xml:space="preserve"> </w:t>
            </w:r>
            <w:r w:rsidRPr="00392094">
              <w:rPr>
                <w:rFonts w:eastAsia="Times New Roman"/>
                <w:b/>
                <w:bCs/>
                <w:color w:val="000000"/>
                <w:sz w:val="20"/>
                <w:szCs w:val="20"/>
                <w:lang w:eastAsia="ru-RU"/>
              </w:rPr>
              <w:t>%</w:t>
            </w:r>
          </w:p>
        </w:tc>
      </w:tr>
      <w:tr w:rsidR="008F0ACD" w:rsidRPr="00392094" w:rsidTr="00A25C21">
        <w:trPr>
          <w:trHeight w:val="315"/>
        </w:trPr>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b/>
                <w:bCs/>
                <w:color w:val="000000"/>
                <w:sz w:val="20"/>
                <w:szCs w:val="20"/>
                <w:lang w:eastAsia="ru-RU"/>
              </w:rPr>
            </w:pPr>
            <w:r w:rsidRPr="00392094">
              <w:rPr>
                <w:rFonts w:eastAsia="Times New Roman"/>
                <w:b/>
                <w:bCs/>
                <w:color w:val="000000"/>
                <w:sz w:val="20"/>
                <w:szCs w:val="20"/>
                <w:lang w:eastAsia="ru-RU"/>
              </w:rPr>
              <w:t>1.9.</w:t>
            </w:r>
          </w:p>
        </w:tc>
        <w:tc>
          <w:tcPr>
            <w:tcW w:w="4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left"/>
              <w:rPr>
                <w:rFonts w:eastAsia="Times New Roman"/>
                <w:b/>
                <w:bCs/>
                <w:color w:val="000000"/>
                <w:sz w:val="20"/>
                <w:szCs w:val="20"/>
                <w:lang w:eastAsia="ru-RU"/>
              </w:rPr>
            </w:pPr>
            <w:r w:rsidRPr="00392094">
              <w:rPr>
                <w:rFonts w:eastAsia="Times New Roman"/>
                <w:b/>
                <w:bCs/>
                <w:color w:val="000000"/>
                <w:sz w:val="20"/>
                <w:szCs w:val="20"/>
                <w:lang w:eastAsia="ru-RU"/>
              </w:rPr>
              <w:t>Прочие программы и мероприятия</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3 476</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1 540</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1 831</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ACD" w:rsidRPr="00392094" w:rsidRDefault="008F0ACD" w:rsidP="008F0ACD">
            <w:pPr>
              <w:ind w:firstLine="0"/>
              <w:jc w:val="right"/>
              <w:rPr>
                <w:rFonts w:eastAsia="Times New Roman"/>
                <w:b/>
                <w:bCs/>
                <w:color w:val="000000"/>
                <w:sz w:val="20"/>
                <w:szCs w:val="20"/>
                <w:lang w:eastAsia="ru-RU"/>
              </w:rPr>
            </w:pPr>
            <w:r w:rsidRPr="00392094">
              <w:rPr>
                <w:rFonts w:eastAsia="Times New Roman"/>
                <w:b/>
                <w:bCs/>
                <w:color w:val="000000"/>
                <w:sz w:val="20"/>
                <w:szCs w:val="20"/>
                <w:lang w:eastAsia="ru-RU"/>
              </w:rPr>
              <w:t>18,90</w:t>
            </w:r>
            <w:r>
              <w:rPr>
                <w:rFonts w:eastAsia="Times New Roman"/>
                <w:b/>
                <w:bCs/>
                <w:color w:val="000000"/>
                <w:sz w:val="20"/>
                <w:szCs w:val="20"/>
                <w:lang w:eastAsia="ru-RU"/>
              </w:rPr>
              <w:t xml:space="preserve"> </w:t>
            </w:r>
            <w:r w:rsidRPr="00392094">
              <w:rPr>
                <w:rFonts w:eastAsia="Times New Roman"/>
                <w:b/>
                <w:bCs/>
                <w:color w:val="000000"/>
                <w:sz w:val="20"/>
                <w:szCs w:val="20"/>
                <w:lang w:eastAsia="ru-RU"/>
              </w:rPr>
              <w:t>%</w:t>
            </w:r>
          </w:p>
        </w:tc>
      </w:tr>
    </w:tbl>
    <w:p w:rsidR="005923CF" w:rsidRDefault="005923CF" w:rsidP="005923CF">
      <w:pPr>
        <w:spacing w:before="120" w:after="120"/>
        <w:ind w:firstLine="0"/>
        <w:rPr>
          <w:rFonts w:eastAsia="Times New Roman"/>
          <w:color w:val="000000"/>
          <w:sz w:val="20"/>
          <w:szCs w:val="20"/>
          <w:lang w:eastAsia="ru-RU"/>
        </w:rPr>
      </w:pPr>
      <w:r w:rsidRPr="004761E0">
        <w:rPr>
          <w:rFonts w:eastAsia="Times New Roman"/>
          <w:color w:val="000000"/>
          <w:sz w:val="20"/>
          <w:szCs w:val="20"/>
          <w:lang w:eastAsia="ru-RU"/>
        </w:rPr>
        <w:t>*группировка отсутствует</w:t>
      </w:r>
    </w:p>
    <w:p w:rsidR="005923CF" w:rsidRPr="004761E0" w:rsidRDefault="005923CF" w:rsidP="005923CF">
      <w:pPr>
        <w:ind w:firstLine="0"/>
        <w:rPr>
          <w:b/>
          <w:sz w:val="26"/>
          <w:szCs w:val="26"/>
          <w:u w:val="single"/>
        </w:rPr>
      </w:pPr>
      <w:r w:rsidRPr="004761E0">
        <w:rPr>
          <w:b/>
          <w:noProof/>
          <w:sz w:val="26"/>
          <w:szCs w:val="26"/>
          <w:lang w:eastAsia="ru-RU"/>
        </w:rPr>
        <w:lastRenderedPageBreak/>
        <w:drawing>
          <wp:inline distT="0" distB="0" distL="0" distR="0">
            <wp:extent cx="2266121" cy="3140766"/>
            <wp:effectExtent l="19050" t="0" r="19879" b="2484"/>
            <wp:docPr id="62"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r w:rsidR="00DB376A" w:rsidRPr="004761E0">
        <w:rPr>
          <w:b/>
          <w:sz w:val="26"/>
          <w:szCs w:val="26"/>
          <w:u w:val="single"/>
        </w:rPr>
        <w:t xml:space="preserve"> </w:t>
      </w:r>
      <w:r w:rsidR="00DB376A" w:rsidRPr="004761E0">
        <w:rPr>
          <w:b/>
          <w:noProof/>
          <w:sz w:val="26"/>
          <w:szCs w:val="26"/>
          <w:u w:val="single"/>
          <w:lang w:eastAsia="ru-RU"/>
        </w:rPr>
        <w:drawing>
          <wp:inline distT="0" distB="0" distL="0" distR="0">
            <wp:extent cx="3757820" cy="3108960"/>
            <wp:effectExtent l="19050" t="0" r="14080" b="0"/>
            <wp:docPr id="29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5923CF" w:rsidRPr="004761E0" w:rsidRDefault="005923CF" w:rsidP="005923CF">
      <w:pPr>
        <w:pStyle w:val="a5"/>
        <w:ind w:left="0" w:firstLine="567"/>
        <w:contextualSpacing w:val="0"/>
        <w:rPr>
          <w:sz w:val="26"/>
          <w:szCs w:val="26"/>
        </w:rPr>
      </w:pPr>
      <w:r w:rsidRPr="004761E0">
        <w:rPr>
          <w:sz w:val="26"/>
          <w:szCs w:val="26"/>
        </w:rPr>
        <w:t>Ежегодное увеличение капитальных вложений происходит также и по остальным направлениям инвестиционной программы:</w:t>
      </w:r>
    </w:p>
    <w:p w:rsidR="005923CF" w:rsidRPr="004761E0" w:rsidRDefault="005923CF" w:rsidP="007076A7">
      <w:pPr>
        <w:pStyle w:val="a5"/>
        <w:numPr>
          <w:ilvl w:val="0"/>
          <w:numId w:val="99"/>
        </w:numPr>
        <w:ind w:left="1134" w:hanging="567"/>
        <w:contextualSpacing w:val="0"/>
        <w:rPr>
          <w:noProof/>
        </w:rPr>
      </w:pPr>
      <w:r w:rsidRPr="004761E0">
        <w:rPr>
          <w:sz w:val="26"/>
          <w:szCs w:val="26"/>
        </w:rPr>
        <w:t>по технологическому присоединению (рост на 32,66 %) за счет увеличения объема заявок новых потребителей;</w:t>
      </w:r>
    </w:p>
    <w:p w:rsidR="005923CF" w:rsidRPr="004761E0" w:rsidRDefault="005923CF" w:rsidP="007076A7">
      <w:pPr>
        <w:pStyle w:val="a5"/>
        <w:numPr>
          <w:ilvl w:val="0"/>
          <w:numId w:val="99"/>
        </w:numPr>
        <w:ind w:left="1134" w:hanging="567"/>
        <w:contextualSpacing w:val="0"/>
        <w:rPr>
          <w:noProof/>
        </w:rPr>
      </w:pPr>
      <w:r w:rsidRPr="004761E0">
        <w:rPr>
          <w:sz w:val="26"/>
          <w:szCs w:val="26"/>
        </w:rPr>
        <w:t>по распределительным сетям (рост на 23,38 %) в связи в растущим числом заявок по подключению потребителей к распределительной сети в рамках  договоров технологических присоединений, а также в связи с реализацией программы по замене провода на СИП;</w:t>
      </w:r>
    </w:p>
    <w:p w:rsidR="005923CF" w:rsidRPr="004761E0" w:rsidRDefault="005923CF" w:rsidP="007076A7">
      <w:pPr>
        <w:pStyle w:val="a5"/>
        <w:numPr>
          <w:ilvl w:val="0"/>
          <w:numId w:val="99"/>
        </w:numPr>
        <w:ind w:left="1134" w:hanging="567"/>
        <w:contextualSpacing w:val="0"/>
        <w:rPr>
          <w:noProof/>
        </w:rPr>
      </w:pPr>
      <w:r w:rsidRPr="004761E0">
        <w:rPr>
          <w:sz w:val="26"/>
          <w:szCs w:val="26"/>
        </w:rPr>
        <w:t>по программе внедрения систем АИСКУЭ (Автоматизированные информационные системы контроля и учета электроэнергии), направленной на сокращение несанкционированного потребления электроэнергии, снижение потерь в сетях, (рост на 32,86 %) за счет проведения соответствующих мероприятий;</w:t>
      </w:r>
    </w:p>
    <w:p w:rsidR="005923CF" w:rsidRPr="004761E0" w:rsidRDefault="005923CF" w:rsidP="007076A7">
      <w:pPr>
        <w:pStyle w:val="a5"/>
        <w:numPr>
          <w:ilvl w:val="0"/>
          <w:numId w:val="99"/>
        </w:numPr>
        <w:ind w:left="1134" w:hanging="567"/>
        <w:contextualSpacing w:val="0"/>
        <w:rPr>
          <w:noProof/>
        </w:rPr>
      </w:pPr>
      <w:r w:rsidRPr="004761E0">
        <w:rPr>
          <w:sz w:val="26"/>
          <w:szCs w:val="26"/>
        </w:rPr>
        <w:t>по обеспечению безопасности (рост на 41,59 %) в связи с особым вниманием к проведению антитеррористических мероприятий;</w:t>
      </w:r>
    </w:p>
    <w:p w:rsidR="005923CF" w:rsidRPr="004761E0" w:rsidRDefault="005923CF" w:rsidP="007076A7">
      <w:pPr>
        <w:pStyle w:val="a5"/>
        <w:numPr>
          <w:ilvl w:val="0"/>
          <w:numId w:val="99"/>
        </w:numPr>
        <w:ind w:left="1134" w:hanging="567"/>
        <w:contextualSpacing w:val="0"/>
        <w:rPr>
          <w:sz w:val="26"/>
          <w:szCs w:val="26"/>
        </w:rPr>
      </w:pPr>
      <w:r w:rsidRPr="004761E0">
        <w:rPr>
          <w:sz w:val="26"/>
          <w:szCs w:val="26"/>
        </w:rPr>
        <w:t>по прочим программам и мероприятиям, а именно рост по статье оборудование, не требующее монтажа, обусловлен нормативом, который определен в соответствии со сценарными условиями формирования инвестиционной программы.</w:t>
      </w:r>
    </w:p>
    <w:p w:rsidR="00136A10" w:rsidRPr="004761E0" w:rsidRDefault="00E34ACB" w:rsidP="009817EE">
      <w:pPr>
        <w:spacing w:before="120" w:after="120"/>
        <w:ind w:firstLine="567"/>
        <w:rPr>
          <w:b/>
          <w:sz w:val="26"/>
          <w:szCs w:val="26"/>
          <w:lang w:eastAsia="ru-RU"/>
        </w:rPr>
      </w:pPr>
      <w:bookmarkStart w:id="74" w:name="_Toc380576924"/>
      <w:bookmarkEnd w:id="72"/>
      <w:bookmarkEnd w:id="73"/>
      <w:r w:rsidRPr="005E74B6">
        <w:rPr>
          <w:rFonts w:eastAsia="Times New Roman"/>
          <w:b/>
          <w:iCs/>
          <w:color w:val="000000"/>
          <w:sz w:val="26"/>
          <w:szCs w:val="26"/>
          <w:lang w:eastAsia="ru-RU"/>
        </w:rPr>
        <w:t>Долгос</w:t>
      </w:r>
      <w:r w:rsidR="00136A10" w:rsidRPr="005E74B6">
        <w:rPr>
          <w:rFonts w:eastAsia="Times New Roman"/>
          <w:b/>
          <w:iCs/>
          <w:color w:val="000000"/>
          <w:sz w:val="26"/>
          <w:szCs w:val="26"/>
          <w:lang w:eastAsia="ru-RU"/>
        </w:rPr>
        <w:t>рочная инвестиционная программа</w:t>
      </w:r>
      <w:bookmarkEnd w:id="74"/>
    </w:p>
    <w:p w:rsidR="00C32653" w:rsidRPr="004761E0" w:rsidRDefault="00C32653" w:rsidP="00C32653">
      <w:pPr>
        <w:ind w:firstLine="567"/>
        <w:rPr>
          <w:rFonts w:eastAsia="Times New Roman"/>
          <w:color w:val="000000"/>
          <w:sz w:val="26"/>
          <w:szCs w:val="26"/>
          <w:lang w:eastAsia="ru-RU"/>
        </w:rPr>
      </w:pPr>
      <w:r w:rsidRPr="004761E0">
        <w:rPr>
          <w:rFonts w:eastAsia="Times New Roman"/>
          <w:color w:val="000000"/>
          <w:sz w:val="26"/>
          <w:szCs w:val="26"/>
          <w:lang w:eastAsia="ru-RU"/>
        </w:rPr>
        <w:t xml:space="preserve">Долгосрочная инвестиционная программа на 2012-2017 гг. сформирована на основании актуализированной Схемы и Программы перспективного развития электроэнергетики Московской области на период 2012-2017 гг., а также Программы снятия ограничений с закрытых и перегруженных подстанций г. Москвы на период 2012-2017 гг. </w:t>
      </w:r>
    </w:p>
    <w:p w:rsidR="00C32653" w:rsidRPr="004761E0" w:rsidRDefault="00C32653" w:rsidP="00C32653">
      <w:pPr>
        <w:ind w:firstLine="567"/>
        <w:rPr>
          <w:rFonts w:eastAsia="Times New Roman"/>
          <w:color w:val="000000"/>
          <w:sz w:val="26"/>
          <w:szCs w:val="26"/>
          <w:lang w:eastAsia="ru-RU"/>
        </w:rPr>
      </w:pPr>
      <w:r w:rsidRPr="004761E0">
        <w:rPr>
          <w:rFonts w:eastAsia="Times New Roman"/>
          <w:color w:val="000000"/>
          <w:sz w:val="26"/>
          <w:szCs w:val="26"/>
          <w:lang w:eastAsia="ru-RU"/>
        </w:rPr>
        <w:t>Долгосрочная инвестиционная программа на 2012-2017 гг. утверждена приказом Минэнерго России от 05.05.2012 № 241 и скорректирована в части 2013 года приказом Минэнерго России от 30.09.2013 № 667.</w:t>
      </w:r>
    </w:p>
    <w:p w:rsidR="00C32653" w:rsidRPr="004761E0" w:rsidRDefault="00C32653" w:rsidP="00C32653">
      <w:pPr>
        <w:ind w:firstLine="567"/>
        <w:rPr>
          <w:rFonts w:eastAsia="Times New Roman"/>
          <w:color w:val="000000"/>
          <w:sz w:val="26"/>
          <w:szCs w:val="26"/>
          <w:lang w:eastAsia="ru-RU"/>
        </w:rPr>
      </w:pPr>
      <w:r w:rsidRPr="004761E0">
        <w:rPr>
          <w:rFonts w:eastAsia="Times New Roman"/>
          <w:color w:val="000000"/>
          <w:sz w:val="26"/>
          <w:szCs w:val="26"/>
          <w:lang w:eastAsia="ru-RU"/>
        </w:rPr>
        <w:lastRenderedPageBreak/>
        <w:t>Основными задачами реализации долгосрочной инвестиционной программы являются:</w:t>
      </w:r>
    </w:p>
    <w:p w:rsidR="00C32653" w:rsidRPr="004761E0" w:rsidRDefault="00C32653" w:rsidP="007076A7">
      <w:pPr>
        <w:pStyle w:val="a5"/>
        <w:numPr>
          <w:ilvl w:val="0"/>
          <w:numId w:val="211"/>
        </w:numPr>
        <w:ind w:left="1134" w:hanging="567"/>
        <w:rPr>
          <w:rFonts w:eastAsia="Times New Roman"/>
          <w:color w:val="000000"/>
          <w:sz w:val="26"/>
          <w:szCs w:val="26"/>
          <w:lang w:eastAsia="ru-RU"/>
        </w:rPr>
      </w:pPr>
      <w:r w:rsidRPr="004761E0">
        <w:rPr>
          <w:rFonts w:eastAsia="Times New Roman"/>
          <w:color w:val="000000"/>
          <w:sz w:val="26"/>
          <w:szCs w:val="26"/>
          <w:lang w:eastAsia="ru-RU"/>
        </w:rPr>
        <w:t>обновление оборудования, необходимого для достаточного, надежного, бесперебойного энергоснабжения потребителей;</w:t>
      </w:r>
    </w:p>
    <w:p w:rsidR="00C32653" w:rsidRPr="004761E0" w:rsidRDefault="00C32653" w:rsidP="007076A7">
      <w:pPr>
        <w:pStyle w:val="a5"/>
        <w:numPr>
          <w:ilvl w:val="0"/>
          <w:numId w:val="211"/>
        </w:numPr>
        <w:ind w:left="1134" w:hanging="567"/>
        <w:rPr>
          <w:rFonts w:eastAsia="Times New Roman"/>
          <w:color w:val="000000"/>
          <w:sz w:val="26"/>
          <w:szCs w:val="26"/>
          <w:lang w:eastAsia="ru-RU"/>
        </w:rPr>
      </w:pPr>
      <w:r w:rsidRPr="004761E0">
        <w:rPr>
          <w:rFonts w:eastAsia="Times New Roman"/>
          <w:color w:val="000000"/>
          <w:sz w:val="26"/>
          <w:szCs w:val="26"/>
          <w:lang w:eastAsia="ru-RU"/>
        </w:rPr>
        <w:t>повышение безопасности работы оборудования, в т.ч. экологической;</w:t>
      </w:r>
    </w:p>
    <w:p w:rsidR="00C32653" w:rsidRPr="004761E0" w:rsidRDefault="00C32653" w:rsidP="007076A7">
      <w:pPr>
        <w:pStyle w:val="a5"/>
        <w:numPr>
          <w:ilvl w:val="0"/>
          <w:numId w:val="211"/>
        </w:numPr>
        <w:ind w:left="1134" w:hanging="567"/>
        <w:rPr>
          <w:rFonts w:eastAsia="Times New Roman"/>
          <w:color w:val="000000"/>
          <w:sz w:val="26"/>
          <w:szCs w:val="26"/>
          <w:lang w:eastAsia="ru-RU"/>
        </w:rPr>
      </w:pPr>
      <w:r w:rsidRPr="004761E0">
        <w:rPr>
          <w:rFonts w:eastAsia="Times New Roman"/>
          <w:color w:val="000000"/>
          <w:sz w:val="26"/>
          <w:szCs w:val="26"/>
          <w:lang w:eastAsia="ru-RU"/>
        </w:rPr>
        <w:t>введение новых мощностей для покрытия дефицита нагрузок или создания резерва мощности, в т.ч. обеспечение развития территорий Новой Москвы;</w:t>
      </w:r>
    </w:p>
    <w:p w:rsidR="00C32653" w:rsidRPr="004761E0" w:rsidRDefault="00C32653" w:rsidP="007076A7">
      <w:pPr>
        <w:pStyle w:val="a5"/>
        <w:numPr>
          <w:ilvl w:val="0"/>
          <w:numId w:val="211"/>
        </w:numPr>
        <w:ind w:left="1134" w:hanging="567"/>
        <w:rPr>
          <w:rFonts w:eastAsia="Times New Roman"/>
          <w:color w:val="000000"/>
          <w:sz w:val="26"/>
          <w:szCs w:val="26"/>
          <w:lang w:eastAsia="ru-RU"/>
        </w:rPr>
      </w:pPr>
      <w:r w:rsidRPr="004761E0">
        <w:rPr>
          <w:rFonts w:eastAsia="Times New Roman"/>
          <w:color w:val="000000"/>
          <w:sz w:val="26"/>
          <w:szCs w:val="26"/>
          <w:lang w:eastAsia="ru-RU"/>
        </w:rPr>
        <w:t>снижение производственных издержек, в т.ч. за счет повышения эффективности работы оборудования, применения более экономичных технических решений, снижения потерь;</w:t>
      </w:r>
    </w:p>
    <w:p w:rsidR="00C32653" w:rsidRPr="004761E0" w:rsidRDefault="00C32653" w:rsidP="007076A7">
      <w:pPr>
        <w:pStyle w:val="a5"/>
        <w:numPr>
          <w:ilvl w:val="0"/>
          <w:numId w:val="211"/>
        </w:numPr>
        <w:ind w:left="1134" w:hanging="567"/>
        <w:rPr>
          <w:rFonts w:eastAsia="Times New Roman"/>
          <w:color w:val="000000"/>
          <w:sz w:val="26"/>
          <w:szCs w:val="26"/>
          <w:lang w:eastAsia="ru-RU"/>
        </w:rPr>
      </w:pPr>
      <w:r w:rsidRPr="004761E0">
        <w:rPr>
          <w:rFonts w:eastAsia="Times New Roman"/>
          <w:color w:val="000000"/>
          <w:sz w:val="26"/>
          <w:szCs w:val="26"/>
          <w:lang w:eastAsia="ru-RU"/>
        </w:rPr>
        <w:t>обеспечение в полном объеме технологического присоединения;</w:t>
      </w:r>
    </w:p>
    <w:p w:rsidR="00C32653" w:rsidRPr="004761E0" w:rsidRDefault="00C32653" w:rsidP="007076A7">
      <w:pPr>
        <w:pStyle w:val="a5"/>
        <w:numPr>
          <w:ilvl w:val="0"/>
          <w:numId w:val="211"/>
        </w:numPr>
        <w:ind w:left="1134" w:hanging="567"/>
        <w:rPr>
          <w:rFonts w:eastAsia="Times New Roman"/>
          <w:color w:val="000000"/>
          <w:sz w:val="26"/>
          <w:szCs w:val="26"/>
          <w:lang w:eastAsia="ru-RU"/>
        </w:rPr>
      </w:pPr>
      <w:r w:rsidRPr="004761E0">
        <w:rPr>
          <w:rFonts w:eastAsia="Times New Roman"/>
          <w:color w:val="000000"/>
          <w:sz w:val="26"/>
          <w:szCs w:val="26"/>
          <w:lang w:eastAsia="ru-RU"/>
        </w:rPr>
        <w:t>обеспечение выдачи мощности вновь вводимых генерирующих объектов;</w:t>
      </w:r>
    </w:p>
    <w:p w:rsidR="00C32653" w:rsidRPr="004761E0" w:rsidRDefault="00C32653" w:rsidP="007076A7">
      <w:pPr>
        <w:pStyle w:val="a5"/>
        <w:numPr>
          <w:ilvl w:val="0"/>
          <w:numId w:val="211"/>
        </w:numPr>
        <w:ind w:left="1134" w:hanging="567"/>
        <w:rPr>
          <w:rFonts w:eastAsia="Times New Roman"/>
          <w:color w:val="000000"/>
          <w:sz w:val="26"/>
          <w:szCs w:val="26"/>
          <w:lang w:eastAsia="ru-RU"/>
        </w:rPr>
      </w:pPr>
      <w:r w:rsidRPr="004761E0">
        <w:rPr>
          <w:rFonts w:eastAsia="Times New Roman"/>
          <w:color w:val="000000"/>
          <w:sz w:val="26"/>
          <w:szCs w:val="26"/>
          <w:lang w:eastAsia="ru-RU"/>
        </w:rPr>
        <w:t>исполнение социально-ориентированных проектов;</w:t>
      </w:r>
    </w:p>
    <w:p w:rsidR="00C32653" w:rsidRPr="004761E0" w:rsidRDefault="00C32653" w:rsidP="007076A7">
      <w:pPr>
        <w:pStyle w:val="a5"/>
        <w:numPr>
          <w:ilvl w:val="0"/>
          <w:numId w:val="211"/>
        </w:numPr>
        <w:ind w:left="1134" w:hanging="567"/>
        <w:rPr>
          <w:rFonts w:eastAsia="Times New Roman"/>
          <w:color w:val="000000"/>
          <w:sz w:val="26"/>
          <w:szCs w:val="26"/>
          <w:lang w:eastAsia="ru-RU"/>
        </w:rPr>
      </w:pPr>
      <w:r w:rsidRPr="004761E0">
        <w:rPr>
          <w:rFonts w:eastAsia="Times New Roman"/>
          <w:color w:val="000000"/>
          <w:sz w:val="26"/>
          <w:szCs w:val="26"/>
          <w:lang w:eastAsia="ru-RU"/>
        </w:rPr>
        <w:t>достижение высокой загрузки вводимых мощностей и введение поэтапного строительства;</w:t>
      </w:r>
    </w:p>
    <w:p w:rsidR="00C32653" w:rsidRPr="004761E0" w:rsidRDefault="00C32653" w:rsidP="007076A7">
      <w:pPr>
        <w:pStyle w:val="a5"/>
        <w:numPr>
          <w:ilvl w:val="0"/>
          <w:numId w:val="211"/>
        </w:numPr>
        <w:ind w:left="1134" w:hanging="567"/>
        <w:rPr>
          <w:rFonts w:eastAsia="Times New Roman"/>
          <w:color w:val="000000"/>
          <w:sz w:val="26"/>
          <w:szCs w:val="26"/>
          <w:lang w:eastAsia="ru-RU"/>
        </w:rPr>
      </w:pPr>
      <w:r w:rsidRPr="004761E0">
        <w:rPr>
          <w:rFonts w:eastAsia="Times New Roman"/>
          <w:color w:val="000000"/>
          <w:sz w:val="26"/>
          <w:szCs w:val="26"/>
          <w:lang w:eastAsia="ru-RU"/>
        </w:rPr>
        <w:t>снижение удельной стоимости строительства за счёт внедрения типовых проектных (технических) решений, повышения прозрачности удельных затрат.</w:t>
      </w:r>
    </w:p>
    <w:p w:rsidR="00C32653" w:rsidRPr="004761E0" w:rsidRDefault="006E7283" w:rsidP="00C32653">
      <w:pPr>
        <w:ind w:firstLine="567"/>
        <w:rPr>
          <w:sz w:val="26"/>
          <w:szCs w:val="26"/>
        </w:rPr>
      </w:pPr>
      <w:r>
        <w:rPr>
          <w:sz w:val="26"/>
          <w:szCs w:val="26"/>
        </w:rPr>
        <w:t>П</w:t>
      </w:r>
      <w:r w:rsidR="00C32653" w:rsidRPr="004761E0">
        <w:rPr>
          <w:sz w:val="26"/>
          <w:szCs w:val="26"/>
        </w:rPr>
        <w:t>риказ</w:t>
      </w:r>
      <w:r>
        <w:rPr>
          <w:sz w:val="26"/>
          <w:szCs w:val="26"/>
        </w:rPr>
        <w:t>ом</w:t>
      </w:r>
      <w:r w:rsidR="00C32653" w:rsidRPr="004761E0">
        <w:rPr>
          <w:sz w:val="26"/>
          <w:szCs w:val="26"/>
        </w:rPr>
        <w:t xml:space="preserve"> Минэнерго России от 05.05.2012 № 241 </w:t>
      </w:r>
      <w:r>
        <w:rPr>
          <w:sz w:val="26"/>
          <w:szCs w:val="26"/>
        </w:rPr>
        <w:t xml:space="preserve">утверждены основные параметры долгосрочной инвестиционной программы, в том числе </w:t>
      </w:r>
      <w:r w:rsidR="00C32653" w:rsidRPr="004761E0">
        <w:rPr>
          <w:sz w:val="26"/>
          <w:szCs w:val="26"/>
        </w:rPr>
        <w:t>финансировани</w:t>
      </w:r>
      <w:r>
        <w:rPr>
          <w:sz w:val="26"/>
          <w:szCs w:val="26"/>
        </w:rPr>
        <w:t>е</w:t>
      </w:r>
      <w:r w:rsidR="00C32653" w:rsidRPr="004761E0">
        <w:rPr>
          <w:sz w:val="26"/>
          <w:szCs w:val="26"/>
        </w:rPr>
        <w:t xml:space="preserve"> и ввод в основные фонды.</w:t>
      </w:r>
    </w:p>
    <w:p w:rsidR="00C32653" w:rsidRPr="004761E0" w:rsidRDefault="00C32653" w:rsidP="00C32653">
      <w:pPr>
        <w:ind w:firstLine="567"/>
        <w:rPr>
          <w:rFonts w:eastAsia="Times New Roman"/>
          <w:color w:val="000000"/>
          <w:sz w:val="26"/>
          <w:szCs w:val="26"/>
          <w:lang w:eastAsia="ru-RU"/>
        </w:rPr>
      </w:pPr>
      <w:r w:rsidRPr="004761E0">
        <w:rPr>
          <w:rFonts w:eastAsia="Times New Roman"/>
          <w:color w:val="000000"/>
          <w:sz w:val="26"/>
          <w:szCs w:val="26"/>
          <w:lang w:eastAsia="ru-RU"/>
        </w:rPr>
        <w:t>Объем финансирования капитальных вложений в инвестиционной программе на 2014-2017 гг. составляет 184 246 млн руб., в т.ч. на техническое перевооружение и реконструкцию действующих энергообъектов предусмотрено 140 068 млн руб., на новое строительство и расширение – 44 179 млн руб.</w:t>
      </w:r>
    </w:p>
    <w:p w:rsidR="00C32653" w:rsidRPr="004761E0" w:rsidRDefault="00C32653" w:rsidP="00C32653">
      <w:pPr>
        <w:spacing w:before="120" w:after="120"/>
        <w:ind w:firstLine="567"/>
        <w:rPr>
          <w:b/>
          <w:sz w:val="26"/>
          <w:szCs w:val="26"/>
          <w:lang w:eastAsia="ru-RU"/>
        </w:rPr>
      </w:pPr>
      <w:r w:rsidRPr="004761E0">
        <w:rPr>
          <w:rFonts w:eastAsia="Times New Roman"/>
          <w:b/>
          <w:iCs/>
          <w:color w:val="000000"/>
          <w:sz w:val="26"/>
          <w:szCs w:val="26"/>
          <w:lang w:eastAsia="ru-RU"/>
        </w:rPr>
        <w:t>Стоимостные и физические параметры долгосрочной инвестиционной деятельности</w:t>
      </w:r>
    </w:p>
    <w:tbl>
      <w:tblPr>
        <w:tblW w:w="9945" w:type="dxa"/>
        <w:tblInd w:w="95" w:type="dxa"/>
        <w:tblLook w:val="04A0"/>
      </w:tblPr>
      <w:tblGrid>
        <w:gridCol w:w="580"/>
        <w:gridCol w:w="3686"/>
        <w:gridCol w:w="1143"/>
        <w:gridCol w:w="1134"/>
        <w:gridCol w:w="1134"/>
        <w:gridCol w:w="1134"/>
        <w:gridCol w:w="1127"/>
        <w:gridCol w:w="7"/>
      </w:tblGrid>
      <w:tr w:rsidR="00C32653" w:rsidRPr="00CC181E" w:rsidTr="00C32653">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C32653" w:rsidRPr="00CC181E" w:rsidRDefault="00C32653" w:rsidP="00C32653">
            <w:pPr>
              <w:ind w:firstLine="0"/>
              <w:jc w:val="left"/>
              <w:rPr>
                <w:rFonts w:eastAsia="Times New Roman"/>
                <w:b/>
                <w:color w:val="FFFFFF" w:themeColor="background1"/>
                <w:sz w:val="20"/>
                <w:szCs w:val="20"/>
                <w:lang w:eastAsia="ru-RU"/>
              </w:rPr>
            </w:pPr>
            <w:r w:rsidRPr="00CC181E">
              <w:rPr>
                <w:rFonts w:eastAsia="Times New Roman"/>
                <w:b/>
                <w:color w:val="FFFFFF" w:themeColor="background1"/>
                <w:sz w:val="20"/>
                <w:szCs w:val="20"/>
                <w:lang w:eastAsia="ru-RU"/>
              </w:rPr>
              <w:t>№ п/п</w:t>
            </w:r>
          </w:p>
        </w:tc>
        <w:tc>
          <w:tcPr>
            <w:tcW w:w="368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C32653" w:rsidRPr="00CC181E" w:rsidRDefault="00C32653" w:rsidP="00C32653">
            <w:pPr>
              <w:ind w:firstLine="0"/>
              <w:jc w:val="left"/>
              <w:rPr>
                <w:rFonts w:eastAsia="Times New Roman"/>
                <w:b/>
                <w:color w:val="FFFFFF" w:themeColor="background1"/>
                <w:sz w:val="20"/>
                <w:szCs w:val="20"/>
                <w:lang w:eastAsia="ru-RU"/>
              </w:rPr>
            </w:pPr>
            <w:r w:rsidRPr="00CC181E">
              <w:rPr>
                <w:rFonts w:eastAsia="Times New Roman"/>
                <w:b/>
                <w:color w:val="FFFFFF" w:themeColor="background1"/>
                <w:sz w:val="20"/>
                <w:szCs w:val="20"/>
                <w:lang w:eastAsia="ru-RU"/>
              </w:rPr>
              <w:t>Наименование категории</w:t>
            </w:r>
          </w:p>
        </w:tc>
        <w:tc>
          <w:tcPr>
            <w:tcW w:w="114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C32653" w:rsidRPr="00CC181E" w:rsidRDefault="00C32653" w:rsidP="00C32653">
            <w:pPr>
              <w:ind w:firstLine="0"/>
              <w:jc w:val="right"/>
              <w:rPr>
                <w:rFonts w:eastAsia="Times New Roman"/>
                <w:b/>
                <w:color w:val="FFFFFF" w:themeColor="background1"/>
                <w:sz w:val="20"/>
                <w:szCs w:val="20"/>
                <w:lang w:eastAsia="ru-RU"/>
              </w:rPr>
            </w:pPr>
            <w:r w:rsidRPr="00CC181E">
              <w:rPr>
                <w:rFonts w:eastAsia="Times New Roman"/>
                <w:b/>
                <w:color w:val="FFFFFF" w:themeColor="background1"/>
                <w:sz w:val="20"/>
                <w:szCs w:val="20"/>
                <w:lang w:eastAsia="ru-RU"/>
              </w:rPr>
              <w:t>2014</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C32653" w:rsidRPr="00CC181E" w:rsidRDefault="00C32653" w:rsidP="00C32653">
            <w:pPr>
              <w:ind w:firstLine="0"/>
              <w:jc w:val="right"/>
              <w:rPr>
                <w:rFonts w:eastAsia="Times New Roman"/>
                <w:b/>
                <w:color w:val="FFFFFF" w:themeColor="background1"/>
                <w:sz w:val="20"/>
                <w:szCs w:val="20"/>
                <w:lang w:eastAsia="ru-RU"/>
              </w:rPr>
            </w:pPr>
            <w:r w:rsidRPr="00CC181E">
              <w:rPr>
                <w:rFonts w:eastAsia="Times New Roman"/>
                <w:b/>
                <w:color w:val="FFFFFF" w:themeColor="background1"/>
                <w:sz w:val="20"/>
                <w:szCs w:val="20"/>
                <w:lang w:eastAsia="ru-RU"/>
              </w:rPr>
              <w:t>2015</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C32653" w:rsidRPr="00CC181E" w:rsidRDefault="00C32653" w:rsidP="00C32653">
            <w:pPr>
              <w:ind w:firstLine="0"/>
              <w:jc w:val="right"/>
              <w:rPr>
                <w:rFonts w:eastAsia="Times New Roman"/>
                <w:b/>
                <w:color w:val="FFFFFF" w:themeColor="background1"/>
                <w:sz w:val="20"/>
                <w:szCs w:val="20"/>
                <w:lang w:eastAsia="ru-RU"/>
              </w:rPr>
            </w:pPr>
            <w:r w:rsidRPr="00CC181E">
              <w:rPr>
                <w:rFonts w:eastAsia="Times New Roman"/>
                <w:b/>
                <w:color w:val="FFFFFF" w:themeColor="background1"/>
                <w:sz w:val="20"/>
                <w:szCs w:val="20"/>
                <w:lang w:eastAsia="ru-RU"/>
              </w:rPr>
              <w:t>2016</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C32653" w:rsidRPr="00CC181E" w:rsidRDefault="00C32653" w:rsidP="00C32653">
            <w:pPr>
              <w:ind w:firstLine="0"/>
              <w:jc w:val="right"/>
              <w:rPr>
                <w:rFonts w:eastAsia="Times New Roman"/>
                <w:b/>
                <w:color w:val="FFFFFF" w:themeColor="background1"/>
                <w:sz w:val="20"/>
                <w:szCs w:val="20"/>
                <w:lang w:eastAsia="ru-RU"/>
              </w:rPr>
            </w:pPr>
            <w:r w:rsidRPr="00CC181E">
              <w:rPr>
                <w:rFonts w:eastAsia="Times New Roman"/>
                <w:b/>
                <w:color w:val="FFFFFF" w:themeColor="background1"/>
                <w:sz w:val="20"/>
                <w:szCs w:val="20"/>
                <w:lang w:eastAsia="ru-RU"/>
              </w:rPr>
              <w:t>2017</w:t>
            </w:r>
          </w:p>
        </w:tc>
        <w:tc>
          <w:tcPr>
            <w:tcW w:w="1134" w:type="dxa"/>
            <w:gridSpan w:val="2"/>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tcPr>
          <w:p w:rsidR="00C32653" w:rsidRPr="00CC181E" w:rsidRDefault="00C32653" w:rsidP="00C32653">
            <w:pPr>
              <w:ind w:firstLine="0"/>
              <w:jc w:val="right"/>
              <w:rPr>
                <w:rFonts w:eastAsia="Times New Roman"/>
                <w:b/>
                <w:color w:val="FFFFFF" w:themeColor="background1"/>
                <w:sz w:val="20"/>
                <w:szCs w:val="20"/>
                <w:lang w:eastAsia="ru-RU"/>
              </w:rPr>
            </w:pPr>
            <w:r w:rsidRPr="00CC181E">
              <w:rPr>
                <w:rFonts w:eastAsia="Times New Roman"/>
                <w:b/>
                <w:color w:val="FFFFFF" w:themeColor="background1"/>
                <w:sz w:val="20"/>
                <w:szCs w:val="20"/>
                <w:lang w:eastAsia="ru-RU"/>
              </w:rPr>
              <w:t>2014-2017</w:t>
            </w:r>
          </w:p>
        </w:tc>
      </w:tr>
      <w:tr w:rsidR="00C32653" w:rsidRPr="00CC181E" w:rsidTr="00C32653">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2653" w:rsidRPr="00CC181E" w:rsidRDefault="00C32653" w:rsidP="007076A7">
            <w:pPr>
              <w:numPr>
                <w:ilvl w:val="0"/>
                <w:numId w:val="170"/>
              </w:numPr>
              <w:jc w:val="left"/>
              <w:rPr>
                <w:rFonts w:eastAsia="Times New Roman"/>
                <w:color w:val="000000"/>
                <w:sz w:val="20"/>
                <w:szCs w:val="20"/>
                <w:lang w:eastAsia="ru-RU"/>
              </w:rPr>
            </w:pPr>
          </w:p>
        </w:tc>
        <w:tc>
          <w:tcPr>
            <w:tcW w:w="3686" w:type="dxa"/>
            <w:tcBorders>
              <w:top w:val="single" w:sz="4" w:space="0" w:color="auto"/>
              <w:left w:val="nil"/>
              <w:bottom w:val="single" w:sz="4" w:space="0" w:color="auto"/>
              <w:right w:val="single" w:sz="4" w:space="0" w:color="auto"/>
            </w:tcBorders>
            <w:shd w:val="clear" w:color="auto" w:fill="auto"/>
            <w:vAlign w:val="center"/>
          </w:tcPr>
          <w:p w:rsidR="00C32653" w:rsidRPr="00CC181E" w:rsidRDefault="00081DF0" w:rsidP="00081DF0">
            <w:pPr>
              <w:tabs>
                <w:tab w:val="left" w:pos="1843"/>
              </w:tabs>
              <w:ind w:right="-1" w:firstLine="0"/>
              <w:jc w:val="left"/>
              <w:rPr>
                <w:sz w:val="20"/>
                <w:szCs w:val="20"/>
              </w:rPr>
            </w:pPr>
            <w:r>
              <w:rPr>
                <w:color w:val="000000"/>
                <w:sz w:val="20"/>
                <w:szCs w:val="20"/>
              </w:rPr>
              <w:t>Ка</w:t>
            </w:r>
            <w:r w:rsidR="00C32653" w:rsidRPr="00CC181E">
              <w:rPr>
                <w:color w:val="000000"/>
                <w:sz w:val="20"/>
                <w:szCs w:val="20"/>
              </w:rPr>
              <w:t>питальны</w:t>
            </w:r>
            <w:r>
              <w:rPr>
                <w:color w:val="000000"/>
                <w:sz w:val="20"/>
                <w:szCs w:val="20"/>
              </w:rPr>
              <w:t>е</w:t>
            </w:r>
            <w:r w:rsidR="00C32653" w:rsidRPr="00CC181E">
              <w:rPr>
                <w:color w:val="000000"/>
                <w:sz w:val="20"/>
                <w:szCs w:val="20"/>
              </w:rPr>
              <w:t xml:space="preserve"> вложени</w:t>
            </w:r>
            <w:r>
              <w:rPr>
                <w:color w:val="000000"/>
                <w:sz w:val="20"/>
                <w:szCs w:val="20"/>
              </w:rPr>
              <w:t>я</w:t>
            </w:r>
            <w:r w:rsidR="00C32653" w:rsidRPr="00CC181E">
              <w:rPr>
                <w:color w:val="000000"/>
                <w:sz w:val="20"/>
                <w:szCs w:val="20"/>
              </w:rPr>
              <w:t>, млн руб. без НДС</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C32653" w:rsidRPr="00CC181E" w:rsidRDefault="00C32653" w:rsidP="00C32653">
            <w:pPr>
              <w:ind w:firstLine="0"/>
              <w:jc w:val="right"/>
              <w:rPr>
                <w:rFonts w:eastAsia="Times New Roman"/>
                <w:color w:val="000000"/>
                <w:sz w:val="20"/>
                <w:szCs w:val="20"/>
                <w:lang w:eastAsia="ru-RU"/>
              </w:rPr>
            </w:pPr>
            <w:r w:rsidRPr="00CC181E">
              <w:rPr>
                <w:rFonts w:eastAsia="Times New Roman"/>
                <w:color w:val="000000"/>
                <w:sz w:val="20"/>
                <w:szCs w:val="20"/>
                <w:lang w:eastAsia="ru-RU"/>
              </w:rPr>
              <w:t>54 794</w:t>
            </w:r>
          </w:p>
        </w:tc>
        <w:tc>
          <w:tcPr>
            <w:tcW w:w="1134" w:type="dxa"/>
            <w:tcBorders>
              <w:top w:val="single" w:sz="4" w:space="0" w:color="auto"/>
              <w:left w:val="nil"/>
              <w:bottom w:val="single" w:sz="4" w:space="0" w:color="auto"/>
              <w:right w:val="single" w:sz="4" w:space="0" w:color="auto"/>
            </w:tcBorders>
            <w:shd w:val="clear" w:color="auto" w:fill="auto"/>
            <w:vAlign w:val="center"/>
          </w:tcPr>
          <w:p w:rsidR="00C32653" w:rsidRPr="00CC181E" w:rsidRDefault="00C32653" w:rsidP="00C32653">
            <w:pPr>
              <w:ind w:firstLine="0"/>
              <w:jc w:val="right"/>
              <w:rPr>
                <w:rFonts w:eastAsia="Times New Roman"/>
                <w:color w:val="000000"/>
                <w:sz w:val="20"/>
                <w:szCs w:val="20"/>
                <w:lang w:eastAsia="ru-RU"/>
              </w:rPr>
            </w:pPr>
            <w:r w:rsidRPr="00CC181E">
              <w:rPr>
                <w:rFonts w:eastAsia="Times New Roman"/>
                <w:color w:val="000000"/>
                <w:sz w:val="20"/>
                <w:szCs w:val="20"/>
                <w:lang w:eastAsia="ru-RU"/>
              </w:rPr>
              <w:t>41 066</w:t>
            </w:r>
          </w:p>
        </w:tc>
        <w:tc>
          <w:tcPr>
            <w:tcW w:w="1134" w:type="dxa"/>
            <w:tcBorders>
              <w:top w:val="single" w:sz="4" w:space="0" w:color="auto"/>
              <w:left w:val="nil"/>
              <w:bottom w:val="single" w:sz="4" w:space="0" w:color="auto"/>
              <w:right w:val="single" w:sz="4" w:space="0" w:color="auto"/>
            </w:tcBorders>
            <w:shd w:val="clear" w:color="auto" w:fill="auto"/>
            <w:vAlign w:val="center"/>
          </w:tcPr>
          <w:p w:rsidR="00C32653" w:rsidRPr="00CC181E" w:rsidRDefault="00C32653" w:rsidP="00C32653">
            <w:pPr>
              <w:ind w:firstLine="0"/>
              <w:jc w:val="right"/>
              <w:rPr>
                <w:rFonts w:eastAsia="Times New Roman"/>
                <w:color w:val="000000"/>
                <w:sz w:val="20"/>
                <w:szCs w:val="20"/>
                <w:lang w:eastAsia="ru-RU"/>
              </w:rPr>
            </w:pPr>
            <w:r w:rsidRPr="00CC181E">
              <w:rPr>
                <w:rFonts w:eastAsia="Times New Roman"/>
                <w:color w:val="000000"/>
                <w:sz w:val="20"/>
                <w:szCs w:val="20"/>
                <w:lang w:eastAsia="ru-RU"/>
              </w:rPr>
              <w:t>32 794</w:t>
            </w:r>
          </w:p>
        </w:tc>
        <w:tc>
          <w:tcPr>
            <w:tcW w:w="1134" w:type="dxa"/>
            <w:tcBorders>
              <w:top w:val="single" w:sz="4" w:space="0" w:color="auto"/>
              <w:left w:val="nil"/>
              <w:bottom w:val="single" w:sz="4" w:space="0" w:color="auto"/>
              <w:right w:val="single" w:sz="4" w:space="0" w:color="auto"/>
            </w:tcBorders>
            <w:shd w:val="clear" w:color="auto" w:fill="auto"/>
            <w:vAlign w:val="center"/>
          </w:tcPr>
          <w:p w:rsidR="00C32653" w:rsidRPr="00CC181E" w:rsidRDefault="00C32653" w:rsidP="00C32653">
            <w:pPr>
              <w:ind w:firstLine="0"/>
              <w:jc w:val="right"/>
              <w:rPr>
                <w:rFonts w:eastAsia="Times New Roman"/>
                <w:color w:val="000000"/>
                <w:sz w:val="20"/>
                <w:szCs w:val="20"/>
                <w:lang w:eastAsia="ru-RU"/>
              </w:rPr>
            </w:pPr>
            <w:r w:rsidRPr="00CC181E">
              <w:rPr>
                <w:rFonts w:eastAsia="Times New Roman"/>
                <w:color w:val="000000"/>
                <w:sz w:val="20"/>
                <w:szCs w:val="20"/>
                <w:lang w:eastAsia="ru-RU"/>
              </w:rPr>
              <w:t>32 440</w:t>
            </w:r>
          </w:p>
        </w:tc>
        <w:tc>
          <w:tcPr>
            <w:tcW w:w="1134" w:type="dxa"/>
            <w:gridSpan w:val="2"/>
            <w:tcBorders>
              <w:top w:val="single" w:sz="4" w:space="0" w:color="auto"/>
              <w:left w:val="nil"/>
              <w:bottom w:val="single" w:sz="4" w:space="0" w:color="auto"/>
              <w:right w:val="single" w:sz="4" w:space="0" w:color="auto"/>
            </w:tcBorders>
            <w:vAlign w:val="center"/>
          </w:tcPr>
          <w:p w:rsidR="00C32653" w:rsidRPr="00CC181E" w:rsidRDefault="00C32653" w:rsidP="00C32653">
            <w:pPr>
              <w:ind w:firstLine="0"/>
              <w:jc w:val="right"/>
              <w:rPr>
                <w:color w:val="000000"/>
                <w:sz w:val="20"/>
                <w:szCs w:val="20"/>
              </w:rPr>
            </w:pPr>
            <w:r w:rsidRPr="00CC181E">
              <w:rPr>
                <w:color w:val="000000"/>
                <w:sz w:val="20"/>
                <w:szCs w:val="20"/>
              </w:rPr>
              <w:t>161 094</w:t>
            </w:r>
          </w:p>
        </w:tc>
      </w:tr>
      <w:tr w:rsidR="00C32653" w:rsidRPr="00CC181E" w:rsidTr="00C32653">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32653" w:rsidRPr="00CC181E" w:rsidRDefault="00C32653" w:rsidP="007076A7">
            <w:pPr>
              <w:numPr>
                <w:ilvl w:val="0"/>
                <w:numId w:val="170"/>
              </w:numPr>
              <w:jc w:val="left"/>
              <w:rPr>
                <w:rFonts w:eastAsia="Times New Roman"/>
                <w:color w:val="000000"/>
                <w:sz w:val="20"/>
                <w:szCs w:val="20"/>
                <w:lang w:eastAsia="ru-RU"/>
              </w:rPr>
            </w:pPr>
          </w:p>
        </w:tc>
        <w:tc>
          <w:tcPr>
            <w:tcW w:w="3686" w:type="dxa"/>
            <w:tcBorders>
              <w:top w:val="single" w:sz="4" w:space="0" w:color="auto"/>
              <w:left w:val="nil"/>
              <w:bottom w:val="single" w:sz="4" w:space="0" w:color="auto"/>
              <w:right w:val="single" w:sz="4" w:space="0" w:color="auto"/>
            </w:tcBorders>
            <w:shd w:val="clear" w:color="auto" w:fill="auto"/>
            <w:vAlign w:val="center"/>
          </w:tcPr>
          <w:p w:rsidR="00C32653" w:rsidRPr="00CC181E" w:rsidRDefault="00C32653" w:rsidP="00C32653">
            <w:pPr>
              <w:tabs>
                <w:tab w:val="left" w:pos="1843"/>
              </w:tabs>
              <w:ind w:right="-1" w:firstLine="0"/>
              <w:jc w:val="left"/>
              <w:rPr>
                <w:color w:val="000000"/>
                <w:sz w:val="20"/>
                <w:szCs w:val="20"/>
              </w:rPr>
            </w:pPr>
            <w:r w:rsidRPr="00CC181E">
              <w:rPr>
                <w:color w:val="000000"/>
                <w:sz w:val="20"/>
                <w:szCs w:val="20"/>
              </w:rPr>
              <w:t>Ввод основных фондов, млн руб. без НДС</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C32653" w:rsidRPr="00CC181E" w:rsidRDefault="00C32653" w:rsidP="00C32653">
            <w:pPr>
              <w:ind w:firstLine="0"/>
              <w:jc w:val="right"/>
              <w:rPr>
                <w:rFonts w:eastAsia="Times New Roman"/>
                <w:color w:val="000000"/>
                <w:sz w:val="20"/>
                <w:szCs w:val="20"/>
                <w:lang w:eastAsia="ru-RU"/>
              </w:rPr>
            </w:pPr>
            <w:r w:rsidRPr="00CC181E">
              <w:rPr>
                <w:rFonts w:eastAsia="Times New Roman"/>
                <w:color w:val="000000"/>
                <w:sz w:val="20"/>
                <w:szCs w:val="20"/>
                <w:lang w:eastAsia="ru-RU"/>
              </w:rPr>
              <w:t>55 764</w:t>
            </w:r>
          </w:p>
        </w:tc>
        <w:tc>
          <w:tcPr>
            <w:tcW w:w="1134" w:type="dxa"/>
            <w:tcBorders>
              <w:top w:val="nil"/>
              <w:left w:val="nil"/>
              <w:bottom w:val="single" w:sz="4" w:space="0" w:color="auto"/>
              <w:right w:val="single" w:sz="4" w:space="0" w:color="auto"/>
            </w:tcBorders>
            <w:shd w:val="clear" w:color="auto" w:fill="auto"/>
            <w:vAlign w:val="center"/>
          </w:tcPr>
          <w:p w:rsidR="00C32653" w:rsidRPr="00CC181E" w:rsidRDefault="00C32653" w:rsidP="00C32653">
            <w:pPr>
              <w:ind w:firstLine="0"/>
              <w:jc w:val="right"/>
              <w:rPr>
                <w:rFonts w:eastAsia="Times New Roman"/>
                <w:color w:val="000000"/>
                <w:sz w:val="20"/>
                <w:szCs w:val="20"/>
                <w:lang w:eastAsia="ru-RU"/>
              </w:rPr>
            </w:pPr>
            <w:r w:rsidRPr="00CC181E">
              <w:rPr>
                <w:rFonts w:eastAsia="Times New Roman"/>
                <w:color w:val="000000"/>
                <w:sz w:val="20"/>
                <w:szCs w:val="20"/>
                <w:lang w:eastAsia="ru-RU"/>
              </w:rPr>
              <w:t>44 915</w:t>
            </w:r>
          </w:p>
        </w:tc>
        <w:tc>
          <w:tcPr>
            <w:tcW w:w="1134" w:type="dxa"/>
            <w:tcBorders>
              <w:top w:val="nil"/>
              <w:left w:val="nil"/>
              <w:bottom w:val="single" w:sz="4" w:space="0" w:color="auto"/>
              <w:right w:val="single" w:sz="4" w:space="0" w:color="auto"/>
            </w:tcBorders>
            <w:shd w:val="clear" w:color="auto" w:fill="auto"/>
            <w:vAlign w:val="center"/>
          </w:tcPr>
          <w:p w:rsidR="00C32653" w:rsidRPr="00CC181E" w:rsidRDefault="00C32653" w:rsidP="00C32653">
            <w:pPr>
              <w:ind w:firstLine="0"/>
              <w:jc w:val="right"/>
              <w:rPr>
                <w:rFonts w:eastAsia="Times New Roman"/>
                <w:color w:val="000000"/>
                <w:sz w:val="20"/>
                <w:szCs w:val="20"/>
                <w:lang w:eastAsia="ru-RU"/>
              </w:rPr>
            </w:pPr>
            <w:r w:rsidRPr="00CC181E">
              <w:rPr>
                <w:rFonts w:eastAsia="Times New Roman"/>
                <w:color w:val="000000"/>
                <w:sz w:val="20"/>
                <w:szCs w:val="20"/>
                <w:lang w:eastAsia="ru-RU"/>
              </w:rPr>
              <w:t>35 164</w:t>
            </w:r>
          </w:p>
        </w:tc>
        <w:tc>
          <w:tcPr>
            <w:tcW w:w="1134" w:type="dxa"/>
            <w:tcBorders>
              <w:top w:val="nil"/>
              <w:left w:val="nil"/>
              <w:bottom w:val="single" w:sz="4" w:space="0" w:color="auto"/>
              <w:right w:val="single" w:sz="4" w:space="0" w:color="auto"/>
            </w:tcBorders>
            <w:shd w:val="clear" w:color="auto" w:fill="auto"/>
            <w:vAlign w:val="center"/>
          </w:tcPr>
          <w:p w:rsidR="00C32653" w:rsidRPr="00CC181E" w:rsidRDefault="00C32653" w:rsidP="00C32653">
            <w:pPr>
              <w:ind w:firstLine="0"/>
              <w:jc w:val="right"/>
              <w:rPr>
                <w:rFonts w:eastAsia="Times New Roman"/>
                <w:color w:val="000000"/>
                <w:sz w:val="20"/>
                <w:szCs w:val="20"/>
                <w:lang w:eastAsia="ru-RU"/>
              </w:rPr>
            </w:pPr>
            <w:r w:rsidRPr="00CC181E">
              <w:rPr>
                <w:rFonts w:eastAsia="Times New Roman"/>
                <w:color w:val="000000"/>
                <w:sz w:val="20"/>
                <w:szCs w:val="20"/>
                <w:lang w:eastAsia="ru-RU"/>
              </w:rPr>
              <w:t>37 769</w:t>
            </w:r>
          </w:p>
        </w:tc>
        <w:tc>
          <w:tcPr>
            <w:tcW w:w="1134" w:type="dxa"/>
            <w:gridSpan w:val="2"/>
            <w:tcBorders>
              <w:top w:val="nil"/>
              <w:left w:val="nil"/>
              <w:bottom w:val="single" w:sz="4" w:space="0" w:color="auto"/>
              <w:right w:val="single" w:sz="4" w:space="0" w:color="auto"/>
            </w:tcBorders>
            <w:vAlign w:val="center"/>
          </w:tcPr>
          <w:p w:rsidR="00C32653" w:rsidRPr="00CC181E" w:rsidRDefault="00C32653" w:rsidP="00C32653">
            <w:pPr>
              <w:ind w:firstLine="0"/>
              <w:jc w:val="right"/>
              <w:rPr>
                <w:color w:val="000000"/>
                <w:sz w:val="20"/>
                <w:szCs w:val="20"/>
              </w:rPr>
            </w:pPr>
            <w:r w:rsidRPr="00CC181E">
              <w:rPr>
                <w:color w:val="000000"/>
                <w:sz w:val="20"/>
                <w:szCs w:val="20"/>
              </w:rPr>
              <w:t>173 612</w:t>
            </w:r>
          </w:p>
        </w:tc>
      </w:tr>
      <w:tr w:rsidR="00C32653" w:rsidRPr="00CC181E" w:rsidTr="00C32653">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32653" w:rsidRPr="00CC181E" w:rsidRDefault="00C32653" w:rsidP="007076A7">
            <w:pPr>
              <w:numPr>
                <w:ilvl w:val="0"/>
                <w:numId w:val="170"/>
              </w:numPr>
              <w:jc w:val="left"/>
              <w:rPr>
                <w:rFonts w:eastAsia="Times New Roman"/>
                <w:color w:val="000000"/>
                <w:sz w:val="20"/>
                <w:szCs w:val="20"/>
                <w:lang w:eastAsia="ru-RU"/>
              </w:rPr>
            </w:pPr>
          </w:p>
        </w:tc>
        <w:tc>
          <w:tcPr>
            <w:tcW w:w="3686" w:type="dxa"/>
            <w:tcBorders>
              <w:top w:val="single" w:sz="4" w:space="0" w:color="auto"/>
              <w:left w:val="nil"/>
              <w:bottom w:val="single" w:sz="4" w:space="0" w:color="auto"/>
              <w:right w:val="single" w:sz="4" w:space="0" w:color="auto"/>
            </w:tcBorders>
            <w:shd w:val="clear" w:color="auto" w:fill="auto"/>
            <w:vAlign w:val="center"/>
          </w:tcPr>
          <w:p w:rsidR="00C32653" w:rsidRPr="00CC181E" w:rsidRDefault="00C32653" w:rsidP="00C32653">
            <w:pPr>
              <w:tabs>
                <w:tab w:val="left" w:pos="1843"/>
              </w:tabs>
              <w:ind w:right="-1" w:firstLine="0"/>
              <w:jc w:val="left"/>
              <w:rPr>
                <w:color w:val="000000"/>
                <w:sz w:val="20"/>
                <w:szCs w:val="20"/>
              </w:rPr>
            </w:pPr>
            <w:r w:rsidRPr="00CC181E">
              <w:rPr>
                <w:color w:val="000000"/>
                <w:sz w:val="20"/>
                <w:szCs w:val="20"/>
              </w:rPr>
              <w:t>Финансирование, млн руб. с НДС</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C32653" w:rsidRPr="00CC181E" w:rsidRDefault="00C32653" w:rsidP="00C32653">
            <w:pPr>
              <w:ind w:firstLine="0"/>
              <w:jc w:val="right"/>
              <w:rPr>
                <w:rFonts w:eastAsia="Times New Roman"/>
                <w:color w:val="000000"/>
                <w:sz w:val="20"/>
                <w:szCs w:val="20"/>
                <w:lang w:eastAsia="ru-RU"/>
              </w:rPr>
            </w:pPr>
            <w:r w:rsidRPr="00CC181E">
              <w:rPr>
                <w:rFonts w:eastAsia="Times New Roman"/>
                <w:color w:val="000000"/>
                <w:sz w:val="20"/>
                <w:szCs w:val="20"/>
                <w:lang w:eastAsia="ru-RU"/>
              </w:rPr>
              <w:t>56 760</w:t>
            </w:r>
          </w:p>
        </w:tc>
        <w:tc>
          <w:tcPr>
            <w:tcW w:w="1134" w:type="dxa"/>
            <w:tcBorders>
              <w:top w:val="nil"/>
              <w:left w:val="nil"/>
              <w:bottom w:val="single" w:sz="4" w:space="0" w:color="auto"/>
              <w:right w:val="single" w:sz="4" w:space="0" w:color="auto"/>
            </w:tcBorders>
            <w:shd w:val="clear" w:color="auto" w:fill="auto"/>
            <w:vAlign w:val="center"/>
          </w:tcPr>
          <w:p w:rsidR="00C32653" w:rsidRPr="00CC181E" w:rsidRDefault="00C32653" w:rsidP="00C32653">
            <w:pPr>
              <w:ind w:firstLine="0"/>
              <w:jc w:val="right"/>
              <w:rPr>
                <w:rFonts w:eastAsia="Times New Roman"/>
                <w:color w:val="000000"/>
                <w:sz w:val="20"/>
                <w:szCs w:val="20"/>
                <w:lang w:eastAsia="ru-RU"/>
              </w:rPr>
            </w:pPr>
            <w:r w:rsidRPr="00CC181E">
              <w:rPr>
                <w:rFonts w:eastAsia="Times New Roman"/>
                <w:color w:val="000000"/>
                <w:sz w:val="20"/>
                <w:szCs w:val="20"/>
                <w:lang w:eastAsia="ru-RU"/>
              </w:rPr>
              <w:t>47 261</w:t>
            </w:r>
          </w:p>
        </w:tc>
        <w:tc>
          <w:tcPr>
            <w:tcW w:w="1134" w:type="dxa"/>
            <w:tcBorders>
              <w:top w:val="nil"/>
              <w:left w:val="nil"/>
              <w:bottom w:val="single" w:sz="4" w:space="0" w:color="auto"/>
              <w:right w:val="single" w:sz="4" w:space="0" w:color="auto"/>
            </w:tcBorders>
            <w:shd w:val="clear" w:color="auto" w:fill="auto"/>
            <w:vAlign w:val="center"/>
          </w:tcPr>
          <w:p w:rsidR="00C32653" w:rsidRPr="00CC181E" w:rsidRDefault="00C32653" w:rsidP="00C32653">
            <w:pPr>
              <w:ind w:firstLine="0"/>
              <w:jc w:val="right"/>
              <w:rPr>
                <w:rFonts w:eastAsia="Times New Roman"/>
                <w:color w:val="000000"/>
                <w:sz w:val="20"/>
                <w:szCs w:val="20"/>
                <w:lang w:eastAsia="ru-RU"/>
              </w:rPr>
            </w:pPr>
            <w:r w:rsidRPr="00CC181E">
              <w:rPr>
                <w:rFonts w:eastAsia="Times New Roman"/>
                <w:color w:val="000000"/>
                <w:sz w:val="20"/>
                <w:szCs w:val="20"/>
                <w:lang w:eastAsia="ru-RU"/>
              </w:rPr>
              <w:t>38 697</w:t>
            </w:r>
          </w:p>
        </w:tc>
        <w:tc>
          <w:tcPr>
            <w:tcW w:w="1134" w:type="dxa"/>
            <w:tcBorders>
              <w:top w:val="nil"/>
              <w:left w:val="nil"/>
              <w:bottom w:val="single" w:sz="4" w:space="0" w:color="auto"/>
              <w:right w:val="single" w:sz="4" w:space="0" w:color="auto"/>
            </w:tcBorders>
            <w:shd w:val="clear" w:color="auto" w:fill="auto"/>
            <w:vAlign w:val="center"/>
          </w:tcPr>
          <w:p w:rsidR="00C32653" w:rsidRPr="00CC181E" w:rsidRDefault="00C32653" w:rsidP="00C32653">
            <w:pPr>
              <w:ind w:firstLine="0"/>
              <w:jc w:val="right"/>
              <w:rPr>
                <w:rFonts w:eastAsia="Times New Roman"/>
                <w:color w:val="000000"/>
                <w:sz w:val="20"/>
                <w:szCs w:val="20"/>
                <w:lang w:eastAsia="ru-RU"/>
              </w:rPr>
            </w:pPr>
            <w:r w:rsidRPr="00CC181E">
              <w:rPr>
                <w:rFonts w:eastAsia="Times New Roman"/>
                <w:color w:val="000000"/>
                <w:sz w:val="20"/>
                <w:szCs w:val="20"/>
                <w:lang w:eastAsia="ru-RU"/>
              </w:rPr>
              <w:t>41 528</w:t>
            </w:r>
          </w:p>
        </w:tc>
        <w:tc>
          <w:tcPr>
            <w:tcW w:w="1134" w:type="dxa"/>
            <w:gridSpan w:val="2"/>
            <w:tcBorders>
              <w:top w:val="nil"/>
              <w:left w:val="nil"/>
              <w:bottom w:val="single" w:sz="4" w:space="0" w:color="auto"/>
              <w:right w:val="single" w:sz="4" w:space="0" w:color="auto"/>
            </w:tcBorders>
            <w:vAlign w:val="center"/>
          </w:tcPr>
          <w:p w:rsidR="00C32653" w:rsidRPr="00CC181E" w:rsidRDefault="00C32653" w:rsidP="00D95123">
            <w:pPr>
              <w:ind w:firstLine="0"/>
              <w:jc w:val="right"/>
              <w:rPr>
                <w:color w:val="000000"/>
                <w:sz w:val="20"/>
                <w:szCs w:val="20"/>
              </w:rPr>
            </w:pPr>
            <w:r w:rsidRPr="00CC181E">
              <w:rPr>
                <w:color w:val="000000"/>
                <w:sz w:val="20"/>
                <w:szCs w:val="20"/>
              </w:rPr>
              <w:t>184 24</w:t>
            </w:r>
            <w:r w:rsidR="00D95123" w:rsidRPr="00CC181E">
              <w:rPr>
                <w:color w:val="000000"/>
                <w:sz w:val="20"/>
                <w:szCs w:val="20"/>
              </w:rPr>
              <w:t>6</w:t>
            </w:r>
          </w:p>
        </w:tc>
      </w:tr>
      <w:tr w:rsidR="00C32653" w:rsidRPr="00CC181E" w:rsidTr="00C32653">
        <w:trPr>
          <w:gridAfter w:val="1"/>
          <w:wAfter w:w="7" w:type="dxa"/>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32653" w:rsidRPr="00CC181E" w:rsidRDefault="00C32653" w:rsidP="007076A7">
            <w:pPr>
              <w:numPr>
                <w:ilvl w:val="0"/>
                <w:numId w:val="170"/>
              </w:numPr>
              <w:jc w:val="left"/>
              <w:rPr>
                <w:rFonts w:eastAsia="Times New Roman"/>
                <w:color w:val="000000"/>
                <w:sz w:val="20"/>
                <w:szCs w:val="20"/>
                <w:lang w:eastAsia="ru-RU"/>
              </w:rPr>
            </w:pPr>
          </w:p>
        </w:tc>
        <w:tc>
          <w:tcPr>
            <w:tcW w:w="9358" w:type="dxa"/>
            <w:gridSpan w:val="6"/>
            <w:tcBorders>
              <w:top w:val="nil"/>
              <w:left w:val="nil"/>
              <w:bottom w:val="single" w:sz="4" w:space="0" w:color="auto"/>
              <w:right w:val="single" w:sz="4" w:space="0" w:color="auto"/>
            </w:tcBorders>
            <w:shd w:val="clear" w:color="auto" w:fill="auto"/>
            <w:vAlign w:val="center"/>
          </w:tcPr>
          <w:p w:rsidR="00C32653" w:rsidRPr="00CC181E" w:rsidRDefault="00C32653" w:rsidP="00C32653">
            <w:pPr>
              <w:ind w:firstLine="0"/>
              <w:jc w:val="left"/>
              <w:rPr>
                <w:color w:val="000000"/>
                <w:sz w:val="20"/>
                <w:szCs w:val="20"/>
              </w:rPr>
            </w:pPr>
            <w:r w:rsidRPr="00CC181E">
              <w:rPr>
                <w:color w:val="000000"/>
                <w:sz w:val="20"/>
                <w:szCs w:val="20"/>
              </w:rPr>
              <w:t>Ввод основных фондов:</w:t>
            </w:r>
          </w:p>
        </w:tc>
      </w:tr>
      <w:tr w:rsidR="00C32653" w:rsidRPr="00CC181E" w:rsidTr="00C32653">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C32653" w:rsidRPr="00CC181E" w:rsidRDefault="00C32653" w:rsidP="007076A7">
            <w:pPr>
              <w:pStyle w:val="a5"/>
              <w:numPr>
                <w:ilvl w:val="1"/>
                <w:numId w:val="170"/>
              </w:numPr>
              <w:jc w:val="left"/>
              <w:rPr>
                <w:rFonts w:eastAsia="Times New Roman"/>
                <w:color w:val="000000"/>
                <w:sz w:val="20"/>
                <w:szCs w:val="20"/>
                <w:lang w:eastAsia="ru-RU"/>
              </w:rPr>
            </w:pPr>
          </w:p>
        </w:tc>
        <w:tc>
          <w:tcPr>
            <w:tcW w:w="3686" w:type="dxa"/>
            <w:tcBorders>
              <w:top w:val="single" w:sz="4" w:space="0" w:color="auto"/>
              <w:left w:val="nil"/>
              <w:bottom w:val="single" w:sz="4" w:space="0" w:color="auto"/>
              <w:right w:val="single" w:sz="4" w:space="0" w:color="auto"/>
            </w:tcBorders>
            <w:shd w:val="clear" w:color="auto" w:fill="auto"/>
            <w:vAlign w:val="center"/>
          </w:tcPr>
          <w:p w:rsidR="00C32653" w:rsidRPr="00CC181E" w:rsidRDefault="00C32653" w:rsidP="00C32653">
            <w:pPr>
              <w:tabs>
                <w:tab w:val="left" w:pos="1843"/>
              </w:tabs>
              <w:ind w:left="459" w:right="-1" w:firstLine="0"/>
              <w:jc w:val="left"/>
              <w:rPr>
                <w:color w:val="000000"/>
                <w:sz w:val="20"/>
                <w:szCs w:val="20"/>
              </w:rPr>
            </w:pPr>
            <w:r w:rsidRPr="00CC181E">
              <w:rPr>
                <w:color w:val="000000"/>
                <w:sz w:val="20"/>
                <w:szCs w:val="20"/>
              </w:rPr>
              <w:t>трансформаторной мощности, МВА</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C32653" w:rsidRPr="00CC181E" w:rsidRDefault="00C32653" w:rsidP="00C32653">
            <w:pPr>
              <w:ind w:firstLine="0"/>
              <w:jc w:val="right"/>
              <w:rPr>
                <w:rFonts w:eastAsia="Times New Roman"/>
                <w:color w:val="000000"/>
                <w:sz w:val="20"/>
                <w:szCs w:val="20"/>
                <w:lang w:eastAsia="ru-RU"/>
              </w:rPr>
            </w:pPr>
            <w:r w:rsidRPr="00CC181E">
              <w:rPr>
                <w:rFonts w:eastAsia="Times New Roman"/>
                <w:color w:val="000000"/>
                <w:sz w:val="20"/>
                <w:szCs w:val="20"/>
                <w:lang w:eastAsia="ru-RU"/>
              </w:rPr>
              <w:t>5 884</w:t>
            </w:r>
          </w:p>
        </w:tc>
        <w:tc>
          <w:tcPr>
            <w:tcW w:w="1134" w:type="dxa"/>
            <w:tcBorders>
              <w:top w:val="single" w:sz="4" w:space="0" w:color="auto"/>
              <w:left w:val="nil"/>
              <w:bottom w:val="single" w:sz="4" w:space="0" w:color="auto"/>
              <w:right w:val="single" w:sz="4" w:space="0" w:color="auto"/>
            </w:tcBorders>
            <w:shd w:val="clear" w:color="auto" w:fill="auto"/>
            <w:vAlign w:val="center"/>
          </w:tcPr>
          <w:p w:rsidR="00C32653" w:rsidRPr="00CC181E" w:rsidRDefault="00C32653" w:rsidP="00C32653">
            <w:pPr>
              <w:ind w:firstLine="0"/>
              <w:jc w:val="right"/>
              <w:rPr>
                <w:rFonts w:eastAsia="Times New Roman"/>
                <w:color w:val="000000"/>
                <w:sz w:val="20"/>
                <w:szCs w:val="20"/>
                <w:lang w:eastAsia="ru-RU"/>
              </w:rPr>
            </w:pPr>
            <w:r w:rsidRPr="00CC181E">
              <w:rPr>
                <w:rFonts w:eastAsia="Times New Roman"/>
                <w:color w:val="000000"/>
                <w:sz w:val="20"/>
                <w:szCs w:val="20"/>
                <w:lang w:eastAsia="ru-RU"/>
              </w:rPr>
              <w:t>4 233</w:t>
            </w:r>
          </w:p>
        </w:tc>
        <w:tc>
          <w:tcPr>
            <w:tcW w:w="1134" w:type="dxa"/>
            <w:tcBorders>
              <w:top w:val="single" w:sz="4" w:space="0" w:color="auto"/>
              <w:left w:val="nil"/>
              <w:bottom w:val="single" w:sz="4" w:space="0" w:color="auto"/>
              <w:right w:val="single" w:sz="4" w:space="0" w:color="auto"/>
            </w:tcBorders>
            <w:shd w:val="clear" w:color="auto" w:fill="auto"/>
            <w:vAlign w:val="center"/>
          </w:tcPr>
          <w:p w:rsidR="00C32653" w:rsidRPr="00CC181E" w:rsidRDefault="00C32653" w:rsidP="00C32653">
            <w:pPr>
              <w:ind w:firstLine="0"/>
              <w:jc w:val="right"/>
              <w:rPr>
                <w:rFonts w:eastAsia="Times New Roman"/>
                <w:color w:val="000000"/>
                <w:sz w:val="20"/>
                <w:szCs w:val="20"/>
                <w:lang w:eastAsia="ru-RU"/>
              </w:rPr>
            </w:pPr>
            <w:r w:rsidRPr="00CC181E">
              <w:rPr>
                <w:rFonts w:eastAsia="Times New Roman"/>
                <w:color w:val="000000"/>
                <w:sz w:val="20"/>
                <w:szCs w:val="20"/>
                <w:lang w:eastAsia="ru-RU"/>
              </w:rPr>
              <w:t>3 980</w:t>
            </w:r>
          </w:p>
        </w:tc>
        <w:tc>
          <w:tcPr>
            <w:tcW w:w="1134" w:type="dxa"/>
            <w:tcBorders>
              <w:top w:val="single" w:sz="4" w:space="0" w:color="auto"/>
              <w:left w:val="nil"/>
              <w:bottom w:val="single" w:sz="4" w:space="0" w:color="auto"/>
              <w:right w:val="single" w:sz="4" w:space="0" w:color="auto"/>
            </w:tcBorders>
            <w:shd w:val="clear" w:color="auto" w:fill="auto"/>
            <w:vAlign w:val="center"/>
          </w:tcPr>
          <w:p w:rsidR="00C32653" w:rsidRPr="00CC181E" w:rsidRDefault="00C32653" w:rsidP="00C32653">
            <w:pPr>
              <w:ind w:firstLine="0"/>
              <w:jc w:val="right"/>
              <w:rPr>
                <w:rFonts w:eastAsia="Times New Roman"/>
                <w:color w:val="000000"/>
                <w:sz w:val="20"/>
                <w:szCs w:val="20"/>
                <w:lang w:eastAsia="ru-RU"/>
              </w:rPr>
            </w:pPr>
            <w:r w:rsidRPr="00CC181E">
              <w:rPr>
                <w:rFonts w:eastAsia="Times New Roman"/>
                <w:color w:val="000000"/>
                <w:sz w:val="20"/>
                <w:szCs w:val="20"/>
                <w:lang w:eastAsia="ru-RU"/>
              </w:rPr>
              <w:t>2 485</w:t>
            </w:r>
          </w:p>
        </w:tc>
        <w:tc>
          <w:tcPr>
            <w:tcW w:w="1134" w:type="dxa"/>
            <w:gridSpan w:val="2"/>
            <w:tcBorders>
              <w:top w:val="single" w:sz="4" w:space="0" w:color="auto"/>
              <w:left w:val="nil"/>
              <w:bottom w:val="single" w:sz="4" w:space="0" w:color="auto"/>
              <w:right w:val="single" w:sz="4" w:space="0" w:color="auto"/>
            </w:tcBorders>
            <w:vAlign w:val="center"/>
          </w:tcPr>
          <w:p w:rsidR="00C32653" w:rsidRPr="00CC181E" w:rsidRDefault="00C32653" w:rsidP="00C32653">
            <w:pPr>
              <w:ind w:firstLine="0"/>
              <w:jc w:val="right"/>
              <w:rPr>
                <w:color w:val="000000"/>
                <w:sz w:val="20"/>
                <w:szCs w:val="20"/>
              </w:rPr>
            </w:pPr>
            <w:r w:rsidRPr="00CC181E">
              <w:rPr>
                <w:color w:val="000000"/>
                <w:sz w:val="20"/>
                <w:szCs w:val="20"/>
              </w:rPr>
              <w:t>16 582</w:t>
            </w:r>
          </w:p>
        </w:tc>
      </w:tr>
      <w:tr w:rsidR="00C32653" w:rsidRPr="00CC181E" w:rsidTr="00C32653">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C32653" w:rsidRPr="00CC181E" w:rsidRDefault="00C32653" w:rsidP="007076A7">
            <w:pPr>
              <w:pStyle w:val="a5"/>
              <w:numPr>
                <w:ilvl w:val="1"/>
                <w:numId w:val="170"/>
              </w:numPr>
              <w:jc w:val="left"/>
              <w:rPr>
                <w:rFonts w:eastAsia="Times New Roman"/>
                <w:color w:val="000000"/>
                <w:sz w:val="20"/>
                <w:szCs w:val="20"/>
                <w:lang w:eastAsia="ru-RU"/>
              </w:rPr>
            </w:pPr>
          </w:p>
        </w:tc>
        <w:tc>
          <w:tcPr>
            <w:tcW w:w="3686" w:type="dxa"/>
            <w:tcBorders>
              <w:top w:val="single" w:sz="4" w:space="0" w:color="auto"/>
              <w:left w:val="nil"/>
              <w:bottom w:val="single" w:sz="4" w:space="0" w:color="auto"/>
              <w:right w:val="single" w:sz="4" w:space="0" w:color="auto"/>
            </w:tcBorders>
            <w:shd w:val="clear" w:color="auto" w:fill="auto"/>
            <w:vAlign w:val="center"/>
          </w:tcPr>
          <w:p w:rsidR="00C32653" w:rsidRPr="00CC181E" w:rsidRDefault="00C32653" w:rsidP="00C32653">
            <w:pPr>
              <w:tabs>
                <w:tab w:val="left" w:pos="1843"/>
              </w:tabs>
              <w:ind w:left="459" w:right="-1" w:firstLine="0"/>
              <w:jc w:val="left"/>
              <w:rPr>
                <w:sz w:val="20"/>
                <w:szCs w:val="20"/>
              </w:rPr>
            </w:pPr>
            <w:r w:rsidRPr="00CC181E">
              <w:rPr>
                <w:color w:val="000000"/>
                <w:sz w:val="20"/>
                <w:szCs w:val="20"/>
              </w:rPr>
              <w:t>линий электропередач, км</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C32653" w:rsidRPr="00CC181E" w:rsidRDefault="00C32653" w:rsidP="00C32653">
            <w:pPr>
              <w:ind w:firstLine="0"/>
              <w:jc w:val="right"/>
              <w:rPr>
                <w:rFonts w:eastAsia="Times New Roman"/>
                <w:color w:val="000000"/>
                <w:sz w:val="20"/>
                <w:szCs w:val="20"/>
                <w:lang w:eastAsia="ru-RU"/>
              </w:rPr>
            </w:pPr>
            <w:r w:rsidRPr="00CC181E">
              <w:rPr>
                <w:rFonts w:eastAsia="Times New Roman"/>
                <w:color w:val="000000"/>
                <w:sz w:val="20"/>
                <w:szCs w:val="20"/>
                <w:lang w:eastAsia="ru-RU"/>
              </w:rPr>
              <w:t>2 362</w:t>
            </w:r>
          </w:p>
        </w:tc>
        <w:tc>
          <w:tcPr>
            <w:tcW w:w="1134" w:type="dxa"/>
            <w:tcBorders>
              <w:top w:val="single" w:sz="4" w:space="0" w:color="auto"/>
              <w:left w:val="nil"/>
              <w:bottom w:val="single" w:sz="4" w:space="0" w:color="auto"/>
              <w:right w:val="single" w:sz="4" w:space="0" w:color="auto"/>
            </w:tcBorders>
            <w:shd w:val="clear" w:color="auto" w:fill="auto"/>
            <w:vAlign w:val="center"/>
          </w:tcPr>
          <w:p w:rsidR="00C32653" w:rsidRPr="00CC181E" w:rsidRDefault="00C32653" w:rsidP="00C32653">
            <w:pPr>
              <w:ind w:firstLine="0"/>
              <w:jc w:val="right"/>
              <w:rPr>
                <w:rFonts w:eastAsia="Times New Roman"/>
                <w:color w:val="000000"/>
                <w:sz w:val="20"/>
                <w:szCs w:val="20"/>
                <w:lang w:eastAsia="ru-RU"/>
              </w:rPr>
            </w:pPr>
            <w:r w:rsidRPr="00CC181E">
              <w:rPr>
                <w:rFonts w:eastAsia="Times New Roman"/>
                <w:color w:val="000000"/>
                <w:sz w:val="20"/>
                <w:szCs w:val="20"/>
                <w:lang w:eastAsia="ru-RU"/>
              </w:rPr>
              <w:t>1 704</w:t>
            </w:r>
          </w:p>
        </w:tc>
        <w:tc>
          <w:tcPr>
            <w:tcW w:w="1134" w:type="dxa"/>
            <w:tcBorders>
              <w:top w:val="single" w:sz="4" w:space="0" w:color="auto"/>
              <w:left w:val="nil"/>
              <w:bottom w:val="single" w:sz="4" w:space="0" w:color="auto"/>
              <w:right w:val="single" w:sz="4" w:space="0" w:color="auto"/>
            </w:tcBorders>
            <w:shd w:val="clear" w:color="auto" w:fill="auto"/>
            <w:vAlign w:val="center"/>
          </w:tcPr>
          <w:p w:rsidR="00C32653" w:rsidRPr="00CC181E" w:rsidRDefault="00C32653" w:rsidP="00C32653">
            <w:pPr>
              <w:ind w:firstLine="0"/>
              <w:jc w:val="right"/>
              <w:rPr>
                <w:rFonts w:eastAsia="Times New Roman"/>
                <w:color w:val="000000"/>
                <w:sz w:val="20"/>
                <w:szCs w:val="20"/>
                <w:lang w:eastAsia="ru-RU"/>
              </w:rPr>
            </w:pPr>
            <w:r w:rsidRPr="00CC181E">
              <w:rPr>
                <w:rFonts w:eastAsia="Times New Roman"/>
                <w:color w:val="000000"/>
                <w:sz w:val="20"/>
                <w:szCs w:val="20"/>
                <w:lang w:eastAsia="ru-RU"/>
              </w:rPr>
              <w:t>1 310</w:t>
            </w:r>
          </w:p>
        </w:tc>
        <w:tc>
          <w:tcPr>
            <w:tcW w:w="1134" w:type="dxa"/>
            <w:tcBorders>
              <w:top w:val="single" w:sz="4" w:space="0" w:color="auto"/>
              <w:left w:val="nil"/>
              <w:bottom w:val="single" w:sz="4" w:space="0" w:color="auto"/>
              <w:right w:val="single" w:sz="4" w:space="0" w:color="auto"/>
            </w:tcBorders>
            <w:shd w:val="clear" w:color="auto" w:fill="auto"/>
            <w:vAlign w:val="center"/>
          </w:tcPr>
          <w:p w:rsidR="00C32653" w:rsidRPr="00CC181E" w:rsidRDefault="00C32653" w:rsidP="00C32653">
            <w:pPr>
              <w:ind w:firstLine="0"/>
              <w:jc w:val="right"/>
              <w:rPr>
                <w:rFonts w:eastAsia="Times New Roman"/>
                <w:color w:val="000000"/>
                <w:sz w:val="20"/>
                <w:szCs w:val="20"/>
                <w:lang w:eastAsia="ru-RU"/>
              </w:rPr>
            </w:pPr>
            <w:r w:rsidRPr="00CC181E">
              <w:rPr>
                <w:rFonts w:eastAsia="Times New Roman"/>
                <w:color w:val="000000"/>
                <w:sz w:val="20"/>
                <w:szCs w:val="20"/>
                <w:lang w:eastAsia="ru-RU"/>
              </w:rPr>
              <w:t>1 235</w:t>
            </w:r>
          </w:p>
        </w:tc>
        <w:tc>
          <w:tcPr>
            <w:tcW w:w="1134" w:type="dxa"/>
            <w:gridSpan w:val="2"/>
            <w:tcBorders>
              <w:top w:val="single" w:sz="4" w:space="0" w:color="auto"/>
              <w:left w:val="nil"/>
              <w:bottom w:val="single" w:sz="4" w:space="0" w:color="auto"/>
              <w:right w:val="single" w:sz="4" w:space="0" w:color="auto"/>
            </w:tcBorders>
            <w:vAlign w:val="center"/>
          </w:tcPr>
          <w:p w:rsidR="00C32653" w:rsidRPr="00CC181E" w:rsidRDefault="00C32653" w:rsidP="00C32653">
            <w:pPr>
              <w:ind w:firstLine="0"/>
              <w:jc w:val="right"/>
              <w:rPr>
                <w:color w:val="000000"/>
                <w:sz w:val="20"/>
                <w:szCs w:val="20"/>
              </w:rPr>
            </w:pPr>
            <w:r w:rsidRPr="00CC181E">
              <w:rPr>
                <w:color w:val="000000"/>
                <w:sz w:val="20"/>
                <w:szCs w:val="20"/>
              </w:rPr>
              <w:t>6 611</w:t>
            </w:r>
          </w:p>
        </w:tc>
      </w:tr>
      <w:tr w:rsidR="00C32653" w:rsidRPr="00CC181E" w:rsidTr="00C32653">
        <w:trPr>
          <w:gridAfter w:val="1"/>
          <w:wAfter w:w="7"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C32653" w:rsidRPr="00CC181E" w:rsidRDefault="00C32653" w:rsidP="007076A7">
            <w:pPr>
              <w:numPr>
                <w:ilvl w:val="0"/>
                <w:numId w:val="170"/>
              </w:numPr>
              <w:jc w:val="left"/>
              <w:rPr>
                <w:rFonts w:eastAsia="Times New Roman"/>
                <w:color w:val="000000"/>
                <w:sz w:val="20"/>
                <w:szCs w:val="20"/>
                <w:lang w:eastAsia="ru-RU"/>
              </w:rPr>
            </w:pPr>
          </w:p>
        </w:tc>
        <w:tc>
          <w:tcPr>
            <w:tcW w:w="9358" w:type="dxa"/>
            <w:gridSpan w:val="6"/>
            <w:tcBorders>
              <w:top w:val="single" w:sz="4" w:space="0" w:color="auto"/>
              <w:left w:val="nil"/>
              <w:bottom w:val="single" w:sz="4" w:space="0" w:color="auto"/>
              <w:right w:val="single" w:sz="4" w:space="0" w:color="auto"/>
            </w:tcBorders>
            <w:shd w:val="clear" w:color="auto" w:fill="auto"/>
            <w:vAlign w:val="center"/>
          </w:tcPr>
          <w:p w:rsidR="00C32653" w:rsidRPr="00CC181E" w:rsidRDefault="00C32653" w:rsidP="00C32653">
            <w:pPr>
              <w:ind w:firstLine="0"/>
              <w:jc w:val="left"/>
              <w:rPr>
                <w:color w:val="000000"/>
                <w:sz w:val="20"/>
                <w:szCs w:val="20"/>
              </w:rPr>
            </w:pPr>
            <w:r w:rsidRPr="00CC181E">
              <w:rPr>
                <w:color w:val="000000"/>
                <w:sz w:val="20"/>
                <w:szCs w:val="20"/>
              </w:rPr>
              <w:t>Прирост:</w:t>
            </w:r>
          </w:p>
        </w:tc>
      </w:tr>
      <w:tr w:rsidR="00C32653" w:rsidRPr="00CC181E" w:rsidTr="00C32653">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C32653" w:rsidRPr="00CC181E" w:rsidRDefault="00C32653" w:rsidP="007076A7">
            <w:pPr>
              <w:pStyle w:val="a5"/>
              <w:numPr>
                <w:ilvl w:val="1"/>
                <w:numId w:val="170"/>
              </w:numPr>
              <w:jc w:val="left"/>
              <w:rPr>
                <w:rFonts w:eastAsia="Times New Roman"/>
                <w:color w:val="000000"/>
                <w:sz w:val="20"/>
                <w:szCs w:val="20"/>
                <w:lang w:eastAsia="ru-RU"/>
              </w:rPr>
            </w:pPr>
          </w:p>
        </w:tc>
        <w:tc>
          <w:tcPr>
            <w:tcW w:w="3686" w:type="dxa"/>
            <w:tcBorders>
              <w:top w:val="single" w:sz="4" w:space="0" w:color="auto"/>
              <w:left w:val="nil"/>
              <w:bottom w:val="single" w:sz="4" w:space="0" w:color="auto"/>
              <w:right w:val="single" w:sz="4" w:space="0" w:color="auto"/>
            </w:tcBorders>
            <w:shd w:val="clear" w:color="auto" w:fill="auto"/>
            <w:vAlign w:val="center"/>
          </w:tcPr>
          <w:p w:rsidR="00C32653" w:rsidRPr="00CC181E" w:rsidRDefault="00C32653" w:rsidP="00C32653">
            <w:pPr>
              <w:tabs>
                <w:tab w:val="left" w:pos="1843"/>
              </w:tabs>
              <w:ind w:left="459" w:right="-1" w:firstLine="0"/>
              <w:jc w:val="left"/>
              <w:rPr>
                <w:color w:val="000000"/>
                <w:sz w:val="20"/>
                <w:szCs w:val="20"/>
              </w:rPr>
            </w:pPr>
            <w:r w:rsidRPr="00CC181E">
              <w:rPr>
                <w:color w:val="000000"/>
                <w:sz w:val="20"/>
                <w:szCs w:val="20"/>
              </w:rPr>
              <w:t>трансформаторной мощности, МВА (ВН)</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C32653" w:rsidRPr="00CC181E" w:rsidRDefault="00C32653" w:rsidP="00C32653">
            <w:pPr>
              <w:ind w:firstLine="0"/>
              <w:jc w:val="right"/>
              <w:rPr>
                <w:rFonts w:eastAsia="Times New Roman"/>
                <w:color w:val="000000"/>
                <w:sz w:val="20"/>
                <w:szCs w:val="20"/>
                <w:lang w:eastAsia="ru-RU"/>
              </w:rPr>
            </w:pPr>
            <w:r w:rsidRPr="00CC181E">
              <w:rPr>
                <w:rFonts w:eastAsia="Times New Roman"/>
                <w:color w:val="000000"/>
                <w:sz w:val="20"/>
                <w:szCs w:val="20"/>
                <w:lang w:eastAsia="ru-RU"/>
              </w:rPr>
              <w:t>3 275</w:t>
            </w:r>
          </w:p>
        </w:tc>
        <w:tc>
          <w:tcPr>
            <w:tcW w:w="1134" w:type="dxa"/>
            <w:tcBorders>
              <w:top w:val="single" w:sz="4" w:space="0" w:color="auto"/>
              <w:left w:val="nil"/>
              <w:bottom w:val="single" w:sz="4" w:space="0" w:color="auto"/>
              <w:right w:val="single" w:sz="4" w:space="0" w:color="auto"/>
            </w:tcBorders>
            <w:shd w:val="clear" w:color="auto" w:fill="auto"/>
            <w:vAlign w:val="center"/>
          </w:tcPr>
          <w:p w:rsidR="00C32653" w:rsidRPr="00CC181E" w:rsidRDefault="00C32653" w:rsidP="00C32653">
            <w:pPr>
              <w:ind w:firstLine="0"/>
              <w:jc w:val="right"/>
              <w:rPr>
                <w:rFonts w:eastAsia="Times New Roman"/>
                <w:color w:val="000000"/>
                <w:sz w:val="20"/>
                <w:szCs w:val="20"/>
                <w:lang w:eastAsia="ru-RU"/>
              </w:rPr>
            </w:pPr>
            <w:r w:rsidRPr="00CC181E">
              <w:rPr>
                <w:rFonts w:eastAsia="Times New Roman"/>
                <w:color w:val="000000"/>
                <w:sz w:val="20"/>
                <w:szCs w:val="20"/>
                <w:lang w:eastAsia="ru-RU"/>
              </w:rPr>
              <w:t>1 828</w:t>
            </w:r>
          </w:p>
        </w:tc>
        <w:tc>
          <w:tcPr>
            <w:tcW w:w="1134" w:type="dxa"/>
            <w:tcBorders>
              <w:top w:val="single" w:sz="4" w:space="0" w:color="auto"/>
              <w:left w:val="nil"/>
              <w:bottom w:val="single" w:sz="4" w:space="0" w:color="auto"/>
              <w:right w:val="single" w:sz="4" w:space="0" w:color="auto"/>
            </w:tcBorders>
            <w:shd w:val="clear" w:color="auto" w:fill="auto"/>
            <w:vAlign w:val="center"/>
          </w:tcPr>
          <w:p w:rsidR="00C32653" w:rsidRPr="00CC181E" w:rsidRDefault="00C32653" w:rsidP="00C32653">
            <w:pPr>
              <w:ind w:firstLine="0"/>
              <w:jc w:val="right"/>
              <w:rPr>
                <w:rFonts w:eastAsia="Times New Roman"/>
                <w:color w:val="000000"/>
                <w:sz w:val="20"/>
                <w:szCs w:val="20"/>
                <w:lang w:eastAsia="ru-RU"/>
              </w:rPr>
            </w:pPr>
            <w:r w:rsidRPr="00CC181E">
              <w:rPr>
                <w:rFonts w:eastAsia="Times New Roman"/>
                <w:color w:val="000000"/>
                <w:sz w:val="20"/>
                <w:szCs w:val="20"/>
                <w:lang w:eastAsia="ru-RU"/>
              </w:rPr>
              <w:t>2 264</w:t>
            </w:r>
          </w:p>
        </w:tc>
        <w:tc>
          <w:tcPr>
            <w:tcW w:w="1134" w:type="dxa"/>
            <w:tcBorders>
              <w:top w:val="single" w:sz="4" w:space="0" w:color="auto"/>
              <w:left w:val="nil"/>
              <w:bottom w:val="single" w:sz="4" w:space="0" w:color="auto"/>
              <w:right w:val="single" w:sz="4" w:space="0" w:color="auto"/>
            </w:tcBorders>
            <w:shd w:val="clear" w:color="auto" w:fill="auto"/>
            <w:vAlign w:val="center"/>
          </w:tcPr>
          <w:p w:rsidR="00C32653" w:rsidRPr="00CC181E" w:rsidRDefault="00C32653" w:rsidP="00C32653">
            <w:pPr>
              <w:ind w:firstLine="0"/>
              <w:jc w:val="right"/>
              <w:rPr>
                <w:rFonts w:eastAsia="Times New Roman"/>
                <w:color w:val="000000"/>
                <w:sz w:val="20"/>
                <w:szCs w:val="20"/>
                <w:lang w:eastAsia="ru-RU"/>
              </w:rPr>
            </w:pPr>
            <w:r w:rsidRPr="00CC181E">
              <w:rPr>
                <w:rFonts w:eastAsia="Times New Roman"/>
                <w:color w:val="000000"/>
                <w:sz w:val="20"/>
                <w:szCs w:val="20"/>
                <w:lang w:eastAsia="ru-RU"/>
              </w:rPr>
              <w:t>1 032</w:t>
            </w:r>
          </w:p>
        </w:tc>
        <w:tc>
          <w:tcPr>
            <w:tcW w:w="1134" w:type="dxa"/>
            <w:gridSpan w:val="2"/>
            <w:tcBorders>
              <w:top w:val="single" w:sz="4" w:space="0" w:color="auto"/>
              <w:left w:val="nil"/>
              <w:bottom w:val="single" w:sz="4" w:space="0" w:color="auto"/>
              <w:right w:val="single" w:sz="4" w:space="0" w:color="auto"/>
            </w:tcBorders>
            <w:vAlign w:val="center"/>
          </w:tcPr>
          <w:p w:rsidR="00C32653" w:rsidRPr="00CC181E" w:rsidRDefault="00C32653" w:rsidP="00C32653">
            <w:pPr>
              <w:ind w:firstLine="25"/>
              <w:jc w:val="right"/>
              <w:rPr>
                <w:color w:val="000000"/>
                <w:sz w:val="20"/>
                <w:szCs w:val="20"/>
              </w:rPr>
            </w:pPr>
            <w:r w:rsidRPr="00CC181E">
              <w:rPr>
                <w:color w:val="000000"/>
                <w:sz w:val="20"/>
                <w:szCs w:val="20"/>
              </w:rPr>
              <w:t>8 399</w:t>
            </w:r>
          </w:p>
        </w:tc>
      </w:tr>
      <w:tr w:rsidR="00C32653" w:rsidRPr="00CC181E" w:rsidTr="00C32653">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C32653" w:rsidRPr="00CC181E" w:rsidRDefault="00C32653" w:rsidP="007076A7">
            <w:pPr>
              <w:pStyle w:val="a5"/>
              <w:numPr>
                <w:ilvl w:val="1"/>
                <w:numId w:val="170"/>
              </w:numPr>
              <w:jc w:val="left"/>
              <w:rPr>
                <w:rFonts w:eastAsia="Times New Roman"/>
                <w:color w:val="000000"/>
                <w:sz w:val="20"/>
                <w:szCs w:val="20"/>
                <w:lang w:eastAsia="ru-RU"/>
              </w:rPr>
            </w:pPr>
          </w:p>
        </w:tc>
        <w:tc>
          <w:tcPr>
            <w:tcW w:w="3686" w:type="dxa"/>
            <w:tcBorders>
              <w:top w:val="single" w:sz="4" w:space="0" w:color="auto"/>
              <w:left w:val="nil"/>
              <w:bottom w:val="single" w:sz="4" w:space="0" w:color="auto"/>
              <w:right w:val="single" w:sz="4" w:space="0" w:color="auto"/>
            </w:tcBorders>
            <w:shd w:val="clear" w:color="auto" w:fill="auto"/>
            <w:vAlign w:val="center"/>
          </w:tcPr>
          <w:p w:rsidR="00C32653" w:rsidRPr="00CC181E" w:rsidRDefault="00C32653" w:rsidP="00C32653">
            <w:pPr>
              <w:tabs>
                <w:tab w:val="left" w:pos="1843"/>
              </w:tabs>
              <w:ind w:left="459" w:right="-1" w:firstLine="0"/>
              <w:jc w:val="left"/>
              <w:rPr>
                <w:color w:val="000000"/>
                <w:sz w:val="20"/>
                <w:szCs w:val="20"/>
              </w:rPr>
            </w:pPr>
            <w:r w:rsidRPr="00CC181E">
              <w:rPr>
                <w:color w:val="000000"/>
                <w:sz w:val="20"/>
                <w:szCs w:val="20"/>
              </w:rPr>
              <w:t>линий электропередач, км</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C32653" w:rsidRPr="00CC181E" w:rsidRDefault="00C32653" w:rsidP="00C32653">
            <w:pPr>
              <w:ind w:firstLine="0"/>
              <w:jc w:val="right"/>
              <w:rPr>
                <w:rFonts w:eastAsia="Times New Roman"/>
                <w:color w:val="000000"/>
                <w:sz w:val="20"/>
                <w:szCs w:val="20"/>
                <w:lang w:eastAsia="ru-RU"/>
              </w:rPr>
            </w:pPr>
            <w:r w:rsidRPr="00CC181E">
              <w:rPr>
                <w:rFonts w:eastAsia="Times New Roman"/>
                <w:color w:val="000000"/>
                <w:sz w:val="20"/>
                <w:szCs w:val="20"/>
                <w:lang w:eastAsia="ru-RU"/>
              </w:rPr>
              <w:t>27</w:t>
            </w:r>
          </w:p>
        </w:tc>
        <w:tc>
          <w:tcPr>
            <w:tcW w:w="1134" w:type="dxa"/>
            <w:tcBorders>
              <w:top w:val="single" w:sz="4" w:space="0" w:color="auto"/>
              <w:left w:val="nil"/>
              <w:bottom w:val="single" w:sz="4" w:space="0" w:color="auto"/>
              <w:right w:val="single" w:sz="4" w:space="0" w:color="auto"/>
            </w:tcBorders>
            <w:shd w:val="clear" w:color="auto" w:fill="auto"/>
            <w:vAlign w:val="center"/>
          </w:tcPr>
          <w:p w:rsidR="00C32653" w:rsidRPr="00CC181E" w:rsidRDefault="00C32653" w:rsidP="00C32653">
            <w:pPr>
              <w:ind w:firstLine="0"/>
              <w:jc w:val="right"/>
              <w:rPr>
                <w:rFonts w:eastAsia="Times New Roman"/>
                <w:color w:val="000000"/>
                <w:sz w:val="20"/>
                <w:szCs w:val="20"/>
                <w:lang w:eastAsia="ru-RU"/>
              </w:rPr>
            </w:pPr>
            <w:r w:rsidRPr="00CC181E">
              <w:rPr>
                <w:rFonts w:eastAsia="Times New Roman"/>
                <w:color w:val="000000"/>
                <w:sz w:val="20"/>
                <w:szCs w:val="20"/>
                <w:lang w:eastAsia="ru-RU"/>
              </w:rPr>
              <w:t>1 020</w:t>
            </w:r>
          </w:p>
        </w:tc>
        <w:tc>
          <w:tcPr>
            <w:tcW w:w="1134" w:type="dxa"/>
            <w:tcBorders>
              <w:top w:val="single" w:sz="4" w:space="0" w:color="auto"/>
              <w:left w:val="nil"/>
              <w:bottom w:val="single" w:sz="4" w:space="0" w:color="auto"/>
              <w:right w:val="single" w:sz="4" w:space="0" w:color="auto"/>
            </w:tcBorders>
            <w:shd w:val="clear" w:color="auto" w:fill="auto"/>
            <w:vAlign w:val="center"/>
          </w:tcPr>
          <w:p w:rsidR="00C32653" w:rsidRPr="00CC181E" w:rsidRDefault="00C32653" w:rsidP="00C32653">
            <w:pPr>
              <w:ind w:firstLine="0"/>
              <w:jc w:val="right"/>
              <w:rPr>
                <w:rFonts w:eastAsia="Times New Roman"/>
                <w:color w:val="000000"/>
                <w:sz w:val="20"/>
                <w:szCs w:val="20"/>
                <w:lang w:eastAsia="ru-RU"/>
              </w:rPr>
            </w:pPr>
            <w:r w:rsidRPr="00CC181E">
              <w:rPr>
                <w:rFonts w:eastAsia="Times New Roman"/>
                <w:color w:val="000000"/>
                <w:sz w:val="20"/>
                <w:szCs w:val="20"/>
                <w:lang w:eastAsia="ru-RU"/>
              </w:rPr>
              <w:t>824</w:t>
            </w:r>
          </w:p>
        </w:tc>
        <w:tc>
          <w:tcPr>
            <w:tcW w:w="1134" w:type="dxa"/>
            <w:tcBorders>
              <w:top w:val="single" w:sz="4" w:space="0" w:color="auto"/>
              <w:left w:val="nil"/>
              <w:bottom w:val="single" w:sz="4" w:space="0" w:color="auto"/>
              <w:right w:val="single" w:sz="4" w:space="0" w:color="auto"/>
            </w:tcBorders>
            <w:shd w:val="clear" w:color="auto" w:fill="auto"/>
            <w:vAlign w:val="center"/>
          </w:tcPr>
          <w:p w:rsidR="00C32653" w:rsidRPr="00CC181E" w:rsidRDefault="00C32653" w:rsidP="00C32653">
            <w:pPr>
              <w:ind w:firstLine="0"/>
              <w:jc w:val="right"/>
              <w:rPr>
                <w:rFonts w:eastAsia="Times New Roman"/>
                <w:color w:val="000000"/>
                <w:sz w:val="20"/>
                <w:szCs w:val="20"/>
                <w:lang w:eastAsia="ru-RU"/>
              </w:rPr>
            </w:pPr>
            <w:r w:rsidRPr="00CC181E">
              <w:rPr>
                <w:rFonts w:eastAsia="Times New Roman"/>
                <w:color w:val="000000"/>
                <w:sz w:val="20"/>
                <w:szCs w:val="20"/>
                <w:lang w:eastAsia="ru-RU"/>
              </w:rPr>
              <w:t>787</w:t>
            </w:r>
          </w:p>
        </w:tc>
        <w:tc>
          <w:tcPr>
            <w:tcW w:w="1134" w:type="dxa"/>
            <w:gridSpan w:val="2"/>
            <w:tcBorders>
              <w:top w:val="single" w:sz="4" w:space="0" w:color="auto"/>
              <w:left w:val="nil"/>
              <w:bottom w:val="single" w:sz="4" w:space="0" w:color="auto"/>
              <w:right w:val="single" w:sz="4" w:space="0" w:color="auto"/>
            </w:tcBorders>
            <w:vAlign w:val="center"/>
          </w:tcPr>
          <w:p w:rsidR="00C32653" w:rsidRPr="00CC181E" w:rsidRDefault="00C32653" w:rsidP="00C32653">
            <w:pPr>
              <w:ind w:firstLine="25"/>
              <w:jc w:val="right"/>
              <w:rPr>
                <w:color w:val="000000"/>
                <w:sz w:val="20"/>
                <w:szCs w:val="20"/>
              </w:rPr>
            </w:pPr>
            <w:r w:rsidRPr="00CC181E">
              <w:rPr>
                <w:color w:val="000000"/>
                <w:sz w:val="20"/>
                <w:szCs w:val="20"/>
              </w:rPr>
              <w:t>2 659</w:t>
            </w:r>
          </w:p>
        </w:tc>
      </w:tr>
    </w:tbl>
    <w:p w:rsidR="00193A23" w:rsidRPr="004761E0" w:rsidRDefault="00193A23" w:rsidP="00193A23">
      <w:pPr>
        <w:ind w:firstLine="567"/>
        <w:rPr>
          <w:sz w:val="26"/>
          <w:szCs w:val="26"/>
          <w:lang w:eastAsia="ru-RU"/>
        </w:rPr>
      </w:pPr>
      <w:r>
        <w:rPr>
          <w:sz w:val="26"/>
          <w:szCs w:val="26"/>
          <w:lang w:eastAsia="ru-RU"/>
        </w:rPr>
        <w:t>Аналогичные д</w:t>
      </w:r>
      <w:r w:rsidRPr="004761E0">
        <w:rPr>
          <w:sz w:val="26"/>
          <w:szCs w:val="26"/>
          <w:lang w:eastAsia="ru-RU"/>
        </w:rPr>
        <w:t>анные в разбивке на г. Москву и Московскую область представлены в Приложении</w:t>
      </w:r>
      <w:r>
        <w:rPr>
          <w:sz w:val="26"/>
          <w:szCs w:val="26"/>
          <w:lang w:eastAsia="ru-RU"/>
        </w:rPr>
        <w:t xml:space="preserve"> 12.</w:t>
      </w:r>
      <w:r w:rsidR="003146BC">
        <w:rPr>
          <w:sz w:val="26"/>
          <w:szCs w:val="26"/>
          <w:lang w:eastAsia="ru-RU"/>
        </w:rPr>
        <w:t>1</w:t>
      </w:r>
      <w:r>
        <w:rPr>
          <w:sz w:val="26"/>
          <w:szCs w:val="26"/>
          <w:lang w:eastAsia="ru-RU"/>
        </w:rPr>
        <w:t>.</w:t>
      </w:r>
      <w:r w:rsidRPr="004761E0">
        <w:rPr>
          <w:sz w:val="26"/>
          <w:szCs w:val="26"/>
          <w:lang w:eastAsia="ru-RU"/>
        </w:rPr>
        <w:t xml:space="preserve"> к Годовому отчету.</w:t>
      </w:r>
    </w:p>
    <w:p w:rsidR="00193A23" w:rsidRDefault="00193A23" w:rsidP="00B40B0B">
      <w:pPr>
        <w:pStyle w:val="a5"/>
        <w:spacing w:before="120" w:after="120"/>
        <w:ind w:left="0" w:firstLine="142"/>
        <w:contextualSpacing w:val="0"/>
        <w:rPr>
          <w:b/>
          <w:sz w:val="26"/>
          <w:szCs w:val="26"/>
        </w:rPr>
      </w:pPr>
      <w:r w:rsidRPr="00193A23">
        <w:rPr>
          <w:b/>
          <w:noProof/>
          <w:sz w:val="26"/>
          <w:szCs w:val="26"/>
          <w:lang w:eastAsia="ru-RU"/>
        </w:rPr>
        <w:lastRenderedPageBreak/>
        <w:drawing>
          <wp:inline distT="0" distB="0" distL="0" distR="0">
            <wp:extent cx="6300470" cy="2069132"/>
            <wp:effectExtent l="19050" t="0" r="24130" b="7318"/>
            <wp:docPr id="49"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C32653" w:rsidRPr="004761E0" w:rsidRDefault="00C32653" w:rsidP="00C32653">
      <w:pPr>
        <w:spacing w:before="120" w:after="120"/>
        <w:ind w:firstLine="567"/>
        <w:rPr>
          <w:rFonts w:eastAsia="Times New Roman"/>
          <w:b/>
          <w:color w:val="000000"/>
          <w:sz w:val="26"/>
          <w:szCs w:val="26"/>
          <w:lang w:eastAsia="ru-RU"/>
        </w:rPr>
      </w:pPr>
      <w:r w:rsidRPr="004761E0">
        <w:rPr>
          <w:rFonts w:eastAsia="Times New Roman"/>
          <w:b/>
          <w:color w:val="000000"/>
          <w:sz w:val="26"/>
          <w:szCs w:val="26"/>
          <w:lang w:eastAsia="ru-RU"/>
        </w:rPr>
        <w:t xml:space="preserve">Проект долгосрочной инвестиционной программы 2014-2018 гг. </w:t>
      </w:r>
    </w:p>
    <w:p w:rsidR="00C32653" w:rsidRPr="004761E0" w:rsidRDefault="00C32653" w:rsidP="00C32653">
      <w:pPr>
        <w:ind w:firstLine="567"/>
        <w:rPr>
          <w:color w:val="000000"/>
          <w:sz w:val="26"/>
          <w:szCs w:val="26"/>
          <w:lang w:eastAsia="ru-RU"/>
        </w:rPr>
      </w:pPr>
      <w:r w:rsidRPr="004761E0">
        <w:rPr>
          <w:color w:val="000000"/>
          <w:sz w:val="26"/>
          <w:szCs w:val="26"/>
          <w:lang w:eastAsia="ru-RU"/>
        </w:rPr>
        <w:t xml:space="preserve">Проект долгосрочной инвестиционной программы на 2014-2018 гг. согласован регулирующими органами исполнительной власти и находится на момент подготовки Годового отчета </w:t>
      </w:r>
      <w:r w:rsidR="00C11114" w:rsidRPr="004761E0">
        <w:rPr>
          <w:color w:val="000000"/>
          <w:sz w:val="26"/>
          <w:szCs w:val="26"/>
          <w:lang w:eastAsia="ru-RU"/>
        </w:rPr>
        <w:t xml:space="preserve">на </w:t>
      </w:r>
      <w:r w:rsidRPr="004761E0">
        <w:rPr>
          <w:color w:val="000000"/>
          <w:sz w:val="26"/>
          <w:szCs w:val="26"/>
          <w:lang w:eastAsia="ru-RU"/>
        </w:rPr>
        <w:t>подписании в Минэнерго России.</w:t>
      </w:r>
    </w:p>
    <w:p w:rsidR="00C32653" w:rsidRPr="004761E0" w:rsidRDefault="00C32653" w:rsidP="00C32653">
      <w:pPr>
        <w:ind w:firstLine="567"/>
        <w:rPr>
          <w:color w:val="000000"/>
          <w:sz w:val="26"/>
          <w:szCs w:val="26"/>
          <w:lang w:eastAsia="ru-RU"/>
        </w:rPr>
      </w:pPr>
      <w:r w:rsidRPr="004761E0">
        <w:rPr>
          <w:color w:val="000000"/>
          <w:sz w:val="26"/>
          <w:szCs w:val="26"/>
          <w:lang w:eastAsia="ru-RU"/>
        </w:rPr>
        <w:t>Объем</w:t>
      </w:r>
      <w:r w:rsidRPr="004761E0">
        <w:rPr>
          <w:rStyle w:val="af2"/>
        </w:rPr>
        <w:t> </w:t>
      </w:r>
      <w:r w:rsidRPr="004761E0">
        <w:rPr>
          <w:color w:val="000000"/>
          <w:sz w:val="26"/>
          <w:szCs w:val="26"/>
          <w:lang w:eastAsia="ru-RU"/>
        </w:rPr>
        <w:t xml:space="preserve"> финансирования капитальных вложений долгосрочной инвестиционной программы в части 2014-2017 гг. снизился по сравнению с утвержденной инвестиционной программой на аналогичный период на 16,32 % до 154,18 млрд руб. с НДС, в частности в 2014 году – на 24,41 % до 42,91 млрд руб. с НДС. Данное снижение обусловлено пересмотром приоритетов между направлениями расходования средств в пользу наиболее изношенной и подверженной техническим инцидентам распределительной сети (что частично осуществлено при корректировке программы 2012-2013 гг.), оптимизацией технических решений по высоковольтным электросетевым объектам, снижением стоимости строительства/реконструкции электросетевых объектов в соответствии с утвержденной Стратегией развития электросетевого комплекса Российской Федерации. </w:t>
      </w:r>
    </w:p>
    <w:p w:rsidR="00C32653" w:rsidRPr="004761E0" w:rsidRDefault="00C32653" w:rsidP="00C32653">
      <w:pPr>
        <w:spacing w:before="120" w:after="120"/>
        <w:ind w:firstLine="567"/>
        <w:rPr>
          <w:rFonts w:eastAsia="Times New Roman"/>
          <w:b/>
          <w:color w:val="000000"/>
          <w:sz w:val="26"/>
          <w:szCs w:val="26"/>
          <w:lang w:eastAsia="ru-RU"/>
        </w:rPr>
      </w:pPr>
      <w:r w:rsidRPr="004761E0">
        <w:rPr>
          <w:rFonts w:eastAsia="Times New Roman"/>
          <w:b/>
          <w:color w:val="000000"/>
          <w:sz w:val="26"/>
          <w:szCs w:val="26"/>
          <w:lang w:eastAsia="ru-RU"/>
        </w:rPr>
        <w:t>Сравнение финансирования капитальных вложений согласно проекту инвестиционной программы 2014-2018 гг. и утвержденной инвестиционной программы 2012-2017 гг.</w:t>
      </w:r>
    </w:p>
    <w:tbl>
      <w:tblPr>
        <w:tblW w:w="10645" w:type="dxa"/>
        <w:tblInd w:w="-34" w:type="dxa"/>
        <w:tblLook w:val="04A0"/>
      </w:tblPr>
      <w:tblGrid>
        <w:gridCol w:w="560"/>
        <w:gridCol w:w="4273"/>
        <w:gridCol w:w="1134"/>
        <w:gridCol w:w="1161"/>
        <w:gridCol w:w="1107"/>
        <w:gridCol w:w="1134"/>
        <w:gridCol w:w="1276"/>
      </w:tblGrid>
      <w:tr w:rsidR="00C32653" w:rsidRPr="004761E0" w:rsidTr="002103CF">
        <w:trPr>
          <w:trHeight w:val="300"/>
        </w:trPr>
        <w:tc>
          <w:tcPr>
            <w:tcW w:w="560" w:type="dxa"/>
            <w:tcBorders>
              <w:right w:val="single" w:sz="4" w:space="0" w:color="FFFFFF" w:themeColor="background1"/>
            </w:tcBorders>
            <w:shd w:val="clear" w:color="auto" w:fill="0F243E" w:themeFill="text2" w:themeFillShade="80"/>
            <w:vAlign w:val="center"/>
            <w:hideMark/>
          </w:tcPr>
          <w:p w:rsidR="00C32653" w:rsidRPr="004761E0" w:rsidRDefault="00C32653" w:rsidP="00C32653">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4273" w:type="dxa"/>
            <w:tcBorders>
              <w:left w:val="single" w:sz="4" w:space="0" w:color="FFFFFF" w:themeColor="background1"/>
              <w:right w:val="single" w:sz="4" w:space="0" w:color="FFFFFF" w:themeColor="background1"/>
            </w:tcBorders>
            <w:shd w:val="clear" w:color="auto" w:fill="0F243E" w:themeFill="text2" w:themeFillShade="80"/>
            <w:vAlign w:val="center"/>
            <w:hideMark/>
          </w:tcPr>
          <w:p w:rsidR="00C32653" w:rsidRPr="004761E0" w:rsidRDefault="00C32653" w:rsidP="00C32653">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xml:space="preserve">Финансирование капитальных вложений </w:t>
            </w:r>
          </w:p>
        </w:tc>
        <w:tc>
          <w:tcPr>
            <w:tcW w:w="1134" w:type="dxa"/>
            <w:tcBorders>
              <w:left w:val="single" w:sz="4" w:space="0" w:color="FFFFFF" w:themeColor="background1"/>
              <w:right w:val="single" w:sz="4" w:space="0" w:color="FFFFFF" w:themeColor="background1"/>
            </w:tcBorders>
            <w:shd w:val="clear" w:color="auto" w:fill="0F243E" w:themeFill="text2" w:themeFillShade="80"/>
            <w:vAlign w:val="center"/>
          </w:tcPr>
          <w:p w:rsidR="00C32653" w:rsidRPr="004761E0" w:rsidRDefault="00C32653" w:rsidP="00C32653">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2014</w:t>
            </w:r>
          </w:p>
        </w:tc>
        <w:tc>
          <w:tcPr>
            <w:tcW w:w="1161" w:type="dxa"/>
            <w:tcBorders>
              <w:left w:val="single" w:sz="4" w:space="0" w:color="FFFFFF" w:themeColor="background1"/>
              <w:right w:val="single" w:sz="4" w:space="0" w:color="FFFFFF" w:themeColor="background1"/>
            </w:tcBorders>
            <w:shd w:val="clear" w:color="auto" w:fill="0F243E" w:themeFill="text2" w:themeFillShade="80"/>
            <w:vAlign w:val="center"/>
          </w:tcPr>
          <w:p w:rsidR="00C32653" w:rsidRPr="004761E0" w:rsidRDefault="00C32653" w:rsidP="00C32653">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2015</w:t>
            </w:r>
          </w:p>
        </w:tc>
        <w:tc>
          <w:tcPr>
            <w:tcW w:w="1107" w:type="dxa"/>
            <w:tcBorders>
              <w:left w:val="single" w:sz="4" w:space="0" w:color="FFFFFF" w:themeColor="background1"/>
              <w:right w:val="single" w:sz="4" w:space="0" w:color="FFFFFF" w:themeColor="background1"/>
            </w:tcBorders>
            <w:shd w:val="clear" w:color="auto" w:fill="0F243E" w:themeFill="text2" w:themeFillShade="80"/>
            <w:vAlign w:val="center"/>
          </w:tcPr>
          <w:p w:rsidR="00C32653" w:rsidRPr="004761E0" w:rsidRDefault="00C32653" w:rsidP="00C32653">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2016</w:t>
            </w:r>
          </w:p>
        </w:tc>
        <w:tc>
          <w:tcPr>
            <w:tcW w:w="1134" w:type="dxa"/>
            <w:tcBorders>
              <w:left w:val="single" w:sz="4" w:space="0" w:color="FFFFFF" w:themeColor="background1"/>
              <w:right w:val="single" w:sz="4" w:space="0" w:color="FFFFFF" w:themeColor="background1"/>
            </w:tcBorders>
            <w:shd w:val="clear" w:color="auto" w:fill="0F243E" w:themeFill="text2" w:themeFillShade="80"/>
            <w:vAlign w:val="center"/>
          </w:tcPr>
          <w:p w:rsidR="00C32653" w:rsidRPr="004761E0" w:rsidRDefault="00C32653" w:rsidP="00C32653">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2017</w:t>
            </w:r>
          </w:p>
        </w:tc>
        <w:tc>
          <w:tcPr>
            <w:tcW w:w="1276" w:type="dxa"/>
            <w:tcBorders>
              <w:left w:val="single" w:sz="4" w:space="0" w:color="FFFFFF" w:themeColor="background1"/>
            </w:tcBorders>
            <w:shd w:val="clear" w:color="auto" w:fill="0F243E" w:themeFill="text2" w:themeFillShade="80"/>
            <w:vAlign w:val="center"/>
          </w:tcPr>
          <w:p w:rsidR="00C32653" w:rsidRPr="004761E0" w:rsidRDefault="00C32653" w:rsidP="00C32653">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2014-2017</w:t>
            </w:r>
          </w:p>
        </w:tc>
      </w:tr>
      <w:tr w:rsidR="005E74B6" w:rsidRPr="004761E0" w:rsidTr="002103CF">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E74B6" w:rsidRPr="004761E0" w:rsidRDefault="005E74B6" w:rsidP="00C32653">
            <w:pPr>
              <w:ind w:firstLine="0"/>
              <w:jc w:val="left"/>
              <w:rPr>
                <w:rFonts w:eastAsia="Times New Roman"/>
                <w:color w:val="000000"/>
                <w:sz w:val="20"/>
                <w:szCs w:val="20"/>
                <w:lang w:eastAsia="ru-RU"/>
              </w:rPr>
            </w:pPr>
            <w:r>
              <w:rPr>
                <w:rFonts w:eastAsia="Times New Roman"/>
                <w:color w:val="000000"/>
                <w:sz w:val="20"/>
                <w:szCs w:val="20"/>
                <w:lang w:eastAsia="ru-RU"/>
              </w:rPr>
              <w:t xml:space="preserve">1. </w:t>
            </w:r>
          </w:p>
        </w:tc>
        <w:tc>
          <w:tcPr>
            <w:tcW w:w="4273" w:type="dxa"/>
            <w:tcBorders>
              <w:top w:val="single" w:sz="4" w:space="0" w:color="auto"/>
              <w:left w:val="nil"/>
              <w:bottom w:val="single" w:sz="4" w:space="0" w:color="auto"/>
              <w:right w:val="single" w:sz="4" w:space="0" w:color="auto"/>
            </w:tcBorders>
            <w:shd w:val="clear" w:color="auto" w:fill="auto"/>
            <w:vAlign w:val="center"/>
          </w:tcPr>
          <w:p w:rsidR="005E74B6" w:rsidRPr="004761E0" w:rsidRDefault="005E74B6" w:rsidP="005E74B6">
            <w:pPr>
              <w:ind w:firstLine="0"/>
              <w:jc w:val="left"/>
              <w:rPr>
                <w:color w:val="000000"/>
                <w:sz w:val="20"/>
                <w:szCs w:val="20"/>
              </w:rPr>
            </w:pPr>
            <w:r w:rsidRPr="004761E0">
              <w:rPr>
                <w:color w:val="000000"/>
                <w:sz w:val="20"/>
                <w:szCs w:val="20"/>
              </w:rPr>
              <w:t>Утвержденная инвестиционная программа 2012-2017 гг., млн руб.</w:t>
            </w:r>
            <w:r w:rsidRPr="004761E0">
              <w:t xml:space="preserve"> </w:t>
            </w:r>
            <w:r w:rsidRPr="004761E0">
              <w:rPr>
                <w:color w:val="000000"/>
                <w:sz w:val="20"/>
                <w:szCs w:val="20"/>
              </w:rPr>
              <w:t>с НДС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4B6" w:rsidRPr="004761E0" w:rsidRDefault="005E74B6" w:rsidP="005E74B6">
            <w:pPr>
              <w:ind w:firstLine="0"/>
              <w:jc w:val="right"/>
              <w:rPr>
                <w:rFonts w:eastAsia="Times New Roman"/>
                <w:color w:val="000000"/>
                <w:sz w:val="20"/>
                <w:szCs w:val="20"/>
                <w:lang w:eastAsia="ru-RU"/>
              </w:rPr>
            </w:pPr>
            <w:r w:rsidRPr="004761E0">
              <w:rPr>
                <w:rFonts w:eastAsia="Times New Roman"/>
                <w:color w:val="000000"/>
                <w:sz w:val="20"/>
                <w:szCs w:val="20"/>
                <w:lang w:eastAsia="ru-RU"/>
              </w:rPr>
              <w:t>56 760</w:t>
            </w:r>
          </w:p>
        </w:tc>
        <w:tc>
          <w:tcPr>
            <w:tcW w:w="1161" w:type="dxa"/>
            <w:tcBorders>
              <w:top w:val="nil"/>
              <w:left w:val="nil"/>
              <w:bottom w:val="single" w:sz="4" w:space="0" w:color="auto"/>
              <w:right w:val="single" w:sz="4" w:space="0" w:color="auto"/>
            </w:tcBorders>
            <w:shd w:val="clear" w:color="auto" w:fill="auto"/>
            <w:vAlign w:val="center"/>
          </w:tcPr>
          <w:p w:rsidR="005E74B6" w:rsidRPr="004761E0" w:rsidRDefault="005E74B6" w:rsidP="005E74B6">
            <w:pPr>
              <w:ind w:firstLine="0"/>
              <w:jc w:val="right"/>
              <w:rPr>
                <w:rFonts w:eastAsia="Times New Roman"/>
                <w:color w:val="000000"/>
                <w:sz w:val="20"/>
                <w:szCs w:val="20"/>
                <w:lang w:eastAsia="ru-RU"/>
              </w:rPr>
            </w:pPr>
            <w:r w:rsidRPr="004761E0">
              <w:rPr>
                <w:rFonts w:eastAsia="Times New Roman"/>
                <w:color w:val="000000"/>
                <w:sz w:val="20"/>
                <w:szCs w:val="20"/>
                <w:lang w:eastAsia="ru-RU"/>
              </w:rPr>
              <w:t>47 261</w:t>
            </w:r>
          </w:p>
        </w:tc>
        <w:tc>
          <w:tcPr>
            <w:tcW w:w="1107" w:type="dxa"/>
            <w:tcBorders>
              <w:top w:val="nil"/>
              <w:left w:val="nil"/>
              <w:bottom w:val="single" w:sz="4" w:space="0" w:color="auto"/>
              <w:right w:val="single" w:sz="4" w:space="0" w:color="auto"/>
            </w:tcBorders>
            <w:shd w:val="clear" w:color="auto" w:fill="auto"/>
            <w:vAlign w:val="center"/>
          </w:tcPr>
          <w:p w:rsidR="005E74B6" w:rsidRPr="004761E0" w:rsidRDefault="005E74B6" w:rsidP="005E74B6">
            <w:pPr>
              <w:ind w:firstLine="0"/>
              <w:jc w:val="right"/>
              <w:rPr>
                <w:rFonts w:eastAsia="Times New Roman"/>
                <w:color w:val="000000"/>
                <w:sz w:val="20"/>
                <w:szCs w:val="20"/>
                <w:lang w:eastAsia="ru-RU"/>
              </w:rPr>
            </w:pPr>
            <w:r w:rsidRPr="004761E0">
              <w:rPr>
                <w:rFonts w:eastAsia="Times New Roman"/>
                <w:color w:val="000000"/>
                <w:sz w:val="20"/>
                <w:szCs w:val="20"/>
                <w:lang w:eastAsia="ru-RU"/>
              </w:rPr>
              <w:t>38 698</w:t>
            </w:r>
          </w:p>
        </w:tc>
        <w:tc>
          <w:tcPr>
            <w:tcW w:w="1134" w:type="dxa"/>
            <w:tcBorders>
              <w:top w:val="nil"/>
              <w:left w:val="nil"/>
              <w:bottom w:val="single" w:sz="4" w:space="0" w:color="auto"/>
              <w:right w:val="single" w:sz="4" w:space="0" w:color="auto"/>
            </w:tcBorders>
            <w:shd w:val="clear" w:color="auto" w:fill="auto"/>
            <w:vAlign w:val="center"/>
          </w:tcPr>
          <w:p w:rsidR="005E74B6" w:rsidRPr="004761E0" w:rsidRDefault="005E74B6" w:rsidP="005E74B6">
            <w:pPr>
              <w:ind w:firstLine="0"/>
              <w:jc w:val="right"/>
              <w:rPr>
                <w:rFonts w:eastAsia="Times New Roman"/>
                <w:color w:val="000000"/>
                <w:sz w:val="20"/>
                <w:szCs w:val="20"/>
                <w:lang w:eastAsia="ru-RU"/>
              </w:rPr>
            </w:pPr>
            <w:r w:rsidRPr="004761E0">
              <w:rPr>
                <w:rFonts w:eastAsia="Times New Roman"/>
                <w:color w:val="000000"/>
                <w:sz w:val="20"/>
                <w:szCs w:val="20"/>
                <w:lang w:eastAsia="ru-RU"/>
              </w:rPr>
              <w:t>41 527</w:t>
            </w:r>
          </w:p>
        </w:tc>
        <w:tc>
          <w:tcPr>
            <w:tcW w:w="1276" w:type="dxa"/>
            <w:tcBorders>
              <w:top w:val="nil"/>
              <w:left w:val="nil"/>
              <w:bottom w:val="single" w:sz="4" w:space="0" w:color="auto"/>
              <w:right w:val="single" w:sz="4" w:space="0" w:color="auto"/>
            </w:tcBorders>
            <w:vAlign w:val="center"/>
          </w:tcPr>
          <w:p w:rsidR="005E74B6" w:rsidRPr="004761E0" w:rsidRDefault="005E74B6" w:rsidP="005E74B6">
            <w:pPr>
              <w:ind w:firstLine="0"/>
              <w:jc w:val="right"/>
              <w:rPr>
                <w:rFonts w:eastAsia="Times New Roman"/>
                <w:color w:val="000000"/>
                <w:sz w:val="20"/>
                <w:szCs w:val="20"/>
                <w:lang w:eastAsia="ru-RU"/>
              </w:rPr>
            </w:pPr>
            <w:r w:rsidRPr="004761E0">
              <w:rPr>
                <w:rFonts w:eastAsia="Times New Roman"/>
                <w:color w:val="000000"/>
                <w:sz w:val="20"/>
                <w:szCs w:val="20"/>
                <w:lang w:eastAsia="ru-RU"/>
              </w:rPr>
              <w:t>184 246</w:t>
            </w:r>
          </w:p>
        </w:tc>
      </w:tr>
      <w:tr w:rsidR="005E74B6" w:rsidRPr="004761E0" w:rsidTr="002103CF">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E74B6" w:rsidRPr="004761E0" w:rsidRDefault="005E74B6" w:rsidP="00C32653">
            <w:pPr>
              <w:ind w:firstLine="0"/>
              <w:jc w:val="left"/>
              <w:rPr>
                <w:rFonts w:eastAsia="Times New Roman"/>
                <w:color w:val="000000"/>
                <w:sz w:val="20"/>
                <w:szCs w:val="20"/>
                <w:lang w:eastAsia="ru-RU"/>
              </w:rPr>
            </w:pPr>
            <w:r>
              <w:rPr>
                <w:rFonts w:eastAsia="Times New Roman"/>
                <w:color w:val="000000"/>
                <w:sz w:val="20"/>
                <w:szCs w:val="20"/>
                <w:lang w:eastAsia="ru-RU"/>
              </w:rPr>
              <w:t>2</w:t>
            </w:r>
            <w:r w:rsidRPr="004761E0">
              <w:rPr>
                <w:rFonts w:eastAsia="Times New Roman"/>
                <w:color w:val="000000"/>
                <w:sz w:val="20"/>
                <w:szCs w:val="20"/>
                <w:lang w:eastAsia="ru-RU"/>
              </w:rPr>
              <w:t>.</w:t>
            </w:r>
          </w:p>
        </w:tc>
        <w:tc>
          <w:tcPr>
            <w:tcW w:w="4273" w:type="dxa"/>
            <w:tcBorders>
              <w:top w:val="single" w:sz="4" w:space="0" w:color="auto"/>
              <w:left w:val="nil"/>
              <w:bottom w:val="single" w:sz="4" w:space="0" w:color="auto"/>
              <w:right w:val="single" w:sz="4" w:space="0" w:color="auto"/>
            </w:tcBorders>
            <w:shd w:val="clear" w:color="auto" w:fill="auto"/>
            <w:vAlign w:val="center"/>
          </w:tcPr>
          <w:p w:rsidR="005E74B6" w:rsidRPr="004761E0" w:rsidRDefault="005E74B6" w:rsidP="00C32653">
            <w:pPr>
              <w:ind w:firstLine="0"/>
              <w:jc w:val="left"/>
              <w:rPr>
                <w:color w:val="000000"/>
                <w:sz w:val="20"/>
                <w:szCs w:val="20"/>
              </w:rPr>
            </w:pPr>
            <w:r w:rsidRPr="004761E0">
              <w:rPr>
                <w:color w:val="000000"/>
                <w:sz w:val="20"/>
                <w:szCs w:val="20"/>
              </w:rPr>
              <w:t>Проект инвестиционной программы 2014-2018 гг., млн руб.</w:t>
            </w:r>
            <w:r w:rsidRPr="004761E0">
              <w:t xml:space="preserve"> </w:t>
            </w:r>
            <w:r w:rsidRPr="004761E0">
              <w:rPr>
                <w:color w:val="000000"/>
                <w:sz w:val="20"/>
                <w:szCs w:val="20"/>
              </w:rPr>
              <w:t>с НДС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4B6" w:rsidRPr="004761E0" w:rsidRDefault="005E74B6" w:rsidP="00C32653">
            <w:pPr>
              <w:ind w:firstLine="0"/>
              <w:jc w:val="right"/>
              <w:rPr>
                <w:rFonts w:eastAsia="Times New Roman"/>
                <w:color w:val="000000"/>
                <w:sz w:val="20"/>
                <w:szCs w:val="20"/>
                <w:lang w:eastAsia="ru-RU"/>
              </w:rPr>
            </w:pPr>
            <w:r w:rsidRPr="004761E0">
              <w:rPr>
                <w:rFonts w:eastAsia="Times New Roman"/>
                <w:color w:val="000000"/>
                <w:sz w:val="20"/>
                <w:szCs w:val="20"/>
                <w:lang w:eastAsia="ru-RU"/>
              </w:rPr>
              <w:t>42 906</w:t>
            </w:r>
          </w:p>
        </w:tc>
        <w:tc>
          <w:tcPr>
            <w:tcW w:w="1161" w:type="dxa"/>
            <w:tcBorders>
              <w:top w:val="nil"/>
              <w:left w:val="nil"/>
              <w:bottom w:val="single" w:sz="4" w:space="0" w:color="auto"/>
              <w:right w:val="single" w:sz="4" w:space="0" w:color="auto"/>
            </w:tcBorders>
            <w:shd w:val="clear" w:color="auto" w:fill="auto"/>
            <w:vAlign w:val="center"/>
          </w:tcPr>
          <w:p w:rsidR="005E74B6" w:rsidRPr="004761E0" w:rsidRDefault="005E74B6" w:rsidP="00C32653">
            <w:pPr>
              <w:ind w:firstLine="0"/>
              <w:jc w:val="right"/>
              <w:rPr>
                <w:rFonts w:eastAsia="Times New Roman"/>
                <w:color w:val="000000"/>
                <w:sz w:val="20"/>
                <w:szCs w:val="20"/>
                <w:lang w:eastAsia="ru-RU"/>
              </w:rPr>
            </w:pPr>
            <w:r w:rsidRPr="004761E0">
              <w:rPr>
                <w:rFonts w:eastAsia="Times New Roman"/>
                <w:color w:val="000000"/>
                <w:sz w:val="20"/>
                <w:szCs w:val="20"/>
                <w:lang w:eastAsia="ru-RU"/>
              </w:rPr>
              <w:t>40 877</w:t>
            </w:r>
          </w:p>
        </w:tc>
        <w:tc>
          <w:tcPr>
            <w:tcW w:w="1107" w:type="dxa"/>
            <w:tcBorders>
              <w:top w:val="nil"/>
              <w:left w:val="nil"/>
              <w:bottom w:val="single" w:sz="4" w:space="0" w:color="auto"/>
              <w:right w:val="single" w:sz="4" w:space="0" w:color="auto"/>
            </w:tcBorders>
            <w:shd w:val="clear" w:color="auto" w:fill="auto"/>
            <w:vAlign w:val="center"/>
          </w:tcPr>
          <w:p w:rsidR="005E74B6" w:rsidRPr="004761E0" w:rsidRDefault="005E74B6" w:rsidP="00C32653">
            <w:pPr>
              <w:ind w:firstLine="0"/>
              <w:jc w:val="right"/>
              <w:rPr>
                <w:rFonts w:eastAsia="Times New Roman"/>
                <w:color w:val="000000"/>
                <w:sz w:val="20"/>
                <w:szCs w:val="20"/>
                <w:lang w:eastAsia="ru-RU"/>
              </w:rPr>
            </w:pPr>
            <w:r w:rsidRPr="004761E0">
              <w:rPr>
                <w:rFonts w:eastAsia="Times New Roman"/>
                <w:color w:val="000000"/>
                <w:sz w:val="20"/>
                <w:szCs w:val="20"/>
                <w:lang w:eastAsia="ru-RU"/>
              </w:rPr>
              <w:t>36 315</w:t>
            </w:r>
          </w:p>
        </w:tc>
        <w:tc>
          <w:tcPr>
            <w:tcW w:w="1134" w:type="dxa"/>
            <w:tcBorders>
              <w:top w:val="nil"/>
              <w:left w:val="nil"/>
              <w:bottom w:val="single" w:sz="4" w:space="0" w:color="auto"/>
              <w:right w:val="single" w:sz="4" w:space="0" w:color="auto"/>
            </w:tcBorders>
            <w:shd w:val="clear" w:color="auto" w:fill="auto"/>
            <w:vAlign w:val="center"/>
          </w:tcPr>
          <w:p w:rsidR="005E74B6" w:rsidRPr="004761E0" w:rsidRDefault="005E74B6" w:rsidP="00C32653">
            <w:pPr>
              <w:ind w:firstLine="0"/>
              <w:jc w:val="right"/>
              <w:rPr>
                <w:rFonts w:eastAsia="Times New Roman"/>
                <w:color w:val="000000"/>
                <w:sz w:val="20"/>
                <w:szCs w:val="20"/>
                <w:lang w:eastAsia="ru-RU"/>
              </w:rPr>
            </w:pPr>
            <w:r w:rsidRPr="004761E0">
              <w:rPr>
                <w:rFonts w:eastAsia="Times New Roman"/>
                <w:color w:val="000000"/>
                <w:sz w:val="20"/>
                <w:szCs w:val="20"/>
                <w:lang w:eastAsia="ru-RU"/>
              </w:rPr>
              <w:t>34 085</w:t>
            </w:r>
          </w:p>
        </w:tc>
        <w:tc>
          <w:tcPr>
            <w:tcW w:w="1276" w:type="dxa"/>
            <w:tcBorders>
              <w:top w:val="nil"/>
              <w:left w:val="nil"/>
              <w:bottom w:val="single" w:sz="4" w:space="0" w:color="auto"/>
              <w:right w:val="single" w:sz="4" w:space="0" w:color="auto"/>
            </w:tcBorders>
            <w:vAlign w:val="center"/>
          </w:tcPr>
          <w:p w:rsidR="005E74B6" w:rsidRPr="004761E0" w:rsidRDefault="005E74B6" w:rsidP="00C32653">
            <w:pPr>
              <w:ind w:firstLine="0"/>
              <w:jc w:val="right"/>
              <w:rPr>
                <w:rFonts w:eastAsia="Times New Roman"/>
                <w:color w:val="000000"/>
                <w:sz w:val="20"/>
                <w:szCs w:val="20"/>
                <w:lang w:eastAsia="ru-RU"/>
              </w:rPr>
            </w:pPr>
            <w:r w:rsidRPr="004761E0">
              <w:rPr>
                <w:rFonts w:eastAsia="Times New Roman"/>
                <w:color w:val="000000"/>
                <w:sz w:val="20"/>
                <w:szCs w:val="20"/>
                <w:lang w:eastAsia="ru-RU"/>
              </w:rPr>
              <w:t>154 183</w:t>
            </w:r>
          </w:p>
        </w:tc>
      </w:tr>
      <w:tr w:rsidR="005E74B6" w:rsidRPr="004761E0" w:rsidTr="002103CF">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4B6" w:rsidRPr="004761E0" w:rsidRDefault="005E74B6" w:rsidP="00C32653">
            <w:pPr>
              <w:ind w:firstLine="0"/>
              <w:jc w:val="left"/>
              <w:rPr>
                <w:rFonts w:eastAsia="Times New Roman"/>
                <w:color w:val="000000"/>
                <w:sz w:val="20"/>
                <w:szCs w:val="20"/>
                <w:lang w:eastAsia="ru-RU"/>
              </w:rPr>
            </w:pPr>
            <w:r w:rsidRPr="004761E0">
              <w:rPr>
                <w:rFonts w:eastAsia="Times New Roman"/>
                <w:color w:val="000000"/>
                <w:sz w:val="20"/>
                <w:szCs w:val="20"/>
                <w:lang w:eastAsia="ru-RU"/>
              </w:rPr>
              <w:t>3.</w:t>
            </w:r>
          </w:p>
        </w:tc>
        <w:tc>
          <w:tcPr>
            <w:tcW w:w="4273" w:type="dxa"/>
            <w:tcBorders>
              <w:top w:val="single" w:sz="4" w:space="0" w:color="auto"/>
              <w:left w:val="nil"/>
              <w:bottom w:val="single" w:sz="4" w:space="0" w:color="auto"/>
              <w:right w:val="single" w:sz="4" w:space="0" w:color="auto"/>
            </w:tcBorders>
            <w:shd w:val="clear" w:color="auto" w:fill="auto"/>
            <w:vAlign w:val="center"/>
          </w:tcPr>
          <w:p w:rsidR="005E74B6" w:rsidRPr="004761E0" w:rsidRDefault="005E74B6" w:rsidP="00C32653">
            <w:pPr>
              <w:ind w:firstLine="0"/>
              <w:jc w:val="left"/>
              <w:rPr>
                <w:color w:val="000000"/>
                <w:sz w:val="20"/>
                <w:szCs w:val="20"/>
              </w:rPr>
            </w:pPr>
            <w:r w:rsidRPr="004761E0">
              <w:rPr>
                <w:color w:val="000000"/>
                <w:sz w:val="20"/>
                <w:szCs w:val="20"/>
              </w:rPr>
              <w:t>Изменение,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4B6" w:rsidRPr="004761E0" w:rsidRDefault="005E74B6" w:rsidP="00C32653">
            <w:pPr>
              <w:ind w:firstLine="0"/>
              <w:jc w:val="right"/>
              <w:rPr>
                <w:rFonts w:eastAsia="Times New Roman"/>
                <w:color w:val="000000"/>
                <w:sz w:val="20"/>
                <w:szCs w:val="20"/>
                <w:lang w:eastAsia="ru-RU"/>
              </w:rPr>
            </w:pPr>
            <w:r w:rsidRPr="004761E0">
              <w:rPr>
                <w:rFonts w:eastAsia="Times New Roman"/>
                <w:color w:val="000000"/>
                <w:sz w:val="20"/>
                <w:szCs w:val="20"/>
                <w:lang w:eastAsia="ru-RU"/>
              </w:rPr>
              <w:t>-24,41</w:t>
            </w:r>
          </w:p>
        </w:tc>
        <w:tc>
          <w:tcPr>
            <w:tcW w:w="1161" w:type="dxa"/>
            <w:tcBorders>
              <w:top w:val="single" w:sz="4" w:space="0" w:color="auto"/>
              <w:left w:val="nil"/>
              <w:bottom w:val="single" w:sz="4" w:space="0" w:color="auto"/>
              <w:right w:val="single" w:sz="4" w:space="0" w:color="auto"/>
            </w:tcBorders>
            <w:shd w:val="clear" w:color="auto" w:fill="auto"/>
            <w:vAlign w:val="center"/>
          </w:tcPr>
          <w:p w:rsidR="005E74B6" w:rsidRPr="004761E0" w:rsidRDefault="005E74B6" w:rsidP="00C32653">
            <w:pPr>
              <w:ind w:firstLine="0"/>
              <w:jc w:val="right"/>
              <w:rPr>
                <w:rFonts w:eastAsia="Times New Roman"/>
                <w:color w:val="000000"/>
                <w:sz w:val="20"/>
                <w:szCs w:val="20"/>
                <w:lang w:eastAsia="ru-RU"/>
              </w:rPr>
            </w:pPr>
            <w:r w:rsidRPr="004761E0">
              <w:rPr>
                <w:rFonts w:eastAsia="Times New Roman"/>
                <w:color w:val="000000"/>
                <w:sz w:val="20"/>
                <w:szCs w:val="20"/>
                <w:lang w:eastAsia="ru-RU"/>
              </w:rPr>
              <w:t>-13,51</w:t>
            </w:r>
          </w:p>
        </w:tc>
        <w:tc>
          <w:tcPr>
            <w:tcW w:w="1107" w:type="dxa"/>
            <w:tcBorders>
              <w:top w:val="single" w:sz="4" w:space="0" w:color="auto"/>
              <w:left w:val="nil"/>
              <w:bottom w:val="single" w:sz="4" w:space="0" w:color="auto"/>
              <w:right w:val="single" w:sz="4" w:space="0" w:color="auto"/>
            </w:tcBorders>
            <w:shd w:val="clear" w:color="auto" w:fill="auto"/>
            <w:vAlign w:val="center"/>
          </w:tcPr>
          <w:p w:rsidR="005E74B6" w:rsidRPr="004761E0" w:rsidRDefault="005E74B6" w:rsidP="00C32653">
            <w:pPr>
              <w:ind w:firstLine="0"/>
              <w:jc w:val="right"/>
              <w:rPr>
                <w:rFonts w:eastAsia="Times New Roman"/>
                <w:color w:val="000000"/>
                <w:sz w:val="20"/>
                <w:szCs w:val="20"/>
                <w:lang w:eastAsia="ru-RU"/>
              </w:rPr>
            </w:pPr>
            <w:r w:rsidRPr="004761E0">
              <w:rPr>
                <w:rFonts w:eastAsia="Times New Roman"/>
                <w:color w:val="000000"/>
                <w:sz w:val="20"/>
                <w:szCs w:val="20"/>
                <w:lang w:eastAsia="ru-RU"/>
              </w:rPr>
              <w:t>-6,16</w:t>
            </w:r>
          </w:p>
        </w:tc>
        <w:tc>
          <w:tcPr>
            <w:tcW w:w="1134" w:type="dxa"/>
            <w:tcBorders>
              <w:top w:val="single" w:sz="4" w:space="0" w:color="auto"/>
              <w:left w:val="nil"/>
              <w:bottom w:val="single" w:sz="4" w:space="0" w:color="auto"/>
              <w:right w:val="single" w:sz="4" w:space="0" w:color="auto"/>
            </w:tcBorders>
            <w:shd w:val="clear" w:color="auto" w:fill="auto"/>
            <w:vAlign w:val="center"/>
          </w:tcPr>
          <w:p w:rsidR="005E74B6" w:rsidRPr="004761E0" w:rsidRDefault="005E74B6" w:rsidP="00C32653">
            <w:pPr>
              <w:ind w:firstLine="0"/>
              <w:jc w:val="right"/>
              <w:rPr>
                <w:rFonts w:eastAsia="Times New Roman"/>
                <w:color w:val="000000"/>
                <w:sz w:val="20"/>
                <w:szCs w:val="20"/>
                <w:lang w:eastAsia="ru-RU"/>
              </w:rPr>
            </w:pPr>
            <w:r w:rsidRPr="004761E0">
              <w:rPr>
                <w:rFonts w:eastAsia="Times New Roman"/>
                <w:color w:val="000000"/>
                <w:sz w:val="20"/>
                <w:szCs w:val="20"/>
                <w:lang w:eastAsia="ru-RU"/>
              </w:rPr>
              <w:t>-17,92</w:t>
            </w:r>
          </w:p>
        </w:tc>
        <w:tc>
          <w:tcPr>
            <w:tcW w:w="1276" w:type="dxa"/>
            <w:tcBorders>
              <w:top w:val="single" w:sz="4" w:space="0" w:color="auto"/>
              <w:left w:val="nil"/>
              <w:bottom w:val="single" w:sz="4" w:space="0" w:color="auto"/>
              <w:right w:val="single" w:sz="4" w:space="0" w:color="auto"/>
            </w:tcBorders>
            <w:vAlign w:val="center"/>
          </w:tcPr>
          <w:p w:rsidR="005E74B6" w:rsidRPr="004761E0" w:rsidRDefault="005E74B6" w:rsidP="00C32653">
            <w:pPr>
              <w:ind w:firstLine="0"/>
              <w:jc w:val="right"/>
              <w:rPr>
                <w:rFonts w:eastAsia="Times New Roman"/>
                <w:color w:val="000000"/>
                <w:sz w:val="20"/>
                <w:szCs w:val="20"/>
                <w:lang w:eastAsia="ru-RU"/>
              </w:rPr>
            </w:pPr>
            <w:r w:rsidRPr="004761E0">
              <w:rPr>
                <w:rFonts w:eastAsia="Times New Roman"/>
                <w:color w:val="000000"/>
                <w:sz w:val="20"/>
                <w:szCs w:val="20"/>
                <w:lang w:eastAsia="ru-RU"/>
              </w:rPr>
              <w:t>-16,32</w:t>
            </w:r>
          </w:p>
        </w:tc>
      </w:tr>
    </w:tbl>
    <w:p w:rsidR="00FA0D3C" w:rsidRDefault="00C51CB5" w:rsidP="00C51CB5">
      <w:pPr>
        <w:ind w:firstLine="0"/>
        <w:rPr>
          <w:lang w:val="en-US" w:eastAsia="ru-RU"/>
        </w:rPr>
      </w:pPr>
      <w:r w:rsidRPr="004761E0">
        <w:rPr>
          <w:noProof/>
          <w:lang w:eastAsia="ru-RU"/>
        </w:rPr>
        <w:lastRenderedPageBreak/>
        <w:drawing>
          <wp:inline distT="0" distB="0" distL="0" distR="0">
            <wp:extent cx="4338264" cy="3164620"/>
            <wp:effectExtent l="19050" t="0" r="24186" b="0"/>
            <wp:docPr id="250" name="Диаграмма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FA0D3C" w:rsidRDefault="00FA0D3C">
      <w:pPr>
        <w:ind w:firstLine="0"/>
        <w:jc w:val="left"/>
        <w:rPr>
          <w:lang w:val="en-US" w:eastAsia="ru-RU"/>
        </w:rPr>
      </w:pPr>
      <w:r>
        <w:rPr>
          <w:lang w:val="en-US" w:eastAsia="ru-RU"/>
        </w:rPr>
        <w:br w:type="page"/>
      </w:r>
    </w:p>
    <w:p w:rsidR="00136A10" w:rsidRPr="004761E0" w:rsidRDefault="00E34ACB" w:rsidP="007076A7">
      <w:pPr>
        <w:pStyle w:val="a8"/>
        <w:numPr>
          <w:ilvl w:val="1"/>
          <w:numId w:val="321"/>
        </w:numPr>
        <w:spacing w:before="120" w:after="120"/>
        <w:ind w:left="1134" w:hanging="567"/>
        <w:jc w:val="both"/>
        <w:rPr>
          <w:rFonts w:ascii="Times New Roman" w:hAnsi="Times New Roman"/>
          <w:b/>
          <w:sz w:val="26"/>
          <w:szCs w:val="26"/>
          <w:lang w:eastAsia="ru-RU"/>
        </w:rPr>
      </w:pPr>
      <w:bookmarkStart w:id="75" w:name="_Toc380576925"/>
      <w:bookmarkStart w:id="76" w:name="_Toc385339819"/>
      <w:r w:rsidRPr="004761E0">
        <w:rPr>
          <w:rFonts w:ascii="Times New Roman" w:hAnsi="Times New Roman"/>
          <w:b/>
          <w:sz w:val="26"/>
          <w:szCs w:val="26"/>
        </w:rPr>
        <w:lastRenderedPageBreak/>
        <w:t>Тарифная политика</w:t>
      </w:r>
      <w:bookmarkEnd w:id="75"/>
      <w:bookmarkEnd w:id="76"/>
    </w:p>
    <w:p w:rsidR="00583944" w:rsidRPr="004761E0" w:rsidRDefault="0008080E" w:rsidP="00583944">
      <w:pPr>
        <w:ind w:firstLine="567"/>
        <w:rPr>
          <w:sz w:val="26"/>
          <w:szCs w:val="26"/>
          <w:lang w:eastAsia="ru-RU"/>
        </w:rPr>
      </w:pPr>
      <w:bookmarkStart w:id="77" w:name="_Toc380576926"/>
      <w:r>
        <w:rPr>
          <w:sz w:val="26"/>
          <w:szCs w:val="26"/>
          <w:lang w:eastAsia="ru-RU"/>
        </w:rPr>
        <w:t>ОАО </w:t>
      </w:r>
      <w:r w:rsidR="00583944" w:rsidRPr="004761E0">
        <w:rPr>
          <w:sz w:val="26"/>
          <w:szCs w:val="26"/>
          <w:lang w:eastAsia="ru-RU"/>
        </w:rPr>
        <w:t>«МОЭСК» осуществляет деятельность на территории двух субъектов Центрального федерального округа РФ – г. Москвы и Московской области. Тарифное регулирование в г. Москве осуществляет Региональная энергетическая комиссия г. Москвы (РЭК г. Москвы), в Московской области – Комитет по ценам и  тарифам Московской области (Мособлкомцен).</w:t>
      </w:r>
    </w:p>
    <w:p w:rsidR="00583944" w:rsidRPr="004761E0" w:rsidRDefault="00583944" w:rsidP="00583944">
      <w:pPr>
        <w:ind w:firstLine="567"/>
        <w:rPr>
          <w:sz w:val="26"/>
          <w:szCs w:val="26"/>
          <w:lang w:eastAsia="ru-RU"/>
        </w:rPr>
      </w:pPr>
      <w:r w:rsidRPr="004761E0">
        <w:rPr>
          <w:sz w:val="26"/>
          <w:szCs w:val="26"/>
          <w:lang w:eastAsia="ru-RU"/>
        </w:rPr>
        <w:t>Основные нормативно-правовые акты, регламентирующие тарифообразование</w:t>
      </w:r>
      <w:r w:rsidR="009D3AEB">
        <w:rPr>
          <w:sz w:val="26"/>
          <w:szCs w:val="26"/>
          <w:lang w:eastAsia="ru-RU"/>
        </w:rPr>
        <w:t xml:space="preserve"> и установление ставок платы</w:t>
      </w:r>
      <w:r w:rsidRPr="004761E0">
        <w:rPr>
          <w:sz w:val="26"/>
          <w:szCs w:val="26"/>
          <w:lang w:eastAsia="ru-RU"/>
        </w:rPr>
        <w:t>:</w:t>
      </w:r>
    </w:p>
    <w:p w:rsidR="00583944" w:rsidRPr="004761E0" w:rsidRDefault="00583944" w:rsidP="007076A7">
      <w:pPr>
        <w:pStyle w:val="a5"/>
        <w:numPr>
          <w:ilvl w:val="0"/>
          <w:numId w:val="134"/>
        </w:numPr>
        <w:ind w:left="1134" w:hanging="708"/>
        <w:rPr>
          <w:sz w:val="26"/>
          <w:szCs w:val="26"/>
          <w:lang w:eastAsia="ru-RU"/>
        </w:rPr>
      </w:pPr>
      <w:r w:rsidRPr="004761E0">
        <w:rPr>
          <w:sz w:val="26"/>
          <w:szCs w:val="26"/>
          <w:lang w:eastAsia="ru-RU"/>
        </w:rPr>
        <w:t>Федеральный закон РФ от 26.03.2003 № 35-ФЗ «Об электроэнергетике»;</w:t>
      </w:r>
    </w:p>
    <w:p w:rsidR="00583944" w:rsidRPr="004761E0" w:rsidRDefault="00583944" w:rsidP="007076A7">
      <w:pPr>
        <w:pStyle w:val="a5"/>
        <w:numPr>
          <w:ilvl w:val="0"/>
          <w:numId w:val="134"/>
        </w:numPr>
        <w:ind w:left="1134" w:hanging="708"/>
        <w:rPr>
          <w:sz w:val="26"/>
          <w:szCs w:val="26"/>
          <w:lang w:eastAsia="ru-RU"/>
        </w:rPr>
      </w:pPr>
      <w:r w:rsidRPr="004761E0">
        <w:rPr>
          <w:sz w:val="26"/>
          <w:szCs w:val="26"/>
          <w:lang w:eastAsia="ru-RU"/>
        </w:rPr>
        <w:t>Федеральный закон РФ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83944" w:rsidRPr="004761E0" w:rsidRDefault="00583944" w:rsidP="007076A7">
      <w:pPr>
        <w:pStyle w:val="a5"/>
        <w:numPr>
          <w:ilvl w:val="0"/>
          <w:numId w:val="134"/>
        </w:numPr>
        <w:ind w:left="1134" w:hanging="708"/>
        <w:rPr>
          <w:sz w:val="26"/>
          <w:szCs w:val="26"/>
          <w:lang w:eastAsia="ru-RU"/>
        </w:rPr>
      </w:pPr>
      <w:r w:rsidRPr="004761E0">
        <w:rPr>
          <w:sz w:val="26"/>
          <w:szCs w:val="26"/>
          <w:lang w:eastAsia="ru-RU"/>
        </w:rPr>
        <w:t>Постановление Правительства РФ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rsidR="00583944" w:rsidRPr="004761E0" w:rsidRDefault="00583944" w:rsidP="007076A7">
      <w:pPr>
        <w:pStyle w:val="a5"/>
        <w:numPr>
          <w:ilvl w:val="0"/>
          <w:numId w:val="134"/>
        </w:numPr>
        <w:ind w:left="1134" w:hanging="708"/>
        <w:rPr>
          <w:sz w:val="26"/>
          <w:szCs w:val="26"/>
          <w:lang w:eastAsia="ru-RU"/>
        </w:rPr>
      </w:pPr>
      <w:r w:rsidRPr="004761E0">
        <w:rPr>
          <w:sz w:val="26"/>
          <w:szCs w:val="26"/>
          <w:lang w:eastAsia="ru-RU"/>
        </w:rPr>
        <w:t>Постановление Правительства РФ от 27.12.2004 № 861 «Об утверждении Правил недискриминационного доступа к услугам по передаче электрической энергии и оказания этих услуг,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583944" w:rsidRPr="004761E0" w:rsidRDefault="00583944" w:rsidP="007076A7">
      <w:pPr>
        <w:pStyle w:val="a5"/>
        <w:numPr>
          <w:ilvl w:val="0"/>
          <w:numId w:val="134"/>
        </w:numPr>
        <w:ind w:left="1134" w:hanging="708"/>
        <w:rPr>
          <w:sz w:val="26"/>
          <w:szCs w:val="26"/>
          <w:lang w:eastAsia="ru-RU"/>
        </w:rPr>
      </w:pPr>
      <w:r w:rsidRPr="004761E0">
        <w:rPr>
          <w:sz w:val="26"/>
          <w:szCs w:val="26"/>
          <w:lang w:eastAsia="ru-RU"/>
        </w:rPr>
        <w:t>Постановление Правительства РФ от 27.12.2010 №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583944" w:rsidRPr="004761E0" w:rsidRDefault="00583944" w:rsidP="007076A7">
      <w:pPr>
        <w:pStyle w:val="a5"/>
        <w:numPr>
          <w:ilvl w:val="0"/>
          <w:numId w:val="134"/>
        </w:numPr>
        <w:ind w:left="1134" w:hanging="708"/>
        <w:rPr>
          <w:sz w:val="26"/>
          <w:szCs w:val="26"/>
          <w:lang w:eastAsia="ru-RU"/>
        </w:rPr>
      </w:pPr>
      <w:r w:rsidRPr="004761E0">
        <w:rPr>
          <w:sz w:val="26"/>
          <w:szCs w:val="26"/>
          <w:lang w:eastAsia="ru-RU"/>
        </w:rPr>
        <w:t>Постановление Правительства РФ от 29.12.2011 № 1178 «О ценообразовании в области регулируемых цен (тарифов) в электроэнергетике»;</w:t>
      </w:r>
    </w:p>
    <w:p w:rsidR="00583944" w:rsidRPr="004761E0" w:rsidRDefault="00583944" w:rsidP="007076A7">
      <w:pPr>
        <w:pStyle w:val="a5"/>
        <w:numPr>
          <w:ilvl w:val="0"/>
          <w:numId w:val="134"/>
        </w:numPr>
        <w:ind w:left="1134" w:hanging="708"/>
        <w:rPr>
          <w:sz w:val="26"/>
          <w:szCs w:val="26"/>
          <w:lang w:eastAsia="ru-RU"/>
        </w:rPr>
      </w:pPr>
      <w:r w:rsidRPr="004761E0">
        <w:rPr>
          <w:sz w:val="26"/>
          <w:szCs w:val="26"/>
          <w:lang w:eastAsia="ru-RU"/>
        </w:rPr>
        <w:t>Приказ Федеральной службы по тарифам РФ (далее – ФСТ России) от 06.08.2004 № 20-э/2 «Об утверждении Методических указаний по расчету регулируемых тарифов и цен на электрическую (тепловую) энергию на розничном (потребительском) рынке»;</w:t>
      </w:r>
    </w:p>
    <w:p w:rsidR="00583944" w:rsidRPr="004761E0" w:rsidRDefault="00583944" w:rsidP="007076A7">
      <w:pPr>
        <w:pStyle w:val="a5"/>
        <w:numPr>
          <w:ilvl w:val="0"/>
          <w:numId w:val="134"/>
        </w:numPr>
        <w:ind w:left="1134" w:hanging="708"/>
        <w:rPr>
          <w:sz w:val="26"/>
          <w:szCs w:val="26"/>
          <w:lang w:eastAsia="ru-RU"/>
        </w:rPr>
      </w:pPr>
      <w:r w:rsidRPr="004761E0">
        <w:rPr>
          <w:sz w:val="26"/>
          <w:szCs w:val="26"/>
          <w:lang w:eastAsia="ru-RU"/>
        </w:rPr>
        <w:t>Приказ ФСТ России от 30.03.2012 № 228-э «Об утверждении Методических указаний по регулированию тарифов с применением метода доходности инвестированного капитала»;</w:t>
      </w:r>
    </w:p>
    <w:p w:rsidR="00583944" w:rsidRPr="004761E0" w:rsidRDefault="00583944" w:rsidP="007076A7">
      <w:pPr>
        <w:pStyle w:val="a5"/>
        <w:numPr>
          <w:ilvl w:val="0"/>
          <w:numId w:val="134"/>
        </w:numPr>
        <w:ind w:left="1134" w:hanging="708"/>
        <w:rPr>
          <w:sz w:val="26"/>
          <w:szCs w:val="26"/>
          <w:lang w:eastAsia="ru-RU"/>
        </w:rPr>
      </w:pPr>
      <w:r w:rsidRPr="004761E0">
        <w:rPr>
          <w:sz w:val="26"/>
          <w:szCs w:val="26"/>
          <w:lang w:eastAsia="ru-RU"/>
        </w:rPr>
        <w:t>Приказ ФСТ России от 11.09.2012 № 209-э/1 «Об утверждении Методических указаний по определению размера платы за технологическое присоединение к электрическим сетям».</w:t>
      </w:r>
    </w:p>
    <w:p w:rsidR="00583944" w:rsidRPr="004761E0" w:rsidRDefault="00583944" w:rsidP="00583944">
      <w:pPr>
        <w:ind w:firstLine="567"/>
        <w:rPr>
          <w:sz w:val="26"/>
          <w:szCs w:val="26"/>
          <w:lang w:eastAsia="ru-RU"/>
        </w:rPr>
      </w:pPr>
      <w:r w:rsidRPr="004761E0">
        <w:rPr>
          <w:sz w:val="26"/>
          <w:szCs w:val="26"/>
          <w:lang w:eastAsia="ru-RU"/>
        </w:rPr>
        <w:t>В 2013 году внесены изменения в законодательство, касающееся тарифообразования электросетевых компаний</w:t>
      </w:r>
      <w:r w:rsidRPr="006F4AB8">
        <w:rPr>
          <w:rStyle w:val="af1"/>
        </w:rPr>
        <w:footnoteReference w:id="70"/>
      </w:r>
      <w:r w:rsidRPr="004761E0">
        <w:rPr>
          <w:sz w:val="26"/>
          <w:szCs w:val="26"/>
          <w:lang w:eastAsia="ru-RU"/>
        </w:rPr>
        <w:t xml:space="preserve">. Данные изменения в большей степени </w:t>
      </w:r>
      <w:r w:rsidRPr="004761E0">
        <w:rPr>
          <w:sz w:val="26"/>
          <w:szCs w:val="26"/>
          <w:lang w:eastAsia="ru-RU"/>
        </w:rPr>
        <w:lastRenderedPageBreak/>
        <w:t>коснулись вопросов тарифного регулирования сетевых организаций, регулирование которых в г. Москве и Московской области осуществляется методом долгосрочной индексации, необходимая валовая выручка которых составляет не менее 500 млн руб. (</w:t>
      </w:r>
      <w:r w:rsidR="0008080E">
        <w:rPr>
          <w:sz w:val="26"/>
          <w:szCs w:val="26"/>
          <w:lang w:eastAsia="ru-RU"/>
        </w:rPr>
        <w:t>ОАО </w:t>
      </w:r>
      <w:r w:rsidRPr="004761E0">
        <w:rPr>
          <w:sz w:val="26"/>
          <w:szCs w:val="26"/>
          <w:lang w:eastAsia="ru-RU"/>
        </w:rPr>
        <w:t xml:space="preserve">«Мособлэнерго», </w:t>
      </w:r>
      <w:r w:rsidR="0008080E">
        <w:rPr>
          <w:sz w:val="26"/>
          <w:szCs w:val="26"/>
          <w:lang w:eastAsia="ru-RU"/>
        </w:rPr>
        <w:t>ОАО </w:t>
      </w:r>
      <w:r w:rsidRPr="004761E0">
        <w:rPr>
          <w:sz w:val="26"/>
          <w:szCs w:val="26"/>
          <w:lang w:eastAsia="ru-RU"/>
        </w:rPr>
        <w:t xml:space="preserve">«Одинцовская электросеть», Филиал «Центральный» </w:t>
      </w:r>
      <w:r w:rsidR="0008080E">
        <w:rPr>
          <w:sz w:val="26"/>
          <w:szCs w:val="26"/>
          <w:lang w:eastAsia="ru-RU"/>
        </w:rPr>
        <w:t>ОАО </w:t>
      </w:r>
      <w:r w:rsidRPr="004761E0">
        <w:rPr>
          <w:sz w:val="26"/>
          <w:szCs w:val="26"/>
          <w:lang w:eastAsia="ru-RU"/>
        </w:rPr>
        <w:t xml:space="preserve">«Оборонэнерго», </w:t>
      </w:r>
      <w:r w:rsidR="0008080E">
        <w:rPr>
          <w:sz w:val="26"/>
          <w:szCs w:val="26"/>
          <w:lang w:eastAsia="ru-RU"/>
        </w:rPr>
        <w:t>ЗАО </w:t>
      </w:r>
      <w:r w:rsidRPr="004761E0">
        <w:rPr>
          <w:sz w:val="26"/>
          <w:szCs w:val="26"/>
          <w:lang w:eastAsia="ru-RU"/>
        </w:rPr>
        <w:t xml:space="preserve">«Электросетьэксплуатация», </w:t>
      </w:r>
      <w:r w:rsidR="0008080E">
        <w:rPr>
          <w:sz w:val="26"/>
          <w:szCs w:val="26"/>
          <w:lang w:eastAsia="ru-RU"/>
        </w:rPr>
        <w:t>ОАО </w:t>
      </w:r>
      <w:r w:rsidRPr="004761E0">
        <w:rPr>
          <w:sz w:val="26"/>
          <w:szCs w:val="26"/>
          <w:lang w:eastAsia="ru-RU"/>
        </w:rPr>
        <w:t>«Энергокомплекс»). Для указанных организаций пересмотрен и установлен базовый уровень операционных расходов</w:t>
      </w:r>
      <w:r w:rsidRPr="004761E0">
        <w:rPr>
          <w:sz w:val="26"/>
          <w:szCs w:val="26"/>
        </w:rPr>
        <w:t>,</w:t>
      </w:r>
      <w:r w:rsidRPr="004761E0">
        <w:rPr>
          <w:sz w:val="26"/>
          <w:szCs w:val="26"/>
          <w:lang w:eastAsia="ru-RU"/>
        </w:rPr>
        <w:t xml:space="preserve"> а также размер необходимой валовой выручки на 2014 год. </w:t>
      </w:r>
    </w:p>
    <w:p w:rsidR="00583944" w:rsidRPr="004761E0" w:rsidRDefault="00583944" w:rsidP="00583944">
      <w:pPr>
        <w:pStyle w:val="a5"/>
        <w:spacing w:before="120" w:after="120"/>
        <w:ind w:left="0" w:firstLine="567"/>
        <w:contextualSpacing w:val="0"/>
        <w:rPr>
          <w:b/>
          <w:bCs/>
          <w:sz w:val="26"/>
          <w:szCs w:val="26"/>
        </w:rPr>
      </w:pPr>
      <w:r w:rsidRPr="004761E0">
        <w:rPr>
          <w:b/>
          <w:sz w:val="26"/>
          <w:szCs w:val="26"/>
        </w:rPr>
        <w:t>Процесс формирования и утверждения тарифов</w:t>
      </w:r>
      <w:r w:rsidRPr="004761E0">
        <w:rPr>
          <w:sz w:val="26"/>
          <w:szCs w:val="26"/>
        </w:rPr>
        <w:t xml:space="preserve"> </w:t>
      </w:r>
      <w:r w:rsidRPr="004761E0">
        <w:rPr>
          <w:b/>
          <w:sz w:val="26"/>
          <w:szCs w:val="26"/>
        </w:rPr>
        <w:t>в соответствии с действующим законодательством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678"/>
        <w:gridCol w:w="4536"/>
      </w:tblGrid>
      <w:tr w:rsidR="00583944" w:rsidRPr="004761E0" w:rsidTr="005123D7">
        <w:tc>
          <w:tcPr>
            <w:tcW w:w="709" w:type="dxa"/>
            <w:tcBorders>
              <w:top w:val="single" w:sz="4" w:space="0" w:color="FFFFFF" w:themeColor="background1"/>
              <w:left w:val="nil"/>
              <w:bottom w:val="nil"/>
              <w:right w:val="single" w:sz="4" w:space="0" w:color="FFFFFF" w:themeColor="background1"/>
            </w:tcBorders>
            <w:shd w:val="clear" w:color="auto" w:fill="0F243E" w:themeFill="text2" w:themeFillShade="80"/>
          </w:tcPr>
          <w:p w:rsidR="00583944" w:rsidRPr="004761E0" w:rsidRDefault="00583944" w:rsidP="005123D7">
            <w:pPr>
              <w:pStyle w:val="a5"/>
              <w:ind w:left="0" w:firstLine="0"/>
              <w:contextualSpacing w:val="0"/>
              <w:rPr>
                <w:b/>
                <w:sz w:val="20"/>
                <w:szCs w:val="26"/>
                <w:lang w:eastAsia="ru-RU"/>
              </w:rPr>
            </w:pPr>
            <w:r w:rsidRPr="004761E0">
              <w:rPr>
                <w:b/>
                <w:sz w:val="20"/>
                <w:szCs w:val="26"/>
                <w:lang w:eastAsia="ru-RU"/>
              </w:rPr>
              <w:t xml:space="preserve">Этап </w:t>
            </w:r>
          </w:p>
        </w:tc>
        <w:tc>
          <w:tcPr>
            <w:tcW w:w="4678" w:type="dxa"/>
            <w:tcBorders>
              <w:top w:val="single" w:sz="4" w:space="0" w:color="FFFFFF" w:themeColor="background1"/>
              <w:left w:val="single" w:sz="4" w:space="0" w:color="FFFFFF" w:themeColor="background1"/>
              <w:bottom w:val="nil"/>
              <w:right w:val="single" w:sz="4" w:space="0" w:color="FFFFFF" w:themeColor="background1"/>
            </w:tcBorders>
            <w:shd w:val="clear" w:color="auto" w:fill="0F243E" w:themeFill="text2" w:themeFillShade="80"/>
            <w:vAlign w:val="center"/>
          </w:tcPr>
          <w:p w:rsidR="00583944" w:rsidRPr="004761E0" w:rsidRDefault="00583944" w:rsidP="005123D7">
            <w:pPr>
              <w:ind w:firstLine="0"/>
              <w:jc w:val="left"/>
              <w:rPr>
                <w:b/>
                <w:sz w:val="20"/>
                <w:szCs w:val="26"/>
                <w:lang w:eastAsia="ru-RU"/>
              </w:rPr>
            </w:pPr>
            <w:r w:rsidRPr="004761E0">
              <w:rPr>
                <w:b/>
                <w:sz w:val="20"/>
                <w:szCs w:val="26"/>
                <w:lang w:eastAsia="ru-RU"/>
              </w:rPr>
              <w:t>Тарифы на услуги по передаче электроэнергии</w:t>
            </w:r>
          </w:p>
        </w:tc>
        <w:tc>
          <w:tcPr>
            <w:tcW w:w="4536" w:type="dxa"/>
            <w:tcBorders>
              <w:top w:val="single" w:sz="4" w:space="0" w:color="FFFFFF" w:themeColor="background1"/>
              <w:left w:val="single" w:sz="4" w:space="0" w:color="FFFFFF" w:themeColor="background1"/>
              <w:bottom w:val="nil"/>
              <w:right w:val="nil"/>
            </w:tcBorders>
            <w:shd w:val="clear" w:color="auto" w:fill="0F243E" w:themeFill="text2" w:themeFillShade="80"/>
            <w:vAlign w:val="center"/>
          </w:tcPr>
          <w:p w:rsidR="00583944" w:rsidRPr="004761E0" w:rsidRDefault="00583944" w:rsidP="005123D7">
            <w:pPr>
              <w:ind w:firstLine="0"/>
              <w:jc w:val="left"/>
              <w:rPr>
                <w:b/>
                <w:sz w:val="20"/>
                <w:szCs w:val="26"/>
                <w:lang w:eastAsia="ru-RU"/>
              </w:rPr>
            </w:pPr>
            <w:r w:rsidRPr="004761E0">
              <w:rPr>
                <w:b/>
                <w:sz w:val="20"/>
                <w:szCs w:val="26"/>
                <w:lang w:eastAsia="ru-RU"/>
              </w:rPr>
              <w:t>Плата за технологическое присоединение</w:t>
            </w:r>
          </w:p>
        </w:tc>
      </w:tr>
      <w:tr w:rsidR="00583944" w:rsidRPr="004761E0" w:rsidTr="005123D7">
        <w:tc>
          <w:tcPr>
            <w:tcW w:w="709" w:type="dxa"/>
            <w:tcBorders>
              <w:top w:val="nil"/>
            </w:tcBorders>
            <w:shd w:val="clear" w:color="auto" w:fill="auto"/>
          </w:tcPr>
          <w:p w:rsidR="00583944" w:rsidRPr="004761E0" w:rsidRDefault="00583944" w:rsidP="007076A7">
            <w:pPr>
              <w:pStyle w:val="a5"/>
              <w:numPr>
                <w:ilvl w:val="0"/>
                <w:numId w:val="259"/>
              </w:numPr>
              <w:contextualSpacing w:val="0"/>
              <w:rPr>
                <w:sz w:val="20"/>
                <w:szCs w:val="26"/>
                <w:lang w:eastAsia="ru-RU"/>
              </w:rPr>
            </w:pPr>
          </w:p>
        </w:tc>
        <w:tc>
          <w:tcPr>
            <w:tcW w:w="9214" w:type="dxa"/>
            <w:gridSpan w:val="2"/>
            <w:tcBorders>
              <w:top w:val="nil"/>
            </w:tcBorders>
          </w:tcPr>
          <w:p w:rsidR="00583944" w:rsidRPr="004761E0" w:rsidRDefault="00583944" w:rsidP="005123D7">
            <w:pPr>
              <w:ind w:firstLine="0"/>
              <w:rPr>
                <w:sz w:val="20"/>
                <w:szCs w:val="26"/>
                <w:lang w:eastAsia="ru-RU"/>
              </w:rPr>
            </w:pPr>
            <w:r w:rsidRPr="004761E0">
              <w:rPr>
                <w:sz w:val="20"/>
                <w:szCs w:val="26"/>
                <w:lang w:eastAsia="ru-RU"/>
              </w:rPr>
              <w:t>Предложения по размеру тарифов подготавливаются в соответствии с действующим законодательством на основании следующей информации:</w:t>
            </w:r>
          </w:p>
          <w:p w:rsidR="00583944" w:rsidRPr="004761E0" w:rsidRDefault="00583944" w:rsidP="007076A7">
            <w:pPr>
              <w:pStyle w:val="a5"/>
              <w:numPr>
                <w:ilvl w:val="0"/>
                <w:numId w:val="260"/>
              </w:numPr>
              <w:ind w:left="459" w:hanging="459"/>
              <w:rPr>
                <w:sz w:val="20"/>
                <w:szCs w:val="26"/>
                <w:lang w:eastAsia="ru-RU"/>
              </w:rPr>
            </w:pPr>
            <w:r w:rsidRPr="004761E0">
              <w:rPr>
                <w:sz w:val="20"/>
                <w:szCs w:val="26"/>
                <w:lang w:eastAsia="ru-RU"/>
              </w:rPr>
              <w:t>бухгалтерской и статистической отчетности;</w:t>
            </w:r>
          </w:p>
          <w:p w:rsidR="00583944" w:rsidRPr="004761E0" w:rsidRDefault="00583944" w:rsidP="007076A7">
            <w:pPr>
              <w:pStyle w:val="a5"/>
              <w:numPr>
                <w:ilvl w:val="0"/>
                <w:numId w:val="260"/>
              </w:numPr>
              <w:ind w:left="459" w:hanging="459"/>
              <w:rPr>
                <w:sz w:val="20"/>
                <w:szCs w:val="26"/>
                <w:lang w:eastAsia="ru-RU"/>
              </w:rPr>
            </w:pPr>
            <w:r w:rsidRPr="004761E0">
              <w:rPr>
                <w:sz w:val="20"/>
                <w:szCs w:val="26"/>
                <w:lang w:eastAsia="ru-RU"/>
              </w:rPr>
              <w:t>отчетности по результатам предыдущей тарифной кампании;</w:t>
            </w:r>
          </w:p>
          <w:p w:rsidR="00583944" w:rsidRPr="004761E0" w:rsidRDefault="00583944" w:rsidP="007076A7">
            <w:pPr>
              <w:pStyle w:val="a5"/>
              <w:numPr>
                <w:ilvl w:val="0"/>
                <w:numId w:val="260"/>
              </w:numPr>
              <w:ind w:left="459" w:hanging="459"/>
              <w:rPr>
                <w:sz w:val="20"/>
                <w:szCs w:val="26"/>
                <w:lang w:eastAsia="ru-RU"/>
              </w:rPr>
            </w:pPr>
            <w:r w:rsidRPr="004761E0">
              <w:rPr>
                <w:sz w:val="20"/>
                <w:szCs w:val="26"/>
                <w:lang w:eastAsia="ru-RU"/>
              </w:rPr>
              <w:t>информации о вводе/выводе основных фондов за предыдущий год (при утверждении тарифов на услуги по передаче электроэнергии);</w:t>
            </w:r>
          </w:p>
          <w:p w:rsidR="00583944" w:rsidRPr="004761E0" w:rsidRDefault="00583944" w:rsidP="007076A7">
            <w:pPr>
              <w:pStyle w:val="a5"/>
              <w:numPr>
                <w:ilvl w:val="0"/>
                <w:numId w:val="260"/>
              </w:numPr>
              <w:ind w:left="459" w:hanging="459"/>
              <w:rPr>
                <w:sz w:val="20"/>
                <w:szCs w:val="26"/>
                <w:lang w:eastAsia="ru-RU"/>
              </w:rPr>
            </w:pPr>
            <w:r w:rsidRPr="004761E0">
              <w:rPr>
                <w:sz w:val="20"/>
                <w:szCs w:val="26"/>
                <w:lang w:eastAsia="ru-RU"/>
              </w:rPr>
              <w:t>информации о вводе основных фондов за предыдущие три года</w:t>
            </w:r>
            <w:r w:rsidRPr="006F4AB8">
              <w:rPr>
                <w:rStyle w:val="af1"/>
              </w:rPr>
              <w:footnoteReference w:id="71"/>
            </w:r>
            <w:r w:rsidRPr="004761E0">
              <w:rPr>
                <w:sz w:val="20"/>
                <w:szCs w:val="26"/>
                <w:lang w:eastAsia="ru-RU"/>
              </w:rPr>
              <w:t xml:space="preserve"> (при утверждении тарифов на услуги по технологическому присоединению).</w:t>
            </w:r>
          </w:p>
          <w:p w:rsidR="00583944" w:rsidRPr="004761E0" w:rsidRDefault="00583944" w:rsidP="005123D7">
            <w:pPr>
              <w:pStyle w:val="a5"/>
              <w:ind w:left="0" w:firstLine="0"/>
              <w:contextualSpacing w:val="0"/>
              <w:rPr>
                <w:sz w:val="20"/>
                <w:szCs w:val="26"/>
                <w:lang w:eastAsia="ru-RU"/>
              </w:rPr>
            </w:pPr>
            <w:r w:rsidRPr="004761E0">
              <w:rPr>
                <w:sz w:val="20"/>
                <w:szCs w:val="26"/>
                <w:lang w:eastAsia="ru-RU"/>
              </w:rPr>
              <w:t>Предложения включают в себя заявление об установлении (пересмотре) тарифов с приложением полного комплекта обосновывающих документов.</w:t>
            </w:r>
          </w:p>
        </w:tc>
      </w:tr>
      <w:tr w:rsidR="00583944" w:rsidRPr="004761E0" w:rsidTr="005123D7">
        <w:tc>
          <w:tcPr>
            <w:tcW w:w="709" w:type="dxa"/>
          </w:tcPr>
          <w:p w:rsidR="00583944" w:rsidRPr="004761E0" w:rsidRDefault="00583944" w:rsidP="007076A7">
            <w:pPr>
              <w:pStyle w:val="a5"/>
              <w:numPr>
                <w:ilvl w:val="0"/>
                <w:numId w:val="259"/>
              </w:numPr>
              <w:contextualSpacing w:val="0"/>
              <w:rPr>
                <w:sz w:val="20"/>
                <w:szCs w:val="26"/>
                <w:lang w:eastAsia="ru-RU"/>
              </w:rPr>
            </w:pPr>
          </w:p>
        </w:tc>
        <w:tc>
          <w:tcPr>
            <w:tcW w:w="9214" w:type="dxa"/>
            <w:gridSpan w:val="2"/>
          </w:tcPr>
          <w:p w:rsidR="00583944" w:rsidRPr="004761E0" w:rsidRDefault="00583944" w:rsidP="005123D7">
            <w:pPr>
              <w:pStyle w:val="a5"/>
              <w:ind w:left="0" w:firstLine="0"/>
              <w:contextualSpacing w:val="0"/>
              <w:rPr>
                <w:sz w:val="20"/>
                <w:szCs w:val="26"/>
                <w:lang w:eastAsia="ru-RU"/>
              </w:rPr>
            </w:pPr>
            <w:r w:rsidRPr="004761E0">
              <w:rPr>
                <w:sz w:val="20"/>
                <w:szCs w:val="26"/>
                <w:lang w:eastAsia="ru-RU"/>
              </w:rPr>
              <w:t>Предложения по размеру тарифов публикуются на корпоративном сайте www.moesk.ru в разделе «Клиентам»/«Тарифы»/«Предложения о размере цен (тарифов)»). При утверждении тарифов на передачу электроэнергии также публикуется предложение по долгосрочным</w:t>
            </w:r>
            <w:r w:rsidRPr="004761E0">
              <w:rPr>
                <w:color w:val="FF0000"/>
                <w:sz w:val="20"/>
                <w:szCs w:val="26"/>
                <w:lang w:eastAsia="ru-RU"/>
              </w:rPr>
              <w:t xml:space="preserve"> </w:t>
            </w:r>
            <w:r w:rsidRPr="004761E0">
              <w:rPr>
                <w:sz w:val="20"/>
                <w:szCs w:val="26"/>
                <w:lang w:eastAsia="ru-RU"/>
              </w:rPr>
              <w:t>параметрам регулирования.</w:t>
            </w:r>
          </w:p>
        </w:tc>
      </w:tr>
      <w:tr w:rsidR="00583944" w:rsidRPr="004761E0" w:rsidTr="005123D7">
        <w:tc>
          <w:tcPr>
            <w:tcW w:w="709" w:type="dxa"/>
          </w:tcPr>
          <w:p w:rsidR="00583944" w:rsidRPr="004761E0" w:rsidRDefault="00583944" w:rsidP="007076A7">
            <w:pPr>
              <w:pStyle w:val="a5"/>
              <w:numPr>
                <w:ilvl w:val="0"/>
                <w:numId w:val="259"/>
              </w:numPr>
              <w:contextualSpacing w:val="0"/>
              <w:rPr>
                <w:sz w:val="20"/>
                <w:szCs w:val="26"/>
                <w:lang w:eastAsia="ru-RU"/>
              </w:rPr>
            </w:pPr>
          </w:p>
        </w:tc>
        <w:tc>
          <w:tcPr>
            <w:tcW w:w="4678" w:type="dxa"/>
          </w:tcPr>
          <w:p w:rsidR="00583944" w:rsidRPr="004761E0" w:rsidRDefault="00583944" w:rsidP="005123D7">
            <w:pPr>
              <w:pStyle w:val="a5"/>
              <w:ind w:left="0" w:firstLine="0"/>
              <w:contextualSpacing w:val="0"/>
              <w:rPr>
                <w:sz w:val="20"/>
                <w:szCs w:val="26"/>
                <w:lang w:eastAsia="ru-RU"/>
              </w:rPr>
            </w:pPr>
            <w:r w:rsidRPr="004761E0">
              <w:rPr>
                <w:sz w:val="20"/>
                <w:szCs w:val="26"/>
                <w:lang w:eastAsia="ru-RU"/>
              </w:rPr>
              <w:t>Предложения об установлении тарифов на услуги по передаче электроэнергии направляются в РЭК г. Москвы и Мокоблкомцен ежегодно до 1 мая года, предшествующего очередному периоду регулирования.</w:t>
            </w:r>
          </w:p>
        </w:tc>
        <w:tc>
          <w:tcPr>
            <w:tcW w:w="4536" w:type="dxa"/>
          </w:tcPr>
          <w:p w:rsidR="00583944" w:rsidRPr="004761E0" w:rsidRDefault="00583944" w:rsidP="005123D7">
            <w:pPr>
              <w:ind w:firstLine="0"/>
              <w:rPr>
                <w:sz w:val="20"/>
                <w:szCs w:val="26"/>
                <w:lang w:eastAsia="ru-RU"/>
              </w:rPr>
            </w:pPr>
            <w:r w:rsidRPr="004761E0">
              <w:rPr>
                <w:sz w:val="20"/>
                <w:szCs w:val="26"/>
                <w:lang w:eastAsia="ru-RU"/>
              </w:rPr>
              <w:t>Прогнозные сведения о планируемых расходах за технологическое присоединение на очередной календарный год представляются в РЭК г. Москвы и Мокоблкомцен ежегодно не позднее 1 ноября года, предшествующего отчетному периоду регулирования.</w:t>
            </w:r>
          </w:p>
        </w:tc>
      </w:tr>
      <w:tr w:rsidR="00583944" w:rsidRPr="004761E0" w:rsidTr="005123D7">
        <w:tc>
          <w:tcPr>
            <w:tcW w:w="709" w:type="dxa"/>
          </w:tcPr>
          <w:p w:rsidR="00583944" w:rsidRPr="004761E0" w:rsidRDefault="00583944" w:rsidP="007076A7">
            <w:pPr>
              <w:pStyle w:val="a5"/>
              <w:numPr>
                <w:ilvl w:val="0"/>
                <w:numId w:val="259"/>
              </w:numPr>
              <w:contextualSpacing w:val="0"/>
              <w:rPr>
                <w:sz w:val="20"/>
                <w:szCs w:val="26"/>
                <w:lang w:eastAsia="ru-RU"/>
              </w:rPr>
            </w:pPr>
          </w:p>
        </w:tc>
        <w:tc>
          <w:tcPr>
            <w:tcW w:w="9214" w:type="dxa"/>
            <w:gridSpan w:val="2"/>
          </w:tcPr>
          <w:p w:rsidR="00583944" w:rsidRPr="004761E0" w:rsidRDefault="00583944" w:rsidP="005123D7">
            <w:pPr>
              <w:pStyle w:val="a5"/>
              <w:ind w:left="0" w:firstLine="0"/>
              <w:contextualSpacing w:val="0"/>
              <w:rPr>
                <w:sz w:val="20"/>
                <w:szCs w:val="20"/>
                <w:lang w:eastAsia="ru-RU"/>
              </w:rPr>
            </w:pPr>
            <w:r w:rsidRPr="004761E0">
              <w:rPr>
                <w:sz w:val="20"/>
                <w:szCs w:val="26"/>
                <w:lang w:eastAsia="ru-RU"/>
              </w:rPr>
              <w:t>На основании полученных сведений РЭК г. Москвы и Мокоблкомцен</w:t>
            </w:r>
            <w:r w:rsidRPr="004761E0">
              <w:rPr>
                <w:sz w:val="20"/>
                <w:szCs w:val="20"/>
                <w:lang w:eastAsia="ru-RU"/>
              </w:rPr>
              <w:t xml:space="preserve"> принимают одно из следующих решений:</w:t>
            </w:r>
          </w:p>
          <w:p w:rsidR="00583944" w:rsidRPr="004761E0" w:rsidRDefault="00583944" w:rsidP="007076A7">
            <w:pPr>
              <w:pStyle w:val="a5"/>
              <w:numPr>
                <w:ilvl w:val="0"/>
                <w:numId w:val="261"/>
              </w:numPr>
              <w:contextualSpacing w:val="0"/>
              <w:rPr>
                <w:bCs/>
                <w:sz w:val="20"/>
                <w:szCs w:val="20"/>
                <w:lang w:eastAsia="ru-RU"/>
              </w:rPr>
            </w:pPr>
            <w:r w:rsidRPr="004761E0">
              <w:rPr>
                <w:sz w:val="20"/>
                <w:szCs w:val="20"/>
                <w:lang w:eastAsia="ru-RU"/>
              </w:rPr>
              <w:t>об открытии дела об установлении (пересмотре) тарифов;</w:t>
            </w:r>
          </w:p>
          <w:p w:rsidR="00583944" w:rsidRPr="004761E0" w:rsidRDefault="00583944" w:rsidP="007076A7">
            <w:pPr>
              <w:pStyle w:val="a5"/>
              <w:numPr>
                <w:ilvl w:val="0"/>
                <w:numId w:val="261"/>
              </w:numPr>
              <w:contextualSpacing w:val="0"/>
              <w:rPr>
                <w:bCs/>
                <w:sz w:val="20"/>
                <w:szCs w:val="20"/>
                <w:lang w:eastAsia="ru-RU"/>
              </w:rPr>
            </w:pPr>
            <w:r w:rsidRPr="004761E0">
              <w:rPr>
                <w:sz w:val="20"/>
                <w:szCs w:val="20"/>
                <w:lang w:eastAsia="ru-RU"/>
              </w:rPr>
              <w:t>о предоставлении дополнительных обосновывающих документов;</w:t>
            </w:r>
          </w:p>
          <w:p w:rsidR="00583944" w:rsidRPr="004761E0" w:rsidRDefault="00583944" w:rsidP="007076A7">
            <w:pPr>
              <w:pStyle w:val="a5"/>
              <w:numPr>
                <w:ilvl w:val="0"/>
                <w:numId w:val="261"/>
              </w:numPr>
              <w:contextualSpacing w:val="0"/>
              <w:rPr>
                <w:bCs/>
                <w:sz w:val="20"/>
                <w:szCs w:val="20"/>
                <w:lang w:eastAsia="ru-RU"/>
              </w:rPr>
            </w:pPr>
            <w:r w:rsidRPr="004761E0">
              <w:rPr>
                <w:sz w:val="20"/>
                <w:szCs w:val="20"/>
                <w:lang w:eastAsia="ru-RU"/>
              </w:rPr>
              <w:t xml:space="preserve">об отказе </w:t>
            </w:r>
            <w:r w:rsidRPr="004761E0">
              <w:rPr>
                <w:bCs/>
                <w:sz w:val="20"/>
                <w:szCs w:val="20"/>
                <w:lang w:eastAsia="ru-RU"/>
              </w:rPr>
              <w:t>в открытии дела об установлении (пересмотре) тарифов.</w:t>
            </w:r>
          </w:p>
          <w:p w:rsidR="00583944" w:rsidRPr="004761E0" w:rsidRDefault="00583944" w:rsidP="005123D7">
            <w:pPr>
              <w:pStyle w:val="a5"/>
              <w:ind w:left="0" w:firstLine="0"/>
              <w:contextualSpacing w:val="0"/>
              <w:rPr>
                <w:sz w:val="20"/>
                <w:szCs w:val="20"/>
                <w:lang w:eastAsia="ru-RU"/>
              </w:rPr>
            </w:pPr>
            <w:r w:rsidRPr="004761E0">
              <w:rPr>
                <w:sz w:val="20"/>
                <w:szCs w:val="20"/>
                <w:lang w:eastAsia="ru-RU"/>
              </w:rPr>
              <w:t>Во втором и третьем случае в регулирующие органы направляются дополнительные обосновывающие материалы в установленные законодательством сроки.</w:t>
            </w:r>
          </w:p>
        </w:tc>
      </w:tr>
      <w:tr w:rsidR="00583944" w:rsidRPr="004761E0" w:rsidTr="005123D7">
        <w:tc>
          <w:tcPr>
            <w:tcW w:w="709" w:type="dxa"/>
          </w:tcPr>
          <w:p w:rsidR="00583944" w:rsidRPr="004761E0" w:rsidRDefault="00583944" w:rsidP="007076A7">
            <w:pPr>
              <w:pStyle w:val="a5"/>
              <w:numPr>
                <w:ilvl w:val="0"/>
                <w:numId w:val="259"/>
              </w:numPr>
              <w:contextualSpacing w:val="0"/>
              <w:rPr>
                <w:sz w:val="20"/>
                <w:szCs w:val="26"/>
                <w:lang w:eastAsia="ru-RU"/>
              </w:rPr>
            </w:pPr>
          </w:p>
        </w:tc>
        <w:tc>
          <w:tcPr>
            <w:tcW w:w="9214" w:type="dxa"/>
            <w:gridSpan w:val="2"/>
          </w:tcPr>
          <w:p w:rsidR="00583944" w:rsidRPr="004761E0" w:rsidRDefault="00583944" w:rsidP="005123D7">
            <w:pPr>
              <w:pStyle w:val="a5"/>
              <w:ind w:left="0" w:firstLine="0"/>
              <w:contextualSpacing w:val="0"/>
              <w:rPr>
                <w:sz w:val="20"/>
                <w:szCs w:val="26"/>
                <w:lang w:eastAsia="ru-RU"/>
              </w:rPr>
            </w:pPr>
            <w:r w:rsidRPr="004761E0">
              <w:rPr>
                <w:sz w:val="20"/>
                <w:szCs w:val="26"/>
                <w:lang w:eastAsia="ru-RU"/>
              </w:rPr>
              <w:t>После открытия дела представители Компании осуществляют защиту тарифов.</w:t>
            </w:r>
          </w:p>
        </w:tc>
      </w:tr>
      <w:tr w:rsidR="00583944" w:rsidRPr="004761E0" w:rsidTr="005123D7">
        <w:tc>
          <w:tcPr>
            <w:tcW w:w="709" w:type="dxa"/>
          </w:tcPr>
          <w:p w:rsidR="00583944" w:rsidRPr="004761E0" w:rsidRDefault="00583944" w:rsidP="007076A7">
            <w:pPr>
              <w:pStyle w:val="a5"/>
              <w:numPr>
                <w:ilvl w:val="0"/>
                <w:numId w:val="259"/>
              </w:numPr>
              <w:contextualSpacing w:val="0"/>
              <w:rPr>
                <w:sz w:val="20"/>
                <w:szCs w:val="26"/>
                <w:lang w:eastAsia="ru-RU"/>
              </w:rPr>
            </w:pPr>
          </w:p>
        </w:tc>
        <w:tc>
          <w:tcPr>
            <w:tcW w:w="4678" w:type="dxa"/>
          </w:tcPr>
          <w:p w:rsidR="00583944" w:rsidRPr="004761E0" w:rsidRDefault="00583944" w:rsidP="005123D7">
            <w:pPr>
              <w:ind w:firstLine="0"/>
              <w:rPr>
                <w:sz w:val="20"/>
                <w:szCs w:val="26"/>
                <w:lang w:eastAsia="ru-RU"/>
              </w:rPr>
            </w:pPr>
            <w:r w:rsidRPr="004761E0">
              <w:rPr>
                <w:sz w:val="20"/>
                <w:szCs w:val="26"/>
                <w:lang w:eastAsia="ru-RU"/>
              </w:rPr>
              <w:t>РЭК г. Москвы и Мокоблкомцен</w:t>
            </w:r>
            <w:r w:rsidRPr="004761E0">
              <w:rPr>
                <w:sz w:val="20"/>
                <w:szCs w:val="20"/>
                <w:lang w:eastAsia="ru-RU"/>
              </w:rPr>
              <w:t xml:space="preserve"> д</w:t>
            </w:r>
            <w:r w:rsidRPr="004761E0">
              <w:rPr>
                <w:sz w:val="20"/>
                <w:szCs w:val="26"/>
                <w:lang w:eastAsia="ru-RU"/>
              </w:rPr>
              <w:t>о начала очередного финансового года принимают решение об установлении тарифов на услуги по передаче электроэнергии, которое доводится до сведения организаций, осуществляющих регулируемую деятельность, в течение 7 дней с момента принятия вышеуказанного решения.</w:t>
            </w:r>
          </w:p>
        </w:tc>
        <w:tc>
          <w:tcPr>
            <w:tcW w:w="4536" w:type="dxa"/>
          </w:tcPr>
          <w:p w:rsidR="00583944" w:rsidRPr="004761E0" w:rsidRDefault="00583944" w:rsidP="005123D7">
            <w:pPr>
              <w:ind w:firstLine="0"/>
              <w:rPr>
                <w:sz w:val="20"/>
                <w:szCs w:val="26"/>
                <w:lang w:eastAsia="ru-RU"/>
              </w:rPr>
            </w:pPr>
            <w:r w:rsidRPr="004761E0">
              <w:rPr>
                <w:sz w:val="20"/>
                <w:szCs w:val="26"/>
                <w:lang w:eastAsia="ru-RU"/>
              </w:rPr>
              <w:t>РЭК г. Москвы и Мокоблкомцен</w:t>
            </w:r>
            <w:r w:rsidRPr="004761E0">
              <w:rPr>
                <w:sz w:val="20"/>
                <w:szCs w:val="20"/>
                <w:lang w:eastAsia="ru-RU"/>
              </w:rPr>
              <w:t xml:space="preserve"> </w:t>
            </w:r>
            <w:r w:rsidRPr="004761E0">
              <w:rPr>
                <w:sz w:val="20"/>
                <w:szCs w:val="26"/>
                <w:lang w:eastAsia="ru-RU"/>
              </w:rPr>
              <w:t>не позднее 31 декабря года, предшествующего очередному периоду регулирования устанавливают:</w:t>
            </w:r>
          </w:p>
          <w:p w:rsidR="00583944" w:rsidRPr="004761E0" w:rsidRDefault="00583944" w:rsidP="007076A7">
            <w:pPr>
              <w:pStyle w:val="a5"/>
              <w:numPr>
                <w:ilvl w:val="0"/>
                <w:numId w:val="262"/>
              </w:numPr>
              <w:ind w:left="318" w:hanging="284"/>
              <w:contextualSpacing w:val="0"/>
              <w:rPr>
                <w:sz w:val="20"/>
                <w:szCs w:val="20"/>
                <w:lang w:eastAsia="ru-RU"/>
              </w:rPr>
            </w:pPr>
            <w:r w:rsidRPr="004761E0">
              <w:rPr>
                <w:sz w:val="20"/>
                <w:szCs w:val="20"/>
                <w:lang w:eastAsia="ru-RU"/>
              </w:rPr>
              <w:t>стандартизированные тарифные ставки;</w:t>
            </w:r>
          </w:p>
          <w:p w:rsidR="00583944" w:rsidRPr="00453B91" w:rsidRDefault="00583944" w:rsidP="007076A7">
            <w:pPr>
              <w:pStyle w:val="a5"/>
              <w:numPr>
                <w:ilvl w:val="0"/>
                <w:numId w:val="262"/>
              </w:numPr>
              <w:ind w:left="318" w:hanging="284"/>
              <w:contextualSpacing w:val="0"/>
              <w:rPr>
                <w:sz w:val="20"/>
                <w:szCs w:val="20"/>
                <w:lang w:eastAsia="ru-RU"/>
              </w:rPr>
            </w:pPr>
            <w:r w:rsidRPr="004761E0">
              <w:rPr>
                <w:sz w:val="20"/>
                <w:szCs w:val="20"/>
                <w:lang w:eastAsia="ru-RU"/>
              </w:rPr>
              <w:t xml:space="preserve">ставки за 1 кВт максимальной мощности с разбивкой по категориям потребителей, уровням напряжения электрических сетей и (или) объемам присоединенной максимальной мощности за исключением платы </w:t>
            </w:r>
            <w:r w:rsidR="00B83BD2">
              <w:rPr>
                <w:sz w:val="20"/>
                <w:szCs w:val="20"/>
                <w:lang w:eastAsia="ru-RU"/>
              </w:rPr>
              <w:t xml:space="preserve">для </w:t>
            </w:r>
            <w:r w:rsidRPr="004761E0">
              <w:rPr>
                <w:sz w:val="20"/>
                <w:szCs w:val="20"/>
                <w:lang w:eastAsia="ru-RU"/>
              </w:rPr>
              <w:t xml:space="preserve">отдельных потребителей и объектов по производству электрической энергии </w:t>
            </w:r>
            <w:r w:rsidRPr="004761E0">
              <w:rPr>
                <w:sz w:val="20"/>
                <w:szCs w:val="20"/>
                <w:lang w:eastAsia="ru-RU"/>
              </w:rPr>
              <w:lastRenderedPageBreak/>
              <w:t>максимальной мощностью не менее 8 900 кВт и на уровне напряжения не ниже 35 кВ, а также при присоединении по индивидуальному проекту.</w:t>
            </w:r>
          </w:p>
        </w:tc>
      </w:tr>
      <w:tr w:rsidR="00583944" w:rsidRPr="004761E0" w:rsidTr="005123D7">
        <w:tc>
          <w:tcPr>
            <w:tcW w:w="709" w:type="dxa"/>
          </w:tcPr>
          <w:p w:rsidR="00583944" w:rsidRPr="004761E0" w:rsidRDefault="00583944" w:rsidP="007076A7">
            <w:pPr>
              <w:pStyle w:val="a5"/>
              <w:numPr>
                <w:ilvl w:val="0"/>
                <w:numId w:val="259"/>
              </w:numPr>
              <w:contextualSpacing w:val="0"/>
              <w:rPr>
                <w:sz w:val="20"/>
                <w:szCs w:val="26"/>
                <w:lang w:eastAsia="ru-RU"/>
              </w:rPr>
            </w:pPr>
          </w:p>
        </w:tc>
        <w:tc>
          <w:tcPr>
            <w:tcW w:w="9214" w:type="dxa"/>
            <w:gridSpan w:val="2"/>
          </w:tcPr>
          <w:p w:rsidR="00583944" w:rsidRPr="004761E0" w:rsidRDefault="00583944" w:rsidP="005123D7">
            <w:pPr>
              <w:pStyle w:val="a5"/>
              <w:ind w:left="0" w:firstLine="0"/>
              <w:contextualSpacing w:val="0"/>
              <w:rPr>
                <w:sz w:val="20"/>
                <w:szCs w:val="26"/>
                <w:lang w:eastAsia="ru-RU"/>
              </w:rPr>
            </w:pPr>
            <w:r w:rsidRPr="004761E0">
              <w:rPr>
                <w:sz w:val="20"/>
                <w:szCs w:val="26"/>
                <w:lang w:eastAsia="ru-RU"/>
              </w:rPr>
              <w:t>Информация об установлении тарифов и иные сведения, подлежащие обязательному раскрытию</w:t>
            </w:r>
            <w:r w:rsidRPr="006F4AB8">
              <w:rPr>
                <w:rStyle w:val="af1"/>
              </w:rPr>
              <w:footnoteReference w:id="72"/>
            </w:r>
            <w:r w:rsidRPr="004761E0">
              <w:rPr>
                <w:sz w:val="20"/>
                <w:szCs w:val="26"/>
                <w:lang w:eastAsia="ru-RU"/>
              </w:rPr>
              <w:t xml:space="preserve">, публикуются на корпоративном сайте </w:t>
            </w:r>
            <w:hyperlink r:id="rId132" w:history="1">
              <w:r w:rsidRPr="004761E0">
                <w:rPr>
                  <w:rStyle w:val="a4"/>
                  <w:sz w:val="20"/>
                  <w:szCs w:val="26"/>
                  <w:lang w:eastAsia="ru-RU"/>
                </w:rPr>
                <w:t>www.moesk.ru</w:t>
              </w:r>
            </w:hyperlink>
            <w:r w:rsidRPr="004761E0">
              <w:rPr>
                <w:sz w:val="20"/>
                <w:szCs w:val="26"/>
                <w:lang w:eastAsia="ru-RU"/>
              </w:rPr>
              <w:t xml:space="preserve"> в разделе «Клиентам»/«Тарифы»/ «Услуги по передаче электрической энергии» и «Клиентам»/«Тарифы»/ «Технологическое присоединение».</w:t>
            </w:r>
          </w:p>
        </w:tc>
      </w:tr>
    </w:tbl>
    <w:p w:rsidR="00453B91" w:rsidRPr="000C4C4A" w:rsidRDefault="00453B91" w:rsidP="00453B91">
      <w:pPr>
        <w:pStyle w:val="a5"/>
        <w:ind w:left="0" w:firstLine="567"/>
        <w:rPr>
          <w:bCs/>
          <w:sz w:val="26"/>
          <w:szCs w:val="26"/>
        </w:rPr>
      </w:pPr>
      <w:r w:rsidRPr="000C4C4A">
        <w:rPr>
          <w:bCs/>
          <w:sz w:val="26"/>
          <w:szCs w:val="26"/>
        </w:rPr>
        <w:t xml:space="preserve">При установлении платы за технологическое присоединение </w:t>
      </w:r>
      <w:r w:rsidR="00B83BD2">
        <w:rPr>
          <w:bCs/>
          <w:sz w:val="26"/>
          <w:szCs w:val="26"/>
        </w:rPr>
        <w:t xml:space="preserve">для </w:t>
      </w:r>
      <w:r w:rsidRPr="000C4C4A">
        <w:rPr>
          <w:bCs/>
          <w:sz w:val="26"/>
          <w:szCs w:val="26"/>
        </w:rPr>
        <w:t>отдельных потребителей и объектов по производству электрической энергии максимальной мощностью не менее 8 900 кВт и на уровне напряжения не ниже 35 кВ, а также при присоединении по индивидуальному проекту сетевая организация в соответствии с действующим законодательством в 30-дневный срок после получения заявки от потребителя направляет заявление об установлении платы за технологическое присоединение в регулирующий орган, который утверждает плату за технологическое присоединение в срок, не превышающий 45 рабочих дней.</w:t>
      </w:r>
    </w:p>
    <w:p w:rsidR="00453B91" w:rsidRDefault="00453B91" w:rsidP="00453B91">
      <w:pPr>
        <w:pStyle w:val="a5"/>
        <w:ind w:left="0" w:firstLine="567"/>
        <w:rPr>
          <w:lang w:eastAsia="ru-RU"/>
        </w:rPr>
      </w:pPr>
      <w:r w:rsidRPr="000C4C4A">
        <w:rPr>
          <w:bCs/>
          <w:sz w:val="26"/>
          <w:szCs w:val="26"/>
        </w:rPr>
        <w:t xml:space="preserve">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w:t>
      </w:r>
      <w:r w:rsidR="00193A23">
        <w:rPr>
          <w:bCs/>
          <w:sz w:val="26"/>
          <w:szCs w:val="26"/>
        </w:rPr>
        <w:t>–</w:t>
      </w:r>
      <w:r w:rsidRPr="000C4C4A">
        <w:rPr>
          <w:bCs/>
          <w:sz w:val="26"/>
          <w:szCs w:val="26"/>
        </w:rPr>
        <w:t xml:space="preserve"> от существующих объектов электросетевого хозяйства до присоединяемых энергопринимающих устройств и (или) объектов электроэнергетики.</w:t>
      </w:r>
    </w:p>
    <w:p w:rsidR="009817EE" w:rsidRDefault="009817EE" w:rsidP="009817EE">
      <w:pPr>
        <w:rPr>
          <w:rFonts w:eastAsia="Times New Roman"/>
          <w:lang w:eastAsia="ru-RU"/>
        </w:rPr>
      </w:pPr>
      <w:r>
        <w:rPr>
          <w:lang w:eastAsia="ru-RU"/>
        </w:rPr>
        <w:br w:type="page"/>
      </w:r>
    </w:p>
    <w:p w:rsidR="00136A10" w:rsidRPr="009F6B03" w:rsidRDefault="00E34ACB" w:rsidP="009F6B03">
      <w:pPr>
        <w:spacing w:before="120" w:after="120"/>
        <w:ind w:firstLine="567"/>
        <w:rPr>
          <w:b/>
          <w:sz w:val="26"/>
          <w:szCs w:val="26"/>
          <w:lang w:eastAsia="ru-RU"/>
        </w:rPr>
      </w:pPr>
      <w:r w:rsidRPr="009F6B03">
        <w:rPr>
          <w:b/>
          <w:sz w:val="26"/>
          <w:szCs w:val="26"/>
        </w:rPr>
        <w:lastRenderedPageBreak/>
        <w:t>Тарифы на услуги по передаче электроэнергии</w:t>
      </w:r>
      <w:bookmarkEnd w:id="77"/>
    </w:p>
    <w:p w:rsidR="00583944" w:rsidRPr="009817EE" w:rsidRDefault="00583944" w:rsidP="009817EE">
      <w:pPr>
        <w:spacing w:before="120" w:after="120"/>
        <w:ind w:firstLine="567"/>
        <w:rPr>
          <w:b/>
          <w:sz w:val="26"/>
          <w:szCs w:val="26"/>
        </w:rPr>
      </w:pPr>
      <w:bookmarkStart w:id="78" w:name="_Toc380576927"/>
      <w:r w:rsidRPr="009817EE">
        <w:rPr>
          <w:b/>
          <w:sz w:val="26"/>
          <w:szCs w:val="26"/>
        </w:rPr>
        <w:t>RAB-</w:t>
      </w:r>
      <w:r w:rsidRPr="004761E0">
        <w:rPr>
          <w:b/>
          <w:sz w:val="26"/>
          <w:szCs w:val="26"/>
        </w:rPr>
        <w:t>регулирование</w:t>
      </w:r>
    </w:p>
    <w:p w:rsidR="00583944" w:rsidRPr="004761E0" w:rsidRDefault="00583944" w:rsidP="00583944">
      <w:pPr>
        <w:pStyle w:val="a5"/>
        <w:ind w:left="0" w:firstLine="567"/>
        <w:rPr>
          <w:bCs/>
          <w:sz w:val="26"/>
          <w:szCs w:val="26"/>
        </w:rPr>
      </w:pPr>
      <w:r w:rsidRPr="004761E0">
        <w:rPr>
          <w:bCs/>
          <w:sz w:val="26"/>
          <w:szCs w:val="26"/>
        </w:rPr>
        <w:t xml:space="preserve">В </w:t>
      </w:r>
      <w:r w:rsidR="0008080E">
        <w:rPr>
          <w:bCs/>
          <w:sz w:val="26"/>
          <w:szCs w:val="26"/>
        </w:rPr>
        <w:t>ОАО </w:t>
      </w:r>
      <w:r w:rsidRPr="004761E0">
        <w:rPr>
          <w:bCs/>
          <w:sz w:val="26"/>
          <w:szCs w:val="26"/>
        </w:rPr>
        <w:t>«МОЭСК» внедрен механизм долгосрочного регулирования тарифов на услуги по передаче электроэнергии с применением метода RAB</w:t>
      </w:r>
      <w:r w:rsidRPr="004761E0">
        <w:rPr>
          <w:sz w:val="26"/>
          <w:szCs w:val="26"/>
        </w:rPr>
        <w:t xml:space="preserve"> (от англ. Regulatory Asset Base) – доходности инвестированного </w:t>
      </w:r>
      <w:r w:rsidRPr="004761E0">
        <w:rPr>
          <w:bCs/>
          <w:sz w:val="26"/>
          <w:szCs w:val="26"/>
        </w:rPr>
        <w:t>капитала.</w:t>
      </w:r>
    </w:p>
    <w:p w:rsidR="00583944" w:rsidRPr="004761E0" w:rsidRDefault="00583944" w:rsidP="00583944">
      <w:pPr>
        <w:pStyle w:val="a5"/>
        <w:ind w:left="0" w:firstLine="567"/>
        <w:rPr>
          <w:sz w:val="26"/>
          <w:szCs w:val="26"/>
        </w:rPr>
      </w:pPr>
      <w:r w:rsidRPr="004761E0">
        <w:rPr>
          <w:bCs/>
          <w:sz w:val="26"/>
          <w:szCs w:val="26"/>
        </w:rPr>
        <w:t>RAB – это система долгосрочного</w:t>
      </w:r>
      <w:r w:rsidRPr="004761E0">
        <w:rPr>
          <w:sz w:val="26"/>
          <w:szCs w:val="26"/>
        </w:rPr>
        <w:t xml:space="preserve"> тарифообразования, основной целью внедрения </w:t>
      </w:r>
      <w:r w:rsidRPr="004761E0">
        <w:rPr>
          <w:bCs/>
          <w:sz w:val="26"/>
          <w:szCs w:val="26"/>
        </w:rPr>
        <w:t>которой</w:t>
      </w:r>
      <w:r w:rsidRPr="004761E0">
        <w:rPr>
          <w:sz w:val="26"/>
          <w:szCs w:val="26"/>
        </w:rPr>
        <w:t xml:space="preserve"> является привлечение масштабных и эффективных инвестиций в расширение и модернизацию инфраструктуры. </w:t>
      </w:r>
    </w:p>
    <w:p w:rsidR="00583944" w:rsidRPr="004761E0" w:rsidRDefault="00583944" w:rsidP="00583944">
      <w:pPr>
        <w:pStyle w:val="a5"/>
        <w:ind w:left="0" w:firstLine="567"/>
        <w:rPr>
          <w:bCs/>
          <w:sz w:val="26"/>
          <w:szCs w:val="26"/>
        </w:rPr>
      </w:pPr>
      <w:r w:rsidRPr="004761E0">
        <w:rPr>
          <w:sz w:val="26"/>
          <w:szCs w:val="26"/>
        </w:rPr>
        <w:t xml:space="preserve">Компании при </w:t>
      </w:r>
      <w:r w:rsidRPr="004761E0">
        <w:rPr>
          <w:bCs/>
          <w:sz w:val="26"/>
          <w:szCs w:val="26"/>
        </w:rPr>
        <w:t>RAB-</w:t>
      </w:r>
      <w:r w:rsidRPr="004761E0">
        <w:rPr>
          <w:sz w:val="26"/>
          <w:szCs w:val="26"/>
        </w:rPr>
        <w:t>регулировании получают гарантированный возврат вложенных инвестиций с учетом установленного уровня доходности инвестированного капитала, достаточного для обслуживания кредитов и получения прибыли. Кроме того, компании приобретают дополнительный стимул к снижению текущих издержек (подконтрольных операционных расходов), т.к. сэкономленные средства остаются в компании в отличие от применяемого ранее метода экономически обоснованных расходов («</w:t>
      </w:r>
      <w:r w:rsidRPr="004761E0">
        <w:rPr>
          <w:bCs/>
          <w:sz w:val="26"/>
          <w:szCs w:val="26"/>
        </w:rPr>
        <w:t>Затраты+»). Внедрение долгосрочного тарифообразования позволяет прогнозировать финансовое состояние компаний и привлекать кредитные ресурсы по оптимальным ставкам.</w:t>
      </w:r>
    </w:p>
    <w:p w:rsidR="00583944" w:rsidRPr="004761E0" w:rsidRDefault="00583944" w:rsidP="00583944">
      <w:pPr>
        <w:pStyle w:val="a5"/>
        <w:ind w:left="0" w:firstLine="567"/>
        <w:rPr>
          <w:sz w:val="26"/>
          <w:szCs w:val="26"/>
        </w:rPr>
      </w:pPr>
      <w:r w:rsidRPr="004761E0">
        <w:rPr>
          <w:sz w:val="26"/>
          <w:szCs w:val="26"/>
        </w:rPr>
        <w:t xml:space="preserve">Для потребителей достоинствами </w:t>
      </w:r>
      <w:r w:rsidRPr="004761E0">
        <w:rPr>
          <w:bCs/>
          <w:sz w:val="26"/>
          <w:szCs w:val="26"/>
        </w:rPr>
        <w:t>RAB–</w:t>
      </w:r>
      <w:r w:rsidRPr="004761E0">
        <w:rPr>
          <w:sz w:val="26"/>
          <w:szCs w:val="26"/>
        </w:rPr>
        <w:t xml:space="preserve">регулирования является обеспечение компаниями </w:t>
      </w:r>
      <w:r w:rsidRPr="004761E0">
        <w:rPr>
          <w:sz w:val="26"/>
          <w:szCs w:val="26"/>
          <w:lang w:eastAsia="ru-RU"/>
        </w:rPr>
        <w:t>установленного уровня надежности и качества оказываемых услуг</w:t>
      </w:r>
      <w:r w:rsidRPr="004761E0">
        <w:rPr>
          <w:sz w:val="26"/>
          <w:szCs w:val="26"/>
        </w:rPr>
        <w:t xml:space="preserve"> за счет эффективных инвестиционных программ.</w:t>
      </w:r>
    </w:p>
    <w:p w:rsidR="00583944" w:rsidRPr="004761E0" w:rsidRDefault="00583944" w:rsidP="00583944">
      <w:pPr>
        <w:pStyle w:val="a5"/>
        <w:ind w:left="0" w:firstLine="567"/>
        <w:rPr>
          <w:rFonts w:eastAsiaTheme="minorHAnsi"/>
          <w:bCs/>
          <w:sz w:val="26"/>
          <w:szCs w:val="26"/>
        </w:rPr>
      </w:pPr>
      <w:r w:rsidRPr="004761E0">
        <w:rPr>
          <w:sz w:val="26"/>
          <w:szCs w:val="26"/>
        </w:rPr>
        <w:t>С 01.01.2011 ФСТ России согласова</w:t>
      </w:r>
      <w:r w:rsidR="00951E09">
        <w:rPr>
          <w:sz w:val="26"/>
          <w:szCs w:val="26"/>
        </w:rPr>
        <w:t>н</w:t>
      </w:r>
      <w:r w:rsidRPr="004761E0">
        <w:rPr>
          <w:sz w:val="26"/>
          <w:szCs w:val="26"/>
        </w:rPr>
        <w:t xml:space="preserve"> переход </w:t>
      </w:r>
      <w:r w:rsidR="0008080E">
        <w:rPr>
          <w:sz w:val="26"/>
          <w:szCs w:val="26"/>
        </w:rPr>
        <w:t>ОАО </w:t>
      </w:r>
      <w:r w:rsidRPr="004761E0">
        <w:rPr>
          <w:sz w:val="26"/>
          <w:szCs w:val="26"/>
        </w:rPr>
        <w:t>«МОЭСК» к регулированию тарифов на услуги по передаче электроэнергии с применением метода доходности инвестированного капитала</w:t>
      </w:r>
      <w:r w:rsidRPr="006F4AB8">
        <w:rPr>
          <w:rStyle w:val="af1"/>
        </w:rPr>
        <w:footnoteReference w:id="73"/>
      </w:r>
      <w:r w:rsidRPr="004761E0">
        <w:rPr>
          <w:rFonts w:eastAsiaTheme="minorHAnsi"/>
          <w:bCs/>
          <w:sz w:val="26"/>
          <w:szCs w:val="26"/>
        </w:rPr>
        <w:t>.</w:t>
      </w:r>
    </w:p>
    <w:p w:rsidR="00583944" w:rsidRPr="004761E0" w:rsidRDefault="00583944" w:rsidP="00583944">
      <w:pPr>
        <w:pStyle w:val="a5"/>
        <w:ind w:left="0" w:firstLine="567"/>
        <w:rPr>
          <w:rFonts w:eastAsiaTheme="minorHAnsi"/>
          <w:bCs/>
          <w:sz w:val="26"/>
          <w:szCs w:val="26"/>
        </w:rPr>
      </w:pPr>
      <w:r w:rsidRPr="004761E0">
        <w:rPr>
          <w:rFonts w:eastAsiaTheme="minorHAnsi"/>
          <w:bCs/>
          <w:sz w:val="26"/>
          <w:szCs w:val="26"/>
        </w:rPr>
        <w:t>Во исполнение требований законодательства РФ</w:t>
      </w:r>
      <w:r w:rsidRPr="006F4AB8">
        <w:rPr>
          <w:rStyle w:val="af1"/>
        </w:rPr>
        <w:footnoteReference w:id="74"/>
      </w:r>
      <w:r w:rsidRPr="004761E0">
        <w:rPr>
          <w:rFonts w:eastAsiaTheme="minorHAnsi"/>
          <w:bCs/>
          <w:sz w:val="26"/>
          <w:szCs w:val="26"/>
        </w:rPr>
        <w:t xml:space="preserve"> о </w:t>
      </w:r>
      <w:r w:rsidRPr="004761E0">
        <w:rPr>
          <w:rFonts w:eastAsiaTheme="minorHAnsi"/>
          <w:bCs/>
          <w:sz w:val="26"/>
          <w:szCs w:val="26"/>
          <w:lang w:val="en-US"/>
        </w:rPr>
        <w:t>RAB</w:t>
      </w:r>
      <w:r w:rsidRPr="004761E0">
        <w:rPr>
          <w:rFonts w:eastAsiaTheme="minorHAnsi"/>
          <w:bCs/>
          <w:sz w:val="26"/>
          <w:szCs w:val="26"/>
        </w:rPr>
        <w:t>-перезагрузке ФСТ России</w:t>
      </w:r>
      <w:r w:rsidRPr="006F4AB8">
        <w:rPr>
          <w:rStyle w:val="af1"/>
        </w:rPr>
        <w:footnoteReference w:id="75"/>
      </w:r>
      <w:r w:rsidRPr="004761E0">
        <w:rPr>
          <w:rFonts w:eastAsiaTheme="minorHAnsi"/>
          <w:bCs/>
          <w:sz w:val="26"/>
          <w:szCs w:val="26"/>
        </w:rPr>
        <w:t xml:space="preserve"> согласован переход </w:t>
      </w:r>
      <w:r w:rsidR="0008080E">
        <w:rPr>
          <w:rFonts w:eastAsiaTheme="minorHAnsi"/>
          <w:bCs/>
          <w:sz w:val="26"/>
          <w:szCs w:val="26"/>
        </w:rPr>
        <w:t>ОАО </w:t>
      </w:r>
      <w:r w:rsidRPr="004761E0">
        <w:rPr>
          <w:rFonts w:eastAsiaTheme="minorHAnsi"/>
          <w:bCs/>
          <w:sz w:val="26"/>
          <w:szCs w:val="26"/>
        </w:rPr>
        <w:t>«МОЭСК» на регулирование тарифов на услуги по передаче электроэнергии методом RAB, пересмотрены и установлены долгосрочные параметры регулирования с 01.11.2012.</w:t>
      </w:r>
    </w:p>
    <w:p w:rsidR="00583944" w:rsidRPr="004761E0" w:rsidRDefault="00583944" w:rsidP="00583944">
      <w:pPr>
        <w:pStyle w:val="a5"/>
        <w:ind w:left="0" w:firstLine="567"/>
        <w:rPr>
          <w:sz w:val="26"/>
          <w:szCs w:val="26"/>
        </w:rPr>
      </w:pPr>
      <w:r w:rsidRPr="004761E0">
        <w:rPr>
          <w:sz w:val="26"/>
          <w:szCs w:val="26"/>
        </w:rPr>
        <w:t xml:space="preserve">В 2013 году регулирование тарифов на услуги по передаче </w:t>
      </w:r>
      <w:r w:rsidRPr="004761E0">
        <w:rPr>
          <w:bCs/>
          <w:sz w:val="26"/>
          <w:szCs w:val="26"/>
        </w:rPr>
        <w:t>электроэнергии</w:t>
      </w:r>
      <w:r w:rsidRPr="004761E0">
        <w:rPr>
          <w:sz w:val="26"/>
          <w:szCs w:val="26"/>
        </w:rPr>
        <w:t xml:space="preserve"> проводилось согласно утвержденным при RAB-перезагрузке долгосрочным параметрам.</w:t>
      </w:r>
    </w:p>
    <w:p w:rsidR="00583944" w:rsidRDefault="00583944" w:rsidP="00583944">
      <w:pPr>
        <w:autoSpaceDE w:val="0"/>
        <w:autoSpaceDN w:val="0"/>
        <w:adjustRightInd w:val="0"/>
        <w:ind w:firstLine="540"/>
        <w:rPr>
          <w:rFonts w:eastAsia="Times New Roman" w:cs="Calibri"/>
          <w:bCs/>
          <w:sz w:val="26"/>
          <w:szCs w:val="26"/>
        </w:rPr>
      </w:pPr>
      <w:r w:rsidRPr="004761E0">
        <w:rPr>
          <w:rFonts w:eastAsia="Times New Roman" w:cs="Calibri"/>
          <w:bCs/>
          <w:sz w:val="26"/>
          <w:szCs w:val="26"/>
        </w:rPr>
        <w:t>Долгосрочные параметры регулирования и необходим</w:t>
      </w:r>
      <w:r w:rsidR="00193A23">
        <w:rPr>
          <w:rFonts w:eastAsia="Times New Roman" w:cs="Calibri"/>
          <w:bCs/>
          <w:sz w:val="26"/>
          <w:szCs w:val="26"/>
        </w:rPr>
        <w:t>ая</w:t>
      </w:r>
      <w:r w:rsidRPr="004761E0">
        <w:rPr>
          <w:rFonts w:eastAsia="Times New Roman" w:cs="Calibri"/>
          <w:bCs/>
          <w:sz w:val="26"/>
          <w:szCs w:val="26"/>
        </w:rPr>
        <w:t xml:space="preserve"> валов</w:t>
      </w:r>
      <w:r w:rsidR="00193A23">
        <w:rPr>
          <w:rFonts w:eastAsia="Times New Roman" w:cs="Calibri"/>
          <w:bCs/>
          <w:sz w:val="26"/>
          <w:szCs w:val="26"/>
        </w:rPr>
        <w:t>ая</w:t>
      </w:r>
      <w:r w:rsidRPr="004761E0">
        <w:rPr>
          <w:rFonts w:eastAsia="Times New Roman" w:cs="Calibri"/>
          <w:bCs/>
          <w:sz w:val="26"/>
          <w:szCs w:val="26"/>
        </w:rPr>
        <w:t xml:space="preserve"> выручк</w:t>
      </w:r>
      <w:r w:rsidR="00193A23">
        <w:rPr>
          <w:rFonts w:eastAsia="Times New Roman" w:cs="Calibri"/>
          <w:bCs/>
          <w:sz w:val="26"/>
          <w:szCs w:val="26"/>
        </w:rPr>
        <w:t>а</w:t>
      </w:r>
      <w:r w:rsidRPr="004761E0">
        <w:rPr>
          <w:rFonts w:eastAsia="Times New Roman" w:cs="Calibri"/>
          <w:bCs/>
          <w:sz w:val="26"/>
          <w:szCs w:val="26"/>
        </w:rPr>
        <w:t xml:space="preserve"> </w:t>
      </w:r>
      <w:r w:rsidR="0008080E">
        <w:rPr>
          <w:rFonts w:eastAsia="Times New Roman" w:cs="Calibri"/>
          <w:bCs/>
          <w:sz w:val="26"/>
          <w:szCs w:val="26"/>
        </w:rPr>
        <w:t>ОАО </w:t>
      </w:r>
      <w:r w:rsidRPr="004761E0">
        <w:rPr>
          <w:rFonts w:eastAsia="Times New Roman" w:cs="Calibri"/>
          <w:bCs/>
          <w:sz w:val="26"/>
          <w:szCs w:val="26"/>
        </w:rPr>
        <w:t>«МОЭСК», установленные РЭК г. Москвы и Мособлкомцен</w:t>
      </w:r>
      <w:r w:rsidR="00054D13">
        <w:rPr>
          <w:rFonts w:eastAsia="Times New Roman" w:cs="Calibri"/>
          <w:bCs/>
          <w:sz w:val="26"/>
          <w:szCs w:val="26"/>
        </w:rPr>
        <w:t>,</w:t>
      </w:r>
      <w:r w:rsidRPr="004761E0">
        <w:rPr>
          <w:rFonts w:eastAsia="Times New Roman" w:cs="Calibri"/>
          <w:bCs/>
          <w:sz w:val="26"/>
          <w:szCs w:val="26"/>
        </w:rPr>
        <w:t xml:space="preserve"> </w:t>
      </w:r>
      <w:r w:rsidR="00193A23">
        <w:rPr>
          <w:rFonts w:eastAsia="Times New Roman" w:cs="Calibri"/>
          <w:bCs/>
          <w:sz w:val="26"/>
          <w:szCs w:val="26"/>
        </w:rPr>
        <w:t>представлены</w:t>
      </w:r>
      <w:r w:rsidRPr="004761E0">
        <w:rPr>
          <w:rFonts w:eastAsia="Times New Roman" w:cs="Calibri"/>
          <w:bCs/>
          <w:sz w:val="26"/>
          <w:szCs w:val="26"/>
        </w:rPr>
        <w:t xml:space="preserve"> в Приложении </w:t>
      </w:r>
      <w:r w:rsidR="00054D13">
        <w:rPr>
          <w:rFonts w:eastAsia="Times New Roman" w:cs="Calibri"/>
          <w:bCs/>
          <w:sz w:val="26"/>
          <w:szCs w:val="26"/>
        </w:rPr>
        <w:t>12.</w:t>
      </w:r>
      <w:r w:rsidR="003146BC">
        <w:rPr>
          <w:rFonts w:eastAsia="Times New Roman" w:cs="Calibri"/>
          <w:bCs/>
          <w:sz w:val="26"/>
          <w:szCs w:val="26"/>
        </w:rPr>
        <w:t>1</w:t>
      </w:r>
      <w:r w:rsidR="00054D13">
        <w:rPr>
          <w:rFonts w:eastAsia="Times New Roman" w:cs="Calibri"/>
          <w:bCs/>
          <w:sz w:val="26"/>
          <w:szCs w:val="26"/>
        </w:rPr>
        <w:t>.</w:t>
      </w:r>
      <w:r w:rsidRPr="004761E0">
        <w:rPr>
          <w:rFonts w:eastAsia="Times New Roman" w:cs="Calibri"/>
          <w:bCs/>
          <w:sz w:val="26"/>
          <w:szCs w:val="26"/>
        </w:rPr>
        <w:t xml:space="preserve"> к Годовом</w:t>
      </w:r>
      <w:r w:rsidR="00193A23">
        <w:rPr>
          <w:rFonts w:eastAsia="Times New Roman" w:cs="Calibri"/>
          <w:bCs/>
          <w:sz w:val="26"/>
          <w:szCs w:val="26"/>
        </w:rPr>
        <w:t>у отчету.</w:t>
      </w:r>
    </w:p>
    <w:p w:rsidR="00583944" w:rsidRPr="004761E0" w:rsidRDefault="00583944" w:rsidP="009817EE">
      <w:pPr>
        <w:spacing w:before="120" w:after="120"/>
        <w:ind w:firstLine="567"/>
        <w:rPr>
          <w:b/>
          <w:sz w:val="26"/>
          <w:szCs w:val="26"/>
        </w:rPr>
      </w:pPr>
      <w:r w:rsidRPr="004761E0">
        <w:rPr>
          <w:b/>
          <w:sz w:val="26"/>
          <w:szCs w:val="26"/>
        </w:rPr>
        <w:t>Основные события в области тарифного регулирования за 2013 год</w:t>
      </w:r>
    </w:p>
    <w:p w:rsidR="00583944" w:rsidRPr="004761E0" w:rsidRDefault="00583944" w:rsidP="00583944">
      <w:pPr>
        <w:pStyle w:val="a5"/>
        <w:ind w:left="0" w:firstLine="567"/>
        <w:rPr>
          <w:sz w:val="26"/>
          <w:szCs w:val="26"/>
        </w:rPr>
      </w:pPr>
      <w:r w:rsidRPr="004761E0">
        <w:rPr>
          <w:sz w:val="26"/>
          <w:szCs w:val="26"/>
        </w:rPr>
        <w:t>Одной из важнейших задач, поставленных Правительством РФ для предприятий электроэнергетики, являлось обеспечение в 2013 году ограничения темпов роста тарифов на услуги по передаче электроэнергии в регионах согласно прогнозу социально-экономического развития за исключением населения:</w:t>
      </w:r>
    </w:p>
    <w:p w:rsidR="00583944" w:rsidRPr="004761E0" w:rsidRDefault="00583944" w:rsidP="007076A7">
      <w:pPr>
        <w:pStyle w:val="a5"/>
        <w:numPr>
          <w:ilvl w:val="0"/>
          <w:numId w:val="140"/>
        </w:numPr>
        <w:ind w:left="1134" w:hanging="567"/>
        <w:rPr>
          <w:sz w:val="26"/>
          <w:szCs w:val="26"/>
        </w:rPr>
      </w:pPr>
      <w:r w:rsidRPr="004761E0">
        <w:rPr>
          <w:sz w:val="26"/>
          <w:szCs w:val="26"/>
        </w:rPr>
        <w:lastRenderedPageBreak/>
        <w:t>с 01.01.2013 прирост тарифов – 0 %,</w:t>
      </w:r>
    </w:p>
    <w:p w:rsidR="00583944" w:rsidRPr="004761E0" w:rsidRDefault="00583944" w:rsidP="007076A7">
      <w:pPr>
        <w:pStyle w:val="a5"/>
        <w:numPr>
          <w:ilvl w:val="0"/>
          <w:numId w:val="140"/>
        </w:numPr>
        <w:ind w:left="1134" w:hanging="567"/>
        <w:rPr>
          <w:sz w:val="26"/>
          <w:szCs w:val="26"/>
        </w:rPr>
      </w:pPr>
      <w:r w:rsidRPr="004761E0">
        <w:rPr>
          <w:sz w:val="26"/>
          <w:szCs w:val="26"/>
        </w:rPr>
        <w:t xml:space="preserve">с 01.07.2013 прирост тарифов не более чем на 10 % к уровню, установленному с 01.01.2013. </w:t>
      </w:r>
    </w:p>
    <w:p w:rsidR="00583944" w:rsidRPr="004761E0" w:rsidRDefault="00583944" w:rsidP="00583944">
      <w:pPr>
        <w:autoSpaceDE w:val="0"/>
        <w:autoSpaceDN w:val="0"/>
        <w:adjustRightInd w:val="0"/>
        <w:ind w:firstLine="540"/>
        <w:rPr>
          <w:sz w:val="26"/>
          <w:szCs w:val="26"/>
        </w:rPr>
      </w:pPr>
      <w:r w:rsidRPr="004761E0">
        <w:rPr>
          <w:sz w:val="26"/>
          <w:szCs w:val="26"/>
        </w:rPr>
        <w:t>В рамках указанных ограничений приказом ФСТ России у</w:t>
      </w:r>
      <w:r w:rsidR="00951E09">
        <w:rPr>
          <w:sz w:val="26"/>
          <w:szCs w:val="26"/>
        </w:rPr>
        <w:t>становлены</w:t>
      </w:r>
      <w:r w:rsidRPr="006F4AB8">
        <w:rPr>
          <w:rStyle w:val="af1"/>
        </w:rPr>
        <w:footnoteReference w:id="76"/>
      </w:r>
      <w:r w:rsidRPr="004761E0">
        <w:rPr>
          <w:sz w:val="26"/>
          <w:szCs w:val="26"/>
        </w:rPr>
        <w:t xml:space="preserve"> предельные уровни тарифов на услуги по передаче электроэнергии по субъектам РФ на 2013 год (с 01.01.2013 по 30.06.2013 и с 01.07.2013 по 31.12.2013).</w:t>
      </w:r>
    </w:p>
    <w:p w:rsidR="00583944" w:rsidRPr="004761E0" w:rsidRDefault="00583944" w:rsidP="00583944">
      <w:pPr>
        <w:pStyle w:val="a5"/>
        <w:ind w:left="0" w:firstLine="567"/>
        <w:rPr>
          <w:sz w:val="26"/>
          <w:szCs w:val="26"/>
        </w:rPr>
      </w:pPr>
      <w:r w:rsidRPr="004761E0">
        <w:rPr>
          <w:sz w:val="26"/>
          <w:szCs w:val="26"/>
        </w:rPr>
        <w:t xml:space="preserve">Единые (котловые) тарифы на услуги по передаче электроэнергии, установленные РЭК г. Москвы и Мособлкомцен с 01.01.2013, а также установленные РЭК г. Москвы с 01.07.2013, соответствуют утвержденным предельным уровням тарифов. </w:t>
      </w:r>
    </w:p>
    <w:p w:rsidR="00583944" w:rsidRDefault="00583944" w:rsidP="00583944">
      <w:pPr>
        <w:autoSpaceDE w:val="0"/>
        <w:autoSpaceDN w:val="0"/>
        <w:adjustRightInd w:val="0"/>
        <w:ind w:firstLine="540"/>
        <w:rPr>
          <w:rFonts w:eastAsia="Times New Roman" w:cs="Calibri"/>
          <w:bCs/>
          <w:sz w:val="26"/>
          <w:szCs w:val="26"/>
        </w:rPr>
      </w:pPr>
      <w:r w:rsidRPr="004761E0">
        <w:rPr>
          <w:sz w:val="26"/>
          <w:szCs w:val="26"/>
        </w:rPr>
        <w:t>Единые (котловые) тарифы на услуги по передаче электроэнергии, установленные Мособлкомцен с 01.07.2013, превышают утвержденные предельные уровни тарифов, что обусловлено размером инвестиционных программ организаций, оказывающих услуги по передаче электроэнергии на территории Московской области</w:t>
      </w:r>
      <w:r w:rsidR="008A4282" w:rsidRPr="006F4AB8">
        <w:rPr>
          <w:rStyle w:val="af1"/>
        </w:rPr>
        <w:footnoteReference w:id="77"/>
      </w:r>
      <w:r w:rsidRPr="004761E0">
        <w:rPr>
          <w:rFonts w:eastAsia="Times New Roman" w:cs="Calibri"/>
          <w:bCs/>
          <w:sz w:val="26"/>
          <w:szCs w:val="26"/>
        </w:rPr>
        <w:t>.</w:t>
      </w:r>
    </w:p>
    <w:p w:rsidR="006345C1" w:rsidRDefault="006345C1" w:rsidP="00583944">
      <w:pPr>
        <w:autoSpaceDE w:val="0"/>
        <w:autoSpaceDN w:val="0"/>
        <w:adjustRightInd w:val="0"/>
        <w:ind w:firstLine="540"/>
        <w:rPr>
          <w:rFonts w:eastAsia="Times New Roman" w:cs="Calibri"/>
          <w:bCs/>
          <w:sz w:val="26"/>
          <w:szCs w:val="26"/>
        </w:rPr>
      </w:pPr>
      <w:r w:rsidRPr="004761E0">
        <w:rPr>
          <w:sz w:val="26"/>
          <w:szCs w:val="26"/>
        </w:rPr>
        <w:t>Единые (котловые) тарифы на услуги по передаче электроэнергии, установленные РЭК г. Москвы и Мособлкомцен</w:t>
      </w:r>
      <w:r>
        <w:rPr>
          <w:sz w:val="26"/>
          <w:szCs w:val="26"/>
        </w:rPr>
        <w:t xml:space="preserve"> с 01.01.2013 и с 01.07.2013, </w:t>
      </w:r>
      <w:r w:rsidRPr="004761E0">
        <w:rPr>
          <w:sz w:val="26"/>
          <w:szCs w:val="26"/>
          <w:lang w:eastAsia="ru-RU"/>
        </w:rPr>
        <w:t>представлены в Приложении</w:t>
      </w:r>
      <w:r>
        <w:rPr>
          <w:sz w:val="26"/>
          <w:szCs w:val="26"/>
          <w:lang w:eastAsia="ru-RU"/>
        </w:rPr>
        <w:t xml:space="preserve"> 12.</w:t>
      </w:r>
      <w:r w:rsidR="003146BC">
        <w:rPr>
          <w:sz w:val="26"/>
          <w:szCs w:val="26"/>
          <w:lang w:eastAsia="ru-RU"/>
        </w:rPr>
        <w:t>6</w:t>
      </w:r>
      <w:r>
        <w:rPr>
          <w:sz w:val="26"/>
          <w:szCs w:val="26"/>
          <w:lang w:eastAsia="ru-RU"/>
        </w:rPr>
        <w:t>.</w:t>
      </w:r>
      <w:r w:rsidRPr="004761E0">
        <w:rPr>
          <w:sz w:val="26"/>
          <w:szCs w:val="26"/>
          <w:lang w:eastAsia="ru-RU"/>
        </w:rPr>
        <w:t xml:space="preserve"> к Годовому отчету.</w:t>
      </w:r>
    </w:p>
    <w:p w:rsidR="00583944" w:rsidRPr="004761E0" w:rsidRDefault="00583944" w:rsidP="00583944">
      <w:pPr>
        <w:pStyle w:val="a5"/>
        <w:spacing w:before="120" w:after="120"/>
        <w:ind w:left="0" w:firstLine="567"/>
        <w:contextualSpacing w:val="0"/>
        <w:rPr>
          <w:rFonts w:eastAsia="Times New Roman"/>
          <w:sz w:val="26"/>
          <w:szCs w:val="26"/>
        </w:rPr>
      </w:pPr>
      <w:r w:rsidRPr="004761E0">
        <w:rPr>
          <w:rFonts w:eastAsia="Times New Roman"/>
          <w:b/>
          <w:bCs/>
          <w:iCs/>
          <w:sz w:val="26"/>
          <w:szCs w:val="26"/>
          <w:lang w:eastAsia="ru-RU"/>
        </w:rPr>
        <w:t>Структура тарифа на услуги по передаче электроэнергии на территории г. Москвы и Московской области</w:t>
      </w:r>
    </w:p>
    <w:tbl>
      <w:tblPr>
        <w:tblW w:w="10078" w:type="dxa"/>
        <w:tblInd w:w="95" w:type="dxa"/>
        <w:tblLayout w:type="fixed"/>
        <w:tblLook w:val="04A0"/>
      </w:tblPr>
      <w:tblGrid>
        <w:gridCol w:w="569"/>
        <w:gridCol w:w="4406"/>
        <w:gridCol w:w="1134"/>
        <w:gridCol w:w="992"/>
        <w:gridCol w:w="850"/>
        <w:gridCol w:w="993"/>
        <w:gridCol w:w="1134"/>
      </w:tblGrid>
      <w:tr w:rsidR="00583944" w:rsidRPr="004761E0" w:rsidTr="005123D7">
        <w:trPr>
          <w:trHeight w:val="525"/>
        </w:trPr>
        <w:tc>
          <w:tcPr>
            <w:tcW w:w="569"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583944" w:rsidRPr="004761E0" w:rsidRDefault="00583944" w:rsidP="005123D7">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440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83944" w:rsidRPr="004761E0" w:rsidRDefault="00583944" w:rsidP="005123D7">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583944" w:rsidRPr="004761E0" w:rsidRDefault="00583944" w:rsidP="005123D7">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Ед. изм.</w:t>
            </w:r>
          </w:p>
        </w:tc>
        <w:tc>
          <w:tcPr>
            <w:tcW w:w="99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583944" w:rsidRPr="004761E0" w:rsidRDefault="00583944" w:rsidP="005123D7">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85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583944" w:rsidRPr="004761E0" w:rsidRDefault="00583944" w:rsidP="005123D7">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99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583944" w:rsidRPr="004761E0" w:rsidRDefault="00583944" w:rsidP="005123D7">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tcPr>
          <w:p w:rsidR="00583944" w:rsidRPr="004761E0" w:rsidRDefault="00583944" w:rsidP="005123D7">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583944" w:rsidRPr="004761E0" w:rsidTr="005123D7">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583944" w:rsidRPr="004761E0" w:rsidRDefault="00583944" w:rsidP="007076A7">
            <w:pPr>
              <w:numPr>
                <w:ilvl w:val="0"/>
                <w:numId w:val="141"/>
              </w:numPr>
              <w:jc w:val="left"/>
              <w:rPr>
                <w:rFonts w:eastAsia="Times New Roman"/>
                <w:color w:val="000000"/>
                <w:sz w:val="20"/>
                <w:szCs w:val="20"/>
                <w:lang w:eastAsia="ru-RU"/>
              </w:rPr>
            </w:pPr>
          </w:p>
        </w:tc>
        <w:tc>
          <w:tcPr>
            <w:tcW w:w="4406" w:type="dxa"/>
            <w:tcBorders>
              <w:top w:val="single" w:sz="4" w:space="0" w:color="auto"/>
              <w:left w:val="nil"/>
              <w:bottom w:val="single" w:sz="4" w:space="0" w:color="auto"/>
              <w:right w:val="single" w:sz="4" w:space="0" w:color="auto"/>
            </w:tcBorders>
            <w:shd w:val="clear" w:color="auto" w:fill="auto"/>
            <w:vAlign w:val="center"/>
          </w:tcPr>
          <w:p w:rsidR="00583944" w:rsidRPr="004761E0" w:rsidRDefault="00583944" w:rsidP="005123D7">
            <w:pPr>
              <w:ind w:firstLine="0"/>
              <w:jc w:val="left"/>
              <w:rPr>
                <w:rFonts w:eastAsia="Times New Roman"/>
                <w:color w:val="000000"/>
                <w:sz w:val="20"/>
                <w:szCs w:val="20"/>
                <w:lang w:eastAsia="ru-RU"/>
              </w:rPr>
            </w:pPr>
            <w:r w:rsidRPr="004761E0">
              <w:rPr>
                <w:rFonts w:eastAsia="Times New Roman"/>
                <w:color w:val="000000"/>
                <w:sz w:val="20"/>
                <w:szCs w:val="20"/>
                <w:lang w:eastAsia="ru-RU"/>
              </w:rPr>
              <w:t>Необходимая валовая выручка «котловая» (всего), в т.ч.:</w:t>
            </w:r>
          </w:p>
        </w:tc>
        <w:tc>
          <w:tcPr>
            <w:tcW w:w="1134"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0"/>
              <w:jc w:val="center"/>
              <w:rPr>
                <w:rFonts w:eastAsia="Times New Roman"/>
                <w:color w:val="000000"/>
                <w:sz w:val="20"/>
                <w:szCs w:val="20"/>
                <w:lang w:eastAsia="ru-RU"/>
              </w:rPr>
            </w:pPr>
            <w:r w:rsidRPr="004761E0">
              <w:rPr>
                <w:rFonts w:eastAsia="Times New Roman"/>
                <w:color w:val="000000"/>
                <w:sz w:val="20"/>
                <w:szCs w:val="20"/>
                <w:lang w:eastAsia="ru-RU"/>
              </w:rPr>
              <w:t>млн руб.</w:t>
            </w:r>
          </w:p>
        </w:tc>
        <w:tc>
          <w:tcPr>
            <w:tcW w:w="992"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1"/>
              <w:jc w:val="right"/>
              <w:rPr>
                <w:color w:val="000000"/>
                <w:sz w:val="20"/>
                <w:szCs w:val="20"/>
              </w:rPr>
            </w:pPr>
            <w:r w:rsidRPr="004761E0">
              <w:rPr>
                <w:color w:val="000000"/>
                <w:sz w:val="20"/>
                <w:szCs w:val="20"/>
              </w:rPr>
              <w:t>108 099</w:t>
            </w:r>
          </w:p>
        </w:tc>
        <w:tc>
          <w:tcPr>
            <w:tcW w:w="850"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1"/>
              <w:jc w:val="right"/>
              <w:rPr>
                <w:color w:val="000000"/>
                <w:sz w:val="20"/>
                <w:szCs w:val="20"/>
              </w:rPr>
            </w:pPr>
            <w:r w:rsidRPr="004761E0">
              <w:rPr>
                <w:color w:val="000000"/>
                <w:sz w:val="20"/>
                <w:szCs w:val="20"/>
              </w:rPr>
              <w:t>99 555</w:t>
            </w:r>
          </w:p>
        </w:tc>
        <w:tc>
          <w:tcPr>
            <w:tcW w:w="993"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1"/>
              <w:jc w:val="right"/>
              <w:rPr>
                <w:color w:val="000000"/>
                <w:sz w:val="20"/>
                <w:szCs w:val="20"/>
              </w:rPr>
            </w:pPr>
            <w:r w:rsidRPr="004761E0">
              <w:rPr>
                <w:color w:val="000000"/>
                <w:sz w:val="20"/>
                <w:szCs w:val="20"/>
              </w:rPr>
              <w:t>111 460</w:t>
            </w:r>
          </w:p>
        </w:tc>
        <w:tc>
          <w:tcPr>
            <w:tcW w:w="1134"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0"/>
              <w:jc w:val="right"/>
              <w:rPr>
                <w:color w:val="000000"/>
                <w:sz w:val="20"/>
                <w:szCs w:val="20"/>
              </w:rPr>
            </w:pPr>
            <w:r w:rsidRPr="004761E0">
              <w:rPr>
                <w:color w:val="000000"/>
                <w:sz w:val="20"/>
                <w:szCs w:val="20"/>
              </w:rPr>
              <w:t>11,96 %</w:t>
            </w:r>
          </w:p>
        </w:tc>
      </w:tr>
      <w:tr w:rsidR="00583944" w:rsidRPr="004761E0" w:rsidTr="005123D7">
        <w:trPr>
          <w:trHeight w:val="300"/>
        </w:trPr>
        <w:tc>
          <w:tcPr>
            <w:tcW w:w="569" w:type="dxa"/>
            <w:tcBorders>
              <w:top w:val="nil"/>
              <w:left w:val="single" w:sz="4" w:space="0" w:color="auto"/>
              <w:bottom w:val="single" w:sz="4" w:space="0" w:color="auto"/>
              <w:right w:val="single" w:sz="4" w:space="0" w:color="auto"/>
            </w:tcBorders>
            <w:shd w:val="clear" w:color="auto" w:fill="auto"/>
            <w:vAlign w:val="center"/>
          </w:tcPr>
          <w:p w:rsidR="00583944" w:rsidRPr="004761E0" w:rsidRDefault="00583944" w:rsidP="007076A7">
            <w:pPr>
              <w:pStyle w:val="a5"/>
              <w:numPr>
                <w:ilvl w:val="1"/>
                <w:numId w:val="141"/>
              </w:numPr>
              <w:contextualSpacing w:val="0"/>
              <w:jc w:val="left"/>
              <w:rPr>
                <w:rFonts w:eastAsia="Times New Roman"/>
                <w:color w:val="000000"/>
                <w:sz w:val="20"/>
                <w:szCs w:val="20"/>
                <w:lang w:eastAsia="ru-RU"/>
              </w:rPr>
            </w:pPr>
          </w:p>
        </w:tc>
        <w:tc>
          <w:tcPr>
            <w:tcW w:w="4406" w:type="dxa"/>
            <w:tcBorders>
              <w:top w:val="nil"/>
              <w:left w:val="nil"/>
              <w:bottom w:val="single" w:sz="4" w:space="0" w:color="auto"/>
              <w:right w:val="single" w:sz="4" w:space="0" w:color="auto"/>
            </w:tcBorders>
            <w:shd w:val="clear" w:color="auto" w:fill="auto"/>
            <w:vAlign w:val="center"/>
          </w:tcPr>
          <w:p w:rsidR="00583944" w:rsidRPr="004761E0" w:rsidRDefault="00583944" w:rsidP="005123D7">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 xml:space="preserve">расходы на </w:t>
            </w:r>
            <w:r w:rsidR="0008080E">
              <w:rPr>
                <w:rFonts w:eastAsia="Times New Roman"/>
                <w:color w:val="000000"/>
                <w:sz w:val="20"/>
                <w:szCs w:val="20"/>
                <w:lang w:eastAsia="ru-RU"/>
              </w:rPr>
              <w:t>ОАО </w:t>
            </w:r>
            <w:r w:rsidRPr="004761E0">
              <w:rPr>
                <w:rFonts w:eastAsia="Times New Roman"/>
                <w:color w:val="000000"/>
                <w:sz w:val="20"/>
                <w:szCs w:val="20"/>
                <w:lang w:eastAsia="ru-RU"/>
              </w:rPr>
              <w:t>«ФСК ЕЭС»*</w:t>
            </w:r>
          </w:p>
        </w:tc>
        <w:tc>
          <w:tcPr>
            <w:tcW w:w="1134"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0"/>
              <w:jc w:val="center"/>
              <w:rPr>
                <w:rFonts w:eastAsia="Times New Roman"/>
                <w:color w:val="000000"/>
                <w:sz w:val="20"/>
                <w:szCs w:val="20"/>
                <w:lang w:eastAsia="ru-RU"/>
              </w:rPr>
            </w:pPr>
            <w:r w:rsidRPr="004761E0">
              <w:rPr>
                <w:rFonts w:eastAsia="Times New Roman"/>
                <w:color w:val="000000"/>
                <w:sz w:val="20"/>
                <w:szCs w:val="20"/>
                <w:lang w:eastAsia="ru-RU"/>
              </w:rPr>
              <w:t>млн руб.</w:t>
            </w:r>
          </w:p>
        </w:tc>
        <w:tc>
          <w:tcPr>
            <w:tcW w:w="992"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1"/>
              <w:jc w:val="right"/>
              <w:rPr>
                <w:color w:val="000000"/>
                <w:sz w:val="20"/>
                <w:szCs w:val="20"/>
              </w:rPr>
            </w:pPr>
            <w:r w:rsidRPr="004761E0">
              <w:rPr>
                <w:color w:val="000000"/>
                <w:sz w:val="20"/>
                <w:szCs w:val="20"/>
              </w:rPr>
              <w:t>12 266</w:t>
            </w:r>
          </w:p>
        </w:tc>
        <w:tc>
          <w:tcPr>
            <w:tcW w:w="850"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1"/>
              <w:jc w:val="right"/>
              <w:rPr>
                <w:color w:val="000000"/>
                <w:sz w:val="20"/>
                <w:szCs w:val="20"/>
              </w:rPr>
            </w:pPr>
            <w:r w:rsidRPr="004761E0">
              <w:rPr>
                <w:color w:val="000000"/>
                <w:sz w:val="20"/>
                <w:szCs w:val="20"/>
              </w:rPr>
              <w:t>13 524</w:t>
            </w:r>
          </w:p>
        </w:tc>
        <w:tc>
          <w:tcPr>
            <w:tcW w:w="993"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1"/>
              <w:jc w:val="right"/>
              <w:rPr>
                <w:color w:val="000000"/>
                <w:sz w:val="20"/>
                <w:szCs w:val="20"/>
              </w:rPr>
            </w:pPr>
            <w:r w:rsidRPr="004761E0">
              <w:rPr>
                <w:color w:val="000000"/>
                <w:sz w:val="20"/>
                <w:szCs w:val="20"/>
              </w:rPr>
              <w:t>15 406</w:t>
            </w:r>
          </w:p>
        </w:tc>
        <w:tc>
          <w:tcPr>
            <w:tcW w:w="1134"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0"/>
              <w:jc w:val="right"/>
              <w:rPr>
                <w:color w:val="000000"/>
                <w:sz w:val="20"/>
                <w:szCs w:val="20"/>
              </w:rPr>
            </w:pPr>
            <w:r w:rsidRPr="004761E0">
              <w:rPr>
                <w:color w:val="000000"/>
                <w:sz w:val="20"/>
                <w:szCs w:val="20"/>
              </w:rPr>
              <w:t>13,91 %</w:t>
            </w:r>
          </w:p>
        </w:tc>
      </w:tr>
      <w:tr w:rsidR="00583944" w:rsidRPr="004761E0" w:rsidTr="005123D7">
        <w:trPr>
          <w:trHeight w:val="300"/>
        </w:trPr>
        <w:tc>
          <w:tcPr>
            <w:tcW w:w="569" w:type="dxa"/>
            <w:tcBorders>
              <w:top w:val="nil"/>
              <w:left w:val="single" w:sz="4" w:space="0" w:color="auto"/>
              <w:bottom w:val="single" w:sz="4" w:space="0" w:color="auto"/>
              <w:right w:val="single" w:sz="4" w:space="0" w:color="auto"/>
            </w:tcBorders>
            <w:shd w:val="clear" w:color="auto" w:fill="auto"/>
            <w:vAlign w:val="center"/>
          </w:tcPr>
          <w:p w:rsidR="00583944" w:rsidRPr="004761E0" w:rsidRDefault="00583944" w:rsidP="007076A7">
            <w:pPr>
              <w:pStyle w:val="a5"/>
              <w:numPr>
                <w:ilvl w:val="1"/>
                <w:numId w:val="141"/>
              </w:numPr>
              <w:contextualSpacing w:val="0"/>
              <w:jc w:val="left"/>
              <w:rPr>
                <w:rFonts w:eastAsia="Times New Roman"/>
                <w:color w:val="000000"/>
                <w:sz w:val="20"/>
                <w:szCs w:val="20"/>
                <w:lang w:eastAsia="ru-RU"/>
              </w:rPr>
            </w:pPr>
          </w:p>
        </w:tc>
        <w:tc>
          <w:tcPr>
            <w:tcW w:w="4406" w:type="dxa"/>
            <w:tcBorders>
              <w:top w:val="nil"/>
              <w:left w:val="nil"/>
              <w:bottom w:val="single" w:sz="4" w:space="0" w:color="auto"/>
              <w:right w:val="single" w:sz="4" w:space="0" w:color="auto"/>
            </w:tcBorders>
            <w:shd w:val="clear" w:color="auto" w:fill="auto"/>
            <w:vAlign w:val="center"/>
          </w:tcPr>
          <w:p w:rsidR="00583944" w:rsidRPr="004761E0" w:rsidRDefault="00583944" w:rsidP="005123D7">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расходы на ТСО</w:t>
            </w:r>
          </w:p>
        </w:tc>
        <w:tc>
          <w:tcPr>
            <w:tcW w:w="1134"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0"/>
              <w:jc w:val="center"/>
              <w:rPr>
                <w:rFonts w:eastAsia="Times New Roman"/>
                <w:color w:val="000000"/>
                <w:sz w:val="20"/>
                <w:szCs w:val="20"/>
                <w:lang w:eastAsia="ru-RU"/>
              </w:rPr>
            </w:pPr>
            <w:r w:rsidRPr="004761E0">
              <w:rPr>
                <w:rFonts w:eastAsia="Times New Roman"/>
                <w:color w:val="000000"/>
                <w:sz w:val="20"/>
                <w:szCs w:val="20"/>
                <w:lang w:eastAsia="ru-RU"/>
              </w:rPr>
              <w:t>млн руб.</w:t>
            </w:r>
          </w:p>
        </w:tc>
        <w:tc>
          <w:tcPr>
            <w:tcW w:w="992"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1"/>
              <w:jc w:val="right"/>
              <w:rPr>
                <w:color w:val="000000"/>
                <w:sz w:val="20"/>
                <w:szCs w:val="20"/>
              </w:rPr>
            </w:pPr>
            <w:r w:rsidRPr="004761E0">
              <w:rPr>
                <w:color w:val="000000"/>
                <w:sz w:val="20"/>
                <w:szCs w:val="20"/>
              </w:rPr>
              <w:t>31 523</w:t>
            </w:r>
          </w:p>
        </w:tc>
        <w:tc>
          <w:tcPr>
            <w:tcW w:w="850"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1"/>
              <w:jc w:val="right"/>
              <w:rPr>
                <w:color w:val="000000"/>
                <w:sz w:val="20"/>
                <w:szCs w:val="20"/>
              </w:rPr>
            </w:pPr>
            <w:r w:rsidRPr="004761E0">
              <w:rPr>
                <w:color w:val="000000"/>
                <w:sz w:val="20"/>
                <w:szCs w:val="20"/>
              </w:rPr>
              <w:t>23 515</w:t>
            </w:r>
          </w:p>
        </w:tc>
        <w:tc>
          <w:tcPr>
            <w:tcW w:w="993"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1"/>
              <w:jc w:val="right"/>
              <w:rPr>
                <w:color w:val="000000"/>
                <w:sz w:val="20"/>
                <w:szCs w:val="20"/>
              </w:rPr>
            </w:pPr>
            <w:r w:rsidRPr="004761E0">
              <w:rPr>
                <w:color w:val="000000"/>
                <w:sz w:val="20"/>
                <w:szCs w:val="20"/>
              </w:rPr>
              <w:t>29 550</w:t>
            </w:r>
          </w:p>
        </w:tc>
        <w:tc>
          <w:tcPr>
            <w:tcW w:w="1134"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0"/>
              <w:jc w:val="right"/>
              <w:rPr>
                <w:color w:val="000000"/>
                <w:sz w:val="20"/>
                <w:szCs w:val="20"/>
              </w:rPr>
            </w:pPr>
            <w:r w:rsidRPr="004761E0">
              <w:rPr>
                <w:color w:val="000000"/>
                <w:sz w:val="20"/>
                <w:szCs w:val="20"/>
              </w:rPr>
              <w:t>25,67 %</w:t>
            </w:r>
          </w:p>
        </w:tc>
      </w:tr>
      <w:tr w:rsidR="00583944" w:rsidRPr="004761E0" w:rsidTr="005123D7">
        <w:trPr>
          <w:trHeight w:val="300"/>
        </w:trPr>
        <w:tc>
          <w:tcPr>
            <w:tcW w:w="569" w:type="dxa"/>
            <w:tcBorders>
              <w:top w:val="nil"/>
              <w:left w:val="single" w:sz="4" w:space="0" w:color="auto"/>
              <w:bottom w:val="single" w:sz="4" w:space="0" w:color="auto"/>
              <w:right w:val="single" w:sz="4" w:space="0" w:color="auto"/>
            </w:tcBorders>
            <w:shd w:val="clear" w:color="auto" w:fill="auto"/>
            <w:vAlign w:val="center"/>
          </w:tcPr>
          <w:p w:rsidR="00583944" w:rsidRPr="004761E0" w:rsidRDefault="00583944" w:rsidP="007076A7">
            <w:pPr>
              <w:pStyle w:val="a5"/>
              <w:numPr>
                <w:ilvl w:val="1"/>
                <w:numId w:val="141"/>
              </w:numPr>
              <w:contextualSpacing w:val="0"/>
              <w:jc w:val="left"/>
              <w:rPr>
                <w:rFonts w:eastAsia="Times New Roman"/>
                <w:color w:val="000000"/>
                <w:sz w:val="20"/>
                <w:szCs w:val="20"/>
                <w:lang w:eastAsia="ru-RU"/>
              </w:rPr>
            </w:pPr>
          </w:p>
        </w:tc>
        <w:tc>
          <w:tcPr>
            <w:tcW w:w="4406" w:type="dxa"/>
            <w:tcBorders>
              <w:top w:val="nil"/>
              <w:left w:val="nil"/>
              <w:bottom w:val="single" w:sz="4" w:space="0" w:color="auto"/>
              <w:right w:val="single" w:sz="4" w:space="0" w:color="auto"/>
            </w:tcBorders>
            <w:shd w:val="clear" w:color="auto" w:fill="auto"/>
            <w:vAlign w:val="center"/>
          </w:tcPr>
          <w:p w:rsidR="00583944" w:rsidRPr="004761E0" w:rsidRDefault="00583944" w:rsidP="005123D7">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расходы на оплату потерь*</w:t>
            </w:r>
          </w:p>
        </w:tc>
        <w:tc>
          <w:tcPr>
            <w:tcW w:w="1134"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0"/>
              <w:jc w:val="center"/>
              <w:rPr>
                <w:rFonts w:eastAsia="Times New Roman"/>
                <w:color w:val="000000"/>
                <w:sz w:val="20"/>
                <w:szCs w:val="20"/>
                <w:lang w:eastAsia="ru-RU"/>
              </w:rPr>
            </w:pPr>
            <w:r w:rsidRPr="004761E0">
              <w:rPr>
                <w:rFonts w:eastAsia="Times New Roman"/>
                <w:color w:val="000000"/>
                <w:sz w:val="20"/>
                <w:szCs w:val="20"/>
                <w:lang w:eastAsia="ru-RU"/>
              </w:rPr>
              <w:t>млн руб.</w:t>
            </w:r>
          </w:p>
        </w:tc>
        <w:tc>
          <w:tcPr>
            <w:tcW w:w="992"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1"/>
              <w:jc w:val="right"/>
              <w:rPr>
                <w:color w:val="000000"/>
                <w:sz w:val="20"/>
                <w:szCs w:val="20"/>
              </w:rPr>
            </w:pPr>
            <w:r w:rsidRPr="004761E0">
              <w:rPr>
                <w:color w:val="000000"/>
                <w:sz w:val="20"/>
                <w:szCs w:val="20"/>
              </w:rPr>
              <w:t>14 549</w:t>
            </w:r>
          </w:p>
        </w:tc>
        <w:tc>
          <w:tcPr>
            <w:tcW w:w="850"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1"/>
              <w:jc w:val="right"/>
              <w:rPr>
                <w:color w:val="000000"/>
                <w:sz w:val="20"/>
                <w:szCs w:val="20"/>
              </w:rPr>
            </w:pPr>
            <w:r w:rsidRPr="004761E0">
              <w:rPr>
                <w:color w:val="000000"/>
                <w:sz w:val="20"/>
                <w:szCs w:val="20"/>
              </w:rPr>
              <w:t>13 476</w:t>
            </w:r>
          </w:p>
        </w:tc>
        <w:tc>
          <w:tcPr>
            <w:tcW w:w="993"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1"/>
              <w:jc w:val="right"/>
              <w:rPr>
                <w:color w:val="000000"/>
                <w:sz w:val="20"/>
                <w:szCs w:val="20"/>
              </w:rPr>
            </w:pPr>
            <w:r w:rsidRPr="004761E0">
              <w:rPr>
                <w:color w:val="000000"/>
                <w:sz w:val="20"/>
                <w:szCs w:val="20"/>
              </w:rPr>
              <w:t>13 822</w:t>
            </w:r>
          </w:p>
        </w:tc>
        <w:tc>
          <w:tcPr>
            <w:tcW w:w="1134"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0"/>
              <w:jc w:val="right"/>
              <w:rPr>
                <w:color w:val="000000"/>
                <w:sz w:val="20"/>
                <w:szCs w:val="20"/>
              </w:rPr>
            </w:pPr>
            <w:r w:rsidRPr="004761E0">
              <w:rPr>
                <w:color w:val="000000"/>
                <w:sz w:val="20"/>
                <w:szCs w:val="20"/>
              </w:rPr>
              <w:t>2,57 %</w:t>
            </w:r>
          </w:p>
        </w:tc>
      </w:tr>
      <w:tr w:rsidR="00583944" w:rsidRPr="004761E0" w:rsidTr="005123D7">
        <w:trPr>
          <w:trHeight w:val="300"/>
        </w:trPr>
        <w:tc>
          <w:tcPr>
            <w:tcW w:w="569" w:type="dxa"/>
            <w:tcBorders>
              <w:top w:val="nil"/>
              <w:left w:val="single" w:sz="4" w:space="0" w:color="auto"/>
              <w:bottom w:val="single" w:sz="4" w:space="0" w:color="auto"/>
              <w:right w:val="single" w:sz="4" w:space="0" w:color="auto"/>
            </w:tcBorders>
            <w:shd w:val="clear" w:color="auto" w:fill="auto"/>
            <w:vAlign w:val="center"/>
          </w:tcPr>
          <w:p w:rsidR="00583944" w:rsidRPr="004761E0" w:rsidRDefault="00583944" w:rsidP="007076A7">
            <w:pPr>
              <w:numPr>
                <w:ilvl w:val="0"/>
                <w:numId w:val="141"/>
              </w:numPr>
              <w:jc w:val="left"/>
              <w:rPr>
                <w:rFonts w:eastAsia="Times New Roman"/>
                <w:color w:val="000000"/>
                <w:sz w:val="20"/>
                <w:szCs w:val="20"/>
                <w:lang w:eastAsia="ru-RU"/>
              </w:rPr>
            </w:pPr>
          </w:p>
        </w:tc>
        <w:tc>
          <w:tcPr>
            <w:tcW w:w="4406" w:type="dxa"/>
            <w:tcBorders>
              <w:top w:val="nil"/>
              <w:left w:val="nil"/>
              <w:bottom w:val="single" w:sz="4" w:space="0" w:color="auto"/>
              <w:right w:val="single" w:sz="4" w:space="0" w:color="auto"/>
            </w:tcBorders>
            <w:shd w:val="clear" w:color="auto" w:fill="auto"/>
            <w:vAlign w:val="center"/>
          </w:tcPr>
          <w:p w:rsidR="00583944" w:rsidRPr="004761E0" w:rsidRDefault="00583944" w:rsidP="005123D7">
            <w:pPr>
              <w:ind w:firstLine="0"/>
              <w:jc w:val="left"/>
              <w:rPr>
                <w:rFonts w:eastAsia="Times New Roman"/>
                <w:color w:val="000000"/>
                <w:sz w:val="20"/>
                <w:szCs w:val="20"/>
                <w:lang w:eastAsia="ru-RU"/>
              </w:rPr>
            </w:pPr>
            <w:r w:rsidRPr="004761E0">
              <w:rPr>
                <w:rFonts w:eastAsia="Times New Roman"/>
                <w:color w:val="000000"/>
                <w:sz w:val="20"/>
                <w:szCs w:val="20"/>
                <w:lang w:eastAsia="ru-RU"/>
              </w:rPr>
              <w:t>Полезный отпуск «котловой»</w:t>
            </w:r>
            <w:r w:rsidR="00A101F4" w:rsidRPr="004761E0">
              <w:rPr>
                <w:rFonts w:eastAsia="Times New Roman"/>
                <w:color w:val="000000"/>
                <w:sz w:val="20"/>
                <w:szCs w:val="20"/>
                <w:lang w:eastAsia="ru-RU"/>
              </w:rPr>
              <w:t xml:space="preserve"> </w:t>
            </w:r>
            <w:r w:rsidRPr="004761E0">
              <w:rPr>
                <w:rFonts w:eastAsia="Times New Roman"/>
                <w:color w:val="000000"/>
                <w:sz w:val="20"/>
                <w:szCs w:val="20"/>
                <w:lang w:eastAsia="ru-RU"/>
              </w:rPr>
              <w:t>с учетом потребителей ГН</w:t>
            </w:r>
          </w:p>
        </w:tc>
        <w:tc>
          <w:tcPr>
            <w:tcW w:w="1134"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0"/>
              <w:jc w:val="center"/>
              <w:rPr>
                <w:rFonts w:eastAsia="Times New Roman"/>
                <w:color w:val="000000"/>
                <w:sz w:val="20"/>
                <w:szCs w:val="20"/>
                <w:lang w:eastAsia="ru-RU"/>
              </w:rPr>
            </w:pPr>
            <w:r w:rsidRPr="004761E0">
              <w:rPr>
                <w:rFonts w:eastAsia="Times New Roman"/>
                <w:color w:val="000000"/>
                <w:sz w:val="20"/>
                <w:szCs w:val="20"/>
                <w:lang w:eastAsia="ru-RU"/>
              </w:rPr>
              <w:t>млн кВтч</w:t>
            </w:r>
          </w:p>
        </w:tc>
        <w:tc>
          <w:tcPr>
            <w:tcW w:w="992"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1"/>
              <w:jc w:val="right"/>
              <w:rPr>
                <w:color w:val="000000"/>
                <w:sz w:val="20"/>
                <w:szCs w:val="20"/>
              </w:rPr>
            </w:pPr>
            <w:r w:rsidRPr="004761E0">
              <w:rPr>
                <w:color w:val="000000"/>
                <w:sz w:val="20"/>
                <w:szCs w:val="20"/>
              </w:rPr>
              <w:t>72 457</w:t>
            </w:r>
          </w:p>
        </w:tc>
        <w:tc>
          <w:tcPr>
            <w:tcW w:w="850"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1"/>
              <w:jc w:val="right"/>
              <w:rPr>
                <w:color w:val="000000"/>
                <w:sz w:val="20"/>
                <w:szCs w:val="20"/>
              </w:rPr>
            </w:pPr>
            <w:r w:rsidRPr="004761E0">
              <w:rPr>
                <w:color w:val="000000"/>
                <w:sz w:val="20"/>
                <w:szCs w:val="20"/>
              </w:rPr>
              <w:t>66 315</w:t>
            </w:r>
          </w:p>
        </w:tc>
        <w:tc>
          <w:tcPr>
            <w:tcW w:w="993"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1"/>
              <w:jc w:val="right"/>
              <w:rPr>
                <w:color w:val="000000"/>
                <w:sz w:val="20"/>
                <w:szCs w:val="20"/>
              </w:rPr>
            </w:pPr>
            <w:r w:rsidRPr="004761E0">
              <w:rPr>
                <w:color w:val="000000"/>
                <w:sz w:val="20"/>
                <w:szCs w:val="20"/>
              </w:rPr>
              <w:t>69 627</w:t>
            </w:r>
          </w:p>
        </w:tc>
        <w:tc>
          <w:tcPr>
            <w:tcW w:w="1134"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0"/>
              <w:jc w:val="right"/>
              <w:rPr>
                <w:color w:val="000000"/>
                <w:sz w:val="20"/>
                <w:szCs w:val="20"/>
              </w:rPr>
            </w:pPr>
            <w:r w:rsidRPr="004761E0">
              <w:rPr>
                <w:color w:val="000000"/>
                <w:sz w:val="20"/>
                <w:szCs w:val="20"/>
              </w:rPr>
              <w:t>4,99 %</w:t>
            </w:r>
          </w:p>
        </w:tc>
      </w:tr>
      <w:tr w:rsidR="00583944" w:rsidRPr="004761E0" w:rsidTr="005123D7">
        <w:trPr>
          <w:trHeight w:val="300"/>
        </w:trPr>
        <w:tc>
          <w:tcPr>
            <w:tcW w:w="569" w:type="dxa"/>
            <w:tcBorders>
              <w:top w:val="nil"/>
              <w:left w:val="single" w:sz="4" w:space="0" w:color="auto"/>
              <w:bottom w:val="single" w:sz="4" w:space="0" w:color="auto"/>
              <w:right w:val="single" w:sz="4" w:space="0" w:color="auto"/>
            </w:tcBorders>
            <w:shd w:val="clear" w:color="auto" w:fill="auto"/>
            <w:vAlign w:val="center"/>
          </w:tcPr>
          <w:p w:rsidR="00583944" w:rsidRPr="004761E0" w:rsidRDefault="00583944" w:rsidP="007076A7">
            <w:pPr>
              <w:numPr>
                <w:ilvl w:val="0"/>
                <w:numId w:val="141"/>
              </w:numPr>
              <w:jc w:val="left"/>
              <w:rPr>
                <w:rFonts w:eastAsia="Times New Roman"/>
                <w:color w:val="000000"/>
                <w:sz w:val="20"/>
                <w:szCs w:val="20"/>
                <w:lang w:eastAsia="ru-RU"/>
              </w:rPr>
            </w:pPr>
          </w:p>
        </w:tc>
        <w:tc>
          <w:tcPr>
            <w:tcW w:w="4406" w:type="dxa"/>
            <w:tcBorders>
              <w:top w:val="nil"/>
              <w:left w:val="nil"/>
              <w:bottom w:val="single" w:sz="4" w:space="0" w:color="auto"/>
              <w:right w:val="single" w:sz="4" w:space="0" w:color="auto"/>
            </w:tcBorders>
            <w:shd w:val="clear" w:color="auto" w:fill="auto"/>
            <w:vAlign w:val="center"/>
          </w:tcPr>
          <w:p w:rsidR="00583944" w:rsidRPr="004761E0" w:rsidRDefault="00583944" w:rsidP="005123D7">
            <w:pPr>
              <w:ind w:firstLine="0"/>
              <w:jc w:val="left"/>
              <w:rPr>
                <w:rFonts w:eastAsia="Times New Roman"/>
                <w:color w:val="000000"/>
                <w:sz w:val="20"/>
                <w:szCs w:val="20"/>
                <w:lang w:eastAsia="ru-RU"/>
              </w:rPr>
            </w:pPr>
            <w:r w:rsidRPr="004761E0">
              <w:rPr>
                <w:rFonts w:eastAsia="Times New Roman"/>
                <w:color w:val="000000"/>
                <w:sz w:val="20"/>
                <w:szCs w:val="20"/>
                <w:lang w:eastAsia="ru-RU"/>
              </w:rPr>
              <w:t>Средний тариф «котловой»</w:t>
            </w:r>
          </w:p>
        </w:tc>
        <w:tc>
          <w:tcPr>
            <w:tcW w:w="1134"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0"/>
              <w:jc w:val="center"/>
              <w:rPr>
                <w:rFonts w:eastAsia="Times New Roman"/>
                <w:color w:val="000000"/>
                <w:sz w:val="20"/>
                <w:szCs w:val="20"/>
                <w:lang w:eastAsia="ru-RU"/>
              </w:rPr>
            </w:pPr>
            <w:r w:rsidRPr="004761E0">
              <w:rPr>
                <w:rFonts w:eastAsia="Times New Roman"/>
                <w:color w:val="000000"/>
                <w:sz w:val="20"/>
                <w:szCs w:val="20"/>
                <w:lang w:eastAsia="ru-RU"/>
              </w:rPr>
              <w:t>коп/кВтч</w:t>
            </w:r>
          </w:p>
        </w:tc>
        <w:tc>
          <w:tcPr>
            <w:tcW w:w="992"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1"/>
              <w:jc w:val="right"/>
              <w:rPr>
                <w:color w:val="000000"/>
                <w:sz w:val="20"/>
                <w:szCs w:val="20"/>
              </w:rPr>
            </w:pPr>
            <w:r w:rsidRPr="004761E0">
              <w:rPr>
                <w:color w:val="000000"/>
                <w:sz w:val="20"/>
                <w:szCs w:val="20"/>
              </w:rPr>
              <w:t>149,19</w:t>
            </w:r>
          </w:p>
        </w:tc>
        <w:tc>
          <w:tcPr>
            <w:tcW w:w="850"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1"/>
              <w:jc w:val="right"/>
              <w:rPr>
                <w:color w:val="000000"/>
                <w:sz w:val="20"/>
                <w:szCs w:val="20"/>
              </w:rPr>
            </w:pPr>
            <w:r w:rsidRPr="004761E0">
              <w:rPr>
                <w:color w:val="000000"/>
                <w:sz w:val="20"/>
                <w:szCs w:val="20"/>
              </w:rPr>
              <w:t>150,12</w:t>
            </w:r>
          </w:p>
        </w:tc>
        <w:tc>
          <w:tcPr>
            <w:tcW w:w="993"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1"/>
              <w:jc w:val="right"/>
              <w:rPr>
                <w:color w:val="000000"/>
                <w:sz w:val="20"/>
                <w:szCs w:val="20"/>
              </w:rPr>
            </w:pPr>
            <w:r w:rsidRPr="004761E0">
              <w:rPr>
                <w:color w:val="000000"/>
                <w:sz w:val="20"/>
                <w:szCs w:val="20"/>
              </w:rPr>
              <w:t>160,08</w:t>
            </w:r>
          </w:p>
        </w:tc>
        <w:tc>
          <w:tcPr>
            <w:tcW w:w="1134"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0"/>
              <w:jc w:val="right"/>
              <w:rPr>
                <w:color w:val="000000"/>
                <w:sz w:val="20"/>
                <w:szCs w:val="20"/>
              </w:rPr>
            </w:pPr>
            <w:r w:rsidRPr="004761E0">
              <w:rPr>
                <w:color w:val="000000"/>
                <w:sz w:val="20"/>
                <w:szCs w:val="20"/>
              </w:rPr>
              <w:t>6,63 %</w:t>
            </w:r>
          </w:p>
        </w:tc>
      </w:tr>
      <w:tr w:rsidR="00583944" w:rsidRPr="004761E0" w:rsidTr="005123D7">
        <w:trPr>
          <w:trHeight w:val="300"/>
        </w:trPr>
        <w:tc>
          <w:tcPr>
            <w:tcW w:w="569" w:type="dxa"/>
            <w:tcBorders>
              <w:top w:val="nil"/>
              <w:left w:val="single" w:sz="4" w:space="0" w:color="auto"/>
              <w:bottom w:val="single" w:sz="4" w:space="0" w:color="auto"/>
              <w:right w:val="single" w:sz="4" w:space="0" w:color="auto"/>
            </w:tcBorders>
            <w:shd w:val="clear" w:color="auto" w:fill="auto"/>
            <w:vAlign w:val="center"/>
          </w:tcPr>
          <w:p w:rsidR="00583944" w:rsidRPr="004761E0" w:rsidRDefault="00583944" w:rsidP="007076A7">
            <w:pPr>
              <w:numPr>
                <w:ilvl w:val="0"/>
                <w:numId w:val="141"/>
              </w:numPr>
              <w:jc w:val="left"/>
              <w:rPr>
                <w:rFonts w:eastAsia="Times New Roman"/>
                <w:color w:val="000000"/>
                <w:sz w:val="20"/>
                <w:szCs w:val="20"/>
                <w:lang w:eastAsia="ru-RU"/>
              </w:rPr>
            </w:pPr>
          </w:p>
        </w:tc>
        <w:tc>
          <w:tcPr>
            <w:tcW w:w="4406" w:type="dxa"/>
            <w:tcBorders>
              <w:top w:val="nil"/>
              <w:left w:val="nil"/>
              <w:bottom w:val="single" w:sz="4" w:space="0" w:color="auto"/>
              <w:right w:val="single" w:sz="4" w:space="0" w:color="auto"/>
            </w:tcBorders>
            <w:shd w:val="clear" w:color="auto" w:fill="auto"/>
            <w:vAlign w:val="center"/>
          </w:tcPr>
          <w:p w:rsidR="00583944" w:rsidRPr="004761E0" w:rsidRDefault="00583944" w:rsidP="005123D7">
            <w:pPr>
              <w:ind w:firstLine="0"/>
              <w:jc w:val="left"/>
              <w:rPr>
                <w:rFonts w:eastAsia="Times New Roman"/>
                <w:color w:val="000000"/>
                <w:sz w:val="20"/>
                <w:szCs w:val="20"/>
                <w:lang w:eastAsia="ru-RU"/>
              </w:rPr>
            </w:pPr>
            <w:r w:rsidRPr="004761E0">
              <w:rPr>
                <w:rFonts w:eastAsia="Times New Roman"/>
                <w:color w:val="000000"/>
                <w:sz w:val="20"/>
                <w:szCs w:val="20"/>
                <w:lang w:eastAsia="ru-RU"/>
              </w:rPr>
              <w:t>Темп прироста среднего тарифа «котлового»</w:t>
            </w:r>
          </w:p>
        </w:tc>
        <w:tc>
          <w:tcPr>
            <w:tcW w:w="1134"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0"/>
              <w:jc w:val="center"/>
              <w:rPr>
                <w:rFonts w:eastAsia="Times New Roman"/>
                <w:color w:val="000000"/>
                <w:sz w:val="20"/>
                <w:szCs w:val="20"/>
                <w:lang w:eastAsia="ru-RU"/>
              </w:rPr>
            </w:pPr>
            <w:r w:rsidRPr="004761E0">
              <w:rPr>
                <w:rFonts w:eastAsia="Times New Roman"/>
                <w:color w:val="000000"/>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18,1</w:t>
            </w:r>
          </w:p>
        </w:tc>
        <w:tc>
          <w:tcPr>
            <w:tcW w:w="850"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0,6</w:t>
            </w:r>
          </w:p>
        </w:tc>
        <w:tc>
          <w:tcPr>
            <w:tcW w:w="993"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6,6</w:t>
            </w:r>
          </w:p>
        </w:tc>
        <w:tc>
          <w:tcPr>
            <w:tcW w:w="1134"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r>
      <w:tr w:rsidR="00583944" w:rsidRPr="004761E0" w:rsidTr="005123D7">
        <w:trPr>
          <w:trHeight w:val="300"/>
        </w:trPr>
        <w:tc>
          <w:tcPr>
            <w:tcW w:w="569" w:type="dxa"/>
            <w:tcBorders>
              <w:top w:val="nil"/>
              <w:left w:val="single" w:sz="4" w:space="0" w:color="auto"/>
              <w:bottom w:val="single" w:sz="4" w:space="0" w:color="auto"/>
              <w:right w:val="single" w:sz="4" w:space="0" w:color="auto"/>
            </w:tcBorders>
            <w:shd w:val="clear" w:color="auto" w:fill="auto"/>
            <w:vAlign w:val="center"/>
          </w:tcPr>
          <w:p w:rsidR="00583944" w:rsidRPr="004761E0" w:rsidRDefault="00583944" w:rsidP="007076A7">
            <w:pPr>
              <w:numPr>
                <w:ilvl w:val="0"/>
                <w:numId w:val="141"/>
              </w:numPr>
              <w:jc w:val="left"/>
              <w:rPr>
                <w:rFonts w:eastAsia="Times New Roman"/>
                <w:color w:val="000000"/>
                <w:sz w:val="20"/>
                <w:szCs w:val="20"/>
                <w:lang w:eastAsia="ru-RU"/>
              </w:rPr>
            </w:pPr>
          </w:p>
        </w:tc>
        <w:tc>
          <w:tcPr>
            <w:tcW w:w="4406" w:type="dxa"/>
            <w:tcBorders>
              <w:top w:val="nil"/>
              <w:left w:val="nil"/>
              <w:bottom w:val="single" w:sz="4" w:space="0" w:color="auto"/>
              <w:right w:val="single" w:sz="4" w:space="0" w:color="auto"/>
            </w:tcBorders>
            <w:shd w:val="clear" w:color="auto" w:fill="auto"/>
            <w:vAlign w:val="center"/>
          </w:tcPr>
          <w:p w:rsidR="00583944" w:rsidRPr="004761E0" w:rsidRDefault="00A101F4" w:rsidP="005123D7">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Необходимая валовая выручка </w:t>
            </w:r>
            <w:r w:rsidR="0008080E">
              <w:rPr>
                <w:rFonts w:eastAsia="Times New Roman"/>
                <w:color w:val="000000"/>
                <w:sz w:val="20"/>
                <w:szCs w:val="20"/>
                <w:lang w:eastAsia="ru-RU"/>
              </w:rPr>
              <w:t>ОАО </w:t>
            </w:r>
            <w:r w:rsidR="00583944" w:rsidRPr="004761E0">
              <w:rPr>
                <w:rFonts w:eastAsia="Times New Roman"/>
                <w:color w:val="000000"/>
                <w:sz w:val="20"/>
                <w:szCs w:val="20"/>
                <w:lang w:eastAsia="ru-RU"/>
              </w:rPr>
              <w:t>«МОЭСК»**</w:t>
            </w:r>
          </w:p>
        </w:tc>
        <w:tc>
          <w:tcPr>
            <w:tcW w:w="1134"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0"/>
              <w:jc w:val="center"/>
              <w:rPr>
                <w:rFonts w:eastAsia="Times New Roman"/>
                <w:color w:val="000000"/>
                <w:sz w:val="20"/>
                <w:szCs w:val="20"/>
                <w:lang w:eastAsia="ru-RU"/>
              </w:rPr>
            </w:pPr>
            <w:r w:rsidRPr="004761E0">
              <w:rPr>
                <w:rFonts w:eastAsia="Times New Roman"/>
                <w:color w:val="000000"/>
                <w:sz w:val="20"/>
                <w:szCs w:val="20"/>
                <w:lang w:eastAsia="ru-RU"/>
              </w:rPr>
              <w:t>млн руб.</w:t>
            </w:r>
          </w:p>
        </w:tc>
        <w:tc>
          <w:tcPr>
            <w:tcW w:w="992"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1"/>
              <w:jc w:val="right"/>
              <w:rPr>
                <w:color w:val="000000"/>
                <w:sz w:val="20"/>
                <w:szCs w:val="20"/>
              </w:rPr>
            </w:pPr>
            <w:r w:rsidRPr="004761E0">
              <w:rPr>
                <w:color w:val="000000"/>
                <w:sz w:val="20"/>
                <w:szCs w:val="20"/>
              </w:rPr>
              <w:t>76 576</w:t>
            </w:r>
          </w:p>
        </w:tc>
        <w:tc>
          <w:tcPr>
            <w:tcW w:w="850"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1"/>
              <w:jc w:val="right"/>
              <w:rPr>
                <w:color w:val="000000"/>
                <w:sz w:val="20"/>
                <w:szCs w:val="20"/>
              </w:rPr>
            </w:pPr>
            <w:r w:rsidRPr="004761E0">
              <w:rPr>
                <w:color w:val="000000"/>
                <w:sz w:val="20"/>
                <w:szCs w:val="20"/>
              </w:rPr>
              <w:t>76 040</w:t>
            </w:r>
          </w:p>
        </w:tc>
        <w:tc>
          <w:tcPr>
            <w:tcW w:w="993"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1"/>
              <w:jc w:val="right"/>
              <w:rPr>
                <w:color w:val="000000"/>
                <w:sz w:val="20"/>
                <w:szCs w:val="20"/>
              </w:rPr>
            </w:pPr>
            <w:r w:rsidRPr="004761E0">
              <w:rPr>
                <w:color w:val="000000"/>
                <w:sz w:val="20"/>
                <w:szCs w:val="20"/>
              </w:rPr>
              <w:t>81 910</w:t>
            </w:r>
          </w:p>
        </w:tc>
        <w:tc>
          <w:tcPr>
            <w:tcW w:w="1134"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355607">
            <w:pPr>
              <w:ind w:firstLine="1"/>
              <w:jc w:val="right"/>
              <w:rPr>
                <w:color w:val="000000"/>
                <w:sz w:val="20"/>
                <w:szCs w:val="20"/>
              </w:rPr>
            </w:pPr>
            <w:r w:rsidRPr="004761E0">
              <w:rPr>
                <w:color w:val="000000"/>
                <w:sz w:val="20"/>
                <w:szCs w:val="20"/>
              </w:rPr>
              <w:t>7,</w:t>
            </w:r>
            <w:r w:rsidR="00355607">
              <w:rPr>
                <w:color w:val="000000"/>
                <w:sz w:val="20"/>
                <w:szCs w:val="20"/>
              </w:rPr>
              <w:t>7</w:t>
            </w:r>
            <w:r w:rsidRPr="004761E0">
              <w:rPr>
                <w:color w:val="000000"/>
                <w:sz w:val="20"/>
                <w:szCs w:val="20"/>
              </w:rPr>
              <w:t>2 %</w:t>
            </w:r>
          </w:p>
        </w:tc>
      </w:tr>
      <w:tr w:rsidR="00583944" w:rsidRPr="004761E0" w:rsidTr="005123D7">
        <w:trPr>
          <w:trHeight w:val="300"/>
        </w:trPr>
        <w:tc>
          <w:tcPr>
            <w:tcW w:w="569" w:type="dxa"/>
            <w:tcBorders>
              <w:top w:val="nil"/>
              <w:left w:val="single" w:sz="4" w:space="0" w:color="auto"/>
              <w:bottom w:val="single" w:sz="4" w:space="0" w:color="auto"/>
              <w:right w:val="single" w:sz="4" w:space="0" w:color="auto"/>
            </w:tcBorders>
            <w:shd w:val="clear" w:color="auto" w:fill="auto"/>
            <w:vAlign w:val="center"/>
          </w:tcPr>
          <w:p w:rsidR="00583944" w:rsidRPr="004761E0" w:rsidRDefault="00583944" w:rsidP="007076A7">
            <w:pPr>
              <w:numPr>
                <w:ilvl w:val="0"/>
                <w:numId w:val="141"/>
              </w:numPr>
              <w:jc w:val="left"/>
              <w:rPr>
                <w:rFonts w:eastAsia="Times New Roman"/>
                <w:color w:val="000000"/>
                <w:sz w:val="20"/>
                <w:szCs w:val="20"/>
                <w:lang w:eastAsia="ru-RU"/>
              </w:rPr>
            </w:pPr>
          </w:p>
        </w:tc>
        <w:tc>
          <w:tcPr>
            <w:tcW w:w="4406" w:type="dxa"/>
            <w:tcBorders>
              <w:top w:val="nil"/>
              <w:left w:val="nil"/>
              <w:bottom w:val="single" w:sz="4" w:space="0" w:color="auto"/>
              <w:right w:val="single" w:sz="4" w:space="0" w:color="auto"/>
            </w:tcBorders>
            <w:shd w:val="clear" w:color="auto" w:fill="auto"/>
            <w:vAlign w:val="center"/>
          </w:tcPr>
          <w:p w:rsidR="00583944" w:rsidRPr="004761E0" w:rsidRDefault="00583944" w:rsidP="005123D7">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Полезный отпуск </w:t>
            </w:r>
            <w:r w:rsidR="0008080E">
              <w:rPr>
                <w:rFonts w:eastAsia="Times New Roman"/>
                <w:color w:val="000000"/>
                <w:sz w:val="20"/>
                <w:szCs w:val="20"/>
                <w:lang w:eastAsia="ru-RU"/>
              </w:rPr>
              <w:t>ОАО </w:t>
            </w:r>
            <w:r w:rsidRPr="004761E0">
              <w:rPr>
                <w:rFonts w:eastAsia="Times New Roman"/>
                <w:color w:val="000000"/>
                <w:sz w:val="20"/>
                <w:szCs w:val="20"/>
                <w:lang w:eastAsia="ru-RU"/>
              </w:rPr>
              <w:t>«МОЭСК»</w:t>
            </w:r>
          </w:p>
        </w:tc>
        <w:tc>
          <w:tcPr>
            <w:tcW w:w="1134"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0"/>
              <w:jc w:val="center"/>
              <w:rPr>
                <w:rFonts w:eastAsia="Times New Roman"/>
                <w:color w:val="000000"/>
                <w:sz w:val="20"/>
                <w:szCs w:val="20"/>
                <w:lang w:eastAsia="ru-RU"/>
              </w:rPr>
            </w:pPr>
            <w:r w:rsidRPr="004761E0">
              <w:rPr>
                <w:rFonts w:eastAsia="Times New Roman"/>
                <w:color w:val="000000"/>
                <w:sz w:val="20"/>
                <w:szCs w:val="20"/>
                <w:lang w:eastAsia="ru-RU"/>
              </w:rPr>
              <w:t>млн кВтч</w:t>
            </w:r>
          </w:p>
        </w:tc>
        <w:tc>
          <w:tcPr>
            <w:tcW w:w="992"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1"/>
              <w:jc w:val="right"/>
              <w:rPr>
                <w:color w:val="000000"/>
                <w:sz w:val="20"/>
                <w:szCs w:val="20"/>
              </w:rPr>
            </w:pPr>
            <w:r w:rsidRPr="004761E0">
              <w:rPr>
                <w:color w:val="000000"/>
                <w:sz w:val="20"/>
                <w:szCs w:val="20"/>
              </w:rPr>
              <w:t>73 133</w:t>
            </w:r>
          </w:p>
        </w:tc>
        <w:tc>
          <w:tcPr>
            <w:tcW w:w="850"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1"/>
              <w:jc w:val="right"/>
              <w:rPr>
                <w:color w:val="000000"/>
                <w:sz w:val="20"/>
                <w:szCs w:val="20"/>
              </w:rPr>
            </w:pPr>
            <w:r w:rsidRPr="004761E0">
              <w:rPr>
                <w:color w:val="000000"/>
                <w:sz w:val="20"/>
                <w:szCs w:val="20"/>
              </w:rPr>
              <w:t>77 644</w:t>
            </w:r>
          </w:p>
        </w:tc>
        <w:tc>
          <w:tcPr>
            <w:tcW w:w="993"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1"/>
              <w:jc w:val="right"/>
              <w:rPr>
                <w:color w:val="000000"/>
                <w:sz w:val="20"/>
                <w:szCs w:val="20"/>
              </w:rPr>
            </w:pPr>
            <w:r w:rsidRPr="004761E0">
              <w:rPr>
                <w:color w:val="000000"/>
                <w:sz w:val="20"/>
                <w:szCs w:val="20"/>
              </w:rPr>
              <w:t>78 172</w:t>
            </w:r>
          </w:p>
        </w:tc>
        <w:tc>
          <w:tcPr>
            <w:tcW w:w="1134"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1"/>
              <w:jc w:val="right"/>
              <w:rPr>
                <w:color w:val="000000"/>
                <w:sz w:val="20"/>
                <w:szCs w:val="20"/>
              </w:rPr>
            </w:pPr>
            <w:r w:rsidRPr="004761E0">
              <w:rPr>
                <w:color w:val="000000"/>
                <w:sz w:val="20"/>
                <w:szCs w:val="20"/>
              </w:rPr>
              <w:t>0,68 %</w:t>
            </w:r>
          </w:p>
        </w:tc>
      </w:tr>
      <w:tr w:rsidR="00583944" w:rsidRPr="004761E0" w:rsidTr="005123D7">
        <w:trPr>
          <w:trHeight w:val="300"/>
        </w:trPr>
        <w:tc>
          <w:tcPr>
            <w:tcW w:w="569" w:type="dxa"/>
            <w:tcBorders>
              <w:top w:val="nil"/>
              <w:left w:val="single" w:sz="4" w:space="0" w:color="auto"/>
              <w:bottom w:val="single" w:sz="4" w:space="0" w:color="auto"/>
              <w:right w:val="single" w:sz="4" w:space="0" w:color="auto"/>
            </w:tcBorders>
            <w:shd w:val="clear" w:color="auto" w:fill="auto"/>
            <w:vAlign w:val="center"/>
          </w:tcPr>
          <w:p w:rsidR="00583944" w:rsidRPr="004761E0" w:rsidRDefault="00583944" w:rsidP="007076A7">
            <w:pPr>
              <w:numPr>
                <w:ilvl w:val="0"/>
                <w:numId w:val="141"/>
              </w:numPr>
              <w:jc w:val="left"/>
              <w:rPr>
                <w:rFonts w:eastAsia="Times New Roman"/>
                <w:color w:val="000000"/>
                <w:sz w:val="20"/>
                <w:szCs w:val="20"/>
                <w:lang w:eastAsia="ru-RU"/>
              </w:rPr>
            </w:pPr>
          </w:p>
        </w:tc>
        <w:tc>
          <w:tcPr>
            <w:tcW w:w="4406" w:type="dxa"/>
            <w:tcBorders>
              <w:top w:val="nil"/>
              <w:left w:val="nil"/>
              <w:bottom w:val="single" w:sz="4" w:space="0" w:color="auto"/>
              <w:right w:val="single" w:sz="4" w:space="0" w:color="auto"/>
            </w:tcBorders>
            <w:shd w:val="clear" w:color="auto" w:fill="auto"/>
            <w:vAlign w:val="center"/>
          </w:tcPr>
          <w:p w:rsidR="00583944" w:rsidRPr="004761E0" w:rsidRDefault="00583944" w:rsidP="005123D7">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Средний тариф </w:t>
            </w:r>
            <w:r w:rsidR="0008080E">
              <w:rPr>
                <w:rFonts w:eastAsia="Times New Roman"/>
                <w:color w:val="000000"/>
                <w:sz w:val="20"/>
                <w:szCs w:val="20"/>
                <w:lang w:eastAsia="ru-RU"/>
              </w:rPr>
              <w:t>ОАО </w:t>
            </w:r>
            <w:r w:rsidRPr="004761E0">
              <w:rPr>
                <w:rFonts w:eastAsia="Times New Roman"/>
                <w:color w:val="000000"/>
                <w:sz w:val="20"/>
                <w:szCs w:val="20"/>
                <w:lang w:eastAsia="ru-RU"/>
              </w:rPr>
              <w:t>«МОЭСК»</w:t>
            </w:r>
          </w:p>
        </w:tc>
        <w:tc>
          <w:tcPr>
            <w:tcW w:w="1134"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0"/>
              <w:jc w:val="center"/>
              <w:rPr>
                <w:rFonts w:eastAsia="Times New Roman"/>
                <w:color w:val="000000"/>
                <w:sz w:val="20"/>
                <w:szCs w:val="20"/>
                <w:lang w:eastAsia="ru-RU"/>
              </w:rPr>
            </w:pPr>
            <w:r w:rsidRPr="004761E0">
              <w:rPr>
                <w:rFonts w:eastAsia="Times New Roman"/>
                <w:color w:val="000000"/>
                <w:sz w:val="20"/>
                <w:szCs w:val="20"/>
                <w:lang w:eastAsia="ru-RU"/>
              </w:rPr>
              <w:t>коп/кВтч</w:t>
            </w:r>
          </w:p>
        </w:tc>
        <w:tc>
          <w:tcPr>
            <w:tcW w:w="992"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104,71</w:t>
            </w:r>
          </w:p>
        </w:tc>
        <w:tc>
          <w:tcPr>
            <w:tcW w:w="850"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97,93</w:t>
            </w:r>
          </w:p>
        </w:tc>
        <w:tc>
          <w:tcPr>
            <w:tcW w:w="993"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104,78</w:t>
            </w:r>
          </w:p>
        </w:tc>
        <w:tc>
          <w:tcPr>
            <w:tcW w:w="1134"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6,99 %</w:t>
            </w:r>
          </w:p>
        </w:tc>
      </w:tr>
      <w:tr w:rsidR="00583944" w:rsidRPr="004761E0" w:rsidTr="005123D7">
        <w:trPr>
          <w:trHeight w:val="300"/>
        </w:trPr>
        <w:tc>
          <w:tcPr>
            <w:tcW w:w="569" w:type="dxa"/>
            <w:tcBorders>
              <w:top w:val="nil"/>
              <w:left w:val="single" w:sz="4" w:space="0" w:color="auto"/>
              <w:bottom w:val="single" w:sz="4" w:space="0" w:color="auto"/>
              <w:right w:val="single" w:sz="4" w:space="0" w:color="auto"/>
            </w:tcBorders>
            <w:shd w:val="clear" w:color="auto" w:fill="auto"/>
            <w:vAlign w:val="center"/>
            <w:hideMark/>
          </w:tcPr>
          <w:p w:rsidR="00583944" w:rsidRPr="004761E0" w:rsidRDefault="00583944" w:rsidP="007076A7">
            <w:pPr>
              <w:numPr>
                <w:ilvl w:val="0"/>
                <w:numId w:val="141"/>
              </w:numPr>
              <w:jc w:val="left"/>
              <w:rPr>
                <w:rFonts w:eastAsia="Times New Roman"/>
                <w:color w:val="000000"/>
                <w:sz w:val="20"/>
                <w:szCs w:val="20"/>
                <w:lang w:eastAsia="ru-RU"/>
              </w:rPr>
            </w:pPr>
          </w:p>
        </w:tc>
        <w:tc>
          <w:tcPr>
            <w:tcW w:w="4406" w:type="dxa"/>
            <w:tcBorders>
              <w:top w:val="nil"/>
              <w:left w:val="nil"/>
              <w:bottom w:val="single" w:sz="4" w:space="0" w:color="auto"/>
              <w:right w:val="single" w:sz="4" w:space="0" w:color="auto"/>
            </w:tcBorders>
            <w:shd w:val="clear" w:color="auto" w:fill="auto"/>
            <w:vAlign w:val="center"/>
          </w:tcPr>
          <w:p w:rsidR="00583944" w:rsidRPr="004761E0" w:rsidRDefault="00583944" w:rsidP="005123D7">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Темп прироста среднего тарифа </w:t>
            </w:r>
            <w:r w:rsidR="0008080E">
              <w:rPr>
                <w:rFonts w:eastAsia="Times New Roman"/>
                <w:color w:val="000000"/>
                <w:sz w:val="20"/>
                <w:szCs w:val="20"/>
                <w:lang w:eastAsia="ru-RU"/>
              </w:rPr>
              <w:t>ОАО </w:t>
            </w:r>
            <w:r w:rsidRPr="004761E0">
              <w:rPr>
                <w:rFonts w:eastAsia="Times New Roman"/>
                <w:color w:val="000000"/>
                <w:sz w:val="20"/>
                <w:szCs w:val="20"/>
                <w:lang w:eastAsia="ru-RU"/>
              </w:rPr>
              <w:t>«МОЭСК»</w:t>
            </w:r>
          </w:p>
        </w:tc>
        <w:tc>
          <w:tcPr>
            <w:tcW w:w="1134"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0"/>
              <w:jc w:val="center"/>
              <w:rPr>
                <w:rFonts w:eastAsia="Times New Roman"/>
                <w:color w:val="000000"/>
                <w:sz w:val="20"/>
                <w:szCs w:val="20"/>
                <w:lang w:eastAsia="ru-RU"/>
              </w:rPr>
            </w:pPr>
            <w:r w:rsidRPr="004761E0">
              <w:rPr>
                <w:rFonts w:eastAsia="Times New Roman"/>
                <w:color w:val="000000"/>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12,1</w:t>
            </w:r>
          </w:p>
        </w:tc>
        <w:tc>
          <w:tcPr>
            <w:tcW w:w="850"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-6,5</w:t>
            </w:r>
          </w:p>
        </w:tc>
        <w:tc>
          <w:tcPr>
            <w:tcW w:w="993"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7,0</w:t>
            </w:r>
          </w:p>
        </w:tc>
        <w:tc>
          <w:tcPr>
            <w:tcW w:w="1134" w:type="dxa"/>
            <w:tcBorders>
              <w:top w:val="single" w:sz="4" w:space="0" w:color="auto"/>
              <w:left w:val="single" w:sz="4" w:space="0" w:color="auto"/>
              <w:bottom w:val="single" w:sz="4" w:space="0" w:color="auto"/>
              <w:right w:val="single" w:sz="4" w:space="0" w:color="auto"/>
            </w:tcBorders>
            <w:vAlign w:val="center"/>
          </w:tcPr>
          <w:p w:rsidR="00583944" w:rsidRPr="004761E0" w:rsidRDefault="00583944"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r>
    </w:tbl>
    <w:p w:rsidR="00583944" w:rsidRPr="004761E0" w:rsidRDefault="00583944" w:rsidP="00583944">
      <w:pPr>
        <w:ind w:firstLine="0"/>
        <w:rPr>
          <w:rFonts w:eastAsia="Times New Roman" w:cs="Calibri"/>
          <w:sz w:val="20"/>
          <w:szCs w:val="26"/>
        </w:rPr>
      </w:pPr>
      <w:r w:rsidRPr="004761E0">
        <w:rPr>
          <w:rFonts w:eastAsia="Times New Roman" w:cs="Calibri"/>
          <w:sz w:val="20"/>
          <w:szCs w:val="26"/>
        </w:rPr>
        <w:t>* с учетом нагрузочных потерь;</w:t>
      </w:r>
    </w:p>
    <w:p w:rsidR="00583944" w:rsidRDefault="00583944" w:rsidP="00583944">
      <w:pPr>
        <w:pStyle w:val="a5"/>
        <w:ind w:left="0" w:firstLine="0"/>
        <w:rPr>
          <w:rFonts w:eastAsia="Times New Roman" w:cs="Calibri"/>
          <w:sz w:val="20"/>
          <w:szCs w:val="26"/>
        </w:rPr>
      </w:pPr>
      <w:r w:rsidRPr="004761E0">
        <w:rPr>
          <w:rFonts w:eastAsia="Times New Roman" w:cs="Calibri"/>
          <w:sz w:val="20"/>
          <w:szCs w:val="26"/>
        </w:rPr>
        <w:t>**</w:t>
      </w:r>
      <w:r w:rsidRPr="004761E0">
        <w:rPr>
          <w:sz w:val="20"/>
        </w:rPr>
        <w:t xml:space="preserve"> </w:t>
      </w:r>
      <w:r w:rsidRPr="004761E0">
        <w:rPr>
          <w:rFonts w:eastAsia="Times New Roman" w:cs="Calibri"/>
          <w:sz w:val="20"/>
          <w:szCs w:val="26"/>
        </w:rPr>
        <w:t xml:space="preserve">с учетом расходов на оплату услуг </w:t>
      </w:r>
      <w:r w:rsidR="0008080E">
        <w:rPr>
          <w:rFonts w:eastAsia="Times New Roman" w:cs="Calibri"/>
          <w:sz w:val="20"/>
          <w:szCs w:val="26"/>
        </w:rPr>
        <w:t>ОАО </w:t>
      </w:r>
      <w:r w:rsidRPr="004761E0">
        <w:rPr>
          <w:rFonts w:eastAsia="Times New Roman" w:cs="Calibri"/>
          <w:sz w:val="20"/>
          <w:szCs w:val="26"/>
        </w:rPr>
        <w:t>«ФСК ЕЭС», затрат на компенсацию потерь электрической энергии в сетях (без затрат на оплату услуг ТСО).</w:t>
      </w:r>
    </w:p>
    <w:p w:rsidR="00193A23" w:rsidRPr="004761E0" w:rsidRDefault="00193A23" w:rsidP="00193A23">
      <w:pPr>
        <w:ind w:firstLine="567"/>
        <w:rPr>
          <w:rFonts w:eastAsia="Times New Roman" w:cs="Calibri"/>
          <w:sz w:val="20"/>
          <w:szCs w:val="26"/>
        </w:rPr>
      </w:pPr>
      <w:r>
        <w:rPr>
          <w:sz w:val="26"/>
          <w:szCs w:val="26"/>
          <w:lang w:eastAsia="ru-RU"/>
        </w:rPr>
        <w:t>Аналогичные д</w:t>
      </w:r>
      <w:r w:rsidRPr="004761E0">
        <w:rPr>
          <w:sz w:val="26"/>
          <w:szCs w:val="26"/>
          <w:lang w:eastAsia="ru-RU"/>
        </w:rPr>
        <w:t>анные в разбивке на г. Москву и Московскую область представлены в Приложении</w:t>
      </w:r>
      <w:r>
        <w:rPr>
          <w:sz w:val="26"/>
          <w:szCs w:val="26"/>
          <w:lang w:eastAsia="ru-RU"/>
        </w:rPr>
        <w:t xml:space="preserve"> 12.</w:t>
      </w:r>
      <w:r w:rsidR="003146BC">
        <w:rPr>
          <w:sz w:val="26"/>
          <w:szCs w:val="26"/>
          <w:lang w:eastAsia="ru-RU"/>
        </w:rPr>
        <w:t>1</w:t>
      </w:r>
      <w:r>
        <w:rPr>
          <w:sz w:val="26"/>
          <w:szCs w:val="26"/>
          <w:lang w:eastAsia="ru-RU"/>
        </w:rPr>
        <w:t>.</w:t>
      </w:r>
      <w:r w:rsidRPr="004761E0">
        <w:rPr>
          <w:sz w:val="26"/>
          <w:szCs w:val="26"/>
          <w:lang w:eastAsia="ru-RU"/>
        </w:rPr>
        <w:t xml:space="preserve"> к Годовому отчету.</w:t>
      </w:r>
    </w:p>
    <w:p w:rsidR="00FF0180" w:rsidRPr="004761E0" w:rsidRDefault="00FF0180" w:rsidP="00FF0180">
      <w:pPr>
        <w:pStyle w:val="a5"/>
        <w:ind w:left="0" w:firstLine="0"/>
        <w:rPr>
          <w:rFonts w:eastAsia="Times New Roman" w:cs="Calibri"/>
          <w:sz w:val="26"/>
          <w:szCs w:val="26"/>
        </w:rPr>
      </w:pPr>
      <w:r w:rsidRPr="004761E0">
        <w:rPr>
          <w:rFonts w:eastAsia="Times New Roman" w:cs="Calibri"/>
          <w:noProof/>
          <w:sz w:val="26"/>
          <w:szCs w:val="26"/>
          <w:lang w:eastAsia="ru-RU"/>
        </w:rPr>
        <w:lastRenderedPageBreak/>
        <w:drawing>
          <wp:inline distT="0" distB="0" distL="0" distR="0">
            <wp:extent cx="3009014" cy="3125973"/>
            <wp:effectExtent l="19050" t="0" r="19936" b="0"/>
            <wp:docPr id="235" name="Диаграмма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r w:rsidRPr="004761E0">
        <w:rPr>
          <w:rFonts w:eastAsia="Times New Roman" w:cs="Calibri"/>
          <w:noProof/>
          <w:sz w:val="26"/>
          <w:szCs w:val="26"/>
          <w:lang w:eastAsia="ru-RU"/>
        </w:rPr>
        <w:t xml:space="preserve"> </w:t>
      </w:r>
      <w:r w:rsidRPr="004761E0">
        <w:rPr>
          <w:rFonts w:eastAsia="Times New Roman" w:cs="Calibri"/>
          <w:noProof/>
          <w:sz w:val="26"/>
          <w:szCs w:val="26"/>
          <w:lang w:eastAsia="ru-RU"/>
        </w:rPr>
        <w:drawing>
          <wp:inline distT="0" distB="0" distL="0" distR="0">
            <wp:extent cx="3009014" cy="3125972"/>
            <wp:effectExtent l="0" t="0" r="1270" b="0"/>
            <wp:docPr id="233" name="Диаграмма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22382E" w:rsidRPr="004761E0" w:rsidRDefault="00EA456F" w:rsidP="0022382E">
      <w:pPr>
        <w:ind w:right="141" w:firstLine="0"/>
        <w:rPr>
          <w:rFonts w:eastAsia="Times New Roman"/>
          <w:sz w:val="26"/>
          <w:szCs w:val="26"/>
          <w:lang w:eastAsia="ru-RU"/>
        </w:rPr>
      </w:pPr>
      <w:r>
        <w:rPr>
          <w:rFonts w:eastAsia="Times New Roman"/>
          <w:noProof/>
          <w:sz w:val="26"/>
          <w:szCs w:val="26"/>
          <w:lang w:eastAsia="ru-RU"/>
        </w:rPr>
        <w:pict>
          <v:shape id="_x0000_s1246" type="#_x0000_t202" style="position:absolute;left:0;text-align:left;margin-left:397.3pt;margin-top:60.65pt;width:49pt;height:18.75pt;z-index:251792384;mso-width-relative:margin;mso-height-relative:margin" stroked="f">
            <v:fill opacity="0"/>
            <v:textbox style="mso-next-textbox:#_x0000_s1246">
              <w:txbxContent>
                <w:p w:rsidR="00EC58E0" w:rsidRPr="00CC5A0A" w:rsidRDefault="00EC58E0" w:rsidP="00CC5A0A">
                  <w:pPr>
                    <w:ind w:firstLine="0"/>
                    <w:rPr>
                      <w:b/>
                      <w:sz w:val="12"/>
                      <w:szCs w:val="16"/>
                    </w:rPr>
                  </w:pPr>
                  <w:r w:rsidRPr="00CC5A0A">
                    <w:rPr>
                      <w:b/>
                      <w:sz w:val="12"/>
                      <w:szCs w:val="16"/>
                    </w:rPr>
                    <w:t>+</w:t>
                  </w:r>
                  <w:r>
                    <w:rPr>
                      <w:b/>
                      <w:sz w:val="12"/>
                      <w:szCs w:val="16"/>
                    </w:rPr>
                    <w:t>13</w:t>
                  </w:r>
                  <w:r w:rsidRPr="00CC5A0A">
                    <w:rPr>
                      <w:b/>
                      <w:sz w:val="12"/>
                      <w:szCs w:val="16"/>
                    </w:rPr>
                    <w:t>,</w:t>
                  </w:r>
                  <w:r>
                    <w:rPr>
                      <w:b/>
                      <w:sz w:val="12"/>
                      <w:szCs w:val="16"/>
                    </w:rPr>
                    <w:t>91</w:t>
                  </w:r>
                  <w:r w:rsidRPr="00CC5A0A">
                    <w:rPr>
                      <w:b/>
                      <w:sz w:val="12"/>
                      <w:szCs w:val="16"/>
                    </w:rPr>
                    <w:t xml:space="preserve"> %</w:t>
                  </w:r>
                </w:p>
              </w:txbxContent>
            </v:textbox>
          </v:shape>
        </w:pict>
      </w:r>
      <w:r>
        <w:rPr>
          <w:rFonts w:eastAsia="Times New Roman"/>
          <w:noProof/>
          <w:sz w:val="26"/>
          <w:szCs w:val="26"/>
          <w:lang w:eastAsia="ru-RU"/>
        </w:rPr>
        <w:pict>
          <v:shape id="_x0000_s1249" type="#_x0000_t202" style="position:absolute;left:0;text-align:left;margin-left:400.6pt;margin-top:97.55pt;width:49pt;height:15.55pt;z-index:251794432;mso-width-relative:margin;mso-height-relative:margin" stroked="f">
            <v:fill opacity="0"/>
            <v:textbox style="mso-next-textbox:#_x0000_s1249">
              <w:txbxContent>
                <w:p w:rsidR="00EC58E0" w:rsidRPr="00CC5A0A" w:rsidRDefault="00EC58E0" w:rsidP="00CC5A0A">
                  <w:pPr>
                    <w:ind w:firstLine="0"/>
                    <w:rPr>
                      <w:b/>
                      <w:sz w:val="12"/>
                      <w:szCs w:val="16"/>
                    </w:rPr>
                  </w:pPr>
                  <w:r w:rsidRPr="00CC5A0A">
                    <w:rPr>
                      <w:b/>
                      <w:sz w:val="12"/>
                      <w:szCs w:val="16"/>
                    </w:rPr>
                    <w:t>+</w:t>
                  </w:r>
                  <w:r>
                    <w:rPr>
                      <w:b/>
                      <w:sz w:val="12"/>
                      <w:szCs w:val="16"/>
                    </w:rPr>
                    <w:t>7</w:t>
                  </w:r>
                  <w:r w:rsidRPr="00CC5A0A">
                    <w:rPr>
                      <w:b/>
                      <w:sz w:val="12"/>
                      <w:szCs w:val="16"/>
                    </w:rPr>
                    <w:t>,</w:t>
                  </w:r>
                  <w:r>
                    <w:rPr>
                      <w:b/>
                      <w:sz w:val="12"/>
                      <w:szCs w:val="16"/>
                    </w:rPr>
                    <w:t>43</w:t>
                  </w:r>
                  <w:r w:rsidRPr="00CC5A0A">
                    <w:rPr>
                      <w:b/>
                      <w:sz w:val="12"/>
                      <w:szCs w:val="16"/>
                    </w:rPr>
                    <w:t xml:space="preserve"> %</w:t>
                  </w:r>
                </w:p>
              </w:txbxContent>
            </v:textbox>
          </v:shape>
        </w:pict>
      </w:r>
      <w:r>
        <w:rPr>
          <w:rFonts w:eastAsia="Times New Roman"/>
          <w:noProof/>
          <w:sz w:val="26"/>
          <w:szCs w:val="26"/>
          <w:lang w:eastAsia="ru-RU"/>
        </w:rPr>
        <w:pict>
          <v:shape id="_x0000_s1247" type="#_x0000_t202" style="position:absolute;left:0;text-align:left;margin-left:400.6pt;margin-top:72.4pt;width:49pt;height:18.7pt;z-index:251793408;mso-width-relative:margin;mso-height-relative:margin" stroked="f">
            <v:fill opacity="0"/>
            <v:textbox style="mso-next-textbox:#_x0000_s1247">
              <w:txbxContent>
                <w:p w:rsidR="00EC58E0" w:rsidRPr="00CC5A0A" w:rsidRDefault="00EC58E0" w:rsidP="00CC5A0A">
                  <w:pPr>
                    <w:ind w:firstLine="0"/>
                    <w:rPr>
                      <w:b/>
                      <w:sz w:val="12"/>
                      <w:szCs w:val="16"/>
                    </w:rPr>
                  </w:pPr>
                  <w:r w:rsidRPr="00CC5A0A">
                    <w:rPr>
                      <w:b/>
                      <w:sz w:val="12"/>
                      <w:szCs w:val="16"/>
                    </w:rPr>
                    <w:t>+2</w:t>
                  </w:r>
                  <w:r>
                    <w:rPr>
                      <w:b/>
                      <w:sz w:val="12"/>
                      <w:szCs w:val="16"/>
                    </w:rPr>
                    <w:t>5</w:t>
                  </w:r>
                  <w:r w:rsidRPr="00CC5A0A">
                    <w:rPr>
                      <w:b/>
                      <w:sz w:val="12"/>
                      <w:szCs w:val="16"/>
                    </w:rPr>
                    <w:t>,</w:t>
                  </w:r>
                  <w:r>
                    <w:rPr>
                      <w:b/>
                      <w:sz w:val="12"/>
                      <w:szCs w:val="16"/>
                    </w:rPr>
                    <w:t>6</w:t>
                  </w:r>
                  <w:r w:rsidRPr="00CC5A0A">
                    <w:rPr>
                      <w:b/>
                      <w:sz w:val="12"/>
                      <w:szCs w:val="16"/>
                    </w:rPr>
                    <w:t>7 %</w:t>
                  </w:r>
                </w:p>
              </w:txbxContent>
            </v:textbox>
          </v:shape>
        </w:pict>
      </w:r>
      <w:r>
        <w:rPr>
          <w:rFonts w:eastAsia="Times New Roman"/>
          <w:noProof/>
          <w:sz w:val="26"/>
          <w:szCs w:val="26"/>
          <w:lang w:eastAsia="ru-RU"/>
        </w:rPr>
        <w:pict>
          <v:shape id="_x0000_s1245" type="#_x0000_t202" style="position:absolute;left:0;text-align:left;margin-left:400.6pt;margin-top:45.1pt;width:49pt;height:18.7pt;z-index:251791360;mso-width-relative:margin;mso-height-relative:margin" stroked="f">
            <v:fill opacity="0"/>
            <v:textbox style="mso-next-textbox:#_x0000_s1245">
              <w:txbxContent>
                <w:p w:rsidR="00EC58E0" w:rsidRPr="00CC5A0A" w:rsidRDefault="00EC58E0" w:rsidP="00CC5A0A">
                  <w:pPr>
                    <w:ind w:firstLine="0"/>
                    <w:rPr>
                      <w:b/>
                      <w:sz w:val="12"/>
                      <w:szCs w:val="16"/>
                    </w:rPr>
                  </w:pPr>
                  <w:r w:rsidRPr="00CC5A0A">
                    <w:rPr>
                      <w:b/>
                      <w:sz w:val="12"/>
                      <w:szCs w:val="16"/>
                    </w:rPr>
                    <w:t>+2,57 %</w:t>
                  </w:r>
                </w:p>
              </w:txbxContent>
            </v:textbox>
          </v:shape>
        </w:pict>
      </w:r>
      <w:r>
        <w:rPr>
          <w:rFonts w:eastAsia="Times New Roman"/>
          <w:noProof/>
          <w:sz w:val="26"/>
          <w:szCs w:val="26"/>
          <w:lang w:eastAsia="ru-RU"/>
        </w:rPr>
        <w:pict>
          <v:shape id="_x0000_s1244" type="#_x0000_t202" style="position:absolute;left:0;text-align:left;margin-left:419.4pt;margin-top:32.8pt;width:56.1pt;height:18.7pt;z-index:251790336;mso-height-percent:200;mso-height-percent:200;mso-width-relative:margin;mso-height-relative:margin" stroked="f">
            <v:fill opacity="0"/>
            <v:textbox style="mso-next-textbox:#_x0000_s1244;mso-fit-shape-to-text:t">
              <w:txbxContent>
                <w:p w:rsidR="00EC58E0" w:rsidRPr="006F3786" w:rsidRDefault="00EC58E0" w:rsidP="00CC5A0A">
                  <w:pPr>
                    <w:ind w:firstLine="0"/>
                    <w:rPr>
                      <w:sz w:val="20"/>
                    </w:rPr>
                  </w:pPr>
                  <w:r>
                    <w:rPr>
                      <w:sz w:val="20"/>
                    </w:rPr>
                    <w:t>111 460</w:t>
                  </w:r>
                </w:p>
              </w:txbxContent>
            </v:textbox>
          </v:shape>
        </w:pict>
      </w:r>
      <w:r>
        <w:rPr>
          <w:rFonts w:eastAsia="Times New Roman"/>
          <w:noProof/>
          <w:sz w:val="26"/>
          <w:szCs w:val="26"/>
          <w:lang w:eastAsia="ru-RU"/>
        </w:rPr>
        <w:pict>
          <v:shape id="_x0000_s1243" type="#_x0000_t202" style="position:absolute;left:0;text-align:left;margin-left:363.3pt;margin-top:44.8pt;width:56.1pt;height:18.7pt;z-index:251789312;mso-height-percent:200;mso-height-percent:200;mso-width-relative:margin;mso-height-relative:margin" stroked="f">
            <v:fill opacity="0"/>
            <v:textbox style="mso-next-textbox:#_x0000_s1243;mso-fit-shape-to-text:t">
              <w:txbxContent>
                <w:p w:rsidR="00EC58E0" w:rsidRPr="006F3786" w:rsidRDefault="00EC58E0" w:rsidP="00CC5A0A">
                  <w:pPr>
                    <w:ind w:firstLine="0"/>
                    <w:rPr>
                      <w:sz w:val="20"/>
                    </w:rPr>
                  </w:pPr>
                  <w:r>
                    <w:rPr>
                      <w:sz w:val="20"/>
                    </w:rPr>
                    <w:t>99 555</w:t>
                  </w:r>
                </w:p>
              </w:txbxContent>
            </v:textbox>
          </v:shape>
        </w:pict>
      </w:r>
      <w:r>
        <w:rPr>
          <w:rFonts w:eastAsia="Times New Roman"/>
          <w:noProof/>
          <w:sz w:val="26"/>
          <w:szCs w:val="26"/>
          <w:lang w:eastAsia="ru-RU"/>
        </w:rPr>
        <w:pict>
          <v:shape id="_x0000_s1242" type="#_x0000_t202" style="position:absolute;left:0;text-align:left;margin-left:313.6pt;margin-top:38.25pt;width:56.1pt;height:18.7pt;z-index:251788288;mso-height-percent:200;mso-height-percent:200;mso-width-relative:margin;mso-height-relative:margin" stroked="f">
            <v:fill opacity="0"/>
            <v:textbox style="mso-next-textbox:#_x0000_s1242;mso-fit-shape-to-text:t">
              <w:txbxContent>
                <w:p w:rsidR="00EC58E0" w:rsidRPr="006F3786" w:rsidRDefault="00EC58E0" w:rsidP="00CD3B0A">
                  <w:pPr>
                    <w:ind w:firstLine="0"/>
                    <w:rPr>
                      <w:sz w:val="20"/>
                    </w:rPr>
                  </w:pPr>
                  <w:r>
                    <w:rPr>
                      <w:sz w:val="20"/>
                    </w:rPr>
                    <w:t>108 099</w:t>
                  </w:r>
                </w:p>
              </w:txbxContent>
            </v:textbox>
          </v:shape>
        </w:pict>
      </w:r>
      <w:r w:rsidR="0022382E" w:rsidRPr="004761E0">
        <w:rPr>
          <w:rFonts w:eastAsia="Times New Roman"/>
          <w:noProof/>
          <w:sz w:val="26"/>
          <w:szCs w:val="26"/>
          <w:lang w:eastAsia="ru-RU"/>
        </w:rPr>
        <w:drawing>
          <wp:inline distT="0" distB="0" distL="0" distR="0">
            <wp:extent cx="3009014" cy="3200400"/>
            <wp:effectExtent l="19050" t="0" r="19936" b="0"/>
            <wp:docPr id="16" name="Диаграмма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r w:rsidR="007406A3" w:rsidRPr="004761E0">
        <w:rPr>
          <w:rFonts w:eastAsia="Times New Roman"/>
          <w:sz w:val="26"/>
          <w:szCs w:val="26"/>
          <w:lang w:eastAsia="ru-RU"/>
        </w:rPr>
        <w:t xml:space="preserve"> </w:t>
      </w:r>
      <w:r w:rsidR="007406A3" w:rsidRPr="004761E0">
        <w:rPr>
          <w:rFonts w:eastAsia="Times New Roman"/>
          <w:noProof/>
          <w:sz w:val="26"/>
          <w:szCs w:val="26"/>
          <w:lang w:eastAsia="ru-RU"/>
        </w:rPr>
        <w:drawing>
          <wp:inline distT="0" distB="0" distL="0" distR="0">
            <wp:extent cx="3009014" cy="3200400"/>
            <wp:effectExtent l="19050" t="0" r="19936" b="0"/>
            <wp:docPr id="272" name="Диаграмма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A101F4" w:rsidRPr="004761E0" w:rsidRDefault="00A101F4" w:rsidP="00A101F4">
      <w:pPr>
        <w:ind w:right="141" w:firstLine="618"/>
        <w:rPr>
          <w:rFonts w:eastAsia="Times New Roman"/>
          <w:sz w:val="26"/>
          <w:szCs w:val="26"/>
          <w:lang w:eastAsia="ru-RU"/>
        </w:rPr>
      </w:pPr>
      <w:r w:rsidRPr="004761E0">
        <w:rPr>
          <w:rFonts w:eastAsia="Times New Roman"/>
          <w:sz w:val="26"/>
          <w:szCs w:val="26"/>
          <w:lang w:eastAsia="ru-RU"/>
        </w:rPr>
        <w:t>Основные причины изменения тарифов на услуги по передаче электроэнергии на территории г. Москвы и Московской области на 2013 год:</w:t>
      </w:r>
    </w:p>
    <w:p w:rsidR="00A101F4" w:rsidRPr="004761E0" w:rsidRDefault="00A101F4" w:rsidP="007076A7">
      <w:pPr>
        <w:pStyle w:val="a5"/>
        <w:numPr>
          <w:ilvl w:val="0"/>
          <w:numId w:val="263"/>
        </w:numPr>
        <w:ind w:left="1134" w:right="141" w:hanging="567"/>
        <w:rPr>
          <w:rFonts w:eastAsia="Times New Roman"/>
          <w:sz w:val="26"/>
          <w:szCs w:val="26"/>
          <w:lang w:eastAsia="ru-RU"/>
        </w:rPr>
      </w:pPr>
      <w:r w:rsidRPr="004761E0">
        <w:rPr>
          <w:rFonts w:eastAsia="Times New Roman"/>
          <w:sz w:val="26"/>
          <w:szCs w:val="26"/>
          <w:lang w:eastAsia="ru-RU"/>
        </w:rPr>
        <w:t xml:space="preserve">рост необходимой валовой выручки территориальных сетевых организаций и тарифов на услуги </w:t>
      </w:r>
      <w:r w:rsidR="0008080E">
        <w:rPr>
          <w:rFonts w:eastAsia="Times New Roman"/>
          <w:sz w:val="26"/>
          <w:szCs w:val="26"/>
          <w:lang w:eastAsia="ru-RU"/>
        </w:rPr>
        <w:t>ОАО </w:t>
      </w:r>
      <w:r w:rsidRPr="004761E0">
        <w:rPr>
          <w:rFonts w:eastAsia="Times New Roman"/>
          <w:sz w:val="26"/>
          <w:szCs w:val="26"/>
          <w:lang w:eastAsia="ru-RU"/>
        </w:rPr>
        <w:t>«ФСК ЕЭС»;</w:t>
      </w:r>
    </w:p>
    <w:p w:rsidR="00A101F4" w:rsidRPr="004761E0" w:rsidRDefault="00A101F4" w:rsidP="007076A7">
      <w:pPr>
        <w:pStyle w:val="a5"/>
        <w:numPr>
          <w:ilvl w:val="0"/>
          <w:numId w:val="263"/>
        </w:numPr>
        <w:ind w:left="1134" w:right="141" w:hanging="567"/>
        <w:rPr>
          <w:rFonts w:eastAsia="Times New Roman"/>
          <w:sz w:val="26"/>
          <w:szCs w:val="26"/>
          <w:lang w:eastAsia="ru-RU"/>
        </w:rPr>
      </w:pPr>
      <w:r w:rsidRPr="004761E0">
        <w:rPr>
          <w:rFonts w:eastAsia="Times New Roman"/>
          <w:sz w:val="26"/>
          <w:szCs w:val="26"/>
          <w:lang w:eastAsia="ru-RU"/>
        </w:rPr>
        <w:t xml:space="preserve">снижение необходимой валовой выручки </w:t>
      </w:r>
      <w:r w:rsidR="0008080E">
        <w:rPr>
          <w:rFonts w:eastAsia="Times New Roman"/>
          <w:sz w:val="26"/>
          <w:szCs w:val="26"/>
          <w:lang w:eastAsia="ru-RU"/>
        </w:rPr>
        <w:t>ОАО </w:t>
      </w:r>
      <w:r w:rsidRPr="004761E0">
        <w:rPr>
          <w:rFonts w:eastAsia="Times New Roman"/>
          <w:sz w:val="26"/>
          <w:szCs w:val="26"/>
          <w:lang w:eastAsia="ru-RU"/>
        </w:rPr>
        <w:t>«МОЭСК» по г. Москве в 2012 году по итогам проведенных ФСТ России и Счетной палатой РФ контрольных мероприятий;</w:t>
      </w:r>
    </w:p>
    <w:p w:rsidR="00A101F4" w:rsidRPr="004761E0" w:rsidRDefault="00A101F4" w:rsidP="007076A7">
      <w:pPr>
        <w:pStyle w:val="a5"/>
        <w:numPr>
          <w:ilvl w:val="0"/>
          <w:numId w:val="263"/>
        </w:numPr>
        <w:ind w:left="1134" w:right="141" w:hanging="567"/>
        <w:rPr>
          <w:rFonts w:eastAsia="Times New Roman"/>
          <w:sz w:val="26"/>
          <w:szCs w:val="26"/>
          <w:lang w:eastAsia="ru-RU"/>
        </w:rPr>
      </w:pPr>
      <w:r w:rsidRPr="004761E0">
        <w:rPr>
          <w:rFonts w:eastAsia="Times New Roman"/>
          <w:sz w:val="26"/>
          <w:szCs w:val="26"/>
          <w:lang w:eastAsia="ru-RU"/>
        </w:rPr>
        <w:t xml:space="preserve">снижение необходимой валовой выручки «котловой» по г. Москве за 2012-2013 гг. по сравнению с 2011 годом, обусловлено изменением схемы котловых расчетов (перераспределением финансовых потоков). До 01.01.2012 «котлодержатель» по г. Москве – </w:t>
      </w:r>
      <w:r w:rsidR="0008080E">
        <w:rPr>
          <w:rFonts w:eastAsia="Times New Roman"/>
          <w:sz w:val="26"/>
          <w:szCs w:val="26"/>
          <w:lang w:eastAsia="ru-RU"/>
        </w:rPr>
        <w:t>ОАО </w:t>
      </w:r>
      <w:r w:rsidRPr="004761E0">
        <w:rPr>
          <w:rFonts w:eastAsia="Times New Roman"/>
          <w:sz w:val="26"/>
          <w:szCs w:val="26"/>
          <w:lang w:eastAsia="ru-RU"/>
        </w:rPr>
        <w:t xml:space="preserve">«МОЭСК», с 01.01.2012 в г. Москве функция «котлодержателя» возложена на две компании: </w:t>
      </w:r>
      <w:r w:rsidR="0008080E">
        <w:rPr>
          <w:rFonts w:eastAsia="Times New Roman"/>
          <w:sz w:val="26"/>
          <w:szCs w:val="26"/>
          <w:lang w:eastAsia="ru-RU"/>
        </w:rPr>
        <w:t>ОАО </w:t>
      </w:r>
      <w:r w:rsidRPr="004761E0">
        <w:rPr>
          <w:rFonts w:eastAsia="Times New Roman"/>
          <w:sz w:val="26"/>
          <w:szCs w:val="26"/>
          <w:lang w:eastAsia="ru-RU"/>
        </w:rPr>
        <w:t xml:space="preserve">«МОЭСК» и </w:t>
      </w:r>
      <w:r w:rsidR="0008080E">
        <w:rPr>
          <w:rFonts w:eastAsia="Times New Roman"/>
          <w:sz w:val="26"/>
          <w:szCs w:val="26"/>
          <w:lang w:eastAsia="ru-RU"/>
        </w:rPr>
        <w:t>ОАО </w:t>
      </w:r>
      <w:r w:rsidRPr="004761E0">
        <w:rPr>
          <w:rFonts w:eastAsia="Times New Roman"/>
          <w:sz w:val="26"/>
          <w:szCs w:val="26"/>
          <w:lang w:eastAsia="ru-RU"/>
        </w:rPr>
        <w:t>«ОЭК».</w:t>
      </w:r>
    </w:p>
    <w:p w:rsidR="002D048E" w:rsidRPr="004761E0" w:rsidRDefault="007406A3" w:rsidP="007406A3">
      <w:pPr>
        <w:ind w:firstLine="0"/>
        <w:rPr>
          <w:rFonts w:eastAsia="Times New Roman" w:cs="Calibri"/>
          <w:sz w:val="26"/>
          <w:szCs w:val="26"/>
        </w:rPr>
      </w:pPr>
      <w:r w:rsidRPr="004761E0">
        <w:rPr>
          <w:rFonts w:eastAsia="Times New Roman" w:cs="Calibri"/>
          <w:noProof/>
          <w:sz w:val="26"/>
          <w:szCs w:val="26"/>
          <w:lang w:eastAsia="ru-RU"/>
        </w:rPr>
        <w:lastRenderedPageBreak/>
        <w:drawing>
          <wp:inline distT="0" distB="0" distL="0" distR="0">
            <wp:extent cx="3009014" cy="3136605"/>
            <wp:effectExtent l="19050" t="0" r="19936" b="6645"/>
            <wp:docPr id="273" name="Диаграмма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A9213E" w:rsidRPr="004761E0" w:rsidRDefault="00A9213E" w:rsidP="00A9213E">
      <w:pPr>
        <w:ind w:firstLine="567"/>
        <w:rPr>
          <w:sz w:val="26"/>
          <w:szCs w:val="26"/>
        </w:rPr>
      </w:pPr>
      <w:r w:rsidRPr="004761E0">
        <w:rPr>
          <w:sz w:val="26"/>
          <w:szCs w:val="26"/>
        </w:rPr>
        <w:t xml:space="preserve">Прирост среднего тарифа </w:t>
      </w:r>
      <w:r w:rsidR="0008080E">
        <w:rPr>
          <w:sz w:val="26"/>
          <w:szCs w:val="26"/>
        </w:rPr>
        <w:t>ОАО </w:t>
      </w:r>
      <w:r w:rsidRPr="004761E0">
        <w:rPr>
          <w:sz w:val="26"/>
          <w:szCs w:val="26"/>
        </w:rPr>
        <w:t>«МОЭСК» в 2013 году выше как темпов прироста «котлового» тарифа, так и темпов прироста индекса потребительских цен, что позитивно сказывается на деятельности Компании.</w:t>
      </w:r>
    </w:p>
    <w:p w:rsidR="00A9213E" w:rsidRPr="004761E0" w:rsidRDefault="00A9213E" w:rsidP="00A9213E">
      <w:pPr>
        <w:spacing w:before="120" w:after="120"/>
        <w:ind w:right="142" w:firstLine="567"/>
        <w:rPr>
          <w:rFonts w:eastAsia="Times New Roman"/>
          <w:b/>
          <w:sz w:val="26"/>
          <w:szCs w:val="26"/>
          <w:lang w:eastAsia="ru-RU"/>
        </w:rPr>
      </w:pPr>
      <w:r w:rsidRPr="004761E0">
        <w:rPr>
          <w:rFonts w:eastAsia="Times New Roman"/>
          <w:b/>
          <w:sz w:val="26"/>
          <w:szCs w:val="26"/>
          <w:lang w:eastAsia="ru-RU"/>
        </w:rPr>
        <w:t>«Заморозка» тарифов на услуги по передаче электроэнергии на 2014 год</w:t>
      </w:r>
    </w:p>
    <w:p w:rsidR="00A9213E" w:rsidRPr="004761E0" w:rsidRDefault="00A9213E" w:rsidP="00A9213E">
      <w:pPr>
        <w:ind w:firstLine="567"/>
        <w:rPr>
          <w:rFonts w:eastAsiaTheme="majorEastAsia" w:cstheme="majorBidi"/>
          <w:b/>
          <w:bCs/>
          <w:color w:val="4F81BD" w:themeColor="accent1"/>
          <w:sz w:val="26"/>
          <w:szCs w:val="26"/>
        </w:rPr>
      </w:pPr>
      <w:r w:rsidRPr="004761E0">
        <w:rPr>
          <w:sz w:val="26"/>
          <w:szCs w:val="26"/>
        </w:rPr>
        <w:t>По поручению Председателя Правительства РФ о тарифах на продукцию (услуги) субъектов естественных монополий</w:t>
      </w:r>
      <w:r w:rsidRPr="006F4AB8">
        <w:rPr>
          <w:rStyle w:val="af1"/>
        </w:rPr>
        <w:footnoteReference w:id="78"/>
      </w:r>
      <w:r w:rsidRPr="004761E0">
        <w:t xml:space="preserve"> </w:t>
      </w:r>
      <w:r w:rsidRPr="004761E0">
        <w:rPr>
          <w:sz w:val="26"/>
          <w:szCs w:val="26"/>
        </w:rPr>
        <w:t>от 06.09.2013 Минэкономразвития России, Минфин России, Минтранс России, Минэнерго России, ФСТ России поручено представить в Правительство РФ вариант прогноза социально-экономического развития РФ на 2014 год и на плановый период 2015-2016 гг., предусматривающие сохранение в 2014 году тарифов на продукцию (услуги) субъектов естественных монополий на уровне 2013 года.</w:t>
      </w:r>
    </w:p>
    <w:p w:rsidR="00A9213E" w:rsidRPr="004761E0" w:rsidRDefault="00A9213E" w:rsidP="00A9213E">
      <w:pPr>
        <w:ind w:firstLine="567"/>
        <w:rPr>
          <w:sz w:val="26"/>
          <w:szCs w:val="26"/>
        </w:rPr>
      </w:pPr>
      <w:r w:rsidRPr="004761E0">
        <w:rPr>
          <w:sz w:val="26"/>
          <w:szCs w:val="26"/>
        </w:rPr>
        <w:t>На совещании у Президента России по бюджетным проектировкам одобрено предложение Минэкономразвития России о нулевой индексации тарифов («заморозке») на услуги естественных монополий в 2014 году. Прогноз Минэкономразвития России основан на новой тарифной политике и поддержан на совещании у Президента России.</w:t>
      </w:r>
    </w:p>
    <w:p w:rsidR="00A9213E" w:rsidRPr="004761E0" w:rsidRDefault="00A9213E" w:rsidP="00A9213E">
      <w:pPr>
        <w:ind w:right="-1" w:firstLine="618"/>
        <w:rPr>
          <w:rFonts w:eastAsia="Times New Roman"/>
          <w:sz w:val="26"/>
          <w:szCs w:val="26"/>
          <w:lang w:eastAsia="ru-RU"/>
        </w:rPr>
      </w:pPr>
      <w:r w:rsidRPr="004761E0">
        <w:rPr>
          <w:rFonts w:eastAsia="Times New Roman"/>
          <w:sz w:val="26"/>
          <w:szCs w:val="26"/>
          <w:lang w:eastAsia="ru-RU"/>
        </w:rPr>
        <w:t xml:space="preserve">Прирост планируемого объема полезного отпуска по г. Москве и Московской области позволил обеспечить </w:t>
      </w:r>
      <w:r w:rsidR="0008080E">
        <w:rPr>
          <w:rFonts w:eastAsia="Times New Roman"/>
          <w:sz w:val="26"/>
          <w:szCs w:val="26"/>
          <w:lang w:eastAsia="ru-RU"/>
        </w:rPr>
        <w:t>ОАО </w:t>
      </w:r>
      <w:r w:rsidRPr="004761E0">
        <w:rPr>
          <w:rFonts w:eastAsia="Times New Roman"/>
          <w:sz w:val="26"/>
          <w:szCs w:val="26"/>
          <w:lang w:eastAsia="ru-RU"/>
        </w:rPr>
        <w:t xml:space="preserve">«МОЭСК» в условиях «заморозки» тарифов рост необходимой валовой выручки «котловой» в 2014 году. </w:t>
      </w:r>
    </w:p>
    <w:p w:rsidR="000539F2" w:rsidRPr="004761E0" w:rsidRDefault="00A9213E" w:rsidP="00A9213E">
      <w:pPr>
        <w:ind w:right="-1" w:firstLine="618"/>
        <w:rPr>
          <w:rFonts w:eastAsia="Times New Roman"/>
          <w:b/>
          <w:sz w:val="26"/>
          <w:szCs w:val="26"/>
          <w:lang w:eastAsia="ru-RU"/>
        </w:rPr>
      </w:pPr>
      <w:r w:rsidRPr="004761E0">
        <w:rPr>
          <w:rFonts w:eastAsia="Times New Roman"/>
          <w:sz w:val="26"/>
          <w:szCs w:val="26"/>
          <w:lang w:eastAsia="ru-RU"/>
        </w:rPr>
        <w:t xml:space="preserve">Кроме того, прирост единых «котловых» тарифов на услуги по передаче электроэнергии для населения г. Москвы и Московской области, установленных регулирующими органами с 01.07.2014, составил 12,5 % и 7,6 % соответственно к уровню </w:t>
      </w:r>
      <w:r w:rsidRPr="004761E0">
        <w:rPr>
          <w:rFonts w:eastAsia="Times New Roman"/>
          <w:sz w:val="26"/>
          <w:szCs w:val="26"/>
          <w:lang w:val="en-US" w:eastAsia="ru-RU"/>
        </w:rPr>
        <w:t>II</w:t>
      </w:r>
      <w:r w:rsidRPr="004761E0">
        <w:rPr>
          <w:rFonts w:eastAsia="Times New Roman"/>
          <w:sz w:val="26"/>
          <w:szCs w:val="26"/>
          <w:lang w:eastAsia="ru-RU"/>
        </w:rPr>
        <w:t xml:space="preserve"> полугодия 2013 года. </w:t>
      </w:r>
      <w:r w:rsidR="000539F2" w:rsidRPr="004761E0">
        <w:rPr>
          <w:b/>
          <w:sz w:val="26"/>
          <w:szCs w:val="26"/>
          <w:lang w:eastAsia="ru-RU"/>
        </w:rPr>
        <w:br w:type="page"/>
      </w:r>
    </w:p>
    <w:p w:rsidR="00136A10" w:rsidRPr="004761E0" w:rsidRDefault="00E34ACB" w:rsidP="009F6B03">
      <w:pPr>
        <w:spacing w:before="120" w:after="120"/>
        <w:ind w:firstLine="567"/>
        <w:rPr>
          <w:b/>
          <w:sz w:val="26"/>
          <w:szCs w:val="26"/>
        </w:rPr>
      </w:pPr>
      <w:r w:rsidRPr="004761E0">
        <w:rPr>
          <w:b/>
          <w:sz w:val="26"/>
          <w:szCs w:val="26"/>
        </w:rPr>
        <w:lastRenderedPageBreak/>
        <w:t>Тарифы на услуги по технологическому присоединению</w:t>
      </w:r>
      <w:bookmarkEnd w:id="78"/>
    </w:p>
    <w:p w:rsidR="004B726C" w:rsidRDefault="004B726C" w:rsidP="004B726C">
      <w:pPr>
        <w:pStyle w:val="a5"/>
        <w:ind w:left="0" w:firstLine="567"/>
      </w:pPr>
      <w:r>
        <w:rPr>
          <w:sz w:val="26"/>
          <w:szCs w:val="26"/>
        </w:rPr>
        <w:t>Для ОАО «МОЭСК» на 2013 год на территории г. Москвы и Московской области установлены ставки платы за единицу максимальной мощности и стандартизированные тарифные ставки за технологическое присоединение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с присоединяемой мощностью менее 8 900 кВт и на уровне напряжения менее 35 кВ. Указанные ставки приведены в Приложении к Годовому отчету 12.</w:t>
      </w:r>
      <w:r w:rsidR="003146BC">
        <w:rPr>
          <w:sz w:val="26"/>
          <w:szCs w:val="26"/>
        </w:rPr>
        <w:t>7</w:t>
      </w:r>
      <w:r>
        <w:rPr>
          <w:sz w:val="26"/>
          <w:szCs w:val="26"/>
        </w:rPr>
        <w:t>. «Установленные ставки платы за технологическое присоединение».</w:t>
      </w:r>
    </w:p>
    <w:p w:rsidR="002401F4" w:rsidRPr="004B726C" w:rsidRDefault="004B726C" w:rsidP="002401F4">
      <w:pPr>
        <w:ind w:firstLine="567"/>
        <w:rPr>
          <w:rFonts w:eastAsia="Times New Roman"/>
          <w:b/>
          <w:iCs/>
          <w:sz w:val="26"/>
          <w:szCs w:val="26"/>
          <w:lang w:eastAsia="ru-RU"/>
        </w:rPr>
      </w:pPr>
      <w:r>
        <w:rPr>
          <w:rFonts w:eastAsia="Times New Roman"/>
          <w:b/>
          <w:iCs/>
          <w:sz w:val="26"/>
          <w:szCs w:val="26"/>
          <w:lang w:eastAsia="ru-RU"/>
        </w:rPr>
        <w:t xml:space="preserve">Сведения о </w:t>
      </w:r>
      <w:r w:rsidRPr="004B726C">
        <w:rPr>
          <w:rFonts w:eastAsia="Times New Roman"/>
          <w:b/>
          <w:iCs/>
          <w:sz w:val="26"/>
          <w:szCs w:val="26"/>
          <w:lang w:eastAsia="ru-RU"/>
        </w:rPr>
        <w:t>с</w:t>
      </w:r>
      <w:r w:rsidR="002401F4" w:rsidRPr="004B726C">
        <w:rPr>
          <w:rFonts w:eastAsia="Times New Roman"/>
          <w:b/>
          <w:iCs/>
          <w:sz w:val="26"/>
          <w:szCs w:val="26"/>
          <w:lang w:eastAsia="ru-RU"/>
        </w:rPr>
        <w:t>тав</w:t>
      </w:r>
      <w:r w:rsidRPr="004B726C">
        <w:rPr>
          <w:rFonts w:eastAsia="Times New Roman"/>
          <w:b/>
          <w:iCs/>
          <w:sz w:val="26"/>
          <w:szCs w:val="26"/>
          <w:lang w:eastAsia="ru-RU"/>
        </w:rPr>
        <w:t>к</w:t>
      </w:r>
      <w:r>
        <w:rPr>
          <w:rFonts w:eastAsia="Times New Roman"/>
          <w:b/>
          <w:iCs/>
          <w:sz w:val="26"/>
          <w:szCs w:val="26"/>
          <w:lang w:eastAsia="ru-RU"/>
        </w:rPr>
        <w:t>ах</w:t>
      </w:r>
      <w:r w:rsidR="002401F4" w:rsidRPr="004B726C">
        <w:rPr>
          <w:rFonts w:eastAsia="Times New Roman"/>
          <w:b/>
          <w:iCs/>
          <w:sz w:val="26"/>
          <w:szCs w:val="26"/>
          <w:lang w:eastAsia="ru-RU"/>
        </w:rPr>
        <w:t xml:space="preserve"> платы за единицу максимальной мощности за технологическое присоединение объектов заявителей с присоединяемой мощностью менее 8 900 кВт и на уровне напряжения менее 35 кВ к электрическим сетям </w:t>
      </w:r>
      <w:r w:rsidR="0008080E" w:rsidRPr="004B726C">
        <w:rPr>
          <w:rFonts w:eastAsia="Times New Roman"/>
          <w:b/>
          <w:iCs/>
          <w:sz w:val="26"/>
          <w:szCs w:val="26"/>
          <w:lang w:eastAsia="ru-RU"/>
        </w:rPr>
        <w:t>ОАО </w:t>
      </w:r>
      <w:r w:rsidR="002401F4" w:rsidRPr="004B726C">
        <w:rPr>
          <w:rFonts w:eastAsia="Times New Roman"/>
          <w:b/>
          <w:iCs/>
          <w:sz w:val="26"/>
          <w:szCs w:val="26"/>
          <w:lang w:eastAsia="ru-RU"/>
        </w:rPr>
        <w:t>«МОЭСК» на территории г. Москвы и Московской области</w:t>
      </w:r>
      <w:r>
        <w:rPr>
          <w:rFonts w:eastAsia="Times New Roman"/>
          <w:b/>
          <w:iCs/>
          <w:sz w:val="26"/>
          <w:szCs w:val="26"/>
          <w:lang w:eastAsia="ru-RU"/>
        </w:rPr>
        <w:t xml:space="preserve"> за 2011-2013 гг.</w:t>
      </w:r>
    </w:p>
    <w:tbl>
      <w:tblPr>
        <w:tblpPr w:leftFromText="180" w:rightFromText="180" w:vertAnchor="text" w:horzAnchor="margin" w:tblpXSpec="center"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5103"/>
        <w:gridCol w:w="992"/>
        <w:gridCol w:w="992"/>
        <w:gridCol w:w="851"/>
        <w:gridCol w:w="1032"/>
      </w:tblGrid>
      <w:tr w:rsidR="002401F4" w:rsidRPr="004761E0" w:rsidTr="003F0C6E">
        <w:trPr>
          <w:cantSplit/>
        </w:trPr>
        <w:tc>
          <w:tcPr>
            <w:tcW w:w="959" w:type="dxa"/>
            <w:tcBorders>
              <w:right w:val="single" w:sz="4" w:space="0" w:color="FFFFFF" w:themeColor="background1"/>
            </w:tcBorders>
            <w:shd w:val="clear" w:color="auto" w:fill="0F243E" w:themeFill="text2" w:themeFillShade="80"/>
            <w:noWrap/>
            <w:vAlign w:val="center"/>
            <w:hideMark/>
          </w:tcPr>
          <w:p w:rsidR="002401F4" w:rsidRPr="004761E0" w:rsidRDefault="002401F4" w:rsidP="003F0C6E">
            <w:pPr>
              <w:ind w:firstLine="0"/>
              <w:jc w:val="left"/>
              <w:rPr>
                <w:rFonts w:eastAsia="Times New Roman"/>
                <w:b/>
                <w:sz w:val="18"/>
                <w:szCs w:val="18"/>
                <w:lang w:eastAsia="ru-RU"/>
              </w:rPr>
            </w:pPr>
            <w:r w:rsidRPr="004761E0">
              <w:rPr>
                <w:rFonts w:eastAsia="Times New Roman"/>
                <w:b/>
                <w:sz w:val="18"/>
                <w:szCs w:val="18"/>
                <w:lang w:eastAsia="ru-RU"/>
              </w:rPr>
              <w:t>№ п/п</w:t>
            </w:r>
          </w:p>
        </w:tc>
        <w:tc>
          <w:tcPr>
            <w:tcW w:w="5103" w:type="dxa"/>
            <w:tcBorders>
              <w:left w:val="single" w:sz="4" w:space="0" w:color="FFFFFF" w:themeColor="background1"/>
              <w:right w:val="single" w:sz="4" w:space="0" w:color="FFFFFF" w:themeColor="background1"/>
            </w:tcBorders>
            <w:shd w:val="clear" w:color="auto" w:fill="0F243E" w:themeFill="text2" w:themeFillShade="80"/>
            <w:noWrap/>
            <w:vAlign w:val="center"/>
            <w:hideMark/>
          </w:tcPr>
          <w:p w:rsidR="002401F4" w:rsidRPr="004761E0" w:rsidRDefault="002401F4" w:rsidP="002401F4">
            <w:pPr>
              <w:ind w:firstLine="0"/>
              <w:jc w:val="left"/>
              <w:rPr>
                <w:rFonts w:eastAsia="Times New Roman"/>
                <w:b/>
                <w:sz w:val="18"/>
                <w:szCs w:val="18"/>
                <w:lang w:eastAsia="ru-RU"/>
              </w:rPr>
            </w:pPr>
            <w:r w:rsidRPr="004761E0">
              <w:rPr>
                <w:rFonts w:eastAsia="Times New Roman"/>
                <w:b/>
                <w:sz w:val="18"/>
                <w:szCs w:val="18"/>
                <w:lang w:eastAsia="ru-RU"/>
              </w:rPr>
              <w:t>Наименование категории</w:t>
            </w:r>
          </w:p>
        </w:tc>
        <w:tc>
          <w:tcPr>
            <w:tcW w:w="992" w:type="dxa"/>
            <w:tcBorders>
              <w:left w:val="single" w:sz="4" w:space="0" w:color="FFFFFF" w:themeColor="background1"/>
              <w:right w:val="single" w:sz="4" w:space="0" w:color="FFFFFF" w:themeColor="background1"/>
            </w:tcBorders>
            <w:shd w:val="clear" w:color="auto" w:fill="0F243E" w:themeFill="text2" w:themeFillShade="80"/>
            <w:noWrap/>
            <w:vAlign w:val="center"/>
            <w:hideMark/>
          </w:tcPr>
          <w:p w:rsidR="002401F4" w:rsidRPr="004761E0" w:rsidRDefault="002401F4" w:rsidP="004B726C">
            <w:pPr>
              <w:ind w:firstLine="0"/>
              <w:jc w:val="right"/>
              <w:rPr>
                <w:rFonts w:eastAsia="Times New Roman"/>
                <w:b/>
                <w:sz w:val="18"/>
                <w:szCs w:val="18"/>
                <w:lang w:eastAsia="ru-RU"/>
              </w:rPr>
            </w:pPr>
            <w:r w:rsidRPr="004761E0">
              <w:rPr>
                <w:rFonts w:eastAsia="Times New Roman"/>
                <w:b/>
                <w:sz w:val="18"/>
                <w:szCs w:val="18"/>
                <w:lang w:eastAsia="ru-RU"/>
              </w:rPr>
              <w:t>2011</w:t>
            </w:r>
          </w:p>
        </w:tc>
        <w:tc>
          <w:tcPr>
            <w:tcW w:w="992" w:type="dxa"/>
            <w:tcBorders>
              <w:left w:val="single" w:sz="4" w:space="0" w:color="FFFFFF" w:themeColor="background1"/>
              <w:right w:val="single" w:sz="4" w:space="0" w:color="FFFFFF" w:themeColor="background1"/>
            </w:tcBorders>
            <w:shd w:val="clear" w:color="auto" w:fill="0F243E" w:themeFill="text2" w:themeFillShade="80"/>
            <w:noWrap/>
            <w:vAlign w:val="center"/>
            <w:hideMark/>
          </w:tcPr>
          <w:p w:rsidR="002401F4" w:rsidRPr="004761E0" w:rsidRDefault="002401F4" w:rsidP="004B726C">
            <w:pPr>
              <w:ind w:firstLine="0"/>
              <w:jc w:val="right"/>
              <w:rPr>
                <w:rFonts w:eastAsia="Times New Roman"/>
                <w:b/>
                <w:sz w:val="18"/>
                <w:szCs w:val="18"/>
                <w:lang w:eastAsia="ru-RU"/>
              </w:rPr>
            </w:pPr>
            <w:r w:rsidRPr="004761E0">
              <w:rPr>
                <w:rFonts w:eastAsia="Times New Roman"/>
                <w:b/>
                <w:sz w:val="18"/>
                <w:szCs w:val="18"/>
                <w:lang w:eastAsia="ru-RU"/>
              </w:rPr>
              <w:t>2012</w:t>
            </w:r>
          </w:p>
        </w:tc>
        <w:tc>
          <w:tcPr>
            <w:tcW w:w="851" w:type="dxa"/>
            <w:tcBorders>
              <w:left w:val="single" w:sz="4" w:space="0" w:color="FFFFFF" w:themeColor="background1"/>
              <w:right w:val="single" w:sz="4" w:space="0" w:color="FFFFFF" w:themeColor="background1"/>
            </w:tcBorders>
            <w:shd w:val="clear" w:color="auto" w:fill="0F243E" w:themeFill="text2" w:themeFillShade="80"/>
            <w:noWrap/>
            <w:vAlign w:val="center"/>
            <w:hideMark/>
          </w:tcPr>
          <w:p w:rsidR="002401F4" w:rsidRPr="004761E0" w:rsidRDefault="002401F4" w:rsidP="004B726C">
            <w:pPr>
              <w:ind w:firstLine="0"/>
              <w:jc w:val="right"/>
              <w:rPr>
                <w:rFonts w:eastAsia="Times New Roman"/>
                <w:b/>
                <w:sz w:val="18"/>
                <w:szCs w:val="18"/>
                <w:vertAlign w:val="superscript"/>
                <w:lang w:eastAsia="ru-RU"/>
              </w:rPr>
            </w:pPr>
            <w:r w:rsidRPr="004761E0">
              <w:rPr>
                <w:rFonts w:eastAsia="Times New Roman"/>
                <w:b/>
                <w:sz w:val="18"/>
                <w:szCs w:val="18"/>
                <w:lang w:eastAsia="ru-RU"/>
              </w:rPr>
              <w:t>2013</w:t>
            </w:r>
          </w:p>
        </w:tc>
        <w:tc>
          <w:tcPr>
            <w:tcW w:w="1032" w:type="dxa"/>
            <w:tcBorders>
              <w:left w:val="single" w:sz="4" w:space="0" w:color="FFFFFF" w:themeColor="background1"/>
            </w:tcBorders>
            <w:shd w:val="clear" w:color="auto" w:fill="0F243E" w:themeFill="text2" w:themeFillShade="80"/>
            <w:noWrap/>
            <w:vAlign w:val="center"/>
            <w:hideMark/>
          </w:tcPr>
          <w:p w:rsidR="002401F4" w:rsidRPr="004761E0" w:rsidRDefault="002401F4" w:rsidP="002401F4">
            <w:pPr>
              <w:ind w:firstLine="0"/>
              <w:jc w:val="center"/>
              <w:rPr>
                <w:rFonts w:eastAsia="Times New Roman"/>
                <w:b/>
                <w:sz w:val="18"/>
                <w:szCs w:val="18"/>
                <w:lang w:eastAsia="ru-RU"/>
              </w:rPr>
            </w:pPr>
            <w:r w:rsidRPr="004761E0">
              <w:rPr>
                <w:rFonts w:eastAsia="Times New Roman"/>
                <w:b/>
                <w:sz w:val="18"/>
                <w:szCs w:val="18"/>
                <w:lang w:eastAsia="ru-RU"/>
              </w:rPr>
              <w:t>2013/2012</w:t>
            </w:r>
          </w:p>
        </w:tc>
      </w:tr>
      <w:tr w:rsidR="002401F4" w:rsidRPr="004761E0" w:rsidTr="003F0C6E">
        <w:trPr>
          <w:cantSplit/>
        </w:trPr>
        <w:tc>
          <w:tcPr>
            <w:tcW w:w="959" w:type="dxa"/>
            <w:shd w:val="clear" w:color="auto" w:fill="BFBFBF" w:themeFill="background1" w:themeFillShade="BF"/>
            <w:noWrap/>
            <w:vAlign w:val="center"/>
            <w:hideMark/>
          </w:tcPr>
          <w:p w:rsidR="002401F4" w:rsidRPr="004761E0" w:rsidRDefault="002401F4" w:rsidP="002401F4">
            <w:pPr>
              <w:ind w:firstLine="0"/>
              <w:jc w:val="left"/>
              <w:rPr>
                <w:rFonts w:eastAsia="Times New Roman"/>
                <w:b/>
                <w:sz w:val="18"/>
                <w:szCs w:val="18"/>
                <w:lang w:eastAsia="ru-RU"/>
              </w:rPr>
            </w:pPr>
            <w:r w:rsidRPr="004761E0">
              <w:rPr>
                <w:rFonts w:eastAsia="Times New Roman"/>
                <w:b/>
                <w:sz w:val="18"/>
                <w:szCs w:val="18"/>
                <w:lang w:eastAsia="ru-RU"/>
              </w:rPr>
              <w:t>1.</w:t>
            </w:r>
          </w:p>
        </w:tc>
        <w:tc>
          <w:tcPr>
            <w:tcW w:w="5103" w:type="dxa"/>
            <w:shd w:val="clear" w:color="auto" w:fill="BFBFBF" w:themeFill="background1" w:themeFillShade="BF"/>
            <w:noWrap/>
            <w:vAlign w:val="center"/>
            <w:hideMark/>
          </w:tcPr>
          <w:p w:rsidR="002401F4" w:rsidRPr="004761E0" w:rsidRDefault="002401F4" w:rsidP="002401F4">
            <w:pPr>
              <w:ind w:firstLine="0"/>
              <w:jc w:val="left"/>
              <w:rPr>
                <w:rFonts w:eastAsia="Times New Roman"/>
                <w:b/>
                <w:sz w:val="18"/>
                <w:szCs w:val="18"/>
                <w:vertAlign w:val="superscript"/>
                <w:lang w:eastAsia="ru-RU"/>
              </w:rPr>
            </w:pPr>
            <w:r w:rsidRPr="004761E0">
              <w:rPr>
                <w:rFonts w:eastAsia="Times New Roman"/>
                <w:b/>
                <w:sz w:val="18"/>
                <w:szCs w:val="18"/>
                <w:lang w:eastAsia="ru-RU"/>
              </w:rPr>
              <w:t>По г. Москве, руб./кВт (без НДС)</w:t>
            </w:r>
          </w:p>
        </w:tc>
        <w:tc>
          <w:tcPr>
            <w:tcW w:w="992" w:type="dxa"/>
            <w:shd w:val="clear" w:color="auto" w:fill="BFBFBF" w:themeFill="background1" w:themeFillShade="BF"/>
            <w:noWrap/>
            <w:vAlign w:val="center"/>
            <w:hideMark/>
          </w:tcPr>
          <w:p w:rsidR="002401F4" w:rsidRPr="004761E0" w:rsidRDefault="002401F4" w:rsidP="003F0C6E">
            <w:pPr>
              <w:ind w:firstLine="0"/>
              <w:jc w:val="right"/>
              <w:rPr>
                <w:rFonts w:eastAsia="Times New Roman"/>
                <w:b/>
                <w:sz w:val="18"/>
                <w:szCs w:val="18"/>
                <w:lang w:eastAsia="ru-RU"/>
              </w:rPr>
            </w:pPr>
            <w:r w:rsidRPr="004761E0">
              <w:rPr>
                <w:rFonts w:eastAsia="Times New Roman"/>
                <w:b/>
                <w:sz w:val="18"/>
                <w:szCs w:val="18"/>
                <w:lang w:eastAsia="ru-RU"/>
              </w:rPr>
              <w:t>16 648,80</w:t>
            </w:r>
          </w:p>
        </w:tc>
        <w:tc>
          <w:tcPr>
            <w:tcW w:w="992" w:type="dxa"/>
            <w:shd w:val="clear" w:color="auto" w:fill="BFBFBF" w:themeFill="background1" w:themeFillShade="BF"/>
            <w:noWrap/>
            <w:vAlign w:val="center"/>
            <w:hideMark/>
          </w:tcPr>
          <w:p w:rsidR="002401F4" w:rsidRPr="004761E0" w:rsidRDefault="002401F4" w:rsidP="003F0C6E">
            <w:pPr>
              <w:ind w:firstLine="0"/>
              <w:jc w:val="right"/>
              <w:rPr>
                <w:rFonts w:eastAsia="Times New Roman"/>
                <w:b/>
                <w:sz w:val="18"/>
                <w:szCs w:val="18"/>
                <w:lang w:eastAsia="ru-RU"/>
              </w:rPr>
            </w:pPr>
            <w:r w:rsidRPr="004761E0">
              <w:rPr>
                <w:rFonts w:eastAsia="Times New Roman"/>
                <w:b/>
                <w:sz w:val="18"/>
                <w:szCs w:val="18"/>
                <w:lang w:eastAsia="ru-RU"/>
              </w:rPr>
              <w:t>16 648,80</w:t>
            </w:r>
          </w:p>
        </w:tc>
        <w:tc>
          <w:tcPr>
            <w:tcW w:w="851" w:type="dxa"/>
            <w:shd w:val="clear" w:color="auto" w:fill="BFBFBF" w:themeFill="background1" w:themeFillShade="BF"/>
            <w:noWrap/>
            <w:vAlign w:val="center"/>
            <w:hideMark/>
          </w:tcPr>
          <w:p w:rsidR="002401F4" w:rsidRPr="004761E0" w:rsidRDefault="002401F4" w:rsidP="003F0C6E">
            <w:pPr>
              <w:ind w:firstLine="0"/>
              <w:jc w:val="right"/>
              <w:rPr>
                <w:rFonts w:eastAsia="Times New Roman"/>
                <w:b/>
                <w:sz w:val="18"/>
                <w:szCs w:val="18"/>
                <w:lang w:eastAsia="ru-RU"/>
              </w:rPr>
            </w:pPr>
            <w:r w:rsidRPr="004761E0">
              <w:rPr>
                <w:rFonts w:eastAsia="Times New Roman"/>
                <w:b/>
                <w:sz w:val="18"/>
                <w:szCs w:val="18"/>
                <w:lang w:eastAsia="ru-RU"/>
              </w:rPr>
              <w:t>х</w:t>
            </w:r>
          </w:p>
        </w:tc>
        <w:tc>
          <w:tcPr>
            <w:tcW w:w="1032" w:type="dxa"/>
            <w:shd w:val="clear" w:color="auto" w:fill="BFBFBF" w:themeFill="background1" w:themeFillShade="BF"/>
            <w:noWrap/>
            <w:vAlign w:val="center"/>
            <w:hideMark/>
          </w:tcPr>
          <w:p w:rsidR="002401F4" w:rsidRPr="004761E0" w:rsidRDefault="002401F4" w:rsidP="003F0C6E">
            <w:pPr>
              <w:ind w:firstLine="0"/>
              <w:jc w:val="right"/>
              <w:rPr>
                <w:rFonts w:eastAsia="Times New Roman"/>
                <w:b/>
                <w:sz w:val="18"/>
                <w:szCs w:val="18"/>
                <w:lang w:eastAsia="ru-RU"/>
              </w:rPr>
            </w:pPr>
            <w:r w:rsidRPr="004761E0">
              <w:rPr>
                <w:rFonts w:eastAsia="Times New Roman"/>
                <w:b/>
                <w:sz w:val="18"/>
                <w:szCs w:val="18"/>
                <w:lang w:eastAsia="ru-RU"/>
              </w:rPr>
              <w:t>х</w:t>
            </w:r>
          </w:p>
        </w:tc>
      </w:tr>
      <w:tr w:rsidR="002401F4" w:rsidRPr="004761E0" w:rsidTr="00CF58EB">
        <w:trPr>
          <w:cantSplit/>
        </w:trPr>
        <w:tc>
          <w:tcPr>
            <w:tcW w:w="959" w:type="dxa"/>
            <w:shd w:val="clear" w:color="000000" w:fill="FFFFFF"/>
            <w:noWrap/>
            <w:vAlign w:val="center"/>
            <w:hideMark/>
          </w:tcPr>
          <w:p w:rsidR="002401F4" w:rsidRPr="004761E0" w:rsidRDefault="002401F4" w:rsidP="002401F4">
            <w:pPr>
              <w:ind w:firstLine="0"/>
              <w:jc w:val="left"/>
              <w:rPr>
                <w:rFonts w:eastAsia="Times New Roman"/>
                <w:b/>
                <w:sz w:val="18"/>
                <w:szCs w:val="18"/>
                <w:lang w:eastAsia="ru-RU"/>
              </w:rPr>
            </w:pPr>
            <w:r w:rsidRPr="004761E0">
              <w:rPr>
                <w:rFonts w:eastAsia="Times New Roman"/>
                <w:b/>
                <w:sz w:val="18"/>
                <w:szCs w:val="18"/>
                <w:lang w:eastAsia="ru-RU"/>
              </w:rPr>
              <w:t>1.1.</w:t>
            </w:r>
          </w:p>
        </w:tc>
        <w:tc>
          <w:tcPr>
            <w:tcW w:w="5103" w:type="dxa"/>
            <w:shd w:val="clear" w:color="000000" w:fill="FFFFFF"/>
            <w:noWrap/>
            <w:vAlign w:val="center"/>
            <w:hideMark/>
          </w:tcPr>
          <w:p w:rsidR="002401F4" w:rsidRPr="004761E0" w:rsidRDefault="002401F4" w:rsidP="002401F4">
            <w:pPr>
              <w:ind w:firstLine="0"/>
              <w:jc w:val="left"/>
              <w:rPr>
                <w:rFonts w:eastAsia="Times New Roman"/>
                <w:b/>
                <w:sz w:val="18"/>
                <w:szCs w:val="18"/>
                <w:lang w:eastAsia="ru-RU"/>
              </w:rPr>
            </w:pPr>
            <w:r w:rsidRPr="004761E0">
              <w:rPr>
                <w:rFonts w:eastAsia="Times New Roman"/>
                <w:b/>
                <w:sz w:val="18"/>
                <w:szCs w:val="18"/>
                <w:lang w:eastAsia="ru-RU"/>
              </w:rPr>
              <w:t>Выполнение сетевой организацией работ, связанных с осуществлением организационных мероприятий:</w:t>
            </w:r>
          </w:p>
        </w:tc>
        <w:tc>
          <w:tcPr>
            <w:tcW w:w="992" w:type="dxa"/>
            <w:shd w:val="clear" w:color="auto" w:fill="auto"/>
            <w:noWrap/>
            <w:vAlign w:val="center"/>
            <w:hideMark/>
          </w:tcPr>
          <w:p w:rsidR="002401F4" w:rsidRPr="004761E0" w:rsidRDefault="002401F4" w:rsidP="003F0C6E">
            <w:pPr>
              <w:ind w:firstLine="0"/>
              <w:jc w:val="right"/>
              <w:rPr>
                <w:rFonts w:eastAsia="Times New Roman"/>
                <w:b/>
                <w:sz w:val="18"/>
                <w:szCs w:val="18"/>
                <w:lang w:eastAsia="ru-RU"/>
              </w:rPr>
            </w:pPr>
          </w:p>
        </w:tc>
        <w:tc>
          <w:tcPr>
            <w:tcW w:w="992" w:type="dxa"/>
            <w:shd w:val="clear" w:color="auto" w:fill="auto"/>
            <w:noWrap/>
            <w:vAlign w:val="center"/>
            <w:hideMark/>
          </w:tcPr>
          <w:p w:rsidR="002401F4" w:rsidRPr="004761E0" w:rsidRDefault="002401F4" w:rsidP="003F0C6E">
            <w:pPr>
              <w:ind w:firstLine="0"/>
              <w:jc w:val="right"/>
              <w:rPr>
                <w:rFonts w:eastAsia="Times New Roman"/>
                <w:b/>
                <w:sz w:val="18"/>
                <w:szCs w:val="18"/>
                <w:lang w:eastAsia="ru-RU"/>
              </w:rPr>
            </w:pPr>
          </w:p>
        </w:tc>
        <w:tc>
          <w:tcPr>
            <w:tcW w:w="851" w:type="dxa"/>
            <w:shd w:val="clear" w:color="auto" w:fill="auto"/>
            <w:noWrap/>
            <w:vAlign w:val="center"/>
            <w:hideMark/>
          </w:tcPr>
          <w:p w:rsidR="002401F4" w:rsidRPr="004761E0" w:rsidRDefault="002401F4" w:rsidP="003F0C6E">
            <w:pPr>
              <w:ind w:firstLine="0"/>
              <w:jc w:val="right"/>
              <w:rPr>
                <w:rFonts w:eastAsia="Times New Roman"/>
                <w:b/>
                <w:sz w:val="18"/>
                <w:szCs w:val="18"/>
                <w:lang w:eastAsia="ru-RU"/>
              </w:rPr>
            </w:pPr>
          </w:p>
        </w:tc>
        <w:tc>
          <w:tcPr>
            <w:tcW w:w="1032" w:type="dxa"/>
            <w:shd w:val="clear" w:color="auto" w:fill="auto"/>
            <w:noWrap/>
            <w:vAlign w:val="center"/>
            <w:hideMark/>
          </w:tcPr>
          <w:p w:rsidR="002401F4" w:rsidRPr="004761E0" w:rsidRDefault="002401F4" w:rsidP="003F0C6E">
            <w:pPr>
              <w:ind w:firstLine="0"/>
              <w:jc w:val="right"/>
              <w:rPr>
                <w:rFonts w:eastAsia="Times New Roman"/>
                <w:b/>
                <w:sz w:val="18"/>
                <w:szCs w:val="18"/>
                <w:lang w:eastAsia="ru-RU"/>
              </w:rPr>
            </w:pPr>
          </w:p>
        </w:tc>
      </w:tr>
      <w:tr w:rsidR="002401F4" w:rsidRPr="004761E0" w:rsidTr="00CF58EB">
        <w:trPr>
          <w:cantSplit/>
        </w:trPr>
        <w:tc>
          <w:tcPr>
            <w:tcW w:w="959" w:type="dxa"/>
            <w:shd w:val="clear" w:color="000000" w:fill="FFFFFF"/>
            <w:noWrap/>
            <w:vAlign w:val="center"/>
            <w:hideMark/>
          </w:tcPr>
          <w:p w:rsidR="002401F4" w:rsidRPr="004761E0" w:rsidRDefault="002401F4" w:rsidP="002401F4">
            <w:pPr>
              <w:ind w:firstLine="0"/>
              <w:jc w:val="left"/>
              <w:rPr>
                <w:rFonts w:eastAsia="Times New Roman"/>
                <w:sz w:val="18"/>
                <w:szCs w:val="18"/>
                <w:lang w:eastAsia="ru-RU"/>
              </w:rPr>
            </w:pPr>
            <w:r w:rsidRPr="004761E0">
              <w:rPr>
                <w:rFonts w:eastAsia="Times New Roman"/>
                <w:sz w:val="18"/>
                <w:szCs w:val="18"/>
                <w:lang w:eastAsia="ru-RU"/>
              </w:rPr>
              <w:t>1.1.1.</w:t>
            </w:r>
          </w:p>
        </w:tc>
        <w:tc>
          <w:tcPr>
            <w:tcW w:w="5103" w:type="dxa"/>
            <w:shd w:val="clear" w:color="000000" w:fill="FFFFFF"/>
            <w:noWrap/>
            <w:vAlign w:val="center"/>
            <w:hideMark/>
          </w:tcPr>
          <w:p w:rsidR="002401F4" w:rsidRPr="004761E0" w:rsidRDefault="003F0C6E" w:rsidP="002401F4">
            <w:pPr>
              <w:ind w:firstLine="0"/>
              <w:jc w:val="left"/>
              <w:rPr>
                <w:rFonts w:eastAsia="Times New Roman"/>
                <w:sz w:val="18"/>
                <w:szCs w:val="18"/>
                <w:lang w:eastAsia="ru-RU"/>
              </w:rPr>
            </w:pPr>
            <w:r w:rsidRPr="004761E0">
              <w:rPr>
                <w:rFonts w:eastAsia="Times New Roman"/>
                <w:sz w:val="18"/>
                <w:szCs w:val="18"/>
                <w:lang w:eastAsia="ru-RU"/>
              </w:rPr>
              <w:t>п</w:t>
            </w:r>
            <w:r w:rsidR="002401F4" w:rsidRPr="004761E0">
              <w:rPr>
                <w:rFonts w:eastAsia="Times New Roman"/>
                <w:sz w:val="18"/>
                <w:szCs w:val="18"/>
                <w:lang w:eastAsia="ru-RU"/>
              </w:rPr>
              <w:t xml:space="preserve">одготовка и выдача сетевой организацией технических условий заявителю </w:t>
            </w:r>
          </w:p>
        </w:tc>
        <w:tc>
          <w:tcPr>
            <w:tcW w:w="99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112,86</w:t>
            </w:r>
          </w:p>
        </w:tc>
        <w:tc>
          <w:tcPr>
            <w:tcW w:w="99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112,86</w:t>
            </w:r>
          </w:p>
        </w:tc>
        <w:tc>
          <w:tcPr>
            <w:tcW w:w="851"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112,95</w:t>
            </w:r>
          </w:p>
        </w:tc>
        <w:tc>
          <w:tcPr>
            <w:tcW w:w="103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0,08</w:t>
            </w:r>
            <w:r w:rsidR="008A4282">
              <w:rPr>
                <w:rFonts w:eastAsia="Times New Roman"/>
                <w:sz w:val="18"/>
                <w:szCs w:val="18"/>
                <w:lang w:eastAsia="ru-RU"/>
              </w:rPr>
              <w:t xml:space="preserve"> </w:t>
            </w:r>
            <w:r w:rsidRPr="004761E0">
              <w:rPr>
                <w:rFonts w:eastAsia="Times New Roman"/>
                <w:sz w:val="18"/>
                <w:szCs w:val="18"/>
                <w:lang w:eastAsia="ru-RU"/>
              </w:rPr>
              <w:t>%</w:t>
            </w:r>
          </w:p>
        </w:tc>
      </w:tr>
      <w:tr w:rsidR="002401F4" w:rsidRPr="004761E0" w:rsidTr="00CF58EB">
        <w:trPr>
          <w:cantSplit/>
        </w:trPr>
        <w:tc>
          <w:tcPr>
            <w:tcW w:w="959" w:type="dxa"/>
            <w:shd w:val="clear" w:color="000000" w:fill="FFFFFF"/>
            <w:noWrap/>
            <w:vAlign w:val="center"/>
            <w:hideMark/>
          </w:tcPr>
          <w:p w:rsidR="002401F4" w:rsidRPr="004761E0" w:rsidRDefault="002401F4" w:rsidP="002401F4">
            <w:pPr>
              <w:ind w:firstLine="0"/>
              <w:jc w:val="left"/>
              <w:rPr>
                <w:rFonts w:eastAsia="Times New Roman"/>
                <w:sz w:val="18"/>
                <w:szCs w:val="18"/>
                <w:lang w:eastAsia="ru-RU"/>
              </w:rPr>
            </w:pPr>
            <w:r w:rsidRPr="004761E0">
              <w:rPr>
                <w:rFonts w:eastAsia="Times New Roman"/>
                <w:sz w:val="18"/>
                <w:szCs w:val="18"/>
                <w:lang w:eastAsia="ru-RU"/>
              </w:rPr>
              <w:t>1.1.2.</w:t>
            </w:r>
          </w:p>
        </w:tc>
        <w:tc>
          <w:tcPr>
            <w:tcW w:w="5103" w:type="dxa"/>
            <w:shd w:val="clear" w:color="000000" w:fill="FFFFFF"/>
            <w:noWrap/>
            <w:vAlign w:val="center"/>
            <w:hideMark/>
          </w:tcPr>
          <w:p w:rsidR="002401F4" w:rsidRPr="004761E0" w:rsidRDefault="003F0C6E" w:rsidP="002401F4">
            <w:pPr>
              <w:ind w:firstLine="0"/>
              <w:jc w:val="left"/>
              <w:rPr>
                <w:rFonts w:eastAsia="Times New Roman"/>
                <w:sz w:val="18"/>
                <w:szCs w:val="18"/>
                <w:lang w:eastAsia="ru-RU"/>
              </w:rPr>
            </w:pPr>
            <w:r w:rsidRPr="004761E0">
              <w:rPr>
                <w:rFonts w:eastAsia="Times New Roman"/>
                <w:sz w:val="18"/>
                <w:szCs w:val="18"/>
                <w:lang w:eastAsia="ru-RU"/>
              </w:rPr>
              <w:t>п</w:t>
            </w:r>
            <w:r w:rsidR="002401F4" w:rsidRPr="004761E0">
              <w:rPr>
                <w:rFonts w:eastAsia="Times New Roman"/>
                <w:sz w:val="18"/>
                <w:szCs w:val="18"/>
                <w:lang w:eastAsia="ru-RU"/>
              </w:rPr>
              <w:t>роверка сетевой организацией выполнения заявителем технических условий</w:t>
            </w:r>
          </w:p>
        </w:tc>
        <w:tc>
          <w:tcPr>
            <w:tcW w:w="99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427,98</w:t>
            </w:r>
          </w:p>
        </w:tc>
        <w:tc>
          <w:tcPr>
            <w:tcW w:w="99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427,98</w:t>
            </w:r>
          </w:p>
        </w:tc>
        <w:tc>
          <w:tcPr>
            <w:tcW w:w="851"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380,47</w:t>
            </w:r>
          </w:p>
        </w:tc>
        <w:tc>
          <w:tcPr>
            <w:tcW w:w="103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-11,10</w:t>
            </w:r>
            <w:r w:rsidR="008A4282">
              <w:rPr>
                <w:rFonts w:eastAsia="Times New Roman"/>
                <w:sz w:val="18"/>
                <w:szCs w:val="18"/>
                <w:lang w:eastAsia="ru-RU"/>
              </w:rPr>
              <w:t xml:space="preserve"> </w:t>
            </w:r>
            <w:r w:rsidRPr="004761E0">
              <w:rPr>
                <w:rFonts w:eastAsia="Times New Roman"/>
                <w:sz w:val="18"/>
                <w:szCs w:val="18"/>
                <w:lang w:eastAsia="ru-RU"/>
              </w:rPr>
              <w:t>%</w:t>
            </w:r>
          </w:p>
        </w:tc>
      </w:tr>
      <w:tr w:rsidR="002401F4" w:rsidRPr="004761E0" w:rsidTr="00CF58EB">
        <w:trPr>
          <w:cantSplit/>
        </w:trPr>
        <w:tc>
          <w:tcPr>
            <w:tcW w:w="959" w:type="dxa"/>
            <w:shd w:val="clear" w:color="000000" w:fill="FFFFFF"/>
            <w:noWrap/>
            <w:vAlign w:val="center"/>
            <w:hideMark/>
          </w:tcPr>
          <w:p w:rsidR="002401F4" w:rsidRPr="004761E0" w:rsidRDefault="002401F4" w:rsidP="002401F4">
            <w:pPr>
              <w:ind w:firstLine="0"/>
              <w:jc w:val="left"/>
              <w:rPr>
                <w:rFonts w:eastAsia="Times New Roman"/>
                <w:sz w:val="18"/>
                <w:szCs w:val="18"/>
                <w:lang w:eastAsia="ru-RU"/>
              </w:rPr>
            </w:pPr>
            <w:r w:rsidRPr="004761E0">
              <w:rPr>
                <w:rFonts w:eastAsia="Times New Roman"/>
                <w:sz w:val="18"/>
                <w:szCs w:val="18"/>
                <w:lang w:eastAsia="ru-RU"/>
              </w:rPr>
              <w:t>1.1.3.</w:t>
            </w:r>
          </w:p>
        </w:tc>
        <w:tc>
          <w:tcPr>
            <w:tcW w:w="5103" w:type="dxa"/>
            <w:shd w:val="clear" w:color="000000" w:fill="FFFFFF"/>
            <w:noWrap/>
            <w:vAlign w:val="center"/>
            <w:hideMark/>
          </w:tcPr>
          <w:p w:rsidR="002401F4" w:rsidRPr="004761E0" w:rsidRDefault="003F0C6E" w:rsidP="002401F4">
            <w:pPr>
              <w:ind w:firstLine="0"/>
              <w:jc w:val="left"/>
              <w:rPr>
                <w:rFonts w:eastAsia="Times New Roman"/>
                <w:sz w:val="18"/>
                <w:szCs w:val="18"/>
                <w:lang w:eastAsia="ru-RU"/>
              </w:rPr>
            </w:pPr>
            <w:r w:rsidRPr="004761E0">
              <w:rPr>
                <w:rFonts w:eastAsia="Times New Roman"/>
                <w:sz w:val="18"/>
                <w:szCs w:val="18"/>
                <w:lang w:eastAsia="ru-RU"/>
              </w:rPr>
              <w:t>у</w:t>
            </w:r>
            <w:r w:rsidR="002401F4" w:rsidRPr="004761E0">
              <w:rPr>
                <w:rFonts w:eastAsia="Times New Roman"/>
                <w:sz w:val="18"/>
                <w:szCs w:val="18"/>
                <w:lang w:eastAsia="ru-RU"/>
              </w:rPr>
              <w:t xml:space="preserve">частие в осмотре должностным лицом Ростехнадзора присоединяемых устройств заявителя </w:t>
            </w:r>
          </w:p>
        </w:tc>
        <w:tc>
          <w:tcPr>
            <w:tcW w:w="99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х</w:t>
            </w:r>
          </w:p>
        </w:tc>
        <w:tc>
          <w:tcPr>
            <w:tcW w:w="99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х</w:t>
            </w:r>
          </w:p>
        </w:tc>
        <w:tc>
          <w:tcPr>
            <w:tcW w:w="851"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47,56</w:t>
            </w:r>
          </w:p>
        </w:tc>
        <w:tc>
          <w:tcPr>
            <w:tcW w:w="103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х</w:t>
            </w:r>
          </w:p>
        </w:tc>
      </w:tr>
      <w:tr w:rsidR="002401F4" w:rsidRPr="004761E0" w:rsidTr="00CF58EB">
        <w:trPr>
          <w:cantSplit/>
        </w:trPr>
        <w:tc>
          <w:tcPr>
            <w:tcW w:w="959" w:type="dxa"/>
            <w:shd w:val="clear" w:color="000000" w:fill="FFFFFF"/>
            <w:noWrap/>
            <w:vAlign w:val="center"/>
            <w:hideMark/>
          </w:tcPr>
          <w:p w:rsidR="002401F4" w:rsidRPr="004761E0" w:rsidRDefault="002401F4" w:rsidP="002401F4">
            <w:pPr>
              <w:ind w:firstLine="0"/>
              <w:jc w:val="left"/>
              <w:rPr>
                <w:rFonts w:eastAsia="Times New Roman"/>
                <w:sz w:val="18"/>
                <w:szCs w:val="18"/>
                <w:lang w:eastAsia="ru-RU"/>
              </w:rPr>
            </w:pPr>
            <w:r w:rsidRPr="004761E0">
              <w:rPr>
                <w:rFonts w:eastAsia="Times New Roman"/>
                <w:sz w:val="18"/>
                <w:szCs w:val="18"/>
                <w:lang w:eastAsia="ru-RU"/>
              </w:rPr>
              <w:t>1.1.4.</w:t>
            </w:r>
          </w:p>
        </w:tc>
        <w:tc>
          <w:tcPr>
            <w:tcW w:w="5103" w:type="dxa"/>
            <w:shd w:val="clear" w:color="000000" w:fill="FFFFFF"/>
            <w:noWrap/>
            <w:vAlign w:val="center"/>
            <w:hideMark/>
          </w:tcPr>
          <w:p w:rsidR="002401F4" w:rsidRPr="004761E0" w:rsidRDefault="003F0C6E" w:rsidP="002401F4">
            <w:pPr>
              <w:ind w:firstLine="0"/>
              <w:jc w:val="left"/>
              <w:rPr>
                <w:rFonts w:eastAsia="Times New Roman"/>
                <w:sz w:val="18"/>
                <w:szCs w:val="18"/>
                <w:lang w:eastAsia="ru-RU"/>
              </w:rPr>
            </w:pPr>
            <w:r w:rsidRPr="004761E0">
              <w:rPr>
                <w:rFonts w:eastAsia="Times New Roman"/>
                <w:sz w:val="18"/>
                <w:szCs w:val="18"/>
                <w:lang w:eastAsia="ru-RU"/>
              </w:rPr>
              <w:t>ф</w:t>
            </w:r>
            <w:r w:rsidR="002401F4" w:rsidRPr="004761E0">
              <w:rPr>
                <w:rFonts w:eastAsia="Times New Roman"/>
                <w:sz w:val="18"/>
                <w:szCs w:val="18"/>
                <w:lang w:eastAsia="ru-RU"/>
              </w:rPr>
              <w:t xml:space="preserve">актические действия по присоединению и обеспечению работы устройств в электрической сети </w:t>
            </w:r>
          </w:p>
        </w:tc>
        <w:tc>
          <w:tcPr>
            <w:tcW w:w="99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101,00</w:t>
            </w:r>
          </w:p>
        </w:tc>
        <w:tc>
          <w:tcPr>
            <w:tcW w:w="99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101,00</w:t>
            </w:r>
          </w:p>
        </w:tc>
        <w:tc>
          <w:tcPr>
            <w:tcW w:w="851"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101,06</w:t>
            </w:r>
          </w:p>
        </w:tc>
        <w:tc>
          <w:tcPr>
            <w:tcW w:w="103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0,06</w:t>
            </w:r>
            <w:r w:rsidR="008A4282">
              <w:rPr>
                <w:rFonts w:eastAsia="Times New Roman"/>
                <w:sz w:val="18"/>
                <w:szCs w:val="18"/>
                <w:lang w:eastAsia="ru-RU"/>
              </w:rPr>
              <w:t xml:space="preserve"> </w:t>
            </w:r>
            <w:r w:rsidRPr="004761E0">
              <w:rPr>
                <w:rFonts w:eastAsia="Times New Roman"/>
                <w:sz w:val="18"/>
                <w:szCs w:val="18"/>
                <w:lang w:eastAsia="ru-RU"/>
              </w:rPr>
              <w:t>%</w:t>
            </w:r>
          </w:p>
        </w:tc>
      </w:tr>
      <w:tr w:rsidR="002401F4" w:rsidRPr="004761E0" w:rsidTr="00CF58EB">
        <w:trPr>
          <w:cantSplit/>
        </w:trPr>
        <w:tc>
          <w:tcPr>
            <w:tcW w:w="959" w:type="dxa"/>
            <w:shd w:val="clear" w:color="000000" w:fill="FFFFFF"/>
            <w:noWrap/>
            <w:vAlign w:val="center"/>
            <w:hideMark/>
          </w:tcPr>
          <w:p w:rsidR="002401F4" w:rsidRPr="004761E0" w:rsidRDefault="002401F4" w:rsidP="002401F4">
            <w:pPr>
              <w:ind w:firstLine="0"/>
              <w:jc w:val="left"/>
              <w:rPr>
                <w:rFonts w:eastAsia="Times New Roman"/>
                <w:b/>
                <w:sz w:val="18"/>
                <w:szCs w:val="18"/>
                <w:lang w:eastAsia="ru-RU"/>
              </w:rPr>
            </w:pPr>
            <w:r w:rsidRPr="004761E0">
              <w:rPr>
                <w:rFonts w:eastAsia="Times New Roman"/>
                <w:b/>
                <w:sz w:val="18"/>
                <w:szCs w:val="18"/>
                <w:lang w:eastAsia="ru-RU"/>
              </w:rPr>
              <w:t>1.2.</w:t>
            </w:r>
          </w:p>
        </w:tc>
        <w:tc>
          <w:tcPr>
            <w:tcW w:w="5103" w:type="dxa"/>
            <w:shd w:val="clear" w:color="000000" w:fill="FFFFFF"/>
            <w:noWrap/>
            <w:vAlign w:val="center"/>
            <w:hideMark/>
          </w:tcPr>
          <w:p w:rsidR="002401F4" w:rsidRPr="004761E0" w:rsidRDefault="002401F4" w:rsidP="002401F4">
            <w:pPr>
              <w:ind w:firstLine="0"/>
              <w:jc w:val="left"/>
              <w:rPr>
                <w:rFonts w:eastAsia="Times New Roman"/>
                <w:b/>
                <w:sz w:val="18"/>
                <w:szCs w:val="18"/>
                <w:lang w:eastAsia="ru-RU"/>
              </w:rPr>
            </w:pPr>
            <w:r w:rsidRPr="004761E0">
              <w:rPr>
                <w:rFonts w:eastAsia="Times New Roman"/>
                <w:b/>
                <w:sz w:val="18"/>
                <w:szCs w:val="18"/>
                <w:lang w:eastAsia="ru-RU"/>
              </w:rPr>
              <w:t>Разработка сетевой организацией проектной документации по строительству «последней мили»</w:t>
            </w:r>
          </w:p>
        </w:tc>
        <w:tc>
          <w:tcPr>
            <w:tcW w:w="992" w:type="dxa"/>
            <w:shd w:val="clear" w:color="auto" w:fill="auto"/>
            <w:noWrap/>
            <w:vAlign w:val="center"/>
            <w:hideMark/>
          </w:tcPr>
          <w:p w:rsidR="002401F4" w:rsidRPr="004761E0" w:rsidRDefault="002401F4" w:rsidP="003F0C6E">
            <w:pPr>
              <w:ind w:firstLine="0"/>
              <w:jc w:val="right"/>
              <w:rPr>
                <w:rFonts w:eastAsia="Times New Roman"/>
                <w:b/>
                <w:sz w:val="18"/>
                <w:szCs w:val="18"/>
                <w:lang w:val="en-US" w:eastAsia="ru-RU"/>
              </w:rPr>
            </w:pPr>
            <w:r w:rsidRPr="004761E0">
              <w:rPr>
                <w:rFonts w:eastAsia="Times New Roman"/>
                <w:b/>
                <w:sz w:val="18"/>
                <w:szCs w:val="18"/>
                <w:lang w:val="en-US" w:eastAsia="ru-RU"/>
              </w:rPr>
              <w:t>0</w:t>
            </w:r>
          </w:p>
        </w:tc>
        <w:tc>
          <w:tcPr>
            <w:tcW w:w="992" w:type="dxa"/>
            <w:shd w:val="clear" w:color="auto" w:fill="auto"/>
            <w:noWrap/>
            <w:vAlign w:val="center"/>
            <w:hideMark/>
          </w:tcPr>
          <w:p w:rsidR="002401F4" w:rsidRPr="004761E0" w:rsidRDefault="002401F4" w:rsidP="003F0C6E">
            <w:pPr>
              <w:ind w:firstLine="0"/>
              <w:jc w:val="right"/>
              <w:rPr>
                <w:rFonts w:eastAsia="Times New Roman"/>
                <w:b/>
                <w:sz w:val="18"/>
                <w:szCs w:val="18"/>
                <w:lang w:val="en-US" w:eastAsia="ru-RU"/>
              </w:rPr>
            </w:pPr>
            <w:r w:rsidRPr="004761E0">
              <w:rPr>
                <w:rFonts w:eastAsia="Times New Roman"/>
                <w:b/>
                <w:sz w:val="18"/>
                <w:szCs w:val="18"/>
                <w:lang w:val="en-US" w:eastAsia="ru-RU"/>
              </w:rPr>
              <w:t>0</w:t>
            </w:r>
          </w:p>
        </w:tc>
        <w:tc>
          <w:tcPr>
            <w:tcW w:w="851" w:type="dxa"/>
            <w:shd w:val="clear" w:color="auto" w:fill="auto"/>
            <w:noWrap/>
            <w:vAlign w:val="center"/>
            <w:hideMark/>
          </w:tcPr>
          <w:p w:rsidR="002401F4" w:rsidRPr="004761E0" w:rsidRDefault="002401F4" w:rsidP="003F0C6E">
            <w:pPr>
              <w:ind w:firstLine="0"/>
              <w:jc w:val="right"/>
              <w:rPr>
                <w:rFonts w:eastAsia="Times New Roman"/>
                <w:b/>
                <w:sz w:val="18"/>
                <w:szCs w:val="18"/>
                <w:lang w:val="en-US" w:eastAsia="ru-RU"/>
              </w:rPr>
            </w:pPr>
            <w:r w:rsidRPr="004761E0">
              <w:rPr>
                <w:rFonts w:eastAsia="Times New Roman"/>
                <w:b/>
                <w:sz w:val="18"/>
                <w:szCs w:val="18"/>
                <w:lang w:val="en-US" w:eastAsia="ru-RU"/>
              </w:rPr>
              <w:t>0</w:t>
            </w:r>
          </w:p>
        </w:tc>
        <w:tc>
          <w:tcPr>
            <w:tcW w:w="1032" w:type="dxa"/>
            <w:shd w:val="clear" w:color="auto" w:fill="auto"/>
            <w:noWrap/>
            <w:vAlign w:val="center"/>
            <w:hideMark/>
          </w:tcPr>
          <w:p w:rsidR="002401F4" w:rsidRPr="004761E0" w:rsidRDefault="002401F4" w:rsidP="003F0C6E">
            <w:pPr>
              <w:ind w:firstLine="0"/>
              <w:jc w:val="right"/>
              <w:rPr>
                <w:rFonts w:eastAsia="Times New Roman"/>
                <w:b/>
                <w:sz w:val="18"/>
                <w:szCs w:val="18"/>
                <w:lang w:val="en-US" w:eastAsia="ru-RU"/>
              </w:rPr>
            </w:pPr>
            <w:r w:rsidRPr="004761E0">
              <w:rPr>
                <w:rFonts w:eastAsia="Times New Roman"/>
                <w:b/>
                <w:sz w:val="18"/>
                <w:szCs w:val="18"/>
                <w:lang w:val="en-US" w:eastAsia="ru-RU"/>
              </w:rPr>
              <w:t>0</w:t>
            </w:r>
          </w:p>
        </w:tc>
      </w:tr>
      <w:tr w:rsidR="002401F4" w:rsidRPr="004761E0" w:rsidTr="00CF58EB">
        <w:trPr>
          <w:cantSplit/>
        </w:trPr>
        <w:tc>
          <w:tcPr>
            <w:tcW w:w="959" w:type="dxa"/>
            <w:shd w:val="clear" w:color="000000" w:fill="FFFFFF"/>
            <w:noWrap/>
            <w:vAlign w:val="center"/>
            <w:hideMark/>
          </w:tcPr>
          <w:p w:rsidR="002401F4" w:rsidRPr="004761E0" w:rsidRDefault="002401F4" w:rsidP="002401F4">
            <w:pPr>
              <w:ind w:firstLine="0"/>
              <w:jc w:val="left"/>
              <w:rPr>
                <w:rFonts w:eastAsia="Times New Roman"/>
                <w:b/>
                <w:sz w:val="18"/>
                <w:szCs w:val="18"/>
                <w:lang w:eastAsia="ru-RU"/>
              </w:rPr>
            </w:pPr>
            <w:r w:rsidRPr="004761E0">
              <w:rPr>
                <w:rFonts w:eastAsia="Times New Roman"/>
                <w:b/>
                <w:sz w:val="18"/>
                <w:szCs w:val="18"/>
                <w:lang w:eastAsia="ru-RU"/>
              </w:rPr>
              <w:t>1.3.</w:t>
            </w:r>
          </w:p>
        </w:tc>
        <w:tc>
          <w:tcPr>
            <w:tcW w:w="5103" w:type="dxa"/>
            <w:shd w:val="clear" w:color="000000" w:fill="FFFFFF"/>
            <w:noWrap/>
            <w:vAlign w:val="center"/>
            <w:hideMark/>
          </w:tcPr>
          <w:p w:rsidR="002401F4" w:rsidRPr="004761E0" w:rsidRDefault="002401F4" w:rsidP="002401F4">
            <w:pPr>
              <w:ind w:firstLine="0"/>
              <w:jc w:val="left"/>
              <w:rPr>
                <w:rFonts w:eastAsia="Times New Roman"/>
                <w:b/>
                <w:sz w:val="18"/>
                <w:szCs w:val="18"/>
                <w:lang w:eastAsia="ru-RU"/>
              </w:rPr>
            </w:pPr>
            <w:r w:rsidRPr="004761E0">
              <w:rPr>
                <w:rFonts w:eastAsia="Times New Roman"/>
                <w:b/>
                <w:sz w:val="18"/>
                <w:szCs w:val="18"/>
                <w:lang w:eastAsia="ru-RU"/>
              </w:rPr>
              <w:t>Выполнение сетевой организацией, мероприятий,  связанных со строительством «последней мили»:</w:t>
            </w:r>
          </w:p>
        </w:tc>
        <w:tc>
          <w:tcPr>
            <w:tcW w:w="992" w:type="dxa"/>
            <w:shd w:val="clear" w:color="auto" w:fill="auto"/>
            <w:noWrap/>
            <w:vAlign w:val="center"/>
            <w:hideMark/>
          </w:tcPr>
          <w:p w:rsidR="002401F4" w:rsidRPr="004761E0" w:rsidRDefault="002401F4" w:rsidP="003F0C6E">
            <w:pPr>
              <w:ind w:firstLine="0"/>
              <w:jc w:val="right"/>
              <w:rPr>
                <w:rFonts w:eastAsia="Times New Roman"/>
                <w:b/>
                <w:sz w:val="18"/>
                <w:szCs w:val="18"/>
                <w:lang w:eastAsia="ru-RU"/>
              </w:rPr>
            </w:pPr>
            <w:r w:rsidRPr="004761E0">
              <w:rPr>
                <w:rFonts w:eastAsia="Times New Roman"/>
                <w:b/>
                <w:sz w:val="18"/>
                <w:szCs w:val="18"/>
                <w:lang w:eastAsia="ru-RU"/>
              </w:rPr>
              <w:t>16 006,96</w:t>
            </w:r>
          </w:p>
        </w:tc>
        <w:tc>
          <w:tcPr>
            <w:tcW w:w="992" w:type="dxa"/>
            <w:shd w:val="clear" w:color="auto" w:fill="auto"/>
            <w:noWrap/>
            <w:vAlign w:val="center"/>
            <w:hideMark/>
          </w:tcPr>
          <w:p w:rsidR="002401F4" w:rsidRPr="004761E0" w:rsidRDefault="002401F4" w:rsidP="003F0C6E">
            <w:pPr>
              <w:ind w:firstLine="0"/>
              <w:jc w:val="right"/>
              <w:rPr>
                <w:rFonts w:eastAsia="Times New Roman"/>
                <w:b/>
                <w:sz w:val="18"/>
                <w:szCs w:val="18"/>
                <w:lang w:eastAsia="ru-RU"/>
              </w:rPr>
            </w:pPr>
            <w:r w:rsidRPr="004761E0">
              <w:rPr>
                <w:rFonts w:eastAsia="Times New Roman"/>
                <w:b/>
                <w:sz w:val="18"/>
                <w:szCs w:val="18"/>
                <w:lang w:eastAsia="ru-RU"/>
              </w:rPr>
              <w:t>16 006,96</w:t>
            </w:r>
          </w:p>
        </w:tc>
        <w:tc>
          <w:tcPr>
            <w:tcW w:w="851" w:type="dxa"/>
            <w:shd w:val="clear" w:color="auto" w:fill="auto"/>
            <w:noWrap/>
            <w:vAlign w:val="center"/>
            <w:hideMark/>
          </w:tcPr>
          <w:p w:rsidR="002401F4" w:rsidRPr="004761E0" w:rsidRDefault="002401F4" w:rsidP="003F0C6E">
            <w:pPr>
              <w:ind w:firstLine="0"/>
              <w:jc w:val="right"/>
              <w:rPr>
                <w:rFonts w:eastAsia="Times New Roman"/>
                <w:b/>
                <w:sz w:val="18"/>
                <w:szCs w:val="18"/>
                <w:lang w:eastAsia="ru-RU"/>
              </w:rPr>
            </w:pPr>
            <w:r w:rsidRPr="004761E0">
              <w:rPr>
                <w:rFonts w:eastAsia="Times New Roman"/>
                <w:b/>
                <w:sz w:val="18"/>
                <w:szCs w:val="18"/>
                <w:lang w:eastAsia="ru-RU"/>
              </w:rPr>
              <w:t>х</w:t>
            </w:r>
          </w:p>
        </w:tc>
        <w:tc>
          <w:tcPr>
            <w:tcW w:w="1032" w:type="dxa"/>
            <w:shd w:val="clear" w:color="auto" w:fill="auto"/>
            <w:noWrap/>
            <w:vAlign w:val="center"/>
            <w:hideMark/>
          </w:tcPr>
          <w:p w:rsidR="002401F4" w:rsidRPr="004761E0" w:rsidRDefault="002401F4" w:rsidP="003F0C6E">
            <w:pPr>
              <w:ind w:firstLine="0"/>
              <w:jc w:val="right"/>
              <w:rPr>
                <w:rFonts w:eastAsia="Times New Roman"/>
                <w:b/>
                <w:sz w:val="18"/>
                <w:szCs w:val="18"/>
                <w:lang w:eastAsia="ru-RU"/>
              </w:rPr>
            </w:pPr>
            <w:r w:rsidRPr="004761E0">
              <w:rPr>
                <w:rFonts w:eastAsia="Times New Roman"/>
                <w:b/>
                <w:sz w:val="18"/>
                <w:szCs w:val="18"/>
                <w:lang w:eastAsia="ru-RU"/>
              </w:rPr>
              <w:t>х</w:t>
            </w:r>
          </w:p>
        </w:tc>
      </w:tr>
      <w:tr w:rsidR="002401F4" w:rsidRPr="004761E0" w:rsidTr="00CF58EB">
        <w:trPr>
          <w:cantSplit/>
        </w:trPr>
        <w:tc>
          <w:tcPr>
            <w:tcW w:w="959" w:type="dxa"/>
            <w:shd w:val="clear" w:color="000000" w:fill="FFFFFF"/>
            <w:noWrap/>
            <w:vAlign w:val="center"/>
            <w:hideMark/>
          </w:tcPr>
          <w:p w:rsidR="002401F4" w:rsidRPr="004761E0" w:rsidRDefault="002401F4" w:rsidP="002401F4">
            <w:pPr>
              <w:ind w:firstLine="0"/>
              <w:jc w:val="left"/>
              <w:rPr>
                <w:rFonts w:eastAsia="Times New Roman"/>
                <w:sz w:val="18"/>
                <w:szCs w:val="18"/>
                <w:lang w:eastAsia="ru-RU"/>
              </w:rPr>
            </w:pPr>
            <w:r w:rsidRPr="004761E0">
              <w:rPr>
                <w:rFonts w:eastAsia="Times New Roman"/>
                <w:sz w:val="18"/>
                <w:szCs w:val="18"/>
                <w:lang w:eastAsia="ru-RU"/>
              </w:rPr>
              <w:t>1.3.1.</w:t>
            </w:r>
          </w:p>
        </w:tc>
        <w:tc>
          <w:tcPr>
            <w:tcW w:w="5103" w:type="dxa"/>
            <w:shd w:val="clear" w:color="000000" w:fill="FFFFFF"/>
            <w:noWrap/>
            <w:vAlign w:val="bottom"/>
            <w:hideMark/>
          </w:tcPr>
          <w:p w:rsidR="002401F4" w:rsidRPr="004761E0" w:rsidRDefault="002401F4" w:rsidP="002401F4">
            <w:pPr>
              <w:ind w:firstLine="0"/>
              <w:jc w:val="left"/>
              <w:rPr>
                <w:rFonts w:eastAsia="Times New Roman"/>
                <w:sz w:val="18"/>
                <w:szCs w:val="18"/>
                <w:lang w:eastAsia="ru-RU"/>
              </w:rPr>
            </w:pPr>
            <w:r w:rsidRPr="004761E0">
              <w:rPr>
                <w:color w:val="000000"/>
                <w:sz w:val="18"/>
                <w:szCs w:val="18"/>
              </w:rPr>
              <w:t xml:space="preserve">строительство воздушных линий на уровне напряжения </w:t>
            </w:r>
          </w:p>
        </w:tc>
        <w:tc>
          <w:tcPr>
            <w:tcW w:w="992" w:type="dxa"/>
            <w:vMerge w:val="restart"/>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11 305,87</w:t>
            </w:r>
          </w:p>
        </w:tc>
        <w:tc>
          <w:tcPr>
            <w:tcW w:w="992" w:type="dxa"/>
            <w:vMerge w:val="restart"/>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11 305,87</w:t>
            </w:r>
          </w:p>
        </w:tc>
        <w:tc>
          <w:tcPr>
            <w:tcW w:w="851"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х</w:t>
            </w:r>
          </w:p>
        </w:tc>
        <w:tc>
          <w:tcPr>
            <w:tcW w:w="1032" w:type="dxa"/>
            <w:shd w:val="clear" w:color="auto" w:fill="auto"/>
            <w:noWrap/>
            <w:vAlign w:val="center"/>
            <w:hideMark/>
          </w:tcPr>
          <w:p w:rsidR="002401F4" w:rsidRPr="004761E0" w:rsidRDefault="002401F4" w:rsidP="003F0C6E">
            <w:pPr>
              <w:ind w:hanging="2"/>
              <w:jc w:val="right"/>
            </w:pPr>
            <w:r w:rsidRPr="004761E0">
              <w:rPr>
                <w:rFonts w:eastAsia="Times New Roman"/>
                <w:sz w:val="18"/>
                <w:szCs w:val="18"/>
                <w:lang w:eastAsia="ru-RU"/>
              </w:rPr>
              <w:t>х</w:t>
            </w:r>
          </w:p>
        </w:tc>
      </w:tr>
      <w:tr w:rsidR="002401F4" w:rsidRPr="004761E0" w:rsidTr="00CF58EB">
        <w:trPr>
          <w:cantSplit/>
        </w:trPr>
        <w:tc>
          <w:tcPr>
            <w:tcW w:w="959" w:type="dxa"/>
            <w:shd w:val="clear" w:color="000000" w:fill="FFFFFF"/>
            <w:noWrap/>
            <w:vAlign w:val="center"/>
            <w:hideMark/>
          </w:tcPr>
          <w:p w:rsidR="002401F4" w:rsidRPr="004761E0" w:rsidRDefault="002401F4" w:rsidP="002401F4">
            <w:pPr>
              <w:ind w:firstLine="0"/>
              <w:jc w:val="left"/>
              <w:rPr>
                <w:rFonts w:eastAsia="Times New Roman"/>
                <w:sz w:val="18"/>
                <w:szCs w:val="18"/>
                <w:lang w:eastAsia="ru-RU"/>
              </w:rPr>
            </w:pPr>
            <w:r w:rsidRPr="004761E0">
              <w:rPr>
                <w:color w:val="000000"/>
                <w:sz w:val="18"/>
                <w:szCs w:val="18"/>
              </w:rPr>
              <w:t>1.3.2.</w:t>
            </w:r>
          </w:p>
        </w:tc>
        <w:tc>
          <w:tcPr>
            <w:tcW w:w="5103" w:type="dxa"/>
            <w:shd w:val="clear" w:color="000000" w:fill="FFFFFF"/>
            <w:noWrap/>
            <w:vAlign w:val="bottom"/>
            <w:hideMark/>
          </w:tcPr>
          <w:p w:rsidR="002401F4" w:rsidRPr="004761E0" w:rsidRDefault="002401F4" w:rsidP="002401F4">
            <w:pPr>
              <w:ind w:firstLine="0"/>
              <w:jc w:val="left"/>
              <w:rPr>
                <w:rFonts w:eastAsia="Times New Roman"/>
                <w:sz w:val="18"/>
                <w:szCs w:val="18"/>
                <w:lang w:eastAsia="ru-RU"/>
              </w:rPr>
            </w:pPr>
            <w:r w:rsidRPr="004761E0">
              <w:rPr>
                <w:color w:val="000000"/>
                <w:sz w:val="18"/>
                <w:szCs w:val="18"/>
              </w:rPr>
              <w:t xml:space="preserve">строительство кабельных линий  на уровне напряжения </w:t>
            </w:r>
          </w:p>
        </w:tc>
        <w:tc>
          <w:tcPr>
            <w:tcW w:w="992" w:type="dxa"/>
            <w:vMerge/>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p>
        </w:tc>
        <w:tc>
          <w:tcPr>
            <w:tcW w:w="992" w:type="dxa"/>
            <w:vMerge/>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p>
        </w:tc>
        <w:tc>
          <w:tcPr>
            <w:tcW w:w="851"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5 395,26</w:t>
            </w:r>
          </w:p>
        </w:tc>
        <w:tc>
          <w:tcPr>
            <w:tcW w:w="1032" w:type="dxa"/>
            <w:shd w:val="clear" w:color="auto" w:fill="auto"/>
            <w:noWrap/>
            <w:vAlign w:val="center"/>
            <w:hideMark/>
          </w:tcPr>
          <w:p w:rsidR="002401F4" w:rsidRPr="004761E0" w:rsidRDefault="002401F4" w:rsidP="003F0C6E">
            <w:pPr>
              <w:ind w:hanging="2"/>
              <w:jc w:val="right"/>
            </w:pPr>
            <w:r w:rsidRPr="004761E0">
              <w:rPr>
                <w:rFonts w:eastAsia="Times New Roman"/>
                <w:sz w:val="18"/>
                <w:szCs w:val="18"/>
                <w:lang w:eastAsia="ru-RU"/>
              </w:rPr>
              <w:t>х</w:t>
            </w:r>
          </w:p>
        </w:tc>
      </w:tr>
      <w:tr w:rsidR="002401F4" w:rsidRPr="004761E0" w:rsidTr="00CF58EB">
        <w:trPr>
          <w:cantSplit/>
        </w:trPr>
        <w:tc>
          <w:tcPr>
            <w:tcW w:w="959" w:type="dxa"/>
            <w:shd w:val="clear" w:color="000000" w:fill="FFFFFF"/>
            <w:noWrap/>
            <w:vAlign w:val="center"/>
            <w:hideMark/>
          </w:tcPr>
          <w:p w:rsidR="002401F4" w:rsidRPr="004761E0" w:rsidRDefault="002401F4" w:rsidP="002401F4">
            <w:pPr>
              <w:ind w:firstLine="0"/>
              <w:jc w:val="left"/>
              <w:rPr>
                <w:rFonts w:eastAsia="Times New Roman"/>
                <w:sz w:val="18"/>
                <w:szCs w:val="18"/>
                <w:lang w:eastAsia="ru-RU"/>
              </w:rPr>
            </w:pPr>
            <w:r w:rsidRPr="004761E0">
              <w:rPr>
                <w:color w:val="000000"/>
                <w:sz w:val="18"/>
                <w:szCs w:val="18"/>
              </w:rPr>
              <w:t>1.3.3.</w:t>
            </w:r>
          </w:p>
        </w:tc>
        <w:tc>
          <w:tcPr>
            <w:tcW w:w="5103" w:type="dxa"/>
            <w:shd w:val="clear" w:color="000000" w:fill="FFFFFF"/>
            <w:noWrap/>
            <w:vAlign w:val="center"/>
            <w:hideMark/>
          </w:tcPr>
          <w:p w:rsidR="002401F4" w:rsidRPr="004761E0" w:rsidRDefault="002401F4" w:rsidP="002401F4">
            <w:pPr>
              <w:ind w:firstLine="0"/>
              <w:jc w:val="left"/>
              <w:rPr>
                <w:rFonts w:eastAsia="Times New Roman"/>
                <w:sz w:val="18"/>
                <w:szCs w:val="18"/>
                <w:lang w:eastAsia="ru-RU"/>
              </w:rPr>
            </w:pPr>
            <w:r w:rsidRPr="004761E0">
              <w:rPr>
                <w:rFonts w:eastAsia="Times New Roman"/>
                <w:sz w:val="18"/>
                <w:szCs w:val="18"/>
                <w:lang w:eastAsia="ru-RU"/>
              </w:rPr>
              <w:t xml:space="preserve">строительство пунктов секционирования  </w:t>
            </w:r>
          </w:p>
        </w:tc>
        <w:tc>
          <w:tcPr>
            <w:tcW w:w="99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122,84</w:t>
            </w:r>
          </w:p>
        </w:tc>
        <w:tc>
          <w:tcPr>
            <w:tcW w:w="99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122,84</w:t>
            </w:r>
          </w:p>
        </w:tc>
        <w:tc>
          <w:tcPr>
            <w:tcW w:w="851"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х</w:t>
            </w:r>
          </w:p>
        </w:tc>
        <w:tc>
          <w:tcPr>
            <w:tcW w:w="103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х</w:t>
            </w:r>
          </w:p>
        </w:tc>
      </w:tr>
      <w:tr w:rsidR="002401F4" w:rsidRPr="004761E0" w:rsidTr="00CF58EB">
        <w:trPr>
          <w:cantSplit/>
        </w:trPr>
        <w:tc>
          <w:tcPr>
            <w:tcW w:w="959" w:type="dxa"/>
            <w:shd w:val="clear" w:color="000000" w:fill="FFFFFF"/>
            <w:noWrap/>
            <w:vAlign w:val="center"/>
            <w:hideMark/>
          </w:tcPr>
          <w:p w:rsidR="002401F4" w:rsidRPr="004761E0" w:rsidRDefault="002401F4" w:rsidP="002401F4">
            <w:pPr>
              <w:ind w:firstLine="0"/>
              <w:jc w:val="left"/>
              <w:rPr>
                <w:rFonts w:eastAsia="Times New Roman"/>
                <w:sz w:val="18"/>
                <w:szCs w:val="18"/>
                <w:lang w:eastAsia="ru-RU"/>
              </w:rPr>
            </w:pPr>
            <w:r w:rsidRPr="004761E0">
              <w:rPr>
                <w:color w:val="000000"/>
                <w:sz w:val="18"/>
                <w:szCs w:val="18"/>
              </w:rPr>
              <w:t>1.3.4.</w:t>
            </w:r>
          </w:p>
        </w:tc>
        <w:tc>
          <w:tcPr>
            <w:tcW w:w="5103" w:type="dxa"/>
            <w:shd w:val="clear" w:color="000000" w:fill="FFFFFF"/>
            <w:noWrap/>
            <w:vAlign w:val="bottom"/>
            <w:hideMark/>
          </w:tcPr>
          <w:p w:rsidR="002401F4" w:rsidRPr="004761E0" w:rsidRDefault="002401F4" w:rsidP="002401F4">
            <w:pPr>
              <w:ind w:firstLine="0"/>
              <w:jc w:val="left"/>
              <w:rPr>
                <w:rFonts w:eastAsia="Times New Roman"/>
                <w:sz w:val="18"/>
                <w:szCs w:val="18"/>
                <w:lang w:eastAsia="ru-RU"/>
              </w:rPr>
            </w:pPr>
            <w:r w:rsidRPr="004761E0">
              <w:rPr>
                <w:color w:val="000000"/>
                <w:sz w:val="18"/>
                <w:szCs w:val="18"/>
              </w:rPr>
              <w:t xml:space="preserve">строительство комплектных трансформаторных подстанций, распределительных трансформаторных подстанций, распределительных пунктов с уровнем напряжения до 35 кВ  </w:t>
            </w:r>
          </w:p>
        </w:tc>
        <w:tc>
          <w:tcPr>
            <w:tcW w:w="99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4 578,25</w:t>
            </w:r>
          </w:p>
        </w:tc>
        <w:tc>
          <w:tcPr>
            <w:tcW w:w="99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4 578,25</w:t>
            </w:r>
          </w:p>
        </w:tc>
        <w:tc>
          <w:tcPr>
            <w:tcW w:w="851"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3 152,83</w:t>
            </w:r>
          </w:p>
        </w:tc>
        <w:tc>
          <w:tcPr>
            <w:tcW w:w="103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-31,13</w:t>
            </w:r>
            <w:r w:rsidR="008A4282">
              <w:rPr>
                <w:rFonts w:eastAsia="Times New Roman"/>
                <w:sz w:val="18"/>
                <w:szCs w:val="18"/>
                <w:lang w:eastAsia="ru-RU"/>
              </w:rPr>
              <w:t xml:space="preserve"> </w:t>
            </w:r>
            <w:r w:rsidRPr="004761E0">
              <w:rPr>
                <w:rFonts w:eastAsia="Times New Roman"/>
                <w:sz w:val="18"/>
                <w:szCs w:val="18"/>
                <w:lang w:eastAsia="ru-RU"/>
              </w:rPr>
              <w:t>%</w:t>
            </w:r>
          </w:p>
        </w:tc>
      </w:tr>
      <w:tr w:rsidR="002401F4" w:rsidRPr="004761E0" w:rsidTr="00CF58EB">
        <w:trPr>
          <w:cantSplit/>
        </w:trPr>
        <w:tc>
          <w:tcPr>
            <w:tcW w:w="959" w:type="dxa"/>
            <w:shd w:val="clear" w:color="000000" w:fill="FFFFFF"/>
            <w:noWrap/>
            <w:vAlign w:val="center"/>
            <w:hideMark/>
          </w:tcPr>
          <w:p w:rsidR="002401F4" w:rsidRPr="004761E0" w:rsidRDefault="002401F4" w:rsidP="002401F4">
            <w:pPr>
              <w:ind w:firstLine="0"/>
              <w:jc w:val="left"/>
              <w:rPr>
                <w:rFonts w:eastAsia="Times New Roman"/>
                <w:sz w:val="18"/>
                <w:szCs w:val="18"/>
                <w:lang w:eastAsia="ru-RU"/>
              </w:rPr>
            </w:pPr>
            <w:r w:rsidRPr="004761E0">
              <w:rPr>
                <w:color w:val="000000"/>
                <w:sz w:val="18"/>
                <w:szCs w:val="18"/>
              </w:rPr>
              <w:t>1.3.5.</w:t>
            </w:r>
          </w:p>
        </w:tc>
        <w:tc>
          <w:tcPr>
            <w:tcW w:w="5103" w:type="dxa"/>
            <w:shd w:val="clear" w:color="000000" w:fill="FFFFFF"/>
            <w:noWrap/>
            <w:vAlign w:val="center"/>
            <w:hideMark/>
          </w:tcPr>
          <w:p w:rsidR="002401F4" w:rsidRPr="004761E0" w:rsidRDefault="002401F4" w:rsidP="002401F4">
            <w:pPr>
              <w:ind w:firstLine="0"/>
              <w:jc w:val="left"/>
              <w:rPr>
                <w:rFonts w:eastAsia="Times New Roman"/>
                <w:sz w:val="18"/>
                <w:szCs w:val="18"/>
                <w:lang w:eastAsia="ru-RU"/>
              </w:rPr>
            </w:pPr>
            <w:r w:rsidRPr="004761E0">
              <w:rPr>
                <w:rFonts w:eastAsia="Times New Roman"/>
                <w:sz w:val="18"/>
                <w:szCs w:val="18"/>
                <w:lang w:eastAsia="ru-RU"/>
              </w:rPr>
              <w:t xml:space="preserve">строительство центров питания,  подстанций уровнем напряжения 35 кВ и выше </w:t>
            </w:r>
          </w:p>
        </w:tc>
        <w:tc>
          <w:tcPr>
            <w:tcW w:w="99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0</w:t>
            </w:r>
          </w:p>
        </w:tc>
        <w:tc>
          <w:tcPr>
            <w:tcW w:w="99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0</w:t>
            </w:r>
          </w:p>
        </w:tc>
        <w:tc>
          <w:tcPr>
            <w:tcW w:w="851"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0</w:t>
            </w:r>
          </w:p>
        </w:tc>
        <w:tc>
          <w:tcPr>
            <w:tcW w:w="103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0</w:t>
            </w:r>
          </w:p>
        </w:tc>
      </w:tr>
      <w:tr w:rsidR="002401F4" w:rsidRPr="004761E0" w:rsidTr="008A4282">
        <w:trPr>
          <w:cantSplit/>
        </w:trPr>
        <w:tc>
          <w:tcPr>
            <w:tcW w:w="959" w:type="dxa"/>
            <w:shd w:val="clear" w:color="auto" w:fill="BFBFBF" w:themeFill="background1" w:themeFillShade="BF"/>
            <w:noWrap/>
            <w:vAlign w:val="center"/>
            <w:hideMark/>
          </w:tcPr>
          <w:p w:rsidR="002401F4" w:rsidRPr="004761E0" w:rsidRDefault="002401F4" w:rsidP="002401F4">
            <w:pPr>
              <w:ind w:firstLine="0"/>
              <w:jc w:val="left"/>
              <w:rPr>
                <w:rFonts w:eastAsia="Times New Roman"/>
                <w:b/>
                <w:sz w:val="18"/>
                <w:szCs w:val="18"/>
                <w:lang w:eastAsia="ru-RU"/>
              </w:rPr>
            </w:pPr>
            <w:r w:rsidRPr="004761E0">
              <w:rPr>
                <w:rFonts w:eastAsia="Times New Roman"/>
                <w:b/>
                <w:sz w:val="18"/>
                <w:szCs w:val="18"/>
                <w:lang w:eastAsia="ru-RU"/>
              </w:rPr>
              <w:t>2.</w:t>
            </w:r>
          </w:p>
        </w:tc>
        <w:tc>
          <w:tcPr>
            <w:tcW w:w="5103" w:type="dxa"/>
            <w:shd w:val="clear" w:color="auto" w:fill="BFBFBF" w:themeFill="background1" w:themeFillShade="BF"/>
            <w:vAlign w:val="center"/>
            <w:hideMark/>
          </w:tcPr>
          <w:p w:rsidR="002401F4" w:rsidRPr="004761E0" w:rsidRDefault="002401F4" w:rsidP="003F0C6E">
            <w:pPr>
              <w:ind w:firstLine="0"/>
              <w:jc w:val="left"/>
              <w:rPr>
                <w:rFonts w:eastAsia="Times New Roman"/>
                <w:b/>
                <w:sz w:val="18"/>
                <w:szCs w:val="18"/>
                <w:lang w:eastAsia="ru-RU"/>
              </w:rPr>
            </w:pPr>
            <w:r w:rsidRPr="004761E0">
              <w:rPr>
                <w:rFonts w:eastAsia="Times New Roman"/>
                <w:b/>
                <w:sz w:val="18"/>
                <w:szCs w:val="18"/>
                <w:lang w:eastAsia="ru-RU"/>
              </w:rPr>
              <w:t>По Московской области, руб./кВт (без НДС):</w:t>
            </w:r>
          </w:p>
        </w:tc>
        <w:tc>
          <w:tcPr>
            <w:tcW w:w="992" w:type="dxa"/>
            <w:shd w:val="clear" w:color="auto" w:fill="BFBFBF" w:themeFill="background1" w:themeFillShade="BF"/>
            <w:noWrap/>
            <w:vAlign w:val="center"/>
            <w:hideMark/>
          </w:tcPr>
          <w:p w:rsidR="002401F4" w:rsidRPr="004761E0" w:rsidRDefault="002401F4" w:rsidP="003F0C6E">
            <w:pPr>
              <w:ind w:firstLine="0"/>
              <w:jc w:val="right"/>
              <w:rPr>
                <w:rFonts w:eastAsia="Times New Roman"/>
                <w:b/>
                <w:sz w:val="18"/>
                <w:szCs w:val="18"/>
                <w:lang w:eastAsia="ru-RU"/>
              </w:rPr>
            </w:pPr>
          </w:p>
        </w:tc>
        <w:tc>
          <w:tcPr>
            <w:tcW w:w="992" w:type="dxa"/>
            <w:shd w:val="clear" w:color="auto" w:fill="BFBFBF" w:themeFill="background1" w:themeFillShade="BF"/>
            <w:noWrap/>
            <w:vAlign w:val="center"/>
            <w:hideMark/>
          </w:tcPr>
          <w:p w:rsidR="002401F4" w:rsidRPr="004761E0" w:rsidRDefault="002401F4" w:rsidP="003F0C6E">
            <w:pPr>
              <w:ind w:firstLine="0"/>
              <w:jc w:val="right"/>
              <w:rPr>
                <w:rFonts w:eastAsia="Times New Roman"/>
                <w:b/>
                <w:sz w:val="18"/>
                <w:szCs w:val="18"/>
                <w:lang w:eastAsia="ru-RU"/>
              </w:rPr>
            </w:pPr>
          </w:p>
        </w:tc>
        <w:tc>
          <w:tcPr>
            <w:tcW w:w="851" w:type="dxa"/>
            <w:shd w:val="clear" w:color="auto" w:fill="BFBFBF" w:themeFill="background1" w:themeFillShade="BF"/>
            <w:noWrap/>
            <w:vAlign w:val="center"/>
            <w:hideMark/>
          </w:tcPr>
          <w:p w:rsidR="002401F4" w:rsidRPr="004761E0" w:rsidRDefault="002401F4" w:rsidP="003F0C6E">
            <w:pPr>
              <w:ind w:firstLine="0"/>
              <w:jc w:val="right"/>
              <w:rPr>
                <w:rFonts w:eastAsia="Times New Roman"/>
                <w:b/>
                <w:sz w:val="18"/>
                <w:szCs w:val="18"/>
                <w:lang w:eastAsia="ru-RU"/>
              </w:rPr>
            </w:pPr>
          </w:p>
        </w:tc>
        <w:tc>
          <w:tcPr>
            <w:tcW w:w="1032" w:type="dxa"/>
            <w:shd w:val="clear" w:color="auto" w:fill="BFBFBF" w:themeFill="background1" w:themeFillShade="BF"/>
            <w:noWrap/>
            <w:vAlign w:val="center"/>
            <w:hideMark/>
          </w:tcPr>
          <w:p w:rsidR="002401F4" w:rsidRPr="004761E0" w:rsidRDefault="002401F4" w:rsidP="003F0C6E">
            <w:pPr>
              <w:ind w:firstLine="0"/>
              <w:jc w:val="right"/>
              <w:rPr>
                <w:rFonts w:eastAsia="Times New Roman"/>
                <w:b/>
                <w:sz w:val="18"/>
                <w:szCs w:val="18"/>
                <w:lang w:eastAsia="ru-RU"/>
              </w:rPr>
            </w:pPr>
          </w:p>
        </w:tc>
      </w:tr>
      <w:tr w:rsidR="002401F4" w:rsidRPr="004761E0" w:rsidTr="00CF58EB">
        <w:trPr>
          <w:cantSplit/>
        </w:trPr>
        <w:tc>
          <w:tcPr>
            <w:tcW w:w="959" w:type="dxa"/>
            <w:shd w:val="clear" w:color="000000" w:fill="FFFFFF"/>
            <w:noWrap/>
            <w:vAlign w:val="center"/>
            <w:hideMark/>
          </w:tcPr>
          <w:p w:rsidR="002401F4" w:rsidRPr="004761E0" w:rsidRDefault="002401F4" w:rsidP="002401F4">
            <w:pPr>
              <w:ind w:firstLine="0"/>
              <w:jc w:val="left"/>
              <w:rPr>
                <w:rFonts w:eastAsia="Times New Roman"/>
                <w:b/>
                <w:sz w:val="18"/>
                <w:szCs w:val="18"/>
                <w:lang w:eastAsia="ru-RU"/>
              </w:rPr>
            </w:pPr>
            <w:r w:rsidRPr="004761E0">
              <w:rPr>
                <w:rFonts w:eastAsia="Times New Roman"/>
                <w:b/>
                <w:sz w:val="18"/>
                <w:szCs w:val="18"/>
                <w:lang w:eastAsia="ru-RU"/>
              </w:rPr>
              <w:t>2.1.</w:t>
            </w:r>
          </w:p>
        </w:tc>
        <w:tc>
          <w:tcPr>
            <w:tcW w:w="5103" w:type="dxa"/>
            <w:shd w:val="clear" w:color="000000" w:fill="FFFFFF"/>
            <w:vAlign w:val="center"/>
            <w:hideMark/>
          </w:tcPr>
          <w:p w:rsidR="002401F4" w:rsidRPr="004761E0" w:rsidRDefault="002401F4" w:rsidP="002401F4">
            <w:pPr>
              <w:ind w:firstLine="0"/>
              <w:jc w:val="left"/>
              <w:rPr>
                <w:rFonts w:eastAsia="Times New Roman"/>
                <w:b/>
                <w:sz w:val="18"/>
                <w:szCs w:val="18"/>
                <w:lang w:eastAsia="ru-RU"/>
              </w:rPr>
            </w:pPr>
            <w:r w:rsidRPr="004761E0">
              <w:rPr>
                <w:rFonts w:eastAsia="Times New Roman"/>
                <w:b/>
                <w:sz w:val="18"/>
                <w:szCs w:val="18"/>
                <w:lang w:eastAsia="ru-RU"/>
              </w:rPr>
              <w:t>Выполнение сетевой организацией работ, связанных с осуществлением организационных мероприятий:</w:t>
            </w:r>
          </w:p>
        </w:tc>
        <w:tc>
          <w:tcPr>
            <w:tcW w:w="992" w:type="dxa"/>
            <w:shd w:val="clear" w:color="auto" w:fill="auto"/>
            <w:noWrap/>
            <w:vAlign w:val="center"/>
            <w:hideMark/>
          </w:tcPr>
          <w:p w:rsidR="002401F4" w:rsidRPr="004761E0" w:rsidRDefault="002401F4" w:rsidP="003F0C6E">
            <w:pPr>
              <w:ind w:firstLine="0"/>
              <w:jc w:val="right"/>
              <w:rPr>
                <w:rFonts w:eastAsia="Times New Roman"/>
                <w:b/>
                <w:sz w:val="18"/>
                <w:szCs w:val="18"/>
                <w:lang w:eastAsia="ru-RU"/>
              </w:rPr>
            </w:pPr>
          </w:p>
        </w:tc>
        <w:tc>
          <w:tcPr>
            <w:tcW w:w="992" w:type="dxa"/>
            <w:shd w:val="clear" w:color="auto" w:fill="auto"/>
            <w:noWrap/>
            <w:vAlign w:val="center"/>
            <w:hideMark/>
          </w:tcPr>
          <w:p w:rsidR="002401F4" w:rsidRPr="004761E0" w:rsidRDefault="002401F4" w:rsidP="003F0C6E">
            <w:pPr>
              <w:ind w:firstLine="0"/>
              <w:jc w:val="right"/>
              <w:rPr>
                <w:rFonts w:eastAsia="Times New Roman"/>
                <w:b/>
                <w:sz w:val="18"/>
                <w:szCs w:val="18"/>
                <w:lang w:eastAsia="ru-RU"/>
              </w:rPr>
            </w:pPr>
          </w:p>
        </w:tc>
        <w:tc>
          <w:tcPr>
            <w:tcW w:w="851" w:type="dxa"/>
            <w:shd w:val="clear" w:color="auto" w:fill="auto"/>
            <w:noWrap/>
            <w:vAlign w:val="center"/>
            <w:hideMark/>
          </w:tcPr>
          <w:p w:rsidR="002401F4" w:rsidRPr="004761E0" w:rsidRDefault="002401F4" w:rsidP="003F0C6E">
            <w:pPr>
              <w:ind w:firstLine="0"/>
              <w:jc w:val="right"/>
              <w:rPr>
                <w:rFonts w:eastAsia="Times New Roman"/>
                <w:b/>
                <w:sz w:val="18"/>
                <w:szCs w:val="18"/>
                <w:lang w:eastAsia="ru-RU"/>
              </w:rPr>
            </w:pPr>
          </w:p>
        </w:tc>
        <w:tc>
          <w:tcPr>
            <w:tcW w:w="1032" w:type="dxa"/>
            <w:shd w:val="clear" w:color="auto" w:fill="auto"/>
            <w:noWrap/>
            <w:vAlign w:val="center"/>
            <w:hideMark/>
          </w:tcPr>
          <w:p w:rsidR="002401F4" w:rsidRPr="004761E0" w:rsidRDefault="002401F4" w:rsidP="003F0C6E">
            <w:pPr>
              <w:ind w:firstLine="0"/>
              <w:jc w:val="right"/>
              <w:rPr>
                <w:rFonts w:eastAsia="Times New Roman"/>
                <w:b/>
                <w:sz w:val="18"/>
                <w:szCs w:val="18"/>
                <w:lang w:eastAsia="ru-RU"/>
              </w:rPr>
            </w:pPr>
          </w:p>
        </w:tc>
      </w:tr>
      <w:tr w:rsidR="002401F4" w:rsidRPr="004761E0" w:rsidTr="00CF58EB">
        <w:trPr>
          <w:cantSplit/>
        </w:trPr>
        <w:tc>
          <w:tcPr>
            <w:tcW w:w="959" w:type="dxa"/>
            <w:shd w:val="clear" w:color="000000" w:fill="FFFFFF"/>
            <w:noWrap/>
            <w:vAlign w:val="center"/>
            <w:hideMark/>
          </w:tcPr>
          <w:p w:rsidR="002401F4" w:rsidRPr="004761E0" w:rsidRDefault="002401F4" w:rsidP="002401F4">
            <w:pPr>
              <w:ind w:firstLine="0"/>
              <w:jc w:val="left"/>
              <w:rPr>
                <w:rFonts w:eastAsia="Times New Roman"/>
                <w:sz w:val="18"/>
                <w:szCs w:val="18"/>
                <w:lang w:eastAsia="ru-RU"/>
              </w:rPr>
            </w:pPr>
            <w:r w:rsidRPr="004761E0">
              <w:rPr>
                <w:rFonts w:eastAsia="Times New Roman"/>
                <w:sz w:val="18"/>
                <w:szCs w:val="18"/>
                <w:lang w:eastAsia="ru-RU"/>
              </w:rPr>
              <w:t>2.1.1.</w:t>
            </w:r>
          </w:p>
        </w:tc>
        <w:tc>
          <w:tcPr>
            <w:tcW w:w="5103" w:type="dxa"/>
            <w:shd w:val="clear" w:color="000000" w:fill="FFFFFF"/>
            <w:vAlign w:val="center"/>
            <w:hideMark/>
          </w:tcPr>
          <w:p w:rsidR="002401F4" w:rsidRPr="004761E0" w:rsidRDefault="003F0C6E" w:rsidP="002401F4">
            <w:pPr>
              <w:ind w:firstLine="0"/>
              <w:jc w:val="left"/>
              <w:rPr>
                <w:rFonts w:eastAsia="Times New Roman"/>
                <w:sz w:val="18"/>
                <w:szCs w:val="18"/>
                <w:lang w:eastAsia="ru-RU"/>
              </w:rPr>
            </w:pPr>
            <w:r w:rsidRPr="004761E0">
              <w:rPr>
                <w:rFonts w:eastAsia="Times New Roman"/>
                <w:sz w:val="18"/>
                <w:szCs w:val="18"/>
                <w:lang w:eastAsia="ru-RU"/>
              </w:rPr>
              <w:t>п</w:t>
            </w:r>
            <w:r w:rsidR="002401F4" w:rsidRPr="004761E0">
              <w:rPr>
                <w:rFonts w:eastAsia="Times New Roman"/>
                <w:sz w:val="18"/>
                <w:szCs w:val="18"/>
                <w:lang w:eastAsia="ru-RU"/>
              </w:rPr>
              <w:t xml:space="preserve">одготовка и выдача сетевой организацией технических условий заявителю </w:t>
            </w:r>
          </w:p>
        </w:tc>
        <w:tc>
          <w:tcPr>
            <w:tcW w:w="99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591,00</w:t>
            </w:r>
          </w:p>
        </w:tc>
        <w:tc>
          <w:tcPr>
            <w:tcW w:w="99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591,00</w:t>
            </w:r>
          </w:p>
        </w:tc>
        <w:tc>
          <w:tcPr>
            <w:tcW w:w="851"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307,00</w:t>
            </w:r>
          </w:p>
        </w:tc>
        <w:tc>
          <w:tcPr>
            <w:tcW w:w="103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-48,05</w:t>
            </w:r>
            <w:r w:rsidR="008A4282">
              <w:rPr>
                <w:rFonts w:eastAsia="Times New Roman"/>
                <w:sz w:val="18"/>
                <w:szCs w:val="18"/>
                <w:lang w:eastAsia="ru-RU"/>
              </w:rPr>
              <w:t xml:space="preserve"> </w:t>
            </w:r>
            <w:r w:rsidRPr="004761E0">
              <w:rPr>
                <w:rFonts w:eastAsia="Times New Roman"/>
                <w:sz w:val="18"/>
                <w:szCs w:val="18"/>
                <w:lang w:eastAsia="ru-RU"/>
              </w:rPr>
              <w:t>%</w:t>
            </w:r>
          </w:p>
        </w:tc>
      </w:tr>
      <w:tr w:rsidR="002401F4" w:rsidRPr="004761E0" w:rsidTr="00CF58EB">
        <w:trPr>
          <w:cantSplit/>
        </w:trPr>
        <w:tc>
          <w:tcPr>
            <w:tcW w:w="959" w:type="dxa"/>
            <w:shd w:val="clear" w:color="000000" w:fill="FFFFFF"/>
            <w:noWrap/>
            <w:vAlign w:val="center"/>
            <w:hideMark/>
          </w:tcPr>
          <w:p w:rsidR="002401F4" w:rsidRPr="004761E0" w:rsidRDefault="002401F4" w:rsidP="002401F4">
            <w:pPr>
              <w:ind w:firstLine="0"/>
              <w:jc w:val="left"/>
              <w:rPr>
                <w:rFonts w:eastAsia="Times New Roman"/>
                <w:sz w:val="18"/>
                <w:szCs w:val="18"/>
                <w:lang w:eastAsia="ru-RU"/>
              </w:rPr>
            </w:pPr>
            <w:r w:rsidRPr="004761E0">
              <w:rPr>
                <w:rFonts w:eastAsia="Times New Roman"/>
                <w:sz w:val="18"/>
                <w:szCs w:val="18"/>
                <w:lang w:eastAsia="ru-RU"/>
              </w:rPr>
              <w:t>2.1.2.</w:t>
            </w:r>
          </w:p>
        </w:tc>
        <w:tc>
          <w:tcPr>
            <w:tcW w:w="5103" w:type="dxa"/>
            <w:shd w:val="clear" w:color="000000" w:fill="FFFFFF"/>
            <w:vAlign w:val="center"/>
            <w:hideMark/>
          </w:tcPr>
          <w:p w:rsidR="002401F4" w:rsidRPr="004761E0" w:rsidRDefault="003F0C6E" w:rsidP="002401F4">
            <w:pPr>
              <w:ind w:firstLine="0"/>
              <w:jc w:val="left"/>
              <w:rPr>
                <w:rFonts w:eastAsia="Times New Roman"/>
                <w:sz w:val="18"/>
                <w:szCs w:val="18"/>
                <w:lang w:eastAsia="ru-RU"/>
              </w:rPr>
            </w:pPr>
            <w:r w:rsidRPr="004761E0">
              <w:rPr>
                <w:rFonts w:eastAsia="Times New Roman"/>
                <w:sz w:val="18"/>
                <w:szCs w:val="18"/>
                <w:lang w:eastAsia="ru-RU"/>
              </w:rPr>
              <w:t>п</w:t>
            </w:r>
            <w:r w:rsidR="002401F4" w:rsidRPr="004761E0">
              <w:rPr>
                <w:rFonts w:eastAsia="Times New Roman"/>
                <w:sz w:val="18"/>
                <w:szCs w:val="18"/>
                <w:lang w:eastAsia="ru-RU"/>
              </w:rPr>
              <w:t>роверка с</w:t>
            </w:r>
            <w:r w:rsidRPr="004761E0">
              <w:rPr>
                <w:rFonts w:eastAsia="Times New Roman"/>
                <w:sz w:val="18"/>
                <w:szCs w:val="18"/>
                <w:lang w:eastAsia="ru-RU"/>
              </w:rPr>
              <w:t>етевой организацией выполнения з</w:t>
            </w:r>
            <w:r w:rsidR="002401F4" w:rsidRPr="004761E0">
              <w:rPr>
                <w:rFonts w:eastAsia="Times New Roman"/>
                <w:sz w:val="18"/>
                <w:szCs w:val="18"/>
                <w:lang w:eastAsia="ru-RU"/>
              </w:rPr>
              <w:t xml:space="preserve">аявителем </w:t>
            </w:r>
            <w:r w:rsidRPr="004761E0">
              <w:rPr>
                <w:rFonts w:eastAsia="Times New Roman"/>
                <w:sz w:val="18"/>
                <w:szCs w:val="18"/>
                <w:lang w:eastAsia="ru-RU"/>
              </w:rPr>
              <w:t xml:space="preserve"> технических условий</w:t>
            </w:r>
          </w:p>
        </w:tc>
        <w:tc>
          <w:tcPr>
            <w:tcW w:w="99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197,00</w:t>
            </w:r>
          </w:p>
        </w:tc>
        <w:tc>
          <w:tcPr>
            <w:tcW w:w="99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197,00</w:t>
            </w:r>
          </w:p>
        </w:tc>
        <w:tc>
          <w:tcPr>
            <w:tcW w:w="851"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104,00</w:t>
            </w:r>
          </w:p>
        </w:tc>
        <w:tc>
          <w:tcPr>
            <w:tcW w:w="103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-47,21</w:t>
            </w:r>
            <w:r w:rsidR="008A4282">
              <w:rPr>
                <w:rFonts w:eastAsia="Times New Roman"/>
                <w:sz w:val="18"/>
                <w:szCs w:val="18"/>
                <w:lang w:eastAsia="ru-RU"/>
              </w:rPr>
              <w:t xml:space="preserve"> </w:t>
            </w:r>
            <w:r w:rsidRPr="004761E0">
              <w:rPr>
                <w:rFonts w:eastAsia="Times New Roman"/>
                <w:sz w:val="18"/>
                <w:szCs w:val="18"/>
                <w:lang w:eastAsia="ru-RU"/>
              </w:rPr>
              <w:t>%</w:t>
            </w:r>
          </w:p>
        </w:tc>
      </w:tr>
      <w:tr w:rsidR="002401F4" w:rsidRPr="004761E0" w:rsidTr="00CF58EB">
        <w:trPr>
          <w:cantSplit/>
        </w:trPr>
        <w:tc>
          <w:tcPr>
            <w:tcW w:w="959" w:type="dxa"/>
            <w:shd w:val="clear" w:color="000000" w:fill="FFFFFF"/>
            <w:noWrap/>
            <w:vAlign w:val="center"/>
            <w:hideMark/>
          </w:tcPr>
          <w:p w:rsidR="002401F4" w:rsidRPr="004761E0" w:rsidRDefault="002401F4" w:rsidP="002401F4">
            <w:pPr>
              <w:ind w:firstLine="0"/>
              <w:jc w:val="left"/>
              <w:rPr>
                <w:rFonts w:eastAsia="Times New Roman"/>
                <w:sz w:val="18"/>
                <w:szCs w:val="18"/>
                <w:lang w:eastAsia="ru-RU"/>
              </w:rPr>
            </w:pPr>
            <w:r w:rsidRPr="004761E0">
              <w:rPr>
                <w:rFonts w:eastAsia="Times New Roman"/>
                <w:sz w:val="18"/>
                <w:szCs w:val="18"/>
                <w:lang w:eastAsia="ru-RU"/>
              </w:rPr>
              <w:t>2.1.3.</w:t>
            </w:r>
          </w:p>
        </w:tc>
        <w:tc>
          <w:tcPr>
            <w:tcW w:w="5103" w:type="dxa"/>
            <w:shd w:val="clear" w:color="000000" w:fill="FFFFFF"/>
            <w:vAlign w:val="center"/>
            <w:hideMark/>
          </w:tcPr>
          <w:p w:rsidR="002401F4" w:rsidRPr="004761E0" w:rsidRDefault="003F0C6E" w:rsidP="002401F4">
            <w:pPr>
              <w:ind w:firstLine="0"/>
              <w:jc w:val="left"/>
              <w:rPr>
                <w:rFonts w:eastAsia="Times New Roman"/>
                <w:sz w:val="18"/>
                <w:szCs w:val="18"/>
                <w:lang w:eastAsia="ru-RU"/>
              </w:rPr>
            </w:pPr>
            <w:r w:rsidRPr="004761E0">
              <w:rPr>
                <w:rFonts w:eastAsia="Times New Roman"/>
                <w:sz w:val="18"/>
                <w:szCs w:val="18"/>
                <w:lang w:eastAsia="ru-RU"/>
              </w:rPr>
              <w:t>у</w:t>
            </w:r>
            <w:r w:rsidR="002401F4" w:rsidRPr="004761E0">
              <w:rPr>
                <w:rFonts w:eastAsia="Times New Roman"/>
                <w:sz w:val="18"/>
                <w:szCs w:val="18"/>
                <w:lang w:eastAsia="ru-RU"/>
              </w:rPr>
              <w:t xml:space="preserve">частие в осмотре должностным лицом Ростехнадзора присоединяемых устройств заявителя </w:t>
            </w:r>
          </w:p>
        </w:tc>
        <w:tc>
          <w:tcPr>
            <w:tcW w:w="99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0</w:t>
            </w:r>
          </w:p>
        </w:tc>
        <w:tc>
          <w:tcPr>
            <w:tcW w:w="99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0</w:t>
            </w:r>
          </w:p>
        </w:tc>
        <w:tc>
          <w:tcPr>
            <w:tcW w:w="851"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0</w:t>
            </w:r>
          </w:p>
        </w:tc>
        <w:tc>
          <w:tcPr>
            <w:tcW w:w="103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0</w:t>
            </w:r>
          </w:p>
        </w:tc>
      </w:tr>
      <w:tr w:rsidR="002401F4" w:rsidRPr="004761E0" w:rsidTr="00CF58EB">
        <w:trPr>
          <w:cantSplit/>
        </w:trPr>
        <w:tc>
          <w:tcPr>
            <w:tcW w:w="959" w:type="dxa"/>
            <w:shd w:val="clear" w:color="000000" w:fill="FFFFFF"/>
            <w:noWrap/>
            <w:vAlign w:val="center"/>
            <w:hideMark/>
          </w:tcPr>
          <w:p w:rsidR="002401F4" w:rsidRPr="004761E0" w:rsidRDefault="002401F4" w:rsidP="002401F4">
            <w:pPr>
              <w:ind w:firstLine="0"/>
              <w:jc w:val="left"/>
              <w:rPr>
                <w:rFonts w:eastAsia="Times New Roman"/>
                <w:sz w:val="18"/>
                <w:szCs w:val="18"/>
                <w:lang w:eastAsia="ru-RU"/>
              </w:rPr>
            </w:pPr>
            <w:r w:rsidRPr="004761E0">
              <w:rPr>
                <w:rFonts w:eastAsia="Times New Roman"/>
                <w:sz w:val="18"/>
                <w:szCs w:val="18"/>
                <w:lang w:eastAsia="ru-RU"/>
              </w:rPr>
              <w:t>2.1.4.</w:t>
            </w:r>
          </w:p>
        </w:tc>
        <w:tc>
          <w:tcPr>
            <w:tcW w:w="5103" w:type="dxa"/>
            <w:shd w:val="clear" w:color="000000" w:fill="FFFFFF"/>
            <w:vAlign w:val="center"/>
            <w:hideMark/>
          </w:tcPr>
          <w:p w:rsidR="002401F4" w:rsidRPr="004761E0" w:rsidRDefault="003F0C6E" w:rsidP="002401F4">
            <w:pPr>
              <w:ind w:firstLine="0"/>
              <w:jc w:val="left"/>
              <w:rPr>
                <w:rFonts w:eastAsia="Times New Roman"/>
                <w:sz w:val="18"/>
                <w:szCs w:val="18"/>
                <w:lang w:eastAsia="ru-RU"/>
              </w:rPr>
            </w:pPr>
            <w:r w:rsidRPr="004761E0">
              <w:rPr>
                <w:rFonts w:eastAsia="Times New Roman"/>
                <w:sz w:val="18"/>
                <w:szCs w:val="18"/>
                <w:lang w:eastAsia="ru-RU"/>
              </w:rPr>
              <w:t>ф</w:t>
            </w:r>
            <w:r w:rsidR="002401F4" w:rsidRPr="004761E0">
              <w:rPr>
                <w:rFonts w:eastAsia="Times New Roman"/>
                <w:sz w:val="18"/>
                <w:szCs w:val="18"/>
                <w:lang w:eastAsia="ru-RU"/>
              </w:rPr>
              <w:t xml:space="preserve">актические действия по присоединению и обеспечению работы устройств в   электрической сети </w:t>
            </w:r>
          </w:p>
        </w:tc>
        <w:tc>
          <w:tcPr>
            <w:tcW w:w="99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271,00</w:t>
            </w:r>
          </w:p>
        </w:tc>
        <w:tc>
          <w:tcPr>
            <w:tcW w:w="99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271,00</w:t>
            </w:r>
          </w:p>
        </w:tc>
        <w:tc>
          <w:tcPr>
            <w:tcW w:w="851"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138,00</w:t>
            </w:r>
          </w:p>
        </w:tc>
        <w:tc>
          <w:tcPr>
            <w:tcW w:w="103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-49,08</w:t>
            </w:r>
            <w:r w:rsidR="008A4282">
              <w:rPr>
                <w:rFonts w:eastAsia="Times New Roman"/>
                <w:sz w:val="18"/>
                <w:szCs w:val="18"/>
                <w:lang w:eastAsia="ru-RU"/>
              </w:rPr>
              <w:t xml:space="preserve"> </w:t>
            </w:r>
            <w:r w:rsidRPr="004761E0">
              <w:rPr>
                <w:rFonts w:eastAsia="Times New Roman"/>
                <w:sz w:val="18"/>
                <w:szCs w:val="18"/>
                <w:lang w:eastAsia="ru-RU"/>
              </w:rPr>
              <w:t>%</w:t>
            </w:r>
          </w:p>
        </w:tc>
      </w:tr>
      <w:tr w:rsidR="002401F4" w:rsidRPr="004761E0" w:rsidTr="00CF58EB">
        <w:trPr>
          <w:cantSplit/>
        </w:trPr>
        <w:tc>
          <w:tcPr>
            <w:tcW w:w="959" w:type="dxa"/>
            <w:shd w:val="clear" w:color="000000" w:fill="FFFFFF"/>
            <w:noWrap/>
            <w:vAlign w:val="center"/>
            <w:hideMark/>
          </w:tcPr>
          <w:p w:rsidR="002401F4" w:rsidRPr="004761E0" w:rsidRDefault="002401F4" w:rsidP="002401F4">
            <w:pPr>
              <w:ind w:firstLine="0"/>
              <w:jc w:val="left"/>
              <w:rPr>
                <w:rFonts w:eastAsia="Times New Roman"/>
                <w:b/>
                <w:sz w:val="18"/>
                <w:szCs w:val="18"/>
                <w:lang w:eastAsia="ru-RU"/>
              </w:rPr>
            </w:pPr>
            <w:r w:rsidRPr="004761E0">
              <w:rPr>
                <w:rFonts w:eastAsia="Times New Roman"/>
                <w:b/>
                <w:sz w:val="18"/>
                <w:szCs w:val="18"/>
                <w:lang w:eastAsia="ru-RU"/>
              </w:rPr>
              <w:t>2.2.</w:t>
            </w:r>
          </w:p>
        </w:tc>
        <w:tc>
          <w:tcPr>
            <w:tcW w:w="5103" w:type="dxa"/>
            <w:shd w:val="clear" w:color="000000" w:fill="FFFFFF"/>
            <w:vAlign w:val="center"/>
            <w:hideMark/>
          </w:tcPr>
          <w:p w:rsidR="002401F4" w:rsidRPr="004761E0" w:rsidRDefault="002401F4" w:rsidP="003F0C6E">
            <w:pPr>
              <w:ind w:firstLine="0"/>
              <w:jc w:val="left"/>
              <w:rPr>
                <w:rFonts w:eastAsia="Times New Roman"/>
                <w:b/>
                <w:sz w:val="18"/>
                <w:szCs w:val="18"/>
                <w:lang w:eastAsia="ru-RU"/>
              </w:rPr>
            </w:pPr>
            <w:r w:rsidRPr="004761E0">
              <w:rPr>
                <w:rFonts w:eastAsia="Times New Roman"/>
                <w:b/>
                <w:sz w:val="18"/>
                <w:szCs w:val="18"/>
                <w:lang w:eastAsia="ru-RU"/>
              </w:rPr>
              <w:t xml:space="preserve">Разработка сетевой организацией проектной документации по строительству «последней мили» </w:t>
            </w:r>
          </w:p>
        </w:tc>
        <w:tc>
          <w:tcPr>
            <w:tcW w:w="992" w:type="dxa"/>
            <w:shd w:val="clear" w:color="auto" w:fill="auto"/>
            <w:noWrap/>
            <w:vAlign w:val="center"/>
            <w:hideMark/>
          </w:tcPr>
          <w:p w:rsidR="002401F4" w:rsidRPr="004761E0" w:rsidRDefault="002401F4" w:rsidP="003F0C6E">
            <w:pPr>
              <w:ind w:firstLine="0"/>
              <w:jc w:val="right"/>
              <w:rPr>
                <w:rFonts w:eastAsia="Times New Roman"/>
                <w:b/>
                <w:sz w:val="18"/>
                <w:szCs w:val="18"/>
                <w:lang w:eastAsia="ru-RU"/>
              </w:rPr>
            </w:pPr>
            <w:r w:rsidRPr="004761E0">
              <w:rPr>
                <w:rFonts w:eastAsia="Times New Roman"/>
                <w:b/>
                <w:sz w:val="18"/>
                <w:szCs w:val="18"/>
                <w:lang w:eastAsia="ru-RU"/>
              </w:rPr>
              <w:t>0</w:t>
            </w:r>
          </w:p>
        </w:tc>
        <w:tc>
          <w:tcPr>
            <w:tcW w:w="992" w:type="dxa"/>
            <w:shd w:val="clear" w:color="auto" w:fill="auto"/>
            <w:noWrap/>
            <w:vAlign w:val="center"/>
            <w:hideMark/>
          </w:tcPr>
          <w:p w:rsidR="002401F4" w:rsidRPr="004761E0" w:rsidRDefault="002401F4" w:rsidP="003F0C6E">
            <w:pPr>
              <w:ind w:firstLine="0"/>
              <w:jc w:val="right"/>
              <w:rPr>
                <w:rFonts w:eastAsia="Times New Roman"/>
                <w:b/>
                <w:sz w:val="18"/>
                <w:szCs w:val="18"/>
                <w:lang w:eastAsia="ru-RU"/>
              </w:rPr>
            </w:pPr>
            <w:r w:rsidRPr="004761E0">
              <w:rPr>
                <w:rFonts w:eastAsia="Times New Roman"/>
                <w:b/>
                <w:sz w:val="18"/>
                <w:szCs w:val="18"/>
                <w:lang w:eastAsia="ru-RU"/>
              </w:rPr>
              <w:t>0</w:t>
            </w:r>
          </w:p>
        </w:tc>
        <w:tc>
          <w:tcPr>
            <w:tcW w:w="851" w:type="dxa"/>
            <w:shd w:val="clear" w:color="auto" w:fill="auto"/>
            <w:noWrap/>
            <w:vAlign w:val="center"/>
            <w:hideMark/>
          </w:tcPr>
          <w:p w:rsidR="002401F4" w:rsidRPr="004761E0" w:rsidRDefault="002401F4" w:rsidP="003F0C6E">
            <w:pPr>
              <w:ind w:firstLine="0"/>
              <w:jc w:val="right"/>
              <w:rPr>
                <w:rFonts w:eastAsia="Times New Roman"/>
                <w:b/>
                <w:sz w:val="18"/>
                <w:szCs w:val="18"/>
                <w:lang w:eastAsia="ru-RU"/>
              </w:rPr>
            </w:pPr>
            <w:r w:rsidRPr="004761E0">
              <w:rPr>
                <w:rFonts w:eastAsia="Times New Roman"/>
                <w:b/>
                <w:sz w:val="18"/>
                <w:szCs w:val="18"/>
                <w:lang w:eastAsia="ru-RU"/>
              </w:rPr>
              <w:t>0</w:t>
            </w:r>
          </w:p>
        </w:tc>
        <w:tc>
          <w:tcPr>
            <w:tcW w:w="1032" w:type="dxa"/>
            <w:shd w:val="clear" w:color="auto" w:fill="auto"/>
            <w:noWrap/>
            <w:vAlign w:val="center"/>
            <w:hideMark/>
          </w:tcPr>
          <w:p w:rsidR="002401F4" w:rsidRPr="004761E0" w:rsidRDefault="002401F4" w:rsidP="003F0C6E">
            <w:pPr>
              <w:ind w:firstLine="0"/>
              <w:jc w:val="right"/>
              <w:rPr>
                <w:rFonts w:eastAsia="Times New Roman"/>
                <w:b/>
                <w:sz w:val="18"/>
                <w:szCs w:val="18"/>
                <w:lang w:eastAsia="ru-RU"/>
              </w:rPr>
            </w:pPr>
            <w:r w:rsidRPr="004761E0">
              <w:rPr>
                <w:rFonts w:eastAsia="Times New Roman"/>
                <w:b/>
                <w:sz w:val="18"/>
                <w:szCs w:val="18"/>
                <w:lang w:eastAsia="ru-RU"/>
              </w:rPr>
              <w:t>0</w:t>
            </w:r>
          </w:p>
        </w:tc>
      </w:tr>
      <w:tr w:rsidR="002401F4" w:rsidRPr="004761E0" w:rsidTr="00CF58EB">
        <w:trPr>
          <w:cantSplit/>
        </w:trPr>
        <w:tc>
          <w:tcPr>
            <w:tcW w:w="959" w:type="dxa"/>
            <w:shd w:val="clear" w:color="000000" w:fill="FFFFFF"/>
            <w:noWrap/>
            <w:vAlign w:val="center"/>
            <w:hideMark/>
          </w:tcPr>
          <w:p w:rsidR="002401F4" w:rsidRPr="004761E0" w:rsidRDefault="002401F4" w:rsidP="002401F4">
            <w:pPr>
              <w:ind w:firstLine="0"/>
              <w:jc w:val="left"/>
              <w:rPr>
                <w:rFonts w:eastAsia="Times New Roman"/>
                <w:b/>
                <w:sz w:val="18"/>
                <w:szCs w:val="18"/>
                <w:lang w:eastAsia="ru-RU"/>
              </w:rPr>
            </w:pPr>
            <w:r w:rsidRPr="004761E0">
              <w:rPr>
                <w:rFonts w:eastAsia="Times New Roman"/>
                <w:b/>
                <w:sz w:val="18"/>
                <w:szCs w:val="18"/>
                <w:lang w:eastAsia="ru-RU"/>
              </w:rPr>
              <w:t>2.3.</w:t>
            </w:r>
          </w:p>
        </w:tc>
        <w:tc>
          <w:tcPr>
            <w:tcW w:w="5103" w:type="dxa"/>
            <w:shd w:val="clear" w:color="000000" w:fill="FFFFFF"/>
            <w:vAlign w:val="center"/>
            <w:hideMark/>
          </w:tcPr>
          <w:p w:rsidR="002401F4" w:rsidRPr="004761E0" w:rsidRDefault="002401F4" w:rsidP="003F0C6E">
            <w:pPr>
              <w:ind w:firstLine="0"/>
              <w:jc w:val="left"/>
              <w:rPr>
                <w:rFonts w:eastAsia="Times New Roman"/>
                <w:b/>
                <w:sz w:val="18"/>
                <w:szCs w:val="18"/>
                <w:lang w:eastAsia="ru-RU"/>
              </w:rPr>
            </w:pPr>
            <w:r w:rsidRPr="004761E0">
              <w:rPr>
                <w:rFonts w:eastAsia="Times New Roman"/>
                <w:b/>
                <w:sz w:val="18"/>
                <w:szCs w:val="18"/>
                <w:lang w:eastAsia="ru-RU"/>
              </w:rPr>
              <w:t xml:space="preserve">Выполнение сетевой организацией, </w:t>
            </w:r>
            <w:r w:rsidR="003F0C6E" w:rsidRPr="004761E0">
              <w:rPr>
                <w:rFonts w:eastAsia="Times New Roman"/>
                <w:b/>
                <w:sz w:val="18"/>
                <w:szCs w:val="18"/>
                <w:lang w:eastAsia="ru-RU"/>
              </w:rPr>
              <w:t xml:space="preserve">мероприятий, </w:t>
            </w:r>
            <w:r w:rsidRPr="004761E0">
              <w:rPr>
                <w:rFonts w:eastAsia="Times New Roman"/>
                <w:b/>
                <w:sz w:val="18"/>
                <w:szCs w:val="18"/>
                <w:lang w:eastAsia="ru-RU"/>
              </w:rPr>
              <w:t xml:space="preserve">связанных со строительством «последней мили»: </w:t>
            </w:r>
          </w:p>
        </w:tc>
        <w:tc>
          <w:tcPr>
            <w:tcW w:w="992" w:type="dxa"/>
            <w:shd w:val="clear" w:color="auto" w:fill="auto"/>
            <w:noWrap/>
            <w:vAlign w:val="center"/>
            <w:hideMark/>
          </w:tcPr>
          <w:p w:rsidR="002401F4" w:rsidRPr="004761E0" w:rsidRDefault="002401F4" w:rsidP="003F0C6E">
            <w:pPr>
              <w:ind w:firstLine="0"/>
              <w:jc w:val="right"/>
              <w:rPr>
                <w:rFonts w:eastAsia="Times New Roman"/>
                <w:b/>
                <w:sz w:val="18"/>
                <w:szCs w:val="18"/>
                <w:lang w:eastAsia="ru-RU"/>
              </w:rPr>
            </w:pPr>
          </w:p>
        </w:tc>
        <w:tc>
          <w:tcPr>
            <w:tcW w:w="992" w:type="dxa"/>
            <w:shd w:val="clear" w:color="auto" w:fill="auto"/>
            <w:noWrap/>
            <w:vAlign w:val="center"/>
            <w:hideMark/>
          </w:tcPr>
          <w:p w:rsidR="002401F4" w:rsidRPr="004761E0" w:rsidRDefault="002401F4" w:rsidP="003F0C6E">
            <w:pPr>
              <w:ind w:firstLine="0"/>
              <w:jc w:val="right"/>
              <w:rPr>
                <w:rFonts w:eastAsia="Times New Roman"/>
                <w:b/>
                <w:sz w:val="18"/>
                <w:szCs w:val="18"/>
                <w:lang w:eastAsia="ru-RU"/>
              </w:rPr>
            </w:pPr>
          </w:p>
        </w:tc>
        <w:tc>
          <w:tcPr>
            <w:tcW w:w="851" w:type="dxa"/>
            <w:shd w:val="clear" w:color="auto" w:fill="auto"/>
            <w:noWrap/>
            <w:vAlign w:val="center"/>
            <w:hideMark/>
          </w:tcPr>
          <w:p w:rsidR="002401F4" w:rsidRPr="004761E0" w:rsidRDefault="002401F4" w:rsidP="003F0C6E">
            <w:pPr>
              <w:ind w:firstLine="0"/>
              <w:jc w:val="right"/>
              <w:rPr>
                <w:rFonts w:eastAsia="Times New Roman"/>
                <w:b/>
                <w:sz w:val="18"/>
                <w:szCs w:val="18"/>
                <w:lang w:eastAsia="ru-RU"/>
              </w:rPr>
            </w:pPr>
          </w:p>
        </w:tc>
        <w:tc>
          <w:tcPr>
            <w:tcW w:w="1032" w:type="dxa"/>
            <w:shd w:val="clear" w:color="auto" w:fill="auto"/>
            <w:noWrap/>
            <w:vAlign w:val="center"/>
            <w:hideMark/>
          </w:tcPr>
          <w:p w:rsidR="002401F4" w:rsidRPr="004761E0" w:rsidRDefault="002401F4" w:rsidP="003F0C6E">
            <w:pPr>
              <w:ind w:firstLine="0"/>
              <w:jc w:val="right"/>
              <w:rPr>
                <w:rFonts w:eastAsia="Times New Roman"/>
                <w:b/>
                <w:sz w:val="18"/>
                <w:szCs w:val="18"/>
                <w:lang w:eastAsia="ru-RU"/>
              </w:rPr>
            </w:pPr>
          </w:p>
        </w:tc>
      </w:tr>
      <w:tr w:rsidR="002401F4" w:rsidRPr="004761E0" w:rsidTr="00CF58EB">
        <w:trPr>
          <w:cantSplit/>
        </w:trPr>
        <w:tc>
          <w:tcPr>
            <w:tcW w:w="959" w:type="dxa"/>
            <w:shd w:val="clear" w:color="000000" w:fill="FFFFFF"/>
            <w:noWrap/>
            <w:vAlign w:val="center"/>
            <w:hideMark/>
          </w:tcPr>
          <w:p w:rsidR="002401F4" w:rsidRPr="004761E0" w:rsidRDefault="002401F4" w:rsidP="002401F4">
            <w:pPr>
              <w:ind w:firstLine="0"/>
              <w:jc w:val="left"/>
              <w:rPr>
                <w:rFonts w:eastAsia="Times New Roman"/>
                <w:b/>
                <w:sz w:val="18"/>
                <w:szCs w:val="18"/>
                <w:lang w:eastAsia="ru-RU"/>
              </w:rPr>
            </w:pPr>
            <w:r w:rsidRPr="004761E0">
              <w:rPr>
                <w:rFonts w:eastAsia="Times New Roman"/>
                <w:b/>
                <w:sz w:val="18"/>
                <w:szCs w:val="18"/>
                <w:lang w:eastAsia="ru-RU"/>
              </w:rPr>
              <w:t>2.3.1.</w:t>
            </w:r>
          </w:p>
        </w:tc>
        <w:tc>
          <w:tcPr>
            <w:tcW w:w="5103" w:type="dxa"/>
            <w:shd w:val="clear" w:color="auto" w:fill="auto"/>
            <w:vAlign w:val="center"/>
            <w:hideMark/>
          </w:tcPr>
          <w:p w:rsidR="002401F4" w:rsidRPr="004761E0" w:rsidRDefault="002401F4" w:rsidP="002401F4">
            <w:pPr>
              <w:ind w:firstLine="0"/>
              <w:jc w:val="left"/>
              <w:rPr>
                <w:rFonts w:eastAsia="Times New Roman"/>
                <w:b/>
                <w:sz w:val="18"/>
                <w:szCs w:val="18"/>
                <w:lang w:eastAsia="ru-RU"/>
              </w:rPr>
            </w:pPr>
            <w:r w:rsidRPr="004761E0">
              <w:rPr>
                <w:rFonts w:eastAsia="Times New Roman"/>
                <w:b/>
                <w:sz w:val="18"/>
                <w:szCs w:val="18"/>
                <w:lang w:eastAsia="ru-RU"/>
              </w:rPr>
              <w:t>на уровне напряжения 0,4 кВ</w:t>
            </w:r>
          </w:p>
        </w:tc>
        <w:tc>
          <w:tcPr>
            <w:tcW w:w="992" w:type="dxa"/>
            <w:shd w:val="clear" w:color="auto" w:fill="auto"/>
            <w:noWrap/>
            <w:vAlign w:val="center"/>
            <w:hideMark/>
          </w:tcPr>
          <w:p w:rsidR="002401F4" w:rsidRPr="004761E0" w:rsidRDefault="002401F4" w:rsidP="003F0C6E">
            <w:pPr>
              <w:ind w:firstLine="0"/>
              <w:jc w:val="right"/>
              <w:rPr>
                <w:rFonts w:eastAsia="Times New Roman"/>
                <w:b/>
                <w:sz w:val="18"/>
                <w:szCs w:val="18"/>
                <w:lang w:eastAsia="ru-RU"/>
              </w:rPr>
            </w:pPr>
            <w:r w:rsidRPr="004761E0">
              <w:rPr>
                <w:rFonts w:eastAsia="Times New Roman"/>
                <w:b/>
                <w:sz w:val="18"/>
                <w:szCs w:val="18"/>
                <w:lang w:eastAsia="ru-RU"/>
              </w:rPr>
              <w:t>10 034,00</w:t>
            </w:r>
          </w:p>
        </w:tc>
        <w:tc>
          <w:tcPr>
            <w:tcW w:w="992" w:type="dxa"/>
            <w:shd w:val="clear" w:color="auto" w:fill="auto"/>
            <w:noWrap/>
            <w:vAlign w:val="center"/>
            <w:hideMark/>
          </w:tcPr>
          <w:p w:rsidR="002401F4" w:rsidRPr="004761E0" w:rsidRDefault="002401F4" w:rsidP="003F0C6E">
            <w:pPr>
              <w:ind w:firstLine="0"/>
              <w:jc w:val="right"/>
              <w:rPr>
                <w:rFonts w:eastAsia="Times New Roman"/>
                <w:b/>
                <w:sz w:val="18"/>
                <w:szCs w:val="18"/>
                <w:lang w:eastAsia="ru-RU"/>
              </w:rPr>
            </w:pPr>
            <w:r w:rsidRPr="004761E0">
              <w:rPr>
                <w:rFonts w:eastAsia="Times New Roman"/>
                <w:b/>
                <w:sz w:val="18"/>
                <w:szCs w:val="18"/>
                <w:lang w:eastAsia="ru-RU"/>
              </w:rPr>
              <w:t>10 034,00</w:t>
            </w:r>
          </w:p>
        </w:tc>
        <w:tc>
          <w:tcPr>
            <w:tcW w:w="851" w:type="dxa"/>
            <w:shd w:val="clear" w:color="auto" w:fill="auto"/>
            <w:noWrap/>
            <w:vAlign w:val="center"/>
            <w:hideMark/>
          </w:tcPr>
          <w:p w:rsidR="002401F4" w:rsidRPr="004761E0" w:rsidRDefault="002401F4" w:rsidP="003F0C6E">
            <w:pPr>
              <w:ind w:firstLine="0"/>
              <w:jc w:val="right"/>
              <w:rPr>
                <w:rFonts w:eastAsia="Times New Roman"/>
                <w:b/>
                <w:sz w:val="18"/>
                <w:szCs w:val="18"/>
                <w:lang w:eastAsia="ru-RU"/>
              </w:rPr>
            </w:pPr>
            <w:r w:rsidRPr="004761E0">
              <w:rPr>
                <w:rFonts w:eastAsia="Times New Roman"/>
                <w:b/>
                <w:sz w:val="18"/>
                <w:szCs w:val="18"/>
                <w:lang w:eastAsia="ru-RU"/>
              </w:rPr>
              <w:t>х</w:t>
            </w:r>
          </w:p>
        </w:tc>
        <w:tc>
          <w:tcPr>
            <w:tcW w:w="1032" w:type="dxa"/>
            <w:shd w:val="clear" w:color="auto" w:fill="auto"/>
            <w:noWrap/>
            <w:vAlign w:val="center"/>
            <w:hideMark/>
          </w:tcPr>
          <w:p w:rsidR="002401F4" w:rsidRPr="004761E0" w:rsidRDefault="002401F4" w:rsidP="003F0C6E">
            <w:pPr>
              <w:ind w:firstLine="0"/>
              <w:jc w:val="right"/>
              <w:rPr>
                <w:rFonts w:eastAsia="Times New Roman"/>
                <w:b/>
                <w:sz w:val="18"/>
                <w:szCs w:val="18"/>
                <w:lang w:eastAsia="ru-RU"/>
              </w:rPr>
            </w:pPr>
            <w:r w:rsidRPr="004761E0">
              <w:rPr>
                <w:rFonts w:eastAsia="Times New Roman"/>
                <w:b/>
                <w:sz w:val="18"/>
                <w:szCs w:val="18"/>
                <w:lang w:eastAsia="ru-RU"/>
              </w:rPr>
              <w:t>х</w:t>
            </w:r>
          </w:p>
        </w:tc>
      </w:tr>
      <w:tr w:rsidR="002401F4" w:rsidRPr="004761E0" w:rsidTr="00CF58EB">
        <w:trPr>
          <w:cantSplit/>
        </w:trPr>
        <w:tc>
          <w:tcPr>
            <w:tcW w:w="959" w:type="dxa"/>
            <w:shd w:val="clear" w:color="000000" w:fill="FFFFFF"/>
            <w:noWrap/>
            <w:vAlign w:val="center"/>
            <w:hideMark/>
          </w:tcPr>
          <w:p w:rsidR="002401F4" w:rsidRPr="004761E0" w:rsidRDefault="002401F4" w:rsidP="002401F4">
            <w:pPr>
              <w:ind w:firstLine="0"/>
              <w:jc w:val="left"/>
              <w:rPr>
                <w:rFonts w:eastAsia="Times New Roman"/>
                <w:sz w:val="18"/>
                <w:szCs w:val="18"/>
                <w:lang w:eastAsia="ru-RU"/>
              </w:rPr>
            </w:pPr>
            <w:r w:rsidRPr="004761E0">
              <w:rPr>
                <w:rFonts w:eastAsia="Times New Roman"/>
                <w:sz w:val="18"/>
                <w:szCs w:val="18"/>
                <w:lang w:eastAsia="ru-RU"/>
              </w:rPr>
              <w:t>2.3.1.1.</w:t>
            </w:r>
          </w:p>
        </w:tc>
        <w:tc>
          <w:tcPr>
            <w:tcW w:w="5103" w:type="dxa"/>
            <w:shd w:val="clear" w:color="auto" w:fill="auto"/>
            <w:vAlign w:val="center"/>
            <w:hideMark/>
          </w:tcPr>
          <w:p w:rsidR="002401F4" w:rsidRPr="004761E0" w:rsidRDefault="002401F4" w:rsidP="003F0C6E">
            <w:pPr>
              <w:ind w:firstLine="0"/>
              <w:jc w:val="left"/>
              <w:rPr>
                <w:rFonts w:eastAsia="Times New Roman"/>
                <w:sz w:val="18"/>
                <w:szCs w:val="18"/>
                <w:lang w:eastAsia="ru-RU"/>
              </w:rPr>
            </w:pPr>
            <w:r w:rsidRPr="004761E0">
              <w:rPr>
                <w:rFonts w:eastAsia="Times New Roman"/>
                <w:sz w:val="18"/>
                <w:szCs w:val="18"/>
                <w:lang w:eastAsia="ru-RU"/>
              </w:rPr>
              <w:t>строительство воздушных и (или) кабельных лин</w:t>
            </w:r>
            <w:r w:rsidR="003F0C6E" w:rsidRPr="004761E0">
              <w:rPr>
                <w:rFonts w:eastAsia="Times New Roman"/>
                <w:sz w:val="18"/>
                <w:szCs w:val="18"/>
                <w:lang w:eastAsia="ru-RU"/>
              </w:rPr>
              <w:t>ий  на уровне напряжения 0,4 кВ</w:t>
            </w:r>
          </w:p>
        </w:tc>
        <w:tc>
          <w:tcPr>
            <w:tcW w:w="99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х</w:t>
            </w:r>
          </w:p>
        </w:tc>
        <w:tc>
          <w:tcPr>
            <w:tcW w:w="99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х</w:t>
            </w:r>
          </w:p>
        </w:tc>
        <w:tc>
          <w:tcPr>
            <w:tcW w:w="851"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2 836,00</w:t>
            </w:r>
          </w:p>
        </w:tc>
        <w:tc>
          <w:tcPr>
            <w:tcW w:w="103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х</w:t>
            </w:r>
          </w:p>
        </w:tc>
      </w:tr>
      <w:tr w:rsidR="002401F4" w:rsidRPr="004761E0" w:rsidTr="00CF58EB">
        <w:trPr>
          <w:cantSplit/>
        </w:trPr>
        <w:tc>
          <w:tcPr>
            <w:tcW w:w="959" w:type="dxa"/>
            <w:shd w:val="clear" w:color="000000" w:fill="FFFFFF"/>
            <w:noWrap/>
            <w:vAlign w:val="center"/>
            <w:hideMark/>
          </w:tcPr>
          <w:p w:rsidR="002401F4" w:rsidRPr="004761E0" w:rsidRDefault="002401F4" w:rsidP="002401F4">
            <w:pPr>
              <w:ind w:firstLine="0"/>
              <w:jc w:val="left"/>
              <w:rPr>
                <w:rFonts w:eastAsia="Times New Roman"/>
                <w:sz w:val="18"/>
                <w:szCs w:val="18"/>
                <w:lang w:eastAsia="ru-RU"/>
              </w:rPr>
            </w:pPr>
            <w:r w:rsidRPr="004761E0">
              <w:rPr>
                <w:rFonts w:eastAsia="Times New Roman"/>
                <w:sz w:val="18"/>
                <w:szCs w:val="18"/>
                <w:lang w:eastAsia="ru-RU"/>
              </w:rPr>
              <w:t>2.3.1.2.</w:t>
            </w:r>
          </w:p>
        </w:tc>
        <w:tc>
          <w:tcPr>
            <w:tcW w:w="5103" w:type="dxa"/>
            <w:shd w:val="clear" w:color="auto" w:fill="auto"/>
            <w:vAlign w:val="center"/>
            <w:hideMark/>
          </w:tcPr>
          <w:p w:rsidR="002401F4" w:rsidRPr="004761E0" w:rsidRDefault="002401F4" w:rsidP="0092613F">
            <w:pPr>
              <w:ind w:firstLine="0"/>
              <w:jc w:val="left"/>
              <w:rPr>
                <w:rFonts w:eastAsia="Times New Roman"/>
                <w:sz w:val="18"/>
                <w:szCs w:val="18"/>
                <w:lang w:eastAsia="ru-RU"/>
              </w:rPr>
            </w:pPr>
            <w:r w:rsidRPr="004761E0">
              <w:rPr>
                <w:rFonts w:eastAsia="Times New Roman"/>
                <w:sz w:val="18"/>
                <w:szCs w:val="18"/>
                <w:lang w:eastAsia="ru-RU"/>
              </w:rPr>
              <w:t>строительство воздушных и (или) кабельных лини</w:t>
            </w:r>
            <w:r w:rsidR="003F0C6E" w:rsidRPr="004761E0">
              <w:rPr>
                <w:rFonts w:eastAsia="Times New Roman"/>
                <w:sz w:val="18"/>
                <w:szCs w:val="18"/>
                <w:lang w:eastAsia="ru-RU"/>
              </w:rPr>
              <w:t>й  на уровне напряжения 6/10 кВ</w:t>
            </w:r>
          </w:p>
        </w:tc>
        <w:tc>
          <w:tcPr>
            <w:tcW w:w="99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х</w:t>
            </w:r>
          </w:p>
        </w:tc>
        <w:tc>
          <w:tcPr>
            <w:tcW w:w="99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х</w:t>
            </w:r>
          </w:p>
        </w:tc>
        <w:tc>
          <w:tcPr>
            <w:tcW w:w="851"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955,00</w:t>
            </w:r>
          </w:p>
        </w:tc>
        <w:tc>
          <w:tcPr>
            <w:tcW w:w="103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х</w:t>
            </w:r>
          </w:p>
        </w:tc>
      </w:tr>
      <w:tr w:rsidR="002401F4" w:rsidRPr="004761E0" w:rsidTr="00CF58EB">
        <w:trPr>
          <w:cantSplit/>
        </w:trPr>
        <w:tc>
          <w:tcPr>
            <w:tcW w:w="959" w:type="dxa"/>
            <w:shd w:val="clear" w:color="000000" w:fill="FFFFFF"/>
            <w:noWrap/>
            <w:vAlign w:val="center"/>
            <w:hideMark/>
          </w:tcPr>
          <w:p w:rsidR="002401F4" w:rsidRPr="004761E0" w:rsidRDefault="002401F4" w:rsidP="002401F4">
            <w:pPr>
              <w:ind w:firstLine="0"/>
              <w:jc w:val="left"/>
              <w:rPr>
                <w:rFonts w:eastAsia="Times New Roman"/>
                <w:sz w:val="18"/>
                <w:szCs w:val="18"/>
                <w:lang w:eastAsia="ru-RU"/>
              </w:rPr>
            </w:pPr>
            <w:r w:rsidRPr="004761E0">
              <w:rPr>
                <w:rFonts w:eastAsia="Times New Roman"/>
                <w:sz w:val="18"/>
                <w:szCs w:val="18"/>
                <w:lang w:eastAsia="ru-RU"/>
              </w:rPr>
              <w:lastRenderedPageBreak/>
              <w:t>2.3.1.3.</w:t>
            </w:r>
          </w:p>
        </w:tc>
        <w:tc>
          <w:tcPr>
            <w:tcW w:w="5103" w:type="dxa"/>
            <w:shd w:val="clear" w:color="auto" w:fill="auto"/>
            <w:vAlign w:val="center"/>
            <w:hideMark/>
          </w:tcPr>
          <w:p w:rsidR="002401F4" w:rsidRPr="004761E0" w:rsidRDefault="002401F4" w:rsidP="00282FC7">
            <w:pPr>
              <w:ind w:firstLine="0"/>
              <w:jc w:val="left"/>
              <w:rPr>
                <w:rFonts w:eastAsia="Times New Roman"/>
                <w:sz w:val="18"/>
                <w:szCs w:val="18"/>
                <w:lang w:eastAsia="ru-RU"/>
              </w:rPr>
            </w:pPr>
            <w:r w:rsidRPr="004761E0">
              <w:rPr>
                <w:rFonts w:eastAsia="Times New Roman"/>
                <w:sz w:val="18"/>
                <w:szCs w:val="18"/>
                <w:lang w:eastAsia="ru-RU"/>
              </w:rPr>
              <w:t xml:space="preserve">строительство пунктов секционирования  (реклоузеров, переключательных пунктов) </w:t>
            </w:r>
          </w:p>
        </w:tc>
        <w:tc>
          <w:tcPr>
            <w:tcW w:w="99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х</w:t>
            </w:r>
          </w:p>
        </w:tc>
        <w:tc>
          <w:tcPr>
            <w:tcW w:w="99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х</w:t>
            </w:r>
          </w:p>
        </w:tc>
        <w:tc>
          <w:tcPr>
            <w:tcW w:w="851"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870,00</w:t>
            </w:r>
          </w:p>
        </w:tc>
        <w:tc>
          <w:tcPr>
            <w:tcW w:w="103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х</w:t>
            </w:r>
          </w:p>
        </w:tc>
      </w:tr>
      <w:tr w:rsidR="002401F4" w:rsidRPr="004761E0" w:rsidTr="00CF58EB">
        <w:trPr>
          <w:cantSplit/>
        </w:trPr>
        <w:tc>
          <w:tcPr>
            <w:tcW w:w="959" w:type="dxa"/>
            <w:shd w:val="clear" w:color="000000" w:fill="FFFFFF"/>
            <w:noWrap/>
            <w:vAlign w:val="center"/>
            <w:hideMark/>
          </w:tcPr>
          <w:p w:rsidR="002401F4" w:rsidRPr="004761E0" w:rsidRDefault="002401F4" w:rsidP="002401F4">
            <w:pPr>
              <w:ind w:firstLine="0"/>
              <w:jc w:val="left"/>
              <w:rPr>
                <w:rFonts w:eastAsia="Times New Roman"/>
                <w:sz w:val="18"/>
                <w:szCs w:val="18"/>
                <w:lang w:eastAsia="ru-RU"/>
              </w:rPr>
            </w:pPr>
            <w:r w:rsidRPr="004761E0">
              <w:rPr>
                <w:color w:val="000000"/>
                <w:sz w:val="18"/>
                <w:szCs w:val="18"/>
              </w:rPr>
              <w:t>2.3.1.4.</w:t>
            </w:r>
          </w:p>
        </w:tc>
        <w:tc>
          <w:tcPr>
            <w:tcW w:w="5103" w:type="dxa"/>
            <w:shd w:val="clear" w:color="auto" w:fill="auto"/>
            <w:vAlign w:val="bottom"/>
            <w:hideMark/>
          </w:tcPr>
          <w:p w:rsidR="002401F4" w:rsidRPr="004761E0" w:rsidRDefault="002401F4" w:rsidP="00282FC7">
            <w:pPr>
              <w:ind w:firstLine="0"/>
              <w:jc w:val="left"/>
              <w:rPr>
                <w:color w:val="000000"/>
                <w:sz w:val="18"/>
                <w:szCs w:val="18"/>
              </w:rPr>
            </w:pPr>
            <w:r w:rsidRPr="004761E0">
              <w:rPr>
                <w:color w:val="000000"/>
                <w:sz w:val="18"/>
                <w:szCs w:val="18"/>
              </w:rPr>
              <w:t>строительство комплектн</w:t>
            </w:r>
            <w:r w:rsidR="003F0C6E" w:rsidRPr="004761E0">
              <w:rPr>
                <w:color w:val="000000"/>
                <w:sz w:val="18"/>
                <w:szCs w:val="18"/>
              </w:rPr>
              <w:t>ых трансформаторных подстанций</w:t>
            </w:r>
            <w:r w:rsidRPr="004761E0">
              <w:rPr>
                <w:color w:val="000000"/>
                <w:sz w:val="18"/>
                <w:szCs w:val="18"/>
              </w:rPr>
              <w:t>,  распределительных трансформаторных подстанций, распределительных пунктов с уровнем напряжения до 35 кВ</w:t>
            </w:r>
          </w:p>
        </w:tc>
        <w:tc>
          <w:tcPr>
            <w:tcW w:w="99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х</w:t>
            </w:r>
          </w:p>
        </w:tc>
        <w:tc>
          <w:tcPr>
            <w:tcW w:w="99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х</w:t>
            </w:r>
          </w:p>
        </w:tc>
        <w:tc>
          <w:tcPr>
            <w:tcW w:w="851"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5 779,00</w:t>
            </w:r>
          </w:p>
        </w:tc>
        <w:tc>
          <w:tcPr>
            <w:tcW w:w="1032" w:type="dxa"/>
            <w:shd w:val="clear" w:color="auto" w:fill="auto"/>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х</w:t>
            </w:r>
          </w:p>
        </w:tc>
      </w:tr>
      <w:tr w:rsidR="002401F4" w:rsidRPr="004761E0" w:rsidTr="003F0C6E">
        <w:trPr>
          <w:cantSplit/>
        </w:trPr>
        <w:tc>
          <w:tcPr>
            <w:tcW w:w="959" w:type="dxa"/>
            <w:shd w:val="clear" w:color="000000" w:fill="FFFFFF"/>
            <w:noWrap/>
            <w:vAlign w:val="center"/>
            <w:hideMark/>
          </w:tcPr>
          <w:p w:rsidR="002401F4" w:rsidRPr="004761E0" w:rsidRDefault="002401F4" w:rsidP="002401F4">
            <w:pPr>
              <w:ind w:firstLine="0"/>
              <w:jc w:val="left"/>
              <w:rPr>
                <w:rFonts w:eastAsia="Times New Roman"/>
                <w:sz w:val="18"/>
                <w:szCs w:val="18"/>
                <w:lang w:eastAsia="ru-RU"/>
              </w:rPr>
            </w:pPr>
            <w:r w:rsidRPr="004761E0">
              <w:rPr>
                <w:color w:val="000000"/>
                <w:sz w:val="18"/>
                <w:szCs w:val="18"/>
              </w:rPr>
              <w:t>2.3.1.5.</w:t>
            </w:r>
          </w:p>
        </w:tc>
        <w:tc>
          <w:tcPr>
            <w:tcW w:w="5103" w:type="dxa"/>
            <w:shd w:val="clear" w:color="auto" w:fill="auto"/>
            <w:vAlign w:val="center"/>
            <w:hideMark/>
          </w:tcPr>
          <w:p w:rsidR="002401F4" w:rsidRPr="004761E0" w:rsidRDefault="002401F4" w:rsidP="003F0C6E">
            <w:pPr>
              <w:ind w:firstLine="0"/>
              <w:jc w:val="left"/>
              <w:rPr>
                <w:rFonts w:eastAsia="Times New Roman"/>
                <w:sz w:val="18"/>
                <w:szCs w:val="18"/>
                <w:lang w:eastAsia="ru-RU"/>
              </w:rPr>
            </w:pPr>
            <w:r w:rsidRPr="004761E0">
              <w:rPr>
                <w:rFonts w:eastAsia="Times New Roman"/>
                <w:sz w:val="18"/>
                <w:szCs w:val="18"/>
                <w:lang w:eastAsia="ru-RU"/>
              </w:rPr>
              <w:t>строительство центров питания,  подстанций уровнем напряжения 35 кВ и выше</w:t>
            </w:r>
          </w:p>
        </w:tc>
        <w:tc>
          <w:tcPr>
            <w:tcW w:w="992" w:type="dxa"/>
            <w:shd w:val="clear" w:color="000000" w:fill="FFFFFF"/>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0</w:t>
            </w:r>
          </w:p>
        </w:tc>
        <w:tc>
          <w:tcPr>
            <w:tcW w:w="992" w:type="dxa"/>
            <w:shd w:val="clear" w:color="000000" w:fill="FFFFFF"/>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0</w:t>
            </w:r>
          </w:p>
        </w:tc>
        <w:tc>
          <w:tcPr>
            <w:tcW w:w="851" w:type="dxa"/>
            <w:shd w:val="clear" w:color="000000" w:fill="FFFFFF"/>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0</w:t>
            </w:r>
          </w:p>
        </w:tc>
        <w:tc>
          <w:tcPr>
            <w:tcW w:w="1032" w:type="dxa"/>
            <w:shd w:val="clear" w:color="000000" w:fill="FFFFFF"/>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0</w:t>
            </w:r>
          </w:p>
        </w:tc>
      </w:tr>
      <w:tr w:rsidR="002401F4" w:rsidRPr="004761E0" w:rsidTr="003F0C6E">
        <w:trPr>
          <w:cantSplit/>
        </w:trPr>
        <w:tc>
          <w:tcPr>
            <w:tcW w:w="959" w:type="dxa"/>
            <w:shd w:val="clear" w:color="000000" w:fill="FFFFFF"/>
            <w:noWrap/>
            <w:vAlign w:val="center"/>
            <w:hideMark/>
          </w:tcPr>
          <w:p w:rsidR="002401F4" w:rsidRPr="004761E0" w:rsidRDefault="002401F4" w:rsidP="002401F4">
            <w:pPr>
              <w:ind w:firstLine="0"/>
              <w:jc w:val="left"/>
              <w:rPr>
                <w:rFonts w:eastAsia="Times New Roman"/>
                <w:b/>
                <w:sz w:val="18"/>
                <w:szCs w:val="18"/>
                <w:lang w:eastAsia="ru-RU"/>
              </w:rPr>
            </w:pPr>
            <w:r w:rsidRPr="004761E0">
              <w:rPr>
                <w:rFonts w:eastAsia="Times New Roman"/>
                <w:b/>
                <w:sz w:val="18"/>
                <w:szCs w:val="18"/>
                <w:lang w:eastAsia="ru-RU"/>
              </w:rPr>
              <w:t>2.3.2.</w:t>
            </w:r>
          </w:p>
        </w:tc>
        <w:tc>
          <w:tcPr>
            <w:tcW w:w="5103" w:type="dxa"/>
            <w:shd w:val="clear" w:color="auto" w:fill="auto"/>
            <w:vAlign w:val="center"/>
            <w:hideMark/>
          </w:tcPr>
          <w:p w:rsidR="002401F4" w:rsidRPr="004761E0" w:rsidRDefault="002401F4" w:rsidP="003F0C6E">
            <w:pPr>
              <w:ind w:firstLine="0"/>
              <w:jc w:val="left"/>
              <w:rPr>
                <w:rFonts w:eastAsia="Times New Roman"/>
                <w:b/>
                <w:sz w:val="18"/>
                <w:szCs w:val="18"/>
                <w:lang w:eastAsia="ru-RU"/>
              </w:rPr>
            </w:pPr>
            <w:r w:rsidRPr="004761E0">
              <w:rPr>
                <w:rFonts w:eastAsia="Times New Roman"/>
                <w:b/>
                <w:sz w:val="18"/>
                <w:szCs w:val="18"/>
                <w:lang w:eastAsia="ru-RU"/>
              </w:rPr>
              <w:t>на уровне напряжения</w:t>
            </w:r>
            <w:r w:rsidR="003F0C6E" w:rsidRPr="004761E0">
              <w:rPr>
                <w:rFonts w:eastAsia="Times New Roman"/>
                <w:b/>
                <w:sz w:val="18"/>
                <w:szCs w:val="18"/>
                <w:lang w:eastAsia="ru-RU"/>
              </w:rPr>
              <w:t xml:space="preserve"> </w:t>
            </w:r>
            <w:r w:rsidRPr="004761E0">
              <w:rPr>
                <w:rFonts w:eastAsia="Times New Roman"/>
                <w:b/>
                <w:sz w:val="18"/>
                <w:szCs w:val="18"/>
                <w:lang w:eastAsia="ru-RU"/>
              </w:rPr>
              <w:t>6, 10 кВ</w:t>
            </w:r>
          </w:p>
        </w:tc>
        <w:tc>
          <w:tcPr>
            <w:tcW w:w="992" w:type="dxa"/>
            <w:shd w:val="clear" w:color="000000" w:fill="FFFFFF"/>
            <w:noWrap/>
            <w:vAlign w:val="center"/>
            <w:hideMark/>
          </w:tcPr>
          <w:p w:rsidR="002401F4" w:rsidRPr="004761E0" w:rsidRDefault="002401F4" w:rsidP="003F0C6E">
            <w:pPr>
              <w:ind w:firstLine="0"/>
              <w:jc w:val="right"/>
              <w:rPr>
                <w:rFonts w:eastAsia="Times New Roman"/>
                <w:b/>
                <w:sz w:val="18"/>
                <w:szCs w:val="18"/>
                <w:lang w:eastAsia="ru-RU"/>
              </w:rPr>
            </w:pPr>
            <w:r w:rsidRPr="004761E0">
              <w:rPr>
                <w:rFonts w:eastAsia="Times New Roman"/>
                <w:b/>
                <w:sz w:val="18"/>
                <w:szCs w:val="18"/>
                <w:lang w:eastAsia="ru-RU"/>
              </w:rPr>
              <w:t>9 253,00</w:t>
            </w:r>
          </w:p>
        </w:tc>
        <w:tc>
          <w:tcPr>
            <w:tcW w:w="992" w:type="dxa"/>
            <w:shd w:val="clear" w:color="000000" w:fill="FFFFFF"/>
            <w:noWrap/>
            <w:vAlign w:val="center"/>
            <w:hideMark/>
          </w:tcPr>
          <w:p w:rsidR="002401F4" w:rsidRPr="004761E0" w:rsidRDefault="002401F4" w:rsidP="003F0C6E">
            <w:pPr>
              <w:ind w:firstLine="0"/>
              <w:jc w:val="right"/>
              <w:rPr>
                <w:rFonts w:eastAsia="Times New Roman"/>
                <w:b/>
                <w:sz w:val="18"/>
                <w:szCs w:val="18"/>
                <w:lang w:eastAsia="ru-RU"/>
              </w:rPr>
            </w:pPr>
            <w:r w:rsidRPr="004761E0">
              <w:rPr>
                <w:rFonts w:eastAsia="Times New Roman"/>
                <w:b/>
                <w:sz w:val="18"/>
                <w:szCs w:val="18"/>
                <w:lang w:eastAsia="ru-RU"/>
              </w:rPr>
              <w:t>9 253,00</w:t>
            </w:r>
          </w:p>
        </w:tc>
        <w:tc>
          <w:tcPr>
            <w:tcW w:w="851" w:type="dxa"/>
            <w:shd w:val="clear" w:color="000000" w:fill="FFFFFF"/>
            <w:noWrap/>
            <w:vAlign w:val="center"/>
            <w:hideMark/>
          </w:tcPr>
          <w:p w:rsidR="002401F4" w:rsidRPr="004761E0" w:rsidRDefault="002401F4" w:rsidP="003F0C6E">
            <w:pPr>
              <w:ind w:firstLine="0"/>
              <w:jc w:val="right"/>
              <w:rPr>
                <w:rFonts w:eastAsia="Times New Roman"/>
                <w:b/>
                <w:sz w:val="18"/>
                <w:szCs w:val="18"/>
                <w:lang w:eastAsia="ru-RU"/>
              </w:rPr>
            </w:pPr>
            <w:r w:rsidRPr="004761E0">
              <w:rPr>
                <w:rFonts w:eastAsia="Times New Roman"/>
                <w:b/>
                <w:sz w:val="18"/>
                <w:szCs w:val="18"/>
                <w:lang w:eastAsia="ru-RU"/>
              </w:rPr>
              <w:t>х</w:t>
            </w:r>
          </w:p>
        </w:tc>
        <w:tc>
          <w:tcPr>
            <w:tcW w:w="1032" w:type="dxa"/>
            <w:shd w:val="clear" w:color="000000" w:fill="FFFFFF"/>
            <w:noWrap/>
            <w:vAlign w:val="center"/>
            <w:hideMark/>
          </w:tcPr>
          <w:p w:rsidR="002401F4" w:rsidRPr="004761E0" w:rsidRDefault="002401F4" w:rsidP="003F0C6E">
            <w:pPr>
              <w:ind w:firstLine="0"/>
              <w:jc w:val="right"/>
              <w:rPr>
                <w:rFonts w:eastAsia="Times New Roman"/>
                <w:b/>
                <w:sz w:val="18"/>
                <w:szCs w:val="18"/>
                <w:lang w:eastAsia="ru-RU"/>
              </w:rPr>
            </w:pPr>
            <w:r w:rsidRPr="004761E0">
              <w:rPr>
                <w:rFonts w:eastAsia="Times New Roman"/>
                <w:b/>
                <w:sz w:val="18"/>
                <w:szCs w:val="18"/>
                <w:lang w:eastAsia="ru-RU"/>
              </w:rPr>
              <w:t>х</w:t>
            </w:r>
          </w:p>
        </w:tc>
      </w:tr>
      <w:tr w:rsidR="002401F4" w:rsidRPr="004761E0" w:rsidTr="003F0C6E">
        <w:trPr>
          <w:cantSplit/>
        </w:trPr>
        <w:tc>
          <w:tcPr>
            <w:tcW w:w="959" w:type="dxa"/>
            <w:shd w:val="clear" w:color="000000" w:fill="FFFFFF"/>
            <w:noWrap/>
            <w:vAlign w:val="center"/>
            <w:hideMark/>
          </w:tcPr>
          <w:p w:rsidR="002401F4" w:rsidRPr="004761E0" w:rsidRDefault="002401F4" w:rsidP="002401F4">
            <w:pPr>
              <w:ind w:firstLine="0"/>
              <w:jc w:val="left"/>
              <w:rPr>
                <w:rFonts w:eastAsia="Times New Roman"/>
                <w:sz w:val="18"/>
                <w:szCs w:val="18"/>
                <w:lang w:eastAsia="ru-RU"/>
              </w:rPr>
            </w:pPr>
            <w:r w:rsidRPr="004761E0">
              <w:rPr>
                <w:rFonts w:eastAsia="Times New Roman"/>
                <w:sz w:val="18"/>
                <w:szCs w:val="18"/>
                <w:lang w:eastAsia="ru-RU"/>
              </w:rPr>
              <w:t>2.3.2.1.</w:t>
            </w:r>
          </w:p>
        </w:tc>
        <w:tc>
          <w:tcPr>
            <w:tcW w:w="5103" w:type="dxa"/>
            <w:shd w:val="clear" w:color="auto" w:fill="auto"/>
            <w:vAlign w:val="center"/>
            <w:hideMark/>
          </w:tcPr>
          <w:p w:rsidR="002401F4" w:rsidRPr="004761E0" w:rsidRDefault="002401F4" w:rsidP="002401F4">
            <w:pPr>
              <w:ind w:firstLine="0"/>
              <w:jc w:val="left"/>
              <w:rPr>
                <w:rFonts w:eastAsia="Times New Roman"/>
                <w:sz w:val="18"/>
                <w:szCs w:val="18"/>
                <w:lang w:eastAsia="ru-RU"/>
              </w:rPr>
            </w:pPr>
            <w:r w:rsidRPr="004761E0">
              <w:rPr>
                <w:rFonts w:eastAsia="Times New Roman"/>
                <w:sz w:val="18"/>
                <w:szCs w:val="18"/>
                <w:lang w:eastAsia="ru-RU"/>
              </w:rPr>
              <w:t>строительство воздушных и (или) кабельных линий  на уровне напряжения 6/10 кВ</w:t>
            </w:r>
          </w:p>
        </w:tc>
        <w:tc>
          <w:tcPr>
            <w:tcW w:w="992" w:type="dxa"/>
            <w:shd w:val="clear" w:color="000000" w:fill="FFFFFF"/>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х</w:t>
            </w:r>
          </w:p>
        </w:tc>
        <w:tc>
          <w:tcPr>
            <w:tcW w:w="992" w:type="dxa"/>
            <w:shd w:val="clear" w:color="000000" w:fill="FFFFFF"/>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х</w:t>
            </w:r>
          </w:p>
        </w:tc>
        <w:tc>
          <w:tcPr>
            <w:tcW w:w="851" w:type="dxa"/>
            <w:shd w:val="clear" w:color="000000" w:fill="FFFFFF"/>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955,00</w:t>
            </w:r>
          </w:p>
        </w:tc>
        <w:tc>
          <w:tcPr>
            <w:tcW w:w="1032" w:type="dxa"/>
            <w:shd w:val="clear" w:color="000000" w:fill="FFFFFF"/>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х</w:t>
            </w:r>
          </w:p>
        </w:tc>
      </w:tr>
      <w:tr w:rsidR="002401F4" w:rsidRPr="004761E0" w:rsidTr="003F0C6E">
        <w:trPr>
          <w:cantSplit/>
        </w:trPr>
        <w:tc>
          <w:tcPr>
            <w:tcW w:w="959" w:type="dxa"/>
            <w:shd w:val="clear" w:color="000000" w:fill="FFFFFF"/>
            <w:noWrap/>
            <w:vAlign w:val="center"/>
            <w:hideMark/>
          </w:tcPr>
          <w:p w:rsidR="002401F4" w:rsidRPr="004761E0" w:rsidRDefault="002401F4" w:rsidP="002401F4">
            <w:pPr>
              <w:ind w:firstLine="0"/>
              <w:jc w:val="left"/>
              <w:rPr>
                <w:rFonts w:eastAsia="Times New Roman"/>
                <w:sz w:val="18"/>
                <w:szCs w:val="18"/>
                <w:lang w:eastAsia="ru-RU"/>
              </w:rPr>
            </w:pPr>
            <w:r w:rsidRPr="004761E0">
              <w:rPr>
                <w:rFonts w:eastAsia="Times New Roman"/>
                <w:sz w:val="18"/>
                <w:szCs w:val="18"/>
                <w:lang w:eastAsia="ru-RU"/>
              </w:rPr>
              <w:t>2.3.2.2.</w:t>
            </w:r>
          </w:p>
        </w:tc>
        <w:tc>
          <w:tcPr>
            <w:tcW w:w="5103" w:type="dxa"/>
            <w:shd w:val="clear" w:color="auto" w:fill="auto"/>
            <w:vAlign w:val="center"/>
            <w:hideMark/>
          </w:tcPr>
          <w:p w:rsidR="002401F4" w:rsidRPr="004761E0" w:rsidRDefault="002401F4" w:rsidP="00282FC7">
            <w:pPr>
              <w:ind w:firstLine="0"/>
              <w:jc w:val="left"/>
              <w:rPr>
                <w:rFonts w:eastAsia="Times New Roman"/>
                <w:sz w:val="18"/>
                <w:szCs w:val="18"/>
                <w:lang w:eastAsia="ru-RU"/>
              </w:rPr>
            </w:pPr>
            <w:r w:rsidRPr="004761E0">
              <w:rPr>
                <w:rFonts w:eastAsia="Times New Roman"/>
                <w:sz w:val="18"/>
                <w:szCs w:val="18"/>
                <w:lang w:eastAsia="ru-RU"/>
              </w:rPr>
              <w:t xml:space="preserve">строительство пунктов секционирования  (реклоузеров, переключательных пунктов) </w:t>
            </w:r>
          </w:p>
        </w:tc>
        <w:tc>
          <w:tcPr>
            <w:tcW w:w="992" w:type="dxa"/>
            <w:shd w:val="clear" w:color="000000" w:fill="FFFFFF"/>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х</w:t>
            </w:r>
          </w:p>
        </w:tc>
        <w:tc>
          <w:tcPr>
            <w:tcW w:w="992" w:type="dxa"/>
            <w:shd w:val="clear" w:color="000000" w:fill="FFFFFF"/>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х</w:t>
            </w:r>
          </w:p>
        </w:tc>
        <w:tc>
          <w:tcPr>
            <w:tcW w:w="851" w:type="dxa"/>
            <w:shd w:val="clear" w:color="000000" w:fill="FFFFFF"/>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870,00</w:t>
            </w:r>
          </w:p>
        </w:tc>
        <w:tc>
          <w:tcPr>
            <w:tcW w:w="1032" w:type="dxa"/>
            <w:shd w:val="clear" w:color="000000" w:fill="FFFFFF"/>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х</w:t>
            </w:r>
          </w:p>
        </w:tc>
      </w:tr>
      <w:tr w:rsidR="002401F4" w:rsidRPr="004761E0" w:rsidTr="003F0C6E">
        <w:trPr>
          <w:cantSplit/>
        </w:trPr>
        <w:tc>
          <w:tcPr>
            <w:tcW w:w="959" w:type="dxa"/>
            <w:shd w:val="clear" w:color="000000" w:fill="FFFFFF"/>
            <w:noWrap/>
            <w:vAlign w:val="center"/>
            <w:hideMark/>
          </w:tcPr>
          <w:p w:rsidR="002401F4" w:rsidRPr="004761E0" w:rsidRDefault="002401F4" w:rsidP="00282FC7">
            <w:pPr>
              <w:ind w:firstLine="0"/>
              <w:jc w:val="left"/>
              <w:rPr>
                <w:rFonts w:eastAsia="Times New Roman"/>
                <w:sz w:val="18"/>
                <w:szCs w:val="18"/>
                <w:lang w:eastAsia="ru-RU"/>
              </w:rPr>
            </w:pPr>
            <w:r w:rsidRPr="004761E0">
              <w:rPr>
                <w:color w:val="000000"/>
                <w:sz w:val="18"/>
                <w:szCs w:val="18"/>
              </w:rPr>
              <w:t>2.3.2.3.</w:t>
            </w:r>
          </w:p>
        </w:tc>
        <w:tc>
          <w:tcPr>
            <w:tcW w:w="5103" w:type="dxa"/>
            <w:shd w:val="clear" w:color="auto" w:fill="auto"/>
            <w:vAlign w:val="bottom"/>
            <w:hideMark/>
          </w:tcPr>
          <w:p w:rsidR="002401F4" w:rsidRPr="004761E0" w:rsidRDefault="002401F4" w:rsidP="003F0C6E">
            <w:pPr>
              <w:ind w:firstLine="0"/>
              <w:jc w:val="left"/>
              <w:rPr>
                <w:rFonts w:eastAsia="Times New Roman"/>
                <w:sz w:val="18"/>
                <w:szCs w:val="18"/>
                <w:lang w:eastAsia="ru-RU"/>
              </w:rPr>
            </w:pPr>
            <w:r w:rsidRPr="004761E0">
              <w:rPr>
                <w:color w:val="000000"/>
                <w:sz w:val="18"/>
                <w:szCs w:val="18"/>
              </w:rPr>
              <w:t>строительство комплект</w:t>
            </w:r>
            <w:r w:rsidR="003F0C6E" w:rsidRPr="004761E0">
              <w:rPr>
                <w:color w:val="000000"/>
                <w:sz w:val="18"/>
                <w:szCs w:val="18"/>
              </w:rPr>
              <w:t>ных трансформаторных подстанций</w:t>
            </w:r>
            <w:r w:rsidRPr="004761E0">
              <w:rPr>
                <w:color w:val="000000"/>
                <w:sz w:val="18"/>
                <w:szCs w:val="18"/>
              </w:rPr>
              <w:t>,  распределительн</w:t>
            </w:r>
            <w:r w:rsidR="003F0C6E" w:rsidRPr="004761E0">
              <w:rPr>
                <w:color w:val="000000"/>
                <w:sz w:val="18"/>
                <w:szCs w:val="18"/>
              </w:rPr>
              <w:t>ых трансформаторных подстанций</w:t>
            </w:r>
            <w:r w:rsidRPr="004761E0">
              <w:rPr>
                <w:color w:val="000000"/>
                <w:sz w:val="18"/>
                <w:szCs w:val="18"/>
              </w:rPr>
              <w:t>, распределительных пунктов с уровнем напряжения до 35 кВ</w:t>
            </w:r>
          </w:p>
        </w:tc>
        <w:tc>
          <w:tcPr>
            <w:tcW w:w="992" w:type="dxa"/>
            <w:shd w:val="clear" w:color="000000" w:fill="FFFFFF"/>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х</w:t>
            </w:r>
          </w:p>
        </w:tc>
        <w:tc>
          <w:tcPr>
            <w:tcW w:w="992" w:type="dxa"/>
            <w:shd w:val="clear" w:color="000000" w:fill="FFFFFF"/>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х</w:t>
            </w:r>
          </w:p>
        </w:tc>
        <w:tc>
          <w:tcPr>
            <w:tcW w:w="851" w:type="dxa"/>
            <w:shd w:val="clear" w:color="000000" w:fill="FFFFFF"/>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3 641,00</w:t>
            </w:r>
          </w:p>
        </w:tc>
        <w:tc>
          <w:tcPr>
            <w:tcW w:w="1032" w:type="dxa"/>
            <w:shd w:val="clear" w:color="000000" w:fill="FFFFFF"/>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х</w:t>
            </w:r>
          </w:p>
        </w:tc>
      </w:tr>
      <w:tr w:rsidR="002401F4" w:rsidRPr="004761E0" w:rsidTr="003F0C6E">
        <w:trPr>
          <w:cantSplit/>
        </w:trPr>
        <w:tc>
          <w:tcPr>
            <w:tcW w:w="959" w:type="dxa"/>
            <w:shd w:val="clear" w:color="000000" w:fill="FFFFFF"/>
            <w:noWrap/>
            <w:vAlign w:val="center"/>
            <w:hideMark/>
          </w:tcPr>
          <w:p w:rsidR="002401F4" w:rsidRPr="004761E0" w:rsidRDefault="002401F4" w:rsidP="002401F4">
            <w:pPr>
              <w:ind w:firstLine="0"/>
              <w:jc w:val="left"/>
              <w:rPr>
                <w:rFonts w:eastAsia="Times New Roman"/>
                <w:sz w:val="18"/>
                <w:szCs w:val="18"/>
                <w:lang w:eastAsia="ru-RU"/>
              </w:rPr>
            </w:pPr>
            <w:r w:rsidRPr="004761E0">
              <w:rPr>
                <w:color w:val="000000"/>
                <w:sz w:val="18"/>
                <w:szCs w:val="18"/>
              </w:rPr>
              <w:t>2.3.2.4.</w:t>
            </w:r>
          </w:p>
        </w:tc>
        <w:tc>
          <w:tcPr>
            <w:tcW w:w="5103" w:type="dxa"/>
            <w:shd w:val="clear" w:color="auto" w:fill="auto"/>
            <w:vAlign w:val="center"/>
            <w:hideMark/>
          </w:tcPr>
          <w:p w:rsidR="002401F4" w:rsidRPr="004761E0" w:rsidRDefault="002401F4" w:rsidP="003F0C6E">
            <w:pPr>
              <w:ind w:firstLine="0"/>
              <w:jc w:val="left"/>
              <w:rPr>
                <w:rFonts w:eastAsia="Times New Roman"/>
                <w:sz w:val="18"/>
                <w:szCs w:val="18"/>
                <w:lang w:eastAsia="ru-RU"/>
              </w:rPr>
            </w:pPr>
            <w:r w:rsidRPr="004761E0">
              <w:rPr>
                <w:rFonts w:eastAsia="Times New Roman"/>
                <w:sz w:val="18"/>
                <w:szCs w:val="18"/>
                <w:lang w:eastAsia="ru-RU"/>
              </w:rPr>
              <w:t xml:space="preserve">строительство центров питания,  подстанций уровнем напряжения 35 кВ и выше </w:t>
            </w:r>
          </w:p>
        </w:tc>
        <w:tc>
          <w:tcPr>
            <w:tcW w:w="992" w:type="dxa"/>
            <w:shd w:val="clear" w:color="000000" w:fill="FFFFFF"/>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0</w:t>
            </w:r>
          </w:p>
        </w:tc>
        <w:tc>
          <w:tcPr>
            <w:tcW w:w="992" w:type="dxa"/>
            <w:shd w:val="clear" w:color="000000" w:fill="FFFFFF"/>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0</w:t>
            </w:r>
          </w:p>
        </w:tc>
        <w:tc>
          <w:tcPr>
            <w:tcW w:w="851" w:type="dxa"/>
            <w:shd w:val="clear" w:color="000000" w:fill="FFFFFF"/>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0</w:t>
            </w:r>
          </w:p>
        </w:tc>
        <w:tc>
          <w:tcPr>
            <w:tcW w:w="1032" w:type="dxa"/>
            <w:shd w:val="clear" w:color="000000" w:fill="FFFFFF"/>
            <w:noWrap/>
            <w:vAlign w:val="center"/>
            <w:hideMark/>
          </w:tcPr>
          <w:p w:rsidR="002401F4" w:rsidRPr="004761E0" w:rsidRDefault="002401F4" w:rsidP="003F0C6E">
            <w:pPr>
              <w:ind w:firstLine="0"/>
              <w:jc w:val="right"/>
              <w:rPr>
                <w:rFonts w:eastAsia="Times New Roman"/>
                <w:sz w:val="18"/>
                <w:szCs w:val="18"/>
                <w:lang w:eastAsia="ru-RU"/>
              </w:rPr>
            </w:pPr>
            <w:r w:rsidRPr="004761E0">
              <w:rPr>
                <w:rFonts w:eastAsia="Times New Roman"/>
                <w:sz w:val="18"/>
                <w:szCs w:val="18"/>
                <w:lang w:eastAsia="ru-RU"/>
              </w:rPr>
              <w:t>0</w:t>
            </w:r>
          </w:p>
        </w:tc>
      </w:tr>
    </w:tbl>
    <w:p w:rsidR="002401F4" w:rsidRPr="004761E0" w:rsidRDefault="002401F4" w:rsidP="002401F4">
      <w:pPr>
        <w:ind w:firstLine="567"/>
        <w:rPr>
          <w:sz w:val="26"/>
          <w:szCs w:val="26"/>
        </w:rPr>
      </w:pPr>
      <w:r w:rsidRPr="004761E0">
        <w:rPr>
          <w:sz w:val="26"/>
          <w:szCs w:val="26"/>
        </w:rPr>
        <w:t xml:space="preserve">В 2011-2012 гг. ставки платы за технологическое присоединение к электрическим сетям установлены в соответствии с Методическими указаниями по определению размера платы за технологическое присоединение к </w:t>
      </w:r>
      <w:r w:rsidR="00165045">
        <w:rPr>
          <w:sz w:val="26"/>
          <w:szCs w:val="26"/>
        </w:rPr>
        <w:t>э</w:t>
      </w:r>
      <w:r w:rsidRPr="004761E0">
        <w:rPr>
          <w:sz w:val="26"/>
          <w:szCs w:val="26"/>
        </w:rPr>
        <w:t>лектрическим сетям</w:t>
      </w:r>
      <w:r w:rsidR="0092613F" w:rsidRPr="006F4AB8">
        <w:rPr>
          <w:rStyle w:val="af1"/>
        </w:rPr>
        <w:footnoteReference w:id="79"/>
      </w:r>
      <w:r w:rsidR="0092613F">
        <w:rPr>
          <w:sz w:val="26"/>
          <w:szCs w:val="26"/>
        </w:rPr>
        <w:t xml:space="preserve"> </w:t>
      </w:r>
      <w:r w:rsidRPr="004761E0">
        <w:rPr>
          <w:sz w:val="26"/>
          <w:szCs w:val="26"/>
        </w:rPr>
        <w:t xml:space="preserve">на территории г. Москвы с разбивкой стоимости по каждому мероприятию, связанному со строительством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 («последней мили»), на территории Московской области </w:t>
      </w:r>
      <w:r w:rsidR="0092613F">
        <w:rPr>
          <w:sz w:val="26"/>
          <w:szCs w:val="26"/>
        </w:rPr>
        <w:t xml:space="preserve">– </w:t>
      </w:r>
      <w:r w:rsidRPr="004761E0">
        <w:rPr>
          <w:sz w:val="26"/>
          <w:szCs w:val="26"/>
        </w:rPr>
        <w:t>без разбивки стоимости по каждому мероприятию, связанному со строительством «последней мили».</w:t>
      </w:r>
    </w:p>
    <w:p w:rsidR="002401F4" w:rsidRPr="004761E0" w:rsidRDefault="002401F4" w:rsidP="002401F4">
      <w:pPr>
        <w:ind w:firstLine="567"/>
        <w:rPr>
          <w:sz w:val="26"/>
          <w:szCs w:val="26"/>
        </w:rPr>
      </w:pPr>
      <w:r w:rsidRPr="004761E0">
        <w:rPr>
          <w:sz w:val="26"/>
          <w:szCs w:val="26"/>
        </w:rPr>
        <w:t>В 2013 году ставки платы за технологическое присоединение к электрическим сетям на территории г. Москвы и Московской области установлены в соответствии с Методическими указаниями по определению размера платы за технологическое присоединение к электрическим сетям</w:t>
      </w:r>
      <w:r w:rsidR="0092613F" w:rsidRPr="006F4AB8">
        <w:rPr>
          <w:rStyle w:val="af1"/>
        </w:rPr>
        <w:footnoteReference w:id="80"/>
      </w:r>
      <w:r w:rsidRPr="004761E0">
        <w:rPr>
          <w:sz w:val="26"/>
          <w:szCs w:val="26"/>
        </w:rPr>
        <w:t>, с разбивкой стоимости по каждому мероприятию, связанному со строительством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 («последней мили»).</w:t>
      </w:r>
    </w:p>
    <w:p w:rsidR="00A9213E" w:rsidRPr="004761E0" w:rsidRDefault="00A9213E" w:rsidP="00A9213E">
      <w:pPr>
        <w:pStyle w:val="a5"/>
        <w:spacing w:before="120" w:after="120"/>
        <w:ind w:left="0" w:firstLine="567"/>
        <w:contextualSpacing w:val="0"/>
        <w:rPr>
          <w:rFonts w:eastAsia="Times New Roman"/>
          <w:b/>
          <w:iCs/>
          <w:sz w:val="26"/>
          <w:szCs w:val="26"/>
          <w:lang w:eastAsia="ru-RU"/>
        </w:rPr>
      </w:pPr>
      <w:r w:rsidRPr="004761E0">
        <w:rPr>
          <w:rFonts w:eastAsia="Times New Roman"/>
          <w:b/>
          <w:iCs/>
          <w:sz w:val="26"/>
          <w:szCs w:val="26"/>
          <w:lang w:eastAsia="ru-RU"/>
        </w:rPr>
        <w:t>Плата за технологическое присоединение энергопринимающих устройств заявителей максимальной мощностью, не превышающей 15 кВт включительно</w:t>
      </w:r>
    </w:p>
    <w:tbl>
      <w:tblPr>
        <w:tblW w:w="9936" w:type="dxa"/>
        <w:tblInd w:w="95" w:type="dxa"/>
        <w:tblLook w:val="04A0"/>
      </w:tblPr>
      <w:tblGrid>
        <w:gridCol w:w="580"/>
        <w:gridCol w:w="4820"/>
        <w:gridCol w:w="1134"/>
        <w:gridCol w:w="1134"/>
        <w:gridCol w:w="1134"/>
        <w:gridCol w:w="1134"/>
      </w:tblGrid>
      <w:tr w:rsidR="00A9213E" w:rsidRPr="004761E0" w:rsidTr="005123D7">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A9213E" w:rsidRPr="004761E0" w:rsidRDefault="00A9213E" w:rsidP="005123D7">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48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A9213E" w:rsidRPr="004761E0" w:rsidRDefault="00A9213E" w:rsidP="005123D7">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A9213E" w:rsidRPr="004761E0" w:rsidRDefault="00A9213E" w:rsidP="005123D7">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A9213E" w:rsidRPr="004761E0" w:rsidRDefault="00A9213E" w:rsidP="005123D7">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A9213E" w:rsidRPr="004761E0" w:rsidRDefault="00A9213E" w:rsidP="005123D7">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A9213E" w:rsidRPr="004761E0" w:rsidRDefault="00A9213E" w:rsidP="005123D7">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A9213E" w:rsidRPr="004761E0" w:rsidTr="005123D7">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9213E" w:rsidRPr="004761E0" w:rsidRDefault="00A9213E" w:rsidP="007076A7">
            <w:pPr>
              <w:numPr>
                <w:ilvl w:val="0"/>
                <w:numId w:val="146"/>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tcPr>
          <w:p w:rsidR="00A9213E" w:rsidRPr="004761E0" w:rsidRDefault="00A9213E" w:rsidP="005123D7">
            <w:pPr>
              <w:ind w:firstLine="0"/>
              <w:rPr>
                <w:rFonts w:eastAsia="Times New Roman"/>
                <w:sz w:val="20"/>
                <w:szCs w:val="18"/>
                <w:vertAlign w:val="superscript"/>
                <w:lang w:eastAsia="ru-RU"/>
              </w:rPr>
            </w:pPr>
            <w:r w:rsidRPr="004761E0">
              <w:rPr>
                <w:rFonts w:eastAsia="Times New Roman"/>
                <w:sz w:val="20"/>
                <w:szCs w:val="18"/>
                <w:lang w:eastAsia="ru-RU"/>
              </w:rPr>
              <w:t>Заявители с максимальной мощностью до 15 кВт, руб. (с НДС)</w:t>
            </w:r>
          </w:p>
        </w:tc>
        <w:tc>
          <w:tcPr>
            <w:tcW w:w="1134" w:type="dxa"/>
            <w:tcBorders>
              <w:top w:val="nil"/>
              <w:left w:val="nil"/>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sz w:val="20"/>
                <w:szCs w:val="18"/>
                <w:lang w:eastAsia="ru-RU"/>
              </w:rPr>
            </w:pPr>
            <w:r w:rsidRPr="004761E0">
              <w:rPr>
                <w:rFonts w:eastAsia="Times New Roman"/>
                <w:sz w:val="20"/>
                <w:szCs w:val="18"/>
                <w:lang w:eastAsia="ru-RU"/>
              </w:rPr>
              <w:t>550,00</w:t>
            </w:r>
          </w:p>
        </w:tc>
        <w:tc>
          <w:tcPr>
            <w:tcW w:w="1134" w:type="dxa"/>
            <w:tcBorders>
              <w:top w:val="nil"/>
              <w:left w:val="nil"/>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sz w:val="20"/>
                <w:szCs w:val="18"/>
                <w:lang w:eastAsia="ru-RU"/>
              </w:rPr>
            </w:pPr>
            <w:r w:rsidRPr="004761E0">
              <w:rPr>
                <w:rFonts w:eastAsia="Times New Roman"/>
                <w:sz w:val="20"/>
                <w:szCs w:val="18"/>
                <w:lang w:eastAsia="ru-RU"/>
              </w:rPr>
              <w:t>550,00</w:t>
            </w:r>
          </w:p>
        </w:tc>
        <w:tc>
          <w:tcPr>
            <w:tcW w:w="1134" w:type="dxa"/>
            <w:tcBorders>
              <w:top w:val="nil"/>
              <w:left w:val="nil"/>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sz w:val="20"/>
                <w:szCs w:val="18"/>
                <w:lang w:eastAsia="ru-RU"/>
              </w:rPr>
            </w:pPr>
            <w:r w:rsidRPr="004761E0">
              <w:rPr>
                <w:rFonts w:eastAsia="Times New Roman"/>
                <w:sz w:val="20"/>
                <w:szCs w:val="18"/>
                <w:lang w:eastAsia="ru-RU"/>
              </w:rPr>
              <w:t>550,00</w:t>
            </w:r>
          </w:p>
        </w:tc>
        <w:tc>
          <w:tcPr>
            <w:tcW w:w="1134" w:type="dxa"/>
            <w:tcBorders>
              <w:top w:val="nil"/>
              <w:left w:val="nil"/>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sz w:val="20"/>
                <w:szCs w:val="18"/>
                <w:lang w:eastAsia="ru-RU"/>
              </w:rPr>
            </w:pPr>
            <w:r w:rsidRPr="004761E0">
              <w:rPr>
                <w:rFonts w:eastAsia="Times New Roman"/>
                <w:sz w:val="20"/>
                <w:szCs w:val="18"/>
                <w:lang w:eastAsia="ru-RU"/>
              </w:rPr>
              <w:t>0</w:t>
            </w:r>
            <w:r w:rsidR="006C1AA1">
              <w:rPr>
                <w:rFonts w:eastAsia="Times New Roman"/>
                <w:sz w:val="20"/>
                <w:szCs w:val="18"/>
                <w:lang w:eastAsia="ru-RU"/>
              </w:rPr>
              <w:t> </w:t>
            </w:r>
            <w:r w:rsidRPr="004761E0">
              <w:rPr>
                <w:rFonts w:eastAsia="Times New Roman"/>
                <w:sz w:val="20"/>
                <w:szCs w:val="18"/>
                <w:lang w:eastAsia="ru-RU"/>
              </w:rPr>
              <w:t>%</w:t>
            </w:r>
          </w:p>
        </w:tc>
      </w:tr>
    </w:tbl>
    <w:p w:rsidR="00A9213E" w:rsidRPr="004761E0" w:rsidRDefault="00A9213E" w:rsidP="00A9213E">
      <w:pPr>
        <w:widowControl w:val="0"/>
        <w:autoSpaceDE w:val="0"/>
        <w:autoSpaceDN w:val="0"/>
        <w:adjustRightInd w:val="0"/>
        <w:spacing w:before="120"/>
        <w:ind w:firstLine="567"/>
        <w:rPr>
          <w:sz w:val="26"/>
          <w:szCs w:val="26"/>
        </w:rPr>
      </w:pPr>
      <w:r w:rsidRPr="004761E0">
        <w:rPr>
          <w:sz w:val="26"/>
          <w:szCs w:val="26"/>
        </w:rPr>
        <w:t xml:space="preserve">Плата за технологическое присоединение энергопринимающих устройств заявителей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не более 550 руб.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w:t>
      </w:r>
      <w:r w:rsidRPr="004761E0">
        <w:rPr>
          <w:sz w:val="26"/>
          <w:szCs w:val="26"/>
        </w:rPr>
        <w:lastRenderedPageBreak/>
        <w:t>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A9213E" w:rsidRPr="004761E0" w:rsidRDefault="00A9213E" w:rsidP="00A9213E">
      <w:pPr>
        <w:widowControl w:val="0"/>
        <w:autoSpaceDE w:val="0"/>
        <w:autoSpaceDN w:val="0"/>
        <w:adjustRightInd w:val="0"/>
        <w:ind w:firstLine="567"/>
        <w:rPr>
          <w:sz w:val="26"/>
          <w:szCs w:val="26"/>
        </w:rPr>
      </w:pPr>
      <w:r w:rsidRPr="004761E0">
        <w:rPr>
          <w:sz w:val="26"/>
          <w:szCs w:val="26"/>
        </w:rPr>
        <w:t>Выпадающие доходы от осуществления технологического присоединения энергопринимающих устройств заявителей с максимальной мощностью, не превышающей 15 кВт включительно (с учетом ранее присоединенной в данной точке присоединения мощности) утверждены для включения в тариф на оказание услуги по передаче электроэнергии:</w:t>
      </w:r>
    </w:p>
    <w:p w:rsidR="00A9213E" w:rsidRPr="004761E0" w:rsidRDefault="00A9213E" w:rsidP="007076A7">
      <w:pPr>
        <w:pStyle w:val="a5"/>
        <w:widowControl w:val="0"/>
        <w:numPr>
          <w:ilvl w:val="0"/>
          <w:numId w:val="147"/>
        </w:numPr>
        <w:autoSpaceDE w:val="0"/>
        <w:autoSpaceDN w:val="0"/>
        <w:adjustRightInd w:val="0"/>
        <w:ind w:left="1134" w:hanging="567"/>
        <w:rPr>
          <w:sz w:val="26"/>
          <w:szCs w:val="26"/>
        </w:rPr>
      </w:pPr>
      <w:r w:rsidRPr="004761E0">
        <w:rPr>
          <w:sz w:val="26"/>
          <w:szCs w:val="26"/>
        </w:rPr>
        <w:t>на территории г. Москвы в размере 25,55 млн руб. без НДС</w:t>
      </w:r>
      <w:r w:rsidRPr="006F4AB8">
        <w:rPr>
          <w:rStyle w:val="af1"/>
        </w:rPr>
        <w:footnoteReference w:id="81"/>
      </w:r>
      <w:r w:rsidRPr="004761E0">
        <w:rPr>
          <w:sz w:val="26"/>
          <w:szCs w:val="26"/>
        </w:rPr>
        <w:t>;</w:t>
      </w:r>
    </w:p>
    <w:p w:rsidR="00A9213E" w:rsidRPr="004761E0" w:rsidRDefault="00A9213E" w:rsidP="007076A7">
      <w:pPr>
        <w:pStyle w:val="a5"/>
        <w:widowControl w:val="0"/>
        <w:numPr>
          <w:ilvl w:val="0"/>
          <w:numId w:val="147"/>
        </w:numPr>
        <w:autoSpaceDE w:val="0"/>
        <w:autoSpaceDN w:val="0"/>
        <w:adjustRightInd w:val="0"/>
        <w:ind w:left="1134" w:hanging="567"/>
        <w:rPr>
          <w:sz w:val="26"/>
          <w:szCs w:val="26"/>
        </w:rPr>
      </w:pPr>
      <w:r w:rsidRPr="004761E0">
        <w:rPr>
          <w:sz w:val="26"/>
          <w:szCs w:val="26"/>
        </w:rPr>
        <w:t>на территории Московской области в размере 37,78 млн руб. без НДС</w:t>
      </w:r>
      <w:r w:rsidRPr="006F4AB8">
        <w:rPr>
          <w:rStyle w:val="af1"/>
        </w:rPr>
        <w:footnoteReference w:id="82"/>
      </w:r>
      <w:r w:rsidRPr="004761E0">
        <w:rPr>
          <w:sz w:val="26"/>
          <w:szCs w:val="26"/>
        </w:rPr>
        <w:t>.</w:t>
      </w:r>
    </w:p>
    <w:p w:rsidR="00A9213E" w:rsidRPr="004761E0" w:rsidRDefault="00A9213E" w:rsidP="009817EE">
      <w:pPr>
        <w:spacing w:before="120" w:after="120"/>
        <w:ind w:firstLine="567"/>
        <w:rPr>
          <w:b/>
          <w:sz w:val="26"/>
          <w:szCs w:val="26"/>
        </w:rPr>
      </w:pPr>
      <w:r w:rsidRPr="009817EE">
        <w:rPr>
          <w:b/>
          <w:sz w:val="26"/>
          <w:szCs w:val="26"/>
        </w:rPr>
        <w:t>Средняя стоимость 1 МВт</w:t>
      </w:r>
      <w:r w:rsidRPr="006F4AB8">
        <w:rPr>
          <w:rStyle w:val="af1"/>
        </w:rPr>
        <w:footnoteReference w:id="83"/>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4821"/>
        <w:gridCol w:w="1134"/>
        <w:gridCol w:w="1134"/>
        <w:gridCol w:w="1134"/>
        <w:gridCol w:w="1134"/>
      </w:tblGrid>
      <w:tr w:rsidR="00A9213E" w:rsidRPr="004761E0" w:rsidTr="005123D7">
        <w:trPr>
          <w:cantSplit/>
          <w:trHeight w:val="470"/>
        </w:trPr>
        <w:tc>
          <w:tcPr>
            <w:tcW w:w="566" w:type="dxa"/>
            <w:tcBorders>
              <w:right w:val="single" w:sz="4" w:space="0" w:color="FFFFFF" w:themeColor="background1"/>
            </w:tcBorders>
            <w:shd w:val="clear" w:color="auto" w:fill="0F243E" w:themeFill="text2" w:themeFillShade="80"/>
            <w:vAlign w:val="center"/>
            <w:hideMark/>
          </w:tcPr>
          <w:p w:rsidR="00A9213E" w:rsidRPr="004761E0" w:rsidRDefault="00A9213E" w:rsidP="005123D7">
            <w:pPr>
              <w:ind w:firstLine="0"/>
              <w:jc w:val="left"/>
              <w:rPr>
                <w:rFonts w:eastAsia="Times New Roman"/>
                <w:color w:val="000000"/>
                <w:sz w:val="20"/>
                <w:szCs w:val="20"/>
                <w:lang w:eastAsia="ru-RU"/>
              </w:rPr>
            </w:pPr>
            <w:r w:rsidRPr="004761E0">
              <w:rPr>
                <w:rFonts w:eastAsia="Times New Roman"/>
                <w:b/>
                <w:color w:val="FFFFFF" w:themeColor="background1"/>
                <w:sz w:val="20"/>
                <w:szCs w:val="20"/>
                <w:lang w:eastAsia="ru-RU"/>
              </w:rPr>
              <w:t>№ п/п</w:t>
            </w:r>
          </w:p>
        </w:tc>
        <w:tc>
          <w:tcPr>
            <w:tcW w:w="4821" w:type="dxa"/>
            <w:tcBorders>
              <w:left w:val="single" w:sz="4" w:space="0" w:color="FFFFFF" w:themeColor="background1"/>
              <w:right w:val="single" w:sz="4" w:space="0" w:color="FFFFFF" w:themeColor="background1"/>
            </w:tcBorders>
            <w:shd w:val="clear" w:color="auto" w:fill="0F243E" w:themeFill="text2" w:themeFillShade="80"/>
            <w:vAlign w:val="center"/>
            <w:hideMark/>
          </w:tcPr>
          <w:p w:rsidR="00A9213E" w:rsidRPr="004761E0" w:rsidRDefault="00A9213E" w:rsidP="005123D7">
            <w:pPr>
              <w:ind w:firstLine="0"/>
              <w:jc w:val="left"/>
              <w:rPr>
                <w:rFonts w:eastAsia="Times New Roman"/>
                <w:color w:val="000000"/>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left w:val="single" w:sz="4" w:space="0" w:color="FFFFFF" w:themeColor="background1"/>
              <w:right w:val="single" w:sz="4" w:space="0" w:color="FFFFFF" w:themeColor="background1"/>
            </w:tcBorders>
            <w:shd w:val="clear" w:color="auto" w:fill="0F243E" w:themeFill="text2" w:themeFillShade="80"/>
            <w:noWrap/>
            <w:vAlign w:val="center"/>
            <w:hideMark/>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b/>
                <w:color w:val="FFFFFF" w:themeColor="background1"/>
                <w:sz w:val="20"/>
                <w:szCs w:val="20"/>
                <w:lang w:eastAsia="ru-RU"/>
              </w:rPr>
              <w:t>2011</w:t>
            </w:r>
          </w:p>
        </w:tc>
        <w:tc>
          <w:tcPr>
            <w:tcW w:w="1134" w:type="dxa"/>
            <w:tcBorders>
              <w:left w:val="single" w:sz="4" w:space="0" w:color="FFFFFF" w:themeColor="background1"/>
              <w:right w:val="single" w:sz="4" w:space="0" w:color="FFFFFF" w:themeColor="background1"/>
            </w:tcBorders>
            <w:shd w:val="clear" w:color="auto" w:fill="0F243E" w:themeFill="text2" w:themeFillShade="80"/>
            <w:noWrap/>
            <w:vAlign w:val="center"/>
            <w:hideMark/>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b/>
                <w:color w:val="FFFFFF" w:themeColor="background1"/>
                <w:sz w:val="20"/>
                <w:szCs w:val="20"/>
                <w:lang w:eastAsia="ru-RU"/>
              </w:rPr>
              <w:t>2012</w:t>
            </w:r>
          </w:p>
        </w:tc>
        <w:tc>
          <w:tcPr>
            <w:tcW w:w="1134" w:type="dxa"/>
            <w:tcBorders>
              <w:left w:val="single" w:sz="4" w:space="0" w:color="FFFFFF" w:themeColor="background1"/>
              <w:right w:val="single" w:sz="4" w:space="0" w:color="FFFFFF" w:themeColor="background1"/>
            </w:tcBorders>
            <w:shd w:val="clear" w:color="auto" w:fill="0F243E" w:themeFill="text2" w:themeFillShade="80"/>
            <w:noWrap/>
            <w:vAlign w:val="center"/>
            <w:hideMark/>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b/>
                <w:color w:val="FFFFFF" w:themeColor="background1"/>
                <w:sz w:val="20"/>
                <w:szCs w:val="20"/>
                <w:lang w:eastAsia="ru-RU"/>
              </w:rPr>
              <w:t>2013</w:t>
            </w:r>
          </w:p>
        </w:tc>
        <w:tc>
          <w:tcPr>
            <w:tcW w:w="1134" w:type="dxa"/>
            <w:tcBorders>
              <w:left w:val="single" w:sz="4" w:space="0" w:color="FFFFFF" w:themeColor="background1"/>
            </w:tcBorders>
            <w:shd w:val="clear" w:color="auto" w:fill="0F243E" w:themeFill="text2" w:themeFillShade="80"/>
            <w:noWrap/>
            <w:vAlign w:val="center"/>
            <w:hideMark/>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b/>
                <w:color w:val="FFFFFF" w:themeColor="background1"/>
                <w:sz w:val="20"/>
                <w:szCs w:val="20"/>
                <w:lang w:eastAsia="ru-RU"/>
              </w:rPr>
              <w:t>2013/2012</w:t>
            </w:r>
          </w:p>
        </w:tc>
      </w:tr>
      <w:tr w:rsidR="00A9213E" w:rsidRPr="004761E0" w:rsidTr="005123D7">
        <w:trPr>
          <w:cantSplit/>
        </w:trPr>
        <w:tc>
          <w:tcPr>
            <w:tcW w:w="566" w:type="dxa"/>
            <w:vAlign w:val="center"/>
            <w:hideMark/>
          </w:tcPr>
          <w:p w:rsidR="00A9213E" w:rsidRPr="004761E0" w:rsidRDefault="00A9213E" w:rsidP="007076A7">
            <w:pPr>
              <w:pStyle w:val="a5"/>
              <w:numPr>
                <w:ilvl w:val="0"/>
                <w:numId w:val="194"/>
              </w:numPr>
              <w:jc w:val="left"/>
              <w:rPr>
                <w:rFonts w:eastAsia="Times New Roman"/>
                <w:b/>
                <w:bCs/>
                <w:sz w:val="20"/>
                <w:szCs w:val="20"/>
                <w:lang w:eastAsia="ru-RU"/>
              </w:rPr>
            </w:pPr>
          </w:p>
        </w:tc>
        <w:tc>
          <w:tcPr>
            <w:tcW w:w="4821" w:type="dxa"/>
            <w:vAlign w:val="center"/>
          </w:tcPr>
          <w:p w:rsidR="00A9213E" w:rsidRPr="004761E0" w:rsidRDefault="00A9213E" w:rsidP="005123D7">
            <w:pPr>
              <w:spacing w:line="255" w:lineRule="atLeast"/>
              <w:ind w:firstLine="0"/>
              <w:jc w:val="left"/>
              <w:rPr>
                <w:rFonts w:eastAsia="Times New Roman"/>
                <w:color w:val="222222"/>
                <w:sz w:val="20"/>
                <w:szCs w:val="20"/>
                <w:lang w:eastAsia="ru-RU"/>
              </w:rPr>
            </w:pPr>
            <w:r w:rsidRPr="004761E0">
              <w:rPr>
                <w:rFonts w:eastAsia="Times New Roman"/>
                <w:b/>
                <w:bCs/>
                <w:color w:val="222222"/>
                <w:sz w:val="20"/>
                <w:szCs w:val="20"/>
                <w:lang w:eastAsia="ru-RU"/>
              </w:rPr>
              <w:t>Средняя стоимость 1 МВт млн руб. (всего), в т.ч.:</w:t>
            </w:r>
          </w:p>
        </w:tc>
        <w:tc>
          <w:tcPr>
            <w:tcW w:w="1134" w:type="dxa"/>
            <w:noWrap/>
            <w:vAlign w:val="center"/>
          </w:tcPr>
          <w:p w:rsidR="00A9213E" w:rsidRPr="004761E0" w:rsidRDefault="00A9213E" w:rsidP="005123D7">
            <w:pPr>
              <w:spacing w:line="255" w:lineRule="atLeast"/>
              <w:ind w:firstLine="0"/>
              <w:jc w:val="right"/>
              <w:rPr>
                <w:rFonts w:eastAsia="Times New Roman"/>
                <w:color w:val="222222"/>
                <w:sz w:val="20"/>
                <w:szCs w:val="20"/>
                <w:lang w:eastAsia="ru-RU"/>
              </w:rPr>
            </w:pPr>
            <w:r w:rsidRPr="004761E0">
              <w:rPr>
                <w:rFonts w:eastAsia="Times New Roman"/>
                <w:color w:val="222222"/>
                <w:sz w:val="20"/>
                <w:szCs w:val="20"/>
                <w:lang w:eastAsia="ru-RU"/>
              </w:rPr>
              <w:t>20,61</w:t>
            </w:r>
          </w:p>
        </w:tc>
        <w:tc>
          <w:tcPr>
            <w:tcW w:w="1134" w:type="dxa"/>
            <w:noWrap/>
            <w:vAlign w:val="center"/>
          </w:tcPr>
          <w:p w:rsidR="00A9213E" w:rsidRPr="004761E0" w:rsidRDefault="00A9213E" w:rsidP="005123D7">
            <w:pPr>
              <w:spacing w:line="255" w:lineRule="atLeast"/>
              <w:ind w:firstLine="0"/>
              <w:jc w:val="right"/>
              <w:rPr>
                <w:rFonts w:eastAsia="Times New Roman"/>
                <w:color w:val="222222"/>
                <w:sz w:val="20"/>
                <w:szCs w:val="20"/>
                <w:lang w:eastAsia="ru-RU"/>
              </w:rPr>
            </w:pPr>
            <w:r w:rsidRPr="004761E0">
              <w:rPr>
                <w:rFonts w:eastAsia="Times New Roman"/>
                <w:color w:val="222222"/>
                <w:sz w:val="20"/>
                <w:szCs w:val="20"/>
                <w:lang w:eastAsia="ru-RU"/>
              </w:rPr>
              <w:t>12,24</w:t>
            </w:r>
          </w:p>
        </w:tc>
        <w:tc>
          <w:tcPr>
            <w:tcW w:w="1134" w:type="dxa"/>
            <w:noWrap/>
            <w:vAlign w:val="center"/>
          </w:tcPr>
          <w:p w:rsidR="00A9213E" w:rsidRPr="004761E0" w:rsidRDefault="00A9213E" w:rsidP="005123D7">
            <w:pPr>
              <w:spacing w:line="255" w:lineRule="atLeast"/>
              <w:ind w:firstLine="0"/>
              <w:jc w:val="right"/>
              <w:rPr>
                <w:rFonts w:eastAsia="Times New Roman"/>
                <w:color w:val="222222"/>
                <w:sz w:val="20"/>
                <w:szCs w:val="20"/>
                <w:lang w:eastAsia="ru-RU"/>
              </w:rPr>
            </w:pPr>
            <w:r w:rsidRPr="004761E0">
              <w:rPr>
                <w:rFonts w:eastAsia="Times New Roman"/>
                <w:color w:val="222222"/>
                <w:sz w:val="20"/>
                <w:szCs w:val="20"/>
                <w:lang w:eastAsia="ru-RU"/>
              </w:rPr>
              <w:t>8,64</w:t>
            </w:r>
          </w:p>
        </w:tc>
        <w:tc>
          <w:tcPr>
            <w:tcW w:w="1134" w:type="dxa"/>
            <w:noWrap/>
            <w:vAlign w:val="center"/>
          </w:tcPr>
          <w:p w:rsidR="00A9213E" w:rsidRPr="004761E0" w:rsidRDefault="00A9213E" w:rsidP="005123D7">
            <w:pPr>
              <w:spacing w:line="255" w:lineRule="atLeast"/>
              <w:ind w:firstLine="0"/>
              <w:jc w:val="right"/>
              <w:rPr>
                <w:rFonts w:eastAsia="Times New Roman"/>
                <w:color w:val="222222"/>
                <w:sz w:val="20"/>
                <w:szCs w:val="20"/>
                <w:lang w:eastAsia="ru-RU"/>
              </w:rPr>
            </w:pPr>
            <w:r w:rsidRPr="004761E0">
              <w:rPr>
                <w:rFonts w:eastAsia="Times New Roman"/>
                <w:color w:val="222222"/>
                <w:sz w:val="20"/>
                <w:szCs w:val="20"/>
                <w:lang w:eastAsia="ru-RU"/>
              </w:rPr>
              <w:t>-29,37 %</w:t>
            </w:r>
          </w:p>
        </w:tc>
      </w:tr>
      <w:tr w:rsidR="00A9213E" w:rsidRPr="004761E0" w:rsidTr="005123D7">
        <w:trPr>
          <w:cantSplit/>
        </w:trPr>
        <w:tc>
          <w:tcPr>
            <w:tcW w:w="566" w:type="dxa"/>
            <w:vAlign w:val="center"/>
            <w:hideMark/>
          </w:tcPr>
          <w:p w:rsidR="00A9213E" w:rsidRPr="004761E0" w:rsidRDefault="00A9213E" w:rsidP="007076A7">
            <w:pPr>
              <w:pStyle w:val="a5"/>
              <w:numPr>
                <w:ilvl w:val="1"/>
                <w:numId w:val="194"/>
              </w:numPr>
              <w:jc w:val="left"/>
              <w:rPr>
                <w:rFonts w:eastAsia="Times New Roman"/>
                <w:sz w:val="20"/>
                <w:szCs w:val="20"/>
                <w:lang w:eastAsia="ru-RU"/>
              </w:rPr>
            </w:pPr>
          </w:p>
        </w:tc>
        <w:tc>
          <w:tcPr>
            <w:tcW w:w="4821" w:type="dxa"/>
            <w:vAlign w:val="center"/>
          </w:tcPr>
          <w:p w:rsidR="00A9213E" w:rsidRPr="004761E0" w:rsidRDefault="00A9213E" w:rsidP="005123D7">
            <w:pPr>
              <w:ind w:firstLineChars="200" w:firstLine="400"/>
              <w:jc w:val="left"/>
              <w:rPr>
                <w:rFonts w:eastAsia="Times New Roman"/>
                <w:color w:val="222222"/>
                <w:sz w:val="20"/>
                <w:szCs w:val="20"/>
                <w:lang w:eastAsia="ru-RU"/>
              </w:rPr>
            </w:pPr>
            <w:r w:rsidRPr="004761E0">
              <w:rPr>
                <w:rFonts w:eastAsia="Times New Roman"/>
                <w:color w:val="222222"/>
                <w:sz w:val="20"/>
                <w:szCs w:val="20"/>
                <w:lang w:eastAsia="ru-RU"/>
              </w:rPr>
              <w:t xml:space="preserve">до </w:t>
            </w:r>
            <w:r w:rsidRPr="004761E0">
              <w:rPr>
                <w:rFonts w:eastAsia="Times New Roman"/>
                <w:color w:val="000000"/>
                <w:sz w:val="20"/>
                <w:szCs w:val="20"/>
                <w:lang w:eastAsia="ru-RU"/>
              </w:rPr>
              <w:t>15</w:t>
            </w:r>
            <w:r w:rsidRPr="004761E0">
              <w:rPr>
                <w:rFonts w:eastAsia="Times New Roman"/>
                <w:color w:val="222222"/>
                <w:sz w:val="20"/>
                <w:szCs w:val="20"/>
                <w:lang w:eastAsia="ru-RU"/>
              </w:rPr>
              <w:t xml:space="preserve"> кВт (всего), в т.ч.:</w:t>
            </w:r>
          </w:p>
        </w:tc>
        <w:tc>
          <w:tcPr>
            <w:tcW w:w="1134" w:type="dxa"/>
            <w:noWrap/>
            <w:vAlign w:val="center"/>
          </w:tcPr>
          <w:p w:rsidR="00A9213E" w:rsidRPr="004761E0" w:rsidRDefault="00A9213E" w:rsidP="005123D7">
            <w:pPr>
              <w:spacing w:line="255" w:lineRule="atLeast"/>
              <w:ind w:firstLine="0"/>
              <w:jc w:val="right"/>
              <w:rPr>
                <w:rFonts w:eastAsia="Times New Roman"/>
                <w:color w:val="222222"/>
                <w:sz w:val="20"/>
                <w:szCs w:val="20"/>
                <w:lang w:eastAsia="ru-RU"/>
              </w:rPr>
            </w:pPr>
            <w:r w:rsidRPr="004761E0">
              <w:rPr>
                <w:rFonts w:eastAsia="Times New Roman"/>
                <w:color w:val="222222"/>
                <w:sz w:val="20"/>
                <w:szCs w:val="20"/>
                <w:lang w:eastAsia="ru-RU"/>
              </w:rPr>
              <w:t>0,82</w:t>
            </w:r>
          </w:p>
        </w:tc>
        <w:tc>
          <w:tcPr>
            <w:tcW w:w="1134" w:type="dxa"/>
            <w:noWrap/>
            <w:vAlign w:val="center"/>
          </w:tcPr>
          <w:p w:rsidR="00A9213E" w:rsidRPr="004761E0" w:rsidRDefault="00A9213E" w:rsidP="005123D7">
            <w:pPr>
              <w:spacing w:line="255" w:lineRule="atLeast"/>
              <w:ind w:firstLine="0"/>
              <w:jc w:val="right"/>
              <w:rPr>
                <w:rFonts w:eastAsia="Times New Roman"/>
                <w:color w:val="222222"/>
                <w:sz w:val="20"/>
                <w:szCs w:val="20"/>
                <w:lang w:eastAsia="ru-RU"/>
              </w:rPr>
            </w:pPr>
            <w:r w:rsidRPr="004761E0">
              <w:rPr>
                <w:rFonts w:eastAsia="Times New Roman"/>
                <w:color w:val="222222"/>
                <w:sz w:val="20"/>
                <w:szCs w:val="20"/>
                <w:lang w:eastAsia="ru-RU"/>
              </w:rPr>
              <w:t>1,37</w:t>
            </w:r>
          </w:p>
        </w:tc>
        <w:tc>
          <w:tcPr>
            <w:tcW w:w="1134" w:type="dxa"/>
            <w:noWrap/>
            <w:vAlign w:val="center"/>
          </w:tcPr>
          <w:p w:rsidR="00A9213E" w:rsidRPr="004761E0" w:rsidRDefault="00A9213E" w:rsidP="005123D7">
            <w:pPr>
              <w:spacing w:line="255" w:lineRule="atLeast"/>
              <w:ind w:firstLine="0"/>
              <w:jc w:val="right"/>
              <w:rPr>
                <w:rFonts w:eastAsia="Times New Roman"/>
                <w:color w:val="222222"/>
                <w:sz w:val="20"/>
                <w:szCs w:val="20"/>
                <w:lang w:eastAsia="ru-RU"/>
              </w:rPr>
            </w:pPr>
            <w:r w:rsidRPr="004761E0">
              <w:rPr>
                <w:rFonts w:eastAsia="Times New Roman"/>
                <w:color w:val="222222"/>
                <w:sz w:val="20"/>
                <w:szCs w:val="20"/>
                <w:lang w:eastAsia="ru-RU"/>
              </w:rPr>
              <w:t>0,15</w:t>
            </w:r>
          </w:p>
        </w:tc>
        <w:tc>
          <w:tcPr>
            <w:tcW w:w="1134" w:type="dxa"/>
            <w:noWrap/>
            <w:vAlign w:val="center"/>
          </w:tcPr>
          <w:p w:rsidR="00A9213E" w:rsidRPr="004761E0" w:rsidRDefault="00A9213E" w:rsidP="005123D7">
            <w:pPr>
              <w:spacing w:line="255" w:lineRule="atLeast"/>
              <w:ind w:firstLine="0"/>
              <w:jc w:val="right"/>
              <w:rPr>
                <w:rFonts w:eastAsia="Times New Roman"/>
                <w:color w:val="222222"/>
                <w:sz w:val="20"/>
                <w:szCs w:val="20"/>
                <w:lang w:eastAsia="ru-RU"/>
              </w:rPr>
            </w:pPr>
            <w:r w:rsidRPr="004761E0">
              <w:rPr>
                <w:rFonts w:eastAsia="Times New Roman"/>
                <w:color w:val="222222"/>
                <w:sz w:val="20"/>
                <w:szCs w:val="20"/>
                <w:lang w:eastAsia="ru-RU"/>
              </w:rPr>
              <w:t>-88,97 %</w:t>
            </w:r>
          </w:p>
        </w:tc>
      </w:tr>
      <w:tr w:rsidR="00A9213E" w:rsidRPr="004761E0" w:rsidTr="005123D7">
        <w:trPr>
          <w:cantSplit/>
        </w:trPr>
        <w:tc>
          <w:tcPr>
            <w:tcW w:w="566" w:type="dxa"/>
            <w:vAlign w:val="center"/>
            <w:hideMark/>
          </w:tcPr>
          <w:p w:rsidR="00A9213E" w:rsidRPr="004761E0" w:rsidRDefault="00A9213E" w:rsidP="007076A7">
            <w:pPr>
              <w:pStyle w:val="a5"/>
              <w:numPr>
                <w:ilvl w:val="2"/>
                <w:numId w:val="194"/>
              </w:numPr>
              <w:jc w:val="left"/>
              <w:rPr>
                <w:rFonts w:eastAsia="Times New Roman"/>
                <w:sz w:val="20"/>
                <w:szCs w:val="20"/>
                <w:lang w:eastAsia="ru-RU"/>
              </w:rPr>
            </w:pPr>
          </w:p>
        </w:tc>
        <w:tc>
          <w:tcPr>
            <w:tcW w:w="4821" w:type="dxa"/>
            <w:vAlign w:val="center"/>
          </w:tcPr>
          <w:p w:rsidR="00A9213E" w:rsidRPr="004761E0" w:rsidRDefault="00A9213E" w:rsidP="005123D7">
            <w:pPr>
              <w:ind w:firstLineChars="371" w:firstLine="742"/>
              <w:jc w:val="left"/>
              <w:rPr>
                <w:rFonts w:eastAsia="Times New Roman"/>
                <w:color w:val="222222"/>
                <w:sz w:val="20"/>
                <w:szCs w:val="20"/>
                <w:lang w:eastAsia="ru-RU"/>
              </w:rPr>
            </w:pPr>
            <w:r w:rsidRPr="004761E0">
              <w:rPr>
                <w:rFonts w:eastAsia="Times New Roman"/>
                <w:color w:val="000000"/>
                <w:sz w:val="20"/>
                <w:szCs w:val="20"/>
                <w:lang w:eastAsia="ru-RU"/>
              </w:rPr>
              <w:t>физические</w:t>
            </w:r>
            <w:r w:rsidRPr="004761E0">
              <w:rPr>
                <w:rFonts w:eastAsia="Times New Roman"/>
                <w:color w:val="222222"/>
                <w:sz w:val="20"/>
                <w:szCs w:val="20"/>
                <w:lang w:eastAsia="ru-RU"/>
              </w:rPr>
              <w:t xml:space="preserve"> лица до 15 кВт</w:t>
            </w:r>
          </w:p>
        </w:tc>
        <w:tc>
          <w:tcPr>
            <w:tcW w:w="1134" w:type="dxa"/>
            <w:noWrap/>
            <w:vAlign w:val="center"/>
          </w:tcPr>
          <w:p w:rsidR="00A9213E" w:rsidRPr="004761E0" w:rsidRDefault="00A9213E" w:rsidP="005123D7">
            <w:pPr>
              <w:spacing w:line="255" w:lineRule="atLeast"/>
              <w:ind w:firstLine="0"/>
              <w:jc w:val="right"/>
              <w:rPr>
                <w:rFonts w:eastAsia="Times New Roman"/>
                <w:color w:val="222222"/>
                <w:sz w:val="20"/>
                <w:szCs w:val="20"/>
                <w:lang w:eastAsia="ru-RU"/>
              </w:rPr>
            </w:pPr>
            <w:r w:rsidRPr="004761E0">
              <w:rPr>
                <w:rFonts w:eastAsia="Times New Roman"/>
                <w:color w:val="222222"/>
                <w:sz w:val="20"/>
                <w:szCs w:val="20"/>
                <w:lang w:eastAsia="ru-RU"/>
              </w:rPr>
              <w:t>0,04</w:t>
            </w:r>
          </w:p>
        </w:tc>
        <w:tc>
          <w:tcPr>
            <w:tcW w:w="1134" w:type="dxa"/>
            <w:noWrap/>
            <w:vAlign w:val="center"/>
          </w:tcPr>
          <w:p w:rsidR="00A9213E" w:rsidRPr="004761E0" w:rsidRDefault="00A9213E" w:rsidP="005123D7">
            <w:pPr>
              <w:spacing w:line="255" w:lineRule="atLeast"/>
              <w:ind w:firstLine="0"/>
              <w:jc w:val="right"/>
              <w:rPr>
                <w:rFonts w:eastAsia="Times New Roman"/>
                <w:color w:val="222222"/>
                <w:sz w:val="20"/>
                <w:szCs w:val="20"/>
                <w:lang w:eastAsia="ru-RU"/>
              </w:rPr>
            </w:pPr>
            <w:r w:rsidRPr="004761E0">
              <w:rPr>
                <w:rFonts w:eastAsia="Times New Roman"/>
                <w:color w:val="222222"/>
                <w:sz w:val="20"/>
                <w:szCs w:val="20"/>
                <w:lang w:eastAsia="ru-RU"/>
              </w:rPr>
              <w:t>0,03</w:t>
            </w:r>
          </w:p>
        </w:tc>
        <w:tc>
          <w:tcPr>
            <w:tcW w:w="1134" w:type="dxa"/>
            <w:noWrap/>
            <w:vAlign w:val="center"/>
          </w:tcPr>
          <w:p w:rsidR="00A9213E" w:rsidRPr="004761E0" w:rsidRDefault="00A9213E" w:rsidP="005123D7">
            <w:pPr>
              <w:spacing w:line="255" w:lineRule="atLeast"/>
              <w:ind w:firstLine="0"/>
              <w:jc w:val="right"/>
              <w:rPr>
                <w:rFonts w:eastAsia="Times New Roman"/>
                <w:color w:val="222222"/>
                <w:sz w:val="20"/>
                <w:szCs w:val="20"/>
                <w:lang w:eastAsia="ru-RU"/>
              </w:rPr>
            </w:pPr>
            <w:r w:rsidRPr="004761E0">
              <w:rPr>
                <w:rFonts w:eastAsia="Times New Roman"/>
                <w:color w:val="222222"/>
                <w:sz w:val="20"/>
                <w:szCs w:val="20"/>
                <w:lang w:eastAsia="ru-RU"/>
              </w:rPr>
              <w:t>0,03</w:t>
            </w:r>
          </w:p>
        </w:tc>
        <w:tc>
          <w:tcPr>
            <w:tcW w:w="1134" w:type="dxa"/>
            <w:noWrap/>
            <w:vAlign w:val="center"/>
          </w:tcPr>
          <w:p w:rsidR="00A9213E" w:rsidRPr="004761E0" w:rsidRDefault="00A9213E" w:rsidP="005123D7">
            <w:pPr>
              <w:spacing w:line="255" w:lineRule="atLeast"/>
              <w:ind w:firstLine="0"/>
              <w:jc w:val="right"/>
              <w:rPr>
                <w:rFonts w:eastAsia="Times New Roman"/>
                <w:color w:val="222222"/>
                <w:sz w:val="20"/>
                <w:szCs w:val="20"/>
                <w:lang w:eastAsia="ru-RU"/>
              </w:rPr>
            </w:pPr>
            <w:r w:rsidRPr="004761E0">
              <w:rPr>
                <w:rFonts w:eastAsia="Times New Roman"/>
                <w:color w:val="222222"/>
                <w:sz w:val="20"/>
                <w:szCs w:val="20"/>
                <w:lang w:eastAsia="ru-RU"/>
              </w:rPr>
              <w:t>-18,83 %</w:t>
            </w:r>
          </w:p>
        </w:tc>
      </w:tr>
      <w:tr w:rsidR="00A9213E" w:rsidRPr="004761E0" w:rsidTr="005123D7">
        <w:trPr>
          <w:cantSplit/>
        </w:trPr>
        <w:tc>
          <w:tcPr>
            <w:tcW w:w="566" w:type="dxa"/>
            <w:vAlign w:val="center"/>
            <w:hideMark/>
          </w:tcPr>
          <w:p w:rsidR="00A9213E" w:rsidRPr="004761E0" w:rsidRDefault="00A9213E" w:rsidP="007076A7">
            <w:pPr>
              <w:pStyle w:val="a5"/>
              <w:numPr>
                <w:ilvl w:val="1"/>
                <w:numId w:val="194"/>
              </w:numPr>
              <w:jc w:val="left"/>
              <w:rPr>
                <w:rFonts w:eastAsia="Times New Roman"/>
                <w:sz w:val="20"/>
                <w:szCs w:val="20"/>
                <w:lang w:eastAsia="ru-RU"/>
              </w:rPr>
            </w:pPr>
          </w:p>
        </w:tc>
        <w:tc>
          <w:tcPr>
            <w:tcW w:w="4821" w:type="dxa"/>
            <w:vAlign w:val="center"/>
          </w:tcPr>
          <w:p w:rsidR="00A9213E" w:rsidRPr="004761E0" w:rsidRDefault="00A9213E" w:rsidP="005123D7">
            <w:pPr>
              <w:ind w:firstLineChars="200" w:firstLine="400"/>
              <w:jc w:val="left"/>
              <w:rPr>
                <w:rFonts w:eastAsia="Times New Roman"/>
                <w:color w:val="222222"/>
                <w:sz w:val="20"/>
                <w:szCs w:val="20"/>
                <w:lang w:eastAsia="ru-RU"/>
              </w:rPr>
            </w:pPr>
            <w:r w:rsidRPr="004761E0">
              <w:rPr>
                <w:rFonts w:eastAsia="Times New Roman"/>
                <w:color w:val="222222"/>
                <w:sz w:val="20"/>
                <w:szCs w:val="20"/>
                <w:lang w:eastAsia="ru-RU"/>
              </w:rPr>
              <w:t>свыше 15 кВт и до 150 кВт</w:t>
            </w:r>
          </w:p>
        </w:tc>
        <w:tc>
          <w:tcPr>
            <w:tcW w:w="1134" w:type="dxa"/>
            <w:noWrap/>
            <w:vAlign w:val="center"/>
          </w:tcPr>
          <w:p w:rsidR="00A9213E" w:rsidRPr="004761E0" w:rsidRDefault="00A9213E" w:rsidP="005123D7">
            <w:pPr>
              <w:spacing w:line="255" w:lineRule="atLeast"/>
              <w:ind w:firstLine="0"/>
              <w:jc w:val="right"/>
              <w:rPr>
                <w:rFonts w:eastAsia="Times New Roman"/>
                <w:color w:val="222222"/>
                <w:sz w:val="20"/>
                <w:szCs w:val="20"/>
                <w:lang w:eastAsia="ru-RU"/>
              </w:rPr>
            </w:pPr>
            <w:r w:rsidRPr="004761E0">
              <w:rPr>
                <w:rFonts w:eastAsia="Times New Roman"/>
                <w:color w:val="222222"/>
                <w:sz w:val="20"/>
                <w:szCs w:val="20"/>
                <w:lang w:eastAsia="ru-RU"/>
              </w:rPr>
              <w:t>22,99</w:t>
            </w:r>
          </w:p>
        </w:tc>
        <w:tc>
          <w:tcPr>
            <w:tcW w:w="1134" w:type="dxa"/>
            <w:noWrap/>
            <w:vAlign w:val="center"/>
          </w:tcPr>
          <w:p w:rsidR="00A9213E" w:rsidRPr="004761E0" w:rsidRDefault="00A9213E" w:rsidP="005123D7">
            <w:pPr>
              <w:spacing w:line="255" w:lineRule="atLeast"/>
              <w:ind w:firstLine="0"/>
              <w:jc w:val="right"/>
              <w:rPr>
                <w:rFonts w:eastAsia="Times New Roman"/>
                <w:color w:val="222222"/>
                <w:sz w:val="20"/>
                <w:szCs w:val="20"/>
                <w:lang w:eastAsia="ru-RU"/>
              </w:rPr>
            </w:pPr>
            <w:r w:rsidRPr="004761E0">
              <w:rPr>
                <w:rFonts w:eastAsia="Times New Roman"/>
                <w:color w:val="222222"/>
                <w:sz w:val="20"/>
                <w:szCs w:val="20"/>
                <w:lang w:eastAsia="ru-RU"/>
              </w:rPr>
              <w:t>12,77</w:t>
            </w:r>
          </w:p>
        </w:tc>
        <w:tc>
          <w:tcPr>
            <w:tcW w:w="1134" w:type="dxa"/>
            <w:noWrap/>
            <w:vAlign w:val="center"/>
          </w:tcPr>
          <w:p w:rsidR="00A9213E" w:rsidRPr="004761E0" w:rsidRDefault="00A9213E" w:rsidP="005123D7">
            <w:pPr>
              <w:spacing w:line="255" w:lineRule="atLeast"/>
              <w:ind w:firstLine="0"/>
              <w:jc w:val="right"/>
              <w:rPr>
                <w:rFonts w:eastAsia="Times New Roman"/>
                <w:color w:val="222222"/>
                <w:sz w:val="20"/>
                <w:szCs w:val="20"/>
                <w:lang w:eastAsia="ru-RU"/>
              </w:rPr>
            </w:pPr>
            <w:r w:rsidRPr="004761E0">
              <w:rPr>
                <w:rFonts w:eastAsia="Times New Roman"/>
                <w:color w:val="222222"/>
                <w:sz w:val="20"/>
                <w:szCs w:val="20"/>
                <w:lang w:eastAsia="ru-RU"/>
              </w:rPr>
              <w:t>6,45</w:t>
            </w:r>
          </w:p>
        </w:tc>
        <w:tc>
          <w:tcPr>
            <w:tcW w:w="1134" w:type="dxa"/>
            <w:noWrap/>
            <w:vAlign w:val="center"/>
          </w:tcPr>
          <w:p w:rsidR="00A9213E" w:rsidRPr="004761E0" w:rsidRDefault="00A9213E" w:rsidP="005123D7">
            <w:pPr>
              <w:spacing w:line="255" w:lineRule="atLeast"/>
              <w:ind w:firstLine="0"/>
              <w:jc w:val="right"/>
              <w:rPr>
                <w:rFonts w:eastAsia="Times New Roman"/>
                <w:color w:val="222222"/>
                <w:sz w:val="20"/>
                <w:szCs w:val="20"/>
                <w:lang w:eastAsia="ru-RU"/>
              </w:rPr>
            </w:pPr>
            <w:r w:rsidRPr="004761E0">
              <w:rPr>
                <w:rFonts w:eastAsia="Times New Roman"/>
                <w:color w:val="222222"/>
                <w:sz w:val="20"/>
                <w:szCs w:val="20"/>
                <w:lang w:eastAsia="ru-RU"/>
              </w:rPr>
              <w:t>-49,51 %</w:t>
            </w:r>
          </w:p>
        </w:tc>
      </w:tr>
      <w:tr w:rsidR="00A9213E" w:rsidRPr="004761E0" w:rsidTr="005123D7">
        <w:trPr>
          <w:cantSplit/>
        </w:trPr>
        <w:tc>
          <w:tcPr>
            <w:tcW w:w="566" w:type="dxa"/>
            <w:vAlign w:val="center"/>
            <w:hideMark/>
          </w:tcPr>
          <w:p w:rsidR="00A9213E" w:rsidRPr="004761E0" w:rsidRDefault="00A9213E" w:rsidP="007076A7">
            <w:pPr>
              <w:pStyle w:val="a5"/>
              <w:numPr>
                <w:ilvl w:val="1"/>
                <w:numId w:val="194"/>
              </w:numPr>
              <w:jc w:val="left"/>
              <w:rPr>
                <w:rFonts w:eastAsia="Times New Roman"/>
                <w:sz w:val="20"/>
                <w:szCs w:val="20"/>
                <w:lang w:eastAsia="ru-RU"/>
              </w:rPr>
            </w:pPr>
          </w:p>
        </w:tc>
        <w:tc>
          <w:tcPr>
            <w:tcW w:w="4821" w:type="dxa"/>
            <w:vAlign w:val="center"/>
          </w:tcPr>
          <w:p w:rsidR="00A9213E" w:rsidRPr="004761E0" w:rsidRDefault="00A9213E" w:rsidP="005123D7">
            <w:pPr>
              <w:ind w:firstLineChars="200" w:firstLine="400"/>
              <w:jc w:val="left"/>
              <w:rPr>
                <w:rFonts w:eastAsia="Times New Roman"/>
                <w:color w:val="222222"/>
                <w:sz w:val="20"/>
                <w:szCs w:val="20"/>
                <w:lang w:eastAsia="ru-RU"/>
              </w:rPr>
            </w:pPr>
            <w:r w:rsidRPr="004761E0">
              <w:rPr>
                <w:rFonts w:eastAsia="Times New Roman"/>
                <w:color w:val="222222"/>
                <w:sz w:val="20"/>
                <w:szCs w:val="20"/>
                <w:lang w:eastAsia="ru-RU"/>
              </w:rPr>
              <w:t>свыше 150 кВт и менее 670 кВт</w:t>
            </w:r>
          </w:p>
        </w:tc>
        <w:tc>
          <w:tcPr>
            <w:tcW w:w="1134" w:type="dxa"/>
            <w:noWrap/>
            <w:vAlign w:val="center"/>
          </w:tcPr>
          <w:p w:rsidR="00A9213E" w:rsidRPr="004761E0" w:rsidRDefault="00A9213E" w:rsidP="005123D7">
            <w:pPr>
              <w:spacing w:line="255" w:lineRule="atLeast"/>
              <w:ind w:firstLine="0"/>
              <w:jc w:val="right"/>
              <w:rPr>
                <w:rFonts w:eastAsia="Times New Roman"/>
                <w:color w:val="222222"/>
                <w:sz w:val="20"/>
                <w:szCs w:val="20"/>
                <w:lang w:eastAsia="ru-RU"/>
              </w:rPr>
            </w:pPr>
            <w:r w:rsidRPr="004761E0">
              <w:rPr>
                <w:rFonts w:eastAsia="Times New Roman"/>
                <w:color w:val="222222"/>
                <w:sz w:val="20"/>
                <w:szCs w:val="20"/>
                <w:lang w:eastAsia="ru-RU"/>
              </w:rPr>
              <w:t>26,88</w:t>
            </w:r>
          </w:p>
        </w:tc>
        <w:tc>
          <w:tcPr>
            <w:tcW w:w="1134" w:type="dxa"/>
            <w:noWrap/>
            <w:vAlign w:val="center"/>
          </w:tcPr>
          <w:p w:rsidR="00A9213E" w:rsidRPr="004761E0" w:rsidRDefault="00A9213E" w:rsidP="005123D7">
            <w:pPr>
              <w:spacing w:line="255" w:lineRule="atLeast"/>
              <w:ind w:firstLine="0"/>
              <w:jc w:val="right"/>
              <w:rPr>
                <w:rFonts w:eastAsia="Times New Roman"/>
                <w:color w:val="222222"/>
                <w:sz w:val="20"/>
                <w:szCs w:val="20"/>
                <w:lang w:eastAsia="ru-RU"/>
              </w:rPr>
            </w:pPr>
            <w:r w:rsidRPr="004761E0">
              <w:rPr>
                <w:rFonts w:eastAsia="Times New Roman"/>
                <w:color w:val="222222"/>
                <w:sz w:val="20"/>
                <w:szCs w:val="20"/>
                <w:lang w:eastAsia="ru-RU"/>
              </w:rPr>
              <w:t>22,72</w:t>
            </w:r>
          </w:p>
        </w:tc>
        <w:tc>
          <w:tcPr>
            <w:tcW w:w="1134" w:type="dxa"/>
            <w:noWrap/>
            <w:vAlign w:val="center"/>
          </w:tcPr>
          <w:p w:rsidR="00A9213E" w:rsidRPr="004761E0" w:rsidRDefault="00A9213E" w:rsidP="005123D7">
            <w:pPr>
              <w:spacing w:line="255" w:lineRule="atLeast"/>
              <w:ind w:firstLine="0"/>
              <w:jc w:val="right"/>
              <w:rPr>
                <w:rFonts w:eastAsia="Times New Roman"/>
                <w:color w:val="222222"/>
                <w:sz w:val="20"/>
                <w:szCs w:val="20"/>
                <w:lang w:eastAsia="ru-RU"/>
              </w:rPr>
            </w:pPr>
            <w:r w:rsidRPr="004761E0">
              <w:rPr>
                <w:rFonts w:eastAsia="Times New Roman"/>
                <w:color w:val="222222"/>
                <w:sz w:val="20"/>
                <w:szCs w:val="20"/>
                <w:lang w:eastAsia="ru-RU"/>
              </w:rPr>
              <w:t>10,50</w:t>
            </w:r>
          </w:p>
        </w:tc>
        <w:tc>
          <w:tcPr>
            <w:tcW w:w="1134" w:type="dxa"/>
            <w:noWrap/>
            <w:vAlign w:val="center"/>
          </w:tcPr>
          <w:p w:rsidR="00A9213E" w:rsidRPr="004761E0" w:rsidRDefault="00A9213E" w:rsidP="005123D7">
            <w:pPr>
              <w:spacing w:line="255" w:lineRule="atLeast"/>
              <w:ind w:firstLine="0"/>
              <w:jc w:val="right"/>
              <w:rPr>
                <w:rFonts w:eastAsia="Times New Roman"/>
                <w:color w:val="222222"/>
                <w:sz w:val="20"/>
                <w:szCs w:val="20"/>
                <w:lang w:eastAsia="ru-RU"/>
              </w:rPr>
            </w:pPr>
            <w:r w:rsidRPr="004761E0">
              <w:rPr>
                <w:rFonts w:eastAsia="Times New Roman"/>
                <w:color w:val="222222"/>
                <w:sz w:val="20"/>
                <w:szCs w:val="20"/>
                <w:lang w:eastAsia="ru-RU"/>
              </w:rPr>
              <w:t>-53,78 %</w:t>
            </w:r>
          </w:p>
        </w:tc>
      </w:tr>
      <w:tr w:rsidR="00A9213E" w:rsidRPr="004761E0" w:rsidTr="005123D7">
        <w:trPr>
          <w:cantSplit/>
        </w:trPr>
        <w:tc>
          <w:tcPr>
            <w:tcW w:w="566" w:type="dxa"/>
            <w:vAlign w:val="center"/>
            <w:hideMark/>
          </w:tcPr>
          <w:p w:rsidR="00A9213E" w:rsidRPr="004761E0" w:rsidRDefault="00A9213E" w:rsidP="007076A7">
            <w:pPr>
              <w:pStyle w:val="a5"/>
              <w:numPr>
                <w:ilvl w:val="1"/>
                <w:numId w:val="194"/>
              </w:numPr>
              <w:jc w:val="left"/>
              <w:rPr>
                <w:rFonts w:eastAsia="Times New Roman"/>
                <w:sz w:val="20"/>
                <w:szCs w:val="20"/>
                <w:lang w:eastAsia="ru-RU"/>
              </w:rPr>
            </w:pPr>
          </w:p>
        </w:tc>
        <w:tc>
          <w:tcPr>
            <w:tcW w:w="4821" w:type="dxa"/>
            <w:vAlign w:val="center"/>
          </w:tcPr>
          <w:p w:rsidR="00A9213E" w:rsidRPr="004761E0" w:rsidRDefault="00A9213E" w:rsidP="005123D7">
            <w:pPr>
              <w:ind w:firstLineChars="200" w:firstLine="400"/>
              <w:jc w:val="left"/>
              <w:rPr>
                <w:rFonts w:eastAsia="Times New Roman"/>
                <w:color w:val="222222"/>
                <w:sz w:val="20"/>
                <w:szCs w:val="20"/>
                <w:lang w:eastAsia="ru-RU"/>
              </w:rPr>
            </w:pPr>
            <w:r w:rsidRPr="004761E0">
              <w:rPr>
                <w:rFonts w:eastAsia="Times New Roman"/>
                <w:color w:val="222222"/>
                <w:sz w:val="20"/>
                <w:szCs w:val="20"/>
                <w:lang w:eastAsia="ru-RU"/>
              </w:rPr>
              <w:t>не менее 670 кВт</w:t>
            </w:r>
          </w:p>
        </w:tc>
        <w:tc>
          <w:tcPr>
            <w:tcW w:w="1134" w:type="dxa"/>
            <w:noWrap/>
            <w:vAlign w:val="center"/>
          </w:tcPr>
          <w:p w:rsidR="00A9213E" w:rsidRPr="004761E0" w:rsidRDefault="00A9213E" w:rsidP="005123D7">
            <w:pPr>
              <w:spacing w:line="255" w:lineRule="atLeast"/>
              <w:ind w:firstLine="0"/>
              <w:jc w:val="right"/>
              <w:rPr>
                <w:rFonts w:eastAsia="Times New Roman"/>
                <w:color w:val="222222"/>
                <w:sz w:val="20"/>
                <w:szCs w:val="20"/>
                <w:lang w:eastAsia="ru-RU"/>
              </w:rPr>
            </w:pPr>
            <w:r w:rsidRPr="004761E0">
              <w:rPr>
                <w:rFonts w:eastAsia="Times New Roman"/>
                <w:color w:val="222222"/>
                <w:sz w:val="20"/>
                <w:szCs w:val="20"/>
                <w:lang w:eastAsia="ru-RU"/>
              </w:rPr>
              <w:t>23,41</w:t>
            </w:r>
          </w:p>
        </w:tc>
        <w:tc>
          <w:tcPr>
            <w:tcW w:w="1134" w:type="dxa"/>
            <w:noWrap/>
            <w:vAlign w:val="center"/>
          </w:tcPr>
          <w:p w:rsidR="00A9213E" w:rsidRPr="004761E0" w:rsidRDefault="00A9213E" w:rsidP="005123D7">
            <w:pPr>
              <w:spacing w:line="255" w:lineRule="atLeast"/>
              <w:ind w:firstLine="0"/>
              <w:jc w:val="right"/>
              <w:rPr>
                <w:rFonts w:eastAsia="Times New Roman"/>
                <w:color w:val="222222"/>
                <w:sz w:val="20"/>
                <w:szCs w:val="20"/>
                <w:lang w:eastAsia="ru-RU"/>
              </w:rPr>
            </w:pPr>
            <w:r w:rsidRPr="004761E0">
              <w:rPr>
                <w:rFonts w:eastAsia="Times New Roman"/>
                <w:color w:val="222222"/>
                <w:sz w:val="20"/>
                <w:szCs w:val="20"/>
                <w:lang w:eastAsia="ru-RU"/>
              </w:rPr>
              <w:t>12,57</w:t>
            </w:r>
          </w:p>
        </w:tc>
        <w:tc>
          <w:tcPr>
            <w:tcW w:w="1134" w:type="dxa"/>
            <w:noWrap/>
            <w:vAlign w:val="center"/>
          </w:tcPr>
          <w:p w:rsidR="00A9213E" w:rsidRPr="004761E0" w:rsidRDefault="00A9213E" w:rsidP="005123D7">
            <w:pPr>
              <w:spacing w:line="255" w:lineRule="atLeast"/>
              <w:ind w:firstLine="0"/>
              <w:jc w:val="right"/>
              <w:rPr>
                <w:rFonts w:eastAsia="Times New Roman"/>
                <w:color w:val="222222"/>
                <w:sz w:val="20"/>
                <w:szCs w:val="20"/>
                <w:lang w:eastAsia="ru-RU"/>
              </w:rPr>
            </w:pPr>
            <w:r w:rsidRPr="004761E0">
              <w:rPr>
                <w:rFonts w:eastAsia="Times New Roman"/>
                <w:color w:val="222222"/>
                <w:sz w:val="20"/>
                <w:szCs w:val="20"/>
                <w:lang w:eastAsia="ru-RU"/>
              </w:rPr>
              <w:t>13,31</w:t>
            </w:r>
          </w:p>
        </w:tc>
        <w:tc>
          <w:tcPr>
            <w:tcW w:w="1134" w:type="dxa"/>
            <w:noWrap/>
            <w:vAlign w:val="center"/>
          </w:tcPr>
          <w:p w:rsidR="00A9213E" w:rsidRPr="004761E0" w:rsidRDefault="00A9213E" w:rsidP="005123D7">
            <w:pPr>
              <w:spacing w:line="255" w:lineRule="atLeast"/>
              <w:ind w:firstLine="0"/>
              <w:jc w:val="right"/>
              <w:rPr>
                <w:rFonts w:eastAsia="Times New Roman"/>
                <w:color w:val="222222"/>
                <w:sz w:val="20"/>
                <w:szCs w:val="20"/>
                <w:lang w:eastAsia="ru-RU"/>
              </w:rPr>
            </w:pPr>
            <w:r w:rsidRPr="004761E0">
              <w:rPr>
                <w:rFonts w:eastAsia="Times New Roman"/>
                <w:color w:val="222222"/>
                <w:sz w:val="20"/>
                <w:szCs w:val="20"/>
                <w:lang w:eastAsia="ru-RU"/>
              </w:rPr>
              <w:t>5,89 %</w:t>
            </w:r>
          </w:p>
        </w:tc>
      </w:tr>
    </w:tbl>
    <w:p w:rsidR="008E11BC" w:rsidRPr="004761E0" w:rsidRDefault="008E11BC" w:rsidP="008E11BC">
      <w:pPr>
        <w:ind w:firstLine="567"/>
        <w:rPr>
          <w:sz w:val="26"/>
          <w:szCs w:val="26"/>
          <w:lang w:eastAsia="ru-RU"/>
        </w:rPr>
      </w:pPr>
      <w:r>
        <w:rPr>
          <w:sz w:val="26"/>
          <w:szCs w:val="26"/>
          <w:lang w:eastAsia="ru-RU"/>
        </w:rPr>
        <w:t>Аналогичные д</w:t>
      </w:r>
      <w:r w:rsidRPr="004761E0">
        <w:rPr>
          <w:sz w:val="26"/>
          <w:szCs w:val="26"/>
          <w:lang w:eastAsia="ru-RU"/>
        </w:rPr>
        <w:t>анные в разбивке на г. Москву и Московскую область представлены в Приложении</w:t>
      </w:r>
      <w:r>
        <w:rPr>
          <w:sz w:val="26"/>
          <w:szCs w:val="26"/>
          <w:lang w:eastAsia="ru-RU"/>
        </w:rPr>
        <w:t xml:space="preserve"> 12.</w:t>
      </w:r>
      <w:r w:rsidR="003146BC">
        <w:rPr>
          <w:sz w:val="26"/>
          <w:szCs w:val="26"/>
          <w:lang w:eastAsia="ru-RU"/>
        </w:rPr>
        <w:t>1</w:t>
      </w:r>
      <w:r>
        <w:rPr>
          <w:sz w:val="26"/>
          <w:szCs w:val="26"/>
          <w:lang w:eastAsia="ru-RU"/>
        </w:rPr>
        <w:t>.</w:t>
      </w:r>
      <w:r w:rsidRPr="004761E0">
        <w:rPr>
          <w:sz w:val="26"/>
          <w:szCs w:val="26"/>
          <w:lang w:eastAsia="ru-RU"/>
        </w:rPr>
        <w:t xml:space="preserve"> к Годовому отчету.</w:t>
      </w:r>
    </w:p>
    <w:p w:rsidR="00A9213E" w:rsidRPr="004761E0" w:rsidRDefault="00A9213E" w:rsidP="008E11BC">
      <w:pPr>
        <w:shd w:val="clear" w:color="auto" w:fill="FFFFFF"/>
        <w:ind w:firstLine="567"/>
        <w:rPr>
          <w:rFonts w:eastAsia="Times New Roman"/>
          <w:sz w:val="26"/>
          <w:szCs w:val="26"/>
          <w:lang w:eastAsia="ru-RU"/>
        </w:rPr>
      </w:pPr>
      <w:r w:rsidRPr="004761E0">
        <w:rPr>
          <w:rFonts w:eastAsia="Times New Roman"/>
          <w:sz w:val="26"/>
          <w:szCs w:val="26"/>
          <w:lang w:eastAsia="ru-RU"/>
        </w:rPr>
        <w:t>Средняя стоимость технологического присоединения 1 МВт мощности в 2013 году снизилась на 29,37 % до 8,64 млн руб. Сокращение средней стоимости обусловлено итогами тарифного регулирования на 2013 год. За отчетный период средняя стоимость присоединения 1 МВт выросла только по категории потребителей с заявленной мощностью не менее 670 кВт. Увеличение средней стоимости присоединения 1 МВт для данной категории потребителей связано с тем, что в 2013 году Компания получила выручку за услуги присоединения по договорам с заявленной мощностью не менее 670 кВт, заключенным в прошлые годы, то есть по тарифам, превышающим тарифы, установленные на 2013 год.</w:t>
      </w:r>
    </w:p>
    <w:p w:rsidR="00A9213E" w:rsidRPr="004761E0" w:rsidRDefault="00A9213E" w:rsidP="00A9213E">
      <w:pPr>
        <w:shd w:val="clear" w:color="auto" w:fill="FFFFFF"/>
        <w:ind w:firstLine="567"/>
        <w:rPr>
          <w:rFonts w:eastAsia="Times New Roman"/>
          <w:sz w:val="26"/>
          <w:szCs w:val="26"/>
          <w:lang w:eastAsia="ru-RU"/>
        </w:rPr>
      </w:pPr>
      <w:r w:rsidRPr="004761E0">
        <w:rPr>
          <w:rFonts w:eastAsia="Times New Roman"/>
          <w:sz w:val="26"/>
          <w:szCs w:val="26"/>
          <w:lang w:eastAsia="ru-RU"/>
        </w:rPr>
        <w:t xml:space="preserve">Несмотря на то, что тариф для физических лиц с заявленной мощностью до 15 кВт, в 2013 году не изменился и составил 550 руб., средняя стоимость присоединения 1 МВт в отчетном периоде по сравнению с 2012 годом сократилась на 18,83 % до 0,03 млн руб. Снижение средней стоимости присоединения 1 МВт связано с тем, что физические лица в рамках 15 кВт подключают больше мощности при неизменном тарифе 550 руб. за </w:t>
      </w:r>
      <w:r w:rsidRPr="004761E0">
        <w:rPr>
          <w:rFonts w:eastAsia="Times New Roman"/>
          <w:sz w:val="26"/>
          <w:szCs w:val="26"/>
          <w:lang w:eastAsia="ru-RU"/>
        </w:rPr>
        <w:lastRenderedPageBreak/>
        <w:t>технологическое присоединение (физические лица при технологическом присоединении до 15 кВт вне зависимости от размера присоединяемой мощности оплачивают 550 руб.).</w:t>
      </w:r>
    </w:p>
    <w:p w:rsidR="00C53B7E" w:rsidRDefault="00A9213E" w:rsidP="00C53B7E">
      <w:pPr>
        <w:ind w:firstLine="567"/>
        <w:rPr>
          <w:sz w:val="26"/>
          <w:szCs w:val="26"/>
        </w:rPr>
      </w:pPr>
      <w:r w:rsidRPr="004761E0">
        <w:rPr>
          <w:sz w:val="26"/>
          <w:szCs w:val="26"/>
        </w:rPr>
        <w:t xml:space="preserve">Установленные для </w:t>
      </w:r>
      <w:r w:rsidR="0008080E">
        <w:rPr>
          <w:sz w:val="26"/>
          <w:szCs w:val="26"/>
        </w:rPr>
        <w:t>ОАО </w:t>
      </w:r>
      <w:r w:rsidRPr="004761E0">
        <w:rPr>
          <w:sz w:val="26"/>
          <w:szCs w:val="26"/>
        </w:rPr>
        <w:t xml:space="preserve">«МОЭСК» на территории г. Москвы и Московской области на 2013 год ставки платы за единицу максимальной мощности и стандартизированные тарифные ставки за технологическое присоединение энергопринимающих устройств потребителей электроэнергии, объектов по производству электроэнергии, а также объектов электросетевого хозяйства, принадлежащих сетевым организациям и иным лицам, с присоединяемой мощностью менее 8 900 кВт и на уровне напряжения менее 35 кВ приведены </w:t>
      </w:r>
      <w:r w:rsidR="00282FC7">
        <w:rPr>
          <w:sz w:val="26"/>
          <w:szCs w:val="26"/>
        </w:rPr>
        <w:t xml:space="preserve">в </w:t>
      </w:r>
      <w:r w:rsidRPr="004761E0">
        <w:rPr>
          <w:sz w:val="26"/>
          <w:szCs w:val="26"/>
        </w:rPr>
        <w:t>Приложении к Годовому отчету 12.</w:t>
      </w:r>
      <w:r w:rsidR="003146BC">
        <w:rPr>
          <w:sz w:val="26"/>
          <w:szCs w:val="26"/>
        </w:rPr>
        <w:t>7</w:t>
      </w:r>
      <w:r w:rsidRPr="004761E0">
        <w:rPr>
          <w:sz w:val="26"/>
          <w:szCs w:val="26"/>
        </w:rPr>
        <w:t>. «У</w:t>
      </w:r>
      <w:r w:rsidR="004344DD">
        <w:rPr>
          <w:sz w:val="26"/>
          <w:szCs w:val="26"/>
        </w:rPr>
        <w:t>становленные</w:t>
      </w:r>
      <w:r w:rsidRPr="004761E0">
        <w:rPr>
          <w:sz w:val="26"/>
          <w:szCs w:val="26"/>
        </w:rPr>
        <w:t xml:space="preserve"> ставки платы за технологическое присоединение».</w:t>
      </w:r>
      <w:r w:rsidR="00C53B7E">
        <w:rPr>
          <w:sz w:val="26"/>
          <w:szCs w:val="26"/>
        </w:rPr>
        <w:br w:type="page"/>
      </w:r>
    </w:p>
    <w:p w:rsidR="00E34ACB" w:rsidRPr="004761E0" w:rsidRDefault="00E34ACB" w:rsidP="007076A7">
      <w:pPr>
        <w:pStyle w:val="11"/>
        <w:numPr>
          <w:ilvl w:val="0"/>
          <w:numId w:val="321"/>
        </w:numPr>
        <w:spacing w:before="120" w:after="120"/>
        <w:ind w:left="1134" w:hanging="567"/>
        <w:rPr>
          <w:sz w:val="26"/>
          <w:szCs w:val="26"/>
          <w:lang w:eastAsia="ru-RU"/>
        </w:rPr>
      </w:pPr>
      <w:bookmarkStart w:id="79" w:name="_Toc380576928"/>
      <w:bookmarkStart w:id="80" w:name="_Toc385339820"/>
      <w:r w:rsidRPr="008E3C2C">
        <w:rPr>
          <w:rFonts w:ascii="Times New Roman" w:hAnsi="Times New Roman"/>
          <w:sz w:val="26"/>
          <w:szCs w:val="26"/>
          <w:lang w:eastAsia="ru-RU"/>
        </w:rPr>
        <w:lastRenderedPageBreak/>
        <w:t>Закупочная деятельность</w:t>
      </w:r>
      <w:bookmarkEnd w:id="79"/>
      <w:bookmarkEnd w:id="80"/>
    </w:p>
    <w:p w:rsidR="00136A10" w:rsidRPr="004761E0" w:rsidRDefault="00E34ACB" w:rsidP="007076A7">
      <w:pPr>
        <w:pStyle w:val="a8"/>
        <w:numPr>
          <w:ilvl w:val="1"/>
          <w:numId w:val="321"/>
        </w:numPr>
        <w:spacing w:before="120" w:after="120"/>
        <w:ind w:left="1134" w:hanging="567"/>
        <w:jc w:val="both"/>
        <w:rPr>
          <w:rFonts w:ascii="Times New Roman" w:hAnsi="Times New Roman"/>
          <w:b/>
          <w:sz w:val="26"/>
          <w:szCs w:val="26"/>
        </w:rPr>
      </w:pPr>
      <w:bookmarkStart w:id="81" w:name="_Toc380576929"/>
      <w:bookmarkStart w:id="82" w:name="_Toc385339821"/>
      <w:r w:rsidRPr="004761E0">
        <w:rPr>
          <w:rFonts w:ascii="Times New Roman" w:hAnsi="Times New Roman"/>
          <w:b/>
          <w:sz w:val="26"/>
          <w:szCs w:val="26"/>
        </w:rPr>
        <w:t>Интервью заместителя генерального директора по логистике и МТО</w:t>
      </w:r>
      <w:bookmarkEnd w:id="81"/>
      <w:bookmarkEnd w:id="82"/>
    </w:p>
    <w:p w:rsidR="003B0EA7" w:rsidRPr="009817EE" w:rsidRDefault="003B0EA7" w:rsidP="009817EE">
      <w:pPr>
        <w:spacing w:before="120" w:after="120"/>
        <w:ind w:firstLine="567"/>
        <w:rPr>
          <w:b/>
          <w:sz w:val="26"/>
          <w:szCs w:val="26"/>
        </w:rPr>
      </w:pPr>
      <w:r w:rsidRPr="009817EE">
        <w:rPr>
          <w:b/>
          <w:sz w:val="26"/>
          <w:szCs w:val="26"/>
        </w:rPr>
        <w:t>Каковы основные результаты деятельности в отчетном году в рамках курируемого направления?</w:t>
      </w:r>
    </w:p>
    <w:p w:rsidR="003B0EA7" w:rsidRPr="004761E0" w:rsidRDefault="003B0EA7" w:rsidP="003B0EA7">
      <w:pPr>
        <w:ind w:firstLine="567"/>
        <w:rPr>
          <w:bCs/>
          <w:sz w:val="26"/>
          <w:szCs w:val="26"/>
        </w:rPr>
      </w:pPr>
      <w:r w:rsidRPr="004761E0">
        <w:rPr>
          <w:sz w:val="26"/>
          <w:szCs w:val="26"/>
        </w:rPr>
        <w:t>По факту за 2013 год проведен</w:t>
      </w:r>
      <w:r w:rsidR="00E020B0">
        <w:rPr>
          <w:sz w:val="26"/>
          <w:szCs w:val="26"/>
        </w:rPr>
        <w:t>о</w:t>
      </w:r>
      <w:r w:rsidRPr="004761E0">
        <w:rPr>
          <w:sz w:val="26"/>
          <w:szCs w:val="26"/>
        </w:rPr>
        <w:t xml:space="preserve"> 3 496 закупок на общую сумму </w:t>
      </w:r>
      <w:r w:rsidRPr="004761E0">
        <w:rPr>
          <w:bCs/>
          <w:sz w:val="26"/>
          <w:szCs w:val="26"/>
        </w:rPr>
        <w:t>85</w:t>
      </w:r>
      <w:r w:rsidR="00E20573" w:rsidRPr="004761E0">
        <w:rPr>
          <w:bCs/>
          <w:sz w:val="26"/>
          <w:szCs w:val="26"/>
        </w:rPr>
        <w:t> </w:t>
      </w:r>
      <w:r w:rsidRPr="004761E0">
        <w:rPr>
          <w:bCs/>
          <w:sz w:val="26"/>
          <w:szCs w:val="26"/>
        </w:rPr>
        <w:t>83</w:t>
      </w:r>
      <w:r w:rsidR="00E20573" w:rsidRPr="004761E0">
        <w:rPr>
          <w:bCs/>
          <w:sz w:val="26"/>
          <w:szCs w:val="26"/>
        </w:rPr>
        <w:t>3 млн руб</w:t>
      </w:r>
      <w:r w:rsidRPr="004761E0">
        <w:rPr>
          <w:bCs/>
          <w:sz w:val="26"/>
          <w:szCs w:val="26"/>
        </w:rPr>
        <w:t>. с НДС.</w:t>
      </w:r>
    </w:p>
    <w:p w:rsidR="003B0EA7" w:rsidRPr="004761E0" w:rsidRDefault="003B0EA7" w:rsidP="003B0EA7">
      <w:pPr>
        <w:ind w:firstLine="567"/>
        <w:rPr>
          <w:bCs/>
          <w:sz w:val="26"/>
          <w:szCs w:val="26"/>
        </w:rPr>
      </w:pPr>
      <w:r w:rsidRPr="004761E0">
        <w:rPr>
          <w:sz w:val="26"/>
          <w:szCs w:val="26"/>
        </w:rPr>
        <w:t>В том числе открытыми способами  закупок (конкурсами, запросами предложений, конкурентными переговорами, закрытыми запросами цен по результатам открытых конкурентных переговоров) 3 311 закупок на сумму</w:t>
      </w:r>
      <w:r w:rsidR="00E20573" w:rsidRPr="004761E0">
        <w:rPr>
          <w:sz w:val="26"/>
          <w:szCs w:val="26"/>
        </w:rPr>
        <w:t xml:space="preserve"> </w:t>
      </w:r>
      <w:r w:rsidRPr="004761E0">
        <w:rPr>
          <w:sz w:val="26"/>
          <w:szCs w:val="26"/>
        </w:rPr>
        <w:t>84</w:t>
      </w:r>
      <w:r w:rsidR="00E20573" w:rsidRPr="004761E0">
        <w:rPr>
          <w:sz w:val="26"/>
          <w:szCs w:val="26"/>
        </w:rPr>
        <w:t> </w:t>
      </w:r>
      <w:r w:rsidRPr="004761E0">
        <w:rPr>
          <w:sz w:val="26"/>
          <w:szCs w:val="26"/>
        </w:rPr>
        <w:t>663</w:t>
      </w:r>
      <w:r w:rsidR="00E20573" w:rsidRPr="004761E0">
        <w:rPr>
          <w:sz w:val="26"/>
          <w:szCs w:val="26"/>
        </w:rPr>
        <w:t xml:space="preserve"> млн</w:t>
      </w:r>
      <w:r w:rsidR="0009022B">
        <w:rPr>
          <w:sz w:val="26"/>
          <w:szCs w:val="26"/>
        </w:rPr>
        <w:t xml:space="preserve"> руб. с НДС</w:t>
      </w:r>
      <w:r w:rsidRPr="004761E0">
        <w:rPr>
          <w:sz w:val="26"/>
          <w:szCs w:val="26"/>
        </w:rPr>
        <w:t xml:space="preserve"> </w:t>
      </w:r>
      <w:r w:rsidRPr="004761E0">
        <w:rPr>
          <w:bCs/>
          <w:sz w:val="26"/>
          <w:szCs w:val="26"/>
        </w:rPr>
        <w:t>(99 % от общего объема закупок в стоимостном выражении).</w:t>
      </w:r>
    </w:p>
    <w:p w:rsidR="003B0EA7" w:rsidRPr="004761E0" w:rsidRDefault="003B0EA7" w:rsidP="003B0EA7">
      <w:pPr>
        <w:ind w:firstLine="567"/>
        <w:rPr>
          <w:sz w:val="26"/>
          <w:szCs w:val="26"/>
        </w:rPr>
      </w:pPr>
      <w:r w:rsidRPr="004761E0">
        <w:rPr>
          <w:sz w:val="26"/>
          <w:szCs w:val="26"/>
        </w:rPr>
        <w:t>Доля закупок у единственного источника составила 1 % от общего объема закупок в стоимостном выражении.</w:t>
      </w:r>
    </w:p>
    <w:p w:rsidR="003B0EA7" w:rsidRPr="004761E0" w:rsidRDefault="003B0EA7" w:rsidP="003B0EA7">
      <w:pPr>
        <w:ind w:firstLine="567"/>
        <w:rPr>
          <w:sz w:val="26"/>
          <w:szCs w:val="26"/>
        </w:rPr>
      </w:pPr>
      <w:r w:rsidRPr="004761E0">
        <w:rPr>
          <w:sz w:val="26"/>
          <w:szCs w:val="26"/>
        </w:rPr>
        <w:t>Получен экономический</w:t>
      </w:r>
      <w:r w:rsidR="00E20573" w:rsidRPr="004761E0">
        <w:rPr>
          <w:sz w:val="26"/>
          <w:szCs w:val="26"/>
        </w:rPr>
        <w:t xml:space="preserve"> эффект по итогам проведения </w:t>
      </w:r>
      <w:r w:rsidRPr="004761E0">
        <w:rPr>
          <w:sz w:val="26"/>
          <w:szCs w:val="26"/>
        </w:rPr>
        <w:t>закупочных процедур за</w:t>
      </w:r>
      <w:r w:rsidR="00E20573" w:rsidRPr="004761E0">
        <w:rPr>
          <w:sz w:val="26"/>
          <w:szCs w:val="26"/>
        </w:rPr>
        <w:t xml:space="preserve"> 2013 год </w:t>
      </w:r>
      <w:r w:rsidRPr="004761E0">
        <w:rPr>
          <w:sz w:val="26"/>
          <w:szCs w:val="26"/>
        </w:rPr>
        <w:t>на сумму 8</w:t>
      </w:r>
      <w:r w:rsidR="00E20573" w:rsidRPr="004761E0">
        <w:rPr>
          <w:sz w:val="26"/>
          <w:szCs w:val="26"/>
        </w:rPr>
        <w:t> </w:t>
      </w:r>
      <w:r w:rsidRPr="004761E0">
        <w:rPr>
          <w:sz w:val="26"/>
          <w:szCs w:val="26"/>
        </w:rPr>
        <w:t>709</w:t>
      </w:r>
      <w:r w:rsidR="00E20573" w:rsidRPr="004761E0">
        <w:rPr>
          <w:sz w:val="26"/>
          <w:szCs w:val="26"/>
        </w:rPr>
        <w:t xml:space="preserve"> млн руб. </w:t>
      </w:r>
      <w:r w:rsidRPr="004761E0">
        <w:rPr>
          <w:sz w:val="26"/>
          <w:szCs w:val="26"/>
        </w:rPr>
        <w:t>с НДС или 9,21 % от плановой объявленной стоимости закупок.</w:t>
      </w:r>
    </w:p>
    <w:p w:rsidR="003B0EA7" w:rsidRPr="004761E0" w:rsidRDefault="003B0EA7" w:rsidP="004E121E">
      <w:pPr>
        <w:spacing w:before="120" w:after="120"/>
        <w:ind w:firstLine="567"/>
        <w:jc w:val="left"/>
        <w:rPr>
          <w:b/>
          <w:sz w:val="26"/>
          <w:szCs w:val="26"/>
        </w:rPr>
      </w:pPr>
      <w:r w:rsidRPr="004761E0">
        <w:rPr>
          <w:b/>
          <w:sz w:val="26"/>
          <w:szCs w:val="26"/>
        </w:rPr>
        <w:t xml:space="preserve">Каким образом результаты деятельности в рамках курируемого направления повлияли в отчетном году на повышение открытости / прозрачности деятельности </w:t>
      </w:r>
      <w:r w:rsidR="0008080E">
        <w:rPr>
          <w:b/>
          <w:sz w:val="26"/>
          <w:szCs w:val="26"/>
        </w:rPr>
        <w:t>ОАО </w:t>
      </w:r>
      <w:r w:rsidRPr="004761E0">
        <w:rPr>
          <w:b/>
          <w:sz w:val="26"/>
          <w:szCs w:val="26"/>
        </w:rPr>
        <w:t>«МОЭСК»?</w:t>
      </w:r>
    </w:p>
    <w:p w:rsidR="003B0EA7" w:rsidRPr="004761E0" w:rsidRDefault="003B0EA7" w:rsidP="003B0EA7">
      <w:pPr>
        <w:ind w:firstLine="567"/>
        <w:rPr>
          <w:sz w:val="26"/>
          <w:szCs w:val="26"/>
        </w:rPr>
      </w:pPr>
      <w:r w:rsidRPr="004761E0">
        <w:rPr>
          <w:sz w:val="26"/>
          <w:szCs w:val="26"/>
        </w:rPr>
        <w:t xml:space="preserve">В 2013 году </w:t>
      </w:r>
      <w:r w:rsidR="00E20573" w:rsidRPr="004761E0">
        <w:rPr>
          <w:sz w:val="26"/>
          <w:szCs w:val="26"/>
        </w:rPr>
        <w:t>п</w:t>
      </w:r>
      <w:r w:rsidRPr="004761E0">
        <w:rPr>
          <w:sz w:val="26"/>
          <w:szCs w:val="26"/>
        </w:rPr>
        <w:t>оведены мероприятия, направленные на снижение доли закупок у единственного источника и, соответственно, повышение доли открытых закупочных процедур.</w:t>
      </w:r>
    </w:p>
    <w:p w:rsidR="003B0EA7" w:rsidRPr="004761E0" w:rsidRDefault="003B0EA7" w:rsidP="003B0EA7">
      <w:pPr>
        <w:ind w:firstLine="567"/>
        <w:rPr>
          <w:sz w:val="26"/>
          <w:szCs w:val="26"/>
        </w:rPr>
      </w:pPr>
      <w:r w:rsidRPr="004761E0">
        <w:rPr>
          <w:sz w:val="26"/>
          <w:szCs w:val="26"/>
        </w:rPr>
        <w:t>Преобладание открытых процедур закупок обеспечивает прозрачность и формирование оптимальной рыночной цены закупки. Доля открытых закупочных процедур (открытые конкурсы, запросы предложений, конкурентные переговоры, закрытые запросы цен по результатам открытых конкурентных переговоров) в структуре закупок 2013 года составила 95</w:t>
      </w:r>
      <w:r w:rsidR="006C1AA1">
        <w:rPr>
          <w:sz w:val="26"/>
          <w:szCs w:val="26"/>
        </w:rPr>
        <w:t> </w:t>
      </w:r>
      <w:r w:rsidRPr="004761E0">
        <w:rPr>
          <w:sz w:val="26"/>
          <w:szCs w:val="26"/>
        </w:rPr>
        <w:t>% от общего количества закупок и 99</w:t>
      </w:r>
      <w:r w:rsidR="006C1AA1">
        <w:rPr>
          <w:sz w:val="26"/>
          <w:szCs w:val="26"/>
        </w:rPr>
        <w:t> </w:t>
      </w:r>
      <w:r w:rsidRPr="004761E0">
        <w:rPr>
          <w:sz w:val="26"/>
          <w:szCs w:val="26"/>
        </w:rPr>
        <w:t>% от общего объема закупок в стоимостном выражении. Применение электронной  торговой площадки b2b-energo.ru обеспечивает конкурентную среду закупок и повышение эффективности закупочной деятельности. В 2013 году объем закупочных процедур, проведенных с помощью средств электронной коммерции, составил 9</w:t>
      </w:r>
      <w:r w:rsidR="00012E78">
        <w:rPr>
          <w:sz w:val="26"/>
          <w:szCs w:val="26"/>
        </w:rPr>
        <w:t>8</w:t>
      </w:r>
      <w:r w:rsidRPr="004761E0">
        <w:rPr>
          <w:sz w:val="26"/>
          <w:szCs w:val="26"/>
        </w:rPr>
        <w:t xml:space="preserve"> % от общего объема з</w:t>
      </w:r>
      <w:r w:rsidR="004E121E" w:rsidRPr="004761E0">
        <w:rPr>
          <w:sz w:val="26"/>
          <w:szCs w:val="26"/>
        </w:rPr>
        <w:t>акупок в стоимостном выражении.</w:t>
      </w:r>
    </w:p>
    <w:p w:rsidR="003B0EA7" w:rsidRPr="004761E0" w:rsidRDefault="003B0EA7" w:rsidP="004E121E">
      <w:pPr>
        <w:spacing w:before="120" w:after="120"/>
        <w:ind w:firstLine="567"/>
        <w:jc w:val="left"/>
        <w:rPr>
          <w:b/>
          <w:sz w:val="26"/>
          <w:szCs w:val="26"/>
        </w:rPr>
      </w:pPr>
      <w:r w:rsidRPr="004761E0">
        <w:rPr>
          <w:b/>
          <w:sz w:val="26"/>
          <w:szCs w:val="26"/>
        </w:rPr>
        <w:t>Появились ли в рамках курируемого направления новые бизнес-процессы (если да, то необходимо их вкратце описать)?</w:t>
      </w:r>
    </w:p>
    <w:p w:rsidR="003B0EA7" w:rsidRPr="004761E0" w:rsidRDefault="003B0EA7" w:rsidP="003B0EA7">
      <w:pPr>
        <w:ind w:firstLine="567"/>
        <w:rPr>
          <w:sz w:val="26"/>
          <w:szCs w:val="26"/>
        </w:rPr>
      </w:pPr>
      <w:r w:rsidRPr="004761E0">
        <w:rPr>
          <w:sz w:val="26"/>
          <w:szCs w:val="26"/>
        </w:rPr>
        <w:t xml:space="preserve">В связи </w:t>
      </w:r>
      <w:r w:rsidR="00E020B0">
        <w:rPr>
          <w:sz w:val="26"/>
          <w:szCs w:val="26"/>
        </w:rPr>
        <w:t>с большим объемом закупок</w:t>
      </w:r>
      <w:r w:rsidRPr="004761E0">
        <w:rPr>
          <w:sz w:val="26"/>
          <w:szCs w:val="26"/>
        </w:rPr>
        <w:t xml:space="preserve"> с целью ускорения сроков проведения закупочных процедур распределены полномочия между исполнительным аппаратом и филиалами в части проведения торгов на выполнение подрядных работ для реализации договоров технологического присоединения в форме закрытых запросов цен по результатам открытых конкурентных переговоров с первоначальной стоимостью до 5</w:t>
      </w:r>
      <w:r w:rsidR="006C1AA1">
        <w:rPr>
          <w:sz w:val="26"/>
          <w:szCs w:val="26"/>
        </w:rPr>
        <w:t> </w:t>
      </w:r>
      <w:r w:rsidRPr="004761E0">
        <w:rPr>
          <w:sz w:val="26"/>
          <w:szCs w:val="26"/>
        </w:rPr>
        <w:t xml:space="preserve">млн руб. с НДС. </w:t>
      </w:r>
    </w:p>
    <w:p w:rsidR="003B0EA7" w:rsidRPr="004761E0" w:rsidRDefault="003B0EA7" w:rsidP="009817EE">
      <w:pPr>
        <w:spacing w:before="120" w:after="120"/>
        <w:ind w:firstLine="567"/>
        <w:rPr>
          <w:b/>
          <w:sz w:val="26"/>
          <w:szCs w:val="26"/>
        </w:rPr>
      </w:pPr>
      <w:r w:rsidRPr="004761E0">
        <w:rPr>
          <w:b/>
          <w:sz w:val="26"/>
          <w:szCs w:val="26"/>
        </w:rPr>
        <w:t>Каковы основные планы на следующий год и среднесрочную перспективу?</w:t>
      </w:r>
    </w:p>
    <w:p w:rsidR="00012E78" w:rsidRPr="00012E78" w:rsidRDefault="003B0EA7" w:rsidP="00012E78">
      <w:pPr>
        <w:pStyle w:val="a5"/>
        <w:ind w:left="0" w:firstLine="567"/>
        <w:rPr>
          <w:rFonts w:eastAsia="Times New Roman"/>
          <w:sz w:val="26"/>
          <w:szCs w:val="26"/>
          <w:lang w:eastAsia="ru-RU"/>
        </w:rPr>
      </w:pPr>
      <w:r w:rsidRPr="004761E0">
        <w:rPr>
          <w:rFonts w:eastAsia="Times New Roman"/>
          <w:sz w:val="26"/>
          <w:szCs w:val="26"/>
          <w:lang w:eastAsia="ru-RU"/>
        </w:rPr>
        <w:t xml:space="preserve">На 2014 год в части закупочной деятельности Общества планируется выполнение следующих стратегических задач: обеспечение доли закупок у единственного источника на минимальном уровне; увеличение доли закупок у производителей и их официальных представителей; снижение стоимости закупаемого электротехнического оборудования; </w:t>
      </w:r>
      <w:r w:rsidRPr="004761E0">
        <w:rPr>
          <w:rFonts w:eastAsia="Times New Roman"/>
          <w:sz w:val="26"/>
          <w:szCs w:val="26"/>
          <w:lang w:eastAsia="ru-RU"/>
        </w:rPr>
        <w:lastRenderedPageBreak/>
        <w:t>сокращение сроков проведения закупочных процедур для реализации договоров технологического присоединения.</w:t>
      </w:r>
      <w:r w:rsidR="00012E78">
        <w:rPr>
          <w:rFonts w:eastAsia="Times New Roman"/>
          <w:sz w:val="26"/>
          <w:szCs w:val="26"/>
          <w:lang w:eastAsia="ru-RU"/>
        </w:rPr>
        <w:t xml:space="preserve"> </w:t>
      </w:r>
      <w:r w:rsidR="00012E78" w:rsidRPr="00012E78">
        <w:rPr>
          <w:rFonts w:eastAsia="Times New Roman"/>
          <w:sz w:val="26"/>
          <w:szCs w:val="26"/>
          <w:lang w:eastAsia="ru-RU"/>
        </w:rPr>
        <w:t>Поддержание доли участия в закупочных процедурах для нужд Общества субъектов малого и среднего предпринимательства на уровне</w:t>
      </w:r>
      <w:r w:rsidR="00A57984">
        <w:rPr>
          <w:rFonts w:eastAsia="Times New Roman"/>
          <w:sz w:val="26"/>
          <w:szCs w:val="26"/>
          <w:lang w:eastAsia="ru-RU"/>
        </w:rPr>
        <w:t xml:space="preserve">, соответствующем </w:t>
      </w:r>
      <w:r w:rsidR="00012E78" w:rsidRPr="00012E78">
        <w:rPr>
          <w:rFonts w:eastAsia="Times New Roman"/>
          <w:sz w:val="26"/>
          <w:szCs w:val="26"/>
          <w:lang w:eastAsia="ru-RU"/>
        </w:rPr>
        <w:t>нормативным и распорядительным документам Правительства РФ.</w:t>
      </w:r>
    </w:p>
    <w:p w:rsidR="008E3C2C" w:rsidRDefault="008E3C2C">
      <w:pPr>
        <w:ind w:firstLine="0"/>
        <w:jc w:val="left"/>
        <w:rPr>
          <w:rFonts w:eastAsia="Times New Roman"/>
          <w:sz w:val="26"/>
          <w:szCs w:val="26"/>
          <w:lang w:eastAsia="ru-RU"/>
        </w:rPr>
      </w:pPr>
      <w:r>
        <w:rPr>
          <w:rFonts w:eastAsia="Times New Roman"/>
          <w:sz w:val="26"/>
          <w:szCs w:val="26"/>
          <w:lang w:eastAsia="ru-RU"/>
        </w:rPr>
        <w:br w:type="page"/>
      </w:r>
    </w:p>
    <w:p w:rsidR="00136A10" w:rsidRPr="004761E0" w:rsidRDefault="00E34ACB" w:rsidP="007076A7">
      <w:pPr>
        <w:pStyle w:val="a8"/>
        <w:numPr>
          <w:ilvl w:val="1"/>
          <w:numId w:val="321"/>
        </w:numPr>
        <w:spacing w:before="120" w:after="120"/>
        <w:ind w:left="1134" w:hanging="567"/>
        <w:jc w:val="both"/>
        <w:rPr>
          <w:rFonts w:ascii="Times New Roman" w:hAnsi="Times New Roman"/>
          <w:b/>
          <w:sz w:val="26"/>
          <w:szCs w:val="26"/>
          <w:lang w:eastAsia="ru-RU"/>
        </w:rPr>
      </w:pPr>
      <w:bookmarkStart w:id="83" w:name="_Toc380576930"/>
      <w:bookmarkStart w:id="84" w:name="_Toc385339822"/>
      <w:r w:rsidRPr="004761E0">
        <w:rPr>
          <w:rFonts w:ascii="Times New Roman" w:hAnsi="Times New Roman"/>
          <w:b/>
          <w:sz w:val="26"/>
          <w:szCs w:val="26"/>
        </w:rPr>
        <w:lastRenderedPageBreak/>
        <w:t>Результаты за</w:t>
      </w:r>
      <w:r w:rsidR="00136A10" w:rsidRPr="004761E0">
        <w:rPr>
          <w:rFonts w:ascii="Times New Roman" w:hAnsi="Times New Roman"/>
          <w:b/>
          <w:sz w:val="26"/>
          <w:szCs w:val="26"/>
        </w:rPr>
        <w:t>купочной деятельности</w:t>
      </w:r>
      <w:bookmarkEnd w:id="83"/>
      <w:bookmarkEnd w:id="84"/>
    </w:p>
    <w:p w:rsidR="004B5B33" w:rsidRPr="004761E0" w:rsidRDefault="004B5B33" w:rsidP="004B5B33">
      <w:pPr>
        <w:ind w:firstLine="567"/>
        <w:rPr>
          <w:sz w:val="26"/>
          <w:szCs w:val="26"/>
        </w:rPr>
      </w:pPr>
      <w:r w:rsidRPr="004761E0">
        <w:rPr>
          <w:sz w:val="26"/>
          <w:szCs w:val="26"/>
        </w:rPr>
        <w:t>Деятельность Общества в области проведения и организации закупок товаров, работ и услуг основана на принципах открытости и прозрачности, приоритета конкурентных способов проведения закупок, тщательного планирования потребности в продукции, честного и разумного выбора наиболее предпочтительных предложений при комплексном анализе выгод и издержек (прежде всего цены и качества продукции), что соответствует общим тенденциям развития системы закупок в электроэнергетике, политике государства в области контроля деятельности естественных монополий и общим тенденциям развития рыночных отношений.</w:t>
      </w:r>
    </w:p>
    <w:p w:rsidR="004B5B33" w:rsidRPr="004761E0" w:rsidRDefault="004B5B33" w:rsidP="004B5B33">
      <w:pPr>
        <w:ind w:firstLine="567"/>
        <w:rPr>
          <w:sz w:val="26"/>
          <w:szCs w:val="26"/>
        </w:rPr>
      </w:pPr>
      <w:r w:rsidRPr="004761E0">
        <w:rPr>
          <w:sz w:val="26"/>
          <w:szCs w:val="26"/>
        </w:rPr>
        <w:t>Закупочная деятельность регламентируется следующими документами:</w:t>
      </w:r>
    </w:p>
    <w:p w:rsidR="004B5B33" w:rsidRPr="004761E0" w:rsidRDefault="004B5B33" w:rsidP="007076A7">
      <w:pPr>
        <w:pStyle w:val="a5"/>
        <w:numPr>
          <w:ilvl w:val="0"/>
          <w:numId w:val="190"/>
        </w:numPr>
        <w:ind w:left="1134" w:hanging="567"/>
        <w:rPr>
          <w:sz w:val="26"/>
          <w:szCs w:val="26"/>
        </w:rPr>
      </w:pPr>
      <w:bookmarkStart w:id="85" w:name="_Toc235419485"/>
      <w:r w:rsidRPr="004761E0">
        <w:rPr>
          <w:sz w:val="26"/>
          <w:szCs w:val="26"/>
        </w:rPr>
        <w:t>нормами действующего законодательства РФ;</w:t>
      </w:r>
      <w:bookmarkEnd w:id="85"/>
    </w:p>
    <w:p w:rsidR="004B5B33" w:rsidRPr="004761E0" w:rsidRDefault="004B5B33" w:rsidP="007076A7">
      <w:pPr>
        <w:pStyle w:val="a5"/>
        <w:numPr>
          <w:ilvl w:val="0"/>
          <w:numId w:val="190"/>
        </w:numPr>
        <w:ind w:left="1134" w:hanging="567"/>
        <w:rPr>
          <w:sz w:val="26"/>
          <w:szCs w:val="26"/>
        </w:rPr>
      </w:pPr>
      <w:r w:rsidRPr="004761E0">
        <w:rPr>
          <w:sz w:val="26"/>
          <w:szCs w:val="26"/>
        </w:rPr>
        <w:t>международными стандартами в области систем менеджмента: ISO серии 9000 (по системе менеджмента качества), 14000 (по экологическому менеджменту), стандартами OHSAS 18001 (по системе менеджмента профессионального здоровья и безопасности);</w:t>
      </w:r>
    </w:p>
    <w:p w:rsidR="004B5B33" w:rsidRPr="004761E0" w:rsidRDefault="004B5B33" w:rsidP="007076A7">
      <w:pPr>
        <w:pStyle w:val="a5"/>
        <w:numPr>
          <w:ilvl w:val="0"/>
          <w:numId w:val="190"/>
        </w:numPr>
        <w:ind w:left="1134" w:hanging="567"/>
        <w:rPr>
          <w:sz w:val="26"/>
          <w:szCs w:val="26"/>
        </w:rPr>
      </w:pPr>
      <w:r w:rsidRPr="004761E0">
        <w:rPr>
          <w:sz w:val="26"/>
          <w:szCs w:val="26"/>
        </w:rPr>
        <w:t xml:space="preserve">Положением о закупке товаров, работ и услуг для нужд </w:t>
      </w:r>
      <w:r w:rsidR="0008080E">
        <w:rPr>
          <w:sz w:val="26"/>
          <w:szCs w:val="26"/>
        </w:rPr>
        <w:t>ОАО </w:t>
      </w:r>
      <w:r w:rsidRPr="004761E0">
        <w:rPr>
          <w:sz w:val="26"/>
          <w:szCs w:val="26"/>
        </w:rPr>
        <w:t>«МОЭСК»;</w:t>
      </w:r>
    </w:p>
    <w:p w:rsidR="004B5B33" w:rsidRPr="004761E0" w:rsidRDefault="004B5B33" w:rsidP="007076A7">
      <w:pPr>
        <w:pStyle w:val="a5"/>
        <w:numPr>
          <w:ilvl w:val="0"/>
          <w:numId w:val="190"/>
        </w:numPr>
        <w:ind w:left="1134" w:hanging="567"/>
        <w:rPr>
          <w:sz w:val="26"/>
          <w:szCs w:val="26"/>
        </w:rPr>
      </w:pPr>
      <w:r w:rsidRPr="004761E0">
        <w:rPr>
          <w:sz w:val="26"/>
          <w:szCs w:val="26"/>
        </w:rPr>
        <w:t>политиками Общества в области качества, охраны труда, профессионального здоровья и безопасности, экологии.</w:t>
      </w:r>
    </w:p>
    <w:p w:rsidR="004B5B33" w:rsidRPr="004761E0" w:rsidRDefault="004B5B33" w:rsidP="004B5B33">
      <w:pPr>
        <w:ind w:firstLine="567"/>
        <w:rPr>
          <w:sz w:val="26"/>
          <w:szCs w:val="26"/>
        </w:rPr>
      </w:pPr>
      <w:r w:rsidRPr="004761E0">
        <w:rPr>
          <w:sz w:val="26"/>
          <w:szCs w:val="26"/>
        </w:rPr>
        <w:t xml:space="preserve">В целях совершенствования закупочной деятельности утверждено новое Положение о закупке товаров, работ и услуг для нужд </w:t>
      </w:r>
      <w:r w:rsidR="0008080E">
        <w:rPr>
          <w:sz w:val="26"/>
          <w:szCs w:val="26"/>
        </w:rPr>
        <w:t>ОАО </w:t>
      </w:r>
      <w:r w:rsidRPr="004761E0">
        <w:rPr>
          <w:sz w:val="26"/>
          <w:szCs w:val="26"/>
        </w:rPr>
        <w:t>«МОЭСК</w:t>
      </w:r>
      <w:r w:rsidRPr="004761E0">
        <w:rPr>
          <w:bCs/>
          <w:sz w:val="26"/>
          <w:szCs w:val="26"/>
        </w:rPr>
        <w:t>»</w:t>
      </w:r>
      <w:r w:rsidRPr="006F4AB8">
        <w:rPr>
          <w:rStyle w:val="af1"/>
        </w:rPr>
        <w:footnoteReference w:id="84"/>
      </w:r>
      <w:r w:rsidRPr="004761E0">
        <w:rPr>
          <w:bCs/>
          <w:sz w:val="26"/>
          <w:szCs w:val="26"/>
        </w:rPr>
        <w:t xml:space="preserve"> (далее в разделе – Положение о закупке). Документ </w:t>
      </w:r>
      <w:r w:rsidRPr="004761E0">
        <w:rPr>
          <w:sz w:val="26"/>
          <w:szCs w:val="26"/>
        </w:rPr>
        <w:t>предусматривает следующие изменения:</w:t>
      </w:r>
    </w:p>
    <w:p w:rsidR="004B5B33" w:rsidRPr="004761E0" w:rsidRDefault="004B5B33" w:rsidP="007076A7">
      <w:pPr>
        <w:pStyle w:val="a5"/>
        <w:numPr>
          <w:ilvl w:val="0"/>
          <w:numId w:val="189"/>
        </w:numPr>
        <w:tabs>
          <w:tab w:val="left" w:pos="1134"/>
        </w:tabs>
        <w:ind w:left="1134" w:hanging="567"/>
        <w:contextualSpacing w:val="0"/>
        <w:rPr>
          <w:sz w:val="26"/>
          <w:szCs w:val="26"/>
        </w:rPr>
      </w:pPr>
      <w:r w:rsidRPr="004761E0">
        <w:rPr>
          <w:sz w:val="26"/>
          <w:szCs w:val="26"/>
        </w:rPr>
        <w:t>введены новые способы проведения закупок: «мелкая закупка» до 100 тыс. руб. с НДС и «простая закупка» от 100 тыс. до 500 тыс. руб</w:t>
      </w:r>
      <w:r w:rsidR="00012E78">
        <w:rPr>
          <w:sz w:val="26"/>
          <w:szCs w:val="26"/>
        </w:rPr>
        <w:t>. с НДС, разработан порядок их проведения</w:t>
      </w:r>
      <w:r w:rsidRPr="004761E0">
        <w:rPr>
          <w:sz w:val="26"/>
          <w:szCs w:val="26"/>
        </w:rPr>
        <w:t>;</w:t>
      </w:r>
    </w:p>
    <w:p w:rsidR="004B5B33" w:rsidRPr="004761E0" w:rsidRDefault="004B5B33" w:rsidP="007076A7">
      <w:pPr>
        <w:pStyle w:val="a5"/>
        <w:numPr>
          <w:ilvl w:val="0"/>
          <w:numId w:val="189"/>
        </w:numPr>
        <w:tabs>
          <w:tab w:val="left" w:pos="1134"/>
        </w:tabs>
        <w:autoSpaceDE w:val="0"/>
        <w:autoSpaceDN w:val="0"/>
        <w:adjustRightInd w:val="0"/>
        <w:ind w:left="1134" w:hanging="567"/>
        <w:contextualSpacing w:val="0"/>
        <w:rPr>
          <w:sz w:val="26"/>
          <w:szCs w:val="26"/>
        </w:rPr>
      </w:pPr>
      <w:r w:rsidRPr="004761E0">
        <w:rPr>
          <w:sz w:val="26"/>
          <w:szCs w:val="26"/>
        </w:rPr>
        <w:t>те</w:t>
      </w:r>
      <w:r w:rsidRPr="004761E0">
        <w:rPr>
          <w:spacing w:val="1"/>
          <w:sz w:val="26"/>
          <w:szCs w:val="26"/>
        </w:rPr>
        <w:t>р</w:t>
      </w:r>
      <w:r w:rsidRPr="004761E0">
        <w:rPr>
          <w:spacing w:val="-2"/>
          <w:sz w:val="26"/>
          <w:szCs w:val="26"/>
        </w:rPr>
        <w:t>м</w:t>
      </w:r>
      <w:r w:rsidRPr="004761E0">
        <w:rPr>
          <w:spacing w:val="-1"/>
          <w:sz w:val="26"/>
          <w:szCs w:val="26"/>
        </w:rPr>
        <w:t>и</w:t>
      </w:r>
      <w:r w:rsidRPr="004761E0">
        <w:rPr>
          <w:sz w:val="26"/>
          <w:szCs w:val="26"/>
        </w:rPr>
        <w:t>н</w:t>
      </w:r>
      <w:r w:rsidRPr="004761E0">
        <w:rPr>
          <w:spacing w:val="25"/>
          <w:sz w:val="26"/>
          <w:szCs w:val="26"/>
        </w:rPr>
        <w:t xml:space="preserve"> «</w:t>
      </w:r>
      <w:r w:rsidRPr="004761E0">
        <w:rPr>
          <w:spacing w:val="-1"/>
          <w:sz w:val="26"/>
          <w:szCs w:val="26"/>
        </w:rPr>
        <w:t>Г</w:t>
      </w:r>
      <w:r w:rsidRPr="004761E0">
        <w:rPr>
          <w:spacing w:val="1"/>
          <w:sz w:val="26"/>
          <w:szCs w:val="26"/>
        </w:rPr>
        <w:t>о</w:t>
      </w:r>
      <w:r w:rsidRPr="004761E0">
        <w:rPr>
          <w:spacing w:val="-1"/>
          <w:sz w:val="26"/>
          <w:szCs w:val="26"/>
        </w:rPr>
        <w:t>д</w:t>
      </w:r>
      <w:r w:rsidRPr="004761E0">
        <w:rPr>
          <w:spacing w:val="1"/>
          <w:sz w:val="26"/>
          <w:szCs w:val="26"/>
        </w:rPr>
        <w:t>о</w:t>
      </w:r>
      <w:r w:rsidRPr="004761E0">
        <w:rPr>
          <w:spacing w:val="-1"/>
          <w:sz w:val="26"/>
          <w:szCs w:val="26"/>
        </w:rPr>
        <w:t>в</w:t>
      </w:r>
      <w:r w:rsidRPr="004761E0">
        <w:rPr>
          <w:spacing w:val="-2"/>
          <w:sz w:val="26"/>
          <w:szCs w:val="26"/>
        </w:rPr>
        <w:t>а</w:t>
      </w:r>
      <w:r w:rsidRPr="004761E0">
        <w:rPr>
          <w:sz w:val="26"/>
          <w:szCs w:val="26"/>
        </w:rPr>
        <w:t>я к</w:t>
      </w:r>
      <w:r w:rsidRPr="004761E0">
        <w:rPr>
          <w:spacing w:val="1"/>
          <w:sz w:val="26"/>
          <w:szCs w:val="26"/>
        </w:rPr>
        <w:t>о</w:t>
      </w:r>
      <w:r w:rsidRPr="004761E0">
        <w:rPr>
          <w:spacing w:val="-2"/>
          <w:sz w:val="26"/>
          <w:szCs w:val="26"/>
        </w:rPr>
        <w:t>м</w:t>
      </w:r>
      <w:r w:rsidRPr="004761E0">
        <w:rPr>
          <w:spacing w:val="1"/>
          <w:sz w:val="26"/>
          <w:szCs w:val="26"/>
        </w:rPr>
        <w:t>п</w:t>
      </w:r>
      <w:r w:rsidRPr="004761E0">
        <w:rPr>
          <w:spacing w:val="-1"/>
          <w:sz w:val="26"/>
          <w:szCs w:val="26"/>
        </w:rPr>
        <w:t>л</w:t>
      </w:r>
      <w:r w:rsidRPr="004761E0">
        <w:rPr>
          <w:sz w:val="26"/>
          <w:szCs w:val="26"/>
        </w:rPr>
        <w:t>ек</w:t>
      </w:r>
      <w:r w:rsidRPr="004761E0">
        <w:rPr>
          <w:spacing w:val="-2"/>
          <w:sz w:val="26"/>
          <w:szCs w:val="26"/>
        </w:rPr>
        <w:t>с</w:t>
      </w:r>
      <w:r w:rsidRPr="004761E0">
        <w:rPr>
          <w:spacing w:val="1"/>
          <w:sz w:val="26"/>
          <w:szCs w:val="26"/>
        </w:rPr>
        <w:t>н</w:t>
      </w:r>
      <w:r w:rsidRPr="004761E0">
        <w:rPr>
          <w:sz w:val="26"/>
          <w:szCs w:val="26"/>
        </w:rPr>
        <w:t>ая</w:t>
      </w:r>
      <w:r w:rsidRPr="004761E0">
        <w:rPr>
          <w:spacing w:val="-2"/>
          <w:sz w:val="26"/>
          <w:szCs w:val="26"/>
        </w:rPr>
        <w:t xml:space="preserve"> </w:t>
      </w:r>
      <w:r w:rsidRPr="004761E0">
        <w:rPr>
          <w:spacing w:val="1"/>
          <w:sz w:val="26"/>
          <w:szCs w:val="26"/>
        </w:rPr>
        <w:t>п</w:t>
      </w:r>
      <w:r w:rsidRPr="004761E0">
        <w:rPr>
          <w:spacing w:val="-1"/>
          <w:sz w:val="26"/>
          <w:szCs w:val="26"/>
        </w:rPr>
        <w:t>р</w:t>
      </w:r>
      <w:r w:rsidRPr="004761E0">
        <w:rPr>
          <w:spacing w:val="1"/>
          <w:sz w:val="26"/>
          <w:szCs w:val="26"/>
        </w:rPr>
        <w:t>о</w:t>
      </w:r>
      <w:r w:rsidRPr="004761E0">
        <w:rPr>
          <w:spacing w:val="-2"/>
          <w:sz w:val="26"/>
          <w:szCs w:val="26"/>
        </w:rPr>
        <w:t>г</w:t>
      </w:r>
      <w:r w:rsidRPr="004761E0">
        <w:rPr>
          <w:spacing w:val="1"/>
          <w:sz w:val="26"/>
          <w:szCs w:val="26"/>
        </w:rPr>
        <w:t>р</w:t>
      </w:r>
      <w:r w:rsidRPr="004761E0">
        <w:rPr>
          <w:spacing w:val="-2"/>
          <w:sz w:val="26"/>
          <w:szCs w:val="26"/>
        </w:rPr>
        <w:t>а</w:t>
      </w:r>
      <w:r w:rsidRPr="004761E0">
        <w:rPr>
          <w:sz w:val="26"/>
          <w:szCs w:val="26"/>
        </w:rPr>
        <w:t>мма зак</w:t>
      </w:r>
      <w:r w:rsidRPr="004761E0">
        <w:rPr>
          <w:spacing w:val="-4"/>
          <w:sz w:val="26"/>
          <w:szCs w:val="26"/>
        </w:rPr>
        <w:t>у</w:t>
      </w:r>
      <w:r w:rsidRPr="004761E0">
        <w:rPr>
          <w:spacing w:val="1"/>
          <w:sz w:val="26"/>
          <w:szCs w:val="26"/>
        </w:rPr>
        <w:t>по</w:t>
      </w:r>
      <w:r w:rsidRPr="004761E0">
        <w:rPr>
          <w:sz w:val="26"/>
          <w:szCs w:val="26"/>
        </w:rPr>
        <w:t xml:space="preserve">к» </w:t>
      </w:r>
      <w:r w:rsidRPr="004761E0">
        <w:rPr>
          <w:spacing w:val="1"/>
          <w:sz w:val="26"/>
          <w:szCs w:val="26"/>
        </w:rPr>
        <w:t>и</w:t>
      </w:r>
      <w:r w:rsidRPr="004761E0">
        <w:rPr>
          <w:sz w:val="26"/>
          <w:szCs w:val="26"/>
        </w:rPr>
        <w:t>з</w:t>
      </w:r>
      <w:r w:rsidRPr="004761E0">
        <w:rPr>
          <w:spacing w:val="-2"/>
          <w:sz w:val="26"/>
          <w:szCs w:val="26"/>
        </w:rPr>
        <w:t>м</w:t>
      </w:r>
      <w:r w:rsidRPr="004761E0">
        <w:rPr>
          <w:sz w:val="26"/>
          <w:szCs w:val="26"/>
        </w:rPr>
        <w:t>е</w:t>
      </w:r>
      <w:r w:rsidRPr="004761E0">
        <w:rPr>
          <w:spacing w:val="1"/>
          <w:sz w:val="26"/>
          <w:szCs w:val="26"/>
        </w:rPr>
        <w:t>н</w:t>
      </w:r>
      <w:r w:rsidRPr="004761E0">
        <w:rPr>
          <w:spacing w:val="-2"/>
          <w:sz w:val="26"/>
          <w:szCs w:val="26"/>
        </w:rPr>
        <w:t>е</w:t>
      </w:r>
      <w:r w:rsidRPr="004761E0">
        <w:rPr>
          <w:sz w:val="26"/>
          <w:szCs w:val="26"/>
        </w:rPr>
        <w:t xml:space="preserve">н </w:t>
      </w:r>
      <w:r w:rsidRPr="004761E0">
        <w:rPr>
          <w:spacing w:val="1"/>
          <w:sz w:val="26"/>
          <w:szCs w:val="26"/>
        </w:rPr>
        <w:t>н</w:t>
      </w:r>
      <w:r w:rsidRPr="004761E0">
        <w:rPr>
          <w:sz w:val="26"/>
          <w:szCs w:val="26"/>
        </w:rPr>
        <w:t>а т</w:t>
      </w:r>
      <w:r w:rsidRPr="004761E0">
        <w:rPr>
          <w:spacing w:val="-2"/>
          <w:sz w:val="26"/>
          <w:szCs w:val="26"/>
        </w:rPr>
        <w:t>е</w:t>
      </w:r>
      <w:r w:rsidRPr="004761E0">
        <w:rPr>
          <w:spacing w:val="1"/>
          <w:sz w:val="26"/>
          <w:szCs w:val="26"/>
        </w:rPr>
        <w:t>р</w:t>
      </w:r>
      <w:r w:rsidRPr="004761E0">
        <w:rPr>
          <w:spacing w:val="-2"/>
          <w:sz w:val="26"/>
          <w:szCs w:val="26"/>
        </w:rPr>
        <w:t>м</w:t>
      </w:r>
      <w:r w:rsidRPr="004761E0">
        <w:rPr>
          <w:spacing w:val="1"/>
          <w:sz w:val="26"/>
          <w:szCs w:val="26"/>
        </w:rPr>
        <w:t>и</w:t>
      </w:r>
      <w:r w:rsidRPr="004761E0">
        <w:rPr>
          <w:sz w:val="26"/>
          <w:szCs w:val="26"/>
        </w:rPr>
        <w:t xml:space="preserve">н </w:t>
      </w:r>
      <w:r w:rsidRPr="004761E0">
        <w:rPr>
          <w:spacing w:val="-1"/>
          <w:sz w:val="26"/>
          <w:szCs w:val="26"/>
        </w:rPr>
        <w:t>«Пл</w:t>
      </w:r>
      <w:r w:rsidRPr="004761E0">
        <w:rPr>
          <w:sz w:val="26"/>
          <w:szCs w:val="26"/>
        </w:rPr>
        <w:t>ан </w:t>
      </w:r>
      <w:r w:rsidRPr="004761E0">
        <w:rPr>
          <w:spacing w:val="-3"/>
          <w:sz w:val="26"/>
          <w:szCs w:val="26"/>
        </w:rPr>
        <w:t>з</w:t>
      </w:r>
      <w:r w:rsidRPr="004761E0">
        <w:rPr>
          <w:sz w:val="26"/>
          <w:szCs w:val="26"/>
        </w:rPr>
        <w:t>ак</w:t>
      </w:r>
      <w:r w:rsidRPr="004761E0">
        <w:rPr>
          <w:spacing w:val="-4"/>
          <w:sz w:val="26"/>
          <w:szCs w:val="26"/>
        </w:rPr>
        <w:t>у</w:t>
      </w:r>
      <w:r w:rsidRPr="004761E0">
        <w:rPr>
          <w:spacing w:val="1"/>
          <w:sz w:val="26"/>
          <w:szCs w:val="26"/>
        </w:rPr>
        <w:t>п</w:t>
      </w:r>
      <w:r w:rsidRPr="004761E0">
        <w:rPr>
          <w:sz w:val="26"/>
          <w:szCs w:val="26"/>
        </w:rPr>
        <w:t>к</w:t>
      </w:r>
      <w:r w:rsidRPr="004761E0">
        <w:rPr>
          <w:spacing w:val="1"/>
          <w:sz w:val="26"/>
          <w:szCs w:val="26"/>
        </w:rPr>
        <w:t>и</w:t>
      </w:r>
      <w:r w:rsidRPr="004761E0">
        <w:rPr>
          <w:spacing w:val="-1"/>
          <w:sz w:val="26"/>
          <w:szCs w:val="26"/>
        </w:rPr>
        <w:t>»</w:t>
      </w:r>
      <w:r w:rsidRPr="004761E0">
        <w:rPr>
          <w:sz w:val="26"/>
          <w:szCs w:val="26"/>
        </w:rPr>
        <w:t xml:space="preserve">. </w:t>
      </w:r>
      <w:r w:rsidRPr="004761E0">
        <w:rPr>
          <w:spacing w:val="1"/>
          <w:sz w:val="26"/>
          <w:szCs w:val="26"/>
        </w:rPr>
        <w:t>Д</w:t>
      </w:r>
      <w:r w:rsidRPr="004761E0">
        <w:rPr>
          <w:spacing w:val="-1"/>
          <w:sz w:val="26"/>
          <w:szCs w:val="26"/>
        </w:rPr>
        <w:t>о</w:t>
      </w:r>
      <w:r w:rsidRPr="004761E0">
        <w:rPr>
          <w:spacing w:val="1"/>
          <w:sz w:val="26"/>
          <w:szCs w:val="26"/>
        </w:rPr>
        <w:t>р</w:t>
      </w:r>
      <w:r w:rsidRPr="004761E0">
        <w:rPr>
          <w:spacing w:val="-2"/>
          <w:sz w:val="26"/>
          <w:szCs w:val="26"/>
        </w:rPr>
        <w:t>а</w:t>
      </w:r>
      <w:r w:rsidRPr="004761E0">
        <w:rPr>
          <w:spacing w:val="1"/>
          <w:sz w:val="26"/>
          <w:szCs w:val="26"/>
        </w:rPr>
        <w:t>бо</w:t>
      </w:r>
      <w:r w:rsidRPr="004761E0">
        <w:rPr>
          <w:sz w:val="26"/>
          <w:szCs w:val="26"/>
        </w:rPr>
        <w:t>т</w:t>
      </w:r>
      <w:r w:rsidRPr="004761E0">
        <w:rPr>
          <w:spacing w:val="-2"/>
          <w:sz w:val="26"/>
          <w:szCs w:val="26"/>
        </w:rPr>
        <w:t>а</w:t>
      </w:r>
      <w:r w:rsidRPr="004761E0">
        <w:rPr>
          <w:spacing w:val="-1"/>
          <w:sz w:val="26"/>
          <w:szCs w:val="26"/>
        </w:rPr>
        <w:t>н</w:t>
      </w:r>
      <w:r w:rsidRPr="004761E0">
        <w:rPr>
          <w:sz w:val="26"/>
          <w:szCs w:val="26"/>
        </w:rPr>
        <w:t>ы</w:t>
      </w:r>
      <w:r w:rsidRPr="004761E0">
        <w:rPr>
          <w:spacing w:val="10"/>
          <w:sz w:val="26"/>
          <w:szCs w:val="26"/>
        </w:rPr>
        <w:t xml:space="preserve"> </w:t>
      </w:r>
      <w:r w:rsidRPr="004761E0">
        <w:rPr>
          <w:spacing w:val="1"/>
          <w:sz w:val="26"/>
          <w:szCs w:val="26"/>
        </w:rPr>
        <w:t>ф</w:t>
      </w:r>
      <w:r w:rsidRPr="004761E0">
        <w:rPr>
          <w:spacing w:val="-1"/>
          <w:sz w:val="26"/>
          <w:szCs w:val="26"/>
        </w:rPr>
        <w:t>о</w:t>
      </w:r>
      <w:r w:rsidRPr="004761E0">
        <w:rPr>
          <w:spacing w:val="1"/>
          <w:sz w:val="26"/>
          <w:szCs w:val="26"/>
        </w:rPr>
        <w:t>р</w:t>
      </w:r>
      <w:r w:rsidRPr="004761E0">
        <w:rPr>
          <w:spacing w:val="-2"/>
          <w:sz w:val="26"/>
          <w:szCs w:val="26"/>
        </w:rPr>
        <w:t>м</w:t>
      </w:r>
      <w:r w:rsidRPr="004761E0">
        <w:rPr>
          <w:sz w:val="26"/>
          <w:szCs w:val="26"/>
        </w:rPr>
        <w:t xml:space="preserve">ы </w:t>
      </w:r>
      <w:r w:rsidRPr="004761E0">
        <w:rPr>
          <w:spacing w:val="-1"/>
          <w:sz w:val="26"/>
          <w:szCs w:val="26"/>
        </w:rPr>
        <w:t>Пл</w:t>
      </w:r>
      <w:r w:rsidRPr="004761E0">
        <w:rPr>
          <w:sz w:val="26"/>
          <w:szCs w:val="26"/>
        </w:rPr>
        <w:t>а</w:t>
      </w:r>
      <w:r w:rsidRPr="004761E0">
        <w:rPr>
          <w:spacing w:val="1"/>
          <w:sz w:val="26"/>
          <w:szCs w:val="26"/>
        </w:rPr>
        <w:t>н</w:t>
      </w:r>
      <w:r w:rsidRPr="004761E0">
        <w:rPr>
          <w:sz w:val="26"/>
          <w:szCs w:val="26"/>
        </w:rPr>
        <w:t>а</w:t>
      </w:r>
      <w:r w:rsidRPr="004761E0">
        <w:rPr>
          <w:spacing w:val="9"/>
          <w:sz w:val="26"/>
          <w:szCs w:val="26"/>
        </w:rPr>
        <w:t xml:space="preserve"> </w:t>
      </w:r>
      <w:r w:rsidRPr="004761E0">
        <w:rPr>
          <w:sz w:val="26"/>
          <w:szCs w:val="26"/>
        </w:rPr>
        <w:t>зак</w:t>
      </w:r>
      <w:r w:rsidRPr="004761E0">
        <w:rPr>
          <w:spacing w:val="-4"/>
          <w:sz w:val="26"/>
          <w:szCs w:val="26"/>
        </w:rPr>
        <w:t>у</w:t>
      </w:r>
      <w:r w:rsidRPr="004761E0">
        <w:rPr>
          <w:spacing w:val="1"/>
          <w:sz w:val="26"/>
          <w:szCs w:val="26"/>
        </w:rPr>
        <w:t>п</w:t>
      </w:r>
      <w:r w:rsidRPr="004761E0">
        <w:rPr>
          <w:sz w:val="26"/>
          <w:szCs w:val="26"/>
        </w:rPr>
        <w:t>ки</w:t>
      </w:r>
      <w:r w:rsidRPr="004761E0">
        <w:rPr>
          <w:spacing w:val="10"/>
          <w:sz w:val="26"/>
          <w:szCs w:val="26"/>
        </w:rPr>
        <w:t xml:space="preserve"> </w:t>
      </w:r>
      <w:r w:rsidRPr="004761E0">
        <w:rPr>
          <w:sz w:val="26"/>
          <w:szCs w:val="26"/>
        </w:rPr>
        <w:t>и</w:t>
      </w:r>
      <w:r w:rsidRPr="004761E0">
        <w:rPr>
          <w:spacing w:val="10"/>
          <w:sz w:val="26"/>
          <w:szCs w:val="26"/>
        </w:rPr>
        <w:t xml:space="preserve"> </w:t>
      </w:r>
      <w:r w:rsidRPr="004761E0">
        <w:rPr>
          <w:spacing w:val="1"/>
          <w:sz w:val="26"/>
          <w:szCs w:val="26"/>
        </w:rPr>
        <w:t>о</w:t>
      </w:r>
      <w:r w:rsidRPr="004761E0">
        <w:rPr>
          <w:spacing w:val="-3"/>
          <w:sz w:val="26"/>
          <w:szCs w:val="26"/>
        </w:rPr>
        <w:t>т</w:t>
      </w:r>
      <w:r w:rsidRPr="004761E0">
        <w:rPr>
          <w:sz w:val="26"/>
          <w:szCs w:val="26"/>
        </w:rPr>
        <w:t>чета</w:t>
      </w:r>
      <w:r w:rsidRPr="004761E0">
        <w:rPr>
          <w:spacing w:val="9"/>
          <w:sz w:val="26"/>
          <w:szCs w:val="26"/>
        </w:rPr>
        <w:t xml:space="preserve"> </w:t>
      </w:r>
      <w:r w:rsidRPr="004761E0">
        <w:rPr>
          <w:spacing w:val="-1"/>
          <w:sz w:val="26"/>
          <w:szCs w:val="26"/>
        </w:rPr>
        <w:t>о</w:t>
      </w:r>
      <w:r w:rsidRPr="004761E0">
        <w:rPr>
          <w:sz w:val="26"/>
          <w:szCs w:val="26"/>
        </w:rPr>
        <w:t>б</w:t>
      </w:r>
      <w:r w:rsidRPr="004761E0">
        <w:rPr>
          <w:spacing w:val="10"/>
          <w:sz w:val="26"/>
          <w:szCs w:val="26"/>
        </w:rPr>
        <w:t xml:space="preserve"> </w:t>
      </w:r>
      <w:r w:rsidRPr="004761E0">
        <w:rPr>
          <w:spacing w:val="1"/>
          <w:sz w:val="26"/>
          <w:szCs w:val="26"/>
        </w:rPr>
        <w:t>и</w:t>
      </w:r>
      <w:r w:rsidRPr="004761E0">
        <w:rPr>
          <w:spacing w:val="-2"/>
          <w:sz w:val="26"/>
          <w:szCs w:val="26"/>
        </w:rPr>
        <w:t>с</w:t>
      </w:r>
      <w:r w:rsidRPr="004761E0">
        <w:rPr>
          <w:spacing w:val="-1"/>
          <w:sz w:val="26"/>
          <w:szCs w:val="26"/>
        </w:rPr>
        <w:t>п</w:t>
      </w:r>
      <w:r w:rsidRPr="004761E0">
        <w:rPr>
          <w:spacing w:val="1"/>
          <w:sz w:val="26"/>
          <w:szCs w:val="26"/>
        </w:rPr>
        <w:t>о</w:t>
      </w:r>
      <w:r w:rsidRPr="004761E0">
        <w:rPr>
          <w:spacing w:val="-1"/>
          <w:sz w:val="26"/>
          <w:szCs w:val="26"/>
        </w:rPr>
        <w:t>л</w:t>
      </w:r>
      <w:r w:rsidRPr="004761E0">
        <w:rPr>
          <w:spacing w:val="1"/>
          <w:sz w:val="26"/>
          <w:szCs w:val="26"/>
        </w:rPr>
        <w:t>н</w:t>
      </w:r>
      <w:r w:rsidRPr="004761E0">
        <w:rPr>
          <w:spacing w:val="-2"/>
          <w:sz w:val="26"/>
          <w:szCs w:val="26"/>
        </w:rPr>
        <w:t>е</w:t>
      </w:r>
      <w:r w:rsidRPr="004761E0">
        <w:rPr>
          <w:spacing w:val="1"/>
          <w:sz w:val="26"/>
          <w:szCs w:val="26"/>
        </w:rPr>
        <w:t>н</w:t>
      </w:r>
      <w:r w:rsidRPr="004761E0">
        <w:rPr>
          <w:spacing w:val="-1"/>
          <w:sz w:val="26"/>
          <w:szCs w:val="26"/>
        </w:rPr>
        <w:t>и</w:t>
      </w:r>
      <w:r w:rsidRPr="004761E0">
        <w:rPr>
          <w:sz w:val="26"/>
          <w:szCs w:val="26"/>
        </w:rPr>
        <w:t>и</w:t>
      </w:r>
      <w:r w:rsidRPr="004761E0">
        <w:rPr>
          <w:spacing w:val="8"/>
          <w:sz w:val="26"/>
          <w:szCs w:val="26"/>
        </w:rPr>
        <w:t xml:space="preserve"> </w:t>
      </w:r>
      <w:r w:rsidRPr="004761E0">
        <w:rPr>
          <w:spacing w:val="-1"/>
          <w:sz w:val="26"/>
          <w:szCs w:val="26"/>
        </w:rPr>
        <w:t>Пл</w:t>
      </w:r>
      <w:r w:rsidRPr="004761E0">
        <w:rPr>
          <w:sz w:val="26"/>
          <w:szCs w:val="26"/>
        </w:rPr>
        <w:t>а</w:t>
      </w:r>
      <w:r w:rsidRPr="004761E0">
        <w:rPr>
          <w:spacing w:val="1"/>
          <w:sz w:val="26"/>
          <w:szCs w:val="26"/>
        </w:rPr>
        <w:t>н</w:t>
      </w:r>
      <w:r w:rsidRPr="004761E0">
        <w:rPr>
          <w:sz w:val="26"/>
          <w:szCs w:val="26"/>
        </w:rPr>
        <w:t>а зак</w:t>
      </w:r>
      <w:r w:rsidRPr="004761E0">
        <w:rPr>
          <w:spacing w:val="-4"/>
          <w:sz w:val="26"/>
          <w:szCs w:val="26"/>
        </w:rPr>
        <w:t>у</w:t>
      </w:r>
      <w:r w:rsidRPr="004761E0">
        <w:rPr>
          <w:spacing w:val="1"/>
          <w:sz w:val="26"/>
          <w:szCs w:val="26"/>
        </w:rPr>
        <w:t>п</w:t>
      </w:r>
      <w:r w:rsidRPr="004761E0">
        <w:rPr>
          <w:sz w:val="26"/>
          <w:szCs w:val="26"/>
        </w:rPr>
        <w:t>к</w:t>
      </w:r>
      <w:r w:rsidRPr="004761E0">
        <w:rPr>
          <w:spacing w:val="1"/>
          <w:sz w:val="26"/>
          <w:szCs w:val="26"/>
        </w:rPr>
        <w:t>и</w:t>
      </w:r>
      <w:r w:rsidR="00760E5A" w:rsidRPr="004761E0">
        <w:rPr>
          <w:sz w:val="26"/>
          <w:szCs w:val="26"/>
        </w:rPr>
        <w:t>;</w:t>
      </w:r>
    </w:p>
    <w:p w:rsidR="004B5B33" w:rsidRPr="004761E0" w:rsidRDefault="004B5B33" w:rsidP="007076A7">
      <w:pPr>
        <w:pStyle w:val="a5"/>
        <w:numPr>
          <w:ilvl w:val="0"/>
          <w:numId w:val="189"/>
        </w:numPr>
        <w:tabs>
          <w:tab w:val="left" w:pos="1134"/>
        </w:tabs>
        <w:autoSpaceDE w:val="0"/>
        <w:autoSpaceDN w:val="0"/>
        <w:adjustRightInd w:val="0"/>
        <w:ind w:left="1134" w:hanging="567"/>
        <w:contextualSpacing w:val="0"/>
        <w:rPr>
          <w:spacing w:val="-4"/>
          <w:sz w:val="26"/>
          <w:szCs w:val="26"/>
        </w:rPr>
      </w:pPr>
      <w:r w:rsidRPr="004761E0">
        <w:rPr>
          <w:spacing w:val="-4"/>
          <w:sz w:val="26"/>
          <w:szCs w:val="26"/>
        </w:rPr>
        <w:t>изменен срок опубликования в единой информационной системе</w:t>
      </w:r>
      <w:r w:rsidRPr="004761E0" w:rsidDel="00325378">
        <w:rPr>
          <w:rStyle w:val="af2"/>
          <w:color w:val="00B050"/>
          <w:spacing w:val="-4"/>
          <w:sz w:val="26"/>
          <w:szCs w:val="26"/>
        </w:rPr>
        <w:t xml:space="preserve"> </w:t>
      </w:r>
      <w:r w:rsidRPr="004761E0">
        <w:rPr>
          <w:spacing w:val="-4"/>
          <w:sz w:val="26"/>
          <w:szCs w:val="26"/>
        </w:rPr>
        <w:t>извещения о проведении конкурса на «не менее чем за 20 дней до окончания срока подачи заявок на участие в конкурсе»;</w:t>
      </w:r>
    </w:p>
    <w:p w:rsidR="004B5B33" w:rsidRPr="004761E0" w:rsidRDefault="004B5B33" w:rsidP="007076A7">
      <w:pPr>
        <w:pStyle w:val="a5"/>
        <w:numPr>
          <w:ilvl w:val="0"/>
          <w:numId w:val="189"/>
        </w:numPr>
        <w:tabs>
          <w:tab w:val="left" w:pos="1134"/>
        </w:tabs>
        <w:autoSpaceDE w:val="0"/>
        <w:autoSpaceDN w:val="0"/>
        <w:adjustRightInd w:val="0"/>
        <w:ind w:left="1134" w:hanging="567"/>
        <w:contextualSpacing w:val="0"/>
        <w:rPr>
          <w:spacing w:val="-4"/>
          <w:sz w:val="26"/>
          <w:szCs w:val="26"/>
        </w:rPr>
      </w:pPr>
      <w:r w:rsidRPr="004761E0">
        <w:rPr>
          <w:spacing w:val="-4"/>
          <w:sz w:val="26"/>
          <w:szCs w:val="26"/>
        </w:rPr>
        <w:t>внесены изменения в раздел, касающийся заключения и исполнения договора по итогам конкурентной процедуры: согласно новому Положению о закупке договор, заключаемый по результатам конкурентной закупки должен соответствовать проекту договора, входящего в состав опубликованной закупочной документации</w:t>
      </w:r>
      <w:r w:rsidR="00012E78">
        <w:rPr>
          <w:spacing w:val="-4"/>
          <w:sz w:val="26"/>
          <w:szCs w:val="26"/>
        </w:rPr>
        <w:t>, и который является ее неотъемлемой частью</w:t>
      </w:r>
      <w:r w:rsidRPr="004761E0">
        <w:rPr>
          <w:spacing w:val="-4"/>
          <w:sz w:val="26"/>
          <w:szCs w:val="26"/>
        </w:rPr>
        <w:t>;</w:t>
      </w:r>
    </w:p>
    <w:p w:rsidR="004B5B33" w:rsidRPr="004761E0" w:rsidRDefault="004B5B33" w:rsidP="007076A7">
      <w:pPr>
        <w:pStyle w:val="a5"/>
        <w:numPr>
          <w:ilvl w:val="0"/>
          <w:numId w:val="189"/>
        </w:numPr>
        <w:tabs>
          <w:tab w:val="left" w:pos="1134"/>
        </w:tabs>
        <w:autoSpaceDE w:val="0"/>
        <w:autoSpaceDN w:val="0"/>
        <w:adjustRightInd w:val="0"/>
        <w:ind w:left="1134" w:hanging="567"/>
        <w:contextualSpacing w:val="0"/>
        <w:rPr>
          <w:spacing w:val="-4"/>
          <w:sz w:val="26"/>
          <w:szCs w:val="26"/>
        </w:rPr>
      </w:pPr>
      <w:r w:rsidRPr="004761E0">
        <w:rPr>
          <w:spacing w:val="-4"/>
          <w:sz w:val="26"/>
          <w:szCs w:val="26"/>
        </w:rPr>
        <w:t>максимально сокращено количество отсылочных норм;</w:t>
      </w:r>
    </w:p>
    <w:p w:rsidR="004B5B33" w:rsidRPr="004761E0" w:rsidRDefault="004B5B33" w:rsidP="007076A7">
      <w:pPr>
        <w:pStyle w:val="a5"/>
        <w:numPr>
          <w:ilvl w:val="0"/>
          <w:numId w:val="189"/>
        </w:numPr>
        <w:tabs>
          <w:tab w:val="left" w:pos="1134"/>
        </w:tabs>
        <w:autoSpaceDE w:val="0"/>
        <w:autoSpaceDN w:val="0"/>
        <w:adjustRightInd w:val="0"/>
        <w:ind w:left="1134" w:hanging="567"/>
        <w:contextualSpacing w:val="0"/>
        <w:rPr>
          <w:spacing w:val="-4"/>
          <w:sz w:val="26"/>
          <w:szCs w:val="26"/>
        </w:rPr>
      </w:pPr>
      <w:r w:rsidRPr="004761E0">
        <w:rPr>
          <w:spacing w:val="-4"/>
          <w:sz w:val="26"/>
          <w:szCs w:val="26"/>
        </w:rPr>
        <w:t xml:space="preserve">исключено право </w:t>
      </w:r>
      <w:r w:rsidR="0008080E">
        <w:rPr>
          <w:spacing w:val="-4"/>
          <w:sz w:val="26"/>
          <w:szCs w:val="26"/>
        </w:rPr>
        <w:t>ОАО </w:t>
      </w:r>
      <w:r w:rsidRPr="004761E0">
        <w:rPr>
          <w:spacing w:val="-4"/>
          <w:sz w:val="26"/>
          <w:szCs w:val="26"/>
        </w:rPr>
        <w:t>«МОЭСК» вести свой реестр недобросовестных поставщиков (Общество правомочно включать поставщиков в реестр недобросовестных поставщиков только в соответствии с нормами Постановления Правительства РФ от 22.11.2012 № 1211</w:t>
      </w:r>
      <w:r w:rsidRPr="006F4AB8">
        <w:rPr>
          <w:rStyle w:val="af1"/>
        </w:rPr>
        <w:footnoteReference w:id="85"/>
      </w:r>
      <w:r w:rsidRPr="004761E0">
        <w:rPr>
          <w:spacing w:val="-4"/>
          <w:sz w:val="26"/>
          <w:szCs w:val="26"/>
        </w:rPr>
        <w:t>);</w:t>
      </w:r>
    </w:p>
    <w:p w:rsidR="004B5B33" w:rsidRPr="004761E0" w:rsidRDefault="004B5B33" w:rsidP="007076A7">
      <w:pPr>
        <w:pStyle w:val="a5"/>
        <w:numPr>
          <w:ilvl w:val="0"/>
          <w:numId w:val="189"/>
        </w:numPr>
        <w:tabs>
          <w:tab w:val="left" w:pos="1134"/>
        </w:tabs>
        <w:autoSpaceDE w:val="0"/>
        <w:autoSpaceDN w:val="0"/>
        <w:adjustRightInd w:val="0"/>
        <w:ind w:left="1134" w:hanging="567"/>
        <w:contextualSpacing w:val="0"/>
        <w:rPr>
          <w:spacing w:val="-4"/>
          <w:sz w:val="26"/>
          <w:szCs w:val="26"/>
        </w:rPr>
      </w:pPr>
      <w:r w:rsidRPr="004761E0">
        <w:rPr>
          <w:spacing w:val="-4"/>
          <w:sz w:val="26"/>
          <w:szCs w:val="26"/>
        </w:rPr>
        <w:t>скорректирован термин «участник закупки»;</w:t>
      </w:r>
    </w:p>
    <w:p w:rsidR="004B5B33" w:rsidRPr="004761E0" w:rsidRDefault="004B5B33" w:rsidP="007076A7">
      <w:pPr>
        <w:pStyle w:val="a5"/>
        <w:numPr>
          <w:ilvl w:val="0"/>
          <w:numId w:val="189"/>
        </w:numPr>
        <w:tabs>
          <w:tab w:val="left" w:pos="1134"/>
        </w:tabs>
        <w:autoSpaceDE w:val="0"/>
        <w:autoSpaceDN w:val="0"/>
        <w:adjustRightInd w:val="0"/>
        <w:ind w:left="1134" w:hanging="567"/>
        <w:contextualSpacing w:val="0"/>
        <w:rPr>
          <w:spacing w:val="-4"/>
          <w:sz w:val="26"/>
          <w:szCs w:val="26"/>
        </w:rPr>
      </w:pPr>
      <w:r w:rsidRPr="004761E0">
        <w:rPr>
          <w:spacing w:val="-4"/>
          <w:sz w:val="26"/>
          <w:szCs w:val="26"/>
        </w:rPr>
        <w:lastRenderedPageBreak/>
        <w:t>исключено требование к участникам о необходимости подтверждать заказчику свое умение работать на электронной торговой площадке, используемой заказчиком;</w:t>
      </w:r>
    </w:p>
    <w:p w:rsidR="004B5B33" w:rsidRPr="004761E0" w:rsidRDefault="004B5B33" w:rsidP="007076A7">
      <w:pPr>
        <w:pStyle w:val="a5"/>
        <w:numPr>
          <w:ilvl w:val="0"/>
          <w:numId w:val="189"/>
        </w:numPr>
        <w:tabs>
          <w:tab w:val="left" w:pos="1134"/>
        </w:tabs>
        <w:autoSpaceDE w:val="0"/>
        <w:autoSpaceDN w:val="0"/>
        <w:adjustRightInd w:val="0"/>
        <w:ind w:left="1134" w:hanging="567"/>
        <w:contextualSpacing w:val="0"/>
        <w:rPr>
          <w:sz w:val="26"/>
          <w:szCs w:val="26"/>
        </w:rPr>
      </w:pPr>
      <w:r w:rsidRPr="004761E0">
        <w:rPr>
          <w:spacing w:val="-1"/>
          <w:sz w:val="26"/>
          <w:szCs w:val="26"/>
        </w:rPr>
        <w:t>скорректирована норма</w:t>
      </w:r>
      <w:r w:rsidRPr="004761E0">
        <w:rPr>
          <w:sz w:val="26"/>
          <w:szCs w:val="26"/>
        </w:rPr>
        <w:t xml:space="preserve">, </w:t>
      </w:r>
      <w:r w:rsidRPr="004761E0">
        <w:rPr>
          <w:spacing w:val="-4"/>
          <w:sz w:val="26"/>
          <w:szCs w:val="26"/>
        </w:rPr>
        <w:t>у</w:t>
      </w:r>
      <w:r w:rsidRPr="004761E0">
        <w:rPr>
          <w:sz w:val="26"/>
          <w:szCs w:val="26"/>
        </w:rPr>
        <w:t>ста</w:t>
      </w:r>
      <w:r w:rsidRPr="004761E0">
        <w:rPr>
          <w:spacing w:val="1"/>
          <w:sz w:val="26"/>
          <w:szCs w:val="26"/>
        </w:rPr>
        <w:t>н</w:t>
      </w:r>
      <w:r w:rsidRPr="004761E0">
        <w:rPr>
          <w:sz w:val="26"/>
          <w:szCs w:val="26"/>
        </w:rPr>
        <w:t>а</w:t>
      </w:r>
      <w:r w:rsidRPr="004761E0">
        <w:rPr>
          <w:spacing w:val="-1"/>
          <w:sz w:val="26"/>
          <w:szCs w:val="26"/>
        </w:rPr>
        <w:t>вл</w:t>
      </w:r>
      <w:r w:rsidRPr="004761E0">
        <w:rPr>
          <w:spacing w:val="1"/>
          <w:sz w:val="26"/>
          <w:szCs w:val="26"/>
        </w:rPr>
        <w:t>и</w:t>
      </w:r>
      <w:r w:rsidRPr="004761E0">
        <w:rPr>
          <w:spacing w:val="-3"/>
          <w:sz w:val="26"/>
          <w:szCs w:val="26"/>
        </w:rPr>
        <w:t>в</w:t>
      </w:r>
      <w:r w:rsidRPr="004761E0">
        <w:rPr>
          <w:sz w:val="26"/>
          <w:szCs w:val="26"/>
        </w:rPr>
        <w:t>ающая</w:t>
      </w:r>
      <w:r w:rsidRPr="004761E0">
        <w:rPr>
          <w:spacing w:val="14"/>
          <w:sz w:val="26"/>
          <w:szCs w:val="26"/>
        </w:rPr>
        <w:t xml:space="preserve"> </w:t>
      </w:r>
      <w:r w:rsidRPr="004761E0">
        <w:rPr>
          <w:sz w:val="26"/>
          <w:szCs w:val="26"/>
        </w:rPr>
        <w:t>чет</w:t>
      </w:r>
      <w:r w:rsidRPr="004761E0">
        <w:rPr>
          <w:spacing w:val="-2"/>
          <w:sz w:val="26"/>
          <w:szCs w:val="26"/>
        </w:rPr>
        <w:t>к</w:t>
      </w:r>
      <w:r w:rsidRPr="004761E0">
        <w:rPr>
          <w:spacing w:val="1"/>
          <w:sz w:val="26"/>
          <w:szCs w:val="26"/>
        </w:rPr>
        <w:t>и</w:t>
      </w:r>
      <w:r w:rsidRPr="004761E0">
        <w:rPr>
          <w:sz w:val="26"/>
          <w:szCs w:val="26"/>
        </w:rPr>
        <w:t>е</w:t>
      </w:r>
      <w:r w:rsidRPr="004761E0">
        <w:rPr>
          <w:spacing w:val="12"/>
          <w:sz w:val="26"/>
          <w:szCs w:val="26"/>
        </w:rPr>
        <w:t xml:space="preserve"> </w:t>
      </w:r>
      <w:r w:rsidRPr="004761E0">
        <w:rPr>
          <w:sz w:val="26"/>
          <w:szCs w:val="26"/>
        </w:rPr>
        <w:t>к</w:t>
      </w:r>
      <w:r w:rsidRPr="004761E0">
        <w:rPr>
          <w:spacing w:val="-1"/>
          <w:sz w:val="26"/>
          <w:szCs w:val="26"/>
        </w:rPr>
        <w:t>р</w:t>
      </w:r>
      <w:r w:rsidRPr="004761E0">
        <w:rPr>
          <w:spacing w:val="1"/>
          <w:sz w:val="26"/>
          <w:szCs w:val="26"/>
        </w:rPr>
        <w:t>и</w:t>
      </w:r>
      <w:r w:rsidRPr="004761E0">
        <w:rPr>
          <w:sz w:val="26"/>
          <w:szCs w:val="26"/>
        </w:rPr>
        <w:t>т</w:t>
      </w:r>
      <w:r w:rsidRPr="004761E0">
        <w:rPr>
          <w:spacing w:val="-2"/>
          <w:sz w:val="26"/>
          <w:szCs w:val="26"/>
        </w:rPr>
        <w:t>е</w:t>
      </w:r>
      <w:r w:rsidRPr="004761E0">
        <w:rPr>
          <w:spacing w:val="1"/>
          <w:sz w:val="26"/>
          <w:szCs w:val="26"/>
        </w:rPr>
        <w:t>р</w:t>
      </w:r>
      <w:r w:rsidRPr="004761E0">
        <w:rPr>
          <w:spacing w:val="-1"/>
          <w:sz w:val="26"/>
          <w:szCs w:val="26"/>
        </w:rPr>
        <w:t>ии «д</w:t>
      </w:r>
      <w:r w:rsidRPr="004761E0">
        <w:rPr>
          <w:spacing w:val="1"/>
          <w:sz w:val="26"/>
          <w:szCs w:val="26"/>
        </w:rPr>
        <w:t>р</w:t>
      </w:r>
      <w:r w:rsidRPr="004761E0">
        <w:rPr>
          <w:spacing w:val="-1"/>
          <w:sz w:val="26"/>
          <w:szCs w:val="26"/>
        </w:rPr>
        <w:t>о</w:t>
      </w:r>
      <w:r w:rsidRPr="004761E0">
        <w:rPr>
          <w:spacing w:val="1"/>
          <w:sz w:val="26"/>
          <w:szCs w:val="26"/>
        </w:rPr>
        <w:t>б</w:t>
      </w:r>
      <w:r w:rsidRPr="004761E0">
        <w:rPr>
          <w:spacing w:val="-1"/>
          <w:sz w:val="26"/>
          <w:szCs w:val="26"/>
        </w:rPr>
        <w:t>л</w:t>
      </w:r>
      <w:r w:rsidRPr="004761E0">
        <w:rPr>
          <w:spacing w:val="-2"/>
          <w:sz w:val="26"/>
          <w:szCs w:val="26"/>
        </w:rPr>
        <w:t>е</w:t>
      </w:r>
      <w:r w:rsidRPr="004761E0">
        <w:rPr>
          <w:spacing w:val="1"/>
          <w:sz w:val="26"/>
          <w:szCs w:val="26"/>
        </w:rPr>
        <w:t>ния</w:t>
      </w:r>
      <w:r w:rsidRPr="004761E0">
        <w:rPr>
          <w:sz w:val="26"/>
          <w:szCs w:val="26"/>
        </w:rPr>
        <w:t xml:space="preserve"> зак</w:t>
      </w:r>
      <w:r w:rsidRPr="004761E0">
        <w:rPr>
          <w:spacing w:val="-4"/>
          <w:sz w:val="26"/>
          <w:szCs w:val="26"/>
        </w:rPr>
        <w:t>у</w:t>
      </w:r>
      <w:r w:rsidRPr="004761E0">
        <w:rPr>
          <w:spacing w:val="1"/>
          <w:sz w:val="26"/>
          <w:szCs w:val="26"/>
        </w:rPr>
        <w:t>п</w:t>
      </w:r>
      <w:r w:rsidRPr="004761E0">
        <w:rPr>
          <w:sz w:val="26"/>
          <w:szCs w:val="26"/>
        </w:rPr>
        <w:t>к</w:t>
      </w:r>
      <w:r w:rsidRPr="004761E0">
        <w:rPr>
          <w:spacing w:val="1"/>
          <w:sz w:val="26"/>
          <w:szCs w:val="26"/>
        </w:rPr>
        <w:t>и</w:t>
      </w:r>
      <w:r w:rsidRPr="004761E0">
        <w:rPr>
          <w:sz w:val="26"/>
          <w:szCs w:val="26"/>
        </w:rPr>
        <w:t xml:space="preserve">» и </w:t>
      </w:r>
      <w:r w:rsidRPr="004761E0">
        <w:rPr>
          <w:spacing w:val="1"/>
          <w:sz w:val="26"/>
          <w:szCs w:val="26"/>
        </w:rPr>
        <w:t>п</w:t>
      </w:r>
      <w:r w:rsidRPr="004761E0">
        <w:rPr>
          <w:spacing w:val="-1"/>
          <w:sz w:val="26"/>
          <w:szCs w:val="26"/>
        </w:rPr>
        <w:t>о</w:t>
      </w:r>
      <w:r w:rsidRPr="004761E0">
        <w:rPr>
          <w:spacing w:val="1"/>
          <w:sz w:val="26"/>
          <w:szCs w:val="26"/>
        </w:rPr>
        <w:t>р</w:t>
      </w:r>
      <w:r w:rsidRPr="004761E0">
        <w:rPr>
          <w:spacing w:val="-2"/>
          <w:sz w:val="26"/>
          <w:szCs w:val="26"/>
        </w:rPr>
        <w:t>я</w:t>
      </w:r>
      <w:r w:rsidRPr="004761E0">
        <w:rPr>
          <w:spacing w:val="-1"/>
          <w:sz w:val="26"/>
          <w:szCs w:val="26"/>
        </w:rPr>
        <w:t>д</w:t>
      </w:r>
      <w:r w:rsidRPr="004761E0">
        <w:rPr>
          <w:spacing w:val="1"/>
          <w:sz w:val="26"/>
          <w:szCs w:val="26"/>
        </w:rPr>
        <w:t>о</w:t>
      </w:r>
      <w:r w:rsidRPr="004761E0">
        <w:rPr>
          <w:sz w:val="26"/>
          <w:szCs w:val="26"/>
        </w:rPr>
        <w:t>к</w:t>
      </w:r>
      <w:r w:rsidRPr="004761E0">
        <w:rPr>
          <w:spacing w:val="16"/>
          <w:sz w:val="26"/>
          <w:szCs w:val="26"/>
        </w:rPr>
        <w:t xml:space="preserve"> </w:t>
      </w:r>
      <w:r w:rsidRPr="004761E0">
        <w:rPr>
          <w:spacing w:val="1"/>
          <w:sz w:val="26"/>
          <w:szCs w:val="26"/>
        </w:rPr>
        <w:t>о</w:t>
      </w:r>
      <w:r w:rsidRPr="004761E0">
        <w:rPr>
          <w:spacing w:val="-3"/>
          <w:sz w:val="26"/>
          <w:szCs w:val="26"/>
        </w:rPr>
        <w:t>т</w:t>
      </w:r>
      <w:r w:rsidRPr="004761E0">
        <w:rPr>
          <w:spacing w:val="1"/>
          <w:sz w:val="26"/>
          <w:szCs w:val="26"/>
        </w:rPr>
        <w:t>н</w:t>
      </w:r>
      <w:r w:rsidRPr="004761E0">
        <w:rPr>
          <w:sz w:val="26"/>
          <w:szCs w:val="26"/>
        </w:rPr>
        <w:t>ес</w:t>
      </w:r>
      <w:r w:rsidRPr="004761E0">
        <w:rPr>
          <w:spacing w:val="-2"/>
          <w:sz w:val="26"/>
          <w:szCs w:val="26"/>
        </w:rPr>
        <w:t>е</w:t>
      </w:r>
      <w:r w:rsidRPr="004761E0">
        <w:rPr>
          <w:spacing w:val="-1"/>
          <w:sz w:val="26"/>
          <w:szCs w:val="26"/>
        </w:rPr>
        <w:t>н</w:t>
      </w:r>
      <w:r w:rsidRPr="004761E0">
        <w:rPr>
          <w:spacing w:val="1"/>
          <w:sz w:val="26"/>
          <w:szCs w:val="26"/>
        </w:rPr>
        <w:t>и</w:t>
      </w:r>
      <w:r w:rsidRPr="004761E0">
        <w:rPr>
          <w:sz w:val="26"/>
          <w:szCs w:val="26"/>
        </w:rPr>
        <w:t>я</w:t>
      </w:r>
      <w:r w:rsidRPr="004761E0">
        <w:rPr>
          <w:spacing w:val="16"/>
          <w:sz w:val="26"/>
          <w:szCs w:val="26"/>
        </w:rPr>
        <w:t xml:space="preserve"> </w:t>
      </w:r>
      <w:r w:rsidRPr="004761E0">
        <w:rPr>
          <w:sz w:val="26"/>
          <w:szCs w:val="26"/>
        </w:rPr>
        <w:t>т</w:t>
      </w:r>
      <w:r w:rsidRPr="004761E0">
        <w:rPr>
          <w:spacing w:val="1"/>
          <w:sz w:val="26"/>
          <w:szCs w:val="26"/>
        </w:rPr>
        <w:t>о</w:t>
      </w:r>
      <w:r w:rsidRPr="004761E0">
        <w:rPr>
          <w:spacing w:val="-3"/>
          <w:sz w:val="26"/>
          <w:szCs w:val="26"/>
        </w:rPr>
        <w:t>в</w:t>
      </w:r>
      <w:r w:rsidRPr="004761E0">
        <w:rPr>
          <w:sz w:val="26"/>
          <w:szCs w:val="26"/>
        </w:rPr>
        <w:t>а</w:t>
      </w:r>
      <w:r w:rsidRPr="004761E0">
        <w:rPr>
          <w:spacing w:val="-1"/>
          <w:sz w:val="26"/>
          <w:szCs w:val="26"/>
        </w:rPr>
        <w:t>р</w:t>
      </w:r>
      <w:r w:rsidRPr="004761E0">
        <w:rPr>
          <w:spacing w:val="1"/>
          <w:sz w:val="26"/>
          <w:szCs w:val="26"/>
        </w:rPr>
        <w:t>о</w:t>
      </w:r>
      <w:r w:rsidRPr="004761E0">
        <w:rPr>
          <w:spacing w:val="-1"/>
          <w:sz w:val="26"/>
          <w:szCs w:val="26"/>
        </w:rPr>
        <w:t>в</w:t>
      </w:r>
      <w:r w:rsidRPr="004761E0">
        <w:rPr>
          <w:sz w:val="26"/>
          <w:szCs w:val="26"/>
        </w:rPr>
        <w:t>,</w:t>
      </w:r>
      <w:r w:rsidRPr="004761E0">
        <w:rPr>
          <w:spacing w:val="15"/>
          <w:sz w:val="26"/>
          <w:szCs w:val="26"/>
        </w:rPr>
        <w:t xml:space="preserve"> </w:t>
      </w:r>
      <w:r w:rsidRPr="004761E0">
        <w:rPr>
          <w:spacing w:val="1"/>
          <w:sz w:val="26"/>
          <w:szCs w:val="26"/>
        </w:rPr>
        <w:t>р</w:t>
      </w:r>
      <w:r w:rsidRPr="004761E0">
        <w:rPr>
          <w:sz w:val="26"/>
          <w:szCs w:val="26"/>
        </w:rPr>
        <w:t>а</w:t>
      </w:r>
      <w:r w:rsidRPr="004761E0">
        <w:rPr>
          <w:spacing w:val="-1"/>
          <w:sz w:val="26"/>
          <w:szCs w:val="26"/>
        </w:rPr>
        <w:t>б</w:t>
      </w:r>
      <w:r w:rsidRPr="004761E0">
        <w:rPr>
          <w:spacing w:val="1"/>
          <w:sz w:val="26"/>
          <w:szCs w:val="26"/>
        </w:rPr>
        <w:t>о</w:t>
      </w:r>
      <w:r w:rsidRPr="004761E0">
        <w:rPr>
          <w:sz w:val="26"/>
          <w:szCs w:val="26"/>
        </w:rPr>
        <w:t xml:space="preserve">т, </w:t>
      </w:r>
      <w:r w:rsidRPr="004761E0">
        <w:rPr>
          <w:spacing w:val="-4"/>
          <w:sz w:val="26"/>
          <w:szCs w:val="26"/>
        </w:rPr>
        <w:t>у</w:t>
      </w:r>
      <w:r w:rsidRPr="004761E0">
        <w:rPr>
          <w:sz w:val="26"/>
          <w:szCs w:val="26"/>
        </w:rPr>
        <w:t>с</w:t>
      </w:r>
      <w:r w:rsidRPr="004761E0">
        <w:rPr>
          <w:spacing w:val="2"/>
          <w:sz w:val="26"/>
          <w:szCs w:val="26"/>
        </w:rPr>
        <w:t>л</w:t>
      </w:r>
      <w:r w:rsidRPr="004761E0">
        <w:rPr>
          <w:spacing w:val="-1"/>
          <w:sz w:val="26"/>
          <w:szCs w:val="26"/>
        </w:rPr>
        <w:t>у</w:t>
      </w:r>
      <w:r w:rsidRPr="004761E0">
        <w:rPr>
          <w:sz w:val="26"/>
          <w:szCs w:val="26"/>
        </w:rPr>
        <w:t>г</w:t>
      </w:r>
      <w:r w:rsidRPr="004761E0">
        <w:rPr>
          <w:spacing w:val="16"/>
          <w:sz w:val="26"/>
          <w:szCs w:val="26"/>
        </w:rPr>
        <w:t xml:space="preserve"> </w:t>
      </w:r>
      <w:r w:rsidRPr="004761E0">
        <w:rPr>
          <w:sz w:val="26"/>
          <w:szCs w:val="26"/>
        </w:rPr>
        <w:t xml:space="preserve">к </w:t>
      </w:r>
      <w:r w:rsidRPr="004761E0">
        <w:rPr>
          <w:spacing w:val="1"/>
          <w:sz w:val="26"/>
          <w:szCs w:val="26"/>
        </w:rPr>
        <w:t>од</w:t>
      </w:r>
      <w:r w:rsidRPr="004761E0">
        <w:rPr>
          <w:spacing w:val="-1"/>
          <w:sz w:val="26"/>
          <w:szCs w:val="26"/>
        </w:rPr>
        <w:t>н</w:t>
      </w:r>
      <w:r w:rsidRPr="004761E0">
        <w:rPr>
          <w:spacing w:val="1"/>
          <w:sz w:val="26"/>
          <w:szCs w:val="26"/>
        </w:rPr>
        <w:t>о</w:t>
      </w:r>
      <w:r w:rsidRPr="004761E0">
        <w:rPr>
          <w:spacing w:val="-3"/>
          <w:sz w:val="26"/>
          <w:szCs w:val="26"/>
        </w:rPr>
        <w:t>т</w:t>
      </w:r>
      <w:r w:rsidRPr="004761E0">
        <w:rPr>
          <w:spacing w:val="1"/>
          <w:sz w:val="26"/>
          <w:szCs w:val="26"/>
        </w:rPr>
        <w:t>и</w:t>
      </w:r>
      <w:r w:rsidRPr="004761E0">
        <w:rPr>
          <w:spacing w:val="-1"/>
          <w:sz w:val="26"/>
          <w:szCs w:val="26"/>
        </w:rPr>
        <w:t>п</w:t>
      </w:r>
      <w:r w:rsidRPr="004761E0">
        <w:rPr>
          <w:spacing w:val="1"/>
          <w:sz w:val="26"/>
          <w:szCs w:val="26"/>
        </w:rPr>
        <w:t>н</w:t>
      </w:r>
      <w:r w:rsidRPr="004761E0">
        <w:rPr>
          <w:spacing w:val="-1"/>
          <w:sz w:val="26"/>
          <w:szCs w:val="26"/>
        </w:rPr>
        <w:t>ы</w:t>
      </w:r>
      <w:r w:rsidRPr="004761E0">
        <w:rPr>
          <w:sz w:val="26"/>
          <w:szCs w:val="26"/>
        </w:rPr>
        <w:t>м.</w:t>
      </w:r>
    </w:p>
    <w:p w:rsidR="004B5B33" w:rsidRPr="004761E0" w:rsidRDefault="004B5B33" w:rsidP="004B5B33">
      <w:pPr>
        <w:autoSpaceDE w:val="0"/>
        <w:autoSpaceDN w:val="0"/>
        <w:adjustRightInd w:val="0"/>
        <w:spacing w:before="120"/>
        <w:ind w:firstLine="567"/>
        <w:rPr>
          <w:sz w:val="26"/>
          <w:szCs w:val="26"/>
        </w:rPr>
      </w:pPr>
      <w:r w:rsidRPr="004761E0">
        <w:rPr>
          <w:spacing w:val="-1"/>
          <w:sz w:val="26"/>
          <w:szCs w:val="26"/>
        </w:rPr>
        <w:t xml:space="preserve">Кроме этого, </w:t>
      </w:r>
      <w:r w:rsidRPr="004761E0">
        <w:rPr>
          <w:sz w:val="26"/>
          <w:szCs w:val="26"/>
        </w:rPr>
        <w:t>в связи с большим объемом закупок, для сокращения сроков проведения закупочных процедур, распределены полномочия между исполнительным аппаратом и филиалами в части проведения торгов на выполнение подрядных работ для реализации договоров технологического присоединения в форме закрытых запросов цен по результатам открытых конкурентных переговоров с первоначальной стоимостью до 5 млн руб. с НДС.</w:t>
      </w:r>
    </w:p>
    <w:p w:rsidR="004B5B33" w:rsidRPr="004761E0" w:rsidRDefault="004B5B33" w:rsidP="004B5B33">
      <w:pPr>
        <w:autoSpaceDE w:val="0"/>
        <w:autoSpaceDN w:val="0"/>
        <w:adjustRightInd w:val="0"/>
        <w:ind w:firstLine="567"/>
        <w:rPr>
          <w:sz w:val="26"/>
          <w:szCs w:val="26"/>
        </w:rPr>
      </w:pPr>
      <w:r w:rsidRPr="004761E0">
        <w:rPr>
          <w:spacing w:val="-1"/>
          <w:sz w:val="26"/>
          <w:szCs w:val="26"/>
        </w:rPr>
        <w:t>О</w:t>
      </w:r>
      <w:r w:rsidRPr="004761E0">
        <w:rPr>
          <w:sz w:val="26"/>
          <w:szCs w:val="26"/>
        </w:rPr>
        <w:t>с</w:t>
      </w:r>
      <w:r w:rsidRPr="004761E0">
        <w:rPr>
          <w:spacing w:val="1"/>
          <w:sz w:val="26"/>
          <w:szCs w:val="26"/>
        </w:rPr>
        <w:t>об</w:t>
      </w:r>
      <w:r w:rsidRPr="004761E0">
        <w:rPr>
          <w:spacing w:val="-2"/>
          <w:sz w:val="26"/>
          <w:szCs w:val="26"/>
        </w:rPr>
        <w:t>а</w:t>
      </w:r>
      <w:r w:rsidRPr="004761E0">
        <w:rPr>
          <w:sz w:val="26"/>
          <w:szCs w:val="26"/>
        </w:rPr>
        <w:t xml:space="preserve">я </w:t>
      </w:r>
      <w:r w:rsidRPr="004761E0">
        <w:rPr>
          <w:spacing w:val="1"/>
          <w:sz w:val="26"/>
          <w:szCs w:val="26"/>
        </w:rPr>
        <w:t>ро</w:t>
      </w:r>
      <w:r w:rsidRPr="004761E0">
        <w:rPr>
          <w:spacing w:val="-1"/>
          <w:sz w:val="26"/>
          <w:szCs w:val="26"/>
        </w:rPr>
        <w:t>л</w:t>
      </w:r>
      <w:r w:rsidRPr="004761E0">
        <w:rPr>
          <w:sz w:val="26"/>
          <w:szCs w:val="26"/>
        </w:rPr>
        <w:t xml:space="preserve">ь в </w:t>
      </w:r>
      <w:r w:rsidRPr="004761E0">
        <w:rPr>
          <w:spacing w:val="-1"/>
          <w:sz w:val="26"/>
          <w:szCs w:val="26"/>
        </w:rPr>
        <w:t>П</w:t>
      </w:r>
      <w:r w:rsidRPr="004761E0">
        <w:rPr>
          <w:spacing w:val="1"/>
          <w:sz w:val="26"/>
          <w:szCs w:val="26"/>
        </w:rPr>
        <w:t>о</w:t>
      </w:r>
      <w:r w:rsidRPr="004761E0">
        <w:rPr>
          <w:spacing w:val="-1"/>
          <w:sz w:val="26"/>
          <w:szCs w:val="26"/>
        </w:rPr>
        <w:t>л</w:t>
      </w:r>
      <w:r w:rsidRPr="004761E0">
        <w:rPr>
          <w:spacing w:val="1"/>
          <w:sz w:val="26"/>
          <w:szCs w:val="26"/>
        </w:rPr>
        <w:t>о</w:t>
      </w:r>
      <w:r w:rsidRPr="004761E0">
        <w:rPr>
          <w:spacing w:val="-2"/>
          <w:sz w:val="26"/>
          <w:szCs w:val="26"/>
        </w:rPr>
        <w:t>ж</w:t>
      </w:r>
      <w:r w:rsidRPr="004761E0">
        <w:rPr>
          <w:sz w:val="26"/>
          <w:szCs w:val="26"/>
        </w:rPr>
        <w:t>е</w:t>
      </w:r>
      <w:r w:rsidRPr="004761E0">
        <w:rPr>
          <w:spacing w:val="-1"/>
          <w:sz w:val="26"/>
          <w:szCs w:val="26"/>
        </w:rPr>
        <w:t>н</w:t>
      </w:r>
      <w:r w:rsidRPr="004761E0">
        <w:rPr>
          <w:spacing w:val="1"/>
          <w:sz w:val="26"/>
          <w:szCs w:val="26"/>
        </w:rPr>
        <w:t>и</w:t>
      </w:r>
      <w:r w:rsidRPr="004761E0">
        <w:rPr>
          <w:sz w:val="26"/>
          <w:szCs w:val="26"/>
        </w:rPr>
        <w:t xml:space="preserve">и о закупке </w:t>
      </w:r>
      <w:r w:rsidRPr="004761E0">
        <w:rPr>
          <w:spacing w:val="1"/>
          <w:sz w:val="26"/>
          <w:szCs w:val="26"/>
        </w:rPr>
        <w:t>о</w:t>
      </w:r>
      <w:r w:rsidRPr="004761E0">
        <w:rPr>
          <w:sz w:val="26"/>
          <w:szCs w:val="26"/>
        </w:rPr>
        <w:t>т</w:t>
      </w:r>
      <w:r w:rsidRPr="004761E0">
        <w:rPr>
          <w:spacing w:val="-1"/>
          <w:sz w:val="26"/>
          <w:szCs w:val="26"/>
        </w:rPr>
        <w:t>в</w:t>
      </w:r>
      <w:r w:rsidRPr="004761E0">
        <w:rPr>
          <w:spacing w:val="-2"/>
          <w:sz w:val="26"/>
          <w:szCs w:val="26"/>
        </w:rPr>
        <w:t>е</w:t>
      </w:r>
      <w:r w:rsidRPr="004761E0">
        <w:rPr>
          <w:spacing w:val="1"/>
          <w:sz w:val="26"/>
          <w:szCs w:val="26"/>
        </w:rPr>
        <w:t>д</w:t>
      </w:r>
      <w:r w:rsidRPr="004761E0">
        <w:rPr>
          <w:spacing w:val="-2"/>
          <w:sz w:val="26"/>
          <w:szCs w:val="26"/>
        </w:rPr>
        <w:t>е</w:t>
      </w:r>
      <w:r w:rsidRPr="004761E0">
        <w:rPr>
          <w:spacing w:val="1"/>
          <w:sz w:val="26"/>
          <w:szCs w:val="26"/>
        </w:rPr>
        <w:t>н</w:t>
      </w:r>
      <w:r w:rsidRPr="004761E0">
        <w:rPr>
          <w:sz w:val="26"/>
          <w:szCs w:val="26"/>
        </w:rPr>
        <w:t xml:space="preserve">а </w:t>
      </w:r>
      <w:r w:rsidRPr="004761E0">
        <w:rPr>
          <w:spacing w:val="-1"/>
          <w:sz w:val="26"/>
          <w:szCs w:val="26"/>
        </w:rPr>
        <w:t>и</w:t>
      </w:r>
      <w:r w:rsidRPr="004761E0">
        <w:rPr>
          <w:spacing w:val="1"/>
          <w:sz w:val="26"/>
          <w:szCs w:val="26"/>
        </w:rPr>
        <w:t>н</w:t>
      </w:r>
      <w:r w:rsidRPr="004761E0">
        <w:rPr>
          <w:spacing w:val="-2"/>
          <w:sz w:val="26"/>
          <w:szCs w:val="26"/>
        </w:rPr>
        <w:t>ф</w:t>
      </w:r>
      <w:r w:rsidRPr="004761E0">
        <w:rPr>
          <w:spacing w:val="1"/>
          <w:sz w:val="26"/>
          <w:szCs w:val="26"/>
        </w:rPr>
        <w:t>ор</w:t>
      </w:r>
      <w:r w:rsidRPr="004761E0">
        <w:rPr>
          <w:spacing w:val="-2"/>
          <w:sz w:val="26"/>
          <w:szCs w:val="26"/>
        </w:rPr>
        <w:t>м</w:t>
      </w:r>
      <w:r w:rsidRPr="004761E0">
        <w:rPr>
          <w:sz w:val="26"/>
          <w:szCs w:val="26"/>
        </w:rPr>
        <w:t>а</w:t>
      </w:r>
      <w:r w:rsidRPr="004761E0">
        <w:rPr>
          <w:spacing w:val="-1"/>
          <w:sz w:val="26"/>
          <w:szCs w:val="26"/>
        </w:rPr>
        <w:t>ц</w:t>
      </w:r>
      <w:r w:rsidRPr="004761E0">
        <w:rPr>
          <w:spacing w:val="1"/>
          <w:sz w:val="26"/>
          <w:szCs w:val="26"/>
        </w:rPr>
        <w:t>и</w:t>
      </w:r>
      <w:r w:rsidRPr="004761E0">
        <w:rPr>
          <w:spacing w:val="-1"/>
          <w:sz w:val="26"/>
          <w:szCs w:val="26"/>
        </w:rPr>
        <w:t>он</w:t>
      </w:r>
      <w:r w:rsidRPr="004761E0">
        <w:rPr>
          <w:spacing w:val="1"/>
          <w:sz w:val="26"/>
          <w:szCs w:val="26"/>
        </w:rPr>
        <w:t>н</w:t>
      </w:r>
      <w:r w:rsidRPr="004761E0">
        <w:rPr>
          <w:spacing w:val="-1"/>
          <w:sz w:val="26"/>
          <w:szCs w:val="26"/>
        </w:rPr>
        <w:t>о</w:t>
      </w:r>
      <w:r w:rsidRPr="004761E0">
        <w:rPr>
          <w:sz w:val="26"/>
          <w:szCs w:val="26"/>
        </w:rPr>
        <w:t xml:space="preserve">й </w:t>
      </w:r>
      <w:r w:rsidRPr="004761E0">
        <w:rPr>
          <w:spacing w:val="1"/>
          <w:sz w:val="26"/>
          <w:szCs w:val="26"/>
        </w:rPr>
        <w:t>о</w:t>
      </w:r>
      <w:r w:rsidRPr="004761E0">
        <w:rPr>
          <w:sz w:val="26"/>
          <w:szCs w:val="26"/>
        </w:rPr>
        <w:t>т</w:t>
      </w:r>
      <w:r w:rsidRPr="004761E0">
        <w:rPr>
          <w:spacing w:val="-2"/>
          <w:sz w:val="26"/>
          <w:szCs w:val="26"/>
        </w:rPr>
        <w:t>к</w:t>
      </w:r>
      <w:r w:rsidRPr="004761E0">
        <w:rPr>
          <w:spacing w:val="-1"/>
          <w:sz w:val="26"/>
          <w:szCs w:val="26"/>
        </w:rPr>
        <w:t>р</w:t>
      </w:r>
      <w:r w:rsidRPr="004761E0">
        <w:rPr>
          <w:spacing w:val="1"/>
          <w:sz w:val="26"/>
          <w:szCs w:val="26"/>
        </w:rPr>
        <w:t>ы</w:t>
      </w:r>
      <w:r w:rsidRPr="004761E0">
        <w:rPr>
          <w:sz w:val="26"/>
          <w:szCs w:val="26"/>
        </w:rPr>
        <w:t>т</w:t>
      </w:r>
      <w:r w:rsidRPr="004761E0">
        <w:rPr>
          <w:spacing w:val="-1"/>
          <w:sz w:val="26"/>
          <w:szCs w:val="26"/>
        </w:rPr>
        <w:t>о</w:t>
      </w:r>
      <w:r w:rsidRPr="004761E0">
        <w:rPr>
          <w:sz w:val="26"/>
          <w:szCs w:val="26"/>
        </w:rPr>
        <w:t>сти зак</w:t>
      </w:r>
      <w:r w:rsidRPr="004761E0">
        <w:rPr>
          <w:spacing w:val="-4"/>
          <w:sz w:val="26"/>
          <w:szCs w:val="26"/>
        </w:rPr>
        <w:t>у</w:t>
      </w:r>
      <w:r w:rsidRPr="004761E0">
        <w:rPr>
          <w:spacing w:val="1"/>
          <w:sz w:val="26"/>
          <w:szCs w:val="26"/>
        </w:rPr>
        <w:t>почных процедур</w:t>
      </w:r>
      <w:r w:rsidRPr="004761E0">
        <w:rPr>
          <w:sz w:val="26"/>
          <w:szCs w:val="26"/>
        </w:rPr>
        <w:t>,</w:t>
      </w:r>
      <w:r w:rsidRPr="004761E0">
        <w:rPr>
          <w:spacing w:val="66"/>
          <w:sz w:val="26"/>
          <w:szCs w:val="26"/>
        </w:rPr>
        <w:t xml:space="preserve"> </w:t>
      </w:r>
      <w:r w:rsidRPr="004761E0">
        <w:rPr>
          <w:spacing w:val="-2"/>
          <w:sz w:val="26"/>
          <w:szCs w:val="26"/>
        </w:rPr>
        <w:t>к</w:t>
      </w:r>
      <w:r w:rsidRPr="004761E0">
        <w:rPr>
          <w:spacing w:val="1"/>
          <w:sz w:val="26"/>
          <w:szCs w:val="26"/>
        </w:rPr>
        <w:t>о</w:t>
      </w:r>
      <w:r w:rsidRPr="004761E0">
        <w:rPr>
          <w:sz w:val="26"/>
          <w:szCs w:val="26"/>
        </w:rPr>
        <w:t>т</w:t>
      </w:r>
      <w:r w:rsidRPr="004761E0">
        <w:rPr>
          <w:spacing w:val="-1"/>
          <w:sz w:val="26"/>
          <w:szCs w:val="26"/>
        </w:rPr>
        <w:t>о</w:t>
      </w:r>
      <w:r w:rsidRPr="004761E0">
        <w:rPr>
          <w:spacing w:val="1"/>
          <w:sz w:val="26"/>
          <w:szCs w:val="26"/>
        </w:rPr>
        <w:t>р</w:t>
      </w:r>
      <w:r w:rsidRPr="004761E0">
        <w:rPr>
          <w:sz w:val="26"/>
          <w:szCs w:val="26"/>
        </w:rPr>
        <w:t>ая</w:t>
      </w:r>
      <w:r w:rsidRPr="004761E0">
        <w:rPr>
          <w:spacing w:val="62"/>
          <w:sz w:val="26"/>
          <w:szCs w:val="26"/>
        </w:rPr>
        <w:t xml:space="preserve"> </w:t>
      </w:r>
      <w:r w:rsidRPr="004761E0">
        <w:rPr>
          <w:spacing w:val="1"/>
          <w:sz w:val="26"/>
          <w:szCs w:val="26"/>
        </w:rPr>
        <w:t>н</w:t>
      </w:r>
      <w:r w:rsidRPr="004761E0">
        <w:rPr>
          <w:sz w:val="26"/>
          <w:szCs w:val="26"/>
        </w:rPr>
        <w:t>а</w:t>
      </w:r>
      <w:r w:rsidRPr="004761E0">
        <w:rPr>
          <w:spacing w:val="-1"/>
          <w:sz w:val="26"/>
          <w:szCs w:val="26"/>
        </w:rPr>
        <w:t>иб</w:t>
      </w:r>
      <w:r w:rsidRPr="004761E0">
        <w:rPr>
          <w:spacing w:val="1"/>
          <w:sz w:val="26"/>
          <w:szCs w:val="26"/>
        </w:rPr>
        <w:t>о</w:t>
      </w:r>
      <w:r w:rsidRPr="004761E0">
        <w:rPr>
          <w:spacing w:val="-1"/>
          <w:sz w:val="26"/>
          <w:szCs w:val="26"/>
        </w:rPr>
        <w:t>л</w:t>
      </w:r>
      <w:r w:rsidRPr="004761E0">
        <w:rPr>
          <w:sz w:val="26"/>
          <w:szCs w:val="26"/>
        </w:rPr>
        <w:t xml:space="preserve">ее </w:t>
      </w:r>
      <w:r w:rsidRPr="004761E0">
        <w:rPr>
          <w:spacing w:val="-1"/>
          <w:sz w:val="26"/>
          <w:szCs w:val="26"/>
        </w:rPr>
        <w:t>п</w:t>
      </w:r>
      <w:r w:rsidRPr="004761E0">
        <w:rPr>
          <w:spacing w:val="1"/>
          <w:sz w:val="26"/>
          <w:szCs w:val="26"/>
        </w:rPr>
        <w:t>о</w:t>
      </w:r>
      <w:r w:rsidRPr="004761E0">
        <w:rPr>
          <w:spacing w:val="-1"/>
          <w:sz w:val="26"/>
          <w:szCs w:val="26"/>
        </w:rPr>
        <w:t>лн</w:t>
      </w:r>
      <w:r w:rsidRPr="004761E0">
        <w:rPr>
          <w:sz w:val="26"/>
          <w:szCs w:val="26"/>
        </w:rPr>
        <w:t xml:space="preserve">о </w:t>
      </w:r>
      <w:r w:rsidRPr="004761E0">
        <w:rPr>
          <w:spacing w:val="-3"/>
          <w:sz w:val="26"/>
          <w:szCs w:val="26"/>
        </w:rPr>
        <w:t>в</w:t>
      </w:r>
      <w:r w:rsidRPr="004761E0">
        <w:rPr>
          <w:spacing w:val="1"/>
          <w:sz w:val="26"/>
          <w:szCs w:val="26"/>
        </w:rPr>
        <w:t>ыр</w:t>
      </w:r>
      <w:r w:rsidRPr="004761E0">
        <w:rPr>
          <w:sz w:val="26"/>
          <w:szCs w:val="26"/>
        </w:rPr>
        <w:t>а</w:t>
      </w:r>
      <w:r w:rsidRPr="004761E0">
        <w:rPr>
          <w:spacing w:val="-3"/>
          <w:sz w:val="26"/>
          <w:szCs w:val="26"/>
        </w:rPr>
        <w:t>з</w:t>
      </w:r>
      <w:r w:rsidRPr="004761E0">
        <w:rPr>
          <w:spacing w:val="1"/>
          <w:sz w:val="26"/>
          <w:szCs w:val="26"/>
        </w:rPr>
        <w:t>и</w:t>
      </w:r>
      <w:r w:rsidRPr="004761E0">
        <w:rPr>
          <w:spacing w:val="-1"/>
          <w:sz w:val="26"/>
          <w:szCs w:val="26"/>
        </w:rPr>
        <w:t>л</w:t>
      </w:r>
      <w:r w:rsidRPr="004761E0">
        <w:rPr>
          <w:sz w:val="26"/>
          <w:szCs w:val="26"/>
        </w:rPr>
        <w:t>ась</w:t>
      </w:r>
      <w:r w:rsidRPr="004761E0">
        <w:rPr>
          <w:spacing w:val="66"/>
          <w:sz w:val="26"/>
          <w:szCs w:val="26"/>
        </w:rPr>
        <w:t xml:space="preserve"> </w:t>
      </w:r>
      <w:r w:rsidRPr="004761E0">
        <w:rPr>
          <w:sz w:val="26"/>
          <w:szCs w:val="26"/>
        </w:rPr>
        <w:t>в</w:t>
      </w:r>
      <w:r w:rsidRPr="004761E0">
        <w:rPr>
          <w:spacing w:val="63"/>
          <w:sz w:val="26"/>
          <w:szCs w:val="26"/>
        </w:rPr>
        <w:t xml:space="preserve"> </w:t>
      </w:r>
      <w:r w:rsidRPr="004761E0">
        <w:rPr>
          <w:sz w:val="26"/>
          <w:szCs w:val="26"/>
        </w:rPr>
        <w:t>закреплении о</w:t>
      </w:r>
      <w:r w:rsidRPr="004761E0">
        <w:rPr>
          <w:spacing w:val="1"/>
          <w:sz w:val="26"/>
          <w:szCs w:val="26"/>
        </w:rPr>
        <w:t>бя</w:t>
      </w:r>
      <w:r w:rsidRPr="004761E0">
        <w:rPr>
          <w:sz w:val="26"/>
          <w:szCs w:val="26"/>
        </w:rPr>
        <w:t>зате</w:t>
      </w:r>
      <w:r w:rsidRPr="004761E0">
        <w:rPr>
          <w:spacing w:val="-1"/>
          <w:sz w:val="26"/>
          <w:szCs w:val="26"/>
        </w:rPr>
        <w:t>льн</w:t>
      </w:r>
      <w:r w:rsidRPr="004761E0">
        <w:rPr>
          <w:spacing w:val="1"/>
          <w:sz w:val="26"/>
          <w:szCs w:val="26"/>
        </w:rPr>
        <w:t>о</w:t>
      </w:r>
      <w:r w:rsidRPr="004761E0">
        <w:rPr>
          <w:spacing w:val="-2"/>
          <w:sz w:val="26"/>
          <w:szCs w:val="26"/>
        </w:rPr>
        <w:t>г</w:t>
      </w:r>
      <w:r w:rsidRPr="004761E0">
        <w:rPr>
          <w:sz w:val="26"/>
          <w:szCs w:val="26"/>
        </w:rPr>
        <w:t xml:space="preserve">о </w:t>
      </w:r>
      <w:r w:rsidRPr="004761E0">
        <w:rPr>
          <w:spacing w:val="1"/>
          <w:sz w:val="26"/>
          <w:szCs w:val="26"/>
        </w:rPr>
        <w:t>оп</w:t>
      </w:r>
      <w:r w:rsidRPr="004761E0">
        <w:rPr>
          <w:spacing w:val="-4"/>
          <w:sz w:val="26"/>
          <w:szCs w:val="26"/>
        </w:rPr>
        <w:t>у</w:t>
      </w:r>
      <w:r w:rsidRPr="004761E0">
        <w:rPr>
          <w:spacing w:val="1"/>
          <w:sz w:val="26"/>
          <w:szCs w:val="26"/>
        </w:rPr>
        <w:t>б</w:t>
      </w:r>
      <w:r w:rsidRPr="004761E0">
        <w:rPr>
          <w:spacing w:val="-1"/>
          <w:sz w:val="26"/>
          <w:szCs w:val="26"/>
        </w:rPr>
        <w:t>л</w:t>
      </w:r>
      <w:r w:rsidRPr="004761E0">
        <w:rPr>
          <w:spacing w:val="1"/>
          <w:sz w:val="26"/>
          <w:szCs w:val="26"/>
        </w:rPr>
        <w:t>и</w:t>
      </w:r>
      <w:r w:rsidRPr="004761E0">
        <w:rPr>
          <w:spacing w:val="-2"/>
          <w:sz w:val="26"/>
          <w:szCs w:val="26"/>
        </w:rPr>
        <w:t>к</w:t>
      </w:r>
      <w:r w:rsidRPr="004761E0">
        <w:rPr>
          <w:spacing w:val="1"/>
          <w:sz w:val="26"/>
          <w:szCs w:val="26"/>
        </w:rPr>
        <w:t>о</w:t>
      </w:r>
      <w:r w:rsidRPr="004761E0">
        <w:rPr>
          <w:spacing w:val="-1"/>
          <w:sz w:val="26"/>
          <w:szCs w:val="26"/>
        </w:rPr>
        <w:t>в</w:t>
      </w:r>
      <w:r w:rsidRPr="004761E0">
        <w:rPr>
          <w:spacing w:val="-2"/>
          <w:sz w:val="26"/>
          <w:szCs w:val="26"/>
        </w:rPr>
        <w:t>а</w:t>
      </w:r>
      <w:r w:rsidRPr="004761E0">
        <w:rPr>
          <w:spacing w:val="1"/>
          <w:sz w:val="26"/>
          <w:szCs w:val="26"/>
        </w:rPr>
        <w:t>ни</w:t>
      </w:r>
      <w:r w:rsidRPr="004761E0">
        <w:rPr>
          <w:sz w:val="26"/>
          <w:szCs w:val="26"/>
        </w:rPr>
        <w:t>я</w:t>
      </w:r>
      <w:r w:rsidRPr="004761E0">
        <w:rPr>
          <w:spacing w:val="19"/>
          <w:sz w:val="26"/>
          <w:szCs w:val="26"/>
        </w:rPr>
        <w:t xml:space="preserve"> </w:t>
      </w:r>
      <w:r w:rsidRPr="004761E0">
        <w:rPr>
          <w:spacing w:val="-1"/>
          <w:sz w:val="26"/>
          <w:szCs w:val="26"/>
        </w:rPr>
        <w:t>в</w:t>
      </w:r>
      <w:r w:rsidRPr="004761E0">
        <w:rPr>
          <w:sz w:val="26"/>
          <w:szCs w:val="26"/>
        </w:rPr>
        <w:t>с</w:t>
      </w:r>
      <w:r w:rsidRPr="004761E0">
        <w:rPr>
          <w:spacing w:val="-2"/>
          <w:sz w:val="26"/>
          <w:szCs w:val="26"/>
        </w:rPr>
        <w:t>е</w:t>
      </w:r>
      <w:r w:rsidRPr="004761E0">
        <w:rPr>
          <w:sz w:val="26"/>
          <w:szCs w:val="26"/>
        </w:rPr>
        <w:t>й</w:t>
      </w:r>
      <w:r w:rsidRPr="004761E0">
        <w:rPr>
          <w:spacing w:val="19"/>
          <w:sz w:val="26"/>
          <w:szCs w:val="26"/>
        </w:rPr>
        <w:t xml:space="preserve"> </w:t>
      </w:r>
      <w:r w:rsidRPr="004761E0">
        <w:rPr>
          <w:spacing w:val="1"/>
          <w:sz w:val="26"/>
          <w:szCs w:val="26"/>
        </w:rPr>
        <w:t>и</w:t>
      </w:r>
      <w:r w:rsidRPr="004761E0">
        <w:rPr>
          <w:spacing w:val="-1"/>
          <w:sz w:val="26"/>
          <w:szCs w:val="26"/>
        </w:rPr>
        <w:t>н</w:t>
      </w:r>
      <w:r w:rsidRPr="004761E0">
        <w:rPr>
          <w:spacing w:val="1"/>
          <w:sz w:val="26"/>
          <w:szCs w:val="26"/>
        </w:rPr>
        <w:t>ф</w:t>
      </w:r>
      <w:r w:rsidRPr="004761E0">
        <w:rPr>
          <w:spacing w:val="-1"/>
          <w:sz w:val="26"/>
          <w:szCs w:val="26"/>
        </w:rPr>
        <w:t>о</w:t>
      </w:r>
      <w:r w:rsidRPr="004761E0">
        <w:rPr>
          <w:spacing w:val="1"/>
          <w:sz w:val="26"/>
          <w:szCs w:val="26"/>
        </w:rPr>
        <w:t>р</w:t>
      </w:r>
      <w:r w:rsidRPr="004761E0">
        <w:rPr>
          <w:sz w:val="26"/>
          <w:szCs w:val="26"/>
        </w:rPr>
        <w:t>м</w:t>
      </w:r>
      <w:r w:rsidRPr="004761E0">
        <w:rPr>
          <w:spacing w:val="-2"/>
          <w:sz w:val="26"/>
          <w:szCs w:val="26"/>
        </w:rPr>
        <w:t>а</w:t>
      </w:r>
      <w:r w:rsidRPr="004761E0">
        <w:rPr>
          <w:spacing w:val="-1"/>
          <w:sz w:val="26"/>
          <w:szCs w:val="26"/>
        </w:rPr>
        <w:t>ц</w:t>
      </w:r>
      <w:r w:rsidRPr="004761E0">
        <w:rPr>
          <w:spacing w:val="1"/>
          <w:sz w:val="26"/>
          <w:szCs w:val="26"/>
        </w:rPr>
        <w:t>и</w:t>
      </w:r>
      <w:r w:rsidRPr="004761E0">
        <w:rPr>
          <w:sz w:val="26"/>
          <w:szCs w:val="26"/>
        </w:rPr>
        <w:t xml:space="preserve">и о </w:t>
      </w:r>
      <w:r w:rsidRPr="004761E0">
        <w:rPr>
          <w:spacing w:val="-3"/>
          <w:sz w:val="26"/>
          <w:szCs w:val="26"/>
        </w:rPr>
        <w:t>з</w:t>
      </w:r>
      <w:r w:rsidRPr="004761E0">
        <w:rPr>
          <w:sz w:val="26"/>
          <w:szCs w:val="26"/>
        </w:rPr>
        <w:t>ак</w:t>
      </w:r>
      <w:r w:rsidRPr="004761E0">
        <w:rPr>
          <w:spacing w:val="-4"/>
          <w:sz w:val="26"/>
          <w:szCs w:val="26"/>
        </w:rPr>
        <w:t>у</w:t>
      </w:r>
      <w:r w:rsidRPr="004761E0">
        <w:rPr>
          <w:spacing w:val="1"/>
          <w:sz w:val="26"/>
          <w:szCs w:val="26"/>
        </w:rPr>
        <w:t>п</w:t>
      </w:r>
      <w:r w:rsidRPr="004761E0">
        <w:rPr>
          <w:sz w:val="26"/>
          <w:szCs w:val="26"/>
        </w:rPr>
        <w:t>ка</w:t>
      </w:r>
      <w:r w:rsidRPr="004761E0">
        <w:rPr>
          <w:spacing w:val="1"/>
          <w:sz w:val="26"/>
          <w:szCs w:val="26"/>
        </w:rPr>
        <w:t>х</w:t>
      </w:r>
      <w:r w:rsidR="00AF24B2" w:rsidRPr="004761E0">
        <w:rPr>
          <w:spacing w:val="1"/>
          <w:sz w:val="26"/>
          <w:szCs w:val="26"/>
        </w:rPr>
        <w:t xml:space="preserve"> </w:t>
      </w:r>
      <w:r w:rsidRPr="004761E0">
        <w:rPr>
          <w:sz w:val="26"/>
          <w:szCs w:val="26"/>
        </w:rPr>
        <w:t xml:space="preserve">как </w:t>
      </w:r>
      <w:r w:rsidRPr="004761E0">
        <w:rPr>
          <w:spacing w:val="1"/>
          <w:sz w:val="26"/>
          <w:szCs w:val="26"/>
        </w:rPr>
        <w:t>в единой информационной системе</w:t>
      </w:r>
      <w:r w:rsidRPr="004761E0">
        <w:rPr>
          <w:sz w:val="26"/>
          <w:szCs w:val="26"/>
        </w:rPr>
        <w:t xml:space="preserve">, так и на </w:t>
      </w:r>
      <w:r w:rsidR="002A4567">
        <w:rPr>
          <w:sz w:val="26"/>
          <w:szCs w:val="26"/>
        </w:rPr>
        <w:t xml:space="preserve">корпоративном </w:t>
      </w:r>
      <w:r w:rsidRPr="004761E0">
        <w:rPr>
          <w:sz w:val="26"/>
          <w:szCs w:val="26"/>
        </w:rPr>
        <w:t>сайте Общества</w:t>
      </w:r>
      <w:r w:rsidRPr="004761E0">
        <w:rPr>
          <w:spacing w:val="-4"/>
          <w:sz w:val="26"/>
          <w:szCs w:val="26"/>
        </w:rPr>
        <w:t xml:space="preserve"> (размещение информации на обоих </w:t>
      </w:r>
      <w:r w:rsidR="00AF24B2" w:rsidRPr="004761E0">
        <w:rPr>
          <w:spacing w:val="-4"/>
          <w:sz w:val="26"/>
          <w:szCs w:val="26"/>
        </w:rPr>
        <w:t>видах информационных ресурсов</w:t>
      </w:r>
      <w:r w:rsidRPr="004761E0">
        <w:rPr>
          <w:spacing w:val="-4"/>
          <w:sz w:val="26"/>
          <w:szCs w:val="26"/>
        </w:rPr>
        <w:t xml:space="preserve"> должно быть в полном объеме идентично)</w:t>
      </w:r>
      <w:r w:rsidRPr="004761E0">
        <w:rPr>
          <w:sz w:val="26"/>
          <w:szCs w:val="26"/>
        </w:rPr>
        <w:t>, а также в определении приоритетной формой проведения закупочных процедур использования электронных средств коммерции.</w:t>
      </w:r>
    </w:p>
    <w:p w:rsidR="004B5B33" w:rsidRPr="009817EE" w:rsidRDefault="004B5B33" w:rsidP="009817EE">
      <w:pPr>
        <w:spacing w:before="120" w:after="120"/>
        <w:ind w:firstLine="567"/>
        <w:rPr>
          <w:b/>
          <w:sz w:val="26"/>
          <w:szCs w:val="26"/>
        </w:rPr>
      </w:pPr>
      <w:r w:rsidRPr="004761E0">
        <w:rPr>
          <w:b/>
          <w:sz w:val="26"/>
          <w:szCs w:val="26"/>
        </w:rPr>
        <w:t>Способы проведения закупочных процедур</w:t>
      </w:r>
    </w:p>
    <w:p w:rsidR="004B5B33" w:rsidRPr="004761E0" w:rsidRDefault="004B5B33" w:rsidP="004B5B33">
      <w:pPr>
        <w:ind w:firstLine="567"/>
        <w:rPr>
          <w:sz w:val="26"/>
          <w:szCs w:val="26"/>
        </w:rPr>
      </w:pPr>
      <w:r w:rsidRPr="004761E0">
        <w:rPr>
          <w:bCs/>
          <w:sz w:val="26"/>
          <w:szCs w:val="26"/>
        </w:rPr>
        <w:t xml:space="preserve">Способы проведения закупочных процедур определяются в соответствии с </w:t>
      </w:r>
      <w:r w:rsidRPr="004761E0">
        <w:rPr>
          <w:sz w:val="26"/>
          <w:szCs w:val="26"/>
        </w:rPr>
        <w:t>Положением о закупке</w:t>
      </w:r>
      <w:r w:rsidRPr="004761E0">
        <w:rPr>
          <w:bCs/>
          <w:sz w:val="26"/>
          <w:szCs w:val="26"/>
        </w:rPr>
        <w:t>.</w:t>
      </w:r>
      <w:bookmarkStart w:id="86" w:name="_Ref306615055"/>
      <w:r w:rsidRPr="004761E0">
        <w:rPr>
          <w:sz w:val="26"/>
          <w:szCs w:val="26"/>
        </w:rPr>
        <w:t xml:space="preserve"> В случае отсутствия прямо предусмотренных данным документом оснований, закупка любой продукции должна производиться путем проведения открытого одноэтапного конкурса без применения специальных процедур либо открытого аукциона, если иное не установлено действующим законодательством РФ. </w:t>
      </w:r>
      <w:bookmarkStart w:id="87" w:name="_Ref340215843"/>
      <w:bookmarkEnd w:id="86"/>
    </w:p>
    <w:p w:rsidR="004B5B33" w:rsidRPr="004761E0" w:rsidRDefault="004B5B33" w:rsidP="004B5B33">
      <w:pPr>
        <w:pStyle w:val="3"/>
        <w:numPr>
          <w:ilvl w:val="0"/>
          <w:numId w:val="0"/>
        </w:numPr>
        <w:ind w:firstLine="567"/>
        <w:rPr>
          <w:sz w:val="26"/>
          <w:szCs w:val="26"/>
        </w:rPr>
      </w:pPr>
      <w:r w:rsidRPr="004761E0">
        <w:rPr>
          <w:sz w:val="26"/>
          <w:szCs w:val="26"/>
        </w:rPr>
        <w:t>Положение</w:t>
      </w:r>
      <w:r w:rsidR="00AF24B2" w:rsidRPr="004761E0">
        <w:rPr>
          <w:sz w:val="26"/>
          <w:szCs w:val="26"/>
        </w:rPr>
        <w:t>м</w:t>
      </w:r>
      <w:r w:rsidRPr="004761E0">
        <w:rPr>
          <w:sz w:val="26"/>
          <w:szCs w:val="26"/>
        </w:rPr>
        <w:t xml:space="preserve"> предусмотрены следующие способы закупок (выбираемые в зависимости от предмета договора, количества критериев и иных факторов):</w:t>
      </w:r>
      <w:bookmarkEnd w:id="87"/>
    </w:p>
    <w:p w:rsidR="004B5B33" w:rsidRPr="004761E0" w:rsidRDefault="004B5B33" w:rsidP="007076A7">
      <w:pPr>
        <w:pStyle w:val="3"/>
        <w:numPr>
          <w:ilvl w:val="0"/>
          <w:numId w:val="187"/>
        </w:numPr>
        <w:ind w:left="851" w:hanging="284"/>
        <w:rPr>
          <w:sz w:val="26"/>
          <w:szCs w:val="26"/>
        </w:rPr>
      </w:pPr>
      <w:r w:rsidRPr="004761E0">
        <w:rPr>
          <w:sz w:val="26"/>
          <w:szCs w:val="26"/>
        </w:rPr>
        <w:t>конкурс, аукцион;</w:t>
      </w:r>
    </w:p>
    <w:p w:rsidR="004B5B33" w:rsidRPr="004761E0" w:rsidRDefault="004B5B33" w:rsidP="007076A7">
      <w:pPr>
        <w:pStyle w:val="3"/>
        <w:numPr>
          <w:ilvl w:val="0"/>
          <w:numId w:val="187"/>
        </w:numPr>
        <w:ind w:left="851" w:hanging="284"/>
        <w:rPr>
          <w:sz w:val="26"/>
          <w:szCs w:val="26"/>
        </w:rPr>
      </w:pPr>
      <w:r w:rsidRPr="004761E0">
        <w:rPr>
          <w:sz w:val="26"/>
          <w:szCs w:val="26"/>
        </w:rPr>
        <w:t>запрос предложений, конкурентные переговоры, запрос цен;</w:t>
      </w:r>
    </w:p>
    <w:p w:rsidR="004B5B33" w:rsidRPr="004761E0" w:rsidRDefault="004B5B33" w:rsidP="007076A7">
      <w:pPr>
        <w:pStyle w:val="3"/>
        <w:numPr>
          <w:ilvl w:val="0"/>
          <w:numId w:val="187"/>
        </w:numPr>
        <w:ind w:left="851" w:hanging="284"/>
        <w:rPr>
          <w:sz w:val="26"/>
          <w:szCs w:val="26"/>
        </w:rPr>
      </w:pPr>
      <w:r w:rsidRPr="004761E0">
        <w:rPr>
          <w:sz w:val="26"/>
          <w:szCs w:val="26"/>
        </w:rPr>
        <w:t>простая закупка, мелкая закупка;</w:t>
      </w:r>
    </w:p>
    <w:p w:rsidR="004B5B33" w:rsidRPr="004761E0" w:rsidRDefault="004B5B33" w:rsidP="007076A7">
      <w:pPr>
        <w:pStyle w:val="3"/>
        <w:numPr>
          <w:ilvl w:val="0"/>
          <w:numId w:val="187"/>
        </w:numPr>
        <w:ind w:left="851" w:hanging="284"/>
        <w:rPr>
          <w:sz w:val="26"/>
          <w:szCs w:val="26"/>
        </w:rPr>
      </w:pPr>
      <w:r w:rsidRPr="004761E0">
        <w:rPr>
          <w:sz w:val="26"/>
          <w:szCs w:val="26"/>
        </w:rPr>
        <w:t>закупка у единственного поставщика</w:t>
      </w:r>
      <w:r w:rsidR="00AF24B2" w:rsidRPr="004761E0">
        <w:rPr>
          <w:sz w:val="26"/>
          <w:szCs w:val="26"/>
        </w:rPr>
        <w:t>;</w:t>
      </w:r>
    </w:p>
    <w:p w:rsidR="004B5B33" w:rsidRPr="004761E0" w:rsidRDefault="004B5B33" w:rsidP="007076A7">
      <w:pPr>
        <w:pStyle w:val="3"/>
        <w:numPr>
          <w:ilvl w:val="0"/>
          <w:numId w:val="187"/>
        </w:numPr>
        <w:ind w:left="851" w:hanging="284"/>
        <w:rPr>
          <w:sz w:val="26"/>
          <w:szCs w:val="26"/>
        </w:rPr>
      </w:pPr>
      <w:r w:rsidRPr="004761E0">
        <w:rPr>
          <w:sz w:val="26"/>
          <w:szCs w:val="26"/>
        </w:rPr>
        <w:t>закупка путем участия в процедурах, организованных продавцами продукции</w:t>
      </w:r>
      <w:r w:rsidR="00AF24B2" w:rsidRPr="004761E0">
        <w:rPr>
          <w:sz w:val="26"/>
          <w:szCs w:val="26"/>
        </w:rPr>
        <w:t>.</w:t>
      </w:r>
    </w:p>
    <w:p w:rsidR="004B5B33" w:rsidRPr="004761E0" w:rsidRDefault="004B5B33" w:rsidP="004B5B33">
      <w:pPr>
        <w:spacing w:before="120"/>
        <w:ind w:firstLine="567"/>
        <w:rPr>
          <w:sz w:val="26"/>
          <w:szCs w:val="26"/>
        </w:rPr>
      </w:pPr>
      <w:bookmarkStart w:id="88" w:name="_Toc235419488"/>
      <w:r w:rsidRPr="004761E0">
        <w:rPr>
          <w:sz w:val="26"/>
          <w:szCs w:val="26"/>
        </w:rPr>
        <w:t xml:space="preserve">Общество проводит закупочные процедуры посредством электронной торговой площадки </w:t>
      </w:r>
      <w:r w:rsidRPr="004761E0">
        <w:rPr>
          <w:sz w:val="26"/>
          <w:szCs w:val="26"/>
          <w:lang w:val="en-US"/>
        </w:rPr>
        <w:t>b</w:t>
      </w:r>
      <w:r w:rsidRPr="004761E0">
        <w:rPr>
          <w:sz w:val="26"/>
          <w:szCs w:val="26"/>
        </w:rPr>
        <w:t>2</w:t>
      </w:r>
      <w:r w:rsidRPr="004761E0">
        <w:rPr>
          <w:sz w:val="26"/>
          <w:szCs w:val="26"/>
          <w:lang w:val="en-US"/>
        </w:rPr>
        <w:t>b</w:t>
      </w:r>
      <w:r w:rsidRPr="004761E0">
        <w:rPr>
          <w:sz w:val="26"/>
          <w:szCs w:val="26"/>
        </w:rPr>
        <w:t>-</w:t>
      </w:r>
      <w:r w:rsidRPr="004761E0">
        <w:rPr>
          <w:sz w:val="26"/>
          <w:szCs w:val="26"/>
          <w:lang w:val="en-US"/>
        </w:rPr>
        <w:t>energo</w:t>
      </w:r>
      <w:r w:rsidRPr="004761E0">
        <w:rPr>
          <w:sz w:val="26"/>
          <w:szCs w:val="26"/>
        </w:rPr>
        <w:t>.</w:t>
      </w:r>
      <w:r w:rsidRPr="004761E0">
        <w:rPr>
          <w:sz w:val="26"/>
          <w:szCs w:val="26"/>
          <w:lang w:val="en-US"/>
        </w:rPr>
        <w:t>ru</w:t>
      </w:r>
      <w:r w:rsidRPr="004761E0">
        <w:rPr>
          <w:sz w:val="26"/>
          <w:szCs w:val="26"/>
        </w:rPr>
        <w:t>, которая обеспечивает привлечение большего числа поставщиков услуг и, как следствие, создание конкурентной среды закупок, способствующей повышению эффективности закупочной деятельности.</w:t>
      </w:r>
    </w:p>
    <w:p w:rsidR="004B5B33" w:rsidRPr="004761E0" w:rsidRDefault="004B5B33" w:rsidP="004B5B33">
      <w:pPr>
        <w:ind w:firstLine="567"/>
        <w:rPr>
          <w:sz w:val="26"/>
          <w:szCs w:val="26"/>
        </w:rPr>
      </w:pPr>
      <w:r w:rsidRPr="004761E0">
        <w:rPr>
          <w:sz w:val="26"/>
          <w:szCs w:val="26"/>
        </w:rPr>
        <w:t>В 2013 году объем открытых конкурентных закупочных процедур, проведенных с помощью средств электронной коммерции, составил 95 % от общего количества закупок или 98 % от общего объема закупок в стоимостном выражении.</w:t>
      </w:r>
    </w:p>
    <w:p w:rsidR="004B5B33" w:rsidRPr="009817EE" w:rsidRDefault="004B5B33" w:rsidP="009817EE">
      <w:pPr>
        <w:spacing w:before="120" w:after="120"/>
        <w:ind w:firstLine="567"/>
        <w:rPr>
          <w:b/>
          <w:sz w:val="26"/>
          <w:szCs w:val="26"/>
        </w:rPr>
      </w:pPr>
      <w:r w:rsidRPr="009817EE">
        <w:rPr>
          <w:b/>
          <w:sz w:val="26"/>
          <w:szCs w:val="26"/>
        </w:rPr>
        <w:t>Эффективность закупочных процедур</w:t>
      </w:r>
    </w:p>
    <w:tbl>
      <w:tblPr>
        <w:tblW w:w="9936" w:type="dxa"/>
        <w:tblInd w:w="95" w:type="dxa"/>
        <w:tblLook w:val="04A0"/>
      </w:tblPr>
      <w:tblGrid>
        <w:gridCol w:w="580"/>
        <w:gridCol w:w="4820"/>
        <w:gridCol w:w="1134"/>
        <w:gridCol w:w="1134"/>
        <w:gridCol w:w="1134"/>
        <w:gridCol w:w="1134"/>
      </w:tblGrid>
      <w:tr w:rsidR="004B5B33" w:rsidRPr="004761E0" w:rsidTr="004B5B33">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4B5B33" w:rsidRPr="004761E0" w:rsidRDefault="004B5B33" w:rsidP="004B5B33">
            <w:pPr>
              <w:rPr>
                <w:b/>
                <w:color w:val="FFFFFF" w:themeColor="background1"/>
                <w:sz w:val="20"/>
                <w:szCs w:val="20"/>
              </w:rPr>
            </w:pPr>
            <w:r w:rsidRPr="004761E0">
              <w:rPr>
                <w:b/>
                <w:color w:val="FFFFFF" w:themeColor="background1"/>
                <w:sz w:val="20"/>
                <w:szCs w:val="20"/>
              </w:rPr>
              <w:t>№ п/п</w:t>
            </w:r>
          </w:p>
        </w:tc>
        <w:tc>
          <w:tcPr>
            <w:tcW w:w="48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B5B33" w:rsidRPr="004761E0" w:rsidRDefault="004B5B33" w:rsidP="004B5B33">
            <w:pPr>
              <w:rPr>
                <w:b/>
                <w:color w:val="FFFFFF" w:themeColor="background1"/>
                <w:sz w:val="20"/>
                <w:szCs w:val="20"/>
              </w:rPr>
            </w:pPr>
            <w:r w:rsidRPr="004761E0">
              <w:rPr>
                <w:b/>
                <w:color w:val="FFFFFF" w:themeColor="background1"/>
                <w:sz w:val="20"/>
                <w:szCs w:val="20"/>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B5B33" w:rsidRPr="004761E0" w:rsidRDefault="004B5B33" w:rsidP="004B5B33">
            <w:pPr>
              <w:ind w:firstLine="0"/>
              <w:jc w:val="right"/>
              <w:rPr>
                <w:b/>
                <w:color w:val="FFFFFF" w:themeColor="background1"/>
                <w:sz w:val="20"/>
                <w:szCs w:val="20"/>
              </w:rPr>
            </w:pPr>
            <w:r w:rsidRPr="004761E0">
              <w:rPr>
                <w:b/>
                <w:color w:val="FFFFFF" w:themeColor="background1"/>
                <w:sz w:val="20"/>
                <w:szCs w:val="20"/>
              </w:rPr>
              <w:t>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B5B33" w:rsidRPr="004761E0" w:rsidRDefault="004B5B33" w:rsidP="004B5B33">
            <w:pPr>
              <w:ind w:firstLine="0"/>
              <w:jc w:val="right"/>
              <w:rPr>
                <w:b/>
                <w:color w:val="FFFFFF" w:themeColor="background1"/>
                <w:sz w:val="20"/>
                <w:szCs w:val="20"/>
              </w:rPr>
            </w:pPr>
            <w:r w:rsidRPr="004761E0">
              <w:rPr>
                <w:b/>
                <w:color w:val="FFFFFF" w:themeColor="background1"/>
                <w:sz w:val="20"/>
                <w:szCs w:val="20"/>
              </w:rPr>
              <w:t>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B5B33" w:rsidRPr="004761E0" w:rsidRDefault="004B5B33" w:rsidP="004B5B33">
            <w:pPr>
              <w:ind w:firstLine="0"/>
              <w:jc w:val="right"/>
              <w:rPr>
                <w:b/>
                <w:color w:val="FFFFFF" w:themeColor="background1"/>
                <w:sz w:val="20"/>
                <w:szCs w:val="20"/>
              </w:rPr>
            </w:pPr>
            <w:r w:rsidRPr="004761E0">
              <w:rPr>
                <w:b/>
                <w:color w:val="FFFFFF" w:themeColor="background1"/>
                <w:sz w:val="20"/>
                <w:szCs w:val="20"/>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4B5B33" w:rsidRPr="004761E0" w:rsidRDefault="004B5B33" w:rsidP="004B5B33">
            <w:pPr>
              <w:ind w:firstLine="0"/>
              <w:jc w:val="right"/>
              <w:rPr>
                <w:b/>
                <w:color w:val="FFFFFF" w:themeColor="background1"/>
                <w:sz w:val="20"/>
                <w:szCs w:val="20"/>
              </w:rPr>
            </w:pPr>
            <w:r w:rsidRPr="004761E0">
              <w:rPr>
                <w:b/>
                <w:color w:val="FFFFFF" w:themeColor="background1"/>
                <w:sz w:val="20"/>
                <w:szCs w:val="20"/>
              </w:rPr>
              <w:t>2013/2012</w:t>
            </w:r>
          </w:p>
        </w:tc>
      </w:tr>
      <w:tr w:rsidR="004B5B33" w:rsidRPr="004761E0" w:rsidTr="004B5B33">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numPr>
                <w:ilvl w:val="0"/>
                <w:numId w:val="186"/>
              </w:numPr>
              <w:jc w:val="left"/>
              <w:rPr>
                <w:b/>
                <w:color w:val="000000"/>
                <w:sz w:val="20"/>
                <w:szCs w:val="20"/>
              </w:rPr>
            </w:pPr>
          </w:p>
        </w:tc>
        <w:tc>
          <w:tcPr>
            <w:tcW w:w="4820"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rPr>
                <w:sz w:val="20"/>
                <w:szCs w:val="20"/>
              </w:rPr>
            </w:pPr>
            <w:r w:rsidRPr="004761E0">
              <w:rPr>
                <w:sz w:val="20"/>
                <w:szCs w:val="20"/>
              </w:rPr>
              <w:t>Экономический эффект от проведения закупочных процедур, млн руб. с НДС</w:t>
            </w:r>
          </w:p>
        </w:tc>
        <w:tc>
          <w:tcPr>
            <w:tcW w:w="1134"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bCs/>
                <w:color w:val="000000"/>
                <w:sz w:val="20"/>
                <w:szCs w:val="20"/>
              </w:rPr>
            </w:pPr>
            <w:r w:rsidRPr="004761E0">
              <w:rPr>
                <w:bCs/>
                <w:color w:val="000000"/>
                <w:sz w:val="20"/>
                <w:szCs w:val="20"/>
              </w:rPr>
              <w:t>7 886</w:t>
            </w:r>
          </w:p>
        </w:tc>
        <w:tc>
          <w:tcPr>
            <w:tcW w:w="1134"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bCs/>
                <w:color w:val="000000"/>
                <w:sz w:val="20"/>
                <w:szCs w:val="20"/>
              </w:rPr>
            </w:pPr>
            <w:r w:rsidRPr="004761E0">
              <w:rPr>
                <w:bCs/>
                <w:color w:val="000000"/>
                <w:sz w:val="20"/>
                <w:szCs w:val="20"/>
              </w:rPr>
              <w:t>5 236</w:t>
            </w:r>
          </w:p>
        </w:tc>
        <w:tc>
          <w:tcPr>
            <w:tcW w:w="1134"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bCs/>
                <w:color w:val="000000"/>
                <w:sz w:val="20"/>
                <w:szCs w:val="20"/>
              </w:rPr>
            </w:pPr>
            <w:r w:rsidRPr="004761E0">
              <w:rPr>
                <w:bCs/>
                <w:color w:val="000000"/>
                <w:sz w:val="20"/>
                <w:szCs w:val="20"/>
              </w:rPr>
              <w:t>8 709</w:t>
            </w:r>
          </w:p>
        </w:tc>
        <w:tc>
          <w:tcPr>
            <w:tcW w:w="1134"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bCs/>
                <w:color w:val="000000"/>
                <w:sz w:val="20"/>
                <w:szCs w:val="20"/>
              </w:rPr>
            </w:pPr>
            <w:r w:rsidRPr="004761E0">
              <w:rPr>
                <w:bCs/>
                <w:color w:val="000000"/>
                <w:sz w:val="20"/>
                <w:szCs w:val="20"/>
              </w:rPr>
              <w:t>66,33 %</w:t>
            </w:r>
          </w:p>
        </w:tc>
      </w:tr>
      <w:tr w:rsidR="004B5B33" w:rsidRPr="004761E0" w:rsidTr="004B5B33">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numPr>
                <w:ilvl w:val="0"/>
                <w:numId w:val="186"/>
              </w:numPr>
              <w:jc w:val="left"/>
              <w:rPr>
                <w:color w:val="000000"/>
                <w:sz w:val="20"/>
                <w:szCs w:val="20"/>
              </w:rPr>
            </w:pPr>
          </w:p>
        </w:tc>
        <w:tc>
          <w:tcPr>
            <w:tcW w:w="4820"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rPr>
                <w:color w:val="000000"/>
                <w:sz w:val="20"/>
                <w:szCs w:val="20"/>
              </w:rPr>
            </w:pPr>
            <w:r w:rsidRPr="004761E0">
              <w:rPr>
                <w:color w:val="000000"/>
                <w:sz w:val="20"/>
                <w:szCs w:val="20"/>
              </w:rPr>
              <w:t>Экономический эффект от проведения закупочных процедур, %</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8,8</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9,4</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9,2</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-0,20 п.п.</w:t>
            </w:r>
          </w:p>
        </w:tc>
      </w:tr>
    </w:tbl>
    <w:p w:rsidR="004B5B33" w:rsidRPr="004761E0" w:rsidRDefault="004B5B33" w:rsidP="004B5B33">
      <w:pPr>
        <w:spacing w:before="120" w:after="120"/>
        <w:ind w:firstLine="0"/>
        <w:rPr>
          <w:b/>
          <w:sz w:val="26"/>
          <w:szCs w:val="26"/>
        </w:rPr>
      </w:pPr>
      <w:r w:rsidRPr="004761E0">
        <w:rPr>
          <w:noProof/>
          <w:sz w:val="26"/>
          <w:szCs w:val="26"/>
          <w:lang w:eastAsia="ru-RU"/>
        </w:rPr>
        <w:lastRenderedPageBreak/>
        <w:drawing>
          <wp:inline distT="0" distB="0" distL="0" distR="0">
            <wp:extent cx="2787760" cy="2258171"/>
            <wp:effectExtent l="19050" t="0" r="12590" b="8779"/>
            <wp:docPr id="127" name="Диаграмма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bookmarkEnd w:id="88"/>
    </w:p>
    <w:p w:rsidR="004B5B33" w:rsidRPr="004761E0" w:rsidRDefault="004B5B33" w:rsidP="009817EE">
      <w:pPr>
        <w:spacing w:before="120" w:after="120"/>
        <w:ind w:firstLine="567"/>
        <w:rPr>
          <w:b/>
          <w:sz w:val="26"/>
          <w:szCs w:val="26"/>
        </w:rPr>
      </w:pPr>
      <w:r w:rsidRPr="004761E0">
        <w:rPr>
          <w:b/>
          <w:sz w:val="26"/>
          <w:szCs w:val="26"/>
        </w:rPr>
        <w:t>Структура закупок по видам деятельности</w:t>
      </w:r>
    </w:p>
    <w:tbl>
      <w:tblPr>
        <w:tblW w:w="9936" w:type="dxa"/>
        <w:tblInd w:w="95" w:type="dxa"/>
        <w:tblLook w:val="04A0"/>
      </w:tblPr>
      <w:tblGrid>
        <w:gridCol w:w="581"/>
        <w:gridCol w:w="4817"/>
        <w:gridCol w:w="1138"/>
        <w:gridCol w:w="1127"/>
        <w:gridCol w:w="6"/>
        <w:gridCol w:w="1133"/>
        <w:gridCol w:w="1134"/>
      </w:tblGrid>
      <w:tr w:rsidR="004B5B33" w:rsidRPr="004761E0" w:rsidTr="004B5B33">
        <w:trPr>
          <w:trHeight w:val="300"/>
        </w:trPr>
        <w:tc>
          <w:tcPr>
            <w:tcW w:w="581"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4B5B33" w:rsidRPr="004761E0" w:rsidRDefault="004B5B33" w:rsidP="004B5B33">
            <w:pPr>
              <w:ind w:firstLine="0"/>
              <w:rPr>
                <w:b/>
                <w:color w:val="FFFFFF" w:themeColor="background1"/>
                <w:sz w:val="20"/>
                <w:szCs w:val="20"/>
              </w:rPr>
            </w:pPr>
            <w:r w:rsidRPr="004761E0">
              <w:rPr>
                <w:b/>
                <w:color w:val="FFFFFF" w:themeColor="background1"/>
                <w:sz w:val="20"/>
                <w:szCs w:val="20"/>
              </w:rPr>
              <w:t>№ п/п</w:t>
            </w:r>
          </w:p>
        </w:tc>
        <w:tc>
          <w:tcPr>
            <w:tcW w:w="481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B5B33" w:rsidRPr="004761E0" w:rsidRDefault="004B5B33" w:rsidP="004B5B33">
            <w:pPr>
              <w:ind w:firstLine="0"/>
              <w:rPr>
                <w:b/>
                <w:color w:val="FFFFFF" w:themeColor="background1"/>
                <w:sz w:val="20"/>
                <w:szCs w:val="20"/>
              </w:rPr>
            </w:pPr>
            <w:r w:rsidRPr="004761E0">
              <w:rPr>
                <w:b/>
                <w:color w:val="FFFFFF" w:themeColor="background1"/>
                <w:sz w:val="20"/>
                <w:szCs w:val="20"/>
              </w:rPr>
              <w:t>Наименование категории</w:t>
            </w:r>
          </w:p>
        </w:tc>
        <w:tc>
          <w:tcPr>
            <w:tcW w:w="113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B5B33" w:rsidRPr="004761E0" w:rsidRDefault="004B5B33" w:rsidP="004B5B33">
            <w:pPr>
              <w:ind w:firstLine="0"/>
              <w:jc w:val="right"/>
              <w:rPr>
                <w:b/>
                <w:color w:val="FFFFFF" w:themeColor="background1"/>
                <w:sz w:val="20"/>
                <w:szCs w:val="20"/>
              </w:rPr>
            </w:pPr>
            <w:r w:rsidRPr="004761E0">
              <w:rPr>
                <w:b/>
                <w:color w:val="FFFFFF" w:themeColor="background1"/>
                <w:sz w:val="20"/>
                <w:szCs w:val="20"/>
              </w:rPr>
              <w:t>2011</w:t>
            </w:r>
          </w:p>
        </w:tc>
        <w:tc>
          <w:tcPr>
            <w:tcW w:w="1133" w:type="dxa"/>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B5B33" w:rsidRPr="004761E0" w:rsidRDefault="004B5B33" w:rsidP="004B5B33">
            <w:pPr>
              <w:ind w:firstLine="0"/>
              <w:jc w:val="right"/>
              <w:rPr>
                <w:b/>
                <w:color w:val="FFFFFF" w:themeColor="background1"/>
                <w:sz w:val="20"/>
                <w:szCs w:val="20"/>
              </w:rPr>
            </w:pPr>
            <w:r w:rsidRPr="004761E0">
              <w:rPr>
                <w:b/>
                <w:color w:val="FFFFFF" w:themeColor="background1"/>
                <w:sz w:val="20"/>
                <w:szCs w:val="20"/>
              </w:rPr>
              <w:t>2012</w:t>
            </w:r>
          </w:p>
        </w:tc>
        <w:tc>
          <w:tcPr>
            <w:tcW w:w="113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B5B33" w:rsidRPr="004761E0" w:rsidRDefault="004B5B33" w:rsidP="004B5B33">
            <w:pPr>
              <w:ind w:firstLine="0"/>
              <w:jc w:val="right"/>
              <w:rPr>
                <w:b/>
                <w:color w:val="FFFFFF" w:themeColor="background1"/>
                <w:sz w:val="20"/>
                <w:szCs w:val="20"/>
              </w:rPr>
            </w:pPr>
            <w:r w:rsidRPr="004761E0">
              <w:rPr>
                <w:b/>
                <w:color w:val="FFFFFF" w:themeColor="background1"/>
                <w:sz w:val="20"/>
                <w:szCs w:val="20"/>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4B5B33" w:rsidRPr="004761E0" w:rsidRDefault="004B5B33" w:rsidP="004B5B33">
            <w:pPr>
              <w:ind w:firstLine="0"/>
              <w:jc w:val="right"/>
              <w:rPr>
                <w:b/>
                <w:color w:val="FFFFFF" w:themeColor="background1"/>
                <w:sz w:val="20"/>
                <w:szCs w:val="20"/>
              </w:rPr>
            </w:pPr>
            <w:r w:rsidRPr="004761E0">
              <w:rPr>
                <w:b/>
                <w:color w:val="FFFFFF" w:themeColor="background1"/>
                <w:sz w:val="20"/>
                <w:szCs w:val="20"/>
              </w:rPr>
              <w:t>2013/2012</w:t>
            </w:r>
          </w:p>
        </w:tc>
      </w:tr>
      <w:tr w:rsidR="004B5B33" w:rsidRPr="004761E0" w:rsidTr="004B5B33">
        <w:trPr>
          <w:trHeight w:val="30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numPr>
                <w:ilvl w:val="0"/>
                <w:numId w:val="191"/>
              </w:numPr>
              <w:jc w:val="left"/>
              <w:rPr>
                <w:b/>
                <w:color w:val="000000"/>
                <w:sz w:val="20"/>
                <w:szCs w:val="20"/>
              </w:rPr>
            </w:pPr>
          </w:p>
        </w:tc>
        <w:tc>
          <w:tcPr>
            <w:tcW w:w="4817"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rPr>
                <w:b/>
                <w:bCs/>
                <w:color w:val="000000"/>
                <w:sz w:val="20"/>
                <w:szCs w:val="20"/>
              </w:rPr>
            </w:pPr>
            <w:r w:rsidRPr="004761E0">
              <w:rPr>
                <w:b/>
                <w:bCs/>
                <w:color w:val="000000"/>
                <w:sz w:val="20"/>
                <w:szCs w:val="20"/>
              </w:rPr>
              <w:t>Количество, шт. (всего), в т.ч.:</w:t>
            </w:r>
          </w:p>
        </w:tc>
        <w:tc>
          <w:tcPr>
            <w:tcW w:w="1138"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b/>
                <w:bCs/>
                <w:color w:val="000000"/>
                <w:sz w:val="20"/>
                <w:szCs w:val="20"/>
              </w:rPr>
            </w:pPr>
            <w:r w:rsidRPr="004761E0">
              <w:rPr>
                <w:b/>
                <w:bCs/>
                <w:color w:val="000000"/>
                <w:sz w:val="20"/>
                <w:szCs w:val="20"/>
              </w:rPr>
              <w:t>3 007</w:t>
            </w:r>
          </w:p>
        </w:tc>
        <w:tc>
          <w:tcPr>
            <w:tcW w:w="1127"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b/>
                <w:bCs/>
                <w:color w:val="000000"/>
                <w:sz w:val="20"/>
                <w:szCs w:val="20"/>
              </w:rPr>
            </w:pPr>
            <w:r w:rsidRPr="004761E0">
              <w:rPr>
                <w:b/>
                <w:bCs/>
                <w:color w:val="000000"/>
                <w:sz w:val="20"/>
                <w:szCs w:val="20"/>
              </w:rPr>
              <w:t>2 323</w:t>
            </w:r>
          </w:p>
        </w:tc>
        <w:tc>
          <w:tcPr>
            <w:tcW w:w="1139" w:type="dxa"/>
            <w:gridSpan w:val="2"/>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b/>
                <w:bCs/>
                <w:color w:val="000000"/>
                <w:sz w:val="20"/>
                <w:szCs w:val="20"/>
              </w:rPr>
            </w:pPr>
            <w:r w:rsidRPr="004761E0">
              <w:rPr>
                <w:b/>
                <w:bCs/>
                <w:color w:val="000000"/>
                <w:sz w:val="20"/>
                <w:szCs w:val="20"/>
              </w:rPr>
              <w:t>3 496</w:t>
            </w:r>
          </w:p>
        </w:tc>
        <w:tc>
          <w:tcPr>
            <w:tcW w:w="1134"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b/>
                <w:color w:val="000000"/>
                <w:sz w:val="20"/>
                <w:szCs w:val="20"/>
              </w:rPr>
            </w:pPr>
            <w:r w:rsidRPr="004761E0">
              <w:rPr>
                <w:b/>
                <w:color w:val="000000"/>
                <w:sz w:val="20"/>
                <w:szCs w:val="20"/>
              </w:rPr>
              <w:t>50,50 %</w:t>
            </w:r>
          </w:p>
        </w:tc>
      </w:tr>
      <w:tr w:rsidR="004B5B33" w:rsidRPr="004761E0" w:rsidTr="004B5B33">
        <w:trPr>
          <w:trHeight w:val="30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pStyle w:val="a5"/>
              <w:numPr>
                <w:ilvl w:val="1"/>
                <w:numId w:val="191"/>
              </w:numPr>
              <w:jc w:val="left"/>
              <w:rPr>
                <w:rFonts w:eastAsia="Times New Roman"/>
                <w:color w:val="000000"/>
                <w:sz w:val="20"/>
                <w:szCs w:val="20"/>
                <w:lang w:eastAsia="ru-RU"/>
              </w:rPr>
            </w:pPr>
          </w:p>
        </w:tc>
        <w:tc>
          <w:tcPr>
            <w:tcW w:w="4817"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Chars="200" w:firstLine="400"/>
              <w:rPr>
                <w:color w:val="000000"/>
                <w:sz w:val="20"/>
                <w:szCs w:val="20"/>
              </w:rPr>
            </w:pPr>
            <w:r w:rsidRPr="004761E0">
              <w:rPr>
                <w:color w:val="000000"/>
                <w:sz w:val="20"/>
                <w:szCs w:val="20"/>
              </w:rPr>
              <w:t>новое строительство</w:t>
            </w:r>
          </w:p>
        </w:tc>
        <w:tc>
          <w:tcPr>
            <w:tcW w:w="1138"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374</w:t>
            </w:r>
          </w:p>
        </w:tc>
        <w:tc>
          <w:tcPr>
            <w:tcW w:w="1133" w:type="dxa"/>
            <w:gridSpan w:val="2"/>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483</w:t>
            </w:r>
          </w:p>
        </w:tc>
        <w:tc>
          <w:tcPr>
            <w:tcW w:w="1133"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990</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104,97 %</w:t>
            </w:r>
          </w:p>
        </w:tc>
      </w:tr>
      <w:tr w:rsidR="004B5B33" w:rsidRPr="004761E0" w:rsidTr="004B5B33">
        <w:trPr>
          <w:trHeight w:val="30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pStyle w:val="a5"/>
              <w:numPr>
                <w:ilvl w:val="1"/>
                <w:numId w:val="191"/>
              </w:numPr>
              <w:jc w:val="left"/>
              <w:rPr>
                <w:rFonts w:eastAsia="Times New Roman"/>
                <w:color w:val="000000"/>
                <w:sz w:val="20"/>
                <w:szCs w:val="20"/>
                <w:lang w:eastAsia="ru-RU"/>
              </w:rPr>
            </w:pPr>
          </w:p>
        </w:tc>
        <w:tc>
          <w:tcPr>
            <w:tcW w:w="4817"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Chars="200" w:firstLine="400"/>
              <w:rPr>
                <w:color w:val="000000"/>
                <w:sz w:val="20"/>
                <w:szCs w:val="20"/>
              </w:rPr>
            </w:pPr>
            <w:r w:rsidRPr="004761E0">
              <w:rPr>
                <w:color w:val="000000"/>
                <w:sz w:val="20"/>
                <w:szCs w:val="20"/>
              </w:rPr>
              <w:t>техперевооружение и реконструкция</w:t>
            </w:r>
          </w:p>
        </w:tc>
        <w:tc>
          <w:tcPr>
            <w:tcW w:w="1138"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1 285</w:t>
            </w:r>
          </w:p>
        </w:tc>
        <w:tc>
          <w:tcPr>
            <w:tcW w:w="1133" w:type="dxa"/>
            <w:gridSpan w:val="2"/>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1 019</w:t>
            </w:r>
          </w:p>
        </w:tc>
        <w:tc>
          <w:tcPr>
            <w:tcW w:w="1133"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1 572</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54,27 %</w:t>
            </w:r>
          </w:p>
        </w:tc>
      </w:tr>
      <w:tr w:rsidR="004B5B33" w:rsidRPr="004761E0" w:rsidTr="004B5B33">
        <w:trPr>
          <w:trHeight w:val="30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pStyle w:val="a5"/>
              <w:numPr>
                <w:ilvl w:val="1"/>
                <w:numId w:val="191"/>
              </w:numPr>
              <w:jc w:val="left"/>
              <w:rPr>
                <w:rFonts w:eastAsia="Times New Roman"/>
                <w:color w:val="000000"/>
                <w:sz w:val="20"/>
                <w:szCs w:val="20"/>
                <w:lang w:eastAsia="ru-RU"/>
              </w:rPr>
            </w:pPr>
          </w:p>
        </w:tc>
        <w:tc>
          <w:tcPr>
            <w:tcW w:w="4817"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Chars="200" w:firstLine="400"/>
              <w:rPr>
                <w:color w:val="000000"/>
                <w:sz w:val="20"/>
                <w:szCs w:val="20"/>
              </w:rPr>
            </w:pPr>
            <w:r w:rsidRPr="004761E0">
              <w:rPr>
                <w:color w:val="000000"/>
                <w:sz w:val="20"/>
                <w:szCs w:val="20"/>
              </w:rPr>
              <w:t>энергоремонтное производство, техническое обслуживание</w:t>
            </w:r>
          </w:p>
        </w:tc>
        <w:tc>
          <w:tcPr>
            <w:tcW w:w="1138"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797</w:t>
            </w:r>
          </w:p>
        </w:tc>
        <w:tc>
          <w:tcPr>
            <w:tcW w:w="1133" w:type="dxa"/>
            <w:gridSpan w:val="2"/>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535</w:t>
            </w:r>
          </w:p>
        </w:tc>
        <w:tc>
          <w:tcPr>
            <w:tcW w:w="1133"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607</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13,46 %</w:t>
            </w:r>
          </w:p>
        </w:tc>
      </w:tr>
      <w:tr w:rsidR="004B5B33" w:rsidRPr="004761E0" w:rsidTr="004B5B33">
        <w:trPr>
          <w:trHeight w:val="30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pStyle w:val="a5"/>
              <w:numPr>
                <w:ilvl w:val="1"/>
                <w:numId w:val="191"/>
              </w:numPr>
              <w:jc w:val="left"/>
              <w:rPr>
                <w:rFonts w:eastAsia="Times New Roman"/>
                <w:color w:val="000000"/>
                <w:sz w:val="20"/>
                <w:szCs w:val="20"/>
                <w:lang w:eastAsia="ru-RU"/>
              </w:rPr>
            </w:pPr>
          </w:p>
        </w:tc>
        <w:tc>
          <w:tcPr>
            <w:tcW w:w="4817"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Chars="200" w:firstLine="400"/>
              <w:rPr>
                <w:color w:val="000000"/>
                <w:sz w:val="20"/>
                <w:szCs w:val="20"/>
              </w:rPr>
            </w:pPr>
            <w:r w:rsidRPr="004761E0">
              <w:rPr>
                <w:color w:val="000000"/>
                <w:sz w:val="20"/>
                <w:szCs w:val="20"/>
              </w:rPr>
              <w:t>ИТ-закупки</w:t>
            </w:r>
          </w:p>
        </w:tc>
        <w:tc>
          <w:tcPr>
            <w:tcW w:w="1138"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29</w:t>
            </w:r>
          </w:p>
        </w:tc>
        <w:tc>
          <w:tcPr>
            <w:tcW w:w="1133" w:type="dxa"/>
            <w:gridSpan w:val="2"/>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36</w:t>
            </w:r>
          </w:p>
        </w:tc>
        <w:tc>
          <w:tcPr>
            <w:tcW w:w="1133"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25</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-30,56 %</w:t>
            </w:r>
          </w:p>
        </w:tc>
      </w:tr>
      <w:tr w:rsidR="004B5B33" w:rsidRPr="004761E0" w:rsidTr="004B5B33">
        <w:trPr>
          <w:trHeight w:val="30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pStyle w:val="a5"/>
              <w:numPr>
                <w:ilvl w:val="1"/>
                <w:numId w:val="191"/>
              </w:numPr>
              <w:jc w:val="left"/>
              <w:rPr>
                <w:rFonts w:eastAsia="Times New Roman"/>
                <w:color w:val="000000"/>
                <w:sz w:val="20"/>
                <w:szCs w:val="20"/>
                <w:lang w:eastAsia="ru-RU"/>
              </w:rPr>
            </w:pPr>
          </w:p>
        </w:tc>
        <w:tc>
          <w:tcPr>
            <w:tcW w:w="4817"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Chars="200" w:firstLine="400"/>
              <w:rPr>
                <w:color w:val="000000"/>
                <w:sz w:val="20"/>
                <w:szCs w:val="20"/>
              </w:rPr>
            </w:pPr>
            <w:r w:rsidRPr="004761E0">
              <w:rPr>
                <w:color w:val="000000"/>
                <w:sz w:val="20"/>
                <w:szCs w:val="20"/>
              </w:rPr>
              <w:t>НИОКР</w:t>
            </w:r>
          </w:p>
        </w:tc>
        <w:tc>
          <w:tcPr>
            <w:tcW w:w="1138"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3</w:t>
            </w:r>
          </w:p>
        </w:tc>
        <w:tc>
          <w:tcPr>
            <w:tcW w:w="1133" w:type="dxa"/>
            <w:gridSpan w:val="2"/>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11</w:t>
            </w:r>
          </w:p>
        </w:tc>
        <w:tc>
          <w:tcPr>
            <w:tcW w:w="1133"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-72,73 %</w:t>
            </w:r>
          </w:p>
        </w:tc>
      </w:tr>
      <w:tr w:rsidR="004B5B33" w:rsidRPr="004761E0" w:rsidTr="004B5B33">
        <w:trPr>
          <w:trHeight w:val="30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pStyle w:val="a5"/>
              <w:numPr>
                <w:ilvl w:val="1"/>
                <w:numId w:val="191"/>
              </w:numPr>
              <w:jc w:val="left"/>
              <w:rPr>
                <w:rFonts w:eastAsia="Times New Roman"/>
                <w:color w:val="000000"/>
                <w:sz w:val="20"/>
                <w:szCs w:val="20"/>
                <w:lang w:eastAsia="ru-RU"/>
              </w:rPr>
            </w:pPr>
          </w:p>
        </w:tc>
        <w:tc>
          <w:tcPr>
            <w:tcW w:w="4817"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Chars="200" w:firstLine="400"/>
              <w:rPr>
                <w:color w:val="000000"/>
                <w:sz w:val="20"/>
                <w:szCs w:val="20"/>
              </w:rPr>
            </w:pPr>
            <w:r w:rsidRPr="004761E0">
              <w:rPr>
                <w:color w:val="000000"/>
                <w:sz w:val="20"/>
                <w:szCs w:val="20"/>
              </w:rPr>
              <w:t>консультационные услуги</w:t>
            </w:r>
          </w:p>
        </w:tc>
        <w:tc>
          <w:tcPr>
            <w:tcW w:w="1138"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20</w:t>
            </w:r>
          </w:p>
        </w:tc>
        <w:tc>
          <w:tcPr>
            <w:tcW w:w="1133" w:type="dxa"/>
            <w:gridSpan w:val="2"/>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16</w:t>
            </w:r>
          </w:p>
        </w:tc>
        <w:tc>
          <w:tcPr>
            <w:tcW w:w="1133"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19</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18,75 %</w:t>
            </w:r>
          </w:p>
        </w:tc>
      </w:tr>
      <w:tr w:rsidR="004B5B33" w:rsidRPr="004761E0" w:rsidTr="004B5B33">
        <w:trPr>
          <w:trHeight w:val="30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pStyle w:val="a5"/>
              <w:numPr>
                <w:ilvl w:val="1"/>
                <w:numId w:val="191"/>
              </w:numPr>
              <w:jc w:val="left"/>
              <w:rPr>
                <w:rFonts w:eastAsia="Times New Roman"/>
                <w:color w:val="000000"/>
                <w:sz w:val="20"/>
                <w:szCs w:val="20"/>
                <w:lang w:eastAsia="ru-RU"/>
              </w:rPr>
            </w:pPr>
          </w:p>
        </w:tc>
        <w:tc>
          <w:tcPr>
            <w:tcW w:w="4817"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Chars="200" w:firstLine="400"/>
              <w:rPr>
                <w:color w:val="000000"/>
                <w:sz w:val="20"/>
                <w:szCs w:val="20"/>
              </w:rPr>
            </w:pPr>
            <w:r w:rsidRPr="004761E0">
              <w:rPr>
                <w:color w:val="000000"/>
                <w:sz w:val="20"/>
                <w:szCs w:val="20"/>
              </w:rPr>
              <w:t>услуги оценщиков</w:t>
            </w:r>
          </w:p>
        </w:tc>
        <w:tc>
          <w:tcPr>
            <w:tcW w:w="1138"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2</w:t>
            </w:r>
          </w:p>
        </w:tc>
        <w:tc>
          <w:tcPr>
            <w:tcW w:w="1133" w:type="dxa"/>
            <w:gridSpan w:val="2"/>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3</w:t>
            </w:r>
          </w:p>
        </w:tc>
        <w:tc>
          <w:tcPr>
            <w:tcW w:w="1133"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6</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100,00 %</w:t>
            </w:r>
          </w:p>
        </w:tc>
      </w:tr>
      <w:tr w:rsidR="004B5B33" w:rsidRPr="004761E0" w:rsidTr="004B5B33">
        <w:trPr>
          <w:trHeight w:val="30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pStyle w:val="a5"/>
              <w:numPr>
                <w:ilvl w:val="1"/>
                <w:numId w:val="191"/>
              </w:numPr>
              <w:jc w:val="left"/>
              <w:rPr>
                <w:rFonts w:eastAsia="Times New Roman"/>
                <w:color w:val="000000"/>
                <w:sz w:val="20"/>
                <w:szCs w:val="20"/>
                <w:lang w:eastAsia="ru-RU"/>
              </w:rPr>
            </w:pPr>
          </w:p>
        </w:tc>
        <w:tc>
          <w:tcPr>
            <w:tcW w:w="4817"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Chars="200" w:firstLine="400"/>
              <w:rPr>
                <w:color w:val="000000"/>
                <w:sz w:val="20"/>
                <w:szCs w:val="20"/>
              </w:rPr>
            </w:pPr>
            <w:r w:rsidRPr="004761E0">
              <w:rPr>
                <w:color w:val="000000"/>
                <w:sz w:val="20"/>
                <w:szCs w:val="20"/>
              </w:rPr>
              <w:t>прочие закупки</w:t>
            </w:r>
          </w:p>
        </w:tc>
        <w:tc>
          <w:tcPr>
            <w:tcW w:w="1138"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497</w:t>
            </w:r>
          </w:p>
        </w:tc>
        <w:tc>
          <w:tcPr>
            <w:tcW w:w="1133" w:type="dxa"/>
            <w:gridSpan w:val="2"/>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220</w:t>
            </w:r>
          </w:p>
        </w:tc>
        <w:tc>
          <w:tcPr>
            <w:tcW w:w="1133"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274</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24,55 %</w:t>
            </w:r>
          </w:p>
        </w:tc>
      </w:tr>
      <w:tr w:rsidR="004B5B33" w:rsidRPr="004761E0" w:rsidTr="004B5B33">
        <w:trPr>
          <w:trHeight w:val="30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numPr>
                <w:ilvl w:val="0"/>
                <w:numId w:val="191"/>
              </w:numPr>
              <w:jc w:val="left"/>
              <w:rPr>
                <w:b/>
                <w:color w:val="000000"/>
                <w:sz w:val="20"/>
                <w:szCs w:val="20"/>
              </w:rPr>
            </w:pPr>
          </w:p>
        </w:tc>
        <w:tc>
          <w:tcPr>
            <w:tcW w:w="4817"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rPr>
                <w:b/>
                <w:bCs/>
                <w:color w:val="000000"/>
                <w:sz w:val="20"/>
                <w:szCs w:val="20"/>
              </w:rPr>
            </w:pPr>
            <w:r w:rsidRPr="004761E0">
              <w:rPr>
                <w:b/>
                <w:bCs/>
                <w:color w:val="000000"/>
                <w:sz w:val="20"/>
                <w:szCs w:val="20"/>
              </w:rPr>
              <w:t>Общая сумма, млн руб. с НДС (всего), в т.ч.:</w:t>
            </w:r>
          </w:p>
        </w:tc>
        <w:tc>
          <w:tcPr>
            <w:tcW w:w="1138"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b/>
                <w:bCs/>
                <w:color w:val="000000"/>
                <w:sz w:val="20"/>
                <w:szCs w:val="20"/>
              </w:rPr>
            </w:pPr>
            <w:r w:rsidRPr="004761E0">
              <w:rPr>
                <w:b/>
                <w:bCs/>
                <w:color w:val="000000"/>
                <w:sz w:val="20"/>
                <w:szCs w:val="20"/>
              </w:rPr>
              <w:t>81 278</w:t>
            </w:r>
          </w:p>
        </w:tc>
        <w:tc>
          <w:tcPr>
            <w:tcW w:w="1127"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b/>
                <w:bCs/>
                <w:color w:val="000000"/>
                <w:sz w:val="20"/>
                <w:szCs w:val="20"/>
              </w:rPr>
            </w:pPr>
            <w:r w:rsidRPr="004761E0">
              <w:rPr>
                <w:b/>
                <w:bCs/>
                <w:color w:val="000000"/>
                <w:sz w:val="20"/>
                <w:szCs w:val="20"/>
              </w:rPr>
              <w:t>50 640</w:t>
            </w:r>
          </w:p>
        </w:tc>
        <w:tc>
          <w:tcPr>
            <w:tcW w:w="1139" w:type="dxa"/>
            <w:gridSpan w:val="2"/>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b/>
                <w:bCs/>
                <w:color w:val="000000"/>
                <w:sz w:val="20"/>
                <w:szCs w:val="20"/>
              </w:rPr>
            </w:pPr>
            <w:r w:rsidRPr="004761E0">
              <w:rPr>
                <w:b/>
                <w:bCs/>
                <w:color w:val="000000"/>
                <w:sz w:val="20"/>
                <w:szCs w:val="20"/>
              </w:rPr>
              <w:t>85 832</w:t>
            </w:r>
          </w:p>
        </w:tc>
        <w:tc>
          <w:tcPr>
            <w:tcW w:w="1134"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b/>
                <w:color w:val="000000"/>
                <w:sz w:val="20"/>
                <w:szCs w:val="20"/>
              </w:rPr>
            </w:pPr>
            <w:r w:rsidRPr="004761E0">
              <w:rPr>
                <w:b/>
                <w:color w:val="000000"/>
                <w:sz w:val="20"/>
                <w:szCs w:val="20"/>
              </w:rPr>
              <w:t>69,49 %</w:t>
            </w:r>
          </w:p>
        </w:tc>
      </w:tr>
      <w:tr w:rsidR="004B5B33" w:rsidRPr="004761E0" w:rsidTr="004B5B33">
        <w:trPr>
          <w:trHeight w:val="30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pStyle w:val="a5"/>
              <w:numPr>
                <w:ilvl w:val="1"/>
                <w:numId w:val="191"/>
              </w:numPr>
              <w:jc w:val="left"/>
              <w:rPr>
                <w:color w:val="000000"/>
                <w:sz w:val="20"/>
                <w:szCs w:val="20"/>
              </w:rPr>
            </w:pPr>
          </w:p>
        </w:tc>
        <w:tc>
          <w:tcPr>
            <w:tcW w:w="4817"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Chars="200" w:firstLine="400"/>
              <w:rPr>
                <w:color w:val="000000"/>
                <w:sz w:val="20"/>
                <w:szCs w:val="20"/>
              </w:rPr>
            </w:pPr>
            <w:r w:rsidRPr="004761E0">
              <w:rPr>
                <w:color w:val="000000"/>
                <w:sz w:val="20"/>
                <w:szCs w:val="20"/>
              </w:rPr>
              <w:t>новое строительство</w:t>
            </w:r>
          </w:p>
        </w:tc>
        <w:tc>
          <w:tcPr>
            <w:tcW w:w="1138"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11 590</w:t>
            </w:r>
          </w:p>
        </w:tc>
        <w:tc>
          <w:tcPr>
            <w:tcW w:w="1127"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12 737</w:t>
            </w:r>
          </w:p>
        </w:tc>
        <w:tc>
          <w:tcPr>
            <w:tcW w:w="1139" w:type="dxa"/>
            <w:gridSpan w:val="2"/>
            <w:tcBorders>
              <w:top w:val="single" w:sz="4" w:space="0" w:color="auto"/>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17 489</w:t>
            </w:r>
          </w:p>
        </w:tc>
        <w:tc>
          <w:tcPr>
            <w:tcW w:w="1134"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37,31 %</w:t>
            </w:r>
          </w:p>
        </w:tc>
      </w:tr>
      <w:tr w:rsidR="004B5B33" w:rsidRPr="004761E0" w:rsidTr="004B5B33">
        <w:trPr>
          <w:trHeight w:val="300"/>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pStyle w:val="a5"/>
              <w:numPr>
                <w:ilvl w:val="1"/>
                <w:numId w:val="191"/>
              </w:numPr>
              <w:jc w:val="left"/>
              <w:rPr>
                <w:color w:val="000000"/>
                <w:sz w:val="20"/>
                <w:szCs w:val="20"/>
              </w:rPr>
            </w:pPr>
          </w:p>
        </w:tc>
        <w:tc>
          <w:tcPr>
            <w:tcW w:w="4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B33" w:rsidRPr="004761E0" w:rsidRDefault="004B5B33" w:rsidP="004B5B33">
            <w:pPr>
              <w:ind w:firstLineChars="200" w:firstLine="400"/>
              <w:rPr>
                <w:color w:val="000000"/>
                <w:sz w:val="20"/>
                <w:szCs w:val="20"/>
              </w:rPr>
            </w:pPr>
            <w:r w:rsidRPr="004761E0">
              <w:rPr>
                <w:color w:val="000000"/>
                <w:sz w:val="20"/>
                <w:szCs w:val="20"/>
              </w:rPr>
              <w:t>техперевооружение и реконструкция</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31 956</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27 186</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35 192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29,45 %</w:t>
            </w:r>
          </w:p>
        </w:tc>
      </w:tr>
      <w:tr w:rsidR="004B5B33" w:rsidRPr="004761E0" w:rsidTr="004B5B33">
        <w:trPr>
          <w:trHeight w:val="300"/>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pStyle w:val="a5"/>
              <w:numPr>
                <w:ilvl w:val="1"/>
                <w:numId w:val="191"/>
              </w:numPr>
              <w:jc w:val="left"/>
              <w:rPr>
                <w:color w:val="000000"/>
                <w:sz w:val="20"/>
                <w:szCs w:val="20"/>
              </w:rPr>
            </w:pPr>
          </w:p>
        </w:tc>
        <w:tc>
          <w:tcPr>
            <w:tcW w:w="4817" w:type="dxa"/>
            <w:tcBorders>
              <w:top w:val="single" w:sz="4" w:space="0" w:color="auto"/>
              <w:left w:val="nil"/>
              <w:bottom w:val="single" w:sz="4" w:space="0" w:color="auto"/>
              <w:right w:val="single" w:sz="4" w:space="0" w:color="auto"/>
            </w:tcBorders>
            <w:shd w:val="clear" w:color="auto" w:fill="auto"/>
            <w:vAlign w:val="center"/>
            <w:hideMark/>
          </w:tcPr>
          <w:p w:rsidR="004B5B33" w:rsidRPr="004761E0" w:rsidRDefault="004B5B33" w:rsidP="004B5B33">
            <w:pPr>
              <w:ind w:firstLineChars="200" w:firstLine="400"/>
              <w:rPr>
                <w:color w:val="000000"/>
                <w:sz w:val="20"/>
                <w:szCs w:val="20"/>
              </w:rPr>
            </w:pPr>
            <w:r w:rsidRPr="004761E0">
              <w:rPr>
                <w:color w:val="000000"/>
                <w:sz w:val="20"/>
                <w:szCs w:val="20"/>
              </w:rPr>
              <w:t>энергоремонтное производство, техническое обслуживание</w:t>
            </w:r>
          </w:p>
        </w:tc>
        <w:tc>
          <w:tcPr>
            <w:tcW w:w="1138" w:type="dxa"/>
            <w:tcBorders>
              <w:top w:val="single" w:sz="4" w:space="0" w:color="auto"/>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7 168</w:t>
            </w:r>
          </w:p>
        </w:tc>
        <w:tc>
          <w:tcPr>
            <w:tcW w:w="1127" w:type="dxa"/>
            <w:tcBorders>
              <w:top w:val="single" w:sz="4" w:space="0" w:color="auto"/>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5 927</w:t>
            </w:r>
          </w:p>
        </w:tc>
        <w:tc>
          <w:tcPr>
            <w:tcW w:w="1139" w:type="dxa"/>
            <w:gridSpan w:val="2"/>
            <w:tcBorders>
              <w:top w:val="single" w:sz="4" w:space="0" w:color="auto"/>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5 749</w:t>
            </w:r>
          </w:p>
        </w:tc>
        <w:tc>
          <w:tcPr>
            <w:tcW w:w="1134" w:type="dxa"/>
            <w:tcBorders>
              <w:top w:val="single" w:sz="4" w:space="0" w:color="auto"/>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-3,00 %</w:t>
            </w:r>
          </w:p>
        </w:tc>
      </w:tr>
      <w:tr w:rsidR="004B5B33" w:rsidRPr="004761E0" w:rsidTr="004B5B33">
        <w:trPr>
          <w:trHeight w:val="300"/>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pStyle w:val="a5"/>
              <w:numPr>
                <w:ilvl w:val="1"/>
                <w:numId w:val="191"/>
              </w:numPr>
              <w:jc w:val="left"/>
              <w:rPr>
                <w:color w:val="000000"/>
                <w:sz w:val="20"/>
                <w:szCs w:val="20"/>
              </w:rPr>
            </w:pPr>
          </w:p>
        </w:tc>
        <w:tc>
          <w:tcPr>
            <w:tcW w:w="4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B33" w:rsidRPr="004761E0" w:rsidRDefault="004B5B33" w:rsidP="004B5B33">
            <w:pPr>
              <w:ind w:firstLineChars="200" w:firstLine="400"/>
              <w:rPr>
                <w:color w:val="000000"/>
                <w:sz w:val="20"/>
                <w:szCs w:val="20"/>
              </w:rPr>
            </w:pPr>
            <w:r w:rsidRPr="004761E0">
              <w:rPr>
                <w:color w:val="000000"/>
                <w:sz w:val="20"/>
                <w:szCs w:val="20"/>
              </w:rPr>
              <w:t>ИТ-закупки</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874</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329</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359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9,12 %</w:t>
            </w:r>
          </w:p>
        </w:tc>
      </w:tr>
      <w:tr w:rsidR="004B5B33" w:rsidRPr="004761E0" w:rsidTr="004B5B33">
        <w:trPr>
          <w:trHeight w:val="300"/>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pStyle w:val="a5"/>
              <w:numPr>
                <w:ilvl w:val="1"/>
                <w:numId w:val="191"/>
              </w:numPr>
              <w:jc w:val="left"/>
              <w:rPr>
                <w:color w:val="000000"/>
                <w:sz w:val="20"/>
                <w:szCs w:val="20"/>
              </w:rPr>
            </w:pPr>
          </w:p>
        </w:tc>
        <w:tc>
          <w:tcPr>
            <w:tcW w:w="4817" w:type="dxa"/>
            <w:tcBorders>
              <w:top w:val="single" w:sz="4" w:space="0" w:color="auto"/>
              <w:left w:val="nil"/>
              <w:bottom w:val="single" w:sz="4" w:space="0" w:color="auto"/>
              <w:right w:val="single" w:sz="4" w:space="0" w:color="auto"/>
            </w:tcBorders>
            <w:shd w:val="clear" w:color="auto" w:fill="auto"/>
            <w:vAlign w:val="center"/>
            <w:hideMark/>
          </w:tcPr>
          <w:p w:rsidR="004B5B33" w:rsidRPr="004761E0" w:rsidRDefault="004B5B33" w:rsidP="004B5B33">
            <w:pPr>
              <w:ind w:firstLineChars="200" w:firstLine="400"/>
              <w:rPr>
                <w:color w:val="000000"/>
                <w:sz w:val="20"/>
                <w:szCs w:val="20"/>
              </w:rPr>
            </w:pPr>
            <w:r w:rsidRPr="004761E0">
              <w:rPr>
                <w:color w:val="000000"/>
                <w:sz w:val="20"/>
                <w:szCs w:val="20"/>
              </w:rPr>
              <w:t>НИОКР</w:t>
            </w:r>
          </w:p>
        </w:tc>
        <w:tc>
          <w:tcPr>
            <w:tcW w:w="1138" w:type="dxa"/>
            <w:tcBorders>
              <w:top w:val="single" w:sz="4" w:space="0" w:color="auto"/>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120</w:t>
            </w:r>
          </w:p>
        </w:tc>
        <w:tc>
          <w:tcPr>
            <w:tcW w:w="1127" w:type="dxa"/>
            <w:tcBorders>
              <w:top w:val="single" w:sz="4" w:space="0" w:color="auto"/>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94</w:t>
            </w:r>
          </w:p>
        </w:tc>
        <w:tc>
          <w:tcPr>
            <w:tcW w:w="1139" w:type="dxa"/>
            <w:gridSpan w:val="2"/>
            <w:tcBorders>
              <w:top w:val="single" w:sz="4" w:space="0" w:color="auto"/>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295</w:t>
            </w:r>
          </w:p>
        </w:tc>
        <w:tc>
          <w:tcPr>
            <w:tcW w:w="1134" w:type="dxa"/>
            <w:tcBorders>
              <w:top w:val="single" w:sz="4" w:space="0" w:color="auto"/>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213,83 %</w:t>
            </w:r>
          </w:p>
        </w:tc>
      </w:tr>
      <w:tr w:rsidR="004B5B33" w:rsidRPr="004761E0" w:rsidTr="004B5B33">
        <w:trPr>
          <w:trHeight w:val="30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pStyle w:val="a5"/>
              <w:numPr>
                <w:ilvl w:val="1"/>
                <w:numId w:val="191"/>
              </w:numPr>
              <w:jc w:val="left"/>
              <w:rPr>
                <w:color w:val="000000"/>
                <w:sz w:val="20"/>
                <w:szCs w:val="20"/>
              </w:rPr>
            </w:pPr>
          </w:p>
        </w:tc>
        <w:tc>
          <w:tcPr>
            <w:tcW w:w="4817"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Chars="200" w:firstLine="400"/>
              <w:rPr>
                <w:color w:val="000000"/>
                <w:sz w:val="20"/>
                <w:szCs w:val="20"/>
              </w:rPr>
            </w:pPr>
            <w:r w:rsidRPr="004761E0">
              <w:rPr>
                <w:color w:val="000000"/>
                <w:sz w:val="20"/>
                <w:szCs w:val="20"/>
              </w:rPr>
              <w:t>консультационные услуги</w:t>
            </w:r>
          </w:p>
        </w:tc>
        <w:tc>
          <w:tcPr>
            <w:tcW w:w="1138"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148</w:t>
            </w:r>
          </w:p>
        </w:tc>
        <w:tc>
          <w:tcPr>
            <w:tcW w:w="1127"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155</w:t>
            </w:r>
          </w:p>
        </w:tc>
        <w:tc>
          <w:tcPr>
            <w:tcW w:w="1139" w:type="dxa"/>
            <w:gridSpan w:val="2"/>
            <w:tcBorders>
              <w:top w:val="single" w:sz="4" w:space="0" w:color="auto"/>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620</w:t>
            </w:r>
          </w:p>
        </w:tc>
        <w:tc>
          <w:tcPr>
            <w:tcW w:w="1134"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300,00 %</w:t>
            </w:r>
          </w:p>
        </w:tc>
      </w:tr>
      <w:tr w:rsidR="004B5B33" w:rsidRPr="004761E0" w:rsidTr="004B5B33">
        <w:trPr>
          <w:trHeight w:val="30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pStyle w:val="a5"/>
              <w:numPr>
                <w:ilvl w:val="1"/>
                <w:numId w:val="191"/>
              </w:numPr>
              <w:jc w:val="left"/>
              <w:rPr>
                <w:color w:val="000000"/>
                <w:sz w:val="20"/>
                <w:szCs w:val="20"/>
              </w:rPr>
            </w:pPr>
          </w:p>
        </w:tc>
        <w:tc>
          <w:tcPr>
            <w:tcW w:w="4817"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Chars="200" w:firstLine="400"/>
              <w:rPr>
                <w:color w:val="000000"/>
                <w:sz w:val="20"/>
                <w:szCs w:val="20"/>
              </w:rPr>
            </w:pPr>
            <w:r w:rsidRPr="004761E0">
              <w:rPr>
                <w:color w:val="000000"/>
                <w:sz w:val="20"/>
                <w:szCs w:val="20"/>
              </w:rPr>
              <w:t>услуги оценщиков</w:t>
            </w:r>
          </w:p>
        </w:tc>
        <w:tc>
          <w:tcPr>
            <w:tcW w:w="1138"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2</w:t>
            </w:r>
          </w:p>
        </w:tc>
        <w:tc>
          <w:tcPr>
            <w:tcW w:w="1127"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2</w:t>
            </w:r>
          </w:p>
        </w:tc>
        <w:tc>
          <w:tcPr>
            <w:tcW w:w="1139" w:type="dxa"/>
            <w:gridSpan w:val="2"/>
            <w:tcBorders>
              <w:top w:val="single" w:sz="4" w:space="0" w:color="auto"/>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2</w:t>
            </w:r>
          </w:p>
        </w:tc>
        <w:tc>
          <w:tcPr>
            <w:tcW w:w="1134"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0,00 %</w:t>
            </w:r>
          </w:p>
        </w:tc>
      </w:tr>
      <w:tr w:rsidR="004B5B33" w:rsidRPr="004761E0" w:rsidTr="004B5B33">
        <w:trPr>
          <w:trHeight w:val="30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pStyle w:val="a5"/>
              <w:numPr>
                <w:ilvl w:val="1"/>
                <w:numId w:val="191"/>
              </w:numPr>
              <w:jc w:val="left"/>
              <w:rPr>
                <w:color w:val="000000"/>
                <w:sz w:val="20"/>
                <w:szCs w:val="20"/>
              </w:rPr>
            </w:pPr>
          </w:p>
        </w:tc>
        <w:tc>
          <w:tcPr>
            <w:tcW w:w="4817"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Chars="200" w:firstLine="400"/>
              <w:rPr>
                <w:color w:val="000000"/>
                <w:sz w:val="20"/>
                <w:szCs w:val="20"/>
              </w:rPr>
            </w:pPr>
            <w:r w:rsidRPr="004761E0">
              <w:rPr>
                <w:color w:val="000000"/>
                <w:sz w:val="20"/>
                <w:szCs w:val="20"/>
              </w:rPr>
              <w:t>прочие закупки</w:t>
            </w:r>
          </w:p>
        </w:tc>
        <w:tc>
          <w:tcPr>
            <w:tcW w:w="1138"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29 420</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4 210</w:t>
            </w:r>
          </w:p>
        </w:tc>
        <w:tc>
          <w:tcPr>
            <w:tcW w:w="1133" w:type="dxa"/>
            <w:tcBorders>
              <w:top w:val="single" w:sz="4" w:space="0" w:color="auto"/>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26 126</w:t>
            </w:r>
          </w:p>
        </w:tc>
        <w:tc>
          <w:tcPr>
            <w:tcW w:w="1134"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520,57 %</w:t>
            </w:r>
          </w:p>
        </w:tc>
      </w:tr>
    </w:tbl>
    <w:p w:rsidR="004B5B33" w:rsidRPr="004761E0" w:rsidRDefault="004B5B33" w:rsidP="004B5B33">
      <w:pPr>
        <w:rPr>
          <w:i/>
          <w:iCs/>
          <w:color w:val="000000"/>
          <w:sz w:val="20"/>
          <w:szCs w:val="20"/>
        </w:rPr>
      </w:pPr>
    </w:p>
    <w:p w:rsidR="004B5B33" w:rsidRPr="004761E0" w:rsidRDefault="004B5B33" w:rsidP="004B5B33">
      <w:pPr>
        <w:ind w:firstLine="0"/>
        <w:rPr>
          <w:i/>
          <w:iCs/>
          <w:color w:val="000000"/>
          <w:sz w:val="20"/>
          <w:szCs w:val="20"/>
        </w:rPr>
      </w:pPr>
      <w:r w:rsidRPr="004761E0">
        <w:rPr>
          <w:i/>
          <w:iCs/>
          <w:noProof/>
          <w:color w:val="000000"/>
          <w:sz w:val="20"/>
          <w:szCs w:val="20"/>
          <w:lang w:eastAsia="ru-RU"/>
        </w:rPr>
        <w:lastRenderedPageBreak/>
        <w:drawing>
          <wp:inline distT="0" distB="0" distL="0" distR="0">
            <wp:extent cx="2982429" cy="2735248"/>
            <wp:effectExtent l="19050" t="0" r="27471" b="7952"/>
            <wp:docPr id="192" name="Диаграмма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r w:rsidRPr="004761E0">
        <w:rPr>
          <w:i/>
          <w:iCs/>
          <w:color w:val="000000"/>
          <w:sz w:val="20"/>
          <w:szCs w:val="20"/>
        </w:rPr>
        <w:t xml:space="preserve"> </w:t>
      </w:r>
      <w:r w:rsidRPr="004761E0">
        <w:rPr>
          <w:i/>
          <w:iCs/>
          <w:noProof/>
          <w:color w:val="000000"/>
          <w:sz w:val="20"/>
          <w:szCs w:val="20"/>
          <w:lang w:eastAsia="ru-RU"/>
        </w:rPr>
        <w:drawing>
          <wp:inline distT="0" distB="0" distL="0" distR="0">
            <wp:extent cx="2982429" cy="2735248"/>
            <wp:effectExtent l="19050" t="0" r="27471" b="7952"/>
            <wp:docPr id="19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4B5B33" w:rsidRPr="004761E0" w:rsidRDefault="004B5B33" w:rsidP="004B5B33">
      <w:pPr>
        <w:ind w:firstLine="0"/>
        <w:rPr>
          <w:i/>
          <w:iCs/>
          <w:color w:val="000000"/>
          <w:sz w:val="20"/>
          <w:szCs w:val="20"/>
        </w:rPr>
      </w:pPr>
      <w:r w:rsidRPr="004761E0">
        <w:rPr>
          <w:i/>
          <w:iCs/>
          <w:noProof/>
          <w:color w:val="000000"/>
          <w:sz w:val="20"/>
          <w:szCs w:val="20"/>
          <w:lang w:eastAsia="ru-RU"/>
        </w:rPr>
        <w:drawing>
          <wp:inline distT="0" distB="0" distL="0" distR="0">
            <wp:extent cx="2981739" cy="3029447"/>
            <wp:effectExtent l="19050" t="0" r="28161" b="0"/>
            <wp:docPr id="194" name="Диаграмма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r w:rsidRPr="004761E0">
        <w:rPr>
          <w:i/>
          <w:iCs/>
          <w:color w:val="000000"/>
          <w:sz w:val="20"/>
          <w:szCs w:val="20"/>
        </w:rPr>
        <w:t xml:space="preserve">  </w:t>
      </w:r>
      <w:r w:rsidRPr="004761E0">
        <w:rPr>
          <w:i/>
          <w:iCs/>
          <w:noProof/>
          <w:color w:val="000000"/>
          <w:sz w:val="20"/>
          <w:szCs w:val="20"/>
          <w:lang w:eastAsia="ru-RU"/>
        </w:rPr>
        <w:drawing>
          <wp:inline distT="0" distB="0" distL="0" distR="0">
            <wp:extent cx="2941403" cy="3029447"/>
            <wp:effectExtent l="19050" t="0" r="11347" b="0"/>
            <wp:docPr id="19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4B5B33" w:rsidRPr="004761E0" w:rsidRDefault="004B5B33" w:rsidP="009817EE">
      <w:pPr>
        <w:spacing w:before="120" w:after="120"/>
        <w:ind w:firstLine="567"/>
        <w:rPr>
          <w:b/>
          <w:sz w:val="26"/>
          <w:szCs w:val="26"/>
        </w:rPr>
      </w:pPr>
      <w:r w:rsidRPr="004761E0">
        <w:rPr>
          <w:b/>
          <w:sz w:val="26"/>
          <w:szCs w:val="26"/>
        </w:rPr>
        <w:t>Структура закупок по способам закупочных процедур</w:t>
      </w:r>
    </w:p>
    <w:tbl>
      <w:tblPr>
        <w:tblW w:w="10361" w:type="dxa"/>
        <w:tblInd w:w="95" w:type="dxa"/>
        <w:tblLook w:val="04A0"/>
      </w:tblPr>
      <w:tblGrid>
        <w:gridCol w:w="580"/>
        <w:gridCol w:w="5245"/>
        <w:gridCol w:w="1134"/>
        <w:gridCol w:w="1134"/>
        <w:gridCol w:w="1134"/>
        <w:gridCol w:w="1134"/>
      </w:tblGrid>
      <w:tr w:rsidR="004B5B33" w:rsidRPr="004761E0" w:rsidTr="004B5B33">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4B5B33" w:rsidRPr="004761E0" w:rsidRDefault="004B5B33" w:rsidP="004B5B33">
            <w:pPr>
              <w:ind w:left="47" w:firstLine="0"/>
              <w:rPr>
                <w:b/>
                <w:color w:val="FFFFFF" w:themeColor="background1"/>
                <w:sz w:val="20"/>
                <w:szCs w:val="20"/>
              </w:rPr>
            </w:pPr>
            <w:r w:rsidRPr="004761E0">
              <w:rPr>
                <w:b/>
                <w:color w:val="FFFFFF" w:themeColor="background1"/>
                <w:sz w:val="20"/>
                <w:szCs w:val="20"/>
              </w:rPr>
              <w:t>№ п/п</w:t>
            </w:r>
          </w:p>
        </w:tc>
        <w:tc>
          <w:tcPr>
            <w:tcW w:w="524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B5B33" w:rsidRPr="004761E0" w:rsidRDefault="004B5B33" w:rsidP="004B5B33">
            <w:pPr>
              <w:ind w:firstLine="0"/>
              <w:rPr>
                <w:b/>
                <w:color w:val="FFFFFF" w:themeColor="background1"/>
                <w:sz w:val="20"/>
                <w:szCs w:val="20"/>
              </w:rPr>
            </w:pPr>
            <w:r w:rsidRPr="004761E0">
              <w:rPr>
                <w:b/>
                <w:color w:val="FFFFFF" w:themeColor="background1"/>
                <w:sz w:val="20"/>
                <w:szCs w:val="20"/>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B5B33" w:rsidRPr="004761E0" w:rsidRDefault="004B5B33" w:rsidP="004B5B33">
            <w:pPr>
              <w:ind w:firstLine="0"/>
              <w:jc w:val="right"/>
              <w:rPr>
                <w:b/>
                <w:color w:val="FFFFFF" w:themeColor="background1"/>
                <w:sz w:val="20"/>
                <w:szCs w:val="20"/>
              </w:rPr>
            </w:pPr>
            <w:r w:rsidRPr="004761E0">
              <w:rPr>
                <w:b/>
                <w:color w:val="FFFFFF" w:themeColor="background1"/>
                <w:sz w:val="20"/>
                <w:szCs w:val="20"/>
              </w:rPr>
              <w:t>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B5B33" w:rsidRPr="004761E0" w:rsidRDefault="004B5B33" w:rsidP="004B5B33">
            <w:pPr>
              <w:ind w:firstLine="0"/>
              <w:jc w:val="right"/>
              <w:rPr>
                <w:b/>
                <w:color w:val="FFFFFF" w:themeColor="background1"/>
                <w:sz w:val="20"/>
                <w:szCs w:val="20"/>
              </w:rPr>
            </w:pPr>
            <w:r w:rsidRPr="004761E0">
              <w:rPr>
                <w:b/>
                <w:color w:val="FFFFFF" w:themeColor="background1"/>
                <w:sz w:val="20"/>
                <w:szCs w:val="20"/>
              </w:rPr>
              <w:t>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B5B33" w:rsidRPr="004761E0" w:rsidRDefault="004B5B33" w:rsidP="004B5B33">
            <w:pPr>
              <w:ind w:firstLine="0"/>
              <w:jc w:val="right"/>
              <w:rPr>
                <w:b/>
                <w:color w:val="FFFFFF" w:themeColor="background1"/>
                <w:sz w:val="20"/>
                <w:szCs w:val="20"/>
              </w:rPr>
            </w:pPr>
            <w:r w:rsidRPr="004761E0">
              <w:rPr>
                <w:b/>
                <w:color w:val="FFFFFF" w:themeColor="background1"/>
                <w:sz w:val="20"/>
                <w:szCs w:val="20"/>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4B5B33" w:rsidRPr="004761E0" w:rsidRDefault="004B5B33" w:rsidP="004B5B33">
            <w:pPr>
              <w:ind w:firstLine="0"/>
              <w:jc w:val="right"/>
              <w:rPr>
                <w:b/>
                <w:color w:val="FFFFFF" w:themeColor="background1"/>
                <w:sz w:val="20"/>
                <w:szCs w:val="20"/>
              </w:rPr>
            </w:pPr>
            <w:r w:rsidRPr="004761E0">
              <w:rPr>
                <w:b/>
                <w:color w:val="FFFFFF" w:themeColor="background1"/>
                <w:sz w:val="20"/>
                <w:szCs w:val="20"/>
              </w:rPr>
              <w:t>2013/2012</w:t>
            </w:r>
          </w:p>
        </w:tc>
      </w:tr>
      <w:tr w:rsidR="004B5B33" w:rsidRPr="004761E0" w:rsidTr="004B5B33">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numPr>
                <w:ilvl w:val="0"/>
                <w:numId w:val="185"/>
              </w:numPr>
              <w:ind w:left="47" w:firstLine="0"/>
              <w:jc w:val="left"/>
              <w:rPr>
                <w:b/>
                <w:color w:val="000000"/>
                <w:sz w:val="20"/>
                <w:szCs w:val="20"/>
              </w:rPr>
            </w:pPr>
          </w:p>
        </w:tc>
        <w:tc>
          <w:tcPr>
            <w:tcW w:w="5245"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rPr>
                <w:b/>
                <w:bCs/>
                <w:color w:val="000000"/>
                <w:sz w:val="20"/>
                <w:szCs w:val="20"/>
              </w:rPr>
            </w:pPr>
            <w:r w:rsidRPr="004761E0">
              <w:rPr>
                <w:b/>
                <w:bCs/>
                <w:color w:val="000000"/>
                <w:sz w:val="20"/>
                <w:szCs w:val="20"/>
              </w:rPr>
              <w:t>Количество, шт. (всего), в т.ч.:</w:t>
            </w:r>
          </w:p>
        </w:tc>
        <w:tc>
          <w:tcPr>
            <w:tcW w:w="1134"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b/>
                <w:bCs/>
                <w:color w:val="000000"/>
                <w:sz w:val="20"/>
                <w:szCs w:val="20"/>
              </w:rPr>
            </w:pPr>
            <w:r w:rsidRPr="004761E0">
              <w:rPr>
                <w:b/>
                <w:bCs/>
                <w:color w:val="000000"/>
                <w:sz w:val="20"/>
                <w:szCs w:val="20"/>
              </w:rPr>
              <w:t>3 007</w:t>
            </w:r>
          </w:p>
        </w:tc>
        <w:tc>
          <w:tcPr>
            <w:tcW w:w="1134"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b/>
                <w:bCs/>
                <w:color w:val="000000"/>
                <w:sz w:val="20"/>
                <w:szCs w:val="20"/>
              </w:rPr>
            </w:pPr>
            <w:r w:rsidRPr="004761E0">
              <w:rPr>
                <w:b/>
                <w:bCs/>
                <w:color w:val="000000"/>
                <w:sz w:val="20"/>
                <w:szCs w:val="20"/>
              </w:rPr>
              <w:t>2 323</w:t>
            </w:r>
          </w:p>
        </w:tc>
        <w:tc>
          <w:tcPr>
            <w:tcW w:w="1134"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b/>
                <w:bCs/>
                <w:color w:val="000000"/>
                <w:sz w:val="20"/>
                <w:szCs w:val="20"/>
              </w:rPr>
            </w:pPr>
            <w:r w:rsidRPr="004761E0">
              <w:rPr>
                <w:b/>
                <w:bCs/>
                <w:color w:val="000000"/>
                <w:sz w:val="20"/>
                <w:szCs w:val="20"/>
              </w:rPr>
              <w:t>3 496</w:t>
            </w:r>
          </w:p>
        </w:tc>
        <w:tc>
          <w:tcPr>
            <w:tcW w:w="1134"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b/>
                <w:bCs/>
                <w:color w:val="000000"/>
                <w:sz w:val="20"/>
                <w:szCs w:val="20"/>
              </w:rPr>
            </w:pPr>
            <w:r w:rsidRPr="004761E0">
              <w:rPr>
                <w:b/>
                <w:bCs/>
                <w:color w:val="000000"/>
                <w:sz w:val="20"/>
                <w:szCs w:val="20"/>
              </w:rPr>
              <w:t>50,50 %</w:t>
            </w:r>
          </w:p>
        </w:tc>
      </w:tr>
      <w:tr w:rsidR="004B5B33" w:rsidRPr="004761E0" w:rsidTr="004B5B33">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pStyle w:val="a5"/>
              <w:numPr>
                <w:ilvl w:val="1"/>
                <w:numId w:val="185"/>
              </w:numPr>
              <w:ind w:left="47" w:firstLine="0"/>
              <w:jc w:val="left"/>
              <w:rPr>
                <w:rFonts w:eastAsia="Times New Roman"/>
                <w:color w:val="000000"/>
                <w:sz w:val="20"/>
                <w:szCs w:val="20"/>
                <w:lang w:eastAsia="ru-RU"/>
              </w:rPr>
            </w:pPr>
          </w:p>
        </w:tc>
        <w:tc>
          <w:tcPr>
            <w:tcW w:w="5245"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Chars="200" w:firstLine="400"/>
              <w:rPr>
                <w:color w:val="000000"/>
                <w:sz w:val="20"/>
                <w:szCs w:val="20"/>
              </w:rPr>
            </w:pPr>
            <w:r w:rsidRPr="004761E0">
              <w:rPr>
                <w:color w:val="000000"/>
                <w:sz w:val="20"/>
                <w:szCs w:val="20"/>
              </w:rPr>
              <w:t>закупка у единственного поставщика</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1 037</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206</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184</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bCs/>
                <w:color w:val="000000"/>
                <w:sz w:val="20"/>
                <w:szCs w:val="20"/>
              </w:rPr>
            </w:pPr>
            <w:r w:rsidRPr="004761E0">
              <w:rPr>
                <w:bCs/>
                <w:color w:val="000000"/>
                <w:sz w:val="20"/>
                <w:szCs w:val="20"/>
              </w:rPr>
              <w:t>-10,68 %</w:t>
            </w:r>
          </w:p>
        </w:tc>
      </w:tr>
      <w:tr w:rsidR="004B5B33" w:rsidRPr="004761E0" w:rsidTr="004B5B33">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pStyle w:val="a5"/>
              <w:numPr>
                <w:ilvl w:val="1"/>
                <w:numId w:val="185"/>
              </w:numPr>
              <w:ind w:left="47" w:firstLine="0"/>
              <w:jc w:val="left"/>
              <w:rPr>
                <w:rFonts w:eastAsia="Times New Roman"/>
                <w:color w:val="000000"/>
                <w:sz w:val="20"/>
                <w:szCs w:val="20"/>
                <w:lang w:eastAsia="ru-RU"/>
              </w:rPr>
            </w:pPr>
          </w:p>
        </w:tc>
        <w:tc>
          <w:tcPr>
            <w:tcW w:w="5245"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Chars="200" w:firstLine="400"/>
              <w:rPr>
                <w:color w:val="000000"/>
                <w:sz w:val="20"/>
                <w:szCs w:val="20"/>
              </w:rPr>
            </w:pPr>
            <w:r w:rsidRPr="004761E0">
              <w:rPr>
                <w:color w:val="000000"/>
                <w:sz w:val="20"/>
                <w:szCs w:val="20"/>
              </w:rPr>
              <w:t xml:space="preserve">закрытый запрос цен, по результатам открытых конкурентных переговоров </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765</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1 055</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2 029</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bCs/>
                <w:color w:val="000000"/>
                <w:sz w:val="20"/>
                <w:szCs w:val="20"/>
              </w:rPr>
            </w:pPr>
            <w:r w:rsidRPr="004761E0">
              <w:rPr>
                <w:bCs/>
                <w:color w:val="000000"/>
                <w:sz w:val="20"/>
                <w:szCs w:val="20"/>
              </w:rPr>
              <w:t>92,32 %</w:t>
            </w:r>
          </w:p>
        </w:tc>
      </w:tr>
      <w:tr w:rsidR="004B5B33" w:rsidRPr="004761E0" w:rsidTr="004B5B33">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pStyle w:val="a5"/>
              <w:numPr>
                <w:ilvl w:val="1"/>
                <w:numId w:val="185"/>
              </w:numPr>
              <w:ind w:left="47" w:firstLine="0"/>
              <w:jc w:val="left"/>
              <w:rPr>
                <w:rFonts w:eastAsia="Times New Roman"/>
                <w:color w:val="000000"/>
                <w:sz w:val="20"/>
                <w:szCs w:val="20"/>
                <w:lang w:eastAsia="ru-RU"/>
              </w:rPr>
            </w:pPr>
          </w:p>
        </w:tc>
        <w:tc>
          <w:tcPr>
            <w:tcW w:w="5245"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Chars="200" w:firstLine="400"/>
              <w:rPr>
                <w:color w:val="000000"/>
                <w:sz w:val="20"/>
                <w:szCs w:val="20"/>
              </w:rPr>
            </w:pPr>
            <w:r w:rsidRPr="004761E0">
              <w:rPr>
                <w:color w:val="000000"/>
                <w:sz w:val="20"/>
                <w:szCs w:val="20"/>
              </w:rPr>
              <w:t>открытый конкурс/аукцион</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474</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308</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442</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bCs/>
                <w:color w:val="000000"/>
                <w:sz w:val="20"/>
                <w:szCs w:val="20"/>
              </w:rPr>
            </w:pPr>
            <w:r w:rsidRPr="004761E0">
              <w:rPr>
                <w:bCs/>
                <w:color w:val="000000"/>
                <w:sz w:val="20"/>
                <w:szCs w:val="20"/>
              </w:rPr>
              <w:t>43,51 %</w:t>
            </w:r>
          </w:p>
        </w:tc>
      </w:tr>
      <w:tr w:rsidR="004B5B33" w:rsidRPr="004761E0" w:rsidTr="004B5B33">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pStyle w:val="a5"/>
              <w:numPr>
                <w:ilvl w:val="1"/>
                <w:numId w:val="185"/>
              </w:numPr>
              <w:ind w:left="47" w:firstLine="0"/>
              <w:jc w:val="left"/>
              <w:rPr>
                <w:rFonts w:eastAsia="Times New Roman"/>
                <w:color w:val="000000"/>
                <w:sz w:val="20"/>
                <w:szCs w:val="20"/>
                <w:lang w:eastAsia="ru-RU"/>
              </w:rPr>
            </w:pPr>
          </w:p>
        </w:tc>
        <w:tc>
          <w:tcPr>
            <w:tcW w:w="5245"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Chars="200" w:firstLine="400"/>
              <w:rPr>
                <w:color w:val="000000"/>
                <w:sz w:val="20"/>
                <w:szCs w:val="20"/>
              </w:rPr>
            </w:pPr>
            <w:r w:rsidRPr="004761E0">
              <w:rPr>
                <w:color w:val="000000"/>
                <w:sz w:val="20"/>
                <w:szCs w:val="20"/>
              </w:rPr>
              <w:t>открытый запрос предложений</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690</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710</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820</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bCs/>
                <w:color w:val="000000"/>
                <w:sz w:val="20"/>
                <w:szCs w:val="20"/>
              </w:rPr>
            </w:pPr>
            <w:r w:rsidRPr="004761E0">
              <w:rPr>
                <w:bCs/>
                <w:color w:val="000000"/>
                <w:sz w:val="20"/>
                <w:szCs w:val="20"/>
              </w:rPr>
              <w:t>15,49 %</w:t>
            </w:r>
          </w:p>
        </w:tc>
      </w:tr>
      <w:tr w:rsidR="004B5B33" w:rsidRPr="004761E0" w:rsidTr="004B5B33">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pStyle w:val="a5"/>
              <w:numPr>
                <w:ilvl w:val="1"/>
                <w:numId w:val="185"/>
              </w:numPr>
              <w:ind w:left="47" w:firstLine="0"/>
              <w:jc w:val="left"/>
              <w:rPr>
                <w:rFonts w:eastAsia="Times New Roman"/>
                <w:color w:val="000000"/>
                <w:sz w:val="20"/>
                <w:szCs w:val="20"/>
                <w:lang w:eastAsia="ru-RU"/>
              </w:rPr>
            </w:pPr>
          </w:p>
        </w:tc>
        <w:tc>
          <w:tcPr>
            <w:tcW w:w="5245"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Chars="200" w:firstLine="400"/>
              <w:rPr>
                <w:color w:val="000000"/>
                <w:sz w:val="20"/>
                <w:szCs w:val="20"/>
              </w:rPr>
            </w:pPr>
            <w:r w:rsidRPr="004761E0">
              <w:rPr>
                <w:color w:val="000000"/>
                <w:sz w:val="20"/>
                <w:szCs w:val="20"/>
              </w:rPr>
              <w:t xml:space="preserve">открытые конкурентные переговоры </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28</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28</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20</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bCs/>
                <w:color w:val="000000"/>
                <w:sz w:val="20"/>
                <w:szCs w:val="20"/>
              </w:rPr>
            </w:pPr>
            <w:r w:rsidRPr="004761E0">
              <w:rPr>
                <w:bCs/>
                <w:color w:val="000000"/>
                <w:sz w:val="20"/>
                <w:szCs w:val="20"/>
              </w:rPr>
              <w:t>-28,57 %</w:t>
            </w:r>
          </w:p>
        </w:tc>
      </w:tr>
      <w:tr w:rsidR="004B5B33" w:rsidRPr="004761E0" w:rsidTr="004B5B33">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pStyle w:val="a5"/>
              <w:numPr>
                <w:ilvl w:val="1"/>
                <w:numId w:val="185"/>
              </w:numPr>
              <w:ind w:left="47" w:firstLine="0"/>
              <w:jc w:val="left"/>
              <w:rPr>
                <w:rFonts w:eastAsia="Times New Roman"/>
                <w:color w:val="000000"/>
                <w:sz w:val="20"/>
                <w:szCs w:val="20"/>
                <w:lang w:eastAsia="ru-RU"/>
              </w:rPr>
            </w:pPr>
          </w:p>
        </w:tc>
        <w:tc>
          <w:tcPr>
            <w:tcW w:w="5245"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Chars="200" w:firstLine="400"/>
              <w:rPr>
                <w:color w:val="000000"/>
                <w:sz w:val="20"/>
                <w:szCs w:val="20"/>
              </w:rPr>
            </w:pPr>
            <w:r w:rsidRPr="004761E0">
              <w:rPr>
                <w:color w:val="000000"/>
                <w:sz w:val="20"/>
                <w:szCs w:val="20"/>
              </w:rPr>
              <w:t>закупка путем участия в процедурах, организованных продавцами продукции</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bCs/>
                <w:color w:val="000000"/>
                <w:sz w:val="20"/>
                <w:szCs w:val="20"/>
              </w:rPr>
            </w:pPr>
            <w:r w:rsidRPr="004761E0">
              <w:rPr>
                <w:bCs/>
                <w:color w:val="000000"/>
                <w:sz w:val="20"/>
                <w:szCs w:val="20"/>
              </w:rPr>
              <w:t>–</w:t>
            </w:r>
          </w:p>
        </w:tc>
      </w:tr>
      <w:tr w:rsidR="004B5B33" w:rsidRPr="004761E0" w:rsidTr="004B5B33">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pStyle w:val="a5"/>
              <w:numPr>
                <w:ilvl w:val="1"/>
                <w:numId w:val="185"/>
              </w:numPr>
              <w:ind w:left="47" w:firstLine="0"/>
              <w:jc w:val="left"/>
              <w:rPr>
                <w:rFonts w:eastAsia="Times New Roman"/>
                <w:color w:val="000000"/>
                <w:sz w:val="20"/>
                <w:szCs w:val="20"/>
                <w:lang w:eastAsia="ru-RU"/>
              </w:rPr>
            </w:pPr>
          </w:p>
        </w:tc>
        <w:tc>
          <w:tcPr>
            <w:tcW w:w="5245"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Chars="200" w:firstLine="400"/>
              <w:rPr>
                <w:color w:val="000000"/>
                <w:sz w:val="20"/>
                <w:szCs w:val="20"/>
              </w:rPr>
            </w:pPr>
            <w:r w:rsidRPr="004761E0">
              <w:rPr>
                <w:color w:val="000000"/>
                <w:sz w:val="20"/>
                <w:szCs w:val="20"/>
              </w:rPr>
              <w:t>закрытый конкурс/запрос предложений</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6</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16</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bCs/>
                <w:color w:val="000000"/>
                <w:sz w:val="20"/>
                <w:szCs w:val="20"/>
              </w:rPr>
            </w:pPr>
            <w:r w:rsidRPr="004761E0">
              <w:rPr>
                <w:bCs/>
                <w:color w:val="000000"/>
                <w:sz w:val="20"/>
                <w:szCs w:val="20"/>
              </w:rPr>
              <w:t>-93,75 %</w:t>
            </w:r>
          </w:p>
        </w:tc>
      </w:tr>
      <w:tr w:rsidR="004B5B33" w:rsidRPr="004761E0" w:rsidTr="004B5B33">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pStyle w:val="a5"/>
              <w:numPr>
                <w:ilvl w:val="1"/>
                <w:numId w:val="185"/>
              </w:numPr>
              <w:ind w:left="47" w:firstLine="0"/>
              <w:jc w:val="left"/>
              <w:rPr>
                <w:rFonts w:eastAsia="Times New Roman"/>
                <w:color w:val="000000"/>
                <w:sz w:val="20"/>
                <w:szCs w:val="20"/>
                <w:lang w:eastAsia="ru-RU"/>
              </w:rPr>
            </w:pPr>
          </w:p>
        </w:tc>
        <w:tc>
          <w:tcPr>
            <w:tcW w:w="5245"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Chars="200" w:firstLine="400"/>
              <w:rPr>
                <w:color w:val="000000"/>
                <w:sz w:val="20"/>
                <w:szCs w:val="20"/>
              </w:rPr>
            </w:pPr>
            <w:r w:rsidRPr="004761E0">
              <w:rPr>
                <w:color w:val="000000"/>
                <w:sz w:val="20"/>
                <w:szCs w:val="20"/>
              </w:rPr>
              <w:t>открытый запрос цен</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6</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bCs/>
                <w:color w:val="000000"/>
                <w:sz w:val="20"/>
                <w:szCs w:val="20"/>
              </w:rPr>
            </w:pPr>
            <w:r w:rsidRPr="004761E0">
              <w:rPr>
                <w:bCs/>
                <w:color w:val="000000"/>
                <w:sz w:val="20"/>
                <w:szCs w:val="20"/>
              </w:rPr>
              <w:t>–</w:t>
            </w:r>
          </w:p>
        </w:tc>
      </w:tr>
      <w:tr w:rsidR="004B5B33" w:rsidRPr="004761E0" w:rsidTr="004B5B33">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numPr>
                <w:ilvl w:val="0"/>
                <w:numId w:val="185"/>
              </w:numPr>
              <w:ind w:left="47" w:firstLine="0"/>
              <w:jc w:val="left"/>
              <w:rPr>
                <w:b/>
                <w:color w:val="000000"/>
                <w:sz w:val="20"/>
                <w:szCs w:val="20"/>
              </w:rPr>
            </w:pPr>
          </w:p>
        </w:tc>
        <w:tc>
          <w:tcPr>
            <w:tcW w:w="5245"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rPr>
                <w:b/>
                <w:bCs/>
                <w:color w:val="000000"/>
                <w:sz w:val="20"/>
                <w:szCs w:val="20"/>
              </w:rPr>
            </w:pPr>
            <w:r w:rsidRPr="004761E0">
              <w:rPr>
                <w:b/>
                <w:bCs/>
                <w:color w:val="000000"/>
                <w:sz w:val="20"/>
                <w:szCs w:val="20"/>
              </w:rPr>
              <w:t>Общая сумма, млн руб. с НДС (всего), в т.ч.:</w:t>
            </w:r>
          </w:p>
        </w:tc>
        <w:tc>
          <w:tcPr>
            <w:tcW w:w="1134"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b/>
                <w:bCs/>
                <w:color w:val="000000"/>
                <w:sz w:val="20"/>
                <w:szCs w:val="20"/>
              </w:rPr>
            </w:pPr>
            <w:r w:rsidRPr="004761E0">
              <w:rPr>
                <w:b/>
                <w:bCs/>
                <w:color w:val="000000"/>
                <w:sz w:val="20"/>
                <w:szCs w:val="20"/>
              </w:rPr>
              <w:t>81 278</w:t>
            </w:r>
          </w:p>
        </w:tc>
        <w:tc>
          <w:tcPr>
            <w:tcW w:w="1134"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b/>
                <w:bCs/>
                <w:color w:val="000000"/>
                <w:sz w:val="20"/>
                <w:szCs w:val="20"/>
              </w:rPr>
            </w:pPr>
            <w:r w:rsidRPr="004761E0">
              <w:rPr>
                <w:b/>
                <w:bCs/>
                <w:color w:val="000000"/>
                <w:sz w:val="20"/>
                <w:szCs w:val="20"/>
              </w:rPr>
              <w:t>50 640</w:t>
            </w:r>
          </w:p>
        </w:tc>
        <w:tc>
          <w:tcPr>
            <w:tcW w:w="1134"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b/>
                <w:bCs/>
                <w:color w:val="000000"/>
                <w:sz w:val="20"/>
                <w:szCs w:val="20"/>
              </w:rPr>
            </w:pPr>
            <w:r w:rsidRPr="004761E0">
              <w:rPr>
                <w:b/>
                <w:bCs/>
                <w:color w:val="000000"/>
                <w:sz w:val="20"/>
                <w:szCs w:val="20"/>
              </w:rPr>
              <w:t>85 832</w:t>
            </w:r>
          </w:p>
        </w:tc>
        <w:tc>
          <w:tcPr>
            <w:tcW w:w="1134"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b/>
                <w:bCs/>
                <w:color w:val="000000"/>
                <w:sz w:val="20"/>
                <w:szCs w:val="20"/>
              </w:rPr>
            </w:pPr>
            <w:r w:rsidRPr="004761E0">
              <w:rPr>
                <w:b/>
                <w:bCs/>
                <w:color w:val="000000"/>
                <w:sz w:val="20"/>
                <w:szCs w:val="20"/>
              </w:rPr>
              <w:t>69,49 %</w:t>
            </w:r>
          </w:p>
        </w:tc>
      </w:tr>
      <w:tr w:rsidR="004B5B33" w:rsidRPr="004761E0" w:rsidTr="004B5B33">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pStyle w:val="a5"/>
              <w:numPr>
                <w:ilvl w:val="1"/>
                <w:numId w:val="185"/>
              </w:numPr>
              <w:ind w:left="47" w:firstLine="0"/>
              <w:jc w:val="left"/>
              <w:rPr>
                <w:b/>
                <w:color w:val="000000"/>
                <w:sz w:val="20"/>
                <w:szCs w:val="20"/>
              </w:rPr>
            </w:pPr>
          </w:p>
        </w:tc>
        <w:tc>
          <w:tcPr>
            <w:tcW w:w="5245"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Chars="200" w:firstLine="400"/>
              <w:rPr>
                <w:color w:val="000000"/>
                <w:sz w:val="20"/>
                <w:szCs w:val="20"/>
              </w:rPr>
            </w:pPr>
            <w:r w:rsidRPr="004761E0">
              <w:rPr>
                <w:color w:val="000000"/>
                <w:sz w:val="20"/>
                <w:szCs w:val="20"/>
              </w:rPr>
              <w:t>закупка у единственного поставщика</w:t>
            </w:r>
          </w:p>
        </w:tc>
        <w:tc>
          <w:tcPr>
            <w:tcW w:w="1134"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33 065</w:t>
            </w:r>
          </w:p>
        </w:tc>
        <w:tc>
          <w:tcPr>
            <w:tcW w:w="1134"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2 141</w:t>
            </w:r>
          </w:p>
        </w:tc>
        <w:tc>
          <w:tcPr>
            <w:tcW w:w="1134" w:type="dxa"/>
            <w:tcBorders>
              <w:top w:val="single" w:sz="4" w:space="0" w:color="auto"/>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1 169</w:t>
            </w:r>
          </w:p>
        </w:tc>
        <w:tc>
          <w:tcPr>
            <w:tcW w:w="1134"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bCs/>
                <w:color w:val="000000"/>
                <w:sz w:val="20"/>
                <w:szCs w:val="20"/>
              </w:rPr>
            </w:pPr>
            <w:r w:rsidRPr="004761E0">
              <w:rPr>
                <w:bCs/>
                <w:color w:val="000000"/>
                <w:sz w:val="20"/>
                <w:szCs w:val="20"/>
              </w:rPr>
              <w:t>-45,40 %</w:t>
            </w:r>
          </w:p>
        </w:tc>
      </w:tr>
      <w:tr w:rsidR="004B5B33" w:rsidRPr="004761E0" w:rsidTr="004B5B33">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pStyle w:val="a5"/>
              <w:numPr>
                <w:ilvl w:val="1"/>
                <w:numId w:val="185"/>
              </w:numPr>
              <w:ind w:left="47" w:firstLine="0"/>
              <w:jc w:val="left"/>
              <w:rPr>
                <w:b/>
                <w:color w:val="000000"/>
                <w:sz w:val="20"/>
                <w:szCs w:val="20"/>
              </w:rPr>
            </w:pP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4B5B33" w:rsidRPr="004761E0" w:rsidRDefault="004B5B33" w:rsidP="004B5B33">
            <w:pPr>
              <w:ind w:firstLineChars="200" w:firstLine="400"/>
              <w:rPr>
                <w:color w:val="000000"/>
                <w:sz w:val="20"/>
                <w:szCs w:val="20"/>
              </w:rPr>
            </w:pPr>
            <w:r w:rsidRPr="004761E0">
              <w:rPr>
                <w:color w:val="000000"/>
                <w:sz w:val="20"/>
                <w:szCs w:val="20"/>
              </w:rPr>
              <w:t xml:space="preserve">закрытый запрос цен, по результатам открытых </w:t>
            </w:r>
            <w:r w:rsidRPr="004761E0">
              <w:rPr>
                <w:color w:val="000000"/>
                <w:sz w:val="20"/>
                <w:szCs w:val="20"/>
              </w:rPr>
              <w:lastRenderedPageBreak/>
              <w:t xml:space="preserve">конкурентных переговоров </w:t>
            </w:r>
          </w:p>
        </w:tc>
        <w:tc>
          <w:tcPr>
            <w:tcW w:w="1134" w:type="dxa"/>
            <w:tcBorders>
              <w:top w:val="single" w:sz="4" w:space="0" w:color="auto"/>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lastRenderedPageBreak/>
              <w:t>18 663</w:t>
            </w:r>
          </w:p>
        </w:tc>
        <w:tc>
          <w:tcPr>
            <w:tcW w:w="1134" w:type="dxa"/>
            <w:tcBorders>
              <w:top w:val="single" w:sz="4" w:space="0" w:color="auto"/>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18 445</w:t>
            </w:r>
          </w:p>
        </w:tc>
        <w:tc>
          <w:tcPr>
            <w:tcW w:w="1134" w:type="dxa"/>
            <w:tcBorders>
              <w:top w:val="single" w:sz="4" w:space="0" w:color="auto"/>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30 644</w:t>
            </w:r>
          </w:p>
        </w:tc>
        <w:tc>
          <w:tcPr>
            <w:tcW w:w="1134" w:type="dxa"/>
            <w:tcBorders>
              <w:top w:val="single" w:sz="4" w:space="0" w:color="auto"/>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bCs/>
                <w:color w:val="000000"/>
                <w:sz w:val="20"/>
                <w:szCs w:val="20"/>
              </w:rPr>
            </w:pPr>
            <w:r w:rsidRPr="004761E0">
              <w:rPr>
                <w:bCs/>
                <w:color w:val="000000"/>
                <w:sz w:val="20"/>
                <w:szCs w:val="20"/>
              </w:rPr>
              <w:t>66,14 %</w:t>
            </w:r>
          </w:p>
        </w:tc>
      </w:tr>
      <w:tr w:rsidR="004B5B33" w:rsidRPr="004761E0" w:rsidTr="004B5B33">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pStyle w:val="a5"/>
              <w:numPr>
                <w:ilvl w:val="1"/>
                <w:numId w:val="185"/>
              </w:numPr>
              <w:ind w:left="47" w:firstLine="0"/>
              <w:jc w:val="left"/>
              <w:rPr>
                <w:b/>
                <w:color w:val="000000"/>
                <w:sz w:val="20"/>
                <w:szCs w:val="20"/>
              </w:rPr>
            </w:pPr>
          </w:p>
        </w:tc>
        <w:tc>
          <w:tcPr>
            <w:tcW w:w="5245"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Chars="200" w:firstLine="400"/>
              <w:rPr>
                <w:color w:val="000000"/>
                <w:sz w:val="20"/>
                <w:szCs w:val="20"/>
              </w:rPr>
            </w:pPr>
            <w:r w:rsidRPr="004761E0">
              <w:rPr>
                <w:color w:val="000000"/>
                <w:sz w:val="20"/>
                <w:szCs w:val="20"/>
              </w:rPr>
              <w:t>открытый конкурс/аукцион</w:t>
            </w:r>
          </w:p>
        </w:tc>
        <w:tc>
          <w:tcPr>
            <w:tcW w:w="1134"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18 466</w:t>
            </w:r>
          </w:p>
        </w:tc>
        <w:tc>
          <w:tcPr>
            <w:tcW w:w="1134"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20 146</w:t>
            </w:r>
          </w:p>
        </w:tc>
        <w:tc>
          <w:tcPr>
            <w:tcW w:w="1134" w:type="dxa"/>
            <w:tcBorders>
              <w:top w:val="single" w:sz="4" w:space="0" w:color="auto"/>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47 420</w:t>
            </w:r>
          </w:p>
        </w:tc>
        <w:tc>
          <w:tcPr>
            <w:tcW w:w="1134"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bCs/>
                <w:color w:val="000000"/>
                <w:sz w:val="20"/>
                <w:szCs w:val="20"/>
              </w:rPr>
            </w:pPr>
            <w:r w:rsidRPr="004761E0">
              <w:rPr>
                <w:bCs/>
                <w:color w:val="000000"/>
                <w:sz w:val="20"/>
                <w:szCs w:val="20"/>
              </w:rPr>
              <w:t>135,38 %</w:t>
            </w:r>
          </w:p>
        </w:tc>
      </w:tr>
      <w:tr w:rsidR="004B5B33" w:rsidRPr="004761E0" w:rsidTr="004B5B33">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pStyle w:val="a5"/>
              <w:numPr>
                <w:ilvl w:val="1"/>
                <w:numId w:val="185"/>
              </w:numPr>
              <w:ind w:left="47" w:firstLine="0"/>
              <w:jc w:val="left"/>
              <w:rPr>
                <w:b/>
                <w:color w:val="000000"/>
                <w:sz w:val="20"/>
                <w:szCs w:val="20"/>
              </w:rPr>
            </w:pPr>
          </w:p>
        </w:tc>
        <w:tc>
          <w:tcPr>
            <w:tcW w:w="5245"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Chars="200" w:firstLine="400"/>
              <w:rPr>
                <w:color w:val="000000"/>
                <w:sz w:val="20"/>
                <w:szCs w:val="20"/>
              </w:rPr>
            </w:pPr>
            <w:r w:rsidRPr="004761E0">
              <w:rPr>
                <w:color w:val="000000"/>
                <w:sz w:val="20"/>
                <w:szCs w:val="20"/>
              </w:rPr>
              <w:t>открытый запрос предложений</w:t>
            </w:r>
          </w:p>
        </w:tc>
        <w:tc>
          <w:tcPr>
            <w:tcW w:w="1134"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6 020</w:t>
            </w:r>
          </w:p>
        </w:tc>
        <w:tc>
          <w:tcPr>
            <w:tcW w:w="1134"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8 612</w:t>
            </w:r>
          </w:p>
        </w:tc>
        <w:tc>
          <w:tcPr>
            <w:tcW w:w="1134" w:type="dxa"/>
            <w:tcBorders>
              <w:top w:val="single" w:sz="4" w:space="0" w:color="auto"/>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5 204</w:t>
            </w:r>
          </w:p>
        </w:tc>
        <w:tc>
          <w:tcPr>
            <w:tcW w:w="1134"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bCs/>
                <w:color w:val="000000"/>
                <w:sz w:val="20"/>
                <w:szCs w:val="20"/>
              </w:rPr>
            </w:pPr>
            <w:r w:rsidRPr="004761E0">
              <w:rPr>
                <w:bCs/>
                <w:color w:val="000000"/>
                <w:sz w:val="20"/>
                <w:szCs w:val="20"/>
              </w:rPr>
              <w:t>-39,57 %</w:t>
            </w:r>
          </w:p>
        </w:tc>
      </w:tr>
      <w:tr w:rsidR="004B5B33" w:rsidRPr="004761E0" w:rsidTr="004B5B33">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pStyle w:val="a5"/>
              <w:numPr>
                <w:ilvl w:val="1"/>
                <w:numId w:val="185"/>
              </w:numPr>
              <w:ind w:left="47" w:firstLine="0"/>
              <w:jc w:val="left"/>
              <w:rPr>
                <w:b/>
                <w:color w:val="000000"/>
                <w:sz w:val="20"/>
                <w:szCs w:val="20"/>
              </w:rPr>
            </w:pP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4B5B33" w:rsidRPr="004761E0" w:rsidRDefault="004B5B33" w:rsidP="004B5B33">
            <w:pPr>
              <w:ind w:firstLineChars="200" w:firstLine="400"/>
              <w:rPr>
                <w:color w:val="000000"/>
                <w:sz w:val="20"/>
                <w:szCs w:val="20"/>
              </w:rPr>
            </w:pPr>
            <w:r w:rsidRPr="004761E0">
              <w:rPr>
                <w:color w:val="000000"/>
                <w:sz w:val="20"/>
                <w:szCs w:val="20"/>
              </w:rPr>
              <w:t xml:space="preserve">открытые конкурентные переговоры </w:t>
            </w:r>
          </w:p>
        </w:tc>
        <w:tc>
          <w:tcPr>
            <w:tcW w:w="1134" w:type="dxa"/>
            <w:tcBorders>
              <w:top w:val="single" w:sz="4" w:space="0" w:color="auto"/>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3 661</w:t>
            </w:r>
          </w:p>
        </w:tc>
        <w:tc>
          <w:tcPr>
            <w:tcW w:w="1134" w:type="dxa"/>
            <w:tcBorders>
              <w:top w:val="single" w:sz="4" w:space="0" w:color="auto"/>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631</w:t>
            </w:r>
          </w:p>
        </w:tc>
        <w:tc>
          <w:tcPr>
            <w:tcW w:w="1134" w:type="dxa"/>
            <w:tcBorders>
              <w:top w:val="single" w:sz="4" w:space="0" w:color="auto"/>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1 394</w:t>
            </w:r>
          </w:p>
        </w:tc>
        <w:tc>
          <w:tcPr>
            <w:tcW w:w="1134" w:type="dxa"/>
            <w:tcBorders>
              <w:top w:val="single" w:sz="4" w:space="0" w:color="auto"/>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bCs/>
                <w:color w:val="000000"/>
                <w:sz w:val="20"/>
                <w:szCs w:val="20"/>
              </w:rPr>
            </w:pPr>
            <w:r w:rsidRPr="004761E0">
              <w:rPr>
                <w:bCs/>
                <w:color w:val="000000"/>
                <w:sz w:val="20"/>
                <w:szCs w:val="20"/>
              </w:rPr>
              <w:t>120,92 %</w:t>
            </w:r>
          </w:p>
        </w:tc>
      </w:tr>
      <w:tr w:rsidR="004B5B33" w:rsidRPr="004761E0" w:rsidTr="004B5B33">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pStyle w:val="a5"/>
              <w:numPr>
                <w:ilvl w:val="1"/>
                <w:numId w:val="185"/>
              </w:numPr>
              <w:ind w:left="47" w:firstLine="0"/>
              <w:jc w:val="left"/>
              <w:rPr>
                <w:b/>
                <w:color w:val="000000"/>
                <w:sz w:val="20"/>
                <w:szCs w:val="20"/>
              </w:rPr>
            </w:pPr>
          </w:p>
        </w:tc>
        <w:tc>
          <w:tcPr>
            <w:tcW w:w="5245"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Chars="200" w:firstLine="400"/>
              <w:rPr>
                <w:color w:val="000000"/>
                <w:sz w:val="20"/>
                <w:szCs w:val="20"/>
              </w:rPr>
            </w:pPr>
            <w:r w:rsidRPr="004761E0">
              <w:rPr>
                <w:color w:val="000000"/>
                <w:sz w:val="20"/>
                <w:szCs w:val="20"/>
              </w:rPr>
              <w:t>закупка путем участия в процедурах, организованных продавцами продукции</w:t>
            </w:r>
          </w:p>
        </w:tc>
        <w:tc>
          <w:tcPr>
            <w:tcW w:w="1134"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673</w:t>
            </w:r>
          </w:p>
        </w:tc>
        <w:tc>
          <w:tcPr>
            <w:tcW w:w="1134"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0</w:t>
            </w:r>
          </w:p>
        </w:tc>
        <w:tc>
          <w:tcPr>
            <w:tcW w:w="1134" w:type="dxa"/>
            <w:tcBorders>
              <w:top w:val="single" w:sz="4" w:space="0" w:color="auto"/>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bCs/>
                <w:color w:val="000000"/>
                <w:sz w:val="20"/>
                <w:szCs w:val="20"/>
              </w:rPr>
            </w:pPr>
            <w:r w:rsidRPr="004761E0">
              <w:rPr>
                <w:bCs/>
                <w:color w:val="000000"/>
                <w:sz w:val="20"/>
                <w:szCs w:val="20"/>
              </w:rPr>
              <w:t>–</w:t>
            </w:r>
          </w:p>
        </w:tc>
      </w:tr>
      <w:tr w:rsidR="004B5B33" w:rsidRPr="004761E0" w:rsidTr="004B5B33">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pStyle w:val="a5"/>
              <w:numPr>
                <w:ilvl w:val="1"/>
                <w:numId w:val="185"/>
              </w:numPr>
              <w:ind w:left="47" w:firstLine="0"/>
              <w:jc w:val="left"/>
              <w:rPr>
                <w:b/>
                <w:color w:val="000000"/>
                <w:sz w:val="20"/>
                <w:szCs w:val="20"/>
              </w:rPr>
            </w:pPr>
          </w:p>
        </w:tc>
        <w:tc>
          <w:tcPr>
            <w:tcW w:w="5245"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Chars="200" w:firstLine="400"/>
              <w:rPr>
                <w:color w:val="000000"/>
                <w:sz w:val="20"/>
                <w:szCs w:val="20"/>
              </w:rPr>
            </w:pPr>
            <w:r w:rsidRPr="004761E0">
              <w:rPr>
                <w:color w:val="000000"/>
                <w:sz w:val="20"/>
                <w:szCs w:val="20"/>
              </w:rPr>
              <w:t>закрытый конкурс/запрос предложений</w:t>
            </w:r>
          </w:p>
        </w:tc>
        <w:tc>
          <w:tcPr>
            <w:tcW w:w="1134"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542</w:t>
            </w:r>
          </w:p>
        </w:tc>
        <w:tc>
          <w:tcPr>
            <w:tcW w:w="1134"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665</w:t>
            </w:r>
          </w:p>
        </w:tc>
        <w:tc>
          <w:tcPr>
            <w:tcW w:w="1134" w:type="dxa"/>
            <w:tcBorders>
              <w:top w:val="single" w:sz="4" w:space="0" w:color="auto"/>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color w:val="000000"/>
                <w:sz w:val="20"/>
                <w:szCs w:val="20"/>
              </w:rPr>
            </w:pPr>
            <w:r w:rsidRPr="004761E0">
              <w:rPr>
                <w:color w:val="000000"/>
                <w:sz w:val="20"/>
                <w:szCs w:val="20"/>
              </w:rPr>
              <w:t>1</w:t>
            </w:r>
          </w:p>
        </w:tc>
        <w:tc>
          <w:tcPr>
            <w:tcW w:w="1134" w:type="dxa"/>
            <w:tcBorders>
              <w:top w:val="nil"/>
              <w:left w:val="nil"/>
              <w:bottom w:val="single" w:sz="4" w:space="0" w:color="auto"/>
              <w:right w:val="single" w:sz="4" w:space="0" w:color="auto"/>
            </w:tcBorders>
            <w:shd w:val="clear" w:color="auto" w:fill="auto"/>
            <w:vAlign w:val="center"/>
          </w:tcPr>
          <w:p w:rsidR="004B5B33" w:rsidRPr="004761E0" w:rsidRDefault="004B5B33" w:rsidP="004B5B33">
            <w:pPr>
              <w:ind w:firstLine="0"/>
              <w:jc w:val="right"/>
              <w:rPr>
                <w:bCs/>
                <w:color w:val="000000"/>
                <w:sz w:val="20"/>
                <w:szCs w:val="20"/>
              </w:rPr>
            </w:pPr>
            <w:r w:rsidRPr="004761E0">
              <w:rPr>
                <w:bCs/>
                <w:color w:val="000000"/>
                <w:sz w:val="20"/>
                <w:szCs w:val="20"/>
              </w:rPr>
              <w:t>-99,85 %</w:t>
            </w:r>
          </w:p>
        </w:tc>
      </w:tr>
      <w:tr w:rsidR="004B5B33" w:rsidRPr="004761E0" w:rsidTr="004B5B33">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4B5B33" w:rsidRPr="004761E0" w:rsidRDefault="004B5B33" w:rsidP="007076A7">
            <w:pPr>
              <w:pStyle w:val="a5"/>
              <w:numPr>
                <w:ilvl w:val="1"/>
                <w:numId w:val="185"/>
              </w:numPr>
              <w:ind w:left="47" w:firstLine="0"/>
              <w:jc w:val="left"/>
              <w:rPr>
                <w:b/>
                <w:color w:val="000000"/>
                <w:sz w:val="20"/>
                <w:szCs w:val="20"/>
              </w:rPr>
            </w:pPr>
          </w:p>
        </w:tc>
        <w:tc>
          <w:tcPr>
            <w:tcW w:w="5245"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Chars="200" w:firstLine="400"/>
              <w:rPr>
                <w:color w:val="000000"/>
                <w:sz w:val="20"/>
                <w:szCs w:val="20"/>
              </w:rPr>
            </w:pPr>
            <w:r w:rsidRPr="004761E0">
              <w:rPr>
                <w:color w:val="000000"/>
                <w:sz w:val="20"/>
                <w:szCs w:val="20"/>
              </w:rPr>
              <w:t>открытый запрос цен</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188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color w:val="000000"/>
                <w:sz w:val="20"/>
                <w:szCs w:val="20"/>
              </w:rPr>
            </w:pPr>
            <w:r w:rsidRPr="004761E0">
              <w:rPr>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4B5B33" w:rsidRPr="004761E0" w:rsidRDefault="004B5B33" w:rsidP="004B5B33">
            <w:pPr>
              <w:ind w:firstLine="0"/>
              <w:jc w:val="right"/>
              <w:rPr>
                <w:bCs/>
                <w:color w:val="000000"/>
                <w:sz w:val="20"/>
                <w:szCs w:val="20"/>
              </w:rPr>
            </w:pPr>
            <w:r w:rsidRPr="004761E0">
              <w:rPr>
                <w:bCs/>
                <w:color w:val="000000"/>
                <w:sz w:val="20"/>
                <w:szCs w:val="20"/>
              </w:rPr>
              <w:t>–</w:t>
            </w:r>
          </w:p>
        </w:tc>
      </w:tr>
    </w:tbl>
    <w:p w:rsidR="004B5B33" w:rsidRPr="004761E0" w:rsidRDefault="004B5B33" w:rsidP="004B5B33">
      <w:pPr>
        <w:ind w:firstLine="0"/>
        <w:rPr>
          <w:i/>
          <w:iCs/>
          <w:color w:val="000000"/>
          <w:sz w:val="20"/>
          <w:szCs w:val="20"/>
        </w:rPr>
      </w:pPr>
    </w:p>
    <w:p w:rsidR="004B5B33" w:rsidRPr="004761E0" w:rsidRDefault="004B5B33" w:rsidP="004B5B33">
      <w:pPr>
        <w:ind w:firstLine="0"/>
        <w:rPr>
          <w:i/>
          <w:iCs/>
          <w:color w:val="000000"/>
          <w:sz w:val="20"/>
          <w:szCs w:val="20"/>
        </w:rPr>
      </w:pPr>
      <w:r w:rsidRPr="004761E0">
        <w:rPr>
          <w:i/>
          <w:iCs/>
          <w:noProof/>
          <w:color w:val="000000"/>
          <w:sz w:val="20"/>
          <w:szCs w:val="20"/>
          <w:lang w:eastAsia="ru-RU"/>
        </w:rPr>
        <w:drawing>
          <wp:inline distT="0" distB="0" distL="0" distR="0">
            <wp:extent cx="2552700" cy="2551430"/>
            <wp:effectExtent l="19050" t="0" r="19050" b="1270"/>
            <wp:docPr id="19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r w:rsidRPr="004761E0">
        <w:rPr>
          <w:i/>
          <w:iCs/>
          <w:color w:val="000000"/>
          <w:sz w:val="20"/>
          <w:szCs w:val="20"/>
        </w:rPr>
        <w:t xml:space="preserve"> </w:t>
      </w:r>
      <w:r w:rsidRPr="004761E0">
        <w:rPr>
          <w:i/>
          <w:iCs/>
          <w:noProof/>
          <w:color w:val="000000"/>
          <w:sz w:val="20"/>
          <w:szCs w:val="20"/>
          <w:lang w:eastAsia="ru-RU"/>
        </w:rPr>
        <w:drawing>
          <wp:inline distT="0" distB="0" distL="0" distR="0">
            <wp:extent cx="2527300" cy="2559050"/>
            <wp:effectExtent l="19050" t="0" r="25400" b="0"/>
            <wp:docPr id="19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4B5B33" w:rsidRPr="004761E0" w:rsidRDefault="004B5B33" w:rsidP="004B5B33">
      <w:pPr>
        <w:rPr>
          <w:i/>
          <w:iCs/>
          <w:color w:val="000000"/>
          <w:sz w:val="20"/>
          <w:szCs w:val="20"/>
        </w:rPr>
      </w:pPr>
    </w:p>
    <w:p w:rsidR="004B5B33" w:rsidRPr="004761E0" w:rsidRDefault="004B5B33" w:rsidP="004B5B33">
      <w:pPr>
        <w:ind w:firstLine="0"/>
        <w:rPr>
          <w:i/>
          <w:iCs/>
          <w:color w:val="000000"/>
          <w:sz w:val="20"/>
          <w:szCs w:val="20"/>
        </w:rPr>
      </w:pPr>
      <w:r w:rsidRPr="004761E0">
        <w:rPr>
          <w:i/>
          <w:iCs/>
          <w:noProof/>
          <w:color w:val="000000"/>
          <w:sz w:val="20"/>
          <w:szCs w:val="20"/>
          <w:lang w:eastAsia="ru-RU"/>
        </w:rPr>
        <w:drawing>
          <wp:inline distT="0" distB="0" distL="0" distR="0">
            <wp:extent cx="2514600" cy="2463800"/>
            <wp:effectExtent l="19050" t="0" r="19050" b="0"/>
            <wp:docPr id="198" name="Диаграмма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r w:rsidRPr="004761E0">
        <w:rPr>
          <w:i/>
          <w:iCs/>
          <w:noProof/>
          <w:color w:val="000000"/>
          <w:sz w:val="20"/>
          <w:szCs w:val="20"/>
          <w:lang w:eastAsia="ru-RU"/>
        </w:rPr>
        <w:drawing>
          <wp:inline distT="0" distB="0" distL="0" distR="0">
            <wp:extent cx="2597150" cy="2463800"/>
            <wp:effectExtent l="19050" t="0" r="12700" b="0"/>
            <wp:docPr id="19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4B5B33" w:rsidRPr="004761E0" w:rsidRDefault="004B5B33" w:rsidP="004B5B33">
      <w:pPr>
        <w:ind w:firstLine="0"/>
        <w:rPr>
          <w:i/>
          <w:iCs/>
          <w:color w:val="000000"/>
          <w:sz w:val="20"/>
          <w:szCs w:val="20"/>
        </w:rPr>
      </w:pPr>
      <w:r w:rsidRPr="004761E0">
        <w:rPr>
          <w:i/>
          <w:iCs/>
          <w:noProof/>
          <w:color w:val="000000"/>
          <w:sz w:val="20"/>
          <w:szCs w:val="20"/>
          <w:lang w:eastAsia="ru-RU"/>
        </w:rPr>
        <w:lastRenderedPageBreak/>
        <w:drawing>
          <wp:inline distT="0" distB="0" distL="0" distR="0">
            <wp:extent cx="2552369" cy="2902226"/>
            <wp:effectExtent l="19050" t="0" r="19381" b="0"/>
            <wp:docPr id="200" name="Диаграмма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r w:rsidRPr="004761E0">
        <w:rPr>
          <w:i/>
          <w:iCs/>
          <w:noProof/>
          <w:color w:val="000000"/>
          <w:sz w:val="20"/>
          <w:szCs w:val="20"/>
          <w:lang w:eastAsia="ru-RU"/>
        </w:rPr>
        <w:drawing>
          <wp:inline distT="0" distB="0" distL="0" distR="0">
            <wp:extent cx="2552369" cy="2902226"/>
            <wp:effectExtent l="19050" t="0" r="19381" b="0"/>
            <wp:docPr id="256"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4B5B33" w:rsidRPr="004761E0" w:rsidRDefault="004B5B33" w:rsidP="004B5B33">
      <w:pPr>
        <w:ind w:right="-22" w:firstLine="567"/>
        <w:rPr>
          <w:sz w:val="26"/>
          <w:szCs w:val="26"/>
        </w:rPr>
      </w:pPr>
      <w:r w:rsidRPr="004761E0">
        <w:rPr>
          <w:sz w:val="26"/>
          <w:szCs w:val="26"/>
        </w:rPr>
        <w:t xml:space="preserve">В 2013 году проведены мероприятия, направленные на снижение доли закупок у единственного поставщика. В частности, на этапе формирования программы закупок на 2013 год по ряду лотов изменен способ закупки с </w:t>
      </w:r>
      <w:r w:rsidR="0034026D" w:rsidRPr="004761E0">
        <w:rPr>
          <w:sz w:val="26"/>
          <w:szCs w:val="26"/>
        </w:rPr>
        <w:t>«У</w:t>
      </w:r>
      <w:r w:rsidRPr="004761E0">
        <w:rPr>
          <w:sz w:val="26"/>
          <w:szCs w:val="26"/>
        </w:rPr>
        <w:t xml:space="preserve"> единственного поставщика</w:t>
      </w:r>
      <w:r w:rsidR="0034026D" w:rsidRPr="004761E0">
        <w:rPr>
          <w:sz w:val="26"/>
          <w:szCs w:val="26"/>
        </w:rPr>
        <w:t>»</w:t>
      </w:r>
      <w:r w:rsidRPr="004761E0">
        <w:rPr>
          <w:sz w:val="26"/>
          <w:szCs w:val="26"/>
        </w:rPr>
        <w:t xml:space="preserve"> на открытые процедуры. Кроме этого при вынесении на Центральную конкурсную комиссию внеплановых закупок </w:t>
      </w:r>
      <w:r w:rsidR="0034026D" w:rsidRPr="004761E0">
        <w:rPr>
          <w:sz w:val="26"/>
          <w:szCs w:val="26"/>
        </w:rPr>
        <w:t>«У</w:t>
      </w:r>
      <w:r w:rsidRPr="004761E0">
        <w:rPr>
          <w:sz w:val="26"/>
          <w:szCs w:val="26"/>
        </w:rPr>
        <w:t xml:space="preserve"> единственного поставщика</w:t>
      </w:r>
      <w:r w:rsidR="0034026D" w:rsidRPr="004761E0">
        <w:rPr>
          <w:sz w:val="26"/>
          <w:szCs w:val="26"/>
        </w:rPr>
        <w:t>»</w:t>
      </w:r>
      <w:r w:rsidRPr="004761E0">
        <w:rPr>
          <w:sz w:val="26"/>
          <w:szCs w:val="26"/>
        </w:rPr>
        <w:t xml:space="preserve"> по части закупок принималось решение о проведении открытых процедур.</w:t>
      </w:r>
    </w:p>
    <w:p w:rsidR="004B5B33" w:rsidRPr="004761E0" w:rsidRDefault="004B5B33" w:rsidP="004B5B33">
      <w:pPr>
        <w:ind w:right="-22" w:firstLine="567"/>
        <w:rPr>
          <w:bCs/>
          <w:sz w:val="26"/>
          <w:szCs w:val="26"/>
        </w:rPr>
      </w:pPr>
      <w:r w:rsidRPr="004761E0">
        <w:rPr>
          <w:bCs/>
          <w:sz w:val="26"/>
          <w:szCs w:val="26"/>
        </w:rPr>
        <w:t>Преобладание открытых закупочных процедур</w:t>
      </w:r>
      <w:r w:rsidRPr="004761E0">
        <w:rPr>
          <w:sz w:val="26"/>
          <w:szCs w:val="26"/>
        </w:rPr>
        <w:t xml:space="preserve"> обеспечивает прозрачность и формирование оптимальной рыночной цены продукции. </w:t>
      </w:r>
    </w:p>
    <w:p w:rsidR="004B5B33" w:rsidRPr="004761E0" w:rsidRDefault="004B5B33" w:rsidP="009817EE">
      <w:pPr>
        <w:spacing w:before="120" w:after="120"/>
        <w:ind w:firstLine="567"/>
        <w:rPr>
          <w:b/>
          <w:sz w:val="26"/>
          <w:szCs w:val="26"/>
        </w:rPr>
      </w:pPr>
      <w:r w:rsidRPr="004761E0">
        <w:rPr>
          <w:b/>
          <w:sz w:val="26"/>
          <w:szCs w:val="26"/>
        </w:rPr>
        <w:t>Основные планы в области закупочной деятельности на 2014 год</w:t>
      </w:r>
    </w:p>
    <w:p w:rsidR="004B5B33" w:rsidRPr="004761E0" w:rsidRDefault="004B5B33" w:rsidP="007076A7">
      <w:pPr>
        <w:pStyle w:val="a5"/>
        <w:numPr>
          <w:ilvl w:val="0"/>
          <w:numId w:val="188"/>
        </w:numPr>
        <w:tabs>
          <w:tab w:val="left" w:pos="1134"/>
        </w:tabs>
        <w:ind w:left="1134" w:hanging="567"/>
        <w:contextualSpacing w:val="0"/>
        <w:rPr>
          <w:sz w:val="26"/>
          <w:szCs w:val="26"/>
        </w:rPr>
      </w:pPr>
      <w:r w:rsidRPr="004761E0">
        <w:rPr>
          <w:sz w:val="26"/>
          <w:szCs w:val="26"/>
        </w:rPr>
        <w:t>исполнение Плана закупок 2014 года;</w:t>
      </w:r>
    </w:p>
    <w:p w:rsidR="004B5B33" w:rsidRPr="004761E0" w:rsidRDefault="004B5B33" w:rsidP="007076A7">
      <w:pPr>
        <w:pStyle w:val="a5"/>
        <w:numPr>
          <w:ilvl w:val="0"/>
          <w:numId w:val="188"/>
        </w:numPr>
        <w:tabs>
          <w:tab w:val="left" w:pos="1134"/>
        </w:tabs>
        <w:ind w:left="1134" w:hanging="567"/>
        <w:contextualSpacing w:val="0"/>
        <w:rPr>
          <w:sz w:val="26"/>
          <w:szCs w:val="26"/>
        </w:rPr>
      </w:pPr>
      <w:r w:rsidRPr="004761E0">
        <w:rPr>
          <w:rFonts w:eastAsia="Times New Roman"/>
          <w:sz w:val="26"/>
          <w:szCs w:val="26"/>
          <w:lang w:eastAsia="ru-RU"/>
        </w:rPr>
        <w:t>обеспечение доли закупок у единственного поставщика на минимальном уровне;</w:t>
      </w:r>
    </w:p>
    <w:p w:rsidR="004B5B33" w:rsidRPr="004761E0" w:rsidRDefault="004B5B33" w:rsidP="007076A7">
      <w:pPr>
        <w:pStyle w:val="a5"/>
        <w:numPr>
          <w:ilvl w:val="0"/>
          <w:numId w:val="188"/>
        </w:numPr>
        <w:tabs>
          <w:tab w:val="left" w:pos="1134"/>
        </w:tabs>
        <w:ind w:left="1134" w:hanging="567"/>
        <w:contextualSpacing w:val="0"/>
        <w:rPr>
          <w:sz w:val="26"/>
          <w:szCs w:val="26"/>
        </w:rPr>
      </w:pPr>
      <w:r w:rsidRPr="004761E0">
        <w:rPr>
          <w:rFonts w:eastAsia="Times New Roman"/>
          <w:sz w:val="26"/>
          <w:szCs w:val="26"/>
          <w:lang w:eastAsia="ru-RU"/>
        </w:rPr>
        <w:t>сокращение сроков проведения закупочных процедур для реализации договоров технологического присоединения;</w:t>
      </w:r>
    </w:p>
    <w:p w:rsidR="004B5B33" w:rsidRPr="004761E0" w:rsidRDefault="004B5B33" w:rsidP="007076A7">
      <w:pPr>
        <w:pStyle w:val="a5"/>
        <w:numPr>
          <w:ilvl w:val="0"/>
          <w:numId w:val="188"/>
        </w:numPr>
        <w:tabs>
          <w:tab w:val="left" w:pos="1134"/>
        </w:tabs>
        <w:ind w:left="1134" w:hanging="567"/>
        <w:contextualSpacing w:val="0"/>
        <w:rPr>
          <w:sz w:val="26"/>
          <w:szCs w:val="26"/>
        </w:rPr>
      </w:pPr>
      <w:r w:rsidRPr="004761E0">
        <w:rPr>
          <w:rFonts w:eastAsia="Times New Roman"/>
          <w:sz w:val="26"/>
          <w:szCs w:val="26"/>
          <w:lang w:eastAsia="ru-RU"/>
        </w:rPr>
        <w:t>увеличение доли закупок у производителей и их официальных представителей</w:t>
      </w:r>
      <w:r w:rsidRPr="004761E0">
        <w:rPr>
          <w:sz w:val="26"/>
          <w:szCs w:val="26"/>
        </w:rPr>
        <w:t>;</w:t>
      </w:r>
    </w:p>
    <w:p w:rsidR="00012E78" w:rsidRDefault="004B5B33" w:rsidP="007076A7">
      <w:pPr>
        <w:pStyle w:val="a5"/>
        <w:numPr>
          <w:ilvl w:val="0"/>
          <w:numId w:val="188"/>
        </w:numPr>
        <w:tabs>
          <w:tab w:val="left" w:pos="1134"/>
        </w:tabs>
        <w:ind w:left="1134" w:hanging="567"/>
        <w:contextualSpacing w:val="0"/>
        <w:rPr>
          <w:sz w:val="26"/>
          <w:szCs w:val="26"/>
        </w:rPr>
      </w:pPr>
      <w:r w:rsidRPr="004761E0">
        <w:rPr>
          <w:sz w:val="26"/>
          <w:szCs w:val="26"/>
        </w:rPr>
        <w:t>снижение стоимости закупаемого электротехнического оборудования</w:t>
      </w:r>
      <w:r w:rsidR="00012E78">
        <w:rPr>
          <w:sz w:val="26"/>
          <w:szCs w:val="26"/>
        </w:rPr>
        <w:t>;</w:t>
      </w:r>
    </w:p>
    <w:p w:rsidR="004B5B33" w:rsidRPr="00012E78" w:rsidRDefault="00012E78" w:rsidP="007076A7">
      <w:pPr>
        <w:pStyle w:val="a5"/>
        <w:numPr>
          <w:ilvl w:val="0"/>
          <w:numId w:val="188"/>
        </w:numPr>
        <w:tabs>
          <w:tab w:val="left" w:pos="1134"/>
        </w:tabs>
        <w:ind w:left="1134" w:hanging="567"/>
        <w:contextualSpacing w:val="0"/>
        <w:rPr>
          <w:sz w:val="26"/>
          <w:szCs w:val="26"/>
        </w:rPr>
      </w:pPr>
      <w:r w:rsidRPr="00012E78">
        <w:rPr>
          <w:rFonts w:eastAsia="Times New Roman"/>
          <w:sz w:val="26"/>
          <w:szCs w:val="26"/>
          <w:lang w:eastAsia="ru-RU"/>
        </w:rPr>
        <w:t>поддержание доли участия в закупочных процедурах для нужд Общества субъектов малого и среднего предпринимательства на уровне</w:t>
      </w:r>
      <w:r w:rsidR="00A57984">
        <w:rPr>
          <w:rFonts w:eastAsia="Times New Roman"/>
          <w:sz w:val="26"/>
          <w:szCs w:val="26"/>
          <w:lang w:eastAsia="ru-RU"/>
        </w:rPr>
        <w:t xml:space="preserve">, </w:t>
      </w:r>
      <w:r w:rsidRPr="00012E78">
        <w:rPr>
          <w:rFonts w:eastAsia="Times New Roman"/>
          <w:sz w:val="26"/>
          <w:szCs w:val="26"/>
          <w:lang w:eastAsia="ru-RU"/>
        </w:rPr>
        <w:t>соответств</w:t>
      </w:r>
      <w:r w:rsidR="00A57984">
        <w:rPr>
          <w:rFonts w:eastAsia="Times New Roman"/>
          <w:sz w:val="26"/>
          <w:szCs w:val="26"/>
          <w:lang w:eastAsia="ru-RU"/>
        </w:rPr>
        <w:t xml:space="preserve">ующем </w:t>
      </w:r>
      <w:r w:rsidRPr="00012E78">
        <w:rPr>
          <w:rFonts w:eastAsia="Times New Roman"/>
          <w:sz w:val="26"/>
          <w:szCs w:val="26"/>
          <w:lang w:eastAsia="ru-RU"/>
        </w:rPr>
        <w:t>нормативным и распорядительным документам Правительства РФ.</w:t>
      </w:r>
    </w:p>
    <w:p w:rsidR="008E3C2C" w:rsidRPr="00012E78" w:rsidRDefault="008E3C2C">
      <w:pPr>
        <w:ind w:firstLine="0"/>
        <w:jc w:val="left"/>
        <w:rPr>
          <w:rFonts w:eastAsia="Times New Roman"/>
          <w:b/>
          <w:bCs/>
          <w:kern w:val="32"/>
          <w:sz w:val="26"/>
          <w:szCs w:val="26"/>
          <w:lang w:eastAsia="ru-RU"/>
        </w:rPr>
      </w:pPr>
      <w:bookmarkStart w:id="89" w:name="_Toc380576931"/>
      <w:r w:rsidRPr="00012E78">
        <w:rPr>
          <w:sz w:val="26"/>
          <w:szCs w:val="26"/>
          <w:lang w:eastAsia="ru-RU"/>
        </w:rPr>
        <w:br w:type="page"/>
      </w:r>
    </w:p>
    <w:p w:rsidR="00E34ACB" w:rsidRPr="004761E0" w:rsidRDefault="00E34ACB" w:rsidP="007076A7">
      <w:pPr>
        <w:pStyle w:val="11"/>
        <w:numPr>
          <w:ilvl w:val="0"/>
          <w:numId w:val="321"/>
        </w:numPr>
        <w:spacing w:before="120" w:after="120"/>
        <w:ind w:left="1134" w:hanging="567"/>
        <w:rPr>
          <w:rFonts w:ascii="Times New Roman" w:hAnsi="Times New Roman"/>
          <w:sz w:val="26"/>
          <w:szCs w:val="26"/>
          <w:lang w:eastAsia="ru-RU"/>
        </w:rPr>
      </w:pPr>
      <w:bookmarkStart w:id="90" w:name="_Toc385339823"/>
      <w:r w:rsidRPr="004761E0">
        <w:rPr>
          <w:rFonts w:ascii="Times New Roman" w:hAnsi="Times New Roman"/>
          <w:sz w:val="26"/>
          <w:szCs w:val="26"/>
          <w:lang w:eastAsia="ru-RU"/>
        </w:rPr>
        <w:lastRenderedPageBreak/>
        <w:t>Корпоративное управление</w:t>
      </w:r>
      <w:bookmarkEnd w:id="89"/>
      <w:bookmarkEnd w:id="90"/>
    </w:p>
    <w:p w:rsidR="00136A10" w:rsidRPr="004761E0" w:rsidRDefault="00E34ACB" w:rsidP="007076A7">
      <w:pPr>
        <w:pStyle w:val="a8"/>
        <w:numPr>
          <w:ilvl w:val="1"/>
          <w:numId w:val="321"/>
        </w:numPr>
        <w:spacing w:before="120" w:after="120"/>
        <w:ind w:left="1134" w:hanging="567"/>
        <w:jc w:val="both"/>
        <w:rPr>
          <w:rFonts w:ascii="Times New Roman" w:hAnsi="Times New Roman"/>
          <w:b/>
          <w:sz w:val="26"/>
          <w:szCs w:val="26"/>
        </w:rPr>
      </w:pPr>
      <w:bookmarkStart w:id="91" w:name="_Toc380576932"/>
      <w:bookmarkStart w:id="92" w:name="_Toc385339824"/>
      <w:r w:rsidRPr="004761E0">
        <w:rPr>
          <w:rFonts w:ascii="Times New Roman" w:hAnsi="Times New Roman"/>
          <w:b/>
          <w:sz w:val="26"/>
          <w:szCs w:val="26"/>
        </w:rPr>
        <w:t>Интервью заместителя генерального директора по корпоративному управлению и собственности</w:t>
      </w:r>
      <w:bookmarkEnd w:id="91"/>
      <w:bookmarkEnd w:id="92"/>
    </w:p>
    <w:p w:rsidR="0068579A" w:rsidRPr="004761E0" w:rsidRDefault="0068579A" w:rsidP="0068579A">
      <w:pPr>
        <w:spacing w:before="120" w:after="120"/>
        <w:ind w:firstLine="567"/>
        <w:rPr>
          <w:b/>
          <w:sz w:val="26"/>
          <w:szCs w:val="26"/>
        </w:rPr>
      </w:pPr>
      <w:r w:rsidRPr="004761E0">
        <w:rPr>
          <w:b/>
          <w:sz w:val="26"/>
          <w:szCs w:val="26"/>
        </w:rPr>
        <w:t>Каковы основные результаты деятельности в отчетном году в рамках курируемого Вами направления?</w:t>
      </w:r>
    </w:p>
    <w:p w:rsidR="0068579A" w:rsidRPr="004761E0" w:rsidRDefault="0068579A" w:rsidP="0068579A">
      <w:pPr>
        <w:ind w:firstLine="567"/>
        <w:rPr>
          <w:i/>
          <w:sz w:val="26"/>
          <w:szCs w:val="26"/>
        </w:rPr>
      </w:pPr>
      <w:r w:rsidRPr="004761E0">
        <w:rPr>
          <w:sz w:val="26"/>
          <w:szCs w:val="26"/>
        </w:rPr>
        <w:t>В первую очередь это выполнение всех показателей бизнес-плана, а в доходной его части – существенное превышение заявленных параметров</w:t>
      </w:r>
      <w:r w:rsidRPr="00802A86">
        <w:rPr>
          <w:sz w:val="26"/>
          <w:szCs w:val="26"/>
        </w:rPr>
        <w:t xml:space="preserve">. </w:t>
      </w:r>
      <w:r w:rsidR="00802A86" w:rsidRPr="00802A86">
        <w:rPr>
          <w:sz w:val="26"/>
          <w:szCs w:val="26"/>
        </w:rPr>
        <w:t>Особое внимание уделено консолидации сетевых активов на базе ОАО «МОЭСК», доходы Компании от этого вида деятельности, а также от исполнения соглашений о компенсации потерь активов составили 4 681 млн руб. (151 % от плана).</w:t>
      </w:r>
    </w:p>
    <w:p w:rsidR="0068579A" w:rsidRPr="004761E0" w:rsidRDefault="0068579A" w:rsidP="0068579A">
      <w:pPr>
        <w:ind w:firstLine="567"/>
        <w:rPr>
          <w:sz w:val="26"/>
          <w:szCs w:val="26"/>
        </w:rPr>
      </w:pPr>
      <w:r w:rsidRPr="004761E0">
        <w:rPr>
          <w:sz w:val="26"/>
          <w:szCs w:val="26"/>
        </w:rPr>
        <w:t>Отдельно стоит отметить выполнение установленных Советом директоров показателей Программы по приведению в надлежащее состояние земельно-правовых и имущественных отношений. В прошлом году окончательно завершены работы по установлению охранных зон для высоковольтных воздушных линий электропередачи, начата аналогичная работа по высоковольтным кабельным линиям, а также в распредсетях. За 2013 год заключено более 7</w:t>
      </w:r>
      <w:r w:rsidR="00BD5626">
        <w:rPr>
          <w:sz w:val="26"/>
          <w:szCs w:val="26"/>
        </w:rPr>
        <w:t xml:space="preserve"> </w:t>
      </w:r>
      <w:r w:rsidRPr="004761E0">
        <w:rPr>
          <w:sz w:val="26"/>
          <w:szCs w:val="26"/>
        </w:rPr>
        <w:t>000 новых договоров аренды земельных участков под объектами МОЭСК. Ну а своеобразной вишенкой на торте для курируемого блока стало урегулирование имущественных вопросов с ФСК ЕЭС в части ПС 500 кВ «Очаково» – корпоративное одобрение соглашения о компенсации потерь и договора купли-продажи имущества подстанции «Очаково», которое состоялось 19.12.2013. В результате исполнения этих соглашений компания получила почти 578</w:t>
      </w:r>
      <w:r w:rsidR="00E30CDF">
        <w:rPr>
          <w:sz w:val="26"/>
          <w:szCs w:val="26"/>
        </w:rPr>
        <w:t> </w:t>
      </w:r>
      <w:r w:rsidRPr="004761E0">
        <w:rPr>
          <w:sz w:val="26"/>
          <w:szCs w:val="26"/>
        </w:rPr>
        <w:t>м</w:t>
      </w:r>
      <w:r w:rsidR="00C450CE" w:rsidRPr="004761E0">
        <w:rPr>
          <w:sz w:val="26"/>
          <w:szCs w:val="26"/>
        </w:rPr>
        <w:t>лн</w:t>
      </w:r>
      <w:r w:rsidRPr="004761E0">
        <w:rPr>
          <w:sz w:val="26"/>
          <w:szCs w:val="26"/>
        </w:rPr>
        <w:t xml:space="preserve"> руб</w:t>
      </w:r>
      <w:r w:rsidR="00C450CE" w:rsidRPr="004761E0">
        <w:rPr>
          <w:sz w:val="26"/>
          <w:szCs w:val="26"/>
        </w:rPr>
        <w:t>.</w:t>
      </w:r>
      <w:r w:rsidRPr="004761E0">
        <w:rPr>
          <w:sz w:val="26"/>
          <w:szCs w:val="26"/>
        </w:rPr>
        <w:t xml:space="preserve"> дохода денежными средствами. </w:t>
      </w:r>
      <w:r w:rsidR="008F63E2" w:rsidRPr="004761E0">
        <w:rPr>
          <w:sz w:val="26"/>
          <w:szCs w:val="26"/>
        </w:rPr>
        <w:t xml:space="preserve">Результат принесла кропотливая совместная работа всех департаментов, входящих в блок, синхронная работа наших коллег из МЭС Центра ФСК ЕЭС, </w:t>
      </w:r>
      <w:r w:rsidR="008F63E2">
        <w:rPr>
          <w:sz w:val="26"/>
          <w:szCs w:val="26"/>
        </w:rPr>
        <w:t xml:space="preserve">а на завершающей стадии – оперативные действия имущественного и корпоративного департаментов ОАО «Россети», </w:t>
      </w:r>
      <w:r w:rsidR="008F63E2" w:rsidRPr="004761E0">
        <w:rPr>
          <w:sz w:val="26"/>
          <w:szCs w:val="26"/>
        </w:rPr>
        <w:t>за что им отдельная благодарность.</w:t>
      </w:r>
      <w:r w:rsidR="008F63E2">
        <w:rPr>
          <w:sz w:val="26"/>
          <w:szCs w:val="26"/>
        </w:rPr>
        <w:t xml:space="preserve"> Отмечу, что данная сделка – яркий пример эффективности новой структуры управления электросетевым комплексом РФ, которая была сформирована в середине 2013 года.</w:t>
      </w:r>
    </w:p>
    <w:p w:rsidR="0068579A" w:rsidRPr="004761E0" w:rsidRDefault="0068579A" w:rsidP="008E3C2C">
      <w:pPr>
        <w:spacing w:before="120" w:after="120"/>
        <w:ind w:firstLine="567"/>
        <w:rPr>
          <w:b/>
          <w:sz w:val="26"/>
          <w:szCs w:val="26"/>
        </w:rPr>
      </w:pPr>
      <w:r w:rsidRPr="004761E0">
        <w:rPr>
          <w:b/>
          <w:sz w:val="26"/>
          <w:szCs w:val="26"/>
        </w:rPr>
        <w:t>Что нового Вы смогли предложить контрагентам в ушедшем году?</w:t>
      </w:r>
    </w:p>
    <w:p w:rsidR="0068579A" w:rsidRPr="004761E0" w:rsidRDefault="0068579A" w:rsidP="0068579A">
      <w:pPr>
        <w:ind w:firstLine="567"/>
        <w:rPr>
          <w:sz w:val="26"/>
          <w:szCs w:val="26"/>
        </w:rPr>
      </w:pPr>
      <w:r w:rsidRPr="004761E0">
        <w:rPr>
          <w:sz w:val="26"/>
          <w:szCs w:val="26"/>
        </w:rPr>
        <w:t xml:space="preserve">Считаю, что мы существенно продвинулись в вопросе приемки на баланс электросетевых активов, собственники которых не заинтересованы в их дальнейшем обслуживании. Силами Департамента консолидации активов подготовлен соответствующий регламент, который дважды, по мере накопления опыта в этой области, пересматривался. Внесенные корректировки направлены на упрощение процедуры принятия решений, кроме того мы хотели максимально уйти от субъективизма на местах, не ухудшив при этом показатели компании по размеру потерь электроэнергии в сетях и времени восстановления энергоснабжения. В результате этой работы за год компания заключила 142 соглашения о безвозмездной передаче на баланс </w:t>
      </w:r>
      <w:r w:rsidR="004546A6">
        <w:rPr>
          <w:sz w:val="26"/>
          <w:szCs w:val="26"/>
        </w:rPr>
        <w:t>ОАО «</w:t>
      </w:r>
      <w:r w:rsidRPr="004761E0">
        <w:rPr>
          <w:sz w:val="26"/>
          <w:szCs w:val="26"/>
        </w:rPr>
        <w:t>МОЭСК</w:t>
      </w:r>
      <w:r w:rsidR="004546A6">
        <w:rPr>
          <w:sz w:val="26"/>
          <w:szCs w:val="26"/>
        </w:rPr>
        <w:t>»</w:t>
      </w:r>
      <w:r w:rsidRPr="004761E0">
        <w:rPr>
          <w:sz w:val="26"/>
          <w:szCs w:val="26"/>
        </w:rPr>
        <w:t xml:space="preserve"> сетевых активов. Если обратить внимание на динамику совершения этих сделок по кварталам, то можно увидеть, что каждый квартал давал трехкратный прирост количества сделок. Таким образом, на данный момент мы имеем довольно эффективную процедуры рассмотрения обращений собственников о передаче на наш баланс сетей напряжением 6-10 и 0,4 кВ. </w:t>
      </w:r>
    </w:p>
    <w:p w:rsidR="0068579A" w:rsidRPr="004761E0" w:rsidRDefault="0068579A" w:rsidP="0068579A">
      <w:pPr>
        <w:spacing w:before="120" w:after="120"/>
        <w:ind w:firstLine="567"/>
        <w:rPr>
          <w:b/>
          <w:sz w:val="26"/>
          <w:szCs w:val="26"/>
        </w:rPr>
      </w:pPr>
      <w:r w:rsidRPr="004761E0">
        <w:rPr>
          <w:b/>
          <w:sz w:val="26"/>
          <w:szCs w:val="26"/>
        </w:rPr>
        <w:t xml:space="preserve">Было ли что-то предпринято Ваши блоком для повышения открытости/прозрачности деятельности </w:t>
      </w:r>
      <w:r w:rsidR="0008080E">
        <w:rPr>
          <w:b/>
          <w:sz w:val="26"/>
          <w:szCs w:val="26"/>
        </w:rPr>
        <w:t>ОАО </w:t>
      </w:r>
      <w:r w:rsidRPr="004761E0">
        <w:rPr>
          <w:b/>
          <w:sz w:val="26"/>
          <w:szCs w:val="26"/>
        </w:rPr>
        <w:t>«МОЭСК»?</w:t>
      </w:r>
    </w:p>
    <w:p w:rsidR="0068579A" w:rsidRPr="004761E0" w:rsidRDefault="0068579A" w:rsidP="0068579A">
      <w:pPr>
        <w:ind w:firstLine="567"/>
        <w:rPr>
          <w:sz w:val="26"/>
          <w:szCs w:val="26"/>
        </w:rPr>
      </w:pPr>
      <w:r w:rsidRPr="004761E0">
        <w:rPr>
          <w:sz w:val="26"/>
          <w:szCs w:val="26"/>
        </w:rPr>
        <w:lastRenderedPageBreak/>
        <w:t xml:space="preserve">Отвечая на этот вопрос, обращусь к соглашениям о компенсации потерь активов. Эта форма соглашения исторически существовала в основном во взаимоотношениях с организациями, финансируемых Правительством Москвы, и регулировала вопросы возмещения убытков МОЭСК, возникающих при реализации масштабных городских инвестпроектов, таких как строительство вылетных магистралей. Суть в том, что ликвидируя объекты МОЭСК, попавшие в зону застройки, застройщик компенсирует убытки компании в натуральной форме (путем передачи вновь созданного сетевого хозяйства) либо денежной компенсацией. </w:t>
      </w:r>
    </w:p>
    <w:p w:rsidR="0068579A" w:rsidRPr="004761E0" w:rsidRDefault="0068579A" w:rsidP="0068579A">
      <w:pPr>
        <w:ind w:firstLine="567"/>
        <w:rPr>
          <w:sz w:val="26"/>
          <w:szCs w:val="26"/>
        </w:rPr>
      </w:pPr>
      <w:r w:rsidRPr="004761E0">
        <w:rPr>
          <w:sz w:val="26"/>
          <w:szCs w:val="26"/>
        </w:rPr>
        <w:t xml:space="preserve">Мы подвергли существенной доработке регламент заключения таких соглашений и теперь предлагаем любому заинтересованному лицу понятную, предсказуемую по срокам исполнения и ожидаемым результатам процедуру. На сайте </w:t>
      </w:r>
      <w:r w:rsidR="009E567A">
        <w:rPr>
          <w:sz w:val="26"/>
          <w:szCs w:val="26"/>
        </w:rPr>
        <w:t>К</w:t>
      </w:r>
      <w:r w:rsidRPr="004761E0">
        <w:rPr>
          <w:sz w:val="26"/>
          <w:szCs w:val="26"/>
        </w:rPr>
        <w:t xml:space="preserve">омпании появилась унифицированная форма заявки, которая ранее отсутствовала в публичном регламенте, и движение которой по подразделениям компании отслеживается аналогично заявкам на технологическое присоединение. Клиент, подав такую заявку, не более чем через 30 дней получит технические условия, на основании которых он может сделать проект и, оценив свои грядущие затраты на его реализацию, принять финансово обоснованное решение о заключении соглашения о компенсации потерь активов. </w:t>
      </w:r>
    </w:p>
    <w:p w:rsidR="0068579A" w:rsidRPr="004761E0" w:rsidRDefault="0068579A" w:rsidP="0068579A">
      <w:pPr>
        <w:ind w:firstLine="567"/>
        <w:rPr>
          <w:sz w:val="26"/>
          <w:szCs w:val="26"/>
        </w:rPr>
      </w:pPr>
      <w:r w:rsidRPr="004761E0">
        <w:rPr>
          <w:sz w:val="26"/>
          <w:szCs w:val="26"/>
        </w:rPr>
        <w:t>Акцентируем: в таком сотрудничестве заинтересованы обе стороны соглашения. Компания получает новый, соответствующий современным требованиям электросетевой актив, собственник – рост стоимости его земельного участка вследствие снятия/уменьшения обременения на нем в виде охранной зоны, освобождает дополнительную территорию для застройки и т.д. В ближайшие год-два мы ожидаем существенного роста количества заключенных соглашений, в т</w:t>
      </w:r>
      <w:r w:rsidR="00B676D3" w:rsidRPr="004761E0">
        <w:rPr>
          <w:sz w:val="26"/>
          <w:szCs w:val="26"/>
        </w:rPr>
        <w:t>.ч.</w:t>
      </w:r>
      <w:r w:rsidRPr="004761E0">
        <w:rPr>
          <w:sz w:val="26"/>
          <w:szCs w:val="26"/>
        </w:rPr>
        <w:t xml:space="preserve"> в ближайшем Подмосковье, где стоимость высвобождаемой земли позволяет нести столь существенные расходы частным инвесторам.  </w:t>
      </w:r>
    </w:p>
    <w:p w:rsidR="0068579A" w:rsidRPr="004761E0" w:rsidRDefault="0068579A" w:rsidP="0068579A">
      <w:pPr>
        <w:spacing w:before="120" w:after="120"/>
        <w:ind w:firstLine="567"/>
        <w:rPr>
          <w:b/>
          <w:sz w:val="26"/>
          <w:szCs w:val="26"/>
        </w:rPr>
      </w:pPr>
      <w:r w:rsidRPr="004761E0">
        <w:rPr>
          <w:b/>
          <w:sz w:val="26"/>
          <w:szCs w:val="26"/>
        </w:rPr>
        <w:t>Какие результаты работы департамента корпоративного управления Вы можете выделить?</w:t>
      </w:r>
    </w:p>
    <w:p w:rsidR="0068579A" w:rsidRPr="004761E0" w:rsidRDefault="0068579A" w:rsidP="0068579A">
      <w:pPr>
        <w:ind w:firstLine="567"/>
        <w:rPr>
          <w:sz w:val="26"/>
          <w:szCs w:val="26"/>
        </w:rPr>
      </w:pPr>
      <w:r w:rsidRPr="004761E0">
        <w:rPr>
          <w:sz w:val="26"/>
          <w:szCs w:val="26"/>
        </w:rPr>
        <w:t xml:space="preserve">Надо отметить, что высокий уровень качества корпоративного управления присущ всем энергокомпаниям, появившимся в результате реформы РАО ЕЭС России. Однако в </w:t>
      </w:r>
      <w:r w:rsidR="004546A6">
        <w:rPr>
          <w:sz w:val="26"/>
          <w:szCs w:val="26"/>
        </w:rPr>
        <w:t>ОАО «</w:t>
      </w:r>
      <w:r w:rsidRPr="004761E0">
        <w:rPr>
          <w:sz w:val="26"/>
          <w:szCs w:val="26"/>
        </w:rPr>
        <w:t>МОЭСК</w:t>
      </w:r>
      <w:r w:rsidR="004546A6">
        <w:rPr>
          <w:sz w:val="26"/>
          <w:szCs w:val="26"/>
        </w:rPr>
        <w:t>»</w:t>
      </w:r>
      <w:r w:rsidRPr="004761E0">
        <w:rPr>
          <w:sz w:val="26"/>
          <w:szCs w:val="26"/>
        </w:rPr>
        <w:t xml:space="preserve"> традиции умножаются безусловным профессионализмом, а временами настоящим производственным самопожертвованием сотрудников департамента и персонально – его руководителя. Требования Устава </w:t>
      </w:r>
      <w:r w:rsidR="004546A6">
        <w:rPr>
          <w:sz w:val="26"/>
          <w:szCs w:val="26"/>
        </w:rPr>
        <w:t>т</w:t>
      </w:r>
      <w:r w:rsidRPr="004761E0">
        <w:rPr>
          <w:sz w:val="26"/>
          <w:szCs w:val="26"/>
        </w:rPr>
        <w:t xml:space="preserve">аковы, что большое количество решений принимается на уровне Совета директоров и профильных его комитетов. Задача департамента </w:t>
      </w:r>
      <w:r w:rsidR="008F63E2">
        <w:rPr>
          <w:sz w:val="26"/>
          <w:szCs w:val="26"/>
        </w:rPr>
        <w:t>–</w:t>
      </w:r>
      <w:r w:rsidRPr="004761E0">
        <w:rPr>
          <w:sz w:val="26"/>
          <w:szCs w:val="26"/>
        </w:rPr>
        <w:t xml:space="preserve"> поддерживать непрерывный механизм принятия самых ответственных решений, и с этой задачей он справляется «на отлично».</w:t>
      </w:r>
    </w:p>
    <w:p w:rsidR="0068579A" w:rsidRPr="004761E0" w:rsidRDefault="0068579A" w:rsidP="008E3C2C">
      <w:pPr>
        <w:spacing w:before="120" w:after="120"/>
        <w:ind w:firstLine="567"/>
        <w:rPr>
          <w:b/>
          <w:sz w:val="26"/>
          <w:szCs w:val="26"/>
        </w:rPr>
      </w:pPr>
      <w:r w:rsidRPr="004761E0">
        <w:rPr>
          <w:b/>
          <w:sz w:val="26"/>
          <w:szCs w:val="26"/>
        </w:rPr>
        <w:t>Каковы основные планы на следующий год и среднесрочную перспективу?</w:t>
      </w:r>
    </w:p>
    <w:p w:rsidR="0068579A" w:rsidRPr="004761E0" w:rsidRDefault="0068579A" w:rsidP="0068579A">
      <w:pPr>
        <w:ind w:firstLine="567"/>
        <w:rPr>
          <w:sz w:val="26"/>
          <w:szCs w:val="26"/>
        </w:rPr>
      </w:pPr>
      <w:r w:rsidRPr="004761E0">
        <w:rPr>
          <w:sz w:val="26"/>
          <w:szCs w:val="26"/>
        </w:rPr>
        <w:t xml:space="preserve">Территория роста - всё, что связано с консолидацией сетевых активов под эгидой </w:t>
      </w:r>
      <w:r w:rsidR="0008080E">
        <w:rPr>
          <w:sz w:val="26"/>
          <w:szCs w:val="26"/>
        </w:rPr>
        <w:t>ОАО </w:t>
      </w:r>
      <w:r w:rsidRPr="004761E0">
        <w:rPr>
          <w:sz w:val="26"/>
          <w:szCs w:val="26"/>
        </w:rPr>
        <w:t xml:space="preserve">«МОЭСК». Однако особое внимание будет уделено совершенствованию процедуры принятия решений об аренде сетевых активов других собственников. Ведь вложив серьезные средства в строительство распредсети жилого комплекса или торгового центра, не каждый собственник готов расстаться с этим активом забесплатно, пусть даже и решая тем самым задачу снижения своих эксплуатационных расходов и повышения надежности энергоснабжения. </w:t>
      </w:r>
    </w:p>
    <w:p w:rsidR="0068579A" w:rsidRPr="004761E0" w:rsidRDefault="0068579A" w:rsidP="0068579A">
      <w:pPr>
        <w:ind w:firstLine="567"/>
        <w:rPr>
          <w:sz w:val="26"/>
          <w:szCs w:val="26"/>
        </w:rPr>
      </w:pPr>
      <w:r w:rsidRPr="004761E0">
        <w:rPr>
          <w:sz w:val="26"/>
          <w:szCs w:val="26"/>
        </w:rPr>
        <w:t>Мы должны выработать механизм, позволяющий брать такие объекты в аренду, которы</w:t>
      </w:r>
      <w:r w:rsidR="00E020B0">
        <w:rPr>
          <w:sz w:val="26"/>
          <w:szCs w:val="26"/>
        </w:rPr>
        <w:t>й был бы выгоден и К</w:t>
      </w:r>
      <w:r w:rsidRPr="004761E0">
        <w:rPr>
          <w:sz w:val="26"/>
          <w:szCs w:val="26"/>
        </w:rPr>
        <w:t xml:space="preserve">омпании, живущей в условиях жесткого тарифного регулирования, и собственнику, который заинтересован в определенном доходе от </w:t>
      </w:r>
      <w:r w:rsidRPr="004761E0">
        <w:rPr>
          <w:sz w:val="26"/>
          <w:szCs w:val="26"/>
        </w:rPr>
        <w:lastRenderedPageBreak/>
        <w:t>актива. Прирастать арендованными сетями – один из пути к достижению технологического единства электрической сети, который нами пока недостаточно широко используется.</w:t>
      </w:r>
    </w:p>
    <w:p w:rsidR="0068579A" w:rsidRPr="004761E0" w:rsidRDefault="0068579A" w:rsidP="0068579A">
      <w:pPr>
        <w:ind w:firstLine="567"/>
        <w:rPr>
          <w:sz w:val="26"/>
          <w:szCs w:val="26"/>
        </w:rPr>
      </w:pPr>
      <w:r w:rsidRPr="004761E0">
        <w:rPr>
          <w:sz w:val="26"/>
          <w:szCs w:val="26"/>
        </w:rPr>
        <w:t>Кроме того, на территории Московской области расположено более ста питающих центров напряжением 35</w:t>
      </w:r>
      <w:r w:rsidR="00C450CE" w:rsidRPr="004761E0">
        <w:rPr>
          <w:sz w:val="26"/>
          <w:szCs w:val="26"/>
        </w:rPr>
        <w:t xml:space="preserve"> </w:t>
      </w:r>
      <w:r w:rsidRPr="004761E0">
        <w:rPr>
          <w:sz w:val="26"/>
          <w:szCs w:val="26"/>
        </w:rPr>
        <w:t xml:space="preserve">кВ и выше, которые принадлежат собственникам, не имеющим статуса сетевой организации. К чему приводит ненадлежащий уровень эксплуатации показала осенняя авария на ПС 110 кВ «Фаустово». Механизм аренды таких активов – чуть ли не единственный способ повышения надежности передачи электроэнергии по этим питающим центрам. </w:t>
      </w:r>
    </w:p>
    <w:p w:rsidR="0068579A" w:rsidRPr="004761E0" w:rsidRDefault="0068579A" w:rsidP="0068579A">
      <w:pPr>
        <w:ind w:firstLine="567"/>
        <w:rPr>
          <w:lang w:eastAsia="ru-RU"/>
        </w:rPr>
      </w:pPr>
      <w:r w:rsidRPr="004761E0">
        <w:rPr>
          <w:sz w:val="26"/>
          <w:szCs w:val="26"/>
        </w:rPr>
        <w:t xml:space="preserve">Если говорить о задачах, не связанных с консолидацией, отмечу необходимость дальнейшей работы по урегулированию имущественных отношений с нашими коллегами-энергетиками. Проведенная внутренняя ревизия показала, что объем осуществленной реконструкции наших объектов силами </w:t>
      </w:r>
      <w:r w:rsidR="0008080E">
        <w:rPr>
          <w:sz w:val="26"/>
          <w:szCs w:val="26"/>
        </w:rPr>
        <w:t>ОАО </w:t>
      </w:r>
      <w:r w:rsidRPr="004761E0">
        <w:rPr>
          <w:sz w:val="26"/>
          <w:szCs w:val="26"/>
        </w:rPr>
        <w:t xml:space="preserve">«ФСК ЕЭС» без надлежащего документального оформления исчисляется уже почти двумя сотнями опор на десятках наших высоковольтных линиях. Есть и иные вопросы имущественного характера между компаниями – урегулирование арендных отношений в отношении щита управления Западного филиала, расположенного на ПС 500 кВ «Очаково», решение вопросов собственности на замененные шкафы РЗА, эксплуатация ВЛ 110 кВ «Тушино-Ангелово». Достаточно большая повестка дня и в отношениях с </w:t>
      </w:r>
      <w:r w:rsidR="0008080E">
        <w:rPr>
          <w:sz w:val="26"/>
          <w:szCs w:val="26"/>
        </w:rPr>
        <w:t>ОАО </w:t>
      </w:r>
      <w:r w:rsidRPr="004761E0">
        <w:rPr>
          <w:sz w:val="26"/>
          <w:szCs w:val="26"/>
        </w:rPr>
        <w:t>«Мосэнерго». Подготовка к корпоративным процедурам целого ряда соглашений с нашими коллегами из магистральных сетей и генерации будет одной из приоритетных задач Департамента управления собственностью исполнительного аппарата и соответствующих подразделений в филиалах.</w:t>
      </w:r>
    </w:p>
    <w:p w:rsidR="008E3C2C" w:rsidRDefault="008E3C2C">
      <w:pPr>
        <w:ind w:firstLine="0"/>
        <w:jc w:val="left"/>
        <w:rPr>
          <w:rFonts w:eastAsia="Times New Roman"/>
          <w:b/>
          <w:sz w:val="26"/>
          <w:szCs w:val="26"/>
          <w:lang w:eastAsia="ru-RU"/>
        </w:rPr>
      </w:pPr>
      <w:bookmarkStart w:id="93" w:name="_Toc380576933"/>
      <w:r>
        <w:rPr>
          <w:b/>
          <w:sz w:val="26"/>
          <w:szCs w:val="26"/>
          <w:lang w:eastAsia="ru-RU"/>
        </w:rPr>
        <w:br w:type="page"/>
      </w:r>
    </w:p>
    <w:p w:rsidR="00136A10" w:rsidRPr="004761E0" w:rsidRDefault="00457012" w:rsidP="007076A7">
      <w:pPr>
        <w:pStyle w:val="a8"/>
        <w:numPr>
          <w:ilvl w:val="1"/>
          <w:numId w:val="321"/>
        </w:numPr>
        <w:spacing w:before="120" w:after="120"/>
        <w:ind w:left="1134" w:hanging="567"/>
        <w:jc w:val="both"/>
        <w:rPr>
          <w:rFonts w:ascii="Times New Roman" w:hAnsi="Times New Roman"/>
          <w:b/>
          <w:sz w:val="26"/>
          <w:szCs w:val="26"/>
          <w:lang w:eastAsia="ru-RU"/>
        </w:rPr>
      </w:pPr>
      <w:bookmarkStart w:id="94" w:name="_Toc385339825"/>
      <w:r w:rsidRPr="004761E0">
        <w:rPr>
          <w:rFonts w:ascii="Times New Roman" w:hAnsi="Times New Roman"/>
          <w:b/>
          <w:sz w:val="26"/>
          <w:szCs w:val="26"/>
        </w:rPr>
        <w:lastRenderedPageBreak/>
        <w:t>К</w:t>
      </w:r>
      <w:r w:rsidR="00E34ACB" w:rsidRPr="004761E0">
        <w:rPr>
          <w:rFonts w:ascii="Times New Roman" w:hAnsi="Times New Roman"/>
          <w:b/>
          <w:sz w:val="26"/>
          <w:szCs w:val="26"/>
        </w:rPr>
        <w:t>орпоративно</w:t>
      </w:r>
      <w:r w:rsidRPr="004761E0">
        <w:rPr>
          <w:rFonts w:ascii="Times New Roman" w:hAnsi="Times New Roman"/>
          <w:b/>
          <w:sz w:val="26"/>
          <w:szCs w:val="26"/>
        </w:rPr>
        <w:t>е</w:t>
      </w:r>
      <w:r w:rsidR="00E34ACB" w:rsidRPr="004761E0">
        <w:rPr>
          <w:rFonts w:ascii="Times New Roman" w:hAnsi="Times New Roman"/>
          <w:b/>
          <w:sz w:val="26"/>
          <w:szCs w:val="26"/>
        </w:rPr>
        <w:t xml:space="preserve"> управлени</w:t>
      </w:r>
      <w:bookmarkEnd w:id="93"/>
      <w:r w:rsidRPr="004761E0">
        <w:rPr>
          <w:rFonts w:ascii="Times New Roman" w:hAnsi="Times New Roman"/>
          <w:b/>
          <w:sz w:val="26"/>
          <w:szCs w:val="26"/>
        </w:rPr>
        <w:t>е</w:t>
      </w:r>
      <w:bookmarkEnd w:id="94"/>
    </w:p>
    <w:p w:rsidR="00457012" w:rsidRPr="004761E0" w:rsidRDefault="00457012" w:rsidP="008E3C2C">
      <w:pPr>
        <w:spacing w:before="120" w:after="120"/>
        <w:ind w:firstLine="567"/>
        <w:rPr>
          <w:b/>
          <w:sz w:val="26"/>
          <w:szCs w:val="26"/>
        </w:rPr>
      </w:pPr>
      <w:r w:rsidRPr="004761E0">
        <w:rPr>
          <w:b/>
          <w:sz w:val="26"/>
          <w:szCs w:val="26"/>
        </w:rPr>
        <w:t>Принципы корпоративного управления</w:t>
      </w:r>
    </w:p>
    <w:p w:rsidR="00AD6CF6" w:rsidRPr="004761E0" w:rsidRDefault="00AD6CF6" w:rsidP="00AD6CF6">
      <w:pPr>
        <w:ind w:firstLine="567"/>
        <w:rPr>
          <w:sz w:val="26"/>
          <w:szCs w:val="26"/>
          <w:lang w:eastAsia="ru-RU"/>
        </w:rPr>
      </w:pPr>
      <w:r w:rsidRPr="004761E0">
        <w:rPr>
          <w:sz w:val="26"/>
          <w:szCs w:val="26"/>
          <w:lang w:eastAsia="ru-RU"/>
        </w:rPr>
        <w:t xml:space="preserve">Деятельность Общества сопряжена с ответственностью, как перед акционерами, так и перед государством, поставщиками, потребителями, работниками, общественности. Осознавая эту ответственность и признавая важность высокого уровня корпоративного управления для успешного ведения бизнеса и для достижения взаимопонимания между всеми заинтересованными в деятельности Общества лицами, Общество принимает на себя обязательство следовать в своей деятельности принципам корпоративного управления, и прилагать все разумные усилия для их соблюдения в своей повседневной деятельности. </w:t>
      </w:r>
    </w:p>
    <w:p w:rsidR="00AD6CF6" w:rsidRPr="004761E0" w:rsidRDefault="00AD6CF6" w:rsidP="00AD6CF6">
      <w:pPr>
        <w:ind w:firstLine="567"/>
        <w:rPr>
          <w:sz w:val="26"/>
          <w:szCs w:val="26"/>
          <w:lang w:eastAsia="ru-RU"/>
        </w:rPr>
      </w:pPr>
      <w:r w:rsidRPr="004761E0">
        <w:rPr>
          <w:sz w:val="26"/>
          <w:szCs w:val="26"/>
          <w:lang w:eastAsia="ru-RU"/>
        </w:rPr>
        <w:t>В соответствии с Кодексом корпоративного управления</w:t>
      </w:r>
      <w:r w:rsidRPr="006F4AB8">
        <w:rPr>
          <w:rStyle w:val="af1"/>
        </w:rPr>
        <w:footnoteReference w:id="86"/>
      </w:r>
      <w:r w:rsidRPr="004761E0">
        <w:rPr>
          <w:sz w:val="26"/>
          <w:szCs w:val="26"/>
          <w:lang w:eastAsia="ru-RU"/>
        </w:rPr>
        <w:t xml:space="preserve"> корпоративное управление в Обществе основывается на следующих принципах:</w:t>
      </w:r>
    </w:p>
    <w:tbl>
      <w:tblPr>
        <w:tblW w:w="0" w:type="auto"/>
        <w:tblInd w:w="108" w:type="dxa"/>
        <w:tblLook w:val="04A0"/>
      </w:tblPr>
      <w:tblGrid>
        <w:gridCol w:w="3261"/>
        <w:gridCol w:w="6769"/>
      </w:tblGrid>
      <w:tr w:rsidR="00AD6CF6" w:rsidRPr="004761E0" w:rsidTr="00457012">
        <w:tc>
          <w:tcPr>
            <w:tcW w:w="3261" w:type="dxa"/>
            <w:tcBorders>
              <w:top w:val="single" w:sz="4" w:space="0" w:color="auto"/>
              <w:left w:val="single" w:sz="4" w:space="0" w:color="auto"/>
              <w:bottom w:val="single" w:sz="4" w:space="0" w:color="auto"/>
            </w:tcBorders>
            <w:shd w:val="clear" w:color="auto" w:fill="0F243E" w:themeFill="text2" w:themeFillShade="80"/>
          </w:tcPr>
          <w:p w:rsidR="00AD6CF6" w:rsidRPr="004761E0" w:rsidRDefault="00AD6CF6" w:rsidP="00457012">
            <w:pPr>
              <w:ind w:firstLine="0"/>
              <w:rPr>
                <w:b/>
                <w:color w:val="FFFFFF" w:themeColor="background1"/>
                <w:sz w:val="20"/>
                <w:szCs w:val="20"/>
                <w:lang w:eastAsia="ru-RU"/>
              </w:rPr>
            </w:pPr>
            <w:r w:rsidRPr="004761E0">
              <w:rPr>
                <w:b/>
                <w:color w:val="FFFFFF" w:themeColor="background1"/>
                <w:sz w:val="20"/>
                <w:szCs w:val="20"/>
                <w:lang w:eastAsia="ru-RU"/>
              </w:rPr>
              <w:t>Наименование категории</w:t>
            </w:r>
          </w:p>
        </w:tc>
        <w:tc>
          <w:tcPr>
            <w:tcW w:w="6769" w:type="dxa"/>
            <w:tcBorders>
              <w:top w:val="single" w:sz="4" w:space="0" w:color="auto"/>
              <w:bottom w:val="single" w:sz="4" w:space="0" w:color="auto"/>
              <w:right w:val="single" w:sz="4" w:space="0" w:color="auto"/>
            </w:tcBorders>
            <w:shd w:val="clear" w:color="auto" w:fill="0F243E" w:themeFill="text2" w:themeFillShade="80"/>
          </w:tcPr>
          <w:p w:rsidR="00AD6CF6" w:rsidRPr="004761E0" w:rsidRDefault="00AD6CF6" w:rsidP="00457012">
            <w:pPr>
              <w:ind w:firstLine="0"/>
              <w:rPr>
                <w:b/>
                <w:color w:val="FFFFFF" w:themeColor="background1"/>
                <w:sz w:val="20"/>
                <w:szCs w:val="20"/>
                <w:lang w:eastAsia="ru-RU"/>
              </w:rPr>
            </w:pPr>
            <w:r w:rsidRPr="004761E0">
              <w:rPr>
                <w:b/>
                <w:color w:val="FFFFFF" w:themeColor="background1"/>
                <w:sz w:val="20"/>
                <w:szCs w:val="20"/>
                <w:lang w:eastAsia="ru-RU"/>
              </w:rPr>
              <w:t>Деятельность в 2013 году</w:t>
            </w:r>
          </w:p>
        </w:tc>
      </w:tr>
      <w:tr w:rsidR="00AD6CF6" w:rsidRPr="004761E0" w:rsidTr="00457012">
        <w:trPr>
          <w:trHeight w:val="335"/>
        </w:trPr>
        <w:tc>
          <w:tcPr>
            <w:tcW w:w="1003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D6CF6" w:rsidRPr="004761E0" w:rsidRDefault="00AD6CF6" w:rsidP="00457012">
            <w:pPr>
              <w:ind w:firstLine="0"/>
              <w:jc w:val="left"/>
              <w:rPr>
                <w:sz w:val="20"/>
                <w:szCs w:val="20"/>
                <w:lang w:eastAsia="ru-RU"/>
              </w:rPr>
            </w:pPr>
            <w:r w:rsidRPr="004761E0">
              <w:rPr>
                <w:b/>
                <w:sz w:val="20"/>
                <w:szCs w:val="20"/>
                <w:lang w:eastAsia="ru-RU"/>
              </w:rPr>
              <w:t>Подотчетность</w:t>
            </w:r>
          </w:p>
        </w:tc>
      </w:tr>
      <w:tr w:rsidR="00AD6CF6" w:rsidRPr="004761E0" w:rsidTr="00457012">
        <w:trPr>
          <w:trHeight w:val="2495"/>
        </w:trPr>
        <w:tc>
          <w:tcPr>
            <w:tcW w:w="3261" w:type="dxa"/>
            <w:tcBorders>
              <w:top w:val="single" w:sz="4" w:space="0" w:color="auto"/>
              <w:left w:val="single" w:sz="4" w:space="0" w:color="auto"/>
              <w:bottom w:val="single" w:sz="4" w:space="0" w:color="auto"/>
            </w:tcBorders>
          </w:tcPr>
          <w:p w:rsidR="00AD6CF6" w:rsidRPr="004761E0" w:rsidRDefault="00AD6CF6" w:rsidP="002A4567">
            <w:pPr>
              <w:ind w:firstLine="0"/>
              <w:jc w:val="left"/>
              <w:rPr>
                <w:b/>
                <w:sz w:val="20"/>
                <w:szCs w:val="20"/>
                <w:lang w:eastAsia="ru-RU"/>
              </w:rPr>
            </w:pPr>
            <w:r w:rsidRPr="004761E0">
              <w:rPr>
                <w:sz w:val="20"/>
                <w:szCs w:val="20"/>
                <w:lang w:eastAsia="ru-RU"/>
              </w:rPr>
              <w:t>Совет директоров подотчетен всем акционерам в соответствии с действующим законодательством. Подотчетность - это основополагающий принцип для Совета директоров при выработке стратегии и осуществлении руководства и контроля деятельности</w:t>
            </w:r>
            <w:r w:rsidR="002A4567">
              <w:rPr>
                <w:sz w:val="20"/>
                <w:szCs w:val="20"/>
                <w:lang w:eastAsia="ru-RU"/>
              </w:rPr>
              <w:t xml:space="preserve"> исполнительных органов</w:t>
            </w:r>
            <w:r w:rsidRPr="004761E0">
              <w:rPr>
                <w:sz w:val="20"/>
                <w:szCs w:val="20"/>
                <w:lang w:eastAsia="ru-RU"/>
              </w:rPr>
              <w:t>.</w:t>
            </w:r>
          </w:p>
        </w:tc>
        <w:tc>
          <w:tcPr>
            <w:tcW w:w="6769" w:type="dxa"/>
            <w:tcBorders>
              <w:top w:val="single" w:sz="4" w:space="0" w:color="auto"/>
              <w:bottom w:val="single" w:sz="4" w:space="0" w:color="auto"/>
              <w:right w:val="single" w:sz="4" w:space="0" w:color="auto"/>
            </w:tcBorders>
          </w:tcPr>
          <w:p w:rsidR="00AD6CF6" w:rsidRPr="004761E0" w:rsidRDefault="00AD6CF6" w:rsidP="00457012">
            <w:pPr>
              <w:ind w:firstLine="0"/>
              <w:jc w:val="left"/>
              <w:rPr>
                <w:sz w:val="20"/>
                <w:szCs w:val="20"/>
                <w:lang w:eastAsia="ru-RU"/>
              </w:rPr>
            </w:pPr>
            <w:r w:rsidRPr="004761E0">
              <w:rPr>
                <w:sz w:val="20"/>
                <w:szCs w:val="20"/>
                <w:lang w:eastAsia="ru-RU"/>
              </w:rPr>
              <w:t xml:space="preserve">Совет директоров избирается Общим собранием акционеров. В 2013 году действовало два состава Совета директоров: избранный </w:t>
            </w:r>
            <w:r w:rsidR="00A70184" w:rsidRPr="004761E0">
              <w:rPr>
                <w:sz w:val="20"/>
                <w:szCs w:val="20"/>
                <w:lang w:eastAsia="ru-RU"/>
              </w:rPr>
              <w:t xml:space="preserve"> в</w:t>
            </w:r>
            <w:r w:rsidRPr="004761E0">
              <w:rPr>
                <w:sz w:val="20"/>
                <w:szCs w:val="20"/>
                <w:lang w:eastAsia="ru-RU"/>
              </w:rPr>
              <w:t xml:space="preserve"> 2013 году, в рамках отчета перед акционерами, Совет директоров рекомендовал Общему собранию акционеров утвердить следующие документы:</w:t>
            </w:r>
          </w:p>
          <w:p w:rsidR="00AD6CF6" w:rsidRPr="004761E0" w:rsidRDefault="00AD6CF6" w:rsidP="007076A7">
            <w:pPr>
              <w:pStyle w:val="a5"/>
              <w:numPr>
                <w:ilvl w:val="0"/>
                <w:numId w:val="21"/>
              </w:numPr>
              <w:ind w:left="317" w:hanging="317"/>
              <w:jc w:val="left"/>
              <w:rPr>
                <w:sz w:val="20"/>
                <w:szCs w:val="20"/>
                <w:lang w:eastAsia="ru-RU"/>
              </w:rPr>
            </w:pPr>
            <w:r w:rsidRPr="004761E0">
              <w:rPr>
                <w:sz w:val="20"/>
                <w:szCs w:val="20"/>
                <w:lang w:eastAsia="ru-RU"/>
              </w:rPr>
              <w:t>годовой отчет за 2012 год;</w:t>
            </w:r>
          </w:p>
          <w:p w:rsidR="00AD6CF6" w:rsidRPr="004761E0" w:rsidRDefault="00AD6CF6" w:rsidP="007076A7">
            <w:pPr>
              <w:pStyle w:val="a5"/>
              <w:numPr>
                <w:ilvl w:val="0"/>
                <w:numId w:val="21"/>
              </w:numPr>
              <w:ind w:left="317" w:hanging="317"/>
              <w:jc w:val="left"/>
              <w:rPr>
                <w:sz w:val="20"/>
                <w:szCs w:val="20"/>
                <w:lang w:eastAsia="ru-RU"/>
              </w:rPr>
            </w:pPr>
            <w:r w:rsidRPr="004761E0">
              <w:rPr>
                <w:sz w:val="20"/>
                <w:szCs w:val="20"/>
                <w:lang w:eastAsia="ru-RU"/>
              </w:rPr>
              <w:t>годовую бухгалтерскую отчетность за 2012 год.</w:t>
            </w:r>
          </w:p>
        </w:tc>
      </w:tr>
      <w:tr w:rsidR="00AD6CF6" w:rsidRPr="004761E0" w:rsidTr="00457012">
        <w:tc>
          <w:tcPr>
            <w:tcW w:w="1003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D6CF6" w:rsidRPr="004761E0" w:rsidRDefault="00AD6CF6" w:rsidP="00457012">
            <w:pPr>
              <w:ind w:firstLine="0"/>
              <w:jc w:val="left"/>
              <w:rPr>
                <w:sz w:val="20"/>
                <w:szCs w:val="20"/>
                <w:lang w:eastAsia="ru-RU"/>
              </w:rPr>
            </w:pPr>
            <w:r w:rsidRPr="004761E0">
              <w:rPr>
                <w:b/>
                <w:sz w:val="20"/>
                <w:szCs w:val="20"/>
                <w:lang w:eastAsia="ru-RU"/>
              </w:rPr>
              <w:t>Справедливость</w:t>
            </w:r>
          </w:p>
        </w:tc>
      </w:tr>
      <w:tr w:rsidR="00AD6CF6" w:rsidRPr="004761E0" w:rsidTr="00457012">
        <w:tc>
          <w:tcPr>
            <w:tcW w:w="3261" w:type="dxa"/>
            <w:tcBorders>
              <w:top w:val="single" w:sz="4" w:space="0" w:color="auto"/>
              <w:left w:val="single" w:sz="4" w:space="0" w:color="auto"/>
              <w:bottom w:val="single" w:sz="4" w:space="0" w:color="auto"/>
            </w:tcBorders>
          </w:tcPr>
          <w:p w:rsidR="00AD6CF6" w:rsidRPr="004761E0" w:rsidRDefault="00AD6CF6" w:rsidP="00457012">
            <w:pPr>
              <w:ind w:firstLine="0"/>
              <w:jc w:val="left"/>
              <w:rPr>
                <w:sz w:val="20"/>
                <w:szCs w:val="20"/>
                <w:lang w:eastAsia="ru-RU"/>
              </w:rPr>
            </w:pPr>
            <w:r w:rsidRPr="004761E0">
              <w:rPr>
                <w:sz w:val="20"/>
                <w:szCs w:val="20"/>
                <w:lang w:eastAsia="ru-RU"/>
              </w:rPr>
              <w:t>Общество обязуется защищать права акционеров и обеспечивать равное отношение ко всем акционерам. Совет директоров предоставляет всем акционерам возможность получения эффективной защиты в случае нарушения их прав.</w:t>
            </w:r>
          </w:p>
        </w:tc>
        <w:tc>
          <w:tcPr>
            <w:tcW w:w="6769" w:type="dxa"/>
            <w:tcBorders>
              <w:top w:val="single" w:sz="4" w:space="0" w:color="auto"/>
              <w:bottom w:val="single" w:sz="4" w:space="0" w:color="auto"/>
              <w:right w:val="single" w:sz="4" w:space="0" w:color="auto"/>
            </w:tcBorders>
          </w:tcPr>
          <w:p w:rsidR="00AD6CF6" w:rsidRPr="004761E0" w:rsidRDefault="00AD6CF6" w:rsidP="00457012">
            <w:pPr>
              <w:ind w:firstLine="0"/>
              <w:jc w:val="left"/>
              <w:rPr>
                <w:sz w:val="20"/>
                <w:szCs w:val="20"/>
                <w:lang w:eastAsia="ru-RU"/>
              </w:rPr>
            </w:pPr>
            <w:r w:rsidRPr="004761E0">
              <w:rPr>
                <w:sz w:val="20"/>
                <w:szCs w:val="20"/>
                <w:lang w:eastAsia="ru-RU"/>
              </w:rPr>
              <w:t xml:space="preserve">Акционеры Общества обладают совокупностью прав в отношении Общества, соблюдение и защиту которых обязаны обеспечить Совет директоров, Правление и </w:t>
            </w:r>
            <w:r w:rsidR="003B2247">
              <w:rPr>
                <w:sz w:val="20"/>
                <w:szCs w:val="20"/>
                <w:lang w:eastAsia="ru-RU"/>
              </w:rPr>
              <w:t>г</w:t>
            </w:r>
            <w:r w:rsidRPr="004761E0">
              <w:rPr>
                <w:sz w:val="20"/>
                <w:szCs w:val="20"/>
                <w:lang w:eastAsia="ru-RU"/>
              </w:rPr>
              <w:t>енеральный директор. В частности:</w:t>
            </w:r>
          </w:p>
          <w:p w:rsidR="00AD6CF6" w:rsidRPr="004761E0" w:rsidRDefault="00AD6CF6" w:rsidP="007076A7">
            <w:pPr>
              <w:pStyle w:val="a5"/>
              <w:numPr>
                <w:ilvl w:val="0"/>
                <w:numId w:val="21"/>
              </w:numPr>
              <w:ind w:left="317" w:hanging="317"/>
              <w:contextualSpacing w:val="0"/>
              <w:jc w:val="left"/>
              <w:rPr>
                <w:sz w:val="20"/>
                <w:szCs w:val="20"/>
                <w:lang w:eastAsia="ru-RU"/>
              </w:rPr>
            </w:pPr>
            <w:r w:rsidRPr="004761E0">
              <w:rPr>
                <w:sz w:val="20"/>
                <w:szCs w:val="20"/>
                <w:lang w:eastAsia="ru-RU"/>
              </w:rPr>
              <w:t xml:space="preserve">акционеры имеют право на регулярное и своевременное получение информации о деятельности Общества в объеме, достаточном для принятия ими взвешенных и обоснованных решений о распоряжении акциями. Общество в целях надлежащего соблюдения и защиты указанного права гарантирует выполнение установленных действующим законодательством РФ требований о раскрытии информации. Подробно деятельность по соблюдению требований по раскрытию информации описана в рамках принципа «прозрачность». </w:t>
            </w:r>
          </w:p>
          <w:p w:rsidR="00AD6CF6" w:rsidRPr="004761E0" w:rsidRDefault="00AD6CF6" w:rsidP="007076A7">
            <w:pPr>
              <w:pStyle w:val="a5"/>
              <w:numPr>
                <w:ilvl w:val="0"/>
                <w:numId w:val="21"/>
              </w:numPr>
              <w:ind w:left="318" w:hanging="318"/>
              <w:contextualSpacing w:val="0"/>
              <w:jc w:val="left"/>
              <w:rPr>
                <w:sz w:val="20"/>
                <w:szCs w:val="20"/>
                <w:lang w:eastAsia="ru-RU"/>
              </w:rPr>
            </w:pPr>
            <w:r w:rsidRPr="004761E0">
              <w:rPr>
                <w:sz w:val="20"/>
                <w:szCs w:val="20"/>
                <w:lang w:eastAsia="ru-RU"/>
              </w:rPr>
              <w:t>акционеры, владельцы голосующих акций, имеют право на участие в Общем собрании акционеров с правом голоса по всем вопросам его компетенции. Общество в целях надлежащего соблюдения и защиты указанного права 26.06.2013 организовало проведение годового Общего собрания акционеров с минимальными затратами для акционеров (затраты на проезд до места проведения собрания), продолжительность собрания составила 3 часа. Всем акционерам обеспечено равное отношение, путем представления каждому возможности задать вопрос менеджменту и участия в прениях.</w:t>
            </w:r>
          </w:p>
          <w:p w:rsidR="00AD6CF6" w:rsidRPr="004761E0" w:rsidRDefault="00AD6CF6" w:rsidP="007076A7">
            <w:pPr>
              <w:pStyle w:val="a5"/>
              <w:numPr>
                <w:ilvl w:val="0"/>
                <w:numId w:val="21"/>
              </w:numPr>
              <w:ind w:left="318" w:hanging="318"/>
              <w:contextualSpacing w:val="0"/>
              <w:jc w:val="left"/>
              <w:rPr>
                <w:sz w:val="20"/>
                <w:szCs w:val="20"/>
                <w:lang w:eastAsia="ru-RU"/>
              </w:rPr>
            </w:pPr>
            <w:r w:rsidRPr="004761E0">
              <w:rPr>
                <w:sz w:val="20"/>
                <w:szCs w:val="20"/>
                <w:lang w:eastAsia="ru-RU"/>
              </w:rPr>
              <w:t>Общество обязуется предоставлять акционерам информацию по вопросам повестки дня Общего собрания акционеров в объеме и в сроки, позволяющие акционерам принять обоснованные решения. В срок не позднее 30 дней (24</w:t>
            </w:r>
            <w:r w:rsidR="007678D0" w:rsidRPr="004761E0">
              <w:rPr>
                <w:sz w:val="20"/>
                <w:szCs w:val="20"/>
                <w:lang w:eastAsia="ru-RU"/>
              </w:rPr>
              <w:t>.05.</w:t>
            </w:r>
            <w:r w:rsidRPr="004761E0">
              <w:rPr>
                <w:sz w:val="20"/>
                <w:szCs w:val="20"/>
                <w:lang w:eastAsia="ru-RU"/>
              </w:rPr>
              <w:t xml:space="preserve">2013) до проведения годового Общего собрания акционеров регистратор Общества, </w:t>
            </w:r>
            <w:r w:rsidR="0008080E">
              <w:rPr>
                <w:sz w:val="20"/>
                <w:szCs w:val="20"/>
                <w:lang w:eastAsia="ru-RU"/>
              </w:rPr>
              <w:t>ЗАО </w:t>
            </w:r>
            <w:r w:rsidRPr="004761E0">
              <w:rPr>
                <w:sz w:val="20"/>
                <w:szCs w:val="20"/>
                <w:lang w:eastAsia="ru-RU"/>
              </w:rPr>
              <w:t xml:space="preserve">«Регистраторское общество «Статус» направил каждому акционеру Общества заказным письмом уведомление о проведении собрания и бюллетень для голосования. Материалы к годовому Общему собранию акционеров </w:t>
            </w:r>
            <w:r w:rsidRPr="004761E0">
              <w:rPr>
                <w:sz w:val="20"/>
                <w:szCs w:val="20"/>
                <w:lang w:eastAsia="ru-RU"/>
              </w:rPr>
              <w:lastRenderedPageBreak/>
              <w:t>были доступны для акционеров за 20 дней (с</w:t>
            </w:r>
            <w:r w:rsidR="007678D0" w:rsidRPr="004761E0">
              <w:rPr>
                <w:sz w:val="20"/>
                <w:szCs w:val="20"/>
                <w:lang w:eastAsia="ru-RU"/>
              </w:rPr>
              <w:t xml:space="preserve"> </w:t>
            </w:r>
            <w:r w:rsidRPr="004761E0">
              <w:rPr>
                <w:sz w:val="20"/>
                <w:szCs w:val="20"/>
                <w:lang w:eastAsia="ru-RU"/>
              </w:rPr>
              <w:t>06</w:t>
            </w:r>
            <w:r w:rsidR="007678D0" w:rsidRPr="004761E0">
              <w:rPr>
                <w:sz w:val="20"/>
                <w:szCs w:val="20"/>
                <w:lang w:eastAsia="ru-RU"/>
              </w:rPr>
              <w:t>.06.</w:t>
            </w:r>
            <w:r w:rsidRPr="004761E0">
              <w:rPr>
                <w:sz w:val="20"/>
                <w:szCs w:val="20"/>
                <w:lang w:eastAsia="ru-RU"/>
              </w:rPr>
              <w:t>2013) до собрания на корпоративном сайте</w:t>
            </w:r>
            <w:r w:rsidR="009E567A">
              <w:rPr>
                <w:sz w:val="20"/>
                <w:szCs w:val="20"/>
                <w:lang w:eastAsia="ru-RU"/>
              </w:rPr>
              <w:t xml:space="preserve"> Общества</w:t>
            </w:r>
            <w:r w:rsidRPr="004761E0">
              <w:rPr>
                <w:sz w:val="20"/>
                <w:szCs w:val="20"/>
                <w:lang w:eastAsia="ru-RU"/>
              </w:rPr>
              <w:t xml:space="preserve">, по адресу нахождения Общества и регистратора, а также в день проведения собрания – по месту проведения собрания. </w:t>
            </w:r>
          </w:p>
          <w:p w:rsidR="00AD6CF6" w:rsidRPr="004761E0" w:rsidRDefault="00AD6CF6" w:rsidP="007076A7">
            <w:pPr>
              <w:pStyle w:val="a5"/>
              <w:numPr>
                <w:ilvl w:val="0"/>
                <w:numId w:val="21"/>
              </w:numPr>
              <w:ind w:left="318" w:hanging="318"/>
              <w:contextualSpacing w:val="0"/>
              <w:jc w:val="left"/>
              <w:rPr>
                <w:sz w:val="20"/>
                <w:szCs w:val="20"/>
                <w:lang w:eastAsia="ru-RU"/>
              </w:rPr>
            </w:pPr>
            <w:r w:rsidRPr="004761E0">
              <w:rPr>
                <w:sz w:val="20"/>
                <w:szCs w:val="20"/>
                <w:lang w:eastAsia="ru-RU"/>
              </w:rPr>
              <w:t>акционеры имеют право на получение части чистой прибыли Общества в виде дивидендов. Общество выплатило в полном объеме дивиденды по итогам 2012 года в течение 60 дней (не позднее 23.08.2013) со дня принятия решения об их выплате.</w:t>
            </w:r>
          </w:p>
        </w:tc>
      </w:tr>
      <w:tr w:rsidR="00AD6CF6" w:rsidRPr="004761E0" w:rsidTr="00457012">
        <w:tc>
          <w:tcPr>
            <w:tcW w:w="1003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D6CF6" w:rsidRPr="004761E0" w:rsidRDefault="00AD6CF6" w:rsidP="00457012">
            <w:pPr>
              <w:ind w:firstLine="0"/>
              <w:jc w:val="left"/>
              <w:rPr>
                <w:sz w:val="20"/>
                <w:szCs w:val="20"/>
                <w:lang w:eastAsia="ru-RU"/>
              </w:rPr>
            </w:pPr>
            <w:r w:rsidRPr="004761E0">
              <w:rPr>
                <w:b/>
                <w:sz w:val="20"/>
                <w:szCs w:val="20"/>
                <w:lang w:eastAsia="ru-RU"/>
              </w:rPr>
              <w:lastRenderedPageBreak/>
              <w:t>Прозрачность</w:t>
            </w:r>
          </w:p>
        </w:tc>
      </w:tr>
      <w:tr w:rsidR="00AD6CF6" w:rsidRPr="004761E0" w:rsidTr="00457012">
        <w:tc>
          <w:tcPr>
            <w:tcW w:w="3261" w:type="dxa"/>
            <w:tcBorders>
              <w:top w:val="single" w:sz="4" w:space="0" w:color="auto"/>
              <w:left w:val="single" w:sz="4" w:space="0" w:color="auto"/>
              <w:bottom w:val="single" w:sz="4" w:space="0" w:color="auto"/>
            </w:tcBorders>
          </w:tcPr>
          <w:p w:rsidR="00AD6CF6" w:rsidRPr="004761E0" w:rsidRDefault="00AD6CF6" w:rsidP="00457012">
            <w:pPr>
              <w:ind w:firstLine="0"/>
              <w:jc w:val="left"/>
              <w:rPr>
                <w:sz w:val="20"/>
                <w:szCs w:val="20"/>
                <w:lang w:eastAsia="ru-RU"/>
              </w:rPr>
            </w:pPr>
            <w:r w:rsidRPr="004761E0">
              <w:rPr>
                <w:sz w:val="20"/>
                <w:szCs w:val="20"/>
                <w:lang w:eastAsia="ru-RU"/>
              </w:rPr>
              <w:t>Общество обеспечивает своевременное раскрытие достоверной информации обо всех существенных фактах, касающихся его деятельности, в т.ч. о его финансовом положении, социальных и экологических показателях, результатах деятельности, структуре собственности и управления Обществом, а также свободный доступ к такой информации всех заинтересованных лиц.</w:t>
            </w:r>
          </w:p>
        </w:tc>
        <w:tc>
          <w:tcPr>
            <w:tcW w:w="6769" w:type="dxa"/>
            <w:tcBorders>
              <w:top w:val="single" w:sz="4" w:space="0" w:color="auto"/>
              <w:bottom w:val="single" w:sz="4" w:space="0" w:color="auto"/>
              <w:right w:val="single" w:sz="4" w:space="0" w:color="auto"/>
            </w:tcBorders>
          </w:tcPr>
          <w:p w:rsidR="00AD6CF6" w:rsidRPr="004761E0" w:rsidRDefault="00AD6CF6" w:rsidP="007076A7">
            <w:pPr>
              <w:pStyle w:val="a5"/>
              <w:numPr>
                <w:ilvl w:val="0"/>
                <w:numId w:val="21"/>
              </w:numPr>
              <w:ind w:left="318" w:hanging="285"/>
              <w:contextualSpacing w:val="0"/>
              <w:jc w:val="left"/>
              <w:rPr>
                <w:sz w:val="20"/>
                <w:szCs w:val="20"/>
                <w:lang w:eastAsia="ru-RU"/>
              </w:rPr>
            </w:pPr>
            <w:r w:rsidRPr="004761E0">
              <w:rPr>
                <w:sz w:val="20"/>
                <w:szCs w:val="20"/>
                <w:lang w:eastAsia="ru-RU"/>
              </w:rPr>
              <w:t>Общество гарантирует выполнение установленных действующим законодательством РФ требований о раскрытии информации. Вся тем или иным образом раскрываемая информация в обязательном порядке в 2013 году размещалась на корпоративном сайте Общества на русском и английском языках в сроки, указанные нормативно-правовыми актами РФ и внутренними документами Общества. В 2013 году в Обществе действовали следующие внутренние документы, регламентирующие порядок раскрытия и использования информации:</w:t>
            </w:r>
          </w:p>
          <w:p w:rsidR="00AD6CF6" w:rsidRPr="004761E0" w:rsidRDefault="00AD6CF6" w:rsidP="007076A7">
            <w:pPr>
              <w:pStyle w:val="a5"/>
              <w:numPr>
                <w:ilvl w:val="3"/>
                <w:numId w:val="21"/>
              </w:numPr>
              <w:ind w:left="600" w:hanging="283"/>
              <w:contextualSpacing w:val="0"/>
              <w:jc w:val="left"/>
              <w:rPr>
                <w:sz w:val="20"/>
                <w:szCs w:val="20"/>
                <w:lang w:eastAsia="ru-RU"/>
              </w:rPr>
            </w:pPr>
            <w:r w:rsidRPr="004761E0">
              <w:rPr>
                <w:sz w:val="20"/>
                <w:szCs w:val="20"/>
                <w:lang w:eastAsia="ru-RU"/>
              </w:rPr>
              <w:t>Кодекс корпоративного управления</w:t>
            </w:r>
            <w:r w:rsidR="00F80C74" w:rsidRPr="006F4AB8">
              <w:rPr>
                <w:rStyle w:val="af1"/>
              </w:rPr>
              <w:footnoteReference w:id="87"/>
            </w:r>
            <w:r w:rsidRPr="004761E0">
              <w:rPr>
                <w:sz w:val="20"/>
                <w:szCs w:val="20"/>
                <w:lang w:eastAsia="ru-RU"/>
              </w:rPr>
              <w:t>;</w:t>
            </w:r>
          </w:p>
          <w:p w:rsidR="00AD6CF6" w:rsidRPr="004761E0" w:rsidRDefault="00AD6CF6" w:rsidP="007076A7">
            <w:pPr>
              <w:pStyle w:val="a5"/>
              <w:numPr>
                <w:ilvl w:val="3"/>
                <w:numId w:val="21"/>
              </w:numPr>
              <w:ind w:left="600" w:hanging="283"/>
              <w:contextualSpacing w:val="0"/>
              <w:jc w:val="left"/>
              <w:rPr>
                <w:sz w:val="20"/>
                <w:szCs w:val="20"/>
                <w:lang w:eastAsia="ru-RU"/>
              </w:rPr>
            </w:pPr>
            <w:r w:rsidRPr="004761E0">
              <w:rPr>
                <w:sz w:val="20"/>
                <w:szCs w:val="20"/>
                <w:lang w:eastAsia="ru-RU"/>
              </w:rPr>
              <w:t>Положе</w:t>
            </w:r>
            <w:r w:rsidR="00F80C74" w:rsidRPr="004761E0">
              <w:rPr>
                <w:sz w:val="20"/>
                <w:szCs w:val="20"/>
                <w:lang w:eastAsia="ru-RU"/>
              </w:rPr>
              <w:t>ние об информационной политике</w:t>
            </w:r>
            <w:r w:rsidR="00F80C74" w:rsidRPr="006F4AB8">
              <w:rPr>
                <w:rStyle w:val="af1"/>
              </w:rPr>
              <w:footnoteReference w:id="88"/>
            </w:r>
            <w:r w:rsidRPr="004761E0">
              <w:rPr>
                <w:sz w:val="20"/>
                <w:szCs w:val="20"/>
                <w:lang w:eastAsia="ru-RU"/>
              </w:rPr>
              <w:t>;</w:t>
            </w:r>
          </w:p>
          <w:p w:rsidR="00AD6CF6" w:rsidRPr="004761E0" w:rsidRDefault="00AD6CF6" w:rsidP="007076A7">
            <w:pPr>
              <w:pStyle w:val="a5"/>
              <w:numPr>
                <w:ilvl w:val="3"/>
                <w:numId w:val="21"/>
              </w:numPr>
              <w:ind w:left="600" w:hanging="283"/>
              <w:contextualSpacing w:val="0"/>
              <w:jc w:val="left"/>
              <w:rPr>
                <w:sz w:val="20"/>
                <w:szCs w:val="20"/>
                <w:lang w:eastAsia="ru-RU"/>
              </w:rPr>
            </w:pPr>
            <w:r w:rsidRPr="004761E0">
              <w:rPr>
                <w:sz w:val="20"/>
                <w:szCs w:val="20"/>
                <w:lang w:eastAsia="ru-RU"/>
              </w:rPr>
              <w:t>Положение об инсай</w:t>
            </w:r>
            <w:r w:rsidR="00F80C74" w:rsidRPr="004761E0">
              <w:rPr>
                <w:sz w:val="20"/>
                <w:szCs w:val="20"/>
                <w:lang w:eastAsia="ru-RU"/>
              </w:rPr>
              <w:t>дерской информации</w:t>
            </w:r>
            <w:r w:rsidR="00F80C74" w:rsidRPr="006F4AB8">
              <w:rPr>
                <w:rStyle w:val="af1"/>
              </w:rPr>
              <w:footnoteReference w:id="89"/>
            </w:r>
            <w:r w:rsidRPr="004761E0">
              <w:rPr>
                <w:sz w:val="20"/>
                <w:szCs w:val="20"/>
                <w:lang w:eastAsia="ru-RU"/>
              </w:rPr>
              <w:t>;</w:t>
            </w:r>
          </w:p>
          <w:p w:rsidR="00AD6CF6" w:rsidRPr="004761E0" w:rsidRDefault="00AD6CF6" w:rsidP="007076A7">
            <w:pPr>
              <w:pStyle w:val="a5"/>
              <w:numPr>
                <w:ilvl w:val="3"/>
                <w:numId w:val="21"/>
              </w:numPr>
              <w:ind w:left="600" w:hanging="283"/>
              <w:contextualSpacing w:val="0"/>
              <w:rPr>
                <w:sz w:val="20"/>
                <w:szCs w:val="20"/>
                <w:lang w:eastAsia="ru-RU"/>
              </w:rPr>
            </w:pPr>
            <w:r w:rsidRPr="004761E0">
              <w:rPr>
                <w:sz w:val="20"/>
                <w:szCs w:val="20"/>
                <w:lang w:eastAsia="ru-RU"/>
              </w:rPr>
              <w:t>Календарь инвестора.</w:t>
            </w:r>
          </w:p>
        </w:tc>
      </w:tr>
      <w:tr w:rsidR="00AD6CF6" w:rsidRPr="004761E0" w:rsidTr="00457012">
        <w:tc>
          <w:tcPr>
            <w:tcW w:w="1003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D6CF6" w:rsidRPr="004761E0" w:rsidRDefault="00AD6CF6" w:rsidP="00457012">
            <w:pPr>
              <w:ind w:firstLine="0"/>
              <w:jc w:val="left"/>
              <w:rPr>
                <w:sz w:val="20"/>
                <w:szCs w:val="20"/>
                <w:lang w:eastAsia="ru-RU"/>
              </w:rPr>
            </w:pPr>
            <w:r w:rsidRPr="004761E0">
              <w:rPr>
                <w:b/>
                <w:sz w:val="20"/>
                <w:szCs w:val="20"/>
                <w:lang w:eastAsia="ru-RU"/>
              </w:rPr>
              <w:t>Ответственность</w:t>
            </w:r>
          </w:p>
        </w:tc>
      </w:tr>
      <w:tr w:rsidR="00AD6CF6" w:rsidRPr="004761E0" w:rsidTr="00457012">
        <w:tc>
          <w:tcPr>
            <w:tcW w:w="3261" w:type="dxa"/>
            <w:tcBorders>
              <w:top w:val="single" w:sz="4" w:space="0" w:color="auto"/>
              <w:left w:val="single" w:sz="4" w:space="0" w:color="auto"/>
              <w:bottom w:val="single" w:sz="4" w:space="0" w:color="auto"/>
            </w:tcBorders>
          </w:tcPr>
          <w:p w:rsidR="00AD6CF6" w:rsidRPr="004761E0" w:rsidRDefault="00AD6CF6" w:rsidP="00457012">
            <w:pPr>
              <w:ind w:firstLine="0"/>
              <w:jc w:val="left"/>
              <w:rPr>
                <w:sz w:val="20"/>
                <w:szCs w:val="20"/>
                <w:lang w:eastAsia="ru-RU"/>
              </w:rPr>
            </w:pPr>
            <w:r w:rsidRPr="004761E0">
              <w:rPr>
                <w:sz w:val="20"/>
                <w:szCs w:val="20"/>
                <w:lang w:eastAsia="ru-RU"/>
              </w:rPr>
              <w:t>Общество признает свою ответственность перед акционерами Общества.</w:t>
            </w:r>
          </w:p>
        </w:tc>
        <w:tc>
          <w:tcPr>
            <w:tcW w:w="6769" w:type="dxa"/>
            <w:tcBorders>
              <w:top w:val="single" w:sz="4" w:space="0" w:color="auto"/>
              <w:bottom w:val="single" w:sz="4" w:space="0" w:color="auto"/>
              <w:right w:val="single" w:sz="4" w:space="0" w:color="auto"/>
            </w:tcBorders>
          </w:tcPr>
          <w:p w:rsidR="00AD6CF6" w:rsidRPr="004761E0" w:rsidRDefault="00AD6CF6" w:rsidP="007076A7">
            <w:pPr>
              <w:pStyle w:val="a5"/>
              <w:numPr>
                <w:ilvl w:val="0"/>
                <w:numId w:val="21"/>
              </w:numPr>
              <w:ind w:left="318" w:hanging="285"/>
              <w:contextualSpacing w:val="0"/>
              <w:jc w:val="left"/>
              <w:rPr>
                <w:sz w:val="20"/>
                <w:szCs w:val="20"/>
                <w:lang w:eastAsia="ru-RU"/>
              </w:rPr>
            </w:pPr>
            <w:r w:rsidRPr="004761E0">
              <w:rPr>
                <w:sz w:val="20"/>
                <w:szCs w:val="20"/>
                <w:lang w:eastAsia="ru-RU"/>
              </w:rPr>
              <w:t>члены</w:t>
            </w:r>
            <w:r w:rsidR="003B2247">
              <w:rPr>
                <w:sz w:val="20"/>
                <w:szCs w:val="20"/>
                <w:lang w:eastAsia="ru-RU"/>
              </w:rPr>
              <w:t xml:space="preserve"> Совета директоров, Правления, г</w:t>
            </w:r>
            <w:r w:rsidRPr="004761E0">
              <w:rPr>
                <w:sz w:val="20"/>
                <w:szCs w:val="20"/>
                <w:lang w:eastAsia="ru-RU"/>
              </w:rPr>
              <w:t xml:space="preserve">енеральный директор несут ответственность перед Обществом за убытки, причиненные их действиями (бездействиями). Согласно данным бухгалтерской отчетности за 2013 год Общество получило чистую прибыль в размере </w:t>
            </w:r>
            <w:r w:rsidR="00F80C74" w:rsidRPr="004761E0">
              <w:rPr>
                <w:rFonts w:eastAsia="Times New Roman"/>
                <w:bCs/>
                <w:color w:val="000000"/>
                <w:sz w:val="20"/>
                <w:szCs w:val="20"/>
                <w:lang w:eastAsia="ru-RU"/>
              </w:rPr>
              <w:t>11 641 млн руб.</w:t>
            </w:r>
            <w:r w:rsidR="00162AB5">
              <w:rPr>
                <w:rFonts w:eastAsia="Times New Roman"/>
                <w:bCs/>
                <w:color w:val="000000"/>
                <w:sz w:val="20"/>
                <w:szCs w:val="20"/>
                <w:lang w:eastAsia="ru-RU"/>
              </w:rPr>
              <w:t xml:space="preserve"> За все время существования деятельность Компании была безубыточной.</w:t>
            </w:r>
          </w:p>
        </w:tc>
      </w:tr>
    </w:tbl>
    <w:p w:rsidR="006345C1" w:rsidRDefault="006345C1" w:rsidP="006345C1">
      <w:pPr>
        <w:pStyle w:val="Default"/>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Сведения о </w:t>
      </w:r>
      <w:r w:rsidRPr="003F6017">
        <w:rPr>
          <w:rFonts w:ascii="Times New Roman" w:hAnsi="Times New Roman" w:cs="Times New Roman"/>
          <w:sz w:val="26"/>
          <w:szCs w:val="26"/>
        </w:rPr>
        <w:t>соблюдении Кодекса корпоративного поведения</w:t>
      </w:r>
      <w:r>
        <w:rPr>
          <w:rFonts w:ascii="Times New Roman" w:hAnsi="Times New Roman" w:cs="Times New Roman"/>
          <w:sz w:val="26"/>
          <w:szCs w:val="26"/>
        </w:rPr>
        <w:t xml:space="preserve"> в 2013 году представлены в Приложении 12.</w:t>
      </w:r>
      <w:r w:rsidR="003146BC">
        <w:rPr>
          <w:rFonts w:ascii="Times New Roman" w:hAnsi="Times New Roman" w:cs="Times New Roman"/>
          <w:sz w:val="26"/>
          <w:szCs w:val="26"/>
        </w:rPr>
        <w:t>4</w:t>
      </w:r>
      <w:r>
        <w:rPr>
          <w:rFonts w:ascii="Times New Roman" w:hAnsi="Times New Roman" w:cs="Times New Roman"/>
          <w:sz w:val="26"/>
          <w:szCs w:val="26"/>
        </w:rPr>
        <w:t>. к Годовому отчету.</w:t>
      </w:r>
    </w:p>
    <w:p w:rsidR="00457012" w:rsidRPr="004761E0" w:rsidRDefault="00457012" w:rsidP="00457012">
      <w:pPr>
        <w:spacing w:before="120" w:after="120"/>
        <w:ind w:firstLine="567"/>
        <w:rPr>
          <w:b/>
          <w:sz w:val="26"/>
          <w:szCs w:val="26"/>
        </w:rPr>
      </w:pPr>
      <w:r w:rsidRPr="004761E0">
        <w:rPr>
          <w:b/>
          <w:sz w:val="26"/>
          <w:szCs w:val="26"/>
        </w:rPr>
        <w:t xml:space="preserve">Совершенствование корпоративного управления </w:t>
      </w:r>
    </w:p>
    <w:p w:rsidR="00A70184" w:rsidRPr="004761E0" w:rsidRDefault="00A70184" w:rsidP="00A70184">
      <w:pPr>
        <w:ind w:firstLine="567"/>
        <w:rPr>
          <w:sz w:val="26"/>
          <w:szCs w:val="26"/>
          <w:lang w:eastAsia="ru-RU"/>
        </w:rPr>
      </w:pPr>
      <w:r w:rsidRPr="004761E0">
        <w:rPr>
          <w:sz w:val="26"/>
          <w:szCs w:val="26"/>
          <w:lang w:eastAsia="ru-RU"/>
        </w:rPr>
        <w:t xml:space="preserve">В целях совершенствования корпоративного управления в Обществе в 2013 году проводилась работа по оптимизации отчетов </w:t>
      </w:r>
      <w:r w:rsidR="003B2247">
        <w:rPr>
          <w:sz w:val="26"/>
          <w:szCs w:val="26"/>
          <w:lang w:eastAsia="ru-RU"/>
        </w:rPr>
        <w:t>г</w:t>
      </w:r>
      <w:r w:rsidRPr="004761E0">
        <w:rPr>
          <w:sz w:val="26"/>
          <w:szCs w:val="26"/>
          <w:lang w:eastAsia="ru-RU"/>
        </w:rPr>
        <w:t>енерального директора о деятельности Общества, выносимых на рассмотрение Совета директоров. В соответствии с проведенной оптимизацией информация о деятельности Общества рассматривается Сове</w:t>
      </w:r>
      <w:r w:rsidR="003B2247">
        <w:rPr>
          <w:sz w:val="26"/>
          <w:szCs w:val="26"/>
          <w:lang w:eastAsia="ru-RU"/>
        </w:rPr>
        <w:t>том директоров в рамках отчета г</w:t>
      </w:r>
      <w:r w:rsidRPr="004761E0">
        <w:rPr>
          <w:sz w:val="26"/>
          <w:szCs w:val="26"/>
          <w:lang w:eastAsia="ru-RU"/>
        </w:rPr>
        <w:t>енерального директора о выполнении решений Совета директоров, а также отчета об итогах выполнения Бизнес-плана (в т.ч. инвестиционной программы). При этом отчеты по наиболее приоритетным направлениям, таким как инновационная деятельность, информация о готовности и прохождении осенне-зимнего периода, рассматриваются независимо.</w:t>
      </w:r>
    </w:p>
    <w:p w:rsidR="00122F38" w:rsidRPr="004761E0" w:rsidRDefault="00122F38" w:rsidP="00122F38">
      <w:pPr>
        <w:ind w:firstLine="567"/>
        <w:rPr>
          <w:sz w:val="26"/>
          <w:szCs w:val="26"/>
          <w:lang w:eastAsia="ru-RU"/>
        </w:rPr>
      </w:pPr>
      <w:r w:rsidRPr="004761E0">
        <w:rPr>
          <w:sz w:val="26"/>
          <w:szCs w:val="26"/>
          <w:lang w:eastAsia="ru-RU"/>
        </w:rPr>
        <w:t xml:space="preserve">Кроме того, в 2013 году Советом директоров утверждена новая редакция Кодекса корпоративного управления. Данный документ подготовлен с учетом международных и российских стандартов корпоративного управления и актуализирован в соответствии с действующими внутренними документами Общества. В Кодексе корпоративного управления более подробно раскрыта основная цель Общества, определена роль Правления, Комитетов при Совете директоров и корпоративного секретаря в системе корпоративного управления Общества. Кроме того, в редакцию Кодекса корпоративного управления внесены изменения, направленные на совершенствование механизмов </w:t>
      </w:r>
      <w:r w:rsidRPr="004761E0">
        <w:rPr>
          <w:sz w:val="26"/>
          <w:szCs w:val="26"/>
          <w:lang w:eastAsia="ru-RU"/>
        </w:rPr>
        <w:lastRenderedPageBreak/>
        <w:t>разрешения конфликтов интересов и на эффективное урегулирование корпоративных конфликтов в Обществе.</w:t>
      </w:r>
    </w:p>
    <w:p w:rsidR="00457012" w:rsidRPr="004761E0" w:rsidRDefault="00457012" w:rsidP="008E3C2C">
      <w:pPr>
        <w:spacing w:before="120" w:after="120"/>
        <w:ind w:firstLine="567"/>
        <w:rPr>
          <w:b/>
          <w:sz w:val="26"/>
          <w:szCs w:val="26"/>
        </w:rPr>
      </w:pPr>
      <w:r w:rsidRPr="004761E0">
        <w:rPr>
          <w:b/>
          <w:sz w:val="26"/>
          <w:szCs w:val="26"/>
        </w:rPr>
        <w:t>Оценка уровня корпоративного управления</w:t>
      </w:r>
    </w:p>
    <w:p w:rsidR="00F80C74" w:rsidRPr="004761E0" w:rsidRDefault="00F80C74" w:rsidP="00457012">
      <w:pPr>
        <w:ind w:firstLine="567"/>
        <w:rPr>
          <w:sz w:val="26"/>
          <w:szCs w:val="26"/>
          <w:lang w:eastAsia="ru-RU"/>
        </w:rPr>
      </w:pPr>
      <w:r w:rsidRPr="004761E0">
        <w:rPr>
          <w:sz w:val="26"/>
          <w:szCs w:val="26"/>
          <w:lang w:eastAsia="ru-RU"/>
        </w:rPr>
        <w:t>В целях оценки уровня корпоративного управления Общество в 2012 году заключило договор с независим</w:t>
      </w:r>
      <w:r w:rsidR="00457012" w:rsidRPr="004761E0">
        <w:rPr>
          <w:sz w:val="26"/>
          <w:szCs w:val="26"/>
          <w:lang w:eastAsia="ru-RU"/>
        </w:rPr>
        <w:t>ым</w:t>
      </w:r>
      <w:r w:rsidRPr="004761E0">
        <w:rPr>
          <w:sz w:val="26"/>
          <w:szCs w:val="26"/>
          <w:lang w:eastAsia="ru-RU"/>
        </w:rPr>
        <w:t xml:space="preserve"> рейтинговым агентством </w:t>
      </w:r>
      <w:r w:rsidR="0008080E">
        <w:rPr>
          <w:sz w:val="26"/>
          <w:szCs w:val="26"/>
          <w:lang w:eastAsia="ru-RU"/>
        </w:rPr>
        <w:t>ЗАО </w:t>
      </w:r>
      <w:r w:rsidRPr="004761E0">
        <w:rPr>
          <w:sz w:val="26"/>
          <w:szCs w:val="26"/>
          <w:lang w:eastAsia="ru-RU"/>
        </w:rPr>
        <w:t xml:space="preserve">«Рейтинговое агентство «Эксперт РА». В результате проведенного исследования уровня корпоративного управления, действующего в Обществе, 14.12.2012 </w:t>
      </w:r>
      <w:r w:rsidR="0008080E">
        <w:rPr>
          <w:sz w:val="26"/>
          <w:szCs w:val="26"/>
          <w:lang w:eastAsia="ru-RU"/>
        </w:rPr>
        <w:t>ОАО </w:t>
      </w:r>
      <w:r w:rsidRPr="004761E0">
        <w:rPr>
          <w:sz w:val="26"/>
          <w:szCs w:val="26"/>
          <w:lang w:eastAsia="ru-RU"/>
        </w:rPr>
        <w:t xml:space="preserve">«МОЭСК» присвоен рейтинг Качества управления «7+. Развитая практика корпоративного управления, показатели качества управления компании выше средних». </w:t>
      </w:r>
    </w:p>
    <w:p w:rsidR="00F80C74" w:rsidRPr="004761E0" w:rsidRDefault="00F80C74" w:rsidP="00457012">
      <w:pPr>
        <w:ind w:firstLine="567"/>
        <w:rPr>
          <w:sz w:val="26"/>
          <w:szCs w:val="26"/>
          <w:lang w:eastAsia="ru-RU"/>
        </w:rPr>
      </w:pPr>
      <w:r w:rsidRPr="004761E0">
        <w:rPr>
          <w:sz w:val="26"/>
          <w:szCs w:val="26"/>
          <w:lang w:eastAsia="ru-RU"/>
        </w:rPr>
        <w:t xml:space="preserve">На протяжении 2013 года Общество принимало меры по совершенствованию </w:t>
      </w:r>
      <w:r w:rsidR="00162AB5">
        <w:rPr>
          <w:sz w:val="26"/>
          <w:szCs w:val="26"/>
          <w:lang w:eastAsia="ru-RU"/>
        </w:rPr>
        <w:t>уровня</w:t>
      </w:r>
      <w:r w:rsidRPr="004761E0">
        <w:rPr>
          <w:sz w:val="26"/>
          <w:szCs w:val="26"/>
          <w:lang w:eastAsia="ru-RU"/>
        </w:rPr>
        <w:t xml:space="preserve"> корпоративного управления, что отразилось в повышении указанного рейтинга до «8.</w:t>
      </w:r>
      <w:r w:rsidRPr="004761E0">
        <w:t xml:space="preserve"> </w:t>
      </w:r>
      <w:r w:rsidRPr="004761E0">
        <w:rPr>
          <w:sz w:val="26"/>
          <w:szCs w:val="26"/>
          <w:lang w:eastAsia="ru-RU"/>
        </w:rPr>
        <w:t xml:space="preserve">Передовая практика корпоративного управления». Среди факторов, оказавших позитивное влияние на рейтинговую оценку </w:t>
      </w:r>
      <w:r w:rsidR="0008080E">
        <w:rPr>
          <w:sz w:val="26"/>
          <w:szCs w:val="26"/>
          <w:lang w:eastAsia="ru-RU"/>
        </w:rPr>
        <w:t>ЗАО </w:t>
      </w:r>
      <w:r w:rsidRPr="004761E0">
        <w:rPr>
          <w:sz w:val="26"/>
          <w:szCs w:val="26"/>
          <w:lang w:eastAsia="ru-RU"/>
        </w:rPr>
        <w:t>«Рейтинговое агентство «Эксперт РА» отмечено следующее:</w:t>
      </w:r>
    </w:p>
    <w:p w:rsidR="00F80C74" w:rsidRPr="004761E0" w:rsidRDefault="00F80C74" w:rsidP="007076A7">
      <w:pPr>
        <w:pStyle w:val="a5"/>
        <w:numPr>
          <w:ilvl w:val="0"/>
          <w:numId w:val="20"/>
        </w:numPr>
        <w:ind w:left="1134" w:hanging="567"/>
        <w:contextualSpacing w:val="0"/>
        <w:rPr>
          <w:sz w:val="26"/>
          <w:szCs w:val="26"/>
          <w:lang w:eastAsia="ru-RU"/>
        </w:rPr>
      </w:pPr>
      <w:r w:rsidRPr="004761E0">
        <w:rPr>
          <w:sz w:val="26"/>
          <w:szCs w:val="26"/>
          <w:lang w:eastAsia="ru-RU"/>
        </w:rPr>
        <w:t>высокий уровень соблюдения прав акционеров;</w:t>
      </w:r>
    </w:p>
    <w:p w:rsidR="00F80C74" w:rsidRPr="004761E0" w:rsidRDefault="00F80C74" w:rsidP="007076A7">
      <w:pPr>
        <w:pStyle w:val="a5"/>
        <w:numPr>
          <w:ilvl w:val="0"/>
          <w:numId w:val="20"/>
        </w:numPr>
        <w:ind w:left="1134" w:hanging="567"/>
        <w:contextualSpacing w:val="0"/>
        <w:rPr>
          <w:sz w:val="26"/>
          <w:szCs w:val="26"/>
          <w:lang w:eastAsia="ru-RU"/>
        </w:rPr>
      </w:pPr>
      <w:r w:rsidRPr="004761E0">
        <w:rPr>
          <w:sz w:val="26"/>
          <w:szCs w:val="26"/>
          <w:lang w:eastAsia="ru-RU"/>
        </w:rPr>
        <w:t>высокий уровень организации деятельности исполнительных органов;</w:t>
      </w:r>
    </w:p>
    <w:p w:rsidR="00F80C74" w:rsidRPr="004761E0" w:rsidRDefault="00F80C74" w:rsidP="007076A7">
      <w:pPr>
        <w:pStyle w:val="a5"/>
        <w:numPr>
          <w:ilvl w:val="0"/>
          <w:numId w:val="20"/>
        </w:numPr>
        <w:ind w:left="1134" w:hanging="567"/>
        <w:contextualSpacing w:val="0"/>
        <w:rPr>
          <w:sz w:val="26"/>
          <w:szCs w:val="26"/>
          <w:lang w:eastAsia="ru-RU"/>
        </w:rPr>
      </w:pPr>
      <w:r w:rsidRPr="004761E0">
        <w:rPr>
          <w:sz w:val="26"/>
          <w:szCs w:val="26"/>
          <w:lang w:eastAsia="ru-RU"/>
        </w:rPr>
        <w:t>высокий уровень взаимодействия между органами управления;</w:t>
      </w:r>
    </w:p>
    <w:p w:rsidR="00F80C74" w:rsidRPr="004761E0" w:rsidRDefault="00F80C74" w:rsidP="007076A7">
      <w:pPr>
        <w:pStyle w:val="a5"/>
        <w:numPr>
          <w:ilvl w:val="0"/>
          <w:numId w:val="20"/>
        </w:numPr>
        <w:ind w:left="1134" w:hanging="567"/>
        <w:contextualSpacing w:val="0"/>
        <w:rPr>
          <w:sz w:val="26"/>
          <w:szCs w:val="26"/>
          <w:lang w:eastAsia="ru-RU"/>
        </w:rPr>
      </w:pPr>
      <w:r w:rsidRPr="004761E0">
        <w:rPr>
          <w:sz w:val="26"/>
          <w:szCs w:val="26"/>
          <w:lang w:eastAsia="ru-RU"/>
        </w:rPr>
        <w:t>высокий уровень организации системы контроля финансово-хозяйственной деятельности Общества;</w:t>
      </w:r>
    </w:p>
    <w:p w:rsidR="00F80C74" w:rsidRPr="004761E0" w:rsidRDefault="00F80C74" w:rsidP="007076A7">
      <w:pPr>
        <w:pStyle w:val="a5"/>
        <w:numPr>
          <w:ilvl w:val="0"/>
          <w:numId w:val="20"/>
        </w:numPr>
        <w:ind w:left="1134" w:hanging="567"/>
        <w:contextualSpacing w:val="0"/>
        <w:rPr>
          <w:sz w:val="26"/>
          <w:szCs w:val="26"/>
          <w:lang w:eastAsia="ru-RU"/>
        </w:rPr>
      </w:pPr>
      <w:r w:rsidRPr="004761E0">
        <w:rPr>
          <w:sz w:val="26"/>
          <w:szCs w:val="26"/>
          <w:lang w:eastAsia="ru-RU"/>
        </w:rPr>
        <w:t>высокий уровень общей дисциплины раскрытия информации;</w:t>
      </w:r>
    </w:p>
    <w:p w:rsidR="00F80C74" w:rsidRPr="004761E0" w:rsidRDefault="00F80C74" w:rsidP="007076A7">
      <w:pPr>
        <w:pStyle w:val="a5"/>
        <w:numPr>
          <w:ilvl w:val="0"/>
          <w:numId w:val="20"/>
        </w:numPr>
        <w:ind w:left="1134" w:hanging="567"/>
        <w:contextualSpacing w:val="0"/>
        <w:rPr>
          <w:sz w:val="26"/>
          <w:szCs w:val="26"/>
          <w:lang w:eastAsia="ru-RU"/>
        </w:rPr>
      </w:pPr>
      <w:r w:rsidRPr="004761E0">
        <w:rPr>
          <w:sz w:val="26"/>
          <w:szCs w:val="26"/>
          <w:lang w:eastAsia="ru-RU"/>
        </w:rPr>
        <w:t>высокий уровень раскрытия финансовой информации;</w:t>
      </w:r>
    </w:p>
    <w:p w:rsidR="00F80C74" w:rsidRPr="004761E0" w:rsidRDefault="00F80C74" w:rsidP="007076A7">
      <w:pPr>
        <w:pStyle w:val="a5"/>
        <w:numPr>
          <w:ilvl w:val="0"/>
          <w:numId w:val="20"/>
        </w:numPr>
        <w:ind w:left="1134" w:hanging="567"/>
        <w:contextualSpacing w:val="0"/>
        <w:rPr>
          <w:sz w:val="26"/>
          <w:szCs w:val="26"/>
          <w:lang w:eastAsia="ru-RU"/>
        </w:rPr>
      </w:pPr>
      <w:r w:rsidRPr="004761E0">
        <w:rPr>
          <w:sz w:val="26"/>
          <w:szCs w:val="26"/>
          <w:lang w:eastAsia="ru-RU"/>
        </w:rPr>
        <w:t>высокий уровень организации корпоративной социальной ответственности;</w:t>
      </w:r>
    </w:p>
    <w:p w:rsidR="00F80C74" w:rsidRPr="004761E0" w:rsidRDefault="00F80C74" w:rsidP="007076A7">
      <w:pPr>
        <w:pStyle w:val="a5"/>
        <w:numPr>
          <w:ilvl w:val="0"/>
          <w:numId w:val="20"/>
        </w:numPr>
        <w:ind w:left="1134" w:hanging="567"/>
        <w:contextualSpacing w:val="0"/>
        <w:rPr>
          <w:sz w:val="26"/>
          <w:szCs w:val="26"/>
          <w:lang w:eastAsia="ru-RU"/>
        </w:rPr>
      </w:pPr>
      <w:r w:rsidRPr="004761E0">
        <w:rPr>
          <w:sz w:val="26"/>
          <w:szCs w:val="26"/>
          <w:lang w:eastAsia="ru-RU"/>
        </w:rPr>
        <w:t>высокий уровень информативности корпоративного раздела интернет-сайта.</w:t>
      </w:r>
    </w:p>
    <w:p w:rsidR="00F80C74" w:rsidRPr="004761E0" w:rsidRDefault="00F80C74" w:rsidP="00457012">
      <w:pPr>
        <w:ind w:firstLine="567"/>
        <w:rPr>
          <w:sz w:val="26"/>
          <w:szCs w:val="26"/>
          <w:lang w:eastAsia="ru-RU"/>
        </w:rPr>
      </w:pPr>
      <w:r w:rsidRPr="004761E0">
        <w:rPr>
          <w:sz w:val="26"/>
          <w:szCs w:val="26"/>
          <w:lang w:eastAsia="ru-RU"/>
        </w:rPr>
        <w:t xml:space="preserve">С отчетом о присвоении рейтинга качества управления </w:t>
      </w:r>
      <w:r w:rsidR="0008080E">
        <w:rPr>
          <w:sz w:val="26"/>
          <w:szCs w:val="26"/>
          <w:lang w:eastAsia="ru-RU"/>
        </w:rPr>
        <w:t>ОАО </w:t>
      </w:r>
      <w:r w:rsidRPr="004761E0">
        <w:rPr>
          <w:sz w:val="26"/>
          <w:szCs w:val="26"/>
          <w:lang w:eastAsia="ru-RU"/>
        </w:rPr>
        <w:t>«МОЭСК» можно ознакомиться на корпоративном сайте</w:t>
      </w:r>
      <w:r w:rsidR="009E567A">
        <w:rPr>
          <w:sz w:val="26"/>
          <w:szCs w:val="26"/>
          <w:lang w:eastAsia="ru-RU"/>
        </w:rPr>
        <w:t xml:space="preserve"> Общества</w:t>
      </w:r>
      <w:r w:rsidRPr="004761E0">
        <w:rPr>
          <w:sz w:val="26"/>
          <w:szCs w:val="26"/>
          <w:lang w:eastAsia="ru-RU"/>
        </w:rPr>
        <w:t xml:space="preserve"> в разделе «Акционерам и инвесторам/Рейтинги корпоративного управления».</w:t>
      </w:r>
    </w:p>
    <w:p w:rsidR="00136A10" w:rsidRPr="009F6B03" w:rsidRDefault="009F6B03" w:rsidP="009F6B03">
      <w:pPr>
        <w:spacing w:before="120" w:after="120"/>
        <w:ind w:firstLine="567"/>
        <w:rPr>
          <w:b/>
          <w:sz w:val="26"/>
          <w:szCs w:val="26"/>
        </w:rPr>
      </w:pPr>
      <w:bookmarkStart w:id="95" w:name="_Toc380576934"/>
      <w:r w:rsidRPr="009F6B03">
        <w:rPr>
          <w:b/>
          <w:sz w:val="26"/>
          <w:szCs w:val="26"/>
        </w:rPr>
        <w:t>Структура о</w:t>
      </w:r>
      <w:r w:rsidR="00E34ACB" w:rsidRPr="009F6B03">
        <w:rPr>
          <w:b/>
          <w:sz w:val="26"/>
          <w:szCs w:val="26"/>
        </w:rPr>
        <w:t>рган</w:t>
      </w:r>
      <w:r w:rsidRPr="009F6B03">
        <w:rPr>
          <w:b/>
          <w:sz w:val="26"/>
          <w:szCs w:val="26"/>
        </w:rPr>
        <w:t>ов</w:t>
      </w:r>
      <w:r w:rsidR="00E34ACB" w:rsidRPr="009F6B03">
        <w:rPr>
          <w:b/>
          <w:sz w:val="26"/>
          <w:szCs w:val="26"/>
        </w:rPr>
        <w:t xml:space="preserve"> управления и контроля</w:t>
      </w:r>
      <w:bookmarkEnd w:id="95"/>
    </w:p>
    <w:p w:rsidR="00F80C74" w:rsidRPr="004761E0" w:rsidRDefault="00AD75E4" w:rsidP="00457012">
      <w:pPr>
        <w:ind w:firstLine="0"/>
      </w:pPr>
      <w:r w:rsidRPr="004761E0">
        <w:object w:dxaOrig="19959" w:dyaOrig="13540">
          <v:shape id="_x0000_i1026" type="#_x0000_t75" style="width:432.75pt;height:294.75pt" o:ole="">
            <v:imagedata r:id="rId149" o:title=""/>
          </v:shape>
          <o:OLEObject Type="Embed" ProgID="Visio.Drawing.11" ShapeID="_x0000_i1026" DrawAspect="Content" ObjectID="_1462710006" r:id="rId150"/>
        </w:object>
      </w:r>
    </w:p>
    <w:p w:rsidR="00AD75E4" w:rsidRPr="004761E0" w:rsidRDefault="00AD75E4" w:rsidP="008E3C2C">
      <w:pPr>
        <w:spacing w:before="120" w:after="120"/>
        <w:ind w:firstLine="567"/>
        <w:rPr>
          <w:b/>
          <w:sz w:val="26"/>
          <w:szCs w:val="26"/>
        </w:rPr>
      </w:pPr>
      <w:r w:rsidRPr="004761E0">
        <w:rPr>
          <w:b/>
          <w:sz w:val="26"/>
          <w:szCs w:val="26"/>
        </w:rPr>
        <w:t xml:space="preserve">Внутренние документы, регулирующие деятельность органов </w:t>
      </w:r>
      <w:r w:rsidR="009F6B03">
        <w:rPr>
          <w:b/>
          <w:sz w:val="26"/>
          <w:szCs w:val="26"/>
        </w:rPr>
        <w:t xml:space="preserve">управления и контроля </w:t>
      </w:r>
      <w:r w:rsidRPr="004761E0">
        <w:rPr>
          <w:b/>
          <w:sz w:val="26"/>
          <w:szCs w:val="26"/>
        </w:rPr>
        <w:t>Общества</w:t>
      </w:r>
    </w:p>
    <w:tbl>
      <w:tblPr>
        <w:tblStyle w:val="ae"/>
        <w:tblW w:w="0" w:type="auto"/>
        <w:tblLook w:val="04A0"/>
      </w:tblPr>
      <w:tblGrid>
        <w:gridCol w:w="656"/>
        <w:gridCol w:w="3563"/>
        <w:gridCol w:w="1843"/>
        <w:gridCol w:w="1417"/>
        <w:gridCol w:w="1205"/>
        <w:gridCol w:w="1454"/>
      </w:tblGrid>
      <w:tr w:rsidR="00AD75E4" w:rsidRPr="004761E0" w:rsidTr="00AD75E4">
        <w:tc>
          <w:tcPr>
            <w:tcW w:w="656" w:type="dxa"/>
            <w:tcBorders>
              <w:right w:val="single" w:sz="4" w:space="0" w:color="FFFFFF" w:themeColor="background1"/>
            </w:tcBorders>
            <w:shd w:val="clear" w:color="auto" w:fill="0F243E" w:themeFill="text2" w:themeFillShade="80"/>
            <w:vAlign w:val="center"/>
          </w:tcPr>
          <w:p w:rsidR="00AD75E4" w:rsidRPr="004761E0" w:rsidRDefault="00AD75E4" w:rsidP="00AD75E4">
            <w:pPr>
              <w:ind w:firstLine="0"/>
              <w:jc w:val="left"/>
              <w:rPr>
                <w:b/>
                <w:sz w:val="20"/>
                <w:szCs w:val="20"/>
                <w:lang w:eastAsia="ru-RU"/>
              </w:rPr>
            </w:pPr>
            <w:r w:rsidRPr="004761E0">
              <w:rPr>
                <w:b/>
                <w:sz w:val="20"/>
                <w:szCs w:val="20"/>
                <w:lang w:eastAsia="ru-RU"/>
              </w:rPr>
              <w:t>№ п/п</w:t>
            </w:r>
          </w:p>
        </w:tc>
        <w:tc>
          <w:tcPr>
            <w:tcW w:w="3563" w:type="dxa"/>
            <w:tcBorders>
              <w:left w:val="single" w:sz="4" w:space="0" w:color="FFFFFF" w:themeColor="background1"/>
              <w:right w:val="single" w:sz="4" w:space="0" w:color="FFFFFF" w:themeColor="background1"/>
            </w:tcBorders>
            <w:shd w:val="clear" w:color="auto" w:fill="0F243E" w:themeFill="text2" w:themeFillShade="80"/>
            <w:vAlign w:val="center"/>
          </w:tcPr>
          <w:p w:rsidR="00AD75E4" w:rsidRPr="004761E0" w:rsidRDefault="00AD75E4" w:rsidP="00AD75E4">
            <w:pPr>
              <w:ind w:firstLine="0"/>
              <w:jc w:val="left"/>
              <w:rPr>
                <w:b/>
                <w:sz w:val="20"/>
                <w:szCs w:val="20"/>
                <w:lang w:eastAsia="ru-RU"/>
              </w:rPr>
            </w:pPr>
            <w:r w:rsidRPr="004761E0">
              <w:rPr>
                <w:b/>
                <w:sz w:val="20"/>
                <w:szCs w:val="20"/>
                <w:lang w:eastAsia="ru-RU"/>
              </w:rPr>
              <w:t>Наименование документа</w:t>
            </w:r>
          </w:p>
        </w:tc>
        <w:tc>
          <w:tcPr>
            <w:tcW w:w="1843" w:type="dxa"/>
            <w:tcBorders>
              <w:left w:val="single" w:sz="4" w:space="0" w:color="FFFFFF" w:themeColor="background1"/>
              <w:right w:val="single" w:sz="4" w:space="0" w:color="FFFFFF" w:themeColor="background1"/>
            </w:tcBorders>
            <w:shd w:val="clear" w:color="auto" w:fill="0F243E" w:themeFill="text2" w:themeFillShade="80"/>
            <w:vAlign w:val="center"/>
          </w:tcPr>
          <w:p w:rsidR="00AD75E4" w:rsidRPr="004761E0" w:rsidRDefault="00AD75E4" w:rsidP="00AD75E4">
            <w:pPr>
              <w:ind w:firstLine="0"/>
              <w:jc w:val="left"/>
              <w:rPr>
                <w:b/>
                <w:sz w:val="20"/>
                <w:szCs w:val="20"/>
                <w:lang w:eastAsia="ru-RU"/>
              </w:rPr>
            </w:pPr>
            <w:r w:rsidRPr="004761E0">
              <w:rPr>
                <w:b/>
                <w:sz w:val="20"/>
                <w:szCs w:val="20"/>
                <w:lang w:eastAsia="ru-RU"/>
              </w:rPr>
              <w:t>Орган, утвердивший документ</w:t>
            </w:r>
          </w:p>
        </w:tc>
        <w:tc>
          <w:tcPr>
            <w:tcW w:w="1417" w:type="dxa"/>
            <w:tcBorders>
              <w:left w:val="single" w:sz="4" w:space="0" w:color="FFFFFF" w:themeColor="background1"/>
              <w:right w:val="single" w:sz="4" w:space="0" w:color="FFFFFF" w:themeColor="background1"/>
            </w:tcBorders>
            <w:shd w:val="clear" w:color="auto" w:fill="0F243E" w:themeFill="text2" w:themeFillShade="80"/>
            <w:vAlign w:val="center"/>
          </w:tcPr>
          <w:p w:rsidR="00AD75E4" w:rsidRPr="004761E0" w:rsidRDefault="00AD75E4" w:rsidP="00AD75E4">
            <w:pPr>
              <w:ind w:firstLine="0"/>
              <w:jc w:val="left"/>
              <w:rPr>
                <w:b/>
                <w:sz w:val="20"/>
                <w:szCs w:val="20"/>
                <w:lang w:eastAsia="ru-RU"/>
              </w:rPr>
            </w:pPr>
            <w:r w:rsidRPr="004761E0">
              <w:rPr>
                <w:b/>
                <w:sz w:val="20"/>
                <w:szCs w:val="20"/>
                <w:lang w:eastAsia="ru-RU"/>
              </w:rPr>
              <w:t>Дата заседания</w:t>
            </w:r>
          </w:p>
        </w:tc>
        <w:tc>
          <w:tcPr>
            <w:tcW w:w="1205" w:type="dxa"/>
            <w:tcBorders>
              <w:left w:val="single" w:sz="4" w:space="0" w:color="FFFFFF" w:themeColor="background1"/>
              <w:right w:val="single" w:sz="4" w:space="0" w:color="FFFFFF" w:themeColor="background1"/>
            </w:tcBorders>
            <w:shd w:val="clear" w:color="auto" w:fill="0F243E" w:themeFill="text2" w:themeFillShade="80"/>
            <w:vAlign w:val="center"/>
          </w:tcPr>
          <w:p w:rsidR="00AD75E4" w:rsidRPr="004761E0" w:rsidRDefault="00AD75E4" w:rsidP="00AD75E4">
            <w:pPr>
              <w:ind w:firstLine="0"/>
              <w:jc w:val="left"/>
              <w:rPr>
                <w:b/>
                <w:sz w:val="20"/>
                <w:szCs w:val="20"/>
                <w:lang w:eastAsia="ru-RU"/>
              </w:rPr>
            </w:pPr>
            <w:r w:rsidRPr="004761E0">
              <w:rPr>
                <w:b/>
                <w:sz w:val="20"/>
                <w:szCs w:val="20"/>
                <w:lang w:eastAsia="ru-RU"/>
              </w:rPr>
              <w:t>№ протокола</w:t>
            </w:r>
          </w:p>
        </w:tc>
        <w:tc>
          <w:tcPr>
            <w:tcW w:w="1454" w:type="dxa"/>
            <w:tcBorders>
              <w:left w:val="single" w:sz="4" w:space="0" w:color="FFFFFF" w:themeColor="background1"/>
            </w:tcBorders>
            <w:shd w:val="clear" w:color="auto" w:fill="0F243E" w:themeFill="text2" w:themeFillShade="80"/>
            <w:vAlign w:val="center"/>
          </w:tcPr>
          <w:p w:rsidR="00AD75E4" w:rsidRPr="004761E0" w:rsidRDefault="00AD75E4" w:rsidP="00AD75E4">
            <w:pPr>
              <w:ind w:firstLine="0"/>
              <w:jc w:val="left"/>
              <w:rPr>
                <w:b/>
                <w:sz w:val="20"/>
                <w:szCs w:val="20"/>
                <w:lang w:eastAsia="ru-RU"/>
              </w:rPr>
            </w:pPr>
            <w:r w:rsidRPr="004761E0">
              <w:rPr>
                <w:b/>
                <w:sz w:val="20"/>
                <w:szCs w:val="20"/>
                <w:lang w:eastAsia="ru-RU"/>
              </w:rPr>
              <w:t>Дата протокола</w:t>
            </w:r>
          </w:p>
        </w:tc>
      </w:tr>
      <w:tr w:rsidR="00AD75E4" w:rsidRPr="004761E0" w:rsidTr="00AD75E4">
        <w:tc>
          <w:tcPr>
            <w:tcW w:w="656" w:type="dxa"/>
          </w:tcPr>
          <w:p w:rsidR="00AD75E4" w:rsidRPr="004761E0" w:rsidRDefault="00AD75E4" w:rsidP="007076A7">
            <w:pPr>
              <w:pStyle w:val="a5"/>
              <w:numPr>
                <w:ilvl w:val="0"/>
                <w:numId w:val="249"/>
              </w:numPr>
              <w:contextualSpacing w:val="0"/>
              <w:rPr>
                <w:sz w:val="20"/>
                <w:szCs w:val="20"/>
                <w:lang w:eastAsia="ru-RU"/>
              </w:rPr>
            </w:pPr>
          </w:p>
        </w:tc>
        <w:tc>
          <w:tcPr>
            <w:tcW w:w="3563" w:type="dxa"/>
          </w:tcPr>
          <w:p w:rsidR="00AD75E4" w:rsidRPr="004761E0" w:rsidRDefault="00AD75E4" w:rsidP="00AD75E4">
            <w:pPr>
              <w:ind w:firstLine="0"/>
              <w:jc w:val="left"/>
              <w:rPr>
                <w:b/>
                <w:sz w:val="20"/>
                <w:szCs w:val="20"/>
                <w:lang w:eastAsia="ru-RU"/>
              </w:rPr>
            </w:pPr>
            <w:r w:rsidRPr="004761E0">
              <w:rPr>
                <w:rFonts w:eastAsia="Times New Roman"/>
                <w:sz w:val="20"/>
                <w:szCs w:val="20"/>
                <w:lang w:eastAsia="ru-RU"/>
              </w:rPr>
              <w:t>Положение о порядке подготовки и проведения Общего собрания акционеров</w:t>
            </w:r>
          </w:p>
        </w:tc>
        <w:tc>
          <w:tcPr>
            <w:tcW w:w="1843" w:type="dxa"/>
          </w:tcPr>
          <w:p w:rsidR="00AD75E4" w:rsidRPr="004761E0" w:rsidRDefault="00AD75E4" w:rsidP="00AD75E4">
            <w:pPr>
              <w:ind w:firstLine="0"/>
              <w:jc w:val="left"/>
              <w:rPr>
                <w:sz w:val="20"/>
                <w:szCs w:val="20"/>
                <w:lang w:eastAsia="ru-RU"/>
              </w:rPr>
            </w:pPr>
            <w:r w:rsidRPr="004761E0">
              <w:rPr>
                <w:sz w:val="20"/>
                <w:szCs w:val="20"/>
                <w:lang w:eastAsia="ru-RU"/>
              </w:rPr>
              <w:t>Общее собрание акционеров</w:t>
            </w:r>
          </w:p>
        </w:tc>
        <w:tc>
          <w:tcPr>
            <w:tcW w:w="1417" w:type="dxa"/>
          </w:tcPr>
          <w:p w:rsidR="00AD75E4" w:rsidRPr="004761E0" w:rsidRDefault="00AD75E4" w:rsidP="00AD75E4">
            <w:pPr>
              <w:ind w:firstLine="0"/>
              <w:jc w:val="left"/>
              <w:rPr>
                <w:sz w:val="20"/>
                <w:szCs w:val="20"/>
                <w:lang w:eastAsia="ru-RU"/>
              </w:rPr>
            </w:pPr>
            <w:r w:rsidRPr="004761E0">
              <w:rPr>
                <w:rFonts w:eastAsia="Times New Roman"/>
                <w:sz w:val="20"/>
                <w:szCs w:val="20"/>
                <w:lang w:eastAsia="ru-RU"/>
              </w:rPr>
              <w:t>20.06.2011</w:t>
            </w:r>
          </w:p>
        </w:tc>
        <w:tc>
          <w:tcPr>
            <w:tcW w:w="1205" w:type="dxa"/>
          </w:tcPr>
          <w:p w:rsidR="00AD75E4" w:rsidRPr="004761E0" w:rsidRDefault="00AD75E4" w:rsidP="00AD75E4">
            <w:pPr>
              <w:ind w:firstLine="0"/>
              <w:jc w:val="right"/>
              <w:rPr>
                <w:sz w:val="20"/>
                <w:szCs w:val="20"/>
                <w:lang w:eastAsia="ru-RU"/>
              </w:rPr>
            </w:pPr>
            <w:r w:rsidRPr="004761E0">
              <w:rPr>
                <w:sz w:val="20"/>
                <w:szCs w:val="20"/>
                <w:lang w:eastAsia="ru-RU"/>
              </w:rPr>
              <w:t>10</w:t>
            </w:r>
          </w:p>
        </w:tc>
        <w:tc>
          <w:tcPr>
            <w:tcW w:w="1454" w:type="dxa"/>
          </w:tcPr>
          <w:p w:rsidR="00AD75E4" w:rsidRPr="004761E0" w:rsidRDefault="00AD75E4" w:rsidP="00AD75E4">
            <w:pPr>
              <w:ind w:firstLine="0"/>
              <w:jc w:val="right"/>
              <w:rPr>
                <w:sz w:val="20"/>
                <w:szCs w:val="20"/>
                <w:lang w:eastAsia="ru-RU"/>
              </w:rPr>
            </w:pPr>
            <w:r w:rsidRPr="004761E0">
              <w:rPr>
                <w:sz w:val="20"/>
                <w:szCs w:val="20"/>
                <w:lang w:eastAsia="ru-RU"/>
              </w:rPr>
              <w:t>23.06.2011</w:t>
            </w:r>
          </w:p>
        </w:tc>
      </w:tr>
      <w:tr w:rsidR="00AD75E4" w:rsidRPr="004761E0" w:rsidTr="00AD75E4">
        <w:tc>
          <w:tcPr>
            <w:tcW w:w="656" w:type="dxa"/>
          </w:tcPr>
          <w:p w:rsidR="00AD75E4" w:rsidRPr="004761E0" w:rsidRDefault="00AD75E4" w:rsidP="007076A7">
            <w:pPr>
              <w:pStyle w:val="a5"/>
              <w:numPr>
                <w:ilvl w:val="0"/>
                <w:numId w:val="249"/>
              </w:numPr>
              <w:contextualSpacing w:val="0"/>
              <w:rPr>
                <w:sz w:val="20"/>
                <w:szCs w:val="20"/>
                <w:lang w:eastAsia="ru-RU"/>
              </w:rPr>
            </w:pPr>
          </w:p>
        </w:tc>
        <w:tc>
          <w:tcPr>
            <w:tcW w:w="3563" w:type="dxa"/>
          </w:tcPr>
          <w:p w:rsidR="00AD75E4" w:rsidRPr="004761E0" w:rsidRDefault="00AD75E4" w:rsidP="00AD75E4">
            <w:pPr>
              <w:ind w:firstLine="0"/>
              <w:jc w:val="left"/>
              <w:rPr>
                <w:b/>
                <w:sz w:val="20"/>
                <w:szCs w:val="20"/>
                <w:lang w:eastAsia="ru-RU"/>
              </w:rPr>
            </w:pPr>
            <w:r w:rsidRPr="004761E0">
              <w:rPr>
                <w:rFonts w:eastAsia="Times New Roman"/>
                <w:sz w:val="20"/>
                <w:szCs w:val="20"/>
                <w:lang w:eastAsia="ru-RU"/>
              </w:rPr>
              <w:t>Положение о порядке созыва и проведения заседаний Совета директоров</w:t>
            </w:r>
          </w:p>
        </w:tc>
        <w:tc>
          <w:tcPr>
            <w:tcW w:w="1843" w:type="dxa"/>
          </w:tcPr>
          <w:p w:rsidR="00AD75E4" w:rsidRPr="004761E0" w:rsidRDefault="00AD75E4" w:rsidP="00AD75E4">
            <w:pPr>
              <w:ind w:firstLine="0"/>
              <w:jc w:val="left"/>
              <w:rPr>
                <w:sz w:val="20"/>
                <w:szCs w:val="20"/>
                <w:lang w:eastAsia="ru-RU"/>
              </w:rPr>
            </w:pPr>
            <w:r w:rsidRPr="004761E0">
              <w:rPr>
                <w:sz w:val="20"/>
                <w:szCs w:val="20"/>
                <w:lang w:eastAsia="ru-RU"/>
              </w:rPr>
              <w:t>Общее собрание акционеров</w:t>
            </w:r>
          </w:p>
        </w:tc>
        <w:tc>
          <w:tcPr>
            <w:tcW w:w="1417" w:type="dxa"/>
          </w:tcPr>
          <w:p w:rsidR="00AD75E4" w:rsidRPr="004761E0" w:rsidRDefault="00AD75E4" w:rsidP="00AD75E4">
            <w:pPr>
              <w:ind w:firstLine="0"/>
              <w:jc w:val="left"/>
              <w:rPr>
                <w:sz w:val="20"/>
                <w:szCs w:val="20"/>
                <w:lang w:eastAsia="ru-RU"/>
              </w:rPr>
            </w:pPr>
            <w:r w:rsidRPr="004761E0">
              <w:rPr>
                <w:sz w:val="20"/>
                <w:szCs w:val="20"/>
                <w:lang w:eastAsia="ru-RU"/>
              </w:rPr>
              <w:t>25.06.2012</w:t>
            </w:r>
          </w:p>
        </w:tc>
        <w:tc>
          <w:tcPr>
            <w:tcW w:w="1205" w:type="dxa"/>
          </w:tcPr>
          <w:p w:rsidR="00AD75E4" w:rsidRPr="004761E0" w:rsidRDefault="00AD75E4" w:rsidP="00AD75E4">
            <w:pPr>
              <w:ind w:firstLine="0"/>
              <w:jc w:val="right"/>
              <w:rPr>
                <w:sz w:val="20"/>
                <w:szCs w:val="20"/>
                <w:lang w:eastAsia="ru-RU"/>
              </w:rPr>
            </w:pPr>
            <w:r w:rsidRPr="004761E0">
              <w:rPr>
                <w:sz w:val="20"/>
                <w:szCs w:val="20"/>
                <w:lang w:eastAsia="ru-RU"/>
              </w:rPr>
              <w:t>12</w:t>
            </w:r>
          </w:p>
        </w:tc>
        <w:tc>
          <w:tcPr>
            <w:tcW w:w="1454" w:type="dxa"/>
          </w:tcPr>
          <w:p w:rsidR="00AD75E4" w:rsidRPr="004761E0" w:rsidRDefault="00AD75E4" w:rsidP="00AD75E4">
            <w:pPr>
              <w:ind w:firstLine="0"/>
              <w:jc w:val="right"/>
              <w:rPr>
                <w:sz w:val="20"/>
                <w:szCs w:val="20"/>
                <w:lang w:eastAsia="ru-RU"/>
              </w:rPr>
            </w:pPr>
            <w:r w:rsidRPr="004761E0">
              <w:rPr>
                <w:sz w:val="20"/>
                <w:szCs w:val="20"/>
                <w:lang w:eastAsia="ru-RU"/>
              </w:rPr>
              <w:t>28.06.2012</w:t>
            </w:r>
          </w:p>
        </w:tc>
      </w:tr>
      <w:tr w:rsidR="00AD75E4" w:rsidRPr="004761E0" w:rsidTr="00AD75E4">
        <w:tc>
          <w:tcPr>
            <w:tcW w:w="656" w:type="dxa"/>
          </w:tcPr>
          <w:p w:rsidR="00AD75E4" w:rsidRPr="004761E0" w:rsidRDefault="00AD75E4" w:rsidP="007076A7">
            <w:pPr>
              <w:pStyle w:val="a5"/>
              <w:numPr>
                <w:ilvl w:val="0"/>
                <w:numId w:val="249"/>
              </w:numPr>
              <w:contextualSpacing w:val="0"/>
              <w:rPr>
                <w:sz w:val="20"/>
                <w:szCs w:val="20"/>
                <w:lang w:eastAsia="ru-RU"/>
              </w:rPr>
            </w:pPr>
          </w:p>
        </w:tc>
        <w:tc>
          <w:tcPr>
            <w:tcW w:w="3563" w:type="dxa"/>
          </w:tcPr>
          <w:p w:rsidR="00AD75E4" w:rsidRPr="004761E0" w:rsidRDefault="00AD75E4" w:rsidP="00AD75E4">
            <w:pPr>
              <w:ind w:firstLine="0"/>
              <w:jc w:val="left"/>
              <w:rPr>
                <w:b/>
                <w:sz w:val="20"/>
                <w:szCs w:val="20"/>
                <w:lang w:eastAsia="ru-RU"/>
              </w:rPr>
            </w:pPr>
            <w:r w:rsidRPr="004761E0">
              <w:rPr>
                <w:rFonts w:eastAsia="Times New Roman"/>
                <w:sz w:val="20"/>
                <w:szCs w:val="20"/>
                <w:lang w:eastAsia="ru-RU"/>
              </w:rPr>
              <w:t>Положение о Правлении</w:t>
            </w:r>
          </w:p>
        </w:tc>
        <w:tc>
          <w:tcPr>
            <w:tcW w:w="1843" w:type="dxa"/>
          </w:tcPr>
          <w:p w:rsidR="00AD75E4" w:rsidRPr="004761E0" w:rsidRDefault="00AD75E4" w:rsidP="00AD75E4">
            <w:pPr>
              <w:ind w:firstLine="0"/>
              <w:jc w:val="left"/>
              <w:rPr>
                <w:sz w:val="20"/>
                <w:szCs w:val="20"/>
                <w:lang w:eastAsia="ru-RU"/>
              </w:rPr>
            </w:pPr>
            <w:r w:rsidRPr="004761E0">
              <w:rPr>
                <w:sz w:val="20"/>
                <w:szCs w:val="20"/>
                <w:lang w:eastAsia="ru-RU"/>
              </w:rPr>
              <w:t>Общее собрание акционеров</w:t>
            </w:r>
          </w:p>
        </w:tc>
        <w:tc>
          <w:tcPr>
            <w:tcW w:w="1417" w:type="dxa"/>
          </w:tcPr>
          <w:p w:rsidR="00AD75E4" w:rsidRPr="004761E0" w:rsidRDefault="00AD75E4" w:rsidP="00AD75E4">
            <w:pPr>
              <w:ind w:firstLine="0"/>
              <w:jc w:val="left"/>
              <w:rPr>
                <w:sz w:val="20"/>
                <w:szCs w:val="20"/>
                <w:lang w:eastAsia="ru-RU"/>
              </w:rPr>
            </w:pPr>
            <w:r w:rsidRPr="004761E0">
              <w:rPr>
                <w:sz w:val="20"/>
                <w:szCs w:val="20"/>
                <w:lang w:eastAsia="ru-RU"/>
              </w:rPr>
              <w:t>20.06.2011</w:t>
            </w:r>
          </w:p>
        </w:tc>
        <w:tc>
          <w:tcPr>
            <w:tcW w:w="1205" w:type="dxa"/>
          </w:tcPr>
          <w:p w:rsidR="00AD75E4" w:rsidRPr="004761E0" w:rsidRDefault="00AD75E4" w:rsidP="00AD75E4">
            <w:pPr>
              <w:ind w:firstLine="0"/>
              <w:jc w:val="right"/>
              <w:rPr>
                <w:sz w:val="20"/>
                <w:szCs w:val="20"/>
                <w:lang w:eastAsia="ru-RU"/>
              </w:rPr>
            </w:pPr>
            <w:r w:rsidRPr="004761E0">
              <w:rPr>
                <w:sz w:val="20"/>
                <w:szCs w:val="20"/>
                <w:lang w:eastAsia="ru-RU"/>
              </w:rPr>
              <w:t>10</w:t>
            </w:r>
          </w:p>
        </w:tc>
        <w:tc>
          <w:tcPr>
            <w:tcW w:w="1454" w:type="dxa"/>
          </w:tcPr>
          <w:p w:rsidR="00AD75E4" w:rsidRPr="004761E0" w:rsidRDefault="00AD75E4" w:rsidP="00AD75E4">
            <w:pPr>
              <w:ind w:firstLine="0"/>
              <w:jc w:val="right"/>
              <w:rPr>
                <w:sz w:val="20"/>
                <w:szCs w:val="20"/>
                <w:lang w:eastAsia="ru-RU"/>
              </w:rPr>
            </w:pPr>
            <w:r w:rsidRPr="004761E0">
              <w:rPr>
                <w:sz w:val="20"/>
                <w:szCs w:val="20"/>
                <w:lang w:eastAsia="ru-RU"/>
              </w:rPr>
              <w:t>23.06.2011</w:t>
            </w:r>
          </w:p>
        </w:tc>
      </w:tr>
      <w:tr w:rsidR="00AD75E4" w:rsidRPr="004761E0" w:rsidTr="00AD75E4">
        <w:tc>
          <w:tcPr>
            <w:tcW w:w="656" w:type="dxa"/>
          </w:tcPr>
          <w:p w:rsidR="00AD75E4" w:rsidRPr="004761E0" w:rsidRDefault="00AD75E4" w:rsidP="007076A7">
            <w:pPr>
              <w:pStyle w:val="a5"/>
              <w:numPr>
                <w:ilvl w:val="0"/>
                <w:numId w:val="249"/>
              </w:numPr>
              <w:contextualSpacing w:val="0"/>
              <w:rPr>
                <w:sz w:val="20"/>
                <w:szCs w:val="20"/>
                <w:lang w:eastAsia="ru-RU"/>
              </w:rPr>
            </w:pPr>
          </w:p>
        </w:tc>
        <w:tc>
          <w:tcPr>
            <w:tcW w:w="3563" w:type="dxa"/>
          </w:tcPr>
          <w:p w:rsidR="00AD75E4" w:rsidRPr="004761E0" w:rsidRDefault="00AD75E4" w:rsidP="00AD75E4">
            <w:pPr>
              <w:ind w:firstLine="0"/>
              <w:jc w:val="left"/>
              <w:rPr>
                <w:b/>
                <w:sz w:val="20"/>
                <w:szCs w:val="20"/>
                <w:lang w:eastAsia="ru-RU"/>
              </w:rPr>
            </w:pPr>
            <w:r w:rsidRPr="004761E0">
              <w:rPr>
                <w:rFonts w:eastAsia="Times New Roman"/>
                <w:sz w:val="20"/>
                <w:szCs w:val="20"/>
                <w:lang w:eastAsia="ru-RU"/>
              </w:rPr>
              <w:t>Положение о Ревизионной комиссии</w:t>
            </w:r>
          </w:p>
        </w:tc>
        <w:tc>
          <w:tcPr>
            <w:tcW w:w="1843" w:type="dxa"/>
          </w:tcPr>
          <w:p w:rsidR="00AD75E4" w:rsidRPr="004761E0" w:rsidRDefault="00AD75E4" w:rsidP="00AD75E4">
            <w:pPr>
              <w:ind w:firstLine="0"/>
              <w:jc w:val="left"/>
              <w:rPr>
                <w:sz w:val="20"/>
                <w:szCs w:val="20"/>
                <w:lang w:eastAsia="ru-RU"/>
              </w:rPr>
            </w:pPr>
            <w:r w:rsidRPr="004761E0">
              <w:rPr>
                <w:sz w:val="20"/>
                <w:szCs w:val="20"/>
                <w:lang w:eastAsia="ru-RU"/>
              </w:rPr>
              <w:t>Общее собрание акционеров</w:t>
            </w:r>
          </w:p>
        </w:tc>
        <w:tc>
          <w:tcPr>
            <w:tcW w:w="1417" w:type="dxa"/>
          </w:tcPr>
          <w:p w:rsidR="00AD75E4" w:rsidRPr="004761E0" w:rsidRDefault="00AD75E4" w:rsidP="00AD75E4">
            <w:pPr>
              <w:ind w:firstLine="0"/>
              <w:jc w:val="left"/>
              <w:rPr>
                <w:sz w:val="20"/>
                <w:szCs w:val="20"/>
                <w:lang w:eastAsia="ru-RU"/>
              </w:rPr>
            </w:pPr>
            <w:r w:rsidRPr="004761E0">
              <w:rPr>
                <w:sz w:val="20"/>
                <w:szCs w:val="20"/>
                <w:lang w:eastAsia="ru-RU"/>
              </w:rPr>
              <w:t>28.03.2006</w:t>
            </w:r>
          </w:p>
        </w:tc>
        <w:tc>
          <w:tcPr>
            <w:tcW w:w="1205" w:type="dxa"/>
          </w:tcPr>
          <w:p w:rsidR="00AD75E4" w:rsidRPr="004761E0" w:rsidRDefault="00AD75E4" w:rsidP="00AD75E4">
            <w:pPr>
              <w:ind w:firstLine="0"/>
              <w:jc w:val="right"/>
              <w:rPr>
                <w:sz w:val="20"/>
                <w:szCs w:val="20"/>
                <w:lang w:eastAsia="ru-RU"/>
              </w:rPr>
            </w:pPr>
            <w:r w:rsidRPr="004761E0">
              <w:rPr>
                <w:sz w:val="20"/>
                <w:szCs w:val="20"/>
                <w:lang w:eastAsia="ru-RU"/>
              </w:rPr>
              <w:t>2</w:t>
            </w:r>
          </w:p>
        </w:tc>
        <w:tc>
          <w:tcPr>
            <w:tcW w:w="1454" w:type="dxa"/>
          </w:tcPr>
          <w:p w:rsidR="00AD75E4" w:rsidRPr="004761E0" w:rsidRDefault="00AD75E4" w:rsidP="00AD75E4">
            <w:pPr>
              <w:ind w:firstLine="0"/>
              <w:jc w:val="right"/>
              <w:rPr>
                <w:sz w:val="20"/>
                <w:szCs w:val="20"/>
                <w:lang w:eastAsia="ru-RU"/>
              </w:rPr>
            </w:pPr>
            <w:r w:rsidRPr="004761E0">
              <w:rPr>
                <w:sz w:val="20"/>
                <w:szCs w:val="20"/>
                <w:lang w:eastAsia="ru-RU"/>
              </w:rPr>
              <w:t>12.04.2006</w:t>
            </w:r>
          </w:p>
        </w:tc>
      </w:tr>
    </w:tbl>
    <w:p w:rsidR="00AD75E4" w:rsidRDefault="00AD75E4" w:rsidP="00AD75E4">
      <w:pPr>
        <w:spacing w:before="120" w:after="120"/>
        <w:rPr>
          <w:sz w:val="26"/>
          <w:szCs w:val="26"/>
          <w:lang w:eastAsia="ru-RU"/>
        </w:rPr>
      </w:pPr>
      <w:r w:rsidRPr="004761E0">
        <w:rPr>
          <w:sz w:val="26"/>
          <w:szCs w:val="26"/>
          <w:lang w:eastAsia="ru-RU"/>
        </w:rPr>
        <w:t xml:space="preserve">Данные документы размещены на корпоративном сайте </w:t>
      </w:r>
      <w:r w:rsidR="009E567A">
        <w:rPr>
          <w:sz w:val="26"/>
          <w:szCs w:val="26"/>
          <w:lang w:eastAsia="ru-RU"/>
        </w:rPr>
        <w:t>Общества</w:t>
      </w:r>
      <w:r w:rsidRPr="004761E0">
        <w:rPr>
          <w:sz w:val="26"/>
          <w:szCs w:val="26"/>
          <w:lang w:eastAsia="ru-RU"/>
        </w:rPr>
        <w:t xml:space="preserve"> в разделе «Акционерам и инвесторам/Устав и внутренние документы».</w:t>
      </w:r>
    </w:p>
    <w:p w:rsidR="00605A52" w:rsidRPr="004761E0" w:rsidRDefault="00605A52" w:rsidP="00605A52">
      <w:pPr>
        <w:spacing w:before="120" w:after="120"/>
        <w:ind w:firstLine="567"/>
        <w:rPr>
          <w:b/>
          <w:sz w:val="26"/>
          <w:szCs w:val="26"/>
        </w:rPr>
      </w:pPr>
      <w:r w:rsidRPr="004761E0">
        <w:rPr>
          <w:b/>
          <w:sz w:val="26"/>
          <w:szCs w:val="26"/>
        </w:rPr>
        <w:t xml:space="preserve">Согласие на обработку персональных данных </w:t>
      </w:r>
    </w:p>
    <w:p w:rsidR="00605A52" w:rsidRPr="004761E0" w:rsidRDefault="00605A52" w:rsidP="00605A52">
      <w:pPr>
        <w:ind w:firstLine="567"/>
        <w:rPr>
          <w:sz w:val="26"/>
          <w:szCs w:val="26"/>
          <w:lang w:eastAsia="ru-RU"/>
        </w:rPr>
      </w:pPr>
      <w:r w:rsidRPr="004761E0">
        <w:rPr>
          <w:sz w:val="26"/>
          <w:szCs w:val="26"/>
          <w:lang w:eastAsia="ru-RU"/>
        </w:rPr>
        <w:t>При составлении Годового отчета от всех членов органов управления и контроля получено согласие на обработку персональных данных</w:t>
      </w:r>
      <w:r w:rsidRPr="006F4AB8">
        <w:rPr>
          <w:rStyle w:val="af1"/>
        </w:rPr>
        <w:footnoteReference w:id="90"/>
      </w:r>
      <w:r w:rsidRPr="004761E0">
        <w:rPr>
          <w:sz w:val="26"/>
          <w:szCs w:val="26"/>
          <w:lang w:eastAsia="ru-RU"/>
        </w:rPr>
        <w:t>.</w:t>
      </w:r>
    </w:p>
    <w:p w:rsidR="009F6B03" w:rsidRDefault="009F6B03">
      <w:pPr>
        <w:ind w:firstLine="0"/>
        <w:jc w:val="left"/>
        <w:rPr>
          <w:sz w:val="26"/>
          <w:szCs w:val="26"/>
          <w:lang w:eastAsia="ru-RU"/>
        </w:rPr>
      </w:pPr>
      <w:r>
        <w:rPr>
          <w:sz w:val="26"/>
          <w:szCs w:val="26"/>
          <w:lang w:eastAsia="ru-RU"/>
        </w:rPr>
        <w:br w:type="page"/>
      </w:r>
    </w:p>
    <w:p w:rsidR="009F6B03" w:rsidRPr="004761E0" w:rsidRDefault="009F6B03" w:rsidP="009F6B03">
      <w:pPr>
        <w:spacing w:before="120" w:after="120"/>
        <w:ind w:firstLine="0"/>
        <w:rPr>
          <w:rFonts w:ascii="Cambria" w:eastAsia="Times New Roman" w:hAnsi="Cambria"/>
          <w:sz w:val="26"/>
          <w:szCs w:val="26"/>
          <w:lang w:eastAsia="ru-RU"/>
        </w:rPr>
      </w:pPr>
    </w:p>
    <w:p w:rsidR="003E4866" w:rsidRPr="004761E0" w:rsidRDefault="003E4866" w:rsidP="007076A7">
      <w:pPr>
        <w:pStyle w:val="a8"/>
        <w:numPr>
          <w:ilvl w:val="1"/>
          <w:numId w:val="321"/>
        </w:numPr>
        <w:spacing w:before="120" w:after="120"/>
        <w:ind w:left="1134" w:hanging="567"/>
        <w:jc w:val="both"/>
        <w:rPr>
          <w:rFonts w:ascii="Times New Roman" w:hAnsi="Times New Roman"/>
          <w:b/>
          <w:sz w:val="26"/>
          <w:szCs w:val="26"/>
        </w:rPr>
      </w:pPr>
      <w:bookmarkStart w:id="96" w:name="_Toc385339826"/>
      <w:r w:rsidRPr="004761E0">
        <w:rPr>
          <w:rFonts w:ascii="Times New Roman" w:hAnsi="Times New Roman"/>
          <w:b/>
          <w:sz w:val="26"/>
          <w:szCs w:val="26"/>
        </w:rPr>
        <w:t>Общее собрание акционеров</w:t>
      </w:r>
      <w:bookmarkEnd w:id="96"/>
    </w:p>
    <w:p w:rsidR="00457012" w:rsidRPr="004761E0" w:rsidRDefault="00457012" w:rsidP="00457012">
      <w:pPr>
        <w:ind w:firstLine="567"/>
        <w:rPr>
          <w:sz w:val="26"/>
          <w:szCs w:val="26"/>
          <w:lang w:eastAsia="ru-RU"/>
        </w:rPr>
      </w:pPr>
      <w:r w:rsidRPr="004761E0">
        <w:rPr>
          <w:sz w:val="26"/>
          <w:szCs w:val="26"/>
          <w:lang w:eastAsia="ru-RU"/>
        </w:rPr>
        <w:t>Общее собрание акционеров является высшим органом управления Общества.</w:t>
      </w:r>
    </w:p>
    <w:p w:rsidR="00457012" w:rsidRPr="004761E0" w:rsidRDefault="00457012" w:rsidP="00457012">
      <w:pPr>
        <w:ind w:firstLine="567"/>
        <w:rPr>
          <w:sz w:val="26"/>
          <w:szCs w:val="26"/>
          <w:lang w:eastAsia="ru-RU"/>
        </w:rPr>
      </w:pPr>
      <w:r w:rsidRPr="004761E0">
        <w:rPr>
          <w:sz w:val="26"/>
          <w:szCs w:val="26"/>
          <w:lang w:eastAsia="ru-RU"/>
        </w:rPr>
        <w:t>В соответствии с Федеральным законом «Об акционерных обществах», Уставом и внутренними документами Общества основными вопросами, отнесенными к компетенции Общего собрания акционеров, являются:</w:t>
      </w:r>
    </w:p>
    <w:p w:rsidR="00457012" w:rsidRPr="004761E0" w:rsidRDefault="00457012" w:rsidP="007076A7">
      <w:pPr>
        <w:pStyle w:val="a5"/>
        <w:numPr>
          <w:ilvl w:val="0"/>
          <w:numId w:val="52"/>
        </w:numPr>
        <w:ind w:left="993" w:hanging="426"/>
        <w:rPr>
          <w:sz w:val="26"/>
          <w:szCs w:val="26"/>
          <w:lang w:eastAsia="ru-RU"/>
        </w:rPr>
      </w:pPr>
      <w:r w:rsidRPr="004761E0">
        <w:rPr>
          <w:sz w:val="26"/>
          <w:szCs w:val="26"/>
          <w:lang w:eastAsia="ru-RU"/>
        </w:rPr>
        <w:t>внесение изменений и дополнений в Устав или утверждение Устава в новой редакции;</w:t>
      </w:r>
    </w:p>
    <w:p w:rsidR="00457012" w:rsidRPr="004761E0" w:rsidRDefault="00457012" w:rsidP="007076A7">
      <w:pPr>
        <w:pStyle w:val="a5"/>
        <w:numPr>
          <w:ilvl w:val="0"/>
          <w:numId w:val="52"/>
        </w:numPr>
        <w:ind w:left="993" w:hanging="426"/>
        <w:rPr>
          <w:sz w:val="26"/>
          <w:szCs w:val="26"/>
          <w:lang w:eastAsia="ru-RU"/>
        </w:rPr>
      </w:pPr>
      <w:r w:rsidRPr="004761E0">
        <w:rPr>
          <w:sz w:val="26"/>
          <w:szCs w:val="26"/>
          <w:lang w:eastAsia="ru-RU"/>
        </w:rPr>
        <w:t>избрание членов Совета директоров и досрочное прекращение их полномочий;</w:t>
      </w:r>
    </w:p>
    <w:p w:rsidR="00457012" w:rsidRPr="004761E0" w:rsidRDefault="00457012" w:rsidP="007076A7">
      <w:pPr>
        <w:pStyle w:val="a5"/>
        <w:numPr>
          <w:ilvl w:val="0"/>
          <w:numId w:val="52"/>
        </w:numPr>
        <w:ind w:left="993" w:hanging="426"/>
        <w:rPr>
          <w:sz w:val="26"/>
          <w:szCs w:val="26"/>
          <w:lang w:eastAsia="ru-RU"/>
        </w:rPr>
      </w:pPr>
      <w:r w:rsidRPr="004761E0">
        <w:rPr>
          <w:sz w:val="26"/>
          <w:szCs w:val="26"/>
          <w:lang w:eastAsia="ru-RU"/>
        </w:rPr>
        <w:t>избрание членов Ревизионной комиссии и досрочное прекращение их полномочий;</w:t>
      </w:r>
    </w:p>
    <w:p w:rsidR="00457012" w:rsidRPr="004761E0" w:rsidRDefault="00457012" w:rsidP="007076A7">
      <w:pPr>
        <w:pStyle w:val="a5"/>
        <w:numPr>
          <w:ilvl w:val="0"/>
          <w:numId w:val="52"/>
        </w:numPr>
        <w:ind w:left="993" w:hanging="426"/>
        <w:rPr>
          <w:sz w:val="26"/>
          <w:szCs w:val="26"/>
          <w:lang w:eastAsia="ru-RU"/>
        </w:rPr>
      </w:pPr>
      <w:r w:rsidRPr="004761E0">
        <w:rPr>
          <w:sz w:val="26"/>
          <w:szCs w:val="26"/>
          <w:lang w:eastAsia="ru-RU"/>
        </w:rPr>
        <w:t>утверждение Аудитора;</w:t>
      </w:r>
    </w:p>
    <w:p w:rsidR="00457012" w:rsidRPr="004761E0" w:rsidRDefault="00457012" w:rsidP="007076A7">
      <w:pPr>
        <w:pStyle w:val="a5"/>
        <w:numPr>
          <w:ilvl w:val="0"/>
          <w:numId w:val="52"/>
        </w:numPr>
        <w:ind w:left="993" w:hanging="426"/>
        <w:rPr>
          <w:sz w:val="26"/>
          <w:szCs w:val="26"/>
          <w:lang w:eastAsia="ru-RU"/>
        </w:rPr>
      </w:pPr>
      <w:r w:rsidRPr="004761E0">
        <w:rPr>
          <w:sz w:val="26"/>
          <w:szCs w:val="26"/>
          <w:lang w:eastAsia="ru-RU"/>
        </w:rPr>
        <w:t>утверждение годового отчета, годовой бухгалтерской отчетности, в т</w:t>
      </w:r>
      <w:r w:rsidR="00B676D3" w:rsidRPr="004761E0">
        <w:rPr>
          <w:sz w:val="26"/>
          <w:szCs w:val="26"/>
          <w:lang w:eastAsia="ru-RU"/>
        </w:rPr>
        <w:t xml:space="preserve">.ч. </w:t>
      </w:r>
      <w:r w:rsidRPr="004761E0">
        <w:rPr>
          <w:sz w:val="26"/>
          <w:szCs w:val="26"/>
          <w:lang w:eastAsia="ru-RU"/>
        </w:rPr>
        <w:t>отчетов о прибылях и об убытках (счетов прибылей и убытков), а также распределение прибыли (в т</w:t>
      </w:r>
      <w:r w:rsidR="00266643" w:rsidRPr="004761E0">
        <w:rPr>
          <w:sz w:val="26"/>
          <w:szCs w:val="26"/>
          <w:lang w:eastAsia="ru-RU"/>
        </w:rPr>
        <w:t>.ч.</w:t>
      </w:r>
      <w:r w:rsidRPr="004761E0">
        <w:rPr>
          <w:sz w:val="26"/>
          <w:szCs w:val="26"/>
          <w:lang w:eastAsia="ru-RU"/>
        </w:rPr>
        <w:t xml:space="preserve"> выплата (объявление) дивидендов, за исключением прибыли, распределенной в качестве дивидендов по результатам первого квартала, полугодия, девяти месяцев финансового года) и убытков по результатам финансового года; </w:t>
      </w:r>
    </w:p>
    <w:p w:rsidR="00457012" w:rsidRPr="004761E0" w:rsidRDefault="00457012" w:rsidP="007076A7">
      <w:pPr>
        <w:pStyle w:val="a5"/>
        <w:numPr>
          <w:ilvl w:val="0"/>
          <w:numId w:val="52"/>
        </w:numPr>
        <w:ind w:left="993" w:hanging="426"/>
        <w:rPr>
          <w:sz w:val="26"/>
          <w:szCs w:val="26"/>
          <w:lang w:eastAsia="ru-RU"/>
        </w:rPr>
      </w:pPr>
      <w:r w:rsidRPr="004761E0">
        <w:rPr>
          <w:sz w:val="26"/>
          <w:szCs w:val="26"/>
          <w:lang w:eastAsia="ru-RU"/>
        </w:rPr>
        <w:t xml:space="preserve">выплата (объявление) дивидендов по результатам первого квартала, полугодия, девяти месяцев финансового года; </w:t>
      </w:r>
    </w:p>
    <w:p w:rsidR="00457012" w:rsidRPr="004761E0" w:rsidRDefault="00457012" w:rsidP="007076A7">
      <w:pPr>
        <w:pStyle w:val="a5"/>
        <w:numPr>
          <w:ilvl w:val="0"/>
          <w:numId w:val="52"/>
        </w:numPr>
        <w:ind w:left="993" w:hanging="426"/>
        <w:rPr>
          <w:sz w:val="26"/>
          <w:szCs w:val="26"/>
          <w:lang w:eastAsia="ru-RU"/>
        </w:rPr>
      </w:pPr>
      <w:r w:rsidRPr="004761E0">
        <w:rPr>
          <w:sz w:val="26"/>
          <w:szCs w:val="26"/>
          <w:lang w:eastAsia="ru-RU"/>
        </w:rPr>
        <w:t xml:space="preserve">принятие решений об одобрении сделок в случаях, предусмотренных статьей 83 Федерального закона «Об акционерных обществах»; </w:t>
      </w:r>
    </w:p>
    <w:p w:rsidR="00457012" w:rsidRPr="004761E0" w:rsidRDefault="00457012" w:rsidP="007076A7">
      <w:pPr>
        <w:pStyle w:val="a5"/>
        <w:numPr>
          <w:ilvl w:val="0"/>
          <w:numId w:val="52"/>
        </w:numPr>
        <w:ind w:left="993" w:hanging="426"/>
        <w:rPr>
          <w:sz w:val="26"/>
          <w:szCs w:val="26"/>
          <w:lang w:eastAsia="ru-RU"/>
        </w:rPr>
      </w:pPr>
      <w:r w:rsidRPr="004761E0">
        <w:rPr>
          <w:sz w:val="26"/>
          <w:szCs w:val="26"/>
          <w:lang w:eastAsia="ru-RU"/>
        </w:rPr>
        <w:t xml:space="preserve">принятие решений об одобрении крупных сделок в случаях, предусмотренных статьей 79 Федерального закона «Об акционерных обществах»; </w:t>
      </w:r>
    </w:p>
    <w:p w:rsidR="00457012" w:rsidRPr="004761E0" w:rsidRDefault="00457012" w:rsidP="007076A7">
      <w:pPr>
        <w:pStyle w:val="a5"/>
        <w:numPr>
          <w:ilvl w:val="0"/>
          <w:numId w:val="52"/>
        </w:numPr>
        <w:ind w:left="993" w:hanging="426"/>
        <w:rPr>
          <w:sz w:val="26"/>
          <w:szCs w:val="26"/>
          <w:lang w:eastAsia="ru-RU"/>
        </w:rPr>
      </w:pPr>
      <w:r w:rsidRPr="004761E0">
        <w:rPr>
          <w:sz w:val="26"/>
          <w:szCs w:val="26"/>
          <w:lang w:eastAsia="ru-RU"/>
        </w:rPr>
        <w:t xml:space="preserve">утверждение внутренних документов, регулирующих деятельность органов Общества; </w:t>
      </w:r>
    </w:p>
    <w:p w:rsidR="00457012" w:rsidRPr="004761E0" w:rsidRDefault="00457012" w:rsidP="007076A7">
      <w:pPr>
        <w:pStyle w:val="a5"/>
        <w:numPr>
          <w:ilvl w:val="0"/>
          <w:numId w:val="52"/>
        </w:numPr>
        <w:ind w:left="993" w:hanging="426"/>
        <w:rPr>
          <w:sz w:val="26"/>
          <w:szCs w:val="26"/>
          <w:lang w:eastAsia="ru-RU"/>
        </w:rPr>
      </w:pPr>
      <w:r w:rsidRPr="004761E0">
        <w:rPr>
          <w:sz w:val="26"/>
          <w:szCs w:val="26"/>
          <w:lang w:eastAsia="ru-RU"/>
        </w:rPr>
        <w:t>решение иных вопросов, предусмотренных Федеральным законом «Об акционерных обществах».</w:t>
      </w:r>
    </w:p>
    <w:p w:rsidR="00457012" w:rsidRPr="004761E0" w:rsidRDefault="00457012" w:rsidP="00457012">
      <w:pPr>
        <w:ind w:firstLine="567"/>
        <w:rPr>
          <w:sz w:val="26"/>
          <w:szCs w:val="26"/>
          <w:lang w:eastAsia="ru-RU"/>
        </w:rPr>
      </w:pPr>
      <w:r w:rsidRPr="004761E0">
        <w:rPr>
          <w:sz w:val="26"/>
          <w:szCs w:val="26"/>
          <w:lang w:eastAsia="ru-RU"/>
        </w:rPr>
        <w:t>Вопросы, отнесенные к компетенции Общего собрания акционеров, не могут быть переданы на решение Совету директоров, Правлению и Генеральному директору.</w:t>
      </w:r>
    </w:p>
    <w:p w:rsidR="00457012" w:rsidRPr="004761E0" w:rsidRDefault="00457012" w:rsidP="00457012">
      <w:pPr>
        <w:ind w:firstLine="567"/>
        <w:rPr>
          <w:sz w:val="26"/>
          <w:szCs w:val="26"/>
          <w:lang w:eastAsia="ru-RU"/>
        </w:rPr>
      </w:pPr>
      <w:r w:rsidRPr="004761E0">
        <w:rPr>
          <w:sz w:val="26"/>
          <w:szCs w:val="26"/>
          <w:lang w:eastAsia="ru-RU"/>
        </w:rPr>
        <w:t xml:space="preserve">Процедура созыва и проведений Общих собраний акционеров определена законодательством РФ, Уставом Общества, а также Положением о порядке подготовки и проведения Общего собрания акционеров </w:t>
      </w:r>
      <w:r w:rsidR="0008080E">
        <w:rPr>
          <w:sz w:val="26"/>
          <w:szCs w:val="26"/>
          <w:lang w:eastAsia="ru-RU"/>
        </w:rPr>
        <w:t>ОАО </w:t>
      </w:r>
      <w:r w:rsidRPr="004761E0">
        <w:rPr>
          <w:sz w:val="26"/>
          <w:szCs w:val="26"/>
          <w:lang w:eastAsia="ru-RU"/>
        </w:rPr>
        <w:t>«МОЭСК».</w:t>
      </w:r>
    </w:p>
    <w:p w:rsidR="00457012" w:rsidRPr="004761E0" w:rsidRDefault="00457012" w:rsidP="00457012">
      <w:pPr>
        <w:ind w:firstLine="567"/>
        <w:rPr>
          <w:sz w:val="26"/>
          <w:szCs w:val="26"/>
        </w:rPr>
      </w:pPr>
      <w:r w:rsidRPr="004761E0">
        <w:rPr>
          <w:sz w:val="26"/>
          <w:szCs w:val="26"/>
        </w:rPr>
        <w:t>Годовое Общее собрание акционеров состоялось в форме совместного присутствия 26 июня 2013 года в Конференц-Центре гостиницы «Swissotel Красные Холмы» по адресу г. Москва, Космодамианская наб., д. 52, стр. 7.</w:t>
      </w:r>
    </w:p>
    <w:p w:rsidR="00457012" w:rsidRPr="004761E0" w:rsidRDefault="00457012" w:rsidP="00457012">
      <w:pPr>
        <w:autoSpaceDE w:val="0"/>
        <w:autoSpaceDN w:val="0"/>
        <w:adjustRightInd w:val="0"/>
        <w:ind w:left="61" w:right="-20" w:firstLine="506"/>
        <w:rPr>
          <w:sz w:val="26"/>
          <w:szCs w:val="26"/>
        </w:rPr>
      </w:pPr>
      <w:r w:rsidRPr="004761E0">
        <w:rPr>
          <w:sz w:val="26"/>
          <w:szCs w:val="26"/>
        </w:rPr>
        <w:t xml:space="preserve">В работе собрания приняли участие владельцы 46,1 млрд обыкновенных акций Компании, что составило 94,6 % голосующих акций. </w:t>
      </w:r>
    </w:p>
    <w:p w:rsidR="00457012" w:rsidRPr="004761E0" w:rsidRDefault="00457012" w:rsidP="00457012">
      <w:pPr>
        <w:autoSpaceDE w:val="0"/>
        <w:autoSpaceDN w:val="0"/>
        <w:adjustRightInd w:val="0"/>
        <w:ind w:left="61" w:right="-20" w:firstLine="506"/>
        <w:rPr>
          <w:sz w:val="26"/>
          <w:szCs w:val="26"/>
        </w:rPr>
      </w:pPr>
      <w:r w:rsidRPr="004761E0">
        <w:rPr>
          <w:sz w:val="26"/>
          <w:szCs w:val="26"/>
        </w:rPr>
        <w:t>В целях гарантирования предоставления всесторонних ответов на потенциальные вопросы акционеров на собрании обеспечено присутствие представителей Совета директоров и аудитора, менеджмента Общества и его дочерних компаний, представителей органов государственной власти г. Москвы и Московской области.</w:t>
      </w:r>
    </w:p>
    <w:p w:rsidR="00457012" w:rsidRPr="004761E0" w:rsidRDefault="00457012" w:rsidP="00457012">
      <w:pPr>
        <w:autoSpaceDE w:val="0"/>
        <w:autoSpaceDN w:val="0"/>
        <w:adjustRightInd w:val="0"/>
        <w:ind w:left="61" w:right="-20" w:firstLine="506"/>
        <w:rPr>
          <w:sz w:val="26"/>
          <w:szCs w:val="26"/>
        </w:rPr>
      </w:pPr>
      <w:r w:rsidRPr="004761E0">
        <w:rPr>
          <w:sz w:val="26"/>
          <w:szCs w:val="26"/>
        </w:rPr>
        <w:t>На поступившие вопросы акционеров присутствовавшие представители менеджмента дали четкие и исчерпывающие ответы.</w:t>
      </w:r>
    </w:p>
    <w:p w:rsidR="00457012" w:rsidRPr="004761E0" w:rsidRDefault="00457012" w:rsidP="00457012">
      <w:pPr>
        <w:autoSpaceDE w:val="0"/>
        <w:autoSpaceDN w:val="0"/>
        <w:adjustRightInd w:val="0"/>
        <w:ind w:left="61" w:right="-20" w:firstLine="506"/>
        <w:rPr>
          <w:sz w:val="26"/>
          <w:szCs w:val="26"/>
        </w:rPr>
      </w:pPr>
      <w:r w:rsidRPr="004761E0">
        <w:rPr>
          <w:sz w:val="26"/>
          <w:szCs w:val="26"/>
        </w:rPr>
        <w:t xml:space="preserve">Стоит отметить, что в рамках прений, состоявшихся по итогам доклада генерального директора по первому вопросу повестки дня, выступавший акционер </w:t>
      </w:r>
      <w:r w:rsidRPr="004761E0">
        <w:rPr>
          <w:sz w:val="26"/>
          <w:szCs w:val="26"/>
        </w:rPr>
        <w:lastRenderedPageBreak/>
        <w:t xml:space="preserve">Общества отметил положительные результаты работы Компании, выразил одобрение Годового отчета, положительно оценил рекомендации Совета директоров по выплате дивидендов в размере 25 % от чистой прибыли Общества и отметил 2012 год, как наиболее успешный за последние 8 лет. </w:t>
      </w:r>
    </w:p>
    <w:p w:rsidR="00457012" w:rsidRPr="004761E0" w:rsidRDefault="00457012" w:rsidP="00457012">
      <w:pPr>
        <w:ind w:left="61" w:firstLine="506"/>
        <w:rPr>
          <w:sz w:val="26"/>
          <w:szCs w:val="26"/>
        </w:rPr>
      </w:pPr>
      <w:r w:rsidRPr="004761E0">
        <w:rPr>
          <w:sz w:val="26"/>
          <w:szCs w:val="26"/>
        </w:rPr>
        <w:t>По итогам голосования акционеры приняли следующие решения:</w:t>
      </w:r>
    </w:p>
    <w:p w:rsidR="00457012" w:rsidRPr="004761E0" w:rsidRDefault="00457012" w:rsidP="007076A7">
      <w:pPr>
        <w:pStyle w:val="a5"/>
        <w:numPr>
          <w:ilvl w:val="0"/>
          <w:numId w:val="55"/>
        </w:numPr>
        <w:tabs>
          <w:tab w:val="left" w:pos="1134"/>
        </w:tabs>
        <w:contextualSpacing w:val="0"/>
        <w:rPr>
          <w:rStyle w:val="SUBST"/>
          <w:rFonts w:eastAsiaTheme="minorHAnsi"/>
          <w:sz w:val="26"/>
          <w:szCs w:val="26"/>
        </w:rPr>
      </w:pPr>
      <w:r w:rsidRPr="004761E0">
        <w:rPr>
          <w:rStyle w:val="SUBST"/>
          <w:rFonts w:eastAsiaTheme="minorHAnsi"/>
          <w:sz w:val="26"/>
          <w:szCs w:val="26"/>
        </w:rPr>
        <w:t>утвердить годовой отчет, годовую бухгалтерскую отчетность, а также распределить прибыль (в т.ч. выплатить дивиденды) по результатам 2012 финансового года;</w:t>
      </w:r>
    </w:p>
    <w:p w:rsidR="00457012" w:rsidRPr="004761E0" w:rsidRDefault="00457012" w:rsidP="007076A7">
      <w:pPr>
        <w:pStyle w:val="a5"/>
        <w:numPr>
          <w:ilvl w:val="0"/>
          <w:numId w:val="55"/>
        </w:numPr>
        <w:tabs>
          <w:tab w:val="left" w:pos="1134"/>
        </w:tabs>
        <w:contextualSpacing w:val="0"/>
        <w:rPr>
          <w:rStyle w:val="SUBST"/>
          <w:rFonts w:eastAsiaTheme="minorHAnsi"/>
          <w:sz w:val="26"/>
          <w:szCs w:val="26"/>
        </w:rPr>
      </w:pPr>
      <w:r w:rsidRPr="004761E0">
        <w:rPr>
          <w:rStyle w:val="SUBST"/>
          <w:rFonts w:eastAsiaTheme="minorHAnsi"/>
          <w:sz w:val="26"/>
          <w:szCs w:val="26"/>
        </w:rPr>
        <w:t>избрать новые составы Совета директоров и Ревизионной комиссии;</w:t>
      </w:r>
    </w:p>
    <w:p w:rsidR="00457012" w:rsidRPr="004761E0" w:rsidRDefault="00457012" w:rsidP="007076A7">
      <w:pPr>
        <w:pStyle w:val="a5"/>
        <w:numPr>
          <w:ilvl w:val="0"/>
          <w:numId w:val="55"/>
        </w:numPr>
        <w:tabs>
          <w:tab w:val="left" w:pos="1134"/>
        </w:tabs>
        <w:contextualSpacing w:val="0"/>
        <w:rPr>
          <w:rStyle w:val="SUBST"/>
          <w:rFonts w:eastAsiaTheme="minorHAnsi"/>
          <w:sz w:val="26"/>
          <w:szCs w:val="26"/>
        </w:rPr>
      </w:pPr>
      <w:r w:rsidRPr="004761E0">
        <w:rPr>
          <w:rStyle w:val="SUBST"/>
          <w:rFonts w:eastAsiaTheme="minorHAnsi"/>
          <w:sz w:val="26"/>
          <w:szCs w:val="26"/>
        </w:rPr>
        <w:t>утвердить аудитора.</w:t>
      </w:r>
    </w:p>
    <w:p w:rsidR="00457012" w:rsidRPr="004761E0" w:rsidRDefault="00457012" w:rsidP="00457012">
      <w:pPr>
        <w:ind w:firstLine="567"/>
        <w:jc w:val="left"/>
        <w:rPr>
          <w:b/>
          <w:sz w:val="26"/>
          <w:szCs w:val="26"/>
          <w:lang w:eastAsia="ru-RU"/>
        </w:rPr>
      </w:pPr>
      <w:r w:rsidRPr="004761E0">
        <w:rPr>
          <w:sz w:val="26"/>
          <w:szCs w:val="26"/>
          <w:lang w:eastAsia="ru-RU"/>
        </w:rPr>
        <w:t>Информация о решениях Общего собрания акционеров раскрыта на корпоративном сайте</w:t>
      </w:r>
      <w:r w:rsidR="009E567A">
        <w:rPr>
          <w:sz w:val="26"/>
          <w:szCs w:val="26"/>
          <w:lang w:eastAsia="ru-RU"/>
        </w:rPr>
        <w:t xml:space="preserve"> Общества в разделе «Акционерам и инвесторам» / «Общие собрания акционеров» / вкладка «Решения».</w:t>
      </w:r>
    </w:p>
    <w:p w:rsidR="003E4866" w:rsidRPr="004761E0" w:rsidRDefault="003E4866">
      <w:pPr>
        <w:ind w:firstLine="0"/>
        <w:jc w:val="left"/>
        <w:rPr>
          <w:rFonts w:eastAsia="Times New Roman"/>
          <w:b/>
          <w:sz w:val="26"/>
          <w:szCs w:val="26"/>
          <w:lang w:eastAsia="ru-RU"/>
        </w:rPr>
      </w:pPr>
      <w:r w:rsidRPr="004761E0">
        <w:rPr>
          <w:b/>
          <w:sz w:val="26"/>
          <w:szCs w:val="26"/>
          <w:lang w:eastAsia="ru-RU"/>
        </w:rPr>
        <w:br w:type="page"/>
      </w:r>
    </w:p>
    <w:p w:rsidR="003E4866" w:rsidRPr="004761E0" w:rsidRDefault="003E4866" w:rsidP="007076A7">
      <w:pPr>
        <w:pStyle w:val="a8"/>
        <w:numPr>
          <w:ilvl w:val="1"/>
          <w:numId w:val="321"/>
        </w:numPr>
        <w:spacing w:before="120" w:after="120"/>
        <w:ind w:left="1134" w:hanging="567"/>
        <w:jc w:val="both"/>
        <w:rPr>
          <w:rFonts w:ascii="Times New Roman" w:hAnsi="Times New Roman"/>
          <w:b/>
          <w:sz w:val="26"/>
          <w:szCs w:val="26"/>
        </w:rPr>
      </w:pPr>
      <w:bookmarkStart w:id="97" w:name="_Toc385339827"/>
      <w:r w:rsidRPr="004761E0">
        <w:rPr>
          <w:rFonts w:ascii="Times New Roman" w:hAnsi="Times New Roman"/>
          <w:b/>
          <w:sz w:val="26"/>
          <w:szCs w:val="26"/>
        </w:rPr>
        <w:lastRenderedPageBreak/>
        <w:t>Совет директоров</w:t>
      </w:r>
      <w:bookmarkEnd w:id="97"/>
    </w:p>
    <w:p w:rsidR="00457012" w:rsidRPr="004761E0" w:rsidRDefault="00457012" w:rsidP="00457012">
      <w:pPr>
        <w:ind w:firstLine="567"/>
        <w:rPr>
          <w:rStyle w:val="SUBST"/>
          <w:sz w:val="26"/>
          <w:szCs w:val="26"/>
        </w:rPr>
      </w:pPr>
      <w:r w:rsidRPr="004761E0">
        <w:rPr>
          <w:rStyle w:val="SUBST"/>
          <w:sz w:val="26"/>
          <w:szCs w:val="26"/>
        </w:rPr>
        <w:t>Совет директоров является органом управления Общества, который осуществляет общее руководство деятельностью Общества, контролирует исполнение решений Общего собрания акционеров в соответствии с требованиями законодательства РФ.</w:t>
      </w:r>
    </w:p>
    <w:p w:rsidR="00457012" w:rsidRPr="004761E0" w:rsidRDefault="00457012" w:rsidP="00457012">
      <w:pPr>
        <w:ind w:firstLine="567"/>
        <w:rPr>
          <w:rStyle w:val="SUBST"/>
          <w:sz w:val="26"/>
          <w:szCs w:val="26"/>
        </w:rPr>
      </w:pPr>
      <w:r w:rsidRPr="004761E0">
        <w:rPr>
          <w:rStyle w:val="SUBST"/>
          <w:sz w:val="26"/>
          <w:szCs w:val="26"/>
        </w:rPr>
        <w:t>В соответствии с Федеральным законом «Об акционерных обществах», Уставом Общества и внутренними документами Общества основными вопросами, отнесенными к компетенции Совета директоров, являются:</w:t>
      </w:r>
    </w:p>
    <w:p w:rsidR="00457012" w:rsidRPr="004761E0" w:rsidRDefault="00457012" w:rsidP="007076A7">
      <w:pPr>
        <w:pStyle w:val="a5"/>
        <w:numPr>
          <w:ilvl w:val="0"/>
          <w:numId w:val="56"/>
        </w:numPr>
        <w:ind w:left="992" w:hanging="425"/>
        <w:contextualSpacing w:val="0"/>
        <w:rPr>
          <w:rStyle w:val="SUBST"/>
          <w:sz w:val="26"/>
          <w:szCs w:val="26"/>
        </w:rPr>
      </w:pPr>
      <w:r w:rsidRPr="004761E0">
        <w:rPr>
          <w:rStyle w:val="SUBST"/>
          <w:sz w:val="26"/>
          <w:szCs w:val="26"/>
        </w:rPr>
        <w:t>определение приоритетных направлений деятельности Общества, стратегии Общества;</w:t>
      </w:r>
    </w:p>
    <w:p w:rsidR="00457012" w:rsidRPr="004761E0" w:rsidRDefault="00457012" w:rsidP="007076A7">
      <w:pPr>
        <w:pStyle w:val="a5"/>
        <w:numPr>
          <w:ilvl w:val="0"/>
          <w:numId w:val="56"/>
        </w:numPr>
        <w:ind w:left="992" w:hanging="425"/>
        <w:contextualSpacing w:val="0"/>
        <w:rPr>
          <w:rStyle w:val="SUBST"/>
          <w:sz w:val="26"/>
          <w:szCs w:val="26"/>
        </w:rPr>
      </w:pPr>
      <w:r w:rsidRPr="004761E0">
        <w:rPr>
          <w:rStyle w:val="SUBST"/>
          <w:sz w:val="26"/>
          <w:szCs w:val="26"/>
        </w:rPr>
        <w:t>созыв годового и внеочередного Общих собраний акционеров, за исключением случаев, предусмотренных пунктом 14.8. статьи 14 Устава, а также объявление даты проведения нового Общего собрания акционеров взамен несостоявшегося по причине отсутствия кворума;</w:t>
      </w:r>
    </w:p>
    <w:p w:rsidR="00457012" w:rsidRPr="004761E0" w:rsidRDefault="00457012" w:rsidP="007076A7">
      <w:pPr>
        <w:pStyle w:val="a5"/>
        <w:numPr>
          <w:ilvl w:val="0"/>
          <w:numId w:val="56"/>
        </w:numPr>
        <w:ind w:left="992" w:hanging="425"/>
        <w:contextualSpacing w:val="0"/>
        <w:rPr>
          <w:rStyle w:val="SUBST"/>
          <w:sz w:val="26"/>
          <w:szCs w:val="26"/>
        </w:rPr>
      </w:pPr>
      <w:r w:rsidRPr="004761E0">
        <w:rPr>
          <w:rStyle w:val="SUBST"/>
          <w:sz w:val="26"/>
          <w:szCs w:val="26"/>
        </w:rPr>
        <w:t>вынесение на решение Общего собрания акционеров вопросов, предусмотренных подпунктами 2, 5, 7, 8, 12-20 пункта 10.2. статьи 10 Устава, а также уменьшение уставного капитала Общества путем уменьшения номинальной стоимости акций;</w:t>
      </w:r>
    </w:p>
    <w:p w:rsidR="00457012" w:rsidRPr="004761E0" w:rsidRDefault="00457012" w:rsidP="007076A7">
      <w:pPr>
        <w:pStyle w:val="a5"/>
        <w:numPr>
          <w:ilvl w:val="0"/>
          <w:numId w:val="56"/>
        </w:numPr>
        <w:ind w:left="992" w:hanging="425"/>
        <w:contextualSpacing w:val="0"/>
        <w:rPr>
          <w:rStyle w:val="SUBST"/>
          <w:sz w:val="26"/>
          <w:szCs w:val="26"/>
        </w:rPr>
      </w:pPr>
      <w:r w:rsidRPr="004761E0">
        <w:rPr>
          <w:rStyle w:val="SUBST"/>
          <w:sz w:val="26"/>
          <w:szCs w:val="26"/>
        </w:rPr>
        <w:t>об участии Общества в других организациях (в т.ч. согласование учредительных документов и кандидатур в органы управления вновь создаваемых организаций), а также изменении доли участия (количества акций, размера паев, долей), обременении акций (долей) и прекращении участия Общества в других организациях;</w:t>
      </w:r>
    </w:p>
    <w:p w:rsidR="00457012" w:rsidRPr="004761E0" w:rsidRDefault="00457012" w:rsidP="007076A7">
      <w:pPr>
        <w:pStyle w:val="a5"/>
        <w:numPr>
          <w:ilvl w:val="0"/>
          <w:numId w:val="56"/>
        </w:numPr>
        <w:ind w:left="992" w:hanging="425"/>
        <w:contextualSpacing w:val="0"/>
        <w:rPr>
          <w:rStyle w:val="SUBST"/>
          <w:sz w:val="26"/>
          <w:szCs w:val="26"/>
        </w:rPr>
      </w:pPr>
      <w:r w:rsidRPr="004761E0">
        <w:rPr>
          <w:rStyle w:val="SUBST"/>
          <w:sz w:val="26"/>
          <w:szCs w:val="26"/>
        </w:rPr>
        <w:t xml:space="preserve">избрание </w:t>
      </w:r>
      <w:r w:rsidR="003B2247">
        <w:rPr>
          <w:rStyle w:val="SUBST"/>
          <w:sz w:val="26"/>
          <w:szCs w:val="26"/>
        </w:rPr>
        <w:t>г</w:t>
      </w:r>
      <w:r w:rsidRPr="004761E0">
        <w:rPr>
          <w:rStyle w:val="SUBST"/>
          <w:sz w:val="26"/>
          <w:szCs w:val="26"/>
        </w:rPr>
        <w:t>енерального директора и досрочное прекращение его полномочий, в т</w:t>
      </w:r>
      <w:r w:rsidR="00B676D3" w:rsidRPr="004761E0">
        <w:rPr>
          <w:rStyle w:val="SUBST"/>
          <w:sz w:val="26"/>
          <w:szCs w:val="26"/>
        </w:rPr>
        <w:t>.ч.</w:t>
      </w:r>
      <w:r w:rsidRPr="004761E0">
        <w:rPr>
          <w:rStyle w:val="SUBST"/>
          <w:sz w:val="26"/>
          <w:szCs w:val="26"/>
        </w:rPr>
        <w:t xml:space="preserve"> принятие решения о досрочном прекращении трудового договора с ним;</w:t>
      </w:r>
    </w:p>
    <w:p w:rsidR="00457012" w:rsidRPr="004761E0" w:rsidRDefault="00457012" w:rsidP="007076A7">
      <w:pPr>
        <w:pStyle w:val="a5"/>
        <w:numPr>
          <w:ilvl w:val="0"/>
          <w:numId w:val="56"/>
        </w:numPr>
        <w:ind w:left="992" w:hanging="425"/>
        <w:contextualSpacing w:val="0"/>
        <w:rPr>
          <w:rStyle w:val="SUBST"/>
          <w:sz w:val="26"/>
          <w:szCs w:val="26"/>
        </w:rPr>
      </w:pPr>
      <w:r w:rsidRPr="004761E0">
        <w:rPr>
          <w:rStyle w:val="SUBST"/>
          <w:sz w:val="26"/>
          <w:szCs w:val="26"/>
        </w:rPr>
        <w:t>определение позиции Общества (представителей Общества), в т.ч. поручение принимать или не принимать участие в голосовании по вопросам повестки дня, голосовать по проектам решений «за», «против» или «воздержался» по следующим вопросам повесток дня общих собраний акционеров (участников) ДЗО (за исключением случаев, когда функции общих собраний акционеров ДЗО выполняет Совет директоров Общества), и заседаний советов директоров ДЗО (за исключением вопроса об утверждении повестки дня общих собраний акционеров ДЗО, когда функции общих собраний акционеров ДЗО выполняет Совет директоров Общества);</w:t>
      </w:r>
    </w:p>
    <w:p w:rsidR="00457012" w:rsidRPr="004761E0" w:rsidRDefault="00457012" w:rsidP="007076A7">
      <w:pPr>
        <w:pStyle w:val="a5"/>
        <w:numPr>
          <w:ilvl w:val="0"/>
          <w:numId w:val="56"/>
        </w:numPr>
        <w:ind w:left="992" w:hanging="425"/>
        <w:contextualSpacing w:val="0"/>
        <w:rPr>
          <w:rStyle w:val="SUBST"/>
          <w:sz w:val="26"/>
          <w:szCs w:val="26"/>
        </w:rPr>
      </w:pPr>
      <w:r w:rsidRPr="004761E0">
        <w:rPr>
          <w:rStyle w:val="SUBST"/>
          <w:sz w:val="26"/>
          <w:szCs w:val="26"/>
        </w:rPr>
        <w:t xml:space="preserve">решение иных вопросов руководства текущей деятельностью Общества в соответствии с решениями Общего собрания акционеров, Совета директоров, а также вопросов, вынесенных на рассмотрение Правления </w:t>
      </w:r>
      <w:r w:rsidR="003B2247">
        <w:rPr>
          <w:rStyle w:val="SUBST"/>
          <w:sz w:val="26"/>
          <w:szCs w:val="26"/>
        </w:rPr>
        <w:t>г</w:t>
      </w:r>
      <w:r w:rsidRPr="004761E0">
        <w:rPr>
          <w:rStyle w:val="SUBST"/>
          <w:sz w:val="26"/>
          <w:szCs w:val="26"/>
        </w:rPr>
        <w:t>енеральным директором.</w:t>
      </w:r>
    </w:p>
    <w:p w:rsidR="00457012" w:rsidRPr="004761E0" w:rsidRDefault="00457012" w:rsidP="008E3C2C">
      <w:pPr>
        <w:spacing w:before="120" w:after="120"/>
        <w:ind w:firstLine="567"/>
        <w:rPr>
          <w:b/>
          <w:sz w:val="26"/>
          <w:szCs w:val="26"/>
        </w:rPr>
      </w:pPr>
      <w:r w:rsidRPr="004761E0">
        <w:rPr>
          <w:b/>
          <w:sz w:val="26"/>
          <w:szCs w:val="26"/>
        </w:rPr>
        <w:t xml:space="preserve">Состав Совета директоров </w:t>
      </w:r>
    </w:p>
    <w:p w:rsidR="00457012" w:rsidRPr="004761E0" w:rsidRDefault="00457012" w:rsidP="00457012">
      <w:pPr>
        <w:ind w:firstLine="567"/>
        <w:rPr>
          <w:sz w:val="26"/>
          <w:szCs w:val="26"/>
          <w:lang w:eastAsia="ru-RU"/>
        </w:rPr>
      </w:pPr>
      <w:r w:rsidRPr="004761E0">
        <w:rPr>
          <w:sz w:val="26"/>
          <w:szCs w:val="26"/>
          <w:lang w:eastAsia="ru-RU"/>
        </w:rPr>
        <w:t>Согласно пункту 16.1 Устава Совет директоров состоит из 13 членов, избираемых Общим собранием акционеров. В 2013 году действовало 2 состава Совета директоров.</w:t>
      </w:r>
    </w:p>
    <w:p w:rsidR="00457012" w:rsidRPr="004761E0" w:rsidRDefault="00457012" w:rsidP="00457012">
      <w:pPr>
        <w:ind w:firstLine="567"/>
        <w:rPr>
          <w:sz w:val="26"/>
          <w:szCs w:val="26"/>
          <w:lang w:eastAsia="ru-RU"/>
        </w:rPr>
      </w:pPr>
      <w:r w:rsidRPr="004761E0">
        <w:rPr>
          <w:sz w:val="26"/>
          <w:szCs w:val="26"/>
          <w:lang w:eastAsia="ru-RU"/>
        </w:rPr>
        <w:t>Состав Совета директоров, действовавший в период с 27.08.2012 по 26.06.2013:</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985"/>
        <w:gridCol w:w="7513"/>
      </w:tblGrid>
      <w:tr w:rsidR="00457012" w:rsidRPr="004761E0" w:rsidTr="00457012">
        <w:trPr>
          <w:trHeight w:val="312"/>
        </w:trPr>
        <w:tc>
          <w:tcPr>
            <w:tcW w:w="567" w:type="dxa"/>
            <w:tcBorders>
              <w:right w:val="single" w:sz="4" w:space="0" w:color="FFFFFF" w:themeColor="background1"/>
            </w:tcBorders>
            <w:shd w:val="clear" w:color="auto" w:fill="0F243E" w:themeFill="text2" w:themeFillShade="80"/>
            <w:vAlign w:val="center"/>
          </w:tcPr>
          <w:p w:rsidR="00457012" w:rsidRPr="004761E0" w:rsidRDefault="00457012" w:rsidP="00457012">
            <w:pPr>
              <w:pStyle w:val="a5"/>
              <w:tabs>
                <w:tab w:val="left" w:pos="333"/>
              </w:tabs>
              <w:ind w:left="0" w:firstLine="0"/>
              <w:contextualSpacing w:val="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1985" w:type="dxa"/>
            <w:tcBorders>
              <w:left w:val="single" w:sz="4" w:space="0" w:color="FFFFFF" w:themeColor="background1"/>
              <w:right w:val="single" w:sz="4" w:space="0" w:color="FFFFFF" w:themeColor="background1"/>
            </w:tcBorders>
            <w:shd w:val="clear" w:color="auto" w:fill="0F243E" w:themeFill="text2" w:themeFillShade="80"/>
            <w:vAlign w:val="center"/>
          </w:tcPr>
          <w:p w:rsidR="00457012" w:rsidRPr="004761E0" w:rsidRDefault="00457012" w:rsidP="00457012">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Ф.И.О.</w:t>
            </w:r>
          </w:p>
        </w:tc>
        <w:tc>
          <w:tcPr>
            <w:tcW w:w="7513" w:type="dxa"/>
            <w:tcBorders>
              <w:left w:val="single" w:sz="4" w:space="0" w:color="FFFFFF" w:themeColor="background1"/>
            </w:tcBorders>
            <w:shd w:val="clear" w:color="auto" w:fill="0F243E" w:themeFill="text2" w:themeFillShade="80"/>
            <w:vAlign w:val="center"/>
          </w:tcPr>
          <w:p w:rsidR="00457012" w:rsidRPr="004761E0" w:rsidRDefault="00457012" w:rsidP="00457012">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Должность по состоянию на момент избрания</w:t>
            </w:r>
          </w:p>
        </w:tc>
      </w:tr>
      <w:tr w:rsidR="00457012" w:rsidRPr="004761E0" w:rsidTr="00457012">
        <w:trPr>
          <w:trHeight w:val="312"/>
        </w:trPr>
        <w:tc>
          <w:tcPr>
            <w:tcW w:w="567" w:type="dxa"/>
            <w:shd w:val="clear" w:color="auto" w:fill="auto"/>
            <w:vAlign w:val="center"/>
          </w:tcPr>
          <w:p w:rsidR="00457012" w:rsidRPr="004761E0" w:rsidRDefault="00457012" w:rsidP="007076A7">
            <w:pPr>
              <w:pStyle w:val="a5"/>
              <w:numPr>
                <w:ilvl w:val="0"/>
                <w:numId w:val="24"/>
              </w:numPr>
              <w:tabs>
                <w:tab w:val="left" w:pos="333"/>
              </w:tabs>
              <w:ind w:left="0" w:firstLine="0"/>
              <w:contextualSpacing w:val="0"/>
              <w:jc w:val="left"/>
              <w:rPr>
                <w:rFonts w:eastAsia="Times New Roman"/>
                <w:color w:val="000000"/>
                <w:sz w:val="20"/>
                <w:szCs w:val="20"/>
                <w:lang w:eastAsia="ru-RU"/>
              </w:rPr>
            </w:pPr>
          </w:p>
        </w:tc>
        <w:tc>
          <w:tcPr>
            <w:tcW w:w="1985" w:type="dxa"/>
            <w:shd w:val="clear" w:color="auto" w:fill="auto"/>
            <w:vAlign w:val="center"/>
            <w:hideMark/>
          </w:tcPr>
          <w:p w:rsidR="00457012" w:rsidRPr="004761E0" w:rsidRDefault="00457012" w:rsidP="00457012">
            <w:pPr>
              <w:ind w:firstLine="0"/>
              <w:jc w:val="left"/>
              <w:rPr>
                <w:rFonts w:eastAsia="Times New Roman"/>
                <w:color w:val="000000"/>
                <w:sz w:val="20"/>
                <w:szCs w:val="20"/>
                <w:lang w:eastAsia="ru-RU"/>
              </w:rPr>
            </w:pPr>
            <w:r w:rsidRPr="004761E0">
              <w:rPr>
                <w:rFonts w:eastAsia="Times New Roman"/>
                <w:color w:val="000000"/>
                <w:sz w:val="20"/>
                <w:szCs w:val="20"/>
                <w:lang w:eastAsia="ru-RU"/>
              </w:rPr>
              <w:t>Бударгин О.М.</w:t>
            </w:r>
          </w:p>
          <w:p w:rsidR="00457012" w:rsidRPr="004761E0" w:rsidRDefault="00457012" w:rsidP="00457012">
            <w:pPr>
              <w:ind w:firstLine="0"/>
              <w:jc w:val="left"/>
              <w:rPr>
                <w:rFonts w:eastAsia="Times New Roman"/>
                <w:color w:val="000000"/>
                <w:sz w:val="20"/>
                <w:szCs w:val="20"/>
                <w:lang w:eastAsia="ru-RU"/>
              </w:rPr>
            </w:pPr>
            <w:r w:rsidRPr="004761E0">
              <w:rPr>
                <w:rFonts w:eastAsia="Times New Roman"/>
                <w:color w:val="000000"/>
                <w:sz w:val="20"/>
                <w:szCs w:val="20"/>
                <w:lang w:eastAsia="ru-RU"/>
              </w:rPr>
              <w:t>(Председатель Совета директоров)</w:t>
            </w:r>
          </w:p>
        </w:tc>
        <w:tc>
          <w:tcPr>
            <w:tcW w:w="7513" w:type="dxa"/>
            <w:shd w:val="clear" w:color="auto" w:fill="auto"/>
            <w:vAlign w:val="center"/>
            <w:hideMark/>
          </w:tcPr>
          <w:p w:rsidR="00457012" w:rsidRPr="004761E0" w:rsidRDefault="00457012" w:rsidP="00457012">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Председатель Правления </w:t>
            </w:r>
            <w:r w:rsidR="0008080E">
              <w:rPr>
                <w:rFonts w:eastAsia="Times New Roman"/>
                <w:color w:val="000000"/>
                <w:sz w:val="20"/>
                <w:szCs w:val="20"/>
                <w:lang w:eastAsia="ru-RU"/>
              </w:rPr>
              <w:t>ОАО </w:t>
            </w:r>
            <w:r w:rsidRPr="004761E0">
              <w:rPr>
                <w:rFonts w:eastAsia="Times New Roman"/>
                <w:color w:val="000000"/>
                <w:sz w:val="20"/>
                <w:szCs w:val="20"/>
                <w:lang w:eastAsia="ru-RU"/>
              </w:rPr>
              <w:t>«ФСК ЕЭС»</w:t>
            </w:r>
          </w:p>
        </w:tc>
      </w:tr>
      <w:tr w:rsidR="00457012" w:rsidRPr="004761E0" w:rsidTr="00457012">
        <w:trPr>
          <w:trHeight w:val="304"/>
        </w:trPr>
        <w:tc>
          <w:tcPr>
            <w:tcW w:w="567" w:type="dxa"/>
            <w:shd w:val="clear" w:color="auto" w:fill="auto"/>
            <w:vAlign w:val="center"/>
          </w:tcPr>
          <w:p w:rsidR="00457012" w:rsidRPr="004761E0" w:rsidRDefault="00457012" w:rsidP="007076A7">
            <w:pPr>
              <w:pStyle w:val="a5"/>
              <w:numPr>
                <w:ilvl w:val="0"/>
                <w:numId w:val="24"/>
              </w:numPr>
              <w:tabs>
                <w:tab w:val="left" w:pos="333"/>
              </w:tabs>
              <w:ind w:left="0" w:firstLine="0"/>
              <w:contextualSpacing w:val="0"/>
              <w:jc w:val="left"/>
              <w:rPr>
                <w:rFonts w:eastAsia="Times New Roman"/>
                <w:color w:val="000000"/>
                <w:sz w:val="20"/>
                <w:szCs w:val="20"/>
                <w:lang w:eastAsia="ru-RU"/>
              </w:rPr>
            </w:pPr>
          </w:p>
        </w:tc>
        <w:tc>
          <w:tcPr>
            <w:tcW w:w="1985" w:type="dxa"/>
            <w:shd w:val="clear" w:color="auto" w:fill="auto"/>
            <w:vAlign w:val="center"/>
            <w:hideMark/>
          </w:tcPr>
          <w:p w:rsidR="00457012" w:rsidRPr="004761E0" w:rsidRDefault="00457012" w:rsidP="00457012">
            <w:pPr>
              <w:ind w:firstLine="0"/>
              <w:jc w:val="left"/>
              <w:rPr>
                <w:rFonts w:eastAsia="Times New Roman"/>
                <w:color w:val="000000"/>
                <w:sz w:val="20"/>
                <w:szCs w:val="20"/>
                <w:lang w:eastAsia="ru-RU"/>
              </w:rPr>
            </w:pPr>
            <w:r w:rsidRPr="004761E0">
              <w:rPr>
                <w:rFonts w:eastAsia="Times New Roman"/>
                <w:color w:val="000000"/>
                <w:sz w:val="20"/>
                <w:szCs w:val="20"/>
                <w:lang w:eastAsia="ru-RU"/>
              </w:rPr>
              <w:t>Гавриленко А.А.</w:t>
            </w:r>
          </w:p>
        </w:tc>
        <w:tc>
          <w:tcPr>
            <w:tcW w:w="7513" w:type="dxa"/>
            <w:shd w:val="clear" w:color="auto" w:fill="auto"/>
            <w:vAlign w:val="center"/>
            <w:hideMark/>
          </w:tcPr>
          <w:p w:rsidR="00457012" w:rsidRPr="004761E0" w:rsidRDefault="00457012" w:rsidP="00457012">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Генеральный директор </w:t>
            </w:r>
            <w:r w:rsidR="0008080E">
              <w:rPr>
                <w:rFonts w:eastAsia="Times New Roman"/>
                <w:color w:val="000000"/>
                <w:sz w:val="20"/>
                <w:szCs w:val="20"/>
                <w:lang w:eastAsia="ru-RU"/>
              </w:rPr>
              <w:t>ЗАО </w:t>
            </w:r>
            <w:r w:rsidRPr="004761E0">
              <w:rPr>
                <w:rFonts w:eastAsia="Times New Roman"/>
                <w:color w:val="000000"/>
                <w:sz w:val="20"/>
                <w:szCs w:val="20"/>
                <w:lang w:eastAsia="ru-RU"/>
              </w:rPr>
              <w:t>«Лидер» (Компании по управлению активами пенсионного фонда)</w:t>
            </w:r>
          </w:p>
        </w:tc>
      </w:tr>
      <w:tr w:rsidR="00457012" w:rsidRPr="004761E0" w:rsidTr="00457012">
        <w:trPr>
          <w:trHeight w:val="41"/>
        </w:trPr>
        <w:tc>
          <w:tcPr>
            <w:tcW w:w="567" w:type="dxa"/>
            <w:shd w:val="clear" w:color="auto" w:fill="auto"/>
            <w:vAlign w:val="center"/>
          </w:tcPr>
          <w:p w:rsidR="00457012" w:rsidRPr="004761E0" w:rsidRDefault="00457012" w:rsidP="007076A7">
            <w:pPr>
              <w:pStyle w:val="a5"/>
              <w:numPr>
                <w:ilvl w:val="0"/>
                <w:numId w:val="24"/>
              </w:numPr>
              <w:tabs>
                <w:tab w:val="left" w:pos="333"/>
              </w:tabs>
              <w:ind w:left="0" w:firstLine="0"/>
              <w:contextualSpacing w:val="0"/>
              <w:jc w:val="left"/>
              <w:rPr>
                <w:rFonts w:eastAsia="Times New Roman"/>
                <w:color w:val="000000"/>
                <w:sz w:val="20"/>
                <w:szCs w:val="20"/>
                <w:lang w:eastAsia="ru-RU"/>
              </w:rPr>
            </w:pPr>
          </w:p>
        </w:tc>
        <w:tc>
          <w:tcPr>
            <w:tcW w:w="1985" w:type="dxa"/>
            <w:shd w:val="clear" w:color="auto" w:fill="auto"/>
            <w:vAlign w:val="center"/>
            <w:hideMark/>
          </w:tcPr>
          <w:p w:rsidR="00457012" w:rsidRPr="004761E0" w:rsidRDefault="00457012" w:rsidP="00457012">
            <w:pPr>
              <w:ind w:firstLine="0"/>
              <w:jc w:val="left"/>
              <w:rPr>
                <w:rFonts w:eastAsia="Times New Roman"/>
                <w:color w:val="000000"/>
                <w:sz w:val="20"/>
                <w:szCs w:val="20"/>
                <w:lang w:eastAsia="ru-RU"/>
              </w:rPr>
            </w:pPr>
            <w:r w:rsidRPr="004761E0">
              <w:rPr>
                <w:rFonts w:eastAsia="Times New Roman"/>
                <w:color w:val="000000"/>
                <w:sz w:val="20"/>
                <w:szCs w:val="20"/>
                <w:lang w:eastAsia="ru-RU"/>
              </w:rPr>
              <w:t>Голубев П.В.</w:t>
            </w:r>
          </w:p>
        </w:tc>
        <w:tc>
          <w:tcPr>
            <w:tcW w:w="7513" w:type="dxa"/>
            <w:shd w:val="clear" w:color="auto" w:fill="auto"/>
            <w:vAlign w:val="center"/>
            <w:hideMark/>
          </w:tcPr>
          <w:p w:rsidR="00457012" w:rsidRPr="004761E0" w:rsidRDefault="00457012" w:rsidP="00457012">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Директор по эксплуатации и ТОиР </w:t>
            </w:r>
            <w:r w:rsidR="0008080E">
              <w:rPr>
                <w:rFonts w:eastAsia="Times New Roman"/>
                <w:color w:val="000000"/>
                <w:sz w:val="20"/>
                <w:szCs w:val="20"/>
                <w:lang w:eastAsia="ru-RU"/>
              </w:rPr>
              <w:t>ОАО </w:t>
            </w:r>
            <w:r w:rsidRPr="004761E0">
              <w:rPr>
                <w:rFonts w:eastAsia="Times New Roman"/>
                <w:color w:val="000000"/>
                <w:sz w:val="20"/>
                <w:szCs w:val="20"/>
                <w:lang w:eastAsia="ru-RU"/>
              </w:rPr>
              <w:t>«Холдинг МРСК»</w:t>
            </w:r>
          </w:p>
        </w:tc>
      </w:tr>
      <w:tr w:rsidR="00457012" w:rsidRPr="004761E0" w:rsidTr="00457012">
        <w:trPr>
          <w:trHeight w:val="346"/>
        </w:trPr>
        <w:tc>
          <w:tcPr>
            <w:tcW w:w="567" w:type="dxa"/>
            <w:shd w:val="clear" w:color="auto" w:fill="auto"/>
            <w:vAlign w:val="center"/>
          </w:tcPr>
          <w:p w:rsidR="00457012" w:rsidRPr="004761E0" w:rsidRDefault="00457012" w:rsidP="007076A7">
            <w:pPr>
              <w:pStyle w:val="a5"/>
              <w:numPr>
                <w:ilvl w:val="0"/>
                <w:numId w:val="24"/>
              </w:numPr>
              <w:tabs>
                <w:tab w:val="left" w:pos="333"/>
              </w:tabs>
              <w:ind w:left="0" w:firstLine="0"/>
              <w:contextualSpacing w:val="0"/>
              <w:jc w:val="left"/>
              <w:rPr>
                <w:rFonts w:eastAsia="Times New Roman"/>
                <w:color w:val="000000"/>
                <w:sz w:val="20"/>
                <w:szCs w:val="20"/>
                <w:lang w:eastAsia="ru-RU"/>
              </w:rPr>
            </w:pPr>
          </w:p>
        </w:tc>
        <w:tc>
          <w:tcPr>
            <w:tcW w:w="1985" w:type="dxa"/>
            <w:shd w:val="clear" w:color="auto" w:fill="auto"/>
            <w:vAlign w:val="center"/>
            <w:hideMark/>
          </w:tcPr>
          <w:p w:rsidR="00457012" w:rsidRPr="004761E0" w:rsidRDefault="00457012" w:rsidP="00457012">
            <w:pPr>
              <w:ind w:firstLine="0"/>
              <w:jc w:val="left"/>
              <w:rPr>
                <w:rFonts w:eastAsia="Times New Roman"/>
                <w:color w:val="000000"/>
                <w:sz w:val="20"/>
                <w:szCs w:val="20"/>
                <w:lang w:eastAsia="ru-RU"/>
              </w:rPr>
            </w:pPr>
            <w:r w:rsidRPr="004761E0">
              <w:rPr>
                <w:rFonts w:eastAsia="Times New Roman"/>
                <w:color w:val="000000"/>
                <w:sz w:val="20"/>
                <w:szCs w:val="20"/>
                <w:lang w:eastAsia="ru-RU"/>
              </w:rPr>
              <w:t>Гончаров В.А.</w:t>
            </w:r>
          </w:p>
        </w:tc>
        <w:tc>
          <w:tcPr>
            <w:tcW w:w="7513" w:type="dxa"/>
            <w:shd w:val="clear" w:color="auto" w:fill="auto"/>
            <w:vAlign w:val="center"/>
            <w:hideMark/>
          </w:tcPr>
          <w:p w:rsidR="00457012" w:rsidRPr="004761E0" w:rsidRDefault="00457012" w:rsidP="00457012">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Заместитель Председателя Правления </w:t>
            </w:r>
            <w:r w:rsidR="0008080E">
              <w:rPr>
                <w:rFonts w:eastAsia="Times New Roman"/>
                <w:color w:val="000000"/>
                <w:sz w:val="20"/>
                <w:szCs w:val="20"/>
                <w:lang w:eastAsia="ru-RU"/>
              </w:rPr>
              <w:t>ОАО </w:t>
            </w:r>
            <w:r w:rsidRPr="004761E0">
              <w:rPr>
                <w:rFonts w:eastAsia="Times New Roman"/>
                <w:color w:val="000000"/>
                <w:sz w:val="20"/>
                <w:szCs w:val="20"/>
                <w:lang w:eastAsia="ru-RU"/>
              </w:rPr>
              <w:t xml:space="preserve"> «ФСК ЕЭС», Заместитель Исполнительного директора по инвестиционной деятельности </w:t>
            </w:r>
            <w:r w:rsidR="0008080E">
              <w:rPr>
                <w:rFonts w:eastAsia="Times New Roman"/>
                <w:color w:val="000000"/>
                <w:sz w:val="20"/>
                <w:szCs w:val="20"/>
                <w:lang w:eastAsia="ru-RU"/>
              </w:rPr>
              <w:t>ОАО </w:t>
            </w:r>
            <w:r w:rsidRPr="004761E0">
              <w:rPr>
                <w:rFonts w:eastAsia="Times New Roman"/>
                <w:color w:val="000000"/>
                <w:sz w:val="20"/>
                <w:szCs w:val="20"/>
                <w:lang w:eastAsia="ru-RU"/>
              </w:rPr>
              <w:t>«Холдинг МРСК»</w:t>
            </w:r>
          </w:p>
        </w:tc>
      </w:tr>
      <w:tr w:rsidR="00457012" w:rsidRPr="004761E0" w:rsidTr="00457012">
        <w:trPr>
          <w:trHeight w:val="489"/>
        </w:trPr>
        <w:tc>
          <w:tcPr>
            <w:tcW w:w="567" w:type="dxa"/>
            <w:shd w:val="clear" w:color="auto" w:fill="auto"/>
            <w:vAlign w:val="center"/>
          </w:tcPr>
          <w:p w:rsidR="00457012" w:rsidRPr="004761E0" w:rsidRDefault="00457012" w:rsidP="007076A7">
            <w:pPr>
              <w:pStyle w:val="a5"/>
              <w:numPr>
                <w:ilvl w:val="0"/>
                <w:numId w:val="24"/>
              </w:numPr>
              <w:tabs>
                <w:tab w:val="left" w:pos="333"/>
              </w:tabs>
              <w:ind w:left="0" w:firstLine="0"/>
              <w:contextualSpacing w:val="0"/>
              <w:jc w:val="left"/>
              <w:rPr>
                <w:rFonts w:eastAsia="Times New Roman"/>
                <w:color w:val="000000"/>
                <w:sz w:val="20"/>
                <w:szCs w:val="20"/>
                <w:lang w:eastAsia="ru-RU"/>
              </w:rPr>
            </w:pPr>
          </w:p>
        </w:tc>
        <w:tc>
          <w:tcPr>
            <w:tcW w:w="1985" w:type="dxa"/>
            <w:shd w:val="clear" w:color="auto" w:fill="auto"/>
            <w:vAlign w:val="center"/>
            <w:hideMark/>
          </w:tcPr>
          <w:p w:rsidR="00457012" w:rsidRPr="004761E0" w:rsidRDefault="00457012" w:rsidP="00457012">
            <w:pPr>
              <w:ind w:firstLine="0"/>
              <w:jc w:val="left"/>
              <w:rPr>
                <w:rFonts w:eastAsia="Times New Roman"/>
                <w:color w:val="000000"/>
                <w:sz w:val="20"/>
                <w:szCs w:val="20"/>
                <w:lang w:eastAsia="ru-RU"/>
              </w:rPr>
            </w:pPr>
            <w:r w:rsidRPr="004761E0">
              <w:rPr>
                <w:rFonts w:eastAsia="Times New Roman"/>
                <w:color w:val="000000"/>
                <w:sz w:val="20"/>
                <w:szCs w:val="20"/>
                <w:lang w:eastAsia="ru-RU"/>
              </w:rPr>
              <w:t>Кербер С.М.</w:t>
            </w:r>
          </w:p>
        </w:tc>
        <w:tc>
          <w:tcPr>
            <w:tcW w:w="7513" w:type="dxa"/>
            <w:shd w:val="clear" w:color="auto" w:fill="auto"/>
            <w:vAlign w:val="center"/>
            <w:hideMark/>
          </w:tcPr>
          <w:p w:rsidR="00457012" w:rsidRPr="004761E0" w:rsidRDefault="00457012" w:rsidP="00457012">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Руководитель дирекции инвестиционных проектов и программ – Управляющий директор </w:t>
            </w:r>
            <w:r w:rsidR="0008080E">
              <w:rPr>
                <w:rFonts w:eastAsia="Times New Roman"/>
                <w:color w:val="000000"/>
                <w:sz w:val="20"/>
                <w:szCs w:val="20"/>
                <w:lang w:eastAsia="ru-RU"/>
              </w:rPr>
              <w:t>ЗАО </w:t>
            </w:r>
            <w:r w:rsidRPr="004761E0">
              <w:rPr>
                <w:rFonts w:eastAsia="Times New Roman"/>
                <w:color w:val="000000"/>
                <w:sz w:val="20"/>
                <w:szCs w:val="20"/>
                <w:lang w:eastAsia="ru-RU"/>
              </w:rPr>
              <w:t>«Лидер» (Компании по управлению активами пенсионного фонда)</w:t>
            </w:r>
          </w:p>
        </w:tc>
      </w:tr>
      <w:tr w:rsidR="00457012" w:rsidRPr="004761E0" w:rsidTr="00457012">
        <w:trPr>
          <w:trHeight w:val="350"/>
        </w:trPr>
        <w:tc>
          <w:tcPr>
            <w:tcW w:w="567" w:type="dxa"/>
            <w:shd w:val="clear" w:color="auto" w:fill="auto"/>
            <w:vAlign w:val="center"/>
          </w:tcPr>
          <w:p w:rsidR="00457012" w:rsidRPr="004761E0" w:rsidRDefault="00457012" w:rsidP="007076A7">
            <w:pPr>
              <w:pStyle w:val="a5"/>
              <w:numPr>
                <w:ilvl w:val="0"/>
                <w:numId w:val="24"/>
              </w:numPr>
              <w:tabs>
                <w:tab w:val="left" w:pos="333"/>
              </w:tabs>
              <w:ind w:left="0" w:firstLine="0"/>
              <w:contextualSpacing w:val="0"/>
              <w:jc w:val="left"/>
              <w:rPr>
                <w:rFonts w:eastAsia="Times New Roman"/>
                <w:color w:val="000000"/>
                <w:sz w:val="20"/>
                <w:szCs w:val="20"/>
                <w:lang w:eastAsia="ru-RU"/>
              </w:rPr>
            </w:pPr>
          </w:p>
        </w:tc>
        <w:tc>
          <w:tcPr>
            <w:tcW w:w="1985" w:type="dxa"/>
            <w:shd w:val="clear" w:color="auto" w:fill="auto"/>
            <w:vAlign w:val="center"/>
            <w:hideMark/>
          </w:tcPr>
          <w:p w:rsidR="00457012" w:rsidRPr="004761E0" w:rsidRDefault="00457012" w:rsidP="00457012">
            <w:pPr>
              <w:ind w:firstLine="0"/>
              <w:jc w:val="left"/>
              <w:rPr>
                <w:rFonts w:eastAsia="Times New Roman"/>
                <w:color w:val="000000"/>
                <w:sz w:val="20"/>
                <w:szCs w:val="20"/>
                <w:lang w:eastAsia="ru-RU"/>
              </w:rPr>
            </w:pPr>
            <w:r w:rsidRPr="004761E0">
              <w:rPr>
                <w:rFonts w:eastAsia="Times New Roman"/>
                <w:color w:val="000000"/>
                <w:sz w:val="20"/>
                <w:szCs w:val="20"/>
                <w:lang w:eastAsia="ru-RU"/>
              </w:rPr>
              <w:t>Муров А.Е.</w:t>
            </w:r>
          </w:p>
          <w:p w:rsidR="00457012" w:rsidRPr="004761E0" w:rsidRDefault="00457012" w:rsidP="00457012">
            <w:pPr>
              <w:ind w:firstLine="0"/>
              <w:jc w:val="left"/>
              <w:rPr>
                <w:rFonts w:eastAsia="Times New Roman"/>
                <w:color w:val="000000"/>
                <w:sz w:val="20"/>
                <w:szCs w:val="20"/>
                <w:lang w:eastAsia="ru-RU"/>
              </w:rPr>
            </w:pPr>
            <w:r w:rsidRPr="004761E0">
              <w:rPr>
                <w:rFonts w:eastAsia="Times New Roman"/>
                <w:color w:val="000000"/>
                <w:sz w:val="20"/>
                <w:szCs w:val="20"/>
                <w:lang w:eastAsia="ru-RU"/>
              </w:rPr>
              <w:t>(Заместитель председателя Совета директоров)</w:t>
            </w:r>
          </w:p>
        </w:tc>
        <w:tc>
          <w:tcPr>
            <w:tcW w:w="7513" w:type="dxa"/>
            <w:shd w:val="clear" w:color="auto" w:fill="auto"/>
            <w:vAlign w:val="center"/>
            <w:hideMark/>
          </w:tcPr>
          <w:p w:rsidR="00457012" w:rsidRPr="004761E0" w:rsidRDefault="00457012" w:rsidP="00457012">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Первый заместитель Председателя Правления </w:t>
            </w:r>
            <w:r w:rsidR="0008080E">
              <w:rPr>
                <w:rFonts w:eastAsia="Times New Roman"/>
                <w:color w:val="000000"/>
                <w:sz w:val="20"/>
                <w:szCs w:val="20"/>
                <w:lang w:eastAsia="ru-RU"/>
              </w:rPr>
              <w:t>ОАО </w:t>
            </w:r>
            <w:r w:rsidRPr="004761E0">
              <w:rPr>
                <w:rFonts w:eastAsia="Times New Roman"/>
                <w:color w:val="000000"/>
                <w:sz w:val="20"/>
                <w:szCs w:val="20"/>
                <w:lang w:eastAsia="ru-RU"/>
              </w:rPr>
              <w:t xml:space="preserve">«ФСК ЕЭС», Исполнительный директор </w:t>
            </w:r>
            <w:r w:rsidR="0008080E">
              <w:rPr>
                <w:rFonts w:eastAsia="Times New Roman"/>
                <w:color w:val="000000"/>
                <w:sz w:val="20"/>
                <w:szCs w:val="20"/>
                <w:lang w:eastAsia="ru-RU"/>
              </w:rPr>
              <w:t>ОАО </w:t>
            </w:r>
            <w:r w:rsidRPr="004761E0">
              <w:rPr>
                <w:rFonts w:eastAsia="Times New Roman"/>
                <w:color w:val="000000"/>
                <w:sz w:val="20"/>
                <w:szCs w:val="20"/>
                <w:lang w:eastAsia="ru-RU"/>
              </w:rPr>
              <w:t>«Холдинг МРСК»</w:t>
            </w:r>
          </w:p>
        </w:tc>
      </w:tr>
      <w:tr w:rsidR="00457012" w:rsidRPr="004761E0" w:rsidTr="00457012">
        <w:trPr>
          <w:trHeight w:val="202"/>
        </w:trPr>
        <w:tc>
          <w:tcPr>
            <w:tcW w:w="567" w:type="dxa"/>
            <w:shd w:val="clear" w:color="auto" w:fill="auto"/>
            <w:vAlign w:val="center"/>
          </w:tcPr>
          <w:p w:rsidR="00457012" w:rsidRPr="004761E0" w:rsidRDefault="00457012" w:rsidP="007076A7">
            <w:pPr>
              <w:pStyle w:val="a5"/>
              <w:numPr>
                <w:ilvl w:val="0"/>
                <w:numId w:val="24"/>
              </w:numPr>
              <w:tabs>
                <w:tab w:val="left" w:pos="333"/>
              </w:tabs>
              <w:ind w:left="0" w:firstLine="0"/>
              <w:contextualSpacing w:val="0"/>
              <w:jc w:val="left"/>
              <w:rPr>
                <w:rFonts w:eastAsia="Times New Roman"/>
                <w:color w:val="000000"/>
                <w:sz w:val="20"/>
                <w:szCs w:val="20"/>
                <w:lang w:eastAsia="ru-RU"/>
              </w:rPr>
            </w:pPr>
          </w:p>
        </w:tc>
        <w:tc>
          <w:tcPr>
            <w:tcW w:w="1985" w:type="dxa"/>
            <w:shd w:val="clear" w:color="auto" w:fill="auto"/>
            <w:vAlign w:val="center"/>
            <w:hideMark/>
          </w:tcPr>
          <w:p w:rsidR="00457012" w:rsidRPr="004761E0" w:rsidRDefault="00457012" w:rsidP="00457012">
            <w:pPr>
              <w:ind w:firstLine="0"/>
              <w:jc w:val="left"/>
              <w:rPr>
                <w:rFonts w:eastAsia="Times New Roman"/>
                <w:color w:val="000000"/>
                <w:sz w:val="20"/>
                <w:szCs w:val="20"/>
                <w:lang w:eastAsia="ru-RU"/>
              </w:rPr>
            </w:pPr>
            <w:r w:rsidRPr="004761E0">
              <w:rPr>
                <w:rFonts w:eastAsia="Times New Roman"/>
                <w:color w:val="000000"/>
                <w:sz w:val="20"/>
                <w:szCs w:val="20"/>
                <w:lang w:eastAsia="ru-RU"/>
              </w:rPr>
              <w:t>Назин В.Л.</w:t>
            </w:r>
          </w:p>
        </w:tc>
        <w:tc>
          <w:tcPr>
            <w:tcW w:w="7513" w:type="dxa"/>
            <w:shd w:val="clear" w:color="auto" w:fill="auto"/>
            <w:vAlign w:val="center"/>
            <w:hideMark/>
          </w:tcPr>
          <w:p w:rsidR="00457012" w:rsidRPr="004761E0" w:rsidRDefault="00457012" w:rsidP="00457012">
            <w:pPr>
              <w:ind w:firstLine="0"/>
              <w:jc w:val="left"/>
              <w:rPr>
                <w:rFonts w:eastAsia="Times New Roman"/>
                <w:color w:val="000000"/>
                <w:sz w:val="20"/>
                <w:szCs w:val="20"/>
                <w:lang w:eastAsia="ru-RU"/>
              </w:rPr>
            </w:pPr>
            <w:r w:rsidRPr="004761E0">
              <w:rPr>
                <w:rFonts w:eastAsia="Times New Roman"/>
                <w:color w:val="000000"/>
                <w:sz w:val="20"/>
                <w:szCs w:val="20"/>
                <w:lang w:eastAsia="ru-RU"/>
              </w:rPr>
              <w:t>Независимый консультант в электроэнергетике</w:t>
            </w:r>
          </w:p>
        </w:tc>
      </w:tr>
      <w:tr w:rsidR="00457012" w:rsidRPr="004761E0" w:rsidTr="00457012">
        <w:trPr>
          <w:trHeight w:val="350"/>
        </w:trPr>
        <w:tc>
          <w:tcPr>
            <w:tcW w:w="567" w:type="dxa"/>
            <w:shd w:val="clear" w:color="auto" w:fill="auto"/>
            <w:vAlign w:val="center"/>
          </w:tcPr>
          <w:p w:rsidR="00457012" w:rsidRPr="004761E0" w:rsidRDefault="00457012" w:rsidP="007076A7">
            <w:pPr>
              <w:pStyle w:val="a5"/>
              <w:numPr>
                <w:ilvl w:val="0"/>
                <w:numId w:val="24"/>
              </w:numPr>
              <w:tabs>
                <w:tab w:val="left" w:pos="333"/>
              </w:tabs>
              <w:ind w:left="0" w:firstLine="0"/>
              <w:contextualSpacing w:val="0"/>
              <w:jc w:val="left"/>
              <w:rPr>
                <w:rFonts w:eastAsia="Times New Roman"/>
                <w:color w:val="000000"/>
                <w:sz w:val="20"/>
                <w:szCs w:val="20"/>
                <w:lang w:eastAsia="ru-RU"/>
              </w:rPr>
            </w:pPr>
          </w:p>
        </w:tc>
        <w:tc>
          <w:tcPr>
            <w:tcW w:w="1985" w:type="dxa"/>
            <w:shd w:val="clear" w:color="auto" w:fill="auto"/>
            <w:vAlign w:val="center"/>
            <w:hideMark/>
          </w:tcPr>
          <w:p w:rsidR="00457012" w:rsidRPr="004761E0" w:rsidRDefault="00457012" w:rsidP="00457012">
            <w:pPr>
              <w:ind w:firstLine="0"/>
              <w:jc w:val="left"/>
              <w:rPr>
                <w:rFonts w:eastAsia="Times New Roman"/>
                <w:color w:val="000000"/>
                <w:sz w:val="20"/>
                <w:szCs w:val="20"/>
                <w:lang w:eastAsia="ru-RU"/>
              </w:rPr>
            </w:pPr>
            <w:r w:rsidRPr="004761E0">
              <w:rPr>
                <w:rFonts w:eastAsia="Times New Roman"/>
                <w:color w:val="000000"/>
                <w:sz w:val="20"/>
                <w:szCs w:val="20"/>
                <w:lang w:eastAsia="ru-RU"/>
              </w:rPr>
              <w:t>Нуждов А.В.</w:t>
            </w:r>
          </w:p>
        </w:tc>
        <w:tc>
          <w:tcPr>
            <w:tcW w:w="7513" w:type="dxa"/>
            <w:shd w:val="clear" w:color="auto" w:fill="auto"/>
            <w:vAlign w:val="center"/>
            <w:hideMark/>
          </w:tcPr>
          <w:p w:rsidR="00457012" w:rsidRPr="004761E0" w:rsidRDefault="003B2247" w:rsidP="00457012">
            <w:pPr>
              <w:ind w:firstLine="0"/>
              <w:jc w:val="left"/>
              <w:rPr>
                <w:rFonts w:eastAsia="Times New Roman"/>
                <w:color w:val="000000"/>
                <w:sz w:val="20"/>
                <w:szCs w:val="20"/>
                <w:lang w:eastAsia="ru-RU"/>
              </w:rPr>
            </w:pPr>
            <w:r>
              <w:rPr>
                <w:rFonts w:eastAsia="Times New Roman"/>
                <w:color w:val="000000"/>
                <w:sz w:val="20"/>
                <w:szCs w:val="20"/>
                <w:lang w:eastAsia="ru-RU"/>
              </w:rPr>
              <w:t>Заместитель г</w:t>
            </w:r>
            <w:r w:rsidR="00457012" w:rsidRPr="004761E0">
              <w:rPr>
                <w:rFonts w:eastAsia="Times New Roman"/>
                <w:color w:val="000000"/>
                <w:sz w:val="20"/>
                <w:szCs w:val="20"/>
                <w:lang w:eastAsia="ru-RU"/>
              </w:rPr>
              <w:t xml:space="preserve">енерального директора по безопасности </w:t>
            </w:r>
            <w:r w:rsidR="0008080E">
              <w:rPr>
                <w:rFonts w:eastAsia="Times New Roman"/>
                <w:color w:val="000000"/>
                <w:sz w:val="20"/>
                <w:szCs w:val="20"/>
                <w:lang w:eastAsia="ru-RU"/>
              </w:rPr>
              <w:t>ЗАО </w:t>
            </w:r>
            <w:r w:rsidR="00457012" w:rsidRPr="004761E0">
              <w:rPr>
                <w:rFonts w:eastAsia="Times New Roman"/>
                <w:color w:val="000000"/>
                <w:sz w:val="20"/>
                <w:szCs w:val="20"/>
                <w:lang w:eastAsia="ru-RU"/>
              </w:rPr>
              <w:t>«Лидер» (Компании по управлению активами пенсионного фонда)</w:t>
            </w:r>
          </w:p>
        </w:tc>
      </w:tr>
      <w:tr w:rsidR="00457012" w:rsidRPr="004761E0" w:rsidTr="00457012">
        <w:trPr>
          <w:trHeight w:val="274"/>
        </w:trPr>
        <w:tc>
          <w:tcPr>
            <w:tcW w:w="567" w:type="dxa"/>
            <w:shd w:val="clear" w:color="auto" w:fill="auto"/>
            <w:vAlign w:val="center"/>
          </w:tcPr>
          <w:p w:rsidR="00457012" w:rsidRPr="004761E0" w:rsidRDefault="00457012" w:rsidP="007076A7">
            <w:pPr>
              <w:pStyle w:val="a5"/>
              <w:numPr>
                <w:ilvl w:val="0"/>
                <w:numId w:val="24"/>
              </w:numPr>
              <w:tabs>
                <w:tab w:val="left" w:pos="333"/>
              </w:tabs>
              <w:ind w:left="0" w:firstLine="0"/>
              <w:contextualSpacing w:val="0"/>
              <w:jc w:val="left"/>
              <w:rPr>
                <w:rFonts w:eastAsia="Times New Roman"/>
                <w:color w:val="000000"/>
                <w:sz w:val="20"/>
                <w:szCs w:val="20"/>
                <w:lang w:eastAsia="ru-RU"/>
              </w:rPr>
            </w:pPr>
          </w:p>
        </w:tc>
        <w:tc>
          <w:tcPr>
            <w:tcW w:w="1985" w:type="dxa"/>
            <w:shd w:val="clear" w:color="auto" w:fill="auto"/>
            <w:vAlign w:val="center"/>
          </w:tcPr>
          <w:p w:rsidR="00457012" w:rsidRPr="004761E0" w:rsidRDefault="00457012" w:rsidP="00457012">
            <w:pPr>
              <w:ind w:firstLine="0"/>
              <w:jc w:val="left"/>
              <w:rPr>
                <w:rFonts w:eastAsia="Times New Roman"/>
                <w:color w:val="000000"/>
                <w:sz w:val="20"/>
                <w:szCs w:val="20"/>
                <w:lang w:eastAsia="ru-RU"/>
              </w:rPr>
            </w:pPr>
            <w:r w:rsidRPr="004761E0">
              <w:rPr>
                <w:rFonts w:eastAsia="Times New Roman"/>
                <w:color w:val="000000"/>
                <w:sz w:val="20"/>
                <w:szCs w:val="20"/>
                <w:lang w:eastAsia="ru-RU"/>
              </w:rPr>
              <w:t>Седунов В.Н.</w:t>
            </w:r>
          </w:p>
        </w:tc>
        <w:tc>
          <w:tcPr>
            <w:tcW w:w="7513" w:type="dxa"/>
            <w:shd w:val="clear" w:color="auto" w:fill="auto"/>
            <w:vAlign w:val="center"/>
          </w:tcPr>
          <w:p w:rsidR="00457012" w:rsidRPr="004761E0" w:rsidRDefault="00457012" w:rsidP="00457012">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Генеральный директор филиала МЭС Центра </w:t>
            </w:r>
            <w:r w:rsidR="0008080E">
              <w:rPr>
                <w:rFonts w:eastAsia="Times New Roman"/>
                <w:color w:val="000000"/>
                <w:sz w:val="20"/>
                <w:szCs w:val="20"/>
                <w:lang w:eastAsia="ru-RU"/>
              </w:rPr>
              <w:t>ОАО </w:t>
            </w:r>
            <w:r w:rsidRPr="004761E0">
              <w:rPr>
                <w:rFonts w:eastAsia="Times New Roman"/>
                <w:color w:val="000000"/>
                <w:sz w:val="20"/>
                <w:szCs w:val="20"/>
                <w:lang w:eastAsia="ru-RU"/>
              </w:rPr>
              <w:t>«ФСК ЕЭС»</w:t>
            </w:r>
          </w:p>
        </w:tc>
      </w:tr>
      <w:tr w:rsidR="00457012" w:rsidRPr="004761E0" w:rsidTr="00457012">
        <w:trPr>
          <w:trHeight w:val="274"/>
        </w:trPr>
        <w:tc>
          <w:tcPr>
            <w:tcW w:w="567" w:type="dxa"/>
            <w:shd w:val="clear" w:color="auto" w:fill="auto"/>
            <w:vAlign w:val="center"/>
          </w:tcPr>
          <w:p w:rsidR="00457012" w:rsidRPr="004761E0" w:rsidRDefault="00457012" w:rsidP="007076A7">
            <w:pPr>
              <w:pStyle w:val="a5"/>
              <w:numPr>
                <w:ilvl w:val="0"/>
                <w:numId w:val="24"/>
              </w:numPr>
              <w:tabs>
                <w:tab w:val="left" w:pos="333"/>
              </w:tabs>
              <w:ind w:left="0" w:firstLine="0"/>
              <w:contextualSpacing w:val="0"/>
              <w:jc w:val="left"/>
              <w:rPr>
                <w:rFonts w:eastAsia="Times New Roman"/>
                <w:color w:val="000000"/>
                <w:sz w:val="20"/>
                <w:szCs w:val="20"/>
                <w:lang w:eastAsia="ru-RU"/>
              </w:rPr>
            </w:pPr>
          </w:p>
        </w:tc>
        <w:tc>
          <w:tcPr>
            <w:tcW w:w="1985" w:type="dxa"/>
            <w:shd w:val="clear" w:color="auto" w:fill="auto"/>
            <w:vAlign w:val="center"/>
            <w:hideMark/>
          </w:tcPr>
          <w:p w:rsidR="00457012" w:rsidRPr="004761E0" w:rsidRDefault="00457012" w:rsidP="00457012">
            <w:pPr>
              <w:ind w:firstLine="0"/>
              <w:jc w:val="left"/>
              <w:rPr>
                <w:rFonts w:eastAsia="Times New Roman"/>
                <w:color w:val="000000"/>
                <w:sz w:val="20"/>
                <w:szCs w:val="20"/>
                <w:lang w:eastAsia="ru-RU"/>
              </w:rPr>
            </w:pPr>
            <w:r w:rsidRPr="004761E0">
              <w:rPr>
                <w:rFonts w:eastAsia="Times New Roman"/>
                <w:color w:val="000000"/>
                <w:sz w:val="20"/>
                <w:szCs w:val="20"/>
                <w:lang w:eastAsia="ru-RU"/>
              </w:rPr>
              <w:t>Скляров Е.В.</w:t>
            </w:r>
          </w:p>
        </w:tc>
        <w:tc>
          <w:tcPr>
            <w:tcW w:w="7513" w:type="dxa"/>
            <w:shd w:val="clear" w:color="auto" w:fill="auto"/>
            <w:vAlign w:val="center"/>
            <w:hideMark/>
          </w:tcPr>
          <w:p w:rsidR="00457012" w:rsidRPr="004761E0" w:rsidRDefault="00457012" w:rsidP="00457012">
            <w:pPr>
              <w:ind w:firstLine="0"/>
              <w:jc w:val="left"/>
              <w:rPr>
                <w:rFonts w:eastAsia="Times New Roman"/>
                <w:color w:val="000000"/>
                <w:sz w:val="20"/>
                <w:szCs w:val="20"/>
                <w:lang w:eastAsia="ru-RU"/>
              </w:rPr>
            </w:pPr>
            <w:r w:rsidRPr="004761E0">
              <w:rPr>
                <w:rFonts w:eastAsia="Times New Roman"/>
                <w:color w:val="000000"/>
                <w:sz w:val="20"/>
                <w:szCs w:val="20"/>
                <w:lang w:eastAsia="ru-RU"/>
              </w:rPr>
              <w:t>Руководитель Департамента топливно-энергетического хозяйства г. Москвы</w:t>
            </w:r>
          </w:p>
        </w:tc>
      </w:tr>
      <w:tr w:rsidR="00457012" w:rsidRPr="004761E0" w:rsidTr="00457012">
        <w:trPr>
          <w:trHeight w:val="408"/>
        </w:trPr>
        <w:tc>
          <w:tcPr>
            <w:tcW w:w="567" w:type="dxa"/>
            <w:shd w:val="clear" w:color="auto" w:fill="auto"/>
            <w:vAlign w:val="center"/>
          </w:tcPr>
          <w:p w:rsidR="00457012" w:rsidRPr="004761E0" w:rsidRDefault="00457012" w:rsidP="007076A7">
            <w:pPr>
              <w:pStyle w:val="a5"/>
              <w:numPr>
                <w:ilvl w:val="0"/>
                <w:numId w:val="24"/>
              </w:numPr>
              <w:tabs>
                <w:tab w:val="left" w:pos="333"/>
              </w:tabs>
              <w:ind w:left="0" w:firstLine="0"/>
              <w:contextualSpacing w:val="0"/>
              <w:jc w:val="left"/>
              <w:rPr>
                <w:rFonts w:eastAsia="Times New Roman"/>
                <w:color w:val="000000"/>
                <w:sz w:val="20"/>
                <w:szCs w:val="20"/>
                <w:lang w:eastAsia="ru-RU"/>
              </w:rPr>
            </w:pPr>
          </w:p>
        </w:tc>
        <w:tc>
          <w:tcPr>
            <w:tcW w:w="1985" w:type="dxa"/>
            <w:shd w:val="clear" w:color="auto" w:fill="auto"/>
            <w:vAlign w:val="center"/>
            <w:hideMark/>
          </w:tcPr>
          <w:p w:rsidR="00457012" w:rsidRPr="004761E0" w:rsidRDefault="00457012" w:rsidP="00457012">
            <w:pPr>
              <w:ind w:firstLine="0"/>
              <w:jc w:val="left"/>
              <w:rPr>
                <w:rFonts w:eastAsia="Times New Roman"/>
                <w:color w:val="000000"/>
                <w:sz w:val="20"/>
                <w:szCs w:val="20"/>
                <w:lang w:eastAsia="ru-RU"/>
              </w:rPr>
            </w:pPr>
            <w:r w:rsidRPr="004761E0">
              <w:rPr>
                <w:rFonts w:eastAsia="Times New Roman"/>
                <w:color w:val="000000"/>
                <w:sz w:val="20"/>
                <w:szCs w:val="20"/>
                <w:lang w:eastAsia="ru-RU"/>
              </w:rPr>
              <w:t>Скрибот В.</w:t>
            </w:r>
          </w:p>
        </w:tc>
        <w:tc>
          <w:tcPr>
            <w:tcW w:w="7513" w:type="dxa"/>
            <w:shd w:val="clear" w:color="auto" w:fill="auto"/>
            <w:vAlign w:val="center"/>
            <w:hideMark/>
          </w:tcPr>
          <w:p w:rsidR="00457012" w:rsidRPr="004761E0" w:rsidRDefault="00457012" w:rsidP="00457012">
            <w:pPr>
              <w:ind w:firstLine="0"/>
              <w:jc w:val="left"/>
              <w:rPr>
                <w:rFonts w:eastAsia="Times New Roman"/>
                <w:color w:val="000000"/>
                <w:sz w:val="20"/>
                <w:szCs w:val="20"/>
                <w:lang w:eastAsia="ru-RU"/>
              </w:rPr>
            </w:pPr>
            <w:r w:rsidRPr="004761E0">
              <w:rPr>
                <w:rFonts w:eastAsia="Times New Roman"/>
                <w:color w:val="000000"/>
                <w:sz w:val="20"/>
                <w:szCs w:val="20"/>
                <w:lang w:eastAsia="ru-RU"/>
              </w:rPr>
              <w:t>Управляющий директор, начальник Управления электроэнергетики и инфраструктурных проектов Департамента прямых инвестиций ГПБ (ОАО)</w:t>
            </w:r>
          </w:p>
        </w:tc>
      </w:tr>
      <w:tr w:rsidR="00457012" w:rsidRPr="004761E0" w:rsidTr="00457012">
        <w:trPr>
          <w:trHeight w:val="252"/>
        </w:trPr>
        <w:tc>
          <w:tcPr>
            <w:tcW w:w="567" w:type="dxa"/>
            <w:shd w:val="clear" w:color="auto" w:fill="auto"/>
            <w:vAlign w:val="center"/>
          </w:tcPr>
          <w:p w:rsidR="00457012" w:rsidRPr="004761E0" w:rsidRDefault="00457012" w:rsidP="007076A7">
            <w:pPr>
              <w:pStyle w:val="a5"/>
              <w:numPr>
                <w:ilvl w:val="0"/>
                <w:numId w:val="24"/>
              </w:numPr>
              <w:tabs>
                <w:tab w:val="left" w:pos="333"/>
              </w:tabs>
              <w:ind w:left="0" w:firstLine="0"/>
              <w:contextualSpacing w:val="0"/>
              <w:jc w:val="left"/>
              <w:rPr>
                <w:rFonts w:eastAsia="Times New Roman"/>
                <w:color w:val="000000"/>
                <w:sz w:val="20"/>
                <w:szCs w:val="20"/>
                <w:lang w:eastAsia="ru-RU"/>
              </w:rPr>
            </w:pPr>
          </w:p>
        </w:tc>
        <w:tc>
          <w:tcPr>
            <w:tcW w:w="1985" w:type="dxa"/>
            <w:shd w:val="clear" w:color="auto" w:fill="auto"/>
            <w:vAlign w:val="center"/>
            <w:hideMark/>
          </w:tcPr>
          <w:p w:rsidR="00457012" w:rsidRPr="004761E0" w:rsidRDefault="00457012" w:rsidP="00457012">
            <w:pPr>
              <w:ind w:firstLine="0"/>
              <w:jc w:val="left"/>
              <w:rPr>
                <w:rFonts w:eastAsia="Times New Roman"/>
                <w:color w:val="000000"/>
                <w:sz w:val="20"/>
                <w:szCs w:val="20"/>
                <w:lang w:eastAsia="ru-RU"/>
              </w:rPr>
            </w:pPr>
            <w:r w:rsidRPr="004761E0">
              <w:rPr>
                <w:rFonts w:eastAsia="Times New Roman"/>
                <w:color w:val="000000"/>
                <w:sz w:val="20"/>
                <w:szCs w:val="20"/>
                <w:lang w:eastAsia="ru-RU"/>
              </w:rPr>
              <w:t>Тихонова М.Г.</w:t>
            </w:r>
          </w:p>
        </w:tc>
        <w:tc>
          <w:tcPr>
            <w:tcW w:w="7513" w:type="dxa"/>
            <w:shd w:val="clear" w:color="auto" w:fill="auto"/>
            <w:vAlign w:val="center"/>
            <w:hideMark/>
          </w:tcPr>
          <w:p w:rsidR="00457012" w:rsidRPr="004761E0" w:rsidRDefault="00457012" w:rsidP="00457012">
            <w:pPr>
              <w:ind w:firstLine="0"/>
              <w:jc w:val="left"/>
              <w:rPr>
                <w:rFonts w:eastAsia="Times New Roman"/>
                <w:color w:val="000000"/>
                <w:sz w:val="20"/>
                <w:szCs w:val="20"/>
                <w:lang w:eastAsia="ru-RU"/>
              </w:rPr>
            </w:pPr>
            <w:r w:rsidRPr="004761E0">
              <w:rPr>
                <w:rFonts w:eastAsia="Times New Roman"/>
                <w:color w:val="000000"/>
                <w:sz w:val="20"/>
                <w:szCs w:val="20"/>
                <w:lang w:eastAsia="ru-RU"/>
              </w:rPr>
              <w:t>-</w:t>
            </w:r>
          </w:p>
        </w:tc>
      </w:tr>
      <w:tr w:rsidR="00457012" w:rsidRPr="004761E0" w:rsidTr="00457012">
        <w:trPr>
          <w:trHeight w:val="354"/>
        </w:trPr>
        <w:tc>
          <w:tcPr>
            <w:tcW w:w="567" w:type="dxa"/>
            <w:shd w:val="clear" w:color="auto" w:fill="auto"/>
            <w:vAlign w:val="center"/>
          </w:tcPr>
          <w:p w:rsidR="00457012" w:rsidRPr="004761E0" w:rsidRDefault="00457012" w:rsidP="007076A7">
            <w:pPr>
              <w:pStyle w:val="a5"/>
              <w:numPr>
                <w:ilvl w:val="0"/>
                <w:numId w:val="24"/>
              </w:numPr>
              <w:tabs>
                <w:tab w:val="left" w:pos="333"/>
              </w:tabs>
              <w:ind w:left="0" w:firstLine="0"/>
              <w:contextualSpacing w:val="0"/>
              <w:jc w:val="left"/>
              <w:rPr>
                <w:rFonts w:eastAsia="Times New Roman"/>
                <w:color w:val="000000"/>
                <w:sz w:val="20"/>
                <w:szCs w:val="20"/>
                <w:lang w:eastAsia="ru-RU"/>
              </w:rPr>
            </w:pPr>
          </w:p>
        </w:tc>
        <w:tc>
          <w:tcPr>
            <w:tcW w:w="1985" w:type="dxa"/>
            <w:shd w:val="clear" w:color="auto" w:fill="auto"/>
            <w:vAlign w:val="center"/>
            <w:hideMark/>
          </w:tcPr>
          <w:p w:rsidR="00457012" w:rsidRPr="004761E0" w:rsidRDefault="00457012" w:rsidP="00457012">
            <w:pPr>
              <w:ind w:firstLine="0"/>
              <w:jc w:val="left"/>
              <w:rPr>
                <w:rFonts w:eastAsia="Times New Roman"/>
                <w:color w:val="000000"/>
                <w:sz w:val="20"/>
                <w:szCs w:val="20"/>
                <w:lang w:eastAsia="ru-RU"/>
              </w:rPr>
            </w:pPr>
            <w:r w:rsidRPr="004761E0">
              <w:rPr>
                <w:rFonts w:eastAsia="Times New Roman"/>
                <w:color w:val="000000"/>
                <w:sz w:val="20"/>
                <w:szCs w:val="20"/>
                <w:lang w:eastAsia="ru-RU"/>
              </w:rPr>
              <w:t>Хвалин И.В.</w:t>
            </w:r>
          </w:p>
        </w:tc>
        <w:tc>
          <w:tcPr>
            <w:tcW w:w="7513" w:type="dxa"/>
            <w:shd w:val="clear" w:color="auto" w:fill="auto"/>
            <w:vAlign w:val="center"/>
            <w:hideMark/>
          </w:tcPr>
          <w:p w:rsidR="00457012" w:rsidRPr="004761E0" w:rsidRDefault="00457012" w:rsidP="00457012">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Заместитель Председателя Правления </w:t>
            </w:r>
            <w:r w:rsidR="0008080E">
              <w:rPr>
                <w:rFonts w:eastAsia="Times New Roman"/>
                <w:color w:val="000000"/>
                <w:sz w:val="20"/>
                <w:szCs w:val="20"/>
                <w:lang w:eastAsia="ru-RU"/>
              </w:rPr>
              <w:t>ОАО </w:t>
            </w:r>
            <w:r w:rsidRPr="004761E0">
              <w:rPr>
                <w:rFonts w:eastAsia="Times New Roman"/>
                <w:color w:val="000000"/>
                <w:sz w:val="20"/>
                <w:szCs w:val="20"/>
                <w:lang w:eastAsia="ru-RU"/>
              </w:rPr>
              <w:t>«ФСК  ЕЭС»</w:t>
            </w:r>
          </w:p>
        </w:tc>
      </w:tr>
    </w:tbl>
    <w:p w:rsidR="00457012" w:rsidRPr="004761E0" w:rsidRDefault="00457012">
      <w:pPr>
        <w:ind w:firstLine="0"/>
        <w:jc w:val="left"/>
        <w:rPr>
          <w:rStyle w:val="A50"/>
          <w:bCs/>
          <w:sz w:val="26"/>
          <w:szCs w:val="26"/>
        </w:rPr>
      </w:pPr>
    </w:p>
    <w:p w:rsidR="00457012" w:rsidRPr="004761E0" w:rsidRDefault="00457012">
      <w:pPr>
        <w:ind w:firstLine="0"/>
        <w:jc w:val="left"/>
        <w:rPr>
          <w:rStyle w:val="A50"/>
          <w:bCs/>
          <w:sz w:val="26"/>
          <w:szCs w:val="26"/>
        </w:rPr>
        <w:sectPr w:rsidR="00457012" w:rsidRPr="004761E0" w:rsidSect="00A232BD">
          <w:pgSz w:w="11907" w:h="16840" w:code="9"/>
          <w:pgMar w:top="1418" w:right="851" w:bottom="720" w:left="1134" w:header="720" w:footer="720" w:gutter="0"/>
          <w:cols w:space="720"/>
          <w:docGrid w:linePitch="326"/>
        </w:sectPr>
      </w:pPr>
    </w:p>
    <w:p w:rsidR="00457012" w:rsidRPr="004761E0" w:rsidRDefault="00457012" w:rsidP="0086454D">
      <w:pPr>
        <w:spacing w:before="120" w:after="120"/>
        <w:rPr>
          <w:sz w:val="26"/>
          <w:szCs w:val="26"/>
          <w:lang w:eastAsia="ru-RU"/>
        </w:rPr>
      </w:pPr>
      <w:r w:rsidRPr="004761E0">
        <w:rPr>
          <w:rStyle w:val="A50"/>
          <w:bCs/>
          <w:sz w:val="26"/>
          <w:szCs w:val="26"/>
        </w:rPr>
        <w:lastRenderedPageBreak/>
        <w:t xml:space="preserve">Действующий Совет директоров </w:t>
      </w:r>
      <w:r w:rsidRPr="004761E0">
        <w:rPr>
          <w:rStyle w:val="A50"/>
          <w:sz w:val="26"/>
          <w:szCs w:val="26"/>
        </w:rPr>
        <w:t>избран годовым Общим собранием акционеров 26.06.2013:</w:t>
      </w:r>
    </w:p>
    <w:tbl>
      <w:tblPr>
        <w:tblW w:w="159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1702"/>
        <w:gridCol w:w="3119"/>
        <w:gridCol w:w="850"/>
        <w:gridCol w:w="3686"/>
        <w:gridCol w:w="1276"/>
        <w:gridCol w:w="1418"/>
        <w:gridCol w:w="1984"/>
        <w:gridCol w:w="1475"/>
      </w:tblGrid>
      <w:tr w:rsidR="00457012" w:rsidRPr="004761E0" w:rsidTr="002103CF">
        <w:trPr>
          <w:trHeight w:val="155"/>
        </w:trPr>
        <w:tc>
          <w:tcPr>
            <w:tcW w:w="425" w:type="dxa"/>
            <w:tcBorders>
              <w:right w:val="single" w:sz="4" w:space="0" w:color="FFFFFF" w:themeColor="background1"/>
            </w:tcBorders>
            <w:shd w:val="clear" w:color="auto" w:fill="0F243E" w:themeFill="text2" w:themeFillShade="80"/>
            <w:vAlign w:val="center"/>
          </w:tcPr>
          <w:p w:rsidR="00457012" w:rsidRPr="004761E0" w:rsidRDefault="00457012" w:rsidP="00457012">
            <w:pPr>
              <w:pStyle w:val="a5"/>
              <w:tabs>
                <w:tab w:val="left" w:pos="333"/>
              </w:tabs>
              <w:ind w:left="0" w:firstLine="0"/>
              <w:contextualSpacing w:val="0"/>
              <w:jc w:val="lef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 п/п</w:t>
            </w:r>
          </w:p>
        </w:tc>
        <w:tc>
          <w:tcPr>
            <w:tcW w:w="1702" w:type="dxa"/>
            <w:tcBorders>
              <w:left w:val="single" w:sz="4" w:space="0" w:color="FFFFFF" w:themeColor="background1"/>
              <w:right w:val="single" w:sz="4" w:space="0" w:color="FFFFFF" w:themeColor="background1"/>
            </w:tcBorders>
            <w:shd w:val="clear" w:color="auto" w:fill="0F243E" w:themeFill="text2" w:themeFillShade="80"/>
            <w:vAlign w:val="center"/>
          </w:tcPr>
          <w:p w:rsidR="00457012" w:rsidRPr="004761E0" w:rsidRDefault="00457012" w:rsidP="00457012">
            <w:pPr>
              <w:ind w:firstLine="0"/>
              <w:jc w:val="lef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Ф.И.О.</w:t>
            </w:r>
          </w:p>
        </w:tc>
        <w:tc>
          <w:tcPr>
            <w:tcW w:w="3119" w:type="dxa"/>
            <w:tcBorders>
              <w:left w:val="single" w:sz="4" w:space="0" w:color="FFFFFF" w:themeColor="background1"/>
              <w:right w:val="single" w:sz="4" w:space="0" w:color="FFFFFF" w:themeColor="background1"/>
            </w:tcBorders>
            <w:shd w:val="clear" w:color="auto" w:fill="0F243E" w:themeFill="text2" w:themeFillShade="80"/>
            <w:vAlign w:val="center"/>
          </w:tcPr>
          <w:p w:rsidR="00457012" w:rsidRPr="004761E0" w:rsidRDefault="00457012" w:rsidP="00457012">
            <w:pPr>
              <w:ind w:firstLine="0"/>
              <w:jc w:val="lef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 xml:space="preserve">Должность по состоянию на 31.12.2013 </w:t>
            </w:r>
          </w:p>
        </w:tc>
        <w:tc>
          <w:tcPr>
            <w:tcW w:w="850" w:type="dxa"/>
            <w:tcBorders>
              <w:left w:val="single" w:sz="4" w:space="0" w:color="FFFFFF" w:themeColor="background1"/>
              <w:right w:val="single" w:sz="4" w:space="0" w:color="FFFFFF" w:themeColor="background1"/>
            </w:tcBorders>
            <w:shd w:val="clear" w:color="auto" w:fill="0F243E" w:themeFill="text2" w:themeFillShade="80"/>
            <w:vAlign w:val="center"/>
          </w:tcPr>
          <w:p w:rsidR="00457012" w:rsidRPr="004761E0" w:rsidRDefault="00457012" w:rsidP="00457012">
            <w:pPr>
              <w:ind w:firstLine="0"/>
              <w:jc w:val="lef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Год рождения</w:t>
            </w:r>
          </w:p>
        </w:tc>
        <w:tc>
          <w:tcPr>
            <w:tcW w:w="3686" w:type="dxa"/>
            <w:tcBorders>
              <w:left w:val="single" w:sz="4" w:space="0" w:color="FFFFFF" w:themeColor="background1"/>
              <w:right w:val="single" w:sz="4" w:space="0" w:color="FFFFFF" w:themeColor="background1"/>
            </w:tcBorders>
            <w:shd w:val="clear" w:color="auto" w:fill="0F243E" w:themeFill="text2" w:themeFillShade="80"/>
            <w:vAlign w:val="center"/>
          </w:tcPr>
          <w:p w:rsidR="00457012" w:rsidRPr="004761E0" w:rsidRDefault="00457012" w:rsidP="00457012">
            <w:pPr>
              <w:ind w:firstLine="0"/>
              <w:jc w:val="lef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Сведения об образовании</w:t>
            </w:r>
          </w:p>
        </w:tc>
        <w:tc>
          <w:tcPr>
            <w:tcW w:w="1276" w:type="dxa"/>
            <w:tcBorders>
              <w:left w:val="single" w:sz="4" w:space="0" w:color="FFFFFF" w:themeColor="background1"/>
              <w:right w:val="single" w:sz="4" w:space="0" w:color="FFFFFF" w:themeColor="background1"/>
            </w:tcBorders>
            <w:shd w:val="clear" w:color="auto" w:fill="0F243E" w:themeFill="text2" w:themeFillShade="80"/>
            <w:vAlign w:val="center"/>
          </w:tcPr>
          <w:p w:rsidR="00457012" w:rsidRPr="004761E0" w:rsidRDefault="00457012" w:rsidP="00457012">
            <w:pPr>
              <w:ind w:firstLine="0"/>
              <w:jc w:val="lef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Дата избрания в СД в первый раз</w:t>
            </w:r>
          </w:p>
        </w:tc>
        <w:tc>
          <w:tcPr>
            <w:tcW w:w="1418" w:type="dxa"/>
            <w:tcBorders>
              <w:left w:val="single" w:sz="4" w:space="0" w:color="FFFFFF" w:themeColor="background1"/>
              <w:right w:val="single" w:sz="4" w:space="0" w:color="FFFFFF" w:themeColor="background1"/>
            </w:tcBorders>
            <w:shd w:val="clear" w:color="auto" w:fill="0F243E" w:themeFill="text2" w:themeFillShade="80"/>
            <w:vAlign w:val="center"/>
          </w:tcPr>
          <w:p w:rsidR="00457012" w:rsidRPr="004761E0" w:rsidRDefault="00457012" w:rsidP="00457012">
            <w:pPr>
              <w:ind w:firstLine="0"/>
              <w:jc w:val="lef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Количество избираемых в СД раз</w:t>
            </w:r>
          </w:p>
        </w:tc>
        <w:tc>
          <w:tcPr>
            <w:tcW w:w="1984" w:type="dxa"/>
            <w:tcBorders>
              <w:left w:val="single" w:sz="4" w:space="0" w:color="FFFFFF" w:themeColor="background1"/>
              <w:right w:val="single" w:sz="4" w:space="0" w:color="FFFFFF" w:themeColor="background1"/>
            </w:tcBorders>
            <w:shd w:val="clear" w:color="auto" w:fill="0F243E" w:themeFill="text2" w:themeFillShade="80"/>
            <w:vAlign w:val="center"/>
          </w:tcPr>
          <w:p w:rsidR="00457012" w:rsidRPr="004761E0" w:rsidRDefault="00457012" w:rsidP="00457012">
            <w:pPr>
              <w:ind w:firstLine="0"/>
              <w:jc w:val="lef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Присутствие в составе Комитета при СД</w:t>
            </w:r>
          </w:p>
        </w:tc>
        <w:tc>
          <w:tcPr>
            <w:tcW w:w="1475" w:type="dxa"/>
            <w:tcBorders>
              <w:left w:val="single" w:sz="4" w:space="0" w:color="FFFFFF" w:themeColor="background1"/>
            </w:tcBorders>
            <w:shd w:val="clear" w:color="auto" w:fill="0F243E" w:themeFill="text2" w:themeFillShade="80"/>
            <w:vAlign w:val="center"/>
          </w:tcPr>
          <w:p w:rsidR="00457012" w:rsidRPr="004761E0" w:rsidRDefault="00457012" w:rsidP="00457012">
            <w:pPr>
              <w:ind w:firstLine="0"/>
              <w:jc w:val="lef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Количество акций Общества / ДЗО Общества</w:t>
            </w:r>
          </w:p>
        </w:tc>
      </w:tr>
      <w:tr w:rsidR="00457012" w:rsidRPr="004761E0" w:rsidTr="002103CF">
        <w:trPr>
          <w:trHeight w:val="25"/>
        </w:trPr>
        <w:tc>
          <w:tcPr>
            <w:tcW w:w="425" w:type="dxa"/>
            <w:vAlign w:val="center"/>
          </w:tcPr>
          <w:p w:rsidR="00457012" w:rsidRPr="004761E0" w:rsidRDefault="00457012" w:rsidP="007076A7">
            <w:pPr>
              <w:pStyle w:val="a5"/>
              <w:numPr>
                <w:ilvl w:val="0"/>
                <w:numId w:val="25"/>
              </w:numPr>
              <w:tabs>
                <w:tab w:val="left" w:pos="333"/>
              </w:tabs>
              <w:ind w:left="0" w:firstLine="0"/>
              <w:contextualSpacing w:val="0"/>
              <w:jc w:val="left"/>
              <w:rPr>
                <w:rFonts w:eastAsia="Times New Roman"/>
                <w:color w:val="000000"/>
                <w:sz w:val="18"/>
                <w:szCs w:val="20"/>
                <w:lang w:eastAsia="ru-RU"/>
              </w:rPr>
            </w:pPr>
          </w:p>
        </w:tc>
        <w:tc>
          <w:tcPr>
            <w:tcW w:w="1702" w:type="dxa"/>
            <w:shd w:val="clear" w:color="auto" w:fill="auto"/>
            <w:vAlign w:val="center"/>
            <w:hideMark/>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 xml:space="preserve">Бударгин </w:t>
            </w:r>
          </w:p>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 xml:space="preserve">Олег </w:t>
            </w:r>
          </w:p>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Михайлович</w:t>
            </w:r>
          </w:p>
          <w:p w:rsidR="00457012" w:rsidRPr="004761E0" w:rsidRDefault="00393CF7" w:rsidP="00523797">
            <w:pPr>
              <w:ind w:firstLine="0"/>
              <w:jc w:val="left"/>
              <w:rPr>
                <w:rFonts w:eastAsia="Times New Roman"/>
                <w:color w:val="000000"/>
                <w:sz w:val="18"/>
                <w:szCs w:val="20"/>
                <w:lang w:eastAsia="ru-RU"/>
              </w:rPr>
            </w:pPr>
            <w:r>
              <w:rPr>
                <w:rFonts w:eastAsia="Times New Roman"/>
                <w:color w:val="000000"/>
                <w:sz w:val="18"/>
                <w:szCs w:val="20"/>
                <w:lang w:eastAsia="ru-RU"/>
              </w:rPr>
              <w:t>(</w:t>
            </w:r>
            <w:r w:rsidR="00523797">
              <w:rPr>
                <w:rFonts w:eastAsia="Times New Roman"/>
                <w:color w:val="000000"/>
                <w:sz w:val="18"/>
                <w:szCs w:val="20"/>
                <w:lang w:eastAsia="ru-RU"/>
              </w:rPr>
              <w:t>П</w:t>
            </w:r>
            <w:r w:rsidR="00457012" w:rsidRPr="004761E0">
              <w:rPr>
                <w:rFonts w:eastAsia="Times New Roman"/>
                <w:color w:val="000000"/>
                <w:sz w:val="18"/>
                <w:szCs w:val="20"/>
                <w:lang w:eastAsia="ru-RU"/>
              </w:rPr>
              <w:t>редседатель С</w:t>
            </w:r>
            <w:r>
              <w:rPr>
                <w:rFonts w:eastAsia="Times New Roman"/>
                <w:color w:val="000000"/>
                <w:sz w:val="18"/>
                <w:szCs w:val="20"/>
                <w:lang w:eastAsia="ru-RU"/>
              </w:rPr>
              <w:t>овета директоров)</w:t>
            </w:r>
          </w:p>
        </w:tc>
        <w:tc>
          <w:tcPr>
            <w:tcW w:w="3119" w:type="dxa"/>
            <w:shd w:val="clear" w:color="auto" w:fill="auto"/>
            <w:vAlign w:val="center"/>
            <w:hideMark/>
          </w:tcPr>
          <w:p w:rsidR="00457012" w:rsidRPr="004761E0" w:rsidRDefault="00457012" w:rsidP="00393CF7">
            <w:pPr>
              <w:ind w:firstLine="0"/>
              <w:jc w:val="left"/>
              <w:rPr>
                <w:rFonts w:eastAsia="Times New Roman"/>
                <w:color w:val="000000"/>
                <w:sz w:val="18"/>
                <w:szCs w:val="20"/>
                <w:lang w:eastAsia="ru-RU"/>
              </w:rPr>
            </w:pPr>
            <w:r w:rsidRPr="004761E0">
              <w:rPr>
                <w:rFonts w:eastAsia="Times New Roman"/>
                <w:color w:val="000000"/>
                <w:sz w:val="18"/>
                <w:szCs w:val="20"/>
                <w:lang w:eastAsia="ru-RU"/>
              </w:rPr>
              <w:t xml:space="preserve">Генеральный директор, Председатель Правления </w:t>
            </w:r>
            <w:r w:rsidR="0008080E">
              <w:rPr>
                <w:rFonts w:eastAsia="Times New Roman"/>
                <w:color w:val="000000"/>
                <w:sz w:val="18"/>
                <w:szCs w:val="20"/>
                <w:lang w:eastAsia="ru-RU"/>
              </w:rPr>
              <w:t>ОАО </w:t>
            </w:r>
            <w:r w:rsidRPr="004761E0">
              <w:rPr>
                <w:rFonts w:eastAsia="Times New Roman"/>
                <w:color w:val="000000"/>
                <w:sz w:val="18"/>
                <w:szCs w:val="20"/>
                <w:lang w:eastAsia="ru-RU"/>
              </w:rPr>
              <w:t>«Россети»</w:t>
            </w:r>
          </w:p>
        </w:tc>
        <w:tc>
          <w:tcPr>
            <w:tcW w:w="850" w:type="dxa"/>
            <w:vAlign w:val="center"/>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1960</w:t>
            </w:r>
          </w:p>
        </w:tc>
        <w:tc>
          <w:tcPr>
            <w:tcW w:w="3686" w:type="dxa"/>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Норильский индустриальный институт, специальность «Промышленное и гражданское строительство»</w:t>
            </w:r>
          </w:p>
        </w:tc>
        <w:tc>
          <w:tcPr>
            <w:tcW w:w="1276" w:type="dxa"/>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27.08.2012</w:t>
            </w:r>
          </w:p>
        </w:tc>
        <w:tc>
          <w:tcPr>
            <w:tcW w:w="1418" w:type="dxa"/>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2</w:t>
            </w:r>
          </w:p>
        </w:tc>
        <w:tc>
          <w:tcPr>
            <w:tcW w:w="1984" w:type="dxa"/>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w:t>
            </w:r>
          </w:p>
        </w:tc>
        <w:tc>
          <w:tcPr>
            <w:tcW w:w="1475" w:type="dxa"/>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0/0</w:t>
            </w:r>
          </w:p>
        </w:tc>
      </w:tr>
      <w:tr w:rsidR="00457012" w:rsidRPr="004761E0" w:rsidTr="002103CF">
        <w:trPr>
          <w:trHeight w:val="20"/>
        </w:trPr>
        <w:tc>
          <w:tcPr>
            <w:tcW w:w="425" w:type="dxa"/>
            <w:tcBorders>
              <w:bottom w:val="single" w:sz="4" w:space="0" w:color="auto"/>
            </w:tcBorders>
            <w:vAlign w:val="center"/>
          </w:tcPr>
          <w:p w:rsidR="00457012" w:rsidRPr="004761E0" w:rsidRDefault="00457012" w:rsidP="007076A7">
            <w:pPr>
              <w:pStyle w:val="a5"/>
              <w:numPr>
                <w:ilvl w:val="0"/>
                <w:numId w:val="25"/>
              </w:numPr>
              <w:tabs>
                <w:tab w:val="left" w:pos="333"/>
              </w:tabs>
              <w:ind w:left="0" w:firstLine="0"/>
              <w:contextualSpacing w:val="0"/>
              <w:jc w:val="left"/>
              <w:rPr>
                <w:rFonts w:eastAsia="Times New Roman"/>
                <w:color w:val="000000"/>
                <w:sz w:val="18"/>
                <w:szCs w:val="20"/>
                <w:lang w:eastAsia="ru-RU"/>
              </w:rPr>
            </w:pPr>
          </w:p>
        </w:tc>
        <w:tc>
          <w:tcPr>
            <w:tcW w:w="1702" w:type="dxa"/>
            <w:tcBorders>
              <w:bottom w:val="single" w:sz="4" w:space="0" w:color="auto"/>
            </w:tcBorders>
            <w:shd w:val="clear" w:color="auto" w:fill="auto"/>
            <w:vAlign w:val="center"/>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 xml:space="preserve">Васильев </w:t>
            </w:r>
          </w:p>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Сергей Вячеславович</w:t>
            </w:r>
          </w:p>
        </w:tc>
        <w:tc>
          <w:tcPr>
            <w:tcW w:w="3119" w:type="dxa"/>
            <w:tcBorders>
              <w:bottom w:val="single" w:sz="4" w:space="0" w:color="auto"/>
            </w:tcBorders>
            <w:shd w:val="clear" w:color="auto" w:fill="auto"/>
            <w:vAlign w:val="center"/>
          </w:tcPr>
          <w:p w:rsidR="00457012" w:rsidRPr="004761E0" w:rsidRDefault="00551AA6"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w:t>
            </w:r>
          </w:p>
        </w:tc>
        <w:tc>
          <w:tcPr>
            <w:tcW w:w="850" w:type="dxa"/>
            <w:tcBorders>
              <w:bottom w:val="single" w:sz="4" w:space="0" w:color="auto"/>
            </w:tcBorders>
            <w:vAlign w:val="center"/>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1975</w:t>
            </w:r>
          </w:p>
        </w:tc>
        <w:tc>
          <w:tcPr>
            <w:tcW w:w="3686" w:type="dxa"/>
            <w:tcBorders>
              <w:bottom w:val="single" w:sz="4" w:space="0" w:color="auto"/>
            </w:tcBorders>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МГУ им. М.В. Ломоносова, специальность «Юриспруденция»; ГУ ВШЭ, специальность «Финансовый менеджмент»</w:t>
            </w:r>
          </w:p>
        </w:tc>
        <w:tc>
          <w:tcPr>
            <w:tcW w:w="1276" w:type="dxa"/>
            <w:tcBorders>
              <w:bottom w:val="single" w:sz="4" w:space="0" w:color="auto"/>
            </w:tcBorders>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26.06.2013</w:t>
            </w:r>
          </w:p>
        </w:tc>
        <w:tc>
          <w:tcPr>
            <w:tcW w:w="1418" w:type="dxa"/>
            <w:tcBorders>
              <w:bottom w:val="single" w:sz="4" w:space="0" w:color="auto"/>
            </w:tcBorders>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1</w:t>
            </w:r>
          </w:p>
        </w:tc>
        <w:tc>
          <w:tcPr>
            <w:tcW w:w="1984" w:type="dxa"/>
            <w:tcBorders>
              <w:bottom w:val="single" w:sz="4" w:space="0" w:color="auto"/>
            </w:tcBorders>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w:t>
            </w:r>
          </w:p>
        </w:tc>
        <w:tc>
          <w:tcPr>
            <w:tcW w:w="1475" w:type="dxa"/>
            <w:tcBorders>
              <w:bottom w:val="single" w:sz="4" w:space="0" w:color="auto"/>
            </w:tcBorders>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0/0</w:t>
            </w:r>
          </w:p>
        </w:tc>
      </w:tr>
      <w:tr w:rsidR="00457012" w:rsidRPr="004761E0" w:rsidTr="002103CF">
        <w:trPr>
          <w:trHeight w:val="151"/>
        </w:trPr>
        <w:tc>
          <w:tcPr>
            <w:tcW w:w="425" w:type="dxa"/>
            <w:tcBorders>
              <w:top w:val="single" w:sz="4" w:space="0" w:color="auto"/>
              <w:left w:val="single" w:sz="4" w:space="0" w:color="auto"/>
              <w:bottom w:val="single" w:sz="4" w:space="0" w:color="auto"/>
              <w:right w:val="single" w:sz="4" w:space="0" w:color="auto"/>
            </w:tcBorders>
            <w:vAlign w:val="center"/>
          </w:tcPr>
          <w:p w:rsidR="00457012" w:rsidRPr="004761E0" w:rsidRDefault="00457012" w:rsidP="007076A7">
            <w:pPr>
              <w:pStyle w:val="a5"/>
              <w:numPr>
                <w:ilvl w:val="0"/>
                <w:numId w:val="25"/>
              </w:numPr>
              <w:tabs>
                <w:tab w:val="left" w:pos="333"/>
              </w:tabs>
              <w:ind w:left="0" w:firstLine="0"/>
              <w:contextualSpacing w:val="0"/>
              <w:jc w:val="left"/>
              <w:rPr>
                <w:rFonts w:eastAsia="Times New Roman"/>
                <w:color w:val="000000"/>
                <w:sz w:val="18"/>
                <w:szCs w:val="20"/>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Гавриленко Анатолий Анатольевич</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 xml:space="preserve">Генеральный директор </w:t>
            </w:r>
            <w:r w:rsidR="0008080E">
              <w:rPr>
                <w:rFonts w:eastAsia="Times New Roman"/>
                <w:color w:val="000000"/>
                <w:sz w:val="18"/>
                <w:szCs w:val="20"/>
                <w:lang w:eastAsia="ru-RU"/>
              </w:rPr>
              <w:t>ЗАО </w:t>
            </w:r>
            <w:r w:rsidRPr="004761E0">
              <w:rPr>
                <w:rFonts w:eastAsia="Times New Roman"/>
                <w:color w:val="000000"/>
                <w:sz w:val="18"/>
                <w:szCs w:val="20"/>
                <w:lang w:eastAsia="ru-RU"/>
              </w:rPr>
              <w:t>«Лидер» (Компании по управлению активами пенсионного фонда)</w:t>
            </w:r>
          </w:p>
        </w:tc>
        <w:tc>
          <w:tcPr>
            <w:tcW w:w="850" w:type="dxa"/>
            <w:tcBorders>
              <w:top w:val="single" w:sz="4" w:space="0" w:color="auto"/>
              <w:left w:val="single" w:sz="4" w:space="0" w:color="auto"/>
              <w:bottom w:val="single" w:sz="4" w:space="0" w:color="auto"/>
              <w:right w:val="single" w:sz="4" w:space="0" w:color="auto"/>
            </w:tcBorders>
            <w:vAlign w:val="center"/>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1972</w:t>
            </w:r>
          </w:p>
        </w:tc>
        <w:tc>
          <w:tcPr>
            <w:tcW w:w="3686" w:type="dxa"/>
            <w:tcBorders>
              <w:top w:val="single" w:sz="4" w:space="0" w:color="auto"/>
              <w:left w:val="single" w:sz="4" w:space="0" w:color="auto"/>
              <w:bottom w:val="single" w:sz="4" w:space="0" w:color="auto"/>
              <w:right w:val="single" w:sz="4" w:space="0" w:color="auto"/>
            </w:tcBorders>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 xml:space="preserve">МГУ  им. М.В. Ломоносова, специальность «Экономическая кибернетика», квалификация </w:t>
            </w:r>
          </w:p>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 xml:space="preserve">«Экономист – математик»; </w:t>
            </w:r>
          </w:p>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МГУ им. М.В. Ломоносова, специальность «Юриспруденция», квалификация «Юрист»</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57012" w:rsidRPr="004761E0" w:rsidRDefault="00457012" w:rsidP="00AD75E4">
            <w:pPr>
              <w:ind w:firstLine="0"/>
              <w:jc w:val="right"/>
              <w:rPr>
                <w:rFonts w:eastAsia="Times New Roman"/>
                <w:color w:val="000000"/>
                <w:sz w:val="18"/>
                <w:szCs w:val="20"/>
                <w:lang w:eastAsia="ru-RU"/>
              </w:rPr>
            </w:pPr>
            <w:r w:rsidRPr="004761E0">
              <w:rPr>
                <w:rFonts w:eastAsia="Times New Roman"/>
                <w:color w:val="000000"/>
                <w:sz w:val="18"/>
                <w:szCs w:val="20"/>
                <w:lang w:eastAsia="ru-RU"/>
              </w:rPr>
              <w:t>28</w:t>
            </w:r>
            <w:r w:rsidR="00AD75E4" w:rsidRPr="004761E0">
              <w:rPr>
                <w:rFonts w:eastAsia="Times New Roman"/>
                <w:color w:val="000000"/>
                <w:sz w:val="18"/>
                <w:szCs w:val="20"/>
                <w:lang w:eastAsia="ru-RU"/>
              </w:rPr>
              <w:t>.</w:t>
            </w:r>
            <w:r w:rsidRPr="004761E0">
              <w:rPr>
                <w:rFonts w:eastAsia="Times New Roman"/>
                <w:color w:val="000000"/>
                <w:sz w:val="18"/>
                <w:szCs w:val="20"/>
                <w:lang w:eastAsia="ru-RU"/>
              </w:rPr>
              <w:t>02.2005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10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Комитет по кадрам и вознаграждениям</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0/0</w:t>
            </w:r>
          </w:p>
        </w:tc>
      </w:tr>
      <w:tr w:rsidR="00457012" w:rsidRPr="004761E0" w:rsidTr="002103CF">
        <w:trPr>
          <w:trHeight w:val="70"/>
        </w:trPr>
        <w:tc>
          <w:tcPr>
            <w:tcW w:w="425" w:type="dxa"/>
            <w:tcBorders>
              <w:top w:val="single" w:sz="4" w:space="0" w:color="auto"/>
              <w:left w:val="single" w:sz="4" w:space="0" w:color="auto"/>
              <w:bottom w:val="single" w:sz="4" w:space="0" w:color="auto"/>
              <w:right w:val="single" w:sz="4" w:space="0" w:color="auto"/>
            </w:tcBorders>
            <w:vAlign w:val="center"/>
          </w:tcPr>
          <w:p w:rsidR="00457012" w:rsidRPr="004761E0" w:rsidRDefault="00457012" w:rsidP="007076A7">
            <w:pPr>
              <w:pStyle w:val="a5"/>
              <w:numPr>
                <w:ilvl w:val="0"/>
                <w:numId w:val="25"/>
              </w:numPr>
              <w:tabs>
                <w:tab w:val="left" w:pos="333"/>
              </w:tabs>
              <w:ind w:left="0" w:firstLine="0"/>
              <w:contextualSpacing w:val="0"/>
              <w:jc w:val="left"/>
              <w:rPr>
                <w:rFonts w:eastAsia="Times New Roman"/>
                <w:color w:val="000000"/>
                <w:sz w:val="18"/>
                <w:szCs w:val="20"/>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 xml:space="preserve">Демин </w:t>
            </w:r>
          </w:p>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Сергей Александрович</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 xml:space="preserve">Генеральный директор филиала МЭС Центра  </w:t>
            </w:r>
            <w:r w:rsidR="0008080E">
              <w:rPr>
                <w:rFonts w:eastAsia="Times New Roman"/>
                <w:color w:val="000000"/>
                <w:sz w:val="18"/>
                <w:szCs w:val="20"/>
                <w:lang w:eastAsia="ru-RU"/>
              </w:rPr>
              <w:t>ОАО </w:t>
            </w:r>
            <w:r w:rsidRPr="004761E0">
              <w:rPr>
                <w:rFonts w:eastAsia="Times New Roman"/>
                <w:color w:val="000000"/>
                <w:sz w:val="18"/>
                <w:szCs w:val="20"/>
                <w:lang w:eastAsia="ru-RU"/>
              </w:rPr>
              <w:t>«ФСК ЕЭС»</w:t>
            </w:r>
          </w:p>
        </w:tc>
        <w:tc>
          <w:tcPr>
            <w:tcW w:w="850" w:type="dxa"/>
            <w:tcBorders>
              <w:top w:val="single" w:sz="4" w:space="0" w:color="auto"/>
              <w:left w:val="single" w:sz="4" w:space="0" w:color="auto"/>
              <w:bottom w:val="single" w:sz="4" w:space="0" w:color="auto"/>
              <w:right w:val="single" w:sz="4" w:space="0" w:color="auto"/>
            </w:tcBorders>
            <w:vAlign w:val="center"/>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1970</w:t>
            </w:r>
          </w:p>
        </w:tc>
        <w:tc>
          <w:tcPr>
            <w:tcW w:w="3686" w:type="dxa"/>
            <w:tcBorders>
              <w:top w:val="single" w:sz="4" w:space="0" w:color="auto"/>
              <w:left w:val="single" w:sz="4" w:space="0" w:color="auto"/>
              <w:bottom w:val="single" w:sz="4" w:space="0" w:color="auto"/>
              <w:right w:val="single" w:sz="4" w:space="0" w:color="auto"/>
            </w:tcBorders>
          </w:tcPr>
          <w:p w:rsidR="00457012" w:rsidRPr="004761E0" w:rsidRDefault="00457012" w:rsidP="00551AA6">
            <w:pPr>
              <w:ind w:firstLine="0"/>
              <w:jc w:val="left"/>
              <w:rPr>
                <w:rFonts w:eastAsia="Times New Roman"/>
                <w:color w:val="000000"/>
                <w:sz w:val="18"/>
                <w:szCs w:val="20"/>
                <w:lang w:eastAsia="ru-RU"/>
              </w:rPr>
            </w:pPr>
            <w:r w:rsidRPr="004761E0">
              <w:rPr>
                <w:rFonts w:eastAsia="Times New Roman"/>
                <w:color w:val="000000"/>
                <w:sz w:val="18"/>
                <w:szCs w:val="20"/>
                <w:lang w:eastAsia="ru-RU"/>
              </w:rPr>
              <w:t>МЭИ, специальность «Электропривод и автоматика промышленных установок и технологических комплексов, квалификация «Инженер-электрик»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26.06.2013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Комитет по кадрам и вознаграждениям, Комитет по аудиту</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0/0</w:t>
            </w:r>
          </w:p>
        </w:tc>
      </w:tr>
      <w:tr w:rsidR="00457012" w:rsidRPr="004761E0" w:rsidTr="002103CF">
        <w:trPr>
          <w:trHeight w:val="243"/>
        </w:trPr>
        <w:tc>
          <w:tcPr>
            <w:tcW w:w="425" w:type="dxa"/>
            <w:tcBorders>
              <w:top w:val="single" w:sz="4" w:space="0" w:color="auto"/>
              <w:left w:val="single" w:sz="4" w:space="0" w:color="auto"/>
              <w:bottom w:val="single" w:sz="4" w:space="0" w:color="auto"/>
              <w:right w:val="single" w:sz="4" w:space="0" w:color="auto"/>
            </w:tcBorders>
            <w:vAlign w:val="center"/>
          </w:tcPr>
          <w:p w:rsidR="00457012" w:rsidRPr="004761E0" w:rsidRDefault="00457012" w:rsidP="007076A7">
            <w:pPr>
              <w:pStyle w:val="a5"/>
              <w:numPr>
                <w:ilvl w:val="0"/>
                <w:numId w:val="25"/>
              </w:numPr>
              <w:tabs>
                <w:tab w:val="left" w:pos="333"/>
              </w:tabs>
              <w:ind w:left="0" w:firstLine="0"/>
              <w:contextualSpacing w:val="0"/>
              <w:jc w:val="left"/>
              <w:rPr>
                <w:rFonts w:eastAsia="Times New Roman"/>
                <w:color w:val="000000"/>
                <w:sz w:val="18"/>
                <w:szCs w:val="20"/>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Казаченков Андрей Валентинович</w:t>
            </w:r>
          </w:p>
          <w:p w:rsidR="00457012" w:rsidRPr="004761E0" w:rsidRDefault="00523797" w:rsidP="00523797">
            <w:pPr>
              <w:ind w:firstLine="0"/>
              <w:jc w:val="left"/>
              <w:rPr>
                <w:rFonts w:eastAsia="Times New Roman"/>
                <w:color w:val="000000"/>
                <w:sz w:val="18"/>
                <w:szCs w:val="20"/>
                <w:lang w:eastAsia="ru-RU"/>
              </w:rPr>
            </w:pPr>
            <w:r>
              <w:rPr>
                <w:rFonts w:eastAsia="Times New Roman"/>
                <w:color w:val="000000"/>
                <w:sz w:val="18"/>
                <w:szCs w:val="20"/>
                <w:lang w:eastAsia="ru-RU"/>
              </w:rPr>
              <w:t>(з</w:t>
            </w:r>
            <w:r w:rsidR="00393CF7">
              <w:rPr>
                <w:rFonts w:eastAsia="Times New Roman"/>
                <w:color w:val="000000"/>
                <w:sz w:val="18"/>
                <w:szCs w:val="20"/>
                <w:lang w:eastAsia="ru-RU"/>
              </w:rPr>
              <w:t xml:space="preserve">аместитель </w:t>
            </w:r>
            <w:r>
              <w:rPr>
                <w:rFonts w:eastAsia="Times New Roman"/>
                <w:color w:val="000000"/>
                <w:sz w:val="18"/>
                <w:szCs w:val="20"/>
                <w:lang w:eastAsia="ru-RU"/>
              </w:rPr>
              <w:t>П</w:t>
            </w:r>
            <w:r w:rsidR="00393CF7" w:rsidRPr="004761E0">
              <w:rPr>
                <w:rFonts w:eastAsia="Times New Roman"/>
                <w:color w:val="000000"/>
                <w:sz w:val="18"/>
                <w:szCs w:val="20"/>
                <w:lang w:eastAsia="ru-RU"/>
              </w:rPr>
              <w:t>редседател</w:t>
            </w:r>
            <w:r w:rsidR="00393CF7">
              <w:rPr>
                <w:rFonts w:eastAsia="Times New Roman"/>
                <w:color w:val="000000"/>
                <w:sz w:val="18"/>
                <w:szCs w:val="20"/>
                <w:lang w:eastAsia="ru-RU"/>
              </w:rPr>
              <w:t>я</w:t>
            </w:r>
            <w:r w:rsidR="00393CF7" w:rsidRPr="004761E0">
              <w:rPr>
                <w:rFonts w:eastAsia="Times New Roman"/>
                <w:color w:val="000000"/>
                <w:sz w:val="18"/>
                <w:szCs w:val="20"/>
                <w:lang w:eastAsia="ru-RU"/>
              </w:rPr>
              <w:t xml:space="preserve"> С</w:t>
            </w:r>
            <w:r w:rsidR="00393CF7">
              <w:rPr>
                <w:rFonts w:eastAsia="Times New Roman"/>
                <w:color w:val="000000"/>
                <w:sz w:val="18"/>
                <w:szCs w:val="20"/>
                <w:lang w:eastAsia="ru-RU"/>
              </w:rPr>
              <w:t>овета директоров)</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457012" w:rsidRPr="004761E0" w:rsidRDefault="00457012" w:rsidP="00393CF7">
            <w:pPr>
              <w:ind w:firstLine="0"/>
              <w:jc w:val="left"/>
              <w:rPr>
                <w:rFonts w:eastAsia="Times New Roman"/>
                <w:color w:val="000000"/>
                <w:sz w:val="18"/>
                <w:szCs w:val="20"/>
                <w:lang w:eastAsia="ru-RU"/>
              </w:rPr>
            </w:pPr>
            <w:r w:rsidRPr="004761E0">
              <w:rPr>
                <w:rFonts w:eastAsia="Times New Roman"/>
                <w:color w:val="000000"/>
                <w:sz w:val="18"/>
                <w:szCs w:val="20"/>
                <w:lang w:eastAsia="ru-RU"/>
              </w:rPr>
              <w:t xml:space="preserve">Первый заместитель Председателя Правления, Член Правления </w:t>
            </w:r>
            <w:r w:rsidR="0008080E">
              <w:rPr>
                <w:rFonts w:eastAsia="Times New Roman"/>
                <w:color w:val="000000"/>
                <w:sz w:val="18"/>
                <w:szCs w:val="20"/>
                <w:lang w:eastAsia="ru-RU"/>
              </w:rPr>
              <w:t>ОАО </w:t>
            </w:r>
            <w:r w:rsidRPr="004761E0">
              <w:rPr>
                <w:rFonts w:eastAsia="Times New Roman"/>
                <w:color w:val="000000"/>
                <w:sz w:val="18"/>
                <w:szCs w:val="20"/>
                <w:lang w:eastAsia="ru-RU"/>
              </w:rPr>
              <w:t>«ФСК</w:t>
            </w:r>
            <w:r w:rsidR="00393CF7">
              <w:rPr>
                <w:rFonts w:eastAsia="Times New Roman"/>
                <w:color w:val="000000"/>
                <w:sz w:val="18"/>
                <w:szCs w:val="20"/>
                <w:lang w:eastAsia="ru-RU"/>
              </w:rPr>
              <w:t> </w:t>
            </w:r>
            <w:r w:rsidRPr="004761E0">
              <w:rPr>
                <w:rFonts w:eastAsia="Times New Roman"/>
                <w:color w:val="000000"/>
                <w:sz w:val="18"/>
                <w:szCs w:val="20"/>
                <w:lang w:eastAsia="ru-RU"/>
              </w:rPr>
              <w:t>ЕЭС»</w:t>
            </w:r>
          </w:p>
        </w:tc>
        <w:tc>
          <w:tcPr>
            <w:tcW w:w="850" w:type="dxa"/>
            <w:tcBorders>
              <w:top w:val="single" w:sz="4" w:space="0" w:color="auto"/>
              <w:left w:val="single" w:sz="4" w:space="0" w:color="auto"/>
              <w:bottom w:val="single" w:sz="4" w:space="0" w:color="auto"/>
              <w:right w:val="single" w:sz="4" w:space="0" w:color="auto"/>
            </w:tcBorders>
            <w:vAlign w:val="center"/>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1980</w:t>
            </w:r>
          </w:p>
        </w:tc>
        <w:tc>
          <w:tcPr>
            <w:tcW w:w="3686" w:type="dxa"/>
            <w:tcBorders>
              <w:top w:val="single" w:sz="4" w:space="0" w:color="auto"/>
              <w:left w:val="single" w:sz="4" w:space="0" w:color="auto"/>
              <w:bottom w:val="single" w:sz="4" w:space="0" w:color="auto"/>
              <w:right w:val="single" w:sz="4" w:space="0" w:color="auto"/>
            </w:tcBorders>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 xml:space="preserve">Санкт-Петербургский государственный инженерно-экономический </w:t>
            </w:r>
          </w:p>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университет,  специальности «Экономика и управление на предприятиях машиностроения», «Менеджмент»</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26.06.2013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Комитет по кадрам и вознаграждениям, Комитет по аудиту</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0/0</w:t>
            </w:r>
          </w:p>
        </w:tc>
      </w:tr>
      <w:tr w:rsidR="00457012" w:rsidRPr="004761E0" w:rsidTr="002103CF">
        <w:trPr>
          <w:trHeight w:val="174"/>
        </w:trPr>
        <w:tc>
          <w:tcPr>
            <w:tcW w:w="425" w:type="dxa"/>
            <w:tcBorders>
              <w:top w:val="single" w:sz="4" w:space="0" w:color="auto"/>
            </w:tcBorders>
            <w:vAlign w:val="center"/>
          </w:tcPr>
          <w:p w:rsidR="00457012" w:rsidRPr="004761E0" w:rsidRDefault="00457012" w:rsidP="007076A7">
            <w:pPr>
              <w:pStyle w:val="a5"/>
              <w:numPr>
                <w:ilvl w:val="0"/>
                <w:numId w:val="25"/>
              </w:numPr>
              <w:tabs>
                <w:tab w:val="left" w:pos="333"/>
              </w:tabs>
              <w:ind w:left="0" w:firstLine="0"/>
              <w:contextualSpacing w:val="0"/>
              <w:jc w:val="left"/>
              <w:rPr>
                <w:rFonts w:eastAsia="Times New Roman"/>
                <w:color w:val="000000"/>
                <w:sz w:val="18"/>
                <w:szCs w:val="20"/>
                <w:lang w:eastAsia="ru-RU"/>
              </w:rPr>
            </w:pPr>
          </w:p>
        </w:tc>
        <w:tc>
          <w:tcPr>
            <w:tcW w:w="1702" w:type="dxa"/>
            <w:tcBorders>
              <w:top w:val="single" w:sz="4" w:space="0" w:color="auto"/>
            </w:tcBorders>
            <w:shd w:val="clear" w:color="auto" w:fill="auto"/>
            <w:vAlign w:val="center"/>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Ливинский</w:t>
            </w:r>
          </w:p>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Павел Анатольевич</w:t>
            </w:r>
          </w:p>
        </w:tc>
        <w:tc>
          <w:tcPr>
            <w:tcW w:w="3119" w:type="dxa"/>
            <w:tcBorders>
              <w:top w:val="single" w:sz="4" w:space="0" w:color="auto"/>
            </w:tcBorders>
            <w:shd w:val="clear" w:color="auto" w:fill="auto"/>
            <w:vAlign w:val="center"/>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Руководитель Департамента топливно-энергетического хозяйства  города Москвы</w:t>
            </w:r>
          </w:p>
        </w:tc>
        <w:tc>
          <w:tcPr>
            <w:tcW w:w="850" w:type="dxa"/>
            <w:tcBorders>
              <w:top w:val="single" w:sz="4" w:space="0" w:color="auto"/>
            </w:tcBorders>
            <w:vAlign w:val="center"/>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1980</w:t>
            </w:r>
          </w:p>
        </w:tc>
        <w:tc>
          <w:tcPr>
            <w:tcW w:w="3686" w:type="dxa"/>
            <w:tcBorders>
              <w:top w:val="single" w:sz="4" w:space="0" w:color="auto"/>
            </w:tcBorders>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МГУ им. М.В. Ломоносова, специальность «Экономика»</w:t>
            </w:r>
          </w:p>
        </w:tc>
        <w:tc>
          <w:tcPr>
            <w:tcW w:w="1276" w:type="dxa"/>
            <w:tcBorders>
              <w:top w:val="single" w:sz="4" w:space="0" w:color="auto"/>
            </w:tcBorders>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26.06.2013</w:t>
            </w:r>
          </w:p>
        </w:tc>
        <w:tc>
          <w:tcPr>
            <w:tcW w:w="1418" w:type="dxa"/>
            <w:tcBorders>
              <w:top w:val="single" w:sz="4" w:space="0" w:color="auto"/>
            </w:tcBorders>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1</w:t>
            </w:r>
          </w:p>
        </w:tc>
        <w:tc>
          <w:tcPr>
            <w:tcW w:w="1984" w:type="dxa"/>
            <w:tcBorders>
              <w:top w:val="single" w:sz="4" w:space="0" w:color="auto"/>
            </w:tcBorders>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w:t>
            </w:r>
          </w:p>
        </w:tc>
        <w:tc>
          <w:tcPr>
            <w:tcW w:w="1475" w:type="dxa"/>
            <w:tcBorders>
              <w:top w:val="single" w:sz="4" w:space="0" w:color="auto"/>
            </w:tcBorders>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0/0</w:t>
            </w:r>
          </w:p>
        </w:tc>
      </w:tr>
      <w:tr w:rsidR="00457012" w:rsidRPr="004761E0" w:rsidTr="002103CF">
        <w:trPr>
          <w:trHeight w:val="79"/>
        </w:trPr>
        <w:tc>
          <w:tcPr>
            <w:tcW w:w="425" w:type="dxa"/>
            <w:vAlign w:val="center"/>
          </w:tcPr>
          <w:p w:rsidR="00457012" w:rsidRPr="004761E0" w:rsidRDefault="00457012" w:rsidP="007076A7">
            <w:pPr>
              <w:pStyle w:val="a5"/>
              <w:numPr>
                <w:ilvl w:val="0"/>
                <w:numId w:val="25"/>
              </w:numPr>
              <w:tabs>
                <w:tab w:val="left" w:pos="333"/>
              </w:tabs>
              <w:ind w:left="0" w:firstLine="0"/>
              <w:contextualSpacing w:val="0"/>
              <w:jc w:val="left"/>
              <w:rPr>
                <w:rFonts w:eastAsia="Times New Roman"/>
                <w:color w:val="000000"/>
                <w:sz w:val="18"/>
                <w:szCs w:val="20"/>
                <w:lang w:eastAsia="ru-RU"/>
              </w:rPr>
            </w:pPr>
          </w:p>
        </w:tc>
        <w:tc>
          <w:tcPr>
            <w:tcW w:w="1702" w:type="dxa"/>
            <w:shd w:val="clear" w:color="auto" w:fill="auto"/>
            <w:vAlign w:val="center"/>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 xml:space="preserve">Никитин </w:t>
            </w:r>
          </w:p>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Сергей Александрович</w:t>
            </w:r>
          </w:p>
        </w:tc>
        <w:tc>
          <w:tcPr>
            <w:tcW w:w="3119" w:type="dxa"/>
            <w:shd w:val="clear" w:color="auto" w:fill="auto"/>
            <w:vAlign w:val="center"/>
          </w:tcPr>
          <w:p w:rsidR="00457012" w:rsidRPr="004761E0" w:rsidRDefault="00457012" w:rsidP="000C553D">
            <w:pPr>
              <w:ind w:firstLine="0"/>
              <w:jc w:val="left"/>
              <w:rPr>
                <w:rFonts w:eastAsia="Times New Roman"/>
                <w:color w:val="000000"/>
                <w:sz w:val="18"/>
                <w:szCs w:val="20"/>
                <w:lang w:eastAsia="ru-RU"/>
              </w:rPr>
            </w:pPr>
            <w:r w:rsidRPr="004761E0">
              <w:rPr>
                <w:rFonts w:eastAsia="Times New Roman"/>
                <w:color w:val="000000"/>
                <w:sz w:val="18"/>
                <w:szCs w:val="20"/>
                <w:lang w:eastAsia="ru-RU"/>
              </w:rPr>
              <w:t xml:space="preserve">Заместитель генерального директора, начальник управления корпоративного контроля </w:t>
            </w:r>
            <w:r w:rsidR="0008080E">
              <w:rPr>
                <w:rFonts w:eastAsia="Times New Roman"/>
                <w:color w:val="000000"/>
                <w:sz w:val="18"/>
                <w:szCs w:val="20"/>
                <w:lang w:eastAsia="ru-RU"/>
              </w:rPr>
              <w:t>ЗАО </w:t>
            </w:r>
            <w:r w:rsidRPr="004761E0">
              <w:rPr>
                <w:rFonts w:eastAsia="Times New Roman"/>
                <w:color w:val="000000"/>
                <w:sz w:val="18"/>
                <w:szCs w:val="20"/>
                <w:lang w:eastAsia="ru-RU"/>
              </w:rPr>
              <w:t>«Лидер» (Компании по управлению активами пенсионного фонда)</w:t>
            </w:r>
          </w:p>
        </w:tc>
        <w:tc>
          <w:tcPr>
            <w:tcW w:w="850" w:type="dxa"/>
            <w:vAlign w:val="center"/>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1968</w:t>
            </w:r>
          </w:p>
        </w:tc>
        <w:tc>
          <w:tcPr>
            <w:tcW w:w="3686" w:type="dxa"/>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МГТУ</w:t>
            </w:r>
            <w:r w:rsidR="000C553D">
              <w:rPr>
                <w:rFonts w:eastAsia="Times New Roman"/>
                <w:color w:val="000000"/>
                <w:sz w:val="18"/>
                <w:szCs w:val="20"/>
                <w:lang w:eastAsia="ru-RU"/>
              </w:rPr>
              <w:t xml:space="preserve"> </w:t>
            </w:r>
            <w:r w:rsidRPr="004761E0">
              <w:rPr>
                <w:rFonts w:eastAsia="Times New Roman"/>
                <w:color w:val="000000"/>
                <w:sz w:val="18"/>
                <w:szCs w:val="20"/>
                <w:lang w:eastAsia="ru-RU"/>
              </w:rPr>
              <w:t xml:space="preserve">им. Н.Э. Баумана, специальность «Конструирование и производство радиоэлектронных средств»; </w:t>
            </w:r>
          </w:p>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ГУ ВШЭ, специальность «Финансы и кредит».</w:t>
            </w:r>
          </w:p>
        </w:tc>
        <w:tc>
          <w:tcPr>
            <w:tcW w:w="1276" w:type="dxa"/>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26.06.2013</w:t>
            </w:r>
          </w:p>
        </w:tc>
        <w:tc>
          <w:tcPr>
            <w:tcW w:w="1418" w:type="dxa"/>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1</w:t>
            </w:r>
          </w:p>
        </w:tc>
        <w:tc>
          <w:tcPr>
            <w:tcW w:w="1984" w:type="dxa"/>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Комитет по стратегии и развитию, Комитет по аудиту</w:t>
            </w:r>
          </w:p>
        </w:tc>
        <w:tc>
          <w:tcPr>
            <w:tcW w:w="1475" w:type="dxa"/>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0/0</w:t>
            </w:r>
          </w:p>
        </w:tc>
      </w:tr>
      <w:tr w:rsidR="00457012" w:rsidRPr="004761E0" w:rsidTr="002103CF">
        <w:trPr>
          <w:trHeight w:val="174"/>
        </w:trPr>
        <w:tc>
          <w:tcPr>
            <w:tcW w:w="425" w:type="dxa"/>
            <w:vAlign w:val="center"/>
          </w:tcPr>
          <w:p w:rsidR="00457012" w:rsidRPr="004761E0" w:rsidRDefault="00457012" w:rsidP="007076A7">
            <w:pPr>
              <w:pStyle w:val="a5"/>
              <w:numPr>
                <w:ilvl w:val="0"/>
                <w:numId w:val="25"/>
              </w:numPr>
              <w:tabs>
                <w:tab w:val="left" w:pos="333"/>
              </w:tabs>
              <w:ind w:left="0" w:firstLine="0"/>
              <w:contextualSpacing w:val="0"/>
              <w:jc w:val="left"/>
              <w:rPr>
                <w:rFonts w:eastAsia="Times New Roman"/>
                <w:color w:val="000000"/>
                <w:sz w:val="18"/>
                <w:szCs w:val="20"/>
                <w:lang w:eastAsia="ru-RU"/>
              </w:rPr>
            </w:pPr>
          </w:p>
        </w:tc>
        <w:tc>
          <w:tcPr>
            <w:tcW w:w="1702" w:type="dxa"/>
            <w:shd w:val="clear" w:color="auto" w:fill="auto"/>
            <w:vAlign w:val="center"/>
            <w:hideMark/>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 xml:space="preserve">Нуждов </w:t>
            </w:r>
          </w:p>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Алексей Викторович</w:t>
            </w:r>
          </w:p>
        </w:tc>
        <w:tc>
          <w:tcPr>
            <w:tcW w:w="3119" w:type="dxa"/>
            <w:shd w:val="clear" w:color="auto" w:fill="auto"/>
            <w:vAlign w:val="center"/>
            <w:hideMark/>
          </w:tcPr>
          <w:p w:rsidR="00457012" w:rsidRPr="004761E0" w:rsidRDefault="003B2247" w:rsidP="000414BD">
            <w:pPr>
              <w:ind w:firstLine="0"/>
              <w:jc w:val="left"/>
              <w:rPr>
                <w:rFonts w:eastAsia="Times New Roman"/>
                <w:color w:val="000000"/>
                <w:sz w:val="18"/>
                <w:szCs w:val="20"/>
                <w:lang w:eastAsia="ru-RU"/>
              </w:rPr>
            </w:pPr>
            <w:r>
              <w:rPr>
                <w:rFonts w:eastAsia="Times New Roman"/>
                <w:color w:val="000000"/>
                <w:sz w:val="18"/>
                <w:szCs w:val="20"/>
                <w:lang w:eastAsia="ru-RU"/>
              </w:rPr>
              <w:t>Заместитель г</w:t>
            </w:r>
            <w:r w:rsidR="00457012" w:rsidRPr="004761E0">
              <w:rPr>
                <w:rFonts w:eastAsia="Times New Roman"/>
                <w:color w:val="000000"/>
                <w:sz w:val="18"/>
                <w:szCs w:val="20"/>
                <w:lang w:eastAsia="ru-RU"/>
              </w:rPr>
              <w:t xml:space="preserve">енерального директора по инвестициям и взаимодействию с государственными органами, </w:t>
            </w:r>
            <w:r w:rsidR="000414BD">
              <w:rPr>
                <w:rFonts w:eastAsia="Times New Roman"/>
                <w:color w:val="000000"/>
                <w:sz w:val="18"/>
                <w:szCs w:val="20"/>
                <w:lang w:eastAsia="ru-RU"/>
              </w:rPr>
              <w:t>н</w:t>
            </w:r>
            <w:r w:rsidR="00457012" w:rsidRPr="004761E0">
              <w:rPr>
                <w:rFonts w:eastAsia="Times New Roman"/>
                <w:color w:val="000000"/>
                <w:sz w:val="18"/>
                <w:szCs w:val="20"/>
                <w:lang w:eastAsia="ru-RU"/>
              </w:rPr>
              <w:t xml:space="preserve">ачальник управления </w:t>
            </w:r>
            <w:r w:rsidR="00457012" w:rsidRPr="004761E0">
              <w:rPr>
                <w:rFonts w:eastAsia="Times New Roman"/>
                <w:color w:val="000000"/>
                <w:sz w:val="18"/>
                <w:szCs w:val="20"/>
                <w:lang w:eastAsia="ru-RU"/>
              </w:rPr>
              <w:lastRenderedPageBreak/>
              <w:t>корпоративной защиты НПФ «ГАЗФОНД»</w:t>
            </w:r>
            <w:r w:rsidR="000414BD">
              <w:rPr>
                <w:rFonts w:eastAsia="Times New Roman"/>
                <w:color w:val="000000"/>
                <w:sz w:val="18"/>
                <w:szCs w:val="20"/>
                <w:lang w:eastAsia="ru-RU"/>
              </w:rPr>
              <w:t xml:space="preserve"> </w:t>
            </w:r>
            <w:r w:rsidR="0008080E">
              <w:rPr>
                <w:rFonts w:eastAsia="Times New Roman"/>
                <w:color w:val="000000"/>
                <w:sz w:val="18"/>
                <w:szCs w:val="20"/>
                <w:lang w:eastAsia="ru-RU"/>
              </w:rPr>
              <w:t>ЗАО </w:t>
            </w:r>
            <w:r w:rsidR="00457012" w:rsidRPr="004761E0">
              <w:rPr>
                <w:rFonts w:eastAsia="Times New Roman"/>
                <w:color w:val="000000"/>
                <w:sz w:val="18"/>
                <w:szCs w:val="20"/>
                <w:lang w:eastAsia="ru-RU"/>
              </w:rPr>
              <w:t>«Лидер» (Компании по управлению активами пенсионного фонда)</w:t>
            </w:r>
          </w:p>
        </w:tc>
        <w:tc>
          <w:tcPr>
            <w:tcW w:w="850" w:type="dxa"/>
            <w:vAlign w:val="center"/>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lastRenderedPageBreak/>
              <w:t>1967</w:t>
            </w:r>
          </w:p>
        </w:tc>
        <w:tc>
          <w:tcPr>
            <w:tcW w:w="3686" w:type="dxa"/>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Саратовское высшее военное командное краснознаменное училище ВВ МВД им. Ф.И. Дзержинского</w:t>
            </w:r>
          </w:p>
        </w:tc>
        <w:tc>
          <w:tcPr>
            <w:tcW w:w="1276" w:type="dxa"/>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30.06.2010</w:t>
            </w:r>
          </w:p>
        </w:tc>
        <w:tc>
          <w:tcPr>
            <w:tcW w:w="1418" w:type="dxa"/>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6</w:t>
            </w:r>
          </w:p>
        </w:tc>
        <w:tc>
          <w:tcPr>
            <w:tcW w:w="1984" w:type="dxa"/>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Комитет по стратегии и развитию, Комитет по аудиту</w:t>
            </w:r>
          </w:p>
        </w:tc>
        <w:tc>
          <w:tcPr>
            <w:tcW w:w="1475" w:type="dxa"/>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0/0</w:t>
            </w:r>
          </w:p>
        </w:tc>
      </w:tr>
      <w:tr w:rsidR="00457012" w:rsidRPr="004761E0" w:rsidTr="002103CF">
        <w:trPr>
          <w:trHeight w:val="146"/>
        </w:trPr>
        <w:tc>
          <w:tcPr>
            <w:tcW w:w="425" w:type="dxa"/>
            <w:vAlign w:val="center"/>
          </w:tcPr>
          <w:p w:rsidR="00457012" w:rsidRPr="004761E0" w:rsidRDefault="00457012" w:rsidP="007076A7">
            <w:pPr>
              <w:pStyle w:val="a5"/>
              <w:numPr>
                <w:ilvl w:val="0"/>
                <w:numId w:val="25"/>
              </w:numPr>
              <w:tabs>
                <w:tab w:val="left" w:pos="333"/>
              </w:tabs>
              <w:ind w:left="0" w:firstLine="0"/>
              <w:contextualSpacing w:val="0"/>
              <w:jc w:val="left"/>
              <w:rPr>
                <w:rFonts w:eastAsia="Times New Roman"/>
                <w:color w:val="000000"/>
                <w:sz w:val="18"/>
                <w:szCs w:val="20"/>
                <w:lang w:eastAsia="ru-RU"/>
              </w:rPr>
            </w:pPr>
          </w:p>
        </w:tc>
        <w:tc>
          <w:tcPr>
            <w:tcW w:w="1702" w:type="dxa"/>
            <w:shd w:val="clear" w:color="auto" w:fill="auto"/>
            <w:vAlign w:val="center"/>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 xml:space="preserve">Панкстьянов Юрий </w:t>
            </w:r>
          </w:p>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Николаевич</w:t>
            </w:r>
          </w:p>
        </w:tc>
        <w:tc>
          <w:tcPr>
            <w:tcW w:w="3119" w:type="dxa"/>
            <w:shd w:val="clear" w:color="auto" w:fill="auto"/>
            <w:vAlign w:val="center"/>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 xml:space="preserve">Директор Департамента тарифообразования </w:t>
            </w:r>
            <w:r w:rsidR="0008080E">
              <w:rPr>
                <w:rFonts w:eastAsia="Times New Roman"/>
                <w:color w:val="000000"/>
                <w:sz w:val="18"/>
                <w:szCs w:val="20"/>
                <w:lang w:eastAsia="ru-RU"/>
              </w:rPr>
              <w:t>ОАО </w:t>
            </w:r>
            <w:r w:rsidRPr="004761E0">
              <w:rPr>
                <w:rFonts w:eastAsia="Times New Roman"/>
                <w:color w:val="000000"/>
                <w:sz w:val="18"/>
                <w:szCs w:val="20"/>
                <w:lang w:eastAsia="ru-RU"/>
              </w:rPr>
              <w:t xml:space="preserve">«Россети»   </w:t>
            </w:r>
          </w:p>
        </w:tc>
        <w:tc>
          <w:tcPr>
            <w:tcW w:w="850" w:type="dxa"/>
            <w:vAlign w:val="center"/>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1980</w:t>
            </w:r>
          </w:p>
        </w:tc>
        <w:tc>
          <w:tcPr>
            <w:tcW w:w="3686" w:type="dxa"/>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ГУУ, специальность «Менеджер»</w:t>
            </w:r>
          </w:p>
        </w:tc>
        <w:tc>
          <w:tcPr>
            <w:tcW w:w="1276" w:type="dxa"/>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26.06.2013</w:t>
            </w:r>
          </w:p>
        </w:tc>
        <w:tc>
          <w:tcPr>
            <w:tcW w:w="1418" w:type="dxa"/>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1</w:t>
            </w:r>
          </w:p>
        </w:tc>
        <w:tc>
          <w:tcPr>
            <w:tcW w:w="1984" w:type="dxa"/>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Комитет по аудиту</w:t>
            </w:r>
          </w:p>
        </w:tc>
        <w:tc>
          <w:tcPr>
            <w:tcW w:w="1475" w:type="dxa"/>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0/0</w:t>
            </w:r>
          </w:p>
        </w:tc>
      </w:tr>
      <w:tr w:rsidR="00457012" w:rsidRPr="004761E0" w:rsidTr="002103CF">
        <w:trPr>
          <w:trHeight w:val="136"/>
        </w:trPr>
        <w:tc>
          <w:tcPr>
            <w:tcW w:w="425" w:type="dxa"/>
            <w:vAlign w:val="center"/>
          </w:tcPr>
          <w:p w:rsidR="00457012" w:rsidRPr="004761E0" w:rsidRDefault="00457012" w:rsidP="007076A7">
            <w:pPr>
              <w:pStyle w:val="a5"/>
              <w:numPr>
                <w:ilvl w:val="0"/>
                <w:numId w:val="25"/>
              </w:numPr>
              <w:tabs>
                <w:tab w:val="left" w:pos="333"/>
              </w:tabs>
              <w:ind w:left="0" w:firstLine="0"/>
              <w:contextualSpacing w:val="0"/>
              <w:jc w:val="left"/>
              <w:rPr>
                <w:rFonts w:eastAsia="Times New Roman"/>
                <w:color w:val="000000"/>
                <w:sz w:val="18"/>
                <w:szCs w:val="20"/>
                <w:lang w:eastAsia="ru-RU"/>
              </w:rPr>
            </w:pPr>
          </w:p>
        </w:tc>
        <w:tc>
          <w:tcPr>
            <w:tcW w:w="1702" w:type="dxa"/>
            <w:shd w:val="clear" w:color="auto" w:fill="auto"/>
            <w:vAlign w:val="center"/>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 xml:space="preserve">Семин </w:t>
            </w:r>
          </w:p>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Николай Алексеевич</w:t>
            </w:r>
          </w:p>
        </w:tc>
        <w:tc>
          <w:tcPr>
            <w:tcW w:w="3119" w:type="dxa"/>
            <w:shd w:val="clear" w:color="auto" w:fill="auto"/>
            <w:vAlign w:val="center"/>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Вице-президент НПФ «ГАЗФОНД»</w:t>
            </w:r>
          </w:p>
        </w:tc>
        <w:tc>
          <w:tcPr>
            <w:tcW w:w="850" w:type="dxa"/>
            <w:vAlign w:val="center"/>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1947</w:t>
            </w:r>
          </w:p>
        </w:tc>
        <w:tc>
          <w:tcPr>
            <w:tcW w:w="3686" w:type="dxa"/>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 xml:space="preserve">Экономическая академия Минэкономики РФ, </w:t>
            </w:r>
          </w:p>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Всесоюзная академия внешней торговли МВЭС РФ, экономист со знанием иностранного языка по специальности «Мировая экономика»</w:t>
            </w:r>
          </w:p>
        </w:tc>
        <w:tc>
          <w:tcPr>
            <w:tcW w:w="1276" w:type="dxa"/>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26.06.2013</w:t>
            </w:r>
          </w:p>
        </w:tc>
        <w:tc>
          <w:tcPr>
            <w:tcW w:w="1418" w:type="dxa"/>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1</w:t>
            </w:r>
          </w:p>
        </w:tc>
        <w:tc>
          <w:tcPr>
            <w:tcW w:w="1984" w:type="dxa"/>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Комитет по аудиту</w:t>
            </w:r>
          </w:p>
        </w:tc>
        <w:tc>
          <w:tcPr>
            <w:tcW w:w="1475" w:type="dxa"/>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0/0</w:t>
            </w:r>
          </w:p>
        </w:tc>
      </w:tr>
      <w:tr w:rsidR="00457012" w:rsidRPr="004761E0" w:rsidTr="002103CF">
        <w:trPr>
          <w:trHeight w:val="136"/>
        </w:trPr>
        <w:tc>
          <w:tcPr>
            <w:tcW w:w="425" w:type="dxa"/>
            <w:vAlign w:val="center"/>
          </w:tcPr>
          <w:p w:rsidR="00457012" w:rsidRPr="004761E0" w:rsidRDefault="00457012" w:rsidP="007076A7">
            <w:pPr>
              <w:pStyle w:val="a5"/>
              <w:numPr>
                <w:ilvl w:val="0"/>
                <w:numId w:val="25"/>
              </w:numPr>
              <w:tabs>
                <w:tab w:val="left" w:pos="333"/>
              </w:tabs>
              <w:ind w:left="0" w:firstLine="0"/>
              <w:contextualSpacing w:val="0"/>
              <w:jc w:val="left"/>
              <w:rPr>
                <w:rFonts w:eastAsia="Times New Roman"/>
                <w:color w:val="000000"/>
                <w:sz w:val="18"/>
                <w:szCs w:val="20"/>
                <w:lang w:eastAsia="ru-RU"/>
              </w:rPr>
            </w:pPr>
          </w:p>
        </w:tc>
        <w:tc>
          <w:tcPr>
            <w:tcW w:w="1702" w:type="dxa"/>
            <w:shd w:val="clear" w:color="auto" w:fill="auto"/>
            <w:vAlign w:val="center"/>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 xml:space="preserve">Синютин </w:t>
            </w:r>
          </w:p>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Петр Алексеевич</w:t>
            </w:r>
          </w:p>
        </w:tc>
        <w:tc>
          <w:tcPr>
            <w:tcW w:w="3119" w:type="dxa"/>
            <w:shd w:val="clear" w:color="auto" w:fill="auto"/>
            <w:vAlign w:val="center"/>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 xml:space="preserve">Генеральный директор, Председатель Правления </w:t>
            </w:r>
            <w:r w:rsidR="0008080E">
              <w:rPr>
                <w:rFonts w:eastAsia="Times New Roman"/>
                <w:color w:val="000000"/>
                <w:sz w:val="18"/>
                <w:szCs w:val="20"/>
                <w:lang w:eastAsia="ru-RU"/>
              </w:rPr>
              <w:t>ОАО </w:t>
            </w:r>
            <w:r w:rsidRPr="004761E0">
              <w:rPr>
                <w:rFonts w:eastAsia="Times New Roman"/>
                <w:color w:val="000000"/>
                <w:sz w:val="18"/>
                <w:szCs w:val="20"/>
                <w:lang w:eastAsia="ru-RU"/>
              </w:rPr>
              <w:t>«МОЭСК»</w:t>
            </w:r>
          </w:p>
        </w:tc>
        <w:tc>
          <w:tcPr>
            <w:tcW w:w="850" w:type="dxa"/>
            <w:vAlign w:val="center"/>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1962</w:t>
            </w:r>
          </w:p>
        </w:tc>
        <w:tc>
          <w:tcPr>
            <w:tcW w:w="3686" w:type="dxa"/>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 xml:space="preserve">Челябинский политехнический институт по специальности «Инженер-электрик» </w:t>
            </w:r>
          </w:p>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Академию Госслужбы при Президенте РФ по специальности «Государственное и муниципальное управление»</w:t>
            </w:r>
          </w:p>
        </w:tc>
        <w:tc>
          <w:tcPr>
            <w:tcW w:w="1276" w:type="dxa"/>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26.06.2013</w:t>
            </w:r>
          </w:p>
        </w:tc>
        <w:tc>
          <w:tcPr>
            <w:tcW w:w="1418" w:type="dxa"/>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1</w:t>
            </w:r>
          </w:p>
        </w:tc>
        <w:tc>
          <w:tcPr>
            <w:tcW w:w="1984" w:type="dxa"/>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Комитет по стратегии и развитию</w:t>
            </w:r>
          </w:p>
        </w:tc>
        <w:tc>
          <w:tcPr>
            <w:tcW w:w="1475" w:type="dxa"/>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0/0</w:t>
            </w:r>
          </w:p>
        </w:tc>
      </w:tr>
      <w:tr w:rsidR="00457012" w:rsidRPr="004761E0" w:rsidTr="002103CF">
        <w:trPr>
          <w:trHeight w:val="203"/>
        </w:trPr>
        <w:tc>
          <w:tcPr>
            <w:tcW w:w="425" w:type="dxa"/>
            <w:vAlign w:val="center"/>
          </w:tcPr>
          <w:p w:rsidR="00457012" w:rsidRPr="004761E0" w:rsidRDefault="00457012" w:rsidP="007076A7">
            <w:pPr>
              <w:pStyle w:val="a5"/>
              <w:numPr>
                <w:ilvl w:val="0"/>
                <w:numId w:val="25"/>
              </w:numPr>
              <w:tabs>
                <w:tab w:val="left" w:pos="333"/>
              </w:tabs>
              <w:ind w:left="0" w:firstLine="0"/>
              <w:contextualSpacing w:val="0"/>
              <w:jc w:val="left"/>
              <w:rPr>
                <w:rFonts w:eastAsia="Times New Roman"/>
                <w:color w:val="000000"/>
                <w:sz w:val="18"/>
                <w:szCs w:val="20"/>
                <w:lang w:eastAsia="ru-RU"/>
              </w:rPr>
            </w:pPr>
          </w:p>
        </w:tc>
        <w:tc>
          <w:tcPr>
            <w:tcW w:w="1702" w:type="dxa"/>
            <w:shd w:val="clear" w:color="auto" w:fill="auto"/>
            <w:vAlign w:val="center"/>
            <w:hideMark/>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 xml:space="preserve">Скрибот </w:t>
            </w:r>
          </w:p>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Волфганг</w:t>
            </w:r>
          </w:p>
        </w:tc>
        <w:tc>
          <w:tcPr>
            <w:tcW w:w="3119" w:type="dxa"/>
            <w:shd w:val="clear" w:color="auto" w:fill="auto"/>
            <w:vAlign w:val="center"/>
            <w:hideMark/>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Управляющий директор, начальник Управления электроэнергетики и инфраструктурных проектов Департамента прямых инвестиций ГПБ (ОАО)</w:t>
            </w:r>
          </w:p>
        </w:tc>
        <w:tc>
          <w:tcPr>
            <w:tcW w:w="850" w:type="dxa"/>
            <w:vAlign w:val="center"/>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1966</w:t>
            </w:r>
          </w:p>
        </w:tc>
        <w:tc>
          <w:tcPr>
            <w:tcW w:w="3686" w:type="dxa"/>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Венский экономический университет, специальность «Экономика», магистр</w:t>
            </w:r>
          </w:p>
        </w:tc>
        <w:tc>
          <w:tcPr>
            <w:tcW w:w="1276" w:type="dxa"/>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28,02.2005</w:t>
            </w:r>
          </w:p>
        </w:tc>
        <w:tc>
          <w:tcPr>
            <w:tcW w:w="1418" w:type="dxa"/>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10</w:t>
            </w:r>
          </w:p>
        </w:tc>
        <w:tc>
          <w:tcPr>
            <w:tcW w:w="1984" w:type="dxa"/>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Комитет по кадрам и вознаграждениям, Комитет по аудиту</w:t>
            </w:r>
          </w:p>
        </w:tc>
        <w:tc>
          <w:tcPr>
            <w:tcW w:w="1475" w:type="dxa"/>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0/0</w:t>
            </w:r>
          </w:p>
        </w:tc>
      </w:tr>
      <w:tr w:rsidR="00457012" w:rsidRPr="004761E0" w:rsidTr="002103CF">
        <w:trPr>
          <w:trHeight w:val="151"/>
        </w:trPr>
        <w:tc>
          <w:tcPr>
            <w:tcW w:w="425" w:type="dxa"/>
            <w:vAlign w:val="center"/>
          </w:tcPr>
          <w:p w:rsidR="00457012" w:rsidRPr="004761E0" w:rsidRDefault="00457012" w:rsidP="007076A7">
            <w:pPr>
              <w:pStyle w:val="a5"/>
              <w:numPr>
                <w:ilvl w:val="0"/>
                <w:numId w:val="25"/>
              </w:numPr>
              <w:tabs>
                <w:tab w:val="left" w:pos="333"/>
              </w:tabs>
              <w:ind w:left="0" w:firstLine="0"/>
              <w:contextualSpacing w:val="0"/>
              <w:jc w:val="left"/>
              <w:rPr>
                <w:rFonts w:eastAsia="Times New Roman"/>
                <w:color w:val="000000"/>
                <w:sz w:val="18"/>
                <w:szCs w:val="20"/>
                <w:lang w:eastAsia="ru-RU"/>
              </w:rPr>
            </w:pPr>
          </w:p>
        </w:tc>
        <w:tc>
          <w:tcPr>
            <w:tcW w:w="1702" w:type="dxa"/>
            <w:shd w:val="clear" w:color="auto" w:fill="auto"/>
            <w:vAlign w:val="center"/>
            <w:hideMark/>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 xml:space="preserve">Шатохина </w:t>
            </w:r>
          </w:p>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Оксана Владимировна</w:t>
            </w:r>
          </w:p>
        </w:tc>
        <w:tc>
          <w:tcPr>
            <w:tcW w:w="3119" w:type="dxa"/>
            <w:shd w:val="clear" w:color="auto" w:fill="auto"/>
            <w:vAlign w:val="center"/>
            <w:hideMark/>
          </w:tcPr>
          <w:p w:rsidR="00457012" w:rsidRPr="004761E0" w:rsidRDefault="00457012" w:rsidP="003B2247">
            <w:pPr>
              <w:ind w:firstLine="0"/>
              <w:jc w:val="left"/>
              <w:rPr>
                <w:rFonts w:eastAsia="Times New Roman"/>
                <w:color w:val="000000"/>
                <w:sz w:val="18"/>
                <w:szCs w:val="20"/>
                <w:lang w:eastAsia="ru-RU"/>
              </w:rPr>
            </w:pPr>
            <w:r w:rsidRPr="004761E0">
              <w:rPr>
                <w:rFonts w:eastAsia="Times New Roman"/>
                <w:color w:val="000000"/>
                <w:sz w:val="18"/>
                <w:szCs w:val="20"/>
                <w:lang w:eastAsia="ru-RU"/>
              </w:rPr>
              <w:t xml:space="preserve">Заместитель </w:t>
            </w:r>
            <w:r w:rsidR="003B2247">
              <w:rPr>
                <w:rFonts w:eastAsia="Times New Roman"/>
                <w:color w:val="000000"/>
                <w:sz w:val="18"/>
                <w:szCs w:val="20"/>
                <w:lang w:eastAsia="ru-RU"/>
              </w:rPr>
              <w:t>г</w:t>
            </w:r>
            <w:r w:rsidRPr="004761E0">
              <w:rPr>
                <w:rFonts w:eastAsia="Times New Roman"/>
                <w:color w:val="000000"/>
                <w:sz w:val="18"/>
                <w:szCs w:val="20"/>
                <w:lang w:eastAsia="ru-RU"/>
              </w:rPr>
              <w:t xml:space="preserve">енерального директора по экономике и финансам </w:t>
            </w:r>
            <w:r w:rsidR="0008080E">
              <w:rPr>
                <w:rFonts w:eastAsia="Times New Roman"/>
                <w:color w:val="000000"/>
                <w:sz w:val="18"/>
                <w:szCs w:val="20"/>
                <w:lang w:eastAsia="ru-RU"/>
              </w:rPr>
              <w:t>ОАО </w:t>
            </w:r>
            <w:r w:rsidRPr="004761E0">
              <w:rPr>
                <w:rFonts w:eastAsia="Times New Roman"/>
                <w:color w:val="000000"/>
                <w:sz w:val="18"/>
                <w:szCs w:val="20"/>
                <w:lang w:eastAsia="ru-RU"/>
              </w:rPr>
              <w:t>«Россети»</w:t>
            </w:r>
          </w:p>
        </w:tc>
        <w:tc>
          <w:tcPr>
            <w:tcW w:w="850" w:type="dxa"/>
            <w:vAlign w:val="center"/>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1975</w:t>
            </w:r>
          </w:p>
        </w:tc>
        <w:tc>
          <w:tcPr>
            <w:tcW w:w="3686" w:type="dxa"/>
          </w:tcPr>
          <w:p w:rsidR="00457012" w:rsidRPr="004761E0" w:rsidRDefault="00457012" w:rsidP="00457012">
            <w:pPr>
              <w:ind w:firstLine="0"/>
              <w:jc w:val="left"/>
              <w:rPr>
                <w:rFonts w:eastAsia="Times New Roman"/>
                <w:color w:val="000000"/>
                <w:sz w:val="18"/>
                <w:szCs w:val="20"/>
                <w:lang w:eastAsia="ru-RU"/>
              </w:rPr>
            </w:pPr>
            <w:r w:rsidRPr="004761E0">
              <w:rPr>
                <w:rFonts w:eastAsia="Times New Roman"/>
                <w:color w:val="000000"/>
                <w:sz w:val="18"/>
                <w:szCs w:val="20"/>
                <w:lang w:eastAsia="ru-RU"/>
              </w:rPr>
              <w:t>Финансовая Академия при Правительстве РФ, специальность «Финансы и кредит», квалификация «Экономист»</w:t>
            </w:r>
          </w:p>
        </w:tc>
        <w:tc>
          <w:tcPr>
            <w:tcW w:w="1276" w:type="dxa"/>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26.06.2013</w:t>
            </w:r>
          </w:p>
        </w:tc>
        <w:tc>
          <w:tcPr>
            <w:tcW w:w="1418" w:type="dxa"/>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1</w:t>
            </w:r>
          </w:p>
        </w:tc>
        <w:tc>
          <w:tcPr>
            <w:tcW w:w="1984" w:type="dxa"/>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Комитет по кадрам и вознаграждениям, Комитет по аудиту</w:t>
            </w:r>
          </w:p>
        </w:tc>
        <w:tc>
          <w:tcPr>
            <w:tcW w:w="1475" w:type="dxa"/>
            <w:shd w:val="clear" w:color="auto" w:fill="auto"/>
            <w:vAlign w:val="center"/>
          </w:tcPr>
          <w:p w:rsidR="00457012" w:rsidRPr="004761E0" w:rsidRDefault="00457012" w:rsidP="00457012">
            <w:pPr>
              <w:ind w:firstLine="0"/>
              <w:jc w:val="right"/>
              <w:rPr>
                <w:rFonts w:eastAsia="Times New Roman"/>
                <w:color w:val="000000"/>
                <w:sz w:val="18"/>
                <w:szCs w:val="20"/>
                <w:lang w:eastAsia="ru-RU"/>
              </w:rPr>
            </w:pPr>
            <w:r w:rsidRPr="004761E0">
              <w:rPr>
                <w:rFonts w:eastAsia="Times New Roman"/>
                <w:color w:val="000000"/>
                <w:sz w:val="18"/>
                <w:szCs w:val="20"/>
                <w:lang w:eastAsia="ru-RU"/>
              </w:rPr>
              <w:t>0/0</w:t>
            </w:r>
          </w:p>
        </w:tc>
      </w:tr>
    </w:tbl>
    <w:p w:rsidR="005C4306" w:rsidRPr="00924551" w:rsidRDefault="005C4306" w:rsidP="005C4306">
      <w:pPr>
        <w:ind w:firstLine="567"/>
        <w:rPr>
          <w:sz w:val="26"/>
          <w:szCs w:val="26"/>
        </w:rPr>
      </w:pPr>
      <w:r w:rsidRPr="00924551">
        <w:rPr>
          <w:rFonts w:eastAsia="Times New Roman"/>
          <w:iCs/>
          <w:color w:val="000000"/>
          <w:sz w:val="26"/>
          <w:szCs w:val="26"/>
          <w:lang w:eastAsia="ru-RU"/>
        </w:rPr>
        <w:t xml:space="preserve">Подробная информация </w:t>
      </w:r>
      <w:r>
        <w:rPr>
          <w:rFonts w:eastAsia="Times New Roman"/>
          <w:iCs/>
          <w:color w:val="000000"/>
          <w:sz w:val="26"/>
          <w:szCs w:val="26"/>
          <w:lang w:eastAsia="ru-RU"/>
        </w:rPr>
        <w:t>о</w:t>
      </w:r>
      <w:r w:rsidRPr="00924551">
        <w:rPr>
          <w:rFonts w:eastAsia="Times New Roman"/>
          <w:iCs/>
          <w:color w:val="000000"/>
          <w:sz w:val="26"/>
          <w:szCs w:val="26"/>
          <w:lang w:eastAsia="ru-RU"/>
        </w:rPr>
        <w:t xml:space="preserve"> член</w:t>
      </w:r>
      <w:r>
        <w:rPr>
          <w:rFonts w:eastAsia="Times New Roman"/>
          <w:iCs/>
          <w:color w:val="000000"/>
          <w:sz w:val="26"/>
          <w:szCs w:val="26"/>
          <w:lang w:eastAsia="ru-RU"/>
        </w:rPr>
        <w:t xml:space="preserve">ах Совета директоров </w:t>
      </w:r>
      <w:r w:rsidRPr="00924551">
        <w:rPr>
          <w:rFonts w:eastAsia="Times New Roman"/>
          <w:iCs/>
          <w:color w:val="000000"/>
          <w:sz w:val="26"/>
          <w:szCs w:val="26"/>
          <w:lang w:eastAsia="ru-RU"/>
        </w:rPr>
        <w:t>представлена в Приложении 12.</w:t>
      </w:r>
      <w:r w:rsidR="003146BC">
        <w:rPr>
          <w:rFonts w:eastAsia="Times New Roman"/>
          <w:iCs/>
          <w:color w:val="000000"/>
          <w:sz w:val="26"/>
          <w:szCs w:val="26"/>
          <w:lang w:eastAsia="ru-RU"/>
        </w:rPr>
        <w:t>3</w:t>
      </w:r>
      <w:r w:rsidRPr="00924551">
        <w:rPr>
          <w:rFonts w:eastAsia="Times New Roman"/>
          <w:iCs/>
          <w:color w:val="000000"/>
          <w:sz w:val="26"/>
          <w:szCs w:val="26"/>
          <w:lang w:eastAsia="ru-RU"/>
        </w:rPr>
        <w:t>. к Годовому отчету.</w:t>
      </w:r>
    </w:p>
    <w:p w:rsidR="00457012" w:rsidRPr="004761E0" w:rsidRDefault="00457012" w:rsidP="00457012">
      <w:pPr>
        <w:ind w:firstLine="567"/>
        <w:rPr>
          <w:sz w:val="26"/>
          <w:szCs w:val="26"/>
        </w:rPr>
      </w:pPr>
      <w:r w:rsidRPr="004761E0">
        <w:rPr>
          <w:sz w:val="26"/>
          <w:szCs w:val="26"/>
        </w:rPr>
        <w:t>11 членов действующего состава Совета директоров соответствуют требованиям</w:t>
      </w:r>
      <w:r w:rsidR="00551AA6" w:rsidRPr="006F4AB8">
        <w:rPr>
          <w:rStyle w:val="af1"/>
        </w:rPr>
        <w:footnoteReference w:id="91"/>
      </w:r>
      <w:r w:rsidRPr="004761E0">
        <w:rPr>
          <w:sz w:val="26"/>
          <w:szCs w:val="26"/>
        </w:rPr>
        <w:t xml:space="preserve">, предъявляемым к членам Совета директоров для включения акций </w:t>
      </w:r>
      <w:r w:rsidR="00551AA6" w:rsidRPr="004761E0">
        <w:rPr>
          <w:sz w:val="26"/>
          <w:szCs w:val="26"/>
        </w:rPr>
        <w:t xml:space="preserve">Общества </w:t>
      </w:r>
      <w:r w:rsidRPr="004761E0">
        <w:rPr>
          <w:sz w:val="26"/>
          <w:szCs w:val="26"/>
        </w:rPr>
        <w:t xml:space="preserve">в котировальные списки «А» фондовой биржи. </w:t>
      </w:r>
      <w:r w:rsidR="00551AA6" w:rsidRPr="004761E0">
        <w:rPr>
          <w:sz w:val="26"/>
          <w:szCs w:val="26"/>
        </w:rPr>
        <w:t>Требованиям, предъявляемым к</w:t>
      </w:r>
      <w:r w:rsidRPr="004761E0">
        <w:rPr>
          <w:sz w:val="26"/>
          <w:szCs w:val="26"/>
        </w:rPr>
        <w:t xml:space="preserve"> член</w:t>
      </w:r>
      <w:r w:rsidR="00551AA6" w:rsidRPr="004761E0">
        <w:rPr>
          <w:sz w:val="26"/>
          <w:szCs w:val="26"/>
        </w:rPr>
        <w:t>ам</w:t>
      </w:r>
      <w:r w:rsidRPr="004761E0">
        <w:rPr>
          <w:sz w:val="26"/>
          <w:szCs w:val="26"/>
        </w:rPr>
        <w:t xml:space="preserve"> Совета директоров не соответствуют:</w:t>
      </w:r>
    </w:p>
    <w:p w:rsidR="00457012" w:rsidRPr="004761E0" w:rsidRDefault="00457012" w:rsidP="007076A7">
      <w:pPr>
        <w:pStyle w:val="a5"/>
        <w:numPr>
          <w:ilvl w:val="0"/>
          <w:numId w:val="212"/>
        </w:numPr>
        <w:ind w:left="1134" w:hanging="567"/>
        <w:rPr>
          <w:sz w:val="26"/>
          <w:szCs w:val="26"/>
        </w:rPr>
      </w:pPr>
      <w:r w:rsidRPr="004761E0">
        <w:rPr>
          <w:sz w:val="26"/>
          <w:szCs w:val="26"/>
        </w:rPr>
        <w:t xml:space="preserve">Бударгин О.М. </w:t>
      </w:r>
      <w:r w:rsidR="00551AA6" w:rsidRPr="004761E0">
        <w:rPr>
          <w:sz w:val="26"/>
          <w:szCs w:val="26"/>
        </w:rPr>
        <w:t>(</w:t>
      </w:r>
      <w:r w:rsidRPr="004761E0">
        <w:rPr>
          <w:sz w:val="26"/>
          <w:szCs w:val="26"/>
        </w:rPr>
        <w:t>входит в одну группу лиц с Обществом</w:t>
      </w:r>
      <w:r w:rsidR="00551AA6" w:rsidRPr="004761E0">
        <w:rPr>
          <w:sz w:val="26"/>
          <w:szCs w:val="26"/>
        </w:rPr>
        <w:t>);</w:t>
      </w:r>
    </w:p>
    <w:p w:rsidR="00457012" w:rsidRPr="004761E0" w:rsidRDefault="00457012" w:rsidP="007076A7">
      <w:pPr>
        <w:pStyle w:val="a5"/>
        <w:numPr>
          <w:ilvl w:val="0"/>
          <w:numId w:val="212"/>
        </w:numPr>
        <w:ind w:left="1134" w:hanging="567"/>
        <w:rPr>
          <w:sz w:val="26"/>
          <w:szCs w:val="26"/>
        </w:rPr>
      </w:pPr>
      <w:r w:rsidRPr="004761E0">
        <w:rPr>
          <w:sz w:val="26"/>
          <w:szCs w:val="26"/>
        </w:rPr>
        <w:t xml:space="preserve">Синютин П.А. </w:t>
      </w:r>
      <w:r w:rsidR="00551AA6" w:rsidRPr="004761E0">
        <w:rPr>
          <w:sz w:val="26"/>
          <w:szCs w:val="26"/>
        </w:rPr>
        <w:t>(в</w:t>
      </w:r>
      <w:r w:rsidRPr="004761E0">
        <w:rPr>
          <w:sz w:val="26"/>
          <w:szCs w:val="26"/>
        </w:rPr>
        <w:t xml:space="preserve">ыполняет функции </w:t>
      </w:r>
      <w:r w:rsidR="00551AA6" w:rsidRPr="004761E0">
        <w:rPr>
          <w:sz w:val="26"/>
          <w:szCs w:val="26"/>
        </w:rPr>
        <w:t xml:space="preserve">генерального директора </w:t>
      </w:r>
      <w:r w:rsidRPr="004761E0">
        <w:rPr>
          <w:sz w:val="26"/>
          <w:szCs w:val="26"/>
        </w:rPr>
        <w:t>Общества и входит в одну группу лиц с Обществом</w:t>
      </w:r>
      <w:r w:rsidR="00551AA6" w:rsidRPr="004761E0">
        <w:rPr>
          <w:sz w:val="26"/>
          <w:szCs w:val="26"/>
        </w:rPr>
        <w:t>)</w:t>
      </w:r>
      <w:r w:rsidRPr="004761E0">
        <w:rPr>
          <w:sz w:val="26"/>
          <w:szCs w:val="26"/>
        </w:rPr>
        <w:t>.</w:t>
      </w:r>
    </w:p>
    <w:p w:rsidR="00457012" w:rsidRPr="004761E0" w:rsidRDefault="00551AA6" w:rsidP="00457012">
      <w:pPr>
        <w:ind w:firstLine="567"/>
        <w:rPr>
          <w:sz w:val="26"/>
          <w:szCs w:val="26"/>
        </w:rPr>
      </w:pPr>
      <w:r w:rsidRPr="004761E0">
        <w:rPr>
          <w:sz w:val="26"/>
          <w:szCs w:val="26"/>
        </w:rPr>
        <w:t>12 членов действующего состава Совета директоров являются н</w:t>
      </w:r>
      <w:r w:rsidR="00457012" w:rsidRPr="004761E0">
        <w:rPr>
          <w:sz w:val="26"/>
          <w:szCs w:val="26"/>
        </w:rPr>
        <w:t>еисполнительны</w:t>
      </w:r>
      <w:r w:rsidRPr="004761E0">
        <w:rPr>
          <w:sz w:val="26"/>
          <w:szCs w:val="26"/>
        </w:rPr>
        <w:t xml:space="preserve">ми </w:t>
      </w:r>
      <w:r w:rsidR="00457012" w:rsidRPr="004761E0">
        <w:rPr>
          <w:sz w:val="26"/>
          <w:szCs w:val="26"/>
        </w:rPr>
        <w:t>директора</w:t>
      </w:r>
      <w:r w:rsidRPr="004761E0">
        <w:rPr>
          <w:sz w:val="26"/>
          <w:szCs w:val="26"/>
        </w:rPr>
        <w:t xml:space="preserve">ми (за исключением </w:t>
      </w:r>
      <w:r w:rsidR="00AD75E4" w:rsidRPr="004761E0">
        <w:rPr>
          <w:sz w:val="26"/>
          <w:szCs w:val="26"/>
        </w:rPr>
        <w:t xml:space="preserve">Председателя Правления </w:t>
      </w:r>
      <w:r w:rsidRPr="004761E0">
        <w:rPr>
          <w:sz w:val="26"/>
          <w:szCs w:val="26"/>
        </w:rPr>
        <w:t>Общества – Синютина П.А.).</w:t>
      </w:r>
    </w:p>
    <w:p w:rsidR="00551AA6" w:rsidRPr="004761E0" w:rsidRDefault="00551AA6">
      <w:pPr>
        <w:ind w:firstLine="0"/>
        <w:jc w:val="left"/>
        <w:rPr>
          <w:rStyle w:val="A50"/>
          <w:bCs/>
          <w:sz w:val="26"/>
          <w:szCs w:val="26"/>
        </w:rPr>
      </w:pPr>
    </w:p>
    <w:p w:rsidR="00551AA6" w:rsidRPr="004761E0" w:rsidRDefault="00551AA6" w:rsidP="006844FF">
      <w:pPr>
        <w:spacing w:before="200"/>
        <w:rPr>
          <w:rStyle w:val="A50"/>
          <w:bCs/>
          <w:sz w:val="26"/>
          <w:szCs w:val="26"/>
        </w:rPr>
        <w:sectPr w:rsidR="00551AA6" w:rsidRPr="004761E0" w:rsidSect="00457012">
          <w:pgSz w:w="16840" w:h="11907" w:orient="landscape" w:code="9"/>
          <w:pgMar w:top="1134" w:right="1418" w:bottom="851" w:left="720" w:header="720" w:footer="720" w:gutter="0"/>
          <w:cols w:space="720"/>
          <w:docGrid w:linePitch="326"/>
        </w:sectPr>
      </w:pPr>
    </w:p>
    <w:p w:rsidR="00551AA6" w:rsidRPr="004761E0" w:rsidRDefault="00551AA6" w:rsidP="00551AA6">
      <w:pPr>
        <w:ind w:firstLine="0"/>
        <w:rPr>
          <w:sz w:val="26"/>
          <w:szCs w:val="26"/>
          <w:lang w:eastAsia="ru-RU"/>
        </w:rPr>
      </w:pPr>
      <w:r w:rsidRPr="004761E0">
        <w:rPr>
          <w:noProof/>
          <w:sz w:val="26"/>
          <w:szCs w:val="26"/>
          <w:lang w:eastAsia="ru-RU"/>
        </w:rPr>
        <w:lastRenderedPageBreak/>
        <w:drawing>
          <wp:inline distT="0" distB="0" distL="0" distR="0">
            <wp:extent cx="3040083" cy="3918857"/>
            <wp:effectExtent l="0" t="0" r="27305" b="2476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r w:rsidRPr="004761E0">
        <w:rPr>
          <w:sz w:val="26"/>
          <w:szCs w:val="26"/>
          <w:lang w:eastAsia="ru-RU"/>
        </w:rPr>
        <w:t xml:space="preserve"> </w:t>
      </w:r>
      <w:r w:rsidRPr="004761E0">
        <w:rPr>
          <w:noProof/>
          <w:sz w:val="26"/>
          <w:szCs w:val="26"/>
          <w:lang w:eastAsia="ru-RU"/>
        </w:rPr>
        <w:drawing>
          <wp:inline distT="0" distB="0" distL="0" distR="0">
            <wp:extent cx="3040083" cy="3918857"/>
            <wp:effectExtent l="0" t="0" r="27305" b="2476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551AA6" w:rsidRPr="004761E0" w:rsidRDefault="00551AA6" w:rsidP="00551AA6">
      <w:pPr>
        <w:ind w:firstLine="567"/>
        <w:rPr>
          <w:sz w:val="26"/>
          <w:szCs w:val="26"/>
          <w:lang w:eastAsia="ru-RU"/>
        </w:rPr>
      </w:pPr>
    </w:p>
    <w:p w:rsidR="00551AA6" w:rsidRPr="004761E0" w:rsidRDefault="00551AA6" w:rsidP="00551AA6">
      <w:pPr>
        <w:ind w:firstLine="0"/>
        <w:rPr>
          <w:sz w:val="20"/>
          <w:szCs w:val="26"/>
          <w:lang w:eastAsia="ru-RU"/>
        </w:rPr>
      </w:pPr>
      <w:r w:rsidRPr="004761E0">
        <w:rPr>
          <w:sz w:val="20"/>
          <w:szCs w:val="26"/>
          <w:lang w:eastAsia="ru-RU"/>
        </w:rPr>
        <w:t>*</w:t>
      </w:r>
      <w:r w:rsidR="0008080E">
        <w:rPr>
          <w:sz w:val="20"/>
          <w:szCs w:val="26"/>
          <w:lang w:eastAsia="ru-RU"/>
        </w:rPr>
        <w:t>ОАО </w:t>
      </w:r>
      <w:r w:rsidRPr="004761E0">
        <w:rPr>
          <w:sz w:val="20"/>
          <w:szCs w:val="26"/>
          <w:lang w:eastAsia="ru-RU"/>
        </w:rPr>
        <w:t xml:space="preserve">Банк «Народный кредит», </w:t>
      </w:r>
      <w:r w:rsidR="0008080E">
        <w:rPr>
          <w:sz w:val="20"/>
          <w:szCs w:val="26"/>
          <w:lang w:eastAsia="ru-RU"/>
        </w:rPr>
        <w:t>ОАО </w:t>
      </w:r>
      <w:r w:rsidRPr="004761E0">
        <w:rPr>
          <w:sz w:val="20"/>
          <w:szCs w:val="26"/>
          <w:lang w:eastAsia="ru-RU"/>
        </w:rPr>
        <w:t xml:space="preserve">«Росгосстрах Банк», </w:t>
      </w:r>
      <w:r w:rsidR="0008080E">
        <w:rPr>
          <w:sz w:val="20"/>
          <w:szCs w:val="26"/>
          <w:lang w:eastAsia="ru-RU"/>
        </w:rPr>
        <w:t>ОАО </w:t>
      </w:r>
      <w:r w:rsidRPr="004761E0">
        <w:rPr>
          <w:sz w:val="20"/>
          <w:szCs w:val="26"/>
          <w:lang w:eastAsia="ru-RU"/>
        </w:rPr>
        <w:t>«АНКОР БАНК  СБЕРЕЖЕНИЙ», Небот Холдингс Лимитед (</w:t>
      </w:r>
      <w:r w:rsidRPr="004761E0">
        <w:rPr>
          <w:sz w:val="20"/>
          <w:szCs w:val="26"/>
          <w:lang w:val="en-US" w:eastAsia="ru-RU"/>
        </w:rPr>
        <w:t>Nebot</w:t>
      </w:r>
      <w:r w:rsidRPr="004761E0">
        <w:rPr>
          <w:sz w:val="20"/>
          <w:szCs w:val="26"/>
          <w:lang w:eastAsia="ru-RU"/>
        </w:rPr>
        <w:t xml:space="preserve"> </w:t>
      </w:r>
      <w:r w:rsidRPr="004761E0">
        <w:rPr>
          <w:sz w:val="20"/>
          <w:szCs w:val="26"/>
          <w:lang w:val="en-US" w:eastAsia="ru-RU"/>
        </w:rPr>
        <w:t>Holdings</w:t>
      </w:r>
      <w:r w:rsidRPr="004761E0">
        <w:rPr>
          <w:sz w:val="20"/>
          <w:szCs w:val="26"/>
          <w:lang w:eastAsia="ru-RU"/>
        </w:rPr>
        <w:t xml:space="preserve"> </w:t>
      </w:r>
      <w:r w:rsidRPr="004761E0">
        <w:rPr>
          <w:sz w:val="20"/>
          <w:szCs w:val="26"/>
          <w:lang w:val="en-US" w:eastAsia="ru-RU"/>
        </w:rPr>
        <w:t>Limited</w:t>
      </w:r>
      <w:r w:rsidRPr="004761E0">
        <w:rPr>
          <w:sz w:val="20"/>
          <w:szCs w:val="26"/>
          <w:lang w:eastAsia="ru-RU"/>
        </w:rPr>
        <w:t xml:space="preserve">) АКБ «ПРОБИЗНЕСБАНК» (ОАО), </w:t>
      </w:r>
      <w:r w:rsidR="0008080E">
        <w:rPr>
          <w:sz w:val="20"/>
          <w:szCs w:val="26"/>
          <w:lang w:eastAsia="ru-RU"/>
        </w:rPr>
        <w:t>ОАО </w:t>
      </w:r>
      <w:r w:rsidRPr="004761E0">
        <w:rPr>
          <w:sz w:val="20"/>
          <w:szCs w:val="26"/>
          <w:lang w:eastAsia="ru-RU"/>
        </w:rPr>
        <w:t>«ОЭК-Финанс».</w:t>
      </w:r>
    </w:p>
    <w:p w:rsidR="00551AA6" w:rsidRPr="004761E0" w:rsidRDefault="00551AA6" w:rsidP="00551AA6">
      <w:pPr>
        <w:ind w:firstLine="567"/>
        <w:rPr>
          <w:sz w:val="26"/>
          <w:szCs w:val="26"/>
          <w:lang w:eastAsia="ru-RU"/>
        </w:rPr>
      </w:pPr>
    </w:p>
    <w:p w:rsidR="00551AA6" w:rsidRPr="004761E0" w:rsidRDefault="00551AA6" w:rsidP="00551AA6">
      <w:pPr>
        <w:ind w:firstLine="0"/>
        <w:rPr>
          <w:sz w:val="20"/>
          <w:szCs w:val="26"/>
          <w:lang w:eastAsia="ru-RU"/>
        </w:rPr>
      </w:pPr>
      <w:r w:rsidRPr="004761E0">
        <w:rPr>
          <w:sz w:val="20"/>
          <w:szCs w:val="26"/>
          <w:lang w:eastAsia="ru-RU"/>
        </w:rPr>
        <w:t>**</w:t>
      </w:r>
      <w:r w:rsidR="0008080E">
        <w:rPr>
          <w:sz w:val="20"/>
          <w:szCs w:val="26"/>
          <w:lang w:eastAsia="ru-RU"/>
        </w:rPr>
        <w:t>ОАО </w:t>
      </w:r>
      <w:r w:rsidRPr="004761E0">
        <w:rPr>
          <w:sz w:val="20"/>
          <w:szCs w:val="26"/>
          <w:lang w:eastAsia="ru-RU"/>
        </w:rPr>
        <w:t xml:space="preserve">Банк «Народный кредит», АКБ «Инвестбанк» (ОАО), </w:t>
      </w:r>
      <w:r w:rsidR="0008080E">
        <w:rPr>
          <w:sz w:val="20"/>
          <w:szCs w:val="26"/>
          <w:lang w:eastAsia="ru-RU"/>
        </w:rPr>
        <w:t>ОАО </w:t>
      </w:r>
      <w:r w:rsidRPr="004761E0">
        <w:rPr>
          <w:sz w:val="20"/>
          <w:szCs w:val="26"/>
          <w:lang w:eastAsia="ru-RU"/>
        </w:rPr>
        <w:t>«Росгосстрах Банк», Агроинвестиционный коммерческий банк (</w:t>
      </w:r>
      <w:r w:rsidR="0008080E">
        <w:rPr>
          <w:sz w:val="20"/>
          <w:szCs w:val="26"/>
          <w:lang w:eastAsia="ru-RU"/>
        </w:rPr>
        <w:t>ОАО </w:t>
      </w:r>
      <w:r w:rsidRPr="004761E0">
        <w:rPr>
          <w:sz w:val="20"/>
          <w:szCs w:val="26"/>
          <w:lang w:eastAsia="ru-RU"/>
        </w:rPr>
        <w:t xml:space="preserve">АГРОИНКОМБАНК), Небот Холдингс Лимитед (Nebot Holdings Limited), </w:t>
      </w:r>
      <w:r w:rsidR="0008080E">
        <w:rPr>
          <w:sz w:val="20"/>
          <w:szCs w:val="26"/>
          <w:lang w:eastAsia="ru-RU"/>
        </w:rPr>
        <w:t>ОАО </w:t>
      </w:r>
      <w:r w:rsidRPr="004761E0">
        <w:rPr>
          <w:sz w:val="20"/>
          <w:szCs w:val="26"/>
          <w:lang w:eastAsia="ru-RU"/>
        </w:rPr>
        <w:t>«ОЭК-Финанс».</w:t>
      </w:r>
    </w:p>
    <w:p w:rsidR="00551AA6" w:rsidRPr="008E3C2C" w:rsidRDefault="00551AA6" w:rsidP="008E3C2C">
      <w:pPr>
        <w:spacing w:before="120" w:after="120"/>
        <w:ind w:firstLine="567"/>
        <w:rPr>
          <w:b/>
          <w:sz w:val="26"/>
          <w:szCs w:val="26"/>
        </w:rPr>
      </w:pPr>
      <w:r w:rsidRPr="008E3C2C">
        <w:rPr>
          <w:b/>
          <w:sz w:val="26"/>
          <w:szCs w:val="26"/>
        </w:rPr>
        <w:t>Результаты деятельности Совета директоров</w:t>
      </w:r>
    </w:p>
    <w:p w:rsidR="00686764" w:rsidRPr="004761E0" w:rsidRDefault="00686764" w:rsidP="00686764">
      <w:pPr>
        <w:spacing w:after="120"/>
        <w:ind w:firstLine="567"/>
        <w:rPr>
          <w:rFonts w:eastAsia="Times New Roman"/>
          <w:iCs/>
          <w:color w:val="000000"/>
          <w:sz w:val="26"/>
          <w:szCs w:val="26"/>
          <w:lang w:eastAsia="ru-RU"/>
        </w:rPr>
      </w:pPr>
      <w:r w:rsidRPr="004761E0">
        <w:rPr>
          <w:rFonts w:eastAsia="Times New Roman"/>
          <w:iCs/>
          <w:color w:val="000000"/>
          <w:sz w:val="26"/>
          <w:szCs w:val="26"/>
          <w:lang w:eastAsia="ru-RU"/>
        </w:rPr>
        <w:t>Основные решения, принятые Советом директоров в 2013 году:</w:t>
      </w:r>
    </w:p>
    <w:tbl>
      <w:tblPr>
        <w:tblStyle w:val="ae"/>
        <w:tblW w:w="10030" w:type="dxa"/>
        <w:tblInd w:w="108" w:type="dxa"/>
        <w:tblLayout w:type="fixed"/>
        <w:tblLook w:val="04A0"/>
      </w:tblPr>
      <w:tblGrid>
        <w:gridCol w:w="567"/>
        <w:gridCol w:w="5812"/>
        <w:gridCol w:w="1134"/>
        <w:gridCol w:w="1276"/>
        <w:gridCol w:w="1241"/>
      </w:tblGrid>
      <w:tr w:rsidR="00551AA6" w:rsidRPr="004761E0" w:rsidTr="00551AA6">
        <w:tc>
          <w:tcPr>
            <w:tcW w:w="567" w:type="dxa"/>
            <w:tcBorders>
              <w:right w:val="single" w:sz="4" w:space="0" w:color="FFFFFF" w:themeColor="background1"/>
            </w:tcBorders>
            <w:shd w:val="clear" w:color="auto" w:fill="0F243E" w:themeFill="text2" w:themeFillShade="80"/>
            <w:vAlign w:val="center"/>
          </w:tcPr>
          <w:p w:rsidR="00551AA6" w:rsidRPr="004761E0" w:rsidRDefault="00551AA6" w:rsidP="00551AA6">
            <w:pPr>
              <w:tabs>
                <w:tab w:val="left" w:pos="709"/>
                <w:tab w:val="left" w:pos="1080"/>
              </w:tabs>
              <w:ind w:firstLine="0"/>
              <w:jc w:val="left"/>
              <w:rPr>
                <w:b/>
                <w:sz w:val="20"/>
                <w:szCs w:val="20"/>
              </w:rPr>
            </w:pPr>
            <w:r w:rsidRPr="004761E0">
              <w:rPr>
                <w:b/>
                <w:sz w:val="20"/>
                <w:szCs w:val="20"/>
              </w:rPr>
              <w:t>№ п/п</w:t>
            </w:r>
          </w:p>
        </w:tc>
        <w:tc>
          <w:tcPr>
            <w:tcW w:w="5812" w:type="dxa"/>
            <w:tcBorders>
              <w:left w:val="single" w:sz="4" w:space="0" w:color="FFFFFF" w:themeColor="background1"/>
              <w:right w:val="single" w:sz="4" w:space="0" w:color="FFFFFF" w:themeColor="background1"/>
            </w:tcBorders>
            <w:shd w:val="clear" w:color="auto" w:fill="0F243E" w:themeFill="text2" w:themeFillShade="80"/>
            <w:vAlign w:val="center"/>
          </w:tcPr>
          <w:p w:rsidR="00551AA6" w:rsidRPr="004761E0" w:rsidRDefault="00551AA6" w:rsidP="00551AA6">
            <w:pPr>
              <w:tabs>
                <w:tab w:val="left" w:pos="709"/>
                <w:tab w:val="left" w:pos="1080"/>
              </w:tabs>
              <w:ind w:firstLine="0"/>
              <w:jc w:val="left"/>
              <w:rPr>
                <w:b/>
                <w:sz w:val="20"/>
                <w:szCs w:val="20"/>
              </w:rPr>
            </w:pPr>
            <w:r w:rsidRPr="004761E0">
              <w:rPr>
                <w:b/>
                <w:sz w:val="20"/>
                <w:szCs w:val="20"/>
              </w:rPr>
              <w:t>Решения, принятые Советом директоров в 2013 году</w:t>
            </w:r>
          </w:p>
        </w:tc>
        <w:tc>
          <w:tcPr>
            <w:tcW w:w="1134" w:type="dxa"/>
            <w:tcBorders>
              <w:left w:val="single" w:sz="4" w:space="0" w:color="FFFFFF" w:themeColor="background1"/>
              <w:right w:val="single" w:sz="4" w:space="0" w:color="FFFFFF" w:themeColor="background1"/>
            </w:tcBorders>
            <w:shd w:val="clear" w:color="auto" w:fill="0F243E" w:themeFill="text2" w:themeFillShade="80"/>
          </w:tcPr>
          <w:p w:rsidR="00551AA6" w:rsidRPr="004761E0" w:rsidRDefault="00551AA6" w:rsidP="00266643">
            <w:pPr>
              <w:tabs>
                <w:tab w:val="left" w:pos="709"/>
                <w:tab w:val="left" w:pos="1080"/>
              </w:tabs>
              <w:ind w:firstLine="0"/>
              <w:jc w:val="right"/>
              <w:rPr>
                <w:b/>
                <w:sz w:val="20"/>
                <w:szCs w:val="20"/>
              </w:rPr>
            </w:pPr>
            <w:r w:rsidRPr="004761E0">
              <w:rPr>
                <w:b/>
                <w:sz w:val="20"/>
                <w:szCs w:val="20"/>
              </w:rPr>
              <w:t>Дата заседания</w:t>
            </w:r>
          </w:p>
        </w:tc>
        <w:tc>
          <w:tcPr>
            <w:tcW w:w="1276" w:type="dxa"/>
            <w:tcBorders>
              <w:left w:val="single" w:sz="4" w:space="0" w:color="FFFFFF" w:themeColor="background1"/>
              <w:right w:val="single" w:sz="4" w:space="0" w:color="FFFFFF" w:themeColor="background1"/>
            </w:tcBorders>
            <w:shd w:val="clear" w:color="auto" w:fill="0F243E" w:themeFill="text2" w:themeFillShade="80"/>
          </w:tcPr>
          <w:p w:rsidR="00551AA6" w:rsidRPr="004761E0" w:rsidRDefault="00551AA6" w:rsidP="00266643">
            <w:pPr>
              <w:tabs>
                <w:tab w:val="left" w:pos="709"/>
                <w:tab w:val="left" w:pos="1080"/>
              </w:tabs>
              <w:ind w:firstLine="0"/>
              <w:jc w:val="right"/>
              <w:rPr>
                <w:b/>
                <w:sz w:val="20"/>
                <w:szCs w:val="20"/>
              </w:rPr>
            </w:pPr>
            <w:r w:rsidRPr="004761E0">
              <w:rPr>
                <w:b/>
                <w:sz w:val="20"/>
                <w:szCs w:val="20"/>
              </w:rPr>
              <w:t xml:space="preserve">№ протокола </w:t>
            </w:r>
          </w:p>
        </w:tc>
        <w:tc>
          <w:tcPr>
            <w:tcW w:w="1241" w:type="dxa"/>
            <w:tcBorders>
              <w:left w:val="single" w:sz="4" w:space="0" w:color="FFFFFF" w:themeColor="background1"/>
            </w:tcBorders>
            <w:shd w:val="clear" w:color="auto" w:fill="0F243E" w:themeFill="text2" w:themeFillShade="80"/>
          </w:tcPr>
          <w:p w:rsidR="00551AA6" w:rsidRPr="004761E0" w:rsidRDefault="00551AA6" w:rsidP="00266643">
            <w:pPr>
              <w:tabs>
                <w:tab w:val="left" w:pos="709"/>
                <w:tab w:val="left" w:pos="1080"/>
              </w:tabs>
              <w:ind w:firstLine="0"/>
              <w:jc w:val="right"/>
              <w:rPr>
                <w:b/>
                <w:sz w:val="20"/>
                <w:szCs w:val="20"/>
              </w:rPr>
            </w:pPr>
            <w:r w:rsidRPr="004761E0">
              <w:rPr>
                <w:b/>
                <w:sz w:val="20"/>
                <w:szCs w:val="20"/>
              </w:rPr>
              <w:t xml:space="preserve">Дата протокола </w:t>
            </w:r>
          </w:p>
        </w:tc>
      </w:tr>
      <w:tr w:rsidR="00551AA6" w:rsidRPr="004761E0" w:rsidTr="00551AA6">
        <w:trPr>
          <w:trHeight w:val="80"/>
        </w:trPr>
        <w:tc>
          <w:tcPr>
            <w:tcW w:w="10030" w:type="dxa"/>
            <w:gridSpan w:val="5"/>
            <w:shd w:val="clear" w:color="auto" w:fill="D9D9D9" w:themeFill="background1" w:themeFillShade="D9"/>
          </w:tcPr>
          <w:p w:rsidR="00551AA6" w:rsidRPr="004761E0" w:rsidRDefault="00551AA6" w:rsidP="00551AA6">
            <w:pPr>
              <w:tabs>
                <w:tab w:val="left" w:pos="709"/>
                <w:tab w:val="left" w:pos="1080"/>
              </w:tabs>
              <w:ind w:firstLine="0"/>
              <w:rPr>
                <w:b/>
                <w:sz w:val="20"/>
                <w:szCs w:val="20"/>
              </w:rPr>
            </w:pPr>
            <w:r w:rsidRPr="004761E0">
              <w:rPr>
                <w:b/>
                <w:sz w:val="20"/>
                <w:szCs w:val="20"/>
              </w:rPr>
              <w:t>Приняты следующие ключевые решения</w:t>
            </w: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ind w:firstLine="0"/>
              <w:jc w:val="left"/>
              <w:rPr>
                <w:sz w:val="20"/>
                <w:szCs w:val="20"/>
              </w:rPr>
            </w:pPr>
            <w:r w:rsidRPr="004761E0">
              <w:rPr>
                <w:color w:val="000000"/>
                <w:sz w:val="20"/>
                <w:szCs w:val="20"/>
              </w:rPr>
              <w:t>Избран Генеральный директор Синютин Петр Алексеевич на три года до 04.02.2016 включительно.</w:t>
            </w:r>
          </w:p>
        </w:tc>
        <w:tc>
          <w:tcPr>
            <w:tcW w:w="1134" w:type="dxa"/>
          </w:tcPr>
          <w:p w:rsidR="00551AA6" w:rsidRPr="004761E0" w:rsidRDefault="00551AA6" w:rsidP="00551AA6">
            <w:pPr>
              <w:tabs>
                <w:tab w:val="left" w:pos="709"/>
                <w:tab w:val="left" w:pos="1080"/>
              </w:tabs>
              <w:ind w:firstLine="0"/>
              <w:jc w:val="right"/>
              <w:rPr>
                <w:sz w:val="20"/>
                <w:szCs w:val="20"/>
              </w:rPr>
            </w:pPr>
            <w:r w:rsidRPr="004761E0">
              <w:rPr>
                <w:sz w:val="20"/>
                <w:szCs w:val="20"/>
              </w:rPr>
              <w:t>05.02.2013</w:t>
            </w:r>
          </w:p>
        </w:tc>
        <w:tc>
          <w:tcPr>
            <w:tcW w:w="1276" w:type="dxa"/>
          </w:tcPr>
          <w:p w:rsidR="00551AA6" w:rsidRPr="004761E0" w:rsidRDefault="00551AA6" w:rsidP="00551AA6">
            <w:pPr>
              <w:tabs>
                <w:tab w:val="left" w:pos="709"/>
                <w:tab w:val="left" w:pos="1080"/>
              </w:tabs>
              <w:ind w:firstLine="0"/>
              <w:jc w:val="right"/>
              <w:rPr>
                <w:sz w:val="20"/>
                <w:szCs w:val="20"/>
              </w:rPr>
            </w:pPr>
            <w:r w:rsidRPr="004761E0">
              <w:rPr>
                <w:sz w:val="20"/>
                <w:szCs w:val="20"/>
              </w:rPr>
              <w:t>190</w:t>
            </w:r>
          </w:p>
        </w:tc>
        <w:tc>
          <w:tcPr>
            <w:tcW w:w="1241" w:type="dxa"/>
          </w:tcPr>
          <w:p w:rsidR="00551AA6" w:rsidRPr="004761E0" w:rsidRDefault="00551AA6" w:rsidP="00551AA6">
            <w:pPr>
              <w:tabs>
                <w:tab w:val="left" w:pos="709"/>
                <w:tab w:val="left" w:pos="1080"/>
              </w:tabs>
              <w:ind w:firstLine="0"/>
              <w:jc w:val="right"/>
              <w:rPr>
                <w:sz w:val="20"/>
                <w:szCs w:val="20"/>
              </w:rPr>
            </w:pPr>
            <w:r w:rsidRPr="004761E0">
              <w:rPr>
                <w:sz w:val="20"/>
                <w:szCs w:val="20"/>
              </w:rPr>
              <w:t>05.02.2013</w:t>
            </w: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ind w:firstLine="0"/>
              <w:jc w:val="left"/>
              <w:rPr>
                <w:sz w:val="20"/>
                <w:szCs w:val="20"/>
              </w:rPr>
            </w:pPr>
            <w:r w:rsidRPr="004761E0">
              <w:rPr>
                <w:sz w:val="20"/>
                <w:szCs w:val="20"/>
              </w:rPr>
              <w:t>Принято решение о создании филиала «Энергоучет».</w:t>
            </w:r>
          </w:p>
        </w:tc>
        <w:tc>
          <w:tcPr>
            <w:tcW w:w="1134" w:type="dxa"/>
          </w:tcPr>
          <w:p w:rsidR="00551AA6" w:rsidRPr="004761E0" w:rsidRDefault="00551AA6" w:rsidP="00551AA6">
            <w:pPr>
              <w:tabs>
                <w:tab w:val="left" w:pos="709"/>
                <w:tab w:val="left" w:pos="1080"/>
              </w:tabs>
              <w:ind w:firstLine="0"/>
              <w:jc w:val="right"/>
              <w:rPr>
                <w:sz w:val="20"/>
                <w:szCs w:val="20"/>
              </w:rPr>
            </w:pPr>
            <w:r w:rsidRPr="004761E0">
              <w:rPr>
                <w:sz w:val="20"/>
                <w:szCs w:val="20"/>
              </w:rPr>
              <w:t>18.04.2013</w:t>
            </w:r>
          </w:p>
        </w:tc>
        <w:tc>
          <w:tcPr>
            <w:tcW w:w="1276" w:type="dxa"/>
          </w:tcPr>
          <w:p w:rsidR="00551AA6" w:rsidRPr="004761E0" w:rsidRDefault="00551AA6" w:rsidP="00551AA6">
            <w:pPr>
              <w:tabs>
                <w:tab w:val="left" w:pos="709"/>
                <w:tab w:val="left" w:pos="1080"/>
              </w:tabs>
              <w:ind w:firstLine="0"/>
              <w:jc w:val="right"/>
              <w:rPr>
                <w:sz w:val="20"/>
                <w:szCs w:val="20"/>
              </w:rPr>
            </w:pPr>
            <w:r w:rsidRPr="004761E0">
              <w:rPr>
                <w:sz w:val="20"/>
                <w:szCs w:val="20"/>
              </w:rPr>
              <w:t>198</w:t>
            </w:r>
          </w:p>
        </w:tc>
        <w:tc>
          <w:tcPr>
            <w:tcW w:w="1241" w:type="dxa"/>
          </w:tcPr>
          <w:p w:rsidR="00551AA6" w:rsidRPr="004761E0" w:rsidRDefault="00551AA6" w:rsidP="00551AA6">
            <w:pPr>
              <w:tabs>
                <w:tab w:val="left" w:pos="709"/>
                <w:tab w:val="left" w:pos="1080"/>
              </w:tabs>
              <w:ind w:firstLine="0"/>
              <w:jc w:val="right"/>
              <w:rPr>
                <w:sz w:val="20"/>
                <w:szCs w:val="20"/>
              </w:rPr>
            </w:pPr>
            <w:r w:rsidRPr="004761E0">
              <w:rPr>
                <w:sz w:val="20"/>
                <w:szCs w:val="20"/>
              </w:rPr>
              <w:t>19.04.2013</w:t>
            </w: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ind w:firstLine="0"/>
              <w:jc w:val="left"/>
              <w:rPr>
                <w:sz w:val="20"/>
                <w:szCs w:val="20"/>
              </w:rPr>
            </w:pPr>
            <w:r w:rsidRPr="004761E0">
              <w:rPr>
                <w:sz w:val="20"/>
                <w:szCs w:val="20"/>
              </w:rPr>
              <w:t>Утверждены целевые значения годовых и квартальных КПЭ генерального директора и высших менеджеров 2013 год.</w:t>
            </w:r>
          </w:p>
        </w:tc>
        <w:tc>
          <w:tcPr>
            <w:tcW w:w="1134" w:type="dxa"/>
            <w:vMerge w:val="restart"/>
          </w:tcPr>
          <w:p w:rsidR="00551AA6" w:rsidRPr="004761E0" w:rsidRDefault="00551AA6" w:rsidP="00551AA6">
            <w:pPr>
              <w:tabs>
                <w:tab w:val="left" w:pos="709"/>
                <w:tab w:val="left" w:pos="1080"/>
              </w:tabs>
              <w:ind w:firstLine="0"/>
              <w:jc w:val="right"/>
              <w:rPr>
                <w:sz w:val="20"/>
                <w:szCs w:val="20"/>
              </w:rPr>
            </w:pPr>
            <w:r w:rsidRPr="004761E0">
              <w:rPr>
                <w:sz w:val="20"/>
                <w:szCs w:val="20"/>
              </w:rPr>
              <w:t>30.05.2013</w:t>
            </w:r>
          </w:p>
        </w:tc>
        <w:tc>
          <w:tcPr>
            <w:tcW w:w="1276" w:type="dxa"/>
            <w:vMerge w:val="restart"/>
          </w:tcPr>
          <w:p w:rsidR="00551AA6" w:rsidRPr="004761E0" w:rsidRDefault="00551AA6" w:rsidP="00551AA6">
            <w:pPr>
              <w:tabs>
                <w:tab w:val="left" w:pos="709"/>
                <w:tab w:val="left" w:pos="1080"/>
              </w:tabs>
              <w:ind w:firstLine="0"/>
              <w:jc w:val="right"/>
              <w:rPr>
                <w:sz w:val="20"/>
                <w:szCs w:val="20"/>
              </w:rPr>
            </w:pPr>
            <w:r w:rsidRPr="004761E0">
              <w:rPr>
                <w:sz w:val="20"/>
                <w:szCs w:val="20"/>
              </w:rPr>
              <w:t>201</w:t>
            </w:r>
          </w:p>
        </w:tc>
        <w:tc>
          <w:tcPr>
            <w:tcW w:w="1241" w:type="dxa"/>
            <w:vMerge w:val="restart"/>
          </w:tcPr>
          <w:p w:rsidR="00551AA6" w:rsidRPr="004761E0" w:rsidRDefault="00551AA6" w:rsidP="00551AA6">
            <w:pPr>
              <w:tabs>
                <w:tab w:val="left" w:pos="709"/>
                <w:tab w:val="left" w:pos="1080"/>
              </w:tabs>
              <w:ind w:firstLine="0"/>
              <w:jc w:val="right"/>
              <w:rPr>
                <w:sz w:val="20"/>
                <w:szCs w:val="20"/>
              </w:rPr>
            </w:pPr>
            <w:r w:rsidRPr="004761E0">
              <w:rPr>
                <w:sz w:val="20"/>
                <w:szCs w:val="20"/>
              </w:rPr>
              <w:t>01.06.2013</w:t>
            </w: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ind w:firstLine="0"/>
              <w:jc w:val="left"/>
              <w:rPr>
                <w:sz w:val="20"/>
                <w:szCs w:val="20"/>
              </w:rPr>
            </w:pPr>
            <w:r w:rsidRPr="004761E0">
              <w:rPr>
                <w:sz w:val="20"/>
                <w:szCs w:val="20"/>
              </w:rPr>
              <w:t>Принято решение о размещении биржевых облигаций</w:t>
            </w:r>
            <w:r w:rsidR="00884D85">
              <w:rPr>
                <w:sz w:val="20"/>
                <w:szCs w:val="20"/>
              </w:rPr>
              <w:t xml:space="preserve"> БО-04 – БО-10</w:t>
            </w:r>
            <w:r w:rsidRPr="004761E0">
              <w:rPr>
                <w:sz w:val="20"/>
                <w:szCs w:val="20"/>
              </w:rPr>
              <w:t>.</w:t>
            </w:r>
          </w:p>
        </w:tc>
        <w:tc>
          <w:tcPr>
            <w:tcW w:w="1134" w:type="dxa"/>
            <w:vMerge/>
          </w:tcPr>
          <w:p w:rsidR="00551AA6" w:rsidRPr="004761E0" w:rsidRDefault="00551AA6" w:rsidP="00551AA6">
            <w:pPr>
              <w:tabs>
                <w:tab w:val="left" w:pos="709"/>
                <w:tab w:val="left" w:pos="1080"/>
              </w:tabs>
              <w:ind w:firstLine="0"/>
              <w:jc w:val="right"/>
              <w:rPr>
                <w:sz w:val="20"/>
                <w:szCs w:val="20"/>
              </w:rPr>
            </w:pPr>
          </w:p>
        </w:tc>
        <w:tc>
          <w:tcPr>
            <w:tcW w:w="1276" w:type="dxa"/>
            <w:vMerge/>
          </w:tcPr>
          <w:p w:rsidR="00551AA6" w:rsidRPr="004761E0" w:rsidRDefault="00551AA6" w:rsidP="00551AA6">
            <w:pPr>
              <w:tabs>
                <w:tab w:val="left" w:pos="709"/>
                <w:tab w:val="left" w:pos="1080"/>
              </w:tabs>
              <w:ind w:firstLine="0"/>
              <w:jc w:val="right"/>
              <w:rPr>
                <w:sz w:val="20"/>
                <w:szCs w:val="20"/>
              </w:rPr>
            </w:pPr>
          </w:p>
        </w:tc>
        <w:tc>
          <w:tcPr>
            <w:tcW w:w="1241" w:type="dxa"/>
            <w:vMerge/>
          </w:tcPr>
          <w:p w:rsidR="00551AA6" w:rsidRPr="004761E0" w:rsidRDefault="00551AA6" w:rsidP="00551AA6">
            <w:pPr>
              <w:tabs>
                <w:tab w:val="left" w:pos="709"/>
                <w:tab w:val="left" w:pos="1080"/>
              </w:tabs>
              <w:ind w:firstLine="0"/>
              <w:jc w:val="right"/>
              <w:rPr>
                <w:sz w:val="20"/>
                <w:szCs w:val="20"/>
              </w:rPr>
            </w:pP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ind w:firstLine="0"/>
              <w:jc w:val="left"/>
              <w:rPr>
                <w:sz w:val="20"/>
                <w:szCs w:val="20"/>
              </w:rPr>
            </w:pPr>
            <w:r w:rsidRPr="004761E0">
              <w:rPr>
                <w:sz w:val="20"/>
                <w:szCs w:val="20"/>
              </w:rPr>
              <w:t>Утверждены сценарные условия формирования инвестиционной программы.</w:t>
            </w:r>
          </w:p>
        </w:tc>
        <w:tc>
          <w:tcPr>
            <w:tcW w:w="1134" w:type="dxa"/>
            <w:vMerge w:val="restart"/>
          </w:tcPr>
          <w:p w:rsidR="00551AA6" w:rsidRPr="004761E0" w:rsidRDefault="00551AA6" w:rsidP="00551AA6">
            <w:pPr>
              <w:tabs>
                <w:tab w:val="left" w:pos="709"/>
                <w:tab w:val="left" w:pos="1080"/>
              </w:tabs>
              <w:ind w:firstLine="0"/>
              <w:jc w:val="right"/>
              <w:rPr>
                <w:sz w:val="20"/>
                <w:szCs w:val="20"/>
              </w:rPr>
            </w:pPr>
            <w:r w:rsidRPr="004761E0">
              <w:rPr>
                <w:sz w:val="20"/>
                <w:szCs w:val="20"/>
              </w:rPr>
              <w:t>24.06.2013</w:t>
            </w:r>
          </w:p>
        </w:tc>
        <w:tc>
          <w:tcPr>
            <w:tcW w:w="1276" w:type="dxa"/>
            <w:vMerge w:val="restart"/>
          </w:tcPr>
          <w:p w:rsidR="00551AA6" w:rsidRPr="004761E0" w:rsidRDefault="00551AA6" w:rsidP="00551AA6">
            <w:pPr>
              <w:tabs>
                <w:tab w:val="left" w:pos="709"/>
                <w:tab w:val="left" w:pos="1080"/>
              </w:tabs>
              <w:ind w:firstLine="0"/>
              <w:jc w:val="right"/>
              <w:rPr>
                <w:sz w:val="20"/>
                <w:szCs w:val="20"/>
              </w:rPr>
            </w:pPr>
            <w:r w:rsidRPr="004761E0">
              <w:rPr>
                <w:sz w:val="20"/>
                <w:szCs w:val="20"/>
              </w:rPr>
              <w:t>204</w:t>
            </w:r>
          </w:p>
        </w:tc>
        <w:tc>
          <w:tcPr>
            <w:tcW w:w="1241" w:type="dxa"/>
            <w:vMerge w:val="restart"/>
          </w:tcPr>
          <w:p w:rsidR="00551AA6" w:rsidRPr="004761E0" w:rsidRDefault="00551AA6" w:rsidP="00551AA6">
            <w:pPr>
              <w:tabs>
                <w:tab w:val="left" w:pos="709"/>
                <w:tab w:val="left" w:pos="1080"/>
              </w:tabs>
              <w:ind w:firstLine="0"/>
              <w:jc w:val="right"/>
              <w:rPr>
                <w:sz w:val="20"/>
                <w:szCs w:val="20"/>
              </w:rPr>
            </w:pPr>
            <w:r w:rsidRPr="004761E0">
              <w:rPr>
                <w:sz w:val="20"/>
                <w:szCs w:val="20"/>
              </w:rPr>
              <w:t>27.06.2013</w:t>
            </w: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tabs>
                <w:tab w:val="left" w:pos="709"/>
                <w:tab w:val="left" w:pos="1080"/>
              </w:tabs>
              <w:ind w:firstLine="0"/>
              <w:jc w:val="left"/>
              <w:rPr>
                <w:sz w:val="20"/>
                <w:szCs w:val="20"/>
              </w:rPr>
            </w:pPr>
            <w:r w:rsidRPr="004761E0">
              <w:rPr>
                <w:sz w:val="20"/>
                <w:szCs w:val="20"/>
              </w:rPr>
              <w:t>Утверждена организационная структура исполнительного аппарата.</w:t>
            </w:r>
          </w:p>
        </w:tc>
        <w:tc>
          <w:tcPr>
            <w:tcW w:w="1134" w:type="dxa"/>
            <w:vMerge/>
          </w:tcPr>
          <w:p w:rsidR="00551AA6" w:rsidRPr="004761E0" w:rsidRDefault="00551AA6" w:rsidP="00551AA6">
            <w:pPr>
              <w:tabs>
                <w:tab w:val="left" w:pos="709"/>
                <w:tab w:val="left" w:pos="1080"/>
              </w:tabs>
              <w:ind w:firstLine="0"/>
              <w:jc w:val="right"/>
              <w:rPr>
                <w:sz w:val="20"/>
                <w:szCs w:val="20"/>
              </w:rPr>
            </w:pPr>
          </w:p>
        </w:tc>
        <w:tc>
          <w:tcPr>
            <w:tcW w:w="1276" w:type="dxa"/>
            <w:vMerge/>
          </w:tcPr>
          <w:p w:rsidR="00551AA6" w:rsidRPr="004761E0" w:rsidRDefault="00551AA6" w:rsidP="00551AA6">
            <w:pPr>
              <w:tabs>
                <w:tab w:val="left" w:pos="709"/>
                <w:tab w:val="left" w:pos="1080"/>
              </w:tabs>
              <w:ind w:firstLine="0"/>
              <w:jc w:val="right"/>
              <w:rPr>
                <w:sz w:val="20"/>
                <w:szCs w:val="20"/>
              </w:rPr>
            </w:pPr>
          </w:p>
        </w:tc>
        <w:tc>
          <w:tcPr>
            <w:tcW w:w="1241" w:type="dxa"/>
            <w:vMerge/>
          </w:tcPr>
          <w:p w:rsidR="00551AA6" w:rsidRPr="004761E0" w:rsidRDefault="00551AA6" w:rsidP="00551AA6">
            <w:pPr>
              <w:tabs>
                <w:tab w:val="left" w:pos="709"/>
                <w:tab w:val="left" w:pos="1080"/>
              </w:tabs>
              <w:ind w:firstLine="0"/>
              <w:jc w:val="right"/>
              <w:rPr>
                <w:sz w:val="20"/>
                <w:szCs w:val="20"/>
              </w:rPr>
            </w:pP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pStyle w:val="aff4"/>
              <w:spacing w:after="0"/>
              <w:ind w:firstLine="0"/>
              <w:jc w:val="left"/>
              <w:rPr>
                <w:sz w:val="20"/>
                <w:szCs w:val="20"/>
              </w:rPr>
            </w:pPr>
            <w:r w:rsidRPr="004761E0">
              <w:rPr>
                <w:sz w:val="20"/>
                <w:szCs w:val="20"/>
              </w:rPr>
              <w:t>Принято решение о создании</w:t>
            </w:r>
            <w:r w:rsidRPr="004761E0">
              <w:rPr>
                <w:bCs/>
                <w:sz w:val="20"/>
                <w:szCs w:val="20"/>
              </w:rPr>
              <w:t xml:space="preserve"> филиала - «Новая Москва».</w:t>
            </w:r>
          </w:p>
        </w:tc>
        <w:tc>
          <w:tcPr>
            <w:tcW w:w="1134" w:type="dxa"/>
          </w:tcPr>
          <w:p w:rsidR="00551AA6" w:rsidRPr="004761E0" w:rsidRDefault="00551AA6" w:rsidP="00551AA6">
            <w:pPr>
              <w:tabs>
                <w:tab w:val="left" w:pos="709"/>
                <w:tab w:val="left" w:pos="1080"/>
              </w:tabs>
              <w:ind w:firstLine="0"/>
              <w:jc w:val="right"/>
              <w:rPr>
                <w:sz w:val="20"/>
                <w:szCs w:val="20"/>
              </w:rPr>
            </w:pPr>
            <w:r w:rsidRPr="004761E0">
              <w:rPr>
                <w:sz w:val="20"/>
                <w:szCs w:val="20"/>
              </w:rPr>
              <w:t>08.10.2013</w:t>
            </w:r>
          </w:p>
        </w:tc>
        <w:tc>
          <w:tcPr>
            <w:tcW w:w="1276" w:type="dxa"/>
          </w:tcPr>
          <w:p w:rsidR="00551AA6" w:rsidRPr="004761E0" w:rsidRDefault="00551AA6" w:rsidP="00551AA6">
            <w:pPr>
              <w:tabs>
                <w:tab w:val="left" w:pos="709"/>
                <w:tab w:val="left" w:pos="1080"/>
              </w:tabs>
              <w:ind w:firstLine="0"/>
              <w:jc w:val="right"/>
              <w:rPr>
                <w:sz w:val="20"/>
                <w:szCs w:val="20"/>
              </w:rPr>
            </w:pPr>
            <w:r w:rsidRPr="004761E0">
              <w:rPr>
                <w:sz w:val="20"/>
                <w:szCs w:val="20"/>
              </w:rPr>
              <w:t>208</w:t>
            </w:r>
          </w:p>
        </w:tc>
        <w:tc>
          <w:tcPr>
            <w:tcW w:w="1241" w:type="dxa"/>
          </w:tcPr>
          <w:p w:rsidR="00551AA6" w:rsidRPr="004761E0" w:rsidRDefault="00551AA6" w:rsidP="00551AA6">
            <w:pPr>
              <w:tabs>
                <w:tab w:val="left" w:pos="709"/>
                <w:tab w:val="left" w:pos="1080"/>
              </w:tabs>
              <w:ind w:firstLine="0"/>
              <w:jc w:val="right"/>
              <w:rPr>
                <w:sz w:val="20"/>
                <w:szCs w:val="20"/>
              </w:rPr>
            </w:pPr>
            <w:r w:rsidRPr="004761E0">
              <w:rPr>
                <w:sz w:val="20"/>
                <w:szCs w:val="20"/>
              </w:rPr>
              <w:t>11.10.2013</w:t>
            </w: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ind w:firstLine="0"/>
              <w:jc w:val="left"/>
              <w:rPr>
                <w:sz w:val="20"/>
                <w:szCs w:val="20"/>
              </w:rPr>
            </w:pPr>
            <w:r w:rsidRPr="004761E0">
              <w:rPr>
                <w:sz w:val="20"/>
                <w:szCs w:val="20"/>
              </w:rPr>
              <w:t>Утверждена организационная структура исполнительного аппарата.</w:t>
            </w:r>
          </w:p>
        </w:tc>
        <w:tc>
          <w:tcPr>
            <w:tcW w:w="1134" w:type="dxa"/>
          </w:tcPr>
          <w:p w:rsidR="00551AA6" w:rsidRPr="004761E0" w:rsidRDefault="00551AA6" w:rsidP="00551AA6">
            <w:pPr>
              <w:tabs>
                <w:tab w:val="left" w:pos="709"/>
                <w:tab w:val="left" w:pos="1080"/>
              </w:tabs>
              <w:ind w:firstLine="0"/>
              <w:jc w:val="right"/>
              <w:rPr>
                <w:sz w:val="20"/>
                <w:szCs w:val="20"/>
              </w:rPr>
            </w:pPr>
            <w:r w:rsidRPr="004761E0">
              <w:rPr>
                <w:sz w:val="20"/>
                <w:szCs w:val="20"/>
              </w:rPr>
              <w:t>07.11.2013</w:t>
            </w:r>
          </w:p>
        </w:tc>
        <w:tc>
          <w:tcPr>
            <w:tcW w:w="1276" w:type="dxa"/>
          </w:tcPr>
          <w:p w:rsidR="00551AA6" w:rsidRPr="004761E0" w:rsidRDefault="00551AA6" w:rsidP="00551AA6">
            <w:pPr>
              <w:tabs>
                <w:tab w:val="left" w:pos="709"/>
                <w:tab w:val="left" w:pos="1080"/>
              </w:tabs>
              <w:ind w:firstLine="0"/>
              <w:jc w:val="right"/>
              <w:rPr>
                <w:sz w:val="20"/>
                <w:szCs w:val="20"/>
              </w:rPr>
            </w:pPr>
            <w:r w:rsidRPr="004761E0">
              <w:rPr>
                <w:sz w:val="20"/>
                <w:szCs w:val="20"/>
              </w:rPr>
              <w:t>209</w:t>
            </w:r>
          </w:p>
        </w:tc>
        <w:tc>
          <w:tcPr>
            <w:tcW w:w="1241" w:type="dxa"/>
          </w:tcPr>
          <w:p w:rsidR="00551AA6" w:rsidRPr="004761E0" w:rsidRDefault="00551AA6" w:rsidP="00551AA6">
            <w:pPr>
              <w:ind w:firstLine="0"/>
              <w:jc w:val="right"/>
              <w:rPr>
                <w:sz w:val="20"/>
                <w:szCs w:val="20"/>
              </w:rPr>
            </w:pPr>
            <w:r w:rsidRPr="004761E0">
              <w:rPr>
                <w:sz w:val="20"/>
                <w:szCs w:val="20"/>
              </w:rPr>
              <w:t>08.11.2013</w:t>
            </w: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ind w:firstLine="0"/>
              <w:jc w:val="left"/>
              <w:rPr>
                <w:sz w:val="20"/>
                <w:szCs w:val="20"/>
              </w:rPr>
            </w:pPr>
            <w:r w:rsidRPr="004761E0">
              <w:rPr>
                <w:sz w:val="20"/>
                <w:szCs w:val="20"/>
              </w:rPr>
              <w:t>Утверждены скорректированные целевые значения годовых КПЭ генерального директора на 2013 год.</w:t>
            </w:r>
          </w:p>
        </w:tc>
        <w:tc>
          <w:tcPr>
            <w:tcW w:w="1134" w:type="dxa"/>
          </w:tcPr>
          <w:p w:rsidR="00551AA6" w:rsidRPr="004761E0" w:rsidRDefault="00551AA6" w:rsidP="00551AA6">
            <w:pPr>
              <w:tabs>
                <w:tab w:val="left" w:pos="709"/>
                <w:tab w:val="left" w:pos="1080"/>
              </w:tabs>
              <w:ind w:firstLine="0"/>
              <w:jc w:val="right"/>
              <w:rPr>
                <w:sz w:val="20"/>
                <w:szCs w:val="20"/>
              </w:rPr>
            </w:pPr>
            <w:r w:rsidRPr="004761E0">
              <w:rPr>
                <w:sz w:val="20"/>
                <w:szCs w:val="20"/>
              </w:rPr>
              <w:t>15.11.2013</w:t>
            </w:r>
          </w:p>
        </w:tc>
        <w:tc>
          <w:tcPr>
            <w:tcW w:w="1276" w:type="dxa"/>
          </w:tcPr>
          <w:p w:rsidR="00551AA6" w:rsidRPr="004761E0" w:rsidRDefault="00551AA6" w:rsidP="00551AA6">
            <w:pPr>
              <w:tabs>
                <w:tab w:val="left" w:pos="709"/>
                <w:tab w:val="left" w:pos="1080"/>
              </w:tabs>
              <w:ind w:firstLine="0"/>
              <w:jc w:val="right"/>
              <w:rPr>
                <w:sz w:val="20"/>
                <w:szCs w:val="20"/>
              </w:rPr>
            </w:pPr>
            <w:r w:rsidRPr="004761E0">
              <w:rPr>
                <w:sz w:val="20"/>
                <w:szCs w:val="20"/>
              </w:rPr>
              <w:t>210</w:t>
            </w:r>
          </w:p>
        </w:tc>
        <w:tc>
          <w:tcPr>
            <w:tcW w:w="1241" w:type="dxa"/>
          </w:tcPr>
          <w:p w:rsidR="00551AA6" w:rsidRPr="004761E0" w:rsidRDefault="00551AA6" w:rsidP="00551AA6">
            <w:pPr>
              <w:tabs>
                <w:tab w:val="left" w:pos="709"/>
                <w:tab w:val="left" w:pos="1080"/>
              </w:tabs>
              <w:ind w:firstLine="0"/>
              <w:jc w:val="right"/>
              <w:rPr>
                <w:sz w:val="20"/>
                <w:szCs w:val="20"/>
              </w:rPr>
            </w:pPr>
            <w:r w:rsidRPr="004761E0">
              <w:rPr>
                <w:sz w:val="20"/>
                <w:szCs w:val="20"/>
              </w:rPr>
              <w:t>18.11.2013</w:t>
            </w: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ind w:firstLine="0"/>
              <w:jc w:val="left"/>
              <w:rPr>
                <w:sz w:val="20"/>
                <w:szCs w:val="20"/>
              </w:rPr>
            </w:pPr>
            <w:r w:rsidRPr="004761E0">
              <w:rPr>
                <w:sz w:val="20"/>
                <w:szCs w:val="20"/>
              </w:rPr>
              <w:t>Утверждены сценарные условия формирования инвестиционных программ Общества.</w:t>
            </w:r>
          </w:p>
        </w:tc>
        <w:tc>
          <w:tcPr>
            <w:tcW w:w="1134" w:type="dxa"/>
          </w:tcPr>
          <w:p w:rsidR="00551AA6" w:rsidRPr="004761E0" w:rsidRDefault="00551AA6" w:rsidP="00551AA6">
            <w:pPr>
              <w:tabs>
                <w:tab w:val="left" w:pos="709"/>
                <w:tab w:val="left" w:pos="1080"/>
              </w:tabs>
              <w:ind w:firstLine="0"/>
              <w:jc w:val="right"/>
              <w:rPr>
                <w:sz w:val="20"/>
                <w:szCs w:val="20"/>
              </w:rPr>
            </w:pPr>
            <w:r w:rsidRPr="004761E0">
              <w:rPr>
                <w:sz w:val="20"/>
                <w:szCs w:val="20"/>
              </w:rPr>
              <w:t>25.11.2013</w:t>
            </w:r>
          </w:p>
        </w:tc>
        <w:tc>
          <w:tcPr>
            <w:tcW w:w="1276" w:type="dxa"/>
          </w:tcPr>
          <w:p w:rsidR="00551AA6" w:rsidRPr="004761E0" w:rsidRDefault="00551AA6" w:rsidP="00551AA6">
            <w:pPr>
              <w:tabs>
                <w:tab w:val="left" w:pos="709"/>
                <w:tab w:val="left" w:pos="1080"/>
              </w:tabs>
              <w:ind w:firstLine="0"/>
              <w:jc w:val="right"/>
              <w:rPr>
                <w:sz w:val="20"/>
                <w:szCs w:val="20"/>
              </w:rPr>
            </w:pPr>
            <w:r w:rsidRPr="004761E0">
              <w:rPr>
                <w:sz w:val="20"/>
                <w:szCs w:val="20"/>
              </w:rPr>
              <w:t>212</w:t>
            </w:r>
          </w:p>
        </w:tc>
        <w:tc>
          <w:tcPr>
            <w:tcW w:w="1241" w:type="dxa"/>
          </w:tcPr>
          <w:p w:rsidR="00551AA6" w:rsidRPr="004761E0" w:rsidRDefault="00551AA6" w:rsidP="00551AA6">
            <w:pPr>
              <w:ind w:firstLine="0"/>
              <w:jc w:val="right"/>
              <w:rPr>
                <w:sz w:val="20"/>
                <w:szCs w:val="20"/>
              </w:rPr>
            </w:pPr>
            <w:r w:rsidRPr="004761E0">
              <w:rPr>
                <w:sz w:val="20"/>
                <w:szCs w:val="20"/>
              </w:rPr>
              <w:t>26.11.2013</w:t>
            </w: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ind w:firstLine="0"/>
              <w:jc w:val="left"/>
              <w:rPr>
                <w:sz w:val="20"/>
                <w:szCs w:val="20"/>
              </w:rPr>
            </w:pPr>
            <w:r w:rsidRPr="004761E0">
              <w:rPr>
                <w:sz w:val="20"/>
                <w:szCs w:val="20"/>
              </w:rPr>
              <w:t xml:space="preserve">Принято решение о созыве внеочередного Общего собрания </w:t>
            </w:r>
            <w:r w:rsidRPr="004761E0">
              <w:rPr>
                <w:sz w:val="20"/>
                <w:szCs w:val="20"/>
              </w:rPr>
              <w:lastRenderedPageBreak/>
              <w:t>акционеров.</w:t>
            </w:r>
          </w:p>
        </w:tc>
        <w:tc>
          <w:tcPr>
            <w:tcW w:w="1134" w:type="dxa"/>
          </w:tcPr>
          <w:p w:rsidR="00551AA6" w:rsidRPr="004761E0" w:rsidRDefault="00551AA6" w:rsidP="00551AA6">
            <w:pPr>
              <w:tabs>
                <w:tab w:val="left" w:pos="709"/>
                <w:tab w:val="left" w:pos="1080"/>
              </w:tabs>
              <w:ind w:firstLine="0"/>
              <w:jc w:val="right"/>
              <w:rPr>
                <w:sz w:val="20"/>
                <w:szCs w:val="20"/>
              </w:rPr>
            </w:pPr>
            <w:r w:rsidRPr="004761E0">
              <w:rPr>
                <w:sz w:val="20"/>
                <w:szCs w:val="20"/>
              </w:rPr>
              <w:lastRenderedPageBreak/>
              <w:t>23.12.2013</w:t>
            </w:r>
          </w:p>
        </w:tc>
        <w:tc>
          <w:tcPr>
            <w:tcW w:w="1276" w:type="dxa"/>
          </w:tcPr>
          <w:p w:rsidR="00551AA6" w:rsidRPr="004761E0" w:rsidRDefault="00551AA6" w:rsidP="00551AA6">
            <w:pPr>
              <w:tabs>
                <w:tab w:val="left" w:pos="709"/>
                <w:tab w:val="left" w:pos="1080"/>
              </w:tabs>
              <w:ind w:firstLine="0"/>
              <w:jc w:val="right"/>
              <w:rPr>
                <w:sz w:val="20"/>
                <w:szCs w:val="20"/>
              </w:rPr>
            </w:pPr>
            <w:r w:rsidRPr="004761E0">
              <w:rPr>
                <w:sz w:val="20"/>
                <w:szCs w:val="20"/>
              </w:rPr>
              <w:t>214</w:t>
            </w:r>
          </w:p>
        </w:tc>
        <w:tc>
          <w:tcPr>
            <w:tcW w:w="1241" w:type="dxa"/>
          </w:tcPr>
          <w:p w:rsidR="00551AA6" w:rsidRPr="004761E0" w:rsidRDefault="00551AA6" w:rsidP="00551AA6">
            <w:pPr>
              <w:ind w:firstLine="0"/>
              <w:jc w:val="right"/>
              <w:rPr>
                <w:sz w:val="20"/>
                <w:szCs w:val="20"/>
              </w:rPr>
            </w:pPr>
            <w:r w:rsidRPr="004761E0">
              <w:rPr>
                <w:sz w:val="20"/>
                <w:szCs w:val="20"/>
              </w:rPr>
              <w:t>23.12.2013</w:t>
            </w: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ind w:firstLine="0"/>
              <w:jc w:val="left"/>
              <w:rPr>
                <w:sz w:val="20"/>
                <w:szCs w:val="20"/>
              </w:rPr>
            </w:pPr>
            <w:r w:rsidRPr="004761E0">
              <w:rPr>
                <w:sz w:val="20"/>
                <w:szCs w:val="20"/>
              </w:rPr>
              <w:t>Утверждены целевые значения годовых и квартальных КПЭ генерального директора на 2014 год.</w:t>
            </w:r>
          </w:p>
        </w:tc>
        <w:tc>
          <w:tcPr>
            <w:tcW w:w="1134" w:type="dxa"/>
          </w:tcPr>
          <w:p w:rsidR="00551AA6" w:rsidRPr="004761E0" w:rsidRDefault="00551AA6" w:rsidP="00551AA6">
            <w:pPr>
              <w:tabs>
                <w:tab w:val="left" w:pos="709"/>
                <w:tab w:val="left" w:pos="1080"/>
              </w:tabs>
              <w:ind w:firstLine="0"/>
              <w:jc w:val="right"/>
              <w:rPr>
                <w:sz w:val="20"/>
                <w:szCs w:val="20"/>
              </w:rPr>
            </w:pPr>
            <w:r w:rsidRPr="004761E0">
              <w:rPr>
                <w:sz w:val="20"/>
                <w:szCs w:val="20"/>
              </w:rPr>
              <w:t>27.12.2013</w:t>
            </w:r>
          </w:p>
        </w:tc>
        <w:tc>
          <w:tcPr>
            <w:tcW w:w="1276" w:type="dxa"/>
          </w:tcPr>
          <w:p w:rsidR="00551AA6" w:rsidRPr="004761E0" w:rsidRDefault="00551AA6" w:rsidP="00551AA6">
            <w:pPr>
              <w:tabs>
                <w:tab w:val="left" w:pos="709"/>
                <w:tab w:val="left" w:pos="1080"/>
              </w:tabs>
              <w:ind w:firstLine="0"/>
              <w:jc w:val="right"/>
              <w:rPr>
                <w:sz w:val="20"/>
                <w:szCs w:val="20"/>
              </w:rPr>
            </w:pPr>
            <w:r w:rsidRPr="004761E0">
              <w:rPr>
                <w:sz w:val="20"/>
                <w:szCs w:val="20"/>
              </w:rPr>
              <w:t>215</w:t>
            </w:r>
          </w:p>
        </w:tc>
        <w:tc>
          <w:tcPr>
            <w:tcW w:w="1241" w:type="dxa"/>
          </w:tcPr>
          <w:p w:rsidR="00551AA6" w:rsidRPr="004761E0" w:rsidRDefault="00551AA6" w:rsidP="00551AA6">
            <w:pPr>
              <w:ind w:firstLine="0"/>
              <w:jc w:val="right"/>
              <w:rPr>
                <w:sz w:val="20"/>
                <w:szCs w:val="20"/>
              </w:rPr>
            </w:pPr>
            <w:r w:rsidRPr="004761E0">
              <w:rPr>
                <w:sz w:val="20"/>
                <w:szCs w:val="20"/>
              </w:rPr>
              <w:t>27.12.2013</w:t>
            </w: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ind w:firstLine="0"/>
              <w:jc w:val="left"/>
              <w:rPr>
                <w:sz w:val="20"/>
                <w:szCs w:val="20"/>
              </w:rPr>
            </w:pPr>
            <w:r w:rsidRPr="004761E0">
              <w:rPr>
                <w:sz w:val="20"/>
                <w:szCs w:val="20"/>
              </w:rPr>
              <w:t>Утверждена организационная структура исполнительного аппарата.</w:t>
            </w:r>
          </w:p>
        </w:tc>
        <w:tc>
          <w:tcPr>
            <w:tcW w:w="1134" w:type="dxa"/>
          </w:tcPr>
          <w:p w:rsidR="00551AA6" w:rsidRPr="004761E0" w:rsidRDefault="00551AA6" w:rsidP="00551AA6">
            <w:pPr>
              <w:tabs>
                <w:tab w:val="left" w:pos="709"/>
                <w:tab w:val="left" w:pos="1080"/>
              </w:tabs>
              <w:ind w:firstLine="0"/>
              <w:jc w:val="right"/>
              <w:rPr>
                <w:sz w:val="20"/>
                <w:szCs w:val="20"/>
              </w:rPr>
            </w:pPr>
            <w:r w:rsidRPr="004761E0">
              <w:rPr>
                <w:sz w:val="20"/>
                <w:szCs w:val="20"/>
              </w:rPr>
              <w:t>30.12.2013</w:t>
            </w:r>
          </w:p>
        </w:tc>
        <w:tc>
          <w:tcPr>
            <w:tcW w:w="1276" w:type="dxa"/>
          </w:tcPr>
          <w:p w:rsidR="00551AA6" w:rsidRPr="004761E0" w:rsidRDefault="00551AA6" w:rsidP="00551AA6">
            <w:pPr>
              <w:tabs>
                <w:tab w:val="left" w:pos="709"/>
                <w:tab w:val="left" w:pos="1080"/>
              </w:tabs>
              <w:ind w:firstLine="0"/>
              <w:jc w:val="right"/>
              <w:rPr>
                <w:sz w:val="20"/>
                <w:szCs w:val="20"/>
              </w:rPr>
            </w:pPr>
            <w:r w:rsidRPr="004761E0">
              <w:rPr>
                <w:sz w:val="20"/>
                <w:szCs w:val="20"/>
              </w:rPr>
              <w:t>217</w:t>
            </w:r>
          </w:p>
        </w:tc>
        <w:tc>
          <w:tcPr>
            <w:tcW w:w="1241" w:type="dxa"/>
          </w:tcPr>
          <w:p w:rsidR="00551AA6" w:rsidRPr="004761E0" w:rsidRDefault="00551AA6" w:rsidP="00551AA6">
            <w:pPr>
              <w:ind w:firstLine="0"/>
              <w:jc w:val="right"/>
              <w:rPr>
                <w:sz w:val="20"/>
                <w:szCs w:val="20"/>
              </w:rPr>
            </w:pPr>
            <w:r w:rsidRPr="004761E0">
              <w:rPr>
                <w:sz w:val="20"/>
                <w:szCs w:val="20"/>
              </w:rPr>
              <w:t>31.12.2013</w:t>
            </w:r>
          </w:p>
        </w:tc>
      </w:tr>
      <w:tr w:rsidR="00551AA6" w:rsidRPr="004761E0" w:rsidTr="00551AA6">
        <w:tc>
          <w:tcPr>
            <w:tcW w:w="10030" w:type="dxa"/>
            <w:gridSpan w:val="5"/>
            <w:shd w:val="clear" w:color="auto" w:fill="D9D9D9" w:themeFill="background1" w:themeFillShade="D9"/>
          </w:tcPr>
          <w:p w:rsidR="00551AA6" w:rsidRPr="004761E0" w:rsidRDefault="00551AA6" w:rsidP="00551AA6">
            <w:pPr>
              <w:tabs>
                <w:tab w:val="left" w:pos="709"/>
                <w:tab w:val="left" w:pos="1080"/>
              </w:tabs>
              <w:ind w:firstLine="0"/>
              <w:rPr>
                <w:b/>
                <w:sz w:val="20"/>
                <w:szCs w:val="20"/>
              </w:rPr>
            </w:pPr>
            <w:r w:rsidRPr="004761E0">
              <w:rPr>
                <w:b/>
                <w:sz w:val="20"/>
                <w:szCs w:val="20"/>
              </w:rPr>
              <w:t>Определены в качестве приоритетных следующие направлений деятельности Общества</w:t>
            </w: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tabs>
                <w:tab w:val="left" w:pos="709"/>
                <w:tab w:val="left" w:pos="1080"/>
              </w:tabs>
              <w:ind w:firstLine="0"/>
              <w:jc w:val="left"/>
              <w:rPr>
                <w:sz w:val="20"/>
                <w:szCs w:val="20"/>
              </w:rPr>
            </w:pPr>
            <w:r w:rsidRPr="004761E0">
              <w:rPr>
                <w:sz w:val="20"/>
                <w:szCs w:val="20"/>
              </w:rPr>
              <w:t xml:space="preserve">Фиксация данных максимальной разрешенной мощности ранее присоединенных потребителей к электрическим сетям </w:t>
            </w:r>
            <w:r w:rsidR="0008080E">
              <w:rPr>
                <w:sz w:val="20"/>
                <w:szCs w:val="20"/>
              </w:rPr>
              <w:t>ОАО </w:t>
            </w:r>
            <w:r w:rsidRPr="004761E0">
              <w:rPr>
                <w:sz w:val="20"/>
                <w:szCs w:val="20"/>
              </w:rPr>
              <w:t xml:space="preserve">«МОЭСК» определена приоритетным направлением деятельности </w:t>
            </w:r>
            <w:r w:rsidR="0008080E">
              <w:rPr>
                <w:sz w:val="20"/>
                <w:szCs w:val="20"/>
              </w:rPr>
              <w:t>ОАО </w:t>
            </w:r>
            <w:r w:rsidRPr="004761E0">
              <w:rPr>
                <w:sz w:val="20"/>
                <w:szCs w:val="20"/>
              </w:rPr>
              <w:t>«МОЭСК».</w:t>
            </w:r>
          </w:p>
        </w:tc>
        <w:tc>
          <w:tcPr>
            <w:tcW w:w="1134" w:type="dxa"/>
          </w:tcPr>
          <w:p w:rsidR="00551AA6" w:rsidRPr="004761E0" w:rsidRDefault="00551AA6" w:rsidP="00551AA6">
            <w:pPr>
              <w:tabs>
                <w:tab w:val="left" w:pos="709"/>
                <w:tab w:val="left" w:pos="1080"/>
              </w:tabs>
              <w:ind w:firstLine="0"/>
              <w:jc w:val="right"/>
              <w:rPr>
                <w:sz w:val="20"/>
                <w:szCs w:val="20"/>
              </w:rPr>
            </w:pPr>
            <w:r w:rsidRPr="004761E0">
              <w:rPr>
                <w:sz w:val="20"/>
                <w:szCs w:val="20"/>
              </w:rPr>
              <w:t>21.06.2013</w:t>
            </w:r>
          </w:p>
        </w:tc>
        <w:tc>
          <w:tcPr>
            <w:tcW w:w="1276" w:type="dxa"/>
          </w:tcPr>
          <w:p w:rsidR="00551AA6" w:rsidRPr="004761E0" w:rsidRDefault="00551AA6" w:rsidP="00551AA6">
            <w:pPr>
              <w:tabs>
                <w:tab w:val="left" w:pos="709"/>
                <w:tab w:val="left" w:pos="1080"/>
              </w:tabs>
              <w:ind w:firstLine="0"/>
              <w:jc w:val="right"/>
              <w:rPr>
                <w:sz w:val="20"/>
                <w:szCs w:val="20"/>
              </w:rPr>
            </w:pPr>
            <w:r w:rsidRPr="004761E0">
              <w:rPr>
                <w:sz w:val="20"/>
                <w:szCs w:val="20"/>
              </w:rPr>
              <w:t>203</w:t>
            </w:r>
          </w:p>
        </w:tc>
        <w:tc>
          <w:tcPr>
            <w:tcW w:w="1241" w:type="dxa"/>
          </w:tcPr>
          <w:p w:rsidR="00551AA6" w:rsidRPr="004761E0" w:rsidRDefault="00551AA6" w:rsidP="00551AA6">
            <w:pPr>
              <w:tabs>
                <w:tab w:val="left" w:pos="709"/>
                <w:tab w:val="left" w:pos="1080"/>
              </w:tabs>
              <w:ind w:firstLine="0"/>
              <w:jc w:val="right"/>
              <w:rPr>
                <w:sz w:val="20"/>
                <w:szCs w:val="20"/>
              </w:rPr>
            </w:pPr>
            <w:r w:rsidRPr="004761E0">
              <w:rPr>
                <w:sz w:val="20"/>
                <w:szCs w:val="20"/>
              </w:rPr>
              <w:t>24.06.2013</w:t>
            </w:r>
          </w:p>
        </w:tc>
      </w:tr>
      <w:tr w:rsidR="00551AA6" w:rsidRPr="004761E0" w:rsidTr="00551AA6">
        <w:tc>
          <w:tcPr>
            <w:tcW w:w="10030" w:type="dxa"/>
            <w:gridSpan w:val="5"/>
            <w:shd w:val="clear" w:color="auto" w:fill="D9D9D9" w:themeFill="background1" w:themeFillShade="D9"/>
          </w:tcPr>
          <w:p w:rsidR="00551AA6" w:rsidRPr="004761E0" w:rsidRDefault="00551AA6" w:rsidP="00551AA6">
            <w:pPr>
              <w:tabs>
                <w:tab w:val="left" w:pos="709"/>
                <w:tab w:val="left" w:pos="1080"/>
              </w:tabs>
              <w:ind w:firstLine="0"/>
              <w:rPr>
                <w:b/>
                <w:sz w:val="20"/>
                <w:szCs w:val="20"/>
              </w:rPr>
            </w:pPr>
            <w:r w:rsidRPr="004761E0">
              <w:rPr>
                <w:b/>
                <w:sz w:val="20"/>
                <w:szCs w:val="20"/>
              </w:rPr>
              <w:t>Утверждены (одобрены) следующие ключевые документы</w:t>
            </w: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tabs>
                <w:tab w:val="left" w:pos="709"/>
                <w:tab w:val="left" w:pos="1080"/>
              </w:tabs>
              <w:ind w:firstLine="0"/>
              <w:jc w:val="left"/>
              <w:rPr>
                <w:sz w:val="20"/>
                <w:szCs w:val="20"/>
              </w:rPr>
            </w:pPr>
            <w:r w:rsidRPr="004761E0">
              <w:rPr>
                <w:sz w:val="20"/>
                <w:szCs w:val="20"/>
              </w:rPr>
              <w:t>Программа энергосбережения и повышения энергетической эффективности на 2013 год и прогноз на 2014-2018 гг.</w:t>
            </w:r>
          </w:p>
        </w:tc>
        <w:tc>
          <w:tcPr>
            <w:tcW w:w="1134" w:type="dxa"/>
          </w:tcPr>
          <w:p w:rsidR="00551AA6" w:rsidRPr="004761E0" w:rsidRDefault="00551AA6" w:rsidP="00551AA6">
            <w:pPr>
              <w:tabs>
                <w:tab w:val="left" w:pos="709"/>
                <w:tab w:val="left" w:pos="1080"/>
              </w:tabs>
              <w:ind w:firstLine="0"/>
              <w:jc w:val="right"/>
              <w:rPr>
                <w:sz w:val="20"/>
                <w:szCs w:val="20"/>
              </w:rPr>
            </w:pPr>
            <w:r w:rsidRPr="004761E0">
              <w:rPr>
                <w:sz w:val="20"/>
                <w:szCs w:val="20"/>
              </w:rPr>
              <w:t>05.02.2013</w:t>
            </w:r>
          </w:p>
        </w:tc>
        <w:tc>
          <w:tcPr>
            <w:tcW w:w="1276" w:type="dxa"/>
          </w:tcPr>
          <w:p w:rsidR="00551AA6" w:rsidRPr="004761E0" w:rsidRDefault="00551AA6" w:rsidP="00551AA6">
            <w:pPr>
              <w:tabs>
                <w:tab w:val="left" w:pos="709"/>
                <w:tab w:val="left" w:pos="1080"/>
              </w:tabs>
              <w:ind w:firstLine="0"/>
              <w:jc w:val="right"/>
              <w:rPr>
                <w:sz w:val="20"/>
                <w:szCs w:val="20"/>
              </w:rPr>
            </w:pPr>
            <w:r w:rsidRPr="004761E0">
              <w:rPr>
                <w:sz w:val="20"/>
                <w:szCs w:val="20"/>
              </w:rPr>
              <w:t>191</w:t>
            </w:r>
          </w:p>
        </w:tc>
        <w:tc>
          <w:tcPr>
            <w:tcW w:w="1241" w:type="dxa"/>
          </w:tcPr>
          <w:p w:rsidR="00551AA6" w:rsidRPr="004761E0" w:rsidRDefault="00551AA6" w:rsidP="00551AA6">
            <w:pPr>
              <w:tabs>
                <w:tab w:val="left" w:pos="709"/>
                <w:tab w:val="left" w:pos="1080"/>
              </w:tabs>
              <w:ind w:firstLine="0"/>
              <w:jc w:val="right"/>
              <w:rPr>
                <w:sz w:val="20"/>
                <w:szCs w:val="20"/>
              </w:rPr>
            </w:pPr>
            <w:r w:rsidRPr="004761E0">
              <w:rPr>
                <w:sz w:val="20"/>
                <w:szCs w:val="20"/>
              </w:rPr>
              <w:t>07.02.2013</w:t>
            </w: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tabs>
                <w:tab w:val="left" w:pos="709"/>
                <w:tab w:val="left" w:pos="1080"/>
              </w:tabs>
              <w:ind w:firstLine="0"/>
              <w:jc w:val="left"/>
              <w:rPr>
                <w:sz w:val="20"/>
                <w:szCs w:val="20"/>
              </w:rPr>
            </w:pPr>
            <w:r w:rsidRPr="004761E0">
              <w:rPr>
                <w:sz w:val="20"/>
                <w:szCs w:val="20"/>
              </w:rPr>
              <w:t>Кодекс корпоративной этики в новой редакции, в т.ч. Антикоррупционная политика.</w:t>
            </w:r>
          </w:p>
        </w:tc>
        <w:tc>
          <w:tcPr>
            <w:tcW w:w="1134" w:type="dxa"/>
            <w:vMerge w:val="restart"/>
          </w:tcPr>
          <w:p w:rsidR="00551AA6" w:rsidRPr="004761E0" w:rsidRDefault="00551AA6" w:rsidP="00551AA6">
            <w:pPr>
              <w:tabs>
                <w:tab w:val="left" w:pos="709"/>
                <w:tab w:val="left" w:pos="1080"/>
              </w:tabs>
              <w:ind w:firstLine="0"/>
              <w:jc w:val="right"/>
              <w:rPr>
                <w:sz w:val="20"/>
                <w:szCs w:val="20"/>
              </w:rPr>
            </w:pPr>
            <w:r w:rsidRPr="004761E0">
              <w:rPr>
                <w:sz w:val="20"/>
                <w:szCs w:val="20"/>
              </w:rPr>
              <w:t>14.03.2013</w:t>
            </w:r>
          </w:p>
        </w:tc>
        <w:tc>
          <w:tcPr>
            <w:tcW w:w="1276" w:type="dxa"/>
            <w:vMerge w:val="restart"/>
          </w:tcPr>
          <w:p w:rsidR="00551AA6" w:rsidRPr="004761E0" w:rsidRDefault="00551AA6" w:rsidP="00551AA6">
            <w:pPr>
              <w:tabs>
                <w:tab w:val="left" w:pos="709"/>
                <w:tab w:val="left" w:pos="1080"/>
              </w:tabs>
              <w:ind w:firstLine="0"/>
              <w:jc w:val="right"/>
              <w:rPr>
                <w:sz w:val="20"/>
                <w:szCs w:val="20"/>
              </w:rPr>
            </w:pPr>
            <w:r w:rsidRPr="004761E0">
              <w:rPr>
                <w:sz w:val="20"/>
                <w:szCs w:val="20"/>
              </w:rPr>
              <w:t>194</w:t>
            </w:r>
          </w:p>
        </w:tc>
        <w:tc>
          <w:tcPr>
            <w:tcW w:w="1241" w:type="dxa"/>
            <w:vMerge w:val="restart"/>
          </w:tcPr>
          <w:p w:rsidR="00551AA6" w:rsidRPr="004761E0" w:rsidRDefault="00551AA6" w:rsidP="00551AA6">
            <w:pPr>
              <w:tabs>
                <w:tab w:val="left" w:pos="709"/>
                <w:tab w:val="left" w:pos="1080"/>
              </w:tabs>
              <w:ind w:firstLine="0"/>
              <w:jc w:val="right"/>
              <w:rPr>
                <w:sz w:val="20"/>
                <w:szCs w:val="20"/>
              </w:rPr>
            </w:pPr>
            <w:r w:rsidRPr="004761E0">
              <w:rPr>
                <w:sz w:val="20"/>
                <w:szCs w:val="20"/>
              </w:rPr>
              <w:t>15.03.2013</w:t>
            </w: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tabs>
                <w:tab w:val="left" w:pos="709"/>
                <w:tab w:val="left" w:pos="1080"/>
              </w:tabs>
              <w:ind w:firstLine="0"/>
              <w:jc w:val="left"/>
              <w:rPr>
                <w:sz w:val="20"/>
                <w:szCs w:val="20"/>
              </w:rPr>
            </w:pPr>
            <w:r w:rsidRPr="004761E0">
              <w:rPr>
                <w:sz w:val="20"/>
                <w:szCs w:val="20"/>
              </w:rPr>
              <w:t>Кодекс корпоративного управления в новой редакции.</w:t>
            </w:r>
          </w:p>
        </w:tc>
        <w:tc>
          <w:tcPr>
            <w:tcW w:w="1134" w:type="dxa"/>
            <w:vMerge/>
          </w:tcPr>
          <w:p w:rsidR="00551AA6" w:rsidRPr="004761E0" w:rsidRDefault="00551AA6" w:rsidP="00551AA6">
            <w:pPr>
              <w:tabs>
                <w:tab w:val="left" w:pos="709"/>
                <w:tab w:val="left" w:pos="1080"/>
              </w:tabs>
              <w:ind w:firstLine="0"/>
              <w:jc w:val="right"/>
              <w:rPr>
                <w:sz w:val="20"/>
                <w:szCs w:val="20"/>
              </w:rPr>
            </w:pPr>
          </w:p>
        </w:tc>
        <w:tc>
          <w:tcPr>
            <w:tcW w:w="1276" w:type="dxa"/>
            <w:vMerge/>
          </w:tcPr>
          <w:p w:rsidR="00551AA6" w:rsidRPr="004761E0" w:rsidRDefault="00551AA6" w:rsidP="00551AA6">
            <w:pPr>
              <w:tabs>
                <w:tab w:val="left" w:pos="709"/>
                <w:tab w:val="left" w:pos="1080"/>
              </w:tabs>
              <w:ind w:firstLine="0"/>
              <w:jc w:val="right"/>
              <w:rPr>
                <w:sz w:val="20"/>
                <w:szCs w:val="20"/>
              </w:rPr>
            </w:pPr>
          </w:p>
        </w:tc>
        <w:tc>
          <w:tcPr>
            <w:tcW w:w="1241" w:type="dxa"/>
            <w:vMerge/>
          </w:tcPr>
          <w:p w:rsidR="00551AA6" w:rsidRPr="004761E0" w:rsidRDefault="00551AA6" w:rsidP="00551AA6">
            <w:pPr>
              <w:tabs>
                <w:tab w:val="left" w:pos="709"/>
                <w:tab w:val="left" w:pos="1080"/>
              </w:tabs>
              <w:ind w:firstLine="0"/>
              <w:jc w:val="right"/>
              <w:rPr>
                <w:sz w:val="20"/>
                <w:szCs w:val="20"/>
              </w:rPr>
            </w:pP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ind w:firstLine="0"/>
              <w:jc w:val="left"/>
              <w:rPr>
                <w:sz w:val="20"/>
                <w:szCs w:val="20"/>
              </w:rPr>
            </w:pPr>
            <w:r w:rsidRPr="004761E0">
              <w:rPr>
                <w:sz w:val="20"/>
                <w:szCs w:val="20"/>
              </w:rPr>
              <w:t>Скорректированный План-график мероприятий по внедрению системы управления производственными активами.</w:t>
            </w:r>
          </w:p>
        </w:tc>
        <w:tc>
          <w:tcPr>
            <w:tcW w:w="1134" w:type="dxa"/>
          </w:tcPr>
          <w:p w:rsidR="00551AA6" w:rsidRPr="004761E0" w:rsidRDefault="00551AA6" w:rsidP="00551AA6">
            <w:pPr>
              <w:tabs>
                <w:tab w:val="left" w:pos="709"/>
                <w:tab w:val="left" w:pos="1080"/>
              </w:tabs>
              <w:ind w:firstLine="0"/>
              <w:jc w:val="right"/>
              <w:rPr>
                <w:sz w:val="20"/>
                <w:szCs w:val="20"/>
              </w:rPr>
            </w:pPr>
            <w:r w:rsidRPr="004761E0">
              <w:rPr>
                <w:sz w:val="20"/>
                <w:szCs w:val="20"/>
              </w:rPr>
              <w:t>03.04.2013</w:t>
            </w:r>
          </w:p>
        </w:tc>
        <w:tc>
          <w:tcPr>
            <w:tcW w:w="1276" w:type="dxa"/>
          </w:tcPr>
          <w:p w:rsidR="00551AA6" w:rsidRPr="004761E0" w:rsidRDefault="00551AA6" w:rsidP="00551AA6">
            <w:pPr>
              <w:tabs>
                <w:tab w:val="left" w:pos="709"/>
                <w:tab w:val="left" w:pos="1080"/>
              </w:tabs>
              <w:ind w:firstLine="0"/>
              <w:jc w:val="right"/>
              <w:rPr>
                <w:sz w:val="20"/>
                <w:szCs w:val="20"/>
              </w:rPr>
            </w:pPr>
            <w:r w:rsidRPr="004761E0">
              <w:rPr>
                <w:sz w:val="20"/>
                <w:szCs w:val="20"/>
              </w:rPr>
              <w:t>197</w:t>
            </w:r>
          </w:p>
        </w:tc>
        <w:tc>
          <w:tcPr>
            <w:tcW w:w="1241" w:type="dxa"/>
          </w:tcPr>
          <w:p w:rsidR="00551AA6" w:rsidRPr="004761E0" w:rsidRDefault="00551AA6" w:rsidP="00551AA6">
            <w:pPr>
              <w:tabs>
                <w:tab w:val="left" w:pos="709"/>
                <w:tab w:val="left" w:pos="1080"/>
              </w:tabs>
              <w:ind w:firstLine="0"/>
              <w:jc w:val="right"/>
              <w:rPr>
                <w:sz w:val="20"/>
                <w:szCs w:val="20"/>
              </w:rPr>
            </w:pPr>
            <w:r w:rsidRPr="004761E0">
              <w:rPr>
                <w:sz w:val="20"/>
                <w:szCs w:val="20"/>
              </w:rPr>
              <w:t>04.04.2013</w:t>
            </w: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ind w:firstLine="0"/>
              <w:jc w:val="left"/>
              <w:rPr>
                <w:sz w:val="20"/>
                <w:szCs w:val="20"/>
              </w:rPr>
            </w:pPr>
            <w:r w:rsidRPr="004761E0">
              <w:rPr>
                <w:sz w:val="20"/>
                <w:szCs w:val="20"/>
              </w:rPr>
              <w:t>Концепция построения единой автоматизированной системы нормативно-справочной информации в области управления техническим обслуживанием и ремонтом оборудования.</w:t>
            </w:r>
          </w:p>
        </w:tc>
        <w:tc>
          <w:tcPr>
            <w:tcW w:w="1134" w:type="dxa"/>
          </w:tcPr>
          <w:p w:rsidR="00551AA6" w:rsidRPr="004761E0" w:rsidRDefault="00551AA6" w:rsidP="00551AA6">
            <w:pPr>
              <w:tabs>
                <w:tab w:val="left" w:pos="709"/>
                <w:tab w:val="left" w:pos="1080"/>
              </w:tabs>
              <w:ind w:firstLine="0"/>
              <w:jc w:val="right"/>
              <w:rPr>
                <w:sz w:val="20"/>
                <w:szCs w:val="20"/>
              </w:rPr>
            </w:pPr>
            <w:r w:rsidRPr="004761E0">
              <w:rPr>
                <w:sz w:val="20"/>
                <w:szCs w:val="20"/>
              </w:rPr>
              <w:t>18.04.2013</w:t>
            </w:r>
          </w:p>
        </w:tc>
        <w:tc>
          <w:tcPr>
            <w:tcW w:w="1276" w:type="dxa"/>
          </w:tcPr>
          <w:p w:rsidR="00551AA6" w:rsidRPr="004761E0" w:rsidRDefault="00551AA6" w:rsidP="00551AA6">
            <w:pPr>
              <w:tabs>
                <w:tab w:val="left" w:pos="709"/>
                <w:tab w:val="left" w:pos="1080"/>
              </w:tabs>
              <w:ind w:firstLine="0"/>
              <w:jc w:val="right"/>
              <w:rPr>
                <w:sz w:val="20"/>
                <w:szCs w:val="20"/>
              </w:rPr>
            </w:pPr>
            <w:r w:rsidRPr="004761E0">
              <w:rPr>
                <w:sz w:val="20"/>
                <w:szCs w:val="20"/>
              </w:rPr>
              <w:t>198</w:t>
            </w:r>
          </w:p>
        </w:tc>
        <w:tc>
          <w:tcPr>
            <w:tcW w:w="1241" w:type="dxa"/>
          </w:tcPr>
          <w:p w:rsidR="00551AA6" w:rsidRPr="004761E0" w:rsidRDefault="00551AA6" w:rsidP="00551AA6">
            <w:pPr>
              <w:tabs>
                <w:tab w:val="left" w:pos="709"/>
                <w:tab w:val="left" w:pos="1080"/>
              </w:tabs>
              <w:ind w:firstLine="0"/>
              <w:jc w:val="right"/>
              <w:rPr>
                <w:sz w:val="20"/>
                <w:szCs w:val="20"/>
              </w:rPr>
            </w:pPr>
            <w:r w:rsidRPr="004761E0">
              <w:rPr>
                <w:sz w:val="20"/>
                <w:szCs w:val="20"/>
              </w:rPr>
              <w:t>19.04.2013</w:t>
            </w: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ind w:firstLine="0"/>
              <w:jc w:val="left"/>
              <w:rPr>
                <w:sz w:val="20"/>
                <w:szCs w:val="20"/>
              </w:rPr>
            </w:pPr>
            <w:r w:rsidRPr="004761E0">
              <w:rPr>
                <w:sz w:val="20"/>
                <w:szCs w:val="20"/>
              </w:rPr>
              <w:t>Программа приоритетных задач на период до 2015 года.</w:t>
            </w:r>
          </w:p>
        </w:tc>
        <w:tc>
          <w:tcPr>
            <w:tcW w:w="1134" w:type="dxa"/>
          </w:tcPr>
          <w:p w:rsidR="00551AA6" w:rsidRPr="004761E0" w:rsidRDefault="00551AA6" w:rsidP="00551AA6">
            <w:pPr>
              <w:tabs>
                <w:tab w:val="left" w:pos="709"/>
                <w:tab w:val="left" w:pos="1080"/>
              </w:tabs>
              <w:ind w:firstLine="0"/>
              <w:jc w:val="right"/>
              <w:rPr>
                <w:sz w:val="20"/>
                <w:szCs w:val="20"/>
              </w:rPr>
            </w:pPr>
            <w:r w:rsidRPr="004761E0">
              <w:rPr>
                <w:sz w:val="20"/>
                <w:szCs w:val="20"/>
              </w:rPr>
              <w:t>29.05.2013</w:t>
            </w:r>
          </w:p>
        </w:tc>
        <w:tc>
          <w:tcPr>
            <w:tcW w:w="1276" w:type="dxa"/>
          </w:tcPr>
          <w:p w:rsidR="00551AA6" w:rsidRPr="004761E0" w:rsidRDefault="00551AA6" w:rsidP="00551AA6">
            <w:pPr>
              <w:tabs>
                <w:tab w:val="left" w:pos="709"/>
                <w:tab w:val="left" w:pos="1080"/>
              </w:tabs>
              <w:ind w:firstLine="0"/>
              <w:jc w:val="right"/>
              <w:rPr>
                <w:sz w:val="20"/>
                <w:szCs w:val="20"/>
              </w:rPr>
            </w:pPr>
            <w:r w:rsidRPr="004761E0">
              <w:rPr>
                <w:sz w:val="20"/>
                <w:szCs w:val="20"/>
              </w:rPr>
              <w:t>200</w:t>
            </w:r>
          </w:p>
        </w:tc>
        <w:tc>
          <w:tcPr>
            <w:tcW w:w="1241" w:type="dxa"/>
          </w:tcPr>
          <w:p w:rsidR="00551AA6" w:rsidRPr="004761E0" w:rsidRDefault="00551AA6" w:rsidP="00551AA6">
            <w:pPr>
              <w:tabs>
                <w:tab w:val="left" w:pos="709"/>
                <w:tab w:val="left" w:pos="1080"/>
              </w:tabs>
              <w:ind w:firstLine="0"/>
              <w:jc w:val="right"/>
              <w:rPr>
                <w:sz w:val="20"/>
                <w:szCs w:val="20"/>
              </w:rPr>
            </w:pPr>
            <w:r w:rsidRPr="004761E0">
              <w:rPr>
                <w:sz w:val="20"/>
                <w:szCs w:val="20"/>
              </w:rPr>
              <w:t>31.05.2013</w:t>
            </w: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ind w:firstLine="0"/>
              <w:jc w:val="left"/>
              <w:rPr>
                <w:sz w:val="20"/>
                <w:szCs w:val="20"/>
              </w:rPr>
            </w:pPr>
            <w:r w:rsidRPr="004761E0">
              <w:rPr>
                <w:sz w:val="20"/>
                <w:szCs w:val="20"/>
              </w:rPr>
              <w:t>Бизнес-план (в т.ч. инвестиционная программа) на 2013 год с учетом инвестиционной программы на 2012-2017 гг., утвержденной приказом Минэнерго России от 05.05.2012 № 241.</w:t>
            </w:r>
          </w:p>
        </w:tc>
        <w:tc>
          <w:tcPr>
            <w:tcW w:w="1134" w:type="dxa"/>
            <w:vMerge w:val="restart"/>
          </w:tcPr>
          <w:p w:rsidR="00551AA6" w:rsidRPr="004761E0" w:rsidRDefault="00551AA6" w:rsidP="00551AA6">
            <w:pPr>
              <w:tabs>
                <w:tab w:val="left" w:pos="709"/>
                <w:tab w:val="left" w:pos="1080"/>
              </w:tabs>
              <w:ind w:firstLine="0"/>
              <w:jc w:val="right"/>
              <w:rPr>
                <w:sz w:val="20"/>
                <w:szCs w:val="20"/>
              </w:rPr>
            </w:pPr>
            <w:r w:rsidRPr="004761E0">
              <w:rPr>
                <w:sz w:val="20"/>
                <w:szCs w:val="20"/>
              </w:rPr>
              <w:t>30.05.2013</w:t>
            </w:r>
          </w:p>
        </w:tc>
        <w:tc>
          <w:tcPr>
            <w:tcW w:w="1276" w:type="dxa"/>
            <w:vMerge w:val="restart"/>
          </w:tcPr>
          <w:p w:rsidR="00551AA6" w:rsidRPr="004761E0" w:rsidRDefault="00551AA6" w:rsidP="00551AA6">
            <w:pPr>
              <w:tabs>
                <w:tab w:val="left" w:pos="709"/>
                <w:tab w:val="left" w:pos="1080"/>
              </w:tabs>
              <w:ind w:firstLine="0"/>
              <w:jc w:val="right"/>
              <w:rPr>
                <w:sz w:val="20"/>
                <w:szCs w:val="20"/>
              </w:rPr>
            </w:pPr>
            <w:r w:rsidRPr="004761E0">
              <w:rPr>
                <w:sz w:val="20"/>
                <w:szCs w:val="20"/>
              </w:rPr>
              <w:t>201</w:t>
            </w:r>
          </w:p>
        </w:tc>
        <w:tc>
          <w:tcPr>
            <w:tcW w:w="1241" w:type="dxa"/>
            <w:vMerge w:val="restart"/>
          </w:tcPr>
          <w:p w:rsidR="00551AA6" w:rsidRPr="004761E0" w:rsidRDefault="00551AA6" w:rsidP="00551AA6">
            <w:pPr>
              <w:tabs>
                <w:tab w:val="left" w:pos="709"/>
                <w:tab w:val="left" w:pos="1080"/>
              </w:tabs>
              <w:ind w:firstLine="0"/>
              <w:jc w:val="right"/>
              <w:rPr>
                <w:sz w:val="20"/>
                <w:szCs w:val="20"/>
              </w:rPr>
            </w:pPr>
            <w:r w:rsidRPr="004761E0">
              <w:rPr>
                <w:sz w:val="20"/>
                <w:szCs w:val="20"/>
              </w:rPr>
              <w:t>01.06.2013</w:t>
            </w: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tabs>
                <w:tab w:val="left" w:pos="709"/>
                <w:tab w:val="left" w:pos="1080"/>
              </w:tabs>
              <w:ind w:firstLine="0"/>
              <w:jc w:val="left"/>
              <w:rPr>
                <w:sz w:val="20"/>
                <w:szCs w:val="20"/>
              </w:rPr>
            </w:pPr>
            <w:r w:rsidRPr="004761E0">
              <w:rPr>
                <w:sz w:val="20"/>
                <w:szCs w:val="20"/>
              </w:rPr>
              <w:t>Проект инвестиционной программы Общества на период до 2018 г. (одобрен)</w:t>
            </w:r>
          </w:p>
        </w:tc>
        <w:tc>
          <w:tcPr>
            <w:tcW w:w="1134" w:type="dxa"/>
            <w:vMerge/>
          </w:tcPr>
          <w:p w:rsidR="00551AA6" w:rsidRPr="004761E0" w:rsidRDefault="00551AA6" w:rsidP="00551AA6">
            <w:pPr>
              <w:tabs>
                <w:tab w:val="left" w:pos="709"/>
                <w:tab w:val="left" w:pos="1080"/>
              </w:tabs>
              <w:ind w:firstLine="0"/>
              <w:jc w:val="right"/>
              <w:rPr>
                <w:sz w:val="20"/>
                <w:szCs w:val="20"/>
              </w:rPr>
            </w:pPr>
          </w:p>
        </w:tc>
        <w:tc>
          <w:tcPr>
            <w:tcW w:w="1276" w:type="dxa"/>
            <w:vMerge/>
          </w:tcPr>
          <w:p w:rsidR="00551AA6" w:rsidRPr="004761E0" w:rsidRDefault="00551AA6" w:rsidP="00551AA6">
            <w:pPr>
              <w:tabs>
                <w:tab w:val="left" w:pos="709"/>
                <w:tab w:val="left" w:pos="1080"/>
              </w:tabs>
              <w:ind w:firstLine="0"/>
              <w:jc w:val="right"/>
              <w:rPr>
                <w:sz w:val="20"/>
                <w:szCs w:val="20"/>
              </w:rPr>
            </w:pPr>
          </w:p>
        </w:tc>
        <w:tc>
          <w:tcPr>
            <w:tcW w:w="1241" w:type="dxa"/>
            <w:vMerge/>
          </w:tcPr>
          <w:p w:rsidR="00551AA6" w:rsidRPr="004761E0" w:rsidRDefault="00551AA6" w:rsidP="00551AA6">
            <w:pPr>
              <w:tabs>
                <w:tab w:val="left" w:pos="709"/>
                <w:tab w:val="left" w:pos="1080"/>
              </w:tabs>
              <w:ind w:firstLine="0"/>
              <w:jc w:val="right"/>
              <w:rPr>
                <w:sz w:val="20"/>
                <w:szCs w:val="20"/>
              </w:rPr>
            </w:pP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ind w:firstLine="0"/>
              <w:jc w:val="left"/>
              <w:rPr>
                <w:sz w:val="20"/>
                <w:szCs w:val="20"/>
              </w:rPr>
            </w:pPr>
            <w:r w:rsidRPr="004761E0">
              <w:rPr>
                <w:sz w:val="20"/>
                <w:szCs w:val="20"/>
              </w:rPr>
              <w:t>Утверждено Положение по инвестиционной деятельности.</w:t>
            </w:r>
          </w:p>
        </w:tc>
        <w:tc>
          <w:tcPr>
            <w:tcW w:w="1134" w:type="dxa"/>
            <w:vMerge w:val="restart"/>
          </w:tcPr>
          <w:p w:rsidR="00551AA6" w:rsidRPr="004761E0" w:rsidRDefault="00551AA6" w:rsidP="00551AA6">
            <w:pPr>
              <w:tabs>
                <w:tab w:val="left" w:pos="709"/>
                <w:tab w:val="left" w:pos="1080"/>
              </w:tabs>
              <w:ind w:firstLine="0"/>
              <w:jc w:val="right"/>
              <w:rPr>
                <w:sz w:val="20"/>
                <w:szCs w:val="20"/>
              </w:rPr>
            </w:pPr>
            <w:r w:rsidRPr="004761E0">
              <w:rPr>
                <w:sz w:val="20"/>
                <w:szCs w:val="20"/>
              </w:rPr>
              <w:t>24.06.2013</w:t>
            </w:r>
          </w:p>
        </w:tc>
        <w:tc>
          <w:tcPr>
            <w:tcW w:w="1276" w:type="dxa"/>
            <w:vMerge w:val="restart"/>
          </w:tcPr>
          <w:p w:rsidR="00551AA6" w:rsidRPr="004761E0" w:rsidRDefault="00551AA6" w:rsidP="00551AA6">
            <w:pPr>
              <w:tabs>
                <w:tab w:val="left" w:pos="709"/>
                <w:tab w:val="left" w:pos="1080"/>
              </w:tabs>
              <w:ind w:firstLine="0"/>
              <w:jc w:val="right"/>
              <w:rPr>
                <w:sz w:val="20"/>
                <w:szCs w:val="20"/>
              </w:rPr>
            </w:pPr>
            <w:r w:rsidRPr="004761E0">
              <w:rPr>
                <w:sz w:val="20"/>
                <w:szCs w:val="20"/>
              </w:rPr>
              <w:t>204</w:t>
            </w:r>
          </w:p>
        </w:tc>
        <w:tc>
          <w:tcPr>
            <w:tcW w:w="1241" w:type="dxa"/>
            <w:vMerge w:val="restart"/>
          </w:tcPr>
          <w:p w:rsidR="00551AA6" w:rsidRPr="004761E0" w:rsidRDefault="00551AA6" w:rsidP="00551AA6">
            <w:pPr>
              <w:tabs>
                <w:tab w:val="left" w:pos="709"/>
                <w:tab w:val="left" w:pos="1080"/>
              </w:tabs>
              <w:ind w:firstLine="0"/>
              <w:jc w:val="right"/>
              <w:rPr>
                <w:sz w:val="20"/>
                <w:szCs w:val="20"/>
              </w:rPr>
            </w:pPr>
            <w:r w:rsidRPr="004761E0">
              <w:rPr>
                <w:sz w:val="20"/>
                <w:szCs w:val="20"/>
              </w:rPr>
              <w:t>27.06.2013</w:t>
            </w: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ind w:firstLine="0"/>
              <w:jc w:val="left"/>
              <w:rPr>
                <w:sz w:val="20"/>
                <w:szCs w:val="20"/>
              </w:rPr>
            </w:pPr>
            <w:r w:rsidRPr="004761E0">
              <w:rPr>
                <w:sz w:val="20"/>
                <w:szCs w:val="20"/>
              </w:rPr>
              <w:t>Положение о Комитете по кадрам и вознаграждениям.</w:t>
            </w:r>
          </w:p>
        </w:tc>
        <w:tc>
          <w:tcPr>
            <w:tcW w:w="1134" w:type="dxa"/>
            <w:vMerge/>
          </w:tcPr>
          <w:p w:rsidR="00551AA6" w:rsidRPr="004761E0" w:rsidRDefault="00551AA6" w:rsidP="00551AA6">
            <w:pPr>
              <w:tabs>
                <w:tab w:val="left" w:pos="709"/>
                <w:tab w:val="left" w:pos="1080"/>
              </w:tabs>
              <w:ind w:firstLine="0"/>
              <w:jc w:val="right"/>
              <w:rPr>
                <w:sz w:val="20"/>
                <w:szCs w:val="20"/>
              </w:rPr>
            </w:pPr>
          </w:p>
        </w:tc>
        <w:tc>
          <w:tcPr>
            <w:tcW w:w="1276" w:type="dxa"/>
            <w:vMerge/>
          </w:tcPr>
          <w:p w:rsidR="00551AA6" w:rsidRPr="004761E0" w:rsidRDefault="00551AA6" w:rsidP="00551AA6">
            <w:pPr>
              <w:tabs>
                <w:tab w:val="left" w:pos="709"/>
                <w:tab w:val="left" w:pos="1080"/>
              </w:tabs>
              <w:ind w:firstLine="0"/>
              <w:jc w:val="right"/>
              <w:rPr>
                <w:sz w:val="20"/>
                <w:szCs w:val="20"/>
              </w:rPr>
            </w:pPr>
          </w:p>
        </w:tc>
        <w:tc>
          <w:tcPr>
            <w:tcW w:w="1241" w:type="dxa"/>
            <w:vMerge/>
          </w:tcPr>
          <w:p w:rsidR="00551AA6" w:rsidRPr="004761E0" w:rsidRDefault="00551AA6" w:rsidP="00551AA6">
            <w:pPr>
              <w:tabs>
                <w:tab w:val="left" w:pos="709"/>
                <w:tab w:val="left" w:pos="1080"/>
              </w:tabs>
              <w:ind w:firstLine="0"/>
              <w:jc w:val="right"/>
              <w:rPr>
                <w:sz w:val="20"/>
                <w:szCs w:val="20"/>
              </w:rPr>
            </w:pP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ind w:firstLine="0"/>
              <w:jc w:val="left"/>
              <w:rPr>
                <w:sz w:val="20"/>
                <w:szCs w:val="20"/>
              </w:rPr>
            </w:pPr>
            <w:r w:rsidRPr="004761E0">
              <w:rPr>
                <w:sz w:val="20"/>
                <w:szCs w:val="20"/>
              </w:rPr>
              <w:t>Положение об информационной политике в новой редакции.</w:t>
            </w:r>
          </w:p>
        </w:tc>
        <w:tc>
          <w:tcPr>
            <w:tcW w:w="1134" w:type="dxa"/>
            <w:vMerge w:val="restart"/>
          </w:tcPr>
          <w:p w:rsidR="00551AA6" w:rsidRPr="004761E0" w:rsidRDefault="00551AA6" w:rsidP="00551AA6">
            <w:pPr>
              <w:tabs>
                <w:tab w:val="left" w:pos="709"/>
                <w:tab w:val="left" w:pos="1080"/>
              </w:tabs>
              <w:ind w:firstLine="0"/>
              <w:jc w:val="right"/>
              <w:rPr>
                <w:sz w:val="20"/>
                <w:szCs w:val="20"/>
              </w:rPr>
            </w:pPr>
            <w:r w:rsidRPr="004761E0">
              <w:rPr>
                <w:sz w:val="20"/>
                <w:szCs w:val="20"/>
              </w:rPr>
              <w:t>30.08.2013</w:t>
            </w:r>
          </w:p>
        </w:tc>
        <w:tc>
          <w:tcPr>
            <w:tcW w:w="1276" w:type="dxa"/>
            <w:vMerge w:val="restart"/>
          </w:tcPr>
          <w:p w:rsidR="00551AA6" w:rsidRPr="004761E0" w:rsidRDefault="00551AA6" w:rsidP="00551AA6">
            <w:pPr>
              <w:tabs>
                <w:tab w:val="left" w:pos="709"/>
                <w:tab w:val="left" w:pos="1080"/>
              </w:tabs>
              <w:ind w:firstLine="0"/>
              <w:jc w:val="right"/>
              <w:rPr>
                <w:sz w:val="20"/>
                <w:szCs w:val="20"/>
              </w:rPr>
            </w:pPr>
            <w:r w:rsidRPr="004761E0">
              <w:rPr>
                <w:sz w:val="20"/>
                <w:szCs w:val="20"/>
              </w:rPr>
              <w:t>206</w:t>
            </w:r>
          </w:p>
        </w:tc>
        <w:tc>
          <w:tcPr>
            <w:tcW w:w="1241" w:type="dxa"/>
            <w:vMerge w:val="restart"/>
          </w:tcPr>
          <w:p w:rsidR="00551AA6" w:rsidRPr="004761E0" w:rsidRDefault="00551AA6" w:rsidP="00551AA6">
            <w:pPr>
              <w:tabs>
                <w:tab w:val="left" w:pos="709"/>
                <w:tab w:val="left" w:pos="1080"/>
              </w:tabs>
              <w:ind w:firstLine="0"/>
              <w:jc w:val="right"/>
              <w:rPr>
                <w:sz w:val="20"/>
                <w:szCs w:val="20"/>
              </w:rPr>
            </w:pPr>
            <w:r w:rsidRPr="004761E0">
              <w:rPr>
                <w:sz w:val="20"/>
                <w:szCs w:val="20"/>
              </w:rPr>
              <w:t>02.09.2013</w:t>
            </w: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ind w:firstLine="0"/>
              <w:jc w:val="left"/>
              <w:rPr>
                <w:sz w:val="20"/>
                <w:szCs w:val="20"/>
              </w:rPr>
            </w:pPr>
            <w:r w:rsidRPr="004761E0">
              <w:rPr>
                <w:sz w:val="20"/>
                <w:szCs w:val="20"/>
              </w:rPr>
              <w:t>Положение о Комитете по технологическому присоединению к электрическим сетям при Совете директоров в новой редакции.</w:t>
            </w:r>
          </w:p>
        </w:tc>
        <w:tc>
          <w:tcPr>
            <w:tcW w:w="1134" w:type="dxa"/>
            <w:vMerge/>
          </w:tcPr>
          <w:p w:rsidR="00551AA6" w:rsidRPr="004761E0" w:rsidRDefault="00551AA6" w:rsidP="00551AA6">
            <w:pPr>
              <w:tabs>
                <w:tab w:val="left" w:pos="709"/>
                <w:tab w:val="left" w:pos="1080"/>
              </w:tabs>
              <w:ind w:firstLine="0"/>
              <w:jc w:val="right"/>
              <w:rPr>
                <w:sz w:val="20"/>
                <w:szCs w:val="20"/>
              </w:rPr>
            </w:pPr>
          </w:p>
        </w:tc>
        <w:tc>
          <w:tcPr>
            <w:tcW w:w="1276" w:type="dxa"/>
            <w:vMerge/>
          </w:tcPr>
          <w:p w:rsidR="00551AA6" w:rsidRPr="004761E0" w:rsidRDefault="00551AA6" w:rsidP="00551AA6">
            <w:pPr>
              <w:tabs>
                <w:tab w:val="left" w:pos="709"/>
                <w:tab w:val="left" w:pos="1080"/>
              </w:tabs>
              <w:ind w:firstLine="0"/>
              <w:jc w:val="right"/>
              <w:rPr>
                <w:sz w:val="20"/>
                <w:szCs w:val="20"/>
              </w:rPr>
            </w:pPr>
          </w:p>
        </w:tc>
        <w:tc>
          <w:tcPr>
            <w:tcW w:w="1241" w:type="dxa"/>
            <w:vMerge/>
          </w:tcPr>
          <w:p w:rsidR="00551AA6" w:rsidRPr="004761E0" w:rsidRDefault="00551AA6" w:rsidP="00551AA6">
            <w:pPr>
              <w:tabs>
                <w:tab w:val="left" w:pos="709"/>
                <w:tab w:val="left" w:pos="1080"/>
              </w:tabs>
              <w:ind w:firstLine="0"/>
              <w:jc w:val="right"/>
              <w:rPr>
                <w:sz w:val="20"/>
                <w:szCs w:val="20"/>
              </w:rPr>
            </w:pP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ind w:firstLine="0"/>
              <w:jc w:val="left"/>
              <w:rPr>
                <w:sz w:val="20"/>
                <w:szCs w:val="20"/>
              </w:rPr>
            </w:pPr>
            <w:r w:rsidRPr="004761E0">
              <w:rPr>
                <w:sz w:val="20"/>
                <w:szCs w:val="20"/>
              </w:rPr>
              <w:t xml:space="preserve">Положение о закупке товаров, работ, услуг для нужд </w:t>
            </w:r>
            <w:r w:rsidR="0008080E">
              <w:rPr>
                <w:sz w:val="20"/>
                <w:szCs w:val="20"/>
              </w:rPr>
              <w:t>ОАО </w:t>
            </w:r>
            <w:r w:rsidRPr="004761E0">
              <w:rPr>
                <w:sz w:val="20"/>
                <w:szCs w:val="20"/>
              </w:rPr>
              <w:t>«МОЭСК».</w:t>
            </w:r>
          </w:p>
        </w:tc>
        <w:tc>
          <w:tcPr>
            <w:tcW w:w="1134" w:type="dxa"/>
            <w:vMerge/>
          </w:tcPr>
          <w:p w:rsidR="00551AA6" w:rsidRPr="004761E0" w:rsidRDefault="00551AA6" w:rsidP="00551AA6">
            <w:pPr>
              <w:tabs>
                <w:tab w:val="left" w:pos="709"/>
                <w:tab w:val="left" w:pos="1080"/>
              </w:tabs>
              <w:ind w:firstLine="0"/>
              <w:jc w:val="right"/>
              <w:rPr>
                <w:sz w:val="20"/>
                <w:szCs w:val="20"/>
              </w:rPr>
            </w:pPr>
          </w:p>
        </w:tc>
        <w:tc>
          <w:tcPr>
            <w:tcW w:w="1276" w:type="dxa"/>
            <w:vMerge/>
          </w:tcPr>
          <w:p w:rsidR="00551AA6" w:rsidRPr="004761E0" w:rsidRDefault="00551AA6" w:rsidP="00551AA6">
            <w:pPr>
              <w:tabs>
                <w:tab w:val="left" w:pos="709"/>
                <w:tab w:val="left" w:pos="1080"/>
              </w:tabs>
              <w:ind w:firstLine="0"/>
              <w:jc w:val="right"/>
              <w:rPr>
                <w:sz w:val="20"/>
                <w:szCs w:val="20"/>
              </w:rPr>
            </w:pPr>
          </w:p>
        </w:tc>
        <w:tc>
          <w:tcPr>
            <w:tcW w:w="1241" w:type="dxa"/>
            <w:vMerge/>
          </w:tcPr>
          <w:p w:rsidR="00551AA6" w:rsidRPr="004761E0" w:rsidRDefault="00551AA6" w:rsidP="00551AA6">
            <w:pPr>
              <w:tabs>
                <w:tab w:val="left" w:pos="709"/>
                <w:tab w:val="left" w:pos="1080"/>
              </w:tabs>
              <w:ind w:firstLine="0"/>
              <w:jc w:val="right"/>
              <w:rPr>
                <w:sz w:val="20"/>
                <w:szCs w:val="20"/>
              </w:rPr>
            </w:pP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ind w:firstLine="0"/>
              <w:jc w:val="left"/>
              <w:rPr>
                <w:sz w:val="20"/>
                <w:szCs w:val="20"/>
              </w:rPr>
            </w:pPr>
            <w:r w:rsidRPr="004761E0">
              <w:rPr>
                <w:sz w:val="20"/>
                <w:szCs w:val="20"/>
              </w:rPr>
              <w:t>Положение о кредитной политике в новой редакции.</w:t>
            </w:r>
          </w:p>
        </w:tc>
        <w:tc>
          <w:tcPr>
            <w:tcW w:w="1134" w:type="dxa"/>
            <w:vMerge w:val="restart"/>
          </w:tcPr>
          <w:p w:rsidR="00551AA6" w:rsidRPr="004761E0" w:rsidRDefault="00551AA6" w:rsidP="00551AA6">
            <w:pPr>
              <w:tabs>
                <w:tab w:val="left" w:pos="709"/>
                <w:tab w:val="left" w:pos="1080"/>
              </w:tabs>
              <w:ind w:firstLine="0"/>
              <w:jc w:val="right"/>
              <w:rPr>
                <w:sz w:val="20"/>
                <w:szCs w:val="20"/>
              </w:rPr>
            </w:pPr>
            <w:r w:rsidRPr="004761E0">
              <w:rPr>
                <w:sz w:val="20"/>
                <w:szCs w:val="20"/>
              </w:rPr>
              <w:t>07.11.2013</w:t>
            </w:r>
          </w:p>
        </w:tc>
        <w:tc>
          <w:tcPr>
            <w:tcW w:w="1276" w:type="dxa"/>
            <w:vMerge w:val="restart"/>
          </w:tcPr>
          <w:p w:rsidR="00551AA6" w:rsidRPr="004761E0" w:rsidRDefault="00551AA6" w:rsidP="00551AA6">
            <w:pPr>
              <w:tabs>
                <w:tab w:val="left" w:pos="709"/>
                <w:tab w:val="left" w:pos="1080"/>
              </w:tabs>
              <w:ind w:firstLine="0"/>
              <w:jc w:val="right"/>
              <w:rPr>
                <w:sz w:val="20"/>
                <w:szCs w:val="20"/>
              </w:rPr>
            </w:pPr>
            <w:r w:rsidRPr="004761E0">
              <w:rPr>
                <w:sz w:val="20"/>
                <w:szCs w:val="20"/>
              </w:rPr>
              <w:t>209</w:t>
            </w:r>
          </w:p>
        </w:tc>
        <w:tc>
          <w:tcPr>
            <w:tcW w:w="1241" w:type="dxa"/>
            <w:vMerge w:val="restart"/>
          </w:tcPr>
          <w:p w:rsidR="00551AA6" w:rsidRPr="004761E0" w:rsidRDefault="00551AA6" w:rsidP="00551AA6">
            <w:pPr>
              <w:tabs>
                <w:tab w:val="left" w:pos="709"/>
                <w:tab w:val="left" w:pos="1080"/>
              </w:tabs>
              <w:ind w:firstLine="0"/>
              <w:jc w:val="right"/>
              <w:rPr>
                <w:sz w:val="20"/>
                <w:szCs w:val="20"/>
              </w:rPr>
            </w:pPr>
            <w:r w:rsidRPr="004761E0">
              <w:rPr>
                <w:sz w:val="20"/>
                <w:szCs w:val="20"/>
              </w:rPr>
              <w:t>08.11.2013</w:t>
            </w: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ind w:firstLine="0"/>
              <w:jc w:val="left"/>
              <w:rPr>
                <w:sz w:val="20"/>
                <w:szCs w:val="20"/>
              </w:rPr>
            </w:pPr>
            <w:r w:rsidRPr="004761E0">
              <w:rPr>
                <w:sz w:val="20"/>
                <w:szCs w:val="20"/>
              </w:rPr>
              <w:t>Положение об обеспечении страховой защиты на 2013-2015 гг.</w:t>
            </w:r>
          </w:p>
        </w:tc>
        <w:tc>
          <w:tcPr>
            <w:tcW w:w="1134" w:type="dxa"/>
            <w:vMerge/>
          </w:tcPr>
          <w:p w:rsidR="00551AA6" w:rsidRPr="004761E0" w:rsidRDefault="00551AA6" w:rsidP="00551AA6">
            <w:pPr>
              <w:tabs>
                <w:tab w:val="left" w:pos="709"/>
                <w:tab w:val="left" w:pos="1080"/>
              </w:tabs>
              <w:ind w:firstLine="0"/>
              <w:jc w:val="right"/>
              <w:rPr>
                <w:sz w:val="20"/>
                <w:szCs w:val="20"/>
              </w:rPr>
            </w:pPr>
          </w:p>
        </w:tc>
        <w:tc>
          <w:tcPr>
            <w:tcW w:w="1276" w:type="dxa"/>
            <w:vMerge/>
          </w:tcPr>
          <w:p w:rsidR="00551AA6" w:rsidRPr="004761E0" w:rsidRDefault="00551AA6" w:rsidP="00551AA6">
            <w:pPr>
              <w:tabs>
                <w:tab w:val="left" w:pos="709"/>
                <w:tab w:val="left" w:pos="1080"/>
              </w:tabs>
              <w:ind w:firstLine="0"/>
              <w:jc w:val="right"/>
              <w:rPr>
                <w:sz w:val="20"/>
                <w:szCs w:val="20"/>
              </w:rPr>
            </w:pPr>
          </w:p>
        </w:tc>
        <w:tc>
          <w:tcPr>
            <w:tcW w:w="1241" w:type="dxa"/>
            <w:vMerge/>
          </w:tcPr>
          <w:p w:rsidR="00551AA6" w:rsidRPr="004761E0" w:rsidRDefault="00551AA6" w:rsidP="00551AA6">
            <w:pPr>
              <w:tabs>
                <w:tab w:val="left" w:pos="709"/>
                <w:tab w:val="left" w:pos="1080"/>
              </w:tabs>
              <w:ind w:firstLine="0"/>
              <w:jc w:val="right"/>
              <w:rPr>
                <w:sz w:val="20"/>
                <w:szCs w:val="20"/>
              </w:rPr>
            </w:pP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ind w:firstLine="0"/>
              <w:jc w:val="left"/>
              <w:rPr>
                <w:sz w:val="20"/>
                <w:szCs w:val="20"/>
              </w:rPr>
            </w:pPr>
            <w:r w:rsidRPr="004761E0">
              <w:rPr>
                <w:sz w:val="20"/>
                <w:szCs w:val="20"/>
              </w:rPr>
              <w:t>Скорректированный бизнес-план (в т.ч. инвестиционная программа) 2013 год.</w:t>
            </w:r>
          </w:p>
        </w:tc>
        <w:tc>
          <w:tcPr>
            <w:tcW w:w="1134" w:type="dxa"/>
          </w:tcPr>
          <w:p w:rsidR="00551AA6" w:rsidRPr="004761E0" w:rsidRDefault="00551AA6" w:rsidP="00551AA6">
            <w:pPr>
              <w:tabs>
                <w:tab w:val="left" w:pos="709"/>
                <w:tab w:val="left" w:pos="1080"/>
              </w:tabs>
              <w:ind w:firstLine="0"/>
              <w:jc w:val="right"/>
              <w:rPr>
                <w:sz w:val="20"/>
                <w:szCs w:val="20"/>
              </w:rPr>
            </w:pPr>
            <w:r w:rsidRPr="004761E0">
              <w:rPr>
                <w:sz w:val="20"/>
                <w:szCs w:val="20"/>
              </w:rPr>
              <w:t>15.11.2013</w:t>
            </w:r>
          </w:p>
        </w:tc>
        <w:tc>
          <w:tcPr>
            <w:tcW w:w="1276" w:type="dxa"/>
          </w:tcPr>
          <w:p w:rsidR="00551AA6" w:rsidRPr="004761E0" w:rsidRDefault="00551AA6" w:rsidP="00551AA6">
            <w:pPr>
              <w:tabs>
                <w:tab w:val="left" w:pos="709"/>
                <w:tab w:val="left" w:pos="1080"/>
              </w:tabs>
              <w:ind w:firstLine="0"/>
              <w:jc w:val="right"/>
              <w:rPr>
                <w:sz w:val="20"/>
                <w:szCs w:val="20"/>
              </w:rPr>
            </w:pPr>
            <w:r w:rsidRPr="004761E0">
              <w:rPr>
                <w:sz w:val="20"/>
                <w:szCs w:val="20"/>
              </w:rPr>
              <w:t>210</w:t>
            </w:r>
          </w:p>
        </w:tc>
        <w:tc>
          <w:tcPr>
            <w:tcW w:w="1241" w:type="dxa"/>
          </w:tcPr>
          <w:p w:rsidR="00551AA6" w:rsidRPr="004761E0" w:rsidRDefault="00551AA6" w:rsidP="00551AA6">
            <w:pPr>
              <w:tabs>
                <w:tab w:val="left" w:pos="709"/>
                <w:tab w:val="left" w:pos="1080"/>
              </w:tabs>
              <w:ind w:firstLine="0"/>
              <w:jc w:val="right"/>
              <w:rPr>
                <w:sz w:val="20"/>
                <w:szCs w:val="20"/>
              </w:rPr>
            </w:pPr>
            <w:r w:rsidRPr="004761E0">
              <w:rPr>
                <w:sz w:val="20"/>
                <w:szCs w:val="20"/>
              </w:rPr>
              <w:t>18.11.2013</w:t>
            </w: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tabs>
                <w:tab w:val="left" w:pos="709"/>
                <w:tab w:val="left" w:pos="1080"/>
              </w:tabs>
              <w:ind w:firstLine="0"/>
              <w:jc w:val="left"/>
              <w:rPr>
                <w:sz w:val="20"/>
                <w:szCs w:val="20"/>
              </w:rPr>
            </w:pPr>
            <w:r w:rsidRPr="004761E0">
              <w:rPr>
                <w:sz w:val="20"/>
                <w:szCs w:val="20"/>
              </w:rPr>
              <w:t>Проект долгосрочной инвестиционной программы на период с 2014 года (одобрен).</w:t>
            </w:r>
          </w:p>
        </w:tc>
        <w:tc>
          <w:tcPr>
            <w:tcW w:w="1134" w:type="dxa"/>
            <w:vMerge w:val="restart"/>
          </w:tcPr>
          <w:p w:rsidR="00551AA6" w:rsidRPr="004761E0" w:rsidRDefault="00551AA6" w:rsidP="00551AA6">
            <w:pPr>
              <w:tabs>
                <w:tab w:val="left" w:pos="709"/>
                <w:tab w:val="left" w:pos="1080"/>
              </w:tabs>
              <w:ind w:firstLine="0"/>
              <w:jc w:val="right"/>
              <w:rPr>
                <w:sz w:val="20"/>
                <w:szCs w:val="20"/>
              </w:rPr>
            </w:pPr>
            <w:r w:rsidRPr="004761E0">
              <w:rPr>
                <w:sz w:val="20"/>
                <w:szCs w:val="20"/>
              </w:rPr>
              <w:t>27.12.2013</w:t>
            </w:r>
          </w:p>
        </w:tc>
        <w:tc>
          <w:tcPr>
            <w:tcW w:w="1276" w:type="dxa"/>
            <w:vMerge w:val="restart"/>
          </w:tcPr>
          <w:p w:rsidR="00551AA6" w:rsidRPr="004761E0" w:rsidRDefault="00551AA6" w:rsidP="00551AA6">
            <w:pPr>
              <w:tabs>
                <w:tab w:val="left" w:pos="709"/>
                <w:tab w:val="left" w:pos="1080"/>
              </w:tabs>
              <w:ind w:firstLine="0"/>
              <w:jc w:val="right"/>
              <w:rPr>
                <w:sz w:val="20"/>
                <w:szCs w:val="20"/>
              </w:rPr>
            </w:pPr>
            <w:r w:rsidRPr="004761E0">
              <w:rPr>
                <w:sz w:val="20"/>
                <w:szCs w:val="20"/>
              </w:rPr>
              <w:t>215</w:t>
            </w:r>
          </w:p>
        </w:tc>
        <w:tc>
          <w:tcPr>
            <w:tcW w:w="1241" w:type="dxa"/>
            <w:vMerge w:val="restart"/>
          </w:tcPr>
          <w:p w:rsidR="00551AA6" w:rsidRPr="004761E0" w:rsidRDefault="00551AA6" w:rsidP="00551AA6">
            <w:pPr>
              <w:tabs>
                <w:tab w:val="left" w:pos="709"/>
                <w:tab w:val="left" w:pos="1080"/>
              </w:tabs>
              <w:ind w:firstLine="0"/>
              <w:jc w:val="right"/>
              <w:rPr>
                <w:sz w:val="20"/>
                <w:szCs w:val="20"/>
              </w:rPr>
            </w:pPr>
            <w:r w:rsidRPr="004761E0">
              <w:rPr>
                <w:sz w:val="20"/>
                <w:szCs w:val="20"/>
              </w:rPr>
              <w:t>27.12.2013</w:t>
            </w: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tabs>
                <w:tab w:val="left" w:pos="709"/>
                <w:tab w:val="left" w:pos="1080"/>
              </w:tabs>
              <w:ind w:firstLine="0"/>
              <w:jc w:val="left"/>
              <w:rPr>
                <w:sz w:val="20"/>
                <w:szCs w:val="20"/>
              </w:rPr>
            </w:pPr>
            <w:r w:rsidRPr="004761E0">
              <w:rPr>
                <w:sz w:val="20"/>
                <w:szCs w:val="20"/>
              </w:rPr>
              <w:t>Бизнес-план, включающий инвестиционную программу, на 2014 год и приняты к сведению прогнозные показатели на период 2015-2018 гг.</w:t>
            </w:r>
          </w:p>
        </w:tc>
        <w:tc>
          <w:tcPr>
            <w:tcW w:w="1134" w:type="dxa"/>
            <w:vMerge/>
          </w:tcPr>
          <w:p w:rsidR="00551AA6" w:rsidRPr="004761E0" w:rsidRDefault="00551AA6" w:rsidP="00551AA6">
            <w:pPr>
              <w:tabs>
                <w:tab w:val="left" w:pos="709"/>
                <w:tab w:val="left" w:pos="1080"/>
              </w:tabs>
              <w:ind w:firstLine="0"/>
              <w:jc w:val="right"/>
              <w:rPr>
                <w:sz w:val="20"/>
                <w:szCs w:val="20"/>
              </w:rPr>
            </w:pPr>
          </w:p>
        </w:tc>
        <w:tc>
          <w:tcPr>
            <w:tcW w:w="1276" w:type="dxa"/>
            <w:vMerge/>
          </w:tcPr>
          <w:p w:rsidR="00551AA6" w:rsidRPr="004761E0" w:rsidRDefault="00551AA6" w:rsidP="00551AA6">
            <w:pPr>
              <w:tabs>
                <w:tab w:val="left" w:pos="709"/>
                <w:tab w:val="left" w:pos="1080"/>
              </w:tabs>
              <w:ind w:firstLine="0"/>
              <w:jc w:val="right"/>
              <w:rPr>
                <w:sz w:val="20"/>
                <w:szCs w:val="20"/>
              </w:rPr>
            </w:pPr>
          </w:p>
        </w:tc>
        <w:tc>
          <w:tcPr>
            <w:tcW w:w="1241" w:type="dxa"/>
            <w:vMerge/>
          </w:tcPr>
          <w:p w:rsidR="00551AA6" w:rsidRPr="004761E0" w:rsidRDefault="00551AA6" w:rsidP="00551AA6">
            <w:pPr>
              <w:tabs>
                <w:tab w:val="left" w:pos="709"/>
                <w:tab w:val="left" w:pos="1080"/>
              </w:tabs>
              <w:ind w:firstLine="0"/>
              <w:jc w:val="right"/>
              <w:rPr>
                <w:sz w:val="20"/>
                <w:szCs w:val="20"/>
              </w:rPr>
            </w:pP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ind w:firstLine="0"/>
              <w:jc w:val="left"/>
              <w:rPr>
                <w:sz w:val="20"/>
                <w:szCs w:val="20"/>
              </w:rPr>
            </w:pPr>
            <w:r w:rsidRPr="004761E0">
              <w:rPr>
                <w:sz w:val="20"/>
                <w:szCs w:val="20"/>
              </w:rPr>
              <w:t>Скорректированная программа инновационного развития на 2013 год и прогноз до 2018 года.</w:t>
            </w:r>
          </w:p>
        </w:tc>
        <w:tc>
          <w:tcPr>
            <w:tcW w:w="1134" w:type="dxa"/>
            <w:vMerge w:val="restart"/>
          </w:tcPr>
          <w:p w:rsidR="00551AA6" w:rsidRPr="004761E0" w:rsidRDefault="00551AA6" w:rsidP="00551AA6">
            <w:pPr>
              <w:tabs>
                <w:tab w:val="left" w:pos="709"/>
                <w:tab w:val="left" w:pos="1080"/>
              </w:tabs>
              <w:ind w:firstLine="0"/>
              <w:jc w:val="right"/>
              <w:rPr>
                <w:sz w:val="20"/>
                <w:szCs w:val="20"/>
              </w:rPr>
            </w:pPr>
            <w:r w:rsidRPr="004761E0">
              <w:rPr>
                <w:sz w:val="20"/>
                <w:szCs w:val="20"/>
              </w:rPr>
              <w:t>30.12.2013</w:t>
            </w:r>
          </w:p>
        </w:tc>
        <w:tc>
          <w:tcPr>
            <w:tcW w:w="1276" w:type="dxa"/>
            <w:vMerge w:val="restart"/>
          </w:tcPr>
          <w:p w:rsidR="00551AA6" w:rsidRPr="004761E0" w:rsidRDefault="00551AA6" w:rsidP="00551AA6">
            <w:pPr>
              <w:tabs>
                <w:tab w:val="left" w:pos="709"/>
                <w:tab w:val="left" w:pos="1080"/>
              </w:tabs>
              <w:ind w:firstLine="0"/>
              <w:jc w:val="right"/>
              <w:rPr>
                <w:sz w:val="20"/>
                <w:szCs w:val="20"/>
              </w:rPr>
            </w:pPr>
            <w:r w:rsidRPr="004761E0">
              <w:rPr>
                <w:sz w:val="20"/>
                <w:szCs w:val="20"/>
              </w:rPr>
              <w:t>217</w:t>
            </w:r>
          </w:p>
        </w:tc>
        <w:tc>
          <w:tcPr>
            <w:tcW w:w="1241" w:type="dxa"/>
            <w:vMerge w:val="restart"/>
          </w:tcPr>
          <w:p w:rsidR="00551AA6" w:rsidRPr="004761E0" w:rsidRDefault="00551AA6" w:rsidP="00551AA6">
            <w:pPr>
              <w:tabs>
                <w:tab w:val="left" w:pos="709"/>
                <w:tab w:val="left" w:pos="1080"/>
              </w:tabs>
              <w:ind w:firstLine="0"/>
              <w:jc w:val="right"/>
              <w:rPr>
                <w:sz w:val="20"/>
                <w:szCs w:val="20"/>
              </w:rPr>
            </w:pPr>
            <w:r w:rsidRPr="004761E0">
              <w:rPr>
                <w:sz w:val="20"/>
                <w:szCs w:val="20"/>
              </w:rPr>
              <w:t>31.12.2013</w:t>
            </w:r>
          </w:p>
        </w:tc>
      </w:tr>
      <w:tr w:rsidR="00551AA6" w:rsidRPr="004761E0" w:rsidTr="00551AA6">
        <w:tc>
          <w:tcPr>
            <w:tcW w:w="567" w:type="dxa"/>
          </w:tcPr>
          <w:p w:rsidR="00551AA6" w:rsidRPr="004761E0" w:rsidRDefault="00551AA6" w:rsidP="007076A7">
            <w:pPr>
              <w:pStyle w:val="a5"/>
              <w:numPr>
                <w:ilvl w:val="0"/>
                <w:numId w:val="213"/>
              </w:numPr>
              <w:tabs>
                <w:tab w:val="left" w:pos="709"/>
                <w:tab w:val="left" w:pos="1080"/>
              </w:tabs>
              <w:rPr>
                <w:b/>
                <w:sz w:val="20"/>
                <w:szCs w:val="20"/>
              </w:rPr>
            </w:pPr>
          </w:p>
        </w:tc>
        <w:tc>
          <w:tcPr>
            <w:tcW w:w="5812" w:type="dxa"/>
          </w:tcPr>
          <w:p w:rsidR="00551AA6" w:rsidRPr="004761E0" w:rsidRDefault="00551AA6" w:rsidP="00551AA6">
            <w:pPr>
              <w:ind w:firstLine="0"/>
              <w:jc w:val="left"/>
              <w:rPr>
                <w:b/>
                <w:sz w:val="20"/>
                <w:szCs w:val="20"/>
              </w:rPr>
            </w:pPr>
            <w:r w:rsidRPr="004761E0">
              <w:rPr>
                <w:sz w:val="20"/>
                <w:szCs w:val="20"/>
              </w:rPr>
              <w:t xml:space="preserve">Положение </w:t>
            </w:r>
            <w:r w:rsidR="0008080E">
              <w:rPr>
                <w:sz w:val="20"/>
                <w:szCs w:val="20"/>
              </w:rPr>
              <w:t>ОАО </w:t>
            </w:r>
            <w:r w:rsidRPr="004761E0">
              <w:rPr>
                <w:sz w:val="20"/>
                <w:szCs w:val="20"/>
              </w:rPr>
              <w:t>«Россети» о единой технической политике в электросетевом комплексе» в качестве внутреннего документа.</w:t>
            </w:r>
          </w:p>
        </w:tc>
        <w:tc>
          <w:tcPr>
            <w:tcW w:w="1134" w:type="dxa"/>
            <w:vMerge/>
          </w:tcPr>
          <w:p w:rsidR="00551AA6" w:rsidRPr="004761E0" w:rsidRDefault="00551AA6" w:rsidP="00551AA6">
            <w:pPr>
              <w:tabs>
                <w:tab w:val="left" w:pos="709"/>
                <w:tab w:val="left" w:pos="1080"/>
              </w:tabs>
              <w:ind w:firstLine="0"/>
              <w:rPr>
                <w:b/>
                <w:sz w:val="20"/>
                <w:szCs w:val="20"/>
              </w:rPr>
            </w:pPr>
          </w:p>
        </w:tc>
        <w:tc>
          <w:tcPr>
            <w:tcW w:w="1276" w:type="dxa"/>
            <w:vMerge/>
          </w:tcPr>
          <w:p w:rsidR="00551AA6" w:rsidRPr="004761E0" w:rsidRDefault="00551AA6" w:rsidP="00551AA6">
            <w:pPr>
              <w:tabs>
                <w:tab w:val="left" w:pos="709"/>
                <w:tab w:val="left" w:pos="1080"/>
              </w:tabs>
              <w:ind w:firstLine="0"/>
              <w:rPr>
                <w:b/>
                <w:sz w:val="20"/>
                <w:szCs w:val="20"/>
              </w:rPr>
            </w:pPr>
          </w:p>
        </w:tc>
        <w:tc>
          <w:tcPr>
            <w:tcW w:w="1241" w:type="dxa"/>
            <w:vMerge/>
          </w:tcPr>
          <w:p w:rsidR="00551AA6" w:rsidRPr="004761E0" w:rsidRDefault="00551AA6" w:rsidP="00551AA6">
            <w:pPr>
              <w:tabs>
                <w:tab w:val="left" w:pos="709"/>
                <w:tab w:val="left" w:pos="1080"/>
              </w:tabs>
              <w:ind w:firstLine="0"/>
              <w:rPr>
                <w:b/>
                <w:sz w:val="20"/>
                <w:szCs w:val="20"/>
              </w:rPr>
            </w:pPr>
          </w:p>
        </w:tc>
      </w:tr>
    </w:tbl>
    <w:p w:rsidR="00605A52" w:rsidRPr="00605A52" w:rsidRDefault="00605A52" w:rsidP="00605A52">
      <w:pPr>
        <w:spacing w:before="120" w:after="120"/>
        <w:rPr>
          <w:b/>
          <w:sz w:val="26"/>
          <w:szCs w:val="26"/>
        </w:rPr>
      </w:pPr>
      <w:r w:rsidRPr="00605A52">
        <w:rPr>
          <w:b/>
          <w:sz w:val="26"/>
          <w:szCs w:val="26"/>
        </w:rPr>
        <w:t>Одобрение сделок с заинтересованностью и крупных сделок</w:t>
      </w:r>
    </w:p>
    <w:p w:rsidR="00605A52" w:rsidRPr="00697244" w:rsidRDefault="00605A52" w:rsidP="00605A52">
      <w:pPr>
        <w:spacing w:before="200"/>
        <w:rPr>
          <w:sz w:val="26"/>
          <w:szCs w:val="26"/>
        </w:rPr>
      </w:pPr>
      <w:r w:rsidRPr="00697244">
        <w:rPr>
          <w:sz w:val="26"/>
          <w:szCs w:val="26"/>
        </w:rPr>
        <w:t xml:space="preserve">В </w:t>
      </w:r>
      <w:r>
        <w:rPr>
          <w:sz w:val="26"/>
          <w:szCs w:val="26"/>
        </w:rPr>
        <w:t xml:space="preserve">2013 году </w:t>
      </w:r>
      <w:r w:rsidR="00B40B0B">
        <w:rPr>
          <w:sz w:val="26"/>
          <w:szCs w:val="26"/>
        </w:rPr>
        <w:t>Обществом заключен</w:t>
      </w:r>
      <w:r w:rsidR="00D701B7">
        <w:rPr>
          <w:sz w:val="26"/>
          <w:szCs w:val="26"/>
        </w:rPr>
        <w:t>ы</w:t>
      </w:r>
      <w:r w:rsidR="00B40B0B">
        <w:rPr>
          <w:sz w:val="26"/>
          <w:szCs w:val="26"/>
        </w:rPr>
        <w:t xml:space="preserve"> </w:t>
      </w:r>
      <w:r>
        <w:rPr>
          <w:sz w:val="26"/>
          <w:szCs w:val="26"/>
        </w:rPr>
        <w:t>59</w:t>
      </w:r>
      <w:r w:rsidRPr="00697244">
        <w:rPr>
          <w:sz w:val="26"/>
          <w:szCs w:val="26"/>
        </w:rPr>
        <w:t xml:space="preserve"> сдел</w:t>
      </w:r>
      <w:r>
        <w:rPr>
          <w:sz w:val="26"/>
          <w:szCs w:val="26"/>
        </w:rPr>
        <w:t>ок</w:t>
      </w:r>
      <w:r w:rsidRPr="00697244">
        <w:rPr>
          <w:sz w:val="26"/>
          <w:szCs w:val="26"/>
        </w:rPr>
        <w:t>, признаваем</w:t>
      </w:r>
      <w:r>
        <w:rPr>
          <w:sz w:val="26"/>
          <w:szCs w:val="26"/>
        </w:rPr>
        <w:t>ых</w:t>
      </w:r>
      <w:r w:rsidRPr="00697244">
        <w:rPr>
          <w:sz w:val="26"/>
          <w:szCs w:val="26"/>
        </w:rPr>
        <w:t xml:space="preserve"> в соответствии с Федеральным законом «Об акционерных обществах» сделк</w:t>
      </w:r>
      <w:r>
        <w:rPr>
          <w:sz w:val="26"/>
          <w:szCs w:val="26"/>
        </w:rPr>
        <w:t>ами</w:t>
      </w:r>
      <w:r w:rsidRPr="00697244">
        <w:rPr>
          <w:sz w:val="26"/>
          <w:szCs w:val="26"/>
        </w:rPr>
        <w:t>, в совершении которых имелась заинтересованность.</w:t>
      </w:r>
      <w:r w:rsidR="00B40B0B">
        <w:rPr>
          <w:sz w:val="26"/>
          <w:szCs w:val="26"/>
        </w:rPr>
        <w:t xml:space="preserve"> Все указанные сделки одобрены Советом директоров.</w:t>
      </w:r>
    </w:p>
    <w:p w:rsidR="00605A52" w:rsidRPr="00697244" w:rsidRDefault="00605A52" w:rsidP="00605A52">
      <w:pPr>
        <w:rPr>
          <w:sz w:val="26"/>
          <w:szCs w:val="26"/>
        </w:rPr>
      </w:pPr>
      <w:r>
        <w:rPr>
          <w:sz w:val="26"/>
          <w:szCs w:val="26"/>
        </w:rPr>
        <w:t>П</w:t>
      </w:r>
      <w:r w:rsidRPr="00697244">
        <w:rPr>
          <w:sz w:val="26"/>
          <w:szCs w:val="26"/>
        </w:rPr>
        <w:t xml:space="preserve">одробная информация об указанных сделках </w:t>
      </w:r>
      <w:r w:rsidR="00924551">
        <w:rPr>
          <w:sz w:val="26"/>
          <w:szCs w:val="26"/>
        </w:rPr>
        <w:t>представлена</w:t>
      </w:r>
      <w:r w:rsidRPr="00697244">
        <w:rPr>
          <w:sz w:val="26"/>
          <w:szCs w:val="26"/>
        </w:rPr>
        <w:t xml:space="preserve"> в Приложении </w:t>
      </w:r>
      <w:r w:rsidR="003146BC">
        <w:rPr>
          <w:sz w:val="26"/>
          <w:szCs w:val="26"/>
        </w:rPr>
        <w:t>12.5</w:t>
      </w:r>
      <w:r>
        <w:rPr>
          <w:sz w:val="26"/>
          <w:szCs w:val="26"/>
        </w:rPr>
        <w:t>. к</w:t>
      </w:r>
      <w:r w:rsidRPr="00697244">
        <w:rPr>
          <w:sz w:val="26"/>
          <w:szCs w:val="26"/>
        </w:rPr>
        <w:t xml:space="preserve"> Годовому отчету.</w:t>
      </w:r>
    </w:p>
    <w:p w:rsidR="00605A52" w:rsidRPr="00697244" w:rsidRDefault="00605A52" w:rsidP="00605A52">
      <w:pPr>
        <w:rPr>
          <w:b/>
          <w:sz w:val="26"/>
          <w:szCs w:val="26"/>
        </w:rPr>
      </w:pPr>
      <w:r w:rsidRPr="00697244">
        <w:rPr>
          <w:sz w:val="26"/>
          <w:szCs w:val="26"/>
        </w:rPr>
        <w:t>В 201</w:t>
      </w:r>
      <w:r>
        <w:rPr>
          <w:sz w:val="26"/>
          <w:szCs w:val="26"/>
        </w:rPr>
        <w:t>3</w:t>
      </w:r>
      <w:r w:rsidRPr="00697244">
        <w:rPr>
          <w:sz w:val="26"/>
          <w:szCs w:val="26"/>
        </w:rPr>
        <w:t xml:space="preserve"> году Обществом не заключалось крупных сделок, требующих предварительного одобрения Советом директоров. </w:t>
      </w:r>
    </w:p>
    <w:p w:rsidR="00E6749A" w:rsidRPr="008E3C2C" w:rsidRDefault="00E6749A" w:rsidP="008E3C2C">
      <w:pPr>
        <w:spacing w:before="120" w:after="120"/>
        <w:ind w:firstLine="567"/>
        <w:rPr>
          <w:b/>
          <w:sz w:val="26"/>
          <w:szCs w:val="26"/>
        </w:rPr>
      </w:pPr>
      <w:r w:rsidRPr="008E3C2C">
        <w:rPr>
          <w:b/>
          <w:sz w:val="26"/>
          <w:szCs w:val="26"/>
        </w:rPr>
        <w:t>Классификация вопросов, рассмотренных Советом директоров</w:t>
      </w:r>
    </w:p>
    <w:tbl>
      <w:tblPr>
        <w:tblStyle w:val="16"/>
        <w:tblW w:w="10184" w:type="dxa"/>
        <w:tblLayout w:type="fixed"/>
        <w:tblLook w:val="04A0"/>
      </w:tblPr>
      <w:tblGrid>
        <w:gridCol w:w="675"/>
        <w:gridCol w:w="5387"/>
        <w:gridCol w:w="992"/>
        <w:gridCol w:w="992"/>
        <w:gridCol w:w="992"/>
        <w:gridCol w:w="1146"/>
      </w:tblGrid>
      <w:tr w:rsidR="00E6749A" w:rsidRPr="004761E0" w:rsidTr="00E6749A">
        <w:tc>
          <w:tcPr>
            <w:tcW w:w="675" w:type="dxa"/>
            <w:tcBorders>
              <w:right w:val="single" w:sz="4" w:space="0" w:color="FFFFFF" w:themeColor="background1"/>
            </w:tcBorders>
            <w:shd w:val="clear" w:color="auto" w:fill="0F243E" w:themeFill="text2" w:themeFillShade="80"/>
            <w:hideMark/>
          </w:tcPr>
          <w:p w:rsidR="00E6749A" w:rsidRPr="004761E0" w:rsidRDefault="00E6749A" w:rsidP="002C5A29">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lastRenderedPageBreak/>
              <w:t>№ п/п</w:t>
            </w:r>
          </w:p>
        </w:tc>
        <w:tc>
          <w:tcPr>
            <w:tcW w:w="5387" w:type="dxa"/>
            <w:tcBorders>
              <w:left w:val="single" w:sz="4" w:space="0" w:color="FFFFFF" w:themeColor="background1"/>
              <w:right w:val="single" w:sz="4" w:space="0" w:color="FFFFFF" w:themeColor="background1"/>
            </w:tcBorders>
            <w:shd w:val="clear" w:color="auto" w:fill="0F243E" w:themeFill="text2" w:themeFillShade="80"/>
            <w:hideMark/>
          </w:tcPr>
          <w:p w:rsidR="00E6749A" w:rsidRPr="004761E0" w:rsidRDefault="00E6749A" w:rsidP="002C5A29">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xml:space="preserve">Наименование категории вопроса </w:t>
            </w:r>
          </w:p>
        </w:tc>
        <w:tc>
          <w:tcPr>
            <w:tcW w:w="992" w:type="dxa"/>
            <w:tcBorders>
              <w:left w:val="single" w:sz="4" w:space="0" w:color="FFFFFF" w:themeColor="background1"/>
              <w:right w:val="single" w:sz="4" w:space="0" w:color="FFFFFF" w:themeColor="background1"/>
            </w:tcBorders>
            <w:shd w:val="clear" w:color="auto" w:fill="0F243E" w:themeFill="text2" w:themeFillShade="80"/>
            <w:vAlign w:val="center"/>
            <w:hideMark/>
          </w:tcPr>
          <w:p w:rsidR="00E6749A" w:rsidRPr="004761E0" w:rsidRDefault="00E6749A" w:rsidP="00E6749A">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992" w:type="dxa"/>
            <w:tcBorders>
              <w:left w:val="single" w:sz="4" w:space="0" w:color="FFFFFF" w:themeColor="background1"/>
              <w:right w:val="single" w:sz="4" w:space="0" w:color="FFFFFF" w:themeColor="background1"/>
            </w:tcBorders>
            <w:shd w:val="clear" w:color="auto" w:fill="0F243E" w:themeFill="text2" w:themeFillShade="80"/>
            <w:vAlign w:val="center"/>
            <w:hideMark/>
          </w:tcPr>
          <w:p w:rsidR="00E6749A" w:rsidRPr="004761E0" w:rsidRDefault="00E6749A" w:rsidP="00E6749A">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992" w:type="dxa"/>
            <w:tcBorders>
              <w:left w:val="single" w:sz="4" w:space="0" w:color="FFFFFF" w:themeColor="background1"/>
              <w:right w:val="single" w:sz="4" w:space="0" w:color="FFFFFF" w:themeColor="background1"/>
            </w:tcBorders>
            <w:shd w:val="clear" w:color="auto" w:fill="0F243E" w:themeFill="text2" w:themeFillShade="80"/>
            <w:vAlign w:val="center"/>
            <w:hideMark/>
          </w:tcPr>
          <w:p w:rsidR="00E6749A" w:rsidRPr="004761E0" w:rsidRDefault="00E6749A" w:rsidP="00E6749A">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46" w:type="dxa"/>
            <w:tcBorders>
              <w:left w:val="single" w:sz="4" w:space="0" w:color="FFFFFF" w:themeColor="background1"/>
            </w:tcBorders>
            <w:shd w:val="clear" w:color="auto" w:fill="0F243E" w:themeFill="text2" w:themeFillShade="80"/>
            <w:vAlign w:val="center"/>
            <w:hideMark/>
          </w:tcPr>
          <w:p w:rsidR="00E6749A" w:rsidRPr="004761E0" w:rsidRDefault="00E6749A" w:rsidP="00E6749A">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E6749A" w:rsidRPr="004761E0" w:rsidTr="00E6749A">
        <w:tc>
          <w:tcPr>
            <w:tcW w:w="675" w:type="dxa"/>
            <w:hideMark/>
          </w:tcPr>
          <w:p w:rsidR="00E6749A" w:rsidRPr="004761E0" w:rsidRDefault="00E6749A" w:rsidP="007076A7">
            <w:pPr>
              <w:pStyle w:val="a5"/>
              <w:numPr>
                <w:ilvl w:val="0"/>
                <w:numId w:val="222"/>
              </w:numPr>
              <w:jc w:val="left"/>
              <w:rPr>
                <w:rFonts w:eastAsia="Times New Roman"/>
                <w:color w:val="000000"/>
                <w:sz w:val="20"/>
                <w:szCs w:val="20"/>
                <w:lang w:eastAsia="ru-RU"/>
              </w:rPr>
            </w:pPr>
          </w:p>
        </w:tc>
        <w:tc>
          <w:tcPr>
            <w:tcW w:w="5387" w:type="dxa"/>
            <w:noWrap/>
            <w:hideMark/>
          </w:tcPr>
          <w:p w:rsidR="00E6749A" w:rsidRPr="004761E0" w:rsidRDefault="00E6749A" w:rsidP="00E6749A">
            <w:pPr>
              <w:ind w:left="34" w:hanging="34"/>
              <w:jc w:val="left"/>
              <w:rPr>
                <w:rFonts w:eastAsia="Times New Roman"/>
                <w:color w:val="000000"/>
                <w:sz w:val="20"/>
                <w:szCs w:val="20"/>
                <w:lang w:eastAsia="ru-RU"/>
              </w:rPr>
            </w:pPr>
            <w:r w:rsidRPr="004761E0">
              <w:rPr>
                <w:rFonts w:eastAsia="Times New Roman"/>
                <w:color w:val="000000"/>
                <w:sz w:val="20"/>
                <w:szCs w:val="20"/>
                <w:lang w:eastAsia="ru-RU"/>
              </w:rPr>
              <w:t>Рассмотренных вопросов, шт. (всего), в т.ч.:</w:t>
            </w:r>
          </w:p>
        </w:tc>
        <w:tc>
          <w:tcPr>
            <w:tcW w:w="992" w:type="dxa"/>
            <w:noWrap/>
            <w:vAlign w:val="center"/>
            <w:hideMark/>
          </w:tcPr>
          <w:p w:rsidR="00E6749A" w:rsidRPr="004761E0" w:rsidRDefault="00E6749A" w:rsidP="00E6749A">
            <w:pPr>
              <w:ind w:firstLine="0"/>
              <w:jc w:val="right"/>
              <w:rPr>
                <w:rFonts w:eastAsia="Times New Roman"/>
                <w:color w:val="000000"/>
                <w:sz w:val="20"/>
                <w:szCs w:val="20"/>
                <w:lang w:eastAsia="ru-RU"/>
              </w:rPr>
            </w:pPr>
            <w:r w:rsidRPr="004761E0">
              <w:rPr>
                <w:sz w:val="20"/>
                <w:szCs w:val="20"/>
              </w:rPr>
              <w:t>388</w:t>
            </w:r>
          </w:p>
        </w:tc>
        <w:tc>
          <w:tcPr>
            <w:tcW w:w="992" w:type="dxa"/>
            <w:noWrap/>
            <w:vAlign w:val="center"/>
            <w:hideMark/>
          </w:tcPr>
          <w:p w:rsidR="00E6749A" w:rsidRPr="004761E0" w:rsidRDefault="00E6749A" w:rsidP="00E6749A">
            <w:pPr>
              <w:ind w:firstLine="0"/>
              <w:jc w:val="right"/>
              <w:rPr>
                <w:rFonts w:eastAsia="Times New Roman"/>
                <w:color w:val="000000"/>
                <w:sz w:val="20"/>
                <w:szCs w:val="20"/>
                <w:lang w:eastAsia="ru-RU"/>
              </w:rPr>
            </w:pPr>
            <w:r w:rsidRPr="004761E0">
              <w:rPr>
                <w:sz w:val="20"/>
                <w:szCs w:val="20"/>
              </w:rPr>
              <w:t>410</w:t>
            </w:r>
          </w:p>
        </w:tc>
        <w:tc>
          <w:tcPr>
            <w:tcW w:w="992" w:type="dxa"/>
            <w:noWrap/>
            <w:vAlign w:val="center"/>
            <w:hideMark/>
          </w:tcPr>
          <w:p w:rsidR="00E6749A" w:rsidRPr="004761E0" w:rsidRDefault="00E6749A" w:rsidP="00E6749A">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393</w:t>
            </w:r>
          </w:p>
        </w:tc>
        <w:tc>
          <w:tcPr>
            <w:tcW w:w="1146" w:type="dxa"/>
            <w:vAlign w:val="center"/>
            <w:hideMark/>
          </w:tcPr>
          <w:p w:rsidR="00E6749A" w:rsidRPr="004761E0" w:rsidRDefault="00E6749A" w:rsidP="00E6749A">
            <w:pPr>
              <w:ind w:firstLine="0"/>
              <w:jc w:val="right"/>
              <w:rPr>
                <w:rFonts w:eastAsia="Times New Roman"/>
                <w:bCs/>
                <w:color w:val="000000"/>
                <w:sz w:val="20"/>
                <w:szCs w:val="20"/>
                <w:lang w:eastAsia="ru-RU"/>
              </w:rPr>
            </w:pPr>
            <w:r w:rsidRPr="004761E0">
              <w:rPr>
                <w:color w:val="000000"/>
                <w:sz w:val="20"/>
                <w:szCs w:val="20"/>
              </w:rPr>
              <w:t>-4,15 %</w:t>
            </w:r>
          </w:p>
        </w:tc>
      </w:tr>
      <w:tr w:rsidR="00E6749A" w:rsidRPr="004761E0" w:rsidTr="00E6749A">
        <w:tc>
          <w:tcPr>
            <w:tcW w:w="675" w:type="dxa"/>
            <w:hideMark/>
          </w:tcPr>
          <w:p w:rsidR="00E6749A" w:rsidRPr="004761E0" w:rsidRDefault="00E6749A" w:rsidP="007076A7">
            <w:pPr>
              <w:pStyle w:val="a5"/>
              <w:numPr>
                <w:ilvl w:val="1"/>
                <w:numId w:val="222"/>
              </w:numPr>
              <w:jc w:val="left"/>
              <w:rPr>
                <w:rFonts w:eastAsia="Times New Roman"/>
                <w:color w:val="000000"/>
                <w:sz w:val="20"/>
                <w:szCs w:val="20"/>
                <w:lang w:eastAsia="ru-RU"/>
              </w:rPr>
            </w:pPr>
          </w:p>
        </w:tc>
        <w:tc>
          <w:tcPr>
            <w:tcW w:w="5387" w:type="dxa"/>
            <w:hideMark/>
          </w:tcPr>
          <w:p w:rsidR="00E6749A" w:rsidRPr="004761E0" w:rsidRDefault="00E6749A" w:rsidP="00E6749A">
            <w:pPr>
              <w:ind w:left="459" w:firstLine="0"/>
              <w:jc w:val="left"/>
              <w:rPr>
                <w:rFonts w:eastAsia="Times New Roman"/>
                <w:color w:val="211D1E"/>
                <w:sz w:val="20"/>
                <w:szCs w:val="20"/>
                <w:lang w:eastAsia="ru-RU"/>
              </w:rPr>
            </w:pPr>
            <w:r w:rsidRPr="004761E0">
              <w:rPr>
                <w:rFonts w:eastAsia="Times New Roman"/>
                <w:color w:val="211D1E"/>
                <w:sz w:val="20"/>
                <w:szCs w:val="20"/>
                <w:lang w:eastAsia="ru-RU"/>
              </w:rPr>
              <w:t>выработка долгосрочной стратегии развития Общества, принятие решений об участии в других организациях, размещении облигаций, привлечении внешних заимствований</w:t>
            </w:r>
          </w:p>
        </w:tc>
        <w:tc>
          <w:tcPr>
            <w:tcW w:w="992" w:type="dxa"/>
            <w:noWrap/>
            <w:vAlign w:val="center"/>
            <w:hideMark/>
          </w:tcPr>
          <w:p w:rsidR="00E6749A" w:rsidRPr="004761E0" w:rsidRDefault="00E6749A" w:rsidP="00E6749A">
            <w:pPr>
              <w:ind w:firstLine="0"/>
              <w:jc w:val="right"/>
              <w:rPr>
                <w:rFonts w:eastAsia="Times New Roman"/>
                <w:color w:val="000000"/>
                <w:sz w:val="20"/>
                <w:szCs w:val="20"/>
                <w:lang w:eastAsia="ru-RU"/>
              </w:rPr>
            </w:pPr>
            <w:r w:rsidRPr="004761E0">
              <w:rPr>
                <w:sz w:val="20"/>
                <w:szCs w:val="20"/>
              </w:rPr>
              <w:t>17</w:t>
            </w:r>
          </w:p>
        </w:tc>
        <w:tc>
          <w:tcPr>
            <w:tcW w:w="992" w:type="dxa"/>
            <w:noWrap/>
            <w:vAlign w:val="center"/>
            <w:hideMark/>
          </w:tcPr>
          <w:p w:rsidR="00E6749A" w:rsidRPr="004761E0" w:rsidRDefault="00E6749A" w:rsidP="00E6749A">
            <w:pPr>
              <w:ind w:firstLine="0"/>
              <w:jc w:val="right"/>
              <w:rPr>
                <w:rFonts w:eastAsia="Times New Roman"/>
                <w:color w:val="000000"/>
                <w:sz w:val="20"/>
                <w:szCs w:val="20"/>
                <w:lang w:eastAsia="ru-RU"/>
              </w:rPr>
            </w:pPr>
            <w:r w:rsidRPr="004761E0">
              <w:rPr>
                <w:sz w:val="20"/>
                <w:szCs w:val="20"/>
              </w:rPr>
              <w:t>23</w:t>
            </w:r>
          </w:p>
        </w:tc>
        <w:tc>
          <w:tcPr>
            <w:tcW w:w="992" w:type="dxa"/>
            <w:noWrap/>
            <w:vAlign w:val="center"/>
            <w:hideMark/>
          </w:tcPr>
          <w:p w:rsidR="00E6749A" w:rsidRPr="004761E0" w:rsidRDefault="00E6749A" w:rsidP="00E6749A">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 13</w:t>
            </w:r>
          </w:p>
        </w:tc>
        <w:tc>
          <w:tcPr>
            <w:tcW w:w="1146" w:type="dxa"/>
            <w:vAlign w:val="center"/>
            <w:hideMark/>
          </w:tcPr>
          <w:p w:rsidR="00E6749A" w:rsidRPr="004761E0" w:rsidRDefault="00E6749A" w:rsidP="00E6749A">
            <w:pPr>
              <w:ind w:firstLine="0"/>
              <w:jc w:val="right"/>
              <w:rPr>
                <w:rFonts w:eastAsia="Times New Roman"/>
                <w:bCs/>
                <w:color w:val="000000"/>
                <w:sz w:val="20"/>
                <w:szCs w:val="20"/>
                <w:lang w:eastAsia="ru-RU"/>
              </w:rPr>
            </w:pPr>
            <w:r w:rsidRPr="004761E0">
              <w:rPr>
                <w:color w:val="000000"/>
                <w:sz w:val="20"/>
                <w:szCs w:val="20"/>
              </w:rPr>
              <w:t>-43,48 %</w:t>
            </w:r>
          </w:p>
        </w:tc>
      </w:tr>
      <w:tr w:rsidR="00E6749A" w:rsidRPr="004761E0" w:rsidTr="00E6749A">
        <w:tc>
          <w:tcPr>
            <w:tcW w:w="675" w:type="dxa"/>
            <w:hideMark/>
          </w:tcPr>
          <w:p w:rsidR="00E6749A" w:rsidRPr="004761E0" w:rsidRDefault="00E6749A" w:rsidP="007076A7">
            <w:pPr>
              <w:pStyle w:val="a5"/>
              <w:numPr>
                <w:ilvl w:val="1"/>
                <w:numId w:val="222"/>
              </w:numPr>
              <w:jc w:val="left"/>
              <w:rPr>
                <w:rFonts w:eastAsia="Times New Roman"/>
                <w:color w:val="000000"/>
                <w:sz w:val="20"/>
                <w:szCs w:val="20"/>
                <w:lang w:eastAsia="ru-RU"/>
              </w:rPr>
            </w:pPr>
          </w:p>
        </w:tc>
        <w:tc>
          <w:tcPr>
            <w:tcW w:w="5387" w:type="dxa"/>
            <w:hideMark/>
          </w:tcPr>
          <w:p w:rsidR="00E6749A" w:rsidRPr="004761E0" w:rsidRDefault="00E6749A" w:rsidP="00E6749A">
            <w:pPr>
              <w:ind w:left="459" w:firstLine="0"/>
              <w:jc w:val="left"/>
              <w:rPr>
                <w:rFonts w:eastAsia="Times New Roman"/>
                <w:color w:val="211D1E"/>
                <w:sz w:val="20"/>
                <w:szCs w:val="20"/>
                <w:lang w:eastAsia="ru-RU"/>
              </w:rPr>
            </w:pPr>
            <w:r w:rsidRPr="004761E0">
              <w:rPr>
                <w:rFonts w:eastAsia="Times New Roman"/>
                <w:color w:val="211D1E"/>
                <w:sz w:val="20"/>
                <w:szCs w:val="20"/>
                <w:lang w:eastAsia="ru-RU"/>
              </w:rPr>
              <w:t>утверждение/корректировка бизнес-планов, инвестиционных программ, комплексных программ конкурсных и регламентированных внеконкурсных закупок, значений КПЭ, контрольных показателей движения потоков наличности, программ страховой защиты и т.п.</w:t>
            </w:r>
          </w:p>
        </w:tc>
        <w:tc>
          <w:tcPr>
            <w:tcW w:w="992" w:type="dxa"/>
            <w:noWrap/>
            <w:vAlign w:val="center"/>
            <w:hideMark/>
          </w:tcPr>
          <w:p w:rsidR="00E6749A" w:rsidRPr="004761E0" w:rsidRDefault="00E6749A" w:rsidP="00E6749A">
            <w:pPr>
              <w:ind w:firstLine="0"/>
              <w:jc w:val="right"/>
              <w:rPr>
                <w:rFonts w:eastAsia="Times New Roman"/>
                <w:color w:val="000000"/>
                <w:sz w:val="20"/>
                <w:szCs w:val="20"/>
                <w:lang w:eastAsia="ru-RU"/>
              </w:rPr>
            </w:pPr>
            <w:r w:rsidRPr="004761E0">
              <w:rPr>
                <w:sz w:val="20"/>
                <w:szCs w:val="20"/>
              </w:rPr>
              <w:t>35</w:t>
            </w:r>
          </w:p>
        </w:tc>
        <w:tc>
          <w:tcPr>
            <w:tcW w:w="992" w:type="dxa"/>
            <w:noWrap/>
            <w:vAlign w:val="center"/>
            <w:hideMark/>
          </w:tcPr>
          <w:p w:rsidR="00E6749A" w:rsidRPr="004761E0" w:rsidRDefault="00E6749A" w:rsidP="00E6749A">
            <w:pPr>
              <w:ind w:firstLine="0"/>
              <w:jc w:val="right"/>
              <w:rPr>
                <w:rFonts w:eastAsia="Times New Roman"/>
                <w:color w:val="000000"/>
                <w:sz w:val="20"/>
                <w:szCs w:val="20"/>
                <w:lang w:eastAsia="ru-RU"/>
              </w:rPr>
            </w:pPr>
            <w:r w:rsidRPr="004761E0">
              <w:rPr>
                <w:sz w:val="20"/>
                <w:szCs w:val="20"/>
              </w:rPr>
              <w:t>21</w:t>
            </w:r>
          </w:p>
        </w:tc>
        <w:tc>
          <w:tcPr>
            <w:tcW w:w="992" w:type="dxa"/>
            <w:noWrap/>
            <w:vAlign w:val="center"/>
            <w:hideMark/>
          </w:tcPr>
          <w:p w:rsidR="00E6749A" w:rsidRPr="004761E0" w:rsidRDefault="00E6749A" w:rsidP="00E6749A">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 30</w:t>
            </w:r>
          </w:p>
        </w:tc>
        <w:tc>
          <w:tcPr>
            <w:tcW w:w="1146" w:type="dxa"/>
            <w:vAlign w:val="center"/>
            <w:hideMark/>
          </w:tcPr>
          <w:p w:rsidR="00E6749A" w:rsidRPr="004761E0" w:rsidRDefault="00E6749A" w:rsidP="00E6749A">
            <w:pPr>
              <w:ind w:firstLine="0"/>
              <w:jc w:val="right"/>
              <w:rPr>
                <w:rFonts w:eastAsia="Times New Roman"/>
                <w:bCs/>
                <w:color w:val="000000"/>
                <w:sz w:val="20"/>
                <w:szCs w:val="20"/>
                <w:lang w:eastAsia="ru-RU"/>
              </w:rPr>
            </w:pPr>
            <w:r w:rsidRPr="004761E0">
              <w:rPr>
                <w:color w:val="000000"/>
                <w:sz w:val="20"/>
                <w:szCs w:val="20"/>
              </w:rPr>
              <w:t>42,86 %</w:t>
            </w:r>
          </w:p>
        </w:tc>
      </w:tr>
      <w:tr w:rsidR="00E6749A" w:rsidRPr="004761E0" w:rsidTr="00E6749A">
        <w:tc>
          <w:tcPr>
            <w:tcW w:w="675" w:type="dxa"/>
            <w:hideMark/>
          </w:tcPr>
          <w:p w:rsidR="00E6749A" w:rsidRPr="004761E0" w:rsidRDefault="00E6749A" w:rsidP="007076A7">
            <w:pPr>
              <w:pStyle w:val="a5"/>
              <w:numPr>
                <w:ilvl w:val="1"/>
                <w:numId w:val="222"/>
              </w:numPr>
              <w:jc w:val="left"/>
              <w:rPr>
                <w:rFonts w:eastAsia="Times New Roman"/>
                <w:color w:val="000000"/>
                <w:sz w:val="20"/>
                <w:szCs w:val="20"/>
                <w:lang w:eastAsia="ru-RU"/>
              </w:rPr>
            </w:pPr>
          </w:p>
        </w:tc>
        <w:tc>
          <w:tcPr>
            <w:tcW w:w="5387" w:type="dxa"/>
            <w:hideMark/>
          </w:tcPr>
          <w:p w:rsidR="00E6749A" w:rsidRPr="004761E0" w:rsidRDefault="00E6749A" w:rsidP="00E6749A">
            <w:pPr>
              <w:ind w:left="34" w:firstLineChars="200" w:firstLine="400"/>
              <w:jc w:val="left"/>
              <w:rPr>
                <w:rFonts w:eastAsia="Times New Roman"/>
                <w:color w:val="211D1E"/>
                <w:sz w:val="20"/>
                <w:szCs w:val="20"/>
                <w:lang w:eastAsia="ru-RU"/>
              </w:rPr>
            </w:pPr>
            <w:r w:rsidRPr="004761E0">
              <w:rPr>
                <w:rFonts w:eastAsia="Times New Roman"/>
                <w:color w:val="211D1E"/>
                <w:sz w:val="20"/>
                <w:szCs w:val="20"/>
                <w:lang w:eastAsia="ru-RU"/>
              </w:rPr>
              <w:t>корпоративное управление, в т.ч.:</w:t>
            </w:r>
          </w:p>
        </w:tc>
        <w:tc>
          <w:tcPr>
            <w:tcW w:w="992" w:type="dxa"/>
            <w:noWrap/>
            <w:vAlign w:val="center"/>
            <w:hideMark/>
          </w:tcPr>
          <w:p w:rsidR="00E6749A" w:rsidRPr="004761E0" w:rsidRDefault="00E6749A" w:rsidP="00E6749A">
            <w:pPr>
              <w:ind w:firstLine="0"/>
              <w:jc w:val="right"/>
              <w:rPr>
                <w:rFonts w:eastAsia="Times New Roman"/>
                <w:color w:val="000000"/>
                <w:sz w:val="20"/>
                <w:szCs w:val="20"/>
                <w:lang w:eastAsia="ru-RU"/>
              </w:rPr>
            </w:pPr>
            <w:r w:rsidRPr="004761E0">
              <w:rPr>
                <w:sz w:val="20"/>
                <w:szCs w:val="20"/>
              </w:rPr>
              <w:t>129</w:t>
            </w:r>
          </w:p>
        </w:tc>
        <w:tc>
          <w:tcPr>
            <w:tcW w:w="992" w:type="dxa"/>
            <w:noWrap/>
            <w:vAlign w:val="center"/>
            <w:hideMark/>
          </w:tcPr>
          <w:p w:rsidR="00E6749A" w:rsidRPr="004761E0" w:rsidRDefault="00E6749A" w:rsidP="00E6749A">
            <w:pPr>
              <w:ind w:firstLine="0"/>
              <w:jc w:val="right"/>
              <w:rPr>
                <w:rFonts w:eastAsia="Times New Roman"/>
                <w:color w:val="000000"/>
                <w:sz w:val="20"/>
                <w:szCs w:val="20"/>
                <w:lang w:eastAsia="ru-RU"/>
              </w:rPr>
            </w:pPr>
            <w:r w:rsidRPr="004761E0">
              <w:rPr>
                <w:sz w:val="20"/>
                <w:szCs w:val="20"/>
              </w:rPr>
              <w:t>151</w:t>
            </w:r>
          </w:p>
        </w:tc>
        <w:tc>
          <w:tcPr>
            <w:tcW w:w="992" w:type="dxa"/>
            <w:noWrap/>
            <w:vAlign w:val="center"/>
            <w:hideMark/>
          </w:tcPr>
          <w:p w:rsidR="00E6749A" w:rsidRPr="004761E0" w:rsidRDefault="00E6749A" w:rsidP="00E6749A">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116</w:t>
            </w:r>
          </w:p>
        </w:tc>
        <w:tc>
          <w:tcPr>
            <w:tcW w:w="1146" w:type="dxa"/>
            <w:vAlign w:val="center"/>
            <w:hideMark/>
          </w:tcPr>
          <w:p w:rsidR="00E6749A" w:rsidRPr="004761E0" w:rsidRDefault="00E6749A" w:rsidP="00E6749A">
            <w:pPr>
              <w:ind w:firstLine="0"/>
              <w:jc w:val="right"/>
              <w:rPr>
                <w:rFonts w:eastAsia="Times New Roman"/>
                <w:bCs/>
                <w:color w:val="000000"/>
                <w:sz w:val="20"/>
                <w:szCs w:val="20"/>
                <w:lang w:eastAsia="ru-RU"/>
              </w:rPr>
            </w:pPr>
            <w:r w:rsidRPr="004761E0">
              <w:rPr>
                <w:color w:val="000000"/>
                <w:sz w:val="20"/>
                <w:szCs w:val="20"/>
              </w:rPr>
              <w:t>-23,18 %</w:t>
            </w:r>
          </w:p>
        </w:tc>
      </w:tr>
      <w:tr w:rsidR="00E6749A" w:rsidRPr="004761E0" w:rsidTr="00E6749A">
        <w:tc>
          <w:tcPr>
            <w:tcW w:w="675" w:type="dxa"/>
            <w:hideMark/>
          </w:tcPr>
          <w:p w:rsidR="00E6749A" w:rsidRPr="004761E0" w:rsidRDefault="00E6749A" w:rsidP="007076A7">
            <w:pPr>
              <w:pStyle w:val="a5"/>
              <w:numPr>
                <w:ilvl w:val="2"/>
                <w:numId w:val="222"/>
              </w:numPr>
              <w:jc w:val="left"/>
              <w:rPr>
                <w:rFonts w:eastAsia="Times New Roman"/>
                <w:color w:val="000000"/>
                <w:sz w:val="20"/>
                <w:szCs w:val="20"/>
                <w:lang w:eastAsia="ru-RU"/>
              </w:rPr>
            </w:pPr>
          </w:p>
        </w:tc>
        <w:tc>
          <w:tcPr>
            <w:tcW w:w="5387" w:type="dxa"/>
            <w:hideMark/>
          </w:tcPr>
          <w:p w:rsidR="00E6749A" w:rsidRPr="004761E0" w:rsidRDefault="00E6749A" w:rsidP="00E6749A">
            <w:pPr>
              <w:ind w:left="885" w:firstLine="0"/>
              <w:jc w:val="left"/>
              <w:rPr>
                <w:rFonts w:eastAsia="Times New Roman"/>
                <w:color w:val="211D1E"/>
                <w:sz w:val="20"/>
                <w:szCs w:val="20"/>
                <w:lang w:eastAsia="ru-RU"/>
              </w:rPr>
            </w:pPr>
            <w:r w:rsidRPr="004761E0">
              <w:rPr>
                <w:rFonts w:eastAsia="Times New Roman"/>
                <w:color w:val="211D1E"/>
                <w:sz w:val="20"/>
                <w:szCs w:val="20"/>
                <w:lang w:eastAsia="ru-RU"/>
              </w:rPr>
              <w:t>утверждение/изменение внутренних документов Общества, внесение изменений в Устав в рамках компетенции Совета директоров</w:t>
            </w:r>
          </w:p>
        </w:tc>
        <w:tc>
          <w:tcPr>
            <w:tcW w:w="992" w:type="dxa"/>
            <w:noWrap/>
            <w:vAlign w:val="center"/>
            <w:hideMark/>
          </w:tcPr>
          <w:p w:rsidR="00E6749A" w:rsidRPr="004761E0" w:rsidRDefault="00E6749A" w:rsidP="00E6749A">
            <w:pPr>
              <w:ind w:firstLine="0"/>
              <w:jc w:val="right"/>
              <w:rPr>
                <w:rFonts w:eastAsia="Times New Roman"/>
                <w:color w:val="000000"/>
                <w:sz w:val="20"/>
                <w:szCs w:val="20"/>
                <w:lang w:eastAsia="ru-RU"/>
              </w:rPr>
            </w:pPr>
            <w:r w:rsidRPr="004761E0">
              <w:rPr>
                <w:sz w:val="20"/>
                <w:szCs w:val="20"/>
              </w:rPr>
              <w:t>12</w:t>
            </w:r>
          </w:p>
        </w:tc>
        <w:tc>
          <w:tcPr>
            <w:tcW w:w="992" w:type="dxa"/>
            <w:noWrap/>
            <w:vAlign w:val="center"/>
            <w:hideMark/>
          </w:tcPr>
          <w:p w:rsidR="00E6749A" w:rsidRPr="004761E0" w:rsidRDefault="00E6749A" w:rsidP="00E6749A">
            <w:pPr>
              <w:ind w:firstLine="0"/>
              <w:jc w:val="right"/>
              <w:rPr>
                <w:rFonts w:eastAsia="Times New Roman"/>
                <w:color w:val="000000"/>
                <w:sz w:val="20"/>
                <w:szCs w:val="20"/>
                <w:lang w:eastAsia="ru-RU"/>
              </w:rPr>
            </w:pPr>
            <w:r w:rsidRPr="004761E0">
              <w:rPr>
                <w:sz w:val="20"/>
                <w:szCs w:val="20"/>
              </w:rPr>
              <w:t>44</w:t>
            </w:r>
          </w:p>
        </w:tc>
        <w:tc>
          <w:tcPr>
            <w:tcW w:w="992" w:type="dxa"/>
            <w:noWrap/>
            <w:vAlign w:val="center"/>
            <w:hideMark/>
          </w:tcPr>
          <w:p w:rsidR="00E6749A" w:rsidRPr="004761E0" w:rsidRDefault="00E6749A" w:rsidP="00E6749A">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24</w:t>
            </w:r>
          </w:p>
        </w:tc>
        <w:tc>
          <w:tcPr>
            <w:tcW w:w="1146" w:type="dxa"/>
            <w:vAlign w:val="center"/>
            <w:hideMark/>
          </w:tcPr>
          <w:p w:rsidR="00E6749A" w:rsidRPr="004761E0" w:rsidRDefault="00E6749A" w:rsidP="00E6749A">
            <w:pPr>
              <w:ind w:firstLine="0"/>
              <w:jc w:val="right"/>
              <w:rPr>
                <w:rFonts w:eastAsia="Times New Roman"/>
                <w:bCs/>
                <w:color w:val="000000"/>
                <w:sz w:val="20"/>
                <w:szCs w:val="20"/>
                <w:lang w:eastAsia="ru-RU"/>
              </w:rPr>
            </w:pPr>
            <w:r w:rsidRPr="004761E0">
              <w:rPr>
                <w:color w:val="000000"/>
                <w:sz w:val="20"/>
                <w:szCs w:val="20"/>
              </w:rPr>
              <w:t>-45,45 %</w:t>
            </w:r>
          </w:p>
        </w:tc>
      </w:tr>
      <w:tr w:rsidR="00E6749A" w:rsidRPr="004761E0" w:rsidTr="00E6749A">
        <w:tc>
          <w:tcPr>
            <w:tcW w:w="675" w:type="dxa"/>
            <w:hideMark/>
          </w:tcPr>
          <w:p w:rsidR="00E6749A" w:rsidRPr="004761E0" w:rsidRDefault="00E6749A" w:rsidP="007076A7">
            <w:pPr>
              <w:pStyle w:val="a5"/>
              <w:numPr>
                <w:ilvl w:val="2"/>
                <w:numId w:val="222"/>
              </w:numPr>
              <w:jc w:val="left"/>
              <w:rPr>
                <w:rFonts w:eastAsia="Times New Roman"/>
                <w:color w:val="000000"/>
                <w:sz w:val="20"/>
                <w:szCs w:val="20"/>
                <w:lang w:eastAsia="ru-RU"/>
              </w:rPr>
            </w:pPr>
          </w:p>
        </w:tc>
        <w:tc>
          <w:tcPr>
            <w:tcW w:w="5387" w:type="dxa"/>
            <w:hideMark/>
          </w:tcPr>
          <w:p w:rsidR="00E6749A" w:rsidRPr="004761E0" w:rsidRDefault="00E6749A" w:rsidP="00E6749A">
            <w:pPr>
              <w:ind w:left="885" w:firstLine="0"/>
              <w:jc w:val="left"/>
              <w:rPr>
                <w:rFonts w:eastAsia="Times New Roman"/>
                <w:color w:val="211D1E"/>
                <w:sz w:val="20"/>
                <w:szCs w:val="20"/>
                <w:lang w:eastAsia="ru-RU"/>
              </w:rPr>
            </w:pPr>
            <w:r w:rsidRPr="004761E0">
              <w:rPr>
                <w:rFonts w:eastAsia="Times New Roman"/>
                <w:color w:val="211D1E"/>
                <w:sz w:val="20"/>
                <w:szCs w:val="20"/>
                <w:lang w:eastAsia="ru-RU"/>
              </w:rPr>
              <w:t>подготовка и проведение общих собраний акционеров, рассмотрение предложений акционеров по вопросам повестки дня собраний акционеров и т.п.</w:t>
            </w:r>
          </w:p>
        </w:tc>
        <w:tc>
          <w:tcPr>
            <w:tcW w:w="992" w:type="dxa"/>
            <w:noWrap/>
            <w:vAlign w:val="center"/>
            <w:hideMark/>
          </w:tcPr>
          <w:p w:rsidR="00E6749A" w:rsidRPr="004761E0" w:rsidRDefault="00E6749A" w:rsidP="00E6749A">
            <w:pPr>
              <w:ind w:firstLine="0"/>
              <w:jc w:val="right"/>
              <w:rPr>
                <w:rFonts w:eastAsia="Times New Roman"/>
                <w:color w:val="000000"/>
                <w:sz w:val="20"/>
                <w:szCs w:val="20"/>
                <w:lang w:eastAsia="ru-RU"/>
              </w:rPr>
            </w:pPr>
            <w:r w:rsidRPr="004761E0">
              <w:rPr>
                <w:sz w:val="20"/>
                <w:szCs w:val="20"/>
              </w:rPr>
              <w:t>23</w:t>
            </w:r>
          </w:p>
        </w:tc>
        <w:tc>
          <w:tcPr>
            <w:tcW w:w="992" w:type="dxa"/>
            <w:noWrap/>
            <w:vAlign w:val="center"/>
            <w:hideMark/>
          </w:tcPr>
          <w:p w:rsidR="00E6749A" w:rsidRPr="004761E0" w:rsidRDefault="00E6749A" w:rsidP="00E6749A">
            <w:pPr>
              <w:ind w:firstLine="0"/>
              <w:jc w:val="right"/>
              <w:rPr>
                <w:rFonts w:eastAsia="Times New Roman"/>
                <w:color w:val="000000"/>
                <w:sz w:val="20"/>
                <w:szCs w:val="20"/>
                <w:lang w:eastAsia="ru-RU"/>
              </w:rPr>
            </w:pPr>
            <w:r w:rsidRPr="004761E0">
              <w:rPr>
                <w:sz w:val="20"/>
                <w:szCs w:val="20"/>
              </w:rPr>
              <w:t>21</w:t>
            </w:r>
          </w:p>
        </w:tc>
        <w:tc>
          <w:tcPr>
            <w:tcW w:w="992" w:type="dxa"/>
            <w:noWrap/>
            <w:vAlign w:val="center"/>
            <w:hideMark/>
          </w:tcPr>
          <w:p w:rsidR="00E6749A" w:rsidRPr="004761E0" w:rsidRDefault="00E6749A" w:rsidP="00E6749A">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19</w:t>
            </w:r>
          </w:p>
        </w:tc>
        <w:tc>
          <w:tcPr>
            <w:tcW w:w="1146" w:type="dxa"/>
            <w:vAlign w:val="center"/>
            <w:hideMark/>
          </w:tcPr>
          <w:p w:rsidR="00E6749A" w:rsidRPr="004761E0" w:rsidRDefault="00E6749A" w:rsidP="00E6749A">
            <w:pPr>
              <w:ind w:firstLine="0"/>
              <w:jc w:val="right"/>
              <w:rPr>
                <w:rFonts w:eastAsia="Times New Roman"/>
                <w:bCs/>
                <w:color w:val="000000"/>
                <w:sz w:val="20"/>
                <w:szCs w:val="20"/>
                <w:lang w:eastAsia="ru-RU"/>
              </w:rPr>
            </w:pPr>
            <w:r w:rsidRPr="004761E0">
              <w:rPr>
                <w:color w:val="000000"/>
                <w:sz w:val="20"/>
                <w:szCs w:val="20"/>
              </w:rPr>
              <w:t>-9,52 %</w:t>
            </w:r>
          </w:p>
        </w:tc>
      </w:tr>
      <w:tr w:rsidR="00E6749A" w:rsidRPr="004761E0" w:rsidTr="00E6749A">
        <w:tc>
          <w:tcPr>
            <w:tcW w:w="675" w:type="dxa"/>
            <w:hideMark/>
          </w:tcPr>
          <w:p w:rsidR="00E6749A" w:rsidRPr="004761E0" w:rsidRDefault="00E6749A" w:rsidP="007076A7">
            <w:pPr>
              <w:pStyle w:val="a5"/>
              <w:numPr>
                <w:ilvl w:val="2"/>
                <w:numId w:val="222"/>
              </w:numPr>
              <w:jc w:val="left"/>
              <w:rPr>
                <w:rFonts w:eastAsia="Times New Roman"/>
                <w:color w:val="000000"/>
                <w:sz w:val="20"/>
                <w:szCs w:val="20"/>
                <w:lang w:eastAsia="ru-RU"/>
              </w:rPr>
            </w:pPr>
          </w:p>
        </w:tc>
        <w:tc>
          <w:tcPr>
            <w:tcW w:w="5387" w:type="dxa"/>
            <w:hideMark/>
          </w:tcPr>
          <w:p w:rsidR="00E6749A" w:rsidRPr="004761E0" w:rsidRDefault="00E6749A" w:rsidP="00E6749A">
            <w:pPr>
              <w:ind w:left="885" w:firstLine="0"/>
              <w:jc w:val="left"/>
              <w:rPr>
                <w:rFonts w:eastAsia="Times New Roman"/>
                <w:color w:val="211D1E"/>
                <w:sz w:val="20"/>
                <w:szCs w:val="20"/>
                <w:lang w:eastAsia="ru-RU"/>
              </w:rPr>
            </w:pPr>
            <w:r w:rsidRPr="004761E0">
              <w:rPr>
                <w:rFonts w:eastAsia="Times New Roman"/>
                <w:color w:val="211D1E"/>
                <w:sz w:val="20"/>
                <w:szCs w:val="20"/>
                <w:lang w:eastAsia="ru-RU"/>
              </w:rPr>
              <w:t>организация и проведение заседаний Совета директоров, комитетов Совета директоров, избрание Председателя Совета директоров и т.п.</w:t>
            </w:r>
          </w:p>
        </w:tc>
        <w:tc>
          <w:tcPr>
            <w:tcW w:w="992" w:type="dxa"/>
            <w:noWrap/>
            <w:vAlign w:val="center"/>
            <w:hideMark/>
          </w:tcPr>
          <w:p w:rsidR="00E6749A" w:rsidRPr="004761E0" w:rsidRDefault="00E6749A" w:rsidP="00E6749A">
            <w:pPr>
              <w:ind w:firstLine="0"/>
              <w:jc w:val="right"/>
              <w:rPr>
                <w:rFonts w:eastAsia="Times New Roman"/>
                <w:color w:val="000000"/>
                <w:sz w:val="20"/>
                <w:szCs w:val="20"/>
                <w:lang w:eastAsia="ru-RU"/>
              </w:rPr>
            </w:pPr>
            <w:r w:rsidRPr="004761E0">
              <w:rPr>
                <w:sz w:val="20"/>
                <w:szCs w:val="20"/>
              </w:rPr>
              <w:t>26</w:t>
            </w:r>
          </w:p>
        </w:tc>
        <w:tc>
          <w:tcPr>
            <w:tcW w:w="992" w:type="dxa"/>
            <w:noWrap/>
            <w:vAlign w:val="center"/>
            <w:hideMark/>
          </w:tcPr>
          <w:p w:rsidR="00E6749A" w:rsidRPr="004761E0" w:rsidRDefault="00E6749A" w:rsidP="00E6749A">
            <w:pPr>
              <w:ind w:firstLine="0"/>
              <w:jc w:val="right"/>
              <w:rPr>
                <w:rFonts w:eastAsia="Times New Roman"/>
                <w:color w:val="000000"/>
                <w:sz w:val="20"/>
                <w:szCs w:val="20"/>
                <w:lang w:eastAsia="ru-RU"/>
              </w:rPr>
            </w:pPr>
            <w:r w:rsidRPr="004761E0">
              <w:rPr>
                <w:sz w:val="20"/>
                <w:szCs w:val="20"/>
              </w:rPr>
              <w:t>32</w:t>
            </w:r>
          </w:p>
        </w:tc>
        <w:tc>
          <w:tcPr>
            <w:tcW w:w="992" w:type="dxa"/>
            <w:noWrap/>
            <w:vAlign w:val="center"/>
            <w:hideMark/>
          </w:tcPr>
          <w:p w:rsidR="00E6749A" w:rsidRPr="004761E0" w:rsidRDefault="00E6749A" w:rsidP="00E6749A">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15</w:t>
            </w:r>
          </w:p>
        </w:tc>
        <w:tc>
          <w:tcPr>
            <w:tcW w:w="1146" w:type="dxa"/>
            <w:vAlign w:val="center"/>
            <w:hideMark/>
          </w:tcPr>
          <w:p w:rsidR="00E6749A" w:rsidRPr="004761E0" w:rsidRDefault="00E6749A" w:rsidP="00E6749A">
            <w:pPr>
              <w:ind w:firstLine="0"/>
              <w:jc w:val="right"/>
              <w:rPr>
                <w:rFonts w:eastAsia="Times New Roman"/>
                <w:bCs/>
                <w:color w:val="000000"/>
                <w:sz w:val="20"/>
                <w:szCs w:val="20"/>
                <w:lang w:eastAsia="ru-RU"/>
              </w:rPr>
            </w:pPr>
            <w:r w:rsidRPr="004761E0">
              <w:rPr>
                <w:color w:val="000000"/>
                <w:sz w:val="20"/>
                <w:szCs w:val="20"/>
              </w:rPr>
              <w:t>-53,13 %</w:t>
            </w:r>
          </w:p>
        </w:tc>
      </w:tr>
      <w:tr w:rsidR="00E6749A" w:rsidRPr="004761E0" w:rsidTr="00E6749A">
        <w:tc>
          <w:tcPr>
            <w:tcW w:w="675" w:type="dxa"/>
            <w:hideMark/>
          </w:tcPr>
          <w:p w:rsidR="00E6749A" w:rsidRPr="004761E0" w:rsidRDefault="00E6749A" w:rsidP="007076A7">
            <w:pPr>
              <w:pStyle w:val="a5"/>
              <w:numPr>
                <w:ilvl w:val="2"/>
                <w:numId w:val="222"/>
              </w:numPr>
              <w:jc w:val="left"/>
              <w:rPr>
                <w:rFonts w:eastAsia="Times New Roman"/>
                <w:color w:val="000000"/>
                <w:sz w:val="20"/>
                <w:szCs w:val="20"/>
                <w:lang w:eastAsia="ru-RU"/>
              </w:rPr>
            </w:pPr>
          </w:p>
        </w:tc>
        <w:tc>
          <w:tcPr>
            <w:tcW w:w="5387" w:type="dxa"/>
            <w:hideMark/>
          </w:tcPr>
          <w:p w:rsidR="00E6749A" w:rsidRPr="004761E0" w:rsidRDefault="00E6749A" w:rsidP="00E6749A">
            <w:pPr>
              <w:ind w:left="885" w:firstLine="0"/>
              <w:jc w:val="left"/>
              <w:rPr>
                <w:rFonts w:eastAsia="Times New Roman"/>
                <w:color w:val="211D1E"/>
                <w:sz w:val="20"/>
                <w:szCs w:val="20"/>
                <w:lang w:eastAsia="ru-RU"/>
              </w:rPr>
            </w:pPr>
            <w:r w:rsidRPr="004761E0">
              <w:rPr>
                <w:rFonts w:eastAsia="Times New Roman"/>
                <w:color w:val="211D1E"/>
                <w:sz w:val="20"/>
                <w:szCs w:val="20"/>
                <w:lang w:eastAsia="ru-RU"/>
              </w:rPr>
              <w:t>рассмотрение вопросов, связанных с деятельностью исполнительных органов Общества, менеджмента, органов внутреннего контроля, внешнего аудитора</w:t>
            </w:r>
          </w:p>
        </w:tc>
        <w:tc>
          <w:tcPr>
            <w:tcW w:w="992" w:type="dxa"/>
            <w:noWrap/>
            <w:vAlign w:val="center"/>
            <w:hideMark/>
          </w:tcPr>
          <w:p w:rsidR="00E6749A" w:rsidRPr="004761E0" w:rsidRDefault="00E6749A" w:rsidP="00E6749A">
            <w:pPr>
              <w:ind w:firstLine="0"/>
              <w:jc w:val="right"/>
              <w:rPr>
                <w:rFonts w:eastAsia="Times New Roman"/>
                <w:color w:val="000000"/>
                <w:sz w:val="20"/>
                <w:szCs w:val="20"/>
                <w:lang w:eastAsia="ru-RU"/>
              </w:rPr>
            </w:pPr>
            <w:r w:rsidRPr="004761E0">
              <w:rPr>
                <w:sz w:val="20"/>
                <w:szCs w:val="20"/>
              </w:rPr>
              <w:t>27</w:t>
            </w:r>
          </w:p>
        </w:tc>
        <w:tc>
          <w:tcPr>
            <w:tcW w:w="992" w:type="dxa"/>
            <w:noWrap/>
            <w:vAlign w:val="center"/>
            <w:hideMark/>
          </w:tcPr>
          <w:p w:rsidR="00E6749A" w:rsidRPr="004761E0" w:rsidRDefault="00E6749A" w:rsidP="00E6749A">
            <w:pPr>
              <w:ind w:firstLine="0"/>
              <w:jc w:val="right"/>
              <w:rPr>
                <w:rFonts w:eastAsia="Times New Roman"/>
                <w:color w:val="000000"/>
                <w:sz w:val="20"/>
                <w:szCs w:val="20"/>
                <w:lang w:eastAsia="ru-RU"/>
              </w:rPr>
            </w:pPr>
            <w:r w:rsidRPr="004761E0">
              <w:rPr>
                <w:sz w:val="20"/>
                <w:szCs w:val="20"/>
              </w:rPr>
              <w:t>23</w:t>
            </w:r>
          </w:p>
        </w:tc>
        <w:tc>
          <w:tcPr>
            <w:tcW w:w="992" w:type="dxa"/>
            <w:noWrap/>
            <w:vAlign w:val="center"/>
            <w:hideMark/>
          </w:tcPr>
          <w:p w:rsidR="00E6749A" w:rsidRPr="004761E0" w:rsidRDefault="00E6749A" w:rsidP="00E6749A">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23</w:t>
            </w:r>
          </w:p>
        </w:tc>
        <w:tc>
          <w:tcPr>
            <w:tcW w:w="1146" w:type="dxa"/>
            <w:vAlign w:val="center"/>
            <w:hideMark/>
          </w:tcPr>
          <w:p w:rsidR="00E6749A" w:rsidRPr="004761E0" w:rsidRDefault="00E6749A" w:rsidP="00E6749A">
            <w:pPr>
              <w:ind w:firstLine="0"/>
              <w:jc w:val="right"/>
              <w:rPr>
                <w:rFonts w:eastAsia="Times New Roman"/>
                <w:bCs/>
                <w:color w:val="000000"/>
                <w:sz w:val="20"/>
                <w:szCs w:val="20"/>
                <w:lang w:eastAsia="ru-RU"/>
              </w:rPr>
            </w:pPr>
            <w:r w:rsidRPr="004761E0">
              <w:rPr>
                <w:color w:val="000000"/>
                <w:sz w:val="20"/>
                <w:szCs w:val="20"/>
              </w:rPr>
              <w:t>0,00 %</w:t>
            </w:r>
          </w:p>
        </w:tc>
      </w:tr>
      <w:tr w:rsidR="00E6749A" w:rsidRPr="004761E0" w:rsidTr="00E6749A">
        <w:tc>
          <w:tcPr>
            <w:tcW w:w="675" w:type="dxa"/>
            <w:hideMark/>
          </w:tcPr>
          <w:p w:rsidR="00E6749A" w:rsidRPr="004761E0" w:rsidRDefault="00E6749A" w:rsidP="007076A7">
            <w:pPr>
              <w:pStyle w:val="a5"/>
              <w:numPr>
                <w:ilvl w:val="2"/>
                <w:numId w:val="222"/>
              </w:numPr>
              <w:jc w:val="left"/>
              <w:rPr>
                <w:rFonts w:eastAsia="Times New Roman"/>
                <w:color w:val="000000"/>
                <w:sz w:val="20"/>
                <w:szCs w:val="20"/>
                <w:lang w:eastAsia="ru-RU"/>
              </w:rPr>
            </w:pPr>
          </w:p>
        </w:tc>
        <w:tc>
          <w:tcPr>
            <w:tcW w:w="5387" w:type="dxa"/>
            <w:hideMark/>
          </w:tcPr>
          <w:p w:rsidR="00E6749A" w:rsidRPr="004761E0" w:rsidRDefault="00E6749A" w:rsidP="00E6749A">
            <w:pPr>
              <w:ind w:left="885" w:firstLine="0"/>
              <w:jc w:val="left"/>
              <w:rPr>
                <w:rFonts w:eastAsia="Times New Roman"/>
                <w:color w:val="211D1E"/>
                <w:sz w:val="20"/>
                <w:szCs w:val="20"/>
                <w:lang w:eastAsia="ru-RU"/>
              </w:rPr>
            </w:pPr>
            <w:r w:rsidRPr="004761E0">
              <w:rPr>
                <w:rFonts w:eastAsia="Times New Roman"/>
                <w:color w:val="211D1E"/>
                <w:sz w:val="20"/>
                <w:szCs w:val="20"/>
                <w:lang w:eastAsia="ru-RU"/>
              </w:rPr>
              <w:t>оказание материальной помощи работникам и благотворительной (спонсорской) помощи</w:t>
            </w:r>
          </w:p>
        </w:tc>
        <w:tc>
          <w:tcPr>
            <w:tcW w:w="992" w:type="dxa"/>
            <w:noWrap/>
            <w:vAlign w:val="center"/>
            <w:hideMark/>
          </w:tcPr>
          <w:p w:rsidR="00E6749A" w:rsidRPr="004761E0" w:rsidRDefault="00E6749A" w:rsidP="00E6749A">
            <w:pPr>
              <w:ind w:firstLine="0"/>
              <w:jc w:val="right"/>
              <w:rPr>
                <w:rFonts w:eastAsia="Times New Roman"/>
                <w:color w:val="000000"/>
                <w:sz w:val="20"/>
                <w:szCs w:val="20"/>
                <w:lang w:eastAsia="ru-RU"/>
              </w:rPr>
            </w:pPr>
            <w:r w:rsidRPr="004761E0">
              <w:rPr>
                <w:sz w:val="20"/>
                <w:szCs w:val="20"/>
              </w:rPr>
              <w:t>2</w:t>
            </w:r>
          </w:p>
        </w:tc>
        <w:tc>
          <w:tcPr>
            <w:tcW w:w="992" w:type="dxa"/>
            <w:noWrap/>
            <w:vAlign w:val="center"/>
            <w:hideMark/>
          </w:tcPr>
          <w:p w:rsidR="00E6749A" w:rsidRPr="004761E0" w:rsidRDefault="00E6749A" w:rsidP="00E6749A">
            <w:pPr>
              <w:ind w:firstLine="0"/>
              <w:jc w:val="right"/>
              <w:rPr>
                <w:rFonts w:eastAsia="Times New Roman"/>
                <w:color w:val="000000"/>
                <w:sz w:val="20"/>
                <w:szCs w:val="20"/>
                <w:lang w:eastAsia="ru-RU"/>
              </w:rPr>
            </w:pPr>
            <w:r w:rsidRPr="004761E0">
              <w:rPr>
                <w:sz w:val="20"/>
                <w:szCs w:val="20"/>
              </w:rPr>
              <w:t>2</w:t>
            </w:r>
          </w:p>
        </w:tc>
        <w:tc>
          <w:tcPr>
            <w:tcW w:w="992" w:type="dxa"/>
            <w:noWrap/>
            <w:vAlign w:val="center"/>
            <w:hideMark/>
          </w:tcPr>
          <w:p w:rsidR="00E6749A" w:rsidRPr="004761E0" w:rsidRDefault="00E6749A" w:rsidP="00E6749A">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 4</w:t>
            </w:r>
          </w:p>
        </w:tc>
        <w:tc>
          <w:tcPr>
            <w:tcW w:w="1146" w:type="dxa"/>
            <w:vAlign w:val="center"/>
            <w:hideMark/>
          </w:tcPr>
          <w:p w:rsidR="00E6749A" w:rsidRPr="004761E0" w:rsidRDefault="00E6749A" w:rsidP="00E6749A">
            <w:pPr>
              <w:ind w:firstLine="0"/>
              <w:jc w:val="right"/>
              <w:rPr>
                <w:rFonts w:eastAsia="Times New Roman"/>
                <w:bCs/>
                <w:color w:val="000000"/>
                <w:sz w:val="20"/>
                <w:szCs w:val="20"/>
                <w:lang w:eastAsia="ru-RU"/>
              </w:rPr>
            </w:pPr>
            <w:r w:rsidRPr="004761E0">
              <w:rPr>
                <w:color w:val="000000"/>
                <w:sz w:val="20"/>
                <w:szCs w:val="20"/>
              </w:rPr>
              <w:t>100,00 %</w:t>
            </w:r>
          </w:p>
        </w:tc>
      </w:tr>
      <w:tr w:rsidR="00E6749A" w:rsidRPr="004761E0" w:rsidTr="00E6749A">
        <w:tc>
          <w:tcPr>
            <w:tcW w:w="675" w:type="dxa"/>
            <w:hideMark/>
          </w:tcPr>
          <w:p w:rsidR="00E6749A" w:rsidRPr="004761E0" w:rsidRDefault="00E6749A" w:rsidP="007076A7">
            <w:pPr>
              <w:pStyle w:val="a5"/>
              <w:numPr>
                <w:ilvl w:val="2"/>
                <w:numId w:val="222"/>
              </w:numPr>
              <w:jc w:val="left"/>
              <w:rPr>
                <w:rFonts w:eastAsia="Times New Roman"/>
                <w:color w:val="000000"/>
                <w:sz w:val="20"/>
                <w:szCs w:val="20"/>
                <w:lang w:eastAsia="ru-RU"/>
              </w:rPr>
            </w:pPr>
          </w:p>
        </w:tc>
        <w:tc>
          <w:tcPr>
            <w:tcW w:w="5387" w:type="dxa"/>
            <w:hideMark/>
          </w:tcPr>
          <w:p w:rsidR="00E6749A" w:rsidRPr="004761E0" w:rsidRDefault="00E6749A" w:rsidP="00E6749A">
            <w:pPr>
              <w:ind w:left="885" w:firstLine="0"/>
              <w:jc w:val="left"/>
              <w:rPr>
                <w:rFonts w:eastAsia="Times New Roman"/>
                <w:color w:val="211D1E"/>
                <w:sz w:val="20"/>
                <w:szCs w:val="20"/>
                <w:lang w:eastAsia="ru-RU"/>
              </w:rPr>
            </w:pPr>
            <w:r w:rsidRPr="004761E0">
              <w:rPr>
                <w:rFonts w:eastAsia="Times New Roman"/>
                <w:color w:val="211D1E"/>
                <w:sz w:val="20"/>
                <w:szCs w:val="20"/>
                <w:lang w:eastAsia="ru-RU"/>
              </w:rPr>
              <w:t xml:space="preserve">рассмотрение вопросов, связанных с осуществлением контроля над деятельностью хозяйственных обществ, акциями (долями) которых владеет </w:t>
            </w:r>
            <w:r w:rsidR="0008080E">
              <w:rPr>
                <w:rFonts w:eastAsia="Times New Roman"/>
                <w:color w:val="211D1E"/>
                <w:sz w:val="20"/>
                <w:szCs w:val="20"/>
                <w:lang w:eastAsia="ru-RU"/>
              </w:rPr>
              <w:t>ОАО </w:t>
            </w:r>
            <w:r w:rsidRPr="004761E0">
              <w:rPr>
                <w:rFonts w:eastAsia="Times New Roman"/>
                <w:color w:val="211D1E"/>
                <w:sz w:val="20"/>
                <w:szCs w:val="20"/>
                <w:lang w:eastAsia="ru-RU"/>
              </w:rPr>
              <w:t>«МОЭСК»</w:t>
            </w:r>
          </w:p>
        </w:tc>
        <w:tc>
          <w:tcPr>
            <w:tcW w:w="992" w:type="dxa"/>
            <w:noWrap/>
            <w:vAlign w:val="center"/>
            <w:hideMark/>
          </w:tcPr>
          <w:p w:rsidR="00E6749A" w:rsidRPr="004761E0" w:rsidRDefault="00E6749A" w:rsidP="00E6749A">
            <w:pPr>
              <w:ind w:firstLine="0"/>
              <w:jc w:val="right"/>
              <w:rPr>
                <w:rFonts w:eastAsia="Times New Roman"/>
                <w:color w:val="000000"/>
                <w:sz w:val="20"/>
                <w:szCs w:val="20"/>
                <w:lang w:eastAsia="ru-RU"/>
              </w:rPr>
            </w:pPr>
            <w:r w:rsidRPr="004761E0">
              <w:rPr>
                <w:sz w:val="20"/>
                <w:szCs w:val="20"/>
              </w:rPr>
              <w:t>39</w:t>
            </w:r>
          </w:p>
        </w:tc>
        <w:tc>
          <w:tcPr>
            <w:tcW w:w="992" w:type="dxa"/>
            <w:noWrap/>
            <w:vAlign w:val="center"/>
            <w:hideMark/>
          </w:tcPr>
          <w:p w:rsidR="00E6749A" w:rsidRPr="004761E0" w:rsidRDefault="00E6749A" w:rsidP="00E6749A">
            <w:pPr>
              <w:ind w:firstLine="0"/>
              <w:jc w:val="right"/>
              <w:rPr>
                <w:rFonts w:eastAsia="Times New Roman"/>
                <w:color w:val="000000"/>
                <w:sz w:val="20"/>
                <w:szCs w:val="20"/>
                <w:lang w:eastAsia="ru-RU"/>
              </w:rPr>
            </w:pPr>
            <w:r w:rsidRPr="004761E0">
              <w:rPr>
                <w:sz w:val="20"/>
                <w:szCs w:val="20"/>
              </w:rPr>
              <w:t>29</w:t>
            </w:r>
          </w:p>
        </w:tc>
        <w:tc>
          <w:tcPr>
            <w:tcW w:w="992" w:type="dxa"/>
            <w:noWrap/>
            <w:vAlign w:val="center"/>
            <w:hideMark/>
          </w:tcPr>
          <w:p w:rsidR="00E6749A" w:rsidRPr="004761E0" w:rsidRDefault="00E6749A" w:rsidP="00E6749A">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 31</w:t>
            </w:r>
          </w:p>
        </w:tc>
        <w:tc>
          <w:tcPr>
            <w:tcW w:w="1146" w:type="dxa"/>
            <w:vAlign w:val="center"/>
            <w:hideMark/>
          </w:tcPr>
          <w:p w:rsidR="00E6749A" w:rsidRPr="004761E0" w:rsidRDefault="00E6749A" w:rsidP="00E6749A">
            <w:pPr>
              <w:ind w:firstLine="0"/>
              <w:jc w:val="right"/>
              <w:rPr>
                <w:rFonts w:eastAsia="Times New Roman"/>
                <w:bCs/>
                <w:color w:val="000000"/>
                <w:sz w:val="20"/>
                <w:szCs w:val="20"/>
                <w:lang w:eastAsia="ru-RU"/>
              </w:rPr>
            </w:pPr>
            <w:r w:rsidRPr="004761E0">
              <w:rPr>
                <w:color w:val="000000"/>
                <w:sz w:val="20"/>
                <w:szCs w:val="20"/>
              </w:rPr>
              <w:t>6,90 %</w:t>
            </w:r>
          </w:p>
        </w:tc>
      </w:tr>
      <w:tr w:rsidR="00E6749A" w:rsidRPr="004761E0" w:rsidTr="00E6749A">
        <w:tc>
          <w:tcPr>
            <w:tcW w:w="675" w:type="dxa"/>
            <w:hideMark/>
          </w:tcPr>
          <w:p w:rsidR="00E6749A" w:rsidRPr="004761E0" w:rsidRDefault="00E6749A" w:rsidP="007076A7">
            <w:pPr>
              <w:pStyle w:val="a5"/>
              <w:numPr>
                <w:ilvl w:val="0"/>
                <w:numId w:val="222"/>
              </w:numPr>
              <w:jc w:val="left"/>
              <w:rPr>
                <w:rFonts w:eastAsia="Times New Roman"/>
                <w:color w:val="000000"/>
                <w:sz w:val="20"/>
                <w:szCs w:val="20"/>
                <w:lang w:eastAsia="ru-RU"/>
              </w:rPr>
            </w:pPr>
          </w:p>
        </w:tc>
        <w:tc>
          <w:tcPr>
            <w:tcW w:w="5387" w:type="dxa"/>
            <w:hideMark/>
          </w:tcPr>
          <w:p w:rsidR="00E6749A" w:rsidRPr="004761E0" w:rsidRDefault="00E6749A" w:rsidP="00E6749A">
            <w:pPr>
              <w:ind w:left="459" w:firstLine="0"/>
              <w:jc w:val="left"/>
              <w:rPr>
                <w:rFonts w:eastAsia="Times New Roman"/>
                <w:color w:val="211D1E"/>
                <w:sz w:val="20"/>
                <w:szCs w:val="20"/>
                <w:lang w:eastAsia="ru-RU"/>
              </w:rPr>
            </w:pPr>
            <w:r w:rsidRPr="004761E0">
              <w:rPr>
                <w:rFonts w:eastAsia="Times New Roman"/>
                <w:color w:val="211D1E"/>
                <w:sz w:val="20"/>
                <w:szCs w:val="20"/>
                <w:lang w:eastAsia="ru-RU"/>
              </w:rPr>
              <w:t>контроль работы менеджмента, включая рассмотрение отчетов об исполнении бизнес-планов, инвестиционных программ, целевых значений КПЭ, о кредитной политике, о производственно-хозяйственной деятельности, об обеспечении страховой защиты</w:t>
            </w:r>
          </w:p>
        </w:tc>
        <w:tc>
          <w:tcPr>
            <w:tcW w:w="992" w:type="dxa"/>
            <w:noWrap/>
            <w:vAlign w:val="center"/>
            <w:hideMark/>
          </w:tcPr>
          <w:p w:rsidR="00E6749A" w:rsidRPr="004761E0" w:rsidRDefault="00E6749A" w:rsidP="00E6749A">
            <w:pPr>
              <w:ind w:firstLine="0"/>
              <w:jc w:val="right"/>
              <w:rPr>
                <w:rFonts w:eastAsia="Times New Roman"/>
                <w:color w:val="000000"/>
                <w:sz w:val="20"/>
                <w:szCs w:val="20"/>
                <w:lang w:eastAsia="ru-RU"/>
              </w:rPr>
            </w:pPr>
            <w:r w:rsidRPr="004761E0">
              <w:rPr>
                <w:sz w:val="20"/>
                <w:szCs w:val="20"/>
              </w:rPr>
              <w:t>61</w:t>
            </w:r>
          </w:p>
        </w:tc>
        <w:tc>
          <w:tcPr>
            <w:tcW w:w="992" w:type="dxa"/>
            <w:noWrap/>
            <w:vAlign w:val="center"/>
            <w:hideMark/>
          </w:tcPr>
          <w:p w:rsidR="00E6749A" w:rsidRPr="004761E0" w:rsidRDefault="00E6749A" w:rsidP="00E6749A">
            <w:pPr>
              <w:ind w:firstLine="0"/>
              <w:jc w:val="right"/>
              <w:rPr>
                <w:rFonts w:eastAsia="Times New Roman"/>
                <w:color w:val="000000"/>
                <w:sz w:val="20"/>
                <w:szCs w:val="20"/>
                <w:lang w:eastAsia="ru-RU"/>
              </w:rPr>
            </w:pPr>
            <w:r w:rsidRPr="004761E0">
              <w:rPr>
                <w:sz w:val="20"/>
                <w:szCs w:val="20"/>
              </w:rPr>
              <w:t>95</w:t>
            </w:r>
          </w:p>
        </w:tc>
        <w:tc>
          <w:tcPr>
            <w:tcW w:w="992" w:type="dxa"/>
            <w:noWrap/>
            <w:vAlign w:val="center"/>
            <w:hideMark/>
          </w:tcPr>
          <w:p w:rsidR="00E6749A" w:rsidRPr="004761E0" w:rsidRDefault="00E6749A" w:rsidP="00E6749A">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 86</w:t>
            </w:r>
          </w:p>
        </w:tc>
        <w:tc>
          <w:tcPr>
            <w:tcW w:w="1146" w:type="dxa"/>
            <w:vAlign w:val="center"/>
            <w:hideMark/>
          </w:tcPr>
          <w:p w:rsidR="00E6749A" w:rsidRPr="004761E0" w:rsidRDefault="00E6749A" w:rsidP="00E6749A">
            <w:pPr>
              <w:ind w:firstLine="0"/>
              <w:jc w:val="right"/>
              <w:rPr>
                <w:rFonts w:eastAsia="Times New Roman"/>
                <w:bCs/>
                <w:color w:val="000000"/>
                <w:sz w:val="20"/>
                <w:szCs w:val="20"/>
                <w:lang w:eastAsia="ru-RU"/>
              </w:rPr>
            </w:pPr>
            <w:r w:rsidRPr="004761E0">
              <w:rPr>
                <w:color w:val="000000"/>
                <w:sz w:val="20"/>
                <w:szCs w:val="20"/>
              </w:rPr>
              <w:t>-9,47 %</w:t>
            </w:r>
          </w:p>
        </w:tc>
      </w:tr>
      <w:tr w:rsidR="00E6749A" w:rsidRPr="004761E0" w:rsidTr="00E6749A">
        <w:tc>
          <w:tcPr>
            <w:tcW w:w="675" w:type="dxa"/>
            <w:hideMark/>
          </w:tcPr>
          <w:p w:rsidR="00E6749A" w:rsidRPr="004761E0" w:rsidRDefault="00E6749A" w:rsidP="007076A7">
            <w:pPr>
              <w:pStyle w:val="a5"/>
              <w:numPr>
                <w:ilvl w:val="0"/>
                <w:numId w:val="222"/>
              </w:numPr>
              <w:jc w:val="left"/>
              <w:rPr>
                <w:rFonts w:eastAsia="Times New Roman"/>
                <w:color w:val="000000"/>
                <w:sz w:val="20"/>
                <w:szCs w:val="20"/>
                <w:lang w:eastAsia="ru-RU"/>
              </w:rPr>
            </w:pPr>
          </w:p>
        </w:tc>
        <w:tc>
          <w:tcPr>
            <w:tcW w:w="5387" w:type="dxa"/>
            <w:hideMark/>
          </w:tcPr>
          <w:p w:rsidR="00E6749A" w:rsidRPr="004761E0" w:rsidRDefault="00E6749A" w:rsidP="00E6749A">
            <w:pPr>
              <w:ind w:left="459" w:firstLine="0"/>
              <w:jc w:val="left"/>
              <w:rPr>
                <w:rFonts w:eastAsia="Times New Roman"/>
                <w:color w:val="211D1E"/>
                <w:sz w:val="20"/>
                <w:szCs w:val="20"/>
                <w:lang w:eastAsia="ru-RU"/>
              </w:rPr>
            </w:pPr>
            <w:r w:rsidRPr="004761E0">
              <w:rPr>
                <w:rFonts w:eastAsia="Times New Roman"/>
                <w:color w:val="211D1E"/>
                <w:sz w:val="20"/>
                <w:szCs w:val="20"/>
                <w:lang w:eastAsia="ru-RU"/>
              </w:rPr>
              <w:t>одобрение сделок, включая предварительное одобрение сделок, в совершении которых имеется заинтересованность, крупных сделок, сделок с ценными бумагами и иных сделок, контроль над совершением которых возложен на Совет директоров</w:t>
            </w:r>
          </w:p>
        </w:tc>
        <w:tc>
          <w:tcPr>
            <w:tcW w:w="992" w:type="dxa"/>
            <w:noWrap/>
            <w:vAlign w:val="center"/>
            <w:hideMark/>
          </w:tcPr>
          <w:p w:rsidR="00E6749A" w:rsidRPr="004761E0" w:rsidRDefault="00E6749A" w:rsidP="00E6749A">
            <w:pPr>
              <w:ind w:firstLine="0"/>
              <w:jc w:val="right"/>
              <w:rPr>
                <w:rFonts w:eastAsia="Times New Roman"/>
                <w:color w:val="000000"/>
                <w:sz w:val="20"/>
                <w:szCs w:val="20"/>
                <w:lang w:eastAsia="ru-RU"/>
              </w:rPr>
            </w:pPr>
            <w:r w:rsidRPr="004761E0">
              <w:rPr>
                <w:sz w:val="20"/>
                <w:szCs w:val="20"/>
              </w:rPr>
              <w:t>146</w:t>
            </w:r>
          </w:p>
        </w:tc>
        <w:tc>
          <w:tcPr>
            <w:tcW w:w="992" w:type="dxa"/>
            <w:noWrap/>
            <w:vAlign w:val="center"/>
            <w:hideMark/>
          </w:tcPr>
          <w:p w:rsidR="00E6749A" w:rsidRPr="004761E0" w:rsidRDefault="00E6749A" w:rsidP="00E6749A">
            <w:pPr>
              <w:ind w:firstLine="0"/>
              <w:jc w:val="right"/>
              <w:rPr>
                <w:rFonts w:eastAsia="Times New Roman"/>
                <w:color w:val="000000"/>
                <w:sz w:val="20"/>
                <w:szCs w:val="20"/>
                <w:lang w:eastAsia="ru-RU"/>
              </w:rPr>
            </w:pPr>
            <w:r w:rsidRPr="004761E0">
              <w:rPr>
                <w:sz w:val="20"/>
                <w:szCs w:val="20"/>
              </w:rPr>
              <w:t>120</w:t>
            </w:r>
          </w:p>
        </w:tc>
        <w:tc>
          <w:tcPr>
            <w:tcW w:w="992" w:type="dxa"/>
            <w:noWrap/>
            <w:vAlign w:val="center"/>
            <w:hideMark/>
          </w:tcPr>
          <w:p w:rsidR="00E6749A" w:rsidRPr="004761E0" w:rsidRDefault="00E6749A" w:rsidP="00E6749A">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 148</w:t>
            </w:r>
          </w:p>
        </w:tc>
        <w:tc>
          <w:tcPr>
            <w:tcW w:w="1146" w:type="dxa"/>
            <w:vAlign w:val="center"/>
            <w:hideMark/>
          </w:tcPr>
          <w:p w:rsidR="00E6749A" w:rsidRPr="004761E0" w:rsidRDefault="00E6749A" w:rsidP="00E6749A">
            <w:pPr>
              <w:ind w:firstLine="0"/>
              <w:jc w:val="right"/>
              <w:rPr>
                <w:rFonts w:eastAsia="Times New Roman"/>
                <w:bCs/>
                <w:color w:val="000000"/>
                <w:sz w:val="20"/>
                <w:szCs w:val="20"/>
                <w:lang w:eastAsia="ru-RU"/>
              </w:rPr>
            </w:pPr>
            <w:r w:rsidRPr="004761E0">
              <w:rPr>
                <w:color w:val="000000"/>
                <w:sz w:val="20"/>
                <w:szCs w:val="20"/>
              </w:rPr>
              <w:t>23,33 %</w:t>
            </w:r>
          </w:p>
        </w:tc>
      </w:tr>
    </w:tbl>
    <w:p w:rsidR="0001645A" w:rsidRPr="004761E0" w:rsidRDefault="0001645A" w:rsidP="0001645A">
      <w:pPr>
        <w:spacing w:before="120" w:after="120"/>
        <w:ind w:firstLine="0"/>
        <w:rPr>
          <w:rFonts w:eastAsia="Times New Roman"/>
          <w:b/>
          <w:iCs/>
          <w:color w:val="000000"/>
          <w:sz w:val="26"/>
          <w:szCs w:val="26"/>
          <w:lang w:eastAsia="ru-RU"/>
        </w:rPr>
      </w:pPr>
      <w:r w:rsidRPr="004761E0">
        <w:rPr>
          <w:rFonts w:eastAsia="Times New Roman"/>
          <w:b/>
          <w:iCs/>
          <w:noProof/>
          <w:color w:val="000000"/>
          <w:sz w:val="26"/>
          <w:szCs w:val="26"/>
          <w:lang w:eastAsia="ru-RU"/>
        </w:rPr>
        <w:lastRenderedPageBreak/>
        <w:drawing>
          <wp:inline distT="0" distB="0" distL="0" distR="0">
            <wp:extent cx="4286992" cy="3289465"/>
            <wp:effectExtent l="0" t="0" r="0" b="63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01645A" w:rsidRPr="004761E0" w:rsidRDefault="0001645A" w:rsidP="0001645A">
      <w:pPr>
        <w:ind w:firstLine="567"/>
        <w:rPr>
          <w:rFonts w:eastAsia="Times New Roman"/>
          <w:iCs/>
          <w:color w:val="000000"/>
          <w:sz w:val="26"/>
          <w:szCs w:val="26"/>
          <w:lang w:eastAsia="ru-RU"/>
        </w:rPr>
      </w:pPr>
      <w:r w:rsidRPr="004761E0">
        <w:rPr>
          <w:rFonts w:eastAsia="Times New Roman"/>
          <w:iCs/>
          <w:color w:val="000000"/>
          <w:sz w:val="26"/>
          <w:szCs w:val="26"/>
          <w:lang w:eastAsia="ru-RU"/>
        </w:rPr>
        <w:t>Уменьшение количества рассмотренных вопросов, связанных с выработкой долгосрочной стратегии, связано с утверждением программы приоритетных задач, которая содержит в себе комплексную информацию о целях и задачах, направленных на реализацию стратегии Общества, вследствие чего отсутствовала дальнейшая необходимость рассмотрения отдельных приоритетных направлений деятельности Общества.</w:t>
      </w:r>
    </w:p>
    <w:p w:rsidR="0001645A" w:rsidRPr="004761E0" w:rsidRDefault="0001645A" w:rsidP="0001645A">
      <w:pPr>
        <w:ind w:firstLine="567"/>
        <w:rPr>
          <w:rFonts w:eastAsia="Times New Roman"/>
          <w:iCs/>
          <w:color w:val="000000"/>
          <w:sz w:val="26"/>
          <w:szCs w:val="26"/>
          <w:lang w:eastAsia="ru-RU"/>
        </w:rPr>
      </w:pPr>
      <w:r w:rsidRPr="004761E0">
        <w:rPr>
          <w:rFonts w:eastAsia="Times New Roman"/>
          <w:iCs/>
          <w:color w:val="000000"/>
          <w:sz w:val="26"/>
          <w:szCs w:val="26"/>
          <w:lang w:eastAsia="ru-RU"/>
        </w:rPr>
        <w:t>Увеличение количества рассмотренных вопросов, связанных с утверждением/корректировкой финансовых документов, вызвано необходимостью корректировки значительной части программ в связи с заморозкой тарифов.</w:t>
      </w:r>
    </w:p>
    <w:p w:rsidR="0001645A" w:rsidRPr="004761E0" w:rsidRDefault="0001645A" w:rsidP="0001645A">
      <w:pPr>
        <w:ind w:firstLine="567"/>
        <w:rPr>
          <w:rFonts w:eastAsia="Times New Roman"/>
          <w:iCs/>
          <w:color w:val="000000"/>
          <w:sz w:val="26"/>
          <w:szCs w:val="26"/>
          <w:lang w:eastAsia="ru-RU"/>
        </w:rPr>
      </w:pPr>
      <w:r w:rsidRPr="004761E0">
        <w:rPr>
          <w:rFonts w:eastAsia="Times New Roman"/>
          <w:iCs/>
          <w:color w:val="000000"/>
          <w:sz w:val="26"/>
          <w:szCs w:val="26"/>
          <w:lang w:eastAsia="ru-RU"/>
        </w:rPr>
        <w:t xml:space="preserve">Уменьшение количества рассматриваемых вопросов в области корпоративного управления и контроля работы менеджмента связано с проведением оптимизации отчетов </w:t>
      </w:r>
      <w:r w:rsidR="003B2247">
        <w:rPr>
          <w:rFonts w:eastAsia="Times New Roman"/>
          <w:iCs/>
          <w:color w:val="000000"/>
          <w:sz w:val="26"/>
          <w:szCs w:val="26"/>
          <w:lang w:eastAsia="ru-RU"/>
        </w:rPr>
        <w:t>г</w:t>
      </w:r>
      <w:r w:rsidRPr="004761E0">
        <w:rPr>
          <w:rFonts w:eastAsia="Times New Roman"/>
          <w:iCs/>
          <w:color w:val="000000"/>
          <w:sz w:val="26"/>
          <w:szCs w:val="26"/>
          <w:lang w:eastAsia="ru-RU"/>
        </w:rPr>
        <w:t>енерального директора, отсутствием в 2013 году внеочередного Общего собрания акционеров и иными причинами.</w:t>
      </w:r>
    </w:p>
    <w:p w:rsidR="0001645A" w:rsidRPr="004761E0" w:rsidRDefault="0001645A" w:rsidP="0001645A">
      <w:pPr>
        <w:ind w:firstLine="567"/>
        <w:rPr>
          <w:rFonts w:eastAsia="Times New Roman"/>
          <w:iCs/>
          <w:color w:val="000000"/>
          <w:sz w:val="26"/>
          <w:szCs w:val="26"/>
          <w:lang w:eastAsia="ru-RU"/>
        </w:rPr>
      </w:pPr>
      <w:r w:rsidRPr="004761E0">
        <w:rPr>
          <w:rFonts w:eastAsia="Times New Roman"/>
          <w:iCs/>
          <w:color w:val="000000"/>
          <w:sz w:val="26"/>
          <w:szCs w:val="26"/>
          <w:lang w:eastAsia="ru-RU"/>
        </w:rPr>
        <w:t xml:space="preserve">Рост количества рассмотренных вопросов по одобрению сделок обусловлен  заключением большего числа договоров с заинтересованными лицами, в первую очередь в связи с увеличением количества соглашений компенсации потерь с </w:t>
      </w:r>
      <w:r w:rsidR="0008080E">
        <w:rPr>
          <w:rFonts w:eastAsia="Times New Roman"/>
          <w:iCs/>
          <w:color w:val="000000"/>
          <w:sz w:val="26"/>
          <w:szCs w:val="26"/>
          <w:lang w:eastAsia="ru-RU"/>
        </w:rPr>
        <w:t>ОАО </w:t>
      </w:r>
      <w:r w:rsidRPr="004761E0">
        <w:rPr>
          <w:rFonts w:eastAsia="Times New Roman"/>
          <w:iCs/>
          <w:color w:val="000000"/>
          <w:sz w:val="26"/>
          <w:szCs w:val="26"/>
          <w:lang w:eastAsia="ru-RU"/>
        </w:rPr>
        <w:t xml:space="preserve">«МОЭСК» и мировых соглашений </w:t>
      </w:r>
      <w:r w:rsidR="0008080E">
        <w:rPr>
          <w:rFonts w:eastAsia="Times New Roman"/>
          <w:iCs/>
          <w:color w:val="000000"/>
          <w:sz w:val="26"/>
          <w:szCs w:val="26"/>
          <w:lang w:eastAsia="ru-RU"/>
        </w:rPr>
        <w:t>ОАО </w:t>
      </w:r>
      <w:r w:rsidRPr="004761E0">
        <w:rPr>
          <w:rFonts w:eastAsia="Times New Roman"/>
          <w:iCs/>
          <w:color w:val="000000"/>
          <w:sz w:val="26"/>
          <w:szCs w:val="26"/>
          <w:lang w:eastAsia="ru-RU"/>
        </w:rPr>
        <w:t>«Мосэнергосбыт».</w:t>
      </w:r>
    </w:p>
    <w:p w:rsidR="00551AA6" w:rsidRDefault="00551AA6" w:rsidP="008E3C2C">
      <w:pPr>
        <w:spacing w:before="120" w:after="120"/>
        <w:ind w:firstLine="567"/>
        <w:rPr>
          <w:b/>
          <w:sz w:val="26"/>
          <w:szCs w:val="26"/>
        </w:rPr>
      </w:pPr>
      <w:r w:rsidRPr="008E3C2C">
        <w:rPr>
          <w:b/>
          <w:sz w:val="26"/>
          <w:szCs w:val="26"/>
        </w:rPr>
        <w:t>Средний процент участия членов Совета директоров в заседаниях</w:t>
      </w:r>
    </w:p>
    <w:tbl>
      <w:tblPr>
        <w:tblW w:w="9936" w:type="dxa"/>
        <w:tblInd w:w="95" w:type="dxa"/>
        <w:tblLook w:val="04A0"/>
      </w:tblPr>
      <w:tblGrid>
        <w:gridCol w:w="580"/>
        <w:gridCol w:w="4820"/>
        <w:gridCol w:w="1134"/>
        <w:gridCol w:w="1134"/>
        <w:gridCol w:w="1134"/>
        <w:gridCol w:w="1134"/>
      </w:tblGrid>
      <w:tr w:rsidR="00924551" w:rsidRPr="004761E0" w:rsidTr="005C4306">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924551" w:rsidRPr="004761E0" w:rsidRDefault="00924551" w:rsidP="005C4306">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48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924551" w:rsidRPr="004761E0" w:rsidRDefault="00924551" w:rsidP="005C4306">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924551" w:rsidRPr="004761E0" w:rsidRDefault="00924551" w:rsidP="005C4306">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924551" w:rsidRPr="004761E0" w:rsidRDefault="00924551" w:rsidP="005C4306">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924551" w:rsidRPr="004761E0" w:rsidRDefault="00924551" w:rsidP="005C4306">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924551" w:rsidRPr="004761E0" w:rsidRDefault="00924551" w:rsidP="005C4306">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924551" w:rsidRPr="004761E0" w:rsidTr="005C4306">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24551" w:rsidRPr="004761E0" w:rsidRDefault="00924551" w:rsidP="007076A7">
            <w:pPr>
              <w:numPr>
                <w:ilvl w:val="0"/>
                <w:numId w:val="23"/>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tcPr>
          <w:p w:rsidR="00924551" w:rsidRPr="004761E0" w:rsidRDefault="00924551" w:rsidP="00D701B7">
            <w:pPr>
              <w:ind w:firstLine="0"/>
              <w:jc w:val="left"/>
              <w:rPr>
                <w:rFonts w:eastAsia="Times New Roman"/>
                <w:color w:val="211D1E"/>
                <w:sz w:val="20"/>
                <w:szCs w:val="20"/>
                <w:lang w:eastAsia="ru-RU"/>
              </w:rPr>
            </w:pPr>
            <w:r w:rsidRPr="004761E0">
              <w:rPr>
                <w:rFonts w:eastAsia="Times New Roman"/>
                <w:color w:val="211D1E"/>
                <w:sz w:val="20"/>
                <w:szCs w:val="20"/>
                <w:lang w:eastAsia="ru-RU"/>
              </w:rPr>
              <w:t>Состоявшихся заседаний Совета директоров (всего), в т.ч.:</w:t>
            </w:r>
          </w:p>
        </w:tc>
        <w:tc>
          <w:tcPr>
            <w:tcW w:w="1134" w:type="dxa"/>
            <w:tcBorders>
              <w:top w:val="nil"/>
              <w:left w:val="nil"/>
              <w:bottom w:val="single" w:sz="4" w:space="0" w:color="auto"/>
              <w:right w:val="single" w:sz="4" w:space="0" w:color="auto"/>
            </w:tcBorders>
            <w:shd w:val="clear" w:color="auto" w:fill="auto"/>
            <w:vAlign w:val="center"/>
          </w:tcPr>
          <w:p w:rsidR="00924551" w:rsidRPr="004761E0" w:rsidRDefault="00924551" w:rsidP="005C4306">
            <w:pPr>
              <w:ind w:firstLine="0"/>
              <w:jc w:val="right"/>
              <w:rPr>
                <w:rFonts w:eastAsia="Times New Roman"/>
                <w:color w:val="000000"/>
                <w:sz w:val="20"/>
                <w:szCs w:val="20"/>
                <w:lang w:eastAsia="ru-RU"/>
              </w:rPr>
            </w:pPr>
            <w:r w:rsidRPr="004761E0">
              <w:rPr>
                <w:rFonts w:eastAsia="Times New Roman"/>
                <w:color w:val="000000"/>
                <w:sz w:val="20"/>
                <w:szCs w:val="20"/>
                <w:lang w:eastAsia="ru-RU"/>
              </w:rPr>
              <w:t>32</w:t>
            </w:r>
          </w:p>
        </w:tc>
        <w:tc>
          <w:tcPr>
            <w:tcW w:w="1134" w:type="dxa"/>
            <w:tcBorders>
              <w:top w:val="nil"/>
              <w:left w:val="nil"/>
              <w:bottom w:val="single" w:sz="4" w:space="0" w:color="auto"/>
              <w:right w:val="single" w:sz="4" w:space="0" w:color="auto"/>
            </w:tcBorders>
            <w:shd w:val="clear" w:color="auto" w:fill="auto"/>
            <w:vAlign w:val="center"/>
          </w:tcPr>
          <w:p w:rsidR="00924551" w:rsidRPr="004761E0" w:rsidRDefault="00924551" w:rsidP="005C4306">
            <w:pPr>
              <w:ind w:firstLine="0"/>
              <w:jc w:val="right"/>
              <w:rPr>
                <w:rFonts w:eastAsia="Times New Roman"/>
                <w:color w:val="000000"/>
                <w:sz w:val="20"/>
                <w:szCs w:val="20"/>
                <w:lang w:eastAsia="ru-RU"/>
              </w:rPr>
            </w:pPr>
            <w:r w:rsidRPr="004761E0">
              <w:rPr>
                <w:rFonts w:eastAsia="Times New Roman"/>
                <w:color w:val="000000"/>
                <w:sz w:val="20"/>
                <w:szCs w:val="20"/>
                <w:lang w:eastAsia="ru-RU"/>
              </w:rPr>
              <w:t>34</w:t>
            </w:r>
          </w:p>
        </w:tc>
        <w:tc>
          <w:tcPr>
            <w:tcW w:w="1134" w:type="dxa"/>
            <w:tcBorders>
              <w:top w:val="nil"/>
              <w:left w:val="nil"/>
              <w:bottom w:val="single" w:sz="4" w:space="0" w:color="auto"/>
              <w:right w:val="single" w:sz="4" w:space="0" w:color="auto"/>
            </w:tcBorders>
            <w:shd w:val="clear" w:color="auto" w:fill="auto"/>
            <w:vAlign w:val="center"/>
          </w:tcPr>
          <w:p w:rsidR="00924551" w:rsidRPr="004761E0" w:rsidRDefault="00924551" w:rsidP="005C430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28</w:t>
            </w:r>
          </w:p>
        </w:tc>
        <w:tc>
          <w:tcPr>
            <w:tcW w:w="1134" w:type="dxa"/>
            <w:tcBorders>
              <w:top w:val="nil"/>
              <w:left w:val="nil"/>
              <w:bottom w:val="single" w:sz="4" w:space="0" w:color="auto"/>
              <w:right w:val="single" w:sz="4" w:space="0" w:color="auto"/>
            </w:tcBorders>
            <w:shd w:val="clear" w:color="auto" w:fill="auto"/>
            <w:vAlign w:val="center"/>
          </w:tcPr>
          <w:p w:rsidR="00924551" w:rsidRPr="004761E0" w:rsidRDefault="00924551" w:rsidP="005C4306">
            <w:pPr>
              <w:ind w:firstLine="0"/>
              <w:jc w:val="right"/>
              <w:rPr>
                <w:rFonts w:eastAsia="Times New Roman"/>
                <w:color w:val="000000"/>
                <w:sz w:val="20"/>
                <w:szCs w:val="20"/>
                <w:lang w:eastAsia="ru-RU"/>
              </w:rPr>
            </w:pPr>
            <w:r w:rsidRPr="004761E0">
              <w:rPr>
                <w:rFonts w:eastAsia="Times New Roman"/>
                <w:color w:val="000000"/>
                <w:sz w:val="20"/>
                <w:szCs w:val="20"/>
                <w:lang w:eastAsia="ru-RU"/>
              </w:rPr>
              <w:t>-17,65 %</w:t>
            </w:r>
          </w:p>
        </w:tc>
      </w:tr>
      <w:tr w:rsidR="00924551" w:rsidRPr="004761E0" w:rsidTr="005C4306">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24551" w:rsidRPr="004761E0" w:rsidRDefault="00924551" w:rsidP="007076A7">
            <w:pPr>
              <w:pStyle w:val="a5"/>
              <w:numPr>
                <w:ilvl w:val="1"/>
                <w:numId w:val="23"/>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tcPr>
          <w:p w:rsidR="00924551" w:rsidRPr="004761E0" w:rsidRDefault="00924551" w:rsidP="005C4306">
            <w:pPr>
              <w:ind w:firstLineChars="200" w:firstLine="400"/>
              <w:jc w:val="left"/>
              <w:rPr>
                <w:rFonts w:eastAsia="Times New Roman"/>
                <w:color w:val="211D1E"/>
                <w:sz w:val="20"/>
                <w:szCs w:val="20"/>
                <w:lang w:eastAsia="ru-RU"/>
              </w:rPr>
            </w:pPr>
            <w:r w:rsidRPr="004761E0">
              <w:rPr>
                <w:rFonts w:eastAsia="Times New Roman"/>
                <w:color w:val="211D1E"/>
                <w:sz w:val="20"/>
                <w:szCs w:val="20"/>
                <w:lang w:eastAsia="ru-RU"/>
              </w:rPr>
              <w:t xml:space="preserve">в </w:t>
            </w:r>
            <w:r w:rsidRPr="004761E0">
              <w:rPr>
                <w:rFonts w:eastAsia="Times New Roman"/>
                <w:color w:val="000000"/>
                <w:sz w:val="20"/>
                <w:szCs w:val="20"/>
                <w:lang w:eastAsia="ru-RU"/>
              </w:rPr>
              <w:t>очной</w:t>
            </w:r>
            <w:r w:rsidRPr="004761E0">
              <w:rPr>
                <w:rFonts w:eastAsia="Times New Roman"/>
                <w:color w:val="333333"/>
                <w:sz w:val="20"/>
                <w:szCs w:val="20"/>
                <w:lang w:eastAsia="ru-RU"/>
              </w:rPr>
              <w:t xml:space="preserve"> форме</w:t>
            </w:r>
          </w:p>
        </w:tc>
        <w:tc>
          <w:tcPr>
            <w:tcW w:w="1134" w:type="dxa"/>
            <w:tcBorders>
              <w:top w:val="nil"/>
              <w:left w:val="nil"/>
              <w:bottom w:val="single" w:sz="4" w:space="0" w:color="auto"/>
              <w:right w:val="single" w:sz="4" w:space="0" w:color="auto"/>
            </w:tcBorders>
            <w:shd w:val="clear" w:color="auto" w:fill="auto"/>
            <w:vAlign w:val="center"/>
          </w:tcPr>
          <w:p w:rsidR="00924551" w:rsidRPr="004761E0" w:rsidRDefault="00924551" w:rsidP="005C4306">
            <w:pPr>
              <w:ind w:firstLine="0"/>
              <w:jc w:val="right"/>
              <w:rPr>
                <w:rFonts w:eastAsia="Times New Roman"/>
                <w:color w:val="000000"/>
                <w:sz w:val="20"/>
                <w:szCs w:val="20"/>
                <w:lang w:eastAsia="ru-RU"/>
              </w:rPr>
            </w:pPr>
            <w:r w:rsidRPr="004761E0">
              <w:rPr>
                <w:rFonts w:eastAsia="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tcPr>
          <w:p w:rsidR="00924551" w:rsidRPr="004761E0" w:rsidRDefault="00924551" w:rsidP="005C4306">
            <w:pPr>
              <w:ind w:firstLine="0"/>
              <w:jc w:val="right"/>
              <w:rPr>
                <w:rFonts w:eastAsia="Times New Roman"/>
                <w:color w:val="000000"/>
                <w:sz w:val="20"/>
                <w:szCs w:val="20"/>
                <w:lang w:eastAsia="ru-RU"/>
              </w:rPr>
            </w:pPr>
            <w:r w:rsidRPr="004761E0">
              <w:rPr>
                <w:rFonts w:eastAsia="Times New Roman"/>
                <w:color w:val="000000"/>
                <w:sz w:val="20"/>
                <w:szCs w:val="20"/>
                <w:lang w:eastAsia="ru-RU"/>
              </w:rPr>
              <w:t>7</w:t>
            </w:r>
          </w:p>
        </w:tc>
        <w:tc>
          <w:tcPr>
            <w:tcW w:w="1134" w:type="dxa"/>
            <w:tcBorders>
              <w:top w:val="nil"/>
              <w:left w:val="nil"/>
              <w:bottom w:val="single" w:sz="4" w:space="0" w:color="auto"/>
              <w:right w:val="single" w:sz="4" w:space="0" w:color="auto"/>
            </w:tcBorders>
            <w:shd w:val="clear" w:color="auto" w:fill="auto"/>
            <w:vAlign w:val="center"/>
          </w:tcPr>
          <w:p w:rsidR="00924551" w:rsidRPr="004761E0" w:rsidRDefault="00924551" w:rsidP="005C430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vAlign w:val="center"/>
          </w:tcPr>
          <w:p w:rsidR="00924551" w:rsidRPr="004761E0" w:rsidRDefault="00924551" w:rsidP="005C4306">
            <w:pPr>
              <w:ind w:firstLine="0"/>
              <w:jc w:val="right"/>
              <w:rPr>
                <w:rFonts w:eastAsia="Times New Roman"/>
                <w:color w:val="000000"/>
                <w:sz w:val="20"/>
                <w:szCs w:val="20"/>
                <w:lang w:eastAsia="ru-RU"/>
              </w:rPr>
            </w:pPr>
            <w:r w:rsidRPr="004761E0">
              <w:rPr>
                <w:rFonts w:eastAsia="Times New Roman"/>
                <w:color w:val="000000"/>
                <w:sz w:val="20"/>
                <w:szCs w:val="20"/>
                <w:lang w:eastAsia="ru-RU"/>
              </w:rPr>
              <w:t>-57,14 %</w:t>
            </w:r>
          </w:p>
        </w:tc>
      </w:tr>
      <w:tr w:rsidR="00924551" w:rsidRPr="004761E0" w:rsidTr="005C4306">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24551" w:rsidRPr="004761E0" w:rsidRDefault="00924551" w:rsidP="007076A7">
            <w:pPr>
              <w:numPr>
                <w:ilvl w:val="0"/>
                <w:numId w:val="23"/>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tcPr>
          <w:p w:rsidR="00924551" w:rsidRPr="004761E0" w:rsidRDefault="00924551" w:rsidP="005C4306">
            <w:pPr>
              <w:ind w:firstLine="0"/>
              <w:jc w:val="left"/>
              <w:rPr>
                <w:rFonts w:eastAsia="Times New Roman"/>
                <w:color w:val="211D1E"/>
                <w:sz w:val="20"/>
                <w:szCs w:val="20"/>
                <w:lang w:eastAsia="ru-RU"/>
              </w:rPr>
            </w:pPr>
            <w:r w:rsidRPr="004761E0">
              <w:rPr>
                <w:rFonts w:eastAsia="Times New Roman"/>
                <w:color w:val="211D1E"/>
                <w:sz w:val="20"/>
                <w:szCs w:val="20"/>
                <w:lang w:eastAsia="ru-RU"/>
              </w:rPr>
              <w:t>Средний процент участия, %</w:t>
            </w:r>
          </w:p>
        </w:tc>
        <w:tc>
          <w:tcPr>
            <w:tcW w:w="1134" w:type="dxa"/>
            <w:tcBorders>
              <w:top w:val="nil"/>
              <w:left w:val="nil"/>
              <w:bottom w:val="single" w:sz="4" w:space="0" w:color="auto"/>
              <w:right w:val="single" w:sz="4" w:space="0" w:color="auto"/>
            </w:tcBorders>
            <w:shd w:val="clear" w:color="auto" w:fill="auto"/>
            <w:vAlign w:val="center"/>
          </w:tcPr>
          <w:p w:rsidR="00924551" w:rsidRPr="004761E0" w:rsidRDefault="00924551" w:rsidP="005C4306">
            <w:pPr>
              <w:ind w:firstLine="0"/>
              <w:jc w:val="right"/>
              <w:rPr>
                <w:rFonts w:eastAsia="Times New Roman"/>
                <w:color w:val="000000"/>
                <w:sz w:val="20"/>
                <w:szCs w:val="20"/>
                <w:lang w:eastAsia="ru-RU"/>
              </w:rPr>
            </w:pPr>
            <w:r w:rsidRPr="004761E0">
              <w:rPr>
                <w:rFonts w:eastAsia="Times New Roman"/>
                <w:color w:val="000000"/>
                <w:sz w:val="20"/>
                <w:szCs w:val="20"/>
                <w:lang w:eastAsia="ru-RU"/>
              </w:rPr>
              <w:t>86,9</w:t>
            </w:r>
          </w:p>
        </w:tc>
        <w:tc>
          <w:tcPr>
            <w:tcW w:w="1134" w:type="dxa"/>
            <w:tcBorders>
              <w:top w:val="nil"/>
              <w:left w:val="nil"/>
              <w:bottom w:val="single" w:sz="4" w:space="0" w:color="auto"/>
              <w:right w:val="single" w:sz="4" w:space="0" w:color="auto"/>
            </w:tcBorders>
            <w:shd w:val="clear" w:color="auto" w:fill="auto"/>
            <w:vAlign w:val="center"/>
          </w:tcPr>
          <w:p w:rsidR="00924551" w:rsidRPr="004761E0" w:rsidRDefault="00924551" w:rsidP="005C4306">
            <w:pPr>
              <w:ind w:firstLine="0"/>
              <w:jc w:val="right"/>
              <w:rPr>
                <w:rFonts w:eastAsia="Times New Roman"/>
                <w:color w:val="000000"/>
                <w:sz w:val="20"/>
                <w:szCs w:val="20"/>
                <w:lang w:eastAsia="ru-RU"/>
              </w:rPr>
            </w:pPr>
            <w:r w:rsidRPr="004761E0">
              <w:rPr>
                <w:rFonts w:eastAsia="Times New Roman"/>
                <w:color w:val="000000"/>
                <w:sz w:val="20"/>
                <w:szCs w:val="20"/>
                <w:lang w:eastAsia="ru-RU"/>
              </w:rPr>
              <w:t>82,3</w:t>
            </w:r>
          </w:p>
        </w:tc>
        <w:tc>
          <w:tcPr>
            <w:tcW w:w="1134" w:type="dxa"/>
            <w:tcBorders>
              <w:top w:val="nil"/>
              <w:left w:val="nil"/>
              <w:bottom w:val="single" w:sz="4" w:space="0" w:color="auto"/>
              <w:right w:val="single" w:sz="4" w:space="0" w:color="auto"/>
            </w:tcBorders>
            <w:shd w:val="clear" w:color="auto" w:fill="auto"/>
            <w:vAlign w:val="center"/>
          </w:tcPr>
          <w:p w:rsidR="00924551" w:rsidRPr="004761E0" w:rsidRDefault="00924551" w:rsidP="005C430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92,6</w:t>
            </w:r>
          </w:p>
        </w:tc>
        <w:tc>
          <w:tcPr>
            <w:tcW w:w="1134" w:type="dxa"/>
            <w:tcBorders>
              <w:top w:val="nil"/>
              <w:left w:val="nil"/>
              <w:bottom w:val="single" w:sz="4" w:space="0" w:color="auto"/>
              <w:right w:val="single" w:sz="4" w:space="0" w:color="auto"/>
            </w:tcBorders>
            <w:shd w:val="clear" w:color="auto" w:fill="auto"/>
            <w:vAlign w:val="center"/>
          </w:tcPr>
          <w:p w:rsidR="00924551" w:rsidRPr="004761E0" w:rsidRDefault="00924551" w:rsidP="005C4306">
            <w:pPr>
              <w:ind w:firstLine="0"/>
              <w:jc w:val="right"/>
              <w:rPr>
                <w:rFonts w:eastAsia="Times New Roman"/>
                <w:color w:val="000000"/>
                <w:sz w:val="20"/>
                <w:szCs w:val="20"/>
                <w:lang w:eastAsia="ru-RU"/>
              </w:rPr>
            </w:pPr>
            <w:r w:rsidRPr="004761E0">
              <w:rPr>
                <w:rFonts w:eastAsia="Times New Roman"/>
                <w:color w:val="000000"/>
                <w:sz w:val="20"/>
                <w:szCs w:val="20"/>
                <w:lang w:eastAsia="ru-RU"/>
              </w:rPr>
              <w:t>10,30 п.п.</w:t>
            </w:r>
          </w:p>
        </w:tc>
      </w:tr>
    </w:tbl>
    <w:p w:rsidR="00924551" w:rsidRPr="00924551" w:rsidRDefault="00924551" w:rsidP="00924551">
      <w:pPr>
        <w:ind w:firstLine="567"/>
        <w:rPr>
          <w:sz w:val="26"/>
          <w:szCs w:val="26"/>
        </w:rPr>
      </w:pPr>
      <w:r w:rsidRPr="00924551">
        <w:rPr>
          <w:rFonts w:eastAsia="Times New Roman"/>
          <w:iCs/>
          <w:color w:val="000000"/>
          <w:sz w:val="26"/>
          <w:szCs w:val="26"/>
          <w:lang w:eastAsia="ru-RU"/>
        </w:rPr>
        <w:t>Подробная информация об участии членов Совета директоров в заседаниях в отчетном году представлена в Приложении 12.</w:t>
      </w:r>
      <w:r w:rsidR="003146BC">
        <w:rPr>
          <w:rFonts w:eastAsia="Times New Roman"/>
          <w:iCs/>
          <w:color w:val="000000"/>
          <w:sz w:val="26"/>
          <w:szCs w:val="26"/>
          <w:lang w:eastAsia="ru-RU"/>
        </w:rPr>
        <w:t>2</w:t>
      </w:r>
      <w:r w:rsidRPr="00924551">
        <w:rPr>
          <w:rFonts w:eastAsia="Times New Roman"/>
          <w:iCs/>
          <w:color w:val="000000"/>
          <w:sz w:val="26"/>
          <w:szCs w:val="26"/>
          <w:lang w:eastAsia="ru-RU"/>
        </w:rPr>
        <w:t>. к Годовому отчету.</w:t>
      </w:r>
    </w:p>
    <w:p w:rsidR="00551AA6" w:rsidRPr="004761E0" w:rsidRDefault="00551AA6" w:rsidP="00551AA6">
      <w:pPr>
        <w:ind w:firstLine="0"/>
        <w:rPr>
          <w:sz w:val="26"/>
          <w:szCs w:val="26"/>
          <w:lang w:eastAsia="ru-RU"/>
        </w:rPr>
      </w:pPr>
      <w:r w:rsidRPr="004761E0">
        <w:rPr>
          <w:b/>
          <w:noProof/>
          <w:sz w:val="26"/>
          <w:szCs w:val="26"/>
          <w:lang w:eastAsia="ru-RU"/>
        </w:rPr>
        <w:lastRenderedPageBreak/>
        <w:drawing>
          <wp:inline distT="0" distB="0" distL="0" distR="0">
            <wp:extent cx="2361063" cy="2483892"/>
            <wp:effectExtent l="0" t="0" r="20320" b="1206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r w:rsidRPr="004761E0">
        <w:rPr>
          <w:sz w:val="26"/>
          <w:szCs w:val="26"/>
          <w:lang w:eastAsia="ru-RU"/>
        </w:rPr>
        <w:t xml:space="preserve"> </w:t>
      </w:r>
      <w:r w:rsidRPr="004761E0">
        <w:rPr>
          <w:b/>
          <w:noProof/>
          <w:sz w:val="26"/>
          <w:szCs w:val="26"/>
          <w:lang w:eastAsia="ru-RU"/>
        </w:rPr>
        <w:drawing>
          <wp:inline distT="0" distB="0" distL="0" distR="0">
            <wp:extent cx="2183642" cy="2497541"/>
            <wp:effectExtent l="0" t="0" r="26670" b="1714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E6749A" w:rsidRPr="004761E0" w:rsidRDefault="00E6749A" w:rsidP="008E3C2C">
      <w:pPr>
        <w:spacing w:before="120" w:after="120"/>
        <w:ind w:firstLine="567"/>
        <w:rPr>
          <w:b/>
          <w:sz w:val="26"/>
          <w:szCs w:val="26"/>
        </w:rPr>
      </w:pPr>
      <w:r w:rsidRPr="008E3C2C">
        <w:rPr>
          <w:b/>
          <w:sz w:val="26"/>
          <w:szCs w:val="26"/>
        </w:rPr>
        <w:t>Особенности принятия решений Советом директоров</w:t>
      </w:r>
    </w:p>
    <w:tbl>
      <w:tblPr>
        <w:tblW w:w="9936" w:type="dxa"/>
        <w:tblInd w:w="95" w:type="dxa"/>
        <w:tblLook w:val="04A0"/>
      </w:tblPr>
      <w:tblGrid>
        <w:gridCol w:w="580"/>
        <w:gridCol w:w="4820"/>
        <w:gridCol w:w="1134"/>
        <w:gridCol w:w="1134"/>
        <w:gridCol w:w="1134"/>
        <w:gridCol w:w="1134"/>
      </w:tblGrid>
      <w:tr w:rsidR="00E6749A" w:rsidRPr="004761E0" w:rsidTr="002C5A29">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E6749A" w:rsidRPr="004761E0" w:rsidRDefault="00E6749A" w:rsidP="002C5A29">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48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E6749A" w:rsidRPr="004761E0" w:rsidRDefault="00E6749A" w:rsidP="002C5A29">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E6749A" w:rsidRPr="004761E0" w:rsidRDefault="00E6749A" w:rsidP="002C5A2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E6749A" w:rsidRPr="004761E0" w:rsidRDefault="00E6749A" w:rsidP="002C5A2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E6749A" w:rsidRPr="004761E0" w:rsidRDefault="00E6749A" w:rsidP="002C5A2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E6749A" w:rsidRPr="004761E0" w:rsidRDefault="00E6749A" w:rsidP="002C5A2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E6749A" w:rsidRPr="004761E0" w:rsidTr="00E6749A">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E6749A" w:rsidRPr="004761E0" w:rsidRDefault="00E6749A" w:rsidP="007076A7">
            <w:pPr>
              <w:numPr>
                <w:ilvl w:val="0"/>
                <w:numId w:val="223"/>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bottom"/>
          </w:tcPr>
          <w:p w:rsidR="00E6749A" w:rsidRPr="004761E0" w:rsidRDefault="00E6749A" w:rsidP="002C5A29">
            <w:pPr>
              <w:ind w:firstLine="0"/>
              <w:jc w:val="left"/>
              <w:rPr>
                <w:rFonts w:eastAsia="Times New Roman"/>
                <w:color w:val="000000"/>
                <w:sz w:val="20"/>
                <w:szCs w:val="20"/>
                <w:lang w:eastAsia="ru-RU"/>
              </w:rPr>
            </w:pPr>
            <w:r w:rsidRPr="004761E0">
              <w:rPr>
                <w:rFonts w:eastAsia="Times New Roman"/>
                <w:color w:val="000000"/>
                <w:sz w:val="20"/>
                <w:szCs w:val="20"/>
                <w:lang w:eastAsia="ru-RU"/>
              </w:rPr>
              <w:t>Количество рассмотренных вопросов, шт. (всего), в т.ч.:</w:t>
            </w:r>
          </w:p>
        </w:tc>
        <w:tc>
          <w:tcPr>
            <w:tcW w:w="1134" w:type="dxa"/>
            <w:tcBorders>
              <w:top w:val="nil"/>
              <w:left w:val="nil"/>
              <w:bottom w:val="single" w:sz="4" w:space="0" w:color="auto"/>
              <w:right w:val="single" w:sz="4" w:space="0" w:color="auto"/>
            </w:tcBorders>
            <w:shd w:val="clear" w:color="auto" w:fill="auto"/>
            <w:vAlign w:val="center"/>
          </w:tcPr>
          <w:p w:rsidR="00E6749A" w:rsidRPr="004761E0" w:rsidRDefault="00E6749A" w:rsidP="002C5A29">
            <w:pPr>
              <w:ind w:firstLine="0"/>
              <w:jc w:val="right"/>
              <w:rPr>
                <w:rFonts w:eastAsia="Times New Roman"/>
                <w:color w:val="000000"/>
                <w:sz w:val="20"/>
                <w:szCs w:val="20"/>
                <w:lang w:eastAsia="ru-RU"/>
              </w:rPr>
            </w:pPr>
            <w:r w:rsidRPr="004761E0">
              <w:rPr>
                <w:sz w:val="20"/>
                <w:szCs w:val="20"/>
              </w:rPr>
              <w:t>388</w:t>
            </w:r>
          </w:p>
        </w:tc>
        <w:tc>
          <w:tcPr>
            <w:tcW w:w="1134" w:type="dxa"/>
            <w:tcBorders>
              <w:top w:val="nil"/>
              <w:left w:val="nil"/>
              <w:bottom w:val="single" w:sz="4" w:space="0" w:color="auto"/>
              <w:right w:val="single" w:sz="4" w:space="0" w:color="auto"/>
            </w:tcBorders>
            <w:shd w:val="clear" w:color="auto" w:fill="auto"/>
            <w:vAlign w:val="center"/>
          </w:tcPr>
          <w:p w:rsidR="00E6749A" w:rsidRPr="004761E0" w:rsidRDefault="00E6749A" w:rsidP="002C5A29">
            <w:pPr>
              <w:ind w:firstLine="0"/>
              <w:jc w:val="right"/>
              <w:rPr>
                <w:rFonts w:eastAsia="Times New Roman"/>
                <w:color w:val="000000"/>
                <w:sz w:val="20"/>
                <w:szCs w:val="20"/>
                <w:lang w:eastAsia="ru-RU"/>
              </w:rPr>
            </w:pPr>
            <w:r w:rsidRPr="004761E0">
              <w:rPr>
                <w:sz w:val="20"/>
                <w:szCs w:val="20"/>
              </w:rPr>
              <w:t>410</w:t>
            </w:r>
          </w:p>
        </w:tc>
        <w:tc>
          <w:tcPr>
            <w:tcW w:w="1134" w:type="dxa"/>
            <w:tcBorders>
              <w:top w:val="nil"/>
              <w:left w:val="nil"/>
              <w:bottom w:val="single" w:sz="4" w:space="0" w:color="auto"/>
              <w:right w:val="single" w:sz="4" w:space="0" w:color="auto"/>
            </w:tcBorders>
            <w:shd w:val="clear" w:color="auto" w:fill="auto"/>
            <w:vAlign w:val="center"/>
          </w:tcPr>
          <w:p w:rsidR="00E6749A" w:rsidRPr="004761E0" w:rsidRDefault="00E6749A" w:rsidP="002C5A29">
            <w:pPr>
              <w:ind w:firstLine="0"/>
              <w:jc w:val="right"/>
              <w:rPr>
                <w:rFonts w:eastAsia="Times New Roman"/>
                <w:bCs/>
                <w:color w:val="000000"/>
                <w:sz w:val="20"/>
                <w:szCs w:val="20"/>
                <w:lang w:eastAsia="ru-RU"/>
              </w:rPr>
            </w:pPr>
            <w:r w:rsidRPr="004761E0">
              <w:rPr>
                <w:rFonts w:eastAsia="Times New Roman"/>
                <w:bCs/>
                <w:color w:val="000000"/>
                <w:sz w:val="20"/>
                <w:szCs w:val="20"/>
                <w:lang w:val="en-US" w:eastAsia="ru-RU"/>
              </w:rPr>
              <w:t>393</w:t>
            </w:r>
            <w:r w:rsidRPr="004761E0">
              <w:rPr>
                <w:rFonts w:eastAsia="Times New Roman"/>
                <w:bCs/>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tcPr>
          <w:p w:rsidR="00E6749A" w:rsidRPr="004761E0" w:rsidRDefault="00E6749A" w:rsidP="00E6749A">
            <w:pPr>
              <w:ind w:firstLine="0"/>
              <w:jc w:val="right"/>
              <w:rPr>
                <w:color w:val="000000"/>
                <w:sz w:val="20"/>
                <w:szCs w:val="20"/>
              </w:rPr>
            </w:pPr>
            <w:r w:rsidRPr="004761E0">
              <w:rPr>
                <w:color w:val="000000"/>
                <w:sz w:val="20"/>
                <w:szCs w:val="20"/>
              </w:rPr>
              <w:t>-4,15</w:t>
            </w:r>
            <w:r w:rsidR="00D33BA6" w:rsidRPr="004761E0">
              <w:rPr>
                <w:color w:val="000000"/>
                <w:sz w:val="20"/>
                <w:szCs w:val="20"/>
              </w:rPr>
              <w:t xml:space="preserve"> </w:t>
            </w:r>
            <w:r w:rsidRPr="004761E0">
              <w:rPr>
                <w:color w:val="000000"/>
                <w:sz w:val="20"/>
                <w:szCs w:val="20"/>
              </w:rPr>
              <w:t>%</w:t>
            </w:r>
          </w:p>
        </w:tc>
      </w:tr>
      <w:tr w:rsidR="00E6749A" w:rsidRPr="004761E0" w:rsidTr="00E6749A">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E6749A" w:rsidRPr="004761E0" w:rsidRDefault="00E6749A" w:rsidP="007076A7">
            <w:pPr>
              <w:pStyle w:val="a5"/>
              <w:numPr>
                <w:ilvl w:val="1"/>
                <w:numId w:val="223"/>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tcPr>
          <w:p w:rsidR="00E6749A" w:rsidRPr="004761E0" w:rsidRDefault="00E6749A" w:rsidP="002C5A29">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 xml:space="preserve">принято положительных решений </w:t>
            </w:r>
          </w:p>
        </w:tc>
        <w:tc>
          <w:tcPr>
            <w:tcW w:w="1134" w:type="dxa"/>
            <w:tcBorders>
              <w:top w:val="nil"/>
              <w:left w:val="nil"/>
              <w:bottom w:val="single" w:sz="4" w:space="0" w:color="auto"/>
              <w:right w:val="single" w:sz="4" w:space="0" w:color="auto"/>
            </w:tcBorders>
            <w:shd w:val="clear" w:color="auto" w:fill="auto"/>
            <w:vAlign w:val="center"/>
          </w:tcPr>
          <w:p w:rsidR="00E6749A" w:rsidRPr="004761E0" w:rsidRDefault="00E6749A" w:rsidP="002C5A29">
            <w:pPr>
              <w:ind w:firstLine="0"/>
              <w:jc w:val="right"/>
              <w:rPr>
                <w:rFonts w:eastAsia="Times New Roman"/>
                <w:color w:val="000000"/>
                <w:sz w:val="20"/>
                <w:szCs w:val="20"/>
                <w:lang w:eastAsia="ru-RU"/>
              </w:rPr>
            </w:pPr>
            <w:r w:rsidRPr="004761E0">
              <w:rPr>
                <w:rFonts w:eastAsia="Times New Roman"/>
                <w:color w:val="000000"/>
                <w:sz w:val="20"/>
                <w:szCs w:val="20"/>
                <w:lang w:eastAsia="ru-RU"/>
              </w:rPr>
              <w:t>331</w:t>
            </w:r>
          </w:p>
        </w:tc>
        <w:tc>
          <w:tcPr>
            <w:tcW w:w="1134" w:type="dxa"/>
            <w:tcBorders>
              <w:top w:val="nil"/>
              <w:left w:val="nil"/>
              <w:bottom w:val="single" w:sz="4" w:space="0" w:color="auto"/>
              <w:right w:val="single" w:sz="4" w:space="0" w:color="auto"/>
            </w:tcBorders>
            <w:shd w:val="clear" w:color="auto" w:fill="auto"/>
            <w:vAlign w:val="center"/>
          </w:tcPr>
          <w:p w:rsidR="00E6749A" w:rsidRPr="004761E0" w:rsidRDefault="00E6749A" w:rsidP="002C5A29">
            <w:pPr>
              <w:ind w:firstLine="0"/>
              <w:jc w:val="right"/>
              <w:rPr>
                <w:rFonts w:eastAsia="Times New Roman"/>
                <w:color w:val="000000"/>
                <w:sz w:val="20"/>
                <w:szCs w:val="20"/>
                <w:lang w:eastAsia="ru-RU"/>
              </w:rPr>
            </w:pPr>
            <w:r w:rsidRPr="004761E0">
              <w:rPr>
                <w:rFonts w:eastAsia="Times New Roman"/>
                <w:color w:val="000000"/>
                <w:sz w:val="20"/>
                <w:szCs w:val="20"/>
                <w:lang w:eastAsia="ru-RU"/>
              </w:rPr>
              <w:t>365 </w:t>
            </w:r>
          </w:p>
        </w:tc>
        <w:tc>
          <w:tcPr>
            <w:tcW w:w="1134" w:type="dxa"/>
            <w:tcBorders>
              <w:top w:val="nil"/>
              <w:left w:val="nil"/>
              <w:bottom w:val="single" w:sz="4" w:space="0" w:color="auto"/>
              <w:right w:val="single" w:sz="4" w:space="0" w:color="auto"/>
            </w:tcBorders>
            <w:shd w:val="clear" w:color="auto" w:fill="auto"/>
            <w:vAlign w:val="center"/>
          </w:tcPr>
          <w:p w:rsidR="00E6749A" w:rsidRPr="004761E0" w:rsidRDefault="00E6749A" w:rsidP="002C5A29">
            <w:pPr>
              <w:ind w:firstLine="0"/>
              <w:jc w:val="right"/>
              <w:rPr>
                <w:rFonts w:eastAsia="Times New Roman"/>
                <w:bCs/>
                <w:color w:val="000000"/>
                <w:sz w:val="20"/>
                <w:szCs w:val="20"/>
                <w:lang w:eastAsia="ru-RU"/>
              </w:rPr>
            </w:pPr>
            <w:r w:rsidRPr="004761E0">
              <w:rPr>
                <w:rFonts w:eastAsia="Times New Roman"/>
                <w:bCs/>
                <w:color w:val="000000"/>
                <w:sz w:val="20"/>
                <w:szCs w:val="20"/>
                <w:lang w:val="en-US" w:eastAsia="ru-RU"/>
              </w:rPr>
              <w:t>367</w:t>
            </w:r>
            <w:r w:rsidRPr="004761E0">
              <w:rPr>
                <w:rFonts w:eastAsia="Times New Roman"/>
                <w:bCs/>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tcPr>
          <w:p w:rsidR="00E6749A" w:rsidRPr="004761E0" w:rsidRDefault="00E6749A" w:rsidP="00E6749A">
            <w:pPr>
              <w:ind w:firstLine="0"/>
              <w:jc w:val="right"/>
              <w:rPr>
                <w:color w:val="000000"/>
                <w:sz w:val="20"/>
                <w:szCs w:val="20"/>
              </w:rPr>
            </w:pPr>
            <w:r w:rsidRPr="004761E0">
              <w:rPr>
                <w:color w:val="000000"/>
                <w:sz w:val="20"/>
                <w:szCs w:val="20"/>
              </w:rPr>
              <w:t>0,55</w:t>
            </w:r>
            <w:r w:rsidR="00D33BA6" w:rsidRPr="004761E0">
              <w:rPr>
                <w:color w:val="000000"/>
                <w:sz w:val="20"/>
                <w:szCs w:val="20"/>
              </w:rPr>
              <w:t xml:space="preserve"> </w:t>
            </w:r>
            <w:r w:rsidRPr="004761E0">
              <w:rPr>
                <w:color w:val="000000"/>
                <w:sz w:val="20"/>
                <w:szCs w:val="20"/>
              </w:rPr>
              <w:t>%</w:t>
            </w:r>
          </w:p>
        </w:tc>
      </w:tr>
      <w:tr w:rsidR="00E6749A" w:rsidRPr="004761E0" w:rsidTr="00E6749A">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49A" w:rsidRPr="004761E0" w:rsidRDefault="00E6749A" w:rsidP="007076A7">
            <w:pPr>
              <w:pStyle w:val="a5"/>
              <w:numPr>
                <w:ilvl w:val="1"/>
                <w:numId w:val="223"/>
              </w:numPr>
              <w:jc w:val="left"/>
              <w:rPr>
                <w:rFonts w:eastAsia="Times New Roman"/>
                <w:color w:val="000000"/>
                <w:sz w:val="20"/>
                <w:szCs w:val="20"/>
                <w:lang w:eastAsia="ru-RU"/>
              </w:rPr>
            </w:pPr>
          </w:p>
        </w:tc>
        <w:tc>
          <w:tcPr>
            <w:tcW w:w="4820" w:type="dxa"/>
            <w:tcBorders>
              <w:top w:val="single" w:sz="4" w:space="0" w:color="auto"/>
              <w:left w:val="nil"/>
              <w:bottom w:val="single" w:sz="4" w:space="0" w:color="auto"/>
              <w:right w:val="single" w:sz="4" w:space="0" w:color="auto"/>
            </w:tcBorders>
            <w:shd w:val="clear" w:color="auto" w:fill="auto"/>
            <w:vAlign w:val="center"/>
          </w:tcPr>
          <w:p w:rsidR="00E6749A" w:rsidRPr="004761E0" w:rsidRDefault="00E6749A" w:rsidP="002C5A29">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не принято решений</w:t>
            </w:r>
          </w:p>
        </w:tc>
        <w:tc>
          <w:tcPr>
            <w:tcW w:w="1134" w:type="dxa"/>
            <w:tcBorders>
              <w:top w:val="single" w:sz="4" w:space="0" w:color="auto"/>
              <w:left w:val="nil"/>
              <w:bottom w:val="single" w:sz="4" w:space="0" w:color="auto"/>
              <w:right w:val="single" w:sz="4" w:space="0" w:color="auto"/>
            </w:tcBorders>
            <w:shd w:val="clear" w:color="auto" w:fill="auto"/>
            <w:vAlign w:val="center"/>
          </w:tcPr>
          <w:p w:rsidR="00E6749A" w:rsidRPr="004761E0" w:rsidRDefault="00E6749A" w:rsidP="002C5A29">
            <w:pPr>
              <w:ind w:firstLine="0"/>
              <w:jc w:val="right"/>
              <w:rPr>
                <w:rFonts w:eastAsia="Times New Roman"/>
                <w:color w:val="000000"/>
                <w:sz w:val="20"/>
                <w:szCs w:val="20"/>
                <w:lang w:eastAsia="ru-RU"/>
              </w:rPr>
            </w:pPr>
            <w:r w:rsidRPr="004761E0">
              <w:rPr>
                <w:rFonts w:eastAsia="Times New Roman"/>
                <w:color w:val="000000"/>
                <w:sz w:val="20"/>
                <w:szCs w:val="20"/>
                <w:lang w:eastAsia="ru-RU"/>
              </w:rPr>
              <w:t>22 </w:t>
            </w:r>
          </w:p>
        </w:tc>
        <w:tc>
          <w:tcPr>
            <w:tcW w:w="1134" w:type="dxa"/>
            <w:tcBorders>
              <w:top w:val="single" w:sz="4" w:space="0" w:color="auto"/>
              <w:left w:val="nil"/>
              <w:bottom w:val="single" w:sz="4" w:space="0" w:color="auto"/>
              <w:right w:val="single" w:sz="4" w:space="0" w:color="auto"/>
            </w:tcBorders>
            <w:shd w:val="clear" w:color="auto" w:fill="auto"/>
            <w:vAlign w:val="center"/>
          </w:tcPr>
          <w:p w:rsidR="00E6749A" w:rsidRPr="004761E0" w:rsidRDefault="00E6749A" w:rsidP="002C5A29">
            <w:pPr>
              <w:ind w:firstLine="0"/>
              <w:jc w:val="right"/>
              <w:rPr>
                <w:rFonts w:eastAsia="Times New Roman"/>
                <w:color w:val="000000"/>
                <w:sz w:val="20"/>
                <w:szCs w:val="20"/>
                <w:lang w:eastAsia="ru-RU"/>
              </w:rPr>
            </w:pPr>
            <w:r w:rsidRPr="004761E0">
              <w:rPr>
                <w:rFonts w:eastAsia="Times New Roman"/>
                <w:color w:val="000000"/>
                <w:sz w:val="20"/>
                <w:szCs w:val="20"/>
                <w:lang w:eastAsia="ru-RU"/>
              </w:rPr>
              <w:t>17 </w:t>
            </w:r>
          </w:p>
        </w:tc>
        <w:tc>
          <w:tcPr>
            <w:tcW w:w="1134" w:type="dxa"/>
            <w:tcBorders>
              <w:top w:val="single" w:sz="4" w:space="0" w:color="auto"/>
              <w:left w:val="nil"/>
              <w:bottom w:val="single" w:sz="4" w:space="0" w:color="auto"/>
              <w:right w:val="single" w:sz="4" w:space="0" w:color="auto"/>
            </w:tcBorders>
            <w:shd w:val="clear" w:color="auto" w:fill="auto"/>
            <w:vAlign w:val="center"/>
          </w:tcPr>
          <w:p w:rsidR="00E6749A" w:rsidRPr="004761E0" w:rsidRDefault="00E6749A" w:rsidP="002C5A29">
            <w:pPr>
              <w:ind w:firstLine="0"/>
              <w:jc w:val="right"/>
              <w:rPr>
                <w:rFonts w:eastAsia="Times New Roman"/>
                <w:bCs/>
                <w:color w:val="000000"/>
                <w:sz w:val="20"/>
                <w:szCs w:val="20"/>
                <w:lang w:val="en-US" w:eastAsia="ru-RU"/>
              </w:rPr>
            </w:pPr>
            <w:r w:rsidRPr="004761E0">
              <w:rPr>
                <w:rFonts w:eastAsia="Times New Roman"/>
                <w:bCs/>
                <w:color w:val="000000"/>
                <w:sz w:val="20"/>
                <w:szCs w:val="20"/>
                <w:lang w:val="en-US" w:eastAsia="ru-RU"/>
              </w:rPr>
              <w:t>5</w:t>
            </w:r>
          </w:p>
        </w:tc>
        <w:tc>
          <w:tcPr>
            <w:tcW w:w="1134" w:type="dxa"/>
            <w:tcBorders>
              <w:top w:val="single" w:sz="4" w:space="0" w:color="auto"/>
              <w:left w:val="nil"/>
              <w:bottom w:val="single" w:sz="4" w:space="0" w:color="auto"/>
              <w:right w:val="single" w:sz="4" w:space="0" w:color="auto"/>
            </w:tcBorders>
            <w:shd w:val="clear" w:color="auto" w:fill="auto"/>
            <w:vAlign w:val="center"/>
          </w:tcPr>
          <w:p w:rsidR="00E6749A" w:rsidRPr="004761E0" w:rsidRDefault="00E6749A" w:rsidP="00E6749A">
            <w:pPr>
              <w:ind w:firstLine="0"/>
              <w:jc w:val="right"/>
              <w:rPr>
                <w:color w:val="000000"/>
                <w:sz w:val="20"/>
                <w:szCs w:val="20"/>
              </w:rPr>
            </w:pPr>
            <w:r w:rsidRPr="004761E0">
              <w:rPr>
                <w:color w:val="000000"/>
                <w:sz w:val="20"/>
                <w:szCs w:val="20"/>
              </w:rPr>
              <w:t>-70,59</w:t>
            </w:r>
            <w:r w:rsidR="00D33BA6" w:rsidRPr="004761E0">
              <w:rPr>
                <w:color w:val="000000"/>
                <w:sz w:val="20"/>
                <w:szCs w:val="20"/>
              </w:rPr>
              <w:t xml:space="preserve"> </w:t>
            </w:r>
            <w:r w:rsidRPr="004761E0">
              <w:rPr>
                <w:color w:val="000000"/>
                <w:sz w:val="20"/>
                <w:szCs w:val="20"/>
              </w:rPr>
              <w:t>%</w:t>
            </w:r>
          </w:p>
        </w:tc>
      </w:tr>
      <w:tr w:rsidR="00E6749A" w:rsidRPr="004761E0" w:rsidTr="00D33BA6">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E6749A" w:rsidRPr="004761E0" w:rsidRDefault="00E6749A" w:rsidP="007076A7">
            <w:pPr>
              <w:pStyle w:val="a5"/>
              <w:numPr>
                <w:ilvl w:val="1"/>
                <w:numId w:val="223"/>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tcPr>
          <w:p w:rsidR="00E6749A" w:rsidRPr="004761E0" w:rsidRDefault="00E6749A" w:rsidP="002C5A29">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перенесено на более поздний срок</w:t>
            </w:r>
          </w:p>
        </w:tc>
        <w:tc>
          <w:tcPr>
            <w:tcW w:w="1134" w:type="dxa"/>
            <w:tcBorders>
              <w:top w:val="nil"/>
              <w:left w:val="nil"/>
              <w:bottom w:val="single" w:sz="4" w:space="0" w:color="auto"/>
              <w:right w:val="single" w:sz="4" w:space="0" w:color="auto"/>
            </w:tcBorders>
            <w:shd w:val="clear" w:color="auto" w:fill="auto"/>
            <w:vAlign w:val="center"/>
          </w:tcPr>
          <w:p w:rsidR="00E6749A" w:rsidRPr="004761E0" w:rsidRDefault="00E6749A" w:rsidP="002C5A29">
            <w:pPr>
              <w:ind w:firstLine="0"/>
              <w:jc w:val="right"/>
              <w:rPr>
                <w:rFonts w:eastAsia="Times New Roman"/>
                <w:color w:val="000000"/>
                <w:sz w:val="20"/>
                <w:szCs w:val="20"/>
                <w:lang w:eastAsia="ru-RU"/>
              </w:rPr>
            </w:pPr>
            <w:r w:rsidRPr="004761E0">
              <w:rPr>
                <w:rFonts w:eastAsia="Times New Roman"/>
                <w:color w:val="000000"/>
                <w:sz w:val="20"/>
                <w:szCs w:val="20"/>
                <w:lang w:eastAsia="ru-RU"/>
              </w:rPr>
              <w:t> 35</w:t>
            </w:r>
          </w:p>
        </w:tc>
        <w:tc>
          <w:tcPr>
            <w:tcW w:w="1134" w:type="dxa"/>
            <w:tcBorders>
              <w:top w:val="nil"/>
              <w:left w:val="nil"/>
              <w:bottom w:val="single" w:sz="4" w:space="0" w:color="auto"/>
              <w:right w:val="single" w:sz="4" w:space="0" w:color="auto"/>
            </w:tcBorders>
            <w:shd w:val="clear" w:color="auto" w:fill="auto"/>
            <w:vAlign w:val="center"/>
          </w:tcPr>
          <w:p w:rsidR="00E6749A" w:rsidRPr="004761E0" w:rsidRDefault="00E6749A" w:rsidP="002C5A29">
            <w:pPr>
              <w:ind w:firstLine="0"/>
              <w:jc w:val="right"/>
              <w:rPr>
                <w:rFonts w:eastAsia="Times New Roman"/>
                <w:color w:val="000000"/>
                <w:sz w:val="20"/>
                <w:szCs w:val="20"/>
                <w:lang w:eastAsia="ru-RU"/>
              </w:rPr>
            </w:pPr>
            <w:r w:rsidRPr="004761E0">
              <w:rPr>
                <w:rFonts w:eastAsia="Times New Roman"/>
                <w:color w:val="000000"/>
                <w:sz w:val="20"/>
                <w:szCs w:val="20"/>
                <w:lang w:eastAsia="ru-RU"/>
              </w:rPr>
              <w:t>28 </w:t>
            </w:r>
          </w:p>
        </w:tc>
        <w:tc>
          <w:tcPr>
            <w:tcW w:w="1134" w:type="dxa"/>
            <w:tcBorders>
              <w:top w:val="nil"/>
              <w:left w:val="nil"/>
              <w:bottom w:val="single" w:sz="4" w:space="0" w:color="auto"/>
              <w:right w:val="single" w:sz="4" w:space="0" w:color="auto"/>
            </w:tcBorders>
            <w:shd w:val="clear" w:color="auto" w:fill="auto"/>
            <w:vAlign w:val="center"/>
          </w:tcPr>
          <w:p w:rsidR="00E6749A" w:rsidRPr="004761E0" w:rsidRDefault="00E6749A" w:rsidP="002C5A29">
            <w:pPr>
              <w:ind w:firstLine="0"/>
              <w:jc w:val="right"/>
              <w:rPr>
                <w:rFonts w:eastAsia="Times New Roman"/>
                <w:bCs/>
                <w:color w:val="000000"/>
                <w:sz w:val="20"/>
                <w:szCs w:val="20"/>
                <w:lang w:val="en-US" w:eastAsia="ru-RU"/>
              </w:rPr>
            </w:pPr>
            <w:r w:rsidRPr="004761E0">
              <w:rPr>
                <w:rFonts w:eastAsia="Times New Roman"/>
                <w:bCs/>
                <w:color w:val="000000"/>
                <w:sz w:val="20"/>
                <w:szCs w:val="20"/>
                <w:lang w:val="en-US" w:eastAsia="ru-RU"/>
              </w:rPr>
              <w:t>21</w:t>
            </w:r>
          </w:p>
        </w:tc>
        <w:tc>
          <w:tcPr>
            <w:tcW w:w="1134" w:type="dxa"/>
            <w:tcBorders>
              <w:top w:val="nil"/>
              <w:left w:val="nil"/>
              <w:bottom w:val="single" w:sz="4" w:space="0" w:color="auto"/>
              <w:right w:val="single" w:sz="4" w:space="0" w:color="auto"/>
            </w:tcBorders>
            <w:shd w:val="clear" w:color="auto" w:fill="auto"/>
            <w:vAlign w:val="center"/>
          </w:tcPr>
          <w:p w:rsidR="00E6749A" w:rsidRPr="004761E0" w:rsidRDefault="00E6749A" w:rsidP="00E6749A">
            <w:pPr>
              <w:ind w:firstLine="0"/>
              <w:jc w:val="right"/>
              <w:rPr>
                <w:color w:val="000000"/>
                <w:sz w:val="20"/>
                <w:szCs w:val="20"/>
              </w:rPr>
            </w:pPr>
            <w:r w:rsidRPr="004761E0">
              <w:rPr>
                <w:color w:val="000000"/>
                <w:sz w:val="20"/>
                <w:szCs w:val="20"/>
              </w:rPr>
              <w:t>-25,00</w:t>
            </w:r>
            <w:r w:rsidR="00D33BA6" w:rsidRPr="004761E0">
              <w:rPr>
                <w:color w:val="000000"/>
                <w:sz w:val="20"/>
                <w:szCs w:val="20"/>
              </w:rPr>
              <w:t xml:space="preserve"> </w:t>
            </w:r>
            <w:r w:rsidRPr="004761E0">
              <w:rPr>
                <w:color w:val="000000"/>
                <w:sz w:val="20"/>
                <w:szCs w:val="20"/>
              </w:rPr>
              <w:t>%</w:t>
            </w:r>
          </w:p>
        </w:tc>
      </w:tr>
      <w:tr w:rsidR="00D33BA6" w:rsidRPr="004761E0" w:rsidTr="00D33BA6">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3BA6" w:rsidRPr="004761E0" w:rsidRDefault="00D33BA6" w:rsidP="007076A7">
            <w:pPr>
              <w:numPr>
                <w:ilvl w:val="0"/>
                <w:numId w:val="223"/>
              </w:numPr>
              <w:jc w:val="left"/>
              <w:rPr>
                <w:rFonts w:eastAsia="Times New Roman"/>
                <w:color w:val="000000"/>
                <w:sz w:val="20"/>
                <w:szCs w:val="20"/>
                <w:lang w:eastAsia="ru-RU"/>
              </w:rPr>
            </w:pPr>
          </w:p>
        </w:tc>
        <w:tc>
          <w:tcPr>
            <w:tcW w:w="4820" w:type="dxa"/>
            <w:tcBorders>
              <w:top w:val="single" w:sz="4" w:space="0" w:color="auto"/>
              <w:left w:val="nil"/>
              <w:bottom w:val="single" w:sz="4" w:space="0" w:color="auto"/>
              <w:right w:val="single" w:sz="4" w:space="0" w:color="auto"/>
            </w:tcBorders>
            <w:shd w:val="clear" w:color="auto" w:fill="auto"/>
            <w:vAlign w:val="center"/>
          </w:tcPr>
          <w:p w:rsidR="00D33BA6" w:rsidRPr="004761E0" w:rsidRDefault="00D33BA6" w:rsidP="002C5A29">
            <w:pPr>
              <w:ind w:firstLine="0"/>
              <w:jc w:val="left"/>
              <w:rPr>
                <w:rFonts w:eastAsia="Times New Roman"/>
                <w:color w:val="000000"/>
                <w:sz w:val="20"/>
                <w:szCs w:val="20"/>
                <w:lang w:eastAsia="ru-RU"/>
              </w:rPr>
            </w:pPr>
            <w:r w:rsidRPr="004761E0">
              <w:rPr>
                <w:rFonts w:eastAsia="Times New Roman"/>
                <w:color w:val="000000"/>
                <w:sz w:val="20"/>
                <w:szCs w:val="20"/>
                <w:lang w:eastAsia="ru-RU"/>
              </w:rPr>
              <w:t>Количество рассмотренных вопросов, шт. (всего), в т.ч.:</w:t>
            </w:r>
          </w:p>
        </w:tc>
        <w:tc>
          <w:tcPr>
            <w:tcW w:w="1134" w:type="dxa"/>
            <w:tcBorders>
              <w:top w:val="single" w:sz="4" w:space="0" w:color="auto"/>
              <w:left w:val="nil"/>
              <w:bottom w:val="single" w:sz="4" w:space="0" w:color="auto"/>
              <w:right w:val="single" w:sz="4" w:space="0" w:color="auto"/>
            </w:tcBorders>
            <w:shd w:val="clear" w:color="auto" w:fill="auto"/>
            <w:vAlign w:val="center"/>
          </w:tcPr>
          <w:p w:rsidR="00D33BA6" w:rsidRPr="004761E0" w:rsidRDefault="00D33BA6" w:rsidP="002C5A29">
            <w:pPr>
              <w:ind w:firstLine="0"/>
              <w:jc w:val="right"/>
              <w:rPr>
                <w:rFonts w:eastAsia="Times New Roman"/>
                <w:color w:val="000000"/>
                <w:sz w:val="20"/>
                <w:szCs w:val="20"/>
                <w:lang w:eastAsia="ru-RU"/>
              </w:rPr>
            </w:pPr>
            <w:r w:rsidRPr="004761E0">
              <w:rPr>
                <w:sz w:val="20"/>
                <w:szCs w:val="20"/>
              </w:rPr>
              <w:t>388</w:t>
            </w:r>
          </w:p>
        </w:tc>
        <w:tc>
          <w:tcPr>
            <w:tcW w:w="1134" w:type="dxa"/>
            <w:tcBorders>
              <w:top w:val="single" w:sz="4" w:space="0" w:color="auto"/>
              <w:left w:val="nil"/>
              <w:bottom w:val="single" w:sz="4" w:space="0" w:color="auto"/>
              <w:right w:val="single" w:sz="4" w:space="0" w:color="auto"/>
            </w:tcBorders>
            <w:shd w:val="clear" w:color="auto" w:fill="auto"/>
            <w:vAlign w:val="center"/>
          </w:tcPr>
          <w:p w:rsidR="00D33BA6" w:rsidRPr="004761E0" w:rsidRDefault="00D33BA6" w:rsidP="002C5A29">
            <w:pPr>
              <w:ind w:firstLine="0"/>
              <w:jc w:val="right"/>
              <w:rPr>
                <w:rFonts w:eastAsia="Times New Roman"/>
                <w:color w:val="000000"/>
                <w:sz w:val="20"/>
                <w:szCs w:val="20"/>
                <w:lang w:eastAsia="ru-RU"/>
              </w:rPr>
            </w:pPr>
            <w:r w:rsidRPr="004761E0">
              <w:rPr>
                <w:sz w:val="20"/>
                <w:szCs w:val="20"/>
              </w:rPr>
              <w:t>410</w:t>
            </w:r>
          </w:p>
        </w:tc>
        <w:tc>
          <w:tcPr>
            <w:tcW w:w="1134" w:type="dxa"/>
            <w:tcBorders>
              <w:top w:val="single" w:sz="4" w:space="0" w:color="auto"/>
              <w:left w:val="nil"/>
              <w:bottom w:val="single" w:sz="4" w:space="0" w:color="auto"/>
              <w:right w:val="single" w:sz="4" w:space="0" w:color="auto"/>
            </w:tcBorders>
            <w:shd w:val="clear" w:color="auto" w:fill="auto"/>
            <w:vAlign w:val="center"/>
          </w:tcPr>
          <w:p w:rsidR="00D33BA6" w:rsidRPr="004761E0" w:rsidRDefault="00D33BA6" w:rsidP="002C5A29">
            <w:pPr>
              <w:ind w:firstLine="0"/>
              <w:jc w:val="right"/>
              <w:rPr>
                <w:rFonts w:eastAsia="Times New Roman"/>
                <w:bCs/>
                <w:color w:val="000000"/>
                <w:sz w:val="20"/>
                <w:szCs w:val="20"/>
                <w:lang w:eastAsia="ru-RU"/>
              </w:rPr>
            </w:pPr>
            <w:r w:rsidRPr="004761E0">
              <w:rPr>
                <w:rFonts w:eastAsia="Times New Roman"/>
                <w:bCs/>
                <w:color w:val="000000"/>
                <w:sz w:val="20"/>
                <w:szCs w:val="20"/>
                <w:lang w:val="en-US" w:eastAsia="ru-RU"/>
              </w:rPr>
              <w:t>393</w:t>
            </w:r>
            <w:r w:rsidRPr="004761E0">
              <w:rPr>
                <w:rFonts w:eastAsia="Times New Roman"/>
                <w:bCs/>
                <w:color w:val="000000"/>
                <w:sz w:val="20"/>
                <w:szCs w:val="20"/>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tcPr>
          <w:p w:rsidR="00D33BA6" w:rsidRPr="004761E0" w:rsidRDefault="00D33BA6" w:rsidP="00D33BA6">
            <w:pPr>
              <w:ind w:firstLine="0"/>
              <w:jc w:val="right"/>
              <w:rPr>
                <w:color w:val="000000"/>
                <w:sz w:val="20"/>
                <w:szCs w:val="20"/>
              </w:rPr>
            </w:pPr>
            <w:r w:rsidRPr="004761E0">
              <w:rPr>
                <w:color w:val="000000"/>
                <w:sz w:val="20"/>
                <w:szCs w:val="20"/>
              </w:rPr>
              <w:t>-4,15</w:t>
            </w:r>
            <w:r w:rsidR="00E30CDF">
              <w:rPr>
                <w:color w:val="000000"/>
                <w:sz w:val="20"/>
                <w:szCs w:val="20"/>
              </w:rPr>
              <w:t xml:space="preserve"> </w:t>
            </w:r>
            <w:r w:rsidRPr="004761E0">
              <w:rPr>
                <w:color w:val="000000"/>
                <w:sz w:val="20"/>
                <w:szCs w:val="20"/>
              </w:rPr>
              <w:t>%</w:t>
            </w:r>
          </w:p>
        </w:tc>
      </w:tr>
      <w:tr w:rsidR="00D33BA6" w:rsidRPr="004761E0" w:rsidTr="00D33BA6">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3BA6" w:rsidRPr="004761E0" w:rsidRDefault="00D33BA6" w:rsidP="007076A7">
            <w:pPr>
              <w:pStyle w:val="a5"/>
              <w:numPr>
                <w:ilvl w:val="1"/>
                <w:numId w:val="223"/>
              </w:numPr>
              <w:jc w:val="left"/>
              <w:rPr>
                <w:rFonts w:eastAsia="Times New Roman"/>
                <w:color w:val="000000"/>
                <w:sz w:val="20"/>
                <w:szCs w:val="20"/>
                <w:lang w:eastAsia="ru-RU"/>
              </w:rPr>
            </w:pPr>
          </w:p>
        </w:tc>
        <w:tc>
          <w:tcPr>
            <w:tcW w:w="4820" w:type="dxa"/>
            <w:tcBorders>
              <w:top w:val="single" w:sz="4" w:space="0" w:color="auto"/>
              <w:left w:val="nil"/>
              <w:bottom w:val="single" w:sz="4" w:space="0" w:color="auto"/>
              <w:right w:val="single" w:sz="4" w:space="0" w:color="auto"/>
            </w:tcBorders>
            <w:shd w:val="clear" w:color="auto" w:fill="auto"/>
            <w:vAlign w:val="center"/>
          </w:tcPr>
          <w:p w:rsidR="00D33BA6" w:rsidRPr="004761E0" w:rsidRDefault="00D33BA6" w:rsidP="002C5A29">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единогласно</w:t>
            </w:r>
          </w:p>
        </w:tc>
        <w:tc>
          <w:tcPr>
            <w:tcW w:w="1134" w:type="dxa"/>
            <w:tcBorders>
              <w:top w:val="single" w:sz="4" w:space="0" w:color="auto"/>
              <w:left w:val="nil"/>
              <w:bottom w:val="single" w:sz="4" w:space="0" w:color="auto"/>
              <w:right w:val="single" w:sz="4" w:space="0" w:color="auto"/>
            </w:tcBorders>
            <w:shd w:val="clear" w:color="auto" w:fill="auto"/>
            <w:vAlign w:val="center"/>
          </w:tcPr>
          <w:p w:rsidR="00D33BA6" w:rsidRPr="004761E0" w:rsidRDefault="00D33BA6" w:rsidP="002C5A29">
            <w:pPr>
              <w:ind w:firstLine="0"/>
              <w:jc w:val="right"/>
              <w:rPr>
                <w:rFonts w:eastAsia="Times New Roman"/>
                <w:color w:val="000000"/>
                <w:sz w:val="20"/>
                <w:szCs w:val="20"/>
                <w:lang w:eastAsia="ru-RU"/>
              </w:rPr>
            </w:pPr>
            <w:r w:rsidRPr="004761E0">
              <w:rPr>
                <w:rFonts w:eastAsia="Times New Roman"/>
                <w:color w:val="000000"/>
                <w:sz w:val="20"/>
                <w:szCs w:val="20"/>
                <w:lang w:eastAsia="ru-RU"/>
              </w:rPr>
              <w:t>298 </w:t>
            </w:r>
          </w:p>
        </w:tc>
        <w:tc>
          <w:tcPr>
            <w:tcW w:w="1134" w:type="dxa"/>
            <w:tcBorders>
              <w:top w:val="single" w:sz="4" w:space="0" w:color="auto"/>
              <w:left w:val="nil"/>
              <w:bottom w:val="single" w:sz="4" w:space="0" w:color="auto"/>
              <w:right w:val="single" w:sz="4" w:space="0" w:color="auto"/>
            </w:tcBorders>
            <w:shd w:val="clear" w:color="auto" w:fill="auto"/>
            <w:vAlign w:val="center"/>
          </w:tcPr>
          <w:p w:rsidR="00D33BA6" w:rsidRPr="004761E0" w:rsidRDefault="00D33BA6" w:rsidP="002C5A29">
            <w:pPr>
              <w:ind w:firstLine="0"/>
              <w:jc w:val="right"/>
              <w:rPr>
                <w:rFonts w:eastAsia="Times New Roman"/>
                <w:color w:val="000000"/>
                <w:sz w:val="20"/>
                <w:szCs w:val="20"/>
                <w:lang w:eastAsia="ru-RU"/>
              </w:rPr>
            </w:pPr>
            <w:r w:rsidRPr="004761E0">
              <w:rPr>
                <w:rFonts w:eastAsia="Times New Roman"/>
                <w:color w:val="000000"/>
                <w:sz w:val="20"/>
                <w:szCs w:val="20"/>
                <w:lang w:eastAsia="ru-RU"/>
              </w:rPr>
              <w:t>298 </w:t>
            </w:r>
          </w:p>
        </w:tc>
        <w:tc>
          <w:tcPr>
            <w:tcW w:w="1134" w:type="dxa"/>
            <w:tcBorders>
              <w:top w:val="single" w:sz="4" w:space="0" w:color="auto"/>
              <w:left w:val="nil"/>
              <w:bottom w:val="single" w:sz="4" w:space="0" w:color="auto"/>
              <w:right w:val="single" w:sz="4" w:space="0" w:color="auto"/>
            </w:tcBorders>
            <w:shd w:val="clear" w:color="auto" w:fill="auto"/>
            <w:vAlign w:val="center"/>
          </w:tcPr>
          <w:p w:rsidR="00D33BA6" w:rsidRPr="004761E0" w:rsidRDefault="00D33BA6" w:rsidP="002C5A29">
            <w:pPr>
              <w:ind w:firstLine="0"/>
              <w:jc w:val="right"/>
              <w:rPr>
                <w:rFonts w:eastAsia="Times New Roman"/>
                <w:bCs/>
                <w:color w:val="000000"/>
                <w:sz w:val="20"/>
                <w:szCs w:val="20"/>
                <w:lang w:eastAsia="ru-RU"/>
              </w:rPr>
            </w:pPr>
            <w:r w:rsidRPr="004761E0">
              <w:rPr>
                <w:rFonts w:eastAsia="Times New Roman"/>
                <w:bCs/>
                <w:color w:val="000000"/>
                <w:sz w:val="20"/>
                <w:szCs w:val="20"/>
                <w:lang w:val="en-US" w:eastAsia="ru-RU"/>
              </w:rPr>
              <w:t>284</w:t>
            </w:r>
            <w:r w:rsidRPr="004761E0">
              <w:rPr>
                <w:rFonts w:eastAsia="Times New Roman"/>
                <w:bCs/>
                <w:color w:val="000000"/>
                <w:sz w:val="20"/>
                <w:szCs w:val="20"/>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tcPr>
          <w:p w:rsidR="00D33BA6" w:rsidRPr="004761E0" w:rsidRDefault="00D33BA6" w:rsidP="00D33BA6">
            <w:pPr>
              <w:ind w:firstLine="0"/>
              <w:jc w:val="right"/>
              <w:rPr>
                <w:color w:val="000000"/>
                <w:sz w:val="20"/>
                <w:szCs w:val="20"/>
              </w:rPr>
            </w:pPr>
            <w:r w:rsidRPr="004761E0">
              <w:rPr>
                <w:color w:val="000000"/>
                <w:sz w:val="20"/>
                <w:szCs w:val="20"/>
              </w:rPr>
              <w:t>-4,70</w:t>
            </w:r>
            <w:r w:rsidR="00E30CDF">
              <w:rPr>
                <w:color w:val="000000"/>
                <w:sz w:val="20"/>
                <w:szCs w:val="20"/>
              </w:rPr>
              <w:t xml:space="preserve"> </w:t>
            </w:r>
            <w:r w:rsidRPr="004761E0">
              <w:rPr>
                <w:color w:val="000000"/>
                <w:sz w:val="20"/>
                <w:szCs w:val="20"/>
              </w:rPr>
              <w:t>%</w:t>
            </w:r>
          </w:p>
        </w:tc>
      </w:tr>
      <w:tr w:rsidR="00D33BA6" w:rsidRPr="004761E0" w:rsidTr="00D33BA6">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3BA6" w:rsidRPr="004761E0" w:rsidRDefault="00D33BA6" w:rsidP="007076A7">
            <w:pPr>
              <w:pStyle w:val="a5"/>
              <w:numPr>
                <w:ilvl w:val="1"/>
                <w:numId w:val="223"/>
              </w:numPr>
              <w:jc w:val="left"/>
              <w:rPr>
                <w:rFonts w:eastAsia="Times New Roman"/>
                <w:color w:val="000000"/>
                <w:sz w:val="20"/>
                <w:szCs w:val="20"/>
                <w:lang w:eastAsia="ru-RU"/>
              </w:rPr>
            </w:pPr>
          </w:p>
        </w:tc>
        <w:tc>
          <w:tcPr>
            <w:tcW w:w="4820" w:type="dxa"/>
            <w:tcBorders>
              <w:top w:val="single" w:sz="4" w:space="0" w:color="auto"/>
              <w:left w:val="nil"/>
              <w:bottom w:val="single" w:sz="4" w:space="0" w:color="auto"/>
              <w:right w:val="single" w:sz="4" w:space="0" w:color="auto"/>
            </w:tcBorders>
            <w:shd w:val="clear" w:color="auto" w:fill="auto"/>
            <w:vAlign w:val="center"/>
          </w:tcPr>
          <w:p w:rsidR="00D33BA6" w:rsidRPr="004761E0" w:rsidRDefault="00D33BA6" w:rsidP="002C5A29">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иное</w:t>
            </w:r>
          </w:p>
        </w:tc>
        <w:tc>
          <w:tcPr>
            <w:tcW w:w="1134" w:type="dxa"/>
            <w:tcBorders>
              <w:top w:val="single" w:sz="4" w:space="0" w:color="auto"/>
              <w:left w:val="nil"/>
              <w:bottom w:val="single" w:sz="4" w:space="0" w:color="auto"/>
              <w:right w:val="single" w:sz="4" w:space="0" w:color="auto"/>
            </w:tcBorders>
            <w:shd w:val="clear" w:color="auto" w:fill="auto"/>
            <w:vAlign w:val="center"/>
          </w:tcPr>
          <w:p w:rsidR="00D33BA6" w:rsidRPr="004761E0" w:rsidRDefault="00D33BA6" w:rsidP="002C5A29">
            <w:pPr>
              <w:ind w:firstLine="0"/>
              <w:jc w:val="right"/>
              <w:rPr>
                <w:rFonts w:eastAsia="Times New Roman"/>
                <w:color w:val="000000"/>
                <w:sz w:val="20"/>
                <w:szCs w:val="20"/>
                <w:lang w:eastAsia="ru-RU"/>
              </w:rPr>
            </w:pPr>
            <w:r w:rsidRPr="004761E0">
              <w:rPr>
                <w:rFonts w:eastAsia="Times New Roman"/>
                <w:color w:val="000000"/>
                <w:sz w:val="20"/>
                <w:szCs w:val="20"/>
                <w:lang w:eastAsia="ru-RU"/>
              </w:rPr>
              <w:t>90</w:t>
            </w:r>
          </w:p>
        </w:tc>
        <w:tc>
          <w:tcPr>
            <w:tcW w:w="1134" w:type="dxa"/>
            <w:tcBorders>
              <w:top w:val="single" w:sz="4" w:space="0" w:color="auto"/>
              <w:left w:val="nil"/>
              <w:bottom w:val="single" w:sz="4" w:space="0" w:color="auto"/>
              <w:right w:val="single" w:sz="4" w:space="0" w:color="auto"/>
            </w:tcBorders>
            <w:shd w:val="clear" w:color="auto" w:fill="auto"/>
            <w:vAlign w:val="center"/>
          </w:tcPr>
          <w:p w:rsidR="00D33BA6" w:rsidRPr="004761E0" w:rsidRDefault="00D33BA6" w:rsidP="002C5A29">
            <w:pPr>
              <w:ind w:firstLine="0"/>
              <w:jc w:val="right"/>
              <w:rPr>
                <w:rFonts w:eastAsia="Times New Roman"/>
                <w:color w:val="000000"/>
                <w:sz w:val="20"/>
                <w:szCs w:val="20"/>
                <w:lang w:eastAsia="ru-RU"/>
              </w:rPr>
            </w:pPr>
            <w:r w:rsidRPr="004761E0">
              <w:rPr>
                <w:rFonts w:eastAsia="Times New Roman"/>
                <w:color w:val="000000"/>
                <w:sz w:val="20"/>
                <w:szCs w:val="20"/>
                <w:lang w:eastAsia="ru-RU"/>
              </w:rPr>
              <w:t>112 </w:t>
            </w:r>
          </w:p>
        </w:tc>
        <w:tc>
          <w:tcPr>
            <w:tcW w:w="1134" w:type="dxa"/>
            <w:tcBorders>
              <w:top w:val="single" w:sz="4" w:space="0" w:color="auto"/>
              <w:left w:val="nil"/>
              <w:bottom w:val="single" w:sz="4" w:space="0" w:color="auto"/>
              <w:right w:val="single" w:sz="4" w:space="0" w:color="auto"/>
            </w:tcBorders>
            <w:shd w:val="clear" w:color="auto" w:fill="auto"/>
            <w:vAlign w:val="center"/>
          </w:tcPr>
          <w:p w:rsidR="00D33BA6" w:rsidRPr="004761E0" w:rsidRDefault="00D33BA6" w:rsidP="002C5A29">
            <w:pPr>
              <w:ind w:firstLine="0"/>
              <w:jc w:val="right"/>
              <w:rPr>
                <w:rFonts w:eastAsia="Times New Roman"/>
                <w:bCs/>
                <w:color w:val="000000"/>
                <w:sz w:val="20"/>
                <w:szCs w:val="20"/>
                <w:lang w:eastAsia="ru-RU"/>
              </w:rPr>
            </w:pPr>
            <w:r w:rsidRPr="004761E0">
              <w:rPr>
                <w:rFonts w:eastAsia="Times New Roman"/>
                <w:bCs/>
                <w:color w:val="000000"/>
                <w:sz w:val="20"/>
                <w:szCs w:val="20"/>
                <w:lang w:val="en-US" w:eastAsia="ru-RU"/>
              </w:rPr>
              <w:t>109</w:t>
            </w:r>
            <w:r w:rsidRPr="004761E0">
              <w:rPr>
                <w:rFonts w:eastAsia="Times New Roman"/>
                <w:bCs/>
                <w:color w:val="000000"/>
                <w:sz w:val="20"/>
                <w:szCs w:val="20"/>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tcPr>
          <w:p w:rsidR="00D33BA6" w:rsidRPr="004761E0" w:rsidRDefault="00D33BA6" w:rsidP="00D33BA6">
            <w:pPr>
              <w:ind w:firstLine="0"/>
              <w:jc w:val="right"/>
              <w:rPr>
                <w:color w:val="000000"/>
                <w:sz w:val="20"/>
                <w:szCs w:val="20"/>
              </w:rPr>
            </w:pPr>
            <w:r w:rsidRPr="004761E0">
              <w:rPr>
                <w:color w:val="000000"/>
                <w:sz w:val="20"/>
                <w:szCs w:val="20"/>
              </w:rPr>
              <w:t>-2,68</w:t>
            </w:r>
            <w:r w:rsidR="00E30CDF">
              <w:rPr>
                <w:color w:val="000000"/>
                <w:sz w:val="20"/>
                <w:szCs w:val="20"/>
              </w:rPr>
              <w:t xml:space="preserve"> </w:t>
            </w:r>
            <w:r w:rsidRPr="004761E0">
              <w:rPr>
                <w:color w:val="000000"/>
                <w:sz w:val="20"/>
                <w:szCs w:val="20"/>
              </w:rPr>
              <w:t>%</w:t>
            </w:r>
          </w:p>
        </w:tc>
      </w:tr>
    </w:tbl>
    <w:p w:rsidR="00E6749A" w:rsidRPr="004761E0" w:rsidRDefault="00D33BA6" w:rsidP="00D33BA6">
      <w:pPr>
        <w:spacing w:before="120" w:after="120"/>
        <w:ind w:firstLine="0"/>
        <w:rPr>
          <w:rFonts w:eastAsia="Times New Roman"/>
          <w:b/>
          <w:iCs/>
          <w:color w:val="000000"/>
          <w:sz w:val="26"/>
          <w:szCs w:val="26"/>
          <w:lang w:eastAsia="ru-RU"/>
        </w:rPr>
      </w:pPr>
      <w:r w:rsidRPr="004761E0">
        <w:rPr>
          <w:rFonts w:eastAsia="Times New Roman"/>
          <w:b/>
          <w:iCs/>
          <w:noProof/>
          <w:color w:val="000000"/>
          <w:sz w:val="26"/>
          <w:szCs w:val="26"/>
          <w:lang w:eastAsia="ru-RU"/>
        </w:rPr>
        <w:drawing>
          <wp:inline distT="0" distB="0" distL="0" distR="0">
            <wp:extent cx="2962275" cy="3200400"/>
            <wp:effectExtent l="19050" t="0" r="9525" b="0"/>
            <wp:docPr id="242"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r w:rsidR="002E2553" w:rsidRPr="004761E0">
        <w:rPr>
          <w:rFonts w:eastAsia="Times New Roman"/>
          <w:b/>
          <w:iCs/>
          <w:color w:val="000000"/>
          <w:sz w:val="26"/>
          <w:szCs w:val="26"/>
          <w:lang w:eastAsia="ru-RU"/>
        </w:rPr>
        <w:t xml:space="preserve"> </w:t>
      </w:r>
      <w:r w:rsidR="002E2553" w:rsidRPr="004761E0">
        <w:rPr>
          <w:rFonts w:eastAsia="Times New Roman"/>
          <w:b/>
          <w:iCs/>
          <w:noProof/>
          <w:color w:val="000000"/>
          <w:sz w:val="26"/>
          <w:szCs w:val="26"/>
          <w:lang w:eastAsia="ru-RU"/>
        </w:rPr>
        <w:drawing>
          <wp:inline distT="0" distB="0" distL="0" distR="0">
            <wp:extent cx="2962275" cy="3200400"/>
            <wp:effectExtent l="19050" t="0" r="9525" b="0"/>
            <wp:docPr id="243"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CF5945" w:rsidRPr="004761E0" w:rsidRDefault="00CF5945" w:rsidP="008E3C2C">
      <w:pPr>
        <w:spacing w:before="120" w:after="120"/>
        <w:ind w:firstLine="567"/>
        <w:rPr>
          <w:rFonts w:eastAsia="Times New Roman"/>
          <w:b/>
          <w:iCs/>
          <w:color w:val="000000"/>
          <w:sz w:val="26"/>
          <w:szCs w:val="26"/>
          <w:lang w:eastAsia="ru-RU"/>
        </w:rPr>
      </w:pPr>
      <w:r w:rsidRPr="008E3C2C">
        <w:rPr>
          <w:b/>
          <w:sz w:val="26"/>
          <w:szCs w:val="26"/>
        </w:rPr>
        <w:t>Секретариат Совета директоров</w:t>
      </w:r>
    </w:p>
    <w:p w:rsidR="00CF5945" w:rsidRPr="004761E0" w:rsidRDefault="00CF5945" w:rsidP="00CF5945">
      <w:pPr>
        <w:ind w:firstLine="567"/>
        <w:rPr>
          <w:rFonts w:eastAsia="Times New Roman"/>
          <w:iCs/>
          <w:color w:val="000000"/>
          <w:sz w:val="26"/>
          <w:szCs w:val="26"/>
          <w:lang w:eastAsia="ru-RU"/>
        </w:rPr>
      </w:pPr>
      <w:r w:rsidRPr="004761E0">
        <w:rPr>
          <w:rFonts w:eastAsia="Times New Roman"/>
          <w:iCs/>
          <w:color w:val="000000"/>
          <w:sz w:val="26"/>
          <w:szCs w:val="26"/>
          <w:lang w:eastAsia="ru-RU"/>
        </w:rPr>
        <w:t>В целях технического обеспечения текущей деятельности Совета директоров в ра</w:t>
      </w:r>
      <w:r w:rsidR="00D701B7">
        <w:rPr>
          <w:rFonts w:eastAsia="Times New Roman"/>
          <w:iCs/>
          <w:color w:val="000000"/>
          <w:sz w:val="26"/>
          <w:szCs w:val="26"/>
          <w:lang w:eastAsia="ru-RU"/>
        </w:rPr>
        <w:t>м</w:t>
      </w:r>
      <w:r w:rsidRPr="004761E0">
        <w:rPr>
          <w:rFonts w:eastAsia="Times New Roman"/>
          <w:iCs/>
          <w:color w:val="000000"/>
          <w:sz w:val="26"/>
          <w:szCs w:val="26"/>
          <w:lang w:eastAsia="ru-RU"/>
        </w:rPr>
        <w:t xml:space="preserve">ках компетенции, определенной Уставом и Положением о порядке созыва </w:t>
      </w:r>
      <w:r w:rsidR="00890059" w:rsidRPr="004761E0">
        <w:rPr>
          <w:rFonts w:eastAsia="Times New Roman"/>
          <w:iCs/>
          <w:color w:val="000000"/>
          <w:sz w:val="26"/>
          <w:szCs w:val="26"/>
          <w:lang w:eastAsia="ru-RU"/>
        </w:rPr>
        <w:t xml:space="preserve">и </w:t>
      </w:r>
      <w:r w:rsidRPr="004761E0">
        <w:rPr>
          <w:rFonts w:eastAsia="Times New Roman"/>
          <w:iCs/>
          <w:color w:val="000000"/>
          <w:sz w:val="26"/>
          <w:szCs w:val="26"/>
          <w:lang w:eastAsia="ru-RU"/>
        </w:rPr>
        <w:lastRenderedPageBreak/>
        <w:t>проведения заседаний Совета директоров</w:t>
      </w:r>
      <w:r w:rsidR="00890059" w:rsidRPr="004761E0">
        <w:rPr>
          <w:rFonts w:eastAsia="Times New Roman"/>
          <w:iCs/>
          <w:color w:val="000000"/>
          <w:sz w:val="26"/>
          <w:szCs w:val="26"/>
          <w:lang w:eastAsia="ru-RU"/>
        </w:rPr>
        <w:t>,</w:t>
      </w:r>
      <w:r w:rsidRPr="004761E0">
        <w:rPr>
          <w:rFonts w:eastAsia="Times New Roman"/>
          <w:iCs/>
          <w:color w:val="000000"/>
          <w:sz w:val="26"/>
          <w:szCs w:val="26"/>
          <w:lang w:eastAsia="ru-RU"/>
        </w:rPr>
        <w:t xml:space="preserve"> 01.11.2012</w:t>
      </w:r>
      <w:r w:rsidR="00890059" w:rsidRPr="004761E0">
        <w:rPr>
          <w:rFonts w:eastAsia="Times New Roman"/>
          <w:iCs/>
          <w:color w:val="000000"/>
          <w:sz w:val="26"/>
          <w:szCs w:val="26"/>
          <w:lang w:eastAsia="ru-RU"/>
        </w:rPr>
        <w:t xml:space="preserve"> создан Секретариат Совета директоров. </w:t>
      </w:r>
    </w:p>
    <w:p w:rsidR="00890059" w:rsidRPr="004761E0" w:rsidRDefault="00890059" w:rsidP="00CF5945">
      <w:pPr>
        <w:ind w:firstLine="567"/>
        <w:rPr>
          <w:rFonts w:eastAsia="Times New Roman"/>
          <w:iCs/>
          <w:color w:val="000000"/>
          <w:sz w:val="26"/>
          <w:szCs w:val="26"/>
          <w:lang w:eastAsia="ru-RU"/>
        </w:rPr>
      </w:pPr>
      <w:r w:rsidRPr="004761E0">
        <w:rPr>
          <w:rFonts w:eastAsia="Times New Roman"/>
          <w:iCs/>
          <w:color w:val="000000"/>
          <w:sz w:val="26"/>
          <w:szCs w:val="26"/>
          <w:lang w:eastAsia="ru-RU"/>
        </w:rPr>
        <w:t>В 2013 году Секретариатом Совета директоров организовано проведение 28 заседаний Совета директоров. Качественное взаимодействие Секретариата со структурными подразделениями позволило снизить количество непринятых и перенесенных на более поздний срок решений Совета директоров. Кроме того, Секретариат продолжил работу по информированию исполнительных органов, подразделений, служб и отделов Общества о решениях, принятых Советом директоров, а также контролю исполнения поручений Совета директоров.</w:t>
      </w:r>
    </w:p>
    <w:p w:rsidR="00551AA6" w:rsidRPr="008E3C2C" w:rsidRDefault="00551AA6" w:rsidP="008E3C2C">
      <w:pPr>
        <w:spacing w:before="120" w:after="120"/>
        <w:ind w:firstLine="567"/>
        <w:rPr>
          <w:b/>
          <w:sz w:val="26"/>
          <w:szCs w:val="26"/>
        </w:rPr>
      </w:pPr>
      <w:r w:rsidRPr="008E3C2C">
        <w:rPr>
          <w:b/>
          <w:sz w:val="26"/>
          <w:szCs w:val="26"/>
        </w:rPr>
        <w:t>Вознаграждение, выплаченное членам Совета директоров</w:t>
      </w:r>
    </w:p>
    <w:p w:rsidR="00D50342" w:rsidRPr="004761E0" w:rsidRDefault="00D50342" w:rsidP="00D50342">
      <w:pPr>
        <w:spacing w:after="120"/>
        <w:ind w:firstLine="567"/>
        <w:rPr>
          <w:sz w:val="26"/>
          <w:szCs w:val="26"/>
          <w:lang w:eastAsia="ru-RU"/>
        </w:rPr>
      </w:pPr>
      <w:r w:rsidRPr="004761E0">
        <w:rPr>
          <w:sz w:val="26"/>
          <w:szCs w:val="26"/>
          <w:lang w:eastAsia="ru-RU"/>
        </w:rPr>
        <w:t xml:space="preserve">Выплата вознаграждения членам Совета директоров производится на основании Положения </w:t>
      </w:r>
      <w:r w:rsidR="00AD75E4" w:rsidRPr="004761E0">
        <w:rPr>
          <w:sz w:val="26"/>
          <w:szCs w:val="26"/>
          <w:lang w:eastAsia="ru-RU"/>
        </w:rPr>
        <w:t>о</w:t>
      </w:r>
      <w:r w:rsidRPr="004761E0">
        <w:rPr>
          <w:sz w:val="26"/>
          <w:szCs w:val="26"/>
          <w:lang w:eastAsia="ru-RU"/>
        </w:rPr>
        <w:t xml:space="preserve"> выплате членам Совета директоров </w:t>
      </w:r>
      <w:r w:rsidR="0008080E">
        <w:rPr>
          <w:sz w:val="26"/>
          <w:szCs w:val="26"/>
          <w:lang w:eastAsia="ru-RU"/>
        </w:rPr>
        <w:t>ОАО </w:t>
      </w:r>
      <w:r w:rsidRPr="004761E0">
        <w:rPr>
          <w:sz w:val="26"/>
          <w:szCs w:val="26"/>
          <w:lang w:eastAsia="ru-RU"/>
        </w:rPr>
        <w:t>«МОЭСК» вознаграждений и компенсаций</w:t>
      </w:r>
      <w:r w:rsidRPr="006F4AB8">
        <w:rPr>
          <w:rStyle w:val="af1"/>
        </w:rPr>
        <w:footnoteReference w:id="92"/>
      </w:r>
      <w:r w:rsidRPr="004761E0">
        <w:rPr>
          <w:sz w:val="26"/>
          <w:szCs w:val="26"/>
          <w:lang w:eastAsia="ru-RU"/>
        </w:rPr>
        <w:t>.</w:t>
      </w:r>
    </w:p>
    <w:tbl>
      <w:tblPr>
        <w:tblW w:w="9936" w:type="dxa"/>
        <w:tblInd w:w="95" w:type="dxa"/>
        <w:tblLook w:val="04A0"/>
      </w:tblPr>
      <w:tblGrid>
        <w:gridCol w:w="580"/>
        <w:gridCol w:w="4820"/>
        <w:gridCol w:w="1134"/>
        <w:gridCol w:w="1134"/>
        <w:gridCol w:w="1134"/>
        <w:gridCol w:w="1134"/>
      </w:tblGrid>
      <w:tr w:rsidR="00551AA6" w:rsidRPr="004761E0" w:rsidTr="00551AA6">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551AA6" w:rsidRPr="004761E0" w:rsidRDefault="00551AA6" w:rsidP="00551AA6">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48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51AA6" w:rsidRPr="004761E0" w:rsidRDefault="00551AA6" w:rsidP="00551AA6">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51AA6" w:rsidRPr="004761E0" w:rsidRDefault="00551AA6" w:rsidP="00551AA6">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51AA6" w:rsidRPr="004761E0" w:rsidRDefault="00551AA6" w:rsidP="00551AA6">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51AA6" w:rsidRPr="004761E0" w:rsidRDefault="00551AA6" w:rsidP="00551AA6">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551AA6" w:rsidRPr="004761E0" w:rsidRDefault="00551AA6" w:rsidP="00551AA6">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551AA6" w:rsidRPr="004761E0" w:rsidTr="00551AA6">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51AA6" w:rsidRPr="004761E0" w:rsidRDefault="00551AA6" w:rsidP="007076A7">
            <w:pPr>
              <w:numPr>
                <w:ilvl w:val="0"/>
                <w:numId w:val="43"/>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tcPr>
          <w:p w:rsidR="00551AA6" w:rsidRPr="004761E0" w:rsidRDefault="00551AA6" w:rsidP="00551AA6">
            <w:pPr>
              <w:ind w:firstLine="0"/>
              <w:jc w:val="left"/>
              <w:rPr>
                <w:rFonts w:eastAsia="Times New Roman"/>
                <w:b/>
                <w:color w:val="000000"/>
                <w:sz w:val="20"/>
                <w:szCs w:val="20"/>
                <w:lang w:eastAsia="ru-RU"/>
              </w:rPr>
            </w:pPr>
            <w:r w:rsidRPr="004761E0">
              <w:rPr>
                <w:rFonts w:eastAsia="Times New Roman"/>
                <w:b/>
                <w:color w:val="000000"/>
                <w:sz w:val="20"/>
                <w:szCs w:val="20"/>
                <w:lang w:eastAsia="ru-RU"/>
              </w:rPr>
              <w:t>Вознаграждение, руб. без НДФЛ (всего), в т.ч.:</w:t>
            </w:r>
          </w:p>
        </w:tc>
        <w:tc>
          <w:tcPr>
            <w:tcW w:w="1134" w:type="dxa"/>
            <w:tcBorders>
              <w:top w:val="nil"/>
              <w:left w:val="nil"/>
              <w:bottom w:val="single" w:sz="4" w:space="0" w:color="auto"/>
              <w:right w:val="single" w:sz="4" w:space="0" w:color="auto"/>
            </w:tcBorders>
            <w:shd w:val="clear" w:color="auto" w:fill="auto"/>
            <w:vAlign w:val="center"/>
          </w:tcPr>
          <w:p w:rsidR="00551AA6" w:rsidRPr="004761E0" w:rsidRDefault="00551AA6" w:rsidP="00551AA6">
            <w:pPr>
              <w:ind w:firstLine="0"/>
              <w:jc w:val="right"/>
              <w:rPr>
                <w:rFonts w:eastAsia="Times New Roman"/>
                <w:b/>
                <w:bCs/>
                <w:color w:val="000000"/>
                <w:sz w:val="20"/>
                <w:szCs w:val="20"/>
                <w:lang w:eastAsia="ru-RU"/>
              </w:rPr>
            </w:pPr>
            <w:r w:rsidRPr="004761E0">
              <w:rPr>
                <w:rFonts w:eastAsia="Times New Roman"/>
                <w:b/>
                <w:bCs/>
                <w:color w:val="000000"/>
                <w:sz w:val="20"/>
                <w:szCs w:val="20"/>
                <w:lang w:eastAsia="ru-RU"/>
              </w:rPr>
              <w:t>32 829 746</w:t>
            </w:r>
          </w:p>
        </w:tc>
        <w:tc>
          <w:tcPr>
            <w:tcW w:w="1134" w:type="dxa"/>
            <w:tcBorders>
              <w:top w:val="nil"/>
              <w:left w:val="nil"/>
              <w:bottom w:val="single" w:sz="4" w:space="0" w:color="auto"/>
              <w:right w:val="single" w:sz="4" w:space="0" w:color="auto"/>
            </w:tcBorders>
            <w:shd w:val="clear" w:color="auto" w:fill="auto"/>
            <w:vAlign w:val="center"/>
          </w:tcPr>
          <w:p w:rsidR="00551AA6" w:rsidRPr="004761E0" w:rsidRDefault="00551AA6" w:rsidP="00551AA6">
            <w:pPr>
              <w:ind w:firstLine="0"/>
              <w:jc w:val="right"/>
              <w:rPr>
                <w:rFonts w:eastAsia="Times New Roman"/>
                <w:b/>
                <w:bCs/>
                <w:color w:val="000000"/>
                <w:sz w:val="20"/>
                <w:szCs w:val="20"/>
                <w:lang w:eastAsia="ru-RU"/>
              </w:rPr>
            </w:pPr>
            <w:r w:rsidRPr="004761E0">
              <w:rPr>
                <w:rFonts w:eastAsia="Times New Roman"/>
                <w:b/>
                <w:bCs/>
                <w:color w:val="000000"/>
                <w:sz w:val="20"/>
                <w:szCs w:val="20"/>
                <w:lang w:eastAsia="ru-RU"/>
              </w:rPr>
              <w:t>46 574 042</w:t>
            </w:r>
          </w:p>
        </w:tc>
        <w:tc>
          <w:tcPr>
            <w:tcW w:w="1134" w:type="dxa"/>
            <w:tcBorders>
              <w:top w:val="nil"/>
              <w:left w:val="nil"/>
              <w:bottom w:val="single" w:sz="4" w:space="0" w:color="auto"/>
              <w:right w:val="single" w:sz="4" w:space="0" w:color="auto"/>
            </w:tcBorders>
            <w:shd w:val="clear" w:color="auto" w:fill="auto"/>
            <w:vAlign w:val="center"/>
          </w:tcPr>
          <w:p w:rsidR="00551AA6" w:rsidRPr="004761E0" w:rsidRDefault="00551AA6" w:rsidP="00551AA6">
            <w:pPr>
              <w:ind w:firstLine="0"/>
              <w:jc w:val="right"/>
              <w:rPr>
                <w:rFonts w:eastAsia="Times New Roman"/>
                <w:b/>
                <w:bCs/>
                <w:color w:val="000000"/>
                <w:sz w:val="20"/>
                <w:szCs w:val="20"/>
                <w:lang w:eastAsia="ru-RU"/>
              </w:rPr>
            </w:pPr>
            <w:r w:rsidRPr="004761E0">
              <w:rPr>
                <w:rFonts w:eastAsia="Times New Roman"/>
                <w:b/>
                <w:bCs/>
                <w:color w:val="000000"/>
                <w:sz w:val="20"/>
                <w:szCs w:val="20"/>
                <w:lang w:eastAsia="ru-RU"/>
              </w:rPr>
              <w:t>32 269 337</w:t>
            </w:r>
          </w:p>
        </w:tc>
        <w:tc>
          <w:tcPr>
            <w:tcW w:w="1134" w:type="dxa"/>
            <w:tcBorders>
              <w:top w:val="nil"/>
              <w:left w:val="nil"/>
              <w:bottom w:val="single" w:sz="4" w:space="0" w:color="auto"/>
              <w:right w:val="single" w:sz="4" w:space="0" w:color="auto"/>
            </w:tcBorders>
            <w:shd w:val="clear" w:color="auto" w:fill="auto"/>
            <w:vAlign w:val="center"/>
          </w:tcPr>
          <w:p w:rsidR="00551AA6" w:rsidRPr="004761E0" w:rsidRDefault="00551AA6" w:rsidP="00551AA6">
            <w:pPr>
              <w:ind w:firstLine="0"/>
              <w:jc w:val="right"/>
              <w:rPr>
                <w:rFonts w:eastAsia="Times New Roman"/>
                <w:b/>
                <w:bCs/>
                <w:color w:val="000000"/>
                <w:sz w:val="20"/>
                <w:szCs w:val="20"/>
                <w:lang w:eastAsia="ru-RU"/>
              </w:rPr>
            </w:pPr>
            <w:r w:rsidRPr="004761E0">
              <w:rPr>
                <w:rFonts w:eastAsia="Times New Roman"/>
                <w:b/>
                <w:bCs/>
                <w:color w:val="000000"/>
                <w:sz w:val="20"/>
                <w:szCs w:val="20"/>
                <w:lang w:eastAsia="ru-RU"/>
              </w:rPr>
              <w:t>-30,71 %</w:t>
            </w:r>
          </w:p>
        </w:tc>
      </w:tr>
      <w:tr w:rsidR="00551AA6" w:rsidRPr="004761E0" w:rsidTr="00551AA6">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551AA6" w:rsidRPr="004761E0" w:rsidRDefault="00551AA6" w:rsidP="007076A7">
            <w:pPr>
              <w:pStyle w:val="a5"/>
              <w:numPr>
                <w:ilvl w:val="1"/>
                <w:numId w:val="43"/>
              </w:numPr>
              <w:jc w:val="left"/>
              <w:rPr>
                <w:rFonts w:eastAsia="Times New Roman"/>
                <w:color w:val="000000"/>
                <w:sz w:val="20"/>
                <w:szCs w:val="20"/>
                <w:lang w:eastAsia="ru-RU"/>
              </w:rPr>
            </w:pPr>
          </w:p>
        </w:tc>
        <w:tc>
          <w:tcPr>
            <w:tcW w:w="4820" w:type="dxa"/>
            <w:tcBorders>
              <w:top w:val="single" w:sz="4" w:space="0" w:color="auto"/>
              <w:left w:val="nil"/>
              <w:bottom w:val="single" w:sz="4" w:space="0" w:color="auto"/>
              <w:right w:val="single" w:sz="4" w:space="0" w:color="auto"/>
            </w:tcBorders>
            <w:shd w:val="clear" w:color="auto" w:fill="auto"/>
            <w:vAlign w:val="center"/>
          </w:tcPr>
          <w:p w:rsidR="00551AA6" w:rsidRPr="004761E0" w:rsidRDefault="00551AA6" w:rsidP="00551AA6">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за участие в заседаниях</w:t>
            </w:r>
          </w:p>
        </w:tc>
        <w:tc>
          <w:tcPr>
            <w:tcW w:w="1134" w:type="dxa"/>
            <w:tcBorders>
              <w:top w:val="single" w:sz="4" w:space="0" w:color="auto"/>
              <w:left w:val="nil"/>
              <w:bottom w:val="single" w:sz="4" w:space="0" w:color="auto"/>
              <w:right w:val="single" w:sz="4" w:space="0" w:color="auto"/>
            </w:tcBorders>
            <w:shd w:val="clear" w:color="auto" w:fill="auto"/>
            <w:vAlign w:val="center"/>
          </w:tcPr>
          <w:p w:rsidR="00551AA6" w:rsidRPr="004761E0" w:rsidRDefault="00551AA6" w:rsidP="00551AA6">
            <w:pPr>
              <w:ind w:firstLine="0"/>
              <w:jc w:val="right"/>
              <w:rPr>
                <w:rFonts w:eastAsia="Times New Roman"/>
                <w:color w:val="000000"/>
                <w:sz w:val="20"/>
                <w:szCs w:val="20"/>
                <w:lang w:eastAsia="ru-RU"/>
              </w:rPr>
            </w:pPr>
            <w:r w:rsidRPr="004761E0">
              <w:rPr>
                <w:rFonts w:eastAsia="Times New Roman"/>
                <w:color w:val="000000"/>
                <w:sz w:val="20"/>
                <w:szCs w:val="20"/>
                <w:lang w:eastAsia="ru-RU"/>
              </w:rPr>
              <w:t>12 320 111</w:t>
            </w:r>
          </w:p>
        </w:tc>
        <w:tc>
          <w:tcPr>
            <w:tcW w:w="1134" w:type="dxa"/>
            <w:tcBorders>
              <w:top w:val="single" w:sz="4" w:space="0" w:color="auto"/>
              <w:left w:val="nil"/>
              <w:bottom w:val="single" w:sz="4" w:space="0" w:color="auto"/>
              <w:right w:val="single" w:sz="4" w:space="0" w:color="auto"/>
            </w:tcBorders>
            <w:shd w:val="clear" w:color="auto" w:fill="auto"/>
            <w:vAlign w:val="center"/>
          </w:tcPr>
          <w:p w:rsidR="00551AA6" w:rsidRPr="004761E0" w:rsidRDefault="00551AA6" w:rsidP="00551AA6">
            <w:pPr>
              <w:ind w:firstLine="0"/>
              <w:jc w:val="right"/>
              <w:rPr>
                <w:rFonts w:eastAsia="Times New Roman"/>
                <w:color w:val="000000"/>
                <w:sz w:val="20"/>
                <w:szCs w:val="20"/>
                <w:lang w:eastAsia="ru-RU"/>
              </w:rPr>
            </w:pPr>
            <w:r w:rsidRPr="004761E0">
              <w:rPr>
                <w:rFonts w:eastAsia="Times New Roman"/>
                <w:color w:val="000000"/>
                <w:sz w:val="20"/>
                <w:szCs w:val="20"/>
                <w:lang w:eastAsia="ru-RU"/>
              </w:rPr>
              <w:t>12 543 702</w:t>
            </w:r>
          </w:p>
        </w:tc>
        <w:tc>
          <w:tcPr>
            <w:tcW w:w="1134" w:type="dxa"/>
            <w:tcBorders>
              <w:top w:val="single" w:sz="4" w:space="0" w:color="auto"/>
              <w:left w:val="nil"/>
              <w:bottom w:val="single" w:sz="4" w:space="0" w:color="auto"/>
              <w:right w:val="single" w:sz="4" w:space="0" w:color="auto"/>
            </w:tcBorders>
            <w:shd w:val="clear" w:color="auto" w:fill="auto"/>
            <w:vAlign w:val="center"/>
          </w:tcPr>
          <w:p w:rsidR="00551AA6" w:rsidRPr="004761E0" w:rsidRDefault="00551AA6" w:rsidP="00551AA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10 081 824</w:t>
            </w:r>
          </w:p>
        </w:tc>
        <w:tc>
          <w:tcPr>
            <w:tcW w:w="1134" w:type="dxa"/>
            <w:tcBorders>
              <w:top w:val="single" w:sz="4" w:space="0" w:color="auto"/>
              <w:left w:val="nil"/>
              <w:bottom w:val="single" w:sz="4" w:space="0" w:color="auto"/>
              <w:right w:val="single" w:sz="4" w:space="0" w:color="auto"/>
            </w:tcBorders>
            <w:shd w:val="clear" w:color="auto" w:fill="auto"/>
            <w:vAlign w:val="center"/>
          </w:tcPr>
          <w:p w:rsidR="00551AA6" w:rsidRPr="004761E0" w:rsidRDefault="00551AA6" w:rsidP="00551AA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-19,63 %</w:t>
            </w:r>
          </w:p>
        </w:tc>
      </w:tr>
      <w:tr w:rsidR="00551AA6" w:rsidRPr="004761E0" w:rsidTr="00551AA6">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551AA6" w:rsidRPr="004761E0" w:rsidRDefault="00551AA6" w:rsidP="007076A7">
            <w:pPr>
              <w:pStyle w:val="a5"/>
              <w:numPr>
                <w:ilvl w:val="1"/>
                <w:numId w:val="43"/>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tcPr>
          <w:p w:rsidR="00551AA6" w:rsidRPr="004761E0" w:rsidRDefault="00551AA6" w:rsidP="00551AA6">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дополнительное вознаграждение (всего), в т.ч.:</w:t>
            </w:r>
          </w:p>
        </w:tc>
        <w:tc>
          <w:tcPr>
            <w:tcW w:w="1134" w:type="dxa"/>
            <w:tcBorders>
              <w:top w:val="nil"/>
              <w:left w:val="nil"/>
              <w:bottom w:val="single" w:sz="4" w:space="0" w:color="auto"/>
              <w:right w:val="single" w:sz="4" w:space="0" w:color="auto"/>
            </w:tcBorders>
            <w:shd w:val="clear" w:color="auto" w:fill="auto"/>
            <w:vAlign w:val="center"/>
          </w:tcPr>
          <w:p w:rsidR="00551AA6" w:rsidRPr="004761E0" w:rsidRDefault="00551AA6" w:rsidP="00551AA6">
            <w:pPr>
              <w:ind w:firstLine="0"/>
              <w:jc w:val="right"/>
              <w:rPr>
                <w:rFonts w:eastAsia="Times New Roman"/>
                <w:color w:val="000000"/>
                <w:sz w:val="20"/>
                <w:szCs w:val="20"/>
                <w:lang w:eastAsia="ru-RU"/>
              </w:rPr>
            </w:pPr>
            <w:r w:rsidRPr="004761E0">
              <w:rPr>
                <w:rFonts w:eastAsia="Times New Roman"/>
                <w:color w:val="000000"/>
                <w:sz w:val="20"/>
                <w:szCs w:val="20"/>
                <w:lang w:eastAsia="ru-RU"/>
              </w:rPr>
              <w:t>20 509 635</w:t>
            </w:r>
          </w:p>
        </w:tc>
        <w:tc>
          <w:tcPr>
            <w:tcW w:w="1134" w:type="dxa"/>
            <w:tcBorders>
              <w:top w:val="nil"/>
              <w:left w:val="nil"/>
              <w:bottom w:val="single" w:sz="4" w:space="0" w:color="auto"/>
              <w:right w:val="single" w:sz="4" w:space="0" w:color="auto"/>
            </w:tcBorders>
            <w:shd w:val="clear" w:color="auto" w:fill="auto"/>
            <w:vAlign w:val="center"/>
          </w:tcPr>
          <w:p w:rsidR="00551AA6" w:rsidRPr="004761E0" w:rsidRDefault="00551AA6" w:rsidP="00551AA6">
            <w:pPr>
              <w:ind w:firstLine="0"/>
              <w:jc w:val="right"/>
              <w:rPr>
                <w:rFonts w:eastAsia="Times New Roman"/>
                <w:color w:val="000000"/>
                <w:sz w:val="20"/>
                <w:szCs w:val="20"/>
                <w:lang w:eastAsia="ru-RU"/>
              </w:rPr>
            </w:pPr>
            <w:r w:rsidRPr="004761E0">
              <w:rPr>
                <w:rFonts w:eastAsia="Times New Roman"/>
                <w:color w:val="000000"/>
                <w:sz w:val="20"/>
                <w:szCs w:val="20"/>
                <w:lang w:eastAsia="ru-RU"/>
              </w:rPr>
              <w:t>34 030 340</w:t>
            </w:r>
          </w:p>
        </w:tc>
        <w:tc>
          <w:tcPr>
            <w:tcW w:w="1134" w:type="dxa"/>
            <w:tcBorders>
              <w:top w:val="nil"/>
              <w:left w:val="nil"/>
              <w:bottom w:val="single" w:sz="4" w:space="0" w:color="auto"/>
              <w:right w:val="single" w:sz="4" w:space="0" w:color="auto"/>
            </w:tcBorders>
            <w:shd w:val="clear" w:color="auto" w:fill="auto"/>
            <w:vAlign w:val="center"/>
          </w:tcPr>
          <w:p w:rsidR="00551AA6" w:rsidRPr="004761E0" w:rsidRDefault="00551AA6" w:rsidP="00551AA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22 187 513</w:t>
            </w:r>
          </w:p>
        </w:tc>
        <w:tc>
          <w:tcPr>
            <w:tcW w:w="1134" w:type="dxa"/>
            <w:tcBorders>
              <w:top w:val="nil"/>
              <w:left w:val="nil"/>
              <w:bottom w:val="single" w:sz="4" w:space="0" w:color="auto"/>
              <w:right w:val="single" w:sz="4" w:space="0" w:color="auto"/>
            </w:tcBorders>
            <w:shd w:val="clear" w:color="auto" w:fill="auto"/>
            <w:vAlign w:val="center"/>
          </w:tcPr>
          <w:p w:rsidR="00551AA6" w:rsidRPr="004761E0" w:rsidRDefault="00551AA6" w:rsidP="00551AA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-34,80 %</w:t>
            </w:r>
          </w:p>
        </w:tc>
      </w:tr>
      <w:tr w:rsidR="00551AA6" w:rsidRPr="004761E0" w:rsidTr="00551AA6">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551AA6" w:rsidRPr="004761E0" w:rsidRDefault="00551AA6" w:rsidP="007076A7">
            <w:pPr>
              <w:pStyle w:val="a5"/>
              <w:numPr>
                <w:ilvl w:val="2"/>
                <w:numId w:val="43"/>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tcPr>
          <w:p w:rsidR="00551AA6" w:rsidRPr="004761E0" w:rsidRDefault="00551AA6" w:rsidP="00551AA6">
            <w:pPr>
              <w:ind w:firstLineChars="400" w:firstLine="800"/>
              <w:jc w:val="left"/>
              <w:rPr>
                <w:rFonts w:eastAsia="Times New Roman"/>
                <w:color w:val="000000"/>
                <w:sz w:val="20"/>
                <w:szCs w:val="20"/>
                <w:lang w:eastAsia="ru-RU"/>
              </w:rPr>
            </w:pPr>
            <w:r w:rsidRPr="004761E0">
              <w:rPr>
                <w:rFonts w:eastAsia="Times New Roman"/>
                <w:color w:val="000000"/>
                <w:sz w:val="20"/>
                <w:szCs w:val="20"/>
                <w:lang w:eastAsia="ru-RU"/>
              </w:rPr>
              <w:t xml:space="preserve">за прирост чистой прибыли </w:t>
            </w:r>
          </w:p>
        </w:tc>
        <w:tc>
          <w:tcPr>
            <w:tcW w:w="1134" w:type="dxa"/>
            <w:tcBorders>
              <w:top w:val="nil"/>
              <w:left w:val="nil"/>
              <w:bottom w:val="single" w:sz="4" w:space="0" w:color="auto"/>
              <w:right w:val="single" w:sz="4" w:space="0" w:color="auto"/>
            </w:tcBorders>
            <w:shd w:val="clear" w:color="auto" w:fill="auto"/>
            <w:vAlign w:val="center"/>
          </w:tcPr>
          <w:p w:rsidR="00551AA6" w:rsidRPr="004761E0" w:rsidRDefault="00551AA6" w:rsidP="00551AA6">
            <w:pPr>
              <w:ind w:firstLine="0"/>
              <w:jc w:val="right"/>
              <w:rPr>
                <w:rFonts w:eastAsia="Times New Roman"/>
                <w:color w:val="000000"/>
                <w:sz w:val="20"/>
                <w:szCs w:val="20"/>
                <w:lang w:eastAsia="ru-RU"/>
              </w:rPr>
            </w:pPr>
            <w:r w:rsidRPr="004761E0">
              <w:rPr>
                <w:rFonts w:eastAsia="Times New Roman"/>
                <w:color w:val="000000"/>
                <w:sz w:val="20"/>
                <w:szCs w:val="20"/>
                <w:lang w:eastAsia="ru-RU"/>
              </w:rPr>
              <w:t>20 509 635</w:t>
            </w:r>
          </w:p>
        </w:tc>
        <w:tc>
          <w:tcPr>
            <w:tcW w:w="1134" w:type="dxa"/>
            <w:tcBorders>
              <w:top w:val="nil"/>
              <w:left w:val="nil"/>
              <w:bottom w:val="single" w:sz="4" w:space="0" w:color="auto"/>
              <w:right w:val="single" w:sz="4" w:space="0" w:color="auto"/>
            </w:tcBorders>
            <w:shd w:val="clear" w:color="auto" w:fill="auto"/>
            <w:vAlign w:val="center"/>
          </w:tcPr>
          <w:p w:rsidR="00551AA6" w:rsidRPr="004761E0" w:rsidRDefault="00551AA6" w:rsidP="00551AA6">
            <w:pPr>
              <w:ind w:firstLine="0"/>
              <w:jc w:val="right"/>
              <w:rPr>
                <w:rFonts w:eastAsia="Times New Roman"/>
                <w:color w:val="000000"/>
                <w:sz w:val="20"/>
                <w:szCs w:val="20"/>
                <w:lang w:eastAsia="ru-RU"/>
              </w:rPr>
            </w:pPr>
            <w:r w:rsidRPr="004761E0">
              <w:rPr>
                <w:rFonts w:eastAsia="Times New Roman"/>
                <w:color w:val="000000"/>
                <w:sz w:val="20"/>
                <w:szCs w:val="20"/>
                <w:lang w:eastAsia="ru-RU"/>
              </w:rPr>
              <w:t>19 721 030</w:t>
            </w:r>
          </w:p>
        </w:tc>
        <w:tc>
          <w:tcPr>
            <w:tcW w:w="1134" w:type="dxa"/>
            <w:tcBorders>
              <w:top w:val="nil"/>
              <w:left w:val="nil"/>
              <w:bottom w:val="single" w:sz="4" w:space="0" w:color="auto"/>
              <w:right w:val="single" w:sz="4" w:space="0" w:color="auto"/>
            </w:tcBorders>
            <w:shd w:val="clear" w:color="auto" w:fill="auto"/>
            <w:vAlign w:val="center"/>
          </w:tcPr>
          <w:p w:rsidR="00551AA6" w:rsidRPr="004761E0" w:rsidRDefault="00551AA6" w:rsidP="00551AA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22 187 513</w:t>
            </w:r>
          </w:p>
        </w:tc>
        <w:tc>
          <w:tcPr>
            <w:tcW w:w="1134" w:type="dxa"/>
            <w:tcBorders>
              <w:top w:val="nil"/>
              <w:left w:val="nil"/>
              <w:bottom w:val="single" w:sz="4" w:space="0" w:color="auto"/>
              <w:right w:val="single" w:sz="4" w:space="0" w:color="auto"/>
            </w:tcBorders>
            <w:shd w:val="clear" w:color="auto" w:fill="auto"/>
            <w:vAlign w:val="center"/>
          </w:tcPr>
          <w:p w:rsidR="00551AA6" w:rsidRPr="004761E0" w:rsidRDefault="00551AA6" w:rsidP="00551AA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12,51 %</w:t>
            </w:r>
          </w:p>
        </w:tc>
      </w:tr>
      <w:tr w:rsidR="00551AA6" w:rsidRPr="004761E0" w:rsidTr="00551AA6">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551AA6" w:rsidRPr="004761E0" w:rsidRDefault="00551AA6" w:rsidP="007076A7">
            <w:pPr>
              <w:pStyle w:val="a5"/>
              <w:numPr>
                <w:ilvl w:val="2"/>
                <w:numId w:val="43"/>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tcPr>
          <w:p w:rsidR="00551AA6" w:rsidRPr="004761E0" w:rsidRDefault="00551AA6" w:rsidP="00551AA6">
            <w:pPr>
              <w:ind w:firstLineChars="400" w:firstLine="800"/>
              <w:jc w:val="left"/>
              <w:rPr>
                <w:rFonts w:eastAsia="Times New Roman"/>
                <w:color w:val="000000"/>
                <w:sz w:val="20"/>
                <w:szCs w:val="20"/>
                <w:lang w:eastAsia="ru-RU"/>
              </w:rPr>
            </w:pPr>
            <w:r w:rsidRPr="004761E0">
              <w:rPr>
                <w:rFonts w:eastAsia="Times New Roman"/>
                <w:color w:val="000000"/>
                <w:sz w:val="20"/>
                <w:szCs w:val="20"/>
                <w:lang w:eastAsia="ru-RU"/>
              </w:rPr>
              <w:t>за прирост рыночной капитализации</w:t>
            </w:r>
          </w:p>
        </w:tc>
        <w:tc>
          <w:tcPr>
            <w:tcW w:w="1134" w:type="dxa"/>
            <w:tcBorders>
              <w:top w:val="nil"/>
              <w:left w:val="nil"/>
              <w:bottom w:val="single" w:sz="4" w:space="0" w:color="auto"/>
              <w:right w:val="single" w:sz="4" w:space="0" w:color="auto"/>
            </w:tcBorders>
            <w:shd w:val="clear" w:color="auto" w:fill="auto"/>
            <w:vAlign w:val="center"/>
          </w:tcPr>
          <w:p w:rsidR="00551AA6" w:rsidRPr="004761E0" w:rsidRDefault="00551AA6" w:rsidP="00551AA6">
            <w:pPr>
              <w:ind w:firstLine="0"/>
              <w:jc w:val="right"/>
              <w:rPr>
                <w:rFonts w:eastAsia="Times New Roman"/>
                <w:color w:val="000000"/>
                <w:sz w:val="20"/>
                <w:szCs w:val="20"/>
                <w:lang w:eastAsia="ru-RU"/>
              </w:rPr>
            </w:pPr>
            <w:r w:rsidRPr="004761E0">
              <w:rPr>
                <w:rFonts w:eastAsia="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vAlign w:val="center"/>
          </w:tcPr>
          <w:p w:rsidR="00551AA6" w:rsidRPr="004761E0" w:rsidRDefault="00551AA6" w:rsidP="00551AA6">
            <w:pPr>
              <w:ind w:firstLine="0"/>
              <w:jc w:val="right"/>
              <w:rPr>
                <w:rFonts w:eastAsia="Times New Roman"/>
                <w:color w:val="000000"/>
                <w:sz w:val="20"/>
                <w:szCs w:val="20"/>
                <w:lang w:eastAsia="ru-RU"/>
              </w:rPr>
            </w:pPr>
            <w:r w:rsidRPr="004761E0">
              <w:rPr>
                <w:rFonts w:eastAsia="Times New Roman"/>
                <w:color w:val="000000"/>
                <w:sz w:val="20"/>
                <w:szCs w:val="20"/>
                <w:lang w:eastAsia="ru-RU"/>
              </w:rPr>
              <w:t>14 309 310</w:t>
            </w:r>
          </w:p>
        </w:tc>
        <w:tc>
          <w:tcPr>
            <w:tcW w:w="1134" w:type="dxa"/>
            <w:tcBorders>
              <w:top w:val="nil"/>
              <w:left w:val="nil"/>
              <w:bottom w:val="single" w:sz="4" w:space="0" w:color="auto"/>
              <w:right w:val="single" w:sz="4" w:space="0" w:color="auto"/>
            </w:tcBorders>
            <w:shd w:val="clear" w:color="auto" w:fill="auto"/>
            <w:vAlign w:val="center"/>
          </w:tcPr>
          <w:p w:rsidR="00551AA6" w:rsidRPr="004761E0" w:rsidRDefault="00551AA6" w:rsidP="00551AA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vAlign w:val="center"/>
          </w:tcPr>
          <w:p w:rsidR="00551AA6" w:rsidRPr="004761E0" w:rsidRDefault="00551AA6" w:rsidP="00551AA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-100</w:t>
            </w:r>
            <w:r w:rsidR="00E93459">
              <w:rPr>
                <w:rFonts w:eastAsia="Times New Roman"/>
                <w:bCs/>
                <w:color w:val="000000"/>
                <w:sz w:val="20"/>
                <w:szCs w:val="20"/>
                <w:lang w:eastAsia="ru-RU"/>
              </w:rPr>
              <w:t>,00</w:t>
            </w:r>
            <w:r w:rsidRPr="004761E0">
              <w:rPr>
                <w:rFonts w:eastAsia="Times New Roman"/>
                <w:bCs/>
                <w:color w:val="000000"/>
                <w:sz w:val="20"/>
                <w:szCs w:val="20"/>
                <w:lang w:eastAsia="ru-RU"/>
              </w:rPr>
              <w:t xml:space="preserve"> %</w:t>
            </w:r>
          </w:p>
        </w:tc>
      </w:tr>
    </w:tbl>
    <w:p w:rsidR="00551AA6" w:rsidRPr="004761E0" w:rsidRDefault="00551AA6" w:rsidP="00551AA6">
      <w:pPr>
        <w:spacing w:before="120" w:after="120"/>
        <w:ind w:firstLine="0"/>
        <w:rPr>
          <w:rFonts w:eastAsia="Times New Roman"/>
          <w:b/>
          <w:iCs/>
          <w:color w:val="000000"/>
          <w:sz w:val="26"/>
          <w:szCs w:val="26"/>
          <w:lang w:eastAsia="ru-RU"/>
        </w:rPr>
      </w:pPr>
      <w:r w:rsidRPr="004761E0">
        <w:rPr>
          <w:rFonts w:eastAsia="Times New Roman"/>
          <w:b/>
          <w:iCs/>
          <w:noProof/>
          <w:color w:val="000000"/>
          <w:sz w:val="26"/>
          <w:szCs w:val="26"/>
          <w:lang w:eastAsia="ru-RU"/>
        </w:rPr>
        <w:drawing>
          <wp:inline distT="0" distB="0" distL="0" distR="0">
            <wp:extent cx="2945219" cy="2371060"/>
            <wp:effectExtent l="19050" t="0" r="26581"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r w:rsidRPr="004761E0">
        <w:rPr>
          <w:rFonts w:eastAsia="Times New Roman"/>
          <w:b/>
          <w:iCs/>
          <w:noProof/>
          <w:color w:val="000000"/>
          <w:sz w:val="26"/>
          <w:szCs w:val="26"/>
          <w:lang w:eastAsia="ru-RU"/>
        </w:rPr>
        <w:drawing>
          <wp:inline distT="0" distB="0" distL="0" distR="0">
            <wp:extent cx="3147237" cy="2371060"/>
            <wp:effectExtent l="0" t="0" r="15240" b="1079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551AA6" w:rsidRPr="004761E0" w:rsidRDefault="00551AA6" w:rsidP="00551AA6">
      <w:pPr>
        <w:ind w:firstLine="567"/>
        <w:rPr>
          <w:rFonts w:eastAsia="Times New Roman"/>
          <w:color w:val="000000"/>
          <w:sz w:val="26"/>
          <w:szCs w:val="26"/>
          <w:lang w:eastAsia="ru-RU"/>
        </w:rPr>
      </w:pPr>
      <w:r w:rsidRPr="004761E0">
        <w:rPr>
          <w:rFonts w:eastAsia="Times New Roman"/>
          <w:color w:val="000000"/>
          <w:sz w:val="26"/>
          <w:szCs w:val="26"/>
          <w:lang w:eastAsia="ru-RU"/>
        </w:rPr>
        <w:t>Общее сокращение затрат на выплату вознаграждений членам Совета директоров в 2013 году по сравнению с предыдущим годом обусловлено следующими причинами:</w:t>
      </w:r>
    </w:p>
    <w:p w:rsidR="00551AA6" w:rsidRPr="004761E0" w:rsidRDefault="00551AA6" w:rsidP="007076A7">
      <w:pPr>
        <w:pStyle w:val="a5"/>
        <w:numPr>
          <w:ilvl w:val="0"/>
          <w:numId w:val="44"/>
        </w:numPr>
        <w:ind w:left="1134" w:hanging="567"/>
        <w:contextualSpacing w:val="0"/>
        <w:rPr>
          <w:rFonts w:eastAsia="Times New Roman"/>
          <w:b/>
          <w:iCs/>
          <w:color w:val="000000"/>
          <w:sz w:val="26"/>
          <w:szCs w:val="26"/>
          <w:lang w:eastAsia="ru-RU"/>
        </w:rPr>
      </w:pPr>
      <w:r w:rsidRPr="004761E0">
        <w:rPr>
          <w:rFonts w:eastAsia="Times New Roman"/>
          <w:color w:val="000000"/>
          <w:sz w:val="26"/>
          <w:szCs w:val="26"/>
          <w:lang w:eastAsia="ru-RU"/>
        </w:rPr>
        <w:t>уменьшением общего количества заседаний Совета директоров (в 2012 году – 34 заседания, в 2013 году – 28 заседаний);</w:t>
      </w:r>
    </w:p>
    <w:p w:rsidR="00551AA6" w:rsidRPr="004761E0" w:rsidRDefault="00551AA6" w:rsidP="007076A7">
      <w:pPr>
        <w:pStyle w:val="a5"/>
        <w:numPr>
          <w:ilvl w:val="0"/>
          <w:numId w:val="44"/>
        </w:numPr>
        <w:ind w:left="1134" w:hanging="567"/>
        <w:contextualSpacing w:val="0"/>
        <w:rPr>
          <w:rFonts w:eastAsia="Times New Roman"/>
          <w:b/>
          <w:iCs/>
          <w:color w:val="000000"/>
          <w:sz w:val="26"/>
          <w:szCs w:val="26"/>
          <w:lang w:eastAsia="ru-RU"/>
        </w:rPr>
      </w:pPr>
      <w:r w:rsidRPr="004761E0">
        <w:rPr>
          <w:rFonts w:eastAsia="Times New Roman"/>
          <w:color w:val="000000"/>
          <w:sz w:val="26"/>
          <w:szCs w:val="26"/>
          <w:lang w:eastAsia="ru-RU"/>
        </w:rPr>
        <w:t>уменьшением количества заседаний, проводимых в форме совместного присутствия (в 2012 году – 7 заседаний, в 2013 году – 3 заседания);</w:t>
      </w:r>
    </w:p>
    <w:p w:rsidR="00551AA6" w:rsidRPr="004761E0" w:rsidRDefault="00551AA6" w:rsidP="007076A7">
      <w:pPr>
        <w:pStyle w:val="a5"/>
        <w:numPr>
          <w:ilvl w:val="0"/>
          <w:numId w:val="44"/>
        </w:numPr>
        <w:ind w:left="1134" w:hanging="567"/>
        <w:contextualSpacing w:val="0"/>
        <w:rPr>
          <w:rFonts w:eastAsia="Times New Roman"/>
          <w:b/>
          <w:iCs/>
          <w:color w:val="000000"/>
          <w:sz w:val="26"/>
          <w:szCs w:val="26"/>
          <w:lang w:eastAsia="ru-RU"/>
        </w:rPr>
      </w:pPr>
      <w:r w:rsidRPr="004761E0">
        <w:rPr>
          <w:rFonts w:eastAsia="Times New Roman"/>
          <w:color w:val="000000"/>
          <w:sz w:val="26"/>
          <w:szCs w:val="26"/>
          <w:lang w:eastAsia="ru-RU"/>
        </w:rPr>
        <w:t>отсутствием дополнительного вознаграждения за показатель роста рыночной капитализации Общества (за период работы членов Совета директоров рыночная капитализация снизилась).</w:t>
      </w:r>
    </w:p>
    <w:p w:rsidR="00551AA6" w:rsidRPr="004761E0" w:rsidRDefault="00551AA6" w:rsidP="00551AA6">
      <w:pPr>
        <w:ind w:firstLine="567"/>
        <w:rPr>
          <w:rStyle w:val="A50"/>
          <w:bCs/>
          <w:sz w:val="26"/>
          <w:szCs w:val="26"/>
        </w:rPr>
      </w:pPr>
      <w:r w:rsidRPr="004761E0">
        <w:rPr>
          <w:rFonts w:eastAsia="Times New Roman"/>
          <w:color w:val="000000"/>
          <w:sz w:val="26"/>
          <w:szCs w:val="26"/>
          <w:lang w:eastAsia="ru-RU"/>
        </w:rPr>
        <w:lastRenderedPageBreak/>
        <w:t>Размер дополнительного вознаграждения за показатель чистой прибыли Общества увеличился в связи с увеличением числа лиц, получающих указанный вид вознаграждения.</w:t>
      </w:r>
    </w:p>
    <w:p w:rsidR="00551AA6" w:rsidRPr="004761E0" w:rsidRDefault="00551AA6" w:rsidP="006844FF">
      <w:pPr>
        <w:spacing w:before="200"/>
        <w:rPr>
          <w:rStyle w:val="A50"/>
          <w:bCs/>
          <w:sz w:val="26"/>
          <w:szCs w:val="26"/>
        </w:rPr>
        <w:sectPr w:rsidR="00551AA6" w:rsidRPr="004761E0" w:rsidSect="00551AA6">
          <w:pgSz w:w="11907" w:h="16840" w:code="9"/>
          <w:pgMar w:top="1418" w:right="851" w:bottom="720" w:left="1134" w:header="720" w:footer="720" w:gutter="0"/>
          <w:cols w:space="720"/>
          <w:docGrid w:linePitch="326"/>
        </w:sectPr>
      </w:pPr>
    </w:p>
    <w:p w:rsidR="003E4866" w:rsidRPr="004761E0" w:rsidRDefault="003E4866" w:rsidP="007076A7">
      <w:pPr>
        <w:pStyle w:val="a8"/>
        <w:numPr>
          <w:ilvl w:val="1"/>
          <w:numId w:val="321"/>
        </w:numPr>
        <w:spacing w:before="120" w:after="120"/>
        <w:ind w:left="1134" w:hanging="567"/>
        <w:jc w:val="both"/>
        <w:rPr>
          <w:rFonts w:ascii="Times New Roman" w:hAnsi="Times New Roman"/>
          <w:b/>
          <w:sz w:val="26"/>
          <w:szCs w:val="26"/>
        </w:rPr>
      </w:pPr>
      <w:bookmarkStart w:id="98" w:name="_Toc385339828"/>
      <w:r w:rsidRPr="004761E0">
        <w:rPr>
          <w:rFonts w:ascii="Times New Roman" w:hAnsi="Times New Roman"/>
          <w:b/>
          <w:sz w:val="26"/>
          <w:szCs w:val="26"/>
        </w:rPr>
        <w:lastRenderedPageBreak/>
        <w:t>Комитеты при Совете директоров</w:t>
      </w:r>
      <w:bookmarkEnd w:id="98"/>
    </w:p>
    <w:p w:rsidR="00551AA6" w:rsidRPr="004761E0" w:rsidRDefault="00BA326D" w:rsidP="00551AA6">
      <w:pPr>
        <w:ind w:firstLine="567"/>
        <w:rPr>
          <w:rStyle w:val="SUBST"/>
          <w:sz w:val="26"/>
          <w:szCs w:val="26"/>
        </w:rPr>
      </w:pPr>
      <w:r w:rsidRPr="004761E0">
        <w:rPr>
          <w:rStyle w:val="SUBST"/>
          <w:sz w:val="26"/>
          <w:szCs w:val="26"/>
        </w:rPr>
        <w:t>В целях эффективной проработки вопросов, входящих в сферу компетенции Совета директоров, а также выработки предварительных рекомендаций Совету директоров и исполнительному органу</w:t>
      </w:r>
      <w:r w:rsidR="00D701B7">
        <w:rPr>
          <w:rStyle w:val="SUBST"/>
          <w:sz w:val="26"/>
          <w:szCs w:val="26"/>
        </w:rPr>
        <w:t>,</w:t>
      </w:r>
      <w:r w:rsidRPr="004761E0">
        <w:rPr>
          <w:rStyle w:val="SUBST"/>
          <w:sz w:val="26"/>
          <w:szCs w:val="26"/>
        </w:rPr>
        <w:t xml:space="preserve"> в Обществе осуществляют свою деятельность комитеты Совета директоров, в состав которых вошли представители основных акционеров Общества.</w:t>
      </w:r>
    </w:p>
    <w:p w:rsidR="00551AA6" w:rsidRPr="004761E0" w:rsidRDefault="00BA326D" w:rsidP="00551AA6">
      <w:pPr>
        <w:ind w:firstLine="567"/>
        <w:rPr>
          <w:rStyle w:val="SUBST"/>
          <w:sz w:val="26"/>
          <w:szCs w:val="26"/>
        </w:rPr>
      </w:pPr>
      <w:r w:rsidRPr="004761E0">
        <w:rPr>
          <w:rStyle w:val="SUBST"/>
          <w:sz w:val="26"/>
          <w:szCs w:val="26"/>
        </w:rPr>
        <w:t>Состав комитетов Совета директоров формируется в соответствии с требованиями российских фондовых бирж, соблюдение которых позволяет поддерживать акции Общества в биржевых котировальных списках категории «А».</w:t>
      </w:r>
    </w:p>
    <w:tbl>
      <w:tblPr>
        <w:tblW w:w="1619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43"/>
        <w:gridCol w:w="2978"/>
        <w:gridCol w:w="2835"/>
        <w:gridCol w:w="2693"/>
        <w:gridCol w:w="2586"/>
        <w:gridCol w:w="2694"/>
      </w:tblGrid>
      <w:tr w:rsidR="00551AA6" w:rsidRPr="004761E0" w:rsidTr="002103CF">
        <w:trPr>
          <w:trHeight w:val="85"/>
        </w:trPr>
        <w:tc>
          <w:tcPr>
            <w:tcW w:w="567" w:type="dxa"/>
            <w:tcBorders>
              <w:top w:val="nil"/>
              <w:left w:val="nil"/>
              <w:bottom w:val="nil"/>
              <w:right w:val="single" w:sz="4" w:space="0" w:color="FFFFFF" w:themeColor="background1"/>
            </w:tcBorders>
            <w:shd w:val="clear" w:color="auto" w:fill="0F243E" w:themeFill="text2" w:themeFillShade="80"/>
            <w:vAlign w:val="center"/>
            <w:hideMark/>
          </w:tcPr>
          <w:p w:rsidR="00551AA6" w:rsidRPr="004761E0" w:rsidRDefault="00551AA6" w:rsidP="00551AA6">
            <w:pPr>
              <w:ind w:firstLine="0"/>
              <w:jc w:val="left"/>
              <w:rPr>
                <w:rFonts w:eastAsia="Times New Roman"/>
                <w:b/>
                <w:color w:val="FFFFFF" w:themeColor="background1"/>
                <w:sz w:val="20"/>
                <w:szCs w:val="18"/>
                <w:lang w:eastAsia="ru-RU"/>
              </w:rPr>
            </w:pPr>
            <w:r w:rsidRPr="004761E0">
              <w:rPr>
                <w:rFonts w:eastAsia="Times New Roman"/>
                <w:b/>
                <w:color w:val="FFFFFF" w:themeColor="background1"/>
                <w:sz w:val="20"/>
                <w:szCs w:val="18"/>
                <w:lang w:eastAsia="ru-RU"/>
              </w:rPr>
              <w:t>№ п/п</w:t>
            </w:r>
          </w:p>
        </w:tc>
        <w:tc>
          <w:tcPr>
            <w:tcW w:w="1843" w:type="dxa"/>
            <w:tcBorders>
              <w:top w:val="nil"/>
              <w:left w:val="single" w:sz="4" w:space="0" w:color="FFFFFF" w:themeColor="background1"/>
              <w:bottom w:val="nil"/>
              <w:right w:val="single" w:sz="4" w:space="0" w:color="FFFFFF" w:themeColor="background1"/>
            </w:tcBorders>
            <w:shd w:val="clear" w:color="auto" w:fill="0F243E" w:themeFill="text2" w:themeFillShade="80"/>
            <w:vAlign w:val="center"/>
            <w:hideMark/>
          </w:tcPr>
          <w:p w:rsidR="00551AA6" w:rsidRPr="004761E0" w:rsidRDefault="00551AA6" w:rsidP="00551AA6">
            <w:pPr>
              <w:ind w:firstLine="0"/>
              <w:jc w:val="left"/>
              <w:rPr>
                <w:rFonts w:eastAsia="Times New Roman"/>
                <w:b/>
                <w:color w:val="FFFFFF" w:themeColor="background1"/>
                <w:sz w:val="20"/>
                <w:szCs w:val="18"/>
                <w:lang w:eastAsia="ru-RU"/>
              </w:rPr>
            </w:pPr>
            <w:r w:rsidRPr="004761E0">
              <w:rPr>
                <w:rFonts w:eastAsia="Times New Roman"/>
                <w:b/>
                <w:color w:val="FFFFFF" w:themeColor="background1"/>
                <w:sz w:val="20"/>
                <w:szCs w:val="18"/>
                <w:lang w:eastAsia="ru-RU"/>
              </w:rPr>
              <w:t>Наименование категории</w:t>
            </w:r>
          </w:p>
        </w:tc>
        <w:tc>
          <w:tcPr>
            <w:tcW w:w="2978" w:type="dxa"/>
            <w:tcBorders>
              <w:top w:val="nil"/>
              <w:left w:val="single" w:sz="4" w:space="0" w:color="FFFFFF" w:themeColor="background1"/>
              <w:bottom w:val="nil"/>
              <w:right w:val="single" w:sz="4" w:space="0" w:color="FFFFFF" w:themeColor="background1"/>
            </w:tcBorders>
            <w:shd w:val="clear" w:color="auto" w:fill="0F243E" w:themeFill="text2" w:themeFillShade="80"/>
            <w:vAlign w:val="center"/>
            <w:hideMark/>
          </w:tcPr>
          <w:p w:rsidR="00551AA6" w:rsidRPr="004761E0" w:rsidRDefault="00551AA6" w:rsidP="00551AA6">
            <w:pPr>
              <w:ind w:firstLine="0"/>
              <w:jc w:val="left"/>
              <w:rPr>
                <w:rFonts w:eastAsia="Times New Roman"/>
                <w:b/>
                <w:color w:val="FFFFFF" w:themeColor="background1"/>
                <w:sz w:val="20"/>
                <w:szCs w:val="18"/>
                <w:lang w:eastAsia="ru-RU"/>
              </w:rPr>
            </w:pPr>
            <w:r w:rsidRPr="004761E0">
              <w:rPr>
                <w:rFonts w:eastAsia="Times New Roman"/>
                <w:b/>
                <w:color w:val="FFFFFF" w:themeColor="background1"/>
                <w:sz w:val="20"/>
                <w:szCs w:val="18"/>
                <w:lang w:eastAsia="ru-RU"/>
              </w:rPr>
              <w:t>Комитет по надежности</w:t>
            </w:r>
          </w:p>
        </w:tc>
        <w:tc>
          <w:tcPr>
            <w:tcW w:w="2835" w:type="dxa"/>
            <w:tcBorders>
              <w:top w:val="nil"/>
              <w:left w:val="single" w:sz="4" w:space="0" w:color="FFFFFF" w:themeColor="background1"/>
              <w:bottom w:val="nil"/>
              <w:right w:val="single" w:sz="4" w:space="0" w:color="FFFFFF" w:themeColor="background1"/>
            </w:tcBorders>
            <w:shd w:val="clear" w:color="auto" w:fill="0F243E" w:themeFill="text2" w:themeFillShade="80"/>
            <w:vAlign w:val="center"/>
            <w:hideMark/>
          </w:tcPr>
          <w:p w:rsidR="00551AA6" w:rsidRPr="004761E0" w:rsidRDefault="00551AA6" w:rsidP="00551AA6">
            <w:pPr>
              <w:ind w:firstLine="0"/>
              <w:jc w:val="left"/>
              <w:rPr>
                <w:rFonts w:eastAsia="Times New Roman"/>
                <w:b/>
                <w:color w:val="FFFFFF" w:themeColor="background1"/>
                <w:sz w:val="20"/>
                <w:szCs w:val="18"/>
                <w:lang w:eastAsia="ru-RU"/>
              </w:rPr>
            </w:pPr>
            <w:r w:rsidRPr="004761E0">
              <w:rPr>
                <w:rFonts w:eastAsia="Times New Roman"/>
                <w:b/>
                <w:color w:val="FFFFFF" w:themeColor="background1"/>
                <w:sz w:val="20"/>
                <w:szCs w:val="18"/>
                <w:lang w:eastAsia="ru-RU"/>
              </w:rPr>
              <w:t>Комитет по технологическому присоединению к электрическим сетям</w:t>
            </w:r>
          </w:p>
        </w:tc>
        <w:tc>
          <w:tcPr>
            <w:tcW w:w="2693" w:type="dxa"/>
            <w:tcBorders>
              <w:top w:val="nil"/>
              <w:left w:val="single" w:sz="4" w:space="0" w:color="FFFFFF" w:themeColor="background1"/>
              <w:bottom w:val="nil"/>
              <w:right w:val="single" w:sz="4" w:space="0" w:color="FFFFFF" w:themeColor="background1"/>
            </w:tcBorders>
            <w:shd w:val="clear" w:color="auto" w:fill="0F243E" w:themeFill="text2" w:themeFillShade="80"/>
            <w:vAlign w:val="center"/>
            <w:hideMark/>
          </w:tcPr>
          <w:p w:rsidR="00551AA6" w:rsidRPr="004761E0" w:rsidRDefault="00551AA6" w:rsidP="00551AA6">
            <w:pPr>
              <w:ind w:firstLine="0"/>
              <w:jc w:val="left"/>
              <w:rPr>
                <w:rFonts w:eastAsia="Times New Roman"/>
                <w:b/>
                <w:color w:val="FFFFFF" w:themeColor="background1"/>
                <w:sz w:val="20"/>
                <w:szCs w:val="18"/>
                <w:lang w:eastAsia="ru-RU"/>
              </w:rPr>
            </w:pPr>
            <w:r w:rsidRPr="004761E0">
              <w:rPr>
                <w:rFonts w:eastAsia="Times New Roman"/>
                <w:b/>
                <w:color w:val="FFFFFF" w:themeColor="background1"/>
                <w:sz w:val="20"/>
                <w:szCs w:val="18"/>
                <w:lang w:eastAsia="ru-RU"/>
              </w:rPr>
              <w:t>Комитет по стратегии и развитию</w:t>
            </w:r>
          </w:p>
        </w:tc>
        <w:tc>
          <w:tcPr>
            <w:tcW w:w="2586" w:type="dxa"/>
            <w:tcBorders>
              <w:top w:val="nil"/>
              <w:left w:val="single" w:sz="4" w:space="0" w:color="FFFFFF" w:themeColor="background1"/>
              <w:bottom w:val="nil"/>
              <w:right w:val="single" w:sz="4" w:space="0" w:color="FFFFFF" w:themeColor="background1"/>
            </w:tcBorders>
            <w:shd w:val="clear" w:color="auto" w:fill="0F243E" w:themeFill="text2" w:themeFillShade="80"/>
            <w:vAlign w:val="center"/>
            <w:hideMark/>
          </w:tcPr>
          <w:p w:rsidR="00551AA6" w:rsidRPr="004761E0" w:rsidRDefault="00551AA6" w:rsidP="00551AA6">
            <w:pPr>
              <w:ind w:firstLine="0"/>
              <w:jc w:val="left"/>
              <w:rPr>
                <w:rFonts w:eastAsia="Times New Roman"/>
                <w:b/>
                <w:color w:val="FFFFFF" w:themeColor="background1"/>
                <w:sz w:val="20"/>
                <w:szCs w:val="18"/>
                <w:lang w:eastAsia="ru-RU"/>
              </w:rPr>
            </w:pPr>
            <w:r w:rsidRPr="004761E0">
              <w:rPr>
                <w:rFonts w:eastAsia="Times New Roman"/>
                <w:b/>
                <w:color w:val="FFFFFF" w:themeColor="background1"/>
                <w:sz w:val="20"/>
                <w:szCs w:val="18"/>
                <w:lang w:eastAsia="ru-RU"/>
              </w:rPr>
              <w:t>Комитет по аудиту</w:t>
            </w:r>
          </w:p>
        </w:tc>
        <w:tc>
          <w:tcPr>
            <w:tcW w:w="2694" w:type="dxa"/>
            <w:tcBorders>
              <w:top w:val="nil"/>
              <w:left w:val="single" w:sz="4" w:space="0" w:color="FFFFFF" w:themeColor="background1"/>
              <w:bottom w:val="nil"/>
              <w:right w:val="nil"/>
            </w:tcBorders>
            <w:shd w:val="clear" w:color="auto" w:fill="0F243E" w:themeFill="text2" w:themeFillShade="80"/>
            <w:vAlign w:val="center"/>
            <w:hideMark/>
          </w:tcPr>
          <w:p w:rsidR="00551AA6" w:rsidRPr="004761E0" w:rsidRDefault="00551AA6" w:rsidP="00551AA6">
            <w:pPr>
              <w:ind w:firstLine="0"/>
              <w:jc w:val="left"/>
              <w:rPr>
                <w:rFonts w:eastAsia="Times New Roman"/>
                <w:b/>
                <w:color w:val="FFFFFF" w:themeColor="background1"/>
                <w:sz w:val="20"/>
                <w:szCs w:val="18"/>
                <w:lang w:eastAsia="ru-RU"/>
              </w:rPr>
            </w:pPr>
            <w:r w:rsidRPr="004761E0">
              <w:rPr>
                <w:rFonts w:eastAsia="Times New Roman"/>
                <w:b/>
                <w:color w:val="FFFFFF" w:themeColor="background1"/>
                <w:sz w:val="20"/>
                <w:szCs w:val="18"/>
                <w:lang w:eastAsia="ru-RU"/>
              </w:rPr>
              <w:t>Комитет по кадрам и вознаграждениям</w:t>
            </w:r>
          </w:p>
        </w:tc>
      </w:tr>
      <w:tr w:rsidR="00551AA6" w:rsidRPr="004761E0" w:rsidTr="002103CF">
        <w:trPr>
          <w:trHeight w:val="1500"/>
        </w:trPr>
        <w:tc>
          <w:tcPr>
            <w:tcW w:w="567" w:type="dxa"/>
            <w:tcBorders>
              <w:top w:val="nil"/>
            </w:tcBorders>
            <w:shd w:val="clear" w:color="auto" w:fill="auto"/>
          </w:tcPr>
          <w:p w:rsidR="00551AA6" w:rsidRPr="004761E0" w:rsidRDefault="00551AA6" w:rsidP="007076A7">
            <w:pPr>
              <w:pStyle w:val="a5"/>
              <w:numPr>
                <w:ilvl w:val="0"/>
                <w:numId w:val="28"/>
              </w:numPr>
              <w:ind w:left="49" w:firstLine="0"/>
              <w:jc w:val="left"/>
              <w:rPr>
                <w:rFonts w:eastAsia="Times New Roman"/>
                <w:color w:val="000000"/>
                <w:sz w:val="20"/>
                <w:szCs w:val="18"/>
                <w:lang w:eastAsia="ru-RU"/>
              </w:rPr>
            </w:pPr>
          </w:p>
        </w:tc>
        <w:tc>
          <w:tcPr>
            <w:tcW w:w="1843" w:type="dxa"/>
            <w:tcBorders>
              <w:top w:val="nil"/>
            </w:tcBorders>
            <w:shd w:val="clear" w:color="auto" w:fill="auto"/>
          </w:tcPr>
          <w:p w:rsidR="00551AA6" w:rsidRPr="004761E0" w:rsidRDefault="00551AA6" w:rsidP="00551AA6">
            <w:pPr>
              <w:ind w:firstLine="0"/>
              <w:jc w:val="left"/>
              <w:rPr>
                <w:rFonts w:eastAsia="Times New Roman"/>
                <w:color w:val="000000"/>
                <w:sz w:val="20"/>
                <w:szCs w:val="18"/>
                <w:lang w:eastAsia="ru-RU"/>
              </w:rPr>
            </w:pPr>
            <w:r w:rsidRPr="004761E0">
              <w:rPr>
                <w:rFonts w:eastAsia="Times New Roman"/>
                <w:color w:val="000000"/>
                <w:sz w:val="20"/>
                <w:szCs w:val="18"/>
                <w:lang w:eastAsia="ru-RU"/>
              </w:rPr>
              <w:t>Цели деятельности Комитета</w:t>
            </w:r>
          </w:p>
        </w:tc>
        <w:tc>
          <w:tcPr>
            <w:tcW w:w="2978" w:type="dxa"/>
            <w:tcBorders>
              <w:top w:val="nil"/>
            </w:tcBorders>
            <w:shd w:val="clear" w:color="auto" w:fill="auto"/>
          </w:tcPr>
          <w:p w:rsidR="00551AA6" w:rsidRPr="004761E0" w:rsidRDefault="00551AA6" w:rsidP="00551AA6">
            <w:pPr>
              <w:ind w:firstLine="0"/>
              <w:jc w:val="left"/>
              <w:rPr>
                <w:rFonts w:eastAsia="Times New Roman"/>
                <w:sz w:val="20"/>
                <w:szCs w:val="18"/>
                <w:lang w:eastAsia="ru-RU"/>
              </w:rPr>
            </w:pPr>
            <w:r w:rsidRPr="004761E0">
              <w:rPr>
                <w:rFonts w:eastAsia="Times New Roman"/>
                <w:sz w:val="20"/>
                <w:szCs w:val="18"/>
                <w:lang w:eastAsia="ru-RU"/>
              </w:rPr>
              <w:t>Основной целью создания Комитета является обеспечение эффективной работы Совета директоров в решении вопросов отнесенных к его компетенции.</w:t>
            </w:r>
          </w:p>
        </w:tc>
        <w:tc>
          <w:tcPr>
            <w:tcW w:w="2835" w:type="dxa"/>
            <w:tcBorders>
              <w:top w:val="nil"/>
            </w:tcBorders>
            <w:shd w:val="clear" w:color="auto" w:fill="auto"/>
          </w:tcPr>
          <w:p w:rsidR="00551AA6" w:rsidRPr="004761E0" w:rsidRDefault="00551AA6" w:rsidP="00551AA6">
            <w:pPr>
              <w:ind w:firstLine="0"/>
              <w:jc w:val="left"/>
              <w:rPr>
                <w:rFonts w:eastAsia="Times New Roman"/>
                <w:sz w:val="20"/>
                <w:szCs w:val="18"/>
                <w:lang w:eastAsia="ru-RU"/>
              </w:rPr>
            </w:pPr>
            <w:r w:rsidRPr="004761E0">
              <w:rPr>
                <w:rFonts w:eastAsia="Times New Roman"/>
                <w:sz w:val="20"/>
                <w:szCs w:val="18"/>
                <w:lang w:eastAsia="ru-RU"/>
              </w:rPr>
              <w:t>Основной целью создания Комитета является обеспечение открытости деятельности и недискриминационного доступа к услугам  по технологическому присоединению потребителей к электрическим сетям Общества.</w:t>
            </w:r>
          </w:p>
        </w:tc>
        <w:tc>
          <w:tcPr>
            <w:tcW w:w="2693" w:type="dxa"/>
            <w:tcBorders>
              <w:top w:val="nil"/>
            </w:tcBorders>
            <w:shd w:val="clear" w:color="auto" w:fill="auto"/>
          </w:tcPr>
          <w:p w:rsidR="00551AA6" w:rsidRPr="004761E0" w:rsidRDefault="00551AA6" w:rsidP="00551AA6">
            <w:pPr>
              <w:ind w:firstLine="0"/>
              <w:jc w:val="left"/>
              <w:rPr>
                <w:rFonts w:eastAsia="Times New Roman"/>
                <w:sz w:val="20"/>
                <w:szCs w:val="18"/>
                <w:lang w:eastAsia="ru-RU"/>
              </w:rPr>
            </w:pPr>
            <w:r w:rsidRPr="004761E0">
              <w:rPr>
                <w:rFonts w:eastAsia="Times New Roman"/>
                <w:sz w:val="20"/>
                <w:szCs w:val="18"/>
                <w:lang w:eastAsia="ru-RU"/>
              </w:rPr>
              <w:t>Основной целью создания Комитета является обеспечение эффективной работы Совета директоров в решении вопросов отнесенных к его компетенции.</w:t>
            </w:r>
          </w:p>
        </w:tc>
        <w:tc>
          <w:tcPr>
            <w:tcW w:w="2586" w:type="dxa"/>
            <w:tcBorders>
              <w:top w:val="nil"/>
            </w:tcBorders>
            <w:shd w:val="clear" w:color="auto" w:fill="auto"/>
          </w:tcPr>
          <w:p w:rsidR="00551AA6" w:rsidRPr="004761E0" w:rsidRDefault="00551AA6" w:rsidP="00551AA6">
            <w:pPr>
              <w:ind w:firstLine="0"/>
              <w:jc w:val="left"/>
              <w:rPr>
                <w:rFonts w:eastAsia="Times New Roman"/>
                <w:sz w:val="20"/>
                <w:szCs w:val="18"/>
                <w:lang w:eastAsia="ru-RU"/>
              </w:rPr>
            </w:pPr>
            <w:r w:rsidRPr="004761E0">
              <w:rPr>
                <w:rFonts w:eastAsia="Times New Roman"/>
                <w:sz w:val="20"/>
                <w:szCs w:val="18"/>
                <w:lang w:eastAsia="ru-RU"/>
              </w:rPr>
              <w:t>Целью Комитета является обеспечение эффективного участия Совета директоров в осуществлении контроля финансово-хозяйственной деятельности Общества.</w:t>
            </w:r>
          </w:p>
        </w:tc>
        <w:tc>
          <w:tcPr>
            <w:tcW w:w="2694" w:type="dxa"/>
            <w:tcBorders>
              <w:top w:val="nil"/>
            </w:tcBorders>
            <w:shd w:val="clear" w:color="auto" w:fill="auto"/>
          </w:tcPr>
          <w:p w:rsidR="00551AA6" w:rsidRPr="004761E0" w:rsidRDefault="00551AA6" w:rsidP="00551AA6">
            <w:pPr>
              <w:ind w:firstLine="0"/>
              <w:jc w:val="left"/>
              <w:rPr>
                <w:rFonts w:eastAsia="Times New Roman"/>
                <w:sz w:val="20"/>
                <w:szCs w:val="18"/>
                <w:lang w:eastAsia="ru-RU"/>
              </w:rPr>
            </w:pPr>
            <w:r w:rsidRPr="004761E0">
              <w:rPr>
                <w:rFonts w:eastAsia="Times New Roman"/>
                <w:sz w:val="20"/>
                <w:szCs w:val="18"/>
                <w:lang w:eastAsia="ru-RU"/>
              </w:rPr>
              <w:t>Основной целью создания Комитета является обеспечение эффективной работы Совета директоров в решении вопросов, отнесенных к его компетенции и разработка необходимых рекомендаций Совету директоров и исполнительным органам Общества.</w:t>
            </w:r>
          </w:p>
        </w:tc>
      </w:tr>
      <w:tr w:rsidR="00551AA6" w:rsidRPr="004761E0" w:rsidTr="002103CF">
        <w:trPr>
          <w:trHeight w:val="4525"/>
        </w:trPr>
        <w:tc>
          <w:tcPr>
            <w:tcW w:w="567" w:type="dxa"/>
            <w:shd w:val="clear" w:color="auto" w:fill="auto"/>
          </w:tcPr>
          <w:p w:rsidR="00551AA6" w:rsidRPr="004761E0" w:rsidRDefault="00551AA6" w:rsidP="007076A7">
            <w:pPr>
              <w:pStyle w:val="a5"/>
              <w:numPr>
                <w:ilvl w:val="0"/>
                <w:numId w:val="28"/>
              </w:numPr>
              <w:ind w:left="49" w:firstLine="0"/>
              <w:jc w:val="left"/>
              <w:rPr>
                <w:rFonts w:eastAsia="Times New Roman"/>
                <w:color w:val="000000"/>
                <w:sz w:val="20"/>
                <w:szCs w:val="18"/>
                <w:lang w:eastAsia="ru-RU"/>
              </w:rPr>
            </w:pPr>
          </w:p>
        </w:tc>
        <w:tc>
          <w:tcPr>
            <w:tcW w:w="1843" w:type="dxa"/>
            <w:shd w:val="clear" w:color="auto" w:fill="auto"/>
            <w:hideMark/>
          </w:tcPr>
          <w:p w:rsidR="00551AA6" w:rsidRPr="004761E0" w:rsidRDefault="00551AA6" w:rsidP="00551AA6">
            <w:pPr>
              <w:ind w:firstLine="0"/>
              <w:jc w:val="left"/>
              <w:rPr>
                <w:rFonts w:eastAsia="Times New Roman"/>
                <w:color w:val="000000"/>
                <w:sz w:val="20"/>
                <w:szCs w:val="18"/>
                <w:lang w:eastAsia="ru-RU"/>
              </w:rPr>
            </w:pPr>
            <w:r w:rsidRPr="004761E0">
              <w:rPr>
                <w:rFonts w:eastAsia="Times New Roman"/>
                <w:color w:val="000000"/>
                <w:sz w:val="20"/>
                <w:szCs w:val="18"/>
                <w:lang w:eastAsia="ru-RU"/>
              </w:rPr>
              <w:t>Задачи Комитета</w:t>
            </w:r>
          </w:p>
        </w:tc>
        <w:tc>
          <w:tcPr>
            <w:tcW w:w="2978" w:type="dxa"/>
            <w:shd w:val="clear" w:color="auto" w:fill="auto"/>
            <w:hideMark/>
          </w:tcPr>
          <w:p w:rsidR="00551AA6" w:rsidRPr="004761E0" w:rsidRDefault="00551AA6" w:rsidP="00551AA6">
            <w:pPr>
              <w:ind w:firstLine="0"/>
              <w:jc w:val="left"/>
              <w:rPr>
                <w:rFonts w:eastAsia="Times New Roman"/>
                <w:sz w:val="20"/>
                <w:szCs w:val="18"/>
                <w:lang w:eastAsia="ru-RU"/>
              </w:rPr>
            </w:pPr>
            <w:r w:rsidRPr="004761E0">
              <w:rPr>
                <w:rFonts w:eastAsia="Times New Roman"/>
                <w:sz w:val="20"/>
                <w:szCs w:val="18"/>
                <w:lang w:eastAsia="ru-RU"/>
              </w:rPr>
              <w:t>Задачами Комитета являются:</w:t>
            </w:r>
          </w:p>
          <w:p w:rsidR="00551AA6" w:rsidRPr="004761E0" w:rsidRDefault="00551AA6" w:rsidP="007076A7">
            <w:pPr>
              <w:pStyle w:val="a5"/>
              <w:numPr>
                <w:ilvl w:val="0"/>
                <w:numId w:val="29"/>
              </w:numPr>
              <w:ind w:left="317" w:hanging="317"/>
              <w:jc w:val="left"/>
              <w:rPr>
                <w:rFonts w:eastAsia="Times New Roman"/>
                <w:sz w:val="20"/>
                <w:szCs w:val="18"/>
                <w:lang w:eastAsia="ru-RU"/>
              </w:rPr>
            </w:pPr>
            <w:r w:rsidRPr="004761E0">
              <w:rPr>
                <w:rFonts w:eastAsia="Times New Roman"/>
                <w:sz w:val="20"/>
                <w:szCs w:val="18"/>
                <w:lang w:eastAsia="ru-RU"/>
              </w:rPr>
              <w:t>Выработка и представление рекомендаций (заключений) Совету директоров по следующим направлениям деятельности Совета директоров:</w:t>
            </w:r>
          </w:p>
          <w:p w:rsidR="00551AA6" w:rsidRPr="004761E0" w:rsidRDefault="00551AA6" w:rsidP="007076A7">
            <w:pPr>
              <w:pStyle w:val="a5"/>
              <w:numPr>
                <w:ilvl w:val="0"/>
                <w:numId w:val="30"/>
              </w:numPr>
              <w:ind w:left="601" w:hanging="284"/>
              <w:jc w:val="left"/>
              <w:rPr>
                <w:rFonts w:eastAsia="Times New Roman"/>
                <w:sz w:val="20"/>
                <w:szCs w:val="18"/>
                <w:lang w:eastAsia="ru-RU"/>
              </w:rPr>
            </w:pPr>
            <w:r w:rsidRPr="004761E0">
              <w:rPr>
                <w:rFonts w:eastAsia="Times New Roman"/>
                <w:sz w:val="20"/>
                <w:szCs w:val="18"/>
                <w:lang w:eastAsia="ru-RU"/>
              </w:rPr>
              <w:t>экспертиза инвестиционных программ и планов по ремонту энергообъектов, анализ их исполнения с точки зрения обеспечения требований комплексной надежности;</w:t>
            </w:r>
          </w:p>
          <w:p w:rsidR="00551AA6" w:rsidRPr="004761E0" w:rsidRDefault="00551AA6" w:rsidP="007076A7">
            <w:pPr>
              <w:pStyle w:val="a5"/>
              <w:numPr>
                <w:ilvl w:val="0"/>
                <w:numId w:val="30"/>
              </w:numPr>
              <w:ind w:left="601" w:hanging="284"/>
              <w:jc w:val="left"/>
              <w:rPr>
                <w:rFonts w:eastAsia="Times New Roman"/>
                <w:sz w:val="20"/>
                <w:szCs w:val="18"/>
                <w:lang w:eastAsia="ru-RU"/>
              </w:rPr>
            </w:pPr>
            <w:r w:rsidRPr="004761E0">
              <w:rPr>
                <w:rFonts w:eastAsia="Times New Roman"/>
                <w:sz w:val="20"/>
                <w:szCs w:val="18"/>
                <w:lang w:eastAsia="ru-RU"/>
              </w:rPr>
              <w:t>оценка полноты и достаточности мероприятий по результатам аварий и крупных технологических нарушений, а также контроль их исполнения;</w:t>
            </w:r>
          </w:p>
          <w:p w:rsidR="00551AA6" w:rsidRPr="004761E0" w:rsidRDefault="00551AA6" w:rsidP="007076A7">
            <w:pPr>
              <w:pStyle w:val="a5"/>
              <w:numPr>
                <w:ilvl w:val="0"/>
                <w:numId w:val="30"/>
              </w:numPr>
              <w:ind w:left="601" w:hanging="284"/>
              <w:jc w:val="left"/>
              <w:rPr>
                <w:rFonts w:eastAsia="Times New Roman"/>
                <w:sz w:val="20"/>
                <w:szCs w:val="18"/>
                <w:lang w:eastAsia="ru-RU"/>
              </w:rPr>
            </w:pPr>
            <w:r w:rsidRPr="004761E0">
              <w:rPr>
                <w:rFonts w:eastAsia="Times New Roman"/>
                <w:sz w:val="20"/>
                <w:szCs w:val="18"/>
                <w:lang w:eastAsia="ru-RU"/>
              </w:rPr>
              <w:t>контроль и оценка деятельности технических служб Общества в части:</w:t>
            </w:r>
            <w:r w:rsidRPr="004761E0">
              <w:rPr>
                <w:rFonts w:eastAsia="Times New Roman"/>
                <w:sz w:val="20"/>
                <w:szCs w:val="18"/>
                <w:lang w:eastAsia="ru-RU"/>
              </w:rPr>
              <w:br/>
              <w:t>- обеспечения комплексной надежности работы сетевого и генерирующего оборудования и сооружений;</w:t>
            </w:r>
            <w:r w:rsidRPr="004761E0">
              <w:rPr>
                <w:rFonts w:eastAsia="Times New Roman"/>
                <w:sz w:val="20"/>
                <w:szCs w:val="18"/>
                <w:lang w:eastAsia="ru-RU"/>
              </w:rPr>
              <w:br/>
              <w:t xml:space="preserve">- обеспечения нормального состояния основных фондов и доведения информации о прогнозируемых рисках надежности их </w:t>
            </w:r>
            <w:r w:rsidRPr="004761E0">
              <w:rPr>
                <w:rFonts w:eastAsia="Times New Roman"/>
                <w:sz w:val="20"/>
                <w:szCs w:val="18"/>
                <w:lang w:eastAsia="ru-RU"/>
              </w:rPr>
              <w:lastRenderedPageBreak/>
              <w:t>функционирования;</w:t>
            </w:r>
          </w:p>
          <w:p w:rsidR="00551AA6" w:rsidRPr="004761E0" w:rsidRDefault="00551AA6" w:rsidP="007076A7">
            <w:pPr>
              <w:pStyle w:val="a5"/>
              <w:numPr>
                <w:ilvl w:val="0"/>
                <w:numId w:val="30"/>
              </w:numPr>
              <w:ind w:left="601" w:hanging="284"/>
              <w:jc w:val="left"/>
              <w:rPr>
                <w:rFonts w:eastAsia="Times New Roman"/>
                <w:sz w:val="20"/>
                <w:szCs w:val="18"/>
                <w:lang w:eastAsia="ru-RU"/>
              </w:rPr>
            </w:pPr>
            <w:r w:rsidRPr="004761E0">
              <w:rPr>
                <w:rFonts w:eastAsia="Times New Roman"/>
                <w:sz w:val="20"/>
                <w:szCs w:val="18"/>
                <w:lang w:eastAsia="ru-RU"/>
              </w:rPr>
              <w:t>анализ мероприятий по выполнению договорных и экономических механизмов управления надежностью.</w:t>
            </w:r>
          </w:p>
          <w:p w:rsidR="00551AA6" w:rsidRPr="004761E0" w:rsidRDefault="00551AA6" w:rsidP="007076A7">
            <w:pPr>
              <w:pStyle w:val="a5"/>
              <w:numPr>
                <w:ilvl w:val="0"/>
                <w:numId w:val="29"/>
              </w:numPr>
              <w:ind w:left="317" w:hanging="317"/>
              <w:jc w:val="left"/>
              <w:rPr>
                <w:rFonts w:eastAsia="Times New Roman"/>
                <w:sz w:val="20"/>
                <w:szCs w:val="18"/>
                <w:lang w:eastAsia="ru-RU"/>
              </w:rPr>
            </w:pPr>
            <w:r w:rsidRPr="004761E0">
              <w:rPr>
                <w:rFonts w:eastAsia="Times New Roman"/>
                <w:sz w:val="20"/>
                <w:szCs w:val="18"/>
                <w:lang w:eastAsia="ru-RU"/>
              </w:rPr>
              <w:t>Ежеквартальное информирование Совета директоров о состоянии основных фондов энергетических объектов Общества.</w:t>
            </w:r>
          </w:p>
        </w:tc>
        <w:tc>
          <w:tcPr>
            <w:tcW w:w="2835" w:type="dxa"/>
            <w:shd w:val="clear" w:color="auto" w:fill="auto"/>
            <w:hideMark/>
          </w:tcPr>
          <w:p w:rsidR="00551AA6" w:rsidRPr="004761E0" w:rsidRDefault="00551AA6" w:rsidP="00551AA6">
            <w:pPr>
              <w:ind w:firstLine="0"/>
              <w:jc w:val="left"/>
              <w:rPr>
                <w:rFonts w:eastAsia="Times New Roman"/>
                <w:sz w:val="20"/>
                <w:szCs w:val="18"/>
                <w:lang w:eastAsia="ru-RU"/>
              </w:rPr>
            </w:pPr>
            <w:r w:rsidRPr="004761E0">
              <w:rPr>
                <w:rFonts w:eastAsia="Times New Roman"/>
                <w:sz w:val="20"/>
                <w:szCs w:val="18"/>
                <w:lang w:eastAsia="ru-RU"/>
              </w:rPr>
              <w:lastRenderedPageBreak/>
              <w:t>Задачей Комитета является выработка и представление рекомендаций (заключений) Совету директоров по следующим направлениям деятельности Совета директоров:</w:t>
            </w:r>
          </w:p>
          <w:p w:rsidR="00551AA6" w:rsidRPr="004761E0" w:rsidRDefault="00551AA6" w:rsidP="007076A7">
            <w:pPr>
              <w:pStyle w:val="a5"/>
              <w:numPr>
                <w:ilvl w:val="0"/>
                <w:numId w:val="31"/>
              </w:numPr>
              <w:ind w:left="317" w:hanging="284"/>
              <w:jc w:val="left"/>
              <w:rPr>
                <w:rFonts w:eastAsia="Times New Roman"/>
                <w:sz w:val="20"/>
                <w:szCs w:val="18"/>
                <w:lang w:eastAsia="ru-RU"/>
              </w:rPr>
            </w:pPr>
            <w:r w:rsidRPr="004761E0">
              <w:rPr>
                <w:rFonts w:eastAsia="Times New Roman"/>
                <w:sz w:val="20"/>
                <w:szCs w:val="18"/>
                <w:lang w:eastAsia="ru-RU"/>
              </w:rPr>
              <w:t>выработка предложений по совершенствованию законодательной базы антимонопольного регулирования и обеспечения недискриминационного доступа к услугам  по технологическому присоединению потребителей к электрическим сетям;</w:t>
            </w:r>
          </w:p>
          <w:p w:rsidR="00551AA6" w:rsidRPr="004761E0" w:rsidRDefault="00551AA6" w:rsidP="007076A7">
            <w:pPr>
              <w:pStyle w:val="a5"/>
              <w:numPr>
                <w:ilvl w:val="0"/>
                <w:numId w:val="31"/>
              </w:numPr>
              <w:ind w:left="317" w:hanging="284"/>
              <w:jc w:val="left"/>
              <w:rPr>
                <w:rFonts w:eastAsia="Times New Roman"/>
                <w:sz w:val="20"/>
                <w:szCs w:val="18"/>
                <w:lang w:eastAsia="ru-RU"/>
              </w:rPr>
            </w:pPr>
            <w:r w:rsidRPr="004761E0">
              <w:rPr>
                <w:rFonts w:eastAsia="Times New Roman"/>
                <w:sz w:val="20"/>
                <w:szCs w:val="18"/>
                <w:lang w:eastAsia="ru-RU"/>
              </w:rPr>
              <w:t>выработка предложений по совершенствованию внутренних регламентов и стандартов Общества по обеспечению недискриминационного доступа к услугам  по технологическому присоединению потребителей к электрическим сетям;</w:t>
            </w:r>
          </w:p>
          <w:p w:rsidR="00551AA6" w:rsidRPr="004761E0" w:rsidRDefault="00551AA6" w:rsidP="007076A7">
            <w:pPr>
              <w:pStyle w:val="a5"/>
              <w:numPr>
                <w:ilvl w:val="0"/>
                <w:numId w:val="31"/>
              </w:numPr>
              <w:ind w:left="317" w:hanging="284"/>
              <w:jc w:val="left"/>
              <w:rPr>
                <w:rFonts w:eastAsia="Times New Roman"/>
                <w:sz w:val="20"/>
                <w:szCs w:val="18"/>
                <w:lang w:eastAsia="ru-RU"/>
              </w:rPr>
            </w:pPr>
            <w:r w:rsidRPr="004761E0">
              <w:rPr>
                <w:rFonts w:eastAsia="Times New Roman"/>
                <w:sz w:val="20"/>
                <w:szCs w:val="18"/>
                <w:lang w:eastAsia="ru-RU"/>
              </w:rPr>
              <w:t>выработка принципов и критериев оценки эффективности деятельности Общества по технологическому присоединению потребителей к электрическим сетям;</w:t>
            </w:r>
          </w:p>
          <w:p w:rsidR="00551AA6" w:rsidRPr="004761E0" w:rsidRDefault="00551AA6" w:rsidP="007076A7">
            <w:pPr>
              <w:pStyle w:val="a5"/>
              <w:numPr>
                <w:ilvl w:val="0"/>
                <w:numId w:val="31"/>
              </w:numPr>
              <w:ind w:left="317" w:hanging="284"/>
              <w:jc w:val="left"/>
              <w:rPr>
                <w:rFonts w:eastAsia="Times New Roman"/>
                <w:sz w:val="20"/>
                <w:szCs w:val="18"/>
                <w:lang w:eastAsia="ru-RU"/>
              </w:rPr>
            </w:pPr>
            <w:r w:rsidRPr="004761E0">
              <w:rPr>
                <w:rFonts w:eastAsia="Times New Roman"/>
                <w:sz w:val="20"/>
                <w:szCs w:val="18"/>
                <w:lang w:eastAsia="ru-RU"/>
              </w:rPr>
              <w:t xml:space="preserve">оценка эффективности деятельности Общества по технологическому </w:t>
            </w:r>
            <w:r w:rsidRPr="004761E0">
              <w:rPr>
                <w:rFonts w:eastAsia="Times New Roman"/>
                <w:sz w:val="20"/>
                <w:szCs w:val="18"/>
                <w:lang w:eastAsia="ru-RU"/>
              </w:rPr>
              <w:lastRenderedPageBreak/>
              <w:t>присоединению потребителей к электрическим сетям;</w:t>
            </w:r>
          </w:p>
          <w:p w:rsidR="00551AA6" w:rsidRPr="004761E0" w:rsidRDefault="00551AA6" w:rsidP="007076A7">
            <w:pPr>
              <w:pStyle w:val="a5"/>
              <w:numPr>
                <w:ilvl w:val="0"/>
                <w:numId w:val="31"/>
              </w:numPr>
              <w:ind w:left="317" w:hanging="284"/>
              <w:jc w:val="left"/>
              <w:rPr>
                <w:rFonts w:eastAsia="Times New Roman"/>
                <w:sz w:val="20"/>
                <w:szCs w:val="18"/>
                <w:lang w:eastAsia="ru-RU"/>
              </w:rPr>
            </w:pPr>
            <w:r w:rsidRPr="004761E0">
              <w:rPr>
                <w:rFonts w:eastAsia="Times New Roman"/>
                <w:sz w:val="20"/>
                <w:szCs w:val="18"/>
                <w:lang w:eastAsia="ru-RU"/>
              </w:rPr>
              <w:t>анализ текущей ситуации по Обществу, и подготовка предложений Совету директоров в части технологического присоединения потребителей к электрическим сетям.</w:t>
            </w:r>
          </w:p>
        </w:tc>
        <w:tc>
          <w:tcPr>
            <w:tcW w:w="2693" w:type="dxa"/>
            <w:shd w:val="clear" w:color="auto" w:fill="auto"/>
            <w:hideMark/>
          </w:tcPr>
          <w:p w:rsidR="00551AA6" w:rsidRPr="004761E0" w:rsidRDefault="00551AA6" w:rsidP="00551AA6">
            <w:pPr>
              <w:ind w:firstLine="0"/>
              <w:jc w:val="left"/>
              <w:rPr>
                <w:rFonts w:eastAsia="Times New Roman"/>
                <w:sz w:val="20"/>
                <w:szCs w:val="18"/>
                <w:lang w:eastAsia="ru-RU"/>
              </w:rPr>
            </w:pPr>
            <w:r w:rsidRPr="004761E0">
              <w:rPr>
                <w:rFonts w:eastAsia="Times New Roman"/>
                <w:sz w:val="20"/>
                <w:szCs w:val="18"/>
                <w:lang w:eastAsia="ru-RU"/>
              </w:rPr>
              <w:lastRenderedPageBreak/>
              <w:t>Задачами Комитета являются выработка и представление рекомендаций (заключений) Совету директоров по следующим направлениям деятельности Совета директоров:</w:t>
            </w:r>
          </w:p>
          <w:p w:rsidR="00551AA6" w:rsidRPr="004761E0" w:rsidRDefault="00551AA6" w:rsidP="007076A7">
            <w:pPr>
              <w:pStyle w:val="a5"/>
              <w:numPr>
                <w:ilvl w:val="0"/>
                <w:numId w:val="32"/>
              </w:numPr>
              <w:ind w:left="317" w:hanging="283"/>
              <w:jc w:val="left"/>
              <w:rPr>
                <w:rFonts w:eastAsia="Times New Roman"/>
                <w:sz w:val="20"/>
                <w:szCs w:val="18"/>
                <w:lang w:eastAsia="ru-RU"/>
              </w:rPr>
            </w:pPr>
            <w:r w:rsidRPr="004761E0">
              <w:rPr>
                <w:rFonts w:eastAsia="Times New Roman"/>
                <w:sz w:val="20"/>
                <w:szCs w:val="18"/>
                <w:lang w:eastAsia="ru-RU"/>
              </w:rPr>
              <w:t>определение приоритетных направлений, стратегических целей и основных принципов стратегического развития Общества;</w:t>
            </w:r>
          </w:p>
          <w:p w:rsidR="00551AA6" w:rsidRPr="004761E0" w:rsidRDefault="00551AA6" w:rsidP="007076A7">
            <w:pPr>
              <w:pStyle w:val="a5"/>
              <w:numPr>
                <w:ilvl w:val="0"/>
                <w:numId w:val="32"/>
              </w:numPr>
              <w:ind w:left="317" w:hanging="283"/>
              <w:jc w:val="left"/>
              <w:rPr>
                <w:rFonts w:eastAsia="Times New Roman"/>
                <w:sz w:val="20"/>
                <w:szCs w:val="18"/>
                <w:lang w:eastAsia="ru-RU"/>
              </w:rPr>
            </w:pPr>
            <w:r w:rsidRPr="004761E0">
              <w:rPr>
                <w:rFonts w:eastAsia="Times New Roman"/>
                <w:sz w:val="20"/>
                <w:szCs w:val="18"/>
                <w:lang w:eastAsia="ru-RU"/>
              </w:rPr>
              <w:t>повышение инвестиционной привлекательности Общества, совершенствование инвестиционной деятельности и принятие обоснованных инвестиционных решений;</w:t>
            </w:r>
          </w:p>
          <w:p w:rsidR="00551AA6" w:rsidRPr="004761E0" w:rsidRDefault="00551AA6" w:rsidP="007076A7">
            <w:pPr>
              <w:pStyle w:val="a5"/>
              <w:numPr>
                <w:ilvl w:val="0"/>
                <w:numId w:val="32"/>
              </w:numPr>
              <w:ind w:left="317" w:hanging="283"/>
              <w:jc w:val="left"/>
              <w:rPr>
                <w:rFonts w:eastAsia="Times New Roman"/>
                <w:sz w:val="20"/>
                <w:szCs w:val="18"/>
                <w:lang w:eastAsia="ru-RU"/>
              </w:rPr>
            </w:pPr>
            <w:r w:rsidRPr="004761E0">
              <w:rPr>
                <w:rFonts w:eastAsia="Times New Roman"/>
                <w:sz w:val="20"/>
                <w:szCs w:val="18"/>
                <w:lang w:eastAsia="ru-RU"/>
              </w:rPr>
              <w:t>корректировка существующей стратегии развития Общества;</w:t>
            </w:r>
          </w:p>
          <w:p w:rsidR="00551AA6" w:rsidRPr="004761E0" w:rsidRDefault="00551AA6" w:rsidP="007076A7">
            <w:pPr>
              <w:pStyle w:val="a5"/>
              <w:numPr>
                <w:ilvl w:val="0"/>
                <w:numId w:val="32"/>
              </w:numPr>
              <w:ind w:left="317" w:hanging="283"/>
              <w:jc w:val="left"/>
              <w:rPr>
                <w:rFonts w:eastAsia="Times New Roman"/>
                <w:sz w:val="20"/>
                <w:szCs w:val="18"/>
                <w:lang w:eastAsia="ru-RU"/>
              </w:rPr>
            </w:pPr>
            <w:r w:rsidRPr="004761E0">
              <w:rPr>
                <w:rFonts w:eastAsia="Times New Roman"/>
                <w:sz w:val="20"/>
                <w:szCs w:val="18"/>
                <w:lang w:eastAsia="ru-RU"/>
              </w:rPr>
              <w:t>контроль за ходом реализации принятых программ, проектов и процесса реформирования Общества;</w:t>
            </w:r>
          </w:p>
          <w:p w:rsidR="00551AA6" w:rsidRPr="004761E0" w:rsidRDefault="00551AA6" w:rsidP="007076A7">
            <w:pPr>
              <w:pStyle w:val="a5"/>
              <w:numPr>
                <w:ilvl w:val="0"/>
                <w:numId w:val="32"/>
              </w:numPr>
              <w:ind w:left="317" w:hanging="283"/>
              <w:jc w:val="left"/>
              <w:rPr>
                <w:rFonts w:eastAsia="Times New Roman"/>
                <w:sz w:val="20"/>
                <w:szCs w:val="18"/>
                <w:lang w:eastAsia="ru-RU"/>
              </w:rPr>
            </w:pPr>
            <w:r w:rsidRPr="004761E0">
              <w:rPr>
                <w:rFonts w:eastAsia="Times New Roman"/>
                <w:sz w:val="20"/>
                <w:szCs w:val="18"/>
                <w:lang w:eastAsia="ru-RU"/>
              </w:rPr>
              <w:t>определение и совершенствование политики в области бизнес-планирования и бюджетирования Общества;</w:t>
            </w:r>
          </w:p>
          <w:p w:rsidR="00551AA6" w:rsidRPr="004761E0" w:rsidRDefault="00551AA6" w:rsidP="007076A7">
            <w:pPr>
              <w:pStyle w:val="a5"/>
              <w:numPr>
                <w:ilvl w:val="0"/>
                <w:numId w:val="32"/>
              </w:numPr>
              <w:ind w:left="317" w:hanging="283"/>
              <w:jc w:val="left"/>
              <w:rPr>
                <w:rFonts w:eastAsia="Times New Roman"/>
                <w:sz w:val="20"/>
                <w:szCs w:val="18"/>
                <w:lang w:eastAsia="ru-RU"/>
              </w:rPr>
            </w:pPr>
            <w:r w:rsidRPr="004761E0">
              <w:rPr>
                <w:rFonts w:eastAsia="Times New Roman"/>
                <w:sz w:val="20"/>
                <w:szCs w:val="18"/>
                <w:lang w:eastAsia="ru-RU"/>
              </w:rPr>
              <w:lastRenderedPageBreak/>
              <w:t>контроль за реализацией утвержденного бизнес-плана и бюджета Общества;</w:t>
            </w:r>
          </w:p>
          <w:p w:rsidR="00551AA6" w:rsidRPr="004761E0" w:rsidRDefault="00551AA6" w:rsidP="007076A7">
            <w:pPr>
              <w:pStyle w:val="a5"/>
              <w:numPr>
                <w:ilvl w:val="0"/>
                <w:numId w:val="32"/>
              </w:numPr>
              <w:ind w:left="317" w:hanging="283"/>
              <w:jc w:val="left"/>
              <w:rPr>
                <w:rFonts w:eastAsia="Times New Roman"/>
                <w:sz w:val="20"/>
                <w:szCs w:val="18"/>
                <w:lang w:eastAsia="ru-RU"/>
              </w:rPr>
            </w:pPr>
            <w:r w:rsidRPr="004761E0">
              <w:rPr>
                <w:rFonts w:eastAsia="Times New Roman"/>
                <w:sz w:val="20"/>
                <w:szCs w:val="18"/>
                <w:lang w:eastAsia="ru-RU"/>
              </w:rPr>
              <w:t>выработка рекомендаций по дивидендной политике Общества;</w:t>
            </w:r>
          </w:p>
          <w:p w:rsidR="00551AA6" w:rsidRPr="004761E0" w:rsidRDefault="00551AA6" w:rsidP="007076A7">
            <w:pPr>
              <w:pStyle w:val="a5"/>
              <w:numPr>
                <w:ilvl w:val="0"/>
                <w:numId w:val="32"/>
              </w:numPr>
              <w:ind w:left="317" w:hanging="283"/>
              <w:jc w:val="left"/>
              <w:rPr>
                <w:rFonts w:eastAsia="Times New Roman"/>
                <w:sz w:val="20"/>
                <w:szCs w:val="18"/>
                <w:lang w:eastAsia="ru-RU"/>
              </w:rPr>
            </w:pPr>
            <w:r w:rsidRPr="004761E0">
              <w:rPr>
                <w:rFonts w:eastAsia="Times New Roman"/>
                <w:sz w:val="20"/>
                <w:szCs w:val="18"/>
                <w:lang w:eastAsia="ru-RU"/>
              </w:rPr>
              <w:t>оценка эффективности деятельности Общества.</w:t>
            </w:r>
          </w:p>
        </w:tc>
        <w:tc>
          <w:tcPr>
            <w:tcW w:w="2586" w:type="dxa"/>
            <w:shd w:val="clear" w:color="auto" w:fill="auto"/>
            <w:hideMark/>
          </w:tcPr>
          <w:p w:rsidR="00551AA6" w:rsidRPr="004761E0" w:rsidRDefault="00551AA6" w:rsidP="00551AA6">
            <w:pPr>
              <w:ind w:firstLine="0"/>
              <w:jc w:val="left"/>
              <w:rPr>
                <w:rFonts w:eastAsia="Times New Roman"/>
                <w:sz w:val="20"/>
                <w:szCs w:val="18"/>
                <w:lang w:eastAsia="ru-RU"/>
              </w:rPr>
            </w:pPr>
            <w:r w:rsidRPr="004761E0">
              <w:rPr>
                <w:rFonts w:eastAsia="Times New Roman"/>
                <w:sz w:val="20"/>
                <w:szCs w:val="18"/>
                <w:lang w:eastAsia="ru-RU"/>
              </w:rPr>
              <w:lastRenderedPageBreak/>
              <w:t>Основной задачей Комитета является разработка и представление рекомендаций Совету директоров по обеспечению:</w:t>
            </w:r>
          </w:p>
          <w:p w:rsidR="00551AA6" w:rsidRPr="004761E0" w:rsidRDefault="00551AA6" w:rsidP="007076A7">
            <w:pPr>
              <w:pStyle w:val="a5"/>
              <w:numPr>
                <w:ilvl w:val="0"/>
                <w:numId w:val="33"/>
              </w:numPr>
              <w:ind w:left="318" w:hanging="284"/>
              <w:jc w:val="left"/>
              <w:rPr>
                <w:rFonts w:eastAsia="Times New Roman"/>
                <w:sz w:val="20"/>
                <w:szCs w:val="18"/>
                <w:lang w:eastAsia="ru-RU"/>
              </w:rPr>
            </w:pPr>
            <w:r w:rsidRPr="004761E0">
              <w:rPr>
                <w:rFonts w:eastAsia="Times New Roman"/>
                <w:sz w:val="20"/>
                <w:szCs w:val="18"/>
                <w:lang w:eastAsia="ru-RU"/>
              </w:rPr>
              <w:t>достоверности финансовой (бухгалтерской) отчетности, включая рассмотрение финансовой (бухгалтерской) отчетности;</w:t>
            </w:r>
          </w:p>
          <w:p w:rsidR="00551AA6" w:rsidRPr="004761E0" w:rsidRDefault="00551AA6" w:rsidP="007076A7">
            <w:pPr>
              <w:pStyle w:val="a5"/>
              <w:numPr>
                <w:ilvl w:val="0"/>
                <w:numId w:val="33"/>
              </w:numPr>
              <w:ind w:left="318" w:hanging="284"/>
              <w:jc w:val="left"/>
              <w:rPr>
                <w:rFonts w:eastAsia="Times New Roman"/>
                <w:sz w:val="20"/>
                <w:szCs w:val="18"/>
                <w:lang w:eastAsia="ru-RU"/>
              </w:rPr>
            </w:pPr>
            <w:r w:rsidRPr="004761E0">
              <w:rPr>
                <w:rFonts w:eastAsia="Times New Roman"/>
                <w:sz w:val="20"/>
                <w:szCs w:val="18"/>
                <w:lang w:eastAsia="ru-RU"/>
              </w:rPr>
              <w:t>эффективности систем внутреннего контроля и управления рисками;</w:t>
            </w:r>
          </w:p>
          <w:p w:rsidR="00551AA6" w:rsidRPr="004761E0" w:rsidRDefault="00551AA6" w:rsidP="007076A7">
            <w:pPr>
              <w:pStyle w:val="a5"/>
              <w:numPr>
                <w:ilvl w:val="0"/>
                <w:numId w:val="33"/>
              </w:numPr>
              <w:ind w:left="318" w:hanging="284"/>
              <w:jc w:val="left"/>
              <w:rPr>
                <w:rFonts w:eastAsia="Times New Roman"/>
                <w:sz w:val="20"/>
                <w:szCs w:val="18"/>
                <w:lang w:eastAsia="ru-RU"/>
              </w:rPr>
            </w:pPr>
            <w:r w:rsidRPr="004761E0">
              <w:rPr>
                <w:rFonts w:eastAsia="Times New Roman"/>
                <w:sz w:val="20"/>
                <w:szCs w:val="18"/>
                <w:lang w:eastAsia="ru-RU"/>
              </w:rPr>
              <w:t>выбора независимого внешнего аудитора и оценки результатов внешнего аудита;</w:t>
            </w:r>
          </w:p>
          <w:p w:rsidR="00551AA6" w:rsidRPr="004761E0" w:rsidRDefault="00551AA6" w:rsidP="007076A7">
            <w:pPr>
              <w:pStyle w:val="a5"/>
              <w:numPr>
                <w:ilvl w:val="0"/>
                <w:numId w:val="33"/>
              </w:numPr>
              <w:ind w:left="318" w:hanging="284"/>
              <w:jc w:val="left"/>
              <w:rPr>
                <w:rFonts w:eastAsia="Times New Roman"/>
                <w:sz w:val="20"/>
                <w:szCs w:val="18"/>
                <w:lang w:eastAsia="ru-RU"/>
              </w:rPr>
            </w:pPr>
            <w:r w:rsidRPr="004761E0">
              <w:rPr>
                <w:rFonts w:eastAsia="Times New Roman"/>
                <w:sz w:val="20"/>
                <w:szCs w:val="18"/>
                <w:lang w:eastAsia="ru-RU"/>
              </w:rPr>
              <w:t>деятельности подразделения, осуществляющего функции внутреннего контроля/аудита Общества;</w:t>
            </w:r>
          </w:p>
          <w:p w:rsidR="00551AA6" w:rsidRPr="004761E0" w:rsidRDefault="00551AA6" w:rsidP="007076A7">
            <w:pPr>
              <w:pStyle w:val="a5"/>
              <w:numPr>
                <w:ilvl w:val="0"/>
                <w:numId w:val="33"/>
              </w:numPr>
              <w:ind w:left="318" w:hanging="284"/>
              <w:jc w:val="left"/>
              <w:rPr>
                <w:rFonts w:eastAsia="Times New Roman"/>
                <w:sz w:val="20"/>
                <w:szCs w:val="18"/>
                <w:lang w:eastAsia="ru-RU"/>
              </w:rPr>
            </w:pPr>
            <w:r w:rsidRPr="004761E0">
              <w:rPr>
                <w:rFonts w:eastAsia="Times New Roman"/>
                <w:sz w:val="20"/>
                <w:szCs w:val="18"/>
                <w:lang w:eastAsia="ru-RU"/>
              </w:rPr>
              <w:t>соблюдения Обществом требований законодательства РФ, отраслевых стандартов, внутренних нормативных документов Общества.</w:t>
            </w:r>
          </w:p>
        </w:tc>
        <w:tc>
          <w:tcPr>
            <w:tcW w:w="2694" w:type="dxa"/>
            <w:shd w:val="clear" w:color="auto" w:fill="auto"/>
            <w:hideMark/>
          </w:tcPr>
          <w:p w:rsidR="00551AA6" w:rsidRPr="004761E0" w:rsidRDefault="00551AA6" w:rsidP="00551AA6">
            <w:pPr>
              <w:ind w:firstLine="0"/>
              <w:jc w:val="left"/>
              <w:rPr>
                <w:rFonts w:eastAsia="Times New Roman"/>
                <w:sz w:val="20"/>
                <w:szCs w:val="18"/>
                <w:lang w:eastAsia="ru-RU"/>
              </w:rPr>
            </w:pPr>
            <w:r w:rsidRPr="004761E0">
              <w:rPr>
                <w:rFonts w:eastAsia="Times New Roman"/>
                <w:sz w:val="20"/>
                <w:szCs w:val="18"/>
                <w:lang w:eastAsia="ru-RU"/>
              </w:rPr>
              <w:t>Задачей Комитета является выработка и представление рекомендаций (заключений) по следующим направлениям деятельности:</w:t>
            </w:r>
          </w:p>
          <w:p w:rsidR="00551AA6" w:rsidRPr="004761E0" w:rsidRDefault="00551AA6" w:rsidP="007076A7">
            <w:pPr>
              <w:pStyle w:val="a5"/>
              <w:numPr>
                <w:ilvl w:val="0"/>
                <w:numId w:val="34"/>
              </w:numPr>
              <w:ind w:left="338" w:hanging="283"/>
              <w:jc w:val="left"/>
              <w:rPr>
                <w:rFonts w:eastAsia="Times New Roman"/>
                <w:sz w:val="20"/>
                <w:szCs w:val="18"/>
                <w:lang w:eastAsia="ru-RU"/>
              </w:rPr>
            </w:pPr>
            <w:r w:rsidRPr="004761E0">
              <w:rPr>
                <w:rFonts w:eastAsia="Times New Roman"/>
                <w:sz w:val="20"/>
                <w:szCs w:val="18"/>
                <w:lang w:eastAsia="ru-RU"/>
              </w:rPr>
              <w:t>выработка рекомендаций по размерам вознаграждений членам Совета директоров;</w:t>
            </w:r>
          </w:p>
          <w:p w:rsidR="00551AA6" w:rsidRPr="004761E0" w:rsidRDefault="00551AA6" w:rsidP="007076A7">
            <w:pPr>
              <w:pStyle w:val="a5"/>
              <w:numPr>
                <w:ilvl w:val="0"/>
                <w:numId w:val="34"/>
              </w:numPr>
              <w:ind w:left="338" w:hanging="283"/>
              <w:jc w:val="left"/>
              <w:rPr>
                <w:rFonts w:eastAsia="Times New Roman"/>
                <w:sz w:val="20"/>
                <w:szCs w:val="18"/>
                <w:lang w:eastAsia="ru-RU"/>
              </w:rPr>
            </w:pPr>
            <w:r w:rsidRPr="004761E0">
              <w:rPr>
                <w:rFonts w:eastAsia="Times New Roman"/>
                <w:sz w:val="20"/>
                <w:szCs w:val="18"/>
                <w:lang w:eastAsia="ru-RU"/>
              </w:rPr>
              <w:t>выработка принципов и критериев определения размера вознаграждения членов Совета директоров, членов коллегиального исполнительного органа и лица, осуществляющего функции единоличного исполнительного органа Общества, в т.ч. управляющей организации или управляющего;</w:t>
            </w:r>
          </w:p>
          <w:p w:rsidR="00551AA6" w:rsidRPr="004761E0" w:rsidRDefault="00551AA6" w:rsidP="007076A7">
            <w:pPr>
              <w:pStyle w:val="a5"/>
              <w:numPr>
                <w:ilvl w:val="0"/>
                <w:numId w:val="34"/>
              </w:numPr>
              <w:ind w:left="338" w:hanging="283"/>
              <w:jc w:val="left"/>
              <w:rPr>
                <w:rFonts w:eastAsia="Times New Roman"/>
                <w:sz w:val="20"/>
                <w:szCs w:val="18"/>
                <w:lang w:eastAsia="ru-RU"/>
              </w:rPr>
            </w:pPr>
            <w:r w:rsidRPr="004761E0">
              <w:rPr>
                <w:rFonts w:eastAsia="Times New Roman"/>
                <w:sz w:val="20"/>
                <w:szCs w:val="18"/>
                <w:lang w:eastAsia="ru-RU"/>
              </w:rPr>
              <w:t>выработка предложений по определению существенных условий договоров с членами Совета директоров, членами коллегиального исполнительного органа и лицом, осуществляющим функции единоличного исполнительного органа Общества;</w:t>
            </w:r>
          </w:p>
          <w:p w:rsidR="00551AA6" w:rsidRPr="004761E0" w:rsidRDefault="00551AA6" w:rsidP="007076A7">
            <w:pPr>
              <w:pStyle w:val="a5"/>
              <w:numPr>
                <w:ilvl w:val="0"/>
                <w:numId w:val="34"/>
              </w:numPr>
              <w:ind w:left="338" w:hanging="283"/>
              <w:jc w:val="left"/>
              <w:rPr>
                <w:rFonts w:eastAsia="Times New Roman"/>
                <w:sz w:val="20"/>
                <w:szCs w:val="18"/>
                <w:lang w:eastAsia="ru-RU"/>
              </w:rPr>
            </w:pPr>
            <w:r w:rsidRPr="004761E0">
              <w:rPr>
                <w:rFonts w:eastAsia="Times New Roman"/>
                <w:sz w:val="20"/>
                <w:szCs w:val="18"/>
                <w:lang w:eastAsia="ru-RU"/>
              </w:rPr>
              <w:t xml:space="preserve">определение критериев подбора кандидатов в члены Совета директоров, члены </w:t>
            </w:r>
            <w:r w:rsidRPr="004761E0">
              <w:rPr>
                <w:rFonts w:eastAsia="Times New Roman"/>
                <w:sz w:val="20"/>
                <w:szCs w:val="18"/>
                <w:lang w:eastAsia="ru-RU"/>
              </w:rPr>
              <w:lastRenderedPageBreak/>
              <w:t>коллегиального исполнительного органа и на должность единоличного исполнительного органа Общества, а также предварительная оценка указанных кандидатов;</w:t>
            </w:r>
          </w:p>
          <w:p w:rsidR="00551AA6" w:rsidRPr="004761E0" w:rsidRDefault="00551AA6" w:rsidP="007076A7">
            <w:pPr>
              <w:pStyle w:val="a5"/>
              <w:numPr>
                <w:ilvl w:val="0"/>
                <w:numId w:val="34"/>
              </w:numPr>
              <w:ind w:left="338" w:hanging="283"/>
              <w:jc w:val="left"/>
              <w:rPr>
                <w:rFonts w:eastAsia="Times New Roman"/>
                <w:sz w:val="20"/>
                <w:szCs w:val="18"/>
                <w:lang w:eastAsia="ru-RU"/>
              </w:rPr>
            </w:pPr>
            <w:r w:rsidRPr="004761E0">
              <w:rPr>
                <w:rFonts w:eastAsia="Times New Roman"/>
                <w:sz w:val="20"/>
                <w:szCs w:val="18"/>
                <w:lang w:eastAsia="ru-RU"/>
              </w:rPr>
              <w:t>регулярная оценка деятельности лица, осуществляющего функции единоличного исполнительного органа (управляющей организации, управляющего), и членов коллегиального исполнительного органа Общества и подготовка для совета директоров предложений по возможности их повторного назначения.</w:t>
            </w:r>
          </w:p>
        </w:tc>
      </w:tr>
      <w:tr w:rsidR="00551AA6" w:rsidRPr="004761E0" w:rsidTr="002103CF">
        <w:trPr>
          <w:trHeight w:val="70"/>
        </w:trPr>
        <w:tc>
          <w:tcPr>
            <w:tcW w:w="567" w:type="dxa"/>
            <w:shd w:val="clear" w:color="auto" w:fill="auto"/>
            <w:vAlign w:val="center"/>
          </w:tcPr>
          <w:p w:rsidR="00551AA6" w:rsidRPr="004761E0" w:rsidRDefault="00551AA6" w:rsidP="007076A7">
            <w:pPr>
              <w:pStyle w:val="a5"/>
              <w:numPr>
                <w:ilvl w:val="0"/>
                <w:numId w:val="28"/>
              </w:numPr>
              <w:ind w:left="49" w:firstLine="0"/>
              <w:jc w:val="left"/>
              <w:rPr>
                <w:rFonts w:eastAsia="Times New Roman"/>
                <w:color w:val="000000"/>
                <w:sz w:val="20"/>
                <w:szCs w:val="18"/>
                <w:lang w:eastAsia="ru-RU"/>
              </w:rPr>
            </w:pPr>
          </w:p>
        </w:tc>
        <w:tc>
          <w:tcPr>
            <w:tcW w:w="1843" w:type="dxa"/>
            <w:shd w:val="clear" w:color="auto" w:fill="auto"/>
            <w:vAlign w:val="center"/>
            <w:hideMark/>
          </w:tcPr>
          <w:p w:rsidR="00551AA6" w:rsidRPr="004761E0" w:rsidRDefault="00551AA6" w:rsidP="00551AA6">
            <w:pPr>
              <w:ind w:firstLine="0"/>
              <w:jc w:val="left"/>
              <w:rPr>
                <w:rFonts w:eastAsia="Times New Roman"/>
                <w:color w:val="000000"/>
                <w:sz w:val="20"/>
                <w:szCs w:val="18"/>
                <w:lang w:eastAsia="ru-RU"/>
              </w:rPr>
            </w:pPr>
            <w:r w:rsidRPr="004761E0">
              <w:rPr>
                <w:rFonts w:eastAsia="Times New Roman"/>
                <w:color w:val="000000"/>
                <w:sz w:val="20"/>
                <w:szCs w:val="18"/>
                <w:lang w:eastAsia="ru-RU"/>
              </w:rPr>
              <w:t>Дата создания Комитета</w:t>
            </w:r>
          </w:p>
        </w:tc>
        <w:tc>
          <w:tcPr>
            <w:tcW w:w="2978" w:type="dxa"/>
            <w:shd w:val="clear" w:color="auto" w:fill="auto"/>
            <w:vAlign w:val="center"/>
            <w:hideMark/>
          </w:tcPr>
          <w:p w:rsidR="00551AA6" w:rsidRPr="004761E0" w:rsidRDefault="00551AA6" w:rsidP="00551AA6">
            <w:pPr>
              <w:ind w:firstLine="0"/>
              <w:jc w:val="right"/>
              <w:rPr>
                <w:rFonts w:eastAsia="Times New Roman"/>
                <w:color w:val="000000"/>
                <w:sz w:val="20"/>
                <w:szCs w:val="18"/>
                <w:lang w:eastAsia="ru-RU"/>
              </w:rPr>
            </w:pPr>
            <w:r w:rsidRPr="004761E0">
              <w:rPr>
                <w:rFonts w:eastAsia="Times New Roman"/>
                <w:color w:val="000000"/>
                <w:sz w:val="20"/>
                <w:szCs w:val="18"/>
                <w:lang w:eastAsia="ru-RU"/>
              </w:rPr>
              <w:t>28.12.2005</w:t>
            </w:r>
          </w:p>
        </w:tc>
        <w:tc>
          <w:tcPr>
            <w:tcW w:w="2835" w:type="dxa"/>
            <w:shd w:val="clear" w:color="auto" w:fill="auto"/>
            <w:vAlign w:val="center"/>
            <w:hideMark/>
          </w:tcPr>
          <w:p w:rsidR="00551AA6" w:rsidRPr="004761E0" w:rsidRDefault="00551AA6" w:rsidP="00551AA6">
            <w:pPr>
              <w:ind w:firstLine="0"/>
              <w:jc w:val="right"/>
              <w:rPr>
                <w:rFonts w:eastAsia="Times New Roman"/>
                <w:color w:val="000000"/>
                <w:sz w:val="20"/>
                <w:szCs w:val="18"/>
                <w:lang w:eastAsia="ru-RU"/>
              </w:rPr>
            </w:pPr>
            <w:r w:rsidRPr="004761E0">
              <w:rPr>
                <w:rFonts w:eastAsia="Times New Roman"/>
                <w:color w:val="000000"/>
                <w:sz w:val="20"/>
                <w:szCs w:val="18"/>
                <w:lang w:eastAsia="ru-RU"/>
              </w:rPr>
              <w:t>10.02.2009</w:t>
            </w:r>
          </w:p>
        </w:tc>
        <w:tc>
          <w:tcPr>
            <w:tcW w:w="2693" w:type="dxa"/>
            <w:shd w:val="clear" w:color="auto" w:fill="auto"/>
            <w:vAlign w:val="center"/>
            <w:hideMark/>
          </w:tcPr>
          <w:p w:rsidR="00551AA6" w:rsidRPr="004761E0" w:rsidRDefault="00551AA6" w:rsidP="00551AA6">
            <w:pPr>
              <w:ind w:firstLine="0"/>
              <w:jc w:val="right"/>
              <w:rPr>
                <w:rFonts w:eastAsia="Times New Roman"/>
                <w:color w:val="000000"/>
                <w:sz w:val="20"/>
                <w:szCs w:val="18"/>
                <w:lang w:eastAsia="ru-RU"/>
              </w:rPr>
            </w:pPr>
            <w:r w:rsidRPr="004761E0">
              <w:rPr>
                <w:rFonts w:eastAsia="Times New Roman"/>
                <w:color w:val="000000"/>
                <w:sz w:val="20"/>
                <w:szCs w:val="18"/>
                <w:lang w:eastAsia="ru-RU"/>
              </w:rPr>
              <w:t>26.09.2007</w:t>
            </w:r>
          </w:p>
        </w:tc>
        <w:tc>
          <w:tcPr>
            <w:tcW w:w="2586" w:type="dxa"/>
            <w:shd w:val="clear" w:color="auto" w:fill="auto"/>
            <w:vAlign w:val="center"/>
            <w:hideMark/>
          </w:tcPr>
          <w:p w:rsidR="00551AA6" w:rsidRPr="004761E0" w:rsidRDefault="00551AA6" w:rsidP="00551AA6">
            <w:pPr>
              <w:ind w:firstLine="0"/>
              <w:jc w:val="right"/>
              <w:rPr>
                <w:rFonts w:eastAsia="Times New Roman"/>
                <w:color w:val="000000"/>
                <w:sz w:val="20"/>
                <w:szCs w:val="18"/>
                <w:lang w:eastAsia="ru-RU"/>
              </w:rPr>
            </w:pPr>
            <w:r w:rsidRPr="004761E0">
              <w:rPr>
                <w:rFonts w:eastAsia="Times New Roman"/>
                <w:color w:val="000000"/>
                <w:sz w:val="20"/>
                <w:szCs w:val="18"/>
                <w:lang w:eastAsia="ru-RU"/>
              </w:rPr>
              <w:t>13.12.2006</w:t>
            </w:r>
          </w:p>
        </w:tc>
        <w:tc>
          <w:tcPr>
            <w:tcW w:w="2694" w:type="dxa"/>
            <w:shd w:val="clear" w:color="auto" w:fill="auto"/>
            <w:vAlign w:val="center"/>
            <w:hideMark/>
          </w:tcPr>
          <w:p w:rsidR="00551AA6" w:rsidRPr="004761E0" w:rsidRDefault="00551AA6" w:rsidP="00551AA6">
            <w:pPr>
              <w:ind w:firstLine="0"/>
              <w:jc w:val="right"/>
              <w:rPr>
                <w:rFonts w:eastAsia="Times New Roman"/>
                <w:color w:val="000000"/>
                <w:sz w:val="20"/>
                <w:szCs w:val="18"/>
                <w:lang w:eastAsia="ru-RU"/>
              </w:rPr>
            </w:pPr>
            <w:r w:rsidRPr="004761E0">
              <w:rPr>
                <w:rFonts w:eastAsia="Times New Roman"/>
                <w:color w:val="000000"/>
                <w:sz w:val="20"/>
                <w:szCs w:val="18"/>
                <w:lang w:eastAsia="ru-RU"/>
              </w:rPr>
              <w:t>26.09.2007</w:t>
            </w:r>
          </w:p>
        </w:tc>
      </w:tr>
      <w:tr w:rsidR="00551AA6" w:rsidRPr="004761E0" w:rsidTr="002103CF">
        <w:trPr>
          <w:trHeight w:val="70"/>
        </w:trPr>
        <w:tc>
          <w:tcPr>
            <w:tcW w:w="567" w:type="dxa"/>
            <w:shd w:val="clear" w:color="auto" w:fill="auto"/>
            <w:vAlign w:val="center"/>
          </w:tcPr>
          <w:p w:rsidR="00551AA6" w:rsidRPr="004761E0" w:rsidRDefault="00551AA6" w:rsidP="007076A7">
            <w:pPr>
              <w:pStyle w:val="a5"/>
              <w:numPr>
                <w:ilvl w:val="0"/>
                <w:numId w:val="28"/>
              </w:numPr>
              <w:ind w:left="49" w:firstLine="0"/>
              <w:jc w:val="left"/>
              <w:rPr>
                <w:rFonts w:eastAsia="Times New Roman"/>
                <w:color w:val="000000"/>
                <w:sz w:val="20"/>
                <w:szCs w:val="18"/>
                <w:lang w:eastAsia="ru-RU"/>
              </w:rPr>
            </w:pPr>
          </w:p>
        </w:tc>
        <w:tc>
          <w:tcPr>
            <w:tcW w:w="1843" w:type="dxa"/>
            <w:shd w:val="clear" w:color="auto" w:fill="auto"/>
            <w:vAlign w:val="center"/>
            <w:hideMark/>
          </w:tcPr>
          <w:p w:rsidR="00551AA6" w:rsidRPr="004761E0" w:rsidRDefault="00551AA6" w:rsidP="00551AA6">
            <w:pPr>
              <w:ind w:firstLine="0"/>
              <w:jc w:val="left"/>
              <w:rPr>
                <w:rFonts w:eastAsia="Times New Roman"/>
                <w:color w:val="000000"/>
                <w:sz w:val="20"/>
                <w:szCs w:val="18"/>
                <w:lang w:eastAsia="ru-RU"/>
              </w:rPr>
            </w:pPr>
            <w:r w:rsidRPr="004761E0">
              <w:rPr>
                <w:rFonts w:eastAsia="Times New Roman"/>
                <w:color w:val="000000"/>
                <w:sz w:val="20"/>
                <w:szCs w:val="18"/>
                <w:lang w:eastAsia="ru-RU"/>
              </w:rPr>
              <w:t>Количество членов Комитета</w:t>
            </w:r>
          </w:p>
        </w:tc>
        <w:tc>
          <w:tcPr>
            <w:tcW w:w="2978" w:type="dxa"/>
            <w:shd w:val="clear" w:color="auto" w:fill="auto"/>
            <w:vAlign w:val="center"/>
            <w:hideMark/>
          </w:tcPr>
          <w:p w:rsidR="00551AA6" w:rsidRPr="004761E0" w:rsidRDefault="00551AA6" w:rsidP="00551AA6">
            <w:pPr>
              <w:ind w:firstLine="0"/>
              <w:jc w:val="right"/>
              <w:rPr>
                <w:rFonts w:eastAsia="Times New Roman"/>
                <w:color w:val="000000"/>
                <w:sz w:val="20"/>
                <w:szCs w:val="18"/>
                <w:lang w:eastAsia="ru-RU"/>
              </w:rPr>
            </w:pPr>
            <w:r w:rsidRPr="004761E0">
              <w:rPr>
                <w:rFonts w:eastAsia="Times New Roman"/>
                <w:color w:val="000000"/>
                <w:sz w:val="20"/>
                <w:szCs w:val="18"/>
                <w:lang w:eastAsia="ru-RU"/>
              </w:rPr>
              <w:t>7</w:t>
            </w:r>
          </w:p>
        </w:tc>
        <w:tc>
          <w:tcPr>
            <w:tcW w:w="2835" w:type="dxa"/>
            <w:shd w:val="clear" w:color="auto" w:fill="auto"/>
            <w:vAlign w:val="center"/>
            <w:hideMark/>
          </w:tcPr>
          <w:p w:rsidR="00551AA6" w:rsidRPr="004761E0" w:rsidRDefault="00551AA6" w:rsidP="00551AA6">
            <w:pPr>
              <w:ind w:firstLine="0"/>
              <w:jc w:val="right"/>
              <w:rPr>
                <w:rFonts w:eastAsia="Times New Roman"/>
                <w:color w:val="000000"/>
                <w:sz w:val="20"/>
                <w:szCs w:val="18"/>
                <w:lang w:eastAsia="ru-RU"/>
              </w:rPr>
            </w:pPr>
            <w:r w:rsidRPr="004761E0">
              <w:rPr>
                <w:rFonts w:eastAsia="Times New Roman"/>
                <w:color w:val="000000"/>
                <w:sz w:val="20"/>
                <w:szCs w:val="18"/>
                <w:lang w:eastAsia="ru-RU"/>
              </w:rPr>
              <w:t>12</w:t>
            </w:r>
          </w:p>
        </w:tc>
        <w:tc>
          <w:tcPr>
            <w:tcW w:w="2693" w:type="dxa"/>
            <w:shd w:val="clear" w:color="auto" w:fill="auto"/>
            <w:vAlign w:val="center"/>
            <w:hideMark/>
          </w:tcPr>
          <w:p w:rsidR="00551AA6" w:rsidRPr="004761E0" w:rsidRDefault="00551AA6" w:rsidP="00551AA6">
            <w:pPr>
              <w:ind w:firstLine="0"/>
              <w:jc w:val="right"/>
              <w:rPr>
                <w:rFonts w:eastAsia="Times New Roman"/>
                <w:color w:val="000000"/>
                <w:sz w:val="20"/>
                <w:szCs w:val="18"/>
                <w:lang w:eastAsia="ru-RU"/>
              </w:rPr>
            </w:pPr>
            <w:r w:rsidRPr="004761E0">
              <w:rPr>
                <w:rFonts w:eastAsia="Times New Roman"/>
                <w:color w:val="000000"/>
                <w:sz w:val="20"/>
                <w:szCs w:val="18"/>
                <w:lang w:eastAsia="ru-RU"/>
              </w:rPr>
              <w:t>16</w:t>
            </w:r>
          </w:p>
        </w:tc>
        <w:tc>
          <w:tcPr>
            <w:tcW w:w="2586" w:type="dxa"/>
            <w:shd w:val="clear" w:color="auto" w:fill="auto"/>
            <w:vAlign w:val="center"/>
            <w:hideMark/>
          </w:tcPr>
          <w:p w:rsidR="00551AA6" w:rsidRPr="004761E0" w:rsidRDefault="00551AA6" w:rsidP="00551AA6">
            <w:pPr>
              <w:ind w:firstLine="0"/>
              <w:jc w:val="right"/>
              <w:rPr>
                <w:rFonts w:eastAsia="Times New Roman"/>
                <w:color w:val="000000"/>
                <w:sz w:val="20"/>
                <w:szCs w:val="18"/>
                <w:lang w:eastAsia="ru-RU"/>
              </w:rPr>
            </w:pPr>
            <w:r w:rsidRPr="004761E0">
              <w:rPr>
                <w:rFonts w:eastAsia="Times New Roman"/>
                <w:color w:val="000000"/>
                <w:sz w:val="20"/>
                <w:szCs w:val="18"/>
                <w:lang w:eastAsia="ru-RU"/>
              </w:rPr>
              <w:t>8 (7 членов Комитета по аудиту являются независимыми)</w:t>
            </w:r>
          </w:p>
        </w:tc>
        <w:tc>
          <w:tcPr>
            <w:tcW w:w="2694" w:type="dxa"/>
            <w:shd w:val="clear" w:color="auto" w:fill="auto"/>
            <w:vAlign w:val="center"/>
            <w:hideMark/>
          </w:tcPr>
          <w:p w:rsidR="00551AA6" w:rsidRPr="004761E0" w:rsidRDefault="00AD75E4" w:rsidP="00AD75E4">
            <w:pPr>
              <w:ind w:firstLine="0"/>
              <w:jc w:val="right"/>
              <w:rPr>
                <w:rFonts w:eastAsia="Times New Roman"/>
                <w:color w:val="000000"/>
                <w:sz w:val="20"/>
                <w:szCs w:val="18"/>
                <w:lang w:eastAsia="ru-RU"/>
              </w:rPr>
            </w:pPr>
            <w:r w:rsidRPr="004761E0">
              <w:rPr>
                <w:rFonts w:eastAsia="Times New Roman"/>
                <w:color w:val="000000"/>
                <w:sz w:val="20"/>
                <w:szCs w:val="18"/>
                <w:lang w:eastAsia="ru-RU"/>
              </w:rPr>
              <w:t>5 (3 члена Комитета являются независимыми</w:t>
            </w:r>
          </w:p>
        </w:tc>
      </w:tr>
      <w:tr w:rsidR="00551AA6" w:rsidRPr="004761E0" w:rsidTr="002103CF">
        <w:trPr>
          <w:trHeight w:val="780"/>
        </w:trPr>
        <w:tc>
          <w:tcPr>
            <w:tcW w:w="567" w:type="dxa"/>
            <w:shd w:val="clear" w:color="auto" w:fill="auto"/>
            <w:vAlign w:val="center"/>
          </w:tcPr>
          <w:p w:rsidR="00551AA6" w:rsidRPr="004761E0" w:rsidRDefault="00551AA6" w:rsidP="007076A7">
            <w:pPr>
              <w:pStyle w:val="a5"/>
              <w:numPr>
                <w:ilvl w:val="0"/>
                <w:numId w:val="28"/>
              </w:numPr>
              <w:ind w:left="49" w:firstLine="0"/>
              <w:jc w:val="left"/>
              <w:rPr>
                <w:rFonts w:eastAsia="Times New Roman"/>
                <w:color w:val="000000"/>
                <w:sz w:val="20"/>
                <w:szCs w:val="18"/>
                <w:lang w:eastAsia="ru-RU"/>
              </w:rPr>
            </w:pPr>
          </w:p>
        </w:tc>
        <w:tc>
          <w:tcPr>
            <w:tcW w:w="1843" w:type="dxa"/>
            <w:shd w:val="clear" w:color="auto" w:fill="auto"/>
            <w:vAlign w:val="center"/>
            <w:hideMark/>
          </w:tcPr>
          <w:p w:rsidR="00551AA6" w:rsidRPr="004761E0" w:rsidRDefault="00551AA6" w:rsidP="00551AA6">
            <w:pPr>
              <w:ind w:firstLine="0"/>
              <w:jc w:val="left"/>
              <w:rPr>
                <w:rFonts w:eastAsia="Times New Roman"/>
                <w:color w:val="000000"/>
                <w:sz w:val="20"/>
                <w:szCs w:val="18"/>
                <w:lang w:eastAsia="ru-RU"/>
              </w:rPr>
            </w:pPr>
            <w:r w:rsidRPr="004761E0">
              <w:rPr>
                <w:rFonts w:eastAsia="Times New Roman"/>
                <w:color w:val="000000"/>
                <w:sz w:val="20"/>
                <w:szCs w:val="18"/>
                <w:lang w:eastAsia="ru-RU"/>
              </w:rPr>
              <w:t>Дата последних изменений (избрания) в составе Комитета</w:t>
            </w:r>
          </w:p>
        </w:tc>
        <w:tc>
          <w:tcPr>
            <w:tcW w:w="2978" w:type="dxa"/>
            <w:shd w:val="clear" w:color="auto" w:fill="auto"/>
            <w:vAlign w:val="center"/>
            <w:hideMark/>
          </w:tcPr>
          <w:p w:rsidR="00551AA6" w:rsidRPr="004761E0" w:rsidRDefault="00551AA6" w:rsidP="00551AA6">
            <w:pPr>
              <w:ind w:firstLine="0"/>
              <w:jc w:val="right"/>
              <w:rPr>
                <w:rFonts w:eastAsia="Times New Roman"/>
                <w:color w:val="000000"/>
                <w:sz w:val="20"/>
                <w:szCs w:val="18"/>
                <w:lang w:eastAsia="ru-RU"/>
              </w:rPr>
            </w:pPr>
            <w:r w:rsidRPr="004761E0">
              <w:rPr>
                <w:rFonts w:eastAsia="Times New Roman"/>
                <w:color w:val="000000"/>
                <w:sz w:val="20"/>
                <w:szCs w:val="18"/>
                <w:lang w:eastAsia="ru-RU"/>
              </w:rPr>
              <w:t>28.12.2013</w:t>
            </w:r>
          </w:p>
        </w:tc>
        <w:tc>
          <w:tcPr>
            <w:tcW w:w="2835" w:type="dxa"/>
            <w:shd w:val="clear" w:color="auto" w:fill="auto"/>
            <w:vAlign w:val="center"/>
            <w:hideMark/>
          </w:tcPr>
          <w:p w:rsidR="00551AA6" w:rsidRPr="004761E0" w:rsidRDefault="00551AA6" w:rsidP="00551AA6">
            <w:pPr>
              <w:ind w:firstLine="0"/>
              <w:jc w:val="right"/>
              <w:rPr>
                <w:rFonts w:eastAsia="Times New Roman"/>
                <w:color w:val="000000"/>
                <w:sz w:val="20"/>
                <w:szCs w:val="18"/>
                <w:lang w:eastAsia="ru-RU"/>
              </w:rPr>
            </w:pPr>
            <w:r w:rsidRPr="004761E0">
              <w:rPr>
                <w:rFonts w:eastAsia="Times New Roman"/>
                <w:color w:val="000000"/>
                <w:sz w:val="20"/>
                <w:szCs w:val="18"/>
                <w:lang w:eastAsia="ru-RU"/>
              </w:rPr>
              <w:t>30.08.2013</w:t>
            </w:r>
          </w:p>
        </w:tc>
        <w:tc>
          <w:tcPr>
            <w:tcW w:w="2693" w:type="dxa"/>
            <w:shd w:val="clear" w:color="auto" w:fill="auto"/>
            <w:vAlign w:val="center"/>
            <w:hideMark/>
          </w:tcPr>
          <w:p w:rsidR="00551AA6" w:rsidRPr="004761E0" w:rsidRDefault="00551AA6" w:rsidP="00551AA6">
            <w:pPr>
              <w:ind w:firstLine="0"/>
              <w:jc w:val="right"/>
              <w:rPr>
                <w:rFonts w:eastAsia="Times New Roman"/>
                <w:color w:val="000000"/>
                <w:sz w:val="20"/>
                <w:szCs w:val="18"/>
                <w:lang w:eastAsia="ru-RU"/>
              </w:rPr>
            </w:pPr>
            <w:r w:rsidRPr="004761E0">
              <w:rPr>
                <w:rFonts w:eastAsia="Times New Roman"/>
                <w:color w:val="000000"/>
                <w:sz w:val="20"/>
                <w:szCs w:val="18"/>
                <w:lang w:eastAsia="ru-RU"/>
              </w:rPr>
              <w:t>28.12.2013</w:t>
            </w:r>
          </w:p>
        </w:tc>
        <w:tc>
          <w:tcPr>
            <w:tcW w:w="2586" w:type="dxa"/>
            <w:shd w:val="clear" w:color="auto" w:fill="auto"/>
            <w:vAlign w:val="center"/>
            <w:hideMark/>
          </w:tcPr>
          <w:p w:rsidR="00551AA6" w:rsidRPr="004761E0" w:rsidRDefault="00551AA6" w:rsidP="00551AA6">
            <w:pPr>
              <w:ind w:firstLine="0"/>
              <w:jc w:val="right"/>
              <w:rPr>
                <w:rFonts w:eastAsia="Times New Roman"/>
                <w:color w:val="000000"/>
                <w:sz w:val="20"/>
                <w:szCs w:val="18"/>
                <w:lang w:eastAsia="ru-RU"/>
              </w:rPr>
            </w:pPr>
            <w:r w:rsidRPr="004761E0">
              <w:rPr>
                <w:rFonts w:eastAsia="Times New Roman"/>
                <w:color w:val="000000"/>
                <w:sz w:val="20"/>
                <w:szCs w:val="18"/>
                <w:lang w:eastAsia="ru-RU"/>
              </w:rPr>
              <w:t>15.08.2013</w:t>
            </w:r>
          </w:p>
        </w:tc>
        <w:tc>
          <w:tcPr>
            <w:tcW w:w="2694" w:type="dxa"/>
            <w:shd w:val="clear" w:color="auto" w:fill="auto"/>
            <w:vAlign w:val="center"/>
            <w:hideMark/>
          </w:tcPr>
          <w:p w:rsidR="00551AA6" w:rsidRPr="004761E0" w:rsidRDefault="00551AA6" w:rsidP="00551AA6">
            <w:pPr>
              <w:ind w:firstLine="0"/>
              <w:jc w:val="right"/>
              <w:rPr>
                <w:rFonts w:eastAsia="Times New Roman"/>
                <w:color w:val="000000"/>
                <w:sz w:val="20"/>
                <w:szCs w:val="18"/>
                <w:lang w:eastAsia="ru-RU"/>
              </w:rPr>
            </w:pPr>
            <w:r w:rsidRPr="004761E0">
              <w:rPr>
                <w:rFonts w:eastAsia="Times New Roman"/>
                <w:color w:val="000000"/>
                <w:sz w:val="20"/>
                <w:szCs w:val="18"/>
                <w:lang w:eastAsia="ru-RU"/>
              </w:rPr>
              <w:t>15.08.2013</w:t>
            </w:r>
          </w:p>
        </w:tc>
      </w:tr>
      <w:tr w:rsidR="00686764" w:rsidRPr="004761E0" w:rsidTr="002103CF">
        <w:trPr>
          <w:trHeight w:val="2683"/>
        </w:trPr>
        <w:tc>
          <w:tcPr>
            <w:tcW w:w="567" w:type="dxa"/>
            <w:vMerge w:val="restart"/>
            <w:shd w:val="clear" w:color="auto" w:fill="auto"/>
          </w:tcPr>
          <w:p w:rsidR="00686764" w:rsidRPr="004761E0" w:rsidRDefault="00686764" w:rsidP="007076A7">
            <w:pPr>
              <w:pStyle w:val="a5"/>
              <w:numPr>
                <w:ilvl w:val="0"/>
                <w:numId w:val="28"/>
              </w:numPr>
              <w:ind w:left="49" w:firstLine="0"/>
              <w:jc w:val="left"/>
              <w:rPr>
                <w:rFonts w:eastAsia="Times New Roman"/>
                <w:color w:val="000000"/>
                <w:sz w:val="20"/>
                <w:szCs w:val="18"/>
                <w:lang w:eastAsia="ru-RU"/>
              </w:rPr>
            </w:pPr>
          </w:p>
        </w:tc>
        <w:tc>
          <w:tcPr>
            <w:tcW w:w="1843" w:type="dxa"/>
            <w:vMerge w:val="restart"/>
            <w:shd w:val="clear" w:color="auto" w:fill="auto"/>
          </w:tcPr>
          <w:p w:rsidR="00686764" w:rsidRPr="004761E0" w:rsidRDefault="00686764" w:rsidP="00551AA6">
            <w:pPr>
              <w:ind w:firstLine="0"/>
              <w:jc w:val="left"/>
              <w:rPr>
                <w:rFonts w:eastAsia="Times New Roman"/>
                <w:color w:val="000000"/>
                <w:sz w:val="20"/>
                <w:szCs w:val="18"/>
                <w:lang w:eastAsia="ru-RU"/>
              </w:rPr>
            </w:pPr>
            <w:r w:rsidRPr="004761E0">
              <w:rPr>
                <w:rFonts w:eastAsia="Times New Roman"/>
                <w:color w:val="000000"/>
                <w:sz w:val="20"/>
                <w:szCs w:val="18"/>
                <w:lang w:eastAsia="ru-RU"/>
              </w:rPr>
              <w:t>Действующий состав Комитета (без указания должностей)</w:t>
            </w:r>
          </w:p>
        </w:tc>
        <w:tc>
          <w:tcPr>
            <w:tcW w:w="2978" w:type="dxa"/>
            <w:shd w:val="clear" w:color="auto" w:fill="auto"/>
          </w:tcPr>
          <w:p w:rsidR="00686764" w:rsidRPr="004761E0" w:rsidRDefault="00686764" w:rsidP="007076A7">
            <w:pPr>
              <w:pStyle w:val="a5"/>
              <w:numPr>
                <w:ilvl w:val="0"/>
                <w:numId w:val="37"/>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Балабанов М.А.</w:t>
            </w:r>
          </w:p>
          <w:p w:rsidR="00686764" w:rsidRPr="004761E0" w:rsidRDefault="00686764" w:rsidP="007076A7">
            <w:pPr>
              <w:pStyle w:val="a5"/>
              <w:numPr>
                <w:ilvl w:val="0"/>
                <w:numId w:val="37"/>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Борисов Е.И.</w:t>
            </w:r>
          </w:p>
          <w:p w:rsidR="00686764" w:rsidRPr="004761E0" w:rsidRDefault="00686764" w:rsidP="007076A7">
            <w:pPr>
              <w:pStyle w:val="a5"/>
              <w:numPr>
                <w:ilvl w:val="0"/>
                <w:numId w:val="37"/>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Иванов В.Е.</w:t>
            </w:r>
          </w:p>
          <w:p w:rsidR="00686764" w:rsidRPr="004761E0" w:rsidRDefault="00686764" w:rsidP="007076A7">
            <w:pPr>
              <w:pStyle w:val="a5"/>
              <w:numPr>
                <w:ilvl w:val="0"/>
                <w:numId w:val="37"/>
              </w:numPr>
              <w:tabs>
                <w:tab w:val="left" w:pos="317"/>
              </w:tabs>
              <w:ind w:left="34" w:firstLine="0"/>
              <w:jc w:val="left"/>
              <w:rPr>
                <w:rFonts w:eastAsia="Times New Roman"/>
                <w:b/>
                <w:color w:val="000000"/>
                <w:sz w:val="20"/>
                <w:szCs w:val="18"/>
                <w:lang w:eastAsia="ru-RU"/>
              </w:rPr>
            </w:pPr>
            <w:r w:rsidRPr="004761E0">
              <w:rPr>
                <w:rFonts w:eastAsia="Times New Roman"/>
                <w:b/>
                <w:color w:val="000000"/>
                <w:sz w:val="20"/>
                <w:szCs w:val="18"/>
                <w:lang w:eastAsia="ru-RU"/>
              </w:rPr>
              <w:t>Магадеев Р.Р. (П)</w:t>
            </w:r>
          </w:p>
          <w:p w:rsidR="00686764" w:rsidRPr="004761E0" w:rsidRDefault="00686764" w:rsidP="007076A7">
            <w:pPr>
              <w:pStyle w:val="a5"/>
              <w:numPr>
                <w:ilvl w:val="0"/>
                <w:numId w:val="37"/>
              </w:numPr>
              <w:tabs>
                <w:tab w:val="left" w:pos="317"/>
              </w:tabs>
              <w:spacing w:after="120"/>
              <w:ind w:left="34" w:firstLine="0"/>
              <w:jc w:val="left"/>
              <w:rPr>
                <w:rFonts w:eastAsia="Times New Roman"/>
                <w:b/>
                <w:color w:val="000000"/>
                <w:sz w:val="20"/>
                <w:szCs w:val="18"/>
                <w:lang w:eastAsia="ru-RU"/>
              </w:rPr>
            </w:pPr>
            <w:r w:rsidRPr="004761E0">
              <w:rPr>
                <w:rFonts w:eastAsia="Times New Roman"/>
                <w:color w:val="000000"/>
                <w:sz w:val="20"/>
                <w:szCs w:val="18"/>
                <w:lang w:eastAsia="ru-RU"/>
              </w:rPr>
              <w:t>Неганов Л.В.</w:t>
            </w:r>
          </w:p>
          <w:p w:rsidR="00686764" w:rsidRPr="004761E0" w:rsidRDefault="00686764" w:rsidP="007076A7">
            <w:pPr>
              <w:pStyle w:val="a5"/>
              <w:numPr>
                <w:ilvl w:val="0"/>
                <w:numId w:val="37"/>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 xml:space="preserve">Уколов В.А. </w:t>
            </w:r>
          </w:p>
          <w:p w:rsidR="00686764" w:rsidRPr="004761E0" w:rsidRDefault="00686764" w:rsidP="007076A7">
            <w:pPr>
              <w:pStyle w:val="a5"/>
              <w:numPr>
                <w:ilvl w:val="0"/>
                <w:numId w:val="37"/>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Чегодаев А.В.</w:t>
            </w:r>
          </w:p>
        </w:tc>
        <w:tc>
          <w:tcPr>
            <w:tcW w:w="2835" w:type="dxa"/>
            <w:shd w:val="clear" w:color="auto" w:fill="auto"/>
          </w:tcPr>
          <w:p w:rsidR="00686764" w:rsidRPr="004761E0" w:rsidRDefault="00686764" w:rsidP="007076A7">
            <w:pPr>
              <w:pStyle w:val="a5"/>
              <w:numPr>
                <w:ilvl w:val="0"/>
                <w:numId w:val="38"/>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Ардеев А.В.</w:t>
            </w:r>
          </w:p>
          <w:p w:rsidR="00686764" w:rsidRPr="004761E0" w:rsidRDefault="00686764" w:rsidP="007076A7">
            <w:pPr>
              <w:pStyle w:val="a5"/>
              <w:numPr>
                <w:ilvl w:val="0"/>
                <w:numId w:val="38"/>
              </w:numPr>
              <w:tabs>
                <w:tab w:val="left" w:pos="317"/>
              </w:tabs>
              <w:ind w:left="34" w:firstLine="0"/>
              <w:jc w:val="left"/>
              <w:rPr>
                <w:rFonts w:eastAsia="Times New Roman"/>
                <w:b/>
                <w:color w:val="000000"/>
                <w:sz w:val="20"/>
                <w:szCs w:val="18"/>
                <w:lang w:eastAsia="ru-RU"/>
              </w:rPr>
            </w:pPr>
            <w:r w:rsidRPr="004761E0">
              <w:rPr>
                <w:rFonts w:eastAsia="Times New Roman"/>
                <w:b/>
                <w:color w:val="000000"/>
                <w:sz w:val="20"/>
                <w:szCs w:val="18"/>
                <w:lang w:eastAsia="ru-RU"/>
              </w:rPr>
              <w:t>Архипов С.А. (П)</w:t>
            </w:r>
          </w:p>
          <w:p w:rsidR="00686764" w:rsidRPr="004761E0" w:rsidRDefault="00686764" w:rsidP="007076A7">
            <w:pPr>
              <w:pStyle w:val="a5"/>
              <w:numPr>
                <w:ilvl w:val="0"/>
                <w:numId w:val="38"/>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Борисов Е.И.</w:t>
            </w:r>
          </w:p>
          <w:p w:rsidR="00686764" w:rsidRPr="004761E0" w:rsidRDefault="00686764" w:rsidP="007076A7">
            <w:pPr>
              <w:pStyle w:val="a5"/>
              <w:numPr>
                <w:ilvl w:val="0"/>
                <w:numId w:val="38"/>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Вакулин К.В.</w:t>
            </w:r>
          </w:p>
          <w:p w:rsidR="00686764" w:rsidRPr="004761E0" w:rsidRDefault="00686764" w:rsidP="007076A7">
            <w:pPr>
              <w:pStyle w:val="a5"/>
              <w:numPr>
                <w:ilvl w:val="0"/>
                <w:numId w:val="38"/>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Зорин Ф.П.</w:t>
            </w:r>
          </w:p>
          <w:p w:rsidR="00686764" w:rsidRPr="004761E0" w:rsidRDefault="00686764" w:rsidP="007076A7">
            <w:pPr>
              <w:pStyle w:val="a5"/>
              <w:numPr>
                <w:ilvl w:val="0"/>
                <w:numId w:val="38"/>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Королёв В.Г.</w:t>
            </w:r>
          </w:p>
          <w:p w:rsidR="00686764" w:rsidRPr="004761E0" w:rsidRDefault="00686764" w:rsidP="007076A7">
            <w:pPr>
              <w:pStyle w:val="a5"/>
              <w:numPr>
                <w:ilvl w:val="0"/>
                <w:numId w:val="38"/>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Масалева И.Б.</w:t>
            </w:r>
          </w:p>
          <w:p w:rsidR="00686764" w:rsidRPr="004761E0" w:rsidRDefault="00686764" w:rsidP="007076A7">
            <w:pPr>
              <w:pStyle w:val="a5"/>
              <w:numPr>
                <w:ilvl w:val="0"/>
                <w:numId w:val="38"/>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Панин А.А.</w:t>
            </w:r>
          </w:p>
          <w:p w:rsidR="00686764" w:rsidRPr="004761E0" w:rsidRDefault="00686764" w:rsidP="007076A7">
            <w:pPr>
              <w:pStyle w:val="a5"/>
              <w:numPr>
                <w:ilvl w:val="0"/>
                <w:numId w:val="38"/>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Плешивцев В.Г.</w:t>
            </w:r>
          </w:p>
          <w:p w:rsidR="00686764" w:rsidRPr="004761E0" w:rsidRDefault="00686764" w:rsidP="007076A7">
            <w:pPr>
              <w:pStyle w:val="a5"/>
              <w:numPr>
                <w:ilvl w:val="0"/>
                <w:numId w:val="38"/>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Пятигор А.М.</w:t>
            </w:r>
          </w:p>
          <w:p w:rsidR="00686764" w:rsidRPr="004761E0" w:rsidRDefault="00686764" w:rsidP="007076A7">
            <w:pPr>
              <w:pStyle w:val="a5"/>
              <w:numPr>
                <w:ilvl w:val="0"/>
                <w:numId w:val="38"/>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Тиховодов Е.А.</w:t>
            </w:r>
          </w:p>
          <w:p w:rsidR="00686764" w:rsidRPr="004761E0" w:rsidRDefault="00686764" w:rsidP="007076A7">
            <w:pPr>
              <w:pStyle w:val="a5"/>
              <w:numPr>
                <w:ilvl w:val="0"/>
                <w:numId w:val="38"/>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Файрушина М.А.</w:t>
            </w:r>
          </w:p>
        </w:tc>
        <w:tc>
          <w:tcPr>
            <w:tcW w:w="2693" w:type="dxa"/>
            <w:shd w:val="clear" w:color="auto" w:fill="auto"/>
          </w:tcPr>
          <w:p w:rsidR="00686764" w:rsidRPr="004761E0" w:rsidRDefault="00686764" w:rsidP="007076A7">
            <w:pPr>
              <w:pStyle w:val="a5"/>
              <w:numPr>
                <w:ilvl w:val="0"/>
                <w:numId w:val="39"/>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Ардеев А.В.</w:t>
            </w:r>
          </w:p>
          <w:p w:rsidR="00686764" w:rsidRPr="004761E0" w:rsidRDefault="00686764" w:rsidP="007076A7">
            <w:pPr>
              <w:pStyle w:val="a5"/>
              <w:numPr>
                <w:ilvl w:val="0"/>
                <w:numId w:val="39"/>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Балаева С.А.</w:t>
            </w:r>
          </w:p>
          <w:p w:rsidR="00686764" w:rsidRPr="004761E0" w:rsidRDefault="00686764" w:rsidP="007076A7">
            <w:pPr>
              <w:pStyle w:val="a5"/>
              <w:numPr>
                <w:ilvl w:val="0"/>
                <w:numId w:val="39"/>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Богатенков А.А.</w:t>
            </w:r>
          </w:p>
          <w:p w:rsidR="00686764" w:rsidRPr="004761E0" w:rsidRDefault="00686764" w:rsidP="007076A7">
            <w:pPr>
              <w:pStyle w:val="a5"/>
              <w:numPr>
                <w:ilvl w:val="0"/>
                <w:numId w:val="39"/>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Башинджагян А.А.</w:t>
            </w:r>
          </w:p>
          <w:p w:rsidR="00686764" w:rsidRPr="004761E0" w:rsidRDefault="00686764" w:rsidP="007076A7">
            <w:pPr>
              <w:pStyle w:val="a5"/>
              <w:numPr>
                <w:ilvl w:val="0"/>
                <w:numId w:val="39"/>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Борисов Е.И.</w:t>
            </w:r>
          </w:p>
          <w:p w:rsidR="00686764" w:rsidRPr="004761E0" w:rsidRDefault="00686764" w:rsidP="007076A7">
            <w:pPr>
              <w:pStyle w:val="a5"/>
              <w:numPr>
                <w:ilvl w:val="0"/>
                <w:numId w:val="39"/>
              </w:numPr>
              <w:tabs>
                <w:tab w:val="left" w:pos="317"/>
              </w:tabs>
              <w:ind w:left="34" w:firstLine="0"/>
              <w:jc w:val="left"/>
              <w:rPr>
                <w:rFonts w:eastAsia="Times New Roman"/>
                <w:b/>
                <w:color w:val="000000"/>
                <w:sz w:val="20"/>
                <w:szCs w:val="18"/>
                <w:lang w:eastAsia="ru-RU"/>
              </w:rPr>
            </w:pPr>
            <w:r w:rsidRPr="004761E0">
              <w:rPr>
                <w:rFonts w:eastAsia="Times New Roman"/>
                <w:b/>
                <w:color w:val="000000"/>
                <w:sz w:val="20"/>
                <w:szCs w:val="18"/>
                <w:lang w:eastAsia="ru-RU"/>
              </w:rPr>
              <w:t>Демин А.А. (П)</w:t>
            </w:r>
          </w:p>
          <w:p w:rsidR="00686764" w:rsidRPr="004761E0" w:rsidRDefault="00686764" w:rsidP="007076A7">
            <w:pPr>
              <w:pStyle w:val="a5"/>
              <w:numPr>
                <w:ilvl w:val="0"/>
                <w:numId w:val="39"/>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Игумнов Н.Г.</w:t>
            </w:r>
          </w:p>
          <w:p w:rsidR="00686764" w:rsidRPr="004761E0" w:rsidRDefault="00686764" w:rsidP="007076A7">
            <w:pPr>
              <w:pStyle w:val="a5"/>
              <w:numPr>
                <w:ilvl w:val="0"/>
                <w:numId w:val="39"/>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Иноземцев А.В.</w:t>
            </w:r>
          </w:p>
          <w:p w:rsidR="00686764" w:rsidRPr="004761E0" w:rsidRDefault="00686764" w:rsidP="007076A7">
            <w:pPr>
              <w:pStyle w:val="a5"/>
              <w:numPr>
                <w:ilvl w:val="0"/>
                <w:numId w:val="39"/>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Никитин С.А.</w:t>
            </w:r>
          </w:p>
          <w:p w:rsidR="00686764" w:rsidRPr="004761E0" w:rsidRDefault="00686764" w:rsidP="007076A7">
            <w:pPr>
              <w:pStyle w:val="a5"/>
              <w:numPr>
                <w:ilvl w:val="0"/>
                <w:numId w:val="39"/>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Неганов Л.В.</w:t>
            </w:r>
          </w:p>
          <w:p w:rsidR="00686764" w:rsidRPr="004761E0" w:rsidRDefault="00686764" w:rsidP="007076A7">
            <w:pPr>
              <w:pStyle w:val="a5"/>
              <w:numPr>
                <w:ilvl w:val="0"/>
                <w:numId w:val="39"/>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Лебедев С.Ю.</w:t>
            </w:r>
          </w:p>
          <w:p w:rsidR="00686764" w:rsidRPr="004761E0" w:rsidRDefault="00686764" w:rsidP="007076A7">
            <w:pPr>
              <w:pStyle w:val="a5"/>
              <w:numPr>
                <w:ilvl w:val="0"/>
                <w:numId w:val="39"/>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Нуждов А.В.</w:t>
            </w:r>
          </w:p>
          <w:p w:rsidR="00686764" w:rsidRPr="004761E0" w:rsidRDefault="00686764" w:rsidP="007076A7">
            <w:pPr>
              <w:pStyle w:val="a5"/>
              <w:numPr>
                <w:ilvl w:val="0"/>
                <w:numId w:val="39"/>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Саух М.М.</w:t>
            </w:r>
          </w:p>
          <w:p w:rsidR="00686764" w:rsidRPr="004761E0" w:rsidRDefault="00686764" w:rsidP="007076A7">
            <w:pPr>
              <w:pStyle w:val="a5"/>
              <w:numPr>
                <w:ilvl w:val="0"/>
                <w:numId w:val="39"/>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 xml:space="preserve">Синютин П.А. </w:t>
            </w:r>
          </w:p>
          <w:p w:rsidR="00686764" w:rsidRPr="004761E0" w:rsidRDefault="00686764" w:rsidP="007076A7">
            <w:pPr>
              <w:pStyle w:val="a5"/>
              <w:numPr>
                <w:ilvl w:val="0"/>
                <w:numId w:val="39"/>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Чевкин Д.А.</w:t>
            </w:r>
          </w:p>
          <w:p w:rsidR="00686764" w:rsidRPr="004761E0" w:rsidRDefault="00686764" w:rsidP="007076A7">
            <w:pPr>
              <w:pStyle w:val="a5"/>
              <w:numPr>
                <w:ilvl w:val="0"/>
                <w:numId w:val="39"/>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Ящерицына Ю.В.</w:t>
            </w:r>
          </w:p>
        </w:tc>
        <w:tc>
          <w:tcPr>
            <w:tcW w:w="2586" w:type="dxa"/>
            <w:shd w:val="clear" w:color="auto" w:fill="auto"/>
          </w:tcPr>
          <w:p w:rsidR="00686764" w:rsidRPr="004761E0" w:rsidRDefault="00686764" w:rsidP="007076A7">
            <w:pPr>
              <w:pStyle w:val="a5"/>
              <w:numPr>
                <w:ilvl w:val="0"/>
                <w:numId w:val="40"/>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Демин С.А.</w:t>
            </w:r>
          </w:p>
          <w:p w:rsidR="00686764" w:rsidRPr="004761E0" w:rsidRDefault="00686764" w:rsidP="007076A7">
            <w:pPr>
              <w:pStyle w:val="a5"/>
              <w:numPr>
                <w:ilvl w:val="0"/>
                <w:numId w:val="40"/>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Казаченков А.В.</w:t>
            </w:r>
          </w:p>
          <w:p w:rsidR="00686764" w:rsidRPr="004761E0" w:rsidRDefault="00686764" w:rsidP="007076A7">
            <w:pPr>
              <w:pStyle w:val="a5"/>
              <w:numPr>
                <w:ilvl w:val="0"/>
                <w:numId w:val="40"/>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Никитин С.А.</w:t>
            </w:r>
          </w:p>
          <w:p w:rsidR="00686764" w:rsidRPr="004761E0" w:rsidRDefault="00686764" w:rsidP="007076A7">
            <w:pPr>
              <w:pStyle w:val="a5"/>
              <w:numPr>
                <w:ilvl w:val="0"/>
                <w:numId w:val="40"/>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Нуждов А.В.</w:t>
            </w:r>
          </w:p>
          <w:p w:rsidR="00686764" w:rsidRPr="004761E0" w:rsidRDefault="00686764" w:rsidP="007076A7">
            <w:pPr>
              <w:pStyle w:val="a5"/>
              <w:numPr>
                <w:ilvl w:val="0"/>
                <w:numId w:val="40"/>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Панкстьянов Ю.Н.</w:t>
            </w:r>
          </w:p>
          <w:p w:rsidR="00686764" w:rsidRPr="004761E0" w:rsidRDefault="00686764" w:rsidP="007076A7">
            <w:pPr>
              <w:pStyle w:val="a5"/>
              <w:numPr>
                <w:ilvl w:val="0"/>
                <w:numId w:val="40"/>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Семин Н.А.</w:t>
            </w:r>
          </w:p>
          <w:p w:rsidR="00686764" w:rsidRPr="004761E0" w:rsidRDefault="00686764" w:rsidP="007076A7">
            <w:pPr>
              <w:pStyle w:val="a5"/>
              <w:numPr>
                <w:ilvl w:val="0"/>
                <w:numId w:val="40"/>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Скрибот В.</w:t>
            </w:r>
          </w:p>
          <w:p w:rsidR="00686764" w:rsidRPr="004761E0" w:rsidRDefault="00686764" w:rsidP="007076A7">
            <w:pPr>
              <w:pStyle w:val="a5"/>
              <w:numPr>
                <w:ilvl w:val="0"/>
                <w:numId w:val="40"/>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Шатохина О.В.</w:t>
            </w:r>
          </w:p>
        </w:tc>
        <w:tc>
          <w:tcPr>
            <w:tcW w:w="2694" w:type="dxa"/>
            <w:shd w:val="clear" w:color="auto" w:fill="auto"/>
          </w:tcPr>
          <w:p w:rsidR="00686764" w:rsidRPr="004761E0" w:rsidRDefault="00686764" w:rsidP="007076A7">
            <w:pPr>
              <w:pStyle w:val="a5"/>
              <w:numPr>
                <w:ilvl w:val="0"/>
                <w:numId w:val="41"/>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Гавриленко А.А.</w:t>
            </w:r>
          </w:p>
          <w:p w:rsidR="00686764" w:rsidRPr="004761E0" w:rsidRDefault="00686764" w:rsidP="007076A7">
            <w:pPr>
              <w:pStyle w:val="a5"/>
              <w:numPr>
                <w:ilvl w:val="0"/>
                <w:numId w:val="41"/>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Демин С.А.</w:t>
            </w:r>
          </w:p>
          <w:p w:rsidR="00686764" w:rsidRPr="004761E0" w:rsidRDefault="00686764" w:rsidP="007076A7">
            <w:pPr>
              <w:pStyle w:val="a5"/>
              <w:numPr>
                <w:ilvl w:val="0"/>
                <w:numId w:val="41"/>
              </w:numPr>
              <w:tabs>
                <w:tab w:val="left" w:pos="317"/>
              </w:tabs>
              <w:ind w:left="34" w:firstLine="0"/>
              <w:jc w:val="left"/>
              <w:rPr>
                <w:rFonts w:eastAsia="Times New Roman"/>
                <w:color w:val="000000"/>
                <w:sz w:val="20"/>
                <w:szCs w:val="18"/>
                <w:lang w:eastAsia="ru-RU"/>
              </w:rPr>
            </w:pPr>
            <w:r w:rsidRPr="004761E0">
              <w:rPr>
                <w:rFonts w:eastAsia="Times New Roman"/>
                <w:b/>
                <w:color w:val="000000"/>
                <w:sz w:val="20"/>
                <w:szCs w:val="18"/>
                <w:lang w:eastAsia="ru-RU"/>
              </w:rPr>
              <w:t>Казаченков А.В</w:t>
            </w:r>
            <w:r w:rsidRPr="004761E0">
              <w:rPr>
                <w:rFonts w:eastAsia="Times New Roman"/>
                <w:color w:val="000000"/>
                <w:sz w:val="20"/>
                <w:szCs w:val="18"/>
                <w:lang w:eastAsia="ru-RU"/>
              </w:rPr>
              <w:t>. (П)</w:t>
            </w:r>
          </w:p>
          <w:p w:rsidR="00686764" w:rsidRPr="004761E0" w:rsidRDefault="00686764" w:rsidP="007076A7">
            <w:pPr>
              <w:pStyle w:val="a5"/>
              <w:numPr>
                <w:ilvl w:val="0"/>
                <w:numId w:val="41"/>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Скрибот  В.</w:t>
            </w:r>
          </w:p>
          <w:p w:rsidR="00686764" w:rsidRPr="004761E0" w:rsidRDefault="00686764" w:rsidP="007076A7">
            <w:pPr>
              <w:pStyle w:val="a5"/>
              <w:numPr>
                <w:ilvl w:val="0"/>
                <w:numId w:val="41"/>
              </w:numPr>
              <w:tabs>
                <w:tab w:val="left" w:pos="317"/>
              </w:tabs>
              <w:ind w:left="34" w:firstLine="0"/>
              <w:jc w:val="left"/>
              <w:rPr>
                <w:rFonts w:eastAsia="Times New Roman"/>
                <w:color w:val="000000"/>
                <w:sz w:val="20"/>
                <w:szCs w:val="18"/>
                <w:lang w:eastAsia="ru-RU"/>
              </w:rPr>
            </w:pPr>
            <w:r w:rsidRPr="004761E0">
              <w:rPr>
                <w:rFonts w:eastAsia="Times New Roman"/>
                <w:color w:val="000000"/>
                <w:sz w:val="20"/>
                <w:szCs w:val="18"/>
                <w:lang w:eastAsia="ru-RU"/>
              </w:rPr>
              <w:t>Шатохина О.В.</w:t>
            </w:r>
          </w:p>
        </w:tc>
      </w:tr>
      <w:tr w:rsidR="00686764" w:rsidRPr="004761E0" w:rsidTr="002103CF">
        <w:trPr>
          <w:trHeight w:val="70"/>
        </w:trPr>
        <w:tc>
          <w:tcPr>
            <w:tcW w:w="567" w:type="dxa"/>
            <w:vMerge/>
            <w:shd w:val="clear" w:color="auto" w:fill="auto"/>
          </w:tcPr>
          <w:p w:rsidR="00686764" w:rsidRPr="004761E0" w:rsidRDefault="00686764" w:rsidP="007076A7">
            <w:pPr>
              <w:pStyle w:val="a5"/>
              <w:numPr>
                <w:ilvl w:val="0"/>
                <w:numId w:val="28"/>
              </w:numPr>
              <w:ind w:left="49" w:firstLine="0"/>
              <w:jc w:val="left"/>
              <w:rPr>
                <w:rFonts w:eastAsia="Times New Roman"/>
                <w:color w:val="000000"/>
                <w:sz w:val="20"/>
                <w:szCs w:val="18"/>
                <w:lang w:eastAsia="ru-RU"/>
              </w:rPr>
            </w:pPr>
          </w:p>
        </w:tc>
        <w:tc>
          <w:tcPr>
            <w:tcW w:w="1843" w:type="dxa"/>
            <w:vMerge/>
            <w:shd w:val="clear" w:color="auto" w:fill="auto"/>
          </w:tcPr>
          <w:p w:rsidR="00686764" w:rsidRPr="004761E0" w:rsidRDefault="00686764" w:rsidP="00551AA6">
            <w:pPr>
              <w:ind w:firstLine="0"/>
              <w:jc w:val="left"/>
              <w:rPr>
                <w:rFonts w:eastAsia="Times New Roman"/>
                <w:color w:val="000000"/>
                <w:sz w:val="20"/>
                <w:szCs w:val="18"/>
                <w:lang w:eastAsia="ru-RU"/>
              </w:rPr>
            </w:pPr>
          </w:p>
        </w:tc>
        <w:tc>
          <w:tcPr>
            <w:tcW w:w="13786" w:type="dxa"/>
            <w:gridSpan w:val="5"/>
            <w:shd w:val="clear" w:color="auto" w:fill="auto"/>
          </w:tcPr>
          <w:p w:rsidR="00686764" w:rsidRPr="004761E0" w:rsidRDefault="00686764" w:rsidP="00686764">
            <w:pPr>
              <w:pStyle w:val="a5"/>
              <w:tabs>
                <w:tab w:val="left" w:pos="317"/>
              </w:tabs>
              <w:ind w:left="34" w:firstLine="0"/>
              <w:jc w:val="left"/>
              <w:rPr>
                <w:rFonts w:eastAsia="Times New Roman"/>
                <w:i/>
                <w:color w:val="000000"/>
                <w:sz w:val="18"/>
                <w:szCs w:val="18"/>
                <w:lang w:eastAsia="ru-RU"/>
              </w:rPr>
            </w:pPr>
            <w:r w:rsidRPr="004761E0">
              <w:rPr>
                <w:rFonts w:eastAsia="Times New Roman"/>
                <w:color w:val="000000"/>
                <w:sz w:val="18"/>
                <w:szCs w:val="18"/>
                <w:lang w:eastAsia="ru-RU"/>
              </w:rPr>
              <w:t>П - Председатель данного Комитета. В Комитете по аудиту Председатель не избран.</w:t>
            </w:r>
          </w:p>
        </w:tc>
      </w:tr>
      <w:tr w:rsidR="00551AA6" w:rsidRPr="004761E0" w:rsidTr="002103CF">
        <w:trPr>
          <w:trHeight w:val="1050"/>
        </w:trPr>
        <w:tc>
          <w:tcPr>
            <w:tcW w:w="567" w:type="dxa"/>
            <w:shd w:val="clear" w:color="auto" w:fill="auto"/>
            <w:vAlign w:val="center"/>
          </w:tcPr>
          <w:p w:rsidR="00551AA6" w:rsidRPr="004761E0" w:rsidRDefault="00551AA6" w:rsidP="007076A7">
            <w:pPr>
              <w:pStyle w:val="a5"/>
              <w:numPr>
                <w:ilvl w:val="0"/>
                <w:numId w:val="28"/>
              </w:numPr>
              <w:ind w:left="49" w:firstLine="0"/>
              <w:jc w:val="left"/>
              <w:rPr>
                <w:rFonts w:eastAsia="Times New Roman"/>
                <w:color w:val="000000"/>
                <w:sz w:val="20"/>
                <w:szCs w:val="18"/>
                <w:lang w:eastAsia="ru-RU"/>
              </w:rPr>
            </w:pPr>
          </w:p>
        </w:tc>
        <w:tc>
          <w:tcPr>
            <w:tcW w:w="1843" w:type="dxa"/>
            <w:shd w:val="clear" w:color="auto" w:fill="auto"/>
            <w:vAlign w:val="center"/>
            <w:hideMark/>
          </w:tcPr>
          <w:p w:rsidR="00551AA6" w:rsidRPr="004761E0" w:rsidRDefault="00551AA6" w:rsidP="00551AA6">
            <w:pPr>
              <w:ind w:firstLine="0"/>
              <w:jc w:val="left"/>
              <w:rPr>
                <w:rFonts w:eastAsia="Times New Roman"/>
                <w:color w:val="000000"/>
                <w:sz w:val="20"/>
                <w:szCs w:val="18"/>
                <w:lang w:eastAsia="ru-RU"/>
              </w:rPr>
            </w:pPr>
            <w:r w:rsidRPr="004761E0">
              <w:rPr>
                <w:rFonts w:eastAsia="Times New Roman"/>
                <w:color w:val="000000"/>
                <w:sz w:val="20"/>
                <w:szCs w:val="18"/>
                <w:lang w:eastAsia="ru-RU"/>
              </w:rPr>
              <w:t>Количество заседаний Комитета в отчетном году, шт. (всего) в т.ч.:</w:t>
            </w:r>
          </w:p>
        </w:tc>
        <w:tc>
          <w:tcPr>
            <w:tcW w:w="2978" w:type="dxa"/>
            <w:shd w:val="clear" w:color="auto" w:fill="auto"/>
            <w:vAlign w:val="center"/>
            <w:hideMark/>
          </w:tcPr>
          <w:p w:rsidR="00551AA6" w:rsidRPr="004761E0" w:rsidRDefault="00551AA6" w:rsidP="00551AA6">
            <w:pPr>
              <w:ind w:firstLine="0"/>
              <w:jc w:val="right"/>
              <w:rPr>
                <w:rFonts w:eastAsia="Times New Roman"/>
                <w:color w:val="000000"/>
                <w:sz w:val="20"/>
                <w:szCs w:val="18"/>
                <w:lang w:eastAsia="ru-RU"/>
              </w:rPr>
            </w:pPr>
            <w:r w:rsidRPr="004761E0">
              <w:rPr>
                <w:rFonts w:eastAsia="Times New Roman"/>
                <w:color w:val="000000"/>
                <w:sz w:val="20"/>
                <w:szCs w:val="18"/>
                <w:lang w:eastAsia="ru-RU"/>
              </w:rPr>
              <w:t>6</w:t>
            </w:r>
          </w:p>
        </w:tc>
        <w:tc>
          <w:tcPr>
            <w:tcW w:w="2835" w:type="dxa"/>
            <w:shd w:val="clear" w:color="auto" w:fill="auto"/>
            <w:vAlign w:val="center"/>
            <w:hideMark/>
          </w:tcPr>
          <w:p w:rsidR="00551AA6" w:rsidRPr="004761E0" w:rsidRDefault="00551AA6" w:rsidP="00551AA6">
            <w:pPr>
              <w:ind w:firstLine="0"/>
              <w:jc w:val="right"/>
              <w:rPr>
                <w:rFonts w:eastAsia="Times New Roman"/>
                <w:color w:val="000000"/>
                <w:sz w:val="20"/>
                <w:szCs w:val="18"/>
                <w:lang w:eastAsia="ru-RU"/>
              </w:rPr>
            </w:pPr>
            <w:r w:rsidRPr="004761E0">
              <w:rPr>
                <w:rFonts w:eastAsia="Times New Roman"/>
                <w:color w:val="000000"/>
                <w:sz w:val="20"/>
                <w:szCs w:val="18"/>
                <w:lang w:eastAsia="ru-RU"/>
              </w:rPr>
              <w:t>0</w:t>
            </w:r>
          </w:p>
        </w:tc>
        <w:tc>
          <w:tcPr>
            <w:tcW w:w="2693" w:type="dxa"/>
            <w:shd w:val="clear" w:color="auto" w:fill="auto"/>
            <w:vAlign w:val="center"/>
            <w:hideMark/>
          </w:tcPr>
          <w:p w:rsidR="00551AA6" w:rsidRPr="004761E0" w:rsidRDefault="00551AA6" w:rsidP="00551AA6">
            <w:pPr>
              <w:ind w:firstLine="0"/>
              <w:jc w:val="right"/>
              <w:rPr>
                <w:rFonts w:eastAsia="Times New Roman"/>
                <w:color w:val="000000"/>
                <w:sz w:val="20"/>
                <w:szCs w:val="18"/>
                <w:lang w:eastAsia="ru-RU"/>
              </w:rPr>
            </w:pPr>
            <w:r w:rsidRPr="004761E0">
              <w:rPr>
                <w:rFonts w:eastAsia="Times New Roman"/>
                <w:color w:val="000000"/>
                <w:sz w:val="20"/>
                <w:szCs w:val="18"/>
                <w:lang w:eastAsia="ru-RU"/>
              </w:rPr>
              <w:t>17</w:t>
            </w:r>
          </w:p>
        </w:tc>
        <w:tc>
          <w:tcPr>
            <w:tcW w:w="2586" w:type="dxa"/>
            <w:shd w:val="clear" w:color="auto" w:fill="auto"/>
            <w:vAlign w:val="center"/>
            <w:hideMark/>
          </w:tcPr>
          <w:p w:rsidR="00551AA6" w:rsidRPr="004761E0" w:rsidRDefault="00551AA6" w:rsidP="00551AA6">
            <w:pPr>
              <w:ind w:firstLine="0"/>
              <w:jc w:val="right"/>
              <w:rPr>
                <w:rFonts w:eastAsia="Times New Roman"/>
                <w:color w:val="000000"/>
                <w:sz w:val="20"/>
                <w:szCs w:val="18"/>
                <w:lang w:eastAsia="ru-RU"/>
              </w:rPr>
            </w:pPr>
            <w:r w:rsidRPr="004761E0">
              <w:rPr>
                <w:rFonts w:eastAsia="Times New Roman"/>
                <w:color w:val="000000"/>
                <w:sz w:val="20"/>
                <w:szCs w:val="18"/>
                <w:lang w:eastAsia="ru-RU"/>
              </w:rPr>
              <w:t>8</w:t>
            </w:r>
          </w:p>
        </w:tc>
        <w:tc>
          <w:tcPr>
            <w:tcW w:w="2694" w:type="dxa"/>
            <w:shd w:val="clear" w:color="auto" w:fill="auto"/>
            <w:vAlign w:val="center"/>
            <w:hideMark/>
          </w:tcPr>
          <w:p w:rsidR="00551AA6" w:rsidRPr="004761E0" w:rsidRDefault="00551AA6" w:rsidP="00551AA6">
            <w:pPr>
              <w:ind w:firstLine="0"/>
              <w:jc w:val="right"/>
              <w:rPr>
                <w:rFonts w:eastAsia="Times New Roman"/>
                <w:color w:val="000000"/>
                <w:sz w:val="20"/>
                <w:szCs w:val="18"/>
                <w:lang w:eastAsia="ru-RU"/>
              </w:rPr>
            </w:pPr>
            <w:r w:rsidRPr="004761E0">
              <w:rPr>
                <w:rFonts w:eastAsia="Times New Roman"/>
                <w:color w:val="000000"/>
                <w:sz w:val="20"/>
                <w:szCs w:val="18"/>
                <w:lang w:eastAsia="ru-RU"/>
              </w:rPr>
              <w:t>15</w:t>
            </w:r>
          </w:p>
        </w:tc>
      </w:tr>
      <w:tr w:rsidR="00551AA6" w:rsidRPr="004761E0" w:rsidTr="002103CF">
        <w:trPr>
          <w:trHeight w:val="300"/>
        </w:trPr>
        <w:tc>
          <w:tcPr>
            <w:tcW w:w="567" w:type="dxa"/>
            <w:shd w:val="clear" w:color="auto" w:fill="auto"/>
            <w:vAlign w:val="center"/>
          </w:tcPr>
          <w:p w:rsidR="00551AA6" w:rsidRPr="004761E0" w:rsidRDefault="00551AA6" w:rsidP="007076A7">
            <w:pPr>
              <w:pStyle w:val="a5"/>
              <w:numPr>
                <w:ilvl w:val="1"/>
                <w:numId w:val="28"/>
              </w:numPr>
              <w:ind w:left="49" w:firstLine="0"/>
              <w:jc w:val="left"/>
              <w:rPr>
                <w:rFonts w:eastAsia="Times New Roman"/>
                <w:color w:val="000000"/>
                <w:sz w:val="20"/>
                <w:szCs w:val="18"/>
                <w:lang w:eastAsia="ru-RU"/>
              </w:rPr>
            </w:pPr>
          </w:p>
        </w:tc>
        <w:tc>
          <w:tcPr>
            <w:tcW w:w="1843" w:type="dxa"/>
            <w:shd w:val="clear" w:color="auto" w:fill="auto"/>
            <w:noWrap/>
            <w:vAlign w:val="center"/>
            <w:hideMark/>
          </w:tcPr>
          <w:p w:rsidR="00551AA6" w:rsidRPr="004761E0" w:rsidRDefault="00551AA6" w:rsidP="00551AA6">
            <w:pPr>
              <w:ind w:firstLine="176"/>
              <w:jc w:val="left"/>
              <w:rPr>
                <w:rFonts w:eastAsia="Times New Roman"/>
                <w:color w:val="000000"/>
                <w:sz w:val="20"/>
                <w:szCs w:val="18"/>
                <w:lang w:eastAsia="ru-RU"/>
              </w:rPr>
            </w:pPr>
            <w:r w:rsidRPr="004761E0">
              <w:rPr>
                <w:rFonts w:eastAsia="Times New Roman"/>
                <w:color w:val="000000"/>
                <w:sz w:val="20"/>
                <w:szCs w:val="18"/>
                <w:lang w:eastAsia="ru-RU"/>
              </w:rPr>
              <w:t>очных</w:t>
            </w:r>
          </w:p>
        </w:tc>
        <w:tc>
          <w:tcPr>
            <w:tcW w:w="2978" w:type="dxa"/>
            <w:shd w:val="clear" w:color="auto" w:fill="auto"/>
            <w:vAlign w:val="center"/>
            <w:hideMark/>
          </w:tcPr>
          <w:p w:rsidR="00551AA6" w:rsidRPr="004761E0" w:rsidRDefault="00551AA6" w:rsidP="00551AA6">
            <w:pPr>
              <w:ind w:firstLine="0"/>
              <w:jc w:val="right"/>
              <w:rPr>
                <w:rFonts w:eastAsia="Times New Roman"/>
                <w:color w:val="000000"/>
                <w:sz w:val="20"/>
                <w:szCs w:val="18"/>
                <w:lang w:eastAsia="ru-RU"/>
              </w:rPr>
            </w:pPr>
            <w:r w:rsidRPr="004761E0">
              <w:rPr>
                <w:rFonts w:eastAsia="Times New Roman"/>
                <w:color w:val="000000"/>
                <w:sz w:val="20"/>
                <w:szCs w:val="18"/>
                <w:lang w:eastAsia="ru-RU"/>
              </w:rPr>
              <w:t>0</w:t>
            </w:r>
          </w:p>
        </w:tc>
        <w:tc>
          <w:tcPr>
            <w:tcW w:w="2835" w:type="dxa"/>
            <w:shd w:val="clear" w:color="auto" w:fill="auto"/>
            <w:vAlign w:val="center"/>
            <w:hideMark/>
          </w:tcPr>
          <w:p w:rsidR="00551AA6" w:rsidRPr="004761E0" w:rsidRDefault="00551AA6" w:rsidP="00551AA6">
            <w:pPr>
              <w:ind w:firstLine="0"/>
              <w:jc w:val="right"/>
              <w:rPr>
                <w:rFonts w:eastAsia="Times New Roman"/>
                <w:color w:val="000000"/>
                <w:sz w:val="20"/>
                <w:szCs w:val="18"/>
                <w:lang w:eastAsia="ru-RU"/>
              </w:rPr>
            </w:pPr>
            <w:r w:rsidRPr="004761E0">
              <w:rPr>
                <w:rFonts w:eastAsia="Times New Roman"/>
                <w:color w:val="000000"/>
                <w:sz w:val="20"/>
                <w:szCs w:val="18"/>
                <w:lang w:eastAsia="ru-RU"/>
              </w:rPr>
              <w:t>0</w:t>
            </w:r>
          </w:p>
        </w:tc>
        <w:tc>
          <w:tcPr>
            <w:tcW w:w="2693" w:type="dxa"/>
            <w:shd w:val="clear" w:color="auto" w:fill="auto"/>
            <w:vAlign w:val="center"/>
            <w:hideMark/>
          </w:tcPr>
          <w:p w:rsidR="00551AA6" w:rsidRPr="004761E0" w:rsidRDefault="00551AA6" w:rsidP="00551AA6">
            <w:pPr>
              <w:ind w:firstLine="0"/>
              <w:jc w:val="right"/>
              <w:rPr>
                <w:rFonts w:eastAsia="Times New Roman"/>
                <w:color w:val="000000"/>
                <w:sz w:val="20"/>
                <w:szCs w:val="18"/>
                <w:lang w:eastAsia="ru-RU"/>
              </w:rPr>
            </w:pPr>
            <w:r w:rsidRPr="004761E0">
              <w:rPr>
                <w:rFonts w:eastAsia="Times New Roman"/>
                <w:color w:val="000000"/>
                <w:sz w:val="20"/>
                <w:szCs w:val="18"/>
                <w:lang w:eastAsia="ru-RU"/>
              </w:rPr>
              <w:t>9</w:t>
            </w:r>
          </w:p>
        </w:tc>
        <w:tc>
          <w:tcPr>
            <w:tcW w:w="2586" w:type="dxa"/>
            <w:shd w:val="clear" w:color="auto" w:fill="auto"/>
            <w:vAlign w:val="center"/>
            <w:hideMark/>
          </w:tcPr>
          <w:p w:rsidR="00551AA6" w:rsidRPr="004761E0" w:rsidRDefault="00551AA6" w:rsidP="00551AA6">
            <w:pPr>
              <w:ind w:firstLine="0"/>
              <w:jc w:val="right"/>
              <w:rPr>
                <w:rFonts w:eastAsia="Times New Roman"/>
                <w:color w:val="000000"/>
                <w:sz w:val="20"/>
                <w:szCs w:val="18"/>
                <w:lang w:eastAsia="ru-RU"/>
              </w:rPr>
            </w:pPr>
            <w:r w:rsidRPr="004761E0">
              <w:rPr>
                <w:rFonts w:eastAsia="Times New Roman"/>
                <w:color w:val="000000"/>
                <w:sz w:val="20"/>
                <w:szCs w:val="18"/>
                <w:lang w:eastAsia="ru-RU"/>
              </w:rPr>
              <w:t>2</w:t>
            </w:r>
          </w:p>
        </w:tc>
        <w:tc>
          <w:tcPr>
            <w:tcW w:w="2694" w:type="dxa"/>
            <w:shd w:val="clear" w:color="auto" w:fill="auto"/>
            <w:vAlign w:val="center"/>
            <w:hideMark/>
          </w:tcPr>
          <w:p w:rsidR="00551AA6" w:rsidRPr="004761E0" w:rsidRDefault="00551AA6" w:rsidP="00551AA6">
            <w:pPr>
              <w:ind w:firstLine="0"/>
              <w:jc w:val="right"/>
              <w:rPr>
                <w:rFonts w:eastAsia="Times New Roman"/>
                <w:color w:val="000000"/>
                <w:sz w:val="20"/>
                <w:szCs w:val="18"/>
                <w:lang w:eastAsia="ru-RU"/>
              </w:rPr>
            </w:pPr>
            <w:r w:rsidRPr="004761E0">
              <w:rPr>
                <w:rFonts w:eastAsia="Times New Roman"/>
                <w:color w:val="000000"/>
                <w:sz w:val="20"/>
                <w:szCs w:val="18"/>
                <w:lang w:eastAsia="ru-RU"/>
              </w:rPr>
              <w:t>2</w:t>
            </w:r>
          </w:p>
        </w:tc>
      </w:tr>
      <w:tr w:rsidR="00AD75E4" w:rsidRPr="004761E0" w:rsidTr="002103CF">
        <w:trPr>
          <w:trHeight w:val="1095"/>
        </w:trPr>
        <w:tc>
          <w:tcPr>
            <w:tcW w:w="567" w:type="dxa"/>
            <w:shd w:val="clear" w:color="auto" w:fill="auto"/>
            <w:vAlign w:val="center"/>
          </w:tcPr>
          <w:p w:rsidR="00AD75E4" w:rsidRPr="004761E0" w:rsidRDefault="00AD75E4" w:rsidP="007076A7">
            <w:pPr>
              <w:pStyle w:val="a5"/>
              <w:numPr>
                <w:ilvl w:val="0"/>
                <w:numId w:val="28"/>
              </w:numPr>
              <w:ind w:left="49" w:firstLine="0"/>
              <w:jc w:val="left"/>
              <w:rPr>
                <w:rFonts w:eastAsia="Times New Roman"/>
                <w:color w:val="000000"/>
                <w:sz w:val="20"/>
                <w:szCs w:val="18"/>
                <w:lang w:eastAsia="ru-RU"/>
              </w:rPr>
            </w:pPr>
          </w:p>
        </w:tc>
        <w:tc>
          <w:tcPr>
            <w:tcW w:w="1843" w:type="dxa"/>
            <w:shd w:val="clear" w:color="auto" w:fill="auto"/>
            <w:vAlign w:val="center"/>
            <w:hideMark/>
          </w:tcPr>
          <w:p w:rsidR="00AD75E4" w:rsidRPr="004761E0" w:rsidRDefault="00AD75E4" w:rsidP="00AD75E4">
            <w:pPr>
              <w:ind w:firstLine="0"/>
              <w:jc w:val="left"/>
              <w:rPr>
                <w:rFonts w:eastAsia="Times New Roman"/>
                <w:color w:val="000000"/>
                <w:sz w:val="20"/>
                <w:szCs w:val="18"/>
                <w:lang w:eastAsia="ru-RU"/>
              </w:rPr>
            </w:pPr>
            <w:r w:rsidRPr="004761E0">
              <w:rPr>
                <w:rFonts w:eastAsia="Times New Roman"/>
                <w:color w:val="000000"/>
                <w:sz w:val="20"/>
                <w:szCs w:val="18"/>
                <w:lang w:eastAsia="ru-RU"/>
              </w:rPr>
              <w:t>Размер вознаграждения, выплаченный членам Комитета в отчетном году, руб. с учетом НДФЛ</w:t>
            </w:r>
          </w:p>
        </w:tc>
        <w:tc>
          <w:tcPr>
            <w:tcW w:w="2978" w:type="dxa"/>
            <w:shd w:val="clear" w:color="auto" w:fill="auto"/>
            <w:vAlign w:val="center"/>
            <w:hideMark/>
          </w:tcPr>
          <w:p w:rsidR="00AD75E4" w:rsidRPr="004761E0" w:rsidRDefault="00AD75E4">
            <w:pPr>
              <w:jc w:val="right"/>
              <w:rPr>
                <w:color w:val="000000"/>
                <w:sz w:val="20"/>
                <w:szCs w:val="20"/>
              </w:rPr>
            </w:pPr>
            <w:r w:rsidRPr="004761E0">
              <w:rPr>
                <w:color w:val="000000"/>
                <w:sz w:val="20"/>
                <w:szCs w:val="20"/>
              </w:rPr>
              <w:t>32 565</w:t>
            </w:r>
          </w:p>
        </w:tc>
        <w:tc>
          <w:tcPr>
            <w:tcW w:w="2835" w:type="dxa"/>
            <w:shd w:val="clear" w:color="auto" w:fill="auto"/>
            <w:vAlign w:val="center"/>
            <w:hideMark/>
          </w:tcPr>
          <w:p w:rsidR="00AD75E4" w:rsidRPr="004761E0" w:rsidRDefault="00AD75E4">
            <w:pPr>
              <w:jc w:val="right"/>
              <w:rPr>
                <w:color w:val="000000"/>
                <w:sz w:val="20"/>
                <w:szCs w:val="20"/>
              </w:rPr>
            </w:pPr>
            <w:r w:rsidRPr="004761E0">
              <w:rPr>
                <w:color w:val="000000"/>
                <w:sz w:val="20"/>
                <w:szCs w:val="20"/>
              </w:rPr>
              <w:t>0</w:t>
            </w:r>
          </w:p>
        </w:tc>
        <w:tc>
          <w:tcPr>
            <w:tcW w:w="2693" w:type="dxa"/>
            <w:shd w:val="clear" w:color="auto" w:fill="auto"/>
            <w:vAlign w:val="center"/>
            <w:hideMark/>
          </w:tcPr>
          <w:p w:rsidR="00AD75E4" w:rsidRPr="004761E0" w:rsidRDefault="00AD75E4">
            <w:pPr>
              <w:jc w:val="right"/>
              <w:rPr>
                <w:color w:val="000000"/>
                <w:sz w:val="20"/>
                <w:szCs w:val="20"/>
              </w:rPr>
            </w:pPr>
            <w:r w:rsidRPr="004761E0">
              <w:rPr>
                <w:color w:val="000000"/>
                <w:sz w:val="20"/>
                <w:szCs w:val="20"/>
              </w:rPr>
              <w:t>138 137</w:t>
            </w:r>
          </w:p>
        </w:tc>
        <w:tc>
          <w:tcPr>
            <w:tcW w:w="2586" w:type="dxa"/>
            <w:shd w:val="clear" w:color="auto" w:fill="auto"/>
            <w:vAlign w:val="center"/>
            <w:hideMark/>
          </w:tcPr>
          <w:p w:rsidR="00AD75E4" w:rsidRPr="004761E0" w:rsidRDefault="00AD75E4">
            <w:pPr>
              <w:jc w:val="right"/>
              <w:rPr>
                <w:color w:val="000000"/>
                <w:sz w:val="20"/>
                <w:szCs w:val="20"/>
              </w:rPr>
            </w:pPr>
            <w:r w:rsidRPr="004761E0">
              <w:rPr>
                <w:color w:val="000000"/>
                <w:sz w:val="20"/>
                <w:szCs w:val="20"/>
              </w:rPr>
              <w:t>70 202</w:t>
            </w:r>
          </w:p>
        </w:tc>
        <w:tc>
          <w:tcPr>
            <w:tcW w:w="2694" w:type="dxa"/>
            <w:shd w:val="clear" w:color="auto" w:fill="auto"/>
            <w:vAlign w:val="center"/>
            <w:hideMark/>
          </w:tcPr>
          <w:p w:rsidR="00AD75E4" w:rsidRPr="004761E0" w:rsidRDefault="00AD75E4">
            <w:pPr>
              <w:jc w:val="right"/>
              <w:rPr>
                <w:color w:val="000000"/>
                <w:sz w:val="20"/>
                <w:szCs w:val="20"/>
              </w:rPr>
            </w:pPr>
            <w:r w:rsidRPr="004761E0">
              <w:rPr>
                <w:color w:val="000000"/>
                <w:sz w:val="20"/>
                <w:szCs w:val="20"/>
              </w:rPr>
              <w:t>20 380</w:t>
            </w:r>
          </w:p>
        </w:tc>
      </w:tr>
      <w:tr w:rsidR="00551AA6" w:rsidRPr="004761E0" w:rsidTr="002103CF">
        <w:trPr>
          <w:trHeight w:val="1245"/>
        </w:trPr>
        <w:tc>
          <w:tcPr>
            <w:tcW w:w="567" w:type="dxa"/>
            <w:shd w:val="clear" w:color="auto" w:fill="auto"/>
            <w:vAlign w:val="center"/>
          </w:tcPr>
          <w:p w:rsidR="00551AA6" w:rsidRPr="004761E0" w:rsidRDefault="00551AA6" w:rsidP="007076A7">
            <w:pPr>
              <w:pStyle w:val="a5"/>
              <w:numPr>
                <w:ilvl w:val="0"/>
                <w:numId w:val="28"/>
              </w:numPr>
              <w:ind w:left="49" w:firstLine="0"/>
              <w:jc w:val="left"/>
              <w:rPr>
                <w:rFonts w:eastAsia="Times New Roman"/>
                <w:color w:val="000000"/>
                <w:sz w:val="20"/>
                <w:szCs w:val="18"/>
                <w:lang w:eastAsia="ru-RU"/>
              </w:rPr>
            </w:pPr>
          </w:p>
        </w:tc>
        <w:tc>
          <w:tcPr>
            <w:tcW w:w="1843" w:type="dxa"/>
            <w:shd w:val="clear" w:color="auto" w:fill="auto"/>
            <w:vAlign w:val="center"/>
            <w:hideMark/>
          </w:tcPr>
          <w:p w:rsidR="00551AA6" w:rsidRPr="004761E0" w:rsidRDefault="00551AA6" w:rsidP="00551AA6">
            <w:pPr>
              <w:ind w:firstLine="0"/>
              <w:jc w:val="left"/>
              <w:rPr>
                <w:rFonts w:eastAsia="Times New Roman"/>
                <w:color w:val="000000"/>
                <w:sz w:val="20"/>
                <w:szCs w:val="18"/>
                <w:lang w:eastAsia="ru-RU"/>
              </w:rPr>
            </w:pPr>
            <w:r w:rsidRPr="004761E0">
              <w:rPr>
                <w:rFonts w:eastAsia="Times New Roman"/>
                <w:color w:val="000000"/>
                <w:sz w:val="20"/>
                <w:szCs w:val="18"/>
                <w:lang w:eastAsia="ru-RU"/>
              </w:rPr>
              <w:t>Адрес страницы в Интернете, на которой размещены решения Комитета</w:t>
            </w:r>
          </w:p>
        </w:tc>
        <w:tc>
          <w:tcPr>
            <w:tcW w:w="2978" w:type="dxa"/>
            <w:shd w:val="clear" w:color="auto" w:fill="auto"/>
            <w:vAlign w:val="center"/>
            <w:hideMark/>
          </w:tcPr>
          <w:p w:rsidR="00551AA6" w:rsidRPr="004761E0" w:rsidRDefault="00EA456F" w:rsidP="00551AA6">
            <w:pPr>
              <w:ind w:firstLine="0"/>
              <w:jc w:val="right"/>
              <w:rPr>
                <w:rFonts w:eastAsia="Times New Roman"/>
                <w:color w:val="000000"/>
                <w:sz w:val="20"/>
                <w:szCs w:val="18"/>
                <w:lang w:eastAsia="ru-RU"/>
              </w:rPr>
            </w:pPr>
            <w:hyperlink r:id="rId160" w:anchor="tab-Resh_nad-link" w:history="1">
              <w:r w:rsidR="00551AA6" w:rsidRPr="004761E0">
                <w:rPr>
                  <w:rStyle w:val="a4"/>
                  <w:rFonts w:eastAsia="Times New Roman"/>
                  <w:sz w:val="20"/>
                  <w:szCs w:val="18"/>
                  <w:lang w:eastAsia="ru-RU"/>
                </w:rPr>
                <w:t>http://www.moesk.ru/invest_news/korporativnoe-upravlenie/commits_soveta_directorov/komitet_po_nadezhnosti/#tab-Resh_nad-link</w:t>
              </w:r>
            </w:hyperlink>
          </w:p>
        </w:tc>
        <w:tc>
          <w:tcPr>
            <w:tcW w:w="2835" w:type="dxa"/>
            <w:shd w:val="clear" w:color="auto" w:fill="auto"/>
            <w:vAlign w:val="center"/>
            <w:hideMark/>
          </w:tcPr>
          <w:p w:rsidR="00551AA6" w:rsidRPr="004761E0" w:rsidRDefault="00EA456F" w:rsidP="00551AA6">
            <w:pPr>
              <w:ind w:firstLine="0"/>
              <w:jc w:val="right"/>
              <w:rPr>
                <w:rFonts w:eastAsia="Times New Roman"/>
                <w:color w:val="000000"/>
                <w:sz w:val="20"/>
                <w:szCs w:val="18"/>
                <w:lang w:eastAsia="ru-RU"/>
              </w:rPr>
            </w:pPr>
            <w:hyperlink r:id="rId161" w:anchor="tab-Resh-link" w:history="1">
              <w:r w:rsidR="00551AA6" w:rsidRPr="004761E0">
                <w:rPr>
                  <w:rStyle w:val="a4"/>
                  <w:rFonts w:eastAsia="Times New Roman"/>
                  <w:sz w:val="20"/>
                  <w:szCs w:val="18"/>
                  <w:lang w:eastAsia="ru-RU"/>
                </w:rPr>
                <w:t>http://www.moesk.ru/invest_news/korporativnoe-upravlenie/commits_soveta_directorov/komitet_po_tekhnologicheskomu_prisoyedineniyu/#tab-Resh-link</w:t>
              </w:r>
            </w:hyperlink>
          </w:p>
        </w:tc>
        <w:tc>
          <w:tcPr>
            <w:tcW w:w="2693" w:type="dxa"/>
            <w:shd w:val="clear" w:color="auto" w:fill="auto"/>
            <w:vAlign w:val="center"/>
            <w:hideMark/>
          </w:tcPr>
          <w:p w:rsidR="00551AA6" w:rsidRPr="004761E0" w:rsidRDefault="00EA456F" w:rsidP="00551AA6">
            <w:pPr>
              <w:ind w:firstLine="0"/>
              <w:jc w:val="right"/>
              <w:rPr>
                <w:rFonts w:eastAsia="Times New Roman"/>
                <w:color w:val="000000"/>
                <w:sz w:val="20"/>
                <w:szCs w:val="18"/>
                <w:lang w:eastAsia="ru-RU"/>
              </w:rPr>
            </w:pPr>
            <w:hyperlink r:id="rId162" w:anchor="tab-Resh-link" w:history="1">
              <w:r w:rsidR="00551AA6" w:rsidRPr="004761E0">
                <w:rPr>
                  <w:rStyle w:val="a4"/>
                  <w:rFonts w:eastAsia="Times New Roman"/>
                  <w:sz w:val="20"/>
                  <w:szCs w:val="18"/>
                  <w:lang w:eastAsia="ru-RU"/>
                </w:rPr>
                <w:t>http://www.moesk.ru/invest_news/korporativnoe-upravlenie/commits_soveta_directorov/komitet_po_strategii_razvitiyu/#tab-Resh-link</w:t>
              </w:r>
            </w:hyperlink>
          </w:p>
        </w:tc>
        <w:tc>
          <w:tcPr>
            <w:tcW w:w="2586" w:type="dxa"/>
            <w:shd w:val="clear" w:color="auto" w:fill="auto"/>
            <w:vAlign w:val="center"/>
            <w:hideMark/>
          </w:tcPr>
          <w:p w:rsidR="00551AA6" w:rsidRPr="004761E0" w:rsidRDefault="00EA456F" w:rsidP="00551AA6">
            <w:pPr>
              <w:ind w:firstLine="0"/>
              <w:jc w:val="right"/>
              <w:rPr>
                <w:rFonts w:eastAsia="Times New Roman"/>
                <w:color w:val="0000FF"/>
                <w:sz w:val="20"/>
                <w:szCs w:val="18"/>
                <w:u w:val="single"/>
                <w:lang w:eastAsia="ru-RU"/>
              </w:rPr>
            </w:pPr>
            <w:hyperlink r:id="rId163" w:anchor="tab-Resh-link" w:history="1">
              <w:r w:rsidR="00551AA6" w:rsidRPr="004761E0">
                <w:rPr>
                  <w:rFonts w:eastAsia="Times New Roman"/>
                  <w:color w:val="0000FF"/>
                  <w:sz w:val="20"/>
                  <w:szCs w:val="18"/>
                  <w:u w:val="single"/>
                  <w:lang w:eastAsia="ru-RU"/>
                </w:rPr>
                <w:t>http://www.moesk.ru/invest_news/korporativnoe-upravlenie/commits_soveta_directorov/komitet_po_auditu/#tab-Resh-link</w:t>
              </w:r>
            </w:hyperlink>
          </w:p>
        </w:tc>
        <w:tc>
          <w:tcPr>
            <w:tcW w:w="2694" w:type="dxa"/>
            <w:shd w:val="clear" w:color="auto" w:fill="auto"/>
            <w:vAlign w:val="center"/>
            <w:hideMark/>
          </w:tcPr>
          <w:p w:rsidR="00551AA6" w:rsidRPr="004761E0" w:rsidRDefault="00EA456F" w:rsidP="00551AA6">
            <w:pPr>
              <w:ind w:firstLine="0"/>
              <w:jc w:val="right"/>
              <w:rPr>
                <w:rFonts w:eastAsia="Times New Roman"/>
                <w:color w:val="0000FF"/>
                <w:sz w:val="20"/>
                <w:szCs w:val="18"/>
                <w:u w:val="single"/>
                <w:lang w:eastAsia="ru-RU"/>
              </w:rPr>
            </w:pPr>
            <w:hyperlink r:id="rId164" w:anchor="tab-Resh-link" w:history="1">
              <w:r w:rsidR="00551AA6" w:rsidRPr="004761E0">
                <w:rPr>
                  <w:rFonts w:eastAsia="Times New Roman"/>
                  <w:color w:val="0000FF"/>
                  <w:sz w:val="20"/>
                  <w:szCs w:val="18"/>
                  <w:u w:val="single"/>
                  <w:lang w:eastAsia="ru-RU"/>
                </w:rPr>
                <w:t>http://www.moesk.ru/invest_news/korporativnoe-upravlenie/commits_soveta_directorov/komitet_po_kadram_voznagrazhdeniyam/#tab-Resh-link</w:t>
              </w:r>
            </w:hyperlink>
          </w:p>
        </w:tc>
      </w:tr>
      <w:tr w:rsidR="00551AA6" w:rsidRPr="004761E0" w:rsidTr="002103CF">
        <w:trPr>
          <w:trHeight w:val="1005"/>
        </w:trPr>
        <w:tc>
          <w:tcPr>
            <w:tcW w:w="567" w:type="dxa"/>
            <w:shd w:val="clear" w:color="auto" w:fill="auto"/>
            <w:vAlign w:val="center"/>
          </w:tcPr>
          <w:p w:rsidR="00551AA6" w:rsidRPr="004761E0" w:rsidRDefault="00551AA6" w:rsidP="007076A7">
            <w:pPr>
              <w:pStyle w:val="a5"/>
              <w:numPr>
                <w:ilvl w:val="0"/>
                <w:numId w:val="28"/>
              </w:numPr>
              <w:ind w:left="49" w:firstLine="0"/>
              <w:jc w:val="left"/>
              <w:rPr>
                <w:rFonts w:eastAsia="Times New Roman"/>
                <w:color w:val="000000"/>
                <w:sz w:val="20"/>
                <w:szCs w:val="18"/>
                <w:lang w:eastAsia="ru-RU"/>
              </w:rPr>
            </w:pPr>
          </w:p>
        </w:tc>
        <w:tc>
          <w:tcPr>
            <w:tcW w:w="1843" w:type="dxa"/>
            <w:shd w:val="clear" w:color="auto" w:fill="auto"/>
            <w:vAlign w:val="center"/>
            <w:hideMark/>
          </w:tcPr>
          <w:p w:rsidR="00551AA6" w:rsidRPr="004761E0" w:rsidRDefault="00551AA6" w:rsidP="00551AA6">
            <w:pPr>
              <w:ind w:firstLine="0"/>
              <w:jc w:val="left"/>
              <w:rPr>
                <w:rFonts w:eastAsia="Times New Roman"/>
                <w:color w:val="000000"/>
                <w:sz w:val="20"/>
                <w:szCs w:val="18"/>
                <w:lang w:eastAsia="ru-RU"/>
              </w:rPr>
            </w:pPr>
            <w:r w:rsidRPr="004761E0">
              <w:rPr>
                <w:rFonts w:eastAsia="Times New Roman"/>
                <w:color w:val="000000"/>
                <w:sz w:val="20"/>
                <w:szCs w:val="18"/>
                <w:lang w:eastAsia="ru-RU"/>
              </w:rPr>
              <w:t xml:space="preserve">Адрес страницы в Интернете, на которой размещено Положение о </w:t>
            </w:r>
            <w:r w:rsidRPr="004761E0">
              <w:rPr>
                <w:rFonts w:eastAsia="Times New Roman"/>
                <w:color w:val="000000"/>
                <w:sz w:val="20"/>
                <w:szCs w:val="18"/>
                <w:lang w:eastAsia="ru-RU"/>
              </w:rPr>
              <w:lastRenderedPageBreak/>
              <w:t>Комитете</w:t>
            </w:r>
          </w:p>
        </w:tc>
        <w:tc>
          <w:tcPr>
            <w:tcW w:w="2978" w:type="dxa"/>
            <w:shd w:val="clear" w:color="auto" w:fill="auto"/>
            <w:vAlign w:val="center"/>
            <w:hideMark/>
          </w:tcPr>
          <w:p w:rsidR="00551AA6" w:rsidRPr="004761E0" w:rsidRDefault="00EA456F" w:rsidP="00551AA6">
            <w:pPr>
              <w:ind w:firstLineChars="200" w:firstLine="560"/>
              <w:jc w:val="right"/>
              <w:rPr>
                <w:rFonts w:eastAsia="Times New Roman"/>
                <w:color w:val="0000FF"/>
                <w:sz w:val="20"/>
                <w:szCs w:val="18"/>
                <w:u w:val="single"/>
                <w:lang w:eastAsia="ru-RU"/>
              </w:rPr>
            </w:pPr>
            <w:hyperlink r:id="rId165" w:anchor="tab-Vn_Doc-link" w:history="1">
              <w:r w:rsidR="00551AA6" w:rsidRPr="004761E0">
                <w:rPr>
                  <w:rFonts w:eastAsia="Times New Roman"/>
                  <w:color w:val="0000FF"/>
                  <w:sz w:val="20"/>
                  <w:szCs w:val="18"/>
                  <w:u w:val="single"/>
                  <w:lang w:eastAsia="ru-RU"/>
                </w:rPr>
                <w:t>http://www.moesk.ru/invest_news/raskritie/ystav/#tab-Vn_Doc-link</w:t>
              </w:r>
            </w:hyperlink>
          </w:p>
        </w:tc>
        <w:tc>
          <w:tcPr>
            <w:tcW w:w="2835" w:type="dxa"/>
            <w:shd w:val="clear" w:color="auto" w:fill="auto"/>
            <w:vAlign w:val="center"/>
            <w:hideMark/>
          </w:tcPr>
          <w:p w:rsidR="00551AA6" w:rsidRPr="004761E0" w:rsidRDefault="00EA456F" w:rsidP="00551AA6">
            <w:pPr>
              <w:ind w:firstLineChars="200" w:firstLine="560"/>
              <w:jc w:val="right"/>
              <w:rPr>
                <w:rFonts w:eastAsia="Times New Roman"/>
                <w:color w:val="0000FF"/>
                <w:sz w:val="20"/>
                <w:szCs w:val="18"/>
                <w:u w:val="single"/>
                <w:lang w:eastAsia="ru-RU"/>
              </w:rPr>
            </w:pPr>
            <w:hyperlink r:id="rId166" w:anchor="tab-Vn_Doc-link" w:history="1">
              <w:r w:rsidR="00551AA6" w:rsidRPr="004761E0">
                <w:rPr>
                  <w:rFonts w:eastAsia="Times New Roman"/>
                  <w:color w:val="0000FF"/>
                  <w:sz w:val="20"/>
                  <w:szCs w:val="18"/>
                  <w:u w:val="single"/>
                  <w:lang w:eastAsia="ru-RU"/>
                </w:rPr>
                <w:t>http://www.moesk.ru/invest_news/raskritie/ystav/#tab-Vn_Doc-link</w:t>
              </w:r>
            </w:hyperlink>
          </w:p>
        </w:tc>
        <w:tc>
          <w:tcPr>
            <w:tcW w:w="2693" w:type="dxa"/>
            <w:shd w:val="clear" w:color="auto" w:fill="auto"/>
            <w:vAlign w:val="center"/>
            <w:hideMark/>
          </w:tcPr>
          <w:p w:rsidR="00551AA6" w:rsidRPr="004761E0" w:rsidRDefault="00EA456F" w:rsidP="00551AA6">
            <w:pPr>
              <w:ind w:firstLineChars="200" w:firstLine="560"/>
              <w:jc w:val="right"/>
              <w:rPr>
                <w:rFonts w:eastAsia="Times New Roman"/>
                <w:color w:val="0000FF"/>
                <w:sz w:val="20"/>
                <w:szCs w:val="18"/>
                <w:u w:val="single"/>
                <w:lang w:eastAsia="ru-RU"/>
              </w:rPr>
            </w:pPr>
            <w:hyperlink r:id="rId167" w:anchor="tab-Vn_Doc-link" w:history="1">
              <w:r w:rsidR="00551AA6" w:rsidRPr="004761E0">
                <w:rPr>
                  <w:rFonts w:eastAsia="Times New Roman"/>
                  <w:color w:val="0000FF"/>
                  <w:sz w:val="20"/>
                  <w:szCs w:val="18"/>
                  <w:u w:val="single"/>
                  <w:lang w:eastAsia="ru-RU"/>
                </w:rPr>
                <w:t>http://www.moesk.ru/invest_news/raskritie/ystav/#tab-Vn_Doc-link</w:t>
              </w:r>
            </w:hyperlink>
          </w:p>
        </w:tc>
        <w:tc>
          <w:tcPr>
            <w:tcW w:w="2586" w:type="dxa"/>
            <w:shd w:val="clear" w:color="auto" w:fill="auto"/>
            <w:vAlign w:val="center"/>
            <w:hideMark/>
          </w:tcPr>
          <w:p w:rsidR="00551AA6" w:rsidRPr="004761E0" w:rsidRDefault="00EA456F" w:rsidP="00551AA6">
            <w:pPr>
              <w:ind w:firstLineChars="200" w:firstLine="560"/>
              <w:jc w:val="right"/>
              <w:rPr>
                <w:rFonts w:eastAsia="Times New Roman"/>
                <w:color w:val="0000FF"/>
                <w:sz w:val="20"/>
                <w:szCs w:val="18"/>
                <w:u w:val="single"/>
                <w:lang w:eastAsia="ru-RU"/>
              </w:rPr>
            </w:pPr>
            <w:hyperlink r:id="rId168" w:anchor="tab-Vn_Doc-link" w:history="1">
              <w:r w:rsidR="00551AA6" w:rsidRPr="004761E0">
                <w:rPr>
                  <w:rFonts w:eastAsia="Times New Roman"/>
                  <w:color w:val="0000FF"/>
                  <w:sz w:val="20"/>
                  <w:szCs w:val="18"/>
                  <w:u w:val="single"/>
                  <w:lang w:eastAsia="ru-RU"/>
                </w:rPr>
                <w:t>http://www.moesk.ru/invest_news/raskritie/ystav/#tab-Vn_Doc-link</w:t>
              </w:r>
            </w:hyperlink>
          </w:p>
        </w:tc>
        <w:tc>
          <w:tcPr>
            <w:tcW w:w="2694" w:type="dxa"/>
            <w:shd w:val="clear" w:color="auto" w:fill="auto"/>
            <w:vAlign w:val="center"/>
            <w:hideMark/>
          </w:tcPr>
          <w:p w:rsidR="00551AA6" w:rsidRPr="004761E0" w:rsidRDefault="00EA456F" w:rsidP="00551AA6">
            <w:pPr>
              <w:ind w:firstLineChars="200" w:firstLine="560"/>
              <w:jc w:val="right"/>
              <w:rPr>
                <w:rFonts w:eastAsia="Times New Roman"/>
                <w:color w:val="0000FF"/>
                <w:sz w:val="20"/>
                <w:szCs w:val="18"/>
                <w:u w:val="single"/>
                <w:lang w:eastAsia="ru-RU"/>
              </w:rPr>
            </w:pPr>
            <w:hyperlink r:id="rId169" w:anchor="tab-Vn_Doc-link" w:history="1">
              <w:r w:rsidR="00551AA6" w:rsidRPr="004761E0">
                <w:rPr>
                  <w:rFonts w:eastAsia="Times New Roman"/>
                  <w:color w:val="0000FF"/>
                  <w:sz w:val="20"/>
                  <w:szCs w:val="18"/>
                  <w:u w:val="single"/>
                  <w:lang w:eastAsia="ru-RU"/>
                </w:rPr>
                <w:t>http://www.moesk.ru/invest_news/raskritie/ystav/#tab-Vn_Doc-link</w:t>
              </w:r>
            </w:hyperlink>
          </w:p>
        </w:tc>
      </w:tr>
      <w:tr w:rsidR="00551AA6" w:rsidRPr="004761E0" w:rsidTr="002103CF">
        <w:trPr>
          <w:trHeight w:val="131"/>
        </w:trPr>
        <w:tc>
          <w:tcPr>
            <w:tcW w:w="567" w:type="dxa"/>
            <w:shd w:val="clear" w:color="auto" w:fill="auto"/>
            <w:vAlign w:val="center"/>
          </w:tcPr>
          <w:p w:rsidR="00551AA6" w:rsidRPr="004761E0" w:rsidRDefault="00551AA6" w:rsidP="007076A7">
            <w:pPr>
              <w:pStyle w:val="a5"/>
              <w:numPr>
                <w:ilvl w:val="0"/>
                <w:numId w:val="28"/>
              </w:numPr>
              <w:ind w:left="49" w:firstLine="0"/>
              <w:jc w:val="left"/>
              <w:rPr>
                <w:rFonts w:eastAsia="Times New Roman"/>
                <w:color w:val="000000"/>
                <w:sz w:val="20"/>
                <w:szCs w:val="18"/>
                <w:lang w:eastAsia="ru-RU"/>
              </w:rPr>
            </w:pPr>
          </w:p>
        </w:tc>
        <w:tc>
          <w:tcPr>
            <w:tcW w:w="1843" w:type="dxa"/>
            <w:shd w:val="clear" w:color="auto" w:fill="auto"/>
            <w:vAlign w:val="center"/>
            <w:hideMark/>
          </w:tcPr>
          <w:p w:rsidR="00551AA6" w:rsidRPr="004761E0" w:rsidRDefault="00551AA6" w:rsidP="00551AA6">
            <w:pPr>
              <w:ind w:firstLine="0"/>
              <w:jc w:val="left"/>
              <w:rPr>
                <w:rFonts w:eastAsia="Times New Roman"/>
                <w:color w:val="000000"/>
                <w:sz w:val="20"/>
                <w:szCs w:val="18"/>
                <w:lang w:eastAsia="ru-RU"/>
              </w:rPr>
            </w:pPr>
            <w:r w:rsidRPr="004761E0">
              <w:rPr>
                <w:rFonts w:eastAsia="Times New Roman"/>
                <w:color w:val="000000"/>
                <w:sz w:val="20"/>
                <w:szCs w:val="18"/>
                <w:lang w:eastAsia="ru-RU"/>
              </w:rPr>
              <w:t>Основные вопросы, рассмотренные Комитетом в отчетном году</w:t>
            </w:r>
          </w:p>
        </w:tc>
        <w:tc>
          <w:tcPr>
            <w:tcW w:w="2978" w:type="dxa"/>
            <w:shd w:val="clear" w:color="auto" w:fill="auto"/>
            <w:vAlign w:val="center"/>
            <w:hideMark/>
          </w:tcPr>
          <w:p w:rsidR="00551AA6" w:rsidRPr="004761E0" w:rsidRDefault="00551AA6" w:rsidP="007076A7">
            <w:pPr>
              <w:pStyle w:val="a5"/>
              <w:numPr>
                <w:ilvl w:val="0"/>
                <w:numId w:val="35"/>
              </w:numPr>
              <w:ind w:left="317" w:hanging="283"/>
              <w:jc w:val="left"/>
              <w:rPr>
                <w:rFonts w:eastAsia="Times New Roman"/>
                <w:sz w:val="20"/>
                <w:szCs w:val="18"/>
                <w:lang w:eastAsia="ru-RU"/>
              </w:rPr>
            </w:pPr>
            <w:r w:rsidRPr="004761E0">
              <w:rPr>
                <w:rFonts w:eastAsia="Times New Roman"/>
                <w:sz w:val="20"/>
                <w:szCs w:val="18"/>
                <w:lang w:eastAsia="ru-RU"/>
              </w:rPr>
              <w:t>О рассмотрении отчета о техническом аудите волоконно-оптических линий связи за 4 кв. 2012 г.</w:t>
            </w:r>
          </w:p>
          <w:p w:rsidR="00551AA6" w:rsidRPr="004761E0" w:rsidRDefault="00551AA6" w:rsidP="007076A7">
            <w:pPr>
              <w:pStyle w:val="a5"/>
              <w:numPr>
                <w:ilvl w:val="0"/>
                <w:numId w:val="35"/>
              </w:numPr>
              <w:ind w:left="317" w:hanging="283"/>
              <w:jc w:val="left"/>
              <w:rPr>
                <w:rFonts w:eastAsia="Times New Roman"/>
                <w:sz w:val="20"/>
                <w:szCs w:val="18"/>
                <w:lang w:eastAsia="ru-RU"/>
              </w:rPr>
            </w:pPr>
            <w:r w:rsidRPr="004761E0">
              <w:rPr>
                <w:rFonts w:eastAsia="Times New Roman"/>
                <w:sz w:val="20"/>
                <w:szCs w:val="18"/>
                <w:lang w:eastAsia="ru-RU"/>
              </w:rPr>
              <w:t>Об утверждении внутреннего документа: Регламент выполнения проектно-изыскательских работ с выделением этапа разработки исходно-разрешительной документации.</w:t>
            </w:r>
          </w:p>
          <w:p w:rsidR="00551AA6" w:rsidRPr="004761E0" w:rsidRDefault="00551AA6" w:rsidP="007076A7">
            <w:pPr>
              <w:pStyle w:val="a5"/>
              <w:numPr>
                <w:ilvl w:val="0"/>
                <w:numId w:val="35"/>
              </w:numPr>
              <w:ind w:left="317" w:hanging="283"/>
              <w:jc w:val="left"/>
              <w:rPr>
                <w:rFonts w:eastAsia="Times New Roman"/>
                <w:sz w:val="20"/>
                <w:szCs w:val="18"/>
                <w:lang w:eastAsia="ru-RU"/>
              </w:rPr>
            </w:pPr>
            <w:r w:rsidRPr="004761E0">
              <w:rPr>
                <w:rFonts w:eastAsia="Times New Roman"/>
                <w:sz w:val="20"/>
                <w:szCs w:val="18"/>
                <w:lang w:eastAsia="ru-RU"/>
              </w:rPr>
              <w:t xml:space="preserve">Об утверждении внутреннего документа: Концепция построения единой автоматизированной системы нормативно-справочной информации в области управления техническим обслуживанием и ремонтом оборудования </w:t>
            </w:r>
            <w:r w:rsidR="0008080E">
              <w:rPr>
                <w:rFonts w:eastAsia="Times New Roman"/>
                <w:sz w:val="20"/>
                <w:szCs w:val="18"/>
                <w:lang w:eastAsia="ru-RU"/>
              </w:rPr>
              <w:t>ОАО </w:t>
            </w:r>
            <w:r w:rsidRPr="004761E0">
              <w:rPr>
                <w:rFonts w:eastAsia="Times New Roman"/>
                <w:sz w:val="20"/>
                <w:szCs w:val="18"/>
                <w:lang w:eastAsia="ru-RU"/>
              </w:rPr>
              <w:t>«МОЭСК».</w:t>
            </w:r>
          </w:p>
          <w:p w:rsidR="00551AA6" w:rsidRPr="004761E0" w:rsidRDefault="003B2247" w:rsidP="007076A7">
            <w:pPr>
              <w:pStyle w:val="a5"/>
              <w:numPr>
                <w:ilvl w:val="0"/>
                <w:numId w:val="35"/>
              </w:numPr>
              <w:ind w:left="317" w:hanging="283"/>
              <w:jc w:val="left"/>
              <w:rPr>
                <w:rFonts w:eastAsia="Times New Roman"/>
                <w:sz w:val="20"/>
                <w:szCs w:val="18"/>
                <w:lang w:eastAsia="ru-RU"/>
              </w:rPr>
            </w:pPr>
            <w:r>
              <w:rPr>
                <w:rFonts w:eastAsia="Times New Roman"/>
                <w:sz w:val="20"/>
                <w:szCs w:val="18"/>
                <w:lang w:eastAsia="ru-RU"/>
              </w:rPr>
              <w:t>О рассмотрении отчета г</w:t>
            </w:r>
            <w:r w:rsidR="00551AA6" w:rsidRPr="004761E0">
              <w:rPr>
                <w:rFonts w:eastAsia="Times New Roman"/>
                <w:sz w:val="20"/>
                <w:szCs w:val="18"/>
                <w:lang w:eastAsia="ru-RU"/>
              </w:rPr>
              <w:t>енерального директора  по показателям уровня надежности оказываемых услуг за 2012 г. в соответствии с поручением  Совета директоров.</w:t>
            </w:r>
          </w:p>
          <w:p w:rsidR="00551AA6" w:rsidRPr="004761E0" w:rsidRDefault="00551AA6" w:rsidP="007076A7">
            <w:pPr>
              <w:pStyle w:val="a5"/>
              <w:numPr>
                <w:ilvl w:val="0"/>
                <w:numId w:val="35"/>
              </w:numPr>
              <w:ind w:left="317" w:hanging="283"/>
              <w:jc w:val="left"/>
              <w:rPr>
                <w:rFonts w:eastAsia="Times New Roman"/>
                <w:sz w:val="20"/>
                <w:szCs w:val="18"/>
                <w:lang w:eastAsia="ru-RU"/>
              </w:rPr>
            </w:pPr>
            <w:r w:rsidRPr="004761E0">
              <w:rPr>
                <w:rFonts w:eastAsia="Times New Roman"/>
                <w:sz w:val="20"/>
                <w:szCs w:val="18"/>
                <w:lang w:eastAsia="ru-RU"/>
              </w:rPr>
              <w:t>О рассмотрении отчета о результатах прохождения осенне-зимнего периода 2012/2013 гг.</w:t>
            </w:r>
          </w:p>
          <w:p w:rsidR="00551AA6" w:rsidRPr="004761E0" w:rsidRDefault="00551AA6" w:rsidP="007076A7">
            <w:pPr>
              <w:pStyle w:val="a5"/>
              <w:numPr>
                <w:ilvl w:val="0"/>
                <w:numId w:val="35"/>
              </w:numPr>
              <w:ind w:left="317" w:hanging="283"/>
              <w:jc w:val="left"/>
              <w:rPr>
                <w:rFonts w:eastAsia="Times New Roman"/>
                <w:sz w:val="20"/>
                <w:szCs w:val="18"/>
                <w:lang w:eastAsia="ru-RU"/>
              </w:rPr>
            </w:pPr>
            <w:r w:rsidRPr="004761E0">
              <w:rPr>
                <w:rFonts w:eastAsia="Times New Roman"/>
                <w:sz w:val="20"/>
                <w:szCs w:val="18"/>
                <w:lang w:eastAsia="ru-RU"/>
              </w:rPr>
              <w:t xml:space="preserve">О рассмотрении отчета о проведенных мероприятиях по снижению уровня </w:t>
            </w:r>
            <w:r w:rsidRPr="004761E0">
              <w:rPr>
                <w:rFonts w:eastAsia="Times New Roman"/>
                <w:sz w:val="20"/>
                <w:szCs w:val="18"/>
                <w:lang w:eastAsia="ru-RU"/>
              </w:rPr>
              <w:lastRenderedPageBreak/>
              <w:t>производственного травматизма.</w:t>
            </w:r>
          </w:p>
          <w:p w:rsidR="00551AA6" w:rsidRPr="004761E0" w:rsidRDefault="00551AA6" w:rsidP="007076A7">
            <w:pPr>
              <w:pStyle w:val="a5"/>
              <w:numPr>
                <w:ilvl w:val="0"/>
                <w:numId w:val="35"/>
              </w:numPr>
              <w:ind w:left="317" w:hanging="283"/>
              <w:jc w:val="left"/>
              <w:rPr>
                <w:rFonts w:eastAsia="Times New Roman"/>
                <w:sz w:val="20"/>
                <w:szCs w:val="18"/>
                <w:lang w:eastAsia="ru-RU"/>
              </w:rPr>
            </w:pPr>
            <w:r w:rsidRPr="004761E0">
              <w:rPr>
                <w:rFonts w:eastAsia="Times New Roman"/>
                <w:sz w:val="20"/>
                <w:szCs w:val="18"/>
                <w:lang w:eastAsia="ru-RU"/>
              </w:rPr>
              <w:t>О рассмотрении отчета о техническом аудите волоконно-оптических линий связи за 1 кв. 2013 г.</w:t>
            </w:r>
          </w:p>
          <w:p w:rsidR="00551AA6" w:rsidRPr="004761E0" w:rsidRDefault="00551AA6" w:rsidP="007076A7">
            <w:pPr>
              <w:pStyle w:val="a5"/>
              <w:numPr>
                <w:ilvl w:val="0"/>
                <w:numId w:val="35"/>
              </w:numPr>
              <w:ind w:left="317" w:hanging="283"/>
              <w:jc w:val="left"/>
              <w:rPr>
                <w:rFonts w:eastAsia="Times New Roman"/>
                <w:sz w:val="20"/>
                <w:szCs w:val="18"/>
                <w:lang w:eastAsia="ru-RU"/>
              </w:rPr>
            </w:pPr>
            <w:r w:rsidRPr="004761E0">
              <w:rPr>
                <w:rFonts w:eastAsia="Times New Roman"/>
                <w:sz w:val="20"/>
                <w:szCs w:val="18"/>
                <w:lang w:eastAsia="ru-RU"/>
              </w:rPr>
              <w:t xml:space="preserve"> О рассмотрении предложений по плановым значениям показателей надежности оказываемых услуг на каждый год в пределах долгосрочного периода тарифного регулирования до 2017 г. в соответствии с поручением Совета директоров.</w:t>
            </w:r>
          </w:p>
          <w:p w:rsidR="00551AA6" w:rsidRPr="004761E0" w:rsidRDefault="00551AA6" w:rsidP="007076A7">
            <w:pPr>
              <w:pStyle w:val="a5"/>
              <w:numPr>
                <w:ilvl w:val="0"/>
                <w:numId w:val="35"/>
              </w:numPr>
              <w:ind w:left="317" w:hanging="283"/>
              <w:jc w:val="left"/>
              <w:rPr>
                <w:rFonts w:eastAsia="Times New Roman"/>
                <w:sz w:val="20"/>
                <w:szCs w:val="18"/>
                <w:lang w:eastAsia="ru-RU"/>
              </w:rPr>
            </w:pPr>
            <w:r w:rsidRPr="004761E0">
              <w:rPr>
                <w:rFonts w:eastAsia="Times New Roman"/>
                <w:sz w:val="20"/>
                <w:szCs w:val="18"/>
                <w:lang w:eastAsia="ru-RU"/>
              </w:rPr>
              <w:t>О рассмотрении отчета о техническом аудите волоконно-оптических линий связи за 2 кв. 2013 г.</w:t>
            </w:r>
          </w:p>
          <w:p w:rsidR="00551AA6" w:rsidRPr="004761E0" w:rsidRDefault="00551AA6" w:rsidP="007076A7">
            <w:pPr>
              <w:pStyle w:val="a5"/>
              <w:numPr>
                <w:ilvl w:val="0"/>
                <w:numId w:val="35"/>
              </w:numPr>
              <w:ind w:left="317" w:hanging="283"/>
              <w:jc w:val="left"/>
              <w:rPr>
                <w:rFonts w:eastAsia="Times New Roman"/>
                <w:sz w:val="20"/>
                <w:szCs w:val="18"/>
                <w:lang w:eastAsia="ru-RU"/>
              </w:rPr>
            </w:pPr>
            <w:r w:rsidRPr="004761E0">
              <w:rPr>
                <w:rFonts w:eastAsia="Times New Roman"/>
                <w:sz w:val="20"/>
                <w:szCs w:val="18"/>
                <w:lang w:eastAsia="ru-RU"/>
              </w:rPr>
              <w:t xml:space="preserve">О рассмотрении порядка осмотра электроустановок заявителей, присоединяемых к электрическим сетям </w:t>
            </w:r>
            <w:r w:rsidR="0008080E">
              <w:rPr>
                <w:rFonts w:eastAsia="Times New Roman"/>
                <w:sz w:val="20"/>
                <w:szCs w:val="18"/>
                <w:lang w:eastAsia="ru-RU"/>
              </w:rPr>
              <w:t>ОАО </w:t>
            </w:r>
            <w:r w:rsidRPr="004761E0">
              <w:rPr>
                <w:rFonts w:eastAsia="Times New Roman"/>
                <w:sz w:val="20"/>
                <w:szCs w:val="18"/>
                <w:lang w:eastAsia="ru-RU"/>
              </w:rPr>
              <w:t>«МОЭСК» напряжением до 10 кВ включительно и максимальной мощностью до 670 кВт.</w:t>
            </w:r>
          </w:p>
          <w:p w:rsidR="00551AA6" w:rsidRPr="004761E0" w:rsidRDefault="00551AA6" w:rsidP="007076A7">
            <w:pPr>
              <w:pStyle w:val="a5"/>
              <w:numPr>
                <w:ilvl w:val="0"/>
                <w:numId w:val="35"/>
              </w:numPr>
              <w:ind w:left="317" w:hanging="283"/>
              <w:jc w:val="left"/>
              <w:rPr>
                <w:rFonts w:eastAsia="Times New Roman"/>
                <w:sz w:val="20"/>
                <w:szCs w:val="18"/>
                <w:lang w:eastAsia="ru-RU"/>
              </w:rPr>
            </w:pPr>
            <w:r w:rsidRPr="004761E0">
              <w:rPr>
                <w:rFonts w:eastAsia="Times New Roman"/>
                <w:sz w:val="20"/>
                <w:szCs w:val="18"/>
                <w:lang w:eastAsia="ru-RU"/>
              </w:rPr>
              <w:t>О готовности к работе в осенне-зимний период 2013-2014 гг.</w:t>
            </w:r>
          </w:p>
        </w:tc>
        <w:tc>
          <w:tcPr>
            <w:tcW w:w="2835" w:type="dxa"/>
            <w:shd w:val="clear" w:color="auto" w:fill="auto"/>
            <w:hideMark/>
          </w:tcPr>
          <w:p w:rsidR="00551AA6" w:rsidRPr="004761E0" w:rsidRDefault="00AD75E4" w:rsidP="00AD75E4">
            <w:pPr>
              <w:ind w:firstLine="0"/>
              <w:jc w:val="left"/>
              <w:rPr>
                <w:rFonts w:eastAsia="Times New Roman"/>
                <w:sz w:val="20"/>
                <w:szCs w:val="18"/>
                <w:lang w:eastAsia="ru-RU"/>
              </w:rPr>
            </w:pPr>
            <w:r w:rsidRPr="004761E0">
              <w:rPr>
                <w:rFonts w:eastAsia="Times New Roman"/>
                <w:sz w:val="20"/>
                <w:szCs w:val="18"/>
                <w:lang w:eastAsia="ru-RU"/>
              </w:rPr>
              <w:lastRenderedPageBreak/>
              <w:t>В 2013 году заседания Комитета технологическому присоединению к электрическим сетям не проводились.</w:t>
            </w:r>
          </w:p>
        </w:tc>
        <w:tc>
          <w:tcPr>
            <w:tcW w:w="2693" w:type="dxa"/>
            <w:shd w:val="clear" w:color="auto" w:fill="auto"/>
            <w:hideMark/>
          </w:tcPr>
          <w:p w:rsidR="00027A32" w:rsidRPr="004761E0" w:rsidRDefault="00551AA6" w:rsidP="007076A7">
            <w:pPr>
              <w:pStyle w:val="a5"/>
              <w:numPr>
                <w:ilvl w:val="0"/>
                <w:numId w:val="214"/>
              </w:numPr>
              <w:tabs>
                <w:tab w:val="left" w:pos="420"/>
              </w:tabs>
              <w:ind w:left="317" w:hanging="283"/>
              <w:jc w:val="left"/>
              <w:rPr>
                <w:rFonts w:eastAsia="Times New Roman"/>
                <w:sz w:val="20"/>
                <w:szCs w:val="18"/>
                <w:lang w:eastAsia="ru-RU"/>
              </w:rPr>
            </w:pPr>
            <w:r w:rsidRPr="004761E0">
              <w:rPr>
                <w:rFonts w:eastAsia="Times New Roman"/>
                <w:sz w:val="20"/>
                <w:szCs w:val="18"/>
                <w:lang w:eastAsia="ru-RU"/>
              </w:rPr>
              <w:t>О рассмотрении скорректированного Бизнес-плана на 2012-2016 гг. с учетом утвержденной Инвестиционной программы Общества на период 2012-2017 гг. в соответствии с требованиями Постановления Правительства РФ от 01.12.2009 №</w:t>
            </w:r>
            <w:r w:rsidR="00686764" w:rsidRPr="004761E0">
              <w:rPr>
                <w:rFonts w:eastAsia="Times New Roman"/>
                <w:sz w:val="20"/>
                <w:szCs w:val="18"/>
                <w:lang w:eastAsia="ru-RU"/>
              </w:rPr>
              <w:t xml:space="preserve"> </w:t>
            </w:r>
            <w:r w:rsidRPr="004761E0">
              <w:rPr>
                <w:rFonts w:eastAsia="Times New Roman"/>
                <w:sz w:val="20"/>
                <w:szCs w:val="18"/>
                <w:lang w:eastAsia="ru-RU"/>
              </w:rPr>
              <w:t>977.</w:t>
            </w:r>
          </w:p>
          <w:p w:rsidR="00027A32" w:rsidRPr="004761E0" w:rsidRDefault="00551AA6" w:rsidP="007076A7">
            <w:pPr>
              <w:pStyle w:val="a5"/>
              <w:numPr>
                <w:ilvl w:val="0"/>
                <w:numId w:val="214"/>
              </w:numPr>
              <w:tabs>
                <w:tab w:val="left" w:pos="420"/>
              </w:tabs>
              <w:ind w:left="317" w:hanging="283"/>
              <w:jc w:val="left"/>
              <w:rPr>
                <w:rFonts w:eastAsia="Times New Roman"/>
                <w:sz w:val="20"/>
                <w:szCs w:val="18"/>
                <w:lang w:eastAsia="ru-RU"/>
              </w:rPr>
            </w:pPr>
            <w:r w:rsidRPr="004761E0">
              <w:rPr>
                <w:rFonts w:eastAsia="Times New Roman"/>
                <w:sz w:val="20"/>
                <w:szCs w:val="18"/>
                <w:lang w:eastAsia="ru-RU"/>
              </w:rPr>
              <w:t>О создании филиала - «Энергоучет».</w:t>
            </w:r>
          </w:p>
          <w:p w:rsidR="00027A32" w:rsidRPr="004761E0" w:rsidRDefault="00551AA6" w:rsidP="007076A7">
            <w:pPr>
              <w:pStyle w:val="a5"/>
              <w:numPr>
                <w:ilvl w:val="0"/>
                <w:numId w:val="214"/>
              </w:numPr>
              <w:tabs>
                <w:tab w:val="left" w:pos="420"/>
              </w:tabs>
              <w:ind w:left="317" w:hanging="283"/>
              <w:jc w:val="left"/>
              <w:rPr>
                <w:rFonts w:eastAsia="Times New Roman"/>
                <w:sz w:val="20"/>
                <w:szCs w:val="18"/>
                <w:lang w:eastAsia="ru-RU"/>
              </w:rPr>
            </w:pPr>
            <w:r w:rsidRPr="004761E0">
              <w:rPr>
                <w:rFonts w:eastAsia="Times New Roman"/>
                <w:sz w:val="20"/>
                <w:szCs w:val="18"/>
                <w:lang w:eastAsia="ru-RU"/>
              </w:rPr>
              <w:t>Об участии в Некоммерческом партнерстве «Совет рынка по организации эффективной системы оптовой и розничной торговли электрической энергией и мощностью».</w:t>
            </w:r>
          </w:p>
          <w:p w:rsidR="00027A32" w:rsidRPr="004761E0" w:rsidRDefault="00551AA6" w:rsidP="007076A7">
            <w:pPr>
              <w:pStyle w:val="a5"/>
              <w:numPr>
                <w:ilvl w:val="0"/>
                <w:numId w:val="214"/>
              </w:numPr>
              <w:tabs>
                <w:tab w:val="left" w:pos="420"/>
              </w:tabs>
              <w:ind w:left="317" w:hanging="283"/>
              <w:jc w:val="left"/>
              <w:rPr>
                <w:rFonts w:eastAsia="Times New Roman"/>
                <w:sz w:val="20"/>
                <w:szCs w:val="18"/>
                <w:lang w:eastAsia="ru-RU"/>
              </w:rPr>
            </w:pPr>
            <w:r w:rsidRPr="004761E0">
              <w:rPr>
                <w:rFonts w:eastAsia="Times New Roman"/>
                <w:sz w:val="20"/>
                <w:szCs w:val="18"/>
                <w:lang w:eastAsia="ru-RU"/>
              </w:rPr>
              <w:t>О рассмотрении отчета о выполнении Плана мероприятий Общества за 2012 год по реализации Стратегии Общества в области информационных технологий, автоматизации и телекоммуникаций на период до 2016 года.</w:t>
            </w:r>
          </w:p>
          <w:p w:rsidR="00027A32" w:rsidRPr="004761E0" w:rsidRDefault="00551AA6" w:rsidP="007076A7">
            <w:pPr>
              <w:pStyle w:val="a5"/>
              <w:numPr>
                <w:ilvl w:val="0"/>
                <w:numId w:val="214"/>
              </w:numPr>
              <w:tabs>
                <w:tab w:val="left" w:pos="420"/>
              </w:tabs>
              <w:ind w:left="317" w:hanging="283"/>
              <w:jc w:val="left"/>
              <w:rPr>
                <w:rFonts w:eastAsia="Times New Roman"/>
                <w:sz w:val="20"/>
                <w:szCs w:val="18"/>
                <w:lang w:eastAsia="ru-RU"/>
              </w:rPr>
            </w:pPr>
            <w:r w:rsidRPr="004761E0">
              <w:rPr>
                <w:rFonts w:eastAsia="Times New Roman"/>
                <w:sz w:val="20"/>
                <w:szCs w:val="18"/>
                <w:lang w:eastAsia="ru-RU"/>
              </w:rPr>
              <w:t xml:space="preserve">О рассмотрении Программы приоритетных задач на </w:t>
            </w:r>
            <w:r w:rsidRPr="004761E0">
              <w:rPr>
                <w:rFonts w:eastAsia="Times New Roman"/>
                <w:sz w:val="20"/>
                <w:szCs w:val="18"/>
                <w:lang w:eastAsia="ru-RU"/>
              </w:rPr>
              <w:lastRenderedPageBreak/>
              <w:t>период до 2015 года.</w:t>
            </w:r>
          </w:p>
          <w:p w:rsidR="00027A32" w:rsidRPr="004761E0" w:rsidRDefault="00551AA6" w:rsidP="007076A7">
            <w:pPr>
              <w:pStyle w:val="a5"/>
              <w:numPr>
                <w:ilvl w:val="0"/>
                <w:numId w:val="214"/>
              </w:numPr>
              <w:tabs>
                <w:tab w:val="left" w:pos="420"/>
              </w:tabs>
              <w:ind w:left="317" w:hanging="283"/>
              <w:jc w:val="left"/>
              <w:rPr>
                <w:rFonts w:eastAsia="Times New Roman"/>
                <w:sz w:val="20"/>
                <w:szCs w:val="18"/>
                <w:lang w:eastAsia="ru-RU"/>
              </w:rPr>
            </w:pPr>
            <w:r w:rsidRPr="004761E0">
              <w:rPr>
                <w:rFonts w:eastAsia="Times New Roman"/>
                <w:sz w:val="20"/>
                <w:szCs w:val="18"/>
                <w:lang w:eastAsia="ru-RU"/>
              </w:rPr>
              <w:t>О рассмотрении Бизнес-плана (в т.ч. инвестиционной программы) на 2013-2017 гг.</w:t>
            </w:r>
          </w:p>
          <w:p w:rsidR="00027A32" w:rsidRPr="004761E0" w:rsidRDefault="00551AA6" w:rsidP="007076A7">
            <w:pPr>
              <w:pStyle w:val="a5"/>
              <w:numPr>
                <w:ilvl w:val="0"/>
                <w:numId w:val="214"/>
              </w:numPr>
              <w:tabs>
                <w:tab w:val="left" w:pos="420"/>
              </w:tabs>
              <w:ind w:left="317" w:hanging="283"/>
              <w:jc w:val="left"/>
              <w:rPr>
                <w:rFonts w:eastAsia="Times New Roman"/>
                <w:sz w:val="20"/>
                <w:szCs w:val="18"/>
                <w:lang w:eastAsia="ru-RU"/>
              </w:rPr>
            </w:pPr>
            <w:r w:rsidRPr="004761E0">
              <w:rPr>
                <w:rFonts w:eastAsia="Times New Roman"/>
                <w:sz w:val="20"/>
                <w:szCs w:val="18"/>
                <w:lang w:eastAsia="ru-RU"/>
              </w:rPr>
              <w:t>О рассмотрении инвестиционной программы на период 2013</w:t>
            </w:r>
            <w:r w:rsidR="005A5A1B" w:rsidRPr="004761E0">
              <w:rPr>
                <w:rFonts w:eastAsia="Times New Roman"/>
                <w:sz w:val="20"/>
                <w:szCs w:val="18"/>
                <w:lang w:eastAsia="ru-RU"/>
              </w:rPr>
              <w:t>-</w:t>
            </w:r>
            <w:r w:rsidRPr="004761E0">
              <w:rPr>
                <w:rFonts w:eastAsia="Times New Roman"/>
                <w:sz w:val="20"/>
                <w:szCs w:val="18"/>
                <w:lang w:eastAsia="ru-RU"/>
              </w:rPr>
              <w:t>2018 гг.</w:t>
            </w:r>
          </w:p>
          <w:p w:rsidR="00027A32" w:rsidRPr="004761E0" w:rsidRDefault="00551AA6" w:rsidP="007076A7">
            <w:pPr>
              <w:pStyle w:val="a5"/>
              <w:numPr>
                <w:ilvl w:val="0"/>
                <w:numId w:val="214"/>
              </w:numPr>
              <w:tabs>
                <w:tab w:val="left" w:pos="420"/>
              </w:tabs>
              <w:ind w:left="317" w:hanging="283"/>
              <w:jc w:val="left"/>
              <w:rPr>
                <w:rFonts w:eastAsia="Times New Roman"/>
                <w:sz w:val="20"/>
                <w:szCs w:val="18"/>
                <w:lang w:eastAsia="ru-RU"/>
              </w:rPr>
            </w:pPr>
            <w:r w:rsidRPr="004761E0">
              <w:rPr>
                <w:rFonts w:eastAsia="Times New Roman"/>
                <w:sz w:val="20"/>
                <w:szCs w:val="18"/>
                <w:lang w:eastAsia="ru-RU"/>
              </w:rPr>
              <w:t>О рассмотрении целевых значений годовых и квартальных ключевых показателей эффективности генерального директора и высших менеджеров на 2013 год.</w:t>
            </w:r>
          </w:p>
          <w:p w:rsidR="00027A32" w:rsidRPr="004761E0" w:rsidRDefault="00551AA6" w:rsidP="007076A7">
            <w:pPr>
              <w:pStyle w:val="a5"/>
              <w:numPr>
                <w:ilvl w:val="0"/>
                <w:numId w:val="214"/>
              </w:numPr>
              <w:tabs>
                <w:tab w:val="left" w:pos="420"/>
              </w:tabs>
              <w:ind w:left="317" w:hanging="283"/>
              <w:jc w:val="left"/>
              <w:rPr>
                <w:rFonts w:eastAsia="Times New Roman"/>
                <w:sz w:val="20"/>
                <w:szCs w:val="18"/>
                <w:lang w:eastAsia="ru-RU"/>
              </w:rPr>
            </w:pPr>
            <w:r w:rsidRPr="004761E0">
              <w:rPr>
                <w:rFonts w:eastAsia="Times New Roman"/>
                <w:sz w:val="20"/>
                <w:szCs w:val="18"/>
                <w:lang w:eastAsia="ru-RU"/>
              </w:rPr>
              <w:t>О принятии решений о размещении биржевых облигаций серий БО-04, БО-05, БО-06, БО-07, БО-08, БО-09, БО-10.</w:t>
            </w:r>
          </w:p>
          <w:p w:rsidR="00027A32" w:rsidRPr="004761E0" w:rsidRDefault="00551AA6" w:rsidP="007076A7">
            <w:pPr>
              <w:pStyle w:val="a5"/>
              <w:numPr>
                <w:ilvl w:val="0"/>
                <w:numId w:val="214"/>
              </w:numPr>
              <w:tabs>
                <w:tab w:val="left" w:pos="420"/>
              </w:tabs>
              <w:ind w:left="317" w:hanging="283"/>
              <w:jc w:val="left"/>
              <w:rPr>
                <w:rFonts w:eastAsia="Times New Roman"/>
                <w:sz w:val="20"/>
                <w:szCs w:val="18"/>
                <w:lang w:eastAsia="ru-RU"/>
              </w:rPr>
            </w:pPr>
            <w:r w:rsidRPr="004761E0">
              <w:rPr>
                <w:rFonts w:eastAsia="Times New Roman"/>
                <w:sz w:val="20"/>
                <w:szCs w:val="18"/>
                <w:lang w:eastAsia="ru-RU"/>
              </w:rPr>
              <w:t>О рассмотрении внутреннего документа Общества: Положение по инвестиционной деятельности в новой редакции.</w:t>
            </w:r>
          </w:p>
          <w:p w:rsidR="00027A32" w:rsidRPr="004761E0" w:rsidRDefault="00551AA6" w:rsidP="007076A7">
            <w:pPr>
              <w:pStyle w:val="a5"/>
              <w:numPr>
                <w:ilvl w:val="0"/>
                <w:numId w:val="214"/>
              </w:numPr>
              <w:tabs>
                <w:tab w:val="left" w:pos="420"/>
              </w:tabs>
              <w:ind w:left="317" w:hanging="283"/>
              <w:jc w:val="left"/>
              <w:rPr>
                <w:rFonts w:eastAsia="Times New Roman"/>
                <w:sz w:val="20"/>
                <w:szCs w:val="18"/>
                <w:lang w:eastAsia="ru-RU"/>
              </w:rPr>
            </w:pPr>
            <w:r w:rsidRPr="004761E0">
              <w:rPr>
                <w:rFonts w:eastAsia="Times New Roman"/>
                <w:sz w:val="20"/>
                <w:szCs w:val="18"/>
                <w:lang w:eastAsia="ru-RU"/>
              </w:rPr>
              <w:t>Об утверждении внутреннего документа Общества: Регламент разработки, обоснования, согласования, утверждения и корректировки программы энергосбережения.</w:t>
            </w:r>
          </w:p>
          <w:p w:rsidR="00027A32" w:rsidRPr="004761E0" w:rsidRDefault="00551AA6" w:rsidP="007076A7">
            <w:pPr>
              <w:pStyle w:val="a5"/>
              <w:numPr>
                <w:ilvl w:val="0"/>
                <w:numId w:val="214"/>
              </w:numPr>
              <w:tabs>
                <w:tab w:val="left" w:pos="420"/>
              </w:tabs>
              <w:ind w:left="317" w:hanging="283"/>
              <w:jc w:val="left"/>
              <w:rPr>
                <w:rFonts w:eastAsia="Times New Roman"/>
                <w:sz w:val="20"/>
                <w:szCs w:val="18"/>
                <w:lang w:eastAsia="ru-RU"/>
              </w:rPr>
            </w:pPr>
            <w:r w:rsidRPr="004761E0">
              <w:rPr>
                <w:rFonts w:eastAsia="Times New Roman"/>
                <w:sz w:val="20"/>
                <w:szCs w:val="18"/>
                <w:lang w:eastAsia="ru-RU"/>
              </w:rPr>
              <w:t xml:space="preserve">О рассмотрении основных параметров </w:t>
            </w:r>
            <w:r w:rsidRPr="004761E0">
              <w:rPr>
                <w:rFonts w:eastAsia="Times New Roman"/>
                <w:sz w:val="20"/>
                <w:szCs w:val="18"/>
                <w:lang w:eastAsia="ru-RU"/>
              </w:rPr>
              <w:lastRenderedPageBreak/>
              <w:t xml:space="preserve">инвестиционной программы на 2013-2018 гг. и сценарных условий формирования инвестиционных программ. </w:t>
            </w:r>
          </w:p>
          <w:p w:rsidR="00027A32" w:rsidRPr="004761E0" w:rsidRDefault="00551AA6" w:rsidP="007076A7">
            <w:pPr>
              <w:pStyle w:val="a5"/>
              <w:numPr>
                <w:ilvl w:val="0"/>
                <w:numId w:val="214"/>
              </w:numPr>
              <w:tabs>
                <w:tab w:val="left" w:pos="420"/>
              </w:tabs>
              <w:ind w:left="317" w:hanging="283"/>
              <w:jc w:val="left"/>
              <w:rPr>
                <w:rFonts w:eastAsia="Times New Roman"/>
                <w:sz w:val="20"/>
                <w:szCs w:val="18"/>
                <w:lang w:eastAsia="ru-RU"/>
              </w:rPr>
            </w:pPr>
            <w:r w:rsidRPr="004761E0">
              <w:rPr>
                <w:rFonts w:eastAsia="Times New Roman"/>
                <w:sz w:val="20"/>
                <w:szCs w:val="18"/>
                <w:lang w:eastAsia="ru-RU"/>
              </w:rPr>
              <w:t>О рассмотрении скорректированного бизнес-плана (в т.ч. числе инвестиционной программы) на 2013 год.</w:t>
            </w:r>
          </w:p>
          <w:p w:rsidR="00027A32" w:rsidRPr="004761E0" w:rsidRDefault="00551AA6" w:rsidP="007076A7">
            <w:pPr>
              <w:pStyle w:val="a5"/>
              <w:numPr>
                <w:ilvl w:val="0"/>
                <w:numId w:val="214"/>
              </w:numPr>
              <w:tabs>
                <w:tab w:val="left" w:pos="420"/>
              </w:tabs>
              <w:ind w:left="317" w:hanging="283"/>
              <w:jc w:val="left"/>
              <w:rPr>
                <w:rFonts w:eastAsia="Times New Roman"/>
                <w:sz w:val="20"/>
                <w:szCs w:val="18"/>
                <w:lang w:eastAsia="ru-RU"/>
              </w:rPr>
            </w:pPr>
            <w:r w:rsidRPr="004761E0">
              <w:rPr>
                <w:rFonts w:eastAsia="Times New Roman"/>
                <w:sz w:val="20"/>
                <w:szCs w:val="18"/>
                <w:lang w:eastAsia="ru-RU"/>
              </w:rPr>
              <w:t>О рассмотрении скорректированных целевых значений годовых ключевых показателей эффективности генерального директора и высших менеджеров на 2013 год.</w:t>
            </w:r>
          </w:p>
          <w:p w:rsidR="00027A32" w:rsidRPr="004761E0" w:rsidRDefault="00551AA6" w:rsidP="007076A7">
            <w:pPr>
              <w:pStyle w:val="a5"/>
              <w:numPr>
                <w:ilvl w:val="0"/>
                <w:numId w:val="214"/>
              </w:numPr>
              <w:tabs>
                <w:tab w:val="left" w:pos="420"/>
              </w:tabs>
              <w:ind w:left="317" w:hanging="283"/>
              <w:jc w:val="left"/>
              <w:rPr>
                <w:rFonts w:eastAsia="Times New Roman"/>
                <w:sz w:val="20"/>
                <w:szCs w:val="18"/>
                <w:lang w:eastAsia="ru-RU"/>
              </w:rPr>
            </w:pPr>
            <w:r w:rsidRPr="004761E0">
              <w:rPr>
                <w:rFonts w:eastAsia="Times New Roman"/>
                <w:sz w:val="20"/>
                <w:szCs w:val="18"/>
                <w:lang w:eastAsia="ru-RU"/>
              </w:rPr>
              <w:t xml:space="preserve"> О рассмотрении сценарных условий формирования инвестиционных программ.</w:t>
            </w:r>
          </w:p>
          <w:p w:rsidR="00027A32" w:rsidRPr="004761E0" w:rsidRDefault="00551AA6" w:rsidP="007076A7">
            <w:pPr>
              <w:pStyle w:val="a5"/>
              <w:numPr>
                <w:ilvl w:val="0"/>
                <w:numId w:val="214"/>
              </w:numPr>
              <w:tabs>
                <w:tab w:val="left" w:pos="420"/>
              </w:tabs>
              <w:ind w:left="317" w:hanging="283"/>
              <w:jc w:val="left"/>
              <w:rPr>
                <w:rFonts w:eastAsia="Times New Roman"/>
                <w:sz w:val="20"/>
                <w:szCs w:val="18"/>
                <w:lang w:eastAsia="ru-RU"/>
              </w:rPr>
            </w:pPr>
            <w:r w:rsidRPr="004761E0">
              <w:rPr>
                <w:rFonts w:eastAsia="Times New Roman"/>
                <w:sz w:val="20"/>
                <w:szCs w:val="18"/>
                <w:lang w:eastAsia="ru-RU"/>
              </w:rPr>
              <w:t>О рассмотрении проекта долгосрочной инвестиционной программы на период с 2014 года.</w:t>
            </w:r>
          </w:p>
          <w:p w:rsidR="00027A32" w:rsidRPr="004761E0" w:rsidRDefault="00551AA6" w:rsidP="007076A7">
            <w:pPr>
              <w:pStyle w:val="a5"/>
              <w:numPr>
                <w:ilvl w:val="0"/>
                <w:numId w:val="214"/>
              </w:numPr>
              <w:tabs>
                <w:tab w:val="left" w:pos="420"/>
              </w:tabs>
              <w:ind w:left="317" w:hanging="283"/>
              <w:jc w:val="left"/>
              <w:rPr>
                <w:rFonts w:eastAsia="Times New Roman"/>
                <w:sz w:val="20"/>
                <w:szCs w:val="18"/>
                <w:lang w:eastAsia="ru-RU"/>
              </w:rPr>
            </w:pPr>
            <w:r w:rsidRPr="004761E0">
              <w:rPr>
                <w:rFonts w:eastAsia="Times New Roman"/>
                <w:sz w:val="20"/>
                <w:szCs w:val="18"/>
                <w:lang w:eastAsia="ru-RU"/>
              </w:rPr>
              <w:t>О рассмотрении бизнес-плана, включающего инвестиционную программу, на 2014 год и прогноза на 2015-2018 гг.</w:t>
            </w:r>
          </w:p>
          <w:p w:rsidR="00027A32" w:rsidRPr="004761E0" w:rsidRDefault="00551AA6" w:rsidP="007076A7">
            <w:pPr>
              <w:pStyle w:val="a5"/>
              <w:numPr>
                <w:ilvl w:val="0"/>
                <w:numId w:val="214"/>
              </w:numPr>
              <w:tabs>
                <w:tab w:val="left" w:pos="420"/>
              </w:tabs>
              <w:ind w:left="317" w:hanging="283"/>
              <w:jc w:val="left"/>
              <w:rPr>
                <w:rFonts w:eastAsia="Times New Roman"/>
                <w:sz w:val="20"/>
                <w:szCs w:val="18"/>
                <w:lang w:eastAsia="ru-RU"/>
              </w:rPr>
            </w:pPr>
            <w:r w:rsidRPr="004761E0">
              <w:rPr>
                <w:rFonts w:eastAsia="Times New Roman"/>
                <w:sz w:val="20"/>
                <w:szCs w:val="18"/>
                <w:lang w:eastAsia="ru-RU"/>
              </w:rPr>
              <w:t xml:space="preserve">О рассмотрении целевых значений годовых и квартальных ключевых показателей эффективности </w:t>
            </w:r>
            <w:r w:rsidRPr="004761E0">
              <w:rPr>
                <w:rFonts w:eastAsia="Times New Roman"/>
                <w:sz w:val="20"/>
                <w:szCs w:val="18"/>
                <w:lang w:eastAsia="ru-RU"/>
              </w:rPr>
              <w:lastRenderedPageBreak/>
              <w:t>генерального директора и высших менеджеров на 2014 год.</w:t>
            </w:r>
          </w:p>
          <w:p w:rsidR="00027A32" w:rsidRPr="004761E0" w:rsidRDefault="00551AA6" w:rsidP="007076A7">
            <w:pPr>
              <w:pStyle w:val="a5"/>
              <w:numPr>
                <w:ilvl w:val="0"/>
                <w:numId w:val="214"/>
              </w:numPr>
              <w:tabs>
                <w:tab w:val="left" w:pos="420"/>
              </w:tabs>
              <w:ind w:left="317" w:hanging="283"/>
              <w:jc w:val="left"/>
              <w:rPr>
                <w:rFonts w:eastAsia="Times New Roman"/>
                <w:sz w:val="20"/>
                <w:szCs w:val="18"/>
                <w:lang w:eastAsia="ru-RU"/>
              </w:rPr>
            </w:pPr>
            <w:r w:rsidRPr="004761E0">
              <w:rPr>
                <w:rFonts w:eastAsia="Times New Roman"/>
                <w:sz w:val="20"/>
                <w:szCs w:val="18"/>
                <w:lang w:eastAsia="ru-RU"/>
              </w:rPr>
              <w:t>Об утверждении скорректированной программы инновационного развития на 2013 год и прогноза до 2018 года.</w:t>
            </w:r>
          </w:p>
        </w:tc>
        <w:tc>
          <w:tcPr>
            <w:tcW w:w="2586" w:type="dxa"/>
            <w:shd w:val="clear" w:color="auto" w:fill="auto"/>
            <w:hideMark/>
          </w:tcPr>
          <w:p w:rsidR="00027A32" w:rsidRPr="004761E0" w:rsidRDefault="00551AA6" w:rsidP="007076A7">
            <w:pPr>
              <w:pStyle w:val="a5"/>
              <w:numPr>
                <w:ilvl w:val="0"/>
                <w:numId w:val="216"/>
              </w:numPr>
              <w:tabs>
                <w:tab w:val="left" w:pos="317"/>
              </w:tabs>
              <w:ind w:left="317" w:hanging="283"/>
              <w:jc w:val="left"/>
              <w:rPr>
                <w:rFonts w:eastAsia="Times New Roman"/>
                <w:sz w:val="20"/>
                <w:szCs w:val="18"/>
                <w:lang w:eastAsia="ru-RU"/>
              </w:rPr>
            </w:pPr>
            <w:r w:rsidRPr="004761E0">
              <w:rPr>
                <w:rFonts w:eastAsia="Times New Roman"/>
                <w:sz w:val="20"/>
                <w:szCs w:val="18"/>
                <w:lang w:eastAsia="ru-RU"/>
              </w:rPr>
              <w:lastRenderedPageBreak/>
              <w:t>Об организации и проведении конкурентных процедур по отбору Аудитора для проведения аудита финансовой (бухгалтерской) отчетности Общества за 2013 год, подготовленной в соответствии с РСБУ, и  финансовой отчетности, подготовленной в соответствии с МСФО.</w:t>
            </w:r>
          </w:p>
          <w:p w:rsidR="00027A32" w:rsidRPr="004761E0" w:rsidRDefault="00551AA6" w:rsidP="007076A7">
            <w:pPr>
              <w:pStyle w:val="a5"/>
              <w:numPr>
                <w:ilvl w:val="0"/>
                <w:numId w:val="216"/>
              </w:numPr>
              <w:tabs>
                <w:tab w:val="left" w:pos="420"/>
              </w:tabs>
              <w:ind w:left="317" w:hanging="283"/>
              <w:jc w:val="left"/>
              <w:rPr>
                <w:rFonts w:eastAsia="Times New Roman"/>
                <w:sz w:val="20"/>
                <w:szCs w:val="18"/>
                <w:lang w:eastAsia="ru-RU"/>
              </w:rPr>
            </w:pPr>
            <w:r w:rsidRPr="004761E0">
              <w:rPr>
                <w:rFonts w:eastAsia="Times New Roman"/>
                <w:sz w:val="20"/>
                <w:szCs w:val="18"/>
                <w:lang w:eastAsia="ru-RU"/>
              </w:rPr>
              <w:t xml:space="preserve">О рассмотрении отчетов о реализации мероприятий по соблюдению требований законодательства о контроле инсайдерской информации в </w:t>
            </w:r>
            <w:r w:rsidR="0008080E">
              <w:rPr>
                <w:rFonts w:eastAsia="Times New Roman"/>
                <w:sz w:val="20"/>
                <w:szCs w:val="18"/>
                <w:lang w:eastAsia="ru-RU"/>
              </w:rPr>
              <w:t>ОАО </w:t>
            </w:r>
            <w:r w:rsidRPr="004761E0">
              <w:rPr>
                <w:rFonts w:eastAsia="Times New Roman"/>
                <w:sz w:val="20"/>
                <w:szCs w:val="18"/>
                <w:lang w:eastAsia="ru-RU"/>
              </w:rPr>
              <w:t>«</w:t>
            </w:r>
            <w:r w:rsidR="00686764" w:rsidRPr="004761E0">
              <w:rPr>
                <w:rFonts w:eastAsia="Times New Roman"/>
                <w:sz w:val="20"/>
                <w:szCs w:val="18"/>
                <w:lang w:eastAsia="ru-RU"/>
              </w:rPr>
              <w:t>МОЭСК</w:t>
            </w:r>
            <w:r w:rsidRPr="004761E0">
              <w:rPr>
                <w:rFonts w:eastAsia="Times New Roman"/>
                <w:sz w:val="20"/>
                <w:szCs w:val="18"/>
                <w:lang w:eastAsia="ru-RU"/>
              </w:rPr>
              <w:t>» за 4 квартал 2012 года и за 2012 год, 1 квартал 2013 года. </w:t>
            </w:r>
          </w:p>
          <w:p w:rsidR="00027A32" w:rsidRPr="004761E0" w:rsidRDefault="00551AA6" w:rsidP="007076A7">
            <w:pPr>
              <w:numPr>
                <w:ilvl w:val="0"/>
                <w:numId w:val="216"/>
              </w:numPr>
              <w:tabs>
                <w:tab w:val="left" w:pos="0"/>
                <w:tab w:val="left" w:pos="34"/>
                <w:tab w:val="left" w:pos="360"/>
              </w:tabs>
              <w:ind w:left="317" w:right="57" w:hanging="283"/>
              <w:jc w:val="left"/>
              <w:rPr>
                <w:rFonts w:eastAsia="Times New Roman"/>
                <w:sz w:val="20"/>
                <w:szCs w:val="18"/>
                <w:lang w:eastAsia="ru-RU"/>
              </w:rPr>
            </w:pPr>
            <w:r w:rsidRPr="004761E0">
              <w:rPr>
                <w:rFonts w:eastAsia="Times New Roman"/>
                <w:sz w:val="20"/>
                <w:szCs w:val="18"/>
                <w:lang w:eastAsia="ru-RU"/>
              </w:rPr>
              <w:t>О рассмотрении годовой финансовой (бухгалтерской) отчетности, подготовленной в соответствии с РСБУ, за 2012 год.</w:t>
            </w:r>
          </w:p>
          <w:p w:rsidR="00027A32" w:rsidRPr="004761E0" w:rsidRDefault="00551AA6" w:rsidP="007076A7">
            <w:pPr>
              <w:numPr>
                <w:ilvl w:val="0"/>
                <w:numId w:val="216"/>
              </w:numPr>
              <w:tabs>
                <w:tab w:val="left" w:pos="0"/>
                <w:tab w:val="left" w:pos="34"/>
                <w:tab w:val="left" w:pos="360"/>
              </w:tabs>
              <w:ind w:left="317" w:right="57" w:hanging="283"/>
              <w:jc w:val="left"/>
              <w:rPr>
                <w:rFonts w:eastAsia="Times New Roman"/>
                <w:sz w:val="20"/>
                <w:szCs w:val="18"/>
                <w:lang w:eastAsia="ru-RU"/>
              </w:rPr>
            </w:pPr>
            <w:r w:rsidRPr="004761E0">
              <w:rPr>
                <w:rFonts w:eastAsia="Times New Roman"/>
                <w:sz w:val="20"/>
                <w:szCs w:val="18"/>
                <w:lang w:eastAsia="ru-RU"/>
              </w:rPr>
              <w:t xml:space="preserve">Об оценке заключения Аудитора по </w:t>
            </w:r>
            <w:r w:rsidRPr="004761E0">
              <w:rPr>
                <w:rFonts w:eastAsia="Times New Roman"/>
                <w:sz w:val="20"/>
                <w:szCs w:val="18"/>
                <w:lang w:eastAsia="ru-RU"/>
              </w:rPr>
              <w:lastRenderedPageBreak/>
              <w:t>бухгалтерской отчетности за 2012 год, подготовленной в соответствии с РСБУ.</w:t>
            </w:r>
          </w:p>
          <w:p w:rsidR="00027A32" w:rsidRPr="004761E0" w:rsidRDefault="00551AA6" w:rsidP="007076A7">
            <w:pPr>
              <w:numPr>
                <w:ilvl w:val="0"/>
                <w:numId w:val="216"/>
              </w:numPr>
              <w:tabs>
                <w:tab w:val="left" w:pos="0"/>
                <w:tab w:val="left" w:pos="34"/>
                <w:tab w:val="left" w:pos="360"/>
              </w:tabs>
              <w:ind w:left="317" w:right="57" w:hanging="283"/>
              <w:jc w:val="left"/>
              <w:rPr>
                <w:rFonts w:eastAsia="Times New Roman"/>
                <w:sz w:val="20"/>
                <w:szCs w:val="18"/>
                <w:lang w:eastAsia="ru-RU"/>
              </w:rPr>
            </w:pPr>
            <w:r w:rsidRPr="004761E0">
              <w:rPr>
                <w:rFonts w:eastAsia="Times New Roman"/>
                <w:sz w:val="20"/>
                <w:szCs w:val="18"/>
                <w:lang w:eastAsia="ru-RU"/>
              </w:rPr>
              <w:t>О рассмотрении финансовой отчетности Общества, подготовленной в соответствии с МСФО, за 2012 год.</w:t>
            </w:r>
          </w:p>
          <w:p w:rsidR="00027A32" w:rsidRPr="004761E0" w:rsidRDefault="00551AA6" w:rsidP="007076A7">
            <w:pPr>
              <w:numPr>
                <w:ilvl w:val="0"/>
                <w:numId w:val="216"/>
              </w:numPr>
              <w:tabs>
                <w:tab w:val="left" w:pos="0"/>
                <w:tab w:val="left" w:pos="34"/>
                <w:tab w:val="left" w:pos="360"/>
              </w:tabs>
              <w:ind w:left="317" w:right="57" w:hanging="283"/>
              <w:jc w:val="left"/>
              <w:rPr>
                <w:rFonts w:eastAsia="Times New Roman"/>
                <w:sz w:val="20"/>
                <w:szCs w:val="18"/>
                <w:lang w:eastAsia="ru-RU"/>
              </w:rPr>
            </w:pPr>
            <w:r w:rsidRPr="004761E0">
              <w:rPr>
                <w:rFonts w:eastAsia="Times New Roman"/>
                <w:sz w:val="20"/>
                <w:szCs w:val="18"/>
                <w:lang w:eastAsia="ru-RU"/>
              </w:rPr>
              <w:t>Об оценке заключения Аудитора по финансовой отчетности Общества за 2012 год, подготовленной в соответствии с МСФО.</w:t>
            </w:r>
          </w:p>
          <w:p w:rsidR="00027A32" w:rsidRPr="004761E0" w:rsidRDefault="00551AA6" w:rsidP="007076A7">
            <w:pPr>
              <w:numPr>
                <w:ilvl w:val="0"/>
                <w:numId w:val="216"/>
              </w:numPr>
              <w:tabs>
                <w:tab w:val="left" w:pos="0"/>
                <w:tab w:val="left" w:pos="34"/>
                <w:tab w:val="left" w:pos="360"/>
              </w:tabs>
              <w:ind w:left="317" w:right="57" w:hanging="283"/>
              <w:jc w:val="left"/>
              <w:rPr>
                <w:rFonts w:eastAsia="Times New Roman"/>
                <w:sz w:val="20"/>
                <w:szCs w:val="18"/>
                <w:lang w:eastAsia="ru-RU"/>
              </w:rPr>
            </w:pPr>
            <w:r w:rsidRPr="004761E0">
              <w:rPr>
                <w:rFonts w:eastAsia="Times New Roman"/>
                <w:sz w:val="20"/>
                <w:szCs w:val="18"/>
                <w:lang w:eastAsia="ru-RU"/>
              </w:rPr>
              <w:t>О рассмотрении кандидатуры аудитора.</w:t>
            </w:r>
          </w:p>
          <w:p w:rsidR="00027A32" w:rsidRPr="004761E0" w:rsidRDefault="00551AA6" w:rsidP="007076A7">
            <w:pPr>
              <w:numPr>
                <w:ilvl w:val="0"/>
                <w:numId w:val="216"/>
              </w:numPr>
              <w:tabs>
                <w:tab w:val="left" w:pos="0"/>
                <w:tab w:val="left" w:pos="34"/>
                <w:tab w:val="left" w:pos="360"/>
              </w:tabs>
              <w:ind w:left="317" w:right="57" w:hanging="283"/>
              <w:jc w:val="left"/>
              <w:rPr>
                <w:rFonts w:eastAsia="Times New Roman"/>
                <w:sz w:val="20"/>
                <w:szCs w:val="18"/>
                <w:lang w:eastAsia="ru-RU"/>
              </w:rPr>
            </w:pPr>
            <w:r w:rsidRPr="004761E0">
              <w:rPr>
                <w:rFonts w:eastAsia="Times New Roman"/>
                <w:sz w:val="20"/>
                <w:szCs w:val="18"/>
                <w:lang w:eastAsia="ru-RU"/>
              </w:rPr>
              <w:t>О предварительном утверждении Годового отчета за 2012 год.</w:t>
            </w:r>
          </w:p>
          <w:p w:rsidR="00027A32" w:rsidRPr="004761E0" w:rsidRDefault="00551AA6" w:rsidP="007076A7">
            <w:pPr>
              <w:numPr>
                <w:ilvl w:val="0"/>
                <w:numId w:val="216"/>
              </w:numPr>
              <w:tabs>
                <w:tab w:val="left" w:pos="0"/>
                <w:tab w:val="left" w:pos="34"/>
                <w:tab w:val="left" w:pos="360"/>
              </w:tabs>
              <w:ind w:left="317" w:right="57" w:hanging="283"/>
              <w:jc w:val="left"/>
              <w:rPr>
                <w:rFonts w:eastAsia="Times New Roman"/>
                <w:sz w:val="20"/>
                <w:szCs w:val="18"/>
                <w:lang w:eastAsia="ru-RU"/>
              </w:rPr>
            </w:pPr>
            <w:r w:rsidRPr="004761E0">
              <w:rPr>
                <w:rFonts w:eastAsia="Times New Roman"/>
                <w:sz w:val="20"/>
                <w:szCs w:val="18"/>
                <w:lang w:eastAsia="ru-RU"/>
              </w:rPr>
              <w:t>О рассмотрении финансовой (бухгалтерской) отчетности, подготовленной в соответствии с РСБУ, за 1 квартал, 1 полугодие 2013 года.</w:t>
            </w:r>
          </w:p>
          <w:p w:rsidR="00027A32" w:rsidRPr="004761E0" w:rsidRDefault="00551AA6" w:rsidP="007076A7">
            <w:pPr>
              <w:numPr>
                <w:ilvl w:val="0"/>
                <w:numId w:val="216"/>
              </w:numPr>
              <w:tabs>
                <w:tab w:val="left" w:pos="0"/>
                <w:tab w:val="left" w:pos="34"/>
                <w:tab w:val="left" w:pos="360"/>
              </w:tabs>
              <w:ind w:left="317" w:right="57" w:hanging="283"/>
              <w:jc w:val="left"/>
              <w:rPr>
                <w:rFonts w:eastAsia="Times New Roman"/>
                <w:sz w:val="20"/>
                <w:szCs w:val="18"/>
                <w:lang w:eastAsia="ru-RU"/>
              </w:rPr>
            </w:pPr>
            <w:r w:rsidRPr="004761E0">
              <w:rPr>
                <w:rFonts w:eastAsia="Times New Roman"/>
                <w:sz w:val="20"/>
                <w:szCs w:val="18"/>
                <w:lang w:eastAsia="ru-RU"/>
              </w:rPr>
              <w:t>Об определении размера оплаты услуг Аудитора</w:t>
            </w:r>
            <w:r w:rsidR="00686764" w:rsidRPr="004761E0">
              <w:rPr>
                <w:rFonts w:eastAsia="Times New Roman"/>
                <w:sz w:val="20"/>
                <w:szCs w:val="18"/>
                <w:lang w:eastAsia="ru-RU"/>
              </w:rPr>
              <w:t>.</w:t>
            </w:r>
            <w:r w:rsidRPr="004761E0">
              <w:rPr>
                <w:rFonts w:eastAsia="Times New Roman"/>
                <w:sz w:val="20"/>
                <w:szCs w:val="18"/>
                <w:lang w:eastAsia="ru-RU"/>
              </w:rPr>
              <w:t xml:space="preserve"> </w:t>
            </w:r>
          </w:p>
          <w:p w:rsidR="00027A32" w:rsidRPr="004761E0" w:rsidRDefault="00027A32" w:rsidP="00266643">
            <w:pPr>
              <w:tabs>
                <w:tab w:val="left" w:pos="0"/>
                <w:tab w:val="left" w:pos="34"/>
                <w:tab w:val="left" w:pos="360"/>
              </w:tabs>
              <w:ind w:left="317" w:right="57" w:hanging="283"/>
              <w:jc w:val="left"/>
              <w:rPr>
                <w:rFonts w:eastAsia="Times New Roman"/>
                <w:sz w:val="20"/>
                <w:szCs w:val="18"/>
                <w:lang w:eastAsia="ru-RU"/>
              </w:rPr>
            </w:pPr>
          </w:p>
        </w:tc>
        <w:tc>
          <w:tcPr>
            <w:tcW w:w="2694" w:type="dxa"/>
            <w:shd w:val="clear" w:color="auto" w:fill="auto"/>
            <w:vAlign w:val="center"/>
            <w:hideMark/>
          </w:tcPr>
          <w:p w:rsidR="00551AA6" w:rsidRPr="004761E0" w:rsidRDefault="00551AA6" w:rsidP="007076A7">
            <w:pPr>
              <w:pStyle w:val="a5"/>
              <w:numPr>
                <w:ilvl w:val="0"/>
                <w:numId w:val="36"/>
              </w:numPr>
              <w:spacing w:after="240"/>
              <w:ind w:left="338" w:hanging="283"/>
              <w:jc w:val="left"/>
              <w:rPr>
                <w:rFonts w:eastAsia="Times New Roman"/>
                <w:sz w:val="20"/>
                <w:szCs w:val="18"/>
                <w:lang w:eastAsia="ru-RU"/>
              </w:rPr>
            </w:pPr>
            <w:r w:rsidRPr="004761E0">
              <w:rPr>
                <w:rFonts w:eastAsia="Times New Roman"/>
                <w:sz w:val="20"/>
                <w:szCs w:val="18"/>
                <w:lang w:eastAsia="ru-RU"/>
              </w:rPr>
              <w:lastRenderedPageBreak/>
              <w:t xml:space="preserve">О рассмотрении кандидатур на должность </w:t>
            </w:r>
            <w:r w:rsidR="003B2247">
              <w:rPr>
                <w:rFonts w:eastAsia="Times New Roman"/>
                <w:sz w:val="20"/>
                <w:szCs w:val="18"/>
                <w:lang w:eastAsia="ru-RU"/>
              </w:rPr>
              <w:t>г</w:t>
            </w:r>
            <w:r w:rsidRPr="004761E0">
              <w:rPr>
                <w:rFonts w:eastAsia="Times New Roman"/>
                <w:sz w:val="20"/>
                <w:szCs w:val="18"/>
                <w:lang w:eastAsia="ru-RU"/>
              </w:rPr>
              <w:t>енерального директора и подготовке рекомендаций</w:t>
            </w:r>
            <w:r w:rsidR="003B2247">
              <w:rPr>
                <w:rFonts w:eastAsia="Times New Roman"/>
                <w:sz w:val="20"/>
                <w:szCs w:val="18"/>
                <w:lang w:eastAsia="ru-RU"/>
              </w:rPr>
              <w:t xml:space="preserve"> Совету директоров об избрании г</w:t>
            </w:r>
            <w:r w:rsidRPr="004761E0">
              <w:rPr>
                <w:rFonts w:eastAsia="Times New Roman"/>
                <w:sz w:val="20"/>
                <w:szCs w:val="18"/>
                <w:lang w:eastAsia="ru-RU"/>
              </w:rPr>
              <w:t>енерального директора.</w:t>
            </w:r>
          </w:p>
          <w:p w:rsidR="00551AA6" w:rsidRPr="004761E0" w:rsidRDefault="00551AA6" w:rsidP="007076A7">
            <w:pPr>
              <w:pStyle w:val="a5"/>
              <w:numPr>
                <w:ilvl w:val="0"/>
                <w:numId w:val="36"/>
              </w:numPr>
              <w:spacing w:after="240"/>
              <w:ind w:left="338" w:hanging="283"/>
              <w:jc w:val="left"/>
              <w:rPr>
                <w:rFonts w:eastAsia="Times New Roman"/>
                <w:sz w:val="20"/>
                <w:szCs w:val="18"/>
                <w:lang w:eastAsia="ru-RU"/>
              </w:rPr>
            </w:pPr>
            <w:r w:rsidRPr="004761E0">
              <w:rPr>
                <w:rFonts w:eastAsia="Times New Roman"/>
                <w:sz w:val="20"/>
                <w:szCs w:val="18"/>
                <w:lang w:eastAsia="ru-RU"/>
              </w:rPr>
              <w:t>О подготовке рекомендаций Совету директоров по утверждению внутренних документов, регулирующих вопросы в области вознаграждения и материального стимулирования: Приложения 1 и 2 к Положению</w:t>
            </w:r>
            <w:r w:rsidR="003B2247">
              <w:rPr>
                <w:rFonts w:eastAsia="Times New Roman"/>
                <w:sz w:val="20"/>
                <w:szCs w:val="18"/>
                <w:lang w:eastAsia="ru-RU"/>
              </w:rPr>
              <w:t xml:space="preserve"> о материальном стимулировании г</w:t>
            </w:r>
            <w:r w:rsidRPr="004761E0">
              <w:rPr>
                <w:rFonts w:eastAsia="Times New Roman"/>
                <w:sz w:val="20"/>
                <w:szCs w:val="18"/>
                <w:lang w:eastAsia="ru-RU"/>
              </w:rPr>
              <w:t>енерального директора в новой редакции».</w:t>
            </w:r>
          </w:p>
          <w:p w:rsidR="00551AA6" w:rsidRPr="004761E0" w:rsidRDefault="00551AA6" w:rsidP="007076A7">
            <w:pPr>
              <w:pStyle w:val="a5"/>
              <w:numPr>
                <w:ilvl w:val="0"/>
                <w:numId w:val="36"/>
              </w:numPr>
              <w:spacing w:after="240"/>
              <w:ind w:left="338" w:hanging="283"/>
              <w:jc w:val="left"/>
              <w:rPr>
                <w:rFonts w:eastAsia="Times New Roman"/>
                <w:sz w:val="20"/>
                <w:szCs w:val="18"/>
                <w:lang w:eastAsia="ru-RU"/>
              </w:rPr>
            </w:pPr>
            <w:r w:rsidRPr="004761E0">
              <w:rPr>
                <w:rFonts w:eastAsia="Times New Roman"/>
                <w:sz w:val="20"/>
                <w:szCs w:val="18"/>
                <w:lang w:eastAsia="ru-RU"/>
              </w:rPr>
              <w:t xml:space="preserve">Об определении условий трудового договора с </w:t>
            </w:r>
            <w:r w:rsidR="003B2247">
              <w:rPr>
                <w:rFonts w:eastAsia="Times New Roman"/>
                <w:sz w:val="20"/>
                <w:szCs w:val="18"/>
                <w:lang w:eastAsia="ru-RU"/>
              </w:rPr>
              <w:t>г</w:t>
            </w:r>
            <w:r w:rsidRPr="004761E0">
              <w:rPr>
                <w:rFonts w:eastAsia="Times New Roman"/>
                <w:sz w:val="20"/>
                <w:szCs w:val="18"/>
                <w:lang w:eastAsia="ru-RU"/>
              </w:rPr>
              <w:t>енеральным директором.</w:t>
            </w:r>
          </w:p>
          <w:p w:rsidR="00551AA6" w:rsidRPr="004761E0" w:rsidRDefault="00551AA6" w:rsidP="007076A7">
            <w:pPr>
              <w:pStyle w:val="a5"/>
              <w:numPr>
                <w:ilvl w:val="0"/>
                <w:numId w:val="36"/>
              </w:numPr>
              <w:spacing w:after="240"/>
              <w:ind w:left="338" w:hanging="283"/>
              <w:jc w:val="left"/>
              <w:rPr>
                <w:rFonts w:eastAsia="Times New Roman"/>
                <w:sz w:val="20"/>
                <w:szCs w:val="18"/>
                <w:lang w:eastAsia="ru-RU"/>
              </w:rPr>
            </w:pPr>
            <w:r w:rsidRPr="004761E0">
              <w:rPr>
                <w:rFonts w:eastAsia="Times New Roman"/>
                <w:sz w:val="20"/>
                <w:szCs w:val="18"/>
                <w:lang w:eastAsia="ru-RU"/>
              </w:rPr>
              <w:t>О  предварительной оценке кандидатов в члены Совета директоров.</w:t>
            </w:r>
          </w:p>
          <w:p w:rsidR="00551AA6" w:rsidRPr="004761E0" w:rsidRDefault="00551AA6" w:rsidP="007076A7">
            <w:pPr>
              <w:pStyle w:val="a5"/>
              <w:numPr>
                <w:ilvl w:val="0"/>
                <w:numId w:val="36"/>
              </w:numPr>
              <w:spacing w:after="240"/>
              <w:ind w:left="338" w:hanging="283"/>
              <w:jc w:val="left"/>
              <w:rPr>
                <w:rFonts w:eastAsia="Times New Roman"/>
                <w:sz w:val="20"/>
                <w:szCs w:val="18"/>
                <w:lang w:eastAsia="ru-RU"/>
              </w:rPr>
            </w:pPr>
            <w:r w:rsidRPr="004761E0">
              <w:rPr>
                <w:rFonts w:eastAsia="Times New Roman"/>
                <w:sz w:val="20"/>
                <w:szCs w:val="18"/>
                <w:lang w:eastAsia="ru-RU"/>
              </w:rPr>
              <w:t xml:space="preserve">О премировании </w:t>
            </w:r>
            <w:r w:rsidR="003B2247">
              <w:rPr>
                <w:rFonts w:eastAsia="Times New Roman"/>
                <w:sz w:val="20"/>
                <w:szCs w:val="18"/>
                <w:lang w:eastAsia="ru-RU"/>
              </w:rPr>
              <w:t>г</w:t>
            </w:r>
            <w:r w:rsidRPr="004761E0">
              <w:rPr>
                <w:rFonts w:eastAsia="Times New Roman"/>
                <w:sz w:val="20"/>
                <w:szCs w:val="18"/>
                <w:lang w:eastAsia="ru-RU"/>
              </w:rPr>
              <w:t>енерального директора за выполнение особо важного задания.</w:t>
            </w:r>
          </w:p>
          <w:p w:rsidR="00551AA6" w:rsidRPr="004761E0" w:rsidRDefault="00551AA6" w:rsidP="007076A7">
            <w:pPr>
              <w:pStyle w:val="a5"/>
              <w:numPr>
                <w:ilvl w:val="0"/>
                <w:numId w:val="36"/>
              </w:numPr>
              <w:spacing w:after="240"/>
              <w:ind w:left="338" w:hanging="283"/>
              <w:jc w:val="left"/>
              <w:rPr>
                <w:rFonts w:eastAsia="Times New Roman"/>
                <w:sz w:val="20"/>
                <w:szCs w:val="18"/>
                <w:lang w:eastAsia="ru-RU"/>
              </w:rPr>
            </w:pPr>
            <w:r w:rsidRPr="004761E0">
              <w:rPr>
                <w:rFonts w:eastAsia="Times New Roman"/>
                <w:sz w:val="20"/>
                <w:szCs w:val="18"/>
                <w:lang w:eastAsia="ru-RU"/>
              </w:rPr>
              <w:t xml:space="preserve">Об определении существенных условий </w:t>
            </w:r>
            <w:r w:rsidRPr="004761E0">
              <w:rPr>
                <w:rFonts w:eastAsia="Times New Roman"/>
                <w:sz w:val="20"/>
                <w:szCs w:val="18"/>
                <w:lang w:eastAsia="ru-RU"/>
              </w:rPr>
              <w:lastRenderedPageBreak/>
              <w:t>договоров (в т.ч. в части срока полномочий и размера выплачиваемых вознаграждений и компенсаций), заключаемых с членами Правления.</w:t>
            </w:r>
          </w:p>
          <w:p w:rsidR="00551AA6" w:rsidRPr="004761E0" w:rsidRDefault="00551AA6" w:rsidP="007076A7">
            <w:pPr>
              <w:pStyle w:val="a5"/>
              <w:numPr>
                <w:ilvl w:val="0"/>
                <w:numId w:val="36"/>
              </w:numPr>
              <w:spacing w:after="240"/>
              <w:ind w:left="338" w:hanging="283"/>
              <w:jc w:val="left"/>
              <w:rPr>
                <w:rFonts w:eastAsia="Times New Roman"/>
                <w:sz w:val="20"/>
                <w:szCs w:val="18"/>
                <w:lang w:eastAsia="ru-RU"/>
              </w:rPr>
            </w:pPr>
            <w:r w:rsidRPr="004761E0">
              <w:rPr>
                <w:rFonts w:eastAsia="Times New Roman"/>
                <w:sz w:val="20"/>
                <w:szCs w:val="18"/>
                <w:lang w:eastAsia="ru-RU"/>
              </w:rPr>
              <w:t xml:space="preserve">О специальном премировании </w:t>
            </w:r>
            <w:r w:rsidR="003B2247">
              <w:rPr>
                <w:rFonts w:eastAsia="Times New Roman"/>
                <w:sz w:val="20"/>
                <w:szCs w:val="18"/>
                <w:lang w:eastAsia="ru-RU"/>
              </w:rPr>
              <w:t>г</w:t>
            </w:r>
            <w:r w:rsidRPr="004761E0">
              <w:rPr>
                <w:rFonts w:eastAsia="Times New Roman"/>
                <w:sz w:val="20"/>
                <w:szCs w:val="18"/>
                <w:lang w:eastAsia="ru-RU"/>
              </w:rPr>
              <w:t>енерального директора по итогам 2012 г.</w:t>
            </w:r>
          </w:p>
          <w:p w:rsidR="00551AA6" w:rsidRPr="004761E0" w:rsidRDefault="003B2247" w:rsidP="007076A7">
            <w:pPr>
              <w:pStyle w:val="a5"/>
              <w:numPr>
                <w:ilvl w:val="0"/>
                <w:numId w:val="36"/>
              </w:numPr>
              <w:spacing w:after="240"/>
              <w:ind w:left="338" w:hanging="283"/>
              <w:jc w:val="left"/>
              <w:rPr>
                <w:rFonts w:eastAsia="Times New Roman"/>
                <w:sz w:val="20"/>
                <w:szCs w:val="18"/>
                <w:lang w:eastAsia="ru-RU"/>
              </w:rPr>
            </w:pPr>
            <w:r>
              <w:rPr>
                <w:rFonts w:eastAsia="Times New Roman"/>
                <w:sz w:val="20"/>
                <w:szCs w:val="18"/>
                <w:lang w:eastAsia="ru-RU"/>
              </w:rPr>
              <w:t>О дополнительном премировании г</w:t>
            </w:r>
            <w:r w:rsidR="00551AA6" w:rsidRPr="004761E0">
              <w:rPr>
                <w:rFonts w:eastAsia="Times New Roman"/>
                <w:sz w:val="20"/>
                <w:szCs w:val="18"/>
                <w:lang w:eastAsia="ru-RU"/>
              </w:rPr>
              <w:t>енерального директора по итогам 2012 г.</w:t>
            </w:r>
          </w:p>
          <w:p w:rsidR="00551AA6" w:rsidRPr="004761E0" w:rsidRDefault="00551AA6" w:rsidP="007076A7">
            <w:pPr>
              <w:pStyle w:val="a5"/>
              <w:numPr>
                <w:ilvl w:val="0"/>
                <w:numId w:val="36"/>
              </w:numPr>
              <w:spacing w:after="240"/>
              <w:ind w:left="338" w:hanging="283"/>
              <w:jc w:val="left"/>
              <w:rPr>
                <w:rFonts w:eastAsia="Times New Roman"/>
                <w:sz w:val="20"/>
                <w:szCs w:val="18"/>
                <w:lang w:eastAsia="ru-RU"/>
              </w:rPr>
            </w:pPr>
            <w:r w:rsidRPr="004761E0">
              <w:rPr>
                <w:rFonts w:eastAsia="Times New Roman"/>
                <w:sz w:val="20"/>
                <w:szCs w:val="18"/>
                <w:lang w:eastAsia="ru-RU"/>
              </w:rPr>
              <w:t>О рассмотрении организационной структуры исполнительного аппарата.</w:t>
            </w:r>
          </w:p>
          <w:p w:rsidR="00551AA6" w:rsidRPr="004761E0" w:rsidRDefault="00551AA6" w:rsidP="007076A7">
            <w:pPr>
              <w:pStyle w:val="a5"/>
              <w:numPr>
                <w:ilvl w:val="0"/>
                <w:numId w:val="36"/>
              </w:numPr>
              <w:spacing w:after="240"/>
              <w:ind w:left="338" w:hanging="283"/>
              <w:jc w:val="left"/>
              <w:rPr>
                <w:rFonts w:eastAsia="Times New Roman"/>
                <w:sz w:val="20"/>
                <w:szCs w:val="18"/>
                <w:lang w:eastAsia="ru-RU"/>
              </w:rPr>
            </w:pPr>
            <w:r w:rsidRPr="004761E0">
              <w:rPr>
                <w:rFonts w:eastAsia="Times New Roman"/>
                <w:sz w:val="20"/>
                <w:szCs w:val="18"/>
                <w:lang w:eastAsia="ru-RU"/>
              </w:rPr>
              <w:t>О рассмотрении перечня должностей, согласование кандидатур на которые отнесено к компетенции Совета директоров.</w:t>
            </w:r>
          </w:p>
          <w:p w:rsidR="00551AA6" w:rsidRPr="004761E0" w:rsidRDefault="00551AA6" w:rsidP="007076A7">
            <w:pPr>
              <w:pStyle w:val="a5"/>
              <w:numPr>
                <w:ilvl w:val="0"/>
                <w:numId w:val="36"/>
              </w:numPr>
              <w:spacing w:after="240"/>
              <w:ind w:left="338" w:hanging="283"/>
              <w:jc w:val="left"/>
              <w:rPr>
                <w:rFonts w:eastAsia="Times New Roman"/>
                <w:sz w:val="20"/>
                <w:szCs w:val="18"/>
                <w:lang w:eastAsia="ru-RU"/>
              </w:rPr>
            </w:pPr>
            <w:r w:rsidRPr="004761E0">
              <w:rPr>
                <w:rFonts w:eastAsia="Times New Roman"/>
                <w:sz w:val="20"/>
                <w:szCs w:val="18"/>
                <w:lang w:eastAsia="ru-RU"/>
              </w:rPr>
              <w:t>О рассмотрении перечня должностей, входящих в категорию Высших менеджеров.</w:t>
            </w:r>
          </w:p>
        </w:tc>
      </w:tr>
    </w:tbl>
    <w:p w:rsidR="00924551" w:rsidRPr="00924551" w:rsidRDefault="00924551" w:rsidP="00924551">
      <w:pPr>
        <w:ind w:firstLine="567"/>
        <w:rPr>
          <w:sz w:val="26"/>
          <w:szCs w:val="26"/>
        </w:rPr>
      </w:pPr>
      <w:r w:rsidRPr="00924551">
        <w:rPr>
          <w:rFonts w:eastAsia="Times New Roman"/>
          <w:iCs/>
          <w:color w:val="000000"/>
          <w:sz w:val="26"/>
          <w:szCs w:val="26"/>
          <w:lang w:eastAsia="ru-RU"/>
        </w:rPr>
        <w:lastRenderedPageBreak/>
        <w:t xml:space="preserve">Подробная информация об участии членов </w:t>
      </w:r>
      <w:r>
        <w:rPr>
          <w:rFonts w:eastAsia="Times New Roman"/>
          <w:iCs/>
          <w:color w:val="000000"/>
          <w:sz w:val="26"/>
          <w:szCs w:val="26"/>
          <w:lang w:eastAsia="ru-RU"/>
        </w:rPr>
        <w:t xml:space="preserve">Комитетов при </w:t>
      </w:r>
      <w:r w:rsidRPr="00924551">
        <w:rPr>
          <w:rFonts w:eastAsia="Times New Roman"/>
          <w:iCs/>
          <w:color w:val="000000"/>
          <w:sz w:val="26"/>
          <w:szCs w:val="26"/>
          <w:lang w:eastAsia="ru-RU"/>
        </w:rPr>
        <w:t>Совет</w:t>
      </w:r>
      <w:r>
        <w:rPr>
          <w:rFonts w:eastAsia="Times New Roman"/>
          <w:iCs/>
          <w:color w:val="000000"/>
          <w:sz w:val="26"/>
          <w:szCs w:val="26"/>
          <w:lang w:eastAsia="ru-RU"/>
        </w:rPr>
        <w:t>е</w:t>
      </w:r>
      <w:r w:rsidRPr="00924551">
        <w:rPr>
          <w:rFonts w:eastAsia="Times New Roman"/>
          <w:iCs/>
          <w:color w:val="000000"/>
          <w:sz w:val="26"/>
          <w:szCs w:val="26"/>
          <w:lang w:eastAsia="ru-RU"/>
        </w:rPr>
        <w:t xml:space="preserve"> директоров в заседаниях в отчетном год</w:t>
      </w:r>
      <w:r w:rsidR="003146BC">
        <w:rPr>
          <w:rFonts w:eastAsia="Times New Roman"/>
          <w:iCs/>
          <w:color w:val="000000"/>
          <w:sz w:val="26"/>
          <w:szCs w:val="26"/>
          <w:lang w:eastAsia="ru-RU"/>
        </w:rPr>
        <w:t>у представлена в Приложении 12.2</w:t>
      </w:r>
      <w:r w:rsidRPr="00924551">
        <w:rPr>
          <w:rFonts w:eastAsia="Times New Roman"/>
          <w:iCs/>
          <w:color w:val="000000"/>
          <w:sz w:val="26"/>
          <w:szCs w:val="26"/>
          <w:lang w:eastAsia="ru-RU"/>
        </w:rPr>
        <w:t>. к Годовому отчету.</w:t>
      </w:r>
    </w:p>
    <w:p w:rsidR="00924551" w:rsidRPr="004761E0" w:rsidRDefault="00924551">
      <w:pPr>
        <w:ind w:firstLine="0"/>
        <w:jc w:val="left"/>
        <w:rPr>
          <w:b/>
          <w:sz w:val="26"/>
          <w:szCs w:val="26"/>
          <w:lang w:eastAsia="ru-RU"/>
        </w:rPr>
      </w:pPr>
    </w:p>
    <w:p w:rsidR="00551AA6" w:rsidRPr="004761E0" w:rsidRDefault="00551AA6">
      <w:pPr>
        <w:ind w:firstLine="0"/>
        <w:jc w:val="left"/>
        <w:rPr>
          <w:b/>
          <w:sz w:val="26"/>
          <w:szCs w:val="26"/>
          <w:lang w:eastAsia="ru-RU"/>
        </w:rPr>
        <w:sectPr w:rsidR="00551AA6" w:rsidRPr="004761E0" w:rsidSect="00201161">
          <w:pgSz w:w="16840" w:h="11907" w:orient="landscape" w:code="9"/>
          <w:pgMar w:top="1134" w:right="1418" w:bottom="851" w:left="720" w:header="720" w:footer="720" w:gutter="0"/>
          <w:cols w:space="720"/>
          <w:docGrid w:linePitch="326"/>
        </w:sectPr>
      </w:pPr>
    </w:p>
    <w:p w:rsidR="003E4866" w:rsidRPr="004761E0" w:rsidRDefault="003E4866" w:rsidP="007076A7">
      <w:pPr>
        <w:pStyle w:val="a8"/>
        <w:numPr>
          <w:ilvl w:val="1"/>
          <w:numId w:val="321"/>
        </w:numPr>
        <w:spacing w:before="120" w:after="120"/>
        <w:ind w:left="1134" w:hanging="567"/>
        <w:jc w:val="both"/>
        <w:rPr>
          <w:rFonts w:ascii="Times New Roman" w:hAnsi="Times New Roman"/>
          <w:b/>
          <w:sz w:val="26"/>
          <w:szCs w:val="26"/>
        </w:rPr>
      </w:pPr>
      <w:bookmarkStart w:id="99" w:name="_Toc385339829"/>
      <w:r w:rsidRPr="004761E0">
        <w:rPr>
          <w:rFonts w:ascii="Times New Roman" w:hAnsi="Times New Roman"/>
          <w:b/>
          <w:sz w:val="26"/>
          <w:szCs w:val="26"/>
        </w:rPr>
        <w:lastRenderedPageBreak/>
        <w:t>Правление</w:t>
      </w:r>
      <w:bookmarkEnd w:id="99"/>
    </w:p>
    <w:p w:rsidR="00686764" w:rsidRPr="004761E0" w:rsidRDefault="00686764" w:rsidP="00686764">
      <w:pPr>
        <w:ind w:firstLine="567"/>
        <w:rPr>
          <w:sz w:val="26"/>
          <w:szCs w:val="26"/>
          <w:lang w:eastAsia="ru-RU"/>
        </w:rPr>
      </w:pPr>
      <w:r w:rsidRPr="004761E0">
        <w:rPr>
          <w:sz w:val="26"/>
          <w:szCs w:val="26"/>
          <w:lang w:eastAsia="ru-RU"/>
        </w:rPr>
        <w:t>Правление является коллегиальным исполнительным органом Общества.</w:t>
      </w:r>
      <w:r w:rsidR="00743B24">
        <w:rPr>
          <w:sz w:val="26"/>
          <w:szCs w:val="26"/>
          <w:lang w:eastAsia="ru-RU"/>
        </w:rPr>
        <w:t xml:space="preserve"> </w:t>
      </w:r>
      <w:r w:rsidRPr="004761E0">
        <w:rPr>
          <w:sz w:val="26"/>
          <w:szCs w:val="26"/>
          <w:lang w:eastAsia="ru-RU"/>
        </w:rPr>
        <w:t>Правление действует на основании Устава, а также утверждаемого Общим собранием акционеров Положения о Правлении, в котором устанавливаются сроки и порядок созыва и проведения его заседаний, а также порядок принятия решений.</w:t>
      </w:r>
    </w:p>
    <w:p w:rsidR="00686764" w:rsidRPr="004761E0" w:rsidRDefault="00686764" w:rsidP="00686764">
      <w:pPr>
        <w:ind w:firstLine="567"/>
        <w:rPr>
          <w:sz w:val="26"/>
          <w:szCs w:val="26"/>
          <w:lang w:eastAsia="ru-RU"/>
        </w:rPr>
      </w:pPr>
      <w:r w:rsidRPr="004761E0">
        <w:rPr>
          <w:sz w:val="26"/>
          <w:szCs w:val="26"/>
          <w:lang w:eastAsia="ru-RU"/>
        </w:rPr>
        <w:t>К компетенции Правления относятся следующие вопросы:</w:t>
      </w:r>
    </w:p>
    <w:p w:rsidR="00686764" w:rsidRPr="004761E0" w:rsidRDefault="00686764" w:rsidP="007076A7">
      <w:pPr>
        <w:pStyle w:val="a5"/>
        <w:numPr>
          <w:ilvl w:val="0"/>
          <w:numId w:val="57"/>
        </w:numPr>
        <w:ind w:left="1134" w:hanging="567"/>
        <w:contextualSpacing w:val="0"/>
        <w:rPr>
          <w:sz w:val="26"/>
          <w:szCs w:val="26"/>
          <w:lang w:eastAsia="ru-RU"/>
        </w:rPr>
      </w:pPr>
      <w:r w:rsidRPr="004761E0">
        <w:rPr>
          <w:sz w:val="26"/>
          <w:szCs w:val="26"/>
          <w:lang w:eastAsia="ru-RU"/>
        </w:rPr>
        <w:t>разработка и предоставление на рассмотрение Совета директоров перспективных планов по реализации основных направлений деятельности Общества, предложений по стратегии развития;</w:t>
      </w:r>
    </w:p>
    <w:p w:rsidR="00686764" w:rsidRPr="004761E0" w:rsidRDefault="00686764" w:rsidP="007076A7">
      <w:pPr>
        <w:pStyle w:val="a5"/>
        <w:numPr>
          <w:ilvl w:val="0"/>
          <w:numId w:val="57"/>
        </w:numPr>
        <w:ind w:left="1134" w:hanging="567"/>
        <w:contextualSpacing w:val="0"/>
        <w:rPr>
          <w:sz w:val="26"/>
          <w:szCs w:val="26"/>
          <w:lang w:eastAsia="ru-RU"/>
        </w:rPr>
      </w:pPr>
      <w:r w:rsidRPr="004761E0">
        <w:rPr>
          <w:sz w:val="26"/>
          <w:szCs w:val="26"/>
          <w:lang w:eastAsia="ru-RU"/>
        </w:rPr>
        <w:t>подготовка бизнес-плана (скорректированного бизнес-плана) и отчета об итогах его выполнения, подготовка инвестиционной программы и отчета Совету директоров об итогах ее выполнения;</w:t>
      </w:r>
    </w:p>
    <w:p w:rsidR="00686764" w:rsidRPr="004761E0" w:rsidRDefault="00686764" w:rsidP="007076A7">
      <w:pPr>
        <w:pStyle w:val="a5"/>
        <w:numPr>
          <w:ilvl w:val="0"/>
          <w:numId w:val="57"/>
        </w:numPr>
        <w:ind w:left="1134" w:hanging="567"/>
        <w:contextualSpacing w:val="0"/>
        <w:rPr>
          <w:sz w:val="26"/>
          <w:szCs w:val="26"/>
          <w:lang w:eastAsia="ru-RU"/>
        </w:rPr>
      </w:pPr>
      <w:r w:rsidRPr="004761E0">
        <w:rPr>
          <w:sz w:val="26"/>
          <w:szCs w:val="26"/>
          <w:lang w:eastAsia="ru-RU"/>
        </w:rPr>
        <w:t>подготовка отчета о финансово-хозяйственной деятельности Общества, о выполнении Правлением решений Общего собрания акционеров и Совета директоров;</w:t>
      </w:r>
    </w:p>
    <w:p w:rsidR="00686764" w:rsidRPr="004761E0" w:rsidRDefault="00686764" w:rsidP="007076A7">
      <w:pPr>
        <w:pStyle w:val="a5"/>
        <w:numPr>
          <w:ilvl w:val="0"/>
          <w:numId w:val="57"/>
        </w:numPr>
        <w:ind w:left="1134" w:hanging="567"/>
        <w:contextualSpacing w:val="0"/>
        <w:rPr>
          <w:sz w:val="26"/>
          <w:szCs w:val="26"/>
          <w:lang w:eastAsia="ru-RU"/>
        </w:rPr>
      </w:pPr>
      <w:r w:rsidRPr="004761E0">
        <w:rPr>
          <w:sz w:val="26"/>
          <w:szCs w:val="26"/>
          <w:lang w:eastAsia="ru-RU"/>
        </w:rPr>
        <w:t>принятие решения о заключении сделок, предметом которых является имущество, работы и/или услуги, стоимость которых  составляет более 1</w:t>
      </w:r>
      <w:r w:rsidR="00605C86" w:rsidRPr="004761E0">
        <w:rPr>
          <w:sz w:val="26"/>
          <w:szCs w:val="26"/>
          <w:lang w:eastAsia="ru-RU"/>
        </w:rPr>
        <w:t xml:space="preserve"> % </w:t>
      </w:r>
      <w:r w:rsidRPr="004761E0">
        <w:rPr>
          <w:sz w:val="26"/>
          <w:szCs w:val="26"/>
          <w:lang w:eastAsia="ru-RU"/>
        </w:rPr>
        <w:t>балансовой стоимости активов Общества, по данным бухгалтерской отчетности на последнюю дату, за исключением сделок совершаемых в процессе обычной хозяйственной деятельности Общества, а также сделок, решение о совершении которых в соответствии с Уставом отнесено к компетенции Совета директоров;</w:t>
      </w:r>
    </w:p>
    <w:p w:rsidR="00686764" w:rsidRPr="004761E0" w:rsidRDefault="00686764" w:rsidP="007076A7">
      <w:pPr>
        <w:pStyle w:val="a5"/>
        <w:numPr>
          <w:ilvl w:val="0"/>
          <w:numId w:val="57"/>
        </w:numPr>
        <w:ind w:left="1134" w:hanging="567"/>
        <w:contextualSpacing w:val="0"/>
        <w:rPr>
          <w:sz w:val="26"/>
          <w:szCs w:val="26"/>
          <w:lang w:eastAsia="ru-RU"/>
        </w:rPr>
      </w:pPr>
      <w:r w:rsidRPr="004761E0">
        <w:rPr>
          <w:sz w:val="26"/>
          <w:szCs w:val="26"/>
          <w:lang w:eastAsia="ru-RU"/>
        </w:rPr>
        <w:t>принятие решений по вопросам, отнесенным к компетенции высших органов управления хозяйственных обществ, 100 % уставного капитала, либо все голосующие акции которых принадлежат Обществу;</w:t>
      </w:r>
    </w:p>
    <w:p w:rsidR="00686764" w:rsidRPr="004761E0" w:rsidRDefault="00686764" w:rsidP="007076A7">
      <w:pPr>
        <w:pStyle w:val="a5"/>
        <w:numPr>
          <w:ilvl w:val="0"/>
          <w:numId w:val="57"/>
        </w:numPr>
        <w:ind w:left="1134" w:hanging="567"/>
        <w:contextualSpacing w:val="0"/>
        <w:rPr>
          <w:sz w:val="26"/>
          <w:szCs w:val="26"/>
          <w:lang w:eastAsia="ru-RU"/>
        </w:rPr>
      </w:pPr>
      <w:r w:rsidRPr="004761E0">
        <w:rPr>
          <w:sz w:val="26"/>
          <w:szCs w:val="26"/>
          <w:lang w:eastAsia="ru-RU"/>
        </w:rPr>
        <w:t xml:space="preserve">решение иных вопросов руководства текущей деятельностью Общества в соответствии с решениями Общего собрания акционеров, Совета директоров, а также вопросов, вынесенных на рассмотрение Правления </w:t>
      </w:r>
      <w:r w:rsidR="003B2247">
        <w:rPr>
          <w:sz w:val="26"/>
          <w:szCs w:val="26"/>
          <w:lang w:eastAsia="ru-RU"/>
        </w:rPr>
        <w:t>г</w:t>
      </w:r>
      <w:r w:rsidRPr="004761E0">
        <w:rPr>
          <w:sz w:val="26"/>
          <w:szCs w:val="26"/>
          <w:lang w:eastAsia="ru-RU"/>
        </w:rPr>
        <w:t>енеральным директором.</w:t>
      </w:r>
    </w:p>
    <w:p w:rsidR="00686764" w:rsidRPr="00743B24" w:rsidRDefault="00686764" w:rsidP="00743B24">
      <w:pPr>
        <w:spacing w:before="120" w:after="120"/>
        <w:ind w:firstLine="567"/>
        <w:rPr>
          <w:b/>
          <w:sz w:val="26"/>
          <w:szCs w:val="26"/>
          <w:lang w:eastAsia="ru-RU"/>
        </w:rPr>
      </w:pPr>
      <w:r w:rsidRPr="00743B24">
        <w:rPr>
          <w:b/>
          <w:sz w:val="26"/>
          <w:szCs w:val="26"/>
          <w:lang w:eastAsia="ru-RU"/>
        </w:rPr>
        <w:t>Состав Правления</w:t>
      </w:r>
    </w:p>
    <w:p w:rsidR="00686764" w:rsidRPr="004761E0" w:rsidRDefault="00686764" w:rsidP="00686764">
      <w:pPr>
        <w:spacing w:before="60"/>
        <w:ind w:left="34" w:firstLine="533"/>
        <w:rPr>
          <w:sz w:val="26"/>
          <w:szCs w:val="26"/>
        </w:rPr>
      </w:pPr>
      <w:r w:rsidRPr="004761E0">
        <w:rPr>
          <w:sz w:val="26"/>
          <w:szCs w:val="26"/>
        </w:rPr>
        <w:t>Состав Правления, действующий в период с 27.12.2012 по настоящее время (должности указаны по состоянию на 31.12.2013):</w:t>
      </w:r>
    </w:p>
    <w:tbl>
      <w:tblPr>
        <w:tblStyle w:val="ae"/>
        <w:tblW w:w="9923" w:type="dxa"/>
        <w:tblInd w:w="108" w:type="dxa"/>
        <w:shd w:val="clear" w:color="auto" w:fill="0F243E" w:themeFill="text2" w:themeFillShade="80"/>
        <w:tblLook w:val="04A0"/>
      </w:tblPr>
      <w:tblGrid>
        <w:gridCol w:w="569"/>
        <w:gridCol w:w="2702"/>
        <w:gridCol w:w="6652"/>
      </w:tblGrid>
      <w:tr w:rsidR="00605C86" w:rsidRPr="004761E0" w:rsidTr="00605C86">
        <w:trPr>
          <w:trHeight w:val="477"/>
        </w:trPr>
        <w:tc>
          <w:tcPr>
            <w:tcW w:w="569" w:type="dxa"/>
            <w:tcBorders>
              <w:right w:val="single" w:sz="4" w:space="0" w:color="FFFFFF" w:themeColor="background1"/>
            </w:tcBorders>
            <w:shd w:val="clear" w:color="auto" w:fill="0F243E" w:themeFill="text2" w:themeFillShade="80"/>
          </w:tcPr>
          <w:p w:rsidR="00605C86" w:rsidRPr="004761E0" w:rsidRDefault="00605C86" w:rsidP="00266643">
            <w:pPr>
              <w:spacing w:before="60"/>
              <w:ind w:firstLine="0"/>
              <w:jc w:val="left"/>
              <w:rPr>
                <w:b/>
                <w:sz w:val="20"/>
                <w:szCs w:val="20"/>
              </w:rPr>
            </w:pPr>
            <w:r w:rsidRPr="004761E0">
              <w:rPr>
                <w:b/>
                <w:sz w:val="20"/>
                <w:szCs w:val="20"/>
              </w:rPr>
              <w:t>№ п/п</w:t>
            </w:r>
          </w:p>
        </w:tc>
        <w:tc>
          <w:tcPr>
            <w:tcW w:w="2702" w:type="dxa"/>
            <w:tcBorders>
              <w:left w:val="single" w:sz="4" w:space="0" w:color="FFFFFF" w:themeColor="background1"/>
              <w:right w:val="single" w:sz="4" w:space="0" w:color="FFFFFF" w:themeColor="background1"/>
            </w:tcBorders>
            <w:shd w:val="clear" w:color="auto" w:fill="0F243E" w:themeFill="text2" w:themeFillShade="80"/>
            <w:vAlign w:val="center"/>
          </w:tcPr>
          <w:p w:rsidR="00605C86" w:rsidRPr="004761E0" w:rsidRDefault="00605C86" w:rsidP="00266643">
            <w:pPr>
              <w:spacing w:before="60"/>
              <w:ind w:firstLine="0"/>
              <w:jc w:val="left"/>
              <w:rPr>
                <w:b/>
                <w:sz w:val="20"/>
                <w:szCs w:val="20"/>
              </w:rPr>
            </w:pPr>
            <w:r w:rsidRPr="004761E0">
              <w:rPr>
                <w:b/>
                <w:sz w:val="20"/>
                <w:szCs w:val="20"/>
              </w:rPr>
              <w:t>Ф.И.О.</w:t>
            </w:r>
          </w:p>
        </w:tc>
        <w:tc>
          <w:tcPr>
            <w:tcW w:w="6652" w:type="dxa"/>
            <w:tcBorders>
              <w:left w:val="single" w:sz="4" w:space="0" w:color="FFFFFF" w:themeColor="background1"/>
              <w:right w:val="single" w:sz="4" w:space="0" w:color="FFFFFF" w:themeColor="background1"/>
            </w:tcBorders>
            <w:shd w:val="clear" w:color="auto" w:fill="0F243E" w:themeFill="text2" w:themeFillShade="80"/>
            <w:vAlign w:val="center"/>
          </w:tcPr>
          <w:p w:rsidR="00605C86" w:rsidRPr="004761E0" w:rsidRDefault="00605C86" w:rsidP="00266643">
            <w:pPr>
              <w:spacing w:before="60"/>
              <w:ind w:firstLine="0"/>
              <w:jc w:val="left"/>
              <w:rPr>
                <w:b/>
                <w:sz w:val="20"/>
                <w:szCs w:val="20"/>
              </w:rPr>
            </w:pPr>
            <w:r w:rsidRPr="004761E0">
              <w:rPr>
                <w:b/>
                <w:sz w:val="20"/>
                <w:szCs w:val="20"/>
              </w:rPr>
              <w:t>Должность по состоянию на 31.12.2013</w:t>
            </w:r>
          </w:p>
        </w:tc>
      </w:tr>
      <w:tr w:rsidR="00605C86" w:rsidRPr="004761E0" w:rsidTr="00605C86">
        <w:trPr>
          <w:trHeight w:val="302"/>
        </w:trPr>
        <w:tc>
          <w:tcPr>
            <w:tcW w:w="569" w:type="dxa"/>
            <w:shd w:val="clear" w:color="auto" w:fill="auto"/>
            <w:vAlign w:val="center"/>
          </w:tcPr>
          <w:p w:rsidR="00605C86" w:rsidRPr="004761E0" w:rsidRDefault="00605C86" w:rsidP="007076A7">
            <w:pPr>
              <w:pStyle w:val="a5"/>
              <w:numPr>
                <w:ilvl w:val="0"/>
                <w:numId w:val="248"/>
              </w:numPr>
              <w:spacing w:before="60"/>
              <w:jc w:val="left"/>
              <w:rPr>
                <w:sz w:val="20"/>
                <w:szCs w:val="20"/>
              </w:rPr>
            </w:pPr>
          </w:p>
        </w:tc>
        <w:tc>
          <w:tcPr>
            <w:tcW w:w="2702" w:type="dxa"/>
            <w:shd w:val="clear" w:color="auto" w:fill="auto"/>
            <w:vAlign w:val="center"/>
          </w:tcPr>
          <w:p w:rsidR="00605C86" w:rsidRPr="004761E0" w:rsidRDefault="00605C86" w:rsidP="00266643">
            <w:pPr>
              <w:ind w:firstLine="0"/>
              <w:jc w:val="left"/>
              <w:rPr>
                <w:sz w:val="20"/>
                <w:szCs w:val="20"/>
              </w:rPr>
            </w:pPr>
            <w:r w:rsidRPr="004761E0">
              <w:rPr>
                <w:sz w:val="20"/>
                <w:szCs w:val="20"/>
              </w:rPr>
              <w:t>Синютин Петр Алексеевич (Председатель)</w:t>
            </w:r>
          </w:p>
        </w:tc>
        <w:tc>
          <w:tcPr>
            <w:tcW w:w="6652" w:type="dxa"/>
            <w:shd w:val="clear" w:color="auto" w:fill="auto"/>
            <w:vAlign w:val="center"/>
          </w:tcPr>
          <w:p w:rsidR="00605C86" w:rsidRPr="004761E0" w:rsidRDefault="00605C86" w:rsidP="003B2247">
            <w:pPr>
              <w:ind w:firstLine="0"/>
              <w:jc w:val="left"/>
              <w:rPr>
                <w:sz w:val="20"/>
                <w:szCs w:val="20"/>
              </w:rPr>
            </w:pPr>
            <w:r w:rsidRPr="004761E0">
              <w:rPr>
                <w:sz w:val="20"/>
                <w:szCs w:val="20"/>
              </w:rPr>
              <w:t xml:space="preserve">Генеральный директор </w:t>
            </w:r>
            <w:r w:rsidR="0008080E">
              <w:rPr>
                <w:sz w:val="20"/>
                <w:szCs w:val="20"/>
              </w:rPr>
              <w:t>ОАО </w:t>
            </w:r>
            <w:r w:rsidRPr="004761E0">
              <w:rPr>
                <w:sz w:val="20"/>
                <w:szCs w:val="20"/>
              </w:rPr>
              <w:t>«МОЭСК»</w:t>
            </w:r>
          </w:p>
        </w:tc>
      </w:tr>
      <w:tr w:rsidR="00605C86" w:rsidRPr="004761E0" w:rsidTr="00605C86">
        <w:trPr>
          <w:trHeight w:val="185"/>
        </w:trPr>
        <w:tc>
          <w:tcPr>
            <w:tcW w:w="569" w:type="dxa"/>
            <w:shd w:val="clear" w:color="auto" w:fill="auto"/>
            <w:vAlign w:val="center"/>
          </w:tcPr>
          <w:p w:rsidR="00605C86" w:rsidRPr="004761E0" w:rsidRDefault="00605C86" w:rsidP="007076A7">
            <w:pPr>
              <w:pStyle w:val="a5"/>
              <w:numPr>
                <w:ilvl w:val="0"/>
                <w:numId w:val="248"/>
              </w:numPr>
              <w:spacing w:before="60"/>
              <w:jc w:val="left"/>
              <w:rPr>
                <w:sz w:val="20"/>
                <w:szCs w:val="20"/>
              </w:rPr>
            </w:pPr>
          </w:p>
        </w:tc>
        <w:tc>
          <w:tcPr>
            <w:tcW w:w="2702" w:type="dxa"/>
            <w:shd w:val="clear" w:color="auto" w:fill="auto"/>
            <w:vAlign w:val="center"/>
          </w:tcPr>
          <w:p w:rsidR="00605C86" w:rsidRPr="004761E0" w:rsidRDefault="00605C86" w:rsidP="00266643">
            <w:pPr>
              <w:ind w:firstLine="0"/>
              <w:jc w:val="left"/>
              <w:rPr>
                <w:sz w:val="20"/>
                <w:szCs w:val="20"/>
              </w:rPr>
            </w:pPr>
            <w:r w:rsidRPr="004761E0">
              <w:rPr>
                <w:sz w:val="20"/>
                <w:szCs w:val="20"/>
              </w:rPr>
              <w:t>Буланова Ольга Леонидовна</w:t>
            </w:r>
          </w:p>
        </w:tc>
        <w:tc>
          <w:tcPr>
            <w:tcW w:w="6652" w:type="dxa"/>
            <w:shd w:val="clear" w:color="auto" w:fill="auto"/>
            <w:vAlign w:val="center"/>
          </w:tcPr>
          <w:p w:rsidR="00605C86" w:rsidRPr="004761E0" w:rsidRDefault="00605C86" w:rsidP="00266643">
            <w:pPr>
              <w:ind w:firstLine="0"/>
              <w:jc w:val="left"/>
              <w:rPr>
                <w:sz w:val="20"/>
                <w:szCs w:val="20"/>
              </w:rPr>
            </w:pPr>
            <w:r w:rsidRPr="004761E0">
              <w:rPr>
                <w:sz w:val="20"/>
                <w:szCs w:val="20"/>
              </w:rPr>
              <w:t>-</w:t>
            </w:r>
          </w:p>
        </w:tc>
      </w:tr>
      <w:tr w:rsidR="00605C86" w:rsidRPr="004761E0" w:rsidTr="00605C86">
        <w:trPr>
          <w:trHeight w:val="292"/>
        </w:trPr>
        <w:tc>
          <w:tcPr>
            <w:tcW w:w="569" w:type="dxa"/>
            <w:shd w:val="clear" w:color="auto" w:fill="auto"/>
            <w:vAlign w:val="center"/>
          </w:tcPr>
          <w:p w:rsidR="00605C86" w:rsidRPr="004761E0" w:rsidRDefault="00605C86" w:rsidP="007076A7">
            <w:pPr>
              <w:pStyle w:val="a5"/>
              <w:numPr>
                <w:ilvl w:val="0"/>
                <w:numId w:val="248"/>
              </w:numPr>
              <w:spacing w:before="60"/>
              <w:jc w:val="left"/>
              <w:rPr>
                <w:sz w:val="20"/>
                <w:szCs w:val="20"/>
              </w:rPr>
            </w:pPr>
          </w:p>
        </w:tc>
        <w:tc>
          <w:tcPr>
            <w:tcW w:w="2702" w:type="dxa"/>
            <w:shd w:val="clear" w:color="auto" w:fill="auto"/>
            <w:vAlign w:val="center"/>
          </w:tcPr>
          <w:p w:rsidR="00605C86" w:rsidRPr="004761E0" w:rsidRDefault="00605C86" w:rsidP="00266643">
            <w:pPr>
              <w:ind w:firstLine="0"/>
              <w:jc w:val="left"/>
              <w:rPr>
                <w:sz w:val="20"/>
                <w:szCs w:val="20"/>
              </w:rPr>
            </w:pPr>
            <w:r w:rsidRPr="004761E0">
              <w:rPr>
                <w:sz w:val="20"/>
                <w:szCs w:val="20"/>
              </w:rPr>
              <w:t>Будыко Марк Леонидович</w:t>
            </w:r>
          </w:p>
        </w:tc>
        <w:tc>
          <w:tcPr>
            <w:tcW w:w="6652" w:type="dxa"/>
            <w:shd w:val="clear" w:color="auto" w:fill="auto"/>
            <w:vAlign w:val="center"/>
          </w:tcPr>
          <w:p w:rsidR="00605C86" w:rsidRPr="004761E0" w:rsidRDefault="00605C86" w:rsidP="00266643">
            <w:pPr>
              <w:ind w:firstLine="0"/>
              <w:jc w:val="left"/>
              <w:rPr>
                <w:sz w:val="20"/>
                <w:szCs w:val="20"/>
              </w:rPr>
            </w:pPr>
            <w:r w:rsidRPr="004761E0">
              <w:rPr>
                <w:sz w:val="20"/>
                <w:szCs w:val="20"/>
              </w:rPr>
              <w:t xml:space="preserve">Заместитель генерального директора по логистике и МТО </w:t>
            </w:r>
            <w:r w:rsidR="0008080E">
              <w:rPr>
                <w:sz w:val="20"/>
                <w:szCs w:val="20"/>
              </w:rPr>
              <w:t>ОАО </w:t>
            </w:r>
            <w:r w:rsidRPr="004761E0">
              <w:rPr>
                <w:sz w:val="20"/>
                <w:szCs w:val="20"/>
              </w:rPr>
              <w:t>«МОЭСК»</w:t>
            </w:r>
          </w:p>
        </w:tc>
      </w:tr>
      <w:tr w:rsidR="00605C86" w:rsidRPr="004761E0" w:rsidTr="00605C86">
        <w:trPr>
          <w:trHeight w:val="448"/>
        </w:trPr>
        <w:tc>
          <w:tcPr>
            <w:tcW w:w="569" w:type="dxa"/>
            <w:shd w:val="clear" w:color="auto" w:fill="auto"/>
            <w:vAlign w:val="center"/>
          </w:tcPr>
          <w:p w:rsidR="00605C86" w:rsidRPr="004761E0" w:rsidRDefault="00605C86" w:rsidP="007076A7">
            <w:pPr>
              <w:pStyle w:val="a5"/>
              <w:numPr>
                <w:ilvl w:val="0"/>
                <w:numId w:val="248"/>
              </w:numPr>
              <w:spacing w:before="60"/>
              <w:jc w:val="left"/>
              <w:rPr>
                <w:sz w:val="20"/>
                <w:szCs w:val="20"/>
              </w:rPr>
            </w:pPr>
          </w:p>
        </w:tc>
        <w:tc>
          <w:tcPr>
            <w:tcW w:w="2702" w:type="dxa"/>
            <w:shd w:val="clear" w:color="auto" w:fill="auto"/>
            <w:vAlign w:val="center"/>
          </w:tcPr>
          <w:p w:rsidR="00605C86" w:rsidRPr="004761E0" w:rsidRDefault="00605C86" w:rsidP="00266643">
            <w:pPr>
              <w:ind w:firstLine="0"/>
              <w:jc w:val="left"/>
              <w:rPr>
                <w:sz w:val="20"/>
                <w:szCs w:val="20"/>
              </w:rPr>
            </w:pPr>
            <w:r w:rsidRPr="004761E0">
              <w:rPr>
                <w:sz w:val="20"/>
                <w:szCs w:val="20"/>
              </w:rPr>
              <w:t>Войнов Роман Владимирович</w:t>
            </w:r>
          </w:p>
        </w:tc>
        <w:tc>
          <w:tcPr>
            <w:tcW w:w="6652" w:type="dxa"/>
            <w:shd w:val="clear" w:color="auto" w:fill="auto"/>
            <w:vAlign w:val="center"/>
          </w:tcPr>
          <w:p w:rsidR="00605C86" w:rsidRPr="004761E0" w:rsidRDefault="00605C86" w:rsidP="00266643">
            <w:pPr>
              <w:ind w:firstLine="0"/>
              <w:jc w:val="left"/>
              <w:rPr>
                <w:sz w:val="20"/>
                <w:szCs w:val="20"/>
              </w:rPr>
            </w:pPr>
            <w:r w:rsidRPr="004761E0">
              <w:rPr>
                <w:sz w:val="20"/>
                <w:szCs w:val="20"/>
              </w:rPr>
              <w:t xml:space="preserve">Заместитель генерального директора - директор филиала «Московские кабельные сети» </w:t>
            </w:r>
            <w:r w:rsidR="0008080E">
              <w:rPr>
                <w:sz w:val="20"/>
                <w:szCs w:val="20"/>
              </w:rPr>
              <w:t>ОАО </w:t>
            </w:r>
            <w:r w:rsidRPr="004761E0">
              <w:rPr>
                <w:sz w:val="20"/>
                <w:szCs w:val="20"/>
              </w:rPr>
              <w:t>«МОЭСК»</w:t>
            </w:r>
          </w:p>
        </w:tc>
      </w:tr>
      <w:tr w:rsidR="00605C86" w:rsidRPr="004761E0" w:rsidTr="00605C86">
        <w:trPr>
          <w:trHeight w:val="438"/>
        </w:trPr>
        <w:tc>
          <w:tcPr>
            <w:tcW w:w="569" w:type="dxa"/>
            <w:shd w:val="clear" w:color="auto" w:fill="auto"/>
            <w:vAlign w:val="center"/>
          </w:tcPr>
          <w:p w:rsidR="00605C86" w:rsidRPr="004761E0" w:rsidRDefault="00605C86" w:rsidP="007076A7">
            <w:pPr>
              <w:pStyle w:val="a5"/>
              <w:numPr>
                <w:ilvl w:val="0"/>
                <w:numId w:val="248"/>
              </w:numPr>
              <w:spacing w:before="60"/>
              <w:jc w:val="left"/>
              <w:rPr>
                <w:sz w:val="20"/>
                <w:szCs w:val="20"/>
              </w:rPr>
            </w:pPr>
          </w:p>
        </w:tc>
        <w:tc>
          <w:tcPr>
            <w:tcW w:w="2702" w:type="dxa"/>
            <w:shd w:val="clear" w:color="auto" w:fill="auto"/>
            <w:vAlign w:val="center"/>
          </w:tcPr>
          <w:p w:rsidR="00605C86" w:rsidRPr="004761E0" w:rsidRDefault="00605C86" w:rsidP="00266643">
            <w:pPr>
              <w:ind w:firstLine="0"/>
              <w:jc w:val="left"/>
              <w:rPr>
                <w:sz w:val="20"/>
                <w:szCs w:val="20"/>
              </w:rPr>
            </w:pPr>
            <w:r w:rsidRPr="004761E0">
              <w:rPr>
                <w:sz w:val="20"/>
                <w:szCs w:val="20"/>
              </w:rPr>
              <w:t>Иноземцев Александр Валерьевич</w:t>
            </w:r>
          </w:p>
        </w:tc>
        <w:tc>
          <w:tcPr>
            <w:tcW w:w="6652" w:type="dxa"/>
            <w:shd w:val="clear" w:color="auto" w:fill="auto"/>
            <w:vAlign w:val="center"/>
          </w:tcPr>
          <w:p w:rsidR="00605C86" w:rsidRPr="004761E0" w:rsidRDefault="00605C86" w:rsidP="00E93459">
            <w:pPr>
              <w:ind w:firstLine="0"/>
              <w:jc w:val="left"/>
              <w:rPr>
                <w:sz w:val="20"/>
                <w:szCs w:val="20"/>
              </w:rPr>
            </w:pPr>
            <w:r w:rsidRPr="004761E0">
              <w:rPr>
                <w:sz w:val="20"/>
                <w:szCs w:val="20"/>
              </w:rPr>
              <w:t xml:space="preserve">Первый заместитель генерального директора по финансово-экономической деятельности и корпоративному управлению </w:t>
            </w:r>
            <w:r w:rsidR="0008080E">
              <w:rPr>
                <w:sz w:val="20"/>
                <w:szCs w:val="20"/>
              </w:rPr>
              <w:t>ОАО </w:t>
            </w:r>
            <w:r w:rsidRPr="004761E0">
              <w:rPr>
                <w:sz w:val="20"/>
                <w:szCs w:val="20"/>
              </w:rPr>
              <w:t>«МОЭСК»</w:t>
            </w:r>
          </w:p>
        </w:tc>
      </w:tr>
      <w:tr w:rsidR="00605C86" w:rsidRPr="004761E0" w:rsidTr="00605C86">
        <w:trPr>
          <w:trHeight w:val="302"/>
        </w:trPr>
        <w:tc>
          <w:tcPr>
            <w:tcW w:w="569" w:type="dxa"/>
            <w:shd w:val="clear" w:color="auto" w:fill="auto"/>
            <w:vAlign w:val="center"/>
          </w:tcPr>
          <w:p w:rsidR="00605C86" w:rsidRPr="004761E0" w:rsidRDefault="00605C86" w:rsidP="007076A7">
            <w:pPr>
              <w:pStyle w:val="a5"/>
              <w:numPr>
                <w:ilvl w:val="0"/>
                <w:numId w:val="248"/>
              </w:numPr>
              <w:spacing w:before="60"/>
              <w:jc w:val="left"/>
              <w:rPr>
                <w:sz w:val="20"/>
                <w:szCs w:val="20"/>
              </w:rPr>
            </w:pPr>
          </w:p>
        </w:tc>
        <w:tc>
          <w:tcPr>
            <w:tcW w:w="2702" w:type="dxa"/>
            <w:shd w:val="clear" w:color="auto" w:fill="auto"/>
            <w:vAlign w:val="center"/>
          </w:tcPr>
          <w:p w:rsidR="00605C86" w:rsidRPr="004761E0" w:rsidRDefault="00605C86" w:rsidP="00266643">
            <w:pPr>
              <w:tabs>
                <w:tab w:val="left" w:pos="1134"/>
              </w:tabs>
              <w:ind w:left="34" w:hanging="6"/>
              <w:jc w:val="left"/>
              <w:rPr>
                <w:sz w:val="20"/>
                <w:szCs w:val="20"/>
              </w:rPr>
            </w:pPr>
            <w:r w:rsidRPr="004761E0">
              <w:rPr>
                <w:sz w:val="20"/>
                <w:szCs w:val="20"/>
              </w:rPr>
              <w:t>Кадацкий Валерий Леонидович</w:t>
            </w:r>
          </w:p>
        </w:tc>
        <w:tc>
          <w:tcPr>
            <w:tcW w:w="6652" w:type="dxa"/>
            <w:shd w:val="clear" w:color="auto" w:fill="auto"/>
            <w:vAlign w:val="center"/>
          </w:tcPr>
          <w:p w:rsidR="00605C86" w:rsidRPr="004761E0" w:rsidRDefault="00605C86" w:rsidP="00266643">
            <w:pPr>
              <w:ind w:firstLine="0"/>
              <w:jc w:val="left"/>
              <w:rPr>
                <w:sz w:val="20"/>
                <w:szCs w:val="20"/>
              </w:rPr>
            </w:pPr>
            <w:r w:rsidRPr="004761E0">
              <w:rPr>
                <w:sz w:val="20"/>
                <w:szCs w:val="20"/>
              </w:rPr>
              <w:t xml:space="preserve">Заместитель генерального директора по безопасности </w:t>
            </w:r>
            <w:r w:rsidR="0008080E">
              <w:rPr>
                <w:sz w:val="20"/>
                <w:szCs w:val="20"/>
              </w:rPr>
              <w:t>ОАО </w:t>
            </w:r>
            <w:r w:rsidRPr="004761E0">
              <w:rPr>
                <w:sz w:val="20"/>
                <w:szCs w:val="20"/>
              </w:rPr>
              <w:t>«МОЭСК»</w:t>
            </w:r>
          </w:p>
        </w:tc>
      </w:tr>
      <w:tr w:rsidR="00605C86" w:rsidRPr="004761E0" w:rsidTr="00605C86">
        <w:trPr>
          <w:trHeight w:val="185"/>
        </w:trPr>
        <w:tc>
          <w:tcPr>
            <w:tcW w:w="569" w:type="dxa"/>
            <w:shd w:val="clear" w:color="auto" w:fill="auto"/>
            <w:vAlign w:val="center"/>
          </w:tcPr>
          <w:p w:rsidR="00605C86" w:rsidRPr="004761E0" w:rsidRDefault="00605C86" w:rsidP="007076A7">
            <w:pPr>
              <w:pStyle w:val="a5"/>
              <w:numPr>
                <w:ilvl w:val="0"/>
                <w:numId w:val="248"/>
              </w:numPr>
              <w:spacing w:before="60"/>
              <w:jc w:val="left"/>
              <w:rPr>
                <w:sz w:val="20"/>
                <w:szCs w:val="20"/>
              </w:rPr>
            </w:pPr>
          </w:p>
        </w:tc>
        <w:tc>
          <w:tcPr>
            <w:tcW w:w="2702" w:type="dxa"/>
            <w:shd w:val="clear" w:color="auto" w:fill="auto"/>
            <w:vAlign w:val="center"/>
          </w:tcPr>
          <w:p w:rsidR="00605C86" w:rsidRPr="004761E0" w:rsidRDefault="00605C86" w:rsidP="00266643">
            <w:pPr>
              <w:tabs>
                <w:tab w:val="left" w:pos="1134"/>
              </w:tabs>
              <w:ind w:left="34" w:hanging="6"/>
              <w:jc w:val="left"/>
              <w:rPr>
                <w:sz w:val="20"/>
                <w:szCs w:val="20"/>
              </w:rPr>
            </w:pPr>
            <w:r w:rsidRPr="004761E0">
              <w:rPr>
                <w:sz w:val="20"/>
                <w:szCs w:val="20"/>
              </w:rPr>
              <w:t>Кренева Надежда Анатольевна</w:t>
            </w:r>
          </w:p>
        </w:tc>
        <w:tc>
          <w:tcPr>
            <w:tcW w:w="6652" w:type="dxa"/>
            <w:shd w:val="clear" w:color="auto" w:fill="auto"/>
            <w:vAlign w:val="center"/>
          </w:tcPr>
          <w:p w:rsidR="00605C86" w:rsidRPr="004761E0" w:rsidRDefault="00605C86" w:rsidP="00E93459">
            <w:pPr>
              <w:ind w:firstLine="0"/>
              <w:jc w:val="left"/>
              <w:rPr>
                <w:sz w:val="20"/>
                <w:szCs w:val="20"/>
              </w:rPr>
            </w:pPr>
            <w:r w:rsidRPr="004761E0">
              <w:rPr>
                <w:sz w:val="20"/>
                <w:szCs w:val="20"/>
              </w:rPr>
              <w:t xml:space="preserve">Заместитель генерального директора по управлению персоналом </w:t>
            </w:r>
            <w:r w:rsidR="0008080E">
              <w:rPr>
                <w:sz w:val="20"/>
                <w:szCs w:val="20"/>
              </w:rPr>
              <w:t>ОАО </w:t>
            </w:r>
            <w:r w:rsidRPr="004761E0">
              <w:rPr>
                <w:sz w:val="20"/>
                <w:szCs w:val="20"/>
              </w:rPr>
              <w:t>«МОЭСК»</w:t>
            </w:r>
          </w:p>
        </w:tc>
      </w:tr>
      <w:tr w:rsidR="00605C86" w:rsidRPr="004761E0" w:rsidTr="00605C86">
        <w:trPr>
          <w:trHeight w:val="94"/>
        </w:trPr>
        <w:tc>
          <w:tcPr>
            <w:tcW w:w="569" w:type="dxa"/>
            <w:shd w:val="clear" w:color="auto" w:fill="auto"/>
            <w:vAlign w:val="center"/>
          </w:tcPr>
          <w:p w:rsidR="00605C86" w:rsidRPr="004761E0" w:rsidRDefault="00605C86" w:rsidP="007076A7">
            <w:pPr>
              <w:pStyle w:val="a5"/>
              <w:numPr>
                <w:ilvl w:val="0"/>
                <w:numId w:val="248"/>
              </w:numPr>
              <w:spacing w:before="60"/>
              <w:jc w:val="left"/>
              <w:rPr>
                <w:sz w:val="20"/>
                <w:szCs w:val="20"/>
              </w:rPr>
            </w:pPr>
          </w:p>
        </w:tc>
        <w:tc>
          <w:tcPr>
            <w:tcW w:w="2702" w:type="dxa"/>
            <w:shd w:val="clear" w:color="auto" w:fill="auto"/>
            <w:vAlign w:val="center"/>
          </w:tcPr>
          <w:p w:rsidR="00605C86" w:rsidRPr="004761E0" w:rsidRDefault="00605C86" w:rsidP="00266643">
            <w:pPr>
              <w:tabs>
                <w:tab w:val="left" w:pos="1134"/>
              </w:tabs>
              <w:ind w:left="34" w:hanging="6"/>
              <w:jc w:val="left"/>
              <w:rPr>
                <w:sz w:val="20"/>
                <w:szCs w:val="20"/>
              </w:rPr>
            </w:pPr>
            <w:r w:rsidRPr="004761E0">
              <w:rPr>
                <w:sz w:val="20"/>
                <w:szCs w:val="20"/>
              </w:rPr>
              <w:t xml:space="preserve">Панин Александр </w:t>
            </w:r>
            <w:r w:rsidRPr="004761E0">
              <w:rPr>
                <w:sz w:val="20"/>
                <w:szCs w:val="20"/>
              </w:rPr>
              <w:lastRenderedPageBreak/>
              <w:t>Александрович</w:t>
            </w:r>
          </w:p>
        </w:tc>
        <w:tc>
          <w:tcPr>
            <w:tcW w:w="6652" w:type="dxa"/>
            <w:shd w:val="clear" w:color="auto" w:fill="auto"/>
            <w:vAlign w:val="center"/>
          </w:tcPr>
          <w:p w:rsidR="00605C86" w:rsidRPr="004761E0" w:rsidRDefault="00605C86" w:rsidP="00E93459">
            <w:pPr>
              <w:ind w:firstLine="0"/>
              <w:jc w:val="left"/>
              <w:rPr>
                <w:sz w:val="20"/>
                <w:szCs w:val="20"/>
              </w:rPr>
            </w:pPr>
            <w:r w:rsidRPr="004761E0">
              <w:rPr>
                <w:sz w:val="20"/>
                <w:szCs w:val="20"/>
              </w:rPr>
              <w:lastRenderedPageBreak/>
              <w:t xml:space="preserve">Заместитель генерального директора по правовым вопросам </w:t>
            </w:r>
            <w:r w:rsidR="0008080E">
              <w:rPr>
                <w:sz w:val="20"/>
                <w:szCs w:val="20"/>
              </w:rPr>
              <w:lastRenderedPageBreak/>
              <w:t>ОАО </w:t>
            </w:r>
            <w:r w:rsidRPr="004761E0">
              <w:rPr>
                <w:sz w:val="20"/>
                <w:szCs w:val="20"/>
              </w:rPr>
              <w:t>«МОЭСК»</w:t>
            </w:r>
          </w:p>
        </w:tc>
      </w:tr>
      <w:tr w:rsidR="00605C86" w:rsidRPr="004761E0" w:rsidTr="00605C86">
        <w:trPr>
          <w:trHeight w:val="94"/>
        </w:trPr>
        <w:tc>
          <w:tcPr>
            <w:tcW w:w="569" w:type="dxa"/>
            <w:shd w:val="clear" w:color="auto" w:fill="auto"/>
            <w:vAlign w:val="center"/>
          </w:tcPr>
          <w:p w:rsidR="00605C86" w:rsidRPr="004761E0" w:rsidRDefault="00605C86" w:rsidP="007076A7">
            <w:pPr>
              <w:pStyle w:val="a5"/>
              <w:numPr>
                <w:ilvl w:val="0"/>
                <w:numId w:val="248"/>
              </w:numPr>
              <w:spacing w:before="60"/>
              <w:jc w:val="left"/>
              <w:rPr>
                <w:sz w:val="20"/>
                <w:szCs w:val="20"/>
              </w:rPr>
            </w:pPr>
          </w:p>
        </w:tc>
        <w:tc>
          <w:tcPr>
            <w:tcW w:w="2702" w:type="dxa"/>
            <w:shd w:val="clear" w:color="auto" w:fill="auto"/>
            <w:vAlign w:val="center"/>
          </w:tcPr>
          <w:p w:rsidR="00605C86" w:rsidRPr="004761E0" w:rsidRDefault="00605C86" w:rsidP="00266643">
            <w:pPr>
              <w:tabs>
                <w:tab w:val="left" w:pos="1134"/>
              </w:tabs>
              <w:ind w:left="34" w:hanging="6"/>
              <w:jc w:val="left"/>
              <w:rPr>
                <w:sz w:val="20"/>
                <w:szCs w:val="20"/>
              </w:rPr>
            </w:pPr>
            <w:r w:rsidRPr="004761E0">
              <w:rPr>
                <w:sz w:val="20"/>
                <w:szCs w:val="20"/>
              </w:rPr>
              <w:t>Романовский Сергей Петрович</w:t>
            </w:r>
          </w:p>
        </w:tc>
        <w:tc>
          <w:tcPr>
            <w:tcW w:w="6652" w:type="dxa"/>
            <w:shd w:val="clear" w:color="auto" w:fill="auto"/>
            <w:vAlign w:val="center"/>
          </w:tcPr>
          <w:p w:rsidR="00605C86" w:rsidRPr="004761E0" w:rsidRDefault="00605C86" w:rsidP="00E93459">
            <w:pPr>
              <w:ind w:firstLine="0"/>
              <w:jc w:val="left"/>
              <w:rPr>
                <w:sz w:val="20"/>
                <w:szCs w:val="20"/>
              </w:rPr>
            </w:pPr>
            <w:r w:rsidRPr="004761E0">
              <w:rPr>
                <w:sz w:val="20"/>
                <w:szCs w:val="20"/>
              </w:rPr>
              <w:t xml:space="preserve">Заместитель генерального директора по капитальному строительству </w:t>
            </w:r>
            <w:r w:rsidR="0008080E">
              <w:rPr>
                <w:sz w:val="20"/>
                <w:szCs w:val="20"/>
              </w:rPr>
              <w:t>ОАО </w:t>
            </w:r>
            <w:r w:rsidRPr="004761E0">
              <w:rPr>
                <w:sz w:val="20"/>
                <w:szCs w:val="20"/>
              </w:rPr>
              <w:t>«МОЭСК»</w:t>
            </w:r>
          </w:p>
        </w:tc>
      </w:tr>
      <w:tr w:rsidR="00605C86" w:rsidRPr="004761E0" w:rsidTr="00605C86">
        <w:trPr>
          <w:trHeight w:val="94"/>
        </w:trPr>
        <w:tc>
          <w:tcPr>
            <w:tcW w:w="569" w:type="dxa"/>
            <w:shd w:val="clear" w:color="auto" w:fill="auto"/>
            <w:vAlign w:val="center"/>
          </w:tcPr>
          <w:p w:rsidR="00605C86" w:rsidRPr="004761E0" w:rsidRDefault="00605C86" w:rsidP="007076A7">
            <w:pPr>
              <w:pStyle w:val="a5"/>
              <w:numPr>
                <w:ilvl w:val="0"/>
                <w:numId w:val="248"/>
              </w:numPr>
              <w:spacing w:before="60"/>
              <w:jc w:val="left"/>
              <w:rPr>
                <w:sz w:val="20"/>
                <w:szCs w:val="20"/>
              </w:rPr>
            </w:pPr>
          </w:p>
        </w:tc>
        <w:tc>
          <w:tcPr>
            <w:tcW w:w="2702" w:type="dxa"/>
            <w:shd w:val="clear" w:color="auto" w:fill="auto"/>
            <w:vAlign w:val="center"/>
          </w:tcPr>
          <w:p w:rsidR="00605C86" w:rsidRPr="004761E0" w:rsidRDefault="00605C86" w:rsidP="00266643">
            <w:pPr>
              <w:tabs>
                <w:tab w:val="left" w:pos="1134"/>
              </w:tabs>
              <w:ind w:left="34" w:hanging="6"/>
              <w:jc w:val="left"/>
              <w:rPr>
                <w:sz w:val="20"/>
                <w:szCs w:val="20"/>
              </w:rPr>
            </w:pPr>
            <w:r w:rsidRPr="004761E0">
              <w:rPr>
                <w:sz w:val="20"/>
                <w:szCs w:val="20"/>
              </w:rPr>
              <w:t>Старостин Алексей Сергеевич</w:t>
            </w:r>
          </w:p>
        </w:tc>
        <w:tc>
          <w:tcPr>
            <w:tcW w:w="6652" w:type="dxa"/>
            <w:shd w:val="clear" w:color="auto" w:fill="auto"/>
            <w:vAlign w:val="center"/>
          </w:tcPr>
          <w:p w:rsidR="00605C86" w:rsidRPr="004761E0" w:rsidRDefault="00605C86" w:rsidP="00266643">
            <w:pPr>
              <w:ind w:firstLine="0"/>
              <w:jc w:val="left"/>
              <w:rPr>
                <w:sz w:val="20"/>
                <w:szCs w:val="20"/>
              </w:rPr>
            </w:pPr>
            <w:r w:rsidRPr="004761E0">
              <w:rPr>
                <w:sz w:val="20"/>
                <w:szCs w:val="20"/>
              </w:rPr>
              <w:t xml:space="preserve">Заместитель генерального директора по корпоративному управлению и собственности </w:t>
            </w:r>
            <w:r w:rsidR="0008080E">
              <w:rPr>
                <w:sz w:val="20"/>
                <w:szCs w:val="20"/>
              </w:rPr>
              <w:t>ОАО </w:t>
            </w:r>
            <w:r w:rsidRPr="004761E0">
              <w:rPr>
                <w:sz w:val="20"/>
                <w:szCs w:val="20"/>
              </w:rPr>
              <w:t>«МОЭСК»</w:t>
            </w:r>
          </w:p>
        </w:tc>
      </w:tr>
      <w:tr w:rsidR="00605C86" w:rsidRPr="004761E0" w:rsidTr="00605C86">
        <w:trPr>
          <w:trHeight w:val="94"/>
        </w:trPr>
        <w:tc>
          <w:tcPr>
            <w:tcW w:w="569" w:type="dxa"/>
            <w:shd w:val="clear" w:color="auto" w:fill="auto"/>
            <w:vAlign w:val="center"/>
          </w:tcPr>
          <w:p w:rsidR="00605C86" w:rsidRPr="004761E0" w:rsidRDefault="00605C86" w:rsidP="007076A7">
            <w:pPr>
              <w:pStyle w:val="a5"/>
              <w:numPr>
                <w:ilvl w:val="0"/>
                <w:numId w:val="248"/>
              </w:numPr>
              <w:spacing w:before="60"/>
              <w:jc w:val="left"/>
              <w:rPr>
                <w:sz w:val="20"/>
                <w:szCs w:val="20"/>
              </w:rPr>
            </w:pPr>
          </w:p>
        </w:tc>
        <w:tc>
          <w:tcPr>
            <w:tcW w:w="2702" w:type="dxa"/>
            <w:shd w:val="clear" w:color="auto" w:fill="auto"/>
            <w:vAlign w:val="center"/>
          </w:tcPr>
          <w:p w:rsidR="00605C86" w:rsidRPr="004761E0" w:rsidRDefault="00605C86" w:rsidP="00266643">
            <w:pPr>
              <w:tabs>
                <w:tab w:val="left" w:pos="1134"/>
              </w:tabs>
              <w:ind w:left="34" w:hanging="6"/>
              <w:jc w:val="left"/>
              <w:rPr>
                <w:sz w:val="20"/>
                <w:szCs w:val="20"/>
              </w:rPr>
            </w:pPr>
            <w:r w:rsidRPr="004761E0">
              <w:rPr>
                <w:sz w:val="20"/>
                <w:szCs w:val="20"/>
              </w:rPr>
              <w:t>Хацкевич Станислав Феликсович</w:t>
            </w:r>
          </w:p>
        </w:tc>
        <w:tc>
          <w:tcPr>
            <w:tcW w:w="6652" w:type="dxa"/>
            <w:shd w:val="clear" w:color="auto" w:fill="auto"/>
            <w:vAlign w:val="center"/>
          </w:tcPr>
          <w:p w:rsidR="00605C86" w:rsidRPr="004761E0" w:rsidRDefault="00605C86" w:rsidP="00266643">
            <w:pPr>
              <w:ind w:firstLine="0"/>
              <w:jc w:val="left"/>
              <w:rPr>
                <w:sz w:val="20"/>
                <w:szCs w:val="20"/>
              </w:rPr>
            </w:pPr>
            <w:r w:rsidRPr="004761E0">
              <w:rPr>
                <w:sz w:val="20"/>
                <w:szCs w:val="20"/>
              </w:rPr>
              <w:t xml:space="preserve">Советник </w:t>
            </w:r>
            <w:r w:rsidR="0008080E">
              <w:rPr>
                <w:sz w:val="20"/>
                <w:szCs w:val="20"/>
              </w:rPr>
              <w:t>ОАО </w:t>
            </w:r>
            <w:r w:rsidRPr="004761E0">
              <w:rPr>
                <w:sz w:val="20"/>
                <w:szCs w:val="20"/>
              </w:rPr>
              <w:t>«МОЭСК»</w:t>
            </w:r>
          </w:p>
        </w:tc>
      </w:tr>
      <w:tr w:rsidR="00605C86" w:rsidRPr="004761E0" w:rsidTr="00605C86">
        <w:trPr>
          <w:trHeight w:val="94"/>
        </w:trPr>
        <w:tc>
          <w:tcPr>
            <w:tcW w:w="569" w:type="dxa"/>
            <w:shd w:val="clear" w:color="auto" w:fill="auto"/>
            <w:vAlign w:val="center"/>
          </w:tcPr>
          <w:p w:rsidR="00605C86" w:rsidRPr="004761E0" w:rsidRDefault="00605C86" w:rsidP="007076A7">
            <w:pPr>
              <w:pStyle w:val="a5"/>
              <w:numPr>
                <w:ilvl w:val="0"/>
                <w:numId w:val="248"/>
              </w:numPr>
              <w:spacing w:before="60"/>
              <w:jc w:val="left"/>
              <w:rPr>
                <w:sz w:val="20"/>
                <w:szCs w:val="20"/>
              </w:rPr>
            </w:pPr>
          </w:p>
        </w:tc>
        <w:tc>
          <w:tcPr>
            <w:tcW w:w="2702" w:type="dxa"/>
            <w:shd w:val="clear" w:color="auto" w:fill="auto"/>
            <w:vAlign w:val="center"/>
          </w:tcPr>
          <w:p w:rsidR="00605C86" w:rsidRPr="004761E0" w:rsidRDefault="00605C86" w:rsidP="00266643">
            <w:pPr>
              <w:tabs>
                <w:tab w:val="left" w:pos="1134"/>
              </w:tabs>
              <w:ind w:left="34" w:hanging="6"/>
              <w:jc w:val="left"/>
              <w:rPr>
                <w:sz w:val="20"/>
                <w:szCs w:val="20"/>
              </w:rPr>
            </w:pPr>
            <w:r w:rsidRPr="004761E0">
              <w:rPr>
                <w:sz w:val="20"/>
                <w:szCs w:val="20"/>
              </w:rPr>
              <w:t>Чегодаев Анатолий Васильевич</w:t>
            </w:r>
          </w:p>
        </w:tc>
        <w:tc>
          <w:tcPr>
            <w:tcW w:w="6652" w:type="dxa"/>
            <w:shd w:val="clear" w:color="auto" w:fill="auto"/>
            <w:vAlign w:val="center"/>
          </w:tcPr>
          <w:p w:rsidR="00605C86" w:rsidRPr="004761E0" w:rsidRDefault="00605C86" w:rsidP="00E93459">
            <w:pPr>
              <w:ind w:firstLine="0"/>
              <w:jc w:val="left"/>
              <w:rPr>
                <w:sz w:val="20"/>
                <w:szCs w:val="20"/>
              </w:rPr>
            </w:pPr>
            <w:r w:rsidRPr="004761E0">
              <w:rPr>
                <w:sz w:val="20"/>
                <w:szCs w:val="20"/>
              </w:rPr>
              <w:t>Первый заместитель генерально</w:t>
            </w:r>
            <w:r w:rsidR="003B2247">
              <w:rPr>
                <w:sz w:val="20"/>
                <w:szCs w:val="20"/>
              </w:rPr>
              <w:t>го директора – г</w:t>
            </w:r>
            <w:r w:rsidRPr="004761E0">
              <w:rPr>
                <w:sz w:val="20"/>
                <w:szCs w:val="20"/>
              </w:rPr>
              <w:t xml:space="preserve">лавный инженер </w:t>
            </w:r>
            <w:r w:rsidR="0008080E">
              <w:rPr>
                <w:sz w:val="20"/>
                <w:szCs w:val="20"/>
              </w:rPr>
              <w:t>ОАО </w:t>
            </w:r>
            <w:r w:rsidRPr="004761E0">
              <w:rPr>
                <w:sz w:val="20"/>
                <w:szCs w:val="20"/>
              </w:rPr>
              <w:t>«МОЭСК»</w:t>
            </w:r>
          </w:p>
        </w:tc>
      </w:tr>
    </w:tbl>
    <w:p w:rsidR="005C4306" w:rsidRPr="00924551" w:rsidRDefault="005C4306" w:rsidP="005C4306">
      <w:pPr>
        <w:ind w:firstLine="567"/>
        <w:rPr>
          <w:sz w:val="26"/>
          <w:szCs w:val="26"/>
        </w:rPr>
      </w:pPr>
      <w:r w:rsidRPr="00924551">
        <w:rPr>
          <w:rFonts w:eastAsia="Times New Roman"/>
          <w:iCs/>
          <w:color w:val="000000"/>
          <w:sz w:val="26"/>
          <w:szCs w:val="26"/>
          <w:lang w:eastAsia="ru-RU"/>
        </w:rPr>
        <w:t xml:space="preserve">Подробная информация </w:t>
      </w:r>
      <w:r>
        <w:rPr>
          <w:rFonts w:eastAsia="Times New Roman"/>
          <w:iCs/>
          <w:color w:val="000000"/>
          <w:sz w:val="26"/>
          <w:szCs w:val="26"/>
          <w:lang w:eastAsia="ru-RU"/>
        </w:rPr>
        <w:t>о</w:t>
      </w:r>
      <w:r w:rsidRPr="00924551">
        <w:rPr>
          <w:rFonts w:eastAsia="Times New Roman"/>
          <w:iCs/>
          <w:color w:val="000000"/>
          <w:sz w:val="26"/>
          <w:szCs w:val="26"/>
          <w:lang w:eastAsia="ru-RU"/>
        </w:rPr>
        <w:t xml:space="preserve"> член</w:t>
      </w:r>
      <w:r>
        <w:rPr>
          <w:rFonts w:eastAsia="Times New Roman"/>
          <w:iCs/>
          <w:color w:val="000000"/>
          <w:sz w:val="26"/>
          <w:szCs w:val="26"/>
          <w:lang w:eastAsia="ru-RU"/>
        </w:rPr>
        <w:t>ах Правления</w:t>
      </w:r>
      <w:r w:rsidRPr="00924551">
        <w:rPr>
          <w:rFonts w:eastAsia="Times New Roman"/>
          <w:iCs/>
          <w:color w:val="000000"/>
          <w:sz w:val="26"/>
          <w:szCs w:val="26"/>
          <w:lang w:eastAsia="ru-RU"/>
        </w:rPr>
        <w:t xml:space="preserve"> представлена в Приложении 12.</w:t>
      </w:r>
      <w:r w:rsidR="003146BC">
        <w:rPr>
          <w:rFonts w:eastAsia="Times New Roman"/>
          <w:iCs/>
          <w:color w:val="000000"/>
          <w:sz w:val="26"/>
          <w:szCs w:val="26"/>
          <w:lang w:eastAsia="ru-RU"/>
        </w:rPr>
        <w:t>3</w:t>
      </w:r>
      <w:r w:rsidRPr="00924551">
        <w:rPr>
          <w:rFonts w:eastAsia="Times New Roman"/>
          <w:iCs/>
          <w:color w:val="000000"/>
          <w:sz w:val="26"/>
          <w:szCs w:val="26"/>
          <w:lang w:eastAsia="ru-RU"/>
        </w:rPr>
        <w:t>. к Годовому отчету.</w:t>
      </w:r>
    </w:p>
    <w:p w:rsidR="00686764" w:rsidRPr="00743B24" w:rsidRDefault="00686764" w:rsidP="00743B24">
      <w:pPr>
        <w:spacing w:before="120" w:after="120"/>
        <w:ind w:firstLine="567"/>
        <w:rPr>
          <w:b/>
          <w:sz w:val="26"/>
          <w:szCs w:val="26"/>
          <w:lang w:eastAsia="ru-RU"/>
        </w:rPr>
      </w:pPr>
      <w:r w:rsidRPr="00743B24">
        <w:rPr>
          <w:b/>
          <w:sz w:val="26"/>
          <w:szCs w:val="26"/>
          <w:lang w:eastAsia="ru-RU"/>
        </w:rPr>
        <w:t>Результаты деятельности Правления</w:t>
      </w:r>
    </w:p>
    <w:p w:rsidR="00686764" w:rsidRPr="004761E0" w:rsidRDefault="00686764" w:rsidP="00686764">
      <w:pPr>
        <w:spacing w:after="120"/>
        <w:ind w:firstLine="567"/>
        <w:rPr>
          <w:rFonts w:eastAsia="Times New Roman"/>
          <w:iCs/>
          <w:color w:val="000000"/>
          <w:sz w:val="26"/>
          <w:szCs w:val="26"/>
          <w:lang w:eastAsia="ru-RU"/>
        </w:rPr>
      </w:pPr>
      <w:r w:rsidRPr="004761E0">
        <w:rPr>
          <w:rFonts w:eastAsia="Times New Roman"/>
          <w:iCs/>
          <w:color w:val="000000"/>
          <w:sz w:val="26"/>
          <w:szCs w:val="26"/>
          <w:lang w:eastAsia="ru-RU"/>
        </w:rPr>
        <w:t>Основные решения, принятые Правлением в 2013 году:</w:t>
      </w:r>
    </w:p>
    <w:tbl>
      <w:tblPr>
        <w:tblStyle w:val="ae"/>
        <w:tblW w:w="0" w:type="auto"/>
        <w:tblInd w:w="108" w:type="dxa"/>
        <w:tblLayout w:type="fixed"/>
        <w:tblLook w:val="04A0"/>
      </w:tblPr>
      <w:tblGrid>
        <w:gridCol w:w="567"/>
        <w:gridCol w:w="5670"/>
        <w:gridCol w:w="1134"/>
        <w:gridCol w:w="1276"/>
        <w:gridCol w:w="1241"/>
      </w:tblGrid>
      <w:tr w:rsidR="00686764" w:rsidRPr="004761E0" w:rsidTr="00686764">
        <w:tc>
          <w:tcPr>
            <w:tcW w:w="567" w:type="dxa"/>
            <w:tcBorders>
              <w:right w:val="single" w:sz="4" w:space="0" w:color="FFFFFF" w:themeColor="background1"/>
            </w:tcBorders>
            <w:shd w:val="clear" w:color="auto" w:fill="0F243E" w:themeFill="text2" w:themeFillShade="80"/>
            <w:vAlign w:val="center"/>
          </w:tcPr>
          <w:p w:rsidR="00686764" w:rsidRPr="004761E0" w:rsidRDefault="00686764" w:rsidP="00D50342">
            <w:pPr>
              <w:tabs>
                <w:tab w:val="left" w:pos="709"/>
                <w:tab w:val="left" w:pos="1080"/>
              </w:tabs>
              <w:ind w:firstLine="0"/>
              <w:jc w:val="left"/>
              <w:rPr>
                <w:b/>
                <w:sz w:val="20"/>
                <w:szCs w:val="20"/>
              </w:rPr>
            </w:pPr>
            <w:r w:rsidRPr="004761E0">
              <w:rPr>
                <w:b/>
                <w:sz w:val="20"/>
                <w:szCs w:val="20"/>
              </w:rPr>
              <w:t>№ п/п</w:t>
            </w:r>
          </w:p>
        </w:tc>
        <w:tc>
          <w:tcPr>
            <w:tcW w:w="5670" w:type="dxa"/>
            <w:tcBorders>
              <w:left w:val="single" w:sz="4" w:space="0" w:color="FFFFFF" w:themeColor="background1"/>
              <w:right w:val="single" w:sz="4" w:space="0" w:color="FFFFFF" w:themeColor="background1"/>
            </w:tcBorders>
            <w:shd w:val="clear" w:color="auto" w:fill="0F243E" w:themeFill="text2" w:themeFillShade="80"/>
            <w:vAlign w:val="center"/>
          </w:tcPr>
          <w:p w:rsidR="00686764" w:rsidRPr="004761E0" w:rsidRDefault="00686764" w:rsidP="00D50342">
            <w:pPr>
              <w:tabs>
                <w:tab w:val="left" w:pos="709"/>
                <w:tab w:val="left" w:pos="1080"/>
              </w:tabs>
              <w:ind w:firstLine="0"/>
              <w:jc w:val="left"/>
              <w:rPr>
                <w:b/>
                <w:sz w:val="20"/>
                <w:szCs w:val="20"/>
              </w:rPr>
            </w:pPr>
            <w:r w:rsidRPr="004761E0">
              <w:rPr>
                <w:b/>
                <w:sz w:val="20"/>
                <w:szCs w:val="20"/>
              </w:rPr>
              <w:t>Решения, принятые Правлением в 2013 году</w:t>
            </w:r>
          </w:p>
        </w:tc>
        <w:tc>
          <w:tcPr>
            <w:tcW w:w="1134" w:type="dxa"/>
            <w:tcBorders>
              <w:left w:val="single" w:sz="4" w:space="0" w:color="FFFFFF" w:themeColor="background1"/>
              <w:right w:val="single" w:sz="4" w:space="0" w:color="FFFFFF" w:themeColor="background1"/>
            </w:tcBorders>
            <w:shd w:val="clear" w:color="auto" w:fill="0F243E" w:themeFill="text2" w:themeFillShade="80"/>
          </w:tcPr>
          <w:p w:rsidR="00686764" w:rsidRPr="004761E0" w:rsidRDefault="00686764" w:rsidP="00266643">
            <w:pPr>
              <w:tabs>
                <w:tab w:val="left" w:pos="709"/>
                <w:tab w:val="left" w:pos="1080"/>
              </w:tabs>
              <w:ind w:firstLine="0"/>
              <w:jc w:val="right"/>
              <w:rPr>
                <w:b/>
                <w:sz w:val="20"/>
                <w:szCs w:val="20"/>
              </w:rPr>
            </w:pPr>
            <w:r w:rsidRPr="004761E0">
              <w:rPr>
                <w:b/>
                <w:sz w:val="20"/>
                <w:szCs w:val="20"/>
              </w:rPr>
              <w:t>Дата заседания</w:t>
            </w:r>
          </w:p>
        </w:tc>
        <w:tc>
          <w:tcPr>
            <w:tcW w:w="1276" w:type="dxa"/>
            <w:tcBorders>
              <w:left w:val="single" w:sz="4" w:space="0" w:color="FFFFFF" w:themeColor="background1"/>
              <w:right w:val="single" w:sz="4" w:space="0" w:color="FFFFFF" w:themeColor="background1"/>
            </w:tcBorders>
            <w:shd w:val="clear" w:color="auto" w:fill="0F243E" w:themeFill="text2" w:themeFillShade="80"/>
          </w:tcPr>
          <w:p w:rsidR="00686764" w:rsidRPr="004761E0" w:rsidRDefault="00686764" w:rsidP="00266643">
            <w:pPr>
              <w:tabs>
                <w:tab w:val="left" w:pos="709"/>
                <w:tab w:val="left" w:pos="1080"/>
              </w:tabs>
              <w:ind w:firstLine="0"/>
              <w:jc w:val="right"/>
              <w:rPr>
                <w:b/>
                <w:sz w:val="20"/>
                <w:szCs w:val="20"/>
              </w:rPr>
            </w:pPr>
            <w:r w:rsidRPr="004761E0">
              <w:rPr>
                <w:b/>
                <w:sz w:val="20"/>
                <w:szCs w:val="20"/>
              </w:rPr>
              <w:t xml:space="preserve">№ протокола </w:t>
            </w:r>
          </w:p>
        </w:tc>
        <w:tc>
          <w:tcPr>
            <w:tcW w:w="1241" w:type="dxa"/>
            <w:tcBorders>
              <w:left w:val="single" w:sz="4" w:space="0" w:color="FFFFFF" w:themeColor="background1"/>
            </w:tcBorders>
            <w:shd w:val="clear" w:color="auto" w:fill="0F243E" w:themeFill="text2" w:themeFillShade="80"/>
          </w:tcPr>
          <w:p w:rsidR="00686764" w:rsidRPr="004761E0" w:rsidRDefault="00686764" w:rsidP="00266643">
            <w:pPr>
              <w:tabs>
                <w:tab w:val="left" w:pos="709"/>
                <w:tab w:val="left" w:pos="1080"/>
              </w:tabs>
              <w:ind w:firstLine="0"/>
              <w:jc w:val="right"/>
              <w:rPr>
                <w:b/>
                <w:sz w:val="20"/>
                <w:szCs w:val="20"/>
              </w:rPr>
            </w:pPr>
            <w:r w:rsidRPr="004761E0">
              <w:rPr>
                <w:b/>
                <w:sz w:val="20"/>
                <w:szCs w:val="20"/>
              </w:rPr>
              <w:t xml:space="preserve">Дата протокола </w:t>
            </w:r>
          </w:p>
        </w:tc>
      </w:tr>
      <w:tr w:rsidR="00686764" w:rsidRPr="004761E0" w:rsidTr="00686764">
        <w:trPr>
          <w:trHeight w:val="80"/>
        </w:trPr>
        <w:tc>
          <w:tcPr>
            <w:tcW w:w="9888" w:type="dxa"/>
            <w:gridSpan w:val="5"/>
            <w:shd w:val="clear" w:color="auto" w:fill="D9D9D9" w:themeFill="background1" w:themeFillShade="D9"/>
          </w:tcPr>
          <w:p w:rsidR="00686764" w:rsidRPr="004761E0" w:rsidRDefault="00686764" w:rsidP="00D50342">
            <w:pPr>
              <w:tabs>
                <w:tab w:val="left" w:pos="709"/>
                <w:tab w:val="left" w:pos="1080"/>
              </w:tabs>
              <w:ind w:firstLine="0"/>
              <w:rPr>
                <w:b/>
                <w:sz w:val="20"/>
                <w:szCs w:val="20"/>
              </w:rPr>
            </w:pPr>
            <w:r w:rsidRPr="004761E0">
              <w:rPr>
                <w:b/>
                <w:sz w:val="20"/>
                <w:szCs w:val="20"/>
              </w:rPr>
              <w:t>Приняты следующие ключевые решения</w:t>
            </w:r>
          </w:p>
        </w:tc>
      </w:tr>
      <w:tr w:rsidR="00686764" w:rsidRPr="004761E0" w:rsidTr="00686764">
        <w:tc>
          <w:tcPr>
            <w:tcW w:w="567" w:type="dxa"/>
          </w:tcPr>
          <w:p w:rsidR="00686764" w:rsidRPr="004761E0" w:rsidRDefault="00686764" w:rsidP="007076A7">
            <w:pPr>
              <w:pStyle w:val="a5"/>
              <w:numPr>
                <w:ilvl w:val="0"/>
                <w:numId w:val="217"/>
              </w:numPr>
              <w:tabs>
                <w:tab w:val="left" w:pos="709"/>
                <w:tab w:val="left" w:pos="1080"/>
              </w:tabs>
              <w:rPr>
                <w:b/>
                <w:sz w:val="20"/>
                <w:szCs w:val="20"/>
              </w:rPr>
            </w:pPr>
          </w:p>
        </w:tc>
        <w:tc>
          <w:tcPr>
            <w:tcW w:w="5670" w:type="dxa"/>
          </w:tcPr>
          <w:p w:rsidR="00686764" w:rsidRPr="004761E0" w:rsidRDefault="00686764" w:rsidP="002C5A29">
            <w:pPr>
              <w:ind w:firstLine="0"/>
              <w:rPr>
                <w:sz w:val="20"/>
                <w:szCs w:val="20"/>
              </w:rPr>
            </w:pPr>
            <w:r w:rsidRPr="004761E0">
              <w:rPr>
                <w:sz w:val="20"/>
                <w:szCs w:val="20"/>
              </w:rPr>
              <w:t>Утверждены основные цели и задачи функциональных блоков исполнительного аппарата на 2013 год</w:t>
            </w:r>
          </w:p>
        </w:tc>
        <w:tc>
          <w:tcPr>
            <w:tcW w:w="1134" w:type="dxa"/>
          </w:tcPr>
          <w:p w:rsidR="00686764" w:rsidRPr="004761E0" w:rsidRDefault="00686764" w:rsidP="00D50342">
            <w:pPr>
              <w:tabs>
                <w:tab w:val="left" w:pos="709"/>
                <w:tab w:val="left" w:pos="1080"/>
              </w:tabs>
              <w:ind w:firstLine="0"/>
              <w:jc w:val="right"/>
              <w:rPr>
                <w:sz w:val="20"/>
                <w:szCs w:val="20"/>
              </w:rPr>
            </w:pPr>
            <w:r w:rsidRPr="004761E0">
              <w:rPr>
                <w:sz w:val="20"/>
                <w:szCs w:val="20"/>
              </w:rPr>
              <w:t>28.01.2013</w:t>
            </w:r>
          </w:p>
        </w:tc>
        <w:tc>
          <w:tcPr>
            <w:tcW w:w="1276" w:type="dxa"/>
          </w:tcPr>
          <w:p w:rsidR="00686764" w:rsidRPr="004761E0" w:rsidRDefault="00686764" w:rsidP="00D50342">
            <w:pPr>
              <w:tabs>
                <w:tab w:val="left" w:pos="709"/>
                <w:tab w:val="left" w:pos="1080"/>
              </w:tabs>
              <w:ind w:firstLine="0"/>
              <w:jc w:val="right"/>
              <w:rPr>
                <w:sz w:val="20"/>
                <w:szCs w:val="20"/>
              </w:rPr>
            </w:pPr>
            <w:r w:rsidRPr="004761E0">
              <w:rPr>
                <w:sz w:val="20"/>
                <w:szCs w:val="20"/>
              </w:rPr>
              <w:t>3/13</w:t>
            </w:r>
          </w:p>
        </w:tc>
        <w:tc>
          <w:tcPr>
            <w:tcW w:w="1241" w:type="dxa"/>
          </w:tcPr>
          <w:p w:rsidR="00686764" w:rsidRPr="004761E0" w:rsidRDefault="00686764" w:rsidP="00D50342">
            <w:pPr>
              <w:tabs>
                <w:tab w:val="left" w:pos="709"/>
                <w:tab w:val="left" w:pos="1080"/>
              </w:tabs>
              <w:ind w:firstLine="0"/>
              <w:jc w:val="right"/>
              <w:rPr>
                <w:sz w:val="20"/>
                <w:szCs w:val="20"/>
              </w:rPr>
            </w:pPr>
            <w:r w:rsidRPr="004761E0">
              <w:rPr>
                <w:sz w:val="20"/>
                <w:szCs w:val="20"/>
              </w:rPr>
              <w:t>29.01.2013</w:t>
            </w:r>
          </w:p>
        </w:tc>
      </w:tr>
      <w:tr w:rsidR="00686764" w:rsidRPr="004761E0" w:rsidTr="00686764">
        <w:tc>
          <w:tcPr>
            <w:tcW w:w="567" w:type="dxa"/>
          </w:tcPr>
          <w:p w:rsidR="00686764" w:rsidRPr="004761E0" w:rsidRDefault="00686764" w:rsidP="007076A7">
            <w:pPr>
              <w:pStyle w:val="a5"/>
              <w:numPr>
                <w:ilvl w:val="0"/>
                <w:numId w:val="217"/>
              </w:numPr>
              <w:tabs>
                <w:tab w:val="left" w:pos="709"/>
                <w:tab w:val="left" w:pos="1080"/>
              </w:tabs>
              <w:rPr>
                <w:b/>
                <w:sz w:val="20"/>
                <w:szCs w:val="20"/>
              </w:rPr>
            </w:pPr>
          </w:p>
        </w:tc>
        <w:tc>
          <w:tcPr>
            <w:tcW w:w="5670" w:type="dxa"/>
          </w:tcPr>
          <w:p w:rsidR="00686764" w:rsidRPr="004761E0" w:rsidRDefault="00686764" w:rsidP="002C5A29">
            <w:pPr>
              <w:ind w:firstLine="0"/>
              <w:rPr>
                <w:sz w:val="20"/>
                <w:szCs w:val="20"/>
              </w:rPr>
            </w:pPr>
            <w:r w:rsidRPr="004761E0">
              <w:rPr>
                <w:sz w:val="20"/>
                <w:szCs w:val="20"/>
              </w:rPr>
              <w:t>Одобрена реализация деятельности в области развития электротранспорта</w:t>
            </w:r>
          </w:p>
        </w:tc>
        <w:tc>
          <w:tcPr>
            <w:tcW w:w="1134" w:type="dxa"/>
          </w:tcPr>
          <w:p w:rsidR="00686764" w:rsidRPr="004761E0" w:rsidRDefault="00686764" w:rsidP="00D50342">
            <w:pPr>
              <w:tabs>
                <w:tab w:val="left" w:pos="709"/>
                <w:tab w:val="left" w:pos="1080"/>
              </w:tabs>
              <w:ind w:firstLine="0"/>
              <w:jc w:val="right"/>
              <w:rPr>
                <w:sz w:val="20"/>
                <w:szCs w:val="20"/>
              </w:rPr>
            </w:pPr>
            <w:r w:rsidRPr="004761E0">
              <w:rPr>
                <w:sz w:val="20"/>
                <w:szCs w:val="20"/>
              </w:rPr>
              <w:t>18.02.2013</w:t>
            </w:r>
          </w:p>
        </w:tc>
        <w:tc>
          <w:tcPr>
            <w:tcW w:w="1276" w:type="dxa"/>
          </w:tcPr>
          <w:p w:rsidR="00686764" w:rsidRPr="004761E0" w:rsidRDefault="00686764" w:rsidP="00D50342">
            <w:pPr>
              <w:tabs>
                <w:tab w:val="left" w:pos="709"/>
                <w:tab w:val="left" w:pos="1080"/>
              </w:tabs>
              <w:ind w:firstLine="0"/>
              <w:jc w:val="right"/>
              <w:rPr>
                <w:sz w:val="20"/>
                <w:szCs w:val="20"/>
              </w:rPr>
            </w:pPr>
            <w:r w:rsidRPr="004761E0">
              <w:rPr>
                <w:sz w:val="20"/>
                <w:szCs w:val="20"/>
              </w:rPr>
              <w:t>7/13</w:t>
            </w:r>
          </w:p>
        </w:tc>
        <w:tc>
          <w:tcPr>
            <w:tcW w:w="1241" w:type="dxa"/>
          </w:tcPr>
          <w:p w:rsidR="00686764" w:rsidRPr="004761E0" w:rsidRDefault="00686764" w:rsidP="00D50342">
            <w:pPr>
              <w:tabs>
                <w:tab w:val="left" w:pos="709"/>
                <w:tab w:val="left" w:pos="1080"/>
              </w:tabs>
              <w:ind w:firstLine="0"/>
              <w:jc w:val="right"/>
              <w:rPr>
                <w:sz w:val="20"/>
                <w:szCs w:val="20"/>
              </w:rPr>
            </w:pPr>
            <w:r w:rsidRPr="004761E0">
              <w:rPr>
                <w:sz w:val="20"/>
                <w:szCs w:val="20"/>
              </w:rPr>
              <w:t>19.02.2013</w:t>
            </w:r>
          </w:p>
        </w:tc>
      </w:tr>
      <w:tr w:rsidR="00686764" w:rsidRPr="004761E0" w:rsidTr="00686764">
        <w:tc>
          <w:tcPr>
            <w:tcW w:w="567" w:type="dxa"/>
          </w:tcPr>
          <w:p w:rsidR="00686764" w:rsidRPr="004761E0" w:rsidRDefault="00686764" w:rsidP="007076A7">
            <w:pPr>
              <w:pStyle w:val="a5"/>
              <w:numPr>
                <w:ilvl w:val="0"/>
                <w:numId w:val="217"/>
              </w:numPr>
              <w:tabs>
                <w:tab w:val="left" w:pos="709"/>
                <w:tab w:val="left" w:pos="1080"/>
              </w:tabs>
              <w:rPr>
                <w:b/>
                <w:sz w:val="20"/>
                <w:szCs w:val="20"/>
              </w:rPr>
            </w:pPr>
          </w:p>
        </w:tc>
        <w:tc>
          <w:tcPr>
            <w:tcW w:w="5670" w:type="dxa"/>
          </w:tcPr>
          <w:p w:rsidR="00686764" w:rsidRPr="004761E0" w:rsidRDefault="00686764" w:rsidP="002C5A29">
            <w:pPr>
              <w:ind w:firstLine="0"/>
              <w:rPr>
                <w:sz w:val="20"/>
                <w:szCs w:val="20"/>
              </w:rPr>
            </w:pPr>
            <w:r w:rsidRPr="004761E0">
              <w:rPr>
                <w:sz w:val="20"/>
                <w:szCs w:val="20"/>
              </w:rPr>
              <w:t>Утвержден план профессиональной подготовки, переподготовки и повышения квалификации персонала исполнительного аппарата и филиалов во внешних образовательных учреждениях на 2013 год</w:t>
            </w:r>
          </w:p>
        </w:tc>
        <w:tc>
          <w:tcPr>
            <w:tcW w:w="1134" w:type="dxa"/>
          </w:tcPr>
          <w:p w:rsidR="00686764" w:rsidRPr="004761E0" w:rsidRDefault="00686764" w:rsidP="00D50342">
            <w:pPr>
              <w:tabs>
                <w:tab w:val="left" w:pos="709"/>
                <w:tab w:val="left" w:pos="1080"/>
              </w:tabs>
              <w:ind w:firstLine="0"/>
              <w:jc w:val="right"/>
              <w:rPr>
                <w:sz w:val="20"/>
                <w:szCs w:val="20"/>
              </w:rPr>
            </w:pPr>
            <w:r w:rsidRPr="004761E0">
              <w:rPr>
                <w:sz w:val="20"/>
                <w:szCs w:val="20"/>
              </w:rPr>
              <w:t>14.03.2013</w:t>
            </w:r>
          </w:p>
        </w:tc>
        <w:tc>
          <w:tcPr>
            <w:tcW w:w="1276" w:type="dxa"/>
          </w:tcPr>
          <w:p w:rsidR="00686764" w:rsidRPr="004761E0" w:rsidRDefault="00686764" w:rsidP="00D50342">
            <w:pPr>
              <w:tabs>
                <w:tab w:val="left" w:pos="709"/>
                <w:tab w:val="left" w:pos="1080"/>
              </w:tabs>
              <w:ind w:firstLine="0"/>
              <w:jc w:val="right"/>
              <w:rPr>
                <w:sz w:val="20"/>
                <w:szCs w:val="20"/>
              </w:rPr>
            </w:pPr>
            <w:r w:rsidRPr="004761E0">
              <w:rPr>
                <w:sz w:val="20"/>
                <w:szCs w:val="20"/>
              </w:rPr>
              <w:t>13/13</w:t>
            </w:r>
          </w:p>
        </w:tc>
        <w:tc>
          <w:tcPr>
            <w:tcW w:w="1241" w:type="dxa"/>
          </w:tcPr>
          <w:p w:rsidR="00686764" w:rsidRPr="004761E0" w:rsidRDefault="00686764" w:rsidP="00D50342">
            <w:pPr>
              <w:tabs>
                <w:tab w:val="left" w:pos="709"/>
                <w:tab w:val="left" w:pos="1080"/>
              </w:tabs>
              <w:ind w:firstLine="0"/>
              <w:jc w:val="right"/>
              <w:rPr>
                <w:sz w:val="20"/>
                <w:szCs w:val="20"/>
              </w:rPr>
            </w:pPr>
            <w:r w:rsidRPr="004761E0">
              <w:rPr>
                <w:sz w:val="20"/>
                <w:szCs w:val="20"/>
              </w:rPr>
              <w:t>15.03.2013</w:t>
            </w:r>
          </w:p>
        </w:tc>
      </w:tr>
      <w:tr w:rsidR="00686764" w:rsidRPr="004761E0" w:rsidTr="00686764">
        <w:tc>
          <w:tcPr>
            <w:tcW w:w="567" w:type="dxa"/>
          </w:tcPr>
          <w:p w:rsidR="00686764" w:rsidRPr="004761E0" w:rsidRDefault="00686764" w:rsidP="007076A7">
            <w:pPr>
              <w:pStyle w:val="a5"/>
              <w:numPr>
                <w:ilvl w:val="0"/>
                <w:numId w:val="217"/>
              </w:numPr>
              <w:tabs>
                <w:tab w:val="left" w:pos="709"/>
                <w:tab w:val="left" w:pos="1080"/>
              </w:tabs>
              <w:rPr>
                <w:b/>
                <w:sz w:val="20"/>
                <w:szCs w:val="20"/>
              </w:rPr>
            </w:pPr>
          </w:p>
        </w:tc>
        <w:tc>
          <w:tcPr>
            <w:tcW w:w="5670" w:type="dxa"/>
          </w:tcPr>
          <w:p w:rsidR="00686764" w:rsidRPr="004761E0" w:rsidRDefault="00686764" w:rsidP="00D701B7">
            <w:pPr>
              <w:tabs>
                <w:tab w:val="left" w:pos="284"/>
              </w:tabs>
              <w:ind w:firstLine="0"/>
              <w:rPr>
                <w:sz w:val="20"/>
                <w:szCs w:val="20"/>
              </w:rPr>
            </w:pPr>
            <w:r w:rsidRPr="004761E0">
              <w:rPr>
                <w:sz w:val="20"/>
                <w:szCs w:val="20"/>
              </w:rPr>
              <w:t xml:space="preserve">Одобрено создание Единого информационного центра </w:t>
            </w:r>
            <w:r w:rsidR="00D701B7">
              <w:rPr>
                <w:sz w:val="20"/>
                <w:szCs w:val="20"/>
              </w:rPr>
              <w:t>–</w:t>
            </w:r>
            <w:r w:rsidRPr="004761E0">
              <w:rPr>
                <w:sz w:val="20"/>
                <w:szCs w:val="20"/>
              </w:rPr>
              <w:t xml:space="preserve"> Контактный центр «Светлая линия</w:t>
            </w:r>
            <w:r w:rsidR="00D701B7">
              <w:rPr>
                <w:sz w:val="20"/>
                <w:szCs w:val="20"/>
              </w:rPr>
              <w:t>»</w:t>
            </w:r>
            <w:r w:rsidRPr="004761E0">
              <w:rPr>
                <w:sz w:val="20"/>
                <w:szCs w:val="20"/>
              </w:rPr>
              <w:t xml:space="preserve"> </w:t>
            </w:r>
          </w:p>
        </w:tc>
        <w:tc>
          <w:tcPr>
            <w:tcW w:w="1134" w:type="dxa"/>
          </w:tcPr>
          <w:p w:rsidR="00686764" w:rsidRPr="004761E0" w:rsidRDefault="00686764" w:rsidP="00D50342">
            <w:pPr>
              <w:tabs>
                <w:tab w:val="left" w:pos="709"/>
                <w:tab w:val="left" w:pos="1080"/>
              </w:tabs>
              <w:ind w:firstLine="0"/>
              <w:jc w:val="right"/>
              <w:rPr>
                <w:sz w:val="20"/>
                <w:szCs w:val="20"/>
              </w:rPr>
            </w:pPr>
            <w:r w:rsidRPr="004761E0">
              <w:rPr>
                <w:sz w:val="20"/>
                <w:szCs w:val="20"/>
              </w:rPr>
              <w:t>08.04.2013</w:t>
            </w:r>
          </w:p>
        </w:tc>
        <w:tc>
          <w:tcPr>
            <w:tcW w:w="1276" w:type="dxa"/>
          </w:tcPr>
          <w:p w:rsidR="00686764" w:rsidRPr="004761E0" w:rsidRDefault="00686764" w:rsidP="00D50342">
            <w:pPr>
              <w:tabs>
                <w:tab w:val="left" w:pos="709"/>
                <w:tab w:val="left" w:pos="1080"/>
              </w:tabs>
              <w:ind w:firstLine="0"/>
              <w:jc w:val="right"/>
              <w:rPr>
                <w:sz w:val="20"/>
                <w:szCs w:val="20"/>
              </w:rPr>
            </w:pPr>
            <w:r w:rsidRPr="004761E0">
              <w:rPr>
                <w:sz w:val="20"/>
                <w:szCs w:val="20"/>
              </w:rPr>
              <w:t>18/13</w:t>
            </w:r>
          </w:p>
        </w:tc>
        <w:tc>
          <w:tcPr>
            <w:tcW w:w="1241" w:type="dxa"/>
          </w:tcPr>
          <w:p w:rsidR="00686764" w:rsidRPr="004761E0" w:rsidRDefault="00686764" w:rsidP="00D50342">
            <w:pPr>
              <w:tabs>
                <w:tab w:val="left" w:pos="709"/>
                <w:tab w:val="left" w:pos="1080"/>
              </w:tabs>
              <w:ind w:firstLine="0"/>
              <w:jc w:val="right"/>
              <w:rPr>
                <w:sz w:val="20"/>
                <w:szCs w:val="20"/>
              </w:rPr>
            </w:pPr>
            <w:r w:rsidRPr="004761E0">
              <w:rPr>
                <w:sz w:val="20"/>
                <w:szCs w:val="20"/>
              </w:rPr>
              <w:t>09.04.2013</w:t>
            </w:r>
          </w:p>
        </w:tc>
      </w:tr>
      <w:tr w:rsidR="00686764" w:rsidRPr="004761E0" w:rsidTr="00686764">
        <w:trPr>
          <w:trHeight w:val="70"/>
        </w:trPr>
        <w:tc>
          <w:tcPr>
            <w:tcW w:w="567" w:type="dxa"/>
          </w:tcPr>
          <w:p w:rsidR="00686764" w:rsidRPr="004761E0" w:rsidRDefault="00686764" w:rsidP="007076A7">
            <w:pPr>
              <w:pStyle w:val="a5"/>
              <w:numPr>
                <w:ilvl w:val="0"/>
                <w:numId w:val="217"/>
              </w:numPr>
              <w:tabs>
                <w:tab w:val="left" w:pos="709"/>
                <w:tab w:val="left" w:pos="1080"/>
              </w:tabs>
              <w:rPr>
                <w:b/>
                <w:sz w:val="20"/>
                <w:szCs w:val="20"/>
              </w:rPr>
            </w:pPr>
          </w:p>
        </w:tc>
        <w:tc>
          <w:tcPr>
            <w:tcW w:w="5670" w:type="dxa"/>
          </w:tcPr>
          <w:p w:rsidR="00686764" w:rsidRPr="004761E0" w:rsidRDefault="00686764" w:rsidP="002C5A29">
            <w:pPr>
              <w:tabs>
                <w:tab w:val="left" w:pos="284"/>
              </w:tabs>
              <w:ind w:firstLine="0"/>
              <w:rPr>
                <w:sz w:val="20"/>
                <w:szCs w:val="20"/>
              </w:rPr>
            </w:pPr>
            <w:r w:rsidRPr="004761E0">
              <w:rPr>
                <w:sz w:val="20"/>
                <w:szCs w:val="20"/>
              </w:rPr>
              <w:t>Одобрено создание учебно-инновационного центра в качестве структурного подразделения исполнительного аппарата Общества с получением лицензии на образовательную деятельность</w:t>
            </w:r>
          </w:p>
        </w:tc>
        <w:tc>
          <w:tcPr>
            <w:tcW w:w="1134" w:type="dxa"/>
          </w:tcPr>
          <w:p w:rsidR="00686764" w:rsidRPr="004761E0" w:rsidRDefault="00686764" w:rsidP="00D50342">
            <w:pPr>
              <w:tabs>
                <w:tab w:val="left" w:pos="709"/>
                <w:tab w:val="left" w:pos="1080"/>
              </w:tabs>
              <w:ind w:firstLine="0"/>
              <w:jc w:val="right"/>
              <w:rPr>
                <w:sz w:val="20"/>
                <w:szCs w:val="20"/>
              </w:rPr>
            </w:pPr>
            <w:r w:rsidRPr="004761E0">
              <w:rPr>
                <w:sz w:val="20"/>
                <w:szCs w:val="20"/>
              </w:rPr>
              <w:t>13.05.2013</w:t>
            </w:r>
          </w:p>
        </w:tc>
        <w:tc>
          <w:tcPr>
            <w:tcW w:w="1276" w:type="dxa"/>
          </w:tcPr>
          <w:p w:rsidR="00686764" w:rsidRPr="004761E0" w:rsidRDefault="00686764" w:rsidP="00D50342">
            <w:pPr>
              <w:tabs>
                <w:tab w:val="left" w:pos="709"/>
                <w:tab w:val="left" w:pos="1080"/>
              </w:tabs>
              <w:ind w:firstLine="0"/>
              <w:jc w:val="right"/>
              <w:rPr>
                <w:sz w:val="20"/>
                <w:szCs w:val="20"/>
              </w:rPr>
            </w:pPr>
            <w:r w:rsidRPr="004761E0">
              <w:rPr>
                <w:sz w:val="20"/>
                <w:szCs w:val="20"/>
              </w:rPr>
              <w:t>23/13</w:t>
            </w:r>
          </w:p>
        </w:tc>
        <w:tc>
          <w:tcPr>
            <w:tcW w:w="1241" w:type="dxa"/>
          </w:tcPr>
          <w:p w:rsidR="00686764" w:rsidRPr="004761E0" w:rsidRDefault="00686764" w:rsidP="00D50342">
            <w:pPr>
              <w:tabs>
                <w:tab w:val="left" w:pos="709"/>
                <w:tab w:val="left" w:pos="1080"/>
              </w:tabs>
              <w:ind w:firstLine="0"/>
              <w:jc w:val="right"/>
              <w:rPr>
                <w:sz w:val="20"/>
                <w:szCs w:val="20"/>
              </w:rPr>
            </w:pPr>
            <w:r w:rsidRPr="004761E0">
              <w:rPr>
                <w:sz w:val="20"/>
                <w:szCs w:val="20"/>
              </w:rPr>
              <w:t>14.05.2013</w:t>
            </w:r>
          </w:p>
        </w:tc>
      </w:tr>
      <w:tr w:rsidR="00686764" w:rsidRPr="004761E0" w:rsidTr="00686764">
        <w:tc>
          <w:tcPr>
            <w:tcW w:w="9888" w:type="dxa"/>
            <w:gridSpan w:val="5"/>
            <w:shd w:val="clear" w:color="auto" w:fill="D9D9D9" w:themeFill="background1" w:themeFillShade="D9"/>
          </w:tcPr>
          <w:p w:rsidR="00686764" w:rsidRPr="004761E0" w:rsidRDefault="00686764" w:rsidP="002C5A29">
            <w:pPr>
              <w:tabs>
                <w:tab w:val="left" w:pos="709"/>
                <w:tab w:val="left" w:pos="1080"/>
              </w:tabs>
              <w:ind w:firstLine="0"/>
              <w:rPr>
                <w:b/>
                <w:sz w:val="20"/>
                <w:szCs w:val="20"/>
              </w:rPr>
            </w:pPr>
            <w:r w:rsidRPr="004761E0">
              <w:rPr>
                <w:b/>
                <w:sz w:val="20"/>
                <w:szCs w:val="20"/>
              </w:rPr>
              <w:t xml:space="preserve">Утверждены </w:t>
            </w:r>
            <w:r w:rsidR="002C5A29" w:rsidRPr="004761E0">
              <w:rPr>
                <w:b/>
                <w:sz w:val="20"/>
                <w:szCs w:val="20"/>
              </w:rPr>
              <w:t xml:space="preserve">/ приняты за основу/ приняты к сведению/ одобрены </w:t>
            </w:r>
            <w:r w:rsidRPr="004761E0">
              <w:rPr>
                <w:b/>
                <w:sz w:val="20"/>
                <w:szCs w:val="20"/>
              </w:rPr>
              <w:t>следующие документы</w:t>
            </w:r>
          </w:p>
        </w:tc>
      </w:tr>
      <w:tr w:rsidR="00686764" w:rsidRPr="004761E0" w:rsidTr="00686764">
        <w:tc>
          <w:tcPr>
            <w:tcW w:w="567" w:type="dxa"/>
          </w:tcPr>
          <w:p w:rsidR="00686764" w:rsidRPr="004761E0" w:rsidRDefault="00686764" w:rsidP="007076A7">
            <w:pPr>
              <w:pStyle w:val="a5"/>
              <w:numPr>
                <w:ilvl w:val="0"/>
                <w:numId w:val="217"/>
              </w:numPr>
              <w:tabs>
                <w:tab w:val="left" w:pos="709"/>
                <w:tab w:val="left" w:pos="1080"/>
              </w:tabs>
              <w:rPr>
                <w:b/>
                <w:sz w:val="20"/>
                <w:szCs w:val="20"/>
              </w:rPr>
            </w:pPr>
          </w:p>
        </w:tc>
        <w:tc>
          <w:tcPr>
            <w:tcW w:w="5670" w:type="dxa"/>
          </w:tcPr>
          <w:p w:rsidR="00686764" w:rsidRPr="004761E0" w:rsidRDefault="00686764" w:rsidP="002C5A29">
            <w:pPr>
              <w:ind w:firstLine="0"/>
              <w:rPr>
                <w:sz w:val="20"/>
                <w:szCs w:val="20"/>
              </w:rPr>
            </w:pPr>
            <w:r w:rsidRPr="004761E0">
              <w:rPr>
                <w:sz w:val="20"/>
                <w:szCs w:val="20"/>
              </w:rPr>
              <w:t xml:space="preserve">Принята за основу программа по снижению затрат и повышению операционной эффективности </w:t>
            </w:r>
          </w:p>
        </w:tc>
        <w:tc>
          <w:tcPr>
            <w:tcW w:w="1134" w:type="dxa"/>
            <w:vMerge w:val="restart"/>
          </w:tcPr>
          <w:p w:rsidR="00686764" w:rsidRPr="004761E0" w:rsidRDefault="00686764" w:rsidP="00D50342">
            <w:pPr>
              <w:tabs>
                <w:tab w:val="left" w:pos="709"/>
                <w:tab w:val="left" w:pos="1080"/>
              </w:tabs>
              <w:ind w:firstLine="0"/>
              <w:jc w:val="right"/>
              <w:rPr>
                <w:sz w:val="20"/>
                <w:szCs w:val="20"/>
              </w:rPr>
            </w:pPr>
            <w:r w:rsidRPr="004761E0">
              <w:rPr>
                <w:sz w:val="20"/>
                <w:szCs w:val="20"/>
              </w:rPr>
              <w:t>04.02.2013</w:t>
            </w:r>
          </w:p>
        </w:tc>
        <w:tc>
          <w:tcPr>
            <w:tcW w:w="1276" w:type="dxa"/>
            <w:vMerge w:val="restart"/>
          </w:tcPr>
          <w:p w:rsidR="00686764" w:rsidRPr="004761E0" w:rsidRDefault="00686764" w:rsidP="00D50342">
            <w:pPr>
              <w:tabs>
                <w:tab w:val="left" w:pos="709"/>
                <w:tab w:val="left" w:pos="1080"/>
              </w:tabs>
              <w:ind w:firstLine="0"/>
              <w:jc w:val="right"/>
              <w:rPr>
                <w:sz w:val="20"/>
                <w:szCs w:val="20"/>
              </w:rPr>
            </w:pPr>
            <w:r w:rsidRPr="004761E0">
              <w:rPr>
                <w:sz w:val="20"/>
                <w:szCs w:val="20"/>
              </w:rPr>
              <w:t>4/13</w:t>
            </w:r>
          </w:p>
        </w:tc>
        <w:tc>
          <w:tcPr>
            <w:tcW w:w="1241" w:type="dxa"/>
            <w:vMerge w:val="restart"/>
          </w:tcPr>
          <w:p w:rsidR="00686764" w:rsidRPr="004761E0" w:rsidRDefault="00686764" w:rsidP="00D50342">
            <w:pPr>
              <w:tabs>
                <w:tab w:val="left" w:pos="709"/>
                <w:tab w:val="left" w:pos="1080"/>
              </w:tabs>
              <w:ind w:firstLine="0"/>
              <w:jc w:val="right"/>
              <w:rPr>
                <w:sz w:val="20"/>
                <w:szCs w:val="20"/>
              </w:rPr>
            </w:pPr>
            <w:r w:rsidRPr="004761E0">
              <w:rPr>
                <w:sz w:val="20"/>
                <w:szCs w:val="20"/>
              </w:rPr>
              <w:t>05.02.2013</w:t>
            </w:r>
          </w:p>
        </w:tc>
      </w:tr>
      <w:tr w:rsidR="00686764" w:rsidRPr="004761E0" w:rsidTr="00686764">
        <w:tc>
          <w:tcPr>
            <w:tcW w:w="567" w:type="dxa"/>
          </w:tcPr>
          <w:p w:rsidR="00686764" w:rsidRPr="004761E0" w:rsidRDefault="00686764" w:rsidP="007076A7">
            <w:pPr>
              <w:pStyle w:val="a5"/>
              <w:numPr>
                <w:ilvl w:val="0"/>
                <w:numId w:val="217"/>
              </w:numPr>
              <w:tabs>
                <w:tab w:val="left" w:pos="709"/>
                <w:tab w:val="left" w:pos="1080"/>
              </w:tabs>
              <w:rPr>
                <w:b/>
                <w:sz w:val="20"/>
                <w:szCs w:val="20"/>
              </w:rPr>
            </w:pPr>
          </w:p>
        </w:tc>
        <w:tc>
          <w:tcPr>
            <w:tcW w:w="5670" w:type="dxa"/>
          </w:tcPr>
          <w:p w:rsidR="00686764" w:rsidRPr="004761E0" w:rsidRDefault="00686764" w:rsidP="002C5A29">
            <w:pPr>
              <w:tabs>
                <w:tab w:val="left" w:pos="284"/>
              </w:tabs>
              <w:ind w:firstLine="0"/>
              <w:rPr>
                <w:sz w:val="20"/>
                <w:szCs w:val="20"/>
              </w:rPr>
            </w:pPr>
            <w:r w:rsidRPr="004761E0">
              <w:rPr>
                <w:sz w:val="20"/>
                <w:szCs w:val="20"/>
              </w:rPr>
              <w:t>Приняты к сведению планы по реализации организационных и беззатратных мероприятий по экономии электрической энергии и моторного топлива</w:t>
            </w:r>
          </w:p>
        </w:tc>
        <w:tc>
          <w:tcPr>
            <w:tcW w:w="1134" w:type="dxa"/>
            <w:vMerge/>
          </w:tcPr>
          <w:p w:rsidR="00686764" w:rsidRPr="004761E0" w:rsidRDefault="00686764" w:rsidP="00D50342">
            <w:pPr>
              <w:tabs>
                <w:tab w:val="left" w:pos="709"/>
                <w:tab w:val="left" w:pos="1080"/>
              </w:tabs>
              <w:ind w:firstLine="0"/>
              <w:jc w:val="right"/>
              <w:rPr>
                <w:sz w:val="20"/>
                <w:szCs w:val="20"/>
              </w:rPr>
            </w:pPr>
          </w:p>
        </w:tc>
        <w:tc>
          <w:tcPr>
            <w:tcW w:w="1276" w:type="dxa"/>
            <w:vMerge/>
          </w:tcPr>
          <w:p w:rsidR="00686764" w:rsidRPr="004761E0" w:rsidRDefault="00686764" w:rsidP="00D50342">
            <w:pPr>
              <w:tabs>
                <w:tab w:val="left" w:pos="709"/>
                <w:tab w:val="left" w:pos="1080"/>
              </w:tabs>
              <w:ind w:firstLine="0"/>
              <w:jc w:val="right"/>
              <w:rPr>
                <w:sz w:val="20"/>
                <w:szCs w:val="20"/>
              </w:rPr>
            </w:pPr>
          </w:p>
        </w:tc>
        <w:tc>
          <w:tcPr>
            <w:tcW w:w="1241" w:type="dxa"/>
            <w:vMerge/>
          </w:tcPr>
          <w:p w:rsidR="00686764" w:rsidRPr="004761E0" w:rsidRDefault="00686764" w:rsidP="00D50342">
            <w:pPr>
              <w:tabs>
                <w:tab w:val="left" w:pos="709"/>
                <w:tab w:val="left" w:pos="1080"/>
              </w:tabs>
              <w:ind w:firstLine="0"/>
              <w:jc w:val="right"/>
              <w:rPr>
                <w:sz w:val="20"/>
                <w:szCs w:val="20"/>
              </w:rPr>
            </w:pPr>
          </w:p>
        </w:tc>
      </w:tr>
      <w:tr w:rsidR="00686764" w:rsidRPr="004761E0" w:rsidTr="00686764">
        <w:tc>
          <w:tcPr>
            <w:tcW w:w="567" w:type="dxa"/>
          </w:tcPr>
          <w:p w:rsidR="00686764" w:rsidRPr="004761E0" w:rsidRDefault="00686764" w:rsidP="007076A7">
            <w:pPr>
              <w:pStyle w:val="a5"/>
              <w:numPr>
                <w:ilvl w:val="0"/>
                <w:numId w:val="217"/>
              </w:numPr>
              <w:tabs>
                <w:tab w:val="left" w:pos="709"/>
                <w:tab w:val="left" w:pos="1080"/>
              </w:tabs>
              <w:rPr>
                <w:b/>
                <w:sz w:val="20"/>
                <w:szCs w:val="20"/>
              </w:rPr>
            </w:pPr>
          </w:p>
        </w:tc>
        <w:tc>
          <w:tcPr>
            <w:tcW w:w="5670" w:type="dxa"/>
          </w:tcPr>
          <w:p w:rsidR="00686764" w:rsidRPr="004761E0" w:rsidRDefault="00686764" w:rsidP="002C5A29">
            <w:pPr>
              <w:tabs>
                <w:tab w:val="left" w:pos="960"/>
                <w:tab w:val="left" w:pos="1440"/>
              </w:tabs>
              <w:ind w:firstLine="0"/>
              <w:rPr>
                <w:sz w:val="20"/>
                <w:szCs w:val="20"/>
              </w:rPr>
            </w:pPr>
            <w:r w:rsidRPr="004761E0">
              <w:rPr>
                <w:sz w:val="20"/>
                <w:szCs w:val="20"/>
              </w:rPr>
              <w:t>Одобрен паспорт проекта «Программа по снижению затрат и повышению операционной эффективности на 2013 год»</w:t>
            </w:r>
          </w:p>
        </w:tc>
        <w:tc>
          <w:tcPr>
            <w:tcW w:w="1134" w:type="dxa"/>
            <w:vMerge w:val="restart"/>
          </w:tcPr>
          <w:p w:rsidR="00686764" w:rsidRPr="004761E0" w:rsidRDefault="00686764" w:rsidP="00D50342">
            <w:pPr>
              <w:tabs>
                <w:tab w:val="left" w:pos="709"/>
                <w:tab w:val="left" w:pos="1080"/>
              </w:tabs>
              <w:ind w:firstLine="0"/>
              <w:jc w:val="right"/>
              <w:rPr>
                <w:sz w:val="20"/>
                <w:szCs w:val="20"/>
              </w:rPr>
            </w:pPr>
            <w:r w:rsidRPr="004761E0">
              <w:rPr>
                <w:sz w:val="20"/>
                <w:szCs w:val="20"/>
              </w:rPr>
              <w:t>18.02.2013</w:t>
            </w:r>
          </w:p>
        </w:tc>
        <w:tc>
          <w:tcPr>
            <w:tcW w:w="1276" w:type="dxa"/>
            <w:vMerge w:val="restart"/>
          </w:tcPr>
          <w:p w:rsidR="00686764" w:rsidRPr="004761E0" w:rsidRDefault="00686764" w:rsidP="00D50342">
            <w:pPr>
              <w:tabs>
                <w:tab w:val="left" w:pos="709"/>
                <w:tab w:val="left" w:pos="1080"/>
              </w:tabs>
              <w:ind w:firstLine="0"/>
              <w:jc w:val="right"/>
              <w:rPr>
                <w:sz w:val="20"/>
                <w:szCs w:val="20"/>
              </w:rPr>
            </w:pPr>
            <w:r w:rsidRPr="004761E0">
              <w:rPr>
                <w:sz w:val="20"/>
                <w:szCs w:val="20"/>
              </w:rPr>
              <w:t>7/13</w:t>
            </w:r>
          </w:p>
        </w:tc>
        <w:tc>
          <w:tcPr>
            <w:tcW w:w="1241" w:type="dxa"/>
            <w:vMerge w:val="restart"/>
          </w:tcPr>
          <w:p w:rsidR="00686764" w:rsidRPr="004761E0" w:rsidRDefault="00686764" w:rsidP="00D50342">
            <w:pPr>
              <w:tabs>
                <w:tab w:val="left" w:pos="709"/>
                <w:tab w:val="left" w:pos="1080"/>
              </w:tabs>
              <w:ind w:firstLine="0"/>
              <w:jc w:val="right"/>
              <w:rPr>
                <w:sz w:val="20"/>
                <w:szCs w:val="20"/>
              </w:rPr>
            </w:pPr>
            <w:r w:rsidRPr="004761E0">
              <w:rPr>
                <w:sz w:val="20"/>
                <w:szCs w:val="20"/>
              </w:rPr>
              <w:t>19.02.2013</w:t>
            </w:r>
          </w:p>
        </w:tc>
      </w:tr>
      <w:tr w:rsidR="00686764" w:rsidRPr="004761E0" w:rsidTr="00686764">
        <w:tc>
          <w:tcPr>
            <w:tcW w:w="567" w:type="dxa"/>
          </w:tcPr>
          <w:p w:rsidR="00686764" w:rsidRPr="004761E0" w:rsidRDefault="00686764" w:rsidP="007076A7">
            <w:pPr>
              <w:pStyle w:val="a5"/>
              <w:numPr>
                <w:ilvl w:val="0"/>
                <w:numId w:val="217"/>
              </w:numPr>
              <w:tabs>
                <w:tab w:val="left" w:pos="709"/>
                <w:tab w:val="left" w:pos="1080"/>
              </w:tabs>
              <w:rPr>
                <w:b/>
                <w:sz w:val="20"/>
                <w:szCs w:val="20"/>
              </w:rPr>
            </w:pPr>
          </w:p>
        </w:tc>
        <w:tc>
          <w:tcPr>
            <w:tcW w:w="5670" w:type="dxa"/>
          </w:tcPr>
          <w:p w:rsidR="00686764" w:rsidRPr="004761E0" w:rsidRDefault="00686764" w:rsidP="002C5A29">
            <w:pPr>
              <w:ind w:firstLine="0"/>
              <w:rPr>
                <w:sz w:val="20"/>
                <w:szCs w:val="20"/>
              </w:rPr>
            </w:pPr>
            <w:r w:rsidRPr="004761E0">
              <w:rPr>
                <w:sz w:val="20"/>
                <w:szCs w:val="20"/>
              </w:rPr>
              <w:t>Одобрена программа консолидации электросетевых активов</w:t>
            </w:r>
          </w:p>
        </w:tc>
        <w:tc>
          <w:tcPr>
            <w:tcW w:w="1134" w:type="dxa"/>
            <w:vMerge/>
          </w:tcPr>
          <w:p w:rsidR="00686764" w:rsidRPr="004761E0" w:rsidRDefault="00686764" w:rsidP="00D50342">
            <w:pPr>
              <w:tabs>
                <w:tab w:val="left" w:pos="709"/>
                <w:tab w:val="left" w:pos="1080"/>
              </w:tabs>
              <w:ind w:firstLine="0"/>
              <w:jc w:val="right"/>
              <w:rPr>
                <w:sz w:val="20"/>
                <w:szCs w:val="20"/>
              </w:rPr>
            </w:pPr>
          </w:p>
        </w:tc>
        <w:tc>
          <w:tcPr>
            <w:tcW w:w="1276" w:type="dxa"/>
            <w:vMerge/>
          </w:tcPr>
          <w:p w:rsidR="00686764" w:rsidRPr="004761E0" w:rsidRDefault="00686764" w:rsidP="00D50342">
            <w:pPr>
              <w:tabs>
                <w:tab w:val="left" w:pos="709"/>
                <w:tab w:val="left" w:pos="1080"/>
              </w:tabs>
              <w:ind w:firstLine="0"/>
              <w:jc w:val="right"/>
              <w:rPr>
                <w:sz w:val="20"/>
                <w:szCs w:val="20"/>
              </w:rPr>
            </w:pPr>
          </w:p>
        </w:tc>
        <w:tc>
          <w:tcPr>
            <w:tcW w:w="1241" w:type="dxa"/>
            <w:vMerge/>
          </w:tcPr>
          <w:p w:rsidR="00686764" w:rsidRPr="004761E0" w:rsidRDefault="00686764" w:rsidP="00D50342">
            <w:pPr>
              <w:tabs>
                <w:tab w:val="left" w:pos="709"/>
                <w:tab w:val="left" w:pos="1080"/>
              </w:tabs>
              <w:ind w:firstLine="0"/>
              <w:jc w:val="right"/>
              <w:rPr>
                <w:sz w:val="20"/>
                <w:szCs w:val="20"/>
              </w:rPr>
            </w:pPr>
          </w:p>
        </w:tc>
      </w:tr>
      <w:tr w:rsidR="00686764" w:rsidRPr="004761E0" w:rsidTr="00686764">
        <w:tc>
          <w:tcPr>
            <w:tcW w:w="567" w:type="dxa"/>
          </w:tcPr>
          <w:p w:rsidR="00686764" w:rsidRPr="004761E0" w:rsidRDefault="00686764" w:rsidP="007076A7">
            <w:pPr>
              <w:pStyle w:val="a5"/>
              <w:numPr>
                <w:ilvl w:val="0"/>
                <w:numId w:val="217"/>
              </w:numPr>
              <w:tabs>
                <w:tab w:val="left" w:pos="709"/>
                <w:tab w:val="left" w:pos="1080"/>
              </w:tabs>
              <w:rPr>
                <w:b/>
                <w:sz w:val="20"/>
                <w:szCs w:val="20"/>
              </w:rPr>
            </w:pPr>
          </w:p>
        </w:tc>
        <w:tc>
          <w:tcPr>
            <w:tcW w:w="5670" w:type="dxa"/>
          </w:tcPr>
          <w:p w:rsidR="00686764" w:rsidRPr="004761E0" w:rsidRDefault="00686764" w:rsidP="002C5A29">
            <w:pPr>
              <w:ind w:firstLine="0"/>
              <w:rPr>
                <w:sz w:val="20"/>
                <w:szCs w:val="20"/>
              </w:rPr>
            </w:pPr>
            <w:r w:rsidRPr="004761E0">
              <w:rPr>
                <w:sz w:val="20"/>
                <w:szCs w:val="20"/>
              </w:rPr>
              <w:t>Одобрена концепция маркетинговой деятельности</w:t>
            </w:r>
          </w:p>
        </w:tc>
        <w:tc>
          <w:tcPr>
            <w:tcW w:w="1134" w:type="dxa"/>
          </w:tcPr>
          <w:p w:rsidR="00686764" w:rsidRPr="004761E0" w:rsidRDefault="00686764" w:rsidP="00D50342">
            <w:pPr>
              <w:tabs>
                <w:tab w:val="left" w:pos="709"/>
                <w:tab w:val="left" w:pos="1080"/>
              </w:tabs>
              <w:ind w:firstLine="0"/>
              <w:jc w:val="right"/>
              <w:rPr>
                <w:sz w:val="20"/>
                <w:szCs w:val="20"/>
              </w:rPr>
            </w:pPr>
            <w:r w:rsidRPr="004761E0">
              <w:rPr>
                <w:sz w:val="20"/>
                <w:szCs w:val="20"/>
              </w:rPr>
              <w:t>11.03.2013</w:t>
            </w:r>
          </w:p>
        </w:tc>
        <w:tc>
          <w:tcPr>
            <w:tcW w:w="1276" w:type="dxa"/>
          </w:tcPr>
          <w:p w:rsidR="00686764" w:rsidRPr="004761E0" w:rsidRDefault="00686764" w:rsidP="00D50342">
            <w:pPr>
              <w:tabs>
                <w:tab w:val="left" w:pos="709"/>
                <w:tab w:val="left" w:pos="1080"/>
              </w:tabs>
              <w:ind w:firstLine="0"/>
              <w:jc w:val="right"/>
              <w:rPr>
                <w:sz w:val="20"/>
                <w:szCs w:val="20"/>
              </w:rPr>
            </w:pPr>
            <w:r w:rsidRPr="004761E0">
              <w:rPr>
                <w:sz w:val="20"/>
                <w:szCs w:val="20"/>
              </w:rPr>
              <w:t>12/13</w:t>
            </w:r>
          </w:p>
        </w:tc>
        <w:tc>
          <w:tcPr>
            <w:tcW w:w="1241" w:type="dxa"/>
          </w:tcPr>
          <w:p w:rsidR="00686764" w:rsidRPr="004761E0" w:rsidRDefault="00686764" w:rsidP="00D50342">
            <w:pPr>
              <w:tabs>
                <w:tab w:val="left" w:pos="709"/>
                <w:tab w:val="left" w:pos="1080"/>
              </w:tabs>
              <w:ind w:firstLine="0"/>
              <w:jc w:val="right"/>
              <w:rPr>
                <w:sz w:val="20"/>
                <w:szCs w:val="20"/>
              </w:rPr>
            </w:pPr>
            <w:r w:rsidRPr="004761E0">
              <w:rPr>
                <w:sz w:val="20"/>
                <w:szCs w:val="20"/>
              </w:rPr>
              <w:t>12.03.2013</w:t>
            </w:r>
          </w:p>
        </w:tc>
      </w:tr>
      <w:tr w:rsidR="00686764" w:rsidRPr="004761E0" w:rsidTr="00686764">
        <w:tc>
          <w:tcPr>
            <w:tcW w:w="567" w:type="dxa"/>
          </w:tcPr>
          <w:p w:rsidR="00686764" w:rsidRPr="004761E0" w:rsidRDefault="00686764" w:rsidP="007076A7">
            <w:pPr>
              <w:pStyle w:val="a5"/>
              <w:numPr>
                <w:ilvl w:val="0"/>
                <w:numId w:val="217"/>
              </w:numPr>
              <w:tabs>
                <w:tab w:val="left" w:pos="709"/>
                <w:tab w:val="left" w:pos="1080"/>
              </w:tabs>
              <w:rPr>
                <w:b/>
                <w:sz w:val="20"/>
                <w:szCs w:val="20"/>
              </w:rPr>
            </w:pPr>
          </w:p>
        </w:tc>
        <w:tc>
          <w:tcPr>
            <w:tcW w:w="5670" w:type="dxa"/>
          </w:tcPr>
          <w:p w:rsidR="00686764" w:rsidRPr="004761E0" w:rsidRDefault="00686764" w:rsidP="002C5A29">
            <w:pPr>
              <w:tabs>
                <w:tab w:val="left" w:pos="393"/>
              </w:tabs>
              <w:ind w:firstLine="0"/>
              <w:rPr>
                <w:sz w:val="20"/>
                <w:szCs w:val="20"/>
              </w:rPr>
            </w:pPr>
            <w:r w:rsidRPr="004761E0">
              <w:rPr>
                <w:sz w:val="20"/>
                <w:szCs w:val="20"/>
              </w:rPr>
              <w:t>Утверждена Программа благотворительной деятельности на 2013 год</w:t>
            </w:r>
          </w:p>
        </w:tc>
        <w:tc>
          <w:tcPr>
            <w:tcW w:w="1134" w:type="dxa"/>
          </w:tcPr>
          <w:p w:rsidR="00686764" w:rsidRPr="004761E0" w:rsidRDefault="00686764" w:rsidP="00D50342">
            <w:pPr>
              <w:tabs>
                <w:tab w:val="left" w:pos="709"/>
                <w:tab w:val="left" w:pos="1080"/>
              </w:tabs>
              <w:ind w:firstLine="0"/>
              <w:jc w:val="right"/>
              <w:rPr>
                <w:sz w:val="20"/>
                <w:szCs w:val="20"/>
              </w:rPr>
            </w:pPr>
            <w:r w:rsidRPr="004761E0">
              <w:rPr>
                <w:sz w:val="20"/>
                <w:szCs w:val="20"/>
              </w:rPr>
              <w:t>02.04.2013</w:t>
            </w:r>
          </w:p>
        </w:tc>
        <w:tc>
          <w:tcPr>
            <w:tcW w:w="1276" w:type="dxa"/>
          </w:tcPr>
          <w:p w:rsidR="00686764" w:rsidRPr="004761E0" w:rsidRDefault="00686764" w:rsidP="00D50342">
            <w:pPr>
              <w:tabs>
                <w:tab w:val="left" w:pos="709"/>
                <w:tab w:val="left" w:pos="1080"/>
              </w:tabs>
              <w:ind w:firstLine="0"/>
              <w:jc w:val="right"/>
              <w:rPr>
                <w:sz w:val="20"/>
                <w:szCs w:val="20"/>
              </w:rPr>
            </w:pPr>
            <w:r w:rsidRPr="004761E0">
              <w:rPr>
                <w:sz w:val="20"/>
                <w:szCs w:val="20"/>
              </w:rPr>
              <w:t>16/13</w:t>
            </w:r>
          </w:p>
        </w:tc>
        <w:tc>
          <w:tcPr>
            <w:tcW w:w="1241" w:type="dxa"/>
          </w:tcPr>
          <w:p w:rsidR="00686764" w:rsidRPr="004761E0" w:rsidRDefault="00686764" w:rsidP="00D50342">
            <w:pPr>
              <w:tabs>
                <w:tab w:val="left" w:pos="709"/>
                <w:tab w:val="left" w:pos="1080"/>
              </w:tabs>
              <w:ind w:firstLine="0"/>
              <w:jc w:val="right"/>
              <w:rPr>
                <w:sz w:val="20"/>
                <w:szCs w:val="20"/>
              </w:rPr>
            </w:pPr>
            <w:r w:rsidRPr="004761E0">
              <w:rPr>
                <w:sz w:val="20"/>
                <w:szCs w:val="20"/>
              </w:rPr>
              <w:t>03.04.2013</w:t>
            </w:r>
          </w:p>
        </w:tc>
      </w:tr>
      <w:tr w:rsidR="00686764" w:rsidRPr="004761E0" w:rsidTr="00686764">
        <w:tc>
          <w:tcPr>
            <w:tcW w:w="567" w:type="dxa"/>
          </w:tcPr>
          <w:p w:rsidR="00686764" w:rsidRPr="004761E0" w:rsidRDefault="00686764" w:rsidP="007076A7">
            <w:pPr>
              <w:pStyle w:val="a5"/>
              <w:numPr>
                <w:ilvl w:val="0"/>
                <w:numId w:val="217"/>
              </w:numPr>
              <w:tabs>
                <w:tab w:val="left" w:pos="709"/>
                <w:tab w:val="left" w:pos="1080"/>
              </w:tabs>
              <w:rPr>
                <w:b/>
                <w:sz w:val="20"/>
                <w:szCs w:val="20"/>
              </w:rPr>
            </w:pPr>
          </w:p>
        </w:tc>
        <w:tc>
          <w:tcPr>
            <w:tcW w:w="5670" w:type="dxa"/>
          </w:tcPr>
          <w:p w:rsidR="00686764" w:rsidRPr="004761E0" w:rsidRDefault="00686764" w:rsidP="002C5A29">
            <w:pPr>
              <w:tabs>
                <w:tab w:val="left" w:pos="284"/>
              </w:tabs>
              <w:ind w:firstLine="0"/>
              <w:rPr>
                <w:sz w:val="20"/>
                <w:szCs w:val="20"/>
              </w:rPr>
            </w:pPr>
            <w:r w:rsidRPr="004761E0">
              <w:rPr>
                <w:sz w:val="20"/>
                <w:szCs w:val="20"/>
              </w:rPr>
              <w:t>Утверждена Программа реализации жилищной политики на 2013-2015 гг.</w:t>
            </w:r>
          </w:p>
        </w:tc>
        <w:tc>
          <w:tcPr>
            <w:tcW w:w="1134" w:type="dxa"/>
          </w:tcPr>
          <w:p w:rsidR="00686764" w:rsidRPr="004761E0" w:rsidRDefault="00686764" w:rsidP="00D50342">
            <w:pPr>
              <w:tabs>
                <w:tab w:val="left" w:pos="709"/>
                <w:tab w:val="left" w:pos="1080"/>
              </w:tabs>
              <w:ind w:firstLine="0"/>
              <w:jc w:val="right"/>
              <w:rPr>
                <w:sz w:val="20"/>
                <w:szCs w:val="20"/>
              </w:rPr>
            </w:pPr>
            <w:r w:rsidRPr="004761E0">
              <w:rPr>
                <w:sz w:val="20"/>
                <w:szCs w:val="20"/>
              </w:rPr>
              <w:t>27.05.2013</w:t>
            </w:r>
          </w:p>
        </w:tc>
        <w:tc>
          <w:tcPr>
            <w:tcW w:w="1276" w:type="dxa"/>
          </w:tcPr>
          <w:p w:rsidR="00686764" w:rsidRPr="004761E0" w:rsidRDefault="00686764" w:rsidP="00D50342">
            <w:pPr>
              <w:tabs>
                <w:tab w:val="left" w:pos="709"/>
                <w:tab w:val="left" w:pos="1080"/>
              </w:tabs>
              <w:ind w:firstLine="0"/>
              <w:jc w:val="right"/>
              <w:rPr>
                <w:sz w:val="20"/>
                <w:szCs w:val="20"/>
              </w:rPr>
            </w:pPr>
            <w:r w:rsidRPr="004761E0">
              <w:rPr>
                <w:sz w:val="20"/>
                <w:szCs w:val="20"/>
              </w:rPr>
              <w:t>28/13</w:t>
            </w:r>
          </w:p>
        </w:tc>
        <w:tc>
          <w:tcPr>
            <w:tcW w:w="1241" w:type="dxa"/>
          </w:tcPr>
          <w:p w:rsidR="00686764" w:rsidRPr="004761E0" w:rsidRDefault="00686764" w:rsidP="00D50342">
            <w:pPr>
              <w:tabs>
                <w:tab w:val="left" w:pos="709"/>
                <w:tab w:val="left" w:pos="1080"/>
              </w:tabs>
              <w:ind w:firstLine="0"/>
              <w:jc w:val="right"/>
              <w:rPr>
                <w:sz w:val="20"/>
                <w:szCs w:val="20"/>
              </w:rPr>
            </w:pPr>
            <w:r w:rsidRPr="004761E0">
              <w:rPr>
                <w:sz w:val="20"/>
                <w:szCs w:val="20"/>
              </w:rPr>
              <w:t>28.05.2013</w:t>
            </w:r>
          </w:p>
        </w:tc>
      </w:tr>
      <w:tr w:rsidR="00686764" w:rsidRPr="004761E0" w:rsidTr="00686764">
        <w:tc>
          <w:tcPr>
            <w:tcW w:w="567" w:type="dxa"/>
          </w:tcPr>
          <w:p w:rsidR="00686764" w:rsidRPr="004761E0" w:rsidRDefault="00686764" w:rsidP="007076A7">
            <w:pPr>
              <w:pStyle w:val="a5"/>
              <w:numPr>
                <w:ilvl w:val="0"/>
                <w:numId w:val="217"/>
              </w:numPr>
              <w:tabs>
                <w:tab w:val="left" w:pos="709"/>
                <w:tab w:val="left" w:pos="1080"/>
              </w:tabs>
              <w:rPr>
                <w:b/>
                <w:sz w:val="20"/>
                <w:szCs w:val="20"/>
              </w:rPr>
            </w:pPr>
          </w:p>
        </w:tc>
        <w:tc>
          <w:tcPr>
            <w:tcW w:w="5670" w:type="dxa"/>
          </w:tcPr>
          <w:p w:rsidR="00686764" w:rsidRPr="004761E0" w:rsidRDefault="00686764" w:rsidP="002C5A29">
            <w:pPr>
              <w:tabs>
                <w:tab w:val="left" w:pos="284"/>
              </w:tabs>
              <w:ind w:firstLine="0"/>
              <w:rPr>
                <w:sz w:val="20"/>
                <w:szCs w:val="20"/>
              </w:rPr>
            </w:pPr>
            <w:r w:rsidRPr="004761E0">
              <w:rPr>
                <w:sz w:val="20"/>
                <w:szCs w:val="20"/>
              </w:rPr>
              <w:t>Утверждена концепция развития учебного центра, в т.ч. организационная структура указанного центра</w:t>
            </w:r>
          </w:p>
        </w:tc>
        <w:tc>
          <w:tcPr>
            <w:tcW w:w="1134" w:type="dxa"/>
          </w:tcPr>
          <w:p w:rsidR="00686764" w:rsidRPr="004761E0" w:rsidRDefault="00686764" w:rsidP="00D50342">
            <w:pPr>
              <w:tabs>
                <w:tab w:val="left" w:pos="709"/>
                <w:tab w:val="left" w:pos="1080"/>
              </w:tabs>
              <w:ind w:firstLine="0"/>
              <w:jc w:val="right"/>
              <w:rPr>
                <w:sz w:val="20"/>
                <w:szCs w:val="20"/>
              </w:rPr>
            </w:pPr>
            <w:r w:rsidRPr="004761E0">
              <w:rPr>
                <w:sz w:val="20"/>
                <w:szCs w:val="20"/>
              </w:rPr>
              <w:t>03.06.2013</w:t>
            </w:r>
          </w:p>
        </w:tc>
        <w:tc>
          <w:tcPr>
            <w:tcW w:w="1276" w:type="dxa"/>
          </w:tcPr>
          <w:p w:rsidR="00686764" w:rsidRPr="004761E0" w:rsidRDefault="00686764" w:rsidP="00D50342">
            <w:pPr>
              <w:tabs>
                <w:tab w:val="left" w:pos="709"/>
                <w:tab w:val="left" w:pos="1080"/>
              </w:tabs>
              <w:ind w:firstLine="0"/>
              <w:jc w:val="right"/>
              <w:rPr>
                <w:sz w:val="20"/>
                <w:szCs w:val="20"/>
              </w:rPr>
            </w:pPr>
            <w:r w:rsidRPr="004761E0">
              <w:rPr>
                <w:sz w:val="20"/>
                <w:szCs w:val="20"/>
              </w:rPr>
              <w:t>29/13</w:t>
            </w:r>
          </w:p>
        </w:tc>
        <w:tc>
          <w:tcPr>
            <w:tcW w:w="1241" w:type="dxa"/>
          </w:tcPr>
          <w:p w:rsidR="00686764" w:rsidRPr="004761E0" w:rsidRDefault="00686764" w:rsidP="00D50342">
            <w:pPr>
              <w:tabs>
                <w:tab w:val="left" w:pos="709"/>
                <w:tab w:val="left" w:pos="1080"/>
              </w:tabs>
              <w:ind w:firstLine="0"/>
              <w:jc w:val="right"/>
              <w:rPr>
                <w:sz w:val="20"/>
                <w:szCs w:val="20"/>
              </w:rPr>
            </w:pPr>
            <w:r w:rsidRPr="004761E0">
              <w:rPr>
                <w:sz w:val="20"/>
                <w:szCs w:val="20"/>
              </w:rPr>
              <w:t>04.06.2013</w:t>
            </w:r>
          </w:p>
        </w:tc>
      </w:tr>
      <w:tr w:rsidR="00686764" w:rsidRPr="004761E0" w:rsidTr="00686764">
        <w:tc>
          <w:tcPr>
            <w:tcW w:w="567" w:type="dxa"/>
          </w:tcPr>
          <w:p w:rsidR="00686764" w:rsidRPr="004761E0" w:rsidRDefault="00686764" w:rsidP="007076A7">
            <w:pPr>
              <w:pStyle w:val="a5"/>
              <w:numPr>
                <w:ilvl w:val="0"/>
                <w:numId w:val="217"/>
              </w:numPr>
              <w:tabs>
                <w:tab w:val="left" w:pos="709"/>
                <w:tab w:val="left" w:pos="1080"/>
              </w:tabs>
              <w:rPr>
                <w:b/>
                <w:sz w:val="20"/>
                <w:szCs w:val="20"/>
              </w:rPr>
            </w:pPr>
          </w:p>
        </w:tc>
        <w:tc>
          <w:tcPr>
            <w:tcW w:w="5670" w:type="dxa"/>
          </w:tcPr>
          <w:p w:rsidR="00686764" w:rsidRPr="004761E0" w:rsidRDefault="00686764" w:rsidP="002C5A29">
            <w:pPr>
              <w:tabs>
                <w:tab w:val="left" w:pos="284"/>
              </w:tabs>
              <w:ind w:firstLine="0"/>
              <w:rPr>
                <w:sz w:val="20"/>
                <w:szCs w:val="20"/>
              </w:rPr>
            </w:pPr>
            <w:r w:rsidRPr="004761E0">
              <w:rPr>
                <w:sz w:val="20"/>
                <w:szCs w:val="20"/>
              </w:rPr>
              <w:t>Утверждена Программа социальной поддержки молодых работников-выпускников учебных заведений электроэнергетических специальностей</w:t>
            </w:r>
          </w:p>
        </w:tc>
        <w:tc>
          <w:tcPr>
            <w:tcW w:w="1134" w:type="dxa"/>
          </w:tcPr>
          <w:p w:rsidR="00686764" w:rsidRPr="004761E0" w:rsidRDefault="00686764" w:rsidP="00D50342">
            <w:pPr>
              <w:tabs>
                <w:tab w:val="left" w:pos="709"/>
                <w:tab w:val="left" w:pos="1080"/>
              </w:tabs>
              <w:ind w:firstLine="0"/>
              <w:jc w:val="right"/>
              <w:rPr>
                <w:sz w:val="20"/>
                <w:szCs w:val="20"/>
              </w:rPr>
            </w:pPr>
            <w:r w:rsidRPr="004761E0">
              <w:rPr>
                <w:sz w:val="20"/>
                <w:szCs w:val="20"/>
              </w:rPr>
              <w:t>17.06.2013</w:t>
            </w:r>
          </w:p>
        </w:tc>
        <w:tc>
          <w:tcPr>
            <w:tcW w:w="1276" w:type="dxa"/>
          </w:tcPr>
          <w:p w:rsidR="00686764" w:rsidRPr="004761E0" w:rsidRDefault="00686764" w:rsidP="00D50342">
            <w:pPr>
              <w:tabs>
                <w:tab w:val="left" w:pos="709"/>
                <w:tab w:val="left" w:pos="1080"/>
              </w:tabs>
              <w:ind w:firstLine="0"/>
              <w:jc w:val="right"/>
              <w:rPr>
                <w:sz w:val="20"/>
                <w:szCs w:val="20"/>
              </w:rPr>
            </w:pPr>
            <w:r w:rsidRPr="004761E0">
              <w:rPr>
                <w:sz w:val="20"/>
                <w:szCs w:val="20"/>
              </w:rPr>
              <w:t>32/13</w:t>
            </w:r>
          </w:p>
        </w:tc>
        <w:tc>
          <w:tcPr>
            <w:tcW w:w="1241" w:type="dxa"/>
          </w:tcPr>
          <w:p w:rsidR="00686764" w:rsidRPr="004761E0" w:rsidRDefault="00686764" w:rsidP="00D50342">
            <w:pPr>
              <w:tabs>
                <w:tab w:val="left" w:pos="709"/>
                <w:tab w:val="left" w:pos="1080"/>
              </w:tabs>
              <w:ind w:firstLine="0"/>
              <w:jc w:val="right"/>
              <w:rPr>
                <w:sz w:val="20"/>
                <w:szCs w:val="20"/>
              </w:rPr>
            </w:pPr>
            <w:r w:rsidRPr="004761E0">
              <w:rPr>
                <w:sz w:val="20"/>
                <w:szCs w:val="20"/>
              </w:rPr>
              <w:t>18.06.2013</w:t>
            </w:r>
          </w:p>
        </w:tc>
      </w:tr>
      <w:tr w:rsidR="00686764" w:rsidRPr="004761E0" w:rsidTr="00686764">
        <w:tc>
          <w:tcPr>
            <w:tcW w:w="567" w:type="dxa"/>
          </w:tcPr>
          <w:p w:rsidR="00686764" w:rsidRPr="004761E0" w:rsidRDefault="00686764" w:rsidP="007076A7">
            <w:pPr>
              <w:pStyle w:val="a5"/>
              <w:numPr>
                <w:ilvl w:val="0"/>
                <w:numId w:val="217"/>
              </w:numPr>
              <w:tabs>
                <w:tab w:val="left" w:pos="709"/>
                <w:tab w:val="left" w:pos="1080"/>
              </w:tabs>
              <w:rPr>
                <w:b/>
                <w:sz w:val="20"/>
                <w:szCs w:val="20"/>
              </w:rPr>
            </w:pPr>
          </w:p>
        </w:tc>
        <w:tc>
          <w:tcPr>
            <w:tcW w:w="5670" w:type="dxa"/>
          </w:tcPr>
          <w:p w:rsidR="00686764" w:rsidRPr="004761E0" w:rsidRDefault="00686764" w:rsidP="002C5A29">
            <w:pPr>
              <w:pStyle w:val="a5"/>
              <w:ind w:left="0" w:firstLine="0"/>
              <w:rPr>
                <w:sz w:val="20"/>
                <w:szCs w:val="20"/>
              </w:rPr>
            </w:pPr>
            <w:r w:rsidRPr="004761E0">
              <w:rPr>
                <w:sz w:val="20"/>
                <w:szCs w:val="20"/>
              </w:rPr>
              <w:t>Утвержден план по достижению показателей выручки по технологическому присоединению</w:t>
            </w:r>
          </w:p>
        </w:tc>
        <w:tc>
          <w:tcPr>
            <w:tcW w:w="1134" w:type="dxa"/>
          </w:tcPr>
          <w:p w:rsidR="00686764" w:rsidRPr="004761E0" w:rsidRDefault="00686764" w:rsidP="00D50342">
            <w:pPr>
              <w:tabs>
                <w:tab w:val="left" w:pos="709"/>
                <w:tab w:val="left" w:pos="1080"/>
              </w:tabs>
              <w:ind w:firstLine="0"/>
              <w:jc w:val="right"/>
              <w:rPr>
                <w:sz w:val="20"/>
                <w:szCs w:val="20"/>
              </w:rPr>
            </w:pPr>
            <w:r w:rsidRPr="004761E0">
              <w:rPr>
                <w:sz w:val="20"/>
                <w:szCs w:val="20"/>
              </w:rPr>
              <w:t>05.08.2013</w:t>
            </w:r>
          </w:p>
        </w:tc>
        <w:tc>
          <w:tcPr>
            <w:tcW w:w="1276" w:type="dxa"/>
          </w:tcPr>
          <w:p w:rsidR="00686764" w:rsidRPr="004761E0" w:rsidRDefault="00686764" w:rsidP="00D50342">
            <w:pPr>
              <w:tabs>
                <w:tab w:val="left" w:pos="709"/>
                <w:tab w:val="left" w:pos="1080"/>
              </w:tabs>
              <w:ind w:firstLine="0"/>
              <w:jc w:val="right"/>
              <w:rPr>
                <w:sz w:val="20"/>
                <w:szCs w:val="20"/>
              </w:rPr>
            </w:pPr>
            <w:r w:rsidRPr="004761E0">
              <w:rPr>
                <w:sz w:val="20"/>
                <w:szCs w:val="20"/>
              </w:rPr>
              <w:t>42/13</w:t>
            </w:r>
          </w:p>
        </w:tc>
        <w:tc>
          <w:tcPr>
            <w:tcW w:w="1241" w:type="dxa"/>
          </w:tcPr>
          <w:p w:rsidR="00686764" w:rsidRPr="004761E0" w:rsidRDefault="00686764" w:rsidP="00D50342">
            <w:pPr>
              <w:tabs>
                <w:tab w:val="left" w:pos="709"/>
                <w:tab w:val="left" w:pos="1080"/>
              </w:tabs>
              <w:ind w:firstLine="0"/>
              <w:jc w:val="right"/>
              <w:rPr>
                <w:sz w:val="20"/>
                <w:szCs w:val="20"/>
              </w:rPr>
            </w:pPr>
            <w:r w:rsidRPr="004761E0">
              <w:rPr>
                <w:sz w:val="20"/>
                <w:szCs w:val="20"/>
              </w:rPr>
              <w:t>06.08.2013</w:t>
            </w:r>
          </w:p>
        </w:tc>
      </w:tr>
      <w:tr w:rsidR="00686764" w:rsidRPr="004761E0" w:rsidTr="00686764">
        <w:tc>
          <w:tcPr>
            <w:tcW w:w="567" w:type="dxa"/>
          </w:tcPr>
          <w:p w:rsidR="00686764" w:rsidRPr="004761E0" w:rsidRDefault="00686764" w:rsidP="007076A7">
            <w:pPr>
              <w:pStyle w:val="a5"/>
              <w:numPr>
                <w:ilvl w:val="0"/>
                <w:numId w:val="217"/>
              </w:numPr>
              <w:tabs>
                <w:tab w:val="left" w:pos="709"/>
                <w:tab w:val="left" w:pos="1080"/>
              </w:tabs>
              <w:rPr>
                <w:b/>
                <w:sz w:val="20"/>
                <w:szCs w:val="20"/>
              </w:rPr>
            </w:pPr>
          </w:p>
        </w:tc>
        <w:tc>
          <w:tcPr>
            <w:tcW w:w="5670" w:type="dxa"/>
          </w:tcPr>
          <w:p w:rsidR="00686764" w:rsidRPr="004761E0" w:rsidRDefault="00686764" w:rsidP="00D50342">
            <w:pPr>
              <w:pStyle w:val="a5"/>
              <w:widowControl w:val="0"/>
              <w:tabs>
                <w:tab w:val="left" w:pos="318"/>
              </w:tabs>
              <w:ind w:left="0" w:firstLine="0"/>
              <w:contextualSpacing w:val="0"/>
              <w:rPr>
                <w:sz w:val="20"/>
                <w:szCs w:val="20"/>
              </w:rPr>
            </w:pPr>
            <w:r w:rsidRPr="004761E0">
              <w:rPr>
                <w:sz w:val="20"/>
                <w:szCs w:val="20"/>
              </w:rPr>
              <w:t>Одобрена концепция управления капитализацией</w:t>
            </w:r>
          </w:p>
        </w:tc>
        <w:tc>
          <w:tcPr>
            <w:tcW w:w="1134" w:type="dxa"/>
          </w:tcPr>
          <w:p w:rsidR="00686764" w:rsidRPr="004761E0" w:rsidRDefault="00686764" w:rsidP="00D50342">
            <w:pPr>
              <w:tabs>
                <w:tab w:val="left" w:pos="709"/>
                <w:tab w:val="left" w:pos="1080"/>
              </w:tabs>
              <w:ind w:firstLine="0"/>
              <w:jc w:val="right"/>
              <w:rPr>
                <w:sz w:val="20"/>
                <w:szCs w:val="20"/>
              </w:rPr>
            </w:pPr>
            <w:r w:rsidRPr="004761E0">
              <w:rPr>
                <w:sz w:val="20"/>
                <w:szCs w:val="20"/>
              </w:rPr>
              <w:t>21.10.2013</w:t>
            </w:r>
          </w:p>
        </w:tc>
        <w:tc>
          <w:tcPr>
            <w:tcW w:w="1276" w:type="dxa"/>
          </w:tcPr>
          <w:p w:rsidR="00686764" w:rsidRPr="004761E0" w:rsidRDefault="00686764" w:rsidP="00D50342">
            <w:pPr>
              <w:tabs>
                <w:tab w:val="left" w:pos="709"/>
                <w:tab w:val="left" w:pos="1080"/>
              </w:tabs>
              <w:ind w:firstLine="0"/>
              <w:jc w:val="right"/>
              <w:rPr>
                <w:sz w:val="20"/>
                <w:szCs w:val="20"/>
              </w:rPr>
            </w:pPr>
            <w:r w:rsidRPr="004761E0">
              <w:rPr>
                <w:sz w:val="20"/>
                <w:szCs w:val="20"/>
              </w:rPr>
              <w:t>53/13</w:t>
            </w:r>
          </w:p>
        </w:tc>
        <w:tc>
          <w:tcPr>
            <w:tcW w:w="1241" w:type="dxa"/>
          </w:tcPr>
          <w:p w:rsidR="00686764" w:rsidRPr="004761E0" w:rsidRDefault="00686764" w:rsidP="00D50342">
            <w:pPr>
              <w:tabs>
                <w:tab w:val="left" w:pos="709"/>
                <w:tab w:val="left" w:pos="1080"/>
              </w:tabs>
              <w:ind w:firstLine="0"/>
              <w:jc w:val="right"/>
              <w:rPr>
                <w:sz w:val="20"/>
                <w:szCs w:val="20"/>
              </w:rPr>
            </w:pPr>
            <w:r w:rsidRPr="004761E0">
              <w:rPr>
                <w:sz w:val="20"/>
                <w:szCs w:val="20"/>
              </w:rPr>
              <w:t>22.10.2013</w:t>
            </w:r>
          </w:p>
        </w:tc>
      </w:tr>
    </w:tbl>
    <w:p w:rsidR="00686764" w:rsidRDefault="00686764" w:rsidP="00686764">
      <w:pPr>
        <w:spacing w:before="120" w:after="120"/>
        <w:ind w:firstLine="567"/>
        <w:rPr>
          <w:rFonts w:eastAsia="Times New Roman"/>
          <w:b/>
          <w:iCs/>
          <w:color w:val="000000"/>
          <w:sz w:val="26"/>
          <w:szCs w:val="26"/>
          <w:lang w:eastAsia="ru-RU"/>
        </w:rPr>
      </w:pPr>
      <w:r w:rsidRPr="004761E0">
        <w:rPr>
          <w:rFonts w:eastAsia="Times New Roman"/>
          <w:b/>
          <w:iCs/>
          <w:color w:val="000000"/>
          <w:sz w:val="26"/>
          <w:szCs w:val="26"/>
          <w:lang w:eastAsia="ru-RU"/>
        </w:rPr>
        <w:t>Средний процент участия членов Правления в заседаниях в отчетном году</w:t>
      </w:r>
    </w:p>
    <w:tbl>
      <w:tblPr>
        <w:tblW w:w="9936" w:type="dxa"/>
        <w:tblInd w:w="95" w:type="dxa"/>
        <w:tblLook w:val="04A0"/>
      </w:tblPr>
      <w:tblGrid>
        <w:gridCol w:w="580"/>
        <w:gridCol w:w="4820"/>
        <w:gridCol w:w="1134"/>
        <w:gridCol w:w="1134"/>
        <w:gridCol w:w="1134"/>
        <w:gridCol w:w="1134"/>
      </w:tblGrid>
      <w:tr w:rsidR="005C4306" w:rsidRPr="004761E0" w:rsidTr="005C4306">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5C4306" w:rsidRPr="004761E0" w:rsidRDefault="005C4306" w:rsidP="005C4306">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48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C4306" w:rsidRPr="004761E0" w:rsidRDefault="005C4306" w:rsidP="005C4306">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C4306" w:rsidRPr="004761E0" w:rsidRDefault="005C4306" w:rsidP="005C4306">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C4306" w:rsidRPr="004761E0" w:rsidRDefault="005C4306" w:rsidP="005C4306">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C4306" w:rsidRPr="004761E0" w:rsidRDefault="005C4306" w:rsidP="005C4306">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5C4306" w:rsidRPr="004761E0" w:rsidRDefault="005C4306" w:rsidP="005C4306">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5C4306" w:rsidRPr="004761E0" w:rsidTr="005C4306">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C4306" w:rsidRPr="004761E0" w:rsidRDefault="005C4306" w:rsidP="007076A7">
            <w:pPr>
              <w:numPr>
                <w:ilvl w:val="0"/>
                <w:numId w:val="26"/>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tcPr>
          <w:p w:rsidR="005C4306" w:rsidRPr="004761E0" w:rsidRDefault="005C4306" w:rsidP="005C4306">
            <w:pPr>
              <w:ind w:firstLine="0"/>
              <w:jc w:val="left"/>
              <w:rPr>
                <w:rFonts w:eastAsia="Times New Roman"/>
                <w:color w:val="211D1E"/>
                <w:sz w:val="20"/>
                <w:szCs w:val="20"/>
                <w:lang w:eastAsia="ru-RU"/>
              </w:rPr>
            </w:pPr>
            <w:r w:rsidRPr="004761E0">
              <w:rPr>
                <w:rFonts w:eastAsia="Times New Roman"/>
                <w:color w:val="211D1E"/>
                <w:sz w:val="20"/>
                <w:szCs w:val="20"/>
                <w:lang w:eastAsia="ru-RU"/>
              </w:rPr>
              <w:t xml:space="preserve">Состоявшихся заседаний Правления (всего), </w:t>
            </w:r>
          </w:p>
          <w:p w:rsidR="005C4306" w:rsidRPr="004761E0" w:rsidRDefault="005C4306" w:rsidP="005C4306">
            <w:pPr>
              <w:ind w:firstLine="0"/>
              <w:jc w:val="left"/>
              <w:rPr>
                <w:rFonts w:eastAsia="Times New Roman"/>
                <w:color w:val="211D1E"/>
                <w:sz w:val="20"/>
                <w:szCs w:val="20"/>
                <w:lang w:eastAsia="ru-RU"/>
              </w:rPr>
            </w:pPr>
            <w:r w:rsidRPr="004761E0">
              <w:rPr>
                <w:rFonts w:eastAsia="Times New Roman"/>
                <w:color w:val="211D1E"/>
                <w:sz w:val="20"/>
                <w:szCs w:val="20"/>
                <w:lang w:eastAsia="ru-RU"/>
              </w:rPr>
              <w:lastRenderedPageBreak/>
              <w:t>в т.ч.:</w:t>
            </w:r>
          </w:p>
        </w:tc>
        <w:tc>
          <w:tcPr>
            <w:tcW w:w="1134" w:type="dxa"/>
            <w:tcBorders>
              <w:top w:val="nil"/>
              <w:left w:val="nil"/>
              <w:bottom w:val="single" w:sz="4" w:space="0" w:color="auto"/>
              <w:right w:val="single" w:sz="4" w:space="0" w:color="auto"/>
            </w:tcBorders>
            <w:shd w:val="clear" w:color="auto" w:fill="auto"/>
            <w:vAlign w:val="center"/>
          </w:tcPr>
          <w:p w:rsidR="005C4306" w:rsidRPr="004761E0" w:rsidRDefault="005C4306" w:rsidP="005C430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lastRenderedPageBreak/>
              <w:t>67</w:t>
            </w:r>
          </w:p>
        </w:tc>
        <w:tc>
          <w:tcPr>
            <w:tcW w:w="1134" w:type="dxa"/>
            <w:tcBorders>
              <w:top w:val="nil"/>
              <w:left w:val="nil"/>
              <w:bottom w:val="single" w:sz="4" w:space="0" w:color="auto"/>
              <w:right w:val="single" w:sz="4" w:space="0" w:color="auto"/>
            </w:tcBorders>
            <w:shd w:val="clear" w:color="auto" w:fill="auto"/>
            <w:vAlign w:val="center"/>
          </w:tcPr>
          <w:p w:rsidR="005C4306" w:rsidRPr="004761E0" w:rsidRDefault="005C4306" w:rsidP="005C430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56</w:t>
            </w:r>
          </w:p>
        </w:tc>
        <w:tc>
          <w:tcPr>
            <w:tcW w:w="1134" w:type="dxa"/>
            <w:tcBorders>
              <w:top w:val="nil"/>
              <w:left w:val="nil"/>
              <w:bottom w:val="single" w:sz="4" w:space="0" w:color="auto"/>
              <w:right w:val="single" w:sz="4" w:space="0" w:color="auto"/>
            </w:tcBorders>
            <w:shd w:val="clear" w:color="auto" w:fill="auto"/>
            <w:vAlign w:val="center"/>
          </w:tcPr>
          <w:p w:rsidR="005C4306" w:rsidRPr="004761E0" w:rsidRDefault="005C4306" w:rsidP="005C430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62</w:t>
            </w:r>
          </w:p>
        </w:tc>
        <w:tc>
          <w:tcPr>
            <w:tcW w:w="1134" w:type="dxa"/>
            <w:tcBorders>
              <w:top w:val="nil"/>
              <w:left w:val="nil"/>
              <w:bottom w:val="single" w:sz="4" w:space="0" w:color="auto"/>
              <w:right w:val="single" w:sz="4" w:space="0" w:color="auto"/>
            </w:tcBorders>
            <w:shd w:val="clear" w:color="auto" w:fill="auto"/>
            <w:vAlign w:val="center"/>
          </w:tcPr>
          <w:p w:rsidR="005C4306" w:rsidRPr="00E93459" w:rsidRDefault="005C4306" w:rsidP="005C4306">
            <w:pPr>
              <w:ind w:firstLine="0"/>
              <w:jc w:val="right"/>
              <w:rPr>
                <w:color w:val="000000"/>
                <w:sz w:val="20"/>
                <w:szCs w:val="22"/>
              </w:rPr>
            </w:pPr>
            <w:r w:rsidRPr="00E93459">
              <w:rPr>
                <w:color w:val="000000"/>
                <w:sz w:val="20"/>
                <w:szCs w:val="22"/>
              </w:rPr>
              <w:t>10,71</w:t>
            </w:r>
            <w:r>
              <w:rPr>
                <w:color w:val="000000"/>
                <w:sz w:val="20"/>
                <w:szCs w:val="22"/>
                <w:lang w:val="en-US"/>
              </w:rPr>
              <w:t xml:space="preserve"> </w:t>
            </w:r>
            <w:r w:rsidRPr="00E93459">
              <w:rPr>
                <w:color w:val="000000"/>
                <w:sz w:val="20"/>
                <w:szCs w:val="22"/>
              </w:rPr>
              <w:t>%</w:t>
            </w:r>
          </w:p>
        </w:tc>
      </w:tr>
      <w:tr w:rsidR="005C4306" w:rsidRPr="004761E0" w:rsidTr="005C4306">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C4306" w:rsidRPr="004761E0" w:rsidRDefault="005C4306" w:rsidP="007076A7">
            <w:pPr>
              <w:pStyle w:val="a5"/>
              <w:numPr>
                <w:ilvl w:val="1"/>
                <w:numId w:val="26"/>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tcPr>
          <w:p w:rsidR="005C4306" w:rsidRPr="004761E0" w:rsidRDefault="005C4306" w:rsidP="00D701B7">
            <w:pPr>
              <w:ind w:firstLineChars="200" w:firstLine="400"/>
              <w:jc w:val="left"/>
              <w:rPr>
                <w:rFonts w:eastAsia="Times New Roman"/>
                <w:color w:val="211D1E"/>
                <w:sz w:val="20"/>
                <w:szCs w:val="20"/>
                <w:lang w:eastAsia="ru-RU"/>
              </w:rPr>
            </w:pPr>
            <w:r w:rsidRPr="004761E0">
              <w:rPr>
                <w:rFonts w:eastAsia="Times New Roman"/>
                <w:color w:val="211D1E"/>
                <w:sz w:val="20"/>
                <w:szCs w:val="20"/>
                <w:lang w:eastAsia="ru-RU"/>
              </w:rPr>
              <w:t xml:space="preserve">в </w:t>
            </w:r>
            <w:r w:rsidRPr="004761E0">
              <w:rPr>
                <w:rFonts w:eastAsia="Times New Roman"/>
                <w:color w:val="000000"/>
                <w:sz w:val="20"/>
                <w:szCs w:val="20"/>
                <w:lang w:eastAsia="ru-RU"/>
              </w:rPr>
              <w:t>очной</w:t>
            </w:r>
            <w:r w:rsidRPr="004761E0">
              <w:rPr>
                <w:rFonts w:eastAsia="Times New Roman"/>
                <w:color w:val="333333"/>
                <w:sz w:val="20"/>
                <w:szCs w:val="20"/>
                <w:lang w:eastAsia="ru-RU"/>
              </w:rPr>
              <w:t xml:space="preserve"> форме</w:t>
            </w:r>
          </w:p>
        </w:tc>
        <w:tc>
          <w:tcPr>
            <w:tcW w:w="1134" w:type="dxa"/>
            <w:tcBorders>
              <w:top w:val="nil"/>
              <w:left w:val="nil"/>
              <w:bottom w:val="single" w:sz="4" w:space="0" w:color="auto"/>
              <w:right w:val="single" w:sz="4" w:space="0" w:color="auto"/>
            </w:tcBorders>
            <w:shd w:val="clear" w:color="auto" w:fill="auto"/>
            <w:vAlign w:val="center"/>
          </w:tcPr>
          <w:p w:rsidR="005C4306" w:rsidRPr="004761E0" w:rsidRDefault="005C4306" w:rsidP="005C430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27</w:t>
            </w:r>
          </w:p>
        </w:tc>
        <w:tc>
          <w:tcPr>
            <w:tcW w:w="1134" w:type="dxa"/>
            <w:tcBorders>
              <w:top w:val="nil"/>
              <w:left w:val="nil"/>
              <w:bottom w:val="single" w:sz="4" w:space="0" w:color="auto"/>
              <w:right w:val="single" w:sz="4" w:space="0" w:color="auto"/>
            </w:tcBorders>
            <w:shd w:val="clear" w:color="auto" w:fill="auto"/>
            <w:vAlign w:val="center"/>
          </w:tcPr>
          <w:p w:rsidR="005C4306" w:rsidRPr="004761E0" w:rsidRDefault="005C4306" w:rsidP="005C430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33</w:t>
            </w:r>
          </w:p>
        </w:tc>
        <w:tc>
          <w:tcPr>
            <w:tcW w:w="1134" w:type="dxa"/>
            <w:tcBorders>
              <w:top w:val="nil"/>
              <w:left w:val="nil"/>
              <w:bottom w:val="single" w:sz="4" w:space="0" w:color="auto"/>
              <w:right w:val="single" w:sz="4" w:space="0" w:color="auto"/>
            </w:tcBorders>
            <w:shd w:val="clear" w:color="auto" w:fill="auto"/>
            <w:vAlign w:val="center"/>
          </w:tcPr>
          <w:p w:rsidR="005C4306" w:rsidRPr="004761E0" w:rsidRDefault="005C4306" w:rsidP="005C430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34</w:t>
            </w:r>
          </w:p>
        </w:tc>
        <w:tc>
          <w:tcPr>
            <w:tcW w:w="1134" w:type="dxa"/>
            <w:tcBorders>
              <w:top w:val="nil"/>
              <w:left w:val="nil"/>
              <w:bottom w:val="single" w:sz="4" w:space="0" w:color="auto"/>
              <w:right w:val="single" w:sz="4" w:space="0" w:color="auto"/>
            </w:tcBorders>
            <w:shd w:val="clear" w:color="auto" w:fill="auto"/>
            <w:vAlign w:val="center"/>
          </w:tcPr>
          <w:p w:rsidR="005C4306" w:rsidRPr="00E93459" w:rsidRDefault="005C4306" w:rsidP="005C4306">
            <w:pPr>
              <w:ind w:firstLine="0"/>
              <w:jc w:val="right"/>
              <w:rPr>
                <w:color w:val="000000"/>
                <w:sz w:val="20"/>
                <w:szCs w:val="22"/>
              </w:rPr>
            </w:pPr>
            <w:r w:rsidRPr="00E93459">
              <w:rPr>
                <w:color w:val="000000"/>
                <w:sz w:val="20"/>
                <w:szCs w:val="22"/>
              </w:rPr>
              <w:t>3,03</w:t>
            </w:r>
            <w:r>
              <w:rPr>
                <w:color w:val="000000"/>
                <w:sz w:val="20"/>
                <w:szCs w:val="22"/>
                <w:lang w:val="en-US"/>
              </w:rPr>
              <w:t xml:space="preserve"> </w:t>
            </w:r>
            <w:r w:rsidRPr="00E93459">
              <w:rPr>
                <w:color w:val="000000"/>
                <w:sz w:val="20"/>
                <w:szCs w:val="22"/>
              </w:rPr>
              <w:t>%</w:t>
            </w:r>
          </w:p>
        </w:tc>
      </w:tr>
      <w:tr w:rsidR="005C4306" w:rsidRPr="004761E0" w:rsidTr="005C4306">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C4306" w:rsidRPr="004761E0" w:rsidRDefault="005C4306" w:rsidP="007076A7">
            <w:pPr>
              <w:numPr>
                <w:ilvl w:val="0"/>
                <w:numId w:val="26"/>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tcPr>
          <w:p w:rsidR="005C4306" w:rsidRPr="004761E0" w:rsidRDefault="005C4306" w:rsidP="005C4306">
            <w:pPr>
              <w:ind w:firstLine="0"/>
              <w:jc w:val="left"/>
              <w:rPr>
                <w:rFonts w:eastAsia="Times New Roman"/>
                <w:color w:val="211D1E"/>
                <w:sz w:val="20"/>
                <w:szCs w:val="20"/>
                <w:lang w:eastAsia="ru-RU"/>
              </w:rPr>
            </w:pPr>
            <w:r w:rsidRPr="004761E0">
              <w:rPr>
                <w:rFonts w:eastAsia="Times New Roman"/>
                <w:color w:val="211D1E"/>
                <w:sz w:val="20"/>
                <w:szCs w:val="20"/>
                <w:lang w:eastAsia="ru-RU"/>
              </w:rPr>
              <w:t>Средний процент участия, %</w:t>
            </w:r>
          </w:p>
        </w:tc>
        <w:tc>
          <w:tcPr>
            <w:tcW w:w="1134" w:type="dxa"/>
            <w:tcBorders>
              <w:top w:val="nil"/>
              <w:left w:val="nil"/>
              <w:bottom w:val="single" w:sz="4" w:space="0" w:color="auto"/>
              <w:right w:val="single" w:sz="4" w:space="0" w:color="auto"/>
            </w:tcBorders>
            <w:shd w:val="clear" w:color="auto" w:fill="auto"/>
            <w:vAlign w:val="center"/>
          </w:tcPr>
          <w:p w:rsidR="005C4306" w:rsidRPr="004761E0" w:rsidRDefault="005C4306" w:rsidP="005C430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72,9</w:t>
            </w:r>
          </w:p>
        </w:tc>
        <w:tc>
          <w:tcPr>
            <w:tcW w:w="1134" w:type="dxa"/>
            <w:tcBorders>
              <w:top w:val="nil"/>
              <w:left w:val="nil"/>
              <w:bottom w:val="single" w:sz="4" w:space="0" w:color="auto"/>
              <w:right w:val="single" w:sz="4" w:space="0" w:color="auto"/>
            </w:tcBorders>
            <w:shd w:val="clear" w:color="auto" w:fill="auto"/>
            <w:vAlign w:val="center"/>
          </w:tcPr>
          <w:p w:rsidR="005C4306" w:rsidRPr="004761E0" w:rsidRDefault="005C4306" w:rsidP="005C430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64,1</w:t>
            </w:r>
          </w:p>
        </w:tc>
        <w:tc>
          <w:tcPr>
            <w:tcW w:w="1134" w:type="dxa"/>
            <w:tcBorders>
              <w:top w:val="nil"/>
              <w:left w:val="nil"/>
              <w:bottom w:val="single" w:sz="4" w:space="0" w:color="auto"/>
              <w:right w:val="single" w:sz="4" w:space="0" w:color="auto"/>
            </w:tcBorders>
            <w:shd w:val="clear" w:color="auto" w:fill="auto"/>
            <w:vAlign w:val="center"/>
          </w:tcPr>
          <w:p w:rsidR="005C4306" w:rsidRPr="004761E0" w:rsidRDefault="005C4306" w:rsidP="005C430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78,7</w:t>
            </w:r>
          </w:p>
        </w:tc>
        <w:tc>
          <w:tcPr>
            <w:tcW w:w="1134" w:type="dxa"/>
            <w:tcBorders>
              <w:top w:val="nil"/>
              <w:left w:val="nil"/>
              <w:bottom w:val="single" w:sz="4" w:space="0" w:color="auto"/>
              <w:right w:val="single" w:sz="4" w:space="0" w:color="auto"/>
            </w:tcBorders>
            <w:shd w:val="clear" w:color="auto" w:fill="auto"/>
            <w:vAlign w:val="center"/>
          </w:tcPr>
          <w:p w:rsidR="005C4306" w:rsidRPr="004761E0" w:rsidRDefault="005C4306" w:rsidP="005C430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14,6 п.п.</w:t>
            </w:r>
          </w:p>
        </w:tc>
      </w:tr>
    </w:tbl>
    <w:p w:rsidR="005C4306" w:rsidRPr="00924551" w:rsidRDefault="005C4306" w:rsidP="005C4306">
      <w:pPr>
        <w:ind w:firstLine="567"/>
        <w:rPr>
          <w:sz w:val="26"/>
          <w:szCs w:val="26"/>
        </w:rPr>
      </w:pPr>
      <w:r w:rsidRPr="00924551">
        <w:rPr>
          <w:rFonts w:eastAsia="Times New Roman"/>
          <w:iCs/>
          <w:color w:val="000000"/>
          <w:sz w:val="26"/>
          <w:szCs w:val="26"/>
          <w:lang w:eastAsia="ru-RU"/>
        </w:rPr>
        <w:t xml:space="preserve">Подробная информация об участии членов </w:t>
      </w:r>
      <w:r>
        <w:rPr>
          <w:rFonts w:eastAsia="Times New Roman"/>
          <w:iCs/>
          <w:color w:val="000000"/>
          <w:sz w:val="26"/>
          <w:szCs w:val="26"/>
          <w:lang w:eastAsia="ru-RU"/>
        </w:rPr>
        <w:t>Правления</w:t>
      </w:r>
      <w:r w:rsidRPr="00924551">
        <w:rPr>
          <w:rFonts w:eastAsia="Times New Roman"/>
          <w:iCs/>
          <w:color w:val="000000"/>
          <w:sz w:val="26"/>
          <w:szCs w:val="26"/>
          <w:lang w:eastAsia="ru-RU"/>
        </w:rPr>
        <w:t xml:space="preserve"> в заседаниях в отчетном году представлена в Приложении 12.</w:t>
      </w:r>
      <w:r w:rsidR="003146BC">
        <w:rPr>
          <w:rFonts w:eastAsia="Times New Roman"/>
          <w:iCs/>
          <w:color w:val="000000"/>
          <w:sz w:val="26"/>
          <w:szCs w:val="26"/>
          <w:lang w:eastAsia="ru-RU"/>
        </w:rPr>
        <w:t>2</w:t>
      </w:r>
      <w:r w:rsidRPr="00924551">
        <w:rPr>
          <w:rFonts w:eastAsia="Times New Roman"/>
          <w:iCs/>
          <w:color w:val="000000"/>
          <w:sz w:val="26"/>
          <w:szCs w:val="26"/>
          <w:lang w:eastAsia="ru-RU"/>
        </w:rPr>
        <w:t>. к Годовому отчету.</w:t>
      </w:r>
    </w:p>
    <w:p w:rsidR="00686764" w:rsidRPr="004761E0" w:rsidRDefault="00686764" w:rsidP="00686764">
      <w:pPr>
        <w:ind w:firstLine="0"/>
        <w:jc w:val="left"/>
        <w:rPr>
          <w:b/>
          <w:sz w:val="26"/>
          <w:szCs w:val="26"/>
          <w:lang w:eastAsia="ru-RU"/>
        </w:rPr>
      </w:pPr>
      <w:r w:rsidRPr="004761E0">
        <w:rPr>
          <w:b/>
          <w:noProof/>
          <w:sz w:val="26"/>
          <w:szCs w:val="26"/>
          <w:lang w:eastAsia="ru-RU"/>
        </w:rPr>
        <w:drawing>
          <wp:inline distT="0" distB="0" distL="0" distR="0">
            <wp:extent cx="2361063" cy="2483892"/>
            <wp:effectExtent l="0" t="0" r="20320" b="1206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r w:rsidRPr="004761E0">
        <w:rPr>
          <w:b/>
          <w:sz w:val="26"/>
          <w:szCs w:val="26"/>
          <w:lang w:eastAsia="ru-RU"/>
        </w:rPr>
        <w:t xml:space="preserve"> </w:t>
      </w:r>
      <w:r w:rsidRPr="004761E0">
        <w:rPr>
          <w:b/>
          <w:noProof/>
          <w:sz w:val="26"/>
          <w:szCs w:val="26"/>
          <w:lang w:eastAsia="ru-RU"/>
        </w:rPr>
        <w:drawing>
          <wp:inline distT="0" distB="0" distL="0" distR="0">
            <wp:extent cx="2183642" cy="2497541"/>
            <wp:effectExtent l="0" t="0" r="26670" b="1714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686764" w:rsidRPr="00743B24" w:rsidRDefault="00686764" w:rsidP="00743B24">
      <w:pPr>
        <w:spacing w:before="120" w:after="120"/>
        <w:ind w:firstLine="567"/>
        <w:rPr>
          <w:b/>
          <w:sz w:val="26"/>
          <w:szCs w:val="26"/>
          <w:lang w:eastAsia="ru-RU"/>
        </w:rPr>
      </w:pPr>
      <w:r w:rsidRPr="00743B24">
        <w:rPr>
          <w:b/>
          <w:sz w:val="26"/>
          <w:szCs w:val="26"/>
          <w:lang w:eastAsia="ru-RU"/>
        </w:rPr>
        <w:t>Вознаграждение, выплаченное членам Правления</w:t>
      </w:r>
    </w:p>
    <w:p w:rsidR="006B747D" w:rsidRPr="004761E0" w:rsidRDefault="00A3456D" w:rsidP="00A3456D">
      <w:pPr>
        <w:ind w:firstLine="567"/>
        <w:rPr>
          <w:rFonts w:ascii="Calibri" w:eastAsia="Times New Roman" w:hAnsi="Calibri"/>
          <w:color w:val="000000"/>
          <w:sz w:val="22"/>
          <w:szCs w:val="22"/>
          <w:lang w:eastAsia="ru-RU"/>
        </w:rPr>
      </w:pPr>
      <w:r w:rsidRPr="004761E0">
        <w:rPr>
          <w:sz w:val="26"/>
          <w:szCs w:val="26"/>
        </w:rPr>
        <w:t xml:space="preserve">Материальное стимулирование работников, являющихся членами Правления, в течение 2013 года определялось Положением о материальном стимулировании и социальном пакете </w:t>
      </w:r>
      <w:r w:rsidR="006B747D" w:rsidRPr="004761E0">
        <w:rPr>
          <w:sz w:val="26"/>
          <w:szCs w:val="26"/>
        </w:rPr>
        <w:t>в</w:t>
      </w:r>
      <w:r w:rsidRPr="004761E0">
        <w:rPr>
          <w:sz w:val="26"/>
          <w:szCs w:val="26"/>
        </w:rPr>
        <w:t>ысших менеджеров</w:t>
      </w:r>
      <w:r w:rsidRPr="006F4AB8">
        <w:rPr>
          <w:rStyle w:val="af1"/>
        </w:rPr>
        <w:footnoteReference w:id="93"/>
      </w:r>
      <w:r w:rsidRPr="004761E0">
        <w:rPr>
          <w:sz w:val="26"/>
          <w:szCs w:val="26"/>
        </w:rPr>
        <w:t xml:space="preserve"> и Положением о системе оплаты труда работников </w:t>
      </w:r>
      <w:r w:rsidR="006B747D" w:rsidRPr="004761E0">
        <w:rPr>
          <w:sz w:val="26"/>
          <w:szCs w:val="26"/>
        </w:rPr>
        <w:t>и</w:t>
      </w:r>
      <w:r w:rsidRPr="004761E0">
        <w:rPr>
          <w:sz w:val="26"/>
          <w:szCs w:val="26"/>
        </w:rPr>
        <w:t>сполнительного аппарата</w:t>
      </w:r>
      <w:r w:rsidRPr="006F4AB8">
        <w:rPr>
          <w:rStyle w:val="af1"/>
        </w:rPr>
        <w:footnoteReference w:id="94"/>
      </w:r>
      <w:r w:rsidRPr="004761E0">
        <w:rPr>
          <w:sz w:val="26"/>
          <w:szCs w:val="26"/>
        </w:rPr>
        <w:t>. В 2013 году вознаграждение, выплаченное членам Правления (персональная надбавка от должностного оклада)</w:t>
      </w:r>
      <w:r w:rsidR="00D701B7">
        <w:rPr>
          <w:sz w:val="26"/>
          <w:szCs w:val="26"/>
        </w:rPr>
        <w:t>,</w:t>
      </w:r>
      <w:r w:rsidRPr="004761E0">
        <w:rPr>
          <w:sz w:val="26"/>
          <w:szCs w:val="26"/>
        </w:rPr>
        <w:t xml:space="preserve"> составило 4,4 млн</w:t>
      </w:r>
      <w:r w:rsidR="006B747D" w:rsidRPr="004761E0">
        <w:rPr>
          <w:sz w:val="26"/>
          <w:szCs w:val="26"/>
        </w:rPr>
        <w:t xml:space="preserve"> </w:t>
      </w:r>
      <w:r w:rsidRPr="004761E0">
        <w:rPr>
          <w:sz w:val="26"/>
          <w:szCs w:val="26"/>
        </w:rPr>
        <w:t>руб.</w:t>
      </w:r>
      <w:r w:rsidR="006B747D" w:rsidRPr="004761E0">
        <w:rPr>
          <w:sz w:val="26"/>
          <w:szCs w:val="26"/>
        </w:rPr>
        <w:t xml:space="preserve"> </w:t>
      </w:r>
      <w:r w:rsidRPr="004761E0">
        <w:rPr>
          <w:sz w:val="26"/>
          <w:szCs w:val="26"/>
        </w:rPr>
        <w:t>без учета НДФЛ.</w:t>
      </w:r>
      <w:r w:rsidR="006B747D" w:rsidRPr="004761E0">
        <w:rPr>
          <w:rFonts w:ascii="Calibri" w:eastAsia="Times New Roman" w:hAnsi="Calibri"/>
          <w:color w:val="000000"/>
          <w:sz w:val="22"/>
          <w:szCs w:val="22"/>
          <w:lang w:eastAsia="ru-RU"/>
        </w:rPr>
        <w:t xml:space="preserve"> </w:t>
      </w:r>
    </w:p>
    <w:p w:rsidR="00686764" w:rsidRPr="004761E0" w:rsidRDefault="006B747D" w:rsidP="00743B24">
      <w:pPr>
        <w:spacing w:before="120" w:after="120"/>
        <w:ind w:firstLine="567"/>
        <w:rPr>
          <w:b/>
          <w:sz w:val="26"/>
          <w:szCs w:val="26"/>
          <w:lang w:eastAsia="ru-RU"/>
        </w:rPr>
      </w:pPr>
      <w:r w:rsidRPr="00743B24">
        <w:rPr>
          <w:b/>
          <w:sz w:val="26"/>
          <w:szCs w:val="26"/>
          <w:lang w:eastAsia="ru-RU"/>
        </w:rPr>
        <w:t>Вознаграждение, выплаченное членам Правления</w:t>
      </w:r>
    </w:p>
    <w:tbl>
      <w:tblPr>
        <w:tblW w:w="9936" w:type="dxa"/>
        <w:tblInd w:w="95" w:type="dxa"/>
        <w:tblLook w:val="04A0"/>
      </w:tblPr>
      <w:tblGrid>
        <w:gridCol w:w="580"/>
        <w:gridCol w:w="4820"/>
        <w:gridCol w:w="1134"/>
        <w:gridCol w:w="1134"/>
        <w:gridCol w:w="1134"/>
        <w:gridCol w:w="1134"/>
      </w:tblGrid>
      <w:tr w:rsidR="006B747D" w:rsidRPr="004761E0" w:rsidTr="00FA7E9B">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6B747D" w:rsidRPr="004761E0" w:rsidRDefault="006B747D" w:rsidP="00FA7E9B">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48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6B747D" w:rsidRPr="004761E0" w:rsidRDefault="006B747D" w:rsidP="00FA7E9B">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6B747D" w:rsidRPr="004761E0" w:rsidRDefault="006B747D" w:rsidP="00FA7E9B">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6B747D" w:rsidRPr="004761E0" w:rsidRDefault="006B747D" w:rsidP="00FA7E9B">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6B747D" w:rsidRPr="004761E0" w:rsidRDefault="006B747D" w:rsidP="00FA7E9B">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6B747D" w:rsidRPr="004761E0" w:rsidRDefault="006B747D" w:rsidP="00FA7E9B">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6B747D" w:rsidRPr="004761E0" w:rsidTr="009E4C8D">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6B747D" w:rsidRPr="004761E0" w:rsidRDefault="006B747D" w:rsidP="007076A7">
            <w:pPr>
              <w:numPr>
                <w:ilvl w:val="0"/>
                <w:numId w:val="253"/>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tcPr>
          <w:p w:rsidR="006B747D" w:rsidRPr="004761E0" w:rsidRDefault="0033029E" w:rsidP="0033029E">
            <w:pPr>
              <w:ind w:firstLine="0"/>
              <w:jc w:val="left"/>
              <w:rPr>
                <w:rFonts w:eastAsia="Times New Roman"/>
                <w:color w:val="000000"/>
                <w:sz w:val="20"/>
                <w:szCs w:val="20"/>
                <w:lang w:eastAsia="ru-RU"/>
              </w:rPr>
            </w:pPr>
            <w:r w:rsidRPr="0033029E">
              <w:rPr>
                <w:rFonts w:eastAsia="Times New Roman"/>
                <w:color w:val="000000"/>
                <w:sz w:val="20"/>
                <w:szCs w:val="20"/>
                <w:lang w:eastAsia="ru-RU"/>
              </w:rPr>
              <w:t>Воз</w:t>
            </w:r>
            <w:r>
              <w:rPr>
                <w:rFonts w:eastAsia="Times New Roman"/>
                <w:color w:val="000000"/>
                <w:sz w:val="20"/>
                <w:szCs w:val="20"/>
                <w:lang w:eastAsia="ru-RU"/>
              </w:rPr>
              <w:t>награждение, выплаченное членам П</w:t>
            </w:r>
            <w:r w:rsidRPr="0033029E">
              <w:rPr>
                <w:rFonts w:eastAsia="Times New Roman"/>
                <w:color w:val="000000"/>
                <w:sz w:val="20"/>
                <w:szCs w:val="20"/>
                <w:lang w:eastAsia="ru-RU"/>
              </w:rPr>
              <w:t>равления</w:t>
            </w:r>
            <w:r>
              <w:rPr>
                <w:rFonts w:eastAsia="Times New Roman"/>
                <w:color w:val="000000"/>
                <w:sz w:val="20"/>
                <w:szCs w:val="20"/>
                <w:lang w:eastAsia="ru-RU"/>
              </w:rPr>
              <w:t xml:space="preserve">, </w:t>
            </w:r>
            <w:r w:rsidR="006B747D" w:rsidRPr="004761E0">
              <w:rPr>
                <w:rFonts w:eastAsia="Times New Roman"/>
                <w:color w:val="000000"/>
                <w:sz w:val="20"/>
                <w:szCs w:val="20"/>
                <w:lang w:eastAsia="ru-RU"/>
              </w:rPr>
              <w:t>руб. без НДФЛ</w:t>
            </w:r>
          </w:p>
        </w:tc>
        <w:tc>
          <w:tcPr>
            <w:tcW w:w="1134" w:type="dxa"/>
            <w:tcBorders>
              <w:top w:val="nil"/>
              <w:left w:val="nil"/>
              <w:bottom w:val="single" w:sz="4" w:space="0" w:color="auto"/>
              <w:right w:val="single" w:sz="4" w:space="0" w:color="auto"/>
            </w:tcBorders>
            <w:shd w:val="clear" w:color="auto" w:fill="auto"/>
            <w:vAlign w:val="center"/>
          </w:tcPr>
          <w:p w:rsidR="006B747D" w:rsidRPr="004761E0" w:rsidRDefault="006B747D" w:rsidP="00FA7E9B">
            <w:pPr>
              <w:ind w:firstLine="0"/>
              <w:jc w:val="center"/>
              <w:rPr>
                <w:rFonts w:eastAsia="Times New Roman"/>
                <w:color w:val="000000"/>
                <w:sz w:val="20"/>
                <w:szCs w:val="20"/>
                <w:lang w:eastAsia="ru-RU"/>
              </w:rPr>
            </w:pPr>
            <w:r w:rsidRPr="004761E0">
              <w:rPr>
                <w:rFonts w:eastAsia="Times New Roman"/>
                <w:color w:val="000000"/>
                <w:sz w:val="20"/>
                <w:szCs w:val="20"/>
                <w:lang w:eastAsia="ru-RU"/>
              </w:rPr>
              <w:t>278 919</w:t>
            </w:r>
          </w:p>
        </w:tc>
        <w:tc>
          <w:tcPr>
            <w:tcW w:w="1134" w:type="dxa"/>
            <w:tcBorders>
              <w:top w:val="nil"/>
              <w:left w:val="nil"/>
              <w:bottom w:val="single" w:sz="4" w:space="0" w:color="auto"/>
              <w:right w:val="single" w:sz="4" w:space="0" w:color="auto"/>
            </w:tcBorders>
            <w:shd w:val="clear" w:color="auto" w:fill="auto"/>
            <w:vAlign w:val="center"/>
          </w:tcPr>
          <w:p w:rsidR="006B747D" w:rsidRPr="004761E0" w:rsidRDefault="006B747D" w:rsidP="00FA7E9B">
            <w:pPr>
              <w:ind w:firstLine="0"/>
              <w:jc w:val="center"/>
              <w:rPr>
                <w:rFonts w:eastAsia="Times New Roman"/>
                <w:color w:val="000000"/>
                <w:sz w:val="20"/>
                <w:szCs w:val="20"/>
                <w:lang w:eastAsia="ru-RU"/>
              </w:rPr>
            </w:pPr>
            <w:r w:rsidRPr="004761E0">
              <w:rPr>
                <w:rFonts w:eastAsia="Times New Roman"/>
                <w:color w:val="000000"/>
                <w:sz w:val="20"/>
                <w:szCs w:val="20"/>
                <w:lang w:eastAsia="ru-RU"/>
              </w:rPr>
              <w:t>1 702 406</w:t>
            </w:r>
          </w:p>
        </w:tc>
        <w:tc>
          <w:tcPr>
            <w:tcW w:w="1134" w:type="dxa"/>
            <w:tcBorders>
              <w:top w:val="nil"/>
              <w:left w:val="nil"/>
              <w:bottom w:val="single" w:sz="4" w:space="0" w:color="auto"/>
              <w:right w:val="single" w:sz="4" w:space="0" w:color="auto"/>
            </w:tcBorders>
            <w:shd w:val="clear" w:color="auto" w:fill="auto"/>
            <w:vAlign w:val="center"/>
          </w:tcPr>
          <w:p w:rsidR="006B747D" w:rsidRPr="004761E0" w:rsidRDefault="009E4C8D" w:rsidP="009E4C8D">
            <w:pPr>
              <w:ind w:firstLine="0"/>
              <w:jc w:val="center"/>
              <w:rPr>
                <w:rFonts w:eastAsia="Times New Roman"/>
                <w:color w:val="000000"/>
                <w:sz w:val="20"/>
                <w:szCs w:val="20"/>
                <w:lang w:eastAsia="ru-RU"/>
              </w:rPr>
            </w:pPr>
            <w:r w:rsidRPr="004761E0">
              <w:rPr>
                <w:rFonts w:eastAsia="Times New Roman"/>
                <w:color w:val="000000"/>
                <w:sz w:val="20"/>
                <w:szCs w:val="20"/>
                <w:lang w:eastAsia="ru-RU"/>
              </w:rPr>
              <w:t>4 427 798</w:t>
            </w:r>
          </w:p>
        </w:tc>
        <w:tc>
          <w:tcPr>
            <w:tcW w:w="1134" w:type="dxa"/>
            <w:tcBorders>
              <w:top w:val="nil"/>
              <w:left w:val="nil"/>
              <w:bottom w:val="single" w:sz="4" w:space="0" w:color="auto"/>
              <w:right w:val="single" w:sz="4" w:space="0" w:color="auto"/>
            </w:tcBorders>
            <w:shd w:val="clear" w:color="auto" w:fill="auto"/>
            <w:vAlign w:val="center"/>
          </w:tcPr>
          <w:p w:rsidR="006B747D" w:rsidRPr="004761E0" w:rsidRDefault="009E4C8D" w:rsidP="00FA7E9B">
            <w:pPr>
              <w:ind w:firstLine="0"/>
              <w:jc w:val="center"/>
              <w:rPr>
                <w:rFonts w:eastAsia="Times New Roman"/>
                <w:color w:val="000000"/>
                <w:sz w:val="20"/>
                <w:szCs w:val="20"/>
                <w:lang w:eastAsia="ru-RU"/>
              </w:rPr>
            </w:pPr>
            <w:r w:rsidRPr="004761E0">
              <w:rPr>
                <w:rFonts w:eastAsia="Times New Roman"/>
                <w:color w:val="000000"/>
                <w:sz w:val="20"/>
                <w:szCs w:val="20"/>
                <w:lang w:eastAsia="ru-RU"/>
              </w:rPr>
              <w:t>259,09 %</w:t>
            </w:r>
          </w:p>
        </w:tc>
      </w:tr>
    </w:tbl>
    <w:p w:rsidR="006B747D" w:rsidRPr="004761E0" w:rsidRDefault="006B747D" w:rsidP="0052104A">
      <w:pPr>
        <w:spacing w:before="120"/>
        <w:ind w:firstLine="567"/>
        <w:rPr>
          <w:sz w:val="26"/>
          <w:szCs w:val="26"/>
        </w:rPr>
      </w:pPr>
      <w:r w:rsidRPr="004761E0">
        <w:rPr>
          <w:rFonts w:eastAsia="Times New Roman"/>
          <w:color w:val="000000"/>
          <w:sz w:val="26"/>
          <w:szCs w:val="26"/>
          <w:lang w:eastAsia="ru-RU"/>
        </w:rPr>
        <w:t>Вознаграждение</w:t>
      </w:r>
      <w:r w:rsidR="006B3E4D" w:rsidRPr="004761E0">
        <w:rPr>
          <w:rFonts w:eastAsia="Times New Roman"/>
          <w:color w:val="000000"/>
          <w:sz w:val="26"/>
          <w:szCs w:val="26"/>
          <w:lang w:eastAsia="ru-RU"/>
        </w:rPr>
        <w:t>, выплаченное</w:t>
      </w:r>
      <w:r w:rsidRPr="004761E0">
        <w:rPr>
          <w:rFonts w:eastAsia="Times New Roman"/>
          <w:color w:val="000000"/>
          <w:sz w:val="26"/>
          <w:szCs w:val="26"/>
          <w:lang w:eastAsia="ru-RU"/>
        </w:rPr>
        <w:t xml:space="preserve"> членам Правления</w:t>
      </w:r>
      <w:r w:rsidR="006B3E4D" w:rsidRPr="004761E0">
        <w:rPr>
          <w:rFonts w:eastAsia="Times New Roman"/>
          <w:color w:val="000000"/>
          <w:sz w:val="26"/>
          <w:szCs w:val="26"/>
          <w:lang w:eastAsia="ru-RU"/>
        </w:rPr>
        <w:t xml:space="preserve"> в 2013 году, </w:t>
      </w:r>
      <w:r w:rsidRPr="004761E0">
        <w:rPr>
          <w:rFonts w:eastAsia="Times New Roman"/>
          <w:color w:val="000000"/>
          <w:sz w:val="26"/>
          <w:szCs w:val="26"/>
          <w:lang w:eastAsia="ru-RU"/>
        </w:rPr>
        <w:t xml:space="preserve">выросло за счет роста среднесписочной численности </w:t>
      </w:r>
      <w:r w:rsidR="0052104A" w:rsidRPr="004761E0">
        <w:rPr>
          <w:rFonts w:eastAsia="Times New Roman"/>
          <w:color w:val="000000"/>
          <w:sz w:val="26"/>
          <w:szCs w:val="26"/>
          <w:lang w:eastAsia="ru-RU"/>
        </w:rPr>
        <w:t xml:space="preserve">членов Правления </w:t>
      </w:r>
      <w:r w:rsidRPr="004761E0">
        <w:rPr>
          <w:rFonts w:eastAsia="Times New Roman"/>
          <w:color w:val="000000"/>
          <w:sz w:val="26"/>
          <w:szCs w:val="26"/>
          <w:lang w:eastAsia="ru-RU"/>
        </w:rPr>
        <w:t>(</w:t>
      </w:r>
      <w:r w:rsidR="0052104A" w:rsidRPr="004761E0">
        <w:rPr>
          <w:rFonts w:eastAsia="Times New Roman"/>
          <w:color w:val="000000"/>
          <w:sz w:val="26"/>
          <w:szCs w:val="26"/>
          <w:lang w:eastAsia="ru-RU"/>
        </w:rPr>
        <w:t xml:space="preserve">в </w:t>
      </w:r>
      <w:r w:rsidRPr="004761E0">
        <w:rPr>
          <w:rFonts w:eastAsia="Times New Roman"/>
          <w:color w:val="000000"/>
          <w:sz w:val="26"/>
          <w:szCs w:val="26"/>
          <w:lang w:eastAsia="ru-RU"/>
        </w:rPr>
        <w:t>2012 год</w:t>
      </w:r>
      <w:r w:rsidR="0052104A" w:rsidRPr="004761E0">
        <w:rPr>
          <w:rFonts w:eastAsia="Times New Roman"/>
          <w:color w:val="000000"/>
          <w:sz w:val="26"/>
          <w:szCs w:val="26"/>
          <w:lang w:eastAsia="ru-RU"/>
        </w:rPr>
        <w:t>у –</w:t>
      </w:r>
      <w:r w:rsidRPr="004761E0">
        <w:rPr>
          <w:rFonts w:eastAsia="Times New Roman"/>
          <w:color w:val="000000"/>
          <w:sz w:val="26"/>
          <w:szCs w:val="26"/>
          <w:lang w:eastAsia="ru-RU"/>
        </w:rPr>
        <w:t xml:space="preserve"> 5,6 чел., </w:t>
      </w:r>
      <w:r w:rsidR="0052104A" w:rsidRPr="004761E0">
        <w:rPr>
          <w:rFonts w:eastAsia="Times New Roman"/>
          <w:color w:val="000000"/>
          <w:sz w:val="26"/>
          <w:szCs w:val="26"/>
          <w:lang w:eastAsia="ru-RU"/>
        </w:rPr>
        <w:t xml:space="preserve">в </w:t>
      </w:r>
      <w:r w:rsidRPr="004761E0">
        <w:rPr>
          <w:rFonts w:eastAsia="Times New Roman"/>
          <w:color w:val="000000"/>
          <w:sz w:val="26"/>
          <w:szCs w:val="26"/>
          <w:lang w:eastAsia="ru-RU"/>
        </w:rPr>
        <w:t>2013 год</w:t>
      </w:r>
      <w:r w:rsidR="0052104A" w:rsidRPr="004761E0">
        <w:rPr>
          <w:rFonts w:eastAsia="Times New Roman"/>
          <w:color w:val="000000"/>
          <w:sz w:val="26"/>
          <w:szCs w:val="26"/>
          <w:lang w:eastAsia="ru-RU"/>
        </w:rPr>
        <w:t>у</w:t>
      </w:r>
      <w:r w:rsidRPr="004761E0">
        <w:rPr>
          <w:rFonts w:eastAsia="Times New Roman"/>
          <w:color w:val="000000"/>
          <w:sz w:val="26"/>
          <w:szCs w:val="26"/>
          <w:lang w:eastAsia="ru-RU"/>
        </w:rPr>
        <w:t xml:space="preserve"> 9,9 чел.).</w:t>
      </w:r>
    </w:p>
    <w:p w:rsidR="006B3E4D" w:rsidRPr="004761E0" w:rsidRDefault="006B3E4D">
      <w:pPr>
        <w:ind w:firstLine="0"/>
        <w:jc w:val="left"/>
        <w:rPr>
          <w:b/>
          <w:sz w:val="26"/>
          <w:szCs w:val="26"/>
          <w:lang w:eastAsia="ru-RU"/>
        </w:rPr>
      </w:pPr>
      <w:r w:rsidRPr="004761E0">
        <w:rPr>
          <w:b/>
          <w:noProof/>
          <w:sz w:val="26"/>
          <w:szCs w:val="26"/>
          <w:lang w:eastAsia="ru-RU"/>
        </w:rPr>
        <w:lastRenderedPageBreak/>
        <w:drawing>
          <wp:inline distT="0" distB="0" distL="0" distR="0">
            <wp:extent cx="2658313" cy="2435962"/>
            <wp:effectExtent l="19050" t="0" r="27737" b="2438"/>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3E4866" w:rsidRPr="004761E0" w:rsidRDefault="003E4866">
      <w:pPr>
        <w:ind w:firstLine="0"/>
        <w:jc w:val="left"/>
        <w:rPr>
          <w:rFonts w:eastAsia="Times New Roman"/>
          <w:b/>
          <w:sz w:val="26"/>
          <w:szCs w:val="26"/>
          <w:lang w:eastAsia="ru-RU"/>
        </w:rPr>
      </w:pPr>
      <w:r w:rsidRPr="004761E0">
        <w:rPr>
          <w:b/>
          <w:sz w:val="26"/>
          <w:szCs w:val="26"/>
          <w:lang w:eastAsia="ru-RU"/>
        </w:rPr>
        <w:br w:type="page"/>
      </w:r>
    </w:p>
    <w:p w:rsidR="003E4866" w:rsidRPr="004761E0" w:rsidRDefault="003E4866" w:rsidP="007076A7">
      <w:pPr>
        <w:pStyle w:val="a8"/>
        <w:numPr>
          <w:ilvl w:val="1"/>
          <w:numId w:val="321"/>
        </w:numPr>
        <w:spacing w:before="120" w:after="120"/>
        <w:ind w:left="1134" w:hanging="567"/>
        <w:jc w:val="both"/>
        <w:rPr>
          <w:rFonts w:ascii="Times New Roman" w:hAnsi="Times New Roman"/>
          <w:b/>
          <w:sz w:val="26"/>
          <w:szCs w:val="26"/>
        </w:rPr>
      </w:pPr>
      <w:bookmarkStart w:id="100" w:name="_Toc385339830"/>
      <w:r w:rsidRPr="004761E0">
        <w:rPr>
          <w:rFonts w:ascii="Times New Roman" w:hAnsi="Times New Roman"/>
          <w:b/>
          <w:sz w:val="26"/>
          <w:szCs w:val="26"/>
        </w:rPr>
        <w:lastRenderedPageBreak/>
        <w:t>Генеральный директор</w:t>
      </w:r>
      <w:bookmarkEnd w:id="100"/>
    </w:p>
    <w:p w:rsidR="00D50342" w:rsidRPr="004761E0" w:rsidRDefault="00D50342" w:rsidP="00D50342">
      <w:pPr>
        <w:ind w:firstLine="567"/>
        <w:rPr>
          <w:sz w:val="26"/>
          <w:szCs w:val="26"/>
          <w:lang w:eastAsia="ru-RU"/>
        </w:rPr>
      </w:pPr>
      <w:r w:rsidRPr="004761E0">
        <w:rPr>
          <w:sz w:val="26"/>
          <w:szCs w:val="26"/>
          <w:lang w:eastAsia="ru-RU"/>
        </w:rPr>
        <w:t>Генеральный директор осуществляет руководство текущей деятельностью Общества в соответствии с решениями Общего собрания акционеров, Совета директоров и Правления, принятыми в соответствии с их компетенцией.</w:t>
      </w:r>
    </w:p>
    <w:p w:rsidR="00D50342" w:rsidRPr="004761E0" w:rsidRDefault="003B2247" w:rsidP="00D50342">
      <w:pPr>
        <w:ind w:firstLine="567"/>
        <w:rPr>
          <w:sz w:val="26"/>
          <w:szCs w:val="26"/>
          <w:lang w:eastAsia="ru-RU"/>
        </w:rPr>
      </w:pPr>
      <w:r>
        <w:rPr>
          <w:sz w:val="26"/>
          <w:szCs w:val="26"/>
          <w:lang w:eastAsia="ru-RU"/>
        </w:rPr>
        <w:t>К компетенции г</w:t>
      </w:r>
      <w:r w:rsidR="00D50342" w:rsidRPr="004761E0">
        <w:rPr>
          <w:sz w:val="26"/>
          <w:szCs w:val="26"/>
          <w:lang w:eastAsia="ru-RU"/>
        </w:rPr>
        <w:t>енерального директора относятся все вопросы руководства текущей деятельностью Общества, за исключением вопросов, отнесенных к компетенции Общего собрания акционеров, Совета директоров и Правления.</w:t>
      </w:r>
    </w:p>
    <w:p w:rsidR="00D50342" w:rsidRPr="004761E0" w:rsidRDefault="00D50342" w:rsidP="00D50342">
      <w:pPr>
        <w:ind w:firstLine="567"/>
        <w:rPr>
          <w:sz w:val="26"/>
          <w:szCs w:val="26"/>
          <w:lang w:eastAsia="ru-RU"/>
        </w:rPr>
      </w:pPr>
      <w:r w:rsidRPr="004761E0">
        <w:rPr>
          <w:sz w:val="26"/>
          <w:szCs w:val="26"/>
          <w:lang w:eastAsia="ru-RU"/>
        </w:rPr>
        <w:t>Генеральный директор без доверенности действует от имени Общества, в т</w:t>
      </w:r>
      <w:r w:rsidR="00B676D3" w:rsidRPr="004761E0">
        <w:rPr>
          <w:sz w:val="26"/>
          <w:szCs w:val="26"/>
          <w:lang w:eastAsia="ru-RU"/>
        </w:rPr>
        <w:t>.ч.</w:t>
      </w:r>
      <w:r w:rsidRPr="004761E0">
        <w:rPr>
          <w:sz w:val="26"/>
          <w:szCs w:val="26"/>
          <w:lang w:eastAsia="ru-RU"/>
        </w:rPr>
        <w:t xml:space="preserve"> с учетом ограничений, предусмотренных действующим законодательством, Уставом и решениями Совета директоров: </w:t>
      </w:r>
    </w:p>
    <w:p w:rsidR="00D50342" w:rsidRPr="004761E0" w:rsidRDefault="00D50342" w:rsidP="007076A7">
      <w:pPr>
        <w:pStyle w:val="a5"/>
        <w:numPr>
          <w:ilvl w:val="0"/>
          <w:numId w:val="58"/>
        </w:numPr>
        <w:ind w:left="1134" w:hanging="567"/>
        <w:rPr>
          <w:sz w:val="26"/>
          <w:szCs w:val="26"/>
          <w:lang w:eastAsia="ru-RU"/>
        </w:rPr>
      </w:pPr>
      <w:r w:rsidRPr="004761E0">
        <w:rPr>
          <w:sz w:val="26"/>
          <w:szCs w:val="26"/>
          <w:lang w:eastAsia="ru-RU"/>
        </w:rPr>
        <w:t>обеспечивает выполнение планов деятельности Общества, необходимых для решения его задач;</w:t>
      </w:r>
    </w:p>
    <w:p w:rsidR="00D50342" w:rsidRPr="004761E0" w:rsidRDefault="00D50342" w:rsidP="007076A7">
      <w:pPr>
        <w:pStyle w:val="a5"/>
        <w:numPr>
          <w:ilvl w:val="0"/>
          <w:numId w:val="58"/>
        </w:numPr>
        <w:ind w:left="1134" w:hanging="567"/>
        <w:rPr>
          <w:sz w:val="26"/>
          <w:szCs w:val="26"/>
          <w:lang w:eastAsia="ru-RU"/>
        </w:rPr>
      </w:pPr>
      <w:r w:rsidRPr="004761E0">
        <w:rPr>
          <w:sz w:val="26"/>
          <w:szCs w:val="26"/>
          <w:lang w:eastAsia="ru-RU"/>
        </w:rPr>
        <w:t>организует ведение бухгалтерского учета и отчетности в Обществе;</w:t>
      </w:r>
    </w:p>
    <w:p w:rsidR="00D50342" w:rsidRPr="004761E0" w:rsidRDefault="00D50342" w:rsidP="007076A7">
      <w:pPr>
        <w:pStyle w:val="a5"/>
        <w:numPr>
          <w:ilvl w:val="0"/>
          <w:numId w:val="58"/>
        </w:numPr>
        <w:ind w:left="1134" w:hanging="567"/>
        <w:rPr>
          <w:sz w:val="26"/>
          <w:szCs w:val="26"/>
          <w:lang w:eastAsia="ru-RU"/>
        </w:rPr>
      </w:pPr>
      <w:r w:rsidRPr="004761E0">
        <w:rPr>
          <w:sz w:val="26"/>
          <w:szCs w:val="26"/>
          <w:lang w:eastAsia="ru-RU"/>
        </w:rPr>
        <w:t>распоряжается имуществом Общества, совершает сделки от имени Общества, выдает доверенности, открывает в банках, иных кредитных организациях расчетные и иные счета Общества;</w:t>
      </w:r>
    </w:p>
    <w:p w:rsidR="00D50342" w:rsidRPr="004761E0" w:rsidRDefault="00D50342" w:rsidP="007076A7">
      <w:pPr>
        <w:pStyle w:val="a5"/>
        <w:numPr>
          <w:ilvl w:val="0"/>
          <w:numId w:val="58"/>
        </w:numPr>
        <w:ind w:left="1134" w:hanging="567"/>
        <w:rPr>
          <w:sz w:val="26"/>
          <w:szCs w:val="26"/>
          <w:lang w:eastAsia="ru-RU"/>
        </w:rPr>
      </w:pPr>
      <w:r w:rsidRPr="004761E0">
        <w:rPr>
          <w:sz w:val="26"/>
          <w:szCs w:val="26"/>
          <w:lang w:eastAsia="ru-RU"/>
        </w:rPr>
        <w:t>осуществляет в отношении работников Общества права и обязанности работодателя, предусмотренные трудовым законодательством;</w:t>
      </w:r>
    </w:p>
    <w:p w:rsidR="00D50342" w:rsidRPr="004761E0" w:rsidRDefault="00D50342" w:rsidP="007076A7">
      <w:pPr>
        <w:pStyle w:val="a5"/>
        <w:numPr>
          <w:ilvl w:val="0"/>
          <w:numId w:val="58"/>
        </w:numPr>
        <w:ind w:left="1134" w:hanging="567"/>
        <w:rPr>
          <w:sz w:val="26"/>
          <w:szCs w:val="26"/>
          <w:lang w:eastAsia="ru-RU"/>
        </w:rPr>
      </w:pPr>
      <w:r w:rsidRPr="004761E0">
        <w:rPr>
          <w:sz w:val="26"/>
          <w:szCs w:val="26"/>
          <w:lang w:eastAsia="ru-RU"/>
        </w:rPr>
        <w:t>решает иные вопросы текущей деятельности Общества, за исключением вопросов, отнесенных к компетенции Общего собрания акционеров</w:t>
      </w:r>
      <w:r w:rsidR="00A26737" w:rsidRPr="004761E0">
        <w:rPr>
          <w:sz w:val="26"/>
          <w:szCs w:val="26"/>
          <w:lang w:eastAsia="ru-RU"/>
        </w:rPr>
        <w:t>, Совета директоров и Правления</w:t>
      </w:r>
      <w:r w:rsidRPr="004761E0">
        <w:rPr>
          <w:sz w:val="26"/>
          <w:szCs w:val="26"/>
          <w:lang w:eastAsia="ru-RU"/>
        </w:rPr>
        <w:t>.</w:t>
      </w:r>
    </w:p>
    <w:p w:rsidR="00D50342" w:rsidRPr="004761E0" w:rsidRDefault="00D50342" w:rsidP="00D50342">
      <w:pPr>
        <w:ind w:firstLine="567"/>
        <w:rPr>
          <w:snapToGrid w:val="0"/>
          <w:sz w:val="26"/>
          <w:szCs w:val="26"/>
        </w:rPr>
      </w:pPr>
      <w:r w:rsidRPr="004761E0">
        <w:rPr>
          <w:snapToGrid w:val="0"/>
          <w:sz w:val="26"/>
          <w:szCs w:val="26"/>
        </w:rPr>
        <w:t>Решением Совета директоров от 05.02.2013 генеральным директором Общества избран Синютин Петр Алексеевич (с 04.07.2012, 11.07.2012 по 05.02.2013 Синютин П.А. занимал должность исполняющего обязанности генерального директора Общества).</w:t>
      </w:r>
    </w:p>
    <w:p w:rsidR="00D50342" w:rsidRPr="004761E0" w:rsidRDefault="00D50342" w:rsidP="00D50342">
      <w:pPr>
        <w:ind w:firstLine="567"/>
        <w:rPr>
          <w:rStyle w:val="Subst0"/>
          <w:b w:val="0"/>
          <w:i w:val="0"/>
          <w:sz w:val="26"/>
          <w:szCs w:val="26"/>
        </w:rPr>
      </w:pPr>
      <w:r w:rsidRPr="004761E0">
        <w:rPr>
          <w:rStyle w:val="Subst0"/>
          <w:b w:val="0"/>
          <w:i w:val="0"/>
          <w:sz w:val="26"/>
          <w:szCs w:val="26"/>
        </w:rPr>
        <w:t xml:space="preserve">Синютин П.А. родился в 1962 году. Закончил Челябинский политехнический институт по специальности «инженер-электрик», Академию Госслужбы при Президенте РФ по специальности «государственное и муниципальное управление». Кандидат технических наук, доктор экономических наук. </w:t>
      </w:r>
    </w:p>
    <w:p w:rsidR="00D50342" w:rsidRPr="004761E0" w:rsidRDefault="00D50342" w:rsidP="00D50342">
      <w:pPr>
        <w:ind w:firstLine="567"/>
        <w:rPr>
          <w:rStyle w:val="Subst0"/>
          <w:b w:val="0"/>
          <w:i w:val="0"/>
          <w:sz w:val="26"/>
          <w:szCs w:val="26"/>
        </w:rPr>
      </w:pPr>
      <w:r w:rsidRPr="004761E0">
        <w:rPr>
          <w:rStyle w:val="Subst0"/>
          <w:b w:val="0"/>
          <w:i w:val="0"/>
          <w:sz w:val="26"/>
          <w:szCs w:val="26"/>
        </w:rPr>
        <w:t xml:space="preserve">В 2008-2012 гг. возглавлял </w:t>
      </w:r>
      <w:r w:rsidR="0008080E">
        <w:rPr>
          <w:rStyle w:val="Subst0"/>
          <w:b w:val="0"/>
          <w:i w:val="0"/>
          <w:sz w:val="26"/>
          <w:szCs w:val="26"/>
        </w:rPr>
        <w:t>ОАО </w:t>
      </w:r>
      <w:r w:rsidRPr="004761E0">
        <w:rPr>
          <w:rStyle w:val="Subst0"/>
          <w:b w:val="0"/>
          <w:i w:val="0"/>
          <w:sz w:val="26"/>
          <w:szCs w:val="26"/>
        </w:rPr>
        <w:t xml:space="preserve">«Мосэнергосбыт», сначала в должности генерального директора </w:t>
      </w:r>
      <w:r w:rsidR="0008080E">
        <w:rPr>
          <w:rStyle w:val="Subst0"/>
          <w:b w:val="0"/>
          <w:i w:val="0"/>
          <w:sz w:val="26"/>
          <w:szCs w:val="26"/>
        </w:rPr>
        <w:t>ОАО </w:t>
      </w:r>
      <w:r w:rsidRPr="004761E0">
        <w:rPr>
          <w:rStyle w:val="Subst0"/>
          <w:b w:val="0"/>
          <w:i w:val="0"/>
          <w:sz w:val="26"/>
          <w:szCs w:val="26"/>
        </w:rPr>
        <w:t xml:space="preserve">«Мосэнергосбыт», а после передачи в 2010 году функций управляющей организации </w:t>
      </w:r>
      <w:r w:rsidR="0008080E">
        <w:rPr>
          <w:rStyle w:val="Subst0"/>
          <w:b w:val="0"/>
          <w:i w:val="0"/>
          <w:sz w:val="26"/>
          <w:szCs w:val="26"/>
        </w:rPr>
        <w:t>ОАО </w:t>
      </w:r>
      <w:r w:rsidRPr="004761E0">
        <w:rPr>
          <w:rStyle w:val="Subst0"/>
          <w:b w:val="0"/>
          <w:i w:val="0"/>
          <w:sz w:val="26"/>
          <w:szCs w:val="26"/>
        </w:rPr>
        <w:t xml:space="preserve">«Объединенная энергосбытовая компания» – единоличному исполнительному органу </w:t>
      </w:r>
      <w:r w:rsidR="0008080E">
        <w:rPr>
          <w:rStyle w:val="Subst0"/>
          <w:b w:val="0"/>
          <w:i w:val="0"/>
          <w:sz w:val="26"/>
          <w:szCs w:val="26"/>
        </w:rPr>
        <w:t>ОАО </w:t>
      </w:r>
      <w:r w:rsidRPr="004761E0">
        <w:rPr>
          <w:rStyle w:val="Subst0"/>
          <w:b w:val="0"/>
          <w:i w:val="0"/>
          <w:sz w:val="26"/>
          <w:szCs w:val="26"/>
        </w:rPr>
        <w:t xml:space="preserve">«ИНТЕР РАО ЕЭС» – в должности управляющего директора – первого заместителя генерального директора </w:t>
      </w:r>
      <w:r w:rsidR="0008080E">
        <w:rPr>
          <w:rStyle w:val="Subst0"/>
          <w:b w:val="0"/>
          <w:i w:val="0"/>
          <w:sz w:val="26"/>
          <w:szCs w:val="26"/>
        </w:rPr>
        <w:t>ОАО </w:t>
      </w:r>
      <w:r w:rsidRPr="004761E0">
        <w:rPr>
          <w:rStyle w:val="Subst0"/>
          <w:b w:val="0"/>
          <w:i w:val="0"/>
          <w:sz w:val="26"/>
          <w:szCs w:val="26"/>
        </w:rPr>
        <w:t>«Мосэнергосбыт».</w:t>
      </w:r>
    </w:p>
    <w:p w:rsidR="005C4306" w:rsidRPr="00924551" w:rsidRDefault="005C4306" w:rsidP="005C4306">
      <w:pPr>
        <w:ind w:firstLine="567"/>
        <w:rPr>
          <w:sz w:val="26"/>
          <w:szCs w:val="26"/>
        </w:rPr>
      </w:pPr>
      <w:r w:rsidRPr="00924551">
        <w:rPr>
          <w:rFonts w:eastAsia="Times New Roman"/>
          <w:iCs/>
          <w:color w:val="000000"/>
          <w:sz w:val="26"/>
          <w:szCs w:val="26"/>
          <w:lang w:eastAsia="ru-RU"/>
        </w:rPr>
        <w:t xml:space="preserve">Подробная информация </w:t>
      </w:r>
      <w:r>
        <w:rPr>
          <w:rFonts w:eastAsia="Times New Roman"/>
          <w:iCs/>
          <w:color w:val="000000"/>
          <w:sz w:val="26"/>
          <w:szCs w:val="26"/>
          <w:lang w:eastAsia="ru-RU"/>
        </w:rPr>
        <w:t>о</w:t>
      </w:r>
      <w:r w:rsidRPr="00924551">
        <w:rPr>
          <w:rFonts w:eastAsia="Times New Roman"/>
          <w:iCs/>
          <w:color w:val="000000"/>
          <w:sz w:val="26"/>
          <w:szCs w:val="26"/>
          <w:lang w:eastAsia="ru-RU"/>
        </w:rPr>
        <w:t xml:space="preserve"> </w:t>
      </w:r>
      <w:r>
        <w:rPr>
          <w:rFonts w:eastAsia="Times New Roman"/>
          <w:iCs/>
          <w:color w:val="000000"/>
          <w:sz w:val="26"/>
          <w:szCs w:val="26"/>
          <w:lang w:eastAsia="ru-RU"/>
        </w:rPr>
        <w:t xml:space="preserve">Генеральном директоре </w:t>
      </w:r>
      <w:r w:rsidRPr="00924551">
        <w:rPr>
          <w:rFonts w:eastAsia="Times New Roman"/>
          <w:iCs/>
          <w:color w:val="000000"/>
          <w:sz w:val="26"/>
          <w:szCs w:val="26"/>
          <w:lang w:eastAsia="ru-RU"/>
        </w:rPr>
        <w:t>представлена в Приложении 12.</w:t>
      </w:r>
      <w:r w:rsidR="003146BC">
        <w:rPr>
          <w:rFonts w:eastAsia="Times New Roman"/>
          <w:iCs/>
          <w:color w:val="000000"/>
          <w:sz w:val="26"/>
          <w:szCs w:val="26"/>
          <w:lang w:eastAsia="ru-RU"/>
        </w:rPr>
        <w:t>3</w:t>
      </w:r>
      <w:r w:rsidRPr="00924551">
        <w:rPr>
          <w:rFonts w:eastAsia="Times New Roman"/>
          <w:iCs/>
          <w:color w:val="000000"/>
          <w:sz w:val="26"/>
          <w:szCs w:val="26"/>
          <w:lang w:eastAsia="ru-RU"/>
        </w:rPr>
        <w:t>. к Годовому отчету.</w:t>
      </w:r>
    </w:p>
    <w:p w:rsidR="00C0652D" w:rsidRPr="00743B24" w:rsidRDefault="00D50342" w:rsidP="00743B24">
      <w:pPr>
        <w:spacing w:before="120" w:after="120"/>
        <w:ind w:firstLine="567"/>
        <w:rPr>
          <w:b/>
          <w:sz w:val="26"/>
          <w:szCs w:val="26"/>
          <w:lang w:eastAsia="ru-RU"/>
        </w:rPr>
      </w:pPr>
      <w:r w:rsidRPr="00743B24">
        <w:rPr>
          <w:b/>
          <w:sz w:val="26"/>
          <w:szCs w:val="26"/>
          <w:lang w:eastAsia="ru-RU"/>
        </w:rPr>
        <w:t xml:space="preserve">Вознаграждение, выплаченное </w:t>
      </w:r>
      <w:r w:rsidR="003B2247">
        <w:rPr>
          <w:b/>
          <w:sz w:val="26"/>
          <w:szCs w:val="26"/>
          <w:lang w:eastAsia="ru-RU"/>
        </w:rPr>
        <w:t>г</w:t>
      </w:r>
      <w:r w:rsidRPr="00743B24">
        <w:rPr>
          <w:b/>
          <w:sz w:val="26"/>
          <w:szCs w:val="26"/>
          <w:lang w:eastAsia="ru-RU"/>
        </w:rPr>
        <w:t>енеральному директору</w:t>
      </w:r>
    </w:p>
    <w:p w:rsidR="00B95B3A" w:rsidRPr="004761E0" w:rsidRDefault="00B95B3A" w:rsidP="00B95B3A">
      <w:pPr>
        <w:ind w:firstLine="567"/>
        <w:rPr>
          <w:sz w:val="26"/>
          <w:szCs w:val="26"/>
        </w:rPr>
      </w:pPr>
      <w:r w:rsidRPr="004761E0">
        <w:rPr>
          <w:sz w:val="26"/>
          <w:szCs w:val="26"/>
        </w:rPr>
        <w:t xml:space="preserve">Материальное стимулирование Генерального директора в течение 2013 года определялось Положением о материальном стимулировании </w:t>
      </w:r>
      <w:r w:rsidR="003B2247">
        <w:rPr>
          <w:sz w:val="26"/>
          <w:szCs w:val="26"/>
        </w:rPr>
        <w:t>г</w:t>
      </w:r>
      <w:r w:rsidRPr="004761E0">
        <w:rPr>
          <w:sz w:val="26"/>
          <w:szCs w:val="26"/>
        </w:rPr>
        <w:t>енерального директора</w:t>
      </w:r>
      <w:r w:rsidR="006B747D" w:rsidRPr="006F4AB8">
        <w:rPr>
          <w:rStyle w:val="af1"/>
        </w:rPr>
        <w:footnoteReference w:id="95"/>
      </w:r>
      <w:r w:rsidRPr="004761E0">
        <w:rPr>
          <w:sz w:val="26"/>
          <w:szCs w:val="26"/>
        </w:rPr>
        <w:t xml:space="preserve"> и зависело от степени выполнения Обществом квартальных и годовых ключевых показателей эффективности.</w:t>
      </w:r>
    </w:p>
    <w:p w:rsidR="00377A44" w:rsidRPr="004761E0" w:rsidRDefault="00B95B3A" w:rsidP="006B4677">
      <w:pPr>
        <w:ind w:firstLine="567"/>
        <w:rPr>
          <w:rFonts w:eastAsia="Times New Roman"/>
          <w:b/>
          <w:iCs/>
          <w:color w:val="000000"/>
          <w:sz w:val="26"/>
          <w:szCs w:val="26"/>
          <w:lang w:eastAsia="ru-RU"/>
        </w:rPr>
      </w:pPr>
      <w:r w:rsidRPr="004761E0">
        <w:rPr>
          <w:sz w:val="26"/>
          <w:szCs w:val="26"/>
        </w:rPr>
        <w:lastRenderedPageBreak/>
        <w:t>Общая сумма возна</w:t>
      </w:r>
      <w:r w:rsidR="003B2247">
        <w:rPr>
          <w:sz w:val="26"/>
          <w:szCs w:val="26"/>
        </w:rPr>
        <w:t>граждения, льгот и компенсаций г</w:t>
      </w:r>
      <w:r w:rsidRPr="004761E0">
        <w:rPr>
          <w:sz w:val="26"/>
          <w:szCs w:val="26"/>
        </w:rPr>
        <w:t>енерального директора, вы</w:t>
      </w:r>
      <w:r w:rsidR="006B4677" w:rsidRPr="004761E0">
        <w:rPr>
          <w:sz w:val="26"/>
          <w:szCs w:val="26"/>
        </w:rPr>
        <w:t>плаченных в 2013 году составила 54,4 млн руб. без НДФЛ</w:t>
      </w:r>
      <w:r w:rsidR="006B4677" w:rsidRPr="006F4AB8">
        <w:rPr>
          <w:rStyle w:val="af1"/>
        </w:rPr>
        <w:footnoteReference w:id="96"/>
      </w:r>
      <w:r w:rsidR="006B4677" w:rsidRPr="004761E0">
        <w:rPr>
          <w:sz w:val="26"/>
          <w:szCs w:val="26"/>
        </w:rPr>
        <w:t xml:space="preserve">. </w:t>
      </w:r>
    </w:p>
    <w:p w:rsidR="00D50342" w:rsidRPr="00743B24" w:rsidRDefault="003B2247" w:rsidP="00743B24">
      <w:pPr>
        <w:spacing w:before="120" w:after="120"/>
        <w:ind w:firstLine="567"/>
        <w:rPr>
          <w:b/>
          <w:sz w:val="26"/>
          <w:szCs w:val="26"/>
          <w:lang w:eastAsia="ru-RU"/>
        </w:rPr>
      </w:pPr>
      <w:r>
        <w:rPr>
          <w:b/>
          <w:sz w:val="26"/>
          <w:szCs w:val="26"/>
          <w:lang w:eastAsia="ru-RU"/>
        </w:rPr>
        <w:t>Сведения об обучении г</w:t>
      </w:r>
      <w:r w:rsidR="00D50342" w:rsidRPr="00743B24">
        <w:rPr>
          <w:b/>
          <w:sz w:val="26"/>
          <w:szCs w:val="26"/>
          <w:lang w:eastAsia="ru-RU"/>
        </w:rPr>
        <w:t>енерал</w:t>
      </w:r>
      <w:r w:rsidR="006B747D" w:rsidRPr="00743B24">
        <w:rPr>
          <w:b/>
          <w:sz w:val="26"/>
          <w:szCs w:val="26"/>
          <w:lang w:eastAsia="ru-RU"/>
        </w:rPr>
        <w:t>ь</w:t>
      </w:r>
      <w:r w:rsidR="00D50342" w:rsidRPr="00743B24">
        <w:rPr>
          <w:b/>
          <w:sz w:val="26"/>
          <w:szCs w:val="26"/>
          <w:lang w:eastAsia="ru-RU"/>
        </w:rPr>
        <w:t xml:space="preserve">ного директора </w:t>
      </w:r>
    </w:p>
    <w:tbl>
      <w:tblPr>
        <w:tblW w:w="9936" w:type="dxa"/>
        <w:tblInd w:w="95" w:type="dxa"/>
        <w:tblLook w:val="04A0"/>
      </w:tblPr>
      <w:tblGrid>
        <w:gridCol w:w="580"/>
        <w:gridCol w:w="1843"/>
        <w:gridCol w:w="4536"/>
        <w:gridCol w:w="1701"/>
        <w:gridCol w:w="1276"/>
      </w:tblGrid>
      <w:tr w:rsidR="00377A44" w:rsidRPr="004761E0" w:rsidTr="00377A44">
        <w:trPr>
          <w:trHeight w:val="227"/>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tcPr>
          <w:p w:rsidR="00377A44" w:rsidRPr="004761E0" w:rsidRDefault="00377A44" w:rsidP="00377A44">
            <w:pPr>
              <w:ind w:firstLine="0"/>
              <w:jc w:val="left"/>
              <w:rPr>
                <w:rFonts w:eastAsia="Times New Roman"/>
                <w:b/>
                <w:sz w:val="20"/>
                <w:szCs w:val="24"/>
                <w:lang w:eastAsia="ru-RU"/>
              </w:rPr>
            </w:pPr>
            <w:r w:rsidRPr="004761E0">
              <w:rPr>
                <w:rFonts w:eastAsia="Times New Roman"/>
                <w:b/>
                <w:sz w:val="20"/>
                <w:szCs w:val="24"/>
                <w:lang w:eastAsia="ru-RU"/>
              </w:rPr>
              <w:t>№ п/п</w:t>
            </w:r>
          </w:p>
        </w:tc>
        <w:tc>
          <w:tcPr>
            <w:tcW w:w="184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77A44" w:rsidRPr="004761E0" w:rsidRDefault="00377A44" w:rsidP="00377A44">
            <w:pPr>
              <w:ind w:firstLine="0"/>
              <w:jc w:val="left"/>
              <w:rPr>
                <w:rFonts w:eastAsia="Times New Roman"/>
                <w:b/>
                <w:sz w:val="20"/>
                <w:szCs w:val="24"/>
                <w:lang w:eastAsia="ru-RU"/>
              </w:rPr>
            </w:pPr>
            <w:r w:rsidRPr="004761E0">
              <w:rPr>
                <w:rFonts w:eastAsia="Times New Roman"/>
                <w:b/>
                <w:sz w:val="20"/>
                <w:szCs w:val="24"/>
                <w:lang w:eastAsia="ru-RU"/>
              </w:rPr>
              <w:t>Наименование учебного заведения</w:t>
            </w:r>
          </w:p>
        </w:tc>
        <w:tc>
          <w:tcPr>
            <w:tcW w:w="453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77A44" w:rsidRPr="004761E0" w:rsidRDefault="00377A44" w:rsidP="00377A44">
            <w:pPr>
              <w:ind w:firstLine="0"/>
              <w:jc w:val="left"/>
              <w:rPr>
                <w:rFonts w:eastAsia="Times New Roman"/>
                <w:b/>
                <w:sz w:val="20"/>
                <w:szCs w:val="24"/>
                <w:lang w:eastAsia="ru-RU"/>
              </w:rPr>
            </w:pPr>
            <w:r w:rsidRPr="004761E0">
              <w:rPr>
                <w:rFonts w:eastAsia="Times New Roman"/>
                <w:b/>
                <w:sz w:val="20"/>
                <w:szCs w:val="24"/>
                <w:lang w:eastAsia="ru-RU"/>
              </w:rPr>
              <w:t>Направление обучения</w:t>
            </w:r>
          </w:p>
        </w:tc>
        <w:tc>
          <w:tcPr>
            <w:tcW w:w="170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77A44" w:rsidRPr="004761E0" w:rsidRDefault="00377A44" w:rsidP="00377A44">
            <w:pPr>
              <w:ind w:firstLine="0"/>
              <w:jc w:val="right"/>
              <w:rPr>
                <w:rFonts w:eastAsia="Times New Roman"/>
                <w:b/>
                <w:sz w:val="20"/>
                <w:szCs w:val="24"/>
                <w:lang w:eastAsia="ru-RU"/>
              </w:rPr>
            </w:pPr>
            <w:r w:rsidRPr="004761E0">
              <w:rPr>
                <w:rFonts w:eastAsia="Times New Roman"/>
                <w:b/>
                <w:sz w:val="20"/>
                <w:szCs w:val="24"/>
                <w:lang w:eastAsia="ru-RU"/>
              </w:rPr>
              <w:t>Период обучения</w:t>
            </w:r>
          </w:p>
        </w:tc>
        <w:tc>
          <w:tcPr>
            <w:tcW w:w="1276"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377A44" w:rsidRPr="004761E0" w:rsidRDefault="00377A44" w:rsidP="00377A44">
            <w:pPr>
              <w:ind w:firstLine="0"/>
              <w:jc w:val="right"/>
              <w:rPr>
                <w:rFonts w:eastAsia="Times New Roman"/>
                <w:b/>
                <w:sz w:val="20"/>
                <w:szCs w:val="24"/>
                <w:lang w:eastAsia="ru-RU"/>
              </w:rPr>
            </w:pPr>
            <w:r w:rsidRPr="004761E0">
              <w:rPr>
                <w:rFonts w:eastAsia="Times New Roman"/>
                <w:b/>
                <w:sz w:val="20"/>
                <w:szCs w:val="24"/>
                <w:lang w:eastAsia="ru-RU"/>
              </w:rPr>
              <w:t>Стоимость обучения , тыс. руб.</w:t>
            </w:r>
          </w:p>
        </w:tc>
      </w:tr>
      <w:tr w:rsidR="00377A44" w:rsidRPr="004761E0" w:rsidTr="00377A44">
        <w:trPr>
          <w:trHeight w:val="227"/>
        </w:trPr>
        <w:tc>
          <w:tcPr>
            <w:tcW w:w="580" w:type="dxa"/>
            <w:tcBorders>
              <w:top w:val="single" w:sz="4" w:space="0" w:color="auto"/>
              <w:left w:val="single" w:sz="4" w:space="0" w:color="auto"/>
              <w:bottom w:val="single" w:sz="4" w:space="0" w:color="auto"/>
              <w:right w:val="single" w:sz="4" w:space="0" w:color="auto"/>
            </w:tcBorders>
            <w:vAlign w:val="center"/>
          </w:tcPr>
          <w:p w:rsidR="00377A44" w:rsidRPr="004761E0" w:rsidRDefault="00377A44" w:rsidP="007076A7">
            <w:pPr>
              <w:pStyle w:val="a5"/>
              <w:numPr>
                <w:ilvl w:val="0"/>
                <w:numId w:val="295"/>
              </w:numPr>
              <w:jc w:val="left"/>
              <w:rPr>
                <w:rFonts w:eastAsia="Times New Roman"/>
                <w:sz w:val="20"/>
                <w:szCs w:val="24"/>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A44" w:rsidRPr="004761E0" w:rsidRDefault="00377A44" w:rsidP="00377A44">
            <w:pPr>
              <w:ind w:firstLine="0"/>
              <w:jc w:val="left"/>
              <w:rPr>
                <w:rFonts w:eastAsia="Times New Roman"/>
                <w:sz w:val="20"/>
                <w:szCs w:val="24"/>
                <w:lang w:eastAsia="ru-RU"/>
              </w:rPr>
            </w:pPr>
            <w:r w:rsidRPr="004761E0">
              <w:rPr>
                <w:rFonts w:eastAsia="Times New Roman"/>
                <w:sz w:val="20"/>
                <w:szCs w:val="24"/>
                <w:lang w:eastAsia="ru-RU"/>
              </w:rPr>
              <w:t>ФГУП НПП «Гамма»</w:t>
            </w:r>
          </w:p>
        </w:tc>
        <w:tc>
          <w:tcPr>
            <w:tcW w:w="4536" w:type="dxa"/>
            <w:tcBorders>
              <w:top w:val="single" w:sz="4" w:space="0" w:color="auto"/>
              <w:left w:val="nil"/>
              <w:bottom w:val="single" w:sz="4" w:space="0" w:color="auto"/>
              <w:right w:val="single" w:sz="4" w:space="0" w:color="auto"/>
            </w:tcBorders>
            <w:shd w:val="clear" w:color="auto" w:fill="auto"/>
            <w:hideMark/>
          </w:tcPr>
          <w:p w:rsidR="00377A44" w:rsidRPr="004761E0" w:rsidRDefault="00377A44" w:rsidP="00377A44">
            <w:pPr>
              <w:ind w:firstLine="0"/>
              <w:jc w:val="left"/>
              <w:rPr>
                <w:rFonts w:eastAsia="Times New Roman"/>
                <w:sz w:val="20"/>
                <w:szCs w:val="24"/>
                <w:lang w:eastAsia="ru-RU"/>
              </w:rPr>
            </w:pPr>
            <w:r w:rsidRPr="004761E0">
              <w:rPr>
                <w:rFonts w:eastAsia="Times New Roman"/>
                <w:sz w:val="20"/>
                <w:szCs w:val="24"/>
                <w:lang w:eastAsia="ru-RU"/>
              </w:rPr>
              <w:t>Аттестация руководителя по государственной  тайне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77A44" w:rsidRPr="004761E0" w:rsidRDefault="00377A44" w:rsidP="00377A44">
            <w:pPr>
              <w:ind w:firstLine="0"/>
              <w:jc w:val="right"/>
              <w:rPr>
                <w:rFonts w:eastAsia="Times New Roman"/>
                <w:sz w:val="20"/>
                <w:szCs w:val="24"/>
                <w:lang w:eastAsia="ru-RU"/>
              </w:rPr>
            </w:pPr>
            <w:r w:rsidRPr="004761E0">
              <w:rPr>
                <w:rFonts w:eastAsia="Times New Roman"/>
                <w:sz w:val="20"/>
                <w:szCs w:val="24"/>
                <w:lang w:eastAsia="ru-RU"/>
              </w:rPr>
              <w:t>21.-23.03.2013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77A44" w:rsidRPr="004761E0" w:rsidRDefault="00377A44" w:rsidP="00377A44">
            <w:pPr>
              <w:ind w:firstLine="0"/>
              <w:jc w:val="right"/>
              <w:rPr>
                <w:rFonts w:eastAsia="Times New Roman"/>
                <w:sz w:val="20"/>
                <w:szCs w:val="24"/>
                <w:lang w:eastAsia="ru-RU"/>
              </w:rPr>
            </w:pPr>
            <w:r w:rsidRPr="004761E0">
              <w:rPr>
                <w:rFonts w:eastAsia="Times New Roman"/>
                <w:sz w:val="20"/>
                <w:szCs w:val="24"/>
                <w:lang w:eastAsia="ru-RU"/>
              </w:rPr>
              <w:t>35,00</w:t>
            </w:r>
          </w:p>
        </w:tc>
      </w:tr>
      <w:tr w:rsidR="00377A44" w:rsidRPr="004761E0" w:rsidTr="00377A44">
        <w:trPr>
          <w:trHeight w:val="303"/>
        </w:trPr>
        <w:tc>
          <w:tcPr>
            <w:tcW w:w="580" w:type="dxa"/>
            <w:tcBorders>
              <w:top w:val="nil"/>
              <w:left w:val="single" w:sz="4" w:space="0" w:color="auto"/>
              <w:bottom w:val="single" w:sz="4" w:space="0" w:color="auto"/>
              <w:right w:val="single" w:sz="4" w:space="0" w:color="auto"/>
            </w:tcBorders>
            <w:vAlign w:val="center"/>
          </w:tcPr>
          <w:p w:rsidR="00377A44" w:rsidRPr="004761E0" w:rsidRDefault="00377A44" w:rsidP="007076A7">
            <w:pPr>
              <w:pStyle w:val="a5"/>
              <w:numPr>
                <w:ilvl w:val="0"/>
                <w:numId w:val="295"/>
              </w:numPr>
              <w:jc w:val="left"/>
              <w:rPr>
                <w:rFonts w:eastAsia="Times New Roman"/>
                <w:sz w:val="20"/>
                <w:szCs w:val="20"/>
                <w:lang w:eastAsia="ru-RU"/>
              </w:rPr>
            </w:pP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377A44" w:rsidRPr="004761E0" w:rsidRDefault="0008080E" w:rsidP="00377A44">
            <w:pPr>
              <w:ind w:firstLine="0"/>
              <w:jc w:val="left"/>
              <w:rPr>
                <w:rFonts w:eastAsia="Times New Roman"/>
                <w:sz w:val="20"/>
                <w:szCs w:val="20"/>
                <w:lang w:eastAsia="ru-RU"/>
              </w:rPr>
            </w:pPr>
            <w:r>
              <w:rPr>
                <w:rFonts w:eastAsia="Times New Roman"/>
                <w:sz w:val="20"/>
                <w:szCs w:val="20"/>
                <w:lang w:eastAsia="ru-RU"/>
              </w:rPr>
              <w:t>ЗАО </w:t>
            </w:r>
            <w:r w:rsidR="00377A44" w:rsidRPr="004761E0">
              <w:rPr>
                <w:rFonts w:eastAsia="Times New Roman"/>
                <w:sz w:val="20"/>
                <w:szCs w:val="20"/>
                <w:lang w:eastAsia="ru-RU"/>
              </w:rPr>
              <w:t>«Бизнес Ньюс Медиа»</w:t>
            </w:r>
          </w:p>
        </w:tc>
        <w:tc>
          <w:tcPr>
            <w:tcW w:w="4536" w:type="dxa"/>
            <w:tcBorders>
              <w:top w:val="nil"/>
              <w:left w:val="nil"/>
              <w:bottom w:val="single" w:sz="4" w:space="0" w:color="auto"/>
              <w:right w:val="single" w:sz="4" w:space="0" w:color="auto"/>
            </w:tcBorders>
            <w:shd w:val="clear" w:color="auto" w:fill="auto"/>
            <w:hideMark/>
          </w:tcPr>
          <w:p w:rsidR="00377A44" w:rsidRPr="004761E0" w:rsidRDefault="00377A44" w:rsidP="00377A44">
            <w:pPr>
              <w:ind w:firstLine="0"/>
              <w:jc w:val="left"/>
              <w:rPr>
                <w:rFonts w:eastAsia="Times New Roman"/>
                <w:sz w:val="20"/>
                <w:szCs w:val="24"/>
                <w:lang w:eastAsia="ru-RU"/>
              </w:rPr>
            </w:pPr>
            <w:r w:rsidRPr="004761E0">
              <w:rPr>
                <w:rFonts w:eastAsia="Times New Roman"/>
                <w:sz w:val="20"/>
                <w:szCs w:val="24"/>
                <w:lang w:eastAsia="ru-RU"/>
              </w:rPr>
              <w:t>VII Московский форум лидеров рынка недвижимости</w:t>
            </w:r>
          </w:p>
        </w:tc>
        <w:tc>
          <w:tcPr>
            <w:tcW w:w="1701" w:type="dxa"/>
            <w:tcBorders>
              <w:top w:val="nil"/>
              <w:left w:val="nil"/>
              <w:bottom w:val="single" w:sz="4" w:space="0" w:color="auto"/>
              <w:right w:val="single" w:sz="4" w:space="0" w:color="auto"/>
            </w:tcBorders>
            <w:shd w:val="clear" w:color="auto" w:fill="auto"/>
            <w:vAlign w:val="center"/>
            <w:hideMark/>
          </w:tcPr>
          <w:p w:rsidR="00377A44" w:rsidRPr="004761E0" w:rsidRDefault="00377A44" w:rsidP="00377A44">
            <w:pPr>
              <w:ind w:firstLine="0"/>
              <w:jc w:val="right"/>
              <w:rPr>
                <w:rFonts w:eastAsia="Times New Roman"/>
                <w:sz w:val="20"/>
                <w:szCs w:val="24"/>
                <w:lang w:eastAsia="ru-RU"/>
              </w:rPr>
            </w:pPr>
            <w:r w:rsidRPr="004761E0">
              <w:rPr>
                <w:rFonts w:eastAsia="Times New Roman"/>
                <w:sz w:val="20"/>
                <w:szCs w:val="24"/>
                <w:lang w:eastAsia="ru-RU"/>
              </w:rPr>
              <w:t>04.10.2013</w:t>
            </w:r>
          </w:p>
        </w:tc>
        <w:tc>
          <w:tcPr>
            <w:tcW w:w="1276" w:type="dxa"/>
            <w:tcBorders>
              <w:top w:val="nil"/>
              <w:left w:val="nil"/>
              <w:bottom w:val="single" w:sz="4" w:space="0" w:color="auto"/>
              <w:right w:val="single" w:sz="4" w:space="0" w:color="auto"/>
            </w:tcBorders>
            <w:shd w:val="clear" w:color="auto" w:fill="auto"/>
            <w:vAlign w:val="center"/>
            <w:hideMark/>
          </w:tcPr>
          <w:p w:rsidR="00377A44" w:rsidRPr="004761E0" w:rsidRDefault="00377A44" w:rsidP="00377A44">
            <w:pPr>
              <w:ind w:firstLine="0"/>
              <w:jc w:val="right"/>
              <w:rPr>
                <w:rFonts w:eastAsia="Times New Roman"/>
                <w:sz w:val="20"/>
                <w:szCs w:val="24"/>
                <w:lang w:eastAsia="ru-RU"/>
              </w:rPr>
            </w:pPr>
            <w:r w:rsidRPr="004761E0">
              <w:rPr>
                <w:rFonts w:eastAsia="Times New Roman"/>
                <w:sz w:val="20"/>
                <w:szCs w:val="24"/>
                <w:lang w:eastAsia="ru-RU"/>
              </w:rPr>
              <w:t>71,98</w:t>
            </w:r>
          </w:p>
        </w:tc>
      </w:tr>
      <w:tr w:rsidR="00377A44" w:rsidRPr="004761E0" w:rsidTr="00377A44">
        <w:trPr>
          <w:trHeight w:val="289"/>
        </w:trPr>
        <w:tc>
          <w:tcPr>
            <w:tcW w:w="580" w:type="dxa"/>
            <w:tcBorders>
              <w:top w:val="nil"/>
              <w:left w:val="single" w:sz="4" w:space="0" w:color="auto"/>
              <w:bottom w:val="single" w:sz="4" w:space="0" w:color="auto"/>
              <w:right w:val="single" w:sz="4" w:space="0" w:color="auto"/>
            </w:tcBorders>
            <w:vAlign w:val="center"/>
          </w:tcPr>
          <w:p w:rsidR="00377A44" w:rsidRPr="004761E0" w:rsidRDefault="00377A44" w:rsidP="007076A7">
            <w:pPr>
              <w:pStyle w:val="a5"/>
              <w:numPr>
                <w:ilvl w:val="0"/>
                <w:numId w:val="295"/>
              </w:numPr>
              <w:jc w:val="left"/>
              <w:rPr>
                <w:rFonts w:eastAsia="Times New Roman"/>
                <w:color w:val="000000"/>
                <w:sz w:val="20"/>
                <w:szCs w:val="22"/>
                <w:lang w:eastAsia="ru-RU"/>
              </w:rPr>
            </w:pP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377A44" w:rsidRPr="004761E0" w:rsidRDefault="0008080E" w:rsidP="00377A44">
            <w:pPr>
              <w:ind w:firstLine="0"/>
              <w:jc w:val="left"/>
              <w:rPr>
                <w:rFonts w:eastAsia="Times New Roman"/>
                <w:color w:val="000000"/>
                <w:sz w:val="20"/>
                <w:szCs w:val="22"/>
                <w:lang w:eastAsia="ru-RU"/>
              </w:rPr>
            </w:pPr>
            <w:r>
              <w:rPr>
                <w:rFonts w:eastAsia="Times New Roman"/>
                <w:color w:val="000000"/>
                <w:sz w:val="20"/>
                <w:szCs w:val="22"/>
                <w:lang w:eastAsia="ru-RU"/>
              </w:rPr>
              <w:t>ООО </w:t>
            </w:r>
            <w:r w:rsidR="00377A44" w:rsidRPr="004761E0">
              <w:rPr>
                <w:rFonts w:eastAsia="Times New Roman"/>
                <w:color w:val="000000"/>
                <w:sz w:val="20"/>
                <w:szCs w:val="22"/>
                <w:lang w:eastAsia="ru-RU"/>
              </w:rPr>
              <w:t>«АСП»</w:t>
            </w:r>
          </w:p>
        </w:tc>
        <w:tc>
          <w:tcPr>
            <w:tcW w:w="4536" w:type="dxa"/>
            <w:tcBorders>
              <w:top w:val="nil"/>
              <w:left w:val="nil"/>
              <w:bottom w:val="single" w:sz="4" w:space="0" w:color="auto"/>
              <w:right w:val="single" w:sz="4" w:space="0" w:color="auto"/>
            </w:tcBorders>
            <w:shd w:val="clear" w:color="auto" w:fill="auto"/>
            <w:hideMark/>
          </w:tcPr>
          <w:p w:rsidR="00377A44" w:rsidRPr="004761E0" w:rsidRDefault="00377A44" w:rsidP="00377A44">
            <w:pPr>
              <w:ind w:firstLine="0"/>
              <w:jc w:val="left"/>
              <w:rPr>
                <w:rFonts w:eastAsia="Times New Roman"/>
                <w:color w:val="000000"/>
                <w:sz w:val="20"/>
                <w:szCs w:val="22"/>
                <w:lang w:eastAsia="ru-RU"/>
              </w:rPr>
            </w:pPr>
            <w:r w:rsidRPr="004761E0">
              <w:rPr>
                <w:rFonts w:eastAsia="Times New Roman"/>
                <w:color w:val="000000"/>
                <w:sz w:val="20"/>
                <w:szCs w:val="22"/>
                <w:lang w:eastAsia="ru-RU"/>
              </w:rPr>
              <w:t>VIII Национальный Конгресс «Модернизация промышленности России: Приоритеты развития»</w:t>
            </w:r>
          </w:p>
        </w:tc>
        <w:tc>
          <w:tcPr>
            <w:tcW w:w="1701" w:type="dxa"/>
            <w:tcBorders>
              <w:top w:val="nil"/>
              <w:left w:val="nil"/>
              <w:bottom w:val="single" w:sz="4" w:space="0" w:color="auto"/>
              <w:right w:val="single" w:sz="4" w:space="0" w:color="auto"/>
            </w:tcBorders>
            <w:shd w:val="clear" w:color="auto" w:fill="auto"/>
            <w:noWrap/>
            <w:vAlign w:val="center"/>
            <w:hideMark/>
          </w:tcPr>
          <w:p w:rsidR="00377A44" w:rsidRPr="004761E0" w:rsidRDefault="00377A44" w:rsidP="00377A44">
            <w:pPr>
              <w:ind w:firstLine="0"/>
              <w:jc w:val="right"/>
              <w:rPr>
                <w:rFonts w:eastAsia="Times New Roman"/>
                <w:color w:val="000000"/>
                <w:sz w:val="20"/>
                <w:szCs w:val="22"/>
                <w:lang w:eastAsia="ru-RU"/>
              </w:rPr>
            </w:pPr>
            <w:r w:rsidRPr="004761E0">
              <w:rPr>
                <w:rFonts w:eastAsia="Times New Roman"/>
                <w:color w:val="000000"/>
                <w:sz w:val="20"/>
                <w:szCs w:val="22"/>
                <w:lang w:eastAsia="ru-RU"/>
              </w:rPr>
              <w:t>08.-09.10.2013</w:t>
            </w:r>
          </w:p>
        </w:tc>
        <w:tc>
          <w:tcPr>
            <w:tcW w:w="1276" w:type="dxa"/>
            <w:tcBorders>
              <w:top w:val="nil"/>
              <w:left w:val="nil"/>
              <w:bottom w:val="single" w:sz="4" w:space="0" w:color="auto"/>
              <w:right w:val="single" w:sz="4" w:space="0" w:color="auto"/>
            </w:tcBorders>
            <w:shd w:val="clear" w:color="auto" w:fill="auto"/>
            <w:noWrap/>
            <w:vAlign w:val="center"/>
            <w:hideMark/>
          </w:tcPr>
          <w:p w:rsidR="00377A44" w:rsidRPr="004761E0" w:rsidRDefault="00377A44" w:rsidP="00377A44">
            <w:pPr>
              <w:ind w:firstLine="0"/>
              <w:jc w:val="right"/>
              <w:rPr>
                <w:rFonts w:eastAsia="Times New Roman"/>
                <w:color w:val="000000"/>
                <w:sz w:val="20"/>
                <w:szCs w:val="22"/>
                <w:lang w:eastAsia="ru-RU"/>
              </w:rPr>
            </w:pPr>
            <w:r w:rsidRPr="004761E0">
              <w:rPr>
                <w:rFonts w:eastAsia="Times New Roman"/>
                <w:color w:val="000000"/>
                <w:sz w:val="20"/>
                <w:szCs w:val="22"/>
                <w:lang w:eastAsia="ru-RU"/>
              </w:rPr>
              <w:t>200,00</w:t>
            </w:r>
          </w:p>
        </w:tc>
      </w:tr>
    </w:tbl>
    <w:p w:rsidR="003E4866" w:rsidRPr="004761E0" w:rsidRDefault="003E4866" w:rsidP="00F83974">
      <w:pPr>
        <w:ind w:firstLine="567"/>
        <w:rPr>
          <w:rFonts w:eastAsia="Times New Roman"/>
          <w:sz w:val="26"/>
          <w:szCs w:val="26"/>
          <w:lang w:eastAsia="ru-RU"/>
        </w:rPr>
      </w:pPr>
      <w:r w:rsidRPr="004761E0">
        <w:rPr>
          <w:sz w:val="26"/>
          <w:szCs w:val="26"/>
          <w:lang w:eastAsia="ru-RU"/>
        </w:rPr>
        <w:br w:type="page"/>
      </w:r>
    </w:p>
    <w:p w:rsidR="003E4866" w:rsidRPr="004761E0" w:rsidRDefault="003E4866" w:rsidP="007076A7">
      <w:pPr>
        <w:pStyle w:val="a8"/>
        <w:numPr>
          <w:ilvl w:val="1"/>
          <w:numId w:val="321"/>
        </w:numPr>
        <w:spacing w:before="120" w:after="120"/>
        <w:ind w:left="1134" w:hanging="567"/>
        <w:jc w:val="both"/>
        <w:rPr>
          <w:rFonts w:ascii="Times New Roman" w:hAnsi="Times New Roman"/>
          <w:b/>
          <w:sz w:val="26"/>
          <w:szCs w:val="26"/>
        </w:rPr>
      </w:pPr>
      <w:bookmarkStart w:id="101" w:name="_Toc385339831"/>
      <w:r w:rsidRPr="004761E0">
        <w:rPr>
          <w:rFonts w:ascii="Times New Roman" w:hAnsi="Times New Roman"/>
          <w:b/>
          <w:sz w:val="26"/>
          <w:szCs w:val="26"/>
        </w:rPr>
        <w:lastRenderedPageBreak/>
        <w:t>Ревизионная комиссия</w:t>
      </w:r>
      <w:bookmarkEnd w:id="101"/>
    </w:p>
    <w:p w:rsidR="00D50342" w:rsidRPr="004761E0" w:rsidRDefault="00D50342" w:rsidP="00743B24">
      <w:pPr>
        <w:ind w:firstLine="567"/>
        <w:rPr>
          <w:sz w:val="26"/>
          <w:szCs w:val="26"/>
          <w:lang w:eastAsia="ru-RU"/>
        </w:rPr>
      </w:pPr>
      <w:r w:rsidRPr="004761E0">
        <w:rPr>
          <w:sz w:val="26"/>
          <w:szCs w:val="26"/>
          <w:lang w:eastAsia="ru-RU"/>
        </w:rPr>
        <w:t>Ревизионная комиссия является органом контроля над финансово-хозяйственной деятельностью Общества, которая на регулярной основе проводит проверки финансово-хозяйственной деятельности Общества, его обособленных подразделений, должностных лиц органов управления и структурных подразделений исполнительного аппарата Общества на предмет соответствия законодательству РФ, Уставу Общества и внутренним документам Общества:</w:t>
      </w:r>
    </w:p>
    <w:p w:rsidR="00D50342" w:rsidRPr="004761E0" w:rsidRDefault="00D50342" w:rsidP="007076A7">
      <w:pPr>
        <w:pStyle w:val="a5"/>
        <w:numPr>
          <w:ilvl w:val="0"/>
          <w:numId w:val="59"/>
        </w:numPr>
        <w:ind w:left="1134" w:hanging="567"/>
        <w:rPr>
          <w:sz w:val="26"/>
          <w:szCs w:val="26"/>
          <w:lang w:eastAsia="ru-RU"/>
        </w:rPr>
      </w:pPr>
      <w:r w:rsidRPr="004761E0">
        <w:rPr>
          <w:sz w:val="26"/>
          <w:szCs w:val="26"/>
          <w:lang w:eastAsia="ru-RU"/>
        </w:rPr>
        <w:t>подтверждение достоверности данных, содержащихся в годовом отчете, бухгалтерской отчетности Общества;</w:t>
      </w:r>
    </w:p>
    <w:p w:rsidR="00D50342" w:rsidRPr="004761E0" w:rsidRDefault="00D50342" w:rsidP="007076A7">
      <w:pPr>
        <w:pStyle w:val="a5"/>
        <w:numPr>
          <w:ilvl w:val="0"/>
          <w:numId w:val="59"/>
        </w:numPr>
        <w:ind w:left="1134" w:hanging="567"/>
        <w:rPr>
          <w:sz w:val="26"/>
          <w:szCs w:val="26"/>
          <w:lang w:eastAsia="ru-RU"/>
        </w:rPr>
      </w:pPr>
      <w:r w:rsidRPr="004761E0">
        <w:rPr>
          <w:sz w:val="26"/>
          <w:szCs w:val="26"/>
          <w:lang w:eastAsia="ru-RU"/>
        </w:rPr>
        <w:t>анализ финансового состояния Общества, выявление резервов улучшения финансового состояния Общества и выработка рекомендаций для органов управления Общества;</w:t>
      </w:r>
    </w:p>
    <w:p w:rsidR="00D50342" w:rsidRPr="004761E0" w:rsidRDefault="00D50342" w:rsidP="007076A7">
      <w:pPr>
        <w:pStyle w:val="a5"/>
        <w:numPr>
          <w:ilvl w:val="0"/>
          <w:numId w:val="59"/>
        </w:numPr>
        <w:ind w:left="1134" w:hanging="567"/>
        <w:rPr>
          <w:sz w:val="26"/>
          <w:szCs w:val="26"/>
          <w:lang w:eastAsia="ru-RU"/>
        </w:rPr>
      </w:pPr>
      <w:r w:rsidRPr="004761E0">
        <w:rPr>
          <w:sz w:val="26"/>
          <w:szCs w:val="26"/>
          <w:lang w:eastAsia="ru-RU"/>
        </w:rPr>
        <w:t>контроль за расходованием денежных средств Общества в соответствии с утвержденными бизнес-планом и бюджетов Общества;</w:t>
      </w:r>
    </w:p>
    <w:p w:rsidR="00D50342" w:rsidRPr="004761E0" w:rsidRDefault="00D50342" w:rsidP="007076A7">
      <w:pPr>
        <w:pStyle w:val="a5"/>
        <w:numPr>
          <w:ilvl w:val="0"/>
          <w:numId w:val="59"/>
        </w:numPr>
        <w:ind w:left="1134" w:hanging="567"/>
        <w:rPr>
          <w:sz w:val="26"/>
          <w:szCs w:val="26"/>
          <w:lang w:eastAsia="ru-RU"/>
        </w:rPr>
      </w:pPr>
      <w:r w:rsidRPr="004761E0">
        <w:rPr>
          <w:sz w:val="26"/>
          <w:szCs w:val="26"/>
          <w:lang w:eastAsia="ru-RU"/>
        </w:rPr>
        <w:t>проверка правильности и своевременности начисления и выплаты дивидендов по акциям Общества, процентов по облигациям, доходов по иным ценным бумагам;</w:t>
      </w:r>
    </w:p>
    <w:p w:rsidR="00D50342" w:rsidRPr="004761E0" w:rsidRDefault="00D50342" w:rsidP="007076A7">
      <w:pPr>
        <w:pStyle w:val="a5"/>
        <w:numPr>
          <w:ilvl w:val="0"/>
          <w:numId w:val="59"/>
        </w:numPr>
        <w:ind w:left="1134" w:hanging="567"/>
        <w:rPr>
          <w:sz w:val="26"/>
          <w:szCs w:val="26"/>
          <w:lang w:eastAsia="ru-RU"/>
        </w:rPr>
      </w:pPr>
      <w:r w:rsidRPr="004761E0">
        <w:rPr>
          <w:sz w:val="26"/>
          <w:szCs w:val="26"/>
          <w:lang w:eastAsia="ru-RU"/>
        </w:rPr>
        <w:t>проверка выполнения ранее выданных предписаний по устранению нарушений и недостатков, выявленных предыдущими проверками (ревизиями);</w:t>
      </w:r>
    </w:p>
    <w:p w:rsidR="00D50342" w:rsidRPr="004761E0" w:rsidRDefault="00D50342" w:rsidP="007076A7">
      <w:pPr>
        <w:pStyle w:val="a5"/>
        <w:numPr>
          <w:ilvl w:val="0"/>
          <w:numId w:val="59"/>
        </w:numPr>
        <w:ind w:left="1134" w:hanging="567"/>
        <w:rPr>
          <w:sz w:val="26"/>
          <w:szCs w:val="26"/>
          <w:lang w:eastAsia="ru-RU"/>
        </w:rPr>
      </w:pPr>
      <w:r w:rsidRPr="004761E0">
        <w:rPr>
          <w:sz w:val="26"/>
          <w:szCs w:val="26"/>
          <w:lang w:eastAsia="ru-RU"/>
        </w:rPr>
        <w:t>осуществление иных действий (мероприятий), связанных с проверкой финансово-хозяйственной деятельности Общества.</w:t>
      </w:r>
    </w:p>
    <w:p w:rsidR="00D50342" w:rsidRPr="004761E0" w:rsidRDefault="00D50342" w:rsidP="00743B24">
      <w:pPr>
        <w:spacing w:before="120" w:after="120"/>
        <w:ind w:firstLine="567"/>
        <w:rPr>
          <w:b/>
          <w:sz w:val="26"/>
          <w:szCs w:val="26"/>
          <w:lang w:eastAsia="ru-RU"/>
        </w:rPr>
      </w:pPr>
      <w:r w:rsidRPr="004761E0">
        <w:rPr>
          <w:b/>
          <w:sz w:val="26"/>
          <w:szCs w:val="26"/>
          <w:lang w:eastAsia="ru-RU"/>
        </w:rPr>
        <w:t xml:space="preserve">Состав Ревизионной комиссии </w:t>
      </w:r>
    </w:p>
    <w:p w:rsidR="00AD75E4" w:rsidRPr="004761E0" w:rsidRDefault="00AD75E4" w:rsidP="00AD75E4">
      <w:pPr>
        <w:ind w:firstLine="567"/>
        <w:rPr>
          <w:sz w:val="26"/>
          <w:szCs w:val="26"/>
          <w:lang w:eastAsia="ru-RU"/>
        </w:rPr>
      </w:pPr>
      <w:r w:rsidRPr="004761E0">
        <w:rPr>
          <w:sz w:val="26"/>
          <w:szCs w:val="26"/>
          <w:lang w:eastAsia="ru-RU"/>
        </w:rPr>
        <w:t>Согласно пункту 24.1 Устава Ревизионная комиссия состоит из 5 членов, избираемых Общим собранием акционеров. В 2013 году действовало 2 состава Ревизионной комиссии.</w:t>
      </w:r>
    </w:p>
    <w:p w:rsidR="00AD75E4" w:rsidRPr="004761E0" w:rsidRDefault="00AD75E4" w:rsidP="00AD75E4">
      <w:pPr>
        <w:ind w:firstLine="567"/>
        <w:rPr>
          <w:sz w:val="26"/>
          <w:szCs w:val="26"/>
          <w:lang w:eastAsia="ru-RU"/>
        </w:rPr>
      </w:pPr>
      <w:r w:rsidRPr="004761E0">
        <w:rPr>
          <w:sz w:val="26"/>
          <w:szCs w:val="26"/>
          <w:lang w:eastAsia="ru-RU"/>
        </w:rPr>
        <w:t>Состав Ревизионной комиссии, действовавший в период с 25.06.2012 по 26.06.2013:</w:t>
      </w:r>
    </w:p>
    <w:tbl>
      <w:tblPr>
        <w:tblStyle w:val="ae"/>
        <w:tblW w:w="0" w:type="auto"/>
        <w:tblInd w:w="108" w:type="dxa"/>
        <w:tblLook w:val="04A0"/>
      </w:tblPr>
      <w:tblGrid>
        <w:gridCol w:w="709"/>
        <w:gridCol w:w="2977"/>
        <w:gridCol w:w="6344"/>
      </w:tblGrid>
      <w:tr w:rsidR="00AD75E4" w:rsidRPr="004761E0" w:rsidTr="009B5AE4">
        <w:tc>
          <w:tcPr>
            <w:tcW w:w="709" w:type="dxa"/>
            <w:tcBorders>
              <w:right w:val="single" w:sz="4" w:space="0" w:color="FFFFFF" w:themeColor="background1"/>
            </w:tcBorders>
            <w:shd w:val="clear" w:color="auto" w:fill="0F243E" w:themeFill="text2" w:themeFillShade="80"/>
          </w:tcPr>
          <w:p w:rsidR="00AD75E4" w:rsidRPr="004761E0" w:rsidRDefault="00AD75E4" w:rsidP="00D50342">
            <w:pPr>
              <w:spacing w:before="120" w:after="120"/>
              <w:ind w:firstLine="0"/>
              <w:rPr>
                <w:rFonts w:eastAsia="Times New Roman"/>
                <w:b/>
                <w:iCs/>
                <w:sz w:val="20"/>
                <w:szCs w:val="20"/>
                <w:lang w:eastAsia="ru-RU"/>
              </w:rPr>
            </w:pPr>
            <w:r w:rsidRPr="004761E0">
              <w:rPr>
                <w:rFonts w:eastAsia="Times New Roman"/>
                <w:b/>
                <w:iCs/>
                <w:sz w:val="20"/>
                <w:szCs w:val="20"/>
                <w:lang w:eastAsia="ru-RU"/>
              </w:rPr>
              <w:t>№ п/п</w:t>
            </w:r>
          </w:p>
        </w:tc>
        <w:tc>
          <w:tcPr>
            <w:tcW w:w="2977" w:type="dxa"/>
            <w:tcBorders>
              <w:left w:val="single" w:sz="4" w:space="0" w:color="FFFFFF" w:themeColor="background1"/>
              <w:right w:val="single" w:sz="4" w:space="0" w:color="FFFFFF" w:themeColor="background1"/>
            </w:tcBorders>
            <w:shd w:val="clear" w:color="auto" w:fill="0F243E" w:themeFill="text2" w:themeFillShade="80"/>
          </w:tcPr>
          <w:p w:rsidR="00AD75E4" w:rsidRPr="004761E0" w:rsidRDefault="00AD75E4" w:rsidP="00D50342">
            <w:pPr>
              <w:spacing w:before="120" w:after="120"/>
              <w:ind w:firstLine="0"/>
              <w:rPr>
                <w:rFonts w:eastAsia="Times New Roman"/>
                <w:b/>
                <w:iCs/>
                <w:sz w:val="20"/>
                <w:szCs w:val="20"/>
                <w:lang w:eastAsia="ru-RU"/>
              </w:rPr>
            </w:pPr>
            <w:r w:rsidRPr="004761E0">
              <w:rPr>
                <w:rFonts w:eastAsia="Times New Roman"/>
                <w:b/>
                <w:iCs/>
                <w:sz w:val="20"/>
                <w:szCs w:val="20"/>
                <w:lang w:eastAsia="ru-RU"/>
              </w:rPr>
              <w:t>Ф.И.О.</w:t>
            </w:r>
          </w:p>
        </w:tc>
        <w:tc>
          <w:tcPr>
            <w:tcW w:w="6344" w:type="dxa"/>
            <w:tcBorders>
              <w:left w:val="single" w:sz="4" w:space="0" w:color="FFFFFF" w:themeColor="background1"/>
            </w:tcBorders>
            <w:shd w:val="clear" w:color="auto" w:fill="0F243E" w:themeFill="text2" w:themeFillShade="80"/>
            <w:vAlign w:val="center"/>
          </w:tcPr>
          <w:p w:rsidR="00AD75E4" w:rsidRPr="004761E0" w:rsidRDefault="00AD75E4" w:rsidP="00AD75E4">
            <w:pPr>
              <w:ind w:firstLine="0"/>
              <w:jc w:val="left"/>
              <w:rPr>
                <w:rFonts w:eastAsia="Times New Roman"/>
                <w:b/>
                <w:sz w:val="20"/>
                <w:szCs w:val="20"/>
                <w:lang w:eastAsia="ru-RU"/>
              </w:rPr>
            </w:pPr>
            <w:r w:rsidRPr="004761E0">
              <w:rPr>
                <w:rFonts w:eastAsia="Times New Roman"/>
                <w:b/>
                <w:sz w:val="20"/>
                <w:szCs w:val="20"/>
                <w:lang w:eastAsia="ru-RU"/>
              </w:rPr>
              <w:t>Должность по состоянию на момент избрания</w:t>
            </w:r>
          </w:p>
        </w:tc>
      </w:tr>
      <w:tr w:rsidR="00AD75E4" w:rsidRPr="004761E0" w:rsidTr="009B5AE4">
        <w:tc>
          <w:tcPr>
            <w:tcW w:w="709" w:type="dxa"/>
          </w:tcPr>
          <w:p w:rsidR="00AD75E4" w:rsidRPr="004761E0" w:rsidRDefault="00AD75E4" w:rsidP="007076A7">
            <w:pPr>
              <w:pStyle w:val="a5"/>
              <w:numPr>
                <w:ilvl w:val="0"/>
                <w:numId w:val="250"/>
              </w:numPr>
              <w:tabs>
                <w:tab w:val="left" w:pos="434"/>
              </w:tabs>
              <w:spacing w:before="120" w:after="120"/>
              <w:rPr>
                <w:rFonts w:eastAsia="Times New Roman"/>
                <w:iCs/>
                <w:color w:val="000000"/>
                <w:sz w:val="20"/>
                <w:szCs w:val="20"/>
                <w:lang w:eastAsia="ru-RU"/>
              </w:rPr>
            </w:pPr>
          </w:p>
        </w:tc>
        <w:tc>
          <w:tcPr>
            <w:tcW w:w="2977" w:type="dxa"/>
          </w:tcPr>
          <w:p w:rsidR="00AD75E4" w:rsidRPr="004761E0" w:rsidRDefault="00AD75E4" w:rsidP="00AD75E4">
            <w:pPr>
              <w:ind w:hanging="2"/>
              <w:jc w:val="left"/>
              <w:rPr>
                <w:bCs/>
                <w:color w:val="000000"/>
                <w:sz w:val="20"/>
                <w:szCs w:val="20"/>
                <w:lang w:val="en-US"/>
              </w:rPr>
            </w:pPr>
            <w:r w:rsidRPr="004761E0">
              <w:rPr>
                <w:bCs/>
                <w:color w:val="000000"/>
                <w:sz w:val="20"/>
                <w:szCs w:val="20"/>
              </w:rPr>
              <w:t xml:space="preserve">Алимурадова </w:t>
            </w:r>
          </w:p>
          <w:p w:rsidR="00AD75E4" w:rsidRPr="004761E0" w:rsidRDefault="00AD75E4" w:rsidP="00AD75E4">
            <w:pPr>
              <w:ind w:hanging="2"/>
              <w:jc w:val="left"/>
              <w:rPr>
                <w:rFonts w:eastAsia="Times New Roman"/>
                <w:color w:val="000000"/>
                <w:sz w:val="20"/>
                <w:szCs w:val="20"/>
                <w:lang w:eastAsia="ru-RU"/>
              </w:rPr>
            </w:pPr>
            <w:r w:rsidRPr="004761E0">
              <w:rPr>
                <w:bCs/>
                <w:color w:val="000000"/>
                <w:sz w:val="20"/>
                <w:szCs w:val="20"/>
              </w:rPr>
              <w:t>Изумруд Алигаджиевна</w:t>
            </w:r>
          </w:p>
        </w:tc>
        <w:tc>
          <w:tcPr>
            <w:tcW w:w="6344" w:type="dxa"/>
          </w:tcPr>
          <w:p w:rsidR="00AD75E4" w:rsidRPr="004761E0" w:rsidRDefault="00AD75E4" w:rsidP="009B5AE4">
            <w:pPr>
              <w:ind w:firstLine="0"/>
              <w:jc w:val="left"/>
              <w:rPr>
                <w:rFonts w:eastAsia="Times New Roman"/>
                <w:color w:val="000000"/>
                <w:sz w:val="20"/>
                <w:szCs w:val="20"/>
                <w:lang w:eastAsia="ru-RU"/>
              </w:rPr>
            </w:pPr>
            <w:r w:rsidRPr="004761E0">
              <w:rPr>
                <w:bCs/>
                <w:color w:val="000000"/>
                <w:sz w:val="20"/>
                <w:szCs w:val="20"/>
              </w:rPr>
              <w:t xml:space="preserve">Директор по внутреннему аудиту и управлению рисками (начальник Департамента внутреннего аудита и управления рисками) </w:t>
            </w:r>
            <w:r w:rsidR="0008080E">
              <w:rPr>
                <w:bCs/>
                <w:color w:val="000000"/>
                <w:sz w:val="20"/>
                <w:szCs w:val="20"/>
              </w:rPr>
              <w:t>ОАО </w:t>
            </w:r>
            <w:r w:rsidRPr="004761E0">
              <w:rPr>
                <w:bCs/>
                <w:color w:val="000000"/>
                <w:sz w:val="20"/>
                <w:szCs w:val="20"/>
              </w:rPr>
              <w:t>«Холдинг МРСК»</w:t>
            </w:r>
          </w:p>
        </w:tc>
      </w:tr>
      <w:tr w:rsidR="00AD75E4" w:rsidRPr="004761E0" w:rsidTr="009B5AE4">
        <w:tc>
          <w:tcPr>
            <w:tcW w:w="709" w:type="dxa"/>
          </w:tcPr>
          <w:p w:rsidR="00AD75E4" w:rsidRPr="004761E0" w:rsidRDefault="00AD75E4" w:rsidP="007076A7">
            <w:pPr>
              <w:pStyle w:val="a5"/>
              <w:numPr>
                <w:ilvl w:val="0"/>
                <w:numId w:val="250"/>
              </w:numPr>
              <w:tabs>
                <w:tab w:val="left" w:pos="434"/>
              </w:tabs>
              <w:spacing w:before="120" w:after="120"/>
              <w:rPr>
                <w:rFonts w:eastAsia="Times New Roman"/>
                <w:iCs/>
                <w:color w:val="000000"/>
                <w:sz w:val="20"/>
                <w:szCs w:val="20"/>
                <w:lang w:eastAsia="ru-RU"/>
              </w:rPr>
            </w:pPr>
          </w:p>
        </w:tc>
        <w:tc>
          <w:tcPr>
            <w:tcW w:w="2977" w:type="dxa"/>
          </w:tcPr>
          <w:p w:rsidR="00AD75E4" w:rsidRPr="004761E0" w:rsidRDefault="00AD75E4" w:rsidP="00AD75E4">
            <w:pPr>
              <w:ind w:hanging="2"/>
              <w:jc w:val="left"/>
              <w:rPr>
                <w:bCs/>
                <w:color w:val="000000"/>
                <w:sz w:val="20"/>
                <w:szCs w:val="20"/>
              </w:rPr>
            </w:pPr>
            <w:r w:rsidRPr="004761E0">
              <w:rPr>
                <w:bCs/>
                <w:color w:val="000000"/>
                <w:sz w:val="20"/>
                <w:szCs w:val="20"/>
              </w:rPr>
              <w:t xml:space="preserve">Архипов </w:t>
            </w:r>
          </w:p>
          <w:p w:rsidR="00AD75E4" w:rsidRPr="004761E0" w:rsidRDefault="00AD75E4" w:rsidP="00AD75E4">
            <w:pPr>
              <w:ind w:firstLine="0"/>
              <w:jc w:val="left"/>
              <w:rPr>
                <w:rFonts w:eastAsia="Times New Roman"/>
                <w:color w:val="000000"/>
                <w:sz w:val="20"/>
                <w:szCs w:val="20"/>
                <w:lang w:eastAsia="ru-RU"/>
              </w:rPr>
            </w:pPr>
            <w:r w:rsidRPr="004761E0">
              <w:rPr>
                <w:bCs/>
                <w:color w:val="000000"/>
                <w:sz w:val="20"/>
                <w:szCs w:val="20"/>
              </w:rPr>
              <w:t xml:space="preserve">Владимир Николаевич </w:t>
            </w:r>
          </w:p>
        </w:tc>
        <w:tc>
          <w:tcPr>
            <w:tcW w:w="6344" w:type="dxa"/>
          </w:tcPr>
          <w:p w:rsidR="00AD75E4" w:rsidRPr="004761E0" w:rsidRDefault="00AD75E4" w:rsidP="00AD75E4">
            <w:pPr>
              <w:ind w:firstLine="0"/>
              <w:jc w:val="left"/>
              <w:rPr>
                <w:rFonts w:eastAsia="Times New Roman"/>
                <w:color w:val="000000"/>
                <w:sz w:val="20"/>
                <w:szCs w:val="20"/>
                <w:lang w:eastAsia="ru-RU"/>
              </w:rPr>
            </w:pPr>
            <w:r w:rsidRPr="004761E0">
              <w:rPr>
                <w:bCs/>
                <w:color w:val="000000"/>
                <w:sz w:val="20"/>
                <w:szCs w:val="20"/>
              </w:rPr>
              <w:t xml:space="preserve">Начальник Департамента безопасности </w:t>
            </w:r>
            <w:r w:rsidR="0008080E">
              <w:rPr>
                <w:bCs/>
                <w:color w:val="000000"/>
                <w:sz w:val="20"/>
                <w:szCs w:val="20"/>
              </w:rPr>
              <w:t>ОАО </w:t>
            </w:r>
            <w:r w:rsidRPr="004761E0">
              <w:rPr>
                <w:bCs/>
                <w:color w:val="000000"/>
                <w:sz w:val="20"/>
                <w:szCs w:val="20"/>
              </w:rPr>
              <w:t>«Холдинг МРСК»</w:t>
            </w:r>
          </w:p>
        </w:tc>
      </w:tr>
      <w:tr w:rsidR="00AD75E4" w:rsidRPr="004761E0" w:rsidTr="009B5AE4">
        <w:tc>
          <w:tcPr>
            <w:tcW w:w="709" w:type="dxa"/>
          </w:tcPr>
          <w:p w:rsidR="00AD75E4" w:rsidRPr="004761E0" w:rsidRDefault="00AD75E4" w:rsidP="007076A7">
            <w:pPr>
              <w:pStyle w:val="a5"/>
              <w:numPr>
                <w:ilvl w:val="0"/>
                <w:numId w:val="250"/>
              </w:numPr>
              <w:tabs>
                <w:tab w:val="left" w:pos="434"/>
              </w:tabs>
              <w:spacing w:before="120" w:after="120"/>
              <w:rPr>
                <w:rFonts w:eastAsia="Times New Roman"/>
                <w:iCs/>
                <w:color w:val="000000"/>
                <w:sz w:val="20"/>
                <w:szCs w:val="20"/>
                <w:lang w:eastAsia="ru-RU"/>
              </w:rPr>
            </w:pPr>
          </w:p>
        </w:tc>
        <w:tc>
          <w:tcPr>
            <w:tcW w:w="2977" w:type="dxa"/>
          </w:tcPr>
          <w:p w:rsidR="00AD75E4" w:rsidRPr="004761E0" w:rsidRDefault="00AD75E4" w:rsidP="00AD75E4">
            <w:pPr>
              <w:ind w:firstLine="0"/>
              <w:jc w:val="left"/>
              <w:rPr>
                <w:rFonts w:eastAsia="Times New Roman"/>
                <w:color w:val="000000"/>
                <w:sz w:val="20"/>
                <w:szCs w:val="20"/>
                <w:lang w:eastAsia="ru-RU"/>
              </w:rPr>
            </w:pPr>
            <w:r w:rsidRPr="004761E0">
              <w:rPr>
                <w:rFonts w:eastAsia="Times New Roman"/>
                <w:color w:val="000000"/>
                <w:sz w:val="20"/>
                <w:szCs w:val="20"/>
                <w:lang w:eastAsia="ru-RU"/>
              </w:rPr>
              <w:t>Попова Ольга Викторовна</w:t>
            </w:r>
          </w:p>
        </w:tc>
        <w:tc>
          <w:tcPr>
            <w:tcW w:w="6344" w:type="dxa"/>
          </w:tcPr>
          <w:p w:rsidR="00AD75E4" w:rsidRPr="004761E0" w:rsidRDefault="00AD75E4" w:rsidP="00AD75E4">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Начальник отдела внутреннго аудита Департамента внутреннего аудита и управления рисками </w:t>
            </w:r>
            <w:r w:rsidR="0008080E">
              <w:rPr>
                <w:rFonts w:eastAsia="Times New Roman"/>
                <w:color w:val="000000"/>
                <w:sz w:val="20"/>
                <w:szCs w:val="20"/>
                <w:lang w:eastAsia="ru-RU"/>
              </w:rPr>
              <w:t>ОАО </w:t>
            </w:r>
            <w:r w:rsidRPr="004761E0">
              <w:rPr>
                <w:rFonts w:eastAsia="Times New Roman"/>
                <w:color w:val="000000"/>
                <w:sz w:val="20"/>
                <w:szCs w:val="20"/>
                <w:lang w:eastAsia="ru-RU"/>
              </w:rPr>
              <w:t>«Холдинг МРСК»</w:t>
            </w:r>
          </w:p>
        </w:tc>
      </w:tr>
      <w:tr w:rsidR="00AD75E4" w:rsidRPr="004761E0" w:rsidTr="009B5AE4">
        <w:tc>
          <w:tcPr>
            <w:tcW w:w="709" w:type="dxa"/>
          </w:tcPr>
          <w:p w:rsidR="00AD75E4" w:rsidRPr="004761E0" w:rsidRDefault="00AD75E4" w:rsidP="007076A7">
            <w:pPr>
              <w:pStyle w:val="a5"/>
              <w:numPr>
                <w:ilvl w:val="0"/>
                <w:numId w:val="250"/>
              </w:numPr>
              <w:tabs>
                <w:tab w:val="left" w:pos="434"/>
              </w:tabs>
              <w:spacing w:before="120" w:after="120"/>
              <w:rPr>
                <w:rFonts w:eastAsia="Times New Roman"/>
                <w:iCs/>
                <w:color w:val="000000"/>
                <w:sz w:val="20"/>
                <w:szCs w:val="20"/>
                <w:lang w:eastAsia="ru-RU"/>
              </w:rPr>
            </w:pPr>
          </w:p>
        </w:tc>
        <w:tc>
          <w:tcPr>
            <w:tcW w:w="2977" w:type="dxa"/>
          </w:tcPr>
          <w:p w:rsidR="00AD75E4" w:rsidRPr="004761E0" w:rsidRDefault="00AD75E4" w:rsidP="00AD75E4">
            <w:pPr>
              <w:ind w:firstLine="0"/>
              <w:jc w:val="left"/>
              <w:rPr>
                <w:rFonts w:eastAsia="Times New Roman"/>
                <w:color w:val="000000"/>
                <w:sz w:val="20"/>
                <w:szCs w:val="20"/>
                <w:lang w:eastAsia="ru-RU"/>
              </w:rPr>
            </w:pPr>
            <w:r w:rsidRPr="004761E0">
              <w:rPr>
                <w:rFonts w:eastAsia="Times New Roman"/>
                <w:color w:val="000000"/>
                <w:sz w:val="20"/>
                <w:szCs w:val="20"/>
                <w:lang w:eastAsia="ru-RU"/>
              </w:rPr>
              <w:t>Рослякова Екатерина Сергеевна</w:t>
            </w:r>
          </w:p>
        </w:tc>
        <w:tc>
          <w:tcPr>
            <w:tcW w:w="6344" w:type="dxa"/>
          </w:tcPr>
          <w:p w:rsidR="00AD75E4" w:rsidRPr="004761E0" w:rsidRDefault="00AD75E4" w:rsidP="00AD75E4">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Главный эксперт отдела внутреннего аудита Департамента внутреннего аудита и управления рисками </w:t>
            </w:r>
            <w:r w:rsidR="0008080E">
              <w:rPr>
                <w:rFonts w:eastAsia="Times New Roman"/>
                <w:color w:val="000000"/>
                <w:sz w:val="20"/>
                <w:szCs w:val="20"/>
                <w:lang w:eastAsia="ru-RU"/>
              </w:rPr>
              <w:t>ОАО </w:t>
            </w:r>
            <w:r w:rsidRPr="004761E0">
              <w:rPr>
                <w:rFonts w:eastAsia="Times New Roman"/>
                <w:color w:val="000000"/>
                <w:sz w:val="20"/>
                <w:szCs w:val="20"/>
                <w:lang w:eastAsia="ru-RU"/>
              </w:rPr>
              <w:t>«Холдинг МРСК»</w:t>
            </w:r>
          </w:p>
        </w:tc>
      </w:tr>
      <w:tr w:rsidR="00AD75E4" w:rsidRPr="004761E0" w:rsidTr="009B5AE4">
        <w:tc>
          <w:tcPr>
            <w:tcW w:w="709" w:type="dxa"/>
          </w:tcPr>
          <w:p w:rsidR="00AD75E4" w:rsidRPr="004761E0" w:rsidRDefault="00AD75E4" w:rsidP="007076A7">
            <w:pPr>
              <w:pStyle w:val="a5"/>
              <w:numPr>
                <w:ilvl w:val="0"/>
                <w:numId w:val="250"/>
              </w:numPr>
              <w:tabs>
                <w:tab w:val="left" w:pos="434"/>
              </w:tabs>
              <w:spacing w:before="120" w:after="120"/>
              <w:rPr>
                <w:rFonts w:eastAsia="Times New Roman"/>
                <w:iCs/>
                <w:color w:val="000000"/>
                <w:sz w:val="20"/>
                <w:szCs w:val="20"/>
                <w:lang w:eastAsia="ru-RU"/>
              </w:rPr>
            </w:pPr>
          </w:p>
        </w:tc>
        <w:tc>
          <w:tcPr>
            <w:tcW w:w="2977" w:type="dxa"/>
          </w:tcPr>
          <w:p w:rsidR="00AD75E4" w:rsidRPr="004761E0" w:rsidRDefault="00AD75E4" w:rsidP="00AD75E4">
            <w:pPr>
              <w:ind w:hanging="2"/>
              <w:jc w:val="left"/>
              <w:rPr>
                <w:bCs/>
                <w:color w:val="000000"/>
                <w:sz w:val="20"/>
                <w:szCs w:val="20"/>
                <w:lang w:val="en-US"/>
              </w:rPr>
            </w:pPr>
            <w:r w:rsidRPr="004761E0">
              <w:rPr>
                <w:bCs/>
                <w:color w:val="000000"/>
                <w:sz w:val="20"/>
                <w:szCs w:val="20"/>
              </w:rPr>
              <w:t xml:space="preserve">Кормушкина </w:t>
            </w:r>
          </w:p>
          <w:p w:rsidR="00AD75E4" w:rsidRPr="004761E0" w:rsidRDefault="00AD75E4" w:rsidP="00AD75E4">
            <w:pPr>
              <w:ind w:firstLine="0"/>
              <w:jc w:val="left"/>
              <w:rPr>
                <w:rFonts w:eastAsia="Times New Roman"/>
                <w:color w:val="000000"/>
                <w:sz w:val="20"/>
                <w:szCs w:val="20"/>
                <w:lang w:eastAsia="ru-RU"/>
              </w:rPr>
            </w:pPr>
            <w:r w:rsidRPr="004761E0">
              <w:rPr>
                <w:bCs/>
                <w:color w:val="000000"/>
                <w:sz w:val="20"/>
                <w:szCs w:val="20"/>
              </w:rPr>
              <w:t xml:space="preserve">Людмила Дмитриевна </w:t>
            </w:r>
          </w:p>
        </w:tc>
        <w:tc>
          <w:tcPr>
            <w:tcW w:w="6344" w:type="dxa"/>
          </w:tcPr>
          <w:p w:rsidR="00AD75E4" w:rsidRPr="004761E0" w:rsidRDefault="00AD75E4" w:rsidP="00AD75E4">
            <w:pPr>
              <w:ind w:firstLine="0"/>
              <w:jc w:val="left"/>
              <w:rPr>
                <w:rFonts w:eastAsia="Times New Roman"/>
                <w:color w:val="000000"/>
                <w:sz w:val="20"/>
                <w:szCs w:val="20"/>
                <w:lang w:eastAsia="ru-RU"/>
              </w:rPr>
            </w:pPr>
            <w:r w:rsidRPr="004761E0">
              <w:rPr>
                <w:bCs/>
                <w:color w:val="000000"/>
                <w:sz w:val="20"/>
                <w:szCs w:val="20"/>
              </w:rPr>
              <w:t xml:space="preserve">Начальник отдела внутреннего аудита, ревизионных проверок и экспертиз </w:t>
            </w:r>
            <w:r w:rsidR="0008080E">
              <w:rPr>
                <w:bCs/>
                <w:color w:val="000000"/>
                <w:sz w:val="20"/>
                <w:szCs w:val="20"/>
              </w:rPr>
              <w:t>ОАО </w:t>
            </w:r>
            <w:r w:rsidRPr="004761E0">
              <w:rPr>
                <w:bCs/>
                <w:color w:val="000000"/>
                <w:sz w:val="20"/>
                <w:szCs w:val="20"/>
              </w:rPr>
              <w:t>«Холдинг МРСК»</w:t>
            </w:r>
          </w:p>
        </w:tc>
      </w:tr>
    </w:tbl>
    <w:p w:rsidR="00AD75E4" w:rsidRPr="004761E0" w:rsidRDefault="00AD75E4" w:rsidP="00AD75E4">
      <w:pPr>
        <w:ind w:firstLine="567"/>
        <w:rPr>
          <w:sz w:val="26"/>
          <w:szCs w:val="26"/>
          <w:lang w:eastAsia="ru-RU"/>
        </w:rPr>
      </w:pPr>
      <w:r w:rsidRPr="004761E0">
        <w:rPr>
          <w:sz w:val="26"/>
          <w:szCs w:val="26"/>
          <w:lang w:eastAsia="ru-RU"/>
        </w:rPr>
        <w:t>Действующий состав Ревизионной комиссии избран годовым Общим собранием акционеров 26.06.2013:</w:t>
      </w:r>
    </w:p>
    <w:tbl>
      <w:tblPr>
        <w:tblStyle w:val="ae"/>
        <w:tblW w:w="0" w:type="auto"/>
        <w:tblInd w:w="108" w:type="dxa"/>
        <w:tblLook w:val="04A0"/>
      </w:tblPr>
      <w:tblGrid>
        <w:gridCol w:w="653"/>
        <w:gridCol w:w="1776"/>
        <w:gridCol w:w="2740"/>
        <w:gridCol w:w="1126"/>
        <w:gridCol w:w="1129"/>
        <w:gridCol w:w="1320"/>
        <w:gridCol w:w="1286"/>
      </w:tblGrid>
      <w:tr w:rsidR="00AD75E4" w:rsidRPr="004761E0" w:rsidTr="00AD75E4">
        <w:tc>
          <w:tcPr>
            <w:tcW w:w="653" w:type="dxa"/>
            <w:tcBorders>
              <w:right w:val="single" w:sz="4" w:space="0" w:color="FFFFFF" w:themeColor="background1"/>
            </w:tcBorders>
            <w:shd w:val="clear" w:color="auto" w:fill="0F243E" w:themeFill="text2" w:themeFillShade="80"/>
          </w:tcPr>
          <w:p w:rsidR="00AD75E4" w:rsidRPr="004761E0" w:rsidRDefault="00AD75E4" w:rsidP="00AD75E4">
            <w:pPr>
              <w:spacing w:before="120" w:after="120"/>
              <w:ind w:firstLine="0"/>
              <w:rPr>
                <w:rFonts w:eastAsia="Times New Roman"/>
                <w:b/>
                <w:iCs/>
                <w:sz w:val="20"/>
                <w:szCs w:val="20"/>
                <w:lang w:eastAsia="ru-RU"/>
              </w:rPr>
            </w:pPr>
            <w:r w:rsidRPr="004761E0">
              <w:rPr>
                <w:rFonts w:eastAsia="Times New Roman"/>
                <w:b/>
                <w:iCs/>
                <w:sz w:val="20"/>
                <w:szCs w:val="20"/>
                <w:lang w:eastAsia="ru-RU"/>
              </w:rPr>
              <w:t>№ п/п</w:t>
            </w:r>
          </w:p>
        </w:tc>
        <w:tc>
          <w:tcPr>
            <w:tcW w:w="1776" w:type="dxa"/>
            <w:tcBorders>
              <w:left w:val="single" w:sz="4" w:space="0" w:color="FFFFFF" w:themeColor="background1"/>
              <w:right w:val="single" w:sz="4" w:space="0" w:color="FFFFFF" w:themeColor="background1"/>
            </w:tcBorders>
            <w:shd w:val="clear" w:color="auto" w:fill="0F243E" w:themeFill="text2" w:themeFillShade="80"/>
            <w:vAlign w:val="center"/>
          </w:tcPr>
          <w:p w:rsidR="00AD75E4" w:rsidRPr="004761E0" w:rsidRDefault="00AD75E4" w:rsidP="00AD75E4">
            <w:pPr>
              <w:ind w:firstLine="0"/>
              <w:jc w:val="left"/>
              <w:rPr>
                <w:rFonts w:eastAsia="Times New Roman"/>
                <w:b/>
                <w:sz w:val="20"/>
                <w:szCs w:val="20"/>
                <w:lang w:eastAsia="ru-RU"/>
              </w:rPr>
            </w:pPr>
            <w:r w:rsidRPr="004761E0">
              <w:rPr>
                <w:rFonts w:eastAsia="Times New Roman"/>
                <w:b/>
                <w:sz w:val="20"/>
                <w:szCs w:val="20"/>
                <w:lang w:eastAsia="ru-RU"/>
              </w:rPr>
              <w:t>Ф.И.О.</w:t>
            </w:r>
          </w:p>
        </w:tc>
        <w:tc>
          <w:tcPr>
            <w:tcW w:w="2740" w:type="dxa"/>
            <w:tcBorders>
              <w:left w:val="single" w:sz="4" w:space="0" w:color="FFFFFF" w:themeColor="background1"/>
              <w:right w:val="single" w:sz="4" w:space="0" w:color="FFFFFF" w:themeColor="background1"/>
            </w:tcBorders>
            <w:shd w:val="clear" w:color="auto" w:fill="0F243E" w:themeFill="text2" w:themeFillShade="80"/>
            <w:vAlign w:val="center"/>
          </w:tcPr>
          <w:p w:rsidR="00AD75E4" w:rsidRPr="004761E0" w:rsidRDefault="00AD75E4" w:rsidP="00AD75E4">
            <w:pPr>
              <w:ind w:firstLine="0"/>
              <w:jc w:val="left"/>
              <w:rPr>
                <w:rFonts w:eastAsia="Times New Roman"/>
                <w:b/>
                <w:sz w:val="20"/>
                <w:szCs w:val="20"/>
                <w:lang w:eastAsia="ru-RU"/>
              </w:rPr>
            </w:pPr>
            <w:r w:rsidRPr="004761E0">
              <w:rPr>
                <w:rFonts w:eastAsia="Times New Roman"/>
                <w:b/>
                <w:sz w:val="20"/>
                <w:szCs w:val="20"/>
                <w:lang w:eastAsia="ru-RU"/>
              </w:rPr>
              <w:t xml:space="preserve">Должность на момент избрания </w:t>
            </w:r>
          </w:p>
        </w:tc>
        <w:tc>
          <w:tcPr>
            <w:tcW w:w="1126" w:type="dxa"/>
            <w:tcBorders>
              <w:left w:val="single" w:sz="4" w:space="0" w:color="FFFFFF" w:themeColor="background1"/>
              <w:right w:val="single" w:sz="4" w:space="0" w:color="FFFFFF" w:themeColor="background1"/>
            </w:tcBorders>
            <w:shd w:val="clear" w:color="auto" w:fill="0F243E" w:themeFill="text2" w:themeFillShade="80"/>
            <w:vAlign w:val="center"/>
          </w:tcPr>
          <w:p w:rsidR="00AD75E4" w:rsidRPr="004761E0" w:rsidRDefault="00AD75E4" w:rsidP="00AD75E4">
            <w:pPr>
              <w:ind w:firstLine="0"/>
              <w:jc w:val="left"/>
              <w:rPr>
                <w:rFonts w:eastAsia="Times New Roman"/>
                <w:b/>
                <w:sz w:val="20"/>
                <w:szCs w:val="20"/>
                <w:lang w:eastAsia="ru-RU"/>
              </w:rPr>
            </w:pPr>
            <w:r w:rsidRPr="004761E0">
              <w:rPr>
                <w:rFonts w:eastAsia="Times New Roman"/>
                <w:b/>
                <w:sz w:val="20"/>
                <w:szCs w:val="20"/>
                <w:lang w:eastAsia="ru-RU"/>
              </w:rPr>
              <w:t>Год рождения</w:t>
            </w:r>
          </w:p>
        </w:tc>
        <w:tc>
          <w:tcPr>
            <w:tcW w:w="1129" w:type="dxa"/>
            <w:tcBorders>
              <w:left w:val="single" w:sz="4" w:space="0" w:color="FFFFFF" w:themeColor="background1"/>
              <w:right w:val="single" w:sz="4" w:space="0" w:color="FFFFFF" w:themeColor="background1"/>
            </w:tcBorders>
            <w:shd w:val="clear" w:color="auto" w:fill="0F243E" w:themeFill="text2" w:themeFillShade="80"/>
            <w:vAlign w:val="center"/>
          </w:tcPr>
          <w:p w:rsidR="00AD75E4" w:rsidRPr="004761E0" w:rsidRDefault="00AD75E4" w:rsidP="00AD75E4">
            <w:pPr>
              <w:ind w:firstLine="0"/>
              <w:jc w:val="left"/>
              <w:rPr>
                <w:rFonts w:eastAsia="Times New Roman"/>
                <w:b/>
                <w:sz w:val="20"/>
                <w:szCs w:val="20"/>
                <w:lang w:eastAsia="ru-RU"/>
              </w:rPr>
            </w:pPr>
            <w:r w:rsidRPr="004761E0">
              <w:rPr>
                <w:rFonts w:eastAsia="Times New Roman"/>
                <w:b/>
                <w:sz w:val="20"/>
                <w:szCs w:val="20"/>
                <w:lang w:eastAsia="ru-RU"/>
              </w:rPr>
              <w:t>Дата избрания в РК в первый раз</w:t>
            </w:r>
          </w:p>
        </w:tc>
        <w:tc>
          <w:tcPr>
            <w:tcW w:w="1320" w:type="dxa"/>
            <w:tcBorders>
              <w:left w:val="single" w:sz="4" w:space="0" w:color="FFFFFF" w:themeColor="background1"/>
              <w:right w:val="single" w:sz="4" w:space="0" w:color="FFFFFF" w:themeColor="background1"/>
            </w:tcBorders>
            <w:shd w:val="clear" w:color="auto" w:fill="0F243E" w:themeFill="text2" w:themeFillShade="80"/>
            <w:vAlign w:val="center"/>
          </w:tcPr>
          <w:p w:rsidR="00AD75E4" w:rsidRPr="004761E0" w:rsidRDefault="00AD75E4" w:rsidP="00AD75E4">
            <w:pPr>
              <w:ind w:firstLine="0"/>
              <w:jc w:val="left"/>
              <w:rPr>
                <w:rFonts w:eastAsia="Times New Roman"/>
                <w:b/>
                <w:sz w:val="20"/>
                <w:szCs w:val="20"/>
                <w:lang w:eastAsia="ru-RU"/>
              </w:rPr>
            </w:pPr>
            <w:r w:rsidRPr="004761E0">
              <w:rPr>
                <w:rFonts w:eastAsia="Times New Roman"/>
                <w:b/>
                <w:sz w:val="20"/>
                <w:szCs w:val="20"/>
                <w:lang w:eastAsia="ru-RU"/>
              </w:rPr>
              <w:t>Количество избираемых в РК раз</w:t>
            </w:r>
          </w:p>
        </w:tc>
        <w:tc>
          <w:tcPr>
            <w:tcW w:w="1286" w:type="dxa"/>
            <w:tcBorders>
              <w:left w:val="single" w:sz="4" w:space="0" w:color="FFFFFF" w:themeColor="background1"/>
            </w:tcBorders>
            <w:shd w:val="clear" w:color="auto" w:fill="0F243E" w:themeFill="text2" w:themeFillShade="80"/>
            <w:vAlign w:val="center"/>
          </w:tcPr>
          <w:p w:rsidR="00AD75E4" w:rsidRPr="004761E0" w:rsidRDefault="00AD75E4" w:rsidP="00AD75E4">
            <w:pPr>
              <w:ind w:firstLine="0"/>
              <w:jc w:val="left"/>
              <w:rPr>
                <w:rFonts w:eastAsia="Times New Roman"/>
                <w:b/>
                <w:sz w:val="20"/>
                <w:szCs w:val="20"/>
                <w:lang w:eastAsia="ru-RU"/>
              </w:rPr>
            </w:pPr>
            <w:r w:rsidRPr="004761E0">
              <w:rPr>
                <w:rFonts w:eastAsia="Times New Roman"/>
                <w:b/>
                <w:sz w:val="20"/>
                <w:szCs w:val="20"/>
                <w:lang w:eastAsia="ru-RU"/>
              </w:rPr>
              <w:t>Количество акций Общества / ДЗО Общества</w:t>
            </w:r>
          </w:p>
        </w:tc>
      </w:tr>
      <w:tr w:rsidR="00AD75E4" w:rsidRPr="004761E0" w:rsidTr="00AD75E4">
        <w:tc>
          <w:tcPr>
            <w:tcW w:w="653" w:type="dxa"/>
          </w:tcPr>
          <w:p w:rsidR="00AD75E4" w:rsidRPr="004761E0" w:rsidRDefault="00AD75E4" w:rsidP="007076A7">
            <w:pPr>
              <w:pStyle w:val="a5"/>
              <w:numPr>
                <w:ilvl w:val="0"/>
                <w:numId w:val="251"/>
              </w:numPr>
              <w:tabs>
                <w:tab w:val="left" w:pos="434"/>
              </w:tabs>
              <w:spacing w:before="120" w:after="120"/>
              <w:rPr>
                <w:rFonts w:eastAsia="Times New Roman"/>
                <w:iCs/>
                <w:color w:val="000000"/>
                <w:sz w:val="20"/>
                <w:szCs w:val="20"/>
                <w:lang w:eastAsia="ru-RU"/>
              </w:rPr>
            </w:pPr>
          </w:p>
        </w:tc>
        <w:tc>
          <w:tcPr>
            <w:tcW w:w="1776" w:type="dxa"/>
          </w:tcPr>
          <w:p w:rsidR="00AD75E4" w:rsidRPr="004761E0" w:rsidRDefault="00AD75E4" w:rsidP="00AD75E4">
            <w:pPr>
              <w:ind w:firstLine="0"/>
              <w:jc w:val="left"/>
              <w:rPr>
                <w:rFonts w:eastAsia="Times New Roman"/>
                <w:sz w:val="20"/>
                <w:szCs w:val="20"/>
                <w:lang w:eastAsia="ru-RU"/>
              </w:rPr>
            </w:pPr>
            <w:r w:rsidRPr="004761E0">
              <w:rPr>
                <w:sz w:val="20"/>
                <w:szCs w:val="20"/>
              </w:rPr>
              <w:t xml:space="preserve">Лелекова Марина Алексеевна </w:t>
            </w:r>
          </w:p>
        </w:tc>
        <w:tc>
          <w:tcPr>
            <w:tcW w:w="2740" w:type="dxa"/>
          </w:tcPr>
          <w:p w:rsidR="00AD75E4" w:rsidRPr="004761E0" w:rsidRDefault="00AD75E4" w:rsidP="00AD75E4">
            <w:pPr>
              <w:ind w:firstLine="0"/>
              <w:jc w:val="left"/>
              <w:rPr>
                <w:sz w:val="20"/>
                <w:szCs w:val="20"/>
              </w:rPr>
            </w:pPr>
            <w:r w:rsidRPr="004761E0">
              <w:rPr>
                <w:sz w:val="20"/>
                <w:szCs w:val="20"/>
              </w:rPr>
              <w:t xml:space="preserve">Директор Департамента внутреннего аудита и </w:t>
            </w:r>
            <w:r w:rsidRPr="004761E0">
              <w:rPr>
                <w:sz w:val="20"/>
                <w:szCs w:val="20"/>
              </w:rPr>
              <w:lastRenderedPageBreak/>
              <w:t xml:space="preserve">контроля </w:t>
            </w:r>
            <w:r w:rsidR="0008080E">
              <w:rPr>
                <w:sz w:val="20"/>
                <w:szCs w:val="20"/>
              </w:rPr>
              <w:t>ОАО </w:t>
            </w:r>
            <w:r w:rsidRPr="004761E0">
              <w:rPr>
                <w:sz w:val="20"/>
                <w:szCs w:val="20"/>
              </w:rPr>
              <w:t>«Россети»</w:t>
            </w:r>
          </w:p>
        </w:tc>
        <w:tc>
          <w:tcPr>
            <w:tcW w:w="1126" w:type="dxa"/>
          </w:tcPr>
          <w:p w:rsidR="00AD75E4" w:rsidRPr="004761E0" w:rsidRDefault="00AD75E4" w:rsidP="00AD75E4">
            <w:pPr>
              <w:ind w:firstLine="0"/>
              <w:jc w:val="left"/>
              <w:rPr>
                <w:rFonts w:eastAsia="Times New Roman"/>
                <w:sz w:val="20"/>
                <w:szCs w:val="20"/>
                <w:lang w:eastAsia="ru-RU"/>
              </w:rPr>
            </w:pPr>
            <w:r w:rsidRPr="004761E0">
              <w:rPr>
                <w:rFonts w:eastAsia="Times New Roman"/>
                <w:sz w:val="20"/>
                <w:szCs w:val="20"/>
                <w:lang w:eastAsia="ru-RU"/>
              </w:rPr>
              <w:lastRenderedPageBreak/>
              <w:t>1961</w:t>
            </w:r>
          </w:p>
        </w:tc>
        <w:tc>
          <w:tcPr>
            <w:tcW w:w="1129" w:type="dxa"/>
          </w:tcPr>
          <w:p w:rsidR="00AD75E4" w:rsidRPr="004761E0" w:rsidRDefault="00AD75E4" w:rsidP="00AD75E4">
            <w:pPr>
              <w:ind w:firstLine="0"/>
              <w:jc w:val="left"/>
              <w:rPr>
                <w:rFonts w:eastAsia="Times New Roman"/>
                <w:sz w:val="20"/>
                <w:szCs w:val="20"/>
                <w:lang w:eastAsia="ru-RU"/>
              </w:rPr>
            </w:pPr>
            <w:r w:rsidRPr="004761E0">
              <w:rPr>
                <w:rFonts w:eastAsia="Times New Roman"/>
                <w:sz w:val="20"/>
                <w:szCs w:val="20"/>
                <w:lang w:eastAsia="ru-RU"/>
              </w:rPr>
              <w:t>28.02.2005</w:t>
            </w:r>
          </w:p>
        </w:tc>
        <w:tc>
          <w:tcPr>
            <w:tcW w:w="1320" w:type="dxa"/>
          </w:tcPr>
          <w:p w:rsidR="00AD75E4" w:rsidRPr="004761E0" w:rsidRDefault="00AD75E4" w:rsidP="00AD75E4">
            <w:pPr>
              <w:ind w:firstLine="0"/>
              <w:jc w:val="left"/>
              <w:rPr>
                <w:rFonts w:eastAsia="Times New Roman"/>
                <w:sz w:val="20"/>
                <w:szCs w:val="20"/>
                <w:lang w:eastAsia="ru-RU"/>
              </w:rPr>
            </w:pPr>
            <w:r w:rsidRPr="004761E0">
              <w:rPr>
                <w:rFonts w:eastAsia="Times New Roman"/>
                <w:sz w:val="20"/>
                <w:szCs w:val="20"/>
                <w:lang w:eastAsia="ru-RU"/>
              </w:rPr>
              <w:t>4</w:t>
            </w:r>
          </w:p>
        </w:tc>
        <w:tc>
          <w:tcPr>
            <w:tcW w:w="1286" w:type="dxa"/>
          </w:tcPr>
          <w:p w:rsidR="00AD75E4" w:rsidRPr="004761E0" w:rsidRDefault="00AD75E4" w:rsidP="00AD75E4">
            <w:pPr>
              <w:ind w:firstLine="0"/>
              <w:jc w:val="left"/>
              <w:rPr>
                <w:rFonts w:eastAsia="Times New Roman"/>
                <w:sz w:val="20"/>
                <w:szCs w:val="20"/>
                <w:lang w:eastAsia="ru-RU"/>
              </w:rPr>
            </w:pPr>
            <w:r w:rsidRPr="004761E0">
              <w:rPr>
                <w:rFonts w:eastAsia="Times New Roman"/>
                <w:sz w:val="20"/>
                <w:szCs w:val="20"/>
                <w:lang w:eastAsia="ru-RU"/>
              </w:rPr>
              <w:t>0/0</w:t>
            </w:r>
          </w:p>
        </w:tc>
      </w:tr>
      <w:tr w:rsidR="00AD75E4" w:rsidRPr="004761E0" w:rsidTr="00AD75E4">
        <w:tc>
          <w:tcPr>
            <w:tcW w:w="653" w:type="dxa"/>
          </w:tcPr>
          <w:p w:rsidR="00AD75E4" w:rsidRPr="004761E0" w:rsidRDefault="00AD75E4" w:rsidP="007076A7">
            <w:pPr>
              <w:pStyle w:val="a5"/>
              <w:numPr>
                <w:ilvl w:val="0"/>
                <w:numId w:val="251"/>
              </w:numPr>
              <w:tabs>
                <w:tab w:val="left" w:pos="434"/>
              </w:tabs>
              <w:spacing w:before="120" w:after="120"/>
              <w:rPr>
                <w:rFonts w:eastAsia="Times New Roman"/>
                <w:iCs/>
                <w:color w:val="000000"/>
                <w:sz w:val="20"/>
                <w:szCs w:val="20"/>
                <w:lang w:eastAsia="ru-RU"/>
              </w:rPr>
            </w:pPr>
          </w:p>
        </w:tc>
        <w:tc>
          <w:tcPr>
            <w:tcW w:w="1776" w:type="dxa"/>
          </w:tcPr>
          <w:p w:rsidR="00AD75E4" w:rsidRPr="004761E0" w:rsidRDefault="00AD75E4" w:rsidP="00AD75E4">
            <w:pPr>
              <w:ind w:firstLine="0"/>
              <w:jc w:val="left"/>
              <w:rPr>
                <w:rFonts w:eastAsia="Times New Roman"/>
                <w:sz w:val="20"/>
                <w:szCs w:val="20"/>
                <w:lang w:eastAsia="ru-RU"/>
              </w:rPr>
            </w:pPr>
            <w:r w:rsidRPr="004761E0">
              <w:rPr>
                <w:sz w:val="20"/>
                <w:szCs w:val="20"/>
              </w:rPr>
              <w:t xml:space="preserve">Филиппова Ирина Александровна </w:t>
            </w:r>
          </w:p>
        </w:tc>
        <w:tc>
          <w:tcPr>
            <w:tcW w:w="2740" w:type="dxa"/>
          </w:tcPr>
          <w:p w:rsidR="00AD75E4" w:rsidRPr="004761E0" w:rsidRDefault="00AD75E4" w:rsidP="00AD75E4">
            <w:pPr>
              <w:ind w:firstLine="0"/>
              <w:jc w:val="left"/>
              <w:rPr>
                <w:sz w:val="20"/>
                <w:szCs w:val="20"/>
              </w:rPr>
            </w:pPr>
            <w:r w:rsidRPr="004761E0">
              <w:rPr>
                <w:sz w:val="20"/>
                <w:szCs w:val="20"/>
              </w:rPr>
              <w:t xml:space="preserve">Ведущий эксперт отдела ревизионных проверок и экспертиз Департамента внутреннего аудита и управления рисками </w:t>
            </w:r>
            <w:r w:rsidR="0008080E">
              <w:rPr>
                <w:sz w:val="20"/>
                <w:szCs w:val="20"/>
              </w:rPr>
              <w:t>ОАО </w:t>
            </w:r>
            <w:r w:rsidRPr="004761E0">
              <w:rPr>
                <w:sz w:val="20"/>
                <w:szCs w:val="20"/>
              </w:rPr>
              <w:t xml:space="preserve">«Россети» </w:t>
            </w:r>
          </w:p>
        </w:tc>
        <w:tc>
          <w:tcPr>
            <w:tcW w:w="1126" w:type="dxa"/>
          </w:tcPr>
          <w:p w:rsidR="00AD75E4" w:rsidRPr="004761E0" w:rsidRDefault="00AD75E4" w:rsidP="00AD75E4">
            <w:pPr>
              <w:ind w:firstLine="0"/>
              <w:jc w:val="left"/>
              <w:rPr>
                <w:rFonts w:eastAsia="Times New Roman"/>
                <w:sz w:val="20"/>
                <w:szCs w:val="20"/>
                <w:lang w:eastAsia="ru-RU"/>
              </w:rPr>
            </w:pPr>
            <w:r w:rsidRPr="004761E0">
              <w:rPr>
                <w:rFonts w:eastAsia="Times New Roman"/>
                <w:sz w:val="20"/>
                <w:szCs w:val="20"/>
                <w:lang w:eastAsia="ru-RU"/>
              </w:rPr>
              <w:t>1958</w:t>
            </w:r>
          </w:p>
        </w:tc>
        <w:tc>
          <w:tcPr>
            <w:tcW w:w="1129" w:type="dxa"/>
          </w:tcPr>
          <w:p w:rsidR="00AD75E4" w:rsidRPr="004761E0" w:rsidRDefault="00AD75E4" w:rsidP="00AD75E4">
            <w:pPr>
              <w:ind w:firstLine="0"/>
              <w:jc w:val="left"/>
              <w:rPr>
                <w:rFonts w:eastAsia="Times New Roman"/>
                <w:sz w:val="20"/>
                <w:szCs w:val="20"/>
                <w:lang w:eastAsia="ru-RU"/>
              </w:rPr>
            </w:pPr>
            <w:r w:rsidRPr="004761E0">
              <w:rPr>
                <w:rFonts w:eastAsia="Times New Roman"/>
                <w:sz w:val="20"/>
                <w:szCs w:val="20"/>
                <w:lang w:eastAsia="ru-RU"/>
              </w:rPr>
              <w:t>30.06.2010</w:t>
            </w:r>
          </w:p>
        </w:tc>
        <w:tc>
          <w:tcPr>
            <w:tcW w:w="1320" w:type="dxa"/>
          </w:tcPr>
          <w:p w:rsidR="00AD75E4" w:rsidRPr="004761E0" w:rsidRDefault="00AD75E4" w:rsidP="00AD75E4">
            <w:pPr>
              <w:ind w:firstLine="0"/>
              <w:jc w:val="left"/>
              <w:rPr>
                <w:rFonts w:eastAsia="Times New Roman"/>
                <w:sz w:val="20"/>
                <w:szCs w:val="20"/>
                <w:lang w:eastAsia="ru-RU"/>
              </w:rPr>
            </w:pPr>
            <w:r w:rsidRPr="004761E0">
              <w:rPr>
                <w:rFonts w:eastAsia="Times New Roman"/>
                <w:sz w:val="20"/>
                <w:szCs w:val="20"/>
                <w:lang w:eastAsia="ru-RU"/>
              </w:rPr>
              <w:t>3</w:t>
            </w:r>
          </w:p>
        </w:tc>
        <w:tc>
          <w:tcPr>
            <w:tcW w:w="1286" w:type="dxa"/>
          </w:tcPr>
          <w:p w:rsidR="00AD75E4" w:rsidRPr="004761E0" w:rsidRDefault="00AD75E4" w:rsidP="00AD75E4">
            <w:pPr>
              <w:ind w:firstLine="0"/>
              <w:jc w:val="left"/>
              <w:rPr>
                <w:rFonts w:eastAsia="Times New Roman"/>
                <w:sz w:val="20"/>
                <w:szCs w:val="20"/>
                <w:lang w:eastAsia="ru-RU"/>
              </w:rPr>
            </w:pPr>
            <w:r w:rsidRPr="004761E0">
              <w:rPr>
                <w:rFonts w:eastAsia="Times New Roman"/>
                <w:sz w:val="20"/>
                <w:szCs w:val="20"/>
                <w:lang w:eastAsia="ru-RU"/>
              </w:rPr>
              <w:t>0/0</w:t>
            </w:r>
          </w:p>
        </w:tc>
      </w:tr>
      <w:tr w:rsidR="00AD75E4" w:rsidRPr="004761E0" w:rsidTr="00AD75E4">
        <w:tc>
          <w:tcPr>
            <w:tcW w:w="653" w:type="dxa"/>
          </w:tcPr>
          <w:p w:rsidR="00AD75E4" w:rsidRPr="004761E0" w:rsidRDefault="00AD75E4" w:rsidP="007076A7">
            <w:pPr>
              <w:pStyle w:val="a5"/>
              <w:numPr>
                <w:ilvl w:val="0"/>
                <w:numId w:val="251"/>
              </w:numPr>
              <w:tabs>
                <w:tab w:val="left" w:pos="434"/>
              </w:tabs>
              <w:spacing w:before="120" w:after="120"/>
              <w:rPr>
                <w:rFonts w:eastAsia="Times New Roman"/>
                <w:iCs/>
                <w:color w:val="000000"/>
                <w:sz w:val="20"/>
                <w:szCs w:val="20"/>
                <w:lang w:eastAsia="ru-RU"/>
              </w:rPr>
            </w:pPr>
          </w:p>
        </w:tc>
        <w:tc>
          <w:tcPr>
            <w:tcW w:w="1776" w:type="dxa"/>
          </w:tcPr>
          <w:p w:rsidR="00AD75E4" w:rsidRPr="004761E0" w:rsidRDefault="00AD75E4" w:rsidP="00AD75E4">
            <w:pPr>
              <w:ind w:firstLine="0"/>
              <w:jc w:val="left"/>
              <w:rPr>
                <w:rFonts w:eastAsia="Times New Roman"/>
                <w:sz w:val="20"/>
                <w:szCs w:val="20"/>
                <w:lang w:eastAsia="ru-RU"/>
              </w:rPr>
            </w:pPr>
            <w:r w:rsidRPr="004761E0">
              <w:rPr>
                <w:sz w:val="20"/>
                <w:szCs w:val="20"/>
              </w:rPr>
              <w:t>Кормушкина Людмила Дмитриевна</w:t>
            </w:r>
          </w:p>
        </w:tc>
        <w:tc>
          <w:tcPr>
            <w:tcW w:w="2740" w:type="dxa"/>
          </w:tcPr>
          <w:p w:rsidR="00AD75E4" w:rsidRPr="004761E0" w:rsidRDefault="00AD75E4" w:rsidP="00AD75E4">
            <w:pPr>
              <w:ind w:firstLine="0"/>
              <w:jc w:val="left"/>
              <w:rPr>
                <w:sz w:val="20"/>
                <w:szCs w:val="20"/>
              </w:rPr>
            </w:pPr>
            <w:r w:rsidRPr="004761E0">
              <w:rPr>
                <w:sz w:val="20"/>
                <w:szCs w:val="20"/>
              </w:rPr>
              <w:t xml:space="preserve">Начальник отдела внутреннего аудита, ревизионных проверок и экспертиз Департамента внутреннего аудита и управления рисками </w:t>
            </w:r>
            <w:r w:rsidR="0008080E">
              <w:rPr>
                <w:sz w:val="20"/>
                <w:szCs w:val="20"/>
              </w:rPr>
              <w:t>ОАО </w:t>
            </w:r>
            <w:r w:rsidRPr="004761E0">
              <w:rPr>
                <w:sz w:val="20"/>
                <w:szCs w:val="20"/>
              </w:rPr>
              <w:t>«Россети»</w:t>
            </w:r>
          </w:p>
        </w:tc>
        <w:tc>
          <w:tcPr>
            <w:tcW w:w="1126" w:type="dxa"/>
          </w:tcPr>
          <w:p w:rsidR="00AD75E4" w:rsidRPr="004761E0" w:rsidRDefault="00AD75E4" w:rsidP="00AD75E4">
            <w:pPr>
              <w:ind w:firstLine="0"/>
              <w:jc w:val="left"/>
              <w:rPr>
                <w:rFonts w:eastAsia="Times New Roman"/>
                <w:sz w:val="20"/>
                <w:szCs w:val="20"/>
                <w:lang w:eastAsia="ru-RU"/>
              </w:rPr>
            </w:pPr>
            <w:r w:rsidRPr="004761E0">
              <w:rPr>
                <w:rFonts w:eastAsia="Times New Roman"/>
                <w:sz w:val="20"/>
                <w:szCs w:val="20"/>
                <w:lang w:eastAsia="ru-RU"/>
              </w:rPr>
              <w:t>1956</w:t>
            </w:r>
          </w:p>
        </w:tc>
        <w:tc>
          <w:tcPr>
            <w:tcW w:w="1129" w:type="dxa"/>
          </w:tcPr>
          <w:p w:rsidR="00AD75E4" w:rsidRPr="004761E0" w:rsidRDefault="00AD75E4" w:rsidP="00AD75E4">
            <w:pPr>
              <w:ind w:firstLine="0"/>
              <w:jc w:val="left"/>
              <w:rPr>
                <w:rFonts w:eastAsia="Times New Roman"/>
                <w:sz w:val="20"/>
                <w:szCs w:val="20"/>
                <w:lang w:eastAsia="ru-RU"/>
              </w:rPr>
            </w:pPr>
            <w:r w:rsidRPr="004761E0">
              <w:rPr>
                <w:rFonts w:eastAsia="Times New Roman"/>
                <w:sz w:val="20"/>
                <w:szCs w:val="20"/>
                <w:lang w:eastAsia="ru-RU"/>
              </w:rPr>
              <w:t>11.06.2009</w:t>
            </w:r>
          </w:p>
        </w:tc>
        <w:tc>
          <w:tcPr>
            <w:tcW w:w="1320" w:type="dxa"/>
          </w:tcPr>
          <w:p w:rsidR="00AD75E4" w:rsidRPr="004761E0" w:rsidRDefault="00AD75E4" w:rsidP="00AD75E4">
            <w:pPr>
              <w:ind w:firstLine="0"/>
              <w:jc w:val="left"/>
              <w:rPr>
                <w:rFonts w:eastAsia="Times New Roman"/>
                <w:sz w:val="20"/>
                <w:szCs w:val="20"/>
                <w:lang w:eastAsia="ru-RU"/>
              </w:rPr>
            </w:pPr>
            <w:r w:rsidRPr="004761E0">
              <w:rPr>
                <w:rFonts w:eastAsia="Times New Roman"/>
                <w:sz w:val="20"/>
                <w:szCs w:val="20"/>
                <w:lang w:eastAsia="ru-RU"/>
              </w:rPr>
              <w:t>6</w:t>
            </w:r>
          </w:p>
        </w:tc>
        <w:tc>
          <w:tcPr>
            <w:tcW w:w="1286" w:type="dxa"/>
          </w:tcPr>
          <w:p w:rsidR="00AD75E4" w:rsidRPr="004761E0" w:rsidRDefault="00AD75E4" w:rsidP="00AD75E4">
            <w:pPr>
              <w:ind w:firstLine="0"/>
              <w:jc w:val="left"/>
              <w:rPr>
                <w:rFonts w:eastAsia="Times New Roman"/>
                <w:sz w:val="20"/>
                <w:szCs w:val="20"/>
                <w:lang w:eastAsia="ru-RU"/>
              </w:rPr>
            </w:pPr>
            <w:r w:rsidRPr="004761E0">
              <w:rPr>
                <w:rFonts w:eastAsia="Times New Roman"/>
                <w:sz w:val="20"/>
                <w:szCs w:val="20"/>
                <w:lang w:eastAsia="ru-RU"/>
              </w:rPr>
              <w:t>0/0</w:t>
            </w:r>
          </w:p>
        </w:tc>
      </w:tr>
      <w:tr w:rsidR="00AD75E4" w:rsidRPr="004761E0" w:rsidTr="00AD75E4">
        <w:tc>
          <w:tcPr>
            <w:tcW w:w="653" w:type="dxa"/>
          </w:tcPr>
          <w:p w:rsidR="00AD75E4" w:rsidRPr="004761E0" w:rsidRDefault="00AD75E4" w:rsidP="007076A7">
            <w:pPr>
              <w:pStyle w:val="a5"/>
              <w:numPr>
                <w:ilvl w:val="0"/>
                <w:numId w:val="251"/>
              </w:numPr>
              <w:tabs>
                <w:tab w:val="left" w:pos="434"/>
              </w:tabs>
              <w:spacing w:before="120" w:after="120"/>
              <w:rPr>
                <w:rFonts w:eastAsia="Times New Roman"/>
                <w:iCs/>
                <w:color w:val="000000"/>
                <w:sz w:val="20"/>
                <w:szCs w:val="20"/>
                <w:lang w:eastAsia="ru-RU"/>
              </w:rPr>
            </w:pPr>
          </w:p>
        </w:tc>
        <w:tc>
          <w:tcPr>
            <w:tcW w:w="1776" w:type="dxa"/>
          </w:tcPr>
          <w:p w:rsidR="00AD75E4" w:rsidRPr="004761E0" w:rsidRDefault="00AD75E4" w:rsidP="00AD75E4">
            <w:pPr>
              <w:ind w:firstLine="0"/>
              <w:jc w:val="left"/>
              <w:rPr>
                <w:rFonts w:eastAsia="Times New Roman"/>
                <w:sz w:val="20"/>
                <w:szCs w:val="20"/>
                <w:lang w:eastAsia="ru-RU"/>
              </w:rPr>
            </w:pPr>
            <w:r w:rsidRPr="004761E0">
              <w:rPr>
                <w:sz w:val="20"/>
                <w:szCs w:val="20"/>
              </w:rPr>
              <w:t xml:space="preserve">Ожерельев Алексей Александрович </w:t>
            </w:r>
          </w:p>
        </w:tc>
        <w:tc>
          <w:tcPr>
            <w:tcW w:w="2740" w:type="dxa"/>
          </w:tcPr>
          <w:p w:rsidR="00AD75E4" w:rsidRPr="004761E0" w:rsidRDefault="00AD75E4" w:rsidP="00AD75E4">
            <w:pPr>
              <w:ind w:firstLine="0"/>
              <w:jc w:val="left"/>
              <w:rPr>
                <w:sz w:val="20"/>
                <w:szCs w:val="20"/>
              </w:rPr>
            </w:pPr>
            <w:r w:rsidRPr="004761E0">
              <w:rPr>
                <w:sz w:val="20"/>
                <w:szCs w:val="20"/>
              </w:rPr>
              <w:t xml:space="preserve">Руководитель Дирекции организации деятельности органов управления </w:t>
            </w:r>
            <w:r w:rsidR="0008080E">
              <w:rPr>
                <w:sz w:val="20"/>
                <w:szCs w:val="20"/>
              </w:rPr>
              <w:t>ОАО </w:t>
            </w:r>
            <w:r w:rsidRPr="004761E0">
              <w:rPr>
                <w:sz w:val="20"/>
                <w:szCs w:val="20"/>
              </w:rPr>
              <w:t>«Россети»</w:t>
            </w:r>
          </w:p>
        </w:tc>
        <w:tc>
          <w:tcPr>
            <w:tcW w:w="1126" w:type="dxa"/>
          </w:tcPr>
          <w:p w:rsidR="00AD75E4" w:rsidRPr="004761E0" w:rsidRDefault="00AD75E4" w:rsidP="00AD75E4">
            <w:pPr>
              <w:ind w:firstLine="0"/>
              <w:jc w:val="left"/>
              <w:rPr>
                <w:rFonts w:eastAsia="Times New Roman"/>
                <w:sz w:val="20"/>
                <w:szCs w:val="20"/>
                <w:lang w:eastAsia="ru-RU"/>
              </w:rPr>
            </w:pPr>
            <w:r w:rsidRPr="004761E0">
              <w:rPr>
                <w:rFonts w:eastAsia="Times New Roman"/>
                <w:sz w:val="20"/>
                <w:szCs w:val="20"/>
                <w:lang w:eastAsia="ru-RU"/>
              </w:rPr>
              <w:t>1986</w:t>
            </w:r>
          </w:p>
        </w:tc>
        <w:tc>
          <w:tcPr>
            <w:tcW w:w="1129" w:type="dxa"/>
          </w:tcPr>
          <w:p w:rsidR="00AD75E4" w:rsidRPr="004761E0" w:rsidRDefault="00AD75E4" w:rsidP="00AD75E4">
            <w:pPr>
              <w:ind w:firstLine="0"/>
              <w:jc w:val="left"/>
              <w:rPr>
                <w:rFonts w:eastAsia="Times New Roman"/>
                <w:sz w:val="20"/>
                <w:szCs w:val="20"/>
                <w:lang w:eastAsia="ru-RU"/>
              </w:rPr>
            </w:pPr>
            <w:r w:rsidRPr="004761E0">
              <w:rPr>
                <w:rFonts w:eastAsia="Times New Roman"/>
                <w:sz w:val="20"/>
                <w:szCs w:val="20"/>
                <w:lang w:eastAsia="ru-RU"/>
              </w:rPr>
              <w:t>26.06.2013</w:t>
            </w:r>
          </w:p>
        </w:tc>
        <w:tc>
          <w:tcPr>
            <w:tcW w:w="1320" w:type="dxa"/>
          </w:tcPr>
          <w:p w:rsidR="00AD75E4" w:rsidRPr="004761E0" w:rsidRDefault="00AD75E4" w:rsidP="00AD75E4">
            <w:pPr>
              <w:ind w:firstLine="0"/>
              <w:jc w:val="left"/>
              <w:rPr>
                <w:rFonts w:eastAsia="Times New Roman"/>
                <w:sz w:val="20"/>
                <w:szCs w:val="20"/>
                <w:lang w:eastAsia="ru-RU"/>
              </w:rPr>
            </w:pPr>
            <w:r w:rsidRPr="004761E0">
              <w:rPr>
                <w:rFonts w:eastAsia="Times New Roman"/>
                <w:sz w:val="20"/>
                <w:szCs w:val="20"/>
                <w:lang w:eastAsia="ru-RU"/>
              </w:rPr>
              <w:t>1</w:t>
            </w:r>
          </w:p>
        </w:tc>
        <w:tc>
          <w:tcPr>
            <w:tcW w:w="1286" w:type="dxa"/>
          </w:tcPr>
          <w:p w:rsidR="00AD75E4" w:rsidRPr="004761E0" w:rsidRDefault="00AD75E4" w:rsidP="00AD75E4">
            <w:pPr>
              <w:ind w:firstLine="0"/>
              <w:jc w:val="left"/>
              <w:rPr>
                <w:rFonts w:eastAsia="Times New Roman"/>
                <w:sz w:val="20"/>
                <w:szCs w:val="20"/>
                <w:lang w:eastAsia="ru-RU"/>
              </w:rPr>
            </w:pPr>
            <w:r w:rsidRPr="004761E0">
              <w:rPr>
                <w:rFonts w:eastAsia="Times New Roman"/>
                <w:sz w:val="20"/>
                <w:szCs w:val="20"/>
                <w:lang w:eastAsia="ru-RU"/>
              </w:rPr>
              <w:t>0/0</w:t>
            </w:r>
          </w:p>
        </w:tc>
      </w:tr>
      <w:tr w:rsidR="00AD75E4" w:rsidRPr="004761E0" w:rsidTr="00AD75E4">
        <w:tc>
          <w:tcPr>
            <w:tcW w:w="653" w:type="dxa"/>
          </w:tcPr>
          <w:p w:rsidR="00AD75E4" w:rsidRPr="004761E0" w:rsidRDefault="00AD75E4" w:rsidP="007076A7">
            <w:pPr>
              <w:pStyle w:val="a5"/>
              <w:numPr>
                <w:ilvl w:val="0"/>
                <w:numId w:val="251"/>
              </w:numPr>
              <w:tabs>
                <w:tab w:val="left" w:pos="434"/>
              </w:tabs>
              <w:spacing w:before="120" w:after="120"/>
              <w:rPr>
                <w:rFonts w:eastAsia="Times New Roman"/>
                <w:iCs/>
                <w:color w:val="000000"/>
                <w:sz w:val="20"/>
                <w:szCs w:val="20"/>
                <w:lang w:eastAsia="ru-RU"/>
              </w:rPr>
            </w:pPr>
          </w:p>
        </w:tc>
        <w:tc>
          <w:tcPr>
            <w:tcW w:w="1776" w:type="dxa"/>
          </w:tcPr>
          <w:p w:rsidR="00AD75E4" w:rsidRPr="004761E0" w:rsidRDefault="00AD75E4" w:rsidP="00AD75E4">
            <w:pPr>
              <w:ind w:firstLine="0"/>
              <w:jc w:val="left"/>
              <w:rPr>
                <w:rFonts w:eastAsia="Times New Roman"/>
                <w:sz w:val="20"/>
                <w:szCs w:val="20"/>
                <w:lang w:eastAsia="ru-RU"/>
              </w:rPr>
            </w:pPr>
            <w:r w:rsidRPr="004761E0">
              <w:rPr>
                <w:sz w:val="20"/>
                <w:szCs w:val="20"/>
              </w:rPr>
              <w:t xml:space="preserve">Гайченя Иван Алексеевич </w:t>
            </w:r>
          </w:p>
        </w:tc>
        <w:tc>
          <w:tcPr>
            <w:tcW w:w="2740" w:type="dxa"/>
          </w:tcPr>
          <w:p w:rsidR="00AD75E4" w:rsidRPr="004761E0" w:rsidRDefault="00AD75E4" w:rsidP="00AD75E4">
            <w:pPr>
              <w:ind w:firstLine="0"/>
              <w:jc w:val="left"/>
              <w:rPr>
                <w:sz w:val="20"/>
                <w:szCs w:val="20"/>
              </w:rPr>
            </w:pPr>
            <w:r w:rsidRPr="004761E0">
              <w:rPr>
                <w:sz w:val="20"/>
                <w:szCs w:val="20"/>
              </w:rPr>
              <w:t xml:space="preserve">Директор Департамента безопасности </w:t>
            </w:r>
            <w:r w:rsidR="0008080E">
              <w:rPr>
                <w:sz w:val="20"/>
                <w:szCs w:val="20"/>
              </w:rPr>
              <w:t>ОАО </w:t>
            </w:r>
            <w:r w:rsidRPr="004761E0">
              <w:rPr>
                <w:sz w:val="20"/>
                <w:szCs w:val="20"/>
              </w:rPr>
              <w:t>«Россети»</w:t>
            </w:r>
          </w:p>
        </w:tc>
        <w:tc>
          <w:tcPr>
            <w:tcW w:w="1126" w:type="dxa"/>
          </w:tcPr>
          <w:p w:rsidR="00AD75E4" w:rsidRPr="004761E0" w:rsidRDefault="00AD75E4" w:rsidP="00AD75E4">
            <w:pPr>
              <w:ind w:firstLine="0"/>
              <w:jc w:val="left"/>
              <w:rPr>
                <w:rFonts w:eastAsia="Times New Roman"/>
                <w:sz w:val="20"/>
                <w:szCs w:val="20"/>
                <w:lang w:eastAsia="ru-RU"/>
              </w:rPr>
            </w:pPr>
            <w:r w:rsidRPr="004761E0">
              <w:rPr>
                <w:rFonts w:eastAsia="Times New Roman"/>
                <w:sz w:val="20"/>
                <w:szCs w:val="20"/>
                <w:lang w:eastAsia="ru-RU"/>
              </w:rPr>
              <w:t>1967</w:t>
            </w:r>
          </w:p>
        </w:tc>
        <w:tc>
          <w:tcPr>
            <w:tcW w:w="1129" w:type="dxa"/>
          </w:tcPr>
          <w:p w:rsidR="00AD75E4" w:rsidRPr="004761E0" w:rsidRDefault="00AD75E4" w:rsidP="00AD75E4">
            <w:pPr>
              <w:ind w:firstLine="0"/>
              <w:jc w:val="left"/>
              <w:rPr>
                <w:rFonts w:eastAsia="Times New Roman"/>
                <w:sz w:val="20"/>
                <w:szCs w:val="20"/>
                <w:lang w:eastAsia="ru-RU"/>
              </w:rPr>
            </w:pPr>
            <w:r w:rsidRPr="004761E0">
              <w:rPr>
                <w:rFonts w:eastAsia="Times New Roman"/>
                <w:sz w:val="20"/>
                <w:szCs w:val="20"/>
                <w:lang w:eastAsia="ru-RU"/>
              </w:rPr>
              <w:t>26.06.2013</w:t>
            </w:r>
          </w:p>
        </w:tc>
        <w:tc>
          <w:tcPr>
            <w:tcW w:w="1320" w:type="dxa"/>
          </w:tcPr>
          <w:p w:rsidR="00AD75E4" w:rsidRPr="004761E0" w:rsidRDefault="00AD75E4" w:rsidP="00AD75E4">
            <w:pPr>
              <w:ind w:firstLine="0"/>
              <w:jc w:val="left"/>
              <w:rPr>
                <w:rFonts w:eastAsia="Times New Roman"/>
                <w:sz w:val="20"/>
                <w:szCs w:val="20"/>
                <w:lang w:eastAsia="ru-RU"/>
              </w:rPr>
            </w:pPr>
            <w:r w:rsidRPr="004761E0">
              <w:rPr>
                <w:rFonts w:eastAsia="Times New Roman"/>
                <w:sz w:val="20"/>
                <w:szCs w:val="20"/>
                <w:lang w:eastAsia="ru-RU"/>
              </w:rPr>
              <w:t>1</w:t>
            </w:r>
          </w:p>
        </w:tc>
        <w:tc>
          <w:tcPr>
            <w:tcW w:w="1286" w:type="dxa"/>
          </w:tcPr>
          <w:p w:rsidR="00AD75E4" w:rsidRPr="004761E0" w:rsidRDefault="00AD75E4" w:rsidP="00AD75E4">
            <w:pPr>
              <w:ind w:firstLine="0"/>
              <w:jc w:val="left"/>
              <w:rPr>
                <w:rFonts w:eastAsia="Times New Roman"/>
                <w:sz w:val="20"/>
                <w:szCs w:val="20"/>
                <w:lang w:eastAsia="ru-RU"/>
              </w:rPr>
            </w:pPr>
            <w:r w:rsidRPr="004761E0">
              <w:rPr>
                <w:rFonts w:eastAsia="Times New Roman"/>
                <w:sz w:val="20"/>
                <w:szCs w:val="20"/>
                <w:lang w:eastAsia="ru-RU"/>
              </w:rPr>
              <w:t>0/0</w:t>
            </w:r>
          </w:p>
        </w:tc>
      </w:tr>
    </w:tbl>
    <w:p w:rsidR="006345C1" w:rsidRPr="00924551" w:rsidRDefault="006345C1" w:rsidP="006345C1">
      <w:pPr>
        <w:ind w:firstLine="567"/>
        <w:rPr>
          <w:sz w:val="26"/>
          <w:szCs w:val="26"/>
        </w:rPr>
      </w:pPr>
      <w:r w:rsidRPr="00924551">
        <w:rPr>
          <w:rFonts w:eastAsia="Times New Roman"/>
          <w:iCs/>
          <w:color w:val="000000"/>
          <w:sz w:val="26"/>
          <w:szCs w:val="26"/>
          <w:lang w:eastAsia="ru-RU"/>
        </w:rPr>
        <w:t xml:space="preserve">Подробная информация </w:t>
      </w:r>
      <w:r>
        <w:rPr>
          <w:rFonts w:eastAsia="Times New Roman"/>
          <w:iCs/>
          <w:color w:val="000000"/>
          <w:sz w:val="26"/>
          <w:szCs w:val="26"/>
          <w:lang w:eastAsia="ru-RU"/>
        </w:rPr>
        <w:t>о</w:t>
      </w:r>
      <w:r w:rsidRPr="00924551">
        <w:rPr>
          <w:rFonts w:eastAsia="Times New Roman"/>
          <w:iCs/>
          <w:color w:val="000000"/>
          <w:sz w:val="26"/>
          <w:szCs w:val="26"/>
          <w:lang w:eastAsia="ru-RU"/>
        </w:rPr>
        <w:t xml:space="preserve"> </w:t>
      </w:r>
      <w:r>
        <w:rPr>
          <w:rFonts w:eastAsia="Times New Roman"/>
          <w:iCs/>
          <w:color w:val="000000"/>
          <w:sz w:val="26"/>
          <w:szCs w:val="26"/>
          <w:lang w:eastAsia="ru-RU"/>
        </w:rPr>
        <w:t xml:space="preserve">членах Ревизионной комиссии </w:t>
      </w:r>
      <w:r w:rsidRPr="00924551">
        <w:rPr>
          <w:rFonts w:eastAsia="Times New Roman"/>
          <w:iCs/>
          <w:color w:val="000000"/>
          <w:sz w:val="26"/>
          <w:szCs w:val="26"/>
          <w:lang w:eastAsia="ru-RU"/>
        </w:rPr>
        <w:t>представлена в Приложении 12.</w:t>
      </w:r>
      <w:r w:rsidR="003146BC">
        <w:rPr>
          <w:rFonts w:eastAsia="Times New Roman"/>
          <w:iCs/>
          <w:color w:val="000000"/>
          <w:sz w:val="26"/>
          <w:szCs w:val="26"/>
          <w:lang w:eastAsia="ru-RU"/>
        </w:rPr>
        <w:t>3</w:t>
      </w:r>
      <w:r w:rsidRPr="00924551">
        <w:rPr>
          <w:rFonts w:eastAsia="Times New Roman"/>
          <w:iCs/>
          <w:color w:val="000000"/>
          <w:sz w:val="26"/>
          <w:szCs w:val="26"/>
          <w:lang w:eastAsia="ru-RU"/>
        </w:rPr>
        <w:t>. к Годовому отчету.</w:t>
      </w:r>
    </w:p>
    <w:p w:rsidR="00D50342" w:rsidRPr="004761E0" w:rsidRDefault="00D50342" w:rsidP="00D50342">
      <w:pPr>
        <w:spacing w:before="120" w:after="120"/>
        <w:ind w:firstLine="567"/>
        <w:rPr>
          <w:rFonts w:eastAsia="Times New Roman"/>
          <w:b/>
          <w:iCs/>
          <w:color w:val="000000"/>
          <w:sz w:val="26"/>
          <w:szCs w:val="26"/>
          <w:lang w:eastAsia="ru-RU"/>
        </w:rPr>
      </w:pPr>
      <w:r w:rsidRPr="004761E0">
        <w:rPr>
          <w:rFonts w:eastAsia="Times New Roman"/>
          <w:b/>
          <w:iCs/>
          <w:color w:val="000000"/>
          <w:sz w:val="26"/>
          <w:szCs w:val="26"/>
          <w:lang w:eastAsia="ru-RU"/>
        </w:rPr>
        <w:t>Деятельность Ревизионной комиссии</w:t>
      </w:r>
    </w:p>
    <w:p w:rsidR="00AD75E4" w:rsidRPr="004761E0" w:rsidRDefault="00AD75E4" w:rsidP="00AD75E4">
      <w:pPr>
        <w:spacing w:after="120"/>
        <w:ind w:firstLine="567"/>
        <w:rPr>
          <w:rFonts w:eastAsia="Times New Roman"/>
          <w:iCs/>
          <w:color w:val="000000"/>
          <w:sz w:val="26"/>
          <w:szCs w:val="26"/>
          <w:lang w:eastAsia="ru-RU"/>
        </w:rPr>
      </w:pPr>
      <w:r w:rsidRPr="004761E0">
        <w:rPr>
          <w:rFonts w:eastAsia="Times New Roman"/>
          <w:iCs/>
          <w:color w:val="000000"/>
          <w:sz w:val="26"/>
          <w:szCs w:val="26"/>
          <w:lang w:eastAsia="ru-RU"/>
        </w:rPr>
        <w:t>Основные решения, принятые Ревизионной комиссией в 2013 году:</w:t>
      </w:r>
    </w:p>
    <w:tbl>
      <w:tblPr>
        <w:tblW w:w="10035" w:type="dxa"/>
        <w:tblInd w:w="108" w:type="dxa"/>
        <w:tblCellMar>
          <w:left w:w="0" w:type="dxa"/>
          <w:right w:w="0" w:type="dxa"/>
        </w:tblCellMar>
        <w:tblLook w:val="04A0"/>
      </w:tblPr>
      <w:tblGrid>
        <w:gridCol w:w="566"/>
        <w:gridCol w:w="5815"/>
        <w:gridCol w:w="1135"/>
        <w:gridCol w:w="1277"/>
        <w:gridCol w:w="1242"/>
      </w:tblGrid>
      <w:tr w:rsidR="00AD75E4" w:rsidRPr="004761E0" w:rsidTr="00AD75E4">
        <w:tc>
          <w:tcPr>
            <w:tcW w:w="566" w:type="dxa"/>
            <w:tcBorders>
              <w:top w:val="single" w:sz="8" w:space="0" w:color="auto"/>
              <w:left w:val="single" w:sz="8" w:space="0" w:color="auto"/>
              <w:bottom w:val="single" w:sz="8" w:space="0" w:color="auto"/>
              <w:right w:val="single" w:sz="8" w:space="0" w:color="FFFFFF"/>
            </w:tcBorders>
            <w:shd w:val="clear" w:color="auto" w:fill="0F243E"/>
            <w:tcMar>
              <w:top w:w="0" w:type="dxa"/>
              <w:left w:w="108" w:type="dxa"/>
              <w:bottom w:w="0" w:type="dxa"/>
              <w:right w:w="108" w:type="dxa"/>
            </w:tcMar>
            <w:vAlign w:val="center"/>
            <w:hideMark/>
          </w:tcPr>
          <w:p w:rsidR="00AD75E4" w:rsidRPr="004761E0" w:rsidRDefault="00AD75E4" w:rsidP="00AD75E4">
            <w:pPr>
              <w:ind w:firstLine="0"/>
              <w:rPr>
                <w:b/>
                <w:bCs/>
                <w:sz w:val="20"/>
                <w:szCs w:val="20"/>
              </w:rPr>
            </w:pPr>
            <w:r w:rsidRPr="004761E0">
              <w:rPr>
                <w:b/>
                <w:bCs/>
                <w:sz w:val="20"/>
                <w:szCs w:val="20"/>
              </w:rPr>
              <w:t>№ п/п</w:t>
            </w:r>
          </w:p>
        </w:tc>
        <w:tc>
          <w:tcPr>
            <w:tcW w:w="5815" w:type="dxa"/>
            <w:tcBorders>
              <w:top w:val="single" w:sz="8" w:space="0" w:color="auto"/>
              <w:left w:val="nil"/>
              <w:bottom w:val="single" w:sz="8" w:space="0" w:color="auto"/>
              <w:right w:val="single" w:sz="8" w:space="0" w:color="FFFFFF"/>
            </w:tcBorders>
            <w:shd w:val="clear" w:color="auto" w:fill="0F243E"/>
            <w:tcMar>
              <w:top w:w="0" w:type="dxa"/>
              <w:left w:w="108" w:type="dxa"/>
              <w:bottom w:w="0" w:type="dxa"/>
              <w:right w:w="108" w:type="dxa"/>
            </w:tcMar>
            <w:vAlign w:val="center"/>
            <w:hideMark/>
          </w:tcPr>
          <w:p w:rsidR="00AD75E4" w:rsidRPr="004761E0" w:rsidRDefault="00AD75E4" w:rsidP="00AD75E4">
            <w:pPr>
              <w:ind w:firstLine="0"/>
              <w:rPr>
                <w:rFonts w:eastAsiaTheme="minorHAnsi"/>
                <w:b/>
                <w:bCs/>
                <w:sz w:val="20"/>
                <w:szCs w:val="20"/>
              </w:rPr>
            </w:pPr>
            <w:r w:rsidRPr="004761E0">
              <w:rPr>
                <w:b/>
                <w:bCs/>
                <w:sz w:val="20"/>
                <w:szCs w:val="20"/>
              </w:rPr>
              <w:t>Решения, принятые Ревизионной комиссией в 2013 году</w:t>
            </w:r>
          </w:p>
        </w:tc>
        <w:tc>
          <w:tcPr>
            <w:tcW w:w="1135" w:type="dxa"/>
            <w:tcBorders>
              <w:top w:val="single" w:sz="8" w:space="0" w:color="auto"/>
              <w:left w:val="nil"/>
              <w:bottom w:val="single" w:sz="8" w:space="0" w:color="auto"/>
              <w:right w:val="single" w:sz="8" w:space="0" w:color="FFFFFF"/>
            </w:tcBorders>
            <w:shd w:val="clear" w:color="auto" w:fill="0F243E"/>
            <w:tcMar>
              <w:top w:w="0" w:type="dxa"/>
              <w:left w:w="108" w:type="dxa"/>
              <w:bottom w:w="0" w:type="dxa"/>
              <w:right w:w="108" w:type="dxa"/>
            </w:tcMar>
            <w:hideMark/>
          </w:tcPr>
          <w:p w:rsidR="00AD75E4" w:rsidRPr="004761E0" w:rsidRDefault="00AD75E4" w:rsidP="00AD75E4">
            <w:pPr>
              <w:ind w:firstLine="32"/>
              <w:rPr>
                <w:rFonts w:eastAsiaTheme="minorHAnsi"/>
                <w:b/>
                <w:bCs/>
                <w:sz w:val="20"/>
                <w:szCs w:val="20"/>
              </w:rPr>
            </w:pPr>
            <w:r w:rsidRPr="004761E0">
              <w:rPr>
                <w:b/>
                <w:bCs/>
                <w:sz w:val="20"/>
                <w:szCs w:val="20"/>
              </w:rPr>
              <w:t>Дата заседания</w:t>
            </w:r>
          </w:p>
        </w:tc>
        <w:tc>
          <w:tcPr>
            <w:tcW w:w="1277" w:type="dxa"/>
            <w:tcBorders>
              <w:top w:val="single" w:sz="8" w:space="0" w:color="auto"/>
              <w:left w:val="nil"/>
              <w:bottom w:val="single" w:sz="8" w:space="0" w:color="auto"/>
              <w:right w:val="single" w:sz="8" w:space="0" w:color="FFFFFF"/>
            </w:tcBorders>
            <w:shd w:val="clear" w:color="auto" w:fill="0F243E"/>
            <w:tcMar>
              <w:top w:w="0" w:type="dxa"/>
              <w:left w:w="108" w:type="dxa"/>
              <w:bottom w:w="0" w:type="dxa"/>
              <w:right w:w="108" w:type="dxa"/>
            </w:tcMar>
            <w:hideMark/>
          </w:tcPr>
          <w:p w:rsidR="00AD75E4" w:rsidRPr="004761E0" w:rsidRDefault="00AD75E4" w:rsidP="00AD75E4">
            <w:pPr>
              <w:ind w:firstLine="0"/>
              <w:rPr>
                <w:rFonts w:eastAsiaTheme="minorHAnsi"/>
                <w:b/>
                <w:bCs/>
                <w:sz w:val="20"/>
                <w:szCs w:val="20"/>
              </w:rPr>
            </w:pPr>
            <w:r w:rsidRPr="004761E0">
              <w:rPr>
                <w:b/>
                <w:bCs/>
                <w:sz w:val="20"/>
                <w:szCs w:val="20"/>
              </w:rPr>
              <w:t xml:space="preserve">№ протокола </w:t>
            </w:r>
          </w:p>
        </w:tc>
        <w:tc>
          <w:tcPr>
            <w:tcW w:w="1242" w:type="dxa"/>
            <w:tcBorders>
              <w:top w:val="single" w:sz="8" w:space="0" w:color="auto"/>
              <w:left w:val="nil"/>
              <w:bottom w:val="single" w:sz="8" w:space="0" w:color="auto"/>
              <w:right w:val="single" w:sz="8" w:space="0" w:color="auto"/>
            </w:tcBorders>
            <w:shd w:val="clear" w:color="auto" w:fill="0F243E"/>
            <w:tcMar>
              <w:top w:w="0" w:type="dxa"/>
              <w:left w:w="108" w:type="dxa"/>
              <w:bottom w:w="0" w:type="dxa"/>
              <w:right w:w="108" w:type="dxa"/>
            </w:tcMar>
            <w:hideMark/>
          </w:tcPr>
          <w:p w:rsidR="00AD75E4" w:rsidRPr="004761E0" w:rsidRDefault="00AD75E4" w:rsidP="00AD75E4">
            <w:pPr>
              <w:ind w:firstLine="30"/>
              <w:rPr>
                <w:rFonts w:eastAsiaTheme="minorHAnsi"/>
                <w:b/>
                <w:bCs/>
                <w:sz w:val="20"/>
                <w:szCs w:val="20"/>
              </w:rPr>
            </w:pPr>
            <w:r w:rsidRPr="004761E0">
              <w:rPr>
                <w:b/>
                <w:bCs/>
                <w:sz w:val="20"/>
                <w:szCs w:val="20"/>
              </w:rPr>
              <w:t xml:space="preserve">Дата протокола </w:t>
            </w:r>
          </w:p>
        </w:tc>
      </w:tr>
      <w:tr w:rsidR="00AD75E4" w:rsidRPr="004761E0" w:rsidTr="00AD75E4">
        <w:tc>
          <w:tcPr>
            <w:tcW w:w="56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75E4" w:rsidRPr="004761E0" w:rsidRDefault="00AD75E4" w:rsidP="007076A7">
            <w:pPr>
              <w:pStyle w:val="a5"/>
              <w:numPr>
                <w:ilvl w:val="0"/>
                <w:numId w:val="252"/>
              </w:numPr>
              <w:contextualSpacing w:val="0"/>
              <w:rPr>
                <w:b/>
                <w:bCs/>
                <w:sz w:val="20"/>
                <w:szCs w:val="20"/>
              </w:rPr>
            </w:pPr>
          </w:p>
        </w:tc>
        <w:tc>
          <w:tcPr>
            <w:tcW w:w="5815" w:type="dxa"/>
            <w:tcBorders>
              <w:top w:val="nil"/>
              <w:left w:val="nil"/>
              <w:bottom w:val="single" w:sz="8" w:space="0" w:color="auto"/>
              <w:right w:val="single" w:sz="8" w:space="0" w:color="auto"/>
            </w:tcBorders>
            <w:tcMar>
              <w:top w:w="0" w:type="dxa"/>
              <w:left w:w="108" w:type="dxa"/>
              <w:bottom w:w="0" w:type="dxa"/>
              <w:right w:w="108" w:type="dxa"/>
            </w:tcMar>
            <w:hideMark/>
          </w:tcPr>
          <w:p w:rsidR="00AD75E4" w:rsidRPr="004761E0" w:rsidRDefault="00AD75E4" w:rsidP="00AD75E4">
            <w:pPr>
              <w:ind w:firstLine="0"/>
              <w:rPr>
                <w:rFonts w:eastAsiaTheme="minorHAnsi"/>
                <w:sz w:val="20"/>
                <w:szCs w:val="20"/>
              </w:rPr>
            </w:pPr>
            <w:r w:rsidRPr="004761E0">
              <w:rPr>
                <w:rFonts w:eastAsiaTheme="minorHAnsi"/>
                <w:sz w:val="20"/>
                <w:szCs w:val="20"/>
              </w:rPr>
              <w:t>Утверждено заключение Ревизионной комиссии по результатам проверки финансово-хозяйственной деятельности за 2012 год</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75E4" w:rsidRPr="004761E0" w:rsidRDefault="00AD75E4" w:rsidP="00AD75E4">
            <w:pPr>
              <w:ind w:firstLine="0"/>
              <w:jc w:val="right"/>
              <w:rPr>
                <w:rFonts w:eastAsiaTheme="minorHAnsi"/>
                <w:sz w:val="20"/>
                <w:szCs w:val="20"/>
              </w:rPr>
            </w:pPr>
            <w:r w:rsidRPr="004761E0">
              <w:rPr>
                <w:rFonts w:eastAsiaTheme="minorHAnsi"/>
                <w:sz w:val="20"/>
                <w:szCs w:val="20"/>
              </w:rPr>
              <w:t>05.04.2013</w:t>
            </w:r>
          </w:p>
        </w:tc>
        <w:tc>
          <w:tcPr>
            <w:tcW w:w="1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75E4" w:rsidRPr="004761E0" w:rsidRDefault="00AD75E4" w:rsidP="00AD75E4">
            <w:pPr>
              <w:jc w:val="right"/>
              <w:rPr>
                <w:rFonts w:eastAsiaTheme="minorHAnsi"/>
                <w:sz w:val="20"/>
                <w:szCs w:val="20"/>
              </w:rPr>
            </w:pPr>
            <w:r w:rsidRPr="004761E0">
              <w:rPr>
                <w:rFonts w:eastAsiaTheme="minorHAnsi"/>
                <w:sz w:val="20"/>
                <w:szCs w:val="20"/>
              </w:rPr>
              <w:t>7</w:t>
            </w:r>
          </w:p>
        </w:tc>
        <w:tc>
          <w:tcPr>
            <w:tcW w:w="12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75E4" w:rsidRPr="004761E0" w:rsidRDefault="00AD75E4" w:rsidP="00AD75E4">
            <w:pPr>
              <w:ind w:firstLine="0"/>
              <w:jc w:val="right"/>
              <w:rPr>
                <w:rFonts w:eastAsiaTheme="minorHAnsi"/>
                <w:sz w:val="20"/>
                <w:szCs w:val="20"/>
              </w:rPr>
            </w:pPr>
            <w:r w:rsidRPr="004761E0">
              <w:rPr>
                <w:rFonts w:eastAsiaTheme="minorHAnsi"/>
                <w:sz w:val="20"/>
                <w:szCs w:val="20"/>
              </w:rPr>
              <w:t>05.04.2013</w:t>
            </w:r>
          </w:p>
        </w:tc>
      </w:tr>
      <w:tr w:rsidR="00AD75E4" w:rsidRPr="004761E0" w:rsidTr="00AD75E4">
        <w:tc>
          <w:tcPr>
            <w:tcW w:w="56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75E4" w:rsidRPr="004761E0" w:rsidRDefault="00AD75E4" w:rsidP="007076A7">
            <w:pPr>
              <w:pStyle w:val="a5"/>
              <w:numPr>
                <w:ilvl w:val="0"/>
                <w:numId w:val="252"/>
              </w:numPr>
              <w:contextualSpacing w:val="0"/>
              <w:rPr>
                <w:b/>
                <w:bCs/>
                <w:sz w:val="20"/>
                <w:szCs w:val="20"/>
              </w:rPr>
            </w:pPr>
          </w:p>
        </w:tc>
        <w:tc>
          <w:tcPr>
            <w:tcW w:w="5815" w:type="dxa"/>
            <w:tcBorders>
              <w:top w:val="nil"/>
              <w:left w:val="nil"/>
              <w:bottom w:val="single" w:sz="8" w:space="0" w:color="auto"/>
              <w:right w:val="single" w:sz="8" w:space="0" w:color="auto"/>
            </w:tcBorders>
            <w:tcMar>
              <w:top w:w="0" w:type="dxa"/>
              <w:left w:w="108" w:type="dxa"/>
              <w:bottom w:w="0" w:type="dxa"/>
              <w:right w:w="108" w:type="dxa"/>
            </w:tcMar>
            <w:hideMark/>
          </w:tcPr>
          <w:p w:rsidR="00AD75E4" w:rsidRPr="004761E0" w:rsidRDefault="00AD75E4" w:rsidP="00AD75E4">
            <w:pPr>
              <w:ind w:firstLine="0"/>
              <w:rPr>
                <w:rFonts w:eastAsiaTheme="minorHAnsi"/>
                <w:sz w:val="20"/>
                <w:szCs w:val="20"/>
              </w:rPr>
            </w:pPr>
            <w:r w:rsidRPr="004761E0">
              <w:rPr>
                <w:rFonts w:eastAsiaTheme="minorHAnsi"/>
                <w:sz w:val="20"/>
                <w:szCs w:val="20"/>
              </w:rPr>
              <w:t>Утвержден план работы Ревизионной комиссии  на период 2013-2014 гг.</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75E4" w:rsidRPr="004761E0" w:rsidRDefault="00AD75E4" w:rsidP="00AD75E4">
            <w:pPr>
              <w:ind w:firstLine="0"/>
              <w:jc w:val="right"/>
              <w:rPr>
                <w:rFonts w:eastAsiaTheme="minorHAnsi"/>
                <w:sz w:val="20"/>
                <w:szCs w:val="20"/>
              </w:rPr>
            </w:pPr>
            <w:r w:rsidRPr="004761E0">
              <w:rPr>
                <w:rFonts w:eastAsiaTheme="minorHAnsi"/>
                <w:sz w:val="20"/>
                <w:szCs w:val="20"/>
              </w:rPr>
              <w:t>01.07.2013</w:t>
            </w:r>
          </w:p>
        </w:tc>
        <w:tc>
          <w:tcPr>
            <w:tcW w:w="1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75E4" w:rsidRPr="004761E0" w:rsidRDefault="00AD75E4" w:rsidP="00AD75E4">
            <w:pPr>
              <w:jc w:val="right"/>
              <w:rPr>
                <w:rFonts w:eastAsiaTheme="minorHAnsi"/>
                <w:sz w:val="20"/>
                <w:szCs w:val="20"/>
              </w:rPr>
            </w:pPr>
            <w:r w:rsidRPr="004761E0">
              <w:rPr>
                <w:rFonts w:eastAsiaTheme="minorHAnsi"/>
                <w:sz w:val="20"/>
                <w:szCs w:val="20"/>
              </w:rPr>
              <w:t>1</w:t>
            </w:r>
          </w:p>
        </w:tc>
        <w:tc>
          <w:tcPr>
            <w:tcW w:w="12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75E4" w:rsidRPr="004761E0" w:rsidRDefault="00AD75E4" w:rsidP="00AD75E4">
            <w:pPr>
              <w:ind w:firstLine="0"/>
              <w:jc w:val="right"/>
              <w:rPr>
                <w:rFonts w:eastAsiaTheme="minorHAnsi"/>
                <w:sz w:val="20"/>
                <w:szCs w:val="20"/>
              </w:rPr>
            </w:pPr>
            <w:r w:rsidRPr="004761E0">
              <w:rPr>
                <w:rFonts w:eastAsiaTheme="minorHAnsi"/>
                <w:sz w:val="20"/>
                <w:szCs w:val="20"/>
              </w:rPr>
              <w:t>01.07.2013</w:t>
            </w:r>
          </w:p>
        </w:tc>
      </w:tr>
      <w:tr w:rsidR="00AD75E4" w:rsidRPr="004761E0" w:rsidTr="00AD75E4">
        <w:tc>
          <w:tcPr>
            <w:tcW w:w="56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75E4" w:rsidRPr="004761E0" w:rsidRDefault="00AD75E4" w:rsidP="007076A7">
            <w:pPr>
              <w:pStyle w:val="a5"/>
              <w:numPr>
                <w:ilvl w:val="0"/>
                <w:numId w:val="252"/>
              </w:numPr>
              <w:contextualSpacing w:val="0"/>
              <w:rPr>
                <w:b/>
                <w:bCs/>
                <w:sz w:val="20"/>
                <w:szCs w:val="20"/>
              </w:rPr>
            </w:pPr>
          </w:p>
        </w:tc>
        <w:tc>
          <w:tcPr>
            <w:tcW w:w="5815" w:type="dxa"/>
            <w:tcBorders>
              <w:top w:val="nil"/>
              <w:left w:val="nil"/>
              <w:bottom w:val="single" w:sz="8" w:space="0" w:color="auto"/>
              <w:right w:val="single" w:sz="8" w:space="0" w:color="auto"/>
            </w:tcBorders>
            <w:tcMar>
              <w:top w:w="0" w:type="dxa"/>
              <w:left w:w="108" w:type="dxa"/>
              <w:bottom w:w="0" w:type="dxa"/>
              <w:right w:w="108" w:type="dxa"/>
            </w:tcMar>
            <w:hideMark/>
          </w:tcPr>
          <w:p w:rsidR="00AD75E4" w:rsidRPr="004761E0" w:rsidRDefault="00AD75E4" w:rsidP="00AD75E4">
            <w:pPr>
              <w:ind w:firstLine="0"/>
              <w:rPr>
                <w:rFonts w:eastAsiaTheme="minorHAnsi"/>
                <w:sz w:val="20"/>
                <w:szCs w:val="20"/>
              </w:rPr>
            </w:pPr>
            <w:r w:rsidRPr="004761E0">
              <w:rPr>
                <w:rFonts w:eastAsiaTheme="minorHAnsi"/>
                <w:sz w:val="20"/>
                <w:szCs w:val="20"/>
              </w:rPr>
              <w:t>Принято решение о проведении проверки организации закупочной деятельности в 1 полугодии 2013 года</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75E4" w:rsidRPr="004761E0" w:rsidRDefault="00AD75E4" w:rsidP="00AD75E4">
            <w:pPr>
              <w:ind w:firstLine="0"/>
              <w:jc w:val="right"/>
              <w:rPr>
                <w:rFonts w:eastAsiaTheme="minorHAnsi"/>
                <w:sz w:val="20"/>
                <w:szCs w:val="20"/>
              </w:rPr>
            </w:pPr>
            <w:r w:rsidRPr="004761E0">
              <w:rPr>
                <w:rFonts w:eastAsiaTheme="minorHAnsi"/>
                <w:sz w:val="20"/>
                <w:szCs w:val="20"/>
              </w:rPr>
              <w:t>01.07.2013</w:t>
            </w:r>
          </w:p>
        </w:tc>
        <w:tc>
          <w:tcPr>
            <w:tcW w:w="1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75E4" w:rsidRPr="004761E0" w:rsidRDefault="00AD75E4" w:rsidP="00AD75E4">
            <w:pPr>
              <w:jc w:val="right"/>
              <w:rPr>
                <w:rFonts w:eastAsiaTheme="minorHAnsi"/>
                <w:sz w:val="20"/>
                <w:szCs w:val="20"/>
              </w:rPr>
            </w:pPr>
            <w:r w:rsidRPr="004761E0">
              <w:rPr>
                <w:rFonts w:eastAsiaTheme="minorHAnsi"/>
                <w:sz w:val="20"/>
                <w:szCs w:val="20"/>
              </w:rPr>
              <w:t>1</w:t>
            </w:r>
          </w:p>
        </w:tc>
        <w:tc>
          <w:tcPr>
            <w:tcW w:w="12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75E4" w:rsidRPr="004761E0" w:rsidRDefault="00AD75E4" w:rsidP="00AD75E4">
            <w:pPr>
              <w:ind w:firstLine="0"/>
              <w:jc w:val="right"/>
              <w:rPr>
                <w:rFonts w:eastAsiaTheme="minorHAnsi"/>
                <w:sz w:val="20"/>
                <w:szCs w:val="20"/>
              </w:rPr>
            </w:pPr>
            <w:r w:rsidRPr="004761E0">
              <w:rPr>
                <w:rFonts w:eastAsiaTheme="minorHAnsi"/>
                <w:sz w:val="20"/>
                <w:szCs w:val="20"/>
              </w:rPr>
              <w:t>01.07.2013</w:t>
            </w:r>
          </w:p>
        </w:tc>
      </w:tr>
      <w:tr w:rsidR="00AD75E4" w:rsidRPr="004761E0" w:rsidTr="00AD75E4">
        <w:tc>
          <w:tcPr>
            <w:tcW w:w="56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75E4" w:rsidRPr="004761E0" w:rsidRDefault="00AD75E4" w:rsidP="007076A7">
            <w:pPr>
              <w:pStyle w:val="a5"/>
              <w:numPr>
                <w:ilvl w:val="0"/>
                <w:numId w:val="252"/>
              </w:numPr>
              <w:contextualSpacing w:val="0"/>
              <w:rPr>
                <w:b/>
                <w:bCs/>
                <w:sz w:val="20"/>
                <w:szCs w:val="20"/>
              </w:rPr>
            </w:pPr>
          </w:p>
        </w:tc>
        <w:tc>
          <w:tcPr>
            <w:tcW w:w="5815" w:type="dxa"/>
            <w:tcBorders>
              <w:top w:val="nil"/>
              <w:left w:val="nil"/>
              <w:bottom w:val="single" w:sz="8" w:space="0" w:color="auto"/>
              <w:right w:val="single" w:sz="8" w:space="0" w:color="auto"/>
            </w:tcBorders>
            <w:tcMar>
              <w:top w:w="0" w:type="dxa"/>
              <w:left w:w="108" w:type="dxa"/>
              <w:bottom w:w="0" w:type="dxa"/>
              <w:right w:w="108" w:type="dxa"/>
            </w:tcMar>
            <w:hideMark/>
          </w:tcPr>
          <w:p w:rsidR="00AD75E4" w:rsidRPr="004761E0" w:rsidRDefault="00AD75E4" w:rsidP="00AD75E4">
            <w:pPr>
              <w:ind w:firstLine="0"/>
              <w:rPr>
                <w:rFonts w:eastAsiaTheme="minorHAnsi"/>
                <w:sz w:val="20"/>
                <w:szCs w:val="20"/>
              </w:rPr>
            </w:pPr>
            <w:r w:rsidRPr="004761E0">
              <w:rPr>
                <w:rFonts w:eastAsiaTheme="minorHAnsi"/>
                <w:sz w:val="20"/>
                <w:szCs w:val="20"/>
              </w:rPr>
              <w:t>Утверждены итоги проведения проверки организации закупочной деятельности в 1 полугодии 2013 года</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75E4" w:rsidRPr="004761E0" w:rsidRDefault="00AD75E4" w:rsidP="00AD75E4">
            <w:pPr>
              <w:ind w:firstLine="0"/>
              <w:jc w:val="right"/>
              <w:rPr>
                <w:rFonts w:eastAsiaTheme="minorHAnsi"/>
                <w:sz w:val="20"/>
                <w:szCs w:val="20"/>
              </w:rPr>
            </w:pPr>
            <w:r w:rsidRPr="004761E0">
              <w:rPr>
                <w:rFonts w:eastAsiaTheme="minorHAnsi"/>
                <w:sz w:val="20"/>
                <w:szCs w:val="20"/>
              </w:rPr>
              <w:t>21.08.2013</w:t>
            </w:r>
          </w:p>
        </w:tc>
        <w:tc>
          <w:tcPr>
            <w:tcW w:w="1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75E4" w:rsidRPr="004761E0" w:rsidRDefault="00AD75E4" w:rsidP="00AD75E4">
            <w:pPr>
              <w:jc w:val="right"/>
              <w:rPr>
                <w:rFonts w:eastAsiaTheme="minorHAnsi"/>
                <w:sz w:val="20"/>
                <w:szCs w:val="20"/>
              </w:rPr>
            </w:pPr>
            <w:r w:rsidRPr="004761E0">
              <w:rPr>
                <w:rFonts w:eastAsiaTheme="minorHAnsi"/>
                <w:sz w:val="20"/>
                <w:szCs w:val="20"/>
              </w:rPr>
              <w:t>3</w:t>
            </w:r>
          </w:p>
        </w:tc>
        <w:tc>
          <w:tcPr>
            <w:tcW w:w="12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75E4" w:rsidRPr="004761E0" w:rsidRDefault="00AD75E4" w:rsidP="00AD75E4">
            <w:pPr>
              <w:ind w:firstLine="0"/>
              <w:jc w:val="right"/>
              <w:rPr>
                <w:rFonts w:eastAsiaTheme="minorHAnsi"/>
                <w:sz w:val="20"/>
                <w:szCs w:val="20"/>
              </w:rPr>
            </w:pPr>
            <w:r w:rsidRPr="004761E0">
              <w:rPr>
                <w:rFonts w:eastAsiaTheme="minorHAnsi"/>
                <w:sz w:val="20"/>
                <w:szCs w:val="20"/>
              </w:rPr>
              <w:t>21.08.2013</w:t>
            </w:r>
          </w:p>
        </w:tc>
      </w:tr>
      <w:tr w:rsidR="00AD75E4" w:rsidRPr="004761E0" w:rsidTr="00AD75E4">
        <w:tc>
          <w:tcPr>
            <w:tcW w:w="56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75E4" w:rsidRPr="004761E0" w:rsidRDefault="00AD75E4" w:rsidP="007076A7">
            <w:pPr>
              <w:pStyle w:val="a5"/>
              <w:numPr>
                <w:ilvl w:val="0"/>
                <w:numId w:val="252"/>
              </w:numPr>
              <w:contextualSpacing w:val="0"/>
              <w:rPr>
                <w:b/>
                <w:bCs/>
                <w:sz w:val="20"/>
                <w:szCs w:val="20"/>
              </w:rPr>
            </w:pPr>
          </w:p>
        </w:tc>
        <w:tc>
          <w:tcPr>
            <w:tcW w:w="5815" w:type="dxa"/>
            <w:tcBorders>
              <w:top w:val="nil"/>
              <w:left w:val="nil"/>
              <w:bottom w:val="single" w:sz="8" w:space="0" w:color="auto"/>
              <w:right w:val="single" w:sz="8" w:space="0" w:color="auto"/>
            </w:tcBorders>
            <w:tcMar>
              <w:top w:w="0" w:type="dxa"/>
              <w:left w:w="108" w:type="dxa"/>
              <w:bottom w:w="0" w:type="dxa"/>
              <w:right w:w="108" w:type="dxa"/>
            </w:tcMar>
            <w:hideMark/>
          </w:tcPr>
          <w:p w:rsidR="00AD75E4" w:rsidRPr="004761E0" w:rsidRDefault="00AD75E4" w:rsidP="00AD75E4">
            <w:pPr>
              <w:ind w:firstLine="0"/>
              <w:rPr>
                <w:rFonts w:eastAsiaTheme="minorHAnsi"/>
                <w:sz w:val="20"/>
                <w:szCs w:val="20"/>
              </w:rPr>
            </w:pPr>
            <w:r w:rsidRPr="004761E0">
              <w:rPr>
                <w:rFonts w:eastAsiaTheme="minorHAnsi"/>
                <w:sz w:val="20"/>
                <w:szCs w:val="20"/>
              </w:rPr>
              <w:t xml:space="preserve">Принято решение о проведении плановой Ревизионной проверки финансово-хозяйственной деятельности  за 9 месяцев 2013 года </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75E4" w:rsidRPr="004761E0" w:rsidRDefault="00AD75E4" w:rsidP="00AD75E4">
            <w:pPr>
              <w:ind w:firstLine="0"/>
              <w:jc w:val="right"/>
              <w:rPr>
                <w:rFonts w:eastAsiaTheme="minorHAnsi"/>
                <w:sz w:val="20"/>
                <w:szCs w:val="20"/>
              </w:rPr>
            </w:pPr>
            <w:r w:rsidRPr="004761E0">
              <w:rPr>
                <w:rFonts w:eastAsiaTheme="minorHAnsi"/>
                <w:sz w:val="20"/>
                <w:szCs w:val="20"/>
              </w:rPr>
              <w:t>24.10.2013</w:t>
            </w:r>
          </w:p>
        </w:tc>
        <w:tc>
          <w:tcPr>
            <w:tcW w:w="1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75E4" w:rsidRPr="004761E0" w:rsidRDefault="00AD75E4" w:rsidP="00AD75E4">
            <w:pPr>
              <w:jc w:val="right"/>
              <w:rPr>
                <w:rFonts w:eastAsiaTheme="minorHAnsi"/>
                <w:sz w:val="20"/>
                <w:szCs w:val="20"/>
              </w:rPr>
            </w:pPr>
            <w:r w:rsidRPr="004761E0">
              <w:rPr>
                <w:rFonts w:eastAsiaTheme="minorHAnsi"/>
                <w:sz w:val="20"/>
                <w:szCs w:val="20"/>
              </w:rPr>
              <w:t>5</w:t>
            </w:r>
          </w:p>
        </w:tc>
        <w:tc>
          <w:tcPr>
            <w:tcW w:w="12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75E4" w:rsidRPr="004761E0" w:rsidRDefault="00AD75E4" w:rsidP="00AD75E4">
            <w:pPr>
              <w:ind w:firstLine="0"/>
              <w:jc w:val="right"/>
              <w:rPr>
                <w:rFonts w:eastAsiaTheme="minorHAnsi"/>
                <w:sz w:val="20"/>
                <w:szCs w:val="20"/>
              </w:rPr>
            </w:pPr>
            <w:r w:rsidRPr="004761E0">
              <w:rPr>
                <w:rFonts w:eastAsiaTheme="minorHAnsi"/>
                <w:sz w:val="20"/>
                <w:szCs w:val="20"/>
              </w:rPr>
              <w:t>24.10.2013</w:t>
            </w:r>
          </w:p>
        </w:tc>
      </w:tr>
    </w:tbl>
    <w:p w:rsidR="00D50342" w:rsidRPr="004761E0" w:rsidRDefault="00D50342" w:rsidP="00D50342">
      <w:pPr>
        <w:spacing w:before="120" w:after="120"/>
        <w:ind w:firstLine="567"/>
        <w:rPr>
          <w:rFonts w:eastAsia="Times New Roman"/>
          <w:b/>
          <w:iCs/>
          <w:color w:val="000000"/>
          <w:sz w:val="26"/>
          <w:szCs w:val="26"/>
          <w:lang w:eastAsia="ru-RU"/>
        </w:rPr>
      </w:pPr>
      <w:r w:rsidRPr="004761E0">
        <w:rPr>
          <w:rFonts w:eastAsia="Times New Roman"/>
          <w:b/>
          <w:iCs/>
          <w:color w:val="000000"/>
          <w:sz w:val="26"/>
          <w:szCs w:val="26"/>
          <w:lang w:eastAsia="ru-RU"/>
        </w:rPr>
        <w:t>Вознаграждение, выплаченное членам Ревизионной комиссии</w:t>
      </w:r>
    </w:p>
    <w:tbl>
      <w:tblPr>
        <w:tblW w:w="9936" w:type="dxa"/>
        <w:tblInd w:w="95" w:type="dxa"/>
        <w:tblLook w:val="04A0"/>
      </w:tblPr>
      <w:tblGrid>
        <w:gridCol w:w="580"/>
        <w:gridCol w:w="4820"/>
        <w:gridCol w:w="1134"/>
        <w:gridCol w:w="1134"/>
        <w:gridCol w:w="1134"/>
        <w:gridCol w:w="1134"/>
      </w:tblGrid>
      <w:tr w:rsidR="00D50342" w:rsidRPr="004761E0" w:rsidTr="00D50342">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D50342" w:rsidRPr="004761E0" w:rsidRDefault="00D50342" w:rsidP="00D50342">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48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50342" w:rsidRPr="004761E0" w:rsidRDefault="00D50342" w:rsidP="00D50342">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50342" w:rsidRPr="004761E0" w:rsidRDefault="00D50342" w:rsidP="00D50342">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50342" w:rsidRPr="004761E0" w:rsidRDefault="00D50342" w:rsidP="00D50342">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50342" w:rsidRPr="004761E0" w:rsidRDefault="00D50342" w:rsidP="00D50342">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D50342" w:rsidRPr="004761E0" w:rsidRDefault="00D50342" w:rsidP="00D50342">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D50342" w:rsidRPr="004761E0" w:rsidTr="00D50342">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50342" w:rsidRPr="004761E0" w:rsidRDefault="00D50342" w:rsidP="007076A7">
            <w:pPr>
              <w:numPr>
                <w:ilvl w:val="0"/>
                <w:numId w:val="45"/>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tcPr>
          <w:p w:rsidR="00D50342" w:rsidRPr="004761E0" w:rsidRDefault="0033029E" w:rsidP="00D50342">
            <w:pPr>
              <w:ind w:firstLine="0"/>
              <w:jc w:val="left"/>
              <w:rPr>
                <w:rFonts w:eastAsia="Times New Roman"/>
                <w:color w:val="000000"/>
                <w:sz w:val="20"/>
                <w:szCs w:val="20"/>
                <w:lang w:eastAsia="ru-RU"/>
              </w:rPr>
            </w:pPr>
            <w:r w:rsidRPr="0033029E">
              <w:rPr>
                <w:rFonts w:eastAsia="Times New Roman"/>
                <w:color w:val="000000"/>
                <w:sz w:val="20"/>
                <w:szCs w:val="20"/>
                <w:lang w:eastAsia="ru-RU"/>
              </w:rPr>
              <w:t>Вознаграждение, выплаченное членам Ревизионной комиссии</w:t>
            </w:r>
            <w:r w:rsidR="00D50342" w:rsidRPr="004761E0">
              <w:rPr>
                <w:rFonts w:eastAsia="Times New Roman"/>
                <w:color w:val="000000"/>
                <w:sz w:val="20"/>
                <w:szCs w:val="20"/>
                <w:lang w:eastAsia="ru-RU"/>
              </w:rPr>
              <w:t>, руб. без НДФЛ</w:t>
            </w:r>
          </w:p>
        </w:tc>
        <w:tc>
          <w:tcPr>
            <w:tcW w:w="1134" w:type="dxa"/>
            <w:tcBorders>
              <w:top w:val="nil"/>
              <w:left w:val="nil"/>
              <w:bottom w:val="single" w:sz="4" w:space="0" w:color="auto"/>
              <w:right w:val="single" w:sz="4" w:space="0" w:color="auto"/>
            </w:tcBorders>
            <w:shd w:val="clear" w:color="auto" w:fill="auto"/>
            <w:vAlign w:val="center"/>
          </w:tcPr>
          <w:p w:rsidR="00D50342" w:rsidRPr="004761E0" w:rsidRDefault="00D50342" w:rsidP="00D50342">
            <w:pPr>
              <w:ind w:firstLine="0"/>
              <w:jc w:val="right"/>
              <w:rPr>
                <w:rFonts w:eastAsia="Times New Roman"/>
                <w:color w:val="000000"/>
                <w:sz w:val="20"/>
                <w:szCs w:val="20"/>
                <w:lang w:eastAsia="ru-RU"/>
              </w:rPr>
            </w:pPr>
            <w:r w:rsidRPr="004761E0">
              <w:rPr>
                <w:rFonts w:eastAsia="Times New Roman"/>
                <w:color w:val="000000"/>
                <w:sz w:val="20"/>
                <w:szCs w:val="20"/>
                <w:lang w:eastAsia="ru-RU"/>
              </w:rPr>
              <w:t>1 165 171</w:t>
            </w:r>
          </w:p>
        </w:tc>
        <w:tc>
          <w:tcPr>
            <w:tcW w:w="1134" w:type="dxa"/>
            <w:tcBorders>
              <w:top w:val="nil"/>
              <w:left w:val="nil"/>
              <w:bottom w:val="single" w:sz="4" w:space="0" w:color="auto"/>
              <w:right w:val="single" w:sz="4" w:space="0" w:color="auto"/>
            </w:tcBorders>
            <w:shd w:val="clear" w:color="auto" w:fill="auto"/>
            <w:vAlign w:val="center"/>
          </w:tcPr>
          <w:p w:rsidR="00D50342" w:rsidRPr="004761E0" w:rsidRDefault="00D50342" w:rsidP="00D50342">
            <w:pPr>
              <w:ind w:firstLine="0"/>
              <w:jc w:val="right"/>
              <w:rPr>
                <w:rFonts w:eastAsia="Times New Roman"/>
                <w:color w:val="000000"/>
                <w:sz w:val="20"/>
                <w:szCs w:val="20"/>
                <w:lang w:eastAsia="ru-RU"/>
              </w:rPr>
            </w:pPr>
            <w:r w:rsidRPr="004761E0">
              <w:rPr>
                <w:rFonts w:eastAsia="Times New Roman"/>
                <w:color w:val="000000"/>
                <w:sz w:val="20"/>
                <w:szCs w:val="20"/>
                <w:lang w:eastAsia="ru-RU"/>
              </w:rPr>
              <w:t>613 800</w:t>
            </w:r>
          </w:p>
        </w:tc>
        <w:tc>
          <w:tcPr>
            <w:tcW w:w="1134" w:type="dxa"/>
            <w:tcBorders>
              <w:top w:val="nil"/>
              <w:left w:val="nil"/>
              <w:bottom w:val="single" w:sz="4" w:space="0" w:color="auto"/>
              <w:right w:val="single" w:sz="4" w:space="0" w:color="auto"/>
            </w:tcBorders>
            <w:shd w:val="clear" w:color="auto" w:fill="auto"/>
            <w:vAlign w:val="center"/>
          </w:tcPr>
          <w:p w:rsidR="00D50342" w:rsidRPr="004761E0" w:rsidRDefault="00D50342" w:rsidP="00D50342">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1 212 040</w:t>
            </w:r>
          </w:p>
        </w:tc>
        <w:tc>
          <w:tcPr>
            <w:tcW w:w="1134" w:type="dxa"/>
            <w:tcBorders>
              <w:top w:val="nil"/>
              <w:left w:val="nil"/>
              <w:bottom w:val="single" w:sz="4" w:space="0" w:color="auto"/>
              <w:right w:val="single" w:sz="4" w:space="0" w:color="auto"/>
            </w:tcBorders>
            <w:shd w:val="clear" w:color="auto" w:fill="auto"/>
            <w:vAlign w:val="center"/>
          </w:tcPr>
          <w:p w:rsidR="00D50342" w:rsidRPr="004761E0" w:rsidRDefault="00D50342" w:rsidP="00D50342">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97,46 %</w:t>
            </w:r>
          </w:p>
        </w:tc>
      </w:tr>
    </w:tbl>
    <w:p w:rsidR="00D50342" w:rsidRPr="004761E0" w:rsidRDefault="00D50342" w:rsidP="00D50342">
      <w:pPr>
        <w:spacing w:before="120" w:after="120"/>
        <w:ind w:firstLine="0"/>
        <w:rPr>
          <w:rFonts w:eastAsia="Times New Roman"/>
          <w:b/>
          <w:iCs/>
          <w:color w:val="000000"/>
          <w:sz w:val="26"/>
          <w:szCs w:val="26"/>
          <w:lang w:eastAsia="ru-RU"/>
        </w:rPr>
      </w:pPr>
      <w:r w:rsidRPr="004761E0">
        <w:rPr>
          <w:rFonts w:eastAsia="Times New Roman"/>
          <w:b/>
          <w:iCs/>
          <w:noProof/>
          <w:color w:val="000000"/>
          <w:sz w:val="26"/>
          <w:szCs w:val="26"/>
          <w:lang w:eastAsia="ru-RU"/>
        </w:rPr>
        <w:lastRenderedPageBreak/>
        <w:drawing>
          <wp:inline distT="0" distB="0" distL="0" distR="0">
            <wp:extent cx="2945219" cy="2371060"/>
            <wp:effectExtent l="0" t="0" r="26670" b="10795"/>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D50342" w:rsidRPr="004761E0" w:rsidRDefault="00D50342" w:rsidP="00D50342">
      <w:pPr>
        <w:spacing w:before="120" w:after="120"/>
        <w:ind w:firstLine="567"/>
        <w:rPr>
          <w:lang w:eastAsia="ru-RU"/>
        </w:rPr>
      </w:pPr>
      <w:r w:rsidRPr="004761E0">
        <w:rPr>
          <w:rFonts w:eastAsia="Times New Roman"/>
          <w:color w:val="000000"/>
          <w:sz w:val="26"/>
          <w:szCs w:val="26"/>
          <w:lang w:eastAsia="ru-RU"/>
        </w:rPr>
        <w:t xml:space="preserve">Выплата вознаграждения членам Ревизионной комиссии производится на основании Положения о выплате членам Ревизионной комиссии </w:t>
      </w:r>
      <w:r w:rsidR="0008080E">
        <w:rPr>
          <w:rFonts w:eastAsia="Times New Roman"/>
          <w:color w:val="000000"/>
          <w:sz w:val="26"/>
          <w:szCs w:val="26"/>
          <w:lang w:eastAsia="ru-RU"/>
        </w:rPr>
        <w:t>ОАО </w:t>
      </w:r>
      <w:r w:rsidRPr="004761E0">
        <w:rPr>
          <w:rFonts w:eastAsia="Times New Roman"/>
          <w:color w:val="000000"/>
          <w:sz w:val="26"/>
          <w:szCs w:val="26"/>
          <w:lang w:eastAsia="ru-RU"/>
        </w:rPr>
        <w:t>«МОЭСК» вознаграждений и компенсаций</w:t>
      </w:r>
      <w:r w:rsidRPr="006F4AB8">
        <w:rPr>
          <w:rStyle w:val="af1"/>
        </w:rPr>
        <w:footnoteReference w:id="97"/>
      </w:r>
      <w:r w:rsidRPr="004761E0">
        <w:rPr>
          <w:rFonts w:eastAsia="Times New Roman"/>
          <w:color w:val="000000"/>
          <w:sz w:val="26"/>
          <w:szCs w:val="26"/>
          <w:lang w:eastAsia="ru-RU"/>
        </w:rPr>
        <w:t>. За участие в проверке (ревизии) финансово-хозяйственной деятельности члену Ревизионной комиссии выплачивается единовременное вознаграждение в размере суммы, эквивалентной 25 ММТС</w:t>
      </w:r>
      <w:r w:rsidRPr="006F4AB8">
        <w:rPr>
          <w:rStyle w:val="af1"/>
        </w:rPr>
        <w:footnoteReference w:id="98"/>
      </w:r>
      <w:r w:rsidRPr="004761E0">
        <w:rPr>
          <w:rFonts w:eastAsia="Times New Roman"/>
          <w:color w:val="000000"/>
          <w:sz w:val="26"/>
          <w:szCs w:val="26"/>
          <w:lang w:eastAsia="ru-RU"/>
        </w:rPr>
        <w:t>, установленной отраслевым тарифным соглашением в электроэнергетическом комплексе РФ на период проведения проверки (ревизии), с учетом индексации, установленной указанным соглашением. Размер вознаграждений, выплачиваемых Председателю Ревизионной комиссии увеличивается на 50 %.</w:t>
      </w:r>
    </w:p>
    <w:p w:rsidR="003E4866" w:rsidRPr="004761E0" w:rsidRDefault="003E4866" w:rsidP="00E031D6">
      <w:pPr>
        <w:spacing w:before="120" w:after="120"/>
        <w:ind w:firstLine="567"/>
        <w:rPr>
          <w:rFonts w:eastAsia="Times New Roman"/>
          <w:lang w:eastAsia="ru-RU"/>
        </w:rPr>
      </w:pPr>
      <w:r w:rsidRPr="004761E0">
        <w:rPr>
          <w:lang w:eastAsia="ru-RU"/>
        </w:rPr>
        <w:br w:type="page"/>
      </w:r>
    </w:p>
    <w:p w:rsidR="00136A10" w:rsidRPr="004761E0" w:rsidRDefault="00E34ACB" w:rsidP="007076A7">
      <w:pPr>
        <w:pStyle w:val="a8"/>
        <w:numPr>
          <w:ilvl w:val="1"/>
          <w:numId w:val="321"/>
        </w:numPr>
        <w:spacing w:before="120" w:after="120"/>
        <w:ind w:left="1134" w:hanging="567"/>
        <w:jc w:val="both"/>
        <w:rPr>
          <w:rFonts w:ascii="Times New Roman" w:hAnsi="Times New Roman"/>
          <w:b/>
          <w:sz w:val="26"/>
          <w:szCs w:val="26"/>
          <w:lang w:eastAsia="ru-RU"/>
        </w:rPr>
      </w:pPr>
      <w:bookmarkStart w:id="102" w:name="_Toc380576936"/>
      <w:bookmarkStart w:id="103" w:name="_Toc385339832"/>
      <w:r w:rsidRPr="004761E0">
        <w:rPr>
          <w:rFonts w:ascii="Times New Roman" w:hAnsi="Times New Roman"/>
          <w:b/>
          <w:sz w:val="26"/>
          <w:szCs w:val="26"/>
        </w:rPr>
        <w:lastRenderedPageBreak/>
        <w:t>Внутренний контроль и управление рисками</w:t>
      </w:r>
      <w:bookmarkEnd w:id="102"/>
      <w:bookmarkEnd w:id="103"/>
    </w:p>
    <w:p w:rsidR="00DE44D6" w:rsidRPr="004761E0" w:rsidRDefault="00DE44D6" w:rsidP="00DE44D6">
      <w:pPr>
        <w:ind w:firstLine="567"/>
        <w:rPr>
          <w:sz w:val="26"/>
          <w:szCs w:val="26"/>
        </w:rPr>
      </w:pPr>
      <w:r w:rsidRPr="004761E0">
        <w:rPr>
          <w:sz w:val="26"/>
          <w:szCs w:val="26"/>
        </w:rPr>
        <w:t xml:space="preserve">Система внутреннего контроля (далее в разделе </w:t>
      </w:r>
      <w:r>
        <w:rPr>
          <w:sz w:val="26"/>
          <w:szCs w:val="26"/>
        </w:rPr>
        <w:t>–</w:t>
      </w:r>
      <w:r w:rsidRPr="004761E0">
        <w:rPr>
          <w:sz w:val="26"/>
          <w:szCs w:val="26"/>
        </w:rPr>
        <w:t xml:space="preserve"> СВК) </w:t>
      </w:r>
      <w:r>
        <w:rPr>
          <w:sz w:val="26"/>
          <w:szCs w:val="26"/>
        </w:rPr>
        <w:t>–</w:t>
      </w:r>
      <w:r w:rsidRPr="004761E0">
        <w:rPr>
          <w:sz w:val="26"/>
          <w:szCs w:val="26"/>
        </w:rPr>
        <w:t xml:space="preserve"> элемент системы корпоративного управления Общества, включающий в себя весь диапазон процедур, методов и механизмов контроля, создаваемых и используемых Советом директоров, Ревизионной комиссией, исполнительными органами управления, руководством и всеми работниками Общества, направленных на обеспечение разумных гарантий достижения целей.</w:t>
      </w:r>
    </w:p>
    <w:p w:rsidR="00DE44D6" w:rsidRPr="004761E0" w:rsidRDefault="00DE44D6" w:rsidP="00DE44D6">
      <w:pPr>
        <w:ind w:firstLine="567"/>
        <w:rPr>
          <w:sz w:val="26"/>
          <w:szCs w:val="26"/>
        </w:rPr>
      </w:pPr>
      <w:r w:rsidRPr="004761E0">
        <w:rPr>
          <w:sz w:val="26"/>
          <w:szCs w:val="26"/>
        </w:rPr>
        <w:t>Целями системы внутреннего контроля являются:</w:t>
      </w:r>
    </w:p>
    <w:p w:rsidR="00DE44D6" w:rsidRPr="004761E0" w:rsidRDefault="00DE44D6" w:rsidP="007076A7">
      <w:pPr>
        <w:pStyle w:val="a5"/>
        <w:numPr>
          <w:ilvl w:val="0"/>
          <w:numId w:val="155"/>
        </w:numPr>
        <w:ind w:left="1134" w:hanging="567"/>
        <w:rPr>
          <w:sz w:val="26"/>
          <w:szCs w:val="26"/>
        </w:rPr>
      </w:pPr>
      <w:r w:rsidRPr="004761E0">
        <w:rPr>
          <w:sz w:val="26"/>
          <w:szCs w:val="26"/>
        </w:rPr>
        <w:t>совершенствование системы корпоративного управления для обеспечения разумной уверенности в соблюдении интересов и прав акционеров и инвесторов;</w:t>
      </w:r>
    </w:p>
    <w:p w:rsidR="00DE44D6" w:rsidRPr="004761E0" w:rsidRDefault="00DE44D6" w:rsidP="007076A7">
      <w:pPr>
        <w:pStyle w:val="a5"/>
        <w:numPr>
          <w:ilvl w:val="0"/>
          <w:numId w:val="155"/>
        </w:numPr>
        <w:ind w:left="1134" w:hanging="567"/>
        <w:rPr>
          <w:sz w:val="26"/>
          <w:szCs w:val="26"/>
        </w:rPr>
      </w:pPr>
      <w:r w:rsidRPr="004761E0">
        <w:rPr>
          <w:sz w:val="26"/>
          <w:szCs w:val="26"/>
        </w:rPr>
        <w:t>повышение эффективности и результативности деятельности, в т.ч. по реализации Стратегии развития электросетевого комплекса РФ</w:t>
      </w:r>
      <w:r w:rsidRPr="006F4AB8">
        <w:rPr>
          <w:rStyle w:val="af1"/>
        </w:rPr>
        <w:footnoteReference w:id="99"/>
      </w:r>
      <w:r w:rsidRPr="004761E0">
        <w:rPr>
          <w:sz w:val="26"/>
          <w:szCs w:val="26"/>
        </w:rPr>
        <w:t xml:space="preserve"> и Программ</w:t>
      </w:r>
      <w:r>
        <w:rPr>
          <w:sz w:val="26"/>
          <w:szCs w:val="26"/>
        </w:rPr>
        <w:t>ы</w:t>
      </w:r>
      <w:r w:rsidRPr="004761E0">
        <w:rPr>
          <w:sz w:val="26"/>
          <w:szCs w:val="26"/>
        </w:rPr>
        <w:t xml:space="preserve"> приоритетных задач на период до 2015 года</w:t>
      </w:r>
      <w:r w:rsidRPr="006F4AB8">
        <w:rPr>
          <w:rStyle w:val="af1"/>
        </w:rPr>
        <w:footnoteReference w:id="100"/>
      </w:r>
      <w:r w:rsidRPr="004761E0">
        <w:rPr>
          <w:sz w:val="26"/>
          <w:szCs w:val="26"/>
        </w:rPr>
        <w:t>, за счет совершенствования процессов управления рисками и внедрения эффективных контрольных процедур;</w:t>
      </w:r>
    </w:p>
    <w:p w:rsidR="00DE44D6" w:rsidRPr="004761E0" w:rsidRDefault="00DE44D6" w:rsidP="007076A7">
      <w:pPr>
        <w:pStyle w:val="a5"/>
        <w:numPr>
          <w:ilvl w:val="0"/>
          <w:numId w:val="155"/>
        </w:numPr>
        <w:ind w:left="1134" w:hanging="567"/>
        <w:rPr>
          <w:sz w:val="26"/>
          <w:szCs w:val="26"/>
        </w:rPr>
      </w:pPr>
      <w:r w:rsidRPr="004761E0">
        <w:rPr>
          <w:sz w:val="26"/>
          <w:szCs w:val="26"/>
        </w:rPr>
        <w:t>содействие своевременной адаптации деятельности к изменениям внешней и внутренней среды.</w:t>
      </w:r>
    </w:p>
    <w:p w:rsidR="00DE44D6" w:rsidRPr="004761E0" w:rsidRDefault="00DE44D6" w:rsidP="00DE44D6">
      <w:pPr>
        <w:spacing w:before="120"/>
        <w:ind w:firstLine="567"/>
        <w:rPr>
          <w:sz w:val="26"/>
          <w:szCs w:val="26"/>
        </w:rPr>
      </w:pPr>
      <w:r w:rsidRPr="004761E0">
        <w:rPr>
          <w:b/>
          <w:bCs/>
          <w:sz w:val="26"/>
          <w:szCs w:val="26"/>
        </w:rPr>
        <w:t xml:space="preserve">Соответствие целей внутреннего контроля </w:t>
      </w:r>
      <w:r>
        <w:rPr>
          <w:b/>
          <w:bCs/>
          <w:sz w:val="26"/>
          <w:szCs w:val="26"/>
        </w:rPr>
        <w:t>приоритетным направлениям развития Общества</w:t>
      </w:r>
      <w:r w:rsidRPr="004761E0">
        <w:rPr>
          <w:b/>
          <w:bCs/>
          <w:sz w:val="26"/>
          <w:szCs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4"/>
        <w:gridCol w:w="7655"/>
      </w:tblGrid>
      <w:tr w:rsidR="00DE44D6" w:rsidRPr="004761E0" w:rsidTr="00DE44D6">
        <w:tc>
          <w:tcPr>
            <w:tcW w:w="567" w:type="dxa"/>
            <w:tcBorders>
              <w:right w:val="single" w:sz="4" w:space="0" w:color="FFFFFF"/>
            </w:tcBorders>
            <w:shd w:val="clear" w:color="auto" w:fill="0F243E"/>
            <w:vAlign w:val="center"/>
          </w:tcPr>
          <w:p w:rsidR="00DE44D6" w:rsidRPr="00D22344" w:rsidRDefault="00DE44D6" w:rsidP="00DE44D6">
            <w:pPr>
              <w:ind w:firstLine="0"/>
              <w:jc w:val="left"/>
              <w:rPr>
                <w:b/>
                <w:sz w:val="20"/>
                <w:szCs w:val="26"/>
                <w:lang w:eastAsia="ru-RU"/>
              </w:rPr>
            </w:pPr>
            <w:r w:rsidRPr="00D22344">
              <w:rPr>
                <w:b/>
                <w:sz w:val="20"/>
                <w:szCs w:val="26"/>
                <w:lang w:eastAsia="ru-RU"/>
              </w:rPr>
              <w:t>№ п/п</w:t>
            </w:r>
          </w:p>
        </w:tc>
        <w:tc>
          <w:tcPr>
            <w:tcW w:w="1704" w:type="dxa"/>
            <w:tcBorders>
              <w:left w:val="single" w:sz="4" w:space="0" w:color="FFFFFF"/>
              <w:right w:val="single" w:sz="4" w:space="0" w:color="FFFFFF"/>
            </w:tcBorders>
            <w:shd w:val="clear" w:color="auto" w:fill="0F243E"/>
            <w:vAlign w:val="center"/>
          </w:tcPr>
          <w:p w:rsidR="00DE44D6" w:rsidRPr="00D22344" w:rsidRDefault="00DE44D6" w:rsidP="00DE44D6">
            <w:pPr>
              <w:ind w:firstLine="0"/>
              <w:jc w:val="left"/>
              <w:rPr>
                <w:b/>
                <w:sz w:val="20"/>
                <w:szCs w:val="26"/>
                <w:lang w:eastAsia="ru-RU"/>
              </w:rPr>
            </w:pPr>
            <w:r w:rsidRPr="00D22344">
              <w:rPr>
                <w:b/>
                <w:sz w:val="20"/>
                <w:szCs w:val="26"/>
                <w:lang w:eastAsia="ru-RU"/>
              </w:rPr>
              <w:t>Наименование направления</w:t>
            </w:r>
          </w:p>
        </w:tc>
        <w:tc>
          <w:tcPr>
            <w:tcW w:w="7655" w:type="dxa"/>
            <w:tcBorders>
              <w:left w:val="single" w:sz="4" w:space="0" w:color="FFFFFF"/>
            </w:tcBorders>
            <w:shd w:val="clear" w:color="auto" w:fill="0F243E"/>
            <w:vAlign w:val="center"/>
          </w:tcPr>
          <w:p w:rsidR="00DE44D6" w:rsidRPr="00D22344" w:rsidRDefault="00DE44D6" w:rsidP="00DE44D6">
            <w:pPr>
              <w:ind w:firstLine="0"/>
              <w:jc w:val="left"/>
              <w:rPr>
                <w:b/>
                <w:sz w:val="20"/>
                <w:szCs w:val="26"/>
                <w:lang w:eastAsia="ru-RU"/>
              </w:rPr>
            </w:pPr>
            <w:r w:rsidRPr="00D22344">
              <w:rPr>
                <w:b/>
                <w:sz w:val="20"/>
                <w:szCs w:val="26"/>
                <w:lang w:eastAsia="ru-RU"/>
              </w:rPr>
              <w:t>Соответствие целей внутреннего контроля</w:t>
            </w:r>
            <w:r>
              <w:rPr>
                <w:b/>
                <w:sz w:val="20"/>
                <w:szCs w:val="26"/>
                <w:lang w:eastAsia="ru-RU"/>
              </w:rPr>
              <w:t xml:space="preserve"> приоритетным </w:t>
            </w:r>
            <w:r w:rsidRPr="00D22344">
              <w:rPr>
                <w:b/>
                <w:sz w:val="20"/>
                <w:szCs w:val="26"/>
                <w:lang w:eastAsia="ru-RU"/>
              </w:rPr>
              <w:t xml:space="preserve"> направлениям Общества</w:t>
            </w:r>
          </w:p>
        </w:tc>
      </w:tr>
      <w:tr w:rsidR="00DE44D6" w:rsidRPr="004761E0" w:rsidTr="00DE44D6">
        <w:tc>
          <w:tcPr>
            <w:tcW w:w="567" w:type="dxa"/>
          </w:tcPr>
          <w:p w:rsidR="00DE44D6" w:rsidRPr="00D22344" w:rsidRDefault="00DE44D6" w:rsidP="007076A7">
            <w:pPr>
              <w:pStyle w:val="a5"/>
              <w:numPr>
                <w:ilvl w:val="0"/>
                <w:numId w:val="156"/>
              </w:numPr>
              <w:rPr>
                <w:sz w:val="20"/>
                <w:szCs w:val="26"/>
                <w:lang w:eastAsia="ru-RU"/>
              </w:rPr>
            </w:pPr>
          </w:p>
        </w:tc>
        <w:tc>
          <w:tcPr>
            <w:tcW w:w="1704" w:type="dxa"/>
          </w:tcPr>
          <w:p w:rsidR="00DE44D6" w:rsidRPr="00D22344" w:rsidRDefault="00DE44D6" w:rsidP="00DE44D6">
            <w:pPr>
              <w:ind w:firstLine="0"/>
              <w:rPr>
                <w:sz w:val="20"/>
                <w:szCs w:val="26"/>
                <w:lang w:eastAsia="ru-RU"/>
              </w:rPr>
            </w:pPr>
            <w:r w:rsidRPr="00D22344">
              <w:rPr>
                <w:bCs/>
                <w:sz w:val="20"/>
                <w:szCs w:val="26"/>
                <w:lang w:eastAsia="ru-RU"/>
              </w:rPr>
              <w:t xml:space="preserve">Надежность </w:t>
            </w:r>
          </w:p>
        </w:tc>
        <w:tc>
          <w:tcPr>
            <w:tcW w:w="7655" w:type="dxa"/>
          </w:tcPr>
          <w:p w:rsidR="00DE44D6" w:rsidRPr="00D22344" w:rsidRDefault="00DE44D6" w:rsidP="007076A7">
            <w:pPr>
              <w:pStyle w:val="a5"/>
              <w:numPr>
                <w:ilvl w:val="0"/>
                <w:numId w:val="157"/>
              </w:numPr>
              <w:ind w:left="456" w:hanging="425"/>
              <w:rPr>
                <w:sz w:val="20"/>
                <w:szCs w:val="26"/>
                <w:lang w:eastAsia="ru-RU"/>
              </w:rPr>
            </w:pPr>
            <w:r w:rsidRPr="00D22344">
              <w:rPr>
                <w:sz w:val="20"/>
                <w:szCs w:val="26"/>
                <w:lang w:eastAsia="ru-RU"/>
              </w:rPr>
              <w:t>превентивное выявление и оценка рисков, присущих деятельности Общества, с целью повышения надежности электроснабжения и устойчивого и непрерывного функционирования Общества;</w:t>
            </w:r>
          </w:p>
          <w:p w:rsidR="00DE44D6" w:rsidRDefault="00DE44D6" w:rsidP="007076A7">
            <w:pPr>
              <w:pStyle w:val="a5"/>
              <w:numPr>
                <w:ilvl w:val="0"/>
                <w:numId w:val="157"/>
              </w:numPr>
              <w:ind w:left="456" w:hanging="425"/>
              <w:rPr>
                <w:sz w:val="20"/>
                <w:szCs w:val="26"/>
                <w:lang w:eastAsia="ru-RU"/>
              </w:rPr>
            </w:pPr>
            <w:r w:rsidRPr="00D22344">
              <w:rPr>
                <w:sz w:val="20"/>
                <w:szCs w:val="26"/>
                <w:lang w:eastAsia="ru-RU"/>
              </w:rPr>
              <w:t>обеспечение сохранности активов</w:t>
            </w:r>
            <w:r>
              <w:rPr>
                <w:sz w:val="20"/>
                <w:szCs w:val="26"/>
                <w:lang w:eastAsia="ru-RU"/>
              </w:rPr>
              <w:t>;</w:t>
            </w:r>
          </w:p>
          <w:p w:rsidR="00DE44D6" w:rsidRDefault="00DE44D6" w:rsidP="007076A7">
            <w:pPr>
              <w:pStyle w:val="a5"/>
              <w:numPr>
                <w:ilvl w:val="0"/>
                <w:numId w:val="157"/>
              </w:numPr>
              <w:ind w:left="456" w:hanging="425"/>
              <w:rPr>
                <w:sz w:val="20"/>
                <w:szCs w:val="26"/>
                <w:lang w:eastAsia="ru-RU"/>
              </w:rPr>
            </w:pPr>
            <w:r w:rsidRPr="000E5331">
              <w:rPr>
                <w:sz w:val="20"/>
                <w:szCs w:val="26"/>
                <w:lang w:eastAsia="ru-RU"/>
              </w:rPr>
              <w:t xml:space="preserve">обеспечение </w:t>
            </w:r>
            <w:r>
              <w:rPr>
                <w:sz w:val="20"/>
                <w:szCs w:val="26"/>
                <w:lang w:eastAsia="ru-RU"/>
              </w:rPr>
              <w:t xml:space="preserve">эффективного </w:t>
            </w:r>
            <w:r w:rsidRPr="000E5331">
              <w:rPr>
                <w:sz w:val="20"/>
                <w:szCs w:val="26"/>
                <w:lang w:eastAsia="ru-RU"/>
              </w:rPr>
              <w:t>распределения функциональных обязанностей и ответственности участников внутреннего контроля</w:t>
            </w:r>
            <w:r>
              <w:rPr>
                <w:sz w:val="20"/>
                <w:szCs w:val="26"/>
                <w:lang w:eastAsia="ru-RU"/>
              </w:rPr>
              <w:t>;</w:t>
            </w:r>
            <w:r w:rsidRPr="000E5331">
              <w:rPr>
                <w:sz w:val="20"/>
                <w:szCs w:val="26"/>
                <w:lang w:eastAsia="ru-RU"/>
              </w:rPr>
              <w:t xml:space="preserve"> </w:t>
            </w:r>
          </w:p>
          <w:p w:rsidR="00DE44D6" w:rsidRPr="000E5331" w:rsidRDefault="00DE44D6" w:rsidP="007076A7">
            <w:pPr>
              <w:pStyle w:val="a5"/>
              <w:numPr>
                <w:ilvl w:val="0"/>
                <w:numId w:val="157"/>
              </w:numPr>
              <w:ind w:left="456" w:hanging="425"/>
              <w:rPr>
                <w:sz w:val="20"/>
                <w:szCs w:val="26"/>
                <w:lang w:eastAsia="ru-RU"/>
              </w:rPr>
            </w:pPr>
            <w:r w:rsidRPr="000E5331">
              <w:rPr>
                <w:sz w:val="20"/>
                <w:szCs w:val="26"/>
                <w:lang w:eastAsia="ru-RU"/>
              </w:rPr>
              <w:t>обеспечение качества оперативно-технологического управления</w:t>
            </w:r>
            <w:r>
              <w:rPr>
                <w:sz w:val="20"/>
                <w:szCs w:val="26"/>
                <w:lang w:eastAsia="ru-RU"/>
              </w:rPr>
              <w:t>;</w:t>
            </w:r>
            <w:r w:rsidRPr="000E5331">
              <w:rPr>
                <w:sz w:val="20"/>
                <w:szCs w:val="26"/>
                <w:lang w:eastAsia="ru-RU"/>
              </w:rPr>
              <w:t xml:space="preserve"> </w:t>
            </w:r>
          </w:p>
          <w:p w:rsidR="00DE44D6" w:rsidRPr="00D22344" w:rsidRDefault="00DE44D6" w:rsidP="007076A7">
            <w:pPr>
              <w:pStyle w:val="a5"/>
              <w:numPr>
                <w:ilvl w:val="0"/>
                <w:numId w:val="157"/>
              </w:numPr>
              <w:ind w:left="456" w:hanging="425"/>
              <w:rPr>
                <w:sz w:val="20"/>
                <w:szCs w:val="26"/>
                <w:lang w:eastAsia="ru-RU"/>
              </w:rPr>
            </w:pPr>
            <w:r w:rsidRPr="00D22344">
              <w:rPr>
                <w:sz w:val="20"/>
                <w:szCs w:val="26"/>
                <w:lang w:eastAsia="ru-RU"/>
              </w:rPr>
              <w:t>обеспечение выполнения мероприятий по повышению надежности</w:t>
            </w:r>
            <w:r>
              <w:rPr>
                <w:sz w:val="20"/>
                <w:szCs w:val="26"/>
                <w:lang w:eastAsia="ru-RU"/>
              </w:rPr>
              <w:t>;</w:t>
            </w:r>
            <w:r w:rsidRPr="00D22344">
              <w:rPr>
                <w:sz w:val="20"/>
                <w:szCs w:val="26"/>
                <w:lang w:eastAsia="ru-RU"/>
              </w:rPr>
              <w:t xml:space="preserve"> </w:t>
            </w:r>
            <w:r>
              <w:rPr>
                <w:sz w:val="20"/>
                <w:szCs w:val="20"/>
              </w:rPr>
              <w:t xml:space="preserve">обеспечение внедрения мероприятий </w:t>
            </w:r>
            <w:r w:rsidRPr="00426729">
              <w:rPr>
                <w:sz w:val="20"/>
                <w:szCs w:val="20"/>
              </w:rPr>
              <w:t>по предотвращению мошенничества</w:t>
            </w:r>
            <w:r>
              <w:rPr>
                <w:sz w:val="20"/>
                <w:szCs w:val="20"/>
              </w:rPr>
              <w:t>, хищений и других злоупотреблений.</w:t>
            </w:r>
          </w:p>
        </w:tc>
      </w:tr>
      <w:tr w:rsidR="00DE44D6" w:rsidRPr="004761E0" w:rsidTr="00DE44D6">
        <w:tc>
          <w:tcPr>
            <w:tcW w:w="567" w:type="dxa"/>
          </w:tcPr>
          <w:p w:rsidR="00DE44D6" w:rsidRPr="00D22344" w:rsidRDefault="00DE44D6" w:rsidP="007076A7">
            <w:pPr>
              <w:pStyle w:val="a5"/>
              <w:numPr>
                <w:ilvl w:val="0"/>
                <w:numId w:val="156"/>
              </w:numPr>
              <w:rPr>
                <w:sz w:val="20"/>
                <w:szCs w:val="26"/>
                <w:lang w:eastAsia="ru-RU"/>
              </w:rPr>
            </w:pPr>
          </w:p>
        </w:tc>
        <w:tc>
          <w:tcPr>
            <w:tcW w:w="1704" w:type="dxa"/>
          </w:tcPr>
          <w:p w:rsidR="00DE44D6" w:rsidRPr="00D22344" w:rsidRDefault="00DE44D6" w:rsidP="00DE44D6">
            <w:pPr>
              <w:ind w:firstLine="0"/>
              <w:rPr>
                <w:bCs/>
                <w:sz w:val="20"/>
                <w:szCs w:val="26"/>
                <w:lang w:eastAsia="ru-RU"/>
              </w:rPr>
            </w:pPr>
            <w:r w:rsidRPr="00D22344">
              <w:rPr>
                <w:bCs/>
                <w:sz w:val="20"/>
                <w:szCs w:val="26"/>
                <w:lang w:eastAsia="ru-RU"/>
              </w:rPr>
              <w:t>Качество</w:t>
            </w:r>
          </w:p>
        </w:tc>
        <w:tc>
          <w:tcPr>
            <w:tcW w:w="7655" w:type="dxa"/>
          </w:tcPr>
          <w:p w:rsidR="00DE44D6" w:rsidRPr="00D22344" w:rsidRDefault="00DE44D6" w:rsidP="007076A7">
            <w:pPr>
              <w:pStyle w:val="a5"/>
              <w:numPr>
                <w:ilvl w:val="0"/>
                <w:numId w:val="157"/>
              </w:numPr>
              <w:ind w:left="456" w:hanging="425"/>
              <w:rPr>
                <w:sz w:val="20"/>
                <w:szCs w:val="26"/>
                <w:lang w:eastAsia="ru-RU"/>
              </w:rPr>
            </w:pPr>
            <w:r w:rsidRPr="00D22344">
              <w:rPr>
                <w:sz w:val="20"/>
                <w:szCs w:val="26"/>
                <w:lang w:eastAsia="ru-RU"/>
              </w:rPr>
              <w:t>реинжиниринг бизнес-процесса «Технологическое присоединение» с целью улучшения качества обслуживания потребителей и доступности присоединения к сетям Общества;</w:t>
            </w:r>
          </w:p>
          <w:p w:rsidR="00DE44D6" w:rsidRPr="00D22344" w:rsidRDefault="00DE44D6" w:rsidP="007076A7">
            <w:pPr>
              <w:pStyle w:val="a5"/>
              <w:numPr>
                <w:ilvl w:val="0"/>
                <w:numId w:val="157"/>
              </w:numPr>
              <w:ind w:left="456" w:hanging="425"/>
              <w:rPr>
                <w:sz w:val="20"/>
                <w:szCs w:val="26"/>
                <w:lang w:eastAsia="ru-RU"/>
              </w:rPr>
            </w:pPr>
            <w:r w:rsidRPr="00FB4E4E">
              <w:rPr>
                <w:sz w:val="20"/>
                <w:szCs w:val="26"/>
                <w:lang w:eastAsia="ru-RU"/>
              </w:rPr>
              <w:t>обеспечение повышения лояльности потребителей при оказании услуги по технологическому присоединению к электрическим сетям Общества</w:t>
            </w:r>
            <w:r>
              <w:rPr>
                <w:sz w:val="20"/>
                <w:szCs w:val="26"/>
                <w:lang w:eastAsia="ru-RU"/>
              </w:rPr>
              <w:t>;</w:t>
            </w:r>
          </w:p>
          <w:p w:rsidR="00DE44D6" w:rsidRPr="00D22344" w:rsidRDefault="00DE44D6" w:rsidP="007076A7">
            <w:pPr>
              <w:pStyle w:val="a5"/>
              <w:numPr>
                <w:ilvl w:val="0"/>
                <w:numId w:val="157"/>
              </w:numPr>
              <w:ind w:left="456" w:hanging="425"/>
              <w:rPr>
                <w:sz w:val="20"/>
                <w:szCs w:val="26"/>
                <w:lang w:eastAsia="ru-RU"/>
              </w:rPr>
            </w:pPr>
            <w:r>
              <w:rPr>
                <w:sz w:val="20"/>
                <w:szCs w:val="26"/>
                <w:lang w:eastAsia="ru-RU"/>
              </w:rPr>
              <w:t>обеспечение о</w:t>
            </w:r>
            <w:r w:rsidRPr="000E5331">
              <w:rPr>
                <w:sz w:val="20"/>
                <w:szCs w:val="26"/>
                <w:lang w:eastAsia="ru-RU"/>
              </w:rPr>
              <w:t>тветственност</w:t>
            </w:r>
            <w:r>
              <w:rPr>
                <w:sz w:val="20"/>
                <w:szCs w:val="26"/>
                <w:lang w:eastAsia="ru-RU"/>
              </w:rPr>
              <w:t>и</w:t>
            </w:r>
            <w:r w:rsidRPr="000E5331">
              <w:rPr>
                <w:sz w:val="20"/>
                <w:szCs w:val="26"/>
                <w:lang w:eastAsia="ru-RU"/>
              </w:rPr>
              <w:t xml:space="preserve"> </w:t>
            </w:r>
            <w:r>
              <w:rPr>
                <w:sz w:val="20"/>
                <w:szCs w:val="26"/>
                <w:lang w:eastAsia="ru-RU"/>
              </w:rPr>
              <w:t>участников</w:t>
            </w:r>
            <w:r w:rsidRPr="000E5331">
              <w:rPr>
                <w:sz w:val="20"/>
                <w:szCs w:val="26"/>
                <w:lang w:eastAsia="ru-RU"/>
              </w:rPr>
              <w:t xml:space="preserve"> внутреннего контроля за надлежащее</w:t>
            </w:r>
            <w:r>
              <w:rPr>
                <w:sz w:val="20"/>
                <w:szCs w:val="26"/>
                <w:lang w:eastAsia="ru-RU"/>
              </w:rPr>
              <w:t xml:space="preserve"> выполнение контрольных функций.</w:t>
            </w:r>
          </w:p>
        </w:tc>
      </w:tr>
      <w:tr w:rsidR="00DE44D6" w:rsidRPr="004761E0" w:rsidTr="00DE44D6">
        <w:tc>
          <w:tcPr>
            <w:tcW w:w="567" w:type="dxa"/>
          </w:tcPr>
          <w:p w:rsidR="00DE44D6" w:rsidRPr="00D22344" w:rsidRDefault="00DE44D6" w:rsidP="007076A7">
            <w:pPr>
              <w:pStyle w:val="a5"/>
              <w:numPr>
                <w:ilvl w:val="0"/>
                <w:numId w:val="156"/>
              </w:numPr>
              <w:rPr>
                <w:sz w:val="20"/>
                <w:szCs w:val="26"/>
                <w:lang w:eastAsia="ru-RU"/>
              </w:rPr>
            </w:pPr>
          </w:p>
        </w:tc>
        <w:tc>
          <w:tcPr>
            <w:tcW w:w="1704" w:type="dxa"/>
          </w:tcPr>
          <w:p w:rsidR="00DE44D6" w:rsidRPr="00D22344" w:rsidRDefault="00DE44D6" w:rsidP="00DE44D6">
            <w:pPr>
              <w:ind w:firstLine="0"/>
              <w:rPr>
                <w:bCs/>
                <w:sz w:val="20"/>
                <w:szCs w:val="26"/>
                <w:lang w:eastAsia="ru-RU"/>
              </w:rPr>
            </w:pPr>
            <w:r w:rsidRPr="00D22344">
              <w:rPr>
                <w:bCs/>
                <w:sz w:val="20"/>
                <w:szCs w:val="26"/>
                <w:lang w:eastAsia="ru-RU"/>
              </w:rPr>
              <w:t>Развитие</w:t>
            </w:r>
          </w:p>
        </w:tc>
        <w:tc>
          <w:tcPr>
            <w:tcW w:w="7655" w:type="dxa"/>
          </w:tcPr>
          <w:p w:rsidR="00DE44D6" w:rsidRPr="00D22344" w:rsidRDefault="00DE44D6" w:rsidP="007076A7">
            <w:pPr>
              <w:pStyle w:val="a5"/>
              <w:numPr>
                <w:ilvl w:val="0"/>
                <w:numId w:val="157"/>
              </w:numPr>
              <w:ind w:left="456" w:hanging="425"/>
              <w:rPr>
                <w:sz w:val="20"/>
                <w:szCs w:val="26"/>
                <w:lang w:eastAsia="ru-RU"/>
              </w:rPr>
            </w:pPr>
            <w:r w:rsidRPr="00D22344">
              <w:rPr>
                <w:bCs/>
                <w:sz w:val="20"/>
                <w:szCs w:val="26"/>
                <w:lang w:eastAsia="ru-RU"/>
              </w:rPr>
              <w:t>обеспечение выполнения поставленных  целей наиболее эффективным путем;</w:t>
            </w:r>
          </w:p>
          <w:p w:rsidR="00DE44D6" w:rsidRPr="00226ED5" w:rsidRDefault="00DE44D6" w:rsidP="007076A7">
            <w:pPr>
              <w:pStyle w:val="a5"/>
              <w:numPr>
                <w:ilvl w:val="0"/>
                <w:numId w:val="157"/>
              </w:numPr>
              <w:ind w:left="456" w:hanging="425"/>
              <w:rPr>
                <w:bCs/>
                <w:sz w:val="20"/>
                <w:szCs w:val="26"/>
                <w:lang w:eastAsia="ru-RU"/>
              </w:rPr>
            </w:pPr>
            <w:r w:rsidRPr="00226ED5">
              <w:rPr>
                <w:bCs/>
                <w:sz w:val="20"/>
                <w:szCs w:val="26"/>
                <w:lang w:eastAsia="ru-RU"/>
              </w:rPr>
              <w:t>внедрение инновационных решений способных обеспечить технический уровень до современных отраслевых стандартов;</w:t>
            </w:r>
          </w:p>
          <w:p w:rsidR="00DE44D6" w:rsidRPr="00D22344" w:rsidRDefault="00DE44D6" w:rsidP="007076A7">
            <w:pPr>
              <w:pStyle w:val="a5"/>
              <w:numPr>
                <w:ilvl w:val="0"/>
                <w:numId w:val="157"/>
              </w:numPr>
              <w:ind w:left="456" w:hanging="425"/>
              <w:rPr>
                <w:sz w:val="20"/>
                <w:szCs w:val="26"/>
                <w:lang w:eastAsia="ru-RU"/>
              </w:rPr>
            </w:pPr>
            <w:r w:rsidRPr="00226ED5">
              <w:rPr>
                <w:bCs/>
                <w:sz w:val="20"/>
                <w:szCs w:val="26"/>
                <w:lang w:eastAsia="ru-RU"/>
              </w:rPr>
              <w:t>обеспечение развития и совершенствования внутреннего</w:t>
            </w:r>
            <w:r>
              <w:rPr>
                <w:sz w:val="20"/>
                <w:szCs w:val="26"/>
                <w:lang w:eastAsia="ru-RU"/>
              </w:rPr>
              <w:t xml:space="preserve"> контроля.</w:t>
            </w:r>
          </w:p>
        </w:tc>
      </w:tr>
      <w:tr w:rsidR="00DE44D6" w:rsidRPr="004761E0" w:rsidTr="00DE44D6">
        <w:tc>
          <w:tcPr>
            <w:tcW w:w="567" w:type="dxa"/>
          </w:tcPr>
          <w:p w:rsidR="00DE44D6" w:rsidRPr="00D22344" w:rsidRDefault="00DE44D6" w:rsidP="007076A7">
            <w:pPr>
              <w:pStyle w:val="a5"/>
              <w:numPr>
                <w:ilvl w:val="0"/>
                <w:numId w:val="156"/>
              </w:numPr>
              <w:rPr>
                <w:sz w:val="20"/>
                <w:szCs w:val="26"/>
                <w:lang w:eastAsia="ru-RU"/>
              </w:rPr>
            </w:pPr>
          </w:p>
        </w:tc>
        <w:tc>
          <w:tcPr>
            <w:tcW w:w="1704" w:type="dxa"/>
          </w:tcPr>
          <w:p w:rsidR="00DE44D6" w:rsidRPr="00D22344" w:rsidRDefault="00DE44D6" w:rsidP="00DE44D6">
            <w:pPr>
              <w:ind w:firstLine="0"/>
              <w:rPr>
                <w:bCs/>
                <w:sz w:val="20"/>
                <w:szCs w:val="26"/>
                <w:lang w:eastAsia="ru-RU"/>
              </w:rPr>
            </w:pPr>
            <w:r w:rsidRPr="00D22344">
              <w:rPr>
                <w:bCs/>
                <w:sz w:val="20"/>
                <w:szCs w:val="26"/>
                <w:lang w:eastAsia="ru-RU"/>
              </w:rPr>
              <w:t>Ценность</w:t>
            </w:r>
          </w:p>
          <w:p w:rsidR="00DE44D6" w:rsidRPr="00D22344" w:rsidRDefault="00DE44D6" w:rsidP="00DE44D6">
            <w:pPr>
              <w:ind w:firstLine="0"/>
              <w:rPr>
                <w:bCs/>
                <w:sz w:val="20"/>
                <w:szCs w:val="26"/>
                <w:lang w:eastAsia="ru-RU"/>
              </w:rPr>
            </w:pPr>
          </w:p>
        </w:tc>
        <w:tc>
          <w:tcPr>
            <w:tcW w:w="7655" w:type="dxa"/>
          </w:tcPr>
          <w:p w:rsidR="00DE44D6" w:rsidRPr="00D22344" w:rsidRDefault="00DE44D6" w:rsidP="007076A7">
            <w:pPr>
              <w:numPr>
                <w:ilvl w:val="0"/>
                <w:numId w:val="157"/>
              </w:numPr>
              <w:ind w:left="456" w:hanging="425"/>
              <w:rPr>
                <w:sz w:val="20"/>
                <w:szCs w:val="26"/>
                <w:lang w:eastAsia="ru-RU"/>
              </w:rPr>
            </w:pPr>
            <w:r w:rsidRPr="00D22344">
              <w:rPr>
                <w:bCs/>
                <w:sz w:val="20"/>
                <w:szCs w:val="26"/>
                <w:lang w:eastAsia="ru-RU"/>
              </w:rPr>
              <w:t>обеспечение эффективного и экономичного использования ресурсов;</w:t>
            </w:r>
          </w:p>
          <w:p w:rsidR="00DE44D6" w:rsidRPr="00D22344" w:rsidRDefault="00DE44D6" w:rsidP="007076A7">
            <w:pPr>
              <w:numPr>
                <w:ilvl w:val="0"/>
                <w:numId w:val="157"/>
              </w:numPr>
              <w:ind w:left="456" w:hanging="425"/>
              <w:rPr>
                <w:sz w:val="20"/>
                <w:szCs w:val="26"/>
                <w:lang w:eastAsia="ru-RU"/>
              </w:rPr>
            </w:pPr>
            <w:r w:rsidRPr="00D22344">
              <w:rPr>
                <w:bCs/>
                <w:sz w:val="20"/>
                <w:szCs w:val="26"/>
                <w:lang w:eastAsia="ru-RU"/>
              </w:rPr>
              <w:t xml:space="preserve">обеспечение выполнения поставленных задач наиболее эффективным путем в целях повышения инвестиционной привлекательности и капитализации Общества; </w:t>
            </w:r>
          </w:p>
          <w:p w:rsidR="00DE44D6" w:rsidRPr="000E5331" w:rsidRDefault="00DE44D6" w:rsidP="007076A7">
            <w:pPr>
              <w:numPr>
                <w:ilvl w:val="0"/>
                <w:numId w:val="157"/>
              </w:numPr>
              <w:ind w:left="456" w:hanging="425"/>
              <w:rPr>
                <w:bCs/>
                <w:sz w:val="20"/>
                <w:szCs w:val="26"/>
                <w:lang w:eastAsia="ru-RU"/>
              </w:rPr>
            </w:pPr>
            <w:r w:rsidRPr="000E5331">
              <w:rPr>
                <w:bCs/>
                <w:sz w:val="20"/>
                <w:szCs w:val="26"/>
                <w:lang w:eastAsia="ru-RU"/>
              </w:rPr>
              <w:t>обеспечение эффективных коммуникаций с представителями инвестиционного сообщества и раскрыти</w:t>
            </w:r>
            <w:r>
              <w:rPr>
                <w:bCs/>
                <w:sz w:val="20"/>
                <w:szCs w:val="26"/>
                <w:lang w:eastAsia="ru-RU"/>
              </w:rPr>
              <w:t>я</w:t>
            </w:r>
            <w:r w:rsidRPr="000E5331">
              <w:rPr>
                <w:bCs/>
                <w:sz w:val="20"/>
                <w:szCs w:val="26"/>
                <w:lang w:eastAsia="ru-RU"/>
              </w:rPr>
              <w:t xml:space="preserve"> в необходимом объеме информации для </w:t>
            </w:r>
            <w:r w:rsidRPr="000E5331">
              <w:rPr>
                <w:bCs/>
                <w:sz w:val="20"/>
                <w:szCs w:val="26"/>
                <w:lang w:eastAsia="ru-RU"/>
              </w:rPr>
              <w:lastRenderedPageBreak/>
              <w:t>заинтересованных сторон;</w:t>
            </w:r>
          </w:p>
          <w:p w:rsidR="00DE44D6" w:rsidRPr="00D22344" w:rsidRDefault="00DE44D6" w:rsidP="007076A7">
            <w:pPr>
              <w:numPr>
                <w:ilvl w:val="0"/>
                <w:numId w:val="157"/>
              </w:numPr>
              <w:ind w:left="456" w:hanging="425"/>
              <w:rPr>
                <w:sz w:val="20"/>
                <w:szCs w:val="26"/>
                <w:lang w:eastAsia="ru-RU"/>
              </w:rPr>
            </w:pPr>
            <w:r w:rsidRPr="00D22344">
              <w:rPr>
                <w:bCs/>
                <w:sz w:val="20"/>
                <w:szCs w:val="26"/>
                <w:lang w:eastAsia="ru-RU"/>
              </w:rPr>
              <w:t>обеспечение своевременного контроля решений, принимаемых в рамках финансово-хозяйственной деятельности;</w:t>
            </w:r>
          </w:p>
          <w:p w:rsidR="00DE44D6" w:rsidRPr="00D22344" w:rsidRDefault="00DE44D6" w:rsidP="007076A7">
            <w:pPr>
              <w:pStyle w:val="a5"/>
              <w:numPr>
                <w:ilvl w:val="0"/>
                <w:numId w:val="157"/>
              </w:numPr>
              <w:ind w:left="456" w:hanging="425"/>
              <w:rPr>
                <w:sz w:val="20"/>
                <w:szCs w:val="26"/>
                <w:lang w:eastAsia="ru-RU"/>
              </w:rPr>
            </w:pPr>
            <w:r w:rsidRPr="00D22344">
              <w:rPr>
                <w:bCs/>
                <w:sz w:val="20"/>
                <w:szCs w:val="26"/>
                <w:lang w:eastAsia="ru-RU"/>
              </w:rPr>
              <w:t>обеспечение соблюдения законодательства РФ, решений органов управления и внутренних организационно-распорядительных документов;</w:t>
            </w:r>
          </w:p>
          <w:p w:rsidR="00DE44D6" w:rsidRPr="00D22344" w:rsidRDefault="00DE44D6" w:rsidP="007076A7">
            <w:pPr>
              <w:pStyle w:val="a5"/>
              <w:numPr>
                <w:ilvl w:val="0"/>
                <w:numId w:val="157"/>
              </w:numPr>
              <w:ind w:left="456" w:hanging="425"/>
              <w:rPr>
                <w:sz w:val="20"/>
                <w:szCs w:val="26"/>
                <w:lang w:eastAsia="ru-RU"/>
              </w:rPr>
            </w:pPr>
            <w:r w:rsidRPr="00D22344">
              <w:rPr>
                <w:bCs/>
                <w:sz w:val="20"/>
                <w:szCs w:val="26"/>
                <w:lang w:eastAsia="ru-RU"/>
              </w:rPr>
              <w:t>обеспечение достоверности, полноты, объективности, своевременности составления и представления финансовой, бухгалтерской, статистической, управленческой и иной отчетности.</w:t>
            </w:r>
          </w:p>
        </w:tc>
      </w:tr>
      <w:tr w:rsidR="00DE44D6" w:rsidRPr="004761E0" w:rsidTr="00DE44D6">
        <w:tc>
          <w:tcPr>
            <w:tcW w:w="567" w:type="dxa"/>
          </w:tcPr>
          <w:p w:rsidR="00DE44D6" w:rsidRPr="00D22344" w:rsidRDefault="00DE44D6" w:rsidP="007076A7">
            <w:pPr>
              <w:pStyle w:val="a5"/>
              <w:numPr>
                <w:ilvl w:val="0"/>
                <w:numId w:val="156"/>
              </w:numPr>
              <w:rPr>
                <w:sz w:val="20"/>
                <w:szCs w:val="26"/>
                <w:lang w:eastAsia="ru-RU"/>
              </w:rPr>
            </w:pPr>
          </w:p>
        </w:tc>
        <w:tc>
          <w:tcPr>
            <w:tcW w:w="1704" w:type="dxa"/>
          </w:tcPr>
          <w:p w:rsidR="00DE44D6" w:rsidRPr="00D22344" w:rsidRDefault="00DE44D6" w:rsidP="00DE44D6">
            <w:pPr>
              <w:ind w:firstLine="0"/>
              <w:rPr>
                <w:bCs/>
                <w:sz w:val="20"/>
                <w:szCs w:val="26"/>
                <w:lang w:eastAsia="ru-RU"/>
              </w:rPr>
            </w:pPr>
            <w:r>
              <w:rPr>
                <w:bCs/>
                <w:sz w:val="20"/>
                <w:szCs w:val="26"/>
                <w:lang w:eastAsia="ru-RU"/>
              </w:rPr>
              <w:t>Персонал</w:t>
            </w:r>
          </w:p>
        </w:tc>
        <w:tc>
          <w:tcPr>
            <w:tcW w:w="7655" w:type="dxa"/>
          </w:tcPr>
          <w:p w:rsidR="00DE44D6" w:rsidRPr="00CA644E" w:rsidRDefault="00DE44D6" w:rsidP="007076A7">
            <w:pPr>
              <w:pStyle w:val="a5"/>
              <w:numPr>
                <w:ilvl w:val="0"/>
                <w:numId w:val="157"/>
              </w:numPr>
              <w:ind w:left="456" w:hanging="425"/>
              <w:rPr>
                <w:bCs/>
                <w:sz w:val="20"/>
                <w:szCs w:val="26"/>
                <w:lang w:eastAsia="ru-RU"/>
              </w:rPr>
            </w:pPr>
            <w:r w:rsidRPr="00226ED5">
              <w:rPr>
                <w:bCs/>
                <w:sz w:val="20"/>
                <w:szCs w:val="26"/>
                <w:lang w:eastAsia="ru-RU"/>
              </w:rPr>
              <w:t>обеспечение повышения профессионализма  работников Общества</w:t>
            </w:r>
            <w:r>
              <w:rPr>
                <w:bCs/>
                <w:sz w:val="20"/>
                <w:szCs w:val="26"/>
                <w:lang w:eastAsia="ru-RU"/>
              </w:rPr>
              <w:t>;</w:t>
            </w:r>
          </w:p>
          <w:p w:rsidR="00DE44D6" w:rsidRPr="00CA644E" w:rsidRDefault="00DE44D6" w:rsidP="007076A7">
            <w:pPr>
              <w:pStyle w:val="a5"/>
              <w:numPr>
                <w:ilvl w:val="0"/>
                <w:numId w:val="157"/>
              </w:numPr>
              <w:ind w:left="456" w:hanging="425"/>
              <w:rPr>
                <w:bCs/>
                <w:sz w:val="20"/>
                <w:szCs w:val="26"/>
                <w:lang w:eastAsia="ru-RU"/>
              </w:rPr>
            </w:pPr>
            <w:r w:rsidRPr="00CA644E">
              <w:rPr>
                <w:bCs/>
                <w:sz w:val="20"/>
                <w:szCs w:val="26"/>
                <w:lang w:eastAsia="ru-RU"/>
              </w:rPr>
              <w:t>оценка деятельности сотрудников и обучение</w:t>
            </w:r>
            <w:r>
              <w:rPr>
                <w:bCs/>
                <w:sz w:val="20"/>
                <w:szCs w:val="26"/>
                <w:lang w:eastAsia="ru-RU"/>
              </w:rPr>
              <w:t>;</w:t>
            </w:r>
          </w:p>
          <w:p w:rsidR="00DE44D6" w:rsidRPr="00CA644E" w:rsidRDefault="00DE44D6" w:rsidP="007076A7">
            <w:pPr>
              <w:pStyle w:val="a5"/>
              <w:numPr>
                <w:ilvl w:val="0"/>
                <w:numId w:val="157"/>
              </w:numPr>
              <w:ind w:left="456" w:hanging="425"/>
              <w:rPr>
                <w:bCs/>
                <w:sz w:val="20"/>
                <w:szCs w:val="26"/>
                <w:lang w:eastAsia="ru-RU"/>
              </w:rPr>
            </w:pPr>
            <w:r w:rsidRPr="00CA644E">
              <w:rPr>
                <w:bCs/>
                <w:sz w:val="20"/>
                <w:szCs w:val="26"/>
                <w:lang w:eastAsia="ru-RU"/>
              </w:rPr>
              <w:t>обеспечение повышения производительности труда работников и производственной дисциплины</w:t>
            </w:r>
            <w:r>
              <w:rPr>
                <w:bCs/>
                <w:sz w:val="20"/>
                <w:szCs w:val="26"/>
                <w:lang w:eastAsia="ru-RU"/>
              </w:rPr>
              <w:t>.</w:t>
            </w:r>
          </w:p>
        </w:tc>
      </w:tr>
    </w:tbl>
    <w:p w:rsidR="00DE44D6" w:rsidRPr="004761E0" w:rsidRDefault="00DE44D6" w:rsidP="00DE44D6">
      <w:pPr>
        <w:ind w:firstLine="567"/>
        <w:rPr>
          <w:sz w:val="26"/>
          <w:szCs w:val="26"/>
        </w:rPr>
      </w:pPr>
      <w:r w:rsidRPr="004761E0">
        <w:rPr>
          <w:sz w:val="26"/>
          <w:szCs w:val="26"/>
        </w:rPr>
        <w:t xml:space="preserve">С целью развития, совершенствования </w:t>
      </w:r>
      <w:r>
        <w:rPr>
          <w:sz w:val="26"/>
          <w:szCs w:val="26"/>
        </w:rPr>
        <w:t>СВК</w:t>
      </w:r>
      <w:r w:rsidRPr="004761E0">
        <w:rPr>
          <w:sz w:val="26"/>
          <w:szCs w:val="26"/>
        </w:rPr>
        <w:t xml:space="preserve"> и формирования единых подходов к выполнению процессов внутреннего контроля разработана </w:t>
      </w:r>
      <w:r w:rsidRPr="006506E4">
        <w:rPr>
          <w:sz w:val="26"/>
          <w:szCs w:val="26"/>
        </w:rPr>
        <w:t>Политика внутреннего контроля</w:t>
      </w:r>
      <w:r w:rsidRPr="006F4AB8">
        <w:rPr>
          <w:rStyle w:val="af1"/>
        </w:rPr>
        <w:footnoteReference w:id="101"/>
      </w:r>
      <w:r w:rsidRPr="006506E4">
        <w:rPr>
          <w:sz w:val="26"/>
          <w:szCs w:val="26"/>
        </w:rPr>
        <w:t>.</w:t>
      </w:r>
      <w:r w:rsidRPr="004761E0">
        <w:rPr>
          <w:sz w:val="26"/>
          <w:szCs w:val="26"/>
        </w:rPr>
        <w:t xml:space="preserve"> Данный документ определяет принципы построения и функционирования </w:t>
      </w:r>
      <w:r>
        <w:rPr>
          <w:sz w:val="26"/>
          <w:szCs w:val="26"/>
        </w:rPr>
        <w:t xml:space="preserve">СВК </w:t>
      </w:r>
      <w:r w:rsidRPr="004761E0">
        <w:rPr>
          <w:sz w:val="26"/>
          <w:szCs w:val="26"/>
        </w:rPr>
        <w:t xml:space="preserve">Общества, цели и  процедуры организации </w:t>
      </w:r>
      <w:r>
        <w:rPr>
          <w:sz w:val="26"/>
          <w:szCs w:val="26"/>
        </w:rPr>
        <w:t>СВК</w:t>
      </w:r>
      <w:r w:rsidRPr="004761E0">
        <w:rPr>
          <w:sz w:val="26"/>
          <w:szCs w:val="26"/>
        </w:rPr>
        <w:t>, роли, ответственность и порядок взаимодействия ее участников, виды и уровни осуществления внутреннего контроля финансово-хозяйственной деятельности Общества.</w:t>
      </w:r>
      <w:r>
        <w:rPr>
          <w:sz w:val="26"/>
          <w:szCs w:val="26"/>
        </w:rPr>
        <w:t xml:space="preserve"> </w:t>
      </w:r>
      <w:r w:rsidRPr="004761E0">
        <w:rPr>
          <w:sz w:val="26"/>
          <w:szCs w:val="26"/>
        </w:rPr>
        <w:t xml:space="preserve">Положения Политики внутреннего контроля являются обязательными для руководителей и специалистов всех уровней управления Общества, его структурных подразделений, а также других участников процессов внутреннего контроля и заинтересованных сторон. </w:t>
      </w:r>
    </w:p>
    <w:p w:rsidR="00DE44D6" w:rsidRPr="008E11BC" w:rsidRDefault="00DE44D6" w:rsidP="008E11BC">
      <w:pPr>
        <w:spacing w:before="120" w:after="120"/>
        <w:ind w:firstLine="567"/>
        <w:rPr>
          <w:b/>
          <w:sz w:val="26"/>
          <w:szCs w:val="26"/>
        </w:rPr>
      </w:pPr>
      <w:r w:rsidRPr="008E11BC">
        <w:rPr>
          <w:b/>
          <w:sz w:val="26"/>
          <w:szCs w:val="26"/>
        </w:rPr>
        <w:t>Полномочия и ответственность основных участников СВК</w:t>
      </w:r>
    </w:p>
    <w:p w:rsidR="00DE44D6" w:rsidRDefault="00DE44D6" w:rsidP="00DE44D6">
      <w:pPr>
        <w:ind w:firstLine="567"/>
        <w:rPr>
          <w:sz w:val="26"/>
          <w:szCs w:val="26"/>
        </w:rPr>
      </w:pPr>
      <w:r>
        <w:rPr>
          <w:sz w:val="26"/>
          <w:szCs w:val="26"/>
        </w:rPr>
        <w:t>Е</w:t>
      </w:r>
      <w:r w:rsidRPr="004761E0">
        <w:rPr>
          <w:sz w:val="26"/>
          <w:szCs w:val="26"/>
        </w:rPr>
        <w:t xml:space="preserve">диные стандарты бизнес-процессов содержат контрольные процедуры, выполняемые на каждом уровне </w:t>
      </w:r>
      <w:r>
        <w:rPr>
          <w:sz w:val="26"/>
          <w:szCs w:val="26"/>
        </w:rPr>
        <w:t xml:space="preserve">управления </w:t>
      </w:r>
      <w:r w:rsidRPr="004761E0">
        <w:rPr>
          <w:sz w:val="26"/>
          <w:szCs w:val="26"/>
        </w:rPr>
        <w:t>в соответствии с функциональными вертикалями.</w:t>
      </w:r>
      <w:r>
        <w:rPr>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6958"/>
      </w:tblGrid>
      <w:tr w:rsidR="00DE44D6" w:rsidRPr="004761E0" w:rsidTr="00DE44D6">
        <w:tc>
          <w:tcPr>
            <w:tcW w:w="675" w:type="dxa"/>
            <w:tcBorders>
              <w:right w:val="single" w:sz="4" w:space="0" w:color="FFFFFF"/>
            </w:tcBorders>
            <w:shd w:val="clear" w:color="auto" w:fill="0F243E"/>
          </w:tcPr>
          <w:p w:rsidR="00DE44D6" w:rsidRPr="00D22344" w:rsidRDefault="00DE44D6" w:rsidP="00DE44D6">
            <w:pPr>
              <w:ind w:firstLine="0"/>
              <w:rPr>
                <w:b/>
                <w:sz w:val="20"/>
                <w:szCs w:val="20"/>
                <w:lang w:eastAsia="ru-RU"/>
              </w:rPr>
            </w:pPr>
            <w:r w:rsidRPr="00D22344">
              <w:rPr>
                <w:b/>
                <w:sz w:val="20"/>
                <w:szCs w:val="20"/>
                <w:lang w:eastAsia="ru-RU"/>
              </w:rPr>
              <w:t>№ п/п</w:t>
            </w:r>
          </w:p>
        </w:tc>
        <w:tc>
          <w:tcPr>
            <w:tcW w:w="2127" w:type="dxa"/>
            <w:tcBorders>
              <w:left w:val="single" w:sz="4" w:space="0" w:color="FFFFFF"/>
              <w:right w:val="single" w:sz="4" w:space="0" w:color="FFFFFF"/>
            </w:tcBorders>
            <w:shd w:val="clear" w:color="auto" w:fill="0F243E"/>
          </w:tcPr>
          <w:p w:rsidR="00DE44D6" w:rsidRPr="00D22344" w:rsidRDefault="00DE44D6" w:rsidP="00DE44D6">
            <w:pPr>
              <w:ind w:firstLine="0"/>
              <w:jc w:val="left"/>
              <w:rPr>
                <w:b/>
                <w:sz w:val="20"/>
                <w:szCs w:val="20"/>
                <w:lang w:eastAsia="ru-RU"/>
              </w:rPr>
            </w:pPr>
            <w:r w:rsidRPr="00D22344">
              <w:rPr>
                <w:b/>
                <w:sz w:val="20"/>
                <w:szCs w:val="20"/>
                <w:lang w:eastAsia="ru-RU"/>
              </w:rPr>
              <w:t>Наименование категории</w:t>
            </w:r>
          </w:p>
        </w:tc>
        <w:tc>
          <w:tcPr>
            <w:tcW w:w="6958" w:type="dxa"/>
            <w:tcBorders>
              <w:left w:val="single" w:sz="4" w:space="0" w:color="FFFFFF"/>
            </w:tcBorders>
            <w:shd w:val="clear" w:color="auto" w:fill="0F243E"/>
          </w:tcPr>
          <w:p w:rsidR="00DE44D6" w:rsidRPr="00D22344" w:rsidRDefault="00DE44D6" w:rsidP="00DE44D6">
            <w:pPr>
              <w:ind w:firstLine="0"/>
              <w:rPr>
                <w:b/>
                <w:sz w:val="20"/>
                <w:szCs w:val="20"/>
                <w:lang w:eastAsia="ru-RU"/>
              </w:rPr>
            </w:pPr>
            <w:r w:rsidRPr="00D22344">
              <w:rPr>
                <w:b/>
                <w:sz w:val="20"/>
                <w:szCs w:val="20"/>
                <w:lang w:eastAsia="ru-RU"/>
              </w:rPr>
              <w:t xml:space="preserve">Основные обязанности в области </w:t>
            </w:r>
            <w:r>
              <w:rPr>
                <w:b/>
                <w:sz w:val="20"/>
                <w:szCs w:val="20"/>
                <w:lang w:eastAsia="ru-RU"/>
              </w:rPr>
              <w:t>СВК</w:t>
            </w:r>
          </w:p>
        </w:tc>
      </w:tr>
      <w:tr w:rsidR="00DE44D6" w:rsidRPr="004761E0" w:rsidTr="00DE44D6">
        <w:tc>
          <w:tcPr>
            <w:tcW w:w="675" w:type="dxa"/>
          </w:tcPr>
          <w:p w:rsidR="00DE44D6" w:rsidRPr="00D22344" w:rsidRDefault="00DE44D6" w:rsidP="007076A7">
            <w:pPr>
              <w:pStyle w:val="a5"/>
              <w:numPr>
                <w:ilvl w:val="0"/>
                <w:numId w:val="151"/>
              </w:numPr>
              <w:contextualSpacing w:val="0"/>
              <w:rPr>
                <w:sz w:val="20"/>
                <w:szCs w:val="20"/>
                <w:lang w:eastAsia="ru-RU"/>
              </w:rPr>
            </w:pPr>
          </w:p>
        </w:tc>
        <w:tc>
          <w:tcPr>
            <w:tcW w:w="2127" w:type="dxa"/>
          </w:tcPr>
          <w:p w:rsidR="00DE44D6" w:rsidRPr="00D22344" w:rsidRDefault="00DE44D6" w:rsidP="00DE44D6">
            <w:pPr>
              <w:ind w:left="34" w:firstLine="0"/>
              <w:jc w:val="left"/>
              <w:rPr>
                <w:sz w:val="20"/>
                <w:szCs w:val="20"/>
                <w:lang w:eastAsia="ru-RU"/>
              </w:rPr>
            </w:pPr>
            <w:r w:rsidRPr="00D22344">
              <w:rPr>
                <w:sz w:val="20"/>
                <w:szCs w:val="20"/>
                <w:lang w:eastAsia="ru-RU"/>
              </w:rPr>
              <w:t>Совет директоров</w:t>
            </w:r>
          </w:p>
        </w:tc>
        <w:tc>
          <w:tcPr>
            <w:tcW w:w="6958" w:type="dxa"/>
          </w:tcPr>
          <w:p w:rsidR="00DE44D6" w:rsidRPr="00D22344" w:rsidRDefault="00DE44D6" w:rsidP="007076A7">
            <w:pPr>
              <w:pStyle w:val="a5"/>
              <w:numPr>
                <w:ilvl w:val="0"/>
                <w:numId w:val="154"/>
              </w:numPr>
              <w:ind w:left="317" w:hanging="317"/>
              <w:contextualSpacing w:val="0"/>
              <w:rPr>
                <w:sz w:val="20"/>
                <w:szCs w:val="20"/>
                <w:lang w:eastAsia="ru-RU"/>
              </w:rPr>
            </w:pPr>
            <w:r w:rsidRPr="00D22344">
              <w:rPr>
                <w:sz w:val="20"/>
                <w:szCs w:val="20"/>
                <w:lang w:eastAsia="ru-RU"/>
              </w:rPr>
              <w:t xml:space="preserve">обеспечивает создание, контроль функционирования и определение общей стратегии развития </w:t>
            </w:r>
            <w:r>
              <w:rPr>
                <w:sz w:val="20"/>
                <w:szCs w:val="20"/>
                <w:lang w:eastAsia="ru-RU"/>
              </w:rPr>
              <w:t>СВК</w:t>
            </w:r>
            <w:r w:rsidRPr="00D22344">
              <w:rPr>
                <w:sz w:val="20"/>
                <w:szCs w:val="20"/>
                <w:lang w:eastAsia="ru-RU"/>
              </w:rPr>
              <w:t xml:space="preserve"> в Обществе.</w:t>
            </w:r>
          </w:p>
        </w:tc>
      </w:tr>
      <w:tr w:rsidR="00DE44D6" w:rsidRPr="004761E0" w:rsidTr="00DE44D6">
        <w:tc>
          <w:tcPr>
            <w:tcW w:w="675" w:type="dxa"/>
          </w:tcPr>
          <w:p w:rsidR="00DE44D6" w:rsidRPr="00D22344" w:rsidRDefault="00DE44D6" w:rsidP="007076A7">
            <w:pPr>
              <w:pStyle w:val="a5"/>
              <w:numPr>
                <w:ilvl w:val="0"/>
                <w:numId w:val="151"/>
              </w:numPr>
              <w:contextualSpacing w:val="0"/>
              <w:rPr>
                <w:sz w:val="20"/>
                <w:szCs w:val="20"/>
                <w:lang w:eastAsia="ru-RU"/>
              </w:rPr>
            </w:pPr>
          </w:p>
        </w:tc>
        <w:tc>
          <w:tcPr>
            <w:tcW w:w="2127" w:type="dxa"/>
          </w:tcPr>
          <w:p w:rsidR="00DE44D6" w:rsidRPr="00D22344" w:rsidRDefault="00DE44D6" w:rsidP="00DE44D6">
            <w:pPr>
              <w:ind w:left="34" w:firstLine="0"/>
              <w:jc w:val="left"/>
              <w:rPr>
                <w:sz w:val="20"/>
                <w:szCs w:val="20"/>
                <w:lang w:eastAsia="ru-RU"/>
              </w:rPr>
            </w:pPr>
            <w:r w:rsidRPr="00D22344">
              <w:rPr>
                <w:sz w:val="20"/>
                <w:szCs w:val="20"/>
                <w:lang w:eastAsia="ru-RU"/>
              </w:rPr>
              <w:t>Комитет по аудиту Совета директоров</w:t>
            </w:r>
          </w:p>
        </w:tc>
        <w:tc>
          <w:tcPr>
            <w:tcW w:w="6958" w:type="dxa"/>
          </w:tcPr>
          <w:p w:rsidR="00DE44D6" w:rsidRPr="00D22344" w:rsidRDefault="00DE44D6" w:rsidP="007076A7">
            <w:pPr>
              <w:pStyle w:val="a5"/>
              <w:numPr>
                <w:ilvl w:val="0"/>
                <w:numId w:val="154"/>
              </w:numPr>
              <w:ind w:left="317" w:hanging="317"/>
              <w:contextualSpacing w:val="0"/>
              <w:rPr>
                <w:sz w:val="20"/>
                <w:szCs w:val="20"/>
                <w:lang w:eastAsia="ru-RU"/>
              </w:rPr>
            </w:pPr>
            <w:r w:rsidRPr="00D22344">
              <w:rPr>
                <w:sz w:val="20"/>
                <w:szCs w:val="20"/>
                <w:lang w:eastAsia="ru-RU"/>
              </w:rPr>
              <w:t>осуществляет контроль финансово-хозяйственной деятельности Общества, обеспечение наблюдения за соответствием совершаемых Обществом финансово-хозяйственных операций законодательству РФ и Уставу, осуществление независимой оценки информации о финансовом состоянии Общества, подтверждение достоверности данных, содержащихся в отчетах и иных финансовых документах Общества.</w:t>
            </w:r>
          </w:p>
        </w:tc>
      </w:tr>
      <w:tr w:rsidR="00DE44D6" w:rsidRPr="004761E0" w:rsidTr="00DE44D6">
        <w:tc>
          <w:tcPr>
            <w:tcW w:w="675" w:type="dxa"/>
          </w:tcPr>
          <w:p w:rsidR="00DE44D6" w:rsidRPr="00D22344" w:rsidRDefault="00DE44D6" w:rsidP="007076A7">
            <w:pPr>
              <w:pStyle w:val="a5"/>
              <w:numPr>
                <w:ilvl w:val="0"/>
                <w:numId w:val="151"/>
              </w:numPr>
              <w:contextualSpacing w:val="0"/>
              <w:rPr>
                <w:sz w:val="20"/>
                <w:szCs w:val="20"/>
                <w:lang w:eastAsia="ru-RU"/>
              </w:rPr>
            </w:pPr>
          </w:p>
        </w:tc>
        <w:tc>
          <w:tcPr>
            <w:tcW w:w="2127" w:type="dxa"/>
          </w:tcPr>
          <w:p w:rsidR="00DE44D6" w:rsidRPr="00D22344" w:rsidRDefault="00DE44D6" w:rsidP="00DE44D6">
            <w:pPr>
              <w:ind w:left="34" w:firstLine="0"/>
              <w:jc w:val="left"/>
              <w:rPr>
                <w:sz w:val="20"/>
                <w:szCs w:val="20"/>
                <w:lang w:eastAsia="ru-RU"/>
              </w:rPr>
            </w:pPr>
            <w:r w:rsidRPr="00D22344">
              <w:rPr>
                <w:sz w:val="20"/>
                <w:szCs w:val="20"/>
                <w:lang w:eastAsia="ru-RU"/>
              </w:rPr>
              <w:t>Ревизионная комиссия</w:t>
            </w:r>
          </w:p>
        </w:tc>
        <w:tc>
          <w:tcPr>
            <w:tcW w:w="6958" w:type="dxa"/>
          </w:tcPr>
          <w:p w:rsidR="00DE44D6" w:rsidRPr="00D22344" w:rsidRDefault="00DE44D6" w:rsidP="007076A7">
            <w:pPr>
              <w:pStyle w:val="a5"/>
              <w:numPr>
                <w:ilvl w:val="0"/>
                <w:numId w:val="154"/>
              </w:numPr>
              <w:ind w:left="317" w:hanging="317"/>
              <w:contextualSpacing w:val="0"/>
              <w:rPr>
                <w:sz w:val="20"/>
                <w:szCs w:val="20"/>
                <w:lang w:eastAsia="ru-RU"/>
              </w:rPr>
            </w:pPr>
            <w:r w:rsidRPr="00D22344">
              <w:rPr>
                <w:sz w:val="20"/>
                <w:szCs w:val="20"/>
                <w:lang w:eastAsia="ru-RU"/>
              </w:rPr>
              <w:t>обеспечивает процесс отбора аудитора (аудиторов) и их оценке;</w:t>
            </w:r>
          </w:p>
          <w:p w:rsidR="00DE44D6" w:rsidRPr="00D22344" w:rsidRDefault="00DE44D6" w:rsidP="007076A7">
            <w:pPr>
              <w:pStyle w:val="a5"/>
              <w:numPr>
                <w:ilvl w:val="0"/>
                <w:numId w:val="154"/>
              </w:numPr>
              <w:ind w:left="317" w:hanging="317"/>
              <w:contextualSpacing w:val="0"/>
              <w:rPr>
                <w:sz w:val="20"/>
                <w:szCs w:val="20"/>
                <w:lang w:eastAsia="ru-RU"/>
              </w:rPr>
            </w:pPr>
            <w:r w:rsidRPr="00D22344">
              <w:rPr>
                <w:sz w:val="20"/>
                <w:szCs w:val="20"/>
                <w:lang w:eastAsia="ru-RU"/>
              </w:rPr>
              <w:t>обеспечивает оценку достоверности финансовой отчетности Общества (включая заключение внешнего аудитора</w:t>
            </w:r>
            <w:r>
              <w:rPr>
                <w:sz w:val="20"/>
                <w:szCs w:val="20"/>
                <w:lang w:eastAsia="ru-RU"/>
              </w:rPr>
              <w:t>)</w:t>
            </w:r>
            <w:r w:rsidRPr="00D22344">
              <w:rPr>
                <w:sz w:val="20"/>
                <w:szCs w:val="20"/>
                <w:lang w:eastAsia="ru-RU"/>
              </w:rPr>
              <w:t>;</w:t>
            </w:r>
          </w:p>
          <w:p w:rsidR="00DE44D6" w:rsidRPr="00D22344" w:rsidRDefault="00DE44D6" w:rsidP="007076A7">
            <w:pPr>
              <w:pStyle w:val="a5"/>
              <w:numPr>
                <w:ilvl w:val="0"/>
                <w:numId w:val="154"/>
              </w:numPr>
              <w:ind w:left="317" w:hanging="317"/>
              <w:contextualSpacing w:val="0"/>
              <w:rPr>
                <w:sz w:val="20"/>
                <w:szCs w:val="20"/>
                <w:lang w:eastAsia="ru-RU"/>
              </w:rPr>
            </w:pPr>
            <w:r w:rsidRPr="00D22344">
              <w:rPr>
                <w:sz w:val="20"/>
                <w:szCs w:val="20"/>
                <w:lang w:eastAsia="ru-RU"/>
              </w:rPr>
              <w:t>оценивает заключение внешнего аудитора;</w:t>
            </w:r>
          </w:p>
          <w:p w:rsidR="00DE44D6" w:rsidRPr="00D22344" w:rsidRDefault="00DE44D6" w:rsidP="007076A7">
            <w:pPr>
              <w:pStyle w:val="a5"/>
              <w:numPr>
                <w:ilvl w:val="0"/>
                <w:numId w:val="154"/>
              </w:numPr>
              <w:ind w:left="317" w:hanging="317"/>
              <w:contextualSpacing w:val="0"/>
              <w:rPr>
                <w:sz w:val="20"/>
                <w:szCs w:val="20"/>
                <w:lang w:eastAsia="ru-RU"/>
              </w:rPr>
            </w:pPr>
            <w:r w:rsidRPr="00D22344">
              <w:rPr>
                <w:sz w:val="20"/>
                <w:szCs w:val="20"/>
                <w:lang w:eastAsia="ru-RU"/>
              </w:rPr>
              <w:t xml:space="preserve">оценивает эффективность </w:t>
            </w:r>
            <w:r>
              <w:rPr>
                <w:sz w:val="20"/>
                <w:szCs w:val="20"/>
                <w:lang w:eastAsia="ru-RU"/>
              </w:rPr>
              <w:t>СВК</w:t>
            </w:r>
            <w:r w:rsidRPr="00D22344">
              <w:rPr>
                <w:sz w:val="20"/>
                <w:szCs w:val="20"/>
                <w:lang w:eastAsia="ru-RU"/>
              </w:rPr>
              <w:t>, подготавливает предложения по ее совершенствованию.</w:t>
            </w:r>
          </w:p>
        </w:tc>
      </w:tr>
      <w:tr w:rsidR="00DE44D6" w:rsidRPr="004761E0" w:rsidTr="00DE44D6">
        <w:tc>
          <w:tcPr>
            <w:tcW w:w="675" w:type="dxa"/>
          </w:tcPr>
          <w:p w:rsidR="00DE44D6" w:rsidRPr="00D22344" w:rsidRDefault="00DE44D6" w:rsidP="007076A7">
            <w:pPr>
              <w:pStyle w:val="a5"/>
              <w:numPr>
                <w:ilvl w:val="0"/>
                <w:numId w:val="151"/>
              </w:numPr>
              <w:contextualSpacing w:val="0"/>
              <w:rPr>
                <w:sz w:val="20"/>
                <w:szCs w:val="20"/>
                <w:lang w:eastAsia="ru-RU"/>
              </w:rPr>
            </w:pPr>
          </w:p>
        </w:tc>
        <w:tc>
          <w:tcPr>
            <w:tcW w:w="2127" w:type="dxa"/>
          </w:tcPr>
          <w:p w:rsidR="00DE44D6" w:rsidRPr="00D22344" w:rsidRDefault="00DE44D6" w:rsidP="00DE44D6">
            <w:pPr>
              <w:ind w:left="34" w:firstLine="0"/>
              <w:jc w:val="left"/>
              <w:rPr>
                <w:sz w:val="20"/>
                <w:szCs w:val="20"/>
                <w:lang w:eastAsia="ru-RU"/>
              </w:rPr>
            </w:pPr>
            <w:r w:rsidRPr="00D22344">
              <w:rPr>
                <w:sz w:val="20"/>
                <w:szCs w:val="20"/>
                <w:lang w:eastAsia="ru-RU"/>
              </w:rPr>
              <w:t>Правление</w:t>
            </w:r>
          </w:p>
        </w:tc>
        <w:tc>
          <w:tcPr>
            <w:tcW w:w="6958" w:type="dxa"/>
          </w:tcPr>
          <w:p w:rsidR="00DE44D6" w:rsidRPr="00D22344" w:rsidRDefault="00DE44D6" w:rsidP="007076A7">
            <w:pPr>
              <w:pStyle w:val="a5"/>
              <w:numPr>
                <w:ilvl w:val="0"/>
                <w:numId w:val="154"/>
              </w:numPr>
              <w:ind w:left="317" w:hanging="317"/>
              <w:contextualSpacing w:val="0"/>
              <w:rPr>
                <w:sz w:val="20"/>
                <w:szCs w:val="20"/>
                <w:lang w:eastAsia="ru-RU"/>
              </w:rPr>
            </w:pPr>
            <w:r w:rsidRPr="00D22344">
              <w:rPr>
                <w:sz w:val="20"/>
                <w:szCs w:val="20"/>
                <w:lang w:eastAsia="ru-RU"/>
              </w:rPr>
              <w:t xml:space="preserve">осуществляет рассмотрение и анализ отчетов о состоянии </w:t>
            </w:r>
            <w:r>
              <w:rPr>
                <w:sz w:val="20"/>
                <w:szCs w:val="20"/>
                <w:lang w:eastAsia="ru-RU"/>
              </w:rPr>
              <w:t>СВК</w:t>
            </w:r>
            <w:r w:rsidRPr="00D22344">
              <w:rPr>
                <w:sz w:val="20"/>
                <w:szCs w:val="20"/>
                <w:lang w:eastAsia="ru-RU"/>
              </w:rPr>
              <w:t>.</w:t>
            </w:r>
          </w:p>
        </w:tc>
      </w:tr>
      <w:tr w:rsidR="00DE44D6" w:rsidRPr="004761E0" w:rsidTr="00DE44D6">
        <w:tc>
          <w:tcPr>
            <w:tcW w:w="675" w:type="dxa"/>
          </w:tcPr>
          <w:p w:rsidR="00DE44D6" w:rsidRPr="00D22344" w:rsidRDefault="00DE44D6" w:rsidP="007076A7">
            <w:pPr>
              <w:pStyle w:val="a5"/>
              <w:numPr>
                <w:ilvl w:val="0"/>
                <w:numId w:val="151"/>
              </w:numPr>
              <w:contextualSpacing w:val="0"/>
              <w:rPr>
                <w:sz w:val="20"/>
                <w:szCs w:val="20"/>
                <w:lang w:eastAsia="ru-RU"/>
              </w:rPr>
            </w:pPr>
          </w:p>
        </w:tc>
        <w:tc>
          <w:tcPr>
            <w:tcW w:w="2127" w:type="dxa"/>
          </w:tcPr>
          <w:p w:rsidR="00DE44D6" w:rsidRPr="00D22344" w:rsidRDefault="00DE44D6" w:rsidP="00DE44D6">
            <w:pPr>
              <w:ind w:left="34" w:firstLine="0"/>
              <w:jc w:val="left"/>
              <w:rPr>
                <w:sz w:val="20"/>
                <w:szCs w:val="20"/>
                <w:lang w:eastAsia="ru-RU"/>
              </w:rPr>
            </w:pPr>
            <w:r w:rsidRPr="00D22344">
              <w:rPr>
                <w:sz w:val="20"/>
                <w:szCs w:val="20"/>
                <w:lang w:eastAsia="ru-RU"/>
              </w:rPr>
              <w:t>Генеральный директор</w:t>
            </w:r>
          </w:p>
        </w:tc>
        <w:tc>
          <w:tcPr>
            <w:tcW w:w="6958" w:type="dxa"/>
          </w:tcPr>
          <w:p w:rsidR="00DE44D6" w:rsidRPr="00D22344" w:rsidRDefault="00DE44D6" w:rsidP="007076A7">
            <w:pPr>
              <w:pStyle w:val="a5"/>
              <w:numPr>
                <w:ilvl w:val="0"/>
                <w:numId w:val="154"/>
              </w:numPr>
              <w:ind w:left="317" w:hanging="317"/>
              <w:contextualSpacing w:val="0"/>
              <w:rPr>
                <w:sz w:val="20"/>
                <w:szCs w:val="20"/>
                <w:lang w:eastAsia="ru-RU"/>
              </w:rPr>
            </w:pPr>
            <w:r w:rsidRPr="00D22344">
              <w:rPr>
                <w:sz w:val="20"/>
                <w:szCs w:val="20"/>
                <w:lang w:eastAsia="ru-RU"/>
              </w:rPr>
              <w:t xml:space="preserve">обеспечивает создание и текущее функционирование эффективной и надежной </w:t>
            </w:r>
            <w:r>
              <w:rPr>
                <w:sz w:val="20"/>
                <w:szCs w:val="20"/>
                <w:lang w:eastAsia="ru-RU"/>
              </w:rPr>
              <w:t>СВК</w:t>
            </w:r>
            <w:r w:rsidRPr="00D22344">
              <w:rPr>
                <w:sz w:val="20"/>
                <w:szCs w:val="20"/>
                <w:lang w:eastAsia="ru-RU"/>
              </w:rPr>
              <w:t>;</w:t>
            </w:r>
          </w:p>
          <w:p w:rsidR="00DE44D6" w:rsidRPr="00D22344" w:rsidRDefault="00DE44D6" w:rsidP="007076A7">
            <w:pPr>
              <w:pStyle w:val="a5"/>
              <w:numPr>
                <w:ilvl w:val="0"/>
                <w:numId w:val="154"/>
              </w:numPr>
              <w:ind w:left="317" w:hanging="317"/>
              <w:contextualSpacing w:val="0"/>
              <w:rPr>
                <w:sz w:val="20"/>
                <w:szCs w:val="20"/>
                <w:lang w:eastAsia="ru-RU"/>
              </w:rPr>
            </w:pPr>
            <w:r w:rsidRPr="00D22344">
              <w:rPr>
                <w:sz w:val="20"/>
                <w:szCs w:val="20"/>
                <w:lang w:eastAsia="ru-RU"/>
              </w:rPr>
              <w:t xml:space="preserve">выносит на рассмотрение Совета директоров предложения по совершенствованию </w:t>
            </w:r>
            <w:r>
              <w:rPr>
                <w:sz w:val="20"/>
                <w:szCs w:val="20"/>
                <w:lang w:eastAsia="ru-RU"/>
              </w:rPr>
              <w:t>СВК</w:t>
            </w:r>
            <w:r w:rsidRPr="00D22344">
              <w:rPr>
                <w:sz w:val="20"/>
                <w:szCs w:val="20"/>
                <w:lang w:eastAsia="ru-RU"/>
              </w:rPr>
              <w:t>.</w:t>
            </w:r>
          </w:p>
        </w:tc>
      </w:tr>
      <w:tr w:rsidR="00DE44D6" w:rsidRPr="004761E0" w:rsidTr="00DE44D6">
        <w:tc>
          <w:tcPr>
            <w:tcW w:w="675" w:type="dxa"/>
          </w:tcPr>
          <w:p w:rsidR="00DE44D6" w:rsidRPr="00D22344" w:rsidRDefault="00DE44D6" w:rsidP="007076A7">
            <w:pPr>
              <w:pStyle w:val="a5"/>
              <w:numPr>
                <w:ilvl w:val="0"/>
                <w:numId w:val="151"/>
              </w:numPr>
              <w:contextualSpacing w:val="0"/>
              <w:rPr>
                <w:sz w:val="20"/>
                <w:szCs w:val="20"/>
                <w:lang w:eastAsia="ru-RU"/>
              </w:rPr>
            </w:pPr>
          </w:p>
        </w:tc>
        <w:tc>
          <w:tcPr>
            <w:tcW w:w="2127" w:type="dxa"/>
          </w:tcPr>
          <w:p w:rsidR="00DE44D6" w:rsidRPr="00D22344" w:rsidRDefault="00DE44D6" w:rsidP="00DE44D6">
            <w:pPr>
              <w:ind w:left="34" w:firstLine="0"/>
              <w:jc w:val="left"/>
              <w:rPr>
                <w:sz w:val="20"/>
                <w:szCs w:val="20"/>
                <w:lang w:eastAsia="ru-RU"/>
              </w:rPr>
            </w:pPr>
            <w:r w:rsidRPr="00D22344">
              <w:rPr>
                <w:sz w:val="20"/>
                <w:szCs w:val="20"/>
                <w:lang w:eastAsia="ru-RU"/>
              </w:rPr>
              <w:t>Руководители блоков и структурных подразделений</w:t>
            </w:r>
          </w:p>
        </w:tc>
        <w:tc>
          <w:tcPr>
            <w:tcW w:w="6958" w:type="dxa"/>
          </w:tcPr>
          <w:p w:rsidR="00DE44D6" w:rsidRPr="00D22344" w:rsidRDefault="00DE44D6" w:rsidP="007076A7">
            <w:pPr>
              <w:pStyle w:val="a5"/>
              <w:numPr>
                <w:ilvl w:val="0"/>
                <w:numId w:val="154"/>
              </w:numPr>
              <w:ind w:left="317" w:hanging="317"/>
              <w:contextualSpacing w:val="0"/>
              <w:rPr>
                <w:sz w:val="20"/>
                <w:szCs w:val="20"/>
                <w:lang w:eastAsia="ru-RU"/>
              </w:rPr>
            </w:pPr>
            <w:r w:rsidRPr="00D22344">
              <w:rPr>
                <w:sz w:val="20"/>
                <w:szCs w:val="20"/>
                <w:lang w:eastAsia="ru-RU"/>
              </w:rPr>
              <w:t xml:space="preserve">обеспечивают реализацию принципов </w:t>
            </w:r>
            <w:r>
              <w:rPr>
                <w:sz w:val="20"/>
                <w:szCs w:val="20"/>
                <w:lang w:eastAsia="ru-RU"/>
              </w:rPr>
              <w:t>СВК</w:t>
            </w:r>
            <w:r w:rsidRPr="00D22344">
              <w:rPr>
                <w:sz w:val="20"/>
                <w:szCs w:val="20"/>
                <w:lang w:eastAsia="ru-RU"/>
              </w:rPr>
              <w:t>;</w:t>
            </w:r>
          </w:p>
          <w:p w:rsidR="00DE44D6" w:rsidRPr="00D22344" w:rsidRDefault="00DE44D6" w:rsidP="007076A7">
            <w:pPr>
              <w:pStyle w:val="a5"/>
              <w:numPr>
                <w:ilvl w:val="0"/>
                <w:numId w:val="154"/>
              </w:numPr>
              <w:ind w:left="317" w:hanging="317"/>
              <w:contextualSpacing w:val="0"/>
              <w:rPr>
                <w:sz w:val="20"/>
                <w:szCs w:val="20"/>
                <w:lang w:eastAsia="ru-RU"/>
              </w:rPr>
            </w:pPr>
            <w:r w:rsidRPr="00D22344">
              <w:rPr>
                <w:sz w:val="20"/>
                <w:szCs w:val="20"/>
                <w:lang w:eastAsia="ru-RU"/>
              </w:rPr>
              <w:t>организуют эффективную контрольную среду курируемых бизнес-процессов (направлений деятельности);</w:t>
            </w:r>
          </w:p>
          <w:p w:rsidR="00DE44D6" w:rsidRPr="00D22344" w:rsidRDefault="00DE44D6" w:rsidP="007076A7">
            <w:pPr>
              <w:pStyle w:val="a5"/>
              <w:numPr>
                <w:ilvl w:val="0"/>
                <w:numId w:val="154"/>
              </w:numPr>
              <w:ind w:left="317" w:hanging="317"/>
              <w:contextualSpacing w:val="0"/>
              <w:rPr>
                <w:sz w:val="20"/>
                <w:szCs w:val="20"/>
                <w:lang w:eastAsia="ru-RU"/>
              </w:rPr>
            </w:pPr>
            <w:r w:rsidRPr="00D22344">
              <w:rPr>
                <w:sz w:val="20"/>
                <w:szCs w:val="20"/>
                <w:lang w:eastAsia="ru-RU"/>
              </w:rPr>
              <w:t>несут ответственность за эффективность достижения операционных целей курируемых процессов (направлений деятельности);</w:t>
            </w:r>
          </w:p>
          <w:p w:rsidR="00DE44D6" w:rsidRPr="00D22344" w:rsidRDefault="00DE44D6" w:rsidP="007076A7">
            <w:pPr>
              <w:pStyle w:val="a5"/>
              <w:numPr>
                <w:ilvl w:val="0"/>
                <w:numId w:val="154"/>
              </w:numPr>
              <w:ind w:left="317" w:hanging="317"/>
              <w:contextualSpacing w:val="0"/>
              <w:rPr>
                <w:sz w:val="20"/>
                <w:szCs w:val="20"/>
                <w:lang w:eastAsia="ru-RU"/>
              </w:rPr>
            </w:pPr>
            <w:r w:rsidRPr="00D22344">
              <w:rPr>
                <w:sz w:val="20"/>
                <w:szCs w:val="20"/>
                <w:lang w:eastAsia="ru-RU"/>
              </w:rPr>
              <w:t xml:space="preserve">обеспечивают регламентацию курируемых бизнес-процессов </w:t>
            </w:r>
            <w:r w:rsidRPr="00D22344">
              <w:rPr>
                <w:sz w:val="20"/>
                <w:szCs w:val="20"/>
                <w:lang w:eastAsia="ru-RU"/>
              </w:rPr>
              <w:lastRenderedPageBreak/>
              <w:t>(направлений деятельности) и проводят оценку курируемых процессов (направлений деятельности) на предмет необходимости их оптимизации для повышения эффективности и соответствия изменяющимся условиям внешней и внутренней среды и организуют разработку предложений по совершенствованию контрольных процедур;</w:t>
            </w:r>
          </w:p>
          <w:p w:rsidR="00DE44D6" w:rsidRPr="00D22344" w:rsidRDefault="00DE44D6" w:rsidP="007076A7">
            <w:pPr>
              <w:pStyle w:val="a5"/>
              <w:numPr>
                <w:ilvl w:val="0"/>
                <w:numId w:val="154"/>
              </w:numPr>
              <w:ind w:left="317" w:hanging="317"/>
              <w:contextualSpacing w:val="0"/>
              <w:rPr>
                <w:sz w:val="20"/>
                <w:szCs w:val="20"/>
                <w:lang w:eastAsia="ru-RU"/>
              </w:rPr>
            </w:pPr>
            <w:r w:rsidRPr="00D22344">
              <w:rPr>
                <w:sz w:val="20"/>
                <w:szCs w:val="20"/>
                <w:lang w:eastAsia="ru-RU"/>
              </w:rPr>
              <w:t>обеспечивают устранение выявленных недостатков контрольных процедур и контрольной среды процессов;</w:t>
            </w:r>
          </w:p>
          <w:p w:rsidR="00DE44D6" w:rsidRPr="00D22344" w:rsidRDefault="00DE44D6" w:rsidP="007076A7">
            <w:pPr>
              <w:pStyle w:val="a5"/>
              <w:numPr>
                <w:ilvl w:val="0"/>
                <w:numId w:val="154"/>
              </w:numPr>
              <w:ind w:left="317" w:hanging="317"/>
              <w:contextualSpacing w:val="0"/>
              <w:rPr>
                <w:sz w:val="20"/>
                <w:szCs w:val="20"/>
                <w:lang w:eastAsia="ru-RU"/>
              </w:rPr>
            </w:pPr>
            <w:r w:rsidRPr="00D22344">
              <w:rPr>
                <w:sz w:val="20"/>
                <w:szCs w:val="20"/>
                <w:lang w:eastAsia="ru-RU"/>
              </w:rPr>
              <w:t>управляют рисками курируемых процессов (направлений деятельности) и организуют исполнение контрольных процедур.</w:t>
            </w:r>
          </w:p>
        </w:tc>
      </w:tr>
      <w:tr w:rsidR="00DE44D6" w:rsidRPr="004761E0" w:rsidTr="00DE44D6">
        <w:tc>
          <w:tcPr>
            <w:tcW w:w="675" w:type="dxa"/>
          </w:tcPr>
          <w:p w:rsidR="00DE44D6" w:rsidRPr="00D22344" w:rsidRDefault="00DE44D6" w:rsidP="007076A7">
            <w:pPr>
              <w:pStyle w:val="a5"/>
              <w:numPr>
                <w:ilvl w:val="0"/>
                <w:numId w:val="151"/>
              </w:numPr>
              <w:contextualSpacing w:val="0"/>
              <w:rPr>
                <w:sz w:val="20"/>
                <w:szCs w:val="20"/>
                <w:lang w:eastAsia="ru-RU"/>
              </w:rPr>
            </w:pPr>
          </w:p>
        </w:tc>
        <w:tc>
          <w:tcPr>
            <w:tcW w:w="2127" w:type="dxa"/>
          </w:tcPr>
          <w:p w:rsidR="00DE44D6" w:rsidRPr="00D22344" w:rsidRDefault="00DE44D6" w:rsidP="00DE44D6">
            <w:pPr>
              <w:ind w:left="34" w:firstLine="0"/>
              <w:jc w:val="left"/>
              <w:rPr>
                <w:sz w:val="20"/>
                <w:szCs w:val="20"/>
                <w:lang w:eastAsia="ru-RU"/>
              </w:rPr>
            </w:pPr>
            <w:r w:rsidRPr="00D22344">
              <w:rPr>
                <w:sz w:val="20"/>
                <w:szCs w:val="20"/>
                <w:lang w:eastAsia="ru-RU"/>
              </w:rPr>
              <w:t>Работники структурных подразделений, выполняющие контрольные процедуры в силу своих должностных обязанностей</w:t>
            </w:r>
          </w:p>
        </w:tc>
        <w:tc>
          <w:tcPr>
            <w:tcW w:w="6958" w:type="dxa"/>
          </w:tcPr>
          <w:p w:rsidR="00DE44D6" w:rsidRPr="00D22344" w:rsidRDefault="00DE44D6" w:rsidP="007076A7">
            <w:pPr>
              <w:pStyle w:val="a5"/>
              <w:numPr>
                <w:ilvl w:val="0"/>
                <w:numId w:val="154"/>
              </w:numPr>
              <w:ind w:left="317" w:hanging="317"/>
              <w:contextualSpacing w:val="0"/>
              <w:rPr>
                <w:sz w:val="20"/>
                <w:szCs w:val="20"/>
                <w:lang w:eastAsia="ru-RU"/>
              </w:rPr>
            </w:pPr>
            <w:r w:rsidRPr="00D22344">
              <w:rPr>
                <w:sz w:val="20"/>
                <w:szCs w:val="20"/>
                <w:lang w:eastAsia="ru-RU"/>
              </w:rPr>
              <w:t xml:space="preserve">исполняют контрольные процедуры в рамках функционирования </w:t>
            </w:r>
            <w:r>
              <w:rPr>
                <w:sz w:val="20"/>
                <w:szCs w:val="20"/>
                <w:lang w:eastAsia="ru-RU"/>
              </w:rPr>
              <w:t>СВК</w:t>
            </w:r>
            <w:r w:rsidRPr="00D22344">
              <w:rPr>
                <w:sz w:val="20"/>
                <w:szCs w:val="20"/>
                <w:lang w:eastAsia="ru-RU"/>
              </w:rPr>
              <w:t xml:space="preserve">, в соответствии с должностными инструкциями и установленными регламентирующими документами; </w:t>
            </w:r>
          </w:p>
          <w:p w:rsidR="00DE44D6" w:rsidRPr="00D22344" w:rsidRDefault="00DE44D6" w:rsidP="007076A7">
            <w:pPr>
              <w:pStyle w:val="a5"/>
              <w:numPr>
                <w:ilvl w:val="0"/>
                <w:numId w:val="154"/>
              </w:numPr>
              <w:ind w:left="317" w:hanging="317"/>
              <w:contextualSpacing w:val="0"/>
              <w:rPr>
                <w:sz w:val="20"/>
                <w:szCs w:val="20"/>
                <w:lang w:eastAsia="ru-RU"/>
              </w:rPr>
            </w:pPr>
            <w:r w:rsidRPr="00D22344">
              <w:rPr>
                <w:sz w:val="20"/>
                <w:szCs w:val="20"/>
                <w:lang w:eastAsia="ru-RU"/>
              </w:rPr>
              <w:t xml:space="preserve">осуществляют мониторинг выполнения контрольных процедур; </w:t>
            </w:r>
          </w:p>
          <w:p w:rsidR="00DE44D6" w:rsidRPr="00D22344" w:rsidRDefault="00DE44D6" w:rsidP="007076A7">
            <w:pPr>
              <w:pStyle w:val="a5"/>
              <w:numPr>
                <w:ilvl w:val="0"/>
                <w:numId w:val="154"/>
              </w:numPr>
              <w:ind w:left="317" w:hanging="317"/>
              <w:contextualSpacing w:val="0"/>
              <w:rPr>
                <w:sz w:val="20"/>
                <w:szCs w:val="20"/>
                <w:lang w:eastAsia="ru-RU"/>
              </w:rPr>
            </w:pPr>
            <w:r w:rsidRPr="00D22344">
              <w:rPr>
                <w:sz w:val="20"/>
                <w:szCs w:val="20"/>
                <w:lang w:eastAsia="ru-RU"/>
              </w:rPr>
              <w:t xml:space="preserve">осуществляют самооценку эффективности исполняемых контрольных процедур и участвуют в совершенствовании </w:t>
            </w:r>
            <w:r>
              <w:rPr>
                <w:sz w:val="20"/>
                <w:szCs w:val="20"/>
                <w:lang w:eastAsia="ru-RU"/>
              </w:rPr>
              <w:t>СВК</w:t>
            </w:r>
            <w:r w:rsidRPr="00D22344">
              <w:rPr>
                <w:sz w:val="20"/>
                <w:szCs w:val="20"/>
                <w:lang w:eastAsia="ru-RU"/>
              </w:rPr>
              <w:t xml:space="preserve">; </w:t>
            </w:r>
          </w:p>
          <w:p w:rsidR="00DE44D6" w:rsidRPr="00D22344" w:rsidRDefault="00DE44D6" w:rsidP="007076A7">
            <w:pPr>
              <w:pStyle w:val="a5"/>
              <w:numPr>
                <w:ilvl w:val="0"/>
                <w:numId w:val="154"/>
              </w:numPr>
              <w:ind w:left="317" w:hanging="317"/>
              <w:contextualSpacing w:val="0"/>
              <w:rPr>
                <w:sz w:val="20"/>
                <w:szCs w:val="20"/>
                <w:lang w:eastAsia="ru-RU"/>
              </w:rPr>
            </w:pPr>
            <w:r w:rsidRPr="00D22344">
              <w:rPr>
                <w:sz w:val="20"/>
                <w:szCs w:val="20"/>
                <w:lang w:eastAsia="ru-RU"/>
              </w:rPr>
              <w:t xml:space="preserve">обеспечивают своевременное информирование непосредственных руководителей о случаях, когда исполнение контрольных процедур и мероприятий по управлению рисками по каким-либо причинам стало невозможным и/или требуется изменение дизайна контрольных процедур/мероприятий по управлению рисками в связи с изменением внутренних и /или внешних условий функционирования Общества, в т.ч. обеспечивают разработку и предоставление на рассмотрение руководству предложений по внедрению контрольных процедур и мероприятий по управлению рисками в соответствующих областях деятельности. </w:t>
            </w:r>
          </w:p>
        </w:tc>
      </w:tr>
      <w:tr w:rsidR="00DE44D6" w:rsidRPr="004761E0" w:rsidTr="00DE44D6">
        <w:tc>
          <w:tcPr>
            <w:tcW w:w="675" w:type="dxa"/>
          </w:tcPr>
          <w:p w:rsidR="00DE44D6" w:rsidRPr="00D22344" w:rsidRDefault="00DE44D6" w:rsidP="007076A7">
            <w:pPr>
              <w:pStyle w:val="a5"/>
              <w:numPr>
                <w:ilvl w:val="0"/>
                <w:numId w:val="151"/>
              </w:numPr>
              <w:contextualSpacing w:val="0"/>
              <w:rPr>
                <w:sz w:val="20"/>
                <w:szCs w:val="20"/>
                <w:lang w:eastAsia="ru-RU"/>
              </w:rPr>
            </w:pPr>
          </w:p>
        </w:tc>
        <w:tc>
          <w:tcPr>
            <w:tcW w:w="2127" w:type="dxa"/>
          </w:tcPr>
          <w:p w:rsidR="00DE44D6" w:rsidRPr="00D22344" w:rsidRDefault="00DE44D6" w:rsidP="00DE44D6">
            <w:pPr>
              <w:ind w:left="34" w:firstLine="0"/>
              <w:jc w:val="left"/>
              <w:rPr>
                <w:sz w:val="20"/>
                <w:szCs w:val="20"/>
                <w:lang w:eastAsia="ru-RU"/>
              </w:rPr>
            </w:pPr>
            <w:r w:rsidRPr="00D22344">
              <w:rPr>
                <w:sz w:val="20"/>
                <w:szCs w:val="20"/>
                <w:lang w:eastAsia="ru-RU"/>
              </w:rPr>
              <w:t>Управление менеджмента качества и операционной эффективности</w:t>
            </w:r>
          </w:p>
        </w:tc>
        <w:tc>
          <w:tcPr>
            <w:tcW w:w="6958" w:type="dxa"/>
          </w:tcPr>
          <w:p w:rsidR="00DE44D6" w:rsidRPr="00D22344" w:rsidRDefault="00DE44D6" w:rsidP="007076A7">
            <w:pPr>
              <w:pStyle w:val="a5"/>
              <w:numPr>
                <w:ilvl w:val="0"/>
                <w:numId w:val="154"/>
              </w:numPr>
              <w:ind w:left="317" w:hanging="317"/>
              <w:contextualSpacing w:val="0"/>
              <w:rPr>
                <w:sz w:val="20"/>
                <w:szCs w:val="20"/>
                <w:lang w:eastAsia="ru-RU"/>
              </w:rPr>
            </w:pPr>
            <w:r w:rsidRPr="00D22344">
              <w:rPr>
                <w:sz w:val="20"/>
                <w:szCs w:val="20"/>
                <w:lang w:eastAsia="ru-RU"/>
              </w:rPr>
              <w:t>осуществляет координацию всех процессов системы управления рисками в Обществе и отвечает за результативность и работоспособность системы управления рисками</w:t>
            </w:r>
          </w:p>
        </w:tc>
      </w:tr>
      <w:tr w:rsidR="00DE44D6" w:rsidRPr="004761E0" w:rsidTr="00DE44D6">
        <w:tc>
          <w:tcPr>
            <w:tcW w:w="9760" w:type="dxa"/>
            <w:gridSpan w:val="3"/>
          </w:tcPr>
          <w:p w:rsidR="00DE44D6" w:rsidRPr="004B340E" w:rsidDel="00A75346" w:rsidRDefault="00DE44D6" w:rsidP="00DE44D6">
            <w:pPr>
              <w:ind w:firstLine="0"/>
              <w:rPr>
                <w:sz w:val="20"/>
                <w:szCs w:val="20"/>
                <w:lang w:eastAsia="ru-RU"/>
              </w:rPr>
            </w:pPr>
            <w:r w:rsidRPr="004B340E">
              <w:rPr>
                <w:sz w:val="20"/>
                <w:szCs w:val="20"/>
                <w:lang w:eastAsia="ru-RU"/>
              </w:rPr>
              <w:t xml:space="preserve">Специализированные органы внутреннего контроля </w:t>
            </w:r>
          </w:p>
        </w:tc>
      </w:tr>
      <w:tr w:rsidR="00DE44D6" w:rsidRPr="004761E0" w:rsidTr="00DE44D6">
        <w:tc>
          <w:tcPr>
            <w:tcW w:w="675" w:type="dxa"/>
          </w:tcPr>
          <w:p w:rsidR="00DE44D6" w:rsidRPr="00D22344" w:rsidRDefault="00DE44D6" w:rsidP="007076A7">
            <w:pPr>
              <w:pStyle w:val="a5"/>
              <w:numPr>
                <w:ilvl w:val="0"/>
                <w:numId w:val="151"/>
              </w:numPr>
              <w:contextualSpacing w:val="0"/>
              <w:rPr>
                <w:sz w:val="20"/>
                <w:szCs w:val="20"/>
                <w:lang w:eastAsia="ru-RU"/>
              </w:rPr>
            </w:pPr>
          </w:p>
        </w:tc>
        <w:tc>
          <w:tcPr>
            <w:tcW w:w="2127" w:type="dxa"/>
          </w:tcPr>
          <w:p w:rsidR="00DE44D6" w:rsidRPr="00D22344" w:rsidDel="00A75346" w:rsidRDefault="00DE44D6" w:rsidP="00DE44D6">
            <w:pPr>
              <w:ind w:left="34" w:firstLine="0"/>
              <w:jc w:val="left"/>
              <w:rPr>
                <w:sz w:val="20"/>
                <w:szCs w:val="20"/>
                <w:lang w:eastAsia="ru-RU"/>
              </w:rPr>
            </w:pPr>
            <w:r w:rsidRPr="00D22344">
              <w:rPr>
                <w:sz w:val="20"/>
                <w:szCs w:val="20"/>
                <w:lang w:eastAsia="ru-RU"/>
              </w:rPr>
              <w:t>Департамент внутреннего аудита</w:t>
            </w:r>
          </w:p>
        </w:tc>
        <w:tc>
          <w:tcPr>
            <w:tcW w:w="6958" w:type="dxa"/>
          </w:tcPr>
          <w:p w:rsidR="00DE44D6" w:rsidRPr="004B340E" w:rsidRDefault="00DE44D6" w:rsidP="007076A7">
            <w:pPr>
              <w:pStyle w:val="a5"/>
              <w:numPr>
                <w:ilvl w:val="0"/>
                <w:numId w:val="154"/>
              </w:numPr>
              <w:ind w:left="317" w:hanging="317"/>
              <w:contextualSpacing w:val="0"/>
              <w:rPr>
                <w:sz w:val="20"/>
                <w:szCs w:val="20"/>
                <w:lang w:eastAsia="ru-RU"/>
              </w:rPr>
            </w:pPr>
            <w:r>
              <w:rPr>
                <w:sz w:val="20"/>
                <w:szCs w:val="20"/>
                <w:lang w:eastAsia="ru-RU"/>
              </w:rPr>
              <w:t>в</w:t>
            </w:r>
            <w:r w:rsidRPr="004B340E">
              <w:rPr>
                <w:sz w:val="20"/>
                <w:szCs w:val="20"/>
                <w:lang w:eastAsia="ru-RU"/>
              </w:rPr>
              <w:t>ыявление «узких мест» и крит</w:t>
            </w:r>
            <w:r>
              <w:rPr>
                <w:sz w:val="20"/>
                <w:szCs w:val="20"/>
                <w:lang w:eastAsia="ru-RU"/>
              </w:rPr>
              <w:t>ических точек бизнес-процессов;</w:t>
            </w:r>
          </w:p>
          <w:p w:rsidR="00DE44D6" w:rsidRPr="004B340E" w:rsidRDefault="00DE44D6" w:rsidP="007076A7">
            <w:pPr>
              <w:pStyle w:val="a5"/>
              <w:numPr>
                <w:ilvl w:val="0"/>
                <w:numId w:val="154"/>
              </w:numPr>
              <w:ind w:left="317" w:hanging="317"/>
              <w:contextualSpacing w:val="0"/>
              <w:rPr>
                <w:sz w:val="20"/>
                <w:szCs w:val="20"/>
                <w:lang w:eastAsia="ru-RU"/>
              </w:rPr>
            </w:pPr>
            <w:r>
              <w:rPr>
                <w:sz w:val="20"/>
                <w:szCs w:val="20"/>
                <w:lang w:eastAsia="ru-RU"/>
              </w:rPr>
              <w:t>в</w:t>
            </w:r>
            <w:r w:rsidRPr="004B340E">
              <w:rPr>
                <w:sz w:val="20"/>
                <w:szCs w:val="20"/>
                <w:lang w:eastAsia="ru-RU"/>
              </w:rPr>
              <w:t>ыявление и идентификация факторов и причин возникновения рисков</w:t>
            </w:r>
            <w:r>
              <w:rPr>
                <w:sz w:val="20"/>
                <w:szCs w:val="20"/>
                <w:lang w:eastAsia="ru-RU"/>
              </w:rPr>
              <w:t>;</w:t>
            </w:r>
          </w:p>
          <w:p w:rsidR="00DE44D6" w:rsidRPr="004B340E" w:rsidRDefault="00DE44D6" w:rsidP="007076A7">
            <w:pPr>
              <w:pStyle w:val="a5"/>
              <w:numPr>
                <w:ilvl w:val="0"/>
                <w:numId w:val="154"/>
              </w:numPr>
              <w:ind w:left="317" w:hanging="317"/>
              <w:contextualSpacing w:val="0"/>
              <w:rPr>
                <w:sz w:val="20"/>
                <w:szCs w:val="20"/>
                <w:lang w:eastAsia="ru-RU"/>
              </w:rPr>
            </w:pPr>
            <w:r>
              <w:rPr>
                <w:sz w:val="20"/>
                <w:szCs w:val="20"/>
                <w:lang w:eastAsia="ru-RU"/>
              </w:rPr>
              <w:t>ус</w:t>
            </w:r>
            <w:r w:rsidRPr="004B340E">
              <w:rPr>
                <w:sz w:val="20"/>
                <w:szCs w:val="20"/>
                <w:lang w:eastAsia="ru-RU"/>
              </w:rPr>
              <w:t>тановление соответствия порядка функционирования объектов проверки законодательству РФ и внутренним нормативным документам</w:t>
            </w:r>
            <w:r>
              <w:rPr>
                <w:sz w:val="20"/>
                <w:szCs w:val="20"/>
                <w:lang w:eastAsia="ru-RU"/>
              </w:rPr>
              <w:t>;</w:t>
            </w:r>
          </w:p>
          <w:p w:rsidR="00DE44D6" w:rsidRPr="004B340E" w:rsidRDefault="00DE44D6" w:rsidP="007076A7">
            <w:pPr>
              <w:pStyle w:val="a5"/>
              <w:numPr>
                <w:ilvl w:val="0"/>
                <w:numId w:val="154"/>
              </w:numPr>
              <w:ind w:left="317" w:hanging="317"/>
              <w:contextualSpacing w:val="0"/>
              <w:rPr>
                <w:sz w:val="20"/>
                <w:szCs w:val="20"/>
                <w:lang w:eastAsia="ru-RU"/>
              </w:rPr>
            </w:pPr>
            <w:r>
              <w:rPr>
                <w:sz w:val="20"/>
                <w:szCs w:val="20"/>
                <w:lang w:eastAsia="ru-RU"/>
              </w:rPr>
              <w:t>р</w:t>
            </w:r>
            <w:r w:rsidRPr="004B340E">
              <w:rPr>
                <w:sz w:val="20"/>
                <w:szCs w:val="20"/>
                <w:lang w:eastAsia="ru-RU"/>
              </w:rPr>
              <w:t>екомендации по корректирующим мероприятиям направленные на устранение риск</w:t>
            </w:r>
            <w:r>
              <w:rPr>
                <w:sz w:val="20"/>
                <w:szCs w:val="20"/>
                <w:lang w:eastAsia="ru-RU"/>
              </w:rPr>
              <w:t>-</w:t>
            </w:r>
            <w:r w:rsidRPr="004B340E">
              <w:rPr>
                <w:sz w:val="20"/>
                <w:szCs w:val="20"/>
                <w:lang w:eastAsia="ru-RU"/>
              </w:rPr>
              <w:t>образующих факторов, повышение СВК, устранение причин нарушений/недостатков</w:t>
            </w:r>
            <w:r>
              <w:rPr>
                <w:sz w:val="20"/>
                <w:szCs w:val="20"/>
                <w:lang w:eastAsia="ru-RU"/>
              </w:rPr>
              <w:t>;</w:t>
            </w:r>
          </w:p>
          <w:p w:rsidR="00DE44D6" w:rsidRPr="004B340E" w:rsidRDefault="00DE44D6" w:rsidP="007076A7">
            <w:pPr>
              <w:pStyle w:val="a5"/>
              <w:numPr>
                <w:ilvl w:val="0"/>
                <w:numId w:val="154"/>
              </w:numPr>
              <w:ind w:left="317" w:hanging="317"/>
              <w:contextualSpacing w:val="0"/>
              <w:rPr>
                <w:sz w:val="20"/>
                <w:szCs w:val="20"/>
                <w:lang w:eastAsia="ru-RU"/>
              </w:rPr>
            </w:pPr>
            <w:r>
              <w:rPr>
                <w:sz w:val="20"/>
                <w:szCs w:val="20"/>
                <w:lang w:eastAsia="ru-RU"/>
              </w:rPr>
              <w:t>э</w:t>
            </w:r>
            <w:r w:rsidRPr="004B340E">
              <w:rPr>
                <w:sz w:val="20"/>
                <w:szCs w:val="20"/>
                <w:lang w:eastAsia="ru-RU"/>
              </w:rPr>
              <w:t>ффективность бизнес-процессов</w:t>
            </w:r>
            <w:r>
              <w:rPr>
                <w:sz w:val="20"/>
                <w:szCs w:val="20"/>
                <w:lang w:eastAsia="ru-RU"/>
              </w:rPr>
              <w:t>;</w:t>
            </w:r>
          </w:p>
          <w:p w:rsidR="00DE44D6" w:rsidRPr="00D22344" w:rsidDel="00A75346" w:rsidRDefault="00DE44D6" w:rsidP="007076A7">
            <w:pPr>
              <w:pStyle w:val="a5"/>
              <w:numPr>
                <w:ilvl w:val="0"/>
                <w:numId w:val="154"/>
              </w:numPr>
              <w:ind w:left="317" w:hanging="317"/>
              <w:contextualSpacing w:val="0"/>
              <w:rPr>
                <w:sz w:val="20"/>
                <w:szCs w:val="20"/>
                <w:lang w:eastAsia="ru-RU"/>
              </w:rPr>
            </w:pPr>
            <w:r>
              <w:rPr>
                <w:sz w:val="20"/>
                <w:szCs w:val="20"/>
                <w:lang w:eastAsia="ru-RU"/>
              </w:rPr>
              <w:t>м</w:t>
            </w:r>
            <w:r w:rsidRPr="004B340E">
              <w:rPr>
                <w:sz w:val="20"/>
                <w:szCs w:val="20"/>
                <w:lang w:eastAsia="ru-RU"/>
              </w:rPr>
              <w:t>ониторинг исполнения рекомендаций и оценка эффективности их реализации.</w:t>
            </w:r>
          </w:p>
        </w:tc>
      </w:tr>
      <w:tr w:rsidR="00DE44D6" w:rsidRPr="004761E0" w:rsidTr="00DE44D6">
        <w:tc>
          <w:tcPr>
            <w:tcW w:w="675" w:type="dxa"/>
            <w:shd w:val="clear" w:color="auto" w:fill="auto"/>
          </w:tcPr>
          <w:p w:rsidR="00DE44D6" w:rsidRPr="00D22344" w:rsidRDefault="00DE44D6" w:rsidP="007076A7">
            <w:pPr>
              <w:pStyle w:val="a5"/>
              <w:numPr>
                <w:ilvl w:val="0"/>
                <w:numId w:val="151"/>
              </w:numPr>
              <w:contextualSpacing w:val="0"/>
              <w:rPr>
                <w:sz w:val="20"/>
                <w:szCs w:val="20"/>
                <w:lang w:eastAsia="ru-RU"/>
              </w:rPr>
            </w:pPr>
          </w:p>
        </w:tc>
        <w:tc>
          <w:tcPr>
            <w:tcW w:w="2127" w:type="dxa"/>
            <w:shd w:val="clear" w:color="auto" w:fill="auto"/>
          </w:tcPr>
          <w:p w:rsidR="00DE44D6" w:rsidRPr="00DE44D6" w:rsidRDefault="00DE44D6" w:rsidP="00DE44D6">
            <w:pPr>
              <w:ind w:left="34" w:firstLine="0"/>
              <w:jc w:val="left"/>
              <w:rPr>
                <w:sz w:val="20"/>
                <w:szCs w:val="20"/>
                <w:lang w:eastAsia="ru-RU"/>
              </w:rPr>
            </w:pPr>
            <w:r w:rsidRPr="00DE44D6">
              <w:rPr>
                <w:sz w:val="20"/>
                <w:szCs w:val="20"/>
                <w:lang w:eastAsia="ru-RU"/>
              </w:rPr>
              <w:t>Департамент комплаенс контроля, антикоррупционных мероприятий и контроллинга</w:t>
            </w:r>
          </w:p>
        </w:tc>
        <w:tc>
          <w:tcPr>
            <w:tcW w:w="6958" w:type="dxa"/>
            <w:shd w:val="clear" w:color="auto" w:fill="auto"/>
          </w:tcPr>
          <w:p w:rsidR="00DE44D6" w:rsidRPr="00DE44D6" w:rsidRDefault="00DE44D6" w:rsidP="007076A7">
            <w:pPr>
              <w:pStyle w:val="a5"/>
              <w:numPr>
                <w:ilvl w:val="0"/>
                <w:numId w:val="154"/>
              </w:numPr>
              <w:ind w:left="317" w:hanging="317"/>
              <w:contextualSpacing w:val="0"/>
              <w:rPr>
                <w:sz w:val="20"/>
                <w:szCs w:val="20"/>
                <w:lang w:eastAsia="ru-RU"/>
              </w:rPr>
            </w:pPr>
            <w:r w:rsidRPr="00DE44D6">
              <w:rPr>
                <w:bCs/>
                <w:sz w:val="20"/>
                <w:szCs w:val="20"/>
                <w:lang w:eastAsia="ru-RU"/>
              </w:rPr>
              <w:t xml:space="preserve">построение и регулирование комплаенс-системы общества </w:t>
            </w:r>
            <w:r w:rsidRPr="00DE44D6">
              <w:rPr>
                <w:sz w:val="20"/>
                <w:szCs w:val="20"/>
                <w:lang w:eastAsia="ru-RU"/>
              </w:rPr>
              <w:t>путем эффективного управления коррупционными и корпоративными комплаенс-рисками;</w:t>
            </w:r>
          </w:p>
          <w:p w:rsidR="00DE44D6" w:rsidRPr="00DE44D6" w:rsidRDefault="00DE44D6" w:rsidP="007076A7">
            <w:pPr>
              <w:pStyle w:val="a5"/>
              <w:numPr>
                <w:ilvl w:val="0"/>
                <w:numId w:val="154"/>
              </w:numPr>
              <w:ind w:left="317" w:hanging="317"/>
              <w:contextualSpacing w:val="0"/>
              <w:rPr>
                <w:sz w:val="20"/>
                <w:szCs w:val="20"/>
                <w:lang w:eastAsia="ru-RU"/>
              </w:rPr>
            </w:pPr>
            <w:r w:rsidRPr="00DE44D6">
              <w:rPr>
                <w:sz w:val="20"/>
                <w:szCs w:val="20"/>
                <w:lang w:eastAsia="ru-RU"/>
              </w:rPr>
              <w:t>обеспечение процедуры раскрытия информации о собственниках контрагентов (до конечного бенефициара) и недопущения конфликта интересов;</w:t>
            </w:r>
          </w:p>
          <w:p w:rsidR="00DE44D6" w:rsidRPr="00DE44D6" w:rsidRDefault="00DE44D6" w:rsidP="007076A7">
            <w:pPr>
              <w:pStyle w:val="a5"/>
              <w:numPr>
                <w:ilvl w:val="0"/>
                <w:numId w:val="154"/>
              </w:numPr>
              <w:ind w:left="317" w:hanging="317"/>
              <w:contextualSpacing w:val="0"/>
              <w:rPr>
                <w:sz w:val="20"/>
                <w:szCs w:val="20"/>
                <w:lang w:eastAsia="ru-RU"/>
              </w:rPr>
            </w:pPr>
            <w:r w:rsidRPr="00DE44D6">
              <w:rPr>
                <w:sz w:val="20"/>
                <w:szCs w:val="20"/>
                <w:lang w:eastAsia="ru-RU"/>
              </w:rPr>
              <w:t>координация деятельности по соблюдению норм корпоративной этики.</w:t>
            </w:r>
          </w:p>
        </w:tc>
      </w:tr>
    </w:tbl>
    <w:p w:rsidR="00DE44D6" w:rsidRPr="004761E0" w:rsidRDefault="00DE44D6" w:rsidP="008E11BC">
      <w:pPr>
        <w:spacing w:before="120" w:after="120"/>
        <w:ind w:firstLine="567"/>
        <w:rPr>
          <w:b/>
          <w:sz w:val="26"/>
          <w:szCs w:val="26"/>
        </w:rPr>
      </w:pPr>
      <w:r w:rsidRPr="004761E0">
        <w:rPr>
          <w:b/>
          <w:sz w:val="26"/>
          <w:szCs w:val="26"/>
        </w:rPr>
        <w:t xml:space="preserve">Совершенствование </w:t>
      </w:r>
      <w:r>
        <w:rPr>
          <w:b/>
          <w:sz w:val="26"/>
          <w:szCs w:val="26"/>
        </w:rPr>
        <w:t>СВК</w:t>
      </w:r>
    </w:p>
    <w:p w:rsidR="00DE44D6" w:rsidRPr="004761E0" w:rsidRDefault="00DE44D6" w:rsidP="00DE44D6">
      <w:pPr>
        <w:ind w:firstLine="567"/>
        <w:rPr>
          <w:sz w:val="26"/>
          <w:szCs w:val="26"/>
        </w:rPr>
      </w:pPr>
      <w:r w:rsidRPr="004761E0">
        <w:rPr>
          <w:sz w:val="26"/>
          <w:szCs w:val="26"/>
        </w:rPr>
        <w:t xml:space="preserve">Совершенствование </w:t>
      </w:r>
      <w:r>
        <w:rPr>
          <w:sz w:val="26"/>
          <w:szCs w:val="26"/>
        </w:rPr>
        <w:t>СВК</w:t>
      </w:r>
      <w:r w:rsidRPr="004761E0">
        <w:rPr>
          <w:sz w:val="26"/>
          <w:szCs w:val="26"/>
        </w:rPr>
        <w:t xml:space="preserve"> осуществляется на всех уровнях управления по следующим направлениям контроля: </w:t>
      </w:r>
    </w:p>
    <w:p w:rsidR="00DE44D6" w:rsidRPr="004761E0" w:rsidRDefault="00DE44D6" w:rsidP="007076A7">
      <w:pPr>
        <w:pStyle w:val="a5"/>
        <w:numPr>
          <w:ilvl w:val="0"/>
          <w:numId w:val="152"/>
        </w:numPr>
        <w:ind w:left="1134" w:hanging="567"/>
        <w:rPr>
          <w:sz w:val="26"/>
          <w:szCs w:val="26"/>
        </w:rPr>
      </w:pPr>
      <w:r w:rsidRPr="004761E0">
        <w:rPr>
          <w:sz w:val="26"/>
          <w:szCs w:val="26"/>
        </w:rPr>
        <w:t xml:space="preserve">Превентивный (предупредительный) контроль, в рамках которого осуществляются: </w:t>
      </w:r>
    </w:p>
    <w:p w:rsidR="00DE44D6" w:rsidRPr="004761E0" w:rsidRDefault="00DE44D6" w:rsidP="007076A7">
      <w:pPr>
        <w:pStyle w:val="a5"/>
        <w:numPr>
          <w:ilvl w:val="0"/>
          <w:numId w:val="153"/>
        </w:numPr>
        <w:ind w:left="1701" w:hanging="567"/>
        <w:rPr>
          <w:sz w:val="26"/>
          <w:szCs w:val="26"/>
        </w:rPr>
      </w:pPr>
      <w:r w:rsidRPr="004761E0">
        <w:rPr>
          <w:sz w:val="26"/>
          <w:szCs w:val="26"/>
        </w:rPr>
        <w:t>построение и оптимизация процессов (направлений деятельности) с выстраиванием минимально необходимых контрольных процедур, разработанных с учетом затрат на их реализацию и эффекта от их внедрения;</w:t>
      </w:r>
    </w:p>
    <w:p w:rsidR="00DE44D6" w:rsidRPr="004761E0" w:rsidRDefault="00DE44D6" w:rsidP="007076A7">
      <w:pPr>
        <w:pStyle w:val="a5"/>
        <w:numPr>
          <w:ilvl w:val="0"/>
          <w:numId w:val="153"/>
        </w:numPr>
        <w:ind w:left="1701" w:hanging="567"/>
        <w:rPr>
          <w:sz w:val="26"/>
          <w:szCs w:val="26"/>
        </w:rPr>
      </w:pPr>
      <w:r w:rsidRPr="004761E0">
        <w:rPr>
          <w:sz w:val="26"/>
          <w:szCs w:val="26"/>
        </w:rPr>
        <w:lastRenderedPageBreak/>
        <w:t>формализация (регламентация) деятельности</w:t>
      </w:r>
      <w:r>
        <w:rPr>
          <w:sz w:val="26"/>
          <w:szCs w:val="26"/>
        </w:rPr>
        <w:t>:</w:t>
      </w:r>
      <w:r w:rsidRPr="004761E0">
        <w:rPr>
          <w:sz w:val="26"/>
          <w:szCs w:val="26"/>
        </w:rPr>
        <w:t xml:space="preserve"> процессы описываются во внутренних документах, участники, их полномочия и ответственность закрепляются документально, идентифицируются контрольные точки и мероприятия; </w:t>
      </w:r>
    </w:p>
    <w:p w:rsidR="00DE44D6" w:rsidRPr="004761E0" w:rsidRDefault="00DE44D6" w:rsidP="007076A7">
      <w:pPr>
        <w:pStyle w:val="a5"/>
        <w:numPr>
          <w:ilvl w:val="0"/>
          <w:numId w:val="153"/>
        </w:numPr>
        <w:ind w:left="1701" w:hanging="567"/>
        <w:rPr>
          <w:sz w:val="26"/>
          <w:szCs w:val="26"/>
        </w:rPr>
      </w:pPr>
      <w:r w:rsidRPr="004761E0">
        <w:rPr>
          <w:sz w:val="26"/>
          <w:szCs w:val="26"/>
        </w:rPr>
        <w:t>мероприятия по управлению рисками</w:t>
      </w:r>
      <w:r>
        <w:rPr>
          <w:sz w:val="26"/>
          <w:szCs w:val="26"/>
        </w:rPr>
        <w:t xml:space="preserve"> (</w:t>
      </w:r>
      <w:r w:rsidRPr="004761E0">
        <w:rPr>
          <w:sz w:val="26"/>
          <w:szCs w:val="26"/>
        </w:rPr>
        <w:t>мониторинг, идентификация и оценка рисков, разработка и выполнение мероприятий по управлению рисками</w:t>
      </w:r>
      <w:r>
        <w:rPr>
          <w:sz w:val="26"/>
          <w:szCs w:val="26"/>
        </w:rPr>
        <w:t>)</w:t>
      </w:r>
      <w:r w:rsidRPr="004761E0">
        <w:rPr>
          <w:sz w:val="26"/>
          <w:szCs w:val="26"/>
        </w:rPr>
        <w:t xml:space="preserve">. </w:t>
      </w:r>
    </w:p>
    <w:p w:rsidR="00DE44D6" w:rsidRPr="004761E0" w:rsidRDefault="00DE44D6" w:rsidP="007076A7">
      <w:pPr>
        <w:pStyle w:val="a5"/>
        <w:numPr>
          <w:ilvl w:val="0"/>
          <w:numId w:val="152"/>
        </w:numPr>
        <w:ind w:left="1134" w:hanging="567"/>
        <w:rPr>
          <w:sz w:val="26"/>
          <w:szCs w:val="26"/>
        </w:rPr>
      </w:pPr>
      <w:r w:rsidRPr="004761E0">
        <w:rPr>
          <w:sz w:val="26"/>
          <w:szCs w:val="26"/>
        </w:rPr>
        <w:t xml:space="preserve">Текущий контроль, в рамках которого осуществляются: </w:t>
      </w:r>
    </w:p>
    <w:p w:rsidR="00DE44D6" w:rsidRPr="004761E0" w:rsidRDefault="00DE44D6" w:rsidP="007076A7">
      <w:pPr>
        <w:pStyle w:val="a5"/>
        <w:numPr>
          <w:ilvl w:val="0"/>
          <w:numId w:val="153"/>
        </w:numPr>
        <w:ind w:left="1701" w:hanging="567"/>
        <w:rPr>
          <w:sz w:val="26"/>
          <w:szCs w:val="26"/>
        </w:rPr>
      </w:pPr>
      <w:r w:rsidRPr="004761E0">
        <w:rPr>
          <w:sz w:val="26"/>
          <w:szCs w:val="26"/>
        </w:rPr>
        <w:t xml:space="preserve">выполнение контрольных процедур владельцами бизнес-процессов (руководителями подразделений) и работниками в рамках выполнения своих основных функциональных обязанностей; </w:t>
      </w:r>
    </w:p>
    <w:p w:rsidR="00DE44D6" w:rsidRPr="004761E0" w:rsidRDefault="00DE44D6" w:rsidP="007076A7">
      <w:pPr>
        <w:pStyle w:val="a5"/>
        <w:numPr>
          <w:ilvl w:val="0"/>
          <w:numId w:val="153"/>
        </w:numPr>
        <w:ind w:left="1701" w:hanging="567"/>
        <w:rPr>
          <w:sz w:val="26"/>
          <w:szCs w:val="26"/>
        </w:rPr>
      </w:pPr>
      <w:r w:rsidRPr="004761E0">
        <w:rPr>
          <w:sz w:val="26"/>
          <w:szCs w:val="26"/>
        </w:rPr>
        <w:t xml:space="preserve">контроль достижения количественных и качественных показателей деятельности и отдельных направлений деятельности (мониторинг эффективности текущих процессов). По результатам мониторинга осуществляются корректирующие действия. </w:t>
      </w:r>
    </w:p>
    <w:p w:rsidR="00DE44D6" w:rsidRPr="004761E0" w:rsidRDefault="00DE44D6" w:rsidP="007076A7">
      <w:pPr>
        <w:pStyle w:val="a5"/>
        <w:numPr>
          <w:ilvl w:val="0"/>
          <w:numId w:val="152"/>
        </w:numPr>
        <w:ind w:left="1134" w:hanging="567"/>
        <w:rPr>
          <w:sz w:val="26"/>
          <w:szCs w:val="26"/>
        </w:rPr>
      </w:pPr>
      <w:r w:rsidRPr="004761E0">
        <w:rPr>
          <w:sz w:val="26"/>
          <w:szCs w:val="26"/>
        </w:rPr>
        <w:t xml:space="preserve">Последующий контроль, в рамках которого проводятся: </w:t>
      </w:r>
    </w:p>
    <w:p w:rsidR="00DE44D6" w:rsidRPr="004761E0" w:rsidRDefault="00DE44D6" w:rsidP="007076A7">
      <w:pPr>
        <w:pStyle w:val="a5"/>
        <w:numPr>
          <w:ilvl w:val="0"/>
          <w:numId w:val="153"/>
        </w:numPr>
        <w:ind w:left="1701" w:hanging="567"/>
        <w:rPr>
          <w:sz w:val="26"/>
          <w:szCs w:val="26"/>
        </w:rPr>
      </w:pPr>
      <w:r w:rsidRPr="004761E0">
        <w:rPr>
          <w:sz w:val="26"/>
          <w:szCs w:val="26"/>
        </w:rPr>
        <w:t xml:space="preserve">внутренний аудит путем проведения контрольных мероприятий структурных подразделений, процессов, проектов и направлений деятельности, оценки надежности и эффективности функционирования системы внутреннего контроля участия в специальных (служебных) расследованиях по фактам злоупотреблений (мошенничества), причинения Обществу ущерба, нецелевого, неэффективного использования ресурсов; </w:t>
      </w:r>
    </w:p>
    <w:p w:rsidR="00DE44D6" w:rsidRPr="004761E0" w:rsidRDefault="00DE44D6" w:rsidP="007076A7">
      <w:pPr>
        <w:pStyle w:val="a5"/>
        <w:numPr>
          <w:ilvl w:val="0"/>
          <w:numId w:val="153"/>
        </w:numPr>
        <w:ind w:left="1701" w:hanging="567"/>
        <w:rPr>
          <w:sz w:val="26"/>
          <w:szCs w:val="26"/>
        </w:rPr>
      </w:pPr>
      <w:r w:rsidRPr="004761E0">
        <w:rPr>
          <w:sz w:val="26"/>
          <w:szCs w:val="26"/>
        </w:rPr>
        <w:t xml:space="preserve">внешний аудит (осуществляется внешним аудитором) путем проведения аудита годовой отчетности по РСБУ и оценки состояния системы внутреннего контроля; </w:t>
      </w:r>
    </w:p>
    <w:p w:rsidR="00DE44D6" w:rsidRDefault="00DE44D6" w:rsidP="007076A7">
      <w:pPr>
        <w:pStyle w:val="a5"/>
        <w:numPr>
          <w:ilvl w:val="0"/>
          <w:numId w:val="153"/>
        </w:numPr>
        <w:ind w:left="1701" w:hanging="567"/>
        <w:rPr>
          <w:sz w:val="26"/>
          <w:szCs w:val="26"/>
        </w:rPr>
      </w:pPr>
      <w:r w:rsidRPr="004761E0">
        <w:rPr>
          <w:sz w:val="26"/>
          <w:szCs w:val="26"/>
        </w:rPr>
        <w:t xml:space="preserve">ревизионные проверки осуществляются Ревизионной комиссией путем контроля финансово-хозяйственной деятельности Общества на предмет соответствия законодательству РФ, Уставу и внутренним документам Общества. </w:t>
      </w:r>
    </w:p>
    <w:p w:rsidR="003F4436" w:rsidRPr="004761E0" w:rsidRDefault="003F4436" w:rsidP="003F4436">
      <w:pPr>
        <w:spacing w:before="120" w:after="120"/>
        <w:ind w:firstLine="567"/>
        <w:rPr>
          <w:b/>
          <w:sz w:val="26"/>
          <w:szCs w:val="26"/>
        </w:rPr>
      </w:pPr>
      <w:r w:rsidRPr="004761E0">
        <w:rPr>
          <w:b/>
          <w:sz w:val="26"/>
          <w:szCs w:val="26"/>
        </w:rPr>
        <w:t>Мероприятия, выполненны</w:t>
      </w:r>
      <w:r w:rsidR="0001645A" w:rsidRPr="004761E0">
        <w:rPr>
          <w:b/>
          <w:sz w:val="26"/>
          <w:szCs w:val="26"/>
        </w:rPr>
        <w:t>е</w:t>
      </w:r>
      <w:r w:rsidRPr="004761E0">
        <w:rPr>
          <w:b/>
          <w:sz w:val="26"/>
          <w:szCs w:val="26"/>
        </w:rPr>
        <w:t xml:space="preserve"> в 2013 году, в целях совершенствования системы управления рисками</w:t>
      </w:r>
    </w:p>
    <w:p w:rsidR="003F4436" w:rsidRPr="004761E0" w:rsidRDefault="00AE3E25" w:rsidP="003F4436">
      <w:pPr>
        <w:ind w:right="-1" w:firstLine="567"/>
        <w:rPr>
          <w:sz w:val="26"/>
          <w:szCs w:val="26"/>
        </w:rPr>
      </w:pPr>
      <w:r w:rsidRPr="004761E0">
        <w:rPr>
          <w:sz w:val="26"/>
          <w:szCs w:val="26"/>
        </w:rPr>
        <w:t>В 2013 году</w:t>
      </w:r>
      <w:r w:rsidR="003F4436" w:rsidRPr="004761E0">
        <w:rPr>
          <w:sz w:val="26"/>
          <w:szCs w:val="26"/>
        </w:rPr>
        <w:t xml:space="preserve"> завершена разработка тестовой Модели оценки рисков на основе формата Бизнес-плана на 2013-2017 гг. Применение динамической Модели позволит получить достоверную оценку основных КПЭ Общества под риском и выделить наиболее значимые факторы риска, влияющие на достижение установленных КПЭ. Кроме того, подготовлены проекты нормативной документации по управлению рисками, направленные на решение следующих задач:</w:t>
      </w:r>
    </w:p>
    <w:p w:rsidR="003F4436" w:rsidRPr="004761E0" w:rsidRDefault="003F4436" w:rsidP="007076A7">
      <w:pPr>
        <w:pStyle w:val="a5"/>
        <w:numPr>
          <w:ilvl w:val="0"/>
          <w:numId w:val="148"/>
        </w:numPr>
        <w:spacing w:after="200"/>
        <w:ind w:left="1134" w:right="-1" w:hanging="567"/>
        <w:rPr>
          <w:sz w:val="26"/>
          <w:szCs w:val="26"/>
        </w:rPr>
      </w:pPr>
      <w:r w:rsidRPr="004761E0">
        <w:rPr>
          <w:sz w:val="26"/>
          <w:szCs w:val="26"/>
        </w:rPr>
        <w:t>повышение роли системы управления рисками как инструмента достижения целей компании в условиях неопределённости;</w:t>
      </w:r>
    </w:p>
    <w:p w:rsidR="003F4436" w:rsidRPr="004761E0" w:rsidRDefault="003F4436" w:rsidP="007076A7">
      <w:pPr>
        <w:pStyle w:val="a5"/>
        <w:numPr>
          <w:ilvl w:val="0"/>
          <w:numId w:val="148"/>
        </w:numPr>
        <w:spacing w:after="200"/>
        <w:ind w:left="1134" w:right="-1" w:hanging="567"/>
        <w:rPr>
          <w:sz w:val="26"/>
          <w:szCs w:val="26"/>
        </w:rPr>
      </w:pPr>
      <w:r w:rsidRPr="004761E0">
        <w:rPr>
          <w:sz w:val="26"/>
          <w:szCs w:val="26"/>
        </w:rPr>
        <w:t>повышение заинтересованности менеджмента Компании в поддержании и развитии системы управления рисками;</w:t>
      </w:r>
    </w:p>
    <w:p w:rsidR="003F4436" w:rsidRPr="004761E0" w:rsidRDefault="003F4436" w:rsidP="007076A7">
      <w:pPr>
        <w:pStyle w:val="a5"/>
        <w:numPr>
          <w:ilvl w:val="0"/>
          <w:numId w:val="148"/>
        </w:numPr>
        <w:spacing w:after="200"/>
        <w:ind w:left="1134" w:right="-1" w:hanging="567"/>
        <w:rPr>
          <w:sz w:val="26"/>
          <w:szCs w:val="26"/>
        </w:rPr>
      </w:pPr>
      <w:r w:rsidRPr="004761E0">
        <w:rPr>
          <w:sz w:val="26"/>
          <w:szCs w:val="26"/>
        </w:rPr>
        <w:t>повышение исполнительской дисциплины в части разработки и реализации мероприятий по управлению рисками.</w:t>
      </w:r>
    </w:p>
    <w:p w:rsidR="00235A27" w:rsidRPr="004761E0" w:rsidRDefault="00EA456F" w:rsidP="00235A27">
      <w:pPr>
        <w:ind w:firstLine="0"/>
        <w:rPr>
          <w:lang w:eastAsia="ru-RU"/>
        </w:rPr>
      </w:pPr>
      <w:r w:rsidRPr="00EA456F">
        <w:rPr>
          <w:noProof/>
          <w:sz w:val="26"/>
          <w:szCs w:val="26"/>
          <w:lang w:eastAsia="ru-RU"/>
        </w:rPr>
        <w:lastRenderedPageBreak/>
        <w:pict>
          <v:shape id="Text Box 30" o:spid="_x0000_s1155" type="#_x0000_t202" style="position:absolute;left:0;text-align:left;margin-left:259.65pt;margin-top:107.75pt;width:65.5pt;height:127pt;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" filled="f" stroked="f">
            <v:fill opacity="0"/>
            <v:textbox style="mso-next-textbox:#Text Box 30">
              <w:txbxContent>
                <w:p w:rsidR="00EC58E0" w:rsidRDefault="00EC58E0" w:rsidP="001B2F8D">
                  <w:pPr>
                    <w:ind w:firstLine="0"/>
                    <w:rPr>
                      <w:sz w:val="20"/>
                    </w:rPr>
                  </w:pPr>
                  <w:r w:rsidRPr="001B2F8D">
                    <w:rPr>
                      <w:sz w:val="20"/>
                    </w:rPr>
                    <w:t>Высокая</w:t>
                  </w:r>
                </w:p>
                <w:p w:rsidR="00EC58E0" w:rsidRDefault="00EC58E0" w:rsidP="001B2F8D">
                  <w:pPr>
                    <w:ind w:firstLine="0"/>
                    <w:rPr>
                      <w:sz w:val="20"/>
                    </w:rPr>
                  </w:pPr>
                </w:p>
                <w:p w:rsidR="00EC58E0" w:rsidRDefault="00EC58E0" w:rsidP="001B2F8D">
                  <w:pPr>
                    <w:ind w:firstLine="0"/>
                    <w:rPr>
                      <w:sz w:val="20"/>
                    </w:rPr>
                  </w:pPr>
                </w:p>
                <w:p w:rsidR="00EC58E0" w:rsidRDefault="00EC58E0" w:rsidP="001B2F8D">
                  <w:pPr>
                    <w:ind w:firstLine="0"/>
                    <w:rPr>
                      <w:sz w:val="20"/>
                    </w:rPr>
                  </w:pPr>
                </w:p>
                <w:p w:rsidR="00EC58E0" w:rsidRDefault="00EC58E0" w:rsidP="001B2F8D">
                  <w:pPr>
                    <w:ind w:firstLine="0"/>
                    <w:rPr>
                      <w:sz w:val="20"/>
                    </w:rPr>
                  </w:pPr>
                </w:p>
                <w:p w:rsidR="00EC58E0" w:rsidRDefault="00EC58E0" w:rsidP="001B2F8D">
                  <w:pPr>
                    <w:ind w:firstLine="0"/>
                    <w:rPr>
                      <w:sz w:val="20"/>
                    </w:rPr>
                  </w:pPr>
                  <w:r>
                    <w:rPr>
                      <w:sz w:val="20"/>
                    </w:rPr>
                    <w:t>Средняя</w:t>
                  </w:r>
                </w:p>
                <w:p w:rsidR="00EC58E0" w:rsidRDefault="00EC58E0" w:rsidP="001B2F8D">
                  <w:pPr>
                    <w:ind w:firstLine="0"/>
                    <w:rPr>
                      <w:sz w:val="20"/>
                    </w:rPr>
                  </w:pPr>
                </w:p>
                <w:p w:rsidR="00EC58E0" w:rsidRDefault="00EC58E0" w:rsidP="001B2F8D">
                  <w:pPr>
                    <w:ind w:firstLine="0"/>
                    <w:rPr>
                      <w:sz w:val="20"/>
                    </w:rPr>
                  </w:pPr>
                </w:p>
                <w:p w:rsidR="00EC58E0" w:rsidRDefault="00EC58E0" w:rsidP="001B2F8D">
                  <w:pPr>
                    <w:ind w:firstLine="0"/>
                    <w:rPr>
                      <w:sz w:val="20"/>
                    </w:rPr>
                  </w:pPr>
                </w:p>
                <w:p w:rsidR="00EC58E0" w:rsidRPr="001B2F8D" w:rsidRDefault="00EC58E0" w:rsidP="001B2F8D">
                  <w:pPr>
                    <w:ind w:firstLine="0"/>
                    <w:rPr>
                      <w:sz w:val="20"/>
                    </w:rPr>
                  </w:pPr>
                  <w:r>
                    <w:rPr>
                      <w:sz w:val="20"/>
                    </w:rPr>
                    <w:t>Низкая</w:t>
                  </w:r>
                </w:p>
              </w:txbxContent>
            </v:textbox>
          </v:shape>
        </w:pict>
      </w:r>
      <w:r w:rsidR="00453705" w:rsidRPr="004761E0">
        <w:rPr>
          <w:noProof/>
          <w:lang w:eastAsia="ru-RU"/>
        </w:rPr>
        <w:drawing>
          <wp:inline distT="0" distB="0" distL="0" distR="0">
            <wp:extent cx="6525596" cy="7082287"/>
            <wp:effectExtent l="19050" t="0" r="27604" b="4313"/>
            <wp:docPr id="234" name="Диаграмма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235A27" w:rsidRPr="004761E0" w:rsidRDefault="00235A27" w:rsidP="00202C1B">
      <w:pPr>
        <w:rPr>
          <w:lang w:eastAsia="ru-RU"/>
        </w:rPr>
      </w:pPr>
    </w:p>
    <w:p w:rsidR="00202C1B" w:rsidRPr="004761E0" w:rsidRDefault="00202C1B" w:rsidP="00202C1B">
      <w:pPr>
        <w:ind w:firstLine="0"/>
        <w:jc w:val="center"/>
        <w:rPr>
          <w:rFonts w:ascii="Calibri" w:eastAsia="Times New Roman" w:hAnsi="Calibri" w:cs="Calibri"/>
          <w:b/>
          <w:bCs/>
          <w:color w:val="000000"/>
          <w:sz w:val="22"/>
          <w:szCs w:val="22"/>
          <w:lang w:eastAsia="ru-RU"/>
        </w:rPr>
        <w:sectPr w:rsidR="00202C1B" w:rsidRPr="004761E0" w:rsidSect="00A232BD">
          <w:pgSz w:w="11907" w:h="16840" w:code="9"/>
          <w:pgMar w:top="1418" w:right="851" w:bottom="720" w:left="1134" w:header="720" w:footer="720" w:gutter="0"/>
          <w:cols w:space="720"/>
          <w:docGrid w:linePitch="326"/>
        </w:sectPr>
      </w:pPr>
    </w:p>
    <w:p w:rsidR="00202C1B" w:rsidRPr="00743B24" w:rsidRDefault="00235A27" w:rsidP="00743B24">
      <w:pPr>
        <w:spacing w:before="120" w:after="120"/>
        <w:ind w:firstLine="567"/>
        <w:rPr>
          <w:b/>
          <w:sz w:val="26"/>
          <w:szCs w:val="26"/>
          <w:lang w:eastAsia="ru-RU"/>
        </w:rPr>
      </w:pPr>
      <w:r w:rsidRPr="00743B24">
        <w:rPr>
          <w:b/>
          <w:sz w:val="26"/>
          <w:szCs w:val="26"/>
          <w:lang w:eastAsia="ru-RU"/>
        </w:rPr>
        <w:lastRenderedPageBreak/>
        <w:t>Основные риски в деятельности Общества</w:t>
      </w:r>
    </w:p>
    <w:tbl>
      <w:tblPr>
        <w:tblW w:w="15749" w:type="dxa"/>
        <w:tblInd w:w="93" w:type="dxa"/>
        <w:tblLayout w:type="fixed"/>
        <w:tblLook w:val="04A0"/>
      </w:tblPr>
      <w:tblGrid>
        <w:gridCol w:w="582"/>
        <w:gridCol w:w="2268"/>
        <w:gridCol w:w="2960"/>
        <w:gridCol w:w="6396"/>
        <w:gridCol w:w="1701"/>
        <w:gridCol w:w="1842"/>
      </w:tblGrid>
      <w:tr w:rsidR="0062609E" w:rsidRPr="004761E0" w:rsidTr="0062609E">
        <w:trPr>
          <w:cantSplit/>
        </w:trPr>
        <w:tc>
          <w:tcPr>
            <w:tcW w:w="582"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235A27" w:rsidRPr="004761E0" w:rsidRDefault="00235A27" w:rsidP="0062609E">
            <w:pPr>
              <w:ind w:firstLine="0"/>
              <w:jc w:val="left"/>
              <w:rPr>
                <w:rFonts w:eastAsia="Times New Roman"/>
                <w:b/>
                <w:bCs/>
                <w:color w:val="FFFFFF" w:themeColor="background1"/>
                <w:sz w:val="20"/>
                <w:szCs w:val="20"/>
                <w:lang w:eastAsia="ru-RU"/>
              </w:rPr>
            </w:pPr>
            <w:r w:rsidRPr="004761E0">
              <w:rPr>
                <w:rFonts w:eastAsia="Times New Roman"/>
                <w:b/>
                <w:bCs/>
                <w:color w:val="FFFFFF" w:themeColor="background1"/>
                <w:sz w:val="20"/>
                <w:szCs w:val="20"/>
                <w:lang w:eastAsia="ru-RU"/>
              </w:rPr>
              <w:t>№ п/п</w:t>
            </w:r>
          </w:p>
        </w:tc>
        <w:tc>
          <w:tcPr>
            <w:tcW w:w="226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235A27" w:rsidRPr="004761E0" w:rsidRDefault="00235A27" w:rsidP="0062609E">
            <w:pPr>
              <w:ind w:firstLine="0"/>
              <w:jc w:val="left"/>
              <w:rPr>
                <w:rFonts w:eastAsia="Times New Roman"/>
                <w:b/>
                <w:bCs/>
                <w:color w:val="FFFFFF" w:themeColor="background1"/>
                <w:sz w:val="20"/>
                <w:szCs w:val="20"/>
                <w:lang w:eastAsia="ru-RU"/>
              </w:rPr>
            </w:pPr>
            <w:r w:rsidRPr="004761E0">
              <w:rPr>
                <w:rFonts w:eastAsia="Times New Roman"/>
                <w:b/>
                <w:bCs/>
                <w:color w:val="FFFFFF" w:themeColor="background1"/>
                <w:sz w:val="20"/>
                <w:szCs w:val="20"/>
                <w:lang w:eastAsia="ru-RU"/>
              </w:rPr>
              <w:t>Наименование риска</w:t>
            </w:r>
          </w:p>
        </w:tc>
        <w:tc>
          <w:tcPr>
            <w:tcW w:w="296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235A27" w:rsidRPr="004761E0" w:rsidRDefault="00235A27" w:rsidP="0062609E">
            <w:pPr>
              <w:ind w:firstLine="0"/>
              <w:jc w:val="left"/>
              <w:rPr>
                <w:rFonts w:eastAsia="Times New Roman"/>
                <w:b/>
                <w:bCs/>
                <w:color w:val="FFFFFF" w:themeColor="background1"/>
                <w:sz w:val="20"/>
                <w:szCs w:val="20"/>
                <w:lang w:eastAsia="ru-RU"/>
              </w:rPr>
            </w:pPr>
            <w:r w:rsidRPr="004761E0">
              <w:rPr>
                <w:rFonts w:eastAsia="Times New Roman"/>
                <w:b/>
                <w:bCs/>
                <w:color w:val="FFFFFF" w:themeColor="background1"/>
                <w:sz w:val="20"/>
                <w:szCs w:val="20"/>
                <w:lang w:eastAsia="ru-RU"/>
              </w:rPr>
              <w:t>Описание риска</w:t>
            </w:r>
          </w:p>
        </w:tc>
        <w:tc>
          <w:tcPr>
            <w:tcW w:w="639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235A27" w:rsidRPr="004761E0" w:rsidRDefault="00235A27" w:rsidP="0062609E">
            <w:pPr>
              <w:ind w:firstLine="0"/>
              <w:jc w:val="left"/>
              <w:rPr>
                <w:rFonts w:eastAsia="Times New Roman"/>
                <w:b/>
                <w:bCs/>
                <w:color w:val="FFFFFF" w:themeColor="background1"/>
                <w:sz w:val="20"/>
                <w:szCs w:val="20"/>
                <w:lang w:eastAsia="ru-RU"/>
              </w:rPr>
            </w:pPr>
            <w:r w:rsidRPr="004761E0">
              <w:rPr>
                <w:rFonts w:eastAsia="Times New Roman"/>
                <w:b/>
                <w:bCs/>
                <w:color w:val="FFFFFF" w:themeColor="background1"/>
                <w:sz w:val="20"/>
                <w:szCs w:val="20"/>
                <w:lang w:eastAsia="ru-RU"/>
              </w:rPr>
              <w:t>Мероприятия по минимизации последствий риска</w:t>
            </w:r>
          </w:p>
        </w:tc>
        <w:tc>
          <w:tcPr>
            <w:tcW w:w="170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235A27" w:rsidRPr="004761E0" w:rsidRDefault="00235A27" w:rsidP="008F7314">
            <w:pPr>
              <w:ind w:firstLine="0"/>
              <w:jc w:val="center"/>
              <w:rPr>
                <w:rFonts w:eastAsia="Times New Roman"/>
                <w:b/>
                <w:bCs/>
                <w:color w:val="FFFFFF" w:themeColor="background1"/>
                <w:sz w:val="20"/>
                <w:szCs w:val="20"/>
                <w:lang w:eastAsia="ru-RU"/>
              </w:rPr>
            </w:pPr>
            <w:r w:rsidRPr="004761E0">
              <w:rPr>
                <w:rFonts w:eastAsia="Times New Roman"/>
                <w:b/>
                <w:bCs/>
                <w:color w:val="FFFFFF" w:themeColor="background1"/>
                <w:sz w:val="20"/>
                <w:szCs w:val="20"/>
                <w:lang w:eastAsia="ru-RU"/>
              </w:rPr>
              <w:t>Оценка вероятности наступления риска</w:t>
            </w:r>
          </w:p>
          <w:p w:rsidR="00235A27" w:rsidRPr="004761E0" w:rsidRDefault="00235A27" w:rsidP="008F7314">
            <w:pPr>
              <w:ind w:firstLine="0"/>
              <w:jc w:val="center"/>
              <w:rPr>
                <w:rFonts w:eastAsia="Times New Roman"/>
                <w:b/>
                <w:bCs/>
                <w:color w:val="FFFFFF" w:themeColor="background1"/>
                <w:sz w:val="20"/>
                <w:szCs w:val="20"/>
                <w:lang w:eastAsia="ru-RU"/>
              </w:rPr>
            </w:pPr>
            <w:r w:rsidRPr="004761E0">
              <w:rPr>
                <w:rFonts w:eastAsia="Times New Roman"/>
                <w:b/>
                <w:bCs/>
                <w:color w:val="FFFFFF" w:themeColor="background1"/>
                <w:sz w:val="20"/>
                <w:szCs w:val="20"/>
                <w:lang w:eastAsia="ru-RU"/>
              </w:rPr>
              <w:t>(высокая/</w:t>
            </w:r>
          </w:p>
          <w:p w:rsidR="00235A27" w:rsidRPr="004761E0" w:rsidRDefault="00235A27" w:rsidP="008F7314">
            <w:pPr>
              <w:ind w:firstLine="0"/>
              <w:jc w:val="center"/>
              <w:rPr>
                <w:rFonts w:eastAsia="Times New Roman"/>
                <w:b/>
                <w:bCs/>
                <w:color w:val="FFFFFF" w:themeColor="background1"/>
                <w:sz w:val="20"/>
                <w:szCs w:val="20"/>
                <w:lang w:eastAsia="ru-RU"/>
              </w:rPr>
            </w:pPr>
            <w:r w:rsidRPr="004761E0">
              <w:rPr>
                <w:rFonts w:eastAsia="Times New Roman"/>
                <w:b/>
                <w:bCs/>
                <w:color w:val="FFFFFF" w:themeColor="background1"/>
                <w:sz w:val="20"/>
                <w:szCs w:val="20"/>
                <w:lang w:eastAsia="ru-RU"/>
              </w:rPr>
              <w:t>средняя/низкая)</w:t>
            </w:r>
          </w:p>
        </w:tc>
        <w:tc>
          <w:tcPr>
            <w:tcW w:w="1842"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235A27" w:rsidRPr="004761E0" w:rsidRDefault="00235A27" w:rsidP="008F7314">
            <w:pPr>
              <w:ind w:firstLine="0"/>
              <w:jc w:val="center"/>
              <w:rPr>
                <w:rFonts w:eastAsia="Times New Roman"/>
                <w:b/>
                <w:bCs/>
                <w:color w:val="FFFFFF" w:themeColor="background1"/>
                <w:sz w:val="20"/>
                <w:szCs w:val="20"/>
                <w:lang w:eastAsia="ru-RU"/>
              </w:rPr>
            </w:pPr>
            <w:r w:rsidRPr="004761E0">
              <w:rPr>
                <w:rFonts w:eastAsia="Times New Roman"/>
                <w:b/>
                <w:bCs/>
                <w:color w:val="FFFFFF" w:themeColor="background1"/>
                <w:sz w:val="20"/>
                <w:szCs w:val="20"/>
                <w:lang w:eastAsia="ru-RU"/>
              </w:rPr>
              <w:t>Степень влияния на бизнес (существенное/несущественное)</w:t>
            </w:r>
          </w:p>
        </w:tc>
      </w:tr>
      <w:tr w:rsidR="0001645A" w:rsidRPr="004761E0" w:rsidTr="0001645A">
        <w:trPr>
          <w:cantSplit/>
        </w:trPr>
        <w:tc>
          <w:tcPr>
            <w:tcW w:w="582" w:type="dxa"/>
            <w:tcBorders>
              <w:top w:val="nil"/>
              <w:left w:val="single" w:sz="4" w:space="0" w:color="auto"/>
              <w:bottom w:val="single" w:sz="4" w:space="0" w:color="auto"/>
              <w:right w:val="single" w:sz="4" w:space="0" w:color="auto"/>
            </w:tcBorders>
            <w:shd w:val="clear" w:color="auto" w:fill="auto"/>
            <w:noWrap/>
          </w:tcPr>
          <w:p w:rsidR="0001645A" w:rsidRPr="004761E0" w:rsidRDefault="0001645A" w:rsidP="007076A7">
            <w:pPr>
              <w:pStyle w:val="a5"/>
              <w:numPr>
                <w:ilvl w:val="0"/>
                <w:numId w:val="149"/>
              </w:numPr>
              <w:tabs>
                <w:tab w:val="left" w:pos="242"/>
              </w:tabs>
              <w:ind w:left="0" w:firstLine="0"/>
              <w:contextualSpacing w:val="0"/>
              <w:jc w:val="left"/>
              <w:rPr>
                <w:rFonts w:eastAsia="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noWrap/>
          </w:tcPr>
          <w:p w:rsidR="0001645A" w:rsidRPr="004761E0" w:rsidRDefault="0001645A" w:rsidP="00BF53E8">
            <w:pPr>
              <w:ind w:firstLine="0"/>
              <w:jc w:val="left"/>
              <w:rPr>
                <w:rFonts w:eastAsia="Times New Roman"/>
                <w:color w:val="000000"/>
                <w:sz w:val="20"/>
                <w:szCs w:val="20"/>
                <w:lang w:eastAsia="ru-RU"/>
              </w:rPr>
            </w:pPr>
            <w:r w:rsidRPr="004761E0">
              <w:rPr>
                <w:rFonts w:eastAsia="Times New Roman"/>
                <w:color w:val="000000"/>
                <w:sz w:val="20"/>
                <w:szCs w:val="20"/>
                <w:lang w:eastAsia="ru-RU"/>
              </w:rPr>
              <w:t>Страновые риски</w:t>
            </w:r>
          </w:p>
        </w:tc>
        <w:tc>
          <w:tcPr>
            <w:tcW w:w="2960" w:type="dxa"/>
            <w:tcBorders>
              <w:top w:val="nil"/>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rFonts w:eastAsia="Times New Roman"/>
                <w:color w:val="000000"/>
                <w:sz w:val="20"/>
                <w:szCs w:val="20"/>
                <w:lang w:eastAsia="ru-RU"/>
              </w:rPr>
              <w:t>Снижение возможности доступа Общества к капиталу и уменьшение спроса на услуги компании ввиду негативного влияния нестабильности на мировых финансовых на российскую экономику.</w:t>
            </w:r>
          </w:p>
        </w:tc>
        <w:tc>
          <w:tcPr>
            <w:tcW w:w="6396" w:type="dxa"/>
            <w:tcBorders>
              <w:top w:val="nil"/>
              <w:left w:val="nil"/>
              <w:bottom w:val="single" w:sz="4" w:space="0" w:color="auto"/>
              <w:right w:val="single" w:sz="4" w:space="0" w:color="auto"/>
            </w:tcBorders>
            <w:shd w:val="clear" w:color="auto" w:fill="auto"/>
          </w:tcPr>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Проведение мероприятий по сокращению издержек;</w:t>
            </w:r>
          </w:p>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Оптимизация инвестиционной программы;</w:t>
            </w:r>
          </w:p>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Проведение взвешенной кредитной политики.</w:t>
            </w:r>
          </w:p>
        </w:tc>
        <w:tc>
          <w:tcPr>
            <w:tcW w:w="1701" w:type="dxa"/>
            <w:tcBorders>
              <w:top w:val="nil"/>
              <w:left w:val="nil"/>
              <w:bottom w:val="single" w:sz="4" w:space="0" w:color="auto"/>
              <w:right w:val="single" w:sz="4" w:space="0" w:color="auto"/>
            </w:tcBorders>
            <w:shd w:val="clear" w:color="auto" w:fill="auto"/>
            <w:noWrap/>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Средняя</w:t>
            </w:r>
          </w:p>
        </w:tc>
        <w:tc>
          <w:tcPr>
            <w:tcW w:w="1842" w:type="dxa"/>
            <w:tcBorders>
              <w:top w:val="nil"/>
              <w:left w:val="nil"/>
              <w:bottom w:val="single" w:sz="4" w:space="0" w:color="auto"/>
              <w:right w:val="single" w:sz="4" w:space="0" w:color="auto"/>
            </w:tcBorders>
            <w:shd w:val="clear" w:color="auto" w:fill="auto"/>
            <w:noWrap/>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Несущественное</w:t>
            </w:r>
          </w:p>
        </w:tc>
      </w:tr>
      <w:tr w:rsidR="0001645A" w:rsidRPr="004761E0" w:rsidTr="0001645A">
        <w:trPr>
          <w:cantSplit/>
        </w:trPr>
        <w:tc>
          <w:tcPr>
            <w:tcW w:w="582" w:type="dxa"/>
            <w:tcBorders>
              <w:top w:val="nil"/>
              <w:left w:val="single" w:sz="4" w:space="0" w:color="auto"/>
              <w:bottom w:val="single" w:sz="4" w:space="0" w:color="auto"/>
              <w:right w:val="single" w:sz="4" w:space="0" w:color="auto"/>
            </w:tcBorders>
            <w:shd w:val="clear" w:color="auto" w:fill="auto"/>
            <w:noWrap/>
          </w:tcPr>
          <w:p w:rsidR="0001645A" w:rsidRPr="004761E0" w:rsidRDefault="0001645A" w:rsidP="007076A7">
            <w:pPr>
              <w:pStyle w:val="a5"/>
              <w:numPr>
                <w:ilvl w:val="0"/>
                <w:numId w:val="149"/>
              </w:numPr>
              <w:tabs>
                <w:tab w:val="left" w:pos="242"/>
              </w:tabs>
              <w:ind w:left="0" w:firstLine="0"/>
              <w:contextualSpacing w:val="0"/>
              <w:jc w:val="left"/>
              <w:rPr>
                <w:rFonts w:eastAsia="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bCs/>
                <w:iCs/>
                <w:sz w:val="20"/>
                <w:szCs w:val="20"/>
              </w:rPr>
              <w:t>Региональные риски</w:t>
            </w:r>
          </w:p>
        </w:tc>
        <w:tc>
          <w:tcPr>
            <w:tcW w:w="2960" w:type="dxa"/>
            <w:tcBorders>
              <w:top w:val="nil"/>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rFonts w:eastAsia="Times New Roman"/>
                <w:color w:val="000000"/>
                <w:sz w:val="20"/>
                <w:szCs w:val="20"/>
                <w:lang w:eastAsia="ru-RU"/>
              </w:rPr>
              <w:t>Риски, связанные с ухудшением экономической ситуации в регионе, а также с дестабилизацией политической ситуации</w:t>
            </w:r>
          </w:p>
        </w:tc>
        <w:tc>
          <w:tcPr>
            <w:tcW w:w="6396" w:type="dxa"/>
            <w:tcBorders>
              <w:top w:val="nil"/>
              <w:left w:val="nil"/>
              <w:bottom w:val="single" w:sz="4" w:space="0" w:color="auto"/>
              <w:right w:val="single" w:sz="4" w:space="0" w:color="auto"/>
            </w:tcBorders>
            <w:shd w:val="clear" w:color="auto" w:fill="auto"/>
          </w:tcPr>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Принятие мер по антикризисному управлению в случае реализации риска</w:t>
            </w:r>
          </w:p>
        </w:tc>
        <w:tc>
          <w:tcPr>
            <w:tcW w:w="1701" w:type="dxa"/>
            <w:tcBorders>
              <w:top w:val="nil"/>
              <w:left w:val="nil"/>
              <w:bottom w:val="single" w:sz="4" w:space="0" w:color="auto"/>
              <w:right w:val="single" w:sz="4" w:space="0" w:color="auto"/>
            </w:tcBorders>
            <w:shd w:val="clear" w:color="auto" w:fill="auto"/>
            <w:noWrap/>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Низкая</w:t>
            </w:r>
          </w:p>
        </w:tc>
        <w:tc>
          <w:tcPr>
            <w:tcW w:w="1842" w:type="dxa"/>
            <w:tcBorders>
              <w:top w:val="nil"/>
              <w:left w:val="nil"/>
              <w:bottom w:val="single" w:sz="4" w:space="0" w:color="auto"/>
              <w:right w:val="single" w:sz="4" w:space="0" w:color="auto"/>
            </w:tcBorders>
            <w:shd w:val="clear" w:color="auto" w:fill="auto"/>
            <w:noWrap/>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Существенное</w:t>
            </w:r>
          </w:p>
        </w:tc>
      </w:tr>
      <w:tr w:rsidR="0001645A" w:rsidRPr="004761E0" w:rsidTr="0001645A">
        <w:trPr>
          <w:cantSplit/>
        </w:trPr>
        <w:tc>
          <w:tcPr>
            <w:tcW w:w="582" w:type="dxa"/>
            <w:tcBorders>
              <w:top w:val="nil"/>
              <w:left w:val="single" w:sz="4" w:space="0" w:color="auto"/>
              <w:bottom w:val="single" w:sz="4" w:space="0" w:color="auto"/>
              <w:right w:val="single" w:sz="4" w:space="0" w:color="auto"/>
            </w:tcBorders>
            <w:shd w:val="clear" w:color="auto" w:fill="auto"/>
            <w:noWrap/>
          </w:tcPr>
          <w:p w:rsidR="0001645A" w:rsidRPr="004761E0" w:rsidRDefault="0001645A" w:rsidP="007076A7">
            <w:pPr>
              <w:pStyle w:val="a5"/>
              <w:numPr>
                <w:ilvl w:val="0"/>
                <w:numId w:val="149"/>
              </w:numPr>
              <w:tabs>
                <w:tab w:val="left" w:pos="242"/>
              </w:tabs>
              <w:ind w:left="0" w:firstLine="0"/>
              <w:contextualSpacing w:val="0"/>
              <w:jc w:val="left"/>
              <w:rPr>
                <w:rFonts w:eastAsia="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rFonts w:eastAsia="Times New Roman"/>
                <w:color w:val="000000"/>
                <w:sz w:val="20"/>
                <w:szCs w:val="20"/>
                <w:lang w:eastAsia="ru-RU"/>
              </w:rPr>
              <w:t>Регуляторный риск</w:t>
            </w:r>
          </w:p>
        </w:tc>
        <w:tc>
          <w:tcPr>
            <w:tcW w:w="2960" w:type="dxa"/>
            <w:tcBorders>
              <w:top w:val="nil"/>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rFonts w:eastAsia="Times New Roman"/>
                <w:color w:val="000000"/>
                <w:sz w:val="20"/>
                <w:szCs w:val="20"/>
                <w:lang w:eastAsia="ru-RU"/>
              </w:rPr>
              <w:t>Риск, связанный с решениями органов власти в области тарифного регулирования: установления тарифов на передачу электроэнергии ниже экономически обоснованного уровня, пересмотр установленных тарифов в течение периода регулирования</w:t>
            </w:r>
          </w:p>
        </w:tc>
        <w:tc>
          <w:tcPr>
            <w:tcW w:w="6396" w:type="dxa"/>
            <w:tcBorders>
              <w:top w:val="nil"/>
              <w:left w:val="nil"/>
              <w:bottom w:val="single" w:sz="4" w:space="0" w:color="auto"/>
              <w:right w:val="single" w:sz="4" w:space="0" w:color="auto"/>
            </w:tcBorders>
            <w:shd w:val="clear" w:color="auto" w:fill="auto"/>
          </w:tcPr>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Взаимодействие с РЭК Москвы и Комитетом по ценам и тарифам Московской области по вопросам предоставления обосновывающих материалов, подтверждающих уровень экономически обоснованных расходов;</w:t>
            </w:r>
          </w:p>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 xml:space="preserve">Подготовка предложений по изменению проектов нормативных документов органов власти в части пересмотра тарифов на передачу электроэнергии; </w:t>
            </w:r>
          </w:p>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Планирование финансово-хозяйственной деятельности Общества с учетом тарифно-балансовых решений.</w:t>
            </w:r>
          </w:p>
        </w:tc>
        <w:tc>
          <w:tcPr>
            <w:tcW w:w="1701" w:type="dxa"/>
            <w:tcBorders>
              <w:top w:val="nil"/>
              <w:left w:val="nil"/>
              <w:bottom w:val="single" w:sz="4" w:space="0" w:color="auto"/>
              <w:right w:val="single" w:sz="4" w:space="0" w:color="auto"/>
            </w:tcBorders>
            <w:shd w:val="clear" w:color="auto" w:fill="auto"/>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Средняя</w:t>
            </w:r>
          </w:p>
        </w:tc>
        <w:tc>
          <w:tcPr>
            <w:tcW w:w="1842" w:type="dxa"/>
            <w:tcBorders>
              <w:top w:val="nil"/>
              <w:left w:val="nil"/>
              <w:bottom w:val="single" w:sz="4" w:space="0" w:color="auto"/>
              <w:right w:val="single" w:sz="4" w:space="0" w:color="auto"/>
            </w:tcBorders>
            <w:shd w:val="clear" w:color="auto" w:fill="auto"/>
            <w:noWrap/>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Существенное</w:t>
            </w:r>
          </w:p>
        </w:tc>
      </w:tr>
      <w:tr w:rsidR="0001645A" w:rsidRPr="004761E0" w:rsidTr="0001645A">
        <w:trPr>
          <w:cantSplit/>
        </w:trPr>
        <w:tc>
          <w:tcPr>
            <w:tcW w:w="582" w:type="dxa"/>
            <w:tcBorders>
              <w:top w:val="nil"/>
              <w:left w:val="single" w:sz="4" w:space="0" w:color="auto"/>
              <w:bottom w:val="single" w:sz="4" w:space="0" w:color="auto"/>
              <w:right w:val="single" w:sz="4" w:space="0" w:color="auto"/>
            </w:tcBorders>
            <w:shd w:val="clear" w:color="auto" w:fill="auto"/>
            <w:noWrap/>
          </w:tcPr>
          <w:p w:rsidR="0001645A" w:rsidRPr="004761E0" w:rsidRDefault="0001645A" w:rsidP="007076A7">
            <w:pPr>
              <w:pStyle w:val="a5"/>
              <w:numPr>
                <w:ilvl w:val="0"/>
                <w:numId w:val="149"/>
              </w:numPr>
              <w:tabs>
                <w:tab w:val="left" w:pos="242"/>
              </w:tabs>
              <w:ind w:left="0" w:firstLine="0"/>
              <w:contextualSpacing w:val="0"/>
              <w:jc w:val="left"/>
              <w:rPr>
                <w:rFonts w:eastAsia="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rFonts w:eastAsia="Times New Roman"/>
                <w:color w:val="000000"/>
                <w:sz w:val="20"/>
                <w:szCs w:val="20"/>
                <w:lang w:eastAsia="ru-RU"/>
              </w:rPr>
              <w:t>Отклонения объёма полезного отпуска от плановых значений</w:t>
            </w:r>
          </w:p>
        </w:tc>
        <w:tc>
          <w:tcPr>
            <w:tcW w:w="2960" w:type="dxa"/>
            <w:tcBorders>
              <w:top w:val="nil"/>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rFonts w:eastAsia="Times New Roman"/>
                <w:color w:val="000000"/>
                <w:sz w:val="20"/>
                <w:szCs w:val="20"/>
                <w:lang w:eastAsia="ru-RU"/>
              </w:rPr>
              <w:t>Снижение объёма полезного отпуска относительно планового значения ввиду естественных колебаний спроса на электроэнергию, температурных колебаний, возможных кризисных явлений, потерь электроэнергии</w:t>
            </w:r>
          </w:p>
        </w:tc>
        <w:tc>
          <w:tcPr>
            <w:tcW w:w="6396" w:type="dxa"/>
            <w:tcBorders>
              <w:top w:val="nil"/>
              <w:left w:val="nil"/>
              <w:bottom w:val="single" w:sz="4" w:space="0" w:color="auto"/>
              <w:right w:val="single" w:sz="4" w:space="0" w:color="auto"/>
            </w:tcBorders>
            <w:shd w:val="clear" w:color="auto" w:fill="auto"/>
          </w:tcPr>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Мониторинг энергопотребления и корректировка планов реализации с учетом текущего спроса на электроэнергию;</w:t>
            </w:r>
          </w:p>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Взаимодействие с регулирующими органами в части учёта выпадающих доходов в тарифе на передачу электроэнергии в следующем году;</w:t>
            </w:r>
          </w:p>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Выполнение Программы энергосбережения и повышения энергетической эффективности;</w:t>
            </w:r>
          </w:p>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Проведение рейдов по выявлению неучтенного электропотребления электроэнергии;</w:t>
            </w:r>
          </w:p>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Установка приборов учета на границе балансовой принадлежности с  управляющими компаниями многоквартирных домов. Перевод установленных приборов учета в статус расчетных;</w:t>
            </w:r>
          </w:p>
          <w:p w:rsidR="0001645A" w:rsidRPr="009E3EE5"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Проведение мероприятий по сокращению издержек</w:t>
            </w:r>
            <w:r w:rsidR="009E3EE5">
              <w:rPr>
                <w:rFonts w:eastAsia="Times New Roman"/>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Средняя</w:t>
            </w:r>
          </w:p>
        </w:tc>
        <w:tc>
          <w:tcPr>
            <w:tcW w:w="1842" w:type="dxa"/>
            <w:tcBorders>
              <w:top w:val="nil"/>
              <w:left w:val="nil"/>
              <w:bottom w:val="single" w:sz="4" w:space="0" w:color="auto"/>
              <w:right w:val="single" w:sz="4" w:space="0" w:color="auto"/>
            </w:tcBorders>
            <w:shd w:val="clear" w:color="auto" w:fill="auto"/>
            <w:noWrap/>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Существенное</w:t>
            </w:r>
          </w:p>
        </w:tc>
      </w:tr>
      <w:tr w:rsidR="0001645A" w:rsidRPr="004761E0" w:rsidTr="0001645A">
        <w:trPr>
          <w:cantSplit/>
        </w:trPr>
        <w:tc>
          <w:tcPr>
            <w:tcW w:w="582" w:type="dxa"/>
            <w:tcBorders>
              <w:top w:val="nil"/>
              <w:left w:val="single" w:sz="4" w:space="0" w:color="auto"/>
              <w:bottom w:val="single" w:sz="4" w:space="0" w:color="auto"/>
              <w:right w:val="single" w:sz="4" w:space="0" w:color="auto"/>
            </w:tcBorders>
            <w:shd w:val="clear" w:color="auto" w:fill="auto"/>
            <w:noWrap/>
          </w:tcPr>
          <w:p w:rsidR="0001645A" w:rsidRPr="004761E0" w:rsidRDefault="0001645A" w:rsidP="007076A7">
            <w:pPr>
              <w:pStyle w:val="a5"/>
              <w:numPr>
                <w:ilvl w:val="0"/>
                <w:numId w:val="149"/>
              </w:numPr>
              <w:tabs>
                <w:tab w:val="left" w:pos="242"/>
              </w:tabs>
              <w:ind w:left="0" w:firstLine="0"/>
              <w:contextualSpacing w:val="0"/>
              <w:jc w:val="left"/>
              <w:rPr>
                <w:rFonts w:eastAsia="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rFonts w:eastAsia="Times New Roman"/>
                <w:color w:val="000000"/>
                <w:sz w:val="20"/>
                <w:szCs w:val="20"/>
                <w:lang w:eastAsia="ru-RU"/>
              </w:rPr>
              <w:t>Неопределённость объёма технологических присоединений</w:t>
            </w:r>
          </w:p>
        </w:tc>
        <w:tc>
          <w:tcPr>
            <w:tcW w:w="2960" w:type="dxa"/>
            <w:tcBorders>
              <w:top w:val="nil"/>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rFonts w:eastAsia="Times New Roman"/>
                <w:color w:val="000000"/>
                <w:sz w:val="20"/>
                <w:szCs w:val="20"/>
                <w:lang w:eastAsia="ru-RU"/>
              </w:rPr>
              <w:t>Снижение объёма технологических присоединений  относительно планового значения ввиду возможных отказов заявителей от технологического присоединения, несвоевременного выполнения обязательств сторонами в рамках действующих договоров</w:t>
            </w:r>
          </w:p>
        </w:tc>
        <w:tc>
          <w:tcPr>
            <w:tcW w:w="6396" w:type="dxa"/>
            <w:tcBorders>
              <w:top w:val="nil"/>
              <w:left w:val="nil"/>
              <w:bottom w:val="single" w:sz="4" w:space="0" w:color="auto"/>
              <w:right w:val="single" w:sz="4" w:space="0" w:color="auto"/>
            </w:tcBorders>
            <w:shd w:val="clear" w:color="auto" w:fill="auto"/>
          </w:tcPr>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Реализация мероприятий «3 шага за 2 визита», направленных на упрощение процедуры технологического присоединения и снижение сроков исполнения договоров;</w:t>
            </w:r>
          </w:p>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Включение объектов Программ снятия ограничений в инвестиционную программу  и реализация Программ;</w:t>
            </w:r>
          </w:p>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 xml:space="preserve">Утверждение внутренних нормативных документов процесса «Осуществление технологического присоединения к электрическим сетям </w:t>
            </w:r>
            <w:r w:rsidR="0008080E">
              <w:rPr>
                <w:rFonts w:eastAsia="Times New Roman"/>
                <w:color w:val="000000"/>
                <w:sz w:val="20"/>
                <w:szCs w:val="20"/>
                <w:lang w:eastAsia="ru-RU"/>
              </w:rPr>
              <w:t>ОАО </w:t>
            </w:r>
            <w:r w:rsidRPr="004761E0">
              <w:rPr>
                <w:rFonts w:eastAsia="Times New Roman"/>
                <w:color w:val="000000"/>
                <w:sz w:val="20"/>
                <w:szCs w:val="20"/>
                <w:lang w:eastAsia="ru-RU"/>
              </w:rPr>
              <w:t>«МОЭСК» в г. Москве и Московской области» с учетом изменений законодательства.</w:t>
            </w:r>
          </w:p>
        </w:tc>
        <w:tc>
          <w:tcPr>
            <w:tcW w:w="1701" w:type="dxa"/>
            <w:tcBorders>
              <w:top w:val="nil"/>
              <w:left w:val="nil"/>
              <w:bottom w:val="single" w:sz="4" w:space="0" w:color="auto"/>
              <w:right w:val="single" w:sz="4" w:space="0" w:color="auto"/>
            </w:tcBorders>
            <w:shd w:val="clear" w:color="auto" w:fill="auto"/>
            <w:noWrap/>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Низкая</w:t>
            </w:r>
          </w:p>
        </w:tc>
        <w:tc>
          <w:tcPr>
            <w:tcW w:w="1842" w:type="dxa"/>
            <w:tcBorders>
              <w:top w:val="nil"/>
              <w:left w:val="nil"/>
              <w:bottom w:val="single" w:sz="4" w:space="0" w:color="auto"/>
              <w:right w:val="single" w:sz="4" w:space="0" w:color="auto"/>
            </w:tcBorders>
            <w:shd w:val="clear" w:color="auto" w:fill="auto"/>
            <w:noWrap/>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Существенное</w:t>
            </w:r>
          </w:p>
        </w:tc>
      </w:tr>
      <w:tr w:rsidR="0001645A" w:rsidRPr="004761E0" w:rsidTr="0001645A">
        <w:trPr>
          <w:cantSplit/>
        </w:trPr>
        <w:tc>
          <w:tcPr>
            <w:tcW w:w="582" w:type="dxa"/>
            <w:tcBorders>
              <w:top w:val="nil"/>
              <w:left w:val="single" w:sz="4" w:space="0" w:color="auto"/>
              <w:bottom w:val="single" w:sz="4" w:space="0" w:color="auto"/>
              <w:right w:val="single" w:sz="4" w:space="0" w:color="auto"/>
            </w:tcBorders>
            <w:shd w:val="clear" w:color="auto" w:fill="auto"/>
            <w:noWrap/>
          </w:tcPr>
          <w:p w:rsidR="0001645A" w:rsidRPr="004761E0" w:rsidRDefault="0001645A" w:rsidP="007076A7">
            <w:pPr>
              <w:pStyle w:val="a5"/>
              <w:numPr>
                <w:ilvl w:val="0"/>
                <w:numId w:val="149"/>
              </w:numPr>
              <w:tabs>
                <w:tab w:val="left" w:pos="242"/>
              </w:tabs>
              <w:ind w:left="0" w:firstLine="0"/>
              <w:contextualSpacing w:val="0"/>
              <w:jc w:val="left"/>
              <w:rPr>
                <w:rFonts w:eastAsia="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rFonts w:eastAsia="Times New Roman"/>
                <w:color w:val="000000"/>
                <w:sz w:val="20"/>
                <w:szCs w:val="20"/>
                <w:lang w:eastAsia="ru-RU"/>
              </w:rPr>
              <w:t>Инфляционный риск</w:t>
            </w:r>
          </w:p>
        </w:tc>
        <w:tc>
          <w:tcPr>
            <w:tcW w:w="2960" w:type="dxa"/>
            <w:tcBorders>
              <w:top w:val="nil"/>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rFonts w:eastAsia="Times New Roman"/>
                <w:color w:val="000000"/>
                <w:sz w:val="20"/>
                <w:szCs w:val="20"/>
                <w:lang w:eastAsia="ru-RU"/>
              </w:rPr>
              <w:t>Возможный рос затрат из-за повышения уровня инфляции</w:t>
            </w:r>
          </w:p>
        </w:tc>
        <w:tc>
          <w:tcPr>
            <w:tcW w:w="6396" w:type="dxa"/>
            <w:tcBorders>
              <w:top w:val="nil"/>
              <w:left w:val="nil"/>
              <w:bottom w:val="single" w:sz="4" w:space="0" w:color="auto"/>
              <w:right w:val="single" w:sz="4" w:space="0" w:color="auto"/>
            </w:tcBorders>
            <w:shd w:val="clear" w:color="auto" w:fill="auto"/>
          </w:tcPr>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Осуществление планирования с учётом ежегодного роста цен;</w:t>
            </w:r>
          </w:p>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Проведение мероприятий по сокращению издержек</w:t>
            </w:r>
            <w:r w:rsidR="00E20318">
              <w:rPr>
                <w:rFonts w:eastAsia="Times New Roman"/>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Низкая</w:t>
            </w:r>
          </w:p>
        </w:tc>
        <w:tc>
          <w:tcPr>
            <w:tcW w:w="1842" w:type="dxa"/>
            <w:tcBorders>
              <w:top w:val="nil"/>
              <w:left w:val="nil"/>
              <w:bottom w:val="single" w:sz="4" w:space="0" w:color="auto"/>
              <w:right w:val="single" w:sz="4" w:space="0" w:color="auto"/>
            </w:tcBorders>
            <w:shd w:val="clear" w:color="auto" w:fill="auto"/>
            <w:noWrap/>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Несущественное</w:t>
            </w:r>
          </w:p>
        </w:tc>
      </w:tr>
      <w:tr w:rsidR="0001645A" w:rsidRPr="004761E0" w:rsidTr="0001645A">
        <w:trPr>
          <w:cantSplit/>
        </w:trPr>
        <w:tc>
          <w:tcPr>
            <w:tcW w:w="582" w:type="dxa"/>
            <w:tcBorders>
              <w:top w:val="nil"/>
              <w:left w:val="single" w:sz="4" w:space="0" w:color="auto"/>
              <w:bottom w:val="single" w:sz="4" w:space="0" w:color="auto"/>
              <w:right w:val="single" w:sz="4" w:space="0" w:color="auto"/>
            </w:tcBorders>
            <w:shd w:val="clear" w:color="auto" w:fill="auto"/>
            <w:noWrap/>
          </w:tcPr>
          <w:p w:rsidR="0001645A" w:rsidRPr="004761E0" w:rsidRDefault="0001645A" w:rsidP="007076A7">
            <w:pPr>
              <w:pStyle w:val="a5"/>
              <w:numPr>
                <w:ilvl w:val="0"/>
                <w:numId w:val="149"/>
              </w:numPr>
              <w:tabs>
                <w:tab w:val="left" w:pos="242"/>
              </w:tabs>
              <w:ind w:left="0" w:firstLine="0"/>
              <w:contextualSpacing w:val="0"/>
              <w:jc w:val="left"/>
              <w:rPr>
                <w:rFonts w:eastAsia="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rFonts w:eastAsia="Times New Roman"/>
                <w:color w:val="000000"/>
                <w:sz w:val="20"/>
                <w:szCs w:val="20"/>
                <w:lang w:eastAsia="ru-RU"/>
              </w:rPr>
              <w:t>Процентный риск</w:t>
            </w:r>
          </w:p>
        </w:tc>
        <w:tc>
          <w:tcPr>
            <w:tcW w:w="2960" w:type="dxa"/>
            <w:tcBorders>
              <w:top w:val="nil"/>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rFonts w:eastAsia="Times New Roman"/>
                <w:color w:val="000000"/>
                <w:sz w:val="20"/>
                <w:szCs w:val="20"/>
                <w:lang w:eastAsia="ru-RU"/>
              </w:rPr>
              <w:t>Возможный рост процентов к уплате по сравнению с плановой величиной ввиду колебания процентных ставок по вновь привлекаемым заёмным средствам</w:t>
            </w:r>
          </w:p>
        </w:tc>
        <w:tc>
          <w:tcPr>
            <w:tcW w:w="6396" w:type="dxa"/>
            <w:tcBorders>
              <w:top w:val="nil"/>
              <w:left w:val="nil"/>
              <w:bottom w:val="single" w:sz="4" w:space="0" w:color="auto"/>
              <w:right w:val="single" w:sz="4" w:space="0" w:color="auto"/>
            </w:tcBorders>
            <w:shd w:val="clear" w:color="auto" w:fill="auto"/>
          </w:tcPr>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заключение долгосрочных соглашений о возобновляемых кредитных линиях со значительным лимитом заимствования и установленным ограничением максимальной процентной ставки по кредиту в зависимости от ставки рефинансирования ЦБ РФ;</w:t>
            </w:r>
          </w:p>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 xml:space="preserve">Отбор финансовых организаций для оказания услуг путем проведения открытых конкурентных процедур, что позволяет привлекать заёмные средства на наиболее выгодных для </w:t>
            </w:r>
            <w:r w:rsidR="0008080E">
              <w:rPr>
                <w:rFonts w:eastAsia="Times New Roman"/>
                <w:color w:val="000000"/>
                <w:sz w:val="20"/>
                <w:szCs w:val="20"/>
                <w:lang w:eastAsia="ru-RU"/>
              </w:rPr>
              <w:t>ОАО </w:t>
            </w:r>
            <w:r w:rsidRPr="004761E0">
              <w:rPr>
                <w:rFonts w:eastAsia="Times New Roman"/>
                <w:color w:val="000000"/>
                <w:sz w:val="20"/>
                <w:szCs w:val="20"/>
                <w:lang w:eastAsia="ru-RU"/>
              </w:rPr>
              <w:t>«МОЭСК» условиях;</w:t>
            </w:r>
          </w:p>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Поддержание и повышение международных кредитных рейтингов;</w:t>
            </w:r>
          </w:p>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Планирование затрат на обслуживание долга с учётом возможного роста процентной ставки.</w:t>
            </w:r>
          </w:p>
        </w:tc>
        <w:tc>
          <w:tcPr>
            <w:tcW w:w="1701" w:type="dxa"/>
            <w:tcBorders>
              <w:top w:val="nil"/>
              <w:left w:val="nil"/>
              <w:bottom w:val="single" w:sz="4" w:space="0" w:color="auto"/>
              <w:right w:val="single" w:sz="4" w:space="0" w:color="auto"/>
            </w:tcBorders>
            <w:shd w:val="clear" w:color="auto" w:fill="auto"/>
            <w:noWrap/>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Средняя</w:t>
            </w:r>
          </w:p>
        </w:tc>
        <w:tc>
          <w:tcPr>
            <w:tcW w:w="1842" w:type="dxa"/>
            <w:tcBorders>
              <w:top w:val="nil"/>
              <w:left w:val="nil"/>
              <w:bottom w:val="single" w:sz="4" w:space="0" w:color="auto"/>
              <w:right w:val="single" w:sz="4" w:space="0" w:color="auto"/>
            </w:tcBorders>
            <w:shd w:val="clear" w:color="auto" w:fill="auto"/>
            <w:noWrap/>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Существенное</w:t>
            </w:r>
          </w:p>
        </w:tc>
      </w:tr>
      <w:tr w:rsidR="0001645A" w:rsidRPr="004761E0" w:rsidTr="0001645A">
        <w:trPr>
          <w:cantSplit/>
        </w:trPr>
        <w:tc>
          <w:tcPr>
            <w:tcW w:w="582" w:type="dxa"/>
            <w:tcBorders>
              <w:top w:val="nil"/>
              <w:left w:val="single" w:sz="4" w:space="0" w:color="auto"/>
              <w:bottom w:val="single" w:sz="4" w:space="0" w:color="auto"/>
              <w:right w:val="single" w:sz="4" w:space="0" w:color="auto"/>
            </w:tcBorders>
            <w:shd w:val="clear" w:color="auto" w:fill="auto"/>
            <w:noWrap/>
          </w:tcPr>
          <w:p w:rsidR="0001645A" w:rsidRPr="004761E0" w:rsidRDefault="0001645A" w:rsidP="007076A7">
            <w:pPr>
              <w:pStyle w:val="a5"/>
              <w:numPr>
                <w:ilvl w:val="0"/>
                <w:numId w:val="149"/>
              </w:numPr>
              <w:tabs>
                <w:tab w:val="left" w:pos="242"/>
              </w:tabs>
              <w:ind w:left="0" w:firstLine="0"/>
              <w:contextualSpacing w:val="0"/>
              <w:jc w:val="left"/>
              <w:rPr>
                <w:rFonts w:eastAsia="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rFonts w:eastAsia="Times New Roman"/>
                <w:color w:val="000000"/>
                <w:sz w:val="20"/>
                <w:szCs w:val="20"/>
                <w:lang w:eastAsia="ru-RU"/>
              </w:rPr>
              <w:t>Валютный риск</w:t>
            </w:r>
          </w:p>
        </w:tc>
        <w:tc>
          <w:tcPr>
            <w:tcW w:w="2960" w:type="dxa"/>
            <w:tcBorders>
              <w:top w:val="nil"/>
              <w:left w:val="nil"/>
              <w:bottom w:val="single" w:sz="4" w:space="0" w:color="auto"/>
              <w:right w:val="single" w:sz="4" w:space="0" w:color="auto"/>
            </w:tcBorders>
            <w:shd w:val="clear" w:color="auto" w:fill="auto"/>
          </w:tcPr>
          <w:p w:rsidR="0001645A" w:rsidRPr="004761E0" w:rsidRDefault="0001645A" w:rsidP="002A4567">
            <w:pPr>
              <w:ind w:firstLine="0"/>
              <w:jc w:val="left"/>
              <w:rPr>
                <w:rFonts w:eastAsia="Times New Roman"/>
                <w:color w:val="000000"/>
                <w:sz w:val="20"/>
                <w:szCs w:val="20"/>
                <w:lang w:eastAsia="ru-RU"/>
              </w:rPr>
            </w:pPr>
            <w:r w:rsidRPr="004761E0">
              <w:rPr>
                <w:rFonts w:eastAsia="Times New Roman"/>
                <w:color w:val="000000"/>
                <w:sz w:val="20"/>
                <w:szCs w:val="20"/>
                <w:lang w:eastAsia="ru-RU"/>
              </w:rPr>
              <w:t>Увеличение издержек из-за колебаний курса иностранной валюты</w:t>
            </w:r>
          </w:p>
        </w:tc>
        <w:tc>
          <w:tcPr>
            <w:tcW w:w="6396" w:type="dxa"/>
            <w:tcBorders>
              <w:top w:val="nil"/>
              <w:left w:val="nil"/>
              <w:bottom w:val="single" w:sz="4" w:space="0" w:color="auto"/>
              <w:right w:val="single" w:sz="4" w:space="0" w:color="auto"/>
            </w:tcBorders>
            <w:shd w:val="clear" w:color="auto" w:fill="auto"/>
          </w:tcPr>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Минимизация объёма сделок в иностранной валюте</w:t>
            </w:r>
          </w:p>
        </w:tc>
        <w:tc>
          <w:tcPr>
            <w:tcW w:w="1701" w:type="dxa"/>
            <w:tcBorders>
              <w:top w:val="nil"/>
              <w:left w:val="nil"/>
              <w:bottom w:val="single" w:sz="4" w:space="0" w:color="auto"/>
              <w:right w:val="single" w:sz="4" w:space="0" w:color="auto"/>
            </w:tcBorders>
            <w:shd w:val="clear" w:color="auto" w:fill="auto"/>
            <w:noWrap/>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Высокая</w:t>
            </w:r>
          </w:p>
        </w:tc>
        <w:tc>
          <w:tcPr>
            <w:tcW w:w="1842" w:type="dxa"/>
            <w:tcBorders>
              <w:top w:val="nil"/>
              <w:left w:val="nil"/>
              <w:bottom w:val="single" w:sz="4" w:space="0" w:color="auto"/>
              <w:right w:val="single" w:sz="4" w:space="0" w:color="auto"/>
            </w:tcBorders>
            <w:shd w:val="clear" w:color="auto" w:fill="auto"/>
            <w:noWrap/>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Несущественное</w:t>
            </w:r>
          </w:p>
        </w:tc>
      </w:tr>
      <w:tr w:rsidR="0001645A" w:rsidRPr="004761E0" w:rsidTr="0001645A">
        <w:trPr>
          <w:cantSplit/>
        </w:trPr>
        <w:tc>
          <w:tcPr>
            <w:tcW w:w="582" w:type="dxa"/>
            <w:tcBorders>
              <w:top w:val="nil"/>
              <w:left w:val="single" w:sz="4" w:space="0" w:color="auto"/>
              <w:bottom w:val="single" w:sz="4" w:space="0" w:color="auto"/>
              <w:right w:val="single" w:sz="4" w:space="0" w:color="auto"/>
            </w:tcBorders>
            <w:shd w:val="clear" w:color="auto" w:fill="auto"/>
            <w:noWrap/>
          </w:tcPr>
          <w:p w:rsidR="0001645A" w:rsidRPr="004761E0" w:rsidRDefault="0001645A" w:rsidP="007076A7">
            <w:pPr>
              <w:pStyle w:val="a5"/>
              <w:numPr>
                <w:ilvl w:val="0"/>
                <w:numId w:val="149"/>
              </w:numPr>
              <w:tabs>
                <w:tab w:val="left" w:pos="242"/>
              </w:tabs>
              <w:ind w:left="0" w:firstLine="0"/>
              <w:contextualSpacing w:val="0"/>
              <w:jc w:val="left"/>
              <w:rPr>
                <w:rFonts w:eastAsia="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rFonts w:eastAsia="Times New Roman"/>
                <w:color w:val="000000"/>
                <w:sz w:val="20"/>
                <w:szCs w:val="20"/>
                <w:lang w:eastAsia="ru-RU"/>
              </w:rPr>
              <w:t>Неопределённость нерегулируемой цены покупки потерь</w:t>
            </w:r>
          </w:p>
        </w:tc>
        <w:tc>
          <w:tcPr>
            <w:tcW w:w="2960" w:type="dxa"/>
            <w:tcBorders>
              <w:top w:val="nil"/>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rFonts w:eastAsia="Times New Roman"/>
                <w:color w:val="000000"/>
                <w:sz w:val="20"/>
                <w:szCs w:val="20"/>
                <w:lang w:eastAsia="ru-RU"/>
              </w:rPr>
              <w:t>Возможный рост средней цены покупки потерь относительно планового значения ввиду колебания цен на топливно-энергетические ресурсы, колебания цен на розничном рынке электроэнергии</w:t>
            </w:r>
          </w:p>
        </w:tc>
        <w:tc>
          <w:tcPr>
            <w:tcW w:w="6396" w:type="dxa"/>
            <w:tcBorders>
              <w:top w:val="nil"/>
              <w:left w:val="nil"/>
              <w:bottom w:val="single" w:sz="4" w:space="0" w:color="auto"/>
              <w:right w:val="single" w:sz="4" w:space="0" w:color="auto"/>
            </w:tcBorders>
            <w:shd w:val="clear" w:color="auto" w:fill="auto"/>
          </w:tcPr>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Планирование затрат на покупку потерь с учётом возможного роста нерегулируемой цены потерь на розничном рынке э/э;</w:t>
            </w:r>
          </w:p>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Мониторинг изменения цены покупки потерь, подготовка предложений по корректировке Бизнес-плана в части курируемой статьи затрат в случае значительных отклонений фактичес</w:t>
            </w:r>
            <w:r w:rsidR="00E20318">
              <w:rPr>
                <w:rFonts w:eastAsia="Times New Roman"/>
                <w:color w:val="000000"/>
                <w:sz w:val="20"/>
                <w:szCs w:val="20"/>
                <w:lang w:eastAsia="ru-RU"/>
              </w:rPr>
              <w:t>кого значения цены от планового.</w:t>
            </w:r>
          </w:p>
        </w:tc>
        <w:tc>
          <w:tcPr>
            <w:tcW w:w="1701" w:type="dxa"/>
            <w:tcBorders>
              <w:top w:val="nil"/>
              <w:left w:val="nil"/>
              <w:bottom w:val="single" w:sz="4" w:space="0" w:color="auto"/>
              <w:right w:val="single" w:sz="4" w:space="0" w:color="auto"/>
            </w:tcBorders>
            <w:shd w:val="clear" w:color="auto" w:fill="auto"/>
            <w:noWrap/>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Средняя</w:t>
            </w:r>
          </w:p>
        </w:tc>
        <w:tc>
          <w:tcPr>
            <w:tcW w:w="1842" w:type="dxa"/>
            <w:tcBorders>
              <w:top w:val="nil"/>
              <w:left w:val="nil"/>
              <w:bottom w:val="single" w:sz="4" w:space="0" w:color="auto"/>
              <w:right w:val="single" w:sz="4" w:space="0" w:color="auto"/>
            </w:tcBorders>
            <w:shd w:val="clear" w:color="auto" w:fill="auto"/>
            <w:noWrap/>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Существенное</w:t>
            </w:r>
          </w:p>
        </w:tc>
      </w:tr>
      <w:tr w:rsidR="0001645A" w:rsidRPr="004761E0" w:rsidTr="0001645A">
        <w:trPr>
          <w:cantSplit/>
        </w:trPr>
        <w:tc>
          <w:tcPr>
            <w:tcW w:w="582" w:type="dxa"/>
            <w:tcBorders>
              <w:top w:val="nil"/>
              <w:left w:val="single" w:sz="4" w:space="0" w:color="auto"/>
              <w:bottom w:val="single" w:sz="4" w:space="0" w:color="auto"/>
              <w:right w:val="single" w:sz="4" w:space="0" w:color="auto"/>
            </w:tcBorders>
            <w:shd w:val="clear" w:color="auto" w:fill="auto"/>
            <w:noWrap/>
          </w:tcPr>
          <w:p w:rsidR="0001645A" w:rsidRPr="004761E0" w:rsidRDefault="0001645A" w:rsidP="007076A7">
            <w:pPr>
              <w:pStyle w:val="a5"/>
              <w:numPr>
                <w:ilvl w:val="0"/>
                <w:numId w:val="149"/>
              </w:numPr>
              <w:tabs>
                <w:tab w:val="left" w:pos="242"/>
              </w:tabs>
              <w:ind w:left="0" w:firstLine="0"/>
              <w:contextualSpacing w:val="0"/>
              <w:jc w:val="left"/>
              <w:rPr>
                <w:rFonts w:eastAsia="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rFonts w:eastAsia="Times New Roman"/>
                <w:color w:val="000000"/>
                <w:sz w:val="20"/>
                <w:szCs w:val="20"/>
                <w:lang w:eastAsia="ru-RU"/>
              </w:rPr>
              <w:t>Неопределённость ставки ТСО</w:t>
            </w:r>
          </w:p>
        </w:tc>
        <w:tc>
          <w:tcPr>
            <w:tcW w:w="2960" w:type="dxa"/>
            <w:tcBorders>
              <w:top w:val="nil"/>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rFonts w:eastAsia="Times New Roman"/>
                <w:color w:val="000000"/>
                <w:sz w:val="20"/>
                <w:szCs w:val="20"/>
                <w:lang w:eastAsia="ru-RU"/>
              </w:rPr>
              <w:t>Возможный рост тарифов на передачу электроэнергии по сетям территориальных сетевых организаций относительно планового объёма в связи с решениями регулирующих органов</w:t>
            </w:r>
          </w:p>
        </w:tc>
        <w:tc>
          <w:tcPr>
            <w:tcW w:w="6396" w:type="dxa"/>
            <w:tcBorders>
              <w:top w:val="nil"/>
              <w:left w:val="nil"/>
              <w:bottom w:val="single" w:sz="4" w:space="0" w:color="auto"/>
              <w:right w:val="single" w:sz="4" w:space="0" w:color="auto"/>
            </w:tcBorders>
            <w:shd w:val="clear" w:color="auto" w:fill="auto"/>
          </w:tcPr>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Мониторинг изменения ставок на содержание ТСО, корректировка Бизнес-плана в случае значительных отклонений фактического значения ставок ТСО от планового;</w:t>
            </w:r>
          </w:p>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Консолидация ТСО с целью сокращения издержек и повышения качества и надёжности электроснабжения.</w:t>
            </w:r>
          </w:p>
        </w:tc>
        <w:tc>
          <w:tcPr>
            <w:tcW w:w="1701" w:type="dxa"/>
            <w:tcBorders>
              <w:top w:val="nil"/>
              <w:left w:val="nil"/>
              <w:bottom w:val="single" w:sz="4" w:space="0" w:color="auto"/>
              <w:right w:val="single" w:sz="4" w:space="0" w:color="auto"/>
            </w:tcBorders>
            <w:shd w:val="clear" w:color="auto" w:fill="auto"/>
            <w:noWrap/>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Высокая</w:t>
            </w:r>
          </w:p>
        </w:tc>
        <w:tc>
          <w:tcPr>
            <w:tcW w:w="1842" w:type="dxa"/>
            <w:tcBorders>
              <w:top w:val="nil"/>
              <w:left w:val="nil"/>
              <w:bottom w:val="single" w:sz="4" w:space="0" w:color="auto"/>
              <w:right w:val="single" w:sz="4" w:space="0" w:color="auto"/>
            </w:tcBorders>
            <w:shd w:val="clear" w:color="auto" w:fill="auto"/>
            <w:noWrap/>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Существенное</w:t>
            </w:r>
          </w:p>
        </w:tc>
      </w:tr>
      <w:tr w:rsidR="0001645A" w:rsidRPr="004761E0" w:rsidTr="0001645A">
        <w:trPr>
          <w:cantSplit/>
        </w:trPr>
        <w:tc>
          <w:tcPr>
            <w:tcW w:w="582" w:type="dxa"/>
            <w:tcBorders>
              <w:top w:val="nil"/>
              <w:left w:val="single" w:sz="4" w:space="0" w:color="auto"/>
              <w:bottom w:val="single" w:sz="4" w:space="0" w:color="auto"/>
              <w:right w:val="single" w:sz="4" w:space="0" w:color="auto"/>
            </w:tcBorders>
            <w:shd w:val="clear" w:color="auto" w:fill="auto"/>
            <w:noWrap/>
          </w:tcPr>
          <w:p w:rsidR="0001645A" w:rsidRPr="004761E0" w:rsidRDefault="0001645A" w:rsidP="007076A7">
            <w:pPr>
              <w:pStyle w:val="a5"/>
              <w:numPr>
                <w:ilvl w:val="0"/>
                <w:numId w:val="149"/>
              </w:numPr>
              <w:tabs>
                <w:tab w:val="left" w:pos="242"/>
              </w:tabs>
              <w:ind w:left="0" w:firstLine="0"/>
              <w:contextualSpacing w:val="0"/>
              <w:jc w:val="left"/>
              <w:rPr>
                <w:rFonts w:eastAsia="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rFonts w:eastAsia="Times New Roman"/>
                <w:color w:val="000000"/>
                <w:sz w:val="20"/>
                <w:szCs w:val="20"/>
                <w:lang w:eastAsia="ru-RU"/>
              </w:rPr>
              <w:t>Технический (эксплуатационный) риск</w:t>
            </w:r>
          </w:p>
        </w:tc>
        <w:tc>
          <w:tcPr>
            <w:tcW w:w="2960" w:type="dxa"/>
            <w:tcBorders>
              <w:top w:val="nil"/>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rFonts w:eastAsia="Times New Roman"/>
                <w:color w:val="000000"/>
                <w:sz w:val="20"/>
                <w:szCs w:val="20"/>
                <w:lang w:eastAsia="ru-RU"/>
              </w:rPr>
              <w:t>Риск, связанный с технологическими нарушениями (в т.ч. авариями в сети)</w:t>
            </w:r>
          </w:p>
        </w:tc>
        <w:tc>
          <w:tcPr>
            <w:tcW w:w="6396" w:type="dxa"/>
            <w:tcBorders>
              <w:top w:val="nil"/>
              <w:left w:val="nil"/>
              <w:bottom w:val="single" w:sz="4" w:space="0" w:color="auto"/>
              <w:right w:val="single" w:sz="4" w:space="0" w:color="auto"/>
            </w:tcBorders>
            <w:shd w:val="clear" w:color="auto" w:fill="auto"/>
          </w:tcPr>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 xml:space="preserve">Создание системы метеорологического мониторинга, формирования прогнозов погоды и предупреждения об опасных явлениях погоды; </w:t>
            </w:r>
          </w:p>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Расширение просек распределительных сетей и высоковольтных воздушных линий до нормативного состояния;</w:t>
            </w:r>
          </w:p>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Перевод оперативно-выездных и ремонтно-эксплуатационных бригад в режим мобильных бригад;</w:t>
            </w:r>
          </w:p>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Выполнение ремонтов по результатам оценки текущего технического состояния основных производственных средств</w:t>
            </w:r>
          </w:p>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 xml:space="preserve">Страхование электросетевых объектов; </w:t>
            </w:r>
          </w:p>
        </w:tc>
        <w:tc>
          <w:tcPr>
            <w:tcW w:w="1701" w:type="dxa"/>
            <w:tcBorders>
              <w:top w:val="nil"/>
              <w:left w:val="nil"/>
              <w:bottom w:val="single" w:sz="4" w:space="0" w:color="auto"/>
              <w:right w:val="single" w:sz="4" w:space="0" w:color="auto"/>
            </w:tcBorders>
            <w:shd w:val="clear" w:color="auto" w:fill="auto"/>
            <w:noWrap/>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Высокая</w:t>
            </w:r>
          </w:p>
        </w:tc>
        <w:tc>
          <w:tcPr>
            <w:tcW w:w="1842" w:type="dxa"/>
            <w:tcBorders>
              <w:top w:val="nil"/>
              <w:left w:val="nil"/>
              <w:bottom w:val="single" w:sz="4" w:space="0" w:color="auto"/>
              <w:right w:val="single" w:sz="4" w:space="0" w:color="auto"/>
            </w:tcBorders>
            <w:shd w:val="clear" w:color="auto" w:fill="auto"/>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Несущественное</w:t>
            </w:r>
          </w:p>
        </w:tc>
      </w:tr>
      <w:tr w:rsidR="0001645A" w:rsidRPr="004761E0" w:rsidTr="0001645A">
        <w:trPr>
          <w:cantSplit/>
        </w:trPr>
        <w:tc>
          <w:tcPr>
            <w:tcW w:w="582" w:type="dxa"/>
            <w:tcBorders>
              <w:top w:val="single" w:sz="4" w:space="0" w:color="auto"/>
              <w:left w:val="single" w:sz="4" w:space="0" w:color="auto"/>
              <w:bottom w:val="single" w:sz="4" w:space="0" w:color="auto"/>
              <w:right w:val="single" w:sz="4" w:space="0" w:color="auto"/>
            </w:tcBorders>
            <w:shd w:val="clear" w:color="auto" w:fill="auto"/>
            <w:noWrap/>
          </w:tcPr>
          <w:p w:rsidR="0001645A" w:rsidRPr="004761E0" w:rsidRDefault="0001645A" w:rsidP="007076A7">
            <w:pPr>
              <w:pStyle w:val="a5"/>
              <w:numPr>
                <w:ilvl w:val="0"/>
                <w:numId w:val="149"/>
              </w:numPr>
              <w:tabs>
                <w:tab w:val="left" w:pos="242"/>
              </w:tabs>
              <w:ind w:left="0" w:firstLine="0"/>
              <w:contextualSpacing w:val="0"/>
              <w:jc w:val="left"/>
              <w:rPr>
                <w:rFonts w:eastAsia="Times New Roman"/>
                <w:color w:val="000000"/>
                <w:sz w:val="20"/>
                <w:szCs w:val="20"/>
                <w:lang w:eastAsia="ru-RU"/>
              </w:rPr>
            </w:pPr>
          </w:p>
        </w:tc>
        <w:tc>
          <w:tcPr>
            <w:tcW w:w="2268" w:type="dxa"/>
            <w:tcBorders>
              <w:top w:val="single" w:sz="4" w:space="0" w:color="auto"/>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Нарушение Обществом антимонопольного законодательства при осуществлении технологических присоединений </w:t>
            </w:r>
          </w:p>
        </w:tc>
        <w:tc>
          <w:tcPr>
            <w:tcW w:w="2960" w:type="dxa"/>
            <w:tcBorders>
              <w:top w:val="single" w:sz="4" w:space="0" w:color="auto"/>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rFonts w:eastAsia="Times New Roman"/>
                <w:color w:val="000000"/>
                <w:sz w:val="20"/>
                <w:szCs w:val="20"/>
                <w:lang w:eastAsia="ru-RU"/>
              </w:rPr>
              <w:t>Штрафы со стороны антимонопольного органа в связи с превышением законодательно установленных сроков оформления оферт на договора технологического присоединения и исполнения договоров.</w:t>
            </w:r>
          </w:p>
        </w:tc>
        <w:tc>
          <w:tcPr>
            <w:tcW w:w="6396" w:type="dxa"/>
            <w:tcBorders>
              <w:top w:val="single" w:sz="4" w:space="0" w:color="auto"/>
              <w:left w:val="nil"/>
              <w:bottom w:val="single" w:sz="4" w:space="0" w:color="auto"/>
              <w:right w:val="single" w:sz="4" w:space="0" w:color="auto"/>
            </w:tcBorders>
            <w:shd w:val="clear" w:color="auto" w:fill="auto"/>
          </w:tcPr>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Сокращение внутренних нормативных сроков присоединения потребителей;</w:t>
            </w:r>
          </w:p>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Развитие CRM-системы на основе требований утвержденных регламентов технологического присоединения. Развитие интерактивных сервисов: внедрение сервиса электронной подачи заявки и sms-уведомлений о ходе технологического присоединения;</w:t>
            </w:r>
          </w:p>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 xml:space="preserve">Подача в суд заявлений о признании незаконными постановлений антимонопольных органов о наложении административных штрафов в части назначения наказания и снижении размера штрафов до 100 тыс. руб. </w:t>
            </w:r>
          </w:p>
        </w:tc>
        <w:tc>
          <w:tcPr>
            <w:tcW w:w="1701" w:type="dxa"/>
            <w:tcBorders>
              <w:top w:val="single" w:sz="4" w:space="0" w:color="auto"/>
              <w:left w:val="nil"/>
              <w:bottom w:val="single" w:sz="4" w:space="0" w:color="auto"/>
              <w:right w:val="single" w:sz="4" w:space="0" w:color="auto"/>
            </w:tcBorders>
            <w:shd w:val="clear" w:color="auto" w:fill="auto"/>
            <w:noWrap/>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Высокая</w:t>
            </w:r>
          </w:p>
        </w:tc>
        <w:tc>
          <w:tcPr>
            <w:tcW w:w="1842" w:type="dxa"/>
            <w:tcBorders>
              <w:top w:val="single" w:sz="4" w:space="0" w:color="auto"/>
              <w:left w:val="nil"/>
              <w:bottom w:val="single" w:sz="4" w:space="0" w:color="auto"/>
              <w:right w:val="single" w:sz="4" w:space="0" w:color="auto"/>
            </w:tcBorders>
            <w:shd w:val="clear" w:color="auto" w:fill="auto"/>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Несущественное</w:t>
            </w:r>
          </w:p>
        </w:tc>
      </w:tr>
      <w:tr w:rsidR="0001645A" w:rsidRPr="004761E0" w:rsidTr="0001645A">
        <w:trPr>
          <w:cantSplit/>
        </w:trPr>
        <w:tc>
          <w:tcPr>
            <w:tcW w:w="582" w:type="dxa"/>
            <w:tcBorders>
              <w:top w:val="single" w:sz="4" w:space="0" w:color="auto"/>
              <w:left w:val="single" w:sz="4" w:space="0" w:color="auto"/>
              <w:bottom w:val="single" w:sz="4" w:space="0" w:color="auto"/>
              <w:right w:val="single" w:sz="4" w:space="0" w:color="auto"/>
            </w:tcBorders>
            <w:shd w:val="clear" w:color="auto" w:fill="auto"/>
            <w:noWrap/>
          </w:tcPr>
          <w:p w:rsidR="0001645A" w:rsidRPr="004761E0" w:rsidRDefault="0001645A" w:rsidP="007076A7">
            <w:pPr>
              <w:pStyle w:val="a5"/>
              <w:numPr>
                <w:ilvl w:val="0"/>
                <w:numId w:val="149"/>
              </w:numPr>
              <w:tabs>
                <w:tab w:val="left" w:pos="242"/>
              </w:tabs>
              <w:ind w:left="0" w:firstLine="0"/>
              <w:contextualSpacing w:val="0"/>
              <w:jc w:val="left"/>
              <w:rPr>
                <w:rFonts w:eastAsia="Times New Roman"/>
                <w:color w:val="000000"/>
                <w:sz w:val="20"/>
                <w:szCs w:val="20"/>
                <w:lang w:eastAsia="ru-RU"/>
              </w:rPr>
            </w:pPr>
          </w:p>
        </w:tc>
        <w:tc>
          <w:tcPr>
            <w:tcW w:w="2268" w:type="dxa"/>
            <w:tcBorders>
              <w:top w:val="single" w:sz="4" w:space="0" w:color="auto"/>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rFonts w:eastAsia="Times New Roman"/>
                <w:color w:val="000000"/>
                <w:sz w:val="20"/>
                <w:szCs w:val="20"/>
                <w:lang w:eastAsia="ru-RU"/>
              </w:rPr>
              <w:t>Рост дебиторской задолженности за услуги по передаче электроэнергии</w:t>
            </w:r>
          </w:p>
        </w:tc>
        <w:tc>
          <w:tcPr>
            <w:tcW w:w="2960" w:type="dxa"/>
            <w:tcBorders>
              <w:top w:val="single" w:sz="4" w:space="0" w:color="auto"/>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rFonts w:eastAsia="Times New Roman"/>
                <w:color w:val="000000"/>
                <w:sz w:val="20"/>
                <w:szCs w:val="20"/>
                <w:lang w:eastAsia="ru-RU"/>
              </w:rPr>
              <w:t>Риск, связанный с неоплатой потребителями (гарантирующими поставщиками и сбытовыми компаниями) услуг по передаче электроэнергии, бездоговорным и безучетным энергопотреблением.</w:t>
            </w:r>
          </w:p>
        </w:tc>
        <w:tc>
          <w:tcPr>
            <w:tcW w:w="6396" w:type="dxa"/>
            <w:tcBorders>
              <w:top w:val="single" w:sz="4" w:space="0" w:color="auto"/>
              <w:left w:val="nil"/>
              <w:bottom w:val="single" w:sz="4" w:space="0" w:color="auto"/>
              <w:right w:val="single" w:sz="4" w:space="0" w:color="auto"/>
            </w:tcBorders>
            <w:shd w:val="clear" w:color="auto" w:fill="auto"/>
          </w:tcPr>
          <w:p w:rsidR="0001645A" w:rsidRPr="004761E0" w:rsidRDefault="0001645A" w:rsidP="007076A7">
            <w:pPr>
              <w:pStyle w:val="a5"/>
              <w:numPr>
                <w:ilvl w:val="0"/>
                <w:numId w:val="150"/>
              </w:numPr>
              <w:ind w:left="459" w:hanging="425"/>
              <w:jc w:val="left"/>
              <w:rPr>
                <w:rFonts w:eastAsia="Times New Roman"/>
                <w:color w:val="000000"/>
                <w:sz w:val="20"/>
                <w:szCs w:val="20"/>
                <w:lang w:eastAsia="ru-RU"/>
              </w:rPr>
            </w:pPr>
            <w:r w:rsidRPr="004761E0">
              <w:rPr>
                <w:rFonts w:eastAsia="Times New Roman"/>
                <w:color w:val="000000"/>
                <w:sz w:val="20"/>
                <w:szCs w:val="20"/>
                <w:lang w:eastAsia="ru-RU"/>
              </w:rPr>
              <w:t>Проведение рейдов по выявлению неучтенного электропотребления электроэнергии;</w:t>
            </w:r>
          </w:p>
          <w:p w:rsidR="0001645A" w:rsidRPr="004761E0" w:rsidRDefault="0001645A" w:rsidP="007076A7">
            <w:pPr>
              <w:pStyle w:val="a5"/>
              <w:numPr>
                <w:ilvl w:val="0"/>
                <w:numId w:val="150"/>
              </w:numPr>
              <w:ind w:left="459" w:hanging="425"/>
              <w:jc w:val="left"/>
              <w:rPr>
                <w:rFonts w:eastAsia="Times New Roman"/>
                <w:color w:val="000000"/>
                <w:sz w:val="20"/>
                <w:szCs w:val="20"/>
                <w:lang w:eastAsia="ru-RU"/>
              </w:rPr>
            </w:pPr>
            <w:r w:rsidRPr="004761E0">
              <w:rPr>
                <w:rFonts w:eastAsia="Times New Roman"/>
                <w:color w:val="000000"/>
                <w:sz w:val="20"/>
                <w:szCs w:val="20"/>
                <w:lang w:eastAsia="ru-RU"/>
              </w:rPr>
              <w:t>Разработка внутренних нормативных документов по повышению эффективности работы с дебиторской и кредиторской задолженностью;</w:t>
            </w:r>
          </w:p>
          <w:p w:rsidR="0001645A" w:rsidRPr="004761E0" w:rsidRDefault="0001645A" w:rsidP="007076A7">
            <w:pPr>
              <w:pStyle w:val="a5"/>
              <w:numPr>
                <w:ilvl w:val="0"/>
                <w:numId w:val="150"/>
              </w:numPr>
              <w:ind w:left="459" w:hanging="425"/>
              <w:jc w:val="left"/>
              <w:rPr>
                <w:rFonts w:eastAsia="Times New Roman"/>
                <w:color w:val="000000"/>
                <w:sz w:val="20"/>
                <w:szCs w:val="20"/>
                <w:lang w:eastAsia="ru-RU"/>
              </w:rPr>
            </w:pPr>
            <w:r w:rsidRPr="004761E0">
              <w:rPr>
                <w:rFonts w:eastAsia="Times New Roman"/>
                <w:color w:val="000000"/>
                <w:sz w:val="20"/>
                <w:szCs w:val="20"/>
                <w:lang w:eastAsia="ru-RU"/>
              </w:rPr>
              <w:t>Проведение исковой работы по делам в сфере передачи электроэнергии</w:t>
            </w:r>
            <w:r w:rsidR="00D56A19" w:rsidRPr="004761E0">
              <w:rPr>
                <w:rFonts w:eastAsia="Times New Roman"/>
                <w:color w:val="000000"/>
                <w:sz w:val="20"/>
                <w:szCs w:val="20"/>
                <w:lang w:eastAsia="ru-RU"/>
              </w:rPr>
              <w:t>.</w:t>
            </w:r>
          </w:p>
        </w:tc>
        <w:tc>
          <w:tcPr>
            <w:tcW w:w="1701" w:type="dxa"/>
            <w:tcBorders>
              <w:top w:val="single" w:sz="4" w:space="0" w:color="auto"/>
              <w:left w:val="nil"/>
              <w:bottom w:val="single" w:sz="4" w:space="0" w:color="auto"/>
              <w:right w:val="single" w:sz="4" w:space="0" w:color="auto"/>
            </w:tcBorders>
            <w:shd w:val="clear" w:color="auto" w:fill="auto"/>
            <w:noWrap/>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Высокая</w:t>
            </w:r>
          </w:p>
        </w:tc>
        <w:tc>
          <w:tcPr>
            <w:tcW w:w="1842" w:type="dxa"/>
            <w:tcBorders>
              <w:top w:val="single" w:sz="4" w:space="0" w:color="auto"/>
              <w:left w:val="nil"/>
              <w:bottom w:val="single" w:sz="4" w:space="0" w:color="auto"/>
              <w:right w:val="single" w:sz="4" w:space="0" w:color="auto"/>
            </w:tcBorders>
            <w:shd w:val="clear" w:color="auto" w:fill="auto"/>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Несущественное</w:t>
            </w:r>
          </w:p>
        </w:tc>
      </w:tr>
      <w:tr w:rsidR="0001645A" w:rsidRPr="004761E0" w:rsidTr="0001645A">
        <w:trPr>
          <w:cantSplit/>
        </w:trPr>
        <w:tc>
          <w:tcPr>
            <w:tcW w:w="582" w:type="dxa"/>
            <w:tcBorders>
              <w:top w:val="single" w:sz="4" w:space="0" w:color="auto"/>
              <w:left w:val="single" w:sz="4" w:space="0" w:color="auto"/>
              <w:bottom w:val="single" w:sz="4" w:space="0" w:color="auto"/>
              <w:right w:val="single" w:sz="4" w:space="0" w:color="auto"/>
            </w:tcBorders>
            <w:shd w:val="clear" w:color="auto" w:fill="auto"/>
            <w:noWrap/>
          </w:tcPr>
          <w:p w:rsidR="0001645A" w:rsidRPr="004761E0" w:rsidRDefault="0001645A" w:rsidP="007076A7">
            <w:pPr>
              <w:pStyle w:val="a5"/>
              <w:numPr>
                <w:ilvl w:val="0"/>
                <w:numId w:val="149"/>
              </w:numPr>
              <w:tabs>
                <w:tab w:val="left" w:pos="242"/>
              </w:tabs>
              <w:ind w:left="0" w:firstLine="0"/>
              <w:contextualSpacing w:val="0"/>
              <w:jc w:val="left"/>
              <w:rPr>
                <w:rFonts w:eastAsia="Times New Roman"/>
                <w:color w:val="000000"/>
                <w:sz w:val="20"/>
                <w:szCs w:val="20"/>
                <w:lang w:eastAsia="ru-RU"/>
              </w:rPr>
            </w:pPr>
          </w:p>
        </w:tc>
        <w:tc>
          <w:tcPr>
            <w:tcW w:w="2268" w:type="dxa"/>
            <w:tcBorders>
              <w:top w:val="single" w:sz="4" w:space="0" w:color="auto"/>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rFonts w:eastAsia="Times New Roman"/>
                <w:color w:val="000000"/>
                <w:sz w:val="20"/>
                <w:szCs w:val="20"/>
                <w:lang w:eastAsia="ru-RU"/>
              </w:rPr>
              <w:t>Признание безнадежной и списание на убытки ДЗ за выданные авансы по технологическим присоединениям</w:t>
            </w:r>
          </w:p>
        </w:tc>
        <w:tc>
          <w:tcPr>
            <w:tcW w:w="2960" w:type="dxa"/>
            <w:tcBorders>
              <w:top w:val="single" w:sz="4" w:space="0" w:color="auto"/>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rFonts w:eastAsia="Times New Roman"/>
                <w:color w:val="000000"/>
                <w:sz w:val="20"/>
                <w:szCs w:val="20"/>
                <w:lang w:eastAsia="ru-RU"/>
              </w:rPr>
              <w:t>Невозврат денежных средств, перечисленных участникам системы «одного окна» (в соответствии с отменённым с 2011 г. Постановлением РЭК г. Москвы от 25.09.2006 № 40</w:t>
            </w:r>
            <w:r w:rsidRPr="006F4AB8">
              <w:rPr>
                <w:rStyle w:val="af1"/>
              </w:rPr>
              <w:footnoteReference w:id="102"/>
            </w:r>
            <w:r w:rsidRPr="004761E0">
              <w:rPr>
                <w:rFonts w:eastAsia="Times New Roman"/>
                <w:color w:val="000000"/>
                <w:sz w:val="20"/>
                <w:szCs w:val="20"/>
                <w:lang w:eastAsia="ru-RU"/>
              </w:rPr>
              <w:t>)  по технологическому присоединению в г. Москве в виде авансов в период с 2006-2010 гг.</w:t>
            </w:r>
          </w:p>
        </w:tc>
        <w:tc>
          <w:tcPr>
            <w:tcW w:w="6396" w:type="dxa"/>
            <w:tcBorders>
              <w:top w:val="single" w:sz="4" w:space="0" w:color="auto"/>
              <w:left w:val="nil"/>
              <w:bottom w:val="single" w:sz="4" w:space="0" w:color="auto"/>
              <w:right w:val="single" w:sz="4" w:space="0" w:color="auto"/>
            </w:tcBorders>
            <w:shd w:val="clear" w:color="auto" w:fill="auto"/>
          </w:tcPr>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Подача регрессных исков с учетом сложившейся судебной практики по делам по искам потребителей о взыскании денежных средств в связи с расторжением договоров на осуществление технологического присоединения;</w:t>
            </w:r>
          </w:p>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Проведение переговоров с участием представителей Правительства г. Москвы, контролирующего акционера и участников системы «Одного окна» с целью выработки конструктивных решений.</w:t>
            </w:r>
          </w:p>
        </w:tc>
        <w:tc>
          <w:tcPr>
            <w:tcW w:w="1701" w:type="dxa"/>
            <w:tcBorders>
              <w:top w:val="single" w:sz="4" w:space="0" w:color="auto"/>
              <w:left w:val="nil"/>
              <w:bottom w:val="single" w:sz="4" w:space="0" w:color="auto"/>
              <w:right w:val="single" w:sz="4" w:space="0" w:color="auto"/>
            </w:tcBorders>
            <w:shd w:val="clear" w:color="auto" w:fill="auto"/>
            <w:noWrap/>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Высокая</w:t>
            </w:r>
          </w:p>
        </w:tc>
        <w:tc>
          <w:tcPr>
            <w:tcW w:w="1842" w:type="dxa"/>
            <w:tcBorders>
              <w:top w:val="single" w:sz="4" w:space="0" w:color="auto"/>
              <w:left w:val="nil"/>
              <w:bottom w:val="single" w:sz="4" w:space="0" w:color="auto"/>
              <w:right w:val="single" w:sz="4" w:space="0" w:color="auto"/>
            </w:tcBorders>
            <w:shd w:val="clear" w:color="auto" w:fill="auto"/>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Существенное</w:t>
            </w:r>
          </w:p>
        </w:tc>
      </w:tr>
      <w:tr w:rsidR="0001645A" w:rsidRPr="004761E0" w:rsidTr="0001645A">
        <w:trPr>
          <w:cantSplit/>
        </w:trPr>
        <w:tc>
          <w:tcPr>
            <w:tcW w:w="582" w:type="dxa"/>
            <w:tcBorders>
              <w:top w:val="single" w:sz="4" w:space="0" w:color="auto"/>
              <w:left w:val="single" w:sz="4" w:space="0" w:color="auto"/>
              <w:bottom w:val="single" w:sz="4" w:space="0" w:color="auto"/>
              <w:right w:val="single" w:sz="4" w:space="0" w:color="auto"/>
            </w:tcBorders>
            <w:shd w:val="clear" w:color="auto" w:fill="auto"/>
            <w:noWrap/>
          </w:tcPr>
          <w:p w:rsidR="0001645A" w:rsidRPr="004761E0" w:rsidRDefault="0001645A" w:rsidP="007076A7">
            <w:pPr>
              <w:pStyle w:val="a5"/>
              <w:numPr>
                <w:ilvl w:val="0"/>
                <w:numId w:val="149"/>
              </w:numPr>
              <w:tabs>
                <w:tab w:val="left" w:pos="242"/>
              </w:tabs>
              <w:ind w:left="0" w:firstLine="0"/>
              <w:contextualSpacing w:val="0"/>
              <w:jc w:val="left"/>
              <w:rPr>
                <w:rFonts w:eastAsia="Times New Roman"/>
                <w:color w:val="000000"/>
                <w:sz w:val="20"/>
                <w:szCs w:val="20"/>
                <w:lang w:eastAsia="ru-RU"/>
              </w:rPr>
            </w:pPr>
          </w:p>
        </w:tc>
        <w:tc>
          <w:tcPr>
            <w:tcW w:w="2268" w:type="dxa"/>
            <w:tcBorders>
              <w:top w:val="single" w:sz="4" w:space="0" w:color="auto"/>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rFonts w:eastAsia="Times New Roman"/>
                <w:color w:val="000000"/>
                <w:sz w:val="20"/>
                <w:szCs w:val="20"/>
                <w:lang w:eastAsia="ru-RU"/>
              </w:rPr>
              <w:t>Инвестиционный риск</w:t>
            </w:r>
          </w:p>
        </w:tc>
        <w:tc>
          <w:tcPr>
            <w:tcW w:w="2960" w:type="dxa"/>
            <w:tcBorders>
              <w:top w:val="single" w:sz="4" w:space="0" w:color="auto"/>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rFonts w:eastAsia="Times New Roman"/>
                <w:color w:val="000000"/>
                <w:sz w:val="20"/>
                <w:szCs w:val="20"/>
                <w:lang w:eastAsia="ru-RU"/>
              </w:rPr>
              <w:t>Риск, связанный с несвоевременным исполнением инвестиционной программы</w:t>
            </w:r>
          </w:p>
        </w:tc>
        <w:tc>
          <w:tcPr>
            <w:tcW w:w="6396" w:type="dxa"/>
            <w:tcBorders>
              <w:top w:val="single" w:sz="4" w:space="0" w:color="auto"/>
              <w:left w:val="nil"/>
              <w:bottom w:val="single" w:sz="4" w:space="0" w:color="auto"/>
              <w:right w:val="single" w:sz="4" w:space="0" w:color="auto"/>
            </w:tcBorders>
            <w:shd w:val="clear" w:color="auto" w:fill="auto"/>
          </w:tcPr>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Корректировка инвестиционной программы по мере поступления заявок на технологическое присоединение;</w:t>
            </w:r>
          </w:p>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Осуществление контроля соблюдения сроков утверждения проектно-сметной документации;</w:t>
            </w:r>
          </w:p>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Осуществление контроля за оформлением исходно-разрешительной документации;</w:t>
            </w:r>
          </w:p>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Разработка механизма, исключающего внесение изменений в технические требования, технические задания, технические условия в части основных технических решений, на этапе реализации инвестиционных проектов.</w:t>
            </w:r>
          </w:p>
        </w:tc>
        <w:tc>
          <w:tcPr>
            <w:tcW w:w="1701" w:type="dxa"/>
            <w:tcBorders>
              <w:top w:val="single" w:sz="4" w:space="0" w:color="auto"/>
              <w:left w:val="nil"/>
              <w:bottom w:val="single" w:sz="4" w:space="0" w:color="auto"/>
              <w:right w:val="single" w:sz="4" w:space="0" w:color="auto"/>
            </w:tcBorders>
            <w:shd w:val="clear" w:color="auto" w:fill="auto"/>
            <w:noWrap/>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Низкая</w:t>
            </w:r>
          </w:p>
        </w:tc>
        <w:tc>
          <w:tcPr>
            <w:tcW w:w="1842" w:type="dxa"/>
            <w:tcBorders>
              <w:top w:val="single" w:sz="4" w:space="0" w:color="auto"/>
              <w:left w:val="nil"/>
              <w:bottom w:val="single" w:sz="4" w:space="0" w:color="auto"/>
              <w:right w:val="single" w:sz="4" w:space="0" w:color="auto"/>
            </w:tcBorders>
            <w:shd w:val="clear" w:color="auto" w:fill="auto"/>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Несущественное</w:t>
            </w:r>
          </w:p>
        </w:tc>
      </w:tr>
      <w:tr w:rsidR="0001645A" w:rsidRPr="004761E0" w:rsidTr="0001645A">
        <w:trPr>
          <w:cantSplit/>
        </w:trPr>
        <w:tc>
          <w:tcPr>
            <w:tcW w:w="582" w:type="dxa"/>
            <w:tcBorders>
              <w:top w:val="single" w:sz="4" w:space="0" w:color="auto"/>
              <w:left w:val="single" w:sz="4" w:space="0" w:color="auto"/>
              <w:bottom w:val="single" w:sz="4" w:space="0" w:color="auto"/>
              <w:right w:val="single" w:sz="4" w:space="0" w:color="auto"/>
            </w:tcBorders>
            <w:shd w:val="clear" w:color="auto" w:fill="auto"/>
            <w:noWrap/>
          </w:tcPr>
          <w:p w:rsidR="0001645A" w:rsidRPr="004761E0" w:rsidRDefault="0001645A" w:rsidP="007076A7">
            <w:pPr>
              <w:pStyle w:val="a5"/>
              <w:numPr>
                <w:ilvl w:val="0"/>
                <w:numId w:val="149"/>
              </w:numPr>
              <w:tabs>
                <w:tab w:val="left" w:pos="242"/>
              </w:tabs>
              <w:ind w:left="0" w:firstLine="0"/>
              <w:contextualSpacing w:val="0"/>
              <w:jc w:val="left"/>
              <w:rPr>
                <w:rFonts w:eastAsia="Times New Roman"/>
                <w:color w:val="000000"/>
                <w:sz w:val="20"/>
                <w:szCs w:val="20"/>
                <w:lang w:eastAsia="ru-RU"/>
              </w:rPr>
            </w:pPr>
          </w:p>
        </w:tc>
        <w:tc>
          <w:tcPr>
            <w:tcW w:w="2268" w:type="dxa"/>
            <w:tcBorders>
              <w:top w:val="single" w:sz="4" w:space="0" w:color="auto"/>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rFonts w:eastAsia="Times New Roman"/>
                <w:color w:val="000000"/>
                <w:sz w:val="20"/>
                <w:szCs w:val="20"/>
                <w:lang w:eastAsia="ru-RU"/>
              </w:rPr>
              <w:t>Производственный травматизм</w:t>
            </w:r>
          </w:p>
        </w:tc>
        <w:tc>
          <w:tcPr>
            <w:tcW w:w="2960" w:type="dxa"/>
            <w:tcBorders>
              <w:top w:val="single" w:sz="4" w:space="0" w:color="auto"/>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rFonts w:eastAsia="Times New Roman"/>
                <w:color w:val="000000"/>
                <w:sz w:val="20"/>
                <w:szCs w:val="20"/>
                <w:lang w:eastAsia="ru-RU"/>
              </w:rPr>
              <w:t>Риск, связанный с несчастными случаями на производстве</w:t>
            </w:r>
          </w:p>
        </w:tc>
        <w:tc>
          <w:tcPr>
            <w:tcW w:w="6396" w:type="dxa"/>
            <w:tcBorders>
              <w:top w:val="single" w:sz="4" w:space="0" w:color="auto"/>
              <w:left w:val="nil"/>
              <w:bottom w:val="single" w:sz="4" w:space="0" w:color="auto"/>
              <w:right w:val="single" w:sz="4" w:space="0" w:color="auto"/>
            </w:tcBorders>
            <w:shd w:val="clear" w:color="auto" w:fill="auto"/>
          </w:tcPr>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Выполнение мероприятий, предусмотренных программой по снижению рисков производственного травматизма;</w:t>
            </w:r>
          </w:p>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Страхование сотрудников Общества от несчастных случаев и болезней.</w:t>
            </w:r>
          </w:p>
        </w:tc>
        <w:tc>
          <w:tcPr>
            <w:tcW w:w="1701" w:type="dxa"/>
            <w:tcBorders>
              <w:top w:val="single" w:sz="4" w:space="0" w:color="auto"/>
              <w:left w:val="nil"/>
              <w:bottom w:val="single" w:sz="4" w:space="0" w:color="auto"/>
              <w:right w:val="single" w:sz="4" w:space="0" w:color="auto"/>
            </w:tcBorders>
            <w:shd w:val="clear" w:color="auto" w:fill="auto"/>
            <w:noWrap/>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Средняя</w:t>
            </w:r>
          </w:p>
        </w:tc>
        <w:tc>
          <w:tcPr>
            <w:tcW w:w="1842" w:type="dxa"/>
            <w:tcBorders>
              <w:top w:val="single" w:sz="4" w:space="0" w:color="auto"/>
              <w:left w:val="nil"/>
              <w:bottom w:val="single" w:sz="4" w:space="0" w:color="auto"/>
              <w:right w:val="single" w:sz="4" w:space="0" w:color="auto"/>
            </w:tcBorders>
            <w:shd w:val="clear" w:color="auto" w:fill="auto"/>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Несущественное</w:t>
            </w:r>
            <w:r w:rsidRPr="006F4AB8">
              <w:rPr>
                <w:rStyle w:val="af1"/>
              </w:rPr>
              <w:footnoteReference w:id="103"/>
            </w:r>
          </w:p>
        </w:tc>
      </w:tr>
      <w:tr w:rsidR="0001645A" w:rsidRPr="004761E0" w:rsidTr="0001645A">
        <w:trPr>
          <w:cantSplit/>
        </w:trPr>
        <w:tc>
          <w:tcPr>
            <w:tcW w:w="582" w:type="dxa"/>
            <w:tcBorders>
              <w:top w:val="single" w:sz="4" w:space="0" w:color="auto"/>
              <w:left w:val="single" w:sz="4" w:space="0" w:color="auto"/>
              <w:bottom w:val="single" w:sz="4" w:space="0" w:color="auto"/>
              <w:right w:val="single" w:sz="4" w:space="0" w:color="auto"/>
            </w:tcBorders>
            <w:shd w:val="clear" w:color="auto" w:fill="auto"/>
            <w:noWrap/>
          </w:tcPr>
          <w:p w:rsidR="0001645A" w:rsidRPr="004761E0" w:rsidRDefault="0001645A" w:rsidP="007076A7">
            <w:pPr>
              <w:pStyle w:val="a5"/>
              <w:numPr>
                <w:ilvl w:val="0"/>
                <w:numId w:val="149"/>
              </w:numPr>
              <w:tabs>
                <w:tab w:val="left" w:pos="242"/>
              </w:tabs>
              <w:ind w:left="0" w:firstLine="0"/>
              <w:contextualSpacing w:val="0"/>
              <w:jc w:val="left"/>
              <w:rPr>
                <w:rFonts w:eastAsia="Times New Roman"/>
                <w:color w:val="000000"/>
                <w:sz w:val="20"/>
                <w:szCs w:val="20"/>
                <w:lang w:eastAsia="ru-RU"/>
              </w:rPr>
            </w:pPr>
          </w:p>
        </w:tc>
        <w:tc>
          <w:tcPr>
            <w:tcW w:w="2268" w:type="dxa"/>
            <w:tcBorders>
              <w:top w:val="single" w:sz="4" w:space="0" w:color="auto"/>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rFonts w:eastAsia="Times New Roman"/>
                <w:color w:val="000000"/>
                <w:sz w:val="20"/>
                <w:szCs w:val="20"/>
                <w:lang w:eastAsia="ru-RU"/>
              </w:rPr>
              <w:t>Риски корпоративного управления</w:t>
            </w:r>
          </w:p>
        </w:tc>
        <w:tc>
          <w:tcPr>
            <w:tcW w:w="2960" w:type="dxa"/>
            <w:tcBorders>
              <w:top w:val="single" w:sz="4" w:space="0" w:color="auto"/>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rFonts w:eastAsia="Times New Roman"/>
                <w:color w:val="000000"/>
                <w:sz w:val="20"/>
                <w:szCs w:val="20"/>
                <w:lang w:eastAsia="ru-RU"/>
              </w:rPr>
              <w:t>Риск обжалования акционерами крупных сделок, а также сделок, в совершении которых имеется заинтересованность (в случае совершения таких сделок с нарушением установленных корпоративных процедур).</w:t>
            </w:r>
          </w:p>
        </w:tc>
        <w:tc>
          <w:tcPr>
            <w:tcW w:w="6396" w:type="dxa"/>
            <w:tcBorders>
              <w:top w:val="single" w:sz="4" w:space="0" w:color="auto"/>
              <w:left w:val="nil"/>
              <w:bottom w:val="single" w:sz="4" w:space="0" w:color="auto"/>
              <w:right w:val="single" w:sz="4" w:space="0" w:color="auto"/>
            </w:tcBorders>
            <w:shd w:val="clear" w:color="auto" w:fill="auto"/>
          </w:tcPr>
          <w:p w:rsidR="0001645A" w:rsidRPr="004761E0" w:rsidRDefault="0001645A" w:rsidP="007076A7">
            <w:pPr>
              <w:pStyle w:val="a5"/>
              <w:numPr>
                <w:ilvl w:val="0"/>
                <w:numId w:val="150"/>
              </w:numPr>
              <w:ind w:left="459" w:hanging="425"/>
              <w:jc w:val="left"/>
              <w:rPr>
                <w:rFonts w:eastAsia="Times New Roman"/>
                <w:color w:val="000000"/>
                <w:sz w:val="20"/>
                <w:szCs w:val="20"/>
                <w:lang w:eastAsia="ru-RU"/>
              </w:rPr>
            </w:pPr>
            <w:r w:rsidRPr="004761E0">
              <w:rPr>
                <w:rFonts w:eastAsia="Times New Roman"/>
                <w:color w:val="000000"/>
                <w:sz w:val="20"/>
                <w:szCs w:val="20"/>
                <w:lang w:eastAsia="ru-RU"/>
              </w:rPr>
              <w:t xml:space="preserve">Проведение предварительного правового анализа заключаемых сделок на предмет наличия оснований проведения предварительных корпоративных процедур, предусмотренных действующим законодательством и /или Уставом </w:t>
            </w:r>
            <w:r w:rsidR="0008080E">
              <w:rPr>
                <w:rFonts w:eastAsia="Times New Roman"/>
                <w:color w:val="000000"/>
                <w:sz w:val="20"/>
                <w:szCs w:val="20"/>
                <w:lang w:eastAsia="ru-RU"/>
              </w:rPr>
              <w:t>ОАО </w:t>
            </w:r>
            <w:r w:rsidRPr="004761E0">
              <w:rPr>
                <w:rFonts w:eastAsia="Times New Roman"/>
                <w:color w:val="000000"/>
                <w:sz w:val="20"/>
                <w:szCs w:val="20"/>
                <w:lang w:eastAsia="ru-RU"/>
              </w:rPr>
              <w:t>«МОЭСК».</w:t>
            </w:r>
          </w:p>
          <w:p w:rsidR="0001645A" w:rsidRPr="004761E0" w:rsidRDefault="0001645A" w:rsidP="007076A7">
            <w:pPr>
              <w:pStyle w:val="a5"/>
              <w:numPr>
                <w:ilvl w:val="0"/>
                <w:numId w:val="150"/>
              </w:numPr>
              <w:ind w:left="459" w:hanging="425"/>
              <w:contextualSpacing w:val="0"/>
              <w:jc w:val="left"/>
              <w:rPr>
                <w:rFonts w:eastAsia="Times New Roman"/>
                <w:color w:val="000000"/>
                <w:sz w:val="20"/>
                <w:szCs w:val="20"/>
                <w:lang w:eastAsia="ru-RU"/>
              </w:rPr>
            </w:pPr>
            <w:r w:rsidRPr="004761E0">
              <w:rPr>
                <w:rFonts w:eastAsia="Times New Roman"/>
                <w:color w:val="000000"/>
                <w:sz w:val="20"/>
                <w:szCs w:val="20"/>
                <w:lang w:eastAsia="ru-RU"/>
              </w:rPr>
              <w:t>Реализация мероприятий, направленных на информационное взаимодействие с акционерами, осуществление мер по соблюдению законных прав и интересов последних.</w:t>
            </w:r>
          </w:p>
        </w:tc>
        <w:tc>
          <w:tcPr>
            <w:tcW w:w="1701" w:type="dxa"/>
            <w:tcBorders>
              <w:top w:val="single" w:sz="4" w:space="0" w:color="auto"/>
              <w:left w:val="nil"/>
              <w:bottom w:val="single" w:sz="4" w:space="0" w:color="auto"/>
              <w:right w:val="single" w:sz="4" w:space="0" w:color="auto"/>
            </w:tcBorders>
            <w:shd w:val="clear" w:color="auto" w:fill="auto"/>
            <w:noWrap/>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Низкая</w:t>
            </w:r>
          </w:p>
        </w:tc>
        <w:tc>
          <w:tcPr>
            <w:tcW w:w="1842" w:type="dxa"/>
            <w:tcBorders>
              <w:top w:val="single" w:sz="4" w:space="0" w:color="auto"/>
              <w:left w:val="nil"/>
              <w:bottom w:val="single" w:sz="4" w:space="0" w:color="auto"/>
              <w:right w:val="single" w:sz="4" w:space="0" w:color="auto"/>
            </w:tcBorders>
            <w:shd w:val="clear" w:color="auto" w:fill="auto"/>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Несущественное</w:t>
            </w:r>
          </w:p>
        </w:tc>
      </w:tr>
      <w:tr w:rsidR="0001645A" w:rsidRPr="004761E0" w:rsidTr="0001645A">
        <w:trPr>
          <w:cantSplit/>
        </w:trPr>
        <w:tc>
          <w:tcPr>
            <w:tcW w:w="582" w:type="dxa"/>
            <w:tcBorders>
              <w:top w:val="single" w:sz="4" w:space="0" w:color="auto"/>
              <w:left w:val="single" w:sz="4" w:space="0" w:color="auto"/>
              <w:bottom w:val="single" w:sz="4" w:space="0" w:color="auto"/>
              <w:right w:val="single" w:sz="4" w:space="0" w:color="auto"/>
            </w:tcBorders>
            <w:shd w:val="clear" w:color="auto" w:fill="auto"/>
            <w:noWrap/>
          </w:tcPr>
          <w:p w:rsidR="0001645A" w:rsidRPr="004761E0" w:rsidRDefault="0001645A" w:rsidP="007076A7">
            <w:pPr>
              <w:pStyle w:val="a5"/>
              <w:numPr>
                <w:ilvl w:val="0"/>
                <w:numId w:val="149"/>
              </w:numPr>
              <w:tabs>
                <w:tab w:val="left" w:pos="242"/>
              </w:tabs>
              <w:ind w:left="0" w:firstLine="0"/>
              <w:contextualSpacing w:val="0"/>
              <w:jc w:val="left"/>
              <w:rPr>
                <w:rFonts w:eastAsia="Times New Roman"/>
                <w:color w:val="000000"/>
                <w:sz w:val="20"/>
                <w:szCs w:val="20"/>
                <w:lang w:eastAsia="ru-RU"/>
              </w:rPr>
            </w:pPr>
          </w:p>
        </w:tc>
        <w:tc>
          <w:tcPr>
            <w:tcW w:w="2268" w:type="dxa"/>
            <w:tcBorders>
              <w:top w:val="single" w:sz="4" w:space="0" w:color="auto"/>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bCs/>
                <w:iCs/>
                <w:sz w:val="20"/>
                <w:szCs w:val="20"/>
              </w:rPr>
              <w:t>Изменение налогового законодательства</w:t>
            </w:r>
          </w:p>
        </w:tc>
        <w:tc>
          <w:tcPr>
            <w:tcW w:w="2960" w:type="dxa"/>
            <w:tcBorders>
              <w:top w:val="single" w:sz="4" w:space="0" w:color="auto"/>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rFonts w:eastAsia="Times New Roman"/>
                <w:color w:val="000000"/>
                <w:sz w:val="20"/>
                <w:szCs w:val="20"/>
                <w:lang w:eastAsia="ru-RU"/>
              </w:rPr>
              <w:t>Риск, связанный с изменением системы налогооболожения, налоговых ставок, порядка уплаты налогов</w:t>
            </w:r>
          </w:p>
        </w:tc>
        <w:tc>
          <w:tcPr>
            <w:tcW w:w="6396" w:type="dxa"/>
            <w:tcBorders>
              <w:top w:val="single" w:sz="4" w:space="0" w:color="auto"/>
              <w:left w:val="nil"/>
              <w:bottom w:val="single" w:sz="4" w:space="0" w:color="auto"/>
              <w:right w:val="single" w:sz="4" w:space="0" w:color="auto"/>
            </w:tcBorders>
            <w:shd w:val="clear" w:color="auto" w:fill="auto"/>
          </w:tcPr>
          <w:p w:rsidR="0001645A" w:rsidRPr="004761E0" w:rsidRDefault="0001645A" w:rsidP="007076A7">
            <w:pPr>
              <w:pStyle w:val="a5"/>
              <w:numPr>
                <w:ilvl w:val="0"/>
                <w:numId w:val="150"/>
              </w:numPr>
              <w:ind w:left="459" w:hanging="425"/>
              <w:jc w:val="left"/>
              <w:rPr>
                <w:rFonts w:eastAsia="Times New Roman"/>
                <w:color w:val="000000"/>
                <w:sz w:val="20"/>
                <w:szCs w:val="20"/>
                <w:lang w:eastAsia="ru-RU"/>
              </w:rPr>
            </w:pPr>
            <w:r w:rsidRPr="004761E0">
              <w:rPr>
                <w:rFonts w:eastAsia="Times New Roman"/>
                <w:color w:val="000000"/>
                <w:sz w:val="20"/>
                <w:szCs w:val="20"/>
                <w:lang w:eastAsia="ru-RU"/>
              </w:rPr>
              <w:t>Проведение постоянной работы по совершенствованию расчета налоговой базы в строгом соответствии с действующим законодательством Российской Федерации</w:t>
            </w:r>
          </w:p>
          <w:p w:rsidR="0001645A" w:rsidRPr="004761E0" w:rsidRDefault="0001645A" w:rsidP="007076A7">
            <w:pPr>
              <w:pStyle w:val="a5"/>
              <w:numPr>
                <w:ilvl w:val="0"/>
                <w:numId w:val="150"/>
              </w:numPr>
              <w:ind w:left="459" w:hanging="425"/>
              <w:jc w:val="left"/>
              <w:rPr>
                <w:rFonts w:eastAsia="Times New Roman"/>
                <w:color w:val="000000"/>
                <w:sz w:val="20"/>
                <w:szCs w:val="20"/>
                <w:lang w:eastAsia="ru-RU"/>
              </w:rPr>
            </w:pPr>
            <w:r w:rsidRPr="004761E0">
              <w:rPr>
                <w:rFonts w:eastAsia="Times New Roman"/>
                <w:color w:val="000000"/>
                <w:sz w:val="20"/>
                <w:szCs w:val="20"/>
                <w:lang w:eastAsia="ru-RU"/>
              </w:rPr>
              <w:t>Планирование финансово-хозяйственной деятельности с учетом действующего налогового законодательства</w:t>
            </w:r>
          </w:p>
        </w:tc>
        <w:tc>
          <w:tcPr>
            <w:tcW w:w="1701" w:type="dxa"/>
            <w:tcBorders>
              <w:top w:val="single" w:sz="4" w:space="0" w:color="auto"/>
              <w:left w:val="nil"/>
              <w:bottom w:val="single" w:sz="4" w:space="0" w:color="auto"/>
              <w:right w:val="single" w:sz="4" w:space="0" w:color="auto"/>
            </w:tcBorders>
            <w:shd w:val="clear" w:color="auto" w:fill="auto"/>
            <w:noWrap/>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Низкая</w:t>
            </w:r>
          </w:p>
        </w:tc>
        <w:tc>
          <w:tcPr>
            <w:tcW w:w="1842" w:type="dxa"/>
            <w:tcBorders>
              <w:top w:val="single" w:sz="4" w:space="0" w:color="auto"/>
              <w:left w:val="nil"/>
              <w:bottom w:val="single" w:sz="4" w:space="0" w:color="auto"/>
              <w:right w:val="single" w:sz="4" w:space="0" w:color="auto"/>
            </w:tcBorders>
            <w:shd w:val="clear" w:color="auto" w:fill="auto"/>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Несущественное</w:t>
            </w:r>
          </w:p>
        </w:tc>
      </w:tr>
      <w:tr w:rsidR="0001645A" w:rsidRPr="004761E0" w:rsidTr="0001645A">
        <w:trPr>
          <w:cantSplit/>
        </w:trPr>
        <w:tc>
          <w:tcPr>
            <w:tcW w:w="582" w:type="dxa"/>
            <w:tcBorders>
              <w:top w:val="single" w:sz="4" w:space="0" w:color="auto"/>
              <w:left w:val="single" w:sz="4" w:space="0" w:color="auto"/>
              <w:bottom w:val="single" w:sz="4" w:space="0" w:color="auto"/>
              <w:right w:val="single" w:sz="4" w:space="0" w:color="auto"/>
            </w:tcBorders>
            <w:shd w:val="clear" w:color="auto" w:fill="auto"/>
            <w:noWrap/>
          </w:tcPr>
          <w:p w:rsidR="0001645A" w:rsidRPr="004761E0" w:rsidRDefault="0001645A" w:rsidP="007076A7">
            <w:pPr>
              <w:pStyle w:val="a5"/>
              <w:numPr>
                <w:ilvl w:val="0"/>
                <w:numId w:val="149"/>
              </w:numPr>
              <w:tabs>
                <w:tab w:val="left" w:pos="242"/>
              </w:tabs>
              <w:ind w:left="0" w:firstLine="0"/>
              <w:contextualSpacing w:val="0"/>
              <w:jc w:val="left"/>
              <w:rPr>
                <w:rFonts w:eastAsia="Times New Roman"/>
                <w:color w:val="000000"/>
                <w:sz w:val="20"/>
                <w:szCs w:val="20"/>
                <w:lang w:eastAsia="ru-RU"/>
              </w:rPr>
            </w:pPr>
          </w:p>
        </w:tc>
        <w:tc>
          <w:tcPr>
            <w:tcW w:w="2268" w:type="dxa"/>
            <w:tcBorders>
              <w:top w:val="single" w:sz="4" w:space="0" w:color="auto"/>
              <w:left w:val="nil"/>
              <w:bottom w:val="single" w:sz="4" w:space="0" w:color="auto"/>
              <w:right w:val="single" w:sz="4" w:space="0" w:color="auto"/>
            </w:tcBorders>
            <w:shd w:val="clear" w:color="auto" w:fill="auto"/>
          </w:tcPr>
          <w:p w:rsidR="0001645A" w:rsidRPr="004761E0" w:rsidRDefault="0001645A" w:rsidP="00BF53E8">
            <w:pPr>
              <w:ind w:firstLine="0"/>
              <w:jc w:val="left"/>
              <w:rPr>
                <w:bCs/>
                <w:iCs/>
                <w:sz w:val="20"/>
                <w:szCs w:val="20"/>
              </w:rPr>
            </w:pPr>
            <w:r w:rsidRPr="004761E0">
              <w:rPr>
                <w:bCs/>
                <w:iCs/>
                <w:sz w:val="20"/>
                <w:szCs w:val="20"/>
              </w:rPr>
              <w:t>Изменение требований по лицензированию основной деятельности</w:t>
            </w:r>
          </w:p>
        </w:tc>
        <w:tc>
          <w:tcPr>
            <w:tcW w:w="2960" w:type="dxa"/>
            <w:tcBorders>
              <w:top w:val="single" w:sz="4" w:space="0" w:color="auto"/>
              <w:left w:val="nil"/>
              <w:bottom w:val="single" w:sz="4" w:space="0" w:color="auto"/>
              <w:right w:val="single" w:sz="4" w:space="0" w:color="auto"/>
            </w:tcBorders>
            <w:shd w:val="clear" w:color="auto" w:fill="auto"/>
          </w:tcPr>
          <w:p w:rsidR="0001645A" w:rsidRPr="004761E0" w:rsidRDefault="0001645A" w:rsidP="00BF53E8">
            <w:pPr>
              <w:ind w:firstLine="0"/>
              <w:jc w:val="left"/>
              <w:rPr>
                <w:rFonts w:eastAsia="Times New Roman"/>
                <w:color w:val="000000"/>
                <w:sz w:val="20"/>
                <w:szCs w:val="20"/>
                <w:lang w:eastAsia="ru-RU"/>
              </w:rPr>
            </w:pPr>
            <w:r w:rsidRPr="004761E0">
              <w:rPr>
                <w:bCs/>
                <w:iCs/>
                <w:sz w:val="20"/>
                <w:szCs w:val="20"/>
              </w:rPr>
              <w:t>Риск, связанный с увеличением срока подготовки документов, необходимых для продления срока действия лицензии, а так же необходимостью соответствия требованиям по лицензированию.</w:t>
            </w:r>
          </w:p>
        </w:tc>
        <w:tc>
          <w:tcPr>
            <w:tcW w:w="6396" w:type="dxa"/>
            <w:tcBorders>
              <w:top w:val="single" w:sz="4" w:space="0" w:color="auto"/>
              <w:left w:val="nil"/>
              <w:bottom w:val="single" w:sz="4" w:space="0" w:color="auto"/>
              <w:right w:val="single" w:sz="4" w:space="0" w:color="auto"/>
            </w:tcBorders>
            <w:shd w:val="clear" w:color="auto" w:fill="auto"/>
          </w:tcPr>
          <w:p w:rsidR="0001645A" w:rsidRPr="004761E0" w:rsidRDefault="0001645A" w:rsidP="007076A7">
            <w:pPr>
              <w:pStyle w:val="a5"/>
              <w:numPr>
                <w:ilvl w:val="0"/>
                <w:numId w:val="150"/>
              </w:numPr>
              <w:ind w:left="459" w:hanging="425"/>
              <w:jc w:val="left"/>
              <w:rPr>
                <w:rFonts w:eastAsia="Times New Roman"/>
                <w:color w:val="000000"/>
                <w:sz w:val="20"/>
                <w:szCs w:val="20"/>
                <w:lang w:eastAsia="ru-RU"/>
              </w:rPr>
            </w:pPr>
            <w:r w:rsidRPr="004761E0">
              <w:rPr>
                <w:rFonts w:eastAsia="Times New Roman"/>
                <w:color w:val="000000"/>
                <w:sz w:val="20"/>
                <w:szCs w:val="20"/>
                <w:lang w:eastAsia="ru-RU"/>
              </w:rPr>
              <w:t>Проведение все необходимых мероприятий по своевременному получению лицензий и разрешений.</w:t>
            </w:r>
          </w:p>
        </w:tc>
        <w:tc>
          <w:tcPr>
            <w:tcW w:w="1701" w:type="dxa"/>
            <w:tcBorders>
              <w:top w:val="single" w:sz="4" w:space="0" w:color="auto"/>
              <w:left w:val="nil"/>
              <w:bottom w:val="single" w:sz="4" w:space="0" w:color="auto"/>
              <w:right w:val="single" w:sz="4" w:space="0" w:color="auto"/>
            </w:tcBorders>
            <w:shd w:val="clear" w:color="auto" w:fill="auto"/>
            <w:noWrap/>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Низкая</w:t>
            </w:r>
          </w:p>
        </w:tc>
        <w:tc>
          <w:tcPr>
            <w:tcW w:w="1842" w:type="dxa"/>
            <w:tcBorders>
              <w:top w:val="single" w:sz="4" w:space="0" w:color="auto"/>
              <w:left w:val="nil"/>
              <w:bottom w:val="single" w:sz="4" w:space="0" w:color="auto"/>
              <w:right w:val="single" w:sz="4" w:space="0" w:color="auto"/>
            </w:tcBorders>
            <w:shd w:val="clear" w:color="auto" w:fill="auto"/>
          </w:tcPr>
          <w:p w:rsidR="0001645A" w:rsidRPr="004761E0" w:rsidRDefault="0001645A" w:rsidP="00BF53E8">
            <w:pPr>
              <w:ind w:firstLine="0"/>
              <w:jc w:val="center"/>
              <w:rPr>
                <w:rFonts w:eastAsia="Times New Roman"/>
                <w:color w:val="000000"/>
                <w:sz w:val="20"/>
                <w:szCs w:val="20"/>
                <w:lang w:eastAsia="ru-RU"/>
              </w:rPr>
            </w:pPr>
            <w:r w:rsidRPr="004761E0">
              <w:rPr>
                <w:rFonts w:eastAsia="Times New Roman"/>
                <w:color w:val="000000"/>
                <w:sz w:val="20"/>
                <w:szCs w:val="20"/>
                <w:lang w:eastAsia="ru-RU"/>
              </w:rPr>
              <w:t>Несущественное</w:t>
            </w:r>
          </w:p>
        </w:tc>
      </w:tr>
    </w:tbl>
    <w:p w:rsidR="0001645A" w:rsidRPr="004761E0" w:rsidRDefault="0001645A" w:rsidP="0001645A">
      <w:pPr>
        <w:spacing w:before="120" w:after="120"/>
        <w:ind w:firstLine="567"/>
        <w:rPr>
          <w:b/>
          <w:sz w:val="26"/>
          <w:szCs w:val="26"/>
        </w:rPr>
      </w:pPr>
      <w:r w:rsidRPr="004761E0">
        <w:rPr>
          <w:b/>
          <w:sz w:val="26"/>
          <w:szCs w:val="26"/>
        </w:rPr>
        <w:t xml:space="preserve">Риски, не вошедшие в общую классификацию </w:t>
      </w:r>
    </w:p>
    <w:p w:rsidR="0001645A" w:rsidRPr="004761E0" w:rsidRDefault="0001645A" w:rsidP="00743B24">
      <w:pPr>
        <w:spacing w:before="120" w:after="120"/>
        <w:ind w:firstLine="567"/>
        <w:rPr>
          <w:b/>
          <w:sz w:val="26"/>
          <w:szCs w:val="26"/>
          <w:lang w:eastAsia="ru-RU"/>
        </w:rPr>
      </w:pPr>
      <w:r w:rsidRPr="004761E0">
        <w:rPr>
          <w:b/>
          <w:sz w:val="26"/>
          <w:szCs w:val="26"/>
          <w:lang w:eastAsia="ru-RU"/>
        </w:rPr>
        <w:t>Риск землетрясений</w:t>
      </w:r>
    </w:p>
    <w:p w:rsidR="0001645A" w:rsidRPr="004761E0" w:rsidRDefault="0001645A" w:rsidP="0001645A">
      <w:pPr>
        <w:ind w:right="-1" w:firstLine="567"/>
        <w:rPr>
          <w:sz w:val="26"/>
          <w:szCs w:val="26"/>
        </w:rPr>
      </w:pPr>
      <w:r w:rsidRPr="004761E0">
        <w:rPr>
          <w:sz w:val="26"/>
          <w:szCs w:val="26"/>
        </w:rPr>
        <w:t xml:space="preserve">Район расположения имущества </w:t>
      </w:r>
      <w:r w:rsidR="0008080E">
        <w:rPr>
          <w:sz w:val="26"/>
          <w:szCs w:val="26"/>
        </w:rPr>
        <w:t>ОАО </w:t>
      </w:r>
      <w:r w:rsidRPr="004761E0">
        <w:rPr>
          <w:sz w:val="26"/>
          <w:szCs w:val="26"/>
        </w:rPr>
        <w:t>«МОЭСК» не относится к сейсмоопасным. Степень риска убытков от землетрясения отсутствует.</w:t>
      </w:r>
    </w:p>
    <w:p w:rsidR="0001645A" w:rsidRPr="004761E0" w:rsidRDefault="0001645A" w:rsidP="00743B24">
      <w:pPr>
        <w:spacing w:before="120" w:after="120"/>
        <w:ind w:firstLine="567"/>
        <w:rPr>
          <w:b/>
          <w:sz w:val="26"/>
          <w:szCs w:val="26"/>
          <w:lang w:eastAsia="ru-RU"/>
        </w:rPr>
      </w:pPr>
      <w:r w:rsidRPr="004761E0">
        <w:rPr>
          <w:b/>
          <w:sz w:val="26"/>
          <w:szCs w:val="26"/>
          <w:lang w:eastAsia="ru-RU"/>
        </w:rPr>
        <w:t>Риск наводнений</w:t>
      </w:r>
    </w:p>
    <w:p w:rsidR="0001645A" w:rsidRPr="004761E0" w:rsidRDefault="0001645A" w:rsidP="0001645A">
      <w:pPr>
        <w:ind w:right="-1" w:firstLine="567"/>
        <w:rPr>
          <w:sz w:val="26"/>
          <w:szCs w:val="26"/>
        </w:rPr>
      </w:pPr>
      <w:r w:rsidRPr="004761E0">
        <w:rPr>
          <w:sz w:val="26"/>
          <w:szCs w:val="26"/>
        </w:rPr>
        <w:t>Часть воздушных линий электропередачи Компании проходит по поймам рек Московской области - районах возможного затопления территории при весенних паводках. Резкие подъемы уровня воды могут иметь место после снежных зим, однако расход воды большинства рек зарегулирован плотинами гидроузлов, что снижает амплитуду колебания уровня воды при весенних паводках. Степень риска убытков от затопления или подтопления оценивается как низкая</w:t>
      </w:r>
    </w:p>
    <w:p w:rsidR="0001645A" w:rsidRPr="004761E0" w:rsidRDefault="0001645A" w:rsidP="00743B24">
      <w:pPr>
        <w:spacing w:before="120" w:after="120"/>
        <w:ind w:firstLine="567"/>
        <w:rPr>
          <w:b/>
          <w:sz w:val="26"/>
          <w:szCs w:val="26"/>
          <w:lang w:eastAsia="ru-RU"/>
        </w:rPr>
      </w:pPr>
      <w:r w:rsidRPr="004761E0">
        <w:rPr>
          <w:b/>
          <w:sz w:val="26"/>
          <w:szCs w:val="26"/>
          <w:lang w:eastAsia="ru-RU"/>
        </w:rPr>
        <w:t>Терроризм</w:t>
      </w:r>
    </w:p>
    <w:p w:rsidR="00605A52" w:rsidRDefault="00605A52" w:rsidP="00605A52">
      <w:pPr>
        <w:rPr>
          <w:sz w:val="26"/>
          <w:szCs w:val="26"/>
        </w:rPr>
      </w:pPr>
      <w:r>
        <w:rPr>
          <w:sz w:val="26"/>
          <w:szCs w:val="26"/>
        </w:rPr>
        <w:t xml:space="preserve">Территории расположения имущества Компании огорожены забором. Вход и выход на территорию подстанций осуществляется по пропускам. На обслуживаемых подстанциях всегда находится сменный дежурный персонал и охрана, ведется видеонаблюдение, подстанции без постоянного присутствия оперативного персонала, переходные пункты, кабельные сооружения </w:t>
      </w:r>
      <w:r>
        <w:rPr>
          <w:sz w:val="26"/>
          <w:szCs w:val="26"/>
        </w:rPr>
        <w:lastRenderedPageBreak/>
        <w:t>оборудованы охранной сигнализацией. Проникновение посторонних лиц на территорию расположения имущества Компании маловероятно, в т.ч. и для совершения диверсий. Угроза для рассматриваемых объектов стать объектом террористической атаки – минимальна. Степень риска убытков от террористического акта оценивается как незначительная.</w:t>
      </w:r>
    </w:p>
    <w:p w:rsidR="0001645A" w:rsidRPr="004761E0" w:rsidRDefault="0001645A" w:rsidP="0001645A">
      <w:pPr>
        <w:spacing w:before="120" w:after="120"/>
        <w:ind w:firstLine="567"/>
        <w:rPr>
          <w:b/>
          <w:sz w:val="26"/>
          <w:szCs w:val="26"/>
          <w:lang w:eastAsia="ru-RU"/>
        </w:rPr>
      </w:pPr>
      <w:r w:rsidRPr="004761E0">
        <w:rPr>
          <w:b/>
          <w:sz w:val="26"/>
          <w:szCs w:val="26"/>
          <w:lang w:eastAsia="ru-RU"/>
        </w:rPr>
        <w:t>Противоправные действия третьих лиц (кража, грабеж, разбой, умышленное или неосторожное уничтожение имущества)</w:t>
      </w:r>
    </w:p>
    <w:p w:rsidR="0001645A" w:rsidRPr="004761E0" w:rsidRDefault="0001645A" w:rsidP="0001645A">
      <w:pPr>
        <w:ind w:right="-1" w:firstLine="567"/>
        <w:rPr>
          <w:sz w:val="26"/>
          <w:szCs w:val="26"/>
        </w:rPr>
      </w:pPr>
      <w:r w:rsidRPr="004761E0">
        <w:rPr>
          <w:sz w:val="26"/>
          <w:szCs w:val="26"/>
        </w:rPr>
        <w:t xml:space="preserve">Значительных краж или хищений за период последних 5 лет на объектах </w:t>
      </w:r>
      <w:r w:rsidR="0008080E">
        <w:rPr>
          <w:sz w:val="26"/>
          <w:szCs w:val="26"/>
        </w:rPr>
        <w:t>ОАО </w:t>
      </w:r>
      <w:r w:rsidRPr="004761E0">
        <w:rPr>
          <w:sz w:val="26"/>
          <w:szCs w:val="26"/>
        </w:rPr>
        <w:t>«МОЭСК» не наблюдалось, что связано с высоким уровнем охраны периметра и строгим контрольно-пропускным режимом. Все автотранспортные средства, въезжающие на территории или выезжающие с территорий объектов Компании, подвергаются тщательному досмотру на контрольных постах охраны. Степень риска от данной группы опасностей оценивается как низкая.</w:t>
      </w:r>
    </w:p>
    <w:p w:rsidR="00710B10" w:rsidRPr="004761E0" w:rsidRDefault="00710B10" w:rsidP="00743B24">
      <w:pPr>
        <w:spacing w:before="120" w:after="120"/>
        <w:ind w:firstLine="567"/>
        <w:rPr>
          <w:b/>
          <w:sz w:val="26"/>
          <w:szCs w:val="26"/>
          <w:lang w:eastAsia="ru-RU"/>
        </w:rPr>
      </w:pPr>
      <w:r w:rsidRPr="004761E0">
        <w:rPr>
          <w:b/>
          <w:sz w:val="26"/>
          <w:szCs w:val="26"/>
          <w:lang w:eastAsia="ru-RU"/>
        </w:rPr>
        <w:t>Информация о неоконченных судебных разбирательствах по искам о взыскании задолженности на 31.12.2013</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951"/>
        <w:gridCol w:w="1286"/>
        <w:gridCol w:w="1560"/>
        <w:gridCol w:w="6520"/>
      </w:tblGrid>
      <w:tr w:rsidR="00710B10" w:rsidRPr="004761E0" w:rsidTr="00A66ECA">
        <w:tc>
          <w:tcPr>
            <w:tcW w:w="675" w:type="dxa"/>
            <w:tcBorders>
              <w:bottom w:val="single" w:sz="4" w:space="0" w:color="auto"/>
              <w:right w:val="single" w:sz="4" w:space="0" w:color="FFFFFF"/>
            </w:tcBorders>
            <w:shd w:val="clear" w:color="auto" w:fill="0F243E"/>
            <w:vAlign w:val="center"/>
          </w:tcPr>
          <w:p w:rsidR="00710B10" w:rsidRPr="004761E0" w:rsidRDefault="00710B10" w:rsidP="00A66ECA">
            <w:pPr>
              <w:ind w:firstLine="0"/>
              <w:jc w:val="left"/>
              <w:rPr>
                <w:b/>
                <w:color w:val="FFFFFF"/>
                <w:sz w:val="20"/>
                <w:szCs w:val="20"/>
              </w:rPr>
            </w:pPr>
            <w:r w:rsidRPr="004761E0">
              <w:rPr>
                <w:b/>
                <w:color w:val="FFFFFF"/>
                <w:sz w:val="20"/>
                <w:szCs w:val="20"/>
              </w:rPr>
              <w:t>№ п/п</w:t>
            </w:r>
          </w:p>
        </w:tc>
        <w:tc>
          <w:tcPr>
            <w:tcW w:w="4951" w:type="dxa"/>
            <w:tcBorders>
              <w:left w:val="single" w:sz="4" w:space="0" w:color="FFFFFF"/>
              <w:bottom w:val="single" w:sz="4" w:space="0" w:color="auto"/>
              <w:right w:val="single" w:sz="4" w:space="0" w:color="FFFFFF"/>
            </w:tcBorders>
            <w:shd w:val="clear" w:color="auto" w:fill="0F243E"/>
            <w:vAlign w:val="center"/>
          </w:tcPr>
          <w:p w:rsidR="00710B10" w:rsidRPr="004761E0" w:rsidRDefault="00710B10" w:rsidP="00A66ECA">
            <w:pPr>
              <w:ind w:firstLine="0"/>
              <w:jc w:val="left"/>
              <w:rPr>
                <w:b/>
                <w:color w:val="FFFFFF"/>
                <w:sz w:val="20"/>
                <w:szCs w:val="20"/>
              </w:rPr>
            </w:pPr>
            <w:r w:rsidRPr="004761E0">
              <w:rPr>
                <w:b/>
                <w:color w:val="FFFFFF"/>
                <w:sz w:val="20"/>
                <w:szCs w:val="20"/>
              </w:rPr>
              <w:t>Наименование категории</w:t>
            </w:r>
          </w:p>
        </w:tc>
        <w:tc>
          <w:tcPr>
            <w:tcW w:w="1286" w:type="dxa"/>
            <w:tcBorders>
              <w:left w:val="single" w:sz="4" w:space="0" w:color="FFFFFF"/>
              <w:bottom w:val="single" w:sz="4" w:space="0" w:color="auto"/>
              <w:right w:val="single" w:sz="4" w:space="0" w:color="FFFFFF"/>
            </w:tcBorders>
            <w:shd w:val="clear" w:color="auto" w:fill="0F243E"/>
            <w:vAlign w:val="center"/>
          </w:tcPr>
          <w:p w:rsidR="00710B10" w:rsidRPr="004761E0" w:rsidRDefault="00710B10" w:rsidP="00A66ECA">
            <w:pPr>
              <w:ind w:firstLine="0"/>
              <w:jc w:val="right"/>
              <w:rPr>
                <w:b/>
                <w:color w:val="FFFFFF"/>
                <w:sz w:val="20"/>
                <w:szCs w:val="20"/>
              </w:rPr>
            </w:pPr>
            <w:r w:rsidRPr="004761E0">
              <w:rPr>
                <w:b/>
                <w:color w:val="FFFFFF"/>
                <w:sz w:val="20"/>
                <w:szCs w:val="20"/>
              </w:rPr>
              <w:t>Количество дел, шт.</w:t>
            </w:r>
          </w:p>
        </w:tc>
        <w:tc>
          <w:tcPr>
            <w:tcW w:w="1560" w:type="dxa"/>
            <w:tcBorders>
              <w:left w:val="single" w:sz="4" w:space="0" w:color="FFFFFF"/>
              <w:bottom w:val="single" w:sz="4" w:space="0" w:color="auto"/>
              <w:right w:val="single" w:sz="4" w:space="0" w:color="FFFFFF"/>
            </w:tcBorders>
            <w:shd w:val="clear" w:color="auto" w:fill="0F243E"/>
            <w:vAlign w:val="center"/>
          </w:tcPr>
          <w:p w:rsidR="00710B10" w:rsidRPr="004761E0" w:rsidRDefault="00710B10" w:rsidP="00A66ECA">
            <w:pPr>
              <w:ind w:firstLine="0"/>
              <w:jc w:val="right"/>
              <w:rPr>
                <w:b/>
                <w:color w:val="FFFFFF"/>
                <w:sz w:val="20"/>
                <w:szCs w:val="20"/>
              </w:rPr>
            </w:pPr>
            <w:r w:rsidRPr="004761E0">
              <w:rPr>
                <w:b/>
                <w:color w:val="FFFFFF"/>
                <w:sz w:val="20"/>
                <w:szCs w:val="20"/>
              </w:rPr>
              <w:t xml:space="preserve">Общая сумма претензий, </w:t>
            </w:r>
          </w:p>
          <w:p w:rsidR="00710B10" w:rsidRPr="004761E0" w:rsidRDefault="00710B10" w:rsidP="00A66ECA">
            <w:pPr>
              <w:ind w:firstLine="0"/>
              <w:jc w:val="right"/>
              <w:rPr>
                <w:b/>
                <w:color w:val="FFFFFF"/>
                <w:sz w:val="20"/>
                <w:szCs w:val="20"/>
              </w:rPr>
            </w:pPr>
            <w:r w:rsidRPr="004761E0">
              <w:rPr>
                <w:b/>
                <w:color w:val="FFFFFF"/>
                <w:sz w:val="20"/>
                <w:szCs w:val="20"/>
              </w:rPr>
              <w:t>млн руб.</w:t>
            </w:r>
          </w:p>
        </w:tc>
        <w:tc>
          <w:tcPr>
            <w:tcW w:w="6520" w:type="dxa"/>
            <w:tcBorders>
              <w:left w:val="single" w:sz="4" w:space="0" w:color="FFFFFF"/>
              <w:bottom w:val="single" w:sz="4" w:space="0" w:color="auto"/>
            </w:tcBorders>
            <w:shd w:val="clear" w:color="auto" w:fill="0F243E"/>
            <w:vAlign w:val="center"/>
          </w:tcPr>
          <w:p w:rsidR="00710B10" w:rsidRPr="004761E0" w:rsidRDefault="00710B10" w:rsidP="00A66ECA">
            <w:pPr>
              <w:ind w:firstLine="0"/>
              <w:jc w:val="right"/>
              <w:rPr>
                <w:b/>
                <w:color w:val="FFFFFF"/>
                <w:sz w:val="20"/>
                <w:szCs w:val="20"/>
              </w:rPr>
            </w:pPr>
            <w:r w:rsidRPr="004761E0">
              <w:rPr>
                <w:b/>
                <w:color w:val="FFFFFF"/>
                <w:sz w:val="20"/>
                <w:szCs w:val="20"/>
              </w:rPr>
              <w:t>Суть дел</w:t>
            </w:r>
          </w:p>
        </w:tc>
      </w:tr>
      <w:tr w:rsidR="00710B10" w:rsidRPr="004761E0" w:rsidTr="00A66ECA">
        <w:tc>
          <w:tcPr>
            <w:tcW w:w="675" w:type="dxa"/>
            <w:shd w:val="clear" w:color="auto" w:fill="D9D9D9"/>
          </w:tcPr>
          <w:p w:rsidR="00710B10" w:rsidRPr="004761E0" w:rsidRDefault="00710B10" w:rsidP="007076A7">
            <w:pPr>
              <w:pStyle w:val="a5"/>
              <w:numPr>
                <w:ilvl w:val="0"/>
                <w:numId w:val="225"/>
              </w:numPr>
              <w:tabs>
                <w:tab w:val="left" w:pos="224"/>
              </w:tabs>
              <w:ind w:left="0" w:firstLine="0"/>
              <w:rPr>
                <w:b/>
                <w:sz w:val="20"/>
                <w:szCs w:val="20"/>
              </w:rPr>
            </w:pPr>
          </w:p>
        </w:tc>
        <w:tc>
          <w:tcPr>
            <w:tcW w:w="4951" w:type="dxa"/>
            <w:shd w:val="clear" w:color="auto" w:fill="D9D9D9"/>
          </w:tcPr>
          <w:p w:rsidR="00710B10" w:rsidRPr="004761E0" w:rsidRDefault="00710B10" w:rsidP="00A66ECA">
            <w:pPr>
              <w:ind w:firstLine="0"/>
              <w:jc w:val="left"/>
              <w:rPr>
                <w:sz w:val="20"/>
                <w:szCs w:val="20"/>
              </w:rPr>
            </w:pPr>
            <w:r w:rsidRPr="004761E0">
              <w:rPr>
                <w:b/>
                <w:sz w:val="20"/>
                <w:szCs w:val="20"/>
              </w:rPr>
              <w:t>Общество выступает в качестве ответчика (всего), в т.ч.:</w:t>
            </w:r>
          </w:p>
        </w:tc>
        <w:tc>
          <w:tcPr>
            <w:tcW w:w="1286" w:type="dxa"/>
            <w:shd w:val="clear" w:color="auto" w:fill="D9D9D9"/>
          </w:tcPr>
          <w:p w:rsidR="00710B10" w:rsidRPr="004761E0" w:rsidRDefault="00710B10" w:rsidP="00A66ECA">
            <w:pPr>
              <w:ind w:firstLine="0"/>
              <w:jc w:val="right"/>
              <w:rPr>
                <w:b/>
                <w:sz w:val="20"/>
                <w:szCs w:val="20"/>
              </w:rPr>
            </w:pPr>
            <w:r w:rsidRPr="004761E0">
              <w:rPr>
                <w:b/>
                <w:sz w:val="20"/>
                <w:szCs w:val="20"/>
              </w:rPr>
              <w:t>93</w:t>
            </w:r>
          </w:p>
        </w:tc>
        <w:tc>
          <w:tcPr>
            <w:tcW w:w="1560" w:type="dxa"/>
            <w:shd w:val="clear" w:color="auto" w:fill="D9D9D9"/>
          </w:tcPr>
          <w:p w:rsidR="00710B10" w:rsidRPr="004761E0" w:rsidRDefault="00710B10" w:rsidP="00A66ECA">
            <w:pPr>
              <w:ind w:firstLine="0"/>
              <w:jc w:val="right"/>
              <w:rPr>
                <w:b/>
                <w:sz w:val="20"/>
                <w:szCs w:val="20"/>
              </w:rPr>
            </w:pPr>
            <w:r w:rsidRPr="004761E0">
              <w:rPr>
                <w:b/>
                <w:sz w:val="20"/>
                <w:szCs w:val="20"/>
              </w:rPr>
              <w:t>4 798</w:t>
            </w:r>
          </w:p>
        </w:tc>
        <w:tc>
          <w:tcPr>
            <w:tcW w:w="6520" w:type="dxa"/>
            <w:shd w:val="clear" w:color="auto" w:fill="D9D9D9"/>
          </w:tcPr>
          <w:p w:rsidR="00710B10" w:rsidRPr="004761E0" w:rsidRDefault="00710B10" w:rsidP="00A66ECA">
            <w:pPr>
              <w:ind w:firstLine="0"/>
              <w:rPr>
                <w:sz w:val="20"/>
                <w:szCs w:val="20"/>
              </w:rPr>
            </w:pPr>
            <w:r w:rsidRPr="004761E0">
              <w:rPr>
                <w:sz w:val="20"/>
                <w:szCs w:val="20"/>
              </w:rPr>
              <w:t>–</w:t>
            </w:r>
          </w:p>
        </w:tc>
      </w:tr>
      <w:tr w:rsidR="00710B10" w:rsidRPr="004761E0" w:rsidTr="00A66ECA">
        <w:tc>
          <w:tcPr>
            <w:tcW w:w="675" w:type="dxa"/>
            <w:vMerge w:val="restart"/>
          </w:tcPr>
          <w:p w:rsidR="00710B10" w:rsidRPr="004761E0" w:rsidRDefault="00710B10" w:rsidP="007076A7">
            <w:pPr>
              <w:pStyle w:val="a5"/>
              <w:numPr>
                <w:ilvl w:val="1"/>
                <w:numId w:val="225"/>
              </w:numPr>
              <w:tabs>
                <w:tab w:val="left" w:pos="284"/>
              </w:tabs>
              <w:ind w:left="0" w:firstLine="0"/>
              <w:rPr>
                <w:sz w:val="20"/>
                <w:szCs w:val="20"/>
              </w:rPr>
            </w:pPr>
          </w:p>
        </w:tc>
        <w:tc>
          <w:tcPr>
            <w:tcW w:w="4951" w:type="dxa"/>
            <w:vMerge w:val="restart"/>
          </w:tcPr>
          <w:p w:rsidR="00710B10" w:rsidRPr="004761E0" w:rsidRDefault="00710B10" w:rsidP="00A66ECA">
            <w:pPr>
              <w:ind w:firstLine="0"/>
              <w:jc w:val="left"/>
              <w:rPr>
                <w:sz w:val="20"/>
                <w:szCs w:val="20"/>
              </w:rPr>
            </w:pPr>
            <w:r w:rsidRPr="004761E0">
              <w:rPr>
                <w:sz w:val="20"/>
                <w:szCs w:val="20"/>
              </w:rPr>
              <w:t>Дела по «Одному окну»</w:t>
            </w:r>
          </w:p>
        </w:tc>
        <w:tc>
          <w:tcPr>
            <w:tcW w:w="1286" w:type="dxa"/>
          </w:tcPr>
          <w:p w:rsidR="00710B10" w:rsidRPr="004761E0" w:rsidRDefault="00710B10" w:rsidP="00A66ECA">
            <w:pPr>
              <w:ind w:firstLine="0"/>
              <w:jc w:val="right"/>
              <w:rPr>
                <w:sz w:val="20"/>
                <w:szCs w:val="20"/>
              </w:rPr>
            </w:pPr>
            <w:r w:rsidRPr="004761E0">
              <w:rPr>
                <w:sz w:val="20"/>
                <w:szCs w:val="20"/>
              </w:rPr>
              <w:t>35</w:t>
            </w:r>
          </w:p>
        </w:tc>
        <w:tc>
          <w:tcPr>
            <w:tcW w:w="1560" w:type="dxa"/>
          </w:tcPr>
          <w:p w:rsidR="00710B10" w:rsidRPr="004761E0" w:rsidRDefault="00710B10" w:rsidP="00A66ECA">
            <w:pPr>
              <w:ind w:firstLine="0"/>
              <w:jc w:val="right"/>
              <w:rPr>
                <w:sz w:val="20"/>
                <w:szCs w:val="20"/>
              </w:rPr>
            </w:pPr>
            <w:r w:rsidRPr="004761E0">
              <w:rPr>
                <w:sz w:val="20"/>
                <w:szCs w:val="20"/>
              </w:rPr>
              <w:t>3 168</w:t>
            </w:r>
          </w:p>
        </w:tc>
        <w:tc>
          <w:tcPr>
            <w:tcW w:w="6520" w:type="dxa"/>
          </w:tcPr>
          <w:p w:rsidR="00710B10" w:rsidRPr="004761E0" w:rsidRDefault="00710B10" w:rsidP="00A66ECA">
            <w:pPr>
              <w:ind w:firstLine="0"/>
              <w:jc w:val="left"/>
              <w:rPr>
                <w:b/>
                <w:sz w:val="20"/>
                <w:szCs w:val="20"/>
              </w:rPr>
            </w:pPr>
            <w:r w:rsidRPr="004761E0">
              <w:rPr>
                <w:sz w:val="20"/>
                <w:szCs w:val="20"/>
              </w:rPr>
              <w:t>Иски заказчиков о возврате денежных средств в связи с расторжением договоров технологического присоединения</w:t>
            </w:r>
          </w:p>
        </w:tc>
      </w:tr>
      <w:tr w:rsidR="00710B10" w:rsidRPr="004761E0" w:rsidTr="00A66ECA">
        <w:tc>
          <w:tcPr>
            <w:tcW w:w="675" w:type="dxa"/>
            <w:vMerge/>
          </w:tcPr>
          <w:p w:rsidR="00710B10" w:rsidRPr="004761E0" w:rsidRDefault="00710B10" w:rsidP="00A66ECA">
            <w:pPr>
              <w:tabs>
                <w:tab w:val="left" w:pos="284"/>
              </w:tabs>
              <w:ind w:left="360" w:firstLine="0"/>
              <w:rPr>
                <w:sz w:val="20"/>
                <w:szCs w:val="20"/>
              </w:rPr>
            </w:pPr>
          </w:p>
        </w:tc>
        <w:tc>
          <w:tcPr>
            <w:tcW w:w="4951" w:type="dxa"/>
            <w:vMerge/>
          </w:tcPr>
          <w:p w:rsidR="00710B10" w:rsidRPr="004761E0" w:rsidRDefault="00710B10" w:rsidP="00A66ECA">
            <w:pPr>
              <w:ind w:firstLine="0"/>
              <w:jc w:val="left"/>
              <w:rPr>
                <w:sz w:val="20"/>
                <w:szCs w:val="20"/>
              </w:rPr>
            </w:pPr>
          </w:p>
        </w:tc>
        <w:tc>
          <w:tcPr>
            <w:tcW w:w="1286" w:type="dxa"/>
          </w:tcPr>
          <w:p w:rsidR="00710B10" w:rsidRPr="004761E0" w:rsidRDefault="00710B10" w:rsidP="00A66ECA">
            <w:pPr>
              <w:ind w:firstLine="0"/>
              <w:jc w:val="right"/>
              <w:rPr>
                <w:sz w:val="20"/>
                <w:szCs w:val="20"/>
              </w:rPr>
            </w:pPr>
            <w:r w:rsidRPr="004761E0">
              <w:rPr>
                <w:sz w:val="20"/>
                <w:szCs w:val="20"/>
              </w:rPr>
              <w:t>1</w:t>
            </w:r>
          </w:p>
        </w:tc>
        <w:tc>
          <w:tcPr>
            <w:tcW w:w="1560" w:type="dxa"/>
          </w:tcPr>
          <w:p w:rsidR="00710B10" w:rsidRPr="004761E0" w:rsidRDefault="00710B10" w:rsidP="00A66ECA">
            <w:pPr>
              <w:ind w:firstLine="0"/>
              <w:jc w:val="right"/>
              <w:rPr>
                <w:sz w:val="20"/>
                <w:szCs w:val="20"/>
              </w:rPr>
            </w:pPr>
            <w:r w:rsidRPr="004761E0">
              <w:rPr>
                <w:sz w:val="20"/>
                <w:szCs w:val="20"/>
              </w:rPr>
              <w:t>303</w:t>
            </w:r>
          </w:p>
        </w:tc>
        <w:tc>
          <w:tcPr>
            <w:tcW w:w="6520" w:type="dxa"/>
          </w:tcPr>
          <w:p w:rsidR="00710B10" w:rsidRPr="004761E0" w:rsidRDefault="00710B10" w:rsidP="00A66ECA">
            <w:pPr>
              <w:ind w:firstLine="0"/>
              <w:jc w:val="left"/>
              <w:rPr>
                <w:b/>
                <w:sz w:val="20"/>
                <w:szCs w:val="20"/>
              </w:rPr>
            </w:pPr>
            <w:r w:rsidRPr="004761E0">
              <w:rPr>
                <w:sz w:val="20"/>
                <w:szCs w:val="20"/>
              </w:rPr>
              <w:t>Иски о взыскании денежных средств по договору оказания услуг по «Одному окну»</w:t>
            </w:r>
          </w:p>
        </w:tc>
      </w:tr>
      <w:tr w:rsidR="00710B10" w:rsidRPr="004761E0" w:rsidTr="00A66ECA">
        <w:tc>
          <w:tcPr>
            <w:tcW w:w="675" w:type="dxa"/>
          </w:tcPr>
          <w:p w:rsidR="00710B10" w:rsidRPr="004761E0" w:rsidRDefault="00710B10" w:rsidP="007076A7">
            <w:pPr>
              <w:pStyle w:val="a5"/>
              <w:numPr>
                <w:ilvl w:val="1"/>
                <w:numId w:val="225"/>
              </w:numPr>
              <w:tabs>
                <w:tab w:val="left" w:pos="284"/>
              </w:tabs>
              <w:ind w:left="0" w:firstLine="0"/>
              <w:rPr>
                <w:sz w:val="20"/>
                <w:szCs w:val="20"/>
              </w:rPr>
            </w:pPr>
          </w:p>
        </w:tc>
        <w:tc>
          <w:tcPr>
            <w:tcW w:w="4951" w:type="dxa"/>
          </w:tcPr>
          <w:p w:rsidR="00710B10" w:rsidRPr="004761E0" w:rsidRDefault="00710B10" w:rsidP="00A66ECA">
            <w:pPr>
              <w:ind w:firstLine="0"/>
              <w:jc w:val="left"/>
              <w:rPr>
                <w:sz w:val="20"/>
                <w:szCs w:val="20"/>
              </w:rPr>
            </w:pPr>
            <w:r w:rsidRPr="004761E0">
              <w:rPr>
                <w:sz w:val="20"/>
                <w:szCs w:val="20"/>
              </w:rPr>
              <w:t xml:space="preserve">Дела по договорам на технологическое присоединение* </w:t>
            </w:r>
          </w:p>
        </w:tc>
        <w:tc>
          <w:tcPr>
            <w:tcW w:w="1286" w:type="dxa"/>
          </w:tcPr>
          <w:p w:rsidR="00710B10" w:rsidRPr="004761E0" w:rsidRDefault="00710B10" w:rsidP="00A66ECA">
            <w:pPr>
              <w:ind w:firstLine="0"/>
              <w:jc w:val="right"/>
              <w:rPr>
                <w:sz w:val="20"/>
                <w:szCs w:val="20"/>
              </w:rPr>
            </w:pPr>
            <w:r w:rsidRPr="004761E0">
              <w:rPr>
                <w:sz w:val="20"/>
                <w:szCs w:val="20"/>
              </w:rPr>
              <w:t>13</w:t>
            </w:r>
          </w:p>
        </w:tc>
        <w:tc>
          <w:tcPr>
            <w:tcW w:w="1560" w:type="dxa"/>
          </w:tcPr>
          <w:p w:rsidR="00710B10" w:rsidRPr="004761E0" w:rsidRDefault="00710B10" w:rsidP="00A66ECA">
            <w:pPr>
              <w:ind w:firstLine="0"/>
              <w:jc w:val="right"/>
              <w:rPr>
                <w:sz w:val="20"/>
                <w:szCs w:val="20"/>
              </w:rPr>
            </w:pPr>
            <w:r w:rsidRPr="004761E0">
              <w:rPr>
                <w:sz w:val="20"/>
                <w:szCs w:val="20"/>
              </w:rPr>
              <w:t>615</w:t>
            </w:r>
          </w:p>
        </w:tc>
        <w:tc>
          <w:tcPr>
            <w:tcW w:w="6520" w:type="dxa"/>
          </w:tcPr>
          <w:p w:rsidR="00710B10" w:rsidRPr="004761E0" w:rsidRDefault="00710B10" w:rsidP="00A66ECA">
            <w:pPr>
              <w:ind w:firstLine="0"/>
              <w:rPr>
                <w:b/>
                <w:sz w:val="20"/>
                <w:szCs w:val="20"/>
              </w:rPr>
            </w:pPr>
            <w:r w:rsidRPr="004761E0">
              <w:rPr>
                <w:b/>
                <w:sz w:val="20"/>
                <w:szCs w:val="20"/>
              </w:rPr>
              <w:t>–</w:t>
            </w:r>
          </w:p>
        </w:tc>
      </w:tr>
      <w:tr w:rsidR="00710B10" w:rsidRPr="004761E0" w:rsidTr="00A66ECA">
        <w:tc>
          <w:tcPr>
            <w:tcW w:w="675" w:type="dxa"/>
          </w:tcPr>
          <w:p w:rsidR="00710B10" w:rsidRPr="004761E0" w:rsidRDefault="00710B10" w:rsidP="007076A7">
            <w:pPr>
              <w:pStyle w:val="a5"/>
              <w:numPr>
                <w:ilvl w:val="1"/>
                <w:numId w:val="225"/>
              </w:numPr>
              <w:tabs>
                <w:tab w:val="left" w:pos="284"/>
              </w:tabs>
              <w:ind w:left="0" w:firstLine="0"/>
              <w:rPr>
                <w:sz w:val="20"/>
                <w:szCs w:val="20"/>
              </w:rPr>
            </w:pPr>
          </w:p>
        </w:tc>
        <w:tc>
          <w:tcPr>
            <w:tcW w:w="4951" w:type="dxa"/>
          </w:tcPr>
          <w:p w:rsidR="00710B10" w:rsidRPr="004761E0" w:rsidRDefault="00710B10" w:rsidP="00A66ECA">
            <w:pPr>
              <w:ind w:firstLine="0"/>
              <w:jc w:val="left"/>
              <w:rPr>
                <w:sz w:val="20"/>
                <w:szCs w:val="20"/>
              </w:rPr>
            </w:pPr>
            <w:r w:rsidRPr="004761E0">
              <w:rPr>
                <w:sz w:val="20"/>
                <w:szCs w:val="20"/>
              </w:rPr>
              <w:t>Дела из оказания услуг по передаче электроэнергии**</w:t>
            </w:r>
          </w:p>
        </w:tc>
        <w:tc>
          <w:tcPr>
            <w:tcW w:w="1286" w:type="dxa"/>
          </w:tcPr>
          <w:p w:rsidR="00710B10" w:rsidRPr="004761E0" w:rsidRDefault="00710B10" w:rsidP="00A66ECA">
            <w:pPr>
              <w:jc w:val="right"/>
              <w:rPr>
                <w:b/>
                <w:sz w:val="20"/>
                <w:szCs w:val="20"/>
              </w:rPr>
            </w:pPr>
            <w:r w:rsidRPr="004761E0">
              <w:rPr>
                <w:sz w:val="20"/>
                <w:szCs w:val="20"/>
              </w:rPr>
              <w:t>11</w:t>
            </w:r>
          </w:p>
        </w:tc>
        <w:tc>
          <w:tcPr>
            <w:tcW w:w="1560" w:type="dxa"/>
          </w:tcPr>
          <w:p w:rsidR="00710B10" w:rsidRPr="004761E0" w:rsidRDefault="00710B10" w:rsidP="00A66ECA">
            <w:pPr>
              <w:ind w:firstLine="0"/>
              <w:jc w:val="right"/>
              <w:rPr>
                <w:sz w:val="20"/>
                <w:szCs w:val="20"/>
              </w:rPr>
            </w:pPr>
            <w:r w:rsidRPr="004761E0">
              <w:rPr>
                <w:sz w:val="20"/>
                <w:szCs w:val="20"/>
              </w:rPr>
              <w:t>523</w:t>
            </w:r>
          </w:p>
        </w:tc>
        <w:tc>
          <w:tcPr>
            <w:tcW w:w="6520" w:type="dxa"/>
          </w:tcPr>
          <w:p w:rsidR="00710B10" w:rsidRPr="004761E0" w:rsidRDefault="00710B10" w:rsidP="00A66ECA">
            <w:pPr>
              <w:ind w:firstLine="0"/>
              <w:rPr>
                <w:b/>
                <w:sz w:val="20"/>
                <w:szCs w:val="20"/>
              </w:rPr>
            </w:pPr>
            <w:r w:rsidRPr="004761E0">
              <w:rPr>
                <w:b/>
                <w:sz w:val="20"/>
                <w:szCs w:val="20"/>
              </w:rPr>
              <w:t>–</w:t>
            </w:r>
          </w:p>
        </w:tc>
      </w:tr>
      <w:tr w:rsidR="00710B10" w:rsidRPr="004761E0" w:rsidTr="00A66ECA">
        <w:tc>
          <w:tcPr>
            <w:tcW w:w="675" w:type="dxa"/>
          </w:tcPr>
          <w:p w:rsidR="00710B10" w:rsidRPr="004761E0" w:rsidRDefault="00710B10" w:rsidP="007076A7">
            <w:pPr>
              <w:pStyle w:val="a5"/>
              <w:numPr>
                <w:ilvl w:val="1"/>
                <w:numId w:val="225"/>
              </w:numPr>
              <w:tabs>
                <w:tab w:val="left" w:pos="284"/>
              </w:tabs>
              <w:ind w:left="0" w:firstLine="0"/>
              <w:rPr>
                <w:sz w:val="20"/>
                <w:szCs w:val="20"/>
              </w:rPr>
            </w:pPr>
          </w:p>
        </w:tc>
        <w:tc>
          <w:tcPr>
            <w:tcW w:w="4951" w:type="dxa"/>
          </w:tcPr>
          <w:p w:rsidR="00710B10" w:rsidRPr="004761E0" w:rsidRDefault="00710B10" w:rsidP="00A66ECA">
            <w:pPr>
              <w:ind w:firstLine="0"/>
              <w:jc w:val="left"/>
              <w:rPr>
                <w:sz w:val="20"/>
                <w:szCs w:val="20"/>
              </w:rPr>
            </w:pPr>
            <w:r w:rsidRPr="004761E0">
              <w:rPr>
                <w:sz w:val="20"/>
                <w:szCs w:val="20"/>
              </w:rPr>
              <w:t>Иные дела, в т.ч. подряд, поставка и т.д.**</w:t>
            </w:r>
          </w:p>
        </w:tc>
        <w:tc>
          <w:tcPr>
            <w:tcW w:w="1286" w:type="dxa"/>
          </w:tcPr>
          <w:p w:rsidR="00710B10" w:rsidRPr="004761E0" w:rsidRDefault="00710B10" w:rsidP="00A66ECA">
            <w:pPr>
              <w:jc w:val="right"/>
              <w:rPr>
                <w:b/>
                <w:sz w:val="20"/>
                <w:szCs w:val="20"/>
              </w:rPr>
            </w:pPr>
            <w:r w:rsidRPr="004761E0">
              <w:rPr>
                <w:sz w:val="20"/>
                <w:szCs w:val="20"/>
              </w:rPr>
              <w:t>5</w:t>
            </w:r>
          </w:p>
        </w:tc>
        <w:tc>
          <w:tcPr>
            <w:tcW w:w="1560" w:type="dxa"/>
          </w:tcPr>
          <w:p w:rsidR="00710B10" w:rsidRPr="004761E0" w:rsidRDefault="00710B10" w:rsidP="00A66ECA">
            <w:pPr>
              <w:ind w:firstLine="0"/>
              <w:jc w:val="right"/>
              <w:rPr>
                <w:sz w:val="20"/>
                <w:szCs w:val="20"/>
              </w:rPr>
            </w:pPr>
            <w:r w:rsidRPr="004761E0">
              <w:rPr>
                <w:sz w:val="20"/>
                <w:szCs w:val="20"/>
              </w:rPr>
              <w:t>159</w:t>
            </w:r>
          </w:p>
        </w:tc>
        <w:tc>
          <w:tcPr>
            <w:tcW w:w="6520" w:type="dxa"/>
          </w:tcPr>
          <w:p w:rsidR="00710B10" w:rsidRPr="004761E0" w:rsidRDefault="00710B10" w:rsidP="00A66ECA">
            <w:pPr>
              <w:ind w:firstLine="0"/>
              <w:rPr>
                <w:b/>
                <w:sz w:val="20"/>
                <w:szCs w:val="20"/>
              </w:rPr>
            </w:pPr>
            <w:r w:rsidRPr="004761E0">
              <w:rPr>
                <w:b/>
                <w:sz w:val="20"/>
                <w:szCs w:val="20"/>
              </w:rPr>
              <w:t>–</w:t>
            </w:r>
          </w:p>
        </w:tc>
      </w:tr>
      <w:tr w:rsidR="00710B10" w:rsidRPr="004761E0" w:rsidTr="00A66ECA">
        <w:tc>
          <w:tcPr>
            <w:tcW w:w="675" w:type="dxa"/>
            <w:tcBorders>
              <w:bottom w:val="single" w:sz="4" w:space="0" w:color="000000"/>
            </w:tcBorders>
          </w:tcPr>
          <w:p w:rsidR="00710B10" w:rsidRPr="004761E0" w:rsidRDefault="00710B10" w:rsidP="007076A7">
            <w:pPr>
              <w:pStyle w:val="a5"/>
              <w:numPr>
                <w:ilvl w:val="1"/>
                <w:numId w:val="225"/>
              </w:numPr>
              <w:tabs>
                <w:tab w:val="left" w:pos="284"/>
              </w:tabs>
              <w:ind w:left="0" w:firstLine="0"/>
              <w:rPr>
                <w:sz w:val="20"/>
                <w:szCs w:val="20"/>
              </w:rPr>
            </w:pPr>
          </w:p>
        </w:tc>
        <w:tc>
          <w:tcPr>
            <w:tcW w:w="4951" w:type="dxa"/>
            <w:tcBorders>
              <w:bottom w:val="single" w:sz="4" w:space="0" w:color="000000"/>
            </w:tcBorders>
          </w:tcPr>
          <w:p w:rsidR="00710B10" w:rsidRPr="004761E0" w:rsidRDefault="00710B10" w:rsidP="00A66ECA">
            <w:pPr>
              <w:ind w:firstLine="0"/>
              <w:jc w:val="left"/>
              <w:rPr>
                <w:sz w:val="20"/>
                <w:szCs w:val="20"/>
              </w:rPr>
            </w:pPr>
            <w:r w:rsidRPr="004761E0">
              <w:rPr>
                <w:sz w:val="20"/>
                <w:szCs w:val="20"/>
              </w:rPr>
              <w:t>По филиалам</w:t>
            </w:r>
          </w:p>
        </w:tc>
        <w:tc>
          <w:tcPr>
            <w:tcW w:w="1286" w:type="dxa"/>
            <w:tcBorders>
              <w:bottom w:val="single" w:sz="4" w:space="0" w:color="000000"/>
            </w:tcBorders>
          </w:tcPr>
          <w:p w:rsidR="00710B10" w:rsidRPr="004761E0" w:rsidRDefault="00710B10" w:rsidP="00A66ECA">
            <w:pPr>
              <w:jc w:val="right"/>
              <w:rPr>
                <w:sz w:val="20"/>
                <w:szCs w:val="20"/>
              </w:rPr>
            </w:pPr>
            <w:r w:rsidRPr="004761E0">
              <w:rPr>
                <w:sz w:val="20"/>
                <w:szCs w:val="20"/>
              </w:rPr>
              <w:t>28</w:t>
            </w:r>
          </w:p>
        </w:tc>
        <w:tc>
          <w:tcPr>
            <w:tcW w:w="1560" w:type="dxa"/>
            <w:tcBorders>
              <w:bottom w:val="single" w:sz="4" w:space="0" w:color="000000"/>
            </w:tcBorders>
          </w:tcPr>
          <w:p w:rsidR="00710B10" w:rsidRPr="004761E0" w:rsidRDefault="00710B10" w:rsidP="00A66ECA">
            <w:pPr>
              <w:ind w:firstLine="0"/>
              <w:jc w:val="right"/>
              <w:rPr>
                <w:sz w:val="20"/>
                <w:szCs w:val="20"/>
              </w:rPr>
            </w:pPr>
            <w:r w:rsidRPr="004761E0">
              <w:rPr>
                <w:sz w:val="20"/>
                <w:szCs w:val="20"/>
              </w:rPr>
              <w:t>30</w:t>
            </w:r>
          </w:p>
        </w:tc>
        <w:tc>
          <w:tcPr>
            <w:tcW w:w="6520" w:type="dxa"/>
            <w:tcBorders>
              <w:bottom w:val="single" w:sz="4" w:space="0" w:color="000000"/>
            </w:tcBorders>
          </w:tcPr>
          <w:p w:rsidR="00710B10" w:rsidRPr="004761E0" w:rsidRDefault="00710B10" w:rsidP="00A66ECA">
            <w:pPr>
              <w:ind w:firstLine="0"/>
              <w:rPr>
                <w:b/>
                <w:sz w:val="20"/>
                <w:szCs w:val="20"/>
              </w:rPr>
            </w:pPr>
            <w:r w:rsidRPr="004761E0">
              <w:rPr>
                <w:b/>
                <w:sz w:val="20"/>
                <w:szCs w:val="20"/>
              </w:rPr>
              <w:t>–</w:t>
            </w:r>
          </w:p>
        </w:tc>
      </w:tr>
      <w:tr w:rsidR="00710B10" w:rsidRPr="004761E0" w:rsidTr="00A66ECA">
        <w:trPr>
          <w:trHeight w:val="53"/>
        </w:trPr>
        <w:tc>
          <w:tcPr>
            <w:tcW w:w="675" w:type="dxa"/>
            <w:tcBorders>
              <w:top w:val="single" w:sz="4" w:space="0" w:color="000000"/>
            </w:tcBorders>
            <w:shd w:val="clear" w:color="auto" w:fill="D9D9D9"/>
          </w:tcPr>
          <w:p w:rsidR="00710B10" w:rsidRPr="004761E0" w:rsidRDefault="00710B10" w:rsidP="007076A7">
            <w:pPr>
              <w:pStyle w:val="a5"/>
              <w:numPr>
                <w:ilvl w:val="0"/>
                <w:numId w:val="225"/>
              </w:numPr>
              <w:tabs>
                <w:tab w:val="left" w:pos="224"/>
              </w:tabs>
              <w:ind w:left="0" w:firstLine="0"/>
              <w:rPr>
                <w:b/>
                <w:sz w:val="20"/>
                <w:szCs w:val="20"/>
              </w:rPr>
            </w:pPr>
          </w:p>
        </w:tc>
        <w:tc>
          <w:tcPr>
            <w:tcW w:w="4951" w:type="dxa"/>
            <w:tcBorders>
              <w:top w:val="single" w:sz="4" w:space="0" w:color="000000"/>
            </w:tcBorders>
            <w:shd w:val="clear" w:color="auto" w:fill="D9D9D9"/>
          </w:tcPr>
          <w:p w:rsidR="00710B10" w:rsidRPr="004761E0" w:rsidRDefault="00710B10" w:rsidP="00A66ECA">
            <w:pPr>
              <w:ind w:firstLine="0"/>
              <w:jc w:val="left"/>
              <w:rPr>
                <w:b/>
                <w:sz w:val="20"/>
                <w:szCs w:val="20"/>
              </w:rPr>
            </w:pPr>
            <w:r w:rsidRPr="004761E0">
              <w:rPr>
                <w:b/>
                <w:sz w:val="20"/>
                <w:szCs w:val="20"/>
              </w:rPr>
              <w:t xml:space="preserve">Общество выступает в качестве истца (всего), </w:t>
            </w:r>
          </w:p>
          <w:p w:rsidR="00710B10" w:rsidRPr="004761E0" w:rsidRDefault="00710B10" w:rsidP="00A66ECA">
            <w:pPr>
              <w:ind w:firstLine="0"/>
              <w:jc w:val="left"/>
              <w:rPr>
                <w:sz w:val="20"/>
                <w:szCs w:val="20"/>
              </w:rPr>
            </w:pPr>
            <w:r w:rsidRPr="004761E0">
              <w:rPr>
                <w:b/>
                <w:sz w:val="20"/>
                <w:szCs w:val="20"/>
              </w:rPr>
              <w:t>в т.ч.:</w:t>
            </w:r>
          </w:p>
        </w:tc>
        <w:tc>
          <w:tcPr>
            <w:tcW w:w="1286" w:type="dxa"/>
            <w:tcBorders>
              <w:top w:val="single" w:sz="4" w:space="0" w:color="000000"/>
            </w:tcBorders>
            <w:shd w:val="clear" w:color="auto" w:fill="D9D9D9"/>
          </w:tcPr>
          <w:p w:rsidR="00710B10" w:rsidRPr="004761E0" w:rsidRDefault="00710B10" w:rsidP="00A66ECA">
            <w:pPr>
              <w:ind w:firstLine="0"/>
              <w:jc w:val="right"/>
              <w:rPr>
                <w:b/>
                <w:sz w:val="20"/>
                <w:szCs w:val="20"/>
              </w:rPr>
            </w:pPr>
            <w:r w:rsidRPr="004761E0">
              <w:rPr>
                <w:b/>
                <w:sz w:val="20"/>
                <w:szCs w:val="20"/>
              </w:rPr>
              <w:t>230</w:t>
            </w:r>
          </w:p>
        </w:tc>
        <w:tc>
          <w:tcPr>
            <w:tcW w:w="1560" w:type="dxa"/>
            <w:tcBorders>
              <w:top w:val="single" w:sz="4" w:space="0" w:color="000000"/>
            </w:tcBorders>
            <w:shd w:val="clear" w:color="auto" w:fill="D9D9D9"/>
          </w:tcPr>
          <w:p w:rsidR="00710B10" w:rsidRPr="004761E0" w:rsidRDefault="00710B10" w:rsidP="00A66ECA">
            <w:pPr>
              <w:ind w:firstLine="0"/>
              <w:jc w:val="right"/>
              <w:rPr>
                <w:b/>
                <w:sz w:val="20"/>
                <w:szCs w:val="20"/>
              </w:rPr>
            </w:pPr>
            <w:r w:rsidRPr="004761E0">
              <w:rPr>
                <w:b/>
                <w:sz w:val="20"/>
                <w:szCs w:val="20"/>
              </w:rPr>
              <w:t>7 726</w:t>
            </w:r>
          </w:p>
        </w:tc>
        <w:tc>
          <w:tcPr>
            <w:tcW w:w="6520" w:type="dxa"/>
            <w:tcBorders>
              <w:top w:val="single" w:sz="4" w:space="0" w:color="000000"/>
            </w:tcBorders>
            <w:shd w:val="clear" w:color="auto" w:fill="D9D9D9"/>
          </w:tcPr>
          <w:p w:rsidR="00710B10" w:rsidRPr="004761E0" w:rsidRDefault="00710B10" w:rsidP="00A66ECA">
            <w:pPr>
              <w:ind w:firstLine="0"/>
              <w:rPr>
                <w:sz w:val="20"/>
                <w:szCs w:val="20"/>
              </w:rPr>
            </w:pPr>
            <w:r w:rsidRPr="004761E0">
              <w:rPr>
                <w:sz w:val="20"/>
                <w:szCs w:val="20"/>
              </w:rPr>
              <w:t>–</w:t>
            </w:r>
          </w:p>
        </w:tc>
      </w:tr>
      <w:tr w:rsidR="00710B10" w:rsidRPr="004761E0" w:rsidTr="00A66ECA">
        <w:trPr>
          <w:trHeight w:val="85"/>
        </w:trPr>
        <w:tc>
          <w:tcPr>
            <w:tcW w:w="675" w:type="dxa"/>
            <w:vMerge w:val="restart"/>
          </w:tcPr>
          <w:p w:rsidR="00710B10" w:rsidRPr="004761E0" w:rsidRDefault="00710B10" w:rsidP="007076A7">
            <w:pPr>
              <w:pStyle w:val="a5"/>
              <w:numPr>
                <w:ilvl w:val="1"/>
                <w:numId w:val="225"/>
              </w:numPr>
              <w:tabs>
                <w:tab w:val="left" w:pos="284"/>
              </w:tabs>
              <w:ind w:left="0" w:firstLine="0"/>
              <w:rPr>
                <w:sz w:val="20"/>
                <w:szCs w:val="20"/>
              </w:rPr>
            </w:pPr>
          </w:p>
        </w:tc>
        <w:tc>
          <w:tcPr>
            <w:tcW w:w="4951" w:type="dxa"/>
            <w:vMerge w:val="restart"/>
          </w:tcPr>
          <w:p w:rsidR="00710B10" w:rsidRPr="004761E0" w:rsidRDefault="00710B10" w:rsidP="00A66ECA">
            <w:pPr>
              <w:ind w:firstLine="0"/>
              <w:jc w:val="left"/>
              <w:rPr>
                <w:sz w:val="20"/>
                <w:szCs w:val="20"/>
              </w:rPr>
            </w:pPr>
            <w:r w:rsidRPr="004761E0">
              <w:rPr>
                <w:sz w:val="20"/>
                <w:szCs w:val="20"/>
              </w:rPr>
              <w:t>Дела по «Одному окну»</w:t>
            </w:r>
          </w:p>
        </w:tc>
        <w:tc>
          <w:tcPr>
            <w:tcW w:w="1286" w:type="dxa"/>
          </w:tcPr>
          <w:p w:rsidR="00710B10" w:rsidRPr="004761E0" w:rsidRDefault="00710B10" w:rsidP="00A66ECA">
            <w:pPr>
              <w:jc w:val="right"/>
              <w:rPr>
                <w:sz w:val="20"/>
                <w:szCs w:val="20"/>
              </w:rPr>
            </w:pPr>
            <w:r w:rsidRPr="004761E0">
              <w:rPr>
                <w:sz w:val="20"/>
                <w:szCs w:val="20"/>
              </w:rPr>
              <w:t>1</w:t>
            </w:r>
          </w:p>
        </w:tc>
        <w:tc>
          <w:tcPr>
            <w:tcW w:w="1560" w:type="dxa"/>
          </w:tcPr>
          <w:p w:rsidR="00710B10" w:rsidRPr="004761E0" w:rsidRDefault="00710B10" w:rsidP="00A66ECA">
            <w:pPr>
              <w:ind w:firstLine="0"/>
              <w:jc w:val="right"/>
              <w:rPr>
                <w:sz w:val="20"/>
                <w:szCs w:val="20"/>
              </w:rPr>
            </w:pPr>
            <w:r w:rsidRPr="004761E0">
              <w:rPr>
                <w:sz w:val="20"/>
                <w:szCs w:val="20"/>
              </w:rPr>
              <w:t>4 598</w:t>
            </w:r>
          </w:p>
        </w:tc>
        <w:tc>
          <w:tcPr>
            <w:tcW w:w="6520" w:type="dxa"/>
          </w:tcPr>
          <w:p w:rsidR="00710B10" w:rsidRPr="004761E0" w:rsidRDefault="00710B10" w:rsidP="00A66ECA">
            <w:pPr>
              <w:ind w:firstLine="0"/>
              <w:jc w:val="left"/>
              <w:rPr>
                <w:b/>
                <w:sz w:val="20"/>
                <w:szCs w:val="20"/>
              </w:rPr>
            </w:pPr>
            <w:r w:rsidRPr="004761E0">
              <w:rPr>
                <w:sz w:val="20"/>
                <w:szCs w:val="20"/>
              </w:rPr>
              <w:t>Иски о взыскании денежных средств по договору</w:t>
            </w:r>
          </w:p>
        </w:tc>
      </w:tr>
      <w:tr w:rsidR="00710B10" w:rsidRPr="004761E0" w:rsidTr="00A66ECA">
        <w:trPr>
          <w:trHeight w:val="85"/>
        </w:trPr>
        <w:tc>
          <w:tcPr>
            <w:tcW w:w="675" w:type="dxa"/>
            <w:vMerge/>
          </w:tcPr>
          <w:p w:rsidR="00710B10" w:rsidRPr="004761E0" w:rsidRDefault="00710B10" w:rsidP="00A66ECA">
            <w:pPr>
              <w:pStyle w:val="a5"/>
              <w:tabs>
                <w:tab w:val="left" w:pos="284"/>
              </w:tabs>
              <w:ind w:left="0" w:firstLine="0"/>
              <w:rPr>
                <w:sz w:val="20"/>
                <w:szCs w:val="20"/>
              </w:rPr>
            </w:pPr>
          </w:p>
        </w:tc>
        <w:tc>
          <w:tcPr>
            <w:tcW w:w="4951" w:type="dxa"/>
            <w:vMerge/>
          </w:tcPr>
          <w:p w:rsidR="00710B10" w:rsidRPr="004761E0" w:rsidRDefault="00710B10" w:rsidP="00A66ECA">
            <w:pPr>
              <w:ind w:firstLine="0"/>
              <w:jc w:val="left"/>
              <w:rPr>
                <w:sz w:val="20"/>
                <w:szCs w:val="20"/>
              </w:rPr>
            </w:pPr>
          </w:p>
        </w:tc>
        <w:tc>
          <w:tcPr>
            <w:tcW w:w="1286" w:type="dxa"/>
          </w:tcPr>
          <w:p w:rsidR="00710B10" w:rsidRPr="004761E0" w:rsidRDefault="00710B10" w:rsidP="00A66ECA">
            <w:pPr>
              <w:jc w:val="right"/>
              <w:rPr>
                <w:sz w:val="20"/>
                <w:szCs w:val="20"/>
              </w:rPr>
            </w:pPr>
            <w:r w:rsidRPr="004761E0">
              <w:rPr>
                <w:sz w:val="20"/>
                <w:szCs w:val="20"/>
              </w:rPr>
              <w:t>53</w:t>
            </w:r>
          </w:p>
        </w:tc>
        <w:tc>
          <w:tcPr>
            <w:tcW w:w="1560" w:type="dxa"/>
          </w:tcPr>
          <w:p w:rsidR="00710B10" w:rsidRPr="004761E0" w:rsidRDefault="00710B10" w:rsidP="00A66ECA">
            <w:pPr>
              <w:ind w:firstLine="0"/>
              <w:jc w:val="right"/>
              <w:rPr>
                <w:sz w:val="20"/>
                <w:szCs w:val="20"/>
              </w:rPr>
            </w:pPr>
            <w:r w:rsidRPr="004761E0">
              <w:rPr>
                <w:sz w:val="20"/>
                <w:szCs w:val="20"/>
              </w:rPr>
              <w:t>321</w:t>
            </w:r>
          </w:p>
        </w:tc>
        <w:tc>
          <w:tcPr>
            <w:tcW w:w="6520" w:type="dxa"/>
          </w:tcPr>
          <w:p w:rsidR="00710B10" w:rsidRPr="004761E0" w:rsidRDefault="00710B10" w:rsidP="00A66ECA">
            <w:pPr>
              <w:ind w:firstLine="0"/>
              <w:jc w:val="left"/>
              <w:rPr>
                <w:b/>
                <w:sz w:val="20"/>
                <w:szCs w:val="20"/>
              </w:rPr>
            </w:pPr>
            <w:r w:rsidRPr="004761E0">
              <w:rPr>
                <w:sz w:val="20"/>
                <w:szCs w:val="20"/>
              </w:rPr>
              <w:t>Иски к участникам тарифного регулирования о взыскании неосновательного обогащения</w:t>
            </w:r>
          </w:p>
        </w:tc>
      </w:tr>
      <w:tr w:rsidR="00710B10" w:rsidRPr="004761E0" w:rsidTr="00A66ECA">
        <w:tc>
          <w:tcPr>
            <w:tcW w:w="675" w:type="dxa"/>
            <w:vMerge/>
          </w:tcPr>
          <w:p w:rsidR="00710B10" w:rsidRPr="004761E0" w:rsidRDefault="00710B10" w:rsidP="00A66ECA">
            <w:pPr>
              <w:pStyle w:val="a5"/>
              <w:tabs>
                <w:tab w:val="left" w:pos="284"/>
              </w:tabs>
              <w:ind w:left="0" w:firstLine="0"/>
              <w:rPr>
                <w:sz w:val="20"/>
                <w:szCs w:val="20"/>
              </w:rPr>
            </w:pPr>
          </w:p>
        </w:tc>
        <w:tc>
          <w:tcPr>
            <w:tcW w:w="4951" w:type="dxa"/>
            <w:vMerge/>
          </w:tcPr>
          <w:p w:rsidR="00710B10" w:rsidRPr="004761E0" w:rsidRDefault="00710B10" w:rsidP="00A66ECA">
            <w:pPr>
              <w:ind w:firstLine="0"/>
              <w:jc w:val="left"/>
              <w:rPr>
                <w:sz w:val="20"/>
                <w:szCs w:val="20"/>
              </w:rPr>
            </w:pPr>
          </w:p>
        </w:tc>
        <w:tc>
          <w:tcPr>
            <w:tcW w:w="1286" w:type="dxa"/>
          </w:tcPr>
          <w:p w:rsidR="00710B10" w:rsidRPr="004761E0" w:rsidRDefault="00710B10" w:rsidP="00A66ECA">
            <w:pPr>
              <w:jc w:val="right"/>
              <w:rPr>
                <w:sz w:val="20"/>
                <w:szCs w:val="20"/>
              </w:rPr>
            </w:pPr>
            <w:r w:rsidRPr="004761E0">
              <w:rPr>
                <w:sz w:val="20"/>
                <w:szCs w:val="20"/>
              </w:rPr>
              <w:t>14</w:t>
            </w:r>
          </w:p>
        </w:tc>
        <w:tc>
          <w:tcPr>
            <w:tcW w:w="1560" w:type="dxa"/>
          </w:tcPr>
          <w:p w:rsidR="00710B10" w:rsidRPr="004761E0" w:rsidRDefault="00710B10" w:rsidP="00A66ECA">
            <w:pPr>
              <w:ind w:firstLine="0"/>
              <w:jc w:val="right"/>
              <w:rPr>
                <w:sz w:val="20"/>
                <w:szCs w:val="20"/>
              </w:rPr>
            </w:pPr>
            <w:r w:rsidRPr="004761E0">
              <w:rPr>
                <w:sz w:val="20"/>
                <w:szCs w:val="20"/>
              </w:rPr>
              <w:t>12</w:t>
            </w:r>
          </w:p>
        </w:tc>
        <w:tc>
          <w:tcPr>
            <w:tcW w:w="6520" w:type="dxa"/>
          </w:tcPr>
          <w:p w:rsidR="00710B10" w:rsidRPr="004761E0" w:rsidRDefault="00710B10" w:rsidP="00A66ECA">
            <w:pPr>
              <w:ind w:firstLine="0"/>
              <w:jc w:val="left"/>
              <w:rPr>
                <w:b/>
                <w:sz w:val="20"/>
                <w:szCs w:val="20"/>
              </w:rPr>
            </w:pPr>
            <w:r w:rsidRPr="004761E0">
              <w:rPr>
                <w:sz w:val="20"/>
                <w:szCs w:val="20"/>
              </w:rPr>
              <w:t>Иски о взыскании процентов за пользование чужими денежными средствами</w:t>
            </w:r>
          </w:p>
        </w:tc>
      </w:tr>
      <w:tr w:rsidR="00710B10" w:rsidRPr="004761E0" w:rsidTr="00A66ECA">
        <w:tc>
          <w:tcPr>
            <w:tcW w:w="675" w:type="dxa"/>
          </w:tcPr>
          <w:p w:rsidR="00710B10" w:rsidRPr="004761E0" w:rsidRDefault="00710B10" w:rsidP="007076A7">
            <w:pPr>
              <w:pStyle w:val="a5"/>
              <w:numPr>
                <w:ilvl w:val="1"/>
                <w:numId w:val="225"/>
              </w:numPr>
              <w:tabs>
                <w:tab w:val="left" w:pos="284"/>
              </w:tabs>
              <w:ind w:left="0" w:firstLine="0"/>
              <w:rPr>
                <w:sz w:val="20"/>
                <w:szCs w:val="20"/>
              </w:rPr>
            </w:pPr>
          </w:p>
        </w:tc>
        <w:tc>
          <w:tcPr>
            <w:tcW w:w="4951" w:type="dxa"/>
          </w:tcPr>
          <w:p w:rsidR="00710B10" w:rsidRPr="004761E0" w:rsidRDefault="00710B10" w:rsidP="00A66ECA">
            <w:pPr>
              <w:ind w:firstLine="0"/>
              <w:jc w:val="left"/>
              <w:rPr>
                <w:sz w:val="20"/>
                <w:szCs w:val="20"/>
              </w:rPr>
            </w:pPr>
            <w:r w:rsidRPr="004761E0">
              <w:rPr>
                <w:sz w:val="20"/>
                <w:szCs w:val="20"/>
              </w:rPr>
              <w:t>Дела по договорам на технологическое присоединение*</w:t>
            </w:r>
          </w:p>
        </w:tc>
        <w:tc>
          <w:tcPr>
            <w:tcW w:w="1286" w:type="dxa"/>
          </w:tcPr>
          <w:p w:rsidR="00710B10" w:rsidRPr="004761E0" w:rsidRDefault="00710B10" w:rsidP="00A66ECA">
            <w:pPr>
              <w:jc w:val="right"/>
              <w:rPr>
                <w:sz w:val="20"/>
                <w:szCs w:val="20"/>
              </w:rPr>
            </w:pPr>
            <w:r w:rsidRPr="004761E0">
              <w:rPr>
                <w:sz w:val="20"/>
                <w:szCs w:val="20"/>
              </w:rPr>
              <w:t>13</w:t>
            </w:r>
          </w:p>
        </w:tc>
        <w:tc>
          <w:tcPr>
            <w:tcW w:w="1560" w:type="dxa"/>
          </w:tcPr>
          <w:p w:rsidR="00710B10" w:rsidRPr="004761E0" w:rsidRDefault="00710B10" w:rsidP="00A66ECA">
            <w:pPr>
              <w:ind w:firstLine="0"/>
              <w:jc w:val="right"/>
              <w:rPr>
                <w:sz w:val="20"/>
                <w:szCs w:val="20"/>
              </w:rPr>
            </w:pPr>
            <w:r w:rsidRPr="004761E0">
              <w:rPr>
                <w:sz w:val="20"/>
                <w:szCs w:val="20"/>
              </w:rPr>
              <w:t>585</w:t>
            </w:r>
          </w:p>
        </w:tc>
        <w:tc>
          <w:tcPr>
            <w:tcW w:w="6520" w:type="dxa"/>
          </w:tcPr>
          <w:p w:rsidR="00710B10" w:rsidRPr="004761E0" w:rsidRDefault="00710B10" w:rsidP="00A66ECA">
            <w:pPr>
              <w:ind w:firstLine="0"/>
              <w:jc w:val="left"/>
              <w:rPr>
                <w:sz w:val="20"/>
                <w:szCs w:val="20"/>
              </w:rPr>
            </w:pPr>
            <w:r w:rsidRPr="004761E0">
              <w:rPr>
                <w:sz w:val="20"/>
                <w:szCs w:val="20"/>
              </w:rPr>
              <w:t>–</w:t>
            </w:r>
          </w:p>
        </w:tc>
      </w:tr>
      <w:tr w:rsidR="00710B10" w:rsidRPr="004761E0" w:rsidTr="00A66ECA">
        <w:tc>
          <w:tcPr>
            <w:tcW w:w="675" w:type="dxa"/>
          </w:tcPr>
          <w:p w:rsidR="00710B10" w:rsidRPr="004761E0" w:rsidRDefault="00710B10" w:rsidP="007076A7">
            <w:pPr>
              <w:pStyle w:val="a5"/>
              <w:numPr>
                <w:ilvl w:val="1"/>
                <w:numId w:val="225"/>
              </w:numPr>
              <w:tabs>
                <w:tab w:val="left" w:pos="284"/>
              </w:tabs>
              <w:ind w:left="0" w:firstLine="0"/>
              <w:rPr>
                <w:sz w:val="20"/>
                <w:szCs w:val="20"/>
              </w:rPr>
            </w:pPr>
          </w:p>
        </w:tc>
        <w:tc>
          <w:tcPr>
            <w:tcW w:w="4951" w:type="dxa"/>
          </w:tcPr>
          <w:p w:rsidR="00710B10" w:rsidRPr="004761E0" w:rsidRDefault="00710B10" w:rsidP="00A66ECA">
            <w:pPr>
              <w:ind w:firstLine="0"/>
              <w:jc w:val="left"/>
              <w:rPr>
                <w:sz w:val="20"/>
                <w:szCs w:val="20"/>
              </w:rPr>
            </w:pPr>
            <w:r w:rsidRPr="004761E0">
              <w:rPr>
                <w:sz w:val="20"/>
                <w:szCs w:val="20"/>
              </w:rPr>
              <w:t>Дела из оказания услуг по передаче электроэнергии**</w:t>
            </w:r>
          </w:p>
        </w:tc>
        <w:tc>
          <w:tcPr>
            <w:tcW w:w="1286" w:type="dxa"/>
          </w:tcPr>
          <w:p w:rsidR="00710B10" w:rsidRPr="004761E0" w:rsidRDefault="00710B10" w:rsidP="00A66ECA">
            <w:pPr>
              <w:jc w:val="right"/>
              <w:rPr>
                <w:sz w:val="20"/>
                <w:szCs w:val="20"/>
              </w:rPr>
            </w:pPr>
            <w:r w:rsidRPr="004761E0">
              <w:rPr>
                <w:sz w:val="20"/>
                <w:szCs w:val="20"/>
              </w:rPr>
              <w:t>13</w:t>
            </w:r>
          </w:p>
        </w:tc>
        <w:tc>
          <w:tcPr>
            <w:tcW w:w="1560" w:type="dxa"/>
          </w:tcPr>
          <w:p w:rsidR="00710B10" w:rsidRPr="004761E0" w:rsidRDefault="00710B10" w:rsidP="00A66ECA">
            <w:pPr>
              <w:ind w:firstLine="0"/>
              <w:jc w:val="right"/>
              <w:rPr>
                <w:sz w:val="20"/>
                <w:szCs w:val="20"/>
              </w:rPr>
            </w:pPr>
            <w:r w:rsidRPr="004761E0">
              <w:rPr>
                <w:sz w:val="20"/>
                <w:szCs w:val="20"/>
              </w:rPr>
              <w:t>1 563</w:t>
            </w:r>
          </w:p>
        </w:tc>
        <w:tc>
          <w:tcPr>
            <w:tcW w:w="6520" w:type="dxa"/>
          </w:tcPr>
          <w:p w:rsidR="00710B10" w:rsidRPr="004761E0" w:rsidRDefault="00710B10" w:rsidP="00A66ECA">
            <w:pPr>
              <w:ind w:firstLine="0"/>
              <w:jc w:val="left"/>
              <w:rPr>
                <w:sz w:val="20"/>
                <w:szCs w:val="20"/>
              </w:rPr>
            </w:pPr>
            <w:r w:rsidRPr="004761E0">
              <w:rPr>
                <w:sz w:val="20"/>
                <w:szCs w:val="20"/>
              </w:rPr>
              <w:t>–</w:t>
            </w:r>
          </w:p>
        </w:tc>
      </w:tr>
      <w:tr w:rsidR="00710B10" w:rsidRPr="004761E0" w:rsidTr="00A66ECA">
        <w:tc>
          <w:tcPr>
            <w:tcW w:w="675" w:type="dxa"/>
          </w:tcPr>
          <w:p w:rsidR="00710B10" w:rsidRPr="004761E0" w:rsidRDefault="00710B10" w:rsidP="007076A7">
            <w:pPr>
              <w:pStyle w:val="a5"/>
              <w:numPr>
                <w:ilvl w:val="1"/>
                <w:numId w:val="225"/>
              </w:numPr>
              <w:tabs>
                <w:tab w:val="left" w:pos="284"/>
              </w:tabs>
              <w:ind w:left="0" w:firstLine="0"/>
              <w:rPr>
                <w:sz w:val="20"/>
                <w:szCs w:val="20"/>
              </w:rPr>
            </w:pPr>
          </w:p>
        </w:tc>
        <w:tc>
          <w:tcPr>
            <w:tcW w:w="4951" w:type="dxa"/>
          </w:tcPr>
          <w:p w:rsidR="00710B10" w:rsidRPr="004761E0" w:rsidRDefault="00710B10" w:rsidP="00A66ECA">
            <w:pPr>
              <w:ind w:firstLine="0"/>
              <w:jc w:val="left"/>
              <w:rPr>
                <w:sz w:val="20"/>
                <w:szCs w:val="20"/>
              </w:rPr>
            </w:pPr>
            <w:r w:rsidRPr="004761E0">
              <w:rPr>
                <w:sz w:val="20"/>
                <w:szCs w:val="20"/>
              </w:rPr>
              <w:t>Иные дела, в т.ч. подряд, поставка и т.д.**</w:t>
            </w:r>
          </w:p>
        </w:tc>
        <w:tc>
          <w:tcPr>
            <w:tcW w:w="1286" w:type="dxa"/>
          </w:tcPr>
          <w:p w:rsidR="00710B10" w:rsidRPr="004761E0" w:rsidRDefault="00710B10" w:rsidP="00A66ECA">
            <w:pPr>
              <w:jc w:val="right"/>
              <w:rPr>
                <w:sz w:val="20"/>
                <w:szCs w:val="20"/>
              </w:rPr>
            </w:pPr>
            <w:r w:rsidRPr="004761E0">
              <w:rPr>
                <w:sz w:val="20"/>
                <w:szCs w:val="20"/>
              </w:rPr>
              <w:t>6</w:t>
            </w:r>
          </w:p>
        </w:tc>
        <w:tc>
          <w:tcPr>
            <w:tcW w:w="1560" w:type="dxa"/>
          </w:tcPr>
          <w:p w:rsidR="00710B10" w:rsidRPr="004761E0" w:rsidRDefault="00710B10" w:rsidP="00A66ECA">
            <w:pPr>
              <w:ind w:firstLine="0"/>
              <w:jc w:val="right"/>
              <w:rPr>
                <w:sz w:val="20"/>
                <w:szCs w:val="20"/>
              </w:rPr>
            </w:pPr>
            <w:r w:rsidRPr="004761E0">
              <w:rPr>
                <w:sz w:val="20"/>
                <w:szCs w:val="20"/>
              </w:rPr>
              <w:t>408</w:t>
            </w:r>
          </w:p>
        </w:tc>
        <w:tc>
          <w:tcPr>
            <w:tcW w:w="6520" w:type="dxa"/>
          </w:tcPr>
          <w:p w:rsidR="00710B10" w:rsidRPr="004761E0" w:rsidRDefault="00710B10" w:rsidP="00A66ECA">
            <w:pPr>
              <w:ind w:firstLine="0"/>
              <w:jc w:val="left"/>
              <w:rPr>
                <w:sz w:val="20"/>
                <w:szCs w:val="20"/>
              </w:rPr>
            </w:pPr>
            <w:r w:rsidRPr="004761E0">
              <w:rPr>
                <w:sz w:val="20"/>
                <w:szCs w:val="20"/>
              </w:rPr>
              <w:t>–</w:t>
            </w:r>
          </w:p>
        </w:tc>
      </w:tr>
      <w:tr w:rsidR="00710B10" w:rsidRPr="004761E0" w:rsidTr="00A66ECA">
        <w:tc>
          <w:tcPr>
            <w:tcW w:w="675" w:type="dxa"/>
            <w:vMerge w:val="restart"/>
          </w:tcPr>
          <w:p w:rsidR="00710B10" w:rsidRPr="004761E0" w:rsidRDefault="00710B10" w:rsidP="007076A7">
            <w:pPr>
              <w:pStyle w:val="a5"/>
              <w:numPr>
                <w:ilvl w:val="1"/>
                <w:numId w:val="225"/>
              </w:numPr>
              <w:tabs>
                <w:tab w:val="left" w:pos="284"/>
              </w:tabs>
              <w:ind w:left="0" w:firstLine="0"/>
              <w:rPr>
                <w:sz w:val="20"/>
                <w:szCs w:val="20"/>
              </w:rPr>
            </w:pPr>
          </w:p>
        </w:tc>
        <w:tc>
          <w:tcPr>
            <w:tcW w:w="4951" w:type="dxa"/>
            <w:vMerge w:val="restart"/>
          </w:tcPr>
          <w:p w:rsidR="00710B10" w:rsidRPr="004761E0" w:rsidRDefault="00710B10" w:rsidP="00A66ECA">
            <w:pPr>
              <w:ind w:firstLine="0"/>
              <w:jc w:val="left"/>
              <w:rPr>
                <w:sz w:val="20"/>
                <w:szCs w:val="20"/>
              </w:rPr>
            </w:pPr>
            <w:r w:rsidRPr="004761E0">
              <w:rPr>
                <w:sz w:val="20"/>
                <w:szCs w:val="20"/>
              </w:rPr>
              <w:t>По филиалам</w:t>
            </w:r>
          </w:p>
        </w:tc>
        <w:tc>
          <w:tcPr>
            <w:tcW w:w="1286" w:type="dxa"/>
          </w:tcPr>
          <w:p w:rsidR="00710B10" w:rsidRPr="004761E0" w:rsidRDefault="00710B10" w:rsidP="00A66ECA">
            <w:pPr>
              <w:jc w:val="right"/>
              <w:rPr>
                <w:sz w:val="20"/>
                <w:szCs w:val="20"/>
              </w:rPr>
            </w:pPr>
            <w:r w:rsidRPr="004761E0">
              <w:rPr>
                <w:sz w:val="20"/>
                <w:szCs w:val="20"/>
              </w:rPr>
              <w:t>90</w:t>
            </w:r>
          </w:p>
        </w:tc>
        <w:tc>
          <w:tcPr>
            <w:tcW w:w="1560" w:type="dxa"/>
          </w:tcPr>
          <w:p w:rsidR="00710B10" w:rsidRPr="004761E0" w:rsidRDefault="00710B10" w:rsidP="00A66ECA">
            <w:pPr>
              <w:ind w:firstLine="0"/>
              <w:jc w:val="right"/>
              <w:rPr>
                <w:sz w:val="20"/>
                <w:szCs w:val="20"/>
              </w:rPr>
            </w:pPr>
            <w:r w:rsidRPr="004761E0">
              <w:rPr>
                <w:sz w:val="20"/>
                <w:szCs w:val="20"/>
              </w:rPr>
              <w:t>81</w:t>
            </w:r>
          </w:p>
        </w:tc>
        <w:tc>
          <w:tcPr>
            <w:tcW w:w="6520" w:type="dxa"/>
          </w:tcPr>
          <w:p w:rsidR="00710B10" w:rsidRPr="004761E0" w:rsidRDefault="00710B10" w:rsidP="00A66ECA">
            <w:pPr>
              <w:ind w:firstLine="0"/>
              <w:jc w:val="left"/>
              <w:rPr>
                <w:sz w:val="20"/>
                <w:szCs w:val="20"/>
              </w:rPr>
            </w:pPr>
            <w:r w:rsidRPr="004761E0">
              <w:rPr>
                <w:sz w:val="20"/>
                <w:szCs w:val="20"/>
              </w:rPr>
              <w:t>Иски о взыскании бездоговорного потребления электроэнергии</w:t>
            </w:r>
          </w:p>
        </w:tc>
      </w:tr>
      <w:tr w:rsidR="00710B10" w:rsidRPr="004761E0" w:rsidTr="00A66ECA">
        <w:tc>
          <w:tcPr>
            <w:tcW w:w="675" w:type="dxa"/>
            <w:vMerge/>
          </w:tcPr>
          <w:p w:rsidR="00710B10" w:rsidRPr="004761E0" w:rsidRDefault="00710B10" w:rsidP="00A66ECA">
            <w:pPr>
              <w:pStyle w:val="a5"/>
              <w:tabs>
                <w:tab w:val="left" w:pos="284"/>
              </w:tabs>
              <w:ind w:left="0" w:firstLine="0"/>
              <w:rPr>
                <w:sz w:val="20"/>
                <w:szCs w:val="20"/>
              </w:rPr>
            </w:pPr>
          </w:p>
        </w:tc>
        <w:tc>
          <w:tcPr>
            <w:tcW w:w="4951" w:type="dxa"/>
            <w:vMerge/>
          </w:tcPr>
          <w:p w:rsidR="00710B10" w:rsidRPr="004761E0" w:rsidRDefault="00710B10" w:rsidP="00A66ECA">
            <w:pPr>
              <w:ind w:firstLine="0"/>
              <w:rPr>
                <w:sz w:val="20"/>
                <w:szCs w:val="20"/>
              </w:rPr>
            </w:pPr>
          </w:p>
        </w:tc>
        <w:tc>
          <w:tcPr>
            <w:tcW w:w="1286" w:type="dxa"/>
          </w:tcPr>
          <w:p w:rsidR="00710B10" w:rsidRPr="004761E0" w:rsidRDefault="00710B10" w:rsidP="00A66ECA">
            <w:pPr>
              <w:jc w:val="right"/>
              <w:rPr>
                <w:sz w:val="20"/>
                <w:szCs w:val="20"/>
              </w:rPr>
            </w:pPr>
            <w:r w:rsidRPr="004761E0">
              <w:rPr>
                <w:sz w:val="20"/>
                <w:szCs w:val="20"/>
              </w:rPr>
              <w:t>13</w:t>
            </w:r>
          </w:p>
        </w:tc>
        <w:tc>
          <w:tcPr>
            <w:tcW w:w="1560" w:type="dxa"/>
          </w:tcPr>
          <w:p w:rsidR="00710B10" w:rsidRPr="004761E0" w:rsidRDefault="00710B10" w:rsidP="00A66ECA">
            <w:pPr>
              <w:ind w:firstLine="0"/>
              <w:jc w:val="right"/>
              <w:rPr>
                <w:sz w:val="20"/>
                <w:szCs w:val="20"/>
              </w:rPr>
            </w:pPr>
            <w:r w:rsidRPr="004761E0">
              <w:rPr>
                <w:sz w:val="20"/>
                <w:szCs w:val="20"/>
              </w:rPr>
              <w:t>102</w:t>
            </w:r>
          </w:p>
        </w:tc>
        <w:tc>
          <w:tcPr>
            <w:tcW w:w="6520" w:type="dxa"/>
          </w:tcPr>
          <w:p w:rsidR="00710B10" w:rsidRPr="004761E0" w:rsidRDefault="00710B10" w:rsidP="00A66ECA">
            <w:pPr>
              <w:ind w:firstLine="0"/>
              <w:jc w:val="left"/>
              <w:rPr>
                <w:sz w:val="20"/>
                <w:szCs w:val="20"/>
              </w:rPr>
            </w:pPr>
            <w:r w:rsidRPr="004761E0">
              <w:rPr>
                <w:sz w:val="20"/>
                <w:szCs w:val="20"/>
              </w:rPr>
              <w:t>Иски по договорам подряда</w:t>
            </w:r>
          </w:p>
        </w:tc>
      </w:tr>
      <w:tr w:rsidR="00710B10" w:rsidRPr="004761E0" w:rsidTr="00A66ECA">
        <w:tc>
          <w:tcPr>
            <w:tcW w:w="675" w:type="dxa"/>
            <w:vMerge/>
            <w:tcBorders>
              <w:bottom w:val="single" w:sz="12" w:space="0" w:color="000000"/>
            </w:tcBorders>
          </w:tcPr>
          <w:p w:rsidR="00710B10" w:rsidRPr="004761E0" w:rsidRDefault="00710B10" w:rsidP="00A66ECA">
            <w:pPr>
              <w:pStyle w:val="a5"/>
              <w:tabs>
                <w:tab w:val="left" w:pos="284"/>
              </w:tabs>
              <w:ind w:left="0" w:firstLine="0"/>
              <w:rPr>
                <w:sz w:val="20"/>
                <w:szCs w:val="20"/>
              </w:rPr>
            </w:pPr>
          </w:p>
        </w:tc>
        <w:tc>
          <w:tcPr>
            <w:tcW w:w="4951" w:type="dxa"/>
            <w:vMerge/>
            <w:tcBorders>
              <w:bottom w:val="single" w:sz="12" w:space="0" w:color="000000"/>
            </w:tcBorders>
          </w:tcPr>
          <w:p w:rsidR="00710B10" w:rsidRPr="004761E0" w:rsidRDefault="00710B10" w:rsidP="00A66ECA">
            <w:pPr>
              <w:ind w:firstLine="0"/>
              <w:rPr>
                <w:sz w:val="20"/>
                <w:szCs w:val="20"/>
              </w:rPr>
            </w:pPr>
          </w:p>
        </w:tc>
        <w:tc>
          <w:tcPr>
            <w:tcW w:w="1286" w:type="dxa"/>
            <w:tcBorders>
              <w:bottom w:val="single" w:sz="12" w:space="0" w:color="000000"/>
            </w:tcBorders>
          </w:tcPr>
          <w:p w:rsidR="00710B10" w:rsidRPr="004761E0" w:rsidRDefault="00710B10" w:rsidP="00A66ECA">
            <w:pPr>
              <w:jc w:val="right"/>
              <w:rPr>
                <w:sz w:val="20"/>
                <w:szCs w:val="20"/>
              </w:rPr>
            </w:pPr>
            <w:r w:rsidRPr="004761E0">
              <w:rPr>
                <w:sz w:val="20"/>
                <w:szCs w:val="20"/>
              </w:rPr>
              <w:t>27</w:t>
            </w:r>
          </w:p>
        </w:tc>
        <w:tc>
          <w:tcPr>
            <w:tcW w:w="1560" w:type="dxa"/>
            <w:tcBorders>
              <w:bottom w:val="single" w:sz="12" w:space="0" w:color="000000"/>
            </w:tcBorders>
          </w:tcPr>
          <w:p w:rsidR="00710B10" w:rsidRPr="004761E0" w:rsidRDefault="00710B10" w:rsidP="00A66ECA">
            <w:pPr>
              <w:ind w:firstLine="0"/>
              <w:jc w:val="right"/>
              <w:rPr>
                <w:sz w:val="20"/>
                <w:szCs w:val="20"/>
              </w:rPr>
            </w:pPr>
            <w:r w:rsidRPr="004761E0">
              <w:rPr>
                <w:sz w:val="20"/>
                <w:szCs w:val="20"/>
              </w:rPr>
              <w:t>56</w:t>
            </w:r>
          </w:p>
        </w:tc>
        <w:tc>
          <w:tcPr>
            <w:tcW w:w="6520" w:type="dxa"/>
            <w:tcBorders>
              <w:bottom w:val="single" w:sz="12" w:space="0" w:color="000000"/>
            </w:tcBorders>
          </w:tcPr>
          <w:p w:rsidR="00710B10" w:rsidRPr="004761E0" w:rsidRDefault="00710B10" w:rsidP="00A66ECA">
            <w:pPr>
              <w:ind w:firstLine="0"/>
              <w:jc w:val="left"/>
              <w:rPr>
                <w:sz w:val="20"/>
                <w:szCs w:val="20"/>
              </w:rPr>
            </w:pPr>
            <w:r w:rsidRPr="004761E0">
              <w:rPr>
                <w:sz w:val="20"/>
                <w:szCs w:val="20"/>
              </w:rPr>
              <w:t>Иные иски</w:t>
            </w:r>
          </w:p>
        </w:tc>
      </w:tr>
    </w:tbl>
    <w:p w:rsidR="00710B10" w:rsidRPr="004761E0" w:rsidRDefault="00710B10" w:rsidP="00710B10">
      <w:pPr>
        <w:rPr>
          <w:i/>
          <w:sz w:val="18"/>
          <w:szCs w:val="20"/>
        </w:rPr>
      </w:pPr>
      <w:r w:rsidRPr="004761E0">
        <w:rPr>
          <w:i/>
          <w:sz w:val="18"/>
          <w:szCs w:val="20"/>
        </w:rPr>
        <w:t>* включая требования об уплате неотработанных авансов и неустойки</w:t>
      </w:r>
    </w:p>
    <w:p w:rsidR="00710B10" w:rsidRPr="004761E0" w:rsidRDefault="00710B10" w:rsidP="00710B10">
      <w:pPr>
        <w:rPr>
          <w:b/>
          <w:sz w:val="26"/>
          <w:szCs w:val="26"/>
        </w:rPr>
      </w:pPr>
      <w:r w:rsidRPr="004761E0">
        <w:rPr>
          <w:i/>
          <w:sz w:val="18"/>
          <w:szCs w:val="20"/>
        </w:rPr>
        <w:t>** включая требования об уплате неустойки</w:t>
      </w:r>
    </w:p>
    <w:p w:rsidR="00710B10" w:rsidRPr="004761E0" w:rsidRDefault="00710B10" w:rsidP="00710B10">
      <w:pPr>
        <w:spacing w:before="120"/>
        <w:rPr>
          <w:i/>
          <w:sz w:val="26"/>
          <w:szCs w:val="26"/>
        </w:rPr>
      </w:pPr>
      <w:r w:rsidRPr="004761E0">
        <w:rPr>
          <w:sz w:val="26"/>
          <w:szCs w:val="26"/>
        </w:rPr>
        <w:t>Судебные разбирательства, по которым Общество выступает в качестве третьего лица: 9 исков.</w:t>
      </w:r>
    </w:p>
    <w:p w:rsidR="00710B10" w:rsidRPr="004761E0" w:rsidRDefault="00710B10" w:rsidP="00202C1B">
      <w:pPr>
        <w:pStyle w:val="ac"/>
        <w:spacing w:before="120" w:after="120"/>
        <w:ind w:firstLine="567"/>
        <w:rPr>
          <w:b/>
          <w:color w:val="000000" w:themeColor="text1"/>
          <w:sz w:val="26"/>
          <w:szCs w:val="26"/>
        </w:rPr>
        <w:sectPr w:rsidR="00710B10" w:rsidRPr="004761E0" w:rsidSect="0062609E">
          <w:pgSz w:w="16840" w:h="11907" w:orient="landscape" w:code="9"/>
          <w:pgMar w:top="1134" w:right="1418" w:bottom="851" w:left="720" w:header="720" w:footer="720" w:gutter="0"/>
          <w:cols w:space="720"/>
          <w:docGrid w:linePitch="326"/>
        </w:sectPr>
      </w:pPr>
    </w:p>
    <w:p w:rsidR="00136A10" w:rsidRPr="004761E0" w:rsidRDefault="00E34ACB" w:rsidP="007076A7">
      <w:pPr>
        <w:pStyle w:val="a8"/>
        <w:numPr>
          <w:ilvl w:val="1"/>
          <w:numId w:val="321"/>
        </w:numPr>
        <w:spacing w:before="120" w:after="120"/>
        <w:ind w:left="1134" w:hanging="567"/>
        <w:jc w:val="both"/>
        <w:rPr>
          <w:rFonts w:ascii="Times New Roman" w:hAnsi="Times New Roman"/>
          <w:b/>
          <w:sz w:val="26"/>
          <w:szCs w:val="26"/>
        </w:rPr>
      </w:pPr>
      <w:bookmarkStart w:id="104" w:name="_Toc380576937"/>
      <w:bookmarkStart w:id="105" w:name="_Toc385339833"/>
      <w:r w:rsidRPr="004761E0">
        <w:rPr>
          <w:rFonts w:ascii="Times New Roman" w:hAnsi="Times New Roman"/>
          <w:b/>
          <w:sz w:val="26"/>
          <w:szCs w:val="26"/>
        </w:rPr>
        <w:lastRenderedPageBreak/>
        <w:t>Участие в хозяйственных обществах</w:t>
      </w:r>
      <w:bookmarkEnd w:id="104"/>
      <w:bookmarkEnd w:id="105"/>
    </w:p>
    <w:p w:rsidR="00D50342" w:rsidRPr="004761E0" w:rsidRDefault="00D50342" w:rsidP="00D50342">
      <w:pPr>
        <w:ind w:firstLine="567"/>
        <w:rPr>
          <w:sz w:val="26"/>
          <w:szCs w:val="26"/>
          <w:lang w:eastAsia="ru-RU"/>
        </w:rPr>
      </w:pPr>
      <w:r w:rsidRPr="004761E0">
        <w:rPr>
          <w:sz w:val="26"/>
          <w:szCs w:val="26"/>
          <w:lang w:eastAsia="ru-RU"/>
        </w:rPr>
        <w:t xml:space="preserve">Взаимодействие Общества с ДЗО осуществляется при принятии органами управления и контроля ДЗО решений в рамках их компетенции. Взаимодействие Общества с ДЗО осуществляется в целях: </w:t>
      </w:r>
    </w:p>
    <w:p w:rsidR="00D50342" w:rsidRPr="004761E0" w:rsidRDefault="00D50342" w:rsidP="007076A7">
      <w:pPr>
        <w:pStyle w:val="a5"/>
        <w:numPr>
          <w:ilvl w:val="0"/>
          <w:numId w:val="218"/>
        </w:numPr>
        <w:ind w:left="1134" w:hanging="567"/>
        <w:rPr>
          <w:sz w:val="26"/>
          <w:szCs w:val="26"/>
          <w:lang w:eastAsia="ru-RU"/>
        </w:rPr>
      </w:pPr>
      <w:r w:rsidRPr="004761E0">
        <w:rPr>
          <w:sz w:val="26"/>
          <w:szCs w:val="26"/>
          <w:lang w:eastAsia="ru-RU"/>
        </w:rPr>
        <w:t>обеспечения стабильного финансового развития, прибыльности Общества и ДЗО;</w:t>
      </w:r>
    </w:p>
    <w:p w:rsidR="00D50342" w:rsidRPr="004761E0" w:rsidRDefault="00D50342" w:rsidP="007076A7">
      <w:pPr>
        <w:pStyle w:val="a5"/>
        <w:numPr>
          <w:ilvl w:val="0"/>
          <w:numId w:val="218"/>
        </w:numPr>
        <w:ind w:left="1134" w:hanging="567"/>
        <w:rPr>
          <w:sz w:val="26"/>
          <w:szCs w:val="26"/>
          <w:lang w:eastAsia="ru-RU"/>
        </w:rPr>
      </w:pPr>
      <w:r w:rsidRPr="004761E0">
        <w:rPr>
          <w:sz w:val="26"/>
          <w:szCs w:val="26"/>
          <w:lang w:eastAsia="ru-RU"/>
        </w:rPr>
        <w:t>обеспечения защиты прав и охраняемых законом интересов акционеров Общества и ДЗО;</w:t>
      </w:r>
    </w:p>
    <w:p w:rsidR="00D50342" w:rsidRPr="004761E0" w:rsidRDefault="00D50342" w:rsidP="007076A7">
      <w:pPr>
        <w:pStyle w:val="a5"/>
        <w:numPr>
          <w:ilvl w:val="0"/>
          <w:numId w:val="218"/>
        </w:numPr>
        <w:ind w:left="1134" w:hanging="567"/>
        <w:rPr>
          <w:sz w:val="26"/>
          <w:szCs w:val="26"/>
          <w:lang w:eastAsia="ru-RU"/>
        </w:rPr>
      </w:pPr>
      <w:r w:rsidRPr="004761E0">
        <w:rPr>
          <w:sz w:val="26"/>
          <w:szCs w:val="26"/>
          <w:lang w:eastAsia="ru-RU"/>
        </w:rPr>
        <w:t xml:space="preserve">повышения инвестиционной привлекательности Общества и ДЗО путем гарантирования их корпоративной «прозрачности» и предсказуемости корпоративной политики в целом. </w:t>
      </w:r>
    </w:p>
    <w:p w:rsidR="00D50342" w:rsidRPr="004761E0" w:rsidRDefault="00D50342" w:rsidP="00D50342">
      <w:pPr>
        <w:pStyle w:val="a5"/>
        <w:ind w:left="0" w:firstLine="567"/>
        <w:rPr>
          <w:sz w:val="26"/>
          <w:szCs w:val="26"/>
          <w:lang w:eastAsia="ru-RU"/>
        </w:rPr>
      </w:pPr>
      <w:r w:rsidRPr="004761E0">
        <w:rPr>
          <w:sz w:val="26"/>
          <w:szCs w:val="26"/>
          <w:lang w:eastAsia="ru-RU"/>
        </w:rPr>
        <w:t>Общество осуществляет взаимодействие с ДЗО через своих представителей: на общих собраниях акционеров ДЗО, в советах директоров ДЗО, в органах контроля ДЗО.</w:t>
      </w:r>
    </w:p>
    <w:p w:rsidR="00E831F8" w:rsidRPr="004761E0" w:rsidRDefault="00E831F8" w:rsidP="00D50342">
      <w:pPr>
        <w:pStyle w:val="a5"/>
        <w:ind w:left="0" w:firstLine="567"/>
        <w:rPr>
          <w:lang w:eastAsia="ru-RU"/>
        </w:rPr>
      </w:pPr>
    </w:p>
    <w:p w:rsidR="00E831F8" w:rsidRPr="004761E0" w:rsidRDefault="00E831F8">
      <w:pPr>
        <w:ind w:firstLine="0"/>
        <w:jc w:val="left"/>
        <w:rPr>
          <w:sz w:val="26"/>
          <w:szCs w:val="26"/>
          <w:lang w:eastAsia="ru-RU"/>
        </w:rPr>
        <w:sectPr w:rsidR="00E831F8" w:rsidRPr="004761E0" w:rsidSect="00E831F8">
          <w:pgSz w:w="11907" w:h="16840" w:code="9"/>
          <w:pgMar w:top="1418" w:right="851" w:bottom="720" w:left="1134" w:header="720" w:footer="720" w:gutter="0"/>
          <w:cols w:space="720"/>
          <w:docGrid w:linePitch="326"/>
        </w:sectPr>
      </w:pPr>
    </w:p>
    <w:p w:rsidR="00027A32" w:rsidRPr="004761E0" w:rsidRDefault="00BA326D" w:rsidP="00266643">
      <w:pPr>
        <w:ind w:firstLine="567"/>
        <w:rPr>
          <w:sz w:val="26"/>
          <w:szCs w:val="26"/>
          <w:lang w:eastAsia="ru-RU"/>
        </w:rPr>
      </w:pPr>
      <w:r w:rsidRPr="004761E0">
        <w:rPr>
          <w:sz w:val="26"/>
          <w:szCs w:val="26"/>
          <w:lang w:eastAsia="ru-RU"/>
        </w:rPr>
        <w:lastRenderedPageBreak/>
        <w:t xml:space="preserve">Информация о хозяйственных обществах, акциями (долями) которых владеет </w:t>
      </w:r>
      <w:r w:rsidR="0008080E">
        <w:rPr>
          <w:sz w:val="26"/>
          <w:szCs w:val="26"/>
          <w:lang w:eastAsia="ru-RU"/>
        </w:rPr>
        <w:t>ОАО </w:t>
      </w:r>
      <w:r w:rsidRPr="004761E0">
        <w:rPr>
          <w:sz w:val="26"/>
          <w:szCs w:val="26"/>
          <w:lang w:eastAsia="ru-RU"/>
        </w:rPr>
        <w:t>«МОЭСК»</w:t>
      </w:r>
    </w:p>
    <w:tbl>
      <w:tblPr>
        <w:tblW w:w="163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1"/>
        <w:gridCol w:w="2041"/>
        <w:gridCol w:w="1559"/>
        <w:gridCol w:w="4820"/>
        <w:gridCol w:w="1622"/>
        <w:gridCol w:w="1029"/>
        <w:gridCol w:w="1029"/>
        <w:gridCol w:w="2132"/>
        <w:gridCol w:w="1560"/>
      </w:tblGrid>
      <w:tr w:rsidR="0086454D" w:rsidRPr="004761E0" w:rsidTr="00BA4548">
        <w:trPr>
          <w:trHeight w:val="1099"/>
        </w:trPr>
        <w:tc>
          <w:tcPr>
            <w:tcW w:w="511" w:type="dxa"/>
            <w:tcBorders>
              <w:right w:val="single" w:sz="4" w:space="0" w:color="FFFFFF" w:themeColor="background1"/>
            </w:tcBorders>
            <w:shd w:val="clear" w:color="auto" w:fill="0F243E" w:themeFill="text2" w:themeFillShade="80"/>
            <w:hideMark/>
          </w:tcPr>
          <w:p w:rsidR="0086454D" w:rsidRPr="004761E0" w:rsidRDefault="0086454D" w:rsidP="002A4567">
            <w:pPr>
              <w:ind w:firstLine="0"/>
              <w:jc w:val="left"/>
              <w:rPr>
                <w:rFonts w:eastAsia="Times New Roman"/>
                <w:b/>
                <w:color w:val="FFFFFF" w:themeColor="background1"/>
                <w:sz w:val="18"/>
                <w:szCs w:val="18"/>
                <w:lang w:eastAsia="ru-RU"/>
              </w:rPr>
            </w:pPr>
            <w:r w:rsidRPr="004761E0">
              <w:rPr>
                <w:rFonts w:eastAsia="Times New Roman"/>
                <w:b/>
                <w:color w:val="FFFFFF" w:themeColor="background1"/>
                <w:sz w:val="18"/>
                <w:szCs w:val="18"/>
                <w:lang w:eastAsia="ru-RU"/>
              </w:rPr>
              <w:t>№ п/п</w:t>
            </w:r>
          </w:p>
        </w:tc>
        <w:tc>
          <w:tcPr>
            <w:tcW w:w="2041" w:type="dxa"/>
            <w:tcBorders>
              <w:left w:val="single" w:sz="4" w:space="0" w:color="FFFFFF" w:themeColor="background1"/>
              <w:right w:val="single" w:sz="4" w:space="0" w:color="FFFFFF" w:themeColor="background1"/>
            </w:tcBorders>
            <w:shd w:val="clear" w:color="auto" w:fill="0F243E" w:themeFill="text2" w:themeFillShade="80"/>
            <w:hideMark/>
          </w:tcPr>
          <w:p w:rsidR="0086454D" w:rsidRPr="004761E0" w:rsidRDefault="002A4567" w:rsidP="002A4567">
            <w:pPr>
              <w:ind w:firstLine="0"/>
              <w:jc w:val="left"/>
              <w:rPr>
                <w:rFonts w:eastAsia="Times New Roman"/>
                <w:b/>
                <w:color w:val="FFFFFF" w:themeColor="background1"/>
                <w:sz w:val="18"/>
                <w:szCs w:val="18"/>
                <w:lang w:eastAsia="ru-RU"/>
              </w:rPr>
            </w:pPr>
            <w:r>
              <w:rPr>
                <w:rFonts w:eastAsia="Times New Roman"/>
                <w:b/>
                <w:color w:val="FFFFFF" w:themeColor="background1"/>
                <w:sz w:val="18"/>
                <w:szCs w:val="18"/>
                <w:lang w:eastAsia="ru-RU"/>
              </w:rPr>
              <w:t>Полное н</w:t>
            </w:r>
            <w:r w:rsidR="0086454D" w:rsidRPr="004761E0">
              <w:rPr>
                <w:rFonts w:eastAsia="Times New Roman"/>
                <w:b/>
                <w:color w:val="FFFFFF" w:themeColor="background1"/>
                <w:sz w:val="18"/>
                <w:szCs w:val="18"/>
                <w:lang w:eastAsia="ru-RU"/>
              </w:rPr>
              <w:t>аименование</w:t>
            </w:r>
            <w:r>
              <w:rPr>
                <w:rFonts w:eastAsia="Times New Roman"/>
                <w:b/>
                <w:color w:val="FFFFFF" w:themeColor="background1"/>
                <w:sz w:val="18"/>
                <w:szCs w:val="18"/>
                <w:lang w:eastAsia="ru-RU"/>
              </w:rPr>
              <w:t xml:space="preserve"> (сокраенное наименование)</w:t>
            </w:r>
          </w:p>
        </w:tc>
        <w:tc>
          <w:tcPr>
            <w:tcW w:w="1559" w:type="dxa"/>
            <w:tcBorders>
              <w:left w:val="single" w:sz="4" w:space="0" w:color="FFFFFF" w:themeColor="background1"/>
              <w:right w:val="single" w:sz="4" w:space="0" w:color="FFFFFF" w:themeColor="background1"/>
            </w:tcBorders>
            <w:shd w:val="clear" w:color="auto" w:fill="0F243E" w:themeFill="text2" w:themeFillShade="80"/>
            <w:hideMark/>
          </w:tcPr>
          <w:p w:rsidR="0086454D" w:rsidRPr="004761E0" w:rsidRDefault="0086454D" w:rsidP="002A4567">
            <w:pPr>
              <w:ind w:firstLine="0"/>
              <w:jc w:val="left"/>
              <w:rPr>
                <w:rFonts w:eastAsia="Times New Roman"/>
                <w:b/>
                <w:color w:val="FFFFFF" w:themeColor="background1"/>
                <w:sz w:val="18"/>
                <w:szCs w:val="18"/>
                <w:lang w:eastAsia="ru-RU"/>
              </w:rPr>
            </w:pPr>
            <w:r w:rsidRPr="004761E0">
              <w:rPr>
                <w:rFonts w:eastAsia="Times New Roman"/>
                <w:b/>
                <w:color w:val="FFFFFF" w:themeColor="background1"/>
                <w:sz w:val="18"/>
                <w:szCs w:val="18"/>
                <w:lang w:eastAsia="ru-RU"/>
              </w:rPr>
              <w:t>Место нахождения</w:t>
            </w:r>
          </w:p>
        </w:tc>
        <w:tc>
          <w:tcPr>
            <w:tcW w:w="4820" w:type="dxa"/>
            <w:tcBorders>
              <w:left w:val="single" w:sz="4" w:space="0" w:color="FFFFFF" w:themeColor="background1"/>
              <w:right w:val="single" w:sz="4" w:space="0" w:color="FFFFFF" w:themeColor="background1"/>
            </w:tcBorders>
            <w:shd w:val="clear" w:color="auto" w:fill="0F243E" w:themeFill="text2" w:themeFillShade="80"/>
            <w:hideMark/>
          </w:tcPr>
          <w:p w:rsidR="0086454D" w:rsidRPr="004761E0" w:rsidRDefault="0086454D" w:rsidP="002A4567">
            <w:pPr>
              <w:ind w:firstLine="0"/>
              <w:jc w:val="left"/>
              <w:rPr>
                <w:rFonts w:eastAsia="Times New Roman"/>
                <w:b/>
                <w:color w:val="FFFFFF" w:themeColor="background1"/>
                <w:sz w:val="18"/>
                <w:szCs w:val="18"/>
                <w:lang w:eastAsia="ru-RU"/>
              </w:rPr>
            </w:pPr>
            <w:r w:rsidRPr="004761E0">
              <w:rPr>
                <w:rFonts w:eastAsia="Times New Roman"/>
                <w:b/>
                <w:color w:val="FFFFFF" w:themeColor="background1"/>
                <w:sz w:val="18"/>
                <w:szCs w:val="18"/>
                <w:lang w:eastAsia="ru-RU"/>
              </w:rPr>
              <w:t>Основные виды деятельности по Уставу</w:t>
            </w:r>
          </w:p>
        </w:tc>
        <w:tc>
          <w:tcPr>
            <w:tcW w:w="1622" w:type="dxa"/>
            <w:tcBorders>
              <w:left w:val="single" w:sz="4" w:space="0" w:color="FFFFFF" w:themeColor="background1"/>
              <w:right w:val="single" w:sz="4" w:space="0" w:color="FFFFFF" w:themeColor="background1"/>
            </w:tcBorders>
            <w:shd w:val="clear" w:color="auto" w:fill="0F243E" w:themeFill="text2" w:themeFillShade="80"/>
            <w:hideMark/>
          </w:tcPr>
          <w:p w:rsidR="0086454D" w:rsidRPr="004761E0" w:rsidRDefault="0086454D" w:rsidP="002A4567">
            <w:pPr>
              <w:ind w:firstLine="0"/>
              <w:jc w:val="right"/>
              <w:rPr>
                <w:rFonts w:eastAsia="Times New Roman"/>
                <w:b/>
                <w:color w:val="FFFFFF" w:themeColor="background1"/>
                <w:sz w:val="18"/>
                <w:szCs w:val="18"/>
                <w:lang w:eastAsia="ru-RU"/>
              </w:rPr>
            </w:pPr>
            <w:r w:rsidRPr="004761E0">
              <w:rPr>
                <w:rFonts w:eastAsia="Times New Roman"/>
                <w:b/>
                <w:color w:val="FFFFFF" w:themeColor="background1"/>
                <w:sz w:val="18"/>
                <w:szCs w:val="18"/>
                <w:lang w:eastAsia="ru-RU"/>
              </w:rPr>
              <w:t xml:space="preserve">Доля участия </w:t>
            </w:r>
            <w:r w:rsidR="0008080E">
              <w:rPr>
                <w:rFonts w:eastAsia="Times New Roman"/>
                <w:b/>
                <w:color w:val="FFFFFF" w:themeColor="background1"/>
                <w:sz w:val="18"/>
                <w:szCs w:val="18"/>
                <w:lang w:eastAsia="ru-RU"/>
              </w:rPr>
              <w:t>ОАО </w:t>
            </w:r>
            <w:r w:rsidRPr="004761E0">
              <w:rPr>
                <w:rFonts w:eastAsia="Times New Roman"/>
                <w:b/>
                <w:color w:val="FFFFFF" w:themeColor="background1"/>
                <w:sz w:val="18"/>
                <w:szCs w:val="18"/>
                <w:lang w:eastAsia="ru-RU"/>
              </w:rPr>
              <w:t>«МОЭСК» в капитале хозяйственного общества, %</w:t>
            </w:r>
          </w:p>
        </w:tc>
        <w:tc>
          <w:tcPr>
            <w:tcW w:w="1029" w:type="dxa"/>
            <w:tcBorders>
              <w:left w:val="single" w:sz="4" w:space="0" w:color="FFFFFF" w:themeColor="background1"/>
              <w:right w:val="single" w:sz="4" w:space="0" w:color="FFFFFF" w:themeColor="background1"/>
            </w:tcBorders>
            <w:shd w:val="clear" w:color="auto" w:fill="0F243E" w:themeFill="text2" w:themeFillShade="80"/>
            <w:hideMark/>
          </w:tcPr>
          <w:p w:rsidR="0086454D" w:rsidRPr="004761E0" w:rsidRDefault="0086454D" w:rsidP="002A4567">
            <w:pPr>
              <w:ind w:firstLine="0"/>
              <w:jc w:val="right"/>
              <w:rPr>
                <w:rFonts w:eastAsia="Times New Roman"/>
                <w:b/>
                <w:color w:val="FFFFFF" w:themeColor="background1"/>
                <w:sz w:val="18"/>
                <w:szCs w:val="18"/>
                <w:lang w:eastAsia="ru-RU"/>
              </w:rPr>
            </w:pPr>
            <w:r w:rsidRPr="004761E0">
              <w:rPr>
                <w:rFonts w:eastAsia="Times New Roman"/>
                <w:b/>
                <w:color w:val="FFFFFF" w:themeColor="background1"/>
                <w:sz w:val="18"/>
                <w:szCs w:val="18"/>
                <w:lang w:eastAsia="ru-RU"/>
              </w:rPr>
              <w:t>Выручка за отчетный период,  млн руб.</w:t>
            </w:r>
          </w:p>
        </w:tc>
        <w:tc>
          <w:tcPr>
            <w:tcW w:w="1029" w:type="dxa"/>
            <w:tcBorders>
              <w:left w:val="single" w:sz="4" w:space="0" w:color="FFFFFF" w:themeColor="background1"/>
              <w:right w:val="single" w:sz="4" w:space="0" w:color="FFFFFF" w:themeColor="background1"/>
            </w:tcBorders>
            <w:shd w:val="clear" w:color="auto" w:fill="0F243E" w:themeFill="text2" w:themeFillShade="80"/>
            <w:hideMark/>
          </w:tcPr>
          <w:p w:rsidR="0086454D" w:rsidRPr="004761E0" w:rsidRDefault="0086454D" w:rsidP="002A4567">
            <w:pPr>
              <w:ind w:firstLine="0"/>
              <w:jc w:val="right"/>
              <w:rPr>
                <w:rFonts w:eastAsia="Times New Roman"/>
                <w:b/>
                <w:color w:val="FFFFFF" w:themeColor="background1"/>
                <w:sz w:val="18"/>
                <w:szCs w:val="18"/>
                <w:lang w:eastAsia="ru-RU"/>
              </w:rPr>
            </w:pPr>
            <w:r w:rsidRPr="004761E0">
              <w:rPr>
                <w:rFonts w:eastAsia="Times New Roman"/>
                <w:b/>
                <w:color w:val="FFFFFF" w:themeColor="background1"/>
                <w:sz w:val="18"/>
                <w:szCs w:val="18"/>
                <w:lang w:eastAsia="ru-RU"/>
              </w:rPr>
              <w:t>Чистая прибыль (убыток) за отчетный период, млн руб.</w:t>
            </w:r>
          </w:p>
        </w:tc>
        <w:tc>
          <w:tcPr>
            <w:tcW w:w="2132" w:type="dxa"/>
            <w:tcBorders>
              <w:left w:val="single" w:sz="4" w:space="0" w:color="FFFFFF" w:themeColor="background1"/>
              <w:right w:val="single" w:sz="4" w:space="0" w:color="FFFFFF" w:themeColor="background1"/>
            </w:tcBorders>
            <w:shd w:val="clear" w:color="auto" w:fill="0F243E" w:themeFill="text2" w:themeFillShade="80"/>
            <w:hideMark/>
          </w:tcPr>
          <w:p w:rsidR="0086454D" w:rsidRPr="004761E0" w:rsidRDefault="0086454D" w:rsidP="002A4567">
            <w:pPr>
              <w:ind w:firstLine="0"/>
              <w:jc w:val="right"/>
              <w:rPr>
                <w:rFonts w:eastAsia="Times New Roman"/>
                <w:b/>
                <w:color w:val="FFFFFF" w:themeColor="background1"/>
                <w:sz w:val="18"/>
                <w:szCs w:val="18"/>
                <w:lang w:eastAsia="ru-RU"/>
              </w:rPr>
            </w:pPr>
            <w:r w:rsidRPr="004761E0">
              <w:rPr>
                <w:rFonts w:eastAsia="Times New Roman"/>
                <w:b/>
                <w:color w:val="FFFFFF" w:themeColor="background1"/>
                <w:sz w:val="18"/>
                <w:szCs w:val="18"/>
                <w:lang w:eastAsia="ru-RU"/>
              </w:rPr>
              <w:t>Размер полученных Обществом в отчетном году дивидендов по имеющимся акциям хозяйственного общества, млн руб.</w:t>
            </w:r>
          </w:p>
        </w:tc>
        <w:tc>
          <w:tcPr>
            <w:tcW w:w="1560" w:type="dxa"/>
            <w:tcBorders>
              <w:left w:val="single" w:sz="4" w:space="0" w:color="FFFFFF" w:themeColor="background1"/>
            </w:tcBorders>
            <w:shd w:val="clear" w:color="auto" w:fill="0F243E" w:themeFill="text2" w:themeFillShade="80"/>
            <w:hideMark/>
          </w:tcPr>
          <w:p w:rsidR="0086454D" w:rsidRPr="004761E0" w:rsidRDefault="0086454D" w:rsidP="002A4567">
            <w:pPr>
              <w:ind w:firstLine="0"/>
              <w:jc w:val="right"/>
              <w:rPr>
                <w:rFonts w:eastAsia="Times New Roman"/>
                <w:b/>
                <w:color w:val="FFFFFF" w:themeColor="background1"/>
                <w:sz w:val="18"/>
                <w:szCs w:val="18"/>
                <w:lang w:eastAsia="ru-RU"/>
              </w:rPr>
            </w:pPr>
            <w:r w:rsidRPr="004761E0">
              <w:rPr>
                <w:rFonts w:eastAsia="Times New Roman"/>
                <w:b/>
                <w:color w:val="FFFFFF" w:themeColor="background1"/>
                <w:sz w:val="18"/>
                <w:szCs w:val="18"/>
                <w:lang w:eastAsia="ru-RU"/>
              </w:rPr>
              <w:t>Ссылка на сайт хозяйственного общества</w:t>
            </w:r>
          </w:p>
        </w:tc>
      </w:tr>
      <w:tr w:rsidR="00266643" w:rsidRPr="004761E0" w:rsidTr="00BA4548">
        <w:trPr>
          <w:trHeight w:val="703"/>
        </w:trPr>
        <w:tc>
          <w:tcPr>
            <w:tcW w:w="511" w:type="dxa"/>
            <w:shd w:val="clear" w:color="auto" w:fill="auto"/>
            <w:hideMark/>
          </w:tcPr>
          <w:p w:rsidR="00266643" w:rsidRPr="004761E0" w:rsidRDefault="00266643" w:rsidP="00AD75E4">
            <w:pPr>
              <w:ind w:firstLine="0"/>
              <w:jc w:val="left"/>
              <w:rPr>
                <w:rFonts w:eastAsia="Times New Roman"/>
                <w:sz w:val="18"/>
                <w:szCs w:val="18"/>
                <w:lang w:eastAsia="ru-RU"/>
              </w:rPr>
            </w:pPr>
            <w:r w:rsidRPr="004761E0">
              <w:rPr>
                <w:rFonts w:eastAsia="Times New Roman"/>
                <w:sz w:val="18"/>
                <w:szCs w:val="18"/>
                <w:lang w:eastAsia="ru-RU"/>
              </w:rPr>
              <w:t>1.  </w:t>
            </w:r>
          </w:p>
        </w:tc>
        <w:tc>
          <w:tcPr>
            <w:tcW w:w="2041" w:type="dxa"/>
            <w:shd w:val="clear" w:color="auto" w:fill="auto"/>
            <w:hideMark/>
          </w:tcPr>
          <w:p w:rsidR="00266643" w:rsidRPr="004761E0" w:rsidRDefault="00266643" w:rsidP="00266643">
            <w:pPr>
              <w:ind w:firstLine="0"/>
              <w:jc w:val="left"/>
              <w:rPr>
                <w:rFonts w:eastAsia="Times New Roman"/>
                <w:color w:val="000000"/>
                <w:sz w:val="18"/>
                <w:szCs w:val="18"/>
                <w:lang w:eastAsia="ru-RU"/>
              </w:rPr>
            </w:pPr>
            <w:r w:rsidRPr="004761E0">
              <w:rPr>
                <w:rFonts w:eastAsia="Times New Roman"/>
                <w:color w:val="000000"/>
                <w:sz w:val="18"/>
                <w:szCs w:val="18"/>
                <w:lang w:eastAsia="ru-RU"/>
              </w:rPr>
              <w:t>Открытое акционерное общество «Завод по ремонту электротехнического оборудования» (</w:t>
            </w:r>
            <w:r w:rsidR="0008080E">
              <w:rPr>
                <w:rFonts w:eastAsia="Times New Roman"/>
                <w:color w:val="000000"/>
                <w:sz w:val="18"/>
                <w:szCs w:val="18"/>
                <w:lang w:eastAsia="ru-RU"/>
              </w:rPr>
              <w:t>ОАО </w:t>
            </w:r>
            <w:r w:rsidRPr="004761E0">
              <w:rPr>
                <w:rFonts w:eastAsia="Times New Roman"/>
                <w:color w:val="000000"/>
                <w:sz w:val="18"/>
                <w:szCs w:val="18"/>
                <w:lang w:eastAsia="ru-RU"/>
              </w:rPr>
              <w:t xml:space="preserve">«Завод РЭТО», </w:t>
            </w:r>
            <w:r w:rsidR="0008080E">
              <w:rPr>
                <w:rFonts w:eastAsia="Times New Roman"/>
                <w:color w:val="000000"/>
                <w:sz w:val="18"/>
                <w:szCs w:val="18"/>
                <w:lang w:eastAsia="ru-RU"/>
              </w:rPr>
              <w:t>ОАО </w:t>
            </w:r>
            <w:r w:rsidRPr="004761E0">
              <w:rPr>
                <w:rFonts w:eastAsia="Times New Roman"/>
                <w:color w:val="000000"/>
                <w:sz w:val="18"/>
                <w:szCs w:val="18"/>
                <w:lang w:eastAsia="ru-RU"/>
              </w:rPr>
              <w:t xml:space="preserve">«Завод по ремонту электротехнического оборудования») </w:t>
            </w:r>
          </w:p>
        </w:tc>
        <w:tc>
          <w:tcPr>
            <w:tcW w:w="1559" w:type="dxa"/>
            <w:shd w:val="clear" w:color="auto" w:fill="auto"/>
            <w:hideMark/>
          </w:tcPr>
          <w:p w:rsidR="00266643" w:rsidRPr="004761E0" w:rsidRDefault="00266643" w:rsidP="00266643">
            <w:pPr>
              <w:ind w:firstLine="0"/>
              <w:jc w:val="left"/>
              <w:rPr>
                <w:rFonts w:eastAsia="Times New Roman"/>
                <w:color w:val="000000"/>
                <w:sz w:val="18"/>
                <w:szCs w:val="18"/>
                <w:lang w:eastAsia="ru-RU"/>
              </w:rPr>
            </w:pPr>
            <w:r w:rsidRPr="004761E0">
              <w:rPr>
                <w:rFonts w:eastAsia="Times New Roman"/>
                <w:color w:val="000000"/>
                <w:sz w:val="18"/>
                <w:szCs w:val="18"/>
                <w:lang w:eastAsia="ru-RU"/>
              </w:rPr>
              <w:t xml:space="preserve">115201, г. Москва, Старокаширское шоссе, д. 4а </w:t>
            </w:r>
          </w:p>
        </w:tc>
        <w:tc>
          <w:tcPr>
            <w:tcW w:w="4820" w:type="dxa"/>
            <w:shd w:val="clear" w:color="auto" w:fill="auto"/>
            <w:hideMark/>
          </w:tcPr>
          <w:p w:rsidR="00266643" w:rsidRPr="004761E0" w:rsidRDefault="00266643" w:rsidP="00AD75E4">
            <w:pPr>
              <w:pStyle w:val="Pa8"/>
              <w:rPr>
                <w:rFonts w:ascii="Times New Roman" w:hAnsi="Times New Roman"/>
                <w:sz w:val="18"/>
                <w:szCs w:val="18"/>
                <w:lang w:eastAsia="en-US"/>
              </w:rPr>
            </w:pPr>
            <w:r w:rsidRPr="004761E0">
              <w:rPr>
                <w:rFonts w:ascii="Times New Roman" w:hAnsi="Times New Roman"/>
                <w:sz w:val="18"/>
                <w:szCs w:val="18"/>
                <w:lang w:eastAsia="en-US"/>
              </w:rPr>
              <w:t>Монтаж, наладка и ремонт энергообъектов,</w:t>
            </w:r>
          </w:p>
          <w:p w:rsidR="00266643" w:rsidRPr="004761E0" w:rsidRDefault="00266643" w:rsidP="00AD75E4">
            <w:pPr>
              <w:pStyle w:val="Pa8"/>
              <w:rPr>
                <w:rFonts w:ascii="Times New Roman" w:hAnsi="Times New Roman"/>
                <w:sz w:val="18"/>
                <w:szCs w:val="18"/>
                <w:lang w:eastAsia="en-US"/>
              </w:rPr>
            </w:pPr>
            <w:r w:rsidRPr="004761E0">
              <w:rPr>
                <w:rFonts w:ascii="Times New Roman" w:hAnsi="Times New Roman"/>
                <w:sz w:val="18"/>
                <w:szCs w:val="18"/>
                <w:lang w:eastAsia="en-US"/>
              </w:rPr>
              <w:t>электроэнергетического, теплоэнергетического оборудования и энергоустановок потребителей;</w:t>
            </w:r>
          </w:p>
          <w:p w:rsidR="00266643" w:rsidRPr="004761E0" w:rsidRDefault="00266643" w:rsidP="00AD75E4">
            <w:pPr>
              <w:pStyle w:val="Pa8"/>
              <w:rPr>
                <w:rFonts w:ascii="Times New Roman" w:hAnsi="Times New Roman"/>
                <w:sz w:val="18"/>
                <w:szCs w:val="18"/>
                <w:lang w:eastAsia="en-US"/>
              </w:rPr>
            </w:pPr>
            <w:r w:rsidRPr="004761E0">
              <w:rPr>
                <w:rFonts w:ascii="Times New Roman" w:hAnsi="Times New Roman"/>
                <w:sz w:val="18"/>
                <w:szCs w:val="18"/>
                <w:lang w:eastAsia="en-US"/>
              </w:rPr>
              <w:t>работы по капитальному и текущему ремонту силового электротехнического оборудования в</w:t>
            </w:r>
          </w:p>
          <w:p w:rsidR="00266643" w:rsidRPr="004761E0" w:rsidRDefault="00266643" w:rsidP="00AD75E4">
            <w:pPr>
              <w:ind w:firstLine="0"/>
              <w:jc w:val="left"/>
              <w:rPr>
                <w:sz w:val="18"/>
                <w:szCs w:val="18"/>
              </w:rPr>
            </w:pPr>
            <w:r w:rsidRPr="004761E0">
              <w:rPr>
                <w:sz w:val="18"/>
                <w:szCs w:val="18"/>
              </w:rPr>
              <w:t>силовых электрических сетях, ТЭЦ, ГРЭС и других объектах; работы по ликвидации последствий аварий в силовых электрических сетях, ТЭЦ, ГРЭС и других объектах на территории г. Москвы и Московской области и в других регионах.</w:t>
            </w:r>
          </w:p>
        </w:tc>
        <w:tc>
          <w:tcPr>
            <w:tcW w:w="1622" w:type="dxa"/>
            <w:shd w:val="clear" w:color="auto" w:fill="auto"/>
            <w:hideMark/>
          </w:tcPr>
          <w:p w:rsidR="00266643" w:rsidRPr="004761E0" w:rsidRDefault="00266643" w:rsidP="00266643">
            <w:pPr>
              <w:ind w:firstLine="0"/>
              <w:jc w:val="right"/>
              <w:rPr>
                <w:rFonts w:eastAsia="Times New Roman"/>
                <w:color w:val="000000"/>
                <w:sz w:val="18"/>
                <w:szCs w:val="18"/>
                <w:lang w:eastAsia="ru-RU"/>
              </w:rPr>
            </w:pPr>
            <w:r w:rsidRPr="004761E0">
              <w:rPr>
                <w:rFonts w:eastAsia="Times New Roman"/>
                <w:color w:val="000000"/>
                <w:sz w:val="18"/>
                <w:szCs w:val="18"/>
                <w:lang w:eastAsia="ru-RU"/>
              </w:rPr>
              <w:t>100</w:t>
            </w:r>
          </w:p>
        </w:tc>
        <w:tc>
          <w:tcPr>
            <w:tcW w:w="1029" w:type="dxa"/>
            <w:shd w:val="clear" w:color="auto" w:fill="auto"/>
            <w:hideMark/>
          </w:tcPr>
          <w:p w:rsidR="00266643" w:rsidRPr="004761E0" w:rsidRDefault="00266643" w:rsidP="00266643">
            <w:pPr>
              <w:ind w:firstLine="0"/>
              <w:jc w:val="right"/>
              <w:rPr>
                <w:color w:val="000000"/>
                <w:sz w:val="18"/>
                <w:szCs w:val="18"/>
              </w:rPr>
            </w:pPr>
            <w:r w:rsidRPr="004761E0">
              <w:rPr>
                <w:color w:val="000000"/>
                <w:sz w:val="18"/>
                <w:szCs w:val="18"/>
              </w:rPr>
              <w:t>572,07</w:t>
            </w:r>
          </w:p>
        </w:tc>
        <w:tc>
          <w:tcPr>
            <w:tcW w:w="1029" w:type="dxa"/>
            <w:shd w:val="clear" w:color="auto" w:fill="auto"/>
            <w:hideMark/>
          </w:tcPr>
          <w:p w:rsidR="00266643" w:rsidRPr="004761E0" w:rsidRDefault="00266643" w:rsidP="00266643">
            <w:pPr>
              <w:ind w:firstLine="0"/>
              <w:jc w:val="right"/>
              <w:rPr>
                <w:color w:val="000000"/>
                <w:sz w:val="18"/>
                <w:szCs w:val="18"/>
              </w:rPr>
            </w:pPr>
            <w:r w:rsidRPr="004761E0">
              <w:rPr>
                <w:color w:val="000000"/>
                <w:sz w:val="18"/>
                <w:szCs w:val="18"/>
              </w:rPr>
              <w:t>1,23</w:t>
            </w:r>
          </w:p>
        </w:tc>
        <w:tc>
          <w:tcPr>
            <w:tcW w:w="2132" w:type="dxa"/>
            <w:shd w:val="clear" w:color="auto" w:fill="auto"/>
            <w:hideMark/>
          </w:tcPr>
          <w:p w:rsidR="00266643" w:rsidRPr="004761E0" w:rsidRDefault="00266643" w:rsidP="00266643">
            <w:pPr>
              <w:ind w:firstLine="0"/>
              <w:jc w:val="right"/>
              <w:rPr>
                <w:color w:val="000000"/>
                <w:sz w:val="18"/>
                <w:szCs w:val="18"/>
              </w:rPr>
            </w:pPr>
            <w:r w:rsidRPr="004761E0">
              <w:rPr>
                <w:color w:val="000000"/>
                <w:sz w:val="18"/>
                <w:szCs w:val="18"/>
              </w:rPr>
              <w:t>2,43</w:t>
            </w:r>
          </w:p>
        </w:tc>
        <w:tc>
          <w:tcPr>
            <w:tcW w:w="1560" w:type="dxa"/>
            <w:shd w:val="clear" w:color="auto" w:fill="auto"/>
            <w:hideMark/>
          </w:tcPr>
          <w:p w:rsidR="00266643" w:rsidRPr="004761E0" w:rsidRDefault="00266643" w:rsidP="00266643">
            <w:pPr>
              <w:ind w:firstLine="0"/>
              <w:jc w:val="right"/>
              <w:rPr>
                <w:rFonts w:eastAsia="Times New Roman"/>
                <w:color w:val="000000"/>
                <w:sz w:val="18"/>
                <w:szCs w:val="18"/>
                <w:lang w:eastAsia="ru-RU"/>
              </w:rPr>
            </w:pPr>
            <w:r w:rsidRPr="004761E0">
              <w:rPr>
                <w:rFonts w:eastAsia="Times New Roman"/>
                <w:color w:val="000000"/>
                <w:sz w:val="18"/>
                <w:szCs w:val="18"/>
                <w:lang w:eastAsia="ru-RU"/>
              </w:rPr>
              <w:t>http://zreto.ru/</w:t>
            </w:r>
          </w:p>
        </w:tc>
      </w:tr>
      <w:tr w:rsidR="00266643" w:rsidRPr="004761E0" w:rsidTr="00BA4548">
        <w:trPr>
          <w:trHeight w:val="1447"/>
        </w:trPr>
        <w:tc>
          <w:tcPr>
            <w:tcW w:w="511" w:type="dxa"/>
            <w:shd w:val="clear" w:color="auto" w:fill="auto"/>
            <w:hideMark/>
          </w:tcPr>
          <w:p w:rsidR="00266643" w:rsidRPr="004761E0" w:rsidRDefault="00266643" w:rsidP="00AD75E4">
            <w:pPr>
              <w:ind w:firstLine="0"/>
              <w:jc w:val="left"/>
              <w:rPr>
                <w:rFonts w:eastAsia="Times New Roman"/>
                <w:sz w:val="18"/>
                <w:szCs w:val="18"/>
                <w:lang w:eastAsia="ru-RU"/>
              </w:rPr>
            </w:pPr>
            <w:r w:rsidRPr="004761E0">
              <w:rPr>
                <w:rFonts w:eastAsia="Times New Roman"/>
                <w:sz w:val="18"/>
                <w:szCs w:val="18"/>
                <w:lang w:eastAsia="ru-RU"/>
              </w:rPr>
              <w:t>2.</w:t>
            </w:r>
          </w:p>
        </w:tc>
        <w:tc>
          <w:tcPr>
            <w:tcW w:w="2041" w:type="dxa"/>
            <w:shd w:val="clear" w:color="auto" w:fill="auto"/>
            <w:hideMark/>
          </w:tcPr>
          <w:p w:rsidR="00266643" w:rsidRPr="004761E0" w:rsidRDefault="00266643" w:rsidP="00266643">
            <w:pPr>
              <w:ind w:firstLine="0"/>
              <w:jc w:val="left"/>
              <w:rPr>
                <w:rFonts w:eastAsia="Times New Roman"/>
                <w:color w:val="000000"/>
                <w:sz w:val="18"/>
                <w:szCs w:val="18"/>
                <w:lang w:eastAsia="ru-RU"/>
              </w:rPr>
            </w:pPr>
            <w:r w:rsidRPr="004761E0">
              <w:rPr>
                <w:rFonts w:eastAsia="Times New Roman"/>
                <w:color w:val="000000"/>
                <w:sz w:val="18"/>
                <w:szCs w:val="18"/>
                <w:lang w:eastAsia="ru-RU"/>
              </w:rPr>
              <w:t>Открытое акционерное общество «Москабельсетьмонтаж» (</w:t>
            </w:r>
            <w:r w:rsidR="0008080E">
              <w:rPr>
                <w:rFonts w:eastAsia="Times New Roman"/>
                <w:color w:val="000000"/>
                <w:sz w:val="18"/>
                <w:szCs w:val="18"/>
                <w:lang w:eastAsia="ru-RU"/>
              </w:rPr>
              <w:t>ОАО </w:t>
            </w:r>
            <w:r w:rsidRPr="004761E0">
              <w:rPr>
                <w:rFonts w:eastAsia="Times New Roman"/>
                <w:color w:val="000000"/>
                <w:sz w:val="18"/>
                <w:szCs w:val="18"/>
                <w:lang w:eastAsia="ru-RU"/>
              </w:rPr>
              <w:t xml:space="preserve">«МКСМ», </w:t>
            </w:r>
            <w:r w:rsidR="0008080E">
              <w:rPr>
                <w:rFonts w:eastAsia="Times New Roman"/>
                <w:color w:val="000000"/>
                <w:sz w:val="18"/>
                <w:szCs w:val="18"/>
                <w:lang w:eastAsia="ru-RU"/>
              </w:rPr>
              <w:t>ОАО </w:t>
            </w:r>
            <w:r w:rsidRPr="004761E0">
              <w:rPr>
                <w:rFonts w:eastAsia="Times New Roman"/>
                <w:color w:val="000000"/>
                <w:sz w:val="18"/>
                <w:szCs w:val="18"/>
                <w:lang w:eastAsia="ru-RU"/>
              </w:rPr>
              <w:t xml:space="preserve">«Москабельсетьмонтаж») </w:t>
            </w:r>
          </w:p>
        </w:tc>
        <w:tc>
          <w:tcPr>
            <w:tcW w:w="1559" w:type="dxa"/>
            <w:shd w:val="clear" w:color="auto" w:fill="auto"/>
            <w:hideMark/>
          </w:tcPr>
          <w:p w:rsidR="00266643" w:rsidRPr="004761E0" w:rsidRDefault="00266643" w:rsidP="00266643">
            <w:pPr>
              <w:ind w:firstLine="0"/>
              <w:jc w:val="left"/>
              <w:rPr>
                <w:rFonts w:eastAsia="Times New Roman"/>
                <w:color w:val="000000"/>
                <w:sz w:val="18"/>
                <w:szCs w:val="18"/>
                <w:lang w:eastAsia="ru-RU"/>
              </w:rPr>
            </w:pPr>
            <w:r w:rsidRPr="004761E0">
              <w:rPr>
                <w:rFonts w:eastAsia="Times New Roman"/>
                <w:color w:val="000000"/>
                <w:sz w:val="18"/>
                <w:szCs w:val="18"/>
                <w:lang w:eastAsia="ru-RU"/>
              </w:rPr>
              <w:t>115088, г. Москва, ул. Южнопортовая, д. 17, стр. 3</w:t>
            </w:r>
          </w:p>
        </w:tc>
        <w:tc>
          <w:tcPr>
            <w:tcW w:w="4820" w:type="dxa"/>
            <w:shd w:val="clear" w:color="auto" w:fill="auto"/>
            <w:hideMark/>
          </w:tcPr>
          <w:p w:rsidR="00266643" w:rsidRPr="004761E0" w:rsidRDefault="00266643" w:rsidP="00AD75E4">
            <w:pPr>
              <w:ind w:firstLine="0"/>
              <w:jc w:val="left"/>
              <w:rPr>
                <w:sz w:val="18"/>
                <w:szCs w:val="18"/>
              </w:rPr>
            </w:pPr>
            <w:r w:rsidRPr="004761E0">
              <w:rPr>
                <w:sz w:val="18"/>
                <w:szCs w:val="18"/>
              </w:rPr>
              <w:t>Строительные и монтажные работы (включая работы по устройству наружных инженерных сетей и оборудования, прокладку кабельных линий электроснабжения 1-10, 20, 35, 110, 220 и 500 кВ; подготовку строительной площадки и земляные работы; возведение несущих и ограждающих конструкций; устройство внутренних инженерных сетей; работы по защите конструкций и оборудования; пусконаладочные работы).</w:t>
            </w:r>
          </w:p>
        </w:tc>
        <w:tc>
          <w:tcPr>
            <w:tcW w:w="1622" w:type="dxa"/>
            <w:shd w:val="clear" w:color="auto" w:fill="auto"/>
            <w:hideMark/>
          </w:tcPr>
          <w:p w:rsidR="00266643" w:rsidRPr="004761E0" w:rsidRDefault="00266643" w:rsidP="00266643">
            <w:pPr>
              <w:ind w:firstLine="0"/>
              <w:jc w:val="right"/>
              <w:rPr>
                <w:rFonts w:eastAsia="Times New Roman"/>
                <w:color w:val="000000"/>
                <w:sz w:val="18"/>
                <w:szCs w:val="18"/>
                <w:lang w:eastAsia="ru-RU"/>
              </w:rPr>
            </w:pPr>
            <w:r w:rsidRPr="004761E0">
              <w:rPr>
                <w:rFonts w:eastAsia="Times New Roman"/>
                <w:color w:val="000000"/>
                <w:sz w:val="18"/>
                <w:szCs w:val="18"/>
                <w:lang w:eastAsia="ru-RU"/>
              </w:rPr>
              <w:t>100</w:t>
            </w:r>
          </w:p>
        </w:tc>
        <w:tc>
          <w:tcPr>
            <w:tcW w:w="1029" w:type="dxa"/>
            <w:shd w:val="clear" w:color="auto" w:fill="auto"/>
            <w:hideMark/>
          </w:tcPr>
          <w:p w:rsidR="00266643" w:rsidRPr="004761E0" w:rsidRDefault="00266643" w:rsidP="00266643">
            <w:pPr>
              <w:ind w:firstLine="0"/>
              <w:jc w:val="right"/>
              <w:rPr>
                <w:color w:val="000000"/>
                <w:sz w:val="18"/>
                <w:szCs w:val="18"/>
              </w:rPr>
            </w:pPr>
            <w:r w:rsidRPr="004761E0">
              <w:rPr>
                <w:color w:val="000000"/>
                <w:sz w:val="18"/>
                <w:szCs w:val="18"/>
              </w:rPr>
              <w:t>1 405,91</w:t>
            </w:r>
          </w:p>
        </w:tc>
        <w:tc>
          <w:tcPr>
            <w:tcW w:w="1029" w:type="dxa"/>
            <w:shd w:val="clear" w:color="auto" w:fill="auto"/>
            <w:hideMark/>
          </w:tcPr>
          <w:p w:rsidR="00266643" w:rsidRPr="004761E0" w:rsidRDefault="00266643" w:rsidP="00266643">
            <w:pPr>
              <w:ind w:firstLine="0"/>
              <w:jc w:val="right"/>
              <w:rPr>
                <w:color w:val="000000"/>
                <w:sz w:val="18"/>
                <w:szCs w:val="18"/>
              </w:rPr>
            </w:pPr>
            <w:r w:rsidRPr="004761E0">
              <w:rPr>
                <w:color w:val="000000"/>
                <w:sz w:val="18"/>
                <w:szCs w:val="18"/>
              </w:rPr>
              <w:t>12,18</w:t>
            </w:r>
          </w:p>
        </w:tc>
        <w:tc>
          <w:tcPr>
            <w:tcW w:w="2132" w:type="dxa"/>
            <w:shd w:val="clear" w:color="auto" w:fill="auto"/>
            <w:hideMark/>
          </w:tcPr>
          <w:p w:rsidR="00266643" w:rsidRPr="004761E0" w:rsidRDefault="00266643" w:rsidP="00266643">
            <w:pPr>
              <w:ind w:firstLine="0"/>
              <w:jc w:val="right"/>
              <w:rPr>
                <w:color w:val="000000"/>
                <w:sz w:val="18"/>
                <w:szCs w:val="18"/>
              </w:rPr>
            </w:pPr>
            <w:r w:rsidRPr="004761E0">
              <w:rPr>
                <w:color w:val="000000"/>
                <w:sz w:val="18"/>
                <w:szCs w:val="18"/>
              </w:rPr>
              <w:t>11,87</w:t>
            </w:r>
          </w:p>
        </w:tc>
        <w:tc>
          <w:tcPr>
            <w:tcW w:w="1560" w:type="dxa"/>
            <w:shd w:val="clear" w:color="auto" w:fill="auto"/>
            <w:hideMark/>
          </w:tcPr>
          <w:p w:rsidR="00266643" w:rsidRPr="004761E0" w:rsidRDefault="00266643" w:rsidP="00266643">
            <w:pPr>
              <w:ind w:firstLine="0"/>
              <w:jc w:val="right"/>
              <w:rPr>
                <w:rFonts w:eastAsia="Times New Roman"/>
                <w:color w:val="000000"/>
                <w:sz w:val="18"/>
                <w:szCs w:val="18"/>
                <w:lang w:eastAsia="ru-RU"/>
              </w:rPr>
            </w:pPr>
            <w:r w:rsidRPr="004761E0">
              <w:rPr>
                <w:rFonts w:eastAsia="Times New Roman"/>
                <w:color w:val="000000"/>
                <w:sz w:val="18"/>
                <w:szCs w:val="18"/>
                <w:lang w:eastAsia="ru-RU"/>
              </w:rPr>
              <w:t>http://www.oaomksm.ru</w:t>
            </w:r>
          </w:p>
        </w:tc>
      </w:tr>
      <w:tr w:rsidR="00266643" w:rsidRPr="004761E0" w:rsidTr="00BA4548">
        <w:trPr>
          <w:trHeight w:val="1837"/>
        </w:trPr>
        <w:tc>
          <w:tcPr>
            <w:tcW w:w="511" w:type="dxa"/>
            <w:shd w:val="clear" w:color="auto" w:fill="auto"/>
            <w:vAlign w:val="center"/>
            <w:hideMark/>
          </w:tcPr>
          <w:p w:rsidR="00266643" w:rsidRPr="004761E0" w:rsidRDefault="00266643" w:rsidP="002C5A29">
            <w:pPr>
              <w:ind w:firstLine="0"/>
              <w:rPr>
                <w:rFonts w:eastAsia="Times New Roman"/>
                <w:sz w:val="18"/>
                <w:szCs w:val="18"/>
                <w:lang w:eastAsia="ru-RU"/>
              </w:rPr>
            </w:pPr>
            <w:r w:rsidRPr="004761E0">
              <w:rPr>
                <w:rFonts w:eastAsia="Times New Roman"/>
                <w:sz w:val="18"/>
                <w:szCs w:val="18"/>
                <w:lang w:eastAsia="ru-RU"/>
              </w:rPr>
              <w:t>3.</w:t>
            </w:r>
          </w:p>
        </w:tc>
        <w:tc>
          <w:tcPr>
            <w:tcW w:w="2041" w:type="dxa"/>
            <w:shd w:val="clear" w:color="auto" w:fill="auto"/>
            <w:hideMark/>
          </w:tcPr>
          <w:p w:rsidR="00266643" w:rsidRPr="004761E0" w:rsidRDefault="00266643" w:rsidP="00266643">
            <w:pPr>
              <w:ind w:firstLine="0"/>
              <w:jc w:val="left"/>
              <w:rPr>
                <w:rFonts w:eastAsia="Times New Roman"/>
                <w:color w:val="000000"/>
                <w:sz w:val="18"/>
                <w:szCs w:val="18"/>
                <w:lang w:eastAsia="ru-RU"/>
              </w:rPr>
            </w:pPr>
            <w:r w:rsidRPr="004761E0">
              <w:rPr>
                <w:rFonts w:eastAsia="Times New Roman"/>
                <w:color w:val="000000"/>
                <w:sz w:val="18"/>
                <w:szCs w:val="18"/>
                <w:lang w:eastAsia="ru-RU"/>
              </w:rPr>
              <w:t>Открытое акционерное общество «Москабельэнергоремонт» (</w:t>
            </w:r>
            <w:r w:rsidR="0008080E">
              <w:rPr>
                <w:rFonts w:eastAsia="Times New Roman"/>
                <w:color w:val="000000"/>
                <w:sz w:val="18"/>
                <w:szCs w:val="18"/>
                <w:lang w:eastAsia="ru-RU"/>
              </w:rPr>
              <w:t>ОАО </w:t>
            </w:r>
            <w:r w:rsidRPr="004761E0">
              <w:rPr>
                <w:rFonts w:eastAsia="Times New Roman"/>
                <w:color w:val="000000"/>
                <w:sz w:val="18"/>
                <w:szCs w:val="18"/>
                <w:lang w:eastAsia="ru-RU"/>
              </w:rPr>
              <w:t xml:space="preserve">«МКЭР», </w:t>
            </w:r>
            <w:r w:rsidR="0008080E">
              <w:rPr>
                <w:rFonts w:eastAsia="Times New Roman"/>
                <w:color w:val="000000"/>
                <w:sz w:val="18"/>
                <w:szCs w:val="18"/>
                <w:lang w:eastAsia="ru-RU"/>
              </w:rPr>
              <w:t>ОАО </w:t>
            </w:r>
            <w:r w:rsidRPr="004761E0">
              <w:rPr>
                <w:rFonts w:eastAsia="Times New Roman"/>
                <w:color w:val="000000"/>
                <w:sz w:val="18"/>
                <w:szCs w:val="18"/>
                <w:lang w:eastAsia="ru-RU"/>
              </w:rPr>
              <w:t xml:space="preserve">«Москабельэнергоремонт») </w:t>
            </w:r>
          </w:p>
        </w:tc>
        <w:tc>
          <w:tcPr>
            <w:tcW w:w="1559" w:type="dxa"/>
            <w:shd w:val="clear" w:color="auto" w:fill="auto"/>
            <w:hideMark/>
          </w:tcPr>
          <w:p w:rsidR="00266643" w:rsidRPr="004761E0" w:rsidRDefault="00266643" w:rsidP="00266643">
            <w:pPr>
              <w:ind w:firstLine="0"/>
              <w:jc w:val="left"/>
              <w:rPr>
                <w:rFonts w:eastAsia="Times New Roman"/>
                <w:color w:val="000000"/>
                <w:sz w:val="18"/>
                <w:szCs w:val="18"/>
                <w:lang w:eastAsia="ru-RU"/>
              </w:rPr>
            </w:pPr>
            <w:r w:rsidRPr="004761E0">
              <w:rPr>
                <w:rFonts w:eastAsia="Times New Roman"/>
                <w:color w:val="000000"/>
                <w:sz w:val="18"/>
                <w:szCs w:val="18"/>
                <w:lang w:eastAsia="ru-RU"/>
              </w:rPr>
              <w:t xml:space="preserve">115569, г. Москва, ул. Шипиловская, д. 13, корп. 2 </w:t>
            </w:r>
          </w:p>
        </w:tc>
        <w:tc>
          <w:tcPr>
            <w:tcW w:w="4820" w:type="dxa"/>
            <w:shd w:val="clear" w:color="auto" w:fill="auto"/>
            <w:hideMark/>
          </w:tcPr>
          <w:p w:rsidR="00266643" w:rsidRPr="004761E0" w:rsidRDefault="00266643" w:rsidP="002C5A29">
            <w:pPr>
              <w:ind w:right="-108" w:firstLine="0"/>
              <w:jc w:val="left"/>
              <w:rPr>
                <w:sz w:val="18"/>
                <w:szCs w:val="18"/>
              </w:rPr>
            </w:pPr>
            <w:r w:rsidRPr="004761E0">
              <w:rPr>
                <w:sz w:val="18"/>
                <w:szCs w:val="18"/>
              </w:rPr>
              <w:t>Монтаж, наладка и ремонт энергообъектов,</w:t>
            </w:r>
          </w:p>
          <w:p w:rsidR="00266643" w:rsidRPr="004761E0" w:rsidRDefault="00266643" w:rsidP="002C5A29">
            <w:pPr>
              <w:ind w:right="-108" w:firstLine="0"/>
              <w:jc w:val="left"/>
              <w:rPr>
                <w:sz w:val="18"/>
                <w:szCs w:val="18"/>
              </w:rPr>
            </w:pPr>
            <w:r w:rsidRPr="004761E0">
              <w:rPr>
                <w:sz w:val="18"/>
                <w:szCs w:val="18"/>
              </w:rPr>
              <w:t>электроэнергетического, теплоэнергетического оборудования и энергоустановок потребителей;</w:t>
            </w:r>
          </w:p>
          <w:p w:rsidR="00266643" w:rsidRPr="004761E0" w:rsidRDefault="00266643" w:rsidP="002C5A29">
            <w:pPr>
              <w:ind w:right="-108" w:firstLine="0"/>
              <w:jc w:val="left"/>
              <w:rPr>
                <w:sz w:val="18"/>
                <w:szCs w:val="18"/>
              </w:rPr>
            </w:pPr>
            <w:r w:rsidRPr="004761E0">
              <w:rPr>
                <w:sz w:val="18"/>
                <w:szCs w:val="18"/>
              </w:rPr>
              <w:t>ремонт, реконструкция и техническое перевооружение кабельных линий и оборудования, а также техническое перевооружение и реконструкция энергетических объектов; обеспечение</w:t>
            </w:r>
          </w:p>
          <w:p w:rsidR="00266643" w:rsidRPr="004761E0" w:rsidRDefault="00266643" w:rsidP="002C5A29">
            <w:pPr>
              <w:ind w:right="-108" w:firstLine="0"/>
              <w:jc w:val="left"/>
              <w:rPr>
                <w:sz w:val="18"/>
                <w:szCs w:val="18"/>
              </w:rPr>
            </w:pPr>
            <w:r w:rsidRPr="004761E0">
              <w:rPr>
                <w:sz w:val="18"/>
                <w:szCs w:val="18"/>
              </w:rPr>
              <w:t>энергоснабжения потребителей, подключенных к сетям; обеспечение эксплуатации энергетического оборудования, инженерных систем и сооружений в соответствии с действующими нормативными требованиями.</w:t>
            </w:r>
          </w:p>
        </w:tc>
        <w:tc>
          <w:tcPr>
            <w:tcW w:w="1622" w:type="dxa"/>
            <w:shd w:val="clear" w:color="auto" w:fill="auto"/>
            <w:hideMark/>
          </w:tcPr>
          <w:p w:rsidR="00266643" w:rsidRPr="004761E0" w:rsidRDefault="00266643" w:rsidP="00266643">
            <w:pPr>
              <w:ind w:firstLine="0"/>
              <w:jc w:val="right"/>
              <w:rPr>
                <w:rFonts w:eastAsia="Times New Roman"/>
                <w:color w:val="000000"/>
                <w:sz w:val="18"/>
                <w:szCs w:val="18"/>
                <w:lang w:eastAsia="ru-RU"/>
              </w:rPr>
            </w:pPr>
            <w:r w:rsidRPr="004761E0">
              <w:rPr>
                <w:rFonts w:eastAsia="Times New Roman"/>
                <w:color w:val="000000"/>
                <w:sz w:val="18"/>
                <w:szCs w:val="18"/>
                <w:lang w:eastAsia="ru-RU"/>
              </w:rPr>
              <w:t>100</w:t>
            </w:r>
          </w:p>
        </w:tc>
        <w:tc>
          <w:tcPr>
            <w:tcW w:w="1029" w:type="dxa"/>
            <w:shd w:val="clear" w:color="auto" w:fill="auto"/>
            <w:hideMark/>
          </w:tcPr>
          <w:p w:rsidR="00266643" w:rsidRPr="004761E0" w:rsidRDefault="00266643" w:rsidP="00266643">
            <w:pPr>
              <w:ind w:firstLine="0"/>
              <w:jc w:val="right"/>
              <w:rPr>
                <w:color w:val="000000"/>
                <w:sz w:val="18"/>
                <w:szCs w:val="18"/>
              </w:rPr>
            </w:pPr>
            <w:r w:rsidRPr="004761E0">
              <w:rPr>
                <w:color w:val="000000"/>
                <w:sz w:val="18"/>
                <w:szCs w:val="18"/>
              </w:rPr>
              <w:t>533,38</w:t>
            </w:r>
          </w:p>
        </w:tc>
        <w:tc>
          <w:tcPr>
            <w:tcW w:w="1029" w:type="dxa"/>
            <w:shd w:val="clear" w:color="auto" w:fill="auto"/>
            <w:hideMark/>
          </w:tcPr>
          <w:p w:rsidR="00266643" w:rsidRPr="004761E0" w:rsidRDefault="00266643" w:rsidP="00266643">
            <w:pPr>
              <w:ind w:firstLine="0"/>
              <w:jc w:val="right"/>
              <w:rPr>
                <w:color w:val="000000"/>
                <w:sz w:val="18"/>
                <w:szCs w:val="18"/>
              </w:rPr>
            </w:pPr>
            <w:r w:rsidRPr="004761E0">
              <w:rPr>
                <w:color w:val="000000"/>
                <w:sz w:val="18"/>
                <w:szCs w:val="18"/>
              </w:rPr>
              <w:t>0,87</w:t>
            </w:r>
          </w:p>
        </w:tc>
        <w:tc>
          <w:tcPr>
            <w:tcW w:w="2132" w:type="dxa"/>
            <w:shd w:val="clear" w:color="auto" w:fill="auto"/>
            <w:hideMark/>
          </w:tcPr>
          <w:p w:rsidR="00266643" w:rsidRPr="004761E0" w:rsidRDefault="00266643" w:rsidP="00266643">
            <w:pPr>
              <w:ind w:firstLine="0"/>
              <w:jc w:val="right"/>
              <w:rPr>
                <w:color w:val="000000"/>
                <w:sz w:val="18"/>
                <w:szCs w:val="18"/>
              </w:rPr>
            </w:pPr>
            <w:r w:rsidRPr="004761E0">
              <w:rPr>
                <w:color w:val="000000"/>
                <w:sz w:val="18"/>
                <w:szCs w:val="18"/>
              </w:rPr>
              <w:t>0,00</w:t>
            </w:r>
          </w:p>
        </w:tc>
        <w:tc>
          <w:tcPr>
            <w:tcW w:w="1560" w:type="dxa"/>
            <w:shd w:val="clear" w:color="auto" w:fill="auto"/>
            <w:hideMark/>
          </w:tcPr>
          <w:p w:rsidR="00266643" w:rsidRPr="004761E0" w:rsidRDefault="00266643" w:rsidP="00266643">
            <w:pPr>
              <w:ind w:firstLine="0"/>
              <w:jc w:val="right"/>
              <w:rPr>
                <w:rFonts w:eastAsia="Times New Roman"/>
                <w:color w:val="000000"/>
                <w:sz w:val="18"/>
                <w:szCs w:val="18"/>
                <w:lang w:eastAsia="ru-RU"/>
              </w:rPr>
            </w:pPr>
            <w:r w:rsidRPr="004761E0">
              <w:rPr>
                <w:rFonts w:eastAsia="Times New Roman"/>
                <w:color w:val="000000"/>
                <w:sz w:val="18"/>
                <w:szCs w:val="18"/>
                <w:lang w:eastAsia="ru-RU"/>
              </w:rPr>
              <w:t>http://mker.ru/</w:t>
            </w:r>
          </w:p>
        </w:tc>
      </w:tr>
      <w:tr w:rsidR="00266643" w:rsidRPr="004761E0" w:rsidTr="00BA4548">
        <w:trPr>
          <w:trHeight w:val="1785"/>
        </w:trPr>
        <w:tc>
          <w:tcPr>
            <w:tcW w:w="511" w:type="dxa"/>
            <w:shd w:val="clear" w:color="auto" w:fill="auto"/>
            <w:vAlign w:val="center"/>
            <w:hideMark/>
          </w:tcPr>
          <w:p w:rsidR="00266643" w:rsidRPr="004761E0" w:rsidRDefault="00266643" w:rsidP="002C5A29">
            <w:pPr>
              <w:ind w:firstLine="0"/>
              <w:rPr>
                <w:rFonts w:eastAsia="Times New Roman"/>
                <w:sz w:val="18"/>
                <w:szCs w:val="18"/>
                <w:lang w:eastAsia="ru-RU"/>
              </w:rPr>
            </w:pPr>
            <w:r w:rsidRPr="004761E0">
              <w:rPr>
                <w:rFonts w:eastAsia="Times New Roman"/>
                <w:sz w:val="18"/>
                <w:szCs w:val="18"/>
                <w:lang w:eastAsia="ru-RU"/>
              </w:rPr>
              <w:lastRenderedPageBreak/>
              <w:t>4.</w:t>
            </w:r>
          </w:p>
        </w:tc>
        <w:tc>
          <w:tcPr>
            <w:tcW w:w="2041" w:type="dxa"/>
            <w:shd w:val="clear" w:color="auto" w:fill="auto"/>
            <w:hideMark/>
          </w:tcPr>
          <w:p w:rsidR="00266643" w:rsidRPr="004761E0" w:rsidRDefault="00266643" w:rsidP="00266643">
            <w:pPr>
              <w:ind w:firstLine="0"/>
              <w:jc w:val="left"/>
              <w:rPr>
                <w:rFonts w:eastAsia="Times New Roman"/>
                <w:color w:val="000000"/>
                <w:sz w:val="18"/>
                <w:szCs w:val="18"/>
                <w:lang w:eastAsia="ru-RU"/>
              </w:rPr>
            </w:pPr>
            <w:r w:rsidRPr="004761E0">
              <w:rPr>
                <w:rFonts w:eastAsia="Times New Roman"/>
                <w:color w:val="000000"/>
                <w:sz w:val="18"/>
                <w:szCs w:val="18"/>
                <w:lang w:eastAsia="ru-RU"/>
              </w:rPr>
              <w:t>Открытое акционерное общество «Энергоцентр» (</w:t>
            </w:r>
            <w:r w:rsidR="0008080E">
              <w:rPr>
                <w:rFonts w:eastAsia="Times New Roman"/>
                <w:color w:val="000000"/>
                <w:sz w:val="18"/>
                <w:szCs w:val="18"/>
                <w:lang w:eastAsia="ru-RU"/>
              </w:rPr>
              <w:t>ОАО </w:t>
            </w:r>
            <w:r w:rsidRPr="004761E0">
              <w:rPr>
                <w:rFonts w:eastAsia="Times New Roman"/>
                <w:color w:val="000000"/>
                <w:sz w:val="18"/>
                <w:szCs w:val="18"/>
                <w:lang w:eastAsia="ru-RU"/>
              </w:rPr>
              <w:t xml:space="preserve">«Энергоцентр») </w:t>
            </w:r>
          </w:p>
        </w:tc>
        <w:tc>
          <w:tcPr>
            <w:tcW w:w="1559" w:type="dxa"/>
            <w:shd w:val="clear" w:color="auto" w:fill="auto"/>
            <w:hideMark/>
          </w:tcPr>
          <w:p w:rsidR="00266643" w:rsidRPr="004761E0" w:rsidRDefault="00266643" w:rsidP="00266643">
            <w:pPr>
              <w:ind w:firstLine="0"/>
              <w:jc w:val="left"/>
              <w:rPr>
                <w:rFonts w:eastAsia="Times New Roman"/>
                <w:color w:val="000000"/>
                <w:sz w:val="18"/>
                <w:szCs w:val="18"/>
                <w:lang w:eastAsia="ru-RU"/>
              </w:rPr>
            </w:pPr>
            <w:r w:rsidRPr="004761E0">
              <w:rPr>
                <w:rFonts w:eastAsia="Times New Roman"/>
                <w:color w:val="000000"/>
                <w:sz w:val="18"/>
                <w:szCs w:val="18"/>
                <w:lang w:eastAsia="ru-RU"/>
              </w:rPr>
              <w:t xml:space="preserve">Россия, Московская область, </w:t>
            </w:r>
            <w:r w:rsidRPr="004761E0">
              <w:rPr>
                <w:rFonts w:eastAsia="Times New Roman"/>
                <w:color w:val="000000"/>
                <w:sz w:val="18"/>
                <w:szCs w:val="18"/>
                <w:lang w:eastAsia="ru-RU"/>
              </w:rPr>
              <w:br/>
              <w:t xml:space="preserve">г. Подольск, ул. Кирова, д. 65 </w:t>
            </w:r>
          </w:p>
        </w:tc>
        <w:tc>
          <w:tcPr>
            <w:tcW w:w="4820" w:type="dxa"/>
            <w:shd w:val="clear" w:color="auto" w:fill="auto"/>
            <w:hideMark/>
          </w:tcPr>
          <w:p w:rsidR="00266643" w:rsidRPr="004761E0" w:rsidRDefault="00266643" w:rsidP="002C5A29">
            <w:pPr>
              <w:ind w:right="-108" w:firstLine="0"/>
              <w:jc w:val="left"/>
              <w:rPr>
                <w:sz w:val="18"/>
                <w:szCs w:val="18"/>
              </w:rPr>
            </w:pPr>
            <w:r w:rsidRPr="004761E0">
              <w:rPr>
                <w:sz w:val="18"/>
                <w:szCs w:val="18"/>
              </w:rPr>
              <w:t xml:space="preserve">Профильная организация*. </w:t>
            </w:r>
          </w:p>
          <w:p w:rsidR="00266643" w:rsidRPr="004761E0" w:rsidRDefault="00266643" w:rsidP="002C5A29">
            <w:pPr>
              <w:ind w:right="-108" w:firstLine="0"/>
              <w:jc w:val="left"/>
              <w:rPr>
                <w:sz w:val="18"/>
                <w:szCs w:val="18"/>
              </w:rPr>
            </w:pPr>
            <w:r w:rsidRPr="004761E0">
              <w:rPr>
                <w:sz w:val="18"/>
                <w:szCs w:val="18"/>
              </w:rPr>
              <w:t>Осуществление инвестиционной деятельности; оказание услуг по присоединению к электрическим сетям; развитие электрических сетей и иных объектов электросетевого хозяйства, включая проектирование, инженерные изыскания, строительство, реконструкцию, техническое перевооружение, монтаж и наладку.</w:t>
            </w:r>
          </w:p>
        </w:tc>
        <w:tc>
          <w:tcPr>
            <w:tcW w:w="1622" w:type="dxa"/>
            <w:shd w:val="clear" w:color="auto" w:fill="auto"/>
            <w:hideMark/>
          </w:tcPr>
          <w:p w:rsidR="00266643" w:rsidRPr="004761E0" w:rsidRDefault="00266643" w:rsidP="00266643">
            <w:pPr>
              <w:ind w:firstLine="0"/>
              <w:jc w:val="right"/>
              <w:rPr>
                <w:rFonts w:eastAsia="Times New Roman"/>
                <w:color w:val="000000"/>
                <w:sz w:val="18"/>
                <w:szCs w:val="18"/>
                <w:lang w:eastAsia="ru-RU"/>
              </w:rPr>
            </w:pPr>
            <w:r w:rsidRPr="004761E0">
              <w:rPr>
                <w:rFonts w:eastAsia="Times New Roman"/>
                <w:color w:val="000000"/>
                <w:sz w:val="18"/>
                <w:szCs w:val="18"/>
                <w:lang w:eastAsia="ru-RU"/>
              </w:rPr>
              <w:t>74,9975</w:t>
            </w:r>
          </w:p>
        </w:tc>
        <w:tc>
          <w:tcPr>
            <w:tcW w:w="1029" w:type="dxa"/>
            <w:shd w:val="clear" w:color="auto" w:fill="auto"/>
            <w:hideMark/>
          </w:tcPr>
          <w:p w:rsidR="00266643" w:rsidRPr="004761E0" w:rsidRDefault="00266643" w:rsidP="00266643">
            <w:pPr>
              <w:ind w:firstLine="0"/>
              <w:jc w:val="right"/>
              <w:rPr>
                <w:color w:val="000000"/>
                <w:sz w:val="18"/>
                <w:szCs w:val="18"/>
              </w:rPr>
            </w:pPr>
            <w:r w:rsidRPr="004761E0">
              <w:rPr>
                <w:color w:val="000000"/>
                <w:sz w:val="18"/>
                <w:szCs w:val="18"/>
              </w:rPr>
              <w:t>1 314,30</w:t>
            </w:r>
          </w:p>
        </w:tc>
        <w:tc>
          <w:tcPr>
            <w:tcW w:w="1029" w:type="dxa"/>
            <w:shd w:val="clear" w:color="auto" w:fill="auto"/>
            <w:hideMark/>
          </w:tcPr>
          <w:p w:rsidR="00266643" w:rsidRPr="004761E0" w:rsidRDefault="00266643" w:rsidP="00266643">
            <w:pPr>
              <w:ind w:firstLine="0"/>
              <w:jc w:val="right"/>
              <w:rPr>
                <w:color w:val="000000"/>
                <w:sz w:val="18"/>
                <w:szCs w:val="18"/>
              </w:rPr>
            </w:pPr>
            <w:r w:rsidRPr="004761E0">
              <w:rPr>
                <w:color w:val="000000"/>
                <w:sz w:val="18"/>
                <w:szCs w:val="18"/>
              </w:rPr>
              <w:t>920,15</w:t>
            </w:r>
          </w:p>
        </w:tc>
        <w:tc>
          <w:tcPr>
            <w:tcW w:w="2132" w:type="dxa"/>
            <w:shd w:val="clear" w:color="auto" w:fill="auto"/>
            <w:hideMark/>
          </w:tcPr>
          <w:p w:rsidR="00266643" w:rsidRPr="004761E0" w:rsidRDefault="00266643" w:rsidP="00266643">
            <w:pPr>
              <w:ind w:firstLine="0"/>
              <w:jc w:val="right"/>
              <w:rPr>
                <w:color w:val="000000"/>
                <w:sz w:val="18"/>
                <w:szCs w:val="18"/>
              </w:rPr>
            </w:pPr>
            <w:r w:rsidRPr="004761E0">
              <w:rPr>
                <w:color w:val="000000"/>
                <w:sz w:val="18"/>
                <w:szCs w:val="18"/>
              </w:rPr>
              <w:t>0,00</w:t>
            </w:r>
          </w:p>
        </w:tc>
        <w:tc>
          <w:tcPr>
            <w:tcW w:w="1560" w:type="dxa"/>
            <w:shd w:val="clear" w:color="auto" w:fill="auto"/>
            <w:hideMark/>
          </w:tcPr>
          <w:p w:rsidR="00266643" w:rsidRPr="004761E0" w:rsidRDefault="00266643" w:rsidP="00266643">
            <w:pPr>
              <w:ind w:firstLine="0"/>
              <w:jc w:val="right"/>
              <w:rPr>
                <w:rFonts w:eastAsia="Times New Roman"/>
                <w:color w:val="000000"/>
                <w:sz w:val="18"/>
                <w:szCs w:val="18"/>
                <w:lang w:eastAsia="ru-RU"/>
              </w:rPr>
            </w:pPr>
            <w:r w:rsidRPr="004761E0">
              <w:rPr>
                <w:rFonts w:eastAsia="Times New Roman"/>
                <w:color w:val="000000"/>
                <w:sz w:val="18"/>
                <w:szCs w:val="18"/>
                <w:lang w:eastAsia="ru-RU"/>
              </w:rPr>
              <w:t>http://www.energo-centr.ru</w:t>
            </w:r>
          </w:p>
        </w:tc>
      </w:tr>
    </w:tbl>
    <w:p w:rsidR="0086454D" w:rsidRPr="004761E0" w:rsidRDefault="0086454D" w:rsidP="00095B3E">
      <w:pPr>
        <w:rPr>
          <w:lang w:eastAsia="ru-RU"/>
        </w:rPr>
      </w:pPr>
    </w:p>
    <w:p w:rsidR="0086454D" w:rsidRPr="004761E0" w:rsidRDefault="0086454D" w:rsidP="00095B3E">
      <w:pPr>
        <w:rPr>
          <w:lang w:eastAsia="ru-RU"/>
        </w:rPr>
        <w:sectPr w:rsidR="0086454D" w:rsidRPr="004761E0" w:rsidSect="00095B3E">
          <w:pgSz w:w="16840" w:h="11907" w:orient="landscape" w:code="9"/>
          <w:pgMar w:top="1134" w:right="1418" w:bottom="851" w:left="720" w:header="720" w:footer="720" w:gutter="0"/>
          <w:cols w:space="720"/>
          <w:docGrid w:linePitch="326"/>
        </w:sectPr>
      </w:pPr>
    </w:p>
    <w:p w:rsidR="00136A10" w:rsidRPr="004761E0" w:rsidRDefault="00E34ACB" w:rsidP="007076A7">
      <w:pPr>
        <w:pStyle w:val="a8"/>
        <w:numPr>
          <w:ilvl w:val="1"/>
          <w:numId w:val="321"/>
        </w:numPr>
        <w:spacing w:before="120" w:after="120"/>
        <w:ind w:left="1134" w:hanging="567"/>
        <w:jc w:val="both"/>
        <w:rPr>
          <w:rFonts w:ascii="Times New Roman" w:hAnsi="Times New Roman"/>
          <w:b/>
          <w:sz w:val="26"/>
          <w:szCs w:val="26"/>
        </w:rPr>
      </w:pPr>
      <w:bookmarkStart w:id="106" w:name="_Toc380576938"/>
      <w:bookmarkStart w:id="107" w:name="_Toc385339834"/>
      <w:r w:rsidRPr="004761E0">
        <w:rPr>
          <w:rFonts w:ascii="Times New Roman" w:hAnsi="Times New Roman"/>
          <w:b/>
          <w:sz w:val="26"/>
          <w:szCs w:val="26"/>
        </w:rPr>
        <w:lastRenderedPageBreak/>
        <w:t>Управление собственностью</w:t>
      </w:r>
      <w:bookmarkEnd w:id="106"/>
      <w:bookmarkEnd w:id="107"/>
    </w:p>
    <w:p w:rsidR="007E4AB6" w:rsidRPr="004761E0" w:rsidRDefault="007E4AB6" w:rsidP="00743B24">
      <w:pPr>
        <w:ind w:firstLine="567"/>
        <w:rPr>
          <w:sz w:val="26"/>
          <w:szCs w:val="26"/>
        </w:rPr>
      </w:pPr>
      <w:r w:rsidRPr="004761E0">
        <w:rPr>
          <w:sz w:val="26"/>
          <w:szCs w:val="26"/>
        </w:rPr>
        <w:t xml:space="preserve">В 2013 году Общество активно проводило работу по консолидации электросетевых активов по следующим направлениям деятельности: </w:t>
      </w:r>
    </w:p>
    <w:p w:rsidR="007E4AB6" w:rsidRPr="004761E0" w:rsidRDefault="007E4AB6" w:rsidP="007076A7">
      <w:pPr>
        <w:pStyle w:val="a5"/>
        <w:numPr>
          <w:ilvl w:val="0"/>
          <w:numId w:val="294"/>
        </w:numPr>
        <w:ind w:left="1134" w:hanging="567"/>
        <w:rPr>
          <w:sz w:val="26"/>
          <w:szCs w:val="26"/>
        </w:rPr>
      </w:pPr>
      <w:r w:rsidRPr="004761E0">
        <w:rPr>
          <w:sz w:val="26"/>
          <w:szCs w:val="26"/>
        </w:rPr>
        <w:t>приобретение электросетевого имущества территориальных сетевых организаций и других собственников</w:t>
      </w:r>
      <w:r w:rsidR="004F2FE6" w:rsidRPr="004761E0">
        <w:rPr>
          <w:sz w:val="26"/>
          <w:szCs w:val="26"/>
        </w:rPr>
        <w:t>;</w:t>
      </w:r>
    </w:p>
    <w:p w:rsidR="007E4AB6" w:rsidRPr="004761E0" w:rsidRDefault="007E4AB6" w:rsidP="007076A7">
      <w:pPr>
        <w:pStyle w:val="a5"/>
        <w:numPr>
          <w:ilvl w:val="0"/>
          <w:numId w:val="294"/>
        </w:numPr>
        <w:ind w:left="1134" w:hanging="567"/>
        <w:rPr>
          <w:sz w:val="26"/>
          <w:szCs w:val="26"/>
        </w:rPr>
      </w:pPr>
      <w:r w:rsidRPr="004761E0">
        <w:rPr>
          <w:sz w:val="26"/>
          <w:szCs w:val="26"/>
        </w:rPr>
        <w:t>безвозмездное получение электросетевого имущества от собственников, а также в рамках оперативно-технического обслуживания</w:t>
      </w:r>
      <w:r w:rsidR="004F2FE6" w:rsidRPr="004761E0">
        <w:rPr>
          <w:sz w:val="26"/>
          <w:szCs w:val="26"/>
        </w:rPr>
        <w:t>;</w:t>
      </w:r>
    </w:p>
    <w:p w:rsidR="007E4AB6" w:rsidRPr="004761E0" w:rsidRDefault="007E4AB6" w:rsidP="007076A7">
      <w:pPr>
        <w:pStyle w:val="a5"/>
        <w:numPr>
          <w:ilvl w:val="0"/>
          <w:numId w:val="294"/>
        </w:numPr>
        <w:ind w:left="1134" w:hanging="567"/>
        <w:rPr>
          <w:sz w:val="26"/>
          <w:szCs w:val="26"/>
        </w:rPr>
      </w:pPr>
      <w:r w:rsidRPr="004761E0">
        <w:rPr>
          <w:sz w:val="26"/>
          <w:szCs w:val="26"/>
        </w:rPr>
        <w:t>получение электросетевого имущества в рамка</w:t>
      </w:r>
      <w:r w:rsidR="004F2FE6" w:rsidRPr="004761E0">
        <w:rPr>
          <w:sz w:val="26"/>
          <w:szCs w:val="26"/>
        </w:rPr>
        <w:t>х соглашений компенсации потерь.</w:t>
      </w:r>
    </w:p>
    <w:p w:rsidR="007E4AB6" w:rsidRPr="004761E0" w:rsidRDefault="007E4AB6" w:rsidP="00743B24">
      <w:pPr>
        <w:ind w:firstLine="567"/>
        <w:rPr>
          <w:sz w:val="26"/>
          <w:szCs w:val="26"/>
        </w:rPr>
      </w:pPr>
      <w:r w:rsidRPr="004761E0">
        <w:rPr>
          <w:sz w:val="26"/>
          <w:szCs w:val="26"/>
        </w:rPr>
        <w:t>Наиболее крупная сделка по консолидации в 2013 году</w:t>
      </w:r>
      <w:r w:rsidR="004F2FE6" w:rsidRPr="004761E0">
        <w:rPr>
          <w:sz w:val="26"/>
          <w:szCs w:val="26"/>
        </w:rPr>
        <w:t xml:space="preserve"> </w:t>
      </w:r>
      <w:r w:rsidRPr="004761E0">
        <w:rPr>
          <w:sz w:val="26"/>
          <w:szCs w:val="26"/>
        </w:rPr>
        <w:t>– приобретение ПС</w:t>
      </w:r>
      <w:r w:rsidR="004F2FE6" w:rsidRPr="004761E0">
        <w:rPr>
          <w:sz w:val="26"/>
          <w:szCs w:val="26"/>
        </w:rPr>
        <w:t> </w:t>
      </w:r>
      <w:r w:rsidRPr="004761E0">
        <w:rPr>
          <w:sz w:val="26"/>
          <w:szCs w:val="26"/>
        </w:rPr>
        <w:t>№</w:t>
      </w:r>
      <w:r w:rsidR="004F2FE6" w:rsidRPr="004761E0">
        <w:rPr>
          <w:sz w:val="26"/>
          <w:szCs w:val="26"/>
        </w:rPr>
        <w:t> </w:t>
      </w:r>
      <w:r w:rsidRPr="004761E0">
        <w:rPr>
          <w:sz w:val="26"/>
          <w:szCs w:val="26"/>
        </w:rPr>
        <w:t>300</w:t>
      </w:r>
      <w:r w:rsidR="004F2FE6" w:rsidRPr="004761E0">
        <w:rPr>
          <w:sz w:val="26"/>
          <w:szCs w:val="26"/>
        </w:rPr>
        <w:t> </w:t>
      </w:r>
      <w:r w:rsidRPr="004761E0">
        <w:rPr>
          <w:sz w:val="26"/>
          <w:szCs w:val="26"/>
        </w:rPr>
        <w:t xml:space="preserve">«Дворики». Стоимость приобретения </w:t>
      </w:r>
      <w:r w:rsidR="004F2FE6" w:rsidRPr="004761E0">
        <w:rPr>
          <w:sz w:val="26"/>
          <w:szCs w:val="26"/>
        </w:rPr>
        <w:t xml:space="preserve">данной </w:t>
      </w:r>
      <w:r w:rsidRPr="004761E0">
        <w:rPr>
          <w:sz w:val="26"/>
          <w:szCs w:val="26"/>
        </w:rPr>
        <w:t>подстанции составит 297,4</w:t>
      </w:r>
      <w:r w:rsidR="004F2FE6" w:rsidRPr="004761E0">
        <w:rPr>
          <w:sz w:val="26"/>
          <w:szCs w:val="26"/>
        </w:rPr>
        <w:t> </w:t>
      </w:r>
      <w:r w:rsidRPr="004761E0">
        <w:rPr>
          <w:sz w:val="26"/>
          <w:szCs w:val="26"/>
        </w:rPr>
        <w:t xml:space="preserve">млн руб. с НДС. Подстанция «Дворики» </w:t>
      </w:r>
      <w:r w:rsidR="004F2FE6" w:rsidRPr="004761E0">
        <w:rPr>
          <w:sz w:val="26"/>
          <w:szCs w:val="26"/>
        </w:rPr>
        <w:t>–</w:t>
      </w:r>
      <w:r w:rsidRPr="004761E0">
        <w:rPr>
          <w:sz w:val="26"/>
          <w:szCs w:val="26"/>
        </w:rPr>
        <w:t xml:space="preserve"> современный питающий центр, оборудованный двумя трансформаторами суммарной мощностью 50 МВА. Объект введен в эксплуатацию в 2007 году, располагается в г</w:t>
      </w:r>
      <w:r w:rsidR="004F2FE6" w:rsidRPr="004761E0">
        <w:rPr>
          <w:sz w:val="26"/>
          <w:szCs w:val="26"/>
        </w:rPr>
        <w:t>. </w:t>
      </w:r>
      <w:r w:rsidRPr="004761E0">
        <w:rPr>
          <w:sz w:val="26"/>
          <w:szCs w:val="26"/>
        </w:rPr>
        <w:t>Серпухов</w:t>
      </w:r>
      <w:r w:rsidR="004F2FE6" w:rsidRPr="004761E0">
        <w:rPr>
          <w:sz w:val="26"/>
          <w:szCs w:val="26"/>
        </w:rPr>
        <w:t>е</w:t>
      </w:r>
      <w:r w:rsidRPr="004761E0">
        <w:rPr>
          <w:sz w:val="26"/>
          <w:szCs w:val="26"/>
        </w:rPr>
        <w:t xml:space="preserve"> Московской области. В непосредственной близости ведется активное строительство жилой и коммерческой недвижимости, а также промышленных объектов. Приобретение подстанции «Дворики» осуществлено в соответствии с инвестиционной программой </w:t>
      </w:r>
      <w:r w:rsidR="0008080E">
        <w:rPr>
          <w:sz w:val="26"/>
          <w:szCs w:val="26"/>
        </w:rPr>
        <w:t>ОАО </w:t>
      </w:r>
      <w:r w:rsidRPr="004761E0">
        <w:rPr>
          <w:sz w:val="26"/>
          <w:szCs w:val="26"/>
        </w:rPr>
        <w:t>«МОЭСК» на 2013 год.</w:t>
      </w:r>
    </w:p>
    <w:p w:rsidR="007E4AB6" w:rsidRPr="004761E0" w:rsidRDefault="007E4AB6" w:rsidP="00743B24">
      <w:pPr>
        <w:ind w:firstLine="567"/>
        <w:rPr>
          <w:sz w:val="26"/>
          <w:szCs w:val="26"/>
        </w:rPr>
      </w:pPr>
      <w:r w:rsidRPr="004761E0">
        <w:rPr>
          <w:sz w:val="26"/>
          <w:szCs w:val="26"/>
        </w:rPr>
        <w:t xml:space="preserve">Приобретение подстанции предоставит возможность присоединять новых потребителей к сетям </w:t>
      </w:r>
      <w:r w:rsidR="0008080E">
        <w:rPr>
          <w:sz w:val="26"/>
          <w:szCs w:val="26"/>
        </w:rPr>
        <w:t>ОАО </w:t>
      </w:r>
      <w:r w:rsidRPr="004761E0">
        <w:rPr>
          <w:sz w:val="26"/>
          <w:szCs w:val="26"/>
        </w:rPr>
        <w:t xml:space="preserve">«МОЭСК», а также позволит перевести участок распределительных сетей Серпуховского РЭС </w:t>
      </w:r>
      <w:r w:rsidR="0008080E">
        <w:rPr>
          <w:sz w:val="26"/>
          <w:szCs w:val="26"/>
        </w:rPr>
        <w:t>ОАО </w:t>
      </w:r>
      <w:r w:rsidRPr="004761E0">
        <w:rPr>
          <w:sz w:val="26"/>
          <w:szCs w:val="26"/>
        </w:rPr>
        <w:t>«МОЭСК» с 6 кВ на 10 кВ с переводом нагрузок с других подстанций, что повышает надежность электроснабжения.</w:t>
      </w:r>
    </w:p>
    <w:p w:rsidR="00802A86" w:rsidRPr="00802A86" w:rsidRDefault="00802A86" w:rsidP="00802A86">
      <w:pPr>
        <w:ind w:firstLine="567"/>
        <w:rPr>
          <w:sz w:val="26"/>
          <w:szCs w:val="26"/>
        </w:rPr>
      </w:pPr>
      <w:r w:rsidRPr="00802A86">
        <w:rPr>
          <w:sz w:val="26"/>
          <w:szCs w:val="26"/>
        </w:rPr>
        <w:t xml:space="preserve">По итогам 2013 года общий объем консолидированного электросетевого имущества и имущества, полученного в рамках компенсации потерь составил: 5 819 у.е., стоимостью 4 681 млн руб. </w:t>
      </w:r>
    </w:p>
    <w:p w:rsidR="00027A32" w:rsidRPr="004761E0" w:rsidRDefault="00BA326D" w:rsidP="00743B24">
      <w:pPr>
        <w:spacing w:before="120" w:after="120"/>
        <w:ind w:firstLine="567"/>
        <w:rPr>
          <w:b/>
          <w:sz w:val="26"/>
          <w:szCs w:val="26"/>
          <w:lang w:eastAsia="ru-RU"/>
        </w:rPr>
      </w:pPr>
      <w:r w:rsidRPr="004761E0">
        <w:rPr>
          <w:b/>
          <w:sz w:val="26"/>
          <w:szCs w:val="26"/>
          <w:lang w:eastAsia="ru-RU"/>
        </w:rPr>
        <w:t>Количество и площадь земельных участков</w:t>
      </w:r>
    </w:p>
    <w:tbl>
      <w:tblPr>
        <w:tblW w:w="9369" w:type="dxa"/>
        <w:tblInd w:w="95" w:type="dxa"/>
        <w:tblLook w:val="04A0"/>
      </w:tblPr>
      <w:tblGrid>
        <w:gridCol w:w="580"/>
        <w:gridCol w:w="4253"/>
        <w:gridCol w:w="1134"/>
        <w:gridCol w:w="1134"/>
        <w:gridCol w:w="1134"/>
        <w:gridCol w:w="1134"/>
      </w:tblGrid>
      <w:tr w:rsidR="005826C7" w:rsidRPr="004761E0" w:rsidTr="005826C7">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D27A39" w:rsidRPr="004761E0" w:rsidRDefault="00D27A39" w:rsidP="00D27A39">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425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27A39" w:rsidRPr="004761E0" w:rsidRDefault="00D27A39" w:rsidP="00D27A39">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27A39" w:rsidRPr="004761E0" w:rsidRDefault="00D27A39" w:rsidP="00D27A3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27A39" w:rsidRPr="004761E0" w:rsidRDefault="00D27A39" w:rsidP="00D27A3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27A39" w:rsidRPr="004761E0" w:rsidRDefault="00D27A39" w:rsidP="00D27A3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D27A39" w:rsidRPr="004761E0" w:rsidRDefault="00D27A39" w:rsidP="00D27A3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5826C7" w:rsidRPr="004761E0" w:rsidTr="005826C7">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826C7" w:rsidRPr="004761E0" w:rsidRDefault="005826C7" w:rsidP="007076A7">
            <w:pPr>
              <w:numPr>
                <w:ilvl w:val="0"/>
                <w:numId w:val="117"/>
              </w:numPr>
              <w:jc w:val="left"/>
              <w:rPr>
                <w:rFonts w:eastAsia="Times New Roman"/>
                <w:color w:val="000000"/>
                <w:sz w:val="20"/>
                <w:szCs w:val="20"/>
                <w:lang w:eastAsia="ru-RU"/>
              </w:rPr>
            </w:pPr>
          </w:p>
        </w:tc>
        <w:tc>
          <w:tcPr>
            <w:tcW w:w="4253"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D27A39">
            <w:pPr>
              <w:ind w:firstLine="0"/>
              <w:jc w:val="left"/>
              <w:rPr>
                <w:rFonts w:eastAsia="Times New Roman"/>
                <w:color w:val="000000"/>
                <w:sz w:val="20"/>
                <w:szCs w:val="20"/>
                <w:lang w:eastAsia="ru-RU"/>
              </w:rPr>
            </w:pPr>
            <w:r w:rsidRPr="004761E0">
              <w:rPr>
                <w:b/>
                <w:bCs/>
                <w:color w:val="000000"/>
                <w:sz w:val="20"/>
                <w:szCs w:val="20"/>
              </w:rPr>
              <w:t>Земельных участков, шт. (всего), в т.ч.:</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9 463</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19 257</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25 477</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32,30 %</w:t>
            </w:r>
          </w:p>
        </w:tc>
      </w:tr>
      <w:tr w:rsidR="005826C7" w:rsidRPr="004761E0" w:rsidTr="005826C7">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826C7" w:rsidRPr="004761E0" w:rsidRDefault="005826C7" w:rsidP="007076A7">
            <w:pPr>
              <w:pStyle w:val="a5"/>
              <w:numPr>
                <w:ilvl w:val="1"/>
                <w:numId w:val="117"/>
              </w:numPr>
              <w:jc w:val="left"/>
              <w:rPr>
                <w:rFonts w:eastAsia="Times New Roman"/>
                <w:color w:val="000000"/>
                <w:sz w:val="20"/>
                <w:szCs w:val="20"/>
                <w:lang w:eastAsia="ru-RU"/>
              </w:rPr>
            </w:pPr>
          </w:p>
        </w:tc>
        <w:tc>
          <w:tcPr>
            <w:tcW w:w="4253"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left="459" w:firstLine="0"/>
              <w:jc w:val="left"/>
              <w:rPr>
                <w:rFonts w:eastAsia="Times New Roman"/>
                <w:color w:val="000000"/>
                <w:sz w:val="20"/>
                <w:szCs w:val="20"/>
                <w:lang w:eastAsia="ru-RU"/>
              </w:rPr>
            </w:pPr>
            <w:r w:rsidRPr="004761E0">
              <w:rPr>
                <w:color w:val="000000"/>
                <w:sz w:val="20"/>
                <w:szCs w:val="20"/>
              </w:rPr>
              <w:t>под объектами электроподстанций</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sz w:val="20"/>
                <w:szCs w:val="20"/>
              </w:rPr>
            </w:pPr>
            <w:r w:rsidRPr="004761E0">
              <w:rPr>
                <w:sz w:val="20"/>
                <w:szCs w:val="20"/>
              </w:rPr>
              <w:t>4 948</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sz w:val="20"/>
                <w:szCs w:val="20"/>
              </w:rPr>
            </w:pPr>
            <w:r w:rsidRPr="004761E0">
              <w:rPr>
                <w:sz w:val="20"/>
                <w:szCs w:val="20"/>
              </w:rPr>
              <w:t>7 901</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color w:val="000000"/>
                <w:sz w:val="20"/>
                <w:szCs w:val="20"/>
              </w:rPr>
            </w:pPr>
            <w:r w:rsidRPr="004761E0">
              <w:rPr>
                <w:color w:val="000000"/>
                <w:sz w:val="20"/>
                <w:szCs w:val="20"/>
              </w:rPr>
              <w:t>10 026</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bCs/>
                <w:color w:val="000000"/>
                <w:sz w:val="20"/>
                <w:szCs w:val="20"/>
              </w:rPr>
            </w:pPr>
            <w:r w:rsidRPr="004761E0">
              <w:rPr>
                <w:bCs/>
                <w:color w:val="000000"/>
                <w:sz w:val="20"/>
                <w:szCs w:val="20"/>
              </w:rPr>
              <w:t>26,90 %</w:t>
            </w:r>
          </w:p>
        </w:tc>
      </w:tr>
      <w:tr w:rsidR="005826C7" w:rsidRPr="004761E0" w:rsidTr="005826C7">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826C7" w:rsidRPr="004761E0" w:rsidRDefault="005826C7" w:rsidP="007076A7">
            <w:pPr>
              <w:pStyle w:val="a5"/>
              <w:numPr>
                <w:ilvl w:val="1"/>
                <w:numId w:val="117"/>
              </w:numPr>
              <w:jc w:val="left"/>
              <w:rPr>
                <w:rFonts w:eastAsia="Times New Roman"/>
                <w:color w:val="000000"/>
                <w:sz w:val="20"/>
                <w:szCs w:val="20"/>
                <w:lang w:eastAsia="ru-RU"/>
              </w:rPr>
            </w:pPr>
          </w:p>
        </w:tc>
        <w:tc>
          <w:tcPr>
            <w:tcW w:w="4253"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left="459" w:firstLine="0"/>
              <w:jc w:val="left"/>
              <w:rPr>
                <w:rFonts w:eastAsia="Times New Roman"/>
                <w:color w:val="000000"/>
                <w:sz w:val="20"/>
                <w:szCs w:val="20"/>
                <w:lang w:eastAsia="ru-RU"/>
              </w:rPr>
            </w:pPr>
            <w:r w:rsidRPr="004761E0">
              <w:rPr>
                <w:color w:val="000000"/>
                <w:sz w:val="20"/>
                <w:szCs w:val="20"/>
              </w:rPr>
              <w:t>под ВЛ 220 кВ и выше</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sz w:val="20"/>
                <w:szCs w:val="20"/>
              </w:rPr>
            </w:pPr>
            <w:r w:rsidRPr="004761E0">
              <w:rPr>
                <w:sz w:val="20"/>
                <w:szCs w:val="20"/>
              </w:rPr>
              <w:t>228</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sz w:val="20"/>
                <w:szCs w:val="20"/>
              </w:rPr>
            </w:pPr>
            <w:r w:rsidRPr="004761E0">
              <w:rPr>
                <w:sz w:val="20"/>
                <w:szCs w:val="20"/>
              </w:rPr>
              <w:t>272</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color w:val="000000"/>
                <w:sz w:val="20"/>
                <w:szCs w:val="20"/>
              </w:rPr>
            </w:pPr>
            <w:r w:rsidRPr="004761E0">
              <w:rPr>
                <w:color w:val="000000"/>
                <w:sz w:val="20"/>
                <w:szCs w:val="20"/>
              </w:rPr>
              <w:t>352</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bCs/>
                <w:color w:val="000000"/>
                <w:sz w:val="20"/>
                <w:szCs w:val="20"/>
              </w:rPr>
            </w:pPr>
            <w:r w:rsidRPr="004761E0">
              <w:rPr>
                <w:bCs/>
                <w:color w:val="000000"/>
                <w:sz w:val="20"/>
                <w:szCs w:val="20"/>
              </w:rPr>
              <w:t>29,41 %</w:t>
            </w:r>
          </w:p>
        </w:tc>
      </w:tr>
      <w:tr w:rsidR="005826C7" w:rsidRPr="004761E0" w:rsidTr="005826C7">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826C7" w:rsidRPr="004761E0" w:rsidRDefault="005826C7" w:rsidP="007076A7">
            <w:pPr>
              <w:pStyle w:val="a5"/>
              <w:numPr>
                <w:ilvl w:val="1"/>
                <w:numId w:val="117"/>
              </w:numPr>
              <w:jc w:val="left"/>
              <w:rPr>
                <w:rFonts w:eastAsia="Times New Roman"/>
                <w:color w:val="000000"/>
                <w:sz w:val="20"/>
                <w:szCs w:val="20"/>
                <w:lang w:eastAsia="ru-RU"/>
              </w:rPr>
            </w:pPr>
          </w:p>
        </w:tc>
        <w:tc>
          <w:tcPr>
            <w:tcW w:w="4253"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left="459" w:firstLine="0"/>
              <w:jc w:val="left"/>
              <w:rPr>
                <w:rFonts w:eastAsia="Times New Roman"/>
                <w:color w:val="000000"/>
                <w:sz w:val="20"/>
                <w:szCs w:val="20"/>
                <w:lang w:eastAsia="ru-RU"/>
              </w:rPr>
            </w:pPr>
            <w:r w:rsidRPr="004761E0">
              <w:rPr>
                <w:color w:val="000000"/>
                <w:sz w:val="20"/>
                <w:szCs w:val="20"/>
              </w:rPr>
              <w:t>под ВЛ 110 кВ и ниже</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sz w:val="20"/>
                <w:szCs w:val="20"/>
              </w:rPr>
            </w:pPr>
            <w:r w:rsidRPr="004761E0">
              <w:rPr>
                <w:sz w:val="20"/>
                <w:szCs w:val="20"/>
              </w:rPr>
              <w:t>4 018</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sz w:val="20"/>
                <w:szCs w:val="20"/>
              </w:rPr>
            </w:pPr>
            <w:r w:rsidRPr="004761E0">
              <w:rPr>
                <w:sz w:val="20"/>
                <w:szCs w:val="20"/>
              </w:rPr>
              <w:t>10 824</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color w:val="000000"/>
                <w:sz w:val="20"/>
                <w:szCs w:val="20"/>
              </w:rPr>
            </w:pPr>
            <w:r w:rsidRPr="004761E0">
              <w:rPr>
                <w:color w:val="000000"/>
                <w:sz w:val="20"/>
                <w:szCs w:val="20"/>
              </w:rPr>
              <w:t>14 821</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bCs/>
                <w:color w:val="000000"/>
                <w:sz w:val="20"/>
                <w:szCs w:val="20"/>
              </w:rPr>
            </w:pPr>
            <w:r w:rsidRPr="004761E0">
              <w:rPr>
                <w:bCs/>
                <w:color w:val="000000"/>
                <w:sz w:val="20"/>
                <w:szCs w:val="20"/>
              </w:rPr>
              <w:t>36,93 %</w:t>
            </w:r>
          </w:p>
        </w:tc>
      </w:tr>
      <w:tr w:rsidR="005826C7" w:rsidRPr="004761E0" w:rsidTr="005826C7">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826C7" w:rsidRPr="004761E0" w:rsidRDefault="005826C7" w:rsidP="007076A7">
            <w:pPr>
              <w:pStyle w:val="a5"/>
              <w:numPr>
                <w:ilvl w:val="1"/>
                <w:numId w:val="117"/>
              </w:numPr>
              <w:jc w:val="left"/>
              <w:rPr>
                <w:rFonts w:eastAsia="Times New Roman"/>
                <w:color w:val="000000"/>
                <w:sz w:val="20"/>
                <w:szCs w:val="20"/>
                <w:lang w:eastAsia="ru-RU"/>
              </w:rPr>
            </w:pPr>
          </w:p>
        </w:tc>
        <w:tc>
          <w:tcPr>
            <w:tcW w:w="4253"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left="459" w:firstLine="0"/>
              <w:jc w:val="left"/>
              <w:rPr>
                <w:rFonts w:eastAsia="Times New Roman"/>
                <w:color w:val="000000"/>
                <w:sz w:val="20"/>
                <w:szCs w:val="20"/>
                <w:lang w:eastAsia="ru-RU"/>
              </w:rPr>
            </w:pPr>
            <w:r w:rsidRPr="004761E0">
              <w:rPr>
                <w:color w:val="000000"/>
                <w:sz w:val="20"/>
                <w:szCs w:val="20"/>
              </w:rPr>
              <w:t>под объектами электростанций</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Cs/>
                <w:color w:val="000000"/>
                <w:sz w:val="20"/>
                <w:szCs w:val="20"/>
              </w:rPr>
              <w:t>–</w:t>
            </w:r>
          </w:p>
        </w:tc>
      </w:tr>
      <w:tr w:rsidR="005826C7" w:rsidRPr="004761E0" w:rsidTr="005826C7">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826C7" w:rsidRPr="004761E0" w:rsidRDefault="005826C7" w:rsidP="007076A7">
            <w:pPr>
              <w:pStyle w:val="a5"/>
              <w:numPr>
                <w:ilvl w:val="1"/>
                <w:numId w:val="117"/>
              </w:numPr>
              <w:jc w:val="left"/>
              <w:rPr>
                <w:rFonts w:eastAsia="Times New Roman"/>
                <w:color w:val="000000"/>
                <w:sz w:val="20"/>
                <w:szCs w:val="20"/>
                <w:lang w:eastAsia="ru-RU"/>
              </w:rPr>
            </w:pPr>
          </w:p>
        </w:tc>
        <w:tc>
          <w:tcPr>
            <w:tcW w:w="4253"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left="459" w:firstLine="0"/>
              <w:jc w:val="left"/>
              <w:rPr>
                <w:rFonts w:eastAsia="Times New Roman"/>
                <w:color w:val="000000"/>
                <w:sz w:val="20"/>
                <w:szCs w:val="20"/>
                <w:lang w:eastAsia="ru-RU"/>
              </w:rPr>
            </w:pPr>
            <w:r w:rsidRPr="004761E0">
              <w:rPr>
                <w:color w:val="000000"/>
                <w:sz w:val="20"/>
                <w:szCs w:val="20"/>
              </w:rPr>
              <w:t>под объектами котельных</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Cs/>
                <w:color w:val="000000"/>
                <w:sz w:val="20"/>
                <w:szCs w:val="20"/>
              </w:rPr>
              <w:t>–</w:t>
            </w:r>
          </w:p>
        </w:tc>
      </w:tr>
      <w:tr w:rsidR="005826C7" w:rsidRPr="004761E0" w:rsidTr="005826C7">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826C7" w:rsidRPr="004761E0" w:rsidRDefault="005826C7" w:rsidP="007076A7">
            <w:pPr>
              <w:pStyle w:val="a5"/>
              <w:numPr>
                <w:ilvl w:val="1"/>
                <w:numId w:val="117"/>
              </w:numPr>
              <w:jc w:val="left"/>
              <w:rPr>
                <w:rFonts w:eastAsia="Times New Roman"/>
                <w:color w:val="000000"/>
                <w:sz w:val="20"/>
                <w:szCs w:val="20"/>
                <w:lang w:eastAsia="ru-RU"/>
              </w:rPr>
            </w:pPr>
          </w:p>
        </w:tc>
        <w:tc>
          <w:tcPr>
            <w:tcW w:w="4253"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left="459" w:firstLine="0"/>
              <w:jc w:val="left"/>
              <w:rPr>
                <w:rFonts w:eastAsia="Times New Roman"/>
                <w:color w:val="000000"/>
                <w:sz w:val="20"/>
                <w:szCs w:val="20"/>
                <w:lang w:eastAsia="ru-RU"/>
              </w:rPr>
            </w:pPr>
            <w:r w:rsidRPr="004761E0">
              <w:rPr>
                <w:color w:val="000000"/>
                <w:sz w:val="20"/>
                <w:szCs w:val="20"/>
              </w:rPr>
              <w:t>под теплосетевыми объектами</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Cs/>
                <w:color w:val="000000"/>
                <w:sz w:val="20"/>
                <w:szCs w:val="20"/>
              </w:rPr>
              <w:t>–</w:t>
            </w:r>
          </w:p>
        </w:tc>
      </w:tr>
      <w:tr w:rsidR="005826C7" w:rsidRPr="004761E0" w:rsidTr="005826C7">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826C7" w:rsidRPr="004761E0" w:rsidRDefault="005826C7" w:rsidP="007076A7">
            <w:pPr>
              <w:pStyle w:val="a5"/>
              <w:numPr>
                <w:ilvl w:val="1"/>
                <w:numId w:val="117"/>
              </w:numPr>
              <w:jc w:val="left"/>
              <w:rPr>
                <w:rFonts w:eastAsia="Times New Roman"/>
                <w:color w:val="000000"/>
                <w:sz w:val="20"/>
                <w:szCs w:val="20"/>
                <w:lang w:eastAsia="ru-RU"/>
              </w:rPr>
            </w:pPr>
          </w:p>
        </w:tc>
        <w:tc>
          <w:tcPr>
            <w:tcW w:w="4253"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left="459" w:firstLine="0"/>
              <w:jc w:val="left"/>
              <w:rPr>
                <w:rFonts w:eastAsia="Times New Roman"/>
                <w:color w:val="000000"/>
                <w:sz w:val="20"/>
                <w:szCs w:val="20"/>
                <w:lang w:eastAsia="ru-RU"/>
              </w:rPr>
            </w:pPr>
            <w:r w:rsidRPr="004761E0">
              <w:rPr>
                <w:color w:val="000000"/>
                <w:sz w:val="20"/>
                <w:szCs w:val="20"/>
              </w:rPr>
              <w:t>под другими объектами</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sz w:val="20"/>
                <w:szCs w:val="20"/>
              </w:rPr>
            </w:pPr>
            <w:r w:rsidRPr="004761E0">
              <w:rPr>
                <w:sz w:val="20"/>
                <w:szCs w:val="20"/>
              </w:rPr>
              <w:t>269</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sz w:val="20"/>
                <w:szCs w:val="20"/>
              </w:rPr>
            </w:pPr>
            <w:r w:rsidRPr="004761E0">
              <w:rPr>
                <w:sz w:val="20"/>
                <w:szCs w:val="20"/>
              </w:rPr>
              <w:t>260</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color w:val="000000"/>
                <w:sz w:val="20"/>
                <w:szCs w:val="20"/>
              </w:rPr>
            </w:pPr>
            <w:r w:rsidRPr="004761E0">
              <w:rPr>
                <w:color w:val="000000"/>
                <w:sz w:val="20"/>
                <w:szCs w:val="20"/>
              </w:rPr>
              <w:t>278</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bCs/>
                <w:color w:val="000000"/>
                <w:sz w:val="20"/>
                <w:szCs w:val="20"/>
              </w:rPr>
            </w:pPr>
            <w:r w:rsidRPr="004761E0">
              <w:rPr>
                <w:bCs/>
                <w:color w:val="000000"/>
                <w:sz w:val="20"/>
                <w:szCs w:val="20"/>
              </w:rPr>
              <w:t>6,92 %</w:t>
            </w:r>
          </w:p>
        </w:tc>
      </w:tr>
      <w:tr w:rsidR="005826C7" w:rsidRPr="004761E0" w:rsidTr="005826C7">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826C7" w:rsidRPr="004761E0" w:rsidRDefault="005826C7" w:rsidP="007076A7">
            <w:pPr>
              <w:numPr>
                <w:ilvl w:val="0"/>
                <w:numId w:val="117"/>
              </w:numPr>
              <w:jc w:val="left"/>
              <w:rPr>
                <w:rFonts w:eastAsia="Times New Roman"/>
                <w:color w:val="000000"/>
                <w:sz w:val="20"/>
                <w:szCs w:val="20"/>
                <w:lang w:eastAsia="ru-RU"/>
              </w:rPr>
            </w:pPr>
          </w:p>
        </w:tc>
        <w:tc>
          <w:tcPr>
            <w:tcW w:w="4253"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D27A39">
            <w:pPr>
              <w:ind w:firstLine="0"/>
              <w:jc w:val="left"/>
              <w:rPr>
                <w:rFonts w:eastAsia="Times New Roman"/>
                <w:color w:val="000000"/>
                <w:sz w:val="20"/>
                <w:szCs w:val="20"/>
                <w:lang w:eastAsia="ru-RU"/>
              </w:rPr>
            </w:pPr>
            <w:r w:rsidRPr="004761E0">
              <w:rPr>
                <w:b/>
                <w:bCs/>
                <w:color w:val="000000"/>
                <w:sz w:val="20"/>
                <w:szCs w:val="20"/>
              </w:rPr>
              <w:t>Земельных участков, га. (всего), в т.ч.:</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1 307</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1 332</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1 351</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1,40 %</w:t>
            </w:r>
          </w:p>
        </w:tc>
      </w:tr>
      <w:tr w:rsidR="005826C7" w:rsidRPr="004761E0" w:rsidTr="005826C7">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826C7" w:rsidRPr="004761E0" w:rsidRDefault="005826C7" w:rsidP="007076A7">
            <w:pPr>
              <w:pStyle w:val="a5"/>
              <w:numPr>
                <w:ilvl w:val="1"/>
                <w:numId w:val="117"/>
              </w:numPr>
              <w:jc w:val="left"/>
              <w:rPr>
                <w:rFonts w:eastAsia="Times New Roman"/>
                <w:color w:val="000000"/>
                <w:sz w:val="20"/>
                <w:szCs w:val="20"/>
                <w:lang w:eastAsia="ru-RU"/>
              </w:rPr>
            </w:pPr>
          </w:p>
        </w:tc>
        <w:tc>
          <w:tcPr>
            <w:tcW w:w="4253"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left="459" w:firstLine="0"/>
              <w:jc w:val="left"/>
              <w:rPr>
                <w:color w:val="000000"/>
                <w:sz w:val="20"/>
                <w:szCs w:val="20"/>
              </w:rPr>
            </w:pPr>
            <w:r w:rsidRPr="004761E0">
              <w:rPr>
                <w:color w:val="000000"/>
                <w:sz w:val="20"/>
                <w:szCs w:val="20"/>
              </w:rPr>
              <w:t>под объектами электроподстанций</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sz w:val="20"/>
                <w:szCs w:val="20"/>
              </w:rPr>
            </w:pPr>
            <w:r w:rsidRPr="004761E0">
              <w:rPr>
                <w:sz w:val="20"/>
                <w:szCs w:val="20"/>
              </w:rPr>
              <w:t>781</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sz w:val="20"/>
                <w:szCs w:val="20"/>
              </w:rPr>
            </w:pPr>
            <w:r w:rsidRPr="004761E0">
              <w:rPr>
                <w:sz w:val="20"/>
                <w:szCs w:val="20"/>
              </w:rPr>
              <w:t>775</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color w:val="000000"/>
                <w:sz w:val="20"/>
                <w:szCs w:val="20"/>
              </w:rPr>
            </w:pPr>
            <w:r w:rsidRPr="004761E0">
              <w:rPr>
                <w:color w:val="000000"/>
                <w:sz w:val="20"/>
                <w:szCs w:val="20"/>
              </w:rPr>
              <w:t>788</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bCs/>
                <w:color w:val="000000"/>
                <w:sz w:val="20"/>
                <w:szCs w:val="20"/>
              </w:rPr>
            </w:pPr>
            <w:r w:rsidRPr="004761E0">
              <w:rPr>
                <w:bCs/>
                <w:color w:val="000000"/>
                <w:sz w:val="20"/>
                <w:szCs w:val="20"/>
              </w:rPr>
              <w:t>1,63 %</w:t>
            </w:r>
          </w:p>
        </w:tc>
      </w:tr>
      <w:tr w:rsidR="005826C7" w:rsidRPr="004761E0" w:rsidTr="005826C7">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26C7" w:rsidRPr="004761E0" w:rsidRDefault="005826C7" w:rsidP="007076A7">
            <w:pPr>
              <w:pStyle w:val="a5"/>
              <w:numPr>
                <w:ilvl w:val="1"/>
                <w:numId w:val="117"/>
              </w:numPr>
              <w:jc w:val="left"/>
              <w:rPr>
                <w:rFonts w:eastAsia="Times New Roman"/>
                <w:color w:val="000000"/>
                <w:sz w:val="20"/>
                <w:szCs w:val="20"/>
                <w:lang w:eastAsia="ru-RU"/>
              </w:rPr>
            </w:pP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5826C7" w:rsidRPr="004761E0" w:rsidRDefault="005826C7" w:rsidP="005826C7">
            <w:pPr>
              <w:ind w:left="459" w:firstLine="0"/>
              <w:jc w:val="left"/>
              <w:rPr>
                <w:color w:val="000000"/>
                <w:sz w:val="20"/>
                <w:szCs w:val="20"/>
              </w:rPr>
            </w:pPr>
            <w:r w:rsidRPr="004761E0">
              <w:rPr>
                <w:color w:val="000000"/>
                <w:sz w:val="20"/>
                <w:szCs w:val="20"/>
              </w:rPr>
              <w:t>под ВЛ 220 кВ и выше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sz w:val="20"/>
                <w:szCs w:val="20"/>
              </w:rPr>
            </w:pPr>
            <w:r w:rsidRPr="004761E0">
              <w:rPr>
                <w:sz w:val="20"/>
                <w:szCs w:val="20"/>
              </w:rPr>
              <w:t>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sz w:val="20"/>
                <w:szCs w:val="20"/>
              </w:rPr>
            </w:pPr>
            <w:r w:rsidRPr="004761E0">
              <w:rPr>
                <w:sz w:val="20"/>
                <w:szCs w:val="20"/>
              </w:rPr>
              <w:t>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color w:val="000000"/>
                <w:sz w:val="20"/>
                <w:szCs w:val="20"/>
              </w:rPr>
            </w:pPr>
            <w:r w:rsidRPr="004761E0">
              <w:rPr>
                <w:color w:val="000000"/>
                <w:sz w:val="20"/>
                <w:szCs w:val="20"/>
              </w:rPr>
              <w:t>35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bCs/>
                <w:color w:val="000000"/>
                <w:sz w:val="20"/>
                <w:szCs w:val="20"/>
              </w:rPr>
            </w:pPr>
            <w:r w:rsidRPr="004761E0">
              <w:rPr>
                <w:bCs/>
                <w:color w:val="000000"/>
                <w:sz w:val="20"/>
                <w:szCs w:val="20"/>
              </w:rPr>
              <w:t>36,25 %</w:t>
            </w:r>
          </w:p>
        </w:tc>
      </w:tr>
      <w:tr w:rsidR="005826C7" w:rsidRPr="004761E0" w:rsidTr="005826C7">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26C7" w:rsidRPr="004761E0" w:rsidRDefault="005826C7" w:rsidP="007076A7">
            <w:pPr>
              <w:pStyle w:val="a5"/>
              <w:numPr>
                <w:ilvl w:val="1"/>
                <w:numId w:val="117"/>
              </w:numPr>
              <w:jc w:val="left"/>
              <w:rPr>
                <w:rFonts w:eastAsia="Times New Roman"/>
                <w:color w:val="000000"/>
                <w:sz w:val="20"/>
                <w:szCs w:val="20"/>
                <w:lang w:eastAsia="ru-RU"/>
              </w:rPr>
            </w:pP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5826C7" w:rsidRPr="004761E0" w:rsidRDefault="005826C7" w:rsidP="005826C7">
            <w:pPr>
              <w:ind w:left="459" w:firstLine="0"/>
              <w:jc w:val="left"/>
              <w:rPr>
                <w:color w:val="000000"/>
                <w:sz w:val="20"/>
                <w:szCs w:val="20"/>
              </w:rPr>
            </w:pPr>
            <w:r w:rsidRPr="004761E0">
              <w:rPr>
                <w:color w:val="000000"/>
                <w:sz w:val="20"/>
                <w:szCs w:val="20"/>
              </w:rPr>
              <w:t>под ВЛ 110 кВ и ниже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sz w:val="20"/>
                <w:szCs w:val="20"/>
              </w:rPr>
            </w:pPr>
            <w:r w:rsidRPr="004761E0">
              <w:rPr>
                <w:sz w:val="20"/>
                <w:szCs w:val="20"/>
              </w:rPr>
              <w:t>350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sz w:val="20"/>
                <w:szCs w:val="20"/>
              </w:rPr>
            </w:pPr>
            <w:r w:rsidRPr="004761E0">
              <w:rPr>
                <w:sz w:val="20"/>
                <w:szCs w:val="20"/>
              </w:rPr>
              <w:t>380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color w:val="000000"/>
                <w:sz w:val="20"/>
                <w:szCs w:val="20"/>
              </w:rPr>
            </w:pPr>
            <w:r w:rsidRPr="004761E0">
              <w:rPr>
                <w:color w:val="000000"/>
                <w:sz w:val="20"/>
                <w:szCs w:val="20"/>
              </w:rPr>
              <w:t>376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bCs/>
                <w:color w:val="000000"/>
                <w:sz w:val="20"/>
                <w:szCs w:val="20"/>
              </w:rPr>
            </w:pPr>
            <w:r w:rsidRPr="004761E0">
              <w:rPr>
                <w:bCs/>
                <w:color w:val="000000"/>
                <w:sz w:val="20"/>
                <w:szCs w:val="20"/>
              </w:rPr>
              <w:t>-1,19 %</w:t>
            </w:r>
          </w:p>
        </w:tc>
      </w:tr>
      <w:tr w:rsidR="005826C7" w:rsidRPr="004761E0" w:rsidTr="005826C7">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26C7" w:rsidRPr="004761E0" w:rsidRDefault="005826C7" w:rsidP="007076A7">
            <w:pPr>
              <w:pStyle w:val="a5"/>
              <w:numPr>
                <w:ilvl w:val="1"/>
                <w:numId w:val="117"/>
              </w:numPr>
              <w:jc w:val="left"/>
              <w:rPr>
                <w:rFonts w:eastAsia="Times New Roman"/>
                <w:color w:val="000000"/>
                <w:sz w:val="20"/>
                <w:szCs w:val="20"/>
                <w:lang w:eastAsia="ru-RU"/>
              </w:rPr>
            </w:pP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5826C7" w:rsidRPr="004761E0" w:rsidRDefault="005826C7" w:rsidP="005826C7">
            <w:pPr>
              <w:ind w:left="459" w:firstLine="0"/>
              <w:jc w:val="left"/>
              <w:rPr>
                <w:color w:val="000000"/>
                <w:sz w:val="20"/>
                <w:szCs w:val="20"/>
              </w:rPr>
            </w:pPr>
            <w:r w:rsidRPr="004761E0">
              <w:rPr>
                <w:color w:val="000000"/>
                <w:sz w:val="20"/>
                <w:szCs w:val="20"/>
              </w:rPr>
              <w:t>под объектами электростанций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Cs/>
                <w:color w:val="000000"/>
                <w:sz w:val="20"/>
                <w:szCs w:val="20"/>
              </w:rPr>
              <w:t>–</w:t>
            </w:r>
          </w:p>
        </w:tc>
      </w:tr>
      <w:tr w:rsidR="005826C7" w:rsidRPr="004761E0" w:rsidTr="005826C7">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826C7" w:rsidRPr="004761E0" w:rsidRDefault="005826C7" w:rsidP="007076A7">
            <w:pPr>
              <w:pStyle w:val="a5"/>
              <w:numPr>
                <w:ilvl w:val="1"/>
                <w:numId w:val="117"/>
              </w:numPr>
              <w:jc w:val="left"/>
              <w:rPr>
                <w:rFonts w:eastAsia="Times New Roman"/>
                <w:color w:val="000000"/>
                <w:sz w:val="20"/>
                <w:szCs w:val="20"/>
                <w:lang w:eastAsia="ru-RU"/>
              </w:rPr>
            </w:pPr>
          </w:p>
        </w:tc>
        <w:tc>
          <w:tcPr>
            <w:tcW w:w="4253"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left="459" w:firstLine="0"/>
              <w:jc w:val="left"/>
              <w:rPr>
                <w:color w:val="000000"/>
                <w:sz w:val="20"/>
                <w:szCs w:val="20"/>
              </w:rPr>
            </w:pPr>
            <w:r w:rsidRPr="004761E0">
              <w:rPr>
                <w:color w:val="000000"/>
                <w:sz w:val="20"/>
                <w:szCs w:val="20"/>
              </w:rPr>
              <w:t>под объектами котельных</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Cs/>
                <w:color w:val="000000"/>
                <w:sz w:val="20"/>
                <w:szCs w:val="20"/>
              </w:rPr>
              <w:t>–</w:t>
            </w:r>
          </w:p>
        </w:tc>
      </w:tr>
      <w:tr w:rsidR="005826C7" w:rsidRPr="004761E0" w:rsidTr="005826C7">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826C7" w:rsidRPr="004761E0" w:rsidRDefault="005826C7" w:rsidP="007076A7">
            <w:pPr>
              <w:pStyle w:val="a5"/>
              <w:numPr>
                <w:ilvl w:val="1"/>
                <w:numId w:val="117"/>
              </w:numPr>
              <w:jc w:val="left"/>
              <w:rPr>
                <w:rFonts w:eastAsia="Times New Roman"/>
                <w:color w:val="000000"/>
                <w:sz w:val="20"/>
                <w:szCs w:val="20"/>
                <w:lang w:eastAsia="ru-RU"/>
              </w:rPr>
            </w:pPr>
          </w:p>
        </w:tc>
        <w:tc>
          <w:tcPr>
            <w:tcW w:w="4253"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left="459" w:firstLine="0"/>
              <w:jc w:val="left"/>
              <w:rPr>
                <w:color w:val="000000"/>
                <w:sz w:val="20"/>
                <w:szCs w:val="20"/>
              </w:rPr>
            </w:pPr>
            <w:r w:rsidRPr="004761E0">
              <w:rPr>
                <w:color w:val="000000"/>
                <w:sz w:val="20"/>
                <w:szCs w:val="20"/>
              </w:rPr>
              <w:t>под теплосетевыми объектами</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Cs/>
                <w:color w:val="000000"/>
                <w:sz w:val="20"/>
                <w:szCs w:val="20"/>
              </w:rPr>
              <w:t>–</w:t>
            </w:r>
          </w:p>
        </w:tc>
      </w:tr>
      <w:tr w:rsidR="005826C7" w:rsidRPr="004761E0" w:rsidTr="005826C7">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826C7" w:rsidRPr="004761E0" w:rsidRDefault="005826C7" w:rsidP="007076A7">
            <w:pPr>
              <w:pStyle w:val="a5"/>
              <w:numPr>
                <w:ilvl w:val="1"/>
                <w:numId w:val="117"/>
              </w:numPr>
              <w:jc w:val="left"/>
              <w:rPr>
                <w:rFonts w:eastAsia="Times New Roman"/>
                <w:color w:val="000000"/>
                <w:sz w:val="20"/>
                <w:szCs w:val="20"/>
                <w:lang w:eastAsia="ru-RU"/>
              </w:rPr>
            </w:pPr>
          </w:p>
        </w:tc>
        <w:tc>
          <w:tcPr>
            <w:tcW w:w="4253"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left="459" w:firstLine="0"/>
              <w:jc w:val="left"/>
              <w:rPr>
                <w:color w:val="000000"/>
                <w:sz w:val="20"/>
                <w:szCs w:val="20"/>
              </w:rPr>
            </w:pPr>
            <w:r w:rsidRPr="004761E0">
              <w:rPr>
                <w:color w:val="000000"/>
                <w:sz w:val="20"/>
                <w:szCs w:val="20"/>
              </w:rPr>
              <w:t>под другими объектами</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sz w:val="20"/>
                <w:szCs w:val="20"/>
              </w:rPr>
            </w:pPr>
            <w:r w:rsidRPr="004761E0">
              <w:rPr>
                <w:sz w:val="20"/>
                <w:szCs w:val="20"/>
              </w:rPr>
              <w:t>152</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sz w:val="20"/>
                <w:szCs w:val="20"/>
              </w:rPr>
            </w:pPr>
            <w:r w:rsidRPr="004761E0">
              <w:rPr>
                <w:sz w:val="20"/>
                <w:szCs w:val="20"/>
              </w:rPr>
              <w:t>151</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color w:val="000000"/>
                <w:sz w:val="20"/>
                <w:szCs w:val="20"/>
              </w:rPr>
            </w:pPr>
            <w:r w:rsidRPr="004761E0">
              <w:rPr>
                <w:color w:val="000000"/>
                <w:sz w:val="20"/>
                <w:szCs w:val="20"/>
              </w:rPr>
              <w:t>152</w:t>
            </w:r>
          </w:p>
        </w:tc>
        <w:tc>
          <w:tcPr>
            <w:tcW w:w="1134" w:type="dxa"/>
            <w:tcBorders>
              <w:top w:val="nil"/>
              <w:left w:val="nil"/>
              <w:bottom w:val="single" w:sz="4" w:space="0" w:color="auto"/>
              <w:right w:val="single" w:sz="4" w:space="0" w:color="auto"/>
            </w:tcBorders>
            <w:shd w:val="clear" w:color="auto" w:fill="auto"/>
            <w:vAlign w:val="center"/>
            <w:hideMark/>
          </w:tcPr>
          <w:p w:rsidR="005826C7" w:rsidRPr="004761E0" w:rsidRDefault="005826C7" w:rsidP="005826C7">
            <w:pPr>
              <w:ind w:firstLine="0"/>
              <w:jc w:val="right"/>
              <w:rPr>
                <w:bCs/>
                <w:color w:val="000000"/>
                <w:sz w:val="20"/>
                <w:szCs w:val="20"/>
              </w:rPr>
            </w:pPr>
            <w:r w:rsidRPr="004761E0">
              <w:rPr>
                <w:bCs/>
                <w:color w:val="000000"/>
                <w:sz w:val="20"/>
                <w:szCs w:val="20"/>
              </w:rPr>
              <w:t>0,89 %</w:t>
            </w:r>
          </w:p>
        </w:tc>
      </w:tr>
    </w:tbl>
    <w:p w:rsidR="007615E0" w:rsidRPr="004761E0" w:rsidRDefault="007615E0" w:rsidP="005826C7">
      <w:pPr>
        <w:ind w:firstLine="567"/>
        <w:rPr>
          <w:b/>
          <w:sz w:val="26"/>
          <w:szCs w:val="26"/>
          <w:lang w:eastAsia="ru-RU"/>
        </w:rPr>
      </w:pPr>
      <w:r w:rsidRPr="004761E0">
        <w:rPr>
          <w:sz w:val="26"/>
          <w:szCs w:val="26"/>
          <w:lang w:eastAsia="ru-RU"/>
        </w:rPr>
        <w:lastRenderedPageBreak/>
        <w:t xml:space="preserve">Работы по оформлению права аренды на землю под электросетевыми объектами ведутся </w:t>
      </w:r>
      <w:r w:rsidR="0008080E">
        <w:rPr>
          <w:sz w:val="26"/>
          <w:szCs w:val="26"/>
          <w:lang w:eastAsia="ru-RU"/>
        </w:rPr>
        <w:t>ОАО </w:t>
      </w:r>
      <w:r w:rsidRPr="004761E0">
        <w:rPr>
          <w:sz w:val="26"/>
          <w:szCs w:val="26"/>
          <w:lang w:eastAsia="ru-RU"/>
        </w:rPr>
        <w:t>«МОЭСК» на основании Федерального закона от 25.10.2001 № 137-ФЗ «О введении в действие Земельного кодекса РФ», а также в соответствие с Постановлением Правительства РФ от 11.08.2003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5826C7" w:rsidRPr="004761E0" w:rsidRDefault="005826C7" w:rsidP="005826C7">
      <w:pPr>
        <w:ind w:firstLine="567"/>
        <w:rPr>
          <w:sz w:val="26"/>
          <w:szCs w:val="26"/>
          <w:lang w:eastAsia="ru-RU"/>
        </w:rPr>
      </w:pPr>
      <w:r w:rsidRPr="004761E0">
        <w:rPr>
          <w:sz w:val="26"/>
          <w:szCs w:val="26"/>
          <w:lang w:eastAsia="ru-RU"/>
        </w:rPr>
        <w:t xml:space="preserve">Значительное увеличение количества земельных участков в 2013 году по отношению к 2012 году без существенного увеличения их общей площади связано с формированием обособленных земельных участков под каждым электросетевым объектом и под каждой опорой воздушных ЛЭП при оформлении земли в аренду. </w:t>
      </w:r>
    </w:p>
    <w:p w:rsidR="005826C7" w:rsidRPr="004761E0" w:rsidRDefault="005826C7" w:rsidP="005826C7">
      <w:pPr>
        <w:ind w:firstLine="567"/>
        <w:rPr>
          <w:b/>
          <w:sz w:val="26"/>
          <w:szCs w:val="26"/>
          <w:lang w:eastAsia="ru-RU"/>
        </w:rPr>
        <w:sectPr w:rsidR="005826C7" w:rsidRPr="004761E0" w:rsidSect="005826C7">
          <w:pgSz w:w="11906" w:h="16838"/>
          <w:pgMar w:top="1134" w:right="851" w:bottom="1134" w:left="1701" w:header="709" w:footer="709" w:gutter="0"/>
          <w:cols w:space="708"/>
          <w:docGrid w:linePitch="360"/>
        </w:sectPr>
      </w:pPr>
    </w:p>
    <w:p w:rsidR="00027A32" w:rsidRPr="00743B24" w:rsidRDefault="00BA326D" w:rsidP="00743B24">
      <w:pPr>
        <w:spacing w:before="120" w:after="120"/>
        <w:ind w:firstLine="567"/>
        <w:rPr>
          <w:b/>
          <w:sz w:val="26"/>
          <w:szCs w:val="26"/>
          <w:vertAlign w:val="superscript"/>
          <w:lang w:eastAsia="ru-RU"/>
        </w:rPr>
      </w:pPr>
      <w:r w:rsidRPr="00743B24">
        <w:rPr>
          <w:b/>
          <w:sz w:val="26"/>
          <w:szCs w:val="26"/>
          <w:lang w:eastAsia="ru-RU"/>
        </w:rPr>
        <w:lastRenderedPageBreak/>
        <w:t>Количество земельных участков</w:t>
      </w:r>
      <w:r w:rsidR="000F6A5D" w:rsidRPr="006F4AB8">
        <w:rPr>
          <w:rStyle w:val="af1"/>
        </w:rPr>
        <w:footnoteReference w:id="104"/>
      </w:r>
    </w:p>
    <w:tbl>
      <w:tblPr>
        <w:tblStyle w:val="16"/>
        <w:tblW w:w="15134" w:type="dxa"/>
        <w:tblLayout w:type="fixed"/>
        <w:tblLook w:val="04A0"/>
      </w:tblPr>
      <w:tblGrid>
        <w:gridCol w:w="534"/>
        <w:gridCol w:w="3685"/>
        <w:gridCol w:w="1276"/>
        <w:gridCol w:w="1276"/>
        <w:gridCol w:w="1417"/>
        <w:gridCol w:w="1701"/>
        <w:gridCol w:w="1276"/>
        <w:gridCol w:w="1701"/>
        <w:gridCol w:w="1276"/>
        <w:gridCol w:w="992"/>
      </w:tblGrid>
      <w:tr w:rsidR="005826C7" w:rsidRPr="004761E0" w:rsidTr="005826C7">
        <w:trPr>
          <w:cantSplit/>
        </w:trPr>
        <w:tc>
          <w:tcPr>
            <w:tcW w:w="534" w:type="dxa"/>
            <w:vMerge w:val="restart"/>
            <w:tcBorders>
              <w:right w:val="single" w:sz="4" w:space="0" w:color="FFFFFF" w:themeColor="background1"/>
            </w:tcBorders>
            <w:shd w:val="clear" w:color="auto" w:fill="0F243E" w:themeFill="text2" w:themeFillShade="80"/>
            <w:hideMark/>
          </w:tcPr>
          <w:p w:rsidR="00B16379" w:rsidRPr="004761E0" w:rsidRDefault="00BA326D" w:rsidP="006C365D">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3685" w:type="dxa"/>
            <w:vMerge w:val="restart"/>
            <w:tcBorders>
              <w:left w:val="single" w:sz="4" w:space="0" w:color="FFFFFF" w:themeColor="background1"/>
              <w:right w:val="single" w:sz="4" w:space="0" w:color="FFFFFF" w:themeColor="background1"/>
            </w:tcBorders>
            <w:shd w:val="clear" w:color="auto" w:fill="0F243E" w:themeFill="text2" w:themeFillShade="80"/>
            <w:hideMark/>
          </w:tcPr>
          <w:p w:rsidR="00B16379" w:rsidRPr="004761E0" w:rsidRDefault="00BA326D" w:rsidP="006C365D">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Виды земельных участков</w:t>
            </w:r>
          </w:p>
        </w:tc>
        <w:tc>
          <w:tcPr>
            <w:tcW w:w="1276"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B16379" w:rsidRPr="004761E0" w:rsidRDefault="00BA326D" w:rsidP="006C365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Общее количество земельных участков</w:t>
            </w:r>
          </w:p>
        </w:tc>
        <w:tc>
          <w:tcPr>
            <w:tcW w:w="5670" w:type="dxa"/>
            <w:gridSpan w:val="4"/>
            <w:tcBorders>
              <w:left w:val="single" w:sz="4" w:space="0" w:color="FFFFFF" w:themeColor="background1"/>
              <w:bottom w:val="single" w:sz="4" w:space="0" w:color="FFFFFF" w:themeColor="background1"/>
              <w:right w:val="nil"/>
            </w:tcBorders>
            <w:shd w:val="clear" w:color="auto" w:fill="0F243E" w:themeFill="text2" w:themeFillShade="80"/>
            <w:hideMark/>
          </w:tcPr>
          <w:p w:rsidR="00B16379" w:rsidRPr="004761E0" w:rsidRDefault="00BA326D" w:rsidP="006C365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Из них:</w:t>
            </w:r>
          </w:p>
        </w:tc>
        <w:tc>
          <w:tcPr>
            <w:tcW w:w="1701" w:type="dxa"/>
            <w:vMerge w:val="restart"/>
            <w:tcBorders>
              <w:left w:val="nil"/>
              <w:bottom w:val="nil"/>
              <w:right w:val="single" w:sz="4" w:space="0" w:color="FFFFFF" w:themeColor="background1"/>
            </w:tcBorders>
            <w:shd w:val="clear" w:color="auto" w:fill="0F243E" w:themeFill="text2" w:themeFillShade="80"/>
            <w:hideMark/>
          </w:tcPr>
          <w:p w:rsidR="00B16379" w:rsidRPr="004761E0" w:rsidRDefault="00BA326D" w:rsidP="006C365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Поставлены на государственный кадастровый учет на отчетную дату</w:t>
            </w:r>
          </w:p>
        </w:tc>
        <w:tc>
          <w:tcPr>
            <w:tcW w:w="1276" w:type="dxa"/>
            <w:vMerge w:val="restart"/>
            <w:tcBorders>
              <w:left w:val="single" w:sz="4" w:space="0" w:color="FFFFFF" w:themeColor="background1"/>
              <w:bottom w:val="nil"/>
              <w:right w:val="single" w:sz="4" w:space="0" w:color="FFFFFF" w:themeColor="background1"/>
            </w:tcBorders>
            <w:shd w:val="clear" w:color="auto" w:fill="0F243E" w:themeFill="text2" w:themeFillShade="80"/>
            <w:hideMark/>
          </w:tcPr>
          <w:p w:rsidR="00B16379" w:rsidRPr="004761E0" w:rsidRDefault="00BA326D" w:rsidP="006C365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Права зарегистрированы на отчетную дату</w:t>
            </w:r>
          </w:p>
        </w:tc>
        <w:tc>
          <w:tcPr>
            <w:tcW w:w="992" w:type="dxa"/>
            <w:vMerge w:val="restart"/>
            <w:tcBorders>
              <w:left w:val="single" w:sz="4" w:space="0" w:color="FFFFFF" w:themeColor="background1"/>
              <w:bottom w:val="nil"/>
            </w:tcBorders>
            <w:shd w:val="clear" w:color="auto" w:fill="0F243E" w:themeFill="text2" w:themeFillShade="80"/>
            <w:hideMark/>
          </w:tcPr>
          <w:p w:rsidR="00B16379" w:rsidRPr="004761E0" w:rsidRDefault="00BA326D" w:rsidP="006C365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Охранные зоны</w:t>
            </w:r>
          </w:p>
        </w:tc>
      </w:tr>
      <w:tr w:rsidR="005826C7" w:rsidRPr="004761E0" w:rsidTr="005826C7">
        <w:trPr>
          <w:cantSplit/>
        </w:trPr>
        <w:tc>
          <w:tcPr>
            <w:tcW w:w="534" w:type="dxa"/>
            <w:vMerge/>
            <w:tcBorders>
              <w:top w:val="nil"/>
              <w:right w:val="single" w:sz="4" w:space="0" w:color="FFFFFF" w:themeColor="background1"/>
            </w:tcBorders>
            <w:hideMark/>
          </w:tcPr>
          <w:p w:rsidR="00B16379" w:rsidRPr="004761E0" w:rsidRDefault="00B16379" w:rsidP="006C365D">
            <w:pPr>
              <w:ind w:firstLine="0"/>
              <w:jc w:val="left"/>
              <w:rPr>
                <w:rFonts w:eastAsia="Times New Roman"/>
                <w:color w:val="000000"/>
                <w:sz w:val="20"/>
                <w:szCs w:val="20"/>
                <w:lang w:eastAsia="ru-RU"/>
              </w:rPr>
            </w:pPr>
          </w:p>
        </w:tc>
        <w:tc>
          <w:tcPr>
            <w:tcW w:w="3685" w:type="dxa"/>
            <w:vMerge/>
            <w:tcBorders>
              <w:top w:val="nil"/>
              <w:left w:val="single" w:sz="4" w:space="0" w:color="FFFFFF" w:themeColor="background1"/>
              <w:right w:val="single" w:sz="4" w:space="0" w:color="FFFFFF" w:themeColor="background1"/>
            </w:tcBorders>
            <w:hideMark/>
          </w:tcPr>
          <w:p w:rsidR="00B16379" w:rsidRPr="004761E0" w:rsidRDefault="00B16379" w:rsidP="006C365D">
            <w:pPr>
              <w:ind w:firstLine="0"/>
              <w:jc w:val="left"/>
              <w:rPr>
                <w:rFonts w:eastAsia="Times New Roman"/>
                <w:color w:val="000000"/>
                <w:sz w:val="20"/>
                <w:szCs w:val="20"/>
                <w:lang w:eastAsia="ru-RU"/>
              </w:rPr>
            </w:pPr>
          </w:p>
        </w:tc>
        <w:tc>
          <w:tcPr>
            <w:tcW w:w="1276" w:type="dxa"/>
            <w:vMerge/>
            <w:tcBorders>
              <w:top w:val="single" w:sz="4" w:space="0" w:color="FFFFFF" w:themeColor="background1"/>
              <w:left w:val="single" w:sz="4" w:space="0" w:color="FFFFFF" w:themeColor="background1"/>
              <w:right w:val="single" w:sz="4" w:space="0" w:color="FFFFFF" w:themeColor="background1"/>
            </w:tcBorders>
            <w:hideMark/>
          </w:tcPr>
          <w:p w:rsidR="00B16379" w:rsidRPr="004761E0" w:rsidRDefault="00B16379" w:rsidP="006C365D">
            <w:pPr>
              <w:ind w:firstLine="0"/>
              <w:jc w:val="left"/>
              <w:rPr>
                <w:rFonts w:eastAsia="Times New Roman"/>
                <w:color w:val="000000"/>
                <w:sz w:val="20"/>
                <w:szCs w:val="20"/>
                <w:lang w:eastAsia="ru-RU"/>
              </w:rPr>
            </w:pPr>
          </w:p>
        </w:tc>
        <w:tc>
          <w:tcPr>
            <w:tcW w:w="1276"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hideMark/>
          </w:tcPr>
          <w:p w:rsidR="00B16379" w:rsidRPr="004761E0" w:rsidRDefault="00BA326D" w:rsidP="006C365D">
            <w:pPr>
              <w:spacing w:after="120"/>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выкупленные на отчетную дату</w:t>
            </w:r>
          </w:p>
        </w:tc>
        <w:tc>
          <w:tcPr>
            <w:tcW w:w="1417"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hideMark/>
          </w:tcPr>
          <w:p w:rsidR="00B16379" w:rsidRPr="004761E0" w:rsidRDefault="00BA326D" w:rsidP="006C365D">
            <w:pPr>
              <w:spacing w:after="120"/>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взятые в аренду (субаренду) на отчетную дату</w:t>
            </w:r>
          </w:p>
        </w:tc>
        <w:tc>
          <w:tcPr>
            <w:tcW w:w="1701"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hideMark/>
          </w:tcPr>
          <w:p w:rsidR="00B16379" w:rsidRPr="004761E0" w:rsidRDefault="00BA326D" w:rsidP="006C365D">
            <w:pPr>
              <w:spacing w:after="120"/>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 праве постоянного (бессрочного) пользования на отчетную дату</w:t>
            </w:r>
          </w:p>
        </w:tc>
        <w:tc>
          <w:tcPr>
            <w:tcW w:w="1276" w:type="dxa"/>
            <w:tcBorders>
              <w:top w:val="single" w:sz="4" w:space="0" w:color="FFFFFF" w:themeColor="background1"/>
              <w:left w:val="single" w:sz="4" w:space="0" w:color="FFFFFF" w:themeColor="background1"/>
              <w:right w:val="nil"/>
            </w:tcBorders>
            <w:shd w:val="clear" w:color="auto" w:fill="0F243E" w:themeFill="text2" w:themeFillShade="80"/>
            <w:hideMark/>
          </w:tcPr>
          <w:p w:rsidR="00B16379" w:rsidRPr="004761E0" w:rsidRDefault="00BA326D" w:rsidP="006C365D">
            <w:pPr>
              <w:spacing w:after="120"/>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право не определено на отчетную дату</w:t>
            </w:r>
          </w:p>
        </w:tc>
        <w:tc>
          <w:tcPr>
            <w:tcW w:w="1701" w:type="dxa"/>
            <w:vMerge/>
            <w:tcBorders>
              <w:top w:val="nil"/>
              <w:left w:val="nil"/>
              <w:bottom w:val="nil"/>
              <w:right w:val="single" w:sz="4" w:space="0" w:color="FFFFFF" w:themeColor="background1"/>
            </w:tcBorders>
            <w:hideMark/>
          </w:tcPr>
          <w:p w:rsidR="00B16379" w:rsidRPr="004761E0" w:rsidRDefault="00B16379" w:rsidP="006C365D">
            <w:pPr>
              <w:ind w:firstLine="0"/>
              <w:jc w:val="left"/>
              <w:rPr>
                <w:rFonts w:eastAsia="Times New Roman"/>
                <w:color w:val="000000"/>
                <w:sz w:val="20"/>
                <w:szCs w:val="20"/>
                <w:lang w:eastAsia="ru-RU"/>
              </w:rPr>
            </w:pPr>
          </w:p>
        </w:tc>
        <w:tc>
          <w:tcPr>
            <w:tcW w:w="1276" w:type="dxa"/>
            <w:vMerge/>
            <w:tcBorders>
              <w:top w:val="nil"/>
              <w:left w:val="single" w:sz="4" w:space="0" w:color="FFFFFF" w:themeColor="background1"/>
              <w:bottom w:val="nil"/>
              <w:right w:val="single" w:sz="4" w:space="0" w:color="FFFFFF" w:themeColor="background1"/>
            </w:tcBorders>
            <w:hideMark/>
          </w:tcPr>
          <w:p w:rsidR="00B16379" w:rsidRPr="004761E0" w:rsidRDefault="00B16379" w:rsidP="006C365D">
            <w:pPr>
              <w:ind w:firstLine="0"/>
              <w:jc w:val="left"/>
              <w:rPr>
                <w:rFonts w:eastAsia="Times New Roman"/>
                <w:color w:val="000000"/>
                <w:sz w:val="20"/>
                <w:szCs w:val="20"/>
                <w:lang w:eastAsia="ru-RU"/>
              </w:rPr>
            </w:pPr>
          </w:p>
        </w:tc>
        <w:tc>
          <w:tcPr>
            <w:tcW w:w="992" w:type="dxa"/>
            <w:vMerge/>
            <w:tcBorders>
              <w:top w:val="nil"/>
              <w:left w:val="single" w:sz="4" w:space="0" w:color="FFFFFF" w:themeColor="background1"/>
              <w:bottom w:val="nil"/>
            </w:tcBorders>
            <w:hideMark/>
          </w:tcPr>
          <w:p w:rsidR="00B16379" w:rsidRPr="004761E0" w:rsidRDefault="00B16379" w:rsidP="006C365D">
            <w:pPr>
              <w:ind w:firstLine="0"/>
              <w:jc w:val="left"/>
              <w:rPr>
                <w:rFonts w:eastAsia="Times New Roman"/>
                <w:color w:val="000000"/>
                <w:sz w:val="20"/>
                <w:szCs w:val="20"/>
                <w:lang w:eastAsia="ru-RU"/>
              </w:rPr>
            </w:pPr>
          </w:p>
        </w:tc>
      </w:tr>
      <w:tr w:rsidR="005826C7" w:rsidRPr="004761E0" w:rsidTr="005826C7">
        <w:trPr>
          <w:cantSplit/>
        </w:trPr>
        <w:tc>
          <w:tcPr>
            <w:tcW w:w="534" w:type="dxa"/>
            <w:noWrap/>
            <w:hideMark/>
          </w:tcPr>
          <w:p w:rsidR="005826C7" w:rsidRPr="004761E0" w:rsidRDefault="005826C7" w:rsidP="007076A7">
            <w:pPr>
              <w:pStyle w:val="a5"/>
              <w:numPr>
                <w:ilvl w:val="1"/>
                <w:numId w:val="51"/>
              </w:numPr>
              <w:ind w:left="0" w:right="-140" w:firstLine="0"/>
              <w:jc w:val="left"/>
              <w:rPr>
                <w:rFonts w:eastAsia="Times New Roman"/>
                <w:b/>
                <w:bCs/>
                <w:color w:val="000000"/>
                <w:sz w:val="20"/>
                <w:szCs w:val="20"/>
                <w:lang w:eastAsia="ru-RU"/>
              </w:rPr>
            </w:pPr>
          </w:p>
        </w:tc>
        <w:tc>
          <w:tcPr>
            <w:tcW w:w="3685" w:type="dxa"/>
            <w:hideMark/>
          </w:tcPr>
          <w:p w:rsidR="005826C7" w:rsidRPr="004761E0" w:rsidRDefault="005826C7" w:rsidP="006C365D">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Под объектами электроподстанций (всего), в т.ч.:</w:t>
            </w:r>
          </w:p>
        </w:tc>
        <w:tc>
          <w:tcPr>
            <w:tcW w:w="1276" w:type="dxa"/>
            <w:vAlign w:val="center"/>
            <w:hideMark/>
          </w:tcPr>
          <w:p w:rsidR="005826C7" w:rsidRPr="004761E0" w:rsidRDefault="005826C7" w:rsidP="005826C7">
            <w:pPr>
              <w:ind w:firstLine="34"/>
              <w:jc w:val="right"/>
              <w:rPr>
                <w:b/>
                <w:bCs/>
                <w:color w:val="000000"/>
                <w:sz w:val="20"/>
                <w:szCs w:val="20"/>
              </w:rPr>
            </w:pPr>
            <w:r w:rsidRPr="004761E0">
              <w:rPr>
                <w:b/>
                <w:bCs/>
                <w:color w:val="000000"/>
                <w:sz w:val="20"/>
                <w:szCs w:val="20"/>
              </w:rPr>
              <w:t>10 026</w:t>
            </w:r>
          </w:p>
        </w:tc>
        <w:tc>
          <w:tcPr>
            <w:tcW w:w="1276" w:type="dxa"/>
            <w:vAlign w:val="center"/>
            <w:hideMark/>
          </w:tcPr>
          <w:p w:rsidR="005826C7" w:rsidRPr="004761E0" w:rsidRDefault="005826C7" w:rsidP="005826C7">
            <w:pPr>
              <w:ind w:firstLine="34"/>
              <w:jc w:val="right"/>
              <w:rPr>
                <w:b/>
                <w:bCs/>
                <w:color w:val="000000"/>
                <w:sz w:val="20"/>
                <w:szCs w:val="20"/>
              </w:rPr>
            </w:pPr>
            <w:r w:rsidRPr="004761E0">
              <w:rPr>
                <w:b/>
                <w:bCs/>
                <w:color w:val="000000"/>
                <w:sz w:val="20"/>
                <w:szCs w:val="20"/>
              </w:rPr>
              <w:t>6</w:t>
            </w:r>
          </w:p>
        </w:tc>
        <w:tc>
          <w:tcPr>
            <w:tcW w:w="1417" w:type="dxa"/>
            <w:vAlign w:val="center"/>
            <w:hideMark/>
          </w:tcPr>
          <w:p w:rsidR="005826C7" w:rsidRPr="004761E0" w:rsidRDefault="005826C7" w:rsidP="005826C7">
            <w:pPr>
              <w:ind w:firstLine="34"/>
              <w:jc w:val="right"/>
              <w:rPr>
                <w:b/>
                <w:bCs/>
                <w:color w:val="000000"/>
                <w:sz w:val="20"/>
                <w:szCs w:val="20"/>
              </w:rPr>
            </w:pPr>
            <w:r w:rsidRPr="004761E0">
              <w:rPr>
                <w:b/>
                <w:bCs/>
                <w:color w:val="000000"/>
                <w:sz w:val="20"/>
                <w:szCs w:val="20"/>
              </w:rPr>
              <w:t>7 895</w:t>
            </w:r>
          </w:p>
        </w:tc>
        <w:tc>
          <w:tcPr>
            <w:tcW w:w="1701" w:type="dxa"/>
            <w:vAlign w:val="center"/>
            <w:hideMark/>
          </w:tcPr>
          <w:p w:rsidR="005826C7" w:rsidRPr="004761E0" w:rsidRDefault="005826C7" w:rsidP="005826C7">
            <w:pPr>
              <w:ind w:firstLine="34"/>
              <w:jc w:val="right"/>
              <w:rPr>
                <w:b/>
                <w:bCs/>
                <w:color w:val="000000"/>
                <w:sz w:val="20"/>
                <w:szCs w:val="20"/>
              </w:rPr>
            </w:pPr>
            <w:r w:rsidRPr="004761E0">
              <w:rPr>
                <w:b/>
                <w:bCs/>
                <w:color w:val="000000"/>
                <w:sz w:val="20"/>
                <w:szCs w:val="20"/>
              </w:rPr>
              <w:t>412</w:t>
            </w:r>
          </w:p>
        </w:tc>
        <w:tc>
          <w:tcPr>
            <w:tcW w:w="1276" w:type="dxa"/>
            <w:vAlign w:val="center"/>
            <w:hideMark/>
          </w:tcPr>
          <w:p w:rsidR="005826C7" w:rsidRPr="004761E0" w:rsidRDefault="005826C7" w:rsidP="005826C7">
            <w:pPr>
              <w:ind w:firstLine="34"/>
              <w:jc w:val="right"/>
              <w:rPr>
                <w:b/>
                <w:bCs/>
                <w:color w:val="000000"/>
                <w:sz w:val="20"/>
                <w:szCs w:val="20"/>
              </w:rPr>
            </w:pPr>
            <w:r w:rsidRPr="004761E0">
              <w:rPr>
                <w:b/>
                <w:bCs/>
                <w:color w:val="000000"/>
                <w:sz w:val="20"/>
                <w:szCs w:val="20"/>
              </w:rPr>
              <w:t>1 713</w:t>
            </w:r>
          </w:p>
        </w:tc>
        <w:tc>
          <w:tcPr>
            <w:tcW w:w="1701" w:type="dxa"/>
            <w:tcBorders>
              <w:top w:val="nil"/>
            </w:tcBorders>
            <w:vAlign w:val="center"/>
            <w:hideMark/>
          </w:tcPr>
          <w:p w:rsidR="005826C7" w:rsidRPr="004761E0" w:rsidRDefault="005826C7" w:rsidP="005826C7">
            <w:pPr>
              <w:ind w:firstLine="34"/>
              <w:jc w:val="right"/>
              <w:rPr>
                <w:b/>
                <w:bCs/>
                <w:color w:val="000000"/>
                <w:sz w:val="20"/>
                <w:szCs w:val="20"/>
              </w:rPr>
            </w:pPr>
            <w:r w:rsidRPr="004761E0">
              <w:rPr>
                <w:b/>
                <w:bCs/>
                <w:color w:val="000000"/>
                <w:sz w:val="20"/>
                <w:szCs w:val="20"/>
              </w:rPr>
              <w:t>8 949</w:t>
            </w:r>
          </w:p>
        </w:tc>
        <w:tc>
          <w:tcPr>
            <w:tcW w:w="1276" w:type="dxa"/>
            <w:tcBorders>
              <w:top w:val="nil"/>
            </w:tcBorders>
            <w:vAlign w:val="center"/>
            <w:hideMark/>
          </w:tcPr>
          <w:p w:rsidR="005826C7" w:rsidRPr="004761E0" w:rsidRDefault="005826C7" w:rsidP="005826C7">
            <w:pPr>
              <w:ind w:firstLine="34"/>
              <w:jc w:val="right"/>
              <w:rPr>
                <w:b/>
                <w:bCs/>
                <w:color w:val="000000"/>
                <w:sz w:val="20"/>
                <w:szCs w:val="20"/>
              </w:rPr>
            </w:pPr>
            <w:r w:rsidRPr="004761E0">
              <w:rPr>
                <w:b/>
                <w:bCs/>
                <w:color w:val="000000"/>
                <w:sz w:val="20"/>
                <w:szCs w:val="20"/>
              </w:rPr>
              <w:t>7 901</w:t>
            </w:r>
          </w:p>
        </w:tc>
        <w:tc>
          <w:tcPr>
            <w:tcW w:w="992" w:type="dxa"/>
            <w:tcBorders>
              <w:top w:val="nil"/>
            </w:tcBorders>
            <w:vAlign w:val="center"/>
            <w:hideMark/>
          </w:tcPr>
          <w:p w:rsidR="005826C7" w:rsidRPr="004761E0" w:rsidRDefault="005826C7" w:rsidP="005826C7">
            <w:pPr>
              <w:ind w:firstLine="34"/>
              <w:jc w:val="right"/>
              <w:rPr>
                <w:b/>
                <w:bCs/>
                <w:color w:val="000000"/>
                <w:sz w:val="20"/>
                <w:szCs w:val="20"/>
              </w:rPr>
            </w:pPr>
            <w:r w:rsidRPr="004761E0">
              <w:rPr>
                <w:b/>
                <w:bCs/>
                <w:color w:val="000000"/>
                <w:sz w:val="20"/>
                <w:szCs w:val="20"/>
              </w:rPr>
              <w:t>0</w:t>
            </w:r>
          </w:p>
        </w:tc>
      </w:tr>
      <w:tr w:rsidR="005826C7" w:rsidRPr="004761E0" w:rsidTr="005826C7">
        <w:trPr>
          <w:cantSplit/>
        </w:trPr>
        <w:tc>
          <w:tcPr>
            <w:tcW w:w="534" w:type="dxa"/>
            <w:noWrap/>
            <w:hideMark/>
          </w:tcPr>
          <w:p w:rsidR="005826C7" w:rsidRPr="004761E0" w:rsidRDefault="005826C7" w:rsidP="007076A7">
            <w:pPr>
              <w:pStyle w:val="a5"/>
              <w:numPr>
                <w:ilvl w:val="1"/>
                <w:numId w:val="45"/>
              </w:numPr>
              <w:jc w:val="left"/>
              <w:rPr>
                <w:rFonts w:eastAsia="Times New Roman"/>
                <w:color w:val="000000"/>
                <w:sz w:val="20"/>
                <w:szCs w:val="20"/>
                <w:lang w:eastAsia="ru-RU"/>
              </w:rPr>
            </w:pPr>
          </w:p>
        </w:tc>
        <w:tc>
          <w:tcPr>
            <w:tcW w:w="3685" w:type="dxa"/>
            <w:hideMark/>
          </w:tcPr>
          <w:p w:rsidR="005826C7" w:rsidRPr="004761E0" w:rsidRDefault="005826C7" w:rsidP="006C365D">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под ПС 220 кВ и выше</w:t>
            </w:r>
          </w:p>
        </w:tc>
        <w:tc>
          <w:tcPr>
            <w:tcW w:w="1276" w:type="dxa"/>
            <w:vAlign w:val="center"/>
            <w:hideMark/>
          </w:tcPr>
          <w:p w:rsidR="005826C7" w:rsidRPr="004761E0" w:rsidRDefault="005826C7" w:rsidP="005826C7">
            <w:pPr>
              <w:ind w:firstLine="34"/>
              <w:jc w:val="right"/>
              <w:rPr>
                <w:color w:val="000000"/>
                <w:sz w:val="20"/>
                <w:szCs w:val="20"/>
              </w:rPr>
            </w:pPr>
            <w:r w:rsidRPr="004761E0">
              <w:rPr>
                <w:color w:val="000000"/>
                <w:sz w:val="20"/>
                <w:szCs w:val="20"/>
              </w:rPr>
              <w:t>42</w:t>
            </w:r>
          </w:p>
        </w:tc>
        <w:tc>
          <w:tcPr>
            <w:tcW w:w="1276" w:type="dxa"/>
            <w:vAlign w:val="center"/>
            <w:hideMark/>
          </w:tcPr>
          <w:p w:rsidR="005826C7" w:rsidRPr="004761E0" w:rsidRDefault="005826C7" w:rsidP="005826C7">
            <w:pPr>
              <w:ind w:firstLine="34"/>
              <w:jc w:val="right"/>
              <w:rPr>
                <w:color w:val="000000"/>
                <w:sz w:val="20"/>
                <w:szCs w:val="20"/>
              </w:rPr>
            </w:pPr>
            <w:r w:rsidRPr="004761E0">
              <w:rPr>
                <w:color w:val="000000"/>
                <w:sz w:val="20"/>
                <w:szCs w:val="20"/>
              </w:rPr>
              <w:t>1</w:t>
            </w:r>
          </w:p>
        </w:tc>
        <w:tc>
          <w:tcPr>
            <w:tcW w:w="1417" w:type="dxa"/>
            <w:vAlign w:val="center"/>
            <w:hideMark/>
          </w:tcPr>
          <w:p w:rsidR="005826C7" w:rsidRPr="004761E0" w:rsidRDefault="005826C7" w:rsidP="005826C7">
            <w:pPr>
              <w:ind w:firstLine="34"/>
              <w:jc w:val="right"/>
              <w:rPr>
                <w:color w:val="000000"/>
                <w:sz w:val="20"/>
                <w:szCs w:val="20"/>
              </w:rPr>
            </w:pPr>
            <w:r w:rsidRPr="004761E0">
              <w:rPr>
                <w:color w:val="000000"/>
                <w:sz w:val="20"/>
                <w:szCs w:val="20"/>
              </w:rPr>
              <w:t>36</w:t>
            </w:r>
          </w:p>
        </w:tc>
        <w:tc>
          <w:tcPr>
            <w:tcW w:w="1701" w:type="dxa"/>
            <w:vAlign w:val="center"/>
            <w:hideMark/>
          </w:tcPr>
          <w:p w:rsidR="005826C7" w:rsidRPr="004761E0" w:rsidRDefault="005826C7" w:rsidP="005826C7">
            <w:pPr>
              <w:ind w:firstLine="34"/>
              <w:jc w:val="right"/>
              <w:rPr>
                <w:color w:val="000000"/>
                <w:sz w:val="20"/>
                <w:szCs w:val="20"/>
              </w:rPr>
            </w:pPr>
            <w:r w:rsidRPr="004761E0">
              <w:rPr>
                <w:color w:val="000000"/>
                <w:sz w:val="20"/>
                <w:szCs w:val="20"/>
              </w:rPr>
              <w:t>5</w:t>
            </w:r>
          </w:p>
        </w:tc>
        <w:tc>
          <w:tcPr>
            <w:tcW w:w="1276" w:type="dxa"/>
            <w:vAlign w:val="center"/>
            <w:hideMark/>
          </w:tcPr>
          <w:p w:rsidR="005826C7" w:rsidRPr="004761E0" w:rsidRDefault="005826C7" w:rsidP="005826C7">
            <w:pPr>
              <w:ind w:firstLine="34"/>
              <w:jc w:val="right"/>
              <w:rPr>
                <w:color w:val="000000"/>
                <w:sz w:val="20"/>
                <w:szCs w:val="20"/>
              </w:rPr>
            </w:pPr>
            <w:r w:rsidRPr="004761E0">
              <w:rPr>
                <w:color w:val="000000"/>
                <w:sz w:val="20"/>
                <w:szCs w:val="20"/>
              </w:rPr>
              <w:t>0</w:t>
            </w:r>
          </w:p>
        </w:tc>
        <w:tc>
          <w:tcPr>
            <w:tcW w:w="1701" w:type="dxa"/>
            <w:vAlign w:val="center"/>
            <w:hideMark/>
          </w:tcPr>
          <w:p w:rsidR="005826C7" w:rsidRPr="004761E0" w:rsidRDefault="005826C7" w:rsidP="005826C7">
            <w:pPr>
              <w:ind w:firstLine="34"/>
              <w:jc w:val="right"/>
              <w:rPr>
                <w:color w:val="000000"/>
                <w:sz w:val="20"/>
                <w:szCs w:val="20"/>
              </w:rPr>
            </w:pPr>
            <w:r w:rsidRPr="004761E0">
              <w:rPr>
                <w:color w:val="000000"/>
                <w:sz w:val="20"/>
                <w:szCs w:val="20"/>
              </w:rPr>
              <w:t>34</w:t>
            </w:r>
          </w:p>
        </w:tc>
        <w:tc>
          <w:tcPr>
            <w:tcW w:w="1276" w:type="dxa"/>
            <w:vAlign w:val="center"/>
            <w:hideMark/>
          </w:tcPr>
          <w:p w:rsidR="005826C7" w:rsidRPr="004761E0" w:rsidRDefault="005826C7" w:rsidP="005826C7">
            <w:pPr>
              <w:ind w:firstLine="34"/>
              <w:jc w:val="right"/>
              <w:rPr>
                <w:color w:val="000000"/>
                <w:sz w:val="20"/>
                <w:szCs w:val="20"/>
              </w:rPr>
            </w:pPr>
            <w:r w:rsidRPr="004761E0">
              <w:rPr>
                <w:color w:val="000000"/>
                <w:sz w:val="20"/>
                <w:szCs w:val="20"/>
              </w:rPr>
              <w:t>37</w:t>
            </w:r>
          </w:p>
        </w:tc>
        <w:tc>
          <w:tcPr>
            <w:tcW w:w="992" w:type="dxa"/>
            <w:vAlign w:val="center"/>
            <w:hideMark/>
          </w:tcPr>
          <w:p w:rsidR="005826C7" w:rsidRPr="004761E0" w:rsidRDefault="005826C7" w:rsidP="005826C7">
            <w:pPr>
              <w:ind w:firstLine="34"/>
              <w:jc w:val="right"/>
              <w:rPr>
                <w:color w:val="000000"/>
                <w:sz w:val="20"/>
                <w:szCs w:val="20"/>
              </w:rPr>
            </w:pPr>
            <w:r w:rsidRPr="004761E0">
              <w:rPr>
                <w:color w:val="000000"/>
                <w:sz w:val="20"/>
                <w:szCs w:val="20"/>
              </w:rPr>
              <w:t>0</w:t>
            </w:r>
          </w:p>
        </w:tc>
      </w:tr>
      <w:tr w:rsidR="005826C7" w:rsidRPr="004761E0" w:rsidTr="005826C7">
        <w:trPr>
          <w:cantSplit/>
        </w:trPr>
        <w:tc>
          <w:tcPr>
            <w:tcW w:w="534" w:type="dxa"/>
            <w:noWrap/>
            <w:hideMark/>
          </w:tcPr>
          <w:p w:rsidR="005826C7" w:rsidRPr="004761E0" w:rsidRDefault="005826C7" w:rsidP="007076A7">
            <w:pPr>
              <w:pStyle w:val="a5"/>
              <w:numPr>
                <w:ilvl w:val="1"/>
                <w:numId w:val="45"/>
              </w:numPr>
              <w:jc w:val="left"/>
              <w:rPr>
                <w:rFonts w:eastAsia="Times New Roman"/>
                <w:color w:val="000000"/>
                <w:sz w:val="20"/>
                <w:szCs w:val="20"/>
                <w:lang w:eastAsia="ru-RU"/>
              </w:rPr>
            </w:pPr>
          </w:p>
        </w:tc>
        <w:tc>
          <w:tcPr>
            <w:tcW w:w="3685" w:type="dxa"/>
            <w:hideMark/>
          </w:tcPr>
          <w:p w:rsidR="005826C7" w:rsidRPr="004761E0" w:rsidRDefault="005826C7" w:rsidP="006C365D">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под ПС 110 кВ</w:t>
            </w:r>
          </w:p>
        </w:tc>
        <w:tc>
          <w:tcPr>
            <w:tcW w:w="1276" w:type="dxa"/>
            <w:vAlign w:val="center"/>
            <w:hideMark/>
          </w:tcPr>
          <w:p w:rsidR="005826C7" w:rsidRPr="004761E0" w:rsidRDefault="005826C7" w:rsidP="005826C7">
            <w:pPr>
              <w:ind w:firstLine="34"/>
              <w:jc w:val="right"/>
              <w:rPr>
                <w:color w:val="000000"/>
                <w:sz w:val="20"/>
                <w:szCs w:val="20"/>
              </w:rPr>
            </w:pPr>
            <w:r w:rsidRPr="004761E0">
              <w:rPr>
                <w:color w:val="000000"/>
                <w:sz w:val="20"/>
                <w:szCs w:val="20"/>
              </w:rPr>
              <w:t>361</w:t>
            </w:r>
          </w:p>
        </w:tc>
        <w:tc>
          <w:tcPr>
            <w:tcW w:w="1276" w:type="dxa"/>
            <w:vAlign w:val="center"/>
            <w:hideMark/>
          </w:tcPr>
          <w:p w:rsidR="005826C7" w:rsidRPr="004761E0" w:rsidRDefault="005826C7" w:rsidP="005826C7">
            <w:pPr>
              <w:ind w:firstLine="34"/>
              <w:jc w:val="right"/>
              <w:rPr>
                <w:color w:val="000000"/>
                <w:sz w:val="20"/>
                <w:szCs w:val="20"/>
              </w:rPr>
            </w:pPr>
            <w:r w:rsidRPr="004761E0">
              <w:rPr>
                <w:color w:val="000000"/>
                <w:sz w:val="20"/>
                <w:szCs w:val="20"/>
              </w:rPr>
              <w:t>5</w:t>
            </w:r>
          </w:p>
        </w:tc>
        <w:tc>
          <w:tcPr>
            <w:tcW w:w="1417" w:type="dxa"/>
            <w:vAlign w:val="center"/>
            <w:hideMark/>
          </w:tcPr>
          <w:p w:rsidR="005826C7" w:rsidRPr="004761E0" w:rsidRDefault="005826C7" w:rsidP="005826C7">
            <w:pPr>
              <w:ind w:firstLine="34"/>
              <w:jc w:val="right"/>
              <w:rPr>
                <w:color w:val="000000"/>
                <w:sz w:val="20"/>
                <w:szCs w:val="20"/>
              </w:rPr>
            </w:pPr>
            <w:r w:rsidRPr="004761E0">
              <w:rPr>
                <w:color w:val="000000"/>
                <w:sz w:val="20"/>
                <w:szCs w:val="20"/>
              </w:rPr>
              <w:t>282</w:t>
            </w:r>
          </w:p>
        </w:tc>
        <w:tc>
          <w:tcPr>
            <w:tcW w:w="1701" w:type="dxa"/>
            <w:vAlign w:val="center"/>
            <w:hideMark/>
          </w:tcPr>
          <w:p w:rsidR="005826C7" w:rsidRPr="004761E0" w:rsidRDefault="005826C7" w:rsidP="005826C7">
            <w:pPr>
              <w:ind w:firstLine="34"/>
              <w:jc w:val="right"/>
              <w:rPr>
                <w:color w:val="000000"/>
                <w:sz w:val="20"/>
                <w:szCs w:val="20"/>
              </w:rPr>
            </w:pPr>
            <w:r w:rsidRPr="004761E0">
              <w:rPr>
                <w:color w:val="000000"/>
                <w:sz w:val="20"/>
                <w:szCs w:val="20"/>
              </w:rPr>
              <w:t>53</w:t>
            </w:r>
          </w:p>
        </w:tc>
        <w:tc>
          <w:tcPr>
            <w:tcW w:w="1276" w:type="dxa"/>
            <w:vAlign w:val="center"/>
            <w:hideMark/>
          </w:tcPr>
          <w:p w:rsidR="005826C7" w:rsidRPr="004761E0" w:rsidRDefault="005826C7" w:rsidP="005826C7">
            <w:pPr>
              <w:ind w:firstLine="34"/>
              <w:jc w:val="right"/>
              <w:rPr>
                <w:color w:val="000000"/>
                <w:sz w:val="20"/>
                <w:szCs w:val="20"/>
              </w:rPr>
            </w:pPr>
            <w:r w:rsidRPr="004761E0">
              <w:rPr>
                <w:color w:val="000000"/>
                <w:sz w:val="20"/>
                <w:szCs w:val="20"/>
              </w:rPr>
              <w:t>21</w:t>
            </w:r>
          </w:p>
        </w:tc>
        <w:tc>
          <w:tcPr>
            <w:tcW w:w="1701" w:type="dxa"/>
            <w:noWrap/>
            <w:vAlign w:val="center"/>
            <w:hideMark/>
          </w:tcPr>
          <w:p w:rsidR="005826C7" w:rsidRPr="004761E0" w:rsidRDefault="005826C7" w:rsidP="005826C7">
            <w:pPr>
              <w:ind w:firstLine="34"/>
              <w:jc w:val="right"/>
              <w:rPr>
                <w:sz w:val="20"/>
                <w:szCs w:val="20"/>
              </w:rPr>
            </w:pPr>
            <w:r w:rsidRPr="004761E0">
              <w:rPr>
                <w:sz w:val="20"/>
                <w:szCs w:val="20"/>
              </w:rPr>
              <w:t>312</w:t>
            </w:r>
          </w:p>
        </w:tc>
        <w:tc>
          <w:tcPr>
            <w:tcW w:w="1276" w:type="dxa"/>
            <w:vAlign w:val="center"/>
            <w:hideMark/>
          </w:tcPr>
          <w:p w:rsidR="005826C7" w:rsidRPr="004761E0" w:rsidRDefault="005826C7" w:rsidP="005826C7">
            <w:pPr>
              <w:ind w:firstLine="34"/>
              <w:jc w:val="right"/>
              <w:rPr>
                <w:color w:val="000000"/>
                <w:sz w:val="20"/>
                <w:szCs w:val="20"/>
              </w:rPr>
            </w:pPr>
            <w:r w:rsidRPr="004761E0">
              <w:rPr>
                <w:color w:val="000000"/>
                <w:sz w:val="20"/>
                <w:szCs w:val="20"/>
              </w:rPr>
              <w:t>287</w:t>
            </w:r>
          </w:p>
        </w:tc>
        <w:tc>
          <w:tcPr>
            <w:tcW w:w="992" w:type="dxa"/>
            <w:vAlign w:val="center"/>
            <w:hideMark/>
          </w:tcPr>
          <w:p w:rsidR="005826C7" w:rsidRPr="004761E0" w:rsidRDefault="005826C7" w:rsidP="005826C7">
            <w:pPr>
              <w:ind w:firstLine="34"/>
              <w:jc w:val="right"/>
              <w:rPr>
                <w:color w:val="000000"/>
                <w:sz w:val="20"/>
                <w:szCs w:val="20"/>
              </w:rPr>
            </w:pPr>
            <w:r w:rsidRPr="004761E0">
              <w:rPr>
                <w:color w:val="000000"/>
                <w:sz w:val="20"/>
                <w:szCs w:val="20"/>
              </w:rPr>
              <w:t>0</w:t>
            </w:r>
          </w:p>
        </w:tc>
      </w:tr>
      <w:tr w:rsidR="005826C7" w:rsidRPr="004761E0" w:rsidTr="005826C7">
        <w:trPr>
          <w:cantSplit/>
        </w:trPr>
        <w:tc>
          <w:tcPr>
            <w:tcW w:w="534" w:type="dxa"/>
            <w:noWrap/>
            <w:hideMark/>
          </w:tcPr>
          <w:p w:rsidR="005826C7" w:rsidRPr="004761E0" w:rsidRDefault="005826C7" w:rsidP="007076A7">
            <w:pPr>
              <w:pStyle w:val="a5"/>
              <w:numPr>
                <w:ilvl w:val="1"/>
                <w:numId w:val="45"/>
              </w:numPr>
              <w:jc w:val="left"/>
              <w:rPr>
                <w:rFonts w:eastAsia="Times New Roman"/>
                <w:color w:val="000000"/>
                <w:sz w:val="20"/>
                <w:szCs w:val="20"/>
                <w:lang w:eastAsia="ru-RU"/>
              </w:rPr>
            </w:pPr>
          </w:p>
        </w:tc>
        <w:tc>
          <w:tcPr>
            <w:tcW w:w="3685" w:type="dxa"/>
            <w:hideMark/>
          </w:tcPr>
          <w:p w:rsidR="005826C7" w:rsidRPr="004761E0" w:rsidRDefault="005826C7" w:rsidP="006C365D">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под ПС 35 кВ и ниже</w:t>
            </w:r>
          </w:p>
        </w:tc>
        <w:tc>
          <w:tcPr>
            <w:tcW w:w="1276" w:type="dxa"/>
            <w:vAlign w:val="center"/>
            <w:hideMark/>
          </w:tcPr>
          <w:p w:rsidR="005826C7" w:rsidRPr="004761E0" w:rsidRDefault="005826C7" w:rsidP="005826C7">
            <w:pPr>
              <w:ind w:firstLine="34"/>
              <w:jc w:val="right"/>
              <w:rPr>
                <w:color w:val="000000"/>
                <w:sz w:val="20"/>
                <w:szCs w:val="20"/>
              </w:rPr>
            </w:pPr>
            <w:r w:rsidRPr="004761E0">
              <w:rPr>
                <w:color w:val="000000"/>
                <w:sz w:val="20"/>
                <w:szCs w:val="20"/>
              </w:rPr>
              <w:t>9 623</w:t>
            </w:r>
          </w:p>
        </w:tc>
        <w:tc>
          <w:tcPr>
            <w:tcW w:w="1276" w:type="dxa"/>
            <w:vAlign w:val="center"/>
            <w:hideMark/>
          </w:tcPr>
          <w:p w:rsidR="005826C7" w:rsidRPr="004761E0" w:rsidRDefault="005826C7" w:rsidP="005826C7">
            <w:pPr>
              <w:ind w:firstLine="34"/>
              <w:jc w:val="right"/>
              <w:rPr>
                <w:color w:val="000000"/>
                <w:sz w:val="20"/>
                <w:szCs w:val="20"/>
              </w:rPr>
            </w:pPr>
            <w:r w:rsidRPr="004761E0">
              <w:rPr>
                <w:color w:val="000000"/>
                <w:sz w:val="20"/>
                <w:szCs w:val="20"/>
              </w:rPr>
              <w:t>0</w:t>
            </w:r>
          </w:p>
        </w:tc>
        <w:tc>
          <w:tcPr>
            <w:tcW w:w="1417" w:type="dxa"/>
            <w:vAlign w:val="center"/>
            <w:hideMark/>
          </w:tcPr>
          <w:p w:rsidR="005826C7" w:rsidRPr="004761E0" w:rsidRDefault="005826C7" w:rsidP="005826C7">
            <w:pPr>
              <w:ind w:firstLine="34"/>
              <w:jc w:val="right"/>
              <w:rPr>
                <w:color w:val="000000"/>
                <w:sz w:val="20"/>
                <w:szCs w:val="20"/>
              </w:rPr>
            </w:pPr>
            <w:r w:rsidRPr="004761E0">
              <w:rPr>
                <w:color w:val="000000"/>
                <w:sz w:val="20"/>
                <w:szCs w:val="20"/>
              </w:rPr>
              <w:t>7 577</w:t>
            </w:r>
          </w:p>
        </w:tc>
        <w:tc>
          <w:tcPr>
            <w:tcW w:w="1701" w:type="dxa"/>
            <w:vAlign w:val="center"/>
            <w:hideMark/>
          </w:tcPr>
          <w:p w:rsidR="005826C7" w:rsidRPr="004761E0" w:rsidRDefault="005826C7" w:rsidP="005826C7">
            <w:pPr>
              <w:ind w:firstLine="34"/>
              <w:jc w:val="right"/>
              <w:rPr>
                <w:color w:val="000000"/>
                <w:sz w:val="20"/>
                <w:szCs w:val="20"/>
              </w:rPr>
            </w:pPr>
            <w:r w:rsidRPr="004761E0">
              <w:rPr>
                <w:color w:val="000000"/>
                <w:sz w:val="20"/>
                <w:szCs w:val="20"/>
              </w:rPr>
              <w:t>354</w:t>
            </w:r>
          </w:p>
        </w:tc>
        <w:tc>
          <w:tcPr>
            <w:tcW w:w="1276" w:type="dxa"/>
            <w:vAlign w:val="center"/>
            <w:hideMark/>
          </w:tcPr>
          <w:p w:rsidR="005826C7" w:rsidRPr="004761E0" w:rsidRDefault="005826C7" w:rsidP="005826C7">
            <w:pPr>
              <w:ind w:firstLine="34"/>
              <w:jc w:val="right"/>
              <w:rPr>
                <w:color w:val="000000"/>
                <w:sz w:val="20"/>
                <w:szCs w:val="20"/>
              </w:rPr>
            </w:pPr>
            <w:r w:rsidRPr="004761E0">
              <w:rPr>
                <w:color w:val="000000"/>
                <w:sz w:val="20"/>
                <w:szCs w:val="20"/>
              </w:rPr>
              <w:t>1 692</w:t>
            </w:r>
          </w:p>
        </w:tc>
        <w:tc>
          <w:tcPr>
            <w:tcW w:w="1701" w:type="dxa"/>
            <w:noWrap/>
            <w:vAlign w:val="center"/>
            <w:hideMark/>
          </w:tcPr>
          <w:p w:rsidR="005826C7" w:rsidRPr="004761E0" w:rsidRDefault="005826C7" w:rsidP="005826C7">
            <w:pPr>
              <w:ind w:firstLine="34"/>
              <w:jc w:val="right"/>
              <w:rPr>
                <w:sz w:val="20"/>
                <w:szCs w:val="20"/>
              </w:rPr>
            </w:pPr>
            <w:r w:rsidRPr="004761E0">
              <w:rPr>
                <w:sz w:val="20"/>
                <w:szCs w:val="20"/>
              </w:rPr>
              <w:t>8 603</w:t>
            </w:r>
          </w:p>
        </w:tc>
        <w:tc>
          <w:tcPr>
            <w:tcW w:w="1276" w:type="dxa"/>
            <w:vAlign w:val="center"/>
            <w:hideMark/>
          </w:tcPr>
          <w:p w:rsidR="005826C7" w:rsidRPr="004761E0" w:rsidRDefault="005826C7" w:rsidP="005826C7">
            <w:pPr>
              <w:ind w:firstLine="34"/>
              <w:jc w:val="right"/>
              <w:rPr>
                <w:color w:val="000000"/>
                <w:sz w:val="20"/>
                <w:szCs w:val="20"/>
              </w:rPr>
            </w:pPr>
            <w:r w:rsidRPr="004761E0">
              <w:rPr>
                <w:color w:val="000000"/>
                <w:sz w:val="20"/>
                <w:szCs w:val="20"/>
              </w:rPr>
              <w:t>7 577</w:t>
            </w:r>
          </w:p>
        </w:tc>
        <w:tc>
          <w:tcPr>
            <w:tcW w:w="992" w:type="dxa"/>
            <w:vAlign w:val="center"/>
            <w:hideMark/>
          </w:tcPr>
          <w:p w:rsidR="005826C7" w:rsidRPr="004761E0" w:rsidRDefault="005826C7" w:rsidP="005826C7">
            <w:pPr>
              <w:ind w:firstLine="34"/>
              <w:jc w:val="right"/>
              <w:rPr>
                <w:color w:val="000000"/>
                <w:sz w:val="20"/>
                <w:szCs w:val="20"/>
              </w:rPr>
            </w:pPr>
            <w:r w:rsidRPr="004761E0">
              <w:rPr>
                <w:color w:val="000000"/>
                <w:sz w:val="20"/>
                <w:szCs w:val="20"/>
              </w:rPr>
              <w:t>0</w:t>
            </w:r>
          </w:p>
        </w:tc>
      </w:tr>
      <w:tr w:rsidR="005826C7" w:rsidRPr="004761E0" w:rsidTr="005826C7">
        <w:trPr>
          <w:cantSplit/>
        </w:trPr>
        <w:tc>
          <w:tcPr>
            <w:tcW w:w="534" w:type="dxa"/>
            <w:noWrap/>
            <w:hideMark/>
          </w:tcPr>
          <w:p w:rsidR="005826C7" w:rsidRPr="004761E0" w:rsidRDefault="005826C7" w:rsidP="007076A7">
            <w:pPr>
              <w:pStyle w:val="a5"/>
              <w:numPr>
                <w:ilvl w:val="1"/>
                <w:numId w:val="51"/>
              </w:numPr>
              <w:ind w:left="0" w:right="-140" w:firstLine="0"/>
              <w:jc w:val="left"/>
              <w:rPr>
                <w:rFonts w:eastAsia="Times New Roman"/>
                <w:b/>
                <w:bCs/>
                <w:color w:val="000000"/>
                <w:sz w:val="20"/>
                <w:szCs w:val="20"/>
                <w:lang w:eastAsia="ru-RU"/>
              </w:rPr>
            </w:pPr>
          </w:p>
        </w:tc>
        <w:tc>
          <w:tcPr>
            <w:tcW w:w="3685" w:type="dxa"/>
            <w:hideMark/>
          </w:tcPr>
          <w:p w:rsidR="005826C7" w:rsidRPr="004761E0" w:rsidRDefault="005826C7" w:rsidP="006C365D">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Под ВЛ 220 кВ и выше</w:t>
            </w:r>
          </w:p>
        </w:tc>
        <w:tc>
          <w:tcPr>
            <w:tcW w:w="1276" w:type="dxa"/>
            <w:vAlign w:val="center"/>
            <w:hideMark/>
          </w:tcPr>
          <w:p w:rsidR="005826C7" w:rsidRPr="004761E0" w:rsidRDefault="005826C7" w:rsidP="005826C7">
            <w:pPr>
              <w:ind w:firstLine="34"/>
              <w:jc w:val="right"/>
              <w:rPr>
                <w:b/>
                <w:bCs/>
                <w:color w:val="000000"/>
                <w:sz w:val="20"/>
                <w:szCs w:val="20"/>
              </w:rPr>
            </w:pPr>
            <w:r w:rsidRPr="004761E0">
              <w:rPr>
                <w:b/>
                <w:bCs/>
                <w:color w:val="000000"/>
                <w:sz w:val="20"/>
                <w:szCs w:val="20"/>
              </w:rPr>
              <w:t>352</w:t>
            </w:r>
          </w:p>
        </w:tc>
        <w:tc>
          <w:tcPr>
            <w:tcW w:w="1276" w:type="dxa"/>
            <w:vAlign w:val="center"/>
            <w:hideMark/>
          </w:tcPr>
          <w:p w:rsidR="005826C7" w:rsidRPr="004761E0" w:rsidRDefault="005826C7" w:rsidP="005826C7">
            <w:pPr>
              <w:ind w:firstLine="34"/>
              <w:jc w:val="right"/>
              <w:rPr>
                <w:b/>
                <w:bCs/>
                <w:color w:val="000000"/>
                <w:sz w:val="20"/>
                <w:szCs w:val="20"/>
              </w:rPr>
            </w:pPr>
            <w:r w:rsidRPr="004761E0">
              <w:rPr>
                <w:b/>
                <w:bCs/>
                <w:color w:val="000000"/>
                <w:sz w:val="20"/>
                <w:szCs w:val="20"/>
              </w:rPr>
              <w:t>0</w:t>
            </w:r>
          </w:p>
        </w:tc>
        <w:tc>
          <w:tcPr>
            <w:tcW w:w="1417" w:type="dxa"/>
            <w:vAlign w:val="center"/>
            <w:hideMark/>
          </w:tcPr>
          <w:p w:rsidR="005826C7" w:rsidRPr="004761E0" w:rsidRDefault="005826C7" w:rsidP="005826C7">
            <w:pPr>
              <w:ind w:firstLine="34"/>
              <w:jc w:val="right"/>
              <w:rPr>
                <w:b/>
                <w:bCs/>
                <w:color w:val="000000"/>
                <w:sz w:val="20"/>
                <w:szCs w:val="20"/>
              </w:rPr>
            </w:pPr>
            <w:r w:rsidRPr="004761E0">
              <w:rPr>
                <w:b/>
                <w:bCs/>
                <w:color w:val="000000"/>
                <w:sz w:val="20"/>
                <w:szCs w:val="20"/>
              </w:rPr>
              <w:t>267</w:t>
            </w:r>
          </w:p>
        </w:tc>
        <w:tc>
          <w:tcPr>
            <w:tcW w:w="1701" w:type="dxa"/>
            <w:vAlign w:val="center"/>
            <w:hideMark/>
          </w:tcPr>
          <w:p w:rsidR="005826C7" w:rsidRPr="004761E0" w:rsidRDefault="005826C7" w:rsidP="005826C7">
            <w:pPr>
              <w:ind w:firstLine="34"/>
              <w:jc w:val="right"/>
              <w:rPr>
                <w:b/>
                <w:bCs/>
                <w:color w:val="000000"/>
                <w:sz w:val="20"/>
                <w:szCs w:val="20"/>
              </w:rPr>
            </w:pPr>
            <w:r w:rsidRPr="004761E0">
              <w:rPr>
                <w:b/>
                <w:bCs/>
                <w:color w:val="000000"/>
                <w:sz w:val="20"/>
                <w:szCs w:val="20"/>
              </w:rPr>
              <w:t>5</w:t>
            </w:r>
          </w:p>
        </w:tc>
        <w:tc>
          <w:tcPr>
            <w:tcW w:w="1276" w:type="dxa"/>
            <w:vAlign w:val="center"/>
            <w:hideMark/>
          </w:tcPr>
          <w:p w:rsidR="005826C7" w:rsidRPr="004761E0" w:rsidRDefault="005826C7" w:rsidP="005826C7">
            <w:pPr>
              <w:ind w:firstLine="34"/>
              <w:jc w:val="right"/>
              <w:rPr>
                <w:b/>
                <w:bCs/>
                <w:color w:val="000000"/>
                <w:sz w:val="20"/>
                <w:szCs w:val="20"/>
              </w:rPr>
            </w:pPr>
            <w:r w:rsidRPr="004761E0">
              <w:rPr>
                <w:b/>
                <w:bCs/>
                <w:color w:val="000000"/>
                <w:sz w:val="20"/>
                <w:szCs w:val="20"/>
              </w:rPr>
              <w:t>80</w:t>
            </w:r>
          </w:p>
        </w:tc>
        <w:tc>
          <w:tcPr>
            <w:tcW w:w="1701" w:type="dxa"/>
            <w:noWrap/>
            <w:vAlign w:val="center"/>
            <w:hideMark/>
          </w:tcPr>
          <w:p w:rsidR="005826C7" w:rsidRPr="004761E0" w:rsidRDefault="005826C7" w:rsidP="005826C7">
            <w:pPr>
              <w:ind w:firstLine="34"/>
              <w:jc w:val="right"/>
              <w:rPr>
                <w:b/>
                <w:bCs/>
                <w:sz w:val="20"/>
                <w:szCs w:val="20"/>
              </w:rPr>
            </w:pPr>
            <w:r w:rsidRPr="004761E0">
              <w:rPr>
                <w:b/>
                <w:bCs/>
                <w:sz w:val="20"/>
                <w:szCs w:val="20"/>
              </w:rPr>
              <w:t>284</w:t>
            </w:r>
          </w:p>
        </w:tc>
        <w:tc>
          <w:tcPr>
            <w:tcW w:w="1276" w:type="dxa"/>
            <w:vAlign w:val="center"/>
            <w:hideMark/>
          </w:tcPr>
          <w:p w:rsidR="005826C7" w:rsidRPr="004761E0" w:rsidRDefault="005826C7" w:rsidP="005826C7">
            <w:pPr>
              <w:ind w:firstLine="34"/>
              <w:jc w:val="right"/>
              <w:rPr>
                <w:b/>
                <w:bCs/>
                <w:color w:val="000000"/>
                <w:sz w:val="20"/>
                <w:szCs w:val="20"/>
              </w:rPr>
            </w:pPr>
            <w:r w:rsidRPr="004761E0">
              <w:rPr>
                <w:b/>
                <w:bCs/>
                <w:color w:val="000000"/>
                <w:sz w:val="20"/>
                <w:szCs w:val="20"/>
              </w:rPr>
              <w:t>267</w:t>
            </w:r>
          </w:p>
        </w:tc>
        <w:tc>
          <w:tcPr>
            <w:tcW w:w="992" w:type="dxa"/>
            <w:vAlign w:val="center"/>
            <w:hideMark/>
          </w:tcPr>
          <w:p w:rsidR="005826C7" w:rsidRPr="004761E0" w:rsidRDefault="005826C7" w:rsidP="005826C7">
            <w:pPr>
              <w:ind w:firstLine="34"/>
              <w:jc w:val="right"/>
              <w:rPr>
                <w:b/>
                <w:bCs/>
                <w:color w:val="000000"/>
                <w:sz w:val="20"/>
                <w:szCs w:val="20"/>
              </w:rPr>
            </w:pPr>
            <w:r w:rsidRPr="004761E0">
              <w:rPr>
                <w:b/>
                <w:bCs/>
                <w:color w:val="000000"/>
                <w:sz w:val="20"/>
                <w:szCs w:val="20"/>
              </w:rPr>
              <w:t>133</w:t>
            </w:r>
          </w:p>
        </w:tc>
      </w:tr>
      <w:tr w:rsidR="005826C7" w:rsidRPr="004761E0" w:rsidTr="005826C7">
        <w:trPr>
          <w:cantSplit/>
        </w:trPr>
        <w:tc>
          <w:tcPr>
            <w:tcW w:w="534" w:type="dxa"/>
            <w:noWrap/>
            <w:hideMark/>
          </w:tcPr>
          <w:p w:rsidR="005826C7" w:rsidRPr="004761E0" w:rsidRDefault="005826C7" w:rsidP="007076A7">
            <w:pPr>
              <w:pStyle w:val="a5"/>
              <w:numPr>
                <w:ilvl w:val="1"/>
                <w:numId w:val="51"/>
              </w:numPr>
              <w:ind w:left="0" w:right="-140" w:firstLine="0"/>
              <w:jc w:val="left"/>
              <w:rPr>
                <w:rFonts w:eastAsia="Times New Roman"/>
                <w:b/>
                <w:bCs/>
                <w:color w:val="000000"/>
                <w:sz w:val="20"/>
                <w:szCs w:val="20"/>
                <w:lang w:eastAsia="ru-RU"/>
              </w:rPr>
            </w:pPr>
          </w:p>
        </w:tc>
        <w:tc>
          <w:tcPr>
            <w:tcW w:w="3685" w:type="dxa"/>
            <w:hideMark/>
          </w:tcPr>
          <w:p w:rsidR="005826C7" w:rsidRPr="004761E0" w:rsidRDefault="005826C7" w:rsidP="006C365D">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Под ВЛ 110 кВ и ниже (всего), в т.ч.:</w:t>
            </w:r>
          </w:p>
        </w:tc>
        <w:tc>
          <w:tcPr>
            <w:tcW w:w="1276" w:type="dxa"/>
            <w:vAlign w:val="center"/>
            <w:hideMark/>
          </w:tcPr>
          <w:p w:rsidR="005826C7" w:rsidRPr="004761E0" w:rsidRDefault="005826C7" w:rsidP="005826C7">
            <w:pPr>
              <w:ind w:firstLine="34"/>
              <w:jc w:val="right"/>
              <w:rPr>
                <w:b/>
                <w:bCs/>
                <w:color w:val="000000"/>
                <w:sz w:val="20"/>
                <w:szCs w:val="20"/>
              </w:rPr>
            </w:pPr>
            <w:r w:rsidRPr="004761E0">
              <w:rPr>
                <w:b/>
                <w:bCs/>
                <w:color w:val="000000"/>
                <w:sz w:val="20"/>
                <w:szCs w:val="20"/>
              </w:rPr>
              <w:t>14 821</w:t>
            </w:r>
          </w:p>
        </w:tc>
        <w:tc>
          <w:tcPr>
            <w:tcW w:w="1276" w:type="dxa"/>
            <w:vAlign w:val="center"/>
            <w:hideMark/>
          </w:tcPr>
          <w:p w:rsidR="005826C7" w:rsidRPr="004761E0" w:rsidRDefault="005826C7" w:rsidP="005826C7">
            <w:pPr>
              <w:ind w:firstLine="34"/>
              <w:jc w:val="right"/>
              <w:rPr>
                <w:b/>
                <w:bCs/>
                <w:color w:val="000000"/>
                <w:sz w:val="20"/>
                <w:szCs w:val="20"/>
              </w:rPr>
            </w:pPr>
            <w:r w:rsidRPr="004761E0">
              <w:rPr>
                <w:b/>
                <w:bCs/>
                <w:color w:val="000000"/>
                <w:sz w:val="20"/>
                <w:szCs w:val="20"/>
              </w:rPr>
              <w:t>4</w:t>
            </w:r>
          </w:p>
        </w:tc>
        <w:tc>
          <w:tcPr>
            <w:tcW w:w="1417" w:type="dxa"/>
            <w:vAlign w:val="center"/>
            <w:hideMark/>
          </w:tcPr>
          <w:p w:rsidR="005826C7" w:rsidRPr="004761E0" w:rsidRDefault="005826C7" w:rsidP="005826C7">
            <w:pPr>
              <w:ind w:firstLine="34"/>
              <w:jc w:val="right"/>
              <w:rPr>
                <w:b/>
                <w:bCs/>
                <w:color w:val="000000"/>
                <w:sz w:val="20"/>
                <w:szCs w:val="20"/>
              </w:rPr>
            </w:pPr>
            <w:r w:rsidRPr="004761E0">
              <w:rPr>
                <w:b/>
                <w:bCs/>
                <w:color w:val="000000"/>
                <w:sz w:val="20"/>
                <w:szCs w:val="20"/>
              </w:rPr>
              <w:t>8 586</w:t>
            </w:r>
          </w:p>
        </w:tc>
        <w:tc>
          <w:tcPr>
            <w:tcW w:w="1701" w:type="dxa"/>
            <w:vAlign w:val="center"/>
            <w:hideMark/>
          </w:tcPr>
          <w:p w:rsidR="005826C7" w:rsidRPr="004761E0" w:rsidRDefault="005826C7" w:rsidP="005826C7">
            <w:pPr>
              <w:ind w:firstLine="34"/>
              <w:jc w:val="right"/>
              <w:rPr>
                <w:b/>
                <w:bCs/>
                <w:color w:val="000000"/>
                <w:sz w:val="20"/>
                <w:szCs w:val="20"/>
              </w:rPr>
            </w:pPr>
            <w:r w:rsidRPr="004761E0">
              <w:rPr>
                <w:b/>
                <w:bCs/>
                <w:color w:val="000000"/>
                <w:sz w:val="20"/>
                <w:szCs w:val="20"/>
              </w:rPr>
              <w:t>722</w:t>
            </w:r>
          </w:p>
        </w:tc>
        <w:tc>
          <w:tcPr>
            <w:tcW w:w="1276" w:type="dxa"/>
            <w:vAlign w:val="center"/>
            <w:hideMark/>
          </w:tcPr>
          <w:p w:rsidR="005826C7" w:rsidRPr="004761E0" w:rsidRDefault="005826C7" w:rsidP="005826C7">
            <w:pPr>
              <w:ind w:firstLine="34"/>
              <w:jc w:val="right"/>
              <w:rPr>
                <w:b/>
                <w:bCs/>
                <w:color w:val="000000"/>
                <w:sz w:val="20"/>
                <w:szCs w:val="20"/>
              </w:rPr>
            </w:pPr>
            <w:r w:rsidRPr="004761E0">
              <w:rPr>
                <w:b/>
                <w:bCs/>
                <w:color w:val="000000"/>
                <w:sz w:val="20"/>
                <w:szCs w:val="20"/>
              </w:rPr>
              <w:t>5 509</w:t>
            </w:r>
          </w:p>
        </w:tc>
        <w:tc>
          <w:tcPr>
            <w:tcW w:w="1701" w:type="dxa"/>
            <w:vAlign w:val="center"/>
            <w:hideMark/>
          </w:tcPr>
          <w:p w:rsidR="005826C7" w:rsidRPr="004761E0" w:rsidRDefault="005826C7" w:rsidP="005826C7">
            <w:pPr>
              <w:ind w:firstLine="34"/>
              <w:jc w:val="right"/>
              <w:rPr>
                <w:b/>
                <w:bCs/>
                <w:color w:val="000000"/>
                <w:sz w:val="20"/>
                <w:szCs w:val="20"/>
              </w:rPr>
            </w:pPr>
            <w:r w:rsidRPr="004761E0">
              <w:rPr>
                <w:b/>
                <w:bCs/>
                <w:color w:val="000000"/>
                <w:sz w:val="20"/>
                <w:szCs w:val="20"/>
              </w:rPr>
              <w:t>14 370</w:t>
            </w:r>
          </w:p>
        </w:tc>
        <w:tc>
          <w:tcPr>
            <w:tcW w:w="1276" w:type="dxa"/>
            <w:vAlign w:val="center"/>
            <w:hideMark/>
          </w:tcPr>
          <w:p w:rsidR="005826C7" w:rsidRPr="004761E0" w:rsidRDefault="005826C7" w:rsidP="005826C7">
            <w:pPr>
              <w:ind w:firstLine="34"/>
              <w:jc w:val="right"/>
              <w:rPr>
                <w:b/>
                <w:bCs/>
                <w:color w:val="000000"/>
                <w:sz w:val="20"/>
                <w:szCs w:val="20"/>
              </w:rPr>
            </w:pPr>
            <w:r w:rsidRPr="004761E0">
              <w:rPr>
                <w:b/>
                <w:bCs/>
                <w:color w:val="000000"/>
                <w:sz w:val="20"/>
                <w:szCs w:val="20"/>
              </w:rPr>
              <w:t>8 590</w:t>
            </w:r>
          </w:p>
        </w:tc>
        <w:tc>
          <w:tcPr>
            <w:tcW w:w="992" w:type="dxa"/>
            <w:vAlign w:val="center"/>
            <w:hideMark/>
          </w:tcPr>
          <w:p w:rsidR="005826C7" w:rsidRPr="004761E0" w:rsidRDefault="005826C7" w:rsidP="005826C7">
            <w:pPr>
              <w:ind w:firstLine="34"/>
              <w:jc w:val="right"/>
              <w:rPr>
                <w:b/>
                <w:bCs/>
                <w:color w:val="000000"/>
                <w:sz w:val="20"/>
                <w:szCs w:val="20"/>
              </w:rPr>
            </w:pPr>
            <w:r w:rsidRPr="004761E0">
              <w:rPr>
                <w:b/>
                <w:bCs/>
                <w:color w:val="000000"/>
                <w:sz w:val="20"/>
                <w:szCs w:val="20"/>
              </w:rPr>
              <w:t>1 372</w:t>
            </w:r>
          </w:p>
        </w:tc>
      </w:tr>
      <w:tr w:rsidR="005826C7" w:rsidRPr="004761E0" w:rsidTr="005826C7">
        <w:trPr>
          <w:cantSplit/>
        </w:trPr>
        <w:tc>
          <w:tcPr>
            <w:tcW w:w="534" w:type="dxa"/>
            <w:noWrap/>
            <w:hideMark/>
          </w:tcPr>
          <w:p w:rsidR="005826C7" w:rsidRPr="004761E0" w:rsidRDefault="005826C7" w:rsidP="007076A7">
            <w:pPr>
              <w:pStyle w:val="a5"/>
              <w:numPr>
                <w:ilvl w:val="1"/>
                <w:numId w:val="110"/>
              </w:numPr>
              <w:jc w:val="left"/>
              <w:rPr>
                <w:rFonts w:eastAsia="Times New Roman"/>
                <w:color w:val="000000"/>
                <w:sz w:val="20"/>
                <w:szCs w:val="20"/>
                <w:lang w:eastAsia="ru-RU"/>
              </w:rPr>
            </w:pPr>
          </w:p>
        </w:tc>
        <w:tc>
          <w:tcPr>
            <w:tcW w:w="3685" w:type="dxa"/>
            <w:hideMark/>
          </w:tcPr>
          <w:p w:rsidR="005826C7" w:rsidRPr="004761E0" w:rsidRDefault="005826C7" w:rsidP="006C365D">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под ВЛ 110 кВ</w:t>
            </w:r>
          </w:p>
        </w:tc>
        <w:tc>
          <w:tcPr>
            <w:tcW w:w="1276" w:type="dxa"/>
            <w:vAlign w:val="center"/>
            <w:hideMark/>
          </w:tcPr>
          <w:p w:rsidR="005826C7" w:rsidRPr="004761E0" w:rsidRDefault="005826C7" w:rsidP="005826C7">
            <w:pPr>
              <w:ind w:firstLine="34"/>
              <w:jc w:val="right"/>
              <w:rPr>
                <w:sz w:val="20"/>
                <w:szCs w:val="20"/>
              </w:rPr>
            </w:pPr>
            <w:r w:rsidRPr="004761E0">
              <w:rPr>
                <w:sz w:val="20"/>
                <w:szCs w:val="20"/>
              </w:rPr>
              <w:t>8 526</w:t>
            </w:r>
          </w:p>
        </w:tc>
        <w:tc>
          <w:tcPr>
            <w:tcW w:w="1276" w:type="dxa"/>
            <w:vAlign w:val="center"/>
            <w:hideMark/>
          </w:tcPr>
          <w:p w:rsidR="005826C7" w:rsidRPr="004761E0" w:rsidRDefault="005826C7" w:rsidP="005826C7">
            <w:pPr>
              <w:ind w:firstLine="34"/>
              <w:jc w:val="right"/>
              <w:rPr>
                <w:sz w:val="20"/>
                <w:szCs w:val="20"/>
              </w:rPr>
            </w:pPr>
            <w:r w:rsidRPr="004761E0">
              <w:rPr>
                <w:sz w:val="20"/>
                <w:szCs w:val="20"/>
              </w:rPr>
              <w:t>4</w:t>
            </w:r>
          </w:p>
        </w:tc>
        <w:tc>
          <w:tcPr>
            <w:tcW w:w="1417" w:type="dxa"/>
            <w:vAlign w:val="center"/>
            <w:hideMark/>
          </w:tcPr>
          <w:p w:rsidR="005826C7" w:rsidRPr="004761E0" w:rsidRDefault="005826C7" w:rsidP="005826C7">
            <w:pPr>
              <w:ind w:firstLine="34"/>
              <w:jc w:val="right"/>
              <w:rPr>
                <w:sz w:val="20"/>
                <w:szCs w:val="20"/>
              </w:rPr>
            </w:pPr>
            <w:r w:rsidRPr="004761E0">
              <w:rPr>
                <w:sz w:val="20"/>
                <w:szCs w:val="20"/>
              </w:rPr>
              <w:t>4 492</w:t>
            </w:r>
          </w:p>
        </w:tc>
        <w:tc>
          <w:tcPr>
            <w:tcW w:w="1701" w:type="dxa"/>
            <w:vAlign w:val="center"/>
            <w:hideMark/>
          </w:tcPr>
          <w:p w:rsidR="005826C7" w:rsidRPr="004761E0" w:rsidRDefault="005826C7" w:rsidP="005826C7">
            <w:pPr>
              <w:ind w:firstLine="34"/>
              <w:jc w:val="right"/>
              <w:rPr>
                <w:sz w:val="20"/>
                <w:szCs w:val="20"/>
              </w:rPr>
            </w:pPr>
            <w:r w:rsidRPr="004761E0">
              <w:rPr>
                <w:sz w:val="20"/>
                <w:szCs w:val="20"/>
              </w:rPr>
              <w:t>509</w:t>
            </w:r>
          </w:p>
        </w:tc>
        <w:tc>
          <w:tcPr>
            <w:tcW w:w="1276" w:type="dxa"/>
            <w:vAlign w:val="center"/>
            <w:hideMark/>
          </w:tcPr>
          <w:p w:rsidR="005826C7" w:rsidRPr="004761E0" w:rsidRDefault="005826C7" w:rsidP="005826C7">
            <w:pPr>
              <w:ind w:firstLine="34"/>
              <w:jc w:val="right"/>
              <w:rPr>
                <w:sz w:val="20"/>
                <w:szCs w:val="20"/>
              </w:rPr>
            </w:pPr>
            <w:r w:rsidRPr="004761E0">
              <w:rPr>
                <w:sz w:val="20"/>
                <w:szCs w:val="20"/>
              </w:rPr>
              <w:t>3 521</w:t>
            </w:r>
          </w:p>
        </w:tc>
        <w:tc>
          <w:tcPr>
            <w:tcW w:w="1701" w:type="dxa"/>
            <w:vAlign w:val="center"/>
            <w:hideMark/>
          </w:tcPr>
          <w:p w:rsidR="005826C7" w:rsidRPr="004761E0" w:rsidRDefault="005826C7" w:rsidP="005826C7">
            <w:pPr>
              <w:ind w:firstLine="34"/>
              <w:jc w:val="right"/>
              <w:rPr>
                <w:sz w:val="20"/>
                <w:szCs w:val="20"/>
              </w:rPr>
            </w:pPr>
            <w:r w:rsidRPr="004761E0">
              <w:rPr>
                <w:sz w:val="20"/>
                <w:szCs w:val="20"/>
              </w:rPr>
              <w:t>8 316</w:t>
            </w:r>
          </w:p>
        </w:tc>
        <w:tc>
          <w:tcPr>
            <w:tcW w:w="1276" w:type="dxa"/>
            <w:vAlign w:val="center"/>
            <w:hideMark/>
          </w:tcPr>
          <w:p w:rsidR="005826C7" w:rsidRPr="004761E0" w:rsidRDefault="005826C7" w:rsidP="005826C7">
            <w:pPr>
              <w:ind w:firstLine="34"/>
              <w:jc w:val="right"/>
              <w:rPr>
                <w:sz w:val="20"/>
                <w:szCs w:val="20"/>
              </w:rPr>
            </w:pPr>
            <w:r w:rsidRPr="004761E0">
              <w:rPr>
                <w:sz w:val="20"/>
                <w:szCs w:val="20"/>
              </w:rPr>
              <w:t>4 496</w:t>
            </w:r>
          </w:p>
        </w:tc>
        <w:tc>
          <w:tcPr>
            <w:tcW w:w="992" w:type="dxa"/>
            <w:vAlign w:val="center"/>
            <w:hideMark/>
          </w:tcPr>
          <w:p w:rsidR="005826C7" w:rsidRPr="004761E0" w:rsidRDefault="005826C7" w:rsidP="005826C7">
            <w:pPr>
              <w:ind w:firstLine="34"/>
              <w:jc w:val="right"/>
              <w:rPr>
                <w:color w:val="000000"/>
                <w:sz w:val="20"/>
                <w:szCs w:val="20"/>
              </w:rPr>
            </w:pPr>
            <w:r w:rsidRPr="004761E0">
              <w:rPr>
                <w:color w:val="000000"/>
                <w:sz w:val="20"/>
                <w:szCs w:val="20"/>
              </w:rPr>
              <w:t>706</w:t>
            </w:r>
          </w:p>
        </w:tc>
      </w:tr>
      <w:tr w:rsidR="005826C7" w:rsidRPr="004761E0" w:rsidTr="005826C7">
        <w:trPr>
          <w:cantSplit/>
        </w:trPr>
        <w:tc>
          <w:tcPr>
            <w:tcW w:w="534" w:type="dxa"/>
            <w:noWrap/>
            <w:hideMark/>
          </w:tcPr>
          <w:p w:rsidR="005826C7" w:rsidRPr="004761E0" w:rsidRDefault="005826C7" w:rsidP="007076A7">
            <w:pPr>
              <w:pStyle w:val="a5"/>
              <w:numPr>
                <w:ilvl w:val="1"/>
                <w:numId w:val="110"/>
              </w:numPr>
              <w:jc w:val="left"/>
              <w:rPr>
                <w:rFonts w:eastAsia="Times New Roman"/>
                <w:color w:val="000000"/>
                <w:sz w:val="20"/>
                <w:szCs w:val="20"/>
                <w:lang w:eastAsia="ru-RU"/>
              </w:rPr>
            </w:pPr>
          </w:p>
        </w:tc>
        <w:tc>
          <w:tcPr>
            <w:tcW w:w="3685" w:type="dxa"/>
            <w:hideMark/>
          </w:tcPr>
          <w:p w:rsidR="005826C7" w:rsidRPr="004761E0" w:rsidRDefault="005826C7" w:rsidP="006C365D">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под ВЛ 35 кВ</w:t>
            </w:r>
          </w:p>
        </w:tc>
        <w:tc>
          <w:tcPr>
            <w:tcW w:w="1276" w:type="dxa"/>
            <w:vAlign w:val="center"/>
            <w:hideMark/>
          </w:tcPr>
          <w:p w:rsidR="005826C7" w:rsidRPr="004761E0" w:rsidRDefault="005826C7" w:rsidP="005826C7">
            <w:pPr>
              <w:ind w:firstLine="34"/>
              <w:jc w:val="right"/>
              <w:rPr>
                <w:sz w:val="20"/>
                <w:szCs w:val="20"/>
              </w:rPr>
            </w:pPr>
            <w:r w:rsidRPr="004761E0">
              <w:rPr>
                <w:sz w:val="20"/>
                <w:szCs w:val="20"/>
              </w:rPr>
              <w:t>5 790</w:t>
            </w:r>
          </w:p>
        </w:tc>
        <w:tc>
          <w:tcPr>
            <w:tcW w:w="1276" w:type="dxa"/>
            <w:noWrap/>
            <w:vAlign w:val="center"/>
            <w:hideMark/>
          </w:tcPr>
          <w:p w:rsidR="005826C7" w:rsidRPr="004761E0" w:rsidRDefault="005826C7" w:rsidP="005826C7">
            <w:pPr>
              <w:ind w:firstLine="34"/>
              <w:jc w:val="right"/>
              <w:rPr>
                <w:sz w:val="20"/>
                <w:szCs w:val="20"/>
              </w:rPr>
            </w:pPr>
            <w:r w:rsidRPr="004761E0">
              <w:rPr>
                <w:sz w:val="20"/>
                <w:szCs w:val="20"/>
              </w:rPr>
              <w:t>0</w:t>
            </w:r>
          </w:p>
        </w:tc>
        <w:tc>
          <w:tcPr>
            <w:tcW w:w="1417" w:type="dxa"/>
            <w:noWrap/>
            <w:vAlign w:val="center"/>
            <w:hideMark/>
          </w:tcPr>
          <w:p w:rsidR="005826C7" w:rsidRPr="004761E0" w:rsidRDefault="005826C7" w:rsidP="005826C7">
            <w:pPr>
              <w:ind w:firstLine="34"/>
              <w:jc w:val="right"/>
              <w:rPr>
                <w:sz w:val="20"/>
                <w:szCs w:val="20"/>
              </w:rPr>
            </w:pPr>
            <w:r w:rsidRPr="004761E0">
              <w:rPr>
                <w:sz w:val="20"/>
                <w:szCs w:val="20"/>
              </w:rPr>
              <w:t>3 706</w:t>
            </w:r>
          </w:p>
        </w:tc>
        <w:tc>
          <w:tcPr>
            <w:tcW w:w="1701" w:type="dxa"/>
            <w:noWrap/>
            <w:vAlign w:val="center"/>
            <w:hideMark/>
          </w:tcPr>
          <w:p w:rsidR="005826C7" w:rsidRPr="004761E0" w:rsidRDefault="005826C7" w:rsidP="005826C7">
            <w:pPr>
              <w:ind w:firstLine="34"/>
              <w:jc w:val="right"/>
              <w:rPr>
                <w:sz w:val="20"/>
                <w:szCs w:val="20"/>
              </w:rPr>
            </w:pPr>
            <w:r w:rsidRPr="004761E0">
              <w:rPr>
                <w:sz w:val="20"/>
                <w:szCs w:val="20"/>
              </w:rPr>
              <w:t>185</w:t>
            </w:r>
          </w:p>
        </w:tc>
        <w:tc>
          <w:tcPr>
            <w:tcW w:w="1276" w:type="dxa"/>
            <w:noWrap/>
            <w:vAlign w:val="center"/>
            <w:hideMark/>
          </w:tcPr>
          <w:p w:rsidR="005826C7" w:rsidRPr="004761E0" w:rsidRDefault="005826C7" w:rsidP="005826C7">
            <w:pPr>
              <w:ind w:firstLine="34"/>
              <w:jc w:val="right"/>
              <w:rPr>
                <w:sz w:val="20"/>
                <w:szCs w:val="20"/>
              </w:rPr>
            </w:pPr>
            <w:r w:rsidRPr="004761E0">
              <w:rPr>
                <w:sz w:val="20"/>
                <w:szCs w:val="20"/>
              </w:rPr>
              <w:t>1 899</w:t>
            </w:r>
          </w:p>
        </w:tc>
        <w:tc>
          <w:tcPr>
            <w:tcW w:w="1701" w:type="dxa"/>
            <w:noWrap/>
            <w:vAlign w:val="center"/>
            <w:hideMark/>
          </w:tcPr>
          <w:p w:rsidR="005826C7" w:rsidRPr="004761E0" w:rsidRDefault="005826C7" w:rsidP="005826C7">
            <w:pPr>
              <w:ind w:firstLine="34"/>
              <w:jc w:val="right"/>
              <w:rPr>
                <w:sz w:val="20"/>
                <w:szCs w:val="20"/>
              </w:rPr>
            </w:pPr>
            <w:r w:rsidRPr="004761E0">
              <w:rPr>
                <w:sz w:val="20"/>
                <w:szCs w:val="20"/>
              </w:rPr>
              <w:t>5 676</w:t>
            </w:r>
          </w:p>
        </w:tc>
        <w:tc>
          <w:tcPr>
            <w:tcW w:w="1276" w:type="dxa"/>
            <w:noWrap/>
            <w:vAlign w:val="center"/>
            <w:hideMark/>
          </w:tcPr>
          <w:p w:rsidR="005826C7" w:rsidRPr="004761E0" w:rsidRDefault="005826C7" w:rsidP="005826C7">
            <w:pPr>
              <w:ind w:firstLine="34"/>
              <w:jc w:val="right"/>
              <w:rPr>
                <w:sz w:val="20"/>
                <w:szCs w:val="20"/>
              </w:rPr>
            </w:pPr>
            <w:r w:rsidRPr="004761E0">
              <w:rPr>
                <w:sz w:val="20"/>
                <w:szCs w:val="20"/>
              </w:rPr>
              <w:t>3 706</w:t>
            </w:r>
          </w:p>
        </w:tc>
        <w:tc>
          <w:tcPr>
            <w:tcW w:w="992" w:type="dxa"/>
            <w:vAlign w:val="center"/>
            <w:hideMark/>
          </w:tcPr>
          <w:p w:rsidR="005826C7" w:rsidRPr="004761E0" w:rsidRDefault="005826C7" w:rsidP="005826C7">
            <w:pPr>
              <w:ind w:firstLine="34"/>
              <w:jc w:val="right"/>
              <w:rPr>
                <w:color w:val="000000"/>
                <w:sz w:val="20"/>
                <w:szCs w:val="20"/>
              </w:rPr>
            </w:pPr>
            <w:r w:rsidRPr="004761E0">
              <w:rPr>
                <w:color w:val="000000"/>
                <w:sz w:val="20"/>
                <w:szCs w:val="20"/>
              </w:rPr>
              <w:t>366</w:t>
            </w:r>
          </w:p>
        </w:tc>
      </w:tr>
      <w:tr w:rsidR="005826C7" w:rsidRPr="004761E0" w:rsidTr="005826C7">
        <w:trPr>
          <w:cantSplit/>
        </w:trPr>
        <w:tc>
          <w:tcPr>
            <w:tcW w:w="534" w:type="dxa"/>
            <w:noWrap/>
            <w:hideMark/>
          </w:tcPr>
          <w:p w:rsidR="005826C7" w:rsidRPr="004761E0" w:rsidRDefault="005826C7" w:rsidP="007076A7">
            <w:pPr>
              <w:pStyle w:val="a5"/>
              <w:numPr>
                <w:ilvl w:val="1"/>
                <w:numId w:val="110"/>
              </w:numPr>
              <w:jc w:val="left"/>
              <w:rPr>
                <w:rFonts w:eastAsia="Times New Roman"/>
                <w:color w:val="000000"/>
                <w:sz w:val="20"/>
                <w:szCs w:val="20"/>
                <w:lang w:eastAsia="ru-RU"/>
              </w:rPr>
            </w:pPr>
          </w:p>
        </w:tc>
        <w:tc>
          <w:tcPr>
            <w:tcW w:w="3685" w:type="dxa"/>
            <w:hideMark/>
          </w:tcPr>
          <w:p w:rsidR="005826C7" w:rsidRPr="004761E0" w:rsidRDefault="005826C7" w:rsidP="006C365D">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 xml:space="preserve">под ВЛ 0,4/6/10 кВ </w:t>
            </w:r>
          </w:p>
        </w:tc>
        <w:tc>
          <w:tcPr>
            <w:tcW w:w="1276" w:type="dxa"/>
            <w:vAlign w:val="center"/>
            <w:hideMark/>
          </w:tcPr>
          <w:p w:rsidR="005826C7" w:rsidRPr="004761E0" w:rsidRDefault="005826C7" w:rsidP="005826C7">
            <w:pPr>
              <w:ind w:firstLine="34"/>
              <w:jc w:val="right"/>
              <w:rPr>
                <w:sz w:val="20"/>
                <w:szCs w:val="20"/>
              </w:rPr>
            </w:pPr>
            <w:r w:rsidRPr="004761E0">
              <w:rPr>
                <w:sz w:val="20"/>
                <w:szCs w:val="20"/>
              </w:rPr>
              <w:t>505</w:t>
            </w:r>
          </w:p>
        </w:tc>
        <w:tc>
          <w:tcPr>
            <w:tcW w:w="1276" w:type="dxa"/>
            <w:noWrap/>
            <w:vAlign w:val="center"/>
            <w:hideMark/>
          </w:tcPr>
          <w:p w:rsidR="005826C7" w:rsidRPr="004761E0" w:rsidRDefault="005826C7" w:rsidP="005826C7">
            <w:pPr>
              <w:ind w:firstLine="34"/>
              <w:jc w:val="right"/>
              <w:rPr>
                <w:sz w:val="20"/>
                <w:szCs w:val="20"/>
              </w:rPr>
            </w:pPr>
            <w:r w:rsidRPr="004761E0">
              <w:rPr>
                <w:sz w:val="20"/>
                <w:szCs w:val="20"/>
              </w:rPr>
              <w:t>0</w:t>
            </w:r>
          </w:p>
        </w:tc>
        <w:tc>
          <w:tcPr>
            <w:tcW w:w="1417" w:type="dxa"/>
            <w:noWrap/>
            <w:vAlign w:val="center"/>
            <w:hideMark/>
          </w:tcPr>
          <w:p w:rsidR="005826C7" w:rsidRPr="004761E0" w:rsidRDefault="005826C7" w:rsidP="005826C7">
            <w:pPr>
              <w:ind w:firstLine="34"/>
              <w:jc w:val="right"/>
              <w:rPr>
                <w:sz w:val="20"/>
                <w:szCs w:val="20"/>
              </w:rPr>
            </w:pPr>
            <w:r w:rsidRPr="004761E0">
              <w:rPr>
                <w:sz w:val="20"/>
                <w:szCs w:val="20"/>
              </w:rPr>
              <w:t>388</w:t>
            </w:r>
          </w:p>
        </w:tc>
        <w:tc>
          <w:tcPr>
            <w:tcW w:w="1701" w:type="dxa"/>
            <w:noWrap/>
            <w:vAlign w:val="center"/>
            <w:hideMark/>
          </w:tcPr>
          <w:p w:rsidR="005826C7" w:rsidRPr="004761E0" w:rsidRDefault="005826C7" w:rsidP="005826C7">
            <w:pPr>
              <w:ind w:firstLine="34"/>
              <w:jc w:val="right"/>
              <w:rPr>
                <w:sz w:val="20"/>
                <w:szCs w:val="20"/>
              </w:rPr>
            </w:pPr>
            <w:r w:rsidRPr="004761E0">
              <w:rPr>
                <w:sz w:val="20"/>
                <w:szCs w:val="20"/>
              </w:rPr>
              <w:t>28</w:t>
            </w:r>
          </w:p>
        </w:tc>
        <w:tc>
          <w:tcPr>
            <w:tcW w:w="1276" w:type="dxa"/>
            <w:noWrap/>
            <w:vAlign w:val="center"/>
            <w:hideMark/>
          </w:tcPr>
          <w:p w:rsidR="005826C7" w:rsidRPr="004761E0" w:rsidRDefault="005826C7" w:rsidP="005826C7">
            <w:pPr>
              <w:ind w:firstLine="34"/>
              <w:jc w:val="right"/>
              <w:rPr>
                <w:sz w:val="20"/>
                <w:szCs w:val="20"/>
              </w:rPr>
            </w:pPr>
            <w:r w:rsidRPr="004761E0">
              <w:rPr>
                <w:sz w:val="20"/>
                <w:szCs w:val="20"/>
              </w:rPr>
              <w:t>89</w:t>
            </w:r>
          </w:p>
        </w:tc>
        <w:tc>
          <w:tcPr>
            <w:tcW w:w="1701" w:type="dxa"/>
            <w:noWrap/>
            <w:vAlign w:val="center"/>
            <w:hideMark/>
          </w:tcPr>
          <w:p w:rsidR="005826C7" w:rsidRPr="004761E0" w:rsidRDefault="005826C7" w:rsidP="005826C7">
            <w:pPr>
              <w:ind w:firstLine="34"/>
              <w:jc w:val="right"/>
              <w:rPr>
                <w:sz w:val="20"/>
                <w:szCs w:val="20"/>
              </w:rPr>
            </w:pPr>
            <w:r w:rsidRPr="004761E0">
              <w:rPr>
                <w:sz w:val="20"/>
                <w:szCs w:val="20"/>
              </w:rPr>
              <w:t>378</w:t>
            </w:r>
          </w:p>
        </w:tc>
        <w:tc>
          <w:tcPr>
            <w:tcW w:w="1276" w:type="dxa"/>
            <w:noWrap/>
            <w:vAlign w:val="center"/>
            <w:hideMark/>
          </w:tcPr>
          <w:p w:rsidR="005826C7" w:rsidRPr="004761E0" w:rsidRDefault="005826C7" w:rsidP="005826C7">
            <w:pPr>
              <w:ind w:firstLine="34"/>
              <w:jc w:val="right"/>
              <w:rPr>
                <w:sz w:val="20"/>
                <w:szCs w:val="20"/>
              </w:rPr>
            </w:pPr>
            <w:r w:rsidRPr="004761E0">
              <w:rPr>
                <w:sz w:val="20"/>
                <w:szCs w:val="20"/>
              </w:rPr>
              <w:t>388</w:t>
            </w:r>
          </w:p>
        </w:tc>
        <w:tc>
          <w:tcPr>
            <w:tcW w:w="992" w:type="dxa"/>
            <w:vAlign w:val="center"/>
            <w:hideMark/>
          </w:tcPr>
          <w:p w:rsidR="005826C7" w:rsidRPr="004761E0" w:rsidRDefault="005826C7" w:rsidP="005826C7">
            <w:pPr>
              <w:ind w:firstLine="34"/>
              <w:jc w:val="right"/>
              <w:rPr>
                <w:color w:val="000000"/>
                <w:sz w:val="20"/>
                <w:szCs w:val="20"/>
              </w:rPr>
            </w:pPr>
            <w:r w:rsidRPr="004761E0">
              <w:rPr>
                <w:color w:val="000000"/>
                <w:sz w:val="20"/>
                <w:szCs w:val="20"/>
              </w:rPr>
              <w:t>300</w:t>
            </w:r>
          </w:p>
        </w:tc>
      </w:tr>
      <w:tr w:rsidR="005826C7" w:rsidRPr="004761E0" w:rsidTr="005826C7">
        <w:trPr>
          <w:cantSplit/>
        </w:trPr>
        <w:tc>
          <w:tcPr>
            <w:tcW w:w="534" w:type="dxa"/>
            <w:noWrap/>
            <w:hideMark/>
          </w:tcPr>
          <w:p w:rsidR="005826C7" w:rsidRPr="004761E0" w:rsidRDefault="005826C7" w:rsidP="007076A7">
            <w:pPr>
              <w:pStyle w:val="a5"/>
              <w:numPr>
                <w:ilvl w:val="1"/>
                <w:numId w:val="51"/>
              </w:numPr>
              <w:ind w:left="0" w:right="-140" w:firstLine="0"/>
              <w:jc w:val="left"/>
              <w:rPr>
                <w:rFonts w:eastAsia="Times New Roman"/>
                <w:b/>
                <w:bCs/>
                <w:color w:val="000000"/>
                <w:sz w:val="20"/>
                <w:szCs w:val="20"/>
                <w:lang w:eastAsia="ru-RU"/>
              </w:rPr>
            </w:pPr>
          </w:p>
        </w:tc>
        <w:tc>
          <w:tcPr>
            <w:tcW w:w="3685" w:type="dxa"/>
            <w:hideMark/>
          </w:tcPr>
          <w:p w:rsidR="005826C7" w:rsidRPr="004761E0" w:rsidRDefault="005826C7" w:rsidP="006C365D">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Под объектами электростанций</w:t>
            </w:r>
          </w:p>
        </w:tc>
        <w:tc>
          <w:tcPr>
            <w:tcW w:w="1276"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276"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417"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701"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276"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701"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276"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992"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r>
      <w:tr w:rsidR="005826C7" w:rsidRPr="004761E0" w:rsidTr="005826C7">
        <w:trPr>
          <w:cantSplit/>
        </w:trPr>
        <w:tc>
          <w:tcPr>
            <w:tcW w:w="534" w:type="dxa"/>
            <w:noWrap/>
            <w:hideMark/>
          </w:tcPr>
          <w:p w:rsidR="005826C7" w:rsidRPr="004761E0" w:rsidRDefault="005826C7" w:rsidP="007076A7">
            <w:pPr>
              <w:pStyle w:val="a5"/>
              <w:numPr>
                <w:ilvl w:val="1"/>
                <w:numId w:val="51"/>
              </w:numPr>
              <w:ind w:left="0" w:right="-140" w:firstLine="0"/>
              <w:jc w:val="left"/>
              <w:rPr>
                <w:rFonts w:eastAsia="Times New Roman"/>
                <w:b/>
                <w:bCs/>
                <w:color w:val="000000"/>
                <w:sz w:val="20"/>
                <w:szCs w:val="20"/>
                <w:lang w:eastAsia="ru-RU"/>
              </w:rPr>
            </w:pPr>
          </w:p>
        </w:tc>
        <w:tc>
          <w:tcPr>
            <w:tcW w:w="3685" w:type="dxa"/>
            <w:hideMark/>
          </w:tcPr>
          <w:p w:rsidR="005826C7" w:rsidRPr="004761E0" w:rsidRDefault="005826C7" w:rsidP="006C365D">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Под объектами котельных</w:t>
            </w:r>
          </w:p>
        </w:tc>
        <w:tc>
          <w:tcPr>
            <w:tcW w:w="1276"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276"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417"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701"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276"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701"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276"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992"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r>
      <w:tr w:rsidR="005826C7" w:rsidRPr="004761E0" w:rsidTr="005826C7">
        <w:trPr>
          <w:cantSplit/>
        </w:trPr>
        <w:tc>
          <w:tcPr>
            <w:tcW w:w="534" w:type="dxa"/>
            <w:noWrap/>
            <w:hideMark/>
          </w:tcPr>
          <w:p w:rsidR="005826C7" w:rsidRPr="004761E0" w:rsidRDefault="005826C7" w:rsidP="007076A7">
            <w:pPr>
              <w:pStyle w:val="a5"/>
              <w:numPr>
                <w:ilvl w:val="1"/>
                <w:numId w:val="51"/>
              </w:numPr>
              <w:ind w:left="0" w:right="-140" w:firstLine="0"/>
              <w:jc w:val="left"/>
              <w:rPr>
                <w:rFonts w:eastAsia="Times New Roman"/>
                <w:b/>
                <w:bCs/>
                <w:color w:val="000000"/>
                <w:sz w:val="20"/>
                <w:szCs w:val="20"/>
                <w:lang w:eastAsia="ru-RU"/>
              </w:rPr>
            </w:pPr>
          </w:p>
        </w:tc>
        <w:tc>
          <w:tcPr>
            <w:tcW w:w="3685" w:type="dxa"/>
            <w:hideMark/>
          </w:tcPr>
          <w:p w:rsidR="005826C7" w:rsidRPr="004761E0" w:rsidRDefault="005826C7" w:rsidP="006C365D">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Под теплосетевыми объектами</w:t>
            </w:r>
          </w:p>
        </w:tc>
        <w:tc>
          <w:tcPr>
            <w:tcW w:w="1276"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276"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417"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701"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276"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701"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276"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992"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r>
      <w:tr w:rsidR="005826C7" w:rsidRPr="004761E0" w:rsidTr="005826C7">
        <w:trPr>
          <w:cantSplit/>
        </w:trPr>
        <w:tc>
          <w:tcPr>
            <w:tcW w:w="534" w:type="dxa"/>
            <w:noWrap/>
            <w:hideMark/>
          </w:tcPr>
          <w:p w:rsidR="005826C7" w:rsidRPr="004761E0" w:rsidRDefault="005826C7" w:rsidP="007076A7">
            <w:pPr>
              <w:pStyle w:val="a5"/>
              <w:numPr>
                <w:ilvl w:val="1"/>
                <w:numId w:val="51"/>
              </w:numPr>
              <w:ind w:left="0" w:right="-140" w:firstLine="0"/>
              <w:jc w:val="left"/>
              <w:rPr>
                <w:rFonts w:eastAsia="Times New Roman"/>
                <w:b/>
                <w:bCs/>
                <w:color w:val="000000"/>
                <w:sz w:val="20"/>
                <w:szCs w:val="20"/>
                <w:lang w:eastAsia="ru-RU"/>
              </w:rPr>
            </w:pPr>
          </w:p>
        </w:tc>
        <w:tc>
          <w:tcPr>
            <w:tcW w:w="3685" w:type="dxa"/>
            <w:hideMark/>
          </w:tcPr>
          <w:p w:rsidR="005826C7" w:rsidRPr="004761E0" w:rsidRDefault="005826C7" w:rsidP="006C365D">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Под другими объектами</w:t>
            </w:r>
          </w:p>
        </w:tc>
        <w:tc>
          <w:tcPr>
            <w:tcW w:w="1276" w:type="dxa"/>
            <w:vAlign w:val="center"/>
            <w:hideMark/>
          </w:tcPr>
          <w:p w:rsidR="005826C7" w:rsidRPr="004761E0" w:rsidRDefault="005826C7" w:rsidP="005826C7">
            <w:pPr>
              <w:ind w:firstLine="34"/>
              <w:jc w:val="right"/>
              <w:rPr>
                <w:b/>
                <w:bCs/>
                <w:sz w:val="20"/>
                <w:szCs w:val="20"/>
              </w:rPr>
            </w:pPr>
            <w:r w:rsidRPr="004761E0">
              <w:rPr>
                <w:b/>
                <w:bCs/>
                <w:sz w:val="20"/>
                <w:szCs w:val="20"/>
              </w:rPr>
              <w:t>278</w:t>
            </w:r>
          </w:p>
        </w:tc>
        <w:tc>
          <w:tcPr>
            <w:tcW w:w="1276" w:type="dxa"/>
            <w:noWrap/>
            <w:vAlign w:val="center"/>
            <w:hideMark/>
          </w:tcPr>
          <w:p w:rsidR="005826C7" w:rsidRPr="004761E0" w:rsidRDefault="005826C7" w:rsidP="005826C7">
            <w:pPr>
              <w:ind w:firstLine="34"/>
              <w:jc w:val="right"/>
              <w:rPr>
                <w:b/>
                <w:bCs/>
                <w:sz w:val="20"/>
                <w:szCs w:val="20"/>
              </w:rPr>
            </w:pPr>
            <w:r w:rsidRPr="004761E0">
              <w:rPr>
                <w:b/>
                <w:bCs/>
                <w:sz w:val="20"/>
                <w:szCs w:val="20"/>
              </w:rPr>
              <w:t>5</w:t>
            </w:r>
          </w:p>
        </w:tc>
        <w:tc>
          <w:tcPr>
            <w:tcW w:w="1417" w:type="dxa"/>
            <w:noWrap/>
            <w:vAlign w:val="center"/>
            <w:hideMark/>
          </w:tcPr>
          <w:p w:rsidR="005826C7" w:rsidRPr="004761E0" w:rsidRDefault="005826C7" w:rsidP="005826C7">
            <w:pPr>
              <w:ind w:firstLine="34"/>
              <w:jc w:val="right"/>
              <w:rPr>
                <w:b/>
                <w:bCs/>
                <w:sz w:val="20"/>
                <w:szCs w:val="20"/>
              </w:rPr>
            </w:pPr>
            <w:r w:rsidRPr="004761E0">
              <w:rPr>
                <w:b/>
                <w:bCs/>
                <w:sz w:val="20"/>
                <w:szCs w:val="20"/>
              </w:rPr>
              <w:t>196</w:t>
            </w:r>
          </w:p>
        </w:tc>
        <w:tc>
          <w:tcPr>
            <w:tcW w:w="1701" w:type="dxa"/>
            <w:noWrap/>
            <w:vAlign w:val="center"/>
            <w:hideMark/>
          </w:tcPr>
          <w:p w:rsidR="005826C7" w:rsidRPr="004761E0" w:rsidRDefault="005826C7" w:rsidP="005826C7">
            <w:pPr>
              <w:ind w:firstLine="34"/>
              <w:jc w:val="right"/>
              <w:rPr>
                <w:b/>
                <w:bCs/>
                <w:sz w:val="20"/>
                <w:szCs w:val="20"/>
              </w:rPr>
            </w:pPr>
            <w:r w:rsidRPr="004761E0">
              <w:rPr>
                <w:b/>
                <w:bCs/>
                <w:sz w:val="20"/>
                <w:szCs w:val="20"/>
              </w:rPr>
              <w:t>26</w:t>
            </w:r>
          </w:p>
        </w:tc>
        <w:tc>
          <w:tcPr>
            <w:tcW w:w="1276" w:type="dxa"/>
            <w:noWrap/>
            <w:vAlign w:val="center"/>
            <w:hideMark/>
          </w:tcPr>
          <w:p w:rsidR="005826C7" w:rsidRPr="004761E0" w:rsidRDefault="005826C7" w:rsidP="005826C7">
            <w:pPr>
              <w:ind w:firstLine="34"/>
              <w:jc w:val="right"/>
              <w:rPr>
                <w:b/>
                <w:bCs/>
                <w:sz w:val="20"/>
                <w:szCs w:val="20"/>
              </w:rPr>
            </w:pPr>
            <w:r w:rsidRPr="004761E0">
              <w:rPr>
                <w:b/>
                <w:bCs/>
                <w:sz w:val="20"/>
                <w:szCs w:val="20"/>
              </w:rPr>
              <w:t>51</w:t>
            </w:r>
          </w:p>
        </w:tc>
        <w:tc>
          <w:tcPr>
            <w:tcW w:w="1701" w:type="dxa"/>
            <w:noWrap/>
            <w:vAlign w:val="center"/>
            <w:hideMark/>
          </w:tcPr>
          <w:p w:rsidR="005826C7" w:rsidRPr="004761E0" w:rsidRDefault="005826C7" w:rsidP="005826C7">
            <w:pPr>
              <w:ind w:firstLine="34"/>
              <w:jc w:val="right"/>
              <w:rPr>
                <w:b/>
                <w:bCs/>
                <w:sz w:val="20"/>
                <w:szCs w:val="20"/>
              </w:rPr>
            </w:pPr>
            <w:r w:rsidRPr="004761E0">
              <w:rPr>
                <w:b/>
                <w:bCs/>
                <w:sz w:val="20"/>
                <w:szCs w:val="20"/>
              </w:rPr>
              <w:t>203</w:t>
            </w:r>
          </w:p>
        </w:tc>
        <w:tc>
          <w:tcPr>
            <w:tcW w:w="1276" w:type="dxa"/>
            <w:noWrap/>
            <w:vAlign w:val="center"/>
            <w:hideMark/>
          </w:tcPr>
          <w:p w:rsidR="005826C7" w:rsidRPr="004761E0" w:rsidRDefault="005826C7" w:rsidP="005826C7">
            <w:pPr>
              <w:ind w:firstLine="34"/>
              <w:jc w:val="right"/>
              <w:rPr>
                <w:b/>
                <w:bCs/>
                <w:sz w:val="20"/>
                <w:szCs w:val="20"/>
              </w:rPr>
            </w:pPr>
            <w:r w:rsidRPr="004761E0">
              <w:rPr>
                <w:b/>
                <w:bCs/>
                <w:sz w:val="20"/>
                <w:szCs w:val="20"/>
              </w:rPr>
              <w:t>201</w:t>
            </w:r>
          </w:p>
        </w:tc>
        <w:tc>
          <w:tcPr>
            <w:tcW w:w="992" w:type="dxa"/>
            <w:vAlign w:val="center"/>
            <w:hideMark/>
          </w:tcPr>
          <w:p w:rsidR="005826C7" w:rsidRPr="004761E0" w:rsidRDefault="005826C7" w:rsidP="005826C7">
            <w:pPr>
              <w:ind w:firstLine="34"/>
              <w:jc w:val="right"/>
              <w:rPr>
                <w:b/>
                <w:bCs/>
                <w:color w:val="000000"/>
                <w:sz w:val="20"/>
                <w:szCs w:val="20"/>
              </w:rPr>
            </w:pPr>
            <w:r w:rsidRPr="004761E0">
              <w:rPr>
                <w:b/>
                <w:bCs/>
                <w:color w:val="000000"/>
                <w:sz w:val="20"/>
                <w:szCs w:val="20"/>
              </w:rPr>
              <w:t>0</w:t>
            </w:r>
          </w:p>
        </w:tc>
      </w:tr>
      <w:tr w:rsidR="005826C7" w:rsidRPr="004761E0" w:rsidTr="005826C7">
        <w:trPr>
          <w:cantSplit/>
        </w:trPr>
        <w:tc>
          <w:tcPr>
            <w:tcW w:w="534" w:type="dxa"/>
            <w:noWrap/>
            <w:hideMark/>
          </w:tcPr>
          <w:p w:rsidR="005826C7" w:rsidRPr="004761E0" w:rsidRDefault="005826C7" w:rsidP="007076A7">
            <w:pPr>
              <w:pStyle w:val="a5"/>
              <w:numPr>
                <w:ilvl w:val="1"/>
                <w:numId w:val="51"/>
              </w:numPr>
              <w:ind w:left="0" w:right="-140" w:firstLine="0"/>
              <w:jc w:val="left"/>
              <w:rPr>
                <w:rFonts w:eastAsia="Times New Roman"/>
                <w:b/>
                <w:bCs/>
                <w:color w:val="000000"/>
                <w:sz w:val="20"/>
                <w:szCs w:val="20"/>
                <w:lang w:eastAsia="ru-RU"/>
              </w:rPr>
            </w:pPr>
          </w:p>
        </w:tc>
        <w:tc>
          <w:tcPr>
            <w:tcW w:w="3685" w:type="dxa"/>
            <w:noWrap/>
            <w:hideMark/>
          </w:tcPr>
          <w:p w:rsidR="005826C7" w:rsidRPr="004761E0" w:rsidRDefault="005826C7" w:rsidP="006C365D">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Итого</w:t>
            </w:r>
          </w:p>
        </w:tc>
        <w:tc>
          <w:tcPr>
            <w:tcW w:w="1276" w:type="dxa"/>
            <w:vAlign w:val="center"/>
            <w:hideMark/>
          </w:tcPr>
          <w:p w:rsidR="005826C7" w:rsidRPr="004761E0" w:rsidRDefault="005826C7" w:rsidP="005826C7">
            <w:pPr>
              <w:ind w:firstLine="34"/>
              <w:jc w:val="right"/>
              <w:rPr>
                <w:b/>
                <w:bCs/>
                <w:color w:val="000000"/>
                <w:sz w:val="20"/>
                <w:szCs w:val="20"/>
              </w:rPr>
            </w:pPr>
            <w:r w:rsidRPr="004761E0">
              <w:rPr>
                <w:b/>
                <w:bCs/>
                <w:color w:val="000000"/>
                <w:sz w:val="20"/>
                <w:szCs w:val="20"/>
              </w:rPr>
              <w:t>25 477</w:t>
            </w:r>
          </w:p>
        </w:tc>
        <w:tc>
          <w:tcPr>
            <w:tcW w:w="1276" w:type="dxa"/>
            <w:vAlign w:val="center"/>
            <w:hideMark/>
          </w:tcPr>
          <w:p w:rsidR="005826C7" w:rsidRPr="004761E0" w:rsidRDefault="005826C7" w:rsidP="005826C7">
            <w:pPr>
              <w:ind w:firstLine="34"/>
              <w:jc w:val="right"/>
              <w:rPr>
                <w:b/>
                <w:bCs/>
                <w:color w:val="000000"/>
                <w:sz w:val="20"/>
                <w:szCs w:val="20"/>
              </w:rPr>
            </w:pPr>
            <w:r w:rsidRPr="004761E0">
              <w:rPr>
                <w:b/>
                <w:bCs/>
                <w:color w:val="000000"/>
                <w:sz w:val="20"/>
                <w:szCs w:val="20"/>
              </w:rPr>
              <w:t>15</w:t>
            </w:r>
          </w:p>
        </w:tc>
        <w:tc>
          <w:tcPr>
            <w:tcW w:w="1417" w:type="dxa"/>
            <w:vAlign w:val="center"/>
            <w:hideMark/>
          </w:tcPr>
          <w:p w:rsidR="005826C7" w:rsidRPr="004761E0" w:rsidRDefault="005826C7" w:rsidP="005826C7">
            <w:pPr>
              <w:ind w:firstLine="34"/>
              <w:jc w:val="right"/>
              <w:rPr>
                <w:b/>
                <w:bCs/>
                <w:color w:val="000000"/>
                <w:sz w:val="20"/>
                <w:szCs w:val="20"/>
              </w:rPr>
            </w:pPr>
            <w:r w:rsidRPr="004761E0">
              <w:rPr>
                <w:b/>
                <w:bCs/>
                <w:color w:val="000000"/>
                <w:sz w:val="20"/>
                <w:szCs w:val="20"/>
              </w:rPr>
              <w:t>16 944</w:t>
            </w:r>
          </w:p>
        </w:tc>
        <w:tc>
          <w:tcPr>
            <w:tcW w:w="1701" w:type="dxa"/>
            <w:vAlign w:val="center"/>
            <w:hideMark/>
          </w:tcPr>
          <w:p w:rsidR="005826C7" w:rsidRPr="004761E0" w:rsidRDefault="005826C7" w:rsidP="005826C7">
            <w:pPr>
              <w:ind w:firstLine="34"/>
              <w:jc w:val="right"/>
              <w:rPr>
                <w:b/>
                <w:bCs/>
                <w:color w:val="000000"/>
                <w:sz w:val="20"/>
                <w:szCs w:val="20"/>
              </w:rPr>
            </w:pPr>
            <w:r w:rsidRPr="004761E0">
              <w:rPr>
                <w:b/>
                <w:bCs/>
                <w:color w:val="000000"/>
                <w:sz w:val="20"/>
                <w:szCs w:val="20"/>
              </w:rPr>
              <w:t>1 165</w:t>
            </w:r>
          </w:p>
        </w:tc>
        <w:tc>
          <w:tcPr>
            <w:tcW w:w="1276" w:type="dxa"/>
            <w:vAlign w:val="center"/>
            <w:hideMark/>
          </w:tcPr>
          <w:p w:rsidR="005826C7" w:rsidRPr="004761E0" w:rsidRDefault="005826C7" w:rsidP="005826C7">
            <w:pPr>
              <w:ind w:firstLine="34"/>
              <w:jc w:val="right"/>
              <w:rPr>
                <w:b/>
                <w:bCs/>
                <w:color w:val="000000"/>
                <w:sz w:val="20"/>
                <w:szCs w:val="20"/>
              </w:rPr>
            </w:pPr>
            <w:r w:rsidRPr="004761E0">
              <w:rPr>
                <w:b/>
                <w:bCs/>
                <w:color w:val="000000"/>
                <w:sz w:val="20"/>
                <w:szCs w:val="20"/>
              </w:rPr>
              <w:t>7 353</w:t>
            </w:r>
          </w:p>
        </w:tc>
        <w:tc>
          <w:tcPr>
            <w:tcW w:w="1701" w:type="dxa"/>
            <w:vAlign w:val="center"/>
            <w:hideMark/>
          </w:tcPr>
          <w:p w:rsidR="005826C7" w:rsidRPr="004761E0" w:rsidRDefault="005826C7" w:rsidP="005826C7">
            <w:pPr>
              <w:ind w:firstLine="34"/>
              <w:jc w:val="right"/>
              <w:rPr>
                <w:b/>
                <w:bCs/>
                <w:color w:val="000000"/>
                <w:sz w:val="20"/>
                <w:szCs w:val="20"/>
              </w:rPr>
            </w:pPr>
            <w:r w:rsidRPr="004761E0">
              <w:rPr>
                <w:b/>
                <w:bCs/>
                <w:color w:val="000000"/>
                <w:sz w:val="20"/>
                <w:szCs w:val="20"/>
              </w:rPr>
              <w:t>23 806</w:t>
            </w:r>
          </w:p>
        </w:tc>
        <w:tc>
          <w:tcPr>
            <w:tcW w:w="1276" w:type="dxa"/>
            <w:vAlign w:val="center"/>
            <w:hideMark/>
          </w:tcPr>
          <w:p w:rsidR="005826C7" w:rsidRPr="004761E0" w:rsidRDefault="005826C7" w:rsidP="005826C7">
            <w:pPr>
              <w:ind w:firstLine="34"/>
              <w:jc w:val="right"/>
              <w:rPr>
                <w:b/>
                <w:bCs/>
                <w:color w:val="000000"/>
                <w:sz w:val="20"/>
                <w:szCs w:val="20"/>
              </w:rPr>
            </w:pPr>
            <w:r w:rsidRPr="004761E0">
              <w:rPr>
                <w:b/>
                <w:bCs/>
                <w:color w:val="000000"/>
                <w:sz w:val="20"/>
                <w:szCs w:val="20"/>
              </w:rPr>
              <w:t>16 959</w:t>
            </w:r>
          </w:p>
        </w:tc>
        <w:tc>
          <w:tcPr>
            <w:tcW w:w="992" w:type="dxa"/>
            <w:vAlign w:val="center"/>
            <w:hideMark/>
          </w:tcPr>
          <w:p w:rsidR="005826C7" w:rsidRPr="004761E0" w:rsidRDefault="005826C7" w:rsidP="005826C7">
            <w:pPr>
              <w:ind w:firstLine="34"/>
              <w:jc w:val="right"/>
              <w:rPr>
                <w:b/>
                <w:bCs/>
                <w:color w:val="000000"/>
                <w:sz w:val="20"/>
                <w:szCs w:val="20"/>
              </w:rPr>
            </w:pPr>
            <w:r w:rsidRPr="004761E0">
              <w:rPr>
                <w:b/>
                <w:bCs/>
                <w:color w:val="000000"/>
                <w:sz w:val="20"/>
                <w:szCs w:val="20"/>
              </w:rPr>
              <w:t>1 505</w:t>
            </w:r>
          </w:p>
        </w:tc>
      </w:tr>
    </w:tbl>
    <w:p w:rsidR="00027A32" w:rsidRPr="004761E0" w:rsidRDefault="00BA326D" w:rsidP="00743B24">
      <w:pPr>
        <w:spacing w:before="120" w:after="120"/>
        <w:ind w:firstLine="567"/>
        <w:rPr>
          <w:b/>
          <w:sz w:val="26"/>
          <w:szCs w:val="26"/>
          <w:lang w:eastAsia="ru-RU"/>
        </w:rPr>
      </w:pPr>
      <w:r w:rsidRPr="00743B24">
        <w:rPr>
          <w:b/>
          <w:sz w:val="26"/>
          <w:szCs w:val="26"/>
          <w:lang w:eastAsia="ru-RU"/>
        </w:rPr>
        <w:t>Площадь земельных участков</w:t>
      </w:r>
      <w:r w:rsidR="000F6A5D" w:rsidRPr="006F4AB8">
        <w:rPr>
          <w:rStyle w:val="af1"/>
        </w:rPr>
        <w:footnoteReference w:id="105"/>
      </w:r>
    </w:p>
    <w:tbl>
      <w:tblPr>
        <w:tblStyle w:val="16"/>
        <w:tblW w:w="15092" w:type="dxa"/>
        <w:tblLayout w:type="fixed"/>
        <w:tblLook w:val="04A0"/>
      </w:tblPr>
      <w:tblGrid>
        <w:gridCol w:w="534"/>
        <w:gridCol w:w="3685"/>
        <w:gridCol w:w="1234"/>
        <w:gridCol w:w="1276"/>
        <w:gridCol w:w="1417"/>
        <w:gridCol w:w="1701"/>
        <w:gridCol w:w="1276"/>
        <w:gridCol w:w="1701"/>
        <w:gridCol w:w="1276"/>
        <w:gridCol w:w="992"/>
      </w:tblGrid>
      <w:tr w:rsidR="005826C7" w:rsidRPr="004761E0" w:rsidTr="005826C7">
        <w:trPr>
          <w:cantSplit/>
        </w:trPr>
        <w:tc>
          <w:tcPr>
            <w:tcW w:w="534" w:type="dxa"/>
            <w:vMerge w:val="restart"/>
            <w:tcBorders>
              <w:right w:val="single" w:sz="4" w:space="0" w:color="FFFFFF" w:themeColor="background1"/>
            </w:tcBorders>
            <w:shd w:val="clear" w:color="auto" w:fill="0F243E" w:themeFill="text2" w:themeFillShade="80"/>
            <w:hideMark/>
          </w:tcPr>
          <w:p w:rsidR="000F6A5D" w:rsidRPr="004761E0" w:rsidRDefault="00BA326D" w:rsidP="006C365D">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3685" w:type="dxa"/>
            <w:vMerge w:val="restart"/>
            <w:tcBorders>
              <w:left w:val="single" w:sz="4" w:space="0" w:color="FFFFFF" w:themeColor="background1"/>
              <w:right w:val="single" w:sz="4" w:space="0" w:color="FFFFFF" w:themeColor="background1"/>
            </w:tcBorders>
            <w:shd w:val="clear" w:color="auto" w:fill="0F243E" w:themeFill="text2" w:themeFillShade="80"/>
            <w:hideMark/>
          </w:tcPr>
          <w:p w:rsidR="000F6A5D" w:rsidRPr="004761E0" w:rsidRDefault="00BA326D" w:rsidP="006C365D">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Виды земельных участков</w:t>
            </w:r>
          </w:p>
        </w:tc>
        <w:tc>
          <w:tcPr>
            <w:tcW w:w="1234"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0F6A5D" w:rsidRPr="004761E0" w:rsidRDefault="00BA326D" w:rsidP="006C365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Площадь земельных участков</w:t>
            </w:r>
          </w:p>
        </w:tc>
        <w:tc>
          <w:tcPr>
            <w:tcW w:w="5670" w:type="dxa"/>
            <w:gridSpan w:val="4"/>
            <w:tcBorders>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0F6A5D" w:rsidRPr="004761E0" w:rsidRDefault="00BA326D" w:rsidP="006C365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Из них:</w:t>
            </w:r>
          </w:p>
        </w:tc>
        <w:tc>
          <w:tcPr>
            <w:tcW w:w="1701"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0F6A5D" w:rsidRPr="004761E0" w:rsidRDefault="00BA326D" w:rsidP="006C365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Поставлены на государственный кадастровый учет на отчетную дату</w:t>
            </w:r>
          </w:p>
        </w:tc>
        <w:tc>
          <w:tcPr>
            <w:tcW w:w="1276"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0F6A5D" w:rsidRPr="004761E0" w:rsidRDefault="00BA326D" w:rsidP="006C365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Права зарегистрированы на отчетную дату</w:t>
            </w:r>
          </w:p>
        </w:tc>
        <w:tc>
          <w:tcPr>
            <w:tcW w:w="992" w:type="dxa"/>
            <w:vMerge w:val="restart"/>
            <w:tcBorders>
              <w:left w:val="single" w:sz="4" w:space="0" w:color="FFFFFF" w:themeColor="background1"/>
              <w:bottom w:val="single" w:sz="4" w:space="0" w:color="FFFFFF" w:themeColor="background1"/>
              <w:right w:val="nil"/>
            </w:tcBorders>
            <w:shd w:val="clear" w:color="auto" w:fill="0F243E" w:themeFill="text2" w:themeFillShade="80"/>
            <w:hideMark/>
          </w:tcPr>
          <w:p w:rsidR="000F6A5D" w:rsidRPr="004761E0" w:rsidRDefault="00BA326D" w:rsidP="006C365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Охранные зоны</w:t>
            </w:r>
          </w:p>
        </w:tc>
      </w:tr>
      <w:tr w:rsidR="005826C7" w:rsidRPr="004761E0" w:rsidTr="005826C7">
        <w:trPr>
          <w:cantSplit/>
        </w:trPr>
        <w:tc>
          <w:tcPr>
            <w:tcW w:w="534" w:type="dxa"/>
            <w:vMerge/>
            <w:tcBorders>
              <w:bottom w:val="single" w:sz="4" w:space="0" w:color="FFFFFF" w:themeColor="background1"/>
              <w:right w:val="single" w:sz="4" w:space="0" w:color="FFFFFF" w:themeColor="background1"/>
            </w:tcBorders>
            <w:shd w:val="clear" w:color="auto" w:fill="0F243E" w:themeFill="text2" w:themeFillShade="80"/>
            <w:hideMark/>
          </w:tcPr>
          <w:p w:rsidR="000F6A5D" w:rsidRPr="004761E0" w:rsidRDefault="000F6A5D" w:rsidP="006C365D">
            <w:pPr>
              <w:ind w:firstLine="0"/>
              <w:jc w:val="left"/>
              <w:rPr>
                <w:rFonts w:eastAsia="Times New Roman"/>
                <w:color w:val="000000"/>
                <w:sz w:val="20"/>
                <w:szCs w:val="20"/>
                <w:lang w:eastAsia="ru-RU"/>
              </w:rPr>
            </w:pPr>
          </w:p>
        </w:tc>
        <w:tc>
          <w:tcPr>
            <w:tcW w:w="3685" w:type="dxa"/>
            <w:vMerge/>
            <w:tcBorders>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0F6A5D" w:rsidRPr="004761E0" w:rsidRDefault="000F6A5D" w:rsidP="006C365D">
            <w:pPr>
              <w:ind w:firstLine="0"/>
              <w:jc w:val="left"/>
              <w:rPr>
                <w:rFonts w:eastAsia="Times New Roman"/>
                <w:color w:val="000000"/>
                <w:sz w:val="20"/>
                <w:szCs w:val="20"/>
                <w:lang w:eastAsia="ru-RU"/>
              </w:rPr>
            </w:pPr>
          </w:p>
        </w:tc>
        <w:tc>
          <w:tcPr>
            <w:tcW w:w="1234" w:type="dxa"/>
            <w:vMerge/>
            <w:tcBorders>
              <w:top w:val="nil"/>
              <w:left w:val="single" w:sz="4" w:space="0" w:color="FFFFFF" w:themeColor="background1"/>
              <w:bottom w:val="single" w:sz="4" w:space="0" w:color="FFFFFF" w:themeColor="background1"/>
              <w:right w:val="nil"/>
            </w:tcBorders>
            <w:shd w:val="clear" w:color="auto" w:fill="0F243E" w:themeFill="text2" w:themeFillShade="80"/>
            <w:hideMark/>
          </w:tcPr>
          <w:p w:rsidR="000F6A5D" w:rsidRPr="004761E0" w:rsidRDefault="000F6A5D" w:rsidP="006C365D">
            <w:pPr>
              <w:ind w:firstLine="0"/>
              <w:jc w:val="left"/>
              <w:rPr>
                <w:rFonts w:eastAsia="Times New Roman"/>
                <w:color w:val="000000"/>
                <w:sz w:val="20"/>
                <w:szCs w:val="20"/>
                <w:lang w:eastAsia="ru-RU"/>
              </w:rPr>
            </w:pPr>
          </w:p>
        </w:tc>
        <w:tc>
          <w:tcPr>
            <w:tcW w:w="1276" w:type="dxa"/>
            <w:tcBorders>
              <w:top w:val="single" w:sz="4" w:space="0" w:color="FFFFFF" w:themeColor="background1"/>
              <w:left w:val="nil"/>
              <w:bottom w:val="single" w:sz="4" w:space="0" w:color="FFFFFF" w:themeColor="background1"/>
              <w:right w:val="single" w:sz="4" w:space="0" w:color="FFFFFF" w:themeColor="background1"/>
            </w:tcBorders>
            <w:shd w:val="clear" w:color="auto" w:fill="0F243E" w:themeFill="text2" w:themeFillShade="80"/>
            <w:hideMark/>
          </w:tcPr>
          <w:p w:rsidR="000F6A5D" w:rsidRPr="004761E0" w:rsidRDefault="00BA326D" w:rsidP="006C365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выкупленные на отчетную дату</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0F6A5D" w:rsidRPr="004761E0" w:rsidRDefault="00BA326D" w:rsidP="006C365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взятые в аренду (субаренду) на отчетную дату</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0F6A5D" w:rsidRPr="004761E0" w:rsidRDefault="00BA326D" w:rsidP="006C365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 праве постоянного (бессрочного) пользования на отчетную дату</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0F6A5D" w:rsidRPr="004761E0" w:rsidRDefault="00BA326D" w:rsidP="006C365D">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право не определено на отчетную дату</w:t>
            </w:r>
          </w:p>
        </w:tc>
        <w:tc>
          <w:tcPr>
            <w:tcW w:w="1701" w:type="dxa"/>
            <w:vMerge/>
            <w:tcBorders>
              <w:top w:val="nil"/>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0F6A5D" w:rsidRPr="004761E0" w:rsidRDefault="000F6A5D" w:rsidP="006C365D">
            <w:pPr>
              <w:ind w:firstLine="0"/>
              <w:jc w:val="left"/>
              <w:rPr>
                <w:rFonts w:eastAsia="Times New Roman"/>
                <w:color w:val="000000"/>
                <w:sz w:val="20"/>
                <w:szCs w:val="20"/>
                <w:lang w:eastAsia="ru-RU"/>
              </w:rPr>
            </w:pPr>
          </w:p>
        </w:tc>
        <w:tc>
          <w:tcPr>
            <w:tcW w:w="1276" w:type="dxa"/>
            <w:vMerge/>
            <w:tcBorders>
              <w:top w:val="nil"/>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0F6A5D" w:rsidRPr="004761E0" w:rsidRDefault="000F6A5D" w:rsidP="006C365D">
            <w:pPr>
              <w:ind w:firstLine="0"/>
              <w:jc w:val="left"/>
              <w:rPr>
                <w:rFonts w:eastAsia="Times New Roman"/>
                <w:color w:val="000000"/>
                <w:sz w:val="20"/>
                <w:szCs w:val="20"/>
                <w:lang w:eastAsia="ru-RU"/>
              </w:rPr>
            </w:pPr>
          </w:p>
        </w:tc>
        <w:tc>
          <w:tcPr>
            <w:tcW w:w="992" w:type="dxa"/>
            <w:vMerge/>
            <w:tcBorders>
              <w:top w:val="nil"/>
              <w:left w:val="single" w:sz="4" w:space="0" w:color="FFFFFF" w:themeColor="background1"/>
              <w:bottom w:val="single" w:sz="4" w:space="0" w:color="FFFFFF" w:themeColor="background1"/>
            </w:tcBorders>
            <w:shd w:val="clear" w:color="auto" w:fill="0F243E" w:themeFill="text2" w:themeFillShade="80"/>
            <w:hideMark/>
          </w:tcPr>
          <w:p w:rsidR="000F6A5D" w:rsidRPr="004761E0" w:rsidRDefault="000F6A5D" w:rsidP="006C365D">
            <w:pPr>
              <w:ind w:firstLine="0"/>
              <w:jc w:val="left"/>
              <w:rPr>
                <w:rFonts w:eastAsia="Times New Roman"/>
                <w:color w:val="000000"/>
                <w:sz w:val="20"/>
                <w:szCs w:val="20"/>
                <w:lang w:eastAsia="ru-RU"/>
              </w:rPr>
            </w:pPr>
          </w:p>
        </w:tc>
      </w:tr>
      <w:tr w:rsidR="005826C7" w:rsidRPr="004761E0" w:rsidTr="005826C7">
        <w:trPr>
          <w:cantSplit/>
        </w:trPr>
        <w:tc>
          <w:tcPr>
            <w:tcW w:w="53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noWrap/>
            <w:hideMark/>
          </w:tcPr>
          <w:p w:rsidR="00027A32" w:rsidRPr="004761E0" w:rsidRDefault="00027A32" w:rsidP="005826C7">
            <w:pPr>
              <w:pStyle w:val="a5"/>
              <w:ind w:left="1200" w:right="-140" w:firstLine="0"/>
              <w:jc w:val="left"/>
              <w:rPr>
                <w:rFonts w:eastAsia="Times New Roman"/>
                <w:b/>
                <w:bCs/>
                <w:color w:val="FFFFFF" w:themeColor="background1"/>
                <w:sz w:val="20"/>
                <w:szCs w:val="20"/>
                <w:lang w:eastAsia="ru-RU"/>
              </w:rPr>
            </w:pPr>
          </w:p>
        </w:tc>
        <w:tc>
          <w:tcPr>
            <w:tcW w:w="368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0F6A5D" w:rsidRPr="004761E0" w:rsidRDefault="000F6A5D" w:rsidP="006C365D">
            <w:pPr>
              <w:ind w:firstLine="0"/>
              <w:jc w:val="left"/>
              <w:rPr>
                <w:rFonts w:eastAsia="Times New Roman"/>
                <w:b/>
                <w:bCs/>
                <w:color w:val="FFFFFF" w:themeColor="background1"/>
                <w:sz w:val="20"/>
                <w:szCs w:val="20"/>
                <w:lang w:eastAsia="ru-RU"/>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0F6A5D" w:rsidRPr="004761E0" w:rsidRDefault="00BA326D" w:rsidP="006C365D">
            <w:pPr>
              <w:spacing w:after="120"/>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га</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0F6A5D" w:rsidRPr="004761E0" w:rsidRDefault="00BA326D" w:rsidP="006C365D">
            <w:pPr>
              <w:spacing w:after="120"/>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га</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0F6A5D" w:rsidRPr="004761E0" w:rsidRDefault="00BA326D" w:rsidP="006C365D">
            <w:pPr>
              <w:spacing w:after="120"/>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га</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0F6A5D" w:rsidRPr="004761E0" w:rsidRDefault="00BA326D" w:rsidP="006C365D">
            <w:pPr>
              <w:spacing w:after="120"/>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га</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0F6A5D" w:rsidRPr="004761E0" w:rsidRDefault="00BA326D" w:rsidP="006C365D">
            <w:pPr>
              <w:spacing w:after="120"/>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га</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0F6A5D" w:rsidRPr="004761E0" w:rsidRDefault="00BA326D" w:rsidP="006C365D">
            <w:pPr>
              <w:spacing w:after="120"/>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га</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0F6A5D" w:rsidRPr="004761E0" w:rsidRDefault="00BA326D" w:rsidP="006C365D">
            <w:pPr>
              <w:spacing w:after="120"/>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га</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0F6A5D" w:rsidRPr="004761E0" w:rsidRDefault="00BA326D" w:rsidP="006C365D">
            <w:pPr>
              <w:spacing w:after="120"/>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км</w:t>
            </w:r>
          </w:p>
        </w:tc>
      </w:tr>
      <w:tr w:rsidR="005826C7" w:rsidRPr="004761E0" w:rsidTr="005826C7">
        <w:trPr>
          <w:cantSplit/>
        </w:trPr>
        <w:tc>
          <w:tcPr>
            <w:tcW w:w="534" w:type="dxa"/>
            <w:tcBorders>
              <w:top w:val="single" w:sz="4" w:space="0" w:color="FFFFFF" w:themeColor="background1"/>
            </w:tcBorders>
            <w:noWrap/>
            <w:hideMark/>
          </w:tcPr>
          <w:p w:rsidR="005826C7" w:rsidRPr="004761E0" w:rsidRDefault="005826C7" w:rsidP="007076A7">
            <w:pPr>
              <w:pStyle w:val="a5"/>
              <w:numPr>
                <w:ilvl w:val="0"/>
                <w:numId w:val="119"/>
              </w:numPr>
              <w:ind w:right="-140"/>
              <w:jc w:val="left"/>
              <w:rPr>
                <w:rFonts w:eastAsia="Times New Roman"/>
                <w:b/>
                <w:bCs/>
                <w:color w:val="000000"/>
                <w:sz w:val="20"/>
                <w:szCs w:val="20"/>
                <w:lang w:eastAsia="ru-RU"/>
              </w:rPr>
            </w:pPr>
          </w:p>
        </w:tc>
        <w:tc>
          <w:tcPr>
            <w:tcW w:w="3685" w:type="dxa"/>
            <w:tcBorders>
              <w:top w:val="single" w:sz="4" w:space="0" w:color="FFFFFF" w:themeColor="background1"/>
            </w:tcBorders>
            <w:hideMark/>
          </w:tcPr>
          <w:p w:rsidR="005826C7" w:rsidRPr="004761E0" w:rsidRDefault="005826C7" w:rsidP="006C365D">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Под объектами электроподстанций (всего), в т.ч.:</w:t>
            </w:r>
          </w:p>
        </w:tc>
        <w:tc>
          <w:tcPr>
            <w:tcW w:w="1234" w:type="dxa"/>
            <w:tcBorders>
              <w:top w:val="single" w:sz="4" w:space="0" w:color="FFFFFF" w:themeColor="background1"/>
            </w:tcBorders>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788</w:t>
            </w:r>
          </w:p>
        </w:tc>
        <w:tc>
          <w:tcPr>
            <w:tcW w:w="1276" w:type="dxa"/>
            <w:tcBorders>
              <w:top w:val="single" w:sz="4" w:space="0" w:color="FFFFFF" w:themeColor="background1"/>
            </w:tcBorders>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8</w:t>
            </w:r>
          </w:p>
        </w:tc>
        <w:tc>
          <w:tcPr>
            <w:tcW w:w="1417" w:type="dxa"/>
            <w:tcBorders>
              <w:top w:val="single" w:sz="4" w:space="0" w:color="FFFFFF" w:themeColor="background1"/>
            </w:tcBorders>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513</w:t>
            </w:r>
          </w:p>
        </w:tc>
        <w:tc>
          <w:tcPr>
            <w:tcW w:w="1701" w:type="dxa"/>
            <w:tcBorders>
              <w:top w:val="single" w:sz="4" w:space="0" w:color="FFFFFF" w:themeColor="background1"/>
            </w:tcBorders>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138</w:t>
            </w:r>
          </w:p>
        </w:tc>
        <w:tc>
          <w:tcPr>
            <w:tcW w:w="1276" w:type="dxa"/>
            <w:tcBorders>
              <w:top w:val="single" w:sz="4" w:space="0" w:color="FFFFFF" w:themeColor="background1"/>
            </w:tcBorders>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129</w:t>
            </w:r>
          </w:p>
        </w:tc>
        <w:tc>
          <w:tcPr>
            <w:tcW w:w="1701" w:type="dxa"/>
            <w:tcBorders>
              <w:top w:val="single" w:sz="4" w:space="0" w:color="FFFFFF" w:themeColor="background1"/>
            </w:tcBorders>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555</w:t>
            </w:r>
          </w:p>
        </w:tc>
        <w:tc>
          <w:tcPr>
            <w:tcW w:w="1276" w:type="dxa"/>
            <w:tcBorders>
              <w:top w:val="single" w:sz="4" w:space="0" w:color="FFFFFF" w:themeColor="background1"/>
            </w:tcBorders>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521</w:t>
            </w:r>
          </w:p>
        </w:tc>
        <w:tc>
          <w:tcPr>
            <w:tcW w:w="992" w:type="dxa"/>
            <w:tcBorders>
              <w:top w:val="single" w:sz="4" w:space="0" w:color="FFFFFF" w:themeColor="background1"/>
            </w:tcBorders>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0</w:t>
            </w:r>
          </w:p>
        </w:tc>
      </w:tr>
      <w:tr w:rsidR="005826C7" w:rsidRPr="004761E0" w:rsidTr="005826C7">
        <w:trPr>
          <w:cantSplit/>
        </w:trPr>
        <w:tc>
          <w:tcPr>
            <w:tcW w:w="534" w:type="dxa"/>
            <w:noWrap/>
            <w:hideMark/>
          </w:tcPr>
          <w:p w:rsidR="005826C7" w:rsidRPr="004761E0" w:rsidRDefault="005826C7" w:rsidP="007076A7">
            <w:pPr>
              <w:pStyle w:val="a5"/>
              <w:numPr>
                <w:ilvl w:val="1"/>
                <w:numId w:val="120"/>
              </w:numPr>
              <w:jc w:val="left"/>
              <w:rPr>
                <w:rFonts w:eastAsia="Times New Roman"/>
                <w:color w:val="000000"/>
                <w:sz w:val="20"/>
                <w:szCs w:val="20"/>
                <w:lang w:eastAsia="ru-RU"/>
              </w:rPr>
            </w:pPr>
          </w:p>
        </w:tc>
        <w:tc>
          <w:tcPr>
            <w:tcW w:w="3685" w:type="dxa"/>
            <w:hideMark/>
          </w:tcPr>
          <w:p w:rsidR="005826C7" w:rsidRPr="004761E0" w:rsidRDefault="005826C7" w:rsidP="006C365D">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под ПС 220 кВ и выше</w:t>
            </w:r>
          </w:p>
        </w:tc>
        <w:tc>
          <w:tcPr>
            <w:tcW w:w="1234" w:type="dxa"/>
            <w:vAlign w:val="center"/>
            <w:hideMark/>
          </w:tcPr>
          <w:p w:rsidR="005826C7" w:rsidRPr="004761E0" w:rsidRDefault="005826C7" w:rsidP="005826C7">
            <w:pPr>
              <w:ind w:firstLine="0"/>
              <w:jc w:val="right"/>
              <w:rPr>
                <w:color w:val="000000"/>
                <w:sz w:val="20"/>
                <w:szCs w:val="20"/>
              </w:rPr>
            </w:pPr>
            <w:r w:rsidRPr="004761E0">
              <w:rPr>
                <w:color w:val="000000"/>
                <w:sz w:val="20"/>
                <w:szCs w:val="20"/>
              </w:rPr>
              <w:t>129</w:t>
            </w:r>
          </w:p>
        </w:tc>
        <w:tc>
          <w:tcPr>
            <w:tcW w:w="1276" w:type="dxa"/>
            <w:vAlign w:val="center"/>
            <w:hideMark/>
          </w:tcPr>
          <w:p w:rsidR="005826C7" w:rsidRPr="004761E0" w:rsidRDefault="005826C7" w:rsidP="005826C7">
            <w:pPr>
              <w:ind w:firstLine="0"/>
              <w:jc w:val="right"/>
              <w:rPr>
                <w:color w:val="000000"/>
                <w:sz w:val="20"/>
                <w:szCs w:val="20"/>
              </w:rPr>
            </w:pPr>
            <w:r w:rsidRPr="004761E0">
              <w:rPr>
                <w:color w:val="000000"/>
                <w:sz w:val="20"/>
                <w:szCs w:val="20"/>
              </w:rPr>
              <w:t>1</w:t>
            </w:r>
          </w:p>
        </w:tc>
        <w:tc>
          <w:tcPr>
            <w:tcW w:w="1417" w:type="dxa"/>
            <w:vAlign w:val="center"/>
            <w:hideMark/>
          </w:tcPr>
          <w:p w:rsidR="005826C7" w:rsidRPr="004761E0" w:rsidRDefault="005826C7" w:rsidP="005826C7">
            <w:pPr>
              <w:ind w:firstLine="0"/>
              <w:jc w:val="right"/>
              <w:rPr>
                <w:color w:val="000000"/>
                <w:sz w:val="20"/>
                <w:szCs w:val="20"/>
              </w:rPr>
            </w:pPr>
            <w:r w:rsidRPr="004761E0">
              <w:rPr>
                <w:color w:val="000000"/>
                <w:sz w:val="20"/>
                <w:szCs w:val="20"/>
              </w:rPr>
              <w:t>110</w:t>
            </w:r>
          </w:p>
        </w:tc>
        <w:tc>
          <w:tcPr>
            <w:tcW w:w="1701" w:type="dxa"/>
            <w:vAlign w:val="center"/>
            <w:hideMark/>
          </w:tcPr>
          <w:p w:rsidR="005826C7" w:rsidRPr="004761E0" w:rsidRDefault="005826C7" w:rsidP="005826C7">
            <w:pPr>
              <w:ind w:firstLine="0"/>
              <w:jc w:val="right"/>
              <w:rPr>
                <w:color w:val="000000"/>
                <w:sz w:val="20"/>
                <w:szCs w:val="20"/>
              </w:rPr>
            </w:pPr>
            <w:r w:rsidRPr="004761E0">
              <w:rPr>
                <w:color w:val="000000"/>
                <w:sz w:val="20"/>
                <w:szCs w:val="20"/>
              </w:rPr>
              <w:t>18</w:t>
            </w:r>
          </w:p>
        </w:tc>
        <w:tc>
          <w:tcPr>
            <w:tcW w:w="1276" w:type="dxa"/>
            <w:vAlign w:val="center"/>
            <w:hideMark/>
          </w:tcPr>
          <w:p w:rsidR="005826C7" w:rsidRPr="004761E0" w:rsidRDefault="005826C7" w:rsidP="005826C7">
            <w:pPr>
              <w:ind w:firstLine="0"/>
              <w:jc w:val="right"/>
              <w:rPr>
                <w:color w:val="000000"/>
                <w:sz w:val="20"/>
                <w:szCs w:val="20"/>
              </w:rPr>
            </w:pPr>
            <w:r w:rsidRPr="004761E0">
              <w:rPr>
                <w:color w:val="000000"/>
                <w:sz w:val="20"/>
                <w:szCs w:val="20"/>
              </w:rPr>
              <w:t>0</w:t>
            </w:r>
          </w:p>
        </w:tc>
        <w:tc>
          <w:tcPr>
            <w:tcW w:w="1701" w:type="dxa"/>
            <w:vAlign w:val="center"/>
            <w:hideMark/>
          </w:tcPr>
          <w:p w:rsidR="005826C7" w:rsidRPr="004761E0" w:rsidRDefault="005826C7" w:rsidP="005826C7">
            <w:pPr>
              <w:ind w:firstLine="0"/>
              <w:jc w:val="right"/>
              <w:rPr>
                <w:color w:val="000000"/>
                <w:sz w:val="20"/>
                <w:szCs w:val="20"/>
              </w:rPr>
            </w:pPr>
            <w:r w:rsidRPr="004761E0">
              <w:rPr>
                <w:color w:val="000000"/>
                <w:sz w:val="20"/>
                <w:szCs w:val="20"/>
              </w:rPr>
              <w:t>109</w:t>
            </w:r>
          </w:p>
        </w:tc>
        <w:tc>
          <w:tcPr>
            <w:tcW w:w="1276" w:type="dxa"/>
            <w:vAlign w:val="center"/>
            <w:hideMark/>
          </w:tcPr>
          <w:p w:rsidR="005826C7" w:rsidRPr="004761E0" w:rsidRDefault="005826C7" w:rsidP="005826C7">
            <w:pPr>
              <w:ind w:firstLine="0"/>
              <w:jc w:val="right"/>
              <w:rPr>
                <w:color w:val="000000"/>
                <w:sz w:val="20"/>
                <w:szCs w:val="20"/>
              </w:rPr>
            </w:pPr>
            <w:r w:rsidRPr="004761E0">
              <w:rPr>
                <w:color w:val="000000"/>
                <w:sz w:val="20"/>
                <w:szCs w:val="20"/>
              </w:rPr>
              <w:t>112</w:t>
            </w:r>
          </w:p>
        </w:tc>
        <w:tc>
          <w:tcPr>
            <w:tcW w:w="992" w:type="dxa"/>
            <w:vAlign w:val="center"/>
            <w:hideMark/>
          </w:tcPr>
          <w:p w:rsidR="005826C7" w:rsidRPr="004761E0" w:rsidRDefault="005826C7" w:rsidP="005826C7">
            <w:pPr>
              <w:ind w:firstLine="0"/>
              <w:jc w:val="right"/>
              <w:rPr>
                <w:color w:val="000000"/>
                <w:sz w:val="20"/>
                <w:szCs w:val="20"/>
              </w:rPr>
            </w:pPr>
            <w:r w:rsidRPr="004761E0">
              <w:rPr>
                <w:color w:val="000000"/>
                <w:sz w:val="20"/>
                <w:szCs w:val="20"/>
              </w:rPr>
              <w:t>0</w:t>
            </w:r>
          </w:p>
        </w:tc>
      </w:tr>
      <w:tr w:rsidR="005826C7" w:rsidRPr="004761E0" w:rsidTr="005826C7">
        <w:trPr>
          <w:cantSplit/>
        </w:trPr>
        <w:tc>
          <w:tcPr>
            <w:tcW w:w="534" w:type="dxa"/>
            <w:noWrap/>
            <w:hideMark/>
          </w:tcPr>
          <w:p w:rsidR="005826C7" w:rsidRPr="004761E0" w:rsidRDefault="005826C7" w:rsidP="007076A7">
            <w:pPr>
              <w:pStyle w:val="a5"/>
              <w:numPr>
                <w:ilvl w:val="1"/>
                <w:numId w:val="120"/>
              </w:numPr>
              <w:jc w:val="left"/>
              <w:rPr>
                <w:rFonts w:eastAsia="Times New Roman"/>
                <w:color w:val="000000"/>
                <w:sz w:val="20"/>
                <w:szCs w:val="20"/>
                <w:lang w:eastAsia="ru-RU"/>
              </w:rPr>
            </w:pPr>
          </w:p>
        </w:tc>
        <w:tc>
          <w:tcPr>
            <w:tcW w:w="3685" w:type="dxa"/>
            <w:hideMark/>
          </w:tcPr>
          <w:p w:rsidR="005826C7" w:rsidRPr="004761E0" w:rsidRDefault="005826C7" w:rsidP="006C365D">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под ПС 110 кВ</w:t>
            </w:r>
          </w:p>
        </w:tc>
        <w:tc>
          <w:tcPr>
            <w:tcW w:w="1234" w:type="dxa"/>
            <w:vAlign w:val="center"/>
            <w:hideMark/>
          </w:tcPr>
          <w:p w:rsidR="005826C7" w:rsidRPr="004761E0" w:rsidRDefault="005826C7" w:rsidP="005826C7">
            <w:pPr>
              <w:ind w:firstLine="0"/>
              <w:jc w:val="right"/>
              <w:rPr>
                <w:color w:val="000000"/>
                <w:sz w:val="20"/>
                <w:szCs w:val="20"/>
              </w:rPr>
            </w:pPr>
            <w:r w:rsidRPr="004761E0">
              <w:rPr>
                <w:color w:val="000000"/>
                <w:sz w:val="20"/>
                <w:szCs w:val="20"/>
              </w:rPr>
              <w:t>402</w:t>
            </w:r>
          </w:p>
        </w:tc>
        <w:tc>
          <w:tcPr>
            <w:tcW w:w="1276" w:type="dxa"/>
            <w:vAlign w:val="center"/>
            <w:hideMark/>
          </w:tcPr>
          <w:p w:rsidR="005826C7" w:rsidRPr="004761E0" w:rsidRDefault="005826C7" w:rsidP="005826C7">
            <w:pPr>
              <w:ind w:firstLine="0"/>
              <w:jc w:val="right"/>
              <w:rPr>
                <w:color w:val="000000"/>
                <w:sz w:val="20"/>
                <w:szCs w:val="20"/>
              </w:rPr>
            </w:pPr>
            <w:r w:rsidRPr="004761E0">
              <w:rPr>
                <w:color w:val="000000"/>
                <w:sz w:val="20"/>
                <w:szCs w:val="20"/>
              </w:rPr>
              <w:t>6</w:t>
            </w:r>
          </w:p>
        </w:tc>
        <w:tc>
          <w:tcPr>
            <w:tcW w:w="1417" w:type="dxa"/>
            <w:vAlign w:val="center"/>
            <w:hideMark/>
          </w:tcPr>
          <w:p w:rsidR="005826C7" w:rsidRPr="004761E0" w:rsidRDefault="005826C7" w:rsidP="005826C7">
            <w:pPr>
              <w:ind w:firstLine="0"/>
              <w:jc w:val="right"/>
              <w:rPr>
                <w:color w:val="000000"/>
                <w:sz w:val="20"/>
                <w:szCs w:val="20"/>
              </w:rPr>
            </w:pPr>
            <w:r w:rsidRPr="004761E0">
              <w:rPr>
                <w:color w:val="000000"/>
                <w:sz w:val="20"/>
                <w:szCs w:val="20"/>
              </w:rPr>
              <w:t>313</w:t>
            </w:r>
          </w:p>
        </w:tc>
        <w:tc>
          <w:tcPr>
            <w:tcW w:w="1701" w:type="dxa"/>
            <w:vAlign w:val="center"/>
            <w:hideMark/>
          </w:tcPr>
          <w:p w:rsidR="005826C7" w:rsidRPr="004761E0" w:rsidRDefault="005826C7" w:rsidP="005826C7">
            <w:pPr>
              <w:ind w:firstLine="0"/>
              <w:jc w:val="right"/>
              <w:rPr>
                <w:color w:val="000000"/>
                <w:sz w:val="20"/>
                <w:szCs w:val="20"/>
              </w:rPr>
            </w:pPr>
            <w:r w:rsidRPr="004761E0">
              <w:rPr>
                <w:color w:val="000000"/>
                <w:sz w:val="20"/>
                <w:szCs w:val="20"/>
              </w:rPr>
              <w:t>71</w:t>
            </w:r>
          </w:p>
        </w:tc>
        <w:tc>
          <w:tcPr>
            <w:tcW w:w="1276" w:type="dxa"/>
            <w:vAlign w:val="center"/>
            <w:hideMark/>
          </w:tcPr>
          <w:p w:rsidR="005826C7" w:rsidRPr="004761E0" w:rsidRDefault="005826C7" w:rsidP="005826C7">
            <w:pPr>
              <w:ind w:firstLine="0"/>
              <w:jc w:val="right"/>
              <w:rPr>
                <w:color w:val="000000"/>
                <w:sz w:val="20"/>
                <w:szCs w:val="20"/>
              </w:rPr>
            </w:pPr>
            <w:r w:rsidRPr="004761E0">
              <w:rPr>
                <w:color w:val="000000"/>
                <w:sz w:val="20"/>
                <w:szCs w:val="20"/>
              </w:rPr>
              <w:t>12</w:t>
            </w:r>
          </w:p>
        </w:tc>
        <w:tc>
          <w:tcPr>
            <w:tcW w:w="1701" w:type="dxa"/>
            <w:noWrap/>
            <w:vAlign w:val="center"/>
            <w:hideMark/>
          </w:tcPr>
          <w:p w:rsidR="005826C7" w:rsidRPr="004761E0" w:rsidRDefault="005826C7" w:rsidP="005826C7">
            <w:pPr>
              <w:ind w:firstLine="0"/>
              <w:jc w:val="right"/>
              <w:rPr>
                <w:sz w:val="20"/>
                <w:szCs w:val="20"/>
              </w:rPr>
            </w:pPr>
            <w:r w:rsidRPr="004761E0">
              <w:rPr>
                <w:sz w:val="20"/>
                <w:szCs w:val="20"/>
              </w:rPr>
              <w:t>348</w:t>
            </w:r>
          </w:p>
        </w:tc>
        <w:tc>
          <w:tcPr>
            <w:tcW w:w="1276" w:type="dxa"/>
            <w:vAlign w:val="center"/>
            <w:hideMark/>
          </w:tcPr>
          <w:p w:rsidR="005826C7" w:rsidRPr="004761E0" w:rsidRDefault="005826C7" w:rsidP="005826C7">
            <w:pPr>
              <w:ind w:firstLine="0"/>
              <w:jc w:val="right"/>
              <w:rPr>
                <w:color w:val="000000"/>
                <w:sz w:val="20"/>
                <w:szCs w:val="20"/>
              </w:rPr>
            </w:pPr>
            <w:r w:rsidRPr="004761E0">
              <w:rPr>
                <w:color w:val="000000"/>
                <w:sz w:val="20"/>
                <w:szCs w:val="20"/>
              </w:rPr>
              <w:t>319</w:t>
            </w:r>
          </w:p>
        </w:tc>
        <w:tc>
          <w:tcPr>
            <w:tcW w:w="992" w:type="dxa"/>
            <w:vAlign w:val="center"/>
            <w:hideMark/>
          </w:tcPr>
          <w:p w:rsidR="005826C7" w:rsidRPr="004761E0" w:rsidRDefault="005826C7" w:rsidP="005826C7">
            <w:pPr>
              <w:ind w:firstLine="0"/>
              <w:jc w:val="right"/>
              <w:rPr>
                <w:color w:val="000000"/>
                <w:sz w:val="20"/>
                <w:szCs w:val="20"/>
              </w:rPr>
            </w:pPr>
            <w:r w:rsidRPr="004761E0">
              <w:rPr>
                <w:color w:val="000000"/>
                <w:sz w:val="20"/>
                <w:szCs w:val="20"/>
              </w:rPr>
              <w:t>0</w:t>
            </w:r>
          </w:p>
        </w:tc>
      </w:tr>
      <w:tr w:rsidR="005826C7" w:rsidRPr="004761E0" w:rsidTr="005826C7">
        <w:trPr>
          <w:cantSplit/>
        </w:trPr>
        <w:tc>
          <w:tcPr>
            <w:tcW w:w="534" w:type="dxa"/>
            <w:noWrap/>
            <w:hideMark/>
          </w:tcPr>
          <w:p w:rsidR="005826C7" w:rsidRPr="004761E0" w:rsidRDefault="005826C7" w:rsidP="007076A7">
            <w:pPr>
              <w:pStyle w:val="a5"/>
              <w:numPr>
                <w:ilvl w:val="1"/>
                <w:numId w:val="120"/>
              </w:numPr>
              <w:jc w:val="left"/>
              <w:rPr>
                <w:rFonts w:eastAsia="Times New Roman"/>
                <w:color w:val="000000"/>
                <w:sz w:val="20"/>
                <w:szCs w:val="20"/>
                <w:lang w:eastAsia="ru-RU"/>
              </w:rPr>
            </w:pPr>
          </w:p>
        </w:tc>
        <w:tc>
          <w:tcPr>
            <w:tcW w:w="3685" w:type="dxa"/>
            <w:hideMark/>
          </w:tcPr>
          <w:p w:rsidR="005826C7" w:rsidRPr="004761E0" w:rsidRDefault="005826C7" w:rsidP="006C365D">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под ПС 35 кВ и ниже</w:t>
            </w:r>
          </w:p>
        </w:tc>
        <w:tc>
          <w:tcPr>
            <w:tcW w:w="1234" w:type="dxa"/>
            <w:vAlign w:val="center"/>
            <w:hideMark/>
          </w:tcPr>
          <w:p w:rsidR="005826C7" w:rsidRPr="004761E0" w:rsidRDefault="005826C7" w:rsidP="005826C7">
            <w:pPr>
              <w:ind w:firstLine="0"/>
              <w:jc w:val="right"/>
              <w:rPr>
                <w:color w:val="000000"/>
                <w:sz w:val="20"/>
                <w:szCs w:val="20"/>
              </w:rPr>
            </w:pPr>
            <w:r w:rsidRPr="004761E0">
              <w:rPr>
                <w:color w:val="000000"/>
                <w:sz w:val="20"/>
                <w:szCs w:val="20"/>
              </w:rPr>
              <w:t>257</w:t>
            </w:r>
          </w:p>
        </w:tc>
        <w:tc>
          <w:tcPr>
            <w:tcW w:w="1276" w:type="dxa"/>
            <w:vAlign w:val="center"/>
            <w:hideMark/>
          </w:tcPr>
          <w:p w:rsidR="005826C7" w:rsidRPr="004761E0" w:rsidRDefault="005826C7" w:rsidP="005826C7">
            <w:pPr>
              <w:ind w:firstLine="0"/>
              <w:jc w:val="right"/>
              <w:rPr>
                <w:color w:val="000000"/>
                <w:sz w:val="20"/>
                <w:szCs w:val="20"/>
              </w:rPr>
            </w:pPr>
            <w:r w:rsidRPr="004761E0">
              <w:rPr>
                <w:color w:val="000000"/>
                <w:sz w:val="20"/>
                <w:szCs w:val="20"/>
              </w:rPr>
              <w:t>0</w:t>
            </w:r>
          </w:p>
        </w:tc>
        <w:tc>
          <w:tcPr>
            <w:tcW w:w="1417" w:type="dxa"/>
            <w:vAlign w:val="center"/>
            <w:hideMark/>
          </w:tcPr>
          <w:p w:rsidR="005826C7" w:rsidRPr="004761E0" w:rsidRDefault="005826C7" w:rsidP="005826C7">
            <w:pPr>
              <w:ind w:firstLine="0"/>
              <w:jc w:val="right"/>
              <w:rPr>
                <w:color w:val="000000"/>
                <w:sz w:val="20"/>
                <w:szCs w:val="20"/>
              </w:rPr>
            </w:pPr>
            <w:r w:rsidRPr="004761E0">
              <w:rPr>
                <w:color w:val="000000"/>
                <w:sz w:val="20"/>
                <w:szCs w:val="20"/>
              </w:rPr>
              <w:t>90</w:t>
            </w:r>
          </w:p>
        </w:tc>
        <w:tc>
          <w:tcPr>
            <w:tcW w:w="1701" w:type="dxa"/>
            <w:vAlign w:val="center"/>
            <w:hideMark/>
          </w:tcPr>
          <w:p w:rsidR="005826C7" w:rsidRPr="004761E0" w:rsidRDefault="005826C7" w:rsidP="005826C7">
            <w:pPr>
              <w:ind w:firstLine="0"/>
              <w:jc w:val="right"/>
              <w:rPr>
                <w:color w:val="000000"/>
                <w:sz w:val="20"/>
                <w:szCs w:val="20"/>
              </w:rPr>
            </w:pPr>
            <w:r w:rsidRPr="004761E0">
              <w:rPr>
                <w:color w:val="000000"/>
                <w:sz w:val="20"/>
                <w:szCs w:val="20"/>
              </w:rPr>
              <w:t>49</w:t>
            </w:r>
          </w:p>
        </w:tc>
        <w:tc>
          <w:tcPr>
            <w:tcW w:w="1276" w:type="dxa"/>
            <w:vAlign w:val="center"/>
            <w:hideMark/>
          </w:tcPr>
          <w:p w:rsidR="005826C7" w:rsidRPr="004761E0" w:rsidRDefault="005826C7" w:rsidP="005826C7">
            <w:pPr>
              <w:ind w:firstLine="0"/>
              <w:jc w:val="right"/>
              <w:rPr>
                <w:color w:val="000000"/>
                <w:sz w:val="20"/>
                <w:szCs w:val="20"/>
              </w:rPr>
            </w:pPr>
            <w:r w:rsidRPr="004761E0">
              <w:rPr>
                <w:color w:val="000000"/>
                <w:sz w:val="20"/>
                <w:szCs w:val="20"/>
              </w:rPr>
              <w:t>118</w:t>
            </w:r>
          </w:p>
        </w:tc>
        <w:tc>
          <w:tcPr>
            <w:tcW w:w="1701" w:type="dxa"/>
            <w:noWrap/>
            <w:vAlign w:val="center"/>
            <w:hideMark/>
          </w:tcPr>
          <w:p w:rsidR="005826C7" w:rsidRPr="004761E0" w:rsidRDefault="005826C7" w:rsidP="005826C7">
            <w:pPr>
              <w:ind w:firstLine="0"/>
              <w:jc w:val="right"/>
              <w:rPr>
                <w:sz w:val="20"/>
                <w:szCs w:val="20"/>
              </w:rPr>
            </w:pPr>
            <w:r w:rsidRPr="004761E0">
              <w:rPr>
                <w:sz w:val="20"/>
                <w:szCs w:val="20"/>
              </w:rPr>
              <w:t>99</w:t>
            </w:r>
          </w:p>
        </w:tc>
        <w:tc>
          <w:tcPr>
            <w:tcW w:w="1276" w:type="dxa"/>
            <w:vAlign w:val="center"/>
            <w:hideMark/>
          </w:tcPr>
          <w:p w:rsidR="005826C7" w:rsidRPr="004761E0" w:rsidRDefault="005826C7" w:rsidP="005826C7">
            <w:pPr>
              <w:ind w:firstLine="0"/>
              <w:jc w:val="right"/>
              <w:rPr>
                <w:color w:val="000000"/>
                <w:sz w:val="20"/>
                <w:szCs w:val="20"/>
              </w:rPr>
            </w:pPr>
            <w:r w:rsidRPr="004761E0">
              <w:rPr>
                <w:color w:val="000000"/>
                <w:sz w:val="20"/>
                <w:szCs w:val="20"/>
              </w:rPr>
              <w:t>90</w:t>
            </w:r>
          </w:p>
        </w:tc>
        <w:tc>
          <w:tcPr>
            <w:tcW w:w="992" w:type="dxa"/>
            <w:vAlign w:val="center"/>
            <w:hideMark/>
          </w:tcPr>
          <w:p w:rsidR="005826C7" w:rsidRPr="004761E0" w:rsidRDefault="005826C7" w:rsidP="005826C7">
            <w:pPr>
              <w:ind w:firstLine="0"/>
              <w:jc w:val="right"/>
              <w:rPr>
                <w:color w:val="000000"/>
                <w:sz w:val="20"/>
                <w:szCs w:val="20"/>
              </w:rPr>
            </w:pPr>
            <w:r w:rsidRPr="004761E0">
              <w:rPr>
                <w:color w:val="000000"/>
                <w:sz w:val="20"/>
                <w:szCs w:val="20"/>
              </w:rPr>
              <w:t>0</w:t>
            </w:r>
          </w:p>
        </w:tc>
      </w:tr>
      <w:tr w:rsidR="005826C7" w:rsidRPr="004761E0" w:rsidTr="005826C7">
        <w:trPr>
          <w:cantSplit/>
        </w:trPr>
        <w:tc>
          <w:tcPr>
            <w:tcW w:w="534" w:type="dxa"/>
            <w:noWrap/>
            <w:hideMark/>
          </w:tcPr>
          <w:p w:rsidR="005826C7" w:rsidRPr="004761E0" w:rsidRDefault="005826C7" w:rsidP="007076A7">
            <w:pPr>
              <w:pStyle w:val="a5"/>
              <w:numPr>
                <w:ilvl w:val="0"/>
                <w:numId w:val="119"/>
              </w:numPr>
              <w:ind w:right="-140"/>
              <w:jc w:val="left"/>
              <w:rPr>
                <w:rFonts w:eastAsia="Times New Roman"/>
                <w:b/>
                <w:bCs/>
                <w:color w:val="000000"/>
                <w:sz w:val="20"/>
                <w:szCs w:val="20"/>
                <w:lang w:eastAsia="ru-RU"/>
              </w:rPr>
            </w:pPr>
          </w:p>
        </w:tc>
        <w:tc>
          <w:tcPr>
            <w:tcW w:w="3685" w:type="dxa"/>
            <w:hideMark/>
          </w:tcPr>
          <w:p w:rsidR="005826C7" w:rsidRPr="004761E0" w:rsidRDefault="005826C7" w:rsidP="006C365D">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Под ВЛ 220 кВ и выше</w:t>
            </w:r>
          </w:p>
        </w:tc>
        <w:tc>
          <w:tcPr>
            <w:tcW w:w="1234" w:type="dxa"/>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35</w:t>
            </w:r>
          </w:p>
        </w:tc>
        <w:tc>
          <w:tcPr>
            <w:tcW w:w="1276" w:type="dxa"/>
            <w:vAlign w:val="center"/>
            <w:hideMark/>
          </w:tcPr>
          <w:p w:rsidR="005826C7" w:rsidRPr="004761E0" w:rsidRDefault="005826C7" w:rsidP="005826C7">
            <w:pPr>
              <w:ind w:firstLine="0"/>
              <w:jc w:val="right"/>
              <w:rPr>
                <w:b/>
                <w:bCs/>
                <w:sz w:val="20"/>
                <w:szCs w:val="20"/>
              </w:rPr>
            </w:pPr>
            <w:r w:rsidRPr="004761E0">
              <w:rPr>
                <w:b/>
                <w:bCs/>
                <w:sz w:val="20"/>
                <w:szCs w:val="20"/>
              </w:rPr>
              <w:t>0</w:t>
            </w:r>
          </w:p>
        </w:tc>
        <w:tc>
          <w:tcPr>
            <w:tcW w:w="1417" w:type="dxa"/>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9</w:t>
            </w:r>
          </w:p>
        </w:tc>
        <w:tc>
          <w:tcPr>
            <w:tcW w:w="1701" w:type="dxa"/>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1</w:t>
            </w:r>
          </w:p>
        </w:tc>
        <w:tc>
          <w:tcPr>
            <w:tcW w:w="1276" w:type="dxa"/>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24</w:t>
            </w:r>
          </w:p>
        </w:tc>
        <w:tc>
          <w:tcPr>
            <w:tcW w:w="1701" w:type="dxa"/>
            <w:noWrap/>
            <w:vAlign w:val="center"/>
            <w:hideMark/>
          </w:tcPr>
          <w:p w:rsidR="005826C7" w:rsidRPr="004761E0" w:rsidRDefault="005826C7" w:rsidP="005826C7">
            <w:pPr>
              <w:ind w:firstLine="0"/>
              <w:jc w:val="right"/>
              <w:rPr>
                <w:b/>
                <w:bCs/>
                <w:sz w:val="20"/>
                <w:szCs w:val="20"/>
              </w:rPr>
            </w:pPr>
            <w:r w:rsidRPr="004761E0">
              <w:rPr>
                <w:b/>
                <w:bCs/>
                <w:sz w:val="20"/>
                <w:szCs w:val="20"/>
              </w:rPr>
              <w:t>3</w:t>
            </w:r>
          </w:p>
        </w:tc>
        <w:tc>
          <w:tcPr>
            <w:tcW w:w="1276" w:type="dxa"/>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9</w:t>
            </w:r>
          </w:p>
        </w:tc>
        <w:tc>
          <w:tcPr>
            <w:tcW w:w="992" w:type="dxa"/>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1 353</w:t>
            </w:r>
          </w:p>
        </w:tc>
      </w:tr>
      <w:tr w:rsidR="005826C7" w:rsidRPr="004761E0" w:rsidTr="005826C7">
        <w:trPr>
          <w:cantSplit/>
        </w:trPr>
        <w:tc>
          <w:tcPr>
            <w:tcW w:w="534" w:type="dxa"/>
            <w:noWrap/>
            <w:hideMark/>
          </w:tcPr>
          <w:p w:rsidR="005826C7" w:rsidRPr="004761E0" w:rsidRDefault="005826C7" w:rsidP="007076A7">
            <w:pPr>
              <w:pStyle w:val="a5"/>
              <w:numPr>
                <w:ilvl w:val="0"/>
                <w:numId w:val="119"/>
              </w:numPr>
              <w:ind w:right="-140"/>
              <w:jc w:val="left"/>
              <w:rPr>
                <w:rFonts w:eastAsia="Times New Roman"/>
                <w:b/>
                <w:bCs/>
                <w:color w:val="000000"/>
                <w:sz w:val="20"/>
                <w:szCs w:val="20"/>
                <w:lang w:eastAsia="ru-RU"/>
              </w:rPr>
            </w:pPr>
          </w:p>
        </w:tc>
        <w:tc>
          <w:tcPr>
            <w:tcW w:w="3685" w:type="dxa"/>
            <w:hideMark/>
          </w:tcPr>
          <w:p w:rsidR="005826C7" w:rsidRPr="004761E0" w:rsidRDefault="005826C7" w:rsidP="006C365D">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Под ВЛ 110 кВ и ниже (всего), в т.ч.:</w:t>
            </w:r>
          </w:p>
        </w:tc>
        <w:tc>
          <w:tcPr>
            <w:tcW w:w="1234" w:type="dxa"/>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376</w:t>
            </w:r>
          </w:p>
        </w:tc>
        <w:tc>
          <w:tcPr>
            <w:tcW w:w="1276" w:type="dxa"/>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0</w:t>
            </w:r>
          </w:p>
        </w:tc>
        <w:tc>
          <w:tcPr>
            <w:tcW w:w="1417" w:type="dxa"/>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35</w:t>
            </w:r>
          </w:p>
        </w:tc>
        <w:tc>
          <w:tcPr>
            <w:tcW w:w="1701" w:type="dxa"/>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104</w:t>
            </w:r>
          </w:p>
        </w:tc>
        <w:tc>
          <w:tcPr>
            <w:tcW w:w="1276" w:type="dxa"/>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237</w:t>
            </w:r>
          </w:p>
        </w:tc>
        <w:tc>
          <w:tcPr>
            <w:tcW w:w="1701" w:type="dxa"/>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42</w:t>
            </w:r>
          </w:p>
        </w:tc>
        <w:tc>
          <w:tcPr>
            <w:tcW w:w="1276" w:type="dxa"/>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35</w:t>
            </w:r>
          </w:p>
        </w:tc>
        <w:tc>
          <w:tcPr>
            <w:tcW w:w="992" w:type="dxa"/>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15 834</w:t>
            </w:r>
          </w:p>
        </w:tc>
      </w:tr>
      <w:tr w:rsidR="005826C7" w:rsidRPr="004761E0" w:rsidTr="005826C7">
        <w:trPr>
          <w:cantSplit/>
        </w:trPr>
        <w:tc>
          <w:tcPr>
            <w:tcW w:w="534" w:type="dxa"/>
            <w:noWrap/>
            <w:hideMark/>
          </w:tcPr>
          <w:p w:rsidR="005826C7" w:rsidRPr="004761E0" w:rsidRDefault="005826C7" w:rsidP="007076A7">
            <w:pPr>
              <w:pStyle w:val="a5"/>
              <w:numPr>
                <w:ilvl w:val="1"/>
                <w:numId w:val="119"/>
              </w:numPr>
              <w:ind w:left="0" w:firstLine="0"/>
              <w:jc w:val="left"/>
              <w:rPr>
                <w:rFonts w:eastAsia="Times New Roman"/>
                <w:color w:val="000000"/>
                <w:sz w:val="20"/>
                <w:szCs w:val="20"/>
                <w:lang w:eastAsia="ru-RU"/>
              </w:rPr>
            </w:pPr>
          </w:p>
        </w:tc>
        <w:tc>
          <w:tcPr>
            <w:tcW w:w="3685" w:type="dxa"/>
            <w:hideMark/>
          </w:tcPr>
          <w:p w:rsidR="005826C7" w:rsidRPr="004761E0" w:rsidRDefault="005826C7" w:rsidP="006C365D">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под ВЛ 110 кВ</w:t>
            </w:r>
          </w:p>
        </w:tc>
        <w:tc>
          <w:tcPr>
            <w:tcW w:w="1234" w:type="dxa"/>
            <w:vAlign w:val="center"/>
            <w:hideMark/>
          </w:tcPr>
          <w:p w:rsidR="005826C7" w:rsidRPr="004761E0" w:rsidRDefault="005826C7" w:rsidP="005826C7">
            <w:pPr>
              <w:ind w:firstLine="0"/>
              <w:jc w:val="right"/>
              <w:rPr>
                <w:sz w:val="20"/>
                <w:szCs w:val="20"/>
              </w:rPr>
            </w:pPr>
            <w:r w:rsidRPr="004761E0">
              <w:rPr>
                <w:sz w:val="20"/>
                <w:szCs w:val="20"/>
              </w:rPr>
              <w:t>173</w:t>
            </w:r>
          </w:p>
        </w:tc>
        <w:tc>
          <w:tcPr>
            <w:tcW w:w="1276" w:type="dxa"/>
            <w:vAlign w:val="center"/>
            <w:hideMark/>
          </w:tcPr>
          <w:p w:rsidR="005826C7" w:rsidRPr="004761E0" w:rsidRDefault="005826C7" w:rsidP="005826C7">
            <w:pPr>
              <w:ind w:firstLine="0"/>
              <w:jc w:val="right"/>
              <w:rPr>
                <w:sz w:val="20"/>
                <w:szCs w:val="20"/>
              </w:rPr>
            </w:pPr>
            <w:r w:rsidRPr="004761E0">
              <w:rPr>
                <w:sz w:val="20"/>
                <w:szCs w:val="20"/>
              </w:rPr>
              <w:t>0</w:t>
            </w:r>
          </w:p>
        </w:tc>
        <w:tc>
          <w:tcPr>
            <w:tcW w:w="1417" w:type="dxa"/>
            <w:vAlign w:val="center"/>
            <w:hideMark/>
          </w:tcPr>
          <w:p w:rsidR="005826C7" w:rsidRPr="004761E0" w:rsidRDefault="005826C7" w:rsidP="005826C7">
            <w:pPr>
              <w:ind w:firstLine="0"/>
              <w:jc w:val="right"/>
              <w:rPr>
                <w:sz w:val="20"/>
                <w:szCs w:val="20"/>
              </w:rPr>
            </w:pPr>
            <w:r w:rsidRPr="004761E0">
              <w:rPr>
                <w:sz w:val="20"/>
                <w:szCs w:val="20"/>
              </w:rPr>
              <w:t>21</w:t>
            </w:r>
          </w:p>
        </w:tc>
        <w:tc>
          <w:tcPr>
            <w:tcW w:w="1701" w:type="dxa"/>
            <w:vAlign w:val="center"/>
            <w:hideMark/>
          </w:tcPr>
          <w:p w:rsidR="005826C7" w:rsidRPr="004761E0" w:rsidRDefault="005826C7" w:rsidP="005826C7">
            <w:pPr>
              <w:ind w:firstLine="0"/>
              <w:jc w:val="right"/>
              <w:rPr>
                <w:sz w:val="20"/>
                <w:szCs w:val="20"/>
              </w:rPr>
            </w:pPr>
            <w:r w:rsidRPr="004761E0">
              <w:rPr>
                <w:sz w:val="20"/>
                <w:szCs w:val="20"/>
              </w:rPr>
              <w:t>39</w:t>
            </w:r>
          </w:p>
        </w:tc>
        <w:tc>
          <w:tcPr>
            <w:tcW w:w="1276" w:type="dxa"/>
            <w:vAlign w:val="center"/>
            <w:hideMark/>
          </w:tcPr>
          <w:p w:rsidR="005826C7" w:rsidRPr="004761E0" w:rsidRDefault="005826C7" w:rsidP="005826C7">
            <w:pPr>
              <w:ind w:firstLine="0"/>
              <w:jc w:val="right"/>
              <w:rPr>
                <w:sz w:val="20"/>
                <w:szCs w:val="20"/>
              </w:rPr>
            </w:pPr>
            <w:r w:rsidRPr="004761E0">
              <w:rPr>
                <w:sz w:val="20"/>
                <w:szCs w:val="20"/>
              </w:rPr>
              <w:t>113</w:t>
            </w:r>
          </w:p>
        </w:tc>
        <w:tc>
          <w:tcPr>
            <w:tcW w:w="1701" w:type="dxa"/>
            <w:vAlign w:val="center"/>
            <w:hideMark/>
          </w:tcPr>
          <w:p w:rsidR="005826C7" w:rsidRPr="004761E0" w:rsidRDefault="005826C7" w:rsidP="005826C7">
            <w:pPr>
              <w:ind w:firstLine="0"/>
              <w:jc w:val="right"/>
              <w:rPr>
                <w:sz w:val="20"/>
                <w:szCs w:val="20"/>
              </w:rPr>
            </w:pPr>
            <w:r w:rsidRPr="004761E0">
              <w:rPr>
                <w:sz w:val="20"/>
                <w:szCs w:val="20"/>
              </w:rPr>
              <w:t>27</w:t>
            </w:r>
          </w:p>
        </w:tc>
        <w:tc>
          <w:tcPr>
            <w:tcW w:w="1276" w:type="dxa"/>
            <w:vAlign w:val="center"/>
            <w:hideMark/>
          </w:tcPr>
          <w:p w:rsidR="005826C7" w:rsidRPr="004761E0" w:rsidRDefault="005826C7" w:rsidP="005826C7">
            <w:pPr>
              <w:ind w:firstLine="0"/>
              <w:jc w:val="right"/>
              <w:rPr>
                <w:sz w:val="20"/>
                <w:szCs w:val="20"/>
              </w:rPr>
            </w:pPr>
            <w:r w:rsidRPr="004761E0">
              <w:rPr>
                <w:sz w:val="20"/>
                <w:szCs w:val="20"/>
              </w:rPr>
              <w:t>21</w:t>
            </w:r>
          </w:p>
        </w:tc>
        <w:tc>
          <w:tcPr>
            <w:tcW w:w="992" w:type="dxa"/>
            <w:vAlign w:val="center"/>
            <w:hideMark/>
          </w:tcPr>
          <w:p w:rsidR="005826C7" w:rsidRPr="004761E0" w:rsidRDefault="005826C7" w:rsidP="005826C7">
            <w:pPr>
              <w:ind w:firstLine="0"/>
              <w:jc w:val="right"/>
              <w:rPr>
                <w:color w:val="000000"/>
                <w:sz w:val="20"/>
                <w:szCs w:val="20"/>
              </w:rPr>
            </w:pPr>
            <w:r w:rsidRPr="004761E0">
              <w:rPr>
                <w:color w:val="000000"/>
                <w:sz w:val="20"/>
                <w:szCs w:val="20"/>
              </w:rPr>
              <w:t>8 629</w:t>
            </w:r>
          </w:p>
        </w:tc>
      </w:tr>
      <w:tr w:rsidR="005826C7" w:rsidRPr="004761E0" w:rsidTr="005826C7">
        <w:trPr>
          <w:cantSplit/>
        </w:trPr>
        <w:tc>
          <w:tcPr>
            <w:tcW w:w="534" w:type="dxa"/>
            <w:noWrap/>
            <w:hideMark/>
          </w:tcPr>
          <w:p w:rsidR="005826C7" w:rsidRPr="004761E0" w:rsidRDefault="005826C7" w:rsidP="007076A7">
            <w:pPr>
              <w:pStyle w:val="a5"/>
              <w:numPr>
                <w:ilvl w:val="1"/>
                <w:numId w:val="119"/>
              </w:numPr>
              <w:ind w:left="0" w:firstLine="0"/>
              <w:jc w:val="left"/>
              <w:rPr>
                <w:rFonts w:eastAsia="Times New Roman"/>
                <w:color w:val="000000"/>
                <w:sz w:val="20"/>
                <w:szCs w:val="20"/>
                <w:lang w:eastAsia="ru-RU"/>
              </w:rPr>
            </w:pPr>
          </w:p>
        </w:tc>
        <w:tc>
          <w:tcPr>
            <w:tcW w:w="3685" w:type="dxa"/>
            <w:hideMark/>
          </w:tcPr>
          <w:p w:rsidR="005826C7" w:rsidRPr="004761E0" w:rsidRDefault="005826C7" w:rsidP="006C365D">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под ВЛ 35 кВ</w:t>
            </w:r>
          </w:p>
        </w:tc>
        <w:tc>
          <w:tcPr>
            <w:tcW w:w="1234" w:type="dxa"/>
            <w:vAlign w:val="center"/>
            <w:hideMark/>
          </w:tcPr>
          <w:p w:rsidR="005826C7" w:rsidRPr="004761E0" w:rsidRDefault="005826C7" w:rsidP="005826C7">
            <w:pPr>
              <w:ind w:firstLine="0"/>
              <w:jc w:val="right"/>
              <w:rPr>
                <w:sz w:val="20"/>
                <w:szCs w:val="20"/>
              </w:rPr>
            </w:pPr>
            <w:r w:rsidRPr="004761E0">
              <w:rPr>
                <w:sz w:val="20"/>
                <w:szCs w:val="20"/>
              </w:rPr>
              <w:t>51</w:t>
            </w:r>
          </w:p>
        </w:tc>
        <w:tc>
          <w:tcPr>
            <w:tcW w:w="1276" w:type="dxa"/>
            <w:noWrap/>
            <w:vAlign w:val="center"/>
            <w:hideMark/>
          </w:tcPr>
          <w:p w:rsidR="005826C7" w:rsidRPr="004761E0" w:rsidRDefault="005826C7" w:rsidP="005826C7">
            <w:pPr>
              <w:ind w:firstLine="0"/>
              <w:jc w:val="right"/>
              <w:rPr>
                <w:sz w:val="20"/>
                <w:szCs w:val="20"/>
              </w:rPr>
            </w:pPr>
            <w:r w:rsidRPr="004761E0">
              <w:rPr>
                <w:sz w:val="20"/>
                <w:szCs w:val="20"/>
              </w:rPr>
              <w:t>0</w:t>
            </w:r>
          </w:p>
        </w:tc>
        <w:tc>
          <w:tcPr>
            <w:tcW w:w="1417" w:type="dxa"/>
            <w:noWrap/>
            <w:vAlign w:val="center"/>
            <w:hideMark/>
          </w:tcPr>
          <w:p w:rsidR="005826C7" w:rsidRPr="004761E0" w:rsidRDefault="005826C7" w:rsidP="005826C7">
            <w:pPr>
              <w:ind w:firstLine="0"/>
              <w:jc w:val="right"/>
              <w:rPr>
                <w:sz w:val="20"/>
                <w:szCs w:val="20"/>
              </w:rPr>
            </w:pPr>
            <w:r w:rsidRPr="004761E0">
              <w:rPr>
                <w:sz w:val="20"/>
                <w:szCs w:val="20"/>
              </w:rPr>
              <w:t>9</w:t>
            </w:r>
          </w:p>
        </w:tc>
        <w:tc>
          <w:tcPr>
            <w:tcW w:w="1701" w:type="dxa"/>
            <w:noWrap/>
            <w:vAlign w:val="center"/>
            <w:hideMark/>
          </w:tcPr>
          <w:p w:rsidR="005826C7" w:rsidRPr="004761E0" w:rsidRDefault="005826C7" w:rsidP="005826C7">
            <w:pPr>
              <w:ind w:firstLine="0"/>
              <w:jc w:val="right"/>
              <w:rPr>
                <w:sz w:val="20"/>
                <w:szCs w:val="20"/>
              </w:rPr>
            </w:pPr>
            <w:r w:rsidRPr="004761E0">
              <w:rPr>
                <w:sz w:val="20"/>
                <w:szCs w:val="20"/>
              </w:rPr>
              <w:t>5</w:t>
            </w:r>
          </w:p>
        </w:tc>
        <w:tc>
          <w:tcPr>
            <w:tcW w:w="1276" w:type="dxa"/>
            <w:noWrap/>
            <w:vAlign w:val="center"/>
            <w:hideMark/>
          </w:tcPr>
          <w:p w:rsidR="005826C7" w:rsidRPr="004761E0" w:rsidRDefault="005826C7" w:rsidP="005826C7">
            <w:pPr>
              <w:ind w:firstLine="0"/>
              <w:jc w:val="right"/>
              <w:rPr>
                <w:sz w:val="20"/>
                <w:szCs w:val="20"/>
              </w:rPr>
            </w:pPr>
            <w:r w:rsidRPr="004761E0">
              <w:rPr>
                <w:sz w:val="20"/>
                <w:szCs w:val="20"/>
              </w:rPr>
              <w:t>37</w:t>
            </w:r>
          </w:p>
        </w:tc>
        <w:tc>
          <w:tcPr>
            <w:tcW w:w="1701" w:type="dxa"/>
            <w:noWrap/>
            <w:vAlign w:val="center"/>
            <w:hideMark/>
          </w:tcPr>
          <w:p w:rsidR="005826C7" w:rsidRPr="004761E0" w:rsidRDefault="005826C7" w:rsidP="005826C7">
            <w:pPr>
              <w:ind w:firstLine="0"/>
              <w:jc w:val="right"/>
              <w:rPr>
                <w:sz w:val="20"/>
                <w:szCs w:val="20"/>
              </w:rPr>
            </w:pPr>
            <w:r w:rsidRPr="004761E0">
              <w:rPr>
                <w:sz w:val="20"/>
                <w:szCs w:val="20"/>
              </w:rPr>
              <w:t>14</w:t>
            </w:r>
          </w:p>
        </w:tc>
        <w:tc>
          <w:tcPr>
            <w:tcW w:w="1276" w:type="dxa"/>
            <w:noWrap/>
            <w:vAlign w:val="center"/>
            <w:hideMark/>
          </w:tcPr>
          <w:p w:rsidR="005826C7" w:rsidRPr="004761E0" w:rsidRDefault="005826C7" w:rsidP="005826C7">
            <w:pPr>
              <w:ind w:firstLine="0"/>
              <w:jc w:val="right"/>
              <w:rPr>
                <w:sz w:val="20"/>
                <w:szCs w:val="20"/>
              </w:rPr>
            </w:pPr>
            <w:r w:rsidRPr="004761E0">
              <w:rPr>
                <w:sz w:val="20"/>
                <w:szCs w:val="20"/>
              </w:rPr>
              <w:t>9</w:t>
            </w:r>
          </w:p>
        </w:tc>
        <w:tc>
          <w:tcPr>
            <w:tcW w:w="992" w:type="dxa"/>
            <w:vAlign w:val="center"/>
            <w:hideMark/>
          </w:tcPr>
          <w:p w:rsidR="005826C7" w:rsidRPr="004761E0" w:rsidRDefault="005826C7" w:rsidP="005826C7">
            <w:pPr>
              <w:ind w:firstLine="0"/>
              <w:jc w:val="right"/>
              <w:rPr>
                <w:color w:val="000000"/>
                <w:sz w:val="20"/>
                <w:szCs w:val="20"/>
              </w:rPr>
            </w:pPr>
            <w:r w:rsidRPr="004761E0">
              <w:rPr>
                <w:color w:val="000000"/>
                <w:sz w:val="20"/>
                <w:szCs w:val="20"/>
              </w:rPr>
              <w:t>3 948</w:t>
            </w:r>
          </w:p>
        </w:tc>
      </w:tr>
      <w:tr w:rsidR="005826C7" w:rsidRPr="004761E0" w:rsidTr="005826C7">
        <w:trPr>
          <w:cantSplit/>
        </w:trPr>
        <w:tc>
          <w:tcPr>
            <w:tcW w:w="534" w:type="dxa"/>
            <w:noWrap/>
            <w:hideMark/>
          </w:tcPr>
          <w:p w:rsidR="005826C7" w:rsidRPr="004761E0" w:rsidRDefault="005826C7" w:rsidP="007076A7">
            <w:pPr>
              <w:pStyle w:val="a5"/>
              <w:numPr>
                <w:ilvl w:val="1"/>
                <w:numId w:val="119"/>
              </w:numPr>
              <w:ind w:left="0" w:firstLine="0"/>
              <w:jc w:val="left"/>
              <w:rPr>
                <w:rFonts w:eastAsia="Times New Roman"/>
                <w:color w:val="000000"/>
                <w:sz w:val="20"/>
                <w:szCs w:val="20"/>
                <w:lang w:eastAsia="ru-RU"/>
              </w:rPr>
            </w:pPr>
          </w:p>
        </w:tc>
        <w:tc>
          <w:tcPr>
            <w:tcW w:w="3685" w:type="dxa"/>
            <w:hideMark/>
          </w:tcPr>
          <w:p w:rsidR="005826C7" w:rsidRPr="004761E0" w:rsidRDefault="005826C7" w:rsidP="006C365D">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 xml:space="preserve">под ВЛ 0,4/6/10 кВ </w:t>
            </w:r>
          </w:p>
        </w:tc>
        <w:tc>
          <w:tcPr>
            <w:tcW w:w="1234" w:type="dxa"/>
            <w:vAlign w:val="center"/>
            <w:hideMark/>
          </w:tcPr>
          <w:p w:rsidR="005826C7" w:rsidRPr="004761E0" w:rsidRDefault="005826C7" w:rsidP="005826C7">
            <w:pPr>
              <w:ind w:firstLine="0"/>
              <w:jc w:val="right"/>
              <w:rPr>
                <w:sz w:val="20"/>
                <w:szCs w:val="20"/>
              </w:rPr>
            </w:pPr>
            <w:r w:rsidRPr="004761E0">
              <w:rPr>
                <w:sz w:val="20"/>
                <w:szCs w:val="20"/>
              </w:rPr>
              <w:t>152</w:t>
            </w:r>
          </w:p>
        </w:tc>
        <w:tc>
          <w:tcPr>
            <w:tcW w:w="1276" w:type="dxa"/>
            <w:noWrap/>
            <w:vAlign w:val="center"/>
            <w:hideMark/>
          </w:tcPr>
          <w:p w:rsidR="005826C7" w:rsidRPr="004761E0" w:rsidRDefault="005826C7" w:rsidP="005826C7">
            <w:pPr>
              <w:ind w:firstLine="0"/>
              <w:jc w:val="right"/>
              <w:rPr>
                <w:sz w:val="20"/>
                <w:szCs w:val="20"/>
              </w:rPr>
            </w:pPr>
            <w:r w:rsidRPr="004761E0">
              <w:rPr>
                <w:sz w:val="20"/>
                <w:szCs w:val="20"/>
              </w:rPr>
              <w:t>0</w:t>
            </w:r>
          </w:p>
        </w:tc>
        <w:tc>
          <w:tcPr>
            <w:tcW w:w="1417" w:type="dxa"/>
            <w:noWrap/>
            <w:vAlign w:val="center"/>
            <w:hideMark/>
          </w:tcPr>
          <w:p w:rsidR="005826C7" w:rsidRPr="004761E0" w:rsidRDefault="005826C7" w:rsidP="005826C7">
            <w:pPr>
              <w:ind w:firstLine="0"/>
              <w:jc w:val="right"/>
              <w:rPr>
                <w:sz w:val="20"/>
                <w:szCs w:val="20"/>
              </w:rPr>
            </w:pPr>
            <w:r w:rsidRPr="004761E0">
              <w:rPr>
                <w:sz w:val="20"/>
                <w:szCs w:val="20"/>
              </w:rPr>
              <w:t>6</w:t>
            </w:r>
          </w:p>
        </w:tc>
        <w:tc>
          <w:tcPr>
            <w:tcW w:w="1701" w:type="dxa"/>
            <w:noWrap/>
            <w:vAlign w:val="center"/>
            <w:hideMark/>
          </w:tcPr>
          <w:p w:rsidR="005826C7" w:rsidRPr="004761E0" w:rsidRDefault="005826C7" w:rsidP="005826C7">
            <w:pPr>
              <w:ind w:firstLine="0"/>
              <w:jc w:val="right"/>
              <w:rPr>
                <w:sz w:val="20"/>
                <w:szCs w:val="20"/>
              </w:rPr>
            </w:pPr>
            <w:r w:rsidRPr="004761E0">
              <w:rPr>
                <w:sz w:val="20"/>
                <w:szCs w:val="20"/>
              </w:rPr>
              <w:t>60</w:t>
            </w:r>
          </w:p>
        </w:tc>
        <w:tc>
          <w:tcPr>
            <w:tcW w:w="1276" w:type="dxa"/>
            <w:noWrap/>
            <w:vAlign w:val="center"/>
            <w:hideMark/>
          </w:tcPr>
          <w:p w:rsidR="005826C7" w:rsidRPr="004761E0" w:rsidRDefault="005826C7" w:rsidP="005826C7">
            <w:pPr>
              <w:ind w:firstLine="0"/>
              <w:jc w:val="right"/>
              <w:rPr>
                <w:sz w:val="20"/>
                <w:szCs w:val="20"/>
              </w:rPr>
            </w:pPr>
            <w:r w:rsidRPr="004761E0">
              <w:rPr>
                <w:sz w:val="20"/>
                <w:szCs w:val="20"/>
              </w:rPr>
              <w:t>87</w:t>
            </w:r>
          </w:p>
        </w:tc>
        <w:tc>
          <w:tcPr>
            <w:tcW w:w="1701" w:type="dxa"/>
            <w:noWrap/>
            <w:vAlign w:val="center"/>
            <w:hideMark/>
          </w:tcPr>
          <w:p w:rsidR="005826C7" w:rsidRPr="004761E0" w:rsidRDefault="005826C7" w:rsidP="005826C7">
            <w:pPr>
              <w:ind w:firstLine="0"/>
              <w:jc w:val="right"/>
              <w:rPr>
                <w:sz w:val="20"/>
                <w:szCs w:val="20"/>
              </w:rPr>
            </w:pPr>
            <w:r w:rsidRPr="004761E0">
              <w:rPr>
                <w:sz w:val="20"/>
                <w:szCs w:val="20"/>
              </w:rPr>
              <w:t>1</w:t>
            </w:r>
          </w:p>
        </w:tc>
        <w:tc>
          <w:tcPr>
            <w:tcW w:w="1276" w:type="dxa"/>
            <w:noWrap/>
            <w:vAlign w:val="center"/>
            <w:hideMark/>
          </w:tcPr>
          <w:p w:rsidR="005826C7" w:rsidRPr="004761E0" w:rsidRDefault="005826C7" w:rsidP="005826C7">
            <w:pPr>
              <w:ind w:firstLine="0"/>
              <w:jc w:val="right"/>
              <w:rPr>
                <w:sz w:val="20"/>
                <w:szCs w:val="20"/>
              </w:rPr>
            </w:pPr>
            <w:r w:rsidRPr="004761E0">
              <w:rPr>
                <w:sz w:val="20"/>
                <w:szCs w:val="20"/>
              </w:rPr>
              <w:t>6</w:t>
            </w:r>
          </w:p>
        </w:tc>
        <w:tc>
          <w:tcPr>
            <w:tcW w:w="992" w:type="dxa"/>
            <w:vAlign w:val="center"/>
            <w:hideMark/>
          </w:tcPr>
          <w:p w:rsidR="005826C7" w:rsidRPr="004761E0" w:rsidRDefault="005826C7" w:rsidP="005826C7">
            <w:pPr>
              <w:ind w:firstLine="0"/>
              <w:jc w:val="right"/>
              <w:rPr>
                <w:color w:val="000000"/>
                <w:sz w:val="20"/>
                <w:szCs w:val="20"/>
              </w:rPr>
            </w:pPr>
            <w:r w:rsidRPr="004761E0">
              <w:rPr>
                <w:color w:val="000000"/>
                <w:sz w:val="20"/>
                <w:szCs w:val="20"/>
              </w:rPr>
              <w:t>3 257</w:t>
            </w:r>
          </w:p>
        </w:tc>
      </w:tr>
      <w:tr w:rsidR="005826C7" w:rsidRPr="004761E0" w:rsidTr="005826C7">
        <w:trPr>
          <w:cantSplit/>
        </w:trPr>
        <w:tc>
          <w:tcPr>
            <w:tcW w:w="534" w:type="dxa"/>
            <w:noWrap/>
            <w:hideMark/>
          </w:tcPr>
          <w:p w:rsidR="005826C7" w:rsidRPr="004761E0" w:rsidRDefault="005826C7" w:rsidP="007076A7">
            <w:pPr>
              <w:pStyle w:val="a5"/>
              <w:numPr>
                <w:ilvl w:val="0"/>
                <w:numId w:val="119"/>
              </w:numPr>
              <w:ind w:right="-140"/>
              <w:jc w:val="left"/>
              <w:rPr>
                <w:rFonts w:eastAsia="Times New Roman"/>
                <w:b/>
                <w:bCs/>
                <w:color w:val="000000"/>
                <w:sz w:val="20"/>
                <w:szCs w:val="20"/>
                <w:lang w:eastAsia="ru-RU"/>
              </w:rPr>
            </w:pPr>
          </w:p>
        </w:tc>
        <w:tc>
          <w:tcPr>
            <w:tcW w:w="3685" w:type="dxa"/>
            <w:hideMark/>
          </w:tcPr>
          <w:p w:rsidR="005826C7" w:rsidRPr="004761E0" w:rsidRDefault="005826C7" w:rsidP="006C365D">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Под объектами электростанций</w:t>
            </w:r>
          </w:p>
        </w:tc>
        <w:tc>
          <w:tcPr>
            <w:tcW w:w="1234"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276"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417"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701"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276"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701"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276"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992"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r>
      <w:tr w:rsidR="005826C7" w:rsidRPr="004761E0" w:rsidTr="005826C7">
        <w:trPr>
          <w:cantSplit/>
        </w:trPr>
        <w:tc>
          <w:tcPr>
            <w:tcW w:w="534" w:type="dxa"/>
            <w:noWrap/>
            <w:hideMark/>
          </w:tcPr>
          <w:p w:rsidR="005826C7" w:rsidRPr="004761E0" w:rsidRDefault="005826C7" w:rsidP="007076A7">
            <w:pPr>
              <w:pStyle w:val="a5"/>
              <w:numPr>
                <w:ilvl w:val="0"/>
                <w:numId w:val="119"/>
              </w:numPr>
              <w:ind w:right="-140"/>
              <w:jc w:val="left"/>
              <w:rPr>
                <w:rFonts w:eastAsia="Times New Roman"/>
                <w:b/>
                <w:bCs/>
                <w:color w:val="000000"/>
                <w:sz w:val="20"/>
                <w:szCs w:val="20"/>
                <w:lang w:eastAsia="ru-RU"/>
              </w:rPr>
            </w:pPr>
          </w:p>
        </w:tc>
        <w:tc>
          <w:tcPr>
            <w:tcW w:w="3685" w:type="dxa"/>
            <w:hideMark/>
          </w:tcPr>
          <w:p w:rsidR="005826C7" w:rsidRPr="004761E0" w:rsidRDefault="005826C7" w:rsidP="006C365D">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Под объектами котельных</w:t>
            </w:r>
          </w:p>
        </w:tc>
        <w:tc>
          <w:tcPr>
            <w:tcW w:w="1234"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276"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417"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701"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276"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701"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276"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992"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r>
      <w:tr w:rsidR="005826C7" w:rsidRPr="004761E0" w:rsidTr="005826C7">
        <w:trPr>
          <w:cantSplit/>
        </w:trPr>
        <w:tc>
          <w:tcPr>
            <w:tcW w:w="534" w:type="dxa"/>
            <w:noWrap/>
            <w:hideMark/>
          </w:tcPr>
          <w:p w:rsidR="005826C7" w:rsidRPr="004761E0" w:rsidRDefault="005826C7" w:rsidP="007076A7">
            <w:pPr>
              <w:pStyle w:val="a5"/>
              <w:numPr>
                <w:ilvl w:val="0"/>
                <w:numId w:val="119"/>
              </w:numPr>
              <w:ind w:right="-140"/>
              <w:jc w:val="left"/>
              <w:rPr>
                <w:rFonts w:eastAsia="Times New Roman"/>
                <w:b/>
                <w:bCs/>
                <w:color w:val="000000"/>
                <w:sz w:val="20"/>
                <w:szCs w:val="20"/>
                <w:lang w:eastAsia="ru-RU"/>
              </w:rPr>
            </w:pPr>
          </w:p>
        </w:tc>
        <w:tc>
          <w:tcPr>
            <w:tcW w:w="3685" w:type="dxa"/>
            <w:hideMark/>
          </w:tcPr>
          <w:p w:rsidR="005826C7" w:rsidRPr="004761E0" w:rsidRDefault="005826C7" w:rsidP="006C365D">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Под теплосетевыми объектами</w:t>
            </w:r>
          </w:p>
        </w:tc>
        <w:tc>
          <w:tcPr>
            <w:tcW w:w="1234"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276"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417"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701"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276"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701"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1276"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c>
          <w:tcPr>
            <w:tcW w:w="992" w:type="dxa"/>
            <w:vAlign w:val="center"/>
            <w:hideMark/>
          </w:tcPr>
          <w:p w:rsidR="005826C7" w:rsidRPr="004761E0" w:rsidRDefault="005826C7" w:rsidP="005826C7">
            <w:pPr>
              <w:ind w:firstLine="0"/>
              <w:jc w:val="right"/>
              <w:rPr>
                <w:rFonts w:eastAsia="Times New Roman"/>
                <w:color w:val="000000"/>
                <w:sz w:val="20"/>
                <w:szCs w:val="20"/>
                <w:lang w:eastAsia="ru-RU"/>
              </w:rPr>
            </w:pPr>
            <w:r w:rsidRPr="004761E0">
              <w:rPr>
                <w:b/>
                <w:bCs/>
                <w:color w:val="000000"/>
                <w:sz w:val="20"/>
                <w:szCs w:val="20"/>
              </w:rPr>
              <w:t>–</w:t>
            </w:r>
          </w:p>
        </w:tc>
      </w:tr>
      <w:tr w:rsidR="005826C7" w:rsidRPr="004761E0" w:rsidTr="005826C7">
        <w:trPr>
          <w:cantSplit/>
        </w:trPr>
        <w:tc>
          <w:tcPr>
            <w:tcW w:w="534" w:type="dxa"/>
            <w:noWrap/>
            <w:hideMark/>
          </w:tcPr>
          <w:p w:rsidR="005826C7" w:rsidRPr="004761E0" w:rsidRDefault="005826C7" w:rsidP="007076A7">
            <w:pPr>
              <w:pStyle w:val="a5"/>
              <w:numPr>
                <w:ilvl w:val="0"/>
                <w:numId w:val="119"/>
              </w:numPr>
              <w:ind w:right="-140"/>
              <w:jc w:val="left"/>
              <w:rPr>
                <w:rFonts w:eastAsia="Times New Roman"/>
                <w:b/>
                <w:bCs/>
                <w:color w:val="000000"/>
                <w:sz w:val="20"/>
                <w:szCs w:val="20"/>
                <w:lang w:eastAsia="ru-RU"/>
              </w:rPr>
            </w:pPr>
          </w:p>
        </w:tc>
        <w:tc>
          <w:tcPr>
            <w:tcW w:w="3685" w:type="dxa"/>
            <w:hideMark/>
          </w:tcPr>
          <w:p w:rsidR="005826C7" w:rsidRPr="004761E0" w:rsidRDefault="005826C7" w:rsidP="006C365D">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Под другими объектами</w:t>
            </w:r>
          </w:p>
        </w:tc>
        <w:tc>
          <w:tcPr>
            <w:tcW w:w="1234" w:type="dxa"/>
            <w:vAlign w:val="center"/>
            <w:hideMark/>
          </w:tcPr>
          <w:p w:rsidR="005826C7" w:rsidRPr="004761E0" w:rsidRDefault="005826C7" w:rsidP="005826C7">
            <w:pPr>
              <w:ind w:firstLine="0"/>
              <w:jc w:val="right"/>
              <w:rPr>
                <w:b/>
                <w:bCs/>
                <w:sz w:val="20"/>
                <w:szCs w:val="20"/>
              </w:rPr>
            </w:pPr>
            <w:r w:rsidRPr="004761E0">
              <w:rPr>
                <w:b/>
                <w:bCs/>
                <w:sz w:val="20"/>
                <w:szCs w:val="20"/>
              </w:rPr>
              <w:t>152</w:t>
            </w:r>
          </w:p>
        </w:tc>
        <w:tc>
          <w:tcPr>
            <w:tcW w:w="1276" w:type="dxa"/>
            <w:noWrap/>
            <w:vAlign w:val="center"/>
            <w:hideMark/>
          </w:tcPr>
          <w:p w:rsidR="005826C7" w:rsidRPr="004761E0" w:rsidRDefault="005826C7" w:rsidP="005826C7">
            <w:pPr>
              <w:ind w:firstLine="0"/>
              <w:jc w:val="right"/>
              <w:rPr>
                <w:b/>
                <w:bCs/>
                <w:sz w:val="20"/>
                <w:szCs w:val="20"/>
              </w:rPr>
            </w:pPr>
            <w:r w:rsidRPr="004761E0">
              <w:rPr>
                <w:b/>
                <w:bCs/>
                <w:sz w:val="20"/>
                <w:szCs w:val="20"/>
              </w:rPr>
              <w:t>47</w:t>
            </w:r>
          </w:p>
        </w:tc>
        <w:tc>
          <w:tcPr>
            <w:tcW w:w="1417" w:type="dxa"/>
            <w:noWrap/>
            <w:vAlign w:val="center"/>
            <w:hideMark/>
          </w:tcPr>
          <w:p w:rsidR="005826C7" w:rsidRPr="004761E0" w:rsidRDefault="005826C7" w:rsidP="005826C7">
            <w:pPr>
              <w:ind w:firstLine="0"/>
              <w:jc w:val="right"/>
              <w:rPr>
                <w:b/>
                <w:bCs/>
                <w:sz w:val="20"/>
                <w:szCs w:val="20"/>
              </w:rPr>
            </w:pPr>
            <w:r w:rsidRPr="004761E0">
              <w:rPr>
                <w:b/>
                <w:bCs/>
                <w:sz w:val="20"/>
                <w:szCs w:val="20"/>
              </w:rPr>
              <w:t>78</w:t>
            </w:r>
          </w:p>
        </w:tc>
        <w:tc>
          <w:tcPr>
            <w:tcW w:w="1701" w:type="dxa"/>
            <w:noWrap/>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21</w:t>
            </w:r>
          </w:p>
        </w:tc>
        <w:tc>
          <w:tcPr>
            <w:tcW w:w="1276" w:type="dxa"/>
            <w:noWrap/>
            <w:vAlign w:val="center"/>
            <w:hideMark/>
          </w:tcPr>
          <w:p w:rsidR="005826C7" w:rsidRPr="004761E0" w:rsidRDefault="005826C7" w:rsidP="005826C7">
            <w:pPr>
              <w:ind w:firstLine="0"/>
              <w:jc w:val="right"/>
              <w:rPr>
                <w:b/>
                <w:bCs/>
                <w:sz w:val="20"/>
                <w:szCs w:val="20"/>
              </w:rPr>
            </w:pPr>
            <w:r w:rsidRPr="004761E0">
              <w:rPr>
                <w:b/>
                <w:bCs/>
                <w:sz w:val="20"/>
                <w:szCs w:val="20"/>
              </w:rPr>
              <w:t>6</w:t>
            </w:r>
          </w:p>
        </w:tc>
        <w:tc>
          <w:tcPr>
            <w:tcW w:w="1701" w:type="dxa"/>
            <w:noWrap/>
            <w:vAlign w:val="center"/>
            <w:hideMark/>
          </w:tcPr>
          <w:p w:rsidR="005826C7" w:rsidRPr="004761E0" w:rsidRDefault="005826C7" w:rsidP="005826C7">
            <w:pPr>
              <w:ind w:firstLine="0"/>
              <w:jc w:val="right"/>
              <w:rPr>
                <w:b/>
                <w:bCs/>
                <w:sz w:val="20"/>
                <w:szCs w:val="20"/>
              </w:rPr>
            </w:pPr>
            <w:r w:rsidRPr="004761E0">
              <w:rPr>
                <w:b/>
                <w:bCs/>
                <w:sz w:val="20"/>
                <w:szCs w:val="20"/>
              </w:rPr>
              <w:t>126</w:t>
            </w:r>
          </w:p>
        </w:tc>
        <w:tc>
          <w:tcPr>
            <w:tcW w:w="1276" w:type="dxa"/>
            <w:noWrap/>
            <w:vAlign w:val="center"/>
            <w:hideMark/>
          </w:tcPr>
          <w:p w:rsidR="005826C7" w:rsidRPr="004761E0" w:rsidRDefault="005826C7" w:rsidP="005826C7">
            <w:pPr>
              <w:ind w:firstLine="0"/>
              <w:jc w:val="right"/>
              <w:rPr>
                <w:b/>
                <w:bCs/>
                <w:sz w:val="20"/>
                <w:szCs w:val="20"/>
              </w:rPr>
            </w:pPr>
            <w:r w:rsidRPr="004761E0">
              <w:rPr>
                <w:b/>
                <w:bCs/>
                <w:sz w:val="20"/>
                <w:szCs w:val="20"/>
              </w:rPr>
              <w:t>125</w:t>
            </w:r>
          </w:p>
        </w:tc>
        <w:tc>
          <w:tcPr>
            <w:tcW w:w="992" w:type="dxa"/>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0</w:t>
            </w:r>
          </w:p>
        </w:tc>
      </w:tr>
      <w:tr w:rsidR="005826C7" w:rsidRPr="004761E0" w:rsidTr="005826C7">
        <w:trPr>
          <w:cantSplit/>
        </w:trPr>
        <w:tc>
          <w:tcPr>
            <w:tcW w:w="534" w:type="dxa"/>
            <w:noWrap/>
            <w:hideMark/>
          </w:tcPr>
          <w:p w:rsidR="005826C7" w:rsidRPr="004761E0" w:rsidRDefault="005826C7" w:rsidP="007076A7">
            <w:pPr>
              <w:pStyle w:val="a5"/>
              <w:numPr>
                <w:ilvl w:val="0"/>
                <w:numId w:val="119"/>
              </w:numPr>
              <w:ind w:right="-140"/>
              <w:jc w:val="left"/>
              <w:rPr>
                <w:rFonts w:eastAsia="Times New Roman"/>
                <w:b/>
                <w:bCs/>
                <w:color w:val="000000"/>
                <w:sz w:val="20"/>
                <w:szCs w:val="20"/>
                <w:lang w:eastAsia="ru-RU"/>
              </w:rPr>
            </w:pPr>
          </w:p>
        </w:tc>
        <w:tc>
          <w:tcPr>
            <w:tcW w:w="3685" w:type="dxa"/>
            <w:noWrap/>
            <w:hideMark/>
          </w:tcPr>
          <w:p w:rsidR="005826C7" w:rsidRPr="004761E0" w:rsidRDefault="005826C7" w:rsidP="006C365D">
            <w:pPr>
              <w:ind w:firstLine="0"/>
              <w:jc w:val="left"/>
              <w:rPr>
                <w:rFonts w:eastAsia="Times New Roman"/>
                <w:b/>
                <w:bCs/>
                <w:color w:val="000000"/>
                <w:sz w:val="20"/>
                <w:szCs w:val="20"/>
                <w:lang w:eastAsia="ru-RU"/>
              </w:rPr>
            </w:pPr>
            <w:r w:rsidRPr="004761E0">
              <w:rPr>
                <w:rFonts w:eastAsia="Times New Roman"/>
                <w:b/>
                <w:bCs/>
                <w:color w:val="000000"/>
                <w:sz w:val="20"/>
                <w:szCs w:val="20"/>
                <w:lang w:eastAsia="ru-RU"/>
              </w:rPr>
              <w:t>Итого</w:t>
            </w:r>
          </w:p>
        </w:tc>
        <w:tc>
          <w:tcPr>
            <w:tcW w:w="1234" w:type="dxa"/>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1 351</w:t>
            </w:r>
          </w:p>
        </w:tc>
        <w:tc>
          <w:tcPr>
            <w:tcW w:w="1276" w:type="dxa"/>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55</w:t>
            </w:r>
          </w:p>
        </w:tc>
        <w:tc>
          <w:tcPr>
            <w:tcW w:w="1417" w:type="dxa"/>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635</w:t>
            </w:r>
          </w:p>
        </w:tc>
        <w:tc>
          <w:tcPr>
            <w:tcW w:w="1701" w:type="dxa"/>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264</w:t>
            </w:r>
          </w:p>
        </w:tc>
        <w:tc>
          <w:tcPr>
            <w:tcW w:w="1276" w:type="dxa"/>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396</w:t>
            </w:r>
          </w:p>
        </w:tc>
        <w:tc>
          <w:tcPr>
            <w:tcW w:w="1701" w:type="dxa"/>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725</w:t>
            </w:r>
          </w:p>
        </w:tc>
        <w:tc>
          <w:tcPr>
            <w:tcW w:w="1276" w:type="dxa"/>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690</w:t>
            </w:r>
          </w:p>
        </w:tc>
        <w:tc>
          <w:tcPr>
            <w:tcW w:w="992" w:type="dxa"/>
            <w:vAlign w:val="center"/>
            <w:hideMark/>
          </w:tcPr>
          <w:p w:rsidR="005826C7" w:rsidRPr="004761E0" w:rsidRDefault="005826C7" w:rsidP="005826C7">
            <w:pPr>
              <w:ind w:firstLine="0"/>
              <w:jc w:val="right"/>
              <w:rPr>
                <w:b/>
                <w:bCs/>
                <w:color w:val="000000"/>
                <w:sz w:val="20"/>
                <w:szCs w:val="20"/>
              </w:rPr>
            </w:pPr>
            <w:r w:rsidRPr="004761E0">
              <w:rPr>
                <w:b/>
                <w:bCs/>
                <w:color w:val="000000"/>
                <w:sz w:val="20"/>
                <w:szCs w:val="20"/>
              </w:rPr>
              <w:t>17 187</w:t>
            </w:r>
          </w:p>
        </w:tc>
      </w:tr>
    </w:tbl>
    <w:p w:rsidR="00027A32" w:rsidRPr="004761E0" w:rsidRDefault="00027A32" w:rsidP="005826C7">
      <w:pPr>
        <w:rPr>
          <w:lang w:eastAsia="ru-RU"/>
        </w:rPr>
      </w:pPr>
    </w:p>
    <w:p w:rsidR="00D27A39" w:rsidRPr="004761E0" w:rsidRDefault="00D27A39" w:rsidP="00D27A39">
      <w:pPr>
        <w:rPr>
          <w:lang w:eastAsia="ru-RU"/>
        </w:rPr>
        <w:sectPr w:rsidR="00D27A39" w:rsidRPr="004761E0" w:rsidSect="005826C7">
          <w:pgSz w:w="16838" w:h="11906" w:orient="landscape"/>
          <w:pgMar w:top="1701" w:right="1134" w:bottom="851" w:left="1134" w:header="709" w:footer="709" w:gutter="0"/>
          <w:cols w:space="708"/>
          <w:docGrid w:linePitch="360"/>
        </w:sectPr>
      </w:pPr>
    </w:p>
    <w:p w:rsidR="00136A10" w:rsidRPr="004761E0" w:rsidRDefault="00E34ACB" w:rsidP="007076A7">
      <w:pPr>
        <w:pStyle w:val="a8"/>
        <w:numPr>
          <w:ilvl w:val="1"/>
          <w:numId w:val="321"/>
        </w:numPr>
        <w:spacing w:before="120" w:after="120"/>
        <w:ind w:left="1134" w:hanging="567"/>
        <w:jc w:val="both"/>
        <w:rPr>
          <w:rFonts w:ascii="Times New Roman" w:hAnsi="Times New Roman"/>
          <w:b/>
          <w:sz w:val="26"/>
          <w:szCs w:val="26"/>
        </w:rPr>
      </w:pPr>
      <w:bookmarkStart w:id="108" w:name="_Toc380576939"/>
      <w:bookmarkStart w:id="109" w:name="_Toc385339835"/>
      <w:r w:rsidRPr="004761E0">
        <w:rPr>
          <w:rFonts w:ascii="Times New Roman" w:hAnsi="Times New Roman"/>
          <w:b/>
          <w:sz w:val="26"/>
          <w:szCs w:val="26"/>
        </w:rPr>
        <w:lastRenderedPageBreak/>
        <w:t>Акции</w:t>
      </w:r>
      <w:bookmarkEnd w:id="108"/>
      <w:bookmarkEnd w:id="109"/>
    </w:p>
    <w:p w:rsidR="004C1494" w:rsidRPr="004761E0" w:rsidRDefault="004C1494" w:rsidP="00743B24">
      <w:pPr>
        <w:autoSpaceDE w:val="0"/>
        <w:autoSpaceDN w:val="0"/>
        <w:adjustRightInd w:val="0"/>
        <w:ind w:firstLine="567"/>
        <w:rPr>
          <w:sz w:val="26"/>
          <w:szCs w:val="26"/>
        </w:rPr>
      </w:pPr>
      <w:r w:rsidRPr="004761E0">
        <w:rPr>
          <w:sz w:val="26"/>
          <w:szCs w:val="26"/>
        </w:rPr>
        <w:t xml:space="preserve">Уставный капитал </w:t>
      </w:r>
      <w:r w:rsidR="0008080E">
        <w:rPr>
          <w:sz w:val="26"/>
          <w:szCs w:val="26"/>
        </w:rPr>
        <w:t>ОАО </w:t>
      </w:r>
      <w:r w:rsidRPr="004761E0">
        <w:rPr>
          <w:sz w:val="26"/>
          <w:szCs w:val="26"/>
        </w:rPr>
        <w:t xml:space="preserve">«МОЭСК» составляет 24 353 545 787 руб. и разделен на 48 707 091 574 обыкновенных акций номинальной стоимостью 0,5 руб. каждая. В 2008 году в связи с реорганизацией </w:t>
      </w:r>
      <w:r w:rsidR="0008080E">
        <w:rPr>
          <w:sz w:val="26"/>
          <w:szCs w:val="26"/>
        </w:rPr>
        <w:t>ОАО </w:t>
      </w:r>
      <w:r w:rsidRPr="004761E0">
        <w:rPr>
          <w:sz w:val="26"/>
          <w:szCs w:val="26"/>
        </w:rPr>
        <w:t xml:space="preserve">«МОЭСК» в форме присоединения к нему </w:t>
      </w:r>
      <w:r w:rsidR="0008080E">
        <w:rPr>
          <w:sz w:val="26"/>
          <w:szCs w:val="26"/>
        </w:rPr>
        <w:t>ОАО </w:t>
      </w:r>
      <w:r w:rsidRPr="004761E0">
        <w:rPr>
          <w:sz w:val="26"/>
          <w:szCs w:val="26"/>
        </w:rPr>
        <w:t>«МГЭсК» проведена дополнительная эмиссия обыкновенных акций, но не все объявленные ценные бумаги размещены. В настоящее время согласно Уставу Общество вправе дополнительно разместить 3 718</w:t>
      </w:r>
      <w:r w:rsidRPr="004761E0">
        <w:t> </w:t>
      </w:r>
      <w:r w:rsidRPr="004761E0">
        <w:rPr>
          <w:sz w:val="26"/>
          <w:szCs w:val="26"/>
        </w:rPr>
        <w:t xml:space="preserve">126 обыкновенных акций номинальной стоимостью 0,5 руб. каждая на общую сумму 1 859 063 руб. </w:t>
      </w:r>
    </w:p>
    <w:p w:rsidR="00027A32" w:rsidRPr="004761E0" w:rsidRDefault="00BA326D" w:rsidP="00743B24">
      <w:pPr>
        <w:spacing w:before="120" w:after="120"/>
        <w:ind w:firstLine="567"/>
        <w:rPr>
          <w:b/>
          <w:sz w:val="26"/>
          <w:szCs w:val="26"/>
          <w:lang w:eastAsia="ru-RU"/>
        </w:rPr>
      </w:pPr>
      <w:r w:rsidRPr="004761E0">
        <w:rPr>
          <w:b/>
          <w:sz w:val="26"/>
          <w:szCs w:val="26"/>
          <w:lang w:eastAsia="ru-RU"/>
        </w:rPr>
        <w:t>Информация о зарегистрированных выпусках акций</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2"/>
        <w:gridCol w:w="2835"/>
        <w:gridCol w:w="1134"/>
        <w:gridCol w:w="1560"/>
        <w:gridCol w:w="1076"/>
        <w:gridCol w:w="1173"/>
        <w:gridCol w:w="1294"/>
      </w:tblGrid>
      <w:tr w:rsidR="004C1494" w:rsidRPr="004761E0" w:rsidTr="004C1494">
        <w:trPr>
          <w:trHeight w:val="1020"/>
        </w:trPr>
        <w:tc>
          <w:tcPr>
            <w:tcW w:w="582" w:type="dxa"/>
            <w:tcBorders>
              <w:right w:val="single" w:sz="4" w:space="0" w:color="FFFFFF" w:themeColor="background1"/>
            </w:tcBorders>
            <w:shd w:val="clear" w:color="auto" w:fill="0F243E" w:themeFill="text2" w:themeFillShade="80"/>
            <w:vAlign w:val="center"/>
            <w:hideMark/>
          </w:tcPr>
          <w:p w:rsidR="004C1494" w:rsidRPr="004761E0" w:rsidRDefault="004C1494" w:rsidP="00AF531F">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2835" w:type="dxa"/>
            <w:tcBorders>
              <w:left w:val="single" w:sz="4" w:space="0" w:color="FFFFFF" w:themeColor="background1"/>
              <w:right w:val="single" w:sz="4" w:space="0" w:color="FFFFFF" w:themeColor="background1"/>
            </w:tcBorders>
            <w:shd w:val="clear" w:color="auto" w:fill="0F243E" w:themeFill="text2" w:themeFillShade="80"/>
            <w:vAlign w:val="center"/>
            <w:hideMark/>
          </w:tcPr>
          <w:p w:rsidR="004C1494" w:rsidRPr="004761E0" w:rsidRDefault="004C1494" w:rsidP="00AF531F">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Государственный регистрационный номер выпуска</w:t>
            </w:r>
          </w:p>
        </w:tc>
        <w:tc>
          <w:tcPr>
            <w:tcW w:w="1134" w:type="dxa"/>
            <w:tcBorders>
              <w:left w:val="single" w:sz="4" w:space="0" w:color="FFFFFF" w:themeColor="background1"/>
              <w:right w:val="single" w:sz="4" w:space="0" w:color="FFFFFF" w:themeColor="background1"/>
            </w:tcBorders>
            <w:shd w:val="clear" w:color="auto" w:fill="0F243E" w:themeFill="text2" w:themeFillShade="80"/>
            <w:hideMark/>
          </w:tcPr>
          <w:p w:rsidR="004C1494" w:rsidRPr="004761E0" w:rsidRDefault="004C1494" w:rsidP="00AF531F">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Дата государственной регистрации выпуска</w:t>
            </w:r>
          </w:p>
        </w:tc>
        <w:tc>
          <w:tcPr>
            <w:tcW w:w="1560" w:type="dxa"/>
            <w:tcBorders>
              <w:left w:val="single" w:sz="4" w:space="0" w:color="FFFFFF" w:themeColor="background1"/>
              <w:right w:val="single" w:sz="4" w:space="0" w:color="FFFFFF" w:themeColor="background1"/>
            </w:tcBorders>
            <w:shd w:val="clear" w:color="auto" w:fill="0F243E" w:themeFill="text2" w:themeFillShade="80"/>
            <w:hideMark/>
          </w:tcPr>
          <w:p w:rsidR="004C1494" w:rsidRPr="004761E0" w:rsidRDefault="004C1494" w:rsidP="00AF531F">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Количество размещенных акций, шт.</w:t>
            </w:r>
          </w:p>
        </w:tc>
        <w:tc>
          <w:tcPr>
            <w:tcW w:w="1076" w:type="dxa"/>
            <w:tcBorders>
              <w:left w:val="single" w:sz="4" w:space="0" w:color="FFFFFF" w:themeColor="background1"/>
              <w:right w:val="single" w:sz="4" w:space="0" w:color="FFFFFF" w:themeColor="background1"/>
            </w:tcBorders>
            <w:shd w:val="clear" w:color="auto" w:fill="0F243E" w:themeFill="text2" w:themeFillShade="80"/>
            <w:hideMark/>
          </w:tcPr>
          <w:p w:rsidR="004C1494" w:rsidRPr="004761E0" w:rsidRDefault="004C1494" w:rsidP="00AF531F">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Номинальная стоимость, руб.</w:t>
            </w:r>
          </w:p>
        </w:tc>
        <w:tc>
          <w:tcPr>
            <w:tcW w:w="1173" w:type="dxa"/>
            <w:tcBorders>
              <w:left w:val="single" w:sz="4" w:space="0" w:color="FFFFFF" w:themeColor="background1"/>
              <w:right w:val="single" w:sz="4" w:space="0" w:color="FFFFFF" w:themeColor="background1"/>
            </w:tcBorders>
            <w:shd w:val="clear" w:color="auto" w:fill="0F243E" w:themeFill="text2" w:themeFillShade="80"/>
            <w:hideMark/>
          </w:tcPr>
          <w:p w:rsidR="004C1494" w:rsidRPr="004761E0" w:rsidRDefault="004C1494" w:rsidP="00AF531F">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Способ размещения</w:t>
            </w:r>
          </w:p>
        </w:tc>
        <w:tc>
          <w:tcPr>
            <w:tcW w:w="1294" w:type="dxa"/>
            <w:tcBorders>
              <w:left w:val="single" w:sz="4" w:space="0" w:color="FFFFFF" w:themeColor="background1"/>
            </w:tcBorders>
            <w:shd w:val="clear" w:color="auto" w:fill="0F243E" w:themeFill="text2" w:themeFillShade="80"/>
            <w:hideMark/>
          </w:tcPr>
          <w:p w:rsidR="004C1494" w:rsidRPr="004761E0" w:rsidRDefault="004C1494" w:rsidP="00AF531F">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Дата регистрации отчета об итогах выпуска</w:t>
            </w:r>
          </w:p>
        </w:tc>
      </w:tr>
      <w:tr w:rsidR="004C1494" w:rsidRPr="004761E0" w:rsidTr="004C1494">
        <w:trPr>
          <w:trHeight w:val="1275"/>
        </w:trPr>
        <w:tc>
          <w:tcPr>
            <w:tcW w:w="582" w:type="dxa"/>
            <w:shd w:val="clear" w:color="auto" w:fill="auto"/>
            <w:vAlign w:val="center"/>
            <w:hideMark/>
          </w:tcPr>
          <w:p w:rsidR="004C1494" w:rsidRPr="004761E0" w:rsidRDefault="004C1494" w:rsidP="00AF531F">
            <w:pPr>
              <w:ind w:firstLine="0"/>
              <w:rPr>
                <w:rFonts w:eastAsia="Times New Roman"/>
                <w:color w:val="000000"/>
                <w:sz w:val="20"/>
                <w:szCs w:val="20"/>
                <w:lang w:eastAsia="ru-RU"/>
              </w:rPr>
            </w:pPr>
            <w:r w:rsidRPr="004761E0">
              <w:rPr>
                <w:rFonts w:eastAsia="Times New Roman"/>
                <w:color w:val="000000"/>
                <w:sz w:val="20"/>
                <w:szCs w:val="20"/>
                <w:lang w:eastAsia="ru-RU"/>
              </w:rPr>
              <w:t>1.</w:t>
            </w:r>
          </w:p>
        </w:tc>
        <w:tc>
          <w:tcPr>
            <w:tcW w:w="2835" w:type="dxa"/>
            <w:shd w:val="clear" w:color="auto" w:fill="auto"/>
            <w:vAlign w:val="center"/>
            <w:hideMark/>
          </w:tcPr>
          <w:p w:rsidR="004C1494" w:rsidRPr="004761E0" w:rsidRDefault="004C1494" w:rsidP="00AF531F">
            <w:pPr>
              <w:ind w:firstLine="0"/>
              <w:rPr>
                <w:rFonts w:eastAsia="Times New Roman"/>
                <w:color w:val="000000"/>
                <w:sz w:val="20"/>
                <w:szCs w:val="20"/>
                <w:lang w:eastAsia="ru-RU"/>
              </w:rPr>
            </w:pPr>
            <w:r w:rsidRPr="004761E0">
              <w:rPr>
                <w:rFonts w:eastAsia="Times New Roman"/>
                <w:color w:val="000000"/>
                <w:sz w:val="20"/>
                <w:szCs w:val="20"/>
                <w:lang w:eastAsia="ru-RU"/>
              </w:rPr>
              <w:t>1-01-65116-D</w:t>
            </w:r>
          </w:p>
        </w:tc>
        <w:tc>
          <w:tcPr>
            <w:tcW w:w="1134" w:type="dxa"/>
            <w:shd w:val="clear" w:color="000000" w:fill="FFFFFF"/>
            <w:vAlign w:val="center"/>
            <w:hideMark/>
          </w:tcPr>
          <w:p w:rsidR="004C1494" w:rsidRPr="004761E0" w:rsidRDefault="004C1494" w:rsidP="00AF531F">
            <w:pPr>
              <w:ind w:firstLine="0"/>
              <w:jc w:val="center"/>
              <w:rPr>
                <w:rFonts w:eastAsia="Times New Roman"/>
                <w:color w:val="000000"/>
                <w:sz w:val="20"/>
                <w:szCs w:val="20"/>
                <w:lang w:eastAsia="ru-RU"/>
              </w:rPr>
            </w:pPr>
            <w:r w:rsidRPr="004761E0">
              <w:rPr>
                <w:rFonts w:eastAsia="Times New Roman"/>
                <w:color w:val="000000"/>
                <w:sz w:val="20"/>
                <w:szCs w:val="20"/>
                <w:lang w:eastAsia="ru-RU"/>
              </w:rPr>
              <w:t>31.05.2005</w:t>
            </w:r>
          </w:p>
        </w:tc>
        <w:tc>
          <w:tcPr>
            <w:tcW w:w="1560" w:type="dxa"/>
            <w:shd w:val="clear" w:color="000000" w:fill="FFFFFF"/>
            <w:vAlign w:val="center"/>
            <w:hideMark/>
          </w:tcPr>
          <w:p w:rsidR="004C1494" w:rsidRPr="004761E0" w:rsidRDefault="004C1494" w:rsidP="00AF531F">
            <w:pPr>
              <w:ind w:firstLine="0"/>
              <w:jc w:val="center"/>
              <w:rPr>
                <w:rFonts w:eastAsia="Times New Roman"/>
                <w:color w:val="000000"/>
                <w:sz w:val="20"/>
                <w:szCs w:val="20"/>
                <w:lang w:eastAsia="ru-RU"/>
              </w:rPr>
            </w:pPr>
            <w:r w:rsidRPr="004761E0">
              <w:rPr>
                <w:rFonts w:eastAsia="Times New Roman"/>
                <w:color w:val="000000"/>
                <w:sz w:val="20"/>
                <w:szCs w:val="20"/>
                <w:lang w:eastAsia="ru-RU"/>
              </w:rPr>
              <w:t>28 249 359 700</w:t>
            </w:r>
          </w:p>
        </w:tc>
        <w:tc>
          <w:tcPr>
            <w:tcW w:w="1076" w:type="dxa"/>
            <w:shd w:val="clear" w:color="000000" w:fill="FFFFFF"/>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0,5</w:t>
            </w:r>
          </w:p>
        </w:tc>
        <w:tc>
          <w:tcPr>
            <w:tcW w:w="1173" w:type="dxa"/>
            <w:shd w:val="clear" w:color="000000" w:fill="FFFFFF"/>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 xml:space="preserve">Распределение среди акционеров </w:t>
            </w:r>
            <w:r w:rsidR="0008080E">
              <w:rPr>
                <w:rFonts w:eastAsia="Times New Roman"/>
                <w:color w:val="000000"/>
                <w:sz w:val="20"/>
                <w:szCs w:val="20"/>
                <w:lang w:eastAsia="ru-RU"/>
              </w:rPr>
              <w:t>ОАО </w:t>
            </w:r>
            <w:r w:rsidRPr="004761E0">
              <w:rPr>
                <w:rFonts w:eastAsia="Times New Roman"/>
                <w:color w:val="000000"/>
                <w:sz w:val="20"/>
                <w:szCs w:val="20"/>
                <w:lang w:eastAsia="ru-RU"/>
              </w:rPr>
              <w:t>«Мосэнерго»</w:t>
            </w:r>
          </w:p>
        </w:tc>
        <w:tc>
          <w:tcPr>
            <w:tcW w:w="1294" w:type="dxa"/>
            <w:shd w:val="clear" w:color="000000" w:fill="FFFFFF"/>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31.05.2005</w:t>
            </w:r>
          </w:p>
        </w:tc>
      </w:tr>
      <w:tr w:rsidR="004C1494" w:rsidRPr="004761E0" w:rsidTr="004C1494">
        <w:trPr>
          <w:trHeight w:val="765"/>
        </w:trPr>
        <w:tc>
          <w:tcPr>
            <w:tcW w:w="582" w:type="dxa"/>
            <w:shd w:val="clear" w:color="auto" w:fill="auto"/>
            <w:vAlign w:val="center"/>
            <w:hideMark/>
          </w:tcPr>
          <w:p w:rsidR="004C1494" w:rsidRPr="004761E0" w:rsidRDefault="004C1494" w:rsidP="00AF531F">
            <w:pPr>
              <w:ind w:firstLine="0"/>
              <w:rPr>
                <w:rFonts w:eastAsia="Times New Roman"/>
                <w:color w:val="000000"/>
                <w:sz w:val="20"/>
                <w:szCs w:val="20"/>
                <w:lang w:eastAsia="ru-RU"/>
              </w:rPr>
            </w:pPr>
            <w:r w:rsidRPr="004761E0">
              <w:rPr>
                <w:rFonts w:eastAsia="Times New Roman"/>
                <w:color w:val="000000"/>
                <w:sz w:val="20"/>
                <w:szCs w:val="20"/>
                <w:lang w:eastAsia="ru-RU"/>
              </w:rPr>
              <w:t>2.</w:t>
            </w:r>
          </w:p>
        </w:tc>
        <w:tc>
          <w:tcPr>
            <w:tcW w:w="2835" w:type="dxa"/>
            <w:shd w:val="clear" w:color="auto" w:fill="auto"/>
            <w:vAlign w:val="center"/>
            <w:hideMark/>
          </w:tcPr>
          <w:p w:rsidR="004C1494" w:rsidRPr="004761E0" w:rsidRDefault="004C1494" w:rsidP="00AF531F">
            <w:pPr>
              <w:ind w:firstLine="0"/>
              <w:rPr>
                <w:rFonts w:eastAsia="Times New Roman"/>
                <w:color w:val="000000"/>
                <w:sz w:val="20"/>
                <w:szCs w:val="20"/>
                <w:lang w:eastAsia="ru-RU"/>
              </w:rPr>
            </w:pPr>
            <w:r w:rsidRPr="004761E0">
              <w:rPr>
                <w:rFonts w:eastAsia="Times New Roman"/>
                <w:color w:val="000000"/>
                <w:sz w:val="20"/>
                <w:szCs w:val="20"/>
                <w:lang w:eastAsia="ru-RU"/>
              </w:rPr>
              <w:t>1-01-65116-D-001D</w:t>
            </w:r>
            <w:r w:rsidRPr="006F4AB8">
              <w:rPr>
                <w:rStyle w:val="af1"/>
              </w:rPr>
              <w:footnoteReference w:id="106"/>
            </w:r>
          </w:p>
        </w:tc>
        <w:tc>
          <w:tcPr>
            <w:tcW w:w="1134" w:type="dxa"/>
            <w:shd w:val="clear" w:color="auto" w:fill="auto"/>
            <w:vAlign w:val="center"/>
            <w:hideMark/>
          </w:tcPr>
          <w:p w:rsidR="004C1494" w:rsidRPr="004761E0" w:rsidRDefault="004C1494" w:rsidP="00AF531F">
            <w:pPr>
              <w:ind w:firstLine="0"/>
              <w:jc w:val="center"/>
              <w:rPr>
                <w:rFonts w:eastAsia="Times New Roman"/>
                <w:color w:val="000000"/>
                <w:sz w:val="20"/>
                <w:szCs w:val="20"/>
                <w:lang w:eastAsia="ru-RU"/>
              </w:rPr>
            </w:pPr>
            <w:r w:rsidRPr="004761E0">
              <w:rPr>
                <w:rFonts w:eastAsia="Times New Roman"/>
                <w:color w:val="000000"/>
                <w:sz w:val="20"/>
                <w:szCs w:val="20"/>
                <w:lang w:eastAsia="ru-RU"/>
              </w:rPr>
              <w:t>30.06.2008</w:t>
            </w:r>
          </w:p>
        </w:tc>
        <w:tc>
          <w:tcPr>
            <w:tcW w:w="1560" w:type="dxa"/>
            <w:shd w:val="clear" w:color="auto" w:fill="auto"/>
            <w:vAlign w:val="center"/>
            <w:hideMark/>
          </w:tcPr>
          <w:p w:rsidR="004C1494" w:rsidRPr="004761E0" w:rsidRDefault="004C1494" w:rsidP="00AF531F">
            <w:pPr>
              <w:ind w:firstLine="0"/>
              <w:jc w:val="center"/>
              <w:rPr>
                <w:rFonts w:eastAsia="Times New Roman"/>
                <w:color w:val="000000"/>
                <w:sz w:val="20"/>
                <w:szCs w:val="20"/>
                <w:lang w:eastAsia="ru-RU"/>
              </w:rPr>
            </w:pPr>
            <w:r w:rsidRPr="004761E0">
              <w:rPr>
                <w:rFonts w:eastAsia="Times New Roman"/>
                <w:color w:val="000000"/>
                <w:sz w:val="20"/>
                <w:szCs w:val="20"/>
                <w:lang w:eastAsia="ru-RU"/>
              </w:rPr>
              <w:t>20 457 731 874</w:t>
            </w:r>
          </w:p>
        </w:tc>
        <w:tc>
          <w:tcPr>
            <w:tcW w:w="1076" w:type="dxa"/>
            <w:shd w:val="clear" w:color="000000" w:fill="FFFFFF"/>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0,5</w:t>
            </w:r>
          </w:p>
        </w:tc>
        <w:tc>
          <w:tcPr>
            <w:tcW w:w="1173" w:type="dxa"/>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Конвертация акций при присоединении</w:t>
            </w:r>
          </w:p>
        </w:tc>
        <w:tc>
          <w:tcPr>
            <w:tcW w:w="1294" w:type="dxa"/>
            <w:shd w:val="clear" w:color="000000" w:fill="FFFFFF"/>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30.07.2008</w:t>
            </w:r>
          </w:p>
        </w:tc>
      </w:tr>
    </w:tbl>
    <w:p w:rsidR="004C1494" w:rsidRPr="00743B24" w:rsidRDefault="004C1494" w:rsidP="00743B24">
      <w:pPr>
        <w:spacing w:before="120" w:after="120"/>
        <w:ind w:firstLine="567"/>
        <w:rPr>
          <w:b/>
          <w:sz w:val="26"/>
          <w:szCs w:val="26"/>
          <w:lang w:eastAsia="ru-RU"/>
        </w:rPr>
      </w:pPr>
      <w:r w:rsidRPr="00743B24">
        <w:rPr>
          <w:b/>
          <w:sz w:val="26"/>
          <w:szCs w:val="26"/>
          <w:lang w:eastAsia="ru-RU"/>
        </w:rPr>
        <w:t>Структура акционерного капитала (5 % и более) на конец года</w:t>
      </w:r>
    </w:p>
    <w:tbl>
      <w:tblPr>
        <w:tblW w:w="9654" w:type="dxa"/>
        <w:tblInd w:w="93" w:type="dxa"/>
        <w:tblLook w:val="04A0"/>
      </w:tblPr>
      <w:tblGrid>
        <w:gridCol w:w="582"/>
        <w:gridCol w:w="4170"/>
        <w:gridCol w:w="1754"/>
        <w:gridCol w:w="1543"/>
        <w:gridCol w:w="1605"/>
      </w:tblGrid>
      <w:tr w:rsidR="004C1494" w:rsidRPr="004761E0" w:rsidTr="004C1494">
        <w:trPr>
          <w:trHeight w:val="1020"/>
        </w:trPr>
        <w:tc>
          <w:tcPr>
            <w:tcW w:w="582" w:type="dxa"/>
            <w:tcBorders>
              <w:top w:val="single" w:sz="4" w:space="0" w:color="auto"/>
              <w:left w:val="nil"/>
              <w:bottom w:val="single" w:sz="4" w:space="0" w:color="auto"/>
              <w:right w:val="single" w:sz="4" w:space="0" w:color="FFFFFF" w:themeColor="background1"/>
            </w:tcBorders>
            <w:shd w:val="clear" w:color="auto" w:fill="0F243E" w:themeFill="text2" w:themeFillShade="80"/>
            <w:vAlign w:val="center"/>
            <w:hideMark/>
          </w:tcPr>
          <w:p w:rsidR="004C1494" w:rsidRPr="004761E0" w:rsidRDefault="004C1494" w:rsidP="00AF531F">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417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C1494" w:rsidRPr="004761E0" w:rsidRDefault="004C1494" w:rsidP="00AF531F">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 тип зарегистрированного лица</w:t>
            </w:r>
          </w:p>
        </w:tc>
        <w:tc>
          <w:tcPr>
            <w:tcW w:w="175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C1494" w:rsidRPr="004761E0" w:rsidRDefault="004C1494" w:rsidP="00AF531F">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31.12.2011</w:t>
            </w:r>
          </w:p>
        </w:tc>
        <w:tc>
          <w:tcPr>
            <w:tcW w:w="154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C1494" w:rsidRPr="004761E0" w:rsidRDefault="004C1494" w:rsidP="00AF531F">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31.12.2012</w:t>
            </w:r>
          </w:p>
        </w:tc>
        <w:tc>
          <w:tcPr>
            <w:tcW w:w="1605"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4C1494" w:rsidRPr="004761E0" w:rsidRDefault="004C1494" w:rsidP="00AF531F">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31.12.2013</w:t>
            </w:r>
          </w:p>
        </w:tc>
      </w:tr>
      <w:tr w:rsidR="004C1494" w:rsidRPr="004761E0" w:rsidTr="004C1494">
        <w:trPr>
          <w:trHeight w:val="7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rPr>
                <w:rFonts w:eastAsia="Times New Roman"/>
                <w:color w:val="000000"/>
                <w:sz w:val="20"/>
                <w:szCs w:val="20"/>
                <w:lang w:eastAsia="ru-RU"/>
              </w:rPr>
            </w:pPr>
            <w:r w:rsidRPr="004761E0">
              <w:rPr>
                <w:rFonts w:eastAsia="Times New Roman"/>
                <w:color w:val="000000"/>
                <w:sz w:val="20"/>
                <w:szCs w:val="20"/>
                <w:lang w:eastAsia="ru-RU"/>
              </w:rPr>
              <w:t>1.</w:t>
            </w:r>
          </w:p>
        </w:tc>
        <w:tc>
          <w:tcPr>
            <w:tcW w:w="4170" w:type="dxa"/>
            <w:tcBorders>
              <w:top w:val="single" w:sz="4" w:space="0" w:color="auto"/>
              <w:left w:val="nil"/>
              <w:bottom w:val="single" w:sz="4" w:space="0" w:color="auto"/>
              <w:right w:val="single" w:sz="4" w:space="0" w:color="auto"/>
            </w:tcBorders>
            <w:shd w:val="clear" w:color="auto" w:fill="auto"/>
            <w:vAlign w:val="center"/>
            <w:hideMark/>
          </w:tcPr>
          <w:p w:rsidR="004C1494" w:rsidRPr="004761E0" w:rsidRDefault="0008080E" w:rsidP="00AF531F">
            <w:pPr>
              <w:ind w:firstLine="0"/>
              <w:jc w:val="left"/>
              <w:rPr>
                <w:rFonts w:eastAsia="Times New Roman"/>
                <w:color w:val="000000"/>
                <w:sz w:val="20"/>
                <w:szCs w:val="20"/>
                <w:lang w:eastAsia="ru-RU"/>
              </w:rPr>
            </w:pPr>
            <w:r>
              <w:rPr>
                <w:rFonts w:eastAsia="Times New Roman"/>
                <w:color w:val="000000"/>
                <w:sz w:val="20"/>
                <w:szCs w:val="20"/>
                <w:lang w:eastAsia="ru-RU"/>
              </w:rPr>
              <w:t>ООО </w:t>
            </w:r>
            <w:r w:rsidR="004C1494" w:rsidRPr="004761E0">
              <w:rPr>
                <w:rFonts w:eastAsia="Times New Roman"/>
                <w:color w:val="000000"/>
                <w:sz w:val="20"/>
                <w:szCs w:val="20"/>
                <w:lang w:eastAsia="ru-RU"/>
              </w:rPr>
              <w:t>«Депозитарные и корпоративные технологии» (номинальный держатель)</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50,90 %</w:t>
            </w:r>
          </w:p>
        </w:tc>
        <w:tc>
          <w:tcPr>
            <w:tcW w:w="1543" w:type="dxa"/>
            <w:tcBorders>
              <w:top w:val="single" w:sz="4" w:space="0" w:color="auto"/>
              <w:left w:val="nil"/>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50,90 %</w:t>
            </w:r>
          </w:p>
        </w:tc>
        <w:tc>
          <w:tcPr>
            <w:tcW w:w="1605" w:type="dxa"/>
            <w:tcBorders>
              <w:top w:val="single" w:sz="4" w:space="0" w:color="auto"/>
              <w:left w:val="nil"/>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50,90 %</w:t>
            </w:r>
          </w:p>
        </w:tc>
      </w:tr>
      <w:tr w:rsidR="004C1494" w:rsidRPr="004761E0" w:rsidTr="004C1494">
        <w:trPr>
          <w:trHeight w:val="7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rPr>
                <w:rFonts w:eastAsia="Times New Roman"/>
                <w:color w:val="000000"/>
                <w:sz w:val="20"/>
                <w:szCs w:val="20"/>
                <w:lang w:eastAsia="ru-RU"/>
              </w:rPr>
            </w:pPr>
            <w:r w:rsidRPr="004761E0">
              <w:rPr>
                <w:rFonts w:eastAsia="Times New Roman"/>
                <w:color w:val="000000"/>
                <w:sz w:val="20"/>
                <w:szCs w:val="20"/>
                <w:lang w:eastAsia="ru-RU"/>
              </w:rPr>
              <w:t>2.</w:t>
            </w:r>
          </w:p>
        </w:tc>
        <w:tc>
          <w:tcPr>
            <w:tcW w:w="4170" w:type="dxa"/>
            <w:tcBorders>
              <w:top w:val="single" w:sz="4" w:space="0" w:color="auto"/>
              <w:left w:val="nil"/>
              <w:bottom w:val="single" w:sz="4" w:space="0" w:color="auto"/>
              <w:right w:val="single" w:sz="4" w:space="0" w:color="auto"/>
            </w:tcBorders>
            <w:shd w:val="clear" w:color="auto" w:fill="auto"/>
            <w:vAlign w:val="center"/>
            <w:hideMark/>
          </w:tcPr>
          <w:p w:rsidR="004C1494" w:rsidRPr="004761E0" w:rsidRDefault="004C1494" w:rsidP="00AF531F">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Небанковская кредитная организация </w:t>
            </w:r>
            <w:r w:rsidR="0008080E">
              <w:rPr>
                <w:rFonts w:eastAsia="Times New Roman"/>
                <w:color w:val="000000"/>
                <w:sz w:val="20"/>
                <w:szCs w:val="20"/>
                <w:lang w:eastAsia="ru-RU"/>
              </w:rPr>
              <w:t>ЗАО </w:t>
            </w:r>
            <w:r w:rsidRPr="004761E0">
              <w:rPr>
                <w:rFonts w:eastAsia="Times New Roman"/>
                <w:color w:val="000000"/>
                <w:sz w:val="20"/>
                <w:szCs w:val="20"/>
                <w:lang w:eastAsia="ru-RU"/>
              </w:rPr>
              <w:t>«Национальный расчетный депозитарий» (номинальный держатель)</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34,25 %</w:t>
            </w:r>
          </w:p>
        </w:tc>
        <w:tc>
          <w:tcPr>
            <w:tcW w:w="1543" w:type="dxa"/>
            <w:tcBorders>
              <w:top w:val="single" w:sz="4" w:space="0" w:color="auto"/>
              <w:left w:val="nil"/>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42,84 %</w:t>
            </w:r>
          </w:p>
        </w:tc>
        <w:tc>
          <w:tcPr>
            <w:tcW w:w="1605" w:type="dxa"/>
            <w:tcBorders>
              <w:top w:val="single" w:sz="4" w:space="0" w:color="auto"/>
              <w:left w:val="nil"/>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45,48 %</w:t>
            </w:r>
          </w:p>
        </w:tc>
      </w:tr>
      <w:tr w:rsidR="004C1494" w:rsidRPr="004761E0" w:rsidTr="004C1494">
        <w:trPr>
          <w:trHeight w:val="7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rPr>
                <w:rFonts w:eastAsia="Times New Roman"/>
                <w:color w:val="000000"/>
                <w:sz w:val="20"/>
                <w:szCs w:val="20"/>
                <w:lang w:eastAsia="ru-RU"/>
              </w:rPr>
            </w:pPr>
            <w:r w:rsidRPr="004761E0">
              <w:rPr>
                <w:rFonts w:eastAsia="Times New Roman"/>
                <w:color w:val="000000"/>
                <w:sz w:val="20"/>
                <w:szCs w:val="20"/>
                <w:lang w:eastAsia="ru-RU"/>
              </w:rPr>
              <w:t>3.</w:t>
            </w:r>
          </w:p>
        </w:tc>
        <w:tc>
          <w:tcPr>
            <w:tcW w:w="4170" w:type="dxa"/>
            <w:tcBorders>
              <w:top w:val="single" w:sz="4" w:space="0" w:color="auto"/>
              <w:left w:val="nil"/>
              <w:bottom w:val="single" w:sz="4" w:space="0" w:color="auto"/>
              <w:right w:val="single" w:sz="4" w:space="0" w:color="auto"/>
            </w:tcBorders>
            <w:shd w:val="clear" w:color="auto" w:fill="auto"/>
            <w:vAlign w:val="center"/>
            <w:hideMark/>
          </w:tcPr>
          <w:p w:rsidR="004C1494" w:rsidRPr="004761E0" w:rsidRDefault="0008080E" w:rsidP="00AF531F">
            <w:pPr>
              <w:ind w:firstLine="0"/>
              <w:jc w:val="left"/>
              <w:rPr>
                <w:rFonts w:eastAsia="Times New Roman"/>
                <w:color w:val="000000"/>
                <w:sz w:val="20"/>
                <w:szCs w:val="20"/>
                <w:lang w:eastAsia="ru-RU"/>
              </w:rPr>
            </w:pPr>
            <w:r>
              <w:rPr>
                <w:rFonts w:eastAsia="Times New Roman"/>
                <w:color w:val="000000"/>
                <w:sz w:val="20"/>
                <w:szCs w:val="20"/>
                <w:lang w:eastAsia="ru-RU"/>
              </w:rPr>
              <w:t>ЗАО </w:t>
            </w:r>
            <w:r w:rsidR="004C1494" w:rsidRPr="004761E0">
              <w:rPr>
                <w:rFonts w:eastAsia="Times New Roman"/>
                <w:color w:val="000000"/>
                <w:sz w:val="20"/>
                <w:szCs w:val="20"/>
                <w:lang w:eastAsia="ru-RU"/>
              </w:rPr>
              <w:t>«Депозитарно-Клиринговая Компания» (номинальный держатель)</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10,69 %</w:t>
            </w:r>
          </w:p>
        </w:tc>
        <w:tc>
          <w:tcPr>
            <w:tcW w:w="1543" w:type="dxa"/>
            <w:tcBorders>
              <w:top w:val="single" w:sz="4" w:space="0" w:color="auto"/>
              <w:left w:val="nil"/>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605" w:type="dxa"/>
            <w:tcBorders>
              <w:top w:val="single" w:sz="4" w:space="0" w:color="auto"/>
              <w:left w:val="nil"/>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r>
    </w:tbl>
    <w:p w:rsidR="004C1494" w:rsidRPr="004761E0" w:rsidRDefault="004C1494" w:rsidP="004C1494">
      <w:pPr>
        <w:rPr>
          <w:rFonts w:eastAsia="Times New Roman"/>
          <w:b/>
          <w:iCs/>
          <w:color w:val="000000"/>
          <w:sz w:val="26"/>
          <w:szCs w:val="26"/>
          <w:lang w:eastAsia="ru-RU"/>
        </w:rPr>
      </w:pPr>
      <w:r w:rsidRPr="004761E0">
        <w:rPr>
          <w:rFonts w:eastAsia="Times New Roman"/>
          <w:b/>
          <w:iCs/>
          <w:color w:val="000000"/>
          <w:sz w:val="26"/>
          <w:szCs w:val="26"/>
          <w:lang w:eastAsia="ru-RU"/>
        </w:rPr>
        <w:br w:type="page"/>
      </w:r>
    </w:p>
    <w:p w:rsidR="004C1494" w:rsidRPr="00743B24" w:rsidRDefault="004C1494" w:rsidP="00743B24">
      <w:pPr>
        <w:spacing w:before="120" w:after="120"/>
        <w:ind w:firstLine="567"/>
        <w:rPr>
          <w:b/>
          <w:sz w:val="26"/>
          <w:szCs w:val="26"/>
          <w:lang w:eastAsia="ru-RU"/>
        </w:rPr>
      </w:pPr>
      <w:r w:rsidRPr="00743B24">
        <w:rPr>
          <w:b/>
          <w:sz w:val="26"/>
          <w:szCs w:val="26"/>
          <w:lang w:eastAsia="ru-RU"/>
        </w:rPr>
        <w:lastRenderedPageBreak/>
        <w:t>Структура акционерного капитала (5 % и более) на дату составления списка лиц, имеющих право на участие в годовом (внеочередном) Общем собрании акционеров</w:t>
      </w:r>
    </w:p>
    <w:tbl>
      <w:tblPr>
        <w:tblW w:w="9939" w:type="dxa"/>
        <w:tblInd w:w="93" w:type="dxa"/>
        <w:tblLayout w:type="fixed"/>
        <w:tblLook w:val="04A0"/>
      </w:tblPr>
      <w:tblGrid>
        <w:gridCol w:w="582"/>
        <w:gridCol w:w="3544"/>
        <w:gridCol w:w="1275"/>
        <w:gridCol w:w="1134"/>
        <w:gridCol w:w="1134"/>
        <w:gridCol w:w="1134"/>
        <w:gridCol w:w="1136"/>
      </w:tblGrid>
      <w:tr w:rsidR="004C1494" w:rsidRPr="004761E0" w:rsidTr="0033029E">
        <w:trPr>
          <w:trHeight w:val="47"/>
        </w:trPr>
        <w:tc>
          <w:tcPr>
            <w:tcW w:w="582" w:type="dxa"/>
            <w:tcBorders>
              <w:top w:val="single" w:sz="4" w:space="0" w:color="auto"/>
              <w:left w:val="nil"/>
              <w:bottom w:val="single" w:sz="4" w:space="0" w:color="auto"/>
              <w:right w:val="single" w:sz="4" w:space="0" w:color="FFFFFF" w:themeColor="background1"/>
            </w:tcBorders>
            <w:shd w:val="clear" w:color="auto" w:fill="0F243E" w:themeFill="text2" w:themeFillShade="80"/>
            <w:vAlign w:val="center"/>
            <w:hideMark/>
          </w:tcPr>
          <w:p w:rsidR="004C1494" w:rsidRPr="004761E0" w:rsidRDefault="004C1494" w:rsidP="00AF531F">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354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C1494" w:rsidRPr="004761E0" w:rsidRDefault="004C1494" w:rsidP="0033029E">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 тип зарегистрированного лица</w:t>
            </w:r>
          </w:p>
        </w:tc>
        <w:tc>
          <w:tcPr>
            <w:tcW w:w="127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C1494" w:rsidRPr="004761E0" w:rsidRDefault="004C1494" w:rsidP="00AF531F">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02.08.2011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4C1494" w:rsidRPr="004761E0" w:rsidRDefault="004C1494" w:rsidP="00AF531F">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17.05.2012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C1494" w:rsidRPr="004761E0" w:rsidRDefault="004C1494" w:rsidP="00AF531F">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05.06.2012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C1494" w:rsidRPr="004761E0" w:rsidRDefault="004C1494" w:rsidP="00AF531F">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08.05.2013</w:t>
            </w:r>
          </w:p>
        </w:tc>
        <w:tc>
          <w:tcPr>
            <w:tcW w:w="1136"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4C1494" w:rsidRPr="004761E0" w:rsidRDefault="004C1494" w:rsidP="00AF531F">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23.12.2013</w:t>
            </w:r>
          </w:p>
        </w:tc>
      </w:tr>
      <w:tr w:rsidR="004C1494" w:rsidRPr="004761E0" w:rsidTr="0033029E">
        <w:trPr>
          <w:trHeight w:val="341"/>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left"/>
              <w:rPr>
                <w:rFonts w:eastAsia="Times New Roman"/>
                <w:color w:val="000000"/>
                <w:sz w:val="20"/>
                <w:szCs w:val="20"/>
                <w:lang w:eastAsia="ru-RU"/>
              </w:rPr>
            </w:pPr>
            <w:r w:rsidRPr="004761E0">
              <w:rPr>
                <w:rFonts w:eastAsia="Times New Roman"/>
                <w:color w:val="000000"/>
                <w:sz w:val="20"/>
                <w:szCs w:val="20"/>
                <w:lang w:eastAsia="ru-RU"/>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08080E" w:rsidP="00AF531F">
            <w:pPr>
              <w:ind w:firstLine="0"/>
              <w:jc w:val="left"/>
              <w:rPr>
                <w:rFonts w:eastAsia="Times New Roman"/>
                <w:color w:val="000000"/>
                <w:sz w:val="20"/>
                <w:szCs w:val="20"/>
                <w:lang w:eastAsia="ru-RU"/>
              </w:rPr>
            </w:pPr>
            <w:r>
              <w:rPr>
                <w:rFonts w:eastAsia="Times New Roman"/>
                <w:color w:val="000000"/>
                <w:sz w:val="20"/>
                <w:szCs w:val="20"/>
                <w:lang w:eastAsia="ru-RU"/>
              </w:rPr>
              <w:t>ОАО </w:t>
            </w:r>
            <w:r w:rsidR="004C1494" w:rsidRPr="004761E0">
              <w:rPr>
                <w:rFonts w:eastAsia="Times New Roman"/>
                <w:color w:val="000000"/>
                <w:sz w:val="20"/>
                <w:szCs w:val="20"/>
                <w:lang w:eastAsia="ru-RU"/>
              </w:rPr>
              <w:t>«Россети»</w:t>
            </w:r>
            <w:r w:rsidR="004C1494" w:rsidRPr="006F4AB8">
              <w:rPr>
                <w:rStyle w:val="af1"/>
              </w:rPr>
              <w:footnoteReference w:id="107"/>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50,90 %</w:t>
            </w:r>
          </w:p>
        </w:tc>
        <w:tc>
          <w:tcPr>
            <w:tcW w:w="1134" w:type="dxa"/>
            <w:tcBorders>
              <w:top w:val="single" w:sz="4" w:space="0" w:color="auto"/>
              <w:left w:val="single" w:sz="4" w:space="0" w:color="auto"/>
              <w:bottom w:val="single" w:sz="4" w:space="0" w:color="auto"/>
              <w:right w:val="single" w:sz="4" w:space="0" w:color="auto"/>
            </w:tcBorders>
            <w:vAlign w:val="center"/>
          </w:tcPr>
          <w:p w:rsidR="004C1494" w:rsidRPr="004761E0" w:rsidRDefault="004C1494" w:rsidP="00AF531F">
            <w:pPr>
              <w:ind w:firstLine="0"/>
              <w:jc w:val="right"/>
              <w:rPr>
                <w:rFonts w:eastAsia="Times New Roman"/>
                <w:color w:val="000000"/>
                <w:sz w:val="20"/>
                <w:szCs w:val="20"/>
                <w:lang w:eastAsia="ru-RU"/>
              </w:rPr>
            </w:pPr>
            <w:r w:rsidRPr="004761E0">
              <w:rPr>
                <w:color w:val="000000"/>
                <w:sz w:val="20"/>
                <w:szCs w:val="20"/>
              </w:rPr>
              <w:t>50,90 %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50,90 %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50,90 %</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50,90%</w:t>
            </w:r>
          </w:p>
        </w:tc>
      </w:tr>
      <w:tr w:rsidR="004C1494" w:rsidRPr="004761E0" w:rsidTr="0033029E">
        <w:trPr>
          <w:trHeight w:val="4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left"/>
              <w:rPr>
                <w:rFonts w:eastAsia="Times New Roman"/>
                <w:color w:val="000000"/>
                <w:sz w:val="20"/>
                <w:szCs w:val="20"/>
                <w:lang w:eastAsia="ru-RU"/>
              </w:rPr>
            </w:pPr>
            <w:r w:rsidRPr="004761E0">
              <w:rPr>
                <w:rFonts w:eastAsia="Times New Roman"/>
                <w:color w:val="000000"/>
                <w:sz w:val="20"/>
                <w:szCs w:val="20"/>
                <w:lang w:eastAsia="ru-RU"/>
              </w:rPr>
              <w:t>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(Д.У.) </w:t>
            </w:r>
            <w:r w:rsidR="0008080E">
              <w:rPr>
                <w:rFonts w:eastAsia="Times New Roman"/>
                <w:color w:val="000000"/>
                <w:sz w:val="20"/>
                <w:szCs w:val="20"/>
                <w:lang w:eastAsia="ru-RU"/>
              </w:rPr>
              <w:t>ЗАО </w:t>
            </w:r>
            <w:r w:rsidRPr="004761E0">
              <w:rPr>
                <w:rFonts w:eastAsia="Times New Roman"/>
                <w:color w:val="000000"/>
                <w:sz w:val="20"/>
                <w:szCs w:val="20"/>
                <w:lang w:eastAsia="ru-RU"/>
              </w:rPr>
              <w:t>«Лидер» (Компания по управлению активами пенсионного фонда)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22,76 %</w:t>
            </w:r>
          </w:p>
        </w:tc>
        <w:tc>
          <w:tcPr>
            <w:tcW w:w="1134" w:type="dxa"/>
            <w:tcBorders>
              <w:top w:val="single" w:sz="4" w:space="0" w:color="auto"/>
              <w:left w:val="single" w:sz="4" w:space="0" w:color="auto"/>
              <w:bottom w:val="single" w:sz="4" w:space="0" w:color="auto"/>
              <w:right w:val="single" w:sz="4" w:space="0" w:color="auto"/>
            </w:tcBorders>
            <w:vAlign w:val="center"/>
          </w:tcPr>
          <w:p w:rsidR="004C1494" w:rsidRPr="004761E0" w:rsidRDefault="004C1494" w:rsidP="00AF531F">
            <w:pPr>
              <w:ind w:firstLine="0"/>
              <w:jc w:val="right"/>
              <w:rPr>
                <w:rFonts w:eastAsia="Times New Roman"/>
                <w:color w:val="000000"/>
                <w:sz w:val="20"/>
                <w:szCs w:val="20"/>
                <w:lang w:eastAsia="ru-RU"/>
              </w:rPr>
            </w:pPr>
            <w:r w:rsidRPr="004761E0">
              <w:rPr>
                <w:color w:val="000000"/>
                <w:sz w:val="20"/>
                <w:szCs w:val="20"/>
                <w:lang w:val="en-US"/>
              </w:rPr>
              <w:t>22,45%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22,12 %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22,76 %</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10,62 %</w:t>
            </w:r>
          </w:p>
        </w:tc>
      </w:tr>
      <w:tr w:rsidR="00C11114" w:rsidRPr="004761E0" w:rsidTr="0033029E">
        <w:trPr>
          <w:trHeight w:val="341"/>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1114" w:rsidRPr="004761E0" w:rsidRDefault="00C11114" w:rsidP="00AF531F">
            <w:pPr>
              <w:ind w:firstLine="0"/>
              <w:jc w:val="left"/>
              <w:rPr>
                <w:rFonts w:eastAsia="Times New Roman"/>
                <w:color w:val="000000"/>
                <w:sz w:val="20"/>
                <w:szCs w:val="20"/>
                <w:lang w:eastAsia="ru-RU"/>
              </w:rPr>
            </w:pPr>
            <w:r w:rsidRPr="004761E0">
              <w:rPr>
                <w:rFonts w:eastAsia="Times New Roman"/>
                <w:color w:val="000000"/>
                <w:sz w:val="20"/>
                <w:szCs w:val="20"/>
                <w:lang w:eastAsia="ru-RU"/>
              </w:rPr>
              <w:t>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1114" w:rsidRPr="004761E0" w:rsidRDefault="00C11114" w:rsidP="00AF531F">
            <w:pPr>
              <w:ind w:firstLine="0"/>
              <w:jc w:val="left"/>
              <w:rPr>
                <w:rFonts w:eastAsia="Times New Roman"/>
                <w:color w:val="000000"/>
                <w:sz w:val="20"/>
                <w:szCs w:val="20"/>
                <w:lang w:eastAsia="ru-RU"/>
              </w:rPr>
            </w:pPr>
            <w:r w:rsidRPr="004761E0">
              <w:rPr>
                <w:rFonts w:eastAsia="Times New Roman"/>
                <w:color w:val="000000"/>
                <w:sz w:val="20"/>
                <w:szCs w:val="20"/>
                <w:lang w:eastAsia="ru-RU"/>
              </w:rPr>
              <w:t>«Газпромбанк» (Открытое акционерное общество)</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1114" w:rsidRPr="004761E0" w:rsidRDefault="00C11114" w:rsidP="00C11114">
            <w:pPr>
              <w:jc w:val="right"/>
            </w:pPr>
            <w:r w:rsidRPr="004761E0">
              <w:rPr>
                <w:rFonts w:eastAsia="Times New Roman"/>
                <w:color w:val="000000"/>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C11114" w:rsidRPr="004761E0" w:rsidRDefault="00C11114" w:rsidP="00C11114">
            <w:pPr>
              <w:jc w:val="right"/>
            </w:pPr>
            <w:r w:rsidRPr="004761E0">
              <w:rPr>
                <w:rFonts w:eastAsia="Times New Roman"/>
                <w:color w:val="000000"/>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1114" w:rsidRPr="004761E0" w:rsidRDefault="00C11114" w:rsidP="00C11114">
            <w:pPr>
              <w:jc w:val="right"/>
            </w:pPr>
            <w:r w:rsidRPr="004761E0">
              <w:rPr>
                <w:rFonts w:eastAsia="Times New Roman"/>
                <w:color w:val="000000"/>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1114" w:rsidRPr="004761E0" w:rsidRDefault="00C11114" w:rsidP="00C11114">
            <w:pPr>
              <w:jc w:val="right"/>
            </w:pPr>
            <w:r w:rsidRPr="004761E0">
              <w:rPr>
                <w:rFonts w:eastAsia="Times New Roman"/>
                <w:color w:val="000000"/>
                <w:sz w:val="20"/>
                <w:szCs w:val="20"/>
                <w:lang w:eastAsia="ru-RU"/>
              </w:rPr>
              <w:t>–</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1114" w:rsidRPr="004761E0" w:rsidRDefault="00C1111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9,77 %</w:t>
            </w:r>
          </w:p>
        </w:tc>
      </w:tr>
      <w:tr w:rsidR="00C11114" w:rsidRPr="004761E0" w:rsidTr="0033029E">
        <w:trPr>
          <w:trHeight w:val="4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1114" w:rsidRPr="004761E0" w:rsidRDefault="00C11114" w:rsidP="00AF531F">
            <w:pPr>
              <w:ind w:firstLine="0"/>
              <w:jc w:val="left"/>
              <w:rPr>
                <w:rFonts w:eastAsia="Times New Roman"/>
                <w:color w:val="000000"/>
                <w:sz w:val="20"/>
                <w:szCs w:val="20"/>
                <w:lang w:eastAsia="ru-RU"/>
              </w:rPr>
            </w:pPr>
            <w:r w:rsidRPr="004761E0">
              <w:rPr>
                <w:rFonts w:eastAsia="Times New Roman"/>
                <w:color w:val="000000"/>
                <w:sz w:val="20"/>
                <w:szCs w:val="20"/>
                <w:lang w:eastAsia="ru-RU"/>
              </w:rPr>
              <w:t>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1114" w:rsidRPr="004761E0" w:rsidRDefault="00C11114" w:rsidP="00AF531F">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(Д.У.) </w:t>
            </w:r>
            <w:r w:rsidR="0008080E">
              <w:rPr>
                <w:rFonts w:eastAsia="Times New Roman"/>
                <w:color w:val="000000"/>
                <w:sz w:val="20"/>
                <w:szCs w:val="20"/>
                <w:lang w:eastAsia="ru-RU"/>
              </w:rPr>
              <w:t>ООО </w:t>
            </w:r>
            <w:r w:rsidRPr="004761E0">
              <w:rPr>
                <w:rFonts w:eastAsia="Times New Roman"/>
                <w:color w:val="000000"/>
                <w:sz w:val="20"/>
                <w:szCs w:val="20"/>
                <w:lang w:eastAsia="ru-RU"/>
              </w:rPr>
              <w:t>«Управляющая компания» «АГАНА»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1114" w:rsidRPr="004761E0" w:rsidRDefault="00C11114" w:rsidP="00C11114">
            <w:pPr>
              <w:jc w:val="right"/>
            </w:pPr>
            <w:r w:rsidRPr="004761E0">
              <w:rPr>
                <w:rFonts w:eastAsia="Times New Roman"/>
                <w:color w:val="000000"/>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C11114" w:rsidRPr="004761E0" w:rsidRDefault="00C11114" w:rsidP="00C11114">
            <w:pPr>
              <w:jc w:val="right"/>
            </w:pPr>
            <w:r w:rsidRPr="004761E0">
              <w:rPr>
                <w:rFonts w:eastAsia="Times New Roman"/>
                <w:color w:val="000000"/>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1114" w:rsidRPr="004761E0" w:rsidRDefault="00C11114" w:rsidP="00C11114">
            <w:pPr>
              <w:jc w:val="right"/>
            </w:pPr>
            <w:r w:rsidRPr="004761E0">
              <w:rPr>
                <w:rFonts w:eastAsia="Times New Roman"/>
                <w:color w:val="000000"/>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1114" w:rsidRPr="004761E0" w:rsidRDefault="00C11114" w:rsidP="00C11114">
            <w:pPr>
              <w:jc w:val="right"/>
            </w:pPr>
            <w:r w:rsidRPr="004761E0">
              <w:rPr>
                <w:rFonts w:eastAsia="Times New Roman"/>
                <w:color w:val="000000"/>
                <w:sz w:val="20"/>
                <w:szCs w:val="20"/>
                <w:lang w:eastAsia="ru-RU"/>
              </w:rPr>
              <w:t>–</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1114" w:rsidRPr="004761E0" w:rsidRDefault="00C1111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7,62 %</w:t>
            </w:r>
          </w:p>
        </w:tc>
      </w:tr>
      <w:tr w:rsidR="00C11114" w:rsidRPr="004761E0" w:rsidTr="0033029E">
        <w:trPr>
          <w:trHeight w:val="4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1114" w:rsidRPr="004761E0" w:rsidRDefault="00C11114" w:rsidP="00AF531F">
            <w:pPr>
              <w:ind w:firstLine="0"/>
              <w:jc w:val="left"/>
              <w:rPr>
                <w:rFonts w:eastAsia="Times New Roman"/>
                <w:color w:val="000000"/>
                <w:sz w:val="20"/>
                <w:szCs w:val="20"/>
                <w:lang w:eastAsia="ru-RU"/>
              </w:rPr>
            </w:pPr>
            <w:r w:rsidRPr="004761E0">
              <w:rPr>
                <w:rFonts w:eastAsia="Times New Roman"/>
                <w:color w:val="000000"/>
                <w:sz w:val="20"/>
                <w:szCs w:val="20"/>
                <w:lang w:eastAsia="ru-RU"/>
              </w:rPr>
              <w:t>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1114" w:rsidRPr="004761E0" w:rsidRDefault="00C11114" w:rsidP="00AF531F">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(Д.У.) </w:t>
            </w:r>
            <w:r w:rsidR="0008080E">
              <w:rPr>
                <w:rFonts w:eastAsia="Times New Roman"/>
                <w:color w:val="000000"/>
                <w:sz w:val="20"/>
                <w:szCs w:val="20"/>
                <w:lang w:eastAsia="ru-RU"/>
              </w:rPr>
              <w:t>ООО </w:t>
            </w:r>
            <w:r w:rsidRPr="004761E0">
              <w:rPr>
                <w:rFonts w:eastAsia="Times New Roman"/>
                <w:color w:val="000000"/>
                <w:sz w:val="20"/>
                <w:szCs w:val="20"/>
                <w:lang w:eastAsia="ru-RU"/>
              </w:rPr>
              <w:t>«Управляющая компания «Перспектива Финанс»</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1114" w:rsidRPr="004761E0" w:rsidRDefault="00C11114" w:rsidP="00C11114">
            <w:pPr>
              <w:jc w:val="right"/>
            </w:pPr>
            <w:r w:rsidRPr="004761E0">
              <w:rPr>
                <w:rFonts w:eastAsia="Times New Roman"/>
                <w:color w:val="000000"/>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C11114" w:rsidRPr="004761E0" w:rsidRDefault="00C11114" w:rsidP="00C11114">
            <w:pPr>
              <w:jc w:val="right"/>
            </w:pPr>
            <w:r w:rsidRPr="004761E0">
              <w:rPr>
                <w:rFonts w:eastAsia="Times New Roman"/>
                <w:color w:val="000000"/>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1114" w:rsidRPr="004761E0" w:rsidRDefault="00C11114" w:rsidP="00C11114">
            <w:pPr>
              <w:jc w:val="right"/>
            </w:pPr>
            <w:r w:rsidRPr="004761E0">
              <w:rPr>
                <w:rFonts w:eastAsia="Times New Roman"/>
                <w:color w:val="000000"/>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1114" w:rsidRPr="004761E0" w:rsidRDefault="00C11114" w:rsidP="00C11114">
            <w:pPr>
              <w:jc w:val="right"/>
            </w:pPr>
            <w:r w:rsidRPr="004761E0">
              <w:rPr>
                <w:rFonts w:eastAsia="Times New Roman"/>
                <w:color w:val="000000"/>
                <w:sz w:val="20"/>
                <w:szCs w:val="20"/>
                <w:lang w:eastAsia="ru-RU"/>
              </w:rPr>
              <w:t>–</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1114" w:rsidRPr="004761E0" w:rsidRDefault="00C1111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6,23 %</w:t>
            </w:r>
          </w:p>
        </w:tc>
      </w:tr>
      <w:tr w:rsidR="004C1494" w:rsidRPr="004761E0" w:rsidTr="0033029E">
        <w:trPr>
          <w:trHeight w:val="4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left"/>
              <w:rPr>
                <w:rFonts w:eastAsia="Times New Roman"/>
                <w:color w:val="000000"/>
                <w:sz w:val="20"/>
                <w:szCs w:val="20"/>
                <w:lang w:eastAsia="ru-RU"/>
              </w:rPr>
            </w:pPr>
            <w:r w:rsidRPr="004761E0">
              <w:rPr>
                <w:rFonts w:eastAsia="Times New Roman"/>
                <w:color w:val="000000"/>
                <w:sz w:val="20"/>
                <w:szCs w:val="20"/>
                <w:lang w:eastAsia="ru-RU"/>
              </w:rPr>
              <w:t>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08080E" w:rsidP="00AF531F">
            <w:pPr>
              <w:ind w:firstLine="0"/>
              <w:jc w:val="left"/>
              <w:rPr>
                <w:rFonts w:eastAsia="Times New Roman"/>
                <w:color w:val="000000"/>
                <w:sz w:val="20"/>
                <w:szCs w:val="20"/>
                <w:lang w:eastAsia="ru-RU"/>
              </w:rPr>
            </w:pPr>
            <w:r>
              <w:rPr>
                <w:rFonts w:eastAsia="Times New Roman"/>
                <w:color w:val="000000"/>
                <w:sz w:val="20"/>
                <w:szCs w:val="20"/>
                <w:lang w:eastAsia="ru-RU"/>
              </w:rPr>
              <w:t>ОАО </w:t>
            </w:r>
            <w:r w:rsidR="004C1494" w:rsidRPr="004761E0">
              <w:rPr>
                <w:rFonts w:eastAsia="Times New Roman"/>
                <w:color w:val="000000"/>
                <w:sz w:val="20"/>
                <w:szCs w:val="20"/>
                <w:lang w:eastAsia="ru-RU"/>
              </w:rPr>
              <w:t>«ОЭК-Финанс»</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5,05 %</w:t>
            </w:r>
          </w:p>
        </w:tc>
        <w:tc>
          <w:tcPr>
            <w:tcW w:w="1134" w:type="dxa"/>
            <w:tcBorders>
              <w:top w:val="single" w:sz="4" w:space="0" w:color="auto"/>
              <w:left w:val="single" w:sz="4" w:space="0" w:color="auto"/>
              <w:bottom w:val="single" w:sz="4" w:space="0" w:color="auto"/>
              <w:right w:val="single" w:sz="4" w:space="0" w:color="auto"/>
            </w:tcBorders>
            <w:vAlign w:val="center"/>
          </w:tcPr>
          <w:p w:rsidR="004C1494" w:rsidRPr="004761E0" w:rsidRDefault="004C1494" w:rsidP="00AF531F">
            <w:pPr>
              <w:ind w:firstLine="0"/>
              <w:jc w:val="right"/>
              <w:rPr>
                <w:rFonts w:eastAsia="Times New Roman"/>
                <w:color w:val="000000"/>
                <w:sz w:val="20"/>
                <w:szCs w:val="20"/>
                <w:lang w:eastAsia="ru-RU"/>
              </w:rPr>
            </w:pPr>
            <w:r w:rsidRPr="004761E0">
              <w:rPr>
                <w:color w:val="000000"/>
                <w:sz w:val="20"/>
                <w:szCs w:val="20"/>
              </w:rPr>
              <w:t>5,05 %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5,05 %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5,05 %</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5,05 %</w:t>
            </w:r>
          </w:p>
        </w:tc>
      </w:tr>
      <w:tr w:rsidR="004C1494" w:rsidRPr="004761E0" w:rsidTr="0033029E">
        <w:trPr>
          <w:trHeight w:val="4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left"/>
              <w:rPr>
                <w:rFonts w:eastAsia="Times New Roman"/>
                <w:color w:val="000000"/>
                <w:sz w:val="20"/>
                <w:szCs w:val="20"/>
                <w:lang w:eastAsia="ru-RU"/>
              </w:rPr>
            </w:pPr>
            <w:r w:rsidRPr="004761E0">
              <w:rPr>
                <w:rFonts w:eastAsia="Times New Roman"/>
                <w:color w:val="000000"/>
                <w:sz w:val="20"/>
                <w:szCs w:val="20"/>
                <w:lang w:eastAsia="ru-RU"/>
              </w:rPr>
              <w:t>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rPr>
                <w:rFonts w:eastAsia="Times New Roman"/>
                <w:color w:val="000000"/>
                <w:sz w:val="20"/>
                <w:szCs w:val="20"/>
                <w:lang w:eastAsia="ru-RU"/>
              </w:rPr>
            </w:pPr>
            <w:r w:rsidRPr="004761E0">
              <w:rPr>
                <w:rFonts w:eastAsia="Times New Roman"/>
                <w:color w:val="000000"/>
                <w:sz w:val="20"/>
                <w:szCs w:val="20"/>
                <w:lang w:eastAsia="ru-RU"/>
              </w:rPr>
              <w:t>ГПБ-ДИ ХОЛДИНГС ЛИМИТЕД КОМПАНИЯ С ОГРАНИЧЕННОЙ ОТВЕТСТВЕННОСТЬЮ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5,23 %</w:t>
            </w:r>
          </w:p>
        </w:tc>
        <w:tc>
          <w:tcPr>
            <w:tcW w:w="1134" w:type="dxa"/>
            <w:tcBorders>
              <w:top w:val="single" w:sz="4" w:space="0" w:color="auto"/>
              <w:left w:val="single" w:sz="4" w:space="0" w:color="auto"/>
              <w:bottom w:val="single" w:sz="4" w:space="0" w:color="auto"/>
              <w:right w:val="single" w:sz="4" w:space="0" w:color="auto"/>
            </w:tcBorders>
            <w:vAlign w:val="center"/>
          </w:tcPr>
          <w:p w:rsidR="004C1494" w:rsidRPr="004761E0" w:rsidRDefault="004C1494" w:rsidP="00AF531F">
            <w:pPr>
              <w:ind w:firstLine="0"/>
              <w:jc w:val="right"/>
              <w:rPr>
                <w:rFonts w:eastAsia="Times New Roman"/>
                <w:color w:val="000000"/>
                <w:sz w:val="20"/>
                <w:szCs w:val="20"/>
                <w:lang w:eastAsia="ru-RU"/>
              </w:rPr>
            </w:pPr>
            <w:r w:rsidRPr="004761E0">
              <w:rPr>
                <w:color w:val="000000"/>
                <w:sz w:val="20"/>
                <w:szCs w:val="20"/>
              </w:rPr>
              <w:t>5,23 %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5,23 %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5,23 %</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C1111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r>
    </w:tbl>
    <w:p w:rsidR="004C1494" w:rsidRPr="004761E0" w:rsidRDefault="004C1494" w:rsidP="009101EC">
      <w:pPr>
        <w:tabs>
          <w:tab w:val="left" w:pos="4820"/>
        </w:tabs>
        <w:autoSpaceDE w:val="0"/>
        <w:autoSpaceDN w:val="0"/>
        <w:adjustRightInd w:val="0"/>
        <w:spacing w:before="120" w:after="120"/>
        <w:ind w:firstLine="0"/>
      </w:pPr>
      <w:r w:rsidRPr="004761E0">
        <w:rPr>
          <w:noProof/>
          <w:lang w:eastAsia="ru-RU"/>
        </w:rPr>
        <w:drawing>
          <wp:inline distT="0" distB="0" distL="0" distR="0">
            <wp:extent cx="4423554" cy="2415396"/>
            <wp:effectExtent l="19050" t="0" r="15096" b="3954"/>
            <wp:docPr id="24"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4C1494" w:rsidRPr="004761E0" w:rsidRDefault="004C1494" w:rsidP="004C1494">
      <w:r w:rsidRPr="004761E0">
        <w:br w:type="page"/>
      </w:r>
    </w:p>
    <w:p w:rsidR="00027A32" w:rsidRPr="004761E0" w:rsidRDefault="00BA326D" w:rsidP="00743B24">
      <w:pPr>
        <w:spacing w:before="120" w:after="120"/>
        <w:ind w:firstLine="567"/>
        <w:rPr>
          <w:b/>
          <w:sz w:val="26"/>
          <w:szCs w:val="26"/>
          <w:lang w:eastAsia="ru-RU"/>
        </w:rPr>
      </w:pPr>
      <w:r w:rsidRPr="004761E0">
        <w:rPr>
          <w:b/>
          <w:sz w:val="26"/>
          <w:szCs w:val="26"/>
          <w:lang w:eastAsia="ru-RU"/>
        </w:rPr>
        <w:lastRenderedPageBreak/>
        <w:t>Статистическая информация об акционерах</w:t>
      </w:r>
    </w:p>
    <w:tbl>
      <w:tblPr>
        <w:tblW w:w="9654" w:type="dxa"/>
        <w:tblInd w:w="93" w:type="dxa"/>
        <w:tblLayout w:type="fixed"/>
        <w:tblLook w:val="04A0"/>
      </w:tblPr>
      <w:tblGrid>
        <w:gridCol w:w="724"/>
        <w:gridCol w:w="3544"/>
        <w:gridCol w:w="1276"/>
        <w:gridCol w:w="1417"/>
        <w:gridCol w:w="1418"/>
        <w:gridCol w:w="1275"/>
      </w:tblGrid>
      <w:tr w:rsidR="004C1494" w:rsidRPr="004761E0" w:rsidTr="004C1494">
        <w:trPr>
          <w:trHeight w:val="250"/>
        </w:trPr>
        <w:tc>
          <w:tcPr>
            <w:tcW w:w="724" w:type="dxa"/>
            <w:vMerge w:val="restart"/>
            <w:tcBorders>
              <w:top w:val="single" w:sz="4" w:space="0" w:color="FFFFFF" w:themeColor="background1"/>
              <w:left w:val="nil"/>
              <w:bottom w:val="single" w:sz="4" w:space="0" w:color="FFFFFF" w:themeColor="background1"/>
              <w:right w:val="single" w:sz="4" w:space="0" w:color="FFFFFF" w:themeColor="background1"/>
            </w:tcBorders>
            <w:shd w:val="clear" w:color="auto" w:fill="0F243E" w:themeFill="text2" w:themeFillShade="80"/>
            <w:vAlign w:val="center"/>
            <w:hideMark/>
          </w:tcPr>
          <w:p w:rsidR="004C1494" w:rsidRPr="004761E0" w:rsidRDefault="004C1494" w:rsidP="00AF531F">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354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C1494" w:rsidRPr="004761E0" w:rsidRDefault="004C1494" w:rsidP="00AF531F">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типа держателя акций</w:t>
            </w:r>
          </w:p>
        </w:tc>
        <w:tc>
          <w:tcPr>
            <w:tcW w:w="26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4C1494" w:rsidRPr="004761E0" w:rsidRDefault="004C1494" w:rsidP="00AF531F">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 дату составления списка лиц, имеющих право на участие в годовом Общем собрании акционеров (08.05.2013)</w:t>
            </w:r>
          </w:p>
        </w:tc>
        <w:tc>
          <w:tcPr>
            <w:tcW w:w="2693"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F243E" w:themeFill="text2" w:themeFillShade="80"/>
            <w:hideMark/>
          </w:tcPr>
          <w:p w:rsidR="004C1494" w:rsidRPr="004761E0" w:rsidRDefault="004C1494" w:rsidP="00AF531F">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 дату составления списка лиц, имеющих право на участие во внеочередном Общем собрании акционеров (23.12.2013)</w:t>
            </w:r>
          </w:p>
        </w:tc>
      </w:tr>
      <w:tr w:rsidR="004C1494" w:rsidRPr="004761E0" w:rsidTr="004C1494">
        <w:trPr>
          <w:trHeight w:val="70"/>
        </w:trPr>
        <w:tc>
          <w:tcPr>
            <w:tcW w:w="724" w:type="dxa"/>
            <w:vMerge/>
            <w:tcBorders>
              <w:top w:val="single" w:sz="4" w:space="0" w:color="FFFFFF" w:themeColor="background1"/>
              <w:left w:val="nil"/>
              <w:bottom w:val="single" w:sz="4" w:space="0" w:color="auto"/>
              <w:right w:val="single" w:sz="4" w:space="0" w:color="FFFFFF" w:themeColor="background1"/>
            </w:tcBorders>
            <w:shd w:val="clear" w:color="auto" w:fill="0F243E" w:themeFill="text2" w:themeFillShade="80"/>
            <w:vAlign w:val="center"/>
            <w:hideMark/>
          </w:tcPr>
          <w:p w:rsidR="004C1494" w:rsidRPr="004761E0" w:rsidRDefault="004C1494" w:rsidP="004C1494">
            <w:pPr>
              <w:rPr>
                <w:rFonts w:eastAsia="Times New Roman"/>
                <w:b/>
                <w:color w:val="FFFFFF" w:themeColor="background1"/>
                <w:sz w:val="20"/>
                <w:szCs w:val="20"/>
                <w:lang w:eastAsia="ru-RU"/>
              </w:rPr>
            </w:pPr>
          </w:p>
        </w:tc>
        <w:tc>
          <w:tcPr>
            <w:tcW w:w="3544"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C1494" w:rsidRPr="004761E0" w:rsidRDefault="004C1494" w:rsidP="004C1494">
            <w:pPr>
              <w:rPr>
                <w:rFonts w:eastAsia="Times New Roman"/>
                <w:b/>
                <w:color w:val="FFFFFF" w:themeColor="background1"/>
                <w:sz w:val="20"/>
                <w:szCs w:val="20"/>
                <w:lang w:eastAsia="ru-RU"/>
              </w:rPr>
            </w:pPr>
          </w:p>
        </w:tc>
        <w:tc>
          <w:tcPr>
            <w:tcW w:w="127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hideMark/>
          </w:tcPr>
          <w:p w:rsidR="004C1494" w:rsidRPr="004761E0" w:rsidRDefault="004C1494" w:rsidP="004C1494">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Количество держателей</w:t>
            </w:r>
          </w:p>
        </w:tc>
        <w:tc>
          <w:tcPr>
            <w:tcW w:w="141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hideMark/>
          </w:tcPr>
          <w:p w:rsidR="004C1494" w:rsidRPr="004761E0" w:rsidRDefault="004C1494" w:rsidP="00AF531F">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Доля в уставном капитале, %</w:t>
            </w:r>
          </w:p>
        </w:tc>
        <w:tc>
          <w:tcPr>
            <w:tcW w:w="141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hideMark/>
          </w:tcPr>
          <w:p w:rsidR="004C1494" w:rsidRPr="004761E0" w:rsidRDefault="004C1494" w:rsidP="00AF531F">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Количество держателей</w:t>
            </w:r>
          </w:p>
        </w:tc>
        <w:tc>
          <w:tcPr>
            <w:tcW w:w="1275"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F243E" w:themeFill="text2" w:themeFillShade="80"/>
            <w:hideMark/>
          </w:tcPr>
          <w:p w:rsidR="004C1494" w:rsidRPr="004761E0" w:rsidRDefault="004C1494" w:rsidP="00AF531F">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Доля в уставном капитале, %</w:t>
            </w:r>
          </w:p>
        </w:tc>
      </w:tr>
      <w:tr w:rsidR="004C1494" w:rsidRPr="004761E0" w:rsidTr="004C1494">
        <w:trPr>
          <w:trHeight w:val="7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left"/>
              <w:rPr>
                <w:rFonts w:eastAsia="Times New Roman"/>
                <w:b/>
                <w:color w:val="000000"/>
                <w:sz w:val="20"/>
                <w:szCs w:val="20"/>
                <w:lang w:eastAsia="ru-RU"/>
              </w:rPr>
            </w:pPr>
            <w:r w:rsidRPr="004761E0">
              <w:rPr>
                <w:rFonts w:eastAsia="Times New Roman"/>
                <w:b/>
                <w:color w:val="000000"/>
                <w:sz w:val="20"/>
                <w:szCs w:val="20"/>
                <w:lang w:eastAsia="ru-RU"/>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left"/>
              <w:rPr>
                <w:rFonts w:eastAsia="Times New Roman"/>
                <w:b/>
                <w:color w:val="000000"/>
                <w:sz w:val="20"/>
                <w:szCs w:val="20"/>
                <w:lang w:eastAsia="ru-RU"/>
              </w:rPr>
            </w:pPr>
            <w:r w:rsidRPr="004761E0">
              <w:rPr>
                <w:rFonts w:eastAsia="Times New Roman"/>
                <w:b/>
                <w:color w:val="000000"/>
                <w:sz w:val="20"/>
                <w:szCs w:val="20"/>
                <w:lang w:eastAsia="ru-RU"/>
              </w:rPr>
              <w:t>Всего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18 705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100,00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18 583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100,00</w:t>
            </w:r>
          </w:p>
        </w:tc>
      </w:tr>
      <w:tr w:rsidR="004C1494" w:rsidRPr="004761E0" w:rsidTr="004C1494">
        <w:trPr>
          <w:trHeight w:val="7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left"/>
              <w:rPr>
                <w:rFonts w:eastAsia="Times New Roman"/>
                <w:b/>
                <w:color w:val="000000"/>
                <w:sz w:val="20"/>
                <w:szCs w:val="20"/>
                <w:lang w:eastAsia="ru-RU"/>
              </w:rPr>
            </w:pPr>
            <w:r w:rsidRPr="004761E0">
              <w:rPr>
                <w:rFonts w:eastAsia="Times New Roman"/>
                <w:b/>
                <w:color w:val="000000"/>
                <w:sz w:val="20"/>
                <w:szCs w:val="20"/>
                <w:lang w:eastAsia="ru-RU"/>
              </w:rPr>
              <w:t>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left"/>
              <w:rPr>
                <w:rFonts w:eastAsia="Times New Roman"/>
                <w:b/>
                <w:color w:val="000000"/>
                <w:sz w:val="20"/>
                <w:szCs w:val="20"/>
                <w:lang w:eastAsia="ru-RU"/>
              </w:rPr>
            </w:pPr>
            <w:r w:rsidRPr="004761E0">
              <w:rPr>
                <w:rFonts w:eastAsia="Times New Roman"/>
                <w:b/>
                <w:color w:val="000000"/>
                <w:sz w:val="20"/>
                <w:szCs w:val="20"/>
                <w:lang w:eastAsia="ru-RU"/>
              </w:rPr>
              <w:t>По субъектам: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b/>
                <w:color w:val="000000"/>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b/>
                <w:color w:val="000000"/>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b/>
                <w:color w:val="000000"/>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b/>
                <w:color w:val="000000"/>
                <w:sz w:val="20"/>
                <w:szCs w:val="20"/>
                <w:lang w:eastAsia="ru-RU"/>
              </w:rPr>
            </w:pPr>
          </w:p>
        </w:tc>
      </w:tr>
      <w:tr w:rsidR="004C1494" w:rsidRPr="004761E0" w:rsidTr="004C1494">
        <w:trPr>
          <w:trHeight w:val="7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left"/>
              <w:rPr>
                <w:rFonts w:eastAsia="Times New Roman"/>
                <w:color w:val="000000"/>
                <w:sz w:val="20"/>
                <w:szCs w:val="20"/>
                <w:lang w:eastAsia="ru-RU"/>
              </w:rPr>
            </w:pPr>
            <w:r w:rsidRPr="004761E0">
              <w:rPr>
                <w:rFonts w:eastAsia="Times New Roman"/>
                <w:color w:val="000000"/>
                <w:sz w:val="20"/>
                <w:szCs w:val="20"/>
                <w:lang w:eastAsia="ru-RU"/>
              </w:rPr>
              <w:t>2.1.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left"/>
              <w:rPr>
                <w:rFonts w:eastAsia="Times New Roman"/>
                <w:color w:val="000000"/>
                <w:sz w:val="20"/>
                <w:szCs w:val="20"/>
                <w:lang w:eastAsia="ru-RU"/>
              </w:rPr>
            </w:pPr>
            <w:r w:rsidRPr="004761E0">
              <w:rPr>
                <w:rFonts w:eastAsia="Times New Roman"/>
                <w:color w:val="000000"/>
                <w:sz w:val="20"/>
                <w:szCs w:val="20"/>
                <w:lang w:eastAsia="ru-RU"/>
              </w:rPr>
              <w:t>владельцы – физические лица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15 824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3,67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15 719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3,59</w:t>
            </w:r>
          </w:p>
        </w:tc>
      </w:tr>
      <w:tr w:rsidR="004C1494" w:rsidRPr="004761E0" w:rsidTr="004C1494">
        <w:trPr>
          <w:trHeight w:val="7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left"/>
              <w:rPr>
                <w:rFonts w:eastAsia="Times New Roman"/>
                <w:color w:val="000000"/>
                <w:sz w:val="20"/>
                <w:szCs w:val="20"/>
                <w:lang w:eastAsia="ru-RU"/>
              </w:rPr>
            </w:pPr>
            <w:r w:rsidRPr="004761E0">
              <w:rPr>
                <w:rFonts w:eastAsia="Times New Roman"/>
                <w:color w:val="000000"/>
                <w:sz w:val="20"/>
                <w:szCs w:val="20"/>
                <w:lang w:eastAsia="ru-RU"/>
              </w:rPr>
              <w:t>2.2.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left"/>
              <w:rPr>
                <w:rFonts w:eastAsia="Times New Roman"/>
                <w:color w:val="000000"/>
                <w:sz w:val="20"/>
                <w:szCs w:val="20"/>
                <w:lang w:eastAsia="ru-RU"/>
              </w:rPr>
            </w:pPr>
            <w:r w:rsidRPr="004761E0">
              <w:rPr>
                <w:rFonts w:eastAsia="Times New Roman"/>
                <w:color w:val="000000"/>
                <w:sz w:val="20"/>
                <w:szCs w:val="20"/>
                <w:lang w:eastAsia="ru-RU"/>
              </w:rPr>
              <w:t>владельцы – юридические лица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68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0,03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67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0,03</w:t>
            </w:r>
          </w:p>
        </w:tc>
      </w:tr>
      <w:tr w:rsidR="004C1494" w:rsidRPr="004761E0" w:rsidTr="004C1494">
        <w:trPr>
          <w:trHeight w:val="7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left"/>
              <w:rPr>
                <w:rFonts w:eastAsia="Times New Roman"/>
                <w:color w:val="000000"/>
                <w:sz w:val="20"/>
                <w:szCs w:val="20"/>
                <w:lang w:eastAsia="ru-RU"/>
              </w:rPr>
            </w:pPr>
            <w:r w:rsidRPr="004761E0">
              <w:rPr>
                <w:rFonts w:eastAsia="Times New Roman"/>
                <w:color w:val="000000"/>
                <w:sz w:val="20"/>
                <w:szCs w:val="20"/>
                <w:lang w:eastAsia="ru-RU"/>
              </w:rPr>
              <w:t>2.3.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left"/>
              <w:rPr>
                <w:rFonts w:eastAsia="Times New Roman"/>
                <w:color w:val="000000"/>
                <w:sz w:val="20"/>
                <w:szCs w:val="20"/>
                <w:lang w:eastAsia="ru-RU"/>
              </w:rPr>
            </w:pPr>
            <w:r w:rsidRPr="004761E0">
              <w:rPr>
                <w:rFonts w:eastAsia="Times New Roman"/>
                <w:color w:val="000000"/>
                <w:sz w:val="20"/>
                <w:szCs w:val="20"/>
                <w:lang w:eastAsia="ru-RU"/>
              </w:rPr>
              <w:t>номинальные держатели, в т.ч.:</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96,3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96,38</w:t>
            </w:r>
          </w:p>
        </w:tc>
      </w:tr>
      <w:tr w:rsidR="004C1494" w:rsidRPr="004761E0" w:rsidTr="004C1494">
        <w:trPr>
          <w:trHeight w:val="7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left"/>
              <w:rPr>
                <w:rFonts w:eastAsia="Times New Roman"/>
                <w:color w:val="000000"/>
                <w:sz w:val="20"/>
                <w:szCs w:val="20"/>
                <w:lang w:eastAsia="ru-RU"/>
              </w:rPr>
            </w:pPr>
            <w:r w:rsidRPr="004761E0">
              <w:rPr>
                <w:rFonts w:eastAsia="Times New Roman"/>
                <w:color w:val="000000"/>
                <w:sz w:val="20"/>
                <w:szCs w:val="20"/>
                <w:lang w:eastAsia="ru-RU"/>
              </w:rPr>
              <w:t>2.3.1.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left="459" w:firstLine="0"/>
              <w:jc w:val="left"/>
              <w:rPr>
                <w:rFonts w:eastAsia="Times New Roman"/>
                <w:color w:val="000000"/>
                <w:sz w:val="20"/>
                <w:szCs w:val="20"/>
                <w:lang w:eastAsia="ru-RU"/>
              </w:rPr>
            </w:pPr>
            <w:r w:rsidRPr="004761E0">
              <w:rPr>
                <w:rFonts w:eastAsia="Times New Roman"/>
                <w:color w:val="000000"/>
                <w:sz w:val="20"/>
                <w:szCs w:val="20"/>
                <w:lang w:eastAsia="ru-RU"/>
              </w:rPr>
              <w:t>владельцы – физические лица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2 494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0,55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2 456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0,63</w:t>
            </w:r>
          </w:p>
        </w:tc>
      </w:tr>
      <w:tr w:rsidR="004C1494" w:rsidRPr="004761E0" w:rsidTr="004C1494">
        <w:trPr>
          <w:trHeight w:val="7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left"/>
              <w:rPr>
                <w:rFonts w:eastAsia="Times New Roman"/>
                <w:color w:val="000000"/>
                <w:sz w:val="20"/>
                <w:szCs w:val="20"/>
                <w:lang w:eastAsia="ru-RU"/>
              </w:rPr>
            </w:pPr>
            <w:r w:rsidRPr="004761E0">
              <w:rPr>
                <w:rFonts w:eastAsia="Times New Roman"/>
                <w:color w:val="000000"/>
                <w:sz w:val="20"/>
                <w:szCs w:val="20"/>
                <w:lang w:eastAsia="ru-RU"/>
              </w:rPr>
              <w:t>2.3.2.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left="459" w:firstLine="0"/>
              <w:jc w:val="left"/>
              <w:rPr>
                <w:rFonts w:eastAsia="Times New Roman"/>
                <w:color w:val="000000"/>
                <w:sz w:val="20"/>
                <w:szCs w:val="20"/>
                <w:lang w:eastAsia="ru-RU"/>
              </w:rPr>
            </w:pPr>
            <w:r w:rsidRPr="004761E0">
              <w:rPr>
                <w:rFonts w:eastAsia="Times New Roman"/>
                <w:color w:val="000000"/>
                <w:sz w:val="20"/>
                <w:szCs w:val="20"/>
                <w:lang w:eastAsia="ru-RU"/>
              </w:rPr>
              <w:t>владельцы – юридические лица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247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69,84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253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69,73</w:t>
            </w:r>
          </w:p>
        </w:tc>
      </w:tr>
      <w:tr w:rsidR="004C1494" w:rsidRPr="004761E0" w:rsidTr="004C1494">
        <w:trPr>
          <w:trHeight w:val="7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left"/>
              <w:rPr>
                <w:rFonts w:eastAsia="Times New Roman"/>
                <w:color w:val="000000"/>
                <w:sz w:val="20"/>
                <w:szCs w:val="20"/>
                <w:lang w:eastAsia="ru-RU"/>
              </w:rPr>
            </w:pPr>
            <w:r w:rsidRPr="004761E0">
              <w:rPr>
                <w:rFonts w:eastAsia="Times New Roman"/>
                <w:color w:val="000000"/>
                <w:sz w:val="20"/>
                <w:szCs w:val="20"/>
                <w:lang w:eastAsia="ru-RU"/>
              </w:rPr>
              <w:t>2.3.3.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left="459" w:firstLine="0"/>
              <w:jc w:val="left"/>
              <w:rPr>
                <w:rFonts w:eastAsia="Times New Roman"/>
                <w:color w:val="000000"/>
                <w:sz w:val="20"/>
                <w:szCs w:val="20"/>
                <w:lang w:eastAsia="ru-RU"/>
              </w:rPr>
            </w:pPr>
            <w:r w:rsidRPr="004761E0">
              <w:rPr>
                <w:rFonts w:eastAsia="Times New Roman"/>
                <w:color w:val="000000"/>
                <w:sz w:val="20"/>
                <w:szCs w:val="20"/>
                <w:lang w:eastAsia="ru-RU"/>
              </w:rPr>
              <w:t>доверительные управляющие – юридические лица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64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25,91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81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26,02</w:t>
            </w:r>
          </w:p>
        </w:tc>
      </w:tr>
      <w:tr w:rsidR="004C1494" w:rsidRPr="004761E0" w:rsidTr="004C1494">
        <w:trPr>
          <w:trHeight w:val="7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left"/>
              <w:rPr>
                <w:rFonts w:eastAsia="Times New Roman"/>
                <w:b/>
                <w:color w:val="000000"/>
                <w:sz w:val="20"/>
                <w:szCs w:val="20"/>
                <w:lang w:eastAsia="ru-RU"/>
              </w:rPr>
            </w:pPr>
            <w:r w:rsidRPr="004761E0">
              <w:rPr>
                <w:rFonts w:eastAsia="Times New Roman"/>
                <w:b/>
                <w:color w:val="000000"/>
                <w:sz w:val="20"/>
                <w:szCs w:val="20"/>
                <w:lang w:eastAsia="ru-RU"/>
              </w:rPr>
              <w:t>3.</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494" w:rsidRPr="004761E0" w:rsidRDefault="004C1494" w:rsidP="00AF531F">
            <w:pPr>
              <w:ind w:firstLine="0"/>
              <w:jc w:val="left"/>
              <w:rPr>
                <w:rFonts w:eastAsia="Times New Roman"/>
                <w:b/>
                <w:color w:val="000000"/>
                <w:sz w:val="20"/>
                <w:szCs w:val="20"/>
                <w:lang w:eastAsia="ru-RU"/>
              </w:rPr>
            </w:pPr>
            <w:r w:rsidRPr="004761E0">
              <w:rPr>
                <w:rFonts w:eastAsia="Times New Roman"/>
                <w:b/>
                <w:color w:val="000000"/>
                <w:sz w:val="20"/>
                <w:szCs w:val="20"/>
                <w:lang w:eastAsia="ru-RU"/>
              </w:rPr>
              <w:t>По территориальной принадлежности:</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494" w:rsidRPr="004761E0" w:rsidRDefault="004C1494" w:rsidP="00AF531F">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494" w:rsidRPr="004761E0" w:rsidRDefault="004C1494" w:rsidP="00AF531F">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494" w:rsidRPr="004761E0" w:rsidRDefault="004C1494" w:rsidP="00AF531F">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494" w:rsidRPr="004761E0" w:rsidRDefault="004C1494" w:rsidP="00AF531F">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 </w:t>
            </w:r>
          </w:p>
        </w:tc>
      </w:tr>
      <w:tr w:rsidR="004C1494" w:rsidRPr="004761E0" w:rsidTr="004C1494">
        <w:trPr>
          <w:trHeight w:val="7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left"/>
              <w:rPr>
                <w:rFonts w:eastAsia="Times New Roman"/>
                <w:color w:val="000000"/>
                <w:sz w:val="20"/>
                <w:szCs w:val="20"/>
                <w:lang w:eastAsia="ru-RU"/>
              </w:rPr>
            </w:pPr>
            <w:r w:rsidRPr="004761E0">
              <w:rPr>
                <w:rFonts w:eastAsia="Times New Roman"/>
                <w:color w:val="000000"/>
                <w:sz w:val="20"/>
                <w:szCs w:val="20"/>
                <w:lang w:eastAsia="ru-RU"/>
              </w:rPr>
              <w:t>3.1.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left"/>
              <w:rPr>
                <w:rFonts w:eastAsia="Times New Roman"/>
                <w:color w:val="000000"/>
                <w:sz w:val="20"/>
                <w:szCs w:val="20"/>
                <w:lang w:eastAsia="ru-RU"/>
              </w:rPr>
            </w:pPr>
            <w:r w:rsidRPr="004761E0">
              <w:rPr>
                <w:rFonts w:eastAsia="Times New Roman"/>
                <w:color w:val="000000"/>
                <w:sz w:val="20"/>
                <w:szCs w:val="20"/>
                <w:lang w:eastAsia="ru-RU"/>
              </w:rPr>
              <w:t>резиденты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18 574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93,53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18 454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99,13</w:t>
            </w:r>
          </w:p>
        </w:tc>
      </w:tr>
      <w:tr w:rsidR="004C1494" w:rsidRPr="004761E0" w:rsidTr="004C1494">
        <w:trPr>
          <w:trHeight w:val="7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left"/>
              <w:rPr>
                <w:rFonts w:eastAsia="Times New Roman"/>
                <w:color w:val="000000"/>
                <w:sz w:val="20"/>
                <w:szCs w:val="20"/>
                <w:lang w:eastAsia="ru-RU"/>
              </w:rPr>
            </w:pPr>
            <w:r w:rsidRPr="004761E0">
              <w:rPr>
                <w:rFonts w:eastAsia="Times New Roman"/>
                <w:color w:val="000000"/>
                <w:sz w:val="20"/>
                <w:szCs w:val="20"/>
                <w:lang w:eastAsia="ru-RU"/>
              </w:rPr>
              <w:t>3.2. </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4C1494" w:rsidRPr="004761E0" w:rsidRDefault="004C1494" w:rsidP="00AF531F">
            <w:pPr>
              <w:ind w:firstLine="0"/>
              <w:jc w:val="left"/>
              <w:rPr>
                <w:rFonts w:eastAsia="Times New Roman"/>
                <w:color w:val="000000"/>
                <w:sz w:val="20"/>
                <w:szCs w:val="20"/>
                <w:lang w:eastAsia="ru-RU"/>
              </w:rPr>
            </w:pPr>
            <w:r w:rsidRPr="004761E0">
              <w:rPr>
                <w:rFonts w:eastAsia="Times New Roman"/>
                <w:color w:val="000000"/>
                <w:sz w:val="20"/>
                <w:szCs w:val="20"/>
                <w:lang w:eastAsia="ru-RU"/>
              </w:rPr>
              <w:t>нерезиденты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131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6,47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129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0,87</w:t>
            </w:r>
          </w:p>
        </w:tc>
      </w:tr>
    </w:tbl>
    <w:p w:rsidR="004C1494" w:rsidRPr="004761E0" w:rsidRDefault="004C1494" w:rsidP="00AF531F">
      <w:pPr>
        <w:autoSpaceDE w:val="0"/>
        <w:autoSpaceDN w:val="0"/>
        <w:adjustRightInd w:val="0"/>
        <w:spacing w:before="120"/>
        <w:ind w:firstLine="0"/>
        <w:rPr>
          <w:rFonts w:eastAsia="Times New Roman"/>
          <w:i/>
          <w:iCs/>
          <w:sz w:val="20"/>
          <w:szCs w:val="20"/>
          <w:lang w:eastAsia="ru-RU"/>
        </w:rPr>
      </w:pPr>
      <w:r w:rsidRPr="004761E0">
        <w:rPr>
          <w:rFonts w:eastAsia="Times New Roman"/>
          <w:i/>
          <w:iCs/>
          <w:noProof/>
          <w:sz w:val="20"/>
          <w:szCs w:val="20"/>
          <w:lang w:eastAsia="ru-RU"/>
        </w:rPr>
        <w:drawing>
          <wp:inline distT="0" distB="0" distL="0" distR="0">
            <wp:extent cx="2178050" cy="2247900"/>
            <wp:effectExtent l="19050" t="0" r="12700" b="0"/>
            <wp:docPr id="2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r w:rsidRPr="004761E0">
        <w:rPr>
          <w:rFonts w:eastAsia="Times New Roman"/>
          <w:i/>
          <w:iCs/>
          <w:noProof/>
          <w:sz w:val="18"/>
          <w:szCs w:val="20"/>
          <w:lang w:eastAsia="ru-RU"/>
        </w:rPr>
        <w:drawing>
          <wp:inline distT="0" distB="0" distL="0" distR="0">
            <wp:extent cx="2228850" cy="2247900"/>
            <wp:effectExtent l="19050" t="0" r="19050" b="0"/>
            <wp:docPr id="2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4C1494" w:rsidRPr="004761E0" w:rsidRDefault="004C1494" w:rsidP="004C1494">
      <w:pPr>
        <w:autoSpaceDE w:val="0"/>
        <w:autoSpaceDN w:val="0"/>
        <w:adjustRightInd w:val="0"/>
        <w:spacing w:before="120"/>
        <w:rPr>
          <w:sz w:val="26"/>
          <w:szCs w:val="26"/>
        </w:rPr>
      </w:pPr>
      <w:r w:rsidRPr="004761E0">
        <w:rPr>
          <w:sz w:val="26"/>
          <w:szCs w:val="26"/>
        </w:rPr>
        <w:t>По состоянию на 23.12.2013 в структуре акционерного капитала Общества по количеству держателей преобладают физические лица, однако большая доля владения приходятся на номинальных держателей – юридических лиц.</w:t>
      </w:r>
    </w:p>
    <w:p w:rsidR="004C1494" w:rsidRPr="004761E0" w:rsidRDefault="004C1494" w:rsidP="00AF531F">
      <w:pPr>
        <w:autoSpaceDE w:val="0"/>
        <w:autoSpaceDN w:val="0"/>
        <w:adjustRightInd w:val="0"/>
        <w:spacing w:before="120"/>
        <w:ind w:firstLine="0"/>
        <w:rPr>
          <w:sz w:val="26"/>
          <w:szCs w:val="26"/>
        </w:rPr>
      </w:pPr>
      <w:r w:rsidRPr="004761E0">
        <w:rPr>
          <w:noProof/>
          <w:sz w:val="26"/>
          <w:szCs w:val="26"/>
          <w:lang w:eastAsia="ru-RU"/>
        </w:rPr>
        <w:drawing>
          <wp:inline distT="0" distB="0" distL="0" distR="0">
            <wp:extent cx="2000250" cy="2070100"/>
            <wp:effectExtent l="19050" t="0" r="19050" b="6350"/>
            <wp:docPr id="2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r w:rsidRPr="004761E0">
        <w:rPr>
          <w:noProof/>
          <w:sz w:val="26"/>
          <w:szCs w:val="26"/>
          <w:lang w:eastAsia="ru-RU"/>
        </w:rPr>
        <w:drawing>
          <wp:inline distT="0" distB="0" distL="0" distR="0">
            <wp:extent cx="1962150" cy="2076450"/>
            <wp:effectExtent l="19050" t="0" r="19050" b="0"/>
            <wp:docPr id="2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4C1494" w:rsidRPr="004761E0" w:rsidRDefault="004C1494" w:rsidP="004C1494">
      <w:pPr>
        <w:rPr>
          <w:b/>
          <w:sz w:val="26"/>
          <w:szCs w:val="26"/>
        </w:rPr>
      </w:pPr>
      <w:r w:rsidRPr="004761E0">
        <w:rPr>
          <w:b/>
          <w:sz w:val="26"/>
          <w:szCs w:val="26"/>
        </w:rPr>
        <w:br w:type="page"/>
      </w:r>
    </w:p>
    <w:p w:rsidR="004C1494" w:rsidRPr="004761E0" w:rsidRDefault="004C1494" w:rsidP="004C1494">
      <w:pPr>
        <w:autoSpaceDE w:val="0"/>
        <w:autoSpaceDN w:val="0"/>
        <w:adjustRightInd w:val="0"/>
        <w:spacing w:before="120" w:after="120"/>
        <w:rPr>
          <w:b/>
          <w:sz w:val="26"/>
          <w:szCs w:val="26"/>
        </w:rPr>
        <w:sectPr w:rsidR="004C1494" w:rsidRPr="004761E0" w:rsidSect="004C1494">
          <w:pgSz w:w="11906" w:h="16838"/>
          <w:pgMar w:top="1134" w:right="851" w:bottom="1134" w:left="1701" w:header="709" w:footer="709" w:gutter="0"/>
          <w:cols w:space="708"/>
          <w:docGrid w:linePitch="360"/>
        </w:sectPr>
      </w:pPr>
    </w:p>
    <w:p w:rsidR="00027A32" w:rsidRPr="004761E0" w:rsidRDefault="004C1494" w:rsidP="00743B24">
      <w:pPr>
        <w:spacing w:before="120" w:after="120"/>
        <w:ind w:firstLine="567"/>
        <w:rPr>
          <w:b/>
          <w:sz w:val="26"/>
          <w:szCs w:val="26"/>
          <w:lang w:eastAsia="ru-RU"/>
        </w:rPr>
      </w:pPr>
      <w:r w:rsidRPr="004761E0">
        <w:rPr>
          <w:b/>
          <w:sz w:val="26"/>
          <w:szCs w:val="26"/>
          <w:lang w:eastAsia="ru-RU"/>
        </w:rPr>
        <w:lastRenderedPageBreak/>
        <w:t>Статистическая информация об акционерах</w:t>
      </w:r>
    </w:p>
    <w:tbl>
      <w:tblPr>
        <w:tblW w:w="15012" w:type="dxa"/>
        <w:tblInd w:w="-34" w:type="dxa"/>
        <w:tblLayout w:type="fixed"/>
        <w:tblLook w:val="04A0"/>
      </w:tblPr>
      <w:tblGrid>
        <w:gridCol w:w="568"/>
        <w:gridCol w:w="2537"/>
        <w:gridCol w:w="1417"/>
        <w:gridCol w:w="1418"/>
        <w:gridCol w:w="1559"/>
        <w:gridCol w:w="1559"/>
        <w:gridCol w:w="1276"/>
        <w:gridCol w:w="1418"/>
        <w:gridCol w:w="1701"/>
        <w:gridCol w:w="1559"/>
      </w:tblGrid>
      <w:tr w:rsidR="004C1494" w:rsidRPr="004761E0" w:rsidTr="00AF531F">
        <w:trPr>
          <w:trHeight w:val="300"/>
        </w:trPr>
        <w:tc>
          <w:tcPr>
            <w:tcW w:w="568" w:type="dxa"/>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0F243E" w:themeFill="text2" w:themeFillShade="80"/>
            <w:vAlign w:val="center"/>
            <w:hideMark/>
          </w:tcPr>
          <w:p w:rsidR="004C1494" w:rsidRPr="004761E0" w:rsidRDefault="004C1494" w:rsidP="00AF531F">
            <w:pPr>
              <w:ind w:firstLine="0"/>
              <w:rPr>
                <w:rFonts w:eastAsia="Times New Roman"/>
                <w:b/>
                <w:sz w:val="20"/>
                <w:szCs w:val="17"/>
                <w:lang w:eastAsia="ru-RU"/>
              </w:rPr>
            </w:pPr>
            <w:r w:rsidRPr="004761E0">
              <w:rPr>
                <w:rFonts w:eastAsia="Times New Roman"/>
                <w:b/>
                <w:sz w:val="20"/>
                <w:szCs w:val="17"/>
                <w:lang w:eastAsia="ru-RU"/>
              </w:rPr>
              <w:t>№ п/п</w:t>
            </w:r>
          </w:p>
        </w:tc>
        <w:tc>
          <w:tcPr>
            <w:tcW w:w="2537"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C1494" w:rsidRPr="004761E0" w:rsidRDefault="004C1494" w:rsidP="00AF531F">
            <w:pPr>
              <w:ind w:firstLine="0"/>
              <w:rPr>
                <w:rFonts w:eastAsia="Times New Roman"/>
                <w:b/>
                <w:sz w:val="20"/>
                <w:szCs w:val="17"/>
                <w:lang w:eastAsia="ru-RU"/>
              </w:rPr>
            </w:pPr>
            <w:r w:rsidRPr="004761E0">
              <w:rPr>
                <w:rFonts w:eastAsia="Times New Roman"/>
                <w:b/>
                <w:sz w:val="20"/>
                <w:szCs w:val="17"/>
                <w:lang w:eastAsia="ru-RU"/>
              </w:rPr>
              <w:t>Наименование категории</w:t>
            </w:r>
          </w:p>
        </w:tc>
        <w:tc>
          <w:tcPr>
            <w:tcW w:w="5953"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4C1494" w:rsidRPr="004761E0" w:rsidRDefault="004C1494" w:rsidP="00AF531F">
            <w:pPr>
              <w:ind w:firstLine="0"/>
              <w:jc w:val="right"/>
              <w:rPr>
                <w:rFonts w:eastAsia="Times New Roman"/>
                <w:b/>
                <w:sz w:val="20"/>
                <w:szCs w:val="20"/>
                <w:lang w:eastAsia="ru-RU"/>
              </w:rPr>
            </w:pPr>
            <w:r w:rsidRPr="004761E0">
              <w:rPr>
                <w:rFonts w:eastAsia="Times New Roman"/>
                <w:b/>
                <w:sz w:val="20"/>
                <w:szCs w:val="20"/>
                <w:lang w:eastAsia="ru-RU"/>
              </w:rPr>
              <w:t>На дату составления списка лиц, имеющих право на участие в годовом Общем собрании акционеров (08.05.2013)</w:t>
            </w:r>
          </w:p>
        </w:tc>
        <w:tc>
          <w:tcPr>
            <w:tcW w:w="5954" w:type="dxa"/>
            <w:gridSpan w:val="4"/>
            <w:tcBorders>
              <w:top w:val="single" w:sz="4" w:space="0" w:color="auto"/>
              <w:left w:val="single" w:sz="4" w:space="0" w:color="FFFFFF" w:themeColor="background1"/>
              <w:bottom w:val="single" w:sz="4" w:space="0" w:color="FFFFFF" w:themeColor="background1"/>
              <w:right w:val="single" w:sz="4" w:space="0" w:color="000000"/>
            </w:tcBorders>
            <w:shd w:val="clear" w:color="auto" w:fill="0F243E" w:themeFill="text2" w:themeFillShade="80"/>
            <w:hideMark/>
          </w:tcPr>
          <w:p w:rsidR="004C1494" w:rsidRPr="004761E0" w:rsidRDefault="004C1494" w:rsidP="00AF531F">
            <w:pPr>
              <w:ind w:firstLine="0"/>
              <w:jc w:val="center"/>
              <w:rPr>
                <w:rFonts w:eastAsia="Times New Roman"/>
                <w:b/>
                <w:sz w:val="20"/>
                <w:szCs w:val="20"/>
                <w:lang w:eastAsia="ru-RU"/>
              </w:rPr>
            </w:pPr>
            <w:r w:rsidRPr="004761E0">
              <w:rPr>
                <w:rFonts w:eastAsia="Times New Roman"/>
                <w:b/>
                <w:sz w:val="20"/>
                <w:szCs w:val="20"/>
                <w:lang w:eastAsia="ru-RU"/>
              </w:rPr>
              <w:t>На дату составления списка лиц, имеющих право на участие во внеочередном Общем собрании акционеров (23.12.2013)</w:t>
            </w:r>
          </w:p>
        </w:tc>
      </w:tr>
      <w:tr w:rsidR="004C1494" w:rsidRPr="004761E0" w:rsidTr="00AF531F">
        <w:trPr>
          <w:trHeight w:val="70"/>
        </w:trPr>
        <w:tc>
          <w:tcPr>
            <w:tcW w:w="568" w:type="dxa"/>
            <w:vMerge/>
            <w:tcBorders>
              <w:top w:val="single" w:sz="4" w:space="0" w:color="FFFFFF" w:themeColor="background1"/>
              <w:left w:val="single" w:sz="4" w:space="0" w:color="auto"/>
              <w:bottom w:val="single" w:sz="4" w:space="0" w:color="000000"/>
              <w:right w:val="single" w:sz="4" w:space="0" w:color="FFFFFF" w:themeColor="background1"/>
            </w:tcBorders>
            <w:shd w:val="clear" w:color="auto" w:fill="0F243E" w:themeFill="text2" w:themeFillShade="80"/>
            <w:vAlign w:val="center"/>
            <w:hideMark/>
          </w:tcPr>
          <w:p w:rsidR="004C1494" w:rsidRPr="004761E0" w:rsidRDefault="004C1494" w:rsidP="004C1494">
            <w:pPr>
              <w:rPr>
                <w:rFonts w:eastAsia="Times New Roman"/>
                <w:sz w:val="20"/>
                <w:szCs w:val="20"/>
                <w:lang w:eastAsia="ru-RU"/>
              </w:rPr>
            </w:pPr>
          </w:p>
        </w:tc>
        <w:tc>
          <w:tcPr>
            <w:tcW w:w="2537" w:type="dxa"/>
            <w:vMerge/>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0F243E" w:themeFill="text2" w:themeFillShade="80"/>
            <w:vAlign w:val="center"/>
            <w:hideMark/>
          </w:tcPr>
          <w:p w:rsidR="004C1494" w:rsidRPr="004761E0" w:rsidRDefault="004C1494" w:rsidP="004C1494">
            <w:pPr>
              <w:rPr>
                <w:rFonts w:eastAsia="Times New Roman"/>
                <w:sz w:val="20"/>
                <w:szCs w:val="17"/>
                <w:lang w:eastAsia="ru-RU"/>
              </w:rPr>
            </w:pPr>
          </w:p>
        </w:tc>
        <w:tc>
          <w:tcPr>
            <w:tcW w:w="141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hideMark/>
          </w:tcPr>
          <w:p w:rsidR="004C1494" w:rsidRPr="004761E0" w:rsidRDefault="004C1494" w:rsidP="004C1494">
            <w:pPr>
              <w:jc w:val="right"/>
              <w:rPr>
                <w:rFonts w:eastAsia="Times New Roman"/>
                <w:b/>
                <w:sz w:val="20"/>
                <w:szCs w:val="17"/>
                <w:lang w:eastAsia="ru-RU"/>
              </w:rPr>
            </w:pPr>
            <w:r w:rsidRPr="004761E0">
              <w:rPr>
                <w:rFonts w:eastAsia="Times New Roman"/>
                <w:b/>
                <w:sz w:val="20"/>
                <w:szCs w:val="17"/>
                <w:lang w:eastAsia="ru-RU"/>
              </w:rPr>
              <w:t>Количество акционеров</w:t>
            </w:r>
          </w:p>
        </w:tc>
        <w:tc>
          <w:tcPr>
            <w:tcW w:w="141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hideMark/>
          </w:tcPr>
          <w:p w:rsidR="004C1494" w:rsidRPr="004761E0" w:rsidRDefault="004C1494" w:rsidP="00AF531F">
            <w:pPr>
              <w:ind w:firstLine="0"/>
              <w:jc w:val="right"/>
              <w:rPr>
                <w:rFonts w:eastAsia="Times New Roman"/>
                <w:b/>
                <w:sz w:val="20"/>
                <w:szCs w:val="17"/>
                <w:lang w:eastAsia="ru-RU"/>
              </w:rPr>
            </w:pPr>
            <w:r w:rsidRPr="004761E0">
              <w:rPr>
                <w:rFonts w:eastAsia="Times New Roman"/>
                <w:b/>
                <w:sz w:val="20"/>
                <w:szCs w:val="17"/>
                <w:lang w:eastAsia="ru-RU"/>
              </w:rPr>
              <w:t>% от общего количества акционеров</w:t>
            </w:r>
          </w:p>
        </w:tc>
        <w:tc>
          <w:tcPr>
            <w:tcW w:w="155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hideMark/>
          </w:tcPr>
          <w:p w:rsidR="004C1494" w:rsidRPr="004761E0" w:rsidRDefault="004C1494" w:rsidP="00AF531F">
            <w:pPr>
              <w:ind w:firstLine="0"/>
              <w:jc w:val="right"/>
              <w:rPr>
                <w:rFonts w:eastAsia="Times New Roman"/>
                <w:b/>
                <w:sz w:val="20"/>
                <w:szCs w:val="17"/>
                <w:lang w:eastAsia="ru-RU"/>
              </w:rPr>
            </w:pPr>
            <w:r w:rsidRPr="004761E0">
              <w:rPr>
                <w:rFonts w:eastAsia="Times New Roman"/>
                <w:b/>
                <w:sz w:val="20"/>
                <w:szCs w:val="17"/>
                <w:lang w:eastAsia="ru-RU"/>
              </w:rPr>
              <w:t>Количество акций</w:t>
            </w:r>
          </w:p>
        </w:tc>
        <w:tc>
          <w:tcPr>
            <w:tcW w:w="155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hideMark/>
          </w:tcPr>
          <w:p w:rsidR="004C1494" w:rsidRPr="004761E0" w:rsidRDefault="004C1494" w:rsidP="00AF531F">
            <w:pPr>
              <w:ind w:firstLine="0"/>
              <w:jc w:val="right"/>
              <w:rPr>
                <w:rFonts w:eastAsia="Times New Roman"/>
                <w:b/>
                <w:sz w:val="20"/>
                <w:szCs w:val="17"/>
                <w:lang w:eastAsia="ru-RU"/>
              </w:rPr>
            </w:pPr>
            <w:r w:rsidRPr="004761E0">
              <w:rPr>
                <w:rFonts w:eastAsia="Times New Roman"/>
                <w:b/>
                <w:sz w:val="20"/>
                <w:szCs w:val="17"/>
                <w:lang w:eastAsia="ru-RU"/>
              </w:rPr>
              <w:t>% от акционерного капитала</w:t>
            </w:r>
          </w:p>
        </w:tc>
        <w:tc>
          <w:tcPr>
            <w:tcW w:w="127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hideMark/>
          </w:tcPr>
          <w:p w:rsidR="004C1494" w:rsidRPr="004761E0" w:rsidRDefault="004C1494" w:rsidP="00AF531F">
            <w:pPr>
              <w:ind w:firstLine="0"/>
              <w:jc w:val="right"/>
              <w:rPr>
                <w:rFonts w:eastAsia="Times New Roman"/>
                <w:b/>
                <w:sz w:val="20"/>
                <w:szCs w:val="17"/>
                <w:lang w:eastAsia="ru-RU"/>
              </w:rPr>
            </w:pPr>
            <w:r w:rsidRPr="004761E0">
              <w:rPr>
                <w:rFonts w:eastAsia="Times New Roman"/>
                <w:b/>
                <w:sz w:val="20"/>
                <w:szCs w:val="17"/>
                <w:lang w:eastAsia="ru-RU"/>
              </w:rPr>
              <w:t>Количество акционеров</w:t>
            </w:r>
          </w:p>
        </w:tc>
        <w:tc>
          <w:tcPr>
            <w:tcW w:w="141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hideMark/>
          </w:tcPr>
          <w:p w:rsidR="004C1494" w:rsidRPr="004761E0" w:rsidRDefault="004C1494" w:rsidP="00AF531F">
            <w:pPr>
              <w:ind w:firstLine="0"/>
              <w:jc w:val="right"/>
              <w:rPr>
                <w:rFonts w:eastAsia="Times New Roman"/>
                <w:b/>
                <w:sz w:val="20"/>
                <w:szCs w:val="17"/>
                <w:lang w:eastAsia="ru-RU"/>
              </w:rPr>
            </w:pPr>
            <w:r w:rsidRPr="004761E0">
              <w:rPr>
                <w:rFonts w:eastAsia="Times New Roman"/>
                <w:b/>
                <w:sz w:val="20"/>
                <w:szCs w:val="17"/>
                <w:lang w:eastAsia="ru-RU"/>
              </w:rPr>
              <w:t>% от общего количества акционеров</w:t>
            </w:r>
          </w:p>
        </w:tc>
        <w:tc>
          <w:tcPr>
            <w:tcW w:w="170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hideMark/>
          </w:tcPr>
          <w:p w:rsidR="004C1494" w:rsidRPr="004761E0" w:rsidRDefault="004C1494" w:rsidP="00AF531F">
            <w:pPr>
              <w:ind w:firstLine="0"/>
              <w:jc w:val="right"/>
              <w:rPr>
                <w:rFonts w:eastAsia="Times New Roman"/>
                <w:b/>
                <w:sz w:val="20"/>
                <w:szCs w:val="17"/>
                <w:lang w:eastAsia="ru-RU"/>
              </w:rPr>
            </w:pPr>
            <w:r w:rsidRPr="004761E0">
              <w:rPr>
                <w:rFonts w:eastAsia="Times New Roman"/>
                <w:b/>
                <w:sz w:val="20"/>
                <w:szCs w:val="17"/>
                <w:lang w:eastAsia="ru-RU"/>
              </w:rPr>
              <w:t>Количество акций</w:t>
            </w:r>
          </w:p>
        </w:tc>
        <w:tc>
          <w:tcPr>
            <w:tcW w:w="1559"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F243E" w:themeFill="text2" w:themeFillShade="80"/>
            <w:hideMark/>
          </w:tcPr>
          <w:p w:rsidR="004C1494" w:rsidRPr="004761E0" w:rsidRDefault="004C1494" w:rsidP="00AF531F">
            <w:pPr>
              <w:ind w:firstLine="0"/>
              <w:jc w:val="right"/>
              <w:rPr>
                <w:rFonts w:eastAsia="Times New Roman"/>
                <w:b/>
                <w:sz w:val="20"/>
                <w:szCs w:val="17"/>
                <w:lang w:eastAsia="ru-RU"/>
              </w:rPr>
            </w:pPr>
            <w:r w:rsidRPr="004761E0">
              <w:rPr>
                <w:rFonts w:eastAsia="Times New Roman"/>
                <w:b/>
                <w:sz w:val="20"/>
                <w:szCs w:val="17"/>
                <w:lang w:eastAsia="ru-RU"/>
              </w:rPr>
              <w:t>% от акционерного капитала</w:t>
            </w:r>
          </w:p>
        </w:tc>
      </w:tr>
      <w:tr w:rsidR="00FB573A" w:rsidRPr="004761E0" w:rsidTr="00FB573A">
        <w:trPr>
          <w:trHeight w:val="70"/>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FB573A" w:rsidRPr="004761E0" w:rsidRDefault="00FB573A" w:rsidP="007076A7">
            <w:pPr>
              <w:pStyle w:val="a5"/>
              <w:numPr>
                <w:ilvl w:val="0"/>
                <w:numId w:val="68"/>
              </w:numPr>
              <w:ind w:hanging="260"/>
              <w:rPr>
                <w:rFonts w:eastAsia="Times New Roman"/>
                <w:color w:val="000000"/>
                <w:sz w:val="20"/>
                <w:szCs w:val="20"/>
                <w:lang w:eastAsia="ru-RU"/>
              </w:rPr>
            </w:pPr>
          </w:p>
        </w:tc>
        <w:tc>
          <w:tcPr>
            <w:tcW w:w="2537" w:type="dxa"/>
            <w:tcBorders>
              <w:top w:val="nil"/>
              <w:left w:val="nil"/>
              <w:bottom w:val="single" w:sz="4" w:space="0" w:color="auto"/>
              <w:right w:val="single" w:sz="4" w:space="0" w:color="auto"/>
            </w:tcBorders>
            <w:shd w:val="clear" w:color="000000" w:fill="FFFFFF"/>
            <w:noWrap/>
            <w:vAlign w:val="center"/>
            <w:hideMark/>
          </w:tcPr>
          <w:p w:rsidR="00FB573A" w:rsidRPr="004761E0" w:rsidRDefault="00FB573A" w:rsidP="00AF531F">
            <w:pPr>
              <w:ind w:firstLine="0"/>
              <w:rPr>
                <w:rFonts w:eastAsia="Times New Roman"/>
                <w:color w:val="000000"/>
                <w:sz w:val="20"/>
                <w:szCs w:val="20"/>
                <w:lang w:eastAsia="ru-RU"/>
              </w:rPr>
            </w:pPr>
            <w:r w:rsidRPr="004761E0">
              <w:rPr>
                <w:rFonts w:eastAsia="Times New Roman"/>
                <w:color w:val="000000"/>
                <w:sz w:val="20"/>
                <w:szCs w:val="20"/>
                <w:lang w:eastAsia="ru-RU"/>
              </w:rPr>
              <w:t xml:space="preserve">Количество акций, шт. (всего), в т.ч.: </w:t>
            </w:r>
          </w:p>
        </w:tc>
        <w:tc>
          <w:tcPr>
            <w:tcW w:w="1417" w:type="dxa"/>
            <w:tcBorders>
              <w:top w:val="nil"/>
              <w:left w:val="nil"/>
              <w:bottom w:val="single" w:sz="4" w:space="0" w:color="auto"/>
              <w:right w:val="single" w:sz="4" w:space="0" w:color="auto"/>
            </w:tcBorders>
            <w:shd w:val="clear" w:color="auto" w:fill="auto"/>
            <w:vAlign w:val="center"/>
            <w:hideMark/>
          </w:tcPr>
          <w:p w:rsidR="00FB573A" w:rsidRPr="004761E0" w:rsidRDefault="00FB573A" w:rsidP="00FB573A">
            <w:pPr>
              <w:ind w:firstLine="0"/>
              <w:jc w:val="right"/>
              <w:rPr>
                <w:rFonts w:eastAsia="Times New Roman"/>
                <w:sz w:val="20"/>
                <w:szCs w:val="20"/>
                <w:lang w:eastAsia="ru-RU"/>
              </w:rPr>
            </w:pPr>
            <w:r w:rsidRPr="004761E0">
              <w:rPr>
                <w:rFonts w:eastAsia="Times New Roman"/>
                <w:sz w:val="20"/>
                <w:szCs w:val="20"/>
                <w:lang w:eastAsia="ru-RU"/>
              </w:rPr>
              <w:t>18 701</w:t>
            </w:r>
          </w:p>
        </w:tc>
        <w:tc>
          <w:tcPr>
            <w:tcW w:w="1418" w:type="dxa"/>
            <w:tcBorders>
              <w:top w:val="nil"/>
              <w:left w:val="nil"/>
              <w:bottom w:val="single" w:sz="4" w:space="0" w:color="auto"/>
              <w:right w:val="single" w:sz="4" w:space="0" w:color="auto"/>
            </w:tcBorders>
            <w:shd w:val="clear" w:color="auto" w:fill="auto"/>
            <w:vAlign w:val="center"/>
            <w:hideMark/>
          </w:tcPr>
          <w:p w:rsidR="00FB573A" w:rsidRPr="004761E0" w:rsidRDefault="00FB573A" w:rsidP="00FB573A">
            <w:pPr>
              <w:ind w:firstLine="0"/>
              <w:jc w:val="right"/>
              <w:rPr>
                <w:rFonts w:eastAsia="Times New Roman"/>
                <w:sz w:val="20"/>
                <w:szCs w:val="20"/>
                <w:lang w:eastAsia="ru-RU"/>
              </w:rPr>
            </w:pPr>
            <w:r w:rsidRPr="004761E0">
              <w:rPr>
                <w:rFonts w:eastAsia="Times New Roman"/>
                <w:sz w:val="20"/>
                <w:szCs w:val="20"/>
                <w:lang w:eastAsia="ru-RU"/>
              </w:rPr>
              <w:t>100,00</w:t>
            </w:r>
          </w:p>
        </w:tc>
        <w:tc>
          <w:tcPr>
            <w:tcW w:w="1559" w:type="dxa"/>
            <w:tcBorders>
              <w:top w:val="nil"/>
              <w:left w:val="nil"/>
              <w:bottom w:val="single" w:sz="4" w:space="0" w:color="auto"/>
              <w:right w:val="single" w:sz="4" w:space="0" w:color="auto"/>
            </w:tcBorders>
            <w:shd w:val="clear" w:color="auto" w:fill="auto"/>
            <w:vAlign w:val="center"/>
            <w:hideMark/>
          </w:tcPr>
          <w:p w:rsidR="00FB573A" w:rsidRPr="004761E0" w:rsidRDefault="00FB573A" w:rsidP="00FB573A">
            <w:pPr>
              <w:ind w:firstLine="0"/>
              <w:jc w:val="right"/>
              <w:rPr>
                <w:rFonts w:eastAsia="Times New Roman"/>
                <w:sz w:val="20"/>
                <w:szCs w:val="20"/>
                <w:lang w:eastAsia="ru-RU"/>
              </w:rPr>
            </w:pPr>
            <w:r w:rsidRPr="004761E0">
              <w:rPr>
                <w:rFonts w:eastAsia="Times New Roman"/>
                <w:sz w:val="20"/>
                <w:szCs w:val="20"/>
                <w:lang w:eastAsia="ru-RU"/>
              </w:rPr>
              <w:t>48 707 091 574</w:t>
            </w:r>
          </w:p>
        </w:tc>
        <w:tc>
          <w:tcPr>
            <w:tcW w:w="1559" w:type="dxa"/>
            <w:tcBorders>
              <w:top w:val="nil"/>
              <w:left w:val="nil"/>
              <w:bottom w:val="single" w:sz="4" w:space="0" w:color="auto"/>
              <w:right w:val="single" w:sz="4" w:space="0" w:color="auto"/>
            </w:tcBorders>
            <w:shd w:val="clear" w:color="auto" w:fill="auto"/>
            <w:vAlign w:val="center"/>
            <w:hideMark/>
          </w:tcPr>
          <w:p w:rsidR="00FB573A" w:rsidRPr="004761E0" w:rsidRDefault="00FB573A" w:rsidP="00FB573A">
            <w:pPr>
              <w:ind w:firstLine="0"/>
              <w:jc w:val="right"/>
              <w:rPr>
                <w:rFonts w:eastAsia="Times New Roman"/>
                <w:sz w:val="20"/>
                <w:szCs w:val="20"/>
                <w:lang w:eastAsia="ru-RU"/>
              </w:rPr>
            </w:pPr>
            <w:r w:rsidRPr="004761E0">
              <w:rPr>
                <w:rFonts w:eastAsia="Times New Roman"/>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FB573A" w:rsidRPr="004761E0" w:rsidRDefault="00FB573A" w:rsidP="00FB573A">
            <w:pPr>
              <w:ind w:firstLine="0"/>
              <w:jc w:val="right"/>
              <w:rPr>
                <w:rFonts w:eastAsia="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FB573A" w:rsidRPr="004761E0" w:rsidRDefault="00FB573A" w:rsidP="00FB573A">
            <w:pPr>
              <w:ind w:firstLine="0"/>
              <w:jc w:val="right"/>
              <w:rPr>
                <w:rFonts w:eastAsia="Times New Roman"/>
                <w:sz w:val="20"/>
                <w:szCs w:val="20"/>
                <w:lang w:eastAsia="ru-RU"/>
              </w:rPr>
            </w:pPr>
            <w:r w:rsidRPr="004761E0">
              <w:rPr>
                <w:rFonts w:eastAsia="Times New Roman"/>
                <w:sz w:val="20"/>
                <w:szCs w:val="20"/>
                <w:lang w:eastAsia="ru-RU"/>
              </w:rPr>
              <w:t>100,00</w:t>
            </w:r>
          </w:p>
        </w:tc>
        <w:tc>
          <w:tcPr>
            <w:tcW w:w="1701" w:type="dxa"/>
            <w:tcBorders>
              <w:top w:val="nil"/>
              <w:left w:val="nil"/>
              <w:bottom w:val="single" w:sz="4" w:space="0" w:color="auto"/>
              <w:right w:val="single" w:sz="4" w:space="0" w:color="auto"/>
            </w:tcBorders>
            <w:shd w:val="clear" w:color="auto" w:fill="auto"/>
            <w:vAlign w:val="center"/>
            <w:hideMark/>
          </w:tcPr>
          <w:p w:rsidR="00FB573A" w:rsidRPr="004761E0" w:rsidRDefault="00FB573A" w:rsidP="00FB573A">
            <w:pPr>
              <w:ind w:firstLine="0"/>
              <w:jc w:val="right"/>
              <w:rPr>
                <w:rFonts w:eastAsia="Times New Roman"/>
                <w:sz w:val="20"/>
                <w:szCs w:val="20"/>
                <w:lang w:eastAsia="ru-RU"/>
              </w:rPr>
            </w:pPr>
            <w:r w:rsidRPr="004761E0">
              <w:rPr>
                <w:rFonts w:eastAsia="Times New Roman"/>
                <w:sz w:val="20"/>
                <w:szCs w:val="20"/>
                <w:lang w:eastAsia="ru-RU"/>
              </w:rPr>
              <w:t>48 707 091 574</w:t>
            </w:r>
          </w:p>
        </w:tc>
        <w:tc>
          <w:tcPr>
            <w:tcW w:w="1559" w:type="dxa"/>
            <w:tcBorders>
              <w:top w:val="nil"/>
              <w:left w:val="nil"/>
              <w:bottom w:val="single" w:sz="4" w:space="0" w:color="auto"/>
              <w:right w:val="single" w:sz="4" w:space="0" w:color="auto"/>
            </w:tcBorders>
            <w:shd w:val="clear" w:color="auto" w:fill="auto"/>
            <w:vAlign w:val="center"/>
            <w:hideMark/>
          </w:tcPr>
          <w:p w:rsidR="00FB573A" w:rsidRPr="004761E0" w:rsidRDefault="00FB573A" w:rsidP="00FB573A">
            <w:pPr>
              <w:ind w:firstLine="0"/>
              <w:jc w:val="right"/>
              <w:rPr>
                <w:rFonts w:eastAsia="Times New Roman"/>
                <w:sz w:val="20"/>
                <w:szCs w:val="20"/>
                <w:lang w:eastAsia="ru-RU"/>
              </w:rPr>
            </w:pPr>
            <w:r w:rsidRPr="004761E0">
              <w:rPr>
                <w:rFonts w:eastAsia="Times New Roman"/>
                <w:sz w:val="20"/>
                <w:szCs w:val="20"/>
                <w:lang w:eastAsia="ru-RU"/>
              </w:rPr>
              <w:t>100,00</w:t>
            </w:r>
          </w:p>
        </w:tc>
      </w:tr>
      <w:tr w:rsidR="004C1494" w:rsidRPr="004761E0" w:rsidTr="0033029E">
        <w:trPr>
          <w:trHeight w:val="64"/>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4C1494" w:rsidRPr="004761E0" w:rsidRDefault="004C1494" w:rsidP="007076A7">
            <w:pPr>
              <w:pStyle w:val="a5"/>
              <w:numPr>
                <w:ilvl w:val="1"/>
                <w:numId w:val="68"/>
              </w:numPr>
              <w:rPr>
                <w:rFonts w:eastAsia="Times New Roman"/>
                <w:color w:val="000000"/>
                <w:sz w:val="20"/>
                <w:szCs w:val="20"/>
                <w:lang w:eastAsia="ru-RU"/>
              </w:rPr>
            </w:pPr>
          </w:p>
        </w:tc>
        <w:tc>
          <w:tcPr>
            <w:tcW w:w="2537" w:type="dxa"/>
            <w:tcBorders>
              <w:top w:val="nil"/>
              <w:left w:val="nil"/>
              <w:bottom w:val="single" w:sz="4" w:space="0" w:color="auto"/>
              <w:right w:val="single" w:sz="4" w:space="0" w:color="auto"/>
            </w:tcBorders>
            <w:shd w:val="clear" w:color="auto" w:fill="auto"/>
            <w:vAlign w:val="center"/>
            <w:hideMark/>
          </w:tcPr>
          <w:p w:rsidR="004C1494" w:rsidRPr="004761E0" w:rsidRDefault="004C1494" w:rsidP="00AF531F">
            <w:pPr>
              <w:ind w:firstLine="0"/>
              <w:rPr>
                <w:rFonts w:eastAsia="Times New Roman"/>
                <w:sz w:val="20"/>
                <w:szCs w:val="20"/>
                <w:lang w:eastAsia="ru-RU"/>
              </w:rPr>
            </w:pPr>
            <w:r w:rsidRPr="004761E0">
              <w:rPr>
                <w:rFonts w:eastAsia="Times New Roman"/>
                <w:sz w:val="20"/>
                <w:szCs w:val="20"/>
                <w:lang w:eastAsia="ru-RU"/>
              </w:rPr>
              <w:t>1 – 100</w:t>
            </w:r>
          </w:p>
        </w:tc>
        <w:tc>
          <w:tcPr>
            <w:tcW w:w="1417"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944</w:t>
            </w:r>
          </w:p>
        </w:tc>
        <w:tc>
          <w:tcPr>
            <w:tcW w:w="1418"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5,04786</w:t>
            </w:r>
          </w:p>
        </w:tc>
        <w:tc>
          <w:tcPr>
            <w:tcW w:w="1559"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34 833</w:t>
            </w:r>
          </w:p>
        </w:tc>
        <w:tc>
          <w:tcPr>
            <w:tcW w:w="1559"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0,0000715</w:t>
            </w:r>
          </w:p>
        </w:tc>
        <w:tc>
          <w:tcPr>
            <w:tcW w:w="1276"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937</w:t>
            </w:r>
          </w:p>
        </w:tc>
        <w:tc>
          <w:tcPr>
            <w:tcW w:w="1418"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5,04279</w:t>
            </w:r>
          </w:p>
        </w:tc>
        <w:tc>
          <w:tcPr>
            <w:tcW w:w="1701"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33 558</w:t>
            </w:r>
          </w:p>
        </w:tc>
        <w:tc>
          <w:tcPr>
            <w:tcW w:w="1559"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0,00007</w:t>
            </w:r>
          </w:p>
        </w:tc>
      </w:tr>
      <w:tr w:rsidR="004C1494" w:rsidRPr="004761E0" w:rsidTr="00FB573A">
        <w:trPr>
          <w:trHeight w:val="7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4C1494" w:rsidRPr="004761E0" w:rsidRDefault="004C1494" w:rsidP="007076A7">
            <w:pPr>
              <w:pStyle w:val="a5"/>
              <w:numPr>
                <w:ilvl w:val="1"/>
                <w:numId w:val="68"/>
              </w:numPr>
              <w:rPr>
                <w:rFonts w:eastAsia="Times New Roman"/>
                <w:color w:val="000000"/>
                <w:sz w:val="20"/>
                <w:szCs w:val="20"/>
                <w:lang w:eastAsia="ru-RU"/>
              </w:rPr>
            </w:pPr>
          </w:p>
        </w:tc>
        <w:tc>
          <w:tcPr>
            <w:tcW w:w="2537" w:type="dxa"/>
            <w:tcBorders>
              <w:top w:val="nil"/>
              <w:left w:val="nil"/>
              <w:bottom w:val="single" w:sz="4" w:space="0" w:color="auto"/>
              <w:right w:val="single" w:sz="4" w:space="0" w:color="auto"/>
            </w:tcBorders>
            <w:shd w:val="clear" w:color="auto" w:fill="auto"/>
            <w:vAlign w:val="center"/>
            <w:hideMark/>
          </w:tcPr>
          <w:p w:rsidR="004C1494" w:rsidRPr="004761E0" w:rsidRDefault="004C1494" w:rsidP="00AF531F">
            <w:pPr>
              <w:ind w:firstLine="0"/>
              <w:rPr>
                <w:rFonts w:eastAsia="Times New Roman"/>
                <w:sz w:val="20"/>
                <w:szCs w:val="20"/>
                <w:lang w:eastAsia="ru-RU"/>
              </w:rPr>
            </w:pPr>
            <w:r w:rsidRPr="004761E0">
              <w:rPr>
                <w:rFonts w:eastAsia="Times New Roman"/>
                <w:sz w:val="20"/>
                <w:szCs w:val="20"/>
                <w:lang w:eastAsia="ru-RU"/>
              </w:rPr>
              <w:t>101 – 500</w:t>
            </w:r>
          </w:p>
        </w:tc>
        <w:tc>
          <w:tcPr>
            <w:tcW w:w="1417"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938</w:t>
            </w:r>
          </w:p>
        </w:tc>
        <w:tc>
          <w:tcPr>
            <w:tcW w:w="1418"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5,01577</w:t>
            </w:r>
          </w:p>
        </w:tc>
        <w:tc>
          <w:tcPr>
            <w:tcW w:w="1559"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251 224</w:t>
            </w:r>
          </w:p>
        </w:tc>
        <w:tc>
          <w:tcPr>
            <w:tcW w:w="1559"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0,0005158</w:t>
            </w:r>
          </w:p>
        </w:tc>
        <w:tc>
          <w:tcPr>
            <w:tcW w:w="1276"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942</w:t>
            </w:r>
          </w:p>
        </w:tc>
        <w:tc>
          <w:tcPr>
            <w:tcW w:w="1418"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5,06969</w:t>
            </w:r>
          </w:p>
        </w:tc>
        <w:tc>
          <w:tcPr>
            <w:tcW w:w="1701"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253 640</w:t>
            </w:r>
          </w:p>
        </w:tc>
        <w:tc>
          <w:tcPr>
            <w:tcW w:w="1559"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0,00052</w:t>
            </w:r>
          </w:p>
        </w:tc>
      </w:tr>
      <w:tr w:rsidR="004C1494" w:rsidRPr="004761E0" w:rsidTr="00AF531F">
        <w:trPr>
          <w:trHeight w:val="70"/>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4C1494" w:rsidRPr="004761E0" w:rsidRDefault="004C1494" w:rsidP="007076A7">
            <w:pPr>
              <w:pStyle w:val="a5"/>
              <w:numPr>
                <w:ilvl w:val="1"/>
                <w:numId w:val="68"/>
              </w:numPr>
              <w:rPr>
                <w:rFonts w:eastAsia="Times New Roman"/>
                <w:color w:val="000000"/>
                <w:sz w:val="20"/>
                <w:szCs w:val="20"/>
                <w:lang w:eastAsia="ru-RU"/>
              </w:rPr>
            </w:pPr>
          </w:p>
        </w:tc>
        <w:tc>
          <w:tcPr>
            <w:tcW w:w="2537" w:type="dxa"/>
            <w:tcBorders>
              <w:top w:val="nil"/>
              <w:left w:val="nil"/>
              <w:bottom w:val="single" w:sz="4" w:space="0" w:color="auto"/>
              <w:right w:val="single" w:sz="4" w:space="0" w:color="auto"/>
            </w:tcBorders>
            <w:shd w:val="clear" w:color="auto" w:fill="auto"/>
            <w:vAlign w:val="center"/>
            <w:hideMark/>
          </w:tcPr>
          <w:p w:rsidR="004C1494" w:rsidRPr="004761E0" w:rsidRDefault="004C1494" w:rsidP="00AF531F">
            <w:pPr>
              <w:ind w:firstLine="0"/>
              <w:rPr>
                <w:rFonts w:eastAsia="Times New Roman"/>
                <w:sz w:val="20"/>
                <w:szCs w:val="20"/>
                <w:lang w:eastAsia="ru-RU"/>
              </w:rPr>
            </w:pPr>
            <w:r w:rsidRPr="004761E0">
              <w:rPr>
                <w:rFonts w:eastAsia="Times New Roman"/>
                <w:sz w:val="20"/>
                <w:szCs w:val="20"/>
                <w:lang w:eastAsia="ru-RU"/>
              </w:rPr>
              <w:t>501 – 1 000</w:t>
            </w:r>
          </w:p>
        </w:tc>
        <w:tc>
          <w:tcPr>
            <w:tcW w:w="1417"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923</w:t>
            </w:r>
          </w:p>
        </w:tc>
        <w:tc>
          <w:tcPr>
            <w:tcW w:w="1418"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4,93556</w:t>
            </w:r>
          </w:p>
        </w:tc>
        <w:tc>
          <w:tcPr>
            <w:tcW w:w="1559"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674 288</w:t>
            </w:r>
          </w:p>
        </w:tc>
        <w:tc>
          <w:tcPr>
            <w:tcW w:w="1559"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0,0013844</w:t>
            </w:r>
          </w:p>
        </w:tc>
        <w:tc>
          <w:tcPr>
            <w:tcW w:w="1276"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917</w:t>
            </w:r>
          </w:p>
        </w:tc>
        <w:tc>
          <w:tcPr>
            <w:tcW w:w="1418"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4,93515</w:t>
            </w:r>
          </w:p>
        </w:tc>
        <w:tc>
          <w:tcPr>
            <w:tcW w:w="1701"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669 364</w:t>
            </w:r>
          </w:p>
        </w:tc>
        <w:tc>
          <w:tcPr>
            <w:tcW w:w="1559"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0,00137</w:t>
            </w:r>
          </w:p>
        </w:tc>
      </w:tr>
      <w:tr w:rsidR="004C1494" w:rsidRPr="004761E0" w:rsidTr="00AF531F">
        <w:trPr>
          <w:trHeight w:val="70"/>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4C1494" w:rsidRPr="004761E0" w:rsidRDefault="004C1494" w:rsidP="007076A7">
            <w:pPr>
              <w:pStyle w:val="a5"/>
              <w:numPr>
                <w:ilvl w:val="1"/>
                <w:numId w:val="68"/>
              </w:numPr>
              <w:rPr>
                <w:rFonts w:eastAsia="Times New Roman"/>
                <w:color w:val="000000"/>
                <w:sz w:val="20"/>
                <w:szCs w:val="20"/>
                <w:lang w:eastAsia="ru-RU"/>
              </w:rPr>
            </w:pPr>
          </w:p>
        </w:tc>
        <w:tc>
          <w:tcPr>
            <w:tcW w:w="2537" w:type="dxa"/>
            <w:tcBorders>
              <w:top w:val="nil"/>
              <w:left w:val="nil"/>
              <w:bottom w:val="single" w:sz="4" w:space="0" w:color="auto"/>
              <w:right w:val="single" w:sz="4" w:space="0" w:color="auto"/>
            </w:tcBorders>
            <w:shd w:val="clear" w:color="auto" w:fill="auto"/>
            <w:vAlign w:val="center"/>
            <w:hideMark/>
          </w:tcPr>
          <w:p w:rsidR="004C1494" w:rsidRPr="004761E0" w:rsidRDefault="004C1494" w:rsidP="00AF531F">
            <w:pPr>
              <w:ind w:firstLine="0"/>
              <w:rPr>
                <w:rFonts w:eastAsia="Times New Roman"/>
                <w:sz w:val="20"/>
                <w:szCs w:val="20"/>
                <w:lang w:eastAsia="ru-RU"/>
              </w:rPr>
            </w:pPr>
            <w:r w:rsidRPr="004761E0">
              <w:rPr>
                <w:rFonts w:eastAsia="Times New Roman"/>
                <w:sz w:val="20"/>
                <w:szCs w:val="20"/>
                <w:lang w:eastAsia="ru-RU"/>
              </w:rPr>
              <w:t>1 001 – 10 000</w:t>
            </w:r>
          </w:p>
        </w:tc>
        <w:tc>
          <w:tcPr>
            <w:tcW w:w="1417"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6 038</w:t>
            </w:r>
          </w:p>
        </w:tc>
        <w:tc>
          <w:tcPr>
            <w:tcW w:w="1418"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32,28704</w:t>
            </w:r>
          </w:p>
        </w:tc>
        <w:tc>
          <w:tcPr>
            <w:tcW w:w="1559"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25 907 587</w:t>
            </w:r>
          </w:p>
        </w:tc>
        <w:tc>
          <w:tcPr>
            <w:tcW w:w="1559"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0,0531906</w:t>
            </w:r>
          </w:p>
        </w:tc>
        <w:tc>
          <w:tcPr>
            <w:tcW w:w="1276"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6 034</w:t>
            </w:r>
          </w:p>
        </w:tc>
        <w:tc>
          <w:tcPr>
            <w:tcW w:w="1418"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32,47403</w:t>
            </w:r>
          </w:p>
        </w:tc>
        <w:tc>
          <w:tcPr>
            <w:tcW w:w="1701"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25 876 406</w:t>
            </w:r>
          </w:p>
        </w:tc>
        <w:tc>
          <w:tcPr>
            <w:tcW w:w="1559"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0,05313</w:t>
            </w:r>
          </w:p>
        </w:tc>
      </w:tr>
      <w:tr w:rsidR="004C1494" w:rsidRPr="004761E0" w:rsidTr="00AF531F">
        <w:trPr>
          <w:trHeight w:val="70"/>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4C1494" w:rsidRPr="004761E0" w:rsidRDefault="004C1494" w:rsidP="007076A7">
            <w:pPr>
              <w:pStyle w:val="a5"/>
              <w:numPr>
                <w:ilvl w:val="1"/>
                <w:numId w:val="68"/>
              </w:numPr>
              <w:rPr>
                <w:rFonts w:eastAsia="Times New Roman"/>
                <w:color w:val="000000"/>
                <w:sz w:val="20"/>
                <w:szCs w:val="20"/>
                <w:lang w:eastAsia="ru-RU"/>
              </w:rPr>
            </w:pPr>
          </w:p>
        </w:tc>
        <w:tc>
          <w:tcPr>
            <w:tcW w:w="2537" w:type="dxa"/>
            <w:tcBorders>
              <w:top w:val="nil"/>
              <w:left w:val="nil"/>
              <w:bottom w:val="single" w:sz="4" w:space="0" w:color="auto"/>
              <w:right w:val="single" w:sz="4" w:space="0" w:color="auto"/>
            </w:tcBorders>
            <w:shd w:val="clear" w:color="auto" w:fill="auto"/>
            <w:vAlign w:val="center"/>
            <w:hideMark/>
          </w:tcPr>
          <w:p w:rsidR="004C1494" w:rsidRPr="004761E0" w:rsidRDefault="004C1494" w:rsidP="00AF531F">
            <w:pPr>
              <w:ind w:firstLine="0"/>
              <w:rPr>
                <w:rFonts w:eastAsia="Times New Roman"/>
                <w:sz w:val="20"/>
                <w:szCs w:val="20"/>
                <w:lang w:eastAsia="ru-RU"/>
              </w:rPr>
            </w:pPr>
            <w:r w:rsidRPr="004761E0">
              <w:rPr>
                <w:rFonts w:eastAsia="Times New Roman"/>
                <w:sz w:val="20"/>
                <w:szCs w:val="20"/>
                <w:lang w:eastAsia="ru-RU"/>
              </w:rPr>
              <w:t>10 001 – 100 000</w:t>
            </w:r>
          </w:p>
        </w:tc>
        <w:tc>
          <w:tcPr>
            <w:tcW w:w="1417"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5 258</w:t>
            </w:r>
          </w:p>
        </w:tc>
        <w:tc>
          <w:tcPr>
            <w:tcW w:w="1418"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28,11614</w:t>
            </w:r>
          </w:p>
        </w:tc>
        <w:tc>
          <w:tcPr>
            <w:tcW w:w="1559"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189 378 355</w:t>
            </w:r>
          </w:p>
        </w:tc>
        <w:tc>
          <w:tcPr>
            <w:tcW w:w="1559"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0,3888106</w:t>
            </w:r>
          </w:p>
        </w:tc>
        <w:tc>
          <w:tcPr>
            <w:tcW w:w="1276"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5 213</w:t>
            </w:r>
          </w:p>
        </w:tc>
        <w:tc>
          <w:tcPr>
            <w:tcW w:w="1418"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28,05554</w:t>
            </w:r>
          </w:p>
        </w:tc>
        <w:tc>
          <w:tcPr>
            <w:tcW w:w="1701"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187 332 664</w:t>
            </w:r>
          </w:p>
        </w:tc>
        <w:tc>
          <w:tcPr>
            <w:tcW w:w="1559"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0,38461</w:t>
            </w:r>
          </w:p>
        </w:tc>
      </w:tr>
      <w:tr w:rsidR="004C1494" w:rsidRPr="004761E0" w:rsidTr="00AF531F">
        <w:trPr>
          <w:trHeight w:val="70"/>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4C1494" w:rsidRPr="004761E0" w:rsidRDefault="004C1494" w:rsidP="007076A7">
            <w:pPr>
              <w:pStyle w:val="a5"/>
              <w:numPr>
                <w:ilvl w:val="1"/>
                <w:numId w:val="68"/>
              </w:numPr>
              <w:rPr>
                <w:rFonts w:eastAsia="Times New Roman"/>
                <w:color w:val="000000"/>
                <w:sz w:val="20"/>
                <w:szCs w:val="20"/>
                <w:lang w:eastAsia="ru-RU"/>
              </w:rPr>
            </w:pPr>
          </w:p>
        </w:tc>
        <w:tc>
          <w:tcPr>
            <w:tcW w:w="2537" w:type="dxa"/>
            <w:tcBorders>
              <w:top w:val="nil"/>
              <w:left w:val="nil"/>
              <w:bottom w:val="single" w:sz="4" w:space="0" w:color="auto"/>
              <w:right w:val="single" w:sz="4" w:space="0" w:color="auto"/>
            </w:tcBorders>
            <w:shd w:val="clear" w:color="auto" w:fill="auto"/>
            <w:vAlign w:val="center"/>
            <w:hideMark/>
          </w:tcPr>
          <w:p w:rsidR="004C1494" w:rsidRPr="004761E0" w:rsidRDefault="004C1494" w:rsidP="00AF531F">
            <w:pPr>
              <w:ind w:firstLine="0"/>
              <w:rPr>
                <w:rFonts w:eastAsia="Times New Roman"/>
                <w:sz w:val="20"/>
                <w:szCs w:val="20"/>
                <w:lang w:eastAsia="ru-RU"/>
              </w:rPr>
            </w:pPr>
            <w:r w:rsidRPr="004761E0">
              <w:rPr>
                <w:rFonts w:eastAsia="Times New Roman"/>
                <w:sz w:val="20"/>
                <w:szCs w:val="20"/>
                <w:lang w:eastAsia="ru-RU"/>
              </w:rPr>
              <w:t>100 001 – 1 000 000</w:t>
            </w:r>
          </w:p>
        </w:tc>
        <w:tc>
          <w:tcPr>
            <w:tcW w:w="1417"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4 212</w:t>
            </w:r>
          </w:p>
        </w:tc>
        <w:tc>
          <w:tcPr>
            <w:tcW w:w="1418"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22,52286</w:t>
            </w:r>
          </w:p>
        </w:tc>
        <w:tc>
          <w:tcPr>
            <w:tcW w:w="1559"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1 283 009 735</w:t>
            </w:r>
          </w:p>
        </w:tc>
        <w:tc>
          <w:tcPr>
            <w:tcW w:w="1559"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2,6341333</w:t>
            </w:r>
          </w:p>
        </w:tc>
        <w:tc>
          <w:tcPr>
            <w:tcW w:w="1276"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4 155</w:t>
            </w:r>
          </w:p>
        </w:tc>
        <w:tc>
          <w:tcPr>
            <w:tcW w:w="1418"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22,36155</w:t>
            </w:r>
          </w:p>
        </w:tc>
        <w:tc>
          <w:tcPr>
            <w:tcW w:w="1701"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1 270 518 206</w:t>
            </w:r>
          </w:p>
        </w:tc>
        <w:tc>
          <w:tcPr>
            <w:tcW w:w="1559"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2,60849</w:t>
            </w:r>
          </w:p>
        </w:tc>
      </w:tr>
      <w:tr w:rsidR="004C1494" w:rsidRPr="004761E0" w:rsidTr="00AF531F">
        <w:trPr>
          <w:trHeight w:val="70"/>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4C1494" w:rsidRPr="004761E0" w:rsidRDefault="004C1494" w:rsidP="007076A7">
            <w:pPr>
              <w:pStyle w:val="a5"/>
              <w:numPr>
                <w:ilvl w:val="1"/>
                <w:numId w:val="68"/>
              </w:numPr>
              <w:rPr>
                <w:rFonts w:eastAsia="Times New Roman"/>
                <w:color w:val="000000"/>
                <w:sz w:val="20"/>
                <w:szCs w:val="20"/>
                <w:lang w:eastAsia="ru-RU"/>
              </w:rPr>
            </w:pPr>
          </w:p>
        </w:tc>
        <w:tc>
          <w:tcPr>
            <w:tcW w:w="2537" w:type="dxa"/>
            <w:tcBorders>
              <w:top w:val="nil"/>
              <w:left w:val="nil"/>
              <w:bottom w:val="single" w:sz="4" w:space="0" w:color="auto"/>
              <w:right w:val="single" w:sz="4" w:space="0" w:color="auto"/>
            </w:tcBorders>
            <w:shd w:val="clear" w:color="auto" w:fill="auto"/>
            <w:vAlign w:val="center"/>
            <w:hideMark/>
          </w:tcPr>
          <w:p w:rsidR="004C1494" w:rsidRPr="004761E0" w:rsidRDefault="004C1494" w:rsidP="00AF531F">
            <w:pPr>
              <w:ind w:firstLine="0"/>
              <w:rPr>
                <w:rFonts w:eastAsia="Times New Roman"/>
                <w:sz w:val="20"/>
                <w:szCs w:val="20"/>
                <w:lang w:eastAsia="ru-RU"/>
              </w:rPr>
            </w:pPr>
            <w:r w:rsidRPr="004761E0">
              <w:rPr>
                <w:rFonts w:eastAsia="Times New Roman"/>
                <w:sz w:val="20"/>
                <w:szCs w:val="20"/>
                <w:lang w:eastAsia="ru-RU"/>
              </w:rPr>
              <w:t>1 000 001 – 10 000 000</w:t>
            </w:r>
          </w:p>
        </w:tc>
        <w:tc>
          <w:tcPr>
            <w:tcW w:w="1417"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354</w:t>
            </w:r>
          </w:p>
        </w:tc>
        <w:tc>
          <w:tcPr>
            <w:tcW w:w="1418"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1,89295</w:t>
            </w:r>
          </w:p>
        </w:tc>
        <w:tc>
          <w:tcPr>
            <w:tcW w:w="1559"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692 928 028</w:t>
            </w:r>
          </w:p>
        </w:tc>
        <w:tc>
          <w:tcPr>
            <w:tcW w:w="1559"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1,4226430</w:t>
            </w:r>
          </w:p>
        </w:tc>
        <w:tc>
          <w:tcPr>
            <w:tcW w:w="1276"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353</w:t>
            </w:r>
          </w:p>
        </w:tc>
        <w:tc>
          <w:tcPr>
            <w:tcW w:w="1418"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1,89979</w:t>
            </w:r>
          </w:p>
        </w:tc>
        <w:tc>
          <w:tcPr>
            <w:tcW w:w="1701"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715 545 281</w:t>
            </w:r>
          </w:p>
        </w:tc>
        <w:tc>
          <w:tcPr>
            <w:tcW w:w="1559"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1,46908</w:t>
            </w:r>
          </w:p>
        </w:tc>
      </w:tr>
      <w:tr w:rsidR="004C1494" w:rsidRPr="004761E0" w:rsidTr="00AF531F">
        <w:trPr>
          <w:trHeight w:val="70"/>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4C1494" w:rsidRPr="004761E0" w:rsidRDefault="004C1494" w:rsidP="007076A7">
            <w:pPr>
              <w:pStyle w:val="a5"/>
              <w:numPr>
                <w:ilvl w:val="1"/>
                <w:numId w:val="68"/>
              </w:numPr>
              <w:rPr>
                <w:rFonts w:eastAsia="Times New Roman"/>
                <w:color w:val="000000"/>
                <w:sz w:val="20"/>
                <w:szCs w:val="20"/>
                <w:lang w:eastAsia="ru-RU"/>
              </w:rPr>
            </w:pPr>
          </w:p>
        </w:tc>
        <w:tc>
          <w:tcPr>
            <w:tcW w:w="2537" w:type="dxa"/>
            <w:tcBorders>
              <w:top w:val="nil"/>
              <w:left w:val="nil"/>
              <w:bottom w:val="single" w:sz="4" w:space="0" w:color="auto"/>
              <w:right w:val="single" w:sz="4" w:space="0" w:color="auto"/>
            </w:tcBorders>
            <w:shd w:val="clear" w:color="auto" w:fill="auto"/>
            <w:vAlign w:val="center"/>
            <w:hideMark/>
          </w:tcPr>
          <w:p w:rsidR="004C1494" w:rsidRPr="004761E0" w:rsidRDefault="004C1494" w:rsidP="00AF531F">
            <w:pPr>
              <w:ind w:firstLine="0"/>
              <w:rPr>
                <w:rFonts w:eastAsia="Times New Roman"/>
                <w:sz w:val="20"/>
                <w:szCs w:val="20"/>
                <w:lang w:eastAsia="ru-RU"/>
              </w:rPr>
            </w:pPr>
            <w:r w:rsidRPr="004761E0">
              <w:rPr>
                <w:rFonts w:eastAsia="Times New Roman"/>
                <w:sz w:val="20"/>
                <w:szCs w:val="20"/>
                <w:lang w:eastAsia="ru-RU"/>
              </w:rPr>
              <w:t>10 000 001 – 100 000 000</w:t>
            </w:r>
          </w:p>
        </w:tc>
        <w:tc>
          <w:tcPr>
            <w:tcW w:w="1417"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18</w:t>
            </w:r>
          </w:p>
        </w:tc>
        <w:tc>
          <w:tcPr>
            <w:tcW w:w="1418"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0,09625</w:t>
            </w:r>
          </w:p>
        </w:tc>
        <w:tc>
          <w:tcPr>
            <w:tcW w:w="1559"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576 780 165</w:t>
            </w:r>
          </w:p>
        </w:tc>
        <w:tc>
          <w:tcPr>
            <w:tcW w:w="1559"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1,1841811</w:t>
            </w:r>
          </w:p>
        </w:tc>
        <w:tc>
          <w:tcPr>
            <w:tcW w:w="1276"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18</w:t>
            </w:r>
          </w:p>
        </w:tc>
        <w:tc>
          <w:tcPr>
            <w:tcW w:w="1418"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0,09687</w:t>
            </w:r>
          </w:p>
        </w:tc>
        <w:tc>
          <w:tcPr>
            <w:tcW w:w="1701"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506 617 096</w:t>
            </w:r>
          </w:p>
        </w:tc>
        <w:tc>
          <w:tcPr>
            <w:tcW w:w="1559"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1,04013</w:t>
            </w:r>
          </w:p>
        </w:tc>
      </w:tr>
      <w:tr w:rsidR="004C1494" w:rsidRPr="004761E0" w:rsidTr="00AF531F">
        <w:trPr>
          <w:trHeight w:val="70"/>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4C1494" w:rsidRPr="004761E0" w:rsidRDefault="004C1494" w:rsidP="007076A7">
            <w:pPr>
              <w:pStyle w:val="a5"/>
              <w:numPr>
                <w:ilvl w:val="1"/>
                <w:numId w:val="68"/>
              </w:numPr>
              <w:rPr>
                <w:rFonts w:eastAsia="Times New Roman"/>
                <w:color w:val="000000"/>
                <w:sz w:val="20"/>
                <w:szCs w:val="20"/>
                <w:lang w:eastAsia="ru-RU"/>
              </w:rPr>
            </w:pPr>
          </w:p>
        </w:tc>
        <w:tc>
          <w:tcPr>
            <w:tcW w:w="2537" w:type="dxa"/>
            <w:tcBorders>
              <w:top w:val="nil"/>
              <w:left w:val="nil"/>
              <w:bottom w:val="single" w:sz="4" w:space="0" w:color="auto"/>
              <w:right w:val="single" w:sz="4" w:space="0" w:color="auto"/>
            </w:tcBorders>
            <w:shd w:val="clear" w:color="auto" w:fill="auto"/>
            <w:vAlign w:val="center"/>
            <w:hideMark/>
          </w:tcPr>
          <w:p w:rsidR="004C1494" w:rsidRPr="004761E0" w:rsidRDefault="004C1494" w:rsidP="00AF531F">
            <w:pPr>
              <w:ind w:firstLine="0"/>
              <w:rPr>
                <w:rFonts w:eastAsia="Times New Roman"/>
                <w:sz w:val="20"/>
                <w:szCs w:val="20"/>
                <w:lang w:eastAsia="ru-RU"/>
              </w:rPr>
            </w:pPr>
            <w:r w:rsidRPr="004761E0">
              <w:rPr>
                <w:rFonts w:eastAsia="Times New Roman"/>
                <w:sz w:val="20"/>
                <w:szCs w:val="20"/>
                <w:lang w:eastAsia="ru-RU"/>
              </w:rPr>
              <w:t>свыше 100 000 001</w:t>
            </w:r>
          </w:p>
        </w:tc>
        <w:tc>
          <w:tcPr>
            <w:tcW w:w="1417"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16</w:t>
            </w:r>
          </w:p>
        </w:tc>
        <w:tc>
          <w:tcPr>
            <w:tcW w:w="1418"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0,08556</w:t>
            </w:r>
          </w:p>
        </w:tc>
        <w:tc>
          <w:tcPr>
            <w:tcW w:w="1559"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45 938 127 359</w:t>
            </w:r>
          </w:p>
        </w:tc>
        <w:tc>
          <w:tcPr>
            <w:tcW w:w="1559"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94,3150697</w:t>
            </w:r>
          </w:p>
        </w:tc>
        <w:tc>
          <w:tcPr>
            <w:tcW w:w="1276"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0,06458</w:t>
            </w:r>
          </w:p>
        </w:tc>
        <w:tc>
          <w:tcPr>
            <w:tcW w:w="1701"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46 000 245 359</w:t>
            </w:r>
          </w:p>
        </w:tc>
        <w:tc>
          <w:tcPr>
            <w:tcW w:w="1559" w:type="dxa"/>
            <w:tcBorders>
              <w:top w:val="nil"/>
              <w:left w:val="nil"/>
              <w:bottom w:val="single" w:sz="4" w:space="0" w:color="auto"/>
              <w:right w:val="single" w:sz="4" w:space="0" w:color="auto"/>
            </w:tcBorders>
            <w:shd w:val="clear" w:color="auto" w:fill="auto"/>
            <w:hideMark/>
          </w:tcPr>
          <w:p w:rsidR="004C1494" w:rsidRPr="004761E0" w:rsidRDefault="004C1494" w:rsidP="00AF531F">
            <w:pPr>
              <w:ind w:firstLine="0"/>
              <w:jc w:val="right"/>
              <w:rPr>
                <w:rFonts w:eastAsia="Times New Roman"/>
                <w:sz w:val="20"/>
                <w:szCs w:val="20"/>
                <w:lang w:eastAsia="ru-RU"/>
              </w:rPr>
            </w:pPr>
            <w:r w:rsidRPr="004761E0">
              <w:rPr>
                <w:rFonts w:eastAsia="Times New Roman"/>
                <w:sz w:val="20"/>
                <w:szCs w:val="20"/>
                <w:lang w:eastAsia="ru-RU"/>
              </w:rPr>
              <w:t>94,44260</w:t>
            </w:r>
          </w:p>
        </w:tc>
      </w:tr>
    </w:tbl>
    <w:p w:rsidR="008C2416" w:rsidRPr="004761E0" w:rsidRDefault="00EA456F" w:rsidP="008C2416">
      <w:pPr>
        <w:ind w:left="-567" w:hanging="426"/>
      </w:pPr>
      <w:r>
        <w:rPr>
          <w:noProof/>
          <w:lang w:eastAsia="ru-RU"/>
        </w:rPr>
        <w:pict>
          <v:shape id="_x0000_s1160" type="#_x0000_t32" style="position:absolute;left:0;text-align:left;margin-left:363.75pt;margin-top:73.9pt;width:146.35pt;height:20.7pt;flip:y;z-index:25177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"/>
        </w:pict>
      </w:r>
      <w:r w:rsidRPr="00EA456F">
        <w:rPr>
          <w:rFonts w:eastAsiaTheme="minorHAnsi"/>
          <w:noProof/>
          <w:sz w:val="26"/>
          <w:szCs w:val="26"/>
          <w:lang w:eastAsia="ru-RU"/>
        </w:rPr>
        <w:pict>
          <v:shape id="_x0000_s1159" type="#_x0000_t32" style="position:absolute;left:0;text-align:left;margin-left:371.3pt;margin-top:110.7pt;width:138.8pt;height:21.35pt;z-index:251779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PzJQIAAEM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"/>
        </w:pict>
      </w:r>
      <w:r w:rsidR="008C2416">
        <w:rPr>
          <w:noProof/>
          <w:lang w:eastAsia="ru-RU"/>
        </w:rPr>
        <w:drawing>
          <wp:inline distT="0" distB="0" distL="0" distR="0">
            <wp:extent cx="3652266" cy="2362810"/>
            <wp:effectExtent l="19050" t="0" r="24384" b="0"/>
            <wp:docPr id="226" name="Диаграмма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r w:rsidR="008C2416">
        <w:t xml:space="preserve"> </w:t>
      </w:r>
      <w:r w:rsidR="001735E7">
        <w:rPr>
          <w:noProof/>
          <w:lang w:eastAsia="ru-RU"/>
        </w:rPr>
        <w:drawing>
          <wp:inline distT="0" distB="0" distL="0" distR="0">
            <wp:extent cx="2362809" cy="2362810"/>
            <wp:effectExtent l="19050" t="0" r="18441" b="0"/>
            <wp:docPr id="227" name="Диаграмма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r w:rsidR="00640D3C">
        <w:t xml:space="preserve"> </w:t>
      </w:r>
      <w:r w:rsidR="00640D3C">
        <w:rPr>
          <w:noProof/>
          <w:lang w:eastAsia="ru-RU"/>
        </w:rPr>
        <w:drawing>
          <wp:inline distT="0" distB="0" distL="0" distR="0">
            <wp:extent cx="3404463" cy="2362810"/>
            <wp:effectExtent l="19050" t="0" r="24537" b="0"/>
            <wp:docPr id="228" name="Диаграмма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BD5626" w:rsidRDefault="00BD5626" w:rsidP="00BD5626">
      <w:pPr>
        <w:autoSpaceDE w:val="0"/>
        <w:autoSpaceDN w:val="0"/>
        <w:adjustRightInd w:val="0"/>
        <w:spacing w:before="120"/>
        <w:rPr>
          <w:sz w:val="26"/>
          <w:szCs w:val="26"/>
        </w:rPr>
      </w:pPr>
      <w:r>
        <w:rPr>
          <w:sz w:val="26"/>
          <w:szCs w:val="26"/>
        </w:rPr>
        <w:t>Большей части акционеров, а именно 83 %, принадлежат пакеты ценных бумаг в размере от 1 тыс. до 1 млн акций.</w:t>
      </w:r>
    </w:p>
    <w:p w:rsidR="00BD5626" w:rsidRDefault="009B5D64" w:rsidP="004C1494">
      <w:pPr>
        <w:autoSpaceDE w:val="0"/>
        <w:autoSpaceDN w:val="0"/>
        <w:adjustRightInd w:val="0"/>
        <w:spacing w:before="120"/>
        <w:rPr>
          <w:sz w:val="26"/>
          <w:szCs w:val="26"/>
        </w:rPr>
      </w:pPr>
      <w:r>
        <w:rPr>
          <w:sz w:val="26"/>
          <w:szCs w:val="26"/>
        </w:rPr>
        <w:t xml:space="preserve">По состоянию на 23.12.2013 доля акций </w:t>
      </w:r>
      <w:r w:rsidR="00EA456F" w:rsidRPr="00EA456F">
        <w:rPr>
          <w:rFonts w:eastAsiaTheme="minorHAnsi"/>
          <w:noProof/>
          <w:sz w:val="26"/>
          <w:szCs w:val="26"/>
          <w:lang w:eastAsia="ru-RU"/>
        </w:rPr>
        <w:pict>
          <v:shape id="AutoShape 35" o:spid="_x0000_s1158" type="#_x0000_t32" style="position:absolute;left:0;text-align:left;margin-left:156.6pt;margin-top:303.5pt;width:159.6pt;height:65.2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"/>
        </w:pict>
      </w:r>
      <w:r>
        <w:rPr>
          <w:sz w:val="26"/>
          <w:szCs w:val="26"/>
        </w:rPr>
        <w:t xml:space="preserve">в размере 94,32 % приходится на </w:t>
      </w:r>
      <w:r w:rsidR="00F56C4E">
        <w:rPr>
          <w:sz w:val="26"/>
          <w:szCs w:val="26"/>
        </w:rPr>
        <w:t>16 акционеров.</w:t>
      </w:r>
    </w:p>
    <w:p w:rsidR="004C1494" w:rsidRPr="004761E0" w:rsidRDefault="004C1494" w:rsidP="004C1494">
      <w:pPr>
        <w:sectPr w:rsidR="004C1494" w:rsidRPr="004761E0" w:rsidSect="004C1494">
          <w:pgSz w:w="16838" w:h="11906" w:orient="landscape"/>
          <w:pgMar w:top="1701" w:right="1134" w:bottom="851" w:left="1134" w:header="709" w:footer="709" w:gutter="0"/>
          <w:cols w:space="708"/>
          <w:docGrid w:linePitch="360"/>
        </w:sectPr>
      </w:pPr>
    </w:p>
    <w:p w:rsidR="00027A32" w:rsidRPr="004761E0" w:rsidRDefault="004C1494" w:rsidP="00743B24">
      <w:pPr>
        <w:spacing w:before="120" w:after="120"/>
        <w:ind w:firstLine="567"/>
        <w:rPr>
          <w:b/>
          <w:sz w:val="26"/>
          <w:szCs w:val="26"/>
          <w:lang w:eastAsia="ru-RU"/>
        </w:rPr>
      </w:pPr>
      <w:r w:rsidRPr="004761E0">
        <w:rPr>
          <w:b/>
          <w:sz w:val="26"/>
          <w:szCs w:val="26"/>
          <w:lang w:eastAsia="ru-RU"/>
        </w:rPr>
        <w:lastRenderedPageBreak/>
        <w:t>Информация о реестродержателе</w:t>
      </w:r>
    </w:p>
    <w:p w:rsidR="004C1494" w:rsidRPr="004761E0" w:rsidRDefault="004C1494" w:rsidP="004C1494">
      <w:pPr>
        <w:ind w:firstLine="567"/>
        <w:rPr>
          <w:sz w:val="26"/>
          <w:szCs w:val="26"/>
        </w:rPr>
      </w:pPr>
      <w:r w:rsidRPr="004761E0">
        <w:rPr>
          <w:sz w:val="26"/>
          <w:szCs w:val="26"/>
        </w:rPr>
        <w:t xml:space="preserve">Совет директоров 25.10.2006 (протокол от 27.10.2006 № 34) утвердил реестродержателем </w:t>
      </w:r>
      <w:r w:rsidR="0008080E">
        <w:rPr>
          <w:sz w:val="26"/>
          <w:szCs w:val="26"/>
        </w:rPr>
        <w:t>ЗАО </w:t>
      </w:r>
      <w:r w:rsidRPr="004761E0">
        <w:rPr>
          <w:sz w:val="26"/>
          <w:szCs w:val="26"/>
        </w:rPr>
        <w:t xml:space="preserve">«Регистраторское общество «СТАТУС», которое по настоящее время осуществляет ведение реестра акционеров Компании. Контактная информация о </w:t>
      </w:r>
      <w:r w:rsidR="0008080E">
        <w:rPr>
          <w:sz w:val="26"/>
          <w:szCs w:val="26"/>
        </w:rPr>
        <w:t>ЗАО </w:t>
      </w:r>
      <w:r w:rsidRPr="004761E0">
        <w:rPr>
          <w:sz w:val="26"/>
          <w:szCs w:val="26"/>
        </w:rPr>
        <w:t>«Регистраторское общество «СТАТУС» представлена в разделе «Контактная информация».</w:t>
      </w:r>
    </w:p>
    <w:p w:rsidR="00027A32" w:rsidRPr="004761E0" w:rsidRDefault="00BA326D" w:rsidP="00743B24">
      <w:pPr>
        <w:spacing w:before="120" w:after="120"/>
        <w:ind w:firstLine="567"/>
        <w:rPr>
          <w:b/>
          <w:sz w:val="26"/>
          <w:szCs w:val="26"/>
          <w:lang w:eastAsia="ru-RU"/>
        </w:rPr>
      </w:pPr>
      <w:r w:rsidRPr="004761E0">
        <w:rPr>
          <w:b/>
          <w:sz w:val="26"/>
          <w:szCs w:val="26"/>
          <w:lang w:eastAsia="ru-RU"/>
        </w:rPr>
        <w:t>Акции на фондовом рынке</w:t>
      </w:r>
    </w:p>
    <w:tbl>
      <w:tblPr>
        <w:tblW w:w="9513" w:type="dxa"/>
        <w:tblInd w:w="93" w:type="dxa"/>
        <w:tblLayout w:type="fixed"/>
        <w:tblLook w:val="04A0"/>
      </w:tblPr>
      <w:tblGrid>
        <w:gridCol w:w="582"/>
        <w:gridCol w:w="3632"/>
        <w:gridCol w:w="5299"/>
      </w:tblGrid>
      <w:tr w:rsidR="004C1494" w:rsidRPr="004761E0" w:rsidTr="004C1494">
        <w:trPr>
          <w:trHeight w:val="510"/>
        </w:trPr>
        <w:tc>
          <w:tcPr>
            <w:tcW w:w="582" w:type="dxa"/>
            <w:tcBorders>
              <w:top w:val="single" w:sz="4" w:space="0" w:color="auto"/>
              <w:left w:val="nil"/>
              <w:bottom w:val="single" w:sz="4" w:space="0" w:color="auto"/>
              <w:right w:val="single" w:sz="4" w:space="0" w:color="FFFFFF" w:themeColor="background1"/>
            </w:tcBorders>
            <w:shd w:val="clear" w:color="auto" w:fill="0F243E" w:themeFill="text2" w:themeFillShade="80"/>
            <w:vAlign w:val="center"/>
            <w:hideMark/>
          </w:tcPr>
          <w:p w:rsidR="004C1494" w:rsidRPr="004761E0" w:rsidRDefault="004C1494" w:rsidP="00AF531F">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363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C1494" w:rsidRPr="004761E0" w:rsidRDefault="004C1494" w:rsidP="00AF531F">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5299"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4C1494" w:rsidRPr="004761E0" w:rsidRDefault="004C1494" w:rsidP="00AF531F">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Отчетный год</w:t>
            </w:r>
          </w:p>
        </w:tc>
      </w:tr>
      <w:tr w:rsidR="004C1494" w:rsidRPr="004761E0" w:rsidTr="004C1494">
        <w:trPr>
          <w:trHeight w:val="56"/>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7076A7">
            <w:pPr>
              <w:pStyle w:val="a5"/>
              <w:numPr>
                <w:ilvl w:val="0"/>
                <w:numId w:val="61"/>
              </w:numPr>
              <w:jc w:val="left"/>
              <w:rPr>
                <w:rFonts w:eastAsia="Times New Roman"/>
                <w:color w:val="000000"/>
                <w:sz w:val="20"/>
                <w:szCs w:val="20"/>
                <w:lang w:eastAsia="ru-RU"/>
              </w:rPr>
            </w:pPr>
          </w:p>
        </w:tc>
        <w:tc>
          <w:tcPr>
            <w:tcW w:w="3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rPr>
                <w:rFonts w:eastAsia="Times New Roman"/>
                <w:color w:val="000000"/>
                <w:sz w:val="20"/>
                <w:szCs w:val="20"/>
                <w:lang w:eastAsia="ru-RU"/>
              </w:rPr>
            </w:pPr>
            <w:r w:rsidRPr="004761E0">
              <w:rPr>
                <w:rFonts w:eastAsia="Times New Roman"/>
                <w:color w:val="000000"/>
                <w:sz w:val="20"/>
                <w:szCs w:val="20"/>
                <w:lang w:eastAsia="ru-RU"/>
              </w:rPr>
              <w:t>Фондовая биржа</w:t>
            </w:r>
          </w:p>
        </w:tc>
        <w:tc>
          <w:tcPr>
            <w:tcW w:w="52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08080E" w:rsidP="00AF531F">
            <w:pPr>
              <w:ind w:firstLine="0"/>
              <w:jc w:val="right"/>
              <w:rPr>
                <w:rFonts w:eastAsia="Times New Roman"/>
                <w:color w:val="262626"/>
                <w:sz w:val="20"/>
                <w:szCs w:val="20"/>
                <w:lang w:eastAsia="ru-RU"/>
              </w:rPr>
            </w:pPr>
            <w:r>
              <w:rPr>
                <w:rFonts w:eastAsia="Times New Roman"/>
                <w:color w:val="262626"/>
                <w:sz w:val="20"/>
                <w:szCs w:val="20"/>
                <w:lang w:eastAsia="ru-RU"/>
              </w:rPr>
              <w:t>ЗАО </w:t>
            </w:r>
            <w:r w:rsidR="004C1494" w:rsidRPr="004761E0">
              <w:rPr>
                <w:rFonts w:eastAsia="Times New Roman"/>
                <w:color w:val="262626"/>
                <w:sz w:val="20"/>
                <w:szCs w:val="20"/>
                <w:lang w:eastAsia="ru-RU"/>
              </w:rPr>
              <w:t>«Фондовая биржа ММВБ»</w:t>
            </w:r>
          </w:p>
        </w:tc>
      </w:tr>
      <w:tr w:rsidR="004C1494" w:rsidRPr="004761E0" w:rsidTr="004C1494">
        <w:trPr>
          <w:trHeight w:val="56"/>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7076A7">
            <w:pPr>
              <w:pStyle w:val="a5"/>
              <w:numPr>
                <w:ilvl w:val="0"/>
                <w:numId w:val="61"/>
              </w:numPr>
              <w:jc w:val="left"/>
              <w:rPr>
                <w:rFonts w:eastAsia="Times New Roman"/>
                <w:color w:val="000000"/>
                <w:sz w:val="20"/>
                <w:szCs w:val="20"/>
                <w:lang w:eastAsia="ru-RU"/>
              </w:rPr>
            </w:pPr>
          </w:p>
        </w:tc>
        <w:tc>
          <w:tcPr>
            <w:tcW w:w="3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rPr>
                <w:rFonts w:eastAsia="Times New Roman"/>
                <w:color w:val="000000"/>
                <w:sz w:val="20"/>
                <w:szCs w:val="20"/>
                <w:lang w:eastAsia="ru-RU"/>
              </w:rPr>
            </w:pPr>
            <w:r w:rsidRPr="004761E0">
              <w:rPr>
                <w:rFonts w:eastAsia="Times New Roman"/>
                <w:color w:val="000000"/>
                <w:sz w:val="20"/>
                <w:szCs w:val="20"/>
                <w:lang w:eastAsia="ru-RU"/>
              </w:rPr>
              <w:t>Дата начала торгов</w:t>
            </w:r>
          </w:p>
        </w:tc>
        <w:tc>
          <w:tcPr>
            <w:tcW w:w="52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03.02.2006</w:t>
            </w:r>
          </w:p>
        </w:tc>
      </w:tr>
      <w:tr w:rsidR="004C1494" w:rsidRPr="004761E0" w:rsidTr="004C1494">
        <w:trPr>
          <w:trHeight w:val="56"/>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7076A7">
            <w:pPr>
              <w:pStyle w:val="a5"/>
              <w:numPr>
                <w:ilvl w:val="0"/>
                <w:numId w:val="61"/>
              </w:numPr>
              <w:jc w:val="left"/>
              <w:rPr>
                <w:rFonts w:eastAsia="Times New Roman"/>
                <w:color w:val="000000"/>
                <w:sz w:val="20"/>
                <w:szCs w:val="20"/>
                <w:lang w:eastAsia="ru-RU"/>
              </w:rPr>
            </w:pPr>
          </w:p>
        </w:tc>
        <w:tc>
          <w:tcPr>
            <w:tcW w:w="3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rPr>
                <w:rFonts w:eastAsia="Times New Roman"/>
                <w:color w:val="000000"/>
                <w:sz w:val="20"/>
                <w:szCs w:val="20"/>
                <w:lang w:eastAsia="ru-RU"/>
              </w:rPr>
            </w:pPr>
            <w:r w:rsidRPr="004761E0">
              <w:rPr>
                <w:rFonts w:eastAsia="Times New Roman"/>
                <w:color w:val="000000"/>
                <w:sz w:val="20"/>
                <w:szCs w:val="20"/>
                <w:lang w:eastAsia="ru-RU"/>
              </w:rPr>
              <w:t>Котировальный список</w:t>
            </w:r>
          </w:p>
        </w:tc>
        <w:tc>
          <w:tcPr>
            <w:tcW w:w="52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eastAsia="ru-RU"/>
              </w:rPr>
            </w:pPr>
            <w:r w:rsidRPr="004761E0">
              <w:rPr>
                <w:rFonts w:eastAsia="Times New Roman"/>
                <w:color w:val="000000"/>
                <w:sz w:val="20"/>
                <w:szCs w:val="20"/>
                <w:lang w:eastAsia="ru-RU"/>
              </w:rPr>
              <w:t>А1 (переведены с 19.02.2009)</w:t>
            </w:r>
          </w:p>
        </w:tc>
      </w:tr>
      <w:tr w:rsidR="004C1494" w:rsidRPr="004761E0" w:rsidTr="004C1494">
        <w:trPr>
          <w:trHeight w:val="56"/>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7076A7">
            <w:pPr>
              <w:pStyle w:val="a5"/>
              <w:numPr>
                <w:ilvl w:val="0"/>
                <w:numId w:val="61"/>
              </w:numPr>
              <w:jc w:val="left"/>
              <w:rPr>
                <w:rFonts w:eastAsia="Times New Roman"/>
                <w:color w:val="000000"/>
                <w:sz w:val="20"/>
                <w:szCs w:val="20"/>
                <w:lang w:eastAsia="ru-RU"/>
              </w:rPr>
            </w:pPr>
          </w:p>
        </w:tc>
        <w:tc>
          <w:tcPr>
            <w:tcW w:w="3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rPr>
                <w:rFonts w:eastAsia="Times New Roman"/>
                <w:color w:val="000000"/>
                <w:sz w:val="20"/>
                <w:szCs w:val="20"/>
                <w:lang w:eastAsia="ru-RU"/>
              </w:rPr>
            </w:pPr>
            <w:r w:rsidRPr="004761E0">
              <w:rPr>
                <w:rFonts w:eastAsia="Times New Roman"/>
                <w:color w:val="000000"/>
                <w:sz w:val="20"/>
                <w:szCs w:val="20"/>
                <w:lang w:eastAsia="ru-RU"/>
              </w:rPr>
              <w:t>ISIN</w:t>
            </w:r>
          </w:p>
        </w:tc>
        <w:tc>
          <w:tcPr>
            <w:tcW w:w="52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494" w:rsidRPr="004761E0" w:rsidRDefault="004C1494" w:rsidP="00AF531F">
            <w:pPr>
              <w:ind w:firstLine="0"/>
              <w:jc w:val="right"/>
              <w:rPr>
                <w:rFonts w:eastAsia="Times New Roman"/>
                <w:color w:val="262626"/>
                <w:sz w:val="20"/>
                <w:szCs w:val="20"/>
                <w:lang w:eastAsia="ru-RU"/>
              </w:rPr>
            </w:pPr>
            <w:r w:rsidRPr="004761E0">
              <w:rPr>
                <w:rFonts w:eastAsia="Times New Roman"/>
                <w:color w:val="262626"/>
                <w:sz w:val="20"/>
                <w:szCs w:val="20"/>
                <w:lang w:eastAsia="ru-RU"/>
              </w:rPr>
              <w:t>RU000A0ET7Y7</w:t>
            </w:r>
          </w:p>
        </w:tc>
      </w:tr>
      <w:tr w:rsidR="004C1494" w:rsidRPr="004761E0" w:rsidTr="004C1494">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7076A7">
            <w:pPr>
              <w:pStyle w:val="a5"/>
              <w:numPr>
                <w:ilvl w:val="0"/>
                <w:numId w:val="61"/>
              </w:numPr>
              <w:jc w:val="left"/>
              <w:rPr>
                <w:rFonts w:eastAsia="Times New Roman"/>
                <w:color w:val="000000"/>
                <w:sz w:val="20"/>
                <w:szCs w:val="20"/>
                <w:lang w:eastAsia="ru-RU"/>
              </w:rPr>
            </w:pPr>
          </w:p>
        </w:tc>
        <w:tc>
          <w:tcPr>
            <w:tcW w:w="3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rPr>
                <w:rFonts w:eastAsia="Times New Roman"/>
                <w:color w:val="000000"/>
                <w:sz w:val="20"/>
                <w:szCs w:val="20"/>
                <w:lang w:eastAsia="ru-RU"/>
              </w:rPr>
            </w:pPr>
            <w:r w:rsidRPr="004761E0">
              <w:rPr>
                <w:rFonts w:eastAsia="Times New Roman"/>
                <w:color w:val="000000"/>
                <w:sz w:val="20"/>
                <w:szCs w:val="20"/>
                <w:lang w:eastAsia="ru-RU"/>
              </w:rPr>
              <w:t>Тиккер</w:t>
            </w:r>
          </w:p>
        </w:tc>
        <w:tc>
          <w:tcPr>
            <w:tcW w:w="52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494" w:rsidRPr="004761E0" w:rsidRDefault="004C1494" w:rsidP="00AF531F">
            <w:pPr>
              <w:ind w:firstLine="0"/>
              <w:jc w:val="right"/>
              <w:rPr>
                <w:rFonts w:eastAsia="Times New Roman"/>
                <w:color w:val="262626"/>
                <w:sz w:val="20"/>
                <w:szCs w:val="20"/>
                <w:lang w:eastAsia="ru-RU"/>
              </w:rPr>
            </w:pPr>
            <w:r w:rsidRPr="004761E0">
              <w:rPr>
                <w:rFonts w:eastAsia="Times New Roman"/>
                <w:color w:val="262626"/>
                <w:sz w:val="20"/>
                <w:szCs w:val="20"/>
                <w:lang w:eastAsia="ru-RU"/>
              </w:rPr>
              <w:t>MSRS</w:t>
            </w:r>
          </w:p>
        </w:tc>
      </w:tr>
      <w:tr w:rsidR="004C1494" w:rsidRPr="00316FF1" w:rsidTr="004C1494">
        <w:trPr>
          <w:trHeight w:val="56"/>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7076A7">
            <w:pPr>
              <w:pStyle w:val="a5"/>
              <w:numPr>
                <w:ilvl w:val="0"/>
                <w:numId w:val="61"/>
              </w:numPr>
              <w:jc w:val="left"/>
              <w:rPr>
                <w:rFonts w:eastAsia="Times New Roman"/>
                <w:color w:val="000000"/>
                <w:sz w:val="20"/>
                <w:szCs w:val="20"/>
                <w:lang w:eastAsia="ru-RU"/>
              </w:rPr>
            </w:pPr>
          </w:p>
        </w:tc>
        <w:tc>
          <w:tcPr>
            <w:tcW w:w="3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rPr>
                <w:rFonts w:eastAsia="Times New Roman"/>
                <w:color w:val="000000"/>
                <w:sz w:val="20"/>
                <w:szCs w:val="20"/>
                <w:lang w:eastAsia="ru-RU"/>
              </w:rPr>
            </w:pPr>
            <w:r w:rsidRPr="004761E0">
              <w:rPr>
                <w:rFonts w:eastAsia="Times New Roman"/>
                <w:color w:val="000000"/>
                <w:sz w:val="20"/>
                <w:szCs w:val="20"/>
                <w:lang w:eastAsia="ru-RU"/>
              </w:rPr>
              <w:t>Код в Bloomberg</w:t>
            </w:r>
          </w:p>
        </w:tc>
        <w:tc>
          <w:tcPr>
            <w:tcW w:w="52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AF531F">
            <w:pPr>
              <w:ind w:firstLine="0"/>
              <w:jc w:val="right"/>
              <w:rPr>
                <w:rFonts w:eastAsia="Times New Roman"/>
                <w:color w:val="000000"/>
                <w:sz w:val="20"/>
                <w:szCs w:val="20"/>
                <w:lang w:val="en-US" w:eastAsia="ru-RU"/>
              </w:rPr>
            </w:pPr>
            <w:r w:rsidRPr="004761E0">
              <w:rPr>
                <w:rFonts w:eastAsia="Times New Roman"/>
                <w:color w:val="000000"/>
                <w:sz w:val="20"/>
                <w:szCs w:val="20"/>
                <w:lang w:val="en-US" w:eastAsia="ru-RU"/>
              </w:rPr>
              <w:t>MSRS RX Equity, MSRS RU Equity, MSRS RM Equity</w:t>
            </w:r>
          </w:p>
        </w:tc>
      </w:tr>
    </w:tbl>
    <w:p w:rsidR="004C1494" w:rsidRPr="004761E0" w:rsidRDefault="004C1494" w:rsidP="004C1494">
      <w:pPr>
        <w:spacing w:before="120" w:after="120"/>
        <w:ind w:firstLine="567"/>
        <w:rPr>
          <w:b/>
        </w:rPr>
      </w:pPr>
      <w:r w:rsidRPr="004761E0">
        <w:rPr>
          <w:b/>
          <w:sz w:val="26"/>
          <w:szCs w:val="26"/>
        </w:rPr>
        <w:t>Присутствие в индексах</w:t>
      </w:r>
      <w:r w:rsidRPr="006F4AB8">
        <w:rPr>
          <w:rStyle w:val="af1"/>
        </w:rPr>
        <w:footnoteReference w:id="108"/>
      </w:r>
    </w:p>
    <w:tbl>
      <w:tblPr>
        <w:tblW w:w="9513" w:type="dxa"/>
        <w:tblInd w:w="93" w:type="dxa"/>
        <w:tblLayout w:type="fixed"/>
        <w:tblLook w:val="04A0"/>
      </w:tblPr>
      <w:tblGrid>
        <w:gridCol w:w="582"/>
        <w:gridCol w:w="2410"/>
        <w:gridCol w:w="1418"/>
        <w:gridCol w:w="1417"/>
        <w:gridCol w:w="1418"/>
        <w:gridCol w:w="1134"/>
        <w:gridCol w:w="1134"/>
      </w:tblGrid>
      <w:tr w:rsidR="004C1494" w:rsidRPr="004761E0" w:rsidTr="004C1494">
        <w:trPr>
          <w:trHeight w:val="300"/>
        </w:trPr>
        <w:tc>
          <w:tcPr>
            <w:tcW w:w="582" w:type="dxa"/>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0F243E" w:themeFill="text2" w:themeFillShade="80"/>
            <w:vAlign w:val="center"/>
            <w:hideMark/>
          </w:tcPr>
          <w:p w:rsidR="004C1494" w:rsidRPr="004761E0" w:rsidRDefault="004C1494" w:rsidP="00AF531F">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2410"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C1494" w:rsidRPr="004761E0" w:rsidRDefault="004C1494" w:rsidP="00AF531F">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индекса</w:t>
            </w:r>
          </w:p>
        </w:tc>
        <w:tc>
          <w:tcPr>
            <w:tcW w:w="1418"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C1494" w:rsidRPr="004761E0" w:rsidRDefault="004C1494" w:rsidP="00AF531F">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Код индекса</w:t>
            </w:r>
          </w:p>
        </w:tc>
        <w:tc>
          <w:tcPr>
            <w:tcW w:w="1417"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C1494" w:rsidRPr="004761E0" w:rsidRDefault="004C1494" w:rsidP="00AF531F">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Дата включения</w:t>
            </w:r>
          </w:p>
        </w:tc>
        <w:tc>
          <w:tcPr>
            <w:tcW w:w="3686" w:type="dxa"/>
            <w:gridSpan w:val="3"/>
            <w:tcBorders>
              <w:top w:val="single" w:sz="4" w:space="0" w:color="auto"/>
              <w:left w:val="single" w:sz="4" w:space="0" w:color="FFFFFF" w:themeColor="background1"/>
              <w:bottom w:val="single" w:sz="4" w:space="0" w:color="FFFFFF" w:themeColor="background1"/>
              <w:right w:val="single" w:sz="4" w:space="0" w:color="auto"/>
            </w:tcBorders>
            <w:shd w:val="clear" w:color="auto" w:fill="0F243E" w:themeFill="text2" w:themeFillShade="80"/>
            <w:vAlign w:val="center"/>
            <w:hideMark/>
          </w:tcPr>
          <w:p w:rsidR="004C1494" w:rsidRPr="004761E0" w:rsidRDefault="004C1494" w:rsidP="00AF531F">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Вес акций в индексе, %</w:t>
            </w:r>
          </w:p>
        </w:tc>
      </w:tr>
      <w:tr w:rsidR="004C1494" w:rsidRPr="004761E0" w:rsidTr="004C1494">
        <w:trPr>
          <w:trHeight w:val="56"/>
        </w:trPr>
        <w:tc>
          <w:tcPr>
            <w:tcW w:w="582" w:type="dxa"/>
            <w:vMerge/>
            <w:tcBorders>
              <w:top w:val="single" w:sz="4" w:space="0" w:color="FFFFFF" w:themeColor="background1"/>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4C1494" w:rsidRPr="004761E0" w:rsidRDefault="004C1494" w:rsidP="004C1494">
            <w:pPr>
              <w:jc w:val="center"/>
              <w:rPr>
                <w:rFonts w:eastAsia="Times New Roman"/>
                <w:b/>
                <w:color w:val="FFFFFF" w:themeColor="background1"/>
                <w:sz w:val="20"/>
                <w:szCs w:val="20"/>
                <w:lang w:eastAsia="ru-RU"/>
              </w:rPr>
            </w:pPr>
          </w:p>
        </w:tc>
        <w:tc>
          <w:tcPr>
            <w:tcW w:w="2410"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C1494" w:rsidRPr="004761E0" w:rsidRDefault="004C1494" w:rsidP="004C1494">
            <w:pPr>
              <w:jc w:val="center"/>
              <w:rPr>
                <w:rFonts w:eastAsia="Times New Roman"/>
                <w:b/>
                <w:color w:val="FFFFFF" w:themeColor="background1"/>
                <w:sz w:val="20"/>
                <w:szCs w:val="20"/>
                <w:lang w:eastAsia="ru-RU"/>
              </w:rPr>
            </w:pPr>
          </w:p>
        </w:tc>
        <w:tc>
          <w:tcPr>
            <w:tcW w:w="1418"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C1494" w:rsidRPr="004761E0" w:rsidRDefault="004C1494" w:rsidP="004C1494">
            <w:pPr>
              <w:jc w:val="center"/>
              <w:rPr>
                <w:rFonts w:eastAsia="Times New Roman"/>
                <w:b/>
                <w:color w:val="FFFFFF" w:themeColor="background1"/>
                <w:sz w:val="20"/>
                <w:szCs w:val="20"/>
                <w:lang w:eastAsia="ru-RU"/>
              </w:rPr>
            </w:pPr>
          </w:p>
        </w:tc>
        <w:tc>
          <w:tcPr>
            <w:tcW w:w="1417"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C1494" w:rsidRPr="004761E0" w:rsidRDefault="004C1494" w:rsidP="004C1494">
            <w:pPr>
              <w:jc w:val="center"/>
              <w:rPr>
                <w:rFonts w:eastAsia="Times New Roman"/>
                <w:b/>
                <w:color w:val="FFFFFF" w:themeColor="background1"/>
                <w:sz w:val="20"/>
                <w:szCs w:val="20"/>
                <w:lang w:eastAsia="ru-RU"/>
              </w:rPr>
            </w:pPr>
          </w:p>
        </w:tc>
        <w:tc>
          <w:tcPr>
            <w:tcW w:w="141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C1494" w:rsidRPr="004761E0" w:rsidRDefault="004C1494" w:rsidP="00AF531F">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31.12.2011</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C1494" w:rsidRPr="004761E0" w:rsidRDefault="004C1494" w:rsidP="00AF531F">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31.12.2012</w:t>
            </w:r>
          </w:p>
        </w:tc>
        <w:tc>
          <w:tcPr>
            <w:tcW w:w="1134"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4C1494" w:rsidRPr="004761E0" w:rsidRDefault="004C1494" w:rsidP="00AF531F">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31.12.2013</w:t>
            </w:r>
          </w:p>
        </w:tc>
      </w:tr>
      <w:tr w:rsidR="004C1494" w:rsidRPr="004761E0" w:rsidTr="004C1494">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7076A7">
            <w:pPr>
              <w:pStyle w:val="a5"/>
              <w:numPr>
                <w:ilvl w:val="0"/>
                <w:numId w:val="62"/>
              </w:numPr>
              <w:rPr>
                <w:rFonts w:eastAsia="Times New Roman"/>
                <w:color w:val="000000"/>
                <w:sz w:val="20"/>
                <w:szCs w:val="20"/>
                <w:lang w:eastAsia="ru-RU"/>
              </w:rPr>
            </w:pP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4C1494" w:rsidRPr="00884D85" w:rsidRDefault="004C1494" w:rsidP="00AF531F">
            <w:pPr>
              <w:ind w:firstLine="0"/>
              <w:jc w:val="left"/>
              <w:rPr>
                <w:rFonts w:eastAsia="Times New Roman"/>
                <w:color w:val="000000"/>
                <w:sz w:val="20"/>
                <w:szCs w:val="20"/>
                <w:lang w:eastAsia="ru-RU"/>
              </w:rPr>
            </w:pPr>
            <w:r w:rsidRPr="00884D85">
              <w:rPr>
                <w:rFonts w:eastAsia="Times New Roman"/>
                <w:color w:val="000000"/>
                <w:sz w:val="20"/>
                <w:szCs w:val="20"/>
                <w:lang w:eastAsia="ru-RU"/>
              </w:rPr>
              <w:t>Индекс ММВБ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C1494" w:rsidRPr="00884D85" w:rsidRDefault="004C1494" w:rsidP="00AF531F">
            <w:pPr>
              <w:ind w:firstLine="0"/>
              <w:jc w:val="left"/>
              <w:rPr>
                <w:rFonts w:eastAsia="Times New Roman"/>
                <w:color w:val="000000"/>
                <w:sz w:val="20"/>
                <w:szCs w:val="20"/>
                <w:lang w:eastAsia="ru-RU"/>
              </w:rPr>
            </w:pPr>
            <w:r w:rsidRPr="00884D85">
              <w:rPr>
                <w:rFonts w:eastAsia="Times New Roman"/>
                <w:color w:val="000000"/>
                <w:sz w:val="20"/>
                <w:szCs w:val="20"/>
                <w:lang w:eastAsia="ru-RU"/>
              </w:rPr>
              <w:t>MICEX</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C1494" w:rsidRPr="00884D85" w:rsidRDefault="004C1494" w:rsidP="00AF531F">
            <w:pPr>
              <w:ind w:firstLine="0"/>
              <w:jc w:val="left"/>
              <w:rPr>
                <w:rFonts w:eastAsia="Times New Roman"/>
                <w:color w:val="000000"/>
                <w:sz w:val="20"/>
                <w:szCs w:val="20"/>
                <w:lang w:eastAsia="ru-RU"/>
              </w:rPr>
            </w:pPr>
            <w:r w:rsidRPr="00884D85">
              <w:rPr>
                <w:rFonts w:eastAsia="Times New Roman"/>
                <w:color w:val="000000"/>
                <w:sz w:val="20"/>
                <w:szCs w:val="20"/>
                <w:lang w:eastAsia="ru-RU"/>
              </w:rPr>
              <w:t>18.12.2012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C1494" w:rsidRPr="00884D85" w:rsidRDefault="004C1494" w:rsidP="00AF531F">
            <w:pPr>
              <w:ind w:firstLine="0"/>
              <w:jc w:val="right"/>
              <w:rPr>
                <w:rFonts w:eastAsia="Times New Roman"/>
                <w:color w:val="000000"/>
                <w:sz w:val="20"/>
                <w:szCs w:val="20"/>
                <w:lang w:eastAsia="ru-RU"/>
              </w:rPr>
            </w:pPr>
            <w:r w:rsidRPr="00884D85">
              <w:rPr>
                <w:rFonts w:eastAsia="Times New Roman"/>
                <w:color w:val="000000"/>
                <w:sz w:val="20"/>
                <w:szCs w:val="20"/>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1494" w:rsidRPr="00884D85" w:rsidRDefault="004C1494" w:rsidP="00AF531F">
            <w:pPr>
              <w:ind w:firstLine="0"/>
              <w:jc w:val="right"/>
              <w:rPr>
                <w:rFonts w:eastAsia="Times New Roman"/>
                <w:color w:val="000000"/>
                <w:sz w:val="20"/>
                <w:szCs w:val="20"/>
                <w:lang w:eastAsia="ru-RU"/>
              </w:rPr>
            </w:pPr>
            <w:r w:rsidRPr="00884D85">
              <w:rPr>
                <w:rFonts w:eastAsia="Times New Roman"/>
                <w:color w:val="000000"/>
                <w:sz w:val="20"/>
                <w:szCs w:val="20"/>
                <w:lang w:eastAsia="ru-RU"/>
              </w:rPr>
              <w:t>0,28</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4C1494" w:rsidRPr="00884D85" w:rsidRDefault="004C1494" w:rsidP="00AF531F">
            <w:pPr>
              <w:ind w:firstLine="0"/>
              <w:jc w:val="right"/>
              <w:rPr>
                <w:rFonts w:eastAsia="Times New Roman"/>
                <w:color w:val="000000"/>
                <w:sz w:val="20"/>
                <w:szCs w:val="20"/>
                <w:lang w:eastAsia="ru-RU"/>
              </w:rPr>
            </w:pPr>
            <w:r w:rsidRPr="00884D85">
              <w:rPr>
                <w:rFonts w:eastAsia="Times New Roman"/>
                <w:color w:val="000000"/>
                <w:sz w:val="20"/>
                <w:szCs w:val="20"/>
                <w:lang w:eastAsia="ru-RU"/>
              </w:rPr>
              <w:t>0,1</w:t>
            </w:r>
          </w:p>
        </w:tc>
      </w:tr>
      <w:tr w:rsidR="004C1494" w:rsidRPr="004761E0" w:rsidTr="004C1494">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7076A7">
            <w:pPr>
              <w:pStyle w:val="a5"/>
              <w:numPr>
                <w:ilvl w:val="0"/>
                <w:numId w:val="62"/>
              </w:numPr>
              <w:rPr>
                <w:rFonts w:eastAsia="Times New Roman"/>
                <w:color w:val="000000"/>
                <w:sz w:val="20"/>
                <w:szCs w:val="20"/>
                <w:lang w:eastAsia="ru-RU"/>
              </w:rPr>
            </w:pP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4C1494" w:rsidRPr="00884D85" w:rsidRDefault="004C1494" w:rsidP="00AF531F">
            <w:pPr>
              <w:ind w:firstLine="0"/>
              <w:jc w:val="left"/>
              <w:rPr>
                <w:rFonts w:eastAsia="Times New Roman"/>
                <w:color w:val="000000"/>
                <w:sz w:val="20"/>
                <w:szCs w:val="20"/>
                <w:lang w:eastAsia="ru-RU"/>
              </w:rPr>
            </w:pPr>
            <w:r w:rsidRPr="00884D85">
              <w:rPr>
                <w:rFonts w:eastAsia="Times New Roman"/>
                <w:color w:val="000000"/>
                <w:sz w:val="20"/>
                <w:szCs w:val="20"/>
                <w:lang w:eastAsia="ru-RU"/>
              </w:rPr>
              <w:t>Индекс РТС</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C1494" w:rsidRPr="00884D85" w:rsidRDefault="004C1494" w:rsidP="00AF531F">
            <w:pPr>
              <w:ind w:firstLine="0"/>
              <w:jc w:val="left"/>
              <w:rPr>
                <w:rFonts w:eastAsia="Times New Roman"/>
                <w:color w:val="000000"/>
                <w:sz w:val="20"/>
                <w:szCs w:val="20"/>
                <w:lang w:eastAsia="ru-RU"/>
              </w:rPr>
            </w:pPr>
            <w:r w:rsidRPr="00884D85">
              <w:rPr>
                <w:rFonts w:eastAsia="Times New Roman"/>
                <w:color w:val="000000"/>
                <w:sz w:val="20"/>
                <w:szCs w:val="20"/>
                <w:lang w:eastAsia="ru-RU"/>
              </w:rPr>
              <w:t>RTSI</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C1494" w:rsidRPr="00884D85" w:rsidRDefault="004C1494" w:rsidP="00AF531F">
            <w:pPr>
              <w:ind w:firstLine="0"/>
              <w:jc w:val="left"/>
              <w:rPr>
                <w:rFonts w:eastAsia="Times New Roman"/>
                <w:color w:val="000000"/>
                <w:sz w:val="20"/>
                <w:szCs w:val="20"/>
                <w:lang w:eastAsia="ru-RU"/>
              </w:rPr>
            </w:pPr>
            <w:r w:rsidRPr="00884D85">
              <w:rPr>
                <w:rFonts w:eastAsia="Times New Roman"/>
                <w:color w:val="000000"/>
                <w:sz w:val="20"/>
                <w:szCs w:val="20"/>
                <w:lang w:eastAsia="ru-RU"/>
              </w:rPr>
              <w:t>16.03.2011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C1494" w:rsidRPr="00884D85" w:rsidRDefault="004C1494" w:rsidP="00AF531F">
            <w:pPr>
              <w:ind w:firstLine="0"/>
              <w:jc w:val="right"/>
              <w:rPr>
                <w:rFonts w:eastAsia="Times New Roman"/>
                <w:color w:val="000000"/>
                <w:sz w:val="20"/>
                <w:szCs w:val="20"/>
                <w:lang w:eastAsia="ru-RU"/>
              </w:rPr>
            </w:pPr>
            <w:r w:rsidRPr="00884D85">
              <w:rPr>
                <w:rFonts w:eastAsia="Times New Roman"/>
                <w:color w:val="000000"/>
                <w:sz w:val="20"/>
                <w:szCs w:val="20"/>
                <w:lang w:eastAsia="ru-RU"/>
              </w:rPr>
              <w:t>0,25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1494" w:rsidRPr="00884D85" w:rsidRDefault="004C1494" w:rsidP="00AF531F">
            <w:pPr>
              <w:ind w:firstLine="0"/>
              <w:jc w:val="right"/>
              <w:rPr>
                <w:rFonts w:eastAsia="Times New Roman"/>
                <w:color w:val="000000"/>
                <w:sz w:val="20"/>
                <w:szCs w:val="20"/>
                <w:lang w:eastAsia="ru-RU"/>
              </w:rPr>
            </w:pPr>
            <w:r w:rsidRPr="00884D85">
              <w:rPr>
                <w:rFonts w:eastAsia="Times New Roman"/>
                <w:color w:val="000000"/>
                <w:sz w:val="20"/>
                <w:szCs w:val="20"/>
                <w:lang w:eastAsia="ru-RU"/>
              </w:rPr>
              <w:t>0,28</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4C1494" w:rsidRPr="00884D85" w:rsidRDefault="004C1494" w:rsidP="00AF531F">
            <w:pPr>
              <w:ind w:firstLine="0"/>
              <w:jc w:val="right"/>
              <w:rPr>
                <w:rFonts w:eastAsia="Times New Roman"/>
                <w:color w:val="000000"/>
                <w:sz w:val="20"/>
                <w:szCs w:val="20"/>
                <w:lang w:eastAsia="ru-RU"/>
              </w:rPr>
            </w:pPr>
            <w:r w:rsidRPr="00884D85">
              <w:rPr>
                <w:rFonts w:eastAsia="Times New Roman"/>
                <w:color w:val="000000"/>
                <w:sz w:val="20"/>
                <w:szCs w:val="20"/>
                <w:lang w:eastAsia="ru-RU"/>
              </w:rPr>
              <w:t>0,1</w:t>
            </w:r>
          </w:p>
        </w:tc>
      </w:tr>
      <w:tr w:rsidR="004C1494" w:rsidRPr="004761E0" w:rsidTr="004C1494">
        <w:trPr>
          <w:trHeight w:val="56"/>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7076A7">
            <w:pPr>
              <w:pStyle w:val="a5"/>
              <w:numPr>
                <w:ilvl w:val="0"/>
                <w:numId w:val="62"/>
              </w:numPr>
              <w:rPr>
                <w:rFonts w:eastAsia="Times New Roman"/>
                <w:color w:val="000000"/>
                <w:sz w:val="20"/>
                <w:szCs w:val="20"/>
                <w:lang w:eastAsia="ru-RU"/>
              </w:rPr>
            </w:pP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4C1494" w:rsidRPr="00884D85" w:rsidRDefault="004C1494" w:rsidP="00AF531F">
            <w:pPr>
              <w:ind w:firstLine="0"/>
              <w:jc w:val="left"/>
              <w:rPr>
                <w:rFonts w:eastAsia="Times New Roman"/>
                <w:color w:val="000000"/>
                <w:sz w:val="20"/>
                <w:szCs w:val="20"/>
                <w:lang w:eastAsia="ru-RU"/>
              </w:rPr>
            </w:pPr>
            <w:r w:rsidRPr="00884D85">
              <w:rPr>
                <w:rFonts w:eastAsia="Times New Roman"/>
                <w:color w:val="000000"/>
                <w:sz w:val="20"/>
                <w:szCs w:val="20"/>
                <w:lang w:eastAsia="ru-RU"/>
              </w:rPr>
              <w:t>Индекс акций широкого рынка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C1494" w:rsidRPr="00884D85" w:rsidRDefault="004C1494" w:rsidP="00AF531F">
            <w:pPr>
              <w:ind w:firstLine="0"/>
              <w:jc w:val="left"/>
              <w:rPr>
                <w:rFonts w:eastAsia="Times New Roman"/>
                <w:color w:val="000000"/>
                <w:sz w:val="20"/>
                <w:szCs w:val="20"/>
                <w:lang w:eastAsia="ru-RU"/>
              </w:rPr>
            </w:pPr>
            <w:r w:rsidRPr="00884D85">
              <w:rPr>
                <w:rFonts w:eastAsia="Times New Roman"/>
                <w:color w:val="000000"/>
                <w:sz w:val="20"/>
                <w:szCs w:val="20"/>
                <w:lang w:eastAsia="ru-RU"/>
              </w:rPr>
              <w:t>MICEX BMI</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C1494" w:rsidRPr="00884D85" w:rsidRDefault="004C1494" w:rsidP="00AF531F">
            <w:pPr>
              <w:ind w:firstLine="0"/>
              <w:jc w:val="left"/>
              <w:rPr>
                <w:rFonts w:eastAsia="Times New Roman"/>
                <w:color w:val="000000"/>
                <w:sz w:val="20"/>
                <w:szCs w:val="20"/>
                <w:lang w:eastAsia="ru-RU"/>
              </w:rPr>
            </w:pPr>
            <w:r w:rsidRPr="00884D85">
              <w:rPr>
                <w:rFonts w:eastAsia="Times New Roman"/>
                <w:color w:val="000000"/>
                <w:sz w:val="20"/>
                <w:szCs w:val="20"/>
                <w:lang w:eastAsia="ru-RU"/>
              </w:rPr>
              <w:t>30.12.2011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C1494" w:rsidRPr="00884D85" w:rsidRDefault="004C1494" w:rsidP="00AF531F">
            <w:pPr>
              <w:ind w:firstLine="0"/>
              <w:jc w:val="right"/>
              <w:rPr>
                <w:rFonts w:eastAsia="Times New Roman"/>
                <w:color w:val="000000"/>
                <w:sz w:val="20"/>
                <w:szCs w:val="20"/>
                <w:lang w:eastAsia="ru-RU"/>
              </w:rPr>
            </w:pPr>
            <w:r w:rsidRPr="00884D85">
              <w:rPr>
                <w:rFonts w:eastAsia="Times New Roman"/>
                <w:color w:val="000000"/>
                <w:sz w:val="20"/>
                <w:szCs w:val="20"/>
                <w:lang w:eastAsia="ru-RU"/>
              </w:rPr>
              <w:t>0,27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1494" w:rsidRPr="00884D85" w:rsidRDefault="004C1494" w:rsidP="00AF531F">
            <w:pPr>
              <w:ind w:firstLine="0"/>
              <w:jc w:val="right"/>
              <w:rPr>
                <w:rFonts w:eastAsia="Times New Roman"/>
                <w:color w:val="000000"/>
                <w:sz w:val="20"/>
                <w:szCs w:val="20"/>
                <w:lang w:eastAsia="ru-RU"/>
              </w:rPr>
            </w:pPr>
            <w:r w:rsidRPr="00884D85">
              <w:rPr>
                <w:rFonts w:eastAsia="Times New Roman"/>
                <w:color w:val="000000"/>
                <w:sz w:val="20"/>
                <w:szCs w:val="20"/>
                <w:lang w:eastAsia="ru-RU"/>
              </w:rPr>
              <w:t>0,22</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4C1494" w:rsidRPr="00884D85" w:rsidRDefault="004C1494" w:rsidP="00AF531F">
            <w:pPr>
              <w:ind w:firstLine="0"/>
              <w:jc w:val="right"/>
              <w:rPr>
                <w:rFonts w:eastAsia="Times New Roman"/>
                <w:color w:val="000000"/>
                <w:sz w:val="20"/>
                <w:szCs w:val="20"/>
                <w:lang w:eastAsia="ru-RU"/>
              </w:rPr>
            </w:pPr>
            <w:r w:rsidRPr="00884D85">
              <w:rPr>
                <w:rFonts w:eastAsia="Times New Roman"/>
                <w:color w:val="000000"/>
                <w:sz w:val="20"/>
                <w:szCs w:val="20"/>
                <w:lang w:eastAsia="ru-RU"/>
              </w:rPr>
              <w:t>0,1</w:t>
            </w:r>
          </w:p>
        </w:tc>
      </w:tr>
      <w:tr w:rsidR="004C1494" w:rsidRPr="004761E0" w:rsidTr="004C1494">
        <w:trPr>
          <w:trHeight w:val="56"/>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7076A7">
            <w:pPr>
              <w:pStyle w:val="a5"/>
              <w:numPr>
                <w:ilvl w:val="0"/>
                <w:numId w:val="62"/>
              </w:numPr>
              <w:rPr>
                <w:rFonts w:eastAsia="Times New Roman"/>
                <w:color w:val="000000"/>
                <w:sz w:val="20"/>
                <w:szCs w:val="20"/>
                <w:lang w:eastAsia="ru-RU"/>
              </w:rPr>
            </w:pP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4C1494" w:rsidRPr="00884D85" w:rsidRDefault="004C1494" w:rsidP="00AF531F">
            <w:pPr>
              <w:ind w:firstLine="0"/>
              <w:jc w:val="left"/>
              <w:rPr>
                <w:rFonts w:eastAsia="Times New Roman"/>
                <w:color w:val="000000"/>
                <w:sz w:val="20"/>
                <w:szCs w:val="20"/>
                <w:lang w:eastAsia="ru-RU"/>
              </w:rPr>
            </w:pPr>
            <w:r w:rsidRPr="00884D85">
              <w:rPr>
                <w:rFonts w:eastAsia="Times New Roman"/>
                <w:color w:val="000000"/>
                <w:sz w:val="20"/>
                <w:szCs w:val="20"/>
                <w:lang w:eastAsia="ru-RU"/>
              </w:rPr>
              <w:t>Индекс ММВБ Электроэнергетика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C1494" w:rsidRPr="00884D85" w:rsidRDefault="004C1494" w:rsidP="00AF531F">
            <w:pPr>
              <w:ind w:firstLine="0"/>
              <w:jc w:val="left"/>
              <w:rPr>
                <w:rFonts w:eastAsia="Times New Roman"/>
                <w:color w:val="000000"/>
                <w:sz w:val="20"/>
                <w:szCs w:val="20"/>
                <w:lang w:eastAsia="ru-RU"/>
              </w:rPr>
            </w:pPr>
            <w:r w:rsidRPr="00884D85">
              <w:rPr>
                <w:rFonts w:eastAsia="Times New Roman"/>
                <w:color w:val="000000"/>
                <w:sz w:val="20"/>
                <w:szCs w:val="20"/>
                <w:lang w:eastAsia="ru-RU"/>
              </w:rPr>
              <w:t>MICEX PWR</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C1494" w:rsidRPr="00884D85" w:rsidRDefault="004C1494" w:rsidP="00AF531F">
            <w:pPr>
              <w:ind w:firstLine="0"/>
              <w:jc w:val="left"/>
              <w:rPr>
                <w:rFonts w:eastAsia="Times New Roman"/>
                <w:color w:val="000000"/>
                <w:sz w:val="20"/>
                <w:szCs w:val="20"/>
                <w:lang w:eastAsia="ru-RU"/>
              </w:rPr>
            </w:pPr>
            <w:r w:rsidRPr="00884D85">
              <w:rPr>
                <w:rFonts w:eastAsia="Times New Roman"/>
                <w:color w:val="000000"/>
                <w:sz w:val="20"/>
                <w:szCs w:val="20"/>
                <w:lang w:eastAsia="ru-RU"/>
              </w:rPr>
              <w:t>03.07.2006</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C1494" w:rsidRPr="00884D85" w:rsidRDefault="004C1494" w:rsidP="00AF531F">
            <w:pPr>
              <w:ind w:firstLine="0"/>
              <w:jc w:val="right"/>
              <w:rPr>
                <w:rFonts w:eastAsia="Times New Roman"/>
                <w:color w:val="000000"/>
                <w:sz w:val="20"/>
                <w:szCs w:val="20"/>
                <w:lang w:eastAsia="ru-RU"/>
              </w:rPr>
            </w:pPr>
            <w:r w:rsidRPr="00884D85">
              <w:rPr>
                <w:rFonts w:eastAsia="Times New Roman"/>
                <w:color w:val="000000"/>
                <w:sz w:val="20"/>
                <w:szCs w:val="20"/>
                <w:lang w:eastAsia="ru-RU"/>
              </w:rPr>
              <w:t>5,08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1494" w:rsidRPr="00884D85" w:rsidRDefault="004C1494" w:rsidP="00AF531F">
            <w:pPr>
              <w:ind w:firstLine="0"/>
              <w:jc w:val="right"/>
              <w:rPr>
                <w:rFonts w:eastAsia="Times New Roman"/>
                <w:color w:val="000000"/>
                <w:sz w:val="20"/>
                <w:szCs w:val="20"/>
                <w:lang w:eastAsia="ru-RU"/>
              </w:rPr>
            </w:pPr>
            <w:r w:rsidRPr="00884D85">
              <w:rPr>
                <w:rFonts w:eastAsia="Times New Roman"/>
                <w:color w:val="000000"/>
                <w:sz w:val="20"/>
                <w:szCs w:val="20"/>
                <w:lang w:eastAsia="ru-RU"/>
              </w:rPr>
              <w:t>6,04</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4C1494" w:rsidRPr="00884D85" w:rsidRDefault="004C1494" w:rsidP="00AF531F">
            <w:pPr>
              <w:ind w:firstLine="0"/>
              <w:jc w:val="right"/>
              <w:rPr>
                <w:rFonts w:eastAsia="Times New Roman"/>
                <w:color w:val="000000"/>
                <w:sz w:val="20"/>
                <w:szCs w:val="20"/>
                <w:lang w:eastAsia="ru-RU"/>
              </w:rPr>
            </w:pPr>
            <w:r w:rsidRPr="00884D85">
              <w:rPr>
                <w:rFonts w:eastAsia="Times New Roman"/>
                <w:color w:val="000000"/>
                <w:sz w:val="20"/>
                <w:szCs w:val="20"/>
                <w:lang w:eastAsia="ru-RU"/>
              </w:rPr>
              <w:t>4,67</w:t>
            </w:r>
          </w:p>
        </w:tc>
      </w:tr>
      <w:tr w:rsidR="004C1494" w:rsidRPr="004761E0" w:rsidTr="004C1494">
        <w:trPr>
          <w:trHeight w:val="56"/>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7076A7">
            <w:pPr>
              <w:pStyle w:val="a5"/>
              <w:numPr>
                <w:ilvl w:val="0"/>
                <w:numId w:val="62"/>
              </w:numPr>
              <w:rPr>
                <w:rFonts w:eastAsia="Times New Roman"/>
                <w:color w:val="000000"/>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884D85" w:rsidRDefault="004C1494" w:rsidP="00AF531F">
            <w:pPr>
              <w:ind w:firstLine="0"/>
              <w:jc w:val="left"/>
              <w:rPr>
                <w:rFonts w:eastAsia="Times New Roman"/>
                <w:color w:val="000000"/>
                <w:sz w:val="20"/>
                <w:szCs w:val="20"/>
                <w:lang w:eastAsia="ru-RU"/>
              </w:rPr>
            </w:pPr>
            <w:r w:rsidRPr="00884D85">
              <w:rPr>
                <w:rFonts w:eastAsia="Times New Roman"/>
                <w:color w:val="000000"/>
                <w:sz w:val="20"/>
                <w:szCs w:val="20"/>
                <w:lang w:eastAsia="ru-RU"/>
              </w:rPr>
              <w:t>Индекс РТС Электроэнергетика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884D85" w:rsidRDefault="004C1494" w:rsidP="00AF531F">
            <w:pPr>
              <w:ind w:firstLine="0"/>
              <w:jc w:val="left"/>
              <w:rPr>
                <w:rFonts w:eastAsia="Times New Roman"/>
                <w:color w:val="000000"/>
                <w:sz w:val="20"/>
                <w:szCs w:val="20"/>
                <w:lang w:eastAsia="ru-RU"/>
              </w:rPr>
            </w:pPr>
            <w:r w:rsidRPr="00884D85">
              <w:rPr>
                <w:rFonts w:eastAsia="Times New Roman"/>
                <w:color w:val="000000"/>
                <w:sz w:val="20"/>
                <w:szCs w:val="20"/>
                <w:lang w:eastAsia="ru-RU"/>
              </w:rPr>
              <w:t>RTSeu</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494" w:rsidRPr="00884D85" w:rsidRDefault="004C1494" w:rsidP="00AF531F">
            <w:pPr>
              <w:ind w:firstLine="0"/>
              <w:jc w:val="left"/>
              <w:rPr>
                <w:rFonts w:eastAsia="Times New Roman"/>
                <w:color w:val="000000"/>
                <w:sz w:val="20"/>
                <w:szCs w:val="20"/>
                <w:lang w:eastAsia="ru-RU"/>
              </w:rPr>
            </w:pPr>
            <w:r w:rsidRPr="00884D85">
              <w:rPr>
                <w:rFonts w:eastAsia="Times New Roman"/>
                <w:color w:val="000000"/>
                <w:sz w:val="20"/>
                <w:szCs w:val="20"/>
                <w:lang w:eastAsia="ru-RU"/>
              </w:rPr>
              <w:t>15.09.2006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884D85" w:rsidRDefault="004C1494" w:rsidP="00AF531F">
            <w:pPr>
              <w:ind w:firstLine="0"/>
              <w:jc w:val="right"/>
              <w:rPr>
                <w:rFonts w:eastAsia="Times New Roman"/>
                <w:color w:val="000000"/>
                <w:sz w:val="20"/>
                <w:szCs w:val="20"/>
                <w:lang w:eastAsia="ru-RU"/>
              </w:rPr>
            </w:pPr>
            <w:r w:rsidRPr="00884D85">
              <w:rPr>
                <w:rFonts w:eastAsia="Times New Roman"/>
                <w:color w:val="000000"/>
                <w:sz w:val="20"/>
                <w:szCs w:val="20"/>
                <w:lang w:eastAsia="ru-RU"/>
              </w:rPr>
              <w:t>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884D85" w:rsidRDefault="004C1494" w:rsidP="00AF531F">
            <w:pPr>
              <w:ind w:firstLine="0"/>
              <w:jc w:val="right"/>
              <w:rPr>
                <w:rFonts w:eastAsia="Times New Roman"/>
                <w:color w:val="000000"/>
                <w:sz w:val="20"/>
                <w:szCs w:val="20"/>
                <w:lang w:eastAsia="ru-RU"/>
              </w:rPr>
            </w:pPr>
            <w:r w:rsidRPr="00884D85">
              <w:rPr>
                <w:rFonts w:eastAsia="Times New Roman"/>
                <w:color w:val="000000"/>
                <w:sz w:val="20"/>
                <w:szCs w:val="20"/>
                <w:lang w:eastAsia="ru-RU"/>
              </w:rPr>
              <w:t>6,03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494" w:rsidRPr="00884D85" w:rsidRDefault="004C1494" w:rsidP="00AF531F">
            <w:pPr>
              <w:ind w:firstLine="0"/>
              <w:jc w:val="right"/>
              <w:rPr>
                <w:rFonts w:eastAsia="Times New Roman"/>
                <w:color w:val="000000"/>
                <w:sz w:val="20"/>
                <w:szCs w:val="20"/>
                <w:lang w:eastAsia="ru-RU"/>
              </w:rPr>
            </w:pPr>
            <w:r w:rsidRPr="00884D85">
              <w:rPr>
                <w:rFonts w:eastAsia="Times New Roman"/>
                <w:color w:val="000000"/>
                <w:sz w:val="20"/>
                <w:szCs w:val="20"/>
                <w:lang w:eastAsia="ru-RU"/>
              </w:rPr>
              <w:t>4,67</w:t>
            </w:r>
          </w:p>
        </w:tc>
      </w:tr>
    </w:tbl>
    <w:p w:rsidR="004C1494" w:rsidRPr="004761E0" w:rsidRDefault="004C1494" w:rsidP="004C1494">
      <w:pPr>
        <w:spacing w:before="120" w:after="120"/>
        <w:ind w:firstLine="567"/>
      </w:pPr>
      <w:r w:rsidRPr="004761E0">
        <w:rPr>
          <w:b/>
          <w:sz w:val="26"/>
          <w:szCs w:val="26"/>
        </w:rPr>
        <w:t>Итоги торгов на фондовой бирже ММВБ</w:t>
      </w:r>
      <w:r w:rsidRPr="006F4AB8">
        <w:rPr>
          <w:rStyle w:val="af1"/>
        </w:rPr>
        <w:footnoteReference w:id="109"/>
      </w:r>
    </w:p>
    <w:tbl>
      <w:tblPr>
        <w:tblW w:w="9513" w:type="dxa"/>
        <w:tblInd w:w="93" w:type="dxa"/>
        <w:tblLayout w:type="fixed"/>
        <w:tblLook w:val="04A0"/>
      </w:tblPr>
      <w:tblGrid>
        <w:gridCol w:w="582"/>
        <w:gridCol w:w="5245"/>
        <w:gridCol w:w="851"/>
        <w:gridCol w:w="850"/>
        <w:gridCol w:w="851"/>
        <w:gridCol w:w="1134"/>
      </w:tblGrid>
      <w:tr w:rsidR="004C1494" w:rsidRPr="004761E0" w:rsidTr="004C1494">
        <w:trPr>
          <w:trHeight w:val="56"/>
        </w:trPr>
        <w:tc>
          <w:tcPr>
            <w:tcW w:w="582" w:type="dxa"/>
            <w:tcBorders>
              <w:top w:val="single" w:sz="4" w:space="0" w:color="auto"/>
              <w:left w:val="nil"/>
              <w:bottom w:val="single" w:sz="4" w:space="0" w:color="auto"/>
              <w:right w:val="single" w:sz="4" w:space="0" w:color="FFFFFF" w:themeColor="background1"/>
            </w:tcBorders>
            <w:shd w:val="clear" w:color="auto" w:fill="0F243E" w:themeFill="text2" w:themeFillShade="80"/>
            <w:vAlign w:val="center"/>
            <w:hideMark/>
          </w:tcPr>
          <w:p w:rsidR="004C1494" w:rsidRPr="004761E0" w:rsidRDefault="004C1494" w:rsidP="004C1494">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5245" w:type="dxa"/>
            <w:tcBorders>
              <w:top w:val="single" w:sz="4" w:space="0" w:color="auto"/>
              <w:left w:val="single" w:sz="4" w:space="0" w:color="FFFFFF" w:themeColor="background1"/>
              <w:bottom w:val="nil"/>
              <w:right w:val="single" w:sz="4" w:space="0" w:color="FFFFFF" w:themeColor="background1"/>
            </w:tcBorders>
            <w:shd w:val="clear" w:color="auto" w:fill="0F243E" w:themeFill="text2" w:themeFillShade="80"/>
            <w:vAlign w:val="center"/>
            <w:hideMark/>
          </w:tcPr>
          <w:p w:rsidR="004C1494" w:rsidRPr="004761E0" w:rsidRDefault="004C1494" w:rsidP="004C1494">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85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C1494" w:rsidRPr="004761E0" w:rsidRDefault="004C1494" w:rsidP="004C1494">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85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C1494" w:rsidRPr="004761E0" w:rsidRDefault="004C1494" w:rsidP="004C1494">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85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C1494" w:rsidRPr="004761E0" w:rsidRDefault="004C1494" w:rsidP="004C1494">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4C1494" w:rsidRPr="004761E0" w:rsidRDefault="004C1494" w:rsidP="004C1494">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4245B5" w:rsidRPr="004761E0" w:rsidTr="004C1494">
        <w:trPr>
          <w:trHeight w:val="56"/>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7076A7">
            <w:pPr>
              <w:pStyle w:val="a5"/>
              <w:numPr>
                <w:ilvl w:val="0"/>
                <w:numId w:val="63"/>
              </w:numPr>
              <w:rPr>
                <w:rFonts w:eastAsia="Times New Roman"/>
                <w:color w:val="000000"/>
                <w:sz w:val="20"/>
                <w:szCs w:val="20"/>
                <w:lang w:eastAsia="ru-RU"/>
              </w:rPr>
            </w:pP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4245B5" w:rsidRPr="004245B5" w:rsidRDefault="004245B5" w:rsidP="004245B5">
            <w:pPr>
              <w:ind w:firstLine="0"/>
              <w:rPr>
                <w:rFonts w:eastAsiaTheme="minorHAnsi"/>
                <w:sz w:val="20"/>
                <w:szCs w:val="20"/>
              </w:rPr>
            </w:pPr>
            <w:r w:rsidRPr="004245B5">
              <w:rPr>
                <w:sz w:val="20"/>
                <w:szCs w:val="20"/>
              </w:rPr>
              <w:t>Минимальная цена акций за год, руб.</w:t>
            </w:r>
          </w:p>
        </w:tc>
        <w:tc>
          <w:tcPr>
            <w:tcW w:w="851" w:type="dxa"/>
            <w:tcBorders>
              <w:top w:val="nil"/>
              <w:left w:val="nil"/>
              <w:bottom w:val="single" w:sz="4" w:space="0" w:color="auto"/>
              <w:right w:val="single" w:sz="4" w:space="0" w:color="auto"/>
            </w:tcBorders>
            <w:shd w:val="clear" w:color="auto" w:fill="auto"/>
            <w:vAlign w:val="center"/>
            <w:hideMark/>
          </w:tcPr>
          <w:p w:rsidR="004245B5" w:rsidRPr="004245B5" w:rsidRDefault="004245B5" w:rsidP="004245B5">
            <w:pPr>
              <w:ind w:firstLine="0"/>
              <w:jc w:val="right"/>
              <w:rPr>
                <w:rFonts w:eastAsiaTheme="minorHAnsi"/>
                <w:sz w:val="20"/>
                <w:szCs w:val="20"/>
              </w:rPr>
            </w:pPr>
            <w:r w:rsidRPr="004245B5">
              <w:rPr>
                <w:sz w:val="20"/>
                <w:szCs w:val="20"/>
              </w:rPr>
              <w:t>1,</w:t>
            </w:r>
            <w:r w:rsidRPr="004245B5">
              <w:rPr>
                <w:sz w:val="20"/>
                <w:szCs w:val="20"/>
                <w:lang w:val="en-US"/>
              </w:rPr>
              <w:t>5</w:t>
            </w:r>
            <w:r w:rsidRPr="004245B5">
              <w:rPr>
                <w:sz w:val="20"/>
                <w:szCs w:val="20"/>
              </w:rPr>
              <w:t>70</w:t>
            </w:r>
          </w:p>
        </w:tc>
        <w:tc>
          <w:tcPr>
            <w:tcW w:w="850" w:type="dxa"/>
            <w:tcBorders>
              <w:top w:val="nil"/>
              <w:left w:val="nil"/>
              <w:bottom w:val="single" w:sz="4" w:space="0" w:color="auto"/>
              <w:right w:val="single" w:sz="4" w:space="0" w:color="auto"/>
            </w:tcBorders>
            <w:shd w:val="clear" w:color="auto" w:fill="auto"/>
            <w:vAlign w:val="center"/>
            <w:hideMark/>
          </w:tcPr>
          <w:p w:rsidR="004245B5" w:rsidRPr="004245B5" w:rsidRDefault="004245B5" w:rsidP="004245B5">
            <w:pPr>
              <w:ind w:firstLine="0"/>
              <w:jc w:val="right"/>
              <w:rPr>
                <w:rFonts w:eastAsiaTheme="minorHAnsi"/>
                <w:sz w:val="20"/>
                <w:szCs w:val="20"/>
                <w:lang w:val="en-US"/>
              </w:rPr>
            </w:pPr>
            <w:r w:rsidRPr="004245B5">
              <w:rPr>
                <w:sz w:val="20"/>
                <w:szCs w:val="20"/>
              </w:rPr>
              <w:t>1,</w:t>
            </w:r>
            <w:r w:rsidRPr="004245B5">
              <w:rPr>
                <w:sz w:val="20"/>
                <w:szCs w:val="20"/>
                <w:lang w:val="en-US"/>
              </w:rPr>
              <w:t>481</w:t>
            </w:r>
          </w:p>
        </w:tc>
        <w:tc>
          <w:tcPr>
            <w:tcW w:w="851" w:type="dxa"/>
            <w:tcBorders>
              <w:top w:val="nil"/>
              <w:left w:val="nil"/>
              <w:bottom w:val="single" w:sz="4" w:space="0" w:color="auto"/>
              <w:right w:val="single" w:sz="4" w:space="0" w:color="auto"/>
            </w:tcBorders>
            <w:shd w:val="clear" w:color="auto" w:fill="auto"/>
            <w:vAlign w:val="center"/>
            <w:hideMark/>
          </w:tcPr>
          <w:p w:rsidR="004245B5" w:rsidRPr="004245B5" w:rsidRDefault="004245B5" w:rsidP="004245B5">
            <w:pPr>
              <w:ind w:firstLine="0"/>
              <w:jc w:val="right"/>
              <w:rPr>
                <w:rFonts w:eastAsiaTheme="minorHAnsi"/>
                <w:sz w:val="20"/>
                <w:szCs w:val="20"/>
              </w:rPr>
            </w:pPr>
            <w:r w:rsidRPr="004245B5">
              <w:rPr>
                <w:sz w:val="20"/>
                <w:szCs w:val="20"/>
              </w:rPr>
              <w:t>1,079</w:t>
            </w:r>
          </w:p>
        </w:tc>
        <w:tc>
          <w:tcPr>
            <w:tcW w:w="1134" w:type="dxa"/>
            <w:tcBorders>
              <w:top w:val="nil"/>
              <w:left w:val="nil"/>
              <w:bottom w:val="single" w:sz="4" w:space="0" w:color="auto"/>
              <w:right w:val="single" w:sz="4" w:space="0" w:color="auto"/>
            </w:tcBorders>
            <w:shd w:val="clear" w:color="auto" w:fill="auto"/>
            <w:vAlign w:val="center"/>
            <w:hideMark/>
          </w:tcPr>
          <w:p w:rsidR="004245B5" w:rsidRPr="004245B5" w:rsidRDefault="004245B5" w:rsidP="004245B5">
            <w:pPr>
              <w:ind w:firstLine="0"/>
              <w:jc w:val="right"/>
              <w:rPr>
                <w:rFonts w:eastAsiaTheme="minorHAnsi"/>
                <w:sz w:val="20"/>
                <w:szCs w:val="20"/>
              </w:rPr>
            </w:pPr>
            <w:r w:rsidRPr="004245B5">
              <w:rPr>
                <w:sz w:val="20"/>
                <w:szCs w:val="20"/>
              </w:rPr>
              <w:t>-</w:t>
            </w:r>
            <w:r w:rsidRPr="004245B5">
              <w:rPr>
                <w:sz w:val="20"/>
                <w:szCs w:val="20"/>
                <w:lang w:val="en-US"/>
              </w:rPr>
              <w:t>27</w:t>
            </w:r>
            <w:r w:rsidRPr="004245B5">
              <w:rPr>
                <w:sz w:val="20"/>
                <w:szCs w:val="20"/>
              </w:rPr>
              <w:t>,</w:t>
            </w:r>
            <w:r w:rsidRPr="004245B5">
              <w:rPr>
                <w:sz w:val="20"/>
                <w:szCs w:val="20"/>
                <w:lang w:val="en-US"/>
              </w:rPr>
              <w:t>1</w:t>
            </w:r>
            <w:r w:rsidRPr="004245B5">
              <w:rPr>
                <w:sz w:val="20"/>
                <w:szCs w:val="20"/>
              </w:rPr>
              <w:t xml:space="preserve"> %</w:t>
            </w:r>
          </w:p>
        </w:tc>
      </w:tr>
      <w:tr w:rsidR="004245B5" w:rsidRPr="004761E0" w:rsidTr="004C1494">
        <w:trPr>
          <w:trHeight w:val="56"/>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7076A7">
            <w:pPr>
              <w:pStyle w:val="a5"/>
              <w:numPr>
                <w:ilvl w:val="0"/>
                <w:numId w:val="63"/>
              </w:numPr>
              <w:rPr>
                <w:rFonts w:eastAsia="Times New Roman"/>
                <w:color w:val="000000"/>
                <w:sz w:val="20"/>
                <w:szCs w:val="20"/>
                <w:lang w:eastAsia="ru-RU"/>
              </w:rPr>
            </w:pPr>
          </w:p>
        </w:tc>
        <w:tc>
          <w:tcPr>
            <w:tcW w:w="5245" w:type="dxa"/>
            <w:tcBorders>
              <w:top w:val="nil"/>
              <w:left w:val="nil"/>
              <w:bottom w:val="single" w:sz="4" w:space="0" w:color="auto"/>
              <w:right w:val="single" w:sz="4" w:space="0" w:color="auto"/>
            </w:tcBorders>
            <w:shd w:val="clear" w:color="auto" w:fill="auto"/>
            <w:vAlign w:val="center"/>
            <w:hideMark/>
          </w:tcPr>
          <w:p w:rsidR="004245B5" w:rsidRPr="004245B5" w:rsidRDefault="004245B5" w:rsidP="004245B5">
            <w:pPr>
              <w:ind w:firstLine="0"/>
              <w:rPr>
                <w:rFonts w:eastAsiaTheme="minorHAnsi"/>
                <w:sz w:val="20"/>
                <w:szCs w:val="20"/>
              </w:rPr>
            </w:pPr>
            <w:r w:rsidRPr="004245B5">
              <w:rPr>
                <w:sz w:val="20"/>
                <w:szCs w:val="20"/>
              </w:rPr>
              <w:t>Максимальная цена акций за год, руб.</w:t>
            </w:r>
          </w:p>
        </w:tc>
        <w:tc>
          <w:tcPr>
            <w:tcW w:w="851" w:type="dxa"/>
            <w:tcBorders>
              <w:top w:val="nil"/>
              <w:left w:val="nil"/>
              <w:bottom w:val="single" w:sz="4" w:space="0" w:color="auto"/>
              <w:right w:val="single" w:sz="4" w:space="0" w:color="auto"/>
            </w:tcBorders>
            <w:shd w:val="clear" w:color="auto" w:fill="auto"/>
            <w:vAlign w:val="center"/>
            <w:hideMark/>
          </w:tcPr>
          <w:p w:rsidR="004245B5" w:rsidRPr="004245B5" w:rsidRDefault="004245B5" w:rsidP="004245B5">
            <w:pPr>
              <w:ind w:firstLine="0"/>
              <w:jc w:val="right"/>
              <w:rPr>
                <w:rFonts w:eastAsiaTheme="minorHAnsi"/>
                <w:sz w:val="20"/>
                <w:szCs w:val="20"/>
              </w:rPr>
            </w:pPr>
            <w:r w:rsidRPr="004245B5">
              <w:rPr>
                <w:sz w:val="20"/>
                <w:szCs w:val="20"/>
              </w:rPr>
              <w:t>1,760</w:t>
            </w:r>
          </w:p>
        </w:tc>
        <w:tc>
          <w:tcPr>
            <w:tcW w:w="850" w:type="dxa"/>
            <w:tcBorders>
              <w:top w:val="nil"/>
              <w:left w:val="nil"/>
              <w:bottom w:val="single" w:sz="4" w:space="0" w:color="auto"/>
              <w:right w:val="single" w:sz="4" w:space="0" w:color="auto"/>
            </w:tcBorders>
            <w:shd w:val="clear" w:color="auto" w:fill="auto"/>
            <w:vAlign w:val="center"/>
            <w:hideMark/>
          </w:tcPr>
          <w:p w:rsidR="004245B5" w:rsidRPr="004245B5" w:rsidRDefault="004245B5" w:rsidP="004245B5">
            <w:pPr>
              <w:ind w:firstLine="0"/>
              <w:jc w:val="right"/>
              <w:rPr>
                <w:rFonts w:eastAsiaTheme="minorHAnsi"/>
                <w:sz w:val="20"/>
                <w:szCs w:val="20"/>
                <w:lang w:val="en-US"/>
              </w:rPr>
            </w:pPr>
            <w:r w:rsidRPr="004245B5">
              <w:rPr>
                <w:sz w:val="20"/>
                <w:szCs w:val="20"/>
              </w:rPr>
              <w:t>1,</w:t>
            </w:r>
            <w:r w:rsidRPr="004245B5">
              <w:rPr>
                <w:sz w:val="20"/>
                <w:szCs w:val="20"/>
                <w:lang w:val="en-US"/>
              </w:rPr>
              <w:t>520</w:t>
            </w:r>
          </w:p>
        </w:tc>
        <w:tc>
          <w:tcPr>
            <w:tcW w:w="851" w:type="dxa"/>
            <w:tcBorders>
              <w:top w:val="nil"/>
              <w:left w:val="nil"/>
              <w:bottom w:val="single" w:sz="4" w:space="0" w:color="auto"/>
              <w:right w:val="single" w:sz="4" w:space="0" w:color="auto"/>
            </w:tcBorders>
            <w:shd w:val="clear" w:color="auto" w:fill="auto"/>
            <w:vAlign w:val="center"/>
            <w:hideMark/>
          </w:tcPr>
          <w:p w:rsidR="004245B5" w:rsidRPr="004245B5" w:rsidRDefault="004245B5" w:rsidP="004245B5">
            <w:pPr>
              <w:ind w:firstLine="0"/>
              <w:jc w:val="right"/>
              <w:rPr>
                <w:rFonts w:eastAsiaTheme="minorHAnsi"/>
                <w:sz w:val="20"/>
                <w:szCs w:val="20"/>
                <w:lang w:val="en-US"/>
              </w:rPr>
            </w:pPr>
            <w:r w:rsidRPr="004245B5">
              <w:rPr>
                <w:sz w:val="20"/>
                <w:szCs w:val="20"/>
              </w:rPr>
              <w:t>1,</w:t>
            </w:r>
            <w:r w:rsidRPr="004245B5">
              <w:rPr>
                <w:sz w:val="20"/>
                <w:szCs w:val="20"/>
                <w:lang w:val="en-US"/>
              </w:rPr>
              <w:t>789</w:t>
            </w:r>
          </w:p>
        </w:tc>
        <w:tc>
          <w:tcPr>
            <w:tcW w:w="1134" w:type="dxa"/>
            <w:tcBorders>
              <w:top w:val="nil"/>
              <w:left w:val="nil"/>
              <w:bottom w:val="single" w:sz="4" w:space="0" w:color="auto"/>
              <w:right w:val="single" w:sz="4" w:space="0" w:color="auto"/>
            </w:tcBorders>
            <w:shd w:val="clear" w:color="auto" w:fill="auto"/>
            <w:vAlign w:val="center"/>
            <w:hideMark/>
          </w:tcPr>
          <w:p w:rsidR="004245B5" w:rsidRPr="004245B5" w:rsidRDefault="004245B5" w:rsidP="004245B5">
            <w:pPr>
              <w:ind w:firstLine="0"/>
              <w:jc w:val="right"/>
              <w:rPr>
                <w:rFonts w:eastAsiaTheme="minorHAnsi"/>
                <w:sz w:val="20"/>
                <w:szCs w:val="20"/>
              </w:rPr>
            </w:pPr>
            <w:r w:rsidRPr="004245B5">
              <w:rPr>
                <w:sz w:val="20"/>
                <w:szCs w:val="20"/>
                <w:lang w:val="en-US"/>
              </w:rPr>
              <w:t>17</w:t>
            </w:r>
            <w:r w:rsidRPr="004245B5">
              <w:rPr>
                <w:sz w:val="20"/>
                <w:szCs w:val="20"/>
              </w:rPr>
              <w:t>,</w:t>
            </w:r>
            <w:r w:rsidRPr="004245B5">
              <w:rPr>
                <w:sz w:val="20"/>
                <w:szCs w:val="20"/>
                <w:lang w:val="en-US"/>
              </w:rPr>
              <w:t>7</w:t>
            </w:r>
            <w:r w:rsidRPr="004245B5">
              <w:rPr>
                <w:sz w:val="20"/>
                <w:szCs w:val="20"/>
              </w:rPr>
              <w:t xml:space="preserve"> %</w:t>
            </w:r>
          </w:p>
        </w:tc>
      </w:tr>
      <w:tr w:rsidR="004245B5" w:rsidRPr="004761E0" w:rsidTr="004C1494">
        <w:trPr>
          <w:trHeight w:val="56"/>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7076A7">
            <w:pPr>
              <w:pStyle w:val="a5"/>
              <w:numPr>
                <w:ilvl w:val="0"/>
                <w:numId w:val="63"/>
              </w:numPr>
              <w:rPr>
                <w:rFonts w:eastAsia="Times New Roman"/>
                <w:color w:val="000000"/>
                <w:sz w:val="20"/>
                <w:szCs w:val="20"/>
                <w:lang w:eastAsia="ru-RU"/>
              </w:rPr>
            </w:pPr>
          </w:p>
        </w:tc>
        <w:tc>
          <w:tcPr>
            <w:tcW w:w="5245" w:type="dxa"/>
            <w:tcBorders>
              <w:top w:val="nil"/>
              <w:left w:val="nil"/>
              <w:bottom w:val="single" w:sz="4" w:space="0" w:color="auto"/>
              <w:right w:val="single" w:sz="4" w:space="0" w:color="auto"/>
            </w:tcBorders>
            <w:shd w:val="clear" w:color="auto" w:fill="auto"/>
            <w:vAlign w:val="center"/>
            <w:hideMark/>
          </w:tcPr>
          <w:p w:rsidR="004245B5" w:rsidRPr="004245B5" w:rsidRDefault="004245B5" w:rsidP="004245B5">
            <w:pPr>
              <w:ind w:firstLine="0"/>
              <w:rPr>
                <w:rFonts w:eastAsiaTheme="minorHAnsi"/>
                <w:sz w:val="20"/>
                <w:szCs w:val="20"/>
              </w:rPr>
            </w:pPr>
            <w:r w:rsidRPr="004245B5">
              <w:rPr>
                <w:sz w:val="20"/>
                <w:szCs w:val="20"/>
              </w:rPr>
              <w:t>Цена закрытия на последний торговый день года, руб.</w:t>
            </w:r>
          </w:p>
        </w:tc>
        <w:tc>
          <w:tcPr>
            <w:tcW w:w="851" w:type="dxa"/>
            <w:tcBorders>
              <w:top w:val="nil"/>
              <w:left w:val="nil"/>
              <w:bottom w:val="single" w:sz="4" w:space="0" w:color="auto"/>
              <w:right w:val="single" w:sz="4" w:space="0" w:color="auto"/>
            </w:tcBorders>
            <w:shd w:val="clear" w:color="auto" w:fill="auto"/>
            <w:vAlign w:val="center"/>
            <w:hideMark/>
          </w:tcPr>
          <w:p w:rsidR="004245B5" w:rsidRPr="004245B5" w:rsidRDefault="004245B5" w:rsidP="004245B5">
            <w:pPr>
              <w:ind w:firstLine="0"/>
              <w:jc w:val="right"/>
              <w:rPr>
                <w:rFonts w:eastAsiaTheme="minorHAnsi"/>
                <w:sz w:val="20"/>
                <w:szCs w:val="20"/>
              </w:rPr>
            </w:pPr>
            <w:r w:rsidRPr="004245B5">
              <w:rPr>
                <w:sz w:val="20"/>
                <w:szCs w:val="20"/>
              </w:rPr>
              <w:t>1,600</w:t>
            </w:r>
          </w:p>
        </w:tc>
        <w:tc>
          <w:tcPr>
            <w:tcW w:w="850" w:type="dxa"/>
            <w:tcBorders>
              <w:top w:val="nil"/>
              <w:left w:val="nil"/>
              <w:bottom w:val="single" w:sz="4" w:space="0" w:color="auto"/>
              <w:right w:val="single" w:sz="4" w:space="0" w:color="auto"/>
            </w:tcBorders>
            <w:shd w:val="clear" w:color="auto" w:fill="auto"/>
            <w:vAlign w:val="center"/>
            <w:hideMark/>
          </w:tcPr>
          <w:p w:rsidR="004245B5" w:rsidRPr="004245B5" w:rsidRDefault="004245B5" w:rsidP="004245B5">
            <w:pPr>
              <w:ind w:firstLine="0"/>
              <w:jc w:val="right"/>
              <w:rPr>
                <w:rFonts w:eastAsiaTheme="minorHAnsi"/>
                <w:sz w:val="20"/>
                <w:szCs w:val="20"/>
              </w:rPr>
            </w:pPr>
            <w:r w:rsidRPr="004245B5">
              <w:rPr>
                <w:sz w:val="20"/>
                <w:szCs w:val="20"/>
              </w:rPr>
              <w:t>1,510</w:t>
            </w:r>
          </w:p>
        </w:tc>
        <w:tc>
          <w:tcPr>
            <w:tcW w:w="851" w:type="dxa"/>
            <w:tcBorders>
              <w:top w:val="nil"/>
              <w:left w:val="nil"/>
              <w:bottom w:val="single" w:sz="4" w:space="0" w:color="auto"/>
              <w:right w:val="single" w:sz="4" w:space="0" w:color="auto"/>
            </w:tcBorders>
            <w:shd w:val="clear" w:color="auto" w:fill="auto"/>
            <w:vAlign w:val="center"/>
            <w:hideMark/>
          </w:tcPr>
          <w:p w:rsidR="004245B5" w:rsidRPr="004245B5" w:rsidRDefault="004245B5" w:rsidP="004245B5">
            <w:pPr>
              <w:ind w:firstLine="0"/>
              <w:jc w:val="right"/>
              <w:rPr>
                <w:rFonts w:eastAsiaTheme="minorHAnsi"/>
                <w:sz w:val="20"/>
                <w:szCs w:val="20"/>
              </w:rPr>
            </w:pPr>
            <w:r w:rsidRPr="004245B5">
              <w:rPr>
                <w:sz w:val="20"/>
                <w:szCs w:val="20"/>
              </w:rPr>
              <w:t>1,389</w:t>
            </w:r>
          </w:p>
        </w:tc>
        <w:tc>
          <w:tcPr>
            <w:tcW w:w="1134" w:type="dxa"/>
            <w:tcBorders>
              <w:top w:val="nil"/>
              <w:left w:val="nil"/>
              <w:bottom w:val="single" w:sz="4" w:space="0" w:color="auto"/>
              <w:right w:val="single" w:sz="4" w:space="0" w:color="auto"/>
            </w:tcBorders>
            <w:shd w:val="clear" w:color="auto" w:fill="auto"/>
            <w:vAlign w:val="center"/>
            <w:hideMark/>
          </w:tcPr>
          <w:p w:rsidR="004245B5" w:rsidRPr="004245B5" w:rsidRDefault="004245B5" w:rsidP="004245B5">
            <w:pPr>
              <w:ind w:firstLine="0"/>
              <w:jc w:val="right"/>
              <w:rPr>
                <w:rFonts w:eastAsiaTheme="minorHAnsi"/>
                <w:sz w:val="20"/>
                <w:szCs w:val="20"/>
              </w:rPr>
            </w:pPr>
            <w:r w:rsidRPr="004245B5">
              <w:rPr>
                <w:sz w:val="20"/>
                <w:szCs w:val="20"/>
              </w:rPr>
              <w:t>-8,0 %</w:t>
            </w:r>
          </w:p>
        </w:tc>
      </w:tr>
      <w:tr w:rsidR="004245B5" w:rsidRPr="004761E0" w:rsidTr="004C1494">
        <w:trPr>
          <w:trHeight w:val="56"/>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7076A7">
            <w:pPr>
              <w:pStyle w:val="a5"/>
              <w:numPr>
                <w:ilvl w:val="0"/>
                <w:numId w:val="63"/>
              </w:numPr>
              <w:rPr>
                <w:rFonts w:eastAsia="Times New Roman"/>
                <w:color w:val="000000"/>
                <w:sz w:val="20"/>
                <w:szCs w:val="20"/>
                <w:lang w:eastAsia="ru-RU"/>
              </w:rPr>
            </w:pPr>
          </w:p>
        </w:tc>
        <w:tc>
          <w:tcPr>
            <w:tcW w:w="5245" w:type="dxa"/>
            <w:tcBorders>
              <w:top w:val="nil"/>
              <w:left w:val="nil"/>
              <w:bottom w:val="single" w:sz="4" w:space="0" w:color="auto"/>
              <w:right w:val="single" w:sz="4" w:space="0" w:color="auto"/>
            </w:tcBorders>
            <w:shd w:val="clear" w:color="auto" w:fill="auto"/>
            <w:vAlign w:val="center"/>
            <w:hideMark/>
          </w:tcPr>
          <w:p w:rsidR="004245B5" w:rsidRPr="004245B5" w:rsidRDefault="004245B5" w:rsidP="004245B5">
            <w:pPr>
              <w:ind w:firstLine="0"/>
              <w:rPr>
                <w:rFonts w:eastAsiaTheme="minorHAnsi"/>
                <w:sz w:val="20"/>
                <w:szCs w:val="20"/>
              </w:rPr>
            </w:pPr>
            <w:r w:rsidRPr="004245B5">
              <w:rPr>
                <w:sz w:val="20"/>
                <w:szCs w:val="20"/>
              </w:rPr>
              <w:t>Средневзвешенная цена за год</w:t>
            </w:r>
            <w:r w:rsidRPr="006F4AB8">
              <w:rPr>
                <w:rStyle w:val="af1"/>
              </w:rPr>
              <w:footnoteReference w:id="110"/>
            </w:r>
            <w:r w:rsidRPr="004245B5">
              <w:rPr>
                <w:sz w:val="20"/>
                <w:szCs w:val="20"/>
              </w:rPr>
              <w:t>, руб.</w:t>
            </w:r>
          </w:p>
        </w:tc>
        <w:tc>
          <w:tcPr>
            <w:tcW w:w="851" w:type="dxa"/>
            <w:tcBorders>
              <w:top w:val="nil"/>
              <w:left w:val="nil"/>
              <w:bottom w:val="single" w:sz="4" w:space="0" w:color="auto"/>
              <w:right w:val="single" w:sz="4" w:space="0" w:color="auto"/>
            </w:tcBorders>
            <w:shd w:val="clear" w:color="auto" w:fill="auto"/>
            <w:vAlign w:val="center"/>
            <w:hideMark/>
          </w:tcPr>
          <w:p w:rsidR="004245B5" w:rsidRPr="004245B5" w:rsidRDefault="004245B5" w:rsidP="004245B5">
            <w:pPr>
              <w:ind w:firstLine="0"/>
              <w:jc w:val="right"/>
              <w:rPr>
                <w:rFonts w:eastAsiaTheme="minorHAnsi"/>
                <w:sz w:val="20"/>
                <w:szCs w:val="20"/>
              </w:rPr>
            </w:pPr>
            <w:r w:rsidRPr="004245B5">
              <w:rPr>
                <w:sz w:val="20"/>
                <w:szCs w:val="20"/>
              </w:rPr>
              <w:t>1,549</w:t>
            </w:r>
          </w:p>
        </w:tc>
        <w:tc>
          <w:tcPr>
            <w:tcW w:w="850" w:type="dxa"/>
            <w:tcBorders>
              <w:top w:val="nil"/>
              <w:left w:val="nil"/>
              <w:bottom w:val="single" w:sz="4" w:space="0" w:color="auto"/>
              <w:right w:val="single" w:sz="4" w:space="0" w:color="auto"/>
            </w:tcBorders>
            <w:shd w:val="clear" w:color="auto" w:fill="auto"/>
            <w:vAlign w:val="center"/>
            <w:hideMark/>
          </w:tcPr>
          <w:p w:rsidR="004245B5" w:rsidRPr="004245B5" w:rsidRDefault="004245B5" w:rsidP="004245B5">
            <w:pPr>
              <w:ind w:firstLine="0"/>
              <w:jc w:val="right"/>
              <w:rPr>
                <w:rFonts w:eastAsiaTheme="minorHAnsi"/>
                <w:sz w:val="20"/>
                <w:szCs w:val="20"/>
              </w:rPr>
            </w:pPr>
            <w:r w:rsidRPr="004245B5">
              <w:rPr>
                <w:sz w:val="20"/>
                <w:szCs w:val="20"/>
              </w:rPr>
              <w:t>1,453</w:t>
            </w:r>
          </w:p>
        </w:tc>
        <w:tc>
          <w:tcPr>
            <w:tcW w:w="851" w:type="dxa"/>
            <w:tcBorders>
              <w:top w:val="nil"/>
              <w:left w:val="nil"/>
              <w:bottom w:val="single" w:sz="4" w:space="0" w:color="auto"/>
              <w:right w:val="single" w:sz="4" w:space="0" w:color="auto"/>
            </w:tcBorders>
            <w:shd w:val="clear" w:color="auto" w:fill="auto"/>
            <w:vAlign w:val="center"/>
            <w:hideMark/>
          </w:tcPr>
          <w:p w:rsidR="004245B5" w:rsidRPr="004245B5" w:rsidRDefault="004245B5" w:rsidP="004245B5">
            <w:pPr>
              <w:ind w:firstLine="0"/>
              <w:jc w:val="right"/>
              <w:rPr>
                <w:rFonts w:eastAsiaTheme="minorHAnsi"/>
                <w:sz w:val="20"/>
                <w:szCs w:val="20"/>
              </w:rPr>
            </w:pPr>
            <w:r w:rsidRPr="004245B5">
              <w:rPr>
                <w:sz w:val="20"/>
                <w:szCs w:val="20"/>
              </w:rPr>
              <w:t>1,196</w:t>
            </w:r>
          </w:p>
        </w:tc>
        <w:tc>
          <w:tcPr>
            <w:tcW w:w="1134" w:type="dxa"/>
            <w:tcBorders>
              <w:top w:val="nil"/>
              <w:left w:val="nil"/>
              <w:bottom w:val="single" w:sz="4" w:space="0" w:color="auto"/>
              <w:right w:val="single" w:sz="4" w:space="0" w:color="auto"/>
            </w:tcBorders>
            <w:shd w:val="clear" w:color="auto" w:fill="auto"/>
            <w:vAlign w:val="center"/>
            <w:hideMark/>
          </w:tcPr>
          <w:p w:rsidR="004245B5" w:rsidRPr="004245B5" w:rsidRDefault="004245B5" w:rsidP="004245B5">
            <w:pPr>
              <w:ind w:firstLine="0"/>
              <w:jc w:val="right"/>
              <w:rPr>
                <w:rFonts w:eastAsiaTheme="minorHAnsi"/>
                <w:sz w:val="20"/>
                <w:szCs w:val="20"/>
              </w:rPr>
            </w:pPr>
            <w:r w:rsidRPr="004245B5">
              <w:rPr>
                <w:sz w:val="20"/>
                <w:szCs w:val="20"/>
              </w:rPr>
              <w:t>-17,7 %</w:t>
            </w:r>
          </w:p>
        </w:tc>
      </w:tr>
      <w:tr w:rsidR="004245B5" w:rsidRPr="004761E0" w:rsidTr="004C1494">
        <w:trPr>
          <w:trHeight w:val="56"/>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7076A7">
            <w:pPr>
              <w:pStyle w:val="a5"/>
              <w:numPr>
                <w:ilvl w:val="0"/>
                <w:numId w:val="63"/>
              </w:numPr>
              <w:rPr>
                <w:rFonts w:eastAsia="Times New Roman"/>
                <w:color w:val="000000"/>
                <w:sz w:val="20"/>
                <w:szCs w:val="20"/>
                <w:lang w:eastAsia="ru-RU"/>
              </w:rPr>
            </w:pPr>
          </w:p>
        </w:tc>
        <w:tc>
          <w:tcPr>
            <w:tcW w:w="5245" w:type="dxa"/>
            <w:tcBorders>
              <w:top w:val="nil"/>
              <w:left w:val="nil"/>
              <w:bottom w:val="single" w:sz="4" w:space="0" w:color="auto"/>
              <w:right w:val="single" w:sz="4" w:space="0" w:color="auto"/>
            </w:tcBorders>
            <w:shd w:val="clear" w:color="auto" w:fill="auto"/>
            <w:vAlign w:val="center"/>
            <w:hideMark/>
          </w:tcPr>
          <w:p w:rsidR="004245B5" w:rsidRPr="004245B5" w:rsidRDefault="004245B5" w:rsidP="004245B5">
            <w:pPr>
              <w:ind w:firstLine="0"/>
              <w:rPr>
                <w:rFonts w:eastAsiaTheme="minorHAnsi"/>
                <w:sz w:val="20"/>
                <w:szCs w:val="20"/>
              </w:rPr>
            </w:pPr>
            <w:r w:rsidRPr="004245B5">
              <w:rPr>
                <w:sz w:val="20"/>
                <w:szCs w:val="20"/>
              </w:rPr>
              <w:t>Количество сделок за год, шт.</w:t>
            </w:r>
          </w:p>
        </w:tc>
        <w:tc>
          <w:tcPr>
            <w:tcW w:w="851" w:type="dxa"/>
            <w:tcBorders>
              <w:top w:val="nil"/>
              <w:left w:val="nil"/>
              <w:bottom w:val="nil"/>
              <w:right w:val="single" w:sz="4" w:space="0" w:color="auto"/>
            </w:tcBorders>
            <w:shd w:val="clear" w:color="auto" w:fill="auto"/>
            <w:vAlign w:val="center"/>
            <w:hideMark/>
          </w:tcPr>
          <w:p w:rsidR="004245B5" w:rsidRPr="004245B5" w:rsidRDefault="004245B5" w:rsidP="004245B5">
            <w:pPr>
              <w:ind w:firstLine="0"/>
              <w:jc w:val="right"/>
              <w:rPr>
                <w:rFonts w:eastAsiaTheme="minorHAnsi"/>
                <w:sz w:val="20"/>
                <w:szCs w:val="20"/>
              </w:rPr>
            </w:pPr>
            <w:r w:rsidRPr="004245B5">
              <w:rPr>
                <w:sz w:val="20"/>
                <w:szCs w:val="20"/>
              </w:rPr>
              <w:t>59 919</w:t>
            </w:r>
          </w:p>
        </w:tc>
        <w:tc>
          <w:tcPr>
            <w:tcW w:w="850" w:type="dxa"/>
            <w:tcBorders>
              <w:top w:val="nil"/>
              <w:left w:val="nil"/>
              <w:bottom w:val="nil"/>
              <w:right w:val="single" w:sz="4" w:space="0" w:color="auto"/>
            </w:tcBorders>
            <w:shd w:val="clear" w:color="auto" w:fill="auto"/>
            <w:vAlign w:val="center"/>
            <w:hideMark/>
          </w:tcPr>
          <w:p w:rsidR="004245B5" w:rsidRPr="004245B5" w:rsidRDefault="004245B5" w:rsidP="004245B5">
            <w:pPr>
              <w:ind w:firstLine="0"/>
              <w:jc w:val="right"/>
              <w:rPr>
                <w:rFonts w:eastAsiaTheme="minorHAnsi"/>
                <w:sz w:val="20"/>
                <w:szCs w:val="20"/>
              </w:rPr>
            </w:pPr>
            <w:r w:rsidRPr="004245B5">
              <w:rPr>
                <w:sz w:val="20"/>
                <w:szCs w:val="20"/>
              </w:rPr>
              <w:t>74 087</w:t>
            </w:r>
          </w:p>
        </w:tc>
        <w:tc>
          <w:tcPr>
            <w:tcW w:w="851" w:type="dxa"/>
            <w:tcBorders>
              <w:top w:val="nil"/>
              <w:left w:val="nil"/>
              <w:bottom w:val="nil"/>
              <w:right w:val="single" w:sz="4" w:space="0" w:color="auto"/>
            </w:tcBorders>
            <w:shd w:val="clear" w:color="auto" w:fill="auto"/>
            <w:vAlign w:val="center"/>
            <w:hideMark/>
          </w:tcPr>
          <w:p w:rsidR="004245B5" w:rsidRPr="004245B5" w:rsidRDefault="004245B5" w:rsidP="004245B5">
            <w:pPr>
              <w:ind w:firstLine="0"/>
              <w:jc w:val="right"/>
              <w:rPr>
                <w:rFonts w:eastAsiaTheme="minorHAnsi"/>
                <w:sz w:val="20"/>
                <w:szCs w:val="20"/>
                <w:lang w:val="en-US"/>
              </w:rPr>
            </w:pPr>
            <w:r w:rsidRPr="004245B5">
              <w:rPr>
                <w:sz w:val="20"/>
                <w:szCs w:val="20"/>
                <w:lang w:val="en-US"/>
              </w:rPr>
              <w:t>59</w:t>
            </w:r>
            <w:r w:rsidRPr="004245B5">
              <w:rPr>
                <w:sz w:val="20"/>
                <w:szCs w:val="20"/>
              </w:rPr>
              <w:t> </w:t>
            </w:r>
            <w:r w:rsidRPr="004245B5">
              <w:rPr>
                <w:sz w:val="20"/>
                <w:szCs w:val="20"/>
                <w:lang w:val="en-US"/>
              </w:rPr>
              <w:t>872</w:t>
            </w:r>
          </w:p>
        </w:tc>
        <w:tc>
          <w:tcPr>
            <w:tcW w:w="1134" w:type="dxa"/>
            <w:tcBorders>
              <w:top w:val="nil"/>
              <w:left w:val="nil"/>
              <w:bottom w:val="single" w:sz="4" w:space="0" w:color="auto"/>
              <w:right w:val="single" w:sz="4" w:space="0" w:color="auto"/>
            </w:tcBorders>
            <w:shd w:val="clear" w:color="auto" w:fill="auto"/>
            <w:vAlign w:val="center"/>
            <w:hideMark/>
          </w:tcPr>
          <w:p w:rsidR="004245B5" w:rsidRPr="004245B5" w:rsidRDefault="004245B5" w:rsidP="004245B5">
            <w:pPr>
              <w:ind w:firstLine="0"/>
              <w:jc w:val="right"/>
              <w:rPr>
                <w:rFonts w:eastAsiaTheme="minorHAnsi"/>
                <w:sz w:val="20"/>
                <w:szCs w:val="20"/>
              </w:rPr>
            </w:pPr>
            <w:r w:rsidRPr="004245B5">
              <w:rPr>
                <w:sz w:val="20"/>
                <w:szCs w:val="20"/>
              </w:rPr>
              <w:t>-</w:t>
            </w:r>
            <w:r w:rsidRPr="004245B5">
              <w:rPr>
                <w:sz w:val="20"/>
                <w:szCs w:val="20"/>
                <w:lang w:val="en-US"/>
              </w:rPr>
              <w:t>19</w:t>
            </w:r>
            <w:r w:rsidRPr="004245B5">
              <w:rPr>
                <w:sz w:val="20"/>
                <w:szCs w:val="20"/>
              </w:rPr>
              <w:t>,</w:t>
            </w:r>
            <w:r w:rsidRPr="004245B5">
              <w:rPr>
                <w:sz w:val="20"/>
                <w:szCs w:val="20"/>
                <w:lang w:val="en-US"/>
              </w:rPr>
              <w:t>2</w:t>
            </w:r>
            <w:r w:rsidRPr="004245B5">
              <w:rPr>
                <w:sz w:val="20"/>
                <w:szCs w:val="20"/>
              </w:rPr>
              <w:t xml:space="preserve"> %</w:t>
            </w:r>
          </w:p>
        </w:tc>
      </w:tr>
      <w:tr w:rsidR="004C1494" w:rsidRPr="004761E0" w:rsidTr="004C1494">
        <w:trPr>
          <w:trHeight w:val="56"/>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7076A7">
            <w:pPr>
              <w:pStyle w:val="a5"/>
              <w:numPr>
                <w:ilvl w:val="0"/>
                <w:numId w:val="63"/>
              </w:numPr>
              <w:rPr>
                <w:rFonts w:eastAsia="Times New Roman"/>
                <w:color w:val="000000"/>
                <w:sz w:val="20"/>
                <w:szCs w:val="20"/>
                <w:lang w:eastAsia="ru-RU"/>
              </w:rPr>
            </w:pPr>
          </w:p>
        </w:tc>
        <w:tc>
          <w:tcPr>
            <w:tcW w:w="5245" w:type="dxa"/>
            <w:tcBorders>
              <w:top w:val="nil"/>
              <w:left w:val="nil"/>
              <w:bottom w:val="single" w:sz="4" w:space="0" w:color="auto"/>
              <w:right w:val="single" w:sz="4" w:space="0" w:color="auto"/>
            </w:tcBorders>
            <w:shd w:val="clear" w:color="auto" w:fill="auto"/>
            <w:vAlign w:val="center"/>
            <w:hideMark/>
          </w:tcPr>
          <w:p w:rsidR="004C1494" w:rsidRPr="004245B5" w:rsidRDefault="004C1494" w:rsidP="004C1494">
            <w:pPr>
              <w:ind w:firstLine="0"/>
              <w:rPr>
                <w:rFonts w:eastAsia="Times New Roman"/>
                <w:sz w:val="20"/>
                <w:szCs w:val="20"/>
                <w:lang w:eastAsia="ru-RU"/>
              </w:rPr>
            </w:pPr>
            <w:r w:rsidRPr="004245B5">
              <w:rPr>
                <w:rFonts w:eastAsia="Times New Roman"/>
                <w:sz w:val="20"/>
                <w:szCs w:val="20"/>
                <w:lang w:eastAsia="ru-RU"/>
              </w:rPr>
              <w:t>Объем торгов за год</w:t>
            </w:r>
          </w:p>
        </w:tc>
        <w:tc>
          <w:tcPr>
            <w:tcW w:w="851" w:type="dxa"/>
            <w:tcBorders>
              <w:top w:val="single" w:sz="4" w:space="0" w:color="auto"/>
              <w:left w:val="nil"/>
              <w:bottom w:val="single" w:sz="4" w:space="0" w:color="auto"/>
              <w:right w:val="nil"/>
            </w:tcBorders>
            <w:shd w:val="clear" w:color="000000" w:fill="FFFFFF"/>
            <w:vAlign w:val="center"/>
            <w:hideMark/>
          </w:tcPr>
          <w:p w:rsidR="004C1494" w:rsidRPr="004245B5" w:rsidRDefault="004C1494" w:rsidP="004C1494">
            <w:pPr>
              <w:jc w:val="right"/>
              <w:rPr>
                <w:rFonts w:eastAsia="Times New Roman"/>
                <w:sz w:val="20"/>
                <w:szCs w:val="20"/>
                <w:lang w:eastAsia="ru-RU"/>
              </w:rPr>
            </w:pPr>
            <w:r w:rsidRPr="004245B5">
              <w:rPr>
                <w:rFonts w:eastAsia="Times New Roman"/>
                <w:sz w:val="20"/>
                <w:szCs w:val="20"/>
                <w:lang w:eastAsia="ru-RU"/>
              </w:rPr>
              <w:t> </w:t>
            </w:r>
          </w:p>
        </w:tc>
        <w:tc>
          <w:tcPr>
            <w:tcW w:w="850" w:type="dxa"/>
            <w:tcBorders>
              <w:top w:val="single" w:sz="4" w:space="0" w:color="auto"/>
              <w:left w:val="nil"/>
              <w:bottom w:val="single" w:sz="4" w:space="0" w:color="auto"/>
              <w:right w:val="nil"/>
            </w:tcBorders>
            <w:shd w:val="clear" w:color="000000" w:fill="FFFFFF"/>
            <w:vAlign w:val="center"/>
            <w:hideMark/>
          </w:tcPr>
          <w:p w:rsidR="004C1494" w:rsidRPr="004245B5" w:rsidRDefault="004C1494" w:rsidP="004C1494">
            <w:pPr>
              <w:jc w:val="right"/>
              <w:rPr>
                <w:rFonts w:eastAsia="Times New Roman"/>
                <w:sz w:val="20"/>
                <w:szCs w:val="20"/>
                <w:lang w:eastAsia="ru-RU"/>
              </w:rPr>
            </w:pPr>
            <w:r w:rsidRPr="004245B5">
              <w:rPr>
                <w:rFonts w:eastAsia="Times New Roman"/>
                <w:sz w:val="20"/>
                <w:szCs w:val="20"/>
                <w:lang w:eastAsia="ru-RU"/>
              </w:rPr>
              <w:t> </w:t>
            </w:r>
          </w:p>
        </w:tc>
        <w:tc>
          <w:tcPr>
            <w:tcW w:w="851" w:type="dxa"/>
            <w:tcBorders>
              <w:top w:val="single" w:sz="4" w:space="0" w:color="auto"/>
              <w:left w:val="nil"/>
              <w:bottom w:val="single" w:sz="4" w:space="0" w:color="auto"/>
              <w:right w:val="nil"/>
            </w:tcBorders>
            <w:shd w:val="clear" w:color="000000" w:fill="FFFFFF"/>
            <w:vAlign w:val="center"/>
            <w:hideMark/>
          </w:tcPr>
          <w:p w:rsidR="004C1494" w:rsidRPr="004245B5" w:rsidRDefault="004C1494" w:rsidP="004C1494">
            <w:pPr>
              <w:jc w:val="right"/>
              <w:rPr>
                <w:rFonts w:eastAsia="Times New Roman"/>
                <w:sz w:val="20"/>
                <w:szCs w:val="20"/>
                <w:lang w:eastAsia="ru-RU"/>
              </w:rPr>
            </w:pPr>
            <w:r w:rsidRPr="004245B5">
              <w:rPr>
                <w:rFonts w:eastAsia="Times New Roman"/>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4C1494" w:rsidRPr="004245B5" w:rsidRDefault="004C1494" w:rsidP="004C1494">
            <w:pPr>
              <w:jc w:val="right"/>
              <w:rPr>
                <w:rFonts w:eastAsia="Times New Roman"/>
                <w:sz w:val="20"/>
                <w:szCs w:val="20"/>
                <w:lang w:eastAsia="ru-RU"/>
              </w:rPr>
            </w:pPr>
            <w:r w:rsidRPr="004245B5">
              <w:rPr>
                <w:rFonts w:eastAsia="Times New Roman"/>
                <w:sz w:val="20"/>
                <w:szCs w:val="20"/>
                <w:lang w:eastAsia="ru-RU"/>
              </w:rPr>
              <w:t> </w:t>
            </w:r>
          </w:p>
        </w:tc>
      </w:tr>
      <w:tr w:rsidR="004245B5" w:rsidRPr="004761E0" w:rsidTr="004C1494">
        <w:trPr>
          <w:trHeight w:val="56"/>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7076A7">
            <w:pPr>
              <w:pStyle w:val="a5"/>
              <w:numPr>
                <w:ilvl w:val="1"/>
                <w:numId w:val="63"/>
              </w:numPr>
              <w:rPr>
                <w:rFonts w:eastAsia="Times New Roman"/>
                <w:color w:val="000000"/>
                <w:sz w:val="20"/>
                <w:szCs w:val="20"/>
                <w:lang w:eastAsia="ru-RU"/>
              </w:rPr>
            </w:pPr>
          </w:p>
        </w:tc>
        <w:tc>
          <w:tcPr>
            <w:tcW w:w="5245" w:type="dxa"/>
            <w:tcBorders>
              <w:top w:val="nil"/>
              <w:left w:val="nil"/>
              <w:bottom w:val="single" w:sz="4" w:space="0" w:color="auto"/>
              <w:right w:val="single" w:sz="4" w:space="0" w:color="auto"/>
            </w:tcBorders>
            <w:shd w:val="clear" w:color="auto" w:fill="auto"/>
            <w:vAlign w:val="center"/>
            <w:hideMark/>
          </w:tcPr>
          <w:p w:rsidR="004245B5" w:rsidRPr="004245B5" w:rsidRDefault="004245B5" w:rsidP="004245B5">
            <w:pPr>
              <w:ind w:firstLineChars="200" w:firstLine="400"/>
              <w:rPr>
                <w:rFonts w:eastAsia="Times New Roman"/>
                <w:sz w:val="20"/>
                <w:szCs w:val="20"/>
                <w:lang w:eastAsia="ru-RU"/>
              </w:rPr>
            </w:pPr>
            <w:r w:rsidRPr="004245B5">
              <w:rPr>
                <w:rFonts w:eastAsia="Times New Roman"/>
                <w:sz w:val="20"/>
                <w:szCs w:val="20"/>
                <w:lang w:eastAsia="ru-RU"/>
              </w:rPr>
              <w:t>млн руб.</w:t>
            </w:r>
          </w:p>
        </w:tc>
        <w:tc>
          <w:tcPr>
            <w:tcW w:w="851" w:type="dxa"/>
            <w:tcBorders>
              <w:top w:val="nil"/>
              <w:left w:val="nil"/>
              <w:bottom w:val="single" w:sz="4" w:space="0" w:color="auto"/>
              <w:right w:val="single" w:sz="4" w:space="0" w:color="auto"/>
            </w:tcBorders>
            <w:shd w:val="clear" w:color="auto" w:fill="auto"/>
            <w:vAlign w:val="center"/>
            <w:hideMark/>
          </w:tcPr>
          <w:p w:rsidR="004245B5" w:rsidRPr="004245B5" w:rsidRDefault="004245B5" w:rsidP="004245B5">
            <w:pPr>
              <w:ind w:firstLine="0"/>
              <w:jc w:val="right"/>
              <w:rPr>
                <w:sz w:val="20"/>
                <w:szCs w:val="20"/>
              </w:rPr>
            </w:pPr>
            <w:r w:rsidRPr="004245B5">
              <w:rPr>
                <w:sz w:val="20"/>
                <w:szCs w:val="20"/>
              </w:rPr>
              <w:t>4 342</w:t>
            </w:r>
          </w:p>
        </w:tc>
        <w:tc>
          <w:tcPr>
            <w:tcW w:w="850" w:type="dxa"/>
            <w:tcBorders>
              <w:top w:val="nil"/>
              <w:left w:val="nil"/>
              <w:bottom w:val="single" w:sz="4" w:space="0" w:color="auto"/>
              <w:right w:val="single" w:sz="4" w:space="0" w:color="auto"/>
            </w:tcBorders>
            <w:shd w:val="clear" w:color="auto" w:fill="auto"/>
            <w:vAlign w:val="center"/>
            <w:hideMark/>
          </w:tcPr>
          <w:p w:rsidR="004245B5" w:rsidRPr="004245B5" w:rsidRDefault="004245B5" w:rsidP="004245B5">
            <w:pPr>
              <w:ind w:firstLine="0"/>
              <w:jc w:val="right"/>
              <w:rPr>
                <w:sz w:val="20"/>
                <w:szCs w:val="20"/>
              </w:rPr>
            </w:pPr>
            <w:r w:rsidRPr="004245B5">
              <w:rPr>
                <w:sz w:val="20"/>
                <w:szCs w:val="20"/>
              </w:rPr>
              <w:t>1 764</w:t>
            </w:r>
          </w:p>
        </w:tc>
        <w:tc>
          <w:tcPr>
            <w:tcW w:w="851" w:type="dxa"/>
            <w:tcBorders>
              <w:top w:val="nil"/>
              <w:left w:val="nil"/>
              <w:bottom w:val="single" w:sz="4" w:space="0" w:color="auto"/>
              <w:right w:val="single" w:sz="4" w:space="0" w:color="auto"/>
            </w:tcBorders>
            <w:shd w:val="clear" w:color="auto" w:fill="auto"/>
            <w:vAlign w:val="center"/>
            <w:hideMark/>
          </w:tcPr>
          <w:p w:rsidR="004245B5" w:rsidRPr="004245B5" w:rsidRDefault="004245B5" w:rsidP="004245B5">
            <w:pPr>
              <w:ind w:firstLine="0"/>
              <w:jc w:val="right"/>
              <w:rPr>
                <w:sz w:val="20"/>
                <w:szCs w:val="20"/>
              </w:rPr>
            </w:pPr>
            <w:r w:rsidRPr="004245B5">
              <w:rPr>
                <w:sz w:val="20"/>
                <w:szCs w:val="20"/>
              </w:rPr>
              <w:t>6 447</w:t>
            </w:r>
          </w:p>
        </w:tc>
        <w:tc>
          <w:tcPr>
            <w:tcW w:w="1134" w:type="dxa"/>
            <w:tcBorders>
              <w:top w:val="nil"/>
              <w:left w:val="nil"/>
              <w:bottom w:val="single" w:sz="4" w:space="0" w:color="auto"/>
              <w:right w:val="single" w:sz="4" w:space="0" w:color="auto"/>
            </w:tcBorders>
            <w:shd w:val="clear" w:color="auto" w:fill="auto"/>
            <w:vAlign w:val="center"/>
            <w:hideMark/>
          </w:tcPr>
          <w:p w:rsidR="004245B5" w:rsidRPr="004245B5" w:rsidRDefault="004245B5" w:rsidP="004245B5">
            <w:pPr>
              <w:ind w:firstLine="0"/>
              <w:jc w:val="right"/>
              <w:rPr>
                <w:sz w:val="20"/>
                <w:szCs w:val="20"/>
              </w:rPr>
            </w:pPr>
            <w:r w:rsidRPr="004245B5">
              <w:rPr>
                <w:sz w:val="20"/>
                <w:szCs w:val="20"/>
              </w:rPr>
              <w:t>265,5 %</w:t>
            </w:r>
          </w:p>
        </w:tc>
      </w:tr>
      <w:tr w:rsidR="004245B5" w:rsidRPr="004761E0" w:rsidTr="004C1494">
        <w:trPr>
          <w:trHeight w:val="56"/>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7076A7">
            <w:pPr>
              <w:pStyle w:val="a5"/>
              <w:numPr>
                <w:ilvl w:val="1"/>
                <w:numId w:val="63"/>
              </w:numPr>
              <w:rPr>
                <w:rFonts w:eastAsia="Times New Roman"/>
                <w:color w:val="000000"/>
                <w:sz w:val="20"/>
                <w:szCs w:val="20"/>
                <w:lang w:eastAsia="ru-RU"/>
              </w:rPr>
            </w:pPr>
          </w:p>
        </w:tc>
        <w:tc>
          <w:tcPr>
            <w:tcW w:w="5245" w:type="dxa"/>
            <w:tcBorders>
              <w:top w:val="nil"/>
              <w:left w:val="nil"/>
              <w:bottom w:val="single" w:sz="4" w:space="0" w:color="auto"/>
              <w:right w:val="single" w:sz="4" w:space="0" w:color="auto"/>
            </w:tcBorders>
            <w:shd w:val="clear" w:color="auto" w:fill="auto"/>
            <w:vAlign w:val="center"/>
            <w:hideMark/>
          </w:tcPr>
          <w:p w:rsidR="004245B5" w:rsidRPr="004245B5" w:rsidRDefault="004245B5" w:rsidP="004245B5">
            <w:pPr>
              <w:ind w:firstLineChars="200" w:firstLine="400"/>
              <w:rPr>
                <w:rFonts w:eastAsia="Times New Roman"/>
                <w:sz w:val="20"/>
                <w:szCs w:val="20"/>
                <w:lang w:eastAsia="ru-RU"/>
              </w:rPr>
            </w:pPr>
            <w:r w:rsidRPr="004245B5">
              <w:rPr>
                <w:rFonts w:eastAsia="Times New Roman"/>
                <w:sz w:val="20"/>
                <w:szCs w:val="20"/>
                <w:lang w:eastAsia="ru-RU"/>
              </w:rPr>
              <w:t>млн шт.</w:t>
            </w:r>
          </w:p>
        </w:tc>
        <w:tc>
          <w:tcPr>
            <w:tcW w:w="851" w:type="dxa"/>
            <w:tcBorders>
              <w:top w:val="nil"/>
              <w:left w:val="nil"/>
              <w:bottom w:val="single" w:sz="4" w:space="0" w:color="auto"/>
              <w:right w:val="single" w:sz="4" w:space="0" w:color="auto"/>
            </w:tcBorders>
            <w:shd w:val="clear" w:color="auto" w:fill="auto"/>
            <w:vAlign w:val="center"/>
            <w:hideMark/>
          </w:tcPr>
          <w:p w:rsidR="004245B5" w:rsidRPr="004245B5" w:rsidRDefault="004245B5" w:rsidP="004245B5">
            <w:pPr>
              <w:ind w:firstLine="0"/>
              <w:jc w:val="right"/>
              <w:rPr>
                <w:sz w:val="20"/>
                <w:szCs w:val="20"/>
              </w:rPr>
            </w:pPr>
            <w:r w:rsidRPr="004245B5">
              <w:rPr>
                <w:sz w:val="20"/>
                <w:szCs w:val="20"/>
              </w:rPr>
              <w:t>2 803</w:t>
            </w:r>
          </w:p>
        </w:tc>
        <w:tc>
          <w:tcPr>
            <w:tcW w:w="850" w:type="dxa"/>
            <w:tcBorders>
              <w:top w:val="nil"/>
              <w:left w:val="nil"/>
              <w:bottom w:val="single" w:sz="4" w:space="0" w:color="auto"/>
              <w:right w:val="single" w:sz="4" w:space="0" w:color="auto"/>
            </w:tcBorders>
            <w:shd w:val="clear" w:color="auto" w:fill="auto"/>
            <w:vAlign w:val="center"/>
            <w:hideMark/>
          </w:tcPr>
          <w:p w:rsidR="004245B5" w:rsidRPr="004245B5" w:rsidRDefault="004245B5" w:rsidP="004245B5">
            <w:pPr>
              <w:ind w:firstLine="0"/>
              <w:jc w:val="right"/>
              <w:rPr>
                <w:sz w:val="20"/>
                <w:szCs w:val="20"/>
              </w:rPr>
            </w:pPr>
            <w:r w:rsidRPr="004245B5">
              <w:rPr>
                <w:sz w:val="20"/>
                <w:szCs w:val="20"/>
              </w:rPr>
              <w:t>1 214</w:t>
            </w:r>
          </w:p>
        </w:tc>
        <w:tc>
          <w:tcPr>
            <w:tcW w:w="851" w:type="dxa"/>
            <w:tcBorders>
              <w:top w:val="nil"/>
              <w:left w:val="nil"/>
              <w:bottom w:val="single" w:sz="4" w:space="0" w:color="auto"/>
              <w:right w:val="single" w:sz="4" w:space="0" w:color="auto"/>
            </w:tcBorders>
            <w:shd w:val="clear" w:color="auto" w:fill="auto"/>
            <w:vAlign w:val="center"/>
            <w:hideMark/>
          </w:tcPr>
          <w:p w:rsidR="004245B5" w:rsidRPr="004245B5" w:rsidRDefault="004245B5" w:rsidP="004245B5">
            <w:pPr>
              <w:ind w:firstLine="0"/>
              <w:jc w:val="right"/>
              <w:rPr>
                <w:sz w:val="20"/>
                <w:szCs w:val="20"/>
              </w:rPr>
            </w:pPr>
            <w:r w:rsidRPr="004245B5">
              <w:rPr>
                <w:sz w:val="20"/>
                <w:szCs w:val="20"/>
              </w:rPr>
              <w:t>5 390</w:t>
            </w:r>
          </w:p>
        </w:tc>
        <w:tc>
          <w:tcPr>
            <w:tcW w:w="1134" w:type="dxa"/>
            <w:tcBorders>
              <w:top w:val="nil"/>
              <w:left w:val="nil"/>
              <w:bottom w:val="single" w:sz="4" w:space="0" w:color="auto"/>
              <w:right w:val="single" w:sz="4" w:space="0" w:color="auto"/>
            </w:tcBorders>
            <w:shd w:val="clear" w:color="auto" w:fill="auto"/>
            <w:vAlign w:val="center"/>
            <w:hideMark/>
          </w:tcPr>
          <w:p w:rsidR="004245B5" w:rsidRPr="004245B5" w:rsidRDefault="004245B5" w:rsidP="004245B5">
            <w:pPr>
              <w:ind w:firstLine="0"/>
              <w:jc w:val="right"/>
              <w:rPr>
                <w:sz w:val="20"/>
                <w:szCs w:val="20"/>
              </w:rPr>
            </w:pPr>
            <w:r w:rsidRPr="004245B5">
              <w:rPr>
                <w:sz w:val="20"/>
                <w:szCs w:val="20"/>
              </w:rPr>
              <w:t xml:space="preserve">344,0 % </w:t>
            </w:r>
          </w:p>
        </w:tc>
      </w:tr>
    </w:tbl>
    <w:p w:rsidR="004C1494" w:rsidRPr="004761E0" w:rsidRDefault="004C1494" w:rsidP="004C1494">
      <w:pPr>
        <w:spacing w:before="120" w:after="120"/>
        <w:ind w:firstLine="567"/>
        <w:rPr>
          <w:rFonts w:eastAsia="Times New Roman"/>
          <w:b/>
          <w:iCs/>
          <w:color w:val="000000"/>
          <w:sz w:val="20"/>
          <w:szCs w:val="20"/>
          <w:lang w:eastAsia="ru-RU"/>
        </w:rPr>
      </w:pPr>
      <w:r w:rsidRPr="004761E0">
        <w:rPr>
          <w:rFonts w:eastAsia="Times New Roman"/>
          <w:b/>
          <w:iCs/>
          <w:color w:val="000000"/>
          <w:sz w:val="26"/>
          <w:szCs w:val="26"/>
          <w:lang w:eastAsia="ru-RU"/>
        </w:rPr>
        <w:t>Объем торгов</w:t>
      </w:r>
      <w:r w:rsidRPr="006F4AB8">
        <w:rPr>
          <w:rStyle w:val="af1"/>
        </w:rPr>
        <w:footnoteReference w:id="111"/>
      </w:r>
    </w:p>
    <w:tbl>
      <w:tblPr>
        <w:tblStyle w:val="ae"/>
        <w:tblW w:w="0" w:type="auto"/>
        <w:tblInd w:w="108" w:type="dxa"/>
        <w:tblLayout w:type="fixed"/>
        <w:tblLook w:val="04A0"/>
      </w:tblPr>
      <w:tblGrid>
        <w:gridCol w:w="587"/>
        <w:gridCol w:w="1681"/>
        <w:gridCol w:w="668"/>
        <w:gridCol w:w="601"/>
        <w:gridCol w:w="601"/>
        <w:gridCol w:w="690"/>
        <w:gridCol w:w="601"/>
        <w:gridCol w:w="601"/>
        <w:gridCol w:w="601"/>
        <w:gridCol w:w="601"/>
        <w:gridCol w:w="690"/>
        <w:gridCol w:w="601"/>
        <w:gridCol w:w="601"/>
        <w:gridCol w:w="862"/>
      </w:tblGrid>
      <w:tr w:rsidR="004C1494" w:rsidRPr="004761E0" w:rsidTr="004C1494">
        <w:trPr>
          <w:trHeight w:val="54"/>
        </w:trPr>
        <w:tc>
          <w:tcPr>
            <w:tcW w:w="58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C1494" w:rsidRPr="004761E0" w:rsidRDefault="004C1494" w:rsidP="004C1494">
            <w:pPr>
              <w:ind w:firstLine="0"/>
              <w:rPr>
                <w:rFonts w:eastAsia="Times New Roman"/>
                <w:b/>
                <w:color w:val="FFFFFF" w:themeColor="background1"/>
                <w:sz w:val="20"/>
                <w:szCs w:val="20"/>
              </w:rPr>
            </w:pPr>
            <w:r w:rsidRPr="004761E0">
              <w:rPr>
                <w:rFonts w:eastAsia="Times New Roman"/>
                <w:b/>
                <w:color w:val="FFFFFF" w:themeColor="background1"/>
                <w:sz w:val="20"/>
                <w:szCs w:val="20"/>
              </w:rPr>
              <w:t>№ п/п</w:t>
            </w:r>
          </w:p>
        </w:tc>
        <w:tc>
          <w:tcPr>
            <w:tcW w:w="168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C1494" w:rsidRPr="004761E0" w:rsidRDefault="004C1494" w:rsidP="004C1494">
            <w:pPr>
              <w:ind w:firstLine="0"/>
              <w:rPr>
                <w:rFonts w:eastAsia="Times New Roman"/>
                <w:b/>
                <w:iCs/>
                <w:color w:val="000000"/>
                <w:sz w:val="20"/>
                <w:szCs w:val="20"/>
              </w:rPr>
            </w:pPr>
            <w:r w:rsidRPr="004761E0">
              <w:rPr>
                <w:rFonts w:eastAsia="Times New Roman"/>
                <w:b/>
                <w:color w:val="FFFFFF" w:themeColor="background1"/>
                <w:sz w:val="20"/>
                <w:szCs w:val="20"/>
              </w:rPr>
              <w:t>Наименование категории</w:t>
            </w:r>
          </w:p>
        </w:tc>
        <w:tc>
          <w:tcPr>
            <w:tcW w:w="7718"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tcPr>
          <w:p w:rsidR="004C1494" w:rsidRPr="004761E0" w:rsidRDefault="004C1494" w:rsidP="004C1494">
            <w:pPr>
              <w:ind w:firstLine="0"/>
              <w:jc w:val="center"/>
              <w:rPr>
                <w:rFonts w:eastAsia="Times New Roman"/>
                <w:b/>
                <w:color w:val="FFFFFF" w:themeColor="background1"/>
                <w:sz w:val="20"/>
                <w:szCs w:val="20"/>
              </w:rPr>
            </w:pPr>
            <w:r w:rsidRPr="004761E0">
              <w:rPr>
                <w:rFonts w:eastAsia="Times New Roman"/>
                <w:b/>
                <w:color w:val="FFFFFF" w:themeColor="background1"/>
                <w:sz w:val="20"/>
                <w:szCs w:val="20"/>
              </w:rPr>
              <w:t>Месяц</w:t>
            </w:r>
          </w:p>
        </w:tc>
      </w:tr>
      <w:tr w:rsidR="004C1494" w:rsidRPr="004761E0" w:rsidTr="004C1494">
        <w:trPr>
          <w:trHeight w:val="139"/>
        </w:trPr>
        <w:tc>
          <w:tcPr>
            <w:tcW w:w="58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C1494" w:rsidRPr="004761E0" w:rsidRDefault="004C1494" w:rsidP="004C1494">
            <w:pPr>
              <w:rPr>
                <w:rFonts w:eastAsia="Times New Roman"/>
                <w:b/>
                <w:iCs/>
                <w:color w:val="000000"/>
                <w:sz w:val="20"/>
                <w:szCs w:val="20"/>
              </w:rPr>
            </w:pPr>
          </w:p>
        </w:tc>
        <w:tc>
          <w:tcPr>
            <w:tcW w:w="168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C1494" w:rsidRPr="004761E0" w:rsidRDefault="004C1494" w:rsidP="004C1494">
            <w:pPr>
              <w:ind w:firstLine="0"/>
              <w:rPr>
                <w:rFonts w:eastAsia="Times New Roman"/>
                <w:b/>
                <w:iCs/>
                <w:color w:val="000000"/>
                <w:sz w:val="20"/>
                <w:szCs w:val="20"/>
              </w:rPr>
            </w:pPr>
          </w:p>
        </w:tc>
        <w:tc>
          <w:tcPr>
            <w:tcW w:w="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C1494" w:rsidRPr="004761E0" w:rsidRDefault="004C1494" w:rsidP="004C1494">
            <w:pPr>
              <w:ind w:firstLine="0"/>
              <w:jc w:val="right"/>
              <w:rPr>
                <w:rFonts w:eastAsia="Times New Roman"/>
                <w:b/>
                <w:color w:val="FFFFFF" w:themeColor="background1"/>
                <w:sz w:val="20"/>
                <w:szCs w:val="20"/>
              </w:rPr>
            </w:pPr>
            <w:r w:rsidRPr="004761E0">
              <w:rPr>
                <w:rFonts w:eastAsia="Times New Roman"/>
                <w:b/>
                <w:color w:val="FFFFFF" w:themeColor="background1"/>
                <w:sz w:val="20"/>
                <w:szCs w:val="20"/>
              </w:rPr>
              <w:t>янв</w:t>
            </w:r>
          </w:p>
        </w:tc>
        <w:tc>
          <w:tcPr>
            <w:tcW w:w="6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C1494" w:rsidRPr="004761E0" w:rsidRDefault="004C1494" w:rsidP="004C1494">
            <w:pPr>
              <w:ind w:firstLine="0"/>
              <w:jc w:val="right"/>
              <w:rPr>
                <w:rFonts w:eastAsia="Times New Roman"/>
                <w:b/>
                <w:color w:val="FFFFFF" w:themeColor="background1"/>
                <w:sz w:val="20"/>
                <w:szCs w:val="20"/>
              </w:rPr>
            </w:pPr>
            <w:r w:rsidRPr="004761E0">
              <w:rPr>
                <w:rFonts w:eastAsia="Times New Roman"/>
                <w:b/>
                <w:color w:val="FFFFFF" w:themeColor="background1"/>
                <w:sz w:val="20"/>
                <w:szCs w:val="20"/>
              </w:rPr>
              <w:t>фев</w:t>
            </w:r>
          </w:p>
        </w:tc>
        <w:tc>
          <w:tcPr>
            <w:tcW w:w="6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C1494" w:rsidRPr="004761E0" w:rsidRDefault="004C1494" w:rsidP="004C1494">
            <w:pPr>
              <w:ind w:firstLine="0"/>
              <w:jc w:val="right"/>
              <w:rPr>
                <w:rFonts w:eastAsia="Times New Roman"/>
                <w:b/>
                <w:color w:val="FFFFFF" w:themeColor="background1"/>
                <w:sz w:val="20"/>
                <w:szCs w:val="20"/>
              </w:rPr>
            </w:pPr>
            <w:r w:rsidRPr="004761E0">
              <w:rPr>
                <w:rFonts w:eastAsia="Times New Roman"/>
                <w:b/>
                <w:color w:val="FFFFFF" w:themeColor="background1"/>
                <w:sz w:val="20"/>
                <w:szCs w:val="20"/>
              </w:rPr>
              <w:t>мар</w:t>
            </w:r>
          </w:p>
        </w:tc>
        <w:tc>
          <w:tcPr>
            <w:tcW w:w="6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C1494" w:rsidRPr="004761E0" w:rsidRDefault="004C1494" w:rsidP="004C1494">
            <w:pPr>
              <w:ind w:firstLine="0"/>
              <w:jc w:val="right"/>
              <w:rPr>
                <w:rFonts w:eastAsia="Times New Roman"/>
                <w:b/>
                <w:color w:val="FFFFFF" w:themeColor="background1"/>
                <w:sz w:val="20"/>
                <w:szCs w:val="20"/>
              </w:rPr>
            </w:pPr>
            <w:r w:rsidRPr="004761E0">
              <w:rPr>
                <w:rFonts w:eastAsia="Times New Roman"/>
                <w:b/>
                <w:color w:val="FFFFFF" w:themeColor="background1"/>
                <w:sz w:val="20"/>
                <w:szCs w:val="20"/>
              </w:rPr>
              <w:t>апр</w:t>
            </w:r>
          </w:p>
        </w:tc>
        <w:tc>
          <w:tcPr>
            <w:tcW w:w="6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C1494" w:rsidRPr="004761E0" w:rsidRDefault="004C1494" w:rsidP="004C1494">
            <w:pPr>
              <w:ind w:firstLine="0"/>
              <w:jc w:val="right"/>
              <w:rPr>
                <w:rFonts w:eastAsia="Times New Roman"/>
                <w:b/>
                <w:color w:val="FFFFFF" w:themeColor="background1"/>
                <w:sz w:val="20"/>
                <w:szCs w:val="20"/>
              </w:rPr>
            </w:pPr>
            <w:r w:rsidRPr="004761E0">
              <w:rPr>
                <w:rFonts w:eastAsia="Times New Roman"/>
                <w:b/>
                <w:color w:val="FFFFFF" w:themeColor="background1"/>
                <w:sz w:val="20"/>
                <w:szCs w:val="20"/>
              </w:rPr>
              <w:t>май</w:t>
            </w:r>
          </w:p>
        </w:tc>
        <w:tc>
          <w:tcPr>
            <w:tcW w:w="6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C1494" w:rsidRPr="004761E0" w:rsidRDefault="004C1494" w:rsidP="004C1494">
            <w:pPr>
              <w:ind w:firstLine="0"/>
              <w:jc w:val="right"/>
              <w:rPr>
                <w:rFonts w:eastAsia="Times New Roman"/>
                <w:b/>
                <w:color w:val="FFFFFF" w:themeColor="background1"/>
                <w:sz w:val="20"/>
                <w:szCs w:val="20"/>
              </w:rPr>
            </w:pPr>
            <w:r w:rsidRPr="004761E0">
              <w:rPr>
                <w:rFonts w:eastAsia="Times New Roman"/>
                <w:b/>
                <w:color w:val="FFFFFF" w:themeColor="background1"/>
                <w:sz w:val="20"/>
                <w:szCs w:val="20"/>
              </w:rPr>
              <w:t>июн</w:t>
            </w:r>
          </w:p>
        </w:tc>
        <w:tc>
          <w:tcPr>
            <w:tcW w:w="6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C1494" w:rsidRPr="004761E0" w:rsidRDefault="004C1494" w:rsidP="004C1494">
            <w:pPr>
              <w:ind w:firstLine="0"/>
              <w:jc w:val="right"/>
              <w:rPr>
                <w:rFonts w:eastAsia="Times New Roman"/>
                <w:b/>
                <w:color w:val="FFFFFF" w:themeColor="background1"/>
                <w:sz w:val="20"/>
                <w:szCs w:val="20"/>
              </w:rPr>
            </w:pPr>
            <w:r w:rsidRPr="004761E0">
              <w:rPr>
                <w:rFonts w:eastAsia="Times New Roman"/>
                <w:b/>
                <w:color w:val="FFFFFF" w:themeColor="background1"/>
                <w:sz w:val="20"/>
                <w:szCs w:val="20"/>
              </w:rPr>
              <w:t>июл</w:t>
            </w:r>
          </w:p>
        </w:tc>
        <w:tc>
          <w:tcPr>
            <w:tcW w:w="6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C1494" w:rsidRPr="004761E0" w:rsidRDefault="004C1494" w:rsidP="004C1494">
            <w:pPr>
              <w:ind w:firstLine="0"/>
              <w:jc w:val="right"/>
              <w:rPr>
                <w:rFonts w:eastAsia="Times New Roman"/>
                <w:b/>
                <w:color w:val="FFFFFF" w:themeColor="background1"/>
                <w:sz w:val="20"/>
                <w:szCs w:val="20"/>
              </w:rPr>
            </w:pPr>
            <w:r w:rsidRPr="004761E0">
              <w:rPr>
                <w:rFonts w:eastAsia="Times New Roman"/>
                <w:b/>
                <w:color w:val="FFFFFF" w:themeColor="background1"/>
                <w:sz w:val="20"/>
                <w:szCs w:val="20"/>
              </w:rPr>
              <w:t>авг</w:t>
            </w:r>
          </w:p>
        </w:tc>
        <w:tc>
          <w:tcPr>
            <w:tcW w:w="6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C1494" w:rsidRPr="004761E0" w:rsidRDefault="004C1494" w:rsidP="004C1494">
            <w:pPr>
              <w:ind w:firstLine="0"/>
              <w:jc w:val="right"/>
              <w:rPr>
                <w:rFonts w:eastAsia="Times New Roman"/>
                <w:b/>
                <w:color w:val="FFFFFF" w:themeColor="background1"/>
                <w:sz w:val="20"/>
                <w:szCs w:val="20"/>
              </w:rPr>
            </w:pPr>
            <w:r w:rsidRPr="004761E0">
              <w:rPr>
                <w:rFonts w:eastAsia="Times New Roman"/>
                <w:b/>
                <w:color w:val="FFFFFF" w:themeColor="background1"/>
                <w:sz w:val="20"/>
                <w:szCs w:val="20"/>
              </w:rPr>
              <w:t>сен</w:t>
            </w:r>
          </w:p>
        </w:tc>
        <w:tc>
          <w:tcPr>
            <w:tcW w:w="6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C1494" w:rsidRPr="004761E0" w:rsidRDefault="004C1494" w:rsidP="004C1494">
            <w:pPr>
              <w:ind w:firstLine="0"/>
              <w:jc w:val="right"/>
              <w:rPr>
                <w:rFonts w:eastAsia="Times New Roman"/>
                <w:b/>
                <w:color w:val="FFFFFF" w:themeColor="background1"/>
                <w:sz w:val="20"/>
                <w:szCs w:val="20"/>
              </w:rPr>
            </w:pPr>
            <w:r w:rsidRPr="004761E0">
              <w:rPr>
                <w:rFonts w:eastAsia="Times New Roman"/>
                <w:b/>
                <w:color w:val="FFFFFF" w:themeColor="background1"/>
                <w:sz w:val="20"/>
                <w:szCs w:val="20"/>
              </w:rPr>
              <w:t>окт</w:t>
            </w:r>
          </w:p>
        </w:tc>
        <w:tc>
          <w:tcPr>
            <w:tcW w:w="6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C1494" w:rsidRPr="004761E0" w:rsidRDefault="004C1494" w:rsidP="004C1494">
            <w:pPr>
              <w:ind w:firstLine="0"/>
              <w:jc w:val="right"/>
              <w:rPr>
                <w:rFonts w:eastAsia="Times New Roman"/>
                <w:b/>
                <w:color w:val="FFFFFF" w:themeColor="background1"/>
                <w:sz w:val="20"/>
                <w:szCs w:val="20"/>
              </w:rPr>
            </w:pPr>
            <w:r w:rsidRPr="004761E0">
              <w:rPr>
                <w:rFonts w:eastAsia="Times New Roman"/>
                <w:b/>
                <w:color w:val="FFFFFF" w:themeColor="background1"/>
                <w:sz w:val="20"/>
                <w:szCs w:val="20"/>
              </w:rPr>
              <w:t>ноя</w:t>
            </w:r>
          </w:p>
        </w:tc>
        <w:tc>
          <w:tcPr>
            <w:tcW w:w="8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C1494" w:rsidRPr="004761E0" w:rsidRDefault="004C1494" w:rsidP="004C1494">
            <w:pPr>
              <w:ind w:firstLine="0"/>
              <w:jc w:val="right"/>
              <w:rPr>
                <w:rFonts w:eastAsia="Times New Roman"/>
                <w:b/>
                <w:color w:val="FFFFFF" w:themeColor="background1"/>
                <w:sz w:val="20"/>
                <w:szCs w:val="20"/>
              </w:rPr>
            </w:pPr>
            <w:r w:rsidRPr="004761E0">
              <w:rPr>
                <w:rFonts w:eastAsia="Times New Roman"/>
                <w:b/>
                <w:color w:val="FFFFFF" w:themeColor="background1"/>
                <w:sz w:val="20"/>
                <w:szCs w:val="20"/>
              </w:rPr>
              <w:t>дек</w:t>
            </w:r>
          </w:p>
        </w:tc>
      </w:tr>
      <w:tr w:rsidR="004C1494" w:rsidRPr="004761E0" w:rsidTr="004C1494">
        <w:trPr>
          <w:trHeight w:val="217"/>
        </w:trPr>
        <w:tc>
          <w:tcPr>
            <w:tcW w:w="587" w:type="dxa"/>
            <w:tcBorders>
              <w:top w:val="single" w:sz="4" w:space="0" w:color="FFFFFF" w:themeColor="background1"/>
            </w:tcBorders>
            <w:vAlign w:val="center"/>
          </w:tcPr>
          <w:p w:rsidR="004C1494" w:rsidRPr="004761E0" w:rsidRDefault="004C1494" w:rsidP="007076A7">
            <w:pPr>
              <w:pStyle w:val="a5"/>
              <w:numPr>
                <w:ilvl w:val="0"/>
                <w:numId w:val="64"/>
              </w:numPr>
              <w:contextualSpacing w:val="0"/>
              <w:rPr>
                <w:rFonts w:eastAsia="Times New Roman"/>
                <w:color w:val="000000"/>
                <w:sz w:val="20"/>
                <w:szCs w:val="20"/>
              </w:rPr>
            </w:pPr>
          </w:p>
        </w:tc>
        <w:tc>
          <w:tcPr>
            <w:tcW w:w="1681" w:type="dxa"/>
            <w:tcBorders>
              <w:top w:val="single" w:sz="4" w:space="0" w:color="FFFFFF" w:themeColor="background1"/>
            </w:tcBorders>
            <w:vAlign w:val="center"/>
          </w:tcPr>
          <w:p w:rsidR="004C1494" w:rsidRPr="004761E0" w:rsidRDefault="004C1494" w:rsidP="004C1494">
            <w:pPr>
              <w:ind w:firstLine="0"/>
              <w:rPr>
                <w:rFonts w:eastAsia="Times New Roman"/>
                <w:b/>
                <w:iCs/>
                <w:color w:val="000000"/>
                <w:sz w:val="20"/>
                <w:szCs w:val="20"/>
              </w:rPr>
            </w:pPr>
            <w:r w:rsidRPr="004761E0">
              <w:rPr>
                <w:rFonts w:eastAsia="Times New Roman"/>
                <w:color w:val="000000"/>
                <w:sz w:val="20"/>
                <w:szCs w:val="20"/>
              </w:rPr>
              <w:t>млн шт.</w:t>
            </w:r>
          </w:p>
        </w:tc>
        <w:tc>
          <w:tcPr>
            <w:tcW w:w="668" w:type="dxa"/>
            <w:tcBorders>
              <w:top w:val="single" w:sz="4" w:space="0" w:color="FFFFFF" w:themeColor="background1"/>
            </w:tcBorders>
            <w:vAlign w:val="center"/>
          </w:tcPr>
          <w:p w:rsidR="004C1494" w:rsidRPr="004761E0" w:rsidRDefault="004C1494" w:rsidP="004C1494">
            <w:pPr>
              <w:ind w:firstLine="0"/>
              <w:jc w:val="right"/>
              <w:rPr>
                <w:rFonts w:eastAsia="Times New Roman"/>
                <w:iCs/>
                <w:color w:val="000000"/>
                <w:sz w:val="20"/>
                <w:szCs w:val="20"/>
              </w:rPr>
            </w:pPr>
            <w:r w:rsidRPr="004761E0">
              <w:rPr>
                <w:rFonts w:eastAsia="Times New Roman"/>
                <w:iCs/>
                <w:color w:val="000000"/>
                <w:sz w:val="20"/>
                <w:szCs w:val="20"/>
              </w:rPr>
              <w:t>229,1</w:t>
            </w:r>
          </w:p>
        </w:tc>
        <w:tc>
          <w:tcPr>
            <w:tcW w:w="601" w:type="dxa"/>
            <w:tcBorders>
              <w:top w:val="single" w:sz="4" w:space="0" w:color="FFFFFF" w:themeColor="background1"/>
            </w:tcBorders>
            <w:vAlign w:val="center"/>
          </w:tcPr>
          <w:p w:rsidR="004C1494" w:rsidRPr="004761E0" w:rsidRDefault="004C1494" w:rsidP="004C1494">
            <w:pPr>
              <w:ind w:firstLine="0"/>
              <w:jc w:val="right"/>
              <w:rPr>
                <w:rFonts w:eastAsia="Times New Roman"/>
                <w:iCs/>
                <w:color w:val="000000"/>
                <w:sz w:val="20"/>
                <w:szCs w:val="20"/>
              </w:rPr>
            </w:pPr>
            <w:r w:rsidRPr="004761E0">
              <w:rPr>
                <w:rFonts w:eastAsia="Times New Roman"/>
                <w:iCs/>
                <w:color w:val="000000"/>
                <w:sz w:val="20"/>
                <w:szCs w:val="20"/>
              </w:rPr>
              <w:t>55,9</w:t>
            </w:r>
          </w:p>
        </w:tc>
        <w:tc>
          <w:tcPr>
            <w:tcW w:w="601" w:type="dxa"/>
            <w:tcBorders>
              <w:top w:val="single" w:sz="4" w:space="0" w:color="FFFFFF" w:themeColor="background1"/>
            </w:tcBorders>
            <w:vAlign w:val="center"/>
          </w:tcPr>
          <w:p w:rsidR="004C1494" w:rsidRPr="004761E0" w:rsidRDefault="004C1494" w:rsidP="004C1494">
            <w:pPr>
              <w:ind w:firstLine="0"/>
              <w:jc w:val="right"/>
              <w:rPr>
                <w:rFonts w:eastAsia="Times New Roman"/>
                <w:iCs/>
                <w:color w:val="000000"/>
                <w:sz w:val="20"/>
                <w:szCs w:val="20"/>
              </w:rPr>
            </w:pPr>
            <w:r w:rsidRPr="004761E0">
              <w:rPr>
                <w:rFonts w:eastAsia="Times New Roman"/>
                <w:iCs/>
                <w:color w:val="000000"/>
                <w:sz w:val="20"/>
                <w:szCs w:val="20"/>
              </w:rPr>
              <w:t>38,5</w:t>
            </w:r>
          </w:p>
        </w:tc>
        <w:tc>
          <w:tcPr>
            <w:tcW w:w="690" w:type="dxa"/>
            <w:tcBorders>
              <w:top w:val="single" w:sz="4" w:space="0" w:color="FFFFFF" w:themeColor="background1"/>
            </w:tcBorders>
            <w:vAlign w:val="center"/>
          </w:tcPr>
          <w:p w:rsidR="004C1494" w:rsidRPr="004761E0" w:rsidRDefault="004C1494" w:rsidP="004C1494">
            <w:pPr>
              <w:ind w:firstLine="0"/>
              <w:jc w:val="right"/>
              <w:rPr>
                <w:rFonts w:eastAsia="Times New Roman"/>
                <w:iCs/>
                <w:color w:val="000000"/>
                <w:sz w:val="20"/>
                <w:szCs w:val="20"/>
              </w:rPr>
            </w:pPr>
            <w:r w:rsidRPr="004761E0">
              <w:rPr>
                <w:rFonts w:eastAsia="Times New Roman"/>
                <w:iCs/>
                <w:color w:val="000000"/>
                <w:sz w:val="20"/>
                <w:szCs w:val="20"/>
              </w:rPr>
              <w:t>108,9</w:t>
            </w:r>
          </w:p>
        </w:tc>
        <w:tc>
          <w:tcPr>
            <w:tcW w:w="601" w:type="dxa"/>
            <w:tcBorders>
              <w:top w:val="single" w:sz="4" w:space="0" w:color="FFFFFF" w:themeColor="background1"/>
            </w:tcBorders>
            <w:vAlign w:val="center"/>
          </w:tcPr>
          <w:p w:rsidR="004C1494" w:rsidRPr="004761E0" w:rsidRDefault="004C1494" w:rsidP="004C1494">
            <w:pPr>
              <w:ind w:firstLine="0"/>
              <w:jc w:val="right"/>
              <w:rPr>
                <w:rFonts w:eastAsia="Times New Roman"/>
                <w:iCs/>
                <w:color w:val="000000"/>
                <w:sz w:val="20"/>
                <w:szCs w:val="20"/>
              </w:rPr>
            </w:pPr>
            <w:r w:rsidRPr="004761E0">
              <w:rPr>
                <w:rFonts w:eastAsia="Times New Roman"/>
                <w:iCs/>
                <w:color w:val="000000"/>
                <w:sz w:val="20"/>
                <w:szCs w:val="20"/>
              </w:rPr>
              <w:t>21,0</w:t>
            </w:r>
          </w:p>
        </w:tc>
        <w:tc>
          <w:tcPr>
            <w:tcW w:w="601" w:type="dxa"/>
            <w:tcBorders>
              <w:top w:val="single" w:sz="4" w:space="0" w:color="FFFFFF" w:themeColor="background1"/>
            </w:tcBorders>
            <w:vAlign w:val="center"/>
          </w:tcPr>
          <w:p w:rsidR="004C1494" w:rsidRPr="004761E0" w:rsidRDefault="004C1494" w:rsidP="004C1494">
            <w:pPr>
              <w:ind w:firstLine="0"/>
              <w:jc w:val="right"/>
              <w:rPr>
                <w:rFonts w:eastAsia="Times New Roman"/>
                <w:iCs/>
                <w:color w:val="000000"/>
                <w:sz w:val="20"/>
                <w:szCs w:val="20"/>
              </w:rPr>
            </w:pPr>
            <w:r w:rsidRPr="004761E0">
              <w:rPr>
                <w:rFonts w:eastAsia="Times New Roman"/>
                <w:iCs/>
                <w:color w:val="000000"/>
                <w:sz w:val="20"/>
                <w:szCs w:val="20"/>
              </w:rPr>
              <w:t>31,0</w:t>
            </w:r>
          </w:p>
        </w:tc>
        <w:tc>
          <w:tcPr>
            <w:tcW w:w="601" w:type="dxa"/>
            <w:tcBorders>
              <w:top w:val="single" w:sz="4" w:space="0" w:color="FFFFFF" w:themeColor="background1"/>
            </w:tcBorders>
            <w:vAlign w:val="center"/>
          </w:tcPr>
          <w:p w:rsidR="004C1494" w:rsidRPr="004761E0" w:rsidRDefault="004C1494" w:rsidP="004C1494">
            <w:pPr>
              <w:ind w:firstLine="0"/>
              <w:jc w:val="right"/>
              <w:rPr>
                <w:rFonts w:eastAsia="Times New Roman"/>
                <w:iCs/>
                <w:color w:val="000000"/>
                <w:sz w:val="20"/>
                <w:szCs w:val="20"/>
              </w:rPr>
            </w:pPr>
            <w:r w:rsidRPr="004761E0">
              <w:rPr>
                <w:rFonts w:eastAsia="Times New Roman"/>
                <w:iCs/>
                <w:color w:val="000000"/>
                <w:sz w:val="20"/>
                <w:szCs w:val="20"/>
              </w:rPr>
              <w:t>22,6</w:t>
            </w:r>
          </w:p>
        </w:tc>
        <w:tc>
          <w:tcPr>
            <w:tcW w:w="601" w:type="dxa"/>
            <w:tcBorders>
              <w:top w:val="single" w:sz="4" w:space="0" w:color="FFFFFF" w:themeColor="background1"/>
            </w:tcBorders>
            <w:vAlign w:val="center"/>
          </w:tcPr>
          <w:p w:rsidR="004C1494" w:rsidRPr="004761E0" w:rsidRDefault="004C1494" w:rsidP="004C1494">
            <w:pPr>
              <w:ind w:firstLine="0"/>
              <w:jc w:val="right"/>
              <w:rPr>
                <w:rFonts w:eastAsia="Times New Roman"/>
                <w:iCs/>
                <w:color w:val="000000"/>
                <w:sz w:val="20"/>
                <w:szCs w:val="20"/>
              </w:rPr>
            </w:pPr>
            <w:r w:rsidRPr="004761E0">
              <w:rPr>
                <w:rFonts w:eastAsia="Times New Roman"/>
                <w:iCs/>
                <w:color w:val="000000"/>
                <w:sz w:val="20"/>
                <w:szCs w:val="20"/>
              </w:rPr>
              <w:t>17,0</w:t>
            </w:r>
          </w:p>
        </w:tc>
        <w:tc>
          <w:tcPr>
            <w:tcW w:w="690" w:type="dxa"/>
            <w:tcBorders>
              <w:top w:val="single" w:sz="4" w:space="0" w:color="FFFFFF" w:themeColor="background1"/>
            </w:tcBorders>
            <w:vAlign w:val="center"/>
          </w:tcPr>
          <w:p w:rsidR="004C1494" w:rsidRPr="004761E0" w:rsidRDefault="004C1494" w:rsidP="004C1494">
            <w:pPr>
              <w:ind w:firstLine="0"/>
              <w:jc w:val="right"/>
              <w:rPr>
                <w:rFonts w:eastAsia="Times New Roman"/>
                <w:iCs/>
                <w:color w:val="000000"/>
                <w:sz w:val="20"/>
                <w:szCs w:val="20"/>
              </w:rPr>
            </w:pPr>
            <w:r w:rsidRPr="004761E0">
              <w:rPr>
                <w:rFonts w:eastAsia="Times New Roman"/>
                <w:iCs/>
                <w:color w:val="000000"/>
                <w:sz w:val="20"/>
                <w:szCs w:val="20"/>
              </w:rPr>
              <w:t>87,8</w:t>
            </w:r>
          </w:p>
        </w:tc>
        <w:tc>
          <w:tcPr>
            <w:tcW w:w="601" w:type="dxa"/>
            <w:tcBorders>
              <w:top w:val="single" w:sz="4" w:space="0" w:color="FFFFFF" w:themeColor="background1"/>
            </w:tcBorders>
            <w:vAlign w:val="center"/>
          </w:tcPr>
          <w:p w:rsidR="004C1494" w:rsidRPr="004761E0" w:rsidRDefault="004C1494" w:rsidP="004C1494">
            <w:pPr>
              <w:ind w:firstLine="0"/>
              <w:jc w:val="right"/>
              <w:rPr>
                <w:rFonts w:eastAsia="Times New Roman"/>
                <w:iCs/>
                <w:color w:val="000000"/>
                <w:sz w:val="20"/>
                <w:szCs w:val="20"/>
              </w:rPr>
            </w:pPr>
            <w:r w:rsidRPr="004761E0">
              <w:rPr>
                <w:rFonts w:eastAsia="Times New Roman"/>
                <w:iCs/>
                <w:color w:val="000000"/>
                <w:sz w:val="20"/>
                <w:szCs w:val="20"/>
              </w:rPr>
              <w:t>44,4</w:t>
            </w:r>
          </w:p>
        </w:tc>
        <w:tc>
          <w:tcPr>
            <w:tcW w:w="601" w:type="dxa"/>
            <w:tcBorders>
              <w:top w:val="single" w:sz="4" w:space="0" w:color="FFFFFF" w:themeColor="background1"/>
            </w:tcBorders>
            <w:vAlign w:val="center"/>
          </w:tcPr>
          <w:p w:rsidR="004C1494" w:rsidRPr="004761E0" w:rsidRDefault="004C1494" w:rsidP="004C1494">
            <w:pPr>
              <w:ind w:firstLine="0"/>
              <w:jc w:val="right"/>
              <w:rPr>
                <w:rFonts w:eastAsia="Times New Roman"/>
                <w:iCs/>
                <w:color w:val="000000"/>
                <w:sz w:val="20"/>
                <w:szCs w:val="20"/>
              </w:rPr>
            </w:pPr>
            <w:r w:rsidRPr="004761E0">
              <w:rPr>
                <w:rFonts w:eastAsia="Times New Roman"/>
                <w:iCs/>
                <w:color w:val="000000"/>
                <w:sz w:val="20"/>
                <w:szCs w:val="20"/>
              </w:rPr>
              <w:t>67,6</w:t>
            </w:r>
          </w:p>
        </w:tc>
        <w:tc>
          <w:tcPr>
            <w:tcW w:w="862" w:type="dxa"/>
            <w:tcBorders>
              <w:top w:val="single" w:sz="4" w:space="0" w:color="FFFFFF" w:themeColor="background1"/>
            </w:tcBorders>
            <w:vAlign w:val="center"/>
          </w:tcPr>
          <w:p w:rsidR="004C1494" w:rsidRPr="004761E0" w:rsidRDefault="004C1494" w:rsidP="004C1494">
            <w:pPr>
              <w:ind w:firstLine="0"/>
              <w:jc w:val="right"/>
              <w:rPr>
                <w:rFonts w:eastAsia="Times New Roman"/>
                <w:iCs/>
                <w:color w:val="000000"/>
                <w:sz w:val="20"/>
                <w:szCs w:val="20"/>
              </w:rPr>
            </w:pPr>
            <w:r w:rsidRPr="004761E0">
              <w:rPr>
                <w:rFonts w:eastAsia="Times New Roman"/>
                <w:iCs/>
                <w:color w:val="000000"/>
                <w:sz w:val="20"/>
                <w:szCs w:val="20"/>
              </w:rPr>
              <w:t>4665,9</w:t>
            </w:r>
          </w:p>
        </w:tc>
      </w:tr>
      <w:tr w:rsidR="004C1494" w:rsidRPr="004761E0" w:rsidTr="004C1494">
        <w:trPr>
          <w:trHeight w:val="231"/>
        </w:trPr>
        <w:tc>
          <w:tcPr>
            <w:tcW w:w="587" w:type="dxa"/>
            <w:vAlign w:val="center"/>
          </w:tcPr>
          <w:p w:rsidR="004C1494" w:rsidRPr="004761E0" w:rsidRDefault="004C1494" w:rsidP="007076A7">
            <w:pPr>
              <w:pStyle w:val="a5"/>
              <w:numPr>
                <w:ilvl w:val="0"/>
                <w:numId w:val="64"/>
              </w:numPr>
              <w:contextualSpacing w:val="0"/>
              <w:rPr>
                <w:rFonts w:eastAsia="Times New Roman"/>
                <w:color w:val="000000"/>
                <w:sz w:val="20"/>
                <w:szCs w:val="20"/>
              </w:rPr>
            </w:pPr>
          </w:p>
        </w:tc>
        <w:tc>
          <w:tcPr>
            <w:tcW w:w="1681" w:type="dxa"/>
            <w:vAlign w:val="center"/>
          </w:tcPr>
          <w:p w:rsidR="004C1494" w:rsidRPr="004761E0" w:rsidRDefault="004C1494" w:rsidP="004C1494">
            <w:pPr>
              <w:ind w:firstLine="0"/>
              <w:rPr>
                <w:rFonts w:eastAsia="Times New Roman"/>
                <w:b/>
                <w:iCs/>
                <w:color w:val="000000"/>
                <w:sz w:val="20"/>
                <w:szCs w:val="20"/>
              </w:rPr>
            </w:pPr>
            <w:r w:rsidRPr="004761E0">
              <w:rPr>
                <w:rFonts w:eastAsia="Times New Roman"/>
                <w:color w:val="000000"/>
                <w:sz w:val="20"/>
                <w:szCs w:val="20"/>
              </w:rPr>
              <w:t>млн руб.</w:t>
            </w:r>
          </w:p>
        </w:tc>
        <w:tc>
          <w:tcPr>
            <w:tcW w:w="668" w:type="dxa"/>
            <w:vAlign w:val="center"/>
          </w:tcPr>
          <w:p w:rsidR="004C1494" w:rsidRPr="004761E0" w:rsidRDefault="004C1494" w:rsidP="004C1494">
            <w:pPr>
              <w:ind w:firstLine="0"/>
              <w:jc w:val="right"/>
              <w:rPr>
                <w:rFonts w:eastAsia="Times New Roman"/>
                <w:iCs/>
                <w:color w:val="000000"/>
                <w:sz w:val="20"/>
                <w:szCs w:val="20"/>
              </w:rPr>
            </w:pPr>
            <w:r w:rsidRPr="004761E0">
              <w:rPr>
                <w:rFonts w:eastAsia="Times New Roman"/>
                <w:iCs/>
                <w:color w:val="000000"/>
                <w:sz w:val="20"/>
                <w:szCs w:val="20"/>
              </w:rPr>
              <w:t>388,0</w:t>
            </w:r>
          </w:p>
        </w:tc>
        <w:tc>
          <w:tcPr>
            <w:tcW w:w="601" w:type="dxa"/>
            <w:vAlign w:val="center"/>
          </w:tcPr>
          <w:p w:rsidR="004C1494" w:rsidRPr="004761E0" w:rsidRDefault="004C1494" w:rsidP="004C1494">
            <w:pPr>
              <w:ind w:firstLine="0"/>
              <w:jc w:val="right"/>
              <w:rPr>
                <w:rFonts w:eastAsia="Times New Roman"/>
                <w:iCs/>
                <w:color w:val="000000"/>
                <w:sz w:val="20"/>
                <w:szCs w:val="20"/>
              </w:rPr>
            </w:pPr>
            <w:r w:rsidRPr="004761E0">
              <w:rPr>
                <w:rFonts w:eastAsia="Times New Roman"/>
                <w:iCs/>
                <w:color w:val="000000"/>
                <w:sz w:val="20"/>
                <w:szCs w:val="20"/>
              </w:rPr>
              <w:t>95,3</w:t>
            </w:r>
          </w:p>
        </w:tc>
        <w:tc>
          <w:tcPr>
            <w:tcW w:w="601" w:type="dxa"/>
            <w:vAlign w:val="center"/>
          </w:tcPr>
          <w:p w:rsidR="004C1494" w:rsidRPr="004761E0" w:rsidRDefault="004C1494" w:rsidP="004C1494">
            <w:pPr>
              <w:ind w:firstLine="0"/>
              <w:jc w:val="right"/>
              <w:rPr>
                <w:rFonts w:eastAsia="Times New Roman"/>
                <w:iCs/>
                <w:color w:val="000000"/>
                <w:sz w:val="20"/>
                <w:szCs w:val="20"/>
              </w:rPr>
            </w:pPr>
            <w:r w:rsidRPr="004761E0">
              <w:rPr>
                <w:rFonts w:eastAsia="Times New Roman"/>
                <w:iCs/>
                <w:color w:val="000000"/>
                <w:sz w:val="20"/>
                <w:szCs w:val="20"/>
              </w:rPr>
              <w:t>60,1</w:t>
            </w:r>
          </w:p>
        </w:tc>
        <w:tc>
          <w:tcPr>
            <w:tcW w:w="690" w:type="dxa"/>
            <w:vAlign w:val="center"/>
          </w:tcPr>
          <w:p w:rsidR="004C1494" w:rsidRPr="004761E0" w:rsidRDefault="004C1494" w:rsidP="004C1494">
            <w:pPr>
              <w:ind w:firstLine="0"/>
              <w:jc w:val="right"/>
              <w:rPr>
                <w:rFonts w:eastAsia="Times New Roman"/>
                <w:iCs/>
                <w:color w:val="000000"/>
                <w:sz w:val="20"/>
                <w:szCs w:val="20"/>
              </w:rPr>
            </w:pPr>
            <w:r w:rsidRPr="004761E0">
              <w:rPr>
                <w:rFonts w:eastAsia="Times New Roman"/>
                <w:iCs/>
                <w:color w:val="000000"/>
                <w:sz w:val="20"/>
                <w:szCs w:val="20"/>
              </w:rPr>
              <w:t>148,8</w:t>
            </w:r>
          </w:p>
        </w:tc>
        <w:tc>
          <w:tcPr>
            <w:tcW w:w="601" w:type="dxa"/>
            <w:vAlign w:val="center"/>
          </w:tcPr>
          <w:p w:rsidR="004C1494" w:rsidRPr="004761E0" w:rsidRDefault="004C1494" w:rsidP="004C1494">
            <w:pPr>
              <w:ind w:firstLine="0"/>
              <w:jc w:val="right"/>
              <w:rPr>
                <w:rFonts w:eastAsia="Times New Roman"/>
                <w:iCs/>
                <w:color w:val="000000"/>
                <w:sz w:val="20"/>
                <w:szCs w:val="20"/>
              </w:rPr>
            </w:pPr>
            <w:r w:rsidRPr="004761E0">
              <w:rPr>
                <w:rFonts w:eastAsia="Times New Roman"/>
                <w:iCs/>
                <w:color w:val="000000"/>
                <w:sz w:val="20"/>
                <w:szCs w:val="20"/>
              </w:rPr>
              <w:t>28,9</w:t>
            </w:r>
          </w:p>
        </w:tc>
        <w:tc>
          <w:tcPr>
            <w:tcW w:w="601" w:type="dxa"/>
            <w:vAlign w:val="center"/>
          </w:tcPr>
          <w:p w:rsidR="004C1494" w:rsidRPr="004761E0" w:rsidRDefault="004C1494" w:rsidP="004C1494">
            <w:pPr>
              <w:ind w:firstLine="0"/>
              <w:jc w:val="right"/>
              <w:rPr>
                <w:rFonts w:eastAsia="Times New Roman"/>
                <w:iCs/>
                <w:color w:val="000000"/>
                <w:sz w:val="20"/>
                <w:szCs w:val="20"/>
              </w:rPr>
            </w:pPr>
            <w:r w:rsidRPr="004761E0">
              <w:rPr>
                <w:rFonts w:eastAsia="Times New Roman"/>
                <w:iCs/>
                <w:color w:val="000000"/>
                <w:sz w:val="20"/>
                <w:szCs w:val="20"/>
              </w:rPr>
              <w:t>39,6</w:t>
            </w:r>
          </w:p>
        </w:tc>
        <w:tc>
          <w:tcPr>
            <w:tcW w:w="601" w:type="dxa"/>
            <w:vAlign w:val="center"/>
          </w:tcPr>
          <w:p w:rsidR="004C1494" w:rsidRPr="004761E0" w:rsidRDefault="004C1494" w:rsidP="004C1494">
            <w:pPr>
              <w:ind w:firstLine="0"/>
              <w:jc w:val="right"/>
              <w:rPr>
                <w:rFonts w:eastAsia="Times New Roman"/>
                <w:iCs/>
                <w:color w:val="000000"/>
                <w:sz w:val="20"/>
                <w:szCs w:val="20"/>
              </w:rPr>
            </w:pPr>
            <w:r w:rsidRPr="004761E0">
              <w:rPr>
                <w:rFonts w:eastAsia="Times New Roman"/>
                <w:iCs/>
                <w:color w:val="000000"/>
                <w:sz w:val="20"/>
                <w:szCs w:val="20"/>
              </w:rPr>
              <w:t>28,4</w:t>
            </w:r>
          </w:p>
        </w:tc>
        <w:tc>
          <w:tcPr>
            <w:tcW w:w="601" w:type="dxa"/>
            <w:vAlign w:val="center"/>
          </w:tcPr>
          <w:p w:rsidR="004C1494" w:rsidRPr="004761E0" w:rsidRDefault="004C1494" w:rsidP="004C1494">
            <w:pPr>
              <w:ind w:firstLine="0"/>
              <w:jc w:val="right"/>
              <w:rPr>
                <w:rFonts w:eastAsia="Times New Roman"/>
                <w:iCs/>
                <w:color w:val="000000"/>
                <w:sz w:val="20"/>
                <w:szCs w:val="20"/>
              </w:rPr>
            </w:pPr>
            <w:r w:rsidRPr="004761E0">
              <w:rPr>
                <w:rFonts w:eastAsia="Times New Roman"/>
                <w:iCs/>
                <w:color w:val="000000"/>
                <w:sz w:val="20"/>
                <w:szCs w:val="20"/>
              </w:rPr>
              <w:t>20,4</w:t>
            </w:r>
          </w:p>
        </w:tc>
        <w:tc>
          <w:tcPr>
            <w:tcW w:w="690" w:type="dxa"/>
            <w:vAlign w:val="center"/>
          </w:tcPr>
          <w:p w:rsidR="004C1494" w:rsidRPr="004761E0" w:rsidRDefault="004C1494" w:rsidP="004C1494">
            <w:pPr>
              <w:ind w:firstLine="0"/>
              <w:jc w:val="right"/>
              <w:rPr>
                <w:rFonts w:eastAsia="Times New Roman"/>
                <w:iCs/>
                <w:color w:val="000000"/>
                <w:sz w:val="20"/>
                <w:szCs w:val="20"/>
              </w:rPr>
            </w:pPr>
            <w:r w:rsidRPr="004761E0">
              <w:rPr>
                <w:rFonts w:eastAsia="Times New Roman"/>
                <w:iCs/>
                <w:color w:val="000000"/>
                <w:sz w:val="20"/>
                <w:szCs w:val="20"/>
              </w:rPr>
              <w:t>103,5</w:t>
            </w:r>
          </w:p>
        </w:tc>
        <w:tc>
          <w:tcPr>
            <w:tcW w:w="601" w:type="dxa"/>
            <w:vAlign w:val="center"/>
          </w:tcPr>
          <w:p w:rsidR="004C1494" w:rsidRPr="004761E0" w:rsidRDefault="004C1494" w:rsidP="004C1494">
            <w:pPr>
              <w:ind w:firstLine="0"/>
              <w:jc w:val="right"/>
              <w:rPr>
                <w:rFonts w:eastAsia="Times New Roman"/>
                <w:iCs/>
                <w:color w:val="000000"/>
                <w:sz w:val="20"/>
                <w:szCs w:val="20"/>
              </w:rPr>
            </w:pPr>
            <w:r w:rsidRPr="004761E0">
              <w:rPr>
                <w:rFonts w:eastAsia="Times New Roman"/>
                <w:iCs/>
                <w:color w:val="000000"/>
                <w:sz w:val="20"/>
                <w:szCs w:val="20"/>
              </w:rPr>
              <w:t>55,2</w:t>
            </w:r>
          </w:p>
        </w:tc>
        <w:tc>
          <w:tcPr>
            <w:tcW w:w="601" w:type="dxa"/>
            <w:vAlign w:val="center"/>
          </w:tcPr>
          <w:p w:rsidR="004C1494" w:rsidRPr="004761E0" w:rsidRDefault="004C1494" w:rsidP="004C1494">
            <w:pPr>
              <w:ind w:firstLine="0"/>
              <w:jc w:val="right"/>
              <w:rPr>
                <w:rFonts w:eastAsia="Times New Roman"/>
                <w:iCs/>
                <w:color w:val="000000"/>
                <w:sz w:val="20"/>
                <w:szCs w:val="20"/>
              </w:rPr>
            </w:pPr>
            <w:r w:rsidRPr="004761E0">
              <w:rPr>
                <w:rFonts w:eastAsia="Times New Roman"/>
                <w:iCs/>
                <w:color w:val="000000"/>
                <w:sz w:val="20"/>
                <w:szCs w:val="20"/>
              </w:rPr>
              <w:t>81,4</w:t>
            </w:r>
          </w:p>
        </w:tc>
        <w:tc>
          <w:tcPr>
            <w:tcW w:w="862" w:type="dxa"/>
            <w:vAlign w:val="center"/>
          </w:tcPr>
          <w:p w:rsidR="004C1494" w:rsidRPr="004761E0" w:rsidRDefault="004C1494" w:rsidP="004C1494">
            <w:pPr>
              <w:ind w:firstLine="0"/>
              <w:jc w:val="right"/>
              <w:rPr>
                <w:rFonts w:eastAsia="Times New Roman"/>
                <w:iCs/>
                <w:color w:val="000000"/>
                <w:sz w:val="20"/>
                <w:szCs w:val="20"/>
              </w:rPr>
            </w:pPr>
            <w:r w:rsidRPr="004761E0">
              <w:rPr>
                <w:rFonts w:eastAsia="Times New Roman"/>
                <w:iCs/>
                <w:color w:val="000000"/>
                <w:sz w:val="20"/>
                <w:szCs w:val="20"/>
              </w:rPr>
              <w:t>5397,3</w:t>
            </w:r>
          </w:p>
        </w:tc>
      </w:tr>
    </w:tbl>
    <w:p w:rsidR="004C1494" w:rsidRPr="004761E0" w:rsidRDefault="00EA456F" w:rsidP="004C1494">
      <w:pPr>
        <w:spacing w:before="120" w:after="120"/>
        <w:ind w:left="-1418"/>
        <w:rPr>
          <w:rFonts w:eastAsia="Times New Roman"/>
          <w:b/>
          <w:iCs/>
          <w:color w:val="000000"/>
          <w:sz w:val="26"/>
          <w:szCs w:val="26"/>
          <w:lang w:eastAsia="ru-RU"/>
        </w:rPr>
      </w:pPr>
      <w:r>
        <w:rPr>
          <w:rFonts w:eastAsia="Times New Roman"/>
          <w:b/>
          <w:iCs/>
          <w:noProof/>
          <w:color w:val="000000"/>
          <w:sz w:val="26"/>
          <w:szCs w:val="26"/>
          <w:lang w:eastAsia="ru-RU"/>
        </w:rPr>
        <w:lastRenderedPageBreak/>
        <w:pict>
          <v:shape id="_x0000_s1253" type="#_x0000_t202" style="position:absolute;left:0;text-align:left;margin-left:466.6pt;margin-top:5.2pt;width:53.85pt;height:17.55pt;z-index:251796480;mso-height-percent:200;mso-position-horizontal-relative:text;mso-position-vertical-relative:text;mso-height-percent:200;mso-width-relative:margin;mso-height-relative:margin" stroked="f">
            <v:fill opacity="0"/>
            <v:textbox style="mso-next-textbox:#_x0000_s1253;mso-fit-shape-to-text:t">
              <w:txbxContent>
                <w:p w:rsidR="00EC58E0" w:rsidRPr="009719FB" w:rsidRDefault="00EC58E0" w:rsidP="009719FB">
                  <w:pPr>
                    <w:ind w:firstLine="0"/>
                    <w:rPr>
                      <w:sz w:val="18"/>
                    </w:rPr>
                  </w:pPr>
                  <w:r w:rsidRPr="009719FB">
                    <w:rPr>
                      <w:sz w:val="18"/>
                    </w:rPr>
                    <w:t>4 665,9</w:t>
                  </w:r>
                </w:p>
              </w:txbxContent>
            </v:textbox>
          </v:shape>
        </w:pict>
      </w:r>
      <w:r>
        <w:rPr>
          <w:rFonts w:eastAsia="Times New Roman"/>
          <w:b/>
          <w:iCs/>
          <w:noProof/>
          <w:color w:val="000000"/>
          <w:sz w:val="26"/>
          <w:szCs w:val="26"/>
          <w:lang w:eastAsia="ru-RU"/>
        </w:rPr>
        <w:pict>
          <v:shape id="_x0000_s1254" type="#_x0000_t202" style="position:absolute;left:0;text-align:left;margin-left:496.2pt;margin-top:-12.35pt;width:53.85pt;height:17.55pt;z-index:251797504;mso-height-percent:200;mso-position-horizontal-relative:text;mso-position-vertical-relative:text;mso-height-percent:200;mso-width-relative:margin;mso-height-relative:margin" stroked="f">
            <v:fill opacity="0"/>
            <v:textbox style="mso-next-textbox:#_x0000_s1254;mso-fit-shape-to-text:t">
              <w:txbxContent>
                <w:p w:rsidR="00EC58E0" w:rsidRPr="009719FB" w:rsidRDefault="00EC58E0" w:rsidP="009719FB">
                  <w:pPr>
                    <w:ind w:firstLine="0"/>
                    <w:rPr>
                      <w:sz w:val="18"/>
                    </w:rPr>
                  </w:pPr>
                  <w:r>
                    <w:rPr>
                      <w:sz w:val="18"/>
                    </w:rPr>
                    <w:t>5 397,3</w:t>
                  </w:r>
                </w:p>
              </w:txbxContent>
            </v:textbox>
          </v:shape>
        </w:pict>
      </w:r>
      <w:r>
        <w:rPr>
          <w:rFonts w:eastAsia="Times New Roman"/>
          <w:b/>
          <w:iCs/>
          <w:noProof/>
          <w:color w:val="000000"/>
          <w:sz w:val="26"/>
          <w:szCs w:val="26"/>
          <w:lang w:eastAsia="ru-RU"/>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255" type="#_x0000_t7" style="position:absolute;left:0;text-align:left;margin-left:476.3pt;margin-top:43.5pt;width:46.35pt;height:9.55pt;rotation:-3104475fd;z-index:251798528;mso-position-horizontal-relative:text;mso-position-vertical-relative:text"/>
        </w:pict>
      </w:r>
      <w:r w:rsidR="004C1494" w:rsidRPr="004761E0">
        <w:rPr>
          <w:rFonts w:eastAsia="Times New Roman"/>
          <w:b/>
          <w:iCs/>
          <w:noProof/>
          <w:color w:val="000000"/>
          <w:sz w:val="26"/>
          <w:szCs w:val="26"/>
          <w:lang w:eastAsia="ru-RU"/>
        </w:rPr>
        <w:drawing>
          <wp:inline distT="0" distB="0" distL="0" distR="0">
            <wp:extent cx="7132377" cy="1484431"/>
            <wp:effectExtent l="19050" t="0" r="11373" b="1469"/>
            <wp:docPr id="32"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7674C6" w:rsidRPr="00743B24" w:rsidRDefault="008930A5" w:rsidP="00743B24">
      <w:pPr>
        <w:spacing w:before="120" w:after="120"/>
        <w:ind w:firstLine="567"/>
        <w:rPr>
          <w:rFonts w:eastAsia="Times New Roman"/>
          <w:b/>
          <w:iCs/>
          <w:color w:val="000000"/>
          <w:sz w:val="26"/>
          <w:szCs w:val="26"/>
          <w:lang w:eastAsia="ru-RU"/>
        </w:rPr>
      </w:pPr>
      <w:r w:rsidRPr="00743B24">
        <w:rPr>
          <w:rFonts w:eastAsia="Times New Roman"/>
          <w:b/>
          <w:iCs/>
          <w:color w:val="000000"/>
          <w:sz w:val="26"/>
          <w:szCs w:val="26"/>
          <w:lang w:eastAsia="ru-RU"/>
        </w:rPr>
        <w:t>Изменение рыночной капитализации</w:t>
      </w:r>
      <w:r w:rsidR="004C1494" w:rsidRPr="006F4AB8">
        <w:rPr>
          <w:rStyle w:val="af1"/>
        </w:rPr>
        <w:footnoteReference w:id="112"/>
      </w:r>
    </w:p>
    <w:tbl>
      <w:tblPr>
        <w:tblW w:w="9498" w:type="dxa"/>
        <w:tblInd w:w="108" w:type="dxa"/>
        <w:tblLayout w:type="fixed"/>
        <w:tblLook w:val="04A0"/>
      </w:tblPr>
      <w:tblGrid>
        <w:gridCol w:w="567"/>
        <w:gridCol w:w="3544"/>
        <w:gridCol w:w="2693"/>
        <w:gridCol w:w="1276"/>
        <w:gridCol w:w="1418"/>
      </w:tblGrid>
      <w:tr w:rsidR="004C1494" w:rsidRPr="004761E0" w:rsidTr="004C1494">
        <w:trPr>
          <w:cantSplit/>
        </w:trPr>
        <w:tc>
          <w:tcPr>
            <w:tcW w:w="567" w:type="dxa"/>
            <w:tcBorders>
              <w:top w:val="single" w:sz="4" w:space="0" w:color="auto"/>
              <w:left w:val="nil"/>
              <w:bottom w:val="single" w:sz="4" w:space="0" w:color="auto"/>
              <w:right w:val="single" w:sz="4" w:space="0" w:color="auto"/>
            </w:tcBorders>
            <w:shd w:val="clear" w:color="auto" w:fill="0F243E" w:themeFill="text2" w:themeFillShade="80"/>
            <w:vAlign w:val="center"/>
            <w:hideMark/>
          </w:tcPr>
          <w:p w:rsidR="004C1494" w:rsidRPr="004761E0" w:rsidRDefault="004C1494" w:rsidP="004C1494">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3544" w:type="dxa"/>
            <w:tcBorders>
              <w:top w:val="single" w:sz="4" w:space="0" w:color="auto"/>
              <w:left w:val="nil"/>
              <w:bottom w:val="single" w:sz="4" w:space="0" w:color="auto"/>
              <w:right w:val="single" w:sz="4" w:space="0" w:color="auto"/>
            </w:tcBorders>
            <w:shd w:val="clear" w:color="auto" w:fill="0F243E" w:themeFill="text2" w:themeFillShade="80"/>
            <w:vAlign w:val="center"/>
            <w:hideMark/>
          </w:tcPr>
          <w:p w:rsidR="004C1494" w:rsidRPr="004761E0" w:rsidRDefault="004C1494" w:rsidP="004C1494">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2693" w:type="dxa"/>
            <w:tcBorders>
              <w:top w:val="single" w:sz="4" w:space="0" w:color="auto"/>
              <w:left w:val="nil"/>
              <w:bottom w:val="single" w:sz="4" w:space="0" w:color="auto"/>
              <w:right w:val="single" w:sz="4" w:space="0" w:color="auto"/>
            </w:tcBorders>
            <w:shd w:val="clear" w:color="auto" w:fill="0F243E" w:themeFill="text2" w:themeFillShade="80"/>
            <w:vAlign w:val="center"/>
            <w:hideMark/>
          </w:tcPr>
          <w:p w:rsidR="004C1494" w:rsidRPr="004761E0" w:rsidRDefault="004C1494" w:rsidP="004C1494">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28.12.2012</w:t>
            </w:r>
          </w:p>
        </w:tc>
        <w:tc>
          <w:tcPr>
            <w:tcW w:w="1276" w:type="dxa"/>
            <w:tcBorders>
              <w:top w:val="single" w:sz="4" w:space="0" w:color="auto"/>
              <w:left w:val="nil"/>
              <w:bottom w:val="single" w:sz="4" w:space="0" w:color="auto"/>
              <w:right w:val="single" w:sz="4" w:space="0" w:color="auto"/>
            </w:tcBorders>
            <w:shd w:val="clear" w:color="auto" w:fill="0F243E" w:themeFill="text2" w:themeFillShade="80"/>
            <w:vAlign w:val="center"/>
            <w:hideMark/>
          </w:tcPr>
          <w:p w:rsidR="004C1494" w:rsidRPr="004761E0" w:rsidRDefault="004C1494" w:rsidP="004C1494">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30.12.2013</w:t>
            </w:r>
          </w:p>
        </w:tc>
        <w:tc>
          <w:tcPr>
            <w:tcW w:w="1418" w:type="dxa"/>
            <w:tcBorders>
              <w:top w:val="single" w:sz="4" w:space="0" w:color="auto"/>
              <w:left w:val="nil"/>
              <w:bottom w:val="single" w:sz="4" w:space="0" w:color="auto"/>
              <w:right w:val="single" w:sz="4" w:space="0" w:color="auto"/>
            </w:tcBorders>
            <w:shd w:val="clear" w:color="auto" w:fill="0F243E" w:themeFill="text2" w:themeFillShade="80"/>
            <w:vAlign w:val="center"/>
            <w:hideMark/>
          </w:tcPr>
          <w:p w:rsidR="004C1494" w:rsidRPr="004761E0" w:rsidRDefault="004C1494" w:rsidP="004C1494">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Изменение</w:t>
            </w:r>
          </w:p>
        </w:tc>
      </w:tr>
      <w:tr w:rsidR="004C1494" w:rsidRPr="004761E0" w:rsidTr="004245B5">
        <w:trPr>
          <w:cantSplit/>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Del="00B373CF" w:rsidRDefault="004C1494" w:rsidP="007076A7">
            <w:pPr>
              <w:pStyle w:val="a5"/>
              <w:numPr>
                <w:ilvl w:val="0"/>
                <w:numId w:val="65"/>
              </w:numPr>
              <w:contextualSpacing w:val="0"/>
              <w:rPr>
                <w:rFonts w:eastAsia="Times New Roman"/>
                <w:sz w:val="20"/>
                <w:szCs w:val="20"/>
                <w:lang w:eastAsia="ru-RU"/>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08080E" w:rsidP="004C1494">
            <w:pPr>
              <w:ind w:firstLine="0"/>
              <w:rPr>
                <w:rFonts w:eastAsia="Times New Roman"/>
                <w:sz w:val="20"/>
                <w:szCs w:val="20"/>
                <w:lang w:eastAsia="ru-RU"/>
              </w:rPr>
            </w:pPr>
            <w:r>
              <w:rPr>
                <w:rFonts w:eastAsia="Times New Roman"/>
                <w:sz w:val="20"/>
                <w:szCs w:val="20"/>
                <w:lang w:eastAsia="ru-RU"/>
              </w:rPr>
              <w:t>ОАО </w:t>
            </w:r>
            <w:r w:rsidR="004C1494" w:rsidRPr="004761E0">
              <w:rPr>
                <w:rFonts w:eastAsia="Times New Roman"/>
                <w:sz w:val="20"/>
                <w:szCs w:val="20"/>
                <w:lang w:eastAsia="ru-RU"/>
              </w:rPr>
              <w:t>«Россети»</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494" w:rsidRPr="004761E0" w:rsidRDefault="004C1494" w:rsidP="004245B5">
            <w:pPr>
              <w:ind w:firstLine="0"/>
              <w:jc w:val="right"/>
              <w:rPr>
                <w:rFonts w:eastAsia="Times New Roman"/>
                <w:sz w:val="18"/>
                <w:szCs w:val="18"/>
                <w:lang w:eastAsia="ru-RU"/>
              </w:rPr>
            </w:pPr>
            <w:r w:rsidRPr="004761E0">
              <w:rPr>
                <w:rFonts w:eastAsia="Times New Roman"/>
                <w:sz w:val="18"/>
                <w:szCs w:val="18"/>
                <w:lang w:eastAsia="ru-RU"/>
              </w:rPr>
              <w:t>94 020,0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494" w:rsidRPr="004761E0" w:rsidRDefault="004C1494" w:rsidP="004245B5">
            <w:pPr>
              <w:ind w:firstLine="0"/>
              <w:jc w:val="right"/>
              <w:rPr>
                <w:rFonts w:eastAsia="Times New Roman"/>
                <w:sz w:val="18"/>
                <w:szCs w:val="18"/>
                <w:lang w:eastAsia="ru-RU"/>
              </w:rPr>
            </w:pPr>
            <w:r w:rsidRPr="004761E0">
              <w:rPr>
                <w:rFonts w:eastAsia="Times New Roman"/>
                <w:sz w:val="18"/>
                <w:szCs w:val="18"/>
                <w:lang w:eastAsia="ru-RU"/>
              </w:rPr>
              <w:t>125 158,3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494" w:rsidRPr="004761E0" w:rsidRDefault="004C1494" w:rsidP="004245B5">
            <w:pPr>
              <w:ind w:firstLine="0"/>
              <w:jc w:val="right"/>
              <w:rPr>
                <w:rFonts w:eastAsia="Times New Roman"/>
                <w:sz w:val="18"/>
                <w:szCs w:val="18"/>
                <w:lang w:eastAsia="ru-RU"/>
              </w:rPr>
            </w:pPr>
            <w:r w:rsidRPr="004761E0">
              <w:rPr>
                <w:rFonts w:eastAsia="Times New Roman"/>
                <w:sz w:val="18"/>
                <w:szCs w:val="18"/>
                <w:lang w:eastAsia="ru-RU"/>
              </w:rPr>
              <w:t>33,1 %</w:t>
            </w:r>
          </w:p>
        </w:tc>
      </w:tr>
      <w:tr w:rsidR="004C1494" w:rsidRPr="004761E0" w:rsidTr="004245B5">
        <w:trPr>
          <w:cantSplit/>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Del="00B373CF" w:rsidRDefault="004C1494" w:rsidP="007076A7">
            <w:pPr>
              <w:pStyle w:val="a5"/>
              <w:numPr>
                <w:ilvl w:val="0"/>
                <w:numId w:val="65"/>
              </w:numPr>
              <w:contextualSpacing w:val="0"/>
              <w:rPr>
                <w:rFonts w:eastAsia="Times New Roman"/>
                <w:sz w:val="20"/>
                <w:szCs w:val="20"/>
                <w:lang w:eastAsia="ru-RU"/>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08080E" w:rsidP="004C1494">
            <w:pPr>
              <w:ind w:firstLine="0"/>
              <w:rPr>
                <w:rFonts w:eastAsia="Times New Roman"/>
                <w:sz w:val="20"/>
                <w:szCs w:val="20"/>
                <w:lang w:eastAsia="ru-RU"/>
              </w:rPr>
            </w:pPr>
            <w:r>
              <w:rPr>
                <w:rFonts w:eastAsia="Times New Roman"/>
                <w:sz w:val="20"/>
                <w:szCs w:val="20"/>
                <w:lang w:eastAsia="ru-RU"/>
              </w:rPr>
              <w:t>ОАО </w:t>
            </w:r>
            <w:r w:rsidR="004C1494" w:rsidRPr="004761E0">
              <w:rPr>
                <w:rFonts w:eastAsia="Times New Roman"/>
                <w:sz w:val="20"/>
                <w:szCs w:val="20"/>
                <w:lang w:eastAsia="ru-RU"/>
              </w:rPr>
              <w:t>«ФСК ЕЭС»</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494" w:rsidRPr="004761E0" w:rsidRDefault="004C1494" w:rsidP="004245B5">
            <w:pPr>
              <w:ind w:firstLine="0"/>
              <w:jc w:val="right"/>
              <w:rPr>
                <w:rFonts w:eastAsia="Times New Roman"/>
                <w:sz w:val="18"/>
                <w:szCs w:val="18"/>
                <w:lang w:eastAsia="ru-RU"/>
              </w:rPr>
            </w:pPr>
            <w:r w:rsidRPr="004761E0">
              <w:rPr>
                <w:rFonts w:eastAsia="Times New Roman"/>
                <w:sz w:val="18"/>
                <w:szCs w:val="18"/>
                <w:lang w:eastAsia="ru-RU"/>
              </w:rPr>
              <w:t>253 904,9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494" w:rsidRPr="004761E0" w:rsidRDefault="004C1494" w:rsidP="004245B5">
            <w:pPr>
              <w:ind w:firstLine="0"/>
              <w:jc w:val="right"/>
              <w:rPr>
                <w:rFonts w:eastAsia="Times New Roman"/>
                <w:sz w:val="18"/>
                <w:szCs w:val="18"/>
                <w:lang w:eastAsia="ru-RU"/>
              </w:rPr>
            </w:pPr>
            <w:r w:rsidRPr="004761E0">
              <w:rPr>
                <w:rFonts w:eastAsia="Times New Roman"/>
                <w:sz w:val="18"/>
                <w:szCs w:val="18"/>
                <w:lang w:eastAsia="ru-RU"/>
              </w:rPr>
              <w:t>115 453,2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494" w:rsidRPr="004761E0" w:rsidRDefault="004C1494" w:rsidP="004245B5">
            <w:pPr>
              <w:ind w:firstLine="0"/>
              <w:jc w:val="right"/>
              <w:rPr>
                <w:rFonts w:eastAsia="Times New Roman"/>
                <w:sz w:val="18"/>
                <w:szCs w:val="18"/>
                <w:lang w:eastAsia="ru-RU"/>
              </w:rPr>
            </w:pPr>
            <w:r w:rsidRPr="004761E0">
              <w:rPr>
                <w:rFonts w:eastAsia="Times New Roman"/>
                <w:sz w:val="18"/>
                <w:szCs w:val="18"/>
                <w:lang w:eastAsia="ru-RU"/>
              </w:rPr>
              <w:t>-54,5 %</w:t>
            </w:r>
          </w:p>
        </w:tc>
      </w:tr>
      <w:tr w:rsidR="004C1494" w:rsidRPr="004761E0" w:rsidTr="004245B5">
        <w:trPr>
          <w:cantSplit/>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494" w:rsidRPr="004761E0" w:rsidRDefault="004C1494" w:rsidP="007076A7">
            <w:pPr>
              <w:pStyle w:val="a5"/>
              <w:numPr>
                <w:ilvl w:val="0"/>
                <w:numId w:val="65"/>
              </w:numPr>
              <w:contextualSpacing w:val="0"/>
              <w:rPr>
                <w:rFonts w:eastAsia="Times New Roman"/>
                <w:sz w:val="20"/>
                <w:szCs w:val="20"/>
                <w:lang w:eastAsia="ru-RU"/>
              </w:rPr>
            </w:pP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494" w:rsidRPr="004761E0" w:rsidRDefault="0008080E" w:rsidP="004C1494">
            <w:pPr>
              <w:ind w:firstLine="0"/>
              <w:rPr>
                <w:rFonts w:eastAsia="Times New Roman"/>
                <w:sz w:val="20"/>
                <w:szCs w:val="20"/>
                <w:lang w:eastAsia="ru-RU"/>
              </w:rPr>
            </w:pPr>
            <w:r>
              <w:rPr>
                <w:rFonts w:eastAsia="Times New Roman"/>
                <w:sz w:val="20"/>
                <w:szCs w:val="20"/>
                <w:lang w:eastAsia="ru-RU"/>
              </w:rPr>
              <w:t>ОАО </w:t>
            </w:r>
            <w:r w:rsidR="004C1494" w:rsidRPr="004761E0">
              <w:rPr>
                <w:rFonts w:eastAsia="Times New Roman"/>
                <w:sz w:val="20"/>
                <w:szCs w:val="20"/>
                <w:lang w:eastAsia="ru-RU"/>
              </w:rPr>
              <w:t>«МОЭСК»</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C1494" w:rsidRPr="004761E0" w:rsidRDefault="004C1494" w:rsidP="004245B5">
            <w:pPr>
              <w:ind w:firstLine="0"/>
              <w:jc w:val="right"/>
              <w:rPr>
                <w:rFonts w:eastAsia="Times New Roman"/>
                <w:sz w:val="18"/>
                <w:szCs w:val="18"/>
                <w:lang w:eastAsia="ru-RU"/>
              </w:rPr>
            </w:pPr>
            <w:r w:rsidRPr="004761E0">
              <w:rPr>
                <w:rFonts w:eastAsia="Times New Roman"/>
                <w:sz w:val="18"/>
                <w:szCs w:val="18"/>
                <w:lang w:eastAsia="ru-RU"/>
              </w:rPr>
              <w:t>73 469,8</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C1494" w:rsidRPr="004761E0" w:rsidRDefault="004C1494" w:rsidP="004245B5">
            <w:pPr>
              <w:ind w:firstLine="0"/>
              <w:jc w:val="right"/>
              <w:rPr>
                <w:rFonts w:eastAsia="Times New Roman"/>
                <w:sz w:val="18"/>
                <w:szCs w:val="18"/>
                <w:lang w:eastAsia="ru-RU"/>
              </w:rPr>
            </w:pPr>
            <w:r w:rsidRPr="004761E0">
              <w:rPr>
                <w:rFonts w:eastAsia="Times New Roman"/>
                <w:sz w:val="18"/>
                <w:szCs w:val="18"/>
                <w:lang w:eastAsia="ru-RU"/>
              </w:rPr>
              <w:t>70 771,4</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C1494" w:rsidRPr="004761E0" w:rsidRDefault="004C1494" w:rsidP="004245B5">
            <w:pPr>
              <w:ind w:firstLine="0"/>
              <w:jc w:val="right"/>
              <w:rPr>
                <w:rFonts w:eastAsia="Times New Roman"/>
                <w:sz w:val="18"/>
                <w:szCs w:val="18"/>
                <w:lang w:eastAsia="ru-RU"/>
              </w:rPr>
            </w:pPr>
            <w:r w:rsidRPr="004761E0">
              <w:rPr>
                <w:rFonts w:eastAsia="Times New Roman"/>
                <w:sz w:val="18"/>
                <w:szCs w:val="18"/>
                <w:lang w:eastAsia="ru-RU"/>
              </w:rPr>
              <w:t>-3,7 %</w:t>
            </w:r>
          </w:p>
        </w:tc>
      </w:tr>
      <w:tr w:rsidR="004C1494" w:rsidRPr="004761E0" w:rsidTr="004245B5">
        <w:trPr>
          <w:cantSplit/>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7076A7">
            <w:pPr>
              <w:pStyle w:val="a5"/>
              <w:numPr>
                <w:ilvl w:val="0"/>
                <w:numId w:val="65"/>
              </w:numPr>
              <w:contextualSpacing w:val="0"/>
              <w:rPr>
                <w:rFonts w:eastAsia="Times New Roman"/>
                <w:sz w:val="20"/>
                <w:szCs w:val="20"/>
                <w:lang w:eastAsia="ru-RU"/>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08080E" w:rsidP="004C1494">
            <w:pPr>
              <w:ind w:firstLine="0"/>
              <w:rPr>
                <w:rFonts w:eastAsia="Times New Roman"/>
                <w:sz w:val="20"/>
                <w:szCs w:val="20"/>
                <w:lang w:eastAsia="ru-RU"/>
              </w:rPr>
            </w:pPr>
            <w:r>
              <w:rPr>
                <w:rFonts w:eastAsia="Times New Roman"/>
                <w:sz w:val="20"/>
                <w:szCs w:val="20"/>
                <w:lang w:eastAsia="ru-RU"/>
              </w:rPr>
              <w:t>ОАО </w:t>
            </w:r>
            <w:r w:rsidR="004C1494" w:rsidRPr="004761E0">
              <w:rPr>
                <w:rFonts w:eastAsia="Times New Roman"/>
                <w:sz w:val="20"/>
                <w:szCs w:val="20"/>
                <w:lang w:eastAsia="ru-RU"/>
              </w:rPr>
              <w:t>«МРСК Центра»</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494" w:rsidRPr="004761E0" w:rsidRDefault="004C1494" w:rsidP="004245B5">
            <w:pPr>
              <w:ind w:firstLine="0"/>
              <w:jc w:val="right"/>
              <w:rPr>
                <w:rFonts w:eastAsia="Times New Roman"/>
                <w:sz w:val="18"/>
                <w:szCs w:val="18"/>
                <w:lang w:eastAsia="ru-RU"/>
              </w:rPr>
            </w:pPr>
            <w:r w:rsidRPr="004761E0">
              <w:rPr>
                <w:rFonts w:eastAsia="Times New Roman"/>
                <w:sz w:val="18"/>
                <w:szCs w:val="18"/>
                <w:lang w:eastAsia="ru-RU"/>
              </w:rPr>
              <w:t>24 625,7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494" w:rsidRPr="004761E0" w:rsidRDefault="004C1494" w:rsidP="004245B5">
            <w:pPr>
              <w:ind w:firstLine="0"/>
              <w:jc w:val="right"/>
              <w:rPr>
                <w:rFonts w:eastAsia="Times New Roman"/>
                <w:sz w:val="18"/>
                <w:szCs w:val="18"/>
                <w:lang w:eastAsia="ru-RU"/>
              </w:rPr>
            </w:pPr>
            <w:r w:rsidRPr="004761E0">
              <w:rPr>
                <w:rFonts w:eastAsia="Times New Roman"/>
                <w:sz w:val="18"/>
                <w:szCs w:val="18"/>
                <w:lang w:eastAsia="ru-RU"/>
              </w:rPr>
              <w:t>9 283,7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494" w:rsidRPr="004761E0" w:rsidRDefault="004C1494" w:rsidP="004245B5">
            <w:pPr>
              <w:ind w:firstLine="0"/>
              <w:jc w:val="right"/>
              <w:rPr>
                <w:rFonts w:eastAsia="Times New Roman"/>
                <w:sz w:val="18"/>
                <w:szCs w:val="18"/>
                <w:lang w:eastAsia="ru-RU"/>
              </w:rPr>
            </w:pPr>
            <w:r w:rsidRPr="004761E0">
              <w:rPr>
                <w:rFonts w:eastAsia="Times New Roman"/>
                <w:sz w:val="18"/>
                <w:szCs w:val="18"/>
                <w:lang w:eastAsia="ru-RU"/>
              </w:rPr>
              <w:t>-62,3 %</w:t>
            </w:r>
          </w:p>
        </w:tc>
      </w:tr>
      <w:tr w:rsidR="004C1494" w:rsidRPr="004761E0" w:rsidTr="004245B5">
        <w:trPr>
          <w:cantSplit/>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7076A7">
            <w:pPr>
              <w:pStyle w:val="a5"/>
              <w:numPr>
                <w:ilvl w:val="0"/>
                <w:numId w:val="65"/>
              </w:numPr>
              <w:contextualSpacing w:val="0"/>
              <w:rPr>
                <w:rFonts w:eastAsia="Times New Roman"/>
                <w:sz w:val="20"/>
                <w:szCs w:val="20"/>
                <w:lang w:eastAsia="ru-RU"/>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08080E" w:rsidP="004C1494">
            <w:pPr>
              <w:ind w:firstLine="0"/>
              <w:rPr>
                <w:rFonts w:eastAsia="Times New Roman"/>
                <w:sz w:val="20"/>
                <w:szCs w:val="20"/>
                <w:lang w:eastAsia="ru-RU"/>
              </w:rPr>
            </w:pPr>
            <w:r>
              <w:rPr>
                <w:rFonts w:eastAsia="Times New Roman"/>
                <w:sz w:val="20"/>
                <w:szCs w:val="20"/>
                <w:lang w:eastAsia="ru-RU"/>
              </w:rPr>
              <w:t>ОАО </w:t>
            </w:r>
            <w:r w:rsidR="004C1494" w:rsidRPr="004761E0">
              <w:rPr>
                <w:rFonts w:eastAsia="Times New Roman"/>
                <w:sz w:val="20"/>
                <w:szCs w:val="20"/>
                <w:lang w:eastAsia="ru-RU"/>
              </w:rPr>
              <w:t>«МРСК Центра и Приволжья»</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494" w:rsidRPr="004761E0" w:rsidRDefault="004C1494" w:rsidP="004245B5">
            <w:pPr>
              <w:ind w:firstLine="0"/>
              <w:jc w:val="right"/>
              <w:rPr>
                <w:rFonts w:eastAsia="Times New Roman"/>
                <w:sz w:val="18"/>
                <w:szCs w:val="18"/>
                <w:lang w:eastAsia="ru-RU"/>
              </w:rPr>
            </w:pPr>
            <w:r w:rsidRPr="004761E0">
              <w:rPr>
                <w:rFonts w:eastAsia="Times New Roman"/>
                <w:sz w:val="18"/>
                <w:szCs w:val="18"/>
                <w:lang w:eastAsia="ru-RU"/>
              </w:rPr>
              <w:t>19 362,6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494" w:rsidRPr="004761E0" w:rsidRDefault="004C1494" w:rsidP="004245B5">
            <w:pPr>
              <w:ind w:firstLine="0"/>
              <w:jc w:val="right"/>
              <w:rPr>
                <w:rFonts w:eastAsia="Times New Roman"/>
                <w:sz w:val="18"/>
                <w:szCs w:val="18"/>
                <w:lang w:eastAsia="ru-RU"/>
              </w:rPr>
            </w:pPr>
            <w:r w:rsidRPr="004761E0">
              <w:rPr>
                <w:rFonts w:eastAsia="Times New Roman"/>
                <w:sz w:val="18"/>
                <w:szCs w:val="18"/>
                <w:lang w:eastAsia="ru-RU"/>
              </w:rPr>
              <w:t>7 580,1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494" w:rsidRPr="004761E0" w:rsidRDefault="004C1494" w:rsidP="004245B5">
            <w:pPr>
              <w:ind w:firstLine="0"/>
              <w:jc w:val="right"/>
              <w:rPr>
                <w:rFonts w:eastAsia="Times New Roman"/>
                <w:sz w:val="18"/>
                <w:szCs w:val="18"/>
                <w:lang w:eastAsia="ru-RU"/>
              </w:rPr>
            </w:pPr>
            <w:r w:rsidRPr="004761E0">
              <w:rPr>
                <w:rFonts w:eastAsia="Times New Roman"/>
                <w:sz w:val="18"/>
                <w:szCs w:val="18"/>
                <w:lang w:eastAsia="ru-RU"/>
              </w:rPr>
              <w:t>-60,9 %</w:t>
            </w:r>
          </w:p>
        </w:tc>
      </w:tr>
      <w:tr w:rsidR="004C1494" w:rsidRPr="004761E0" w:rsidTr="004245B5">
        <w:trPr>
          <w:cantSplit/>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7076A7">
            <w:pPr>
              <w:pStyle w:val="a5"/>
              <w:numPr>
                <w:ilvl w:val="0"/>
                <w:numId w:val="65"/>
              </w:numPr>
              <w:contextualSpacing w:val="0"/>
              <w:rPr>
                <w:rFonts w:eastAsia="Times New Roman"/>
                <w:sz w:val="20"/>
                <w:szCs w:val="20"/>
                <w:lang w:eastAsia="ru-RU"/>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08080E" w:rsidP="004C1494">
            <w:pPr>
              <w:ind w:firstLine="0"/>
              <w:rPr>
                <w:rFonts w:eastAsia="Times New Roman"/>
                <w:sz w:val="20"/>
                <w:szCs w:val="20"/>
                <w:lang w:eastAsia="ru-RU"/>
              </w:rPr>
            </w:pPr>
            <w:r>
              <w:rPr>
                <w:rFonts w:eastAsia="Times New Roman"/>
                <w:sz w:val="20"/>
                <w:szCs w:val="20"/>
                <w:lang w:eastAsia="ru-RU"/>
              </w:rPr>
              <w:t>ОАО </w:t>
            </w:r>
            <w:r w:rsidR="004C1494" w:rsidRPr="004761E0">
              <w:rPr>
                <w:rFonts w:eastAsia="Times New Roman"/>
                <w:sz w:val="20"/>
                <w:szCs w:val="20"/>
                <w:lang w:eastAsia="ru-RU"/>
              </w:rPr>
              <w:t>«МРСК Сибири»</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494" w:rsidRPr="004761E0" w:rsidRDefault="004C1494" w:rsidP="004245B5">
            <w:pPr>
              <w:ind w:firstLine="0"/>
              <w:jc w:val="right"/>
              <w:rPr>
                <w:rFonts w:eastAsia="Times New Roman"/>
                <w:sz w:val="18"/>
                <w:szCs w:val="18"/>
                <w:lang w:eastAsia="ru-RU"/>
              </w:rPr>
            </w:pPr>
            <w:r w:rsidRPr="004761E0">
              <w:rPr>
                <w:rFonts w:eastAsia="Times New Roman"/>
                <w:sz w:val="18"/>
                <w:szCs w:val="18"/>
                <w:lang w:eastAsia="ru-RU"/>
              </w:rPr>
              <w:t>8 440,4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494" w:rsidRPr="004761E0" w:rsidRDefault="004C1494" w:rsidP="004245B5">
            <w:pPr>
              <w:ind w:firstLine="0"/>
              <w:jc w:val="right"/>
              <w:rPr>
                <w:rFonts w:eastAsia="Times New Roman"/>
                <w:sz w:val="18"/>
                <w:szCs w:val="18"/>
                <w:lang w:eastAsia="ru-RU"/>
              </w:rPr>
            </w:pPr>
            <w:r w:rsidRPr="004761E0">
              <w:rPr>
                <w:rFonts w:eastAsia="Times New Roman"/>
                <w:sz w:val="18"/>
                <w:szCs w:val="18"/>
                <w:lang w:eastAsia="ru-RU"/>
              </w:rPr>
              <w:t>6 630,4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494" w:rsidRPr="004761E0" w:rsidRDefault="004C1494" w:rsidP="004245B5">
            <w:pPr>
              <w:ind w:firstLine="0"/>
              <w:jc w:val="right"/>
              <w:rPr>
                <w:rFonts w:eastAsia="Times New Roman"/>
                <w:sz w:val="18"/>
                <w:szCs w:val="18"/>
                <w:lang w:eastAsia="ru-RU"/>
              </w:rPr>
            </w:pPr>
            <w:r w:rsidRPr="004761E0">
              <w:rPr>
                <w:rFonts w:eastAsia="Times New Roman"/>
                <w:sz w:val="18"/>
                <w:szCs w:val="18"/>
                <w:lang w:eastAsia="ru-RU"/>
              </w:rPr>
              <w:t>-21,4 %</w:t>
            </w:r>
          </w:p>
        </w:tc>
      </w:tr>
      <w:tr w:rsidR="004C1494" w:rsidRPr="004761E0" w:rsidTr="004245B5">
        <w:trPr>
          <w:cantSplit/>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7076A7">
            <w:pPr>
              <w:pStyle w:val="a5"/>
              <w:numPr>
                <w:ilvl w:val="0"/>
                <w:numId w:val="65"/>
              </w:numPr>
              <w:contextualSpacing w:val="0"/>
              <w:rPr>
                <w:rFonts w:eastAsia="Times New Roman"/>
                <w:sz w:val="20"/>
                <w:szCs w:val="20"/>
                <w:lang w:eastAsia="ru-RU"/>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08080E" w:rsidP="004C1494">
            <w:pPr>
              <w:ind w:firstLine="0"/>
              <w:rPr>
                <w:rFonts w:eastAsia="Times New Roman"/>
                <w:sz w:val="20"/>
                <w:szCs w:val="20"/>
                <w:lang w:eastAsia="ru-RU"/>
              </w:rPr>
            </w:pPr>
            <w:r>
              <w:rPr>
                <w:rFonts w:eastAsia="Times New Roman"/>
                <w:sz w:val="20"/>
                <w:szCs w:val="20"/>
                <w:lang w:eastAsia="ru-RU"/>
              </w:rPr>
              <w:t>ОАО </w:t>
            </w:r>
            <w:r w:rsidR="004C1494" w:rsidRPr="004761E0">
              <w:rPr>
                <w:rFonts w:eastAsia="Times New Roman"/>
                <w:sz w:val="20"/>
                <w:szCs w:val="20"/>
                <w:lang w:eastAsia="ru-RU"/>
              </w:rPr>
              <w:t>«МРСК Урала»</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494" w:rsidRPr="004761E0" w:rsidRDefault="004C1494" w:rsidP="004245B5">
            <w:pPr>
              <w:ind w:firstLine="0"/>
              <w:jc w:val="right"/>
              <w:rPr>
                <w:rFonts w:eastAsia="Times New Roman"/>
                <w:sz w:val="18"/>
                <w:szCs w:val="18"/>
                <w:lang w:eastAsia="ru-RU"/>
              </w:rPr>
            </w:pPr>
            <w:r w:rsidRPr="004761E0">
              <w:rPr>
                <w:rFonts w:eastAsia="Times New Roman"/>
                <w:sz w:val="18"/>
                <w:szCs w:val="18"/>
                <w:lang w:eastAsia="ru-RU"/>
              </w:rPr>
              <w:t>18 420,7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494" w:rsidRPr="004761E0" w:rsidRDefault="004C1494" w:rsidP="004245B5">
            <w:pPr>
              <w:ind w:firstLine="0"/>
              <w:jc w:val="right"/>
              <w:rPr>
                <w:rFonts w:eastAsia="Times New Roman"/>
                <w:sz w:val="18"/>
                <w:szCs w:val="18"/>
                <w:lang w:eastAsia="ru-RU"/>
              </w:rPr>
            </w:pPr>
            <w:r w:rsidRPr="004761E0">
              <w:rPr>
                <w:rFonts w:eastAsia="Times New Roman"/>
                <w:sz w:val="18"/>
                <w:szCs w:val="18"/>
                <w:lang w:eastAsia="ru-RU"/>
              </w:rPr>
              <w:t>5 551,0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494" w:rsidRPr="004761E0" w:rsidRDefault="004C1494" w:rsidP="004245B5">
            <w:pPr>
              <w:ind w:firstLine="0"/>
              <w:jc w:val="right"/>
              <w:rPr>
                <w:rFonts w:eastAsia="Times New Roman"/>
                <w:sz w:val="18"/>
                <w:szCs w:val="18"/>
                <w:lang w:eastAsia="ru-RU"/>
              </w:rPr>
            </w:pPr>
            <w:r w:rsidRPr="004761E0">
              <w:rPr>
                <w:rFonts w:eastAsia="Times New Roman"/>
                <w:sz w:val="18"/>
                <w:szCs w:val="18"/>
                <w:lang w:eastAsia="ru-RU"/>
              </w:rPr>
              <w:t>-69,9 %</w:t>
            </w:r>
          </w:p>
        </w:tc>
      </w:tr>
      <w:tr w:rsidR="004C1494" w:rsidRPr="004761E0" w:rsidTr="004245B5">
        <w:trPr>
          <w:cantSplit/>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7076A7">
            <w:pPr>
              <w:pStyle w:val="a5"/>
              <w:numPr>
                <w:ilvl w:val="0"/>
                <w:numId w:val="65"/>
              </w:numPr>
              <w:contextualSpacing w:val="0"/>
              <w:rPr>
                <w:rFonts w:eastAsia="Times New Roman"/>
                <w:sz w:val="20"/>
                <w:szCs w:val="20"/>
                <w:lang w:eastAsia="ru-RU"/>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08080E" w:rsidP="004C1494">
            <w:pPr>
              <w:ind w:firstLine="0"/>
              <w:rPr>
                <w:rFonts w:eastAsia="Times New Roman"/>
                <w:sz w:val="20"/>
                <w:szCs w:val="20"/>
                <w:lang w:eastAsia="ru-RU"/>
              </w:rPr>
            </w:pPr>
            <w:r>
              <w:rPr>
                <w:rFonts w:eastAsia="Times New Roman"/>
                <w:sz w:val="20"/>
                <w:szCs w:val="20"/>
                <w:lang w:eastAsia="ru-RU"/>
              </w:rPr>
              <w:t>ОАО </w:t>
            </w:r>
            <w:r w:rsidR="004C1494" w:rsidRPr="004761E0">
              <w:rPr>
                <w:rFonts w:eastAsia="Times New Roman"/>
                <w:sz w:val="20"/>
                <w:szCs w:val="20"/>
                <w:lang w:eastAsia="ru-RU"/>
              </w:rPr>
              <w:t>«МРСК Волги»</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494" w:rsidRPr="004761E0" w:rsidRDefault="004C1494" w:rsidP="004245B5">
            <w:pPr>
              <w:ind w:firstLine="0"/>
              <w:jc w:val="right"/>
              <w:rPr>
                <w:rFonts w:eastAsia="Times New Roman"/>
                <w:sz w:val="18"/>
                <w:szCs w:val="18"/>
                <w:lang w:eastAsia="ru-RU"/>
              </w:rPr>
            </w:pPr>
            <w:r w:rsidRPr="004761E0">
              <w:rPr>
                <w:rFonts w:eastAsia="Times New Roman"/>
                <w:sz w:val="18"/>
                <w:szCs w:val="18"/>
                <w:lang w:eastAsia="ru-RU"/>
              </w:rPr>
              <w:t>13 361,2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494" w:rsidRPr="004761E0" w:rsidRDefault="004C1494" w:rsidP="004245B5">
            <w:pPr>
              <w:ind w:firstLine="0"/>
              <w:jc w:val="right"/>
              <w:rPr>
                <w:rFonts w:eastAsia="Times New Roman"/>
                <w:sz w:val="18"/>
                <w:szCs w:val="18"/>
                <w:lang w:eastAsia="ru-RU"/>
              </w:rPr>
            </w:pPr>
            <w:r w:rsidRPr="004761E0">
              <w:rPr>
                <w:rFonts w:eastAsia="Times New Roman"/>
                <w:sz w:val="18"/>
                <w:szCs w:val="18"/>
                <w:lang w:eastAsia="ru-RU"/>
              </w:rPr>
              <w:t>4 050,1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494" w:rsidRPr="004761E0" w:rsidRDefault="004C1494" w:rsidP="004245B5">
            <w:pPr>
              <w:ind w:firstLine="0"/>
              <w:jc w:val="right"/>
              <w:rPr>
                <w:rFonts w:eastAsia="Times New Roman"/>
                <w:sz w:val="18"/>
                <w:szCs w:val="18"/>
                <w:lang w:eastAsia="ru-RU"/>
              </w:rPr>
            </w:pPr>
            <w:r w:rsidRPr="004761E0">
              <w:rPr>
                <w:rFonts w:eastAsia="Times New Roman"/>
                <w:sz w:val="18"/>
                <w:szCs w:val="18"/>
                <w:lang w:eastAsia="ru-RU"/>
              </w:rPr>
              <w:t>-69,7 %</w:t>
            </w:r>
          </w:p>
        </w:tc>
      </w:tr>
      <w:tr w:rsidR="004C1494" w:rsidRPr="004761E0" w:rsidTr="004245B5">
        <w:trPr>
          <w:cantSplit/>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7076A7">
            <w:pPr>
              <w:pStyle w:val="a5"/>
              <w:numPr>
                <w:ilvl w:val="0"/>
                <w:numId w:val="65"/>
              </w:numPr>
              <w:contextualSpacing w:val="0"/>
              <w:rPr>
                <w:rFonts w:eastAsia="Times New Roman"/>
                <w:sz w:val="20"/>
                <w:szCs w:val="20"/>
                <w:lang w:eastAsia="ru-RU"/>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08080E" w:rsidP="004C1494">
            <w:pPr>
              <w:ind w:firstLine="0"/>
              <w:rPr>
                <w:rFonts w:eastAsia="Times New Roman"/>
                <w:sz w:val="20"/>
                <w:szCs w:val="20"/>
                <w:lang w:eastAsia="ru-RU"/>
              </w:rPr>
            </w:pPr>
            <w:r>
              <w:rPr>
                <w:rFonts w:eastAsia="Times New Roman"/>
                <w:sz w:val="20"/>
                <w:szCs w:val="20"/>
                <w:lang w:eastAsia="ru-RU"/>
              </w:rPr>
              <w:t>ОАО </w:t>
            </w:r>
            <w:r w:rsidR="004C1494" w:rsidRPr="004761E0">
              <w:rPr>
                <w:rFonts w:eastAsia="Times New Roman"/>
                <w:sz w:val="20"/>
                <w:szCs w:val="20"/>
                <w:lang w:eastAsia="ru-RU"/>
              </w:rPr>
              <w:t>«МРСК Северо-Запада»</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494" w:rsidRPr="004761E0" w:rsidRDefault="004C1494" w:rsidP="004245B5">
            <w:pPr>
              <w:ind w:firstLine="0"/>
              <w:jc w:val="right"/>
              <w:rPr>
                <w:rFonts w:eastAsia="Times New Roman"/>
                <w:sz w:val="18"/>
                <w:szCs w:val="18"/>
                <w:lang w:eastAsia="ru-RU"/>
              </w:rPr>
            </w:pPr>
            <w:r w:rsidRPr="004761E0">
              <w:rPr>
                <w:rFonts w:eastAsia="Times New Roman"/>
                <w:sz w:val="18"/>
                <w:szCs w:val="18"/>
                <w:lang w:eastAsia="ru-RU"/>
              </w:rPr>
              <w:t>6 115,9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494" w:rsidRPr="004761E0" w:rsidRDefault="004C1494" w:rsidP="004245B5">
            <w:pPr>
              <w:ind w:firstLine="0"/>
              <w:jc w:val="right"/>
              <w:rPr>
                <w:rFonts w:eastAsia="Times New Roman"/>
                <w:sz w:val="18"/>
                <w:szCs w:val="18"/>
                <w:lang w:eastAsia="ru-RU"/>
              </w:rPr>
            </w:pPr>
            <w:r w:rsidRPr="004761E0">
              <w:rPr>
                <w:rFonts w:eastAsia="Times New Roman"/>
                <w:sz w:val="18"/>
                <w:szCs w:val="18"/>
                <w:lang w:eastAsia="ru-RU"/>
              </w:rPr>
              <w:t>2 711,7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494" w:rsidRPr="004761E0" w:rsidRDefault="004C1494" w:rsidP="004245B5">
            <w:pPr>
              <w:ind w:firstLine="0"/>
              <w:jc w:val="right"/>
              <w:rPr>
                <w:rFonts w:eastAsia="Times New Roman"/>
                <w:sz w:val="18"/>
                <w:szCs w:val="18"/>
                <w:lang w:eastAsia="ru-RU"/>
              </w:rPr>
            </w:pPr>
            <w:r w:rsidRPr="004761E0">
              <w:rPr>
                <w:rFonts w:eastAsia="Times New Roman"/>
                <w:sz w:val="18"/>
                <w:szCs w:val="18"/>
                <w:lang w:eastAsia="ru-RU"/>
              </w:rPr>
              <w:t>-55,7 %</w:t>
            </w:r>
          </w:p>
        </w:tc>
      </w:tr>
      <w:tr w:rsidR="004C1494" w:rsidRPr="004761E0" w:rsidTr="004245B5">
        <w:trPr>
          <w:cantSplit/>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4C1494" w:rsidP="007076A7">
            <w:pPr>
              <w:pStyle w:val="a5"/>
              <w:numPr>
                <w:ilvl w:val="0"/>
                <w:numId w:val="65"/>
              </w:numPr>
              <w:contextualSpacing w:val="0"/>
              <w:rPr>
                <w:rFonts w:eastAsia="Times New Roman"/>
                <w:sz w:val="20"/>
                <w:szCs w:val="20"/>
                <w:lang w:eastAsia="ru-RU"/>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1494" w:rsidRPr="004761E0" w:rsidRDefault="0008080E" w:rsidP="004C1494">
            <w:pPr>
              <w:ind w:firstLine="0"/>
              <w:rPr>
                <w:rFonts w:eastAsia="Times New Roman"/>
                <w:sz w:val="20"/>
                <w:szCs w:val="20"/>
                <w:lang w:eastAsia="ru-RU"/>
              </w:rPr>
            </w:pPr>
            <w:r>
              <w:rPr>
                <w:rFonts w:eastAsia="Times New Roman"/>
                <w:sz w:val="20"/>
                <w:szCs w:val="20"/>
                <w:lang w:eastAsia="ru-RU"/>
              </w:rPr>
              <w:t>ОАО </w:t>
            </w:r>
            <w:r w:rsidR="004C1494" w:rsidRPr="004761E0">
              <w:rPr>
                <w:rFonts w:eastAsia="Times New Roman"/>
                <w:sz w:val="20"/>
                <w:szCs w:val="20"/>
                <w:lang w:eastAsia="ru-RU"/>
              </w:rPr>
              <w:t>«Ленэнерго»</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494" w:rsidRPr="004761E0" w:rsidRDefault="004C1494" w:rsidP="004245B5">
            <w:pPr>
              <w:ind w:firstLine="0"/>
              <w:jc w:val="right"/>
              <w:rPr>
                <w:rFonts w:eastAsia="Times New Roman"/>
                <w:sz w:val="18"/>
                <w:szCs w:val="18"/>
                <w:lang w:eastAsia="ru-RU"/>
              </w:rPr>
            </w:pPr>
            <w:r w:rsidRPr="004761E0">
              <w:rPr>
                <w:rFonts w:eastAsia="Times New Roman"/>
                <w:sz w:val="18"/>
                <w:szCs w:val="18"/>
                <w:lang w:eastAsia="ru-RU"/>
              </w:rPr>
              <w:t>6 114,5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494" w:rsidRPr="004761E0" w:rsidRDefault="004C1494" w:rsidP="004245B5">
            <w:pPr>
              <w:ind w:firstLine="0"/>
              <w:jc w:val="right"/>
              <w:rPr>
                <w:rFonts w:eastAsia="Times New Roman"/>
                <w:sz w:val="18"/>
                <w:szCs w:val="18"/>
                <w:lang w:eastAsia="ru-RU"/>
              </w:rPr>
            </w:pPr>
            <w:r w:rsidRPr="004761E0">
              <w:rPr>
                <w:rFonts w:eastAsia="Times New Roman"/>
                <w:sz w:val="18"/>
                <w:szCs w:val="18"/>
                <w:lang w:eastAsia="ru-RU"/>
              </w:rPr>
              <w:t>2 691,2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494" w:rsidRPr="004761E0" w:rsidRDefault="004C1494" w:rsidP="004245B5">
            <w:pPr>
              <w:ind w:firstLine="0"/>
              <w:jc w:val="right"/>
              <w:rPr>
                <w:rFonts w:eastAsia="Times New Roman"/>
                <w:sz w:val="18"/>
                <w:szCs w:val="18"/>
                <w:lang w:eastAsia="ru-RU"/>
              </w:rPr>
            </w:pPr>
            <w:r w:rsidRPr="004761E0">
              <w:rPr>
                <w:rFonts w:eastAsia="Times New Roman"/>
                <w:sz w:val="18"/>
                <w:szCs w:val="18"/>
                <w:lang w:eastAsia="ru-RU"/>
              </w:rPr>
              <w:t>-56,0 %</w:t>
            </w:r>
          </w:p>
        </w:tc>
      </w:tr>
      <w:tr w:rsidR="000266F0" w:rsidRPr="004761E0" w:rsidTr="004245B5">
        <w:trPr>
          <w:cantSplit/>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66F0" w:rsidRPr="004761E0" w:rsidRDefault="000266F0" w:rsidP="007076A7">
            <w:pPr>
              <w:pStyle w:val="a5"/>
              <w:numPr>
                <w:ilvl w:val="0"/>
                <w:numId w:val="65"/>
              </w:numPr>
              <w:contextualSpacing w:val="0"/>
              <w:rPr>
                <w:rFonts w:eastAsia="Times New Roman"/>
                <w:sz w:val="20"/>
                <w:szCs w:val="20"/>
                <w:lang w:eastAsia="ru-RU"/>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66F0" w:rsidRPr="004761E0" w:rsidRDefault="000266F0" w:rsidP="004C1494">
            <w:pPr>
              <w:ind w:firstLine="0"/>
              <w:rPr>
                <w:rFonts w:eastAsia="Times New Roman"/>
                <w:sz w:val="20"/>
                <w:szCs w:val="20"/>
                <w:lang w:eastAsia="ru-RU"/>
              </w:rPr>
            </w:pPr>
            <w:r>
              <w:rPr>
                <w:rFonts w:eastAsia="Times New Roman"/>
                <w:sz w:val="20"/>
                <w:szCs w:val="20"/>
                <w:lang w:eastAsia="ru-RU"/>
              </w:rPr>
              <w:t>ОАО </w:t>
            </w:r>
            <w:r w:rsidRPr="004761E0">
              <w:rPr>
                <w:rFonts w:eastAsia="Times New Roman"/>
                <w:sz w:val="20"/>
                <w:szCs w:val="20"/>
                <w:lang w:eastAsia="ru-RU"/>
              </w:rPr>
              <w:t>«МРСК Северного Кавказа»</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66F0" w:rsidRPr="000266F0" w:rsidRDefault="000266F0" w:rsidP="000266F0">
            <w:pPr>
              <w:ind w:firstLine="0"/>
              <w:jc w:val="right"/>
              <w:rPr>
                <w:rFonts w:eastAsia="Times New Roman"/>
                <w:sz w:val="18"/>
                <w:szCs w:val="18"/>
                <w:lang w:eastAsia="ru-RU"/>
              </w:rPr>
            </w:pPr>
            <w:r w:rsidRPr="000266F0">
              <w:rPr>
                <w:rFonts w:eastAsia="Times New Roman"/>
                <w:sz w:val="18"/>
                <w:szCs w:val="18"/>
                <w:lang w:eastAsia="ru-RU"/>
              </w:rPr>
              <w:t>1 477,5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66F0" w:rsidRPr="000266F0" w:rsidRDefault="000266F0" w:rsidP="000266F0">
            <w:pPr>
              <w:ind w:firstLine="0"/>
              <w:jc w:val="right"/>
              <w:rPr>
                <w:rFonts w:eastAsia="Times New Roman"/>
                <w:sz w:val="18"/>
                <w:szCs w:val="18"/>
                <w:lang w:eastAsia="ru-RU"/>
              </w:rPr>
            </w:pPr>
            <w:r w:rsidRPr="000266F0">
              <w:rPr>
                <w:rFonts w:eastAsia="Times New Roman"/>
                <w:sz w:val="18"/>
                <w:szCs w:val="18"/>
                <w:lang w:eastAsia="ru-RU"/>
              </w:rPr>
              <w:t>2 375,6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66F0" w:rsidRPr="000266F0" w:rsidRDefault="000266F0" w:rsidP="000266F0">
            <w:pPr>
              <w:ind w:firstLine="0"/>
              <w:jc w:val="right"/>
              <w:rPr>
                <w:rFonts w:eastAsia="Times New Roman"/>
                <w:sz w:val="18"/>
                <w:szCs w:val="18"/>
                <w:lang w:eastAsia="ru-RU"/>
              </w:rPr>
            </w:pPr>
            <w:r>
              <w:rPr>
                <w:rFonts w:eastAsia="Times New Roman"/>
                <w:sz w:val="18"/>
                <w:szCs w:val="18"/>
                <w:lang w:eastAsia="ru-RU"/>
              </w:rPr>
              <w:t>60,8</w:t>
            </w:r>
            <w:r w:rsidRPr="000266F0">
              <w:rPr>
                <w:rFonts w:eastAsia="Times New Roman"/>
                <w:sz w:val="18"/>
                <w:szCs w:val="18"/>
                <w:lang w:eastAsia="ru-RU"/>
              </w:rPr>
              <w:t xml:space="preserve"> %</w:t>
            </w:r>
          </w:p>
        </w:tc>
      </w:tr>
    </w:tbl>
    <w:p w:rsidR="004C1494" w:rsidRPr="004761E0" w:rsidRDefault="004C1494" w:rsidP="004C1494">
      <w:pPr>
        <w:spacing w:before="120" w:after="120"/>
        <w:ind w:left="-1418"/>
        <w:rPr>
          <w:rFonts w:eastAsia="Times New Roman"/>
          <w:b/>
          <w:iCs/>
          <w:color w:val="000000"/>
          <w:sz w:val="26"/>
          <w:szCs w:val="26"/>
          <w:lang w:eastAsia="ru-RU"/>
        </w:rPr>
      </w:pPr>
      <w:r w:rsidRPr="004761E0">
        <w:rPr>
          <w:rFonts w:eastAsia="Times New Roman"/>
          <w:b/>
          <w:iCs/>
          <w:noProof/>
          <w:color w:val="000000"/>
          <w:sz w:val="26"/>
          <w:szCs w:val="26"/>
          <w:lang w:eastAsia="ru-RU"/>
        </w:rPr>
        <w:drawing>
          <wp:inline distT="0" distB="0" distL="0" distR="0">
            <wp:extent cx="7226503" cy="3035808"/>
            <wp:effectExtent l="19050" t="0" r="12497" b="0"/>
            <wp:docPr id="33"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7674C6" w:rsidRPr="00743B24" w:rsidRDefault="008930A5" w:rsidP="00743B24">
      <w:pPr>
        <w:spacing w:before="120" w:after="120"/>
        <w:ind w:firstLine="567"/>
        <w:rPr>
          <w:rFonts w:eastAsia="Times New Roman"/>
          <w:b/>
          <w:iCs/>
          <w:color w:val="000000"/>
          <w:sz w:val="26"/>
          <w:szCs w:val="26"/>
          <w:lang w:eastAsia="ru-RU"/>
        </w:rPr>
      </w:pPr>
      <w:r w:rsidRPr="00743B24">
        <w:rPr>
          <w:rFonts w:eastAsia="Times New Roman"/>
          <w:b/>
          <w:iCs/>
          <w:color w:val="000000"/>
          <w:sz w:val="26"/>
          <w:szCs w:val="26"/>
          <w:lang w:eastAsia="ru-RU"/>
        </w:rPr>
        <w:t>Среднемесячный спрэд</w:t>
      </w:r>
      <w:r w:rsidR="004C1494" w:rsidRPr="006F4AB8">
        <w:rPr>
          <w:rStyle w:val="af1"/>
        </w:rPr>
        <w:footnoteReference w:id="113"/>
      </w:r>
    </w:p>
    <w:tbl>
      <w:tblPr>
        <w:tblStyle w:val="ae"/>
        <w:tblW w:w="0" w:type="auto"/>
        <w:tblInd w:w="108" w:type="dxa"/>
        <w:tblLayout w:type="fixed"/>
        <w:tblLook w:val="04A0"/>
      </w:tblPr>
      <w:tblGrid>
        <w:gridCol w:w="598"/>
        <w:gridCol w:w="1571"/>
        <w:gridCol w:w="702"/>
        <w:gridCol w:w="611"/>
        <w:gridCol w:w="611"/>
        <w:gridCol w:w="702"/>
        <w:gridCol w:w="611"/>
        <w:gridCol w:w="611"/>
        <w:gridCol w:w="611"/>
        <w:gridCol w:w="611"/>
        <w:gridCol w:w="702"/>
        <w:gridCol w:w="611"/>
        <w:gridCol w:w="611"/>
        <w:gridCol w:w="810"/>
      </w:tblGrid>
      <w:tr w:rsidR="004C1494" w:rsidRPr="004761E0" w:rsidTr="004C1494">
        <w:trPr>
          <w:trHeight w:val="57"/>
        </w:trPr>
        <w:tc>
          <w:tcPr>
            <w:tcW w:w="59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C1494" w:rsidRPr="004761E0" w:rsidRDefault="004C1494" w:rsidP="004C1494">
            <w:pPr>
              <w:ind w:firstLine="0"/>
              <w:rPr>
                <w:rFonts w:eastAsia="Times New Roman"/>
                <w:b/>
                <w:color w:val="FFFFFF" w:themeColor="background1"/>
                <w:sz w:val="20"/>
                <w:szCs w:val="20"/>
              </w:rPr>
            </w:pPr>
            <w:r w:rsidRPr="004761E0">
              <w:rPr>
                <w:rFonts w:eastAsia="Times New Roman"/>
                <w:b/>
                <w:color w:val="FFFFFF" w:themeColor="background1"/>
                <w:sz w:val="20"/>
                <w:szCs w:val="20"/>
              </w:rPr>
              <w:t>№ п/п</w:t>
            </w:r>
          </w:p>
        </w:tc>
        <w:tc>
          <w:tcPr>
            <w:tcW w:w="157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C1494" w:rsidRPr="004761E0" w:rsidRDefault="004C1494" w:rsidP="004C1494">
            <w:pPr>
              <w:ind w:firstLine="0"/>
              <w:rPr>
                <w:rFonts w:eastAsia="Times New Roman"/>
                <w:b/>
                <w:iCs/>
                <w:color w:val="000000"/>
                <w:sz w:val="20"/>
                <w:szCs w:val="20"/>
              </w:rPr>
            </w:pPr>
            <w:r w:rsidRPr="004761E0">
              <w:rPr>
                <w:rFonts w:eastAsia="Times New Roman"/>
                <w:b/>
                <w:color w:val="FFFFFF" w:themeColor="background1"/>
                <w:sz w:val="20"/>
                <w:szCs w:val="20"/>
              </w:rPr>
              <w:t>Наименование категории</w:t>
            </w:r>
          </w:p>
        </w:tc>
        <w:tc>
          <w:tcPr>
            <w:tcW w:w="7804"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tcPr>
          <w:p w:rsidR="004C1494" w:rsidRPr="004761E0" w:rsidRDefault="004C1494" w:rsidP="004C1494">
            <w:pPr>
              <w:ind w:firstLine="0"/>
              <w:jc w:val="center"/>
              <w:rPr>
                <w:rFonts w:eastAsia="Times New Roman"/>
                <w:b/>
                <w:iCs/>
                <w:color w:val="FFFFFF" w:themeColor="background1"/>
                <w:sz w:val="20"/>
                <w:szCs w:val="20"/>
              </w:rPr>
            </w:pPr>
            <w:r w:rsidRPr="004761E0">
              <w:rPr>
                <w:rFonts w:eastAsia="Times New Roman"/>
                <w:b/>
                <w:iCs/>
                <w:color w:val="FFFFFF" w:themeColor="background1"/>
                <w:sz w:val="20"/>
                <w:szCs w:val="20"/>
              </w:rPr>
              <w:t>Месяц</w:t>
            </w:r>
          </w:p>
        </w:tc>
      </w:tr>
      <w:tr w:rsidR="004C1494" w:rsidRPr="004761E0" w:rsidTr="004C1494">
        <w:trPr>
          <w:trHeight w:val="146"/>
        </w:trPr>
        <w:tc>
          <w:tcPr>
            <w:tcW w:w="59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C1494" w:rsidRPr="004761E0" w:rsidRDefault="004C1494" w:rsidP="004C1494">
            <w:pPr>
              <w:rPr>
                <w:rFonts w:eastAsia="Times New Roman"/>
                <w:b/>
                <w:iCs/>
                <w:color w:val="000000"/>
                <w:sz w:val="20"/>
                <w:szCs w:val="20"/>
              </w:rPr>
            </w:pPr>
          </w:p>
        </w:tc>
        <w:tc>
          <w:tcPr>
            <w:tcW w:w="157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C1494" w:rsidRPr="004761E0" w:rsidRDefault="004C1494" w:rsidP="004C1494">
            <w:pPr>
              <w:ind w:firstLine="0"/>
              <w:rPr>
                <w:rFonts w:eastAsia="Times New Roman"/>
                <w:b/>
                <w:iCs/>
                <w:color w:val="000000"/>
                <w:sz w:val="20"/>
                <w:szCs w:val="20"/>
              </w:rPr>
            </w:pPr>
          </w:p>
        </w:tc>
        <w:tc>
          <w:tcPr>
            <w:tcW w:w="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C1494" w:rsidRPr="004761E0" w:rsidRDefault="004C1494" w:rsidP="004C1494">
            <w:pPr>
              <w:ind w:firstLine="0"/>
              <w:jc w:val="center"/>
              <w:rPr>
                <w:rFonts w:eastAsia="Times New Roman"/>
                <w:b/>
                <w:iCs/>
                <w:color w:val="FFFFFF" w:themeColor="background1"/>
                <w:sz w:val="20"/>
                <w:szCs w:val="20"/>
              </w:rPr>
            </w:pPr>
            <w:r w:rsidRPr="004761E0">
              <w:rPr>
                <w:rFonts w:eastAsia="Times New Roman"/>
                <w:b/>
                <w:iCs/>
                <w:color w:val="FFFFFF" w:themeColor="background1"/>
                <w:sz w:val="20"/>
                <w:szCs w:val="20"/>
              </w:rPr>
              <w:t>янв</w:t>
            </w:r>
          </w:p>
        </w:tc>
        <w:tc>
          <w:tcPr>
            <w:tcW w:w="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C1494" w:rsidRPr="004761E0" w:rsidRDefault="004C1494" w:rsidP="004C1494">
            <w:pPr>
              <w:ind w:firstLine="0"/>
              <w:jc w:val="center"/>
              <w:rPr>
                <w:rFonts w:eastAsia="Times New Roman"/>
                <w:b/>
                <w:iCs/>
                <w:color w:val="FFFFFF" w:themeColor="background1"/>
                <w:sz w:val="20"/>
                <w:szCs w:val="20"/>
              </w:rPr>
            </w:pPr>
            <w:r w:rsidRPr="004761E0">
              <w:rPr>
                <w:rFonts w:eastAsia="Times New Roman"/>
                <w:b/>
                <w:iCs/>
                <w:color w:val="FFFFFF" w:themeColor="background1"/>
                <w:sz w:val="20"/>
                <w:szCs w:val="20"/>
              </w:rPr>
              <w:t>фев</w:t>
            </w:r>
          </w:p>
        </w:tc>
        <w:tc>
          <w:tcPr>
            <w:tcW w:w="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C1494" w:rsidRPr="004761E0" w:rsidRDefault="004C1494" w:rsidP="004C1494">
            <w:pPr>
              <w:ind w:firstLine="0"/>
              <w:jc w:val="center"/>
              <w:rPr>
                <w:rFonts w:eastAsia="Times New Roman"/>
                <w:b/>
                <w:iCs/>
                <w:color w:val="FFFFFF" w:themeColor="background1"/>
                <w:sz w:val="20"/>
                <w:szCs w:val="20"/>
              </w:rPr>
            </w:pPr>
            <w:r w:rsidRPr="004761E0">
              <w:rPr>
                <w:rFonts w:eastAsia="Times New Roman"/>
                <w:b/>
                <w:iCs/>
                <w:color w:val="FFFFFF" w:themeColor="background1"/>
                <w:sz w:val="20"/>
                <w:szCs w:val="20"/>
              </w:rPr>
              <w:t>мар</w:t>
            </w:r>
          </w:p>
        </w:tc>
        <w:tc>
          <w:tcPr>
            <w:tcW w:w="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C1494" w:rsidRPr="004761E0" w:rsidRDefault="004C1494" w:rsidP="004C1494">
            <w:pPr>
              <w:ind w:firstLine="0"/>
              <w:jc w:val="center"/>
              <w:rPr>
                <w:rFonts w:eastAsia="Times New Roman"/>
                <w:b/>
                <w:iCs/>
                <w:color w:val="FFFFFF" w:themeColor="background1"/>
                <w:sz w:val="20"/>
                <w:szCs w:val="20"/>
              </w:rPr>
            </w:pPr>
            <w:r w:rsidRPr="004761E0">
              <w:rPr>
                <w:rFonts w:eastAsia="Times New Roman"/>
                <w:b/>
                <w:iCs/>
                <w:color w:val="FFFFFF" w:themeColor="background1"/>
                <w:sz w:val="20"/>
                <w:szCs w:val="20"/>
              </w:rPr>
              <w:t>апр</w:t>
            </w:r>
          </w:p>
        </w:tc>
        <w:tc>
          <w:tcPr>
            <w:tcW w:w="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C1494" w:rsidRPr="004761E0" w:rsidRDefault="004C1494" w:rsidP="004C1494">
            <w:pPr>
              <w:ind w:firstLine="0"/>
              <w:jc w:val="center"/>
              <w:rPr>
                <w:rFonts w:eastAsia="Times New Roman"/>
                <w:b/>
                <w:iCs/>
                <w:color w:val="FFFFFF" w:themeColor="background1"/>
                <w:sz w:val="20"/>
                <w:szCs w:val="20"/>
              </w:rPr>
            </w:pPr>
            <w:r w:rsidRPr="004761E0">
              <w:rPr>
                <w:rFonts w:eastAsia="Times New Roman"/>
                <w:b/>
                <w:iCs/>
                <w:color w:val="FFFFFF" w:themeColor="background1"/>
                <w:sz w:val="20"/>
                <w:szCs w:val="20"/>
              </w:rPr>
              <w:t>май</w:t>
            </w:r>
          </w:p>
        </w:tc>
        <w:tc>
          <w:tcPr>
            <w:tcW w:w="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C1494" w:rsidRPr="004761E0" w:rsidRDefault="004C1494" w:rsidP="004C1494">
            <w:pPr>
              <w:ind w:firstLine="0"/>
              <w:jc w:val="center"/>
              <w:rPr>
                <w:rFonts w:eastAsia="Times New Roman"/>
                <w:b/>
                <w:iCs/>
                <w:color w:val="FFFFFF" w:themeColor="background1"/>
                <w:sz w:val="20"/>
                <w:szCs w:val="20"/>
              </w:rPr>
            </w:pPr>
            <w:r w:rsidRPr="004761E0">
              <w:rPr>
                <w:rFonts w:eastAsia="Times New Roman"/>
                <w:b/>
                <w:iCs/>
                <w:color w:val="FFFFFF" w:themeColor="background1"/>
                <w:sz w:val="20"/>
                <w:szCs w:val="20"/>
              </w:rPr>
              <w:t>июн</w:t>
            </w:r>
          </w:p>
        </w:tc>
        <w:tc>
          <w:tcPr>
            <w:tcW w:w="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C1494" w:rsidRPr="004761E0" w:rsidRDefault="004C1494" w:rsidP="004C1494">
            <w:pPr>
              <w:ind w:firstLine="0"/>
              <w:jc w:val="center"/>
              <w:rPr>
                <w:rFonts w:eastAsia="Times New Roman"/>
                <w:b/>
                <w:iCs/>
                <w:color w:val="FFFFFF" w:themeColor="background1"/>
                <w:sz w:val="20"/>
                <w:szCs w:val="20"/>
              </w:rPr>
            </w:pPr>
            <w:r w:rsidRPr="004761E0">
              <w:rPr>
                <w:rFonts w:eastAsia="Times New Roman"/>
                <w:b/>
                <w:iCs/>
                <w:color w:val="FFFFFF" w:themeColor="background1"/>
                <w:sz w:val="20"/>
                <w:szCs w:val="20"/>
              </w:rPr>
              <w:t>июл</w:t>
            </w:r>
          </w:p>
        </w:tc>
        <w:tc>
          <w:tcPr>
            <w:tcW w:w="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C1494" w:rsidRPr="004761E0" w:rsidRDefault="004C1494" w:rsidP="004C1494">
            <w:pPr>
              <w:ind w:firstLine="0"/>
              <w:jc w:val="center"/>
              <w:rPr>
                <w:rFonts w:eastAsia="Times New Roman"/>
                <w:b/>
                <w:iCs/>
                <w:color w:val="FFFFFF" w:themeColor="background1"/>
                <w:sz w:val="20"/>
                <w:szCs w:val="20"/>
              </w:rPr>
            </w:pPr>
            <w:r w:rsidRPr="004761E0">
              <w:rPr>
                <w:rFonts w:eastAsia="Times New Roman"/>
                <w:b/>
                <w:iCs/>
                <w:color w:val="FFFFFF" w:themeColor="background1"/>
                <w:sz w:val="20"/>
                <w:szCs w:val="20"/>
              </w:rPr>
              <w:t>авг</w:t>
            </w:r>
          </w:p>
        </w:tc>
        <w:tc>
          <w:tcPr>
            <w:tcW w:w="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C1494" w:rsidRPr="004761E0" w:rsidRDefault="004C1494" w:rsidP="004C1494">
            <w:pPr>
              <w:ind w:firstLine="0"/>
              <w:jc w:val="center"/>
              <w:rPr>
                <w:rFonts w:eastAsia="Times New Roman"/>
                <w:b/>
                <w:iCs/>
                <w:color w:val="FFFFFF" w:themeColor="background1"/>
                <w:sz w:val="20"/>
                <w:szCs w:val="20"/>
              </w:rPr>
            </w:pPr>
            <w:r w:rsidRPr="004761E0">
              <w:rPr>
                <w:rFonts w:eastAsia="Times New Roman"/>
                <w:b/>
                <w:iCs/>
                <w:color w:val="FFFFFF" w:themeColor="background1"/>
                <w:sz w:val="20"/>
                <w:szCs w:val="20"/>
              </w:rPr>
              <w:t>сен</w:t>
            </w:r>
          </w:p>
        </w:tc>
        <w:tc>
          <w:tcPr>
            <w:tcW w:w="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C1494" w:rsidRPr="004761E0" w:rsidRDefault="004C1494" w:rsidP="004C1494">
            <w:pPr>
              <w:ind w:firstLine="0"/>
              <w:jc w:val="center"/>
              <w:rPr>
                <w:rFonts w:eastAsia="Times New Roman"/>
                <w:b/>
                <w:iCs/>
                <w:color w:val="FFFFFF" w:themeColor="background1"/>
                <w:sz w:val="20"/>
                <w:szCs w:val="20"/>
              </w:rPr>
            </w:pPr>
            <w:r w:rsidRPr="004761E0">
              <w:rPr>
                <w:rFonts w:eastAsia="Times New Roman"/>
                <w:b/>
                <w:iCs/>
                <w:color w:val="FFFFFF" w:themeColor="background1"/>
                <w:sz w:val="20"/>
                <w:szCs w:val="20"/>
              </w:rPr>
              <w:t>окт</w:t>
            </w:r>
          </w:p>
        </w:tc>
        <w:tc>
          <w:tcPr>
            <w:tcW w:w="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C1494" w:rsidRPr="004761E0" w:rsidRDefault="004C1494" w:rsidP="004C1494">
            <w:pPr>
              <w:ind w:firstLine="0"/>
              <w:jc w:val="center"/>
              <w:rPr>
                <w:rFonts w:eastAsia="Times New Roman"/>
                <w:b/>
                <w:iCs/>
                <w:color w:val="FFFFFF" w:themeColor="background1"/>
                <w:sz w:val="20"/>
                <w:szCs w:val="20"/>
              </w:rPr>
            </w:pPr>
            <w:r w:rsidRPr="004761E0">
              <w:rPr>
                <w:rFonts w:eastAsia="Times New Roman"/>
                <w:b/>
                <w:iCs/>
                <w:color w:val="FFFFFF" w:themeColor="background1"/>
                <w:sz w:val="20"/>
                <w:szCs w:val="20"/>
              </w:rPr>
              <w:t>ноя</w:t>
            </w:r>
          </w:p>
        </w:tc>
        <w:tc>
          <w:tcPr>
            <w:tcW w:w="8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C1494" w:rsidRPr="004761E0" w:rsidRDefault="004C1494" w:rsidP="004C1494">
            <w:pPr>
              <w:ind w:firstLine="0"/>
              <w:jc w:val="center"/>
              <w:rPr>
                <w:rFonts w:eastAsia="Times New Roman"/>
                <w:b/>
                <w:iCs/>
                <w:color w:val="FFFFFF" w:themeColor="background1"/>
                <w:sz w:val="20"/>
                <w:szCs w:val="20"/>
              </w:rPr>
            </w:pPr>
            <w:r w:rsidRPr="004761E0">
              <w:rPr>
                <w:rFonts w:eastAsia="Times New Roman"/>
                <w:b/>
                <w:iCs/>
                <w:color w:val="FFFFFF" w:themeColor="background1"/>
                <w:sz w:val="20"/>
                <w:szCs w:val="20"/>
              </w:rPr>
              <w:t>дек</w:t>
            </w:r>
          </w:p>
        </w:tc>
      </w:tr>
      <w:tr w:rsidR="004C1494" w:rsidRPr="004761E0" w:rsidTr="004C1494">
        <w:trPr>
          <w:trHeight w:val="57"/>
        </w:trPr>
        <w:tc>
          <w:tcPr>
            <w:tcW w:w="598" w:type="dxa"/>
            <w:tcBorders>
              <w:top w:val="single" w:sz="4" w:space="0" w:color="FFFFFF" w:themeColor="background1"/>
            </w:tcBorders>
            <w:vAlign w:val="center"/>
          </w:tcPr>
          <w:p w:rsidR="004C1494" w:rsidRPr="004761E0" w:rsidRDefault="004C1494" w:rsidP="007076A7">
            <w:pPr>
              <w:pStyle w:val="a5"/>
              <w:numPr>
                <w:ilvl w:val="0"/>
                <w:numId w:val="66"/>
              </w:numPr>
              <w:contextualSpacing w:val="0"/>
              <w:rPr>
                <w:rFonts w:eastAsia="Times New Roman"/>
                <w:color w:val="000000"/>
                <w:sz w:val="20"/>
                <w:szCs w:val="20"/>
              </w:rPr>
            </w:pPr>
          </w:p>
        </w:tc>
        <w:tc>
          <w:tcPr>
            <w:tcW w:w="1571" w:type="dxa"/>
            <w:tcBorders>
              <w:top w:val="single" w:sz="4" w:space="0" w:color="FFFFFF" w:themeColor="background1"/>
            </w:tcBorders>
            <w:vAlign w:val="center"/>
          </w:tcPr>
          <w:p w:rsidR="004C1494" w:rsidRPr="004761E0" w:rsidRDefault="00E30CDF" w:rsidP="004C1494">
            <w:pPr>
              <w:ind w:firstLine="0"/>
              <w:rPr>
                <w:rFonts w:eastAsia="Times New Roman"/>
                <w:iCs/>
                <w:color w:val="000000"/>
                <w:sz w:val="20"/>
                <w:szCs w:val="20"/>
              </w:rPr>
            </w:pPr>
            <w:r>
              <w:rPr>
                <w:rFonts w:eastAsia="Times New Roman"/>
                <w:iCs/>
                <w:color w:val="000000"/>
                <w:sz w:val="20"/>
                <w:szCs w:val="20"/>
              </w:rPr>
              <w:t xml:space="preserve">Среднемесячный спрэд, </w:t>
            </w:r>
            <w:r w:rsidR="004C1494" w:rsidRPr="004761E0">
              <w:rPr>
                <w:rFonts w:eastAsia="Times New Roman"/>
                <w:iCs/>
                <w:color w:val="000000"/>
                <w:sz w:val="20"/>
                <w:szCs w:val="20"/>
              </w:rPr>
              <w:t>%</w:t>
            </w:r>
          </w:p>
        </w:tc>
        <w:tc>
          <w:tcPr>
            <w:tcW w:w="702" w:type="dxa"/>
            <w:tcBorders>
              <w:top w:val="single" w:sz="4" w:space="0" w:color="FFFFFF" w:themeColor="background1"/>
            </w:tcBorders>
            <w:vAlign w:val="bottom"/>
          </w:tcPr>
          <w:p w:rsidR="004C1494" w:rsidRPr="004761E0" w:rsidRDefault="004C1494" w:rsidP="004C1494">
            <w:pPr>
              <w:ind w:firstLine="0"/>
              <w:rPr>
                <w:rFonts w:eastAsia="Times New Roman"/>
                <w:iCs/>
                <w:color w:val="000000"/>
                <w:sz w:val="20"/>
                <w:szCs w:val="20"/>
              </w:rPr>
            </w:pPr>
            <w:r w:rsidRPr="004761E0">
              <w:rPr>
                <w:rFonts w:eastAsia="Times New Roman"/>
                <w:iCs/>
                <w:color w:val="000000"/>
                <w:sz w:val="20"/>
                <w:szCs w:val="20"/>
              </w:rPr>
              <w:t>0,70</w:t>
            </w:r>
          </w:p>
        </w:tc>
        <w:tc>
          <w:tcPr>
            <w:tcW w:w="611" w:type="dxa"/>
            <w:tcBorders>
              <w:top w:val="single" w:sz="4" w:space="0" w:color="FFFFFF" w:themeColor="background1"/>
            </w:tcBorders>
            <w:vAlign w:val="bottom"/>
          </w:tcPr>
          <w:p w:rsidR="004C1494" w:rsidRPr="004761E0" w:rsidRDefault="004C1494" w:rsidP="004C1494">
            <w:pPr>
              <w:ind w:firstLine="0"/>
              <w:rPr>
                <w:rFonts w:eastAsia="Times New Roman"/>
                <w:iCs/>
                <w:color w:val="000000"/>
                <w:sz w:val="20"/>
                <w:szCs w:val="20"/>
              </w:rPr>
            </w:pPr>
            <w:r w:rsidRPr="004761E0">
              <w:rPr>
                <w:rFonts w:eastAsia="Times New Roman"/>
                <w:iCs/>
                <w:color w:val="000000"/>
                <w:sz w:val="20"/>
                <w:szCs w:val="20"/>
              </w:rPr>
              <w:t>0,69</w:t>
            </w:r>
          </w:p>
        </w:tc>
        <w:tc>
          <w:tcPr>
            <w:tcW w:w="611" w:type="dxa"/>
            <w:tcBorders>
              <w:top w:val="single" w:sz="4" w:space="0" w:color="FFFFFF" w:themeColor="background1"/>
            </w:tcBorders>
            <w:vAlign w:val="bottom"/>
          </w:tcPr>
          <w:p w:rsidR="004C1494" w:rsidRPr="004761E0" w:rsidRDefault="004C1494" w:rsidP="004C1494">
            <w:pPr>
              <w:ind w:firstLine="0"/>
              <w:rPr>
                <w:rFonts w:eastAsia="Times New Roman"/>
                <w:iCs/>
                <w:color w:val="000000"/>
                <w:sz w:val="20"/>
                <w:szCs w:val="20"/>
              </w:rPr>
            </w:pPr>
            <w:r w:rsidRPr="004761E0">
              <w:rPr>
                <w:rFonts w:eastAsia="Times New Roman"/>
                <w:iCs/>
                <w:color w:val="000000"/>
                <w:sz w:val="20"/>
                <w:szCs w:val="20"/>
              </w:rPr>
              <w:t>0,84</w:t>
            </w:r>
          </w:p>
        </w:tc>
        <w:tc>
          <w:tcPr>
            <w:tcW w:w="702" w:type="dxa"/>
            <w:tcBorders>
              <w:top w:val="single" w:sz="4" w:space="0" w:color="FFFFFF" w:themeColor="background1"/>
            </w:tcBorders>
            <w:vAlign w:val="bottom"/>
          </w:tcPr>
          <w:p w:rsidR="004C1494" w:rsidRPr="004761E0" w:rsidRDefault="004C1494" w:rsidP="004C1494">
            <w:pPr>
              <w:ind w:firstLine="0"/>
              <w:rPr>
                <w:rFonts w:eastAsia="Times New Roman"/>
                <w:iCs/>
                <w:color w:val="000000"/>
                <w:sz w:val="20"/>
                <w:szCs w:val="20"/>
              </w:rPr>
            </w:pPr>
            <w:r w:rsidRPr="004761E0">
              <w:rPr>
                <w:rFonts w:eastAsia="Times New Roman"/>
                <w:iCs/>
                <w:color w:val="000000"/>
                <w:sz w:val="20"/>
                <w:szCs w:val="20"/>
              </w:rPr>
              <w:t>1,52</w:t>
            </w:r>
          </w:p>
        </w:tc>
        <w:tc>
          <w:tcPr>
            <w:tcW w:w="611" w:type="dxa"/>
            <w:tcBorders>
              <w:top w:val="single" w:sz="4" w:space="0" w:color="FFFFFF" w:themeColor="background1"/>
            </w:tcBorders>
            <w:vAlign w:val="bottom"/>
          </w:tcPr>
          <w:p w:rsidR="004C1494" w:rsidRPr="004761E0" w:rsidRDefault="004C1494" w:rsidP="004C1494">
            <w:pPr>
              <w:ind w:firstLine="0"/>
              <w:rPr>
                <w:rFonts w:eastAsia="Times New Roman"/>
                <w:iCs/>
                <w:color w:val="000000"/>
                <w:sz w:val="20"/>
                <w:szCs w:val="20"/>
              </w:rPr>
            </w:pPr>
            <w:r w:rsidRPr="004761E0">
              <w:rPr>
                <w:rFonts w:eastAsia="Times New Roman"/>
                <w:iCs/>
                <w:color w:val="000000"/>
                <w:sz w:val="20"/>
                <w:szCs w:val="20"/>
              </w:rPr>
              <w:t>1,08</w:t>
            </w:r>
          </w:p>
        </w:tc>
        <w:tc>
          <w:tcPr>
            <w:tcW w:w="611" w:type="dxa"/>
            <w:tcBorders>
              <w:top w:val="single" w:sz="4" w:space="0" w:color="FFFFFF" w:themeColor="background1"/>
            </w:tcBorders>
            <w:vAlign w:val="bottom"/>
          </w:tcPr>
          <w:p w:rsidR="004C1494" w:rsidRPr="004761E0" w:rsidRDefault="004C1494" w:rsidP="004C1494">
            <w:pPr>
              <w:ind w:firstLine="0"/>
              <w:rPr>
                <w:rFonts w:eastAsia="Times New Roman"/>
                <w:iCs/>
                <w:color w:val="000000"/>
                <w:sz w:val="20"/>
                <w:szCs w:val="20"/>
              </w:rPr>
            </w:pPr>
            <w:r w:rsidRPr="004761E0">
              <w:rPr>
                <w:rFonts w:eastAsia="Times New Roman"/>
                <w:iCs/>
                <w:color w:val="000000"/>
                <w:sz w:val="20"/>
                <w:szCs w:val="20"/>
              </w:rPr>
              <w:t>0,85</w:t>
            </w:r>
          </w:p>
        </w:tc>
        <w:tc>
          <w:tcPr>
            <w:tcW w:w="611" w:type="dxa"/>
            <w:tcBorders>
              <w:top w:val="single" w:sz="4" w:space="0" w:color="FFFFFF" w:themeColor="background1"/>
            </w:tcBorders>
            <w:vAlign w:val="bottom"/>
          </w:tcPr>
          <w:p w:rsidR="004C1494" w:rsidRPr="004761E0" w:rsidRDefault="004C1494" w:rsidP="004C1494">
            <w:pPr>
              <w:ind w:firstLine="0"/>
              <w:rPr>
                <w:rFonts w:eastAsia="Times New Roman"/>
                <w:iCs/>
                <w:color w:val="000000"/>
                <w:sz w:val="20"/>
                <w:szCs w:val="20"/>
              </w:rPr>
            </w:pPr>
            <w:r w:rsidRPr="004761E0">
              <w:rPr>
                <w:rFonts w:eastAsia="Times New Roman"/>
                <w:iCs/>
                <w:color w:val="000000"/>
                <w:sz w:val="20"/>
                <w:szCs w:val="20"/>
              </w:rPr>
              <w:t>0,49</w:t>
            </w:r>
          </w:p>
        </w:tc>
        <w:tc>
          <w:tcPr>
            <w:tcW w:w="611" w:type="dxa"/>
            <w:tcBorders>
              <w:top w:val="single" w:sz="4" w:space="0" w:color="FFFFFF" w:themeColor="background1"/>
            </w:tcBorders>
            <w:vAlign w:val="bottom"/>
          </w:tcPr>
          <w:p w:rsidR="004C1494" w:rsidRPr="004761E0" w:rsidRDefault="004C1494" w:rsidP="004C1494">
            <w:pPr>
              <w:ind w:firstLine="0"/>
              <w:rPr>
                <w:rFonts w:eastAsia="Times New Roman"/>
                <w:iCs/>
                <w:color w:val="000000"/>
                <w:sz w:val="20"/>
                <w:szCs w:val="20"/>
              </w:rPr>
            </w:pPr>
            <w:r w:rsidRPr="004761E0">
              <w:rPr>
                <w:rFonts w:eastAsia="Times New Roman"/>
                <w:iCs/>
                <w:color w:val="000000"/>
                <w:sz w:val="20"/>
                <w:szCs w:val="20"/>
              </w:rPr>
              <w:t>0,50</w:t>
            </w:r>
          </w:p>
        </w:tc>
        <w:tc>
          <w:tcPr>
            <w:tcW w:w="702" w:type="dxa"/>
            <w:tcBorders>
              <w:top w:val="single" w:sz="4" w:space="0" w:color="FFFFFF" w:themeColor="background1"/>
            </w:tcBorders>
            <w:vAlign w:val="bottom"/>
          </w:tcPr>
          <w:p w:rsidR="004C1494" w:rsidRPr="004761E0" w:rsidRDefault="004C1494" w:rsidP="004C1494">
            <w:pPr>
              <w:ind w:firstLine="0"/>
              <w:rPr>
                <w:rFonts w:eastAsia="Times New Roman"/>
                <w:iCs/>
                <w:color w:val="000000"/>
                <w:sz w:val="20"/>
                <w:szCs w:val="20"/>
              </w:rPr>
            </w:pPr>
            <w:r w:rsidRPr="004761E0">
              <w:rPr>
                <w:rFonts w:eastAsia="Times New Roman"/>
                <w:iCs/>
                <w:color w:val="000000"/>
                <w:sz w:val="20"/>
                <w:szCs w:val="20"/>
              </w:rPr>
              <w:t>0,55</w:t>
            </w:r>
          </w:p>
        </w:tc>
        <w:tc>
          <w:tcPr>
            <w:tcW w:w="611" w:type="dxa"/>
            <w:tcBorders>
              <w:top w:val="single" w:sz="4" w:space="0" w:color="FFFFFF" w:themeColor="background1"/>
            </w:tcBorders>
            <w:vAlign w:val="bottom"/>
          </w:tcPr>
          <w:p w:rsidR="004C1494" w:rsidRPr="004761E0" w:rsidRDefault="004C1494" w:rsidP="004C1494">
            <w:pPr>
              <w:ind w:firstLine="0"/>
              <w:rPr>
                <w:rFonts w:eastAsia="Times New Roman"/>
                <w:iCs/>
                <w:color w:val="000000"/>
                <w:sz w:val="20"/>
                <w:szCs w:val="20"/>
              </w:rPr>
            </w:pPr>
            <w:r w:rsidRPr="004761E0">
              <w:rPr>
                <w:rFonts w:eastAsia="Times New Roman"/>
                <w:iCs/>
                <w:color w:val="000000"/>
                <w:sz w:val="20"/>
                <w:szCs w:val="20"/>
              </w:rPr>
              <w:t>0,44</w:t>
            </w:r>
          </w:p>
        </w:tc>
        <w:tc>
          <w:tcPr>
            <w:tcW w:w="611" w:type="dxa"/>
            <w:tcBorders>
              <w:top w:val="single" w:sz="4" w:space="0" w:color="FFFFFF" w:themeColor="background1"/>
            </w:tcBorders>
            <w:vAlign w:val="bottom"/>
          </w:tcPr>
          <w:p w:rsidR="004C1494" w:rsidRPr="004761E0" w:rsidRDefault="004C1494" w:rsidP="004C1494">
            <w:pPr>
              <w:ind w:firstLine="0"/>
              <w:rPr>
                <w:rFonts w:eastAsia="Times New Roman"/>
                <w:iCs/>
                <w:color w:val="000000"/>
                <w:sz w:val="20"/>
                <w:szCs w:val="20"/>
              </w:rPr>
            </w:pPr>
            <w:r w:rsidRPr="004761E0">
              <w:rPr>
                <w:rFonts w:eastAsia="Times New Roman"/>
                <w:iCs/>
                <w:color w:val="000000"/>
                <w:sz w:val="20"/>
                <w:szCs w:val="20"/>
              </w:rPr>
              <w:t>0,79</w:t>
            </w:r>
          </w:p>
        </w:tc>
        <w:tc>
          <w:tcPr>
            <w:tcW w:w="807" w:type="dxa"/>
            <w:tcBorders>
              <w:top w:val="single" w:sz="4" w:space="0" w:color="FFFFFF" w:themeColor="background1"/>
            </w:tcBorders>
            <w:vAlign w:val="bottom"/>
          </w:tcPr>
          <w:p w:rsidR="004C1494" w:rsidRPr="004761E0" w:rsidRDefault="004C1494" w:rsidP="004C1494">
            <w:pPr>
              <w:ind w:firstLine="0"/>
              <w:rPr>
                <w:rFonts w:eastAsia="Times New Roman"/>
                <w:iCs/>
                <w:color w:val="000000"/>
                <w:sz w:val="20"/>
                <w:szCs w:val="20"/>
              </w:rPr>
            </w:pPr>
            <w:r w:rsidRPr="004761E0">
              <w:rPr>
                <w:rFonts w:eastAsia="Times New Roman"/>
                <w:iCs/>
                <w:color w:val="000000"/>
                <w:sz w:val="20"/>
                <w:szCs w:val="20"/>
              </w:rPr>
              <w:t>0,76</w:t>
            </w:r>
          </w:p>
        </w:tc>
      </w:tr>
    </w:tbl>
    <w:p w:rsidR="004C1494" w:rsidRPr="004761E0" w:rsidRDefault="004C1494" w:rsidP="004C1494">
      <w:pPr>
        <w:rPr>
          <w:rFonts w:eastAsia="Times New Roman"/>
          <w:i/>
          <w:iCs/>
          <w:color w:val="000000"/>
          <w:sz w:val="26"/>
          <w:szCs w:val="26"/>
          <w:lang w:eastAsia="ru-RU"/>
        </w:rPr>
      </w:pPr>
    </w:p>
    <w:p w:rsidR="004C1494" w:rsidRPr="004761E0" w:rsidRDefault="004C1494" w:rsidP="004C1494">
      <w:pPr>
        <w:rPr>
          <w:rFonts w:eastAsia="Times New Roman"/>
          <w:i/>
          <w:iCs/>
          <w:color w:val="000000"/>
          <w:sz w:val="26"/>
          <w:szCs w:val="26"/>
          <w:lang w:eastAsia="ru-RU"/>
        </w:rPr>
      </w:pPr>
      <w:r w:rsidRPr="004761E0">
        <w:rPr>
          <w:rFonts w:eastAsia="Times New Roman"/>
          <w:i/>
          <w:iCs/>
          <w:noProof/>
          <w:color w:val="000000"/>
          <w:sz w:val="26"/>
          <w:szCs w:val="26"/>
          <w:lang w:eastAsia="ru-RU"/>
        </w:rPr>
        <w:lastRenderedPageBreak/>
        <w:drawing>
          <wp:inline distT="0" distB="0" distL="0" distR="0">
            <wp:extent cx="5496610" cy="2560320"/>
            <wp:effectExtent l="19050" t="0" r="27890" b="0"/>
            <wp:docPr id="34"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4C1494" w:rsidRPr="004761E0" w:rsidRDefault="004C1494" w:rsidP="004C1494">
      <w:pPr>
        <w:ind w:firstLine="0"/>
        <w:rPr>
          <w:lang w:val="en-US"/>
        </w:rPr>
      </w:pPr>
      <w:r w:rsidRPr="004761E0">
        <w:rPr>
          <w:noProof/>
          <w:lang w:eastAsia="ru-RU"/>
        </w:rPr>
        <w:drawing>
          <wp:inline distT="0" distB="0" distL="0" distR="0">
            <wp:extent cx="5998464" cy="2523744"/>
            <wp:effectExtent l="0" t="0" r="0" b="0"/>
            <wp:docPr id="3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tbl>
      <w:tblPr>
        <w:tblStyle w:val="ae"/>
        <w:tblW w:w="9498" w:type="dxa"/>
        <w:tblInd w:w="108" w:type="dxa"/>
        <w:tblLayout w:type="fixed"/>
        <w:tblLook w:val="04A0"/>
      </w:tblPr>
      <w:tblGrid>
        <w:gridCol w:w="563"/>
        <w:gridCol w:w="1280"/>
        <w:gridCol w:w="7655"/>
      </w:tblGrid>
      <w:tr w:rsidR="004C1494" w:rsidRPr="004761E0" w:rsidTr="004C1494">
        <w:tc>
          <w:tcPr>
            <w:tcW w:w="563" w:type="dxa"/>
            <w:vAlign w:val="center"/>
          </w:tcPr>
          <w:p w:rsidR="004C1494" w:rsidRPr="004761E0" w:rsidRDefault="004C1494" w:rsidP="004C1494">
            <w:pPr>
              <w:ind w:firstLine="0"/>
              <w:rPr>
                <w:b/>
                <w:sz w:val="20"/>
                <w:szCs w:val="20"/>
              </w:rPr>
            </w:pPr>
            <w:r w:rsidRPr="004761E0">
              <w:rPr>
                <w:b/>
                <w:sz w:val="20"/>
                <w:szCs w:val="20"/>
              </w:rPr>
              <w:t>№ п/п</w:t>
            </w:r>
          </w:p>
        </w:tc>
        <w:tc>
          <w:tcPr>
            <w:tcW w:w="1280" w:type="dxa"/>
            <w:vAlign w:val="center"/>
          </w:tcPr>
          <w:p w:rsidR="004C1494" w:rsidRPr="004761E0" w:rsidRDefault="004C1494" w:rsidP="004C1494">
            <w:pPr>
              <w:ind w:firstLine="0"/>
              <w:rPr>
                <w:b/>
                <w:sz w:val="20"/>
                <w:szCs w:val="20"/>
              </w:rPr>
            </w:pPr>
            <w:r w:rsidRPr="004761E0">
              <w:rPr>
                <w:b/>
                <w:sz w:val="20"/>
                <w:szCs w:val="20"/>
              </w:rPr>
              <w:t xml:space="preserve">Дата </w:t>
            </w:r>
          </w:p>
        </w:tc>
        <w:tc>
          <w:tcPr>
            <w:tcW w:w="7655" w:type="dxa"/>
            <w:vAlign w:val="center"/>
          </w:tcPr>
          <w:p w:rsidR="004C1494" w:rsidRPr="004761E0" w:rsidRDefault="004C1494" w:rsidP="004C1494">
            <w:pPr>
              <w:ind w:firstLine="0"/>
              <w:rPr>
                <w:b/>
                <w:sz w:val="20"/>
                <w:szCs w:val="20"/>
              </w:rPr>
            </w:pPr>
            <w:r w:rsidRPr="004761E0">
              <w:rPr>
                <w:b/>
                <w:sz w:val="20"/>
                <w:szCs w:val="20"/>
              </w:rPr>
              <w:t>Новостное событие</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25 января</w:t>
            </w:r>
          </w:p>
        </w:tc>
        <w:tc>
          <w:tcPr>
            <w:tcW w:w="7655" w:type="dxa"/>
          </w:tcPr>
          <w:p w:rsidR="004C1494" w:rsidRPr="004761E0" w:rsidRDefault="004C1494" w:rsidP="004C1494">
            <w:pPr>
              <w:ind w:firstLine="0"/>
              <w:rPr>
                <w:sz w:val="20"/>
                <w:szCs w:val="20"/>
              </w:rPr>
            </w:pPr>
            <w:r w:rsidRPr="004761E0">
              <w:rPr>
                <w:sz w:val="20"/>
                <w:szCs w:val="20"/>
              </w:rPr>
              <w:t xml:space="preserve">Совет директоров </w:t>
            </w:r>
            <w:r w:rsidR="0008080E">
              <w:rPr>
                <w:sz w:val="20"/>
                <w:szCs w:val="20"/>
              </w:rPr>
              <w:t>ОАО </w:t>
            </w:r>
            <w:r w:rsidRPr="004761E0">
              <w:rPr>
                <w:sz w:val="20"/>
                <w:szCs w:val="20"/>
              </w:rPr>
              <w:t>«Холдинг МРСК»</w:t>
            </w:r>
            <w:r w:rsidRPr="006F4AB8">
              <w:rPr>
                <w:rStyle w:val="af1"/>
              </w:rPr>
              <w:footnoteReference w:id="114"/>
            </w:r>
            <w:r w:rsidRPr="004761E0">
              <w:rPr>
                <w:sz w:val="20"/>
                <w:szCs w:val="20"/>
              </w:rPr>
              <w:t xml:space="preserve"> согласовал кандидатуру П. Синютина на должность гендиректора МОЭСК.</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29 января</w:t>
            </w:r>
          </w:p>
        </w:tc>
        <w:tc>
          <w:tcPr>
            <w:tcW w:w="7655" w:type="dxa"/>
          </w:tcPr>
          <w:p w:rsidR="004C1494" w:rsidRPr="004761E0" w:rsidRDefault="004C1494" w:rsidP="004C1494">
            <w:pPr>
              <w:ind w:firstLine="0"/>
              <w:rPr>
                <w:sz w:val="20"/>
                <w:szCs w:val="20"/>
              </w:rPr>
            </w:pPr>
            <w:r w:rsidRPr="004761E0">
              <w:rPr>
                <w:sz w:val="20"/>
                <w:szCs w:val="20"/>
              </w:rPr>
              <w:t>В ходе пресс-конференции в информационном агентстве «Интерфакс» А. Иноземцев сообщил о планах компании привлечь в 2013 году порядка 15-20 млрд руб. через облигационные займы и кредитные линии, озвучил прогнозы результатов деятельности за 2012 г. по РСБУ, а также намерения по увеличению дивидендных выплат в 2013 г.</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05 февраля</w:t>
            </w:r>
          </w:p>
        </w:tc>
        <w:tc>
          <w:tcPr>
            <w:tcW w:w="7655" w:type="dxa"/>
          </w:tcPr>
          <w:p w:rsidR="004C1494" w:rsidRPr="004761E0" w:rsidRDefault="004C1494" w:rsidP="004C1494">
            <w:pPr>
              <w:ind w:firstLine="0"/>
              <w:rPr>
                <w:sz w:val="20"/>
                <w:szCs w:val="20"/>
              </w:rPr>
            </w:pPr>
            <w:r w:rsidRPr="004761E0">
              <w:rPr>
                <w:sz w:val="20"/>
                <w:szCs w:val="20"/>
              </w:rPr>
              <w:t>П.</w:t>
            </w:r>
            <w:r w:rsidR="00017C39">
              <w:rPr>
                <w:sz w:val="20"/>
                <w:szCs w:val="20"/>
              </w:rPr>
              <w:t>А.</w:t>
            </w:r>
            <w:r w:rsidRPr="004761E0">
              <w:rPr>
                <w:sz w:val="20"/>
                <w:szCs w:val="20"/>
              </w:rPr>
              <w:t xml:space="preserve"> Синютин назначен главой </w:t>
            </w:r>
            <w:r w:rsidR="0008080E">
              <w:rPr>
                <w:sz w:val="20"/>
                <w:szCs w:val="20"/>
              </w:rPr>
              <w:t>ОАО </w:t>
            </w:r>
            <w:r w:rsidRPr="004761E0">
              <w:rPr>
                <w:sz w:val="20"/>
                <w:szCs w:val="20"/>
              </w:rPr>
              <w:t>«МОЭСК» до 2016 г.</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13 февраля</w:t>
            </w:r>
          </w:p>
        </w:tc>
        <w:tc>
          <w:tcPr>
            <w:tcW w:w="7655" w:type="dxa"/>
          </w:tcPr>
          <w:p w:rsidR="004C1494" w:rsidRPr="004761E0" w:rsidRDefault="0008080E" w:rsidP="004C1494">
            <w:pPr>
              <w:ind w:firstLine="0"/>
              <w:rPr>
                <w:sz w:val="20"/>
                <w:szCs w:val="20"/>
              </w:rPr>
            </w:pPr>
            <w:r>
              <w:rPr>
                <w:sz w:val="20"/>
                <w:szCs w:val="20"/>
              </w:rPr>
              <w:t>ОАО </w:t>
            </w:r>
            <w:r w:rsidR="004C1494" w:rsidRPr="004761E0">
              <w:rPr>
                <w:sz w:val="20"/>
                <w:szCs w:val="20"/>
              </w:rPr>
              <w:t>«МОЭСК» разместило биржевые 3-х летние облигации серии БО-03 объемом 5 млрд руб.</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18 февраля</w:t>
            </w:r>
          </w:p>
        </w:tc>
        <w:tc>
          <w:tcPr>
            <w:tcW w:w="7655" w:type="dxa"/>
          </w:tcPr>
          <w:p w:rsidR="004C1494" w:rsidRPr="004761E0" w:rsidRDefault="004C1494" w:rsidP="004C1494">
            <w:pPr>
              <w:ind w:firstLine="0"/>
              <w:rPr>
                <w:sz w:val="20"/>
                <w:szCs w:val="20"/>
              </w:rPr>
            </w:pPr>
            <w:r w:rsidRPr="004761E0">
              <w:rPr>
                <w:sz w:val="20"/>
                <w:szCs w:val="20"/>
              </w:rPr>
              <w:t xml:space="preserve">Рейтинговое агентство Standard&amp;Poor’s пересмотрело в сторону повышения кредитные рейтинги </w:t>
            </w:r>
            <w:r w:rsidR="0008080E">
              <w:rPr>
                <w:sz w:val="20"/>
                <w:szCs w:val="20"/>
              </w:rPr>
              <w:t>ОАО </w:t>
            </w:r>
            <w:r w:rsidRPr="004761E0">
              <w:rPr>
                <w:sz w:val="20"/>
                <w:szCs w:val="20"/>
              </w:rPr>
              <w:t>«МОЭСК» по международной и национальной шкалам до уровней BB  и ruAA соответственно.</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20 февраля</w:t>
            </w:r>
          </w:p>
        </w:tc>
        <w:tc>
          <w:tcPr>
            <w:tcW w:w="7655" w:type="dxa"/>
          </w:tcPr>
          <w:p w:rsidR="004C1494" w:rsidRPr="004761E0" w:rsidRDefault="004C1494" w:rsidP="004C1494">
            <w:pPr>
              <w:ind w:firstLine="0"/>
              <w:rPr>
                <w:sz w:val="20"/>
                <w:szCs w:val="20"/>
              </w:rPr>
            </w:pPr>
            <w:r w:rsidRPr="004761E0">
              <w:rPr>
                <w:sz w:val="20"/>
                <w:szCs w:val="20"/>
              </w:rPr>
              <w:t>Заместитель министра энергетики М. Курбатов выступил с сообщением о том, что норма о выплате 25 % чистой прибыли в виде дивидендов касается всех дочерних обществ госкомпаний.</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26 февраля</w:t>
            </w:r>
          </w:p>
        </w:tc>
        <w:tc>
          <w:tcPr>
            <w:tcW w:w="7655" w:type="dxa"/>
          </w:tcPr>
          <w:p w:rsidR="004C1494" w:rsidRPr="004761E0" w:rsidRDefault="004C1494" w:rsidP="004C1494">
            <w:pPr>
              <w:ind w:firstLine="0"/>
              <w:rPr>
                <w:sz w:val="20"/>
                <w:szCs w:val="20"/>
              </w:rPr>
            </w:pPr>
            <w:r w:rsidRPr="004761E0">
              <w:rPr>
                <w:sz w:val="20"/>
                <w:szCs w:val="20"/>
              </w:rPr>
              <w:t xml:space="preserve">Суд назначил на 20 марта апелляцию ФАС по делу о приобретении Газпромбанк (ОАО) акций </w:t>
            </w:r>
            <w:r w:rsidR="0008080E">
              <w:rPr>
                <w:sz w:val="20"/>
                <w:szCs w:val="20"/>
              </w:rPr>
              <w:t>ОАО </w:t>
            </w:r>
            <w:r w:rsidRPr="004761E0">
              <w:rPr>
                <w:sz w:val="20"/>
                <w:szCs w:val="20"/>
              </w:rPr>
              <w:t>«МОЭСК» после того, как в декабре 2012 г. арбитражный суд признал недействительным решение об удовлетворении иска Газпромбанк (ОАО).</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11 марта</w:t>
            </w:r>
          </w:p>
        </w:tc>
        <w:tc>
          <w:tcPr>
            <w:tcW w:w="7655" w:type="dxa"/>
          </w:tcPr>
          <w:p w:rsidR="004C1494" w:rsidRPr="004761E0" w:rsidRDefault="0008080E" w:rsidP="004C1494">
            <w:pPr>
              <w:ind w:firstLine="0"/>
              <w:rPr>
                <w:sz w:val="20"/>
                <w:szCs w:val="20"/>
              </w:rPr>
            </w:pPr>
            <w:r>
              <w:rPr>
                <w:sz w:val="20"/>
                <w:szCs w:val="20"/>
              </w:rPr>
              <w:t>ОАО </w:t>
            </w:r>
            <w:r w:rsidR="004C1494" w:rsidRPr="004761E0">
              <w:rPr>
                <w:sz w:val="20"/>
                <w:szCs w:val="20"/>
              </w:rPr>
              <w:t xml:space="preserve">«МОЭСК» раскрыла бухгалтерскую отчетность по РСБУ за 2012 г. За отчетный период произошли следующие изменения: чистая прибыль достигла уровня 17,184 </w:t>
            </w:r>
            <w:r w:rsidR="004C1494" w:rsidRPr="004761E0">
              <w:rPr>
                <w:sz w:val="20"/>
                <w:szCs w:val="20"/>
              </w:rPr>
              <w:lastRenderedPageBreak/>
              <w:t>млрд руб. (+ 0,77 %), доналоговая прибыль -20,9 млрд руб. (- 4,46 %), выручка -118 млрд руб. (- 6,7 %), себестоимость - 92,3 млрд руб. (- 8,7 %).</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20 марта</w:t>
            </w:r>
          </w:p>
        </w:tc>
        <w:tc>
          <w:tcPr>
            <w:tcW w:w="7655" w:type="dxa"/>
          </w:tcPr>
          <w:p w:rsidR="004C1494" w:rsidRPr="004761E0" w:rsidRDefault="004C1494" w:rsidP="004C1494">
            <w:pPr>
              <w:ind w:firstLine="0"/>
              <w:rPr>
                <w:sz w:val="20"/>
                <w:szCs w:val="20"/>
              </w:rPr>
            </w:pPr>
            <w:r w:rsidRPr="004761E0">
              <w:rPr>
                <w:sz w:val="20"/>
                <w:szCs w:val="20"/>
              </w:rPr>
              <w:t xml:space="preserve">Суд перенес на 3 апреля апелляцию ФАС России по делу о приобретении Газпромбанк (ОАО) акций </w:t>
            </w:r>
            <w:r w:rsidR="0008080E">
              <w:rPr>
                <w:sz w:val="20"/>
                <w:szCs w:val="20"/>
              </w:rPr>
              <w:t>ОАО </w:t>
            </w:r>
            <w:r w:rsidRPr="004761E0">
              <w:rPr>
                <w:sz w:val="20"/>
                <w:szCs w:val="20"/>
              </w:rPr>
              <w:t>«МОЭСК».</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08 апреля</w:t>
            </w:r>
          </w:p>
        </w:tc>
        <w:tc>
          <w:tcPr>
            <w:tcW w:w="7655" w:type="dxa"/>
          </w:tcPr>
          <w:p w:rsidR="004C1494" w:rsidRPr="004761E0" w:rsidRDefault="004C1494" w:rsidP="00C53B7E">
            <w:pPr>
              <w:ind w:firstLine="0"/>
              <w:rPr>
                <w:sz w:val="20"/>
                <w:szCs w:val="20"/>
              </w:rPr>
            </w:pPr>
            <w:r w:rsidRPr="004761E0">
              <w:rPr>
                <w:sz w:val="20"/>
                <w:szCs w:val="20"/>
              </w:rPr>
              <w:t>Правительство РФ утвердило стратегию развития электр</w:t>
            </w:r>
            <w:r w:rsidR="00C53B7E">
              <w:rPr>
                <w:sz w:val="20"/>
                <w:szCs w:val="20"/>
              </w:rPr>
              <w:t>осетевого комплекса РФ до 2030 года</w:t>
            </w:r>
            <w:r w:rsidRPr="004761E0">
              <w:rPr>
                <w:sz w:val="20"/>
                <w:szCs w:val="20"/>
              </w:rPr>
              <w:t>, соответствующее распоряжение подписано 3 апреля Премьер-министром РФ Д. Медведевым.</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22 апреля</w:t>
            </w:r>
          </w:p>
        </w:tc>
        <w:tc>
          <w:tcPr>
            <w:tcW w:w="7655" w:type="dxa"/>
          </w:tcPr>
          <w:p w:rsidR="004C1494" w:rsidRPr="004761E0" w:rsidRDefault="004C1494" w:rsidP="00C53B7E">
            <w:pPr>
              <w:ind w:firstLine="0"/>
              <w:rPr>
                <w:sz w:val="20"/>
                <w:szCs w:val="20"/>
              </w:rPr>
            </w:pPr>
            <w:r w:rsidRPr="004761E0">
              <w:rPr>
                <w:sz w:val="20"/>
                <w:szCs w:val="20"/>
              </w:rPr>
              <w:t xml:space="preserve">Аналитики ожидают снижения чистой прибыли </w:t>
            </w:r>
            <w:r w:rsidR="0008080E">
              <w:rPr>
                <w:sz w:val="20"/>
                <w:szCs w:val="20"/>
              </w:rPr>
              <w:t>ОАО </w:t>
            </w:r>
            <w:r w:rsidRPr="004761E0">
              <w:rPr>
                <w:sz w:val="20"/>
                <w:szCs w:val="20"/>
              </w:rPr>
              <w:t>«МОЭСК» по МСФО в 2012 г</w:t>
            </w:r>
            <w:r w:rsidR="00C53B7E">
              <w:rPr>
                <w:sz w:val="20"/>
                <w:szCs w:val="20"/>
              </w:rPr>
              <w:t>оду</w:t>
            </w:r>
            <w:r w:rsidRPr="004761E0">
              <w:rPr>
                <w:sz w:val="20"/>
                <w:szCs w:val="20"/>
              </w:rPr>
              <w:t xml:space="preserve"> почти на 8 %, EBITDA – на 3 %.</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25 апреля</w:t>
            </w:r>
          </w:p>
        </w:tc>
        <w:tc>
          <w:tcPr>
            <w:tcW w:w="7655" w:type="dxa"/>
          </w:tcPr>
          <w:p w:rsidR="004C1494" w:rsidRPr="004761E0" w:rsidRDefault="004C1494" w:rsidP="004C1494">
            <w:pPr>
              <w:ind w:firstLine="0"/>
              <w:rPr>
                <w:sz w:val="20"/>
                <w:szCs w:val="20"/>
              </w:rPr>
            </w:pPr>
            <w:r w:rsidRPr="004761E0">
              <w:rPr>
                <w:sz w:val="20"/>
                <w:szCs w:val="20"/>
              </w:rPr>
              <w:t>Россия рассмотрит возможность ограничения роста тарифов естественных монополий в качестве одной из мер по борьбе с инфляцией, заявил Президент РФ В. Путин в ходе прямой линии с гражданами РФ.</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25 апреля</w:t>
            </w:r>
          </w:p>
        </w:tc>
        <w:tc>
          <w:tcPr>
            <w:tcW w:w="7655" w:type="dxa"/>
          </w:tcPr>
          <w:p w:rsidR="004C1494" w:rsidRPr="004761E0" w:rsidRDefault="004C1494" w:rsidP="00C53B7E">
            <w:pPr>
              <w:ind w:firstLine="0"/>
              <w:rPr>
                <w:sz w:val="20"/>
                <w:szCs w:val="20"/>
              </w:rPr>
            </w:pPr>
            <w:r w:rsidRPr="004761E0">
              <w:rPr>
                <w:sz w:val="20"/>
                <w:szCs w:val="20"/>
              </w:rPr>
              <w:t xml:space="preserve">Чистая прибыль </w:t>
            </w:r>
            <w:r w:rsidR="0008080E">
              <w:rPr>
                <w:sz w:val="20"/>
                <w:szCs w:val="20"/>
              </w:rPr>
              <w:t>ОАО </w:t>
            </w:r>
            <w:r w:rsidRPr="004761E0">
              <w:rPr>
                <w:sz w:val="20"/>
                <w:szCs w:val="20"/>
              </w:rPr>
              <w:t>«МОЭСК» по МСФО в 2012 г</w:t>
            </w:r>
            <w:r w:rsidR="00C53B7E">
              <w:rPr>
                <w:sz w:val="20"/>
                <w:szCs w:val="20"/>
              </w:rPr>
              <w:t>оду</w:t>
            </w:r>
            <w:r w:rsidRPr="004761E0">
              <w:rPr>
                <w:sz w:val="20"/>
                <w:szCs w:val="20"/>
              </w:rPr>
              <w:t xml:space="preserve"> выросла до 18,9 млрд руб. с 18,04 млрд руб. (увеличение на 5 %) в 2011 г. Это выше консенсус-прогноза, который составил 16,6 млрд руб. Ожидания аналитиков варьировались в диапазоне от 13,6 до 21,5 млрд руб. EBITDA также увеличилась на 5 %, до 43,58 млрд руб. По показателю EBITDA средний прогноз аналитиков составлял 40,45 млрд руб. и предполагал снижение на 3 % по сравнению с 2011 г</w:t>
            </w:r>
            <w:r w:rsidR="00C53B7E">
              <w:rPr>
                <w:sz w:val="20"/>
                <w:szCs w:val="20"/>
              </w:rPr>
              <w:t>ода</w:t>
            </w:r>
            <w:r w:rsidRPr="004761E0">
              <w:rPr>
                <w:sz w:val="20"/>
                <w:szCs w:val="20"/>
              </w:rPr>
              <w:t>.</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06 мая</w:t>
            </w:r>
          </w:p>
        </w:tc>
        <w:tc>
          <w:tcPr>
            <w:tcW w:w="7655" w:type="dxa"/>
          </w:tcPr>
          <w:p w:rsidR="004C1494" w:rsidRPr="004761E0" w:rsidRDefault="004C1494" w:rsidP="004C1494">
            <w:pPr>
              <w:ind w:firstLine="0"/>
              <w:rPr>
                <w:sz w:val="20"/>
                <w:szCs w:val="20"/>
              </w:rPr>
            </w:pPr>
            <w:r w:rsidRPr="004761E0">
              <w:rPr>
                <w:sz w:val="20"/>
                <w:szCs w:val="20"/>
              </w:rPr>
              <w:t xml:space="preserve">Совет директоров </w:t>
            </w:r>
            <w:r w:rsidR="0008080E">
              <w:rPr>
                <w:sz w:val="20"/>
                <w:szCs w:val="20"/>
              </w:rPr>
              <w:t>ОАО </w:t>
            </w:r>
            <w:r w:rsidRPr="004761E0">
              <w:rPr>
                <w:sz w:val="20"/>
                <w:szCs w:val="20"/>
              </w:rPr>
              <w:t>«МОЭСК» рекомендовал дивиденды за 2012 г</w:t>
            </w:r>
            <w:r w:rsidR="00C53B7E">
              <w:rPr>
                <w:sz w:val="20"/>
                <w:szCs w:val="20"/>
              </w:rPr>
              <w:t>од</w:t>
            </w:r>
            <w:r w:rsidRPr="004761E0">
              <w:rPr>
                <w:sz w:val="20"/>
                <w:szCs w:val="20"/>
              </w:rPr>
              <w:t xml:space="preserve"> в размере 8,8201 коп. на акцию.</w:t>
            </w:r>
          </w:p>
          <w:p w:rsidR="004C1494" w:rsidRPr="004761E0" w:rsidRDefault="004C1494" w:rsidP="00C53B7E">
            <w:pPr>
              <w:ind w:firstLine="0"/>
              <w:rPr>
                <w:sz w:val="20"/>
                <w:szCs w:val="20"/>
              </w:rPr>
            </w:pPr>
            <w:r w:rsidRPr="004761E0">
              <w:rPr>
                <w:sz w:val="20"/>
                <w:szCs w:val="20"/>
              </w:rPr>
              <w:t>Компания может направить на выплату дивидендов за 2012 г</w:t>
            </w:r>
            <w:r w:rsidR="00C53B7E">
              <w:rPr>
                <w:sz w:val="20"/>
                <w:szCs w:val="20"/>
              </w:rPr>
              <w:t>од</w:t>
            </w:r>
            <w:r w:rsidRPr="004761E0">
              <w:rPr>
                <w:sz w:val="20"/>
                <w:szCs w:val="20"/>
              </w:rPr>
              <w:t xml:space="preserve"> 4,3 млрд руб. ($ 138 млн), говорится в сообщении </w:t>
            </w:r>
            <w:r w:rsidR="0008080E">
              <w:rPr>
                <w:sz w:val="20"/>
                <w:szCs w:val="20"/>
              </w:rPr>
              <w:t>ОАО </w:t>
            </w:r>
            <w:r w:rsidRPr="004761E0">
              <w:rPr>
                <w:sz w:val="20"/>
                <w:szCs w:val="20"/>
              </w:rPr>
              <w:t>«МОЭСК», опубликованном сегодня на ленте раскрытия информации.</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16 мая</w:t>
            </w:r>
          </w:p>
        </w:tc>
        <w:tc>
          <w:tcPr>
            <w:tcW w:w="7655" w:type="dxa"/>
          </w:tcPr>
          <w:p w:rsidR="004C1494" w:rsidRPr="004761E0" w:rsidRDefault="004C1494" w:rsidP="00C53B7E">
            <w:pPr>
              <w:ind w:firstLine="0"/>
              <w:rPr>
                <w:sz w:val="20"/>
                <w:szCs w:val="20"/>
              </w:rPr>
            </w:pPr>
            <w:r w:rsidRPr="004761E0">
              <w:rPr>
                <w:sz w:val="20"/>
                <w:szCs w:val="20"/>
              </w:rPr>
              <w:t xml:space="preserve">Чистая прибыль </w:t>
            </w:r>
            <w:r w:rsidR="0008080E">
              <w:rPr>
                <w:sz w:val="20"/>
                <w:szCs w:val="20"/>
              </w:rPr>
              <w:t>ОАО </w:t>
            </w:r>
            <w:r w:rsidRPr="004761E0">
              <w:rPr>
                <w:sz w:val="20"/>
                <w:szCs w:val="20"/>
              </w:rPr>
              <w:t xml:space="preserve">«МОЭСК» по РСБУ выросла в </w:t>
            </w:r>
            <w:r w:rsidR="00017C39">
              <w:rPr>
                <w:sz w:val="20"/>
                <w:szCs w:val="20"/>
                <w:lang w:val="en-US"/>
              </w:rPr>
              <w:t>I</w:t>
            </w:r>
            <w:r w:rsidRPr="004761E0">
              <w:rPr>
                <w:sz w:val="20"/>
                <w:szCs w:val="20"/>
              </w:rPr>
              <w:t xml:space="preserve"> квартале 2013 г</w:t>
            </w:r>
            <w:r w:rsidR="00C53B7E">
              <w:rPr>
                <w:sz w:val="20"/>
                <w:szCs w:val="20"/>
              </w:rPr>
              <w:t>од</w:t>
            </w:r>
            <w:r w:rsidRPr="004761E0">
              <w:rPr>
                <w:sz w:val="20"/>
                <w:szCs w:val="20"/>
              </w:rPr>
              <w:t xml:space="preserve"> на 22,4 % по сравнению с аналогичным периодом 2012 г. и составила 5,536 млрд руб., следует из отчета Компании. Доналоговая прибыль увеличилась на 19,9 %, до 7,422 млрд руб. Выручка Компании выросла за отчетный период на 6,2 % и составила 31,741 млрд руб., в т</w:t>
            </w:r>
            <w:r w:rsidR="00A26737" w:rsidRPr="004761E0">
              <w:rPr>
                <w:sz w:val="20"/>
                <w:szCs w:val="20"/>
              </w:rPr>
              <w:t>.ч.</w:t>
            </w:r>
            <w:r w:rsidRPr="004761E0">
              <w:rPr>
                <w:sz w:val="20"/>
                <w:szCs w:val="20"/>
              </w:rPr>
              <w:t xml:space="preserve"> выручка от передачи электроэнергии составила 29,505 млрд руб. (+10,6 %), от техприсоединения – 2,138 млрд руб. (-32 %).</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16 мая</w:t>
            </w:r>
          </w:p>
        </w:tc>
        <w:tc>
          <w:tcPr>
            <w:tcW w:w="7655" w:type="dxa"/>
          </w:tcPr>
          <w:p w:rsidR="004C1494" w:rsidRPr="004761E0" w:rsidRDefault="004C1494" w:rsidP="004C1494">
            <w:pPr>
              <w:ind w:firstLine="0"/>
              <w:rPr>
                <w:sz w:val="20"/>
                <w:szCs w:val="20"/>
              </w:rPr>
            </w:pPr>
            <w:r w:rsidRPr="004761E0">
              <w:rPr>
                <w:sz w:val="20"/>
                <w:szCs w:val="20"/>
              </w:rPr>
              <w:t xml:space="preserve">Бумаги </w:t>
            </w:r>
            <w:r w:rsidR="0008080E">
              <w:rPr>
                <w:sz w:val="20"/>
                <w:szCs w:val="20"/>
              </w:rPr>
              <w:t>ОАО </w:t>
            </w:r>
            <w:r w:rsidRPr="004761E0">
              <w:rPr>
                <w:sz w:val="20"/>
                <w:szCs w:val="20"/>
              </w:rPr>
              <w:t xml:space="preserve">«НЛМК», </w:t>
            </w:r>
            <w:r w:rsidR="0008080E">
              <w:rPr>
                <w:sz w:val="20"/>
                <w:szCs w:val="20"/>
              </w:rPr>
              <w:t>ОАО </w:t>
            </w:r>
            <w:r w:rsidRPr="004761E0">
              <w:rPr>
                <w:sz w:val="20"/>
                <w:szCs w:val="20"/>
              </w:rPr>
              <w:t xml:space="preserve">«Мечел» и </w:t>
            </w:r>
            <w:r w:rsidR="0008080E">
              <w:rPr>
                <w:sz w:val="20"/>
                <w:szCs w:val="20"/>
              </w:rPr>
              <w:t>ОАО </w:t>
            </w:r>
            <w:r w:rsidRPr="004761E0">
              <w:rPr>
                <w:sz w:val="20"/>
                <w:szCs w:val="20"/>
              </w:rPr>
              <w:t>«Россети» исключены из индекса MSCI Russia.</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24 мая</w:t>
            </w:r>
          </w:p>
        </w:tc>
        <w:tc>
          <w:tcPr>
            <w:tcW w:w="7655" w:type="dxa"/>
          </w:tcPr>
          <w:p w:rsidR="004C1494" w:rsidRPr="004761E0" w:rsidRDefault="004C1494" w:rsidP="00C53B7E">
            <w:pPr>
              <w:ind w:firstLine="0"/>
              <w:rPr>
                <w:sz w:val="20"/>
                <w:szCs w:val="20"/>
              </w:rPr>
            </w:pPr>
            <w:r w:rsidRPr="004761E0">
              <w:rPr>
                <w:sz w:val="20"/>
                <w:szCs w:val="20"/>
              </w:rPr>
              <w:t>Правительство РФ в ближайшее время примет решение об индексации тарифов естественных монополий на 2014 г</w:t>
            </w:r>
            <w:r w:rsidR="00C53B7E">
              <w:rPr>
                <w:sz w:val="20"/>
                <w:szCs w:val="20"/>
              </w:rPr>
              <w:t>од</w:t>
            </w:r>
            <w:r w:rsidRPr="004761E0">
              <w:rPr>
                <w:sz w:val="20"/>
                <w:szCs w:val="20"/>
              </w:rPr>
              <w:t>, заявил вчера Президент РФ В. Путин, отвечая на вопрос миллиардера О. Дерипаски.</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03 июня</w:t>
            </w:r>
          </w:p>
        </w:tc>
        <w:tc>
          <w:tcPr>
            <w:tcW w:w="7655" w:type="dxa"/>
          </w:tcPr>
          <w:p w:rsidR="004C1494" w:rsidRPr="004761E0" w:rsidRDefault="004C1494" w:rsidP="004C1494">
            <w:pPr>
              <w:ind w:firstLine="0"/>
              <w:rPr>
                <w:sz w:val="20"/>
                <w:szCs w:val="20"/>
              </w:rPr>
            </w:pPr>
            <w:r w:rsidRPr="004761E0">
              <w:rPr>
                <w:sz w:val="20"/>
                <w:szCs w:val="20"/>
              </w:rPr>
              <w:t xml:space="preserve">Совет директоров </w:t>
            </w:r>
            <w:r w:rsidR="0008080E">
              <w:rPr>
                <w:sz w:val="20"/>
                <w:szCs w:val="20"/>
              </w:rPr>
              <w:t>ОАО </w:t>
            </w:r>
            <w:r w:rsidRPr="004761E0">
              <w:rPr>
                <w:sz w:val="20"/>
                <w:szCs w:val="20"/>
              </w:rPr>
              <w:t>«МОЭСК» принял решение о размещении биржевых облигаций серий БО-04 – БО-10 на общую сумму 50 млрд руб.</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21 июня</w:t>
            </w:r>
          </w:p>
        </w:tc>
        <w:tc>
          <w:tcPr>
            <w:tcW w:w="7655" w:type="dxa"/>
          </w:tcPr>
          <w:p w:rsidR="004C1494" w:rsidRPr="004761E0" w:rsidRDefault="004C1494" w:rsidP="00C53B7E">
            <w:pPr>
              <w:ind w:firstLine="0"/>
              <w:rPr>
                <w:sz w:val="20"/>
                <w:szCs w:val="20"/>
              </w:rPr>
            </w:pPr>
            <w:r w:rsidRPr="004761E0">
              <w:rPr>
                <w:sz w:val="20"/>
                <w:szCs w:val="20"/>
              </w:rPr>
              <w:t>РФ ограничит тарифы монополий инфляцией на 5 лет с 2014 г</w:t>
            </w:r>
            <w:r w:rsidR="00C53B7E">
              <w:rPr>
                <w:sz w:val="20"/>
                <w:szCs w:val="20"/>
              </w:rPr>
              <w:t>ода</w:t>
            </w:r>
            <w:r w:rsidRPr="004761E0">
              <w:rPr>
                <w:sz w:val="20"/>
                <w:szCs w:val="20"/>
              </w:rPr>
              <w:t xml:space="preserve"> Россия, начиная со следующего года, введет на 5 лет ограничения на рост регулируемых тарифов, сообщил сегодня Президент В. Путин.</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26 июня</w:t>
            </w:r>
          </w:p>
        </w:tc>
        <w:tc>
          <w:tcPr>
            <w:tcW w:w="7655" w:type="dxa"/>
          </w:tcPr>
          <w:p w:rsidR="004C1494" w:rsidRPr="004761E0" w:rsidRDefault="004C1494" w:rsidP="00C53B7E">
            <w:pPr>
              <w:ind w:firstLine="0"/>
              <w:rPr>
                <w:sz w:val="20"/>
                <w:szCs w:val="20"/>
              </w:rPr>
            </w:pPr>
            <w:r w:rsidRPr="004761E0">
              <w:rPr>
                <w:sz w:val="20"/>
                <w:szCs w:val="20"/>
              </w:rPr>
              <w:t xml:space="preserve">Состоялось годовое Общее собрание акционеров </w:t>
            </w:r>
            <w:r w:rsidR="0008080E">
              <w:rPr>
                <w:sz w:val="20"/>
                <w:szCs w:val="20"/>
              </w:rPr>
              <w:t>ОАО </w:t>
            </w:r>
            <w:r w:rsidRPr="004761E0">
              <w:rPr>
                <w:sz w:val="20"/>
                <w:szCs w:val="20"/>
              </w:rPr>
              <w:t>«МОЭСК»: акционеры утвердили Годовой отчет за 2012 г</w:t>
            </w:r>
            <w:r w:rsidR="00C53B7E">
              <w:rPr>
                <w:sz w:val="20"/>
                <w:szCs w:val="20"/>
              </w:rPr>
              <w:t>од</w:t>
            </w:r>
            <w:r w:rsidRPr="004761E0">
              <w:rPr>
                <w:sz w:val="20"/>
                <w:szCs w:val="20"/>
              </w:rPr>
              <w:t>, годовую бухгалтерскую отчетность за 2012 г</w:t>
            </w:r>
            <w:r w:rsidR="00C53B7E">
              <w:rPr>
                <w:sz w:val="20"/>
                <w:szCs w:val="20"/>
              </w:rPr>
              <w:t>од</w:t>
            </w:r>
            <w:r w:rsidRPr="004761E0">
              <w:rPr>
                <w:sz w:val="20"/>
                <w:szCs w:val="20"/>
              </w:rPr>
              <w:t>, распределение прибыли, в т</w:t>
            </w:r>
            <w:r w:rsidR="00A26737" w:rsidRPr="004761E0">
              <w:rPr>
                <w:sz w:val="20"/>
                <w:szCs w:val="20"/>
              </w:rPr>
              <w:t>.ч.</w:t>
            </w:r>
            <w:r w:rsidRPr="004761E0">
              <w:rPr>
                <w:sz w:val="20"/>
                <w:szCs w:val="20"/>
              </w:rPr>
              <w:t xml:space="preserve"> выплату дивидендов в размере 4,3 млрд руб., новые составы Совета директоров и Ревизионной комиссии, а также аудитора. </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19 июля</w:t>
            </w:r>
          </w:p>
        </w:tc>
        <w:tc>
          <w:tcPr>
            <w:tcW w:w="7655" w:type="dxa"/>
          </w:tcPr>
          <w:p w:rsidR="004C1494" w:rsidRPr="004761E0" w:rsidRDefault="004C1494" w:rsidP="004C1494">
            <w:pPr>
              <w:ind w:firstLine="0"/>
              <w:rPr>
                <w:sz w:val="20"/>
                <w:szCs w:val="20"/>
              </w:rPr>
            </w:pPr>
            <w:r w:rsidRPr="004761E0">
              <w:rPr>
                <w:sz w:val="20"/>
                <w:szCs w:val="20"/>
              </w:rPr>
              <w:t xml:space="preserve">Правительство Москвы консолидирует две работающих в столице энергокомпании для формирования единого сетевого кольца для их возможной последующей продажи. </w:t>
            </w:r>
            <w:r w:rsidR="0008080E">
              <w:rPr>
                <w:sz w:val="20"/>
                <w:szCs w:val="20"/>
              </w:rPr>
              <w:t>ОАО </w:t>
            </w:r>
            <w:r w:rsidRPr="004761E0">
              <w:rPr>
                <w:sz w:val="20"/>
                <w:szCs w:val="20"/>
              </w:rPr>
              <w:t xml:space="preserve">«Россети» могут затем приобрести консолидированную компанию за деньги, либо в обмен на долю в компании, которая объединит столичные энергосети с </w:t>
            </w:r>
            <w:r w:rsidR="0008080E">
              <w:rPr>
                <w:sz w:val="20"/>
                <w:szCs w:val="20"/>
              </w:rPr>
              <w:t>ОАО </w:t>
            </w:r>
            <w:r w:rsidRPr="004761E0">
              <w:rPr>
                <w:sz w:val="20"/>
                <w:szCs w:val="20"/>
              </w:rPr>
              <w:t>«МОЭСК».</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19 июля</w:t>
            </w:r>
          </w:p>
        </w:tc>
        <w:tc>
          <w:tcPr>
            <w:tcW w:w="7655" w:type="dxa"/>
          </w:tcPr>
          <w:p w:rsidR="004C1494" w:rsidRPr="004761E0" w:rsidRDefault="004C1494" w:rsidP="004C1494">
            <w:pPr>
              <w:ind w:firstLine="0"/>
              <w:rPr>
                <w:sz w:val="20"/>
                <w:szCs w:val="20"/>
              </w:rPr>
            </w:pPr>
            <w:r w:rsidRPr="004761E0">
              <w:rPr>
                <w:sz w:val="20"/>
                <w:szCs w:val="20"/>
              </w:rPr>
              <w:t xml:space="preserve">Москва хочет консолидировать и продать федеральным «Россетям» свои электросетевые активы. Взамен город готов получить либо деньги, либо долю в объединенной компании, которая может быть создана на базе столичных </w:t>
            </w:r>
            <w:r w:rsidR="0008080E">
              <w:rPr>
                <w:sz w:val="20"/>
                <w:szCs w:val="20"/>
              </w:rPr>
              <w:t>ОАО </w:t>
            </w:r>
            <w:r w:rsidRPr="004761E0">
              <w:rPr>
                <w:sz w:val="20"/>
                <w:szCs w:val="20"/>
              </w:rPr>
              <w:t xml:space="preserve">«ОЭК» и </w:t>
            </w:r>
            <w:r w:rsidR="0008080E">
              <w:rPr>
                <w:sz w:val="20"/>
                <w:szCs w:val="20"/>
              </w:rPr>
              <w:t>ОАО </w:t>
            </w:r>
            <w:r w:rsidRPr="004761E0">
              <w:rPr>
                <w:sz w:val="20"/>
                <w:szCs w:val="20"/>
              </w:rPr>
              <w:t xml:space="preserve">«Энергокомплекс» и принадлежащей </w:t>
            </w:r>
            <w:r w:rsidR="0008080E">
              <w:rPr>
                <w:sz w:val="20"/>
                <w:szCs w:val="20"/>
              </w:rPr>
              <w:t>ОАО </w:t>
            </w:r>
            <w:r w:rsidRPr="004761E0">
              <w:rPr>
                <w:sz w:val="20"/>
                <w:szCs w:val="20"/>
              </w:rPr>
              <w:t xml:space="preserve">«Россети» </w:t>
            </w:r>
            <w:r w:rsidR="0008080E">
              <w:rPr>
                <w:sz w:val="20"/>
                <w:szCs w:val="20"/>
              </w:rPr>
              <w:t>ОАО </w:t>
            </w:r>
            <w:r w:rsidRPr="004761E0">
              <w:rPr>
                <w:sz w:val="20"/>
                <w:szCs w:val="20"/>
              </w:rPr>
              <w:t>«МОЭСК». Но стороны могут сильно разойтись в оценке активов.</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21 августа</w:t>
            </w:r>
          </w:p>
        </w:tc>
        <w:tc>
          <w:tcPr>
            <w:tcW w:w="7655" w:type="dxa"/>
          </w:tcPr>
          <w:p w:rsidR="004C1494" w:rsidRPr="004761E0" w:rsidRDefault="004C1494" w:rsidP="004C1494">
            <w:pPr>
              <w:ind w:firstLine="0"/>
              <w:rPr>
                <w:sz w:val="20"/>
                <w:szCs w:val="20"/>
              </w:rPr>
            </w:pPr>
            <w:r w:rsidRPr="004761E0">
              <w:rPr>
                <w:sz w:val="20"/>
                <w:szCs w:val="20"/>
              </w:rPr>
              <w:t>Чистая</w:t>
            </w:r>
            <w:r w:rsidR="00017C39">
              <w:rPr>
                <w:sz w:val="20"/>
                <w:szCs w:val="20"/>
              </w:rPr>
              <w:t xml:space="preserve"> прибыль </w:t>
            </w:r>
            <w:r w:rsidR="0008080E">
              <w:rPr>
                <w:sz w:val="20"/>
                <w:szCs w:val="20"/>
              </w:rPr>
              <w:t>ОАО </w:t>
            </w:r>
            <w:r w:rsidR="00017C39">
              <w:rPr>
                <w:sz w:val="20"/>
                <w:szCs w:val="20"/>
              </w:rPr>
              <w:t xml:space="preserve">«МОЭСК» по РСБУ в </w:t>
            </w:r>
            <w:r w:rsidR="00017C39">
              <w:rPr>
                <w:sz w:val="20"/>
                <w:szCs w:val="20"/>
                <w:lang w:val="en-US"/>
              </w:rPr>
              <w:t>I</w:t>
            </w:r>
            <w:r w:rsidRPr="004761E0">
              <w:rPr>
                <w:sz w:val="20"/>
                <w:szCs w:val="20"/>
              </w:rPr>
              <w:t xml:space="preserve"> полугодии 2013 года снизилась относительно аналогичного показателя прошлого года на 45,4 % и составила 5 951 млн руб.</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22 августа</w:t>
            </w:r>
          </w:p>
        </w:tc>
        <w:tc>
          <w:tcPr>
            <w:tcW w:w="7655" w:type="dxa"/>
          </w:tcPr>
          <w:p w:rsidR="004C1494" w:rsidRPr="004761E0" w:rsidRDefault="004C1494" w:rsidP="004C1494">
            <w:pPr>
              <w:ind w:firstLine="0"/>
              <w:rPr>
                <w:sz w:val="20"/>
                <w:szCs w:val="20"/>
              </w:rPr>
            </w:pPr>
            <w:r w:rsidRPr="004761E0">
              <w:rPr>
                <w:sz w:val="20"/>
                <w:szCs w:val="20"/>
              </w:rPr>
              <w:t xml:space="preserve">Аффилированная с Газпромбанк (ОАО) кипрская GPB-DI Holdings Ltd вышла из уставного капитала </w:t>
            </w:r>
            <w:r w:rsidR="0008080E">
              <w:rPr>
                <w:sz w:val="20"/>
                <w:szCs w:val="20"/>
              </w:rPr>
              <w:t>ОАО </w:t>
            </w:r>
            <w:r w:rsidRPr="004761E0">
              <w:rPr>
                <w:sz w:val="20"/>
                <w:szCs w:val="20"/>
              </w:rPr>
              <w:t xml:space="preserve">«МОЭСК». Ранее компания владела 5,23 % акций </w:t>
            </w:r>
            <w:r w:rsidR="0008080E">
              <w:rPr>
                <w:sz w:val="20"/>
                <w:szCs w:val="20"/>
              </w:rPr>
              <w:t>ОАО </w:t>
            </w:r>
            <w:r w:rsidRPr="004761E0">
              <w:rPr>
                <w:sz w:val="20"/>
                <w:szCs w:val="20"/>
              </w:rPr>
              <w:t>«МОЭСК».</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29 августа</w:t>
            </w:r>
          </w:p>
        </w:tc>
        <w:tc>
          <w:tcPr>
            <w:tcW w:w="7655" w:type="dxa"/>
          </w:tcPr>
          <w:p w:rsidR="004C1494" w:rsidRPr="004761E0" w:rsidRDefault="0008080E" w:rsidP="004C1494">
            <w:pPr>
              <w:ind w:firstLine="0"/>
              <w:rPr>
                <w:sz w:val="20"/>
                <w:szCs w:val="20"/>
              </w:rPr>
            </w:pPr>
            <w:r>
              <w:rPr>
                <w:sz w:val="20"/>
                <w:szCs w:val="20"/>
              </w:rPr>
              <w:t>ОАО </w:t>
            </w:r>
            <w:r w:rsidR="004C1494" w:rsidRPr="004761E0">
              <w:rPr>
                <w:sz w:val="20"/>
                <w:szCs w:val="20"/>
              </w:rPr>
              <w:t xml:space="preserve">«Россети» планируют компенсировать ограничение роста тарифов на сетевые услуги путем оптимизации издержек и инвестпрограммы, не ожидая компенсации </w:t>
            </w:r>
            <w:r w:rsidR="004C1494" w:rsidRPr="004761E0">
              <w:rPr>
                <w:sz w:val="20"/>
                <w:szCs w:val="20"/>
              </w:rPr>
              <w:lastRenderedPageBreak/>
              <w:t>выпадающих доходов государством.</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30 августа</w:t>
            </w:r>
          </w:p>
        </w:tc>
        <w:tc>
          <w:tcPr>
            <w:tcW w:w="7655" w:type="dxa"/>
          </w:tcPr>
          <w:p w:rsidR="004C1494" w:rsidRPr="004761E0" w:rsidRDefault="004C1494" w:rsidP="00017C39">
            <w:pPr>
              <w:ind w:firstLine="0"/>
              <w:rPr>
                <w:sz w:val="20"/>
                <w:szCs w:val="20"/>
              </w:rPr>
            </w:pPr>
            <w:r w:rsidRPr="004761E0">
              <w:rPr>
                <w:sz w:val="20"/>
                <w:szCs w:val="20"/>
              </w:rPr>
              <w:t xml:space="preserve">Чистая прибыль </w:t>
            </w:r>
            <w:r w:rsidR="0008080E">
              <w:rPr>
                <w:sz w:val="20"/>
                <w:szCs w:val="20"/>
              </w:rPr>
              <w:t>ОАО </w:t>
            </w:r>
            <w:r w:rsidRPr="004761E0">
              <w:rPr>
                <w:sz w:val="20"/>
                <w:szCs w:val="20"/>
              </w:rPr>
              <w:t xml:space="preserve">«МОЭСК» по МСФО снизилась в </w:t>
            </w:r>
            <w:r w:rsidR="00017C39">
              <w:rPr>
                <w:sz w:val="20"/>
                <w:szCs w:val="20"/>
                <w:lang w:val="en-US"/>
              </w:rPr>
              <w:t>I</w:t>
            </w:r>
            <w:r w:rsidRPr="004761E0">
              <w:rPr>
                <w:sz w:val="20"/>
                <w:szCs w:val="20"/>
              </w:rPr>
              <w:t xml:space="preserve"> полугодии 2013 года на 16,4 % и составила 7,188 млрд руб. против 8,6 млрд руб. за аналогичный период годом ранее. EBITDA по сравнению с аналогичным периодом 2012 года снизилась на 13 %  – до 18,81 млрд руб.</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30 августа</w:t>
            </w:r>
          </w:p>
        </w:tc>
        <w:tc>
          <w:tcPr>
            <w:tcW w:w="7655" w:type="dxa"/>
          </w:tcPr>
          <w:p w:rsidR="004C1494" w:rsidRPr="004761E0" w:rsidRDefault="0008080E" w:rsidP="004C1494">
            <w:pPr>
              <w:ind w:firstLine="0"/>
              <w:rPr>
                <w:sz w:val="20"/>
                <w:szCs w:val="20"/>
              </w:rPr>
            </w:pPr>
            <w:r>
              <w:rPr>
                <w:sz w:val="20"/>
                <w:szCs w:val="20"/>
              </w:rPr>
              <w:t>ОАО </w:t>
            </w:r>
            <w:r w:rsidR="004C1494" w:rsidRPr="004761E0">
              <w:rPr>
                <w:sz w:val="20"/>
                <w:szCs w:val="20"/>
              </w:rPr>
              <w:t>«Россети» оценивает консолидацию территориальных сетевых организаций в 188-200 млрд руб. и рассчитывает получить контроль над ними к 2017 году.</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05 сентября</w:t>
            </w:r>
          </w:p>
        </w:tc>
        <w:tc>
          <w:tcPr>
            <w:tcW w:w="7655" w:type="dxa"/>
          </w:tcPr>
          <w:p w:rsidR="004C1494" w:rsidRPr="004761E0" w:rsidRDefault="0008080E" w:rsidP="004C1494">
            <w:pPr>
              <w:ind w:firstLine="0"/>
              <w:rPr>
                <w:sz w:val="20"/>
                <w:szCs w:val="20"/>
              </w:rPr>
            </w:pPr>
            <w:r>
              <w:rPr>
                <w:sz w:val="20"/>
                <w:szCs w:val="20"/>
              </w:rPr>
              <w:t>ОАО </w:t>
            </w:r>
            <w:r w:rsidR="004C1494" w:rsidRPr="004761E0">
              <w:rPr>
                <w:sz w:val="20"/>
                <w:szCs w:val="20"/>
              </w:rPr>
              <w:t>«МОЭСК» по итогам 2013 года ожидает снижения чистой прибыли и EBITDA на 2 млрд руб. (по каждому показателю).</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05 сентября</w:t>
            </w:r>
          </w:p>
        </w:tc>
        <w:tc>
          <w:tcPr>
            <w:tcW w:w="7655" w:type="dxa"/>
          </w:tcPr>
          <w:p w:rsidR="004C1494" w:rsidRPr="004761E0" w:rsidRDefault="004C1494" w:rsidP="004C1494">
            <w:pPr>
              <w:ind w:firstLine="0"/>
              <w:rPr>
                <w:sz w:val="20"/>
                <w:szCs w:val="20"/>
              </w:rPr>
            </w:pPr>
            <w:r w:rsidRPr="004761E0">
              <w:rPr>
                <w:sz w:val="20"/>
                <w:szCs w:val="20"/>
              </w:rPr>
              <w:t xml:space="preserve">Инвестиционная программа </w:t>
            </w:r>
            <w:r w:rsidR="0008080E">
              <w:rPr>
                <w:sz w:val="20"/>
                <w:szCs w:val="20"/>
              </w:rPr>
              <w:t>ОАО </w:t>
            </w:r>
            <w:r w:rsidRPr="004761E0">
              <w:rPr>
                <w:sz w:val="20"/>
                <w:szCs w:val="20"/>
              </w:rPr>
              <w:t>«МОЭСК» на 2013 год скорректирована на 2-3 %.</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06 сентября</w:t>
            </w:r>
          </w:p>
        </w:tc>
        <w:tc>
          <w:tcPr>
            <w:tcW w:w="7655" w:type="dxa"/>
          </w:tcPr>
          <w:p w:rsidR="004C1494" w:rsidRPr="004761E0" w:rsidRDefault="004C1494" w:rsidP="00C53B7E">
            <w:pPr>
              <w:ind w:firstLine="0"/>
              <w:rPr>
                <w:sz w:val="20"/>
                <w:szCs w:val="20"/>
              </w:rPr>
            </w:pPr>
            <w:r w:rsidRPr="004761E0">
              <w:rPr>
                <w:sz w:val="20"/>
                <w:szCs w:val="20"/>
              </w:rPr>
              <w:t>Премьер-министр РФ Д. Медведев поручил Минэкономразвития России, Минфину России, Минтрансу России, Минэнерго России и ФСТ России представить в Правительство РФ вариант прогноза социально-экономического развития на 2014 год и на плановый период 2015-2016 г</w:t>
            </w:r>
            <w:r w:rsidR="00C53B7E">
              <w:rPr>
                <w:sz w:val="20"/>
                <w:szCs w:val="20"/>
              </w:rPr>
              <w:t>г.,</w:t>
            </w:r>
            <w:r w:rsidRPr="004761E0">
              <w:rPr>
                <w:sz w:val="20"/>
                <w:szCs w:val="20"/>
              </w:rPr>
              <w:t xml:space="preserve"> предусматривающий сохранение в будущем году тарифов на продукцию (услуги) субъектов естественных монополий на уровне 2013 года.</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06 сентября</w:t>
            </w:r>
          </w:p>
        </w:tc>
        <w:tc>
          <w:tcPr>
            <w:tcW w:w="7655" w:type="dxa"/>
          </w:tcPr>
          <w:p w:rsidR="004C1494" w:rsidRPr="004761E0" w:rsidRDefault="004C1494" w:rsidP="004C1494">
            <w:pPr>
              <w:ind w:firstLine="0"/>
              <w:rPr>
                <w:sz w:val="20"/>
                <w:szCs w:val="20"/>
              </w:rPr>
            </w:pPr>
            <w:r w:rsidRPr="004761E0">
              <w:rPr>
                <w:sz w:val="20"/>
                <w:szCs w:val="20"/>
              </w:rPr>
              <w:t>Минфин России поддерживает предложение об отказе в 2014 году от индексации тарифов на услуги естественных монополий.</w:t>
            </w:r>
          </w:p>
        </w:tc>
      </w:tr>
      <w:tr w:rsidR="004C1494" w:rsidRPr="004761E0" w:rsidTr="004C1494">
        <w:trPr>
          <w:trHeight w:val="291"/>
        </w:trPr>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12 сентября</w:t>
            </w:r>
          </w:p>
        </w:tc>
        <w:tc>
          <w:tcPr>
            <w:tcW w:w="7655" w:type="dxa"/>
          </w:tcPr>
          <w:p w:rsidR="004C1494" w:rsidRPr="004761E0" w:rsidRDefault="004C1494" w:rsidP="004C1494">
            <w:pPr>
              <w:ind w:firstLine="0"/>
              <w:rPr>
                <w:sz w:val="20"/>
                <w:szCs w:val="20"/>
              </w:rPr>
            </w:pPr>
            <w:r w:rsidRPr="004761E0">
              <w:rPr>
                <w:sz w:val="20"/>
                <w:szCs w:val="20"/>
              </w:rPr>
              <w:t>«Россети» проведут дополнительный анализ инвестпрограмм дочерних компаний в связи с «заморозкой» тарифов. «Россети» считают заморозку тарифа в 2014 году стимулом для повышения эффективности компании и надеются, что эта мера наведет порядок в электросетевом комплексе.</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13 сентября</w:t>
            </w:r>
          </w:p>
        </w:tc>
        <w:tc>
          <w:tcPr>
            <w:tcW w:w="7655" w:type="dxa"/>
          </w:tcPr>
          <w:p w:rsidR="004C1494" w:rsidRPr="004761E0" w:rsidRDefault="004C1494" w:rsidP="004C1494">
            <w:pPr>
              <w:ind w:firstLine="0"/>
              <w:rPr>
                <w:sz w:val="20"/>
                <w:szCs w:val="20"/>
              </w:rPr>
            </w:pPr>
            <w:r w:rsidRPr="004761E0">
              <w:rPr>
                <w:sz w:val="20"/>
                <w:szCs w:val="20"/>
              </w:rPr>
              <w:t>Бумаги электроэнергетических компаний РФ, которые в этом году демонстрируют худшую динамику среди акций индекса ММВБ, продолжат падение после того, как Президент РФ В. Путин одобрил заморозку тарифов естественных монополий в следующем году, прогнозирует Ренессанс Капитал.</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13 сентября</w:t>
            </w:r>
          </w:p>
        </w:tc>
        <w:tc>
          <w:tcPr>
            <w:tcW w:w="7655" w:type="dxa"/>
          </w:tcPr>
          <w:p w:rsidR="004C1494" w:rsidRPr="004761E0" w:rsidRDefault="004C1494" w:rsidP="004C1494">
            <w:pPr>
              <w:ind w:firstLine="0"/>
              <w:rPr>
                <w:sz w:val="20"/>
                <w:szCs w:val="20"/>
              </w:rPr>
            </w:pPr>
            <w:r w:rsidRPr="004761E0">
              <w:rPr>
                <w:sz w:val="20"/>
                <w:szCs w:val="20"/>
              </w:rPr>
              <w:t>Реакция монополий на идею Правительства РФ заморозить тарифы в 2014 году оказалась полярной: сетевики, которым Президент РФ В. Путин публично пенял за недостаточную эффективность расходов, благодарят государство за стимул к оптимизации затрат, а железнодорожники, не попадавшие под прицел критики высшего руководства страны, рисуют мрачную картину недалекого будущего отрасли.</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18 сентября</w:t>
            </w:r>
          </w:p>
        </w:tc>
        <w:tc>
          <w:tcPr>
            <w:tcW w:w="7655" w:type="dxa"/>
          </w:tcPr>
          <w:p w:rsidR="004C1494" w:rsidRPr="004761E0" w:rsidRDefault="004C1494" w:rsidP="004C1494">
            <w:pPr>
              <w:ind w:firstLine="0"/>
              <w:rPr>
                <w:sz w:val="20"/>
                <w:szCs w:val="20"/>
              </w:rPr>
            </w:pPr>
            <w:r w:rsidRPr="004761E0">
              <w:rPr>
                <w:sz w:val="20"/>
                <w:szCs w:val="20"/>
              </w:rPr>
              <w:t>Минэнерго России считает, что переход госкомпаний на выплату дивидендов по МСФО должен быть плавным, т.к. резкий переход скажется на тарифах для населения и на инвестиционных программах энергетических компаний.</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18 сентября</w:t>
            </w:r>
          </w:p>
        </w:tc>
        <w:tc>
          <w:tcPr>
            <w:tcW w:w="7655" w:type="dxa"/>
          </w:tcPr>
          <w:p w:rsidR="004C1494" w:rsidRPr="004761E0" w:rsidRDefault="004C1494" w:rsidP="004C1494">
            <w:pPr>
              <w:ind w:firstLine="0"/>
              <w:rPr>
                <w:sz w:val="20"/>
                <w:szCs w:val="20"/>
              </w:rPr>
            </w:pPr>
            <w:r w:rsidRPr="004761E0">
              <w:rPr>
                <w:sz w:val="20"/>
                <w:szCs w:val="20"/>
              </w:rPr>
              <w:t>Федеральное агентство по управлению государственным имуществом выступает против увеличения уровня дивидендных выплат для госкомпаний выше 25 % от чистой прибыли по международным стандартам.</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19 сентября</w:t>
            </w:r>
          </w:p>
        </w:tc>
        <w:tc>
          <w:tcPr>
            <w:tcW w:w="7655" w:type="dxa"/>
          </w:tcPr>
          <w:p w:rsidR="004C1494" w:rsidRPr="004761E0" w:rsidRDefault="004C1494" w:rsidP="004C1494">
            <w:pPr>
              <w:ind w:firstLine="0"/>
              <w:rPr>
                <w:sz w:val="20"/>
                <w:szCs w:val="20"/>
              </w:rPr>
            </w:pPr>
            <w:r w:rsidRPr="004761E0">
              <w:rPr>
                <w:sz w:val="20"/>
                <w:szCs w:val="20"/>
              </w:rPr>
              <w:t>Планы по замораживанию тарифов естественных монополий (включая электросетевые компании) в России в 2014 году свидетельствуют о непредсказуемой регулятивной среде, говорится в сообщении международного рейтингового агентства Fitch Ratings.</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25 сентября</w:t>
            </w:r>
          </w:p>
        </w:tc>
        <w:tc>
          <w:tcPr>
            <w:tcW w:w="7655" w:type="dxa"/>
          </w:tcPr>
          <w:p w:rsidR="004C1494" w:rsidRPr="004761E0" w:rsidRDefault="004C1494" w:rsidP="004C1494">
            <w:pPr>
              <w:ind w:firstLine="0"/>
              <w:rPr>
                <w:sz w:val="20"/>
                <w:szCs w:val="20"/>
              </w:rPr>
            </w:pPr>
            <w:r w:rsidRPr="004761E0">
              <w:rPr>
                <w:sz w:val="20"/>
                <w:szCs w:val="20"/>
              </w:rPr>
              <w:t xml:space="preserve">Минэкономразвития России заложило в свой прогноз социально-экономического развития РФ на трехлетку индексацию тарифов на 7 % в 2014 году для потребителей, не присоединенных к сетям </w:t>
            </w:r>
            <w:r w:rsidR="0008080E">
              <w:rPr>
                <w:sz w:val="20"/>
                <w:szCs w:val="20"/>
              </w:rPr>
              <w:t>ОАО </w:t>
            </w:r>
            <w:r w:rsidRPr="004761E0">
              <w:rPr>
                <w:sz w:val="20"/>
                <w:szCs w:val="20"/>
              </w:rPr>
              <w:t>«ФСК ЕЭС».</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04 октября</w:t>
            </w:r>
          </w:p>
        </w:tc>
        <w:tc>
          <w:tcPr>
            <w:tcW w:w="7655" w:type="dxa"/>
          </w:tcPr>
          <w:p w:rsidR="004C1494" w:rsidRPr="004761E0" w:rsidRDefault="004C1494" w:rsidP="004C1494">
            <w:pPr>
              <w:ind w:firstLine="0"/>
              <w:rPr>
                <w:sz w:val="20"/>
                <w:szCs w:val="20"/>
              </w:rPr>
            </w:pPr>
            <w:r w:rsidRPr="004761E0">
              <w:rPr>
                <w:sz w:val="20"/>
                <w:szCs w:val="20"/>
              </w:rPr>
              <w:t xml:space="preserve">Deutsche Bank понизил оценку по акциям ряда российских энергокомпаний. Рекомендация скорректирована до «продавать» с «держать» для акций </w:t>
            </w:r>
            <w:r w:rsidR="0008080E">
              <w:rPr>
                <w:sz w:val="20"/>
                <w:szCs w:val="20"/>
              </w:rPr>
              <w:t>ОАО </w:t>
            </w:r>
            <w:r w:rsidRPr="004761E0">
              <w:rPr>
                <w:sz w:val="20"/>
                <w:szCs w:val="20"/>
              </w:rPr>
              <w:t xml:space="preserve">«ФСК ЕЭС» и </w:t>
            </w:r>
            <w:r w:rsidR="0008080E">
              <w:rPr>
                <w:sz w:val="20"/>
                <w:szCs w:val="20"/>
              </w:rPr>
              <w:t>ОАО </w:t>
            </w:r>
            <w:r w:rsidRPr="004761E0">
              <w:rPr>
                <w:sz w:val="20"/>
                <w:szCs w:val="20"/>
              </w:rPr>
              <w:t>«МОЭСК».</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07 октября</w:t>
            </w:r>
          </w:p>
        </w:tc>
        <w:tc>
          <w:tcPr>
            <w:tcW w:w="7655" w:type="dxa"/>
          </w:tcPr>
          <w:p w:rsidR="004C1494" w:rsidRPr="004761E0" w:rsidRDefault="004C1494" w:rsidP="004C1494">
            <w:pPr>
              <w:ind w:firstLine="0"/>
              <w:rPr>
                <w:sz w:val="20"/>
                <w:szCs w:val="20"/>
              </w:rPr>
            </w:pPr>
            <w:r w:rsidRPr="004761E0">
              <w:rPr>
                <w:sz w:val="20"/>
                <w:szCs w:val="20"/>
              </w:rPr>
              <w:t>Минэнерго России разработало единую методику определения нормативов потерь электроэнергии при передаче по сетям. Соответствующий законопроект ведомство разместило для общественного обсуждения.</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09 октября</w:t>
            </w:r>
          </w:p>
        </w:tc>
        <w:tc>
          <w:tcPr>
            <w:tcW w:w="7655" w:type="dxa"/>
          </w:tcPr>
          <w:p w:rsidR="004C1494" w:rsidRPr="004761E0" w:rsidRDefault="004C1494" w:rsidP="004C1494">
            <w:pPr>
              <w:ind w:firstLine="0"/>
              <w:rPr>
                <w:sz w:val="20"/>
                <w:szCs w:val="20"/>
              </w:rPr>
            </w:pPr>
            <w:r w:rsidRPr="004761E0">
              <w:rPr>
                <w:sz w:val="20"/>
                <w:szCs w:val="20"/>
              </w:rPr>
              <w:t>Сетевые компании при заморозке сетевого тарифа не смогут кредитоваться прежними темпами, сообщил журналистам Министр энергетики РФ А. Новак.</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25 октября</w:t>
            </w:r>
          </w:p>
        </w:tc>
        <w:tc>
          <w:tcPr>
            <w:tcW w:w="7655" w:type="dxa"/>
          </w:tcPr>
          <w:p w:rsidR="004C1494" w:rsidRPr="004761E0" w:rsidRDefault="004C1494" w:rsidP="004C1494">
            <w:pPr>
              <w:ind w:firstLine="0"/>
              <w:rPr>
                <w:sz w:val="20"/>
                <w:szCs w:val="20"/>
              </w:rPr>
            </w:pPr>
            <w:r w:rsidRPr="004761E0">
              <w:rPr>
                <w:sz w:val="20"/>
                <w:szCs w:val="20"/>
              </w:rPr>
              <w:t xml:space="preserve">МВД России сообщает о задержании руководителя структурного подразделения </w:t>
            </w:r>
            <w:r w:rsidR="0008080E">
              <w:rPr>
                <w:sz w:val="20"/>
                <w:szCs w:val="20"/>
              </w:rPr>
              <w:t>ОАО </w:t>
            </w:r>
            <w:r w:rsidRPr="004761E0">
              <w:rPr>
                <w:sz w:val="20"/>
                <w:szCs w:val="20"/>
              </w:rPr>
              <w:t>«МОЭСК», который подозревается в незаконном получении денежного вознаграждения.</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29 октября</w:t>
            </w:r>
          </w:p>
        </w:tc>
        <w:tc>
          <w:tcPr>
            <w:tcW w:w="7655" w:type="dxa"/>
          </w:tcPr>
          <w:p w:rsidR="004C1494" w:rsidRPr="004761E0" w:rsidRDefault="0008080E" w:rsidP="004C1494">
            <w:pPr>
              <w:ind w:firstLine="0"/>
              <w:rPr>
                <w:sz w:val="20"/>
                <w:szCs w:val="20"/>
              </w:rPr>
            </w:pPr>
            <w:r>
              <w:rPr>
                <w:sz w:val="20"/>
                <w:szCs w:val="20"/>
              </w:rPr>
              <w:t>ОАО </w:t>
            </w:r>
            <w:r w:rsidR="004C1494" w:rsidRPr="004761E0">
              <w:rPr>
                <w:sz w:val="20"/>
                <w:szCs w:val="20"/>
              </w:rPr>
              <w:t>«Россети» готово к переходу на выплату дивидендов из прибыли по МСФО, сообщилжурналистам генеральный директор компании О. Бударгин.</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13 ноября</w:t>
            </w:r>
          </w:p>
        </w:tc>
        <w:tc>
          <w:tcPr>
            <w:tcW w:w="7655" w:type="dxa"/>
          </w:tcPr>
          <w:p w:rsidR="004C1494" w:rsidRPr="004761E0" w:rsidRDefault="004C1494" w:rsidP="004C1494">
            <w:pPr>
              <w:ind w:firstLine="0"/>
              <w:rPr>
                <w:sz w:val="20"/>
                <w:szCs w:val="20"/>
              </w:rPr>
            </w:pPr>
            <w:r w:rsidRPr="004761E0">
              <w:rPr>
                <w:sz w:val="20"/>
                <w:szCs w:val="20"/>
              </w:rPr>
              <w:t xml:space="preserve">Планы российского Правительства заморозить рост тарифов ряда естественных монополий в 2014 году окажут слабое или умеренное негативное влияние на кредитные рейтинги этих компаний, а предприятия-конечные потребители могут </w:t>
            </w:r>
            <w:r w:rsidRPr="004761E0">
              <w:rPr>
                <w:sz w:val="20"/>
                <w:szCs w:val="20"/>
              </w:rPr>
              <w:lastRenderedPageBreak/>
              <w:t>получить от этого выгоду, говорится в комментарии агентства Moody's Investor Service.</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14 ноября</w:t>
            </w:r>
          </w:p>
        </w:tc>
        <w:tc>
          <w:tcPr>
            <w:tcW w:w="7655" w:type="dxa"/>
          </w:tcPr>
          <w:p w:rsidR="004C1494" w:rsidRPr="004761E0" w:rsidRDefault="004C1494" w:rsidP="004C1494">
            <w:pPr>
              <w:ind w:firstLine="0"/>
              <w:rPr>
                <w:sz w:val="20"/>
                <w:szCs w:val="20"/>
              </w:rPr>
            </w:pPr>
            <w:r w:rsidRPr="004761E0">
              <w:rPr>
                <w:sz w:val="20"/>
                <w:szCs w:val="20"/>
              </w:rPr>
              <w:t xml:space="preserve">Чистая прибыль </w:t>
            </w:r>
            <w:r w:rsidR="0008080E">
              <w:rPr>
                <w:sz w:val="20"/>
                <w:szCs w:val="20"/>
              </w:rPr>
              <w:t>ОАО </w:t>
            </w:r>
            <w:r w:rsidRPr="004761E0">
              <w:rPr>
                <w:sz w:val="20"/>
                <w:szCs w:val="20"/>
              </w:rPr>
              <w:t>«МОЭСК» за январь-сентябрь текущего года составила 7,63 млрд руб., сократившись в 2 раза по сравнению с результатом аналогичного периода 2012 года, говорится в отчете Компании по РСБУ.</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26 ноября</w:t>
            </w:r>
          </w:p>
        </w:tc>
        <w:tc>
          <w:tcPr>
            <w:tcW w:w="7655" w:type="dxa"/>
          </w:tcPr>
          <w:p w:rsidR="004C1494" w:rsidRPr="004761E0" w:rsidRDefault="0008080E" w:rsidP="004C1494">
            <w:pPr>
              <w:ind w:firstLine="0"/>
              <w:rPr>
                <w:sz w:val="20"/>
                <w:szCs w:val="20"/>
              </w:rPr>
            </w:pPr>
            <w:r>
              <w:rPr>
                <w:sz w:val="20"/>
                <w:szCs w:val="20"/>
              </w:rPr>
              <w:t>ОАО </w:t>
            </w:r>
            <w:r w:rsidR="004C1494" w:rsidRPr="004761E0">
              <w:rPr>
                <w:sz w:val="20"/>
                <w:szCs w:val="20"/>
              </w:rPr>
              <w:t>«МОЭСК» ожидает EBITDA в 2013 году в объеме 36,3 млрд руб. что на 17 % меньше, чем в 2012 году.</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26 ноября</w:t>
            </w:r>
          </w:p>
        </w:tc>
        <w:tc>
          <w:tcPr>
            <w:tcW w:w="7655" w:type="dxa"/>
          </w:tcPr>
          <w:p w:rsidR="004C1494" w:rsidRPr="004761E0" w:rsidRDefault="0008080E" w:rsidP="004C1494">
            <w:pPr>
              <w:ind w:firstLine="0"/>
              <w:rPr>
                <w:sz w:val="20"/>
                <w:szCs w:val="20"/>
              </w:rPr>
            </w:pPr>
            <w:r>
              <w:rPr>
                <w:sz w:val="20"/>
                <w:szCs w:val="20"/>
              </w:rPr>
              <w:t>ОАО </w:t>
            </w:r>
            <w:r w:rsidR="004C1494" w:rsidRPr="004761E0">
              <w:rPr>
                <w:sz w:val="20"/>
                <w:szCs w:val="20"/>
              </w:rPr>
              <w:t>«МОЭСК» может разместить еврооблигации в 2014 году.</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28 ноября</w:t>
            </w:r>
          </w:p>
        </w:tc>
        <w:tc>
          <w:tcPr>
            <w:tcW w:w="7655" w:type="dxa"/>
          </w:tcPr>
          <w:p w:rsidR="004C1494" w:rsidRPr="004761E0" w:rsidRDefault="0008080E" w:rsidP="004C1494">
            <w:pPr>
              <w:ind w:firstLine="0"/>
              <w:rPr>
                <w:sz w:val="20"/>
                <w:szCs w:val="20"/>
              </w:rPr>
            </w:pPr>
            <w:r>
              <w:rPr>
                <w:sz w:val="20"/>
                <w:szCs w:val="20"/>
              </w:rPr>
              <w:t>ОАО </w:t>
            </w:r>
            <w:r w:rsidR="004C1494" w:rsidRPr="004761E0">
              <w:rPr>
                <w:sz w:val="20"/>
                <w:szCs w:val="20"/>
              </w:rPr>
              <w:t>«МОЭСК» намерено в ближайшей перспективе привлекать кредиты у банков вместо ранее запланированного размещения облигаций, сообщил журналистам первый замгендиректора компании Александр Иноземцев.</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28 ноября</w:t>
            </w:r>
          </w:p>
        </w:tc>
        <w:tc>
          <w:tcPr>
            <w:tcW w:w="7655" w:type="dxa"/>
          </w:tcPr>
          <w:p w:rsidR="004C1494" w:rsidRPr="004761E0" w:rsidRDefault="004C1494" w:rsidP="004C1494">
            <w:pPr>
              <w:ind w:firstLine="0"/>
              <w:rPr>
                <w:sz w:val="20"/>
                <w:szCs w:val="20"/>
              </w:rPr>
            </w:pPr>
            <w:r w:rsidRPr="004761E0">
              <w:rPr>
                <w:sz w:val="20"/>
                <w:szCs w:val="20"/>
              </w:rPr>
              <w:t xml:space="preserve">Финансирование инвестиционной программы </w:t>
            </w:r>
            <w:r w:rsidR="0008080E">
              <w:rPr>
                <w:sz w:val="20"/>
                <w:szCs w:val="20"/>
              </w:rPr>
              <w:t>ОАО </w:t>
            </w:r>
            <w:r w:rsidRPr="004761E0">
              <w:rPr>
                <w:sz w:val="20"/>
                <w:szCs w:val="20"/>
              </w:rPr>
              <w:t>«МОЭСК» в 2014 году может составить 42,9 млрд руб.</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28 ноября</w:t>
            </w:r>
          </w:p>
        </w:tc>
        <w:tc>
          <w:tcPr>
            <w:tcW w:w="7655" w:type="dxa"/>
          </w:tcPr>
          <w:p w:rsidR="004C1494" w:rsidRPr="004761E0" w:rsidRDefault="0008080E" w:rsidP="004C1494">
            <w:pPr>
              <w:ind w:firstLine="0"/>
              <w:rPr>
                <w:sz w:val="20"/>
                <w:szCs w:val="20"/>
              </w:rPr>
            </w:pPr>
            <w:r>
              <w:rPr>
                <w:sz w:val="20"/>
                <w:szCs w:val="20"/>
              </w:rPr>
              <w:t>ОАО </w:t>
            </w:r>
            <w:r w:rsidR="004C1494" w:rsidRPr="004761E0">
              <w:rPr>
                <w:sz w:val="20"/>
                <w:szCs w:val="20"/>
              </w:rPr>
              <w:t>«МОЭСК» планирует получить по итогам текущего года прибыль в размере 11 млрд руб., сообщил журналистам первый заместитель генерального директора Компании А. Иноземцев.</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03 декабря</w:t>
            </w:r>
          </w:p>
        </w:tc>
        <w:tc>
          <w:tcPr>
            <w:tcW w:w="7655" w:type="dxa"/>
          </w:tcPr>
          <w:p w:rsidR="004C1494" w:rsidRPr="004761E0" w:rsidRDefault="0008080E" w:rsidP="004C1494">
            <w:pPr>
              <w:ind w:firstLine="0"/>
              <w:rPr>
                <w:sz w:val="20"/>
                <w:szCs w:val="20"/>
              </w:rPr>
            </w:pPr>
            <w:r>
              <w:rPr>
                <w:sz w:val="20"/>
                <w:szCs w:val="20"/>
              </w:rPr>
              <w:t>ОАО </w:t>
            </w:r>
            <w:r w:rsidR="004C1494" w:rsidRPr="004761E0">
              <w:rPr>
                <w:sz w:val="20"/>
                <w:szCs w:val="20"/>
              </w:rPr>
              <w:t>«Россети» и дочерние общества компании готовы выплатить по итогам 2013 года дивиденды в размере 25 % от чистой прибыли по МСФО, сообщил журналистам глава компании О. Бударгин.</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03 декабря</w:t>
            </w:r>
          </w:p>
        </w:tc>
        <w:tc>
          <w:tcPr>
            <w:tcW w:w="7655" w:type="dxa"/>
          </w:tcPr>
          <w:p w:rsidR="004C1494" w:rsidRPr="004761E0" w:rsidRDefault="0008080E" w:rsidP="004C1494">
            <w:pPr>
              <w:ind w:firstLine="0"/>
              <w:rPr>
                <w:sz w:val="20"/>
                <w:szCs w:val="20"/>
              </w:rPr>
            </w:pPr>
            <w:r>
              <w:rPr>
                <w:sz w:val="20"/>
                <w:szCs w:val="20"/>
              </w:rPr>
              <w:t>ОАО </w:t>
            </w:r>
            <w:r w:rsidR="004C1494" w:rsidRPr="004761E0">
              <w:rPr>
                <w:sz w:val="20"/>
                <w:szCs w:val="20"/>
              </w:rPr>
              <w:t>«Россети» могли бы привлечь от $ 500 млн до $ 1 млрд от приватизации одной из МРСК, сообщил «Интерфаксу» независимый член директоров компании Сеппо Ремес.</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03 декабря</w:t>
            </w:r>
          </w:p>
        </w:tc>
        <w:tc>
          <w:tcPr>
            <w:tcW w:w="7655" w:type="dxa"/>
          </w:tcPr>
          <w:p w:rsidR="004C1494" w:rsidRPr="004761E0" w:rsidRDefault="0008080E" w:rsidP="004C1494">
            <w:pPr>
              <w:ind w:firstLine="0"/>
              <w:rPr>
                <w:sz w:val="20"/>
                <w:szCs w:val="20"/>
              </w:rPr>
            </w:pPr>
            <w:r>
              <w:rPr>
                <w:sz w:val="20"/>
                <w:szCs w:val="20"/>
              </w:rPr>
              <w:t>ОАО </w:t>
            </w:r>
            <w:r w:rsidR="004C1494" w:rsidRPr="004761E0">
              <w:rPr>
                <w:sz w:val="20"/>
                <w:szCs w:val="20"/>
              </w:rPr>
              <w:t>«Россети» рассматривает возможность передачи сетевых активов в управление другим компаниям, сообщил журналистам глава компании О. Бударгин.</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05 декабря</w:t>
            </w:r>
          </w:p>
        </w:tc>
        <w:tc>
          <w:tcPr>
            <w:tcW w:w="7655" w:type="dxa"/>
          </w:tcPr>
          <w:p w:rsidR="004C1494" w:rsidRPr="004761E0" w:rsidRDefault="004C1494" w:rsidP="004C1494">
            <w:pPr>
              <w:ind w:firstLine="0"/>
              <w:rPr>
                <w:sz w:val="20"/>
                <w:szCs w:val="20"/>
              </w:rPr>
            </w:pPr>
            <w:r w:rsidRPr="004761E0">
              <w:rPr>
                <w:sz w:val="20"/>
                <w:szCs w:val="20"/>
              </w:rPr>
              <w:t xml:space="preserve">Совет директоров </w:t>
            </w:r>
            <w:r w:rsidR="0008080E">
              <w:rPr>
                <w:sz w:val="20"/>
                <w:szCs w:val="20"/>
              </w:rPr>
              <w:t>ОАО </w:t>
            </w:r>
            <w:r w:rsidRPr="004761E0">
              <w:rPr>
                <w:sz w:val="20"/>
                <w:szCs w:val="20"/>
              </w:rPr>
              <w:t xml:space="preserve">«МОЭСК» одобрил сделку с </w:t>
            </w:r>
            <w:r w:rsidR="0008080E">
              <w:rPr>
                <w:sz w:val="20"/>
                <w:szCs w:val="20"/>
              </w:rPr>
              <w:t>ОАО </w:t>
            </w:r>
            <w:r w:rsidRPr="004761E0">
              <w:rPr>
                <w:sz w:val="20"/>
                <w:szCs w:val="20"/>
              </w:rPr>
              <w:t>«Россети» по организации функционирования распредсетевого комплекса на сумму 360 млн руб. в год, следует из сообщения Компании.</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06 декабря</w:t>
            </w:r>
          </w:p>
        </w:tc>
        <w:tc>
          <w:tcPr>
            <w:tcW w:w="7655" w:type="dxa"/>
            <w:tcBorders>
              <w:bottom w:val="single" w:sz="4" w:space="0" w:color="auto"/>
            </w:tcBorders>
          </w:tcPr>
          <w:p w:rsidR="004C1494" w:rsidRPr="004761E0" w:rsidRDefault="0008080E" w:rsidP="004C1494">
            <w:pPr>
              <w:ind w:firstLine="0"/>
              <w:rPr>
                <w:sz w:val="20"/>
                <w:szCs w:val="20"/>
              </w:rPr>
            </w:pPr>
            <w:r>
              <w:rPr>
                <w:sz w:val="20"/>
                <w:szCs w:val="20"/>
              </w:rPr>
              <w:t>ОАО </w:t>
            </w:r>
            <w:r w:rsidR="004C1494" w:rsidRPr="004761E0">
              <w:rPr>
                <w:sz w:val="20"/>
                <w:szCs w:val="20"/>
              </w:rPr>
              <w:t>«Россети» по результатам бенчмаркинга в «дочках» могут сменить руководство в двух наименее эффективных компаниях.</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09 декабря</w:t>
            </w:r>
          </w:p>
        </w:tc>
        <w:tc>
          <w:tcPr>
            <w:tcW w:w="7655" w:type="dxa"/>
          </w:tcPr>
          <w:p w:rsidR="004C1494" w:rsidRPr="004761E0" w:rsidRDefault="004C1494" w:rsidP="004C1494">
            <w:pPr>
              <w:ind w:firstLine="0"/>
              <w:rPr>
                <w:sz w:val="20"/>
                <w:szCs w:val="20"/>
              </w:rPr>
            </w:pPr>
            <w:r w:rsidRPr="004761E0">
              <w:rPr>
                <w:sz w:val="20"/>
                <w:szCs w:val="20"/>
              </w:rPr>
              <w:t>Электросетевые компании группы «Россети» сэкономят более 3,2 млрд руб. на обслуживании заемных средств.</w:t>
            </w:r>
          </w:p>
        </w:tc>
      </w:tr>
      <w:tr w:rsidR="004C1494" w:rsidRPr="004761E0" w:rsidTr="004C1494">
        <w:tc>
          <w:tcPr>
            <w:tcW w:w="563" w:type="dxa"/>
          </w:tcPr>
          <w:p w:rsidR="004C1494" w:rsidRPr="004761E0" w:rsidRDefault="004C1494" w:rsidP="007076A7">
            <w:pPr>
              <w:pStyle w:val="a5"/>
              <w:numPr>
                <w:ilvl w:val="0"/>
                <w:numId w:val="60"/>
              </w:numPr>
              <w:contextualSpacing w:val="0"/>
              <w:rPr>
                <w:sz w:val="20"/>
                <w:szCs w:val="20"/>
              </w:rPr>
            </w:pPr>
          </w:p>
        </w:tc>
        <w:tc>
          <w:tcPr>
            <w:tcW w:w="1280" w:type="dxa"/>
          </w:tcPr>
          <w:p w:rsidR="004C1494" w:rsidRPr="004761E0" w:rsidRDefault="004C1494" w:rsidP="004C1494">
            <w:pPr>
              <w:ind w:firstLine="0"/>
              <w:rPr>
                <w:sz w:val="20"/>
                <w:szCs w:val="20"/>
              </w:rPr>
            </w:pPr>
            <w:r w:rsidRPr="004761E0">
              <w:rPr>
                <w:sz w:val="20"/>
                <w:szCs w:val="20"/>
              </w:rPr>
              <w:t>24 декабря</w:t>
            </w:r>
          </w:p>
        </w:tc>
        <w:tc>
          <w:tcPr>
            <w:tcW w:w="7655" w:type="dxa"/>
          </w:tcPr>
          <w:p w:rsidR="004C1494" w:rsidRPr="004761E0" w:rsidRDefault="0008080E" w:rsidP="004C1494">
            <w:pPr>
              <w:ind w:firstLine="0"/>
              <w:rPr>
                <w:sz w:val="20"/>
                <w:szCs w:val="20"/>
              </w:rPr>
            </w:pPr>
            <w:r>
              <w:rPr>
                <w:sz w:val="20"/>
                <w:szCs w:val="20"/>
              </w:rPr>
              <w:t>ОАО </w:t>
            </w:r>
            <w:r w:rsidR="004C1494" w:rsidRPr="004761E0">
              <w:rPr>
                <w:sz w:val="20"/>
                <w:szCs w:val="20"/>
              </w:rPr>
              <w:t xml:space="preserve">«МОЭСК» и </w:t>
            </w:r>
            <w:r>
              <w:rPr>
                <w:sz w:val="20"/>
                <w:szCs w:val="20"/>
              </w:rPr>
              <w:t>ОАО </w:t>
            </w:r>
            <w:r w:rsidR="004C1494" w:rsidRPr="004761E0">
              <w:rPr>
                <w:sz w:val="20"/>
                <w:szCs w:val="20"/>
              </w:rPr>
              <w:t xml:space="preserve">«МРСК Северо-Запада» проведут собрания акционеров, на которых будут переизбраны Советы директоров, сообщили компании. Собрание акционеров </w:t>
            </w:r>
            <w:r>
              <w:rPr>
                <w:sz w:val="20"/>
                <w:szCs w:val="20"/>
              </w:rPr>
              <w:t>ОАО </w:t>
            </w:r>
            <w:r w:rsidR="004C1494" w:rsidRPr="004761E0">
              <w:rPr>
                <w:sz w:val="20"/>
                <w:szCs w:val="20"/>
              </w:rPr>
              <w:t xml:space="preserve">«МОЭСК» пройдет 13 марта, </w:t>
            </w:r>
            <w:r>
              <w:rPr>
                <w:sz w:val="20"/>
                <w:szCs w:val="20"/>
              </w:rPr>
              <w:t>ОАО </w:t>
            </w:r>
            <w:r w:rsidR="004C1494" w:rsidRPr="004761E0">
              <w:rPr>
                <w:sz w:val="20"/>
                <w:szCs w:val="20"/>
              </w:rPr>
              <w:t>«МРСК Северо-Запада» – 12 марта.</w:t>
            </w:r>
          </w:p>
        </w:tc>
      </w:tr>
    </w:tbl>
    <w:p w:rsidR="00743B24" w:rsidRDefault="00743B24" w:rsidP="00743B24">
      <w:pPr>
        <w:rPr>
          <w:rFonts w:eastAsia="Times New Roman"/>
          <w:lang w:eastAsia="ru-RU"/>
        </w:rPr>
      </w:pPr>
      <w:bookmarkStart w:id="110" w:name="_Toc380576940"/>
      <w:r>
        <w:rPr>
          <w:lang w:eastAsia="ru-RU"/>
        </w:rPr>
        <w:br w:type="page"/>
      </w:r>
    </w:p>
    <w:p w:rsidR="00136A10" w:rsidRPr="004761E0" w:rsidRDefault="00E34ACB" w:rsidP="007076A7">
      <w:pPr>
        <w:pStyle w:val="a8"/>
        <w:numPr>
          <w:ilvl w:val="1"/>
          <w:numId w:val="321"/>
        </w:numPr>
        <w:spacing w:before="120" w:after="120"/>
        <w:ind w:left="1134" w:hanging="567"/>
        <w:jc w:val="both"/>
        <w:rPr>
          <w:rFonts w:ascii="Times New Roman" w:hAnsi="Times New Roman"/>
          <w:b/>
          <w:sz w:val="26"/>
          <w:szCs w:val="26"/>
          <w:lang w:eastAsia="ru-RU"/>
        </w:rPr>
      </w:pPr>
      <w:bookmarkStart w:id="111" w:name="_Toc385339836"/>
      <w:r w:rsidRPr="004761E0">
        <w:rPr>
          <w:rFonts w:ascii="Times New Roman" w:hAnsi="Times New Roman"/>
          <w:b/>
          <w:sz w:val="26"/>
          <w:szCs w:val="26"/>
        </w:rPr>
        <w:lastRenderedPageBreak/>
        <w:t>Дивидендная политика</w:t>
      </w:r>
      <w:bookmarkEnd w:id="110"/>
      <w:bookmarkEnd w:id="111"/>
    </w:p>
    <w:p w:rsidR="004C1494" w:rsidRPr="004761E0" w:rsidRDefault="004C1494" w:rsidP="00AF531F">
      <w:pPr>
        <w:pStyle w:val="a5"/>
        <w:ind w:left="0" w:firstLine="567"/>
        <w:contextualSpacing w:val="0"/>
        <w:rPr>
          <w:sz w:val="26"/>
          <w:szCs w:val="26"/>
        </w:rPr>
      </w:pPr>
      <w:r w:rsidRPr="004761E0">
        <w:rPr>
          <w:sz w:val="26"/>
          <w:szCs w:val="26"/>
        </w:rPr>
        <w:t>Дивидендная политика Общества основывается на следующих принципах:</w:t>
      </w:r>
    </w:p>
    <w:p w:rsidR="004C1494" w:rsidRPr="004761E0" w:rsidRDefault="004C1494" w:rsidP="007076A7">
      <w:pPr>
        <w:pStyle w:val="a5"/>
        <w:numPr>
          <w:ilvl w:val="0"/>
          <w:numId w:val="69"/>
        </w:numPr>
        <w:tabs>
          <w:tab w:val="left" w:pos="1701"/>
        </w:tabs>
        <w:ind w:left="1134" w:hanging="567"/>
        <w:rPr>
          <w:sz w:val="26"/>
          <w:szCs w:val="26"/>
        </w:rPr>
      </w:pPr>
      <w:r w:rsidRPr="004761E0">
        <w:rPr>
          <w:sz w:val="26"/>
          <w:szCs w:val="26"/>
        </w:rPr>
        <w:t>расчет дивидендов основан на использовании прибыли без учета влияния переоценки финансовых вложений;</w:t>
      </w:r>
    </w:p>
    <w:p w:rsidR="004C1494" w:rsidRPr="004761E0" w:rsidRDefault="004C1494" w:rsidP="007076A7">
      <w:pPr>
        <w:pStyle w:val="a5"/>
        <w:numPr>
          <w:ilvl w:val="0"/>
          <w:numId w:val="69"/>
        </w:numPr>
        <w:tabs>
          <w:tab w:val="left" w:pos="1701"/>
        </w:tabs>
        <w:ind w:left="1134" w:hanging="567"/>
        <w:rPr>
          <w:sz w:val="26"/>
          <w:szCs w:val="26"/>
        </w:rPr>
      </w:pPr>
      <w:r w:rsidRPr="004761E0">
        <w:rPr>
          <w:sz w:val="26"/>
          <w:szCs w:val="26"/>
        </w:rPr>
        <w:t xml:space="preserve">необходимость поддержания требуемого уровня финансового и технического состояния Общества (выполнение инвестиционной программы), обеспечение перспектив развития Общества; </w:t>
      </w:r>
    </w:p>
    <w:p w:rsidR="004C1494" w:rsidRPr="004761E0" w:rsidRDefault="004C1494" w:rsidP="007076A7">
      <w:pPr>
        <w:pStyle w:val="a5"/>
        <w:numPr>
          <w:ilvl w:val="0"/>
          <w:numId w:val="69"/>
        </w:numPr>
        <w:tabs>
          <w:tab w:val="left" w:pos="1701"/>
        </w:tabs>
        <w:ind w:left="1134" w:hanging="567"/>
        <w:rPr>
          <w:sz w:val="26"/>
          <w:szCs w:val="26"/>
        </w:rPr>
      </w:pPr>
      <w:r w:rsidRPr="004761E0">
        <w:rPr>
          <w:sz w:val="26"/>
          <w:szCs w:val="26"/>
        </w:rPr>
        <w:t xml:space="preserve">соответствие принятой в Обществе практики начисления и выплаты дивидендов законодательству РФ и наилучшим стандартам корпоративного поведения; </w:t>
      </w:r>
    </w:p>
    <w:p w:rsidR="004C1494" w:rsidRPr="004761E0" w:rsidRDefault="004C1494" w:rsidP="007076A7">
      <w:pPr>
        <w:pStyle w:val="a5"/>
        <w:numPr>
          <w:ilvl w:val="0"/>
          <w:numId w:val="69"/>
        </w:numPr>
        <w:tabs>
          <w:tab w:val="left" w:pos="1701"/>
        </w:tabs>
        <w:ind w:left="1134" w:hanging="567"/>
        <w:rPr>
          <w:sz w:val="26"/>
          <w:szCs w:val="26"/>
        </w:rPr>
      </w:pPr>
      <w:r w:rsidRPr="004761E0">
        <w:rPr>
          <w:sz w:val="26"/>
          <w:szCs w:val="26"/>
        </w:rPr>
        <w:t xml:space="preserve">оптимальное сочетание интересов Общества и акционеров; </w:t>
      </w:r>
    </w:p>
    <w:p w:rsidR="004C1494" w:rsidRPr="004761E0" w:rsidRDefault="004C1494" w:rsidP="007076A7">
      <w:pPr>
        <w:pStyle w:val="a5"/>
        <w:numPr>
          <w:ilvl w:val="0"/>
          <w:numId w:val="69"/>
        </w:numPr>
        <w:tabs>
          <w:tab w:val="left" w:pos="1701"/>
        </w:tabs>
        <w:ind w:left="1134" w:hanging="567"/>
        <w:rPr>
          <w:sz w:val="26"/>
          <w:szCs w:val="26"/>
        </w:rPr>
      </w:pPr>
      <w:r w:rsidRPr="004761E0">
        <w:rPr>
          <w:sz w:val="26"/>
          <w:szCs w:val="26"/>
        </w:rPr>
        <w:t xml:space="preserve">необходимость повышения инвестиционной привлекательности Общества и его капитализации; </w:t>
      </w:r>
    </w:p>
    <w:p w:rsidR="004C1494" w:rsidRPr="004761E0" w:rsidRDefault="004C1494" w:rsidP="007076A7">
      <w:pPr>
        <w:pStyle w:val="a5"/>
        <w:numPr>
          <w:ilvl w:val="0"/>
          <w:numId w:val="69"/>
        </w:numPr>
        <w:tabs>
          <w:tab w:val="left" w:pos="1701"/>
        </w:tabs>
        <w:ind w:left="1134" w:hanging="567"/>
        <w:rPr>
          <w:sz w:val="26"/>
          <w:szCs w:val="26"/>
        </w:rPr>
      </w:pPr>
      <w:r w:rsidRPr="004761E0">
        <w:rPr>
          <w:sz w:val="26"/>
          <w:szCs w:val="26"/>
        </w:rPr>
        <w:t xml:space="preserve">обеспечение прозрачности (понятности) механизма определения размера дивидендов и их выплаты; </w:t>
      </w:r>
    </w:p>
    <w:p w:rsidR="004C1494" w:rsidRPr="004761E0" w:rsidRDefault="004C1494" w:rsidP="007076A7">
      <w:pPr>
        <w:pStyle w:val="a5"/>
        <w:numPr>
          <w:ilvl w:val="0"/>
          <w:numId w:val="69"/>
        </w:numPr>
        <w:tabs>
          <w:tab w:val="left" w:pos="1701"/>
        </w:tabs>
        <w:ind w:left="1134" w:hanging="567"/>
        <w:rPr>
          <w:sz w:val="26"/>
          <w:szCs w:val="26"/>
        </w:rPr>
      </w:pPr>
      <w:r w:rsidRPr="004761E0">
        <w:rPr>
          <w:sz w:val="26"/>
          <w:szCs w:val="26"/>
        </w:rPr>
        <w:t xml:space="preserve">дивиденды по обыкновенным акциям выплачиваются только в случае выплаты в полном объеме в соответствии с Уставом дивидендов по привилегированным акциям (в случае размещения привилегированных акций Общества). </w:t>
      </w:r>
    </w:p>
    <w:p w:rsidR="004C1494" w:rsidRPr="004761E0" w:rsidRDefault="004C1494" w:rsidP="004C1494">
      <w:pPr>
        <w:pStyle w:val="a5"/>
        <w:spacing w:before="200"/>
        <w:ind w:left="0"/>
        <w:rPr>
          <w:sz w:val="26"/>
          <w:szCs w:val="26"/>
        </w:rPr>
      </w:pPr>
      <w:r w:rsidRPr="004761E0">
        <w:rPr>
          <w:sz w:val="26"/>
          <w:szCs w:val="26"/>
        </w:rPr>
        <w:t>Кроме того, в Положении о дивидендной политике закреплено, что рекомендуемая сумма дивидендных выплат определяется Советом директоров на основе финансовых результатов деятельности Общества. При этом Совет директоров будет стремиться обеспечить положительную динамику величины дивидендных выплат акционерам из года в год.</w:t>
      </w:r>
    </w:p>
    <w:p w:rsidR="007674C6" w:rsidRPr="00743B24" w:rsidRDefault="004C1494" w:rsidP="00743B24">
      <w:pPr>
        <w:spacing w:before="120" w:after="120"/>
        <w:ind w:firstLine="567"/>
        <w:rPr>
          <w:b/>
          <w:sz w:val="26"/>
          <w:szCs w:val="26"/>
        </w:rPr>
      </w:pPr>
      <w:r w:rsidRPr="00743B24">
        <w:rPr>
          <w:b/>
          <w:sz w:val="26"/>
          <w:szCs w:val="26"/>
        </w:rPr>
        <w:t>Сведения о дивидендах</w:t>
      </w:r>
    </w:p>
    <w:tbl>
      <w:tblPr>
        <w:tblW w:w="10080" w:type="dxa"/>
        <w:tblInd w:w="93" w:type="dxa"/>
        <w:tblLayout w:type="fixed"/>
        <w:tblLook w:val="04A0"/>
      </w:tblPr>
      <w:tblGrid>
        <w:gridCol w:w="582"/>
        <w:gridCol w:w="5387"/>
        <w:gridCol w:w="1417"/>
        <w:gridCol w:w="1417"/>
        <w:gridCol w:w="1277"/>
      </w:tblGrid>
      <w:tr w:rsidR="004245B5" w:rsidRPr="004761E0" w:rsidTr="004245B5">
        <w:trPr>
          <w:trHeight w:val="300"/>
        </w:trPr>
        <w:tc>
          <w:tcPr>
            <w:tcW w:w="582" w:type="dxa"/>
            <w:vMerge w:val="restart"/>
            <w:tcBorders>
              <w:top w:val="single" w:sz="4" w:space="0" w:color="auto"/>
              <w:left w:val="nil"/>
              <w:bottom w:val="single" w:sz="4" w:space="0" w:color="FFFFFF" w:themeColor="background1"/>
              <w:right w:val="single" w:sz="4" w:space="0" w:color="FFFFFF" w:themeColor="background1"/>
            </w:tcBorders>
            <w:shd w:val="clear" w:color="auto" w:fill="0F243E" w:themeFill="text2" w:themeFillShade="80"/>
            <w:vAlign w:val="center"/>
            <w:hideMark/>
          </w:tcPr>
          <w:p w:rsidR="004245B5" w:rsidRPr="004761E0" w:rsidRDefault="004245B5" w:rsidP="00440B45">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5387"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245B5" w:rsidRPr="004761E0" w:rsidRDefault="004245B5" w:rsidP="00440B45">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417"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245B5" w:rsidRPr="004761E0" w:rsidRDefault="004245B5" w:rsidP="004245B5">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Решение ГОСА 2</w:t>
            </w:r>
            <w:r>
              <w:rPr>
                <w:rFonts w:eastAsia="Times New Roman"/>
                <w:b/>
                <w:color w:val="FFFFFF" w:themeColor="background1"/>
                <w:sz w:val="20"/>
                <w:szCs w:val="20"/>
                <w:lang w:eastAsia="ru-RU"/>
              </w:rPr>
              <w:t>0</w:t>
            </w:r>
            <w:r w:rsidRPr="004761E0">
              <w:rPr>
                <w:rFonts w:eastAsia="Times New Roman"/>
                <w:b/>
                <w:color w:val="FFFFFF" w:themeColor="background1"/>
                <w:sz w:val="20"/>
                <w:szCs w:val="20"/>
                <w:lang w:eastAsia="ru-RU"/>
              </w:rPr>
              <w:t>.06.201</w:t>
            </w:r>
            <w:r>
              <w:rPr>
                <w:rFonts w:eastAsia="Times New Roman"/>
                <w:b/>
                <w:color w:val="FFFFFF" w:themeColor="background1"/>
                <w:sz w:val="20"/>
                <w:szCs w:val="20"/>
                <w:lang w:eastAsia="ru-RU"/>
              </w:rPr>
              <w:t>1</w:t>
            </w:r>
          </w:p>
        </w:tc>
        <w:tc>
          <w:tcPr>
            <w:tcW w:w="1417"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245B5" w:rsidRPr="004761E0" w:rsidRDefault="004245B5" w:rsidP="004C1494">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Решение ГОСА 25.06.2012</w:t>
            </w:r>
          </w:p>
        </w:tc>
        <w:tc>
          <w:tcPr>
            <w:tcW w:w="1277"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245B5" w:rsidRPr="004761E0" w:rsidRDefault="004245B5" w:rsidP="004C1494">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xml:space="preserve">Решение </w:t>
            </w:r>
          </w:p>
          <w:p w:rsidR="004245B5" w:rsidRPr="004761E0" w:rsidRDefault="004245B5" w:rsidP="004C1494">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ГОСА 26.06.2013</w:t>
            </w:r>
          </w:p>
        </w:tc>
      </w:tr>
      <w:tr w:rsidR="004245B5" w:rsidRPr="004761E0" w:rsidTr="004245B5">
        <w:trPr>
          <w:trHeight w:val="510"/>
        </w:trPr>
        <w:tc>
          <w:tcPr>
            <w:tcW w:w="582" w:type="dxa"/>
            <w:vMerge/>
            <w:tcBorders>
              <w:top w:val="single" w:sz="4" w:space="0" w:color="FFFFFF" w:themeColor="background1"/>
              <w:left w:val="nil"/>
              <w:bottom w:val="single" w:sz="4" w:space="0" w:color="auto"/>
              <w:right w:val="single" w:sz="4" w:space="0" w:color="FFFFFF" w:themeColor="background1"/>
            </w:tcBorders>
            <w:shd w:val="clear" w:color="auto" w:fill="0F243E" w:themeFill="text2" w:themeFillShade="80"/>
            <w:vAlign w:val="center"/>
            <w:hideMark/>
          </w:tcPr>
          <w:p w:rsidR="004245B5" w:rsidRPr="004761E0" w:rsidRDefault="004245B5" w:rsidP="004C1494">
            <w:pPr>
              <w:rPr>
                <w:rFonts w:eastAsia="Times New Roman"/>
                <w:b/>
                <w:color w:val="FFFFFF" w:themeColor="background1"/>
                <w:sz w:val="20"/>
                <w:szCs w:val="20"/>
                <w:lang w:eastAsia="ru-RU"/>
              </w:rPr>
            </w:pPr>
          </w:p>
        </w:tc>
        <w:tc>
          <w:tcPr>
            <w:tcW w:w="5387"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245B5" w:rsidRPr="004761E0" w:rsidRDefault="004245B5" w:rsidP="004C1494">
            <w:pPr>
              <w:rPr>
                <w:rFonts w:eastAsia="Times New Roman"/>
                <w:b/>
                <w:color w:val="FFFFFF" w:themeColor="background1"/>
                <w:sz w:val="20"/>
                <w:szCs w:val="20"/>
                <w:lang w:eastAsia="ru-RU"/>
              </w:rPr>
            </w:pPr>
          </w:p>
        </w:tc>
        <w:tc>
          <w:tcPr>
            <w:tcW w:w="141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4245B5" w:rsidRPr="004761E0" w:rsidRDefault="004245B5" w:rsidP="004245B5">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по итогам 201</w:t>
            </w:r>
            <w:r>
              <w:rPr>
                <w:rFonts w:eastAsia="Times New Roman"/>
                <w:b/>
                <w:color w:val="FFFFFF" w:themeColor="background1"/>
                <w:sz w:val="20"/>
                <w:szCs w:val="20"/>
                <w:lang w:eastAsia="ru-RU"/>
              </w:rPr>
              <w:t>0</w:t>
            </w:r>
            <w:r w:rsidRPr="004761E0">
              <w:rPr>
                <w:rFonts w:eastAsia="Times New Roman"/>
                <w:b/>
                <w:color w:val="FFFFFF" w:themeColor="background1"/>
                <w:sz w:val="20"/>
                <w:szCs w:val="20"/>
                <w:lang w:eastAsia="ru-RU"/>
              </w:rPr>
              <w:t xml:space="preserve"> г.</w:t>
            </w:r>
          </w:p>
        </w:tc>
        <w:tc>
          <w:tcPr>
            <w:tcW w:w="141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245B5" w:rsidRPr="004761E0" w:rsidRDefault="004245B5" w:rsidP="004245B5">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по итогам 2011 г.</w:t>
            </w:r>
          </w:p>
        </w:tc>
        <w:tc>
          <w:tcPr>
            <w:tcW w:w="127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245B5" w:rsidRPr="004761E0" w:rsidRDefault="004245B5" w:rsidP="004C1494">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xml:space="preserve">по итогам </w:t>
            </w:r>
          </w:p>
          <w:p w:rsidR="004245B5" w:rsidRPr="004761E0" w:rsidRDefault="004245B5" w:rsidP="004245B5">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 г.</w:t>
            </w:r>
          </w:p>
        </w:tc>
      </w:tr>
      <w:tr w:rsidR="004245B5" w:rsidRPr="004761E0" w:rsidTr="004245B5">
        <w:trPr>
          <w:trHeight w:val="56"/>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7076A7">
            <w:pPr>
              <w:pStyle w:val="a5"/>
              <w:numPr>
                <w:ilvl w:val="0"/>
                <w:numId w:val="67"/>
              </w:numPr>
              <w:contextualSpacing w:val="0"/>
              <w:rPr>
                <w:rFonts w:eastAsia="Times New Roman"/>
                <w:color w:val="000000"/>
                <w:sz w:val="20"/>
                <w:szCs w:val="20"/>
                <w:lang w:eastAsia="ru-RU"/>
              </w:rPr>
            </w:pP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440B45">
            <w:pPr>
              <w:ind w:firstLine="0"/>
              <w:jc w:val="left"/>
              <w:rPr>
                <w:rFonts w:eastAsia="Times New Roman"/>
                <w:color w:val="000000"/>
                <w:sz w:val="20"/>
                <w:szCs w:val="20"/>
                <w:lang w:eastAsia="ru-RU"/>
              </w:rPr>
            </w:pPr>
            <w:r w:rsidRPr="004761E0">
              <w:rPr>
                <w:rFonts w:eastAsia="Times New Roman"/>
                <w:color w:val="000000"/>
                <w:sz w:val="20"/>
                <w:szCs w:val="20"/>
                <w:lang w:eastAsia="ru-RU"/>
              </w:rPr>
              <w:t>Объем объявленных (начисленных) дивидендов</w:t>
            </w:r>
            <w:r>
              <w:rPr>
                <w:rFonts w:eastAsia="Times New Roman"/>
                <w:color w:val="000000"/>
                <w:sz w:val="20"/>
                <w:szCs w:val="20"/>
                <w:lang w:eastAsia="ru-RU"/>
              </w:rPr>
              <w:t>, млн руб.</w:t>
            </w:r>
            <w:r w:rsidRPr="004761E0">
              <w:rPr>
                <w:rFonts w:eastAsia="Times New Roman"/>
                <w:color w:val="000000"/>
                <w:sz w:val="20"/>
                <w:szCs w:val="20"/>
                <w:lang w:eastAsia="ru-RU"/>
              </w:rPr>
              <w:t xml:space="preserve"> (всего), из них:</w:t>
            </w:r>
          </w:p>
        </w:tc>
        <w:tc>
          <w:tcPr>
            <w:tcW w:w="1417" w:type="dxa"/>
            <w:tcBorders>
              <w:top w:val="single" w:sz="4" w:space="0" w:color="auto"/>
              <w:left w:val="single" w:sz="4" w:space="0" w:color="auto"/>
              <w:bottom w:val="single" w:sz="4" w:space="0" w:color="auto"/>
              <w:right w:val="single" w:sz="4" w:space="0" w:color="auto"/>
            </w:tcBorders>
            <w:vAlign w:val="center"/>
          </w:tcPr>
          <w:p w:rsidR="004245B5" w:rsidRPr="004761E0" w:rsidRDefault="004245B5" w:rsidP="004245B5">
            <w:pPr>
              <w:ind w:firstLine="0"/>
              <w:jc w:val="right"/>
              <w:rPr>
                <w:rFonts w:eastAsia="Times New Roman"/>
                <w:color w:val="000000"/>
                <w:sz w:val="20"/>
                <w:szCs w:val="20"/>
                <w:lang w:eastAsia="ru-RU"/>
              </w:rPr>
            </w:pPr>
            <w:r>
              <w:rPr>
                <w:rFonts w:eastAsia="Times New Roman"/>
                <w:color w:val="000000"/>
                <w:sz w:val="20"/>
                <w:szCs w:val="20"/>
                <w:lang w:eastAsia="ru-RU"/>
              </w:rPr>
              <w:t>1 200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4C1494">
            <w:pPr>
              <w:ind w:firstLine="0"/>
              <w:jc w:val="right"/>
              <w:rPr>
                <w:rFonts w:eastAsia="Times New Roman"/>
                <w:color w:val="000000"/>
                <w:sz w:val="20"/>
                <w:szCs w:val="20"/>
                <w:lang w:eastAsia="ru-RU"/>
              </w:rPr>
            </w:pPr>
            <w:r w:rsidRPr="004761E0">
              <w:rPr>
                <w:rFonts w:eastAsia="Times New Roman"/>
                <w:color w:val="000000"/>
                <w:sz w:val="20"/>
                <w:szCs w:val="20"/>
                <w:lang w:eastAsia="ru-RU"/>
              </w:rPr>
              <w:t>1 218</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4C1494">
            <w:pPr>
              <w:ind w:firstLine="0"/>
              <w:jc w:val="right"/>
              <w:rPr>
                <w:rFonts w:eastAsia="Times New Roman"/>
                <w:color w:val="000000"/>
                <w:sz w:val="20"/>
                <w:szCs w:val="20"/>
                <w:lang w:eastAsia="ru-RU"/>
              </w:rPr>
            </w:pPr>
            <w:r w:rsidRPr="004761E0">
              <w:rPr>
                <w:rFonts w:eastAsia="Times New Roman"/>
                <w:color w:val="000000"/>
                <w:sz w:val="20"/>
                <w:szCs w:val="20"/>
                <w:lang w:eastAsia="ru-RU"/>
              </w:rPr>
              <w:t>4 296</w:t>
            </w:r>
          </w:p>
        </w:tc>
      </w:tr>
      <w:tr w:rsidR="004245B5" w:rsidRPr="004761E0" w:rsidTr="004245B5">
        <w:trPr>
          <w:trHeight w:val="56"/>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7076A7">
            <w:pPr>
              <w:pStyle w:val="a5"/>
              <w:numPr>
                <w:ilvl w:val="1"/>
                <w:numId w:val="67"/>
              </w:numPr>
              <w:jc w:val="left"/>
              <w:rPr>
                <w:rFonts w:eastAsia="Times New Roman"/>
                <w:color w:val="000000"/>
                <w:sz w:val="20"/>
                <w:szCs w:val="20"/>
                <w:lang w:eastAsia="ru-RU"/>
              </w:rPr>
            </w:pP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AF24B2">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объем выплаченных  дивидендов</w:t>
            </w:r>
          </w:p>
        </w:tc>
        <w:tc>
          <w:tcPr>
            <w:tcW w:w="1417" w:type="dxa"/>
            <w:tcBorders>
              <w:top w:val="single" w:sz="4" w:space="0" w:color="auto"/>
              <w:left w:val="single" w:sz="4" w:space="0" w:color="auto"/>
              <w:bottom w:val="single" w:sz="4" w:space="0" w:color="auto"/>
              <w:right w:val="single" w:sz="4" w:space="0" w:color="auto"/>
            </w:tcBorders>
            <w:vAlign w:val="center"/>
          </w:tcPr>
          <w:p w:rsidR="004245B5" w:rsidRPr="004761E0" w:rsidRDefault="004245B5" w:rsidP="004245B5">
            <w:pPr>
              <w:ind w:firstLine="0"/>
              <w:jc w:val="right"/>
              <w:rPr>
                <w:rFonts w:eastAsia="Times New Roman"/>
                <w:color w:val="000000"/>
                <w:sz w:val="20"/>
                <w:szCs w:val="20"/>
                <w:lang w:eastAsia="ru-RU"/>
              </w:rPr>
            </w:pPr>
            <w:r>
              <w:rPr>
                <w:rFonts w:eastAsia="Times New Roman"/>
                <w:color w:val="000000"/>
                <w:sz w:val="20"/>
                <w:szCs w:val="20"/>
                <w:lang w:eastAsia="ru-RU"/>
              </w:rPr>
              <w:t>1 200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4C1494">
            <w:pPr>
              <w:ind w:firstLine="0"/>
              <w:jc w:val="right"/>
              <w:rPr>
                <w:rFonts w:eastAsia="Times New Roman"/>
                <w:color w:val="000000"/>
                <w:sz w:val="20"/>
                <w:szCs w:val="20"/>
                <w:lang w:eastAsia="ru-RU"/>
              </w:rPr>
            </w:pPr>
            <w:r w:rsidRPr="004761E0">
              <w:rPr>
                <w:rFonts w:eastAsia="Times New Roman"/>
                <w:color w:val="000000"/>
                <w:sz w:val="20"/>
                <w:szCs w:val="20"/>
                <w:lang w:eastAsia="ru-RU"/>
              </w:rPr>
              <w:t>1 218</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4C1494">
            <w:pPr>
              <w:ind w:firstLine="0"/>
              <w:jc w:val="right"/>
              <w:rPr>
                <w:rFonts w:eastAsia="Times New Roman"/>
                <w:color w:val="000000"/>
                <w:sz w:val="20"/>
                <w:szCs w:val="20"/>
                <w:lang w:eastAsia="ru-RU"/>
              </w:rPr>
            </w:pPr>
            <w:r w:rsidRPr="004761E0">
              <w:rPr>
                <w:rFonts w:eastAsia="Times New Roman"/>
                <w:color w:val="000000"/>
                <w:sz w:val="20"/>
                <w:szCs w:val="20"/>
                <w:lang w:eastAsia="ru-RU"/>
              </w:rPr>
              <w:t>4 296</w:t>
            </w:r>
          </w:p>
        </w:tc>
      </w:tr>
      <w:tr w:rsidR="004245B5" w:rsidRPr="004761E0" w:rsidTr="004245B5">
        <w:trPr>
          <w:trHeight w:val="56"/>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7076A7">
            <w:pPr>
              <w:pStyle w:val="a5"/>
              <w:numPr>
                <w:ilvl w:val="0"/>
                <w:numId w:val="67"/>
              </w:numPr>
              <w:contextualSpacing w:val="0"/>
              <w:rPr>
                <w:rFonts w:eastAsia="Times New Roman"/>
                <w:color w:val="000000"/>
                <w:sz w:val="20"/>
                <w:szCs w:val="20"/>
                <w:lang w:eastAsia="ru-RU"/>
              </w:rPr>
            </w:pP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AF24B2">
            <w:pPr>
              <w:ind w:firstLine="0"/>
              <w:jc w:val="left"/>
              <w:rPr>
                <w:rFonts w:eastAsia="Times New Roman"/>
                <w:color w:val="000000"/>
                <w:sz w:val="20"/>
                <w:szCs w:val="20"/>
                <w:lang w:eastAsia="ru-RU"/>
              </w:rPr>
            </w:pPr>
            <w:r w:rsidRPr="004761E0">
              <w:rPr>
                <w:rFonts w:eastAsia="Times New Roman"/>
                <w:color w:val="000000"/>
                <w:sz w:val="20"/>
                <w:szCs w:val="20"/>
                <w:lang w:eastAsia="ru-RU"/>
              </w:rPr>
              <w:t>Доля дивидендных выплат в чистой прибыли, %</w:t>
            </w:r>
          </w:p>
        </w:tc>
        <w:tc>
          <w:tcPr>
            <w:tcW w:w="1417" w:type="dxa"/>
            <w:tcBorders>
              <w:top w:val="single" w:sz="4" w:space="0" w:color="auto"/>
              <w:left w:val="single" w:sz="4" w:space="0" w:color="auto"/>
              <w:bottom w:val="single" w:sz="4" w:space="0" w:color="auto"/>
              <w:right w:val="single" w:sz="4" w:space="0" w:color="auto"/>
            </w:tcBorders>
            <w:vAlign w:val="center"/>
          </w:tcPr>
          <w:p w:rsidR="004245B5" w:rsidRPr="004761E0" w:rsidRDefault="004245B5" w:rsidP="004245B5">
            <w:pPr>
              <w:ind w:firstLine="0"/>
              <w:jc w:val="right"/>
              <w:rPr>
                <w:rFonts w:eastAsia="Times New Roman"/>
                <w:color w:val="000000"/>
                <w:sz w:val="20"/>
                <w:szCs w:val="20"/>
                <w:lang w:eastAsia="ru-RU"/>
              </w:rPr>
            </w:pPr>
            <w:r>
              <w:rPr>
                <w:rFonts w:eastAsia="Times New Roman"/>
                <w:color w:val="000000"/>
                <w:sz w:val="20"/>
                <w:szCs w:val="20"/>
                <w:lang w:eastAsia="ru-RU"/>
              </w:rPr>
              <w:t>7,68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4C1494">
            <w:pPr>
              <w:ind w:firstLine="0"/>
              <w:jc w:val="right"/>
              <w:rPr>
                <w:rFonts w:eastAsia="Times New Roman"/>
                <w:color w:val="000000"/>
                <w:sz w:val="20"/>
                <w:szCs w:val="20"/>
                <w:lang w:eastAsia="ru-RU"/>
              </w:rPr>
            </w:pPr>
            <w:r w:rsidRPr="004761E0">
              <w:rPr>
                <w:rFonts w:eastAsia="Times New Roman"/>
                <w:color w:val="000000"/>
                <w:sz w:val="20"/>
                <w:szCs w:val="20"/>
                <w:lang w:eastAsia="ru-RU"/>
              </w:rPr>
              <w:t xml:space="preserve">7,14 </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4C1494">
            <w:pPr>
              <w:ind w:firstLine="0"/>
              <w:jc w:val="right"/>
              <w:rPr>
                <w:rFonts w:eastAsia="Times New Roman"/>
                <w:color w:val="000000"/>
                <w:sz w:val="20"/>
                <w:szCs w:val="20"/>
                <w:lang w:eastAsia="ru-RU"/>
              </w:rPr>
            </w:pPr>
            <w:r w:rsidRPr="004761E0">
              <w:rPr>
                <w:rFonts w:eastAsia="Times New Roman"/>
                <w:color w:val="000000"/>
                <w:sz w:val="20"/>
                <w:szCs w:val="20"/>
                <w:lang w:eastAsia="ru-RU"/>
              </w:rPr>
              <w:t>25,00</w:t>
            </w:r>
          </w:p>
        </w:tc>
      </w:tr>
      <w:tr w:rsidR="004245B5" w:rsidRPr="004761E0" w:rsidTr="004245B5">
        <w:trPr>
          <w:trHeight w:val="56"/>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7076A7">
            <w:pPr>
              <w:pStyle w:val="a5"/>
              <w:numPr>
                <w:ilvl w:val="0"/>
                <w:numId w:val="67"/>
              </w:numPr>
              <w:contextualSpacing w:val="0"/>
              <w:rPr>
                <w:rFonts w:eastAsia="Times New Roman"/>
                <w:color w:val="000000"/>
                <w:sz w:val="20"/>
                <w:szCs w:val="20"/>
                <w:lang w:eastAsia="ru-RU"/>
              </w:rPr>
            </w:pP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AF24B2">
            <w:pPr>
              <w:ind w:firstLine="0"/>
              <w:jc w:val="left"/>
              <w:rPr>
                <w:rFonts w:eastAsia="Times New Roman"/>
                <w:color w:val="000000"/>
                <w:sz w:val="20"/>
                <w:szCs w:val="20"/>
                <w:lang w:eastAsia="ru-RU"/>
              </w:rPr>
            </w:pPr>
            <w:r w:rsidRPr="004761E0">
              <w:rPr>
                <w:rFonts w:eastAsia="Times New Roman"/>
                <w:color w:val="000000"/>
                <w:sz w:val="20"/>
                <w:szCs w:val="20"/>
                <w:lang w:eastAsia="ru-RU"/>
              </w:rPr>
              <w:t>Дивиденд на акцию, руб.</w:t>
            </w:r>
          </w:p>
        </w:tc>
        <w:tc>
          <w:tcPr>
            <w:tcW w:w="1417" w:type="dxa"/>
            <w:tcBorders>
              <w:top w:val="single" w:sz="4" w:space="0" w:color="auto"/>
              <w:left w:val="single" w:sz="4" w:space="0" w:color="auto"/>
              <w:bottom w:val="single" w:sz="4" w:space="0" w:color="auto"/>
              <w:right w:val="single" w:sz="4" w:space="0" w:color="auto"/>
            </w:tcBorders>
            <w:vAlign w:val="center"/>
          </w:tcPr>
          <w:p w:rsidR="004245B5" w:rsidRPr="004761E0" w:rsidRDefault="004245B5" w:rsidP="004245B5">
            <w:pPr>
              <w:ind w:firstLine="0"/>
              <w:jc w:val="right"/>
              <w:rPr>
                <w:rFonts w:eastAsia="Times New Roman"/>
                <w:color w:val="000000"/>
                <w:sz w:val="20"/>
                <w:szCs w:val="20"/>
                <w:lang w:eastAsia="ru-RU"/>
              </w:rPr>
            </w:pPr>
            <w:r>
              <w:rPr>
                <w:rFonts w:eastAsia="Times New Roman"/>
                <w:color w:val="000000"/>
                <w:sz w:val="20"/>
                <w:szCs w:val="20"/>
                <w:lang w:eastAsia="ru-RU"/>
              </w:rPr>
              <w:t>0,0246371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4C1494">
            <w:pPr>
              <w:ind w:firstLine="0"/>
              <w:jc w:val="right"/>
              <w:rPr>
                <w:rFonts w:eastAsia="Times New Roman"/>
                <w:color w:val="000000"/>
                <w:sz w:val="20"/>
                <w:szCs w:val="20"/>
                <w:lang w:eastAsia="ru-RU"/>
              </w:rPr>
            </w:pPr>
            <w:r w:rsidRPr="004761E0">
              <w:rPr>
                <w:rFonts w:eastAsia="Times New Roman"/>
                <w:color w:val="000000"/>
                <w:sz w:val="20"/>
                <w:szCs w:val="20"/>
                <w:lang w:eastAsia="ru-RU"/>
              </w:rPr>
              <w:t>0,025</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4C1494">
            <w:pPr>
              <w:ind w:firstLine="0"/>
              <w:jc w:val="right"/>
              <w:rPr>
                <w:rFonts w:eastAsia="Times New Roman"/>
                <w:color w:val="000000"/>
                <w:sz w:val="20"/>
                <w:szCs w:val="20"/>
                <w:lang w:eastAsia="ru-RU"/>
              </w:rPr>
            </w:pPr>
            <w:r w:rsidRPr="004761E0">
              <w:rPr>
                <w:rFonts w:eastAsia="Times New Roman"/>
                <w:color w:val="000000"/>
                <w:sz w:val="20"/>
                <w:szCs w:val="20"/>
                <w:lang w:eastAsia="ru-RU"/>
              </w:rPr>
              <w:t>0,088201</w:t>
            </w:r>
          </w:p>
        </w:tc>
      </w:tr>
      <w:tr w:rsidR="004245B5" w:rsidRPr="004761E0" w:rsidTr="004245B5">
        <w:trPr>
          <w:trHeight w:val="56"/>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7076A7">
            <w:pPr>
              <w:pStyle w:val="a5"/>
              <w:numPr>
                <w:ilvl w:val="0"/>
                <w:numId w:val="67"/>
              </w:numPr>
              <w:contextualSpacing w:val="0"/>
              <w:rPr>
                <w:rFonts w:eastAsia="Times New Roman"/>
                <w:color w:val="000000"/>
                <w:sz w:val="20"/>
                <w:szCs w:val="20"/>
                <w:lang w:eastAsia="ru-RU"/>
              </w:rPr>
            </w:pP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AF24B2">
            <w:pPr>
              <w:ind w:firstLine="0"/>
              <w:jc w:val="left"/>
              <w:rPr>
                <w:rFonts w:eastAsia="Times New Roman"/>
                <w:color w:val="000000"/>
                <w:sz w:val="20"/>
                <w:szCs w:val="20"/>
                <w:lang w:eastAsia="ru-RU"/>
              </w:rPr>
            </w:pPr>
            <w:r w:rsidRPr="004761E0">
              <w:rPr>
                <w:rFonts w:eastAsia="Times New Roman"/>
                <w:color w:val="000000"/>
                <w:sz w:val="20"/>
                <w:szCs w:val="20"/>
                <w:lang w:eastAsia="ru-RU"/>
              </w:rPr>
              <w:t>Дивидендная доходность</w:t>
            </w:r>
            <w:r w:rsidRPr="000B18C0">
              <w:rPr>
                <w:rStyle w:val="af1"/>
                <w:sz w:val="20"/>
                <w:szCs w:val="20"/>
              </w:rPr>
              <w:footnoteReference w:id="115"/>
            </w:r>
            <w:r w:rsidRPr="004761E0">
              <w:rPr>
                <w:rFonts w:eastAsia="Times New Roman"/>
                <w:color w:val="000000"/>
                <w:sz w:val="20"/>
                <w:szCs w:val="20"/>
                <w:lang w:eastAsia="ru-RU"/>
              </w:rPr>
              <w:t>, %</w:t>
            </w:r>
          </w:p>
        </w:tc>
        <w:tc>
          <w:tcPr>
            <w:tcW w:w="1417" w:type="dxa"/>
            <w:tcBorders>
              <w:top w:val="single" w:sz="4" w:space="0" w:color="auto"/>
              <w:left w:val="single" w:sz="4" w:space="0" w:color="auto"/>
              <w:bottom w:val="single" w:sz="4" w:space="0" w:color="auto"/>
              <w:right w:val="single" w:sz="4" w:space="0" w:color="auto"/>
            </w:tcBorders>
            <w:vAlign w:val="center"/>
          </w:tcPr>
          <w:p w:rsidR="004245B5" w:rsidRPr="004761E0" w:rsidRDefault="004245B5" w:rsidP="004245B5">
            <w:pPr>
              <w:ind w:firstLine="0"/>
              <w:jc w:val="right"/>
              <w:rPr>
                <w:rFonts w:eastAsia="Times New Roman"/>
                <w:color w:val="000000"/>
                <w:sz w:val="20"/>
                <w:szCs w:val="20"/>
                <w:lang w:eastAsia="ru-RU"/>
              </w:rPr>
            </w:pPr>
            <w:r>
              <w:rPr>
                <w:rFonts w:eastAsia="Times New Roman"/>
                <w:color w:val="000000"/>
                <w:sz w:val="20"/>
                <w:szCs w:val="20"/>
                <w:lang w:eastAsia="ru-RU"/>
              </w:rPr>
              <w:t>1,51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4C1494">
            <w:pPr>
              <w:ind w:firstLine="0"/>
              <w:jc w:val="right"/>
              <w:rPr>
                <w:rFonts w:eastAsia="Times New Roman"/>
                <w:color w:val="000000"/>
                <w:sz w:val="20"/>
                <w:szCs w:val="20"/>
                <w:lang w:eastAsia="ru-RU"/>
              </w:rPr>
            </w:pPr>
            <w:r w:rsidRPr="004761E0">
              <w:rPr>
                <w:rFonts w:eastAsia="Times New Roman"/>
                <w:color w:val="000000"/>
                <w:sz w:val="20"/>
                <w:szCs w:val="20"/>
                <w:lang w:eastAsia="ru-RU"/>
              </w:rPr>
              <w:t>1,43</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4C1494">
            <w:pPr>
              <w:ind w:firstLine="0"/>
              <w:jc w:val="right"/>
              <w:rPr>
                <w:rFonts w:eastAsia="Times New Roman"/>
                <w:color w:val="000000"/>
                <w:sz w:val="20"/>
                <w:szCs w:val="20"/>
                <w:lang w:eastAsia="ru-RU"/>
              </w:rPr>
            </w:pPr>
            <w:r w:rsidRPr="004761E0">
              <w:rPr>
                <w:rFonts w:eastAsia="Times New Roman"/>
                <w:color w:val="000000"/>
                <w:sz w:val="20"/>
                <w:szCs w:val="20"/>
                <w:lang w:eastAsia="ru-RU"/>
              </w:rPr>
              <w:t>5,85</w:t>
            </w:r>
          </w:p>
        </w:tc>
      </w:tr>
      <w:tr w:rsidR="004245B5" w:rsidRPr="004761E0" w:rsidTr="004245B5">
        <w:trPr>
          <w:trHeight w:val="56"/>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Del="00E138A4" w:rsidRDefault="004245B5" w:rsidP="004C1494">
            <w:pPr>
              <w:pStyle w:val="a5"/>
              <w:ind w:left="360"/>
              <w:contextualSpacing w:val="0"/>
              <w:rPr>
                <w:rFonts w:eastAsia="Times New Roman"/>
                <w:color w:val="000000"/>
                <w:sz w:val="20"/>
                <w:szCs w:val="20"/>
                <w:lang w:eastAsia="ru-RU"/>
              </w:rPr>
            </w:pP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AF24B2">
            <w:pPr>
              <w:ind w:firstLine="0"/>
              <w:jc w:val="left"/>
              <w:rPr>
                <w:rFonts w:eastAsia="Times New Roman"/>
                <w:color w:val="000000"/>
                <w:sz w:val="20"/>
                <w:szCs w:val="20"/>
                <w:lang w:eastAsia="ru-RU"/>
              </w:rPr>
            </w:pPr>
            <w:r w:rsidRPr="004761E0">
              <w:rPr>
                <w:rFonts w:eastAsia="Times New Roman"/>
                <w:color w:val="000000"/>
                <w:sz w:val="20"/>
                <w:szCs w:val="20"/>
                <w:lang w:eastAsia="ru-RU"/>
              </w:rPr>
              <w:t>Справочно:</w:t>
            </w:r>
          </w:p>
        </w:tc>
        <w:tc>
          <w:tcPr>
            <w:tcW w:w="4111" w:type="dxa"/>
            <w:gridSpan w:val="3"/>
            <w:tcBorders>
              <w:top w:val="single" w:sz="4" w:space="0" w:color="auto"/>
              <w:left w:val="single" w:sz="4" w:space="0" w:color="auto"/>
              <w:bottom w:val="single" w:sz="4" w:space="0" w:color="auto"/>
              <w:right w:val="single" w:sz="4" w:space="0" w:color="auto"/>
            </w:tcBorders>
          </w:tcPr>
          <w:p w:rsidR="004245B5" w:rsidRPr="004761E0" w:rsidRDefault="004245B5" w:rsidP="004245B5">
            <w:pPr>
              <w:ind w:firstLine="0"/>
              <w:jc w:val="right"/>
              <w:rPr>
                <w:rFonts w:eastAsia="Times New Roman"/>
                <w:color w:val="000000"/>
                <w:sz w:val="20"/>
                <w:szCs w:val="20"/>
                <w:lang w:eastAsia="ru-RU"/>
              </w:rPr>
            </w:pPr>
          </w:p>
        </w:tc>
      </w:tr>
      <w:tr w:rsidR="004245B5" w:rsidRPr="004761E0" w:rsidTr="004245B5">
        <w:trPr>
          <w:trHeight w:val="56"/>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Del="00E138A4" w:rsidRDefault="004245B5" w:rsidP="007076A7">
            <w:pPr>
              <w:pStyle w:val="a5"/>
              <w:numPr>
                <w:ilvl w:val="0"/>
                <w:numId w:val="67"/>
              </w:numPr>
              <w:contextualSpacing w:val="0"/>
              <w:rPr>
                <w:rFonts w:eastAsia="Times New Roman"/>
                <w:color w:val="000000"/>
                <w:sz w:val="20"/>
                <w:szCs w:val="20"/>
                <w:lang w:eastAsia="ru-RU"/>
              </w:rPr>
            </w:pP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AF24B2">
            <w:pPr>
              <w:ind w:firstLine="0"/>
              <w:jc w:val="left"/>
              <w:rPr>
                <w:rFonts w:eastAsia="Times New Roman"/>
                <w:color w:val="000000"/>
                <w:sz w:val="20"/>
                <w:szCs w:val="20"/>
                <w:lang w:eastAsia="ru-RU"/>
              </w:rPr>
            </w:pPr>
            <w:r w:rsidRPr="004761E0">
              <w:rPr>
                <w:rFonts w:eastAsia="Times New Roman"/>
                <w:color w:val="000000"/>
                <w:sz w:val="20"/>
                <w:szCs w:val="20"/>
                <w:lang w:eastAsia="ru-RU"/>
              </w:rPr>
              <w:t>Чистая прибыль</w:t>
            </w:r>
          </w:p>
        </w:tc>
        <w:tc>
          <w:tcPr>
            <w:tcW w:w="1417" w:type="dxa"/>
            <w:tcBorders>
              <w:top w:val="single" w:sz="4" w:space="0" w:color="auto"/>
              <w:left w:val="single" w:sz="4" w:space="0" w:color="auto"/>
              <w:bottom w:val="single" w:sz="4" w:space="0" w:color="auto"/>
              <w:right w:val="single" w:sz="4" w:space="0" w:color="auto"/>
            </w:tcBorders>
          </w:tcPr>
          <w:p w:rsidR="004245B5" w:rsidRPr="004761E0" w:rsidRDefault="006B1B1E" w:rsidP="004C1494">
            <w:pPr>
              <w:ind w:firstLine="0"/>
              <w:jc w:val="right"/>
              <w:rPr>
                <w:rFonts w:eastAsia="Times New Roman"/>
                <w:color w:val="000000"/>
                <w:sz w:val="20"/>
                <w:szCs w:val="20"/>
                <w:lang w:eastAsia="ru-RU"/>
              </w:rPr>
            </w:pPr>
            <w:r>
              <w:rPr>
                <w:rFonts w:eastAsia="Times New Roman"/>
                <w:color w:val="000000"/>
                <w:sz w:val="20"/>
                <w:szCs w:val="20"/>
                <w:lang w:eastAsia="ru-RU"/>
              </w:rPr>
              <w:t>15 622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4C1494">
            <w:pPr>
              <w:ind w:firstLine="0"/>
              <w:jc w:val="right"/>
              <w:rPr>
                <w:rFonts w:eastAsia="Times New Roman"/>
                <w:color w:val="000000"/>
                <w:sz w:val="20"/>
                <w:szCs w:val="20"/>
                <w:lang w:eastAsia="ru-RU"/>
              </w:rPr>
            </w:pPr>
            <w:r w:rsidRPr="004761E0">
              <w:rPr>
                <w:rFonts w:eastAsia="Times New Roman"/>
                <w:color w:val="000000"/>
                <w:sz w:val="20"/>
                <w:szCs w:val="20"/>
                <w:lang w:eastAsia="ru-RU"/>
              </w:rPr>
              <w:t>17 053</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4C1494">
            <w:pPr>
              <w:ind w:firstLine="0"/>
              <w:jc w:val="right"/>
              <w:rPr>
                <w:rFonts w:eastAsia="Times New Roman"/>
                <w:color w:val="000000"/>
                <w:sz w:val="20"/>
                <w:szCs w:val="20"/>
                <w:lang w:eastAsia="ru-RU"/>
              </w:rPr>
            </w:pPr>
            <w:r w:rsidRPr="004761E0">
              <w:rPr>
                <w:rFonts w:eastAsia="Times New Roman"/>
                <w:color w:val="000000"/>
                <w:sz w:val="20"/>
                <w:szCs w:val="20"/>
                <w:lang w:eastAsia="ru-RU"/>
              </w:rPr>
              <w:t>17 184</w:t>
            </w:r>
          </w:p>
        </w:tc>
      </w:tr>
      <w:tr w:rsidR="004245B5" w:rsidRPr="004761E0" w:rsidTr="004245B5">
        <w:trPr>
          <w:trHeight w:val="56"/>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Del="00E138A4" w:rsidRDefault="004245B5" w:rsidP="007076A7">
            <w:pPr>
              <w:pStyle w:val="a5"/>
              <w:numPr>
                <w:ilvl w:val="0"/>
                <w:numId w:val="67"/>
              </w:numPr>
              <w:contextualSpacing w:val="0"/>
              <w:rPr>
                <w:rFonts w:eastAsia="Times New Roman"/>
                <w:color w:val="000000"/>
                <w:sz w:val="20"/>
                <w:szCs w:val="20"/>
                <w:lang w:eastAsia="ru-RU"/>
              </w:rPr>
            </w:pP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AF24B2">
            <w:pPr>
              <w:ind w:firstLine="0"/>
              <w:jc w:val="left"/>
              <w:rPr>
                <w:rFonts w:eastAsia="Times New Roman"/>
                <w:color w:val="000000"/>
                <w:sz w:val="20"/>
                <w:szCs w:val="20"/>
                <w:lang w:eastAsia="ru-RU"/>
              </w:rPr>
            </w:pPr>
            <w:r w:rsidRPr="004761E0">
              <w:rPr>
                <w:rFonts w:eastAsia="Times New Roman"/>
                <w:color w:val="000000"/>
                <w:sz w:val="20"/>
                <w:szCs w:val="20"/>
                <w:lang w:eastAsia="ru-RU"/>
              </w:rPr>
              <w:t>Рыночная цена (3)</w:t>
            </w:r>
          </w:p>
        </w:tc>
        <w:tc>
          <w:tcPr>
            <w:tcW w:w="1417" w:type="dxa"/>
            <w:tcBorders>
              <w:top w:val="single" w:sz="4" w:space="0" w:color="auto"/>
              <w:left w:val="single" w:sz="4" w:space="0" w:color="auto"/>
              <w:bottom w:val="single" w:sz="4" w:space="0" w:color="auto"/>
              <w:right w:val="single" w:sz="4" w:space="0" w:color="auto"/>
            </w:tcBorders>
          </w:tcPr>
          <w:p w:rsidR="004245B5" w:rsidRPr="004761E0" w:rsidRDefault="004245B5" w:rsidP="004C1494">
            <w:pPr>
              <w:ind w:firstLine="0"/>
              <w:jc w:val="right"/>
              <w:rPr>
                <w:rFonts w:eastAsia="Times New Roman"/>
                <w:color w:val="000000"/>
                <w:sz w:val="20"/>
                <w:szCs w:val="20"/>
                <w:lang w:eastAsia="ru-RU"/>
              </w:rPr>
            </w:pPr>
            <w:r>
              <w:rPr>
                <w:rFonts w:eastAsia="Times New Roman"/>
                <w:color w:val="000000"/>
                <w:sz w:val="20"/>
                <w:szCs w:val="20"/>
                <w:lang w:eastAsia="ru-RU"/>
              </w:rPr>
              <w:t>1,6290</w:t>
            </w:r>
            <w:r w:rsidRPr="009B55CD">
              <w:rPr>
                <w:rStyle w:val="af1"/>
                <w:sz w:val="20"/>
                <w:szCs w:val="20"/>
              </w:rPr>
              <w:footnoteReference w:id="116"/>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4C1494">
            <w:pPr>
              <w:ind w:firstLine="0"/>
              <w:jc w:val="right"/>
              <w:rPr>
                <w:rFonts w:eastAsia="Times New Roman"/>
                <w:color w:val="000000"/>
                <w:sz w:val="20"/>
                <w:szCs w:val="20"/>
                <w:lang w:eastAsia="ru-RU"/>
              </w:rPr>
            </w:pPr>
            <w:r w:rsidRPr="004761E0">
              <w:rPr>
                <w:rFonts w:eastAsia="Times New Roman"/>
                <w:color w:val="000000"/>
                <w:sz w:val="20"/>
                <w:szCs w:val="20"/>
                <w:lang w:eastAsia="ru-RU"/>
              </w:rPr>
              <w:t>1,7472</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5B5" w:rsidRPr="004761E0" w:rsidRDefault="004245B5" w:rsidP="004C1494">
            <w:pPr>
              <w:ind w:firstLine="0"/>
              <w:jc w:val="right"/>
              <w:rPr>
                <w:rFonts w:eastAsia="Times New Roman"/>
                <w:color w:val="000000"/>
                <w:sz w:val="20"/>
                <w:szCs w:val="20"/>
                <w:lang w:eastAsia="ru-RU"/>
              </w:rPr>
            </w:pPr>
            <w:r w:rsidRPr="004761E0">
              <w:rPr>
                <w:rFonts w:eastAsia="Times New Roman"/>
                <w:color w:val="000000"/>
                <w:sz w:val="20"/>
                <w:szCs w:val="20"/>
                <w:lang w:eastAsia="ru-RU"/>
              </w:rPr>
              <w:t>1,5084</w:t>
            </w:r>
          </w:p>
        </w:tc>
      </w:tr>
    </w:tbl>
    <w:p w:rsidR="004C1494" w:rsidRPr="004761E0" w:rsidRDefault="004C1494" w:rsidP="00943E49">
      <w:pPr>
        <w:ind w:firstLine="0"/>
      </w:pPr>
      <w:r w:rsidRPr="004761E0">
        <w:rPr>
          <w:noProof/>
          <w:lang w:eastAsia="ru-RU"/>
        </w:rPr>
        <w:lastRenderedPageBreak/>
        <w:drawing>
          <wp:inline distT="0" distB="0" distL="0" distR="0">
            <wp:extent cx="5480998" cy="2838734"/>
            <wp:effectExtent l="19050" t="0" r="24452" b="0"/>
            <wp:docPr id="37"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4C1494" w:rsidRPr="004761E0" w:rsidRDefault="004C1494" w:rsidP="00BF0399">
      <w:pPr>
        <w:ind w:firstLine="567"/>
        <w:rPr>
          <w:sz w:val="26"/>
          <w:szCs w:val="26"/>
        </w:rPr>
      </w:pPr>
      <w:r w:rsidRPr="004761E0">
        <w:rPr>
          <w:sz w:val="26"/>
          <w:szCs w:val="26"/>
        </w:rPr>
        <w:t xml:space="preserve">24 августа 2013 года </w:t>
      </w:r>
      <w:r w:rsidR="0008080E">
        <w:rPr>
          <w:sz w:val="26"/>
          <w:szCs w:val="26"/>
        </w:rPr>
        <w:t>ОАО </w:t>
      </w:r>
      <w:r w:rsidRPr="004761E0">
        <w:rPr>
          <w:sz w:val="26"/>
          <w:szCs w:val="26"/>
        </w:rPr>
        <w:t>«МОЭСК» выплатило в полном объеме рекордно высокие дивиденды по итогам 2012 года: впервые за всю историю существования Компании на выплату дивидендов направлено 25 % от чистой прибыли за 2012</w:t>
      </w:r>
      <w:r w:rsidR="005B1BFF">
        <w:rPr>
          <w:sz w:val="26"/>
          <w:szCs w:val="26"/>
        </w:rPr>
        <w:t> </w:t>
      </w:r>
      <w:r w:rsidRPr="004761E0">
        <w:rPr>
          <w:sz w:val="26"/>
          <w:szCs w:val="26"/>
        </w:rPr>
        <w:t>год. Дивидендная доходность по акциям составила 5,85 %.</w:t>
      </w:r>
    </w:p>
    <w:p w:rsidR="00BF0399" w:rsidRPr="004761E0" w:rsidRDefault="004C1494" w:rsidP="00BF0399">
      <w:pPr>
        <w:pStyle w:val="ac"/>
        <w:ind w:firstLine="567"/>
        <w:rPr>
          <w:sz w:val="26"/>
          <w:szCs w:val="26"/>
        </w:rPr>
      </w:pPr>
      <w:r w:rsidRPr="004761E0">
        <w:rPr>
          <w:sz w:val="26"/>
          <w:szCs w:val="26"/>
        </w:rPr>
        <w:t xml:space="preserve">В 2014 году, согласно утвержденному Бизнес-плану, Компания планирует направить на дивиденды </w:t>
      </w:r>
      <w:r w:rsidR="003429ED" w:rsidRPr="004761E0">
        <w:rPr>
          <w:sz w:val="26"/>
          <w:szCs w:val="26"/>
        </w:rPr>
        <w:t xml:space="preserve">не менее </w:t>
      </w:r>
      <w:r w:rsidRPr="004761E0">
        <w:rPr>
          <w:sz w:val="26"/>
          <w:szCs w:val="26"/>
        </w:rPr>
        <w:t xml:space="preserve">25 % от чистой прибыли за 2013 год, продолжив прошлогоднюю практику. В случае реализации данного прогноза дивидендная доходность составит </w:t>
      </w:r>
      <w:r w:rsidR="00F5106C" w:rsidRPr="004761E0">
        <w:rPr>
          <w:sz w:val="26"/>
          <w:szCs w:val="26"/>
        </w:rPr>
        <w:t>4,11</w:t>
      </w:r>
      <w:r w:rsidRPr="004761E0">
        <w:rPr>
          <w:sz w:val="26"/>
          <w:szCs w:val="26"/>
        </w:rPr>
        <w:t xml:space="preserve"> %. Снижение данного показателя в 2013 году по отношению к прошлому году обусловлено уменьшением чистой прибыли в 2013 году на </w:t>
      </w:r>
      <w:r w:rsidR="00F5106C" w:rsidRPr="004761E0">
        <w:rPr>
          <w:sz w:val="26"/>
          <w:szCs w:val="26"/>
        </w:rPr>
        <w:t>32,26</w:t>
      </w:r>
      <w:r w:rsidRPr="004761E0">
        <w:rPr>
          <w:sz w:val="26"/>
          <w:szCs w:val="26"/>
        </w:rPr>
        <w:t> %.</w:t>
      </w:r>
    </w:p>
    <w:p w:rsidR="00BF0399" w:rsidRPr="004761E0" w:rsidRDefault="00BF0399" w:rsidP="00BF0399">
      <w:pPr>
        <w:rPr>
          <w:rFonts w:ascii="Cambria" w:eastAsia="Times New Roman" w:hAnsi="Cambria"/>
          <w:kern w:val="32"/>
        </w:rPr>
      </w:pPr>
      <w:r w:rsidRPr="004761E0">
        <w:br w:type="page"/>
      </w:r>
    </w:p>
    <w:p w:rsidR="00C64BC5" w:rsidRPr="00743B24" w:rsidRDefault="00E34ACB" w:rsidP="007076A7">
      <w:pPr>
        <w:pStyle w:val="11"/>
        <w:numPr>
          <w:ilvl w:val="0"/>
          <w:numId w:val="321"/>
        </w:numPr>
        <w:spacing w:before="120" w:after="120"/>
        <w:ind w:left="1134" w:hanging="567"/>
        <w:rPr>
          <w:rFonts w:ascii="Times New Roman" w:hAnsi="Times New Roman"/>
          <w:sz w:val="26"/>
          <w:szCs w:val="26"/>
          <w:lang w:eastAsia="ru-RU"/>
        </w:rPr>
      </w:pPr>
      <w:bookmarkStart w:id="112" w:name="_Toc380576941"/>
      <w:bookmarkStart w:id="113" w:name="_Toc385339837"/>
      <w:r w:rsidRPr="004761E0">
        <w:rPr>
          <w:rFonts w:ascii="Times New Roman" w:hAnsi="Times New Roman"/>
          <w:sz w:val="26"/>
          <w:szCs w:val="26"/>
          <w:lang w:eastAsia="ru-RU"/>
        </w:rPr>
        <w:lastRenderedPageBreak/>
        <w:t>Инновационное развитие, технологии и телекоммуникации</w:t>
      </w:r>
      <w:bookmarkEnd w:id="112"/>
      <w:bookmarkEnd w:id="113"/>
    </w:p>
    <w:p w:rsidR="00C64BC5" w:rsidRPr="00743B24" w:rsidRDefault="00E34ACB" w:rsidP="007076A7">
      <w:pPr>
        <w:pStyle w:val="a8"/>
        <w:numPr>
          <w:ilvl w:val="1"/>
          <w:numId w:val="321"/>
        </w:numPr>
        <w:spacing w:before="120" w:after="120"/>
        <w:ind w:left="1134" w:hanging="567"/>
        <w:jc w:val="both"/>
        <w:rPr>
          <w:rFonts w:ascii="Times New Roman" w:hAnsi="Times New Roman"/>
          <w:b/>
          <w:sz w:val="26"/>
          <w:szCs w:val="26"/>
        </w:rPr>
      </w:pPr>
      <w:bookmarkStart w:id="114" w:name="_Toc380576942"/>
      <w:bookmarkStart w:id="115" w:name="_Toc385339838"/>
      <w:r w:rsidRPr="004761E0">
        <w:rPr>
          <w:rFonts w:ascii="Times New Roman" w:hAnsi="Times New Roman"/>
          <w:b/>
          <w:sz w:val="26"/>
          <w:szCs w:val="26"/>
        </w:rPr>
        <w:t>Интервью директора по автоматизации бизнес-процессов</w:t>
      </w:r>
      <w:bookmarkEnd w:id="114"/>
      <w:bookmarkEnd w:id="115"/>
    </w:p>
    <w:p w:rsidR="00B20C95" w:rsidRPr="00B20C95" w:rsidRDefault="00B20C95" w:rsidP="00B20C95">
      <w:pPr>
        <w:spacing w:before="120" w:after="120"/>
        <w:ind w:firstLine="567"/>
        <w:rPr>
          <w:b/>
          <w:sz w:val="26"/>
          <w:szCs w:val="26"/>
        </w:rPr>
      </w:pPr>
      <w:r w:rsidRPr="00B20C95">
        <w:rPr>
          <w:b/>
          <w:sz w:val="26"/>
          <w:szCs w:val="26"/>
        </w:rPr>
        <w:t>Каковы основные результаты деятельности в отчетном году в рамках курируемого Вами направления?</w:t>
      </w:r>
    </w:p>
    <w:p w:rsidR="00B20C95" w:rsidRPr="00535215" w:rsidRDefault="00B20C95" w:rsidP="00B20C95">
      <w:pPr>
        <w:ind w:firstLine="567"/>
        <w:rPr>
          <w:sz w:val="26"/>
          <w:szCs w:val="26"/>
        </w:rPr>
      </w:pPr>
      <w:r w:rsidRPr="00B20C95">
        <w:rPr>
          <w:sz w:val="26"/>
          <w:szCs w:val="26"/>
        </w:rPr>
        <w:t xml:space="preserve">Блок по автоматизации бизнес-процессов курирует несколько направлений, вреди </w:t>
      </w:r>
      <w:r w:rsidRPr="00535215">
        <w:rPr>
          <w:sz w:val="26"/>
          <w:szCs w:val="26"/>
        </w:rPr>
        <w:t xml:space="preserve">которых инновационная деятельность, повышение эффективности, стратегическое развитие Компании, бизнес-процессы, </w:t>
      </w:r>
      <w:r w:rsidRPr="00535215">
        <w:rPr>
          <w:sz w:val="26"/>
          <w:szCs w:val="26"/>
          <w:lang w:val="en-US"/>
        </w:rPr>
        <w:t>IT</w:t>
      </w:r>
      <w:r w:rsidRPr="00535215">
        <w:rPr>
          <w:sz w:val="26"/>
          <w:szCs w:val="26"/>
        </w:rPr>
        <w:t xml:space="preserve">. Кратко остановлюсь на результатах по этим направлениям. </w:t>
      </w:r>
    </w:p>
    <w:p w:rsidR="00B20C95" w:rsidRPr="00535215" w:rsidRDefault="00B20C95" w:rsidP="00B20C95">
      <w:pPr>
        <w:ind w:firstLine="567"/>
        <w:rPr>
          <w:sz w:val="26"/>
          <w:szCs w:val="26"/>
        </w:rPr>
      </w:pPr>
      <w:r w:rsidRPr="00535215">
        <w:rPr>
          <w:sz w:val="26"/>
          <w:szCs w:val="26"/>
        </w:rPr>
        <w:t xml:space="preserve">В области стратегического развития наш блок принял активное участие в разработке Программы ключевых задач </w:t>
      </w:r>
      <w:r w:rsidR="0008080E" w:rsidRPr="00535215">
        <w:rPr>
          <w:sz w:val="26"/>
          <w:szCs w:val="26"/>
        </w:rPr>
        <w:t>ОАО </w:t>
      </w:r>
      <w:r w:rsidRPr="00535215">
        <w:rPr>
          <w:sz w:val="26"/>
          <w:szCs w:val="26"/>
        </w:rPr>
        <w:t xml:space="preserve">«МОЭСК» до 2015 года. Программа ключевых задач определяет вектор развития Компании на трехлетний период с 2013 по 2015 гг. В ней закреплены основные цели </w:t>
      </w:r>
      <w:r w:rsidR="004546A6" w:rsidRPr="00535215">
        <w:rPr>
          <w:sz w:val="26"/>
          <w:szCs w:val="26"/>
        </w:rPr>
        <w:t>ОАО «</w:t>
      </w:r>
      <w:r w:rsidRPr="00535215">
        <w:rPr>
          <w:sz w:val="26"/>
          <w:szCs w:val="26"/>
        </w:rPr>
        <w:t>МОЭСК</w:t>
      </w:r>
      <w:r w:rsidR="004546A6" w:rsidRPr="00535215">
        <w:rPr>
          <w:sz w:val="26"/>
          <w:szCs w:val="26"/>
        </w:rPr>
        <w:t>»</w:t>
      </w:r>
      <w:r w:rsidRPr="00535215">
        <w:rPr>
          <w:sz w:val="26"/>
          <w:szCs w:val="26"/>
        </w:rPr>
        <w:t xml:space="preserve"> и мероприятия, необходимые для их достижения. </w:t>
      </w:r>
    </w:p>
    <w:p w:rsidR="00B20C95" w:rsidRPr="00535215" w:rsidRDefault="00B20C95" w:rsidP="00B20C95">
      <w:pPr>
        <w:ind w:firstLine="567"/>
        <w:rPr>
          <w:sz w:val="26"/>
          <w:szCs w:val="26"/>
        </w:rPr>
      </w:pPr>
      <w:r w:rsidRPr="00535215">
        <w:rPr>
          <w:sz w:val="26"/>
          <w:szCs w:val="26"/>
        </w:rPr>
        <w:t xml:space="preserve">В прошедшем году мы провели декомпозицию ключевых показателей эффективности до уровня подразделений исполнительного аппарата, филиалов и районов электрических сетей. Планируем в будущем развивать и совершенствовать эту систему, что позволит сделать деятельность подразделений Общества более прозрачной и понятной.  </w:t>
      </w:r>
    </w:p>
    <w:p w:rsidR="00B20C95" w:rsidRPr="00535215" w:rsidRDefault="00B20C95" w:rsidP="00B20C95">
      <w:pPr>
        <w:ind w:firstLine="567"/>
        <w:rPr>
          <w:sz w:val="26"/>
          <w:szCs w:val="26"/>
        </w:rPr>
      </w:pPr>
      <w:r w:rsidRPr="00535215">
        <w:rPr>
          <w:sz w:val="26"/>
          <w:szCs w:val="26"/>
        </w:rPr>
        <w:t xml:space="preserve">В 2013 году в </w:t>
      </w:r>
      <w:r w:rsidR="004546A6" w:rsidRPr="00535215">
        <w:rPr>
          <w:sz w:val="26"/>
          <w:szCs w:val="26"/>
        </w:rPr>
        <w:t>ОАО «</w:t>
      </w:r>
      <w:r w:rsidRPr="00535215">
        <w:rPr>
          <w:sz w:val="26"/>
          <w:szCs w:val="26"/>
        </w:rPr>
        <w:t>МОЭСК</w:t>
      </w:r>
      <w:r w:rsidR="004546A6" w:rsidRPr="00535215">
        <w:rPr>
          <w:sz w:val="26"/>
          <w:szCs w:val="26"/>
        </w:rPr>
        <w:t>»</w:t>
      </w:r>
      <w:r w:rsidRPr="00535215">
        <w:rPr>
          <w:sz w:val="26"/>
          <w:szCs w:val="26"/>
        </w:rPr>
        <w:t xml:space="preserve"> разработано Положение о системе процессного управления, в рамках которого выделены процессы верхнего уровня и  определены их владельцы. </w:t>
      </w:r>
      <w:r w:rsidR="00E020B0" w:rsidRPr="00535215">
        <w:rPr>
          <w:sz w:val="26"/>
          <w:szCs w:val="26"/>
        </w:rPr>
        <w:t>О</w:t>
      </w:r>
      <w:r w:rsidRPr="00535215">
        <w:rPr>
          <w:sz w:val="26"/>
          <w:szCs w:val="26"/>
        </w:rPr>
        <w:t>птимизированы несколько ключевых процессов, в числе которых технологическое присоединение, техническое обслуживание и ремонты.</w:t>
      </w:r>
    </w:p>
    <w:p w:rsidR="00B20C95" w:rsidRPr="00535215" w:rsidRDefault="00B20C95" w:rsidP="00B20C95">
      <w:pPr>
        <w:ind w:firstLine="567"/>
        <w:rPr>
          <w:sz w:val="26"/>
          <w:szCs w:val="26"/>
        </w:rPr>
      </w:pPr>
      <w:r w:rsidRPr="00535215">
        <w:rPr>
          <w:sz w:val="26"/>
          <w:szCs w:val="26"/>
        </w:rPr>
        <w:t xml:space="preserve">Приоритетным проектом в области </w:t>
      </w:r>
      <w:r w:rsidR="004546A6" w:rsidRPr="00535215">
        <w:rPr>
          <w:sz w:val="26"/>
          <w:szCs w:val="26"/>
        </w:rPr>
        <w:t>ИТ</w:t>
      </w:r>
      <w:r w:rsidRPr="00535215">
        <w:rPr>
          <w:sz w:val="26"/>
          <w:szCs w:val="26"/>
        </w:rPr>
        <w:t xml:space="preserve"> в прошедшем году стала автоматизация процесса</w:t>
      </w:r>
      <w:r w:rsidR="004546A6" w:rsidRPr="00535215">
        <w:rPr>
          <w:sz w:val="26"/>
          <w:szCs w:val="26"/>
        </w:rPr>
        <w:t xml:space="preserve"> технологического присоединения</w:t>
      </w:r>
      <w:r w:rsidRPr="00535215">
        <w:rPr>
          <w:sz w:val="26"/>
          <w:szCs w:val="26"/>
        </w:rPr>
        <w:t xml:space="preserve">. В рамках программы «5 шагов за 3 визита» произошло упрощение процедур техприсоединения. В связи с этим потребовались новые программные решения. </w:t>
      </w:r>
      <w:r w:rsidR="00E020B0" w:rsidRPr="00535215">
        <w:rPr>
          <w:sz w:val="26"/>
          <w:szCs w:val="26"/>
        </w:rPr>
        <w:t>П</w:t>
      </w:r>
      <w:r w:rsidRPr="00535215">
        <w:rPr>
          <w:sz w:val="26"/>
          <w:szCs w:val="26"/>
        </w:rPr>
        <w:t xml:space="preserve">олностью автоматизирован маршрут заявки от ее поступления до подписания актов о ТП с учетом сокращения внутренних процедур, автоматизированы формы документов, которые выдаются потребителям в рамках процедуры. Кроме того, наши подразделения принимали участие в оснащении центров обслуживания клиентов терминалами, системами электронных очередей, информационными панелями. </w:t>
      </w:r>
    </w:p>
    <w:p w:rsidR="00B20C95" w:rsidRPr="00535215" w:rsidRDefault="00B20C95" w:rsidP="00B20C95">
      <w:pPr>
        <w:spacing w:before="120" w:after="120"/>
        <w:ind w:firstLine="567"/>
        <w:rPr>
          <w:b/>
          <w:sz w:val="26"/>
          <w:szCs w:val="26"/>
        </w:rPr>
      </w:pPr>
      <w:r w:rsidRPr="00535215">
        <w:rPr>
          <w:b/>
          <w:sz w:val="26"/>
          <w:szCs w:val="26"/>
        </w:rPr>
        <w:t>Как, по Вашему мнению, в отчетном году упростилась деятельность в рамках курируемого направления?</w:t>
      </w:r>
    </w:p>
    <w:p w:rsidR="00B20C95" w:rsidRPr="00535215" w:rsidRDefault="00B20C95" w:rsidP="00B20C95">
      <w:pPr>
        <w:ind w:firstLine="567"/>
        <w:rPr>
          <w:sz w:val="26"/>
          <w:szCs w:val="26"/>
        </w:rPr>
      </w:pPr>
      <w:r w:rsidRPr="00535215">
        <w:rPr>
          <w:sz w:val="26"/>
          <w:szCs w:val="26"/>
        </w:rPr>
        <w:t xml:space="preserve">Мы приступили к проекту по централизации </w:t>
      </w:r>
      <w:r w:rsidR="004546A6" w:rsidRPr="00535215">
        <w:rPr>
          <w:sz w:val="26"/>
          <w:szCs w:val="26"/>
        </w:rPr>
        <w:t>ИТ-</w:t>
      </w:r>
      <w:r w:rsidRPr="00535215">
        <w:rPr>
          <w:sz w:val="26"/>
          <w:szCs w:val="26"/>
        </w:rPr>
        <w:t>функций. Анализ ситуации в исполнительном аппарате и филиалах показал, что некоторые процедуры дублируют</w:t>
      </w:r>
      <w:r w:rsidR="00E020B0" w:rsidRPr="00535215">
        <w:rPr>
          <w:sz w:val="26"/>
          <w:szCs w:val="26"/>
        </w:rPr>
        <w:t xml:space="preserve"> друг друга. На основе анализа </w:t>
      </w:r>
      <w:r w:rsidRPr="00535215">
        <w:rPr>
          <w:sz w:val="26"/>
          <w:szCs w:val="26"/>
        </w:rPr>
        <w:t xml:space="preserve">подготовлены предложения по централизации </w:t>
      </w:r>
      <w:r w:rsidR="004546A6" w:rsidRPr="00535215">
        <w:rPr>
          <w:sz w:val="26"/>
          <w:szCs w:val="26"/>
        </w:rPr>
        <w:t>ИТ-</w:t>
      </w:r>
      <w:r w:rsidRPr="00535215">
        <w:rPr>
          <w:sz w:val="26"/>
          <w:szCs w:val="26"/>
        </w:rPr>
        <w:t xml:space="preserve">функций. В текущем году планируем приступить к внедрению этих предложений. </w:t>
      </w:r>
    </w:p>
    <w:p w:rsidR="00B20C95" w:rsidRPr="00535215" w:rsidRDefault="00B20C95" w:rsidP="00B20C95">
      <w:pPr>
        <w:ind w:firstLine="567"/>
        <w:rPr>
          <w:sz w:val="26"/>
          <w:szCs w:val="26"/>
        </w:rPr>
      </w:pPr>
      <w:r w:rsidRPr="00535215">
        <w:rPr>
          <w:sz w:val="26"/>
          <w:szCs w:val="26"/>
        </w:rPr>
        <w:t xml:space="preserve">Централизация функций позволяет упростить процесс управления ими и повысить эффективность их выполнения. </w:t>
      </w:r>
    </w:p>
    <w:p w:rsidR="00B20C95" w:rsidRPr="00535215" w:rsidRDefault="00B20C95" w:rsidP="00B20C95">
      <w:pPr>
        <w:spacing w:before="120" w:after="120"/>
        <w:ind w:firstLine="567"/>
        <w:rPr>
          <w:b/>
          <w:sz w:val="26"/>
          <w:szCs w:val="26"/>
        </w:rPr>
      </w:pPr>
      <w:r w:rsidRPr="00535215">
        <w:rPr>
          <w:b/>
          <w:sz w:val="26"/>
          <w:szCs w:val="26"/>
        </w:rPr>
        <w:t xml:space="preserve">Каким образом результаты деятельности в рамках курируемого направления повлияли в отчетном году на повышение открытости / прозрачности деятельности </w:t>
      </w:r>
      <w:r w:rsidR="0008080E" w:rsidRPr="00535215">
        <w:rPr>
          <w:b/>
          <w:sz w:val="26"/>
          <w:szCs w:val="26"/>
        </w:rPr>
        <w:t>ОАО </w:t>
      </w:r>
      <w:r w:rsidRPr="00535215">
        <w:rPr>
          <w:b/>
          <w:sz w:val="26"/>
          <w:szCs w:val="26"/>
        </w:rPr>
        <w:t xml:space="preserve">«МОЭСК»?  </w:t>
      </w:r>
    </w:p>
    <w:p w:rsidR="00B20C95" w:rsidRPr="00535215" w:rsidRDefault="00B20C95" w:rsidP="00B20C95">
      <w:pPr>
        <w:ind w:firstLine="567"/>
        <w:rPr>
          <w:sz w:val="26"/>
          <w:szCs w:val="26"/>
        </w:rPr>
      </w:pPr>
      <w:r w:rsidRPr="00535215">
        <w:rPr>
          <w:sz w:val="26"/>
          <w:szCs w:val="26"/>
        </w:rPr>
        <w:lastRenderedPageBreak/>
        <w:t xml:space="preserve">Разработанная Программа ключевых задач позволяет открыто говорить о стратегических направлениях деятельности Компании на встречах с потенциальными инвесторами. </w:t>
      </w:r>
    </w:p>
    <w:p w:rsidR="00B20C95" w:rsidRPr="00535215" w:rsidRDefault="00B20C95" w:rsidP="00B20C95">
      <w:pPr>
        <w:ind w:firstLine="567"/>
        <w:rPr>
          <w:sz w:val="26"/>
          <w:szCs w:val="26"/>
        </w:rPr>
      </w:pPr>
      <w:r w:rsidRPr="00535215">
        <w:rPr>
          <w:sz w:val="26"/>
          <w:szCs w:val="26"/>
        </w:rPr>
        <w:t xml:space="preserve">Благодаря Системе ключевых показателей эффективности повысились открытость и прозрачность деятельности всех департаментов и филиалов </w:t>
      </w:r>
      <w:r w:rsidR="0008080E" w:rsidRPr="00535215">
        <w:rPr>
          <w:sz w:val="26"/>
          <w:szCs w:val="26"/>
        </w:rPr>
        <w:t>ОАО </w:t>
      </w:r>
      <w:r w:rsidRPr="00535215">
        <w:rPr>
          <w:sz w:val="26"/>
          <w:szCs w:val="26"/>
        </w:rPr>
        <w:t xml:space="preserve">«МОЭСК». </w:t>
      </w:r>
    </w:p>
    <w:p w:rsidR="00B20C95" w:rsidRPr="00535215" w:rsidRDefault="00B20C95" w:rsidP="00B20C95">
      <w:pPr>
        <w:spacing w:before="120" w:after="120"/>
        <w:ind w:firstLine="567"/>
        <w:rPr>
          <w:b/>
          <w:sz w:val="26"/>
          <w:szCs w:val="26"/>
        </w:rPr>
      </w:pPr>
      <w:r w:rsidRPr="00535215">
        <w:rPr>
          <w:b/>
          <w:sz w:val="26"/>
          <w:szCs w:val="26"/>
        </w:rPr>
        <w:t>Как результаты работы в отчетном году в рамках курируемого направления отразились на взаимоотношениях с клиентами, акционерами, иными заинтересованными сторонами?</w:t>
      </w:r>
    </w:p>
    <w:p w:rsidR="00B20C95" w:rsidRPr="00535215" w:rsidRDefault="00E020B0" w:rsidP="00B20C95">
      <w:pPr>
        <w:ind w:firstLine="567"/>
        <w:rPr>
          <w:sz w:val="26"/>
          <w:szCs w:val="26"/>
        </w:rPr>
      </w:pPr>
      <w:r w:rsidRPr="00535215">
        <w:rPr>
          <w:sz w:val="26"/>
          <w:szCs w:val="26"/>
        </w:rPr>
        <w:t xml:space="preserve">В прошедшем году </w:t>
      </w:r>
      <w:r w:rsidR="00B20C95" w:rsidRPr="00535215">
        <w:rPr>
          <w:sz w:val="26"/>
          <w:szCs w:val="26"/>
        </w:rPr>
        <w:t>разработаны и внедрены интернет-портал по технологическому присоединению и call-центр для обработки поступающих звонков. Эти сервисы могут использовать данные внутренней учетной системы технологических присоединений, что дает возможность самим потребителям или операторам call-центра знать статус заявки в любой момент времени или получить иную информацию о технологическом присоединении. Это значительно повысило возможности по информированию клиентов о том, на каком из этапов обработки находится их заявка.</w:t>
      </w:r>
    </w:p>
    <w:p w:rsidR="00B20C95" w:rsidRPr="00535215" w:rsidRDefault="00B20C95" w:rsidP="00B20C95">
      <w:pPr>
        <w:ind w:firstLine="567"/>
        <w:rPr>
          <w:sz w:val="26"/>
          <w:szCs w:val="26"/>
        </w:rPr>
      </w:pPr>
      <w:r w:rsidRPr="00535215">
        <w:rPr>
          <w:sz w:val="26"/>
          <w:szCs w:val="26"/>
        </w:rPr>
        <w:t xml:space="preserve">Повысилась эффективность работы клиентских офисов, в них появились информационные панели, терминалы, современное оборудование, которые позволяют организовать работу с заявителями на качественно новом уровне. </w:t>
      </w:r>
    </w:p>
    <w:p w:rsidR="00B20C95" w:rsidRPr="00535215" w:rsidRDefault="00B20C95" w:rsidP="00B20C95">
      <w:pPr>
        <w:ind w:firstLine="567"/>
        <w:rPr>
          <w:sz w:val="26"/>
          <w:szCs w:val="26"/>
        </w:rPr>
      </w:pPr>
      <w:r w:rsidRPr="00535215">
        <w:rPr>
          <w:sz w:val="26"/>
          <w:szCs w:val="26"/>
        </w:rPr>
        <w:t xml:space="preserve">Программа ключевых задач, система КПЭ позволяют акционерам и другим заинтересованным лицам получать информацию о достижениях Компании, о целях ее развития, о ключевых мероприятиях, направленным на повышение эффективности. </w:t>
      </w:r>
    </w:p>
    <w:p w:rsidR="00B20C95" w:rsidRPr="00535215" w:rsidRDefault="00B20C95" w:rsidP="00B20C95">
      <w:pPr>
        <w:spacing w:before="120" w:after="120"/>
        <w:ind w:firstLine="567"/>
        <w:rPr>
          <w:b/>
          <w:sz w:val="26"/>
          <w:szCs w:val="26"/>
        </w:rPr>
      </w:pPr>
      <w:r w:rsidRPr="00535215">
        <w:rPr>
          <w:b/>
          <w:sz w:val="26"/>
          <w:szCs w:val="26"/>
        </w:rPr>
        <w:t>Появились ли в рамках курируемого направления новые бизнес-процессы (если да, то необходимо их вкратце описать)?</w:t>
      </w:r>
    </w:p>
    <w:p w:rsidR="00B20C95" w:rsidRPr="00535215" w:rsidRDefault="00B20C95" w:rsidP="00B20C95">
      <w:pPr>
        <w:ind w:firstLine="567"/>
        <w:rPr>
          <w:sz w:val="26"/>
          <w:szCs w:val="26"/>
        </w:rPr>
      </w:pPr>
      <w:r w:rsidRPr="00535215">
        <w:rPr>
          <w:sz w:val="26"/>
          <w:szCs w:val="26"/>
        </w:rPr>
        <w:t xml:space="preserve">Наш блок вносит предложения по улучшению бизнес-процессов всех подразделений Компании. Поэтому бизнес-процессы в </w:t>
      </w:r>
      <w:r w:rsidR="004546A6" w:rsidRPr="00535215">
        <w:rPr>
          <w:sz w:val="26"/>
          <w:szCs w:val="26"/>
        </w:rPr>
        <w:t>ОАО «</w:t>
      </w:r>
      <w:r w:rsidRPr="00535215">
        <w:rPr>
          <w:sz w:val="26"/>
          <w:szCs w:val="26"/>
        </w:rPr>
        <w:t>МОЭСК</w:t>
      </w:r>
      <w:r w:rsidR="004546A6" w:rsidRPr="00535215">
        <w:rPr>
          <w:sz w:val="26"/>
          <w:szCs w:val="26"/>
        </w:rPr>
        <w:t>»</w:t>
      </w:r>
      <w:r w:rsidRPr="00535215">
        <w:rPr>
          <w:sz w:val="26"/>
          <w:szCs w:val="26"/>
        </w:rPr>
        <w:t xml:space="preserve"> отчасти имеют отношение и к работе нашего подразделения.  </w:t>
      </w:r>
    </w:p>
    <w:p w:rsidR="00B20C95" w:rsidRPr="00535215" w:rsidRDefault="00B20C95" w:rsidP="00B20C95">
      <w:pPr>
        <w:ind w:firstLine="567"/>
        <w:rPr>
          <w:sz w:val="26"/>
          <w:szCs w:val="26"/>
        </w:rPr>
      </w:pPr>
      <w:r w:rsidRPr="00535215">
        <w:rPr>
          <w:sz w:val="26"/>
          <w:szCs w:val="26"/>
        </w:rPr>
        <w:t>Из принципиально новых процессов, курируемых блоком автоматизации бизнес-процессов, нужно отметить Систему непрерывных улучшений. Ее смысл в том, что каждый работник Общества может подать заявку или предложение по улучшению какой-либо из сторон деятельности Компании. Это могут быть управленческие процессы, внедрение новых технологий и материалов, улучшение условий труда. В 2013</w:t>
      </w:r>
      <w:r w:rsidR="004546A6" w:rsidRPr="00535215">
        <w:rPr>
          <w:sz w:val="26"/>
          <w:szCs w:val="26"/>
        </w:rPr>
        <w:t> </w:t>
      </w:r>
      <w:r w:rsidRPr="00535215">
        <w:rPr>
          <w:sz w:val="26"/>
          <w:szCs w:val="26"/>
        </w:rPr>
        <w:t xml:space="preserve">году впервые организован конкурс на лучшее предложение по улучшениям. Авторы предложений-победителей получили материальное вознаграждение. Вовлечение персонала в процесс непрерывного улучшения деятельности Компании – принципиально новый процесс, который способствует ее развитию. </w:t>
      </w:r>
    </w:p>
    <w:p w:rsidR="00B20C95" w:rsidRPr="00535215" w:rsidRDefault="00B20C95" w:rsidP="00B20C95">
      <w:pPr>
        <w:ind w:firstLine="567"/>
        <w:rPr>
          <w:sz w:val="26"/>
          <w:szCs w:val="26"/>
        </w:rPr>
      </w:pPr>
      <w:r w:rsidRPr="00535215">
        <w:rPr>
          <w:sz w:val="26"/>
          <w:szCs w:val="26"/>
        </w:rPr>
        <w:t xml:space="preserve">Прием заявок и предложений по улучшению полностью автоматизирован, заявку может подать любой сотрудник через внутренний портал </w:t>
      </w:r>
      <w:r w:rsidR="0008080E" w:rsidRPr="00535215">
        <w:rPr>
          <w:sz w:val="26"/>
          <w:szCs w:val="26"/>
        </w:rPr>
        <w:t>ОАО </w:t>
      </w:r>
      <w:r w:rsidRPr="00535215">
        <w:rPr>
          <w:sz w:val="26"/>
          <w:szCs w:val="26"/>
        </w:rPr>
        <w:t xml:space="preserve">«МОЭСК». </w:t>
      </w:r>
    </w:p>
    <w:p w:rsidR="00B20C95" w:rsidRPr="00535215" w:rsidRDefault="00B20C95" w:rsidP="00B20C95">
      <w:pPr>
        <w:spacing w:before="120" w:after="120"/>
        <w:ind w:firstLine="567"/>
        <w:rPr>
          <w:b/>
          <w:sz w:val="26"/>
          <w:szCs w:val="26"/>
        </w:rPr>
      </w:pPr>
      <w:r w:rsidRPr="00535215">
        <w:rPr>
          <w:b/>
          <w:sz w:val="26"/>
          <w:szCs w:val="26"/>
        </w:rPr>
        <w:t>Каковы основные планы на следующий год и среднесрочную перспективу?</w:t>
      </w:r>
    </w:p>
    <w:p w:rsidR="00B20C95" w:rsidRPr="00535215" w:rsidRDefault="00B20C95" w:rsidP="00B20C95">
      <w:pPr>
        <w:ind w:firstLine="567"/>
        <w:rPr>
          <w:sz w:val="26"/>
          <w:szCs w:val="26"/>
        </w:rPr>
      </w:pPr>
      <w:r w:rsidRPr="00535215">
        <w:rPr>
          <w:sz w:val="26"/>
          <w:szCs w:val="26"/>
        </w:rPr>
        <w:t xml:space="preserve">Одна из ключевых задач - разработать полноценную стратегию развития Общества на перспективу до 2020 года. Эта работа уже началась, в 2014 году мы планируем ее завершить. </w:t>
      </w:r>
    </w:p>
    <w:p w:rsidR="00B20C95" w:rsidRPr="00535215" w:rsidRDefault="00B20C95" w:rsidP="00B20C95">
      <w:pPr>
        <w:ind w:firstLine="567"/>
        <w:rPr>
          <w:sz w:val="26"/>
          <w:szCs w:val="26"/>
        </w:rPr>
      </w:pPr>
      <w:r w:rsidRPr="00535215">
        <w:rPr>
          <w:sz w:val="26"/>
          <w:szCs w:val="26"/>
        </w:rPr>
        <w:t xml:space="preserve">Изменения в стратегию </w:t>
      </w:r>
      <w:r w:rsidR="0008080E" w:rsidRPr="00535215">
        <w:rPr>
          <w:sz w:val="26"/>
          <w:szCs w:val="26"/>
        </w:rPr>
        <w:t>ОАО </w:t>
      </w:r>
      <w:r w:rsidRPr="00535215">
        <w:rPr>
          <w:sz w:val="26"/>
          <w:szCs w:val="26"/>
        </w:rPr>
        <w:t xml:space="preserve">«МОЭСК» будут привнесены, прежде всего, в связи с утверждением стратегии электросетевого комплекса РФ в целом, и стратегии развития </w:t>
      </w:r>
      <w:r w:rsidR="0008080E" w:rsidRPr="00535215">
        <w:rPr>
          <w:sz w:val="26"/>
          <w:szCs w:val="26"/>
        </w:rPr>
        <w:t>ОАО </w:t>
      </w:r>
      <w:r w:rsidRPr="00535215">
        <w:rPr>
          <w:sz w:val="26"/>
          <w:szCs w:val="26"/>
        </w:rPr>
        <w:t xml:space="preserve">«Россети», в которых выработаны подходы к решению системных проблем электроэнергетики. </w:t>
      </w:r>
    </w:p>
    <w:p w:rsidR="00B20C95" w:rsidRPr="00B20C95" w:rsidRDefault="00B20C95" w:rsidP="00B20C95">
      <w:pPr>
        <w:ind w:firstLine="567"/>
        <w:rPr>
          <w:sz w:val="26"/>
          <w:szCs w:val="26"/>
        </w:rPr>
      </w:pPr>
      <w:r w:rsidRPr="00535215">
        <w:rPr>
          <w:sz w:val="26"/>
          <w:szCs w:val="26"/>
        </w:rPr>
        <w:lastRenderedPageBreak/>
        <w:t xml:space="preserve">Также продолжим уделять повышенное внимание автоматизации процесса техприсоединения. В фокусе здесь – развитие интерактивных сервисов работы с заявителями, поскольку Общество продолжает стремиться к упрощению процедур ТП, и, в частности, к сокращению количества визитов клиентов в офисы компании в рамках этих процедур. Поэтому планируем развивать сервис «Личный кабинет клиента» на </w:t>
      </w:r>
      <w:r w:rsidR="00DF693F" w:rsidRPr="00535215">
        <w:rPr>
          <w:sz w:val="26"/>
          <w:szCs w:val="26"/>
        </w:rPr>
        <w:t>п</w:t>
      </w:r>
      <w:r w:rsidRPr="00535215">
        <w:rPr>
          <w:sz w:val="26"/>
          <w:szCs w:val="26"/>
        </w:rPr>
        <w:t xml:space="preserve">ортале </w:t>
      </w:r>
      <w:r w:rsidR="00DF693F" w:rsidRPr="00535215">
        <w:rPr>
          <w:sz w:val="26"/>
          <w:szCs w:val="26"/>
        </w:rPr>
        <w:t xml:space="preserve">по </w:t>
      </w:r>
      <w:r w:rsidRPr="00535215">
        <w:rPr>
          <w:sz w:val="26"/>
          <w:szCs w:val="26"/>
        </w:rPr>
        <w:t>технологическ</w:t>
      </w:r>
      <w:r w:rsidR="00DF693F" w:rsidRPr="00535215">
        <w:rPr>
          <w:sz w:val="26"/>
          <w:szCs w:val="26"/>
        </w:rPr>
        <w:t>ому</w:t>
      </w:r>
      <w:r w:rsidRPr="00535215">
        <w:rPr>
          <w:sz w:val="26"/>
          <w:szCs w:val="26"/>
        </w:rPr>
        <w:t xml:space="preserve"> присоединени</w:t>
      </w:r>
      <w:r w:rsidR="00DF693F" w:rsidRPr="00535215">
        <w:rPr>
          <w:sz w:val="26"/>
          <w:szCs w:val="26"/>
        </w:rPr>
        <w:t>ю</w:t>
      </w:r>
      <w:r w:rsidRPr="00535215">
        <w:rPr>
          <w:sz w:val="26"/>
          <w:szCs w:val="26"/>
        </w:rPr>
        <w:t>, позволяющий потребителю подавать заявку на ТП не выходя из дома, отслежи</w:t>
      </w:r>
      <w:r w:rsidRPr="00B20C95">
        <w:rPr>
          <w:sz w:val="26"/>
          <w:szCs w:val="26"/>
        </w:rPr>
        <w:t>вать статус ее выполнения. В 2014</w:t>
      </w:r>
      <w:r w:rsidR="004546A6">
        <w:rPr>
          <w:sz w:val="26"/>
          <w:szCs w:val="26"/>
        </w:rPr>
        <w:t> </w:t>
      </w:r>
      <w:r w:rsidRPr="00B20C95">
        <w:rPr>
          <w:sz w:val="26"/>
          <w:szCs w:val="26"/>
        </w:rPr>
        <w:t>г</w:t>
      </w:r>
      <w:r w:rsidR="00C53B7E">
        <w:rPr>
          <w:sz w:val="26"/>
          <w:szCs w:val="26"/>
        </w:rPr>
        <w:t>оду</w:t>
      </w:r>
      <w:r w:rsidRPr="00B20C95">
        <w:rPr>
          <w:sz w:val="26"/>
          <w:szCs w:val="26"/>
        </w:rPr>
        <w:t xml:space="preserve"> будем включать в данный сервис дополнительные опции, востребованные клиентами.</w:t>
      </w:r>
    </w:p>
    <w:p w:rsidR="00743B24" w:rsidRDefault="00743B24">
      <w:pPr>
        <w:ind w:firstLine="0"/>
        <w:jc w:val="left"/>
        <w:rPr>
          <w:rFonts w:eastAsia="Times New Roman"/>
          <w:b/>
          <w:sz w:val="26"/>
          <w:szCs w:val="26"/>
          <w:lang w:eastAsia="ru-RU"/>
        </w:rPr>
      </w:pPr>
      <w:bookmarkStart w:id="116" w:name="_Toc380576943"/>
      <w:r>
        <w:rPr>
          <w:b/>
          <w:sz w:val="26"/>
          <w:szCs w:val="26"/>
          <w:lang w:eastAsia="ru-RU"/>
        </w:rPr>
        <w:br w:type="page"/>
      </w:r>
    </w:p>
    <w:p w:rsidR="00C64BC5" w:rsidRPr="004761E0" w:rsidRDefault="00E34ACB" w:rsidP="007076A7">
      <w:pPr>
        <w:pStyle w:val="a8"/>
        <w:numPr>
          <w:ilvl w:val="1"/>
          <w:numId w:val="321"/>
        </w:numPr>
        <w:spacing w:before="120" w:after="120"/>
        <w:ind w:left="1134" w:hanging="567"/>
        <w:jc w:val="both"/>
        <w:rPr>
          <w:rFonts w:ascii="Times New Roman" w:hAnsi="Times New Roman"/>
          <w:b/>
          <w:sz w:val="26"/>
          <w:szCs w:val="26"/>
          <w:lang w:eastAsia="ru-RU"/>
        </w:rPr>
      </w:pPr>
      <w:bookmarkStart w:id="117" w:name="_Toc385339839"/>
      <w:r w:rsidRPr="004761E0">
        <w:rPr>
          <w:rFonts w:ascii="Times New Roman" w:hAnsi="Times New Roman"/>
          <w:b/>
          <w:sz w:val="26"/>
          <w:szCs w:val="26"/>
        </w:rPr>
        <w:lastRenderedPageBreak/>
        <w:t>Инновационное развитие</w:t>
      </w:r>
      <w:bookmarkEnd w:id="116"/>
      <w:bookmarkEnd w:id="117"/>
    </w:p>
    <w:p w:rsidR="00A232BD" w:rsidRPr="004761E0" w:rsidRDefault="00A232BD" w:rsidP="003B7B34">
      <w:pPr>
        <w:pStyle w:val="ac"/>
        <w:ind w:firstLine="567"/>
        <w:rPr>
          <w:sz w:val="26"/>
          <w:szCs w:val="26"/>
        </w:rPr>
      </w:pPr>
      <w:r w:rsidRPr="004761E0">
        <w:rPr>
          <w:sz w:val="26"/>
          <w:szCs w:val="26"/>
          <w:lang w:eastAsia="zh-CN"/>
        </w:rPr>
        <w:t xml:space="preserve">Инновационная деятельность в </w:t>
      </w:r>
      <w:r w:rsidR="0008080E">
        <w:rPr>
          <w:sz w:val="26"/>
          <w:szCs w:val="26"/>
          <w:lang w:eastAsia="zh-CN"/>
        </w:rPr>
        <w:t>ОАО </w:t>
      </w:r>
      <w:r w:rsidRPr="004761E0">
        <w:rPr>
          <w:sz w:val="26"/>
          <w:szCs w:val="26"/>
          <w:lang w:eastAsia="zh-CN"/>
        </w:rPr>
        <w:t>«МОЭСК» осуществляется в рамках реализации Программы инновационного развития Общества (далее в разделе – Программа)</w:t>
      </w:r>
      <w:r w:rsidR="006C365D" w:rsidRPr="006F4AB8">
        <w:rPr>
          <w:rStyle w:val="af1"/>
        </w:rPr>
        <w:footnoteReference w:id="117"/>
      </w:r>
      <w:r w:rsidRPr="004761E0">
        <w:rPr>
          <w:sz w:val="26"/>
          <w:szCs w:val="26"/>
        </w:rPr>
        <w:t xml:space="preserve">. В связи с формированием в 2013 году единой Программы НИОКР </w:t>
      </w:r>
      <w:r w:rsidR="0008080E">
        <w:rPr>
          <w:sz w:val="26"/>
          <w:szCs w:val="26"/>
        </w:rPr>
        <w:t>ОАО </w:t>
      </w:r>
      <w:r w:rsidRPr="004761E0">
        <w:rPr>
          <w:sz w:val="26"/>
          <w:szCs w:val="26"/>
        </w:rPr>
        <w:t>«Россети» и единой инновационной политики в электросетевом комплексе РФ Программа скорректирована</w:t>
      </w:r>
      <w:r w:rsidR="001B3AA0" w:rsidRPr="006F4AB8">
        <w:rPr>
          <w:rStyle w:val="af1"/>
        </w:rPr>
        <w:footnoteReference w:id="118"/>
      </w:r>
      <w:r w:rsidRPr="004761E0">
        <w:rPr>
          <w:sz w:val="26"/>
          <w:szCs w:val="26"/>
        </w:rPr>
        <w:t>, включая план НИОКР на 2013 и последующие годы.</w:t>
      </w:r>
    </w:p>
    <w:p w:rsidR="00A232BD" w:rsidRPr="004761E0" w:rsidRDefault="00A232BD" w:rsidP="003B7B34">
      <w:pPr>
        <w:pStyle w:val="ac"/>
        <w:ind w:firstLine="567"/>
        <w:rPr>
          <w:sz w:val="26"/>
          <w:szCs w:val="26"/>
        </w:rPr>
      </w:pPr>
      <w:r w:rsidRPr="004761E0">
        <w:rPr>
          <w:sz w:val="26"/>
          <w:szCs w:val="26"/>
        </w:rPr>
        <w:t xml:space="preserve">Целью Программы является повышение экономической и энергетической эффективности энергоснабжения потребителей за счет обеспечения инновационного развития </w:t>
      </w:r>
      <w:r w:rsidR="0008080E">
        <w:rPr>
          <w:sz w:val="26"/>
          <w:szCs w:val="26"/>
        </w:rPr>
        <w:t>ОАО </w:t>
      </w:r>
      <w:r w:rsidRPr="004761E0">
        <w:rPr>
          <w:sz w:val="26"/>
          <w:szCs w:val="26"/>
        </w:rPr>
        <w:t>«МОЭСК» путем создания современной электросетевой инфраструктуры на уровне мировых стандартов.</w:t>
      </w:r>
    </w:p>
    <w:p w:rsidR="00A232BD" w:rsidRPr="004761E0" w:rsidRDefault="00A232BD" w:rsidP="009F385A">
      <w:pPr>
        <w:pStyle w:val="ac"/>
        <w:rPr>
          <w:sz w:val="26"/>
          <w:szCs w:val="26"/>
        </w:rPr>
      </w:pPr>
      <w:r w:rsidRPr="004761E0">
        <w:rPr>
          <w:sz w:val="26"/>
          <w:szCs w:val="26"/>
        </w:rPr>
        <w:t>Основными задачами Программы являются:</w:t>
      </w:r>
    </w:p>
    <w:p w:rsidR="00A232BD" w:rsidRPr="004761E0" w:rsidRDefault="00A232BD" w:rsidP="007076A7">
      <w:pPr>
        <w:pStyle w:val="ac"/>
        <w:numPr>
          <w:ilvl w:val="0"/>
          <w:numId w:val="79"/>
        </w:numPr>
        <w:ind w:left="1134" w:hanging="567"/>
        <w:rPr>
          <w:sz w:val="26"/>
          <w:szCs w:val="26"/>
        </w:rPr>
      </w:pPr>
      <w:r w:rsidRPr="004761E0">
        <w:rPr>
          <w:sz w:val="26"/>
          <w:szCs w:val="26"/>
        </w:rPr>
        <w:t>обеспечение высокой надежности электроснабжения столичного региона;</w:t>
      </w:r>
    </w:p>
    <w:p w:rsidR="00A232BD" w:rsidRPr="004761E0" w:rsidRDefault="00A232BD" w:rsidP="007076A7">
      <w:pPr>
        <w:pStyle w:val="ac"/>
        <w:numPr>
          <w:ilvl w:val="0"/>
          <w:numId w:val="79"/>
        </w:numPr>
        <w:ind w:left="1134" w:hanging="567"/>
        <w:rPr>
          <w:sz w:val="26"/>
          <w:szCs w:val="26"/>
        </w:rPr>
      </w:pPr>
      <w:r w:rsidRPr="004761E0">
        <w:rPr>
          <w:sz w:val="26"/>
          <w:szCs w:val="26"/>
        </w:rPr>
        <w:t>повышение энергоэффективности за счет снижения потерь и внедрения инноваций;</w:t>
      </w:r>
    </w:p>
    <w:p w:rsidR="00A232BD" w:rsidRPr="004761E0" w:rsidRDefault="00A232BD" w:rsidP="007076A7">
      <w:pPr>
        <w:pStyle w:val="ac"/>
        <w:numPr>
          <w:ilvl w:val="0"/>
          <w:numId w:val="79"/>
        </w:numPr>
        <w:ind w:left="1134" w:hanging="567"/>
        <w:rPr>
          <w:sz w:val="26"/>
          <w:szCs w:val="26"/>
        </w:rPr>
      </w:pPr>
      <w:r w:rsidRPr="004761E0">
        <w:rPr>
          <w:sz w:val="26"/>
          <w:szCs w:val="26"/>
        </w:rPr>
        <w:t>повышение доступности электросетевой инфраструктуры;</w:t>
      </w:r>
    </w:p>
    <w:p w:rsidR="00A232BD" w:rsidRPr="004761E0" w:rsidRDefault="00A232BD" w:rsidP="007076A7">
      <w:pPr>
        <w:pStyle w:val="ac"/>
        <w:numPr>
          <w:ilvl w:val="0"/>
          <w:numId w:val="79"/>
        </w:numPr>
        <w:ind w:left="1134" w:hanging="567"/>
        <w:rPr>
          <w:sz w:val="26"/>
          <w:szCs w:val="26"/>
        </w:rPr>
      </w:pPr>
      <w:r w:rsidRPr="004761E0">
        <w:rPr>
          <w:sz w:val="26"/>
          <w:szCs w:val="26"/>
        </w:rPr>
        <w:t xml:space="preserve">повышение инвестиционной привлекательности и ценности Компании. </w:t>
      </w:r>
    </w:p>
    <w:p w:rsidR="00453705" w:rsidRPr="00743B24" w:rsidRDefault="00A232BD" w:rsidP="00743B24">
      <w:pPr>
        <w:spacing w:before="120" w:after="120"/>
        <w:rPr>
          <w:b/>
          <w:sz w:val="26"/>
          <w:szCs w:val="26"/>
        </w:rPr>
      </w:pPr>
      <w:r w:rsidRPr="00743B24">
        <w:rPr>
          <w:b/>
          <w:sz w:val="26"/>
          <w:szCs w:val="26"/>
        </w:rPr>
        <w:t>Основные направления НИОКР</w:t>
      </w:r>
    </w:p>
    <w:p w:rsidR="001B3AA0" w:rsidRPr="004761E0" w:rsidRDefault="00D639D4" w:rsidP="007076A7">
      <w:pPr>
        <w:numPr>
          <w:ilvl w:val="0"/>
          <w:numId w:val="165"/>
        </w:numPr>
        <w:ind w:left="1134" w:hanging="567"/>
        <w:rPr>
          <w:sz w:val="26"/>
          <w:szCs w:val="26"/>
        </w:rPr>
      </w:pPr>
      <w:r w:rsidRPr="004761E0">
        <w:rPr>
          <w:sz w:val="26"/>
          <w:szCs w:val="26"/>
        </w:rPr>
        <w:t>с</w:t>
      </w:r>
      <w:r w:rsidR="001B3AA0" w:rsidRPr="004761E0">
        <w:rPr>
          <w:sz w:val="26"/>
          <w:szCs w:val="26"/>
        </w:rPr>
        <w:t>истемные вопросы создания и функционирования электрических сетей</w:t>
      </w:r>
      <w:r w:rsidRPr="004761E0">
        <w:rPr>
          <w:sz w:val="26"/>
          <w:szCs w:val="26"/>
        </w:rPr>
        <w:t>;</w:t>
      </w:r>
    </w:p>
    <w:p w:rsidR="001B3AA0" w:rsidRPr="004761E0" w:rsidRDefault="00D639D4" w:rsidP="007076A7">
      <w:pPr>
        <w:numPr>
          <w:ilvl w:val="0"/>
          <w:numId w:val="165"/>
        </w:numPr>
        <w:ind w:left="1134" w:hanging="567"/>
        <w:rPr>
          <w:sz w:val="26"/>
          <w:szCs w:val="26"/>
        </w:rPr>
      </w:pPr>
      <w:r w:rsidRPr="004761E0">
        <w:rPr>
          <w:sz w:val="26"/>
          <w:szCs w:val="26"/>
        </w:rPr>
        <w:t>э</w:t>
      </w:r>
      <w:r w:rsidR="001B3AA0" w:rsidRPr="004761E0">
        <w:rPr>
          <w:sz w:val="26"/>
          <w:szCs w:val="26"/>
        </w:rPr>
        <w:t>лектротехническое оборудование, аппараты, конструкции и материалы ЛЭП</w:t>
      </w:r>
      <w:r w:rsidRPr="004761E0">
        <w:rPr>
          <w:sz w:val="26"/>
          <w:szCs w:val="26"/>
        </w:rPr>
        <w:t>;</w:t>
      </w:r>
    </w:p>
    <w:p w:rsidR="001B3AA0" w:rsidRPr="004761E0" w:rsidRDefault="00D639D4" w:rsidP="007076A7">
      <w:pPr>
        <w:numPr>
          <w:ilvl w:val="0"/>
          <w:numId w:val="165"/>
        </w:numPr>
        <w:ind w:left="1134" w:hanging="567"/>
        <w:rPr>
          <w:sz w:val="26"/>
          <w:szCs w:val="26"/>
        </w:rPr>
      </w:pPr>
      <w:r w:rsidRPr="004761E0">
        <w:rPr>
          <w:sz w:val="26"/>
          <w:szCs w:val="26"/>
        </w:rPr>
        <w:t>р</w:t>
      </w:r>
      <w:r w:rsidR="001B3AA0" w:rsidRPr="004761E0">
        <w:rPr>
          <w:sz w:val="26"/>
          <w:szCs w:val="26"/>
        </w:rPr>
        <w:t>елейная защита и автоматизация электрических сетей</w:t>
      </w:r>
      <w:r w:rsidRPr="004761E0">
        <w:rPr>
          <w:sz w:val="26"/>
          <w:szCs w:val="26"/>
        </w:rPr>
        <w:t>;</w:t>
      </w:r>
    </w:p>
    <w:p w:rsidR="001B3AA0" w:rsidRPr="004761E0" w:rsidRDefault="00D639D4" w:rsidP="007076A7">
      <w:pPr>
        <w:numPr>
          <w:ilvl w:val="0"/>
          <w:numId w:val="165"/>
        </w:numPr>
        <w:ind w:left="1134" w:hanging="567"/>
        <w:rPr>
          <w:sz w:val="26"/>
          <w:szCs w:val="26"/>
        </w:rPr>
      </w:pPr>
      <w:r w:rsidRPr="004761E0">
        <w:rPr>
          <w:sz w:val="26"/>
          <w:szCs w:val="26"/>
        </w:rPr>
        <w:t>т</w:t>
      </w:r>
      <w:r w:rsidR="001B3AA0" w:rsidRPr="004761E0">
        <w:rPr>
          <w:sz w:val="26"/>
          <w:szCs w:val="26"/>
        </w:rPr>
        <w:t>елекоммуникация и информационные технологии</w:t>
      </w:r>
      <w:r w:rsidRPr="004761E0">
        <w:rPr>
          <w:sz w:val="26"/>
          <w:szCs w:val="26"/>
        </w:rPr>
        <w:t>;</w:t>
      </w:r>
    </w:p>
    <w:p w:rsidR="001B3AA0" w:rsidRPr="004761E0" w:rsidRDefault="00D639D4" w:rsidP="007076A7">
      <w:pPr>
        <w:numPr>
          <w:ilvl w:val="0"/>
          <w:numId w:val="165"/>
        </w:numPr>
        <w:ind w:left="1134" w:hanging="567"/>
        <w:rPr>
          <w:sz w:val="26"/>
          <w:szCs w:val="26"/>
        </w:rPr>
      </w:pPr>
      <w:r w:rsidRPr="004761E0">
        <w:rPr>
          <w:sz w:val="26"/>
          <w:szCs w:val="26"/>
        </w:rPr>
        <w:t>н</w:t>
      </w:r>
      <w:r w:rsidR="001B3AA0" w:rsidRPr="004761E0">
        <w:rPr>
          <w:sz w:val="26"/>
          <w:szCs w:val="26"/>
        </w:rPr>
        <w:t>адежность, безопасность и энергоэффективность</w:t>
      </w:r>
      <w:r w:rsidRPr="004761E0">
        <w:rPr>
          <w:sz w:val="26"/>
          <w:szCs w:val="26"/>
        </w:rPr>
        <w:t>;</w:t>
      </w:r>
    </w:p>
    <w:p w:rsidR="001B3AA0" w:rsidRPr="004761E0" w:rsidRDefault="00D639D4" w:rsidP="007076A7">
      <w:pPr>
        <w:numPr>
          <w:ilvl w:val="0"/>
          <w:numId w:val="165"/>
        </w:numPr>
        <w:ind w:left="1134" w:hanging="567"/>
        <w:rPr>
          <w:sz w:val="26"/>
          <w:szCs w:val="26"/>
        </w:rPr>
      </w:pPr>
      <w:r w:rsidRPr="004761E0">
        <w:rPr>
          <w:sz w:val="26"/>
          <w:szCs w:val="26"/>
        </w:rPr>
        <w:t>к</w:t>
      </w:r>
      <w:r w:rsidR="001B3AA0" w:rsidRPr="004761E0">
        <w:rPr>
          <w:sz w:val="26"/>
          <w:szCs w:val="26"/>
        </w:rPr>
        <w:t>омплексные инфраструктурные проекты</w:t>
      </w:r>
      <w:r w:rsidRPr="004761E0">
        <w:rPr>
          <w:sz w:val="26"/>
          <w:szCs w:val="26"/>
        </w:rPr>
        <w:t>.</w:t>
      </w:r>
    </w:p>
    <w:p w:rsidR="00A232BD" w:rsidRPr="004761E0" w:rsidRDefault="00A232BD" w:rsidP="009F385A">
      <w:pPr>
        <w:pStyle w:val="ac"/>
        <w:sectPr w:rsidR="00A232BD" w:rsidRPr="004761E0" w:rsidSect="00A232BD">
          <w:pgSz w:w="11907" w:h="16840" w:code="9"/>
          <w:pgMar w:top="1418" w:right="851" w:bottom="720" w:left="1134" w:header="720" w:footer="720" w:gutter="0"/>
          <w:cols w:space="720"/>
          <w:docGrid w:linePitch="326"/>
        </w:sectPr>
      </w:pPr>
    </w:p>
    <w:p w:rsidR="00453705" w:rsidRPr="00743B24" w:rsidRDefault="00A232BD" w:rsidP="00743B24">
      <w:pPr>
        <w:ind w:firstLine="567"/>
        <w:rPr>
          <w:sz w:val="26"/>
          <w:szCs w:val="26"/>
        </w:rPr>
      </w:pPr>
      <w:r w:rsidRPr="00743B24">
        <w:rPr>
          <w:sz w:val="26"/>
          <w:szCs w:val="26"/>
        </w:rPr>
        <w:lastRenderedPageBreak/>
        <w:t>В 2013 году завершены все запланированные к завершению в отчетном году НИОКР:</w:t>
      </w:r>
    </w:p>
    <w:tbl>
      <w:tblPr>
        <w:tblW w:w="15876" w:type="dxa"/>
        <w:tblInd w:w="108" w:type="dxa"/>
        <w:tblLayout w:type="fixed"/>
        <w:tblLook w:val="04A0"/>
      </w:tblPr>
      <w:tblGrid>
        <w:gridCol w:w="461"/>
        <w:gridCol w:w="3367"/>
        <w:gridCol w:w="4110"/>
        <w:gridCol w:w="5103"/>
        <w:gridCol w:w="2835"/>
      </w:tblGrid>
      <w:tr w:rsidR="00A232BD" w:rsidRPr="004761E0" w:rsidTr="00A232BD">
        <w:trPr>
          <w:tblHeader/>
        </w:trPr>
        <w:tc>
          <w:tcPr>
            <w:tcW w:w="461" w:type="dxa"/>
            <w:tcBorders>
              <w:top w:val="nil"/>
              <w:left w:val="nil"/>
              <w:bottom w:val="nil"/>
              <w:right w:val="single" w:sz="4" w:space="0" w:color="FFFFFF" w:themeColor="background1"/>
            </w:tcBorders>
            <w:shd w:val="clear" w:color="auto" w:fill="0F243E" w:themeFill="text2" w:themeFillShade="80"/>
            <w:vAlign w:val="center"/>
          </w:tcPr>
          <w:p w:rsidR="00A232BD" w:rsidRPr="004761E0" w:rsidRDefault="00A232BD" w:rsidP="009F385A">
            <w:pPr>
              <w:pStyle w:val="ac"/>
              <w:ind w:firstLine="0"/>
              <w:rPr>
                <w:b/>
                <w:color w:val="FFFFFF" w:themeColor="background1"/>
                <w:sz w:val="20"/>
                <w:szCs w:val="20"/>
              </w:rPr>
            </w:pPr>
            <w:r w:rsidRPr="004761E0">
              <w:rPr>
                <w:b/>
                <w:color w:val="FFFFFF" w:themeColor="background1"/>
                <w:sz w:val="20"/>
                <w:szCs w:val="20"/>
              </w:rPr>
              <w:t>№ п/п</w:t>
            </w:r>
          </w:p>
        </w:tc>
        <w:tc>
          <w:tcPr>
            <w:tcW w:w="3367" w:type="dxa"/>
            <w:tcBorders>
              <w:top w:val="nil"/>
              <w:left w:val="single" w:sz="4" w:space="0" w:color="FFFFFF" w:themeColor="background1"/>
              <w:bottom w:val="nil"/>
              <w:right w:val="single" w:sz="4" w:space="0" w:color="FFFFFF" w:themeColor="background1"/>
            </w:tcBorders>
            <w:shd w:val="clear" w:color="auto" w:fill="0F243E" w:themeFill="text2" w:themeFillShade="80"/>
            <w:vAlign w:val="center"/>
          </w:tcPr>
          <w:p w:rsidR="00A232BD" w:rsidRPr="004761E0" w:rsidRDefault="00A232BD" w:rsidP="009F385A">
            <w:pPr>
              <w:pStyle w:val="ac"/>
              <w:ind w:firstLine="0"/>
              <w:jc w:val="left"/>
              <w:rPr>
                <w:b/>
                <w:color w:val="FFFFFF" w:themeColor="background1"/>
                <w:sz w:val="20"/>
                <w:szCs w:val="20"/>
              </w:rPr>
            </w:pPr>
            <w:r w:rsidRPr="004761E0">
              <w:rPr>
                <w:b/>
                <w:color w:val="FFFFFF" w:themeColor="background1"/>
                <w:sz w:val="20"/>
                <w:szCs w:val="20"/>
              </w:rPr>
              <w:t>Наименование НИОКР</w:t>
            </w:r>
          </w:p>
        </w:tc>
        <w:tc>
          <w:tcPr>
            <w:tcW w:w="4110" w:type="dxa"/>
            <w:tcBorders>
              <w:top w:val="nil"/>
              <w:left w:val="single" w:sz="4" w:space="0" w:color="FFFFFF" w:themeColor="background1"/>
              <w:bottom w:val="nil"/>
              <w:right w:val="single" w:sz="4" w:space="0" w:color="FFFFFF" w:themeColor="background1"/>
            </w:tcBorders>
            <w:shd w:val="clear" w:color="auto" w:fill="0F243E" w:themeFill="text2" w:themeFillShade="80"/>
            <w:vAlign w:val="center"/>
          </w:tcPr>
          <w:p w:rsidR="00A232BD" w:rsidRPr="004761E0" w:rsidRDefault="00A232BD" w:rsidP="009F385A">
            <w:pPr>
              <w:pStyle w:val="ac"/>
              <w:ind w:firstLine="0"/>
              <w:jc w:val="left"/>
              <w:rPr>
                <w:b/>
                <w:color w:val="FFFFFF" w:themeColor="background1"/>
                <w:sz w:val="20"/>
                <w:szCs w:val="20"/>
              </w:rPr>
            </w:pPr>
            <w:r w:rsidRPr="004761E0">
              <w:rPr>
                <w:b/>
                <w:color w:val="FFFFFF" w:themeColor="background1"/>
                <w:sz w:val="20"/>
                <w:szCs w:val="20"/>
              </w:rPr>
              <w:t>Цели НИОКР</w:t>
            </w:r>
          </w:p>
        </w:tc>
        <w:tc>
          <w:tcPr>
            <w:tcW w:w="5103" w:type="dxa"/>
            <w:tcBorders>
              <w:top w:val="nil"/>
              <w:left w:val="single" w:sz="4" w:space="0" w:color="FFFFFF" w:themeColor="background1"/>
              <w:bottom w:val="nil"/>
              <w:right w:val="nil"/>
            </w:tcBorders>
            <w:shd w:val="clear" w:color="auto" w:fill="0F243E" w:themeFill="text2" w:themeFillShade="80"/>
            <w:vAlign w:val="center"/>
          </w:tcPr>
          <w:p w:rsidR="00A232BD" w:rsidRPr="004761E0" w:rsidRDefault="00A232BD" w:rsidP="009F385A">
            <w:pPr>
              <w:pStyle w:val="ac"/>
              <w:ind w:firstLine="0"/>
              <w:jc w:val="left"/>
              <w:rPr>
                <w:b/>
                <w:color w:val="FFFFFF" w:themeColor="background1"/>
                <w:sz w:val="20"/>
                <w:szCs w:val="20"/>
              </w:rPr>
            </w:pPr>
            <w:r w:rsidRPr="004761E0">
              <w:rPr>
                <w:b/>
                <w:color w:val="FFFFFF" w:themeColor="background1"/>
                <w:sz w:val="20"/>
                <w:szCs w:val="20"/>
              </w:rPr>
              <w:t>Перечень разработанного оборудования, технологий, материалов и систем в рамках НИОКР</w:t>
            </w:r>
          </w:p>
        </w:tc>
        <w:tc>
          <w:tcPr>
            <w:tcW w:w="2835" w:type="dxa"/>
            <w:tcBorders>
              <w:top w:val="nil"/>
              <w:left w:val="single" w:sz="4" w:space="0" w:color="FFFFFF" w:themeColor="background1"/>
              <w:bottom w:val="nil"/>
              <w:right w:val="nil"/>
            </w:tcBorders>
            <w:shd w:val="clear" w:color="auto" w:fill="0F243E" w:themeFill="text2" w:themeFillShade="80"/>
          </w:tcPr>
          <w:p w:rsidR="00A232BD" w:rsidRPr="004761E0" w:rsidRDefault="00A232BD" w:rsidP="009F385A">
            <w:pPr>
              <w:pStyle w:val="ac"/>
              <w:ind w:firstLine="0"/>
              <w:jc w:val="left"/>
              <w:rPr>
                <w:b/>
                <w:color w:val="FFFFFF" w:themeColor="background1"/>
                <w:sz w:val="20"/>
                <w:szCs w:val="20"/>
              </w:rPr>
            </w:pPr>
            <w:r w:rsidRPr="004761E0">
              <w:rPr>
                <w:b/>
                <w:color w:val="FFFFFF" w:themeColor="background1"/>
                <w:sz w:val="20"/>
                <w:szCs w:val="20"/>
              </w:rPr>
              <w:t>Наименования объектов внедрения, на которых применены результаты выполненных НИОКР</w:t>
            </w:r>
          </w:p>
        </w:tc>
      </w:tr>
      <w:tr w:rsidR="00A232BD" w:rsidRPr="004761E0" w:rsidTr="00447B14">
        <w:tc>
          <w:tcPr>
            <w:tcW w:w="15876" w:type="dxa"/>
            <w:gridSpan w:val="5"/>
            <w:tcBorders>
              <w:top w:val="nil"/>
              <w:bottom w:val="single" w:sz="4" w:space="0" w:color="auto"/>
            </w:tcBorders>
            <w:shd w:val="clear" w:color="auto" w:fill="BFBFBF" w:themeFill="background1" w:themeFillShade="BF"/>
          </w:tcPr>
          <w:p w:rsidR="00A232BD" w:rsidRPr="004761E0" w:rsidRDefault="00A232BD" w:rsidP="009F385A">
            <w:pPr>
              <w:pStyle w:val="ac"/>
              <w:ind w:firstLine="0"/>
              <w:rPr>
                <w:b/>
                <w:sz w:val="22"/>
                <w:szCs w:val="22"/>
              </w:rPr>
            </w:pPr>
            <w:r w:rsidRPr="004761E0">
              <w:rPr>
                <w:b/>
                <w:sz w:val="22"/>
                <w:szCs w:val="22"/>
              </w:rPr>
              <w:t>Комплексные инфраструктурные проекты</w:t>
            </w:r>
          </w:p>
        </w:tc>
      </w:tr>
      <w:tr w:rsidR="00A232BD" w:rsidRPr="004761E0" w:rsidTr="00A232BD">
        <w:tc>
          <w:tcPr>
            <w:tcW w:w="461" w:type="dxa"/>
            <w:tcBorders>
              <w:top w:val="nil"/>
              <w:bottom w:val="single" w:sz="4" w:space="0" w:color="auto"/>
            </w:tcBorders>
          </w:tcPr>
          <w:p w:rsidR="00A232BD" w:rsidRPr="004761E0" w:rsidRDefault="00A232BD" w:rsidP="007076A7">
            <w:pPr>
              <w:pStyle w:val="ac"/>
              <w:numPr>
                <w:ilvl w:val="0"/>
                <w:numId w:val="80"/>
              </w:numPr>
              <w:rPr>
                <w:sz w:val="20"/>
                <w:szCs w:val="20"/>
              </w:rPr>
            </w:pPr>
          </w:p>
        </w:tc>
        <w:tc>
          <w:tcPr>
            <w:tcW w:w="3367" w:type="dxa"/>
            <w:tcBorders>
              <w:top w:val="nil"/>
              <w:bottom w:val="single" w:sz="4" w:space="0" w:color="auto"/>
            </w:tcBorders>
          </w:tcPr>
          <w:p w:rsidR="00A232BD" w:rsidRPr="004761E0" w:rsidRDefault="00A232BD" w:rsidP="001B3AA0">
            <w:pPr>
              <w:pStyle w:val="ac"/>
              <w:ind w:firstLine="0"/>
              <w:jc w:val="left"/>
              <w:rPr>
                <w:sz w:val="20"/>
                <w:szCs w:val="20"/>
              </w:rPr>
            </w:pPr>
            <w:r w:rsidRPr="004761E0">
              <w:rPr>
                <w:sz w:val="20"/>
                <w:szCs w:val="20"/>
              </w:rPr>
              <w:t xml:space="preserve">НИОКР «Создание инфраструктуры для электротранспорта на территории обслуживания </w:t>
            </w:r>
            <w:r w:rsidR="0008080E">
              <w:rPr>
                <w:sz w:val="20"/>
                <w:szCs w:val="20"/>
              </w:rPr>
              <w:t>ОАО </w:t>
            </w:r>
            <w:r w:rsidRPr="004761E0">
              <w:rPr>
                <w:sz w:val="20"/>
                <w:szCs w:val="20"/>
              </w:rPr>
              <w:t>«МОЭСК» как элемента реализации комплексной стратегии внедрения интеллектуальных сетей (Smart Grid)»</w:t>
            </w:r>
          </w:p>
        </w:tc>
        <w:tc>
          <w:tcPr>
            <w:tcW w:w="4110" w:type="dxa"/>
            <w:tcBorders>
              <w:top w:val="nil"/>
              <w:bottom w:val="single" w:sz="4" w:space="0" w:color="auto"/>
            </w:tcBorders>
          </w:tcPr>
          <w:p w:rsidR="00A232BD" w:rsidRPr="004761E0" w:rsidRDefault="001B3AA0" w:rsidP="007076A7">
            <w:pPr>
              <w:pStyle w:val="ac"/>
              <w:numPr>
                <w:ilvl w:val="0"/>
                <w:numId w:val="166"/>
              </w:numPr>
              <w:ind w:left="317" w:hanging="284"/>
              <w:jc w:val="left"/>
              <w:rPr>
                <w:sz w:val="20"/>
                <w:szCs w:val="20"/>
              </w:rPr>
            </w:pPr>
            <w:r w:rsidRPr="004761E0">
              <w:rPr>
                <w:sz w:val="20"/>
                <w:szCs w:val="20"/>
              </w:rPr>
              <w:t>и</w:t>
            </w:r>
            <w:r w:rsidR="00A232BD" w:rsidRPr="004761E0">
              <w:rPr>
                <w:sz w:val="20"/>
                <w:szCs w:val="20"/>
              </w:rPr>
              <w:t xml:space="preserve">спользование преимуществ электротранспорта  в производственной и хозяйственной деятельности </w:t>
            </w:r>
            <w:r w:rsidR="0008080E">
              <w:rPr>
                <w:sz w:val="20"/>
                <w:szCs w:val="20"/>
              </w:rPr>
              <w:t>ОАО </w:t>
            </w:r>
            <w:r w:rsidR="00A232BD" w:rsidRPr="004761E0">
              <w:rPr>
                <w:sz w:val="20"/>
                <w:szCs w:val="20"/>
              </w:rPr>
              <w:t>«МОЭСК»;</w:t>
            </w:r>
          </w:p>
          <w:p w:rsidR="00A232BD" w:rsidRPr="004761E0" w:rsidRDefault="001B3AA0" w:rsidP="007076A7">
            <w:pPr>
              <w:pStyle w:val="ac"/>
              <w:numPr>
                <w:ilvl w:val="0"/>
                <w:numId w:val="166"/>
              </w:numPr>
              <w:ind w:left="317" w:hanging="284"/>
              <w:jc w:val="left"/>
              <w:rPr>
                <w:sz w:val="20"/>
                <w:szCs w:val="20"/>
              </w:rPr>
            </w:pPr>
            <w:r w:rsidRPr="004761E0">
              <w:rPr>
                <w:sz w:val="20"/>
                <w:szCs w:val="20"/>
              </w:rPr>
              <w:t>с</w:t>
            </w:r>
            <w:r w:rsidR="00A232BD" w:rsidRPr="004761E0">
              <w:rPr>
                <w:sz w:val="20"/>
                <w:szCs w:val="20"/>
              </w:rPr>
              <w:t>оздание и тестирование пилотной сети зарядных станций для электротранспорта в г. Москв</w:t>
            </w:r>
            <w:r w:rsidR="00C53B7E">
              <w:rPr>
                <w:sz w:val="20"/>
                <w:szCs w:val="20"/>
              </w:rPr>
              <w:t>е</w:t>
            </w:r>
            <w:r w:rsidR="00A232BD" w:rsidRPr="004761E0">
              <w:rPr>
                <w:sz w:val="20"/>
                <w:szCs w:val="20"/>
              </w:rPr>
              <w:t xml:space="preserve"> для повышения эффективности использования электросетевой инфраструктуры;</w:t>
            </w:r>
          </w:p>
          <w:p w:rsidR="00A232BD" w:rsidRPr="004761E0" w:rsidRDefault="001B3AA0" w:rsidP="007076A7">
            <w:pPr>
              <w:pStyle w:val="ac"/>
              <w:numPr>
                <w:ilvl w:val="0"/>
                <w:numId w:val="166"/>
              </w:numPr>
              <w:ind w:left="317" w:hanging="284"/>
              <w:jc w:val="left"/>
              <w:rPr>
                <w:sz w:val="20"/>
                <w:szCs w:val="20"/>
              </w:rPr>
            </w:pPr>
            <w:r w:rsidRPr="004761E0">
              <w:rPr>
                <w:sz w:val="20"/>
                <w:szCs w:val="20"/>
              </w:rPr>
              <w:t>п</w:t>
            </w:r>
            <w:r w:rsidR="00A232BD" w:rsidRPr="004761E0">
              <w:rPr>
                <w:sz w:val="20"/>
                <w:szCs w:val="20"/>
              </w:rPr>
              <w:t xml:space="preserve">роактивное участие </w:t>
            </w:r>
            <w:r w:rsidR="0008080E">
              <w:rPr>
                <w:sz w:val="20"/>
                <w:szCs w:val="20"/>
              </w:rPr>
              <w:t>ОАО </w:t>
            </w:r>
            <w:r w:rsidR="00A232BD" w:rsidRPr="004761E0">
              <w:rPr>
                <w:sz w:val="20"/>
                <w:szCs w:val="20"/>
              </w:rPr>
              <w:t>«МОЭСК» в развитии нового глобального рынка.</w:t>
            </w:r>
          </w:p>
        </w:tc>
        <w:tc>
          <w:tcPr>
            <w:tcW w:w="5103" w:type="dxa"/>
            <w:tcBorders>
              <w:top w:val="nil"/>
              <w:bottom w:val="single" w:sz="4" w:space="0" w:color="auto"/>
            </w:tcBorders>
          </w:tcPr>
          <w:p w:rsidR="00A232BD" w:rsidRPr="004761E0" w:rsidRDefault="001B3AA0" w:rsidP="007076A7">
            <w:pPr>
              <w:pStyle w:val="ac"/>
              <w:numPr>
                <w:ilvl w:val="0"/>
                <w:numId w:val="166"/>
              </w:numPr>
              <w:ind w:left="317" w:hanging="284"/>
              <w:jc w:val="left"/>
              <w:rPr>
                <w:sz w:val="20"/>
                <w:szCs w:val="20"/>
              </w:rPr>
            </w:pPr>
            <w:r w:rsidRPr="004761E0">
              <w:rPr>
                <w:sz w:val="20"/>
                <w:szCs w:val="20"/>
              </w:rPr>
              <w:t>с</w:t>
            </w:r>
            <w:r w:rsidR="00A232BD" w:rsidRPr="004761E0">
              <w:rPr>
                <w:sz w:val="20"/>
                <w:szCs w:val="20"/>
              </w:rPr>
              <w:t>оздана и эксплуатируется сеть из 28 зарядных станций;</w:t>
            </w:r>
          </w:p>
          <w:p w:rsidR="00A232BD" w:rsidRPr="004761E0" w:rsidRDefault="00A232BD" w:rsidP="007076A7">
            <w:pPr>
              <w:pStyle w:val="ac"/>
              <w:numPr>
                <w:ilvl w:val="0"/>
                <w:numId w:val="166"/>
              </w:numPr>
              <w:ind w:left="317" w:hanging="284"/>
              <w:jc w:val="left"/>
              <w:rPr>
                <w:sz w:val="20"/>
                <w:szCs w:val="20"/>
              </w:rPr>
            </w:pPr>
            <w:r w:rsidRPr="004761E0">
              <w:rPr>
                <w:sz w:val="20"/>
                <w:szCs w:val="20"/>
              </w:rPr>
              <w:t>проведена тестовая эксплуатация 8 электромобилей;</w:t>
            </w:r>
          </w:p>
          <w:p w:rsidR="00A232BD" w:rsidRPr="004761E0" w:rsidRDefault="00A232BD" w:rsidP="007076A7">
            <w:pPr>
              <w:pStyle w:val="ac"/>
              <w:numPr>
                <w:ilvl w:val="0"/>
                <w:numId w:val="166"/>
              </w:numPr>
              <w:ind w:left="317" w:hanging="284"/>
              <w:jc w:val="left"/>
              <w:rPr>
                <w:sz w:val="20"/>
                <w:szCs w:val="20"/>
              </w:rPr>
            </w:pPr>
            <w:r w:rsidRPr="004761E0">
              <w:rPr>
                <w:sz w:val="20"/>
                <w:szCs w:val="20"/>
              </w:rPr>
              <w:t xml:space="preserve">разработан и введен в тестовую эксплуатацию программный комплекс по управлению сетью зарядных станций; </w:t>
            </w:r>
          </w:p>
          <w:p w:rsidR="00A232BD" w:rsidRPr="004761E0" w:rsidRDefault="00A232BD" w:rsidP="007076A7">
            <w:pPr>
              <w:pStyle w:val="ac"/>
              <w:numPr>
                <w:ilvl w:val="0"/>
                <w:numId w:val="166"/>
              </w:numPr>
              <w:ind w:left="317" w:hanging="284"/>
              <w:jc w:val="left"/>
              <w:rPr>
                <w:sz w:val="20"/>
                <w:szCs w:val="20"/>
              </w:rPr>
            </w:pPr>
            <w:r w:rsidRPr="004761E0">
              <w:rPr>
                <w:sz w:val="20"/>
                <w:szCs w:val="20"/>
              </w:rPr>
              <w:t>разработаны опытные образцы интеллектуальных зарядных станций;</w:t>
            </w:r>
          </w:p>
          <w:p w:rsidR="00A232BD" w:rsidRPr="004761E0" w:rsidRDefault="00A232BD" w:rsidP="007076A7">
            <w:pPr>
              <w:pStyle w:val="ac"/>
              <w:numPr>
                <w:ilvl w:val="0"/>
                <w:numId w:val="166"/>
              </w:numPr>
              <w:ind w:left="317" w:hanging="284"/>
              <w:jc w:val="left"/>
              <w:rPr>
                <w:sz w:val="20"/>
                <w:szCs w:val="20"/>
              </w:rPr>
            </w:pPr>
            <w:r w:rsidRPr="004761E0">
              <w:rPr>
                <w:sz w:val="20"/>
                <w:szCs w:val="20"/>
              </w:rPr>
              <w:t>разработано типовое проектное решение по присоединению зарядных станций к электрической сети многоквартирного дома.</w:t>
            </w:r>
          </w:p>
        </w:tc>
        <w:tc>
          <w:tcPr>
            <w:tcW w:w="2835" w:type="dxa"/>
            <w:tcBorders>
              <w:top w:val="nil"/>
              <w:bottom w:val="single" w:sz="4" w:space="0" w:color="auto"/>
            </w:tcBorders>
          </w:tcPr>
          <w:p w:rsidR="00A232BD" w:rsidRPr="004761E0" w:rsidRDefault="00A232BD" w:rsidP="001B3AA0">
            <w:pPr>
              <w:pStyle w:val="ac"/>
              <w:ind w:firstLine="0"/>
              <w:jc w:val="left"/>
              <w:rPr>
                <w:sz w:val="20"/>
                <w:szCs w:val="20"/>
              </w:rPr>
            </w:pPr>
            <w:r w:rsidRPr="004761E0">
              <w:rPr>
                <w:sz w:val="20"/>
                <w:szCs w:val="20"/>
              </w:rPr>
              <w:t>В филиале Общества Московские кабельные сети создана сеть из 28 зарядных станций, эксплуатируются 8 электромобилей.</w:t>
            </w:r>
          </w:p>
        </w:tc>
      </w:tr>
      <w:tr w:rsidR="00A232BD" w:rsidRPr="004761E0" w:rsidTr="00A232BD">
        <w:tc>
          <w:tcPr>
            <w:tcW w:w="461" w:type="dxa"/>
            <w:tcBorders>
              <w:top w:val="single" w:sz="4" w:space="0" w:color="auto"/>
            </w:tcBorders>
          </w:tcPr>
          <w:p w:rsidR="00A232BD" w:rsidRPr="004761E0" w:rsidRDefault="00A232BD" w:rsidP="007076A7">
            <w:pPr>
              <w:pStyle w:val="ac"/>
              <w:numPr>
                <w:ilvl w:val="0"/>
                <w:numId w:val="80"/>
              </w:numPr>
              <w:rPr>
                <w:sz w:val="20"/>
                <w:szCs w:val="20"/>
              </w:rPr>
            </w:pPr>
          </w:p>
        </w:tc>
        <w:tc>
          <w:tcPr>
            <w:tcW w:w="3367" w:type="dxa"/>
            <w:tcBorders>
              <w:top w:val="single" w:sz="4" w:space="0" w:color="auto"/>
            </w:tcBorders>
          </w:tcPr>
          <w:p w:rsidR="00A232BD" w:rsidRPr="004761E0" w:rsidRDefault="00A232BD" w:rsidP="001B3AA0">
            <w:pPr>
              <w:pStyle w:val="ac"/>
              <w:ind w:firstLine="0"/>
              <w:jc w:val="left"/>
              <w:rPr>
                <w:sz w:val="20"/>
                <w:szCs w:val="20"/>
              </w:rPr>
            </w:pPr>
            <w:r w:rsidRPr="004761E0">
              <w:rPr>
                <w:sz w:val="20"/>
                <w:szCs w:val="20"/>
              </w:rPr>
              <w:t xml:space="preserve">НИР «Разработка методологического обеспечения для участия </w:t>
            </w:r>
            <w:r w:rsidR="0008080E">
              <w:rPr>
                <w:sz w:val="20"/>
                <w:szCs w:val="20"/>
              </w:rPr>
              <w:t>ОАО </w:t>
            </w:r>
            <w:r w:rsidRPr="004761E0">
              <w:rPr>
                <w:sz w:val="20"/>
                <w:szCs w:val="20"/>
              </w:rPr>
              <w:t>«МОЭСК» в работе по реализации сокращений парниковых газов на международном углеродном рынке»</w:t>
            </w:r>
          </w:p>
        </w:tc>
        <w:tc>
          <w:tcPr>
            <w:tcW w:w="4110" w:type="dxa"/>
            <w:tcBorders>
              <w:top w:val="single" w:sz="4" w:space="0" w:color="auto"/>
            </w:tcBorders>
          </w:tcPr>
          <w:p w:rsidR="00A232BD" w:rsidRPr="004761E0" w:rsidRDefault="001B3AA0" w:rsidP="007076A7">
            <w:pPr>
              <w:pStyle w:val="ac"/>
              <w:numPr>
                <w:ilvl w:val="0"/>
                <w:numId w:val="166"/>
              </w:numPr>
              <w:ind w:left="317" w:hanging="284"/>
              <w:jc w:val="left"/>
              <w:rPr>
                <w:sz w:val="20"/>
                <w:szCs w:val="20"/>
              </w:rPr>
            </w:pPr>
            <w:r w:rsidRPr="004761E0">
              <w:rPr>
                <w:sz w:val="20"/>
                <w:szCs w:val="20"/>
              </w:rPr>
              <w:t>о</w:t>
            </w:r>
            <w:r w:rsidR="00A232BD" w:rsidRPr="004761E0">
              <w:rPr>
                <w:sz w:val="20"/>
                <w:szCs w:val="20"/>
              </w:rPr>
              <w:t>пр</w:t>
            </w:r>
            <w:r w:rsidR="00447B14" w:rsidRPr="004761E0">
              <w:rPr>
                <w:sz w:val="20"/>
                <w:szCs w:val="20"/>
              </w:rPr>
              <w:t xml:space="preserve">еделение перспектив участия </w:t>
            </w:r>
            <w:r w:rsidR="0008080E">
              <w:rPr>
                <w:sz w:val="20"/>
                <w:szCs w:val="20"/>
              </w:rPr>
              <w:t>ОАО </w:t>
            </w:r>
            <w:r w:rsidR="00A232BD" w:rsidRPr="004761E0">
              <w:rPr>
                <w:sz w:val="20"/>
                <w:szCs w:val="20"/>
              </w:rPr>
              <w:t>«МОЭСК» на международном углеродном рынке за счет проведения  комплекса методологических работ, направленных на формирование проектов по сокращению парниковых газов.</w:t>
            </w:r>
          </w:p>
        </w:tc>
        <w:tc>
          <w:tcPr>
            <w:tcW w:w="5103" w:type="dxa"/>
            <w:tcBorders>
              <w:top w:val="single" w:sz="4" w:space="0" w:color="auto"/>
            </w:tcBorders>
          </w:tcPr>
          <w:p w:rsidR="00A232BD" w:rsidRPr="004761E0" w:rsidRDefault="001B3AA0" w:rsidP="007076A7">
            <w:pPr>
              <w:pStyle w:val="ac"/>
              <w:numPr>
                <w:ilvl w:val="0"/>
                <w:numId w:val="166"/>
              </w:numPr>
              <w:ind w:left="317" w:hanging="284"/>
              <w:jc w:val="left"/>
              <w:rPr>
                <w:sz w:val="20"/>
                <w:szCs w:val="20"/>
              </w:rPr>
            </w:pPr>
            <w:r w:rsidRPr="004761E0">
              <w:rPr>
                <w:sz w:val="20"/>
                <w:szCs w:val="20"/>
              </w:rPr>
              <w:t>р</w:t>
            </w:r>
            <w:r w:rsidR="00A232BD" w:rsidRPr="004761E0">
              <w:rPr>
                <w:sz w:val="20"/>
                <w:szCs w:val="20"/>
              </w:rPr>
              <w:t>азработана методика определения дополнительного дохода Общества, связанного с продажей единиц сокращения выбросов парниковых газов на международном углеродном рынке;</w:t>
            </w:r>
          </w:p>
          <w:p w:rsidR="00A232BD" w:rsidRPr="004761E0" w:rsidRDefault="00A232BD" w:rsidP="007076A7">
            <w:pPr>
              <w:pStyle w:val="ac"/>
              <w:numPr>
                <w:ilvl w:val="0"/>
                <w:numId w:val="166"/>
              </w:numPr>
              <w:ind w:left="317" w:hanging="284"/>
              <w:jc w:val="left"/>
              <w:rPr>
                <w:sz w:val="20"/>
                <w:szCs w:val="20"/>
              </w:rPr>
            </w:pPr>
            <w:r w:rsidRPr="004761E0">
              <w:rPr>
                <w:sz w:val="20"/>
                <w:szCs w:val="20"/>
              </w:rPr>
              <w:t>в качестве проектов совместного осуществления, направленных на снижение выбросов парниковых газов, наиболее целесообразным представляется снижение потерь электроэнергии за счет организационных и технических мероприятий по коммерческому учету электроэнергии. Реализация данных проектов совместного осуществления позволить получить дополнительных доход Общества.</w:t>
            </w:r>
          </w:p>
        </w:tc>
        <w:tc>
          <w:tcPr>
            <w:tcW w:w="2835" w:type="dxa"/>
            <w:tcBorders>
              <w:top w:val="single" w:sz="4" w:space="0" w:color="auto"/>
            </w:tcBorders>
          </w:tcPr>
          <w:p w:rsidR="00A232BD" w:rsidRPr="004761E0" w:rsidRDefault="00A232BD" w:rsidP="001B3AA0">
            <w:pPr>
              <w:pStyle w:val="ac"/>
              <w:ind w:firstLine="0"/>
              <w:jc w:val="left"/>
              <w:rPr>
                <w:sz w:val="20"/>
                <w:szCs w:val="20"/>
              </w:rPr>
            </w:pPr>
            <w:r w:rsidRPr="004761E0">
              <w:rPr>
                <w:sz w:val="20"/>
                <w:szCs w:val="20"/>
              </w:rPr>
              <w:t>Решение о внедрении результатов не принято.</w:t>
            </w:r>
          </w:p>
        </w:tc>
      </w:tr>
      <w:tr w:rsidR="00447B14" w:rsidRPr="004761E0" w:rsidTr="00447B14">
        <w:tc>
          <w:tcPr>
            <w:tcW w:w="15876" w:type="dxa"/>
            <w:gridSpan w:val="5"/>
            <w:tcBorders>
              <w:top w:val="nil"/>
              <w:bottom w:val="single" w:sz="4" w:space="0" w:color="auto"/>
            </w:tcBorders>
            <w:shd w:val="clear" w:color="auto" w:fill="BFBFBF" w:themeFill="background1" w:themeFillShade="BF"/>
          </w:tcPr>
          <w:p w:rsidR="00447B14" w:rsidRPr="004761E0" w:rsidRDefault="00447B14" w:rsidP="001B3AA0">
            <w:pPr>
              <w:pStyle w:val="ac"/>
              <w:ind w:firstLine="0"/>
              <w:rPr>
                <w:b/>
                <w:sz w:val="22"/>
                <w:szCs w:val="22"/>
              </w:rPr>
            </w:pPr>
            <w:r w:rsidRPr="004761E0">
              <w:rPr>
                <w:b/>
                <w:sz w:val="22"/>
                <w:szCs w:val="22"/>
              </w:rPr>
              <w:t>Релейная защита и автоматизация электрических сетей</w:t>
            </w:r>
          </w:p>
        </w:tc>
      </w:tr>
      <w:tr w:rsidR="00A232BD" w:rsidRPr="004761E0" w:rsidTr="00A232BD">
        <w:tc>
          <w:tcPr>
            <w:tcW w:w="461" w:type="dxa"/>
            <w:tcBorders>
              <w:top w:val="nil"/>
            </w:tcBorders>
          </w:tcPr>
          <w:p w:rsidR="00A232BD" w:rsidRPr="004761E0" w:rsidRDefault="00A232BD" w:rsidP="007076A7">
            <w:pPr>
              <w:pStyle w:val="ac"/>
              <w:numPr>
                <w:ilvl w:val="0"/>
                <w:numId w:val="80"/>
              </w:numPr>
              <w:rPr>
                <w:sz w:val="20"/>
                <w:szCs w:val="20"/>
              </w:rPr>
            </w:pPr>
          </w:p>
        </w:tc>
        <w:tc>
          <w:tcPr>
            <w:tcW w:w="3367" w:type="dxa"/>
            <w:tcBorders>
              <w:top w:val="nil"/>
            </w:tcBorders>
          </w:tcPr>
          <w:p w:rsidR="00A232BD" w:rsidRPr="004761E0" w:rsidRDefault="00A232BD" w:rsidP="001B3AA0">
            <w:pPr>
              <w:pStyle w:val="ac"/>
              <w:ind w:firstLine="0"/>
              <w:jc w:val="left"/>
              <w:rPr>
                <w:sz w:val="20"/>
                <w:szCs w:val="20"/>
              </w:rPr>
            </w:pPr>
            <w:r w:rsidRPr="004761E0">
              <w:rPr>
                <w:sz w:val="20"/>
                <w:szCs w:val="20"/>
              </w:rPr>
              <w:t>НИР «Исследование алгоритмов определения необходимости и мест установки автоматики ограничения снижения напряжения (далее – АОСН), а также расчёта уставок»</w:t>
            </w:r>
          </w:p>
        </w:tc>
        <w:tc>
          <w:tcPr>
            <w:tcW w:w="4110" w:type="dxa"/>
            <w:tcBorders>
              <w:top w:val="nil"/>
            </w:tcBorders>
          </w:tcPr>
          <w:p w:rsidR="00A232BD" w:rsidRPr="004761E0" w:rsidRDefault="001B3AA0" w:rsidP="007076A7">
            <w:pPr>
              <w:pStyle w:val="ac"/>
              <w:numPr>
                <w:ilvl w:val="0"/>
                <w:numId w:val="166"/>
              </w:numPr>
              <w:ind w:left="317" w:hanging="284"/>
              <w:jc w:val="left"/>
              <w:rPr>
                <w:sz w:val="20"/>
                <w:szCs w:val="20"/>
              </w:rPr>
            </w:pPr>
            <w:r w:rsidRPr="004761E0">
              <w:rPr>
                <w:sz w:val="20"/>
                <w:szCs w:val="20"/>
              </w:rPr>
              <w:t>р</w:t>
            </w:r>
            <w:r w:rsidR="00A232BD" w:rsidRPr="004761E0">
              <w:rPr>
                <w:sz w:val="20"/>
                <w:szCs w:val="20"/>
              </w:rPr>
              <w:t xml:space="preserve">азработка алгоритмов работы АОСН в сетях </w:t>
            </w:r>
            <w:r w:rsidR="0008080E">
              <w:rPr>
                <w:sz w:val="20"/>
                <w:szCs w:val="20"/>
              </w:rPr>
              <w:t>ОАО </w:t>
            </w:r>
            <w:r w:rsidR="00A232BD" w:rsidRPr="004761E0">
              <w:rPr>
                <w:sz w:val="20"/>
                <w:szCs w:val="20"/>
              </w:rPr>
              <w:t>«МОЭСК» для повышения автоматизации процесса регулирования напряжения, обеспечивающего повышение надежности и качества электроснабжения потребителей.</w:t>
            </w:r>
          </w:p>
        </w:tc>
        <w:tc>
          <w:tcPr>
            <w:tcW w:w="5103" w:type="dxa"/>
            <w:tcBorders>
              <w:top w:val="nil"/>
            </w:tcBorders>
          </w:tcPr>
          <w:p w:rsidR="00A232BD" w:rsidRPr="004761E0" w:rsidRDefault="001B3AA0" w:rsidP="007076A7">
            <w:pPr>
              <w:pStyle w:val="ac"/>
              <w:numPr>
                <w:ilvl w:val="0"/>
                <w:numId w:val="166"/>
              </w:numPr>
              <w:ind w:left="317" w:hanging="284"/>
              <w:jc w:val="left"/>
              <w:rPr>
                <w:sz w:val="20"/>
                <w:szCs w:val="20"/>
              </w:rPr>
            </w:pPr>
            <w:r w:rsidRPr="004761E0">
              <w:rPr>
                <w:sz w:val="20"/>
                <w:szCs w:val="20"/>
              </w:rPr>
              <w:t>о</w:t>
            </w:r>
            <w:r w:rsidR="00A232BD" w:rsidRPr="004761E0">
              <w:rPr>
                <w:sz w:val="20"/>
                <w:szCs w:val="20"/>
              </w:rPr>
              <w:t>пределен перечень подстанций Южных электрических сетей, в районе которых необходима установка устройств АОСН;</w:t>
            </w:r>
          </w:p>
          <w:p w:rsidR="00A232BD" w:rsidRPr="004761E0" w:rsidRDefault="00A232BD" w:rsidP="007076A7">
            <w:pPr>
              <w:pStyle w:val="ac"/>
              <w:numPr>
                <w:ilvl w:val="0"/>
                <w:numId w:val="166"/>
              </w:numPr>
              <w:ind w:left="317" w:hanging="284"/>
              <w:jc w:val="left"/>
              <w:rPr>
                <w:sz w:val="20"/>
                <w:szCs w:val="20"/>
              </w:rPr>
            </w:pPr>
            <w:r w:rsidRPr="004761E0">
              <w:rPr>
                <w:sz w:val="20"/>
                <w:szCs w:val="20"/>
              </w:rPr>
              <w:t xml:space="preserve">разработаны методические указания по определению мест и выбору уставок устройств автоматического ограничения снижения напряжения в сетях </w:t>
            </w:r>
            <w:r w:rsidR="0008080E">
              <w:rPr>
                <w:sz w:val="20"/>
                <w:szCs w:val="20"/>
              </w:rPr>
              <w:t>ОАО </w:t>
            </w:r>
            <w:r w:rsidRPr="004761E0">
              <w:rPr>
                <w:sz w:val="20"/>
                <w:szCs w:val="20"/>
              </w:rPr>
              <w:t>«МОЭСК»;</w:t>
            </w:r>
          </w:p>
          <w:p w:rsidR="00A232BD" w:rsidRPr="004761E0" w:rsidRDefault="00A232BD" w:rsidP="007076A7">
            <w:pPr>
              <w:pStyle w:val="ac"/>
              <w:numPr>
                <w:ilvl w:val="0"/>
                <w:numId w:val="166"/>
              </w:numPr>
              <w:ind w:left="317" w:hanging="284"/>
              <w:jc w:val="left"/>
              <w:rPr>
                <w:sz w:val="20"/>
                <w:szCs w:val="20"/>
              </w:rPr>
            </w:pPr>
            <w:r w:rsidRPr="004761E0">
              <w:rPr>
                <w:sz w:val="20"/>
                <w:szCs w:val="20"/>
              </w:rPr>
              <w:t>разработан проект системы автоматического ограничения снижения напряжения.</w:t>
            </w:r>
          </w:p>
        </w:tc>
        <w:tc>
          <w:tcPr>
            <w:tcW w:w="2835" w:type="dxa"/>
            <w:tcBorders>
              <w:top w:val="nil"/>
            </w:tcBorders>
          </w:tcPr>
          <w:p w:rsidR="00A232BD" w:rsidRPr="004761E0" w:rsidRDefault="00A232BD" w:rsidP="001B3AA0">
            <w:pPr>
              <w:pStyle w:val="ac"/>
              <w:ind w:firstLine="0"/>
              <w:jc w:val="left"/>
              <w:rPr>
                <w:sz w:val="20"/>
                <w:szCs w:val="20"/>
              </w:rPr>
            </w:pPr>
            <w:r w:rsidRPr="004761E0">
              <w:rPr>
                <w:sz w:val="20"/>
                <w:szCs w:val="20"/>
              </w:rPr>
              <w:t>Ожидается применение результатов НИР для ПС 110 кВ и выше, на которых в послеаварийных режимах уровни напряжений снижаются ниже допустимых.</w:t>
            </w:r>
          </w:p>
        </w:tc>
      </w:tr>
      <w:tr w:rsidR="00447B14" w:rsidRPr="004761E0" w:rsidTr="00447B14">
        <w:tc>
          <w:tcPr>
            <w:tcW w:w="15876" w:type="dxa"/>
            <w:gridSpan w:val="5"/>
            <w:tcBorders>
              <w:top w:val="nil"/>
            </w:tcBorders>
            <w:shd w:val="clear" w:color="auto" w:fill="BFBFBF" w:themeFill="background1" w:themeFillShade="BF"/>
          </w:tcPr>
          <w:p w:rsidR="00447B14" w:rsidRPr="004761E0" w:rsidRDefault="00447B14" w:rsidP="001B3AA0">
            <w:pPr>
              <w:pStyle w:val="ac"/>
              <w:ind w:firstLine="0"/>
              <w:rPr>
                <w:b/>
                <w:sz w:val="22"/>
                <w:szCs w:val="22"/>
              </w:rPr>
            </w:pPr>
            <w:r w:rsidRPr="004761E0">
              <w:rPr>
                <w:b/>
                <w:sz w:val="22"/>
                <w:szCs w:val="22"/>
              </w:rPr>
              <w:lastRenderedPageBreak/>
              <w:t>Надежность, безопасность и энергоэффективность</w:t>
            </w:r>
          </w:p>
        </w:tc>
      </w:tr>
      <w:tr w:rsidR="00A232BD" w:rsidRPr="004761E0" w:rsidTr="00A232BD">
        <w:tc>
          <w:tcPr>
            <w:tcW w:w="461" w:type="dxa"/>
            <w:tcBorders>
              <w:top w:val="single" w:sz="4" w:space="0" w:color="auto"/>
            </w:tcBorders>
          </w:tcPr>
          <w:p w:rsidR="00A232BD" w:rsidRPr="004761E0" w:rsidRDefault="00A232BD" w:rsidP="007076A7">
            <w:pPr>
              <w:pStyle w:val="ac"/>
              <w:numPr>
                <w:ilvl w:val="0"/>
                <w:numId w:val="80"/>
              </w:numPr>
              <w:rPr>
                <w:sz w:val="20"/>
                <w:szCs w:val="20"/>
              </w:rPr>
            </w:pPr>
          </w:p>
        </w:tc>
        <w:tc>
          <w:tcPr>
            <w:tcW w:w="3367" w:type="dxa"/>
            <w:tcBorders>
              <w:top w:val="single" w:sz="4" w:space="0" w:color="auto"/>
            </w:tcBorders>
          </w:tcPr>
          <w:p w:rsidR="00A232BD" w:rsidRPr="004761E0" w:rsidRDefault="00A232BD" w:rsidP="001B3AA0">
            <w:pPr>
              <w:pStyle w:val="ac"/>
              <w:ind w:firstLine="0"/>
              <w:jc w:val="left"/>
              <w:rPr>
                <w:sz w:val="20"/>
                <w:szCs w:val="20"/>
              </w:rPr>
            </w:pPr>
            <w:r w:rsidRPr="004761E0">
              <w:rPr>
                <w:sz w:val="20"/>
                <w:szCs w:val="20"/>
              </w:rPr>
              <w:t xml:space="preserve">НИР «Комплексное исследование применения вставок постоянного тока (далее </w:t>
            </w:r>
            <w:r w:rsidR="00447B14" w:rsidRPr="004761E0">
              <w:rPr>
                <w:sz w:val="20"/>
                <w:szCs w:val="20"/>
              </w:rPr>
              <w:t>–</w:t>
            </w:r>
            <w:r w:rsidRPr="004761E0">
              <w:rPr>
                <w:sz w:val="20"/>
                <w:szCs w:val="20"/>
              </w:rPr>
              <w:t xml:space="preserve"> ВПТ) в сети </w:t>
            </w:r>
            <w:r w:rsidR="0008080E">
              <w:rPr>
                <w:sz w:val="20"/>
                <w:szCs w:val="20"/>
              </w:rPr>
              <w:t>ОАО </w:t>
            </w:r>
            <w:r w:rsidRPr="004761E0">
              <w:rPr>
                <w:sz w:val="20"/>
                <w:szCs w:val="20"/>
              </w:rPr>
              <w:t>«МОЭСК», определение алгоритмов их управления с учётом особенностей Московской энергосистемы»</w:t>
            </w:r>
          </w:p>
        </w:tc>
        <w:tc>
          <w:tcPr>
            <w:tcW w:w="4110" w:type="dxa"/>
            <w:tcBorders>
              <w:top w:val="single" w:sz="4" w:space="0" w:color="auto"/>
            </w:tcBorders>
          </w:tcPr>
          <w:p w:rsidR="00A232BD" w:rsidRPr="004761E0" w:rsidRDefault="001B3AA0" w:rsidP="007076A7">
            <w:pPr>
              <w:pStyle w:val="ac"/>
              <w:numPr>
                <w:ilvl w:val="0"/>
                <w:numId w:val="166"/>
              </w:numPr>
              <w:ind w:left="317" w:hanging="284"/>
              <w:jc w:val="left"/>
              <w:rPr>
                <w:sz w:val="20"/>
                <w:szCs w:val="20"/>
              </w:rPr>
            </w:pPr>
            <w:r w:rsidRPr="004761E0">
              <w:rPr>
                <w:sz w:val="20"/>
                <w:szCs w:val="20"/>
              </w:rPr>
              <w:t>о</w:t>
            </w:r>
            <w:r w:rsidR="00A232BD" w:rsidRPr="004761E0">
              <w:rPr>
                <w:sz w:val="20"/>
                <w:szCs w:val="20"/>
              </w:rPr>
              <w:t xml:space="preserve">пределение эффективности применения ВПТ в электрических сетях 110 кВ и выше </w:t>
            </w:r>
            <w:r w:rsidR="0008080E">
              <w:rPr>
                <w:sz w:val="20"/>
                <w:szCs w:val="20"/>
              </w:rPr>
              <w:t>ОАО </w:t>
            </w:r>
            <w:r w:rsidR="00A232BD" w:rsidRPr="004761E0">
              <w:rPr>
                <w:sz w:val="20"/>
                <w:szCs w:val="20"/>
              </w:rPr>
              <w:t>«МОЭСК» с целью снижения уровней то</w:t>
            </w:r>
            <w:r w:rsidR="00447B14" w:rsidRPr="004761E0">
              <w:rPr>
                <w:sz w:val="20"/>
                <w:szCs w:val="20"/>
              </w:rPr>
              <w:t>ков короткого замыкания (далее –</w:t>
            </w:r>
            <w:r w:rsidR="00A232BD" w:rsidRPr="004761E0">
              <w:rPr>
                <w:sz w:val="20"/>
                <w:szCs w:val="20"/>
              </w:rPr>
              <w:t xml:space="preserve"> ТКЗ), уменьшения затрат на реконструкцию электрической сети, повышения управляемости электрических сетей.</w:t>
            </w:r>
          </w:p>
        </w:tc>
        <w:tc>
          <w:tcPr>
            <w:tcW w:w="5103" w:type="dxa"/>
            <w:tcBorders>
              <w:top w:val="single" w:sz="4" w:space="0" w:color="auto"/>
            </w:tcBorders>
          </w:tcPr>
          <w:p w:rsidR="00A232BD" w:rsidRPr="004761E0" w:rsidRDefault="001B3AA0" w:rsidP="007076A7">
            <w:pPr>
              <w:pStyle w:val="ac"/>
              <w:numPr>
                <w:ilvl w:val="0"/>
                <w:numId w:val="166"/>
              </w:numPr>
              <w:ind w:left="317" w:hanging="284"/>
              <w:jc w:val="left"/>
              <w:rPr>
                <w:sz w:val="20"/>
                <w:szCs w:val="20"/>
              </w:rPr>
            </w:pPr>
            <w:r w:rsidRPr="004761E0">
              <w:rPr>
                <w:sz w:val="20"/>
                <w:szCs w:val="20"/>
              </w:rPr>
              <w:t>р</w:t>
            </w:r>
            <w:r w:rsidR="00A232BD" w:rsidRPr="004761E0">
              <w:rPr>
                <w:sz w:val="20"/>
                <w:szCs w:val="20"/>
              </w:rPr>
              <w:t xml:space="preserve">езультаты проведенного технико-экономического расчета показали эффективность применения ВПТ в электрических сетях </w:t>
            </w:r>
            <w:r w:rsidR="0008080E">
              <w:rPr>
                <w:sz w:val="20"/>
                <w:szCs w:val="20"/>
              </w:rPr>
              <w:t>ОАО </w:t>
            </w:r>
            <w:r w:rsidR="00A232BD" w:rsidRPr="004761E0">
              <w:rPr>
                <w:sz w:val="20"/>
                <w:szCs w:val="20"/>
              </w:rPr>
              <w:t>«МОЭСК». Применение ВПТ позволяет получить экономию затрат на реконструкцию электрической сети при замене оборудования, несоответствующего требуемым уровням ТКЗ.</w:t>
            </w:r>
          </w:p>
        </w:tc>
        <w:tc>
          <w:tcPr>
            <w:tcW w:w="2835" w:type="dxa"/>
            <w:tcBorders>
              <w:top w:val="single" w:sz="4" w:space="0" w:color="auto"/>
            </w:tcBorders>
          </w:tcPr>
          <w:p w:rsidR="00A232BD" w:rsidRPr="004761E0" w:rsidRDefault="00A232BD" w:rsidP="001B3AA0">
            <w:pPr>
              <w:pStyle w:val="ac"/>
              <w:ind w:firstLine="0"/>
              <w:jc w:val="left"/>
              <w:rPr>
                <w:sz w:val="20"/>
                <w:szCs w:val="20"/>
              </w:rPr>
            </w:pPr>
            <w:r w:rsidRPr="004761E0">
              <w:rPr>
                <w:sz w:val="20"/>
                <w:szCs w:val="20"/>
              </w:rPr>
              <w:t>Ожидается применение результатов НИР при установке ВПТ в точках деления электрической сети 110 кВ.</w:t>
            </w:r>
          </w:p>
        </w:tc>
      </w:tr>
      <w:tr w:rsidR="00A232BD" w:rsidRPr="004761E0" w:rsidTr="00A232BD">
        <w:tc>
          <w:tcPr>
            <w:tcW w:w="461" w:type="dxa"/>
            <w:tcBorders>
              <w:top w:val="single" w:sz="4" w:space="0" w:color="auto"/>
            </w:tcBorders>
          </w:tcPr>
          <w:p w:rsidR="00A232BD" w:rsidRPr="004761E0" w:rsidRDefault="00A232BD" w:rsidP="007076A7">
            <w:pPr>
              <w:pStyle w:val="ac"/>
              <w:numPr>
                <w:ilvl w:val="0"/>
                <w:numId w:val="80"/>
              </w:numPr>
              <w:rPr>
                <w:sz w:val="20"/>
                <w:szCs w:val="20"/>
              </w:rPr>
            </w:pPr>
          </w:p>
        </w:tc>
        <w:tc>
          <w:tcPr>
            <w:tcW w:w="3367" w:type="dxa"/>
            <w:tcBorders>
              <w:top w:val="single" w:sz="4" w:space="0" w:color="auto"/>
            </w:tcBorders>
          </w:tcPr>
          <w:p w:rsidR="00A232BD" w:rsidRPr="004761E0" w:rsidRDefault="00A232BD" w:rsidP="001B3AA0">
            <w:pPr>
              <w:pStyle w:val="ac"/>
              <w:ind w:firstLine="0"/>
              <w:jc w:val="left"/>
              <w:rPr>
                <w:sz w:val="20"/>
                <w:szCs w:val="20"/>
              </w:rPr>
            </w:pPr>
            <w:r w:rsidRPr="004761E0">
              <w:rPr>
                <w:sz w:val="20"/>
                <w:szCs w:val="20"/>
              </w:rPr>
              <w:t xml:space="preserve">НИР «Исследование системного подхода к регулированию напряжения в сетях </w:t>
            </w:r>
            <w:r w:rsidR="0008080E">
              <w:rPr>
                <w:sz w:val="20"/>
                <w:szCs w:val="20"/>
              </w:rPr>
              <w:t>ОАО </w:t>
            </w:r>
            <w:r w:rsidRPr="004761E0">
              <w:rPr>
                <w:sz w:val="20"/>
                <w:szCs w:val="20"/>
              </w:rPr>
              <w:t>«МОЭСК» с использованием средств компенсации реактивной мощности (далее – СКРМ)»</w:t>
            </w:r>
          </w:p>
        </w:tc>
        <w:tc>
          <w:tcPr>
            <w:tcW w:w="4110" w:type="dxa"/>
            <w:tcBorders>
              <w:top w:val="single" w:sz="4" w:space="0" w:color="auto"/>
            </w:tcBorders>
          </w:tcPr>
          <w:p w:rsidR="00A232BD" w:rsidRPr="004761E0" w:rsidRDefault="001B3AA0" w:rsidP="007076A7">
            <w:pPr>
              <w:pStyle w:val="ac"/>
              <w:numPr>
                <w:ilvl w:val="0"/>
                <w:numId w:val="166"/>
              </w:numPr>
              <w:ind w:left="317" w:hanging="284"/>
              <w:jc w:val="left"/>
              <w:rPr>
                <w:sz w:val="20"/>
                <w:szCs w:val="20"/>
              </w:rPr>
            </w:pPr>
            <w:r w:rsidRPr="004761E0">
              <w:rPr>
                <w:sz w:val="20"/>
                <w:szCs w:val="20"/>
              </w:rPr>
              <w:t>с</w:t>
            </w:r>
            <w:r w:rsidR="00A232BD" w:rsidRPr="004761E0">
              <w:rPr>
                <w:sz w:val="20"/>
                <w:szCs w:val="20"/>
              </w:rPr>
              <w:t xml:space="preserve">истематизация существующих и перспективных разработок в области регулирования напряжения с целью определения экономической целесообразности применения различных видов СКРМ в сетях </w:t>
            </w:r>
            <w:r w:rsidR="0008080E">
              <w:rPr>
                <w:sz w:val="20"/>
                <w:szCs w:val="20"/>
              </w:rPr>
              <w:t>ОАО </w:t>
            </w:r>
            <w:r w:rsidR="00A232BD" w:rsidRPr="004761E0">
              <w:rPr>
                <w:sz w:val="20"/>
                <w:szCs w:val="20"/>
              </w:rPr>
              <w:t>«МОЭСК».</w:t>
            </w:r>
          </w:p>
        </w:tc>
        <w:tc>
          <w:tcPr>
            <w:tcW w:w="5103" w:type="dxa"/>
            <w:tcBorders>
              <w:top w:val="single" w:sz="4" w:space="0" w:color="auto"/>
            </w:tcBorders>
          </w:tcPr>
          <w:p w:rsidR="00A232BD" w:rsidRPr="004761E0" w:rsidRDefault="00A232BD" w:rsidP="007076A7">
            <w:pPr>
              <w:pStyle w:val="ac"/>
              <w:numPr>
                <w:ilvl w:val="0"/>
                <w:numId w:val="166"/>
              </w:numPr>
              <w:ind w:left="317" w:hanging="284"/>
              <w:jc w:val="left"/>
              <w:rPr>
                <w:sz w:val="20"/>
                <w:szCs w:val="20"/>
              </w:rPr>
            </w:pPr>
            <w:r w:rsidRPr="004761E0">
              <w:rPr>
                <w:sz w:val="20"/>
                <w:szCs w:val="20"/>
              </w:rPr>
              <w:t xml:space="preserve">результаты проведенного технико-экономического расчета показали эффективность применения СКРМ в электрических сетях </w:t>
            </w:r>
            <w:r w:rsidR="0008080E">
              <w:rPr>
                <w:sz w:val="20"/>
                <w:szCs w:val="20"/>
              </w:rPr>
              <w:t>ОАО </w:t>
            </w:r>
            <w:r w:rsidRPr="004761E0">
              <w:rPr>
                <w:sz w:val="20"/>
                <w:szCs w:val="20"/>
              </w:rPr>
              <w:t xml:space="preserve">«МОЭСК». Применение СКРМ позволяет отсрочить реконструкцию перегруженных ЛЭП на 1-2 года; </w:t>
            </w:r>
          </w:p>
          <w:p w:rsidR="00A232BD" w:rsidRPr="004761E0" w:rsidRDefault="00A232BD" w:rsidP="007076A7">
            <w:pPr>
              <w:pStyle w:val="ac"/>
              <w:numPr>
                <w:ilvl w:val="0"/>
                <w:numId w:val="166"/>
              </w:numPr>
              <w:ind w:left="317" w:hanging="284"/>
              <w:jc w:val="left"/>
              <w:rPr>
                <w:sz w:val="20"/>
                <w:szCs w:val="20"/>
              </w:rPr>
            </w:pPr>
            <w:r w:rsidRPr="004761E0">
              <w:rPr>
                <w:sz w:val="20"/>
                <w:szCs w:val="20"/>
              </w:rPr>
              <w:t>разработано моделирующее устройство для определения мест установки СКРМ в электрических сетях общего назначения.</w:t>
            </w:r>
          </w:p>
        </w:tc>
        <w:tc>
          <w:tcPr>
            <w:tcW w:w="2835" w:type="dxa"/>
            <w:tcBorders>
              <w:top w:val="single" w:sz="4" w:space="0" w:color="auto"/>
            </w:tcBorders>
          </w:tcPr>
          <w:p w:rsidR="00A232BD" w:rsidRPr="004761E0" w:rsidRDefault="00A232BD" w:rsidP="001B3AA0">
            <w:pPr>
              <w:pStyle w:val="ac"/>
              <w:ind w:firstLine="0"/>
              <w:jc w:val="left"/>
              <w:rPr>
                <w:sz w:val="20"/>
                <w:szCs w:val="20"/>
              </w:rPr>
            </w:pPr>
            <w:r w:rsidRPr="004761E0">
              <w:rPr>
                <w:sz w:val="20"/>
                <w:szCs w:val="20"/>
              </w:rPr>
              <w:t>Ожидается применение результатов НИР для ПС 110 кВ и выше, на которых экономически выгодно выполнять компенсацию реактивной мощности.</w:t>
            </w:r>
          </w:p>
        </w:tc>
      </w:tr>
      <w:tr w:rsidR="00A232BD" w:rsidRPr="004761E0" w:rsidTr="009F385A">
        <w:tc>
          <w:tcPr>
            <w:tcW w:w="461" w:type="dxa"/>
            <w:tcBorders>
              <w:top w:val="single" w:sz="4" w:space="0" w:color="auto"/>
            </w:tcBorders>
          </w:tcPr>
          <w:p w:rsidR="00A232BD" w:rsidRPr="004761E0" w:rsidRDefault="00A232BD" w:rsidP="007076A7">
            <w:pPr>
              <w:pStyle w:val="ac"/>
              <w:numPr>
                <w:ilvl w:val="0"/>
                <w:numId w:val="80"/>
              </w:numPr>
              <w:rPr>
                <w:sz w:val="20"/>
                <w:szCs w:val="20"/>
              </w:rPr>
            </w:pPr>
          </w:p>
        </w:tc>
        <w:tc>
          <w:tcPr>
            <w:tcW w:w="3367" w:type="dxa"/>
            <w:tcBorders>
              <w:top w:val="single" w:sz="4" w:space="0" w:color="auto"/>
              <w:bottom w:val="single" w:sz="4" w:space="0" w:color="auto"/>
            </w:tcBorders>
          </w:tcPr>
          <w:p w:rsidR="00A232BD" w:rsidRPr="004761E0" w:rsidRDefault="00A232BD" w:rsidP="001B3AA0">
            <w:pPr>
              <w:pStyle w:val="ac"/>
              <w:ind w:firstLine="0"/>
              <w:jc w:val="left"/>
              <w:rPr>
                <w:sz w:val="20"/>
                <w:szCs w:val="20"/>
              </w:rPr>
            </w:pPr>
            <w:r w:rsidRPr="004761E0">
              <w:rPr>
                <w:sz w:val="20"/>
                <w:szCs w:val="20"/>
              </w:rPr>
              <w:t xml:space="preserve">НИР «Оценка электродинамического и термического воздействия токов короткого замыкания на ВЛ при росте уровня рабочих токов и токов короткого замыкания для нужд </w:t>
            </w:r>
            <w:r w:rsidR="0008080E">
              <w:rPr>
                <w:sz w:val="20"/>
                <w:szCs w:val="20"/>
              </w:rPr>
              <w:t>ОАО </w:t>
            </w:r>
            <w:r w:rsidRPr="004761E0">
              <w:rPr>
                <w:sz w:val="20"/>
                <w:szCs w:val="20"/>
              </w:rPr>
              <w:t>«МОЭСК»</w:t>
            </w:r>
          </w:p>
        </w:tc>
        <w:tc>
          <w:tcPr>
            <w:tcW w:w="4110" w:type="dxa"/>
            <w:tcBorders>
              <w:top w:val="single" w:sz="4" w:space="0" w:color="auto"/>
              <w:bottom w:val="single" w:sz="4" w:space="0" w:color="auto"/>
            </w:tcBorders>
          </w:tcPr>
          <w:p w:rsidR="00A232BD" w:rsidRPr="004761E0" w:rsidRDefault="001B3AA0" w:rsidP="007076A7">
            <w:pPr>
              <w:pStyle w:val="ac"/>
              <w:numPr>
                <w:ilvl w:val="0"/>
                <w:numId w:val="166"/>
              </w:numPr>
              <w:ind w:left="317" w:hanging="284"/>
              <w:jc w:val="left"/>
              <w:rPr>
                <w:sz w:val="20"/>
                <w:szCs w:val="20"/>
              </w:rPr>
            </w:pPr>
            <w:r w:rsidRPr="004761E0">
              <w:rPr>
                <w:sz w:val="20"/>
                <w:szCs w:val="20"/>
              </w:rPr>
              <w:t>о</w:t>
            </w:r>
            <w:r w:rsidR="00A232BD" w:rsidRPr="004761E0">
              <w:rPr>
                <w:sz w:val="20"/>
                <w:szCs w:val="20"/>
              </w:rPr>
              <w:t xml:space="preserve">пределение  работоспособности ВЛ </w:t>
            </w:r>
            <w:r w:rsidR="0008080E">
              <w:rPr>
                <w:sz w:val="20"/>
                <w:szCs w:val="20"/>
              </w:rPr>
              <w:t>ОАО </w:t>
            </w:r>
            <w:r w:rsidR="00A232BD" w:rsidRPr="004761E0">
              <w:rPr>
                <w:sz w:val="20"/>
                <w:szCs w:val="20"/>
              </w:rPr>
              <w:t>«МОЭСК» по условиям электродинамической и термической стойкости при ожидаемом росте уровня ТКЗ и рабочих нагрузок для повышения надежности эксплуатации ВЛ</w:t>
            </w:r>
          </w:p>
        </w:tc>
        <w:tc>
          <w:tcPr>
            <w:tcW w:w="5103" w:type="dxa"/>
            <w:tcBorders>
              <w:top w:val="single" w:sz="4" w:space="0" w:color="auto"/>
              <w:bottom w:val="single" w:sz="4" w:space="0" w:color="auto"/>
            </w:tcBorders>
          </w:tcPr>
          <w:p w:rsidR="00A232BD" w:rsidRPr="004761E0" w:rsidRDefault="001B3AA0" w:rsidP="007076A7">
            <w:pPr>
              <w:pStyle w:val="ac"/>
              <w:numPr>
                <w:ilvl w:val="0"/>
                <w:numId w:val="166"/>
              </w:numPr>
              <w:ind w:left="317" w:hanging="284"/>
              <w:jc w:val="left"/>
              <w:rPr>
                <w:sz w:val="20"/>
                <w:szCs w:val="20"/>
              </w:rPr>
            </w:pPr>
            <w:r w:rsidRPr="004761E0">
              <w:rPr>
                <w:sz w:val="20"/>
                <w:szCs w:val="20"/>
              </w:rPr>
              <w:t>п</w:t>
            </w:r>
            <w:r w:rsidR="00A232BD" w:rsidRPr="004761E0">
              <w:rPr>
                <w:sz w:val="20"/>
                <w:szCs w:val="20"/>
              </w:rPr>
              <w:t xml:space="preserve">о результатам проведенного расчета электродинамической и термической стойкости ВЛ </w:t>
            </w:r>
            <w:r w:rsidR="0008080E">
              <w:rPr>
                <w:sz w:val="20"/>
                <w:szCs w:val="20"/>
              </w:rPr>
              <w:t>ОАО </w:t>
            </w:r>
            <w:r w:rsidR="00A232BD" w:rsidRPr="004761E0">
              <w:rPr>
                <w:sz w:val="20"/>
                <w:szCs w:val="20"/>
              </w:rPr>
              <w:t>«МОЭСК» подготовлен перечень организационных и технических мероприятий по поддержанию необходимого уровня надежности (стойкости) ВЛ при ожидаемом росте уровня ТКЗ.</w:t>
            </w:r>
          </w:p>
        </w:tc>
        <w:tc>
          <w:tcPr>
            <w:tcW w:w="2835" w:type="dxa"/>
            <w:tcBorders>
              <w:top w:val="single" w:sz="4" w:space="0" w:color="auto"/>
              <w:bottom w:val="single" w:sz="4" w:space="0" w:color="auto"/>
            </w:tcBorders>
          </w:tcPr>
          <w:p w:rsidR="00A232BD" w:rsidRPr="004761E0" w:rsidRDefault="00A232BD" w:rsidP="001B3AA0">
            <w:pPr>
              <w:pStyle w:val="ac"/>
              <w:ind w:firstLine="0"/>
              <w:jc w:val="left"/>
              <w:rPr>
                <w:sz w:val="20"/>
                <w:szCs w:val="20"/>
              </w:rPr>
            </w:pPr>
            <w:r w:rsidRPr="004761E0">
              <w:rPr>
                <w:sz w:val="20"/>
                <w:szCs w:val="20"/>
              </w:rPr>
              <w:t xml:space="preserve">Ожидается применение результатов НИР для ВЛ </w:t>
            </w:r>
            <w:r w:rsidR="0008080E">
              <w:rPr>
                <w:sz w:val="20"/>
                <w:szCs w:val="20"/>
              </w:rPr>
              <w:t>ОАО </w:t>
            </w:r>
            <w:r w:rsidRPr="004761E0">
              <w:rPr>
                <w:sz w:val="20"/>
                <w:szCs w:val="20"/>
              </w:rPr>
              <w:t>«МОЭСК», на которых ожидается рост уровня ТКЗ.</w:t>
            </w:r>
          </w:p>
        </w:tc>
      </w:tr>
      <w:tr w:rsidR="00A232BD" w:rsidRPr="004761E0" w:rsidTr="009F385A">
        <w:tc>
          <w:tcPr>
            <w:tcW w:w="461" w:type="dxa"/>
            <w:tcBorders>
              <w:top w:val="nil"/>
            </w:tcBorders>
          </w:tcPr>
          <w:p w:rsidR="00A232BD" w:rsidRPr="004761E0" w:rsidRDefault="00A232BD" w:rsidP="007076A7">
            <w:pPr>
              <w:pStyle w:val="ac"/>
              <w:numPr>
                <w:ilvl w:val="0"/>
                <w:numId w:val="80"/>
              </w:numPr>
              <w:rPr>
                <w:sz w:val="20"/>
                <w:szCs w:val="20"/>
              </w:rPr>
            </w:pPr>
          </w:p>
        </w:tc>
        <w:tc>
          <w:tcPr>
            <w:tcW w:w="3367" w:type="dxa"/>
            <w:tcBorders>
              <w:top w:val="single" w:sz="4" w:space="0" w:color="auto"/>
              <w:bottom w:val="single" w:sz="4" w:space="0" w:color="auto"/>
            </w:tcBorders>
          </w:tcPr>
          <w:p w:rsidR="00A232BD" w:rsidRPr="004761E0" w:rsidRDefault="00A232BD" w:rsidP="001B3AA0">
            <w:pPr>
              <w:pStyle w:val="ac"/>
              <w:ind w:firstLine="0"/>
              <w:jc w:val="left"/>
              <w:rPr>
                <w:sz w:val="20"/>
                <w:szCs w:val="20"/>
              </w:rPr>
            </w:pPr>
            <w:r w:rsidRPr="004761E0">
              <w:rPr>
                <w:sz w:val="20"/>
                <w:szCs w:val="20"/>
              </w:rPr>
              <w:t>НИР «Исследование уровней коммутационных перенапряжений в реактированных сетях увеличенного реактивного сопротивления с определением подходов построения реактированной сети с учетом особенностей Московской энергосистемы»</w:t>
            </w:r>
          </w:p>
        </w:tc>
        <w:tc>
          <w:tcPr>
            <w:tcW w:w="4110" w:type="dxa"/>
            <w:tcBorders>
              <w:top w:val="single" w:sz="4" w:space="0" w:color="auto"/>
              <w:bottom w:val="single" w:sz="4" w:space="0" w:color="auto"/>
            </w:tcBorders>
          </w:tcPr>
          <w:p w:rsidR="00A232BD" w:rsidRPr="004761E0" w:rsidRDefault="001B3AA0" w:rsidP="007076A7">
            <w:pPr>
              <w:pStyle w:val="ac"/>
              <w:numPr>
                <w:ilvl w:val="0"/>
                <w:numId w:val="166"/>
              </w:numPr>
              <w:ind w:left="317" w:hanging="284"/>
              <w:jc w:val="left"/>
              <w:rPr>
                <w:sz w:val="20"/>
                <w:szCs w:val="20"/>
              </w:rPr>
            </w:pPr>
            <w:r w:rsidRPr="004761E0">
              <w:rPr>
                <w:sz w:val="20"/>
                <w:szCs w:val="20"/>
              </w:rPr>
              <w:t>р</w:t>
            </w:r>
            <w:r w:rsidR="00A232BD" w:rsidRPr="004761E0">
              <w:rPr>
                <w:sz w:val="20"/>
                <w:szCs w:val="20"/>
              </w:rPr>
              <w:t xml:space="preserve">азработка алгоритмов по установке токоограничивающих реакторов (далее – ТОР) с учетом допустимых повышений коммутационных перенапряжений с целью уменьшения затрат на реконструкцию электрической сети </w:t>
            </w:r>
            <w:r w:rsidR="0008080E">
              <w:rPr>
                <w:sz w:val="20"/>
                <w:szCs w:val="20"/>
              </w:rPr>
              <w:t>ОАО </w:t>
            </w:r>
            <w:r w:rsidR="00A232BD" w:rsidRPr="004761E0">
              <w:rPr>
                <w:sz w:val="20"/>
                <w:szCs w:val="20"/>
              </w:rPr>
              <w:t>«МОЭСК» 110 кВ и выше, обеспечивающую ТКЗ.</w:t>
            </w:r>
          </w:p>
        </w:tc>
        <w:tc>
          <w:tcPr>
            <w:tcW w:w="5103" w:type="dxa"/>
            <w:tcBorders>
              <w:top w:val="single" w:sz="4" w:space="0" w:color="auto"/>
              <w:bottom w:val="single" w:sz="4" w:space="0" w:color="auto"/>
            </w:tcBorders>
          </w:tcPr>
          <w:p w:rsidR="00A232BD" w:rsidRPr="004761E0" w:rsidRDefault="00A232BD" w:rsidP="007076A7">
            <w:pPr>
              <w:pStyle w:val="ac"/>
              <w:numPr>
                <w:ilvl w:val="0"/>
                <w:numId w:val="166"/>
              </w:numPr>
              <w:ind w:left="317" w:hanging="284"/>
              <w:jc w:val="left"/>
              <w:rPr>
                <w:sz w:val="20"/>
                <w:szCs w:val="20"/>
              </w:rPr>
            </w:pPr>
            <w:r w:rsidRPr="004761E0">
              <w:rPr>
                <w:sz w:val="20"/>
                <w:szCs w:val="20"/>
              </w:rPr>
              <w:t xml:space="preserve">разработаны методические указания по построению электрической сети </w:t>
            </w:r>
            <w:r w:rsidR="0008080E">
              <w:rPr>
                <w:sz w:val="20"/>
                <w:szCs w:val="20"/>
              </w:rPr>
              <w:t>ОАО </w:t>
            </w:r>
            <w:r w:rsidRPr="004761E0">
              <w:rPr>
                <w:sz w:val="20"/>
                <w:szCs w:val="20"/>
              </w:rPr>
              <w:t>«МОЭСК» при внедрении ТОР с учетом допустимых уровней перенапряжений;</w:t>
            </w:r>
          </w:p>
          <w:p w:rsidR="00A232BD" w:rsidRPr="004761E0" w:rsidRDefault="00A232BD" w:rsidP="007076A7">
            <w:pPr>
              <w:pStyle w:val="ac"/>
              <w:numPr>
                <w:ilvl w:val="0"/>
                <w:numId w:val="166"/>
              </w:numPr>
              <w:ind w:left="317" w:hanging="284"/>
              <w:jc w:val="left"/>
              <w:rPr>
                <w:sz w:val="20"/>
                <w:szCs w:val="20"/>
              </w:rPr>
            </w:pPr>
            <w:r w:rsidRPr="004761E0">
              <w:rPr>
                <w:sz w:val="20"/>
                <w:szCs w:val="20"/>
              </w:rPr>
              <w:t>разработано устройство для ограничения переходных восстанавливающихся напряжений в цепях с токоограничивающими реакторами.</w:t>
            </w:r>
          </w:p>
        </w:tc>
        <w:tc>
          <w:tcPr>
            <w:tcW w:w="2835" w:type="dxa"/>
            <w:tcBorders>
              <w:top w:val="single" w:sz="4" w:space="0" w:color="auto"/>
              <w:bottom w:val="single" w:sz="4" w:space="0" w:color="auto"/>
            </w:tcBorders>
          </w:tcPr>
          <w:p w:rsidR="00A232BD" w:rsidRPr="004761E0" w:rsidRDefault="00A232BD" w:rsidP="001B3AA0">
            <w:pPr>
              <w:pStyle w:val="ac"/>
              <w:ind w:firstLine="0"/>
              <w:jc w:val="left"/>
              <w:rPr>
                <w:sz w:val="20"/>
                <w:szCs w:val="20"/>
              </w:rPr>
            </w:pPr>
            <w:r w:rsidRPr="004761E0">
              <w:rPr>
                <w:sz w:val="20"/>
                <w:szCs w:val="20"/>
              </w:rPr>
              <w:t>Ожидается применение результатов НИР для ПС 110 кВ и выше, на которых уровни токов короткого замыкания превышают допустимые и устанавливаются ТОР.</w:t>
            </w:r>
          </w:p>
        </w:tc>
      </w:tr>
    </w:tbl>
    <w:p w:rsidR="00A232BD" w:rsidRPr="004761E0" w:rsidRDefault="00A232BD" w:rsidP="009F385A">
      <w:pPr>
        <w:pStyle w:val="ac"/>
        <w:sectPr w:rsidR="00A232BD" w:rsidRPr="004761E0" w:rsidSect="00A232BD">
          <w:pgSz w:w="16840" w:h="11907" w:orient="landscape" w:code="9"/>
          <w:pgMar w:top="1134" w:right="1418" w:bottom="851" w:left="720" w:header="720" w:footer="720" w:gutter="0"/>
          <w:cols w:space="720"/>
          <w:docGrid w:linePitch="326"/>
        </w:sectPr>
      </w:pPr>
    </w:p>
    <w:p w:rsidR="00A232BD" w:rsidRPr="004761E0" w:rsidRDefault="00447B14" w:rsidP="009F385A">
      <w:pPr>
        <w:pStyle w:val="ac"/>
        <w:ind w:firstLine="567"/>
        <w:rPr>
          <w:sz w:val="26"/>
          <w:szCs w:val="26"/>
        </w:rPr>
      </w:pPr>
      <w:r w:rsidRPr="004761E0">
        <w:rPr>
          <w:sz w:val="26"/>
          <w:szCs w:val="26"/>
        </w:rPr>
        <w:lastRenderedPageBreak/>
        <w:t>Кроме того,</w:t>
      </w:r>
      <w:r w:rsidR="00A232BD" w:rsidRPr="004761E0">
        <w:rPr>
          <w:sz w:val="26"/>
          <w:szCs w:val="26"/>
        </w:rPr>
        <w:t xml:space="preserve"> в 2013 году </w:t>
      </w:r>
      <w:r w:rsidR="006C365D" w:rsidRPr="004761E0">
        <w:rPr>
          <w:sz w:val="26"/>
          <w:szCs w:val="26"/>
        </w:rPr>
        <w:t xml:space="preserve">Общество </w:t>
      </w:r>
      <w:r w:rsidR="00B85192" w:rsidRPr="004761E0">
        <w:rPr>
          <w:sz w:val="26"/>
          <w:szCs w:val="26"/>
        </w:rPr>
        <w:t>приступило</w:t>
      </w:r>
      <w:r w:rsidR="00A232BD" w:rsidRPr="004761E0">
        <w:rPr>
          <w:sz w:val="26"/>
          <w:szCs w:val="26"/>
        </w:rPr>
        <w:t xml:space="preserve"> </w:t>
      </w:r>
      <w:r w:rsidR="00B85192" w:rsidRPr="004761E0">
        <w:rPr>
          <w:sz w:val="26"/>
          <w:szCs w:val="26"/>
        </w:rPr>
        <w:t xml:space="preserve">к </w:t>
      </w:r>
      <w:r w:rsidR="00A232BD" w:rsidRPr="004761E0">
        <w:rPr>
          <w:sz w:val="26"/>
          <w:szCs w:val="26"/>
        </w:rPr>
        <w:t>выполнени</w:t>
      </w:r>
      <w:r w:rsidR="00B85192" w:rsidRPr="004761E0">
        <w:rPr>
          <w:sz w:val="26"/>
          <w:szCs w:val="26"/>
        </w:rPr>
        <w:t>ю</w:t>
      </w:r>
      <w:r w:rsidR="00A232BD" w:rsidRPr="004761E0">
        <w:rPr>
          <w:sz w:val="26"/>
          <w:szCs w:val="26"/>
        </w:rPr>
        <w:t xml:space="preserve"> опытно-конструкторской работы «Разработка инфраструктуры для общественного электротранспорта (электробусов) в г. Москв</w:t>
      </w:r>
      <w:r w:rsidR="00C53B7E">
        <w:rPr>
          <w:sz w:val="26"/>
          <w:szCs w:val="26"/>
        </w:rPr>
        <w:t>е</w:t>
      </w:r>
      <w:r w:rsidR="00A232BD" w:rsidRPr="004761E0">
        <w:rPr>
          <w:sz w:val="26"/>
          <w:szCs w:val="26"/>
        </w:rPr>
        <w:t>» в 2013 году (завершение запланировано в 2014 году). В рамках работы определено техническое решение исполнения зарядной станции для электробусов и разработан проект зарядной станции, включающий электрическую и монтажную схему.</w:t>
      </w:r>
    </w:p>
    <w:p w:rsidR="00453705" w:rsidRPr="004761E0" w:rsidRDefault="00B0496B" w:rsidP="00743B24">
      <w:pPr>
        <w:spacing w:before="120" w:after="120"/>
        <w:ind w:firstLine="567"/>
        <w:rPr>
          <w:b/>
          <w:sz w:val="26"/>
          <w:szCs w:val="26"/>
        </w:rPr>
      </w:pPr>
      <w:r w:rsidRPr="004761E0">
        <w:rPr>
          <w:b/>
          <w:sz w:val="26"/>
          <w:szCs w:val="26"/>
        </w:rPr>
        <w:t>Ключевые НИОКР, запланированные на 2014-2015 гг.</w:t>
      </w:r>
    </w:p>
    <w:tbl>
      <w:tblPr>
        <w:tblW w:w="0" w:type="auto"/>
        <w:tblInd w:w="108" w:type="dxa"/>
        <w:tblLook w:val="04A0"/>
      </w:tblPr>
      <w:tblGrid>
        <w:gridCol w:w="549"/>
        <w:gridCol w:w="4287"/>
        <w:gridCol w:w="4520"/>
      </w:tblGrid>
      <w:tr w:rsidR="00A232BD" w:rsidRPr="004761E0" w:rsidTr="009F385A">
        <w:tc>
          <w:tcPr>
            <w:tcW w:w="549" w:type="dxa"/>
            <w:shd w:val="clear" w:color="auto" w:fill="0F243E" w:themeFill="text2" w:themeFillShade="80"/>
            <w:vAlign w:val="center"/>
          </w:tcPr>
          <w:p w:rsidR="00A232BD" w:rsidRPr="004761E0" w:rsidRDefault="00A232BD" w:rsidP="009F385A">
            <w:pPr>
              <w:pStyle w:val="ac"/>
              <w:ind w:firstLine="0"/>
              <w:rPr>
                <w:b/>
                <w:color w:val="FFFFFF" w:themeColor="background1"/>
                <w:sz w:val="22"/>
              </w:rPr>
            </w:pPr>
            <w:r w:rsidRPr="004761E0">
              <w:rPr>
                <w:b/>
                <w:color w:val="FFFFFF" w:themeColor="background1"/>
                <w:sz w:val="22"/>
              </w:rPr>
              <w:t>№ п/п</w:t>
            </w:r>
          </w:p>
        </w:tc>
        <w:tc>
          <w:tcPr>
            <w:tcW w:w="4287" w:type="dxa"/>
            <w:shd w:val="clear" w:color="auto" w:fill="0F243E" w:themeFill="text2" w:themeFillShade="80"/>
            <w:vAlign w:val="center"/>
          </w:tcPr>
          <w:p w:rsidR="00A232BD" w:rsidRPr="004761E0" w:rsidRDefault="00A232BD" w:rsidP="009F385A">
            <w:pPr>
              <w:pStyle w:val="ac"/>
              <w:ind w:firstLine="0"/>
              <w:rPr>
                <w:b/>
                <w:color w:val="FFFFFF" w:themeColor="background1"/>
                <w:sz w:val="22"/>
              </w:rPr>
            </w:pPr>
            <w:r w:rsidRPr="004761E0">
              <w:rPr>
                <w:b/>
                <w:color w:val="FFFFFF" w:themeColor="background1"/>
                <w:sz w:val="22"/>
              </w:rPr>
              <w:t>Наименование НИОКР</w:t>
            </w:r>
          </w:p>
        </w:tc>
        <w:tc>
          <w:tcPr>
            <w:tcW w:w="4520" w:type="dxa"/>
            <w:shd w:val="clear" w:color="auto" w:fill="0F243E" w:themeFill="text2" w:themeFillShade="80"/>
            <w:vAlign w:val="center"/>
          </w:tcPr>
          <w:p w:rsidR="00A232BD" w:rsidRPr="004761E0" w:rsidRDefault="00A232BD" w:rsidP="009F385A">
            <w:pPr>
              <w:pStyle w:val="ac"/>
              <w:ind w:firstLine="0"/>
              <w:rPr>
                <w:b/>
                <w:color w:val="FFFFFF" w:themeColor="background1"/>
                <w:sz w:val="22"/>
              </w:rPr>
            </w:pPr>
            <w:r w:rsidRPr="004761E0">
              <w:rPr>
                <w:b/>
                <w:color w:val="FFFFFF" w:themeColor="background1"/>
                <w:sz w:val="22"/>
              </w:rPr>
              <w:t>Цель работы</w:t>
            </w:r>
          </w:p>
        </w:tc>
      </w:tr>
      <w:tr w:rsidR="00A232BD" w:rsidRPr="004761E0" w:rsidTr="009F385A">
        <w:tc>
          <w:tcPr>
            <w:tcW w:w="549" w:type="dxa"/>
            <w:tcBorders>
              <w:bottom w:val="single" w:sz="4" w:space="0" w:color="auto"/>
            </w:tcBorders>
          </w:tcPr>
          <w:p w:rsidR="00A232BD" w:rsidRPr="004761E0" w:rsidRDefault="00A232BD" w:rsidP="007076A7">
            <w:pPr>
              <w:pStyle w:val="ac"/>
              <w:numPr>
                <w:ilvl w:val="0"/>
                <w:numId w:val="81"/>
              </w:numPr>
              <w:rPr>
                <w:sz w:val="22"/>
              </w:rPr>
            </w:pPr>
          </w:p>
        </w:tc>
        <w:tc>
          <w:tcPr>
            <w:tcW w:w="4287" w:type="dxa"/>
            <w:tcBorders>
              <w:bottom w:val="single" w:sz="4" w:space="0" w:color="auto"/>
            </w:tcBorders>
          </w:tcPr>
          <w:p w:rsidR="00A232BD" w:rsidRPr="004761E0" w:rsidRDefault="00A232BD" w:rsidP="009F385A">
            <w:pPr>
              <w:pStyle w:val="ac"/>
              <w:ind w:firstLine="0"/>
              <w:jc w:val="left"/>
              <w:rPr>
                <w:sz w:val="22"/>
              </w:rPr>
            </w:pPr>
            <w:r w:rsidRPr="004761E0">
              <w:rPr>
                <w:sz w:val="22"/>
              </w:rPr>
              <w:t xml:space="preserve">Разработка и внедрение технологий интеллектуальных распределительных электрических сетей для нужд </w:t>
            </w:r>
            <w:r w:rsidR="0008080E">
              <w:rPr>
                <w:sz w:val="22"/>
              </w:rPr>
              <w:t>ОАО </w:t>
            </w:r>
            <w:r w:rsidRPr="004761E0">
              <w:rPr>
                <w:sz w:val="22"/>
              </w:rPr>
              <w:t>«МОЭСК»</w:t>
            </w:r>
          </w:p>
        </w:tc>
        <w:tc>
          <w:tcPr>
            <w:tcW w:w="4520" w:type="dxa"/>
            <w:tcBorders>
              <w:bottom w:val="single" w:sz="4" w:space="0" w:color="auto"/>
            </w:tcBorders>
          </w:tcPr>
          <w:p w:rsidR="00A232BD" w:rsidRPr="004761E0" w:rsidRDefault="00A232BD" w:rsidP="009F385A">
            <w:pPr>
              <w:pStyle w:val="ac"/>
              <w:ind w:firstLine="0"/>
              <w:jc w:val="left"/>
              <w:rPr>
                <w:sz w:val="22"/>
              </w:rPr>
            </w:pPr>
            <w:r w:rsidRPr="004761E0">
              <w:rPr>
                <w:sz w:val="22"/>
              </w:rPr>
              <w:t>Внедрение разрабатываемых универсальных типовых решений в области интеллектуальных сетей, направленных на повышение управляемости электрических сетей и снижение потерь электрической энергии</w:t>
            </w:r>
          </w:p>
        </w:tc>
      </w:tr>
      <w:tr w:rsidR="00A232BD" w:rsidRPr="004761E0" w:rsidTr="009F385A">
        <w:tc>
          <w:tcPr>
            <w:tcW w:w="549" w:type="dxa"/>
            <w:tcBorders>
              <w:top w:val="single" w:sz="4" w:space="0" w:color="auto"/>
              <w:bottom w:val="single" w:sz="4" w:space="0" w:color="auto"/>
            </w:tcBorders>
          </w:tcPr>
          <w:p w:rsidR="00A232BD" w:rsidRPr="004761E0" w:rsidRDefault="00A232BD" w:rsidP="007076A7">
            <w:pPr>
              <w:pStyle w:val="ac"/>
              <w:numPr>
                <w:ilvl w:val="0"/>
                <w:numId w:val="81"/>
              </w:numPr>
              <w:rPr>
                <w:sz w:val="22"/>
              </w:rPr>
            </w:pPr>
          </w:p>
        </w:tc>
        <w:tc>
          <w:tcPr>
            <w:tcW w:w="4287" w:type="dxa"/>
            <w:tcBorders>
              <w:top w:val="single" w:sz="4" w:space="0" w:color="auto"/>
              <w:bottom w:val="single" w:sz="4" w:space="0" w:color="auto"/>
            </w:tcBorders>
          </w:tcPr>
          <w:p w:rsidR="00A232BD" w:rsidRPr="004761E0" w:rsidRDefault="00A232BD" w:rsidP="009F385A">
            <w:pPr>
              <w:pStyle w:val="ac"/>
              <w:ind w:firstLine="0"/>
              <w:jc w:val="left"/>
              <w:rPr>
                <w:sz w:val="22"/>
              </w:rPr>
            </w:pPr>
            <w:r w:rsidRPr="004761E0">
              <w:rPr>
                <w:sz w:val="22"/>
              </w:rPr>
              <w:t>Система мониторинга и прогнозирования повреждений электрической сети с оценкой необходимой мобилизации ресурсов при воздействии опасных природных явлений</w:t>
            </w:r>
          </w:p>
        </w:tc>
        <w:tc>
          <w:tcPr>
            <w:tcW w:w="4520" w:type="dxa"/>
            <w:tcBorders>
              <w:top w:val="single" w:sz="4" w:space="0" w:color="auto"/>
              <w:bottom w:val="single" w:sz="4" w:space="0" w:color="auto"/>
            </w:tcBorders>
          </w:tcPr>
          <w:p w:rsidR="00A232BD" w:rsidRPr="004761E0" w:rsidRDefault="00A232BD" w:rsidP="009F385A">
            <w:pPr>
              <w:pStyle w:val="ac"/>
              <w:ind w:firstLine="0"/>
              <w:jc w:val="left"/>
              <w:rPr>
                <w:sz w:val="22"/>
              </w:rPr>
            </w:pPr>
            <w:r w:rsidRPr="004761E0">
              <w:rPr>
                <w:sz w:val="22"/>
              </w:rPr>
              <w:t>Внедрение системы мониторинга возникновения опасных природных явлений для снижения последствий их воздействия на электрические сети</w:t>
            </w:r>
          </w:p>
        </w:tc>
      </w:tr>
      <w:tr w:rsidR="00A232BD" w:rsidRPr="004761E0" w:rsidTr="009F385A">
        <w:tc>
          <w:tcPr>
            <w:tcW w:w="549" w:type="dxa"/>
            <w:tcBorders>
              <w:top w:val="single" w:sz="4" w:space="0" w:color="auto"/>
              <w:bottom w:val="single" w:sz="4" w:space="0" w:color="auto"/>
            </w:tcBorders>
          </w:tcPr>
          <w:p w:rsidR="00A232BD" w:rsidRPr="004761E0" w:rsidRDefault="00A232BD" w:rsidP="007076A7">
            <w:pPr>
              <w:pStyle w:val="ac"/>
              <w:numPr>
                <w:ilvl w:val="0"/>
                <w:numId w:val="81"/>
              </w:numPr>
              <w:rPr>
                <w:sz w:val="22"/>
              </w:rPr>
            </w:pPr>
          </w:p>
        </w:tc>
        <w:tc>
          <w:tcPr>
            <w:tcW w:w="4287" w:type="dxa"/>
            <w:tcBorders>
              <w:top w:val="single" w:sz="4" w:space="0" w:color="auto"/>
              <w:bottom w:val="single" w:sz="4" w:space="0" w:color="auto"/>
            </w:tcBorders>
          </w:tcPr>
          <w:p w:rsidR="00A232BD" w:rsidRPr="004761E0" w:rsidRDefault="00A232BD" w:rsidP="009F385A">
            <w:pPr>
              <w:pStyle w:val="ac"/>
              <w:ind w:firstLine="0"/>
              <w:jc w:val="left"/>
              <w:rPr>
                <w:sz w:val="22"/>
              </w:rPr>
            </w:pPr>
            <w:r w:rsidRPr="004761E0">
              <w:rPr>
                <w:sz w:val="22"/>
              </w:rPr>
              <w:t>Разработка типовой цифровой подстанции 10, 20, 35 кВ</w:t>
            </w:r>
          </w:p>
        </w:tc>
        <w:tc>
          <w:tcPr>
            <w:tcW w:w="4520" w:type="dxa"/>
            <w:tcBorders>
              <w:top w:val="single" w:sz="4" w:space="0" w:color="auto"/>
              <w:bottom w:val="single" w:sz="4" w:space="0" w:color="auto"/>
            </w:tcBorders>
          </w:tcPr>
          <w:p w:rsidR="00A232BD" w:rsidRPr="004761E0" w:rsidRDefault="00A232BD" w:rsidP="009F385A">
            <w:pPr>
              <w:pStyle w:val="ac"/>
              <w:ind w:firstLine="0"/>
              <w:jc w:val="left"/>
              <w:rPr>
                <w:sz w:val="22"/>
              </w:rPr>
            </w:pPr>
            <w:r w:rsidRPr="004761E0">
              <w:rPr>
                <w:sz w:val="22"/>
              </w:rPr>
              <w:t>Сокращение сроков и затрат при проведении реконструкции электросетевых объектов на основе разрабатываемого типового проекта цифровой подстанции</w:t>
            </w:r>
          </w:p>
        </w:tc>
      </w:tr>
      <w:tr w:rsidR="00A232BD" w:rsidRPr="004761E0" w:rsidTr="009F385A">
        <w:tc>
          <w:tcPr>
            <w:tcW w:w="549" w:type="dxa"/>
            <w:tcBorders>
              <w:top w:val="single" w:sz="4" w:space="0" w:color="auto"/>
              <w:bottom w:val="single" w:sz="4" w:space="0" w:color="auto"/>
            </w:tcBorders>
          </w:tcPr>
          <w:p w:rsidR="00A232BD" w:rsidRPr="004761E0" w:rsidRDefault="00A232BD" w:rsidP="007076A7">
            <w:pPr>
              <w:pStyle w:val="ac"/>
              <w:numPr>
                <w:ilvl w:val="0"/>
                <w:numId w:val="81"/>
              </w:numPr>
              <w:rPr>
                <w:sz w:val="22"/>
              </w:rPr>
            </w:pPr>
          </w:p>
        </w:tc>
        <w:tc>
          <w:tcPr>
            <w:tcW w:w="4287" w:type="dxa"/>
            <w:tcBorders>
              <w:top w:val="single" w:sz="4" w:space="0" w:color="auto"/>
              <w:bottom w:val="single" w:sz="4" w:space="0" w:color="auto"/>
            </w:tcBorders>
          </w:tcPr>
          <w:p w:rsidR="00A232BD" w:rsidRPr="004761E0" w:rsidRDefault="00A232BD" w:rsidP="009F385A">
            <w:pPr>
              <w:pStyle w:val="ac"/>
              <w:ind w:firstLine="0"/>
              <w:jc w:val="left"/>
              <w:rPr>
                <w:sz w:val="22"/>
              </w:rPr>
            </w:pPr>
            <w:r w:rsidRPr="004761E0">
              <w:rPr>
                <w:sz w:val="22"/>
              </w:rPr>
              <w:t xml:space="preserve">Разработка схем развития электрических сетей напряжением 6-20 кВ районов электрических сетей </w:t>
            </w:r>
            <w:r w:rsidR="0008080E">
              <w:rPr>
                <w:sz w:val="22"/>
              </w:rPr>
              <w:t>ОАО </w:t>
            </w:r>
            <w:r w:rsidRPr="004761E0">
              <w:rPr>
                <w:sz w:val="22"/>
              </w:rPr>
              <w:t>«МОЭСК» в Московской области</w:t>
            </w:r>
          </w:p>
        </w:tc>
        <w:tc>
          <w:tcPr>
            <w:tcW w:w="4520" w:type="dxa"/>
            <w:tcBorders>
              <w:top w:val="single" w:sz="4" w:space="0" w:color="auto"/>
              <w:bottom w:val="single" w:sz="4" w:space="0" w:color="auto"/>
            </w:tcBorders>
          </w:tcPr>
          <w:p w:rsidR="00A232BD" w:rsidRPr="004761E0" w:rsidRDefault="00A232BD" w:rsidP="009F385A">
            <w:pPr>
              <w:pStyle w:val="ac"/>
              <w:ind w:firstLine="0"/>
              <w:jc w:val="left"/>
              <w:rPr>
                <w:sz w:val="22"/>
              </w:rPr>
            </w:pPr>
            <w:r w:rsidRPr="004761E0">
              <w:rPr>
                <w:sz w:val="22"/>
              </w:rPr>
              <w:t>Оптимизация топологии электрических сетей 6-20 кВ, направленная на повышение качества и надежности электроснабжения потребителей Московской области</w:t>
            </w:r>
          </w:p>
        </w:tc>
      </w:tr>
    </w:tbl>
    <w:p w:rsidR="00A232BD" w:rsidRPr="004761E0" w:rsidRDefault="00A232BD" w:rsidP="00743B24">
      <w:pPr>
        <w:spacing w:before="120" w:after="120"/>
        <w:ind w:firstLine="567"/>
        <w:rPr>
          <w:b/>
          <w:sz w:val="26"/>
          <w:szCs w:val="26"/>
        </w:rPr>
      </w:pPr>
      <w:r w:rsidRPr="004761E0">
        <w:rPr>
          <w:b/>
          <w:sz w:val="26"/>
          <w:szCs w:val="26"/>
        </w:rPr>
        <w:t>Перечень полученных в 2013 году патентов/свидетельств на результаты НИОКР</w:t>
      </w:r>
    </w:p>
    <w:p w:rsidR="00A232BD" w:rsidRPr="004761E0" w:rsidRDefault="00A232BD" w:rsidP="009F385A">
      <w:pPr>
        <w:pStyle w:val="ac"/>
        <w:ind w:firstLine="567"/>
        <w:rPr>
          <w:sz w:val="26"/>
          <w:szCs w:val="26"/>
        </w:rPr>
      </w:pPr>
      <w:r w:rsidRPr="004761E0">
        <w:rPr>
          <w:sz w:val="26"/>
          <w:szCs w:val="26"/>
        </w:rPr>
        <w:t xml:space="preserve">По итогам выполнения НИОКР в 2013 году в Роспатенте зарегистрированы права </w:t>
      </w:r>
      <w:r w:rsidR="0008080E">
        <w:rPr>
          <w:sz w:val="26"/>
          <w:szCs w:val="26"/>
        </w:rPr>
        <w:t>ОАО </w:t>
      </w:r>
      <w:r w:rsidRPr="004761E0">
        <w:rPr>
          <w:sz w:val="26"/>
          <w:szCs w:val="26"/>
        </w:rPr>
        <w:t>«МОЭСК» на следующие объекты интеллектуальной собственности:</w:t>
      </w:r>
    </w:p>
    <w:p w:rsidR="00A232BD" w:rsidRPr="004761E0" w:rsidRDefault="00A232BD" w:rsidP="007076A7">
      <w:pPr>
        <w:pStyle w:val="ac"/>
        <w:numPr>
          <w:ilvl w:val="0"/>
          <w:numId w:val="82"/>
        </w:numPr>
        <w:ind w:left="1134" w:hanging="567"/>
        <w:rPr>
          <w:sz w:val="26"/>
          <w:szCs w:val="26"/>
        </w:rPr>
      </w:pPr>
      <w:r w:rsidRPr="004761E0">
        <w:rPr>
          <w:sz w:val="26"/>
          <w:szCs w:val="26"/>
        </w:rPr>
        <w:t>свидетельство о регистрации программы для ЭВМ «Программный комплекс по технологическому управлению зарядными станциями» №</w:t>
      </w:r>
      <w:r w:rsidR="00C41134" w:rsidRPr="004761E0">
        <w:rPr>
          <w:sz w:val="26"/>
          <w:szCs w:val="26"/>
        </w:rPr>
        <w:t> </w:t>
      </w:r>
      <w:r w:rsidRPr="004761E0">
        <w:rPr>
          <w:sz w:val="26"/>
          <w:szCs w:val="26"/>
        </w:rPr>
        <w:t>2013611915;</w:t>
      </w:r>
    </w:p>
    <w:p w:rsidR="00A232BD" w:rsidRPr="004761E0" w:rsidRDefault="00A232BD" w:rsidP="007076A7">
      <w:pPr>
        <w:pStyle w:val="ac"/>
        <w:numPr>
          <w:ilvl w:val="0"/>
          <w:numId w:val="82"/>
        </w:numPr>
        <w:ind w:left="1134" w:hanging="567"/>
        <w:rPr>
          <w:sz w:val="26"/>
          <w:szCs w:val="26"/>
        </w:rPr>
      </w:pPr>
      <w:r w:rsidRPr="004761E0">
        <w:rPr>
          <w:sz w:val="26"/>
          <w:szCs w:val="26"/>
        </w:rPr>
        <w:t>патент на полезную модель «зарядная станция для электротранспорта» № 130459;</w:t>
      </w:r>
    </w:p>
    <w:p w:rsidR="00A232BD" w:rsidRPr="004761E0" w:rsidRDefault="00A232BD" w:rsidP="007076A7">
      <w:pPr>
        <w:pStyle w:val="ac"/>
        <w:numPr>
          <w:ilvl w:val="0"/>
          <w:numId w:val="82"/>
        </w:numPr>
        <w:ind w:left="1134" w:hanging="567"/>
        <w:rPr>
          <w:sz w:val="26"/>
          <w:szCs w:val="26"/>
        </w:rPr>
      </w:pPr>
      <w:r w:rsidRPr="004761E0">
        <w:rPr>
          <w:sz w:val="26"/>
          <w:szCs w:val="26"/>
        </w:rPr>
        <w:t>патент на полезную модель «устройство для ограничения переходных восстанавливающихся напряжений в цепях с токоограничивающими реакторами» № 136251.</w:t>
      </w:r>
    </w:p>
    <w:p w:rsidR="00A232BD" w:rsidRPr="004761E0" w:rsidRDefault="00A232BD" w:rsidP="009F385A">
      <w:pPr>
        <w:pStyle w:val="ac"/>
        <w:rPr>
          <w:sz w:val="26"/>
          <w:szCs w:val="26"/>
        </w:rPr>
      </w:pPr>
      <w:r w:rsidRPr="004761E0">
        <w:rPr>
          <w:sz w:val="26"/>
          <w:szCs w:val="26"/>
        </w:rPr>
        <w:t>Кроме того, в 2013 году в Роспатент подана заявка для оформления патента на полезную модель системы автоматического ограничения снижения напряжения.</w:t>
      </w:r>
    </w:p>
    <w:p w:rsidR="00453705" w:rsidRPr="004761E0" w:rsidRDefault="00B0496B" w:rsidP="00743B24">
      <w:pPr>
        <w:spacing w:before="120" w:after="120"/>
        <w:ind w:firstLine="567"/>
        <w:rPr>
          <w:b/>
          <w:sz w:val="26"/>
          <w:szCs w:val="26"/>
        </w:rPr>
      </w:pPr>
      <w:r w:rsidRPr="004761E0">
        <w:rPr>
          <w:b/>
          <w:sz w:val="26"/>
          <w:szCs w:val="26"/>
        </w:rPr>
        <w:t>Доля отчислений на финансирование НИОКР</w:t>
      </w:r>
    </w:p>
    <w:p w:rsidR="00A232BD" w:rsidRPr="004761E0" w:rsidRDefault="00A232BD" w:rsidP="00743B24">
      <w:pPr>
        <w:pStyle w:val="ac"/>
        <w:ind w:firstLine="567"/>
      </w:pPr>
      <w:r w:rsidRPr="004761E0">
        <w:rPr>
          <w:sz w:val="26"/>
          <w:szCs w:val="26"/>
        </w:rPr>
        <w:t xml:space="preserve">Величина финансирования НИОКР </w:t>
      </w:r>
      <w:r w:rsidR="0008080E">
        <w:rPr>
          <w:sz w:val="26"/>
          <w:szCs w:val="26"/>
        </w:rPr>
        <w:t>ОАО </w:t>
      </w:r>
      <w:r w:rsidRPr="004761E0">
        <w:rPr>
          <w:sz w:val="26"/>
          <w:szCs w:val="26"/>
        </w:rPr>
        <w:t>«МОЭСК» в 2013 году составила 0,12</w:t>
      </w:r>
      <w:r w:rsidR="00885147" w:rsidRPr="004761E0">
        <w:rPr>
          <w:sz w:val="26"/>
          <w:szCs w:val="26"/>
        </w:rPr>
        <w:t> </w:t>
      </w:r>
      <w:r w:rsidRPr="004761E0">
        <w:rPr>
          <w:sz w:val="26"/>
          <w:szCs w:val="26"/>
        </w:rPr>
        <w:t>% выручки от передачи электроэнергии</w:t>
      </w:r>
      <w:r w:rsidRPr="006F4AB8">
        <w:rPr>
          <w:rStyle w:val="af1"/>
        </w:rPr>
        <w:footnoteReference w:id="119"/>
      </w:r>
      <w:r w:rsidRPr="004761E0">
        <w:t>.</w:t>
      </w:r>
    </w:p>
    <w:p w:rsidR="009F385A" w:rsidRPr="004761E0" w:rsidRDefault="009F385A">
      <w:pPr>
        <w:ind w:firstLine="0"/>
        <w:jc w:val="left"/>
      </w:pPr>
      <w:r w:rsidRPr="004761E0">
        <w:br w:type="page"/>
      </w:r>
    </w:p>
    <w:tbl>
      <w:tblPr>
        <w:tblW w:w="9369" w:type="dxa"/>
        <w:tblInd w:w="95" w:type="dxa"/>
        <w:tblLook w:val="04A0"/>
      </w:tblPr>
      <w:tblGrid>
        <w:gridCol w:w="580"/>
        <w:gridCol w:w="3402"/>
        <w:gridCol w:w="1340"/>
        <w:gridCol w:w="1340"/>
        <w:gridCol w:w="1431"/>
        <w:gridCol w:w="1276"/>
      </w:tblGrid>
      <w:tr w:rsidR="00447B14" w:rsidRPr="004761E0" w:rsidTr="00447B14">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447B14" w:rsidRPr="004761E0" w:rsidRDefault="00447B14" w:rsidP="009F385A">
            <w:pPr>
              <w:pStyle w:val="ac"/>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lastRenderedPageBreak/>
              <w:t>№ п/п</w:t>
            </w:r>
          </w:p>
        </w:tc>
        <w:tc>
          <w:tcPr>
            <w:tcW w:w="340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47B14" w:rsidRPr="004761E0" w:rsidRDefault="00447B14" w:rsidP="009F385A">
            <w:pPr>
              <w:pStyle w:val="ac"/>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34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47B14" w:rsidRPr="004761E0" w:rsidRDefault="00447B14" w:rsidP="009F385A">
            <w:pPr>
              <w:pStyle w:val="ac"/>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34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47B14" w:rsidRPr="004761E0" w:rsidRDefault="00447B14" w:rsidP="009F385A">
            <w:pPr>
              <w:pStyle w:val="ac"/>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43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47B14" w:rsidRPr="004761E0" w:rsidRDefault="00447B14" w:rsidP="009F385A">
            <w:pPr>
              <w:pStyle w:val="ac"/>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276"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447B14" w:rsidRPr="004761E0" w:rsidRDefault="00447B14" w:rsidP="009F385A">
            <w:pPr>
              <w:pStyle w:val="ac"/>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447B14" w:rsidRPr="004761E0" w:rsidTr="00447B14">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B14" w:rsidRPr="004761E0" w:rsidRDefault="00447B14" w:rsidP="007076A7">
            <w:pPr>
              <w:pStyle w:val="ac"/>
              <w:numPr>
                <w:ilvl w:val="0"/>
                <w:numId w:val="83"/>
              </w:numPr>
              <w:rPr>
                <w:rFonts w:eastAsia="Times New Roman"/>
                <w:color w:val="000000"/>
                <w:sz w:val="20"/>
                <w:szCs w:val="20"/>
                <w:lang w:eastAsia="ru-RU"/>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9F385A">
            <w:pPr>
              <w:pStyle w:val="ac"/>
              <w:ind w:firstLine="0"/>
              <w:jc w:val="left"/>
              <w:rPr>
                <w:color w:val="000000"/>
                <w:sz w:val="20"/>
                <w:szCs w:val="20"/>
              </w:rPr>
            </w:pPr>
            <w:r w:rsidRPr="004761E0">
              <w:rPr>
                <w:color w:val="000000"/>
                <w:sz w:val="20"/>
                <w:szCs w:val="20"/>
              </w:rPr>
              <w:t>Выручка от передачи э/э, млн руб. без НДС (всего), в т.ч.:</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9F385A">
            <w:pPr>
              <w:pStyle w:val="ac"/>
              <w:ind w:firstLine="0"/>
              <w:jc w:val="right"/>
              <w:rPr>
                <w:color w:val="000000"/>
                <w:sz w:val="20"/>
                <w:szCs w:val="20"/>
              </w:rPr>
            </w:pPr>
            <w:r w:rsidRPr="004761E0">
              <w:rPr>
                <w:color w:val="000000"/>
                <w:sz w:val="20"/>
                <w:szCs w:val="20"/>
              </w:rPr>
              <w:t>37 669</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9F385A">
            <w:pPr>
              <w:pStyle w:val="ac"/>
              <w:ind w:firstLine="0"/>
              <w:jc w:val="right"/>
              <w:rPr>
                <w:color w:val="000000"/>
                <w:sz w:val="20"/>
                <w:szCs w:val="20"/>
              </w:rPr>
            </w:pPr>
            <w:r w:rsidRPr="004761E0">
              <w:rPr>
                <w:color w:val="000000"/>
                <w:sz w:val="20"/>
                <w:szCs w:val="20"/>
              </w:rPr>
              <w:t>37 461</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9F385A">
            <w:pPr>
              <w:pStyle w:val="ac"/>
              <w:ind w:firstLine="0"/>
              <w:jc w:val="right"/>
              <w:rPr>
                <w:color w:val="000000"/>
                <w:sz w:val="20"/>
                <w:szCs w:val="20"/>
              </w:rPr>
            </w:pPr>
            <w:r w:rsidRPr="004761E0">
              <w:rPr>
                <w:color w:val="000000"/>
                <w:sz w:val="20"/>
                <w:szCs w:val="20"/>
              </w:rPr>
              <w:t>38 580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9F385A">
            <w:pPr>
              <w:pStyle w:val="ac"/>
              <w:ind w:firstLine="0"/>
              <w:jc w:val="right"/>
              <w:rPr>
                <w:color w:val="000000"/>
                <w:sz w:val="20"/>
                <w:szCs w:val="20"/>
              </w:rPr>
            </w:pPr>
            <w:r w:rsidRPr="004761E0">
              <w:rPr>
                <w:color w:val="000000"/>
                <w:sz w:val="20"/>
                <w:szCs w:val="20"/>
              </w:rPr>
              <w:t>3,0 %</w:t>
            </w:r>
          </w:p>
        </w:tc>
      </w:tr>
      <w:tr w:rsidR="00447B14" w:rsidRPr="004761E0" w:rsidTr="00447B14">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B14" w:rsidRPr="004761E0" w:rsidRDefault="00447B14" w:rsidP="007076A7">
            <w:pPr>
              <w:pStyle w:val="ac"/>
              <w:numPr>
                <w:ilvl w:val="1"/>
                <w:numId w:val="83"/>
              </w:numPr>
              <w:rPr>
                <w:rFonts w:eastAsia="Times New Roman"/>
                <w:color w:val="000000"/>
                <w:sz w:val="20"/>
                <w:szCs w:val="20"/>
                <w:lang w:eastAsia="ru-RU"/>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9F385A">
            <w:pPr>
              <w:pStyle w:val="ac"/>
              <w:ind w:left="318" w:firstLine="0"/>
              <w:jc w:val="left"/>
              <w:rPr>
                <w:color w:val="000000"/>
                <w:sz w:val="20"/>
                <w:szCs w:val="20"/>
              </w:rPr>
            </w:pPr>
            <w:r w:rsidRPr="004761E0">
              <w:rPr>
                <w:color w:val="000000"/>
                <w:sz w:val="20"/>
                <w:szCs w:val="20"/>
              </w:rPr>
              <w:t>отчисления на финансирование НИОКР</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9F385A">
            <w:pPr>
              <w:pStyle w:val="ac"/>
              <w:ind w:firstLine="0"/>
              <w:jc w:val="right"/>
              <w:rPr>
                <w:color w:val="000000"/>
                <w:sz w:val="20"/>
                <w:szCs w:val="20"/>
              </w:rPr>
            </w:pPr>
            <w:r w:rsidRPr="004761E0">
              <w:rPr>
                <w:color w:val="000000"/>
                <w:sz w:val="20"/>
                <w:szCs w:val="20"/>
              </w:rPr>
              <w:t>65,9</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9F385A">
            <w:pPr>
              <w:pStyle w:val="ac"/>
              <w:ind w:firstLine="0"/>
              <w:jc w:val="right"/>
              <w:rPr>
                <w:color w:val="000000"/>
                <w:sz w:val="20"/>
                <w:szCs w:val="20"/>
              </w:rPr>
            </w:pPr>
            <w:r w:rsidRPr="004761E0">
              <w:rPr>
                <w:color w:val="000000"/>
                <w:sz w:val="20"/>
                <w:szCs w:val="20"/>
              </w:rPr>
              <w:t>73,0</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9F385A">
            <w:pPr>
              <w:pStyle w:val="ac"/>
              <w:ind w:firstLine="0"/>
              <w:jc w:val="right"/>
              <w:rPr>
                <w:color w:val="000000"/>
                <w:sz w:val="20"/>
                <w:szCs w:val="20"/>
              </w:rPr>
            </w:pPr>
            <w:r w:rsidRPr="004761E0">
              <w:rPr>
                <w:color w:val="000000"/>
                <w:sz w:val="20"/>
                <w:szCs w:val="20"/>
              </w:rPr>
              <w:t>47,7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9F385A">
            <w:pPr>
              <w:pStyle w:val="ac"/>
              <w:ind w:firstLine="0"/>
              <w:jc w:val="right"/>
              <w:rPr>
                <w:color w:val="000000"/>
                <w:sz w:val="20"/>
                <w:szCs w:val="20"/>
              </w:rPr>
            </w:pPr>
            <w:r w:rsidRPr="004761E0">
              <w:rPr>
                <w:color w:val="000000"/>
                <w:sz w:val="20"/>
                <w:szCs w:val="20"/>
              </w:rPr>
              <w:t>-34,7 %</w:t>
            </w:r>
          </w:p>
        </w:tc>
      </w:tr>
    </w:tbl>
    <w:p w:rsidR="00A232BD" w:rsidRPr="004761E0" w:rsidRDefault="00A232BD" w:rsidP="00743B24">
      <w:pPr>
        <w:spacing w:before="120" w:after="120"/>
        <w:ind w:firstLine="567"/>
        <w:rPr>
          <w:b/>
          <w:sz w:val="26"/>
          <w:szCs w:val="26"/>
        </w:rPr>
      </w:pPr>
      <w:r w:rsidRPr="004761E0">
        <w:rPr>
          <w:b/>
          <w:sz w:val="26"/>
          <w:szCs w:val="26"/>
        </w:rPr>
        <w:t>Затраты на исследования и разработки, выполняемые сторонними организациями</w:t>
      </w:r>
    </w:p>
    <w:tbl>
      <w:tblPr>
        <w:tblW w:w="9369" w:type="dxa"/>
        <w:tblInd w:w="95" w:type="dxa"/>
        <w:tblLook w:val="04A0"/>
      </w:tblPr>
      <w:tblGrid>
        <w:gridCol w:w="580"/>
        <w:gridCol w:w="3402"/>
        <w:gridCol w:w="1340"/>
        <w:gridCol w:w="1340"/>
        <w:gridCol w:w="1431"/>
        <w:gridCol w:w="1276"/>
      </w:tblGrid>
      <w:tr w:rsidR="00447B14" w:rsidRPr="004761E0" w:rsidTr="00447B14">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447B14" w:rsidRPr="004761E0" w:rsidRDefault="00447B14" w:rsidP="009F385A">
            <w:pPr>
              <w:pStyle w:val="ac"/>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340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47B14" w:rsidRPr="004761E0" w:rsidRDefault="00447B14" w:rsidP="009F385A">
            <w:pPr>
              <w:pStyle w:val="ac"/>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34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47B14" w:rsidRPr="004761E0" w:rsidRDefault="00447B14" w:rsidP="009F385A">
            <w:pPr>
              <w:pStyle w:val="ac"/>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34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47B14" w:rsidRPr="004761E0" w:rsidRDefault="00447B14" w:rsidP="009F385A">
            <w:pPr>
              <w:pStyle w:val="ac"/>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43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47B14" w:rsidRPr="004761E0" w:rsidRDefault="00447B14" w:rsidP="009F385A">
            <w:pPr>
              <w:pStyle w:val="ac"/>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276"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447B14" w:rsidRPr="004761E0" w:rsidRDefault="00447B14" w:rsidP="009F385A">
            <w:pPr>
              <w:pStyle w:val="ac"/>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447B14" w:rsidRPr="004761E0" w:rsidTr="00C41134">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hideMark/>
          </w:tcPr>
          <w:p w:rsidR="00447B14" w:rsidRPr="004761E0" w:rsidRDefault="00447B14" w:rsidP="007076A7">
            <w:pPr>
              <w:pStyle w:val="ac"/>
              <w:numPr>
                <w:ilvl w:val="0"/>
                <w:numId w:val="84"/>
              </w:numPr>
              <w:jc w:val="left"/>
              <w:rPr>
                <w:rFonts w:eastAsia="Times New Roman"/>
                <w:color w:val="000000"/>
                <w:sz w:val="20"/>
                <w:szCs w:val="20"/>
                <w:lang w:eastAsia="ru-RU"/>
              </w:rPr>
            </w:pPr>
          </w:p>
        </w:tc>
        <w:tc>
          <w:tcPr>
            <w:tcW w:w="3402" w:type="dxa"/>
            <w:tcBorders>
              <w:top w:val="single" w:sz="4" w:space="0" w:color="auto"/>
              <w:left w:val="nil"/>
              <w:bottom w:val="single" w:sz="4" w:space="0" w:color="auto"/>
              <w:right w:val="single" w:sz="4" w:space="0" w:color="auto"/>
            </w:tcBorders>
            <w:shd w:val="clear" w:color="auto" w:fill="auto"/>
            <w:hideMark/>
          </w:tcPr>
          <w:p w:rsidR="00447B14" w:rsidRPr="004761E0" w:rsidRDefault="00447B14" w:rsidP="009F385A">
            <w:pPr>
              <w:pStyle w:val="ac"/>
              <w:ind w:firstLine="0"/>
              <w:jc w:val="left"/>
              <w:rPr>
                <w:color w:val="000000"/>
                <w:sz w:val="20"/>
                <w:szCs w:val="20"/>
              </w:rPr>
            </w:pPr>
            <w:r w:rsidRPr="004761E0">
              <w:rPr>
                <w:color w:val="000000"/>
                <w:sz w:val="20"/>
                <w:szCs w:val="20"/>
              </w:rPr>
              <w:t xml:space="preserve">Затраты на исследования и разработки, выполняемые сторонними организациями (вузы, научные организации, инновационные компании малого и среднего бизнеса) </w:t>
            </w:r>
            <w:r w:rsidR="0008080E">
              <w:rPr>
                <w:color w:val="000000"/>
                <w:sz w:val="20"/>
                <w:szCs w:val="20"/>
              </w:rPr>
              <w:t>млн</w:t>
            </w:r>
            <w:r w:rsidRPr="004761E0">
              <w:rPr>
                <w:color w:val="000000"/>
                <w:sz w:val="20"/>
                <w:szCs w:val="20"/>
              </w:rPr>
              <w:t xml:space="preserve"> руб. (всего), из них по проектам, реализуемым в рамках:</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C41134">
            <w:pPr>
              <w:pStyle w:val="ac"/>
              <w:ind w:firstLine="0"/>
              <w:jc w:val="right"/>
              <w:rPr>
                <w:color w:val="000000"/>
                <w:sz w:val="20"/>
                <w:szCs w:val="20"/>
              </w:rPr>
            </w:pPr>
            <w:r w:rsidRPr="004761E0">
              <w:rPr>
                <w:color w:val="000000"/>
                <w:sz w:val="20"/>
                <w:szCs w:val="20"/>
              </w:rPr>
              <w:t>65 900</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C41134">
            <w:pPr>
              <w:pStyle w:val="ac"/>
              <w:ind w:firstLine="0"/>
              <w:jc w:val="right"/>
              <w:rPr>
                <w:color w:val="000000"/>
                <w:sz w:val="20"/>
                <w:szCs w:val="20"/>
              </w:rPr>
            </w:pPr>
            <w:r w:rsidRPr="004761E0">
              <w:rPr>
                <w:color w:val="000000"/>
                <w:sz w:val="20"/>
                <w:szCs w:val="20"/>
              </w:rPr>
              <w:t>73 001</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C41134">
            <w:pPr>
              <w:pStyle w:val="ac"/>
              <w:ind w:firstLine="0"/>
              <w:jc w:val="right"/>
              <w:rPr>
                <w:color w:val="000000"/>
                <w:sz w:val="20"/>
                <w:szCs w:val="20"/>
              </w:rPr>
            </w:pPr>
            <w:r w:rsidRPr="004761E0">
              <w:rPr>
                <w:color w:val="000000"/>
                <w:sz w:val="20"/>
                <w:szCs w:val="20"/>
              </w:rPr>
              <w:t>47 662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C41134">
            <w:pPr>
              <w:pStyle w:val="ac"/>
              <w:ind w:firstLine="0"/>
              <w:jc w:val="right"/>
              <w:rPr>
                <w:color w:val="000000"/>
                <w:sz w:val="20"/>
                <w:szCs w:val="20"/>
              </w:rPr>
            </w:pPr>
            <w:r w:rsidRPr="004761E0">
              <w:rPr>
                <w:color w:val="000000"/>
                <w:sz w:val="20"/>
                <w:szCs w:val="20"/>
              </w:rPr>
              <w:t>-34,7 %</w:t>
            </w:r>
          </w:p>
        </w:tc>
      </w:tr>
      <w:tr w:rsidR="00447B14" w:rsidRPr="004761E0" w:rsidTr="00447B14">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B14" w:rsidRPr="004761E0" w:rsidRDefault="00447B14" w:rsidP="007076A7">
            <w:pPr>
              <w:pStyle w:val="ac"/>
              <w:numPr>
                <w:ilvl w:val="1"/>
                <w:numId w:val="84"/>
              </w:numPr>
              <w:jc w:val="left"/>
              <w:rPr>
                <w:rFonts w:eastAsia="Times New Roman"/>
                <w:color w:val="000000"/>
                <w:sz w:val="20"/>
                <w:szCs w:val="20"/>
                <w:lang w:eastAsia="ru-RU"/>
              </w:rPr>
            </w:pPr>
          </w:p>
        </w:tc>
        <w:tc>
          <w:tcPr>
            <w:tcW w:w="3402" w:type="dxa"/>
            <w:tcBorders>
              <w:top w:val="single" w:sz="4" w:space="0" w:color="auto"/>
              <w:left w:val="nil"/>
              <w:bottom w:val="single" w:sz="4" w:space="0" w:color="auto"/>
              <w:right w:val="single" w:sz="4" w:space="0" w:color="auto"/>
            </w:tcBorders>
            <w:shd w:val="clear" w:color="auto" w:fill="auto"/>
            <w:hideMark/>
          </w:tcPr>
          <w:p w:rsidR="00447B14" w:rsidRPr="004761E0" w:rsidRDefault="00447B14" w:rsidP="009F385A">
            <w:pPr>
              <w:pStyle w:val="ac"/>
              <w:rPr>
                <w:color w:val="000000"/>
                <w:sz w:val="20"/>
                <w:szCs w:val="20"/>
              </w:rPr>
            </w:pPr>
            <w:r w:rsidRPr="004761E0">
              <w:rPr>
                <w:color w:val="000000"/>
                <w:sz w:val="20"/>
                <w:szCs w:val="20"/>
              </w:rPr>
              <w:t>технологических платформ</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C41134">
            <w:pPr>
              <w:pStyle w:val="ac"/>
              <w:ind w:firstLine="0"/>
              <w:jc w:val="right"/>
              <w:rPr>
                <w:color w:val="000000"/>
                <w:sz w:val="20"/>
                <w:szCs w:val="20"/>
              </w:rPr>
            </w:pPr>
            <w:r w:rsidRPr="004761E0">
              <w:rPr>
                <w:color w:val="000000"/>
                <w:sz w:val="20"/>
                <w:szCs w:val="20"/>
              </w:rPr>
              <w:t>62 360</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C41134">
            <w:pPr>
              <w:pStyle w:val="ac"/>
              <w:ind w:firstLine="0"/>
              <w:jc w:val="right"/>
              <w:rPr>
                <w:color w:val="000000"/>
                <w:sz w:val="20"/>
                <w:szCs w:val="20"/>
              </w:rPr>
            </w:pPr>
            <w:r w:rsidRPr="004761E0">
              <w:rPr>
                <w:color w:val="000000"/>
                <w:sz w:val="20"/>
                <w:szCs w:val="20"/>
              </w:rPr>
              <w:t>53 426</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C41134">
            <w:pPr>
              <w:pStyle w:val="ac"/>
              <w:ind w:firstLine="0"/>
              <w:jc w:val="right"/>
              <w:rPr>
                <w:color w:val="000000"/>
                <w:sz w:val="20"/>
                <w:szCs w:val="20"/>
              </w:rPr>
            </w:pPr>
            <w:r w:rsidRPr="004761E0">
              <w:rPr>
                <w:color w:val="000000"/>
                <w:sz w:val="20"/>
                <w:szCs w:val="20"/>
              </w:rPr>
              <w:t>2 346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C41134">
            <w:pPr>
              <w:pStyle w:val="ac"/>
              <w:ind w:firstLine="0"/>
              <w:jc w:val="right"/>
              <w:rPr>
                <w:color w:val="000000"/>
                <w:sz w:val="20"/>
                <w:szCs w:val="20"/>
              </w:rPr>
            </w:pPr>
            <w:r w:rsidRPr="004761E0">
              <w:rPr>
                <w:color w:val="000000"/>
                <w:sz w:val="20"/>
                <w:szCs w:val="20"/>
              </w:rPr>
              <w:t>-95,6 %</w:t>
            </w:r>
          </w:p>
        </w:tc>
      </w:tr>
      <w:tr w:rsidR="00447B14" w:rsidRPr="004761E0" w:rsidTr="00447B14">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B14" w:rsidRPr="004761E0" w:rsidRDefault="00447B14" w:rsidP="007076A7">
            <w:pPr>
              <w:pStyle w:val="ac"/>
              <w:numPr>
                <w:ilvl w:val="1"/>
                <w:numId w:val="84"/>
              </w:numPr>
              <w:jc w:val="left"/>
              <w:rPr>
                <w:rFonts w:eastAsia="Times New Roman"/>
                <w:color w:val="000000"/>
                <w:sz w:val="20"/>
                <w:szCs w:val="20"/>
                <w:lang w:eastAsia="ru-RU"/>
              </w:rPr>
            </w:pPr>
          </w:p>
        </w:tc>
        <w:tc>
          <w:tcPr>
            <w:tcW w:w="3402" w:type="dxa"/>
            <w:tcBorders>
              <w:top w:val="single" w:sz="4" w:space="0" w:color="auto"/>
              <w:left w:val="nil"/>
              <w:bottom w:val="single" w:sz="4" w:space="0" w:color="auto"/>
              <w:right w:val="single" w:sz="4" w:space="0" w:color="auto"/>
            </w:tcBorders>
            <w:shd w:val="clear" w:color="auto" w:fill="auto"/>
            <w:hideMark/>
          </w:tcPr>
          <w:p w:rsidR="00447B14" w:rsidRPr="004761E0" w:rsidRDefault="00447B14" w:rsidP="009F385A">
            <w:pPr>
              <w:pStyle w:val="ac"/>
              <w:rPr>
                <w:color w:val="000000"/>
                <w:sz w:val="20"/>
                <w:szCs w:val="20"/>
              </w:rPr>
            </w:pPr>
            <w:r w:rsidRPr="004761E0">
              <w:rPr>
                <w:color w:val="000000"/>
                <w:sz w:val="20"/>
                <w:szCs w:val="20"/>
              </w:rPr>
              <w:t>вузов</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C41134">
            <w:pPr>
              <w:pStyle w:val="ac"/>
              <w:ind w:firstLine="0"/>
              <w:jc w:val="right"/>
              <w:rPr>
                <w:color w:val="000000"/>
                <w:sz w:val="20"/>
                <w:szCs w:val="20"/>
              </w:rPr>
            </w:pPr>
            <w:r w:rsidRPr="004761E0">
              <w:rPr>
                <w:color w:val="000000"/>
                <w:sz w:val="20"/>
                <w:szCs w:val="20"/>
              </w:rPr>
              <w:t>-</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C41134">
            <w:pPr>
              <w:pStyle w:val="ac"/>
              <w:ind w:firstLine="0"/>
              <w:jc w:val="right"/>
              <w:rPr>
                <w:color w:val="000000"/>
                <w:sz w:val="20"/>
                <w:szCs w:val="20"/>
              </w:rPr>
            </w:pPr>
            <w:r w:rsidRPr="004761E0">
              <w:rPr>
                <w:color w:val="000000"/>
                <w:sz w:val="20"/>
                <w:szCs w:val="20"/>
              </w:rPr>
              <w:t>2 792</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C41134">
            <w:pPr>
              <w:pStyle w:val="ac"/>
              <w:ind w:firstLine="0"/>
              <w:jc w:val="right"/>
              <w:rPr>
                <w:color w:val="000000"/>
                <w:sz w:val="20"/>
                <w:szCs w:val="20"/>
              </w:rPr>
            </w:pPr>
            <w:r w:rsidRPr="004761E0">
              <w:rPr>
                <w:color w:val="000000"/>
                <w:sz w:val="20"/>
                <w:szCs w:val="20"/>
              </w:rPr>
              <w:t>19 368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C41134">
            <w:pPr>
              <w:pStyle w:val="ac"/>
              <w:ind w:firstLine="0"/>
              <w:jc w:val="right"/>
              <w:rPr>
                <w:color w:val="000000"/>
                <w:sz w:val="20"/>
                <w:szCs w:val="20"/>
              </w:rPr>
            </w:pPr>
            <w:r w:rsidRPr="004761E0">
              <w:rPr>
                <w:color w:val="000000"/>
                <w:sz w:val="20"/>
                <w:szCs w:val="20"/>
              </w:rPr>
              <w:t>593,7 %</w:t>
            </w:r>
          </w:p>
        </w:tc>
      </w:tr>
      <w:tr w:rsidR="00447B14" w:rsidRPr="004761E0" w:rsidTr="00447B14">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B14" w:rsidRPr="004761E0" w:rsidRDefault="00447B14" w:rsidP="007076A7">
            <w:pPr>
              <w:pStyle w:val="ac"/>
              <w:numPr>
                <w:ilvl w:val="1"/>
                <w:numId w:val="84"/>
              </w:numPr>
              <w:jc w:val="left"/>
              <w:rPr>
                <w:rFonts w:eastAsia="Times New Roman"/>
                <w:color w:val="000000"/>
                <w:sz w:val="20"/>
                <w:szCs w:val="20"/>
                <w:lang w:eastAsia="ru-RU"/>
              </w:rPr>
            </w:pPr>
          </w:p>
        </w:tc>
        <w:tc>
          <w:tcPr>
            <w:tcW w:w="3402" w:type="dxa"/>
            <w:tcBorders>
              <w:top w:val="single" w:sz="4" w:space="0" w:color="auto"/>
              <w:left w:val="nil"/>
              <w:bottom w:val="single" w:sz="4" w:space="0" w:color="auto"/>
              <w:right w:val="single" w:sz="4" w:space="0" w:color="auto"/>
            </w:tcBorders>
            <w:shd w:val="clear" w:color="auto" w:fill="auto"/>
            <w:hideMark/>
          </w:tcPr>
          <w:p w:rsidR="00447B14" w:rsidRPr="004761E0" w:rsidRDefault="00447B14" w:rsidP="009F385A">
            <w:pPr>
              <w:pStyle w:val="ac"/>
              <w:rPr>
                <w:color w:val="000000"/>
                <w:sz w:val="20"/>
                <w:szCs w:val="20"/>
              </w:rPr>
            </w:pPr>
            <w:r w:rsidRPr="004761E0">
              <w:rPr>
                <w:color w:val="000000"/>
                <w:sz w:val="20"/>
                <w:szCs w:val="20"/>
              </w:rPr>
              <w:t>научных организаций</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C41134">
            <w:pPr>
              <w:pStyle w:val="ac"/>
              <w:ind w:firstLine="0"/>
              <w:jc w:val="right"/>
              <w:rPr>
                <w:color w:val="000000"/>
                <w:sz w:val="20"/>
                <w:szCs w:val="20"/>
              </w:rPr>
            </w:pPr>
            <w:r w:rsidRPr="004761E0">
              <w:rPr>
                <w:color w:val="000000"/>
                <w:sz w:val="20"/>
                <w:szCs w:val="20"/>
              </w:rPr>
              <w:t>-</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C41134">
            <w:pPr>
              <w:pStyle w:val="ac"/>
              <w:ind w:firstLine="0"/>
              <w:jc w:val="right"/>
              <w:rPr>
                <w:color w:val="000000"/>
                <w:sz w:val="20"/>
                <w:szCs w:val="20"/>
              </w:rPr>
            </w:pPr>
            <w:r w:rsidRPr="004761E0">
              <w:rPr>
                <w:color w:val="000000"/>
                <w:sz w:val="20"/>
                <w:szCs w:val="20"/>
              </w:rPr>
              <w:t>8 383</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C41134">
            <w:pPr>
              <w:pStyle w:val="ac"/>
              <w:ind w:firstLine="0"/>
              <w:jc w:val="right"/>
              <w:rPr>
                <w:color w:val="000000"/>
                <w:sz w:val="20"/>
                <w:szCs w:val="20"/>
              </w:rPr>
            </w:pPr>
            <w:r w:rsidRPr="004761E0">
              <w:rPr>
                <w:color w:val="000000"/>
                <w:sz w:val="20"/>
                <w:szCs w:val="20"/>
              </w:rPr>
              <w:t>18 681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C41134">
            <w:pPr>
              <w:pStyle w:val="ac"/>
              <w:ind w:firstLine="0"/>
              <w:jc w:val="right"/>
              <w:rPr>
                <w:color w:val="000000"/>
                <w:sz w:val="20"/>
                <w:szCs w:val="20"/>
              </w:rPr>
            </w:pPr>
            <w:r w:rsidRPr="004761E0">
              <w:rPr>
                <w:color w:val="000000"/>
                <w:sz w:val="20"/>
                <w:szCs w:val="20"/>
              </w:rPr>
              <w:t>122,8 %</w:t>
            </w:r>
          </w:p>
        </w:tc>
      </w:tr>
      <w:tr w:rsidR="00447B14" w:rsidRPr="004761E0" w:rsidTr="00447B14">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B14" w:rsidRPr="004761E0" w:rsidRDefault="00447B14" w:rsidP="007076A7">
            <w:pPr>
              <w:pStyle w:val="ac"/>
              <w:numPr>
                <w:ilvl w:val="1"/>
                <w:numId w:val="84"/>
              </w:numPr>
              <w:jc w:val="left"/>
              <w:rPr>
                <w:rFonts w:eastAsia="Times New Roman"/>
                <w:color w:val="000000"/>
                <w:sz w:val="20"/>
                <w:szCs w:val="20"/>
                <w:lang w:eastAsia="ru-RU"/>
              </w:rPr>
            </w:pPr>
          </w:p>
        </w:tc>
        <w:tc>
          <w:tcPr>
            <w:tcW w:w="3402" w:type="dxa"/>
            <w:tcBorders>
              <w:top w:val="single" w:sz="4" w:space="0" w:color="auto"/>
              <w:left w:val="nil"/>
              <w:bottom w:val="single" w:sz="4" w:space="0" w:color="auto"/>
              <w:right w:val="single" w:sz="4" w:space="0" w:color="auto"/>
            </w:tcBorders>
            <w:shd w:val="clear" w:color="auto" w:fill="auto"/>
            <w:hideMark/>
          </w:tcPr>
          <w:p w:rsidR="00447B14" w:rsidRPr="004761E0" w:rsidRDefault="00447B14" w:rsidP="009F385A">
            <w:pPr>
              <w:pStyle w:val="ac"/>
              <w:rPr>
                <w:color w:val="000000"/>
                <w:sz w:val="20"/>
                <w:szCs w:val="20"/>
              </w:rPr>
            </w:pPr>
            <w:r w:rsidRPr="004761E0">
              <w:rPr>
                <w:color w:val="000000"/>
                <w:sz w:val="20"/>
                <w:szCs w:val="20"/>
              </w:rPr>
              <w:t>прочих организаций</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C41134">
            <w:pPr>
              <w:pStyle w:val="ac"/>
              <w:ind w:firstLine="0"/>
              <w:jc w:val="right"/>
              <w:rPr>
                <w:color w:val="000000"/>
                <w:sz w:val="20"/>
                <w:szCs w:val="20"/>
              </w:rPr>
            </w:pPr>
            <w:r w:rsidRPr="004761E0">
              <w:rPr>
                <w:color w:val="000000"/>
                <w:sz w:val="20"/>
                <w:szCs w:val="20"/>
              </w:rPr>
              <w:t>3 540</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C41134">
            <w:pPr>
              <w:pStyle w:val="ac"/>
              <w:ind w:firstLine="0"/>
              <w:jc w:val="right"/>
              <w:rPr>
                <w:color w:val="000000"/>
                <w:sz w:val="20"/>
                <w:szCs w:val="20"/>
              </w:rPr>
            </w:pPr>
            <w:r w:rsidRPr="004761E0">
              <w:rPr>
                <w:color w:val="000000"/>
                <w:sz w:val="20"/>
                <w:szCs w:val="20"/>
              </w:rPr>
              <w:t>8 400</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C41134">
            <w:pPr>
              <w:pStyle w:val="ac"/>
              <w:ind w:firstLine="0"/>
              <w:jc w:val="right"/>
              <w:rPr>
                <w:color w:val="000000"/>
                <w:sz w:val="20"/>
                <w:szCs w:val="20"/>
              </w:rPr>
            </w:pPr>
            <w:r w:rsidRPr="004761E0">
              <w:rPr>
                <w:color w:val="000000"/>
                <w:sz w:val="20"/>
                <w:szCs w:val="20"/>
              </w:rPr>
              <w:t>7 266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C41134">
            <w:pPr>
              <w:pStyle w:val="ac"/>
              <w:ind w:firstLine="0"/>
              <w:jc w:val="right"/>
              <w:rPr>
                <w:color w:val="000000"/>
                <w:sz w:val="20"/>
                <w:szCs w:val="20"/>
              </w:rPr>
            </w:pPr>
            <w:r w:rsidRPr="004761E0">
              <w:rPr>
                <w:color w:val="000000"/>
                <w:sz w:val="20"/>
                <w:szCs w:val="20"/>
              </w:rPr>
              <w:t>-13,5</w:t>
            </w:r>
            <w:r w:rsidR="00E30CDF">
              <w:rPr>
                <w:color w:val="000000"/>
                <w:sz w:val="20"/>
                <w:szCs w:val="20"/>
              </w:rPr>
              <w:t xml:space="preserve"> </w:t>
            </w:r>
            <w:r w:rsidRPr="004761E0">
              <w:rPr>
                <w:color w:val="000000"/>
                <w:sz w:val="20"/>
                <w:szCs w:val="20"/>
              </w:rPr>
              <w:t>%</w:t>
            </w:r>
          </w:p>
        </w:tc>
      </w:tr>
      <w:tr w:rsidR="00447B14" w:rsidRPr="004761E0" w:rsidTr="00447B14">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B14" w:rsidRPr="004761E0" w:rsidRDefault="00447B14" w:rsidP="007076A7">
            <w:pPr>
              <w:pStyle w:val="ac"/>
              <w:numPr>
                <w:ilvl w:val="0"/>
                <w:numId w:val="84"/>
              </w:numPr>
              <w:jc w:val="left"/>
              <w:rPr>
                <w:rFonts w:eastAsia="Times New Roman"/>
                <w:color w:val="000000"/>
                <w:sz w:val="20"/>
                <w:szCs w:val="20"/>
                <w:lang w:eastAsia="ru-RU"/>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9F385A">
            <w:pPr>
              <w:pStyle w:val="ac"/>
              <w:ind w:firstLine="0"/>
              <w:jc w:val="left"/>
              <w:rPr>
                <w:color w:val="000000"/>
                <w:sz w:val="20"/>
                <w:szCs w:val="20"/>
              </w:rPr>
            </w:pPr>
            <w:r w:rsidRPr="004761E0">
              <w:rPr>
                <w:color w:val="000000"/>
                <w:sz w:val="20"/>
                <w:szCs w:val="20"/>
              </w:rPr>
              <w:t>Затраты на повышение квалификации и профессиональную переподготовку кадров в вузах в расчете на одного работника, руб. /чел.</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C41134">
            <w:pPr>
              <w:pStyle w:val="ac"/>
              <w:ind w:firstLine="0"/>
              <w:jc w:val="right"/>
              <w:rPr>
                <w:color w:val="000000"/>
                <w:sz w:val="20"/>
                <w:szCs w:val="20"/>
              </w:rPr>
            </w:pPr>
            <w:r w:rsidRPr="004761E0">
              <w:rPr>
                <w:color w:val="000000"/>
                <w:sz w:val="20"/>
                <w:szCs w:val="20"/>
              </w:rPr>
              <w:t>70 849</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C41134">
            <w:pPr>
              <w:pStyle w:val="ac"/>
              <w:ind w:firstLine="0"/>
              <w:jc w:val="right"/>
              <w:rPr>
                <w:color w:val="000000"/>
                <w:sz w:val="20"/>
                <w:szCs w:val="20"/>
              </w:rPr>
            </w:pPr>
            <w:r w:rsidRPr="004761E0">
              <w:rPr>
                <w:color w:val="000000"/>
                <w:sz w:val="20"/>
                <w:szCs w:val="20"/>
              </w:rPr>
              <w:t>23 178</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C41134">
            <w:pPr>
              <w:pStyle w:val="ac"/>
              <w:ind w:firstLine="0"/>
              <w:jc w:val="right"/>
              <w:rPr>
                <w:color w:val="000000"/>
                <w:sz w:val="20"/>
                <w:szCs w:val="20"/>
              </w:rPr>
            </w:pPr>
            <w:r w:rsidRPr="004761E0">
              <w:rPr>
                <w:color w:val="000000"/>
                <w:sz w:val="20"/>
                <w:szCs w:val="20"/>
              </w:rPr>
              <w:t>7 771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47B14" w:rsidRPr="004761E0" w:rsidRDefault="00447B14" w:rsidP="00C41134">
            <w:pPr>
              <w:pStyle w:val="ac"/>
              <w:ind w:firstLine="0"/>
              <w:jc w:val="right"/>
              <w:rPr>
                <w:color w:val="000000"/>
                <w:sz w:val="20"/>
                <w:szCs w:val="20"/>
              </w:rPr>
            </w:pPr>
            <w:r w:rsidRPr="004761E0">
              <w:rPr>
                <w:color w:val="000000"/>
                <w:sz w:val="20"/>
                <w:szCs w:val="20"/>
              </w:rPr>
              <w:t>-66,5 %</w:t>
            </w:r>
          </w:p>
        </w:tc>
      </w:tr>
    </w:tbl>
    <w:p w:rsidR="00885147" w:rsidRPr="004761E0" w:rsidRDefault="00447B14" w:rsidP="009F385A">
      <w:pPr>
        <w:pStyle w:val="ac"/>
        <w:rPr>
          <w:b/>
          <w:sz w:val="26"/>
          <w:szCs w:val="26"/>
        </w:rPr>
      </w:pPr>
      <w:r w:rsidRPr="004761E0">
        <w:rPr>
          <w:sz w:val="26"/>
          <w:szCs w:val="26"/>
        </w:rPr>
        <w:t xml:space="preserve">Снижение объемов финансирования НИОКР в 2013 году обусловлено значительным пересмотром тематик плана НИОКР Общества в рамках формирования </w:t>
      </w:r>
      <w:r w:rsidR="0008080E">
        <w:rPr>
          <w:sz w:val="26"/>
          <w:szCs w:val="26"/>
        </w:rPr>
        <w:t>ОАО </w:t>
      </w:r>
      <w:r w:rsidRPr="004761E0">
        <w:rPr>
          <w:sz w:val="26"/>
          <w:szCs w:val="26"/>
        </w:rPr>
        <w:t xml:space="preserve">«Россети» единой инновационной политики в электросетевом комплексе </w:t>
      </w:r>
      <w:r w:rsidR="00885147" w:rsidRPr="004761E0">
        <w:rPr>
          <w:sz w:val="26"/>
          <w:szCs w:val="26"/>
        </w:rPr>
        <w:t>РФ</w:t>
      </w:r>
      <w:r w:rsidRPr="004761E0">
        <w:rPr>
          <w:sz w:val="26"/>
          <w:szCs w:val="26"/>
        </w:rPr>
        <w:t>. Финансирование ключевых тематик перенесено на 2014 год.</w:t>
      </w:r>
      <w:r w:rsidR="00885147" w:rsidRPr="004761E0">
        <w:rPr>
          <w:sz w:val="26"/>
          <w:szCs w:val="26"/>
        </w:rPr>
        <w:t xml:space="preserve"> </w:t>
      </w:r>
      <w:r w:rsidRPr="004761E0">
        <w:rPr>
          <w:sz w:val="26"/>
          <w:szCs w:val="26"/>
        </w:rPr>
        <w:t xml:space="preserve">Снижение </w:t>
      </w:r>
      <w:r w:rsidR="00885147" w:rsidRPr="004761E0">
        <w:rPr>
          <w:sz w:val="26"/>
          <w:szCs w:val="26"/>
        </w:rPr>
        <w:t xml:space="preserve">затрат на повышение квалификации и профессиональную переподготовку кадров в вузах в расчете на одного работника </w:t>
      </w:r>
      <w:r w:rsidRPr="004761E0">
        <w:rPr>
          <w:sz w:val="26"/>
          <w:szCs w:val="26"/>
        </w:rPr>
        <w:t xml:space="preserve">связано с сокращением затрат на профессиональную переподготовку в связи с необходимостью обучения и аттестации персонала создаваемых в </w:t>
      </w:r>
      <w:r w:rsidR="00885147" w:rsidRPr="004761E0">
        <w:rPr>
          <w:sz w:val="26"/>
          <w:szCs w:val="26"/>
        </w:rPr>
        <w:t xml:space="preserve">Обществе </w:t>
      </w:r>
      <w:r w:rsidRPr="004761E0">
        <w:rPr>
          <w:sz w:val="26"/>
          <w:szCs w:val="26"/>
        </w:rPr>
        <w:t>аварийно-спасательных формирований</w:t>
      </w:r>
      <w:r w:rsidR="00885147" w:rsidRPr="004761E0">
        <w:rPr>
          <w:sz w:val="26"/>
          <w:szCs w:val="26"/>
        </w:rPr>
        <w:t xml:space="preserve"> при неизменном объеме затрат, выделяемых на обучение</w:t>
      </w:r>
      <w:r w:rsidRPr="004761E0">
        <w:rPr>
          <w:sz w:val="26"/>
          <w:szCs w:val="26"/>
        </w:rPr>
        <w:t>.</w:t>
      </w:r>
      <w:r w:rsidR="00885147" w:rsidRPr="004761E0">
        <w:rPr>
          <w:b/>
          <w:sz w:val="26"/>
          <w:szCs w:val="26"/>
        </w:rPr>
        <w:br w:type="page"/>
      </w:r>
    </w:p>
    <w:p w:rsidR="00885147" w:rsidRPr="004761E0" w:rsidRDefault="00885147" w:rsidP="009F385A">
      <w:pPr>
        <w:pStyle w:val="ac"/>
        <w:rPr>
          <w:b/>
        </w:rPr>
        <w:sectPr w:rsidR="00885147" w:rsidRPr="004761E0" w:rsidSect="00885147">
          <w:pgSz w:w="11906" w:h="16838"/>
          <w:pgMar w:top="1134" w:right="849" w:bottom="1134" w:left="1701" w:header="708" w:footer="708" w:gutter="0"/>
          <w:cols w:space="708"/>
          <w:docGrid w:linePitch="360"/>
        </w:sectPr>
      </w:pPr>
    </w:p>
    <w:p w:rsidR="00A232BD" w:rsidRPr="004761E0" w:rsidRDefault="00A232BD" w:rsidP="00585397">
      <w:pPr>
        <w:spacing w:before="120" w:after="120"/>
        <w:ind w:firstLine="567"/>
        <w:rPr>
          <w:b/>
          <w:sz w:val="26"/>
          <w:szCs w:val="26"/>
        </w:rPr>
      </w:pPr>
      <w:r w:rsidRPr="004761E0">
        <w:rPr>
          <w:b/>
          <w:sz w:val="26"/>
          <w:szCs w:val="26"/>
        </w:rPr>
        <w:lastRenderedPageBreak/>
        <w:t>Информация о повышении квалификации и переподготовки сотрудников</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276"/>
        <w:gridCol w:w="3863"/>
        <w:gridCol w:w="1344"/>
        <w:gridCol w:w="1632"/>
        <w:gridCol w:w="1843"/>
        <w:gridCol w:w="1701"/>
        <w:gridCol w:w="1807"/>
      </w:tblGrid>
      <w:tr w:rsidR="00885147" w:rsidRPr="004761E0" w:rsidTr="00C83375">
        <w:trPr>
          <w:trHeight w:val="1215"/>
        </w:trPr>
        <w:tc>
          <w:tcPr>
            <w:tcW w:w="18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885147" w:rsidRPr="004761E0" w:rsidRDefault="00885147" w:rsidP="00C83375">
            <w:pPr>
              <w:pStyle w:val="ac"/>
              <w:ind w:firstLine="0"/>
              <w:rPr>
                <w:b/>
                <w:bCs/>
                <w:color w:val="FFFFFF" w:themeColor="background1"/>
                <w:sz w:val="20"/>
                <w:szCs w:val="20"/>
              </w:rPr>
            </w:pPr>
            <w:r w:rsidRPr="004761E0">
              <w:rPr>
                <w:b/>
                <w:color w:val="FFFFFF" w:themeColor="background1"/>
                <w:sz w:val="20"/>
                <w:szCs w:val="20"/>
              </w:rPr>
              <w:br w:type="page"/>
            </w:r>
            <w:r w:rsidRPr="004761E0">
              <w:rPr>
                <w:b/>
                <w:bCs/>
                <w:color w:val="FFFFFF" w:themeColor="background1"/>
                <w:sz w:val="20"/>
                <w:szCs w:val="20"/>
              </w:rPr>
              <w:t xml:space="preserve">Заказчик </w:t>
            </w:r>
          </w:p>
        </w:tc>
        <w:tc>
          <w:tcPr>
            <w:tcW w:w="127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885147" w:rsidRPr="004761E0" w:rsidRDefault="00885147" w:rsidP="00C83375">
            <w:pPr>
              <w:pStyle w:val="ac"/>
              <w:ind w:firstLine="0"/>
              <w:rPr>
                <w:b/>
                <w:bCs/>
                <w:color w:val="FFFFFF" w:themeColor="background1"/>
                <w:sz w:val="20"/>
                <w:szCs w:val="20"/>
              </w:rPr>
            </w:pPr>
            <w:r w:rsidRPr="004761E0">
              <w:rPr>
                <w:b/>
                <w:bCs/>
                <w:color w:val="FFFFFF" w:themeColor="background1"/>
                <w:sz w:val="20"/>
                <w:szCs w:val="20"/>
              </w:rPr>
              <w:t>ИНН Заказчика</w:t>
            </w:r>
          </w:p>
        </w:tc>
        <w:tc>
          <w:tcPr>
            <w:tcW w:w="386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885147" w:rsidRPr="004761E0" w:rsidRDefault="00885147" w:rsidP="00C83375">
            <w:pPr>
              <w:pStyle w:val="ac"/>
              <w:ind w:firstLine="0"/>
              <w:rPr>
                <w:b/>
                <w:bCs/>
                <w:color w:val="FFFFFF" w:themeColor="background1"/>
                <w:sz w:val="20"/>
                <w:szCs w:val="20"/>
              </w:rPr>
            </w:pPr>
            <w:r w:rsidRPr="004761E0">
              <w:rPr>
                <w:b/>
                <w:bCs/>
                <w:color w:val="FFFFFF" w:themeColor="background1"/>
                <w:sz w:val="20"/>
                <w:szCs w:val="20"/>
              </w:rPr>
              <w:t>ВУЗ</w:t>
            </w:r>
          </w:p>
        </w:tc>
        <w:tc>
          <w:tcPr>
            <w:tcW w:w="134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885147" w:rsidRPr="004761E0" w:rsidRDefault="00885147" w:rsidP="00C83375">
            <w:pPr>
              <w:pStyle w:val="ac"/>
              <w:ind w:hanging="2"/>
              <w:rPr>
                <w:b/>
                <w:bCs/>
                <w:color w:val="FFFFFF" w:themeColor="background1"/>
                <w:sz w:val="20"/>
                <w:szCs w:val="20"/>
              </w:rPr>
            </w:pPr>
            <w:r w:rsidRPr="004761E0">
              <w:rPr>
                <w:b/>
                <w:bCs/>
                <w:color w:val="FFFFFF" w:themeColor="background1"/>
                <w:sz w:val="20"/>
                <w:szCs w:val="20"/>
              </w:rPr>
              <w:t xml:space="preserve">ИНН </w:t>
            </w:r>
          </w:p>
          <w:p w:rsidR="00885147" w:rsidRPr="004761E0" w:rsidRDefault="00885147" w:rsidP="00C83375">
            <w:pPr>
              <w:pStyle w:val="ac"/>
              <w:ind w:hanging="2"/>
              <w:rPr>
                <w:b/>
                <w:bCs/>
                <w:color w:val="FFFFFF" w:themeColor="background1"/>
                <w:sz w:val="20"/>
                <w:szCs w:val="20"/>
              </w:rPr>
            </w:pPr>
            <w:r w:rsidRPr="004761E0">
              <w:rPr>
                <w:b/>
                <w:bCs/>
                <w:color w:val="FFFFFF" w:themeColor="background1"/>
                <w:sz w:val="20"/>
                <w:szCs w:val="20"/>
              </w:rPr>
              <w:t>вуза</w:t>
            </w:r>
          </w:p>
        </w:tc>
        <w:tc>
          <w:tcPr>
            <w:tcW w:w="1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885147" w:rsidRPr="004761E0" w:rsidRDefault="00885147" w:rsidP="00C83375">
            <w:pPr>
              <w:pStyle w:val="ac"/>
              <w:ind w:hanging="2"/>
              <w:jc w:val="right"/>
              <w:rPr>
                <w:b/>
                <w:bCs/>
                <w:color w:val="FFFFFF" w:themeColor="background1"/>
                <w:sz w:val="20"/>
                <w:szCs w:val="20"/>
              </w:rPr>
            </w:pPr>
            <w:r w:rsidRPr="004761E0">
              <w:rPr>
                <w:b/>
                <w:bCs/>
                <w:color w:val="FFFFFF" w:themeColor="background1"/>
                <w:sz w:val="20"/>
                <w:szCs w:val="20"/>
              </w:rPr>
              <w:t>Количество сотрудников компании, проходящих повышение квалификации в вузах</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885147" w:rsidRPr="004761E0" w:rsidRDefault="00885147" w:rsidP="00C83375">
            <w:pPr>
              <w:pStyle w:val="ac"/>
              <w:ind w:hanging="2"/>
              <w:jc w:val="right"/>
              <w:rPr>
                <w:b/>
                <w:bCs/>
                <w:color w:val="FFFFFF" w:themeColor="background1"/>
                <w:sz w:val="20"/>
                <w:szCs w:val="20"/>
              </w:rPr>
            </w:pPr>
            <w:r w:rsidRPr="004761E0">
              <w:rPr>
                <w:b/>
                <w:bCs/>
                <w:color w:val="FFFFFF" w:themeColor="background1"/>
                <w:sz w:val="20"/>
                <w:szCs w:val="20"/>
              </w:rPr>
              <w:t>Объем финансирования повышения квалификации сотрудников компании, реализуемой вузами</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885147" w:rsidRPr="004761E0" w:rsidRDefault="00885147" w:rsidP="00C83375">
            <w:pPr>
              <w:pStyle w:val="ac"/>
              <w:ind w:hanging="2"/>
              <w:jc w:val="right"/>
              <w:rPr>
                <w:b/>
                <w:bCs/>
                <w:color w:val="FFFFFF" w:themeColor="background1"/>
                <w:sz w:val="20"/>
                <w:szCs w:val="20"/>
              </w:rPr>
            </w:pPr>
            <w:r w:rsidRPr="004761E0">
              <w:rPr>
                <w:b/>
                <w:bCs/>
                <w:color w:val="FFFFFF" w:themeColor="background1"/>
                <w:sz w:val="20"/>
                <w:szCs w:val="20"/>
              </w:rPr>
              <w:t>Количество сотрудников компании, проходящих переподготовку в вузах</w:t>
            </w:r>
          </w:p>
        </w:tc>
        <w:tc>
          <w:tcPr>
            <w:tcW w:w="18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hideMark/>
          </w:tcPr>
          <w:p w:rsidR="00885147" w:rsidRPr="004761E0" w:rsidRDefault="00885147" w:rsidP="00C83375">
            <w:pPr>
              <w:pStyle w:val="ac"/>
              <w:ind w:hanging="2"/>
              <w:jc w:val="right"/>
              <w:rPr>
                <w:b/>
                <w:bCs/>
                <w:color w:val="FFFFFF" w:themeColor="background1"/>
                <w:sz w:val="20"/>
                <w:szCs w:val="20"/>
              </w:rPr>
            </w:pPr>
            <w:r w:rsidRPr="004761E0">
              <w:rPr>
                <w:b/>
                <w:bCs/>
                <w:color w:val="FFFFFF" w:themeColor="background1"/>
                <w:sz w:val="20"/>
                <w:szCs w:val="20"/>
              </w:rPr>
              <w:t>Объем финансирования переподготовки сотрудников компании, реализуемой вузами</w:t>
            </w:r>
          </w:p>
        </w:tc>
      </w:tr>
      <w:tr w:rsidR="00885147" w:rsidRPr="004761E0" w:rsidTr="00C83375">
        <w:trPr>
          <w:trHeight w:val="300"/>
        </w:trPr>
        <w:tc>
          <w:tcPr>
            <w:tcW w:w="184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885147" w:rsidRPr="004761E0" w:rsidRDefault="00885147" w:rsidP="00C83375">
            <w:pPr>
              <w:pStyle w:val="ac"/>
              <w:ind w:firstLine="0"/>
              <w:rPr>
                <w:b/>
                <w:color w:val="FFFFFF" w:themeColor="background1"/>
                <w:sz w:val="20"/>
                <w:szCs w:val="20"/>
              </w:rPr>
            </w:pPr>
          </w:p>
        </w:tc>
        <w:tc>
          <w:tcPr>
            <w:tcW w:w="127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885147" w:rsidRPr="004761E0" w:rsidRDefault="00885147" w:rsidP="00C83375">
            <w:pPr>
              <w:pStyle w:val="ac"/>
              <w:ind w:firstLine="0"/>
              <w:rPr>
                <w:b/>
                <w:color w:val="FFFFFF" w:themeColor="background1"/>
                <w:sz w:val="20"/>
                <w:szCs w:val="20"/>
              </w:rPr>
            </w:pPr>
          </w:p>
        </w:tc>
        <w:tc>
          <w:tcPr>
            <w:tcW w:w="386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885147" w:rsidRPr="004761E0" w:rsidRDefault="00885147" w:rsidP="009F385A">
            <w:pPr>
              <w:pStyle w:val="ac"/>
              <w:rPr>
                <w:b/>
                <w:color w:val="FFFFFF" w:themeColor="background1"/>
                <w:sz w:val="20"/>
                <w:szCs w:val="20"/>
              </w:rPr>
            </w:pPr>
          </w:p>
        </w:tc>
        <w:tc>
          <w:tcPr>
            <w:tcW w:w="134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885147" w:rsidRPr="004761E0" w:rsidRDefault="00885147" w:rsidP="00C83375">
            <w:pPr>
              <w:pStyle w:val="ac"/>
              <w:ind w:hanging="2"/>
              <w:rPr>
                <w:b/>
                <w:color w:val="FFFFFF" w:themeColor="background1"/>
                <w:sz w:val="20"/>
                <w:szCs w:val="20"/>
              </w:rPr>
            </w:pPr>
          </w:p>
        </w:tc>
        <w:tc>
          <w:tcPr>
            <w:tcW w:w="1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53705" w:rsidRPr="004761E0" w:rsidRDefault="00885147">
            <w:pPr>
              <w:pStyle w:val="ac"/>
              <w:ind w:hanging="2"/>
              <w:jc w:val="right"/>
              <w:rPr>
                <w:b/>
                <w:color w:val="FFFFFF" w:themeColor="background1"/>
                <w:sz w:val="20"/>
                <w:szCs w:val="20"/>
              </w:rPr>
            </w:pPr>
            <w:r w:rsidRPr="004761E0">
              <w:rPr>
                <w:b/>
                <w:bCs/>
                <w:color w:val="FFFFFF" w:themeColor="background1"/>
                <w:sz w:val="20"/>
                <w:szCs w:val="20"/>
              </w:rPr>
              <w:t>чел.</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53705" w:rsidRPr="004761E0" w:rsidRDefault="00885147">
            <w:pPr>
              <w:pStyle w:val="ac"/>
              <w:ind w:hanging="2"/>
              <w:jc w:val="right"/>
              <w:rPr>
                <w:b/>
                <w:color w:val="FFFFFF" w:themeColor="background1"/>
                <w:sz w:val="20"/>
                <w:szCs w:val="20"/>
              </w:rPr>
            </w:pPr>
            <w:r w:rsidRPr="004761E0">
              <w:rPr>
                <w:b/>
                <w:bCs/>
                <w:color w:val="FFFFFF" w:themeColor="background1"/>
                <w:sz w:val="20"/>
                <w:szCs w:val="20"/>
              </w:rPr>
              <w:t>тыс. руб.</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53705" w:rsidRPr="004761E0" w:rsidRDefault="00885147">
            <w:pPr>
              <w:pStyle w:val="ac"/>
              <w:ind w:hanging="2"/>
              <w:jc w:val="right"/>
              <w:rPr>
                <w:b/>
                <w:color w:val="FFFFFF" w:themeColor="background1"/>
                <w:sz w:val="20"/>
                <w:szCs w:val="20"/>
              </w:rPr>
            </w:pPr>
            <w:r w:rsidRPr="004761E0">
              <w:rPr>
                <w:b/>
                <w:bCs/>
                <w:color w:val="FFFFFF" w:themeColor="background1"/>
                <w:sz w:val="20"/>
                <w:szCs w:val="20"/>
              </w:rPr>
              <w:t>чел.</w:t>
            </w:r>
          </w:p>
        </w:tc>
        <w:tc>
          <w:tcPr>
            <w:tcW w:w="18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53705" w:rsidRPr="004761E0" w:rsidRDefault="00885147">
            <w:pPr>
              <w:pStyle w:val="ac"/>
              <w:ind w:hanging="2"/>
              <w:jc w:val="right"/>
              <w:rPr>
                <w:b/>
                <w:color w:val="FFFFFF" w:themeColor="background1"/>
                <w:sz w:val="20"/>
                <w:szCs w:val="20"/>
              </w:rPr>
            </w:pPr>
            <w:r w:rsidRPr="004761E0">
              <w:rPr>
                <w:b/>
                <w:bCs/>
                <w:color w:val="FFFFFF" w:themeColor="background1"/>
                <w:sz w:val="20"/>
                <w:szCs w:val="20"/>
              </w:rPr>
              <w:t>тыс. руб.</w:t>
            </w:r>
          </w:p>
        </w:tc>
      </w:tr>
      <w:tr w:rsidR="00885147" w:rsidRPr="004761E0" w:rsidTr="00C83375">
        <w:trPr>
          <w:trHeight w:val="300"/>
        </w:trPr>
        <w:tc>
          <w:tcPr>
            <w:tcW w:w="1843" w:type="dxa"/>
            <w:vMerge w:val="restart"/>
            <w:tcBorders>
              <w:top w:val="single" w:sz="4" w:space="0" w:color="FFFFFF" w:themeColor="background1"/>
            </w:tcBorders>
            <w:vAlign w:val="center"/>
            <w:hideMark/>
          </w:tcPr>
          <w:p w:rsidR="00885147" w:rsidRPr="004761E0" w:rsidRDefault="0008080E" w:rsidP="00C83375">
            <w:pPr>
              <w:pStyle w:val="ac"/>
              <w:ind w:firstLine="0"/>
              <w:rPr>
                <w:color w:val="000000"/>
                <w:sz w:val="20"/>
                <w:szCs w:val="20"/>
              </w:rPr>
            </w:pPr>
            <w:r>
              <w:rPr>
                <w:color w:val="000000"/>
                <w:sz w:val="20"/>
                <w:szCs w:val="20"/>
              </w:rPr>
              <w:t>ОАО </w:t>
            </w:r>
            <w:r w:rsidR="00885147" w:rsidRPr="004761E0">
              <w:rPr>
                <w:color w:val="000000"/>
                <w:sz w:val="20"/>
                <w:szCs w:val="20"/>
              </w:rPr>
              <w:t>«МОЭСК»</w:t>
            </w:r>
          </w:p>
        </w:tc>
        <w:tc>
          <w:tcPr>
            <w:tcW w:w="1276" w:type="dxa"/>
            <w:vMerge w:val="restart"/>
            <w:tcBorders>
              <w:top w:val="single" w:sz="4" w:space="0" w:color="FFFFFF" w:themeColor="background1"/>
            </w:tcBorders>
            <w:vAlign w:val="center"/>
            <w:hideMark/>
          </w:tcPr>
          <w:p w:rsidR="00885147" w:rsidRPr="004761E0" w:rsidRDefault="00885147" w:rsidP="00C83375">
            <w:pPr>
              <w:pStyle w:val="ac"/>
              <w:ind w:firstLine="0"/>
              <w:rPr>
                <w:color w:val="000000"/>
                <w:sz w:val="20"/>
                <w:szCs w:val="20"/>
              </w:rPr>
            </w:pPr>
            <w:r w:rsidRPr="004761E0">
              <w:rPr>
                <w:color w:val="000000"/>
                <w:sz w:val="20"/>
                <w:szCs w:val="20"/>
              </w:rPr>
              <w:t>5036065113</w:t>
            </w:r>
          </w:p>
        </w:tc>
        <w:tc>
          <w:tcPr>
            <w:tcW w:w="3863" w:type="dxa"/>
            <w:tcBorders>
              <w:top w:val="single" w:sz="4" w:space="0" w:color="FFFFFF" w:themeColor="background1"/>
            </w:tcBorders>
            <w:vAlign w:val="center"/>
            <w:hideMark/>
          </w:tcPr>
          <w:p w:rsidR="00885147" w:rsidRPr="004761E0" w:rsidRDefault="00885147" w:rsidP="00C83375">
            <w:pPr>
              <w:pStyle w:val="ac"/>
              <w:ind w:firstLine="0"/>
              <w:rPr>
                <w:color w:val="000000"/>
                <w:sz w:val="20"/>
                <w:szCs w:val="20"/>
              </w:rPr>
            </w:pPr>
            <w:r w:rsidRPr="004761E0">
              <w:rPr>
                <w:color w:val="000000"/>
                <w:sz w:val="20"/>
                <w:szCs w:val="20"/>
              </w:rPr>
              <w:t>МГТУ им Н.Э. Баумана (УЦ Специалист)</w:t>
            </w:r>
          </w:p>
        </w:tc>
        <w:tc>
          <w:tcPr>
            <w:tcW w:w="1344" w:type="dxa"/>
            <w:tcBorders>
              <w:top w:val="single" w:sz="4" w:space="0" w:color="FFFFFF" w:themeColor="background1"/>
            </w:tcBorders>
            <w:vAlign w:val="center"/>
            <w:hideMark/>
          </w:tcPr>
          <w:p w:rsidR="00885147" w:rsidRPr="004761E0" w:rsidRDefault="00885147" w:rsidP="00C83375">
            <w:pPr>
              <w:pStyle w:val="ac"/>
              <w:ind w:firstLine="0"/>
              <w:rPr>
                <w:color w:val="000000"/>
                <w:sz w:val="20"/>
                <w:szCs w:val="20"/>
              </w:rPr>
            </w:pPr>
            <w:r w:rsidRPr="004761E0">
              <w:rPr>
                <w:color w:val="000000"/>
                <w:sz w:val="20"/>
                <w:szCs w:val="20"/>
              </w:rPr>
              <w:t>7701257303</w:t>
            </w:r>
          </w:p>
        </w:tc>
        <w:tc>
          <w:tcPr>
            <w:tcW w:w="1632" w:type="dxa"/>
            <w:tcBorders>
              <w:top w:val="single" w:sz="4" w:space="0" w:color="FFFFFF" w:themeColor="background1"/>
            </w:tcBorders>
            <w:vAlign w:val="center"/>
            <w:hideMark/>
          </w:tcPr>
          <w:p w:rsidR="00885147" w:rsidRPr="004761E0" w:rsidRDefault="00885147" w:rsidP="00C83375">
            <w:pPr>
              <w:pStyle w:val="ac"/>
              <w:ind w:firstLine="0"/>
              <w:jc w:val="right"/>
              <w:rPr>
                <w:color w:val="000000"/>
                <w:sz w:val="20"/>
                <w:szCs w:val="20"/>
              </w:rPr>
            </w:pPr>
            <w:r w:rsidRPr="004761E0">
              <w:rPr>
                <w:color w:val="000000"/>
                <w:sz w:val="20"/>
                <w:szCs w:val="20"/>
              </w:rPr>
              <w:t>100</w:t>
            </w:r>
          </w:p>
        </w:tc>
        <w:tc>
          <w:tcPr>
            <w:tcW w:w="1843" w:type="dxa"/>
            <w:tcBorders>
              <w:top w:val="single" w:sz="4" w:space="0" w:color="FFFFFF" w:themeColor="background1"/>
            </w:tcBorders>
            <w:vAlign w:val="center"/>
            <w:hideMark/>
          </w:tcPr>
          <w:p w:rsidR="00885147" w:rsidRPr="004761E0" w:rsidRDefault="00885147" w:rsidP="00C83375">
            <w:pPr>
              <w:pStyle w:val="ac"/>
              <w:ind w:firstLine="0"/>
              <w:jc w:val="right"/>
              <w:rPr>
                <w:color w:val="000000"/>
                <w:sz w:val="20"/>
                <w:szCs w:val="20"/>
              </w:rPr>
            </w:pPr>
            <w:r w:rsidRPr="004761E0">
              <w:rPr>
                <w:color w:val="000000"/>
                <w:sz w:val="20"/>
                <w:szCs w:val="20"/>
              </w:rPr>
              <w:t>1</w:t>
            </w:r>
            <w:r w:rsidR="0032278B" w:rsidRPr="004761E0">
              <w:rPr>
                <w:color w:val="000000"/>
                <w:sz w:val="20"/>
                <w:szCs w:val="20"/>
              </w:rPr>
              <w:t xml:space="preserve"> </w:t>
            </w:r>
            <w:r w:rsidRPr="004761E0">
              <w:rPr>
                <w:color w:val="000000"/>
                <w:sz w:val="20"/>
                <w:szCs w:val="20"/>
              </w:rPr>
              <w:t>894</w:t>
            </w:r>
          </w:p>
        </w:tc>
        <w:tc>
          <w:tcPr>
            <w:tcW w:w="1701" w:type="dxa"/>
            <w:tcBorders>
              <w:top w:val="single" w:sz="4" w:space="0" w:color="FFFFFF" w:themeColor="background1"/>
            </w:tcBorders>
            <w:vAlign w:val="center"/>
            <w:hideMark/>
          </w:tcPr>
          <w:p w:rsidR="00885147" w:rsidRPr="004761E0" w:rsidRDefault="00885147" w:rsidP="00C83375">
            <w:pPr>
              <w:pStyle w:val="ac"/>
              <w:ind w:firstLine="0"/>
              <w:jc w:val="right"/>
              <w:rPr>
                <w:color w:val="000000"/>
                <w:sz w:val="20"/>
                <w:szCs w:val="20"/>
              </w:rPr>
            </w:pPr>
            <w:r w:rsidRPr="004761E0">
              <w:rPr>
                <w:color w:val="000000"/>
                <w:sz w:val="20"/>
                <w:szCs w:val="20"/>
              </w:rPr>
              <w:t>0</w:t>
            </w:r>
          </w:p>
        </w:tc>
        <w:tc>
          <w:tcPr>
            <w:tcW w:w="1807" w:type="dxa"/>
            <w:tcBorders>
              <w:top w:val="single" w:sz="4" w:space="0" w:color="FFFFFF" w:themeColor="background1"/>
            </w:tcBorders>
            <w:vAlign w:val="center"/>
            <w:hideMark/>
          </w:tcPr>
          <w:p w:rsidR="00885147" w:rsidRPr="004761E0" w:rsidRDefault="00885147" w:rsidP="00C83375">
            <w:pPr>
              <w:pStyle w:val="ac"/>
              <w:ind w:firstLine="0"/>
              <w:jc w:val="right"/>
              <w:rPr>
                <w:color w:val="000000"/>
                <w:sz w:val="20"/>
                <w:szCs w:val="20"/>
              </w:rPr>
            </w:pPr>
            <w:r w:rsidRPr="004761E0">
              <w:rPr>
                <w:color w:val="000000"/>
                <w:sz w:val="20"/>
                <w:szCs w:val="20"/>
              </w:rPr>
              <w:t>0</w:t>
            </w:r>
          </w:p>
        </w:tc>
      </w:tr>
      <w:tr w:rsidR="00885147" w:rsidRPr="004761E0" w:rsidTr="00885147">
        <w:trPr>
          <w:trHeight w:val="300"/>
        </w:trPr>
        <w:tc>
          <w:tcPr>
            <w:tcW w:w="1843" w:type="dxa"/>
            <w:vMerge/>
            <w:vAlign w:val="center"/>
            <w:hideMark/>
          </w:tcPr>
          <w:p w:rsidR="00885147" w:rsidRPr="004761E0" w:rsidRDefault="00885147" w:rsidP="009F385A">
            <w:pPr>
              <w:pStyle w:val="ac"/>
              <w:rPr>
                <w:color w:val="000000"/>
                <w:sz w:val="20"/>
                <w:szCs w:val="20"/>
              </w:rPr>
            </w:pPr>
          </w:p>
        </w:tc>
        <w:tc>
          <w:tcPr>
            <w:tcW w:w="1276" w:type="dxa"/>
            <w:vMerge/>
            <w:vAlign w:val="center"/>
            <w:hideMark/>
          </w:tcPr>
          <w:p w:rsidR="00885147" w:rsidRPr="004761E0" w:rsidRDefault="00885147" w:rsidP="009F385A">
            <w:pPr>
              <w:pStyle w:val="ac"/>
              <w:rPr>
                <w:color w:val="000000"/>
                <w:sz w:val="20"/>
                <w:szCs w:val="20"/>
              </w:rPr>
            </w:pPr>
          </w:p>
        </w:tc>
        <w:tc>
          <w:tcPr>
            <w:tcW w:w="3863" w:type="dxa"/>
            <w:vAlign w:val="center"/>
            <w:hideMark/>
          </w:tcPr>
          <w:p w:rsidR="00885147" w:rsidRPr="004761E0" w:rsidRDefault="00885147" w:rsidP="00C83375">
            <w:pPr>
              <w:pStyle w:val="ac"/>
              <w:ind w:firstLine="0"/>
              <w:rPr>
                <w:color w:val="000000"/>
                <w:sz w:val="20"/>
                <w:szCs w:val="20"/>
              </w:rPr>
            </w:pPr>
            <w:r w:rsidRPr="004761E0">
              <w:rPr>
                <w:color w:val="000000"/>
                <w:sz w:val="20"/>
                <w:szCs w:val="20"/>
              </w:rPr>
              <w:t>МТУСИ (УЦ Циско)</w:t>
            </w:r>
          </w:p>
        </w:tc>
        <w:tc>
          <w:tcPr>
            <w:tcW w:w="1344" w:type="dxa"/>
            <w:vAlign w:val="center"/>
            <w:hideMark/>
          </w:tcPr>
          <w:p w:rsidR="00885147" w:rsidRPr="004761E0" w:rsidRDefault="00885147" w:rsidP="00C83375">
            <w:pPr>
              <w:pStyle w:val="ac"/>
              <w:ind w:firstLine="0"/>
              <w:rPr>
                <w:color w:val="000000"/>
                <w:sz w:val="20"/>
                <w:szCs w:val="20"/>
              </w:rPr>
            </w:pPr>
            <w:r w:rsidRPr="004761E0">
              <w:rPr>
                <w:color w:val="000000"/>
                <w:sz w:val="20"/>
                <w:szCs w:val="20"/>
              </w:rPr>
              <w:t>7722168164</w:t>
            </w:r>
          </w:p>
        </w:tc>
        <w:tc>
          <w:tcPr>
            <w:tcW w:w="1632" w:type="dxa"/>
            <w:vAlign w:val="center"/>
            <w:hideMark/>
          </w:tcPr>
          <w:p w:rsidR="00885147" w:rsidRPr="004761E0" w:rsidRDefault="00885147" w:rsidP="00C83375">
            <w:pPr>
              <w:pStyle w:val="ac"/>
              <w:ind w:firstLine="0"/>
              <w:jc w:val="right"/>
              <w:rPr>
                <w:color w:val="000000"/>
                <w:sz w:val="20"/>
                <w:szCs w:val="20"/>
              </w:rPr>
            </w:pPr>
            <w:r w:rsidRPr="004761E0">
              <w:rPr>
                <w:color w:val="000000"/>
                <w:sz w:val="20"/>
                <w:szCs w:val="20"/>
              </w:rPr>
              <w:t>9</w:t>
            </w:r>
          </w:p>
        </w:tc>
        <w:tc>
          <w:tcPr>
            <w:tcW w:w="1843" w:type="dxa"/>
            <w:vAlign w:val="center"/>
            <w:hideMark/>
          </w:tcPr>
          <w:p w:rsidR="00885147" w:rsidRPr="004761E0" w:rsidRDefault="0032278B" w:rsidP="00C83375">
            <w:pPr>
              <w:pStyle w:val="ac"/>
              <w:ind w:firstLine="0"/>
              <w:jc w:val="right"/>
              <w:rPr>
                <w:color w:val="000000"/>
                <w:sz w:val="20"/>
                <w:szCs w:val="20"/>
              </w:rPr>
            </w:pPr>
            <w:r w:rsidRPr="004761E0">
              <w:rPr>
                <w:color w:val="000000"/>
                <w:sz w:val="20"/>
                <w:szCs w:val="20"/>
              </w:rPr>
              <w:t>343</w:t>
            </w:r>
          </w:p>
        </w:tc>
        <w:tc>
          <w:tcPr>
            <w:tcW w:w="1701" w:type="dxa"/>
            <w:vAlign w:val="center"/>
            <w:hideMark/>
          </w:tcPr>
          <w:p w:rsidR="00885147" w:rsidRPr="004761E0" w:rsidRDefault="00885147" w:rsidP="00C83375">
            <w:pPr>
              <w:pStyle w:val="ac"/>
              <w:ind w:firstLine="0"/>
              <w:jc w:val="right"/>
              <w:rPr>
                <w:color w:val="000000"/>
                <w:sz w:val="20"/>
                <w:szCs w:val="20"/>
              </w:rPr>
            </w:pPr>
            <w:r w:rsidRPr="004761E0">
              <w:rPr>
                <w:color w:val="000000"/>
                <w:sz w:val="20"/>
                <w:szCs w:val="20"/>
              </w:rPr>
              <w:t>0</w:t>
            </w:r>
          </w:p>
        </w:tc>
        <w:tc>
          <w:tcPr>
            <w:tcW w:w="1807" w:type="dxa"/>
            <w:vAlign w:val="center"/>
            <w:hideMark/>
          </w:tcPr>
          <w:p w:rsidR="00885147" w:rsidRPr="004761E0" w:rsidRDefault="00885147" w:rsidP="00C83375">
            <w:pPr>
              <w:pStyle w:val="ac"/>
              <w:ind w:firstLine="0"/>
              <w:jc w:val="right"/>
              <w:rPr>
                <w:color w:val="000000"/>
                <w:sz w:val="20"/>
                <w:szCs w:val="20"/>
              </w:rPr>
            </w:pPr>
            <w:r w:rsidRPr="004761E0">
              <w:rPr>
                <w:color w:val="000000"/>
                <w:sz w:val="20"/>
                <w:szCs w:val="20"/>
              </w:rPr>
              <w:t>0</w:t>
            </w:r>
          </w:p>
        </w:tc>
      </w:tr>
      <w:tr w:rsidR="00885147" w:rsidRPr="004761E0" w:rsidTr="00885147">
        <w:trPr>
          <w:trHeight w:val="300"/>
        </w:trPr>
        <w:tc>
          <w:tcPr>
            <w:tcW w:w="1843" w:type="dxa"/>
            <w:vMerge/>
            <w:vAlign w:val="center"/>
            <w:hideMark/>
          </w:tcPr>
          <w:p w:rsidR="00885147" w:rsidRPr="004761E0" w:rsidRDefault="00885147" w:rsidP="009F385A">
            <w:pPr>
              <w:pStyle w:val="ac"/>
              <w:rPr>
                <w:color w:val="000000"/>
                <w:sz w:val="20"/>
                <w:szCs w:val="20"/>
              </w:rPr>
            </w:pPr>
          </w:p>
        </w:tc>
        <w:tc>
          <w:tcPr>
            <w:tcW w:w="1276" w:type="dxa"/>
            <w:vMerge/>
            <w:vAlign w:val="center"/>
            <w:hideMark/>
          </w:tcPr>
          <w:p w:rsidR="00885147" w:rsidRPr="004761E0" w:rsidRDefault="00885147" w:rsidP="009F385A">
            <w:pPr>
              <w:pStyle w:val="ac"/>
              <w:rPr>
                <w:color w:val="000000"/>
                <w:sz w:val="20"/>
                <w:szCs w:val="20"/>
              </w:rPr>
            </w:pPr>
          </w:p>
        </w:tc>
        <w:tc>
          <w:tcPr>
            <w:tcW w:w="3863" w:type="dxa"/>
            <w:vAlign w:val="center"/>
            <w:hideMark/>
          </w:tcPr>
          <w:p w:rsidR="00885147" w:rsidRPr="004761E0" w:rsidRDefault="00885147" w:rsidP="00C83375">
            <w:pPr>
              <w:pStyle w:val="ac"/>
              <w:ind w:firstLine="0"/>
              <w:rPr>
                <w:color w:val="000000"/>
                <w:sz w:val="20"/>
                <w:szCs w:val="20"/>
              </w:rPr>
            </w:pPr>
            <w:r w:rsidRPr="004761E0">
              <w:rPr>
                <w:color w:val="000000"/>
                <w:sz w:val="20"/>
                <w:szCs w:val="20"/>
              </w:rPr>
              <w:t>НОУ «ВПО МИЭЭ»</w:t>
            </w:r>
          </w:p>
        </w:tc>
        <w:tc>
          <w:tcPr>
            <w:tcW w:w="1344" w:type="dxa"/>
            <w:vAlign w:val="center"/>
            <w:hideMark/>
          </w:tcPr>
          <w:p w:rsidR="00885147" w:rsidRPr="004761E0" w:rsidRDefault="00885147" w:rsidP="00C83375">
            <w:pPr>
              <w:pStyle w:val="ac"/>
              <w:ind w:firstLine="0"/>
              <w:rPr>
                <w:color w:val="000000"/>
                <w:sz w:val="20"/>
                <w:szCs w:val="20"/>
              </w:rPr>
            </w:pPr>
            <w:r w:rsidRPr="004761E0">
              <w:rPr>
                <w:color w:val="000000"/>
                <w:sz w:val="20"/>
                <w:szCs w:val="20"/>
              </w:rPr>
              <w:t>7719227050</w:t>
            </w:r>
          </w:p>
        </w:tc>
        <w:tc>
          <w:tcPr>
            <w:tcW w:w="1632" w:type="dxa"/>
            <w:vAlign w:val="center"/>
            <w:hideMark/>
          </w:tcPr>
          <w:p w:rsidR="00885147" w:rsidRPr="004761E0" w:rsidRDefault="00885147" w:rsidP="00C83375">
            <w:pPr>
              <w:pStyle w:val="ac"/>
              <w:ind w:firstLine="0"/>
              <w:jc w:val="right"/>
              <w:rPr>
                <w:color w:val="000000"/>
                <w:sz w:val="20"/>
                <w:szCs w:val="20"/>
              </w:rPr>
            </w:pPr>
            <w:r w:rsidRPr="004761E0">
              <w:rPr>
                <w:color w:val="000000"/>
                <w:sz w:val="20"/>
                <w:szCs w:val="20"/>
              </w:rPr>
              <w:t>356</w:t>
            </w:r>
          </w:p>
        </w:tc>
        <w:tc>
          <w:tcPr>
            <w:tcW w:w="1843" w:type="dxa"/>
            <w:vAlign w:val="center"/>
            <w:hideMark/>
          </w:tcPr>
          <w:p w:rsidR="00885147" w:rsidRPr="004761E0" w:rsidRDefault="00885147" w:rsidP="00C83375">
            <w:pPr>
              <w:pStyle w:val="ac"/>
              <w:ind w:firstLine="0"/>
              <w:jc w:val="right"/>
              <w:rPr>
                <w:color w:val="000000"/>
                <w:sz w:val="20"/>
                <w:szCs w:val="20"/>
              </w:rPr>
            </w:pPr>
            <w:r w:rsidRPr="004761E0">
              <w:rPr>
                <w:color w:val="000000"/>
                <w:sz w:val="20"/>
                <w:szCs w:val="20"/>
              </w:rPr>
              <w:t>819</w:t>
            </w:r>
          </w:p>
        </w:tc>
        <w:tc>
          <w:tcPr>
            <w:tcW w:w="1701" w:type="dxa"/>
            <w:vAlign w:val="center"/>
            <w:hideMark/>
          </w:tcPr>
          <w:p w:rsidR="00885147" w:rsidRPr="004761E0" w:rsidRDefault="00885147" w:rsidP="00C83375">
            <w:pPr>
              <w:pStyle w:val="ac"/>
              <w:ind w:firstLine="0"/>
              <w:jc w:val="right"/>
              <w:rPr>
                <w:color w:val="000000"/>
                <w:sz w:val="20"/>
                <w:szCs w:val="20"/>
              </w:rPr>
            </w:pPr>
            <w:r w:rsidRPr="004761E0">
              <w:rPr>
                <w:color w:val="000000"/>
                <w:sz w:val="20"/>
                <w:szCs w:val="20"/>
              </w:rPr>
              <w:t>0</w:t>
            </w:r>
          </w:p>
        </w:tc>
        <w:tc>
          <w:tcPr>
            <w:tcW w:w="1807" w:type="dxa"/>
            <w:vAlign w:val="center"/>
            <w:hideMark/>
          </w:tcPr>
          <w:p w:rsidR="00885147" w:rsidRPr="004761E0" w:rsidRDefault="00885147" w:rsidP="00C83375">
            <w:pPr>
              <w:pStyle w:val="ac"/>
              <w:ind w:firstLine="0"/>
              <w:jc w:val="right"/>
              <w:rPr>
                <w:color w:val="000000"/>
                <w:sz w:val="20"/>
                <w:szCs w:val="20"/>
              </w:rPr>
            </w:pPr>
            <w:r w:rsidRPr="004761E0">
              <w:rPr>
                <w:color w:val="000000"/>
                <w:sz w:val="20"/>
                <w:szCs w:val="20"/>
              </w:rPr>
              <w:t>0</w:t>
            </w:r>
          </w:p>
        </w:tc>
      </w:tr>
      <w:tr w:rsidR="00885147" w:rsidRPr="004761E0" w:rsidTr="00885147">
        <w:trPr>
          <w:trHeight w:val="300"/>
        </w:trPr>
        <w:tc>
          <w:tcPr>
            <w:tcW w:w="1843" w:type="dxa"/>
            <w:vMerge/>
            <w:vAlign w:val="center"/>
            <w:hideMark/>
          </w:tcPr>
          <w:p w:rsidR="00885147" w:rsidRPr="004761E0" w:rsidRDefault="00885147" w:rsidP="009F385A">
            <w:pPr>
              <w:pStyle w:val="ac"/>
              <w:rPr>
                <w:color w:val="000000"/>
                <w:sz w:val="20"/>
                <w:szCs w:val="20"/>
              </w:rPr>
            </w:pPr>
          </w:p>
        </w:tc>
        <w:tc>
          <w:tcPr>
            <w:tcW w:w="1276" w:type="dxa"/>
            <w:vMerge/>
            <w:vAlign w:val="center"/>
            <w:hideMark/>
          </w:tcPr>
          <w:p w:rsidR="00885147" w:rsidRPr="004761E0" w:rsidRDefault="00885147" w:rsidP="009F385A">
            <w:pPr>
              <w:pStyle w:val="ac"/>
              <w:rPr>
                <w:color w:val="000000"/>
                <w:sz w:val="20"/>
                <w:szCs w:val="20"/>
              </w:rPr>
            </w:pPr>
          </w:p>
        </w:tc>
        <w:tc>
          <w:tcPr>
            <w:tcW w:w="3863" w:type="dxa"/>
            <w:vAlign w:val="center"/>
            <w:hideMark/>
          </w:tcPr>
          <w:p w:rsidR="00885147" w:rsidRPr="004761E0" w:rsidRDefault="00885147" w:rsidP="00C83375">
            <w:pPr>
              <w:pStyle w:val="ac"/>
              <w:ind w:firstLine="0"/>
              <w:rPr>
                <w:color w:val="000000"/>
                <w:sz w:val="20"/>
                <w:szCs w:val="20"/>
              </w:rPr>
            </w:pPr>
            <w:r w:rsidRPr="004761E0">
              <w:rPr>
                <w:color w:val="000000"/>
                <w:sz w:val="20"/>
                <w:szCs w:val="20"/>
              </w:rPr>
              <w:t>ФГОБУ ВПО МГИМО (У) МИД России</w:t>
            </w:r>
          </w:p>
        </w:tc>
        <w:tc>
          <w:tcPr>
            <w:tcW w:w="1344" w:type="dxa"/>
            <w:vAlign w:val="center"/>
            <w:hideMark/>
          </w:tcPr>
          <w:p w:rsidR="00885147" w:rsidRPr="004761E0" w:rsidRDefault="00885147" w:rsidP="00C83375">
            <w:pPr>
              <w:pStyle w:val="ac"/>
              <w:ind w:firstLine="0"/>
              <w:rPr>
                <w:color w:val="000000"/>
                <w:sz w:val="20"/>
                <w:szCs w:val="20"/>
              </w:rPr>
            </w:pPr>
            <w:r w:rsidRPr="004761E0">
              <w:rPr>
                <w:color w:val="000000"/>
                <w:sz w:val="20"/>
                <w:szCs w:val="20"/>
              </w:rPr>
              <w:t>7729134728</w:t>
            </w:r>
          </w:p>
        </w:tc>
        <w:tc>
          <w:tcPr>
            <w:tcW w:w="1632" w:type="dxa"/>
            <w:vAlign w:val="center"/>
            <w:hideMark/>
          </w:tcPr>
          <w:p w:rsidR="00885147" w:rsidRPr="004761E0" w:rsidRDefault="00885147" w:rsidP="00C83375">
            <w:pPr>
              <w:pStyle w:val="ac"/>
              <w:ind w:firstLine="0"/>
              <w:jc w:val="right"/>
              <w:rPr>
                <w:color w:val="000000"/>
                <w:sz w:val="20"/>
                <w:szCs w:val="20"/>
              </w:rPr>
            </w:pPr>
            <w:r w:rsidRPr="004761E0">
              <w:rPr>
                <w:color w:val="000000"/>
                <w:sz w:val="20"/>
                <w:szCs w:val="20"/>
              </w:rPr>
              <w:t>0</w:t>
            </w:r>
          </w:p>
        </w:tc>
        <w:tc>
          <w:tcPr>
            <w:tcW w:w="1843" w:type="dxa"/>
            <w:vAlign w:val="center"/>
            <w:hideMark/>
          </w:tcPr>
          <w:p w:rsidR="00885147" w:rsidRPr="004761E0" w:rsidRDefault="00885147" w:rsidP="00C83375">
            <w:pPr>
              <w:pStyle w:val="ac"/>
              <w:ind w:firstLine="0"/>
              <w:jc w:val="right"/>
              <w:rPr>
                <w:color w:val="000000"/>
                <w:sz w:val="20"/>
                <w:szCs w:val="20"/>
              </w:rPr>
            </w:pPr>
            <w:r w:rsidRPr="004761E0">
              <w:rPr>
                <w:color w:val="000000"/>
                <w:sz w:val="20"/>
                <w:szCs w:val="20"/>
              </w:rPr>
              <w:t>0</w:t>
            </w:r>
          </w:p>
        </w:tc>
        <w:tc>
          <w:tcPr>
            <w:tcW w:w="1701" w:type="dxa"/>
            <w:vAlign w:val="center"/>
            <w:hideMark/>
          </w:tcPr>
          <w:p w:rsidR="00885147" w:rsidRPr="004761E0" w:rsidRDefault="00885147" w:rsidP="00C83375">
            <w:pPr>
              <w:pStyle w:val="ac"/>
              <w:ind w:firstLine="0"/>
              <w:jc w:val="right"/>
              <w:rPr>
                <w:color w:val="000000"/>
                <w:sz w:val="20"/>
                <w:szCs w:val="20"/>
              </w:rPr>
            </w:pPr>
            <w:r w:rsidRPr="004761E0">
              <w:rPr>
                <w:color w:val="000000"/>
                <w:sz w:val="20"/>
                <w:szCs w:val="20"/>
              </w:rPr>
              <w:t>3</w:t>
            </w:r>
          </w:p>
        </w:tc>
        <w:tc>
          <w:tcPr>
            <w:tcW w:w="1807" w:type="dxa"/>
            <w:vAlign w:val="center"/>
            <w:hideMark/>
          </w:tcPr>
          <w:p w:rsidR="00885147" w:rsidRPr="004761E0" w:rsidRDefault="00885147" w:rsidP="00C83375">
            <w:pPr>
              <w:pStyle w:val="ac"/>
              <w:ind w:firstLine="0"/>
              <w:jc w:val="right"/>
              <w:rPr>
                <w:color w:val="000000"/>
                <w:sz w:val="20"/>
                <w:szCs w:val="20"/>
              </w:rPr>
            </w:pPr>
            <w:r w:rsidRPr="004761E0">
              <w:rPr>
                <w:color w:val="000000"/>
                <w:sz w:val="20"/>
                <w:szCs w:val="20"/>
              </w:rPr>
              <w:t>0</w:t>
            </w:r>
          </w:p>
        </w:tc>
      </w:tr>
      <w:tr w:rsidR="00885147" w:rsidRPr="004761E0" w:rsidTr="00885147">
        <w:trPr>
          <w:trHeight w:val="300"/>
        </w:trPr>
        <w:tc>
          <w:tcPr>
            <w:tcW w:w="1843" w:type="dxa"/>
            <w:vMerge/>
            <w:vAlign w:val="center"/>
            <w:hideMark/>
          </w:tcPr>
          <w:p w:rsidR="00885147" w:rsidRPr="004761E0" w:rsidRDefault="00885147" w:rsidP="009F385A">
            <w:pPr>
              <w:pStyle w:val="ac"/>
              <w:rPr>
                <w:color w:val="000000"/>
                <w:sz w:val="20"/>
                <w:szCs w:val="20"/>
              </w:rPr>
            </w:pPr>
          </w:p>
        </w:tc>
        <w:tc>
          <w:tcPr>
            <w:tcW w:w="1276" w:type="dxa"/>
            <w:vMerge/>
            <w:vAlign w:val="center"/>
            <w:hideMark/>
          </w:tcPr>
          <w:p w:rsidR="00885147" w:rsidRPr="004761E0" w:rsidRDefault="00885147" w:rsidP="009F385A">
            <w:pPr>
              <w:pStyle w:val="ac"/>
              <w:rPr>
                <w:color w:val="000000"/>
                <w:sz w:val="20"/>
                <w:szCs w:val="20"/>
              </w:rPr>
            </w:pPr>
          </w:p>
        </w:tc>
        <w:tc>
          <w:tcPr>
            <w:tcW w:w="3863" w:type="dxa"/>
            <w:vAlign w:val="center"/>
            <w:hideMark/>
          </w:tcPr>
          <w:p w:rsidR="00885147" w:rsidRPr="004761E0" w:rsidRDefault="00885147" w:rsidP="00C83375">
            <w:pPr>
              <w:pStyle w:val="ac"/>
              <w:ind w:firstLine="0"/>
              <w:rPr>
                <w:color w:val="000000"/>
                <w:sz w:val="20"/>
                <w:szCs w:val="20"/>
              </w:rPr>
            </w:pPr>
            <w:r w:rsidRPr="004761E0">
              <w:rPr>
                <w:color w:val="000000"/>
                <w:sz w:val="20"/>
                <w:szCs w:val="20"/>
              </w:rPr>
              <w:t>ФГБОУ ВПО «НИУ МЭИ»</w:t>
            </w:r>
          </w:p>
        </w:tc>
        <w:tc>
          <w:tcPr>
            <w:tcW w:w="1344" w:type="dxa"/>
            <w:vAlign w:val="center"/>
            <w:hideMark/>
          </w:tcPr>
          <w:p w:rsidR="00885147" w:rsidRPr="004761E0" w:rsidRDefault="00885147" w:rsidP="00C83375">
            <w:pPr>
              <w:pStyle w:val="ac"/>
              <w:ind w:firstLine="0"/>
              <w:rPr>
                <w:color w:val="000000"/>
                <w:sz w:val="20"/>
                <w:szCs w:val="20"/>
              </w:rPr>
            </w:pPr>
            <w:r w:rsidRPr="004761E0">
              <w:rPr>
                <w:color w:val="000000"/>
                <w:sz w:val="20"/>
                <w:szCs w:val="20"/>
              </w:rPr>
              <w:t>7722019652</w:t>
            </w:r>
          </w:p>
        </w:tc>
        <w:tc>
          <w:tcPr>
            <w:tcW w:w="1632" w:type="dxa"/>
            <w:vAlign w:val="center"/>
            <w:hideMark/>
          </w:tcPr>
          <w:p w:rsidR="00885147" w:rsidRPr="004761E0" w:rsidRDefault="00885147" w:rsidP="00C83375">
            <w:pPr>
              <w:pStyle w:val="ac"/>
              <w:ind w:firstLine="0"/>
              <w:jc w:val="right"/>
              <w:rPr>
                <w:color w:val="000000"/>
                <w:sz w:val="20"/>
                <w:szCs w:val="20"/>
              </w:rPr>
            </w:pPr>
            <w:r w:rsidRPr="004761E0">
              <w:rPr>
                <w:color w:val="000000"/>
                <w:sz w:val="20"/>
                <w:szCs w:val="20"/>
              </w:rPr>
              <w:t>0</w:t>
            </w:r>
          </w:p>
        </w:tc>
        <w:tc>
          <w:tcPr>
            <w:tcW w:w="1843" w:type="dxa"/>
            <w:vAlign w:val="center"/>
            <w:hideMark/>
          </w:tcPr>
          <w:p w:rsidR="00885147" w:rsidRPr="004761E0" w:rsidRDefault="00885147" w:rsidP="00C83375">
            <w:pPr>
              <w:pStyle w:val="ac"/>
              <w:ind w:firstLine="0"/>
              <w:jc w:val="right"/>
              <w:rPr>
                <w:color w:val="000000"/>
                <w:sz w:val="20"/>
                <w:szCs w:val="20"/>
              </w:rPr>
            </w:pPr>
            <w:r w:rsidRPr="004761E0">
              <w:rPr>
                <w:color w:val="000000"/>
                <w:sz w:val="20"/>
                <w:szCs w:val="20"/>
              </w:rPr>
              <w:t>0</w:t>
            </w:r>
          </w:p>
        </w:tc>
        <w:tc>
          <w:tcPr>
            <w:tcW w:w="1701" w:type="dxa"/>
            <w:vAlign w:val="center"/>
            <w:hideMark/>
          </w:tcPr>
          <w:p w:rsidR="00885147" w:rsidRPr="004761E0" w:rsidRDefault="00885147" w:rsidP="00C83375">
            <w:pPr>
              <w:pStyle w:val="ac"/>
              <w:ind w:firstLine="0"/>
              <w:jc w:val="right"/>
              <w:rPr>
                <w:color w:val="000000"/>
                <w:sz w:val="20"/>
                <w:szCs w:val="20"/>
              </w:rPr>
            </w:pPr>
            <w:r w:rsidRPr="004761E0">
              <w:rPr>
                <w:color w:val="000000"/>
                <w:sz w:val="20"/>
                <w:szCs w:val="20"/>
              </w:rPr>
              <w:t>3</w:t>
            </w:r>
          </w:p>
        </w:tc>
        <w:tc>
          <w:tcPr>
            <w:tcW w:w="1807" w:type="dxa"/>
            <w:vAlign w:val="center"/>
            <w:hideMark/>
          </w:tcPr>
          <w:p w:rsidR="00885147" w:rsidRPr="004761E0" w:rsidRDefault="00885147" w:rsidP="00C83375">
            <w:pPr>
              <w:pStyle w:val="ac"/>
              <w:ind w:firstLine="0"/>
              <w:jc w:val="right"/>
              <w:rPr>
                <w:color w:val="000000"/>
                <w:sz w:val="20"/>
                <w:szCs w:val="20"/>
              </w:rPr>
            </w:pPr>
            <w:r w:rsidRPr="004761E0">
              <w:rPr>
                <w:color w:val="000000"/>
                <w:sz w:val="20"/>
                <w:szCs w:val="20"/>
              </w:rPr>
              <w:t>324</w:t>
            </w:r>
          </w:p>
        </w:tc>
      </w:tr>
      <w:tr w:rsidR="00885147" w:rsidRPr="004761E0" w:rsidTr="00885147">
        <w:trPr>
          <w:trHeight w:val="300"/>
        </w:trPr>
        <w:tc>
          <w:tcPr>
            <w:tcW w:w="1843" w:type="dxa"/>
            <w:vMerge/>
            <w:vAlign w:val="center"/>
            <w:hideMark/>
          </w:tcPr>
          <w:p w:rsidR="00885147" w:rsidRPr="004761E0" w:rsidRDefault="00885147" w:rsidP="009F385A">
            <w:pPr>
              <w:pStyle w:val="ac"/>
              <w:rPr>
                <w:color w:val="000000"/>
                <w:sz w:val="20"/>
                <w:szCs w:val="20"/>
              </w:rPr>
            </w:pPr>
          </w:p>
        </w:tc>
        <w:tc>
          <w:tcPr>
            <w:tcW w:w="1276" w:type="dxa"/>
            <w:vMerge/>
            <w:vAlign w:val="center"/>
            <w:hideMark/>
          </w:tcPr>
          <w:p w:rsidR="00885147" w:rsidRPr="004761E0" w:rsidRDefault="00885147" w:rsidP="009F385A">
            <w:pPr>
              <w:pStyle w:val="ac"/>
              <w:rPr>
                <w:color w:val="000000"/>
                <w:sz w:val="20"/>
                <w:szCs w:val="20"/>
              </w:rPr>
            </w:pPr>
          </w:p>
        </w:tc>
        <w:tc>
          <w:tcPr>
            <w:tcW w:w="3863" w:type="dxa"/>
            <w:vAlign w:val="center"/>
            <w:hideMark/>
          </w:tcPr>
          <w:p w:rsidR="00885147" w:rsidRPr="004761E0" w:rsidRDefault="00885147" w:rsidP="00C83375">
            <w:pPr>
              <w:pStyle w:val="ac"/>
              <w:ind w:firstLine="0"/>
              <w:rPr>
                <w:color w:val="000000"/>
                <w:sz w:val="20"/>
                <w:szCs w:val="20"/>
              </w:rPr>
            </w:pPr>
            <w:r w:rsidRPr="004761E0">
              <w:rPr>
                <w:color w:val="000000"/>
                <w:sz w:val="20"/>
                <w:szCs w:val="20"/>
              </w:rPr>
              <w:t>ГОУ ВПО «ГУУ»</w:t>
            </w:r>
          </w:p>
        </w:tc>
        <w:tc>
          <w:tcPr>
            <w:tcW w:w="1344" w:type="dxa"/>
            <w:vAlign w:val="center"/>
            <w:hideMark/>
          </w:tcPr>
          <w:p w:rsidR="00885147" w:rsidRPr="004761E0" w:rsidRDefault="00885147" w:rsidP="00C83375">
            <w:pPr>
              <w:pStyle w:val="ac"/>
              <w:ind w:firstLine="0"/>
              <w:rPr>
                <w:color w:val="000000"/>
                <w:sz w:val="20"/>
                <w:szCs w:val="20"/>
              </w:rPr>
            </w:pPr>
            <w:r w:rsidRPr="004761E0">
              <w:rPr>
                <w:color w:val="000000"/>
                <w:sz w:val="20"/>
                <w:szCs w:val="20"/>
              </w:rPr>
              <w:t>7721037218</w:t>
            </w:r>
          </w:p>
        </w:tc>
        <w:tc>
          <w:tcPr>
            <w:tcW w:w="1632" w:type="dxa"/>
            <w:vAlign w:val="center"/>
            <w:hideMark/>
          </w:tcPr>
          <w:p w:rsidR="00885147" w:rsidRPr="004761E0" w:rsidRDefault="00885147" w:rsidP="00C83375">
            <w:pPr>
              <w:pStyle w:val="ac"/>
              <w:ind w:firstLine="0"/>
              <w:jc w:val="right"/>
              <w:rPr>
                <w:color w:val="000000"/>
                <w:sz w:val="20"/>
                <w:szCs w:val="20"/>
              </w:rPr>
            </w:pPr>
            <w:r w:rsidRPr="004761E0">
              <w:rPr>
                <w:color w:val="000000"/>
                <w:sz w:val="20"/>
                <w:szCs w:val="20"/>
              </w:rPr>
              <w:t>0</w:t>
            </w:r>
          </w:p>
        </w:tc>
        <w:tc>
          <w:tcPr>
            <w:tcW w:w="1843" w:type="dxa"/>
            <w:vAlign w:val="center"/>
            <w:hideMark/>
          </w:tcPr>
          <w:p w:rsidR="00885147" w:rsidRPr="004761E0" w:rsidRDefault="00885147" w:rsidP="00C83375">
            <w:pPr>
              <w:pStyle w:val="ac"/>
              <w:ind w:firstLine="0"/>
              <w:jc w:val="right"/>
              <w:rPr>
                <w:color w:val="000000"/>
                <w:sz w:val="20"/>
                <w:szCs w:val="20"/>
              </w:rPr>
            </w:pPr>
            <w:r w:rsidRPr="004761E0">
              <w:rPr>
                <w:color w:val="000000"/>
                <w:sz w:val="20"/>
                <w:szCs w:val="20"/>
              </w:rPr>
              <w:t>0</w:t>
            </w:r>
          </w:p>
        </w:tc>
        <w:tc>
          <w:tcPr>
            <w:tcW w:w="1701" w:type="dxa"/>
            <w:vAlign w:val="center"/>
            <w:hideMark/>
          </w:tcPr>
          <w:p w:rsidR="00885147" w:rsidRPr="004761E0" w:rsidRDefault="00885147" w:rsidP="00C83375">
            <w:pPr>
              <w:pStyle w:val="ac"/>
              <w:ind w:firstLine="0"/>
              <w:jc w:val="right"/>
              <w:rPr>
                <w:color w:val="000000"/>
                <w:sz w:val="20"/>
                <w:szCs w:val="20"/>
              </w:rPr>
            </w:pPr>
            <w:r w:rsidRPr="004761E0">
              <w:rPr>
                <w:color w:val="000000"/>
                <w:sz w:val="20"/>
                <w:szCs w:val="20"/>
              </w:rPr>
              <w:t>3</w:t>
            </w:r>
          </w:p>
        </w:tc>
        <w:tc>
          <w:tcPr>
            <w:tcW w:w="1807" w:type="dxa"/>
            <w:vAlign w:val="center"/>
            <w:hideMark/>
          </w:tcPr>
          <w:p w:rsidR="00885147" w:rsidRPr="004761E0" w:rsidRDefault="00885147" w:rsidP="00C83375">
            <w:pPr>
              <w:pStyle w:val="ac"/>
              <w:ind w:firstLine="0"/>
              <w:jc w:val="right"/>
              <w:rPr>
                <w:color w:val="000000"/>
                <w:sz w:val="20"/>
                <w:szCs w:val="20"/>
              </w:rPr>
            </w:pPr>
            <w:r w:rsidRPr="004761E0">
              <w:rPr>
                <w:color w:val="000000"/>
                <w:sz w:val="20"/>
                <w:szCs w:val="20"/>
              </w:rPr>
              <w:t>304</w:t>
            </w:r>
          </w:p>
        </w:tc>
      </w:tr>
    </w:tbl>
    <w:p w:rsidR="00885147" w:rsidRPr="004761E0" w:rsidRDefault="00136A10" w:rsidP="009F385A">
      <w:pPr>
        <w:pStyle w:val="ac"/>
        <w:rPr>
          <w:lang w:eastAsia="ru-RU"/>
        </w:rPr>
        <w:sectPr w:rsidR="00885147" w:rsidRPr="004761E0" w:rsidSect="00885147">
          <w:pgSz w:w="16838" w:h="11906" w:orient="landscape"/>
          <w:pgMar w:top="1701" w:right="1134" w:bottom="851" w:left="1134" w:header="709" w:footer="709" w:gutter="0"/>
          <w:cols w:space="708"/>
          <w:docGrid w:linePitch="360"/>
        </w:sectPr>
      </w:pPr>
      <w:r w:rsidRPr="004761E0">
        <w:rPr>
          <w:lang w:eastAsia="ru-RU"/>
        </w:rPr>
        <w:br w:type="page"/>
      </w:r>
      <w:bookmarkStart w:id="118" w:name="_Toc380576944"/>
    </w:p>
    <w:p w:rsidR="00453705" w:rsidRPr="004761E0" w:rsidRDefault="00E34ACB" w:rsidP="007076A7">
      <w:pPr>
        <w:pStyle w:val="a8"/>
        <w:numPr>
          <w:ilvl w:val="1"/>
          <w:numId w:val="321"/>
        </w:numPr>
        <w:spacing w:before="120" w:after="120"/>
        <w:ind w:left="1134" w:hanging="567"/>
        <w:jc w:val="both"/>
        <w:rPr>
          <w:rFonts w:ascii="Times New Roman" w:hAnsi="Times New Roman"/>
          <w:b/>
          <w:sz w:val="26"/>
          <w:szCs w:val="26"/>
        </w:rPr>
      </w:pPr>
      <w:bookmarkStart w:id="119" w:name="_Toc385339840"/>
      <w:r w:rsidRPr="004761E0">
        <w:rPr>
          <w:rFonts w:ascii="Times New Roman" w:hAnsi="Times New Roman"/>
          <w:b/>
          <w:sz w:val="26"/>
          <w:szCs w:val="26"/>
        </w:rPr>
        <w:lastRenderedPageBreak/>
        <w:t>Информационные технологии и телекоммуникации</w:t>
      </w:r>
      <w:bookmarkEnd w:id="118"/>
      <w:bookmarkEnd w:id="119"/>
    </w:p>
    <w:p w:rsidR="001F1931" w:rsidRPr="004761E0" w:rsidRDefault="001F1931" w:rsidP="001F1931">
      <w:pPr>
        <w:pStyle w:val="a5"/>
        <w:ind w:left="0" w:firstLine="567"/>
        <w:rPr>
          <w:sz w:val="26"/>
          <w:szCs w:val="26"/>
        </w:rPr>
      </w:pPr>
      <w:r w:rsidRPr="004761E0">
        <w:rPr>
          <w:sz w:val="26"/>
          <w:szCs w:val="26"/>
        </w:rPr>
        <w:t>Автоматизация бизнес-процессов и выстроенная система телекоммуникаций позволяют Компании работать над достижением одной из главных целей – повышения надежности электроснабжения.</w:t>
      </w:r>
    </w:p>
    <w:p w:rsidR="001F1931" w:rsidRPr="004761E0" w:rsidRDefault="001F1931" w:rsidP="001F1931">
      <w:pPr>
        <w:pStyle w:val="a5"/>
        <w:ind w:left="0" w:firstLine="567"/>
        <w:contextualSpacing w:val="0"/>
        <w:rPr>
          <w:sz w:val="26"/>
          <w:szCs w:val="26"/>
        </w:rPr>
      </w:pPr>
      <w:r w:rsidRPr="004761E0">
        <w:rPr>
          <w:sz w:val="26"/>
          <w:szCs w:val="26"/>
        </w:rPr>
        <w:t xml:space="preserve">Целевое состояние информационных технологий, автоматизации и телекоммуникаций, выраженное целевыми моделями и последовательностью действий по их достижению, основанное на принципах экономической эффективности и конечной результативности, описаны в Стратегии в области информационных технологий, автоматизации и телекоммуникаций до 2016 года. </w:t>
      </w:r>
    </w:p>
    <w:p w:rsidR="001F1931" w:rsidRPr="004761E0" w:rsidRDefault="001F1931" w:rsidP="001F1931">
      <w:pPr>
        <w:pStyle w:val="a5"/>
        <w:ind w:left="0" w:firstLine="567"/>
        <w:contextualSpacing w:val="0"/>
        <w:rPr>
          <w:sz w:val="26"/>
          <w:szCs w:val="26"/>
        </w:rPr>
      </w:pPr>
      <w:r w:rsidRPr="004761E0">
        <w:rPr>
          <w:sz w:val="26"/>
          <w:szCs w:val="26"/>
        </w:rPr>
        <w:t>Программа перехода к целевому состоянию включает в себя укрупненный план выполнения мероприятий и перечень программ  Общества</w:t>
      </w:r>
      <w:r>
        <w:rPr>
          <w:sz w:val="26"/>
          <w:szCs w:val="26"/>
        </w:rPr>
        <w:t xml:space="preserve"> </w:t>
      </w:r>
      <w:r w:rsidRPr="004761E0">
        <w:rPr>
          <w:sz w:val="26"/>
          <w:szCs w:val="26"/>
        </w:rPr>
        <w:t xml:space="preserve">до 2016 года, состоящих из ИТ-инициатив: </w:t>
      </w:r>
    </w:p>
    <w:p w:rsidR="001F1931" w:rsidRPr="004761E0" w:rsidRDefault="001F1931" w:rsidP="007076A7">
      <w:pPr>
        <w:pStyle w:val="a5"/>
        <w:numPr>
          <w:ilvl w:val="0"/>
          <w:numId w:val="302"/>
        </w:numPr>
        <w:spacing w:after="200" w:line="276" w:lineRule="auto"/>
        <w:ind w:left="1134" w:hanging="567"/>
        <w:rPr>
          <w:sz w:val="26"/>
          <w:szCs w:val="26"/>
        </w:rPr>
      </w:pPr>
      <w:r w:rsidRPr="004761E0">
        <w:rPr>
          <w:bCs/>
          <w:sz w:val="26"/>
          <w:szCs w:val="26"/>
        </w:rPr>
        <w:t>Программа комплексной автоматизации производственной и финансово-хозяйственной деятельности</w:t>
      </w:r>
      <w:r w:rsidRPr="006F4AB8">
        <w:rPr>
          <w:rStyle w:val="af1"/>
        </w:rPr>
        <w:footnoteReference w:id="120"/>
      </w:r>
      <w:r w:rsidRPr="004761E0">
        <w:rPr>
          <w:bCs/>
          <w:sz w:val="26"/>
          <w:szCs w:val="26"/>
        </w:rPr>
        <w:t>;</w:t>
      </w:r>
    </w:p>
    <w:p w:rsidR="001F1931" w:rsidRPr="004761E0" w:rsidRDefault="001F1931" w:rsidP="007076A7">
      <w:pPr>
        <w:pStyle w:val="a5"/>
        <w:numPr>
          <w:ilvl w:val="0"/>
          <w:numId w:val="302"/>
        </w:numPr>
        <w:spacing w:after="200" w:line="276" w:lineRule="auto"/>
        <w:ind w:left="1134" w:hanging="567"/>
        <w:rPr>
          <w:bCs/>
          <w:sz w:val="26"/>
          <w:szCs w:val="26"/>
        </w:rPr>
      </w:pPr>
      <w:r w:rsidRPr="004761E0">
        <w:rPr>
          <w:bCs/>
          <w:sz w:val="26"/>
          <w:szCs w:val="26"/>
        </w:rPr>
        <w:t>Программа оптимизации и развития ИТТ-инфраструктуры;</w:t>
      </w:r>
    </w:p>
    <w:p w:rsidR="001F1931" w:rsidRPr="004761E0" w:rsidRDefault="001F1931" w:rsidP="007076A7">
      <w:pPr>
        <w:pStyle w:val="a5"/>
        <w:numPr>
          <w:ilvl w:val="0"/>
          <w:numId w:val="302"/>
        </w:numPr>
        <w:spacing w:after="200" w:line="276" w:lineRule="auto"/>
        <w:ind w:left="1134" w:hanging="567"/>
        <w:rPr>
          <w:bCs/>
          <w:sz w:val="26"/>
          <w:szCs w:val="26"/>
        </w:rPr>
      </w:pPr>
      <w:r w:rsidRPr="004761E0">
        <w:rPr>
          <w:bCs/>
          <w:sz w:val="26"/>
          <w:szCs w:val="26"/>
        </w:rPr>
        <w:t>Программа развития автоматизированных систем управления учетом электроэнергии</w:t>
      </w:r>
      <w:r w:rsidRPr="006F4AB8">
        <w:rPr>
          <w:rStyle w:val="af1"/>
        </w:rPr>
        <w:footnoteReference w:id="121"/>
      </w:r>
      <w:r w:rsidRPr="004761E0">
        <w:rPr>
          <w:bCs/>
          <w:sz w:val="26"/>
          <w:szCs w:val="26"/>
        </w:rPr>
        <w:t>;</w:t>
      </w:r>
    </w:p>
    <w:p w:rsidR="001F1931" w:rsidRPr="004761E0" w:rsidRDefault="001F1931" w:rsidP="007076A7">
      <w:pPr>
        <w:pStyle w:val="a5"/>
        <w:numPr>
          <w:ilvl w:val="0"/>
          <w:numId w:val="302"/>
        </w:numPr>
        <w:spacing w:after="200" w:line="276" w:lineRule="auto"/>
        <w:ind w:left="1134" w:hanging="567"/>
        <w:rPr>
          <w:bCs/>
          <w:sz w:val="26"/>
          <w:szCs w:val="26"/>
        </w:rPr>
      </w:pPr>
      <w:r w:rsidRPr="004761E0">
        <w:rPr>
          <w:bCs/>
          <w:sz w:val="26"/>
          <w:szCs w:val="26"/>
        </w:rPr>
        <w:t>Программа развития систем ИТТ-безопасности;</w:t>
      </w:r>
    </w:p>
    <w:p w:rsidR="001F1931" w:rsidRPr="004761E0" w:rsidRDefault="001F1931" w:rsidP="007076A7">
      <w:pPr>
        <w:pStyle w:val="a5"/>
        <w:numPr>
          <w:ilvl w:val="0"/>
          <w:numId w:val="302"/>
        </w:numPr>
        <w:spacing w:after="200" w:line="276" w:lineRule="auto"/>
        <w:ind w:left="1134" w:hanging="567"/>
        <w:rPr>
          <w:bCs/>
          <w:sz w:val="26"/>
          <w:szCs w:val="26"/>
        </w:rPr>
      </w:pPr>
      <w:r w:rsidRPr="004761E0">
        <w:rPr>
          <w:bCs/>
          <w:sz w:val="26"/>
          <w:szCs w:val="26"/>
        </w:rPr>
        <w:t>Программа оптимизации деятельности и управления организации ИТТ;</w:t>
      </w:r>
    </w:p>
    <w:p w:rsidR="001F1931" w:rsidRPr="004761E0" w:rsidRDefault="001F1931" w:rsidP="007076A7">
      <w:pPr>
        <w:pStyle w:val="a5"/>
        <w:numPr>
          <w:ilvl w:val="0"/>
          <w:numId w:val="302"/>
        </w:numPr>
        <w:spacing w:after="200" w:line="276" w:lineRule="auto"/>
        <w:ind w:left="1134" w:hanging="567"/>
        <w:rPr>
          <w:bCs/>
          <w:sz w:val="26"/>
          <w:szCs w:val="26"/>
        </w:rPr>
      </w:pPr>
      <w:r w:rsidRPr="004761E0">
        <w:rPr>
          <w:bCs/>
          <w:sz w:val="26"/>
          <w:szCs w:val="26"/>
        </w:rPr>
        <w:t>Программа развития автоматизированных систем технологического управления;</w:t>
      </w:r>
    </w:p>
    <w:p w:rsidR="001F1931" w:rsidRDefault="001F1931" w:rsidP="007076A7">
      <w:pPr>
        <w:pStyle w:val="a5"/>
        <w:numPr>
          <w:ilvl w:val="0"/>
          <w:numId w:val="302"/>
        </w:numPr>
        <w:spacing w:after="200" w:line="276" w:lineRule="auto"/>
        <w:ind w:left="1134" w:hanging="567"/>
        <w:rPr>
          <w:b/>
          <w:u w:val="single"/>
        </w:rPr>
      </w:pPr>
      <w:r w:rsidRPr="004761E0">
        <w:rPr>
          <w:bCs/>
          <w:sz w:val="26"/>
          <w:szCs w:val="26"/>
        </w:rPr>
        <w:t>Программа развития телекоммуникационного обеспечения.</w:t>
      </w:r>
    </w:p>
    <w:p w:rsidR="00585397" w:rsidRDefault="00585397">
      <w:pPr>
        <w:ind w:firstLine="0"/>
        <w:jc w:val="left"/>
        <w:rPr>
          <w:b/>
          <w:u w:val="single"/>
        </w:rPr>
      </w:pPr>
      <w:r>
        <w:rPr>
          <w:b/>
          <w:u w:val="single"/>
        </w:rPr>
        <w:br w:type="page"/>
      </w:r>
    </w:p>
    <w:p w:rsidR="00D96C48" w:rsidRPr="00585397" w:rsidRDefault="00D96C48" w:rsidP="007076A7">
      <w:pPr>
        <w:pStyle w:val="a8"/>
        <w:numPr>
          <w:ilvl w:val="1"/>
          <w:numId w:val="321"/>
        </w:numPr>
        <w:spacing w:before="120" w:after="120"/>
        <w:ind w:left="1134" w:hanging="567"/>
        <w:jc w:val="both"/>
        <w:rPr>
          <w:rFonts w:ascii="Times New Roman" w:hAnsi="Times New Roman"/>
          <w:b/>
          <w:sz w:val="26"/>
          <w:szCs w:val="26"/>
        </w:rPr>
      </w:pPr>
      <w:bookmarkStart w:id="120" w:name="_Toc385339841"/>
      <w:r w:rsidRPr="00585397">
        <w:rPr>
          <w:rFonts w:ascii="Times New Roman" w:hAnsi="Times New Roman"/>
          <w:b/>
          <w:sz w:val="26"/>
          <w:szCs w:val="26"/>
        </w:rPr>
        <w:lastRenderedPageBreak/>
        <w:t>Информационные технологии</w:t>
      </w:r>
      <w:bookmarkEnd w:id="120"/>
    </w:p>
    <w:p w:rsidR="001F1931" w:rsidRPr="004761E0" w:rsidRDefault="001F1931" w:rsidP="001F1931">
      <w:pPr>
        <w:spacing w:before="120" w:after="120"/>
        <w:ind w:firstLine="567"/>
        <w:rPr>
          <w:b/>
          <w:sz w:val="26"/>
          <w:szCs w:val="26"/>
        </w:rPr>
      </w:pPr>
      <w:r w:rsidRPr="004761E0">
        <w:rPr>
          <w:b/>
          <w:sz w:val="26"/>
          <w:szCs w:val="26"/>
        </w:rPr>
        <w:t>Раз</w:t>
      </w:r>
      <w:r>
        <w:rPr>
          <w:b/>
          <w:sz w:val="26"/>
          <w:szCs w:val="26"/>
        </w:rPr>
        <w:t>витие информационных технологий</w:t>
      </w:r>
    </w:p>
    <w:p w:rsidR="001F1931" w:rsidRPr="004761E0" w:rsidRDefault="0008080E" w:rsidP="001F1931">
      <w:pPr>
        <w:pStyle w:val="a5"/>
        <w:spacing w:before="120"/>
        <w:ind w:left="0" w:firstLine="567"/>
        <w:contextualSpacing w:val="0"/>
        <w:rPr>
          <w:sz w:val="26"/>
          <w:szCs w:val="26"/>
        </w:rPr>
      </w:pPr>
      <w:r>
        <w:rPr>
          <w:sz w:val="26"/>
          <w:szCs w:val="26"/>
        </w:rPr>
        <w:t>ОАО </w:t>
      </w:r>
      <w:r w:rsidR="001F1931" w:rsidRPr="004761E0">
        <w:rPr>
          <w:sz w:val="26"/>
          <w:szCs w:val="26"/>
        </w:rPr>
        <w:t xml:space="preserve">«МОЭСК» совершенствует применяемые информационные технологии также и с целью снижения вероятности технических ошибок сотрудников(за счет автоматизированного контроля операций, хранения информации об изменениях, системы разделения полномочий и ответственности и т.д.). </w:t>
      </w:r>
    </w:p>
    <w:p w:rsidR="001F1931" w:rsidRPr="004761E0" w:rsidRDefault="001F1931" w:rsidP="001F1931">
      <w:pPr>
        <w:ind w:firstLine="567"/>
        <w:rPr>
          <w:sz w:val="26"/>
          <w:szCs w:val="26"/>
        </w:rPr>
      </w:pPr>
      <w:r w:rsidRPr="004761E0">
        <w:rPr>
          <w:sz w:val="26"/>
          <w:szCs w:val="26"/>
        </w:rPr>
        <w:t xml:space="preserve">В 2013 году реализованы следующие проекты: </w:t>
      </w:r>
    </w:p>
    <w:p w:rsidR="001F1931" w:rsidRDefault="001F1931" w:rsidP="007076A7">
      <w:pPr>
        <w:pStyle w:val="a5"/>
        <w:numPr>
          <w:ilvl w:val="0"/>
          <w:numId w:val="304"/>
        </w:numPr>
        <w:ind w:left="1134" w:hanging="567"/>
        <w:contextualSpacing w:val="0"/>
        <w:rPr>
          <w:sz w:val="26"/>
          <w:szCs w:val="26"/>
        </w:rPr>
      </w:pPr>
      <w:r>
        <w:rPr>
          <w:sz w:val="26"/>
          <w:szCs w:val="26"/>
        </w:rPr>
        <w:t xml:space="preserve">проектирование структурированной кабельной сети уровня РЭС (для 130 зданий); </w:t>
      </w:r>
    </w:p>
    <w:p w:rsidR="001F1931" w:rsidRPr="004761E0" w:rsidRDefault="001F1931" w:rsidP="007076A7">
      <w:pPr>
        <w:pStyle w:val="a5"/>
        <w:numPr>
          <w:ilvl w:val="0"/>
          <w:numId w:val="304"/>
        </w:numPr>
        <w:ind w:left="1134" w:hanging="567"/>
        <w:contextualSpacing w:val="0"/>
        <w:rPr>
          <w:sz w:val="26"/>
          <w:szCs w:val="26"/>
        </w:rPr>
      </w:pPr>
      <w:r w:rsidRPr="004761E0">
        <w:rPr>
          <w:sz w:val="26"/>
          <w:szCs w:val="26"/>
        </w:rPr>
        <w:t>внедрена централизованная автоматизированная система управления дебиторской задолженностью Общества и ДЗО;</w:t>
      </w:r>
    </w:p>
    <w:p w:rsidR="001F1931" w:rsidRPr="004761E0" w:rsidRDefault="001F1931" w:rsidP="007076A7">
      <w:pPr>
        <w:pStyle w:val="a5"/>
        <w:numPr>
          <w:ilvl w:val="0"/>
          <w:numId w:val="304"/>
        </w:numPr>
        <w:ind w:left="1134" w:hanging="567"/>
        <w:contextualSpacing w:val="0"/>
        <w:rPr>
          <w:sz w:val="26"/>
          <w:szCs w:val="26"/>
        </w:rPr>
      </w:pPr>
      <w:r w:rsidRPr="004761E0">
        <w:rPr>
          <w:sz w:val="26"/>
          <w:szCs w:val="26"/>
        </w:rPr>
        <w:t>внедрена автоматизированная система учета аварийности Общества и ДЗО;</w:t>
      </w:r>
    </w:p>
    <w:p w:rsidR="001F1931" w:rsidRPr="004761E0" w:rsidRDefault="001F1931" w:rsidP="007076A7">
      <w:pPr>
        <w:pStyle w:val="a5"/>
        <w:numPr>
          <w:ilvl w:val="0"/>
          <w:numId w:val="304"/>
        </w:numPr>
        <w:ind w:left="1134" w:hanging="567"/>
        <w:contextualSpacing w:val="0"/>
        <w:rPr>
          <w:sz w:val="26"/>
          <w:szCs w:val="26"/>
        </w:rPr>
      </w:pPr>
      <w:r w:rsidRPr="004761E0">
        <w:rPr>
          <w:sz w:val="26"/>
          <w:szCs w:val="26"/>
        </w:rPr>
        <w:t>организовано внедрение автоматизированных систем паспортизации оборудования ДЗО;</w:t>
      </w:r>
    </w:p>
    <w:p w:rsidR="001F1931" w:rsidRPr="004761E0" w:rsidRDefault="001F1931" w:rsidP="007076A7">
      <w:pPr>
        <w:pStyle w:val="a5"/>
        <w:numPr>
          <w:ilvl w:val="0"/>
          <w:numId w:val="304"/>
        </w:numPr>
        <w:ind w:left="1134" w:hanging="567"/>
        <w:contextualSpacing w:val="0"/>
        <w:rPr>
          <w:sz w:val="26"/>
          <w:szCs w:val="26"/>
        </w:rPr>
      </w:pPr>
      <w:r w:rsidRPr="004761E0">
        <w:rPr>
          <w:sz w:val="26"/>
          <w:szCs w:val="26"/>
        </w:rPr>
        <w:t>внедрен каталог ИТТ-услуг в интересах Общества и  ДЗО.</w:t>
      </w:r>
    </w:p>
    <w:p w:rsidR="001F1931" w:rsidRPr="004761E0" w:rsidRDefault="001F1931" w:rsidP="001F1931">
      <w:pPr>
        <w:ind w:firstLine="567"/>
        <w:rPr>
          <w:sz w:val="26"/>
          <w:szCs w:val="26"/>
        </w:rPr>
      </w:pPr>
      <w:r w:rsidRPr="004761E0">
        <w:rPr>
          <w:sz w:val="26"/>
          <w:szCs w:val="26"/>
        </w:rPr>
        <w:t xml:space="preserve">Кроме того, в 2013 году запущены, но не завершены следующие проекты: </w:t>
      </w:r>
    </w:p>
    <w:p w:rsidR="001F1931" w:rsidRPr="004761E0" w:rsidRDefault="001F1931" w:rsidP="007076A7">
      <w:pPr>
        <w:pStyle w:val="a5"/>
        <w:numPr>
          <w:ilvl w:val="0"/>
          <w:numId w:val="305"/>
        </w:numPr>
        <w:ind w:left="1134" w:hanging="567"/>
        <w:contextualSpacing w:val="0"/>
        <w:rPr>
          <w:sz w:val="26"/>
          <w:szCs w:val="26"/>
        </w:rPr>
      </w:pPr>
      <w:r w:rsidRPr="004761E0">
        <w:rPr>
          <w:sz w:val="26"/>
          <w:szCs w:val="26"/>
        </w:rPr>
        <w:t>внедрение централизованной автоматизированной системы бюджетного планирования, бухгалтерского и управленческого учета, консолидации по МСФО (в части бухгалтерского учета проект  реализован);</w:t>
      </w:r>
    </w:p>
    <w:p w:rsidR="001F1931" w:rsidRPr="004761E0" w:rsidRDefault="001F1931" w:rsidP="007076A7">
      <w:pPr>
        <w:pStyle w:val="a5"/>
        <w:numPr>
          <w:ilvl w:val="0"/>
          <w:numId w:val="305"/>
        </w:numPr>
        <w:ind w:left="1134" w:hanging="567"/>
        <w:contextualSpacing w:val="0"/>
        <w:rPr>
          <w:sz w:val="26"/>
          <w:szCs w:val="26"/>
        </w:rPr>
      </w:pPr>
      <w:r w:rsidRPr="004761E0">
        <w:rPr>
          <w:sz w:val="26"/>
          <w:szCs w:val="26"/>
        </w:rPr>
        <w:t>внедрение централизованной автоматизированной системы управления инвестициями Общества и ДЗО (реализована 1-я очередь централизованной автоматизированной системы управления инвестициями);</w:t>
      </w:r>
    </w:p>
    <w:p w:rsidR="001F1931" w:rsidRPr="004761E0" w:rsidRDefault="001F1931" w:rsidP="007076A7">
      <w:pPr>
        <w:pStyle w:val="a5"/>
        <w:numPr>
          <w:ilvl w:val="0"/>
          <w:numId w:val="305"/>
        </w:numPr>
        <w:ind w:left="1134" w:hanging="567"/>
        <w:contextualSpacing w:val="0"/>
        <w:rPr>
          <w:sz w:val="26"/>
          <w:szCs w:val="26"/>
        </w:rPr>
      </w:pPr>
      <w:r w:rsidRPr="004761E0">
        <w:rPr>
          <w:sz w:val="26"/>
          <w:szCs w:val="26"/>
        </w:rPr>
        <w:t xml:space="preserve">контроль реализации проектов внедрения отраслевого решения на базе SAP в интересах </w:t>
      </w:r>
      <w:r w:rsidR="0008080E">
        <w:rPr>
          <w:sz w:val="26"/>
          <w:szCs w:val="26"/>
        </w:rPr>
        <w:t>ОАО </w:t>
      </w:r>
      <w:r w:rsidRPr="004761E0">
        <w:rPr>
          <w:sz w:val="26"/>
          <w:szCs w:val="26"/>
        </w:rPr>
        <w:t xml:space="preserve">«Ленэнерго», </w:t>
      </w:r>
      <w:r w:rsidR="0008080E">
        <w:rPr>
          <w:sz w:val="26"/>
          <w:szCs w:val="26"/>
        </w:rPr>
        <w:t>ОАО </w:t>
      </w:r>
      <w:r w:rsidRPr="004761E0">
        <w:rPr>
          <w:sz w:val="26"/>
          <w:szCs w:val="26"/>
        </w:rPr>
        <w:t xml:space="preserve">«МРСК Северо-Запада», </w:t>
      </w:r>
      <w:r w:rsidR="0008080E">
        <w:rPr>
          <w:sz w:val="26"/>
          <w:szCs w:val="26"/>
        </w:rPr>
        <w:t>ОАО </w:t>
      </w:r>
      <w:r w:rsidRPr="004761E0">
        <w:rPr>
          <w:sz w:val="26"/>
          <w:szCs w:val="26"/>
        </w:rPr>
        <w:t xml:space="preserve">«МРСК Юга», </w:t>
      </w:r>
      <w:r w:rsidR="0008080E">
        <w:rPr>
          <w:sz w:val="26"/>
          <w:szCs w:val="26"/>
        </w:rPr>
        <w:t>ОАО </w:t>
      </w:r>
      <w:r w:rsidRPr="004761E0">
        <w:rPr>
          <w:sz w:val="26"/>
          <w:szCs w:val="26"/>
        </w:rPr>
        <w:t xml:space="preserve">«Тюменьэнерго», </w:t>
      </w:r>
      <w:r w:rsidR="0008080E">
        <w:rPr>
          <w:sz w:val="26"/>
          <w:szCs w:val="26"/>
        </w:rPr>
        <w:t>ОАО </w:t>
      </w:r>
      <w:r w:rsidRPr="004761E0">
        <w:rPr>
          <w:sz w:val="26"/>
          <w:szCs w:val="26"/>
        </w:rPr>
        <w:t>«МОЭСК».</w:t>
      </w:r>
    </w:p>
    <w:p w:rsidR="001F1931" w:rsidRPr="004761E0" w:rsidRDefault="001F1931" w:rsidP="001F1931">
      <w:pPr>
        <w:spacing w:before="120" w:after="120"/>
        <w:ind w:firstLine="567"/>
        <w:rPr>
          <w:b/>
          <w:sz w:val="26"/>
          <w:szCs w:val="26"/>
        </w:rPr>
      </w:pPr>
      <w:r w:rsidRPr="00585397">
        <w:rPr>
          <w:b/>
          <w:sz w:val="26"/>
          <w:szCs w:val="26"/>
        </w:rPr>
        <w:t>З</w:t>
      </w:r>
      <w:r w:rsidRPr="004761E0">
        <w:rPr>
          <w:b/>
          <w:sz w:val="26"/>
          <w:szCs w:val="26"/>
        </w:rPr>
        <w:t>адачи и мероприятия, запланированные на 2014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803"/>
        <w:gridCol w:w="7050"/>
      </w:tblGrid>
      <w:tr w:rsidR="001F1931" w:rsidRPr="004761E0" w:rsidTr="00B020D2">
        <w:tc>
          <w:tcPr>
            <w:tcW w:w="503" w:type="dxa"/>
            <w:tcBorders>
              <w:right w:val="single" w:sz="4" w:space="0" w:color="FFFFFF"/>
            </w:tcBorders>
            <w:shd w:val="clear" w:color="auto" w:fill="0F243E"/>
            <w:vAlign w:val="center"/>
          </w:tcPr>
          <w:p w:rsidR="001F1931" w:rsidRPr="004761E0" w:rsidRDefault="001F1931" w:rsidP="00B020D2">
            <w:pPr>
              <w:ind w:firstLine="0"/>
              <w:rPr>
                <w:b/>
                <w:sz w:val="20"/>
                <w:szCs w:val="20"/>
              </w:rPr>
            </w:pPr>
            <w:r w:rsidRPr="004761E0">
              <w:rPr>
                <w:b/>
                <w:sz w:val="20"/>
                <w:szCs w:val="20"/>
              </w:rPr>
              <w:t>№ п/п</w:t>
            </w:r>
          </w:p>
        </w:tc>
        <w:tc>
          <w:tcPr>
            <w:tcW w:w="1803" w:type="dxa"/>
            <w:tcBorders>
              <w:left w:val="single" w:sz="4" w:space="0" w:color="FFFFFF"/>
              <w:right w:val="single" w:sz="4" w:space="0" w:color="FFFFFF"/>
            </w:tcBorders>
            <w:shd w:val="clear" w:color="auto" w:fill="0F243E"/>
            <w:vAlign w:val="center"/>
          </w:tcPr>
          <w:p w:rsidR="001F1931" w:rsidRPr="004761E0" w:rsidRDefault="001F1931" w:rsidP="00B020D2">
            <w:pPr>
              <w:ind w:firstLine="0"/>
              <w:rPr>
                <w:b/>
                <w:sz w:val="20"/>
                <w:szCs w:val="20"/>
              </w:rPr>
            </w:pPr>
            <w:r w:rsidRPr="004761E0">
              <w:rPr>
                <w:b/>
                <w:sz w:val="20"/>
                <w:szCs w:val="20"/>
              </w:rPr>
              <w:t>Задача</w:t>
            </w:r>
          </w:p>
        </w:tc>
        <w:tc>
          <w:tcPr>
            <w:tcW w:w="7050" w:type="dxa"/>
            <w:tcBorders>
              <w:left w:val="single" w:sz="4" w:space="0" w:color="FFFFFF"/>
            </w:tcBorders>
            <w:shd w:val="clear" w:color="auto" w:fill="0F243E"/>
            <w:vAlign w:val="center"/>
          </w:tcPr>
          <w:p w:rsidR="001F1931" w:rsidRPr="004761E0" w:rsidRDefault="001F1931" w:rsidP="00B020D2">
            <w:pPr>
              <w:ind w:firstLine="0"/>
              <w:rPr>
                <w:b/>
                <w:sz w:val="20"/>
                <w:szCs w:val="20"/>
              </w:rPr>
            </w:pPr>
            <w:r w:rsidRPr="004761E0">
              <w:rPr>
                <w:b/>
                <w:sz w:val="20"/>
                <w:szCs w:val="20"/>
              </w:rPr>
              <w:t>Мероприятия</w:t>
            </w:r>
          </w:p>
        </w:tc>
      </w:tr>
      <w:tr w:rsidR="001F1931" w:rsidRPr="004761E0" w:rsidTr="00B020D2">
        <w:tc>
          <w:tcPr>
            <w:tcW w:w="503" w:type="dxa"/>
          </w:tcPr>
          <w:p w:rsidR="001F1931" w:rsidRPr="004761E0" w:rsidRDefault="001F1931" w:rsidP="007076A7">
            <w:pPr>
              <w:pStyle w:val="a5"/>
              <w:numPr>
                <w:ilvl w:val="0"/>
                <w:numId w:val="306"/>
              </w:numPr>
              <w:rPr>
                <w:sz w:val="20"/>
                <w:szCs w:val="20"/>
              </w:rPr>
            </w:pPr>
          </w:p>
        </w:tc>
        <w:tc>
          <w:tcPr>
            <w:tcW w:w="1803" w:type="dxa"/>
          </w:tcPr>
          <w:p w:rsidR="001F1931" w:rsidRPr="004761E0" w:rsidRDefault="001F1931" w:rsidP="00B020D2">
            <w:pPr>
              <w:ind w:firstLine="0"/>
              <w:jc w:val="left"/>
              <w:rPr>
                <w:b/>
                <w:sz w:val="20"/>
                <w:szCs w:val="20"/>
              </w:rPr>
            </w:pPr>
            <w:r w:rsidRPr="004761E0">
              <w:rPr>
                <w:bCs/>
                <w:sz w:val="20"/>
                <w:szCs w:val="20"/>
              </w:rPr>
              <w:t>Перевод документооборота в электронный вид</w:t>
            </w:r>
          </w:p>
        </w:tc>
        <w:tc>
          <w:tcPr>
            <w:tcW w:w="7050" w:type="dxa"/>
          </w:tcPr>
          <w:p w:rsidR="001F1931" w:rsidRPr="004761E0" w:rsidRDefault="001F1931" w:rsidP="007076A7">
            <w:pPr>
              <w:pStyle w:val="a5"/>
              <w:numPr>
                <w:ilvl w:val="0"/>
                <w:numId w:val="303"/>
              </w:numPr>
              <w:jc w:val="left"/>
              <w:rPr>
                <w:sz w:val="20"/>
                <w:szCs w:val="20"/>
              </w:rPr>
            </w:pPr>
            <w:r w:rsidRPr="004761E0">
              <w:rPr>
                <w:bCs/>
                <w:sz w:val="20"/>
                <w:szCs w:val="20"/>
              </w:rPr>
              <w:t xml:space="preserve">перевод в филиале Энергоучет документооборота с клиентами-юридическими лицами в электронный документооборот в личном кабинете; </w:t>
            </w:r>
          </w:p>
          <w:p w:rsidR="001F1931" w:rsidRPr="004761E0" w:rsidRDefault="001F1931" w:rsidP="007076A7">
            <w:pPr>
              <w:pStyle w:val="a5"/>
              <w:numPr>
                <w:ilvl w:val="0"/>
                <w:numId w:val="303"/>
              </w:numPr>
              <w:jc w:val="left"/>
              <w:rPr>
                <w:b/>
                <w:sz w:val="20"/>
                <w:szCs w:val="20"/>
              </w:rPr>
            </w:pPr>
            <w:r w:rsidRPr="004761E0">
              <w:rPr>
                <w:bCs/>
                <w:sz w:val="20"/>
                <w:szCs w:val="20"/>
              </w:rPr>
              <w:t>создание нормативно-методической базы в части архивного хранения документов, включая обследование и сбор исходных данных о бумажных фондах филиалов и РЭС, разработку типового комплекта нормативно-методической документации по организации и выполнению работ по оцифровке фондов.</w:t>
            </w:r>
          </w:p>
        </w:tc>
      </w:tr>
      <w:tr w:rsidR="001F1931" w:rsidRPr="004761E0" w:rsidTr="00B020D2">
        <w:tc>
          <w:tcPr>
            <w:tcW w:w="503" w:type="dxa"/>
          </w:tcPr>
          <w:p w:rsidR="001F1931" w:rsidRPr="004761E0" w:rsidRDefault="001F1931" w:rsidP="007076A7">
            <w:pPr>
              <w:pStyle w:val="a5"/>
              <w:numPr>
                <w:ilvl w:val="0"/>
                <w:numId w:val="306"/>
              </w:numPr>
              <w:rPr>
                <w:sz w:val="20"/>
                <w:szCs w:val="20"/>
              </w:rPr>
            </w:pPr>
          </w:p>
        </w:tc>
        <w:tc>
          <w:tcPr>
            <w:tcW w:w="1803" w:type="dxa"/>
          </w:tcPr>
          <w:p w:rsidR="001F1931" w:rsidRPr="004761E0" w:rsidRDefault="001F1931" w:rsidP="00B020D2">
            <w:pPr>
              <w:ind w:firstLine="0"/>
              <w:jc w:val="left"/>
              <w:rPr>
                <w:bCs/>
                <w:sz w:val="20"/>
                <w:szCs w:val="20"/>
              </w:rPr>
            </w:pPr>
            <w:r w:rsidRPr="004761E0">
              <w:rPr>
                <w:bCs/>
                <w:sz w:val="20"/>
                <w:szCs w:val="20"/>
              </w:rPr>
              <w:t>Автоматизация процесса технологического присоединения</w:t>
            </w:r>
          </w:p>
        </w:tc>
        <w:tc>
          <w:tcPr>
            <w:tcW w:w="7050" w:type="dxa"/>
          </w:tcPr>
          <w:p w:rsidR="001F1931" w:rsidRPr="004761E0" w:rsidRDefault="001F1931" w:rsidP="007076A7">
            <w:pPr>
              <w:pStyle w:val="a5"/>
              <w:numPr>
                <w:ilvl w:val="0"/>
                <w:numId w:val="303"/>
              </w:numPr>
              <w:jc w:val="left"/>
              <w:rPr>
                <w:bCs/>
                <w:sz w:val="20"/>
                <w:szCs w:val="20"/>
              </w:rPr>
            </w:pPr>
            <w:r w:rsidRPr="004761E0">
              <w:rPr>
                <w:bCs/>
                <w:sz w:val="20"/>
                <w:szCs w:val="20"/>
              </w:rPr>
              <w:t>оснащение ЦОК в г. Москве и Московской области системами электронных очередей, информационными панелями (инфоматами), терминалами приема платежей;</w:t>
            </w:r>
          </w:p>
          <w:p w:rsidR="001F1931" w:rsidRPr="004761E0" w:rsidRDefault="001F1931" w:rsidP="007076A7">
            <w:pPr>
              <w:pStyle w:val="a5"/>
              <w:numPr>
                <w:ilvl w:val="0"/>
                <w:numId w:val="303"/>
              </w:numPr>
              <w:jc w:val="left"/>
              <w:rPr>
                <w:bCs/>
                <w:sz w:val="20"/>
                <w:szCs w:val="20"/>
              </w:rPr>
            </w:pPr>
            <w:r w:rsidRPr="004761E0">
              <w:rPr>
                <w:bCs/>
                <w:sz w:val="20"/>
                <w:szCs w:val="20"/>
              </w:rPr>
              <w:t>повышение производительности и снижение блокировок АС ФЭУ. Снижение времени обмена между распределенными базами 1С (переход на обмен данных на уровне баз данных).</w:t>
            </w:r>
          </w:p>
        </w:tc>
      </w:tr>
      <w:tr w:rsidR="001F1931" w:rsidRPr="004761E0" w:rsidTr="00B020D2">
        <w:tc>
          <w:tcPr>
            <w:tcW w:w="503" w:type="dxa"/>
          </w:tcPr>
          <w:p w:rsidR="001F1931" w:rsidRPr="004761E0" w:rsidRDefault="001F1931" w:rsidP="007076A7">
            <w:pPr>
              <w:pStyle w:val="a5"/>
              <w:numPr>
                <w:ilvl w:val="0"/>
                <w:numId w:val="306"/>
              </w:numPr>
              <w:rPr>
                <w:sz w:val="20"/>
                <w:szCs w:val="20"/>
              </w:rPr>
            </w:pPr>
          </w:p>
        </w:tc>
        <w:tc>
          <w:tcPr>
            <w:tcW w:w="1803" w:type="dxa"/>
          </w:tcPr>
          <w:p w:rsidR="001F1931" w:rsidRPr="004761E0" w:rsidRDefault="001F1931" w:rsidP="00B020D2">
            <w:pPr>
              <w:ind w:firstLine="0"/>
              <w:jc w:val="left"/>
              <w:rPr>
                <w:bCs/>
                <w:sz w:val="20"/>
                <w:szCs w:val="20"/>
              </w:rPr>
            </w:pPr>
            <w:r w:rsidRPr="004761E0">
              <w:rPr>
                <w:bCs/>
                <w:sz w:val="20"/>
                <w:szCs w:val="20"/>
              </w:rPr>
              <w:t>Повышение надежности</w:t>
            </w:r>
          </w:p>
        </w:tc>
        <w:tc>
          <w:tcPr>
            <w:tcW w:w="7050" w:type="dxa"/>
          </w:tcPr>
          <w:p w:rsidR="001F1931" w:rsidRPr="004761E0" w:rsidRDefault="001F1931" w:rsidP="007076A7">
            <w:pPr>
              <w:pStyle w:val="a5"/>
              <w:numPr>
                <w:ilvl w:val="0"/>
                <w:numId w:val="303"/>
              </w:numPr>
              <w:jc w:val="left"/>
              <w:rPr>
                <w:bCs/>
                <w:sz w:val="20"/>
                <w:szCs w:val="20"/>
              </w:rPr>
            </w:pPr>
            <w:r w:rsidRPr="004761E0">
              <w:rPr>
                <w:bCs/>
                <w:sz w:val="20"/>
                <w:szCs w:val="20"/>
              </w:rPr>
              <w:t>Создание системы управления мобильными бригадами на объектах электросетевой инфраструктуры филиалов.</w:t>
            </w:r>
          </w:p>
          <w:p w:rsidR="001F1931" w:rsidRPr="004761E0" w:rsidRDefault="001F1931" w:rsidP="007076A7">
            <w:pPr>
              <w:pStyle w:val="a5"/>
              <w:numPr>
                <w:ilvl w:val="0"/>
                <w:numId w:val="303"/>
              </w:numPr>
              <w:jc w:val="left"/>
              <w:rPr>
                <w:bCs/>
                <w:sz w:val="20"/>
                <w:szCs w:val="20"/>
              </w:rPr>
            </w:pPr>
            <w:r w:rsidRPr="004761E0">
              <w:rPr>
                <w:bCs/>
                <w:sz w:val="20"/>
                <w:szCs w:val="20"/>
              </w:rPr>
              <w:t>Создание и модернизация собственного Центра обработки и хранения данных (ЦОХД).</w:t>
            </w:r>
          </w:p>
        </w:tc>
      </w:tr>
      <w:tr w:rsidR="001F1931" w:rsidRPr="004761E0" w:rsidTr="00B020D2">
        <w:tc>
          <w:tcPr>
            <w:tcW w:w="503" w:type="dxa"/>
          </w:tcPr>
          <w:p w:rsidR="001F1931" w:rsidRPr="004761E0" w:rsidRDefault="001F1931" w:rsidP="007076A7">
            <w:pPr>
              <w:pStyle w:val="a5"/>
              <w:numPr>
                <w:ilvl w:val="0"/>
                <w:numId w:val="306"/>
              </w:numPr>
              <w:rPr>
                <w:sz w:val="20"/>
                <w:szCs w:val="20"/>
              </w:rPr>
            </w:pPr>
          </w:p>
        </w:tc>
        <w:tc>
          <w:tcPr>
            <w:tcW w:w="1803" w:type="dxa"/>
          </w:tcPr>
          <w:p w:rsidR="001F1931" w:rsidRPr="004761E0" w:rsidRDefault="001F1931" w:rsidP="00B020D2">
            <w:pPr>
              <w:ind w:firstLine="0"/>
              <w:jc w:val="left"/>
              <w:rPr>
                <w:bCs/>
                <w:sz w:val="20"/>
                <w:szCs w:val="20"/>
              </w:rPr>
            </w:pPr>
            <w:r w:rsidRPr="004761E0">
              <w:rPr>
                <w:bCs/>
                <w:sz w:val="20"/>
                <w:szCs w:val="20"/>
              </w:rPr>
              <w:t xml:space="preserve">Централизация ИТ инфраструктуры и </w:t>
            </w:r>
            <w:r w:rsidRPr="004761E0">
              <w:rPr>
                <w:bCs/>
                <w:sz w:val="20"/>
                <w:szCs w:val="20"/>
              </w:rPr>
              <w:lastRenderedPageBreak/>
              <w:t>ИТ-процессов</w:t>
            </w:r>
          </w:p>
        </w:tc>
        <w:tc>
          <w:tcPr>
            <w:tcW w:w="7050" w:type="dxa"/>
          </w:tcPr>
          <w:p w:rsidR="001F1931" w:rsidRPr="004761E0" w:rsidRDefault="001F1931" w:rsidP="007076A7">
            <w:pPr>
              <w:pStyle w:val="a5"/>
              <w:numPr>
                <w:ilvl w:val="0"/>
                <w:numId w:val="303"/>
              </w:numPr>
              <w:jc w:val="left"/>
              <w:rPr>
                <w:bCs/>
                <w:sz w:val="20"/>
                <w:szCs w:val="20"/>
              </w:rPr>
            </w:pPr>
            <w:r w:rsidRPr="004761E0">
              <w:rPr>
                <w:bCs/>
                <w:sz w:val="20"/>
                <w:szCs w:val="20"/>
              </w:rPr>
              <w:lastRenderedPageBreak/>
              <w:t xml:space="preserve">Проект внедрения единого корпоративного домена, службы единого каталога, мониторинга (работы по миграции AD, Exchange, управление печатью), в т.ч. инвентаризации ИТ-оборудования </w:t>
            </w:r>
            <w:r w:rsidR="0008080E">
              <w:rPr>
                <w:bCs/>
                <w:sz w:val="20"/>
                <w:szCs w:val="20"/>
              </w:rPr>
              <w:t>ОАО </w:t>
            </w:r>
            <w:r w:rsidRPr="004761E0">
              <w:rPr>
                <w:bCs/>
                <w:sz w:val="20"/>
                <w:szCs w:val="20"/>
              </w:rPr>
              <w:t xml:space="preserve">"МОЭСК" с </w:t>
            </w:r>
            <w:r w:rsidRPr="004761E0">
              <w:rPr>
                <w:bCs/>
                <w:sz w:val="20"/>
                <w:szCs w:val="20"/>
              </w:rPr>
              <w:lastRenderedPageBreak/>
              <w:t>использованием технологии RFID-кодирования.</w:t>
            </w:r>
          </w:p>
          <w:p w:rsidR="001F1931" w:rsidRPr="004761E0" w:rsidRDefault="001F1931" w:rsidP="007076A7">
            <w:pPr>
              <w:pStyle w:val="a5"/>
              <w:numPr>
                <w:ilvl w:val="0"/>
                <w:numId w:val="303"/>
              </w:numPr>
              <w:jc w:val="left"/>
              <w:rPr>
                <w:bCs/>
                <w:sz w:val="20"/>
                <w:szCs w:val="20"/>
              </w:rPr>
            </w:pPr>
            <w:r w:rsidRPr="004761E0">
              <w:rPr>
                <w:bCs/>
                <w:sz w:val="20"/>
                <w:szCs w:val="20"/>
              </w:rPr>
              <w:t>Регламентация процессов разработки, испытания, опытной эксплуатации, внедрения и сопровождения ИТ-систем.</w:t>
            </w:r>
          </w:p>
        </w:tc>
      </w:tr>
    </w:tbl>
    <w:p w:rsidR="001F1931" w:rsidRPr="004761E0" w:rsidRDefault="001F1931" w:rsidP="001F1931">
      <w:pPr>
        <w:spacing w:before="120" w:after="120"/>
        <w:ind w:firstLine="567"/>
        <w:rPr>
          <w:b/>
          <w:sz w:val="26"/>
          <w:szCs w:val="26"/>
        </w:rPr>
      </w:pPr>
      <w:r w:rsidRPr="004761E0">
        <w:rPr>
          <w:b/>
          <w:sz w:val="26"/>
          <w:szCs w:val="26"/>
        </w:rPr>
        <w:lastRenderedPageBreak/>
        <w:t>Телекоммуникации и автоматизированные системы технологического управления</w:t>
      </w:r>
    </w:p>
    <w:p w:rsidR="001F1931" w:rsidRPr="004761E0" w:rsidRDefault="001F1931" w:rsidP="001F1931">
      <w:pPr>
        <w:ind w:firstLine="567"/>
        <w:rPr>
          <w:sz w:val="26"/>
          <w:szCs w:val="26"/>
        </w:rPr>
      </w:pPr>
      <w:r w:rsidRPr="004761E0">
        <w:rPr>
          <w:sz w:val="26"/>
          <w:szCs w:val="26"/>
        </w:rPr>
        <w:t xml:space="preserve">Основой производственно-технологической сети связи </w:t>
      </w:r>
      <w:r w:rsidR="0008080E">
        <w:rPr>
          <w:sz w:val="26"/>
          <w:szCs w:val="26"/>
        </w:rPr>
        <w:t>ОАО </w:t>
      </w:r>
      <w:r w:rsidRPr="004761E0">
        <w:rPr>
          <w:sz w:val="26"/>
          <w:szCs w:val="26"/>
        </w:rPr>
        <w:t>«МОЭСК» в настоящее время является цифровая производственно-технологическая сеть связи (ЦПТСС), построенная на базе волоконно-оптичес</w:t>
      </w:r>
      <w:r w:rsidR="00C53B7E">
        <w:rPr>
          <w:sz w:val="26"/>
          <w:szCs w:val="26"/>
        </w:rPr>
        <w:t>ких систем передачи (ВОСП) в г. </w:t>
      </w:r>
      <w:r w:rsidRPr="004761E0">
        <w:rPr>
          <w:sz w:val="26"/>
          <w:szCs w:val="26"/>
        </w:rPr>
        <w:t>Москве, а также высокочастотная связь по ЛЭП и аналоговые системы передачи с частотным разделением каналов по кабельным медножильным линиям связи в областных электросетевых предприятиях.</w:t>
      </w:r>
    </w:p>
    <w:p w:rsidR="001F1931" w:rsidRPr="004761E0" w:rsidRDefault="001F1931" w:rsidP="001F1931">
      <w:pPr>
        <w:pStyle w:val="a5"/>
        <w:ind w:left="0" w:firstLine="567"/>
        <w:contextualSpacing w:val="0"/>
        <w:rPr>
          <w:sz w:val="26"/>
          <w:szCs w:val="26"/>
        </w:rPr>
      </w:pPr>
      <w:r w:rsidRPr="004761E0">
        <w:rPr>
          <w:sz w:val="26"/>
          <w:szCs w:val="26"/>
        </w:rPr>
        <w:t>Для организации передачи телеинформации и других видов технологического трафика используются различные сети передачи данных, не имеющие централизованной системы управления и мониторинга. Организация связи «прямыми» каналами требует большое количество коммутаций, организованных, как на конечных, так и транзитных узлах связи, что выполняется при помощи различных систем управления и включает в себя большое количество активного и пассивного оборудования.</w:t>
      </w:r>
    </w:p>
    <w:p w:rsidR="001F1931" w:rsidRPr="004761E0" w:rsidRDefault="001F1931" w:rsidP="001F1931">
      <w:pPr>
        <w:pStyle w:val="a5"/>
        <w:ind w:left="0" w:firstLine="567"/>
        <w:contextualSpacing w:val="0"/>
        <w:rPr>
          <w:sz w:val="26"/>
          <w:szCs w:val="26"/>
        </w:rPr>
      </w:pPr>
      <w:r w:rsidRPr="004761E0">
        <w:rPr>
          <w:sz w:val="26"/>
          <w:szCs w:val="26"/>
        </w:rPr>
        <w:t xml:space="preserve">Основным недостатком существующих сетей связи </w:t>
      </w:r>
      <w:r w:rsidR="0008080E">
        <w:rPr>
          <w:sz w:val="26"/>
          <w:szCs w:val="26"/>
        </w:rPr>
        <w:t>ОАО </w:t>
      </w:r>
      <w:r w:rsidRPr="004761E0">
        <w:rPr>
          <w:sz w:val="26"/>
          <w:szCs w:val="26"/>
        </w:rPr>
        <w:t xml:space="preserve">«МОЭСК» является длительный, трудоемкий процесс перекоммутации и перемаршрутизации каналов в случае серьезного повреждения узла или линии связи, что приводит к низкой оперативности устранения нарушений связи. С целью перехода на новый уровень передачи информации, повышения наблюдаемости и управляемости энергообъектами, снижения среднего времени электроснабжения потребителей разработана «Комплексная программа развития и повышения надежности системы оперативно-технологического управления электросетевым комплексом </w:t>
      </w:r>
      <w:r w:rsidR="0008080E">
        <w:rPr>
          <w:sz w:val="26"/>
          <w:szCs w:val="26"/>
        </w:rPr>
        <w:t>ОАО </w:t>
      </w:r>
      <w:r w:rsidRPr="004761E0">
        <w:rPr>
          <w:sz w:val="26"/>
          <w:szCs w:val="26"/>
        </w:rPr>
        <w:t>«МОЭСК»</w:t>
      </w:r>
      <w:r w:rsidRPr="006F4AB8">
        <w:rPr>
          <w:rStyle w:val="af1"/>
        </w:rPr>
        <w:footnoteReference w:id="122"/>
      </w:r>
      <w:r w:rsidRPr="004761E0">
        <w:rPr>
          <w:sz w:val="26"/>
          <w:szCs w:val="26"/>
        </w:rPr>
        <w:t xml:space="preserve">. </w:t>
      </w:r>
    </w:p>
    <w:p w:rsidR="001F1931" w:rsidRPr="004761E0" w:rsidRDefault="001F1931" w:rsidP="001F1931">
      <w:pPr>
        <w:pStyle w:val="a5"/>
        <w:ind w:left="0" w:firstLine="567"/>
        <w:rPr>
          <w:sz w:val="26"/>
          <w:szCs w:val="26"/>
        </w:rPr>
      </w:pPr>
      <w:r w:rsidRPr="004761E0">
        <w:rPr>
          <w:sz w:val="26"/>
          <w:szCs w:val="26"/>
        </w:rPr>
        <w:t xml:space="preserve">Основные эффекты от реализации программы: </w:t>
      </w:r>
    </w:p>
    <w:p w:rsidR="001F1931" w:rsidRPr="004761E0" w:rsidRDefault="001F1931" w:rsidP="007076A7">
      <w:pPr>
        <w:pStyle w:val="a5"/>
        <w:numPr>
          <w:ilvl w:val="0"/>
          <w:numId w:val="307"/>
        </w:numPr>
        <w:spacing w:after="200"/>
        <w:ind w:left="1134" w:hanging="567"/>
        <w:rPr>
          <w:sz w:val="26"/>
          <w:szCs w:val="26"/>
        </w:rPr>
      </w:pPr>
      <w:r w:rsidRPr="004761E0">
        <w:rPr>
          <w:sz w:val="26"/>
          <w:szCs w:val="26"/>
        </w:rPr>
        <w:t>возможность сбора и обмена данными, работы в изолированных сегментах сети существующих и перспективных технологических и вспомогательных подсистем с использованием протоколов пакетной передачи IPv4/IPv6 и технологии организации виртуальных закрытых сетей;</w:t>
      </w:r>
    </w:p>
    <w:p w:rsidR="001F1931" w:rsidRPr="004761E0" w:rsidRDefault="001F1931" w:rsidP="007076A7">
      <w:pPr>
        <w:pStyle w:val="a5"/>
        <w:numPr>
          <w:ilvl w:val="0"/>
          <w:numId w:val="307"/>
        </w:numPr>
        <w:spacing w:after="200"/>
        <w:ind w:left="1134" w:hanging="567"/>
        <w:rPr>
          <w:sz w:val="26"/>
          <w:szCs w:val="26"/>
        </w:rPr>
      </w:pPr>
      <w:r w:rsidRPr="004761E0">
        <w:rPr>
          <w:sz w:val="26"/>
          <w:szCs w:val="26"/>
        </w:rPr>
        <w:t xml:space="preserve">возможность передачи телеинформации по протоколу ГОСТ Р МЭК 60870-5-104 в ЦУС </w:t>
      </w:r>
      <w:r w:rsidR="0008080E">
        <w:rPr>
          <w:sz w:val="26"/>
          <w:szCs w:val="26"/>
        </w:rPr>
        <w:t>ОАО </w:t>
      </w:r>
      <w:r w:rsidRPr="004761E0">
        <w:rPr>
          <w:sz w:val="26"/>
          <w:szCs w:val="26"/>
        </w:rPr>
        <w:t>«МОЭСК», ДП филиала  «СО ЕЭС» - Московское РДУ;</w:t>
      </w:r>
    </w:p>
    <w:p w:rsidR="001F1931" w:rsidRPr="004761E0" w:rsidRDefault="001F1931" w:rsidP="007076A7">
      <w:pPr>
        <w:pStyle w:val="a5"/>
        <w:numPr>
          <w:ilvl w:val="0"/>
          <w:numId w:val="307"/>
        </w:numPr>
        <w:spacing w:after="200"/>
        <w:ind w:left="1134" w:hanging="567"/>
        <w:rPr>
          <w:sz w:val="26"/>
          <w:szCs w:val="26"/>
        </w:rPr>
      </w:pPr>
      <w:r w:rsidRPr="004761E0">
        <w:rPr>
          <w:sz w:val="26"/>
          <w:szCs w:val="26"/>
        </w:rPr>
        <w:t>создание единой конвергентной среды передачи различных видов информации, приоритетное обслуживание для систем технологического назначения, передачу значительных объемов данных (видео) в реальном и приближенном к реальному времени, передачу голосовой информации;</w:t>
      </w:r>
    </w:p>
    <w:p w:rsidR="001F1931" w:rsidRPr="004761E0" w:rsidRDefault="001F1931" w:rsidP="007076A7">
      <w:pPr>
        <w:pStyle w:val="a5"/>
        <w:numPr>
          <w:ilvl w:val="0"/>
          <w:numId w:val="307"/>
        </w:numPr>
        <w:ind w:left="1134" w:hanging="567"/>
        <w:contextualSpacing w:val="0"/>
        <w:rPr>
          <w:sz w:val="26"/>
          <w:szCs w:val="26"/>
        </w:rPr>
      </w:pPr>
      <w:r w:rsidRPr="004761E0">
        <w:rPr>
          <w:sz w:val="26"/>
          <w:szCs w:val="26"/>
        </w:rPr>
        <w:t>бесперебойную передачу информации с возможностью проведения регламентных работ на аппаратуре передачи данных без вывода из работы направления передачи информации.</w:t>
      </w:r>
    </w:p>
    <w:p w:rsidR="001F1931" w:rsidRPr="004761E0" w:rsidRDefault="001F1931" w:rsidP="001F1931">
      <w:pPr>
        <w:rPr>
          <w:sz w:val="26"/>
          <w:szCs w:val="26"/>
        </w:rPr>
      </w:pPr>
      <w:r w:rsidRPr="004761E0">
        <w:rPr>
          <w:sz w:val="26"/>
          <w:szCs w:val="26"/>
        </w:rPr>
        <w:lastRenderedPageBreak/>
        <w:t xml:space="preserve">В 2013 году в рамках Комплексной программы развития и повышения надежности системы оперативно-технологического управления электросетевым комплексом </w:t>
      </w:r>
      <w:r w:rsidR="0008080E">
        <w:rPr>
          <w:sz w:val="26"/>
          <w:szCs w:val="26"/>
        </w:rPr>
        <w:t>ОАО </w:t>
      </w:r>
      <w:r w:rsidRPr="004761E0">
        <w:rPr>
          <w:sz w:val="26"/>
          <w:szCs w:val="26"/>
        </w:rPr>
        <w:t xml:space="preserve">«МОЭСК» проведены следующие мероприятия: </w:t>
      </w:r>
    </w:p>
    <w:p w:rsidR="001F1931" w:rsidRPr="004761E0" w:rsidRDefault="001F1931" w:rsidP="007076A7">
      <w:pPr>
        <w:pStyle w:val="a5"/>
        <w:numPr>
          <w:ilvl w:val="0"/>
          <w:numId w:val="308"/>
        </w:numPr>
        <w:ind w:left="1134" w:hanging="567"/>
        <w:rPr>
          <w:sz w:val="26"/>
          <w:szCs w:val="26"/>
        </w:rPr>
      </w:pPr>
      <w:r w:rsidRPr="004761E0">
        <w:rPr>
          <w:sz w:val="26"/>
          <w:szCs w:val="26"/>
        </w:rPr>
        <w:t xml:space="preserve">в области расширения возможностей автоматизированных систем технологического управления (АСТУ) завершена работа по интеграции оперативно-информационных комплексов, ранее существовавших в </w:t>
      </w:r>
      <w:r w:rsidR="0008080E">
        <w:rPr>
          <w:sz w:val="26"/>
          <w:szCs w:val="26"/>
        </w:rPr>
        <w:t>ОАО </w:t>
      </w:r>
      <w:r w:rsidRPr="004761E0">
        <w:rPr>
          <w:sz w:val="26"/>
          <w:szCs w:val="26"/>
        </w:rPr>
        <w:t xml:space="preserve">«МОЭСК» , с АСТУ верхнего уровня для обеспечения функций телеконтроля  и телеуправления. Модернизация унаследованных систем сбора и передачи технологической информации и единой распределенной АСТУ на базе программного комплекса PowerOnFusion позволила в полном объеме реализовать требования СО ЕЭС к обмену оперативной и технологической информацией на верхнем уровне оперативно-технологического управления филиалов </w:t>
      </w:r>
      <w:r w:rsidR="0008080E">
        <w:rPr>
          <w:sz w:val="26"/>
          <w:szCs w:val="26"/>
        </w:rPr>
        <w:t>ОАО </w:t>
      </w:r>
      <w:r w:rsidRPr="004761E0">
        <w:rPr>
          <w:sz w:val="26"/>
          <w:szCs w:val="26"/>
        </w:rPr>
        <w:t xml:space="preserve">«МОЭСК»; </w:t>
      </w:r>
    </w:p>
    <w:p w:rsidR="001F1931" w:rsidRPr="004761E0" w:rsidRDefault="001F1931" w:rsidP="007076A7">
      <w:pPr>
        <w:pStyle w:val="a5"/>
        <w:numPr>
          <w:ilvl w:val="0"/>
          <w:numId w:val="308"/>
        </w:numPr>
        <w:ind w:left="1134" w:hanging="567"/>
        <w:rPr>
          <w:sz w:val="26"/>
          <w:szCs w:val="26"/>
        </w:rPr>
      </w:pPr>
      <w:r w:rsidRPr="004761E0">
        <w:rPr>
          <w:sz w:val="26"/>
          <w:szCs w:val="26"/>
        </w:rPr>
        <w:t>создана система обеспечения информационной безопасности АСТУ, что позволило автоматизировать деятельность по обеспечению информационной безопасности и предотвращения ущербов от возможных угроз безопасности для АСТУ;</w:t>
      </w:r>
    </w:p>
    <w:p w:rsidR="001F1931" w:rsidRPr="004761E0" w:rsidRDefault="001F1931" w:rsidP="007076A7">
      <w:pPr>
        <w:pStyle w:val="a5"/>
        <w:numPr>
          <w:ilvl w:val="0"/>
          <w:numId w:val="308"/>
        </w:numPr>
        <w:ind w:left="1134" w:hanging="567"/>
        <w:rPr>
          <w:sz w:val="26"/>
          <w:szCs w:val="26"/>
        </w:rPr>
      </w:pPr>
      <w:r w:rsidRPr="004761E0">
        <w:rPr>
          <w:sz w:val="26"/>
          <w:szCs w:val="26"/>
        </w:rPr>
        <w:t xml:space="preserve">в филиале ЮЭС завершен ввод в промышленную эксплуатацию программно-технического комплекса АСТУ для сетей 35-220 кВ. Это первый филиал </w:t>
      </w:r>
      <w:r w:rsidR="0008080E">
        <w:rPr>
          <w:sz w:val="26"/>
          <w:szCs w:val="26"/>
        </w:rPr>
        <w:t>ОАО </w:t>
      </w:r>
      <w:r w:rsidRPr="004761E0">
        <w:rPr>
          <w:sz w:val="26"/>
          <w:szCs w:val="26"/>
        </w:rPr>
        <w:t>«МОЭСК», в котором полностью проведена оптимизация АСТУ верхнего уровня, обеспечено единство и целостность оператино-технологического управления филиалом, устранены издержки на содержание разнородных систем АСТУ;</w:t>
      </w:r>
    </w:p>
    <w:p w:rsidR="001F1931" w:rsidRPr="004761E0" w:rsidRDefault="001F1931" w:rsidP="007076A7">
      <w:pPr>
        <w:pStyle w:val="a5"/>
        <w:numPr>
          <w:ilvl w:val="0"/>
          <w:numId w:val="308"/>
        </w:numPr>
        <w:ind w:left="1134" w:hanging="567"/>
        <w:rPr>
          <w:sz w:val="26"/>
          <w:szCs w:val="26"/>
        </w:rPr>
      </w:pPr>
      <w:r w:rsidRPr="004761E0">
        <w:rPr>
          <w:sz w:val="26"/>
          <w:szCs w:val="26"/>
        </w:rPr>
        <w:t>завершено строительство первого пускового комплекса опорного кольца;</w:t>
      </w:r>
    </w:p>
    <w:p w:rsidR="001F1931" w:rsidRPr="004761E0" w:rsidRDefault="001F1931" w:rsidP="007076A7">
      <w:pPr>
        <w:pStyle w:val="a5"/>
        <w:numPr>
          <w:ilvl w:val="0"/>
          <w:numId w:val="308"/>
        </w:numPr>
        <w:ind w:left="1134" w:hanging="567"/>
        <w:rPr>
          <w:sz w:val="26"/>
          <w:szCs w:val="26"/>
        </w:rPr>
      </w:pPr>
      <w:r w:rsidRPr="004761E0">
        <w:rPr>
          <w:sz w:val="26"/>
          <w:szCs w:val="26"/>
        </w:rPr>
        <w:t>построено 15 узлов сетей агрегации;</w:t>
      </w:r>
    </w:p>
    <w:p w:rsidR="001F1931" w:rsidRPr="004761E0" w:rsidRDefault="001F1931" w:rsidP="007076A7">
      <w:pPr>
        <w:pStyle w:val="a5"/>
        <w:numPr>
          <w:ilvl w:val="0"/>
          <w:numId w:val="308"/>
        </w:numPr>
        <w:ind w:left="1134" w:hanging="567"/>
        <w:rPr>
          <w:sz w:val="26"/>
          <w:szCs w:val="26"/>
        </w:rPr>
      </w:pPr>
      <w:r w:rsidRPr="004761E0">
        <w:rPr>
          <w:sz w:val="26"/>
          <w:szCs w:val="26"/>
        </w:rPr>
        <w:t>построено 69 узлов доступа технологической сети передачи данных;</w:t>
      </w:r>
    </w:p>
    <w:p w:rsidR="001F1931" w:rsidRPr="004761E0" w:rsidRDefault="001F1931" w:rsidP="007076A7">
      <w:pPr>
        <w:pStyle w:val="a5"/>
        <w:numPr>
          <w:ilvl w:val="0"/>
          <w:numId w:val="308"/>
        </w:numPr>
        <w:ind w:left="1134" w:hanging="567"/>
        <w:rPr>
          <w:sz w:val="26"/>
          <w:szCs w:val="26"/>
        </w:rPr>
      </w:pPr>
      <w:r w:rsidRPr="004761E0">
        <w:rPr>
          <w:sz w:val="26"/>
          <w:szCs w:val="26"/>
        </w:rPr>
        <w:t>построено и введено в эксплуатацию 186 км волоконно-оптического кабеля связи;</w:t>
      </w:r>
    </w:p>
    <w:p w:rsidR="001F1931" w:rsidRPr="004761E0" w:rsidRDefault="001F1931" w:rsidP="007076A7">
      <w:pPr>
        <w:pStyle w:val="a5"/>
        <w:numPr>
          <w:ilvl w:val="0"/>
          <w:numId w:val="308"/>
        </w:numPr>
        <w:ind w:left="1134" w:hanging="567"/>
        <w:rPr>
          <w:sz w:val="26"/>
          <w:szCs w:val="26"/>
        </w:rPr>
      </w:pPr>
      <w:r w:rsidRPr="004761E0">
        <w:rPr>
          <w:sz w:val="26"/>
          <w:szCs w:val="26"/>
        </w:rPr>
        <w:t xml:space="preserve">телемеханизирована 31 ПС 35-220 кВ, 20 РП и 55 ТП Московского и Ленинского РЭС филиала ЮЭС, что позволило снизить среднее время восстановления электроснабжения примерно на 4,5 мин. и уменьшить недоотпуск электроэнергии на 70 тыс. кВтч в год. </w:t>
      </w:r>
    </w:p>
    <w:p w:rsidR="001F1931" w:rsidRPr="004761E0" w:rsidRDefault="001F1931" w:rsidP="001F1931">
      <w:pPr>
        <w:ind w:firstLine="567"/>
        <w:rPr>
          <w:sz w:val="26"/>
          <w:szCs w:val="26"/>
        </w:rPr>
      </w:pPr>
      <w:r w:rsidRPr="004761E0">
        <w:rPr>
          <w:sz w:val="26"/>
          <w:szCs w:val="26"/>
        </w:rPr>
        <w:t>В результате проведенного комплекса мероприятий повышена наблюдаемость и управляемость подстанций, обеспечивающих электроснабжение социально-значимых объектов, объектов транспортной инфраструктуры (ПС Шереметьево, ПС Полет, ПС Бабушкин, ПС Балашиха и территории Новой Москвы).</w:t>
      </w:r>
    </w:p>
    <w:p w:rsidR="001F1931" w:rsidRPr="004761E0" w:rsidRDefault="001F1931" w:rsidP="001F1931">
      <w:pPr>
        <w:spacing w:before="120" w:after="120"/>
        <w:ind w:firstLine="567"/>
        <w:rPr>
          <w:b/>
          <w:sz w:val="26"/>
          <w:szCs w:val="26"/>
        </w:rPr>
      </w:pPr>
      <w:r w:rsidRPr="00585397">
        <w:rPr>
          <w:b/>
          <w:sz w:val="26"/>
          <w:szCs w:val="26"/>
        </w:rPr>
        <w:t>З</w:t>
      </w:r>
      <w:r w:rsidRPr="004761E0">
        <w:rPr>
          <w:b/>
          <w:sz w:val="26"/>
          <w:szCs w:val="26"/>
        </w:rPr>
        <w:t>адачи и мероприятия, запланированные на 2014 год и последующие годы</w:t>
      </w:r>
    </w:p>
    <w:p w:rsidR="001F1931" w:rsidRPr="004761E0" w:rsidRDefault="001F1931" w:rsidP="001F1931">
      <w:pPr>
        <w:ind w:firstLine="567"/>
        <w:rPr>
          <w:sz w:val="26"/>
          <w:szCs w:val="26"/>
        </w:rPr>
      </w:pPr>
      <w:r w:rsidRPr="004761E0">
        <w:rPr>
          <w:sz w:val="26"/>
          <w:szCs w:val="26"/>
        </w:rPr>
        <w:t xml:space="preserve">В 2014 году планируется продолжить работы по выполнению «Комплексной программы развития и повышения надежности системы оперативно-технологического управления электросетевым комплексом </w:t>
      </w:r>
      <w:r w:rsidR="0008080E">
        <w:rPr>
          <w:sz w:val="26"/>
          <w:szCs w:val="26"/>
        </w:rPr>
        <w:t>ОАО </w:t>
      </w:r>
      <w:r w:rsidRPr="004761E0">
        <w:rPr>
          <w:sz w:val="26"/>
          <w:szCs w:val="26"/>
        </w:rPr>
        <w:t>«МОЭСК» в рамках выделенного финансирования по инвестиционной программе 2014-2018 гг.</w:t>
      </w:r>
    </w:p>
    <w:p w:rsidR="001F1931" w:rsidRPr="004761E0" w:rsidRDefault="001F1931" w:rsidP="001F1931">
      <w:pPr>
        <w:ind w:firstLine="567"/>
        <w:rPr>
          <w:sz w:val="26"/>
          <w:szCs w:val="26"/>
        </w:rPr>
      </w:pPr>
      <w:r w:rsidRPr="004761E0">
        <w:rPr>
          <w:sz w:val="26"/>
          <w:szCs w:val="26"/>
        </w:rPr>
        <w:t xml:space="preserve">В 2014-2016 гг. планируется провести работы по внедрению системы управления восстановлением энергоснабжения в диспетчерских пунктах на уровне 6-220 кВ, продолжить совершенствование системы оценки состояния электрической сети путем внедрения на уровне районов электрических сетей новых программных модулей технологических расчетов. В интересах повышения качества и снижения </w:t>
      </w:r>
      <w:r w:rsidRPr="004761E0">
        <w:rPr>
          <w:sz w:val="26"/>
          <w:szCs w:val="26"/>
        </w:rPr>
        <w:lastRenderedPageBreak/>
        <w:t>сроков обучения планируется внедрить комплекс подготовки персонала для работы на программно-технологическом комплексе PowerOn.</w:t>
      </w:r>
    </w:p>
    <w:p w:rsidR="001F1931" w:rsidRPr="004761E0" w:rsidRDefault="001F1931" w:rsidP="001F1931">
      <w:pPr>
        <w:ind w:firstLine="567"/>
        <w:rPr>
          <w:sz w:val="26"/>
          <w:szCs w:val="26"/>
        </w:rPr>
      </w:pPr>
      <w:r w:rsidRPr="004761E0">
        <w:rPr>
          <w:sz w:val="26"/>
          <w:szCs w:val="26"/>
        </w:rPr>
        <w:t>С целью повышения эффективности управления электросетевым комплексом на основе внедрения новых информационных технологий в процессы принятия решений, более эффективного предотвращения и устранения кризисных и чрезвычайных ситуаций планируется приступить к созданию ситуационно-аналитического центра (САЦ). С данной целью в 2014 году планируется создать технологическую инфраструктуру САЦ, а в 2015 году – реализовать систему поддержки принятия решений  на базе создания программного комплекса САЦ.</w:t>
      </w:r>
    </w:p>
    <w:p w:rsidR="001F1931" w:rsidRPr="004761E0" w:rsidRDefault="001F1931" w:rsidP="001F1931">
      <w:pPr>
        <w:ind w:firstLine="567"/>
        <w:rPr>
          <w:sz w:val="26"/>
          <w:szCs w:val="26"/>
        </w:rPr>
      </w:pPr>
      <w:r w:rsidRPr="004761E0">
        <w:rPr>
          <w:sz w:val="26"/>
          <w:szCs w:val="26"/>
        </w:rPr>
        <w:t>В целях обеспечения передачи телемеханической информации, диспетчерской телефонной связи, информации Автоматизированной системы коммерческого учёта электроэнергии (АСКУЭ), информации от устройств определения мест повреждения линий электропередачи (ОМП), информации от устройств рагистрации аварийных процессов (КРАП) от энергообъектов, планируется завершение строительства опорного кольца и сетей агрегации, ввод в эксплуатацию 31 узла доступа технологической сети передачи данных.</w:t>
      </w:r>
    </w:p>
    <w:p w:rsidR="001F1931" w:rsidRPr="004761E0" w:rsidRDefault="001F1931" w:rsidP="001F1931">
      <w:pPr>
        <w:ind w:firstLine="567"/>
        <w:rPr>
          <w:sz w:val="26"/>
          <w:szCs w:val="26"/>
        </w:rPr>
      </w:pPr>
      <w:r w:rsidRPr="004761E0">
        <w:rPr>
          <w:sz w:val="26"/>
          <w:szCs w:val="26"/>
        </w:rPr>
        <w:t xml:space="preserve">В целях обеспечения связью филиала «Новой Москвы» (создан в 2013 году), планируется организация функционирования нового диспетчерского пункта в Московском РЭС в части переключения каналов диспетчерской телефонной связи и телемеханики от подстанций, которые вошли в состав филиала, а также подключение административных офисов к корпоративной сети передачи данных, телефонной сети, системе видеоконференцсвязи. </w:t>
      </w:r>
    </w:p>
    <w:p w:rsidR="001F1931" w:rsidRPr="004761E0" w:rsidRDefault="001F1931" w:rsidP="001F1931">
      <w:pPr>
        <w:ind w:firstLine="567"/>
        <w:rPr>
          <w:sz w:val="26"/>
          <w:szCs w:val="26"/>
        </w:rPr>
      </w:pPr>
      <w:r w:rsidRPr="004761E0">
        <w:rPr>
          <w:sz w:val="26"/>
          <w:szCs w:val="26"/>
        </w:rPr>
        <w:t>Кроме того, в 2014-2016 гг. предполагается реконструировать и модернизировать системы телемеханики на 209 ПС 35-220 кВ, а также разработать программу автоматизации сети 6-20 кВ и начать ее реализацию.</w:t>
      </w:r>
    </w:p>
    <w:p w:rsidR="001F1931" w:rsidRPr="004761E0" w:rsidRDefault="001F1931" w:rsidP="001F1931">
      <w:pPr>
        <w:ind w:firstLine="567"/>
        <w:rPr>
          <w:sz w:val="26"/>
          <w:szCs w:val="26"/>
        </w:rPr>
      </w:pPr>
      <w:r w:rsidRPr="004761E0">
        <w:rPr>
          <w:sz w:val="26"/>
          <w:szCs w:val="26"/>
        </w:rPr>
        <w:t>Выполнение всех вышеперечисленных работ позволит повысить наблюдаемость распределительной сети, надежность электроснабжения и снизить время восстановления электроснабжения потребителей.</w:t>
      </w:r>
    </w:p>
    <w:p w:rsidR="007674C6" w:rsidRPr="004761E0" w:rsidRDefault="00136A10" w:rsidP="007076A7">
      <w:pPr>
        <w:pStyle w:val="11"/>
        <w:numPr>
          <w:ilvl w:val="0"/>
          <w:numId w:val="321"/>
        </w:numPr>
        <w:spacing w:before="120" w:after="120"/>
        <w:ind w:left="1134" w:hanging="567"/>
        <w:rPr>
          <w:rFonts w:ascii="Times New Roman" w:hAnsi="Times New Roman"/>
          <w:sz w:val="26"/>
          <w:szCs w:val="26"/>
          <w:lang w:eastAsia="ru-RU"/>
        </w:rPr>
      </w:pPr>
      <w:r w:rsidRPr="004761E0">
        <w:rPr>
          <w:rFonts w:ascii="Times New Roman" w:hAnsi="Times New Roman"/>
          <w:sz w:val="26"/>
          <w:szCs w:val="26"/>
          <w:lang w:eastAsia="ru-RU"/>
        </w:rPr>
        <w:br w:type="page"/>
      </w:r>
      <w:bookmarkStart w:id="121" w:name="_Toc380576945"/>
      <w:bookmarkStart w:id="122" w:name="_Toc385339842"/>
      <w:r w:rsidR="00E34ACB" w:rsidRPr="004761E0">
        <w:rPr>
          <w:rFonts w:ascii="Times New Roman" w:hAnsi="Times New Roman"/>
          <w:sz w:val="26"/>
          <w:szCs w:val="26"/>
          <w:lang w:eastAsia="ru-RU"/>
        </w:rPr>
        <w:lastRenderedPageBreak/>
        <w:t>Человеческий капитал и социальная ответственность</w:t>
      </w:r>
      <w:bookmarkEnd w:id="121"/>
      <w:bookmarkEnd w:id="122"/>
    </w:p>
    <w:p w:rsidR="008505CC" w:rsidRPr="004761E0" w:rsidRDefault="00E34ACB" w:rsidP="007076A7">
      <w:pPr>
        <w:pStyle w:val="a8"/>
        <w:numPr>
          <w:ilvl w:val="1"/>
          <w:numId w:val="321"/>
        </w:numPr>
        <w:spacing w:before="120" w:after="120"/>
        <w:ind w:left="1134" w:hanging="567"/>
        <w:jc w:val="both"/>
        <w:rPr>
          <w:rFonts w:ascii="Times New Roman" w:hAnsi="Times New Roman"/>
          <w:b/>
          <w:sz w:val="26"/>
          <w:szCs w:val="26"/>
        </w:rPr>
      </w:pPr>
      <w:bookmarkStart w:id="123" w:name="_Toc380576946"/>
      <w:bookmarkStart w:id="124" w:name="_Toc385339843"/>
      <w:r w:rsidRPr="004761E0">
        <w:rPr>
          <w:rFonts w:ascii="Times New Roman" w:hAnsi="Times New Roman"/>
          <w:b/>
          <w:sz w:val="26"/>
          <w:szCs w:val="26"/>
        </w:rPr>
        <w:t>Интервью заместителя генерального директора по управлению персоналом</w:t>
      </w:r>
      <w:bookmarkEnd w:id="123"/>
      <w:bookmarkEnd w:id="124"/>
    </w:p>
    <w:p w:rsidR="003B0EA7" w:rsidRPr="004761E0" w:rsidRDefault="003B0EA7" w:rsidP="003B0EA7">
      <w:pPr>
        <w:pStyle w:val="a5"/>
        <w:spacing w:before="120" w:after="120"/>
        <w:ind w:left="0" w:firstLine="567"/>
        <w:contextualSpacing w:val="0"/>
        <w:rPr>
          <w:b/>
          <w:sz w:val="26"/>
          <w:szCs w:val="26"/>
        </w:rPr>
      </w:pPr>
      <w:r w:rsidRPr="004761E0">
        <w:rPr>
          <w:b/>
          <w:sz w:val="26"/>
          <w:szCs w:val="26"/>
        </w:rPr>
        <w:t>Каковы основные результаты деятельности в отчетном году в рамках курируемого Вами направления?</w:t>
      </w:r>
    </w:p>
    <w:p w:rsidR="003B0EA7" w:rsidRPr="004761E0" w:rsidRDefault="003B0EA7" w:rsidP="003B0EA7">
      <w:pPr>
        <w:pStyle w:val="a5"/>
        <w:ind w:left="0" w:firstLine="567"/>
        <w:rPr>
          <w:sz w:val="26"/>
          <w:szCs w:val="26"/>
        </w:rPr>
      </w:pPr>
      <w:r w:rsidRPr="004761E0">
        <w:rPr>
          <w:sz w:val="26"/>
          <w:szCs w:val="26"/>
        </w:rPr>
        <w:t xml:space="preserve">Одной из ключевых задач в прошедшем году в области управления персоналом стало повышение эффективности кадрового потенциала </w:t>
      </w:r>
      <w:r w:rsidR="001332F2">
        <w:rPr>
          <w:sz w:val="26"/>
          <w:szCs w:val="26"/>
        </w:rPr>
        <w:t>ОАО «</w:t>
      </w:r>
      <w:r w:rsidRPr="004761E0">
        <w:rPr>
          <w:sz w:val="26"/>
          <w:szCs w:val="26"/>
        </w:rPr>
        <w:t>МОЭСК</w:t>
      </w:r>
      <w:r w:rsidR="001332F2">
        <w:rPr>
          <w:sz w:val="26"/>
          <w:szCs w:val="26"/>
        </w:rPr>
        <w:t>»</w:t>
      </w:r>
      <w:r w:rsidRPr="004761E0">
        <w:rPr>
          <w:sz w:val="26"/>
          <w:szCs w:val="26"/>
        </w:rPr>
        <w:t xml:space="preserve">. В рамках решения этой задачи утверждена новая организационная структура Общества и сформирован кадровый резерв в количестве 442 работников, из которых 243 – оперативный, и 199 – стратегический резерв. Создан Учебный центр </w:t>
      </w:r>
      <w:r w:rsidR="0008080E">
        <w:rPr>
          <w:sz w:val="26"/>
          <w:szCs w:val="26"/>
        </w:rPr>
        <w:t>ОАО </w:t>
      </w:r>
      <w:r w:rsidRPr="004761E0">
        <w:rPr>
          <w:sz w:val="26"/>
          <w:szCs w:val="26"/>
        </w:rPr>
        <w:t>«МОЭСК», на плечи которого легла важнейшая функция по обучению персонала. Большое внимание уделялось психофизиологическому обследованию оперативного персонала (обследовано 2</w:t>
      </w:r>
      <w:r w:rsidR="00C53B7E">
        <w:rPr>
          <w:sz w:val="26"/>
          <w:szCs w:val="26"/>
        </w:rPr>
        <w:t xml:space="preserve"> </w:t>
      </w:r>
      <w:r w:rsidRPr="004761E0">
        <w:rPr>
          <w:sz w:val="26"/>
          <w:szCs w:val="26"/>
        </w:rPr>
        <w:t>000 человек), разработке и реализации соответствующих корректирующих мероприятий. Также разработан и реализован план мероприятий по работе с  оперативным персоналом пенсионного возраста до 2015 г</w:t>
      </w:r>
      <w:r w:rsidR="00C53B7E">
        <w:rPr>
          <w:sz w:val="26"/>
          <w:szCs w:val="26"/>
        </w:rPr>
        <w:t>ода</w:t>
      </w:r>
      <w:r w:rsidRPr="004761E0">
        <w:rPr>
          <w:sz w:val="26"/>
          <w:szCs w:val="26"/>
        </w:rPr>
        <w:t xml:space="preserve"> (на данный момент замещено 66 человек). </w:t>
      </w:r>
    </w:p>
    <w:p w:rsidR="003B0EA7" w:rsidRPr="004761E0" w:rsidRDefault="003B0EA7" w:rsidP="003B0EA7">
      <w:pPr>
        <w:pStyle w:val="a5"/>
        <w:ind w:left="0" w:firstLine="567"/>
        <w:rPr>
          <w:sz w:val="26"/>
          <w:szCs w:val="26"/>
        </w:rPr>
      </w:pPr>
      <w:r w:rsidRPr="004761E0">
        <w:rPr>
          <w:sz w:val="26"/>
          <w:szCs w:val="26"/>
        </w:rPr>
        <w:t>Существенн</w:t>
      </w:r>
      <w:r w:rsidR="00E020B0">
        <w:rPr>
          <w:sz w:val="26"/>
          <w:szCs w:val="26"/>
        </w:rPr>
        <w:t>ым результатом работы б</w:t>
      </w:r>
      <w:r w:rsidRPr="004761E0">
        <w:rPr>
          <w:sz w:val="26"/>
          <w:szCs w:val="26"/>
        </w:rPr>
        <w:t>лока управления персонала можно считать обеспечение роста средней заработной платы на 9</w:t>
      </w:r>
      <w:r w:rsidR="00E30CDF">
        <w:rPr>
          <w:sz w:val="26"/>
          <w:szCs w:val="26"/>
        </w:rPr>
        <w:t xml:space="preserve"> </w:t>
      </w:r>
      <w:r w:rsidRPr="004761E0">
        <w:rPr>
          <w:sz w:val="26"/>
          <w:szCs w:val="26"/>
        </w:rPr>
        <w:t>% в целом по Обществу (10</w:t>
      </w:r>
      <w:r w:rsidR="00E30CDF">
        <w:rPr>
          <w:sz w:val="26"/>
          <w:szCs w:val="26"/>
        </w:rPr>
        <w:t xml:space="preserve"> </w:t>
      </w:r>
      <w:r w:rsidRPr="004761E0">
        <w:rPr>
          <w:sz w:val="26"/>
          <w:szCs w:val="26"/>
        </w:rPr>
        <w:t>% – для дефицитных профессий).</w:t>
      </w:r>
    </w:p>
    <w:p w:rsidR="003B0EA7" w:rsidRPr="004761E0" w:rsidRDefault="003B0EA7" w:rsidP="003B0EA7">
      <w:pPr>
        <w:pStyle w:val="a5"/>
        <w:ind w:left="0" w:firstLine="567"/>
        <w:rPr>
          <w:sz w:val="26"/>
          <w:szCs w:val="26"/>
        </w:rPr>
      </w:pPr>
      <w:r w:rsidRPr="004761E0">
        <w:rPr>
          <w:sz w:val="26"/>
          <w:szCs w:val="26"/>
        </w:rPr>
        <w:t xml:space="preserve">В 2013 году продолжено выполнение мероприятий в области социальной политики, направленных на повышение привлекательности компании как работодателя. Отдельно надо отметить активную  реализацию жилищной политики Общества, благодаря которой 30 сотрудников получили скидку у компаний-затройщиков, более 200 – ипотечные и потребительские кредиты по сниженным ставкам, и свыше 400 – корпоративную поддержку в найме жилья, платежей по ипотеке или целевых субсидий. </w:t>
      </w:r>
    </w:p>
    <w:p w:rsidR="003B0EA7" w:rsidRPr="004761E0" w:rsidRDefault="003B0EA7" w:rsidP="003B0EA7">
      <w:pPr>
        <w:pStyle w:val="a5"/>
        <w:ind w:left="0" w:firstLine="567"/>
        <w:rPr>
          <w:sz w:val="26"/>
          <w:szCs w:val="26"/>
        </w:rPr>
      </w:pPr>
      <w:r w:rsidRPr="004761E0">
        <w:rPr>
          <w:sz w:val="26"/>
          <w:szCs w:val="26"/>
        </w:rPr>
        <w:t>Кроме того, разработана и реализована Программа социальной поддержки молодых работников-выпускников электротехнических специальностей, с помощью которой Общество пополнило свои ряды перспективными кадрами.</w:t>
      </w:r>
    </w:p>
    <w:p w:rsidR="003B0EA7" w:rsidRPr="004761E0" w:rsidRDefault="003B0EA7" w:rsidP="003B0EA7">
      <w:pPr>
        <w:pStyle w:val="a5"/>
        <w:spacing w:before="120" w:after="120"/>
        <w:ind w:left="0" w:firstLine="567"/>
        <w:contextualSpacing w:val="0"/>
        <w:rPr>
          <w:b/>
          <w:sz w:val="26"/>
          <w:szCs w:val="26"/>
        </w:rPr>
      </w:pPr>
      <w:r w:rsidRPr="004761E0">
        <w:rPr>
          <w:b/>
          <w:sz w:val="26"/>
          <w:szCs w:val="26"/>
        </w:rPr>
        <w:t>Как, по Вашему мнению, в отчетном году упростилась деятельность в рамках курируемого направления?</w:t>
      </w:r>
    </w:p>
    <w:p w:rsidR="003B0EA7" w:rsidRPr="004761E0" w:rsidRDefault="003B0EA7" w:rsidP="003B0EA7">
      <w:pPr>
        <w:pStyle w:val="a5"/>
        <w:ind w:left="0" w:firstLine="567"/>
        <w:rPr>
          <w:sz w:val="26"/>
          <w:szCs w:val="26"/>
        </w:rPr>
      </w:pPr>
      <w:r w:rsidRPr="004761E0">
        <w:rPr>
          <w:sz w:val="26"/>
          <w:szCs w:val="26"/>
        </w:rPr>
        <w:t>В 2013 году проведена централизация функц</w:t>
      </w:r>
      <w:r w:rsidRPr="00947F43">
        <w:rPr>
          <w:sz w:val="26"/>
          <w:szCs w:val="26"/>
        </w:rPr>
        <w:t xml:space="preserve">ий </w:t>
      </w:r>
      <w:r w:rsidR="00947F43" w:rsidRPr="00947F43">
        <w:rPr>
          <w:sz w:val="26"/>
          <w:szCs w:val="26"/>
        </w:rPr>
        <w:t>Центра психофизиологического обеспечения</w:t>
      </w:r>
      <w:r w:rsidRPr="004761E0">
        <w:rPr>
          <w:sz w:val="26"/>
          <w:szCs w:val="26"/>
        </w:rPr>
        <w:t>, что позволило достичь равномерности качества психофизиологического обеспечения за счет обеспечения взаимозаменяемости в случае временного отсутствия специалистов. Помимо этого, внедрены новые диагностические комплексы, которые сократили время выполнения тестирования рабочих профессий без снижения объективности обследования.</w:t>
      </w:r>
    </w:p>
    <w:p w:rsidR="003B0EA7" w:rsidRPr="004761E0" w:rsidRDefault="003B0EA7" w:rsidP="003B0EA7">
      <w:pPr>
        <w:pStyle w:val="a5"/>
        <w:spacing w:before="120" w:after="120"/>
        <w:ind w:left="0" w:firstLine="567"/>
        <w:contextualSpacing w:val="0"/>
        <w:rPr>
          <w:b/>
          <w:sz w:val="26"/>
          <w:szCs w:val="26"/>
        </w:rPr>
      </w:pPr>
      <w:r w:rsidRPr="004761E0">
        <w:rPr>
          <w:b/>
          <w:sz w:val="26"/>
          <w:szCs w:val="26"/>
        </w:rPr>
        <w:t xml:space="preserve">Каким образом результаты деятельности в рамках курируемого направления повлияли в отчетном году на повышение открытости / прозрачности деятельности </w:t>
      </w:r>
      <w:r w:rsidR="0008080E">
        <w:rPr>
          <w:b/>
          <w:sz w:val="26"/>
          <w:szCs w:val="26"/>
        </w:rPr>
        <w:t>ОАО </w:t>
      </w:r>
      <w:r w:rsidRPr="004761E0">
        <w:rPr>
          <w:b/>
          <w:sz w:val="26"/>
          <w:szCs w:val="26"/>
        </w:rPr>
        <w:t xml:space="preserve">«МОЭСК»? </w:t>
      </w:r>
    </w:p>
    <w:p w:rsidR="003B0EA7" w:rsidRPr="004761E0" w:rsidRDefault="003B0EA7" w:rsidP="003B0EA7">
      <w:pPr>
        <w:pStyle w:val="a5"/>
        <w:ind w:left="0" w:firstLine="567"/>
        <w:rPr>
          <w:sz w:val="26"/>
          <w:szCs w:val="26"/>
        </w:rPr>
      </w:pPr>
      <w:r w:rsidRPr="004761E0">
        <w:rPr>
          <w:sz w:val="26"/>
          <w:szCs w:val="26"/>
        </w:rPr>
        <w:t xml:space="preserve">Уже не первый год наша компания находится в числе лидеров отрасли по части открытости. Регулярное информирование широкой общественности и инвесторов о деятельности компании дополняется выпуском отчета в области устойчивого развития. Отчет в области устойчивого развития </w:t>
      </w:r>
      <w:r w:rsidR="0008080E">
        <w:rPr>
          <w:sz w:val="26"/>
          <w:szCs w:val="26"/>
        </w:rPr>
        <w:t>ОАО </w:t>
      </w:r>
      <w:r w:rsidR="001332F2">
        <w:rPr>
          <w:sz w:val="26"/>
          <w:szCs w:val="26"/>
        </w:rPr>
        <w:t>«</w:t>
      </w:r>
      <w:r w:rsidRPr="004761E0">
        <w:rPr>
          <w:sz w:val="26"/>
          <w:szCs w:val="26"/>
        </w:rPr>
        <w:t>МОЭСК</w:t>
      </w:r>
      <w:r w:rsidR="001332F2">
        <w:rPr>
          <w:sz w:val="26"/>
          <w:szCs w:val="26"/>
        </w:rPr>
        <w:t>»</w:t>
      </w:r>
      <w:r w:rsidRPr="004761E0">
        <w:rPr>
          <w:sz w:val="26"/>
          <w:szCs w:val="26"/>
        </w:rPr>
        <w:t xml:space="preserve"> за 2012 получил широкую поддержку стейкхолдеров, участвовавших в процессе его создания: </w:t>
      </w:r>
      <w:r w:rsidRPr="004761E0">
        <w:rPr>
          <w:sz w:val="26"/>
          <w:szCs w:val="26"/>
        </w:rPr>
        <w:lastRenderedPageBreak/>
        <w:t xml:space="preserve">представителей Роспотребнадзора, государственной инспекции труда, ОРАЭЛ, Электропрофсоюза, Минэнерго России, ОПОРЫ России, РСПП и других. </w:t>
      </w:r>
    </w:p>
    <w:p w:rsidR="003B0EA7" w:rsidRPr="004761E0" w:rsidRDefault="003B0EA7" w:rsidP="003B0EA7">
      <w:pPr>
        <w:pStyle w:val="a5"/>
        <w:ind w:left="0" w:firstLine="567"/>
        <w:rPr>
          <w:sz w:val="26"/>
          <w:szCs w:val="26"/>
        </w:rPr>
      </w:pPr>
      <w:r w:rsidRPr="004761E0">
        <w:rPr>
          <w:sz w:val="26"/>
          <w:szCs w:val="26"/>
        </w:rPr>
        <w:t xml:space="preserve">О высокой степени доступности информации о достижениях </w:t>
      </w:r>
      <w:r w:rsidR="004546A6">
        <w:rPr>
          <w:sz w:val="26"/>
          <w:szCs w:val="26"/>
        </w:rPr>
        <w:t>ОАО «</w:t>
      </w:r>
      <w:r w:rsidRPr="004761E0">
        <w:rPr>
          <w:sz w:val="26"/>
          <w:szCs w:val="26"/>
        </w:rPr>
        <w:t>МОЭСК</w:t>
      </w:r>
      <w:r w:rsidR="004546A6">
        <w:rPr>
          <w:sz w:val="26"/>
          <w:szCs w:val="26"/>
        </w:rPr>
        <w:t>»</w:t>
      </w:r>
      <w:r w:rsidRPr="004761E0">
        <w:rPr>
          <w:sz w:val="26"/>
          <w:szCs w:val="26"/>
        </w:rPr>
        <w:t xml:space="preserve"> в части реализации социальной политики говорят и следующие факты:</w:t>
      </w:r>
    </w:p>
    <w:p w:rsidR="003B0EA7" w:rsidRPr="004761E0" w:rsidRDefault="003B0EA7" w:rsidP="007076A7">
      <w:pPr>
        <w:pStyle w:val="a5"/>
        <w:numPr>
          <w:ilvl w:val="0"/>
          <w:numId w:val="270"/>
        </w:numPr>
        <w:ind w:left="1134" w:hanging="567"/>
        <w:contextualSpacing w:val="0"/>
        <w:rPr>
          <w:sz w:val="26"/>
          <w:szCs w:val="26"/>
        </w:rPr>
      </w:pPr>
      <w:r w:rsidRPr="004761E0">
        <w:rPr>
          <w:sz w:val="26"/>
          <w:szCs w:val="26"/>
        </w:rPr>
        <w:t xml:space="preserve">Коллективный договор </w:t>
      </w:r>
      <w:r w:rsidR="0008080E">
        <w:rPr>
          <w:sz w:val="26"/>
          <w:szCs w:val="26"/>
        </w:rPr>
        <w:t>ОАО </w:t>
      </w:r>
      <w:r w:rsidRPr="004761E0">
        <w:rPr>
          <w:sz w:val="26"/>
          <w:szCs w:val="26"/>
        </w:rPr>
        <w:t>«МОЭСК» 2013-2014 гг. признан РаЭл одним из лучших в отрасли;</w:t>
      </w:r>
    </w:p>
    <w:p w:rsidR="003B0EA7" w:rsidRPr="004761E0" w:rsidRDefault="003B0EA7" w:rsidP="007076A7">
      <w:pPr>
        <w:pStyle w:val="a5"/>
        <w:numPr>
          <w:ilvl w:val="0"/>
          <w:numId w:val="270"/>
        </w:numPr>
        <w:ind w:left="1134" w:hanging="567"/>
        <w:contextualSpacing w:val="0"/>
        <w:rPr>
          <w:sz w:val="26"/>
          <w:szCs w:val="26"/>
        </w:rPr>
      </w:pPr>
      <w:r w:rsidRPr="004761E0">
        <w:rPr>
          <w:sz w:val="26"/>
          <w:szCs w:val="26"/>
        </w:rPr>
        <w:t>Уровень удовлетворенности персонала составляет 86</w:t>
      </w:r>
      <w:r w:rsidR="00E30CDF">
        <w:rPr>
          <w:sz w:val="26"/>
          <w:szCs w:val="26"/>
        </w:rPr>
        <w:t xml:space="preserve"> </w:t>
      </w:r>
      <w:r w:rsidRPr="004761E0">
        <w:rPr>
          <w:sz w:val="26"/>
          <w:szCs w:val="26"/>
        </w:rPr>
        <w:t>%;</w:t>
      </w:r>
    </w:p>
    <w:p w:rsidR="003B0EA7" w:rsidRPr="004761E0" w:rsidRDefault="003B0EA7" w:rsidP="007076A7">
      <w:pPr>
        <w:pStyle w:val="a5"/>
        <w:numPr>
          <w:ilvl w:val="0"/>
          <w:numId w:val="270"/>
        </w:numPr>
        <w:ind w:left="1134" w:hanging="567"/>
        <w:contextualSpacing w:val="0"/>
        <w:rPr>
          <w:sz w:val="26"/>
          <w:szCs w:val="26"/>
        </w:rPr>
      </w:pPr>
      <w:r w:rsidRPr="004761E0">
        <w:rPr>
          <w:sz w:val="26"/>
          <w:szCs w:val="26"/>
        </w:rPr>
        <w:t xml:space="preserve">В отчетном году филиал </w:t>
      </w:r>
      <w:r w:rsidR="004546A6">
        <w:rPr>
          <w:sz w:val="26"/>
          <w:szCs w:val="26"/>
        </w:rPr>
        <w:t>ОАО «</w:t>
      </w:r>
      <w:r w:rsidRPr="004761E0">
        <w:rPr>
          <w:sz w:val="26"/>
          <w:szCs w:val="26"/>
        </w:rPr>
        <w:t>МОЭСК</w:t>
      </w:r>
      <w:r w:rsidR="004546A6">
        <w:rPr>
          <w:sz w:val="26"/>
          <w:szCs w:val="26"/>
        </w:rPr>
        <w:t>»</w:t>
      </w:r>
      <w:r w:rsidRPr="004761E0">
        <w:rPr>
          <w:sz w:val="26"/>
          <w:szCs w:val="26"/>
        </w:rPr>
        <w:t xml:space="preserve"> – Южные электрические сети занял </w:t>
      </w:r>
      <w:r w:rsidRPr="004761E0">
        <w:rPr>
          <w:sz w:val="26"/>
          <w:szCs w:val="26"/>
          <w:lang w:val="en-US"/>
        </w:rPr>
        <w:t>I</w:t>
      </w:r>
      <w:r w:rsidR="00E30CDF">
        <w:rPr>
          <w:sz w:val="26"/>
          <w:szCs w:val="26"/>
        </w:rPr>
        <w:t> </w:t>
      </w:r>
      <w:r w:rsidRPr="004761E0">
        <w:rPr>
          <w:sz w:val="26"/>
          <w:szCs w:val="26"/>
        </w:rPr>
        <w:t>место в конкурсе «Российская организация высокой социальной эффективности» в номинации  «За развитие социального партнерства в организациях непроизводственной сферы».</w:t>
      </w:r>
    </w:p>
    <w:p w:rsidR="003B0EA7" w:rsidRPr="004761E0" w:rsidRDefault="003B0EA7" w:rsidP="003B0EA7">
      <w:pPr>
        <w:pStyle w:val="a5"/>
        <w:spacing w:before="120" w:after="120"/>
        <w:ind w:left="0" w:firstLine="567"/>
        <w:contextualSpacing w:val="0"/>
        <w:rPr>
          <w:b/>
          <w:sz w:val="26"/>
          <w:szCs w:val="26"/>
        </w:rPr>
      </w:pPr>
      <w:r w:rsidRPr="004761E0">
        <w:rPr>
          <w:b/>
          <w:sz w:val="26"/>
          <w:szCs w:val="26"/>
        </w:rPr>
        <w:t>Как результаты работы в отчетном году в рамках курируемого направления отразились на взаимоотношениях с клиентами, акционерами, иными заинтересованными сторонами?</w:t>
      </w:r>
    </w:p>
    <w:p w:rsidR="003B0EA7" w:rsidRPr="004761E0" w:rsidRDefault="003B0EA7" w:rsidP="003B0EA7">
      <w:pPr>
        <w:pStyle w:val="a5"/>
        <w:ind w:left="0" w:firstLine="567"/>
        <w:rPr>
          <w:sz w:val="26"/>
          <w:szCs w:val="26"/>
        </w:rPr>
      </w:pPr>
      <w:r w:rsidRPr="004761E0">
        <w:rPr>
          <w:sz w:val="26"/>
          <w:szCs w:val="26"/>
        </w:rPr>
        <w:t xml:space="preserve">Блоком управления персоналом уделялось особое внимание выстраиванию отношений с общественностью посредством реализации Программы благотворительной деятельности. В ходе ее реализации в  прошедшем году при поддержке </w:t>
      </w:r>
      <w:r w:rsidR="00E020B0">
        <w:rPr>
          <w:sz w:val="26"/>
          <w:szCs w:val="26"/>
        </w:rPr>
        <w:t>К</w:t>
      </w:r>
      <w:r w:rsidRPr="004761E0">
        <w:rPr>
          <w:sz w:val="26"/>
          <w:szCs w:val="26"/>
        </w:rPr>
        <w:t>омпании сооружен памятник инженерам и строителям электрозаграждений 1941 г</w:t>
      </w:r>
      <w:r w:rsidR="00C53B7E">
        <w:rPr>
          <w:sz w:val="26"/>
          <w:szCs w:val="26"/>
        </w:rPr>
        <w:t>ода</w:t>
      </w:r>
      <w:r w:rsidRPr="004761E0">
        <w:rPr>
          <w:sz w:val="26"/>
          <w:szCs w:val="26"/>
        </w:rPr>
        <w:t xml:space="preserve"> в д. Нефедьево Красногорского района, организованы концерт-съемка программы «Взрослые и дети» к Дню защиты детей, фестиваль «Музыкальный квартал» и другие меропряития.</w:t>
      </w:r>
    </w:p>
    <w:p w:rsidR="003B0EA7" w:rsidRPr="004761E0" w:rsidRDefault="003B0EA7" w:rsidP="003B0EA7">
      <w:pPr>
        <w:pStyle w:val="a5"/>
        <w:ind w:left="0" w:firstLine="567"/>
        <w:rPr>
          <w:sz w:val="26"/>
          <w:szCs w:val="26"/>
        </w:rPr>
      </w:pPr>
      <w:r w:rsidRPr="004761E0">
        <w:rPr>
          <w:sz w:val="26"/>
          <w:szCs w:val="26"/>
        </w:rPr>
        <w:t xml:space="preserve">С целью повышения интереса молодых специалистов к трудоустройству в </w:t>
      </w:r>
      <w:r w:rsidR="004546A6">
        <w:rPr>
          <w:sz w:val="26"/>
          <w:szCs w:val="26"/>
        </w:rPr>
        <w:t>ОАО «</w:t>
      </w:r>
      <w:r w:rsidRPr="004761E0">
        <w:rPr>
          <w:sz w:val="26"/>
          <w:szCs w:val="26"/>
        </w:rPr>
        <w:t>МОЭСК</w:t>
      </w:r>
      <w:r w:rsidR="004546A6">
        <w:rPr>
          <w:sz w:val="26"/>
          <w:szCs w:val="26"/>
        </w:rPr>
        <w:t>»</w:t>
      </w:r>
      <w:r w:rsidRPr="004761E0">
        <w:rPr>
          <w:sz w:val="26"/>
          <w:szCs w:val="26"/>
        </w:rPr>
        <w:t xml:space="preserve"> реализовывалась молодежная политика. Так, молодые специалисты Общества приняли участие в форум молодых энергетиков «Форсаж-2013» и молодежном форуме </w:t>
      </w:r>
      <w:r w:rsidRPr="004761E0">
        <w:rPr>
          <w:sz w:val="26"/>
          <w:szCs w:val="26"/>
          <w:lang w:val="en-US"/>
        </w:rPr>
        <w:t>ENES</w:t>
      </w:r>
      <w:r w:rsidRPr="004761E0">
        <w:rPr>
          <w:sz w:val="26"/>
          <w:szCs w:val="26"/>
        </w:rPr>
        <w:t xml:space="preserve"> 2013. Доброй традиций стало проведение Форума молодежи </w:t>
      </w:r>
      <w:r w:rsidR="0008080E">
        <w:rPr>
          <w:sz w:val="26"/>
          <w:szCs w:val="26"/>
        </w:rPr>
        <w:t>ОАО </w:t>
      </w:r>
      <w:r w:rsidRPr="004761E0">
        <w:rPr>
          <w:sz w:val="26"/>
          <w:szCs w:val="26"/>
        </w:rPr>
        <w:t xml:space="preserve">«МОЭСК». Привлечение к данному мероприятию студентов высших и средних учебных заведений позволило познакомить будущих энергетиков с деятельностью компании и программами, которые </w:t>
      </w:r>
      <w:r w:rsidR="004546A6">
        <w:rPr>
          <w:sz w:val="26"/>
          <w:szCs w:val="26"/>
        </w:rPr>
        <w:t>ОАО «</w:t>
      </w:r>
      <w:r w:rsidRPr="004761E0">
        <w:rPr>
          <w:sz w:val="26"/>
          <w:szCs w:val="26"/>
        </w:rPr>
        <w:t>МОЭСК</w:t>
      </w:r>
      <w:r w:rsidR="004546A6">
        <w:rPr>
          <w:sz w:val="26"/>
          <w:szCs w:val="26"/>
        </w:rPr>
        <w:t>»</w:t>
      </w:r>
      <w:r w:rsidRPr="004761E0">
        <w:rPr>
          <w:sz w:val="26"/>
          <w:szCs w:val="26"/>
        </w:rPr>
        <w:t xml:space="preserve"> реализует для выпускников электротехнических специальностей. </w:t>
      </w:r>
    </w:p>
    <w:p w:rsidR="003B0EA7" w:rsidRPr="004761E0" w:rsidRDefault="003B0EA7" w:rsidP="003B0EA7">
      <w:pPr>
        <w:pStyle w:val="a5"/>
        <w:ind w:left="0" w:firstLine="567"/>
        <w:rPr>
          <w:sz w:val="26"/>
          <w:szCs w:val="26"/>
        </w:rPr>
      </w:pPr>
      <w:r w:rsidRPr="004761E0">
        <w:rPr>
          <w:sz w:val="26"/>
          <w:szCs w:val="26"/>
        </w:rPr>
        <w:t xml:space="preserve">Неоднократно Общество получало благодарности за активное участие в имиджевых спортивных и городских мероприятиях, таких как </w:t>
      </w:r>
      <w:r w:rsidRPr="004761E0">
        <w:rPr>
          <w:sz w:val="26"/>
          <w:szCs w:val="26"/>
          <w:lang w:val="en-US"/>
        </w:rPr>
        <w:t>II</w:t>
      </w:r>
      <w:r w:rsidRPr="004761E0">
        <w:rPr>
          <w:sz w:val="26"/>
          <w:szCs w:val="26"/>
        </w:rPr>
        <w:t xml:space="preserve"> Спартакиада трудящихся на Красной площади, городской конкурс профессионального мастерства «Московские мастера – 2013» и др. </w:t>
      </w:r>
    </w:p>
    <w:p w:rsidR="003B0EA7" w:rsidRPr="004761E0" w:rsidRDefault="003B0EA7" w:rsidP="003B0EA7">
      <w:pPr>
        <w:pStyle w:val="a5"/>
        <w:spacing w:before="120" w:after="120"/>
        <w:ind w:left="0" w:firstLine="567"/>
        <w:contextualSpacing w:val="0"/>
        <w:rPr>
          <w:b/>
          <w:sz w:val="26"/>
          <w:szCs w:val="26"/>
        </w:rPr>
      </w:pPr>
      <w:r w:rsidRPr="004761E0">
        <w:rPr>
          <w:b/>
          <w:sz w:val="26"/>
          <w:szCs w:val="26"/>
        </w:rPr>
        <w:t>Появились ли в рамках курируемого направления новые бизнес-процессы?</w:t>
      </w:r>
    </w:p>
    <w:p w:rsidR="003B0EA7" w:rsidRPr="004761E0" w:rsidRDefault="003B0EA7" w:rsidP="003B0EA7">
      <w:pPr>
        <w:pStyle w:val="a5"/>
        <w:ind w:left="0" w:firstLine="567"/>
        <w:rPr>
          <w:sz w:val="26"/>
          <w:szCs w:val="26"/>
        </w:rPr>
      </w:pPr>
      <w:r w:rsidRPr="004761E0">
        <w:rPr>
          <w:sz w:val="26"/>
          <w:szCs w:val="26"/>
        </w:rPr>
        <w:t xml:space="preserve">2013-й год стал годом повышения эффективности кадрового потенциала компании, что невозможно без совершенствования существующих и внедрения новых бизнес-процессов. Так, в прошедшем году стартовал проект по ротации персонала компании, в рамках которого 52 работника получили временные новые назначения, что также способствовало повышению эффективности обмена знаниями и опытом. </w:t>
      </w:r>
    </w:p>
    <w:p w:rsidR="003B0EA7" w:rsidRPr="004761E0" w:rsidRDefault="003B0EA7" w:rsidP="003B0EA7">
      <w:pPr>
        <w:pStyle w:val="a5"/>
        <w:ind w:left="0" w:firstLine="567"/>
        <w:rPr>
          <w:sz w:val="26"/>
          <w:szCs w:val="26"/>
        </w:rPr>
      </w:pPr>
      <w:r w:rsidRPr="004761E0">
        <w:rPr>
          <w:sz w:val="26"/>
          <w:szCs w:val="26"/>
        </w:rPr>
        <w:t>Важные изменения произошли в области улучшения системы оплаты труда: внедрена система материального стимулирования работников филиалов по оказанию дополнительных услуг сторонним организациям и /или физическим лицам, а также введена система ключевых показателей эффективности руководителей РЭС/ОВЭС/УКС, изменена структура КПЭ руководителей, специалистов и служащих.</w:t>
      </w:r>
    </w:p>
    <w:p w:rsidR="003B0EA7" w:rsidRPr="004761E0" w:rsidRDefault="003B0EA7" w:rsidP="003B0EA7">
      <w:pPr>
        <w:pStyle w:val="a5"/>
        <w:ind w:left="0" w:firstLine="567"/>
        <w:rPr>
          <w:sz w:val="26"/>
          <w:szCs w:val="26"/>
        </w:rPr>
      </w:pPr>
      <w:r w:rsidRPr="004761E0">
        <w:rPr>
          <w:sz w:val="26"/>
          <w:szCs w:val="26"/>
        </w:rPr>
        <w:lastRenderedPageBreak/>
        <w:t xml:space="preserve">Стоит отметить, что </w:t>
      </w:r>
      <w:r w:rsidR="004546A6">
        <w:rPr>
          <w:sz w:val="26"/>
          <w:szCs w:val="26"/>
        </w:rPr>
        <w:t>ОАО «</w:t>
      </w:r>
      <w:r w:rsidRPr="004761E0">
        <w:rPr>
          <w:sz w:val="26"/>
          <w:szCs w:val="26"/>
        </w:rPr>
        <w:t>МОЭСК</w:t>
      </w:r>
      <w:r w:rsidR="004546A6">
        <w:rPr>
          <w:sz w:val="26"/>
          <w:szCs w:val="26"/>
        </w:rPr>
        <w:t>»</w:t>
      </w:r>
      <w:r w:rsidRPr="004761E0">
        <w:rPr>
          <w:sz w:val="26"/>
          <w:szCs w:val="26"/>
        </w:rPr>
        <w:t xml:space="preserve"> продолжает уделять повышенное внимание совершенствованию охраны профессиональной деятельности. В отчетном году создана и успешно реализовывалась система улучшения социально-бытовых условий труда персонала. Новшеством является и телефон поддержки для оказания экстренной психологической помощи, а также 12 тренинговых психологических программ для работы с персоналом.</w:t>
      </w:r>
    </w:p>
    <w:p w:rsidR="003B0EA7" w:rsidRPr="004761E0" w:rsidRDefault="003B0EA7" w:rsidP="003B0EA7">
      <w:pPr>
        <w:pStyle w:val="a5"/>
        <w:spacing w:before="120" w:after="120"/>
        <w:ind w:left="0" w:firstLine="567"/>
        <w:contextualSpacing w:val="0"/>
        <w:rPr>
          <w:b/>
          <w:sz w:val="26"/>
          <w:szCs w:val="26"/>
        </w:rPr>
      </w:pPr>
      <w:r w:rsidRPr="004761E0">
        <w:rPr>
          <w:b/>
          <w:sz w:val="26"/>
          <w:szCs w:val="26"/>
        </w:rPr>
        <w:t>Каковы основные планы на следующий год и среднесрочную перспективу?</w:t>
      </w:r>
    </w:p>
    <w:p w:rsidR="003B0EA7" w:rsidRDefault="003B0EA7" w:rsidP="003B0EA7">
      <w:pPr>
        <w:pStyle w:val="a5"/>
        <w:ind w:left="0" w:firstLine="567"/>
        <w:rPr>
          <w:sz w:val="26"/>
          <w:szCs w:val="26"/>
        </w:rPr>
      </w:pPr>
      <w:r w:rsidRPr="004761E0">
        <w:rPr>
          <w:sz w:val="26"/>
          <w:szCs w:val="26"/>
        </w:rPr>
        <w:t>В 2014-м году планируется продолжить снижение численности административно-управленческого персонала Общества за счет оптимизации системы управления, совершенствования организационных структур и бизнес-процессов Общества. Также у нас в планах получение лицензии на образовательную деятельность, формирование временного жилого фонда, разработка нового Колдоговора на 2015-2017 гг., увеличение совокупного дохода представителей рабочих специальностей на 4</w:t>
      </w:r>
      <w:r w:rsidR="00E30CDF">
        <w:rPr>
          <w:sz w:val="26"/>
          <w:szCs w:val="26"/>
        </w:rPr>
        <w:t xml:space="preserve"> </w:t>
      </w:r>
      <w:r w:rsidRPr="004761E0">
        <w:rPr>
          <w:sz w:val="26"/>
          <w:szCs w:val="26"/>
        </w:rPr>
        <w:t>%, реализация программы «цеховой врач» и другие  проекты. Помимо этого, одним из важнейших проектов в области управления персоналом должно стать внедрение системы грейдирования в компании, что соответствует лучшим отраслевым практикам.</w:t>
      </w:r>
    </w:p>
    <w:p w:rsidR="00585397" w:rsidRDefault="00585397">
      <w:pPr>
        <w:ind w:firstLine="0"/>
        <w:jc w:val="left"/>
        <w:rPr>
          <w:sz w:val="26"/>
          <w:szCs w:val="26"/>
        </w:rPr>
      </w:pPr>
      <w:r>
        <w:rPr>
          <w:sz w:val="26"/>
          <w:szCs w:val="26"/>
        </w:rPr>
        <w:br w:type="page"/>
      </w:r>
    </w:p>
    <w:p w:rsidR="008505CC" w:rsidRPr="004761E0" w:rsidRDefault="00D86FD3" w:rsidP="007076A7">
      <w:pPr>
        <w:pStyle w:val="a8"/>
        <w:numPr>
          <w:ilvl w:val="1"/>
          <w:numId w:val="321"/>
        </w:numPr>
        <w:spacing w:before="120" w:after="120"/>
        <w:ind w:left="1134" w:hanging="567"/>
        <w:jc w:val="both"/>
        <w:rPr>
          <w:rFonts w:ascii="Times New Roman" w:hAnsi="Times New Roman"/>
          <w:b/>
          <w:sz w:val="26"/>
          <w:szCs w:val="26"/>
          <w:lang w:eastAsia="ru-RU"/>
        </w:rPr>
      </w:pPr>
      <w:bookmarkStart w:id="125" w:name="_Toc385339844"/>
      <w:r>
        <w:rPr>
          <w:rFonts w:ascii="Times New Roman" w:hAnsi="Times New Roman"/>
          <w:b/>
          <w:sz w:val="26"/>
          <w:szCs w:val="26"/>
        </w:rPr>
        <w:lastRenderedPageBreak/>
        <w:t>Управление персоналом</w:t>
      </w:r>
      <w:bookmarkEnd w:id="125"/>
    </w:p>
    <w:p w:rsidR="002A3F9C" w:rsidRPr="00585397" w:rsidRDefault="002A3F9C" w:rsidP="002A3F9C">
      <w:pPr>
        <w:ind w:firstLine="567"/>
        <w:rPr>
          <w:sz w:val="26"/>
          <w:szCs w:val="26"/>
        </w:rPr>
      </w:pPr>
      <w:r w:rsidRPr="004761E0">
        <w:rPr>
          <w:sz w:val="26"/>
          <w:szCs w:val="26"/>
        </w:rPr>
        <w:t xml:space="preserve">Ключевыми целями кадровой </w:t>
      </w:r>
      <w:r w:rsidRPr="00585397">
        <w:rPr>
          <w:sz w:val="26"/>
          <w:szCs w:val="26"/>
        </w:rPr>
        <w:t>политики являются:</w:t>
      </w:r>
    </w:p>
    <w:p w:rsidR="002A3F9C" w:rsidRPr="00585397" w:rsidRDefault="002A3F9C" w:rsidP="007076A7">
      <w:pPr>
        <w:pStyle w:val="15"/>
        <w:numPr>
          <w:ilvl w:val="0"/>
          <w:numId w:val="180"/>
        </w:numPr>
        <w:overflowPunct/>
        <w:spacing w:before="0"/>
        <w:ind w:left="1134" w:hanging="567"/>
        <w:textAlignment w:val="auto"/>
        <w:rPr>
          <w:sz w:val="26"/>
          <w:szCs w:val="26"/>
        </w:rPr>
      </w:pPr>
      <w:r w:rsidRPr="00585397">
        <w:rPr>
          <w:sz w:val="26"/>
          <w:szCs w:val="26"/>
        </w:rPr>
        <w:t xml:space="preserve">обеспечение конкурентоспособности </w:t>
      </w:r>
      <w:r w:rsidR="0008080E">
        <w:rPr>
          <w:sz w:val="26"/>
          <w:szCs w:val="26"/>
        </w:rPr>
        <w:t>ОАО </w:t>
      </w:r>
      <w:r w:rsidRPr="00585397">
        <w:rPr>
          <w:sz w:val="26"/>
          <w:szCs w:val="26"/>
        </w:rPr>
        <w:t>«МОЭСК» на рынке труда (</w:t>
      </w:r>
      <w:r w:rsidR="0008080E">
        <w:rPr>
          <w:sz w:val="26"/>
          <w:szCs w:val="26"/>
        </w:rPr>
        <w:t>ОАО </w:t>
      </w:r>
      <w:r w:rsidR="00AE77FD">
        <w:rPr>
          <w:sz w:val="26"/>
          <w:szCs w:val="26"/>
        </w:rPr>
        <w:t>«МОЭСК» –</w:t>
      </w:r>
      <w:r w:rsidRPr="00585397">
        <w:rPr>
          <w:sz w:val="26"/>
          <w:szCs w:val="26"/>
        </w:rPr>
        <w:t xml:space="preserve"> лучший работодатель в отрасли);</w:t>
      </w:r>
    </w:p>
    <w:p w:rsidR="002A3F9C" w:rsidRPr="004761E0" w:rsidRDefault="002A3F9C" w:rsidP="007076A7">
      <w:pPr>
        <w:pStyle w:val="15"/>
        <w:numPr>
          <w:ilvl w:val="0"/>
          <w:numId w:val="180"/>
        </w:numPr>
        <w:overflowPunct/>
        <w:spacing w:before="0"/>
        <w:ind w:left="1134" w:hanging="567"/>
        <w:textAlignment w:val="auto"/>
        <w:rPr>
          <w:sz w:val="26"/>
          <w:szCs w:val="26"/>
        </w:rPr>
      </w:pPr>
      <w:r w:rsidRPr="00585397">
        <w:rPr>
          <w:sz w:val="26"/>
          <w:szCs w:val="26"/>
        </w:rPr>
        <w:t>повышение профессионализма и лояльности</w:t>
      </w:r>
      <w:r w:rsidRPr="004761E0">
        <w:rPr>
          <w:sz w:val="26"/>
          <w:szCs w:val="26"/>
        </w:rPr>
        <w:t xml:space="preserve"> персонала.</w:t>
      </w:r>
    </w:p>
    <w:p w:rsidR="002A3F9C" w:rsidRPr="004761E0" w:rsidRDefault="002A3F9C" w:rsidP="002A3F9C">
      <w:pPr>
        <w:ind w:firstLine="567"/>
        <w:rPr>
          <w:sz w:val="26"/>
          <w:szCs w:val="26"/>
        </w:rPr>
      </w:pPr>
      <w:r w:rsidRPr="004761E0">
        <w:rPr>
          <w:sz w:val="26"/>
          <w:szCs w:val="26"/>
        </w:rPr>
        <w:t>Основные задачи кадровой политики:</w:t>
      </w:r>
    </w:p>
    <w:p w:rsidR="002A3F9C" w:rsidRPr="004761E0" w:rsidRDefault="002A3F9C" w:rsidP="007076A7">
      <w:pPr>
        <w:pStyle w:val="15"/>
        <w:numPr>
          <w:ilvl w:val="0"/>
          <w:numId w:val="181"/>
        </w:numPr>
        <w:overflowPunct/>
        <w:spacing w:before="0"/>
        <w:ind w:left="1134" w:hanging="567"/>
        <w:textAlignment w:val="auto"/>
        <w:rPr>
          <w:sz w:val="26"/>
          <w:szCs w:val="26"/>
        </w:rPr>
      </w:pPr>
      <w:r w:rsidRPr="004761E0">
        <w:rPr>
          <w:sz w:val="26"/>
          <w:szCs w:val="26"/>
        </w:rPr>
        <w:t>повышение прозрачности и эффективности системы управления;</w:t>
      </w:r>
    </w:p>
    <w:p w:rsidR="002A3F9C" w:rsidRPr="004761E0" w:rsidRDefault="002A3F9C" w:rsidP="007076A7">
      <w:pPr>
        <w:pStyle w:val="15"/>
        <w:numPr>
          <w:ilvl w:val="0"/>
          <w:numId w:val="181"/>
        </w:numPr>
        <w:overflowPunct/>
        <w:spacing w:before="0"/>
        <w:ind w:left="1134" w:hanging="567"/>
        <w:textAlignment w:val="auto"/>
        <w:rPr>
          <w:sz w:val="26"/>
          <w:szCs w:val="26"/>
        </w:rPr>
      </w:pPr>
      <w:r w:rsidRPr="004761E0">
        <w:rPr>
          <w:sz w:val="26"/>
          <w:szCs w:val="26"/>
        </w:rPr>
        <w:t>совершенствование системы мотивации работников в целях формирования адекватного компенсационного пакета с учетом вклада каждого в достижения Общества;</w:t>
      </w:r>
    </w:p>
    <w:p w:rsidR="002A3F9C" w:rsidRPr="004761E0" w:rsidRDefault="002A3F9C" w:rsidP="007076A7">
      <w:pPr>
        <w:pStyle w:val="15"/>
        <w:numPr>
          <w:ilvl w:val="0"/>
          <w:numId w:val="181"/>
        </w:numPr>
        <w:overflowPunct/>
        <w:spacing w:before="0"/>
        <w:ind w:left="1134" w:hanging="567"/>
        <w:textAlignment w:val="auto"/>
        <w:rPr>
          <w:sz w:val="26"/>
          <w:szCs w:val="26"/>
        </w:rPr>
      </w:pPr>
      <w:r w:rsidRPr="004761E0">
        <w:rPr>
          <w:sz w:val="26"/>
          <w:szCs w:val="26"/>
        </w:rPr>
        <w:t>фокусирование на внутренних кадровых ресурсах, развитии и карьерном росте работников, повышение эффективности использования кадрового резерва;</w:t>
      </w:r>
    </w:p>
    <w:p w:rsidR="002A3F9C" w:rsidRPr="004761E0" w:rsidRDefault="002A3F9C" w:rsidP="007076A7">
      <w:pPr>
        <w:pStyle w:val="15"/>
        <w:numPr>
          <w:ilvl w:val="0"/>
          <w:numId w:val="181"/>
        </w:numPr>
        <w:overflowPunct/>
        <w:spacing w:before="0"/>
        <w:ind w:left="1134" w:hanging="567"/>
        <w:textAlignment w:val="auto"/>
        <w:rPr>
          <w:sz w:val="26"/>
          <w:szCs w:val="26"/>
        </w:rPr>
      </w:pPr>
      <w:r w:rsidRPr="004761E0">
        <w:rPr>
          <w:sz w:val="26"/>
          <w:szCs w:val="26"/>
        </w:rPr>
        <w:t>совершенствование системы обучения и повышение уровня профессиональной подготовки персонала в рамках разв</w:t>
      </w:r>
      <w:r w:rsidR="00936835">
        <w:rPr>
          <w:sz w:val="26"/>
          <w:szCs w:val="26"/>
        </w:rPr>
        <w:t>ития Учебного центра Общества;</w:t>
      </w:r>
    </w:p>
    <w:p w:rsidR="002A3F9C" w:rsidRPr="004761E0" w:rsidRDefault="002A3F9C" w:rsidP="007076A7">
      <w:pPr>
        <w:pStyle w:val="15"/>
        <w:numPr>
          <w:ilvl w:val="0"/>
          <w:numId w:val="181"/>
        </w:numPr>
        <w:overflowPunct/>
        <w:spacing w:before="0"/>
        <w:ind w:left="1134" w:hanging="567"/>
        <w:textAlignment w:val="auto"/>
        <w:rPr>
          <w:sz w:val="26"/>
          <w:szCs w:val="26"/>
        </w:rPr>
      </w:pPr>
      <w:r w:rsidRPr="004761E0">
        <w:rPr>
          <w:sz w:val="26"/>
          <w:szCs w:val="26"/>
        </w:rPr>
        <w:t>постоянное долгосрочное взаимодействие с учебными заведениями для привлечения необходимого числа новых работников нужной квалификации;</w:t>
      </w:r>
    </w:p>
    <w:p w:rsidR="002A3F9C" w:rsidRPr="004761E0" w:rsidRDefault="002A3F9C" w:rsidP="007076A7">
      <w:pPr>
        <w:pStyle w:val="15"/>
        <w:numPr>
          <w:ilvl w:val="0"/>
          <w:numId w:val="181"/>
        </w:numPr>
        <w:overflowPunct/>
        <w:spacing w:before="0"/>
        <w:ind w:left="1134" w:hanging="567"/>
        <w:textAlignment w:val="auto"/>
        <w:rPr>
          <w:sz w:val="26"/>
          <w:szCs w:val="26"/>
        </w:rPr>
      </w:pPr>
      <w:r w:rsidRPr="004761E0">
        <w:rPr>
          <w:sz w:val="26"/>
          <w:szCs w:val="26"/>
        </w:rPr>
        <w:t>развитие и совершенствование социальной политики.</w:t>
      </w:r>
    </w:p>
    <w:p w:rsidR="002A3F9C" w:rsidRPr="004761E0" w:rsidRDefault="002A3F9C" w:rsidP="002A3F9C">
      <w:pPr>
        <w:tabs>
          <w:tab w:val="left" w:pos="1276"/>
        </w:tabs>
        <w:ind w:firstLine="567"/>
        <w:rPr>
          <w:sz w:val="26"/>
          <w:szCs w:val="26"/>
        </w:rPr>
      </w:pPr>
      <w:r w:rsidRPr="004761E0">
        <w:rPr>
          <w:sz w:val="26"/>
          <w:szCs w:val="26"/>
        </w:rPr>
        <w:t>Основные результаты деятельности в области кадровой политики</w:t>
      </w:r>
      <w:r w:rsidR="002763A1" w:rsidRPr="004761E0">
        <w:rPr>
          <w:sz w:val="26"/>
          <w:szCs w:val="26"/>
        </w:rPr>
        <w:t xml:space="preserve"> за 2013 год</w:t>
      </w:r>
      <w:r w:rsidRPr="004761E0">
        <w:rPr>
          <w:sz w:val="26"/>
          <w:szCs w:val="26"/>
        </w:rPr>
        <w:t>:</w:t>
      </w:r>
    </w:p>
    <w:p w:rsidR="002A3F9C" w:rsidRPr="004761E0" w:rsidRDefault="002A3F9C" w:rsidP="007076A7">
      <w:pPr>
        <w:pStyle w:val="15"/>
        <w:numPr>
          <w:ilvl w:val="0"/>
          <w:numId w:val="182"/>
        </w:numPr>
        <w:spacing w:before="0"/>
        <w:ind w:left="1134" w:hanging="567"/>
        <w:rPr>
          <w:sz w:val="26"/>
          <w:szCs w:val="26"/>
        </w:rPr>
      </w:pPr>
      <w:r w:rsidRPr="004761E0">
        <w:rPr>
          <w:sz w:val="26"/>
          <w:szCs w:val="26"/>
        </w:rPr>
        <w:t>утверждена новая организационной структура Общества;</w:t>
      </w:r>
    </w:p>
    <w:p w:rsidR="002A3F9C" w:rsidRPr="004761E0" w:rsidRDefault="002A3F9C" w:rsidP="007076A7">
      <w:pPr>
        <w:pStyle w:val="15"/>
        <w:numPr>
          <w:ilvl w:val="0"/>
          <w:numId w:val="182"/>
        </w:numPr>
        <w:tabs>
          <w:tab w:val="left" w:pos="709"/>
        </w:tabs>
        <w:spacing w:before="0"/>
        <w:ind w:left="1134" w:hanging="567"/>
        <w:rPr>
          <w:sz w:val="26"/>
          <w:szCs w:val="26"/>
        </w:rPr>
      </w:pPr>
      <w:r w:rsidRPr="004761E0">
        <w:rPr>
          <w:sz w:val="26"/>
          <w:szCs w:val="26"/>
        </w:rPr>
        <w:t>сформирован кадровый резерв в количестве 442 работников;</w:t>
      </w:r>
    </w:p>
    <w:p w:rsidR="002A3F9C" w:rsidRPr="008A2267" w:rsidRDefault="002A3F9C" w:rsidP="007076A7">
      <w:pPr>
        <w:pStyle w:val="15"/>
        <w:numPr>
          <w:ilvl w:val="0"/>
          <w:numId w:val="182"/>
        </w:numPr>
        <w:tabs>
          <w:tab w:val="left" w:pos="1134"/>
        </w:tabs>
        <w:spacing w:before="0"/>
        <w:ind w:left="1134" w:hanging="567"/>
        <w:rPr>
          <w:sz w:val="26"/>
          <w:szCs w:val="26"/>
        </w:rPr>
      </w:pPr>
      <w:r w:rsidRPr="004761E0">
        <w:rPr>
          <w:bCs/>
          <w:sz w:val="26"/>
          <w:szCs w:val="26"/>
        </w:rPr>
        <w:t xml:space="preserve">создан </w:t>
      </w:r>
      <w:r w:rsidR="002763A1" w:rsidRPr="004761E0">
        <w:rPr>
          <w:bCs/>
          <w:sz w:val="26"/>
          <w:szCs w:val="26"/>
        </w:rPr>
        <w:t>У</w:t>
      </w:r>
      <w:r w:rsidRPr="004761E0">
        <w:rPr>
          <w:bCs/>
          <w:sz w:val="26"/>
          <w:szCs w:val="26"/>
        </w:rPr>
        <w:t>чебн</w:t>
      </w:r>
      <w:r w:rsidR="002763A1" w:rsidRPr="004761E0">
        <w:rPr>
          <w:bCs/>
          <w:sz w:val="26"/>
          <w:szCs w:val="26"/>
        </w:rPr>
        <w:t>ый</w:t>
      </w:r>
      <w:r w:rsidRPr="004761E0">
        <w:rPr>
          <w:bCs/>
          <w:sz w:val="26"/>
          <w:szCs w:val="26"/>
        </w:rPr>
        <w:t xml:space="preserve"> </w:t>
      </w:r>
      <w:r w:rsidR="002763A1" w:rsidRPr="004761E0">
        <w:rPr>
          <w:bCs/>
          <w:sz w:val="26"/>
          <w:szCs w:val="26"/>
        </w:rPr>
        <w:t>ц</w:t>
      </w:r>
      <w:r w:rsidRPr="004761E0">
        <w:rPr>
          <w:bCs/>
          <w:sz w:val="26"/>
          <w:szCs w:val="26"/>
        </w:rPr>
        <w:t xml:space="preserve">ентр </w:t>
      </w:r>
      <w:r w:rsidR="0008080E">
        <w:rPr>
          <w:bCs/>
          <w:sz w:val="26"/>
          <w:szCs w:val="26"/>
        </w:rPr>
        <w:t>ОАО </w:t>
      </w:r>
      <w:r w:rsidRPr="004761E0">
        <w:rPr>
          <w:bCs/>
          <w:sz w:val="26"/>
          <w:szCs w:val="26"/>
        </w:rPr>
        <w:t>«МОЭСК»;</w:t>
      </w:r>
    </w:p>
    <w:p w:rsidR="008A2267" w:rsidRPr="008A2267" w:rsidRDefault="008A2267" w:rsidP="007076A7">
      <w:pPr>
        <w:pStyle w:val="15"/>
        <w:numPr>
          <w:ilvl w:val="0"/>
          <w:numId w:val="182"/>
        </w:numPr>
        <w:spacing w:before="0"/>
        <w:ind w:left="1134" w:hanging="567"/>
        <w:rPr>
          <w:sz w:val="26"/>
          <w:szCs w:val="26"/>
        </w:rPr>
      </w:pPr>
      <w:r w:rsidRPr="008A2267">
        <w:rPr>
          <w:sz w:val="26"/>
          <w:szCs w:val="26"/>
        </w:rPr>
        <w:t>проведена внутренн</w:t>
      </w:r>
      <w:r>
        <w:rPr>
          <w:sz w:val="26"/>
          <w:szCs w:val="26"/>
        </w:rPr>
        <w:t xml:space="preserve">яя </w:t>
      </w:r>
      <w:r w:rsidRPr="008A2267">
        <w:rPr>
          <w:sz w:val="26"/>
          <w:szCs w:val="26"/>
        </w:rPr>
        <w:t>и внешн</w:t>
      </w:r>
      <w:r>
        <w:rPr>
          <w:sz w:val="26"/>
          <w:szCs w:val="26"/>
        </w:rPr>
        <w:t>яя</w:t>
      </w:r>
      <w:r w:rsidRPr="008A2267">
        <w:rPr>
          <w:sz w:val="26"/>
          <w:szCs w:val="26"/>
        </w:rPr>
        <w:t xml:space="preserve"> ротаци</w:t>
      </w:r>
      <w:r>
        <w:rPr>
          <w:sz w:val="26"/>
          <w:szCs w:val="26"/>
        </w:rPr>
        <w:t>я</w:t>
      </w:r>
      <w:r w:rsidRPr="008A2267">
        <w:rPr>
          <w:sz w:val="26"/>
          <w:szCs w:val="26"/>
        </w:rPr>
        <w:t xml:space="preserve"> персонала</w:t>
      </w:r>
      <w:r>
        <w:rPr>
          <w:sz w:val="26"/>
          <w:szCs w:val="26"/>
        </w:rPr>
        <w:t xml:space="preserve"> (</w:t>
      </w:r>
      <w:r w:rsidRPr="008A2267">
        <w:rPr>
          <w:sz w:val="26"/>
          <w:szCs w:val="26"/>
        </w:rPr>
        <w:t>52 работник</w:t>
      </w:r>
      <w:r w:rsidR="00936835">
        <w:rPr>
          <w:sz w:val="26"/>
          <w:szCs w:val="26"/>
        </w:rPr>
        <w:t>ов</w:t>
      </w:r>
      <w:r w:rsidRPr="008A2267">
        <w:rPr>
          <w:sz w:val="26"/>
          <w:szCs w:val="26"/>
        </w:rPr>
        <w:t>);</w:t>
      </w:r>
    </w:p>
    <w:p w:rsidR="008A2267" w:rsidRPr="008A2267" w:rsidRDefault="008A2267" w:rsidP="007076A7">
      <w:pPr>
        <w:pStyle w:val="15"/>
        <w:numPr>
          <w:ilvl w:val="0"/>
          <w:numId w:val="182"/>
        </w:numPr>
        <w:spacing w:before="0"/>
        <w:ind w:left="1134" w:hanging="567"/>
        <w:rPr>
          <w:sz w:val="26"/>
          <w:szCs w:val="26"/>
        </w:rPr>
      </w:pPr>
      <w:r w:rsidRPr="008A2267">
        <w:rPr>
          <w:sz w:val="26"/>
          <w:szCs w:val="26"/>
        </w:rPr>
        <w:t>проведен</w:t>
      </w:r>
      <w:r>
        <w:rPr>
          <w:sz w:val="26"/>
          <w:szCs w:val="26"/>
        </w:rPr>
        <w:t>а</w:t>
      </w:r>
      <w:r w:rsidRPr="008A2267">
        <w:rPr>
          <w:sz w:val="26"/>
          <w:szCs w:val="26"/>
        </w:rPr>
        <w:t xml:space="preserve"> оценк</w:t>
      </w:r>
      <w:r>
        <w:rPr>
          <w:sz w:val="26"/>
          <w:szCs w:val="26"/>
        </w:rPr>
        <w:t>а</w:t>
      </w:r>
      <w:r w:rsidRPr="008A2267">
        <w:rPr>
          <w:sz w:val="26"/>
          <w:szCs w:val="26"/>
        </w:rPr>
        <w:t xml:space="preserve"> руководителей </w:t>
      </w:r>
      <w:r w:rsidR="00936835" w:rsidRPr="00936835">
        <w:rPr>
          <w:sz w:val="26"/>
          <w:szCs w:val="26"/>
        </w:rPr>
        <w:t>районов электрических сетей, окружных высоковольтных электрических сетей, управлений кабельных сетей</w:t>
      </w:r>
      <w:r w:rsidR="00936835">
        <w:rPr>
          <w:sz w:val="26"/>
          <w:szCs w:val="26"/>
        </w:rPr>
        <w:t xml:space="preserve"> </w:t>
      </w:r>
      <w:r>
        <w:rPr>
          <w:sz w:val="26"/>
          <w:szCs w:val="26"/>
        </w:rPr>
        <w:t>(</w:t>
      </w:r>
      <w:r w:rsidRPr="008A2267">
        <w:rPr>
          <w:sz w:val="26"/>
          <w:szCs w:val="26"/>
        </w:rPr>
        <w:t>190</w:t>
      </w:r>
      <w:r w:rsidR="00936835">
        <w:rPr>
          <w:sz w:val="26"/>
          <w:szCs w:val="26"/>
        </w:rPr>
        <w:t> </w:t>
      </w:r>
      <w:r w:rsidRPr="008A2267">
        <w:rPr>
          <w:sz w:val="26"/>
          <w:szCs w:val="26"/>
        </w:rPr>
        <w:t>чел</w:t>
      </w:r>
      <w:r>
        <w:rPr>
          <w:sz w:val="26"/>
          <w:szCs w:val="26"/>
        </w:rPr>
        <w:t>овек)</w:t>
      </w:r>
      <w:r w:rsidRPr="008A2267">
        <w:rPr>
          <w:sz w:val="26"/>
          <w:szCs w:val="26"/>
        </w:rPr>
        <w:t>;</w:t>
      </w:r>
    </w:p>
    <w:p w:rsidR="008A2267" w:rsidRPr="008A2267" w:rsidRDefault="008A2267" w:rsidP="007076A7">
      <w:pPr>
        <w:pStyle w:val="15"/>
        <w:numPr>
          <w:ilvl w:val="0"/>
          <w:numId w:val="182"/>
        </w:numPr>
        <w:spacing w:before="0"/>
        <w:ind w:left="1134" w:hanging="567"/>
        <w:rPr>
          <w:sz w:val="26"/>
          <w:szCs w:val="26"/>
        </w:rPr>
      </w:pPr>
      <w:r w:rsidRPr="008A2267">
        <w:rPr>
          <w:sz w:val="26"/>
          <w:szCs w:val="26"/>
        </w:rPr>
        <w:t>проведен</w:t>
      </w:r>
      <w:r>
        <w:rPr>
          <w:sz w:val="26"/>
          <w:szCs w:val="26"/>
        </w:rPr>
        <w:t xml:space="preserve">о </w:t>
      </w:r>
      <w:r w:rsidR="00947F43">
        <w:rPr>
          <w:sz w:val="26"/>
          <w:szCs w:val="26"/>
        </w:rPr>
        <w:t>психо</w:t>
      </w:r>
      <w:r w:rsidR="00936835">
        <w:rPr>
          <w:sz w:val="26"/>
          <w:szCs w:val="26"/>
        </w:rPr>
        <w:t xml:space="preserve">физиологическое обследование </w:t>
      </w:r>
      <w:r w:rsidRPr="008A2267">
        <w:rPr>
          <w:sz w:val="26"/>
          <w:szCs w:val="26"/>
        </w:rPr>
        <w:t xml:space="preserve">оперативного персонала </w:t>
      </w:r>
      <w:r>
        <w:rPr>
          <w:sz w:val="26"/>
          <w:szCs w:val="26"/>
        </w:rPr>
        <w:t>(</w:t>
      </w:r>
      <w:r w:rsidRPr="008A2267">
        <w:rPr>
          <w:sz w:val="26"/>
          <w:szCs w:val="26"/>
        </w:rPr>
        <w:t>2</w:t>
      </w:r>
      <w:r>
        <w:rPr>
          <w:sz w:val="26"/>
          <w:szCs w:val="26"/>
        </w:rPr>
        <w:t xml:space="preserve"> </w:t>
      </w:r>
      <w:r w:rsidRPr="008A2267">
        <w:rPr>
          <w:sz w:val="26"/>
          <w:szCs w:val="26"/>
        </w:rPr>
        <w:t>000 чел</w:t>
      </w:r>
      <w:r w:rsidR="007C1701">
        <w:rPr>
          <w:sz w:val="26"/>
          <w:szCs w:val="26"/>
        </w:rPr>
        <w:t>о</w:t>
      </w:r>
      <w:r>
        <w:rPr>
          <w:sz w:val="26"/>
          <w:szCs w:val="26"/>
        </w:rPr>
        <w:t>век)</w:t>
      </w:r>
      <w:r w:rsidRPr="008A2267">
        <w:rPr>
          <w:sz w:val="26"/>
          <w:szCs w:val="26"/>
        </w:rPr>
        <w:t xml:space="preserve"> </w:t>
      </w:r>
      <w:r w:rsidR="007C1701">
        <w:rPr>
          <w:sz w:val="26"/>
          <w:szCs w:val="26"/>
        </w:rPr>
        <w:t xml:space="preserve">по результатам которого </w:t>
      </w:r>
      <w:r w:rsidRPr="008A2267">
        <w:rPr>
          <w:sz w:val="26"/>
          <w:szCs w:val="26"/>
        </w:rPr>
        <w:t>разработа</w:t>
      </w:r>
      <w:r>
        <w:rPr>
          <w:sz w:val="26"/>
          <w:szCs w:val="26"/>
        </w:rPr>
        <w:t>ны</w:t>
      </w:r>
      <w:r w:rsidRPr="008A2267">
        <w:rPr>
          <w:sz w:val="26"/>
          <w:szCs w:val="26"/>
        </w:rPr>
        <w:t xml:space="preserve"> корректирующи</w:t>
      </w:r>
      <w:r>
        <w:rPr>
          <w:sz w:val="26"/>
          <w:szCs w:val="26"/>
        </w:rPr>
        <w:t>е</w:t>
      </w:r>
      <w:r w:rsidRPr="008A2267">
        <w:rPr>
          <w:sz w:val="26"/>
          <w:szCs w:val="26"/>
        </w:rPr>
        <w:t xml:space="preserve"> мероприяти</w:t>
      </w:r>
      <w:r>
        <w:rPr>
          <w:sz w:val="26"/>
          <w:szCs w:val="26"/>
        </w:rPr>
        <w:t>я</w:t>
      </w:r>
      <w:r w:rsidRPr="008A2267">
        <w:rPr>
          <w:sz w:val="26"/>
          <w:szCs w:val="26"/>
        </w:rPr>
        <w:t xml:space="preserve"> </w:t>
      </w:r>
      <w:r>
        <w:rPr>
          <w:sz w:val="26"/>
          <w:szCs w:val="26"/>
        </w:rPr>
        <w:t xml:space="preserve">по </w:t>
      </w:r>
      <w:r w:rsidRPr="008A2267">
        <w:rPr>
          <w:sz w:val="26"/>
          <w:szCs w:val="26"/>
        </w:rPr>
        <w:t>повышени</w:t>
      </w:r>
      <w:r>
        <w:rPr>
          <w:sz w:val="26"/>
          <w:szCs w:val="26"/>
        </w:rPr>
        <w:t>ю</w:t>
      </w:r>
      <w:r w:rsidRPr="008A2267">
        <w:rPr>
          <w:sz w:val="26"/>
          <w:szCs w:val="26"/>
        </w:rPr>
        <w:t xml:space="preserve"> степени </w:t>
      </w:r>
      <w:r>
        <w:rPr>
          <w:sz w:val="26"/>
          <w:szCs w:val="26"/>
        </w:rPr>
        <w:t xml:space="preserve">психофизиологических профессионально важных качеств </w:t>
      </w:r>
      <w:r w:rsidRPr="008A2267">
        <w:rPr>
          <w:sz w:val="26"/>
          <w:szCs w:val="26"/>
        </w:rPr>
        <w:t>персонала</w:t>
      </w:r>
      <w:r>
        <w:rPr>
          <w:sz w:val="26"/>
          <w:szCs w:val="26"/>
        </w:rPr>
        <w:t>.</w:t>
      </w:r>
    </w:p>
    <w:p w:rsidR="00C41134" w:rsidRDefault="0061088F" w:rsidP="00585397">
      <w:pPr>
        <w:spacing w:before="120" w:after="120"/>
        <w:ind w:firstLine="567"/>
        <w:rPr>
          <w:b/>
          <w:sz w:val="26"/>
          <w:szCs w:val="26"/>
        </w:rPr>
      </w:pPr>
      <w:r w:rsidRPr="00585397">
        <w:rPr>
          <w:b/>
          <w:sz w:val="26"/>
          <w:szCs w:val="26"/>
        </w:rPr>
        <w:t>Динамика численности персонала</w:t>
      </w:r>
    </w:p>
    <w:tbl>
      <w:tblPr>
        <w:tblW w:w="9936" w:type="dxa"/>
        <w:tblInd w:w="91" w:type="dxa"/>
        <w:tblLook w:val="04A0"/>
      </w:tblPr>
      <w:tblGrid>
        <w:gridCol w:w="580"/>
        <w:gridCol w:w="4820"/>
        <w:gridCol w:w="1134"/>
        <w:gridCol w:w="1134"/>
        <w:gridCol w:w="1134"/>
        <w:gridCol w:w="1134"/>
      </w:tblGrid>
      <w:tr w:rsidR="008E11BC" w:rsidRPr="004761E0" w:rsidTr="005C4306">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8E11BC" w:rsidRPr="004761E0" w:rsidRDefault="008E11BC" w:rsidP="005C4306">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48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8E11BC" w:rsidRPr="004761E0" w:rsidRDefault="008E11BC" w:rsidP="005C4306">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8E11BC" w:rsidRPr="004761E0" w:rsidRDefault="008E11BC" w:rsidP="005C4306">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8E11BC" w:rsidRPr="004761E0" w:rsidRDefault="008E11BC" w:rsidP="005C4306">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8E11BC" w:rsidRPr="004761E0" w:rsidRDefault="008E11BC" w:rsidP="005C4306">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8E11BC" w:rsidRPr="004761E0" w:rsidRDefault="008E11BC" w:rsidP="005C4306">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8E11BC" w:rsidRPr="004761E0" w:rsidTr="005C4306">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E11BC" w:rsidRPr="004761E0" w:rsidRDefault="008E11BC" w:rsidP="007076A7">
            <w:pPr>
              <w:numPr>
                <w:ilvl w:val="0"/>
                <w:numId w:val="85"/>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8E11BC" w:rsidRPr="004761E0" w:rsidRDefault="008E11BC" w:rsidP="005C4306">
            <w:pPr>
              <w:ind w:firstLine="0"/>
              <w:rPr>
                <w:rFonts w:eastAsia="Times New Roman"/>
                <w:color w:val="000000"/>
                <w:sz w:val="20"/>
                <w:szCs w:val="20"/>
                <w:lang w:eastAsia="ru-RU"/>
              </w:rPr>
            </w:pPr>
            <w:r w:rsidRPr="004761E0">
              <w:rPr>
                <w:rFonts w:eastAsia="Times New Roman"/>
                <w:color w:val="000000"/>
                <w:sz w:val="20"/>
                <w:szCs w:val="20"/>
                <w:lang w:eastAsia="ru-RU"/>
              </w:rPr>
              <w:t>Среднесписочная численность персонала, чел. (всего), в т.ч.:</w:t>
            </w:r>
          </w:p>
        </w:tc>
        <w:tc>
          <w:tcPr>
            <w:tcW w:w="1134" w:type="dxa"/>
            <w:tcBorders>
              <w:top w:val="nil"/>
              <w:left w:val="nil"/>
              <w:bottom w:val="single" w:sz="4" w:space="0" w:color="auto"/>
              <w:right w:val="single" w:sz="4" w:space="0" w:color="auto"/>
            </w:tcBorders>
            <w:shd w:val="clear" w:color="auto" w:fill="auto"/>
            <w:vAlign w:val="center"/>
            <w:hideMark/>
          </w:tcPr>
          <w:p w:rsidR="008E11BC" w:rsidRPr="004761E0" w:rsidRDefault="008E11BC" w:rsidP="005C430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15 232</w:t>
            </w:r>
          </w:p>
        </w:tc>
        <w:tc>
          <w:tcPr>
            <w:tcW w:w="1134" w:type="dxa"/>
            <w:tcBorders>
              <w:top w:val="nil"/>
              <w:left w:val="nil"/>
              <w:bottom w:val="single" w:sz="4" w:space="0" w:color="auto"/>
              <w:right w:val="single" w:sz="4" w:space="0" w:color="auto"/>
            </w:tcBorders>
            <w:shd w:val="clear" w:color="auto" w:fill="auto"/>
            <w:vAlign w:val="center"/>
            <w:hideMark/>
          </w:tcPr>
          <w:p w:rsidR="008E11BC" w:rsidRPr="004761E0" w:rsidRDefault="008E11BC" w:rsidP="005C430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15 215</w:t>
            </w:r>
          </w:p>
        </w:tc>
        <w:tc>
          <w:tcPr>
            <w:tcW w:w="1134" w:type="dxa"/>
            <w:tcBorders>
              <w:top w:val="nil"/>
              <w:left w:val="nil"/>
              <w:bottom w:val="single" w:sz="4" w:space="0" w:color="auto"/>
              <w:right w:val="single" w:sz="4" w:space="0" w:color="auto"/>
            </w:tcBorders>
            <w:shd w:val="clear" w:color="auto" w:fill="auto"/>
            <w:vAlign w:val="center"/>
            <w:hideMark/>
          </w:tcPr>
          <w:p w:rsidR="008E11BC" w:rsidRPr="004761E0" w:rsidRDefault="008E11BC" w:rsidP="005C430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15 160</w:t>
            </w:r>
          </w:p>
        </w:tc>
        <w:tc>
          <w:tcPr>
            <w:tcW w:w="1134" w:type="dxa"/>
            <w:tcBorders>
              <w:top w:val="nil"/>
              <w:left w:val="nil"/>
              <w:bottom w:val="single" w:sz="4" w:space="0" w:color="auto"/>
              <w:right w:val="single" w:sz="4" w:space="0" w:color="auto"/>
            </w:tcBorders>
            <w:shd w:val="clear" w:color="auto" w:fill="auto"/>
            <w:vAlign w:val="center"/>
            <w:hideMark/>
          </w:tcPr>
          <w:p w:rsidR="008E11BC" w:rsidRPr="004761E0" w:rsidRDefault="008E11BC" w:rsidP="005C430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-0,36 %</w:t>
            </w:r>
          </w:p>
        </w:tc>
      </w:tr>
      <w:tr w:rsidR="008E11BC" w:rsidRPr="004761E0" w:rsidTr="005C4306">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E11BC" w:rsidRPr="004761E0" w:rsidRDefault="008E11BC" w:rsidP="007076A7">
            <w:pPr>
              <w:pStyle w:val="a5"/>
              <w:numPr>
                <w:ilvl w:val="1"/>
                <w:numId w:val="85"/>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8E11BC" w:rsidRPr="004761E0" w:rsidRDefault="008E11BC" w:rsidP="005C4306">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исполнительный аппарат</w:t>
            </w:r>
          </w:p>
        </w:tc>
        <w:tc>
          <w:tcPr>
            <w:tcW w:w="1134" w:type="dxa"/>
            <w:tcBorders>
              <w:top w:val="nil"/>
              <w:left w:val="nil"/>
              <w:bottom w:val="single" w:sz="4" w:space="0" w:color="auto"/>
              <w:right w:val="single" w:sz="4" w:space="0" w:color="auto"/>
            </w:tcBorders>
            <w:shd w:val="clear" w:color="auto" w:fill="auto"/>
            <w:vAlign w:val="center"/>
            <w:hideMark/>
          </w:tcPr>
          <w:p w:rsidR="008E11BC" w:rsidRPr="004761E0" w:rsidRDefault="008E11BC" w:rsidP="005C430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882</w:t>
            </w:r>
          </w:p>
        </w:tc>
        <w:tc>
          <w:tcPr>
            <w:tcW w:w="1134" w:type="dxa"/>
            <w:tcBorders>
              <w:top w:val="nil"/>
              <w:left w:val="nil"/>
              <w:bottom w:val="single" w:sz="4" w:space="0" w:color="auto"/>
              <w:right w:val="single" w:sz="4" w:space="0" w:color="auto"/>
            </w:tcBorders>
            <w:shd w:val="clear" w:color="auto" w:fill="auto"/>
            <w:vAlign w:val="center"/>
            <w:hideMark/>
          </w:tcPr>
          <w:p w:rsidR="008E11BC" w:rsidRPr="004761E0" w:rsidRDefault="008E11BC" w:rsidP="005C430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950</w:t>
            </w:r>
          </w:p>
        </w:tc>
        <w:tc>
          <w:tcPr>
            <w:tcW w:w="1134" w:type="dxa"/>
            <w:tcBorders>
              <w:top w:val="nil"/>
              <w:left w:val="nil"/>
              <w:bottom w:val="single" w:sz="4" w:space="0" w:color="auto"/>
              <w:right w:val="single" w:sz="4" w:space="0" w:color="auto"/>
            </w:tcBorders>
            <w:shd w:val="clear" w:color="auto" w:fill="auto"/>
            <w:vAlign w:val="center"/>
            <w:hideMark/>
          </w:tcPr>
          <w:p w:rsidR="008E11BC" w:rsidRPr="004761E0" w:rsidRDefault="008E11BC" w:rsidP="005C430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1 012</w:t>
            </w:r>
          </w:p>
        </w:tc>
        <w:tc>
          <w:tcPr>
            <w:tcW w:w="1134" w:type="dxa"/>
            <w:tcBorders>
              <w:top w:val="nil"/>
              <w:left w:val="nil"/>
              <w:bottom w:val="single" w:sz="4" w:space="0" w:color="auto"/>
              <w:right w:val="single" w:sz="4" w:space="0" w:color="auto"/>
            </w:tcBorders>
            <w:shd w:val="clear" w:color="auto" w:fill="auto"/>
            <w:vAlign w:val="center"/>
            <w:hideMark/>
          </w:tcPr>
          <w:p w:rsidR="008E11BC" w:rsidRPr="004761E0" w:rsidRDefault="008E11BC" w:rsidP="005C430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6,53 %</w:t>
            </w:r>
          </w:p>
        </w:tc>
      </w:tr>
      <w:tr w:rsidR="008E11BC" w:rsidRPr="004761E0" w:rsidTr="005C4306">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11BC" w:rsidRPr="004761E0" w:rsidRDefault="008E11BC" w:rsidP="007076A7">
            <w:pPr>
              <w:numPr>
                <w:ilvl w:val="0"/>
                <w:numId w:val="85"/>
              </w:numPr>
              <w:jc w:val="left"/>
              <w:rPr>
                <w:rFonts w:eastAsia="Times New Roman"/>
                <w:color w:val="000000"/>
                <w:sz w:val="20"/>
                <w:szCs w:val="20"/>
                <w:lang w:eastAsia="ru-RU"/>
              </w:rPr>
            </w:pP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8E11BC" w:rsidRPr="004761E0" w:rsidRDefault="008E11BC" w:rsidP="005C4306">
            <w:pPr>
              <w:ind w:firstLine="0"/>
              <w:rPr>
                <w:rFonts w:eastAsia="Times New Roman"/>
                <w:color w:val="000000"/>
                <w:sz w:val="20"/>
                <w:szCs w:val="20"/>
                <w:lang w:eastAsia="ru-RU"/>
              </w:rPr>
            </w:pPr>
            <w:r w:rsidRPr="004761E0">
              <w:rPr>
                <w:rFonts w:eastAsia="Times New Roman"/>
                <w:color w:val="000000"/>
                <w:sz w:val="20"/>
                <w:szCs w:val="20"/>
                <w:lang w:eastAsia="ru-RU"/>
              </w:rPr>
              <w:t>Штатная численность персонала, чел. (всего), в т.ч.: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E11BC" w:rsidRPr="004761E0" w:rsidRDefault="008E11BC" w:rsidP="005C430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16 562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E11BC" w:rsidRPr="004761E0" w:rsidRDefault="008E11BC" w:rsidP="005C430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16 353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E11BC" w:rsidRPr="004761E0" w:rsidRDefault="008E11BC" w:rsidP="005C430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16 251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E11BC" w:rsidRPr="004761E0" w:rsidRDefault="008E11BC" w:rsidP="005C430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-0,63 %</w:t>
            </w:r>
          </w:p>
        </w:tc>
      </w:tr>
      <w:tr w:rsidR="008E11BC" w:rsidRPr="004761E0" w:rsidTr="005C4306">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E11BC" w:rsidRPr="004761E0" w:rsidRDefault="008E11BC" w:rsidP="007076A7">
            <w:pPr>
              <w:pStyle w:val="a5"/>
              <w:numPr>
                <w:ilvl w:val="1"/>
                <w:numId w:val="85"/>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8E11BC" w:rsidRPr="004761E0" w:rsidRDefault="008E11BC" w:rsidP="005C4306">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исполнительный аппарат</w:t>
            </w:r>
          </w:p>
        </w:tc>
        <w:tc>
          <w:tcPr>
            <w:tcW w:w="1134" w:type="dxa"/>
            <w:tcBorders>
              <w:top w:val="nil"/>
              <w:left w:val="nil"/>
              <w:bottom w:val="single" w:sz="4" w:space="0" w:color="auto"/>
              <w:right w:val="single" w:sz="4" w:space="0" w:color="auto"/>
            </w:tcBorders>
            <w:shd w:val="clear" w:color="auto" w:fill="auto"/>
            <w:vAlign w:val="center"/>
            <w:hideMark/>
          </w:tcPr>
          <w:p w:rsidR="008E11BC" w:rsidRPr="004761E0" w:rsidRDefault="008E11BC" w:rsidP="005C430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942</w:t>
            </w:r>
          </w:p>
        </w:tc>
        <w:tc>
          <w:tcPr>
            <w:tcW w:w="1134" w:type="dxa"/>
            <w:tcBorders>
              <w:top w:val="nil"/>
              <w:left w:val="nil"/>
              <w:bottom w:val="single" w:sz="4" w:space="0" w:color="auto"/>
              <w:right w:val="single" w:sz="4" w:space="0" w:color="auto"/>
            </w:tcBorders>
            <w:shd w:val="clear" w:color="auto" w:fill="auto"/>
            <w:vAlign w:val="center"/>
            <w:hideMark/>
          </w:tcPr>
          <w:p w:rsidR="008E11BC" w:rsidRPr="004761E0" w:rsidRDefault="008E11BC" w:rsidP="005C430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1 039</w:t>
            </w:r>
          </w:p>
        </w:tc>
        <w:tc>
          <w:tcPr>
            <w:tcW w:w="1134" w:type="dxa"/>
            <w:tcBorders>
              <w:top w:val="nil"/>
              <w:left w:val="nil"/>
              <w:bottom w:val="single" w:sz="4" w:space="0" w:color="auto"/>
              <w:right w:val="single" w:sz="4" w:space="0" w:color="auto"/>
            </w:tcBorders>
            <w:shd w:val="clear" w:color="auto" w:fill="auto"/>
            <w:vAlign w:val="center"/>
            <w:hideMark/>
          </w:tcPr>
          <w:p w:rsidR="008E11BC" w:rsidRPr="004761E0" w:rsidRDefault="008E11BC" w:rsidP="005C430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1 117</w:t>
            </w:r>
          </w:p>
        </w:tc>
        <w:tc>
          <w:tcPr>
            <w:tcW w:w="1134" w:type="dxa"/>
            <w:tcBorders>
              <w:top w:val="nil"/>
              <w:left w:val="nil"/>
              <w:bottom w:val="single" w:sz="4" w:space="0" w:color="auto"/>
              <w:right w:val="single" w:sz="4" w:space="0" w:color="auto"/>
            </w:tcBorders>
            <w:shd w:val="clear" w:color="auto" w:fill="auto"/>
            <w:vAlign w:val="center"/>
            <w:hideMark/>
          </w:tcPr>
          <w:p w:rsidR="008E11BC" w:rsidRPr="004761E0" w:rsidRDefault="008E11BC" w:rsidP="005C4306">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7,51 %</w:t>
            </w:r>
          </w:p>
        </w:tc>
      </w:tr>
    </w:tbl>
    <w:p w:rsidR="008E11BC" w:rsidRPr="00585397" w:rsidRDefault="008E11BC" w:rsidP="008E11BC">
      <w:pPr>
        <w:ind w:firstLine="567"/>
        <w:rPr>
          <w:b/>
          <w:sz w:val="26"/>
          <w:szCs w:val="26"/>
        </w:rPr>
      </w:pPr>
      <w:r>
        <w:rPr>
          <w:sz w:val="26"/>
          <w:szCs w:val="26"/>
          <w:lang w:eastAsia="ru-RU"/>
        </w:rPr>
        <w:t>Аналогичные д</w:t>
      </w:r>
      <w:r w:rsidRPr="004761E0">
        <w:rPr>
          <w:sz w:val="26"/>
          <w:szCs w:val="26"/>
          <w:lang w:eastAsia="ru-RU"/>
        </w:rPr>
        <w:t>анные в разбивке на г. Москву и Московскую область представлены в Приложении</w:t>
      </w:r>
      <w:r w:rsidR="003146BC">
        <w:rPr>
          <w:sz w:val="26"/>
          <w:szCs w:val="26"/>
          <w:lang w:eastAsia="ru-RU"/>
        </w:rPr>
        <w:t xml:space="preserve"> 12.1</w:t>
      </w:r>
      <w:r>
        <w:rPr>
          <w:sz w:val="26"/>
          <w:szCs w:val="26"/>
          <w:lang w:eastAsia="ru-RU"/>
        </w:rPr>
        <w:t>.</w:t>
      </w:r>
      <w:r w:rsidRPr="004761E0">
        <w:rPr>
          <w:sz w:val="26"/>
          <w:szCs w:val="26"/>
          <w:lang w:eastAsia="ru-RU"/>
        </w:rPr>
        <w:t xml:space="preserve"> к Годовому отчету.</w:t>
      </w:r>
    </w:p>
    <w:p w:rsidR="000D32E7" w:rsidRDefault="000D32E7" w:rsidP="000D32E7">
      <w:pPr>
        <w:pStyle w:val="ac"/>
        <w:spacing w:before="120" w:after="120"/>
        <w:ind w:firstLine="0"/>
        <w:rPr>
          <w:rFonts w:eastAsia="Times New Roman"/>
          <w:b/>
          <w:iCs/>
          <w:color w:val="000000"/>
          <w:sz w:val="26"/>
          <w:szCs w:val="26"/>
          <w:lang w:eastAsia="ru-RU"/>
        </w:rPr>
      </w:pPr>
      <w:r w:rsidRPr="004761E0">
        <w:rPr>
          <w:rFonts w:eastAsia="Times New Roman"/>
          <w:b/>
          <w:iCs/>
          <w:noProof/>
          <w:color w:val="000000"/>
          <w:sz w:val="26"/>
          <w:szCs w:val="26"/>
          <w:lang w:eastAsia="ru-RU"/>
        </w:rPr>
        <w:lastRenderedPageBreak/>
        <w:drawing>
          <wp:inline distT="0" distB="0" distL="0" distR="0">
            <wp:extent cx="2445551" cy="2941071"/>
            <wp:effectExtent l="19050" t="0" r="11899"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r w:rsidR="00206F20">
        <w:rPr>
          <w:rFonts w:eastAsia="Times New Roman"/>
          <w:b/>
          <w:iCs/>
          <w:color w:val="000000"/>
          <w:sz w:val="26"/>
          <w:szCs w:val="26"/>
          <w:lang w:eastAsia="ru-RU"/>
        </w:rPr>
        <w:t xml:space="preserve"> </w:t>
      </w:r>
      <w:r w:rsidR="00206F20" w:rsidRPr="00206F20">
        <w:rPr>
          <w:rFonts w:eastAsia="Times New Roman"/>
          <w:b/>
          <w:iCs/>
          <w:noProof/>
          <w:color w:val="000000"/>
          <w:sz w:val="26"/>
          <w:szCs w:val="26"/>
          <w:lang w:eastAsia="ru-RU"/>
        </w:rPr>
        <w:drawing>
          <wp:inline distT="0" distB="0" distL="0" distR="0">
            <wp:extent cx="2445551" cy="2941071"/>
            <wp:effectExtent l="19050" t="0" r="11899" b="0"/>
            <wp:docPr id="262"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C10E4F" w:rsidRPr="004761E0" w:rsidRDefault="00C10E4F" w:rsidP="000D32E7">
      <w:pPr>
        <w:pStyle w:val="ac"/>
        <w:spacing w:before="120" w:after="120"/>
        <w:ind w:firstLine="0"/>
        <w:rPr>
          <w:rFonts w:eastAsia="Times New Roman"/>
          <w:b/>
          <w:iCs/>
          <w:color w:val="000000"/>
          <w:sz w:val="26"/>
          <w:szCs w:val="26"/>
          <w:lang w:eastAsia="ru-RU"/>
        </w:rPr>
      </w:pPr>
      <w:r>
        <w:rPr>
          <w:rFonts w:eastAsia="Times New Roman"/>
          <w:b/>
          <w:iCs/>
          <w:noProof/>
          <w:color w:val="000000"/>
          <w:sz w:val="26"/>
          <w:szCs w:val="26"/>
          <w:lang w:eastAsia="ru-RU"/>
        </w:rPr>
        <w:drawing>
          <wp:inline distT="0" distB="0" distL="0" distR="0">
            <wp:extent cx="2429952" cy="3156668"/>
            <wp:effectExtent l="19050" t="0" r="27498" b="5632"/>
            <wp:docPr id="258" name="Диаграмма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r w:rsidR="00206F20">
        <w:rPr>
          <w:rFonts w:eastAsia="Times New Roman"/>
          <w:b/>
          <w:iCs/>
          <w:color w:val="000000"/>
          <w:sz w:val="26"/>
          <w:szCs w:val="26"/>
          <w:lang w:eastAsia="ru-RU"/>
        </w:rPr>
        <w:t xml:space="preserve"> </w:t>
      </w:r>
      <w:r w:rsidR="00206F20">
        <w:rPr>
          <w:rFonts w:eastAsia="Times New Roman"/>
          <w:b/>
          <w:iCs/>
          <w:noProof/>
          <w:color w:val="000000"/>
          <w:sz w:val="26"/>
          <w:szCs w:val="26"/>
          <w:lang w:eastAsia="ru-RU"/>
        </w:rPr>
        <w:drawing>
          <wp:inline distT="0" distB="0" distL="0" distR="0">
            <wp:extent cx="2445855" cy="3164619"/>
            <wp:effectExtent l="19050" t="0" r="11595" b="0"/>
            <wp:docPr id="261" name="Диаграмма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0D32E7" w:rsidRPr="004761E0" w:rsidRDefault="000D32E7" w:rsidP="00585397">
      <w:pPr>
        <w:spacing w:before="120" w:after="120"/>
        <w:ind w:firstLine="567"/>
        <w:rPr>
          <w:b/>
          <w:sz w:val="26"/>
          <w:szCs w:val="26"/>
        </w:rPr>
      </w:pPr>
      <w:r w:rsidRPr="004761E0">
        <w:rPr>
          <w:b/>
          <w:sz w:val="26"/>
          <w:szCs w:val="26"/>
        </w:rPr>
        <w:t xml:space="preserve">Уровень обеспеченности персоналом и активной текучести персонала </w:t>
      </w:r>
    </w:p>
    <w:tbl>
      <w:tblPr>
        <w:tblW w:w="9936" w:type="dxa"/>
        <w:tblInd w:w="91" w:type="dxa"/>
        <w:tblLook w:val="04A0"/>
      </w:tblPr>
      <w:tblGrid>
        <w:gridCol w:w="580"/>
        <w:gridCol w:w="4820"/>
        <w:gridCol w:w="1134"/>
        <w:gridCol w:w="1134"/>
        <w:gridCol w:w="1134"/>
        <w:gridCol w:w="1134"/>
      </w:tblGrid>
      <w:tr w:rsidR="000D32E7" w:rsidRPr="004761E0" w:rsidTr="000D32E7">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0D32E7" w:rsidRPr="004761E0" w:rsidRDefault="000D32E7" w:rsidP="000D32E7">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48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0D32E7" w:rsidRPr="004761E0" w:rsidRDefault="000D32E7" w:rsidP="000D32E7">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0D32E7" w:rsidRPr="004761E0" w:rsidRDefault="000D32E7" w:rsidP="000D32E7">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0D32E7" w:rsidRPr="004761E0" w:rsidRDefault="000D32E7" w:rsidP="000D32E7">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0D32E7" w:rsidRPr="004761E0" w:rsidRDefault="000D32E7" w:rsidP="000D32E7">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0D32E7" w:rsidRPr="004761E0" w:rsidRDefault="000D32E7" w:rsidP="000D32E7">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0D32E7" w:rsidRPr="004761E0" w:rsidTr="000D32E7">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D32E7" w:rsidRPr="004761E0" w:rsidRDefault="000D32E7" w:rsidP="007076A7">
            <w:pPr>
              <w:numPr>
                <w:ilvl w:val="0"/>
                <w:numId w:val="87"/>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0D32E7" w:rsidRPr="004761E0" w:rsidRDefault="000D32E7" w:rsidP="000D32E7">
            <w:pPr>
              <w:ind w:firstLine="0"/>
              <w:rPr>
                <w:rFonts w:eastAsia="Times New Roman"/>
                <w:color w:val="000000"/>
                <w:sz w:val="20"/>
                <w:szCs w:val="20"/>
                <w:lang w:eastAsia="ru-RU"/>
              </w:rPr>
            </w:pPr>
            <w:r w:rsidRPr="004761E0">
              <w:rPr>
                <w:rFonts w:eastAsia="Times New Roman"/>
                <w:color w:val="000000"/>
                <w:sz w:val="20"/>
                <w:szCs w:val="20"/>
                <w:lang w:eastAsia="ru-RU"/>
              </w:rPr>
              <w:t>Уровень обеспеченности персоналом, %</w:t>
            </w:r>
          </w:p>
        </w:tc>
        <w:tc>
          <w:tcPr>
            <w:tcW w:w="1134" w:type="dxa"/>
            <w:tcBorders>
              <w:top w:val="nil"/>
              <w:left w:val="nil"/>
              <w:bottom w:val="single" w:sz="4" w:space="0" w:color="auto"/>
              <w:right w:val="single" w:sz="4" w:space="0" w:color="auto"/>
            </w:tcBorders>
            <w:shd w:val="clear" w:color="auto" w:fill="auto"/>
            <w:vAlign w:val="center"/>
            <w:hideMark/>
          </w:tcPr>
          <w:p w:rsidR="000D32E7" w:rsidRPr="004761E0" w:rsidRDefault="000D32E7" w:rsidP="000D32E7">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97 %</w:t>
            </w:r>
          </w:p>
        </w:tc>
        <w:tc>
          <w:tcPr>
            <w:tcW w:w="1134" w:type="dxa"/>
            <w:tcBorders>
              <w:top w:val="nil"/>
              <w:left w:val="nil"/>
              <w:bottom w:val="single" w:sz="4" w:space="0" w:color="auto"/>
              <w:right w:val="single" w:sz="4" w:space="0" w:color="auto"/>
            </w:tcBorders>
            <w:shd w:val="clear" w:color="auto" w:fill="auto"/>
            <w:vAlign w:val="center"/>
            <w:hideMark/>
          </w:tcPr>
          <w:p w:rsidR="000D32E7" w:rsidRPr="004761E0" w:rsidRDefault="000D32E7" w:rsidP="000D32E7">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95 %</w:t>
            </w:r>
          </w:p>
        </w:tc>
        <w:tc>
          <w:tcPr>
            <w:tcW w:w="1134" w:type="dxa"/>
            <w:tcBorders>
              <w:top w:val="nil"/>
              <w:left w:val="nil"/>
              <w:bottom w:val="single" w:sz="4" w:space="0" w:color="auto"/>
              <w:right w:val="single" w:sz="4" w:space="0" w:color="auto"/>
            </w:tcBorders>
            <w:shd w:val="clear" w:color="auto" w:fill="auto"/>
            <w:vAlign w:val="center"/>
            <w:hideMark/>
          </w:tcPr>
          <w:p w:rsidR="000D32E7" w:rsidRPr="004761E0" w:rsidRDefault="000D32E7" w:rsidP="002A3F9C">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9</w:t>
            </w:r>
            <w:r w:rsidR="002A3F9C" w:rsidRPr="004761E0">
              <w:rPr>
                <w:rFonts w:eastAsia="Times New Roman"/>
                <w:bCs/>
                <w:color w:val="000000"/>
                <w:sz w:val="20"/>
                <w:szCs w:val="20"/>
                <w:lang w:eastAsia="ru-RU"/>
              </w:rPr>
              <w:t>7</w:t>
            </w:r>
            <w:r w:rsidRPr="004761E0">
              <w:rPr>
                <w:rFonts w:eastAsia="Times New Roman"/>
                <w:bCs/>
                <w:color w:val="000000"/>
                <w:sz w:val="20"/>
                <w:szCs w:val="20"/>
                <w:lang w:eastAsia="ru-RU"/>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0D32E7" w:rsidRPr="004761E0" w:rsidRDefault="00D910B0" w:rsidP="00D910B0">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2 п.п.</w:t>
            </w:r>
          </w:p>
        </w:tc>
      </w:tr>
      <w:tr w:rsidR="000D32E7" w:rsidRPr="004761E0" w:rsidTr="000D32E7">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2E7" w:rsidRPr="004761E0" w:rsidRDefault="000D32E7" w:rsidP="007076A7">
            <w:pPr>
              <w:numPr>
                <w:ilvl w:val="0"/>
                <w:numId w:val="87"/>
              </w:numPr>
              <w:jc w:val="left"/>
              <w:rPr>
                <w:rFonts w:eastAsia="Times New Roman"/>
                <w:color w:val="000000"/>
                <w:sz w:val="20"/>
                <w:szCs w:val="20"/>
                <w:lang w:eastAsia="ru-RU"/>
              </w:rPr>
            </w:pP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0D32E7" w:rsidRPr="004761E0" w:rsidRDefault="000D32E7" w:rsidP="000D32E7">
            <w:pPr>
              <w:ind w:firstLine="0"/>
              <w:rPr>
                <w:rFonts w:eastAsia="Times New Roman"/>
                <w:color w:val="000000"/>
                <w:sz w:val="20"/>
                <w:szCs w:val="20"/>
                <w:lang w:eastAsia="ru-RU"/>
              </w:rPr>
            </w:pPr>
            <w:r w:rsidRPr="004761E0">
              <w:rPr>
                <w:rFonts w:eastAsia="Times New Roman"/>
                <w:color w:val="000000"/>
                <w:sz w:val="20"/>
                <w:szCs w:val="20"/>
                <w:lang w:eastAsia="ru-RU"/>
              </w:rPr>
              <w:t>Уровень активной текучести персонала,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32E7" w:rsidRPr="004761E0" w:rsidRDefault="000D32E7" w:rsidP="000D32E7">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7,5 %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32E7" w:rsidRPr="004761E0" w:rsidRDefault="000D32E7" w:rsidP="000D32E7">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6,7 %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32E7" w:rsidRPr="004761E0" w:rsidRDefault="000D32E7" w:rsidP="000D32E7">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7,2 %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32E7" w:rsidRPr="004761E0" w:rsidRDefault="000D32E7" w:rsidP="00D910B0">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 xml:space="preserve">0,50 </w:t>
            </w:r>
            <w:r w:rsidR="00D910B0" w:rsidRPr="004761E0">
              <w:rPr>
                <w:rFonts w:eastAsia="Times New Roman"/>
                <w:bCs/>
                <w:color w:val="000000"/>
                <w:sz w:val="20"/>
                <w:szCs w:val="20"/>
                <w:lang w:eastAsia="ru-RU"/>
              </w:rPr>
              <w:t>п.п.</w:t>
            </w:r>
          </w:p>
        </w:tc>
      </w:tr>
    </w:tbl>
    <w:p w:rsidR="00B110F0" w:rsidRPr="004761E0" w:rsidRDefault="00B110F0" w:rsidP="00414E7E">
      <w:pPr>
        <w:pStyle w:val="ac"/>
        <w:spacing w:before="120" w:after="120"/>
        <w:ind w:firstLine="0"/>
        <w:rPr>
          <w:rFonts w:eastAsia="Times New Roman"/>
          <w:b/>
          <w:iCs/>
          <w:color w:val="000000"/>
          <w:sz w:val="26"/>
          <w:szCs w:val="26"/>
          <w:lang w:eastAsia="ru-RU"/>
        </w:rPr>
      </w:pPr>
      <w:r w:rsidRPr="004761E0">
        <w:rPr>
          <w:rFonts w:eastAsia="Times New Roman"/>
          <w:b/>
          <w:iCs/>
          <w:noProof/>
          <w:color w:val="000000"/>
          <w:sz w:val="26"/>
          <w:szCs w:val="26"/>
          <w:lang w:eastAsia="ru-RU"/>
        </w:rPr>
        <w:lastRenderedPageBreak/>
        <w:drawing>
          <wp:inline distT="0" distB="0" distL="0" distR="0">
            <wp:extent cx="2898475" cy="2199736"/>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r w:rsidR="00414E7E" w:rsidRPr="004761E0">
        <w:rPr>
          <w:rFonts w:eastAsia="Times New Roman"/>
          <w:b/>
          <w:iCs/>
          <w:color w:val="000000"/>
          <w:sz w:val="26"/>
          <w:szCs w:val="26"/>
          <w:lang w:eastAsia="ru-RU"/>
        </w:rPr>
        <w:t xml:space="preserve"> </w:t>
      </w:r>
      <w:r w:rsidR="00414E7E" w:rsidRPr="004761E0">
        <w:rPr>
          <w:rFonts w:eastAsia="Times New Roman"/>
          <w:b/>
          <w:iCs/>
          <w:noProof/>
          <w:color w:val="000000"/>
          <w:sz w:val="26"/>
          <w:szCs w:val="26"/>
          <w:lang w:eastAsia="ru-RU"/>
        </w:rPr>
        <w:drawing>
          <wp:inline distT="0" distB="0" distL="0" distR="0">
            <wp:extent cx="2901866" cy="2199736"/>
            <wp:effectExtent l="19050" t="0" r="12784"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D47674" w:rsidRPr="00585397" w:rsidRDefault="00D47674" w:rsidP="00D47674">
      <w:pPr>
        <w:tabs>
          <w:tab w:val="num" w:pos="0"/>
        </w:tabs>
        <w:ind w:firstLine="567"/>
        <w:rPr>
          <w:sz w:val="26"/>
          <w:szCs w:val="26"/>
        </w:rPr>
      </w:pPr>
      <w:r w:rsidRPr="00585397">
        <w:rPr>
          <w:sz w:val="26"/>
          <w:szCs w:val="26"/>
        </w:rPr>
        <w:t>Уровень обеспеченности персоналом на конец года составил 97</w:t>
      </w:r>
      <w:r w:rsidR="00252B8E" w:rsidRPr="00585397">
        <w:rPr>
          <w:sz w:val="26"/>
          <w:szCs w:val="26"/>
        </w:rPr>
        <w:t> </w:t>
      </w:r>
      <w:r w:rsidRPr="00585397">
        <w:rPr>
          <w:sz w:val="26"/>
          <w:szCs w:val="26"/>
        </w:rPr>
        <w:t xml:space="preserve">% (с учетом женщин, находящихся в декретном отпуске). Особое внимание в Обществе уделяется вопросу обеспеченности персоналом наиболее важных, дефицитных профессий. Общество создает для своих работников максимально комфортные условия труда. </w:t>
      </w:r>
      <w:r w:rsidRPr="00585397">
        <w:rPr>
          <w:bCs/>
          <w:sz w:val="26"/>
          <w:szCs w:val="26"/>
        </w:rPr>
        <w:t>Наличие социального пакета в Обществе повышает доверие работников к работодателю, обеспечивает стабильность профессиональной деятельности, повышает привлекательность рабочих мест для соискателей.</w:t>
      </w:r>
      <w:r w:rsidRPr="00585397">
        <w:rPr>
          <w:sz w:val="26"/>
          <w:szCs w:val="26"/>
        </w:rPr>
        <w:t xml:space="preserve"> </w:t>
      </w:r>
    </w:p>
    <w:p w:rsidR="00D47674" w:rsidRPr="00585397" w:rsidRDefault="00D47674" w:rsidP="00D47674">
      <w:pPr>
        <w:ind w:firstLine="567"/>
        <w:rPr>
          <w:color w:val="000000" w:themeColor="text1"/>
          <w:sz w:val="26"/>
          <w:szCs w:val="26"/>
        </w:rPr>
      </w:pPr>
      <w:r w:rsidRPr="00585397">
        <w:rPr>
          <w:color w:val="000000" w:themeColor="text1"/>
          <w:sz w:val="26"/>
          <w:szCs w:val="26"/>
        </w:rPr>
        <w:t>В целях минимизации активной текучести на регулярной основе проводится работа по удержанию наиболее квалифицированных работников. В частности, в Обществе создан кадровый резерв, проводится ежегодная ротация персонала, реализуются программы взаимодействия и сотрудничества с профильными вузами и ссузами в целях привлечения в Общество высококвалифицированных и молодых специалистов.</w:t>
      </w:r>
    </w:p>
    <w:p w:rsidR="000D32E7" w:rsidRPr="00585397" w:rsidRDefault="004830D0" w:rsidP="00585397">
      <w:pPr>
        <w:spacing w:before="120" w:after="120"/>
        <w:ind w:firstLine="567"/>
        <w:rPr>
          <w:b/>
          <w:sz w:val="26"/>
          <w:szCs w:val="26"/>
        </w:rPr>
      </w:pPr>
      <w:r w:rsidRPr="004761E0">
        <w:rPr>
          <w:b/>
          <w:sz w:val="26"/>
          <w:szCs w:val="26"/>
        </w:rPr>
        <w:t>Структура персонала</w:t>
      </w:r>
      <w:r w:rsidRPr="006F4AB8">
        <w:rPr>
          <w:rStyle w:val="af1"/>
        </w:rPr>
        <w:footnoteReference w:id="123"/>
      </w:r>
    </w:p>
    <w:tbl>
      <w:tblPr>
        <w:tblW w:w="9936" w:type="dxa"/>
        <w:tblInd w:w="91" w:type="dxa"/>
        <w:tblLook w:val="04A0"/>
      </w:tblPr>
      <w:tblGrid>
        <w:gridCol w:w="580"/>
        <w:gridCol w:w="4820"/>
        <w:gridCol w:w="1134"/>
        <w:gridCol w:w="1134"/>
        <w:gridCol w:w="1134"/>
        <w:gridCol w:w="1134"/>
      </w:tblGrid>
      <w:tr w:rsidR="004830D0" w:rsidRPr="004761E0" w:rsidTr="004830D0">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4830D0" w:rsidRPr="004761E0" w:rsidRDefault="004830D0" w:rsidP="004830D0">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48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830D0" w:rsidRPr="004761E0" w:rsidRDefault="004830D0" w:rsidP="004830D0">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830D0" w:rsidRPr="004761E0" w:rsidRDefault="004830D0" w:rsidP="004830D0">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830D0" w:rsidRPr="004761E0" w:rsidRDefault="004830D0" w:rsidP="004830D0">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830D0" w:rsidRPr="004761E0" w:rsidRDefault="004830D0" w:rsidP="004830D0">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4830D0" w:rsidRPr="004761E0" w:rsidRDefault="004830D0" w:rsidP="004830D0">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C82CFB" w:rsidRPr="004761E0" w:rsidTr="003429ED">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82CFB" w:rsidRPr="004761E0" w:rsidRDefault="00C82CFB" w:rsidP="00C82CFB">
            <w:pPr>
              <w:pStyle w:val="a5"/>
              <w:ind w:left="360" w:firstLine="0"/>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C82CFB" w:rsidRPr="004761E0" w:rsidRDefault="00C82CFB" w:rsidP="00C82CFB">
            <w:pPr>
              <w:ind w:firstLine="0"/>
              <w:jc w:val="left"/>
              <w:rPr>
                <w:rFonts w:eastAsia="Times New Roman"/>
                <w:b/>
                <w:color w:val="000000"/>
                <w:sz w:val="20"/>
                <w:szCs w:val="20"/>
                <w:lang w:eastAsia="ru-RU"/>
              </w:rPr>
            </w:pPr>
            <w:r w:rsidRPr="004761E0">
              <w:rPr>
                <w:rFonts w:eastAsia="Times New Roman"/>
                <w:b/>
                <w:color w:val="000000"/>
                <w:sz w:val="20"/>
                <w:szCs w:val="20"/>
                <w:lang w:eastAsia="ru-RU"/>
              </w:rPr>
              <w:t>Списочная численность, чел. (всего), в т.ч.:</w:t>
            </w:r>
          </w:p>
        </w:tc>
        <w:tc>
          <w:tcPr>
            <w:tcW w:w="1134" w:type="dxa"/>
            <w:tcBorders>
              <w:top w:val="nil"/>
              <w:left w:val="nil"/>
              <w:bottom w:val="single" w:sz="4" w:space="0" w:color="auto"/>
              <w:right w:val="single" w:sz="4" w:space="0" w:color="auto"/>
            </w:tcBorders>
            <w:shd w:val="clear" w:color="auto" w:fill="auto"/>
            <w:vAlign w:val="bottom"/>
            <w:hideMark/>
          </w:tcPr>
          <w:p w:rsidR="00C82CFB" w:rsidRPr="004761E0" w:rsidRDefault="00C82CFB" w:rsidP="00C82CFB">
            <w:pPr>
              <w:ind w:firstLine="0"/>
              <w:jc w:val="right"/>
              <w:rPr>
                <w:color w:val="000000"/>
                <w:sz w:val="20"/>
                <w:szCs w:val="20"/>
              </w:rPr>
            </w:pPr>
            <w:r w:rsidRPr="004761E0">
              <w:rPr>
                <w:color w:val="000000"/>
                <w:sz w:val="20"/>
                <w:szCs w:val="20"/>
              </w:rPr>
              <w:t>15 595</w:t>
            </w:r>
          </w:p>
        </w:tc>
        <w:tc>
          <w:tcPr>
            <w:tcW w:w="1134" w:type="dxa"/>
            <w:tcBorders>
              <w:top w:val="nil"/>
              <w:left w:val="nil"/>
              <w:bottom w:val="single" w:sz="4" w:space="0" w:color="auto"/>
              <w:right w:val="single" w:sz="4" w:space="0" w:color="auto"/>
            </w:tcBorders>
            <w:shd w:val="clear" w:color="auto" w:fill="auto"/>
            <w:vAlign w:val="bottom"/>
            <w:hideMark/>
          </w:tcPr>
          <w:p w:rsidR="00C82CFB" w:rsidRPr="004761E0" w:rsidRDefault="00C82CFB" w:rsidP="00C82CFB">
            <w:pPr>
              <w:ind w:firstLine="0"/>
              <w:jc w:val="right"/>
              <w:rPr>
                <w:color w:val="000000"/>
                <w:sz w:val="20"/>
                <w:szCs w:val="20"/>
              </w:rPr>
            </w:pPr>
            <w:r w:rsidRPr="004761E0">
              <w:rPr>
                <w:color w:val="000000"/>
                <w:sz w:val="20"/>
                <w:szCs w:val="20"/>
              </w:rPr>
              <w:t>15 492</w:t>
            </w:r>
          </w:p>
        </w:tc>
        <w:tc>
          <w:tcPr>
            <w:tcW w:w="1134" w:type="dxa"/>
            <w:tcBorders>
              <w:top w:val="nil"/>
              <w:left w:val="nil"/>
              <w:bottom w:val="single" w:sz="4" w:space="0" w:color="auto"/>
              <w:right w:val="single" w:sz="4" w:space="0" w:color="auto"/>
            </w:tcBorders>
            <w:shd w:val="clear" w:color="auto" w:fill="auto"/>
            <w:vAlign w:val="bottom"/>
            <w:hideMark/>
          </w:tcPr>
          <w:p w:rsidR="00C82CFB" w:rsidRPr="004761E0" w:rsidRDefault="00C82CFB" w:rsidP="00C82CFB">
            <w:pPr>
              <w:ind w:firstLine="0"/>
              <w:jc w:val="right"/>
              <w:rPr>
                <w:color w:val="000000"/>
                <w:sz w:val="20"/>
                <w:szCs w:val="20"/>
              </w:rPr>
            </w:pPr>
            <w:r w:rsidRPr="004761E0">
              <w:rPr>
                <w:color w:val="000000"/>
                <w:sz w:val="20"/>
                <w:szCs w:val="20"/>
              </w:rPr>
              <w:t>15 606</w:t>
            </w:r>
          </w:p>
        </w:tc>
        <w:tc>
          <w:tcPr>
            <w:tcW w:w="1134" w:type="dxa"/>
            <w:tcBorders>
              <w:top w:val="nil"/>
              <w:left w:val="nil"/>
              <w:bottom w:val="single" w:sz="4" w:space="0" w:color="auto"/>
              <w:right w:val="single" w:sz="4" w:space="0" w:color="auto"/>
            </w:tcBorders>
            <w:shd w:val="clear" w:color="auto" w:fill="auto"/>
            <w:vAlign w:val="bottom"/>
            <w:hideMark/>
          </w:tcPr>
          <w:p w:rsidR="00C82CFB" w:rsidRPr="004761E0" w:rsidRDefault="00C82CFB" w:rsidP="00C82CFB">
            <w:pPr>
              <w:ind w:firstLine="0"/>
              <w:jc w:val="right"/>
              <w:rPr>
                <w:color w:val="000000"/>
                <w:sz w:val="20"/>
                <w:szCs w:val="20"/>
              </w:rPr>
            </w:pPr>
            <w:r w:rsidRPr="004761E0">
              <w:rPr>
                <w:color w:val="000000"/>
                <w:sz w:val="20"/>
                <w:szCs w:val="20"/>
              </w:rPr>
              <w:t>0,74 %</w:t>
            </w:r>
          </w:p>
        </w:tc>
      </w:tr>
      <w:tr w:rsidR="00C82CFB" w:rsidRPr="004761E0" w:rsidTr="00C82CFB">
        <w:trPr>
          <w:trHeight w:val="300"/>
        </w:trPr>
        <w:tc>
          <w:tcPr>
            <w:tcW w:w="580"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C82CFB" w:rsidRPr="004761E0" w:rsidRDefault="00C82CFB" w:rsidP="007076A7">
            <w:pPr>
              <w:numPr>
                <w:ilvl w:val="0"/>
                <w:numId w:val="88"/>
              </w:numPr>
              <w:jc w:val="left"/>
              <w:rPr>
                <w:rFonts w:eastAsia="Times New Roman"/>
                <w:b/>
                <w:color w:val="000000"/>
                <w:sz w:val="20"/>
                <w:szCs w:val="20"/>
                <w:lang w:eastAsia="ru-RU"/>
              </w:rPr>
            </w:pPr>
          </w:p>
        </w:tc>
        <w:tc>
          <w:tcPr>
            <w:tcW w:w="9356" w:type="dxa"/>
            <w:gridSpan w:val="5"/>
            <w:tcBorders>
              <w:top w:val="nil"/>
              <w:left w:val="nil"/>
              <w:bottom w:val="single" w:sz="4" w:space="0" w:color="auto"/>
              <w:right w:val="single" w:sz="4" w:space="0" w:color="auto"/>
            </w:tcBorders>
            <w:shd w:val="clear" w:color="auto" w:fill="BFBFBF" w:themeFill="background1" w:themeFillShade="BF"/>
            <w:vAlign w:val="center"/>
            <w:hideMark/>
          </w:tcPr>
          <w:p w:rsidR="00C82CFB" w:rsidRPr="004761E0" w:rsidRDefault="00C82CFB" w:rsidP="00C82CFB">
            <w:pPr>
              <w:ind w:firstLine="0"/>
              <w:jc w:val="left"/>
              <w:rPr>
                <w:color w:val="000000"/>
                <w:sz w:val="20"/>
                <w:szCs w:val="20"/>
              </w:rPr>
            </w:pPr>
            <w:r w:rsidRPr="004761E0">
              <w:rPr>
                <w:rFonts w:eastAsia="Times New Roman"/>
                <w:b/>
                <w:color w:val="000000"/>
                <w:sz w:val="20"/>
                <w:szCs w:val="20"/>
                <w:lang w:eastAsia="ru-RU"/>
              </w:rPr>
              <w:t>По категориям:</w:t>
            </w:r>
          </w:p>
        </w:tc>
      </w:tr>
      <w:tr w:rsidR="004830D0" w:rsidRPr="004761E0" w:rsidTr="004830D0">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4830D0" w:rsidRPr="004761E0" w:rsidRDefault="004830D0" w:rsidP="007076A7">
            <w:pPr>
              <w:pStyle w:val="a5"/>
              <w:numPr>
                <w:ilvl w:val="1"/>
                <w:numId w:val="83"/>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4830D0" w:rsidRPr="004761E0" w:rsidRDefault="004830D0" w:rsidP="004830D0">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руководители</w:t>
            </w:r>
          </w:p>
        </w:tc>
        <w:tc>
          <w:tcPr>
            <w:tcW w:w="1134" w:type="dxa"/>
            <w:tcBorders>
              <w:top w:val="nil"/>
              <w:left w:val="nil"/>
              <w:bottom w:val="single" w:sz="4" w:space="0" w:color="auto"/>
              <w:right w:val="single" w:sz="4" w:space="0" w:color="auto"/>
            </w:tcBorders>
            <w:shd w:val="clear" w:color="auto" w:fill="auto"/>
            <w:vAlign w:val="center"/>
            <w:hideMark/>
          </w:tcPr>
          <w:p w:rsidR="004830D0" w:rsidRPr="004761E0" w:rsidRDefault="004830D0" w:rsidP="004830D0">
            <w:pPr>
              <w:ind w:firstLine="0"/>
              <w:jc w:val="right"/>
              <w:rPr>
                <w:color w:val="000000"/>
                <w:sz w:val="20"/>
                <w:szCs w:val="20"/>
              </w:rPr>
            </w:pPr>
            <w:r w:rsidRPr="004761E0">
              <w:rPr>
                <w:color w:val="000000"/>
                <w:sz w:val="20"/>
                <w:szCs w:val="20"/>
              </w:rPr>
              <w:t>2 986</w:t>
            </w:r>
          </w:p>
        </w:tc>
        <w:tc>
          <w:tcPr>
            <w:tcW w:w="1134" w:type="dxa"/>
            <w:tcBorders>
              <w:top w:val="nil"/>
              <w:left w:val="nil"/>
              <w:bottom w:val="single" w:sz="4" w:space="0" w:color="auto"/>
              <w:right w:val="single" w:sz="4" w:space="0" w:color="auto"/>
            </w:tcBorders>
            <w:shd w:val="clear" w:color="auto" w:fill="auto"/>
            <w:vAlign w:val="center"/>
            <w:hideMark/>
          </w:tcPr>
          <w:p w:rsidR="004830D0" w:rsidRPr="004761E0" w:rsidRDefault="004830D0" w:rsidP="004830D0">
            <w:pPr>
              <w:ind w:firstLine="0"/>
              <w:jc w:val="right"/>
              <w:rPr>
                <w:color w:val="000000"/>
                <w:sz w:val="20"/>
                <w:szCs w:val="20"/>
              </w:rPr>
            </w:pPr>
            <w:r w:rsidRPr="004761E0">
              <w:rPr>
                <w:color w:val="000000"/>
                <w:sz w:val="20"/>
                <w:szCs w:val="20"/>
              </w:rPr>
              <w:t>3 020</w:t>
            </w:r>
          </w:p>
        </w:tc>
        <w:tc>
          <w:tcPr>
            <w:tcW w:w="1134" w:type="dxa"/>
            <w:tcBorders>
              <w:top w:val="nil"/>
              <w:left w:val="nil"/>
              <w:bottom w:val="single" w:sz="4" w:space="0" w:color="auto"/>
              <w:right w:val="single" w:sz="4" w:space="0" w:color="auto"/>
            </w:tcBorders>
            <w:shd w:val="clear" w:color="auto" w:fill="auto"/>
            <w:vAlign w:val="center"/>
            <w:hideMark/>
          </w:tcPr>
          <w:p w:rsidR="004830D0" w:rsidRPr="004761E0" w:rsidRDefault="004830D0" w:rsidP="004830D0">
            <w:pPr>
              <w:ind w:firstLine="0"/>
              <w:jc w:val="right"/>
              <w:rPr>
                <w:color w:val="000000"/>
                <w:sz w:val="20"/>
                <w:szCs w:val="20"/>
              </w:rPr>
            </w:pPr>
            <w:r w:rsidRPr="004761E0">
              <w:rPr>
                <w:color w:val="000000"/>
                <w:sz w:val="20"/>
                <w:szCs w:val="20"/>
              </w:rPr>
              <w:t>3 068</w:t>
            </w:r>
          </w:p>
        </w:tc>
        <w:tc>
          <w:tcPr>
            <w:tcW w:w="1134" w:type="dxa"/>
            <w:tcBorders>
              <w:top w:val="nil"/>
              <w:left w:val="nil"/>
              <w:bottom w:val="single" w:sz="4" w:space="0" w:color="auto"/>
              <w:right w:val="single" w:sz="4" w:space="0" w:color="auto"/>
            </w:tcBorders>
            <w:shd w:val="clear" w:color="auto" w:fill="auto"/>
            <w:vAlign w:val="center"/>
            <w:hideMark/>
          </w:tcPr>
          <w:p w:rsidR="004830D0" w:rsidRPr="004761E0" w:rsidRDefault="004830D0" w:rsidP="004830D0">
            <w:pPr>
              <w:ind w:firstLine="0"/>
              <w:jc w:val="right"/>
              <w:rPr>
                <w:color w:val="000000"/>
                <w:sz w:val="20"/>
                <w:szCs w:val="20"/>
              </w:rPr>
            </w:pPr>
            <w:r w:rsidRPr="004761E0">
              <w:rPr>
                <w:color w:val="000000"/>
                <w:sz w:val="20"/>
                <w:szCs w:val="20"/>
              </w:rPr>
              <w:t>1,59 %</w:t>
            </w:r>
          </w:p>
        </w:tc>
      </w:tr>
      <w:tr w:rsidR="004830D0" w:rsidRPr="004761E0" w:rsidTr="004830D0">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4830D0" w:rsidRPr="004761E0" w:rsidRDefault="004830D0" w:rsidP="007076A7">
            <w:pPr>
              <w:pStyle w:val="a5"/>
              <w:numPr>
                <w:ilvl w:val="1"/>
                <w:numId w:val="83"/>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4830D0" w:rsidRPr="004761E0" w:rsidRDefault="004830D0" w:rsidP="004830D0">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рабочие</w:t>
            </w:r>
          </w:p>
        </w:tc>
        <w:tc>
          <w:tcPr>
            <w:tcW w:w="1134" w:type="dxa"/>
            <w:tcBorders>
              <w:top w:val="nil"/>
              <w:left w:val="nil"/>
              <w:bottom w:val="single" w:sz="4" w:space="0" w:color="auto"/>
              <w:right w:val="single" w:sz="4" w:space="0" w:color="auto"/>
            </w:tcBorders>
            <w:shd w:val="clear" w:color="auto" w:fill="auto"/>
            <w:vAlign w:val="center"/>
            <w:hideMark/>
          </w:tcPr>
          <w:p w:rsidR="004830D0" w:rsidRPr="004761E0" w:rsidRDefault="004830D0" w:rsidP="004830D0">
            <w:pPr>
              <w:ind w:firstLine="0"/>
              <w:jc w:val="right"/>
              <w:rPr>
                <w:color w:val="000000"/>
                <w:sz w:val="20"/>
                <w:szCs w:val="20"/>
              </w:rPr>
            </w:pPr>
            <w:r w:rsidRPr="004761E0">
              <w:rPr>
                <w:color w:val="000000"/>
                <w:sz w:val="20"/>
                <w:szCs w:val="20"/>
              </w:rPr>
              <w:t>7 526</w:t>
            </w:r>
          </w:p>
        </w:tc>
        <w:tc>
          <w:tcPr>
            <w:tcW w:w="1134" w:type="dxa"/>
            <w:tcBorders>
              <w:top w:val="nil"/>
              <w:left w:val="nil"/>
              <w:bottom w:val="single" w:sz="4" w:space="0" w:color="auto"/>
              <w:right w:val="single" w:sz="4" w:space="0" w:color="auto"/>
            </w:tcBorders>
            <w:shd w:val="clear" w:color="auto" w:fill="auto"/>
            <w:vAlign w:val="center"/>
            <w:hideMark/>
          </w:tcPr>
          <w:p w:rsidR="004830D0" w:rsidRPr="004761E0" w:rsidRDefault="004830D0" w:rsidP="004830D0">
            <w:pPr>
              <w:ind w:firstLine="0"/>
              <w:jc w:val="right"/>
              <w:rPr>
                <w:color w:val="000000"/>
                <w:sz w:val="20"/>
                <w:szCs w:val="20"/>
              </w:rPr>
            </w:pPr>
            <w:r w:rsidRPr="004761E0">
              <w:rPr>
                <w:color w:val="000000"/>
                <w:sz w:val="20"/>
                <w:szCs w:val="20"/>
              </w:rPr>
              <w:t>7 301</w:t>
            </w:r>
          </w:p>
        </w:tc>
        <w:tc>
          <w:tcPr>
            <w:tcW w:w="1134" w:type="dxa"/>
            <w:tcBorders>
              <w:top w:val="nil"/>
              <w:left w:val="nil"/>
              <w:bottom w:val="single" w:sz="4" w:space="0" w:color="auto"/>
              <w:right w:val="single" w:sz="4" w:space="0" w:color="auto"/>
            </w:tcBorders>
            <w:shd w:val="clear" w:color="auto" w:fill="auto"/>
            <w:vAlign w:val="center"/>
            <w:hideMark/>
          </w:tcPr>
          <w:p w:rsidR="004830D0" w:rsidRPr="004761E0" w:rsidRDefault="004830D0" w:rsidP="004830D0">
            <w:pPr>
              <w:ind w:firstLine="0"/>
              <w:jc w:val="right"/>
              <w:rPr>
                <w:color w:val="000000"/>
                <w:sz w:val="20"/>
                <w:szCs w:val="20"/>
              </w:rPr>
            </w:pPr>
            <w:r w:rsidRPr="004761E0">
              <w:rPr>
                <w:color w:val="000000"/>
                <w:sz w:val="20"/>
                <w:szCs w:val="20"/>
              </w:rPr>
              <w:t>7 099</w:t>
            </w:r>
          </w:p>
        </w:tc>
        <w:tc>
          <w:tcPr>
            <w:tcW w:w="1134" w:type="dxa"/>
            <w:tcBorders>
              <w:top w:val="nil"/>
              <w:left w:val="nil"/>
              <w:bottom w:val="single" w:sz="4" w:space="0" w:color="auto"/>
              <w:right w:val="single" w:sz="4" w:space="0" w:color="auto"/>
            </w:tcBorders>
            <w:shd w:val="clear" w:color="auto" w:fill="auto"/>
            <w:vAlign w:val="center"/>
            <w:hideMark/>
          </w:tcPr>
          <w:p w:rsidR="004830D0" w:rsidRPr="004761E0" w:rsidRDefault="004830D0" w:rsidP="004830D0">
            <w:pPr>
              <w:ind w:firstLine="0"/>
              <w:jc w:val="right"/>
              <w:rPr>
                <w:color w:val="000000"/>
                <w:sz w:val="20"/>
                <w:szCs w:val="20"/>
              </w:rPr>
            </w:pPr>
            <w:r w:rsidRPr="004761E0">
              <w:rPr>
                <w:color w:val="000000"/>
                <w:sz w:val="20"/>
                <w:szCs w:val="20"/>
              </w:rPr>
              <w:t>-2,77 %</w:t>
            </w:r>
          </w:p>
        </w:tc>
      </w:tr>
      <w:tr w:rsidR="004830D0" w:rsidRPr="004761E0" w:rsidTr="004830D0">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4830D0" w:rsidRPr="004761E0" w:rsidRDefault="004830D0" w:rsidP="007076A7">
            <w:pPr>
              <w:pStyle w:val="a5"/>
              <w:numPr>
                <w:ilvl w:val="1"/>
                <w:numId w:val="83"/>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4830D0" w:rsidRPr="004761E0" w:rsidRDefault="004830D0" w:rsidP="004830D0">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специалисты и служащие</w:t>
            </w:r>
          </w:p>
        </w:tc>
        <w:tc>
          <w:tcPr>
            <w:tcW w:w="1134" w:type="dxa"/>
            <w:tcBorders>
              <w:top w:val="nil"/>
              <w:left w:val="nil"/>
              <w:bottom w:val="single" w:sz="4" w:space="0" w:color="auto"/>
              <w:right w:val="single" w:sz="4" w:space="0" w:color="auto"/>
            </w:tcBorders>
            <w:shd w:val="clear" w:color="auto" w:fill="auto"/>
            <w:vAlign w:val="center"/>
            <w:hideMark/>
          </w:tcPr>
          <w:p w:rsidR="004830D0" w:rsidRPr="004761E0" w:rsidRDefault="004830D0" w:rsidP="004830D0">
            <w:pPr>
              <w:ind w:firstLine="0"/>
              <w:jc w:val="right"/>
              <w:rPr>
                <w:color w:val="000000"/>
                <w:sz w:val="20"/>
                <w:szCs w:val="20"/>
              </w:rPr>
            </w:pPr>
            <w:r w:rsidRPr="004761E0">
              <w:rPr>
                <w:color w:val="000000"/>
                <w:sz w:val="20"/>
                <w:szCs w:val="20"/>
              </w:rPr>
              <w:t>5 083</w:t>
            </w:r>
          </w:p>
        </w:tc>
        <w:tc>
          <w:tcPr>
            <w:tcW w:w="1134" w:type="dxa"/>
            <w:tcBorders>
              <w:top w:val="nil"/>
              <w:left w:val="nil"/>
              <w:bottom w:val="single" w:sz="4" w:space="0" w:color="auto"/>
              <w:right w:val="single" w:sz="4" w:space="0" w:color="auto"/>
            </w:tcBorders>
            <w:shd w:val="clear" w:color="auto" w:fill="auto"/>
            <w:vAlign w:val="center"/>
            <w:hideMark/>
          </w:tcPr>
          <w:p w:rsidR="004830D0" w:rsidRPr="004761E0" w:rsidRDefault="004830D0" w:rsidP="004830D0">
            <w:pPr>
              <w:ind w:firstLine="0"/>
              <w:jc w:val="right"/>
              <w:rPr>
                <w:color w:val="000000"/>
                <w:sz w:val="20"/>
                <w:szCs w:val="20"/>
              </w:rPr>
            </w:pPr>
            <w:r w:rsidRPr="004761E0">
              <w:rPr>
                <w:color w:val="000000"/>
                <w:sz w:val="20"/>
                <w:szCs w:val="20"/>
              </w:rPr>
              <w:t>5 171</w:t>
            </w:r>
          </w:p>
        </w:tc>
        <w:tc>
          <w:tcPr>
            <w:tcW w:w="1134" w:type="dxa"/>
            <w:tcBorders>
              <w:top w:val="nil"/>
              <w:left w:val="nil"/>
              <w:bottom w:val="single" w:sz="4" w:space="0" w:color="auto"/>
              <w:right w:val="single" w:sz="4" w:space="0" w:color="auto"/>
            </w:tcBorders>
            <w:shd w:val="clear" w:color="auto" w:fill="auto"/>
            <w:vAlign w:val="center"/>
            <w:hideMark/>
          </w:tcPr>
          <w:p w:rsidR="004830D0" w:rsidRPr="004761E0" w:rsidRDefault="004830D0" w:rsidP="004830D0">
            <w:pPr>
              <w:ind w:firstLine="0"/>
              <w:jc w:val="right"/>
              <w:rPr>
                <w:color w:val="000000"/>
                <w:sz w:val="20"/>
                <w:szCs w:val="20"/>
              </w:rPr>
            </w:pPr>
            <w:r w:rsidRPr="004761E0">
              <w:rPr>
                <w:color w:val="000000"/>
                <w:sz w:val="20"/>
                <w:szCs w:val="20"/>
              </w:rPr>
              <w:t>5 439</w:t>
            </w:r>
          </w:p>
        </w:tc>
        <w:tc>
          <w:tcPr>
            <w:tcW w:w="1134" w:type="dxa"/>
            <w:tcBorders>
              <w:top w:val="nil"/>
              <w:left w:val="nil"/>
              <w:bottom w:val="single" w:sz="4" w:space="0" w:color="auto"/>
              <w:right w:val="single" w:sz="4" w:space="0" w:color="auto"/>
            </w:tcBorders>
            <w:shd w:val="clear" w:color="auto" w:fill="auto"/>
            <w:vAlign w:val="center"/>
            <w:hideMark/>
          </w:tcPr>
          <w:p w:rsidR="004830D0" w:rsidRPr="004761E0" w:rsidRDefault="004830D0" w:rsidP="004830D0">
            <w:pPr>
              <w:ind w:firstLine="0"/>
              <w:jc w:val="right"/>
              <w:rPr>
                <w:color w:val="000000"/>
                <w:sz w:val="20"/>
                <w:szCs w:val="20"/>
              </w:rPr>
            </w:pPr>
            <w:r w:rsidRPr="004761E0">
              <w:rPr>
                <w:color w:val="000000"/>
                <w:sz w:val="20"/>
                <w:szCs w:val="20"/>
              </w:rPr>
              <w:t>5,18 %</w:t>
            </w:r>
          </w:p>
        </w:tc>
      </w:tr>
      <w:tr w:rsidR="004830D0" w:rsidRPr="004761E0" w:rsidTr="004830D0">
        <w:trPr>
          <w:trHeight w:val="300"/>
        </w:trPr>
        <w:tc>
          <w:tcPr>
            <w:tcW w:w="580"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4830D0" w:rsidRPr="004761E0" w:rsidRDefault="004830D0" w:rsidP="007076A7">
            <w:pPr>
              <w:numPr>
                <w:ilvl w:val="0"/>
                <w:numId w:val="83"/>
              </w:numPr>
              <w:jc w:val="left"/>
              <w:rPr>
                <w:rFonts w:eastAsia="Times New Roman"/>
                <w:b/>
                <w:color w:val="000000"/>
                <w:sz w:val="20"/>
                <w:szCs w:val="20"/>
                <w:lang w:eastAsia="ru-RU"/>
              </w:rPr>
            </w:pPr>
          </w:p>
        </w:tc>
        <w:tc>
          <w:tcPr>
            <w:tcW w:w="9356" w:type="dxa"/>
            <w:gridSpan w:val="5"/>
            <w:tcBorders>
              <w:top w:val="nil"/>
              <w:left w:val="nil"/>
              <w:bottom w:val="single" w:sz="4" w:space="0" w:color="auto"/>
              <w:right w:val="single" w:sz="4" w:space="0" w:color="auto"/>
            </w:tcBorders>
            <w:shd w:val="clear" w:color="auto" w:fill="BFBFBF" w:themeFill="background1" w:themeFillShade="BF"/>
            <w:vAlign w:val="center"/>
            <w:hideMark/>
          </w:tcPr>
          <w:p w:rsidR="004830D0" w:rsidRPr="004761E0" w:rsidRDefault="004830D0" w:rsidP="004830D0">
            <w:pPr>
              <w:ind w:firstLine="0"/>
              <w:jc w:val="left"/>
              <w:rPr>
                <w:rFonts w:eastAsia="Times New Roman"/>
                <w:b/>
                <w:bCs/>
                <w:color w:val="000000"/>
                <w:sz w:val="20"/>
                <w:szCs w:val="20"/>
                <w:lang w:eastAsia="ru-RU"/>
              </w:rPr>
            </w:pPr>
            <w:r w:rsidRPr="004761E0">
              <w:rPr>
                <w:rFonts w:eastAsia="Times New Roman"/>
                <w:b/>
                <w:color w:val="000000"/>
                <w:sz w:val="20"/>
                <w:szCs w:val="20"/>
                <w:lang w:eastAsia="ru-RU"/>
              </w:rPr>
              <w:t>По возрасту:</w:t>
            </w:r>
          </w:p>
        </w:tc>
      </w:tr>
      <w:tr w:rsidR="00D47674" w:rsidRPr="004761E0" w:rsidTr="00AD75E4">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47674" w:rsidRPr="004761E0" w:rsidRDefault="00D47674" w:rsidP="007076A7">
            <w:pPr>
              <w:pStyle w:val="a5"/>
              <w:numPr>
                <w:ilvl w:val="1"/>
                <w:numId w:val="83"/>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D47674" w:rsidRPr="004761E0" w:rsidRDefault="00D47674" w:rsidP="004830D0">
            <w:pPr>
              <w:ind w:firstLineChars="200" w:firstLine="400"/>
              <w:jc w:val="left"/>
              <w:rPr>
                <w:rFonts w:eastAsia="Times New Roman"/>
                <w:color w:val="000000"/>
                <w:sz w:val="20"/>
                <w:szCs w:val="20"/>
                <w:lang w:eastAsia="ru-RU"/>
              </w:rPr>
            </w:pPr>
            <w:r w:rsidRPr="004761E0">
              <w:rPr>
                <w:color w:val="000000"/>
                <w:sz w:val="20"/>
                <w:szCs w:val="20"/>
              </w:rPr>
              <w:t>до 25 лет</w:t>
            </w:r>
          </w:p>
        </w:tc>
        <w:tc>
          <w:tcPr>
            <w:tcW w:w="1134" w:type="dxa"/>
            <w:tcBorders>
              <w:top w:val="nil"/>
              <w:left w:val="nil"/>
              <w:bottom w:val="single" w:sz="4" w:space="0" w:color="auto"/>
              <w:right w:val="single" w:sz="4" w:space="0" w:color="auto"/>
            </w:tcBorders>
            <w:shd w:val="clear" w:color="auto" w:fill="auto"/>
            <w:vAlign w:val="center"/>
            <w:hideMark/>
          </w:tcPr>
          <w:p w:rsidR="00D47674" w:rsidRPr="004761E0" w:rsidRDefault="00D47674" w:rsidP="004830D0">
            <w:pPr>
              <w:ind w:firstLine="0"/>
              <w:jc w:val="right"/>
              <w:rPr>
                <w:color w:val="000000"/>
                <w:sz w:val="20"/>
                <w:szCs w:val="20"/>
              </w:rPr>
            </w:pPr>
            <w:r w:rsidRPr="004761E0">
              <w:rPr>
                <w:bCs/>
                <w:color w:val="000000"/>
                <w:sz w:val="20"/>
                <w:szCs w:val="20"/>
              </w:rPr>
              <w:t>1</w:t>
            </w:r>
            <w:r w:rsidR="00AD75E4" w:rsidRPr="004761E0">
              <w:rPr>
                <w:bCs/>
                <w:color w:val="000000"/>
                <w:sz w:val="20"/>
                <w:szCs w:val="20"/>
              </w:rPr>
              <w:t xml:space="preserve"> </w:t>
            </w:r>
            <w:r w:rsidRPr="004761E0">
              <w:rPr>
                <w:bCs/>
                <w:color w:val="000000"/>
                <w:sz w:val="20"/>
                <w:szCs w:val="20"/>
              </w:rPr>
              <w:t>101</w:t>
            </w:r>
          </w:p>
        </w:tc>
        <w:tc>
          <w:tcPr>
            <w:tcW w:w="1134" w:type="dxa"/>
            <w:tcBorders>
              <w:top w:val="nil"/>
              <w:left w:val="nil"/>
              <w:bottom w:val="single" w:sz="4" w:space="0" w:color="auto"/>
              <w:right w:val="single" w:sz="4" w:space="0" w:color="auto"/>
            </w:tcBorders>
            <w:shd w:val="clear" w:color="auto" w:fill="auto"/>
            <w:vAlign w:val="center"/>
            <w:hideMark/>
          </w:tcPr>
          <w:p w:rsidR="00D47674" w:rsidRPr="004761E0" w:rsidRDefault="00D47674" w:rsidP="004830D0">
            <w:pPr>
              <w:ind w:firstLine="0"/>
              <w:jc w:val="right"/>
              <w:rPr>
                <w:color w:val="000000"/>
                <w:sz w:val="20"/>
                <w:szCs w:val="20"/>
              </w:rPr>
            </w:pPr>
            <w:r w:rsidRPr="004761E0">
              <w:rPr>
                <w:bCs/>
                <w:color w:val="000000"/>
                <w:sz w:val="20"/>
                <w:szCs w:val="20"/>
              </w:rPr>
              <w:t>966</w:t>
            </w:r>
          </w:p>
        </w:tc>
        <w:tc>
          <w:tcPr>
            <w:tcW w:w="1134" w:type="dxa"/>
            <w:tcBorders>
              <w:top w:val="nil"/>
              <w:left w:val="nil"/>
              <w:bottom w:val="single" w:sz="4" w:space="0" w:color="auto"/>
              <w:right w:val="single" w:sz="4" w:space="0" w:color="auto"/>
            </w:tcBorders>
            <w:shd w:val="clear" w:color="auto" w:fill="auto"/>
            <w:vAlign w:val="center"/>
            <w:hideMark/>
          </w:tcPr>
          <w:p w:rsidR="00D47674" w:rsidRPr="004761E0" w:rsidRDefault="00D47674" w:rsidP="004830D0">
            <w:pPr>
              <w:ind w:firstLine="0"/>
              <w:jc w:val="right"/>
              <w:rPr>
                <w:color w:val="000000"/>
                <w:sz w:val="20"/>
                <w:szCs w:val="20"/>
              </w:rPr>
            </w:pPr>
            <w:r w:rsidRPr="004761E0">
              <w:rPr>
                <w:bCs/>
                <w:color w:val="000000"/>
                <w:sz w:val="20"/>
                <w:szCs w:val="20"/>
              </w:rPr>
              <w:t>934</w:t>
            </w:r>
          </w:p>
        </w:tc>
        <w:tc>
          <w:tcPr>
            <w:tcW w:w="1134" w:type="dxa"/>
            <w:tcBorders>
              <w:top w:val="nil"/>
              <w:left w:val="nil"/>
              <w:bottom w:val="single" w:sz="4" w:space="0" w:color="auto"/>
              <w:right w:val="single" w:sz="4" w:space="0" w:color="auto"/>
            </w:tcBorders>
            <w:shd w:val="clear" w:color="auto" w:fill="auto"/>
            <w:vAlign w:val="center"/>
            <w:hideMark/>
          </w:tcPr>
          <w:p w:rsidR="00D47674" w:rsidRPr="004761E0" w:rsidRDefault="00D47674" w:rsidP="00AD75E4">
            <w:pPr>
              <w:ind w:firstLine="0"/>
              <w:jc w:val="right"/>
              <w:rPr>
                <w:color w:val="000000"/>
                <w:sz w:val="20"/>
                <w:szCs w:val="20"/>
              </w:rPr>
            </w:pPr>
            <w:r w:rsidRPr="004761E0">
              <w:rPr>
                <w:bCs/>
                <w:color w:val="000000"/>
                <w:sz w:val="20"/>
                <w:szCs w:val="20"/>
              </w:rPr>
              <w:t>-0,26</w:t>
            </w:r>
            <w:r w:rsidR="00AD75E4" w:rsidRPr="004761E0">
              <w:rPr>
                <w:bCs/>
                <w:color w:val="000000"/>
                <w:sz w:val="20"/>
                <w:szCs w:val="20"/>
              </w:rPr>
              <w:t xml:space="preserve"> </w:t>
            </w:r>
            <w:r w:rsidRPr="004761E0">
              <w:rPr>
                <w:bCs/>
                <w:color w:val="000000"/>
                <w:sz w:val="20"/>
                <w:szCs w:val="20"/>
              </w:rPr>
              <w:t>%</w:t>
            </w:r>
          </w:p>
        </w:tc>
      </w:tr>
      <w:tr w:rsidR="00D47674" w:rsidRPr="004761E0" w:rsidTr="00AD75E4">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47674" w:rsidRPr="004761E0" w:rsidRDefault="00D47674" w:rsidP="007076A7">
            <w:pPr>
              <w:pStyle w:val="a5"/>
              <w:numPr>
                <w:ilvl w:val="1"/>
                <w:numId w:val="83"/>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D47674" w:rsidRPr="004761E0" w:rsidRDefault="00D47674" w:rsidP="004830D0">
            <w:pPr>
              <w:ind w:firstLineChars="200" w:firstLine="400"/>
              <w:jc w:val="left"/>
              <w:rPr>
                <w:rFonts w:eastAsia="Times New Roman"/>
                <w:color w:val="000000"/>
                <w:sz w:val="20"/>
                <w:szCs w:val="20"/>
                <w:lang w:eastAsia="ru-RU"/>
              </w:rPr>
            </w:pPr>
            <w:r w:rsidRPr="004761E0">
              <w:rPr>
                <w:color w:val="000000"/>
                <w:sz w:val="20"/>
                <w:szCs w:val="20"/>
              </w:rPr>
              <w:t>25-35 лет</w:t>
            </w:r>
          </w:p>
        </w:tc>
        <w:tc>
          <w:tcPr>
            <w:tcW w:w="1134" w:type="dxa"/>
            <w:tcBorders>
              <w:top w:val="nil"/>
              <w:left w:val="nil"/>
              <w:bottom w:val="single" w:sz="4" w:space="0" w:color="auto"/>
              <w:right w:val="single" w:sz="4" w:space="0" w:color="auto"/>
            </w:tcBorders>
            <w:shd w:val="clear" w:color="auto" w:fill="auto"/>
            <w:vAlign w:val="center"/>
            <w:hideMark/>
          </w:tcPr>
          <w:p w:rsidR="00D47674" w:rsidRPr="004761E0" w:rsidRDefault="00D47674" w:rsidP="004830D0">
            <w:pPr>
              <w:ind w:firstLine="0"/>
              <w:jc w:val="right"/>
              <w:rPr>
                <w:color w:val="000000"/>
                <w:sz w:val="20"/>
                <w:szCs w:val="20"/>
              </w:rPr>
            </w:pPr>
            <w:r w:rsidRPr="004761E0">
              <w:rPr>
                <w:bCs/>
                <w:color w:val="000000"/>
                <w:sz w:val="20"/>
                <w:szCs w:val="20"/>
              </w:rPr>
              <w:t>3</w:t>
            </w:r>
            <w:r w:rsidR="00AD75E4" w:rsidRPr="004761E0">
              <w:rPr>
                <w:bCs/>
                <w:color w:val="000000"/>
                <w:sz w:val="20"/>
                <w:szCs w:val="20"/>
              </w:rPr>
              <w:t xml:space="preserve"> </w:t>
            </w:r>
            <w:r w:rsidRPr="004761E0">
              <w:rPr>
                <w:bCs/>
                <w:color w:val="000000"/>
                <w:sz w:val="20"/>
                <w:szCs w:val="20"/>
              </w:rPr>
              <w:t>771</w:t>
            </w:r>
          </w:p>
        </w:tc>
        <w:tc>
          <w:tcPr>
            <w:tcW w:w="1134" w:type="dxa"/>
            <w:tcBorders>
              <w:top w:val="nil"/>
              <w:left w:val="nil"/>
              <w:bottom w:val="single" w:sz="4" w:space="0" w:color="auto"/>
              <w:right w:val="single" w:sz="4" w:space="0" w:color="auto"/>
            </w:tcBorders>
            <w:shd w:val="clear" w:color="auto" w:fill="auto"/>
            <w:vAlign w:val="center"/>
            <w:hideMark/>
          </w:tcPr>
          <w:p w:rsidR="00D47674" w:rsidRPr="004761E0" w:rsidRDefault="00D47674" w:rsidP="004830D0">
            <w:pPr>
              <w:ind w:firstLine="0"/>
              <w:jc w:val="right"/>
              <w:rPr>
                <w:color w:val="000000"/>
                <w:sz w:val="20"/>
                <w:szCs w:val="20"/>
              </w:rPr>
            </w:pPr>
            <w:r w:rsidRPr="004761E0">
              <w:rPr>
                <w:bCs/>
                <w:color w:val="000000"/>
                <w:sz w:val="20"/>
                <w:szCs w:val="20"/>
              </w:rPr>
              <w:t>3</w:t>
            </w:r>
            <w:r w:rsidR="00AD75E4" w:rsidRPr="004761E0">
              <w:rPr>
                <w:bCs/>
                <w:color w:val="000000"/>
                <w:sz w:val="20"/>
                <w:szCs w:val="20"/>
              </w:rPr>
              <w:t xml:space="preserve"> </w:t>
            </w:r>
            <w:r w:rsidRPr="004761E0">
              <w:rPr>
                <w:bCs/>
                <w:color w:val="000000"/>
                <w:sz w:val="20"/>
                <w:szCs w:val="20"/>
              </w:rPr>
              <w:t>986</w:t>
            </w:r>
          </w:p>
        </w:tc>
        <w:tc>
          <w:tcPr>
            <w:tcW w:w="1134" w:type="dxa"/>
            <w:tcBorders>
              <w:top w:val="nil"/>
              <w:left w:val="nil"/>
              <w:bottom w:val="single" w:sz="4" w:space="0" w:color="auto"/>
              <w:right w:val="single" w:sz="4" w:space="0" w:color="auto"/>
            </w:tcBorders>
            <w:shd w:val="clear" w:color="auto" w:fill="auto"/>
            <w:vAlign w:val="center"/>
            <w:hideMark/>
          </w:tcPr>
          <w:p w:rsidR="00D47674" w:rsidRPr="004761E0" w:rsidRDefault="00D47674" w:rsidP="004830D0">
            <w:pPr>
              <w:ind w:firstLine="0"/>
              <w:jc w:val="right"/>
              <w:rPr>
                <w:color w:val="000000"/>
                <w:sz w:val="20"/>
                <w:szCs w:val="20"/>
              </w:rPr>
            </w:pPr>
            <w:r w:rsidRPr="004761E0">
              <w:rPr>
                <w:bCs/>
                <w:color w:val="000000"/>
                <w:sz w:val="20"/>
                <w:szCs w:val="20"/>
              </w:rPr>
              <w:t>4</w:t>
            </w:r>
            <w:r w:rsidR="00AD75E4" w:rsidRPr="004761E0">
              <w:rPr>
                <w:bCs/>
                <w:color w:val="000000"/>
                <w:sz w:val="20"/>
                <w:szCs w:val="20"/>
              </w:rPr>
              <w:t xml:space="preserve"> </w:t>
            </w:r>
            <w:r w:rsidRPr="004761E0">
              <w:rPr>
                <w:bCs/>
                <w:color w:val="000000"/>
                <w:sz w:val="20"/>
                <w:szCs w:val="20"/>
              </w:rPr>
              <w:t>126</w:t>
            </w:r>
          </w:p>
        </w:tc>
        <w:tc>
          <w:tcPr>
            <w:tcW w:w="1134" w:type="dxa"/>
            <w:tcBorders>
              <w:top w:val="nil"/>
              <w:left w:val="nil"/>
              <w:bottom w:val="single" w:sz="4" w:space="0" w:color="auto"/>
              <w:right w:val="single" w:sz="4" w:space="0" w:color="auto"/>
            </w:tcBorders>
            <w:shd w:val="clear" w:color="auto" w:fill="auto"/>
            <w:vAlign w:val="center"/>
            <w:hideMark/>
          </w:tcPr>
          <w:p w:rsidR="00D47674" w:rsidRPr="004761E0" w:rsidRDefault="00D47674" w:rsidP="00AD75E4">
            <w:pPr>
              <w:ind w:firstLine="0"/>
              <w:jc w:val="right"/>
              <w:rPr>
                <w:color w:val="000000"/>
                <w:sz w:val="20"/>
                <w:szCs w:val="20"/>
              </w:rPr>
            </w:pPr>
            <w:r w:rsidRPr="004761E0">
              <w:rPr>
                <w:bCs/>
                <w:color w:val="000000"/>
                <w:sz w:val="20"/>
                <w:szCs w:val="20"/>
              </w:rPr>
              <w:t>0,71</w:t>
            </w:r>
            <w:r w:rsidR="00AD75E4" w:rsidRPr="004761E0">
              <w:rPr>
                <w:bCs/>
                <w:color w:val="000000"/>
                <w:sz w:val="20"/>
                <w:szCs w:val="20"/>
              </w:rPr>
              <w:t xml:space="preserve"> </w:t>
            </w:r>
            <w:r w:rsidRPr="004761E0">
              <w:rPr>
                <w:bCs/>
                <w:color w:val="000000"/>
                <w:sz w:val="20"/>
                <w:szCs w:val="20"/>
              </w:rPr>
              <w:t>%</w:t>
            </w:r>
          </w:p>
        </w:tc>
      </w:tr>
      <w:tr w:rsidR="00D47674" w:rsidRPr="004761E0" w:rsidTr="00AD75E4">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D47674" w:rsidRPr="004761E0" w:rsidRDefault="00D47674" w:rsidP="007076A7">
            <w:pPr>
              <w:pStyle w:val="a5"/>
              <w:numPr>
                <w:ilvl w:val="1"/>
                <w:numId w:val="83"/>
              </w:numPr>
              <w:jc w:val="left"/>
              <w:rPr>
                <w:rFonts w:eastAsia="Times New Roman"/>
                <w:color w:val="000000"/>
                <w:sz w:val="20"/>
                <w:szCs w:val="20"/>
                <w:lang w:eastAsia="ru-RU"/>
              </w:rPr>
            </w:pPr>
          </w:p>
        </w:tc>
        <w:tc>
          <w:tcPr>
            <w:tcW w:w="4820" w:type="dxa"/>
            <w:tcBorders>
              <w:top w:val="single" w:sz="4" w:space="0" w:color="auto"/>
              <w:left w:val="nil"/>
              <w:bottom w:val="single" w:sz="4" w:space="0" w:color="auto"/>
              <w:right w:val="single" w:sz="4" w:space="0" w:color="auto"/>
            </w:tcBorders>
            <w:shd w:val="clear" w:color="auto" w:fill="auto"/>
            <w:vAlign w:val="center"/>
          </w:tcPr>
          <w:p w:rsidR="00D47674" w:rsidRPr="004761E0" w:rsidRDefault="00D47674" w:rsidP="004830D0">
            <w:pPr>
              <w:ind w:firstLineChars="200" w:firstLine="400"/>
              <w:jc w:val="left"/>
              <w:rPr>
                <w:rFonts w:eastAsia="Times New Roman"/>
                <w:color w:val="000000"/>
                <w:sz w:val="20"/>
                <w:szCs w:val="20"/>
                <w:lang w:eastAsia="ru-RU"/>
              </w:rPr>
            </w:pPr>
            <w:r w:rsidRPr="004761E0">
              <w:rPr>
                <w:color w:val="000000"/>
                <w:sz w:val="20"/>
                <w:szCs w:val="20"/>
              </w:rPr>
              <w:t>35-45 лет</w:t>
            </w:r>
          </w:p>
        </w:tc>
        <w:tc>
          <w:tcPr>
            <w:tcW w:w="1134" w:type="dxa"/>
            <w:tcBorders>
              <w:top w:val="single" w:sz="4" w:space="0" w:color="auto"/>
              <w:left w:val="nil"/>
              <w:bottom w:val="single" w:sz="4" w:space="0" w:color="auto"/>
              <w:right w:val="single" w:sz="4" w:space="0" w:color="auto"/>
            </w:tcBorders>
            <w:shd w:val="clear" w:color="auto" w:fill="auto"/>
            <w:vAlign w:val="center"/>
          </w:tcPr>
          <w:p w:rsidR="00D47674" w:rsidRPr="004761E0" w:rsidRDefault="00D47674" w:rsidP="004830D0">
            <w:pPr>
              <w:ind w:firstLine="0"/>
              <w:jc w:val="right"/>
              <w:rPr>
                <w:color w:val="000000"/>
                <w:sz w:val="20"/>
                <w:szCs w:val="20"/>
              </w:rPr>
            </w:pPr>
            <w:r w:rsidRPr="004761E0">
              <w:rPr>
                <w:bCs/>
                <w:color w:val="000000"/>
                <w:sz w:val="20"/>
                <w:szCs w:val="20"/>
              </w:rPr>
              <w:t>3</w:t>
            </w:r>
            <w:r w:rsidR="00AD75E4" w:rsidRPr="004761E0">
              <w:rPr>
                <w:bCs/>
                <w:color w:val="000000"/>
                <w:sz w:val="20"/>
                <w:szCs w:val="20"/>
              </w:rPr>
              <w:t xml:space="preserve"> </w:t>
            </w:r>
            <w:r w:rsidRPr="004761E0">
              <w:rPr>
                <w:bCs/>
                <w:color w:val="000000"/>
                <w:sz w:val="20"/>
                <w:szCs w:val="20"/>
              </w:rPr>
              <w:t>185</w:t>
            </w:r>
          </w:p>
        </w:tc>
        <w:tc>
          <w:tcPr>
            <w:tcW w:w="1134" w:type="dxa"/>
            <w:tcBorders>
              <w:top w:val="single" w:sz="4" w:space="0" w:color="auto"/>
              <w:left w:val="nil"/>
              <w:bottom w:val="single" w:sz="4" w:space="0" w:color="auto"/>
              <w:right w:val="single" w:sz="4" w:space="0" w:color="auto"/>
            </w:tcBorders>
            <w:shd w:val="clear" w:color="auto" w:fill="auto"/>
            <w:vAlign w:val="center"/>
          </w:tcPr>
          <w:p w:rsidR="00D47674" w:rsidRPr="004761E0" w:rsidRDefault="00D47674" w:rsidP="004830D0">
            <w:pPr>
              <w:ind w:firstLine="0"/>
              <w:jc w:val="right"/>
              <w:rPr>
                <w:color w:val="000000"/>
                <w:sz w:val="20"/>
                <w:szCs w:val="20"/>
              </w:rPr>
            </w:pPr>
            <w:r w:rsidRPr="004761E0">
              <w:rPr>
                <w:bCs/>
                <w:color w:val="000000"/>
                <w:sz w:val="20"/>
                <w:szCs w:val="20"/>
              </w:rPr>
              <w:t>3</w:t>
            </w:r>
            <w:r w:rsidR="00AD75E4" w:rsidRPr="004761E0">
              <w:rPr>
                <w:bCs/>
                <w:color w:val="000000"/>
                <w:sz w:val="20"/>
                <w:szCs w:val="20"/>
              </w:rPr>
              <w:t xml:space="preserve"> </w:t>
            </w:r>
            <w:r w:rsidRPr="004761E0">
              <w:rPr>
                <w:bCs/>
                <w:color w:val="000000"/>
                <w:sz w:val="20"/>
                <w:szCs w:val="20"/>
              </w:rPr>
              <w:t>292</w:t>
            </w:r>
          </w:p>
        </w:tc>
        <w:tc>
          <w:tcPr>
            <w:tcW w:w="1134" w:type="dxa"/>
            <w:tcBorders>
              <w:top w:val="single" w:sz="4" w:space="0" w:color="auto"/>
              <w:left w:val="nil"/>
              <w:bottom w:val="single" w:sz="4" w:space="0" w:color="auto"/>
              <w:right w:val="single" w:sz="4" w:space="0" w:color="auto"/>
            </w:tcBorders>
            <w:shd w:val="clear" w:color="auto" w:fill="auto"/>
            <w:vAlign w:val="center"/>
          </w:tcPr>
          <w:p w:rsidR="00D47674" w:rsidRPr="004761E0" w:rsidRDefault="00D47674" w:rsidP="004830D0">
            <w:pPr>
              <w:ind w:firstLine="0"/>
              <w:jc w:val="right"/>
              <w:rPr>
                <w:color w:val="000000"/>
                <w:sz w:val="20"/>
                <w:szCs w:val="20"/>
              </w:rPr>
            </w:pPr>
            <w:r w:rsidRPr="004761E0">
              <w:rPr>
                <w:bCs/>
                <w:color w:val="000000"/>
                <w:sz w:val="20"/>
                <w:szCs w:val="20"/>
              </w:rPr>
              <w:t>3</w:t>
            </w:r>
            <w:r w:rsidR="00AD75E4" w:rsidRPr="004761E0">
              <w:rPr>
                <w:bCs/>
                <w:color w:val="000000"/>
                <w:sz w:val="20"/>
                <w:szCs w:val="20"/>
              </w:rPr>
              <w:t xml:space="preserve"> </w:t>
            </w:r>
            <w:r w:rsidRPr="004761E0">
              <w:rPr>
                <w:bCs/>
                <w:color w:val="000000"/>
                <w:sz w:val="20"/>
                <w:szCs w:val="20"/>
              </w:rPr>
              <w:t>374</w:t>
            </w:r>
          </w:p>
        </w:tc>
        <w:tc>
          <w:tcPr>
            <w:tcW w:w="1134" w:type="dxa"/>
            <w:tcBorders>
              <w:top w:val="single" w:sz="4" w:space="0" w:color="auto"/>
              <w:left w:val="nil"/>
              <w:bottom w:val="single" w:sz="4" w:space="0" w:color="auto"/>
              <w:right w:val="single" w:sz="4" w:space="0" w:color="auto"/>
            </w:tcBorders>
            <w:shd w:val="clear" w:color="auto" w:fill="auto"/>
            <w:vAlign w:val="center"/>
          </w:tcPr>
          <w:p w:rsidR="00D47674" w:rsidRPr="004761E0" w:rsidRDefault="00D47674" w:rsidP="00AD75E4">
            <w:pPr>
              <w:ind w:firstLine="0"/>
              <w:jc w:val="right"/>
              <w:rPr>
                <w:color w:val="000000"/>
                <w:sz w:val="20"/>
                <w:szCs w:val="20"/>
              </w:rPr>
            </w:pPr>
            <w:r w:rsidRPr="004761E0">
              <w:rPr>
                <w:bCs/>
                <w:color w:val="000000"/>
                <w:sz w:val="20"/>
                <w:szCs w:val="20"/>
              </w:rPr>
              <w:t>0,37</w:t>
            </w:r>
            <w:r w:rsidR="00AD75E4" w:rsidRPr="004761E0">
              <w:rPr>
                <w:bCs/>
                <w:color w:val="000000"/>
                <w:sz w:val="20"/>
                <w:szCs w:val="20"/>
              </w:rPr>
              <w:t xml:space="preserve"> </w:t>
            </w:r>
            <w:r w:rsidRPr="004761E0">
              <w:rPr>
                <w:bCs/>
                <w:color w:val="000000"/>
                <w:sz w:val="20"/>
                <w:szCs w:val="20"/>
              </w:rPr>
              <w:t>%</w:t>
            </w:r>
          </w:p>
        </w:tc>
      </w:tr>
      <w:tr w:rsidR="00D47674" w:rsidRPr="004761E0" w:rsidTr="00AD75E4">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7674" w:rsidRPr="004761E0" w:rsidRDefault="00D47674" w:rsidP="007076A7">
            <w:pPr>
              <w:pStyle w:val="a5"/>
              <w:numPr>
                <w:ilvl w:val="1"/>
                <w:numId w:val="83"/>
              </w:numPr>
              <w:jc w:val="left"/>
              <w:rPr>
                <w:rFonts w:eastAsia="Times New Roman"/>
                <w:color w:val="000000"/>
                <w:sz w:val="20"/>
                <w:szCs w:val="20"/>
                <w:lang w:eastAsia="ru-RU"/>
              </w:rPr>
            </w:pP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D47674" w:rsidRPr="004761E0" w:rsidRDefault="00D47674" w:rsidP="004830D0">
            <w:pPr>
              <w:ind w:firstLineChars="200" w:firstLine="400"/>
              <w:jc w:val="left"/>
              <w:rPr>
                <w:rFonts w:eastAsia="Times New Roman"/>
                <w:color w:val="000000"/>
                <w:sz w:val="20"/>
                <w:szCs w:val="20"/>
                <w:lang w:eastAsia="ru-RU"/>
              </w:rPr>
            </w:pPr>
            <w:r w:rsidRPr="004761E0">
              <w:rPr>
                <w:color w:val="000000"/>
                <w:sz w:val="20"/>
                <w:szCs w:val="20"/>
              </w:rPr>
              <w:t>45- пенсионный возраст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47674" w:rsidRPr="004761E0" w:rsidRDefault="00D47674" w:rsidP="004830D0">
            <w:pPr>
              <w:ind w:firstLine="0"/>
              <w:jc w:val="right"/>
              <w:rPr>
                <w:color w:val="000000"/>
                <w:sz w:val="20"/>
                <w:szCs w:val="20"/>
              </w:rPr>
            </w:pPr>
            <w:r w:rsidRPr="004761E0">
              <w:rPr>
                <w:bCs/>
                <w:color w:val="000000"/>
                <w:sz w:val="20"/>
                <w:szCs w:val="20"/>
              </w:rPr>
              <w:t>6</w:t>
            </w:r>
            <w:r w:rsidR="00AD75E4" w:rsidRPr="004761E0">
              <w:rPr>
                <w:bCs/>
                <w:color w:val="000000"/>
                <w:sz w:val="20"/>
                <w:szCs w:val="20"/>
              </w:rPr>
              <w:t xml:space="preserve"> </w:t>
            </w:r>
            <w:r w:rsidRPr="004761E0">
              <w:rPr>
                <w:bCs/>
                <w:color w:val="000000"/>
                <w:sz w:val="20"/>
                <w:szCs w:val="20"/>
              </w:rPr>
              <w:t>218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47674" w:rsidRPr="004761E0" w:rsidRDefault="00D47674" w:rsidP="004830D0">
            <w:pPr>
              <w:ind w:firstLine="0"/>
              <w:jc w:val="right"/>
              <w:rPr>
                <w:color w:val="000000"/>
                <w:sz w:val="20"/>
                <w:szCs w:val="20"/>
              </w:rPr>
            </w:pPr>
            <w:r w:rsidRPr="004761E0">
              <w:rPr>
                <w:bCs/>
                <w:color w:val="000000"/>
                <w:sz w:val="20"/>
                <w:szCs w:val="20"/>
              </w:rPr>
              <w:t>5</w:t>
            </w:r>
            <w:r w:rsidR="00AD75E4" w:rsidRPr="004761E0">
              <w:rPr>
                <w:bCs/>
                <w:color w:val="000000"/>
                <w:sz w:val="20"/>
                <w:szCs w:val="20"/>
              </w:rPr>
              <w:t xml:space="preserve"> </w:t>
            </w:r>
            <w:r w:rsidRPr="004761E0">
              <w:rPr>
                <w:bCs/>
                <w:color w:val="000000"/>
                <w:sz w:val="20"/>
                <w:szCs w:val="20"/>
              </w:rPr>
              <w:t>928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47674" w:rsidRPr="004761E0" w:rsidRDefault="00D47674" w:rsidP="004830D0">
            <w:pPr>
              <w:ind w:firstLine="0"/>
              <w:jc w:val="right"/>
              <w:rPr>
                <w:color w:val="000000"/>
                <w:sz w:val="20"/>
                <w:szCs w:val="20"/>
              </w:rPr>
            </w:pPr>
            <w:r w:rsidRPr="004761E0">
              <w:rPr>
                <w:bCs/>
                <w:color w:val="000000"/>
                <w:sz w:val="20"/>
                <w:szCs w:val="20"/>
              </w:rPr>
              <w:t>5</w:t>
            </w:r>
            <w:r w:rsidR="00AD75E4" w:rsidRPr="004761E0">
              <w:rPr>
                <w:bCs/>
                <w:color w:val="000000"/>
                <w:sz w:val="20"/>
                <w:szCs w:val="20"/>
              </w:rPr>
              <w:t xml:space="preserve"> </w:t>
            </w:r>
            <w:r w:rsidRPr="004761E0">
              <w:rPr>
                <w:bCs/>
                <w:color w:val="000000"/>
                <w:sz w:val="20"/>
                <w:szCs w:val="20"/>
              </w:rPr>
              <w:t>816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47674" w:rsidRPr="004761E0" w:rsidRDefault="00D47674" w:rsidP="00AD75E4">
            <w:pPr>
              <w:ind w:firstLine="0"/>
              <w:jc w:val="right"/>
              <w:rPr>
                <w:color w:val="000000"/>
                <w:sz w:val="20"/>
                <w:szCs w:val="20"/>
              </w:rPr>
            </w:pPr>
            <w:r w:rsidRPr="004761E0">
              <w:rPr>
                <w:bCs/>
                <w:color w:val="000000"/>
                <w:sz w:val="20"/>
                <w:szCs w:val="20"/>
              </w:rPr>
              <w:t>-0,99</w:t>
            </w:r>
            <w:r w:rsidR="00AD75E4" w:rsidRPr="004761E0">
              <w:rPr>
                <w:bCs/>
                <w:color w:val="000000"/>
                <w:sz w:val="20"/>
                <w:szCs w:val="20"/>
              </w:rPr>
              <w:t xml:space="preserve"> </w:t>
            </w:r>
            <w:r w:rsidRPr="004761E0">
              <w:rPr>
                <w:bCs/>
                <w:color w:val="000000"/>
                <w:sz w:val="20"/>
                <w:szCs w:val="20"/>
              </w:rPr>
              <w:t>%</w:t>
            </w:r>
          </w:p>
        </w:tc>
      </w:tr>
      <w:tr w:rsidR="00D47674" w:rsidRPr="004761E0" w:rsidTr="00AD75E4">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7674" w:rsidRPr="004761E0" w:rsidRDefault="00D47674" w:rsidP="007076A7">
            <w:pPr>
              <w:pStyle w:val="a5"/>
              <w:numPr>
                <w:ilvl w:val="1"/>
                <w:numId w:val="83"/>
              </w:numPr>
              <w:jc w:val="left"/>
              <w:rPr>
                <w:rFonts w:eastAsia="Times New Roman"/>
                <w:color w:val="000000"/>
                <w:sz w:val="20"/>
                <w:szCs w:val="20"/>
                <w:lang w:eastAsia="ru-RU"/>
              </w:rPr>
            </w:pP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D47674" w:rsidRPr="004761E0" w:rsidRDefault="00D47674" w:rsidP="004830D0">
            <w:pPr>
              <w:ind w:firstLineChars="200" w:firstLine="400"/>
              <w:jc w:val="left"/>
              <w:rPr>
                <w:rFonts w:eastAsia="Times New Roman"/>
                <w:color w:val="000000"/>
                <w:sz w:val="20"/>
                <w:szCs w:val="20"/>
                <w:lang w:eastAsia="ru-RU"/>
              </w:rPr>
            </w:pPr>
            <w:r w:rsidRPr="004761E0">
              <w:rPr>
                <w:color w:val="000000"/>
                <w:sz w:val="20"/>
                <w:szCs w:val="20"/>
              </w:rPr>
              <w:t>работающие пенсионеры</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47674" w:rsidRPr="004761E0" w:rsidRDefault="00D47674" w:rsidP="004830D0">
            <w:pPr>
              <w:ind w:firstLine="0"/>
              <w:jc w:val="right"/>
              <w:rPr>
                <w:color w:val="000000"/>
                <w:sz w:val="20"/>
                <w:szCs w:val="20"/>
              </w:rPr>
            </w:pPr>
            <w:r w:rsidRPr="004761E0">
              <w:rPr>
                <w:bCs/>
                <w:color w:val="000000"/>
                <w:sz w:val="20"/>
                <w:szCs w:val="20"/>
              </w:rPr>
              <w:t>1</w:t>
            </w:r>
            <w:r w:rsidR="00AD75E4" w:rsidRPr="004761E0">
              <w:rPr>
                <w:bCs/>
                <w:color w:val="000000"/>
                <w:sz w:val="20"/>
                <w:szCs w:val="20"/>
              </w:rPr>
              <w:t xml:space="preserve"> </w:t>
            </w:r>
            <w:r w:rsidRPr="004761E0">
              <w:rPr>
                <w:bCs/>
                <w:color w:val="000000"/>
                <w:sz w:val="20"/>
                <w:szCs w:val="20"/>
              </w:rPr>
              <w:t>320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47674" w:rsidRPr="004761E0" w:rsidRDefault="00D47674" w:rsidP="004830D0">
            <w:pPr>
              <w:ind w:firstLine="0"/>
              <w:jc w:val="right"/>
              <w:rPr>
                <w:color w:val="000000"/>
                <w:sz w:val="20"/>
                <w:szCs w:val="20"/>
              </w:rPr>
            </w:pPr>
            <w:r w:rsidRPr="004761E0">
              <w:rPr>
                <w:bCs/>
                <w:color w:val="000000"/>
                <w:sz w:val="20"/>
                <w:szCs w:val="20"/>
              </w:rPr>
              <w:t>1</w:t>
            </w:r>
            <w:r w:rsidR="00AD75E4" w:rsidRPr="004761E0">
              <w:rPr>
                <w:bCs/>
                <w:color w:val="000000"/>
                <w:sz w:val="20"/>
                <w:szCs w:val="20"/>
              </w:rPr>
              <w:t xml:space="preserve"> </w:t>
            </w:r>
            <w:r w:rsidRPr="004761E0">
              <w:rPr>
                <w:bCs/>
                <w:color w:val="000000"/>
                <w:sz w:val="20"/>
                <w:szCs w:val="20"/>
              </w:rPr>
              <w:t>320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47674" w:rsidRPr="004761E0" w:rsidRDefault="00D47674" w:rsidP="004830D0">
            <w:pPr>
              <w:ind w:firstLine="0"/>
              <w:jc w:val="right"/>
              <w:rPr>
                <w:color w:val="000000"/>
                <w:sz w:val="20"/>
                <w:szCs w:val="20"/>
              </w:rPr>
            </w:pPr>
            <w:r w:rsidRPr="004761E0">
              <w:rPr>
                <w:bCs/>
                <w:color w:val="000000"/>
                <w:sz w:val="20"/>
                <w:szCs w:val="20"/>
              </w:rPr>
              <w:t>1</w:t>
            </w:r>
            <w:r w:rsidR="00AD75E4" w:rsidRPr="004761E0">
              <w:rPr>
                <w:bCs/>
                <w:color w:val="000000"/>
                <w:sz w:val="20"/>
                <w:szCs w:val="20"/>
              </w:rPr>
              <w:t xml:space="preserve"> </w:t>
            </w:r>
            <w:r w:rsidRPr="004761E0">
              <w:rPr>
                <w:bCs/>
                <w:color w:val="000000"/>
                <w:sz w:val="20"/>
                <w:szCs w:val="20"/>
              </w:rPr>
              <w:t>356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47674" w:rsidRPr="004761E0" w:rsidRDefault="00D47674" w:rsidP="00AD75E4">
            <w:pPr>
              <w:ind w:firstLine="0"/>
              <w:jc w:val="right"/>
              <w:rPr>
                <w:color w:val="000000"/>
                <w:sz w:val="20"/>
                <w:szCs w:val="20"/>
              </w:rPr>
            </w:pPr>
            <w:r w:rsidRPr="004761E0">
              <w:rPr>
                <w:bCs/>
                <w:color w:val="000000"/>
                <w:sz w:val="20"/>
                <w:szCs w:val="20"/>
              </w:rPr>
              <w:t>0,17</w:t>
            </w:r>
            <w:r w:rsidR="00AD75E4" w:rsidRPr="004761E0">
              <w:rPr>
                <w:bCs/>
                <w:color w:val="000000"/>
                <w:sz w:val="20"/>
                <w:szCs w:val="20"/>
              </w:rPr>
              <w:t xml:space="preserve"> </w:t>
            </w:r>
            <w:r w:rsidRPr="004761E0">
              <w:rPr>
                <w:bCs/>
                <w:color w:val="000000"/>
                <w:sz w:val="20"/>
                <w:szCs w:val="20"/>
              </w:rPr>
              <w:t>%</w:t>
            </w:r>
          </w:p>
        </w:tc>
      </w:tr>
    </w:tbl>
    <w:p w:rsidR="004830D0" w:rsidRPr="004761E0" w:rsidRDefault="00D83ED7" w:rsidP="00D83ED7">
      <w:pPr>
        <w:pStyle w:val="ac"/>
        <w:spacing w:before="120" w:after="120"/>
        <w:ind w:firstLine="0"/>
        <w:rPr>
          <w:rFonts w:eastAsia="Times New Roman"/>
          <w:b/>
          <w:iCs/>
          <w:color w:val="000000"/>
          <w:sz w:val="26"/>
          <w:szCs w:val="26"/>
          <w:lang w:eastAsia="ru-RU"/>
        </w:rPr>
      </w:pPr>
      <w:r w:rsidRPr="004761E0">
        <w:rPr>
          <w:rFonts w:eastAsia="Times New Roman"/>
          <w:b/>
          <w:iCs/>
          <w:noProof/>
          <w:color w:val="000000"/>
          <w:sz w:val="26"/>
          <w:szCs w:val="26"/>
          <w:lang w:eastAsia="ru-RU"/>
        </w:rPr>
        <w:lastRenderedPageBreak/>
        <w:drawing>
          <wp:inline distT="0" distB="0" distL="0" distR="0">
            <wp:extent cx="2848241" cy="3381153"/>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r w:rsidRPr="004761E0">
        <w:rPr>
          <w:rFonts w:eastAsia="Times New Roman"/>
          <w:b/>
          <w:iCs/>
          <w:color w:val="000000"/>
          <w:sz w:val="26"/>
          <w:szCs w:val="26"/>
          <w:lang w:eastAsia="ru-RU"/>
        </w:rPr>
        <w:t xml:space="preserve"> </w:t>
      </w:r>
      <w:r w:rsidRPr="004761E0">
        <w:rPr>
          <w:rFonts w:eastAsia="Times New Roman"/>
          <w:b/>
          <w:iCs/>
          <w:noProof/>
          <w:color w:val="000000"/>
          <w:sz w:val="26"/>
          <w:szCs w:val="26"/>
          <w:lang w:eastAsia="ru-RU"/>
        </w:rPr>
        <w:drawing>
          <wp:inline distT="0" distB="0" distL="0" distR="0">
            <wp:extent cx="2893311" cy="3381153"/>
            <wp:effectExtent l="0" t="0" r="2540" b="0"/>
            <wp:docPr id="6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453705" w:rsidRPr="004761E0" w:rsidRDefault="00453705" w:rsidP="00E93459">
      <w:pPr>
        <w:ind w:firstLine="567"/>
        <w:rPr>
          <w:sz w:val="26"/>
          <w:szCs w:val="26"/>
        </w:rPr>
      </w:pPr>
      <w:r w:rsidRPr="004761E0">
        <w:rPr>
          <w:sz w:val="26"/>
          <w:szCs w:val="26"/>
        </w:rPr>
        <w:t xml:space="preserve">По категории «Руководители» увеличение </w:t>
      </w:r>
      <w:r w:rsidR="00C82CFB" w:rsidRPr="004761E0">
        <w:rPr>
          <w:sz w:val="26"/>
          <w:szCs w:val="26"/>
        </w:rPr>
        <w:t xml:space="preserve">на 1,59 % списочной </w:t>
      </w:r>
      <w:r w:rsidRPr="004761E0">
        <w:rPr>
          <w:sz w:val="26"/>
          <w:szCs w:val="26"/>
        </w:rPr>
        <w:t>численности обусловлено заполнением текущих вакансий, в т.ч. вакансий мастеров.</w:t>
      </w:r>
    </w:p>
    <w:p w:rsidR="00453705" w:rsidRPr="004761E0" w:rsidRDefault="00C82CFB" w:rsidP="00835060">
      <w:pPr>
        <w:pStyle w:val="a5"/>
        <w:ind w:left="0" w:firstLine="567"/>
        <w:contextualSpacing w:val="0"/>
        <w:rPr>
          <w:sz w:val="26"/>
          <w:szCs w:val="26"/>
        </w:rPr>
      </w:pPr>
      <w:r w:rsidRPr="004761E0">
        <w:rPr>
          <w:sz w:val="26"/>
          <w:szCs w:val="26"/>
        </w:rPr>
        <w:t>Списочная численность п</w:t>
      </w:r>
      <w:r w:rsidR="00453705" w:rsidRPr="004761E0">
        <w:rPr>
          <w:sz w:val="26"/>
          <w:szCs w:val="26"/>
        </w:rPr>
        <w:t xml:space="preserve">о категории «Специалисты и служащие» </w:t>
      </w:r>
      <w:r w:rsidRPr="004761E0">
        <w:rPr>
          <w:sz w:val="26"/>
          <w:szCs w:val="26"/>
        </w:rPr>
        <w:t xml:space="preserve">выросла на 5,18 % в связи с </w:t>
      </w:r>
      <w:r w:rsidR="00453705" w:rsidRPr="004761E0">
        <w:rPr>
          <w:sz w:val="26"/>
          <w:szCs w:val="26"/>
        </w:rPr>
        <w:t>увеличением численности</w:t>
      </w:r>
      <w:r w:rsidRPr="004761E0">
        <w:rPr>
          <w:sz w:val="26"/>
          <w:szCs w:val="26"/>
        </w:rPr>
        <w:t xml:space="preserve"> персонала бригад ОВБ, РБ и ОДС (в целях повышения надежности оперативно-технологического управления, уменьшения времени ликвидации технологических нарушений по предписаниям Ростехнадзора и Минэнерго России</w:t>
      </w:r>
      <w:r w:rsidR="00835060" w:rsidRPr="004761E0">
        <w:rPr>
          <w:sz w:val="26"/>
          <w:szCs w:val="26"/>
        </w:rPr>
        <w:t>)</w:t>
      </w:r>
      <w:r w:rsidRPr="004761E0">
        <w:rPr>
          <w:sz w:val="26"/>
          <w:szCs w:val="26"/>
        </w:rPr>
        <w:t xml:space="preserve">, </w:t>
      </w:r>
      <w:r w:rsidR="00453705" w:rsidRPr="004761E0">
        <w:rPr>
          <w:sz w:val="26"/>
          <w:szCs w:val="26"/>
        </w:rPr>
        <w:t>подразделения по технологическим присоединениям</w:t>
      </w:r>
      <w:r w:rsidR="00835060" w:rsidRPr="004761E0">
        <w:rPr>
          <w:sz w:val="26"/>
          <w:szCs w:val="26"/>
        </w:rPr>
        <w:t xml:space="preserve"> (с целью снижения количества просроченных заявок на технологическое присоединение и повышения контроля за операционной деятельностью)</w:t>
      </w:r>
      <w:r w:rsidRPr="004761E0">
        <w:rPr>
          <w:sz w:val="26"/>
          <w:szCs w:val="26"/>
        </w:rPr>
        <w:t xml:space="preserve">, </w:t>
      </w:r>
      <w:r w:rsidR="00453705" w:rsidRPr="004761E0">
        <w:rPr>
          <w:sz w:val="26"/>
          <w:szCs w:val="26"/>
        </w:rPr>
        <w:t>образованием филиала Энергоучет.</w:t>
      </w:r>
    </w:p>
    <w:p w:rsidR="00453705" w:rsidRPr="004761E0" w:rsidRDefault="00C82CFB" w:rsidP="00C82CFB">
      <w:pPr>
        <w:ind w:firstLine="567"/>
        <w:rPr>
          <w:sz w:val="26"/>
          <w:szCs w:val="26"/>
        </w:rPr>
      </w:pPr>
      <w:r w:rsidRPr="004761E0">
        <w:rPr>
          <w:sz w:val="26"/>
          <w:szCs w:val="26"/>
        </w:rPr>
        <w:t>Списочная численность по категории «Рабочие» снизилась на 2,77 % вследствие п</w:t>
      </w:r>
      <w:r w:rsidR="00453705" w:rsidRPr="004761E0">
        <w:rPr>
          <w:sz w:val="26"/>
          <w:szCs w:val="26"/>
        </w:rPr>
        <w:t>роведени</w:t>
      </w:r>
      <w:r w:rsidRPr="004761E0">
        <w:rPr>
          <w:sz w:val="26"/>
          <w:szCs w:val="26"/>
        </w:rPr>
        <w:t>я</w:t>
      </w:r>
      <w:r w:rsidR="00453705" w:rsidRPr="004761E0">
        <w:rPr>
          <w:sz w:val="26"/>
          <w:szCs w:val="26"/>
        </w:rPr>
        <w:t xml:space="preserve"> мероприятий по оптимизации численности</w:t>
      </w:r>
      <w:r w:rsidRPr="004761E0">
        <w:rPr>
          <w:sz w:val="26"/>
          <w:szCs w:val="26"/>
        </w:rPr>
        <w:t xml:space="preserve"> (</w:t>
      </w:r>
      <w:r w:rsidR="00453705" w:rsidRPr="004761E0">
        <w:rPr>
          <w:sz w:val="26"/>
          <w:szCs w:val="26"/>
        </w:rPr>
        <w:t>в частности вывод функции СЭЗиС на аутсорсинг</w:t>
      </w:r>
      <w:r w:rsidRPr="004761E0">
        <w:rPr>
          <w:sz w:val="26"/>
          <w:szCs w:val="26"/>
        </w:rPr>
        <w:t>)</w:t>
      </w:r>
      <w:r w:rsidRPr="006F4AB8">
        <w:rPr>
          <w:rStyle w:val="af1"/>
        </w:rPr>
        <w:footnoteReference w:id="124"/>
      </w:r>
      <w:r w:rsidRPr="004761E0">
        <w:rPr>
          <w:sz w:val="26"/>
          <w:szCs w:val="26"/>
        </w:rPr>
        <w:t xml:space="preserve">, а также </w:t>
      </w:r>
      <w:r w:rsidR="00453705" w:rsidRPr="004761E0">
        <w:rPr>
          <w:sz w:val="26"/>
          <w:szCs w:val="26"/>
        </w:rPr>
        <w:t>оптимизации бизнес-процессов (вывод непрофильных штатных единиц, централизация функций) и образование</w:t>
      </w:r>
      <w:r w:rsidRPr="004761E0">
        <w:rPr>
          <w:sz w:val="26"/>
          <w:szCs w:val="26"/>
        </w:rPr>
        <w:t>м</w:t>
      </w:r>
      <w:r w:rsidR="00453705" w:rsidRPr="004761E0">
        <w:rPr>
          <w:sz w:val="26"/>
          <w:szCs w:val="26"/>
        </w:rPr>
        <w:t xml:space="preserve"> филиала Энергоучет.</w:t>
      </w:r>
    </w:p>
    <w:p w:rsidR="00453705" w:rsidRPr="004761E0" w:rsidRDefault="00453705" w:rsidP="00453705">
      <w:pPr>
        <w:ind w:firstLine="567"/>
        <w:rPr>
          <w:sz w:val="26"/>
          <w:szCs w:val="26"/>
        </w:rPr>
      </w:pPr>
      <w:r w:rsidRPr="004761E0">
        <w:rPr>
          <w:sz w:val="26"/>
          <w:szCs w:val="26"/>
        </w:rPr>
        <w:t>Вместе с тем с целью своевременного получения персоналом допуска к самостоятельной работе и успешного прохождения осенне-зимнего максимума 2013</w:t>
      </w:r>
      <w:r w:rsidR="00835060" w:rsidRPr="004761E0">
        <w:rPr>
          <w:sz w:val="26"/>
          <w:szCs w:val="26"/>
        </w:rPr>
        <w:t>/</w:t>
      </w:r>
      <w:r w:rsidRPr="004761E0">
        <w:rPr>
          <w:sz w:val="26"/>
          <w:szCs w:val="26"/>
        </w:rPr>
        <w:t>2014</w:t>
      </w:r>
      <w:r w:rsidR="00835060" w:rsidRPr="004761E0">
        <w:rPr>
          <w:sz w:val="26"/>
          <w:szCs w:val="26"/>
        </w:rPr>
        <w:t xml:space="preserve"> </w:t>
      </w:r>
      <w:r w:rsidRPr="004761E0">
        <w:rPr>
          <w:sz w:val="26"/>
          <w:szCs w:val="26"/>
        </w:rPr>
        <w:t xml:space="preserve">гг. на территории Новой Москвы увеличена численность персонала </w:t>
      </w:r>
      <w:r w:rsidR="0010030B">
        <w:rPr>
          <w:sz w:val="26"/>
          <w:szCs w:val="26"/>
        </w:rPr>
        <w:t>оперативно-выездных бригад распределительных сетей, подстанций, аварийно-восстановительных служб</w:t>
      </w:r>
      <w:r w:rsidRPr="004761E0">
        <w:rPr>
          <w:sz w:val="26"/>
          <w:szCs w:val="26"/>
        </w:rPr>
        <w:t>.</w:t>
      </w:r>
    </w:p>
    <w:p w:rsidR="00AD75E4" w:rsidRPr="004761E0" w:rsidRDefault="008930A5" w:rsidP="00AD75E4">
      <w:pPr>
        <w:ind w:firstLine="567"/>
        <w:rPr>
          <w:sz w:val="26"/>
          <w:szCs w:val="26"/>
        </w:rPr>
      </w:pPr>
      <w:r w:rsidRPr="004761E0">
        <w:rPr>
          <w:sz w:val="26"/>
          <w:szCs w:val="26"/>
        </w:rPr>
        <w:t xml:space="preserve">Структура персонала Общества по возрасту достаточно стабильна. Средний возраст работников по Обществу </w:t>
      </w:r>
      <w:r w:rsidR="00AD75E4" w:rsidRPr="004761E0">
        <w:rPr>
          <w:sz w:val="26"/>
          <w:szCs w:val="26"/>
        </w:rPr>
        <w:t xml:space="preserve">в 2013 году </w:t>
      </w:r>
      <w:r w:rsidRPr="004761E0">
        <w:rPr>
          <w:sz w:val="26"/>
          <w:szCs w:val="26"/>
        </w:rPr>
        <w:t>состав</w:t>
      </w:r>
      <w:r w:rsidR="00AD75E4" w:rsidRPr="004761E0">
        <w:rPr>
          <w:sz w:val="26"/>
          <w:szCs w:val="26"/>
        </w:rPr>
        <w:t>ил</w:t>
      </w:r>
      <w:r w:rsidRPr="004761E0">
        <w:rPr>
          <w:sz w:val="26"/>
          <w:szCs w:val="26"/>
        </w:rPr>
        <w:t xml:space="preserve"> 42 года.</w:t>
      </w:r>
    </w:p>
    <w:p w:rsidR="007674C6" w:rsidRPr="00585397" w:rsidRDefault="002763A1" w:rsidP="00585397">
      <w:pPr>
        <w:spacing w:before="120" w:after="120"/>
        <w:ind w:firstLine="567"/>
        <w:rPr>
          <w:b/>
          <w:sz w:val="26"/>
          <w:szCs w:val="26"/>
        </w:rPr>
      </w:pPr>
      <w:r w:rsidRPr="004761E0">
        <w:rPr>
          <w:b/>
          <w:sz w:val="26"/>
          <w:szCs w:val="26"/>
        </w:rPr>
        <w:t>Основные планы в области кадровой политики на 2014 год</w:t>
      </w:r>
    </w:p>
    <w:p w:rsidR="002763A1" w:rsidRPr="004761E0" w:rsidRDefault="002763A1" w:rsidP="007076A7">
      <w:pPr>
        <w:pStyle w:val="15"/>
        <w:numPr>
          <w:ilvl w:val="0"/>
          <w:numId w:val="183"/>
        </w:numPr>
        <w:overflowPunct/>
        <w:spacing w:before="0"/>
        <w:ind w:left="1134" w:hanging="567"/>
        <w:textAlignment w:val="auto"/>
        <w:rPr>
          <w:bCs/>
          <w:sz w:val="26"/>
          <w:szCs w:val="26"/>
        </w:rPr>
      </w:pPr>
      <w:r w:rsidRPr="004761E0">
        <w:rPr>
          <w:bCs/>
          <w:sz w:val="26"/>
          <w:szCs w:val="26"/>
        </w:rPr>
        <w:t>снижение численности административно-управленческого персонала Общества за счет оптимизации системы управления, совершенствования организационных структур и бизнес-процессов Общества;</w:t>
      </w:r>
    </w:p>
    <w:p w:rsidR="002763A1" w:rsidRPr="004761E0" w:rsidRDefault="002763A1" w:rsidP="007076A7">
      <w:pPr>
        <w:pStyle w:val="15"/>
        <w:numPr>
          <w:ilvl w:val="0"/>
          <w:numId w:val="183"/>
        </w:numPr>
        <w:overflowPunct/>
        <w:spacing w:before="0"/>
        <w:ind w:left="1134" w:hanging="567"/>
        <w:textAlignment w:val="auto"/>
        <w:rPr>
          <w:bCs/>
          <w:sz w:val="26"/>
          <w:szCs w:val="26"/>
        </w:rPr>
      </w:pPr>
      <w:r w:rsidRPr="004761E0">
        <w:rPr>
          <w:bCs/>
          <w:sz w:val="26"/>
          <w:szCs w:val="26"/>
        </w:rPr>
        <w:lastRenderedPageBreak/>
        <w:t>назначение на не менее 50 % вакантных должностей категории «руководитель» кандидатов из состава кадрового резерва Общества;</w:t>
      </w:r>
    </w:p>
    <w:p w:rsidR="002763A1" w:rsidRPr="004761E0" w:rsidRDefault="002763A1" w:rsidP="007076A7">
      <w:pPr>
        <w:pStyle w:val="15"/>
        <w:numPr>
          <w:ilvl w:val="0"/>
          <w:numId w:val="183"/>
        </w:numPr>
        <w:overflowPunct/>
        <w:spacing w:before="0"/>
        <w:ind w:left="1134" w:hanging="567"/>
        <w:textAlignment w:val="auto"/>
        <w:rPr>
          <w:bCs/>
          <w:sz w:val="26"/>
          <w:szCs w:val="26"/>
        </w:rPr>
      </w:pPr>
      <w:r w:rsidRPr="004761E0">
        <w:rPr>
          <w:bCs/>
          <w:sz w:val="26"/>
          <w:szCs w:val="26"/>
        </w:rPr>
        <w:t>получение лицензии на образовательную деятельность;</w:t>
      </w:r>
    </w:p>
    <w:p w:rsidR="002763A1" w:rsidRPr="004761E0" w:rsidRDefault="002763A1" w:rsidP="007076A7">
      <w:pPr>
        <w:pStyle w:val="15"/>
        <w:numPr>
          <w:ilvl w:val="0"/>
          <w:numId w:val="183"/>
        </w:numPr>
        <w:overflowPunct/>
        <w:spacing w:before="0"/>
        <w:ind w:left="1134" w:hanging="567"/>
        <w:textAlignment w:val="auto"/>
        <w:rPr>
          <w:bCs/>
          <w:sz w:val="26"/>
          <w:szCs w:val="26"/>
        </w:rPr>
      </w:pPr>
      <w:r w:rsidRPr="004761E0">
        <w:rPr>
          <w:bCs/>
          <w:sz w:val="26"/>
          <w:szCs w:val="26"/>
        </w:rPr>
        <w:t>формирование тренинговых площадок, развитие дистанционных форм обучения, организация и проведение «Дней открытых дверей», практики студентов.</w:t>
      </w:r>
    </w:p>
    <w:p w:rsidR="00252B8E" w:rsidRPr="00585397" w:rsidRDefault="00252B8E" w:rsidP="00585397">
      <w:pPr>
        <w:spacing w:before="120" w:after="120"/>
        <w:ind w:firstLine="567"/>
        <w:rPr>
          <w:b/>
          <w:sz w:val="26"/>
          <w:szCs w:val="26"/>
        </w:rPr>
      </w:pPr>
      <w:r w:rsidRPr="004761E0">
        <w:rPr>
          <w:b/>
          <w:sz w:val="26"/>
          <w:szCs w:val="26"/>
        </w:rPr>
        <w:t>Структура персонала</w:t>
      </w:r>
      <w:r w:rsidR="00644A39">
        <w:rPr>
          <w:b/>
          <w:sz w:val="26"/>
          <w:szCs w:val="26"/>
        </w:rPr>
        <w:t xml:space="preserve"> по уровню образования</w:t>
      </w:r>
    </w:p>
    <w:tbl>
      <w:tblPr>
        <w:tblW w:w="9936" w:type="dxa"/>
        <w:tblInd w:w="91" w:type="dxa"/>
        <w:tblLook w:val="04A0"/>
      </w:tblPr>
      <w:tblGrid>
        <w:gridCol w:w="580"/>
        <w:gridCol w:w="4820"/>
        <w:gridCol w:w="1134"/>
        <w:gridCol w:w="1134"/>
        <w:gridCol w:w="1134"/>
        <w:gridCol w:w="1134"/>
      </w:tblGrid>
      <w:tr w:rsidR="00252B8E" w:rsidRPr="004761E0" w:rsidTr="00252B8E">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252B8E" w:rsidRPr="004761E0" w:rsidRDefault="00252B8E" w:rsidP="00252B8E">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48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252B8E" w:rsidRPr="004761E0" w:rsidRDefault="00252B8E" w:rsidP="00252B8E">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252B8E" w:rsidRPr="004761E0" w:rsidRDefault="00252B8E" w:rsidP="00252B8E">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252B8E" w:rsidRPr="004761E0" w:rsidRDefault="00252B8E" w:rsidP="00252B8E">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252B8E" w:rsidRPr="004761E0" w:rsidRDefault="00252B8E" w:rsidP="00252B8E">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252B8E" w:rsidRPr="004761E0" w:rsidRDefault="00252B8E" w:rsidP="00252B8E">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644A39" w:rsidRPr="004761E0" w:rsidTr="00252B8E">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644A39" w:rsidRPr="00644A39" w:rsidRDefault="00644A39" w:rsidP="00644A39">
            <w:pPr>
              <w:ind w:firstLine="0"/>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644A39" w:rsidRPr="004761E0" w:rsidRDefault="00644A39" w:rsidP="00644A39">
            <w:pPr>
              <w:ind w:firstLine="0"/>
              <w:jc w:val="left"/>
              <w:rPr>
                <w:rFonts w:eastAsia="Times New Roman"/>
                <w:b/>
                <w:color w:val="000000"/>
                <w:sz w:val="20"/>
                <w:szCs w:val="20"/>
                <w:lang w:eastAsia="ru-RU"/>
              </w:rPr>
            </w:pPr>
            <w:r w:rsidRPr="004761E0">
              <w:rPr>
                <w:rFonts w:eastAsia="Times New Roman"/>
                <w:b/>
                <w:color w:val="000000"/>
                <w:sz w:val="20"/>
                <w:szCs w:val="20"/>
                <w:lang w:eastAsia="ru-RU"/>
              </w:rPr>
              <w:t>Списочная численность, чел. (всего), в т.ч.:</w:t>
            </w:r>
          </w:p>
        </w:tc>
        <w:tc>
          <w:tcPr>
            <w:tcW w:w="1134" w:type="dxa"/>
            <w:tcBorders>
              <w:top w:val="nil"/>
              <w:left w:val="nil"/>
              <w:bottom w:val="single" w:sz="4" w:space="0" w:color="auto"/>
              <w:right w:val="single" w:sz="4" w:space="0" w:color="auto"/>
            </w:tcBorders>
            <w:shd w:val="clear" w:color="auto" w:fill="auto"/>
            <w:vAlign w:val="bottom"/>
            <w:hideMark/>
          </w:tcPr>
          <w:p w:rsidR="00644A39" w:rsidRPr="004761E0" w:rsidRDefault="00644A39" w:rsidP="00644A39">
            <w:pPr>
              <w:ind w:firstLine="0"/>
              <w:jc w:val="right"/>
              <w:rPr>
                <w:color w:val="000000"/>
                <w:sz w:val="20"/>
                <w:szCs w:val="20"/>
              </w:rPr>
            </w:pPr>
            <w:r w:rsidRPr="004761E0">
              <w:rPr>
                <w:color w:val="000000"/>
                <w:sz w:val="20"/>
                <w:szCs w:val="20"/>
              </w:rPr>
              <w:t>15 595</w:t>
            </w:r>
          </w:p>
        </w:tc>
        <w:tc>
          <w:tcPr>
            <w:tcW w:w="1134" w:type="dxa"/>
            <w:tcBorders>
              <w:top w:val="nil"/>
              <w:left w:val="nil"/>
              <w:bottom w:val="single" w:sz="4" w:space="0" w:color="auto"/>
              <w:right w:val="single" w:sz="4" w:space="0" w:color="auto"/>
            </w:tcBorders>
            <w:shd w:val="clear" w:color="auto" w:fill="auto"/>
            <w:vAlign w:val="bottom"/>
            <w:hideMark/>
          </w:tcPr>
          <w:p w:rsidR="00644A39" w:rsidRPr="004761E0" w:rsidRDefault="00644A39" w:rsidP="00644A39">
            <w:pPr>
              <w:ind w:firstLine="0"/>
              <w:jc w:val="right"/>
              <w:rPr>
                <w:color w:val="000000"/>
                <w:sz w:val="20"/>
                <w:szCs w:val="20"/>
              </w:rPr>
            </w:pPr>
            <w:r w:rsidRPr="004761E0">
              <w:rPr>
                <w:color w:val="000000"/>
                <w:sz w:val="20"/>
                <w:szCs w:val="20"/>
              </w:rPr>
              <w:t>15 492</w:t>
            </w:r>
          </w:p>
        </w:tc>
        <w:tc>
          <w:tcPr>
            <w:tcW w:w="1134" w:type="dxa"/>
            <w:tcBorders>
              <w:top w:val="nil"/>
              <w:left w:val="nil"/>
              <w:bottom w:val="single" w:sz="4" w:space="0" w:color="auto"/>
              <w:right w:val="single" w:sz="4" w:space="0" w:color="auto"/>
            </w:tcBorders>
            <w:shd w:val="clear" w:color="auto" w:fill="auto"/>
            <w:vAlign w:val="bottom"/>
            <w:hideMark/>
          </w:tcPr>
          <w:p w:rsidR="00644A39" w:rsidRPr="004761E0" w:rsidRDefault="00644A39" w:rsidP="00644A39">
            <w:pPr>
              <w:ind w:firstLine="0"/>
              <w:jc w:val="right"/>
              <w:rPr>
                <w:color w:val="000000"/>
                <w:sz w:val="20"/>
                <w:szCs w:val="20"/>
              </w:rPr>
            </w:pPr>
            <w:r w:rsidRPr="004761E0">
              <w:rPr>
                <w:color w:val="000000"/>
                <w:sz w:val="20"/>
                <w:szCs w:val="20"/>
              </w:rPr>
              <w:t>15 606</w:t>
            </w:r>
          </w:p>
        </w:tc>
        <w:tc>
          <w:tcPr>
            <w:tcW w:w="1134" w:type="dxa"/>
            <w:tcBorders>
              <w:top w:val="nil"/>
              <w:left w:val="nil"/>
              <w:bottom w:val="single" w:sz="4" w:space="0" w:color="auto"/>
              <w:right w:val="single" w:sz="4" w:space="0" w:color="auto"/>
            </w:tcBorders>
            <w:shd w:val="clear" w:color="auto" w:fill="auto"/>
            <w:vAlign w:val="bottom"/>
            <w:hideMark/>
          </w:tcPr>
          <w:p w:rsidR="00644A39" w:rsidRPr="004761E0" w:rsidRDefault="00644A39" w:rsidP="00644A39">
            <w:pPr>
              <w:ind w:firstLine="0"/>
              <w:jc w:val="right"/>
              <w:rPr>
                <w:color w:val="000000"/>
                <w:sz w:val="20"/>
                <w:szCs w:val="20"/>
              </w:rPr>
            </w:pPr>
            <w:r w:rsidRPr="004761E0">
              <w:rPr>
                <w:color w:val="000000"/>
                <w:sz w:val="20"/>
                <w:szCs w:val="20"/>
              </w:rPr>
              <w:t>0,74 %</w:t>
            </w:r>
          </w:p>
        </w:tc>
      </w:tr>
      <w:tr w:rsidR="00644A39" w:rsidRPr="004761E0" w:rsidTr="00644A39">
        <w:trPr>
          <w:trHeight w:val="300"/>
        </w:trPr>
        <w:tc>
          <w:tcPr>
            <w:tcW w:w="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44A39" w:rsidRPr="004761E0" w:rsidRDefault="00644A39" w:rsidP="007076A7">
            <w:pPr>
              <w:pStyle w:val="a5"/>
              <w:numPr>
                <w:ilvl w:val="1"/>
                <w:numId w:val="313"/>
              </w:numPr>
              <w:jc w:val="left"/>
              <w:rPr>
                <w:rFonts w:eastAsia="Times New Roman"/>
                <w:color w:val="000000"/>
                <w:sz w:val="20"/>
                <w:szCs w:val="20"/>
                <w:lang w:eastAsia="ru-RU"/>
              </w:rPr>
            </w:pPr>
          </w:p>
        </w:tc>
        <w:tc>
          <w:tcPr>
            <w:tcW w:w="9356" w:type="dxa"/>
            <w:gridSpan w:val="5"/>
            <w:tcBorders>
              <w:top w:val="nil"/>
              <w:left w:val="nil"/>
              <w:bottom w:val="single" w:sz="4" w:space="0" w:color="auto"/>
              <w:right w:val="single" w:sz="4" w:space="0" w:color="auto"/>
            </w:tcBorders>
            <w:shd w:val="clear" w:color="auto" w:fill="D9D9D9" w:themeFill="background1" w:themeFillShade="D9"/>
            <w:vAlign w:val="center"/>
            <w:hideMark/>
          </w:tcPr>
          <w:p w:rsidR="00644A39" w:rsidRPr="004761E0" w:rsidRDefault="00644A39" w:rsidP="00644A39">
            <w:pPr>
              <w:ind w:firstLine="0"/>
              <w:jc w:val="left"/>
              <w:rPr>
                <w:color w:val="000000"/>
                <w:sz w:val="20"/>
                <w:szCs w:val="20"/>
              </w:rPr>
            </w:pPr>
            <w:r w:rsidRPr="004761E0">
              <w:rPr>
                <w:rFonts w:eastAsia="Times New Roman"/>
                <w:b/>
                <w:color w:val="000000"/>
                <w:sz w:val="20"/>
                <w:szCs w:val="20"/>
                <w:lang w:eastAsia="ru-RU"/>
              </w:rPr>
              <w:t>По уровню образования:</w:t>
            </w:r>
          </w:p>
        </w:tc>
      </w:tr>
      <w:tr w:rsidR="00644A39" w:rsidRPr="004761E0" w:rsidTr="00252B8E">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644A39" w:rsidRPr="004761E0" w:rsidRDefault="00644A39" w:rsidP="007076A7">
            <w:pPr>
              <w:pStyle w:val="a5"/>
              <w:numPr>
                <w:ilvl w:val="1"/>
                <w:numId w:val="313"/>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644A39" w:rsidRPr="004761E0" w:rsidRDefault="00644A39" w:rsidP="00252B8E">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неполное среднее</w:t>
            </w:r>
          </w:p>
        </w:tc>
        <w:tc>
          <w:tcPr>
            <w:tcW w:w="1134" w:type="dxa"/>
            <w:tcBorders>
              <w:top w:val="nil"/>
              <w:left w:val="nil"/>
              <w:bottom w:val="single" w:sz="4" w:space="0" w:color="auto"/>
              <w:right w:val="single" w:sz="4" w:space="0" w:color="auto"/>
            </w:tcBorders>
            <w:shd w:val="clear" w:color="auto" w:fill="auto"/>
            <w:vAlign w:val="bottom"/>
            <w:hideMark/>
          </w:tcPr>
          <w:p w:rsidR="00644A39" w:rsidRPr="004761E0" w:rsidRDefault="00644A39" w:rsidP="00252B8E">
            <w:pPr>
              <w:ind w:firstLine="0"/>
              <w:jc w:val="right"/>
              <w:rPr>
                <w:color w:val="000000"/>
                <w:sz w:val="20"/>
                <w:szCs w:val="20"/>
              </w:rPr>
            </w:pPr>
            <w:r w:rsidRPr="004761E0">
              <w:rPr>
                <w:color w:val="000000"/>
                <w:sz w:val="20"/>
                <w:szCs w:val="20"/>
              </w:rPr>
              <w:t>336</w:t>
            </w:r>
          </w:p>
        </w:tc>
        <w:tc>
          <w:tcPr>
            <w:tcW w:w="1134" w:type="dxa"/>
            <w:tcBorders>
              <w:top w:val="nil"/>
              <w:left w:val="nil"/>
              <w:bottom w:val="single" w:sz="4" w:space="0" w:color="auto"/>
              <w:right w:val="single" w:sz="4" w:space="0" w:color="auto"/>
            </w:tcBorders>
            <w:shd w:val="clear" w:color="auto" w:fill="auto"/>
            <w:vAlign w:val="bottom"/>
            <w:hideMark/>
          </w:tcPr>
          <w:p w:rsidR="00644A39" w:rsidRPr="004761E0" w:rsidRDefault="00644A39" w:rsidP="00252B8E">
            <w:pPr>
              <w:ind w:firstLine="0"/>
              <w:jc w:val="right"/>
              <w:rPr>
                <w:color w:val="000000"/>
                <w:sz w:val="20"/>
                <w:szCs w:val="20"/>
              </w:rPr>
            </w:pPr>
            <w:r w:rsidRPr="004761E0">
              <w:rPr>
                <w:color w:val="000000"/>
                <w:sz w:val="20"/>
                <w:szCs w:val="20"/>
              </w:rPr>
              <w:t>287</w:t>
            </w:r>
          </w:p>
        </w:tc>
        <w:tc>
          <w:tcPr>
            <w:tcW w:w="1134" w:type="dxa"/>
            <w:tcBorders>
              <w:top w:val="nil"/>
              <w:left w:val="nil"/>
              <w:bottom w:val="single" w:sz="4" w:space="0" w:color="auto"/>
              <w:right w:val="single" w:sz="4" w:space="0" w:color="auto"/>
            </w:tcBorders>
            <w:shd w:val="clear" w:color="auto" w:fill="auto"/>
            <w:vAlign w:val="bottom"/>
            <w:hideMark/>
          </w:tcPr>
          <w:p w:rsidR="00644A39" w:rsidRPr="004761E0" w:rsidRDefault="00644A39" w:rsidP="00252B8E">
            <w:pPr>
              <w:ind w:firstLine="0"/>
              <w:jc w:val="right"/>
              <w:rPr>
                <w:color w:val="000000"/>
                <w:sz w:val="20"/>
                <w:szCs w:val="20"/>
              </w:rPr>
            </w:pPr>
            <w:r w:rsidRPr="004761E0">
              <w:rPr>
                <w:color w:val="000000"/>
                <w:sz w:val="20"/>
                <w:szCs w:val="20"/>
              </w:rPr>
              <w:t>296</w:t>
            </w:r>
          </w:p>
        </w:tc>
        <w:tc>
          <w:tcPr>
            <w:tcW w:w="1134" w:type="dxa"/>
            <w:tcBorders>
              <w:top w:val="nil"/>
              <w:left w:val="nil"/>
              <w:bottom w:val="single" w:sz="4" w:space="0" w:color="auto"/>
              <w:right w:val="single" w:sz="4" w:space="0" w:color="auto"/>
            </w:tcBorders>
            <w:shd w:val="clear" w:color="auto" w:fill="auto"/>
            <w:vAlign w:val="bottom"/>
            <w:hideMark/>
          </w:tcPr>
          <w:p w:rsidR="00644A39" w:rsidRPr="004761E0" w:rsidRDefault="00644A39" w:rsidP="00252B8E">
            <w:pPr>
              <w:ind w:firstLine="0"/>
              <w:jc w:val="right"/>
              <w:rPr>
                <w:color w:val="000000"/>
                <w:sz w:val="20"/>
                <w:szCs w:val="20"/>
              </w:rPr>
            </w:pPr>
            <w:r w:rsidRPr="004761E0">
              <w:rPr>
                <w:color w:val="000000"/>
                <w:sz w:val="20"/>
                <w:szCs w:val="20"/>
              </w:rPr>
              <w:t>3,14 %</w:t>
            </w:r>
          </w:p>
        </w:tc>
      </w:tr>
      <w:tr w:rsidR="00644A39" w:rsidRPr="004761E0" w:rsidTr="00252B8E">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644A39" w:rsidRPr="004761E0" w:rsidRDefault="00644A39" w:rsidP="007076A7">
            <w:pPr>
              <w:pStyle w:val="a5"/>
              <w:numPr>
                <w:ilvl w:val="1"/>
                <w:numId w:val="313"/>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644A39" w:rsidRPr="004761E0" w:rsidRDefault="00644A39" w:rsidP="00252B8E">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среднее</w:t>
            </w:r>
          </w:p>
        </w:tc>
        <w:tc>
          <w:tcPr>
            <w:tcW w:w="1134" w:type="dxa"/>
            <w:tcBorders>
              <w:top w:val="nil"/>
              <w:left w:val="nil"/>
              <w:bottom w:val="single" w:sz="4" w:space="0" w:color="auto"/>
              <w:right w:val="single" w:sz="4" w:space="0" w:color="auto"/>
            </w:tcBorders>
            <w:shd w:val="clear" w:color="auto" w:fill="auto"/>
            <w:vAlign w:val="bottom"/>
            <w:hideMark/>
          </w:tcPr>
          <w:p w:rsidR="00644A39" w:rsidRPr="004761E0" w:rsidRDefault="00644A39" w:rsidP="00252B8E">
            <w:pPr>
              <w:ind w:firstLine="0"/>
              <w:jc w:val="right"/>
              <w:rPr>
                <w:color w:val="000000"/>
                <w:sz w:val="20"/>
                <w:szCs w:val="20"/>
              </w:rPr>
            </w:pPr>
            <w:r w:rsidRPr="004761E0">
              <w:rPr>
                <w:color w:val="000000"/>
                <w:sz w:val="20"/>
                <w:szCs w:val="20"/>
              </w:rPr>
              <w:t>5 224</w:t>
            </w:r>
          </w:p>
        </w:tc>
        <w:tc>
          <w:tcPr>
            <w:tcW w:w="1134" w:type="dxa"/>
            <w:tcBorders>
              <w:top w:val="nil"/>
              <w:left w:val="nil"/>
              <w:bottom w:val="single" w:sz="4" w:space="0" w:color="auto"/>
              <w:right w:val="single" w:sz="4" w:space="0" w:color="auto"/>
            </w:tcBorders>
            <w:shd w:val="clear" w:color="auto" w:fill="auto"/>
            <w:vAlign w:val="bottom"/>
            <w:hideMark/>
          </w:tcPr>
          <w:p w:rsidR="00644A39" w:rsidRPr="004761E0" w:rsidRDefault="00644A39" w:rsidP="00252B8E">
            <w:pPr>
              <w:ind w:firstLine="0"/>
              <w:jc w:val="right"/>
              <w:rPr>
                <w:color w:val="000000"/>
                <w:sz w:val="20"/>
                <w:szCs w:val="20"/>
              </w:rPr>
            </w:pPr>
            <w:r w:rsidRPr="004761E0">
              <w:rPr>
                <w:color w:val="000000"/>
                <w:sz w:val="20"/>
                <w:szCs w:val="20"/>
              </w:rPr>
              <w:t>5 178</w:t>
            </w:r>
          </w:p>
        </w:tc>
        <w:tc>
          <w:tcPr>
            <w:tcW w:w="1134" w:type="dxa"/>
            <w:tcBorders>
              <w:top w:val="nil"/>
              <w:left w:val="nil"/>
              <w:bottom w:val="single" w:sz="4" w:space="0" w:color="auto"/>
              <w:right w:val="single" w:sz="4" w:space="0" w:color="auto"/>
            </w:tcBorders>
            <w:shd w:val="clear" w:color="auto" w:fill="auto"/>
            <w:vAlign w:val="bottom"/>
            <w:hideMark/>
          </w:tcPr>
          <w:p w:rsidR="00644A39" w:rsidRPr="004761E0" w:rsidRDefault="00644A39" w:rsidP="00252B8E">
            <w:pPr>
              <w:ind w:firstLine="0"/>
              <w:jc w:val="right"/>
              <w:rPr>
                <w:color w:val="000000"/>
                <w:sz w:val="20"/>
                <w:szCs w:val="20"/>
              </w:rPr>
            </w:pPr>
            <w:r w:rsidRPr="004761E0">
              <w:rPr>
                <w:color w:val="000000"/>
                <w:sz w:val="20"/>
                <w:szCs w:val="20"/>
              </w:rPr>
              <w:t>5 026</w:t>
            </w:r>
          </w:p>
        </w:tc>
        <w:tc>
          <w:tcPr>
            <w:tcW w:w="1134" w:type="dxa"/>
            <w:tcBorders>
              <w:top w:val="nil"/>
              <w:left w:val="nil"/>
              <w:bottom w:val="single" w:sz="4" w:space="0" w:color="auto"/>
              <w:right w:val="single" w:sz="4" w:space="0" w:color="auto"/>
            </w:tcBorders>
            <w:shd w:val="clear" w:color="auto" w:fill="auto"/>
            <w:vAlign w:val="bottom"/>
            <w:hideMark/>
          </w:tcPr>
          <w:p w:rsidR="00644A39" w:rsidRPr="004761E0" w:rsidRDefault="00644A39" w:rsidP="00252B8E">
            <w:pPr>
              <w:ind w:firstLine="0"/>
              <w:jc w:val="right"/>
              <w:rPr>
                <w:color w:val="000000"/>
                <w:sz w:val="20"/>
                <w:szCs w:val="20"/>
              </w:rPr>
            </w:pPr>
            <w:r w:rsidRPr="004761E0">
              <w:rPr>
                <w:color w:val="000000"/>
                <w:sz w:val="20"/>
                <w:szCs w:val="20"/>
              </w:rPr>
              <w:t>-2,94 %</w:t>
            </w:r>
          </w:p>
        </w:tc>
      </w:tr>
      <w:tr w:rsidR="00644A39" w:rsidRPr="004761E0" w:rsidTr="00252B8E">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644A39" w:rsidRPr="004761E0" w:rsidRDefault="00644A39" w:rsidP="007076A7">
            <w:pPr>
              <w:pStyle w:val="a5"/>
              <w:numPr>
                <w:ilvl w:val="1"/>
                <w:numId w:val="313"/>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644A39" w:rsidRPr="004761E0" w:rsidRDefault="00644A39" w:rsidP="00252B8E">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среднее специальное</w:t>
            </w:r>
          </w:p>
        </w:tc>
        <w:tc>
          <w:tcPr>
            <w:tcW w:w="1134" w:type="dxa"/>
            <w:tcBorders>
              <w:top w:val="nil"/>
              <w:left w:val="nil"/>
              <w:bottom w:val="single" w:sz="4" w:space="0" w:color="auto"/>
              <w:right w:val="single" w:sz="4" w:space="0" w:color="auto"/>
            </w:tcBorders>
            <w:shd w:val="clear" w:color="auto" w:fill="auto"/>
            <w:vAlign w:val="bottom"/>
            <w:hideMark/>
          </w:tcPr>
          <w:p w:rsidR="00644A39" w:rsidRPr="004761E0" w:rsidRDefault="00644A39" w:rsidP="00252B8E">
            <w:pPr>
              <w:ind w:firstLine="0"/>
              <w:jc w:val="right"/>
              <w:rPr>
                <w:color w:val="000000"/>
                <w:sz w:val="20"/>
                <w:szCs w:val="20"/>
              </w:rPr>
            </w:pPr>
            <w:r w:rsidRPr="004761E0">
              <w:rPr>
                <w:color w:val="000000"/>
                <w:sz w:val="20"/>
                <w:szCs w:val="20"/>
              </w:rPr>
              <w:t>3 680</w:t>
            </w:r>
          </w:p>
        </w:tc>
        <w:tc>
          <w:tcPr>
            <w:tcW w:w="1134" w:type="dxa"/>
            <w:tcBorders>
              <w:top w:val="nil"/>
              <w:left w:val="nil"/>
              <w:bottom w:val="single" w:sz="4" w:space="0" w:color="auto"/>
              <w:right w:val="single" w:sz="4" w:space="0" w:color="auto"/>
            </w:tcBorders>
            <w:shd w:val="clear" w:color="auto" w:fill="auto"/>
            <w:vAlign w:val="bottom"/>
            <w:hideMark/>
          </w:tcPr>
          <w:p w:rsidR="00644A39" w:rsidRPr="004761E0" w:rsidRDefault="00644A39" w:rsidP="00252B8E">
            <w:pPr>
              <w:ind w:firstLine="0"/>
              <w:jc w:val="right"/>
              <w:rPr>
                <w:color w:val="000000"/>
                <w:sz w:val="20"/>
                <w:szCs w:val="20"/>
              </w:rPr>
            </w:pPr>
            <w:r w:rsidRPr="004761E0">
              <w:rPr>
                <w:color w:val="000000"/>
                <w:sz w:val="20"/>
                <w:szCs w:val="20"/>
              </w:rPr>
              <w:t>3 406</w:t>
            </w:r>
          </w:p>
        </w:tc>
        <w:tc>
          <w:tcPr>
            <w:tcW w:w="1134" w:type="dxa"/>
            <w:tcBorders>
              <w:top w:val="nil"/>
              <w:left w:val="nil"/>
              <w:bottom w:val="single" w:sz="4" w:space="0" w:color="auto"/>
              <w:right w:val="single" w:sz="4" w:space="0" w:color="auto"/>
            </w:tcBorders>
            <w:shd w:val="clear" w:color="auto" w:fill="auto"/>
            <w:vAlign w:val="bottom"/>
            <w:hideMark/>
          </w:tcPr>
          <w:p w:rsidR="00644A39" w:rsidRPr="004761E0" w:rsidRDefault="00644A39" w:rsidP="00252B8E">
            <w:pPr>
              <w:ind w:firstLine="0"/>
              <w:jc w:val="right"/>
              <w:rPr>
                <w:color w:val="000000"/>
                <w:sz w:val="20"/>
                <w:szCs w:val="20"/>
              </w:rPr>
            </w:pPr>
            <w:r w:rsidRPr="004761E0">
              <w:rPr>
                <w:color w:val="000000"/>
                <w:sz w:val="20"/>
                <w:szCs w:val="20"/>
              </w:rPr>
              <w:t>3 259</w:t>
            </w:r>
          </w:p>
        </w:tc>
        <w:tc>
          <w:tcPr>
            <w:tcW w:w="1134" w:type="dxa"/>
            <w:tcBorders>
              <w:top w:val="nil"/>
              <w:left w:val="nil"/>
              <w:bottom w:val="single" w:sz="4" w:space="0" w:color="auto"/>
              <w:right w:val="single" w:sz="4" w:space="0" w:color="auto"/>
            </w:tcBorders>
            <w:shd w:val="clear" w:color="auto" w:fill="auto"/>
            <w:vAlign w:val="bottom"/>
            <w:hideMark/>
          </w:tcPr>
          <w:p w:rsidR="00644A39" w:rsidRPr="004761E0" w:rsidRDefault="00644A39" w:rsidP="00252B8E">
            <w:pPr>
              <w:ind w:firstLine="0"/>
              <w:jc w:val="right"/>
              <w:rPr>
                <w:color w:val="000000"/>
                <w:sz w:val="20"/>
                <w:szCs w:val="20"/>
              </w:rPr>
            </w:pPr>
            <w:r w:rsidRPr="004761E0">
              <w:rPr>
                <w:color w:val="000000"/>
                <w:sz w:val="20"/>
                <w:szCs w:val="20"/>
              </w:rPr>
              <w:t>-4,32 %</w:t>
            </w:r>
          </w:p>
        </w:tc>
      </w:tr>
      <w:tr w:rsidR="00644A39" w:rsidRPr="004761E0" w:rsidTr="00252B8E">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644A39" w:rsidRPr="004761E0" w:rsidRDefault="00644A39" w:rsidP="007076A7">
            <w:pPr>
              <w:pStyle w:val="a5"/>
              <w:numPr>
                <w:ilvl w:val="1"/>
                <w:numId w:val="313"/>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644A39" w:rsidRPr="004761E0" w:rsidRDefault="00644A39" w:rsidP="00252B8E">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высшее</w:t>
            </w:r>
          </w:p>
        </w:tc>
        <w:tc>
          <w:tcPr>
            <w:tcW w:w="1134" w:type="dxa"/>
            <w:tcBorders>
              <w:top w:val="nil"/>
              <w:left w:val="nil"/>
              <w:bottom w:val="single" w:sz="4" w:space="0" w:color="auto"/>
              <w:right w:val="single" w:sz="4" w:space="0" w:color="auto"/>
            </w:tcBorders>
            <w:shd w:val="clear" w:color="auto" w:fill="auto"/>
            <w:vAlign w:val="bottom"/>
            <w:hideMark/>
          </w:tcPr>
          <w:p w:rsidR="00644A39" w:rsidRPr="004761E0" w:rsidRDefault="00644A39" w:rsidP="00252B8E">
            <w:pPr>
              <w:ind w:firstLine="0"/>
              <w:jc w:val="right"/>
              <w:rPr>
                <w:color w:val="000000"/>
                <w:sz w:val="20"/>
                <w:szCs w:val="20"/>
              </w:rPr>
            </w:pPr>
            <w:r w:rsidRPr="004761E0">
              <w:rPr>
                <w:color w:val="000000"/>
                <w:sz w:val="20"/>
                <w:szCs w:val="20"/>
              </w:rPr>
              <w:t>5 541</w:t>
            </w:r>
          </w:p>
        </w:tc>
        <w:tc>
          <w:tcPr>
            <w:tcW w:w="1134" w:type="dxa"/>
            <w:tcBorders>
              <w:top w:val="nil"/>
              <w:left w:val="nil"/>
              <w:bottom w:val="single" w:sz="4" w:space="0" w:color="auto"/>
              <w:right w:val="single" w:sz="4" w:space="0" w:color="auto"/>
            </w:tcBorders>
            <w:shd w:val="clear" w:color="auto" w:fill="auto"/>
            <w:vAlign w:val="bottom"/>
            <w:hideMark/>
          </w:tcPr>
          <w:p w:rsidR="00644A39" w:rsidRPr="004761E0" w:rsidRDefault="00644A39" w:rsidP="00252B8E">
            <w:pPr>
              <w:ind w:firstLine="0"/>
              <w:jc w:val="right"/>
              <w:rPr>
                <w:color w:val="000000"/>
                <w:sz w:val="20"/>
                <w:szCs w:val="20"/>
              </w:rPr>
            </w:pPr>
            <w:r w:rsidRPr="004761E0">
              <w:rPr>
                <w:color w:val="000000"/>
                <w:sz w:val="20"/>
                <w:szCs w:val="20"/>
              </w:rPr>
              <w:t>5 775</w:t>
            </w:r>
          </w:p>
        </w:tc>
        <w:tc>
          <w:tcPr>
            <w:tcW w:w="1134" w:type="dxa"/>
            <w:tcBorders>
              <w:top w:val="nil"/>
              <w:left w:val="nil"/>
              <w:bottom w:val="single" w:sz="4" w:space="0" w:color="auto"/>
              <w:right w:val="single" w:sz="4" w:space="0" w:color="auto"/>
            </w:tcBorders>
            <w:shd w:val="clear" w:color="auto" w:fill="auto"/>
            <w:vAlign w:val="bottom"/>
            <w:hideMark/>
          </w:tcPr>
          <w:p w:rsidR="00644A39" w:rsidRPr="004761E0" w:rsidRDefault="00644A39" w:rsidP="00252B8E">
            <w:pPr>
              <w:ind w:firstLine="0"/>
              <w:jc w:val="right"/>
              <w:rPr>
                <w:color w:val="000000"/>
                <w:sz w:val="20"/>
                <w:szCs w:val="20"/>
              </w:rPr>
            </w:pPr>
            <w:r w:rsidRPr="004761E0">
              <w:rPr>
                <w:color w:val="000000"/>
                <w:sz w:val="20"/>
                <w:szCs w:val="20"/>
              </w:rPr>
              <w:t>6 562</w:t>
            </w:r>
          </w:p>
        </w:tc>
        <w:tc>
          <w:tcPr>
            <w:tcW w:w="1134" w:type="dxa"/>
            <w:tcBorders>
              <w:top w:val="nil"/>
              <w:left w:val="nil"/>
              <w:bottom w:val="single" w:sz="4" w:space="0" w:color="auto"/>
              <w:right w:val="single" w:sz="4" w:space="0" w:color="auto"/>
            </w:tcBorders>
            <w:shd w:val="clear" w:color="auto" w:fill="auto"/>
            <w:vAlign w:val="bottom"/>
            <w:hideMark/>
          </w:tcPr>
          <w:p w:rsidR="00644A39" w:rsidRPr="004761E0" w:rsidRDefault="00644A39" w:rsidP="00252B8E">
            <w:pPr>
              <w:ind w:firstLine="0"/>
              <w:jc w:val="right"/>
              <w:rPr>
                <w:color w:val="000000"/>
                <w:sz w:val="20"/>
                <w:szCs w:val="20"/>
              </w:rPr>
            </w:pPr>
            <w:r w:rsidRPr="004761E0">
              <w:rPr>
                <w:color w:val="000000"/>
                <w:sz w:val="20"/>
                <w:szCs w:val="20"/>
              </w:rPr>
              <w:t>13,63 %</w:t>
            </w:r>
          </w:p>
        </w:tc>
      </w:tr>
      <w:tr w:rsidR="00644A39" w:rsidRPr="004761E0" w:rsidTr="00252B8E">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644A39" w:rsidRPr="004761E0" w:rsidRDefault="00644A39" w:rsidP="007076A7">
            <w:pPr>
              <w:pStyle w:val="a5"/>
              <w:numPr>
                <w:ilvl w:val="1"/>
                <w:numId w:val="313"/>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644A39" w:rsidRPr="004761E0" w:rsidRDefault="00644A39" w:rsidP="00252B8E">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высшее по 2-м и более специальностям</w:t>
            </w:r>
          </w:p>
        </w:tc>
        <w:tc>
          <w:tcPr>
            <w:tcW w:w="1134" w:type="dxa"/>
            <w:tcBorders>
              <w:top w:val="nil"/>
              <w:left w:val="nil"/>
              <w:bottom w:val="single" w:sz="4" w:space="0" w:color="auto"/>
              <w:right w:val="single" w:sz="4" w:space="0" w:color="auto"/>
            </w:tcBorders>
            <w:shd w:val="clear" w:color="auto" w:fill="auto"/>
            <w:vAlign w:val="bottom"/>
            <w:hideMark/>
          </w:tcPr>
          <w:p w:rsidR="00644A39" w:rsidRPr="004761E0" w:rsidRDefault="00644A39" w:rsidP="00252B8E">
            <w:pPr>
              <w:ind w:firstLine="0"/>
              <w:jc w:val="right"/>
              <w:rPr>
                <w:color w:val="000000"/>
                <w:sz w:val="20"/>
                <w:szCs w:val="20"/>
              </w:rPr>
            </w:pPr>
            <w:r w:rsidRPr="004761E0">
              <w:rPr>
                <w:color w:val="000000"/>
                <w:sz w:val="20"/>
                <w:szCs w:val="20"/>
              </w:rPr>
              <w:t>782</w:t>
            </w:r>
          </w:p>
        </w:tc>
        <w:tc>
          <w:tcPr>
            <w:tcW w:w="1134" w:type="dxa"/>
            <w:tcBorders>
              <w:top w:val="nil"/>
              <w:left w:val="nil"/>
              <w:bottom w:val="single" w:sz="4" w:space="0" w:color="auto"/>
              <w:right w:val="single" w:sz="4" w:space="0" w:color="auto"/>
            </w:tcBorders>
            <w:shd w:val="clear" w:color="auto" w:fill="auto"/>
            <w:vAlign w:val="bottom"/>
            <w:hideMark/>
          </w:tcPr>
          <w:p w:rsidR="00644A39" w:rsidRPr="004761E0" w:rsidRDefault="00644A39" w:rsidP="00252B8E">
            <w:pPr>
              <w:ind w:firstLine="0"/>
              <w:jc w:val="right"/>
              <w:rPr>
                <w:color w:val="000000"/>
                <w:sz w:val="20"/>
                <w:szCs w:val="20"/>
              </w:rPr>
            </w:pPr>
            <w:r w:rsidRPr="004761E0">
              <w:rPr>
                <w:color w:val="000000"/>
                <w:sz w:val="20"/>
                <w:szCs w:val="20"/>
              </w:rPr>
              <w:t>816</w:t>
            </w:r>
          </w:p>
        </w:tc>
        <w:tc>
          <w:tcPr>
            <w:tcW w:w="1134" w:type="dxa"/>
            <w:tcBorders>
              <w:top w:val="nil"/>
              <w:left w:val="nil"/>
              <w:bottom w:val="single" w:sz="4" w:space="0" w:color="auto"/>
              <w:right w:val="single" w:sz="4" w:space="0" w:color="auto"/>
            </w:tcBorders>
            <w:shd w:val="clear" w:color="auto" w:fill="auto"/>
            <w:vAlign w:val="bottom"/>
            <w:hideMark/>
          </w:tcPr>
          <w:p w:rsidR="00644A39" w:rsidRPr="004761E0" w:rsidRDefault="00644A39" w:rsidP="00252B8E">
            <w:pPr>
              <w:ind w:firstLine="0"/>
              <w:jc w:val="right"/>
              <w:rPr>
                <w:color w:val="000000"/>
                <w:sz w:val="20"/>
                <w:szCs w:val="20"/>
              </w:rPr>
            </w:pPr>
            <w:r w:rsidRPr="004761E0">
              <w:rPr>
                <w:color w:val="000000"/>
                <w:sz w:val="20"/>
                <w:szCs w:val="20"/>
              </w:rPr>
              <w:t>434</w:t>
            </w:r>
          </w:p>
        </w:tc>
        <w:tc>
          <w:tcPr>
            <w:tcW w:w="1134" w:type="dxa"/>
            <w:tcBorders>
              <w:top w:val="nil"/>
              <w:left w:val="nil"/>
              <w:bottom w:val="single" w:sz="4" w:space="0" w:color="auto"/>
              <w:right w:val="single" w:sz="4" w:space="0" w:color="auto"/>
            </w:tcBorders>
            <w:shd w:val="clear" w:color="auto" w:fill="auto"/>
            <w:vAlign w:val="bottom"/>
            <w:hideMark/>
          </w:tcPr>
          <w:p w:rsidR="00644A39" w:rsidRPr="004761E0" w:rsidRDefault="00644A39" w:rsidP="00252B8E">
            <w:pPr>
              <w:ind w:firstLine="0"/>
              <w:jc w:val="right"/>
              <w:rPr>
                <w:color w:val="000000"/>
                <w:sz w:val="20"/>
                <w:szCs w:val="20"/>
              </w:rPr>
            </w:pPr>
            <w:r w:rsidRPr="004761E0">
              <w:rPr>
                <w:color w:val="000000"/>
                <w:sz w:val="20"/>
                <w:szCs w:val="20"/>
              </w:rPr>
              <w:t>-46,81 %</w:t>
            </w:r>
          </w:p>
        </w:tc>
      </w:tr>
      <w:tr w:rsidR="00644A39" w:rsidRPr="004761E0" w:rsidTr="00252B8E">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644A39" w:rsidRPr="004761E0" w:rsidRDefault="00644A39" w:rsidP="007076A7">
            <w:pPr>
              <w:pStyle w:val="a5"/>
              <w:numPr>
                <w:ilvl w:val="1"/>
                <w:numId w:val="313"/>
              </w:numPr>
              <w:jc w:val="left"/>
              <w:rPr>
                <w:rFonts w:eastAsia="Times New Roman"/>
                <w:color w:val="000000"/>
                <w:sz w:val="20"/>
                <w:szCs w:val="20"/>
                <w:lang w:eastAsia="ru-RU"/>
              </w:rPr>
            </w:pPr>
          </w:p>
        </w:tc>
        <w:tc>
          <w:tcPr>
            <w:tcW w:w="4820" w:type="dxa"/>
            <w:tcBorders>
              <w:top w:val="nil"/>
              <w:left w:val="nil"/>
              <w:bottom w:val="single" w:sz="4" w:space="0" w:color="auto"/>
              <w:right w:val="single" w:sz="4" w:space="0" w:color="auto"/>
            </w:tcBorders>
            <w:shd w:val="clear" w:color="auto" w:fill="auto"/>
            <w:vAlign w:val="center"/>
            <w:hideMark/>
          </w:tcPr>
          <w:p w:rsidR="00644A39" w:rsidRPr="004761E0" w:rsidRDefault="00644A39" w:rsidP="00252B8E">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ученая степень</w:t>
            </w:r>
          </w:p>
        </w:tc>
        <w:tc>
          <w:tcPr>
            <w:tcW w:w="1134" w:type="dxa"/>
            <w:tcBorders>
              <w:top w:val="nil"/>
              <w:left w:val="nil"/>
              <w:bottom w:val="single" w:sz="4" w:space="0" w:color="auto"/>
              <w:right w:val="single" w:sz="4" w:space="0" w:color="auto"/>
            </w:tcBorders>
            <w:shd w:val="clear" w:color="auto" w:fill="auto"/>
            <w:vAlign w:val="bottom"/>
            <w:hideMark/>
          </w:tcPr>
          <w:p w:rsidR="00644A39" w:rsidRPr="004761E0" w:rsidRDefault="00644A39" w:rsidP="00252B8E">
            <w:pPr>
              <w:ind w:firstLine="0"/>
              <w:jc w:val="right"/>
              <w:rPr>
                <w:color w:val="000000"/>
                <w:sz w:val="20"/>
                <w:szCs w:val="20"/>
              </w:rPr>
            </w:pPr>
            <w:r w:rsidRPr="004761E0">
              <w:rPr>
                <w:color w:val="000000"/>
                <w:sz w:val="20"/>
                <w:szCs w:val="20"/>
              </w:rPr>
              <w:t>32</w:t>
            </w:r>
          </w:p>
        </w:tc>
        <w:tc>
          <w:tcPr>
            <w:tcW w:w="1134" w:type="dxa"/>
            <w:tcBorders>
              <w:top w:val="nil"/>
              <w:left w:val="nil"/>
              <w:bottom w:val="single" w:sz="4" w:space="0" w:color="auto"/>
              <w:right w:val="single" w:sz="4" w:space="0" w:color="auto"/>
            </w:tcBorders>
            <w:shd w:val="clear" w:color="auto" w:fill="auto"/>
            <w:vAlign w:val="bottom"/>
            <w:hideMark/>
          </w:tcPr>
          <w:p w:rsidR="00644A39" w:rsidRPr="004761E0" w:rsidRDefault="00644A39" w:rsidP="00252B8E">
            <w:pPr>
              <w:ind w:firstLine="0"/>
              <w:jc w:val="right"/>
              <w:rPr>
                <w:color w:val="000000"/>
                <w:sz w:val="20"/>
                <w:szCs w:val="20"/>
              </w:rPr>
            </w:pPr>
            <w:r w:rsidRPr="004761E0">
              <w:rPr>
                <w:color w:val="000000"/>
                <w:sz w:val="20"/>
                <w:szCs w:val="20"/>
              </w:rPr>
              <w:t>30</w:t>
            </w:r>
          </w:p>
        </w:tc>
        <w:tc>
          <w:tcPr>
            <w:tcW w:w="1134" w:type="dxa"/>
            <w:tcBorders>
              <w:top w:val="nil"/>
              <w:left w:val="nil"/>
              <w:bottom w:val="single" w:sz="4" w:space="0" w:color="auto"/>
              <w:right w:val="single" w:sz="4" w:space="0" w:color="auto"/>
            </w:tcBorders>
            <w:shd w:val="clear" w:color="auto" w:fill="auto"/>
            <w:vAlign w:val="bottom"/>
            <w:hideMark/>
          </w:tcPr>
          <w:p w:rsidR="00644A39" w:rsidRPr="004761E0" w:rsidRDefault="00644A39" w:rsidP="00252B8E">
            <w:pPr>
              <w:ind w:firstLine="0"/>
              <w:jc w:val="right"/>
              <w:rPr>
                <w:color w:val="000000"/>
                <w:sz w:val="20"/>
                <w:szCs w:val="20"/>
              </w:rPr>
            </w:pPr>
            <w:r w:rsidRPr="004761E0">
              <w:rPr>
                <w:color w:val="000000"/>
                <w:sz w:val="20"/>
                <w:szCs w:val="20"/>
              </w:rPr>
              <w:t>29</w:t>
            </w:r>
          </w:p>
        </w:tc>
        <w:tc>
          <w:tcPr>
            <w:tcW w:w="1134" w:type="dxa"/>
            <w:tcBorders>
              <w:top w:val="nil"/>
              <w:left w:val="nil"/>
              <w:bottom w:val="single" w:sz="4" w:space="0" w:color="auto"/>
              <w:right w:val="single" w:sz="4" w:space="0" w:color="auto"/>
            </w:tcBorders>
            <w:shd w:val="clear" w:color="auto" w:fill="auto"/>
            <w:vAlign w:val="bottom"/>
            <w:hideMark/>
          </w:tcPr>
          <w:p w:rsidR="00644A39" w:rsidRPr="004761E0" w:rsidRDefault="00644A39" w:rsidP="00252B8E">
            <w:pPr>
              <w:ind w:firstLine="0"/>
              <w:jc w:val="right"/>
              <w:rPr>
                <w:color w:val="000000"/>
                <w:sz w:val="20"/>
                <w:szCs w:val="20"/>
              </w:rPr>
            </w:pPr>
            <w:r w:rsidRPr="004761E0">
              <w:rPr>
                <w:color w:val="000000"/>
                <w:sz w:val="20"/>
                <w:szCs w:val="20"/>
              </w:rPr>
              <w:t>-3,33 %</w:t>
            </w:r>
          </w:p>
        </w:tc>
      </w:tr>
    </w:tbl>
    <w:p w:rsidR="00252B8E" w:rsidRDefault="00252B8E" w:rsidP="00252B8E">
      <w:pPr>
        <w:pStyle w:val="ac"/>
        <w:ind w:firstLine="0"/>
        <w:rPr>
          <w:sz w:val="26"/>
          <w:szCs w:val="26"/>
        </w:rPr>
      </w:pPr>
      <w:r w:rsidRPr="004761E0">
        <w:rPr>
          <w:noProof/>
          <w:sz w:val="26"/>
          <w:szCs w:val="26"/>
          <w:lang w:eastAsia="ru-RU"/>
        </w:rPr>
        <w:drawing>
          <wp:inline distT="0" distB="0" distL="0" distR="0">
            <wp:extent cx="4880754" cy="2734574"/>
            <wp:effectExtent l="19050" t="0" r="15096" b="8626"/>
            <wp:docPr id="17"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644A39" w:rsidRPr="004761E0" w:rsidRDefault="00644A39" w:rsidP="00644A39">
      <w:pPr>
        <w:pStyle w:val="ac"/>
        <w:ind w:firstLine="567"/>
        <w:rPr>
          <w:sz w:val="26"/>
          <w:szCs w:val="26"/>
        </w:rPr>
      </w:pPr>
      <w:r>
        <w:rPr>
          <w:sz w:val="26"/>
          <w:szCs w:val="26"/>
        </w:rPr>
        <w:t xml:space="preserve">Уровень образования работников соответствует потребностям Общества. Улучшение квалификационных характеристик персонала обеспечивается как поиском и приемом на работу высококвалифицированных работников, так и действующей в Обществе </w:t>
      </w:r>
      <w:r w:rsidR="001E3BC4">
        <w:rPr>
          <w:sz w:val="26"/>
          <w:szCs w:val="26"/>
        </w:rPr>
        <w:t>системой подготовки, переподготовки и повышения квалификации персонала.</w:t>
      </w:r>
    </w:p>
    <w:p w:rsidR="001E3BC4" w:rsidRPr="004761E0" w:rsidRDefault="001E3BC4" w:rsidP="001E3BC4">
      <w:pPr>
        <w:spacing w:before="120" w:after="120"/>
        <w:ind w:firstLine="567"/>
        <w:rPr>
          <w:b/>
          <w:sz w:val="26"/>
          <w:szCs w:val="26"/>
        </w:rPr>
      </w:pPr>
      <w:r w:rsidRPr="004761E0">
        <w:rPr>
          <w:b/>
          <w:sz w:val="26"/>
          <w:szCs w:val="26"/>
        </w:rPr>
        <w:t>Сведения о подготовке, переподготовке и повышении квалификации персонала</w:t>
      </w:r>
    </w:p>
    <w:p w:rsidR="001E3BC4" w:rsidRPr="004761E0" w:rsidRDefault="001E3BC4" w:rsidP="001E3BC4">
      <w:pPr>
        <w:pStyle w:val="ac"/>
        <w:ind w:firstLine="567"/>
        <w:rPr>
          <w:sz w:val="26"/>
          <w:szCs w:val="26"/>
        </w:rPr>
      </w:pPr>
      <w:r w:rsidRPr="004761E0">
        <w:rPr>
          <w:sz w:val="26"/>
          <w:szCs w:val="26"/>
        </w:rPr>
        <w:t>Всего за отчетный период для работников Общества по программам профессиональной подготовки, переподготовки и повышения квалификации организовано 19 545 обучений, из них 10 </w:t>
      </w:r>
      <w:r>
        <w:rPr>
          <w:sz w:val="26"/>
          <w:szCs w:val="26"/>
        </w:rPr>
        <w:t>900</w:t>
      </w:r>
      <w:r w:rsidRPr="004761E0">
        <w:rPr>
          <w:sz w:val="26"/>
          <w:szCs w:val="26"/>
        </w:rPr>
        <w:t xml:space="preserve"> с отрывом от производства.</w:t>
      </w:r>
    </w:p>
    <w:tbl>
      <w:tblPr>
        <w:tblW w:w="9936" w:type="dxa"/>
        <w:tblInd w:w="91" w:type="dxa"/>
        <w:tblLook w:val="04A0"/>
      </w:tblPr>
      <w:tblGrid>
        <w:gridCol w:w="503"/>
        <w:gridCol w:w="4897"/>
        <w:gridCol w:w="1134"/>
        <w:gridCol w:w="1134"/>
        <w:gridCol w:w="1134"/>
        <w:gridCol w:w="1134"/>
      </w:tblGrid>
      <w:tr w:rsidR="001E3BC4" w:rsidRPr="004761E0" w:rsidTr="001E3BC4">
        <w:trPr>
          <w:trHeight w:val="300"/>
        </w:trPr>
        <w:tc>
          <w:tcPr>
            <w:tcW w:w="503" w:type="dxa"/>
            <w:tcBorders>
              <w:top w:val="single" w:sz="4" w:space="0" w:color="auto"/>
              <w:left w:val="single" w:sz="4" w:space="0" w:color="auto"/>
              <w:bottom w:val="single" w:sz="4" w:space="0" w:color="auto"/>
              <w:right w:val="single" w:sz="4" w:space="0" w:color="FFFFFF"/>
            </w:tcBorders>
            <w:shd w:val="clear" w:color="auto" w:fill="0F243E"/>
            <w:vAlign w:val="center"/>
            <w:hideMark/>
          </w:tcPr>
          <w:p w:rsidR="001E3BC4" w:rsidRPr="004761E0" w:rsidRDefault="001E3BC4" w:rsidP="001E3BC4">
            <w:pPr>
              <w:ind w:firstLine="0"/>
              <w:jc w:val="left"/>
              <w:rPr>
                <w:rFonts w:eastAsia="Times New Roman"/>
                <w:b/>
                <w:color w:val="FFFFFF"/>
                <w:sz w:val="20"/>
                <w:szCs w:val="20"/>
                <w:lang w:eastAsia="ru-RU"/>
              </w:rPr>
            </w:pPr>
            <w:r w:rsidRPr="004761E0">
              <w:rPr>
                <w:rFonts w:eastAsia="Times New Roman"/>
                <w:b/>
                <w:color w:val="FFFFFF"/>
                <w:sz w:val="20"/>
                <w:szCs w:val="20"/>
                <w:lang w:eastAsia="ru-RU"/>
              </w:rPr>
              <w:t>№ п/п</w:t>
            </w:r>
          </w:p>
        </w:tc>
        <w:tc>
          <w:tcPr>
            <w:tcW w:w="4897" w:type="dxa"/>
            <w:tcBorders>
              <w:top w:val="single" w:sz="4" w:space="0" w:color="auto"/>
              <w:left w:val="single" w:sz="4" w:space="0" w:color="FFFFFF"/>
              <w:bottom w:val="single" w:sz="4" w:space="0" w:color="auto"/>
              <w:right w:val="single" w:sz="4" w:space="0" w:color="FFFFFF"/>
            </w:tcBorders>
            <w:shd w:val="clear" w:color="auto" w:fill="0F243E"/>
            <w:vAlign w:val="center"/>
            <w:hideMark/>
          </w:tcPr>
          <w:p w:rsidR="001E3BC4" w:rsidRPr="004761E0" w:rsidRDefault="001E3BC4" w:rsidP="001E3BC4">
            <w:pPr>
              <w:ind w:firstLine="0"/>
              <w:jc w:val="left"/>
              <w:rPr>
                <w:rFonts w:eastAsia="Times New Roman"/>
                <w:b/>
                <w:color w:val="FFFFFF"/>
                <w:sz w:val="20"/>
                <w:szCs w:val="20"/>
                <w:lang w:eastAsia="ru-RU"/>
              </w:rPr>
            </w:pPr>
            <w:r w:rsidRPr="004761E0">
              <w:rPr>
                <w:rFonts w:eastAsia="Times New Roman"/>
                <w:b/>
                <w:color w:val="FFFFFF"/>
                <w:sz w:val="20"/>
                <w:szCs w:val="20"/>
                <w:lang w:eastAsia="ru-RU"/>
              </w:rPr>
              <w:t>Наименование категории</w:t>
            </w:r>
          </w:p>
        </w:tc>
        <w:tc>
          <w:tcPr>
            <w:tcW w:w="1134" w:type="dxa"/>
            <w:tcBorders>
              <w:top w:val="single" w:sz="4" w:space="0" w:color="auto"/>
              <w:left w:val="single" w:sz="4" w:space="0" w:color="FFFFFF"/>
              <w:bottom w:val="single" w:sz="4" w:space="0" w:color="auto"/>
              <w:right w:val="single" w:sz="4" w:space="0" w:color="FFFFFF"/>
            </w:tcBorders>
            <w:shd w:val="clear" w:color="auto" w:fill="0F243E"/>
            <w:vAlign w:val="center"/>
            <w:hideMark/>
          </w:tcPr>
          <w:p w:rsidR="001E3BC4" w:rsidRPr="004761E0" w:rsidRDefault="001E3BC4" w:rsidP="001E3BC4">
            <w:pPr>
              <w:ind w:firstLine="0"/>
              <w:jc w:val="right"/>
              <w:rPr>
                <w:rFonts w:eastAsia="Times New Roman"/>
                <w:b/>
                <w:color w:val="FFFFFF"/>
                <w:sz w:val="20"/>
                <w:szCs w:val="20"/>
                <w:lang w:eastAsia="ru-RU"/>
              </w:rPr>
            </w:pPr>
            <w:r w:rsidRPr="004761E0">
              <w:rPr>
                <w:rFonts w:eastAsia="Times New Roman"/>
                <w:b/>
                <w:color w:val="FFFFFF"/>
                <w:sz w:val="20"/>
                <w:szCs w:val="20"/>
                <w:lang w:eastAsia="ru-RU"/>
              </w:rPr>
              <w:t>2011</w:t>
            </w:r>
          </w:p>
        </w:tc>
        <w:tc>
          <w:tcPr>
            <w:tcW w:w="1134" w:type="dxa"/>
            <w:tcBorders>
              <w:top w:val="single" w:sz="4" w:space="0" w:color="auto"/>
              <w:left w:val="single" w:sz="4" w:space="0" w:color="FFFFFF"/>
              <w:bottom w:val="single" w:sz="4" w:space="0" w:color="auto"/>
              <w:right w:val="single" w:sz="4" w:space="0" w:color="FFFFFF"/>
            </w:tcBorders>
            <w:shd w:val="clear" w:color="auto" w:fill="0F243E"/>
            <w:vAlign w:val="center"/>
            <w:hideMark/>
          </w:tcPr>
          <w:p w:rsidR="001E3BC4" w:rsidRPr="004761E0" w:rsidRDefault="001E3BC4" w:rsidP="001E3BC4">
            <w:pPr>
              <w:ind w:firstLine="0"/>
              <w:jc w:val="right"/>
              <w:rPr>
                <w:rFonts w:eastAsia="Times New Roman"/>
                <w:b/>
                <w:color w:val="FFFFFF"/>
                <w:sz w:val="20"/>
                <w:szCs w:val="20"/>
                <w:lang w:eastAsia="ru-RU"/>
              </w:rPr>
            </w:pPr>
            <w:r w:rsidRPr="004761E0">
              <w:rPr>
                <w:rFonts w:eastAsia="Times New Roman"/>
                <w:b/>
                <w:color w:val="FFFFFF"/>
                <w:sz w:val="20"/>
                <w:szCs w:val="20"/>
                <w:lang w:eastAsia="ru-RU"/>
              </w:rPr>
              <w:t>2012</w:t>
            </w:r>
          </w:p>
        </w:tc>
        <w:tc>
          <w:tcPr>
            <w:tcW w:w="1134" w:type="dxa"/>
            <w:tcBorders>
              <w:top w:val="single" w:sz="4" w:space="0" w:color="auto"/>
              <w:left w:val="single" w:sz="4" w:space="0" w:color="FFFFFF"/>
              <w:bottom w:val="single" w:sz="4" w:space="0" w:color="auto"/>
              <w:right w:val="single" w:sz="4" w:space="0" w:color="FFFFFF"/>
            </w:tcBorders>
            <w:shd w:val="clear" w:color="auto" w:fill="0F243E"/>
            <w:vAlign w:val="center"/>
            <w:hideMark/>
          </w:tcPr>
          <w:p w:rsidR="001E3BC4" w:rsidRPr="004761E0" w:rsidRDefault="001E3BC4" w:rsidP="001E3BC4">
            <w:pPr>
              <w:ind w:firstLine="0"/>
              <w:jc w:val="right"/>
              <w:rPr>
                <w:rFonts w:eastAsia="Times New Roman"/>
                <w:b/>
                <w:color w:val="FFFFFF"/>
                <w:sz w:val="20"/>
                <w:szCs w:val="20"/>
                <w:lang w:eastAsia="ru-RU"/>
              </w:rPr>
            </w:pPr>
            <w:r w:rsidRPr="004761E0">
              <w:rPr>
                <w:rFonts w:eastAsia="Times New Roman"/>
                <w:b/>
                <w:color w:val="FFFFFF"/>
                <w:sz w:val="20"/>
                <w:szCs w:val="20"/>
                <w:lang w:eastAsia="ru-RU"/>
              </w:rPr>
              <w:t>2013</w:t>
            </w:r>
          </w:p>
        </w:tc>
        <w:tc>
          <w:tcPr>
            <w:tcW w:w="1134" w:type="dxa"/>
            <w:tcBorders>
              <w:top w:val="single" w:sz="4" w:space="0" w:color="auto"/>
              <w:left w:val="single" w:sz="4" w:space="0" w:color="FFFFFF"/>
              <w:bottom w:val="single" w:sz="4" w:space="0" w:color="auto"/>
              <w:right w:val="single" w:sz="4" w:space="0" w:color="auto"/>
            </w:tcBorders>
            <w:shd w:val="clear" w:color="auto" w:fill="0F243E"/>
            <w:vAlign w:val="center"/>
            <w:hideMark/>
          </w:tcPr>
          <w:p w:rsidR="001E3BC4" w:rsidRPr="004761E0" w:rsidRDefault="001E3BC4" w:rsidP="001E3BC4">
            <w:pPr>
              <w:ind w:firstLine="0"/>
              <w:jc w:val="right"/>
              <w:rPr>
                <w:rFonts w:eastAsia="Times New Roman"/>
                <w:b/>
                <w:color w:val="FFFFFF"/>
                <w:sz w:val="20"/>
                <w:szCs w:val="20"/>
                <w:lang w:eastAsia="ru-RU"/>
              </w:rPr>
            </w:pPr>
            <w:r w:rsidRPr="004761E0">
              <w:rPr>
                <w:rFonts w:eastAsia="Times New Roman"/>
                <w:b/>
                <w:color w:val="FFFFFF"/>
                <w:sz w:val="20"/>
                <w:szCs w:val="20"/>
                <w:lang w:eastAsia="ru-RU"/>
              </w:rPr>
              <w:t>2013/2012</w:t>
            </w:r>
          </w:p>
        </w:tc>
      </w:tr>
      <w:tr w:rsidR="001E3BC4" w:rsidRPr="004761E0" w:rsidTr="001E3BC4">
        <w:trPr>
          <w:trHeight w:val="3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1E3BC4" w:rsidRPr="004761E0" w:rsidRDefault="001E3BC4" w:rsidP="007076A7">
            <w:pPr>
              <w:numPr>
                <w:ilvl w:val="0"/>
                <w:numId w:val="89"/>
              </w:numPr>
              <w:ind w:left="0" w:firstLine="0"/>
              <w:jc w:val="left"/>
              <w:rPr>
                <w:rFonts w:eastAsia="Times New Roman"/>
                <w:color w:val="000000"/>
                <w:sz w:val="20"/>
                <w:szCs w:val="20"/>
                <w:lang w:eastAsia="ru-RU"/>
              </w:rPr>
            </w:pPr>
          </w:p>
        </w:tc>
        <w:tc>
          <w:tcPr>
            <w:tcW w:w="4897"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firstLine="0"/>
              <w:rPr>
                <w:rFonts w:eastAsia="Times New Roman"/>
                <w:color w:val="000000"/>
                <w:sz w:val="20"/>
                <w:szCs w:val="20"/>
                <w:lang w:eastAsia="ru-RU"/>
              </w:rPr>
            </w:pPr>
            <w:r w:rsidRPr="004761E0">
              <w:rPr>
                <w:rFonts w:eastAsia="Times New Roman"/>
                <w:color w:val="000000"/>
                <w:sz w:val="20"/>
                <w:szCs w:val="20"/>
                <w:lang w:eastAsia="ru-RU"/>
              </w:rPr>
              <w:t>Количество работников, прошедших обучение, чел. (всего), в т.ч.:</w:t>
            </w:r>
          </w:p>
        </w:tc>
        <w:tc>
          <w:tcPr>
            <w:tcW w:w="1134"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bCs/>
                <w:color w:val="000000"/>
                <w:sz w:val="20"/>
                <w:szCs w:val="20"/>
              </w:rPr>
            </w:pPr>
            <w:r w:rsidRPr="004761E0">
              <w:rPr>
                <w:bCs/>
                <w:color w:val="000000"/>
                <w:sz w:val="20"/>
                <w:szCs w:val="20"/>
              </w:rPr>
              <w:t>11 912</w:t>
            </w:r>
          </w:p>
        </w:tc>
        <w:tc>
          <w:tcPr>
            <w:tcW w:w="1134"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bCs/>
                <w:color w:val="000000"/>
                <w:sz w:val="20"/>
                <w:szCs w:val="20"/>
              </w:rPr>
            </w:pPr>
            <w:r w:rsidRPr="004761E0">
              <w:rPr>
                <w:bCs/>
                <w:color w:val="000000"/>
                <w:sz w:val="20"/>
                <w:szCs w:val="20"/>
              </w:rPr>
              <w:t>10 999</w:t>
            </w:r>
          </w:p>
        </w:tc>
        <w:tc>
          <w:tcPr>
            <w:tcW w:w="1134"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bCs/>
                <w:color w:val="000000"/>
                <w:sz w:val="20"/>
                <w:szCs w:val="20"/>
              </w:rPr>
            </w:pPr>
            <w:r w:rsidRPr="004761E0">
              <w:rPr>
                <w:bCs/>
                <w:color w:val="000000"/>
                <w:sz w:val="20"/>
                <w:szCs w:val="20"/>
              </w:rPr>
              <w:t xml:space="preserve">10 </w:t>
            </w:r>
            <w:r>
              <w:rPr>
                <w:bCs/>
                <w:color w:val="000000"/>
                <w:sz w:val="20"/>
                <w:szCs w:val="20"/>
              </w:rPr>
              <w:t>900</w:t>
            </w:r>
          </w:p>
        </w:tc>
        <w:tc>
          <w:tcPr>
            <w:tcW w:w="1134"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color w:val="000000"/>
                <w:sz w:val="20"/>
                <w:szCs w:val="20"/>
              </w:rPr>
            </w:pPr>
            <w:r w:rsidRPr="004761E0">
              <w:rPr>
                <w:color w:val="000000"/>
                <w:sz w:val="20"/>
                <w:szCs w:val="20"/>
              </w:rPr>
              <w:t>-</w:t>
            </w:r>
            <w:r>
              <w:rPr>
                <w:color w:val="000000"/>
                <w:sz w:val="20"/>
                <w:szCs w:val="20"/>
              </w:rPr>
              <w:t>0</w:t>
            </w:r>
            <w:r w:rsidRPr="004761E0">
              <w:rPr>
                <w:color w:val="000000"/>
                <w:sz w:val="20"/>
                <w:szCs w:val="20"/>
              </w:rPr>
              <w:t>,</w:t>
            </w:r>
            <w:r>
              <w:rPr>
                <w:color w:val="000000"/>
                <w:sz w:val="20"/>
                <w:szCs w:val="20"/>
              </w:rPr>
              <w:t>90</w:t>
            </w:r>
            <w:r w:rsidRPr="004761E0">
              <w:rPr>
                <w:color w:val="000000"/>
                <w:sz w:val="20"/>
                <w:szCs w:val="20"/>
              </w:rPr>
              <w:t xml:space="preserve"> %</w:t>
            </w:r>
          </w:p>
        </w:tc>
      </w:tr>
      <w:tr w:rsidR="001E3BC4" w:rsidRPr="004761E0" w:rsidTr="001E3BC4">
        <w:trPr>
          <w:trHeight w:val="3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1E3BC4" w:rsidRPr="004761E0" w:rsidRDefault="001E3BC4" w:rsidP="007076A7">
            <w:pPr>
              <w:pStyle w:val="a5"/>
              <w:numPr>
                <w:ilvl w:val="1"/>
                <w:numId w:val="89"/>
              </w:numPr>
              <w:ind w:left="0" w:firstLine="0"/>
              <w:jc w:val="left"/>
              <w:rPr>
                <w:color w:val="000000"/>
                <w:sz w:val="20"/>
                <w:szCs w:val="20"/>
                <w:lang w:eastAsia="ru-RU"/>
              </w:rPr>
            </w:pPr>
          </w:p>
        </w:tc>
        <w:tc>
          <w:tcPr>
            <w:tcW w:w="4897"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 xml:space="preserve">руководителей </w:t>
            </w:r>
          </w:p>
        </w:tc>
        <w:tc>
          <w:tcPr>
            <w:tcW w:w="1134"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color w:val="000000"/>
                <w:sz w:val="20"/>
                <w:szCs w:val="20"/>
              </w:rPr>
            </w:pPr>
            <w:r w:rsidRPr="004761E0">
              <w:rPr>
                <w:color w:val="000000"/>
                <w:sz w:val="20"/>
                <w:szCs w:val="20"/>
              </w:rPr>
              <w:t>4 669</w:t>
            </w:r>
          </w:p>
        </w:tc>
        <w:tc>
          <w:tcPr>
            <w:tcW w:w="1134"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color w:val="000000"/>
                <w:sz w:val="20"/>
                <w:szCs w:val="20"/>
              </w:rPr>
            </w:pPr>
            <w:r w:rsidRPr="004761E0">
              <w:rPr>
                <w:color w:val="000000"/>
                <w:sz w:val="20"/>
                <w:szCs w:val="20"/>
              </w:rPr>
              <w:t>3 557</w:t>
            </w:r>
          </w:p>
        </w:tc>
        <w:tc>
          <w:tcPr>
            <w:tcW w:w="1134"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color w:val="000000"/>
                <w:sz w:val="20"/>
                <w:szCs w:val="20"/>
              </w:rPr>
            </w:pPr>
            <w:r w:rsidRPr="004761E0">
              <w:rPr>
                <w:color w:val="000000"/>
                <w:sz w:val="20"/>
                <w:szCs w:val="20"/>
              </w:rPr>
              <w:t>3 06</w:t>
            </w:r>
            <w:r>
              <w:rPr>
                <w:color w:val="000000"/>
                <w:sz w:val="20"/>
                <w:szCs w:val="20"/>
              </w:rPr>
              <w:t>4</w:t>
            </w:r>
          </w:p>
        </w:tc>
        <w:tc>
          <w:tcPr>
            <w:tcW w:w="1134"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color w:val="000000"/>
                <w:sz w:val="20"/>
                <w:szCs w:val="20"/>
              </w:rPr>
            </w:pPr>
            <w:r w:rsidRPr="004761E0">
              <w:rPr>
                <w:color w:val="000000"/>
                <w:sz w:val="20"/>
                <w:szCs w:val="20"/>
              </w:rPr>
              <w:t>-13,</w:t>
            </w:r>
            <w:r>
              <w:rPr>
                <w:color w:val="000000"/>
                <w:sz w:val="20"/>
                <w:szCs w:val="20"/>
              </w:rPr>
              <w:t>86</w:t>
            </w:r>
            <w:r w:rsidRPr="004761E0">
              <w:rPr>
                <w:color w:val="000000"/>
                <w:sz w:val="20"/>
                <w:szCs w:val="20"/>
              </w:rPr>
              <w:t xml:space="preserve"> %</w:t>
            </w:r>
          </w:p>
        </w:tc>
      </w:tr>
      <w:tr w:rsidR="001E3BC4" w:rsidRPr="004761E0" w:rsidTr="001E3BC4">
        <w:trPr>
          <w:trHeight w:val="3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1E3BC4" w:rsidRPr="004761E0" w:rsidRDefault="001E3BC4" w:rsidP="007076A7">
            <w:pPr>
              <w:pStyle w:val="a5"/>
              <w:numPr>
                <w:ilvl w:val="1"/>
                <w:numId w:val="89"/>
              </w:numPr>
              <w:ind w:left="0" w:firstLine="0"/>
              <w:jc w:val="left"/>
              <w:rPr>
                <w:color w:val="000000"/>
                <w:sz w:val="20"/>
                <w:szCs w:val="20"/>
                <w:lang w:eastAsia="ru-RU"/>
              </w:rPr>
            </w:pPr>
          </w:p>
        </w:tc>
        <w:tc>
          <w:tcPr>
            <w:tcW w:w="4897"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специалистов и служащих</w:t>
            </w:r>
          </w:p>
        </w:tc>
        <w:tc>
          <w:tcPr>
            <w:tcW w:w="1134"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color w:val="000000"/>
                <w:sz w:val="20"/>
                <w:szCs w:val="20"/>
              </w:rPr>
            </w:pPr>
            <w:r w:rsidRPr="004761E0">
              <w:rPr>
                <w:color w:val="000000"/>
                <w:sz w:val="20"/>
                <w:szCs w:val="20"/>
              </w:rPr>
              <w:t>1 992</w:t>
            </w:r>
          </w:p>
        </w:tc>
        <w:tc>
          <w:tcPr>
            <w:tcW w:w="1134"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color w:val="000000"/>
                <w:sz w:val="20"/>
                <w:szCs w:val="20"/>
              </w:rPr>
            </w:pPr>
            <w:r w:rsidRPr="004761E0">
              <w:rPr>
                <w:color w:val="000000"/>
                <w:sz w:val="20"/>
                <w:szCs w:val="20"/>
              </w:rPr>
              <w:t>1 984</w:t>
            </w:r>
          </w:p>
        </w:tc>
        <w:tc>
          <w:tcPr>
            <w:tcW w:w="1134"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color w:val="000000"/>
                <w:sz w:val="20"/>
                <w:szCs w:val="20"/>
              </w:rPr>
            </w:pPr>
            <w:r>
              <w:rPr>
                <w:color w:val="000000"/>
                <w:sz w:val="20"/>
                <w:szCs w:val="20"/>
              </w:rPr>
              <w:t>2 339</w:t>
            </w:r>
          </w:p>
        </w:tc>
        <w:tc>
          <w:tcPr>
            <w:tcW w:w="1134"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color w:val="000000"/>
                <w:sz w:val="20"/>
                <w:szCs w:val="20"/>
              </w:rPr>
            </w:pPr>
            <w:r w:rsidRPr="004761E0">
              <w:rPr>
                <w:color w:val="000000"/>
                <w:sz w:val="20"/>
                <w:szCs w:val="20"/>
              </w:rPr>
              <w:t>1</w:t>
            </w:r>
            <w:r>
              <w:rPr>
                <w:color w:val="000000"/>
                <w:sz w:val="20"/>
                <w:szCs w:val="20"/>
              </w:rPr>
              <w:t>7</w:t>
            </w:r>
            <w:r w:rsidRPr="004761E0">
              <w:rPr>
                <w:color w:val="000000"/>
                <w:sz w:val="20"/>
                <w:szCs w:val="20"/>
              </w:rPr>
              <w:t>,</w:t>
            </w:r>
            <w:r>
              <w:rPr>
                <w:color w:val="000000"/>
                <w:sz w:val="20"/>
                <w:szCs w:val="20"/>
              </w:rPr>
              <w:t>89</w:t>
            </w:r>
            <w:r w:rsidRPr="004761E0">
              <w:rPr>
                <w:color w:val="000000"/>
                <w:sz w:val="20"/>
                <w:szCs w:val="20"/>
              </w:rPr>
              <w:t xml:space="preserve"> %</w:t>
            </w:r>
          </w:p>
        </w:tc>
      </w:tr>
      <w:tr w:rsidR="001E3BC4" w:rsidRPr="004761E0" w:rsidTr="001E3BC4">
        <w:trPr>
          <w:trHeight w:val="3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1E3BC4" w:rsidRPr="004761E0" w:rsidRDefault="001E3BC4" w:rsidP="007076A7">
            <w:pPr>
              <w:pStyle w:val="a5"/>
              <w:numPr>
                <w:ilvl w:val="1"/>
                <w:numId w:val="89"/>
              </w:numPr>
              <w:ind w:left="0" w:firstLine="0"/>
              <w:jc w:val="left"/>
              <w:rPr>
                <w:color w:val="000000"/>
                <w:sz w:val="20"/>
                <w:szCs w:val="20"/>
                <w:lang w:eastAsia="ru-RU"/>
              </w:rPr>
            </w:pPr>
          </w:p>
        </w:tc>
        <w:tc>
          <w:tcPr>
            <w:tcW w:w="4897"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firstLineChars="200" w:firstLine="400"/>
              <w:jc w:val="left"/>
              <w:rPr>
                <w:rFonts w:eastAsia="Times New Roman"/>
                <w:color w:val="000000"/>
                <w:sz w:val="20"/>
                <w:szCs w:val="20"/>
                <w:lang w:eastAsia="ru-RU"/>
              </w:rPr>
            </w:pPr>
            <w:r>
              <w:rPr>
                <w:rFonts w:eastAsia="Times New Roman"/>
                <w:color w:val="000000"/>
                <w:sz w:val="20"/>
                <w:szCs w:val="20"/>
                <w:lang w:eastAsia="ru-RU"/>
              </w:rPr>
              <w:t>рабочих</w:t>
            </w:r>
          </w:p>
        </w:tc>
        <w:tc>
          <w:tcPr>
            <w:tcW w:w="1134"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color w:val="000000"/>
                <w:sz w:val="20"/>
                <w:szCs w:val="20"/>
              </w:rPr>
            </w:pPr>
            <w:r w:rsidRPr="004761E0">
              <w:rPr>
                <w:color w:val="000000"/>
                <w:sz w:val="20"/>
                <w:szCs w:val="20"/>
              </w:rPr>
              <w:t>5 251</w:t>
            </w:r>
          </w:p>
        </w:tc>
        <w:tc>
          <w:tcPr>
            <w:tcW w:w="1134"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color w:val="000000"/>
                <w:sz w:val="20"/>
                <w:szCs w:val="20"/>
              </w:rPr>
            </w:pPr>
            <w:r w:rsidRPr="004761E0">
              <w:rPr>
                <w:color w:val="000000"/>
                <w:sz w:val="20"/>
                <w:szCs w:val="20"/>
              </w:rPr>
              <w:t>5 458</w:t>
            </w:r>
          </w:p>
        </w:tc>
        <w:tc>
          <w:tcPr>
            <w:tcW w:w="1134"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color w:val="000000"/>
                <w:sz w:val="20"/>
                <w:szCs w:val="20"/>
              </w:rPr>
            </w:pPr>
            <w:r>
              <w:rPr>
                <w:color w:val="000000"/>
                <w:sz w:val="20"/>
                <w:szCs w:val="20"/>
              </w:rPr>
              <w:t>5 497</w:t>
            </w:r>
          </w:p>
        </w:tc>
        <w:tc>
          <w:tcPr>
            <w:tcW w:w="1134"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color w:val="000000"/>
                <w:sz w:val="20"/>
                <w:szCs w:val="20"/>
              </w:rPr>
            </w:pPr>
            <w:r w:rsidRPr="004761E0">
              <w:rPr>
                <w:color w:val="000000"/>
                <w:sz w:val="20"/>
                <w:szCs w:val="20"/>
              </w:rPr>
              <w:t>0,7</w:t>
            </w:r>
            <w:r>
              <w:rPr>
                <w:color w:val="000000"/>
                <w:sz w:val="20"/>
                <w:szCs w:val="20"/>
              </w:rPr>
              <w:t>1</w:t>
            </w:r>
            <w:r w:rsidRPr="004761E0">
              <w:rPr>
                <w:color w:val="000000"/>
                <w:sz w:val="20"/>
                <w:szCs w:val="20"/>
              </w:rPr>
              <w:t xml:space="preserve"> %</w:t>
            </w:r>
          </w:p>
        </w:tc>
      </w:tr>
      <w:tr w:rsidR="001E3BC4" w:rsidRPr="004761E0" w:rsidTr="001E3BC4">
        <w:trPr>
          <w:trHeight w:val="300"/>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BC4" w:rsidRPr="004761E0" w:rsidRDefault="001E3BC4" w:rsidP="007076A7">
            <w:pPr>
              <w:numPr>
                <w:ilvl w:val="0"/>
                <w:numId w:val="89"/>
              </w:numPr>
              <w:ind w:left="0" w:firstLine="0"/>
              <w:jc w:val="left"/>
              <w:rPr>
                <w:rFonts w:eastAsia="Times New Roman"/>
                <w:color w:val="000000"/>
                <w:sz w:val="20"/>
                <w:szCs w:val="20"/>
                <w:lang w:eastAsia="ru-RU"/>
              </w:rPr>
            </w:pPr>
          </w:p>
        </w:tc>
        <w:tc>
          <w:tcPr>
            <w:tcW w:w="4897" w:type="dxa"/>
            <w:tcBorders>
              <w:top w:val="single" w:sz="4" w:space="0" w:color="auto"/>
              <w:left w:val="nil"/>
              <w:bottom w:val="single" w:sz="4" w:space="0" w:color="auto"/>
              <w:right w:val="single" w:sz="4" w:space="0" w:color="auto"/>
            </w:tcBorders>
            <w:shd w:val="clear" w:color="auto" w:fill="auto"/>
            <w:vAlign w:val="center"/>
            <w:hideMark/>
          </w:tcPr>
          <w:p w:rsidR="001E3BC4" w:rsidRPr="004761E0" w:rsidRDefault="001E3BC4" w:rsidP="001E3BC4">
            <w:pPr>
              <w:ind w:firstLine="0"/>
              <w:rPr>
                <w:rFonts w:eastAsia="Times New Roman"/>
                <w:color w:val="000000"/>
                <w:sz w:val="20"/>
                <w:szCs w:val="20"/>
                <w:lang w:eastAsia="ru-RU"/>
              </w:rPr>
            </w:pPr>
            <w:r w:rsidRPr="004761E0">
              <w:rPr>
                <w:rFonts w:eastAsia="Times New Roman"/>
                <w:color w:val="000000"/>
                <w:sz w:val="20"/>
                <w:szCs w:val="20"/>
                <w:lang w:eastAsia="ru-RU"/>
              </w:rPr>
              <w:t>Количество работников, прошедших обучение, чел. (всего), в т.ч.: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bCs/>
                <w:color w:val="000000"/>
                <w:sz w:val="20"/>
                <w:szCs w:val="20"/>
              </w:rPr>
            </w:pPr>
            <w:r w:rsidRPr="004761E0">
              <w:rPr>
                <w:bCs/>
                <w:color w:val="000000"/>
                <w:sz w:val="20"/>
                <w:szCs w:val="20"/>
              </w:rPr>
              <w:t>11 912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bCs/>
                <w:color w:val="000000"/>
                <w:sz w:val="20"/>
                <w:szCs w:val="20"/>
              </w:rPr>
            </w:pPr>
            <w:r w:rsidRPr="004761E0">
              <w:rPr>
                <w:bCs/>
                <w:color w:val="000000"/>
                <w:sz w:val="20"/>
                <w:szCs w:val="20"/>
              </w:rPr>
              <w:t>10 999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bCs/>
                <w:color w:val="000000"/>
                <w:sz w:val="20"/>
                <w:szCs w:val="20"/>
              </w:rPr>
            </w:pPr>
            <w:r w:rsidRPr="004761E0">
              <w:rPr>
                <w:bCs/>
                <w:color w:val="000000"/>
                <w:sz w:val="20"/>
                <w:szCs w:val="20"/>
              </w:rPr>
              <w:t xml:space="preserve">10 </w:t>
            </w:r>
            <w:r>
              <w:rPr>
                <w:bCs/>
                <w:color w:val="000000"/>
                <w:sz w:val="20"/>
                <w:szCs w:val="20"/>
              </w:rPr>
              <w:t>900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color w:val="000000"/>
                <w:sz w:val="20"/>
                <w:szCs w:val="20"/>
              </w:rPr>
            </w:pPr>
            <w:r w:rsidRPr="004761E0">
              <w:rPr>
                <w:color w:val="000000"/>
                <w:sz w:val="20"/>
                <w:szCs w:val="20"/>
              </w:rPr>
              <w:t>-</w:t>
            </w:r>
            <w:r>
              <w:rPr>
                <w:color w:val="000000"/>
                <w:sz w:val="20"/>
                <w:szCs w:val="20"/>
              </w:rPr>
              <w:t>0</w:t>
            </w:r>
            <w:r w:rsidRPr="004761E0">
              <w:rPr>
                <w:color w:val="000000"/>
                <w:sz w:val="20"/>
                <w:szCs w:val="20"/>
              </w:rPr>
              <w:t>,</w:t>
            </w:r>
            <w:r>
              <w:rPr>
                <w:color w:val="000000"/>
                <w:sz w:val="20"/>
                <w:szCs w:val="20"/>
              </w:rPr>
              <w:t>90</w:t>
            </w:r>
            <w:r w:rsidRPr="004761E0">
              <w:rPr>
                <w:color w:val="000000"/>
                <w:sz w:val="20"/>
                <w:szCs w:val="20"/>
              </w:rPr>
              <w:t xml:space="preserve"> %</w:t>
            </w:r>
          </w:p>
        </w:tc>
      </w:tr>
      <w:tr w:rsidR="001E3BC4" w:rsidRPr="004761E0" w:rsidTr="001E3BC4">
        <w:trPr>
          <w:trHeight w:val="3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1E3BC4" w:rsidRPr="004761E0" w:rsidRDefault="001E3BC4" w:rsidP="007076A7">
            <w:pPr>
              <w:pStyle w:val="a5"/>
              <w:numPr>
                <w:ilvl w:val="1"/>
                <w:numId w:val="89"/>
              </w:numPr>
              <w:ind w:left="0" w:firstLine="0"/>
              <w:jc w:val="left"/>
              <w:rPr>
                <w:color w:val="000000"/>
                <w:sz w:val="20"/>
                <w:szCs w:val="20"/>
                <w:lang w:eastAsia="ru-RU"/>
              </w:rPr>
            </w:pPr>
          </w:p>
        </w:tc>
        <w:tc>
          <w:tcPr>
            <w:tcW w:w="4897"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left="399" w:firstLine="1"/>
              <w:jc w:val="left"/>
              <w:rPr>
                <w:rFonts w:eastAsia="Times New Roman"/>
                <w:color w:val="000000"/>
                <w:sz w:val="20"/>
                <w:szCs w:val="20"/>
                <w:lang w:eastAsia="ru-RU"/>
              </w:rPr>
            </w:pPr>
            <w:r w:rsidRPr="004761E0">
              <w:rPr>
                <w:rFonts w:eastAsia="Times New Roman"/>
                <w:color w:val="000000"/>
                <w:sz w:val="20"/>
                <w:szCs w:val="20"/>
                <w:lang w:eastAsia="ru-RU"/>
              </w:rPr>
              <w:t>количество работников, прошедших обучение, на базе собственных учебных центров</w:t>
            </w:r>
          </w:p>
        </w:tc>
        <w:tc>
          <w:tcPr>
            <w:tcW w:w="1134"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color w:val="000000"/>
                <w:sz w:val="20"/>
                <w:szCs w:val="20"/>
              </w:rPr>
            </w:pPr>
            <w:r w:rsidRPr="004761E0">
              <w:rPr>
                <w:color w:val="000000"/>
                <w:sz w:val="20"/>
                <w:szCs w:val="20"/>
              </w:rPr>
              <w:t>2 940</w:t>
            </w:r>
          </w:p>
        </w:tc>
        <w:tc>
          <w:tcPr>
            <w:tcW w:w="1134"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color w:val="000000"/>
                <w:sz w:val="20"/>
                <w:szCs w:val="20"/>
              </w:rPr>
            </w:pPr>
            <w:r w:rsidRPr="004761E0">
              <w:rPr>
                <w:color w:val="000000"/>
                <w:sz w:val="20"/>
                <w:szCs w:val="20"/>
              </w:rPr>
              <w:t>2 188</w:t>
            </w:r>
          </w:p>
        </w:tc>
        <w:tc>
          <w:tcPr>
            <w:tcW w:w="1134"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color w:val="000000"/>
                <w:sz w:val="20"/>
                <w:szCs w:val="20"/>
              </w:rPr>
            </w:pPr>
            <w:r w:rsidRPr="004761E0">
              <w:rPr>
                <w:color w:val="000000"/>
                <w:sz w:val="20"/>
                <w:szCs w:val="20"/>
              </w:rPr>
              <w:t>2 331</w:t>
            </w:r>
          </w:p>
        </w:tc>
        <w:tc>
          <w:tcPr>
            <w:tcW w:w="1134"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color w:val="000000"/>
                <w:sz w:val="20"/>
                <w:szCs w:val="20"/>
              </w:rPr>
            </w:pPr>
            <w:r w:rsidRPr="004761E0">
              <w:rPr>
                <w:color w:val="000000"/>
                <w:sz w:val="20"/>
                <w:szCs w:val="20"/>
              </w:rPr>
              <w:t>6,54 %</w:t>
            </w:r>
          </w:p>
        </w:tc>
      </w:tr>
      <w:tr w:rsidR="001E3BC4" w:rsidRPr="004761E0" w:rsidTr="001E3BC4">
        <w:trPr>
          <w:trHeight w:val="3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1E3BC4" w:rsidRPr="004761E0" w:rsidRDefault="001E3BC4" w:rsidP="007076A7">
            <w:pPr>
              <w:numPr>
                <w:ilvl w:val="0"/>
                <w:numId w:val="89"/>
              </w:numPr>
              <w:ind w:left="0" w:firstLine="0"/>
              <w:jc w:val="left"/>
              <w:rPr>
                <w:rFonts w:eastAsia="Times New Roman"/>
                <w:color w:val="000000"/>
                <w:sz w:val="20"/>
                <w:szCs w:val="20"/>
                <w:lang w:eastAsia="ru-RU"/>
              </w:rPr>
            </w:pPr>
          </w:p>
        </w:tc>
        <w:tc>
          <w:tcPr>
            <w:tcW w:w="4897"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6E6826">
            <w:pPr>
              <w:ind w:firstLine="0"/>
              <w:rPr>
                <w:rFonts w:eastAsia="Times New Roman"/>
                <w:color w:val="000000"/>
                <w:sz w:val="20"/>
                <w:szCs w:val="20"/>
                <w:lang w:eastAsia="ru-RU"/>
              </w:rPr>
            </w:pPr>
            <w:r w:rsidRPr="004761E0">
              <w:rPr>
                <w:rFonts w:eastAsia="Times New Roman"/>
                <w:color w:val="000000"/>
                <w:sz w:val="20"/>
                <w:szCs w:val="20"/>
                <w:lang w:eastAsia="ru-RU"/>
              </w:rPr>
              <w:t>Соотношение затрат на обучение к фонду оплаты труда, %</w:t>
            </w:r>
            <w:r w:rsidRPr="006F4AB8">
              <w:rPr>
                <w:rStyle w:val="af1"/>
              </w:rPr>
              <w:footnoteReference w:id="125"/>
            </w:r>
          </w:p>
        </w:tc>
        <w:tc>
          <w:tcPr>
            <w:tcW w:w="1134"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color w:val="000000"/>
                <w:sz w:val="20"/>
                <w:szCs w:val="20"/>
              </w:rPr>
            </w:pPr>
            <w:r w:rsidRPr="004761E0">
              <w:rPr>
                <w:color w:val="000000"/>
                <w:sz w:val="20"/>
                <w:szCs w:val="20"/>
              </w:rPr>
              <w:t>0,62</w:t>
            </w:r>
          </w:p>
        </w:tc>
        <w:tc>
          <w:tcPr>
            <w:tcW w:w="1134"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color w:val="000000"/>
                <w:sz w:val="20"/>
                <w:szCs w:val="20"/>
              </w:rPr>
            </w:pPr>
            <w:r w:rsidRPr="004761E0">
              <w:rPr>
                <w:color w:val="000000"/>
                <w:sz w:val="20"/>
                <w:szCs w:val="20"/>
              </w:rPr>
              <w:t>0,69</w:t>
            </w:r>
          </w:p>
        </w:tc>
        <w:tc>
          <w:tcPr>
            <w:tcW w:w="1134"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color w:val="000000"/>
                <w:sz w:val="20"/>
                <w:szCs w:val="20"/>
              </w:rPr>
            </w:pPr>
            <w:r w:rsidRPr="004761E0">
              <w:rPr>
                <w:color w:val="000000"/>
                <w:sz w:val="20"/>
                <w:szCs w:val="20"/>
              </w:rPr>
              <w:t>0,73</w:t>
            </w:r>
          </w:p>
        </w:tc>
        <w:tc>
          <w:tcPr>
            <w:tcW w:w="1134"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color w:val="000000"/>
                <w:sz w:val="20"/>
                <w:szCs w:val="20"/>
              </w:rPr>
            </w:pPr>
            <w:r w:rsidRPr="004761E0">
              <w:rPr>
                <w:color w:val="000000"/>
                <w:sz w:val="20"/>
                <w:szCs w:val="20"/>
              </w:rPr>
              <w:t>0,04 п.п.</w:t>
            </w:r>
          </w:p>
        </w:tc>
      </w:tr>
      <w:tr w:rsidR="001E3BC4" w:rsidRPr="004761E0" w:rsidTr="001E3BC4">
        <w:trPr>
          <w:trHeight w:val="3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1E3BC4" w:rsidRPr="004761E0" w:rsidRDefault="001E3BC4" w:rsidP="007076A7">
            <w:pPr>
              <w:numPr>
                <w:ilvl w:val="0"/>
                <w:numId w:val="89"/>
              </w:numPr>
              <w:ind w:left="0" w:firstLine="0"/>
              <w:jc w:val="left"/>
              <w:rPr>
                <w:rFonts w:eastAsia="Times New Roman"/>
                <w:color w:val="000000"/>
                <w:sz w:val="20"/>
                <w:szCs w:val="20"/>
                <w:lang w:eastAsia="ru-RU"/>
              </w:rPr>
            </w:pPr>
          </w:p>
        </w:tc>
        <w:tc>
          <w:tcPr>
            <w:tcW w:w="4897"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firstLine="0"/>
              <w:rPr>
                <w:rFonts w:eastAsia="Times New Roman"/>
                <w:color w:val="000000"/>
                <w:sz w:val="20"/>
                <w:szCs w:val="20"/>
                <w:lang w:eastAsia="ru-RU"/>
              </w:rPr>
            </w:pPr>
            <w:r w:rsidRPr="004761E0">
              <w:rPr>
                <w:rFonts w:eastAsia="Times New Roman"/>
                <w:color w:val="000000"/>
                <w:sz w:val="20"/>
                <w:szCs w:val="20"/>
                <w:lang w:eastAsia="ru-RU"/>
              </w:rPr>
              <w:t>Общее количество часов обучений, ч.</w:t>
            </w:r>
          </w:p>
        </w:tc>
        <w:tc>
          <w:tcPr>
            <w:tcW w:w="1134"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color w:val="000000"/>
                <w:sz w:val="20"/>
                <w:szCs w:val="20"/>
              </w:rPr>
            </w:pPr>
            <w:r w:rsidRPr="004761E0">
              <w:rPr>
                <w:color w:val="000000"/>
                <w:sz w:val="20"/>
                <w:szCs w:val="20"/>
              </w:rPr>
              <w:t>453 043</w:t>
            </w:r>
          </w:p>
        </w:tc>
        <w:tc>
          <w:tcPr>
            <w:tcW w:w="1134"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color w:val="000000"/>
                <w:sz w:val="20"/>
                <w:szCs w:val="20"/>
              </w:rPr>
            </w:pPr>
            <w:r w:rsidRPr="004761E0">
              <w:rPr>
                <w:color w:val="000000"/>
                <w:sz w:val="20"/>
                <w:szCs w:val="20"/>
              </w:rPr>
              <w:t>303 085</w:t>
            </w:r>
          </w:p>
        </w:tc>
        <w:tc>
          <w:tcPr>
            <w:tcW w:w="1134"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color w:val="000000"/>
                <w:sz w:val="20"/>
                <w:szCs w:val="20"/>
              </w:rPr>
            </w:pPr>
            <w:r w:rsidRPr="004761E0">
              <w:rPr>
                <w:color w:val="000000"/>
                <w:sz w:val="20"/>
                <w:szCs w:val="20"/>
              </w:rPr>
              <w:t>306 099</w:t>
            </w:r>
          </w:p>
        </w:tc>
        <w:tc>
          <w:tcPr>
            <w:tcW w:w="1134" w:type="dxa"/>
            <w:tcBorders>
              <w:top w:val="nil"/>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color w:val="000000"/>
                <w:sz w:val="20"/>
                <w:szCs w:val="20"/>
              </w:rPr>
            </w:pPr>
            <w:r w:rsidRPr="004761E0">
              <w:rPr>
                <w:color w:val="000000"/>
                <w:sz w:val="20"/>
                <w:szCs w:val="20"/>
              </w:rPr>
              <w:t>0,99 %</w:t>
            </w:r>
          </w:p>
        </w:tc>
      </w:tr>
      <w:tr w:rsidR="001E3BC4" w:rsidRPr="004761E0" w:rsidTr="001E3BC4">
        <w:trPr>
          <w:trHeight w:val="300"/>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BC4" w:rsidRPr="004761E0" w:rsidRDefault="001E3BC4" w:rsidP="007076A7">
            <w:pPr>
              <w:numPr>
                <w:ilvl w:val="0"/>
                <w:numId w:val="89"/>
              </w:numPr>
              <w:ind w:left="0" w:firstLine="0"/>
              <w:jc w:val="left"/>
              <w:rPr>
                <w:rFonts w:eastAsia="Times New Roman"/>
                <w:color w:val="000000"/>
                <w:sz w:val="20"/>
                <w:szCs w:val="20"/>
                <w:lang w:eastAsia="ru-RU"/>
              </w:rPr>
            </w:pPr>
          </w:p>
        </w:tc>
        <w:tc>
          <w:tcPr>
            <w:tcW w:w="4897" w:type="dxa"/>
            <w:tcBorders>
              <w:top w:val="single" w:sz="4" w:space="0" w:color="auto"/>
              <w:left w:val="nil"/>
              <w:bottom w:val="single" w:sz="4" w:space="0" w:color="auto"/>
              <w:right w:val="single" w:sz="4" w:space="0" w:color="auto"/>
            </w:tcBorders>
            <w:shd w:val="clear" w:color="auto" w:fill="auto"/>
            <w:vAlign w:val="center"/>
            <w:hideMark/>
          </w:tcPr>
          <w:p w:rsidR="001E3BC4" w:rsidRPr="004761E0" w:rsidRDefault="001E3BC4" w:rsidP="001E3BC4">
            <w:pPr>
              <w:ind w:firstLine="0"/>
              <w:rPr>
                <w:rFonts w:eastAsia="Times New Roman"/>
                <w:color w:val="000000"/>
                <w:sz w:val="20"/>
                <w:szCs w:val="20"/>
                <w:lang w:eastAsia="ru-RU"/>
              </w:rPr>
            </w:pPr>
            <w:r w:rsidRPr="004761E0">
              <w:rPr>
                <w:rFonts w:eastAsia="Times New Roman"/>
                <w:color w:val="000000"/>
                <w:sz w:val="20"/>
                <w:szCs w:val="20"/>
                <w:lang w:eastAsia="ru-RU"/>
              </w:rPr>
              <w:t>Среднее количество часов обучений на одного работника, 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color w:val="000000"/>
                <w:sz w:val="20"/>
                <w:szCs w:val="20"/>
              </w:rPr>
            </w:pPr>
            <w:r w:rsidRPr="004761E0">
              <w:rPr>
                <w:color w:val="000000"/>
                <w:sz w:val="20"/>
                <w:szCs w:val="20"/>
              </w:rPr>
              <w:t>38,0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color w:val="000000"/>
                <w:sz w:val="20"/>
                <w:szCs w:val="20"/>
              </w:rPr>
            </w:pPr>
            <w:r w:rsidRPr="004761E0">
              <w:rPr>
                <w:color w:val="000000"/>
                <w:sz w:val="20"/>
                <w:szCs w:val="20"/>
              </w:rPr>
              <w:t>22,2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color w:val="000000"/>
                <w:sz w:val="20"/>
                <w:szCs w:val="20"/>
              </w:rPr>
            </w:pPr>
            <w:r w:rsidRPr="004761E0">
              <w:rPr>
                <w:color w:val="000000"/>
                <w:sz w:val="20"/>
                <w:szCs w:val="20"/>
              </w:rPr>
              <w:t>30,3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E3BC4" w:rsidRPr="004761E0" w:rsidRDefault="001E3BC4" w:rsidP="001E3BC4">
            <w:pPr>
              <w:ind w:firstLine="0"/>
              <w:jc w:val="right"/>
              <w:rPr>
                <w:color w:val="000000"/>
                <w:sz w:val="20"/>
                <w:szCs w:val="20"/>
              </w:rPr>
            </w:pPr>
            <w:r w:rsidRPr="004761E0">
              <w:rPr>
                <w:color w:val="000000"/>
                <w:sz w:val="20"/>
                <w:szCs w:val="20"/>
              </w:rPr>
              <w:t>36,49 %</w:t>
            </w:r>
          </w:p>
        </w:tc>
      </w:tr>
    </w:tbl>
    <w:p w:rsidR="001E3BC4" w:rsidRPr="00585397" w:rsidRDefault="001E3BC4" w:rsidP="001E3BC4">
      <w:pPr>
        <w:ind w:firstLine="567"/>
        <w:rPr>
          <w:b/>
          <w:sz w:val="26"/>
          <w:szCs w:val="26"/>
        </w:rPr>
      </w:pPr>
      <w:r>
        <w:rPr>
          <w:sz w:val="26"/>
          <w:szCs w:val="26"/>
          <w:lang w:eastAsia="ru-RU"/>
        </w:rPr>
        <w:t>Д</w:t>
      </w:r>
      <w:r w:rsidRPr="004761E0">
        <w:rPr>
          <w:sz w:val="26"/>
          <w:szCs w:val="26"/>
          <w:lang w:eastAsia="ru-RU"/>
        </w:rPr>
        <w:t xml:space="preserve">анные </w:t>
      </w:r>
      <w:r>
        <w:rPr>
          <w:sz w:val="26"/>
          <w:szCs w:val="26"/>
          <w:lang w:eastAsia="ru-RU"/>
        </w:rPr>
        <w:t xml:space="preserve">по п. 1-3 таблицы </w:t>
      </w:r>
      <w:r w:rsidRPr="004761E0">
        <w:rPr>
          <w:sz w:val="26"/>
          <w:szCs w:val="26"/>
          <w:lang w:eastAsia="ru-RU"/>
        </w:rPr>
        <w:t>в разбивке на г. Москву и Московскую область представлены в Приложении</w:t>
      </w:r>
      <w:r>
        <w:rPr>
          <w:sz w:val="26"/>
          <w:szCs w:val="26"/>
          <w:lang w:eastAsia="ru-RU"/>
        </w:rPr>
        <w:t xml:space="preserve"> 12.</w:t>
      </w:r>
      <w:r w:rsidR="003146BC">
        <w:rPr>
          <w:sz w:val="26"/>
          <w:szCs w:val="26"/>
          <w:lang w:eastAsia="ru-RU"/>
        </w:rPr>
        <w:t>1</w:t>
      </w:r>
      <w:r>
        <w:rPr>
          <w:sz w:val="26"/>
          <w:szCs w:val="26"/>
          <w:lang w:eastAsia="ru-RU"/>
        </w:rPr>
        <w:t>.</w:t>
      </w:r>
      <w:r w:rsidRPr="004761E0">
        <w:rPr>
          <w:sz w:val="26"/>
          <w:szCs w:val="26"/>
          <w:lang w:eastAsia="ru-RU"/>
        </w:rPr>
        <w:t xml:space="preserve"> к Годовому отчету.</w:t>
      </w:r>
    </w:p>
    <w:p w:rsidR="001E3BC4" w:rsidRPr="004761E0" w:rsidRDefault="001E3BC4" w:rsidP="001E3BC4">
      <w:pPr>
        <w:pStyle w:val="ac"/>
        <w:ind w:firstLine="0"/>
      </w:pPr>
      <w:r w:rsidRPr="004761E0">
        <w:rPr>
          <w:rFonts w:eastAsia="Times New Roman"/>
          <w:b/>
          <w:noProof/>
          <w:color w:val="000000"/>
          <w:sz w:val="26"/>
          <w:szCs w:val="26"/>
          <w:lang w:eastAsia="ru-RU"/>
        </w:rPr>
        <w:drawing>
          <wp:inline distT="0" distB="0" distL="0" distR="0">
            <wp:extent cx="2470150" cy="3206115"/>
            <wp:effectExtent l="0" t="0" r="0" b="0"/>
            <wp:docPr id="11" name="Диаграмма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r w:rsidRPr="004761E0">
        <w:t xml:space="preserve"> </w:t>
      </w:r>
      <w:r w:rsidRPr="004761E0">
        <w:rPr>
          <w:noProof/>
          <w:lang w:eastAsia="ru-RU"/>
        </w:rPr>
        <w:drawing>
          <wp:inline distT="0" distB="0" distL="0" distR="0">
            <wp:extent cx="2482215" cy="3206115"/>
            <wp:effectExtent l="0" t="0" r="0" b="0"/>
            <wp:docPr id="75"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rsidR="0010030B" w:rsidRPr="0010030B" w:rsidRDefault="0010030B" w:rsidP="00585397">
      <w:pPr>
        <w:spacing w:before="120" w:after="120"/>
        <w:ind w:firstLine="567"/>
        <w:rPr>
          <w:sz w:val="26"/>
          <w:szCs w:val="26"/>
        </w:rPr>
      </w:pPr>
      <w:r w:rsidRPr="0010030B">
        <w:rPr>
          <w:sz w:val="26"/>
          <w:szCs w:val="26"/>
        </w:rPr>
        <w:t xml:space="preserve">Количество </w:t>
      </w:r>
      <w:r>
        <w:rPr>
          <w:sz w:val="26"/>
          <w:szCs w:val="26"/>
        </w:rPr>
        <w:t>обученных руководителей во внешних образовательных учреждениях снизилось в связи с тем, что в 2013 году часть обучений руководителей переведена на корпоративный формат.</w:t>
      </w:r>
    </w:p>
    <w:p w:rsidR="00252B8E" w:rsidRPr="00585397" w:rsidRDefault="00252B8E" w:rsidP="00585397">
      <w:pPr>
        <w:spacing w:before="120" w:after="120"/>
        <w:ind w:firstLine="567"/>
        <w:rPr>
          <w:b/>
          <w:sz w:val="26"/>
          <w:szCs w:val="26"/>
        </w:rPr>
      </w:pPr>
      <w:r w:rsidRPr="00585397">
        <w:rPr>
          <w:b/>
          <w:sz w:val="26"/>
          <w:szCs w:val="26"/>
        </w:rPr>
        <w:t>Внешнее обучение</w:t>
      </w:r>
    </w:p>
    <w:p w:rsidR="00252B8E" w:rsidRPr="004761E0" w:rsidRDefault="00252B8E" w:rsidP="00585397">
      <w:pPr>
        <w:pStyle w:val="ac"/>
        <w:ind w:firstLine="567"/>
        <w:rPr>
          <w:sz w:val="26"/>
          <w:szCs w:val="26"/>
        </w:rPr>
      </w:pPr>
      <w:r w:rsidRPr="004761E0">
        <w:rPr>
          <w:sz w:val="26"/>
          <w:szCs w:val="26"/>
        </w:rPr>
        <w:t>Обучение работников Общества во внешних образовательных учреждениях в 2013 году осуществлялось в соответствии с Планом профессиональной подготовки, переподготовки и повышения квалификации работников исполнительного аппарата и филиалов</w:t>
      </w:r>
      <w:r w:rsidRPr="006F4AB8">
        <w:rPr>
          <w:rStyle w:val="af1"/>
        </w:rPr>
        <w:footnoteReference w:id="126"/>
      </w:r>
      <w:r w:rsidRPr="004761E0">
        <w:rPr>
          <w:sz w:val="26"/>
          <w:szCs w:val="26"/>
        </w:rPr>
        <w:t xml:space="preserve">, согласно которому в отчетном году: </w:t>
      </w:r>
    </w:p>
    <w:p w:rsidR="00252B8E" w:rsidRPr="004761E0" w:rsidRDefault="00252B8E" w:rsidP="007076A7">
      <w:pPr>
        <w:pStyle w:val="ac"/>
        <w:numPr>
          <w:ilvl w:val="0"/>
          <w:numId w:val="206"/>
        </w:numPr>
        <w:ind w:left="1134" w:hanging="567"/>
        <w:rPr>
          <w:sz w:val="26"/>
          <w:szCs w:val="26"/>
        </w:rPr>
      </w:pPr>
      <w:r w:rsidRPr="004761E0">
        <w:rPr>
          <w:sz w:val="26"/>
          <w:szCs w:val="26"/>
        </w:rPr>
        <w:t xml:space="preserve">проведено обязательное обучение для 6 049 сотрудников производственно-технического персонала, связанного с допусками к работам; </w:t>
      </w:r>
    </w:p>
    <w:p w:rsidR="00252B8E" w:rsidRPr="00A665F2" w:rsidRDefault="00252B8E" w:rsidP="007076A7">
      <w:pPr>
        <w:pStyle w:val="ac"/>
        <w:numPr>
          <w:ilvl w:val="0"/>
          <w:numId w:val="206"/>
        </w:numPr>
        <w:ind w:left="1134" w:hanging="567"/>
        <w:rPr>
          <w:sz w:val="26"/>
          <w:szCs w:val="26"/>
        </w:rPr>
      </w:pPr>
      <w:r w:rsidRPr="00A665F2">
        <w:rPr>
          <w:sz w:val="26"/>
          <w:szCs w:val="26"/>
        </w:rPr>
        <w:t>повышение квалификации прошли 4 </w:t>
      </w:r>
      <w:r w:rsidR="00A665F2" w:rsidRPr="00A665F2">
        <w:rPr>
          <w:sz w:val="26"/>
          <w:szCs w:val="26"/>
        </w:rPr>
        <w:t>851</w:t>
      </w:r>
      <w:r w:rsidRPr="00A665F2">
        <w:rPr>
          <w:sz w:val="26"/>
          <w:szCs w:val="26"/>
        </w:rPr>
        <w:t xml:space="preserve"> человек</w:t>
      </w:r>
      <w:r w:rsidR="00A665F2" w:rsidRPr="00A665F2">
        <w:rPr>
          <w:sz w:val="26"/>
          <w:szCs w:val="26"/>
        </w:rPr>
        <w:t xml:space="preserve">, из них </w:t>
      </w:r>
      <w:r w:rsidRPr="00A665F2">
        <w:rPr>
          <w:sz w:val="26"/>
          <w:szCs w:val="26"/>
        </w:rPr>
        <w:t xml:space="preserve">в специализированных учебных центрах при вузах </w:t>
      </w:r>
      <w:r w:rsidR="00A665F2">
        <w:rPr>
          <w:sz w:val="26"/>
          <w:szCs w:val="26"/>
        </w:rPr>
        <w:t xml:space="preserve">– </w:t>
      </w:r>
      <w:r w:rsidRPr="00A665F2">
        <w:rPr>
          <w:sz w:val="26"/>
          <w:szCs w:val="26"/>
        </w:rPr>
        <w:t>465 работников;</w:t>
      </w:r>
    </w:p>
    <w:p w:rsidR="00252B8E" w:rsidRPr="004761E0" w:rsidRDefault="00252B8E" w:rsidP="007076A7">
      <w:pPr>
        <w:pStyle w:val="ac"/>
        <w:numPr>
          <w:ilvl w:val="0"/>
          <w:numId w:val="206"/>
        </w:numPr>
        <w:ind w:left="1134" w:hanging="567"/>
        <w:rPr>
          <w:sz w:val="26"/>
          <w:szCs w:val="26"/>
        </w:rPr>
      </w:pPr>
      <w:r w:rsidRPr="004761E0">
        <w:rPr>
          <w:sz w:val="26"/>
          <w:szCs w:val="26"/>
        </w:rPr>
        <w:t>по программам дополнительного профессионального образования и профессиональной переподготовки проходили обучение 34 работника.</w:t>
      </w:r>
    </w:p>
    <w:p w:rsidR="00252B8E" w:rsidRPr="004761E0" w:rsidRDefault="00252B8E" w:rsidP="00252B8E">
      <w:pPr>
        <w:pStyle w:val="ac"/>
        <w:ind w:firstLine="567"/>
        <w:rPr>
          <w:sz w:val="26"/>
          <w:szCs w:val="26"/>
        </w:rPr>
      </w:pPr>
      <w:r w:rsidRPr="004761E0">
        <w:rPr>
          <w:sz w:val="26"/>
          <w:szCs w:val="26"/>
        </w:rPr>
        <w:lastRenderedPageBreak/>
        <w:t xml:space="preserve">В 2013 году </w:t>
      </w:r>
      <w:r w:rsidR="0008080E">
        <w:rPr>
          <w:sz w:val="26"/>
          <w:szCs w:val="26"/>
        </w:rPr>
        <w:t>ОАО </w:t>
      </w:r>
      <w:r w:rsidRPr="004761E0">
        <w:rPr>
          <w:sz w:val="26"/>
          <w:szCs w:val="26"/>
        </w:rPr>
        <w:t>«МОЭСК» продолжало активно сотрудничать с образовательными учреждениями</w:t>
      </w:r>
      <w:r w:rsidR="00AE77FD">
        <w:rPr>
          <w:sz w:val="26"/>
          <w:szCs w:val="26"/>
        </w:rPr>
        <w:t>-</w:t>
      </w:r>
      <w:r w:rsidRPr="004761E0">
        <w:rPr>
          <w:sz w:val="26"/>
          <w:szCs w:val="26"/>
        </w:rPr>
        <w:t>партнерами (вузами и ссузами):</w:t>
      </w:r>
    </w:p>
    <w:p w:rsidR="00252B8E" w:rsidRPr="004761E0" w:rsidRDefault="00252B8E" w:rsidP="007076A7">
      <w:pPr>
        <w:pStyle w:val="ac"/>
        <w:numPr>
          <w:ilvl w:val="0"/>
          <w:numId w:val="207"/>
        </w:numPr>
        <w:ind w:left="1134" w:hanging="567"/>
        <w:rPr>
          <w:sz w:val="26"/>
          <w:szCs w:val="26"/>
        </w:rPr>
      </w:pPr>
      <w:r w:rsidRPr="004761E0">
        <w:rPr>
          <w:sz w:val="26"/>
          <w:szCs w:val="26"/>
        </w:rPr>
        <w:t>Федеральное Государственное бюджетное Образовательное Учреждение Высшего Профессионального Обучения «Национальный-исследовательский университет Московский энергетический институт «НИУ МЭИ»</w:t>
      </w:r>
      <w:r w:rsidR="008F55F8" w:rsidRPr="004761E0">
        <w:rPr>
          <w:sz w:val="26"/>
          <w:szCs w:val="26"/>
        </w:rPr>
        <w:t>;</w:t>
      </w:r>
    </w:p>
    <w:p w:rsidR="00252B8E" w:rsidRPr="004761E0" w:rsidRDefault="00252B8E" w:rsidP="007076A7">
      <w:pPr>
        <w:pStyle w:val="ac"/>
        <w:numPr>
          <w:ilvl w:val="0"/>
          <w:numId w:val="207"/>
        </w:numPr>
        <w:ind w:left="1134" w:hanging="567"/>
        <w:rPr>
          <w:sz w:val="26"/>
          <w:szCs w:val="26"/>
        </w:rPr>
      </w:pPr>
      <w:r w:rsidRPr="004761E0">
        <w:rPr>
          <w:sz w:val="26"/>
          <w:szCs w:val="26"/>
        </w:rPr>
        <w:t>Государственное Бюджетное Образовательное Учреждение Высшего Профессионального Образования «Ивановский государственный энергетический университет им. В.И. Ленина»</w:t>
      </w:r>
      <w:r w:rsidR="008F55F8" w:rsidRPr="004761E0">
        <w:rPr>
          <w:sz w:val="26"/>
          <w:szCs w:val="26"/>
        </w:rPr>
        <w:t>;</w:t>
      </w:r>
      <w:r w:rsidRPr="004761E0">
        <w:rPr>
          <w:sz w:val="26"/>
          <w:szCs w:val="26"/>
        </w:rPr>
        <w:t xml:space="preserve"> </w:t>
      </w:r>
    </w:p>
    <w:p w:rsidR="00252B8E" w:rsidRPr="004761E0" w:rsidRDefault="00252B8E" w:rsidP="007076A7">
      <w:pPr>
        <w:pStyle w:val="ac"/>
        <w:numPr>
          <w:ilvl w:val="0"/>
          <w:numId w:val="207"/>
        </w:numPr>
        <w:ind w:left="1134" w:hanging="567"/>
        <w:rPr>
          <w:sz w:val="26"/>
          <w:szCs w:val="26"/>
        </w:rPr>
      </w:pPr>
      <w:r w:rsidRPr="004761E0">
        <w:rPr>
          <w:sz w:val="26"/>
          <w:szCs w:val="26"/>
        </w:rPr>
        <w:t xml:space="preserve">Государственное Бюджетное Образовательное Учреждение Начального Профессионального Образования «Московский Областной Железнодорожный Индустриальный Техникум». </w:t>
      </w:r>
    </w:p>
    <w:p w:rsidR="00252B8E" w:rsidRPr="004761E0" w:rsidRDefault="00252B8E" w:rsidP="00252B8E">
      <w:pPr>
        <w:pStyle w:val="ac"/>
        <w:ind w:firstLine="567"/>
        <w:rPr>
          <w:sz w:val="26"/>
          <w:szCs w:val="26"/>
        </w:rPr>
      </w:pPr>
      <w:r w:rsidRPr="004761E0">
        <w:rPr>
          <w:sz w:val="26"/>
          <w:szCs w:val="26"/>
        </w:rPr>
        <w:t>Кроме того, в 2013 году подписаны соглашения о сотрудничестве со следующими учебными заведениями:</w:t>
      </w:r>
    </w:p>
    <w:p w:rsidR="00252B8E" w:rsidRPr="004761E0" w:rsidRDefault="00252B8E" w:rsidP="007076A7">
      <w:pPr>
        <w:pStyle w:val="ac"/>
        <w:numPr>
          <w:ilvl w:val="0"/>
          <w:numId w:val="207"/>
        </w:numPr>
        <w:ind w:left="1134" w:hanging="567"/>
        <w:rPr>
          <w:sz w:val="26"/>
          <w:szCs w:val="26"/>
        </w:rPr>
      </w:pPr>
      <w:r w:rsidRPr="004761E0">
        <w:rPr>
          <w:sz w:val="26"/>
          <w:szCs w:val="26"/>
        </w:rPr>
        <w:t xml:space="preserve">Государственное Образовательное Учреждение Среднего Профессионального Образования «Шатурский Энергетический Техникум»,  </w:t>
      </w:r>
    </w:p>
    <w:p w:rsidR="00252B8E" w:rsidRPr="004761E0" w:rsidRDefault="00252B8E" w:rsidP="007076A7">
      <w:pPr>
        <w:pStyle w:val="ac"/>
        <w:numPr>
          <w:ilvl w:val="0"/>
          <w:numId w:val="207"/>
        </w:numPr>
        <w:ind w:left="1134" w:hanging="567"/>
        <w:rPr>
          <w:sz w:val="26"/>
          <w:szCs w:val="26"/>
        </w:rPr>
      </w:pPr>
      <w:r w:rsidRPr="004761E0">
        <w:rPr>
          <w:sz w:val="26"/>
          <w:szCs w:val="26"/>
        </w:rPr>
        <w:t xml:space="preserve">Государственное Бюджетное Образовательное Учреждение Высшего Профессионального Образования «Московский государственный университет управления Правительства Москвы», </w:t>
      </w:r>
    </w:p>
    <w:p w:rsidR="00252B8E" w:rsidRPr="004761E0" w:rsidRDefault="00252B8E" w:rsidP="007076A7">
      <w:pPr>
        <w:pStyle w:val="ac"/>
        <w:numPr>
          <w:ilvl w:val="0"/>
          <w:numId w:val="207"/>
        </w:numPr>
        <w:ind w:left="1134" w:hanging="567"/>
        <w:rPr>
          <w:sz w:val="26"/>
          <w:szCs w:val="26"/>
        </w:rPr>
      </w:pPr>
      <w:r w:rsidRPr="004761E0">
        <w:rPr>
          <w:sz w:val="26"/>
          <w:szCs w:val="26"/>
        </w:rPr>
        <w:t xml:space="preserve">Негосударственное Образовательное Учреждение Высшего Профессионального Образования «Экономико-энергетический институт», </w:t>
      </w:r>
    </w:p>
    <w:p w:rsidR="00252B8E" w:rsidRPr="004761E0" w:rsidRDefault="00252B8E" w:rsidP="007076A7">
      <w:pPr>
        <w:pStyle w:val="ac"/>
        <w:numPr>
          <w:ilvl w:val="0"/>
          <w:numId w:val="207"/>
        </w:numPr>
        <w:ind w:left="1134" w:hanging="567"/>
        <w:rPr>
          <w:sz w:val="26"/>
          <w:szCs w:val="26"/>
        </w:rPr>
      </w:pPr>
      <w:r w:rsidRPr="004761E0">
        <w:rPr>
          <w:sz w:val="26"/>
          <w:szCs w:val="26"/>
        </w:rPr>
        <w:t>Автономное Образовательное Частное Учреждение Высшего Профессионального Образования «Московская финансово-юридическая академия».</w:t>
      </w:r>
    </w:p>
    <w:p w:rsidR="00252B8E" w:rsidRPr="004761E0" w:rsidRDefault="00252B8E" w:rsidP="00252B8E">
      <w:pPr>
        <w:pStyle w:val="ac"/>
        <w:ind w:firstLine="567"/>
        <w:rPr>
          <w:sz w:val="26"/>
          <w:szCs w:val="26"/>
        </w:rPr>
      </w:pPr>
      <w:r w:rsidRPr="004761E0">
        <w:rPr>
          <w:sz w:val="26"/>
          <w:szCs w:val="26"/>
        </w:rPr>
        <w:t xml:space="preserve">В 2013 году 101 работник обучался по заочной форме в вузах и ссузах за счет средств Общества. </w:t>
      </w:r>
    </w:p>
    <w:p w:rsidR="00252B8E" w:rsidRPr="004761E0" w:rsidRDefault="00252B8E" w:rsidP="00252B8E">
      <w:pPr>
        <w:ind w:firstLine="567"/>
        <w:rPr>
          <w:sz w:val="26"/>
          <w:szCs w:val="26"/>
        </w:rPr>
      </w:pPr>
      <w:r w:rsidRPr="004761E0">
        <w:rPr>
          <w:sz w:val="26"/>
          <w:szCs w:val="26"/>
        </w:rPr>
        <w:t>122 студента ФГБОУ ВПО «НИУ МЭИ» прошли производственную практику в филиалах Общества.</w:t>
      </w:r>
    </w:p>
    <w:p w:rsidR="00252B8E" w:rsidRPr="004761E0" w:rsidRDefault="0008080E" w:rsidP="00252B8E">
      <w:pPr>
        <w:ind w:firstLine="567"/>
        <w:rPr>
          <w:sz w:val="26"/>
          <w:szCs w:val="26"/>
        </w:rPr>
      </w:pPr>
      <w:r>
        <w:rPr>
          <w:sz w:val="26"/>
          <w:szCs w:val="26"/>
        </w:rPr>
        <w:t>ОАО </w:t>
      </w:r>
      <w:r w:rsidR="00252B8E" w:rsidRPr="004761E0">
        <w:rPr>
          <w:sz w:val="26"/>
          <w:szCs w:val="26"/>
        </w:rPr>
        <w:t xml:space="preserve">«МОЭСК» ведет активную работу в проведении профориентационной работы во всех образовательных учреждениях, участвует в различных мероприятиях учреждений среднего и высшего профессионального образования (День открытых дверей, День посвящения в студенты и др.). В свою очередь образовательные учреждения в 2013 году принимали активное участие в Форуме молодежи, проводимом </w:t>
      </w:r>
      <w:r>
        <w:rPr>
          <w:sz w:val="26"/>
          <w:szCs w:val="26"/>
        </w:rPr>
        <w:t>ОАО </w:t>
      </w:r>
      <w:r w:rsidR="00252B8E" w:rsidRPr="004761E0">
        <w:rPr>
          <w:sz w:val="26"/>
          <w:szCs w:val="26"/>
        </w:rPr>
        <w:t>«МОЭСК».</w:t>
      </w:r>
    </w:p>
    <w:p w:rsidR="00252B8E" w:rsidRPr="004761E0" w:rsidRDefault="00252B8E" w:rsidP="00585397">
      <w:pPr>
        <w:spacing w:before="120" w:after="120"/>
        <w:ind w:firstLine="567"/>
        <w:rPr>
          <w:b/>
          <w:sz w:val="26"/>
          <w:szCs w:val="26"/>
        </w:rPr>
      </w:pPr>
      <w:r w:rsidRPr="004761E0">
        <w:rPr>
          <w:b/>
          <w:sz w:val="26"/>
          <w:szCs w:val="26"/>
        </w:rPr>
        <w:t>Внутреннее обучение</w:t>
      </w:r>
    </w:p>
    <w:p w:rsidR="00252B8E" w:rsidRPr="004761E0" w:rsidRDefault="00252B8E" w:rsidP="00252B8E">
      <w:pPr>
        <w:pStyle w:val="ac"/>
        <w:ind w:firstLine="567"/>
        <w:rPr>
          <w:sz w:val="26"/>
          <w:szCs w:val="26"/>
        </w:rPr>
      </w:pPr>
      <w:r w:rsidRPr="004761E0">
        <w:rPr>
          <w:sz w:val="26"/>
          <w:szCs w:val="26"/>
        </w:rPr>
        <w:t xml:space="preserve">В целях повышения эффективности системы обучения работников в 2013 году создан Учебный центр </w:t>
      </w:r>
      <w:r w:rsidR="0008080E">
        <w:rPr>
          <w:sz w:val="26"/>
          <w:szCs w:val="26"/>
        </w:rPr>
        <w:t>ОАО </w:t>
      </w:r>
      <w:r w:rsidRPr="004761E0">
        <w:rPr>
          <w:sz w:val="26"/>
          <w:szCs w:val="26"/>
        </w:rPr>
        <w:t>«МОЭСК». Создание Учебного центра позволило активно развивать систему внутреннего обучения. Так в 2013 году организовано обучение персонала по 9 разработанным Учебным центром типовым программам.</w:t>
      </w:r>
    </w:p>
    <w:p w:rsidR="00252B8E" w:rsidRPr="004761E0" w:rsidRDefault="00252B8E" w:rsidP="00252B8E">
      <w:pPr>
        <w:pStyle w:val="ac"/>
        <w:ind w:firstLine="567"/>
        <w:rPr>
          <w:sz w:val="26"/>
          <w:szCs w:val="26"/>
        </w:rPr>
      </w:pPr>
      <w:r w:rsidRPr="004761E0">
        <w:rPr>
          <w:sz w:val="26"/>
          <w:szCs w:val="26"/>
        </w:rPr>
        <w:t xml:space="preserve">В 2013 году начата работа по получению </w:t>
      </w:r>
      <w:r w:rsidR="0008080E">
        <w:rPr>
          <w:sz w:val="26"/>
          <w:szCs w:val="26"/>
        </w:rPr>
        <w:t>ОАО </w:t>
      </w:r>
      <w:r w:rsidRPr="004761E0">
        <w:rPr>
          <w:sz w:val="26"/>
          <w:szCs w:val="26"/>
        </w:rPr>
        <w:t xml:space="preserve">«МОЭСК» лицензии на дополнительное профессиональное образование, которая позволит постепенно перевести часть внешнего обучения работников Общества в разряд внутреннего обучения. </w:t>
      </w:r>
    </w:p>
    <w:p w:rsidR="00252B8E" w:rsidRPr="004761E0" w:rsidRDefault="00252B8E" w:rsidP="00252B8E">
      <w:pPr>
        <w:pStyle w:val="ac"/>
        <w:ind w:firstLine="567"/>
        <w:rPr>
          <w:sz w:val="26"/>
          <w:szCs w:val="26"/>
        </w:rPr>
      </w:pPr>
      <w:r w:rsidRPr="004761E0">
        <w:rPr>
          <w:sz w:val="26"/>
          <w:szCs w:val="26"/>
        </w:rPr>
        <w:t xml:space="preserve">Учебным центром в отчетном году организована и активно проводилась работа по формированию программ обучения для директоров филиалов, начальников РЭС, сотрудников кадрового резерва на 2014 год (посещение тематических выставок, </w:t>
      </w:r>
      <w:r w:rsidRPr="004761E0">
        <w:rPr>
          <w:sz w:val="26"/>
          <w:szCs w:val="26"/>
        </w:rPr>
        <w:lastRenderedPageBreak/>
        <w:t xml:space="preserve">организация встреч с провайдерами, разработка программ «Школа руководителя»). В 2013 году внедрена система дистанционной предэкзаменационной подготовки, </w:t>
      </w:r>
      <w:r w:rsidR="00A665F2">
        <w:rPr>
          <w:sz w:val="26"/>
          <w:szCs w:val="26"/>
        </w:rPr>
        <w:t xml:space="preserve">в </w:t>
      </w:r>
      <w:r w:rsidRPr="004761E0">
        <w:rPr>
          <w:sz w:val="26"/>
          <w:szCs w:val="26"/>
        </w:rPr>
        <w:t xml:space="preserve">которой </w:t>
      </w:r>
      <w:r w:rsidR="00A665F2">
        <w:rPr>
          <w:sz w:val="26"/>
          <w:szCs w:val="26"/>
        </w:rPr>
        <w:t xml:space="preserve">приняли участие </w:t>
      </w:r>
      <w:r w:rsidRPr="004761E0">
        <w:rPr>
          <w:sz w:val="26"/>
          <w:szCs w:val="26"/>
        </w:rPr>
        <w:t>330 чел</w:t>
      </w:r>
      <w:r w:rsidR="00A665F2">
        <w:rPr>
          <w:sz w:val="26"/>
          <w:szCs w:val="26"/>
        </w:rPr>
        <w:t>овек</w:t>
      </w:r>
      <w:r w:rsidRPr="004761E0">
        <w:rPr>
          <w:sz w:val="26"/>
          <w:szCs w:val="26"/>
        </w:rPr>
        <w:t>. По локальным программам внутреннего обучения в филиалах (114 программ) прошли обучение 7 425 чел</w:t>
      </w:r>
      <w:r w:rsidR="00A665F2">
        <w:rPr>
          <w:sz w:val="26"/>
          <w:szCs w:val="26"/>
        </w:rPr>
        <w:t>овек</w:t>
      </w:r>
      <w:r w:rsidRPr="004761E0">
        <w:rPr>
          <w:sz w:val="26"/>
          <w:szCs w:val="26"/>
        </w:rPr>
        <w:t>. К процессу внутреннего обучения привлечено 5 внешних преподавателей и 341</w:t>
      </w:r>
      <w:r w:rsidR="00A665F2">
        <w:rPr>
          <w:sz w:val="26"/>
          <w:szCs w:val="26"/>
        </w:rPr>
        <w:t> </w:t>
      </w:r>
      <w:r w:rsidRPr="004761E0">
        <w:rPr>
          <w:sz w:val="26"/>
          <w:szCs w:val="26"/>
        </w:rPr>
        <w:t>высококвалифицированны</w:t>
      </w:r>
      <w:r w:rsidR="00A665F2">
        <w:rPr>
          <w:sz w:val="26"/>
          <w:szCs w:val="26"/>
        </w:rPr>
        <w:t>й</w:t>
      </w:r>
      <w:r w:rsidRPr="004761E0">
        <w:rPr>
          <w:sz w:val="26"/>
          <w:szCs w:val="26"/>
        </w:rPr>
        <w:t xml:space="preserve"> специалист Общества. В 2013 году активно внедрялась интерактивная форма обучения в виде тренингов, в которых приняло участие 103 работника Общества. В 2013 году продолжилась реализация типовых программ внутреннего обучения на базе Коломенского РЭС филиала ВЭС (теоретические и практические занятия на закрытом специализированном полигоне) и на базе Раменского РЭС филиала ЮЭС (практические занятия на открытом специализированном полигоне), по которым прошло обучение 107 человек.</w:t>
      </w:r>
    </w:p>
    <w:p w:rsidR="00252B8E" w:rsidRPr="004761E0" w:rsidRDefault="00252B8E" w:rsidP="00252B8E">
      <w:pPr>
        <w:pStyle w:val="ac"/>
        <w:ind w:firstLine="567"/>
        <w:rPr>
          <w:sz w:val="26"/>
          <w:szCs w:val="26"/>
        </w:rPr>
      </w:pPr>
      <w:r w:rsidRPr="004761E0">
        <w:rPr>
          <w:sz w:val="26"/>
          <w:szCs w:val="26"/>
        </w:rPr>
        <w:t>Кроме того, в рамках внутреннего обучения на базе филиала МКС проводится обучение работников Общества с использованием внутренних ресурсов. В течение 2013 года в службе учебной подготовки персонала филиала МКС прошли обучение более 2 000 работников Общества по 50 программам технического направления.</w:t>
      </w:r>
    </w:p>
    <w:p w:rsidR="00252B8E" w:rsidRPr="004761E0" w:rsidRDefault="00252B8E" w:rsidP="00252B8E">
      <w:pPr>
        <w:pStyle w:val="ac"/>
        <w:ind w:firstLine="567"/>
        <w:rPr>
          <w:sz w:val="26"/>
          <w:szCs w:val="26"/>
        </w:rPr>
      </w:pPr>
      <w:r w:rsidRPr="004761E0">
        <w:rPr>
          <w:sz w:val="26"/>
          <w:szCs w:val="26"/>
        </w:rPr>
        <w:t xml:space="preserve">Для организации повышения квалификации персонала используются </w:t>
      </w:r>
      <w:r w:rsidR="00A665F2">
        <w:rPr>
          <w:sz w:val="26"/>
          <w:szCs w:val="26"/>
        </w:rPr>
        <w:t xml:space="preserve">электросетевые </w:t>
      </w:r>
      <w:r w:rsidR="00AE77FD">
        <w:rPr>
          <w:sz w:val="26"/>
          <w:szCs w:val="26"/>
        </w:rPr>
        <w:t>полигоны филиалов Общества:</w:t>
      </w:r>
    </w:p>
    <w:p w:rsidR="00252B8E" w:rsidRPr="004761E0" w:rsidRDefault="00252B8E" w:rsidP="007076A7">
      <w:pPr>
        <w:pStyle w:val="ac"/>
        <w:numPr>
          <w:ilvl w:val="0"/>
          <w:numId w:val="208"/>
        </w:numPr>
        <w:ind w:left="1134" w:hanging="567"/>
        <w:rPr>
          <w:sz w:val="26"/>
          <w:szCs w:val="26"/>
        </w:rPr>
      </w:pPr>
      <w:r w:rsidRPr="004761E0">
        <w:rPr>
          <w:sz w:val="26"/>
          <w:szCs w:val="26"/>
        </w:rPr>
        <w:t xml:space="preserve">закрытый специализированный полигон на базе Коломенского РЭС; </w:t>
      </w:r>
    </w:p>
    <w:p w:rsidR="00252B8E" w:rsidRPr="004761E0" w:rsidRDefault="00252B8E" w:rsidP="007076A7">
      <w:pPr>
        <w:pStyle w:val="ac"/>
        <w:numPr>
          <w:ilvl w:val="0"/>
          <w:numId w:val="208"/>
        </w:numPr>
        <w:ind w:left="1134" w:hanging="567"/>
        <w:rPr>
          <w:sz w:val="26"/>
          <w:szCs w:val="26"/>
        </w:rPr>
      </w:pPr>
      <w:r w:rsidRPr="004761E0">
        <w:rPr>
          <w:sz w:val="26"/>
          <w:szCs w:val="26"/>
        </w:rPr>
        <w:t>специализированный полигон высоковольтных электрических сетей на базе Балашихинского РЭС (филиал ВЭС);</w:t>
      </w:r>
    </w:p>
    <w:p w:rsidR="00252B8E" w:rsidRPr="004761E0" w:rsidRDefault="00252B8E" w:rsidP="007076A7">
      <w:pPr>
        <w:pStyle w:val="ac"/>
        <w:numPr>
          <w:ilvl w:val="0"/>
          <w:numId w:val="208"/>
        </w:numPr>
        <w:ind w:left="1134" w:hanging="567"/>
        <w:rPr>
          <w:sz w:val="26"/>
          <w:szCs w:val="26"/>
        </w:rPr>
      </w:pPr>
      <w:r w:rsidRPr="004761E0">
        <w:rPr>
          <w:sz w:val="26"/>
          <w:szCs w:val="26"/>
        </w:rPr>
        <w:t>специализированный полигон распределительных и высоковольтных электрических сетей на базе Раменского РЭС (филиал ЮЭС);</w:t>
      </w:r>
    </w:p>
    <w:p w:rsidR="00252B8E" w:rsidRPr="004761E0" w:rsidRDefault="00252B8E" w:rsidP="007076A7">
      <w:pPr>
        <w:pStyle w:val="ac"/>
        <w:numPr>
          <w:ilvl w:val="0"/>
          <w:numId w:val="208"/>
        </w:numPr>
        <w:ind w:left="1134" w:hanging="567"/>
        <w:rPr>
          <w:sz w:val="26"/>
          <w:szCs w:val="26"/>
        </w:rPr>
      </w:pPr>
      <w:r w:rsidRPr="004761E0">
        <w:rPr>
          <w:sz w:val="26"/>
          <w:szCs w:val="26"/>
        </w:rPr>
        <w:t xml:space="preserve">специализированный полигон распределительных электрических сетей на базе Мытищинского РЭС (филиал СЭС); </w:t>
      </w:r>
    </w:p>
    <w:p w:rsidR="00252B8E" w:rsidRPr="004761E0" w:rsidRDefault="00252B8E" w:rsidP="007076A7">
      <w:pPr>
        <w:pStyle w:val="ac"/>
        <w:numPr>
          <w:ilvl w:val="0"/>
          <w:numId w:val="208"/>
        </w:numPr>
        <w:ind w:left="1134" w:hanging="567"/>
        <w:rPr>
          <w:sz w:val="26"/>
          <w:szCs w:val="26"/>
        </w:rPr>
      </w:pPr>
      <w:r w:rsidRPr="004761E0">
        <w:rPr>
          <w:sz w:val="26"/>
          <w:szCs w:val="26"/>
        </w:rPr>
        <w:t>специализированный полигон распределительных электрических сетей на базе Можайского РЭС (филиал ЗЭС).</w:t>
      </w:r>
    </w:p>
    <w:p w:rsidR="00252B8E" w:rsidRPr="004761E0" w:rsidRDefault="00252B8E" w:rsidP="007076A7">
      <w:pPr>
        <w:pStyle w:val="ac"/>
        <w:numPr>
          <w:ilvl w:val="0"/>
          <w:numId w:val="208"/>
        </w:numPr>
        <w:ind w:left="1134" w:hanging="567"/>
        <w:rPr>
          <w:sz w:val="26"/>
          <w:szCs w:val="26"/>
        </w:rPr>
      </w:pPr>
      <w:r w:rsidRPr="004761E0">
        <w:rPr>
          <w:sz w:val="26"/>
          <w:szCs w:val="26"/>
        </w:rPr>
        <w:t xml:space="preserve">учебная мастерская с учебным классом кабельных линий на базе </w:t>
      </w:r>
      <w:r w:rsidR="00AE77FD">
        <w:rPr>
          <w:sz w:val="26"/>
          <w:szCs w:val="26"/>
        </w:rPr>
        <w:t xml:space="preserve">филиала </w:t>
      </w:r>
      <w:r w:rsidRPr="004761E0">
        <w:rPr>
          <w:sz w:val="26"/>
          <w:szCs w:val="26"/>
        </w:rPr>
        <w:t>МКС.</w:t>
      </w:r>
    </w:p>
    <w:p w:rsidR="00252B8E" w:rsidRPr="004761E0" w:rsidRDefault="00252B8E" w:rsidP="00585397">
      <w:pPr>
        <w:spacing w:before="120" w:after="120"/>
        <w:ind w:firstLine="567"/>
        <w:rPr>
          <w:b/>
          <w:sz w:val="26"/>
          <w:szCs w:val="26"/>
        </w:rPr>
      </w:pPr>
      <w:r w:rsidRPr="004761E0">
        <w:rPr>
          <w:b/>
          <w:sz w:val="26"/>
          <w:szCs w:val="26"/>
        </w:rPr>
        <w:t>Соревнования профессионального мастерства</w:t>
      </w:r>
    </w:p>
    <w:p w:rsidR="00252B8E" w:rsidRPr="004761E0" w:rsidRDefault="00252B8E" w:rsidP="00252B8E">
      <w:pPr>
        <w:pStyle w:val="ac"/>
        <w:ind w:firstLine="567"/>
        <w:rPr>
          <w:sz w:val="26"/>
          <w:szCs w:val="26"/>
        </w:rPr>
      </w:pPr>
      <w:r w:rsidRPr="004761E0">
        <w:rPr>
          <w:sz w:val="26"/>
          <w:szCs w:val="26"/>
        </w:rPr>
        <w:t xml:space="preserve">Одной из наиболее действенных форм профессиональной подготовки персонала является организация соревнований профессионального мастерства, в которых принимают участие </w:t>
      </w:r>
      <w:r w:rsidR="00A665F2">
        <w:rPr>
          <w:sz w:val="26"/>
          <w:szCs w:val="26"/>
        </w:rPr>
        <w:t>работники производственных подразделений филиалов Общества.</w:t>
      </w:r>
    </w:p>
    <w:p w:rsidR="00252B8E" w:rsidRPr="004761E0" w:rsidRDefault="00252B8E" w:rsidP="00252B8E">
      <w:pPr>
        <w:pStyle w:val="ac"/>
        <w:rPr>
          <w:sz w:val="26"/>
          <w:szCs w:val="26"/>
        </w:rPr>
      </w:pPr>
      <w:r w:rsidRPr="004761E0">
        <w:rPr>
          <w:color w:val="000000"/>
          <w:sz w:val="26"/>
          <w:szCs w:val="26"/>
        </w:rPr>
        <w:t xml:space="preserve">В 2013 году </w:t>
      </w:r>
      <w:r w:rsidR="0008080E">
        <w:rPr>
          <w:color w:val="000000"/>
          <w:sz w:val="26"/>
          <w:szCs w:val="26"/>
        </w:rPr>
        <w:t>ОАО </w:t>
      </w:r>
      <w:r w:rsidRPr="004761E0">
        <w:rPr>
          <w:color w:val="000000"/>
          <w:sz w:val="26"/>
          <w:szCs w:val="26"/>
        </w:rPr>
        <w:t xml:space="preserve">«МОЭСК» приняло </w:t>
      </w:r>
      <w:r w:rsidRPr="004761E0">
        <w:rPr>
          <w:sz w:val="26"/>
          <w:szCs w:val="26"/>
        </w:rPr>
        <w:t xml:space="preserve">участие  в соревнованиях «Московские мастера» ДепТЭХ правительства г. Москвы. Участник от </w:t>
      </w:r>
      <w:r w:rsidR="0008080E">
        <w:rPr>
          <w:sz w:val="26"/>
          <w:szCs w:val="26"/>
        </w:rPr>
        <w:t>ОАО </w:t>
      </w:r>
      <w:r w:rsidRPr="004761E0">
        <w:rPr>
          <w:sz w:val="26"/>
          <w:szCs w:val="26"/>
        </w:rPr>
        <w:t>«МОЭСК» занял первое место в соревнованиях водителей ОВБ.</w:t>
      </w:r>
    </w:p>
    <w:p w:rsidR="00252B8E" w:rsidRPr="004761E0" w:rsidRDefault="00252B8E" w:rsidP="00252B8E">
      <w:pPr>
        <w:pStyle w:val="ac"/>
        <w:rPr>
          <w:sz w:val="26"/>
          <w:szCs w:val="26"/>
        </w:rPr>
      </w:pPr>
      <w:r w:rsidRPr="004761E0">
        <w:rPr>
          <w:sz w:val="26"/>
          <w:szCs w:val="26"/>
        </w:rPr>
        <w:t>С 17 по 28 июня на территории ПС «Горенки» Балашихинского РЭС филиала ВЭС проведены 4-е комплексные соревнования оперативно-ремонтного персонала распределительных сетей. В соревнованиях приняло участие 5 команд от филиалов Общества.</w:t>
      </w:r>
    </w:p>
    <w:p w:rsidR="00252B8E" w:rsidRPr="004761E0" w:rsidRDefault="00252B8E" w:rsidP="00252B8E">
      <w:pPr>
        <w:pStyle w:val="ac"/>
      </w:pPr>
      <w:r w:rsidRPr="004761E0">
        <w:rPr>
          <w:sz w:val="26"/>
          <w:szCs w:val="26"/>
        </w:rPr>
        <w:t xml:space="preserve">С 24 по 26 сентября на базе автомобильного полигона НИИ АТ  г. Бронницы при содействии филиала ЮЭС проведены 3-е соревнования профессионального мастерства водителей </w:t>
      </w:r>
      <w:r w:rsidR="0008080E">
        <w:rPr>
          <w:sz w:val="26"/>
          <w:szCs w:val="26"/>
        </w:rPr>
        <w:t>ОАО </w:t>
      </w:r>
      <w:r w:rsidRPr="004761E0">
        <w:rPr>
          <w:sz w:val="26"/>
          <w:szCs w:val="26"/>
        </w:rPr>
        <w:t>«МОЭСК». В соревнованиях приняло участие 7 команд от филиалов Общества.</w:t>
      </w:r>
    </w:p>
    <w:p w:rsidR="00FF7FBB" w:rsidRPr="004761E0" w:rsidRDefault="00FF7FBB" w:rsidP="00585397">
      <w:pPr>
        <w:spacing w:before="120" w:after="120"/>
        <w:ind w:firstLine="567"/>
        <w:rPr>
          <w:b/>
          <w:sz w:val="26"/>
          <w:szCs w:val="26"/>
        </w:rPr>
      </w:pPr>
      <w:r w:rsidRPr="004761E0">
        <w:rPr>
          <w:b/>
          <w:sz w:val="26"/>
          <w:szCs w:val="26"/>
        </w:rPr>
        <w:t>Система оплаты труда</w:t>
      </w:r>
    </w:p>
    <w:p w:rsidR="00FF7FBB" w:rsidRPr="004761E0" w:rsidRDefault="00FF7FBB" w:rsidP="00FF7FBB">
      <w:pPr>
        <w:shd w:val="clear" w:color="auto" w:fill="FFFFFF"/>
        <w:spacing w:line="291" w:lineRule="atLeast"/>
        <w:ind w:firstLine="567"/>
        <w:rPr>
          <w:rFonts w:eastAsia="Times New Roman"/>
          <w:color w:val="000000"/>
          <w:sz w:val="26"/>
          <w:szCs w:val="26"/>
          <w:lang w:eastAsia="ru-RU"/>
        </w:rPr>
      </w:pPr>
      <w:r w:rsidRPr="004761E0">
        <w:rPr>
          <w:rFonts w:eastAsia="Times New Roman"/>
          <w:color w:val="000000"/>
          <w:sz w:val="26"/>
          <w:szCs w:val="26"/>
          <w:lang w:eastAsia="ru-RU"/>
        </w:rPr>
        <w:lastRenderedPageBreak/>
        <w:t>Существующая в Обществе система оплаты труда</w:t>
      </w:r>
      <w:r w:rsidRPr="004761E0">
        <w:rPr>
          <w:sz w:val="26"/>
          <w:szCs w:val="26"/>
        </w:rPr>
        <w:t xml:space="preserve"> отвечает основным тенденциям по оплате на рынке труда и предусматривает сквозную систему мотивации для всех работников (</w:t>
      </w:r>
      <w:r w:rsidRPr="004761E0">
        <w:rPr>
          <w:color w:val="000000"/>
          <w:sz w:val="26"/>
          <w:szCs w:val="26"/>
        </w:rPr>
        <w:t xml:space="preserve">единая тарифная сетка, система премирования, льгот и компенсаций), </w:t>
      </w:r>
      <w:r w:rsidRPr="004761E0">
        <w:rPr>
          <w:rFonts w:eastAsia="Times New Roman"/>
          <w:color w:val="000000"/>
          <w:sz w:val="26"/>
          <w:szCs w:val="26"/>
          <w:lang w:eastAsia="ru-RU"/>
        </w:rPr>
        <w:t>равную тарифную оплату за труд равной ценности, определяем</w:t>
      </w:r>
      <w:r w:rsidR="008E1B9F" w:rsidRPr="004761E0">
        <w:rPr>
          <w:rFonts w:eastAsia="Times New Roman"/>
          <w:color w:val="000000"/>
          <w:sz w:val="26"/>
          <w:szCs w:val="26"/>
          <w:lang w:eastAsia="ru-RU"/>
        </w:rPr>
        <w:t>ую</w:t>
      </w:r>
      <w:r w:rsidRPr="004761E0">
        <w:rPr>
          <w:rFonts w:eastAsia="Times New Roman"/>
          <w:color w:val="000000"/>
          <w:sz w:val="26"/>
          <w:szCs w:val="26"/>
          <w:lang w:eastAsia="ru-RU"/>
        </w:rPr>
        <w:t xml:space="preserve"> сложностью выполняемых работ, количеством и качеством затрачиваемого труда.</w:t>
      </w:r>
    </w:p>
    <w:p w:rsidR="00FF7FBB" w:rsidRPr="004761E0" w:rsidRDefault="00FF7FBB" w:rsidP="00FF7FBB">
      <w:pPr>
        <w:ind w:firstLine="567"/>
        <w:rPr>
          <w:color w:val="000000"/>
          <w:sz w:val="26"/>
          <w:szCs w:val="26"/>
        </w:rPr>
      </w:pPr>
      <w:r w:rsidRPr="004761E0">
        <w:rPr>
          <w:color w:val="000000"/>
          <w:sz w:val="26"/>
          <w:szCs w:val="26"/>
        </w:rPr>
        <w:t>В Обществе применяются следующие формы оплаты труда:</w:t>
      </w:r>
    </w:p>
    <w:p w:rsidR="00FF7FBB" w:rsidRPr="004761E0" w:rsidRDefault="00FF7FBB" w:rsidP="007076A7">
      <w:pPr>
        <w:numPr>
          <w:ilvl w:val="0"/>
          <w:numId w:val="227"/>
        </w:numPr>
        <w:ind w:left="1134" w:hanging="567"/>
        <w:rPr>
          <w:color w:val="000000"/>
          <w:sz w:val="26"/>
          <w:szCs w:val="26"/>
        </w:rPr>
      </w:pPr>
      <w:r w:rsidRPr="004761E0">
        <w:rPr>
          <w:color w:val="000000"/>
          <w:sz w:val="26"/>
          <w:szCs w:val="26"/>
        </w:rPr>
        <w:t>повременно-премиальная, при которой заработок работников зависит от количества фактически отработанного времени с учётом квалификации работника и условий труда;</w:t>
      </w:r>
    </w:p>
    <w:p w:rsidR="00FF7FBB" w:rsidRPr="004761E0" w:rsidRDefault="00FF7FBB" w:rsidP="007076A7">
      <w:pPr>
        <w:numPr>
          <w:ilvl w:val="0"/>
          <w:numId w:val="227"/>
        </w:numPr>
        <w:ind w:left="1134" w:hanging="567"/>
        <w:rPr>
          <w:color w:val="000000"/>
          <w:sz w:val="26"/>
          <w:szCs w:val="26"/>
        </w:rPr>
      </w:pPr>
      <w:r w:rsidRPr="004761E0">
        <w:rPr>
          <w:color w:val="000000"/>
          <w:sz w:val="26"/>
          <w:szCs w:val="26"/>
        </w:rPr>
        <w:t>сдельно-премиальная, при которой заработок работников зависит от нормы выработки - установленного объема продукции, подлежащей изготовлению работником в течение определенного времени (или обратной величины - нормы времени, расходуемого на создание единицы или партии изделий).</w:t>
      </w:r>
    </w:p>
    <w:p w:rsidR="00FF7FBB" w:rsidRPr="004761E0" w:rsidRDefault="00FF7FBB" w:rsidP="00FF7FBB">
      <w:pPr>
        <w:ind w:firstLine="567"/>
        <w:rPr>
          <w:sz w:val="26"/>
          <w:szCs w:val="26"/>
        </w:rPr>
      </w:pPr>
      <w:r w:rsidRPr="004761E0">
        <w:rPr>
          <w:sz w:val="26"/>
          <w:szCs w:val="26"/>
        </w:rPr>
        <w:t xml:space="preserve">Действующая система оплаты труда предусматривает </w:t>
      </w:r>
      <w:r w:rsidR="00D85C00" w:rsidRPr="004761E0">
        <w:rPr>
          <w:sz w:val="26"/>
          <w:szCs w:val="26"/>
        </w:rPr>
        <w:t xml:space="preserve">также </w:t>
      </w:r>
      <w:r w:rsidRPr="004761E0">
        <w:rPr>
          <w:sz w:val="26"/>
          <w:szCs w:val="26"/>
        </w:rPr>
        <w:t xml:space="preserve">следующие виды </w:t>
      </w:r>
      <w:r w:rsidR="00D85C00" w:rsidRPr="004761E0">
        <w:rPr>
          <w:sz w:val="26"/>
          <w:szCs w:val="26"/>
        </w:rPr>
        <w:t>выплат</w:t>
      </w:r>
      <w:r w:rsidRPr="004761E0">
        <w:rPr>
          <w:sz w:val="26"/>
          <w:szCs w:val="26"/>
        </w:rPr>
        <w:t>:</w:t>
      </w:r>
    </w:p>
    <w:p w:rsidR="00FF7FBB" w:rsidRPr="004761E0" w:rsidRDefault="00FF7FBB" w:rsidP="007076A7">
      <w:pPr>
        <w:numPr>
          <w:ilvl w:val="0"/>
          <w:numId w:val="228"/>
        </w:numPr>
        <w:tabs>
          <w:tab w:val="left" w:pos="1134"/>
        </w:tabs>
        <w:ind w:left="1134" w:hanging="567"/>
        <w:rPr>
          <w:sz w:val="26"/>
          <w:szCs w:val="26"/>
        </w:rPr>
      </w:pPr>
      <w:r w:rsidRPr="004761E0">
        <w:rPr>
          <w:sz w:val="26"/>
          <w:szCs w:val="26"/>
        </w:rPr>
        <w:t>доплаты компенсационного характера, связанные с режимом работы и условиями труда;</w:t>
      </w:r>
    </w:p>
    <w:p w:rsidR="00FF7FBB" w:rsidRPr="004761E0" w:rsidRDefault="00FF7FBB" w:rsidP="007076A7">
      <w:pPr>
        <w:numPr>
          <w:ilvl w:val="0"/>
          <w:numId w:val="228"/>
        </w:numPr>
        <w:tabs>
          <w:tab w:val="left" w:pos="1134"/>
        </w:tabs>
        <w:ind w:left="1134" w:hanging="567"/>
        <w:rPr>
          <w:sz w:val="26"/>
          <w:szCs w:val="26"/>
        </w:rPr>
      </w:pPr>
      <w:r w:rsidRPr="004761E0">
        <w:rPr>
          <w:sz w:val="26"/>
          <w:szCs w:val="26"/>
        </w:rPr>
        <w:t>надбавки стимулирующего характера, связанные с личными результатами труда работника;</w:t>
      </w:r>
    </w:p>
    <w:p w:rsidR="00FF7FBB" w:rsidRPr="004761E0" w:rsidRDefault="00FF7FBB" w:rsidP="007076A7">
      <w:pPr>
        <w:numPr>
          <w:ilvl w:val="0"/>
          <w:numId w:val="228"/>
        </w:numPr>
        <w:tabs>
          <w:tab w:val="left" w:pos="1134"/>
        </w:tabs>
        <w:ind w:left="1134" w:hanging="567"/>
        <w:rPr>
          <w:sz w:val="26"/>
          <w:szCs w:val="26"/>
        </w:rPr>
      </w:pPr>
      <w:r w:rsidRPr="004761E0">
        <w:rPr>
          <w:sz w:val="26"/>
          <w:szCs w:val="26"/>
        </w:rPr>
        <w:t xml:space="preserve">мотивация для всех категорий работников Компании, основанная на принципе каскадирования </w:t>
      </w:r>
      <w:r w:rsidR="00D85C00" w:rsidRPr="004761E0">
        <w:rPr>
          <w:sz w:val="26"/>
          <w:szCs w:val="26"/>
        </w:rPr>
        <w:t>КПЭ</w:t>
      </w:r>
      <w:r w:rsidRPr="004761E0">
        <w:rPr>
          <w:sz w:val="26"/>
          <w:szCs w:val="26"/>
        </w:rPr>
        <w:t>, в соответствии с которыми цели и задачи Общества формируются от генерального директора (верхний уровень) до каждого работника структурного подразделения (нижний уровень).</w:t>
      </w:r>
    </w:p>
    <w:p w:rsidR="0070361A" w:rsidRPr="004761E0" w:rsidRDefault="0070361A" w:rsidP="00FF7FBB">
      <w:pPr>
        <w:pStyle w:val="15"/>
        <w:numPr>
          <w:ilvl w:val="0"/>
          <w:numId w:val="0"/>
        </w:numPr>
        <w:spacing w:before="0"/>
        <w:ind w:firstLine="567"/>
        <w:rPr>
          <w:sz w:val="26"/>
          <w:szCs w:val="26"/>
        </w:rPr>
      </w:pPr>
      <w:r w:rsidRPr="004761E0">
        <w:rPr>
          <w:sz w:val="26"/>
          <w:szCs w:val="26"/>
        </w:rPr>
        <w:t xml:space="preserve">В 2013 году в целях </w:t>
      </w:r>
      <w:r w:rsidR="00FF7FBB" w:rsidRPr="004761E0">
        <w:rPr>
          <w:sz w:val="26"/>
          <w:szCs w:val="26"/>
        </w:rPr>
        <w:t xml:space="preserve">повышение уровня заработной платы работников основного производственного персонала </w:t>
      </w:r>
      <w:r w:rsidRPr="004761E0">
        <w:rPr>
          <w:sz w:val="26"/>
          <w:szCs w:val="26"/>
        </w:rPr>
        <w:t>проведены следующие мероприятия:</w:t>
      </w:r>
    </w:p>
    <w:p w:rsidR="0070361A" w:rsidRPr="004761E0" w:rsidRDefault="0070361A" w:rsidP="007076A7">
      <w:pPr>
        <w:pStyle w:val="15"/>
        <w:numPr>
          <w:ilvl w:val="0"/>
          <w:numId w:val="230"/>
        </w:numPr>
        <w:spacing w:before="0"/>
        <w:ind w:left="1134" w:hanging="567"/>
        <w:rPr>
          <w:sz w:val="26"/>
          <w:szCs w:val="26"/>
        </w:rPr>
      </w:pPr>
      <w:r w:rsidRPr="004761E0">
        <w:rPr>
          <w:sz w:val="26"/>
          <w:szCs w:val="26"/>
        </w:rPr>
        <w:t>внедрена система материального стимулирования работников филиалов по оказанию дополнительных услуг сторонним организациям и/или физическим лицам;</w:t>
      </w:r>
    </w:p>
    <w:p w:rsidR="0070361A" w:rsidRPr="004761E0" w:rsidRDefault="0070361A" w:rsidP="007076A7">
      <w:pPr>
        <w:pStyle w:val="15"/>
        <w:numPr>
          <w:ilvl w:val="0"/>
          <w:numId w:val="230"/>
        </w:numPr>
        <w:spacing w:before="0"/>
        <w:ind w:left="1134" w:hanging="567"/>
        <w:rPr>
          <w:sz w:val="26"/>
          <w:szCs w:val="26"/>
        </w:rPr>
      </w:pPr>
      <w:r w:rsidRPr="004761E0">
        <w:rPr>
          <w:sz w:val="26"/>
          <w:szCs w:val="26"/>
        </w:rPr>
        <w:t>установлен</w:t>
      </w:r>
      <w:r w:rsidR="00D85C00" w:rsidRPr="004761E0">
        <w:rPr>
          <w:sz w:val="26"/>
          <w:szCs w:val="26"/>
        </w:rPr>
        <w:t>ы</w:t>
      </w:r>
      <w:r w:rsidRPr="004761E0">
        <w:rPr>
          <w:sz w:val="26"/>
          <w:szCs w:val="26"/>
        </w:rPr>
        <w:t xml:space="preserve"> персональны</w:t>
      </w:r>
      <w:r w:rsidR="00D85C00" w:rsidRPr="004761E0">
        <w:rPr>
          <w:sz w:val="26"/>
          <w:szCs w:val="26"/>
        </w:rPr>
        <w:t>е</w:t>
      </w:r>
      <w:r w:rsidRPr="004761E0">
        <w:rPr>
          <w:sz w:val="26"/>
          <w:szCs w:val="26"/>
        </w:rPr>
        <w:t xml:space="preserve"> </w:t>
      </w:r>
      <w:r w:rsidR="00D85C00" w:rsidRPr="004761E0">
        <w:rPr>
          <w:sz w:val="26"/>
          <w:szCs w:val="26"/>
        </w:rPr>
        <w:t>надбав</w:t>
      </w:r>
      <w:r w:rsidRPr="004761E0">
        <w:rPr>
          <w:sz w:val="26"/>
          <w:szCs w:val="26"/>
        </w:rPr>
        <w:t>к</w:t>
      </w:r>
      <w:r w:rsidR="00D85C00" w:rsidRPr="004761E0">
        <w:rPr>
          <w:sz w:val="26"/>
          <w:szCs w:val="26"/>
        </w:rPr>
        <w:t>и</w:t>
      </w:r>
      <w:r w:rsidRPr="004761E0">
        <w:rPr>
          <w:sz w:val="26"/>
          <w:szCs w:val="26"/>
        </w:rPr>
        <w:t xml:space="preserve"> работникам дефицитных профессий</w:t>
      </w:r>
      <w:r w:rsidR="00D85C00" w:rsidRPr="004761E0">
        <w:rPr>
          <w:sz w:val="26"/>
          <w:szCs w:val="26"/>
        </w:rPr>
        <w:t>.</w:t>
      </w:r>
    </w:p>
    <w:p w:rsidR="00FF7FBB" w:rsidRPr="004761E0" w:rsidRDefault="0070361A" w:rsidP="00FF7FBB">
      <w:pPr>
        <w:pStyle w:val="15"/>
        <w:numPr>
          <w:ilvl w:val="0"/>
          <w:numId w:val="0"/>
        </w:numPr>
        <w:spacing w:before="0"/>
        <w:ind w:firstLine="567"/>
        <w:rPr>
          <w:sz w:val="26"/>
          <w:szCs w:val="26"/>
        </w:rPr>
      </w:pPr>
      <w:r w:rsidRPr="004761E0">
        <w:rPr>
          <w:sz w:val="26"/>
          <w:szCs w:val="26"/>
        </w:rPr>
        <w:t xml:space="preserve">По итогам мероприятий </w:t>
      </w:r>
      <w:r w:rsidR="00FF7FBB" w:rsidRPr="004761E0">
        <w:rPr>
          <w:sz w:val="26"/>
          <w:szCs w:val="26"/>
        </w:rPr>
        <w:t>Общество</w:t>
      </w:r>
      <w:r w:rsidR="00BD35D0" w:rsidRPr="004761E0">
        <w:rPr>
          <w:sz w:val="26"/>
          <w:szCs w:val="26"/>
        </w:rPr>
        <w:t>м</w:t>
      </w:r>
      <w:r w:rsidR="00FF7FBB" w:rsidRPr="004761E0">
        <w:rPr>
          <w:sz w:val="26"/>
          <w:szCs w:val="26"/>
        </w:rPr>
        <w:t xml:space="preserve"> обеспеч</w:t>
      </w:r>
      <w:r w:rsidRPr="004761E0">
        <w:rPr>
          <w:sz w:val="26"/>
          <w:szCs w:val="26"/>
        </w:rPr>
        <w:t>ен</w:t>
      </w:r>
      <w:r w:rsidR="00FF7FBB" w:rsidRPr="004761E0">
        <w:rPr>
          <w:sz w:val="26"/>
          <w:szCs w:val="26"/>
        </w:rPr>
        <w:t xml:space="preserve"> рост средней заработной платы </w:t>
      </w:r>
      <w:r w:rsidR="00BD35D0" w:rsidRPr="004761E0">
        <w:rPr>
          <w:sz w:val="26"/>
          <w:szCs w:val="26"/>
        </w:rPr>
        <w:t xml:space="preserve">в целом по Обществу </w:t>
      </w:r>
      <w:r w:rsidR="00FF7FBB" w:rsidRPr="004761E0">
        <w:rPr>
          <w:sz w:val="26"/>
          <w:szCs w:val="26"/>
        </w:rPr>
        <w:t xml:space="preserve">на </w:t>
      </w:r>
      <w:r w:rsidR="003D0EA5" w:rsidRPr="004761E0">
        <w:rPr>
          <w:sz w:val="26"/>
          <w:szCs w:val="26"/>
        </w:rPr>
        <w:t>9 </w:t>
      </w:r>
      <w:r w:rsidR="00FF7FBB" w:rsidRPr="004761E0">
        <w:rPr>
          <w:sz w:val="26"/>
          <w:szCs w:val="26"/>
        </w:rPr>
        <w:t>%, при этом рост заработной платы работников дефицитных профессий составил 10</w:t>
      </w:r>
      <w:r w:rsidR="003D0EA5" w:rsidRPr="004761E0">
        <w:rPr>
          <w:sz w:val="26"/>
          <w:szCs w:val="26"/>
        </w:rPr>
        <w:t> </w:t>
      </w:r>
      <w:r w:rsidR="00FF7FBB" w:rsidRPr="004761E0">
        <w:rPr>
          <w:sz w:val="26"/>
          <w:szCs w:val="26"/>
        </w:rPr>
        <w:t xml:space="preserve">%. </w:t>
      </w:r>
    </w:p>
    <w:p w:rsidR="00DE4CFB" w:rsidRDefault="00DE4CFB" w:rsidP="00DE4CFB">
      <w:pPr>
        <w:ind w:firstLine="0"/>
        <w:rPr>
          <w:sz w:val="26"/>
          <w:szCs w:val="26"/>
        </w:rPr>
      </w:pPr>
      <w:r w:rsidRPr="004761E0">
        <w:rPr>
          <w:noProof/>
          <w:sz w:val="26"/>
          <w:szCs w:val="26"/>
          <w:lang w:eastAsia="ru-RU"/>
        </w:rPr>
        <w:drawing>
          <wp:inline distT="0" distB="0" distL="0" distR="0">
            <wp:extent cx="2978592" cy="2289976"/>
            <wp:effectExtent l="19050" t="0" r="12258" b="0"/>
            <wp:docPr id="252" name="Диаграмма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rsidR="00B9102D" w:rsidRPr="004761E0" w:rsidRDefault="00B9102D" w:rsidP="00B9102D">
      <w:pPr>
        <w:pStyle w:val="ConsPlusNormal"/>
        <w:ind w:firstLine="567"/>
        <w:jc w:val="both"/>
        <w:rPr>
          <w:rFonts w:ascii="Times New Roman" w:eastAsia="Calibri" w:hAnsi="Times New Roman" w:cs="Times New Roman"/>
          <w:sz w:val="26"/>
          <w:szCs w:val="26"/>
        </w:rPr>
      </w:pPr>
      <w:r>
        <w:rPr>
          <w:rFonts w:ascii="Times New Roman" w:eastAsia="Calibri" w:hAnsi="Times New Roman" w:cs="Times New Roman"/>
          <w:sz w:val="26"/>
          <w:szCs w:val="26"/>
        </w:rPr>
        <w:t>В 2013 году утверждено Отраслевое тарифное соглашение в электроэнергетике на 2013-2015 гг. (ОТС), предусматривающее индексацию заработной платы в 2013-</w:t>
      </w:r>
      <w:r>
        <w:rPr>
          <w:rFonts w:ascii="Times New Roman" w:eastAsia="Calibri" w:hAnsi="Times New Roman" w:cs="Times New Roman"/>
          <w:sz w:val="26"/>
          <w:szCs w:val="26"/>
        </w:rPr>
        <w:lastRenderedPageBreak/>
        <w:t>2014 гг. на величину, превышающую индекс потребительских цен в РФ. С целью соблюдения требований ОТС, повышения уровня реального содержания заработной платы работников, индексация зарплаты работников в течение 2013 г</w:t>
      </w:r>
      <w:r w:rsidR="004D60AE">
        <w:rPr>
          <w:rFonts w:ascii="Times New Roman" w:eastAsia="Calibri" w:hAnsi="Times New Roman" w:cs="Times New Roman"/>
          <w:sz w:val="26"/>
          <w:szCs w:val="26"/>
        </w:rPr>
        <w:t>ода</w:t>
      </w:r>
      <w:r>
        <w:rPr>
          <w:rFonts w:ascii="Times New Roman" w:eastAsia="Calibri" w:hAnsi="Times New Roman" w:cs="Times New Roman"/>
          <w:sz w:val="26"/>
          <w:szCs w:val="26"/>
        </w:rPr>
        <w:t xml:space="preserve"> произведена трижды.</w:t>
      </w:r>
    </w:p>
    <w:p w:rsidR="00FF7FBB" w:rsidRPr="004761E0" w:rsidRDefault="00FF7FBB" w:rsidP="00FF7FBB">
      <w:pPr>
        <w:ind w:firstLine="567"/>
        <w:rPr>
          <w:sz w:val="26"/>
          <w:szCs w:val="26"/>
        </w:rPr>
      </w:pPr>
      <w:r w:rsidRPr="004761E0">
        <w:rPr>
          <w:sz w:val="26"/>
          <w:szCs w:val="26"/>
        </w:rPr>
        <w:t xml:space="preserve">На 2014 год запланирована реализация следующих задач в области </w:t>
      </w:r>
      <w:r w:rsidRPr="004761E0">
        <w:rPr>
          <w:rFonts w:eastAsia="Times New Roman"/>
          <w:bCs/>
          <w:color w:val="000000"/>
          <w:sz w:val="26"/>
          <w:szCs w:val="26"/>
          <w:lang w:eastAsia="ru-RU"/>
        </w:rPr>
        <w:t>оплаты труда и мотивации персонала</w:t>
      </w:r>
      <w:r w:rsidRPr="004761E0">
        <w:rPr>
          <w:sz w:val="26"/>
          <w:szCs w:val="26"/>
        </w:rPr>
        <w:t>:</w:t>
      </w:r>
    </w:p>
    <w:p w:rsidR="00FF7FBB" w:rsidRPr="004761E0" w:rsidRDefault="00FF7FBB" w:rsidP="007076A7">
      <w:pPr>
        <w:pStyle w:val="a5"/>
        <w:numPr>
          <w:ilvl w:val="0"/>
          <w:numId w:val="229"/>
        </w:numPr>
        <w:ind w:left="1134" w:hanging="567"/>
        <w:jc w:val="left"/>
        <w:rPr>
          <w:bCs/>
          <w:color w:val="000000"/>
          <w:sz w:val="26"/>
          <w:szCs w:val="26"/>
        </w:rPr>
      </w:pPr>
      <w:r w:rsidRPr="004761E0">
        <w:rPr>
          <w:bCs/>
          <w:color w:val="000000"/>
          <w:sz w:val="26"/>
          <w:szCs w:val="26"/>
        </w:rPr>
        <w:t>увеличение совокупного дохода «рабочих» на 4</w:t>
      </w:r>
      <w:r w:rsidR="00352CDB" w:rsidRPr="004761E0">
        <w:rPr>
          <w:bCs/>
          <w:color w:val="000000"/>
          <w:sz w:val="26"/>
          <w:szCs w:val="26"/>
        </w:rPr>
        <w:t xml:space="preserve"> </w:t>
      </w:r>
      <w:r w:rsidRPr="004761E0">
        <w:rPr>
          <w:bCs/>
          <w:color w:val="000000"/>
          <w:sz w:val="26"/>
          <w:szCs w:val="26"/>
        </w:rPr>
        <w:t>%;</w:t>
      </w:r>
    </w:p>
    <w:p w:rsidR="00FF7FBB" w:rsidRPr="004761E0" w:rsidRDefault="00FF7FBB" w:rsidP="007076A7">
      <w:pPr>
        <w:pStyle w:val="a5"/>
        <w:numPr>
          <w:ilvl w:val="0"/>
          <w:numId w:val="229"/>
        </w:numPr>
        <w:ind w:left="1134" w:hanging="567"/>
        <w:jc w:val="left"/>
        <w:rPr>
          <w:bCs/>
          <w:color w:val="000000"/>
          <w:sz w:val="26"/>
          <w:szCs w:val="26"/>
        </w:rPr>
      </w:pPr>
      <w:r w:rsidRPr="004761E0">
        <w:rPr>
          <w:bCs/>
          <w:color w:val="000000"/>
          <w:sz w:val="26"/>
          <w:szCs w:val="26"/>
        </w:rPr>
        <w:t>поддержание уровня средней заработной платы работников дефицитных профессий;</w:t>
      </w:r>
    </w:p>
    <w:p w:rsidR="00FF7FBB" w:rsidRPr="004761E0" w:rsidRDefault="00FF7FBB" w:rsidP="007076A7">
      <w:pPr>
        <w:pStyle w:val="a5"/>
        <w:numPr>
          <w:ilvl w:val="0"/>
          <w:numId w:val="229"/>
        </w:numPr>
        <w:ind w:left="1134" w:hanging="567"/>
        <w:jc w:val="left"/>
        <w:rPr>
          <w:bCs/>
          <w:color w:val="000000"/>
          <w:sz w:val="26"/>
          <w:szCs w:val="26"/>
        </w:rPr>
      </w:pPr>
      <w:r w:rsidRPr="004761E0">
        <w:rPr>
          <w:bCs/>
          <w:color w:val="000000"/>
          <w:sz w:val="26"/>
          <w:szCs w:val="26"/>
        </w:rPr>
        <w:t xml:space="preserve">реализация проекта по внедрению системы грейдирования в Обществе, в целях повышения прозрачности материальных и карьерных перспектив сотрудников, а также определения соответствия текущего вознаграждения сотрудников </w:t>
      </w:r>
      <w:r w:rsidR="0008080E">
        <w:rPr>
          <w:bCs/>
          <w:color w:val="000000"/>
          <w:sz w:val="26"/>
          <w:szCs w:val="26"/>
        </w:rPr>
        <w:t>ОАО </w:t>
      </w:r>
      <w:r w:rsidRPr="004761E0">
        <w:rPr>
          <w:bCs/>
          <w:color w:val="000000"/>
          <w:sz w:val="26"/>
          <w:szCs w:val="26"/>
        </w:rPr>
        <w:t>«МОЭСК» уровню вознаграждения на рынке труда.</w:t>
      </w:r>
    </w:p>
    <w:p w:rsidR="00FF7FBB" w:rsidRPr="004761E0" w:rsidRDefault="00FF7FBB" w:rsidP="00FF7FBB">
      <w:pPr>
        <w:ind w:firstLine="567"/>
        <w:rPr>
          <w:i/>
          <w:sz w:val="26"/>
          <w:szCs w:val="26"/>
        </w:rPr>
      </w:pPr>
      <w:r w:rsidRPr="004761E0">
        <w:rPr>
          <w:i/>
          <w:sz w:val="26"/>
          <w:szCs w:val="26"/>
        </w:rPr>
        <w:t xml:space="preserve">Справочно: </w:t>
      </w:r>
      <w:r w:rsidRPr="004761E0">
        <w:rPr>
          <w:bCs/>
          <w:i/>
          <w:sz w:val="26"/>
          <w:szCs w:val="26"/>
        </w:rPr>
        <w:t xml:space="preserve">В качестве наиболее распространенного на западе метода совершенствования и структурирования системы оплаты труда принято считать систему грейдирования должностных окладов. Грейд – должностной разряд, объединяющий должности, близкие по сложности выполняемых работ и, соответственно, имеющие одинаковый уровень оплаты. Грейдинг </w:t>
      </w:r>
      <w:r w:rsidRPr="004761E0">
        <w:rPr>
          <w:i/>
          <w:sz w:val="26"/>
          <w:szCs w:val="26"/>
        </w:rPr>
        <w:t xml:space="preserve">– группировка должностей по определенным основаниям (определение «веса», классификация) с целью построения системы мотивации. </w:t>
      </w:r>
      <w:r w:rsidRPr="004761E0">
        <w:rPr>
          <w:bCs/>
          <w:i/>
          <w:sz w:val="26"/>
          <w:szCs w:val="26"/>
        </w:rPr>
        <w:t xml:space="preserve">Суть грейдинга </w:t>
      </w:r>
      <w:r w:rsidRPr="004761E0">
        <w:rPr>
          <w:i/>
          <w:sz w:val="26"/>
          <w:szCs w:val="26"/>
        </w:rPr>
        <w:t>заключается в сопоставлении значимости должностей для организации (внутренняя ценность) с ценностью конкретной должности на рынке (внешняя ценность), сравнение должностей из разных подразделений и компаний</w:t>
      </w:r>
      <w:r w:rsidRPr="004761E0">
        <w:rPr>
          <w:bCs/>
          <w:i/>
          <w:sz w:val="26"/>
          <w:szCs w:val="26"/>
        </w:rPr>
        <w:t xml:space="preserve">. </w:t>
      </w:r>
    </w:p>
    <w:p w:rsidR="0084609A" w:rsidRPr="004761E0" w:rsidRDefault="0084609A" w:rsidP="00585397">
      <w:pPr>
        <w:spacing w:before="120" w:after="120"/>
        <w:ind w:firstLine="567"/>
        <w:rPr>
          <w:b/>
          <w:sz w:val="26"/>
          <w:szCs w:val="26"/>
        </w:rPr>
      </w:pPr>
      <w:r w:rsidRPr="004761E0">
        <w:rPr>
          <w:b/>
          <w:sz w:val="26"/>
          <w:szCs w:val="26"/>
        </w:rPr>
        <w:t>Кадровый резерв</w:t>
      </w:r>
    </w:p>
    <w:p w:rsidR="00B65D80" w:rsidRPr="004761E0" w:rsidRDefault="00B65D80" w:rsidP="00B65D80">
      <w:pPr>
        <w:ind w:firstLine="567"/>
        <w:rPr>
          <w:color w:val="0D0D0D"/>
          <w:sz w:val="26"/>
          <w:szCs w:val="26"/>
        </w:rPr>
      </w:pPr>
      <w:r w:rsidRPr="004761E0">
        <w:rPr>
          <w:color w:val="0D0D0D"/>
          <w:sz w:val="26"/>
          <w:szCs w:val="26"/>
        </w:rPr>
        <w:t>С целью обеспечения долгосрочной кадровой политики, направленной на развитие кадрового потенциала, своевременного закрытия вакансий на руководящие должности подготовленными работниками, проводится работа с управленческим кадровым резервом, основанная на развитии необходимых профессиональных и управленческих компетенций, повышении уровня соответствующей программной подготовки.</w:t>
      </w:r>
    </w:p>
    <w:p w:rsidR="00B65D80" w:rsidRPr="004761E0" w:rsidRDefault="00B65D80" w:rsidP="00B65D80">
      <w:pPr>
        <w:ind w:firstLine="567"/>
        <w:rPr>
          <w:color w:val="0D0D0D"/>
          <w:sz w:val="26"/>
          <w:szCs w:val="26"/>
        </w:rPr>
      </w:pPr>
      <w:r w:rsidRPr="004761E0">
        <w:rPr>
          <w:color w:val="0D0D0D"/>
          <w:sz w:val="26"/>
          <w:szCs w:val="26"/>
        </w:rPr>
        <w:t xml:space="preserve">Управленческий кадровый резерв в Обществе (442 человек) сформирован на должности высших менеджеров </w:t>
      </w:r>
      <w:r w:rsidRPr="004761E0">
        <w:rPr>
          <w:color w:val="0D0D0D"/>
          <w:sz w:val="26"/>
          <w:szCs w:val="26"/>
          <w:lang w:val="en-US"/>
        </w:rPr>
        <w:t>I</w:t>
      </w:r>
      <w:r w:rsidRPr="004761E0">
        <w:rPr>
          <w:color w:val="0D0D0D"/>
          <w:sz w:val="26"/>
          <w:szCs w:val="26"/>
        </w:rPr>
        <w:t xml:space="preserve"> категории, высших менеджеров </w:t>
      </w:r>
      <w:r w:rsidRPr="004761E0">
        <w:rPr>
          <w:color w:val="0D0D0D"/>
          <w:sz w:val="26"/>
          <w:szCs w:val="26"/>
          <w:lang w:val="en-US"/>
        </w:rPr>
        <w:t>II</w:t>
      </w:r>
      <w:r w:rsidRPr="004761E0">
        <w:rPr>
          <w:color w:val="0D0D0D"/>
          <w:sz w:val="26"/>
          <w:szCs w:val="26"/>
        </w:rPr>
        <w:t xml:space="preserve"> категории, ведущих менеджеров </w:t>
      </w:r>
      <w:r w:rsidRPr="004761E0">
        <w:rPr>
          <w:color w:val="0D0D0D"/>
          <w:sz w:val="26"/>
          <w:szCs w:val="26"/>
          <w:lang w:val="en-US"/>
        </w:rPr>
        <w:t>I</w:t>
      </w:r>
      <w:r w:rsidRPr="004761E0">
        <w:rPr>
          <w:color w:val="0D0D0D"/>
          <w:sz w:val="26"/>
          <w:szCs w:val="26"/>
        </w:rPr>
        <w:t xml:space="preserve"> категории, ведущих менеджеров </w:t>
      </w:r>
      <w:r w:rsidRPr="004761E0">
        <w:rPr>
          <w:color w:val="0D0D0D"/>
          <w:sz w:val="26"/>
          <w:szCs w:val="26"/>
          <w:lang w:val="en-US"/>
        </w:rPr>
        <w:t>II</w:t>
      </w:r>
      <w:r w:rsidRPr="004761E0">
        <w:rPr>
          <w:color w:val="0D0D0D"/>
          <w:sz w:val="26"/>
          <w:szCs w:val="26"/>
        </w:rPr>
        <w:t xml:space="preserve"> категории  и состоит из оперативного (243 человека) и стратегического (199 человек) кадрового резерва.</w:t>
      </w:r>
    </w:p>
    <w:p w:rsidR="00B65D80" w:rsidRPr="004761E0" w:rsidRDefault="00B65D80" w:rsidP="00B65D80">
      <w:pPr>
        <w:ind w:firstLine="567"/>
        <w:rPr>
          <w:color w:val="0D0D0D"/>
          <w:sz w:val="26"/>
          <w:szCs w:val="26"/>
        </w:rPr>
      </w:pPr>
      <w:r w:rsidRPr="004761E0">
        <w:rPr>
          <w:color w:val="0D0D0D"/>
          <w:sz w:val="26"/>
          <w:szCs w:val="26"/>
        </w:rPr>
        <w:t xml:space="preserve">Приоритетным направлением работы с управленческим кадровым резервом является вовлечение молодых работников в возрасте до 35 лет (215 человек) в решение актуальных проблем электросетевого комплекса, оказание содействия в возможности развития и карьерном росте молодым специалистам. </w:t>
      </w:r>
    </w:p>
    <w:p w:rsidR="00B65D80" w:rsidRPr="004761E0" w:rsidRDefault="00DE6F99" w:rsidP="00B65D80">
      <w:pPr>
        <w:pStyle w:val="affe"/>
        <w:ind w:firstLine="567"/>
        <w:jc w:val="both"/>
        <w:rPr>
          <w:rFonts w:ascii="Times New Roman" w:hAnsi="Times New Roman"/>
          <w:color w:val="0D0D0D"/>
          <w:sz w:val="26"/>
          <w:szCs w:val="26"/>
        </w:rPr>
      </w:pPr>
      <w:r w:rsidRPr="004761E0">
        <w:rPr>
          <w:rFonts w:ascii="Times New Roman" w:hAnsi="Times New Roman"/>
          <w:color w:val="0D0D0D"/>
          <w:sz w:val="26"/>
          <w:szCs w:val="26"/>
        </w:rPr>
        <w:t>В 2013 году по направлениям деятельности Общества с</w:t>
      </w:r>
      <w:r w:rsidR="00B65D80" w:rsidRPr="004761E0">
        <w:rPr>
          <w:rFonts w:ascii="Times New Roman" w:hAnsi="Times New Roman"/>
          <w:color w:val="0D0D0D"/>
          <w:sz w:val="26"/>
          <w:szCs w:val="26"/>
        </w:rPr>
        <w:t xml:space="preserve">формирована база данных кандидатов на </w:t>
      </w:r>
      <w:r w:rsidRPr="004761E0">
        <w:rPr>
          <w:rFonts w:ascii="Times New Roman" w:hAnsi="Times New Roman"/>
          <w:color w:val="0D0D0D"/>
          <w:sz w:val="26"/>
          <w:szCs w:val="26"/>
        </w:rPr>
        <w:t xml:space="preserve">следующие </w:t>
      </w:r>
      <w:r w:rsidR="00B65D80" w:rsidRPr="004761E0">
        <w:rPr>
          <w:rFonts w:ascii="Times New Roman" w:hAnsi="Times New Roman"/>
          <w:color w:val="0D0D0D"/>
          <w:sz w:val="26"/>
          <w:szCs w:val="26"/>
        </w:rPr>
        <w:t xml:space="preserve">целевые позиции: </w:t>
      </w:r>
    </w:p>
    <w:p w:rsidR="00B65D80" w:rsidRPr="004761E0" w:rsidRDefault="00B65D80" w:rsidP="007076A7">
      <w:pPr>
        <w:pStyle w:val="affe"/>
        <w:numPr>
          <w:ilvl w:val="1"/>
          <w:numId w:val="209"/>
        </w:numPr>
        <w:ind w:left="1134" w:hanging="567"/>
        <w:jc w:val="both"/>
        <w:rPr>
          <w:rFonts w:ascii="Times New Roman" w:hAnsi="Times New Roman"/>
          <w:color w:val="0D0D0D"/>
          <w:sz w:val="26"/>
          <w:szCs w:val="26"/>
        </w:rPr>
      </w:pPr>
      <w:r w:rsidRPr="004761E0">
        <w:rPr>
          <w:rFonts w:ascii="Times New Roman" w:hAnsi="Times New Roman"/>
          <w:color w:val="0D0D0D"/>
          <w:sz w:val="26"/>
          <w:szCs w:val="26"/>
        </w:rPr>
        <w:t>в исполнительном аппарате</w:t>
      </w:r>
      <w:r w:rsidR="00352CDB" w:rsidRPr="004761E0">
        <w:rPr>
          <w:rFonts w:ascii="Times New Roman" w:hAnsi="Times New Roman"/>
          <w:color w:val="0D0D0D"/>
          <w:sz w:val="26"/>
          <w:szCs w:val="26"/>
        </w:rPr>
        <w:t>:</w:t>
      </w:r>
      <w:r w:rsidRPr="004761E0">
        <w:rPr>
          <w:rFonts w:ascii="Times New Roman" w:hAnsi="Times New Roman"/>
          <w:color w:val="0D0D0D"/>
          <w:sz w:val="26"/>
          <w:szCs w:val="26"/>
        </w:rPr>
        <w:t xml:space="preserve"> заместитель генерального директора, главный бухгалтер</w:t>
      </w:r>
      <w:r w:rsidR="00352CDB" w:rsidRPr="004761E0">
        <w:rPr>
          <w:rFonts w:ascii="Times New Roman" w:hAnsi="Times New Roman"/>
          <w:color w:val="0D0D0D"/>
          <w:sz w:val="26"/>
          <w:szCs w:val="26"/>
        </w:rPr>
        <w:t>-</w:t>
      </w:r>
      <w:r w:rsidRPr="004761E0">
        <w:rPr>
          <w:rFonts w:ascii="Times New Roman" w:hAnsi="Times New Roman"/>
          <w:color w:val="0D0D0D"/>
          <w:sz w:val="26"/>
          <w:szCs w:val="26"/>
        </w:rPr>
        <w:t xml:space="preserve">директор департамента, руководители подразделения прямого подчинения генеральному директору, директор по направлению, заместитель технического директора, директор департамента, начальник управления; </w:t>
      </w:r>
    </w:p>
    <w:p w:rsidR="00B65D80" w:rsidRPr="004761E0" w:rsidRDefault="00B65D80" w:rsidP="007076A7">
      <w:pPr>
        <w:pStyle w:val="affe"/>
        <w:numPr>
          <w:ilvl w:val="1"/>
          <w:numId w:val="209"/>
        </w:numPr>
        <w:ind w:left="1134" w:hanging="567"/>
        <w:jc w:val="both"/>
        <w:rPr>
          <w:rFonts w:ascii="Times New Roman" w:hAnsi="Times New Roman"/>
          <w:color w:val="0D0D0D"/>
          <w:sz w:val="26"/>
          <w:szCs w:val="26"/>
        </w:rPr>
      </w:pPr>
      <w:r w:rsidRPr="004761E0">
        <w:rPr>
          <w:rFonts w:ascii="Times New Roman" w:hAnsi="Times New Roman"/>
          <w:color w:val="0D0D0D"/>
          <w:sz w:val="26"/>
          <w:szCs w:val="26"/>
        </w:rPr>
        <w:t>в филиалах</w:t>
      </w:r>
      <w:r w:rsidR="00352CDB" w:rsidRPr="004761E0">
        <w:rPr>
          <w:rFonts w:ascii="Times New Roman" w:hAnsi="Times New Roman"/>
          <w:color w:val="0D0D0D"/>
          <w:sz w:val="26"/>
          <w:szCs w:val="26"/>
        </w:rPr>
        <w:t>:</w:t>
      </w:r>
      <w:r w:rsidRPr="004761E0">
        <w:rPr>
          <w:rFonts w:ascii="Times New Roman" w:hAnsi="Times New Roman"/>
          <w:color w:val="0D0D0D"/>
          <w:sz w:val="26"/>
          <w:szCs w:val="26"/>
        </w:rPr>
        <w:t xml:space="preserve"> заместитель генерального директора</w:t>
      </w:r>
      <w:r w:rsidR="00352CDB" w:rsidRPr="004761E0">
        <w:rPr>
          <w:rFonts w:ascii="Times New Roman" w:hAnsi="Times New Roman"/>
          <w:color w:val="0D0D0D"/>
          <w:sz w:val="26"/>
          <w:szCs w:val="26"/>
        </w:rPr>
        <w:t>-</w:t>
      </w:r>
      <w:r w:rsidRPr="004761E0">
        <w:rPr>
          <w:rFonts w:ascii="Times New Roman" w:hAnsi="Times New Roman"/>
          <w:color w:val="0D0D0D"/>
          <w:sz w:val="26"/>
          <w:szCs w:val="26"/>
        </w:rPr>
        <w:t xml:space="preserve">директор филиала, заместитель директора филиала, заместитель главного инженера,  </w:t>
      </w:r>
      <w:r w:rsidRPr="004761E0">
        <w:rPr>
          <w:rFonts w:ascii="Times New Roman" w:hAnsi="Times New Roman"/>
          <w:color w:val="0D0D0D"/>
          <w:sz w:val="26"/>
          <w:szCs w:val="26"/>
        </w:rPr>
        <w:lastRenderedPageBreak/>
        <w:t>директор</w:t>
      </w:r>
      <w:r w:rsidR="00352CDB" w:rsidRPr="004761E0">
        <w:rPr>
          <w:rFonts w:ascii="Times New Roman" w:hAnsi="Times New Roman"/>
          <w:color w:val="0D0D0D"/>
          <w:sz w:val="26"/>
          <w:szCs w:val="26"/>
        </w:rPr>
        <w:t>-</w:t>
      </w:r>
      <w:r w:rsidRPr="004761E0">
        <w:rPr>
          <w:rFonts w:ascii="Times New Roman" w:hAnsi="Times New Roman"/>
          <w:color w:val="0D0D0D"/>
          <w:sz w:val="26"/>
          <w:szCs w:val="26"/>
        </w:rPr>
        <w:t>начальник управления, главный бухгалтер</w:t>
      </w:r>
      <w:r w:rsidR="00352CDB" w:rsidRPr="004761E0">
        <w:rPr>
          <w:rFonts w:ascii="Times New Roman" w:hAnsi="Times New Roman"/>
          <w:color w:val="0D0D0D"/>
          <w:sz w:val="26"/>
          <w:szCs w:val="26"/>
        </w:rPr>
        <w:t>-</w:t>
      </w:r>
      <w:r w:rsidRPr="004761E0">
        <w:rPr>
          <w:rFonts w:ascii="Times New Roman" w:hAnsi="Times New Roman"/>
          <w:color w:val="0D0D0D"/>
          <w:sz w:val="26"/>
          <w:szCs w:val="26"/>
        </w:rPr>
        <w:t>начальник управления, начальник РЭС/УКС/ОВЭС, начальник департамента/управления/отдела/службы/цеха/отделения/сектора/группы, главный инженер РЭС/УКС/ОВЭС.</w:t>
      </w:r>
    </w:p>
    <w:p w:rsidR="00352CDB" w:rsidRPr="004761E0" w:rsidRDefault="00DA75B6" w:rsidP="00352CDB">
      <w:pPr>
        <w:pStyle w:val="ac"/>
        <w:spacing w:before="120"/>
        <w:ind w:firstLine="567"/>
        <w:rPr>
          <w:color w:val="0D0D0D"/>
          <w:sz w:val="26"/>
          <w:szCs w:val="26"/>
        </w:rPr>
      </w:pPr>
      <w:r w:rsidRPr="004761E0">
        <w:rPr>
          <w:color w:val="0D0D0D"/>
          <w:sz w:val="26"/>
          <w:szCs w:val="26"/>
        </w:rPr>
        <w:t>По итогам 2013 года</w:t>
      </w:r>
      <w:r w:rsidR="00352CDB" w:rsidRPr="004761E0">
        <w:rPr>
          <w:color w:val="0D0D0D"/>
          <w:sz w:val="26"/>
          <w:szCs w:val="26"/>
        </w:rPr>
        <w:t>:</w:t>
      </w:r>
    </w:p>
    <w:p w:rsidR="00352CDB" w:rsidRPr="004761E0" w:rsidRDefault="00B65D80" w:rsidP="007076A7">
      <w:pPr>
        <w:pStyle w:val="ac"/>
        <w:numPr>
          <w:ilvl w:val="0"/>
          <w:numId w:val="231"/>
        </w:numPr>
        <w:ind w:left="1134" w:hanging="567"/>
        <w:rPr>
          <w:color w:val="0D0D0D"/>
          <w:sz w:val="26"/>
          <w:szCs w:val="26"/>
        </w:rPr>
      </w:pPr>
      <w:r w:rsidRPr="004761E0">
        <w:rPr>
          <w:color w:val="0D0D0D"/>
          <w:sz w:val="26"/>
          <w:szCs w:val="26"/>
        </w:rPr>
        <w:t xml:space="preserve">в оперативном кадровом резерве 18 человек заняли целевую должность, 7 </w:t>
      </w:r>
      <w:r w:rsidR="00352CDB" w:rsidRPr="004761E0">
        <w:rPr>
          <w:color w:val="0D0D0D"/>
          <w:sz w:val="26"/>
          <w:szCs w:val="26"/>
        </w:rPr>
        <w:t>человек –</w:t>
      </w:r>
      <w:r w:rsidRPr="004761E0">
        <w:rPr>
          <w:color w:val="0D0D0D"/>
          <w:sz w:val="26"/>
          <w:szCs w:val="26"/>
        </w:rPr>
        <w:t xml:space="preserve"> в</w:t>
      </w:r>
      <w:r w:rsidR="00352CDB" w:rsidRPr="004761E0">
        <w:rPr>
          <w:color w:val="0D0D0D"/>
          <w:sz w:val="26"/>
          <w:szCs w:val="26"/>
        </w:rPr>
        <w:t>ышестоящую нецелевую должность;</w:t>
      </w:r>
    </w:p>
    <w:p w:rsidR="00B65D80" w:rsidRPr="004761E0" w:rsidRDefault="00B65D80" w:rsidP="007076A7">
      <w:pPr>
        <w:pStyle w:val="ac"/>
        <w:numPr>
          <w:ilvl w:val="0"/>
          <w:numId w:val="231"/>
        </w:numPr>
        <w:ind w:left="1134" w:hanging="567"/>
        <w:rPr>
          <w:color w:val="0D0D0D"/>
          <w:sz w:val="26"/>
          <w:szCs w:val="26"/>
        </w:rPr>
      </w:pPr>
      <w:r w:rsidRPr="004761E0">
        <w:rPr>
          <w:color w:val="0D0D0D"/>
          <w:sz w:val="26"/>
          <w:szCs w:val="26"/>
        </w:rPr>
        <w:t xml:space="preserve">в стратегическом кадровом резерве 8 человек заняли целевую должность, 2 </w:t>
      </w:r>
      <w:r w:rsidR="00352CDB" w:rsidRPr="004761E0">
        <w:rPr>
          <w:color w:val="0D0D0D"/>
          <w:sz w:val="26"/>
          <w:szCs w:val="26"/>
        </w:rPr>
        <w:t>человека –</w:t>
      </w:r>
      <w:r w:rsidRPr="004761E0">
        <w:rPr>
          <w:color w:val="0D0D0D"/>
          <w:sz w:val="26"/>
          <w:szCs w:val="26"/>
        </w:rPr>
        <w:t xml:space="preserve"> вышестоящую нецелевую должность.</w:t>
      </w:r>
    </w:p>
    <w:p w:rsidR="00B65D80" w:rsidRPr="00585397" w:rsidRDefault="00B65D80" w:rsidP="00585397">
      <w:pPr>
        <w:spacing w:before="120" w:after="120"/>
        <w:ind w:firstLine="567"/>
        <w:rPr>
          <w:b/>
          <w:sz w:val="26"/>
          <w:szCs w:val="26"/>
        </w:rPr>
      </w:pPr>
      <w:r w:rsidRPr="00585397">
        <w:rPr>
          <w:b/>
          <w:sz w:val="26"/>
          <w:szCs w:val="26"/>
        </w:rPr>
        <w:t>Обеспеченность управленческих должностей кадровым резервом</w:t>
      </w:r>
    </w:p>
    <w:tbl>
      <w:tblPr>
        <w:tblW w:w="9515" w:type="dxa"/>
        <w:tblInd w:w="91" w:type="dxa"/>
        <w:tblLook w:val="04A0"/>
      </w:tblPr>
      <w:tblGrid>
        <w:gridCol w:w="584"/>
        <w:gridCol w:w="4536"/>
        <w:gridCol w:w="4395"/>
      </w:tblGrid>
      <w:tr w:rsidR="00B65D80" w:rsidRPr="004761E0" w:rsidTr="00B65D80">
        <w:trPr>
          <w:trHeight w:val="300"/>
        </w:trPr>
        <w:tc>
          <w:tcPr>
            <w:tcW w:w="584" w:type="dxa"/>
            <w:tcBorders>
              <w:top w:val="single" w:sz="4" w:space="0" w:color="auto"/>
              <w:left w:val="single" w:sz="4" w:space="0" w:color="auto"/>
              <w:bottom w:val="single" w:sz="4" w:space="0" w:color="auto"/>
              <w:right w:val="single" w:sz="4" w:space="0" w:color="FFFFFF"/>
            </w:tcBorders>
            <w:shd w:val="clear" w:color="auto" w:fill="0F243E"/>
            <w:vAlign w:val="center"/>
            <w:hideMark/>
          </w:tcPr>
          <w:p w:rsidR="00B65D80" w:rsidRPr="004761E0" w:rsidRDefault="00B65D80" w:rsidP="00B65D80">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4536" w:type="dxa"/>
            <w:tcBorders>
              <w:top w:val="single" w:sz="4" w:space="0" w:color="auto"/>
              <w:left w:val="single" w:sz="4" w:space="0" w:color="FFFFFF"/>
              <w:bottom w:val="single" w:sz="4" w:space="0" w:color="auto"/>
              <w:right w:val="single" w:sz="4" w:space="0" w:color="FFFFFF"/>
            </w:tcBorders>
            <w:shd w:val="clear" w:color="auto" w:fill="0F243E"/>
            <w:vAlign w:val="center"/>
            <w:hideMark/>
          </w:tcPr>
          <w:p w:rsidR="00B65D80" w:rsidRPr="004761E0" w:rsidRDefault="00B65D80" w:rsidP="00B65D80">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4395" w:type="dxa"/>
            <w:tcBorders>
              <w:top w:val="single" w:sz="4" w:space="0" w:color="auto"/>
              <w:left w:val="single" w:sz="4" w:space="0" w:color="FFFFFF"/>
              <w:bottom w:val="single" w:sz="4" w:space="0" w:color="auto"/>
              <w:right w:val="single" w:sz="4" w:space="0" w:color="FFFFFF"/>
            </w:tcBorders>
            <w:shd w:val="clear" w:color="auto" w:fill="0F243E"/>
            <w:hideMark/>
          </w:tcPr>
          <w:p w:rsidR="00B65D80" w:rsidRPr="004761E0" w:rsidRDefault="00B65D80" w:rsidP="00B65D80">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Доля управленческих должностей, обеспеченных кадровым резервом</w:t>
            </w:r>
          </w:p>
        </w:tc>
      </w:tr>
      <w:tr w:rsidR="00B65D80" w:rsidRPr="004761E0" w:rsidTr="00B65D80">
        <w:trPr>
          <w:trHeight w:val="300"/>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B65D80" w:rsidRPr="004761E0" w:rsidRDefault="00B65D80" w:rsidP="007076A7">
            <w:pPr>
              <w:pStyle w:val="a5"/>
              <w:numPr>
                <w:ilvl w:val="0"/>
                <w:numId w:val="232"/>
              </w:numPr>
              <w:jc w:val="left"/>
              <w:rPr>
                <w:rFonts w:eastAsia="Times New Roman"/>
                <w:color w:val="000000"/>
                <w:sz w:val="20"/>
                <w:szCs w:val="20"/>
                <w:lang w:eastAsia="ru-RU"/>
              </w:rPr>
            </w:pPr>
          </w:p>
        </w:tc>
        <w:tc>
          <w:tcPr>
            <w:tcW w:w="4536" w:type="dxa"/>
            <w:tcBorders>
              <w:top w:val="nil"/>
              <w:left w:val="nil"/>
              <w:bottom w:val="single" w:sz="4" w:space="0" w:color="auto"/>
              <w:right w:val="single" w:sz="4" w:space="0" w:color="auto"/>
            </w:tcBorders>
            <w:shd w:val="clear" w:color="auto" w:fill="auto"/>
            <w:vAlign w:val="center"/>
            <w:hideMark/>
          </w:tcPr>
          <w:p w:rsidR="00B65D80" w:rsidRPr="004761E0" w:rsidRDefault="00B65D80" w:rsidP="00B65D80">
            <w:pPr>
              <w:ind w:firstLine="0"/>
              <w:jc w:val="left"/>
              <w:rPr>
                <w:rFonts w:eastAsia="Times New Roman"/>
                <w:color w:val="000000"/>
                <w:sz w:val="20"/>
                <w:szCs w:val="20"/>
                <w:lang w:eastAsia="ru-RU"/>
              </w:rPr>
            </w:pPr>
            <w:r w:rsidRPr="004761E0">
              <w:rPr>
                <w:rFonts w:eastAsia="Times New Roman"/>
                <w:color w:val="000000"/>
                <w:sz w:val="20"/>
                <w:szCs w:val="20"/>
                <w:lang w:eastAsia="ru-RU"/>
              </w:rPr>
              <w:t>Исполнительный аппарат</w:t>
            </w:r>
          </w:p>
        </w:tc>
        <w:tc>
          <w:tcPr>
            <w:tcW w:w="4395" w:type="dxa"/>
            <w:tcBorders>
              <w:top w:val="nil"/>
              <w:left w:val="nil"/>
              <w:bottom w:val="single" w:sz="4" w:space="0" w:color="auto"/>
              <w:right w:val="single" w:sz="4" w:space="0" w:color="auto"/>
            </w:tcBorders>
            <w:shd w:val="clear" w:color="auto" w:fill="auto"/>
            <w:vAlign w:val="center"/>
            <w:hideMark/>
          </w:tcPr>
          <w:p w:rsidR="00B65D80" w:rsidRPr="004761E0" w:rsidRDefault="00B65D80" w:rsidP="00B65D80">
            <w:pPr>
              <w:ind w:firstLine="0"/>
              <w:jc w:val="right"/>
              <w:rPr>
                <w:rFonts w:eastAsia="Times New Roman"/>
                <w:color w:val="000000"/>
                <w:sz w:val="20"/>
                <w:szCs w:val="20"/>
                <w:lang w:eastAsia="ru-RU"/>
              </w:rPr>
            </w:pPr>
            <w:r w:rsidRPr="004761E0">
              <w:rPr>
                <w:rFonts w:eastAsia="Times New Roman"/>
                <w:color w:val="000000"/>
                <w:sz w:val="20"/>
                <w:szCs w:val="20"/>
                <w:lang w:eastAsia="ru-RU"/>
              </w:rPr>
              <w:t>30,76 %</w:t>
            </w:r>
          </w:p>
        </w:tc>
      </w:tr>
      <w:tr w:rsidR="00B65D80" w:rsidRPr="004761E0" w:rsidTr="00B65D80">
        <w:trPr>
          <w:trHeight w:val="30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D80" w:rsidRPr="004761E0" w:rsidRDefault="00B65D80" w:rsidP="007076A7">
            <w:pPr>
              <w:pStyle w:val="a5"/>
              <w:numPr>
                <w:ilvl w:val="0"/>
                <w:numId w:val="232"/>
              </w:numPr>
              <w:jc w:val="left"/>
              <w:rPr>
                <w:rFonts w:eastAsia="Times New Roman"/>
                <w:color w:val="000000"/>
                <w:sz w:val="20"/>
                <w:szCs w:val="2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D80" w:rsidRPr="004761E0" w:rsidRDefault="00B65D80" w:rsidP="00B65D80">
            <w:pPr>
              <w:ind w:firstLine="0"/>
              <w:jc w:val="left"/>
              <w:rPr>
                <w:rFonts w:eastAsia="Times New Roman"/>
                <w:color w:val="000000"/>
                <w:sz w:val="20"/>
                <w:szCs w:val="20"/>
                <w:lang w:eastAsia="ru-RU"/>
              </w:rPr>
            </w:pPr>
            <w:r w:rsidRPr="004761E0">
              <w:rPr>
                <w:rFonts w:eastAsia="Times New Roman"/>
                <w:color w:val="000000"/>
                <w:sz w:val="20"/>
                <w:szCs w:val="20"/>
                <w:lang w:eastAsia="ru-RU"/>
              </w:rPr>
              <w:t>Аппараты управления филиалов</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D80" w:rsidRPr="004761E0" w:rsidRDefault="00B65D80" w:rsidP="00B65D80">
            <w:pPr>
              <w:ind w:firstLine="0"/>
              <w:jc w:val="right"/>
              <w:rPr>
                <w:rFonts w:eastAsia="Times New Roman"/>
                <w:color w:val="000000"/>
                <w:sz w:val="20"/>
                <w:szCs w:val="20"/>
                <w:lang w:eastAsia="ru-RU"/>
              </w:rPr>
            </w:pPr>
            <w:r w:rsidRPr="004761E0">
              <w:rPr>
                <w:rFonts w:eastAsia="Times New Roman"/>
                <w:color w:val="000000"/>
                <w:sz w:val="20"/>
                <w:szCs w:val="20"/>
                <w:lang w:eastAsia="ru-RU"/>
              </w:rPr>
              <w:t>35,32 %</w:t>
            </w:r>
          </w:p>
        </w:tc>
      </w:tr>
      <w:tr w:rsidR="00B65D80" w:rsidRPr="004761E0" w:rsidTr="00B65D80">
        <w:trPr>
          <w:trHeight w:val="30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D80" w:rsidRPr="004761E0" w:rsidRDefault="00B65D80" w:rsidP="007076A7">
            <w:pPr>
              <w:pStyle w:val="a5"/>
              <w:numPr>
                <w:ilvl w:val="0"/>
                <w:numId w:val="232"/>
              </w:numPr>
              <w:jc w:val="left"/>
              <w:rPr>
                <w:rFonts w:eastAsia="Times New Roman"/>
                <w:color w:val="000000"/>
                <w:sz w:val="20"/>
                <w:szCs w:val="20"/>
                <w:lang w:eastAsia="ru-RU"/>
              </w:rPr>
            </w:pP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B65D80" w:rsidRPr="004761E0" w:rsidRDefault="00B65D80" w:rsidP="00B65D80">
            <w:pPr>
              <w:ind w:firstLine="0"/>
              <w:rPr>
                <w:rFonts w:eastAsia="Times New Roman"/>
                <w:color w:val="000000"/>
                <w:sz w:val="20"/>
                <w:szCs w:val="20"/>
                <w:lang w:eastAsia="ru-RU"/>
              </w:rPr>
            </w:pPr>
            <w:r w:rsidRPr="004761E0">
              <w:rPr>
                <w:rFonts w:eastAsia="Times New Roman"/>
                <w:color w:val="000000"/>
                <w:sz w:val="20"/>
                <w:szCs w:val="20"/>
                <w:lang w:eastAsia="ru-RU"/>
              </w:rPr>
              <w:t>ПО, РЭС</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B65D80" w:rsidRPr="004761E0" w:rsidRDefault="00B65D80" w:rsidP="00B65D80">
            <w:pPr>
              <w:ind w:firstLine="0"/>
              <w:jc w:val="right"/>
              <w:rPr>
                <w:rFonts w:eastAsia="Times New Roman"/>
                <w:color w:val="000000"/>
                <w:sz w:val="20"/>
                <w:szCs w:val="20"/>
                <w:lang w:eastAsia="ru-RU"/>
              </w:rPr>
            </w:pPr>
            <w:r w:rsidRPr="004761E0">
              <w:rPr>
                <w:rFonts w:eastAsia="Times New Roman"/>
                <w:color w:val="000000"/>
                <w:sz w:val="20"/>
                <w:szCs w:val="20"/>
                <w:lang w:eastAsia="ru-RU"/>
              </w:rPr>
              <w:t>79,54 %</w:t>
            </w:r>
          </w:p>
        </w:tc>
      </w:tr>
    </w:tbl>
    <w:p w:rsidR="00B65D80" w:rsidRPr="004761E0" w:rsidRDefault="00B65D80" w:rsidP="00B65D80">
      <w:pPr>
        <w:ind w:firstLine="0"/>
        <w:rPr>
          <w:color w:val="0D0D0D"/>
          <w:sz w:val="26"/>
          <w:szCs w:val="26"/>
        </w:rPr>
      </w:pPr>
      <w:r w:rsidRPr="004761E0">
        <w:rPr>
          <w:noProof/>
          <w:color w:val="0D0D0D"/>
          <w:sz w:val="26"/>
          <w:szCs w:val="26"/>
          <w:lang w:eastAsia="ru-RU"/>
        </w:rPr>
        <w:drawing>
          <wp:inline distT="0" distB="0" distL="0" distR="0">
            <wp:extent cx="2876550" cy="2286000"/>
            <wp:effectExtent l="19050" t="0" r="19050" b="0"/>
            <wp:docPr id="229"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775E6A" w:rsidRPr="004761E0" w:rsidRDefault="00C648C9" w:rsidP="00C648C9">
      <w:pPr>
        <w:ind w:firstLine="567"/>
        <w:rPr>
          <w:color w:val="0D0D0D"/>
          <w:sz w:val="26"/>
          <w:szCs w:val="26"/>
        </w:rPr>
      </w:pPr>
      <w:r w:rsidRPr="004761E0">
        <w:rPr>
          <w:color w:val="0D0D0D"/>
          <w:sz w:val="26"/>
          <w:szCs w:val="26"/>
        </w:rPr>
        <w:t xml:space="preserve">Невысокие показатели обеспеченности управленческим кадровым резервом в исполнительном аппарате и аппаратах управления филиалов </w:t>
      </w:r>
      <w:r w:rsidR="00A67239" w:rsidRPr="004761E0">
        <w:rPr>
          <w:color w:val="0D0D0D"/>
          <w:sz w:val="26"/>
          <w:szCs w:val="26"/>
        </w:rPr>
        <w:t xml:space="preserve">в </w:t>
      </w:r>
      <w:r w:rsidR="00775E6A" w:rsidRPr="004761E0">
        <w:rPr>
          <w:color w:val="0D0D0D"/>
          <w:sz w:val="26"/>
          <w:szCs w:val="26"/>
        </w:rPr>
        <w:t xml:space="preserve">отчетном </w:t>
      </w:r>
      <w:r w:rsidR="00A67239" w:rsidRPr="004761E0">
        <w:rPr>
          <w:color w:val="0D0D0D"/>
          <w:sz w:val="26"/>
          <w:szCs w:val="26"/>
        </w:rPr>
        <w:t xml:space="preserve">году </w:t>
      </w:r>
      <w:r w:rsidR="00775E6A" w:rsidRPr="004761E0">
        <w:rPr>
          <w:color w:val="0D0D0D"/>
          <w:sz w:val="26"/>
          <w:szCs w:val="26"/>
        </w:rPr>
        <w:t>обусловлены следующими причинами:</w:t>
      </w:r>
    </w:p>
    <w:p w:rsidR="00775E6A" w:rsidRPr="004761E0" w:rsidRDefault="00DE6F99" w:rsidP="007076A7">
      <w:pPr>
        <w:pStyle w:val="a5"/>
        <w:numPr>
          <w:ilvl w:val="0"/>
          <w:numId w:val="234"/>
        </w:numPr>
        <w:ind w:left="1134" w:hanging="567"/>
        <w:rPr>
          <w:color w:val="0D0D0D"/>
          <w:sz w:val="26"/>
          <w:szCs w:val="26"/>
        </w:rPr>
      </w:pPr>
      <w:r w:rsidRPr="004761E0">
        <w:rPr>
          <w:color w:val="0D0D0D"/>
          <w:sz w:val="26"/>
          <w:szCs w:val="26"/>
        </w:rPr>
        <w:t xml:space="preserve">мероприятия по формированию кадрового резерва проводились в Обществе впервые, а </w:t>
      </w:r>
      <w:r w:rsidR="00A67239" w:rsidRPr="004761E0">
        <w:rPr>
          <w:color w:val="0D0D0D"/>
          <w:sz w:val="26"/>
          <w:szCs w:val="26"/>
        </w:rPr>
        <w:t xml:space="preserve">подготовка </w:t>
      </w:r>
      <w:r w:rsidR="00C648C9" w:rsidRPr="004761E0">
        <w:rPr>
          <w:color w:val="0D0D0D"/>
          <w:sz w:val="26"/>
          <w:szCs w:val="26"/>
        </w:rPr>
        <w:t xml:space="preserve">резервистов для занятия целевых позиций </w:t>
      </w:r>
      <w:r w:rsidR="00A67239" w:rsidRPr="004761E0">
        <w:rPr>
          <w:color w:val="0D0D0D"/>
          <w:sz w:val="26"/>
          <w:szCs w:val="26"/>
        </w:rPr>
        <w:t>занимает длительный срок</w:t>
      </w:r>
      <w:r w:rsidR="00775E6A" w:rsidRPr="004761E0">
        <w:rPr>
          <w:color w:val="0D0D0D"/>
          <w:sz w:val="26"/>
          <w:szCs w:val="26"/>
        </w:rPr>
        <w:t>;</w:t>
      </w:r>
    </w:p>
    <w:p w:rsidR="00DE6F99" w:rsidRPr="004761E0" w:rsidRDefault="00DE6F99" w:rsidP="007076A7">
      <w:pPr>
        <w:pStyle w:val="a5"/>
        <w:numPr>
          <w:ilvl w:val="0"/>
          <w:numId w:val="234"/>
        </w:numPr>
        <w:ind w:left="1134" w:hanging="567"/>
        <w:rPr>
          <w:color w:val="0D0D0D"/>
          <w:sz w:val="26"/>
          <w:szCs w:val="26"/>
        </w:rPr>
      </w:pPr>
      <w:r w:rsidRPr="004761E0">
        <w:rPr>
          <w:color w:val="0D0D0D"/>
          <w:sz w:val="26"/>
          <w:szCs w:val="26"/>
        </w:rPr>
        <w:t>необходимостью</w:t>
      </w:r>
      <w:r w:rsidRPr="006F4AB8">
        <w:rPr>
          <w:rStyle w:val="af1"/>
        </w:rPr>
        <w:footnoteReference w:id="127"/>
      </w:r>
      <w:r w:rsidRPr="004761E0">
        <w:rPr>
          <w:color w:val="0D0D0D"/>
          <w:sz w:val="26"/>
          <w:szCs w:val="26"/>
        </w:rPr>
        <w:t xml:space="preserve"> обеспечить реализацию индивидуальных планов развития работников, включенных в кадровый резерв Общества, в срок до 31.03.2014. </w:t>
      </w:r>
    </w:p>
    <w:p w:rsidR="00C648C9" w:rsidRPr="004761E0" w:rsidRDefault="00C648C9" w:rsidP="00775E6A">
      <w:pPr>
        <w:pStyle w:val="a5"/>
        <w:ind w:left="0" w:firstLine="567"/>
        <w:rPr>
          <w:color w:val="0D0D0D"/>
          <w:sz w:val="26"/>
          <w:szCs w:val="26"/>
        </w:rPr>
      </w:pPr>
      <w:r w:rsidRPr="004761E0">
        <w:rPr>
          <w:color w:val="0D0D0D"/>
          <w:sz w:val="26"/>
          <w:szCs w:val="26"/>
        </w:rPr>
        <w:t>Окончательное формирование кадрового резерва на все руководящие должности планируется в 2014 году.</w:t>
      </w:r>
    </w:p>
    <w:p w:rsidR="00B65D80" w:rsidRPr="00585397" w:rsidRDefault="00B65D80" w:rsidP="00585397">
      <w:pPr>
        <w:spacing w:before="120" w:after="120"/>
        <w:ind w:firstLine="567"/>
        <w:rPr>
          <w:b/>
          <w:sz w:val="26"/>
          <w:szCs w:val="26"/>
        </w:rPr>
      </w:pPr>
      <w:r w:rsidRPr="00585397">
        <w:rPr>
          <w:b/>
          <w:sz w:val="26"/>
          <w:szCs w:val="26"/>
        </w:rPr>
        <w:t>Назначения на вышестоящие должности из числа резервистов</w:t>
      </w:r>
    </w:p>
    <w:tbl>
      <w:tblPr>
        <w:tblW w:w="9373" w:type="dxa"/>
        <w:tblInd w:w="91" w:type="dxa"/>
        <w:tblLook w:val="04A0"/>
      </w:tblPr>
      <w:tblGrid>
        <w:gridCol w:w="584"/>
        <w:gridCol w:w="4536"/>
        <w:gridCol w:w="2268"/>
        <w:gridCol w:w="1985"/>
      </w:tblGrid>
      <w:tr w:rsidR="00B65D80" w:rsidRPr="004761E0" w:rsidTr="00352CDB">
        <w:trPr>
          <w:trHeight w:val="240"/>
        </w:trPr>
        <w:tc>
          <w:tcPr>
            <w:tcW w:w="584" w:type="dxa"/>
            <w:vMerge w:val="restart"/>
            <w:tcBorders>
              <w:top w:val="single" w:sz="4" w:space="0" w:color="auto"/>
              <w:left w:val="single" w:sz="4" w:space="0" w:color="auto"/>
              <w:right w:val="single" w:sz="4" w:space="0" w:color="FFFFFF"/>
            </w:tcBorders>
            <w:shd w:val="clear" w:color="auto" w:fill="0F243E"/>
            <w:vAlign w:val="center"/>
            <w:hideMark/>
          </w:tcPr>
          <w:p w:rsidR="00B65D80" w:rsidRPr="004761E0" w:rsidRDefault="00B65D80" w:rsidP="00B65D80">
            <w:pPr>
              <w:ind w:firstLine="0"/>
              <w:jc w:val="left"/>
              <w:rPr>
                <w:rFonts w:eastAsia="Times New Roman"/>
                <w:b/>
                <w:color w:val="FFFFFF"/>
                <w:sz w:val="20"/>
                <w:szCs w:val="26"/>
                <w:lang w:eastAsia="ru-RU"/>
              </w:rPr>
            </w:pPr>
            <w:r w:rsidRPr="004761E0">
              <w:rPr>
                <w:rFonts w:eastAsia="Times New Roman"/>
                <w:b/>
                <w:color w:val="FFFFFF"/>
                <w:sz w:val="20"/>
                <w:szCs w:val="26"/>
                <w:lang w:eastAsia="ru-RU"/>
              </w:rPr>
              <w:t>№ п/п</w:t>
            </w:r>
          </w:p>
        </w:tc>
        <w:tc>
          <w:tcPr>
            <w:tcW w:w="4536" w:type="dxa"/>
            <w:vMerge w:val="restart"/>
            <w:tcBorders>
              <w:top w:val="single" w:sz="4" w:space="0" w:color="auto"/>
              <w:left w:val="single" w:sz="4" w:space="0" w:color="FFFFFF"/>
              <w:right w:val="single" w:sz="4" w:space="0" w:color="FFFFFF"/>
            </w:tcBorders>
            <w:shd w:val="clear" w:color="auto" w:fill="0F243E"/>
            <w:vAlign w:val="center"/>
            <w:hideMark/>
          </w:tcPr>
          <w:p w:rsidR="00B65D80" w:rsidRPr="004761E0" w:rsidRDefault="00B65D80" w:rsidP="00B65D80">
            <w:pPr>
              <w:ind w:firstLine="0"/>
              <w:jc w:val="left"/>
              <w:rPr>
                <w:rFonts w:eastAsia="Times New Roman"/>
                <w:b/>
                <w:color w:val="FFFFFF"/>
                <w:sz w:val="20"/>
                <w:szCs w:val="26"/>
                <w:lang w:eastAsia="ru-RU"/>
              </w:rPr>
            </w:pPr>
            <w:r w:rsidRPr="004761E0">
              <w:rPr>
                <w:rFonts w:eastAsia="Times New Roman"/>
                <w:b/>
                <w:color w:val="FFFFFF"/>
                <w:sz w:val="20"/>
                <w:szCs w:val="26"/>
                <w:lang w:eastAsia="ru-RU"/>
              </w:rPr>
              <w:t>Наименование категории</w:t>
            </w:r>
          </w:p>
        </w:tc>
        <w:tc>
          <w:tcPr>
            <w:tcW w:w="4253" w:type="dxa"/>
            <w:gridSpan w:val="2"/>
            <w:tcBorders>
              <w:top w:val="single" w:sz="4" w:space="0" w:color="FFFFFF"/>
              <w:left w:val="single" w:sz="4" w:space="0" w:color="FFFFFF"/>
              <w:bottom w:val="single" w:sz="4" w:space="0" w:color="FFFFFF"/>
              <w:right w:val="single" w:sz="4" w:space="0" w:color="FFFFFF"/>
            </w:tcBorders>
            <w:shd w:val="clear" w:color="auto" w:fill="0F243E"/>
            <w:hideMark/>
          </w:tcPr>
          <w:p w:rsidR="00B65D80" w:rsidRPr="004761E0" w:rsidRDefault="00B65D80" w:rsidP="00B65D80">
            <w:pPr>
              <w:ind w:firstLine="0"/>
              <w:jc w:val="right"/>
              <w:rPr>
                <w:rFonts w:eastAsia="Times New Roman"/>
                <w:b/>
                <w:color w:val="FFFFFF"/>
                <w:sz w:val="20"/>
                <w:szCs w:val="26"/>
                <w:lang w:eastAsia="ru-RU"/>
              </w:rPr>
            </w:pPr>
            <w:r w:rsidRPr="004761E0">
              <w:rPr>
                <w:rFonts w:eastAsia="Times New Roman"/>
                <w:b/>
                <w:color w:val="FFFFFF"/>
                <w:sz w:val="20"/>
                <w:szCs w:val="26"/>
                <w:lang w:eastAsia="ru-RU"/>
              </w:rPr>
              <w:t>Количество резервистов, назначенных на вышестоящие должности, чел.</w:t>
            </w:r>
          </w:p>
        </w:tc>
      </w:tr>
      <w:tr w:rsidR="00B65D80" w:rsidRPr="004761E0" w:rsidTr="00352CDB">
        <w:trPr>
          <w:trHeight w:val="210"/>
        </w:trPr>
        <w:tc>
          <w:tcPr>
            <w:tcW w:w="584" w:type="dxa"/>
            <w:vMerge/>
            <w:tcBorders>
              <w:left w:val="single" w:sz="4" w:space="0" w:color="auto"/>
              <w:bottom w:val="single" w:sz="4" w:space="0" w:color="auto"/>
              <w:right w:val="single" w:sz="4" w:space="0" w:color="FFFFFF"/>
            </w:tcBorders>
            <w:shd w:val="clear" w:color="auto" w:fill="0F243E"/>
            <w:vAlign w:val="center"/>
            <w:hideMark/>
          </w:tcPr>
          <w:p w:rsidR="00B65D80" w:rsidRPr="004761E0" w:rsidRDefault="00B65D80" w:rsidP="00B65D80">
            <w:pPr>
              <w:ind w:firstLine="0"/>
              <w:jc w:val="left"/>
              <w:rPr>
                <w:rFonts w:eastAsia="Times New Roman"/>
                <w:b/>
                <w:color w:val="FFFFFF"/>
                <w:sz w:val="20"/>
                <w:szCs w:val="26"/>
                <w:lang w:eastAsia="ru-RU"/>
              </w:rPr>
            </w:pPr>
          </w:p>
        </w:tc>
        <w:tc>
          <w:tcPr>
            <w:tcW w:w="4536" w:type="dxa"/>
            <w:vMerge/>
            <w:tcBorders>
              <w:left w:val="single" w:sz="4" w:space="0" w:color="FFFFFF"/>
              <w:bottom w:val="single" w:sz="4" w:space="0" w:color="auto"/>
              <w:right w:val="single" w:sz="4" w:space="0" w:color="FFFFFF"/>
            </w:tcBorders>
            <w:shd w:val="clear" w:color="auto" w:fill="0F243E"/>
            <w:vAlign w:val="center"/>
            <w:hideMark/>
          </w:tcPr>
          <w:p w:rsidR="00B65D80" w:rsidRPr="004761E0" w:rsidRDefault="00B65D80" w:rsidP="00B65D80">
            <w:pPr>
              <w:ind w:firstLine="0"/>
              <w:jc w:val="left"/>
              <w:rPr>
                <w:rFonts w:eastAsia="Times New Roman"/>
                <w:b/>
                <w:color w:val="FFFFFF"/>
                <w:sz w:val="20"/>
                <w:szCs w:val="26"/>
                <w:lang w:eastAsia="ru-RU"/>
              </w:rPr>
            </w:pPr>
          </w:p>
        </w:tc>
        <w:tc>
          <w:tcPr>
            <w:tcW w:w="2268" w:type="dxa"/>
            <w:tcBorders>
              <w:top w:val="single" w:sz="4" w:space="0" w:color="FFFFFF"/>
              <w:left w:val="single" w:sz="4" w:space="0" w:color="FFFFFF"/>
              <w:bottom w:val="single" w:sz="4" w:space="0" w:color="auto"/>
              <w:right w:val="single" w:sz="4" w:space="0" w:color="FFFFFF"/>
            </w:tcBorders>
            <w:shd w:val="clear" w:color="auto" w:fill="0F243E"/>
            <w:vAlign w:val="center"/>
            <w:hideMark/>
          </w:tcPr>
          <w:p w:rsidR="00B65D80" w:rsidRPr="004761E0" w:rsidRDefault="00B65D80" w:rsidP="00B65D80">
            <w:pPr>
              <w:ind w:firstLine="0"/>
              <w:jc w:val="right"/>
              <w:rPr>
                <w:rFonts w:eastAsia="Times New Roman"/>
                <w:b/>
                <w:color w:val="FFFFFF"/>
                <w:sz w:val="20"/>
                <w:szCs w:val="26"/>
                <w:lang w:eastAsia="ru-RU"/>
              </w:rPr>
            </w:pPr>
            <w:r w:rsidRPr="004761E0">
              <w:rPr>
                <w:rFonts w:eastAsia="Times New Roman"/>
                <w:b/>
                <w:color w:val="FFFFFF"/>
                <w:sz w:val="20"/>
                <w:szCs w:val="26"/>
                <w:lang w:eastAsia="ru-RU"/>
              </w:rPr>
              <w:t>на целевые должности</w:t>
            </w:r>
          </w:p>
        </w:tc>
        <w:tc>
          <w:tcPr>
            <w:tcW w:w="1985" w:type="dxa"/>
            <w:tcBorders>
              <w:top w:val="single" w:sz="4" w:space="0" w:color="FFFFFF"/>
              <w:left w:val="single" w:sz="4" w:space="0" w:color="FFFFFF"/>
              <w:bottom w:val="single" w:sz="4" w:space="0" w:color="auto"/>
              <w:right w:val="single" w:sz="4" w:space="0" w:color="FFFFFF"/>
            </w:tcBorders>
            <w:shd w:val="clear" w:color="auto" w:fill="0F243E"/>
            <w:vAlign w:val="center"/>
          </w:tcPr>
          <w:p w:rsidR="00B65D80" w:rsidRPr="004761E0" w:rsidRDefault="00B65D80" w:rsidP="00B65D80">
            <w:pPr>
              <w:ind w:firstLine="0"/>
              <w:jc w:val="right"/>
              <w:rPr>
                <w:rFonts w:eastAsia="Times New Roman"/>
                <w:b/>
                <w:color w:val="FFFFFF"/>
                <w:sz w:val="20"/>
                <w:szCs w:val="26"/>
                <w:lang w:eastAsia="ru-RU"/>
              </w:rPr>
            </w:pPr>
            <w:r w:rsidRPr="004761E0">
              <w:rPr>
                <w:rFonts w:eastAsia="Times New Roman"/>
                <w:b/>
                <w:color w:val="FFFFFF"/>
                <w:sz w:val="20"/>
                <w:szCs w:val="26"/>
                <w:lang w:eastAsia="ru-RU"/>
              </w:rPr>
              <w:t>иные</w:t>
            </w:r>
          </w:p>
        </w:tc>
      </w:tr>
      <w:tr w:rsidR="00B65D80" w:rsidRPr="004761E0" w:rsidTr="00352CDB">
        <w:trPr>
          <w:trHeight w:val="300"/>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B65D80" w:rsidRPr="004761E0" w:rsidRDefault="00B65D80" w:rsidP="007076A7">
            <w:pPr>
              <w:pStyle w:val="a5"/>
              <w:numPr>
                <w:ilvl w:val="0"/>
                <w:numId w:val="210"/>
              </w:numPr>
              <w:jc w:val="left"/>
              <w:rPr>
                <w:rFonts w:eastAsia="Times New Roman"/>
                <w:color w:val="000000"/>
                <w:sz w:val="20"/>
                <w:szCs w:val="20"/>
                <w:lang w:eastAsia="ru-RU"/>
              </w:rPr>
            </w:pPr>
          </w:p>
        </w:tc>
        <w:tc>
          <w:tcPr>
            <w:tcW w:w="4536" w:type="dxa"/>
            <w:tcBorders>
              <w:top w:val="nil"/>
              <w:left w:val="nil"/>
              <w:bottom w:val="single" w:sz="4" w:space="0" w:color="auto"/>
              <w:right w:val="single" w:sz="4" w:space="0" w:color="auto"/>
            </w:tcBorders>
            <w:shd w:val="clear" w:color="auto" w:fill="auto"/>
            <w:vAlign w:val="center"/>
            <w:hideMark/>
          </w:tcPr>
          <w:p w:rsidR="00B65D80" w:rsidRPr="004761E0" w:rsidRDefault="00B65D80" w:rsidP="00B65D80">
            <w:pPr>
              <w:ind w:firstLine="0"/>
              <w:jc w:val="left"/>
              <w:rPr>
                <w:rFonts w:eastAsia="Times New Roman"/>
                <w:color w:val="000000"/>
                <w:sz w:val="20"/>
                <w:szCs w:val="26"/>
                <w:lang w:eastAsia="ru-RU"/>
              </w:rPr>
            </w:pPr>
            <w:r w:rsidRPr="004761E0">
              <w:rPr>
                <w:rFonts w:eastAsia="Times New Roman"/>
                <w:color w:val="000000"/>
                <w:sz w:val="20"/>
                <w:szCs w:val="26"/>
                <w:lang w:eastAsia="ru-RU"/>
              </w:rPr>
              <w:t xml:space="preserve">Управленческий кадровый резерв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B65D80" w:rsidRPr="004761E0" w:rsidRDefault="00B65D80" w:rsidP="00B65D80">
            <w:pPr>
              <w:ind w:firstLine="0"/>
              <w:jc w:val="right"/>
              <w:rPr>
                <w:rFonts w:eastAsia="Times New Roman"/>
                <w:color w:val="000000"/>
                <w:sz w:val="20"/>
                <w:szCs w:val="26"/>
                <w:lang w:eastAsia="ru-RU"/>
              </w:rPr>
            </w:pPr>
            <w:r w:rsidRPr="004761E0">
              <w:rPr>
                <w:rFonts w:eastAsia="Times New Roman"/>
                <w:color w:val="000000"/>
                <w:sz w:val="20"/>
                <w:szCs w:val="26"/>
                <w:lang w:eastAsia="ru-RU"/>
              </w:rPr>
              <w:t>26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B65D80" w:rsidRPr="004761E0" w:rsidRDefault="00B65D80" w:rsidP="00B65D80">
            <w:pPr>
              <w:ind w:firstLine="0"/>
              <w:jc w:val="right"/>
              <w:rPr>
                <w:rFonts w:eastAsia="Times New Roman"/>
                <w:color w:val="000000"/>
                <w:sz w:val="20"/>
                <w:szCs w:val="26"/>
                <w:lang w:eastAsia="ru-RU"/>
              </w:rPr>
            </w:pPr>
            <w:r w:rsidRPr="004761E0">
              <w:rPr>
                <w:rFonts w:eastAsia="Times New Roman"/>
                <w:color w:val="000000"/>
                <w:sz w:val="20"/>
                <w:szCs w:val="26"/>
                <w:lang w:eastAsia="ru-RU"/>
              </w:rPr>
              <w:t>9</w:t>
            </w:r>
          </w:p>
        </w:tc>
      </w:tr>
      <w:tr w:rsidR="00B65D80" w:rsidRPr="004761E0" w:rsidTr="00352CDB">
        <w:trPr>
          <w:trHeight w:val="30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D80" w:rsidRPr="004761E0" w:rsidRDefault="00B65D80" w:rsidP="007076A7">
            <w:pPr>
              <w:pStyle w:val="a5"/>
              <w:numPr>
                <w:ilvl w:val="0"/>
                <w:numId w:val="210"/>
              </w:numPr>
              <w:jc w:val="left"/>
              <w:rPr>
                <w:rFonts w:eastAsia="Times New Roman"/>
                <w:color w:val="000000"/>
                <w:sz w:val="20"/>
                <w:szCs w:val="2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D80" w:rsidRPr="004761E0" w:rsidRDefault="00B65D80" w:rsidP="00B65D80">
            <w:pPr>
              <w:ind w:firstLine="0"/>
              <w:jc w:val="left"/>
              <w:rPr>
                <w:rFonts w:eastAsia="Times New Roman"/>
                <w:color w:val="000000"/>
                <w:sz w:val="20"/>
                <w:szCs w:val="26"/>
                <w:lang w:eastAsia="ru-RU"/>
              </w:rPr>
            </w:pPr>
            <w:r w:rsidRPr="004761E0">
              <w:rPr>
                <w:rFonts w:eastAsia="Times New Roman"/>
                <w:color w:val="000000"/>
                <w:sz w:val="20"/>
                <w:szCs w:val="26"/>
                <w:lang w:eastAsia="ru-RU"/>
              </w:rPr>
              <w:t>Молодежный кадровый резерв</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D80" w:rsidRPr="004761E0" w:rsidRDefault="00B65D80" w:rsidP="00B65D80">
            <w:pPr>
              <w:ind w:firstLine="0"/>
              <w:jc w:val="right"/>
              <w:rPr>
                <w:rFonts w:eastAsia="Times New Roman"/>
                <w:color w:val="000000"/>
                <w:sz w:val="20"/>
                <w:szCs w:val="26"/>
                <w:lang w:eastAsia="ru-RU"/>
              </w:rPr>
            </w:pPr>
            <w:r w:rsidRPr="004761E0">
              <w:rPr>
                <w:rFonts w:eastAsia="Times New Roman"/>
                <w:color w:val="000000"/>
                <w:sz w:val="20"/>
                <w:szCs w:val="26"/>
                <w:lang w:eastAsia="ru-RU"/>
              </w:rPr>
              <w:t>12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B65D80" w:rsidRPr="004761E0" w:rsidRDefault="00B65D80" w:rsidP="00B65D80">
            <w:pPr>
              <w:ind w:firstLine="0"/>
              <w:jc w:val="right"/>
              <w:rPr>
                <w:rFonts w:eastAsia="Times New Roman"/>
                <w:color w:val="000000"/>
                <w:sz w:val="20"/>
                <w:szCs w:val="26"/>
                <w:lang w:eastAsia="ru-RU"/>
              </w:rPr>
            </w:pPr>
            <w:r w:rsidRPr="004761E0">
              <w:rPr>
                <w:rFonts w:eastAsia="Times New Roman"/>
                <w:color w:val="000000"/>
                <w:sz w:val="20"/>
                <w:szCs w:val="26"/>
                <w:lang w:eastAsia="ru-RU"/>
              </w:rPr>
              <w:t>4</w:t>
            </w:r>
          </w:p>
        </w:tc>
      </w:tr>
    </w:tbl>
    <w:p w:rsidR="00B65D80" w:rsidRPr="004761E0" w:rsidRDefault="00B65D80" w:rsidP="00B65D80">
      <w:pPr>
        <w:ind w:firstLine="567"/>
        <w:rPr>
          <w:color w:val="262626"/>
          <w:sz w:val="26"/>
          <w:szCs w:val="26"/>
        </w:rPr>
      </w:pPr>
      <w:r w:rsidRPr="004761E0">
        <w:rPr>
          <w:color w:val="262626"/>
          <w:sz w:val="26"/>
          <w:szCs w:val="26"/>
        </w:rPr>
        <w:lastRenderedPageBreak/>
        <w:t xml:space="preserve">Для развития профессиональных и управленческих компетенций членов кадрового резерва в 2013 году разработаны индивидуальные планы развития и графики ротации, включающие самообразование, участие в тренингах и семинарах, прохождение стажировки, коучинга, развивающие поручения, участие в работе проектных групп, временное исполнение резервистом обязанностей целевой должности, получение обратной связи от наставников и руководителей. </w:t>
      </w:r>
    </w:p>
    <w:p w:rsidR="00B65D80" w:rsidRPr="004761E0" w:rsidRDefault="00B65D80" w:rsidP="00B65D80">
      <w:pPr>
        <w:ind w:firstLine="567"/>
        <w:rPr>
          <w:color w:val="262626"/>
          <w:sz w:val="26"/>
          <w:szCs w:val="26"/>
        </w:rPr>
      </w:pPr>
      <w:r w:rsidRPr="004761E0">
        <w:rPr>
          <w:color w:val="262626"/>
          <w:sz w:val="26"/>
          <w:szCs w:val="26"/>
        </w:rPr>
        <w:t xml:space="preserve">Для выявления компетенций, находящихся на недостаточно высоком уровне в течение года проводилась оценка методом 360 градусов с помощью опроса мнения коллектива, оценка организационного климата, лидерских компетенций и стилей лидерства, оценка корпоративных и управленческих компетенций методом </w:t>
      </w:r>
      <w:r w:rsidRPr="004761E0">
        <w:rPr>
          <w:bCs/>
          <w:color w:val="262626"/>
          <w:sz w:val="26"/>
          <w:szCs w:val="26"/>
        </w:rPr>
        <w:t>Ассессмент-центр</w:t>
      </w:r>
      <w:r w:rsidRPr="004761E0">
        <w:rPr>
          <w:color w:val="262626"/>
          <w:sz w:val="26"/>
          <w:szCs w:val="26"/>
        </w:rPr>
        <w:t>, обеспечивающим точную и объективную оценку реальных знаний, менеджерских навыков и потенциала управленческого развития сотрудников.</w:t>
      </w:r>
    </w:p>
    <w:p w:rsidR="00B65D80" w:rsidRPr="004761E0" w:rsidRDefault="00B65D80" w:rsidP="00B65D80">
      <w:pPr>
        <w:ind w:firstLine="567"/>
        <w:rPr>
          <w:color w:val="262626"/>
          <w:sz w:val="26"/>
          <w:szCs w:val="26"/>
        </w:rPr>
      </w:pPr>
      <w:r w:rsidRPr="004761E0">
        <w:rPr>
          <w:color w:val="262626"/>
          <w:sz w:val="26"/>
          <w:szCs w:val="26"/>
        </w:rPr>
        <w:t>Сформированы итоговые и индивидуальные отчеты об уровне развития профессиональных и управленческих компетенций.</w:t>
      </w:r>
    </w:p>
    <w:p w:rsidR="00B65D80" w:rsidRDefault="00B65D80" w:rsidP="00B65D80">
      <w:pPr>
        <w:ind w:firstLine="567"/>
        <w:rPr>
          <w:color w:val="262626"/>
          <w:sz w:val="26"/>
          <w:szCs w:val="26"/>
        </w:rPr>
      </w:pPr>
      <w:r w:rsidRPr="004761E0">
        <w:rPr>
          <w:color w:val="262626"/>
          <w:sz w:val="26"/>
          <w:szCs w:val="26"/>
        </w:rPr>
        <w:t xml:space="preserve">В Обществе подготовлен актуализированный состав кадрового резерва. Обновление с введением новых членов в состав управленческого кадрового резерва планируется в </w:t>
      </w:r>
      <w:r w:rsidRPr="004761E0">
        <w:rPr>
          <w:color w:val="262626"/>
          <w:sz w:val="26"/>
          <w:szCs w:val="26"/>
          <w:lang w:val="en-US"/>
        </w:rPr>
        <w:t>I</w:t>
      </w:r>
      <w:r w:rsidRPr="004761E0">
        <w:rPr>
          <w:color w:val="262626"/>
          <w:sz w:val="26"/>
          <w:szCs w:val="26"/>
        </w:rPr>
        <w:t xml:space="preserve"> кв</w:t>
      </w:r>
      <w:r w:rsidR="001332F2">
        <w:rPr>
          <w:color w:val="262626"/>
          <w:sz w:val="26"/>
          <w:szCs w:val="26"/>
        </w:rPr>
        <w:t>артале</w:t>
      </w:r>
      <w:r w:rsidRPr="004761E0">
        <w:rPr>
          <w:color w:val="262626"/>
          <w:sz w:val="26"/>
          <w:szCs w:val="26"/>
        </w:rPr>
        <w:t xml:space="preserve"> 2014 года. Формируются программы обучающих мероприятий для резервистов. Для выявления компетенций, находящихся на недостаточно высоком уровне, запланировано проведение оценки.</w:t>
      </w:r>
    </w:p>
    <w:p w:rsidR="00585397" w:rsidRDefault="00585397">
      <w:pPr>
        <w:ind w:firstLine="0"/>
        <w:jc w:val="left"/>
        <w:rPr>
          <w:color w:val="262626"/>
          <w:sz w:val="26"/>
          <w:szCs w:val="26"/>
        </w:rPr>
      </w:pPr>
      <w:r>
        <w:rPr>
          <w:color w:val="262626"/>
          <w:sz w:val="26"/>
          <w:szCs w:val="26"/>
        </w:rPr>
        <w:br w:type="page"/>
      </w:r>
    </w:p>
    <w:p w:rsidR="00533F89" w:rsidRPr="004761E0" w:rsidRDefault="00E34ACB" w:rsidP="007076A7">
      <w:pPr>
        <w:pStyle w:val="a8"/>
        <w:numPr>
          <w:ilvl w:val="1"/>
          <w:numId w:val="321"/>
        </w:numPr>
        <w:spacing w:before="120" w:after="120"/>
        <w:ind w:left="1134" w:hanging="567"/>
        <w:jc w:val="both"/>
        <w:rPr>
          <w:rFonts w:ascii="Times New Roman" w:hAnsi="Times New Roman"/>
          <w:b/>
          <w:sz w:val="26"/>
          <w:szCs w:val="26"/>
          <w:lang w:eastAsia="ru-RU"/>
        </w:rPr>
      </w:pPr>
      <w:bookmarkStart w:id="126" w:name="_Toc380576948"/>
      <w:bookmarkStart w:id="127" w:name="_Toc385339845"/>
      <w:r w:rsidRPr="004761E0">
        <w:rPr>
          <w:rFonts w:ascii="Times New Roman" w:hAnsi="Times New Roman"/>
          <w:b/>
          <w:sz w:val="26"/>
          <w:szCs w:val="26"/>
        </w:rPr>
        <w:lastRenderedPageBreak/>
        <w:t>Социальная политика</w:t>
      </w:r>
      <w:bookmarkEnd w:id="126"/>
      <w:bookmarkEnd w:id="127"/>
    </w:p>
    <w:p w:rsidR="003D0EA5" w:rsidRPr="004761E0" w:rsidRDefault="0008080E" w:rsidP="00585397">
      <w:pPr>
        <w:autoSpaceDE w:val="0"/>
        <w:autoSpaceDN w:val="0"/>
        <w:adjustRightInd w:val="0"/>
        <w:ind w:firstLine="567"/>
        <w:rPr>
          <w:sz w:val="26"/>
          <w:szCs w:val="26"/>
        </w:rPr>
      </w:pPr>
      <w:bookmarkStart w:id="128" w:name="_Toc382853147"/>
      <w:bookmarkEnd w:id="128"/>
      <w:r>
        <w:rPr>
          <w:sz w:val="26"/>
          <w:szCs w:val="26"/>
        </w:rPr>
        <w:t>ОАО </w:t>
      </w:r>
      <w:r w:rsidR="003D0EA5" w:rsidRPr="004761E0">
        <w:rPr>
          <w:sz w:val="26"/>
          <w:szCs w:val="26"/>
        </w:rPr>
        <w:t>«МОЭСК» – социально-ориентированное Общество, которое реализует программы, направленные на повышение уровня социальной защищенности работников, создание условий для всестороннего развития и корпоративной солидарности сотрудников.</w:t>
      </w:r>
    </w:p>
    <w:p w:rsidR="003D0EA5" w:rsidRPr="004761E0" w:rsidRDefault="003D0EA5" w:rsidP="00585397">
      <w:pPr>
        <w:autoSpaceDE w:val="0"/>
        <w:autoSpaceDN w:val="0"/>
        <w:adjustRightInd w:val="0"/>
        <w:ind w:firstLine="567"/>
        <w:rPr>
          <w:sz w:val="26"/>
          <w:szCs w:val="26"/>
        </w:rPr>
      </w:pPr>
      <w:r w:rsidRPr="004761E0">
        <w:rPr>
          <w:sz w:val="26"/>
          <w:szCs w:val="26"/>
        </w:rPr>
        <w:t xml:space="preserve">Система социальных программ рассчитана на поддержание лояльности в Обществе и социальной защищенности персонала. </w:t>
      </w:r>
    </w:p>
    <w:p w:rsidR="003D0EA5" w:rsidRPr="004761E0" w:rsidRDefault="003D0EA5" w:rsidP="00585397">
      <w:pPr>
        <w:autoSpaceDE w:val="0"/>
        <w:autoSpaceDN w:val="0"/>
        <w:adjustRightInd w:val="0"/>
        <w:ind w:firstLine="567"/>
        <w:rPr>
          <w:sz w:val="26"/>
          <w:szCs w:val="26"/>
        </w:rPr>
      </w:pPr>
      <w:r w:rsidRPr="004761E0">
        <w:rPr>
          <w:sz w:val="26"/>
          <w:szCs w:val="26"/>
        </w:rPr>
        <w:t xml:space="preserve">Целями социальной политики являются обеспечение конкурентоспособности </w:t>
      </w:r>
      <w:r w:rsidR="0008080E">
        <w:rPr>
          <w:sz w:val="26"/>
          <w:szCs w:val="26"/>
        </w:rPr>
        <w:t>ОАО </w:t>
      </w:r>
      <w:r w:rsidRPr="004761E0">
        <w:rPr>
          <w:sz w:val="26"/>
          <w:szCs w:val="26"/>
        </w:rPr>
        <w:t>«МОЭСК» на рынке труда, удержание квалифицированных работников за счет создания дополнительных мер социальной защищенности, привлечение молодых специалистов, в том числе выпускников учебных заведений электроэнергетических специальностей, омоложение персонала и повышение престижа профессии.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9"/>
        <w:gridCol w:w="1716"/>
        <w:gridCol w:w="7335"/>
      </w:tblGrid>
      <w:tr w:rsidR="003D0EA5" w:rsidRPr="004761E0" w:rsidTr="00252B8E">
        <w:tc>
          <w:tcPr>
            <w:tcW w:w="519" w:type="dxa"/>
            <w:tcBorders>
              <w:bottom w:val="single" w:sz="4" w:space="0" w:color="auto"/>
              <w:right w:val="single" w:sz="4" w:space="0" w:color="FFFFFF"/>
            </w:tcBorders>
            <w:shd w:val="clear" w:color="auto" w:fill="0F243E"/>
          </w:tcPr>
          <w:p w:rsidR="003D0EA5" w:rsidRPr="004761E0" w:rsidRDefault="003D0EA5" w:rsidP="00252B8E">
            <w:pPr>
              <w:autoSpaceDE w:val="0"/>
              <w:autoSpaceDN w:val="0"/>
              <w:adjustRightInd w:val="0"/>
              <w:ind w:firstLine="0"/>
              <w:jc w:val="left"/>
              <w:rPr>
                <w:b/>
                <w:sz w:val="20"/>
                <w:szCs w:val="26"/>
                <w:lang w:eastAsia="ru-RU"/>
              </w:rPr>
            </w:pPr>
            <w:r w:rsidRPr="004761E0">
              <w:rPr>
                <w:b/>
                <w:sz w:val="20"/>
                <w:szCs w:val="26"/>
                <w:lang w:eastAsia="ru-RU"/>
              </w:rPr>
              <w:t>№ п/п</w:t>
            </w:r>
          </w:p>
        </w:tc>
        <w:tc>
          <w:tcPr>
            <w:tcW w:w="1716" w:type="dxa"/>
            <w:tcBorders>
              <w:left w:val="single" w:sz="4" w:space="0" w:color="FFFFFF"/>
              <w:bottom w:val="single" w:sz="4" w:space="0" w:color="auto"/>
              <w:right w:val="single" w:sz="4" w:space="0" w:color="FFFFFF"/>
            </w:tcBorders>
            <w:shd w:val="clear" w:color="auto" w:fill="0F243E"/>
          </w:tcPr>
          <w:p w:rsidR="003D0EA5" w:rsidRPr="004761E0" w:rsidRDefault="003D0EA5" w:rsidP="00252B8E">
            <w:pPr>
              <w:autoSpaceDE w:val="0"/>
              <w:autoSpaceDN w:val="0"/>
              <w:adjustRightInd w:val="0"/>
              <w:ind w:firstLine="0"/>
              <w:jc w:val="left"/>
              <w:rPr>
                <w:b/>
                <w:sz w:val="20"/>
                <w:szCs w:val="26"/>
                <w:lang w:eastAsia="ru-RU"/>
              </w:rPr>
            </w:pPr>
            <w:r w:rsidRPr="004761E0">
              <w:rPr>
                <w:b/>
                <w:sz w:val="20"/>
                <w:szCs w:val="26"/>
                <w:lang w:eastAsia="ru-RU"/>
              </w:rPr>
              <w:t>Социальная программа</w:t>
            </w:r>
          </w:p>
        </w:tc>
        <w:tc>
          <w:tcPr>
            <w:tcW w:w="7335" w:type="dxa"/>
            <w:tcBorders>
              <w:left w:val="single" w:sz="4" w:space="0" w:color="FFFFFF"/>
              <w:bottom w:val="single" w:sz="4" w:space="0" w:color="auto"/>
            </w:tcBorders>
            <w:shd w:val="clear" w:color="auto" w:fill="0F243E"/>
          </w:tcPr>
          <w:p w:rsidR="003D0EA5" w:rsidRPr="004761E0" w:rsidRDefault="003D0EA5" w:rsidP="00252B8E">
            <w:pPr>
              <w:autoSpaceDE w:val="0"/>
              <w:autoSpaceDN w:val="0"/>
              <w:adjustRightInd w:val="0"/>
              <w:ind w:firstLine="0"/>
              <w:jc w:val="left"/>
              <w:rPr>
                <w:b/>
                <w:sz w:val="20"/>
                <w:szCs w:val="26"/>
                <w:lang w:eastAsia="ru-RU"/>
              </w:rPr>
            </w:pPr>
            <w:r w:rsidRPr="004761E0">
              <w:rPr>
                <w:b/>
                <w:sz w:val="20"/>
                <w:szCs w:val="26"/>
                <w:lang w:eastAsia="ru-RU"/>
              </w:rPr>
              <w:t>Описание</w:t>
            </w:r>
          </w:p>
        </w:tc>
      </w:tr>
      <w:tr w:rsidR="003D0EA5" w:rsidRPr="004761E0" w:rsidTr="00252B8E">
        <w:tc>
          <w:tcPr>
            <w:tcW w:w="519" w:type="dxa"/>
            <w:tcBorders>
              <w:top w:val="single" w:sz="4" w:space="0" w:color="auto"/>
              <w:left w:val="single" w:sz="4" w:space="0" w:color="auto"/>
              <w:bottom w:val="single" w:sz="4" w:space="0" w:color="auto"/>
              <w:right w:val="nil"/>
            </w:tcBorders>
          </w:tcPr>
          <w:p w:rsidR="003D0EA5" w:rsidRPr="004761E0" w:rsidRDefault="003D0EA5" w:rsidP="007076A7">
            <w:pPr>
              <w:pStyle w:val="a5"/>
              <w:numPr>
                <w:ilvl w:val="0"/>
                <w:numId w:val="130"/>
              </w:numPr>
              <w:autoSpaceDE w:val="0"/>
              <w:autoSpaceDN w:val="0"/>
              <w:adjustRightInd w:val="0"/>
              <w:rPr>
                <w:sz w:val="20"/>
                <w:szCs w:val="26"/>
                <w:lang w:eastAsia="ru-RU"/>
              </w:rPr>
            </w:pPr>
          </w:p>
        </w:tc>
        <w:tc>
          <w:tcPr>
            <w:tcW w:w="1716" w:type="dxa"/>
            <w:tcBorders>
              <w:top w:val="single" w:sz="4" w:space="0" w:color="auto"/>
              <w:left w:val="nil"/>
              <w:bottom w:val="single" w:sz="4" w:space="0" w:color="auto"/>
              <w:right w:val="nil"/>
            </w:tcBorders>
          </w:tcPr>
          <w:p w:rsidR="003D0EA5" w:rsidRPr="004761E0" w:rsidRDefault="003D0EA5" w:rsidP="00252B8E">
            <w:pPr>
              <w:autoSpaceDE w:val="0"/>
              <w:autoSpaceDN w:val="0"/>
              <w:adjustRightInd w:val="0"/>
              <w:ind w:firstLine="0"/>
              <w:jc w:val="left"/>
              <w:rPr>
                <w:sz w:val="20"/>
                <w:szCs w:val="26"/>
                <w:lang w:eastAsia="ru-RU"/>
              </w:rPr>
            </w:pPr>
            <w:r w:rsidRPr="004761E0">
              <w:rPr>
                <w:sz w:val="20"/>
                <w:szCs w:val="26"/>
                <w:lang w:eastAsia="ru-RU"/>
              </w:rPr>
              <w:t>Коллективный договор</w:t>
            </w:r>
          </w:p>
        </w:tc>
        <w:tc>
          <w:tcPr>
            <w:tcW w:w="7335" w:type="dxa"/>
            <w:tcBorders>
              <w:top w:val="single" w:sz="4" w:space="0" w:color="auto"/>
              <w:left w:val="nil"/>
              <w:bottom w:val="single" w:sz="4" w:space="0" w:color="auto"/>
              <w:right w:val="single" w:sz="4" w:space="0" w:color="auto"/>
            </w:tcBorders>
          </w:tcPr>
          <w:p w:rsidR="003D0EA5" w:rsidRPr="004761E0" w:rsidRDefault="003D0EA5" w:rsidP="00252B8E">
            <w:pPr>
              <w:autoSpaceDE w:val="0"/>
              <w:autoSpaceDN w:val="0"/>
              <w:adjustRightInd w:val="0"/>
              <w:ind w:firstLine="0"/>
              <w:rPr>
                <w:sz w:val="20"/>
                <w:szCs w:val="26"/>
                <w:lang w:eastAsia="ru-RU"/>
              </w:rPr>
            </w:pPr>
            <w:r w:rsidRPr="004761E0">
              <w:rPr>
                <w:sz w:val="20"/>
                <w:szCs w:val="26"/>
                <w:lang w:eastAsia="ru-RU"/>
              </w:rPr>
              <w:t xml:space="preserve">Основным документом, регулирующим социально-трудовые отношения между </w:t>
            </w:r>
            <w:r w:rsidR="0008080E">
              <w:rPr>
                <w:sz w:val="20"/>
                <w:szCs w:val="26"/>
                <w:lang w:eastAsia="ru-RU"/>
              </w:rPr>
              <w:t>ОАО </w:t>
            </w:r>
            <w:r w:rsidRPr="004761E0">
              <w:rPr>
                <w:sz w:val="20"/>
                <w:szCs w:val="26"/>
                <w:lang w:eastAsia="ru-RU"/>
              </w:rPr>
              <w:t>«МОЭСК» и работниками, является Коллективный договор. В 2013 году Коллективный договор впервые заключен не на один год, а на два - он будет действовать до конца 2014 года. В документе структурированы социальные гарантии и компенсации по целевым группам. Предусмотрены гарантии и компенсации неработающим пенсионерам, которые до выхода на пенсию работали в электросетевых организациях</w:t>
            </w:r>
            <w:r w:rsidR="001332F2">
              <w:rPr>
                <w:sz w:val="20"/>
                <w:szCs w:val="26"/>
                <w:lang w:eastAsia="ru-RU"/>
              </w:rPr>
              <w:t>-</w:t>
            </w:r>
            <w:r w:rsidRPr="004761E0">
              <w:rPr>
                <w:sz w:val="20"/>
                <w:szCs w:val="26"/>
                <w:lang w:eastAsia="ru-RU"/>
              </w:rPr>
              <w:t xml:space="preserve">правопредшественниках Общества. </w:t>
            </w:r>
          </w:p>
          <w:p w:rsidR="003D0EA5" w:rsidRPr="004761E0" w:rsidRDefault="003D0EA5" w:rsidP="00252B8E">
            <w:pPr>
              <w:autoSpaceDE w:val="0"/>
              <w:autoSpaceDN w:val="0"/>
              <w:adjustRightInd w:val="0"/>
              <w:ind w:firstLine="0"/>
              <w:rPr>
                <w:sz w:val="20"/>
                <w:szCs w:val="26"/>
                <w:lang w:eastAsia="ru-RU"/>
              </w:rPr>
            </w:pPr>
            <w:r w:rsidRPr="004761E0">
              <w:rPr>
                <w:sz w:val="20"/>
                <w:szCs w:val="26"/>
                <w:lang w:eastAsia="ru-RU"/>
              </w:rPr>
              <w:t xml:space="preserve">В 2014 году предусмотрена разработка и утверждение нового Коллективного договора </w:t>
            </w:r>
            <w:r w:rsidR="0008080E">
              <w:rPr>
                <w:sz w:val="20"/>
                <w:szCs w:val="26"/>
                <w:lang w:eastAsia="ru-RU"/>
              </w:rPr>
              <w:t>ОАО </w:t>
            </w:r>
            <w:r w:rsidRPr="004761E0">
              <w:rPr>
                <w:sz w:val="20"/>
                <w:szCs w:val="26"/>
                <w:lang w:eastAsia="ru-RU"/>
              </w:rPr>
              <w:t xml:space="preserve">«МОЭСК» на 2015-2017гг. </w:t>
            </w:r>
          </w:p>
          <w:p w:rsidR="003D0EA5" w:rsidRPr="004761E0" w:rsidRDefault="003D0EA5" w:rsidP="00E30CDF">
            <w:pPr>
              <w:autoSpaceDE w:val="0"/>
              <w:autoSpaceDN w:val="0"/>
              <w:adjustRightInd w:val="0"/>
              <w:ind w:firstLine="0"/>
              <w:rPr>
                <w:sz w:val="20"/>
                <w:szCs w:val="26"/>
                <w:lang w:eastAsia="ru-RU"/>
              </w:rPr>
            </w:pPr>
            <w:r w:rsidRPr="004761E0">
              <w:rPr>
                <w:sz w:val="20"/>
                <w:szCs w:val="26"/>
                <w:lang w:eastAsia="ru-RU"/>
              </w:rPr>
              <w:t>Стороны социального партнерства – МГК «Электропрофсоюз», МОК «Электропрофсоюз». Уровень профсоюзного членства в Обществе составляет 63</w:t>
            </w:r>
            <w:r w:rsidR="00E30CDF">
              <w:rPr>
                <w:sz w:val="20"/>
                <w:szCs w:val="26"/>
                <w:lang w:eastAsia="ru-RU"/>
              </w:rPr>
              <w:t> </w:t>
            </w:r>
            <w:r w:rsidRPr="004761E0">
              <w:rPr>
                <w:sz w:val="20"/>
                <w:szCs w:val="26"/>
                <w:lang w:eastAsia="ru-RU"/>
              </w:rPr>
              <w:t>%.</w:t>
            </w:r>
          </w:p>
        </w:tc>
      </w:tr>
      <w:tr w:rsidR="003D0EA5" w:rsidRPr="004761E0" w:rsidTr="00252B8E">
        <w:tc>
          <w:tcPr>
            <w:tcW w:w="519" w:type="dxa"/>
            <w:tcBorders>
              <w:top w:val="single" w:sz="4" w:space="0" w:color="auto"/>
              <w:left w:val="single" w:sz="4" w:space="0" w:color="auto"/>
              <w:bottom w:val="single" w:sz="4" w:space="0" w:color="auto"/>
              <w:right w:val="nil"/>
            </w:tcBorders>
          </w:tcPr>
          <w:p w:rsidR="003D0EA5" w:rsidRPr="004761E0" w:rsidRDefault="003D0EA5" w:rsidP="007076A7">
            <w:pPr>
              <w:pStyle w:val="a5"/>
              <w:numPr>
                <w:ilvl w:val="0"/>
                <w:numId w:val="130"/>
              </w:numPr>
              <w:autoSpaceDE w:val="0"/>
              <w:autoSpaceDN w:val="0"/>
              <w:adjustRightInd w:val="0"/>
              <w:rPr>
                <w:sz w:val="20"/>
                <w:szCs w:val="26"/>
                <w:lang w:eastAsia="ru-RU"/>
              </w:rPr>
            </w:pPr>
          </w:p>
        </w:tc>
        <w:tc>
          <w:tcPr>
            <w:tcW w:w="1716" w:type="dxa"/>
            <w:tcBorders>
              <w:top w:val="single" w:sz="4" w:space="0" w:color="auto"/>
              <w:left w:val="nil"/>
              <w:bottom w:val="single" w:sz="4" w:space="0" w:color="auto"/>
              <w:right w:val="nil"/>
            </w:tcBorders>
          </w:tcPr>
          <w:p w:rsidR="003D0EA5" w:rsidRPr="004761E0" w:rsidRDefault="003D0EA5" w:rsidP="00252B8E">
            <w:pPr>
              <w:autoSpaceDE w:val="0"/>
              <w:autoSpaceDN w:val="0"/>
              <w:adjustRightInd w:val="0"/>
              <w:ind w:firstLine="0"/>
              <w:jc w:val="left"/>
              <w:rPr>
                <w:sz w:val="20"/>
                <w:szCs w:val="26"/>
                <w:lang w:eastAsia="ru-RU"/>
              </w:rPr>
            </w:pPr>
            <w:r w:rsidRPr="004761E0">
              <w:rPr>
                <w:sz w:val="20"/>
                <w:szCs w:val="26"/>
                <w:lang w:eastAsia="ru-RU"/>
              </w:rPr>
              <w:t>Программы страховой защиты</w:t>
            </w:r>
          </w:p>
        </w:tc>
        <w:tc>
          <w:tcPr>
            <w:tcW w:w="7335" w:type="dxa"/>
            <w:tcBorders>
              <w:top w:val="single" w:sz="4" w:space="0" w:color="auto"/>
              <w:left w:val="nil"/>
              <w:bottom w:val="single" w:sz="4" w:space="0" w:color="auto"/>
              <w:right w:val="single" w:sz="4" w:space="0" w:color="auto"/>
            </w:tcBorders>
          </w:tcPr>
          <w:p w:rsidR="003D0EA5" w:rsidRPr="004761E0" w:rsidRDefault="003D0EA5" w:rsidP="00252B8E">
            <w:pPr>
              <w:autoSpaceDE w:val="0"/>
              <w:autoSpaceDN w:val="0"/>
              <w:adjustRightInd w:val="0"/>
              <w:ind w:firstLine="0"/>
              <w:rPr>
                <w:sz w:val="20"/>
                <w:szCs w:val="26"/>
                <w:lang w:eastAsia="ru-RU"/>
              </w:rPr>
            </w:pPr>
            <w:r w:rsidRPr="004761E0">
              <w:rPr>
                <w:sz w:val="20"/>
                <w:szCs w:val="26"/>
                <w:lang w:eastAsia="ru-RU"/>
              </w:rPr>
              <w:t xml:space="preserve">Добровольное медицинское страхование персонала на 2013 год организовано в соответствии с заключенным договором с </w:t>
            </w:r>
            <w:r w:rsidR="0008080E">
              <w:rPr>
                <w:sz w:val="20"/>
                <w:szCs w:val="26"/>
                <w:lang w:eastAsia="ru-RU"/>
              </w:rPr>
              <w:t>ОАО </w:t>
            </w:r>
            <w:r w:rsidRPr="004761E0">
              <w:rPr>
                <w:sz w:val="20"/>
                <w:szCs w:val="26"/>
                <w:lang w:eastAsia="ru-RU"/>
              </w:rPr>
              <w:t>«СОГАЗ». Страховые программы ДМС обеспечивают всем застрахованным работникам Общества своевременную и качественную медицинскую, лечебно-оздоровительную и профилактическую помощь. В программы страхования включен максимально возможный перечень услуг.</w:t>
            </w:r>
          </w:p>
          <w:p w:rsidR="003D0EA5" w:rsidRPr="004761E0" w:rsidRDefault="003D0EA5" w:rsidP="00252B8E">
            <w:pPr>
              <w:autoSpaceDE w:val="0"/>
              <w:autoSpaceDN w:val="0"/>
              <w:adjustRightInd w:val="0"/>
              <w:ind w:firstLine="0"/>
              <w:rPr>
                <w:sz w:val="20"/>
                <w:szCs w:val="26"/>
                <w:lang w:eastAsia="ru-RU"/>
              </w:rPr>
            </w:pPr>
            <w:r w:rsidRPr="004761E0">
              <w:rPr>
                <w:sz w:val="20"/>
                <w:szCs w:val="26"/>
                <w:lang w:eastAsia="ru-RU"/>
              </w:rPr>
              <w:t xml:space="preserve">Весь персонал Общества застрахован от несчастных случаев и болезней по централизованному договору с </w:t>
            </w:r>
            <w:r w:rsidR="0008080E">
              <w:rPr>
                <w:sz w:val="20"/>
                <w:szCs w:val="26"/>
                <w:lang w:eastAsia="ru-RU"/>
              </w:rPr>
              <w:t>ОАО </w:t>
            </w:r>
            <w:r w:rsidRPr="004761E0">
              <w:rPr>
                <w:sz w:val="20"/>
                <w:szCs w:val="26"/>
                <w:lang w:eastAsia="ru-RU"/>
              </w:rPr>
              <w:t xml:space="preserve">«АльфаСтрахование». Объектом страхования явились имущественные интересы застрахованных работников, связанные с причинением вреда их жизни и здоровью вследствие несчастных случаев, а также заболеваний, впервые диагностированных в течение срока действия договора. </w:t>
            </w:r>
          </w:p>
        </w:tc>
      </w:tr>
      <w:tr w:rsidR="003D0EA5" w:rsidRPr="004761E0" w:rsidTr="00252B8E">
        <w:tc>
          <w:tcPr>
            <w:tcW w:w="519" w:type="dxa"/>
            <w:tcBorders>
              <w:top w:val="single" w:sz="4" w:space="0" w:color="auto"/>
              <w:left w:val="single" w:sz="4" w:space="0" w:color="auto"/>
              <w:bottom w:val="single" w:sz="4" w:space="0" w:color="auto"/>
              <w:right w:val="nil"/>
            </w:tcBorders>
          </w:tcPr>
          <w:p w:rsidR="003D0EA5" w:rsidRPr="004761E0" w:rsidRDefault="003D0EA5" w:rsidP="007076A7">
            <w:pPr>
              <w:pStyle w:val="a5"/>
              <w:numPr>
                <w:ilvl w:val="0"/>
                <w:numId w:val="130"/>
              </w:numPr>
              <w:autoSpaceDE w:val="0"/>
              <w:autoSpaceDN w:val="0"/>
              <w:adjustRightInd w:val="0"/>
              <w:rPr>
                <w:sz w:val="20"/>
                <w:szCs w:val="26"/>
                <w:lang w:eastAsia="ru-RU"/>
              </w:rPr>
            </w:pPr>
          </w:p>
        </w:tc>
        <w:tc>
          <w:tcPr>
            <w:tcW w:w="1716" w:type="dxa"/>
            <w:tcBorders>
              <w:top w:val="single" w:sz="4" w:space="0" w:color="auto"/>
              <w:left w:val="nil"/>
              <w:bottom w:val="single" w:sz="4" w:space="0" w:color="auto"/>
              <w:right w:val="nil"/>
            </w:tcBorders>
          </w:tcPr>
          <w:p w:rsidR="003D0EA5" w:rsidRPr="004761E0" w:rsidRDefault="003D0EA5" w:rsidP="00252B8E">
            <w:pPr>
              <w:autoSpaceDE w:val="0"/>
              <w:autoSpaceDN w:val="0"/>
              <w:adjustRightInd w:val="0"/>
              <w:ind w:firstLine="0"/>
              <w:jc w:val="left"/>
              <w:rPr>
                <w:sz w:val="20"/>
                <w:szCs w:val="26"/>
                <w:lang w:eastAsia="ru-RU"/>
              </w:rPr>
            </w:pPr>
            <w:r w:rsidRPr="004761E0">
              <w:rPr>
                <w:sz w:val="20"/>
                <w:szCs w:val="26"/>
                <w:lang w:eastAsia="ru-RU"/>
              </w:rPr>
              <w:t>Санаторно-курортное лечение</w:t>
            </w:r>
          </w:p>
        </w:tc>
        <w:tc>
          <w:tcPr>
            <w:tcW w:w="7335" w:type="dxa"/>
            <w:tcBorders>
              <w:top w:val="single" w:sz="4" w:space="0" w:color="auto"/>
              <w:left w:val="nil"/>
              <w:bottom w:val="single" w:sz="4" w:space="0" w:color="auto"/>
              <w:right w:val="single" w:sz="4" w:space="0" w:color="auto"/>
            </w:tcBorders>
          </w:tcPr>
          <w:p w:rsidR="003D0EA5" w:rsidRPr="004761E0" w:rsidRDefault="003D0EA5" w:rsidP="00252B8E">
            <w:pPr>
              <w:autoSpaceDE w:val="0"/>
              <w:autoSpaceDN w:val="0"/>
              <w:adjustRightInd w:val="0"/>
              <w:ind w:firstLine="0"/>
              <w:rPr>
                <w:sz w:val="20"/>
                <w:szCs w:val="26"/>
                <w:lang w:eastAsia="ru-RU"/>
              </w:rPr>
            </w:pPr>
            <w:r w:rsidRPr="004761E0">
              <w:rPr>
                <w:sz w:val="20"/>
                <w:szCs w:val="26"/>
                <w:lang w:eastAsia="ru-RU"/>
              </w:rPr>
              <w:t xml:space="preserve">В соответствии с Регламентом о порядке приобретения, предоставления путевок (компенсаций) на оздоровление детей работников, работников и лиц социальной группы </w:t>
            </w:r>
            <w:r w:rsidR="0008080E">
              <w:rPr>
                <w:sz w:val="20"/>
                <w:szCs w:val="26"/>
                <w:lang w:eastAsia="ru-RU"/>
              </w:rPr>
              <w:t>ОАО </w:t>
            </w:r>
            <w:r w:rsidRPr="004761E0">
              <w:rPr>
                <w:sz w:val="20"/>
                <w:szCs w:val="26"/>
                <w:lang w:eastAsia="ru-RU"/>
              </w:rPr>
              <w:t>«МОЭСК» в 2013 году предоставлено 1 232 путевки.</w:t>
            </w:r>
          </w:p>
          <w:p w:rsidR="003D0EA5" w:rsidRPr="004761E0" w:rsidRDefault="003D0EA5" w:rsidP="00252B8E">
            <w:pPr>
              <w:autoSpaceDE w:val="0"/>
              <w:autoSpaceDN w:val="0"/>
              <w:adjustRightInd w:val="0"/>
              <w:ind w:firstLine="0"/>
              <w:rPr>
                <w:sz w:val="20"/>
                <w:szCs w:val="26"/>
                <w:lang w:eastAsia="ru-RU"/>
              </w:rPr>
            </w:pPr>
            <w:r w:rsidRPr="004761E0">
              <w:rPr>
                <w:sz w:val="20"/>
                <w:szCs w:val="26"/>
                <w:lang w:eastAsia="ru-RU"/>
              </w:rPr>
              <w:t>Работники филиалов имели право на компенсацию части стоимости путевок в зависимости от размера заработной платы от 30 % до 70 % (без ограничений по стажу).</w:t>
            </w:r>
          </w:p>
        </w:tc>
      </w:tr>
      <w:tr w:rsidR="003D0EA5" w:rsidRPr="004761E0" w:rsidTr="00252B8E">
        <w:tc>
          <w:tcPr>
            <w:tcW w:w="519" w:type="dxa"/>
            <w:tcBorders>
              <w:top w:val="single" w:sz="4" w:space="0" w:color="auto"/>
              <w:left w:val="single" w:sz="4" w:space="0" w:color="auto"/>
              <w:bottom w:val="single" w:sz="4" w:space="0" w:color="auto"/>
              <w:right w:val="nil"/>
            </w:tcBorders>
          </w:tcPr>
          <w:p w:rsidR="003D0EA5" w:rsidRPr="004761E0" w:rsidRDefault="003D0EA5" w:rsidP="007076A7">
            <w:pPr>
              <w:pStyle w:val="a5"/>
              <w:numPr>
                <w:ilvl w:val="0"/>
                <w:numId w:val="130"/>
              </w:numPr>
              <w:autoSpaceDE w:val="0"/>
              <w:autoSpaceDN w:val="0"/>
              <w:adjustRightInd w:val="0"/>
              <w:rPr>
                <w:sz w:val="20"/>
                <w:szCs w:val="26"/>
                <w:lang w:eastAsia="ru-RU"/>
              </w:rPr>
            </w:pPr>
          </w:p>
        </w:tc>
        <w:tc>
          <w:tcPr>
            <w:tcW w:w="1716" w:type="dxa"/>
            <w:tcBorders>
              <w:top w:val="single" w:sz="4" w:space="0" w:color="auto"/>
              <w:left w:val="nil"/>
              <w:bottom w:val="single" w:sz="4" w:space="0" w:color="auto"/>
              <w:right w:val="nil"/>
            </w:tcBorders>
          </w:tcPr>
          <w:p w:rsidR="003D0EA5" w:rsidRPr="004761E0" w:rsidRDefault="003D0EA5" w:rsidP="00252B8E">
            <w:pPr>
              <w:autoSpaceDE w:val="0"/>
              <w:autoSpaceDN w:val="0"/>
              <w:adjustRightInd w:val="0"/>
              <w:ind w:firstLine="0"/>
              <w:jc w:val="left"/>
              <w:rPr>
                <w:sz w:val="20"/>
                <w:szCs w:val="26"/>
                <w:lang w:eastAsia="ru-RU"/>
              </w:rPr>
            </w:pPr>
            <w:r w:rsidRPr="004761E0">
              <w:rPr>
                <w:sz w:val="20"/>
                <w:szCs w:val="26"/>
                <w:lang w:eastAsia="ru-RU"/>
              </w:rPr>
              <w:t>Спортивно-массовые и физкультурно-оздоровительные мероприятия</w:t>
            </w:r>
          </w:p>
        </w:tc>
        <w:tc>
          <w:tcPr>
            <w:tcW w:w="7335" w:type="dxa"/>
            <w:tcBorders>
              <w:top w:val="single" w:sz="4" w:space="0" w:color="auto"/>
              <w:left w:val="nil"/>
              <w:bottom w:val="single" w:sz="4" w:space="0" w:color="auto"/>
              <w:right w:val="single" w:sz="4" w:space="0" w:color="auto"/>
            </w:tcBorders>
          </w:tcPr>
          <w:p w:rsidR="003D0EA5" w:rsidRPr="004761E0" w:rsidRDefault="003D0EA5" w:rsidP="00252B8E">
            <w:pPr>
              <w:autoSpaceDE w:val="0"/>
              <w:autoSpaceDN w:val="0"/>
              <w:adjustRightInd w:val="0"/>
              <w:ind w:firstLine="0"/>
              <w:rPr>
                <w:sz w:val="20"/>
                <w:szCs w:val="26"/>
                <w:lang w:eastAsia="ru-RU"/>
              </w:rPr>
            </w:pPr>
            <w:r w:rsidRPr="004761E0">
              <w:rPr>
                <w:sz w:val="20"/>
                <w:szCs w:val="26"/>
                <w:lang w:eastAsia="ru-RU"/>
              </w:rPr>
              <w:t>В 2013 году проведено более 200 мероприятий физкультурно-оздоровительного и спортивно-массового характера, в т.ч. внутренние спартакиады филиалов, спортивные семейные праздники, дни здоровья и др. В мероприятиях приняли участие более 1 800 работников.</w:t>
            </w:r>
          </w:p>
          <w:p w:rsidR="003D0EA5" w:rsidRPr="004761E0" w:rsidRDefault="003D0EA5" w:rsidP="00252B8E">
            <w:pPr>
              <w:autoSpaceDE w:val="0"/>
              <w:autoSpaceDN w:val="0"/>
              <w:adjustRightInd w:val="0"/>
              <w:ind w:firstLine="0"/>
              <w:rPr>
                <w:sz w:val="20"/>
                <w:szCs w:val="26"/>
                <w:lang w:eastAsia="ru-RU"/>
              </w:rPr>
            </w:pPr>
            <w:r w:rsidRPr="004761E0">
              <w:rPr>
                <w:sz w:val="20"/>
                <w:szCs w:val="26"/>
                <w:lang w:eastAsia="ru-RU"/>
              </w:rPr>
              <w:t xml:space="preserve">Помимо проводимых спортивных мероприятий в рамках филиалов, сотрудники компании приняли участие в турнирах на Кубок Минэнерго РФ по мини-футболу и волейболу, шахматном турнире памяти М.М. Ботвинника. </w:t>
            </w:r>
          </w:p>
          <w:p w:rsidR="003D0EA5" w:rsidRPr="004761E0" w:rsidRDefault="003D0EA5" w:rsidP="00252B8E">
            <w:pPr>
              <w:autoSpaceDE w:val="0"/>
              <w:autoSpaceDN w:val="0"/>
              <w:adjustRightInd w:val="0"/>
              <w:ind w:firstLine="0"/>
              <w:rPr>
                <w:sz w:val="20"/>
                <w:szCs w:val="26"/>
                <w:lang w:eastAsia="ru-RU"/>
              </w:rPr>
            </w:pPr>
            <w:r w:rsidRPr="004761E0">
              <w:rPr>
                <w:sz w:val="20"/>
                <w:szCs w:val="26"/>
                <w:lang w:eastAsia="ru-RU"/>
              </w:rPr>
              <w:t xml:space="preserve">Сформированы команды </w:t>
            </w:r>
            <w:r w:rsidR="0008080E">
              <w:rPr>
                <w:sz w:val="20"/>
                <w:szCs w:val="26"/>
                <w:lang w:eastAsia="ru-RU"/>
              </w:rPr>
              <w:t>ОАО </w:t>
            </w:r>
            <w:r w:rsidRPr="004761E0">
              <w:rPr>
                <w:sz w:val="20"/>
                <w:szCs w:val="26"/>
                <w:lang w:eastAsia="ru-RU"/>
              </w:rPr>
              <w:t xml:space="preserve">«МОЭСК», принявшие участие во внешних соревнованиях, в т.ч. в «Кубке энергетики по футболу </w:t>
            </w:r>
            <w:r w:rsidR="00E30CDF">
              <w:rPr>
                <w:sz w:val="20"/>
                <w:szCs w:val="26"/>
                <w:lang w:eastAsia="ru-RU"/>
              </w:rPr>
              <w:t>–</w:t>
            </w:r>
            <w:r w:rsidRPr="004761E0">
              <w:rPr>
                <w:sz w:val="20"/>
                <w:szCs w:val="26"/>
                <w:lang w:eastAsia="ru-RU"/>
              </w:rPr>
              <w:t xml:space="preserve"> 2013</w:t>
            </w:r>
            <w:r w:rsidR="00E30CDF">
              <w:rPr>
                <w:sz w:val="20"/>
                <w:szCs w:val="26"/>
                <w:lang w:eastAsia="ru-RU"/>
              </w:rPr>
              <w:t xml:space="preserve"> </w:t>
            </w:r>
            <w:r w:rsidRPr="004761E0">
              <w:rPr>
                <w:sz w:val="20"/>
                <w:szCs w:val="26"/>
                <w:lang w:eastAsia="ru-RU"/>
              </w:rPr>
              <w:t>г.», во II Спартакиаде трудящихся на Красной площади, в I Кубке ТЭК - ДепТех г.</w:t>
            </w:r>
            <w:r w:rsidR="007F0436">
              <w:rPr>
                <w:sz w:val="20"/>
                <w:szCs w:val="26"/>
                <w:lang w:eastAsia="ru-RU"/>
              </w:rPr>
              <w:t> </w:t>
            </w:r>
            <w:r w:rsidRPr="004761E0">
              <w:rPr>
                <w:sz w:val="20"/>
                <w:szCs w:val="26"/>
                <w:lang w:eastAsia="ru-RU"/>
              </w:rPr>
              <w:t xml:space="preserve">Москвы, в Совместных мероприятиях </w:t>
            </w:r>
            <w:r w:rsidR="0008080E">
              <w:rPr>
                <w:sz w:val="20"/>
                <w:szCs w:val="26"/>
                <w:lang w:eastAsia="ru-RU"/>
              </w:rPr>
              <w:t>ОАО </w:t>
            </w:r>
            <w:r w:rsidRPr="004761E0">
              <w:rPr>
                <w:sz w:val="20"/>
                <w:szCs w:val="26"/>
                <w:lang w:eastAsia="ru-RU"/>
              </w:rPr>
              <w:t xml:space="preserve">«РОССЕТИ» - ПФК «ЦСКА», в Объединенной Спартакиаде </w:t>
            </w:r>
            <w:r w:rsidR="0008080E">
              <w:rPr>
                <w:sz w:val="20"/>
                <w:szCs w:val="26"/>
                <w:lang w:eastAsia="ru-RU"/>
              </w:rPr>
              <w:t>ОАО </w:t>
            </w:r>
            <w:r w:rsidRPr="004761E0">
              <w:rPr>
                <w:sz w:val="20"/>
                <w:szCs w:val="26"/>
                <w:lang w:eastAsia="ru-RU"/>
              </w:rPr>
              <w:t xml:space="preserve">«МОЭСК» - </w:t>
            </w:r>
            <w:r w:rsidR="0008080E">
              <w:rPr>
                <w:sz w:val="20"/>
                <w:szCs w:val="26"/>
                <w:lang w:eastAsia="ru-RU"/>
              </w:rPr>
              <w:t>ОАО </w:t>
            </w:r>
            <w:r w:rsidRPr="004761E0">
              <w:rPr>
                <w:sz w:val="20"/>
                <w:szCs w:val="26"/>
                <w:lang w:eastAsia="ru-RU"/>
              </w:rPr>
              <w:t xml:space="preserve">«ОЭК». </w:t>
            </w:r>
          </w:p>
          <w:p w:rsidR="003D0EA5" w:rsidRPr="004761E0" w:rsidRDefault="003D0EA5" w:rsidP="00E020B0">
            <w:pPr>
              <w:autoSpaceDE w:val="0"/>
              <w:autoSpaceDN w:val="0"/>
              <w:adjustRightInd w:val="0"/>
              <w:ind w:firstLine="0"/>
              <w:rPr>
                <w:sz w:val="20"/>
                <w:szCs w:val="26"/>
                <w:lang w:eastAsia="ru-RU"/>
              </w:rPr>
            </w:pPr>
            <w:r w:rsidRPr="004761E0">
              <w:rPr>
                <w:sz w:val="20"/>
                <w:szCs w:val="26"/>
                <w:lang w:eastAsia="ru-RU"/>
              </w:rPr>
              <w:t xml:space="preserve">Молодежь Общества состязалась со сверстниками в соревнованиях по мини-футболу и пейнтболу «Профатака-2013», которое организовано Московской городской профсоюзной организацией «Электропрофсоюз». </w:t>
            </w:r>
          </w:p>
        </w:tc>
      </w:tr>
      <w:tr w:rsidR="003D0EA5" w:rsidRPr="004761E0" w:rsidTr="00252B8E">
        <w:tc>
          <w:tcPr>
            <w:tcW w:w="519" w:type="dxa"/>
            <w:tcBorders>
              <w:top w:val="single" w:sz="4" w:space="0" w:color="auto"/>
              <w:left w:val="single" w:sz="4" w:space="0" w:color="auto"/>
              <w:bottom w:val="single" w:sz="4" w:space="0" w:color="auto"/>
              <w:right w:val="nil"/>
            </w:tcBorders>
          </w:tcPr>
          <w:p w:rsidR="003D0EA5" w:rsidRPr="004761E0" w:rsidRDefault="003D0EA5" w:rsidP="007076A7">
            <w:pPr>
              <w:pStyle w:val="a5"/>
              <w:numPr>
                <w:ilvl w:val="0"/>
                <w:numId w:val="130"/>
              </w:numPr>
              <w:autoSpaceDE w:val="0"/>
              <w:autoSpaceDN w:val="0"/>
              <w:adjustRightInd w:val="0"/>
              <w:rPr>
                <w:sz w:val="20"/>
                <w:szCs w:val="26"/>
                <w:lang w:eastAsia="ru-RU"/>
              </w:rPr>
            </w:pPr>
          </w:p>
        </w:tc>
        <w:tc>
          <w:tcPr>
            <w:tcW w:w="1716" w:type="dxa"/>
            <w:tcBorders>
              <w:top w:val="single" w:sz="4" w:space="0" w:color="auto"/>
              <w:left w:val="nil"/>
              <w:bottom w:val="single" w:sz="4" w:space="0" w:color="auto"/>
              <w:right w:val="nil"/>
            </w:tcBorders>
          </w:tcPr>
          <w:p w:rsidR="003D0EA5" w:rsidRPr="004761E0" w:rsidRDefault="003D0EA5" w:rsidP="00252B8E">
            <w:pPr>
              <w:autoSpaceDE w:val="0"/>
              <w:autoSpaceDN w:val="0"/>
              <w:adjustRightInd w:val="0"/>
              <w:ind w:firstLine="0"/>
              <w:jc w:val="left"/>
              <w:rPr>
                <w:sz w:val="20"/>
                <w:szCs w:val="26"/>
                <w:lang w:eastAsia="ru-RU"/>
              </w:rPr>
            </w:pPr>
            <w:r w:rsidRPr="004761E0">
              <w:rPr>
                <w:sz w:val="20"/>
                <w:szCs w:val="26"/>
                <w:lang w:eastAsia="ru-RU"/>
              </w:rPr>
              <w:t>Культурно-</w:t>
            </w:r>
            <w:r w:rsidRPr="004761E0">
              <w:rPr>
                <w:sz w:val="20"/>
                <w:szCs w:val="26"/>
                <w:lang w:eastAsia="ru-RU"/>
              </w:rPr>
              <w:lastRenderedPageBreak/>
              <w:t>массовые мероприятия</w:t>
            </w:r>
          </w:p>
        </w:tc>
        <w:tc>
          <w:tcPr>
            <w:tcW w:w="7335" w:type="dxa"/>
            <w:tcBorders>
              <w:top w:val="single" w:sz="4" w:space="0" w:color="auto"/>
              <w:left w:val="nil"/>
              <w:bottom w:val="single" w:sz="4" w:space="0" w:color="auto"/>
              <w:right w:val="single" w:sz="4" w:space="0" w:color="auto"/>
            </w:tcBorders>
          </w:tcPr>
          <w:p w:rsidR="003D0EA5" w:rsidRPr="004761E0" w:rsidRDefault="003D0EA5" w:rsidP="00252B8E">
            <w:pPr>
              <w:autoSpaceDE w:val="0"/>
              <w:autoSpaceDN w:val="0"/>
              <w:adjustRightInd w:val="0"/>
              <w:ind w:firstLine="0"/>
              <w:rPr>
                <w:sz w:val="20"/>
                <w:szCs w:val="26"/>
                <w:lang w:eastAsia="ru-RU"/>
              </w:rPr>
            </w:pPr>
            <w:r w:rsidRPr="004761E0">
              <w:rPr>
                <w:sz w:val="20"/>
                <w:szCs w:val="26"/>
                <w:lang w:eastAsia="ru-RU"/>
              </w:rPr>
              <w:lastRenderedPageBreak/>
              <w:t xml:space="preserve">В целях повышения уровня корпоративной культуры, социальной </w:t>
            </w:r>
            <w:r w:rsidRPr="004761E0">
              <w:rPr>
                <w:sz w:val="20"/>
                <w:szCs w:val="26"/>
                <w:lang w:eastAsia="ru-RU"/>
              </w:rPr>
              <w:lastRenderedPageBreak/>
              <w:t xml:space="preserve">привлекательности работы в Обществе, формирования сплоченного коллектива, укрепления имиджа </w:t>
            </w:r>
            <w:r w:rsidR="0008080E">
              <w:rPr>
                <w:sz w:val="20"/>
                <w:szCs w:val="26"/>
                <w:lang w:eastAsia="ru-RU"/>
              </w:rPr>
              <w:t>ОАО </w:t>
            </w:r>
            <w:r w:rsidRPr="004761E0">
              <w:rPr>
                <w:sz w:val="20"/>
                <w:szCs w:val="26"/>
                <w:lang w:eastAsia="ru-RU"/>
              </w:rPr>
              <w:t xml:space="preserve">«МОЭСК» как единой семьи энергетиков, сохранения преемственности традиций, укрепления внутрикорпоративных связей в </w:t>
            </w:r>
            <w:r w:rsidR="0008080E">
              <w:rPr>
                <w:sz w:val="20"/>
                <w:szCs w:val="26"/>
                <w:lang w:eastAsia="ru-RU"/>
              </w:rPr>
              <w:t>ОАО </w:t>
            </w:r>
            <w:r w:rsidRPr="004761E0">
              <w:rPr>
                <w:sz w:val="20"/>
                <w:szCs w:val="26"/>
                <w:lang w:eastAsia="ru-RU"/>
              </w:rPr>
              <w:t>«МОЭСК» ведется активная культурно-массовая работа.</w:t>
            </w:r>
          </w:p>
          <w:p w:rsidR="003D0EA5" w:rsidRPr="004761E0" w:rsidRDefault="003D0EA5" w:rsidP="00252B8E">
            <w:pPr>
              <w:autoSpaceDE w:val="0"/>
              <w:autoSpaceDN w:val="0"/>
              <w:adjustRightInd w:val="0"/>
              <w:ind w:firstLine="0"/>
              <w:rPr>
                <w:sz w:val="20"/>
                <w:szCs w:val="26"/>
                <w:lang w:eastAsia="ru-RU"/>
              </w:rPr>
            </w:pPr>
            <w:r w:rsidRPr="004761E0">
              <w:rPr>
                <w:sz w:val="20"/>
                <w:szCs w:val="26"/>
                <w:lang w:eastAsia="ru-RU"/>
              </w:rPr>
              <w:t xml:space="preserve">В 2013 году в соответствии с Программой культурно-массовых мероприятий в </w:t>
            </w:r>
            <w:r w:rsidR="0008080E">
              <w:rPr>
                <w:sz w:val="20"/>
                <w:szCs w:val="26"/>
                <w:lang w:eastAsia="ru-RU"/>
              </w:rPr>
              <w:t>ОАО </w:t>
            </w:r>
            <w:r w:rsidRPr="004761E0">
              <w:rPr>
                <w:sz w:val="20"/>
                <w:szCs w:val="26"/>
                <w:lang w:eastAsia="ru-RU"/>
              </w:rPr>
              <w:t>«МОЭСК»</w:t>
            </w:r>
            <w:r w:rsidRPr="006F4AB8">
              <w:rPr>
                <w:rStyle w:val="af1"/>
              </w:rPr>
              <w:footnoteReference w:id="128"/>
            </w:r>
            <w:r w:rsidRPr="004761E0">
              <w:rPr>
                <w:sz w:val="20"/>
                <w:szCs w:val="26"/>
                <w:lang w:eastAsia="ru-RU"/>
              </w:rPr>
              <w:t xml:space="preserve"> проведено 157 мероприятий, в которых приняли участие более   1 500 работников Общества.</w:t>
            </w:r>
          </w:p>
        </w:tc>
      </w:tr>
      <w:tr w:rsidR="003D0EA5" w:rsidRPr="004761E0" w:rsidTr="00252B8E">
        <w:tc>
          <w:tcPr>
            <w:tcW w:w="519" w:type="dxa"/>
            <w:tcBorders>
              <w:top w:val="single" w:sz="4" w:space="0" w:color="auto"/>
              <w:left w:val="single" w:sz="4" w:space="0" w:color="auto"/>
              <w:bottom w:val="single" w:sz="4" w:space="0" w:color="auto"/>
              <w:right w:val="nil"/>
            </w:tcBorders>
          </w:tcPr>
          <w:p w:rsidR="003D0EA5" w:rsidRPr="004761E0" w:rsidRDefault="003D0EA5" w:rsidP="007076A7">
            <w:pPr>
              <w:pStyle w:val="a5"/>
              <w:numPr>
                <w:ilvl w:val="0"/>
                <w:numId w:val="130"/>
              </w:numPr>
              <w:autoSpaceDE w:val="0"/>
              <w:autoSpaceDN w:val="0"/>
              <w:adjustRightInd w:val="0"/>
              <w:rPr>
                <w:sz w:val="20"/>
                <w:szCs w:val="26"/>
                <w:lang w:eastAsia="ru-RU"/>
              </w:rPr>
            </w:pPr>
          </w:p>
        </w:tc>
        <w:tc>
          <w:tcPr>
            <w:tcW w:w="1716" w:type="dxa"/>
            <w:tcBorders>
              <w:top w:val="single" w:sz="4" w:space="0" w:color="auto"/>
              <w:left w:val="nil"/>
              <w:bottom w:val="single" w:sz="4" w:space="0" w:color="auto"/>
              <w:right w:val="nil"/>
            </w:tcBorders>
          </w:tcPr>
          <w:p w:rsidR="003D0EA5" w:rsidRPr="004761E0" w:rsidRDefault="003D0EA5" w:rsidP="00252B8E">
            <w:pPr>
              <w:autoSpaceDE w:val="0"/>
              <w:autoSpaceDN w:val="0"/>
              <w:adjustRightInd w:val="0"/>
              <w:ind w:firstLine="0"/>
              <w:jc w:val="left"/>
              <w:rPr>
                <w:sz w:val="20"/>
                <w:szCs w:val="26"/>
                <w:lang w:eastAsia="ru-RU"/>
              </w:rPr>
            </w:pPr>
            <w:r w:rsidRPr="004761E0">
              <w:rPr>
                <w:sz w:val="20"/>
                <w:szCs w:val="26"/>
                <w:lang w:eastAsia="ru-RU"/>
              </w:rPr>
              <w:t>Работа с молодежью</w:t>
            </w:r>
          </w:p>
        </w:tc>
        <w:tc>
          <w:tcPr>
            <w:tcW w:w="7335" w:type="dxa"/>
            <w:tcBorders>
              <w:top w:val="single" w:sz="4" w:space="0" w:color="auto"/>
              <w:left w:val="nil"/>
              <w:bottom w:val="single" w:sz="4" w:space="0" w:color="auto"/>
              <w:right w:val="single" w:sz="4" w:space="0" w:color="auto"/>
            </w:tcBorders>
          </w:tcPr>
          <w:p w:rsidR="003D0EA5" w:rsidRPr="004761E0" w:rsidRDefault="003D0EA5" w:rsidP="00252B8E">
            <w:pPr>
              <w:autoSpaceDE w:val="0"/>
              <w:autoSpaceDN w:val="0"/>
              <w:adjustRightInd w:val="0"/>
              <w:ind w:firstLine="0"/>
              <w:rPr>
                <w:sz w:val="20"/>
                <w:szCs w:val="26"/>
                <w:lang w:eastAsia="ru-RU"/>
              </w:rPr>
            </w:pPr>
            <w:r w:rsidRPr="004761E0">
              <w:rPr>
                <w:sz w:val="20"/>
                <w:szCs w:val="26"/>
                <w:lang w:eastAsia="ru-RU"/>
              </w:rPr>
              <w:t xml:space="preserve">В 2013 году молодежь </w:t>
            </w:r>
            <w:r w:rsidR="0008080E">
              <w:rPr>
                <w:sz w:val="20"/>
                <w:szCs w:val="26"/>
                <w:lang w:eastAsia="ru-RU"/>
              </w:rPr>
              <w:t>ОАО </w:t>
            </w:r>
            <w:r w:rsidRPr="004761E0">
              <w:rPr>
                <w:sz w:val="20"/>
                <w:szCs w:val="26"/>
                <w:lang w:eastAsia="ru-RU"/>
              </w:rPr>
              <w:t>«МОЭСК» принимала активное участие в организации и проведении физкультурно-оздоровительных и культурно-массовых мероприятий при непосредственном участии Объединенного совета молодежи и Советов молодежи филиалов.</w:t>
            </w:r>
          </w:p>
          <w:p w:rsidR="003D0EA5" w:rsidRPr="004761E0" w:rsidRDefault="003D0EA5" w:rsidP="00252B8E">
            <w:pPr>
              <w:autoSpaceDE w:val="0"/>
              <w:autoSpaceDN w:val="0"/>
              <w:adjustRightInd w:val="0"/>
              <w:ind w:firstLine="0"/>
              <w:rPr>
                <w:sz w:val="20"/>
                <w:szCs w:val="26"/>
                <w:lang w:eastAsia="ru-RU"/>
              </w:rPr>
            </w:pPr>
            <w:r w:rsidRPr="004761E0">
              <w:rPr>
                <w:sz w:val="20"/>
                <w:szCs w:val="26"/>
                <w:lang w:eastAsia="ru-RU"/>
              </w:rPr>
              <w:t xml:space="preserve">В 2013 году утверждена Правлением Программа социальной поддержки молодых работников–выпускников электроэнергетических специальностей, которая включает в себя выплату подъемных, компенсацию стоимости проезда к новому месту жительства, выплату персональной надбавки, корпоративную поддержку в улучшении жилищных условий. </w:t>
            </w:r>
          </w:p>
          <w:p w:rsidR="003D0EA5" w:rsidRPr="004761E0" w:rsidRDefault="003D0EA5" w:rsidP="00252B8E">
            <w:pPr>
              <w:autoSpaceDE w:val="0"/>
              <w:autoSpaceDN w:val="0"/>
              <w:adjustRightInd w:val="0"/>
              <w:ind w:firstLine="0"/>
              <w:rPr>
                <w:sz w:val="20"/>
                <w:szCs w:val="26"/>
                <w:lang w:eastAsia="ru-RU"/>
              </w:rPr>
            </w:pPr>
            <w:r w:rsidRPr="004761E0">
              <w:rPr>
                <w:sz w:val="20"/>
                <w:szCs w:val="26"/>
                <w:lang w:eastAsia="ru-RU"/>
              </w:rPr>
              <w:t xml:space="preserve">В 2013 году в Общество принято 26 молодых специалистов, из них 11 чел. приняты на должности специалистов (инженеры), 15 чел. - на должности рабочих (электромонтеры). </w:t>
            </w:r>
          </w:p>
        </w:tc>
      </w:tr>
      <w:tr w:rsidR="003D0EA5" w:rsidRPr="004761E0" w:rsidTr="00252B8E">
        <w:tc>
          <w:tcPr>
            <w:tcW w:w="519" w:type="dxa"/>
            <w:tcBorders>
              <w:top w:val="single" w:sz="4" w:space="0" w:color="auto"/>
              <w:left w:val="single" w:sz="4" w:space="0" w:color="auto"/>
              <w:bottom w:val="single" w:sz="4" w:space="0" w:color="auto"/>
              <w:right w:val="nil"/>
            </w:tcBorders>
          </w:tcPr>
          <w:p w:rsidR="003D0EA5" w:rsidRPr="004761E0" w:rsidRDefault="003D0EA5" w:rsidP="007076A7">
            <w:pPr>
              <w:pStyle w:val="a5"/>
              <w:numPr>
                <w:ilvl w:val="0"/>
                <w:numId w:val="130"/>
              </w:numPr>
              <w:autoSpaceDE w:val="0"/>
              <w:autoSpaceDN w:val="0"/>
              <w:adjustRightInd w:val="0"/>
              <w:rPr>
                <w:sz w:val="20"/>
                <w:szCs w:val="26"/>
                <w:lang w:eastAsia="ru-RU"/>
              </w:rPr>
            </w:pPr>
          </w:p>
        </w:tc>
        <w:tc>
          <w:tcPr>
            <w:tcW w:w="1716" w:type="dxa"/>
            <w:tcBorders>
              <w:top w:val="single" w:sz="4" w:space="0" w:color="auto"/>
              <w:left w:val="nil"/>
              <w:bottom w:val="single" w:sz="4" w:space="0" w:color="auto"/>
              <w:right w:val="nil"/>
            </w:tcBorders>
          </w:tcPr>
          <w:p w:rsidR="003D0EA5" w:rsidRPr="004761E0" w:rsidRDefault="003D0EA5" w:rsidP="00252B8E">
            <w:pPr>
              <w:autoSpaceDE w:val="0"/>
              <w:autoSpaceDN w:val="0"/>
              <w:adjustRightInd w:val="0"/>
              <w:ind w:firstLine="0"/>
              <w:jc w:val="left"/>
              <w:rPr>
                <w:sz w:val="20"/>
                <w:szCs w:val="26"/>
                <w:lang w:eastAsia="ru-RU"/>
              </w:rPr>
            </w:pPr>
            <w:r w:rsidRPr="004761E0">
              <w:rPr>
                <w:sz w:val="20"/>
                <w:szCs w:val="26"/>
                <w:lang w:eastAsia="ru-RU"/>
              </w:rPr>
              <w:t>Улучшение жилищных условий</w:t>
            </w:r>
          </w:p>
        </w:tc>
        <w:tc>
          <w:tcPr>
            <w:tcW w:w="7335" w:type="dxa"/>
            <w:tcBorders>
              <w:top w:val="single" w:sz="4" w:space="0" w:color="auto"/>
              <w:left w:val="nil"/>
              <w:bottom w:val="single" w:sz="4" w:space="0" w:color="auto"/>
              <w:right w:val="single" w:sz="4" w:space="0" w:color="auto"/>
            </w:tcBorders>
          </w:tcPr>
          <w:p w:rsidR="003D0EA5" w:rsidRPr="004761E0" w:rsidRDefault="003D0EA5" w:rsidP="00252B8E">
            <w:pPr>
              <w:autoSpaceDE w:val="0"/>
              <w:autoSpaceDN w:val="0"/>
              <w:adjustRightInd w:val="0"/>
              <w:ind w:firstLine="0"/>
              <w:rPr>
                <w:sz w:val="20"/>
                <w:szCs w:val="26"/>
                <w:lang w:eastAsia="ru-RU"/>
              </w:rPr>
            </w:pPr>
            <w:r w:rsidRPr="004761E0">
              <w:rPr>
                <w:sz w:val="20"/>
                <w:szCs w:val="26"/>
                <w:lang w:eastAsia="ru-RU"/>
              </w:rPr>
              <w:t xml:space="preserve">С 2012 года в Обществе реализуется корпоративная поддержка в виде компенсации затрат по найму жилья. В рамках корпоративного содействия предоставляется льготное ипотечное кредитование у банков-партнеров или скидка до 10 % от стоимости жилья у компаний-застройщиков </w:t>
            </w:r>
            <w:r w:rsidR="0008080E">
              <w:rPr>
                <w:sz w:val="20"/>
                <w:szCs w:val="26"/>
                <w:lang w:eastAsia="ru-RU"/>
              </w:rPr>
              <w:t>ОАО </w:t>
            </w:r>
            <w:r w:rsidRPr="004761E0">
              <w:rPr>
                <w:sz w:val="20"/>
                <w:szCs w:val="26"/>
                <w:lang w:eastAsia="ru-RU"/>
              </w:rPr>
              <w:t xml:space="preserve">«СУ-155» и </w:t>
            </w:r>
            <w:r w:rsidR="0008080E">
              <w:rPr>
                <w:sz w:val="20"/>
                <w:szCs w:val="26"/>
                <w:lang w:eastAsia="ru-RU"/>
              </w:rPr>
              <w:t>ОАО </w:t>
            </w:r>
            <w:r w:rsidRPr="004761E0">
              <w:rPr>
                <w:sz w:val="20"/>
                <w:szCs w:val="26"/>
                <w:lang w:eastAsia="ru-RU"/>
              </w:rPr>
              <w:t>«Группа Компаний ПИК».</w:t>
            </w:r>
          </w:p>
          <w:p w:rsidR="003D0EA5" w:rsidRPr="004761E0" w:rsidRDefault="003D0EA5" w:rsidP="00252B8E">
            <w:pPr>
              <w:autoSpaceDE w:val="0"/>
              <w:autoSpaceDN w:val="0"/>
              <w:adjustRightInd w:val="0"/>
              <w:ind w:firstLine="0"/>
              <w:rPr>
                <w:sz w:val="20"/>
                <w:szCs w:val="26"/>
                <w:lang w:eastAsia="ru-RU"/>
              </w:rPr>
            </w:pPr>
            <w:r w:rsidRPr="004761E0">
              <w:rPr>
                <w:sz w:val="20"/>
                <w:szCs w:val="26"/>
                <w:lang w:eastAsia="ru-RU"/>
              </w:rPr>
              <w:t>В 2013 году ипотечные и потребительские креди</w:t>
            </w:r>
            <w:r w:rsidR="00E30CDF">
              <w:rPr>
                <w:sz w:val="20"/>
                <w:szCs w:val="26"/>
                <w:lang w:eastAsia="ru-RU"/>
              </w:rPr>
              <w:t>ты по сниженным ставкам (на 0,5</w:t>
            </w:r>
            <w:r w:rsidRPr="004761E0">
              <w:rPr>
                <w:sz w:val="20"/>
                <w:szCs w:val="26"/>
                <w:lang w:eastAsia="ru-RU"/>
              </w:rPr>
              <w:t>-1 %) получили более 200 работников. Скидку до 10 % от стоимости жилья у компаний-застройщиков получили 30 работников.</w:t>
            </w:r>
          </w:p>
          <w:p w:rsidR="003D0EA5" w:rsidRPr="004761E0" w:rsidRDefault="003D0EA5" w:rsidP="00252B8E">
            <w:pPr>
              <w:autoSpaceDE w:val="0"/>
              <w:autoSpaceDN w:val="0"/>
              <w:adjustRightInd w:val="0"/>
              <w:ind w:firstLine="0"/>
              <w:rPr>
                <w:sz w:val="20"/>
                <w:szCs w:val="26"/>
                <w:lang w:eastAsia="ru-RU"/>
              </w:rPr>
            </w:pPr>
            <w:r w:rsidRPr="004761E0">
              <w:rPr>
                <w:sz w:val="20"/>
                <w:szCs w:val="26"/>
                <w:lang w:eastAsia="ru-RU"/>
              </w:rPr>
              <w:t>В рамках корпоративной поддержки в 2013 году выплачивались субсидии, компенсации договора ипотеки и найма жилья «ключевым» работникам.</w:t>
            </w:r>
          </w:p>
          <w:p w:rsidR="003D0EA5" w:rsidRPr="004761E0" w:rsidRDefault="003D0EA5" w:rsidP="00252B8E">
            <w:pPr>
              <w:autoSpaceDE w:val="0"/>
              <w:autoSpaceDN w:val="0"/>
              <w:adjustRightInd w:val="0"/>
              <w:ind w:firstLine="0"/>
              <w:rPr>
                <w:sz w:val="20"/>
                <w:szCs w:val="26"/>
                <w:lang w:eastAsia="ru-RU"/>
              </w:rPr>
            </w:pPr>
            <w:r w:rsidRPr="004761E0">
              <w:rPr>
                <w:sz w:val="20"/>
                <w:szCs w:val="26"/>
                <w:lang w:eastAsia="ru-RU"/>
              </w:rPr>
              <w:t>В 2014 году стартует реализация нового проекта по формированию временного жилого фонда.</w:t>
            </w:r>
          </w:p>
        </w:tc>
      </w:tr>
      <w:tr w:rsidR="003D0EA5" w:rsidRPr="004761E0" w:rsidTr="00252B8E">
        <w:tc>
          <w:tcPr>
            <w:tcW w:w="519" w:type="dxa"/>
            <w:tcBorders>
              <w:top w:val="single" w:sz="4" w:space="0" w:color="auto"/>
              <w:bottom w:val="single" w:sz="4" w:space="0" w:color="auto"/>
              <w:right w:val="nil"/>
            </w:tcBorders>
          </w:tcPr>
          <w:p w:rsidR="003D0EA5" w:rsidRPr="004761E0" w:rsidRDefault="003D0EA5" w:rsidP="007076A7">
            <w:pPr>
              <w:pStyle w:val="a5"/>
              <w:numPr>
                <w:ilvl w:val="0"/>
                <w:numId w:val="130"/>
              </w:numPr>
              <w:autoSpaceDE w:val="0"/>
              <w:autoSpaceDN w:val="0"/>
              <w:adjustRightInd w:val="0"/>
              <w:rPr>
                <w:sz w:val="20"/>
                <w:szCs w:val="26"/>
                <w:lang w:eastAsia="ru-RU"/>
              </w:rPr>
            </w:pPr>
          </w:p>
        </w:tc>
        <w:tc>
          <w:tcPr>
            <w:tcW w:w="1716" w:type="dxa"/>
            <w:tcBorders>
              <w:top w:val="single" w:sz="4" w:space="0" w:color="auto"/>
              <w:left w:val="nil"/>
              <w:bottom w:val="single" w:sz="4" w:space="0" w:color="auto"/>
              <w:right w:val="nil"/>
            </w:tcBorders>
          </w:tcPr>
          <w:p w:rsidR="003D0EA5" w:rsidRPr="004761E0" w:rsidRDefault="003D0EA5" w:rsidP="00252B8E">
            <w:pPr>
              <w:autoSpaceDE w:val="0"/>
              <w:autoSpaceDN w:val="0"/>
              <w:adjustRightInd w:val="0"/>
              <w:ind w:firstLine="0"/>
              <w:jc w:val="left"/>
              <w:rPr>
                <w:sz w:val="20"/>
                <w:szCs w:val="26"/>
                <w:lang w:eastAsia="ru-RU"/>
              </w:rPr>
            </w:pPr>
            <w:r w:rsidRPr="004761E0">
              <w:rPr>
                <w:sz w:val="20"/>
                <w:szCs w:val="26"/>
                <w:lang w:eastAsia="ru-RU"/>
              </w:rPr>
              <w:t>Пенсионное обеспечение</w:t>
            </w:r>
          </w:p>
        </w:tc>
        <w:tc>
          <w:tcPr>
            <w:tcW w:w="7335" w:type="dxa"/>
            <w:tcBorders>
              <w:top w:val="single" w:sz="4" w:space="0" w:color="auto"/>
              <w:left w:val="nil"/>
              <w:bottom w:val="single" w:sz="4" w:space="0" w:color="auto"/>
            </w:tcBorders>
          </w:tcPr>
          <w:p w:rsidR="003D0EA5" w:rsidRPr="004761E0" w:rsidRDefault="003D0EA5" w:rsidP="00252B8E">
            <w:pPr>
              <w:autoSpaceDE w:val="0"/>
              <w:autoSpaceDN w:val="0"/>
              <w:adjustRightInd w:val="0"/>
              <w:ind w:firstLine="0"/>
              <w:rPr>
                <w:sz w:val="20"/>
                <w:szCs w:val="26"/>
                <w:lang w:eastAsia="ru-RU"/>
              </w:rPr>
            </w:pPr>
            <w:r w:rsidRPr="004761E0">
              <w:rPr>
                <w:sz w:val="20"/>
                <w:szCs w:val="26"/>
                <w:lang w:eastAsia="ru-RU"/>
              </w:rPr>
              <w:t>В Обществе с 2005 года действует Положение о негосударственном пенсионном обеспечение, направленное на привлечение и удержание работников, повышение их лояльности и социальной защищенности. Данный документ включает в себя два основных пенсионных плана: «Корпоративный» (финансирование осуществляется за счет средств Общества) и «Паритетный» (финансирование осуществляется совместно работником и Обществом).</w:t>
            </w:r>
          </w:p>
          <w:p w:rsidR="003D0EA5" w:rsidRPr="004761E0" w:rsidRDefault="003D0EA5" w:rsidP="00252B8E">
            <w:pPr>
              <w:autoSpaceDE w:val="0"/>
              <w:autoSpaceDN w:val="0"/>
              <w:adjustRightInd w:val="0"/>
              <w:ind w:firstLine="0"/>
              <w:rPr>
                <w:sz w:val="20"/>
                <w:szCs w:val="26"/>
                <w:lang w:eastAsia="ru-RU"/>
              </w:rPr>
            </w:pPr>
            <w:r w:rsidRPr="004761E0">
              <w:rPr>
                <w:sz w:val="20"/>
                <w:szCs w:val="26"/>
                <w:lang w:eastAsia="ru-RU"/>
              </w:rPr>
              <w:t>Средний размер пенсий, назначаемых работникам по итогам 2013 году увеличился на 5,99 % и составил 6 759 руб.</w:t>
            </w:r>
          </w:p>
        </w:tc>
      </w:tr>
      <w:tr w:rsidR="003D0EA5" w:rsidRPr="004761E0" w:rsidTr="00252B8E">
        <w:tc>
          <w:tcPr>
            <w:tcW w:w="519" w:type="dxa"/>
            <w:tcBorders>
              <w:top w:val="single" w:sz="4" w:space="0" w:color="auto"/>
              <w:bottom w:val="single" w:sz="4" w:space="0" w:color="auto"/>
              <w:right w:val="nil"/>
            </w:tcBorders>
          </w:tcPr>
          <w:p w:rsidR="003D0EA5" w:rsidRPr="004761E0" w:rsidRDefault="003D0EA5" w:rsidP="007076A7">
            <w:pPr>
              <w:pStyle w:val="a5"/>
              <w:numPr>
                <w:ilvl w:val="0"/>
                <w:numId w:val="130"/>
              </w:numPr>
              <w:autoSpaceDE w:val="0"/>
              <w:autoSpaceDN w:val="0"/>
              <w:adjustRightInd w:val="0"/>
              <w:rPr>
                <w:sz w:val="20"/>
                <w:szCs w:val="26"/>
                <w:lang w:eastAsia="ru-RU"/>
              </w:rPr>
            </w:pPr>
          </w:p>
        </w:tc>
        <w:tc>
          <w:tcPr>
            <w:tcW w:w="1716" w:type="dxa"/>
            <w:tcBorders>
              <w:top w:val="single" w:sz="4" w:space="0" w:color="auto"/>
              <w:left w:val="nil"/>
              <w:bottom w:val="single" w:sz="4" w:space="0" w:color="auto"/>
              <w:right w:val="nil"/>
            </w:tcBorders>
          </w:tcPr>
          <w:p w:rsidR="003D0EA5" w:rsidRPr="004761E0" w:rsidRDefault="003D0EA5" w:rsidP="00252B8E">
            <w:pPr>
              <w:autoSpaceDE w:val="0"/>
              <w:autoSpaceDN w:val="0"/>
              <w:adjustRightInd w:val="0"/>
              <w:ind w:firstLine="0"/>
              <w:jc w:val="left"/>
              <w:rPr>
                <w:sz w:val="20"/>
                <w:szCs w:val="26"/>
                <w:lang w:eastAsia="ru-RU"/>
              </w:rPr>
            </w:pPr>
            <w:r w:rsidRPr="004761E0">
              <w:rPr>
                <w:sz w:val="20"/>
                <w:szCs w:val="26"/>
                <w:lang w:eastAsia="ru-RU"/>
              </w:rPr>
              <w:t>Забота о ветеранах</w:t>
            </w:r>
          </w:p>
        </w:tc>
        <w:tc>
          <w:tcPr>
            <w:tcW w:w="7335" w:type="dxa"/>
            <w:tcBorders>
              <w:top w:val="single" w:sz="4" w:space="0" w:color="auto"/>
              <w:left w:val="nil"/>
              <w:bottom w:val="single" w:sz="4" w:space="0" w:color="auto"/>
            </w:tcBorders>
          </w:tcPr>
          <w:p w:rsidR="003D0EA5" w:rsidRPr="004761E0" w:rsidRDefault="003D0EA5" w:rsidP="00252B8E">
            <w:pPr>
              <w:autoSpaceDE w:val="0"/>
              <w:autoSpaceDN w:val="0"/>
              <w:adjustRightInd w:val="0"/>
              <w:ind w:firstLine="0"/>
              <w:rPr>
                <w:sz w:val="20"/>
                <w:szCs w:val="26"/>
                <w:lang w:eastAsia="ru-RU"/>
              </w:rPr>
            </w:pPr>
            <w:r w:rsidRPr="004761E0">
              <w:rPr>
                <w:sz w:val="20"/>
                <w:szCs w:val="26"/>
                <w:lang w:eastAsia="ru-RU"/>
              </w:rPr>
              <w:t xml:space="preserve">В </w:t>
            </w:r>
            <w:r w:rsidR="0008080E">
              <w:rPr>
                <w:sz w:val="20"/>
                <w:szCs w:val="26"/>
                <w:lang w:eastAsia="ru-RU"/>
              </w:rPr>
              <w:t>ОАО </w:t>
            </w:r>
            <w:r w:rsidRPr="004761E0">
              <w:rPr>
                <w:sz w:val="20"/>
                <w:szCs w:val="26"/>
                <w:lang w:eastAsia="ru-RU"/>
              </w:rPr>
              <w:t>«МОЭСК» на учете состоит 4 417 пенсионеров, в т.ч. 3 455 неработающих. В соответствии с действующим корпоративным социальным пакетом «Забота о ветеранах» в 2013 году оказана материальная помощь 3 455 пенсионерам-ветеранам Общества, 326 ветерана получили квалифицированную медицинскую помощь в специализированных медицинских учреждениях, 82 чел. обеспечены санаторно-курортным лечением, 1 075 ветеранов получают ежемесячно 1 000 руб. по программе НПО «Ветеран».</w:t>
            </w:r>
          </w:p>
        </w:tc>
      </w:tr>
      <w:tr w:rsidR="003D0EA5" w:rsidRPr="004761E0" w:rsidTr="00252B8E">
        <w:tc>
          <w:tcPr>
            <w:tcW w:w="519" w:type="dxa"/>
            <w:tcBorders>
              <w:top w:val="single" w:sz="4" w:space="0" w:color="auto"/>
              <w:right w:val="nil"/>
            </w:tcBorders>
          </w:tcPr>
          <w:p w:rsidR="003D0EA5" w:rsidRPr="004761E0" w:rsidRDefault="003D0EA5" w:rsidP="007076A7">
            <w:pPr>
              <w:pStyle w:val="a5"/>
              <w:numPr>
                <w:ilvl w:val="0"/>
                <w:numId w:val="130"/>
              </w:numPr>
              <w:autoSpaceDE w:val="0"/>
              <w:autoSpaceDN w:val="0"/>
              <w:adjustRightInd w:val="0"/>
              <w:rPr>
                <w:sz w:val="20"/>
                <w:szCs w:val="26"/>
                <w:lang w:eastAsia="ru-RU"/>
              </w:rPr>
            </w:pPr>
          </w:p>
        </w:tc>
        <w:tc>
          <w:tcPr>
            <w:tcW w:w="1716" w:type="dxa"/>
            <w:tcBorders>
              <w:top w:val="single" w:sz="4" w:space="0" w:color="auto"/>
              <w:left w:val="nil"/>
              <w:right w:val="nil"/>
            </w:tcBorders>
          </w:tcPr>
          <w:p w:rsidR="003D0EA5" w:rsidRPr="004761E0" w:rsidRDefault="003D0EA5" w:rsidP="00252B8E">
            <w:pPr>
              <w:autoSpaceDE w:val="0"/>
              <w:autoSpaceDN w:val="0"/>
              <w:adjustRightInd w:val="0"/>
              <w:ind w:firstLine="0"/>
              <w:jc w:val="left"/>
              <w:rPr>
                <w:sz w:val="20"/>
                <w:szCs w:val="26"/>
                <w:lang w:eastAsia="ru-RU"/>
              </w:rPr>
            </w:pPr>
            <w:r w:rsidRPr="004761E0">
              <w:rPr>
                <w:sz w:val="20"/>
                <w:szCs w:val="26"/>
                <w:lang w:eastAsia="ru-RU"/>
              </w:rPr>
              <w:t>Благотворительные и социальные программы</w:t>
            </w:r>
          </w:p>
        </w:tc>
        <w:tc>
          <w:tcPr>
            <w:tcW w:w="7335" w:type="dxa"/>
            <w:tcBorders>
              <w:top w:val="single" w:sz="4" w:space="0" w:color="auto"/>
              <w:left w:val="nil"/>
            </w:tcBorders>
          </w:tcPr>
          <w:p w:rsidR="003D0EA5" w:rsidRPr="004761E0" w:rsidRDefault="003D0EA5" w:rsidP="00252B8E">
            <w:pPr>
              <w:autoSpaceDE w:val="0"/>
              <w:autoSpaceDN w:val="0"/>
              <w:adjustRightInd w:val="0"/>
              <w:ind w:firstLine="0"/>
              <w:rPr>
                <w:sz w:val="20"/>
                <w:szCs w:val="26"/>
                <w:lang w:eastAsia="ru-RU"/>
              </w:rPr>
            </w:pPr>
            <w:r w:rsidRPr="004761E0">
              <w:rPr>
                <w:sz w:val="20"/>
                <w:szCs w:val="26"/>
                <w:lang w:eastAsia="ru-RU"/>
              </w:rPr>
              <w:t xml:space="preserve">Программа благотворительной деятельности на 2013 год утверждена Правлением в объеме 228,7 </w:t>
            </w:r>
            <w:r w:rsidR="0008080E">
              <w:rPr>
                <w:sz w:val="20"/>
                <w:szCs w:val="26"/>
                <w:lang w:eastAsia="ru-RU"/>
              </w:rPr>
              <w:t>млн</w:t>
            </w:r>
            <w:r w:rsidRPr="004761E0">
              <w:rPr>
                <w:sz w:val="20"/>
                <w:szCs w:val="26"/>
                <w:lang w:eastAsia="ru-RU"/>
              </w:rPr>
              <w:t xml:space="preserve"> руб. Общая сумма благотворительной помощи в 2013 году составила 143,1 </w:t>
            </w:r>
            <w:r w:rsidR="0008080E">
              <w:rPr>
                <w:sz w:val="20"/>
                <w:szCs w:val="26"/>
                <w:lang w:eastAsia="ru-RU"/>
              </w:rPr>
              <w:t>млн</w:t>
            </w:r>
            <w:r w:rsidRPr="004761E0">
              <w:rPr>
                <w:sz w:val="20"/>
                <w:szCs w:val="26"/>
                <w:lang w:eastAsia="ru-RU"/>
              </w:rPr>
              <w:t xml:space="preserve"> руб. </w:t>
            </w:r>
          </w:p>
          <w:p w:rsidR="003D0EA5" w:rsidRPr="004761E0" w:rsidRDefault="0008080E" w:rsidP="00252B8E">
            <w:pPr>
              <w:autoSpaceDE w:val="0"/>
              <w:autoSpaceDN w:val="0"/>
              <w:adjustRightInd w:val="0"/>
              <w:ind w:firstLine="0"/>
              <w:rPr>
                <w:sz w:val="20"/>
                <w:szCs w:val="26"/>
                <w:lang w:eastAsia="ru-RU"/>
              </w:rPr>
            </w:pPr>
            <w:r>
              <w:rPr>
                <w:sz w:val="20"/>
                <w:szCs w:val="26"/>
                <w:lang w:eastAsia="ru-RU"/>
              </w:rPr>
              <w:t>ОАО </w:t>
            </w:r>
            <w:r w:rsidR="003D0EA5" w:rsidRPr="004761E0">
              <w:rPr>
                <w:sz w:val="20"/>
                <w:szCs w:val="26"/>
                <w:lang w:eastAsia="ru-RU"/>
              </w:rPr>
              <w:t xml:space="preserve">«МОЭСК» на долгосрочной основе поддерживает ряд важных социальных инициатив, таких как оказание помощи специализированным школам, домам-интернатам. </w:t>
            </w:r>
          </w:p>
          <w:p w:rsidR="003D0EA5" w:rsidRPr="004761E0" w:rsidRDefault="003D0EA5" w:rsidP="00252B8E">
            <w:pPr>
              <w:pStyle w:val="a5"/>
              <w:spacing w:after="60"/>
              <w:ind w:left="33" w:firstLine="0"/>
              <w:rPr>
                <w:sz w:val="20"/>
                <w:szCs w:val="26"/>
                <w:lang w:eastAsia="ru-RU"/>
              </w:rPr>
            </w:pPr>
            <w:r w:rsidRPr="004761E0">
              <w:rPr>
                <w:sz w:val="20"/>
                <w:szCs w:val="26"/>
                <w:lang w:eastAsia="ru-RU"/>
              </w:rPr>
              <w:t>В преддверии Дня защиты детей Компания выступила соорганизатором концерта «Непоседы» «Взрослые и дети», на который приглашены приемные, опекунские  семьи с детьми, воспитанники образовательных учреждений Московской области для детей-сирот и детей, оставшихся без попечения родителей, в общей сложности около 5 тыс. человек.</w:t>
            </w:r>
          </w:p>
          <w:p w:rsidR="003D0EA5" w:rsidRPr="004761E0" w:rsidRDefault="003D0EA5" w:rsidP="00252B8E">
            <w:pPr>
              <w:pStyle w:val="a5"/>
              <w:autoSpaceDE w:val="0"/>
              <w:autoSpaceDN w:val="0"/>
              <w:adjustRightInd w:val="0"/>
              <w:spacing w:after="120"/>
              <w:ind w:left="33" w:firstLine="0"/>
              <w:rPr>
                <w:sz w:val="20"/>
                <w:szCs w:val="26"/>
                <w:lang w:eastAsia="ru-RU"/>
              </w:rPr>
            </w:pPr>
            <w:r w:rsidRPr="004761E0">
              <w:rPr>
                <w:sz w:val="20"/>
                <w:szCs w:val="26"/>
                <w:lang w:eastAsia="ru-RU"/>
              </w:rPr>
              <w:t>В 2013</w:t>
            </w:r>
            <w:r w:rsidR="007F0436">
              <w:rPr>
                <w:sz w:val="20"/>
                <w:szCs w:val="26"/>
                <w:lang w:eastAsia="ru-RU"/>
              </w:rPr>
              <w:t xml:space="preserve"> году</w:t>
            </w:r>
            <w:r w:rsidRPr="004761E0">
              <w:rPr>
                <w:sz w:val="20"/>
                <w:szCs w:val="26"/>
                <w:lang w:eastAsia="ru-RU"/>
              </w:rPr>
              <w:t xml:space="preserve"> </w:t>
            </w:r>
            <w:r w:rsidR="0008080E">
              <w:rPr>
                <w:sz w:val="20"/>
                <w:szCs w:val="26"/>
                <w:lang w:eastAsia="ru-RU"/>
              </w:rPr>
              <w:t>ОАО </w:t>
            </w:r>
            <w:r w:rsidRPr="004761E0">
              <w:rPr>
                <w:sz w:val="20"/>
                <w:szCs w:val="26"/>
                <w:lang w:eastAsia="ru-RU"/>
              </w:rPr>
              <w:t xml:space="preserve">«МОЭСК» при участии инженерных войск РФ и администрации Красногорского р-на сооружен памятник «Защитникам Москвы - специалистам инженерных войск и Мосэнерго», посвященный строителям электрозаграждений </w:t>
            </w:r>
            <w:r w:rsidRPr="004761E0">
              <w:rPr>
                <w:sz w:val="20"/>
                <w:szCs w:val="26"/>
                <w:lang w:eastAsia="ru-RU"/>
              </w:rPr>
              <w:lastRenderedPageBreak/>
              <w:t>1941</w:t>
            </w:r>
            <w:r w:rsidR="00E020B0">
              <w:rPr>
                <w:sz w:val="20"/>
                <w:szCs w:val="26"/>
                <w:lang w:eastAsia="ru-RU"/>
              </w:rPr>
              <w:t xml:space="preserve"> года</w:t>
            </w:r>
            <w:r w:rsidRPr="004761E0">
              <w:rPr>
                <w:sz w:val="20"/>
                <w:szCs w:val="26"/>
                <w:lang w:eastAsia="ru-RU"/>
              </w:rPr>
              <w:t xml:space="preserve"> в д. Нефедьево Красногорского р-на 22 июня, в День памяти и скорби, состоялось торжественное открытие памятника. </w:t>
            </w:r>
          </w:p>
          <w:p w:rsidR="003D0EA5" w:rsidRPr="004761E0" w:rsidRDefault="003D0EA5" w:rsidP="00252B8E">
            <w:pPr>
              <w:autoSpaceDE w:val="0"/>
              <w:autoSpaceDN w:val="0"/>
              <w:adjustRightInd w:val="0"/>
              <w:ind w:firstLine="0"/>
              <w:rPr>
                <w:sz w:val="20"/>
                <w:szCs w:val="26"/>
                <w:lang w:eastAsia="ru-RU"/>
              </w:rPr>
            </w:pPr>
            <w:r w:rsidRPr="004761E0">
              <w:rPr>
                <w:sz w:val="20"/>
                <w:szCs w:val="26"/>
                <w:lang w:eastAsia="ru-RU"/>
              </w:rPr>
              <w:t xml:space="preserve">В рамках волонтерства оказана благотворительная помощь в объеме 1,9 </w:t>
            </w:r>
            <w:r w:rsidR="0008080E">
              <w:rPr>
                <w:sz w:val="20"/>
                <w:szCs w:val="26"/>
                <w:lang w:eastAsia="ru-RU"/>
              </w:rPr>
              <w:t>млн</w:t>
            </w:r>
            <w:r w:rsidRPr="004761E0">
              <w:rPr>
                <w:sz w:val="20"/>
                <w:szCs w:val="26"/>
                <w:lang w:eastAsia="ru-RU"/>
              </w:rPr>
              <w:t xml:space="preserve"> руб. пострадавшим от наводнения в регионах Дальнего Востока с 15 по 18 августа 2013 года. </w:t>
            </w:r>
          </w:p>
          <w:p w:rsidR="003D0EA5" w:rsidRPr="004761E0" w:rsidRDefault="003D0EA5" w:rsidP="00252B8E">
            <w:pPr>
              <w:autoSpaceDE w:val="0"/>
              <w:autoSpaceDN w:val="0"/>
              <w:adjustRightInd w:val="0"/>
              <w:ind w:firstLine="0"/>
              <w:rPr>
                <w:sz w:val="20"/>
                <w:szCs w:val="26"/>
                <w:lang w:eastAsia="ru-RU"/>
              </w:rPr>
            </w:pPr>
            <w:r w:rsidRPr="004761E0">
              <w:rPr>
                <w:sz w:val="20"/>
                <w:szCs w:val="26"/>
                <w:lang w:eastAsia="ru-RU"/>
              </w:rPr>
              <w:t>По решению Совета директоров оказана благотворительная помощь Московской Патриархии в строительстве православного детского лагеря в г. Саранске, Фонду поддержки «Защита Отечества» на проведение просветительных, культурных, оздоровительных и спортивных мероприятий для молодежи, НП Спортивному клубу «Динамо» для организации и проведения соревнований по волейболу.</w:t>
            </w:r>
          </w:p>
        </w:tc>
      </w:tr>
    </w:tbl>
    <w:p w:rsidR="003D0EA5" w:rsidRPr="004761E0" w:rsidRDefault="003D0EA5" w:rsidP="003D0EA5">
      <w:pPr>
        <w:spacing w:before="120" w:after="120"/>
        <w:ind w:firstLine="567"/>
        <w:rPr>
          <w:b/>
          <w:sz w:val="26"/>
          <w:szCs w:val="26"/>
          <w:lang w:eastAsia="ru-RU"/>
        </w:rPr>
      </w:pPr>
      <w:r w:rsidRPr="004761E0">
        <w:rPr>
          <w:b/>
          <w:sz w:val="26"/>
          <w:szCs w:val="26"/>
          <w:lang w:eastAsia="ru-RU"/>
        </w:rPr>
        <w:lastRenderedPageBreak/>
        <w:t>Затраты на реализацию социальных программ</w:t>
      </w:r>
    </w:p>
    <w:tbl>
      <w:tblPr>
        <w:tblW w:w="9511" w:type="dxa"/>
        <w:tblInd w:w="95" w:type="dxa"/>
        <w:tblLook w:val="04A0"/>
      </w:tblPr>
      <w:tblGrid>
        <w:gridCol w:w="580"/>
        <w:gridCol w:w="4820"/>
        <w:gridCol w:w="992"/>
        <w:gridCol w:w="992"/>
        <w:gridCol w:w="993"/>
        <w:gridCol w:w="1134"/>
      </w:tblGrid>
      <w:tr w:rsidR="003D0EA5" w:rsidRPr="004761E0" w:rsidTr="007F0436">
        <w:trPr>
          <w:trHeight w:val="300"/>
        </w:trPr>
        <w:tc>
          <w:tcPr>
            <w:tcW w:w="580" w:type="dxa"/>
            <w:tcBorders>
              <w:top w:val="single" w:sz="4" w:space="0" w:color="auto"/>
              <w:left w:val="single" w:sz="4" w:space="0" w:color="auto"/>
              <w:bottom w:val="single" w:sz="4" w:space="0" w:color="auto"/>
              <w:right w:val="single" w:sz="4" w:space="0" w:color="FFFFFF"/>
            </w:tcBorders>
            <w:shd w:val="clear" w:color="auto" w:fill="0F243E"/>
            <w:vAlign w:val="center"/>
            <w:hideMark/>
          </w:tcPr>
          <w:p w:rsidR="003D0EA5" w:rsidRPr="004761E0" w:rsidRDefault="003D0EA5" w:rsidP="00252B8E">
            <w:pPr>
              <w:ind w:firstLine="0"/>
              <w:jc w:val="left"/>
              <w:rPr>
                <w:rFonts w:eastAsia="Times New Roman"/>
                <w:b/>
                <w:color w:val="FFFFFF"/>
                <w:sz w:val="20"/>
                <w:szCs w:val="20"/>
                <w:lang w:eastAsia="ru-RU"/>
              </w:rPr>
            </w:pPr>
            <w:r w:rsidRPr="004761E0">
              <w:rPr>
                <w:rFonts w:eastAsia="Times New Roman"/>
                <w:b/>
                <w:color w:val="FFFFFF"/>
                <w:sz w:val="20"/>
                <w:szCs w:val="20"/>
                <w:lang w:eastAsia="ru-RU"/>
              </w:rPr>
              <w:t>№ п/п</w:t>
            </w:r>
          </w:p>
        </w:tc>
        <w:tc>
          <w:tcPr>
            <w:tcW w:w="4820" w:type="dxa"/>
            <w:tcBorders>
              <w:top w:val="single" w:sz="4" w:space="0" w:color="auto"/>
              <w:left w:val="single" w:sz="4" w:space="0" w:color="FFFFFF"/>
              <w:bottom w:val="single" w:sz="4" w:space="0" w:color="auto"/>
              <w:right w:val="single" w:sz="4" w:space="0" w:color="FFFFFF"/>
            </w:tcBorders>
            <w:shd w:val="clear" w:color="auto" w:fill="0F243E"/>
            <w:vAlign w:val="center"/>
            <w:hideMark/>
          </w:tcPr>
          <w:p w:rsidR="003D0EA5" w:rsidRPr="004761E0" w:rsidRDefault="003D0EA5" w:rsidP="00252B8E">
            <w:pPr>
              <w:ind w:firstLine="0"/>
              <w:jc w:val="left"/>
              <w:rPr>
                <w:rFonts w:eastAsia="Times New Roman"/>
                <w:b/>
                <w:color w:val="FFFFFF"/>
                <w:sz w:val="20"/>
                <w:szCs w:val="20"/>
                <w:lang w:eastAsia="ru-RU"/>
              </w:rPr>
            </w:pPr>
            <w:r w:rsidRPr="004761E0">
              <w:rPr>
                <w:rFonts w:eastAsia="Times New Roman"/>
                <w:b/>
                <w:color w:val="FFFFFF"/>
                <w:sz w:val="20"/>
                <w:szCs w:val="20"/>
                <w:lang w:eastAsia="ru-RU"/>
              </w:rPr>
              <w:t>Наименование категории</w:t>
            </w:r>
          </w:p>
        </w:tc>
        <w:tc>
          <w:tcPr>
            <w:tcW w:w="992" w:type="dxa"/>
            <w:tcBorders>
              <w:top w:val="single" w:sz="4" w:space="0" w:color="auto"/>
              <w:left w:val="single" w:sz="4" w:space="0" w:color="FFFFFF"/>
              <w:bottom w:val="single" w:sz="4" w:space="0" w:color="auto"/>
              <w:right w:val="single" w:sz="4" w:space="0" w:color="FFFFFF"/>
            </w:tcBorders>
            <w:shd w:val="clear" w:color="auto" w:fill="0F243E"/>
            <w:vAlign w:val="center"/>
            <w:hideMark/>
          </w:tcPr>
          <w:p w:rsidR="003D0EA5" w:rsidRPr="004761E0" w:rsidRDefault="003D0EA5" w:rsidP="00252B8E">
            <w:pPr>
              <w:ind w:firstLine="0"/>
              <w:jc w:val="right"/>
              <w:rPr>
                <w:rFonts w:eastAsia="Times New Roman"/>
                <w:b/>
                <w:color w:val="FFFFFF"/>
                <w:sz w:val="20"/>
                <w:szCs w:val="20"/>
                <w:lang w:eastAsia="ru-RU"/>
              </w:rPr>
            </w:pPr>
            <w:r w:rsidRPr="004761E0">
              <w:rPr>
                <w:rFonts w:eastAsia="Times New Roman"/>
                <w:b/>
                <w:color w:val="FFFFFF"/>
                <w:sz w:val="20"/>
                <w:szCs w:val="20"/>
                <w:lang w:eastAsia="ru-RU"/>
              </w:rPr>
              <w:t>2011</w:t>
            </w:r>
          </w:p>
        </w:tc>
        <w:tc>
          <w:tcPr>
            <w:tcW w:w="992" w:type="dxa"/>
            <w:tcBorders>
              <w:top w:val="single" w:sz="4" w:space="0" w:color="auto"/>
              <w:left w:val="single" w:sz="4" w:space="0" w:color="FFFFFF"/>
              <w:bottom w:val="single" w:sz="4" w:space="0" w:color="auto"/>
              <w:right w:val="single" w:sz="4" w:space="0" w:color="FFFFFF"/>
            </w:tcBorders>
            <w:shd w:val="clear" w:color="auto" w:fill="0F243E"/>
            <w:vAlign w:val="center"/>
            <w:hideMark/>
          </w:tcPr>
          <w:p w:rsidR="003D0EA5" w:rsidRPr="004761E0" w:rsidRDefault="003D0EA5" w:rsidP="00252B8E">
            <w:pPr>
              <w:ind w:firstLine="0"/>
              <w:jc w:val="right"/>
              <w:rPr>
                <w:rFonts w:eastAsia="Times New Roman"/>
                <w:b/>
                <w:color w:val="FFFFFF"/>
                <w:sz w:val="20"/>
                <w:szCs w:val="20"/>
                <w:lang w:eastAsia="ru-RU"/>
              </w:rPr>
            </w:pPr>
            <w:r w:rsidRPr="004761E0">
              <w:rPr>
                <w:rFonts w:eastAsia="Times New Roman"/>
                <w:b/>
                <w:color w:val="FFFFFF"/>
                <w:sz w:val="20"/>
                <w:szCs w:val="20"/>
                <w:lang w:eastAsia="ru-RU"/>
              </w:rPr>
              <w:t>2012</w:t>
            </w:r>
          </w:p>
        </w:tc>
        <w:tc>
          <w:tcPr>
            <w:tcW w:w="993" w:type="dxa"/>
            <w:tcBorders>
              <w:top w:val="single" w:sz="4" w:space="0" w:color="auto"/>
              <w:left w:val="single" w:sz="4" w:space="0" w:color="FFFFFF"/>
              <w:bottom w:val="single" w:sz="4" w:space="0" w:color="auto"/>
              <w:right w:val="single" w:sz="4" w:space="0" w:color="FFFFFF"/>
            </w:tcBorders>
            <w:shd w:val="clear" w:color="auto" w:fill="0F243E"/>
            <w:vAlign w:val="center"/>
            <w:hideMark/>
          </w:tcPr>
          <w:p w:rsidR="003D0EA5" w:rsidRPr="004761E0" w:rsidRDefault="003D0EA5" w:rsidP="00252B8E">
            <w:pPr>
              <w:ind w:firstLine="0"/>
              <w:jc w:val="right"/>
              <w:rPr>
                <w:rFonts w:eastAsia="Times New Roman"/>
                <w:b/>
                <w:color w:val="FFFFFF"/>
                <w:sz w:val="20"/>
                <w:szCs w:val="20"/>
                <w:lang w:eastAsia="ru-RU"/>
              </w:rPr>
            </w:pPr>
            <w:r w:rsidRPr="004761E0">
              <w:rPr>
                <w:rFonts w:eastAsia="Times New Roman"/>
                <w:b/>
                <w:color w:val="FFFFFF"/>
                <w:sz w:val="20"/>
                <w:szCs w:val="20"/>
                <w:lang w:eastAsia="ru-RU"/>
              </w:rPr>
              <w:t>2013</w:t>
            </w:r>
          </w:p>
        </w:tc>
        <w:tc>
          <w:tcPr>
            <w:tcW w:w="1134" w:type="dxa"/>
            <w:tcBorders>
              <w:top w:val="single" w:sz="4" w:space="0" w:color="auto"/>
              <w:left w:val="single" w:sz="4" w:space="0" w:color="FFFFFF"/>
              <w:bottom w:val="single" w:sz="4" w:space="0" w:color="auto"/>
              <w:right w:val="single" w:sz="4" w:space="0" w:color="auto"/>
            </w:tcBorders>
            <w:shd w:val="clear" w:color="auto" w:fill="0F243E"/>
            <w:vAlign w:val="center"/>
            <w:hideMark/>
          </w:tcPr>
          <w:p w:rsidR="003D0EA5" w:rsidRPr="004761E0" w:rsidRDefault="003D0EA5" w:rsidP="00252B8E">
            <w:pPr>
              <w:ind w:firstLine="0"/>
              <w:jc w:val="right"/>
              <w:rPr>
                <w:rFonts w:eastAsia="Times New Roman"/>
                <w:b/>
                <w:color w:val="FFFFFF"/>
                <w:sz w:val="20"/>
                <w:szCs w:val="20"/>
                <w:lang w:eastAsia="ru-RU"/>
              </w:rPr>
            </w:pPr>
            <w:r w:rsidRPr="004761E0">
              <w:rPr>
                <w:rFonts w:eastAsia="Times New Roman"/>
                <w:b/>
                <w:color w:val="FFFFFF"/>
                <w:sz w:val="20"/>
                <w:szCs w:val="20"/>
                <w:lang w:eastAsia="ru-RU"/>
              </w:rPr>
              <w:t>2013/2012</w:t>
            </w:r>
          </w:p>
        </w:tc>
      </w:tr>
      <w:tr w:rsidR="003D0EA5" w:rsidRPr="004761E0" w:rsidTr="007F0436">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EA5" w:rsidRPr="004761E0" w:rsidRDefault="003D0EA5" w:rsidP="007076A7">
            <w:pPr>
              <w:numPr>
                <w:ilvl w:val="0"/>
                <w:numId w:val="102"/>
              </w:numPr>
              <w:jc w:val="left"/>
              <w:rPr>
                <w:rFonts w:eastAsia="Times New Roman"/>
                <w:color w:val="000000"/>
                <w:sz w:val="20"/>
                <w:szCs w:val="20"/>
                <w:lang w:eastAsia="ru-RU"/>
              </w:rPr>
            </w:pP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3D0EA5" w:rsidRPr="004761E0" w:rsidRDefault="003D0EA5" w:rsidP="00252B8E">
            <w:pPr>
              <w:ind w:firstLine="0"/>
              <w:jc w:val="left"/>
              <w:rPr>
                <w:rFonts w:eastAsia="Times New Roman"/>
                <w:color w:val="000000"/>
                <w:sz w:val="20"/>
                <w:szCs w:val="20"/>
                <w:lang w:eastAsia="ru-RU"/>
              </w:rPr>
            </w:pPr>
            <w:r w:rsidRPr="004761E0">
              <w:rPr>
                <w:color w:val="000000"/>
                <w:sz w:val="20"/>
                <w:szCs w:val="20"/>
              </w:rPr>
              <w:t>Затраты на мероприятия социального характера, млн руб. без НДС (всего), в т.ч.:</w:t>
            </w:r>
          </w:p>
        </w:tc>
        <w:tc>
          <w:tcPr>
            <w:tcW w:w="992"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rFonts w:eastAsia="Times New Roman"/>
                <w:color w:val="000000"/>
                <w:sz w:val="20"/>
                <w:szCs w:val="20"/>
                <w:lang w:eastAsia="ru-RU"/>
              </w:rPr>
            </w:pPr>
            <w:r w:rsidRPr="004761E0">
              <w:rPr>
                <w:bCs/>
                <w:color w:val="000000"/>
                <w:sz w:val="20"/>
                <w:szCs w:val="20"/>
              </w:rPr>
              <w:t>1 498</w:t>
            </w:r>
          </w:p>
        </w:tc>
        <w:tc>
          <w:tcPr>
            <w:tcW w:w="992"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rFonts w:eastAsia="Times New Roman"/>
                <w:color w:val="000000"/>
                <w:sz w:val="20"/>
                <w:szCs w:val="20"/>
                <w:lang w:eastAsia="ru-RU"/>
              </w:rPr>
            </w:pPr>
            <w:r w:rsidRPr="004761E0">
              <w:rPr>
                <w:bCs/>
                <w:color w:val="000000"/>
                <w:sz w:val="20"/>
                <w:szCs w:val="20"/>
              </w:rPr>
              <w:t>1 957</w:t>
            </w:r>
          </w:p>
        </w:tc>
        <w:tc>
          <w:tcPr>
            <w:tcW w:w="993"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rFonts w:eastAsia="Times New Roman"/>
                <w:color w:val="000000"/>
                <w:sz w:val="20"/>
                <w:szCs w:val="20"/>
                <w:lang w:eastAsia="ru-RU"/>
              </w:rPr>
            </w:pPr>
            <w:r w:rsidRPr="004761E0">
              <w:rPr>
                <w:bCs/>
                <w:color w:val="000000"/>
                <w:sz w:val="20"/>
                <w:szCs w:val="20"/>
              </w:rPr>
              <w:t>2 371</w:t>
            </w:r>
          </w:p>
        </w:tc>
        <w:tc>
          <w:tcPr>
            <w:tcW w:w="1134"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bCs/>
                <w:color w:val="000000"/>
                <w:sz w:val="20"/>
                <w:szCs w:val="20"/>
              </w:rPr>
            </w:pPr>
            <w:r w:rsidRPr="004761E0">
              <w:rPr>
                <w:bCs/>
                <w:color w:val="000000"/>
                <w:sz w:val="20"/>
                <w:szCs w:val="20"/>
              </w:rPr>
              <w:t>21,17 %</w:t>
            </w:r>
          </w:p>
        </w:tc>
      </w:tr>
      <w:tr w:rsidR="003D0EA5" w:rsidRPr="004761E0" w:rsidTr="007F0436">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EA5" w:rsidRPr="004761E0" w:rsidRDefault="003D0EA5" w:rsidP="007076A7">
            <w:pPr>
              <w:pStyle w:val="a5"/>
              <w:numPr>
                <w:ilvl w:val="1"/>
                <w:numId w:val="102"/>
              </w:numPr>
              <w:jc w:val="left"/>
              <w:rPr>
                <w:rFonts w:eastAsia="Times New Roman"/>
                <w:color w:val="000000"/>
                <w:sz w:val="20"/>
                <w:szCs w:val="20"/>
                <w:lang w:eastAsia="ru-RU"/>
              </w:rPr>
            </w:pP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3D0EA5" w:rsidRPr="004761E0" w:rsidRDefault="003D0EA5" w:rsidP="00252B8E">
            <w:pPr>
              <w:ind w:left="176" w:firstLine="0"/>
              <w:jc w:val="left"/>
              <w:rPr>
                <w:rFonts w:eastAsia="Times New Roman"/>
                <w:color w:val="000000"/>
                <w:sz w:val="20"/>
                <w:szCs w:val="20"/>
                <w:lang w:eastAsia="ru-RU"/>
              </w:rPr>
            </w:pPr>
            <w:r w:rsidRPr="004761E0">
              <w:rPr>
                <w:color w:val="000000"/>
                <w:sz w:val="20"/>
                <w:szCs w:val="20"/>
              </w:rPr>
              <w:t>материальная помощь</w:t>
            </w:r>
          </w:p>
        </w:tc>
        <w:tc>
          <w:tcPr>
            <w:tcW w:w="992"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rFonts w:eastAsia="Times New Roman"/>
                <w:color w:val="000000"/>
                <w:sz w:val="20"/>
                <w:szCs w:val="20"/>
                <w:lang w:eastAsia="ru-RU"/>
              </w:rPr>
            </w:pPr>
            <w:r w:rsidRPr="004761E0">
              <w:rPr>
                <w:bCs/>
                <w:color w:val="000000"/>
                <w:sz w:val="20"/>
                <w:szCs w:val="20"/>
              </w:rPr>
              <w:t>506</w:t>
            </w:r>
          </w:p>
        </w:tc>
        <w:tc>
          <w:tcPr>
            <w:tcW w:w="992"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rFonts w:eastAsia="Times New Roman"/>
                <w:color w:val="000000"/>
                <w:sz w:val="20"/>
                <w:szCs w:val="20"/>
                <w:lang w:eastAsia="ru-RU"/>
              </w:rPr>
            </w:pPr>
            <w:r w:rsidRPr="004761E0">
              <w:rPr>
                <w:bCs/>
                <w:color w:val="000000"/>
                <w:sz w:val="20"/>
                <w:szCs w:val="20"/>
              </w:rPr>
              <w:t>602</w:t>
            </w:r>
          </w:p>
        </w:tc>
        <w:tc>
          <w:tcPr>
            <w:tcW w:w="993"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rFonts w:eastAsia="Times New Roman"/>
                <w:color w:val="000000"/>
                <w:sz w:val="20"/>
                <w:szCs w:val="20"/>
                <w:lang w:eastAsia="ru-RU"/>
              </w:rPr>
            </w:pPr>
            <w:r w:rsidRPr="004761E0">
              <w:rPr>
                <w:bCs/>
                <w:color w:val="000000"/>
                <w:sz w:val="20"/>
                <w:szCs w:val="20"/>
              </w:rPr>
              <w:t>650</w:t>
            </w:r>
          </w:p>
        </w:tc>
        <w:tc>
          <w:tcPr>
            <w:tcW w:w="1134"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bCs/>
                <w:color w:val="000000"/>
                <w:sz w:val="20"/>
                <w:szCs w:val="20"/>
              </w:rPr>
            </w:pPr>
            <w:r w:rsidRPr="004761E0">
              <w:rPr>
                <w:bCs/>
                <w:color w:val="000000"/>
                <w:sz w:val="20"/>
                <w:szCs w:val="20"/>
              </w:rPr>
              <w:t>7,87 %</w:t>
            </w:r>
          </w:p>
        </w:tc>
      </w:tr>
      <w:tr w:rsidR="003D0EA5" w:rsidRPr="004761E0" w:rsidTr="007F0436">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EA5" w:rsidRPr="004761E0" w:rsidRDefault="003D0EA5" w:rsidP="007076A7">
            <w:pPr>
              <w:pStyle w:val="a5"/>
              <w:numPr>
                <w:ilvl w:val="1"/>
                <w:numId w:val="102"/>
              </w:numPr>
              <w:jc w:val="left"/>
              <w:rPr>
                <w:rFonts w:eastAsia="Times New Roman"/>
                <w:color w:val="000000"/>
                <w:sz w:val="20"/>
                <w:szCs w:val="20"/>
                <w:lang w:eastAsia="ru-RU"/>
              </w:rPr>
            </w:pP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3D0EA5" w:rsidRPr="004761E0" w:rsidRDefault="003D0EA5" w:rsidP="00252B8E">
            <w:pPr>
              <w:ind w:left="176" w:firstLine="0"/>
              <w:jc w:val="left"/>
              <w:rPr>
                <w:rFonts w:eastAsia="Times New Roman"/>
                <w:color w:val="000000"/>
                <w:sz w:val="20"/>
                <w:szCs w:val="20"/>
                <w:lang w:eastAsia="ru-RU"/>
              </w:rPr>
            </w:pPr>
            <w:r w:rsidRPr="004761E0">
              <w:rPr>
                <w:color w:val="000000"/>
                <w:sz w:val="20"/>
                <w:szCs w:val="20"/>
              </w:rPr>
              <w:t>негосударственное пенсионное обеспечение</w:t>
            </w:r>
          </w:p>
        </w:tc>
        <w:tc>
          <w:tcPr>
            <w:tcW w:w="992"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rFonts w:eastAsia="Times New Roman"/>
                <w:color w:val="000000"/>
                <w:sz w:val="20"/>
                <w:szCs w:val="20"/>
                <w:lang w:eastAsia="ru-RU"/>
              </w:rPr>
            </w:pPr>
            <w:r w:rsidRPr="004761E0">
              <w:rPr>
                <w:bCs/>
                <w:color w:val="000000"/>
                <w:sz w:val="20"/>
                <w:szCs w:val="20"/>
              </w:rPr>
              <w:t>402</w:t>
            </w:r>
          </w:p>
        </w:tc>
        <w:tc>
          <w:tcPr>
            <w:tcW w:w="992"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rFonts w:eastAsia="Times New Roman"/>
                <w:color w:val="000000"/>
                <w:sz w:val="20"/>
                <w:szCs w:val="20"/>
                <w:lang w:eastAsia="ru-RU"/>
              </w:rPr>
            </w:pPr>
            <w:r w:rsidRPr="004761E0">
              <w:rPr>
                <w:bCs/>
                <w:color w:val="000000"/>
                <w:sz w:val="20"/>
                <w:szCs w:val="20"/>
              </w:rPr>
              <w:t>535</w:t>
            </w:r>
          </w:p>
        </w:tc>
        <w:tc>
          <w:tcPr>
            <w:tcW w:w="993"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rFonts w:eastAsia="Times New Roman"/>
                <w:color w:val="000000"/>
                <w:sz w:val="20"/>
                <w:szCs w:val="20"/>
                <w:lang w:eastAsia="ru-RU"/>
              </w:rPr>
            </w:pPr>
            <w:r w:rsidRPr="004761E0">
              <w:rPr>
                <w:bCs/>
                <w:color w:val="000000"/>
                <w:sz w:val="20"/>
                <w:szCs w:val="20"/>
              </w:rPr>
              <w:t>650</w:t>
            </w:r>
          </w:p>
        </w:tc>
        <w:tc>
          <w:tcPr>
            <w:tcW w:w="1134"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bCs/>
                <w:color w:val="000000"/>
                <w:sz w:val="20"/>
                <w:szCs w:val="20"/>
              </w:rPr>
            </w:pPr>
            <w:r w:rsidRPr="004761E0">
              <w:rPr>
                <w:bCs/>
                <w:color w:val="000000"/>
                <w:sz w:val="20"/>
                <w:szCs w:val="20"/>
              </w:rPr>
              <w:t>21,48 %</w:t>
            </w:r>
          </w:p>
        </w:tc>
      </w:tr>
      <w:tr w:rsidR="003D0EA5" w:rsidRPr="004761E0" w:rsidTr="007F0436">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EA5" w:rsidRPr="004761E0" w:rsidRDefault="003D0EA5" w:rsidP="007076A7">
            <w:pPr>
              <w:pStyle w:val="a5"/>
              <w:numPr>
                <w:ilvl w:val="1"/>
                <w:numId w:val="102"/>
              </w:numPr>
              <w:jc w:val="left"/>
              <w:rPr>
                <w:rFonts w:eastAsia="Times New Roman"/>
                <w:color w:val="000000"/>
                <w:sz w:val="20"/>
                <w:szCs w:val="20"/>
                <w:lang w:eastAsia="ru-RU"/>
              </w:rPr>
            </w:pP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3D0EA5" w:rsidRPr="004761E0" w:rsidRDefault="003D0EA5" w:rsidP="00252B8E">
            <w:pPr>
              <w:ind w:left="176" w:firstLine="0"/>
              <w:jc w:val="left"/>
              <w:rPr>
                <w:rFonts w:eastAsia="Times New Roman"/>
                <w:color w:val="000000"/>
                <w:sz w:val="20"/>
                <w:szCs w:val="20"/>
                <w:lang w:eastAsia="ru-RU"/>
              </w:rPr>
            </w:pPr>
            <w:r w:rsidRPr="004761E0">
              <w:rPr>
                <w:color w:val="000000"/>
                <w:sz w:val="20"/>
                <w:szCs w:val="20"/>
              </w:rPr>
              <w:t>ДМС и страхование от несчастных случаев и болезней</w:t>
            </w:r>
          </w:p>
        </w:tc>
        <w:tc>
          <w:tcPr>
            <w:tcW w:w="992"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rFonts w:eastAsia="Times New Roman"/>
                <w:color w:val="000000"/>
                <w:sz w:val="20"/>
                <w:szCs w:val="20"/>
                <w:lang w:eastAsia="ru-RU"/>
              </w:rPr>
            </w:pPr>
            <w:r w:rsidRPr="004761E0">
              <w:rPr>
                <w:bCs/>
                <w:color w:val="000000"/>
                <w:sz w:val="20"/>
                <w:szCs w:val="20"/>
              </w:rPr>
              <w:t>177</w:t>
            </w:r>
          </w:p>
        </w:tc>
        <w:tc>
          <w:tcPr>
            <w:tcW w:w="992"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rFonts w:eastAsia="Times New Roman"/>
                <w:color w:val="000000"/>
                <w:sz w:val="20"/>
                <w:szCs w:val="20"/>
                <w:lang w:eastAsia="ru-RU"/>
              </w:rPr>
            </w:pPr>
            <w:r w:rsidRPr="004761E0">
              <w:rPr>
                <w:bCs/>
                <w:color w:val="000000"/>
                <w:sz w:val="20"/>
                <w:szCs w:val="20"/>
              </w:rPr>
              <w:t>233</w:t>
            </w:r>
          </w:p>
        </w:tc>
        <w:tc>
          <w:tcPr>
            <w:tcW w:w="993"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rFonts w:eastAsia="Times New Roman"/>
                <w:color w:val="000000"/>
                <w:sz w:val="20"/>
                <w:szCs w:val="20"/>
                <w:lang w:eastAsia="ru-RU"/>
              </w:rPr>
            </w:pPr>
            <w:r w:rsidRPr="004761E0">
              <w:rPr>
                <w:bCs/>
                <w:color w:val="000000"/>
                <w:sz w:val="20"/>
                <w:szCs w:val="20"/>
              </w:rPr>
              <w:t>324</w:t>
            </w:r>
          </w:p>
        </w:tc>
        <w:tc>
          <w:tcPr>
            <w:tcW w:w="1134"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bCs/>
                <w:color w:val="000000"/>
                <w:sz w:val="20"/>
                <w:szCs w:val="20"/>
              </w:rPr>
            </w:pPr>
            <w:r w:rsidRPr="004761E0">
              <w:rPr>
                <w:bCs/>
                <w:color w:val="000000"/>
                <w:sz w:val="20"/>
                <w:szCs w:val="20"/>
              </w:rPr>
              <w:t>38,97 %</w:t>
            </w:r>
          </w:p>
        </w:tc>
      </w:tr>
      <w:tr w:rsidR="003D0EA5" w:rsidRPr="004761E0" w:rsidTr="007F0436">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EA5" w:rsidRPr="004761E0" w:rsidRDefault="003D0EA5" w:rsidP="007076A7">
            <w:pPr>
              <w:pStyle w:val="a5"/>
              <w:numPr>
                <w:ilvl w:val="1"/>
                <w:numId w:val="102"/>
              </w:numPr>
              <w:jc w:val="left"/>
              <w:rPr>
                <w:rFonts w:eastAsia="Times New Roman"/>
                <w:color w:val="000000"/>
                <w:sz w:val="20"/>
                <w:szCs w:val="20"/>
                <w:lang w:eastAsia="ru-RU"/>
              </w:rPr>
            </w:pP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3D0EA5" w:rsidRPr="004761E0" w:rsidRDefault="003D0EA5" w:rsidP="00252B8E">
            <w:pPr>
              <w:ind w:left="176" w:firstLine="0"/>
              <w:jc w:val="left"/>
              <w:rPr>
                <w:rFonts w:eastAsia="Times New Roman"/>
                <w:color w:val="000000"/>
                <w:sz w:val="20"/>
                <w:szCs w:val="20"/>
                <w:lang w:eastAsia="ru-RU"/>
              </w:rPr>
            </w:pPr>
            <w:r w:rsidRPr="004761E0">
              <w:rPr>
                <w:color w:val="000000"/>
                <w:sz w:val="20"/>
                <w:szCs w:val="20"/>
              </w:rPr>
              <w:t>благотворительная деятельность</w:t>
            </w:r>
          </w:p>
        </w:tc>
        <w:tc>
          <w:tcPr>
            <w:tcW w:w="992"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rFonts w:eastAsia="Times New Roman"/>
                <w:color w:val="000000"/>
                <w:sz w:val="20"/>
                <w:szCs w:val="20"/>
                <w:lang w:eastAsia="ru-RU"/>
              </w:rPr>
            </w:pPr>
            <w:r w:rsidRPr="004761E0">
              <w:rPr>
                <w:bCs/>
                <w:color w:val="000000"/>
                <w:sz w:val="20"/>
                <w:szCs w:val="20"/>
              </w:rPr>
              <w:t>18</w:t>
            </w:r>
          </w:p>
        </w:tc>
        <w:tc>
          <w:tcPr>
            <w:tcW w:w="992"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rFonts w:eastAsia="Times New Roman"/>
                <w:color w:val="000000"/>
                <w:sz w:val="20"/>
                <w:szCs w:val="20"/>
                <w:lang w:eastAsia="ru-RU"/>
              </w:rPr>
            </w:pPr>
            <w:r w:rsidRPr="004761E0">
              <w:rPr>
                <w:bCs/>
                <w:color w:val="000000"/>
                <w:sz w:val="20"/>
                <w:szCs w:val="20"/>
              </w:rPr>
              <w:t>151</w:t>
            </w:r>
          </w:p>
        </w:tc>
        <w:tc>
          <w:tcPr>
            <w:tcW w:w="993"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rFonts w:eastAsia="Times New Roman"/>
                <w:color w:val="000000"/>
                <w:sz w:val="20"/>
                <w:szCs w:val="20"/>
                <w:lang w:eastAsia="ru-RU"/>
              </w:rPr>
            </w:pPr>
            <w:r w:rsidRPr="004761E0">
              <w:rPr>
                <w:bCs/>
                <w:color w:val="000000"/>
                <w:sz w:val="20"/>
                <w:szCs w:val="20"/>
              </w:rPr>
              <w:t>143</w:t>
            </w:r>
          </w:p>
        </w:tc>
        <w:tc>
          <w:tcPr>
            <w:tcW w:w="1134"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bCs/>
                <w:color w:val="000000"/>
                <w:sz w:val="20"/>
                <w:szCs w:val="20"/>
              </w:rPr>
            </w:pPr>
            <w:r w:rsidRPr="004761E0">
              <w:rPr>
                <w:bCs/>
                <w:color w:val="000000"/>
                <w:sz w:val="20"/>
                <w:szCs w:val="20"/>
              </w:rPr>
              <w:t>-5,04 %</w:t>
            </w:r>
          </w:p>
        </w:tc>
      </w:tr>
      <w:tr w:rsidR="003D0EA5" w:rsidRPr="004761E0" w:rsidTr="007F0436">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EA5" w:rsidRPr="004761E0" w:rsidRDefault="003D0EA5" w:rsidP="007076A7">
            <w:pPr>
              <w:pStyle w:val="a5"/>
              <w:numPr>
                <w:ilvl w:val="1"/>
                <w:numId w:val="102"/>
              </w:numPr>
              <w:jc w:val="left"/>
              <w:rPr>
                <w:rFonts w:eastAsia="Times New Roman"/>
                <w:color w:val="000000"/>
                <w:sz w:val="20"/>
                <w:szCs w:val="20"/>
                <w:lang w:eastAsia="ru-RU"/>
              </w:rPr>
            </w:pP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3D0EA5" w:rsidRPr="004761E0" w:rsidRDefault="003D0EA5" w:rsidP="00252B8E">
            <w:pPr>
              <w:ind w:left="176" w:firstLine="0"/>
              <w:jc w:val="left"/>
              <w:rPr>
                <w:rFonts w:eastAsia="Times New Roman"/>
                <w:color w:val="000000"/>
                <w:sz w:val="20"/>
                <w:szCs w:val="20"/>
                <w:lang w:eastAsia="ru-RU"/>
              </w:rPr>
            </w:pPr>
            <w:r w:rsidRPr="004761E0">
              <w:rPr>
                <w:color w:val="000000"/>
                <w:sz w:val="20"/>
                <w:szCs w:val="20"/>
              </w:rPr>
              <w:t>путевки на лечение и оздоровление</w:t>
            </w:r>
          </w:p>
        </w:tc>
        <w:tc>
          <w:tcPr>
            <w:tcW w:w="992"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rFonts w:eastAsia="Times New Roman"/>
                <w:color w:val="000000"/>
                <w:sz w:val="20"/>
                <w:szCs w:val="20"/>
                <w:lang w:eastAsia="ru-RU"/>
              </w:rPr>
            </w:pPr>
            <w:r w:rsidRPr="004761E0">
              <w:rPr>
                <w:bCs/>
                <w:color w:val="000000"/>
                <w:sz w:val="20"/>
                <w:szCs w:val="20"/>
              </w:rPr>
              <w:t>41</w:t>
            </w:r>
          </w:p>
        </w:tc>
        <w:tc>
          <w:tcPr>
            <w:tcW w:w="992"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rFonts w:eastAsia="Times New Roman"/>
                <w:color w:val="000000"/>
                <w:sz w:val="20"/>
                <w:szCs w:val="20"/>
                <w:lang w:eastAsia="ru-RU"/>
              </w:rPr>
            </w:pPr>
            <w:r w:rsidRPr="004761E0">
              <w:rPr>
                <w:bCs/>
                <w:color w:val="000000"/>
                <w:sz w:val="20"/>
                <w:szCs w:val="20"/>
              </w:rPr>
              <w:t>41</w:t>
            </w:r>
          </w:p>
        </w:tc>
        <w:tc>
          <w:tcPr>
            <w:tcW w:w="993"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rFonts w:eastAsia="Times New Roman"/>
                <w:color w:val="000000"/>
                <w:sz w:val="20"/>
                <w:szCs w:val="20"/>
                <w:lang w:eastAsia="ru-RU"/>
              </w:rPr>
            </w:pPr>
            <w:r w:rsidRPr="004761E0">
              <w:rPr>
                <w:bCs/>
                <w:color w:val="000000"/>
                <w:sz w:val="20"/>
                <w:szCs w:val="20"/>
              </w:rPr>
              <w:t>30</w:t>
            </w:r>
          </w:p>
        </w:tc>
        <w:tc>
          <w:tcPr>
            <w:tcW w:w="1134"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bCs/>
                <w:color w:val="000000"/>
                <w:sz w:val="20"/>
                <w:szCs w:val="20"/>
              </w:rPr>
            </w:pPr>
            <w:r w:rsidRPr="004761E0">
              <w:rPr>
                <w:bCs/>
                <w:color w:val="000000"/>
                <w:sz w:val="20"/>
                <w:szCs w:val="20"/>
              </w:rPr>
              <w:t>-27,78 %</w:t>
            </w:r>
          </w:p>
        </w:tc>
      </w:tr>
      <w:tr w:rsidR="003D0EA5" w:rsidRPr="004761E0" w:rsidTr="007F0436">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EA5" w:rsidRPr="004761E0" w:rsidRDefault="003D0EA5" w:rsidP="007076A7">
            <w:pPr>
              <w:pStyle w:val="a5"/>
              <w:numPr>
                <w:ilvl w:val="1"/>
                <w:numId w:val="102"/>
              </w:numPr>
              <w:jc w:val="left"/>
              <w:rPr>
                <w:rFonts w:eastAsia="Times New Roman"/>
                <w:color w:val="000000"/>
                <w:sz w:val="20"/>
                <w:szCs w:val="20"/>
                <w:lang w:eastAsia="ru-RU"/>
              </w:rPr>
            </w:pP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3D0EA5" w:rsidRPr="004761E0" w:rsidRDefault="003D0EA5" w:rsidP="00252B8E">
            <w:pPr>
              <w:ind w:left="176" w:firstLine="0"/>
              <w:jc w:val="left"/>
              <w:rPr>
                <w:rFonts w:eastAsia="Times New Roman"/>
                <w:color w:val="000000"/>
                <w:sz w:val="20"/>
                <w:szCs w:val="20"/>
                <w:lang w:eastAsia="ru-RU"/>
              </w:rPr>
            </w:pPr>
            <w:r w:rsidRPr="004761E0">
              <w:rPr>
                <w:color w:val="000000"/>
                <w:sz w:val="20"/>
                <w:szCs w:val="20"/>
              </w:rPr>
              <w:t>культурно-массовые мероприятия</w:t>
            </w:r>
          </w:p>
        </w:tc>
        <w:tc>
          <w:tcPr>
            <w:tcW w:w="992"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rFonts w:eastAsia="Times New Roman"/>
                <w:color w:val="000000"/>
                <w:sz w:val="20"/>
                <w:szCs w:val="20"/>
                <w:lang w:eastAsia="ru-RU"/>
              </w:rPr>
            </w:pPr>
            <w:r w:rsidRPr="004761E0">
              <w:rPr>
                <w:bCs/>
                <w:color w:val="000000"/>
                <w:sz w:val="20"/>
                <w:szCs w:val="20"/>
              </w:rPr>
              <w:t>27</w:t>
            </w:r>
          </w:p>
        </w:tc>
        <w:tc>
          <w:tcPr>
            <w:tcW w:w="992"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rFonts w:eastAsia="Times New Roman"/>
                <w:color w:val="000000"/>
                <w:sz w:val="20"/>
                <w:szCs w:val="20"/>
                <w:lang w:eastAsia="ru-RU"/>
              </w:rPr>
            </w:pPr>
            <w:r w:rsidRPr="004761E0">
              <w:rPr>
                <w:bCs/>
                <w:color w:val="000000"/>
                <w:sz w:val="20"/>
                <w:szCs w:val="20"/>
              </w:rPr>
              <w:t>44</w:t>
            </w:r>
          </w:p>
        </w:tc>
        <w:tc>
          <w:tcPr>
            <w:tcW w:w="993"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rFonts w:eastAsia="Times New Roman"/>
                <w:color w:val="000000"/>
                <w:sz w:val="20"/>
                <w:szCs w:val="20"/>
                <w:lang w:eastAsia="ru-RU"/>
              </w:rPr>
            </w:pPr>
            <w:r w:rsidRPr="004761E0">
              <w:rPr>
                <w:bCs/>
                <w:color w:val="000000"/>
                <w:sz w:val="20"/>
                <w:szCs w:val="20"/>
              </w:rPr>
              <w:t>31</w:t>
            </w:r>
          </w:p>
        </w:tc>
        <w:tc>
          <w:tcPr>
            <w:tcW w:w="1134"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bCs/>
                <w:color w:val="000000"/>
                <w:sz w:val="20"/>
                <w:szCs w:val="20"/>
              </w:rPr>
            </w:pPr>
            <w:r w:rsidRPr="004761E0">
              <w:rPr>
                <w:bCs/>
                <w:color w:val="000000"/>
                <w:sz w:val="20"/>
                <w:szCs w:val="20"/>
              </w:rPr>
              <w:t>-29,45 %</w:t>
            </w:r>
          </w:p>
        </w:tc>
      </w:tr>
      <w:tr w:rsidR="003D0EA5" w:rsidRPr="004761E0" w:rsidTr="007F0436">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EA5" w:rsidRPr="004761E0" w:rsidRDefault="003D0EA5" w:rsidP="007076A7">
            <w:pPr>
              <w:pStyle w:val="a5"/>
              <w:numPr>
                <w:ilvl w:val="1"/>
                <w:numId w:val="102"/>
              </w:numPr>
              <w:jc w:val="left"/>
              <w:rPr>
                <w:rFonts w:eastAsia="Times New Roman"/>
                <w:color w:val="000000"/>
                <w:sz w:val="20"/>
                <w:szCs w:val="20"/>
                <w:lang w:eastAsia="ru-RU"/>
              </w:rPr>
            </w:pP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3D0EA5" w:rsidRPr="004761E0" w:rsidRDefault="003D0EA5" w:rsidP="00252B8E">
            <w:pPr>
              <w:ind w:left="176" w:firstLine="0"/>
              <w:jc w:val="left"/>
              <w:rPr>
                <w:rFonts w:eastAsia="Times New Roman"/>
                <w:color w:val="000000"/>
                <w:sz w:val="20"/>
                <w:szCs w:val="20"/>
                <w:lang w:eastAsia="ru-RU"/>
              </w:rPr>
            </w:pPr>
            <w:r w:rsidRPr="004761E0">
              <w:rPr>
                <w:color w:val="000000"/>
                <w:sz w:val="20"/>
                <w:szCs w:val="20"/>
              </w:rPr>
              <w:t xml:space="preserve">жилищная программа </w:t>
            </w:r>
          </w:p>
        </w:tc>
        <w:tc>
          <w:tcPr>
            <w:tcW w:w="992"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rFonts w:eastAsia="Times New Roman"/>
                <w:color w:val="000000"/>
                <w:sz w:val="20"/>
                <w:szCs w:val="20"/>
                <w:lang w:eastAsia="ru-RU"/>
              </w:rPr>
            </w:pPr>
            <w:r w:rsidRPr="004761E0">
              <w:rPr>
                <w:bCs/>
                <w:color w:val="000000"/>
                <w:sz w:val="20"/>
                <w:szCs w:val="20"/>
              </w:rPr>
              <w:t>0</w:t>
            </w:r>
          </w:p>
        </w:tc>
        <w:tc>
          <w:tcPr>
            <w:tcW w:w="992"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rFonts w:eastAsia="Times New Roman"/>
                <w:color w:val="000000"/>
                <w:sz w:val="20"/>
                <w:szCs w:val="20"/>
                <w:lang w:eastAsia="ru-RU"/>
              </w:rPr>
            </w:pPr>
            <w:r w:rsidRPr="004761E0">
              <w:rPr>
                <w:bCs/>
                <w:color w:val="000000"/>
                <w:sz w:val="20"/>
                <w:szCs w:val="20"/>
              </w:rPr>
              <w:t>21</w:t>
            </w:r>
          </w:p>
        </w:tc>
        <w:tc>
          <w:tcPr>
            <w:tcW w:w="993"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rFonts w:eastAsia="Times New Roman"/>
                <w:color w:val="000000"/>
                <w:sz w:val="20"/>
                <w:szCs w:val="20"/>
                <w:lang w:eastAsia="ru-RU"/>
              </w:rPr>
            </w:pPr>
            <w:r w:rsidRPr="004761E0">
              <w:rPr>
                <w:bCs/>
                <w:color w:val="000000"/>
                <w:sz w:val="20"/>
                <w:szCs w:val="20"/>
              </w:rPr>
              <w:t>96</w:t>
            </w:r>
          </w:p>
        </w:tc>
        <w:tc>
          <w:tcPr>
            <w:tcW w:w="1134"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bCs/>
                <w:color w:val="000000"/>
                <w:sz w:val="20"/>
                <w:szCs w:val="20"/>
              </w:rPr>
            </w:pPr>
            <w:r w:rsidRPr="004761E0">
              <w:rPr>
                <w:bCs/>
                <w:color w:val="000000"/>
                <w:sz w:val="20"/>
                <w:szCs w:val="20"/>
              </w:rPr>
              <w:t>357,14 %</w:t>
            </w:r>
          </w:p>
        </w:tc>
      </w:tr>
      <w:tr w:rsidR="003D0EA5" w:rsidRPr="004761E0" w:rsidTr="007F0436">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EA5" w:rsidRPr="004761E0" w:rsidRDefault="003D0EA5" w:rsidP="007076A7">
            <w:pPr>
              <w:pStyle w:val="a5"/>
              <w:numPr>
                <w:ilvl w:val="1"/>
                <w:numId w:val="102"/>
              </w:numPr>
              <w:jc w:val="left"/>
              <w:rPr>
                <w:rFonts w:eastAsia="Times New Roman"/>
                <w:color w:val="000000"/>
                <w:sz w:val="20"/>
                <w:szCs w:val="20"/>
                <w:lang w:eastAsia="ru-RU"/>
              </w:rPr>
            </w:pP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3D0EA5" w:rsidRPr="004761E0" w:rsidRDefault="003D0EA5" w:rsidP="00252B8E">
            <w:pPr>
              <w:ind w:left="176" w:firstLine="0"/>
              <w:jc w:val="left"/>
              <w:rPr>
                <w:rFonts w:eastAsia="Times New Roman"/>
                <w:color w:val="000000"/>
                <w:sz w:val="20"/>
                <w:szCs w:val="20"/>
                <w:lang w:eastAsia="ru-RU"/>
              </w:rPr>
            </w:pPr>
            <w:r w:rsidRPr="004761E0">
              <w:rPr>
                <w:color w:val="000000"/>
                <w:sz w:val="20"/>
                <w:szCs w:val="20"/>
              </w:rPr>
              <w:t xml:space="preserve">спортивно-оздоровительные мероприятия </w:t>
            </w:r>
          </w:p>
        </w:tc>
        <w:tc>
          <w:tcPr>
            <w:tcW w:w="992"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rFonts w:eastAsia="Times New Roman"/>
                <w:color w:val="000000"/>
                <w:sz w:val="20"/>
                <w:szCs w:val="20"/>
                <w:lang w:eastAsia="ru-RU"/>
              </w:rPr>
            </w:pPr>
            <w:r w:rsidRPr="004761E0">
              <w:rPr>
                <w:bCs/>
                <w:color w:val="000000"/>
                <w:sz w:val="20"/>
                <w:szCs w:val="20"/>
              </w:rPr>
              <w:t>8</w:t>
            </w:r>
          </w:p>
        </w:tc>
        <w:tc>
          <w:tcPr>
            <w:tcW w:w="992"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rFonts w:eastAsia="Times New Roman"/>
                <w:color w:val="000000"/>
                <w:sz w:val="20"/>
                <w:szCs w:val="20"/>
                <w:lang w:eastAsia="ru-RU"/>
              </w:rPr>
            </w:pPr>
            <w:r w:rsidRPr="004761E0">
              <w:rPr>
                <w:bCs/>
                <w:color w:val="000000"/>
                <w:sz w:val="20"/>
                <w:szCs w:val="20"/>
              </w:rPr>
              <w:t>8</w:t>
            </w:r>
          </w:p>
        </w:tc>
        <w:tc>
          <w:tcPr>
            <w:tcW w:w="993"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rFonts w:eastAsia="Times New Roman"/>
                <w:color w:val="000000"/>
                <w:sz w:val="20"/>
                <w:szCs w:val="20"/>
                <w:lang w:eastAsia="ru-RU"/>
              </w:rPr>
            </w:pPr>
            <w:r w:rsidRPr="004761E0">
              <w:rPr>
                <w:bCs/>
                <w:color w:val="000000"/>
                <w:sz w:val="20"/>
                <w:szCs w:val="20"/>
              </w:rPr>
              <w:t>9</w:t>
            </w:r>
          </w:p>
        </w:tc>
        <w:tc>
          <w:tcPr>
            <w:tcW w:w="1134"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bCs/>
                <w:color w:val="000000"/>
                <w:sz w:val="20"/>
                <w:szCs w:val="20"/>
              </w:rPr>
            </w:pPr>
            <w:r w:rsidRPr="004761E0">
              <w:rPr>
                <w:bCs/>
                <w:color w:val="000000"/>
                <w:sz w:val="20"/>
                <w:szCs w:val="20"/>
              </w:rPr>
              <w:t>11,25 %</w:t>
            </w:r>
          </w:p>
        </w:tc>
      </w:tr>
      <w:tr w:rsidR="003D0EA5" w:rsidRPr="004761E0" w:rsidTr="007F0436">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EA5" w:rsidRPr="004761E0" w:rsidRDefault="003D0EA5" w:rsidP="007076A7">
            <w:pPr>
              <w:pStyle w:val="a5"/>
              <w:numPr>
                <w:ilvl w:val="1"/>
                <w:numId w:val="102"/>
              </w:numPr>
              <w:jc w:val="left"/>
              <w:rPr>
                <w:rFonts w:eastAsia="Times New Roman"/>
                <w:color w:val="000000"/>
                <w:sz w:val="20"/>
                <w:szCs w:val="20"/>
                <w:lang w:eastAsia="ru-RU"/>
              </w:rPr>
            </w:pP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3D0EA5" w:rsidRPr="004761E0" w:rsidRDefault="003D0EA5" w:rsidP="00252B8E">
            <w:pPr>
              <w:ind w:left="176" w:firstLine="0"/>
              <w:jc w:val="left"/>
              <w:rPr>
                <w:rFonts w:eastAsia="Times New Roman"/>
                <w:color w:val="000000"/>
                <w:sz w:val="20"/>
                <w:szCs w:val="20"/>
                <w:lang w:eastAsia="ru-RU"/>
              </w:rPr>
            </w:pPr>
            <w:r w:rsidRPr="004761E0">
              <w:rPr>
                <w:color w:val="000000"/>
                <w:sz w:val="20"/>
                <w:szCs w:val="20"/>
              </w:rPr>
              <w:t>прочие затраты социального характера</w:t>
            </w:r>
          </w:p>
        </w:tc>
        <w:tc>
          <w:tcPr>
            <w:tcW w:w="992"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rFonts w:eastAsia="Times New Roman"/>
                <w:color w:val="000000"/>
                <w:sz w:val="20"/>
                <w:szCs w:val="20"/>
                <w:lang w:eastAsia="ru-RU"/>
              </w:rPr>
            </w:pPr>
            <w:r w:rsidRPr="004761E0">
              <w:rPr>
                <w:bCs/>
                <w:color w:val="000000"/>
                <w:sz w:val="20"/>
                <w:szCs w:val="20"/>
              </w:rPr>
              <w:t>318</w:t>
            </w:r>
          </w:p>
        </w:tc>
        <w:tc>
          <w:tcPr>
            <w:tcW w:w="992"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rFonts w:eastAsia="Times New Roman"/>
                <w:color w:val="000000"/>
                <w:sz w:val="20"/>
                <w:szCs w:val="20"/>
                <w:lang w:eastAsia="ru-RU"/>
              </w:rPr>
            </w:pPr>
            <w:r w:rsidRPr="004761E0">
              <w:rPr>
                <w:bCs/>
                <w:color w:val="000000"/>
                <w:sz w:val="20"/>
                <w:szCs w:val="20"/>
              </w:rPr>
              <w:t>322</w:t>
            </w:r>
          </w:p>
        </w:tc>
        <w:tc>
          <w:tcPr>
            <w:tcW w:w="993"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rFonts w:eastAsia="Times New Roman"/>
                <w:color w:val="000000"/>
                <w:sz w:val="20"/>
                <w:szCs w:val="20"/>
                <w:lang w:eastAsia="ru-RU"/>
              </w:rPr>
            </w:pPr>
            <w:r w:rsidRPr="004761E0">
              <w:rPr>
                <w:bCs/>
                <w:color w:val="000000"/>
                <w:sz w:val="20"/>
                <w:szCs w:val="20"/>
              </w:rPr>
              <w:t>439</w:t>
            </w:r>
          </w:p>
        </w:tc>
        <w:tc>
          <w:tcPr>
            <w:tcW w:w="1134" w:type="dxa"/>
            <w:tcBorders>
              <w:top w:val="single" w:sz="4" w:space="0" w:color="auto"/>
              <w:left w:val="nil"/>
              <w:bottom w:val="single" w:sz="4" w:space="0" w:color="auto"/>
              <w:right w:val="single" w:sz="4" w:space="0" w:color="auto"/>
            </w:tcBorders>
            <w:shd w:val="clear" w:color="auto" w:fill="auto"/>
            <w:vAlign w:val="center"/>
          </w:tcPr>
          <w:p w:rsidR="003D0EA5" w:rsidRPr="004761E0" w:rsidRDefault="003D0EA5" w:rsidP="00252B8E">
            <w:pPr>
              <w:ind w:firstLine="0"/>
              <w:jc w:val="right"/>
              <w:rPr>
                <w:bCs/>
                <w:color w:val="000000"/>
                <w:sz w:val="20"/>
                <w:szCs w:val="20"/>
              </w:rPr>
            </w:pPr>
            <w:r w:rsidRPr="004761E0">
              <w:rPr>
                <w:bCs/>
                <w:color w:val="000000"/>
                <w:sz w:val="20"/>
                <w:szCs w:val="20"/>
              </w:rPr>
              <w:t>36,41 %</w:t>
            </w:r>
          </w:p>
        </w:tc>
      </w:tr>
    </w:tbl>
    <w:p w:rsidR="003D0EA5" w:rsidRPr="004761E0" w:rsidRDefault="003D0EA5" w:rsidP="003D0EA5">
      <w:pPr>
        <w:ind w:firstLine="0"/>
        <w:rPr>
          <w:lang w:eastAsia="ru-RU"/>
        </w:rPr>
      </w:pPr>
      <w:r w:rsidRPr="004761E0">
        <w:rPr>
          <w:noProof/>
          <w:lang w:eastAsia="ru-RU"/>
        </w:rPr>
        <w:drawing>
          <wp:inline distT="0" distB="0" distL="0" distR="0">
            <wp:extent cx="2352675" cy="2921635"/>
            <wp:effectExtent l="19050" t="0" r="9525" b="0"/>
            <wp:docPr id="43"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r w:rsidRPr="004761E0">
        <w:rPr>
          <w:lang w:eastAsia="ru-RU"/>
        </w:rPr>
        <w:t xml:space="preserve"> </w:t>
      </w:r>
      <w:r w:rsidRPr="004761E0">
        <w:rPr>
          <w:noProof/>
          <w:lang w:eastAsia="ru-RU"/>
        </w:rPr>
        <w:drawing>
          <wp:inline distT="0" distB="0" distL="0" distR="0">
            <wp:extent cx="3412490" cy="2921635"/>
            <wp:effectExtent l="19050" t="0" r="16510" b="0"/>
            <wp:docPr id="44"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3D0EA5" w:rsidRPr="004761E0" w:rsidRDefault="003D0EA5" w:rsidP="003D0EA5">
      <w:pPr>
        <w:ind w:firstLine="567"/>
        <w:rPr>
          <w:rFonts w:eastAsia="Times New Roman"/>
          <w:bCs/>
          <w:color w:val="000000"/>
          <w:sz w:val="26"/>
          <w:szCs w:val="26"/>
          <w:lang w:eastAsia="ru-RU"/>
        </w:rPr>
      </w:pPr>
      <w:r w:rsidRPr="004761E0">
        <w:rPr>
          <w:rFonts w:eastAsia="Times New Roman"/>
          <w:bCs/>
          <w:color w:val="000000"/>
          <w:sz w:val="26"/>
          <w:szCs w:val="26"/>
          <w:lang w:eastAsia="ru-RU"/>
        </w:rPr>
        <w:t>Увеличение затрат на негосударственное пенсионное обеспечение на 115 </w:t>
      </w:r>
      <w:r w:rsidR="0008080E">
        <w:rPr>
          <w:rFonts w:eastAsia="Times New Roman"/>
          <w:bCs/>
          <w:color w:val="000000"/>
          <w:sz w:val="26"/>
          <w:szCs w:val="26"/>
          <w:lang w:eastAsia="ru-RU"/>
        </w:rPr>
        <w:t>млн</w:t>
      </w:r>
      <w:r w:rsidRPr="004761E0">
        <w:rPr>
          <w:rFonts w:eastAsia="Times New Roman"/>
          <w:bCs/>
          <w:color w:val="000000"/>
          <w:sz w:val="26"/>
          <w:szCs w:val="26"/>
          <w:lang w:eastAsia="ru-RU"/>
        </w:rPr>
        <w:t> руб. или на 21,48 % в сравнении с годом ранее обусловлено выполнением внеплановых обязательств по НПО (льготники, сокращенные работники Общества).</w:t>
      </w:r>
    </w:p>
    <w:p w:rsidR="003D0EA5" w:rsidRPr="004761E0" w:rsidRDefault="003D0EA5" w:rsidP="003D0EA5">
      <w:pPr>
        <w:ind w:firstLine="567"/>
        <w:rPr>
          <w:rFonts w:eastAsia="Times New Roman"/>
          <w:bCs/>
          <w:color w:val="000000"/>
          <w:sz w:val="26"/>
          <w:szCs w:val="26"/>
          <w:lang w:eastAsia="ru-RU"/>
        </w:rPr>
      </w:pPr>
      <w:r w:rsidRPr="004761E0">
        <w:rPr>
          <w:color w:val="000000"/>
          <w:sz w:val="26"/>
          <w:szCs w:val="26"/>
        </w:rPr>
        <w:t xml:space="preserve">Рост затрат на ДМС и страхование от несчастных случаев и болезней на 91 млн руб. или на 38,97 % по отношению к 2012 году объясняется </w:t>
      </w:r>
      <w:r w:rsidRPr="004761E0">
        <w:rPr>
          <w:rFonts w:eastAsia="Times New Roman"/>
          <w:bCs/>
          <w:color w:val="000000"/>
          <w:sz w:val="26"/>
          <w:szCs w:val="26"/>
          <w:lang w:eastAsia="ru-RU"/>
        </w:rPr>
        <w:t xml:space="preserve">повышением цен на медицинские услуги, исключением ограничений по виду, объему и количеству медицинских услуг по новому договору, и исключением лимитов ответственности страховщика по основным программам ДМС. </w:t>
      </w:r>
    </w:p>
    <w:p w:rsidR="003D0EA5" w:rsidRDefault="003D0EA5" w:rsidP="003D0EA5">
      <w:pPr>
        <w:ind w:firstLine="567"/>
        <w:rPr>
          <w:rFonts w:eastAsia="Times New Roman"/>
          <w:bCs/>
          <w:color w:val="000000"/>
          <w:sz w:val="26"/>
          <w:szCs w:val="26"/>
          <w:lang w:eastAsia="ru-RU"/>
        </w:rPr>
      </w:pPr>
      <w:r w:rsidRPr="004761E0">
        <w:rPr>
          <w:rFonts w:eastAsia="Times New Roman"/>
          <w:bCs/>
          <w:color w:val="000000"/>
          <w:sz w:val="26"/>
          <w:szCs w:val="26"/>
          <w:lang w:eastAsia="ru-RU"/>
        </w:rPr>
        <w:lastRenderedPageBreak/>
        <w:t xml:space="preserve">Увеличение затрат на </w:t>
      </w:r>
      <w:r w:rsidRPr="004761E0">
        <w:rPr>
          <w:color w:val="000000"/>
          <w:sz w:val="26"/>
          <w:szCs w:val="26"/>
        </w:rPr>
        <w:t xml:space="preserve">компенсацию найма жилья на 75 </w:t>
      </w:r>
      <w:r w:rsidR="0008080E">
        <w:rPr>
          <w:color w:val="000000"/>
          <w:sz w:val="26"/>
          <w:szCs w:val="26"/>
        </w:rPr>
        <w:t>млн</w:t>
      </w:r>
      <w:r w:rsidRPr="004761E0">
        <w:rPr>
          <w:color w:val="000000"/>
          <w:sz w:val="26"/>
          <w:szCs w:val="26"/>
        </w:rPr>
        <w:t xml:space="preserve"> руб. связано с </w:t>
      </w:r>
      <w:r w:rsidRPr="004761E0">
        <w:rPr>
          <w:rFonts w:eastAsia="Times New Roman"/>
          <w:bCs/>
          <w:color w:val="000000"/>
          <w:sz w:val="26"/>
          <w:szCs w:val="26"/>
          <w:lang w:eastAsia="ru-RU"/>
        </w:rPr>
        <w:t>реализацией дополнительных программ по компенсации платежей по ипотеке и целевыми субсидиями.</w:t>
      </w:r>
    </w:p>
    <w:p w:rsidR="00585397" w:rsidRDefault="00585397">
      <w:pPr>
        <w:ind w:firstLine="0"/>
        <w:jc w:val="left"/>
        <w:rPr>
          <w:rFonts w:eastAsia="Times New Roman"/>
          <w:bCs/>
          <w:color w:val="000000"/>
          <w:sz w:val="26"/>
          <w:szCs w:val="26"/>
          <w:lang w:eastAsia="ru-RU"/>
        </w:rPr>
      </w:pPr>
      <w:r>
        <w:rPr>
          <w:rFonts w:eastAsia="Times New Roman"/>
          <w:bCs/>
          <w:color w:val="000000"/>
          <w:sz w:val="26"/>
          <w:szCs w:val="26"/>
          <w:lang w:eastAsia="ru-RU"/>
        </w:rPr>
        <w:br w:type="page"/>
      </w:r>
    </w:p>
    <w:p w:rsidR="007674C6" w:rsidRPr="004761E0" w:rsidRDefault="00E34ACB" w:rsidP="007076A7">
      <w:pPr>
        <w:pStyle w:val="a8"/>
        <w:numPr>
          <w:ilvl w:val="1"/>
          <w:numId w:val="321"/>
        </w:numPr>
        <w:spacing w:before="120" w:after="120"/>
        <w:ind w:left="1134" w:hanging="567"/>
        <w:jc w:val="both"/>
        <w:rPr>
          <w:rFonts w:ascii="Times New Roman" w:hAnsi="Times New Roman"/>
          <w:b/>
          <w:sz w:val="26"/>
          <w:szCs w:val="26"/>
          <w:lang w:val="en-US" w:eastAsia="ru-RU"/>
        </w:rPr>
      </w:pPr>
      <w:bookmarkStart w:id="129" w:name="_Toc380576949"/>
      <w:bookmarkStart w:id="130" w:name="_Toc385339846"/>
      <w:r w:rsidRPr="004761E0">
        <w:rPr>
          <w:rFonts w:ascii="Times New Roman" w:hAnsi="Times New Roman"/>
          <w:b/>
          <w:sz w:val="26"/>
          <w:szCs w:val="26"/>
        </w:rPr>
        <w:lastRenderedPageBreak/>
        <w:t>Охрана труда</w:t>
      </w:r>
      <w:bookmarkEnd w:id="129"/>
      <w:bookmarkEnd w:id="130"/>
    </w:p>
    <w:p w:rsidR="00F2772C" w:rsidRPr="004761E0" w:rsidRDefault="00F2772C" w:rsidP="00585397">
      <w:pPr>
        <w:spacing w:before="120" w:after="120"/>
        <w:ind w:firstLine="567"/>
        <w:rPr>
          <w:b/>
          <w:sz w:val="26"/>
          <w:szCs w:val="26"/>
          <w:lang w:eastAsia="ru-RU"/>
        </w:rPr>
      </w:pPr>
      <w:r w:rsidRPr="004761E0">
        <w:rPr>
          <w:b/>
          <w:sz w:val="26"/>
          <w:szCs w:val="26"/>
          <w:lang w:eastAsia="ru-RU"/>
        </w:rPr>
        <w:t>Производственный травматизм</w:t>
      </w:r>
    </w:p>
    <w:tbl>
      <w:tblPr>
        <w:tblW w:w="9369" w:type="dxa"/>
        <w:tblInd w:w="95" w:type="dxa"/>
        <w:tblLayout w:type="fixed"/>
        <w:tblLook w:val="04A0"/>
      </w:tblPr>
      <w:tblGrid>
        <w:gridCol w:w="580"/>
        <w:gridCol w:w="3828"/>
        <w:gridCol w:w="1275"/>
        <w:gridCol w:w="1276"/>
        <w:gridCol w:w="1134"/>
        <w:gridCol w:w="1276"/>
      </w:tblGrid>
      <w:tr w:rsidR="00F2772C" w:rsidRPr="004761E0" w:rsidTr="00F2772C">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F2772C" w:rsidRPr="004761E0" w:rsidRDefault="00F2772C" w:rsidP="00F2772C">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382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F2772C" w:rsidRPr="004761E0" w:rsidRDefault="00F2772C" w:rsidP="00F2772C">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27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F2772C" w:rsidRPr="004761E0" w:rsidRDefault="00F2772C" w:rsidP="00F2772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27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F2772C" w:rsidRPr="004761E0" w:rsidRDefault="00F2772C" w:rsidP="00F2772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F2772C" w:rsidRPr="004761E0" w:rsidRDefault="00F2772C" w:rsidP="00F2772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276"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F2772C" w:rsidRPr="004761E0" w:rsidRDefault="00F2772C" w:rsidP="00F2772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F2772C" w:rsidRPr="004761E0" w:rsidTr="00F2772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772C" w:rsidRPr="004761E0" w:rsidRDefault="00F2772C" w:rsidP="007076A7">
            <w:pPr>
              <w:numPr>
                <w:ilvl w:val="0"/>
                <w:numId w:val="16"/>
              </w:numPr>
              <w:jc w:val="left"/>
              <w:rPr>
                <w:rFonts w:eastAsia="Times New Roman"/>
                <w:color w:val="000000"/>
                <w:sz w:val="20"/>
                <w:szCs w:val="20"/>
                <w:lang w:eastAsia="ru-RU"/>
              </w:rPr>
            </w:pPr>
          </w:p>
        </w:tc>
        <w:tc>
          <w:tcPr>
            <w:tcW w:w="3828"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rPr>
                <w:color w:val="000000"/>
                <w:sz w:val="20"/>
                <w:szCs w:val="20"/>
              </w:rPr>
            </w:pPr>
            <w:r w:rsidRPr="004761E0">
              <w:rPr>
                <w:color w:val="000000"/>
                <w:sz w:val="20"/>
                <w:szCs w:val="20"/>
              </w:rPr>
              <w:t>Несчастных случаев, шт. (всего), т.ч.</w:t>
            </w:r>
          </w:p>
        </w:tc>
        <w:tc>
          <w:tcPr>
            <w:tcW w:w="1275"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10</w:t>
            </w:r>
          </w:p>
        </w:tc>
        <w:tc>
          <w:tcPr>
            <w:tcW w:w="1276"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jc w:val="right"/>
              <w:rPr>
                <w:color w:val="000000"/>
                <w:sz w:val="20"/>
                <w:szCs w:val="20"/>
              </w:rPr>
            </w:pPr>
            <w:r w:rsidRPr="004761E0">
              <w:rPr>
                <w:color w:val="000000"/>
                <w:sz w:val="20"/>
                <w:szCs w:val="20"/>
              </w:rPr>
              <w:t>6</w:t>
            </w:r>
          </w:p>
        </w:tc>
        <w:tc>
          <w:tcPr>
            <w:tcW w:w="1134"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jc w:val="right"/>
              <w:rPr>
                <w:color w:val="000000"/>
                <w:sz w:val="20"/>
                <w:szCs w:val="20"/>
              </w:rPr>
            </w:pPr>
            <w:r w:rsidRPr="004761E0">
              <w:rPr>
                <w:color w:val="000000"/>
                <w:sz w:val="20"/>
                <w:szCs w:val="20"/>
              </w:rPr>
              <w:t>4</w:t>
            </w:r>
          </w:p>
        </w:tc>
        <w:tc>
          <w:tcPr>
            <w:tcW w:w="1276"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-33,33 %</w:t>
            </w:r>
          </w:p>
        </w:tc>
      </w:tr>
      <w:tr w:rsidR="00F2772C" w:rsidRPr="004761E0" w:rsidTr="00F2772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772C" w:rsidRPr="004761E0" w:rsidRDefault="00F2772C" w:rsidP="007076A7">
            <w:pPr>
              <w:pStyle w:val="a5"/>
              <w:numPr>
                <w:ilvl w:val="1"/>
                <w:numId w:val="16"/>
              </w:numPr>
              <w:jc w:val="left"/>
              <w:rPr>
                <w:rFonts w:eastAsia="Times New Roman"/>
                <w:color w:val="000000"/>
                <w:sz w:val="20"/>
                <w:szCs w:val="20"/>
                <w:lang w:eastAsia="ru-RU"/>
              </w:rPr>
            </w:pPr>
          </w:p>
        </w:tc>
        <w:tc>
          <w:tcPr>
            <w:tcW w:w="8789" w:type="dxa"/>
            <w:gridSpan w:val="5"/>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left"/>
              <w:rPr>
                <w:color w:val="000000"/>
                <w:sz w:val="20"/>
                <w:szCs w:val="20"/>
              </w:rPr>
            </w:pPr>
            <w:r w:rsidRPr="004761E0">
              <w:rPr>
                <w:b/>
                <w:sz w:val="20"/>
                <w:szCs w:val="20"/>
              </w:rPr>
              <w:t>По видам происшествий</w:t>
            </w:r>
          </w:p>
        </w:tc>
      </w:tr>
      <w:tr w:rsidR="00F2772C" w:rsidRPr="004761E0" w:rsidTr="00F2772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772C" w:rsidRPr="004761E0" w:rsidRDefault="00F2772C" w:rsidP="007076A7">
            <w:pPr>
              <w:pStyle w:val="a5"/>
              <w:numPr>
                <w:ilvl w:val="2"/>
                <w:numId w:val="16"/>
              </w:numPr>
              <w:jc w:val="left"/>
              <w:rPr>
                <w:rFonts w:eastAsia="Times New Roman"/>
                <w:color w:val="000000"/>
                <w:sz w:val="20"/>
                <w:szCs w:val="20"/>
                <w:lang w:eastAsia="ru-RU"/>
              </w:rPr>
            </w:pPr>
          </w:p>
        </w:tc>
        <w:tc>
          <w:tcPr>
            <w:tcW w:w="3828"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Chars="200" w:firstLine="400"/>
              <w:rPr>
                <w:color w:val="000000"/>
                <w:sz w:val="20"/>
                <w:szCs w:val="20"/>
              </w:rPr>
            </w:pPr>
            <w:r w:rsidRPr="004761E0">
              <w:rPr>
                <w:color w:val="000000"/>
                <w:sz w:val="20"/>
                <w:szCs w:val="20"/>
              </w:rPr>
              <w:t>ДТП</w:t>
            </w:r>
          </w:p>
        </w:tc>
        <w:tc>
          <w:tcPr>
            <w:tcW w:w="1275"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w:t>
            </w:r>
          </w:p>
        </w:tc>
      </w:tr>
      <w:tr w:rsidR="00F2772C" w:rsidRPr="004761E0" w:rsidTr="00F2772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772C" w:rsidRPr="004761E0" w:rsidRDefault="00F2772C" w:rsidP="007076A7">
            <w:pPr>
              <w:pStyle w:val="a5"/>
              <w:numPr>
                <w:ilvl w:val="2"/>
                <w:numId w:val="16"/>
              </w:numPr>
              <w:jc w:val="left"/>
              <w:rPr>
                <w:rFonts w:eastAsia="Times New Roman"/>
                <w:color w:val="000000"/>
                <w:sz w:val="20"/>
                <w:szCs w:val="20"/>
                <w:lang w:eastAsia="ru-RU"/>
              </w:rPr>
            </w:pPr>
          </w:p>
        </w:tc>
        <w:tc>
          <w:tcPr>
            <w:tcW w:w="3828" w:type="dxa"/>
            <w:tcBorders>
              <w:top w:val="nil"/>
              <w:left w:val="nil"/>
              <w:bottom w:val="single" w:sz="4" w:space="0" w:color="auto"/>
              <w:right w:val="single" w:sz="4" w:space="0" w:color="auto"/>
            </w:tcBorders>
            <w:shd w:val="clear" w:color="auto" w:fill="auto"/>
            <w:vAlign w:val="center"/>
            <w:hideMark/>
          </w:tcPr>
          <w:p w:rsidR="00F2772C" w:rsidRPr="004761E0" w:rsidRDefault="001332F2" w:rsidP="00F2772C">
            <w:pPr>
              <w:ind w:firstLineChars="200" w:firstLine="400"/>
              <w:rPr>
                <w:color w:val="000000"/>
                <w:sz w:val="20"/>
                <w:szCs w:val="20"/>
              </w:rPr>
            </w:pPr>
            <w:r w:rsidRPr="004761E0">
              <w:rPr>
                <w:color w:val="000000"/>
                <w:sz w:val="20"/>
                <w:szCs w:val="20"/>
              </w:rPr>
              <w:t>Э</w:t>
            </w:r>
            <w:r w:rsidR="00F2772C" w:rsidRPr="004761E0">
              <w:rPr>
                <w:color w:val="000000"/>
                <w:sz w:val="20"/>
                <w:szCs w:val="20"/>
              </w:rPr>
              <w:t>лектротравма</w:t>
            </w:r>
          </w:p>
        </w:tc>
        <w:tc>
          <w:tcPr>
            <w:tcW w:w="1275"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6</w:t>
            </w:r>
          </w:p>
        </w:tc>
        <w:tc>
          <w:tcPr>
            <w:tcW w:w="1276"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5</w:t>
            </w:r>
          </w:p>
        </w:tc>
        <w:tc>
          <w:tcPr>
            <w:tcW w:w="1134"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-40,00 %</w:t>
            </w:r>
          </w:p>
        </w:tc>
      </w:tr>
      <w:tr w:rsidR="00F2772C" w:rsidRPr="004761E0" w:rsidTr="00F2772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72C" w:rsidRPr="004761E0" w:rsidRDefault="00F2772C" w:rsidP="007076A7">
            <w:pPr>
              <w:pStyle w:val="a5"/>
              <w:numPr>
                <w:ilvl w:val="2"/>
                <w:numId w:val="16"/>
              </w:numPr>
              <w:jc w:val="left"/>
              <w:rPr>
                <w:rFonts w:eastAsia="Times New Roman"/>
                <w:color w:val="000000"/>
                <w:sz w:val="20"/>
                <w:szCs w:val="20"/>
                <w:lang w:eastAsia="ru-RU"/>
              </w:rPr>
            </w:pP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Chars="200" w:firstLine="400"/>
              <w:rPr>
                <w:color w:val="000000"/>
                <w:sz w:val="20"/>
                <w:szCs w:val="20"/>
              </w:rPr>
            </w:pPr>
            <w:r w:rsidRPr="004761E0">
              <w:rPr>
                <w:color w:val="000000"/>
                <w:sz w:val="20"/>
                <w:szCs w:val="20"/>
              </w:rPr>
              <w:t>падение с высоты</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w:t>
            </w:r>
          </w:p>
        </w:tc>
      </w:tr>
      <w:tr w:rsidR="00F2772C" w:rsidRPr="004761E0" w:rsidTr="00F2772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72C" w:rsidRPr="004761E0" w:rsidRDefault="00F2772C" w:rsidP="007076A7">
            <w:pPr>
              <w:pStyle w:val="a5"/>
              <w:numPr>
                <w:ilvl w:val="2"/>
                <w:numId w:val="16"/>
              </w:numPr>
              <w:jc w:val="left"/>
              <w:rPr>
                <w:rFonts w:eastAsia="Times New Roman"/>
                <w:color w:val="000000"/>
                <w:sz w:val="20"/>
                <w:szCs w:val="20"/>
                <w:lang w:eastAsia="ru-RU"/>
              </w:rPr>
            </w:pP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Chars="200" w:firstLine="400"/>
              <w:rPr>
                <w:color w:val="000000"/>
                <w:sz w:val="20"/>
                <w:szCs w:val="20"/>
              </w:rPr>
            </w:pPr>
            <w:r w:rsidRPr="004761E0">
              <w:rPr>
                <w:color w:val="000000"/>
                <w:sz w:val="20"/>
                <w:szCs w:val="20"/>
              </w:rPr>
              <w:t>падение предметов</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-100,00 %</w:t>
            </w:r>
          </w:p>
        </w:tc>
      </w:tr>
      <w:tr w:rsidR="00F2772C" w:rsidRPr="004761E0" w:rsidTr="00F2772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72C" w:rsidRPr="004761E0" w:rsidRDefault="00F2772C" w:rsidP="007076A7">
            <w:pPr>
              <w:pStyle w:val="a5"/>
              <w:numPr>
                <w:ilvl w:val="2"/>
                <w:numId w:val="16"/>
              </w:numPr>
              <w:jc w:val="left"/>
              <w:rPr>
                <w:rFonts w:eastAsia="Times New Roman"/>
                <w:color w:val="000000"/>
                <w:sz w:val="20"/>
                <w:szCs w:val="20"/>
                <w:lang w:eastAsia="ru-RU"/>
              </w:rPr>
            </w:pP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1332F2" w:rsidP="00F2772C">
            <w:pPr>
              <w:ind w:firstLineChars="200" w:firstLine="400"/>
              <w:rPr>
                <w:color w:val="000000"/>
                <w:sz w:val="20"/>
                <w:szCs w:val="20"/>
              </w:rPr>
            </w:pPr>
            <w:r w:rsidRPr="004761E0">
              <w:rPr>
                <w:color w:val="000000"/>
                <w:sz w:val="20"/>
                <w:szCs w:val="20"/>
              </w:rPr>
              <w:t>П</w:t>
            </w:r>
            <w:r w:rsidR="00F2772C" w:rsidRPr="004761E0">
              <w:rPr>
                <w:color w:val="000000"/>
                <w:sz w:val="20"/>
                <w:szCs w:val="20"/>
              </w:rPr>
              <w:t>рочие</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w:t>
            </w:r>
          </w:p>
        </w:tc>
      </w:tr>
      <w:tr w:rsidR="00F2772C" w:rsidRPr="004761E0" w:rsidTr="00F2772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72C" w:rsidRPr="004761E0" w:rsidRDefault="00F2772C" w:rsidP="007076A7">
            <w:pPr>
              <w:pStyle w:val="a5"/>
              <w:numPr>
                <w:ilvl w:val="1"/>
                <w:numId w:val="16"/>
              </w:numPr>
              <w:jc w:val="left"/>
              <w:rPr>
                <w:rFonts w:eastAsia="Times New Roman"/>
                <w:color w:val="000000"/>
                <w:sz w:val="20"/>
                <w:szCs w:val="20"/>
                <w:lang w:eastAsia="ru-RU"/>
              </w:rPr>
            </w:pPr>
          </w:p>
        </w:tc>
        <w:tc>
          <w:tcPr>
            <w:tcW w:w="8789" w:type="dxa"/>
            <w:gridSpan w:val="5"/>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left"/>
              <w:rPr>
                <w:color w:val="000000"/>
                <w:sz w:val="20"/>
                <w:szCs w:val="20"/>
              </w:rPr>
            </w:pPr>
            <w:r w:rsidRPr="004761E0">
              <w:rPr>
                <w:b/>
                <w:sz w:val="20"/>
                <w:szCs w:val="20"/>
              </w:rPr>
              <w:t>По степени тяжести</w:t>
            </w:r>
          </w:p>
        </w:tc>
      </w:tr>
      <w:tr w:rsidR="00F2772C" w:rsidRPr="004761E0" w:rsidTr="00F2772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72C" w:rsidRPr="004761E0" w:rsidRDefault="00F2772C" w:rsidP="007076A7">
            <w:pPr>
              <w:pStyle w:val="a5"/>
              <w:numPr>
                <w:ilvl w:val="2"/>
                <w:numId w:val="16"/>
              </w:numPr>
              <w:jc w:val="left"/>
              <w:rPr>
                <w:rFonts w:eastAsia="Times New Roman"/>
                <w:color w:val="000000"/>
                <w:sz w:val="20"/>
                <w:szCs w:val="20"/>
                <w:lang w:eastAsia="ru-RU"/>
              </w:rPr>
            </w:pP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Chars="200" w:firstLine="400"/>
              <w:rPr>
                <w:color w:val="000000"/>
                <w:sz w:val="20"/>
                <w:szCs w:val="20"/>
              </w:rPr>
            </w:pPr>
            <w:r w:rsidRPr="004761E0">
              <w:rPr>
                <w:color w:val="000000"/>
                <w:sz w:val="20"/>
                <w:szCs w:val="20"/>
              </w:rPr>
              <w:t>смертельный исход</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-100,00 %</w:t>
            </w:r>
          </w:p>
        </w:tc>
      </w:tr>
      <w:tr w:rsidR="00F2772C" w:rsidRPr="004761E0" w:rsidTr="00F2772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72C" w:rsidRPr="004761E0" w:rsidRDefault="00F2772C" w:rsidP="007076A7">
            <w:pPr>
              <w:pStyle w:val="a5"/>
              <w:numPr>
                <w:ilvl w:val="2"/>
                <w:numId w:val="16"/>
              </w:numPr>
              <w:jc w:val="left"/>
              <w:rPr>
                <w:rFonts w:eastAsia="Times New Roman"/>
                <w:color w:val="000000"/>
                <w:sz w:val="20"/>
                <w:szCs w:val="20"/>
                <w:lang w:eastAsia="ru-RU"/>
              </w:rPr>
            </w:pP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Chars="200" w:firstLine="400"/>
              <w:rPr>
                <w:color w:val="000000"/>
                <w:sz w:val="20"/>
                <w:szCs w:val="20"/>
              </w:rPr>
            </w:pPr>
            <w:r w:rsidRPr="004761E0">
              <w:rPr>
                <w:color w:val="000000"/>
                <w:sz w:val="20"/>
                <w:szCs w:val="20"/>
              </w:rPr>
              <w:t>тяжелый и легкий исход</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0,00 %</w:t>
            </w:r>
          </w:p>
        </w:tc>
      </w:tr>
      <w:tr w:rsidR="00F2772C" w:rsidRPr="004761E0" w:rsidTr="00F2772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72C" w:rsidRPr="004761E0" w:rsidRDefault="00F2772C" w:rsidP="007076A7">
            <w:pPr>
              <w:numPr>
                <w:ilvl w:val="0"/>
                <w:numId w:val="16"/>
              </w:numPr>
              <w:jc w:val="left"/>
              <w:rPr>
                <w:rFonts w:eastAsia="Times New Roman"/>
                <w:color w:val="000000"/>
                <w:sz w:val="20"/>
                <w:szCs w:val="20"/>
                <w:lang w:eastAsia="ru-RU"/>
              </w:rPr>
            </w:pP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left"/>
              <w:rPr>
                <w:b/>
                <w:sz w:val="20"/>
                <w:szCs w:val="20"/>
              </w:rPr>
            </w:pPr>
            <w:r w:rsidRPr="004761E0">
              <w:rPr>
                <w:b/>
                <w:sz w:val="20"/>
                <w:szCs w:val="20"/>
              </w:rPr>
              <w:t>Число потерянных рабочих часов по причине травматизма (LTIFR</w:t>
            </w:r>
            <w:r w:rsidRPr="006F4AB8">
              <w:rPr>
                <w:rStyle w:val="af1"/>
              </w:rPr>
              <w:footnoteReference w:id="129"/>
            </w:r>
            <w:r w:rsidRPr="004761E0">
              <w:rPr>
                <w:b/>
                <w:sz w:val="20"/>
                <w:szCs w:val="20"/>
              </w:rPr>
              <w:t>), о.е.</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color w:val="000000"/>
                <w:sz w:val="20"/>
                <w:szCs w:val="20"/>
              </w:rPr>
            </w:pPr>
            <w:r w:rsidRPr="004761E0">
              <w:rPr>
                <w:color w:val="000000"/>
                <w:sz w:val="20"/>
                <w:szCs w:val="20"/>
              </w:rPr>
              <w:t>-3 п.п.</w:t>
            </w:r>
          </w:p>
        </w:tc>
      </w:tr>
    </w:tbl>
    <w:p w:rsidR="00F2772C" w:rsidRPr="004761E0" w:rsidRDefault="00F2772C" w:rsidP="00F2772C">
      <w:pPr>
        <w:pStyle w:val="ac"/>
        <w:tabs>
          <w:tab w:val="left" w:pos="9356"/>
        </w:tabs>
        <w:ind w:firstLine="567"/>
        <w:rPr>
          <w:sz w:val="26"/>
          <w:szCs w:val="26"/>
        </w:rPr>
      </w:pPr>
      <w:r w:rsidRPr="004761E0">
        <w:rPr>
          <w:sz w:val="26"/>
          <w:szCs w:val="26"/>
        </w:rPr>
        <w:t>В 2013 году зарегистрировано 4 несчастных случая на производстве, из них 1 – по степени тяжести, отнесенный к категории тяжелых травм, 3 – к категории легких.</w:t>
      </w:r>
    </w:p>
    <w:p w:rsidR="00F2772C" w:rsidRPr="004761E0" w:rsidRDefault="00F2772C" w:rsidP="00F2772C">
      <w:pPr>
        <w:pStyle w:val="ac"/>
        <w:tabs>
          <w:tab w:val="left" w:pos="9356"/>
        </w:tabs>
        <w:ind w:firstLine="567"/>
        <w:rPr>
          <w:sz w:val="26"/>
          <w:szCs w:val="26"/>
        </w:rPr>
      </w:pPr>
      <w:r w:rsidRPr="004761E0">
        <w:rPr>
          <w:sz w:val="26"/>
          <w:szCs w:val="26"/>
        </w:rPr>
        <w:t xml:space="preserve">В целях предупреждения производственного травматизма на объектах Общества в 2013 году продолжалась реализация целевой Программы по снижению уровня производственного травматизма в </w:t>
      </w:r>
      <w:r w:rsidR="0008080E">
        <w:rPr>
          <w:sz w:val="26"/>
          <w:szCs w:val="26"/>
        </w:rPr>
        <w:t>ОАО </w:t>
      </w:r>
      <w:r w:rsidRPr="004761E0">
        <w:rPr>
          <w:sz w:val="26"/>
          <w:szCs w:val="26"/>
        </w:rPr>
        <w:t>«МОЭСК» на 2012-2013 гг.</w:t>
      </w:r>
      <w:r w:rsidRPr="006F4AB8">
        <w:rPr>
          <w:rStyle w:val="af1"/>
        </w:rPr>
        <w:footnoteReference w:id="130"/>
      </w:r>
      <w:r w:rsidRPr="004761E0">
        <w:rPr>
          <w:sz w:val="26"/>
          <w:szCs w:val="26"/>
        </w:rPr>
        <w:t xml:space="preserve"> и Программы мероприятий по снижению рисков производственного травматизма в </w:t>
      </w:r>
      <w:r w:rsidR="0008080E">
        <w:rPr>
          <w:sz w:val="26"/>
          <w:szCs w:val="26"/>
        </w:rPr>
        <w:t>ОАО </w:t>
      </w:r>
      <w:r w:rsidRPr="004761E0">
        <w:rPr>
          <w:sz w:val="26"/>
          <w:szCs w:val="26"/>
        </w:rPr>
        <w:t>«МОЭСК»</w:t>
      </w:r>
      <w:r w:rsidRPr="006F4AB8">
        <w:rPr>
          <w:rStyle w:val="af1"/>
        </w:rPr>
        <w:footnoteReference w:id="131"/>
      </w:r>
      <w:r w:rsidRPr="004761E0">
        <w:rPr>
          <w:sz w:val="26"/>
          <w:szCs w:val="26"/>
        </w:rPr>
        <w:t>.</w:t>
      </w:r>
    </w:p>
    <w:p w:rsidR="00F2772C" w:rsidRPr="004761E0" w:rsidRDefault="00F2772C" w:rsidP="00F2772C">
      <w:pPr>
        <w:rPr>
          <w:sz w:val="26"/>
          <w:szCs w:val="26"/>
        </w:rPr>
      </w:pPr>
      <w:r w:rsidRPr="004761E0">
        <w:rPr>
          <w:sz w:val="26"/>
          <w:szCs w:val="26"/>
        </w:rPr>
        <w:t>В период действия указанных целевых программ проведены следующие мероприятия:</w:t>
      </w:r>
    </w:p>
    <w:p w:rsidR="00F2772C" w:rsidRPr="004761E0" w:rsidRDefault="00F2772C" w:rsidP="007076A7">
      <w:pPr>
        <w:pStyle w:val="a5"/>
        <w:numPr>
          <w:ilvl w:val="1"/>
          <w:numId w:val="71"/>
        </w:numPr>
        <w:ind w:left="1134" w:hanging="567"/>
        <w:rPr>
          <w:sz w:val="26"/>
          <w:szCs w:val="26"/>
        </w:rPr>
      </w:pPr>
      <w:r w:rsidRPr="004761E0">
        <w:rPr>
          <w:sz w:val="26"/>
          <w:szCs w:val="26"/>
        </w:rPr>
        <w:t>разработан классификатор нарушений нормативных требований, обеспечивающих безопасную технологию производства работ, при выявлении которых назначается внеочередная проверка знаний и рассмотрение вопроса о соответствии занимаемой должности;</w:t>
      </w:r>
    </w:p>
    <w:p w:rsidR="00F2772C" w:rsidRPr="004761E0" w:rsidRDefault="00F2772C" w:rsidP="007076A7">
      <w:pPr>
        <w:pStyle w:val="a5"/>
        <w:numPr>
          <w:ilvl w:val="0"/>
          <w:numId w:val="71"/>
        </w:numPr>
        <w:ind w:left="1134" w:hanging="567"/>
        <w:rPr>
          <w:sz w:val="26"/>
          <w:szCs w:val="26"/>
        </w:rPr>
      </w:pPr>
      <w:r w:rsidRPr="004761E0">
        <w:rPr>
          <w:sz w:val="26"/>
          <w:szCs w:val="26"/>
        </w:rPr>
        <w:t>разработан и реализуется план мероприятий по работе с оперативным персоналом пенсионного и предпенсионного возраста до 2015 года.</w:t>
      </w:r>
    </w:p>
    <w:p w:rsidR="00F2772C" w:rsidRPr="004761E0" w:rsidRDefault="00F2772C" w:rsidP="007076A7">
      <w:pPr>
        <w:pStyle w:val="a5"/>
        <w:numPr>
          <w:ilvl w:val="0"/>
          <w:numId w:val="71"/>
        </w:numPr>
        <w:ind w:left="1134" w:hanging="567"/>
        <w:rPr>
          <w:sz w:val="26"/>
          <w:szCs w:val="26"/>
        </w:rPr>
      </w:pPr>
      <w:r w:rsidRPr="004761E0">
        <w:rPr>
          <w:sz w:val="26"/>
          <w:szCs w:val="26"/>
        </w:rPr>
        <w:t xml:space="preserve">реализован проект по записи целевых инструктажей на диктофон с хранением и последующим анализом информации при допуске к работам бригад. </w:t>
      </w:r>
    </w:p>
    <w:p w:rsidR="00F2772C" w:rsidRPr="004761E0" w:rsidRDefault="00F2772C" w:rsidP="007076A7">
      <w:pPr>
        <w:pStyle w:val="a5"/>
        <w:numPr>
          <w:ilvl w:val="0"/>
          <w:numId w:val="71"/>
        </w:numPr>
        <w:ind w:left="1134" w:hanging="567"/>
        <w:rPr>
          <w:sz w:val="26"/>
          <w:szCs w:val="26"/>
        </w:rPr>
      </w:pPr>
      <w:r w:rsidRPr="004761E0">
        <w:rPr>
          <w:sz w:val="26"/>
          <w:szCs w:val="26"/>
        </w:rPr>
        <w:t xml:space="preserve">проведены Третьи комплексные соревнования персонала высоковольтных сетей </w:t>
      </w:r>
      <w:r w:rsidR="0008080E">
        <w:rPr>
          <w:sz w:val="26"/>
          <w:szCs w:val="26"/>
        </w:rPr>
        <w:t>ОАО </w:t>
      </w:r>
      <w:r w:rsidRPr="004761E0">
        <w:rPr>
          <w:sz w:val="26"/>
          <w:szCs w:val="26"/>
        </w:rPr>
        <w:t>«МОЭСК».</w:t>
      </w:r>
    </w:p>
    <w:p w:rsidR="00F2772C" w:rsidRPr="004761E0" w:rsidRDefault="00F2772C" w:rsidP="00F2772C">
      <w:pPr>
        <w:pStyle w:val="ac"/>
        <w:tabs>
          <w:tab w:val="left" w:pos="9356"/>
        </w:tabs>
        <w:ind w:firstLine="567"/>
        <w:rPr>
          <w:sz w:val="26"/>
          <w:szCs w:val="26"/>
        </w:rPr>
      </w:pPr>
      <w:r w:rsidRPr="004761E0">
        <w:rPr>
          <w:sz w:val="26"/>
          <w:szCs w:val="26"/>
        </w:rPr>
        <w:t>Кроме того, в отчетном году с целью снижения травматизма реализованы следующие мероприятия:</w:t>
      </w:r>
    </w:p>
    <w:p w:rsidR="00F2772C" w:rsidRPr="004761E0" w:rsidRDefault="00F2772C" w:rsidP="007076A7">
      <w:pPr>
        <w:pStyle w:val="ac"/>
        <w:widowControl w:val="0"/>
        <w:numPr>
          <w:ilvl w:val="0"/>
          <w:numId w:val="19"/>
        </w:numPr>
        <w:tabs>
          <w:tab w:val="left" w:pos="9356"/>
        </w:tabs>
        <w:autoSpaceDE w:val="0"/>
        <w:autoSpaceDN w:val="0"/>
        <w:adjustRightInd w:val="0"/>
        <w:ind w:left="1134" w:hanging="567"/>
        <w:rPr>
          <w:bCs/>
          <w:color w:val="000000"/>
          <w:sz w:val="26"/>
          <w:szCs w:val="26"/>
        </w:rPr>
      </w:pPr>
      <w:r w:rsidRPr="004761E0">
        <w:rPr>
          <w:bCs/>
          <w:color w:val="000000"/>
          <w:sz w:val="26"/>
          <w:szCs w:val="26"/>
        </w:rPr>
        <w:t xml:space="preserve">Общество начало реализацию Смотр-конкурса – </w:t>
      </w:r>
      <w:r w:rsidRPr="004761E0">
        <w:rPr>
          <w:sz w:val="26"/>
          <w:szCs w:val="26"/>
        </w:rPr>
        <w:t xml:space="preserve">привлечение работников филиалов </w:t>
      </w:r>
      <w:r w:rsidR="0008080E">
        <w:rPr>
          <w:sz w:val="26"/>
          <w:szCs w:val="26"/>
        </w:rPr>
        <w:t>ОАО </w:t>
      </w:r>
      <w:r w:rsidRPr="004761E0">
        <w:rPr>
          <w:sz w:val="26"/>
          <w:szCs w:val="26"/>
        </w:rPr>
        <w:t>«МОЭСК» к активному участию в осуществлении мероприятий по профилактике несчастных случаев на производстве и созданию условий для безоп</w:t>
      </w:r>
      <w:r w:rsidRPr="004761E0">
        <w:rPr>
          <w:bCs/>
          <w:color w:val="000000"/>
          <w:sz w:val="26"/>
          <w:szCs w:val="26"/>
        </w:rPr>
        <w:t xml:space="preserve">асного и высокопроизводительного труда; </w:t>
      </w:r>
    </w:p>
    <w:p w:rsidR="00F2772C" w:rsidRPr="004761E0" w:rsidRDefault="00F2772C" w:rsidP="007076A7">
      <w:pPr>
        <w:pStyle w:val="a5"/>
        <w:widowControl w:val="0"/>
        <w:numPr>
          <w:ilvl w:val="0"/>
          <w:numId w:val="19"/>
        </w:numPr>
        <w:autoSpaceDE w:val="0"/>
        <w:autoSpaceDN w:val="0"/>
        <w:adjustRightInd w:val="0"/>
        <w:ind w:left="1134" w:hanging="567"/>
        <w:rPr>
          <w:bCs/>
          <w:color w:val="000000"/>
          <w:sz w:val="26"/>
          <w:szCs w:val="26"/>
        </w:rPr>
      </w:pPr>
      <w:r w:rsidRPr="004761E0">
        <w:rPr>
          <w:sz w:val="26"/>
          <w:szCs w:val="26"/>
        </w:rPr>
        <w:lastRenderedPageBreak/>
        <w:t>создан</w:t>
      </w:r>
      <w:r w:rsidRPr="004761E0">
        <w:rPr>
          <w:bCs/>
          <w:color w:val="000000"/>
          <w:sz w:val="26"/>
          <w:szCs w:val="26"/>
        </w:rPr>
        <w:t xml:space="preserve"> штаб по профилактике травматизма;</w:t>
      </w:r>
    </w:p>
    <w:p w:rsidR="00F2772C" w:rsidRPr="004761E0" w:rsidRDefault="00F2772C" w:rsidP="007076A7">
      <w:pPr>
        <w:pStyle w:val="a5"/>
        <w:widowControl w:val="0"/>
        <w:numPr>
          <w:ilvl w:val="0"/>
          <w:numId w:val="19"/>
        </w:numPr>
        <w:autoSpaceDE w:val="0"/>
        <w:autoSpaceDN w:val="0"/>
        <w:adjustRightInd w:val="0"/>
        <w:ind w:left="1134" w:hanging="567"/>
        <w:rPr>
          <w:color w:val="000000"/>
          <w:sz w:val="26"/>
          <w:szCs w:val="26"/>
        </w:rPr>
      </w:pPr>
      <w:r w:rsidRPr="004761E0">
        <w:rPr>
          <w:bCs/>
          <w:color w:val="000000"/>
          <w:sz w:val="26"/>
          <w:szCs w:val="26"/>
        </w:rPr>
        <w:t>разработана спецификация в целях обеспечения единых требовани</w:t>
      </w:r>
      <w:r w:rsidRPr="004761E0">
        <w:rPr>
          <w:color w:val="000000"/>
          <w:sz w:val="26"/>
          <w:szCs w:val="26"/>
        </w:rPr>
        <w:t>й к приобретаемым для работников Общества средств защиты.</w:t>
      </w:r>
    </w:p>
    <w:p w:rsidR="00F2772C" w:rsidRPr="004761E0" w:rsidRDefault="00F2772C" w:rsidP="00F2772C">
      <w:pPr>
        <w:pStyle w:val="ac"/>
        <w:tabs>
          <w:tab w:val="left" w:pos="9356"/>
        </w:tabs>
        <w:ind w:firstLine="567"/>
        <w:rPr>
          <w:sz w:val="26"/>
          <w:szCs w:val="26"/>
        </w:rPr>
      </w:pPr>
      <w:r w:rsidRPr="004761E0">
        <w:rPr>
          <w:sz w:val="26"/>
          <w:szCs w:val="26"/>
        </w:rPr>
        <w:t>В результате проведенных мероприятий коэффициент частоты общего травматизма в 2013 году в сравнении с 2012 годом снизился на 33 %.</w:t>
      </w:r>
    </w:p>
    <w:p w:rsidR="00F2772C" w:rsidRPr="004761E0" w:rsidRDefault="00F2772C" w:rsidP="00585397">
      <w:pPr>
        <w:spacing w:before="120" w:after="120"/>
        <w:ind w:firstLine="567"/>
        <w:rPr>
          <w:b/>
          <w:sz w:val="26"/>
          <w:szCs w:val="26"/>
          <w:lang w:eastAsia="ru-RU"/>
        </w:rPr>
      </w:pPr>
      <w:r w:rsidRPr="004761E0">
        <w:rPr>
          <w:b/>
          <w:sz w:val="26"/>
          <w:szCs w:val="26"/>
          <w:lang w:eastAsia="ru-RU"/>
        </w:rPr>
        <w:t xml:space="preserve">Травматизм сторонних лиц </w:t>
      </w:r>
    </w:p>
    <w:p w:rsidR="00F2772C" w:rsidRPr="004761E0" w:rsidRDefault="00F2772C" w:rsidP="00F2772C">
      <w:pPr>
        <w:pStyle w:val="ac"/>
        <w:tabs>
          <w:tab w:val="left" w:pos="9356"/>
        </w:tabs>
        <w:spacing w:before="120"/>
        <w:ind w:firstLine="567"/>
        <w:rPr>
          <w:sz w:val="26"/>
          <w:szCs w:val="26"/>
        </w:rPr>
      </w:pPr>
      <w:r w:rsidRPr="004761E0">
        <w:rPr>
          <w:sz w:val="26"/>
          <w:szCs w:val="26"/>
        </w:rPr>
        <w:t>В 2013 году на объектах Общества пострадало 8 человек (в 2012 году – 10 человек). Основная причина травматизма сторонних лиц (лиц, не являющиеся работниками Общества) – несогласованные работы грузоподъемных машин и механизмов в охранной зоне воздушных линий.</w:t>
      </w:r>
    </w:p>
    <w:p w:rsidR="00F2772C" w:rsidRPr="004761E0" w:rsidRDefault="0008080E" w:rsidP="00F2772C">
      <w:pPr>
        <w:pStyle w:val="ac"/>
        <w:tabs>
          <w:tab w:val="left" w:pos="9356"/>
        </w:tabs>
        <w:ind w:firstLine="567"/>
        <w:rPr>
          <w:sz w:val="26"/>
          <w:szCs w:val="26"/>
        </w:rPr>
      </w:pPr>
      <w:r>
        <w:rPr>
          <w:sz w:val="26"/>
          <w:szCs w:val="26"/>
        </w:rPr>
        <w:t>ОАО </w:t>
      </w:r>
      <w:r w:rsidR="00F2772C" w:rsidRPr="004761E0">
        <w:rPr>
          <w:sz w:val="26"/>
          <w:szCs w:val="26"/>
        </w:rPr>
        <w:t xml:space="preserve">«МОЭСК» уделяет большое внимание профилактике электротравматизма сторонних лиц на энергообъектах Компании. В </w:t>
      </w:r>
      <w:r>
        <w:rPr>
          <w:sz w:val="26"/>
          <w:szCs w:val="26"/>
        </w:rPr>
        <w:t>ОАО </w:t>
      </w:r>
      <w:r w:rsidR="00F2772C" w:rsidRPr="004761E0">
        <w:rPr>
          <w:sz w:val="26"/>
          <w:szCs w:val="26"/>
        </w:rPr>
        <w:t xml:space="preserve">«МОЭСК» разработана и введена в действие Программа мероприятий по снижению рисков травматизма сторонних лиц в зоне ответственности </w:t>
      </w:r>
      <w:r>
        <w:rPr>
          <w:sz w:val="26"/>
          <w:szCs w:val="26"/>
        </w:rPr>
        <w:t>ОАО </w:t>
      </w:r>
      <w:r w:rsidR="00F2772C" w:rsidRPr="004761E0">
        <w:rPr>
          <w:sz w:val="26"/>
          <w:szCs w:val="26"/>
        </w:rPr>
        <w:t>«МОЭСК» на 2013-2015 гг.</w:t>
      </w:r>
      <w:r w:rsidR="00F2772C" w:rsidRPr="006F4AB8">
        <w:rPr>
          <w:rStyle w:val="af1"/>
        </w:rPr>
        <w:footnoteReference w:id="132"/>
      </w:r>
      <w:r w:rsidR="00F2772C" w:rsidRPr="004761E0">
        <w:rPr>
          <w:sz w:val="26"/>
          <w:szCs w:val="26"/>
        </w:rPr>
        <w:t xml:space="preserve"> Согласно Программе в 2013 году проведен следующий комплекс технических, организационных и </w:t>
      </w:r>
      <w:r w:rsidR="00F2772C" w:rsidRPr="004761E0">
        <w:rPr>
          <w:sz w:val="26"/>
          <w:szCs w:val="26"/>
          <w:lang w:val="en-US"/>
        </w:rPr>
        <w:t>PR</w:t>
      </w:r>
      <w:r w:rsidR="00F2772C" w:rsidRPr="004761E0">
        <w:rPr>
          <w:sz w:val="26"/>
          <w:szCs w:val="26"/>
        </w:rPr>
        <w:t>-мероприятий.</w:t>
      </w:r>
    </w:p>
    <w:tbl>
      <w:tblPr>
        <w:tblStyle w:val="ae"/>
        <w:tblW w:w="9464" w:type="dxa"/>
        <w:tblLook w:val="04A0"/>
      </w:tblPr>
      <w:tblGrid>
        <w:gridCol w:w="534"/>
        <w:gridCol w:w="2126"/>
        <w:gridCol w:w="6804"/>
      </w:tblGrid>
      <w:tr w:rsidR="00F2772C" w:rsidRPr="004761E0" w:rsidTr="00F2772C">
        <w:tc>
          <w:tcPr>
            <w:tcW w:w="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F2772C" w:rsidRPr="004761E0" w:rsidRDefault="00F2772C" w:rsidP="00F2772C">
            <w:pPr>
              <w:ind w:firstLine="0"/>
              <w:jc w:val="left"/>
              <w:rPr>
                <w:b/>
                <w:bCs/>
                <w:color w:val="FFFFFF" w:themeColor="background1"/>
                <w:sz w:val="20"/>
                <w:szCs w:val="26"/>
              </w:rPr>
            </w:pPr>
            <w:r w:rsidRPr="004761E0">
              <w:rPr>
                <w:b/>
                <w:bCs/>
                <w:color w:val="FFFFFF" w:themeColor="background1"/>
                <w:sz w:val="20"/>
                <w:szCs w:val="26"/>
              </w:rPr>
              <w:t>№ п/п</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F2772C" w:rsidRPr="004761E0" w:rsidRDefault="00F2772C" w:rsidP="00F2772C">
            <w:pPr>
              <w:ind w:firstLine="0"/>
              <w:jc w:val="left"/>
              <w:rPr>
                <w:b/>
                <w:bCs/>
                <w:color w:val="FFFFFF" w:themeColor="background1"/>
                <w:sz w:val="20"/>
                <w:szCs w:val="26"/>
              </w:rPr>
            </w:pPr>
            <w:r w:rsidRPr="004761E0">
              <w:rPr>
                <w:b/>
                <w:bCs/>
                <w:color w:val="FFFFFF" w:themeColor="background1"/>
                <w:sz w:val="20"/>
                <w:szCs w:val="26"/>
              </w:rPr>
              <w:t xml:space="preserve">Цель </w:t>
            </w:r>
          </w:p>
        </w:tc>
        <w:tc>
          <w:tcPr>
            <w:tcW w:w="6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F2772C" w:rsidRPr="004761E0" w:rsidRDefault="00F2772C" w:rsidP="00F2772C">
            <w:pPr>
              <w:ind w:firstLine="0"/>
              <w:jc w:val="left"/>
              <w:rPr>
                <w:b/>
                <w:bCs/>
                <w:color w:val="FFFFFF" w:themeColor="background1"/>
                <w:sz w:val="20"/>
                <w:szCs w:val="26"/>
              </w:rPr>
            </w:pPr>
            <w:r w:rsidRPr="004761E0">
              <w:rPr>
                <w:b/>
                <w:bCs/>
                <w:color w:val="FFFFFF" w:themeColor="background1"/>
                <w:sz w:val="20"/>
                <w:szCs w:val="26"/>
              </w:rPr>
              <w:t>Мероприятия</w:t>
            </w:r>
          </w:p>
        </w:tc>
      </w:tr>
      <w:tr w:rsidR="00F2772C" w:rsidRPr="004761E0" w:rsidTr="00F2772C">
        <w:tc>
          <w:tcPr>
            <w:tcW w:w="534" w:type="dxa"/>
            <w:tcBorders>
              <w:top w:val="single" w:sz="4" w:space="0" w:color="FFFFFF" w:themeColor="background1"/>
            </w:tcBorders>
          </w:tcPr>
          <w:p w:rsidR="00F2772C" w:rsidRPr="004761E0" w:rsidRDefault="00F2772C" w:rsidP="007076A7">
            <w:pPr>
              <w:pStyle w:val="a5"/>
              <w:numPr>
                <w:ilvl w:val="0"/>
                <w:numId w:val="127"/>
              </w:numPr>
              <w:tabs>
                <w:tab w:val="left" w:pos="240"/>
              </w:tabs>
              <w:ind w:left="0" w:firstLine="0"/>
              <w:rPr>
                <w:b/>
                <w:bCs/>
                <w:sz w:val="20"/>
                <w:szCs w:val="26"/>
              </w:rPr>
            </w:pPr>
          </w:p>
        </w:tc>
        <w:tc>
          <w:tcPr>
            <w:tcW w:w="2126" w:type="dxa"/>
            <w:tcBorders>
              <w:top w:val="single" w:sz="4" w:space="0" w:color="FFFFFF" w:themeColor="background1"/>
            </w:tcBorders>
          </w:tcPr>
          <w:p w:rsidR="00F2772C" w:rsidRPr="004761E0" w:rsidRDefault="00F2772C" w:rsidP="00F2772C">
            <w:pPr>
              <w:ind w:firstLine="0"/>
              <w:jc w:val="left"/>
              <w:rPr>
                <w:b/>
                <w:bCs/>
                <w:sz w:val="20"/>
                <w:szCs w:val="26"/>
              </w:rPr>
            </w:pPr>
            <w:r w:rsidRPr="004761E0">
              <w:rPr>
                <w:b/>
                <w:bCs/>
                <w:sz w:val="20"/>
                <w:szCs w:val="26"/>
              </w:rPr>
              <w:t>Предупреждение детского электротравматизма</w:t>
            </w:r>
          </w:p>
        </w:tc>
        <w:tc>
          <w:tcPr>
            <w:tcW w:w="6804" w:type="dxa"/>
            <w:tcBorders>
              <w:top w:val="single" w:sz="4" w:space="0" w:color="FFFFFF" w:themeColor="background1"/>
            </w:tcBorders>
          </w:tcPr>
          <w:p w:rsidR="00F2772C" w:rsidRPr="004761E0" w:rsidRDefault="00F2772C" w:rsidP="007076A7">
            <w:pPr>
              <w:numPr>
                <w:ilvl w:val="0"/>
                <w:numId w:val="126"/>
              </w:numPr>
              <w:ind w:left="318" w:hanging="284"/>
              <w:jc w:val="left"/>
              <w:rPr>
                <w:sz w:val="20"/>
                <w:szCs w:val="26"/>
              </w:rPr>
            </w:pPr>
            <w:r w:rsidRPr="004761E0">
              <w:rPr>
                <w:sz w:val="20"/>
                <w:szCs w:val="26"/>
              </w:rPr>
              <w:t>проведены 120 обучающих семинаров, на которых присутствовало более 4,5 тысяч детей и педагогов Московского региона;</w:t>
            </w:r>
          </w:p>
          <w:p w:rsidR="00F2772C" w:rsidRPr="004761E0" w:rsidRDefault="00F2772C" w:rsidP="007076A7">
            <w:pPr>
              <w:numPr>
                <w:ilvl w:val="0"/>
                <w:numId w:val="126"/>
              </w:numPr>
              <w:ind w:left="318" w:hanging="284"/>
              <w:jc w:val="left"/>
              <w:rPr>
                <w:sz w:val="20"/>
                <w:szCs w:val="26"/>
              </w:rPr>
            </w:pPr>
            <w:r w:rsidRPr="004761E0">
              <w:rPr>
                <w:sz w:val="20"/>
                <w:szCs w:val="26"/>
              </w:rPr>
              <w:t xml:space="preserve">более 6 тыс. учеников детских образовательных учреждений получили наглядные агитационные материалы; </w:t>
            </w:r>
          </w:p>
          <w:p w:rsidR="00F2772C" w:rsidRPr="004761E0" w:rsidRDefault="00F2772C" w:rsidP="007076A7">
            <w:pPr>
              <w:numPr>
                <w:ilvl w:val="0"/>
                <w:numId w:val="126"/>
              </w:numPr>
              <w:ind w:left="318" w:hanging="284"/>
              <w:jc w:val="left"/>
              <w:rPr>
                <w:sz w:val="20"/>
                <w:szCs w:val="26"/>
              </w:rPr>
            </w:pPr>
            <w:r w:rsidRPr="004761E0">
              <w:rPr>
                <w:sz w:val="20"/>
                <w:szCs w:val="26"/>
              </w:rPr>
              <w:t>для учащихся старших классов и студентов организованы 153 экскурсии с посещением энергообъектов Общества;</w:t>
            </w:r>
          </w:p>
          <w:p w:rsidR="00F2772C" w:rsidRPr="004761E0" w:rsidRDefault="00F2772C" w:rsidP="007076A7">
            <w:pPr>
              <w:numPr>
                <w:ilvl w:val="0"/>
                <w:numId w:val="126"/>
              </w:numPr>
              <w:ind w:left="318" w:hanging="284"/>
              <w:jc w:val="left"/>
              <w:rPr>
                <w:sz w:val="20"/>
                <w:szCs w:val="26"/>
              </w:rPr>
            </w:pPr>
            <w:r w:rsidRPr="004761E0">
              <w:rPr>
                <w:sz w:val="20"/>
                <w:szCs w:val="26"/>
              </w:rPr>
              <w:t xml:space="preserve">разработан раздел «Доброе электричество – детям» на корпоративном сайте Общества; </w:t>
            </w:r>
          </w:p>
          <w:p w:rsidR="00F2772C" w:rsidRPr="004761E0" w:rsidRDefault="00F2772C" w:rsidP="007076A7">
            <w:pPr>
              <w:numPr>
                <w:ilvl w:val="0"/>
                <w:numId w:val="126"/>
              </w:numPr>
              <w:ind w:left="318" w:hanging="284"/>
              <w:jc w:val="left"/>
              <w:rPr>
                <w:b/>
                <w:bCs/>
                <w:sz w:val="20"/>
                <w:szCs w:val="26"/>
              </w:rPr>
            </w:pPr>
            <w:r w:rsidRPr="004761E0">
              <w:rPr>
                <w:sz w:val="20"/>
                <w:szCs w:val="26"/>
              </w:rPr>
              <w:t>сотрудники Общества приняли участие в выставках «Лучшее – детям» и «Охрана труда в г. Москве».</w:t>
            </w:r>
          </w:p>
        </w:tc>
      </w:tr>
      <w:tr w:rsidR="00F2772C" w:rsidRPr="004761E0" w:rsidTr="00F2772C">
        <w:tc>
          <w:tcPr>
            <w:tcW w:w="534" w:type="dxa"/>
          </w:tcPr>
          <w:p w:rsidR="00F2772C" w:rsidRPr="004761E0" w:rsidRDefault="00F2772C" w:rsidP="007076A7">
            <w:pPr>
              <w:pStyle w:val="a5"/>
              <w:numPr>
                <w:ilvl w:val="0"/>
                <w:numId w:val="127"/>
              </w:numPr>
              <w:tabs>
                <w:tab w:val="left" w:pos="240"/>
              </w:tabs>
              <w:ind w:left="0" w:firstLine="0"/>
              <w:rPr>
                <w:b/>
                <w:bCs/>
                <w:sz w:val="20"/>
                <w:szCs w:val="26"/>
              </w:rPr>
            </w:pPr>
          </w:p>
        </w:tc>
        <w:tc>
          <w:tcPr>
            <w:tcW w:w="2126" w:type="dxa"/>
          </w:tcPr>
          <w:p w:rsidR="00F2772C" w:rsidRPr="004761E0" w:rsidRDefault="00F2772C" w:rsidP="00F2772C">
            <w:pPr>
              <w:ind w:firstLine="0"/>
              <w:jc w:val="left"/>
              <w:rPr>
                <w:b/>
                <w:bCs/>
                <w:sz w:val="20"/>
                <w:szCs w:val="26"/>
              </w:rPr>
            </w:pPr>
            <w:r w:rsidRPr="004761E0">
              <w:rPr>
                <w:b/>
                <w:bCs/>
                <w:sz w:val="20"/>
                <w:szCs w:val="26"/>
              </w:rPr>
              <w:t>Предупреждение травматизма сторонних лиц</w:t>
            </w:r>
          </w:p>
        </w:tc>
        <w:tc>
          <w:tcPr>
            <w:tcW w:w="6804" w:type="dxa"/>
          </w:tcPr>
          <w:p w:rsidR="00F2772C" w:rsidRPr="004761E0" w:rsidRDefault="00F2772C" w:rsidP="007076A7">
            <w:pPr>
              <w:numPr>
                <w:ilvl w:val="0"/>
                <w:numId w:val="126"/>
              </w:numPr>
              <w:ind w:left="318" w:hanging="284"/>
              <w:jc w:val="left"/>
              <w:rPr>
                <w:sz w:val="20"/>
                <w:szCs w:val="26"/>
              </w:rPr>
            </w:pPr>
            <w:r w:rsidRPr="004761E0">
              <w:rPr>
                <w:sz w:val="20"/>
                <w:szCs w:val="26"/>
              </w:rPr>
              <w:t>проводилось информирование населения через СМИ об опасности нахождения в зоне расположения и контакта с энергетическими объектами, о недопустимости и возможных последствиях актов вандализма;</w:t>
            </w:r>
          </w:p>
          <w:p w:rsidR="00F2772C" w:rsidRPr="004761E0" w:rsidRDefault="00F2772C" w:rsidP="007076A7">
            <w:pPr>
              <w:numPr>
                <w:ilvl w:val="0"/>
                <w:numId w:val="126"/>
              </w:numPr>
              <w:ind w:left="318" w:hanging="284"/>
              <w:jc w:val="left"/>
              <w:rPr>
                <w:sz w:val="20"/>
                <w:szCs w:val="26"/>
              </w:rPr>
            </w:pPr>
            <w:r w:rsidRPr="004761E0">
              <w:rPr>
                <w:sz w:val="20"/>
                <w:szCs w:val="26"/>
              </w:rPr>
              <w:t xml:space="preserve">проведены плановые и внеплановые обходы и осмотры ВЛ 0,4-10 кВ и трансформаторных подстанций 6-10/0,4 кВ, осуществлена проверка заземляющих устройств, электроустановок </w:t>
            </w:r>
            <w:r w:rsidR="0008080E">
              <w:rPr>
                <w:sz w:val="20"/>
                <w:szCs w:val="26"/>
              </w:rPr>
              <w:t>ОАО </w:t>
            </w:r>
            <w:r w:rsidRPr="004761E0">
              <w:rPr>
                <w:sz w:val="20"/>
                <w:szCs w:val="26"/>
              </w:rPr>
              <w:t>«МОЭСК»;</w:t>
            </w:r>
          </w:p>
          <w:p w:rsidR="00F2772C" w:rsidRPr="004761E0" w:rsidRDefault="00F2772C" w:rsidP="007076A7">
            <w:pPr>
              <w:numPr>
                <w:ilvl w:val="0"/>
                <w:numId w:val="126"/>
              </w:numPr>
              <w:ind w:left="318" w:hanging="284"/>
              <w:jc w:val="left"/>
              <w:rPr>
                <w:sz w:val="20"/>
                <w:szCs w:val="26"/>
              </w:rPr>
            </w:pPr>
            <w:r w:rsidRPr="004761E0">
              <w:rPr>
                <w:sz w:val="20"/>
                <w:szCs w:val="26"/>
              </w:rPr>
              <w:t>совместно с Государственной инспекцией по маломерным судам МЧС России обеспечено размещение листовок, плакатов об опасности поражения электрическим током в яхт-клубах, на лодочных станциях, при ловле рыбы в водоемах, расположенных в местах пересечения ЛЭП или поблизости от них.</w:t>
            </w:r>
          </w:p>
        </w:tc>
      </w:tr>
      <w:tr w:rsidR="00F2772C" w:rsidRPr="004761E0" w:rsidTr="00F2772C">
        <w:tc>
          <w:tcPr>
            <w:tcW w:w="534" w:type="dxa"/>
          </w:tcPr>
          <w:p w:rsidR="00F2772C" w:rsidRPr="004761E0" w:rsidRDefault="00F2772C" w:rsidP="007076A7">
            <w:pPr>
              <w:pStyle w:val="a5"/>
              <w:numPr>
                <w:ilvl w:val="0"/>
                <w:numId w:val="127"/>
              </w:numPr>
              <w:tabs>
                <w:tab w:val="left" w:pos="240"/>
              </w:tabs>
              <w:ind w:left="0" w:firstLine="0"/>
              <w:rPr>
                <w:b/>
                <w:bCs/>
                <w:sz w:val="20"/>
                <w:szCs w:val="26"/>
              </w:rPr>
            </w:pPr>
          </w:p>
        </w:tc>
        <w:tc>
          <w:tcPr>
            <w:tcW w:w="2126" w:type="dxa"/>
          </w:tcPr>
          <w:p w:rsidR="00F2772C" w:rsidRPr="004761E0" w:rsidRDefault="00F2772C" w:rsidP="00F2772C">
            <w:pPr>
              <w:ind w:firstLine="0"/>
              <w:jc w:val="left"/>
              <w:rPr>
                <w:b/>
                <w:bCs/>
                <w:sz w:val="20"/>
                <w:szCs w:val="26"/>
              </w:rPr>
            </w:pPr>
            <w:r w:rsidRPr="004761E0">
              <w:rPr>
                <w:b/>
                <w:bCs/>
                <w:sz w:val="20"/>
                <w:szCs w:val="26"/>
              </w:rPr>
              <w:t>Исключение доступа сторонних лиц на энергообъекты</w:t>
            </w:r>
          </w:p>
        </w:tc>
        <w:tc>
          <w:tcPr>
            <w:tcW w:w="6804" w:type="dxa"/>
          </w:tcPr>
          <w:p w:rsidR="00F2772C" w:rsidRPr="004761E0" w:rsidRDefault="00F2772C" w:rsidP="007076A7">
            <w:pPr>
              <w:numPr>
                <w:ilvl w:val="0"/>
                <w:numId w:val="126"/>
              </w:numPr>
              <w:ind w:left="318" w:hanging="284"/>
              <w:jc w:val="left"/>
              <w:rPr>
                <w:sz w:val="20"/>
                <w:szCs w:val="26"/>
              </w:rPr>
            </w:pPr>
            <w:r w:rsidRPr="004761E0">
              <w:rPr>
                <w:sz w:val="20"/>
                <w:szCs w:val="26"/>
              </w:rPr>
              <w:t>проведена реконструкция периметральных ограждений объектов филиалов в соответствии с утвержденными планами;</w:t>
            </w:r>
          </w:p>
          <w:p w:rsidR="00F2772C" w:rsidRPr="004761E0" w:rsidRDefault="00F2772C" w:rsidP="007076A7">
            <w:pPr>
              <w:numPr>
                <w:ilvl w:val="0"/>
                <w:numId w:val="126"/>
              </w:numPr>
              <w:ind w:left="318" w:hanging="284"/>
              <w:jc w:val="left"/>
              <w:rPr>
                <w:sz w:val="20"/>
                <w:szCs w:val="26"/>
              </w:rPr>
            </w:pPr>
            <w:r w:rsidRPr="004761E0">
              <w:rPr>
                <w:sz w:val="20"/>
                <w:szCs w:val="26"/>
              </w:rPr>
              <w:t>оборудованы системами видеонаблюдения и тревожной сигнализации объекты филиалов Общества.</w:t>
            </w:r>
          </w:p>
        </w:tc>
      </w:tr>
      <w:tr w:rsidR="00F2772C" w:rsidRPr="004761E0" w:rsidTr="00F2772C">
        <w:tc>
          <w:tcPr>
            <w:tcW w:w="534" w:type="dxa"/>
          </w:tcPr>
          <w:p w:rsidR="00F2772C" w:rsidRPr="004761E0" w:rsidRDefault="00F2772C" w:rsidP="007076A7">
            <w:pPr>
              <w:pStyle w:val="a5"/>
              <w:numPr>
                <w:ilvl w:val="0"/>
                <w:numId w:val="127"/>
              </w:numPr>
              <w:tabs>
                <w:tab w:val="left" w:pos="240"/>
              </w:tabs>
              <w:ind w:left="0" w:firstLine="0"/>
              <w:rPr>
                <w:b/>
                <w:bCs/>
                <w:sz w:val="20"/>
                <w:szCs w:val="26"/>
              </w:rPr>
            </w:pPr>
          </w:p>
        </w:tc>
        <w:tc>
          <w:tcPr>
            <w:tcW w:w="2126" w:type="dxa"/>
          </w:tcPr>
          <w:p w:rsidR="00F2772C" w:rsidRPr="004761E0" w:rsidRDefault="00F2772C" w:rsidP="00F2772C">
            <w:pPr>
              <w:ind w:firstLine="0"/>
              <w:jc w:val="left"/>
              <w:rPr>
                <w:b/>
                <w:bCs/>
                <w:sz w:val="20"/>
                <w:szCs w:val="26"/>
              </w:rPr>
            </w:pPr>
            <w:r w:rsidRPr="004761E0">
              <w:rPr>
                <w:b/>
                <w:bCs/>
                <w:sz w:val="20"/>
                <w:szCs w:val="26"/>
              </w:rPr>
              <w:t>Предупреждение травматизма работников подрядных организаций</w:t>
            </w:r>
          </w:p>
        </w:tc>
        <w:tc>
          <w:tcPr>
            <w:tcW w:w="6804" w:type="dxa"/>
          </w:tcPr>
          <w:p w:rsidR="00F2772C" w:rsidRPr="004761E0" w:rsidRDefault="00F2772C" w:rsidP="007076A7">
            <w:pPr>
              <w:numPr>
                <w:ilvl w:val="0"/>
                <w:numId w:val="126"/>
              </w:numPr>
              <w:ind w:left="318" w:hanging="284"/>
              <w:jc w:val="left"/>
              <w:rPr>
                <w:sz w:val="20"/>
                <w:szCs w:val="26"/>
              </w:rPr>
            </w:pPr>
            <w:r w:rsidRPr="004761E0">
              <w:rPr>
                <w:sz w:val="20"/>
                <w:szCs w:val="26"/>
              </w:rPr>
              <w:t xml:space="preserve">обеспечено выполнение требований «Регламента допуска подрядных и субподрядных организаций для работ на ЛЭП, подстанциях и проведения общестроительных и ремонтных работ на объектах </w:t>
            </w:r>
            <w:r w:rsidR="0008080E">
              <w:rPr>
                <w:sz w:val="20"/>
                <w:szCs w:val="26"/>
              </w:rPr>
              <w:t>ОАО </w:t>
            </w:r>
            <w:r w:rsidRPr="004761E0">
              <w:rPr>
                <w:sz w:val="20"/>
                <w:szCs w:val="26"/>
              </w:rPr>
              <w:t xml:space="preserve">«МОЭСК» и допуска командированного персонала для работ в действующих, строящихся, технически перевооружаемых, реконструируемых электроустановках </w:t>
            </w:r>
            <w:r w:rsidR="0008080E">
              <w:rPr>
                <w:sz w:val="20"/>
                <w:szCs w:val="26"/>
              </w:rPr>
              <w:t>ОАО </w:t>
            </w:r>
            <w:r w:rsidRPr="004761E0">
              <w:rPr>
                <w:sz w:val="20"/>
                <w:szCs w:val="26"/>
              </w:rPr>
              <w:t xml:space="preserve">«МОЭСК», утвержденного 30.12.2010 и приказа </w:t>
            </w:r>
            <w:r w:rsidR="0008080E">
              <w:rPr>
                <w:sz w:val="20"/>
                <w:szCs w:val="26"/>
              </w:rPr>
              <w:t>ОАО </w:t>
            </w:r>
            <w:r w:rsidRPr="004761E0">
              <w:rPr>
                <w:sz w:val="20"/>
                <w:szCs w:val="26"/>
              </w:rPr>
              <w:t>«МОЭСК» от 04.02.2013 № 71 «О внесении изменений в типовые формы договоров подряда»;</w:t>
            </w:r>
          </w:p>
          <w:p w:rsidR="00F2772C" w:rsidRPr="004761E0" w:rsidRDefault="00F2772C" w:rsidP="007076A7">
            <w:pPr>
              <w:numPr>
                <w:ilvl w:val="0"/>
                <w:numId w:val="126"/>
              </w:numPr>
              <w:ind w:left="318" w:hanging="284"/>
              <w:jc w:val="left"/>
              <w:rPr>
                <w:sz w:val="20"/>
                <w:szCs w:val="26"/>
              </w:rPr>
            </w:pPr>
            <w:r w:rsidRPr="004761E0">
              <w:rPr>
                <w:sz w:val="20"/>
                <w:szCs w:val="26"/>
              </w:rPr>
              <w:t xml:space="preserve">в программу вводного инструктажа для работников подрядных </w:t>
            </w:r>
            <w:r w:rsidRPr="004761E0">
              <w:rPr>
                <w:sz w:val="20"/>
                <w:szCs w:val="26"/>
              </w:rPr>
              <w:lastRenderedPageBreak/>
              <w:t xml:space="preserve">организаций включены фотоматериалы по травматизму в </w:t>
            </w:r>
            <w:r w:rsidR="0008080E">
              <w:rPr>
                <w:sz w:val="20"/>
                <w:szCs w:val="26"/>
              </w:rPr>
              <w:t>ОАО </w:t>
            </w:r>
            <w:r w:rsidRPr="004761E0">
              <w:rPr>
                <w:sz w:val="20"/>
                <w:szCs w:val="26"/>
              </w:rPr>
              <w:t>«МОЭСК».</w:t>
            </w:r>
          </w:p>
        </w:tc>
      </w:tr>
    </w:tbl>
    <w:p w:rsidR="00F2772C" w:rsidRPr="004761E0" w:rsidRDefault="00F2772C" w:rsidP="00585397">
      <w:pPr>
        <w:spacing w:before="120" w:after="120"/>
        <w:ind w:firstLine="567"/>
        <w:rPr>
          <w:b/>
          <w:sz w:val="26"/>
          <w:szCs w:val="26"/>
          <w:lang w:eastAsia="ru-RU"/>
        </w:rPr>
      </w:pPr>
      <w:r w:rsidRPr="004761E0">
        <w:rPr>
          <w:b/>
          <w:sz w:val="26"/>
          <w:szCs w:val="26"/>
          <w:lang w:eastAsia="ru-RU"/>
        </w:rPr>
        <w:lastRenderedPageBreak/>
        <w:t>Система менеджмента охраны труда, профессионального здоровья и безопасности</w:t>
      </w:r>
    </w:p>
    <w:p w:rsidR="00F2772C" w:rsidRPr="004761E0" w:rsidRDefault="00F2772C" w:rsidP="00F2772C">
      <w:pPr>
        <w:pStyle w:val="ac"/>
        <w:tabs>
          <w:tab w:val="left" w:pos="9356"/>
        </w:tabs>
        <w:ind w:firstLine="567"/>
        <w:rPr>
          <w:sz w:val="26"/>
          <w:szCs w:val="26"/>
        </w:rPr>
      </w:pPr>
      <w:r w:rsidRPr="004761E0">
        <w:rPr>
          <w:sz w:val="26"/>
          <w:szCs w:val="26"/>
        </w:rPr>
        <w:t xml:space="preserve">В Обществе с ноября 2008 года внедрена и функционирует система менеджмента охраны труда, профессионального здоровья и безопасности (далее – ИСМ). В декабре 2013 года успешно проведен второй надзорный аудит ИСМ, в ходе которого подтверждено, что в Компании реализуются значимые программы по предупреждению производственного травматизма, существуют современные методы мониторинга мер управления рисками, проводится психофизиологическое обследование и внедрена система тренингов, направленная на развитие навыков устойчивой работы оперативного персонала. </w:t>
      </w:r>
      <w:r w:rsidR="0008080E">
        <w:rPr>
          <w:sz w:val="26"/>
          <w:szCs w:val="26"/>
        </w:rPr>
        <w:t>ОАО </w:t>
      </w:r>
      <w:r w:rsidRPr="004761E0">
        <w:rPr>
          <w:sz w:val="26"/>
          <w:szCs w:val="26"/>
        </w:rPr>
        <w:t>«МОЭСК» следует установленным целям ИСМ, деятельность Общества соответствует требованиям аудируемых стандартов (</w:t>
      </w:r>
      <w:r w:rsidRPr="004761E0">
        <w:rPr>
          <w:sz w:val="26"/>
          <w:szCs w:val="26"/>
          <w:lang w:val="en-US"/>
        </w:rPr>
        <w:t>OHSAS</w:t>
      </w:r>
      <w:r w:rsidRPr="004761E0">
        <w:rPr>
          <w:sz w:val="26"/>
          <w:szCs w:val="26"/>
        </w:rPr>
        <w:t xml:space="preserve"> 18001, </w:t>
      </w:r>
      <w:r w:rsidRPr="004761E0">
        <w:rPr>
          <w:sz w:val="26"/>
          <w:szCs w:val="26"/>
          <w:lang w:val="en-US"/>
        </w:rPr>
        <w:t>ISO</w:t>
      </w:r>
      <w:r w:rsidRPr="004761E0">
        <w:rPr>
          <w:sz w:val="26"/>
          <w:szCs w:val="26"/>
        </w:rPr>
        <w:t xml:space="preserve"> 14000), а также законодательным требованиям.</w:t>
      </w:r>
    </w:p>
    <w:p w:rsidR="00F2772C" w:rsidRPr="004761E0" w:rsidRDefault="00F2772C" w:rsidP="00585397">
      <w:pPr>
        <w:spacing w:before="120" w:after="120"/>
        <w:ind w:firstLine="567"/>
        <w:rPr>
          <w:b/>
          <w:sz w:val="26"/>
          <w:szCs w:val="26"/>
          <w:lang w:eastAsia="ru-RU"/>
        </w:rPr>
      </w:pPr>
      <w:r w:rsidRPr="004761E0">
        <w:rPr>
          <w:b/>
          <w:sz w:val="26"/>
          <w:szCs w:val="26"/>
          <w:lang w:eastAsia="ru-RU"/>
        </w:rPr>
        <w:t xml:space="preserve">Динамика затрат на мероприятия по охране труда </w:t>
      </w:r>
    </w:p>
    <w:tbl>
      <w:tblPr>
        <w:tblW w:w="9369" w:type="dxa"/>
        <w:tblInd w:w="95" w:type="dxa"/>
        <w:tblLayout w:type="fixed"/>
        <w:tblLook w:val="04A0"/>
      </w:tblPr>
      <w:tblGrid>
        <w:gridCol w:w="580"/>
        <w:gridCol w:w="3828"/>
        <w:gridCol w:w="1275"/>
        <w:gridCol w:w="1276"/>
        <w:gridCol w:w="1134"/>
        <w:gridCol w:w="1276"/>
      </w:tblGrid>
      <w:tr w:rsidR="00F2772C" w:rsidRPr="004761E0" w:rsidTr="00F2772C">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F2772C" w:rsidRPr="004761E0" w:rsidRDefault="00F2772C" w:rsidP="00F2772C">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382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F2772C" w:rsidRPr="004761E0" w:rsidRDefault="00F2772C" w:rsidP="00F2772C">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27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F2772C" w:rsidRPr="004761E0" w:rsidRDefault="00F2772C" w:rsidP="00F2772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27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F2772C" w:rsidRPr="004761E0" w:rsidRDefault="00F2772C" w:rsidP="00F2772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F2772C" w:rsidRPr="004761E0" w:rsidRDefault="00F2772C" w:rsidP="00F2772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276"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F2772C" w:rsidRPr="004761E0" w:rsidRDefault="00F2772C" w:rsidP="00F2772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F2772C" w:rsidRPr="004761E0" w:rsidTr="00F2772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772C" w:rsidRPr="004761E0" w:rsidRDefault="00F2772C" w:rsidP="007076A7">
            <w:pPr>
              <w:numPr>
                <w:ilvl w:val="0"/>
                <w:numId w:val="17"/>
              </w:numPr>
              <w:jc w:val="left"/>
              <w:rPr>
                <w:rFonts w:eastAsia="Times New Roman"/>
                <w:color w:val="000000"/>
                <w:sz w:val="20"/>
                <w:szCs w:val="20"/>
                <w:lang w:eastAsia="ru-RU"/>
              </w:rPr>
            </w:pPr>
          </w:p>
        </w:tc>
        <w:tc>
          <w:tcPr>
            <w:tcW w:w="3828"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left"/>
              <w:rPr>
                <w:rFonts w:eastAsia="Times New Roman"/>
                <w:sz w:val="20"/>
                <w:szCs w:val="20"/>
                <w:lang w:eastAsia="ru-RU"/>
              </w:rPr>
            </w:pPr>
            <w:r w:rsidRPr="004761E0">
              <w:rPr>
                <w:rFonts w:eastAsia="Times New Roman"/>
                <w:sz w:val="20"/>
                <w:szCs w:val="20"/>
                <w:lang w:eastAsia="ru-RU"/>
              </w:rPr>
              <w:t>Затраты на мероприятия по охране труда, млн руб. без НДС (всего), в т.ч.:</w:t>
            </w:r>
          </w:p>
        </w:tc>
        <w:tc>
          <w:tcPr>
            <w:tcW w:w="1275"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rFonts w:eastAsia="Times New Roman"/>
                <w:color w:val="000000"/>
                <w:sz w:val="20"/>
                <w:szCs w:val="20"/>
                <w:lang w:eastAsia="ru-RU"/>
              </w:rPr>
            </w:pPr>
            <w:r w:rsidRPr="004761E0">
              <w:rPr>
                <w:rFonts w:eastAsia="Times New Roman"/>
                <w:color w:val="000000"/>
                <w:sz w:val="20"/>
                <w:szCs w:val="20"/>
                <w:lang w:eastAsia="ru-RU"/>
              </w:rPr>
              <w:t>414,4</w:t>
            </w:r>
          </w:p>
        </w:tc>
        <w:tc>
          <w:tcPr>
            <w:tcW w:w="1276"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rFonts w:eastAsia="Times New Roman"/>
                <w:color w:val="000000"/>
                <w:sz w:val="20"/>
                <w:szCs w:val="20"/>
                <w:lang w:eastAsia="ru-RU"/>
              </w:rPr>
            </w:pPr>
            <w:r w:rsidRPr="004761E0">
              <w:rPr>
                <w:rFonts w:eastAsia="Times New Roman"/>
                <w:color w:val="000000"/>
                <w:sz w:val="20"/>
                <w:szCs w:val="20"/>
                <w:lang w:eastAsia="ru-RU"/>
              </w:rPr>
              <w:t>383,3</w:t>
            </w:r>
          </w:p>
        </w:tc>
        <w:tc>
          <w:tcPr>
            <w:tcW w:w="1134"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rFonts w:eastAsia="Times New Roman"/>
                <w:color w:val="000000"/>
                <w:sz w:val="20"/>
                <w:szCs w:val="20"/>
                <w:lang w:eastAsia="ru-RU"/>
              </w:rPr>
            </w:pPr>
            <w:r w:rsidRPr="004761E0">
              <w:rPr>
                <w:rFonts w:eastAsia="Times New Roman"/>
                <w:color w:val="000000"/>
                <w:sz w:val="20"/>
                <w:szCs w:val="20"/>
                <w:lang w:eastAsia="ru-RU"/>
              </w:rPr>
              <w:t>395,2</w:t>
            </w:r>
          </w:p>
        </w:tc>
        <w:tc>
          <w:tcPr>
            <w:tcW w:w="1276"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rFonts w:eastAsia="Times New Roman"/>
                <w:color w:val="000000"/>
                <w:sz w:val="20"/>
                <w:szCs w:val="20"/>
                <w:lang w:eastAsia="ru-RU"/>
              </w:rPr>
            </w:pPr>
            <w:r w:rsidRPr="004761E0">
              <w:rPr>
                <w:rFonts w:eastAsia="Times New Roman"/>
                <w:color w:val="000000"/>
                <w:sz w:val="20"/>
                <w:szCs w:val="20"/>
                <w:lang w:eastAsia="ru-RU"/>
              </w:rPr>
              <w:t>3,10 %</w:t>
            </w:r>
          </w:p>
        </w:tc>
      </w:tr>
      <w:tr w:rsidR="00F2772C" w:rsidRPr="004761E0" w:rsidTr="00F2772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772C" w:rsidRPr="004761E0" w:rsidRDefault="00F2772C" w:rsidP="007076A7">
            <w:pPr>
              <w:pStyle w:val="a5"/>
              <w:numPr>
                <w:ilvl w:val="1"/>
                <w:numId w:val="17"/>
              </w:numPr>
              <w:jc w:val="left"/>
              <w:rPr>
                <w:rFonts w:eastAsia="Times New Roman"/>
                <w:color w:val="000000"/>
                <w:sz w:val="20"/>
                <w:szCs w:val="20"/>
                <w:lang w:eastAsia="ru-RU"/>
              </w:rPr>
            </w:pPr>
          </w:p>
        </w:tc>
        <w:tc>
          <w:tcPr>
            <w:tcW w:w="3828"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 xml:space="preserve">обеспечение работников средствами индивидуальной защиты </w:t>
            </w:r>
          </w:p>
        </w:tc>
        <w:tc>
          <w:tcPr>
            <w:tcW w:w="1275"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rFonts w:eastAsia="Times New Roman"/>
                <w:color w:val="000000"/>
                <w:sz w:val="20"/>
                <w:szCs w:val="20"/>
                <w:lang w:eastAsia="ru-RU"/>
              </w:rPr>
            </w:pPr>
            <w:r w:rsidRPr="004761E0">
              <w:rPr>
                <w:rFonts w:eastAsia="Times New Roman"/>
                <w:color w:val="000000"/>
                <w:sz w:val="20"/>
                <w:szCs w:val="20"/>
                <w:lang w:eastAsia="ru-RU"/>
              </w:rPr>
              <w:t>195,6</w:t>
            </w:r>
          </w:p>
        </w:tc>
        <w:tc>
          <w:tcPr>
            <w:tcW w:w="1276"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rFonts w:eastAsia="Times New Roman"/>
                <w:color w:val="000000"/>
                <w:sz w:val="20"/>
                <w:szCs w:val="20"/>
                <w:lang w:eastAsia="ru-RU"/>
              </w:rPr>
            </w:pPr>
            <w:r w:rsidRPr="004761E0">
              <w:rPr>
                <w:rFonts w:eastAsia="Times New Roman"/>
                <w:color w:val="000000"/>
                <w:sz w:val="20"/>
                <w:szCs w:val="20"/>
                <w:lang w:eastAsia="ru-RU"/>
              </w:rPr>
              <w:t>205,9</w:t>
            </w:r>
          </w:p>
        </w:tc>
        <w:tc>
          <w:tcPr>
            <w:tcW w:w="1134"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rFonts w:eastAsia="Times New Roman"/>
                <w:color w:val="000000"/>
                <w:sz w:val="20"/>
                <w:szCs w:val="20"/>
                <w:lang w:eastAsia="ru-RU"/>
              </w:rPr>
            </w:pPr>
            <w:r w:rsidRPr="004761E0">
              <w:rPr>
                <w:rFonts w:eastAsia="Times New Roman"/>
                <w:color w:val="000000"/>
                <w:sz w:val="20"/>
                <w:szCs w:val="20"/>
                <w:lang w:eastAsia="ru-RU"/>
              </w:rPr>
              <w:t>224,8</w:t>
            </w:r>
          </w:p>
        </w:tc>
        <w:tc>
          <w:tcPr>
            <w:tcW w:w="1276"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rFonts w:eastAsia="Times New Roman"/>
                <w:color w:val="000000"/>
                <w:sz w:val="20"/>
                <w:szCs w:val="20"/>
                <w:lang w:eastAsia="ru-RU"/>
              </w:rPr>
            </w:pPr>
            <w:r w:rsidRPr="004761E0">
              <w:rPr>
                <w:rFonts w:eastAsia="Times New Roman"/>
                <w:color w:val="000000"/>
                <w:sz w:val="20"/>
                <w:szCs w:val="20"/>
                <w:lang w:eastAsia="ru-RU"/>
              </w:rPr>
              <w:t>9,18 %</w:t>
            </w:r>
          </w:p>
        </w:tc>
      </w:tr>
      <w:tr w:rsidR="00F2772C" w:rsidRPr="004761E0" w:rsidTr="00F2772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772C" w:rsidRPr="004761E0" w:rsidRDefault="00F2772C" w:rsidP="007076A7">
            <w:pPr>
              <w:pStyle w:val="a5"/>
              <w:numPr>
                <w:ilvl w:val="1"/>
                <w:numId w:val="17"/>
              </w:numPr>
              <w:jc w:val="left"/>
              <w:rPr>
                <w:rFonts w:eastAsia="Times New Roman"/>
                <w:color w:val="000000"/>
                <w:sz w:val="20"/>
                <w:szCs w:val="20"/>
                <w:lang w:eastAsia="ru-RU"/>
              </w:rPr>
            </w:pPr>
          </w:p>
        </w:tc>
        <w:tc>
          <w:tcPr>
            <w:tcW w:w="3828"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предупреждение заболеваний на производстве</w:t>
            </w:r>
          </w:p>
        </w:tc>
        <w:tc>
          <w:tcPr>
            <w:tcW w:w="1275"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rFonts w:eastAsia="Times New Roman"/>
                <w:color w:val="000000"/>
                <w:sz w:val="20"/>
                <w:szCs w:val="20"/>
                <w:lang w:eastAsia="ru-RU"/>
              </w:rPr>
            </w:pPr>
            <w:r w:rsidRPr="004761E0">
              <w:rPr>
                <w:rFonts w:eastAsia="Times New Roman"/>
                <w:color w:val="000000"/>
                <w:sz w:val="20"/>
                <w:szCs w:val="20"/>
                <w:lang w:eastAsia="ru-RU"/>
              </w:rPr>
              <w:t>97,5</w:t>
            </w:r>
          </w:p>
        </w:tc>
        <w:tc>
          <w:tcPr>
            <w:tcW w:w="1276"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rFonts w:eastAsia="Times New Roman"/>
                <w:color w:val="000000"/>
                <w:sz w:val="20"/>
                <w:szCs w:val="20"/>
                <w:lang w:eastAsia="ru-RU"/>
              </w:rPr>
            </w:pPr>
            <w:r w:rsidRPr="004761E0">
              <w:rPr>
                <w:rFonts w:eastAsia="Times New Roman"/>
                <w:color w:val="000000"/>
                <w:sz w:val="20"/>
                <w:szCs w:val="20"/>
                <w:lang w:eastAsia="ru-RU"/>
              </w:rPr>
              <w:t>90,1</w:t>
            </w:r>
          </w:p>
        </w:tc>
        <w:tc>
          <w:tcPr>
            <w:tcW w:w="1134"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rFonts w:eastAsia="Times New Roman"/>
                <w:color w:val="000000"/>
                <w:sz w:val="20"/>
                <w:szCs w:val="20"/>
                <w:lang w:eastAsia="ru-RU"/>
              </w:rPr>
            </w:pPr>
            <w:r w:rsidRPr="004761E0">
              <w:rPr>
                <w:rFonts w:eastAsia="Times New Roman"/>
                <w:color w:val="000000"/>
                <w:sz w:val="20"/>
                <w:szCs w:val="20"/>
                <w:lang w:eastAsia="ru-RU"/>
              </w:rPr>
              <w:t>95,8</w:t>
            </w:r>
          </w:p>
        </w:tc>
        <w:tc>
          <w:tcPr>
            <w:tcW w:w="1276"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rFonts w:eastAsia="Times New Roman"/>
                <w:color w:val="000000"/>
                <w:sz w:val="20"/>
                <w:szCs w:val="20"/>
                <w:lang w:eastAsia="ru-RU"/>
              </w:rPr>
            </w:pPr>
            <w:r w:rsidRPr="004761E0">
              <w:rPr>
                <w:rFonts w:eastAsia="Times New Roman"/>
                <w:color w:val="000000"/>
                <w:sz w:val="20"/>
                <w:szCs w:val="20"/>
                <w:lang w:eastAsia="ru-RU"/>
              </w:rPr>
              <w:t>6,33 %</w:t>
            </w:r>
          </w:p>
        </w:tc>
      </w:tr>
      <w:tr w:rsidR="00F2772C" w:rsidRPr="004761E0" w:rsidTr="00F2772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72C" w:rsidRPr="004761E0" w:rsidRDefault="00F2772C" w:rsidP="007076A7">
            <w:pPr>
              <w:pStyle w:val="a5"/>
              <w:numPr>
                <w:ilvl w:val="1"/>
                <w:numId w:val="17"/>
              </w:numPr>
              <w:jc w:val="left"/>
              <w:rPr>
                <w:rFonts w:eastAsia="Times New Roman"/>
                <w:color w:val="000000"/>
                <w:sz w:val="20"/>
                <w:szCs w:val="20"/>
                <w:lang w:eastAsia="ru-RU"/>
              </w:rPr>
            </w:pP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общее улучшение условий труда</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rFonts w:eastAsia="Times New Roman"/>
                <w:color w:val="000000"/>
                <w:sz w:val="20"/>
                <w:szCs w:val="20"/>
                <w:lang w:eastAsia="ru-RU"/>
              </w:rPr>
            </w:pPr>
            <w:r w:rsidRPr="004761E0">
              <w:rPr>
                <w:rFonts w:eastAsia="Times New Roman"/>
                <w:color w:val="000000"/>
                <w:sz w:val="20"/>
                <w:szCs w:val="20"/>
                <w:lang w:eastAsia="ru-RU"/>
              </w:rPr>
              <w:t>80,2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rFonts w:eastAsia="Times New Roman"/>
                <w:color w:val="000000"/>
                <w:sz w:val="20"/>
                <w:szCs w:val="20"/>
                <w:lang w:eastAsia="ru-RU"/>
              </w:rPr>
            </w:pPr>
            <w:r w:rsidRPr="004761E0">
              <w:rPr>
                <w:rFonts w:eastAsia="Times New Roman"/>
                <w:color w:val="000000"/>
                <w:sz w:val="20"/>
                <w:szCs w:val="20"/>
                <w:lang w:eastAsia="ru-RU"/>
              </w:rPr>
              <w:t>53,2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rFonts w:eastAsia="Times New Roman"/>
                <w:color w:val="000000"/>
                <w:sz w:val="20"/>
                <w:szCs w:val="20"/>
                <w:lang w:eastAsia="ru-RU"/>
              </w:rPr>
            </w:pPr>
            <w:r w:rsidRPr="004761E0">
              <w:rPr>
                <w:rFonts w:eastAsia="Times New Roman"/>
                <w:color w:val="000000"/>
                <w:sz w:val="20"/>
                <w:szCs w:val="20"/>
                <w:lang w:eastAsia="ru-RU"/>
              </w:rPr>
              <w:t>38,3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rFonts w:eastAsia="Times New Roman"/>
                <w:color w:val="000000"/>
                <w:sz w:val="20"/>
                <w:szCs w:val="20"/>
                <w:lang w:eastAsia="ru-RU"/>
              </w:rPr>
            </w:pPr>
            <w:r w:rsidRPr="004761E0">
              <w:rPr>
                <w:rFonts w:eastAsia="Times New Roman"/>
                <w:color w:val="000000"/>
                <w:sz w:val="20"/>
                <w:szCs w:val="20"/>
                <w:lang w:eastAsia="ru-RU"/>
              </w:rPr>
              <w:t>-28,01 %</w:t>
            </w:r>
          </w:p>
        </w:tc>
      </w:tr>
      <w:tr w:rsidR="00F2772C" w:rsidRPr="004761E0" w:rsidTr="00F2772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72C" w:rsidRPr="004761E0" w:rsidRDefault="00F2772C" w:rsidP="007076A7">
            <w:pPr>
              <w:pStyle w:val="a5"/>
              <w:numPr>
                <w:ilvl w:val="1"/>
                <w:numId w:val="17"/>
              </w:numPr>
              <w:jc w:val="left"/>
              <w:rPr>
                <w:rFonts w:eastAsia="Times New Roman"/>
                <w:color w:val="000000"/>
                <w:sz w:val="20"/>
                <w:szCs w:val="20"/>
                <w:lang w:eastAsia="ru-RU"/>
              </w:rPr>
            </w:pP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предупреждение несчастных случаев</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rFonts w:eastAsia="Times New Roman"/>
                <w:color w:val="000000"/>
                <w:sz w:val="20"/>
                <w:szCs w:val="20"/>
                <w:lang w:eastAsia="ru-RU"/>
              </w:rPr>
            </w:pPr>
            <w:r w:rsidRPr="004761E0">
              <w:rPr>
                <w:rFonts w:eastAsia="Times New Roman"/>
                <w:color w:val="000000"/>
                <w:sz w:val="20"/>
                <w:szCs w:val="20"/>
                <w:lang w:eastAsia="ru-RU"/>
              </w:rPr>
              <w:t>41,1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rFonts w:eastAsia="Times New Roman"/>
                <w:color w:val="000000"/>
                <w:sz w:val="20"/>
                <w:szCs w:val="20"/>
                <w:lang w:eastAsia="ru-RU"/>
              </w:rPr>
            </w:pPr>
            <w:r w:rsidRPr="004761E0">
              <w:rPr>
                <w:rFonts w:eastAsia="Times New Roman"/>
                <w:color w:val="000000"/>
                <w:sz w:val="20"/>
                <w:szCs w:val="20"/>
                <w:lang w:eastAsia="ru-RU"/>
              </w:rPr>
              <w:t>34,1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rFonts w:eastAsia="Times New Roman"/>
                <w:color w:val="000000"/>
                <w:sz w:val="20"/>
                <w:szCs w:val="20"/>
                <w:lang w:eastAsia="ru-RU"/>
              </w:rPr>
            </w:pPr>
            <w:r w:rsidRPr="004761E0">
              <w:rPr>
                <w:rFonts w:eastAsia="Times New Roman"/>
                <w:color w:val="000000"/>
                <w:sz w:val="20"/>
                <w:szCs w:val="20"/>
                <w:lang w:eastAsia="ru-RU"/>
              </w:rPr>
              <w:t>36,3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rFonts w:eastAsia="Times New Roman"/>
                <w:color w:val="000000"/>
                <w:sz w:val="20"/>
                <w:szCs w:val="20"/>
                <w:lang w:eastAsia="ru-RU"/>
              </w:rPr>
            </w:pPr>
            <w:r w:rsidRPr="004761E0">
              <w:rPr>
                <w:rFonts w:eastAsia="Times New Roman"/>
                <w:color w:val="000000"/>
                <w:sz w:val="20"/>
                <w:szCs w:val="20"/>
                <w:lang w:eastAsia="ru-RU"/>
              </w:rPr>
              <w:t>6,45 %</w:t>
            </w:r>
          </w:p>
        </w:tc>
      </w:tr>
    </w:tbl>
    <w:p w:rsidR="00F2772C" w:rsidRPr="004761E0" w:rsidRDefault="00F2772C" w:rsidP="00F2772C">
      <w:pPr>
        <w:pStyle w:val="ac"/>
        <w:tabs>
          <w:tab w:val="left" w:pos="2410"/>
          <w:tab w:val="left" w:pos="9356"/>
        </w:tabs>
        <w:spacing w:before="120" w:after="120"/>
        <w:ind w:firstLine="0"/>
        <w:rPr>
          <w:b/>
          <w:sz w:val="26"/>
          <w:szCs w:val="26"/>
        </w:rPr>
      </w:pPr>
      <w:r w:rsidRPr="004761E0">
        <w:rPr>
          <w:b/>
          <w:noProof/>
          <w:sz w:val="26"/>
          <w:szCs w:val="26"/>
          <w:lang w:eastAsia="ru-RU"/>
        </w:rPr>
        <w:drawing>
          <wp:inline distT="0" distB="0" distL="0" distR="0">
            <wp:extent cx="2753833" cy="3200400"/>
            <wp:effectExtent l="0" t="0" r="27940" b="19050"/>
            <wp:docPr id="22"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r w:rsidRPr="004761E0">
        <w:rPr>
          <w:b/>
          <w:noProof/>
          <w:sz w:val="26"/>
          <w:szCs w:val="26"/>
          <w:lang w:eastAsia="ru-RU"/>
        </w:rPr>
        <w:drawing>
          <wp:inline distT="0" distB="0" distL="0" distR="0">
            <wp:extent cx="2955852" cy="3179135"/>
            <wp:effectExtent l="0" t="0" r="16510" b="21590"/>
            <wp:docPr id="23"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F2772C" w:rsidRPr="004761E0" w:rsidRDefault="00F2772C" w:rsidP="00585397">
      <w:pPr>
        <w:spacing w:before="120" w:after="120"/>
        <w:ind w:firstLine="567"/>
        <w:rPr>
          <w:b/>
          <w:sz w:val="26"/>
          <w:szCs w:val="26"/>
          <w:lang w:eastAsia="ru-RU"/>
        </w:rPr>
      </w:pPr>
      <w:r w:rsidRPr="004761E0">
        <w:rPr>
          <w:b/>
          <w:sz w:val="26"/>
          <w:szCs w:val="26"/>
          <w:lang w:eastAsia="ru-RU"/>
        </w:rPr>
        <w:t>Динамика затрат на охрану труда в пересчете на одного работника</w:t>
      </w:r>
    </w:p>
    <w:tbl>
      <w:tblPr>
        <w:tblW w:w="9369" w:type="dxa"/>
        <w:tblInd w:w="95" w:type="dxa"/>
        <w:tblLayout w:type="fixed"/>
        <w:tblLook w:val="04A0"/>
      </w:tblPr>
      <w:tblGrid>
        <w:gridCol w:w="580"/>
        <w:gridCol w:w="3828"/>
        <w:gridCol w:w="1275"/>
        <w:gridCol w:w="1276"/>
        <w:gridCol w:w="1134"/>
        <w:gridCol w:w="1276"/>
      </w:tblGrid>
      <w:tr w:rsidR="00F2772C" w:rsidRPr="004761E0" w:rsidTr="00F2772C">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F2772C" w:rsidRPr="004761E0" w:rsidRDefault="00F2772C" w:rsidP="00F2772C">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382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F2772C" w:rsidRPr="004761E0" w:rsidRDefault="00F2772C" w:rsidP="00F2772C">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27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F2772C" w:rsidRPr="004761E0" w:rsidRDefault="00F2772C" w:rsidP="00F2772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27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F2772C" w:rsidRPr="004761E0" w:rsidRDefault="00F2772C" w:rsidP="00F2772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F2772C" w:rsidRPr="004761E0" w:rsidRDefault="00F2772C" w:rsidP="00F2772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276"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F2772C" w:rsidRPr="004761E0" w:rsidRDefault="00F2772C" w:rsidP="00F2772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F2772C" w:rsidRPr="004761E0" w:rsidTr="00F2772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772C" w:rsidRPr="004761E0" w:rsidRDefault="00F2772C" w:rsidP="007076A7">
            <w:pPr>
              <w:numPr>
                <w:ilvl w:val="0"/>
                <w:numId w:val="18"/>
              </w:numPr>
              <w:jc w:val="left"/>
              <w:rPr>
                <w:rFonts w:eastAsia="Times New Roman"/>
                <w:color w:val="000000"/>
                <w:sz w:val="20"/>
                <w:szCs w:val="20"/>
                <w:lang w:eastAsia="ru-RU"/>
              </w:rPr>
            </w:pPr>
          </w:p>
        </w:tc>
        <w:tc>
          <w:tcPr>
            <w:tcW w:w="3828"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left"/>
              <w:rPr>
                <w:rFonts w:eastAsia="Times New Roman"/>
                <w:color w:val="000000"/>
                <w:sz w:val="20"/>
                <w:szCs w:val="20"/>
                <w:lang w:eastAsia="ru-RU"/>
              </w:rPr>
            </w:pPr>
            <w:r w:rsidRPr="004761E0">
              <w:rPr>
                <w:rFonts w:eastAsia="Times New Roman"/>
                <w:color w:val="000000"/>
                <w:sz w:val="20"/>
                <w:szCs w:val="20"/>
                <w:lang w:eastAsia="ru-RU"/>
              </w:rPr>
              <w:t>Затраты в пересчете на одного работника, руб. (всего), в т.ч.:</w:t>
            </w:r>
          </w:p>
        </w:tc>
        <w:tc>
          <w:tcPr>
            <w:tcW w:w="1275"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rFonts w:eastAsia="Times New Roman"/>
                <w:color w:val="000000"/>
                <w:sz w:val="20"/>
                <w:szCs w:val="20"/>
                <w:lang w:eastAsia="ru-RU"/>
              </w:rPr>
            </w:pPr>
            <w:r w:rsidRPr="004761E0">
              <w:rPr>
                <w:rFonts w:eastAsia="Times New Roman"/>
                <w:color w:val="000000"/>
                <w:sz w:val="20"/>
                <w:szCs w:val="20"/>
                <w:lang w:eastAsia="ru-RU"/>
              </w:rPr>
              <w:t>27 200</w:t>
            </w:r>
          </w:p>
        </w:tc>
        <w:tc>
          <w:tcPr>
            <w:tcW w:w="1276"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rFonts w:eastAsia="Times New Roman"/>
                <w:color w:val="000000"/>
                <w:sz w:val="20"/>
                <w:szCs w:val="20"/>
                <w:lang w:eastAsia="ru-RU"/>
              </w:rPr>
            </w:pPr>
            <w:r w:rsidRPr="004761E0">
              <w:rPr>
                <w:rFonts w:eastAsia="Times New Roman"/>
                <w:color w:val="000000"/>
                <w:sz w:val="20"/>
                <w:szCs w:val="20"/>
                <w:lang w:eastAsia="ru-RU"/>
              </w:rPr>
              <w:t>25 300</w:t>
            </w:r>
          </w:p>
        </w:tc>
        <w:tc>
          <w:tcPr>
            <w:tcW w:w="1134"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rFonts w:eastAsia="Times New Roman"/>
                <w:color w:val="000000"/>
                <w:sz w:val="20"/>
                <w:szCs w:val="20"/>
                <w:lang w:eastAsia="ru-RU"/>
              </w:rPr>
            </w:pPr>
            <w:r w:rsidRPr="004761E0">
              <w:rPr>
                <w:rFonts w:eastAsia="Times New Roman"/>
                <w:color w:val="000000"/>
                <w:sz w:val="20"/>
                <w:szCs w:val="20"/>
                <w:lang w:eastAsia="ru-RU"/>
              </w:rPr>
              <w:t>26 080</w:t>
            </w:r>
          </w:p>
        </w:tc>
        <w:tc>
          <w:tcPr>
            <w:tcW w:w="1276"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rFonts w:eastAsia="Times New Roman"/>
                <w:color w:val="000000"/>
                <w:sz w:val="20"/>
                <w:szCs w:val="20"/>
                <w:lang w:eastAsia="ru-RU"/>
              </w:rPr>
            </w:pPr>
            <w:r w:rsidRPr="004761E0">
              <w:rPr>
                <w:rFonts w:eastAsia="Times New Roman"/>
                <w:color w:val="000000"/>
                <w:sz w:val="20"/>
                <w:szCs w:val="20"/>
                <w:lang w:eastAsia="ru-RU"/>
              </w:rPr>
              <w:t>3,08 %</w:t>
            </w:r>
          </w:p>
        </w:tc>
      </w:tr>
      <w:tr w:rsidR="00F2772C" w:rsidRPr="004761E0" w:rsidTr="00F2772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772C" w:rsidRPr="004761E0" w:rsidRDefault="00F2772C" w:rsidP="007076A7">
            <w:pPr>
              <w:pStyle w:val="a5"/>
              <w:numPr>
                <w:ilvl w:val="1"/>
                <w:numId w:val="18"/>
              </w:numPr>
              <w:jc w:val="left"/>
              <w:rPr>
                <w:rFonts w:eastAsia="Times New Roman"/>
                <w:color w:val="000000"/>
                <w:sz w:val="20"/>
                <w:szCs w:val="20"/>
                <w:lang w:eastAsia="ru-RU"/>
              </w:rPr>
            </w:pPr>
          </w:p>
        </w:tc>
        <w:tc>
          <w:tcPr>
            <w:tcW w:w="3828"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 xml:space="preserve">обеспечение работников средствами индивидуальной защиты </w:t>
            </w:r>
          </w:p>
        </w:tc>
        <w:tc>
          <w:tcPr>
            <w:tcW w:w="1275"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rFonts w:eastAsia="Times New Roman"/>
                <w:color w:val="000000"/>
                <w:sz w:val="20"/>
                <w:szCs w:val="20"/>
                <w:lang w:eastAsia="ru-RU"/>
              </w:rPr>
            </w:pPr>
            <w:r w:rsidRPr="004761E0">
              <w:rPr>
                <w:rFonts w:eastAsia="Times New Roman"/>
                <w:color w:val="000000"/>
                <w:sz w:val="20"/>
                <w:szCs w:val="20"/>
                <w:lang w:eastAsia="ru-RU"/>
              </w:rPr>
              <w:t>12 840</w:t>
            </w:r>
          </w:p>
        </w:tc>
        <w:tc>
          <w:tcPr>
            <w:tcW w:w="1276"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rFonts w:eastAsia="Times New Roman"/>
                <w:color w:val="000000"/>
                <w:sz w:val="20"/>
                <w:szCs w:val="20"/>
                <w:lang w:eastAsia="ru-RU"/>
              </w:rPr>
            </w:pPr>
            <w:r w:rsidRPr="004761E0">
              <w:rPr>
                <w:rFonts w:eastAsia="Times New Roman"/>
                <w:color w:val="000000"/>
                <w:sz w:val="20"/>
                <w:szCs w:val="20"/>
                <w:lang w:eastAsia="ru-RU"/>
              </w:rPr>
              <w:t>13 600</w:t>
            </w:r>
          </w:p>
        </w:tc>
        <w:tc>
          <w:tcPr>
            <w:tcW w:w="1134"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rFonts w:eastAsia="Times New Roman"/>
                <w:color w:val="000000"/>
                <w:sz w:val="20"/>
                <w:szCs w:val="20"/>
                <w:lang w:eastAsia="ru-RU"/>
              </w:rPr>
            </w:pPr>
            <w:r w:rsidRPr="004761E0">
              <w:rPr>
                <w:rFonts w:eastAsia="Times New Roman"/>
                <w:color w:val="000000"/>
                <w:sz w:val="20"/>
                <w:szCs w:val="20"/>
                <w:lang w:eastAsia="ru-RU"/>
              </w:rPr>
              <w:t>14 830</w:t>
            </w:r>
          </w:p>
        </w:tc>
        <w:tc>
          <w:tcPr>
            <w:tcW w:w="1276"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rFonts w:eastAsia="Times New Roman"/>
                <w:color w:val="000000"/>
                <w:sz w:val="20"/>
                <w:szCs w:val="20"/>
                <w:lang w:eastAsia="ru-RU"/>
              </w:rPr>
            </w:pPr>
            <w:r w:rsidRPr="004761E0">
              <w:rPr>
                <w:rFonts w:eastAsia="Times New Roman"/>
                <w:color w:val="000000"/>
                <w:sz w:val="20"/>
                <w:szCs w:val="20"/>
                <w:lang w:eastAsia="ru-RU"/>
              </w:rPr>
              <w:t>9,04 %</w:t>
            </w:r>
          </w:p>
        </w:tc>
      </w:tr>
      <w:tr w:rsidR="00F2772C" w:rsidRPr="004761E0" w:rsidTr="00F2772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772C" w:rsidRPr="004761E0" w:rsidRDefault="00F2772C" w:rsidP="007076A7">
            <w:pPr>
              <w:pStyle w:val="a5"/>
              <w:numPr>
                <w:ilvl w:val="1"/>
                <w:numId w:val="18"/>
              </w:numPr>
              <w:jc w:val="left"/>
              <w:rPr>
                <w:rFonts w:eastAsia="Times New Roman"/>
                <w:color w:val="000000"/>
                <w:sz w:val="20"/>
                <w:szCs w:val="20"/>
                <w:lang w:eastAsia="ru-RU"/>
              </w:rPr>
            </w:pPr>
          </w:p>
        </w:tc>
        <w:tc>
          <w:tcPr>
            <w:tcW w:w="3828"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прочие мероприятия по охране труда</w:t>
            </w:r>
          </w:p>
        </w:tc>
        <w:tc>
          <w:tcPr>
            <w:tcW w:w="1275"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rFonts w:eastAsia="Times New Roman"/>
                <w:color w:val="000000"/>
                <w:sz w:val="20"/>
                <w:szCs w:val="20"/>
                <w:lang w:eastAsia="ru-RU"/>
              </w:rPr>
            </w:pPr>
            <w:r w:rsidRPr="004761E0">
              <w:rPr>
                <w:rFonts w:eastAsia="Times New Roman"/>
                <w:color w:val="000000"/>
                <w:sz w:val="20"/>
                <w:szCs w:val="20"/>
                <w:lang w:eastAsia="ru-RU"/>
              </w:rPr>
              <w:t>14 360</w:t>
            </w:r>
          </w:p>
        </w:tc>
        <w:tc>
          <w:tcPr>
            <w:tcW w:w="1276"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rFonts w:eastAsia="Times New Roman"/>
                <w:color w:val="000000"/>
                <w:sz w:val="20"/>
                <w:szCs w:val="20"/>
                <w:lang w:eastAsia="ru-RU"/>
              </w:rPr>
            </w:pPr>
            <w:r w:rsidRPr="004761E0">
              <w:rPr>
                <w:rFonts w:eastAsia="Times New Roman"/>
                <w:color w:val="000000"/>
                <w:sz w:val="20"/>
                <w:szCs w:val="20"/>
                <w:lang w:eastAsia="ru-RU"/>
              </w:rPr>
              <w:t>11 700</w:t>
            </w:r>
          </w:p>
        </w:tc>
        <w:tc>
          <w:tcPr>
            <w:tcW w:w="1134"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rFonts w:eastAsia="Times New Roman"/>
                <w:color w:val="000000"/>
                <w:sz w:val="20"/>
                <w:szCs w:val="20"/>
                <w:lang w:eastAsia="ru-RU"/>
              </w:rPr>
            </w:pPr>
            <w:r w:rsidRPr="004761E0">
              <w:rPr>
                <w:rFonts w:eastAsia="Times New Roman"/>
                <w:color w:val="000000"/>
                <w:sz w:val="20"/>
                <w:szCs w:val="20"/>
                <w:lang w:eastAsia="ru-RU"/>
              </w:rPr>
              <w:t>11 250</w:t>
            </w:r>
          </w:p>
        </w:tc>
        <w:tc>
          <w:tcPr>
            <w:tcW w:w="1276" w:type="dxa"/>
            <w:tcBorders>
              <w:top w:val="nil"/>
              <w:left w:val="nil"/>
              <w:bottom w:val="single" w:sz="4" w:space="0" w:color="auto"/>
              <w:right w:val="single" w:sz="4" w:space="0" w:color="auto"/>
            </w:tcBorders>
            <w:shd w:val="clear" w:color="auto" w:fill="auto"/>
            <w:vAlign w:val="center"/>
            <w:hideMark/>
          </w:tcPr>
          <w:p w:rsidR="00F2772C" w:rsidRPr="004761E0" w:rsidRDefault="00F2772C" w:rsidP="00F2772C">
            <w:pPr>
              <w:ind w:firstLine="0"/>
              <w:jc w:val="right"/>
              <w:rPr>
                <w:rFonts w:eastAsia="Times New Roman"/>
                <w:color w:val="000000"/>
                <w:sz w:val="20"/>
                <w:szCs w:val="20"/>
                <w:lang w:eastAsia="ru-RU"/>
              </w:rPr>
            </w:pPr>
            <w:r w:rsidRPr="004761E0">
              <w:rPr>
                <w:rFonts w:eastAsia="Times New Roman"/>
                <w:color w:val="000000"/>
                <w:sz w:val="20"/>
                <w:szCs w:val="20"/>
                <w:lang w:eastAsia="ru-RU"/>
              </w:rPr>
              <w:t>-3,85 %</w:t>
            </w:r>
          </w:p>
        </w:tc>
      </w:tr>
    </w:tbl>
    <w:p w:rsidR="00F2772C" w:rsidRPr="004761E0" w:rsidRDefault="00B0496B" w:rsidP="00F2772C">
      <w:pPr>
        <w:pStyle w:val="ac"/>
        <w:tabs>
          <w:tab w:val="left" w:pos="9356"/>
        </w:tabs>
        <w:spacing w:before="120" w:after="120"/>
        <w:ind w:firstLine="567"/>
        <w:rPr>
          <w:sz w:val="26"/>
          <w:szCs w:val="26"/>
        </w:rPr>
      </w:pPr>
      <w:r w:rsidRPr="004761E0">
        <w:rPr>
          <w:sz w:val="26"/>
          <w:szCs w:val="26"/>
        </w:rPr>
        <w:t xml:space="preserve">Преобладающую долю в структуре затрат </w:t>
      </w:r>
      <w:r w:rsidR="00913C6D" w:rsidRPr="004761E0">
        <w:rPr>
          <w:sz w:val="26"/>
          <w:szCs w:val="26"/>
        </w:rPr>
        <w:t xml:space="preserve">на мероприятия по охране труда в 2013 году </w:t>
      </w:r>
      <w:r w:rsidRPr="004761E0">
        <w:rPr>
          <w:sz w:val="26"/>
          <w:szCs w:val="26"/>
        </w:rPr>
        <w:t>состав</w:t>
      </w:r>
      <w:r w:rsidR="00913C6D" w:rsidRPr="004761E0">
        <w:rPr>
          <w:sz w:val="26"/>
          <w:szCs w:val="26"/>
        </w:rPr>
        <w:t xml:space="preserve">или </w:t>
      </w:r>
      <w:r w:rsidRPr="004761E0">
        <w:rPr>
          <w:sz w:val="26"/>
          <w:szCs w:val="26"/>
        </w:rPr>
        <w:t>расходы на обеспечение работников</w:t>
      </w:r>
      <w:r w:rsidR="00913C6D" w:rsidRPr="004761E0">
        <w:rPr>
          <w:sz w:val="26"/>
          <w:szCs w:val="26"/>
        </w:rPr>
        <w:t xml:space="preserve"> </w:t>
      </w:r>
      <w:r w:rsidRPr="004761E0">
        <w:rPr>
          <w:sz w:val="26"/>
          <w:szCs w:val="26"/>
        </w:rPr>
        <w:t xml:space="preserve">средствами индивидуальной защиты, что обусловлено </w:t>
      </w:r>
      <w:r w:rsidR="00A24F17" w:rsidRPr="004761E0">
        <w:rPr>
          <w:sz w:val="26"/>
          <w:szCs w:val="26"/>
        </w:rPr>
        <w:t xml:space="preserve">их </w:t>
      </w:r>
      <w:r w:rsidR="00913C6D" w:rsidRPr="004761E0">
        <w:rPr>
          <w:sz w:val="26"/>
          <w:szCs w:val="26"/>
        </w:rPr>
        <w:t xml:space="preserve">высокой стоимостью </w:t>
      </w:r>
      <w:r w:rsidRPr="004761E0">
        <w:rPr>
          <w:sz w:val="26"/>
          <w:szCs w:val="26"/>
        </w:rPr>
        <w:t xml:space="preserve">и </w:t>
      </w:r>
      <w:r w:rsidR="00913C6D" w:rsidRPr="004761E0">
        <w:rPr>
          <w:sz w:val="26"/>
          <w:szCs w:val="26"/>
        </w:rPr>
        <w:t>необходимост</w:t>
      </w:r>
      <w:r w:rsidR="00A24F17" w:rsidRPr="004761E0">
        <w:rPr>
          <w:sz w:val="26"/>
          <w:szCs w:val="26"/>
        </w:rPr>
        <w:t>ью</w:t>
      </w:r>
      <w:r w:rsidR="00913C6D" w:rsidRPr="004761E0">
        <w:rPr>
          <w:sz w:val="26"/>
          <w:szCs w:val="26"/>
        </w:rPr>
        <w:t xml:space="preserve"> соблюдения Обществом действующего законодательства РФ в части обязательного о</w:t>
      </w:r>
      <w:r w:rsidRPr="004761E0">
        <w:rPr>
          <w:sz w:val="26"/>
          <w:szCs w:val="26"/>
        </w:rPr>
        <w:t>беспечения работников сертифицированным средствами защиты и спецодежды.</w:t>
      </w:r>
    </w:p>
    <w:p w:rsidR="00F2772C" w:rsidRPr="004761E0" w:rsidRDefault="00F2772C" w:rsidP="00585397">
      <w:pPr>
        <w:spacing w:before="120" w:after="120"/>
        <w:ind w:firstLine="567"/>
        <w:rPr>
          <w:b/>
          <w:sz w:val="26"/>
          <w:szCs w:val="26"/>
          <w:lang w:eastAsia="ru-RU"/>
        </w:rPr>
      </w:pPr>
      <w:r w:rsidRPr="004761E0">
        <w:rPr>
          <w:b/>
          <w:sz w:val="26"/>
          <w:szCs w:val="26"/>
          <w:lang w:eastAsia="ru-RU"/>
        </w:rPr>
        <w:t xml:space="preserve">Основные </w:t>
      </w:r>
      <w:r w:rsidR="004B5B33" w:rsidRPr="004761E0">
        <w:rPr>
          <w:b/>
          <w:sz w:val="26"/>
          <w:szCs w:val="26"/>
          <w:lang w:eastAsia="ru-RU"/>
        </w:rPr>
        <w:t xml:space="preserve">планы в области охраны труда </w:t>
      </w:r>
      <w:r w:rsidRPr="004761E0">
        <w:rPr>
          <w:b/>
          <w:sz w:val="26"/>
          <w:szCs w:val="26"/>
          <w:lang w:eastAsia="ru-RU"/>
        </w:rPr>
        <w:t xml:space="preserve">на </w:t>
      </w:r>
      <w:r w:rsidR="004B5B33" w:rsidRPr="004761E0">
        <w:rPr>
          <w:b/>
          <w:sz w:val="26"/>
          <w:szCs w:val="26"/>
          <w:lang w:eastAsia="ru-RU"/>
        </w:rPr>
        <w:t xml:space="preserve">2014 </w:t>
      </w:r>
      <w:r w:rsidR="00585397">
        <w:rPr>
          <w:b/>
          <w:sz w:val="26"/>
          <w:szCs w:val="26"/>
          <w:lang w:eastAsia="ru-RU"/>
        </w:rPr>
        <w:t>год</w:t>
      </w:r>
    </w:p>
    <w:p w:rsidR="00F2772C" w:rsidRPr="004761E0" w:rsidRDefault="00F2772C" w:rsidP="007076A7">
      <w:pPr>
        <w:pStyle w:val="ac"/>
        <w:numPr>
          <w:ilvl w:val="0"/>
          <w:numId w:val="70"/>
        </w:numPr>
        <w:tabs>
          <w:tab w:val="left" w:pos="9356"/>
        </w:tabs>
        <w:ind w:left="1134" w:hanging="567"/>
        <w:rPr>
          <w:sz w:val="26"/>
          <w:szCs w:val="26"/>
        </w:rPr>
      </w:pPr>
      <w:r w:rsidRPr="004761E0">
        <w:rPr>
          <w:sz w:val="26"/>
          <w:szCs w:val="26"/>
        </w:rPr>
        <w:t>проведение специальной оценки условий труда в соответствии с требованиями Федерального закона «О специальной оценке условий труда»</w:t>
      </w:r>
      <w:r w:rsidRPr="006F4AB8">
        <w:rPr>
          <w:rStyle w:val="af1"/>
        </w:rPr>
        <w:footnoteReference w:id="133"/>
      </w:r>
      <w:r w:rsidRPr="004761E0">
        <w:rPr>
          <w:sz w:val="26"/>
          <w:szCs w:val="26"/>
        </w:rPr>
        <w:t>.</w:t>
      </w:r>
    </w:p>
    <w:p w:rsidR="00F2772C" w:rsidRPr="004761E0" w:rsidRDefault="00F2772C" w:rsidP="007076A7">
      <w:pPr>
        <w:pStyle w:val="ac"/>
        <w:numPr>
          <w:ilvl w:val="0"/>
          <w:numId w:val="70"/>
        </w:numPr>
        <w:tabs>
          <w:tab w:val="left" w:pos="9356"/>
        </w:tabs>
        <w:ind w:left="1134" w:hanging="567"/>
        <w:rPr>
          <w:lang w:eastAsia="ru-RU"/>
        </w:rPr>
      </w:pPr>
      <w:r w:rsidRPr="004761E0">
        <w:rPr>
          <w:sz w:val="26"/>
          <w:szCs w:val="26"/>
        </w:rPr>
        <w:t>разработка и реализация целевых программ, направленных на снижение травматизма персонала Общества и сторонних лиц.</w:t>
      </w:r>
    </w:p>
    <w:p w:rsidR="002763A1" w:rsidRPr="004761E0" w:rsidRDefault="002763A1" w:rsidP="007076A7">
      <w:pPr>
        <w:pStyle w:val="ac"/>
        <w:numPr>
          <w:ilvl w:val="0"/>
          <w:numId w:val="70"/>
        </w:numPr>
        <w:tabs>
          <w:tab w:val="left" w:pos="9356"/>
        </w:tabs>
        <w:ind w:left="1134" w:hanging="567"/>
        <w:rPr>
          <w:sz w:val="26"/>
          <w:szCs w:val="26"/>
        </w:rPr>
      </w:pPr>
      <w:r w:rsidRPr="004761E0">
        <w:rPr>
          <w:sz w:val="26"/>
          <w:szCs w:val="26"/>
        </w:rPr>
        <w:t>выполнение ремонтов помещений и оснащение санитарно-бытовых помещений бытовой техникой и мебелью;</w:t>
      </w:r>
    </w:p>
    <w:p w:rsidR="002763A1" w:rsidRPr="004761E0" w:rsidRDefault="004B5B33" w:rsidP="007076A7">
      <w:pPr>
        <w:pStyle w:val="ac"/>
        <w:numPr>
          <w:ilvl w:val="0"/>
          <w:numId w:val="70"/>
        </w:numPr>
        <w:tabs>
          <w:tab w:val="left" w:pos="9356"/>
        </w:tabs>
        <w:ind w:left="1134" w:hanging="567"/>
        <w:rPr>
          <w:sz w:val="26"/>
          <w:szCs w:val="26"/>
        </w:rPr>
      </w:pPr>
      <w:r w:rsidRPr="004761E0">
        <w:rPr>
          <w:sz w:val="26"/>
          <w:szCs w:val="26"/>
        </w:rPr>
        <w:t>реализация Программы «Ц</w:t>
      </w:r>
      <w:r w:rsidR="002763A1" w:rsidRPr="004761E0">
        <w:rPr>
          <w:sz w:val="26"/>
          <w:szCs w:val="26"/>
        </w:rPr>
        <w:t>еховой врач» - организация еженедельного врачебного приема  в медицинских к</w:t>
      </w:r>
      <w:r w:rsidRPr="004761E0">
        <w:rPr>
          <w:sz w:val="26"/>
          <w:szCs w:val="26"/>
        </w:rPr>
        <w:t>абинетах;</w:t>
      </w:r>
    </w:p>
    <w:p w:rsidR="002763A1" w:rsidRPr="004761E0" w:rsidRDefault="002763A1" w:rsidP="007076A7">
      <w:pPr>
        <w:pStyle w:val="ac"/>
        <w:numPr>
          <w:ilvl w:val="0"/>
          <w:numId w:val="70"/>
        </w:numPr>
        <w:tabs>
          <w:tab w:val="left" w:pos="9356"/>
        </w:tabs>
        <w:ind w:left="1134" w:hanging="567"/>
        <w:rPr>
          <w:sz w:val="26"/>
          <w:szCs w:val="26"/>
        </w:rPr>
      </w:pPr>
      <w:r w:rsidRPr="004761E0">
        <w:rPr>
          <w:sz w:val="26"/>
          <w:szCs w:val="26"/>
        </w:rPr>
        <w:t>реализация системы корректирующих мероприятий для 3-4 группы риска оперативного персонала;</w:t>
      </w:r>
    </w:p>
    <w:p w:rsidR="002763A1" w:rsidRPr="004761E0" w:rsidRDefault="002763A1" w:rsidP="007076A7">
      <w:pPr>
        <w:pStyle w:val="ac"/>
        <w:numPr>
          <w:ilvl w:val="0"/>
          <w:numId w:val="70"/>
        </w:numPr>
        <w:tabs>
          <w:tab w:val="left" w:pos="9356"/>
        </w:tabs>
        <w:ind w:left="1134" w:hanging="567"/>
        <w:rPr>
          <w:sz w:val="26"/>
          <w:szCs w:val="26"/>
        </w:rPr>
      </w:pPr>
      <w:r w:rsidRPr="004761E0">
        <w:rPr>
          <w:sz w:val="26"/>
          <w:szCs w:val="26"/>
        </w:rPr>
        <w:t>проведение внеплановой ПФД водителей с переводом на должность электромонтеров.</w:t>
      </w:r>
    </w:p>
    <w:p w:rsidR="00585397" w:rsidRDefault="00585397">
      <w:pPr>
        <w:ind w:firstLine="0"/>
        <w:jc w:val="left"/>
        <w:rPr>
          <w:rFonts w:eastAsia="Times New Roman"/>
          <w:b/>
          <w:sz w:val="26"/>
          <w:szCs w:val="26"/>
          <w:lang w:eastAsia="ru-RU"/>
        </w:rPr>
      </w:pPr>
      <w:bookmarkStart w:id="131" w:name="_Toc380576950"/>
      <w:r>
        <w:rPr>
          <w:b/>
          <w:sz w:val="26"/>
          <w:szCs w:val="26"/>
          <w:lang w:eastAsia="ru-RU"/>
        </w:rPr>
        <w:br w:type="page"/>
      </w:r>
    </w:p>
    <w:p w:rsidR="00453705" w:rsidRPr="004761E0" w:rsidRDefault="00E34ACB" w:rsidP="007076A7">
      <w:pPr>
        <w:pStyle w:val="a8"/>
        <w:numPr>
          <w:ilvl w:val="1"/>
          <w:numId w:val="321"/>
        </w:numPr>
        <w:spacing w:before="120" w:after="120"/>
        <w:ind w:left="1134" w:hanging="567"/>
        <w:jc w:val="both"/>
        <w:rPr>
          <w:rFonts w:ascii="Times New Roman" w:hAnsi="Times New Roman"/>
          <w:b/>
          <w:sz w:val="26"/>
          <w:szCs w:val="26"/>
          <w:lang w:eastAsia="ru-RU"/>
        </w:rPr>
      </w:pPr>
      <w:bookmarkStart w:id="132" w:name="_Toc385339847"/>
      <w:r w:rsidRPr="004761E0">
        <w:rPr>
          <w:rFonts w:ascii="Times New Roman" w:hAnsi="Times New Roman"/>
          <w:b/>
          <w:sz w:val="26"/>
          <w:szCs w:val="26"/>
        </w:rPr>
        <w:lastRenderedPageBreak/>
        <w:t>Экологическая политика</w:t>
      </w:r>
      <w:bookmarkEnd w:id="131"/>
      <w:bookmarkEnd w:id="132"/>
    </w:p>
    <w:p w:rsidR="00E14217" w:rsidRPr="004761E0" w:rsidRDefault="00E14217" w:rsidP="00E14217">
      <w:pPr>
        <w:spacing w:before="120"/>
        <w:ind w:firstLine="560"/>
        <w:rPr>
          <w:sz w:val="26"/>
          <w:szCs w:val="26"/>
        </w:rPr>
      </w:pPr>
      <w:r w:rsidRPr="004761E0">
        <w:rPr>
          <w:sz w:val="26"/>
          <w:szCs w:val="26"/>
        </w:rPr>
        <w:t xml:space="preserve">Экологическая политика </w:t>
      </w:r>
      <w:r w:rsidR="0008080E">
        <w:rPr>
          <w:sz w:val="26"/>
          <w:szCs w:val="26"/>
        </w:rPr>
        <w:t>ОАО </w:t>
      </w:r>
      <w:r w:rsidRPr="004761E0">
        <w:rPr>
          <w:sz w:val="26"/>
          <w:szCs w:val="26"/>
        </w:rPr>
        <w:t>«МОЭСК»</w:t>
      </w:r>
      <w:r w:rsidRPr="006F4AB8">
        <w:rPr>
          <w:rStyle w:val="af1"/>
        </w:rPr>
        <w:footnoteReference w:id="134"/>
      </w:r>
      <w:r w:rsidRPr="004761E0">
        <w:rPr>
          <w:sz w:val="26"/>
          <w:szCs w:val="26"/>
        </w:rPr>
        <w:t xml:space="preserve"> определяет следующие стратегические цели в области охраны окружающей среды:</w:t>
      </w:r>
    </w:p>
    <w:p w:rsidR="00E14217" w:rsidRPr="004761E0" w:rsidRDefault="00E14217" w:rsidP="007076A7">
      <w:pPr>
        <w:pStyle w:val="afc"/>
        <w:numPr>
          <w:ilvl w:val="0"/>
          <w:numId w:val="237"/>
        </w:numPr>
        <w:tabs>
          <w:tab w:val="clear" w:pos="1428"/>
          <w:tab w:val="num" w:pos="1134"/>
        </w:tabs>
        <w:spacing w:before="0" w:beforeAutospacing="0" w:after="0" w:afterAutospacing="0"/>
        <w:ind w:left="1134" w:hanging="567"/>
        <w:jc w:val="both"/>
        <w:rPr>
          <w:sz w:val="26"/>
          <w:szCs w:val="26"/>
        </w:rPr>
      </w:pPr>
      <w:r w:rsidRPr="004761E0">
        <w:rPr>
          <w:sz w:val="26"/>
          <w:szCs w:val="26"/>
        </w:rPr>
        <w:t>приоритетность внедрения новых технологий, способствующих снижению загрязнения земель нефтепродуктами, современных методов и способов по обращению с опасными отходами;</w:t>
      </w:r>
    </w:p>
    <w:p w:rsidR="00E14217" w:rsidRPr="004761E0" w:rsidRDefault="00E14217" w:rsidP="007076A7">
      <w:pPr>
        <w:pStyle w:val="afc"/>
        <w:numPr>
          <w:ilvl w:val="0"/>
          <w:numId w:val="237"/>
        </w:numPr>
        <w:tabs>
          <w:tab w:val="clear" w:pos="1428"/>
          <w:tab w:val="num" w:pos="1134"/>
        </w:tabs>
        <w:spacing w:before="0" w:beforeAutospacing="0" w:after="0" w:afterAutospacing="0"/>
        <w:ind w:left="1134" w:hanging="567"/>
        <w:jc w:val="both"/>
        <w:rPr>
          <w:sz w:val="26"/>
          <w:szCs w:val="26"/>
        </w:rPr>
      </w:pPr>
      <w:r w:rsidRPr="004761E0">
        <w:rPr>
          <w:sz w:val="26"/>
          <w:szCs w:val="26"/>
        </w:rPr>
        <w:t xml:space="preserve">уменьшение негативного воздействия хозяйственной и иной деятельности </w:t>
      </w:r>
      <w:r w:rsidR="0008080E">
        <w:rPr>
          <w:sz w:val="26"/>
          <w:szCs w:val="26"/>
        </w:rPr>
        <w:t>ОАО </w:t>
      </w:r>
      <w:r w:rsidRPr="004761E0">
        <w:rPr>
          <w:sz w:val="26"/>
          <w:szCs w:val="26"/>
        </w:rPr>
        <w:t>«МОЭСК» на окружающую среду ниже уровня, установленного нормативами допустимого воздействия на окружающую среду.</w:t>
      </w:r>
    </w:p>
    <w:p w:rsidR="00715EEC" w:rsidRPr="004761E0" w:rsidRDefault="00D23DB1" w:rsidP="00715EEC">
      <w:pPr>
        <w:spacing w:before="120" w:after="120"/>
        <w:ind w:firstLine="567"/>
        <w:rPr>
          <w:b/>
          <w:sz w:val="26"/>
          <w:szCs w:val="26"/>
          <w:lang w:eastAsia="ru-RU"/>
        </w:rPr>
      </w:pPr>
      <w:r w:rsidRPr="004761E0">
        <w:rPr>
          <w:b/>
          <w:sz w:val="26"/>
          <w:szCs w:val="26"/>
          <w:lang w:eastAsia="ru-RU"/>
        </w:rPr>
        <w:t xml:space="preserve">Воздействие деятельности Общества на </w:t>
      </w:r>
      <w:r w:rsidR="00715EEC">
        <w:rPr>
          <w:b/>
          <w:sz w:val="26"/>
          <w:szCs w:val="26"/>
          <w:lang w:eastAsia="ru-RU"/>
        </w:rPr>
        <w:t>в</w:t>
      </w:r>
      <w:r w:rsidR="00715EEC" w:rsidRPr="004761E0">
        <w:rPr>
          <w:b/>
          <w:sz w:val="26"/>
          <w:szCs w:val="26"/>
          <w:lang w:eastAsia="ru-RU"/>
        </w:rPr>
        <w:t>одный бассейн</w:t>
      </w:r>
    </w:p>
    <w:p w:rsidR="00D23DB1" w:rsidRPr="004761E0" w:rsidRDefault="00D23DB1" w:rsidP="00D23DB1">
      <w:pPr>
        <w:pStyle w:val="afc"/>
        <w:tabs>
          <w:tab w:val="left" w:pos="0"/>
        </w:tabs>
        <w:spacing w:before="0" w:beforeAutospacing="0" w:after="0" w:afterAutospacing="0"/>
        <w:ind w:firstLine="567"/>
        <w:jc w:val="both"/>
        <w:rPr>
          <w:color w:val="000000"/>
          <w:sz w:val="26"/>
          <w:szCs w:val="26"/>
        </w:rPr>
      </w:pPr>
      <w:r w:rsidRPr="004761E0">
        <w:rPr>
          <w:sz w:val="26"/>
          <w:szCs w:val="26"/>
        </w:rPr>
        <w:t>Одним из сопутствующих элементов производственной деятельности Компании является образование бытовых и поверхностных сточных вод.</w:t>
      </w:r>
      <w:r w:rsidRPr="004761E0">
        <w:rPr>
          <w:color w:val="00B050"/>
          <w:sz w:val="26"/>
          <w:szCs w:val="26"/>
        </w:rPr>
        <w:t xml:space="preserve"> </w:t>
      </w:r>
      <w:r w:rsidRPr="004761E0">
        <w:rPr>
          <w:color w:val="000000"/>
          <w:sz w:val="26"/>
          <w:szCs w:val="26"/>
        </w:rPr>
        <w:t>Поступление водных ресурсов на энергообъекты Компании осуществляется посредством коммунальных систем водоснабжения, а также завоза бутилированной воды</w:t>
      </w:r>
      <w:r w:rsidR="003F0C6E" w:rsidRPr="004761E0">
        <w:rPr>
          <w:color w:val="000000"/>
          <w:sz w:val="26"/>
          <w:szCs w:val="26"/>
        </w:rPr>
        <w:t>.</w:t>
      </w:r>
      <w:r w:rsidRPr="004761E0">
        <w:rPr>
          <w:color w:val="000000"/>
          <w:sz w:val="26"/>
          <w:szCs w:val="26"/>
        </w:rPr>
        <w:t xml:space="preserve"> </w:t>
      </w:r>
      <w:r w:rsidR="00840C3E" w:rsidRPr="004761E0">
        <w:rPr>
          <w:color w:val="000000"/>
          <w:sz w:val="26"/>
          <w:szCs w:val="26"/>
        </w:rPr>
        <w:t xml:space="preserve">Водные </w:t>
      </w:r>
      <w:r w:rsidRPr="004761E0">
        <w:rPr>
          <w:color w:val="000000"/>
          <w:sz w:val="26"/>
          <w:szCs w:val="26"/>
        </w:rPr>
        <w:t xml:space="preserve">ресурсы используются на бытовые нужды сотрудников </w:t>
      </w:r>
      <w:r w:rsidR="00840C3E" w:rsidRPr="004761E0">
        <w:rPr>
          <w:color w:val="000000"/>
          <w:sz w:val="26"/>
          <w:szCs w:val="26"/>
        </w:rPr>
        <w:t xml:space="preserve">и </w:t>
      </w:r>
      <w:r w:rsidRPr="004761E0">
        <w:rPr>
          <w:color w:val="000000"/>
          <w:sz w:val="26"/>
          <w:szCs w:val="26"/>
        </w:rPr>
        <w:t xml:space="preserve">производственные нужды </w:t>
      </w:r>
      <w:r w:rsidR="00840C3E" w:rsidRPr="004761E0">
        <w:rPr>
          <w:color w:val="000000"/>
          <w:sz w:val="26"/>
          <w:szCs w:val="26"/>
        </w:rPr>
        <w:t>в</w:t>
      </w:r>
      <w:r w:rsidRPr="004761E0">
        <w:rPr>
          <w:color w:val="000000"/>
          <w:sz w:val="26"/>
          <w:szCs w:val="26"/>
        </w:rPr>
        <w:t xml:space="preserve"> подпитк</w:t>
      </w:r>
      <w:r w:rsidR="00840C3E" w:rsidRPr="004761E0">
        <w:rPr>
          <w:color w:val="000000"/>
          <w:sz w:val="26"/>
          <w:szCs w:val="26"/>
        </w:rPr>
        <w:t>е</w:t>
      </w:r>
      <w:r w:rsidRPr="004761E0">
        <w:rPr>
          <w:color w:val="000000"/>
          <w:sz w:val="26"/>
          <w:szCs w:val="26"/>
        </w:rPr>
        <w:t xml:space="preserve"> оборотных систем моек автотранспорта, поливомоечные работы на территориях объектов</w:t>
      </w:r>
      <w:r w:rsidR="00840C3E" w:rsidRPr="004761E0">
        <w:rPr>
          <w:color w:val="000000"/>
          <w:sz w:val="26"/>
          <w:szCs w:val="26"/>
        </w:rPr>
        <w:t xml:space="preserve"> Общества</w:t>
      </w:r>
      <w:r w:rsidRPr="004761E0">
        <w:rPr>
          <w:color w:val="000000"/>
          <w:sz w:val="26"/>
          <w:szCs w:val="26"/>
        </w:rPr>
        <w:t>. Поверхностные сточные воды образуются посредством выпадения и скопления на твердых поверхностях атмосферных осадков.</w:t>
      </w:r>
    </w:p>
    <w:p w:rsidR="00715EEC" w:rsidRPr="004761E0" w:rsidRDefault="00715EEC" w:rsidP="00715EEC">
      <w:pPr>
        <w:spacing w:before="120" w:after="120"/>
        <w:ind w:firstLine="567"/>
        <w:rPr>
          <w:b/>
          <w:sz w:val="26"/>
          <w:szCs w:val="26"/>
          <w:lang w:eastAsia="ru-RU"/>
        </w:rPr>
      </w:pPr>
      <w:r w:rsidRPr="004761E0">
        <w:rPr>
          <w:b/>
          <w:sz w:val="26"/>
          <w:szCs w:val="26"/>
          <w:lang w:eastAsia="ru-RU"/>
        </w:rPr>
        <w:t xml:space="preserve">Воздействие деятельности Общества на </w:t>
      </w:r>
      <w:r>
        <w:rPr>
          <w:b/>
          <w:sz w:val="26"/>
          <w:szCs w:val="26"/>
          <w:lang w:eastAsia="ru-RU"/>
        </w:rPr>
        <w:t>в</w:t>
      </w:r>
      <w:r w:rsidRPr="004761E0">
        <w:rPr>
          <w:b/>
          <w:sz w:val="26"/>
          <w:szCs w:val="26"/>
          <w:lang w:eastAsia="ru-RU"/>
        </w:rPr>
        <w:t>оздушный бассейн</w:t>
      </w:r>
    </w:p>
    <w:p w:rsidR="00D23DB1" w:rsidRPr="004761E0" w:rsidRDefault="00D23DB1" w:rsidP="00D23DB1">
      <w:pPr>
        <w:pStyle w:val="afc"/>
        <w:tabs>
          <w:tab w:val="left" w:pos="0"/>
        </w:tabs>
        <w:spacing w:before="0" w:beforeAutospacing="0" w:after="0" w:afterAutospacing="0"/>
        <w:ind w:firstLine="567"/>
        <w:jc w:val="both"/>
        <w:rPr>
          <w:color w:val="00B050"/>
          <w:sz w:val="26"/>
          <w:szCs w:val="26"/>
        </w:rPr>
      </w:pPr>
      <w:r w:rsidRPr="004761E0">
        <w:rPr>
          <w:sz w:val="26"/>
          <w:szCs w:val="26"/>
        </w:rPr>
        <w:t>Основное воздействие на состояние атмосферного воздуха оказывают выбросы загрязняющих веществ от автотранспортных средств</w:t>
      </w:r>
      <w:r w:rsidR="00840C3E" w:rsidRPr="004761E0">
        <w:rPr>
          <w:sz w:val="26"/>
          <w:szCs w:val="26"/>
        </w:rPr>
        <w:t xml:space="preserve"> –</w:t>
      </w:r>
      <w:r w:rsidRPr="004761E0">
        <w:rPr>
          <w:sz w:val="26"/>
          <w:szCs w:val="26"/>
        </w:rPr>
        <w:t xml:space="preserve"> спецтехник</w:t>
      </w:r>
      <w:r w:rsidR="00840C3E" w:rsidRPr="004761E0">
        <w:rPr>
          <w:sz w:val="26"/>
          <w:szCs w:val="26"/>
        </w:rPr>
        <w:t>и</w:t>
      </w:r>
      <w:r w:rsidRPr="004761E0">
        <w:rPr>
          <w:sz w:val="26"/>
          <w:szCs w:val="26"/>
        </w:rPr>
        <w:t xml:space="preserve"> (кран</w:t>
      </w:r>
      <w:r w:rsidR="00840C3E" w:rsidRPr="004761E0">
        <w:rPr>
          <w:sz w:val="26"/>
          <w:szCs w:val="26"/>
        </w:rPr>
        <w:t>ов</w:t>
      </w:r>
      <w:r w:rsidRPr="004761E0">
        <w:rPr>
          <w:sz w:val="26"/>
          <w:szCs w:val="26"/>
        </w:rPr>
        <w:t>, выш</w:t>
      </w:r>
      <w:r w:rsidR="00840C3E" w:rsidRPr="004761E0">
        <w:rPr>
          <w:sz w:val="26"/>
          <w:szCs w:val="26"/>
        </w:rPr>
        <w:t>ек</w:t>
      </w:r>
      <w:r w:rsidRPr="004761E0">
        <w:rPr>
          <w:sz w:val="26"/>
          <w:szCs w:val="26"/>
        </w:rPr>
        <w:t>, мобильны</w:t>
      </w:r>
      <w:r w:rsidR="00840C3E" w:rsidRPr="004761E0">
        <w:rPr>
          <w:sz w:val="26"/>
          <w:szCs w:val="26"/>
        </w:rPr>
        <w:t>х</w:t>
      </w:r>
      <w:r w:rsidRPr="004761E0">
        <w:rPr>
          <w:sz w:val="26"/>
          <w:szCs w:val="26"/>
        </w:rPr>
        <w:t xml:space="preserve"> лаборатори</w:t>
      </w:r>
      <w:r w:rsidR="00840C3E" w:rsidRPr="004761E0">
        <w:rPr>
          <w:sz w:val="26"/>
          <w:szCs w:val="26"/>
        </w:rPr>
        <w:t>й</w:t>
      </w:r>
      <w:r w:rsidRPr="004761E0">
        <w:rPr>
          <w:sz w:val="26"/>
          <w:szCs w:val="26"/>
        </w:rPr>
        <w:t xml:space="preserve"> и т.д.), используем</w:t>
      </w:r>
      <w:r w:rsidR="00840C3E" w:rsidRPr="004761E0">
        <w:rPr>
          <w:sz w:val="26"/>
          <w:szCs w:val="26"/>
        </w:rPr>
        <w:t xml:space="preserve">ой </w:t>
      </w:r>
      <w:r w:rsidRPr="004761E0">
        <w:rPr>
          <w:sz w:val="26"/>
          <w:szCs w:val="26"/>
        </w:rPr>
        <w:t>для производственных</w:t>
      </w:r>
      <w:r w:rsidRPr="004761E0">
        <w:rPr>
          <w:color w:val="000000"/>
          <w:sz w:val="26"/>
          <w:szCs w:val="26"/>
        </w:rPr>
        <w:t xml:space="preserve"> и ремонтных работ</w:t>
      </w:r>
      <w:r w:rsidR="00840C3E" w:rsidRPr="004761E0">
        <w:rPr>
          <w:color w:val="000000"/>
          <w:sz w:val="26"/>
          <w:szCs w:val="26"/>
        </w:rPr>
        <w:t xml:space="preserve"> и </w:t>
      </w:r>
      <w:r w:rsidRPr="004761E0">
        <w:rPr>
          <w:color w:val="000000"/>
          <w:sz w:val="26"/>
          <w:szCs w:val="26"/>
        </w:rPr>
        <w:t>личн</w:t>
      </w:r>
      <w:r w:rsidR="00840C3E" w:rsidRPr="004761E0">
        <w:rPr>
          <w:color w:val="000000"/>
          <w:sz w:val="26"/>
          <w:szCs w:val="26"/>
        </w:rPr>
        <w:t>ого</w:t>
      </w:r>
      <w:r w:rsidRPr="004761E0">
        <w:rPr>
          <w:color w:val="000000"/>
          <w:sz w:val="26"/>
          <w:szCs w:val="26"/>
        </w:rPr>
        <w:t xml:space="preserve"> автотранспорт</w:t>
      </w:r>
      <w:r w:rsidR="00840C3E" w:rsidRPr="004761E0">
        <w:rPr>
          <w:color w:val="000000"/>
          <w:sz w:val="26"/>
          <w:szCs w:val="26"/>
        </w:rPr>
        <w:t>а</w:t>
      </w:r>
      <w:r w:rsidRPr="004761E0">
        <w:rPr>
          <w:color w:val="000000"/>
          <w:sz w:val="26"/>
          <w:szCs w:val="26"/>
        </w:rPr>
        <w:t xml:space="preserve"> сотрудников </w:t>
      </w:r>
      <w:r w:rsidR="00840C3E" w:rsidRPr="004761E0">
        <w:rPr>
          <w:color w:val="000000"/>
          <w:sz w:val="26"/>
          <w:szCs w:val="26"/>
        </w:rPr>
        <w:t>К</w:t>
      </w:r>
      <w:r w:rsidRPr="004761E0">
        <w:rPr>
          <w:color w:val="000000"/>
          <w:sz w:val="26"/>
          <w:szCs w:val="26"/>
        </w:rPr>
        <w:t>омпании.</w:t>
      </w:r>
    </w:p>
    <w:p w:rsidR="00D23DB1" w:rsidRPr="004761E0" w:rsidRDefault="00D23DB1" w:rsidP="00D23DB1">
      <w:pPr>
        <w:pStyle w:val="afc"/>
        <w:tabs>
          <w:tab w:val="left" w:pos="0"/>
        </w:tabs>
        <w:spacing w:before="0" w:beforeAutospacing="0" w:after="0" w:afterAutospacing="0"/>
        <w:ind w:firstLine="567"/>
        <w:jc w:val="both"/>
        <w:rPr>
          <w:sz w:val="26"/>
          <w:szCs w:val="26"/>
        </w:rPr>
      </w:pPr>
      <w:r w:rsidRPr="004761E0">
        <w:rPr>
          <w:sz w:val="26"/>
          <w:szCs w:val="26"/>
        </w:rPr>
        <w:t>От работающих двигателей внутреннего сгорания автомобильной техники происходят выбросы твердых веществ, преимущественно саж</w:t>
      </w:r>
      <w:r w:rsidR="00840C3E" w:rsidRPr="004761E0">
        <w:rPr>
          <w:sz w:val="26"/>
          <w:szCs w:val="26"/>
        </w:rPr>
        <w:t>и</w:t>
      </w:r>
      <w:r w:rsidRPr="004761E0">
        <w:rPr>
          <w:sz w:val="26"/>
          <w:szCs w:val="26"/>
        </w:rPr>
        <w:t>. При выполнении электросварочных работ (резка металла) в атмосферу</w:t>
      </w:r>
      <w:r w:rsidR="00840C3E" w:rsidRPr="004761E0">
        <w:rPr>
          <w:sz w:val="26"/>
          <w:szCs w:val="26"/>
        </w:rPr>
        <w:t xml:space="preserve"> происходят </w:t>
      </w:r>
      <w:r w:rsidRPr="004761E0">
        <w:rPr>
          <w:sz w:val="26"/>
          <w:szCs w:val="26"/>
        </w:rPr>
        <w:t>выбросы твердых загрязняющих веществ в виде оксидов железа и марганца.</w:t>
      </w:r>
    </w:p>
    <w:p w:rsidR="00D23DB1" w:rsidRPr="004761E0" w:rsidRDefault="00D23DB1" w:rsidP="00D23DB1">
      <w:pPr>
        <w:pStyle w:val="afc"/>
        <w:tabs>
          <w:tab w:val="left" w:pos="0"/>
        </w:tabs>
        <w:spacing w:before="0" w:beforeAutospacing="0" w:after="0" w:afterAutospacing="0"/>
        <w:ind w:firstLine="567"/>
        <w:jc w:val="both"/>
        <w:rPr>
          <w:sz w:val="26"/>
          <w:szCs w:val="26"/>
        </w:rPr>
      </w:pPr>
      <w:r w:rsidRPr="004761E0">
        <w:rPr>
          <w:sz w:val="26"/>
          <w:szCs w:val="26"/>
        </w:rPr>
        <w:t xml:space="preserve">Кроме того, на энергообъектах Компании широко используется элегазовое оборудование (трансформаторы тока, трансформаторы напряжения, баковые выключатели, колонковые выключатели, </w:t>
      </w:r>
      <w:r w:rsidR="00840C3E" w:rsidRPr="004761E0">
        <w:rPr>
          <w:sz w:val="26"/>
          <w:szCs w:val="26"/>
        </w:rPr>
        <w:t>комплектные распределительные устройства элегазовые</w:t>
      </w:r>
      <w:r w:rsidRPr="004761E0">
        <w:rPr>
          <w:sz w:val="26"/>
          <w:szCs w:val="26"/>
        </w:rPr>
        <w:t xml:space="preserve"> и т.д.). Результатом применения данного оборудования в распределительных сетях является повышение надежности электроснабжения, безопасности персонала и снижени</w:t>
      </w:r>
      <w:r w:rsidR="00840C3E" w:rsidRPr="004761E0">
        <w:rPr>
          <w:sz w:val="26"/>
          <w:szCs w:val="26"/>
        </w:rPr>
        <w:t>е</w:t>
      </w:r>
      <w:r w:rsidRPr="004761E0">
        <w:rPr>
          <w:sz w:val="26"/>
          <w:szCs w:val="26"/>
        </w:rPr>
        <w:t xml:space="preserve"> эксплуатационных расходов. В процессе работы элегазового оборудования происходит утечка элегаза, количество которого в СО</w:t>
      </w:r>
      <w:r w:rsidRPr="004761E0">
        <w:rPr>
          <w:sz w:val="26"/>
          <w:szCs w:val="26"/>
          <w:vertAlign w:val="superscript"/>
        </w:rPr>
        <w:t>2</w:t>
      </w:r>
      <w:r w:rsidRPr="004761E0">
        <w:rPr>
          <w:sz w:val="26"/>
          <w:szCs w:val="26"/>
        </w:rPr>
        <w:t xml:space="preserve"> эквиваленте определяется расчетным методом.</w:t>
      </w:r>
    </w:p>
    <w:p w:rsidR="00D23DB1" w:rsidRPr="004761E0" w:rsidRDefault="00D23DB1" w:rsidP="00D23DB1">
      <w:pPr>
        <w:pStyle w:val="afc"/>
        <w:tabs>
          <w:tab w:val="left" w:pos="0"/>
        </w:tabs>
        <w:spacing w:before="0" w:beforeAutospacing="0" w:after="0" w:afterAutospacing="0"/>
        <w:ind w:firstLine="567"/>
        <w:jc w:val="both"/>
        <w:rPr>
          <w:color w:val="000000"/>
          <w:sz w:val="26"/>
          <w:szCs w:val="26"/>
        </w:rPr>
      </w:pPr>
      <w:r w:rsidRPr="004761E0">
        <w:rPr>
          <w:sz w:val="26"/>
          <w:szCs w:val="26"/>
        </w:rPr>
        <w:t xml:space="preserve">На окружающую среду объекты Общества оказывают шумовое воздействие посредством работы </w:t>
      </w:r>
      <w:r w:rsidR="00840C3E" w:rsidRPr="004761E0">
        <w:rPr>
          <w:sz w:val="26"/>
          <w:szCs w:val="26"/>
        </w:rPr>
        <w:t xml:space="preserve">установленного на подстанциях </w:t>
      </w:r>
      <w:r w:rsidRPr="004761E0">
        <w:rPr>
          <w:sz w:val="26"/>
          <w:szCs w:val="26"/>
        </w:rPr>
        <w:t>электрооборудования (трансформаторы, выключате</w:t>
      </w:r>
      <w:r w:rsidRPr="004761E0">
        <w:rPr>
          <w:color w:val="000000"/>
          <w:sz w:val="26"/>
          <w:szCs w:val="26"/>
        </w:rPr>
        <w:t>ли), котор</w:t>
      </w:r>
      <w:r w:rsidR="00840C3E" w:rsidRPr="004761E0">
        <w:rPr>
          <w:color w:val="000000"/>
          <w:sz w:val="26"/>
          <w:szCs w:val="26"/>
        </w:rPr>
        <w:t>о</w:t>
      </w:r>
      <w:r w:rsidRPr="004761E0">
        <w:rPr>
          <w:color w:val="000000"/>
          <w:sz w:val="26"/>
          <w:szCs w:val="26"/>
        </w:rPr>
        <w:t>е в зависимости от мощности име</w:t>
      </w:r>
      <w:r w:rsidR="00840C3E" w:rsidRPr="004761E0">
        <w:rPr>
          <w:color w:val="000000"/>
          <w:sz w:val="26"/>
          <w:szCs w:val="26"/>
        </w:rPr>
        <w:t>е</w:t>
      </w:r>
      <w:r w:rsidRPr="004761E0">
        <w:rPr>
          <w:color w:val="000000"/>
          <w:sz w:val="26"/>
          <w:szCs w:val="26"/>
        </w:rPr>
        <w:t>т соответствующие шумовые характеристики.</w:t>
      </w:r>
    </w:p>
    <w:p w:rsidR="00715EEC" w:rsidRPr="004761E0" w:rsidRDefault="00715EEC" w:rsidP="00715EEC">
      <w:pPr>
        <w:spacing w:before="120" w:after="120"/>
        <w:ind w:firstLine="567"/>
        <w:rPr>
          <w:b/>
          <w:sz w:val="26"/>
          <w:szCs w:val="26"/>
          <w:lang w:eastAsia="ru-RU"/>
        </w:rPr>
      </w:pPr>
      <w:r w:rsidRPr="004761E0">
        <w:rPr>
          <w:b/>
          <w:sz w:val="26"/>
          <w:szCs w:val="26"/>
          <w:lang w:eastAsia="ru-RU"/>
        </w:rPr>
        <w:t xml:space="preserve">Воздействие деятельности Общества на </w:t>
      </w:r>
      <w:r>
        <w:rPr>
          <w:b/>
          <w:sz w:val="26"/>
          <w:szCs w:val="26"/>
          <w:lang w:eastAsia="ru-RU"/>
        </w:rPr>
        <w:t>з</w:t>
      </w:r>
      <w:r w:rsidRPr="004761E0">
        <w:rPr>
          <w:b/>
          <w:sz w:val="26"/>
          <w:szCs w:val="26"/>
          <w:lang w:eastAsia="ru-RU"/>
        </w:rPr>
        <w:t>емельные ресурсы</w:t>
      </w:r>
    </w:p>
    <w:p w:rsidR="00D23DB1" w:rsidRPr="004761E0" w:rsidRDefault="00D23DB1" w:rsidP="00763174">
      <w:pPr>
        <w:pStyle w:val="afc"/>
        <w:tabs>
          <w:tab w:val="left" w:pos="0"/>
        </w:tabs>
        <w:spacing w:before="0" w:beforeAutospacing="0" w:after="0" w:afterAutospacing="0"/>
        <w:ind w:firstLine="567"/>
        <w:jc w:val="both"/>
        <w:rPr>
          <w:sz w:val="26"/>
          <w:szCs w:val="26"/>
        </w:rPr>
      </w:pPr>
      <w:r w:rsidRPr="004761E0">
        <w:rPr>
          <w:sz w:val="26"/>
          <w:szCs w:val="26"/>
        </w:rPr>
        <w:t xml:space="preserve">Основными видами воздействия Общества на экологическое состояние земельных ресурсов являются эксплуатация маслонаполненного оборудования </w:t>
      </w:r>
      <w:r w:rsidR="00840C3E" w:rsidRPr="004761E0">
        <w:rPr>
          <w:sz w:val="26"/>
          <w:szCs w:val="26"/>
        </w:rPr>
        <w:t>(</w:t>
      </w:r>
      <w:r w:rsidRPr="004761E0">
        <w:rPr>
          <w:sz w:val="26"/>
          <w:szCs w:val="26"/>
        </w:rPr>
        <w:t xml:space="preserve">в </w:t>
      </w:r>
      <w:r w:rsidRPr="004761E0">
        <w:rPr>
          <w:sz w:val="26"/>
          <w:szCs w:val="26"/>
        </w:rPr>
        <w:lastRenderedPageBreak/>
        <w:t>процессе работы маслонаполненных трансформаторов, выключателей и т.д., ввиду не полной герметичности может осуществляться выделение масла</w:t>
      </w:r>
      <w:r w:rsidR="00840C3E" w:rsidRPr="004761E0">
        <w:rPr>
          <w:sz w:val="26"/>
          <w:szCs w:val="26"/>
        </w:rPr>
        <w:t xml:space="preserve">) и </w:t>
      </w:r>
      <w:r w:rsidRPr="004761E0">
        <w:rPr>
          <w:sz w:val="26"/>
          <w:szCs w:val="26"/>
        </w:rPr>
        <w:t xml:space="preserve">обращение с отходами производства и потребления, образуемых в результате коммунальной и производственной </w:t>
      </w:r>
      <w:r w:rsidR="00763174" w:rsidRPr="004761E0">
        <w:rPr>
          <w:sz w:val="26"/>
          <w:szCs w:val="26"/>
        </w:rPr>
        <w:t>деятельности на объектах К</w:t>
      </w:r>
      <w:r w:rsidRPr="004761E0">
        <w:rPr>
          <w:sz w:val="26"/>
          <w:szCs w:val="26"/>
        </w:rPr>
        <w:t>омпании.</w:t>
      </w:r>
    </w:p>
    <w:p w:rsidR="00D23DB1" w:rsidRPr="004761E0" w:rsidRDefault="00763174" w:rsidP="00763174">
      <w:pPr>
        <w:pStyle w:val="afc"/>
        <w:tabs>
          <w:tab w:val="left" w:pos="0"/>
        </w:tabs>
        <w:spacing w:before="0" w:beforeAutospacing="0" w:after="0" w:afterAutospacing="0"/>
        <w:ind w:firstLine="567"/>
        <w:jc w:val="both"/>
        <w:rPr>
          <w:sz w:val="26"/>
          <w:szCs w:val="26"/>
        </w:rPr>
      </w:pPr>
      <w:r w:rsidRPr="004761E0">
        <w:rPr>
          <w:sz w:val="26"/>
          <w:szCs w:val="26"/>
        </w:rPr>
        <w:t xml:space="preserve">Основной вклад в образование </w:t>
      </w:r>
      <w:r w:rsidR="00D23DB1" w:rsidRPr="004761E0">
        <w:rPr>
          <w:sz w:val="26"/>
          <w:szCs w:val="26"/>
        </w:rPr>
        <w:t>отходов производства и потребления вносят строительство, реконструкция и ремонты объектов электросетевого комплекса О</w:t>
      </w:r>
      <w:r w:rsidRPr="004761E0">
        <w:rPr>
          <w:sz w:val="26"/>
          <w:szCs w:val="26"/>
        </w:rPr>
        <w:t>бщества</w:t>
      </w:r>
      <w:r w:rsidR="00D23DB1" w:rsidRPr="004761E0">
        <w:rPr>
          <w:sz w:val="26"/>
          <w:szCs w:val="26"/>
        </w:rPr>
        <w:t xml:space="preserve">, работы по расчистке просек для </w:t>
      </w:r>
      <w:r w:rsidRPr="004761E0">
        <w:rPr>
          <w:sz w:val="26"/>
          <w:szCs w:val="26"/>
        </w:rPr>
        <w:t>ЛЭП</w:t>
      </w:r>
      <w:r w:rsidR="00D23DB1" w:rsidRPr="004761E0">
        <w:rPr>
          <w:sz w:val="26"/>
          <w:szCs w:val="26"/>
        </w:rPr>
        <w:t>.</w:t>
      </w:r>
    </w:p>
    <w:p w:rsidR="00E14217" w:rsidRPr="004761E0" w:rsidRDefault="00E14217" w:rsidP="00E14217">
      <w:pPr>
        <w:pStyle w:val="afc"/>
        <w:tabs>
          <w:tab w:val="num" w:pos="1134"/>
        </w:tabs>
        <w:spacing w:before="0" w:beforeAutospacing="0" w:after="0" w:afterAutospacing="0"/>
        <w:ind w:left="1134"/>
        <w:jc w:val="both"/>
        <w:rPr>
          <w:sz w:val="26"/>
          <w:szCs w:val="26"/>
        </w:rPr>
      </w:pPr>
    </w:p>
    <w:p w:rsidR="00E14217" w:rsidRPr="004761E0" w:rsidRDefault="00E14217" w:rsidP="00E14217">
      <w:pPr>
        <w:pStyle w:val="afc"/>
        <w:spacing w:before="0" w:beforeAutospacing="0" w:after="0" w:afterAutospacing="0"/>
        <w:ind w:left="1134"/>
        <w:jc w:val="both"/>
        <w:rPr>
          <w:sz w:val="26"/>
          <w:szCs w:val="26"/>
        </w:rPr>
        <w:sectPr w:rsidR="00E14217" w:rsidRPr="004761E0" w:rsidSect="00763174">
          <w:footerReference w:type="first" r:id="rId205"/>
          <w:pgSz w:w="11906" w:h="16838"/>
          <w:pgMar w:top="1078" w:right="846" w:bottom="719" w:left="1559" w:header="709" w:footer="709" w:gutter="0"/>
          <w:cols w:space="708"/>
          <w:titlePg/>
          <w:docGrid w:linePitch="381"/>
        </w:sectPr>
      </w:pPr>
    </w:p>
    <w:tbl>
      <w:tblPr>
        <w:tblW w:w="157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
        <w:gridCol w:w="1721"/>
        <w:gridCol w:w="10489"/>
        <w:gridCol w:w="2977"/>
      </w:tblGrid>
      <w:tr w:rsidR="00A224C0" w:rsidRPr="004761E0" w:rsidTr="00A224C0">
        <w:tc>
          <w:tcPr>
            <w:tcW w:w="547" w:type="dxa"/>
            <w:tcBorders>
              <w:bottom w:val="single" w:sz="4" w:space="0" w:color="auto"/>
              <w:right w:val="single" w:sz="4" w:space="0" w:color="FFFFFF"/>
            </w:tcBorders>
            <w:shd w:val="clear" w:color="auto" w:fill="0F243E"/>
          </w:tcPr>
          <w:p w:rsidR="00A224C0" w:rsidRPr="00864114" w:rsidRDefault="00A224C0" w:rsidP="00A224C0">
            <w:pPr>
              <w:pStyle w:val="afc"/>
              <w:spacing w:before="0" w:beforeAutospacing="0" w:after="0" w:afterAutospacing="0"/>
              <w:jc w:val="both"/>
              <w:rPr>
                <w:b/>
                <w:color w:val="FFFFFF"/>
                <w:sz w:val="20"/>
                <w:szCs w:val="20"/>
              </w:rPr>
            </w:pPr>
            <w:r w:rsidRPr="00864114">
              <w:rPr>
                <w:b/>
                <w:color w:val="FFFFFF"/>
                <w:sz w:val="20"/>
                <w:szCs w:val="20"/>
              </w:rPr>
              <w:lastRenderedPageBreak/>
              <w:t xml:space="preserve">№ п/п </w:t>
            </w:r>
          </w:p>
        </w:tc>
        <w:tc>
          <w:tcPr>
            <w:tcW w:w="1721" w:type="dxa"/>
            <w:tcBorders>
              <w:left w:val="single" w:sz="4" w:space="0" w:color="FFFFFF"/>
              <w:bottom w:val="single" w:sz="4" w:space="0" w:color="auto"/>
              <w:right w:val="single" w:sz="4" w:space="0" w:color="FFFFFF"/>
            </w:tcBorders>
            <w:shd w:val="clear" w:color="auto" w:fill="0F243E"/>
            <w:vAlign w:val="center"/>
          </w:tcPr>
          <w:p w:rsidR="00A224C0" w:rsidRPr="00864114" w:rsidRDefault="00A224C0" w:rsidP="00A224C0">
            <w:pPr>
              <w:pStyle w:val="afc"/>
              <w:spacing w:before="0" w:beforeAutospacing="0" w:after="0" w:afterAutospacing="0"/>
              <w:rPr>
                <w:b/>
                <w:color w:val="FFFFFF"/>
                <w:sz w:val="20"/>
                <w:szCs w:val="20"/>
              </w:rPr>
            </w:pPr>
            <w:r w:rsidRPr="00864114">
              <w:rPr>
                <w:b/>
                <w:color w:val="FFFFFF"/>
                <w:sz w:val="20"/>
                <w:szCs w:val="20"/>
              </w:rPr>
              <w:t>Направления экологической политики</w:t>
            </w:r>
          </w:p>
        </w:tc>
        <w:tc>
          <w:tcPr>
            <w:tcW w:w="10489" w:type="dxa"/>
            <w:tcBorders>
              <w:left w:val="single" w:sz="4" w:space="0" w:color="FFFFFF"/>
              <w:bottom w:val="single" w:sz="4" w:space="0" w:color="auto"/>
              <w:right w:val="single" w:sz="4" w:space="0" w:color="FFFFFF"/>
            </w:tcBorders>
            <w:shd w:val="clear" w:color="auto" w:fill="0F243E"/>
            <w:vAlign w:val="center"/>
          </w:tcPr>
          <w:p w:rsidR="00A224C0" w:rsidRPr="00864114" w:rsidRDefault="00A224C0" w:rsidP="00A224C0">
            <w:pPr>
              <w:pStyle w:val="afc"/>
              <w:spacing w:before="0" w:beforeAutospacing="0" w:after="0" w:afterAutospacing="0"/>
              <w:rPr>
                <w:b/>
                <w:color w:val="FFFFFF"/>
                <w:sz w:val="20"/>
                <w:szCs w:val="20"/>
              </w:rPr>
            </w:pPr>
            <w:r w:rsidRPr="00864114">
              <w:rPr>
                <w:b/>
                <w:color w:val="FFFFFF"/>
                <w:sz w:val="20"/>
                <w:szCs w:val="20"/>
              </w:rPr>
              <w:t>Проведенные мероприятия в 2013 году</w:t>
            </w:r>
          </w:p>
        </w:tc>
        <w:tc>
          <w:tcPr>
            <w:tcW w:w="2977" w:type="dxa"/>
            <w:tcBorders>
              <w:left w:val="single" w:sz="4" w:space="0" w:color="FFFFFF"/>
              <w:bottom w:val="single" w:sz="4" w:space="0" w:color="auto"/>
            </w:tcBorders>
            <w:shd w:val="clear" w:color="auto" w:fill="0F243E"/>
            <w:vAlign w:val="center"/>
          </w:tcPr>
          <w:p w:rsidR="00A224C0" w:rsidRPr="00864114" w:rsidRDefault="00A224C0" w:rsidP="00A224C0">
            <w:pPr>
              <w:pStyle w:val="afc"/>
              <w:spacing w:before="0" w:beforeAutospacing="0" w:after="0" w:afterAutospacing="0"/>
              <w:rPr>
                <w:b/>
                <w:color w:val="FFFFFF"/>
                <w:sz w:val="20"/>
                <w:szCs w:val="20"/>
              </w:rPr>
            </w:pPr>
            <w:r w:rsidRPr="00864114">
              <w:rPr>
                <w:b/>
                <w:color w:val="FFFFFF"/>
                <w:sz w:val="20"/>
                <w:szCs w:val="20"/>
              </w:rPr>
              <w:t xml:space="preserve">Основные результаты </w:t>
            </w:r>
          </w:p>
        </w:tc>
      </w:tr>
      <w:tr w:rsidR="00A224C0" w:rsidRPr="004761E0" w:rsidTr="00A224C0">
        <w:tc>
          <w:tcPr>
            <w:tcW w:w="547" w:type="dxa"/>
            <w:vMerge w:val="restart"/>
            <w:tcBorders>
              <w:top w:val="single" w:sz="4" w:space="0" w:color="auto"/>
              <w:left w:val="single" w:sz="4" w:space="0" w:color="auto"/>
            </w:tcBorders>
          </w:tcPr>
          <w:p w:rsidR="00A224C0" w:rsidRPr="00864114" w:rsidRDefault="00A224C0" w:rsidP="007076A7">
            <w:pPr>
              <w:numPr>
                <w:ilvl w:val="0"/>
                <w:numId w:val="244"/>
              </w:numPr>
              <w:jc w:val="left"/>
              <w:rPr>
                <w:color w:val="000000"/>
                <w:sz w:val="20"/>
                <w:szCs w:val="20"/>
                <w:lang w:eastAsia="ru-RU"/>
              </w:rPr>
            </w:pPr>
          </w:p>
        </w:tc>
        <w:tc>
          <w:tcPr>
            <w:tcW w:w="1721" w:type="dxa"/>
            <w:vMerge w:val="restart"/>
            <w:tcBorders>
              <w:top w:val="single" w:sz="4" w:space="0" w:color="auto"/>
            </w:tcBorders>
          </w:tcPr>
          <w:p w:rsidR="00A224C0" w:rsidRPr="00864114" w:rsidRDefault="00A224C0" w:rsidP="00A224C0">
            <w:pPr>
              <w:pStyle w:val="afc"/>
              <w:rPr>
                <w:sz w:val="20"/>
                <w:szCs w:val="20"/>
              </w:rPr>
            </w:pPr>
            <w:r w:rsidRPr="00864114">
              <w:rPr>
                <w:sz w:val="20"/>
                <w:szCs w:val="20"/>
              </w:rPr>
              <w:t>Охрана водного бассейна</w:t>
            </w:r>
          </w:p>
        </w:tc>
        <w:tc>
          <w:tcPr>
            <w:tcW w:w="10489" w:type="dxa"/>
            <w:tcBorders>
              <w:top w:val="single" w:sz="4" w:space="0" w:color="auto"/>
            </w:tcBorders>
          </w:tcPr>
          <w:p w:rsidR="00A224C0" w:rsidRPr="00864114" w:rsidRDefault="00A224C0" w:rsidP="00A224C0">
            <w:pPr>
              <w:pStyle w:val="afc"/>
              <w:spacing w:before="0" w:beforeAutospacing="0" w:after="0" w:afterAutospacing="0"/>
              <w:rPr>
                <w:sz w:val="20"/>
                <w:szCs w:val="20"/>
              </w:rPr>
            </w:pPr>
            <w:r w:rsidRPr="00864114">
              <w:rPr>
                <w:sz w:val="20"/>
                <w:szCs w:val="20"/>
              </w:rPr>
              <w:t>Для улучшения качества сточных вод и повышения эффективности работы очистных сооружений в 2013 году проведены следующие мероприятия:</w:t>
            </w:r>
          </w:p>
          <w:p w:rsidR="00A224C0" w:rsidRPr="00864114" w:rsidRDefault="00A224C0" w:rsidP="007076A7">
            <w:pPr>
              <w:pStyle w:val="afc"/>
              <w:numPr>
                <w:ilvl w:val="1"/>
                <w:numId w:val="245"/>
              </w:numPr>
              <w:spacing w:before="0" w:beforeAutospacing="0" w:after="0" w:afterAutospacing="0"/>
              <w:ind w:left="318" w:hanging="284"/>
              <w:jc w:val="both"/>
              <w:rPr>
                <w:sz w:val="20"/>
                <w:szCs w:val="20"/>
              </w:rPr>
            </w:pPr>
            <w:r w:rsidRPr="00864114">
              <w:rPr>
                <w:sz w:val="20"/>
                <w:szCs w:val="20"/>
              </w:rPr>
              <w:t xml:space="preserve">для системы ливневой канализации, в которую осуществляется поступление поверхностных сточных вод с объектов Компании, расположенных в г. Москве выполнены работы по повышению эффективности работы очистных сооружений. </w:t>
            </w:r>
          </w:p>
        </w:tc>
        <w:tc>
          <w:tcPr>
            <w:tcW w:w="2977" w:type="dxa"/>
            <w:tcBorders>
              <w:top w:val="single" w:sz="4" w:space="0" w:color="auto"/>
              <w:right w:val="single" w:sz="4" w:space="0" w:color="auto"/>
            </w:tcBorders>
          </w:tcPr>
          <w:p w:rsidR="00A224C0" w:rsidRPr="00864114" w:rsidRDefault="00A224C0" w:rsidP="00A224C0">
            <w:pPr>
              <w:pStyle w:val="afc"/>
              <w:rPr>
                <w:sz w:val="20"/>
                <w:szCs w:val="20"/>
              </w:rPr>
            </w:pPr>
            <w:r w:rsidRPr="00864114">
              <w:rPr>
                <w:sz w:val="20"/>
                <w:szCs w:val="20"/>
              </w:rPr>
              <w:t>По объектам филиала МКС проведены работы по санации очистных сооружений с подтверждением уменьшения сброса загрязняющих веществ</w:t>
            </w:r>
          </w:p>
        </w:tc>
      </w:tr>
      <w:tr w:rsidR="00A224C0" w:rsidRPr="004761E0" w:rsidTr="00A224C0">
        <w:tc>
          <w:tcPr>
            <w:tcW w:w="547" w:type="dxa"/>
            <w:vMerge/>
            <w:tcBorders>
              <w:left w:val="single" w:sz="4" w:space="0" w:color="auto"/>
            </w:tcBorders>
          </w:tcPr>
          <w:p w:rsidR="00A224C0" w:rsidRPr="00864114" w:rsidRDefault="00A224C0" w:rsidP="00A224C0">
            <w:pPr>
              <w:ind w:left="360" w:firstLine="0"/>
              <w:jc w:val="left"/>
              <w:rPr>
                <w:color w:val="000000"/>
                <w:sz w:val="20"/>
                <w:szCs w:val="20"/>
                <w:lang w:eastAsia="ru-RU"/>
              </w:rPr>
            </w:pPr>
          </w:p>
        </w:tc>
        <w:tc>
          <w:tcPr>
            <w:tcW w:w="1721" w:type="dxa"/>
            <w:vMerge/>
          </w:tcPr>
          <w:p w:rsidR="00A224C0" w:rsidRPr="00864114" w:rsidRDefault="00A224C0" w:rsidP="00A224C0">
            <w:pPr>
              <w:pStyle w:val="afc"/>
              <w:rPr>
                <w:sz w:val="20"/>
                <w:szCs w:val="20"/>
              </w:rPr>
            </w:pPr>
          </w:p>
        </w:tc>
        <w:tc>
          <w:tcPr>
            <w:tcW w:w="10489" w:type="dxa"/>
            <w:tcBorders>
              <w:top w:val="single" w:sz="4" w:space="0" w:color="auto"/>
            </w:tcBorders>
          </w:tcPr>
          <w:p w:rsidR="00A224C0" w:rsidRPr="00864114" w:rsidRDefault="00A224C0" w:rsidP="007076A7">
            <w:pPr>
              <w:pStyle w:val="afc"/>
              <w:numPr>
                <w:ilvl w:val="0"/>
                <w:numId w:val="239"/>
              </w:numPr>
              <w:spacing w:before="0" w:beforeAutospacing="0" w:after="0" w:afterAutospacing="0"/>
              <w:ind w:left="318" w:hanging="273"/>
              <w:jc w:val="both"/>
              <w:rPr>
                <w:sz w:val="20"/>
                <w:szCs w:val="20"/>
              </w:rPr>
            </w:pPr>
            <w:r w:rsidRPr="00864114">
              <w:rPr>
                <w:sz w:val="20"/>
                <w:szCs w:val="20"/>
              </w:rPr>
              <w:t>для целей рационального учета количества сточных вод в коммунальные системы водоотведения установлены счетчики потребления воды на объектах филиалов ЦЭС и СЭС.</w:t>
            </w:r>
          </w:p>
        </w:tc>
        <w:tc>
          <w:tcPr>
            <w:tcW w:w="2977" w:type="dxa"/>
            <w:tcBorders>
              <w:top w:val="single" w:sz="4" w:space="0" w:color="auto"/>
              <w:right w:val="single" w:sz="4" w:space="0" w:color="auto"/>
            </w:tcBorders>
          </w:tcPr>
          <w:p w:rsidR="00A224C0" w:rsidRPr="00864114" w:rsidRDefault="00A224C0" w:rsidP="00A224C0">
            <w:pPr>
              <w:pStyle w:val="afc"/>
              <w:rPr>
                <w:sz w:val="20"/>
                <w:szCs w:val="20"/>
              </w:rPr>
            </w:pPr>
            <w:r w:rsidRPr="00864114">
              <w:rPr>
                <w:sz w:val="20"/>
                <w:szCs w:val="20"/>
              </w:rPr>
              <w:t>Водопотребление в 2013</w:t>
            </w:r>
            <w:r>
              <w:rPr>
                <w:sz w:val="20"/>
                <w:szCs w:val="20"/>
              </w:rPr>
              <w:t xml:space="preserve"> </w:t>
            </w:r>
            <w:r w:rsidRPr="00864114">
              <w:rPr>
                <w:sz w:val="20"/>
                <w:szCs w:val="20"/>
              </w:rPr>
              <w:t>г</w:t>
            </w:r>
            <w:r>
              <w:rPr>
                <w:sz w:val="20"/>
                <w:szCs w:val="20"/>
              </w:rPr>
              <w:t>оду</w:t>
            </w:r>
            <w:r w:rsidRPr="00864114">
              <w:rPr>
                <w:sz w:val="20"/>
                <w:szCs w:val="20"/>
              </w:rPr>
              <w:t xml:space="preserve"> по сравнению с 2012</w:t>
            </w:r>
            <w:r>
              <w:rPr>
                <w:sz w:val="20"/>
                <w:szCs w:val="20"/>
              </w:rPr>
              <w:t xml:space="preserve"> </w:t>
            </w:r>
            <w:r w:rsidRPr="00864114">
              <w:rPr>
                <w:sz w:val="20"/>
                <w:szCs w:val="20"/>
              </w:rPr>
              <w:t>г</w:t>
            </w:r>
            <w:r>
              <w:rPr>
                <w:sz w:val="20"/>
                <w:szCs w:val="20"/>
              </w:rPr>
              <w:t>одом</w:t>
            </w:r>
            <w:r w:rsidRPr="00864114">
              <w:rPr>
                <w:sz w:val="20"/>
                <w:szCs w:val="20"/>
              </w:rPr>
              <w:t xml:space="preserve"> сократилось  на 14,86</w:t>
            </w:r>
            <w:r>
              <w:rPr>
                <w:sz w:val="20"/>
                <w:szCs w:val="20"/>
              </w:rPr>
              <w:t xml:space="preserve"> </w:t>
            </w:r>
            <w:r w:rsidRPr="00864114">
              <w:rPr>
                <w:sz w:val="20"/>
                <w:szCs w:val="20"/>
              </w:rPr>
              <w:t>% или на 52 тыс. м</w:t>
            </w:r>
            <w:r w:rsidRPr="00A224C0">
              <w:rPr>
                <w:sz w:val="20"/>
                <w:szCs w:val="20"/>
                <w:vertAlign w:val="superscript"/>
              </w:rPr>
              <w:t>3</w:t>
            </w:r>
          </w:p>
        </w:tc>
      </w:tr>
      <w:tr w:rsidR="00A224C0" w:rsidRPr="004761E0" w:rsidTr="00A224C0">
        <w:tc>
          <w:tcPr>
            <w:tcW w:w="547" w:type="dxa"/>
            <w:vMerge/>
            <w:tcBorders>
              <w:left w:val="single" w:sz="4" w:space="0" w:color="auto"/>
            </w:tcBorders>
          </w:tcPr>
          <w:p w:rsidR="00A224C0" w:rsidRPr="00864114" w:rsidRDefault="00A224C0" w:rsidP="00A224C0">
            <w:pPr>
              <w:ind w:left="360" w:firstLine="0"/>
              <w:jc w:val="left"/>
              <w:rPr>
                <w:color w:val="000000"/>
                <w:sz w:val="20"/>
                <w:szCs w:val="20"/>
                <w:lang w:eastAsia="ru-RU"/>
              </w:rPr>
            </w:pPr>
          </w:p>
        </w:tc>
        <w:tc>
          <w:tcPr>
            <w:tcW w:w="1721" w:type="dxa"/>
            <w:vMerge/>
          </w:tcPr>
          <w:p w:rsidR="00A224C0" w:rsidRPr="00864114" w:rsidRDefault="00A224C0" w:rsidP="00A224C0">
            <w:pPr>
              <w:pStyle w:val="afc"/>
              <w:rPr>
                <w:sz w:val="20"/>
                <w:szCs w:val="20"/>
              </w:rPr>
            </w:pPr>
          </w:p>
        </w:tc>
        <w:tc>
          <w:tcPr>
            <w:tcW w:w="10489" w:type="dxa"/>
            <w:tcBorders>
              <w:top w:val="single" w:sz="4" w:space="0" w:color="auto"/>
            </w:tcBorders>
          </w:tcPr>
          <w:p w:rsidR="00A224C0" w:rsidRPr="00864114" w:rsidRDefault="00A224C0" w:rsidP="007076A7">
            <w:pPr>
              <w:pStyle w:val="afc"/>
              <w:numPr>
                <w:ilvl w:val="0"/>
                <w:numId w:val="239"/>
              </w:numPr>
              <w:spacing w:before="0" w:beforeAutospacing="0" w:after="0" w:afterAutospacing="0"/>
              <w:ind w:left="318" w:hanging="273"/>
              <w:jc w:val="both"/>
              <w:rPr>
                <w:sz w:val="20"/>
                <w:szCs w:val="20"/>
              </w:rPr>
            </w:pPr>
            <w:r w:rsidRPr="00864114">
              <w:rPr>
                <w:sz w:val="20"/>
                <w:szCs w:val="20"/>
              </w:rPr>
              <w:t>для целей исключения попадания загрязняющих веществ от моек автотранспортных средств в системы коммунального водоотведения осуществлен контроль состояния и эффективности работы очистных сооружений моек автотранспорта.</w:t>
            </w:r>
          </w:p>
        </w:tc>
        <w:tc>
          <w:tcPr>
            <w:tcW w:w="2977" w:type="dxa"/>
            <w:tcBorders>
              <w:top w:val="single" w:sz="4" w:space="0" w:color="auto"/>
              <w:right w:val="single" w:sz="4" w:space="0" w:color="auto"/>
            </w:tcBorders>
          </w:tcPr>
          <w:p w:rsidR="00A224C0" w:rsidRPr="00864114" w:rsidRDefault="00A224C0" w:rsidP="00A224C0">
            <w:pPr>
              <w:pStyle w:val="afc"/>
              <w:rPr>
                <w:sz w:val="20"/>
                <w:szCs w:val="20"/>
              </w:rPr>
            </w:pPr>
            <w:r w:rsidRPr="00864114">
              <w:rPr>
                <w:sz w:val="20"/>
                <w:szCs w:val="20"/>
              </w:rPr>
              <w:t>Подтвержденная лабораторными анализами  эффективность работы моек автотранспортных средств сост</w:t>
            </w:r>
            <w:r>
              <w:rPr>
                <w:sz w:val="20"/>
                <w:szCs w:val="20"/>
              </w:rPr>
              <w:t>авила</w:t>
            </w:r>
            <w:r w:rsidRPr="00864114">
              <w:rPr>
                <w:sz w:val="20"/>
                <w:szCs w:val="20"/>
              </w:rPr>
              <w:t xml:space="preserve"> более 70</w:t>
            </w:r>
            <w:r>
              <w:rPr>
                <w:sz w:val="20"/>
                <w:szCs w:val="20"/>
              </w:rPr>
              <w:t xml:space="preserve"> </w:t>
            </w:r>
            <w:r w:rsidRPr="00864114">
              <w:rPr>
                <w:sz w:val="20"/>
                <w:szCs w:val="20"/>
              </w:rPr>
              <w:t>%</w:t>
            </w:r>
          </w:p>
        </w:tc>
      </w:tr>
      <w:tr w:rsidR="00A224C0" w:rsidRPr="004761E0" w:rsidTr="00A224C0">
        <w:tc>
          <w:tcPr>
            <w:tcW w:w="547" w:type="dxa"/>
            <w:vMerge/>
            <w:tcBorders>
              <w:left w:val="single" w:sz="4" w:space="0" w:color="auto"/>
            </w:tcBorders>
          </w:tcPr>
          <w:p w:rsidR="00A224C0" w:rsidRPr="00864114" w:rsidRDefault="00A224C0" w:rsidP="00A224C0">
            <w:pPr>
              <w:ind w:left="360" w:firstLine="0"/>
              <w:jc w:val="left"/>
              <w:rPr>
                <w:color w:val="000000"/>
                <w:sz w:val="20"/>
                <w:szCs w:val="20"/>
                <w:lang w:eastAsia="ru-RU"/>
              </w:rPr>
            </w:pPr>
          </w:p>
        </w:tc>
        <w:tc>
          <w:tcPr>
            <w:tcW w:w="1721" w:type="dxa"/>
            <w:vMerge/>
          </w:tcPr>
          <w:p w:rsidR="00A224C0" w:rsidRPr="00864114" w:rsidRDefault="00A224C0" w:rsidP="00A224C0">
            <w:pPr>
              <w:pStyle w:val="afc"/>
              <w:rPr>
                <w:sz w:val="20"/>
                <w:szCs w:val="20"/>
              </w:rPr>
            </w:pPr>
          </w:p>
        </w:tc>
        <w:tc>
          <w:tcPr>
            <w:tcW w:w="10489" w:type="dxa"/>
            <w:tcBorders>
              <w:top w:val="single" w:sz="4" w:space="0" w:color="auto"/>
            </w:tcBorders>
          </w:tcPr>
          <w:p w:rsidR="00A224C0" w:rsidRPr="00864114" w:rsidRDefault="00A224C0" w:rsidP="007076A7">
            <w:pPr>
              <w:pStyle w:val="afc"/>
              <w:numPr>
                <w:ilvl w:val="0"/>
                <w:numId w:val="239"/>
              </w:numPr>
              <w:spacing w:before="0" w:beforeAutospacing="0" w:after="0" w:afterAutospacing="0"/>
              <w:ind w:left="318" w:hanging="273"/>
              <w:jc w:val="both"/>
              <w:rPr>
                <w:sz w:val="20"/>
                <w:szCs w:val="20"/>
              </w:rPr>
            </w:pPr>
            <w:r>
              <w:rPr>
                <w:sz w:val="20"/>
                <w:szCs w:val="20"/>
              </w:rPr>
              <w:t>дл</w:t>
            </w:r>
            <w:r w:rsidRPr="00864114">
              <w:rPr>
                <w:sz w:val="20"/>
                <w:szCs w:val="20"/>
              </w:rPr>
              <w:t xml:space="preserve">я учета и минимизации количества загрязняющих веществ в  поверхностных сточных водах, образуемых посредством выпадения и скопления на твердых поверхностях атмосферных осадков, проведены лабораторные анализы качества поверхностных и талых вод с производственных площадок </w:t>
            </w:r>
            <w:r>
              <w:rPr>
                <w:sz w:val="20"/>
                <w:szCs w:val="20"/>
              </w:rPr>
              <w:t xml:space="preserve">филиалов </w:t>
            </w:r>
            <w:r w:rsidRPr="00864114">
              <w:rPr>
                <w:sz w:val="20"/>
                <w:szCs w:val="20"/>
              </w:rPr>
              <w:t>СЭС, ЮЭС, ВЭС, ЗЭС (взвешенные вещества и нефтепродукты)</w:t>
            </w:r>
            <w:r>
              <w:rPr>
                <w:sz w:val="20"/>
                <w:szCs w:val="20"/>
              </w:rPr>
              <w:t>.</w:t>
            </w:r>
          </w:p>
        </w:tc>
        <w:tc>
          <w:tcPr>
            <w:tcW w:w="2977" w:type="dxa"/>
            <w:tcBorders>
              <w:top w:val="single" w:sz="4" w:space="0" w:color="auto"/>
              <w:right w:val="single" w:sz="4" w:space="0" w:color="auto"/>
            </w:tcBorders>
          </w:tcPr>
          <w:p w:rsidR="00A224C0" w:rsidRPr="00864114" w:rsidRDefault="00A224C0" w:rsidP="00A224C0">
            <w:pPr>
              <w:pStyle w:val="afc"/>
              <w:rPr>
                <w:sz w:val="20"/>
                <w:szCs w:val="20"/>
              </w:rPr>
            </w:pPr>
            <w:r w:rsidRPr="00864114">
              <w:rPr>
                <w:sz w:val="20"/>
                <w:szCs w:val="20"/>
              </w:rPr>
              <w:t>Результаты  проведенных лабораторных анализов качества поверхностных и талых вод с производственных площадок филиалов не превышают разрешенных значений в соответствии с нормативами допустимого сброса, разработанными для соответствующей площадки филиала.</w:t>
            </w:r>
          </w:p>
        </w:tc>
      </w:tr>
      <w:tr w:rsidR="00A224C0" w:rsidRPr="004761E0" w:rsidTr="00A224C0">
        <w:tc>
          <w:tcPr>
            <w:tcW w:w="547" w:type="dxa"/>
            <w:tcBorders>
              <w:left w:val="single" w:sz="4" w:space="0" w:color="auto"/>
            </w:tcBorders>
          </w:tcPr>
          <w:p w:rsidR="00A224C0" w:rsidRPr="00864114" w:rsidRDefault="00A224C0" w:rsidP="007076A7">
            <w:pPr>
              <w:numPr>
                <w:ilvl w:val="0"/>
                <w:numId w:val="244"/>
              </w:numPr>
              <w:jc w:val="left"/>
              <w:rPr>
                <w:color w:val="000000"/>
                <w:sz w:val="20"/>
                <w:szCs w:val="20"/>
                <w:lang w:eastAsia="ru-RU"/>
              </w:rPr>
            </w:pPr>
          </w:p>
        </w:tc>
        <w:tc>
          <w:tcPr>
            <w:tcW w:w="1721" w:type="dxa"/>
          </w:tcPr>
          <w:p w:rsidR="00A224C0" w:rsidRPr="00864114" w:rsidRDefault="00A224C0" w:rsidP="00A224C0">
            <w:pPr>
              <w:pStyle w:val="afc"/>
              <w:spacing w:before="0" w:beforeAutospacing="0" w:after="0" w:afterAutospacing="0"/>
              <w:rPr>
                <w:sz w:val="20"/>
                <w:szCs w:val="20"/>
              </w:rPr>
            </w:pPr>
            <w:r w:rsidRPr="00864114">
              <w:rPr>
                <w:sz w:val="20"/>
                <w:szCs w:val="20"/>
              </w:rPr>
              <w:t xml:space="preserve">Охрана </w:t>
            </w:r>
          </w:p>
          <w:p w:rsidR="00A224C0" w:rsidRPr="00864114" w:rsidRDefault="00A224C0" w:rsidP="00A224C0">
            <w:pPr>
              <w:pStyle w:val="afc"/>
              <w:spacing w:before="0" w:beforeAutospacing="0" w:after="0" w:afterAutospacing="0"/>
              <w:rPr>
                <w:sz w:val="20"/>
                <w:szCs w:val="20"/>
              </w:rPr>
            </w:pPr>
            <w:r w:rsidRPr="00864114">
              <w:rPr>
                <w:sz w:val="20"/>
                <w:szCs w:val="20"/>
              </w:rPr>
              <w:t>воздушного бассейна</w:t>
            </w:r>
          </w:p>
        </w:tc>
        <w:tc>
          <w:tcPr>
            <w:tcW w:w="10489" w:type="dxa"/>
            <w:shd w:val="clear" w:color="auto" w:fill="auto"/>
          </w:tcPr>
          <w:p w:rsidR="00A224C0" w:rsidRPr="00864114" w:rsidRDefault="00A224C0" w:rsidP="00A224C0">
            <w:pPr>
              <w:pStyle w:val="afc"/>
              <w:spacing w:before="0" w:beforeAutospacing="0" w:after="0" w:afterAutospacing="0"/>
              <w:rPr>
                <w:sz w:val="20"/>
                <w:szCs w:val="20"/>
              </w:rPr>
            </w:pPr>
            <w:r w:rsidRPr="00864114">
              <w:rPr>
                <w:sz w:val="20"/>
                <w:szCs w:val="20"/>
              </w:rPr>
              <w:t>В целях снижения количества выбросов в атмосферу загрязняющих веществ Общество в 2013 году провело следующие мероприятия:</w:t>
            </w:r>
          </w:p>
          <w:p w:rsidR="00A224C0" w:rsidRPr="00864114" w:rsidRDefault="00A224C0" w:rsidP="007076A7">
            <w:pPr>
              <w:pStyle w:val="afc"/>
              <w:numPr>
                <w:ilvl w:val="0"/>
                <w:numId w:val="239"/>
              </w:numPr>
              <w:spacing w:before="0" w:beforeAutospacing="0" w:after="0" w:afterAutospacing="0"/>
              <w:ind w:left="471" w:hanging="426"/>
              <w:rPr>
                <w:sz w:val="20"/>
                <w:szCs w:val="20"/>
              </w:rPr>
            </w:pPr>
            <w:r w:rsidRPr="00864114">
              <w:rPr>
                <w:sz w:val="20"/>
                <w:szCs w:val="20"/>
              </w:rPr>
              <w:t>осуществлен инструментальный контроль выбросов загрязняющих веществ в атмосферу от стационарных источников;</w:t>
            </w:r>
          </w:p>
          <w:p w:rsidR="00A224C0" w:rsidRPr="00864114" w:rsidRDefault="00A224C0" w:rsidP="007076A7">
            <w:pPr>
              <w:pStyle w:val="afc"/>
              <w:numPr>
                <w:ilvl w:val="0"/>
                <w:numId w:val="239"/>
              </w:numPr>
              <w:spacing w:before="0" w:beforeAutospacing="0" w:after="0" w:afterAutospacing="0"/>
              <w:ind w:left="471" w:hanging="426"/>
              <w:rPr>
                <w:sz w:val="20"/>
                <w:szCs w:val="20"/>
              </w:rPr>
            </w:pPr>
            <w:r w:rsidRPr="00864114">
              <w:rPr>
                <w:sz w:val="20"/>
                <w:szCs w:val="20"/>
              </w:rPr>
              <w:t>проведена проверка на токсичность автомобилей с карбюраторными двигателями и дизельных автомобилей на дымность;</w:t>
            </w:r>
          </w:p>
          <w:p w:rsidR="00A224C0" w:rsidRPr="00864114" w:rsidRDefault="00A224C0" w:rsidP="007076A7">
            <w:pPr>
              <w:pStyle w:val="afc"/>
              <w:numPr>
                <w:ilvl w:val="0"/>
                <w:numId w:val="239"/>
              </w:numPr>
              <w:spacing w:before="0" w:beforeAutospacing="0" w:after="0" w:afterAutospacing="0"/>
              <w:ind w:left="471" w:hanging="426"/>
              <w:rPr>
                <w:sz w:val="20"/>
                <w:szCs w:val="20"/>
              </w:rPr>
            </w:pPr>
            <w:r w:rsidRPr="00864114">
              <w:rPr>
                <w:sz w:val="20"/>
                <w:szCs w:val="20"/>
              </w:rPr>
              <w:t>проведены госповерки</w:t>
            </w:r>
            <w:r w:rsidRPr="006F4AB8">
              <w:rPr>
                <w:rStyle w:val="af1"/>
              </w:rPr>
              <w:footnoteReference w:id="135"/>
            </w:r>
            <w:r w:rsidRPr="00864114">
              <w:rPr>
                <w:sz w:val="20"/>
                <w:szCs w:val="20"/>
              </w:rPr>
              <w:t xml:space="preserve"> газоанализаторов и дымомеров;</w:t>
            </w:r>
          </w:p>
          <w:p w:rsidR="00A224C0" w:rsidRPr="00864114" w:rsidRDefault="00A224C0" w:rsidP="007076A7">
            <w:pPr>
              <w:pStyle w:val="afc"/>
              <w:numPr>
                <w:ilvl w:val="0"/>
                <w:numId w:val="239"/>
              </w:numPr>
              <w:spacing w:before="0" w:beforeAutospacing="0" w:after="0" w:afterAutospacing="0"/>
              <w:ind w:left="471" w:hanging="426"/>
              <w:rPr>
                <w:sz w:val="20"/>
                <w:szCs w:val="20"/>
              </w:rPr>
            </w:pPr>
            <w:r w:rsidRPr="00864114">
              <w:rPr>
                <w:sz w:val="20"/>
                <w:szCs w:val="20"/>
              </w:rPr>
              <w:t xml:space="preserve">проведена проверка эффективности работы, в т.ч. осмотр технического состояния  пылегазоочистных установок, </w:t>
            </w:r>
            <w:r w:rsidRPr="00864114">
              <w:rPr>
                <w:sz w:val="20"/>
                <w:szCs w:val="20"/>
              </w:rPr>
              <w:lastRenderedPageBreak/>
              <w:t>очистка циклонов;</w:t>
            </w:r>
          </w:p>
          <w:p w:rsidR="00A224C0" w:rsidRPr="00864114" w:rsidRDefault="00A224C0" w:rsidP="00A224C0">
            <w:pPr>
              <w:pStyle w:val="afc"/>
              <w:spacing w:before="0" w:beforeAutospacing="0" w:after="0" w:afterAutospacing="0"/>
              <w:rPr>
                <w:sz w:val="20"/>
                <w:szCs w:val="20"/>
              </w:rPr>
            </w:pPr>
            <w:r w:rsidRPr="00864114">
              <w:rPr>
                <w:sz w:val="20"/>
                <w:szCs w:val="20"/>
              </w:rPr>
              <w:t xml:space="preserve">В 2013 году ОАО «МОЭСК» продолжало реализацию проектов в области развития зарядной инфраструктуры для электромобильного транспорта. Помимо опытной эксплуатации и построения сети электрозаправок в рамках реализованного пилотного проекта МОЭСК-EV, ОАО «МОЭСК» расширяло парк специальной техники на базе электромобильного транспорта. В конце августа в филиал МКС поступила уникальная измерительная лаборатория на базе электромобиля Ford. Лаборатория предназначена для определения мест повреждения кабельной линии в условиях мегаполиса. </w:t>
            </w:r>
          </w:p>
          <w:p w:rsidR="00A224C0" w:rsidRPr="00864114" w:rsidRDefault="00A224C0" w:rsidP="00A224C0">
            <w:pPr>
              <w:pStyle w:val="afc"/>
              <w:spacing w:before="0" w:beforeAutospacing="0" w:after="0" w:afterAutospacing="0"/>
              <w:rPr>
                <w:sz w:val="20"/>
                <w:szCs w:val="20"/>
              </w:rPr>
            </w:pPr>
            <w:r w:rsidRPr="00864114">
              <w:rPr>
                <w:sz w:val="20"/>
                <w:szCs w:val="20"/>
              </w:rPr>
              <w:t>В 2013 году</w:t>
            </w:r>
            <w:r w:rsidRPr="004761E0">
              <w:t xml:space="preserve"> </w:t>
            </w:r>
            <w:r w:rsidRPr="00864114">
              <w:rPr>
                <w:sz w:val="20"/>
                <w:szCs w:val="20"/>
              </w:rPr>
              <w:t>в качестве контроля над шумовым воздействием объектов Общества на окружающую среду проведены следующие мероприятия:</w:t>
            </w:r>
            <w:r w:rsidRPr="004761E0">
              <w:t xml:space="preserve"> </w:t>
            </w:r>
          </w:p>
          <w:p w:rsidR="00A224C0" w:rsidRDefault="00A224C0" w:rsidP="007076A7">
            <w:pPr>
              <w:pStyle w:val="afc"/>
              <w:numPr>
                <w:ilvl w:val="0"/>
                <w:numId w:val="246"/>
              </w:numPr>
              <w:spacing w:before="0" w:beforeAutospacing="0" w:after="0" w:afterAutospacing="0"/>
              <w:rPr>
                <w:sz w:val="20"/>
                <w:szCs w:val="20"/>
              </w:rPr>
            </w:pPr>
            <w:r w:rsidRPr="00864114">
              <w:rPr>
                <w:sz w:val="20"/>
                <w:szCs w:val="20"/>
              </w:rPr>
              <w:t>осуществлен производственный контроль соблюдения санитарных правил и нормативов</w:t>
            </w:r>
            <w:r w:rsidRPr="006F4AB8">
              <w:rPr>
                <w:rStyle w:val="af1"/>
              </w:rPr>
              <w:footnoteReference w:id="136"/>
            </w:r>
            <w:r w:rsidRPr="00864114">
              <w:rPr>
                <w:sz w:val="20"/>
                <w:szCs w:val="20"/>
              </w:rPr>
              <w:t>, в части воздействия шумового и электромагнитного излучения на окружающую среду в соответствии с разработанной программой.</w:t>
            </w:r>
          </w:p>
          <w:p w:rsidR="00A224C0" w:rsidRPr="00864114" w:rsidRDefault="00A224C0" w:rsidP="007076A7">
            <w:pPr>
              <w:pStyle w:val="afc"/>
              <w:numPr>
                <w:ilvl w:val="0"/>
                <w:numId w:val="246"/>
              </w:numPr>
              <w:spacing w:before="0" w:beforeAutospacing="0" w:after="0" w:afterAutospacing="0"/>
              <w:rPr>
                <w:sz w:val="20"/>
                <w:szCs w:val="20"/>
              </w:rPr>
            </w:pPr>
            <w:r w:rsidRPr="00864114">
              <w:rPr>
                <w:sz w:val="20"/>
                <w:szCs w:val="20"/>
              </w:rPr>
              <w:t xml:space="preserve">проведен инструментальный контроль параметров воздушной среды, шумового загрязнения на границе </w:t>
            </w:r>
          </w:p>
          <w:p w:rsidR="00A224C0" w:rsidRPr="00864114" w:rsidRDefault="00A224C0" w:rsidP="007076A7">
            <w:pPr>
              <w:pStyle w:val="afc"/>
              <w:numPr>
                <w:ilvl w:val="0"/>
                <w:numId w:val="246"/>
              </w:numPr>
              <w:spacing w:before="0" w:beforeAutospacing="0" w:after="0" w:afterAutospacing="0"/>
              <w:rPr>
                <w:sz w:val="20"/>
                <w:szCs w:val="20"/>
              </w:rPr>
            </w:pPr>
            <w:r w:rsidRPr="00864114">
              <w:rPr>
                <w:sz w:val="20"/>
                <w:szCs w:val="20"/>
              </w:rPr>
              <w:t>осуществлена замена трансформаторов с превышением уровней шума на менее шумные и малошумные по жалобам;</w:t>
            </w:r>
          </w:p>
          <w:p w:rsidR="00A224C0" w:rsidRPr="00864114" w:rsidRDefault="00A224C0" w:rsidP="007076A7">
            <w:pPr>
              <w:pStyle w:val="afc"/>
              <w:numPr>
                <w:ilvl w:val="0"/>
                <w:numId w:val="246"/>
              </w:numPr>
              <w:spacing w:before="0" w:beforeAutospacing="0" w:after="0" w:afterAutospacing="0"/>
              <w:jc w:val="both"/>
              <w:rPr>
                <w:sz w:val="20"/>
                <w:szCs w:val="20"/>
              </w:rPr>
            </w:pPr>
            <w:r w:rsidRPr="00864114">
              <w:rPr>
                <w:sz w:val="20"/>
                <w:szCs w:val="20"/>
              </w:rPr>
              <w:t>выполнены технических мероприятий по снижению уровней шума от оборудования подстанций: установлены  виброамортизаторы, отрегулированы реле КС (замена на реле постоянного тока).</w:t>
            </w:r>
          </w:p>
        </w:tc>
        <w:tc>
          <w:tcPr>
            <w:tcW w:w="2977" w:type="dxa"/>
            <w:tcBorders>
              <w:right w:val="single" w:sz="4" w:space="0" w:color="auto"/>
            </w:tcBorders>
          </w:tcPr>
          <w:p w:rsidR="00A224C0" w:rsidRPr="00864114" w:rsidRDefault="00A224C0" w:rsidP="00A224C0">
            <w:pPr>
              <w:pStyle w:val="afc"/>
              <w:spacing w:before="0" w:beforeAutospacing="0" w:after="0" w:afterAutospacing="0"/>
              <w:rPr>
                <w:sz w:val="20"/>
                <w:szCs w:val="20"/>
              </w:rPr>
            </w:pPr>
            <w:r w:rsidRPr="00864114">
              <w:rPr>
                <w:sz w:val="20"/>
                <w:szCs w:val="20"/>
              </w:rPr>
              <w:lastRenderedPageBreak/>
              <w:t>В 2013 году по сравнению с 2012 годом на 5,41 % или на 2,34 тонны сократилось количество выбросов загрязняющих веществ в атмосферу.</w:t>
            </w:r>
          </w:p>
          <w:p w:rsidR="00A224C0" w:rsidRPr="00864114" w:rsidRDefault="00A224C0" w:rsidP="00A224C0">
            <w:pPr>
              <w:pStyle w:val="afc"/>
              <w:spacing w:before="0" w:beforeAutospacing="0" w:after="0" w:afterAutospacing="0"/>
              <w:rPr>
                <w:sz w:val="20"/>
                <w:szCs w:val="20"/>
              </w:rPr>
            </w:pPr>
          </w:p>
          <w:p w:rsidR="00A224C0" w:rsidRPr="00864114" w:rsidRDefault="00A224C0" w:rsidP="00A224C0">
            <w:pPr>
              <w:pStyle w:val="afc"/>
              <w:spacing w:before="0" w:beforeAutospacing="0" w:after="0" w:afterAutospacing="0"/>
              <w:rPr>
                <w:sz w:val="20"/>
                <w:szCs w:val="20"/>
              </w:rPr>
            </w:pPr>
            <w:r w:rsidRPr="00864114">
              <w:rPr>
                <w:sz w:val="20"/>
                <w:szCs w:val="20"/>
              </w:rPr>
              <w:t xml:space="preserve">В целом результаты проведенных аккредитованной </w:t>
            </w:r>
            <w:r w:rsidRPr="00864114">
              <w:rPr>
                <w:sz w:val="20"/>
                <w:szCs w:val="20"/>
              </w:rPr>
              <w:lastRenderedPageBreak/>
              <w:t>лабораторией измерений не превышают разрешенных значений в соответствии с нормативами допустимого выброса.</w:t>
            </w:r>
          </w:p>
        </w:tc>
      </w:tr>
      <w:tr w:rsidR="00A224C0" w:rsidRPr="004761E0" w:rsidTr="00A224C0">
        <w:tc>
          <w:tcPr>
            <w:tcW w:w="547" w:type="dxa"/>
            <w:tcBorders>
              <w:left w:val="single" w:sz="4" w:space="0" w:color="auto"/>
              <w:bottom w:val="single" w:sz="4" w:space="0" w:color="auto"/>
            </w:tcBorders>
          </w:tcPr>
          <w:p w:rsidR="00A224C0" w:rsidRPr="00864114" w:rsidRDefault="00A224C0" w:rsidP="007076A7">
            <w:pPr>
              <w:numPr>
                <w:ilvl w:val="0"/>
                <w:numId w:val="244"/>
              </w:numPr>
              <w:jc w:val="left"/>
              <w:rPr>
                <w:color w:val="000000"/>
                <w:sz w:val="20"/>
                <w:szCs w:val="20"/>
                <w:lang w:eastAsia="ru-RU"/>
              </w:rPr>
            </w:pPr>
          </w:p>
        </w:tc>
        <w:tc>
          <w:tcPr>
            <w:tcW w:w="1721" w:type="dxa"/>
            <w:tcBorders>
              <w:bottom w:val="single" w:sz="4" w:space="0" w:color="auto"/>
            </w:tcBorders>
          </w:tcPr>
          <w:p w:rsidR="00A224C0" w:rsidRPr="00864114" w:rsidRDefault="00A224C0" w:rsidP="00A224C0">
            <w:pPr>
              <w:pStyle w:val="afc"/>
              <w:spacing w:before="0" w:beforeAutospacing="0" w:after="0" w:afterAutospacing="0"/>
              <w:rPr>
                <w:sz w:val="20"/>
                <w:szCs w:val="20"/>
              </w:rPr>
            </w:pPr>
            <w:r w:rsidRPr="00864114">
              <w:rPr>
                <w:sz w:val="20"/>
                <w:szCs w:val="20"/>
              </w:rPr>
              <w:t>Охрана земельных ресурсов</w:t>
            </w:r>
          </w:p>
        </w:tc>
        <w:tc>
          <w:tcPr>
            <w:tcW w:w="10489" w:type="dxa"/>
            <w:tcBorders>
              <w:bottom w:val="single" w:sz="4" w:space="0" w:color="auto"/>
            </w:tcBorders>
          </w:tcPr>
          <w:p w:rsidR="00A224C0" w:rsidRPr="00864114" w:rsidRDefault="00A224C0" w:rsidP="00A224C0">
            <w:pPr>
              <w:pStyle w:val="afc"/>
              <w:spacing w:before="0" w:beforeAutospacing="0" w:after="0" w:afterAutospacing="0"/>
              <w:rPr>
                <w:sz w:val="20"/>
                <w:szCs w:val="20"/>
              </w:rPr>
            </w:pPr>
            <w:r w:rsidRPr="00864114">
              <w:rPr>
                <w:sz w:val="20"/>
                <w:szCs w:val="20"/>
              </w:rPr>
              <w:t>С целью охраны и рационального использования земельных ресурсов в 2013 году выполнены следующие мероприятия:</w:t>
            </w:r>
          </w:p>
          <w:p w:rsidR="00A224C0" w:rsidRPr="00864114" w:rsidRDefault="00A224C0" w:rsidP="007076A7">
            <w:pPr>
              <w:pStyle w:val="afc"/>
              <w:numPr>
                <w:ilvl w:val="0"/>
                <w:numId w:val="240"/>
              </w:numPr>
              <w:spacing w:before="0" w:beforeAutospacing="0" w:after="0" w:afterAutospacing="0"/>
              <w:rPr>
                <w:sz w:val="20"/>
                <w:szCs w:val="20"/>
              </w:rPr>
            </w:pPr>
            <w:r w:rsidRPr="00864114">
              <w:rPr>
                <w:sz w:val="20"/>
                <w:szCs w:val="20"/>
              </w:rPr>
              <w:t xml:space="preserve">работы по устройству систем аварийного слива масла, ремонт маслоприемников, кабельных каналов и лотков; </w:t>
            </w:r>
          </w:p>
          <w:p w:rsidR="00A224C0" w:rsidRPr="00864114" w:rsidRDefault="00A224C0" w:rsidP="007076A7">
            <w:pPr>
              <w:pStyle w:val="afc"/>
              <w:numPr>
                <w:ilvl w:val="0"/>
                <w:numId w:val="240"/>
              </w:numPr>
              <w:spacing w:before="0" w:beforeAutospacing="0" w:after="0" w:afterAutospacing="0"/>
              <w:rPr>
                <w:sz w:val="20"/>
                <w:szCs w:val="20"/>
              </w:rPr>
            </w:pPr>
            <w:r w:rsidRPr="00864114">
              <w:rPr>
                <w:sz w:val="20"/>
                <w:szCs w:val="20"/>
              </w:rPr>
              <w:t>поэтапный вывод маслонаполненного оборудования (масляные выключатели) из эксплуатации с заменой его на элегазовое и вакуумное;</w:t>
            </w:r>
          </w:p>
          <w:p w:rsidR="00A224C0" w:rsidRPr="00864114" w:rsidRDefault="00A224C0" w:rsidP="007076A7">
            <w:pPr>
              <w:pStyle w:val="afc"/>
              <w:numPr>
                <w:ilvl w:val="0"/>
                <w:numId w:val="240"/>
              </w:numPr>
              <w:spacing w:before="0" w:beforeAutospacing="0" w:after="0" w:afterAutospacing="0"/>
              <w:rPr>
                <w:sz w:val="20"/>
                <w:szCs w:val="20"/>
              </w:rPr>
            </w:pPr>
            <w:r w:rsidRPr="00864114">
              <w:rPr>
                <w:sz w:val="20"/>
                <w:szCs w:val="20"/>
              </w:rPr>
              <w:t>оснащение емкостей с нефтепродуктами специальными поддонами, оборудование бетонированных площадок с обваловкой;</w:t>
            </w:r>
          </w:p>
          <w:p w:rsidR="00A224C0" w:rsidRPr="00864114" w:rsidRDefault="00A224C0" w:rsidP="007076A7">
            <w:pPr>
              <w:pStyle w:val="afc"/>
              <w:numPr>
                <w:ilvl w:val="0"/>
                <w:numId w:val="240"/>
              </w:numPr>
              <w:spacing w:before="0" w:beforeAutospacing="0" w:after="0" w:afterAutospacing="0"/>
              <w:rPr>
                <w:sz w:val="20"/>
                <w:szCs w:val="20"/>
              </w:rPr>
            </w:pPr>
            <w:r w:rsidRPr="00864114">
              <w:rPr>
                <w:sz w:val="20"/>
                <w:szCs w:val="20"/>
              </w:rPr>
              <w:t xml:space="preserve">оборудование производственных площадок местами для временного накопления отходов производства и потребления; </w:t>
            </w:r>
          </w:p>
          <w:p w:rsidR="00A224C0" w:rsidRPr="00864114" w:rsidRDefault="00A224C0" w:rsidP="007076A7">
            <w:pPr>
              <w:pStyle w:val="afc"/>
              <w:numPr>
                <w:ilvl w:val="0"/>
                <w:numId w:val="240"/>
              </w:numPr>
              <w:spacing w:before="0" w:beforeAutospacing="0" w:after="0" w:afterAutospacing="0"/>
              <w:rPr>
                <w:sz w:val="20"/>
                <w:szCs w:val="20"/>
              </w:rPr>
            </w:pPr>
            <w:r w:rsidRPr="00864114">
              <w:rPr>
                <w:sz w:val="20"/>
                <w:szCs w:val="20"/>
              </w:rPr>
              <w:t xml:space="preserve">разработка и обновление распорядительных и регламентирующих документов в области обращения с опасными отходами. </w:t>
            </w:r>
          </w:p>
          <w:p w:rsidR="00A224C0" w:rsidRPr="00864114" w:rsidRDefault="00A224C0" w:rsidP="00A224C0">
            <w:pPr>
              <w:pStyle w:val="afc"/>
              <w:spacing w:before="0" w:beforeAutospacing="0" w:after="0" w:afterAutospacing="0"/>
              <w:ind w:left="34"/>
              <w:jc w:val="both"/>
              <w:rPr>
                <w:sz w:val="20"/>
                <w:szCs w:val="20"/>
              </w:rPr>
            </w:pPr>
            <w:r w:rsidRPr="00864114">
              <w:rPr>
                <w:sz w:val="20"/>
                <w:szCs w:val="20"/>
              </w:rPr>
              <w:t>Образовавшиеся твердые бытовые отходы передавались для размещения на полигоны, имеющие разрешительную документацию на данный вид деятельности. Отходы 1-3 класса опасности сдавались на специальные перерабатывающие предприятия для утилизации или переработки в целях повторного использования.</w:t>
            </w:r>
          </w:p>
        </w:tc>
        <w:tc>
          <w:tcPr>
            <w:tcW w:w="2977" w:type="dxa"/>
            <w:tcBorders>
              <w:bottom w:val="single" w:sz="4" w:space="0" w:color="auto"/>
              <w:right w:val="single" w:sz="4" w:space="0" w:color="auto"/>
            </w:tcBorders>
          </w:tcPr>
          <w:p w:rsidR="00A224C0" w:rsidRPr="00864114" w:rsidRDefault="00A224C0" w:rsidP="00A224C0">
            <w:pPr>
              <w:pStyle w:val="afc"/>
              <w:spacing w:before="0" w:beforeAutospacing="0" w:after="0" w:afterAutospacing="0"/>
              <w:rPr>
                <w:sz w:val="20"/>
                <w:szCs w:val="20"/>
              </w:rPr>
            </w:pPr>
            <w:r w:rsidRPr="00864114">
              <w:rPr>
                <w:sz w:val="20"/>
                <w:szCs w:val="20"/>
              </w:rPr>
              <w:t xml:space="preserve">Проведенные мероприятия исключают случаи загрязнения земель нефтепродуктами, опасными отходами, что способствует поддержанию положительной экологической обстановки на энергообъектах Компании. </w:t>
            </w:r>
          </w:p>
        </w:tc>
      </w:tr>
    </w:tbl>
    <w:p w:rsidR="00E14217" w:rsidRDefault="00E14217" w:rsidP="00E14217">
      <w:pPr>
        <w:pStyle w:val="afc"/>
        <w:spacing w:before="120" w:beforeAutospacing="0" w:after="120" w:afterAutospacing="0"/>
        <w:jc w:val="both"/>
        <w:rPr>
          <w:b/>
          <w:iCs/>
          <w:color w:val="000000"/>
          <w:sz w:val="26"/>
          <w:szCs w:val="26"/>
        </w:rPr>
      </w:pPr>
    </w:p>
    <w:p w:rsidR="00A224C0" w:rsidRPr="004761E0" w:rsidRDefault="00A224C0" w:rsidP="00E14217">
      <w:pPr>
        <w:pStyle w:val="afc"/>
        <w:spacing w:before="120" w:beforeAutospacing="0" w:after="120" w:afterAutospacing="0"/>
        <w:jc w:val="both"/>
        <w:rPr>
          <w:b/>
          <w:iCs/>
          <w:color w:val="000000"/>
          <w:sz w:val="26"/>
          <w:szCs w:val="26"/>
        </w:rPr>
        <w:sectPr w:rsidR="00A224C0" w:rsidRPr="004761E0" w:rsidSect="00763174">
          <w:pgSz w:w="16838" w:h="11906" w:orient="landscape"/>
          <w:pgMar w:top="1559" w:right="1077" w:bottom="845" w:left="720" w:header="709" w:footer="709" w:gutter="0"/>
          <w:cols w:space="708"/>
          <w:titlePg/>
          <w:docGrid w:linePitch="381"/>
        </w:sectPr>
      </w:pPr>
    </w:p>
    <w:p w:rsidR="00E14217" w:rsidRPr="004761E0" w:rsidRDefault="00E14217" w:rsidP="00E14217">
      <w:pPr>
        <w:pStyle w:val="afc"/>
        <w:tabs>
          <w:tab w:val="num" w:pos="1134"/>
        </w:tabs>
        <w:spacing w:before="120" w:beforeAutospacing="0" w:after="120" w:afterAutospacing="0"/>
        <w:jc w:val="both"/>
        <w:rPr>
          <w:b/>
          <w:iCs/>
          <w:color w:val="000000"/>
          <w:sz w:val="26"/>
          <w:szCs w:val="26"/>
        </w:rPr>
      </w:pPr>
      <w:r w:rsidRPr="004761E0">
        <w:rPr>
          <w:b/>
          <w:iCs/>
          <w:noProof/>
          <w:color w:val="000000"/>
          <w:sz w:val="26"/>
          <w:szCs w:val="26"/>
        </w:rPr>
        <w:lastRenderedPageBreak/>
        <w:drawing>
          <wp:inline distT="0" distB="0" distL="0" distR="0">
            <wp:extent cx="1831695" cy="2487168"/>
            <wp:effectExtent l="19050" t="0" r="16155" b="8382"/>
            <wp:docPr id="26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r w:rsidRPr="004761E0">
        <w:rPr>
          <w:b/>
          <w:iCs/>
          <w:noProof/>
          <w:color w:val="000000"/>
          <w:sz w:val="26"/>
          <w:szCs w:val="26"/>
        </w:rPr>
        <w:drawing>
          <wp:inline distT="0" distB="0" distL="0" distR="0">
            <wp:extent cx="1839010" cy="2494483"/>
            <wp:effectExtent l="19050" t="0" r="27890" b="1067"/>
            <wp:docPr id="26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r w:rsidRPr="004761E0">
        <w:rPr>
          <w:b/>
          <w:iCs/>
          <w:noProof/>
          <w:color w:val="000000"/>
          <w:sz w:val="26"/>
          <w:szCs w:val="26"/>
        </w:rPr>
        <w:drawing>
          <wp:inline distT="0" distB="0" distL="0" distR="0">
            <wp:extent cx="1970685" cy="2493848"/>
            <wp:effectExtent l="19050" t="0" r="10515" b="1702"/>
            <wp:docPr id="265"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tbl>
      <w:tblPr>
        <w:tblW w:w="9936" w:type="dxa"/>
        <w:tblInd w:w="95" w:type="dxa"/>
        <w:tblLook w:val="04A0"/>
      </w:tblPr>
      <w:tblGrid>
        <w:gridCol w:w="580"/>
        <w:gridCol w:w="5387"/>
        <w:gridCol w:w="992"/>
        <w:gridCol w:w="992"/>
        <w:gridCol w:w="851"/>
        <w:gridCol w:w="1134"/>
      </w:tblGrid>
      <w:tr w:rsidR="00E14217" w:rsidRPr="004761E0" w:rsidTr="00763174">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E14217" w:rsidRPr="004761E0" w:rsidRDefault="00E14217" w:rsidP="00763174">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538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E14217" w:rsidRPr="004761E0" w:rsidRDefault="00E14217" w:rsidP="00763174">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99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E14217" w:rsidRPr="004761E0" w:rsidRDefault="00E14217" w:rsidP="00763174">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99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E14217" w:rsidRPr="004761E0" w:rsidRDefault="00E14217" w:rsidP="00763174">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85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E14217" w:rsidRPr="004761E0" w:rsidRDefault="00E14217" w:rsidP="00763174">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E14217" w:rsidRPr="004761E0" w:rsidRDefault="00E14217" w:rsidP="00763174">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E14217" w:rsidRPr="004761E0" w:rsidTr="00763174">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E14217" w:rsidRPr="004761E0" w:rsidRDefault="00E14217" w:rsidP="007076A7">
            <w:pPr>
              <w:numPr>
                <w:ilvl w:val="0"/>
                <w:numId w:val="242"/>
              </w:numPr>
              <w:jc w:val="left"/>
              <w:rPr>
                <w:rFonts w:eastAsia="Times New Roman"/>
                <w:color w:val="000000"/>
                <w:sz w:val="20"/>
                <w:szCs w:val="20"/>
                <w:lang w:eastAsia="ru-RU"/>
              </w:rPr>
            </w:pPr>
          </w:p>
        </w:tc>
        <w:tc>
          <w:tcPr>
            <w:tcW w:w="5387"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rPr>
                <w:rFonts w:eastAsia="Times New Roman"/>
                <w:color w:val="000000"/>
                <w:sz w:val="20"/>
                <w:szCs w:val="20"/>
                <w:lang w:eastAsia="ru-RU"/>
              </w:rPr>
            </w:pPr>
            <w:r w:rsidRPr="004761E0">
              <w:rPr>
                <w:rFonts w:eastAsia="Times New Roman"/>
                <w:color w:val="000000"/>
                <w:sz w:val="20"/>
                <w:szCs w:val="20"/>
                <w:lang w:eastAsia="ru-RU"/>
              </w:rPr>
              <w:t>Водопотребление, тыс. м</w:t>
            </w:r>
            <w:r w:rsidRPr="004761E0">
              <w:rPr>
                <w:rFonts w:eastAsia="Times New Roman"/>
                <w:color w:val="000000"/>
                <w:sz w:val="20"/>
                <w:szCs w:val="20"/>
                <w:vertAlign w:val="superscript"/>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rFonts w:eastAsia="Times New Roman"/>
                <w:color w:val="000000"/>
                <w:sz w:val="20"/>
                <w:szCs w:val="20"/>
                <w:lang w:eastAsia="ru-RU"/>
              </w:rPr>
              <w:t>413</w:t>
            </w:r>
          </w:p>
        </w:tc>
        <w:tc>
          <w:tcPr>
            <w:tcW w:w="992"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rFonts w:eastAsia="Times New Roman"/>
                <w:color w:val="000000"/>
                <w:sz w:val="20"/>
                <w:szCs w:val="20"/>
                <w:lang w:eastAsia="ru-RU"/>
              </w:rPr>
              <w:t>350</w:t>
            </w:r>
          </w:p>
        </w:tc>
        <w:tc>
          <w:tcPr>
            <w:tcW w:w="851"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rFonts w:eastAsia="Times New Roman"/>
                <w:color w:val="000000"/>
                <w:sz w:val="20"/>
                <w:szCs w:val="20"/>
                <w:lang w:eastAsia="ru-RU"/>
              </w:rPr>
              <w:t>298</w:t>
            </w:r>
          </w:p>
        </w:tc>
        <w:tc>
          <w:tcPr>
            <w:tcW w:w="1134"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rFonts w:eastAsia="Times New Roman"/>
                <w:color w:val="000000"/>
                <w:sz w:val="20"/>
                <w:szCs w:val="20"/>
                <w:lang w:eastAsia="ru-RU"/>
              </w:rPr>
              <w:t>-14,86 %</w:t>
            </w:r>
          </w:p>
        </w:tc>
      </w:tr>
      <w:tr w:rsidR="00E14217" w:rsidRPr="004761E0" w:rsidTr="00763174">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E14217" w:rsidRPr="004761E0" w:rsidRDefault="00E14217" w:rsidP="007076A7">
            <w:pPr>
              <w:numPr>
                <w:ilvl w:val="0"/>
                <w:numId w:val="242"/>
              </w:numPr>
              <w:jc w:val="left"/>
              <w:rPr>
                <w:rFonts w:eastAsia="Times New Roman"/>
                <w:color w:val="000000"/>
                <w:sz w:val="20"/>
                <w:szCs w:val="20"/>
                <w:lang w:eastAsia="ru-RU"/>
              </w:rPr>
            </w:pPr>
          </w:p>
        </w:tc>
        <w:tc>
          <w:tcPr>
            <w:tcW w:w="5387"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rPr>
                <w:rFonts w:eastAsia="Times New Roman"/>
                <w:color w:val="000000"/>
                <w:sz w:val="20"/>
                <w:szCs w:val="20"/>
                <w:lang w:eastAsia="ru-RU"/>
              </w:rPr>
            </w:pPr>
            <w:r w:rsidRPr="004761E0">
              <w:rPr>
                <w:rFonts w:eastAsia="Times New Roman"/>
                <w:color w:val="000000"/>
                <w:sz w:val="20"/>
                <w:szCs w:val="20"/>
                <w:lang w:eastAsia="ru-RU"/>
              </w:rPr>
              <w:t>Выбросы</w:t>
            </w:r>
            <w:r w:rsidRPr="004761E0">
              <w:t xml:space="preserve"> </w:t>
            </w:r>
            <w:r w:rsidRPr="004761E0">
              <w:rPr>
                <w:rFonts w:eastAsia="Times New Roman"/>
                <w:color w:val="000000"/>
                <w:sz w:val="20"/>
                <w:szCs w:val="20"/>
                <w:lang w:eastAsia="ru-RU"/>
              </w:rPr>
              <w:t>загрязняющих веществ, т (всего), в т.ч.:</w:t>
            </w:r>
          </w:p>
        </w:tc>
        <w:tc>
          <w:tcPr>
            <w:tcW w:w="992"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rFonts w:eastAsia="Times New Roman"/>
                <w:bCs/>
                <w:color w:val="000000"/>
                <w:sz w:val="20"/>
                <w:szCs w:val="20"/>
                <w:lang w:eastAsia="ru-RU"/>
              </w:rPr>
              <w:t>44,55</w:t>
            </w:r>
          </w:p>
        </w:tc>
        <w:tc>
          <w:tcPr>
            <w:tcW w:w="992"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rFonts w:eastAsia="Times New Roman"/>
                <w:bCs/>
                <w:color w:val="000000"/>
                <w:sz w:val="20"/>
                <w:szCs w:val="20"/>
                <w:lang w:eastAsia="ru-RU"/>
              </w:rPr>
              <w:t>43,27</w:t>
            </w:r>
          </w:p>
        </w:tc>
        <w:tc>
          <w:tcPr>
            <w:tcW w:w="851"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rFonts w:eastAsia="Times New Roman"/>
                <w:bCs/>
                <w:color w:val="000000"/>
                <w:sz w:val="20"/>
                <w:szCs w:val="20"/>
                <w:lang w:eastAsia="ru-RU"/>
              </w:rPr>
              <w:t>40,93</w:t>
            </w:r>
          </w:p>
        </w:tc>
        <w:tc>
          <w:tcPr>
            <w:tcW w:w="1134"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rFonts w:eastAsia="Times New Roman"/>
                <w:bCs/>
                <w:color w:val="000000"/>
                <w:sz w:val="20"/>
                <w:szCs w:val="20"/>
                <w:lang w:eastAsia="ru-RU"/>
              </w:rPr>
              <w:t>-5,41 %</w:t>
            </w:r>
          </w:p>
        </w:tc>
      </w:tr>
      <w:tr w:rsidR="00E14217" w:rsidRPr="004761E0" w:rsidTr="00763174">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E14217" w:rsidRPr="004761E0" w:rsidRDefault="00E14217" w:rsidP="007076A7">
            <w:pPr>
              <w:numPr>
                <w:ilvl w:val="0"/>
                <w:numId w:val="242"/>
              </w:numPr>
              <w:jc w:val="left"/>
              <w:rPr>
                <w:rFonts w:eastAsia="Times New Roman"/>
                <w:color w:val="000000"/>
                <w:sz w:val="20"/>
                <w:szCs w:val="20"/>
                <w:lang w:eastAsia="ru-RU"/>
              </w:rPr>
            </w:pPr>
          </w:p>
        </w:tc>
        <w:tc>
          <w:tcPr>
            <w:tcW w:w="5387"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rPr>
                <w:rFonts w:eastAsia="Times New Roman"/>
                <w:color w:val="000000"/>
                <w:sz w:val="20"/>
                <w:szCs w:val="20"/>
                <w:lang w:eastAsia="ru-RU"/>
              </w:rPr>
            </w:pPr>
            <w:r w:rsidRPr="004761E0">
              <w:rPr>
                <w:rFonts w:eastAsia="Times New Roman"/>
                <w:color w:val="000000"/>
                <w:sz w:val="20"/>
                <w:szCs w:val="20"/>
                <w:lang w:eastAsia="ru-RU"/>
              </w:rPr>
              <w:t>Выбросы</w:t>
            </w:r>
            <w:r w:rsidR="00B857F6" w:rsidRPr="004761E0">
              <w:t xml:space="preserve"> </w:t>
            </w:r>
            <w:r w:rsidRPr="004761E0">
              <w:rPr>
                <w:rFonts w:eastAsia="Times New Roman"/>
                <w:color w:val="000000"/>
                <w:sz w:val="20"/>
                <w:szCs w:val="20"/>
                <w:lang w:eastAsia="ru-RU"/>
              </w:rPr>
              <w:t>элегаза, т</w:t>
            </w:r>
          </w:p>
        </w:tc>
        <w:tc>
          <w:tcPr>
            <w:tcW w:w="992"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sz w:val="20"/>
                <w:szCs w:val="20"/>
              </w:rPr>
              <w:t>20 773</w:t>
            </w:r>
          </w:p>
        </w:tc>
        <w:tc>
          <w:tcPr>
            <w:tcW w:w="992"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sz w:val="20"/>
                <w:szCs w:val="20"/>
              </w:rPr>
              <w:t>20 602</w:t>
            </w:r>
          </w:p>
        </w:tc>
        <w:tc>
          <w:tcPr>
            <w:tcW w:w="851"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sz w:val="20"/>
                <w:szCs w:val="20"/>
              </w:rPr>
              <w:t>16 930</w:t>
            </w:r>
          </w:p>
        </w:tc>
        <w:tc>
          <w:tcPr>
            <w:tcW w:w="1134"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sz w:val="20"/>
                <w:szCs w:val="20"/>
              </w:rPr>
              <w:t>-17,83 %</w:t>
            </w:r>
          </w:p>
        </w:tc>
      </w:tr>
      <w:tr w:rsidR="00E14217" w:rsidRPr="004761E0" w:rsidTr="00763174">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E14217" w:rsidRPr="004761E0" w:rsidRDefault="00E14217" w:rsidP="007076A7">
            <w:pPr>
              <w:numPr>
                <w:ilvl w:val="0"/>
                <w:numId w:val="242"/>
              </w:numPr>
              <w:jc w:val="left"/>
              <w:rPr>
                <w:rFonts w:eastAsia="Times New Roman"/>
                <w:color w:val="000000"/>
                <w:sz w:val="20"/>
                <w:szCs w:val="20"/>
                <w:lang w:eastAsia="ru-RU"/>
              </w:rPr>
            </w:pPr>
          </w:p>
        </w:tc>
        <w:tc>
          <w:tcPr>
            <w:tcW w:w="5387"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left"/>
              <w:rPr>
                <w:rFonts w:eastAsia="Times New Roman"/>
                <w:color w:val="000000"/>
                <w:sz w:val="20"/>
                <w:szCs w:val="20"/>
                <w:lang w:eastAsia="ru-RU"/>
              </w:rPr>
            </w:pPr>
            <w:r w:rsidRPr="004761E0">
              <w:rPr>
                <w:rFonts w:eastAsia="Times New Roman"/>
                <w:color w:val="000000"/>
                <w:sz w:val="20"/>
                <w:szCs w:val="20"/>
                <w:lang w:eastAsia="ru-RU"/>
              </w:rPr>
              <w:t>Отходы производства и потребления, т. (всего), в т.ч.:</w:t>
            </w:r>
          </w:p>
        </w:tc>
        <w:tc>
          <w:tcPr>
            <w:tcW w:w="992"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bCs/>
                <w:color w:val="000000"/>
                <w:sz w:val="20"/>
                <w:szCs w:val="20"/>
              </w:rPr>
              <w:t>20 565</w:t>
            </w:r>
          </w:p>
        </w:tc>
        <w:tc>
          <w:tcPr>
            <w:tcW w:w="992"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bCs/>
                <w:color w:val="000000"/>
                <w:sz w:val="20"/>
                <w:szCs w:val="20"/>
              </w:rPr>
              <w:t>19 018</w:t>
            </w:r>
          </w:p>
        </w:tc>
        <w:tc>
          <w:tcPr>
            <w:tcW w:w="851"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bCs/>
                <w:color w:val="000000"/>
                <w:sz w:val="20"/>
                <w:szCs w:val="20"/>
              </w:rPr>
              <w:t>19 761</w:t>
            </w:r>
          </w:p>
        </w:tc>
        <w:tc>
          <w:tcPr>
            <w:tcW w:w="1134"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bCs/>
                <w:color w:val="000000"/>
                <w:sz w:val="20"/>
                <w:szCs w:val="20"/>
              </w:rPr>
              <w:t>3,91 %</w:t>
            </w:r>
          </w:p>
        </w:tc>
      </w:tr>
      <w:tr w:rsidR="00E14217" w:rsidRPr="004761E0" w:rsidTr="00763174">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217" w:rsidRPr="004761E0" w:rsidRDefault="00E14217" w:rsidP="007076A7">
            <w:pPr>
              <w:pStyle w:val="a5"/>
              <w:numPr>
                <w:ilvl w:val="1"/>
                <w:numId w:val="242"/>
              </w:numPr>
              <w:jc w:val="left"/>
              <w:rPr>
                <w:color w:val="000000"/>
                <w:sz w:val="20"/>
                <w:szCs w:val="20"/>
              </w:rPr>
            </w:pP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E14217" w:rsidRPr="004761E0" w:rsidRDefault="00E14217" w:rsidP="00763174">
            <w:pPr>
              <w:ind w:left="176" w:firstLine="0"/>
              <w:rPr>
                <w:rFonts w:eastAsia="Times New Roman"/>
                <w:color w:val="000000"/>
                <w:sz w:val="20"/>
                <w:szCs w:val="20"/>
                <w:lang w:eastAsia="ru-RU"/>
              </w:rPr>
            </w:pPr>
            <w:r w:rsidRPr="004761E0">
              <w:rPr>
                <w:rFonts w:eastAsia="Times New Roman"/>
                <w:color w:val="000000"/>
                <w:sz w:val="20"/>
                <w:szCs w:val="20"/>
                <w:lang w:eastAsia="ru-RU"/>
              </w:rPr>
              <w:t>1-3 классы опасности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color w:val="000000"/>
                <w:sz w:val="20"/>
                <w:szCs w:val="20"/>
              </w:rPr>
              <w:t>310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color w:val="000000"/>
                <w:sz w:val="20"/>
                <w:szCs w:val="20"/>
              </w:rPr>
              <w:t>268</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color w:val="000000"/>
                <w:sz w:val="20"/>
                <w:szCs w:val="20"/>
              </w:rPr>
              <w:t>291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bCs/>
                <w:color w:val="000000"/>
                <w:sz w:val="20"/>
                <w:szCs w:val="20"/>
                <w:lang w:eastAsia="ru-RU"/>
              </w:rPr>
            </w:pPr>
            <w:r w:rsidRPr="004761E0">
              <w:rPr>
                <w:bCs/>
                <w:color w:val="000000"/>
                <w:sz w:val="20"/>
                <w:szCs w:val="20"/>
              </w:rPr>
              <w:t>8,44 %</w:t>
            </w:r>
          </w:p>
        </w:tc>
      </w:tr>
      <w:tr w:rsidR="00E14217" w:rsidRPr="004761E0" w:rsidTr="00763174">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217" w:rsidRPr="004761E0" w:rsidRDefault="00E14217" w:rsidP="007076A7">
            <w:pPr>
              <w:pStyle w:val="a5"/>
              <w:numPr>
                <w:ilvl w:val="1"/>
                <w:numId w:val="242"/>
              </w:numPr>
              <w:jc w:val="left"/>
              <w:rPr>
                <w:color w:val="000000"/>
                <w:sz w:val="20"/>
                <w:szCs w:val="20"/>
              </w:rPr>
            </w:pP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E14217" w:rsidRPr="004761E0" w:rsidRDefault="00E14217" w:rsidP="00763174">
            <w:pPr>
              <w:ind w:left="176" w:firstLine="0"/>
              <w:rPr>
                <w:rFonts w:eastAsia="Times New Roman"/>
                <w:color w:val="000000"/>
                <w:sz w:val="20"/>
                <w:szCs w:val="20"/>
                <w:lang w:eastAsia="ru-RU"/>
              </w:rPr>
            </w:pPr>
            <w:r w:rsidRPr="004761E0">
              <w:rPr>
                <w:rFonts w:eastAsia="Times New Roman"/>
                <w:color w:val="000000"/>
                <w:sz w:val="20"/>
                <w:szCs w:val="20"/>
                <w:lang w:eastAsia="ru-RU"/>
              </w:rPr>
              <w:t>4 классы опасности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color w:val="000000"/>
                <w:sz w:val="20"/>
                <w:szCs w:val="20"/>
              </w:rPr>
              <w:t>4 800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color w:val="000000"/>
                <w:sz w:val="20"/>
                <w:szCs w:val="20"/>
              </w:rPr>
              <w:t>4 715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color w:val="000000"/>
                <w:sz w:val="20"/>
                <w:szCs w:val="20"/>
              </w:rPr>
              <w:t>4 674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bCs/>
                <w:color w:val="000000"/>
                <w:sz w:val="20"/>
                <w:szCs w:val="20"/>
              </w:rPr>
              <w:t>-0,87 %</w:t>
            </w:r>
          </w:p>
        </w:tc>
      </w:tr>
      <w:tr w:rsidR="00E14217" w:rsidRPr="004761E0" w:rsidTr="00763174">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E14217" w:rsidRPr="004761E0" w:rsidRDefault="00E14217" w:rsidP="007076A7">
            <w:pPr>
              <w:pStyle w:val="a5"/>
              <w:numPr>
                <w:ilvl w:val="1"/>
                <w:numId w:val="242"/>
              </w:numPr>
              <w:jc w:val="left"/>
              <w:rPr>
                <w:color w:val="000000"/>
                <w:sz w:val="20"/>
                <w:szCs w:val="20"/>
              </w:rPr>
            </w:pPr>
          </w:p>
        </w:tc>
        <w:tc>
          <w:tcPr>
            <w:tcW w:w="5387"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left="176" w:firstLine="0"/>
              <w:rPr>
                <w:rFonts w:eastAsia="Times New Roman"/>
                <w:color w:val="000000"/>
                <w:sz w:val="20"/>
                <w:szCs w:val="20"/>
                <w:lang w:eastAsia="ru-RU"/>
              </w:rPr>
            </w:pPr>
            <w:r w:rsidRPr="004761E0">
              <w:rPr>
                <w:rFonts w:eastAsia="Times New Roman"/>
                <w:color w:val="000000"/>
                <w:sz w:val="20"/>
                <w:szCs w:val="20"/>
                <w:lang w:eastAsia="ru-RU"/>
              </w:rPr>
              <w:t>5 классы опасности</w:t>
            </w:r>
          </w:p>
        </w:tc>
        <w:tc>
          <w:tcPr>
            <w:tcW w:w="992"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color w:val="000000"/>
                <w:sz w:val="20"/>
                <w:szCs w:val="20"/>
              </w:rPr>
              <w:t>15 455</w:t>
            </w:r>
          </w:p>
        </w:tc>
        <w:tc>
          <w:tcPr>
            <w:tcW w:w="992"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color w:val="000000"/>
                <w:sz w:val="20"/>
                <w:szCs w:val="20"/>
              </w:rPr>
              <w:t>14 034</w:t>
            </w:r>
          </w:p>
        </w:tc>
        <w:tc>
          <w:tcPr>
            <w:tcW w:w="851"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color w:val="000000"/>
                <w:sz w:val="20"/>
                <w:szCs w:val="20"/>
              </w:rPr>
              <w:t>14 796</w:t>
            </w:r>
          </w:p>
        </w:tc>
        <w:tc>
          <w:tcPr>
            <w:tcW w:w="1134"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bCs/>
                <w:color w:val="000000"/>
                <w:sz w:val="20"/>
                <w:szCs w:val="20"/>
              </w:rPr>
              <w:t>5,43 %</w:t>
            </w:r>
          </w:p>
        </w:tc>
      </w:tr>
    </w:tbl>
    <w:p w:rsidR="00E14217" w:rsidRPr="004761E0" w:rsidRDefault="00E14217" w:rsidP="00E14217">
      <w:pPr>
        <w:pStyle w:val="afc"/>
        <w:spacing w:before="0" w:beforeAutospacing="0" w:after="0" w:afterAutospacing="0"/>
        <w:rPr>
          <w:sz w:val="20"/>
          <w:szCs w:val="20"/>
        </w:rPr>
      </w:pPr>
    </w:p>
    <w:p w:rsidR="00E14217" w:rsidRPr="004761E0" w:rsidRDefault="00E14217" w:rsidP="00E14217">
      <w:pPr>
        <w:pStyle w:val="afc"/>
        <w:spacing w:before="0" w:beforeAutospacing="0" w:after="0" w:afterAutospacing="0"/>
        <w:ind w:firstLine="567"/>
        <w:jc w:val="both"/>
        <w:rPr>
          <w:sz w:val="26"/>
          <w:szCs w:val="26"/>
        </w:rPr>
      </w:pPr>
      <w:r w:rsidRPr="004761E0">
        <w:rPr>
          <w:sz w:val="26"/>
          <w:szCs w:val="26"/>
        </w:rPr>
        <w:t>Увеличение доли выбросов твердых веществ в атмосферу обусловлено следующими причинами:</w:t>
      </w:r>
    </w:p>
    <w:p w:rsidR="00E14217" w:rsidRPr="004761E0" w:rsidRDefault="00E14217" w:rsidP="007076A7">
      <w:pPr>
        <w:pStyle w:val="afc"/>
        <w:numPr>
          <w:ilvl w:val="0"/>
          <w:numId w:val="240"/>
        </w:numPr>
        <w:spacing w:before="0" w:beforeAutospacing="0" w:after="0" w:afterAutospacing="0"/>
        <w:jc w:val="both"/>
        <w:rPr>
          <w:sz w:val="26"/>
          <w:szCs w:val="26"/>
        </w:rPr>
      </w:pPr>
      <w:r w:rsidRPr="004761E0">
        <w:rPr>
          <w:sz w:val="26"/>
          <w:szCs w:val="26"/>
        </w:rPr>
        <w:t>увеличением доли новой автомобильной техники;</w:t>
      </w:r>
    </w:p>
    <w:p w:rsidR="00E14217" w:rsidRPr="004761E0" w:rsidRDefault="00E14217" w:rsidP="007076A7">
      <w:pPr>
        <w:pStyle w:val="afc"/>
        <w:numPr>
          <w:ilvl w:val="0"/>
          <w:numId w:val="240"/>
        </w:numPr>
        <w:spacing w:before="0" w:beforeAutospacing="0" w:after="0" w:afterAutospacing="0"/>
        <w:jc w:val="both"/>
        <w:rPr>
          <w:sz w:val="26"/>
          <w:szCs w:val="26"/>
        </w:rPr>
      </w:pPr>
      <w:r w:rsidRPr="004761E0">
        <w:rPr>
          <w:sz w:val="26"/>
          <w:szCs w:val="26"/>
        </w:rPr>
        <w:t>уменьшением доли станочного оборудования;</w:t>
      </w:r>
    </w:p>
    <w:p w:rsidR="00E14217" w:rsidRPr="004761E0" w:rsidRDefault="00E14217" w:rsidP="007076A7">
      <w:pPr>
        <w:pStyle w:val="afc"/>
        <w:numPr>
          <w:ilvl w:val="0"/>
          <w:numId w:val="240"/>
        </w:numPr>
        <w:spacing w:before="0" w:beforeAutospacing="0" w:after="0" w:afterAutospacing="0"/>
        <w:jc w:val="both"/>
        <w:rPr>
          <w:sz w:val="26"/>
          <w:szCs w:val="26"/>
        </w:rPr>
      </w:pPr>
      <w:r w:rsidRPr="004761E0">
        <w:rPr>
          <w:sz w:val="26"/>
          <w:szCs w:val="26"/>
        </w:rPr>
        <w:t>проведение инвентаризации источников выделения и выброса загрязняющих веществ в атмосферу с дальнейшей разработкой томов предельно допустимых выбросов (ПДВ), что выявило изменение количественных показателей нормативов допустимого воздействия;</w:t>
      </w:r>
    </w:p>
    <w:p w:rsidR="00E14217" w:rsidRPr="004761E0" w:rsidRDefault="00E14217" w:rsidP="007076A7">
      <w:pPr>
        <w:pStyle w:val="afc"/>
        <w:numPr>
          <w:ilvl w:val="0"/>
          <w:numId w:val="240"/>
        </w:numPr>
        <w:spacing w:before="0" w:beforeAutospacing="0" w:after="0" w:afterAutospacing="0"/>
        <w:jc w:val="both"/>
        <w:rPr>
          <w:sz w:val="26"/>
          <w:szCs w:val="26"/>
        </w:rPr>
      </w:pPr>
      <w:r w:rsidRPr="004761E0">
        <w:rPr>
          <w:sz w:val="26"/>
          <w:szCs w:val="26"/>
        </w:rPr>
        <w:t>использование электромобильного транспорта.</w:t>
      </w:r>
    </w:p>
    <w:p w:rsidR="00E14217" w:rsidRPr="004761E0" w:rsidRDefault="00E14217" w:rsidP="00585397">
      <w:pPr>
        <w:spacing w:before="120" w:after="120"/>
        <w:ind w:firstLine="567"/>
        <w:rPr>
          <w:b/>
          <w:sz w:val="26"/>
          <w:szCs w:val="26"/>
          <w:lang w:eastAsia="ru-RU"/>
        </w:rPr>
      </w:pPr>
      <w:r w:rsidRPr="00585397">
        <w:rPr>
          <w:b/>
          <w:sz w:val="26"/>
          <w:szCs w:val="26"/>
          <w:lang w:eastAsia="ru-RU"/>
        </w:rPr>
        <w:t>Затраты на охрану окружающей среды</w:t>
      </w:r>
    </w:p>
    <w:tbl>
      <w:tblPr>
        <w:tblW w:w="9936" w:type="dxa"/>
        <w:tblInd w:w="95" w:type="dxa"/>
        <w:tblLook w:val="04A0"/>
      </w:tblPr>
      <w:tblGrid>
        <w:gridCol w:w="580"/>
        <w:gridCol w:w="5387"/>
        <w:gridCol w:w="992"/>
        <w:gridCol w:w="992"/>
        <w:gridCol w:w="851"/>
        <w:gridCol w:w="1134"/>
      </w:tblGrid>
      <w:tr w:rsidR="00E14217" w:rsidRPr="004761E0" w:rsidTr="00763174">
        <w:trPr>
          <w:trHeight w:val="300"/>
        </w:trPr>
        <w:tc>
          <w:tcPr>
            <w:tcW w:w="580" w:type="dxa"/>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E14217" w:rsidRPr="004761E0" w:rsidRDefault="00E14217" w:rsidP="00763174">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538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E14217" w:rsidRPr="004761E0" w:rsidRDefault="00E14217" w:rsidP="00763174">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99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E14217" w:rsidRPr="004761E0" w:rsidRDefault="00E14217" w:rsidP="00763174">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99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E14217" w:rsidRPr="004761E0" w:rsidRDefault="00E14217" w:rsidP="00763174">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85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E14217" w:rsidRPr="004761E0" w:rsidRDefault="00E14217" w:rsidP="00763174">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E14217" w:rsidRPr="004761E0" w:rsidRDefault="00E14217" w:rsidP="00763174">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E14217" w:rsidRPr="004761E0" w:rsidTr="00763174">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E14217" w:rsidRPr="004761E0" w:rsidRDefault="00E14217" w:rsidP="007076A7">
            <w:pPr>
              <w:numPr>
                <w:ilvl w:val="0"/>
                <w:numId w:val="243"/>
              </w:numPr>
              <w:jc w:val="left"/>
              <w:rPr>
                <w:rFonts w:eastAsia="Times New Roman"/>
                <w:color w:val="000000"/>
                <w:sz w:val="20"/>
                <w:szCs w:val="20"/>
                <w:lang w:eastAsia="ru-RU"/>
              </w:rPr>
            </w:pPr>
          </w:p>
        </w:tc>
        <w:tc>
          <w:tcPr>
            <w:tcW w:w="5387"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rPr>
                <w:rFonts w:eastAsia="Times New Roman"/>
                <w:color w:val="000000"/>
                <w:sz w:val="20"/>
                <w:szCs w:val="20"/>
                <w:lang w:eastAsia="ru-RU"/>
              </w:rPr>
            </w:pPr>
            <w:r w:rsidRPr="004761E0">
              <w:rPr>
                <w:rFonts w:eastAsia="Times New Roman"/>
                <w:color w:val="000000"/>
                <w:sz w:val="20"/>
                <w:szCs w:val="20"/>
                <w:lang w:eastAsia="ru-RU"/>
              </w:rPr>
              <w:t>Затраты на охрану окружающей среды, млн руб. без НДС (всего), в т.ч.:</w:t>
            </w:r>
          </w:p>
        </w:tc>
        <w:tc>
          <w:tcPr>
            <w:tcW w:w="992"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rFonts w:eastAsia="Times New Roman"/>
                <w:color w:val="000000"/>
                <w:sz w:val="20"/>
                <w:szCs w:val="20"/>
                <w:lang w:eastAsia="ru-RU"/>
              </w:rPr>
              <w:t>79,06</w:t>
            </w:r>
          </w:p>
        </w:tc>
        <w:tc>
          <w:tcPr>
            <w:tcW w:w="992"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rFonts w:eastAsia="Times New Roman"/>
                <w:color w:val="000000"/>
                <w:sz w:val="20"/>
                <w:szCs w:val="20"/>
                <w:lang w:eastAsia="ru-RU"/>
              </w:rPr>
              <w:t>104,60</w:t>
            </w:r>
          </w:p>
        </w:tc>
        <w:tc>
          <w:tcPr>
            <w:tcW w:w="851"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rFonts w:eastAsia="Times New Roman"/>
                <w:color w:val="000000"/>
                <w:sz w:val="20"/>
                <w:szCs w:val="20"/>
                <w:lang w:eastAsia="ru-RU"/>
              </w:rPr>
              <w:t>93,18</w:t>
            </w:r>
          </w:p>
        </w:tc>
        <w:tc>
          <w:tcPr>
            <w:tcW w:w="1134"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rFonts w:eastAsia="Times New Roman"/>
                <w:color w:val="000000"/>
                <w:sz w:val="20"/>
                <w:szCs w:val="20"/>
                <w:lang w:eastAsia="ru-RU"/>
              </w:rPr>
              <w:t>-10,92 %</w:t>
            </w:r>
          </w:p>
        </w:tc>
      </w:tr>
      <w:tr w:rsidR="00E14217" w:rsidRPr="004761E0" w:rsidTr="00763174">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E14217" w:rsidRPr="004761E0" w:rsidRDefault="00E14217" w:rsidP="007076A7">
            <w:pPr>
              <w:numPr>
                <w:ilvl w:val="1"/>
                <w:numId w:val="243"/>
              </w:numPr>
              <w:jc w:val="left"/>
              <w:rPr>
                <w:rFonts w:eastAsia="Times New Roman"/>
                <w:color w:val="000000"/>
                <w:sz w:val="20"/>
                <w:szCs w:val="20"/>
                <w:lang w:eastAsia="ru-RU"/>
              </w:rPr>
            </w:pPr>
          </w:p>
        </w:tc>
        <w:tc>
          <w:tcPr>
            <w:tcW w:w="5387"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затраты на охрану и рациональное использование  водных ресурсов</w:t>
            </w:r>
          </w:p>
        </w:tc>
        <w:tc>
          <w:tcPr>
            <w:tcW w:w="992"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rFonts w:eastAsia="Times New Roman"/>
                <w:color w:val="000000"/>
                <w:sz w:val="20"/>
                <w:szCs w:val="20"/>
                <w:lang w:eastAsia="ru-RU"/>
              </w:rPr>
              <w:t>23,17</w:t>
            </w:r>
          </w:p>
        </w:tc>
        <w:tc>
          <w:tcPr>
            <w:tcW w:w="992"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rFonts w:eastAsia="Times New Roman"/>
                <w:color w:val="000000"/>
                <w:sz w:val="20"/>
                <w:szCs w:val="20"/>
                <w:lang w:eastAsia="ru-RU"/>
              </w:rPr>
              <w:t>38,93</w:t>
            </w:r>
          </w:p>
        </w:tc>
        <w:tc>
          <w:tcPr>
            <w:tcW w:w="851"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rFonts w:eastAsia="Times New Roman"/>
                <w:color w:val="000000"/>
                <w:sz w:val="20"/>
                <w:szCs w:val="20"/>
                <w:lang w:eastAsia="ru-RU"/>
              </w:rPr>
              <w:t>31,56</w:t>
            </w:r>
          </w:p>
        </w:tc>
        <w:tc>
          <w:tcPr>
            <w:tcW w:w="1134"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rFonts w:eastAsia="Times New Roman"/>
                <w:color w:val="000000"/>
                <w:sz w:val="20"/>
                <w:szCs w:val="20"/>
                <w:lang w:eastAsia="ru-RU"/>
              </w:rPr>
              <w:t>-18,95 %</w:t>
            </w:r>
          </w:p>
        </w:tc>
      </w:tr>
      <w:tr w:rsidR="00E14217" w:rsidRPr="004761E0" w:rsidTr="00763174">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E14217" w:rsidRPr="004761E0" w:rsidRDefault="00E14217" w:rsidP="007076A7">
            <w:pPr>
              <w:numPr>
                <w:ilvl w:val="1"/>
                <w:numId w:val="243"/>
              </w:numPr>
              <w:jc w:val="left"/>
              <w:rPr>
                <w:rFonts w:eastAsia="Times New Roman"/>
                <w:color w:val="000000"/>
                <w:sz w:val="20"/>
                <w:szCs w:val="20"/>
                <w:lang w:eastAsia="ru-RU"/>
              </w:rPr>
            </w:pPr>
          </w:p>
        </w:tc>
        <w:tc>
          <w:tcPr>
            <w:tcW w:w="5387"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затраты на охрану атмосферного воздуха</w:t>
            </w:r>
          </w:p>
        </w:tc>
        <w:tc>
          <w:tcPr>
            <w:tcW w:w="992"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rFonts w:eastAsia="Times New Roman"/>
                <w:color w:val="000000"/>
                <w:sz w:val="20"/>
                <w:szCs w:val="20"/>
                <w:lang w:eastAsia="ru-RU"/>
              </w:rPr>
              <w:t>12,03</w:t>
            </w:r>
          </w:p>
        </w:tc>
        <w:tc>
          <w:tcPr>
            <w:tcW w:w="992"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rFonts w:eastAsia="Times New Roman"/>
                <w:color w:val="000000"/>
                <w:sz w:val="20"/>
                <w:szCs w:val="20"/>
                <w:lang w:eastAsia="ru-RU"/>
              </w:rPr>
              <w:t>10,28</w:t>
            </w:r>
          </w:p>
        </w:tc>
        <w:tc>
          <w:tcPr>
            <w:tcW w:w="851"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rFonts w:eastAsia="Times New Roman"/>
                <w:color w:val="000000"/>
                <w:sz w:val="20"/>
                <w:szCs w:val="20"/>
                <w:lang w:eastAsia="ru-RU"/>
              </w:rPr>
              <w:t>13,56</w:t>
            </w:r>
          </w:p>
        </w:tc>
        <w:tc>
          <w:tcPr>
            <w:tcW w:w="1134"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rFonts w:eastAsia="Times New Roman"/>
                <w:color w:val="000000"/>
                <w:sz w:val="20"/>
                <w:szCs w:val="20"/>
                <w:lang w:eastAsia="ru-RU"/>
              </w:rPr>
              <w:t>31,89 %</w:t>
            </w:r>
          </w:p>
        </w:tc>
      </w:tr>
      <w:tr w:rsidR="00E14217" w:rsidRPr="004761E0" w:rsidTr="00763174">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E14217" w:rsidRPr="004761E0" w:rsidRDefault="00E14217" w:rsidP="007076A7">
            <w:pPr>
              <w:numPr>
                <w:ilvl w:val="1"/>
                <w:numId w:val="243"/>
              </w:numPr>
              <w:jc w:val="left"/>
              <w:rPr>
                <w:rFonts w:eastAsia="Times New Roman"/>
                <w:color w:val="000000"/>
                <w:sz w:val="20"/>
                <w:szCs w:val="20"/>
                <w:lang w:eastAsia="ru-RU"/>
              </w:rPr>
            </w:pPr>
          </w:p>
        </w:tc>
        <w:tc>
          <w:tcPr>
            <w:tcW w:w="5387"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 xml:space="preserve">затраты на охрану земельных ресурсов от отходов производства и потребления </w:t>
            </w:r>
          </w:p>
        </w:tc>
        <w:tc>
          <w:tcPr>
            <w:tcW w:w="992"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rFonts w:eastAsia="Times New Roman"/>
                <w:color w:val="000000"/>
                <w:sz w:val="20"/>
                <w:szCs w:val="20"/>
                <w:lang w:eastAsia="ru-RU"/>
              </w:rPr>
              <w:t>38,93</w:t>
            </w:r>
          </w:p>
        </w:tc>
        <w:tc>
          <w:tcPr>
            <w:tcW w:w="992"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rFonts w:eastAsia="Times New Roman"/>
                <w:color w:val="000000"/>
                <w:sz w:val="20"/>
                <w:szCs w:val="20"/>
                <w:lang w:eastAsia="ru-RU"/>
              </w:rPr>
              <w:t>50,12</w:t>
            </w:r>
          </w:p>
        </w:tc>
        <w:tc>
          <w:tcPr>
            <w:tcW w:w="851"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rFonts w:eastAsia="Times New Roman"/>
                <w:color w:val="000000"/>
                <w:sz w:val="20"/>
                <w:szCs w:val="20"/>
                <w:lang w:eastAsia="ru-RU"/>
              </w:rPr>
              <w:t>42,05</w:t>
            </w:r>
          </w:p>
        </w:tc>
        <w:tc>
          <w:tcPr>
            <w:tcW w:w="1134" w:type="dxa"/>
            <w:tcBorders>
              <w:top w:val="nil"/>
              <w:left w:val="nil"/>
              <w:bottom w:val="single" w:sz="4" w:space="0" w:color="auto"/>
              <w:right w:val="single" w:sz="4" w:space="0" w:color="auto"/>
            </w:tcBorders>
            <w:shd w:val="clear" w:color="auto" w:fill="auto"/>
            <w:vAlign w:val="center"/>
            <w:hideMark/>
          </w:tcPr>
          <w:p w:rsidR="00E14217" w:rsidRPr="004761E0" w:rsidRDefault="00E14217" w:rsidP="00763174">
            <w:pPr>
              <w:ind w:firstLine="0"/>
              <w:jc w:val="right"/>
              <w:rPr>
                <w:rFonts w:eastAsia="Times New Roman"/>
                <w:color w:val="000000"/>
                <w:sz w:val="20"/>
                <w:szCs w:val="20"/>
                <w:lang w:eastAsia="ru-RU"/>
              </w:rPr>
            </w:pPr>
            <w:r w:rsidRPr="004761E0">
              <w:rPr>
                <w:rFonts w:eastAsia="Times New Roman"/>
                <w:color w:val="000000"/>
                <w:sz w:val="20"/>
                <w:szCs w:val="20"/>
                <w:lang w:eastAsia="ru-RU"/>
              </w:rPr>
              <w:t>-16,09 %</w:t>
            </w:r>
          </w:p>
        </w:tc>
      </w:tr>
      <w:tr w:rsidR="00E14217" w:rsidRPr="004761E0" w:rsidTr="00763174">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E14217" w:rsidRPr="004761E0" w:rsidRDefault="00E14217" w:rsidP="007076A7">
            <w:pPr>
              <w:numPr>
                <w:ilvl w:val="1"/>
                <w:numId w:val="243"/>
              </w:numPr>
              <w:jc w:val="left"/>
              <w:rPr>
                <w:rFonts w:eastAsia="Times New Roman"/>
                <w:color w:val="000000"/>
                <w:sz w:val="20"/>
                <w:szCs w:val="20"/>
                <w:lang w:eastAsia="ru-RU"/>
              </w:rPr>
            </w:pPr>
          </w:p>
        </w:tc>
        <w:tc>
          <w:tcPr>
            <w:tcW w:w="5387" w:type="dxa"/>
            <w:tcBorders>
              <w:top w:val="nil"/>
              <w:left w:val="nil"/>
              <w:bottom w:val="single" w:sz="4" w:space="0" w:color="auto"/>
              <w:right w:val="single" w:sz="4" w:space="0" w:color="auto"/>
            </w:tcBorders>
            <w:shd w:val="clear" w:color="auto" w:fill="auto"/>
            <w:vAlign w:val="center"/>
          </w:tcPr>
          <w:p w:rsidR="00E14217" w:rsidRPr="004761E0" w:rsidRDefault="00E14217" w:rsidP="00763174">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плата за негативное воздействие</w:t>
            </w:r>
          </w:p>
        </w:tc>
        <w:tc>
          <w:tcPr>
            <w:tcW w:w="992" w:type="dxa"/>
            <w:tcBorders>
              <w:top w:val="nil"/>
              <w:left w:val="nil"/>
              <w:bottom w:val="single" w:sz="4" w:space="0" w:color="auto"/>
              <w:right w:val="single" w:sz="4" w:space="0" w:color="auto"/>
            </w:tcBorders>
            <w:shd w:val="clear" w:color="auto" w:fill="auto"/>
            <w:vAlign w:val="center"/>
          </w:tcPr>
          <w:p w:rsidR="00E14217" w:rsidRPr="004761E0" w:rsidRDefault="00E14217" w:rsidP="00763174">
            <w:pPr>
              <w:ind w:firstLine="0"/>
              <w:jc w:val="right"/>
              <w:rPr>
                <w:rFonts w:eastAsia="Times New Roman"/>
                <w:color w:val="000000"/>
                <w:sz w:val="20"/>
                <w:szCs w:val="20"/>
                <w:lang w:eastAsia="ru-RU"/>
              </w:rPr>
            </w:pPr>
            <w:r w:rsidRPr="004761E0">
              <w:rPr>
                <w:rFonts w:eastAsia="Times New Roman"/>
                <w:color w:val="000000"/>
                <w:sz w:val="20"/>
                <w:szCs w:val="20"/>
                <w:lang w:eastAsia="ru-RU"/>
              </w:rPr>
              <w:t>4,93</w:t>
            </w:r>
          </w:p>
        </w:tc>
        <w:tc>
          <w:tcPr>
            <w:tcW w:w="992" w:type="dxa"/>
            <w:tcBorders>
              <w:top w:val="nil"/>
              <w:left w:val="nil"/>
              <w:bottom w:val="single" w:sz="4" w:space="0" w:color="auto"/>
              <w:right w:val="single" w:sz="4" w:space="0" w:color="auto"/>
            </w:tcBorders>
            <w:shd w:val="clear" w:color="auto" w:fill="auto"/>
            <w:vAlign w:val="center"/>
          </w:tcPr>
          <w:p w:rsidR="00E14217" w:rsidRPr="004761E0" w:rsidRDefault="00E14217" w:rsidP="00763174">
            <w:pPr>
              <w:ind w:firstLine="0"/>
              <w:jc w:val="right"/>
              <w:rPr>
                <w:rFonts w:eastAsia="Times New Roman"/>
                <w:color w:val="000000"/>
                <w:sz w:val="20"/>
                <w:szCs w:val="20"/>
                <w:lang w:eastAsia="ru-RU"/>
              </w:rPr>
            </w:pPr>
            <w:r w:rsidRPr="004761E0">
              <w:rPr>
                <w:rFonts w:eastAsia="Times New Roman"/>
                <w:color w:val="000000"/>
                <w:sz w:val="20"/>
                <w:szCs w:val="20"/>
                <w:lang w:eastAsia="ru-RU"/>
              </w:rPr>
              <w:t>5,27</w:t>
            </w:r>
          </w:p>
        </w:tc>
        <w:tc>
          <w:tcPr>
            <w:tcW w:w="851" w:type="dxa"/>
            <w:tcBorders>
              <w:top w:val="nil"/>
              <w:left w:val="nil"/>
              <w:bottom w:val="single" w:sz="4" w:space="0" w:color="auto"/>
              <w:right w:val="single" w:sz="4" w:space="0" w:color="auto"/>
            </w:tcBorders>
            <w:shd w:val="clear" w:color="auto" w:fill="auto"/>
            <w:vAlign w:val="center"/>
          </w:tcPr>
          <w:p w:rsidR="00E14217" w:rsidRPr="004761E0" w:rsidRDefault="00E14217" w:rsidP="00763174">
            <w:pPr>
              <w:ind w:firstLine="0"/>
              <w:jc w:val="right"/>
              <w:rPr>
                <w:rFonts w:eastAsia="Times New Roman"/>
                <w:color w:val="000000"/>
                <w:sz w:val="20"/>
                <w:szCs w:val="20"/>
                <w:lang w:eastAsia="ru-RU"/>
              </w:rPr>
            </w:pPr>
            <w:r w:rsidRPr="004761E0">
              <w:rPr>
                <w:rFonts w:eastAsia="Times New Roman"/>
                <w:color w:val="000000"/>
                <w:sz w:val="20"/>
                <w:szCs w:val="20"/>
                <w:lang w:eastAsia="ru-RU"/>
              </w:rPr>
              <w:t>6,01</w:t>
            </w:r>
          </w:p>
        </w:tc>
        <w:tc>
          <w:tcPr>
            <w:tcW w:w="1134" w:type="dxa"/>
            <w:tcBorders>
              <w:top w:val="nil"/>
              <w:left w:val="nil"/>
              <w:bottom w:val="single" w:sz="4" w:space="0" w:color="auto"/>
              <w:right w:val="single" w:sz="4" w:space="0" w:color="auto"/>
            </w:tcBorders>
            <w:shd w:val="clear" w:color="auto" w:fill="auto"/>
            <w:vAlign w:val="center"/>
          </w:tcPr>
          <w:p w:rsidR="00E14217" w:rsidRPr="004761E0" w:rsidRDefault="00E14217" w:rsidP="00763174">
            <w:pPr>
              <w:ind w:firstLine="0"/>
              <w:jc w:val="right"/>
              <w:rPr>
                <w:rFonts w:eastAsia="Times New Roman"/>
                <w:color w:val="000000"/>
                <w:sz w:val="20"/>
                <w:szCs w:val="20"/>
                <w:lang w:eastAsia="ru-RU"/>
              </w:rPr>
            </w:pPr>
            <w:r w:rsidRPr="004761E0">
              <w:rPr>
                <w:rFonts w:eastAsia="Times New Roman"/>
                <w:color w:val="000000"/>
                <w:sz w:val="20"/>
                <w:szCs w:val="20"/>
                <w:lang w:eastAsia="ru-RU"/>
              </w:rPr>
              <w:t>14,03 %</w:t>
            </w:r>
          </w:p>
        </w:tc>
      </w:tr>
    </w:tbl>
    <w:p w:rsidR="00E14217" w:rsidRPr="004761E0" w:rsidRDefault="00E14217" w:rsidP="00E14217">
      <w:pPr>
        <w:pStyle w:val="afc"/>
        <w:spacing w:before="0" w:beforeAutospacing="0" w:after="0" w:afterAutospacing="0"/>
        <w:jc w:val="both"/>
        <w:rPr>
          <w:sz w:val="26"/>
          <w:szCs w:val="26"/>
        </w:rPr>
      </w:pPr>
    </w:p>
    <w:p w:rsidR="00E14217" w:rsidRPr="004761E0" w:rsidRDefault="00E14217" w:rsidP="00E14217">
      <w:pPr>
        <w:pStyle w:val="afc"/>
        <w:tabs>
          <w:tab w:val="num" w:pos="1080"/>
        </w:tabs>
        <w:spacing w:before="0" w:beforeAutospacing="0" w:after="0" w:afterAutospacing="0"/>
        <w:jc w:val="both"/>
        <w:rPr>
          <w:sz w:val="26"/>
          <w:szCs w:val="26"/>
        </w:rPr>
      </w:pPr>
      <w:r w:rsidRPr="004761E0">
        <w:rPr>
          <w:noProof/>
          <w:sz w:val="26"/>
          <w:szCs w:val="26"/>
        </w:rPr>
        <w:lastRenderedPageBreak/>
        <w:drawing>
          <wp:inline distT="0" distB="0" distL="0" distR="0">
            <wp:extent cx="2657475" cy="3200400"/>
            <wp:effectExtent l="19050" t="0" r="9525" b="0"/>
            <wp:docPr id="26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r w:rsidRPr="004761E0">
        <w:rPr>
          <w:sz w:val="26"/>
          <w:szCs w:val="26"/>
        </w:rPr>
        <w:t xml:space="preserve"> </w:t>
      </w:r>
      <w:r w:rsidRPr="004761E0">
        <w:rPr>
          <w:noProof/>
          <w:sz w:val="26"/>
          <w:szCs w:val="26"/>
        </w:rPr>
        <w:drawing>
          <wp:inline distT="0" distB="0" distL="0" distR="0">
            <wp:extent cx="3114675" cy="3200400"/>
            <wp:effectExtent l="19050" t="0" r="9525" b="0"/>
            <wp:docPr id="26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rsidR="00E14217" w:rsidRPr="004761E0" w:rsidRDefault="00E14217" w:rsidP="00E14217">
      <w:pPr>
        <w:pStyle w:val="afc"/>
        <w:tabs>
          <w:tab w:val="num" w:pos="1080"/>
        </w:tabs>
        <w:spacing w:before="0" w:beforeAutospacing="0" w:after="0" w:afterAutospacing="0"/>
        <w:jc w:val="both"/>
        <w:rPr>
          <w:sz w:val="26"/>
          <w:szCs w:val="26"/>
        </w:rPr>
      </w:pPr>
    </w:p>
    <w:p w:rsidR="00E14217" w:rsidRPr="004761E0" w:rsidRDefault="00B857F6" w:rsidP="00B857F6">
      <w:pPr>
        <w:ind w:firstLine="539"/>
        <w:rPr>
          <w:sz w:val="26"/>
          <w:szCs w:val="26"/>
        </w:rPr>
      </w:pPr>
      <w:r w:rsidRPr="004761E0">
        <w:rPr>
          <w:rFonts w:eastAsia="Times New Roman"/>
          <w:sz w:val="26"/>
          <w:szCs w:val="26"/>
          <w:lang w:eastAsia="ru-RU"/>
        </w:rPr>
        <w:t>Н</w:t>
      </w:r>
      <w:r w:rsidR="007B08DA" w:rsidRPr="004761E0">
        <w:rPr>
          <w:rFonts w:eastAsia="Times New Roman"/>
          <w:sz w:val="26"/>
          <w:szCs w:val="26"/>
          <w:lang w:eastAsia="ru-RU"/>
        </w:rPr>
        <w:t xml:space="preserve">егативное воздействие на окружающую среду </w:t>
      </w:r>
      <w:r w:rsidRPr="004761E0">
        <w:rPr>
          <w:rFonts w:eastAsia="Times New Roman"/>
          <w:sz w:val="26"/>
          <w:szCs w:val="26"/>
          <w:lang w:eastAsia="ru-RU"/>
        </w:rPr>
        <w:t xml:space="preserve">(выбросы в атмосферный воздух загрязняющих и иных веществ, сбросы загрязняющих веществ </w:t>
      </w:r>
      <w:r w:rsidR="00165045">
        <w:rPr>
          <w:rFonts w:eastAsia="Times New Roman"/>
          <w:sz w:val="26"/>
          <w:szCs w:val="26"/>
          <w:lang w:eastAsia="ru-RU"/>
        </w:rPr>
        <w:t>в системы хозяйственно-бытовой и ливневой канализации</w:t>
      </w:r>
      <w:r w:rsidR="00165045" w:rsidRPr="004761E0">
        <w:rPr>
          <w:rFonts w:eastAsia="Times New Roman"/>
          <w:sz w:val="26"/>
          <w:szCs w:val="26"/>
          <w:lang w:eastAsia="ru-RU"/>
        </w:rPr>
        <w:t xml:space="preserve">, на водосборные площади, </w:t>
      </w:r>
      <w:r w:rsidRPr="004761E0">
        <w:rPr>
          <w:rFonts w:eastAsia="Times New Roman"/>
          <w:sz w:val="26"/>
          <w:szCs w:val="26"/>
          <w:lang w:eastAsia="ru-RU"/>
        </w:rPr>
        <w:t xml:space="preserve">размещение отходов производства и потребления) </w:t>
      </w:r>
      <w:r w:rsidR="007B08DA" w:rsidRPr="004761E0">
        <w:rPr>
          <w:rFonts w:eastAsia="Times New Roman"/>
          <w:sz w:val="26"/>
          <w:szCs w:val="26"/>
          <w:lang w:eastAsia="ru-RU"/>
        </w:rPr>
        <w:t>является платным</w:t>
      </w:r>
      <w:r w:rsidRPr="006F4AB8">
        <w:rPr>
          <w:rStyle w:val="af1"/>
        </w:rPr>
        <w:footnoteReference w:id="137"/>
      </w:r>
      <w:r w:rsidR="007B08DA" w:rsidRPr="004761E0">
        <w:rPr>
          <w:rFonts w:eastAsia="Times New Roman"/>
          <w:sz w:val="26"/>
          <w:szCs w:val="26"/>
          <w:lang w:eastAsia="ru-RU"/>
        </w:rPr>
        <w:t xml:space="preserve">. </w:t>
      </w:r>
      <w:r w:rsidR="00E14217" w:rsidRPr="004761E0">
        <w:rPr>
          <w:sz w:val="26"/>
          <w:szCs w:val="26"/>
        </w:rPr>
        <w:t xml:space="preserve">Увеличение платы за </w:t>
      </w:r>
      <w:r w:rsidR="00614AAA" w:rsidRPr="004761E0">
        <w:rPr>
          <w:sz w:val="26"/>
          <w:szCs w:val="26"/>
        </w:rPr>
        <w:t xml:space="preserve">негативное воздействие </w:t>
      </w:r>
      <w:r w:rsidRPr="004761E0">
        <w:rPr>
          <w:sz w:val="26"/>
          <w:szCs w:val="26"/>
        </w:rPr>
        <w:t xml:space="preserve">в 2013 году </w:t>
      </w:r>
      <w:r w:rsidR="00614AAA" w:rsidRPr="004761E0">
        <w:rPr>
          <w:sz w:val="26"/>
          <w:szCs w:val="26"/>
        </w:rPr>
        <w:t>обусловлено следующим</w:t>
      </w:r>
      <w:r w:rsidR="00E14217" w:rsidRPr="004761E0">
        <w:rPr>
          <w:sz w:val="26"/>
          <w:szCs w:val="26"/>
        </w:rPr>
        <w:t>:</w:t>
      </w:r>
    </w:p>
    <w:p w:rsidR="00E14217" w:rsidRPr="004761E0" w:rsidRDefault="00E14217" w:rsidP="007076A7">
      <w:pPr>
        <w:numPr>
          <w:ilvl w:val="0"/>
          <w:numId w:val="238"/>
        </w:numPr>
        <w:tabs>
          <w:tab w:val="num" w:pos="0"/>
        </w:tabs>
        <w:ind w:left="1134" w:hanging="567"/>
        <w:rPr>
          <w:sz w:val="26"/>
          <w:szCs w:val="26"/>
        </w:rPr>
      </w:pPr>
      <w:r w:rsidRPr="004761E0">
        <w:rPr>
          <w:sz w:val="26"/>
          <w:szCs w:val="26"/>
        </w:rPr>
        <w:t>ежегодным увеличением инфляционного коэффициента платы</w:t>
      </w:r>
      <w:r w:rsidR="00024BE6" w:rsidRPr="006F4AB8">
        <w:rPr>
          <w:rStyle w:val="af1"/>
        </w:rPr>
        <w:footnoteReference w:id="138"/>
      </w:r>
      <w:r w:rsidR="00024BE6" w:rsidRPr="004761E0">
        <w:rPr>
          <w:sz w:val="26"/>
          <w:szCs w:val="26"/>
        </w:rPr>
        <w:t>;</w:t>
      </w:r>
    </w:p>
    <w:p w:rsidR="00E14217" w:rsidRPr="004761E0" w:rsidRDefault="00E14217" w:rsidP="007076A7">
      <w:pPr>
        <w:numPr>
          <w:ilvl w:val="0"/>
          <w:numId w:val="238"/>
        </w:numPr>
        <w:tabs>
          <w:tab w:val="num" w:pos="0"/>
        </w:tabs>
        <w:ind w:left="1134" w:hanging="567"/>
        <w:rPr>
          <w:sz w:val="26"/>
          <w:szCs w:val="26"/>
        </w:rPr>
      </w:pPr>
      <w:r w:rsidRPr="004761E0">
        <w:rPr>
          <w:sz w:val="26"/>
          <w:szCs w:val="26"/>
        </w:rPr>
        <w:t>закрытием некоторых полигонов ТБО Московской области – полигон «Хметьево» Солнечногорский район, полигон ТБО г. Долгопрудного</w:t>
      </w:r>
      <w:r w:rsidR="00B857F6" w:rsidRPr="004761E0">
        <w:rPr>
          <w:sz w:val="26"/>
          <w:szCs w:val="26"/>
        </w:rPr>
        <w:t>;</w:t>
      </w:r>
    </w:p>
    <w:p w:rsidR="00E14217" w:rsidRPr="004761E0" w:rsidRDefault="00E14217" w:rsidP="007076A7">
      <w:pPr>
        <w:numPr>
          <w:ilvl w:val="0"/>
          <w:numId w:val="238"/>
        </w:numPr>
        <w:tabs>
          <w:tab w:val="num" w:pos="0"/>
        </w:tabs>
        <w:ind w:left="1134" w:hanging="567"/>
        <w:rPr>
          <w:sz w:val="26"/>
          <w:szCs w:val="26"/>
        </w:rPr>
      </w:pPr>
      <w:r w:rsidRPr="004761E0">
        <w:rPr>
          <w:sz w:val="26"/>
          <w:szCs w:val="26"/>
        </w:rPr>
        <w:t>приостановлением с 01.01.2013 выдачи разрешений на сброс загрязняющих веществ на водосборные площади</w:t>
      </w:r>
      <w:r w:rsidR="00024BE6" w:rsidRPr="006F4AB8">
        <w:rPr>
          <w:rStyle w:val="af1"/>
        </w:rPr>
        <w:footnoteReference w:id="139"/>
      </w:r>
      <w:r w:rsidRPr="004761E0">
        <w:rPr>
          <w:sz w:val="26"/>
          <w:szCs w:val="26"/>
        </w:rPr>
        <w:t>.</w:t>
      </w:r>
    </w:p>
    <w:p w:rsidR="00614AAA" w:rsidRPr="004761E0" w:rsidRDefault="00614AAA" w:rsidP="00024BE6">
      <w:pPr>
        <w:ind w:firstLine="567"/>
        <w:rPr>
          <w:rFonts w:eastAsia="Times New Roman"/>
          <w:sz w:val="26"/>
          <w:szCs w:val="26"/>
          <w:lang w:eastAsia="ru-RU"/>
        </w:rPr>
      </w:pPr>
      <w:r w:rsidRPr="004761E0">
        <w:rPr>
          <w:rFonts w:eastAsia="Times New Roman"/>
          <w:sz w:val="26"/>
          <w:szCs w:val="26"/>
          <w:lang w:eastAsia="ru-RU"/>
        </w:rPr>
        <w:t>Затраты на охрану атмосферного воздуха увеличились в связи с изменениями требований природоохранного законодательства, лимитированным сроком действия некоторых документов и как следствие</w:t>
      </w:r>
      <w:r w:rsidR="00024BE6" w:rsidRPr="004761E0">
        <w:rPr>
          <w:rFonts w:eastAsia="Times New Roman"/>
          <w:sz w:val="26"/>
          <w:szCs w:val="26"/>
          <w:lang w:eastAsia="ru-RU"/>
        </w:rPr>
        <w:t>м</w:t>
      </w:r>
      <w:r w:rsidRPr="004761E0">
        <w:rPr>
          <w:rFonts w:eastAsia="Times New Roman"/>
          <w:sz w:val="26"/>
          <w:szCs w:val="26"/>
          <w:lang w:eastAsia="ru-RU"/>
        </w:rPr>
        <w:t xml:space="preserve"> необходимостью разработки в 2013 году разрешительной документации по соответствующему направлению</w:t>
      </w:r>
      <w:r w:rsidR="00024BE6" w:rsidRPr="004761E0">
        <w:rPr>
          <w:rFonts w:eastAsia="Times New Roman"/>
          <w:sz w:val="26"/>
          <w:szCs w:val="26"/>
          <w:lang w:eastAsia="ru-RU"/>
        </w:rPr>
        <w:t>.</w:t>
      </w:r>
    </w:p>
    <w:p w:rsidR="00E14217" w:rsidRPr="004761E0" w:rsidRDefault="00E14217" w:rsidP="00585397">
      <w:pPr>
        <w:spacing w:before="120" w:after="120"/>
        <w:ind w:firstLine="567"/>
        <w:rPr>
          <w:b/>
          <w:sz w:val="26"/>
          <w:szCs w:val="26"/>
          <w:lang w:eastAsia="ru-RU"/>
        </w:rPr>
      </w:pPr>
      <w:r w:rsidRPr="004761E0">
        <w:rPr>
          <w:b/>
          <w:sz w:val="26"/>
          <w:szCs w:val="26"/>
          <w:lang w:eastAsia="ru-RU"/>
        </w:rPr>
        <w:t>Экологическое образование</w:t>
      </w:r>
    </w:p>
    <w:p w:rsidR="00E14217" w:rsidRPr="004761E0" w:rsidRDefault="00E14217" w:rsidP="00E14217">
      <w:pPr>
        <w:ind w:firstLine="567"/>
        <w:rPr>
          <w:sz w:val="26"/>
          <w:szCs w:val="26"/>
        </w:rPr>
      </w:pPr>
      <w:r w:rsidRPr="004761E0">
        <w:rPr>
          <w:sz w:val="26"/>
          <w:szCs w:val="26"/>
        </w:rPr>
        <w:t xml:space="preserve">Одним из важных условий осуществления эффективной природоохранной деятельности является повышение квалификации руководителей и специалистов в области охраны окружающей среды. В 2013 году 97 сотрудников  Компании прошли обучение по следующим программам: </w:t>
      </w:r>
    </w:p>
    <w:p w:rsidR="00E14217" w:rsidRPr="004761E0" w:rsidRDefault="00E14217" w:rsidP="007076A7">
      <w:pPr>
        <w:pStyle w:val="a5"/>
        <w:numPr>
          <w:ilvl w:val="0"/>
          <w:numId w:val="241"/>
        </w:numPr>
        <w:ind w:left="1134" w:hanging="567"/>
        <w:rPr>
          <w:sz w:val="26"/>
          <w:szCs w:val="26"/>
        </w:rPr>
      </w:pPr>
      <w:r w:rsidRPr="004761E0">
        <w:rPr>
          <w:sz w:val="26"/>
          <w:szCs w:val="26"/>
        </w:rPr>
        <w:t>«Охрана окружающей среды, рациональное природопользование и экологическая безопасность»;</w:t>
      </w:r>
    </w:p>
    <w:p w:rsidR="00E14217" w:rsidRPr="004761E0" w:rsidRDefault="00E14217" w:rsidP="007076A7">
      <w:pPr>
        <w:pStyle w:val="a5"/>
        <w:numPr>
          <w:ilvl w:val="0"/>
          <w:numId w:val="241"/>
        </w:numPr>
        <w:ind w:left="1134" w:hanging="567"/>
        <w:rPr>
          <w:sz w:val="26"/>
          <w:szCs w:val="26"/>
        </w:rPr>
      </w:pPr>
      <w:r w:rsidRPr="004761E0">
        <w:rPr>
          <w:sz w:val="26"/>
          <w:szCs w:val="26"/>
        </w:rPr>
        <w:lastRenderedPageBreak/>
        <w:t>«Обеспечение экологической безопасности руководителями и специалистами экологических служб и систем экологического контроля»;</w:t>
      </w:r>
    </w:p>
    <w:p w:rsidR="00E14217" w:rsidRPr="004761E0" w:rsidRDefault="00E14217" w:rsidP="007076A7">
      <w:pPr>
        <w:pStyle w:val="a5"/>
        <w:numPr>
          <w:ilvl w:val="0"/>
          <w:numId w:val="241"/>
        </w:numPr>
        <w:ind w:left="1134" w:hanging="567"/>
        <w:rPr>
          <w:sz w:val="26"/>
          <w:szCs w:val="26"/>
        </w:rPr>
      </w:pPr>
      <w:r w:rsidRPr="004761E0">
        <w:rPr>
          <w:sz w:val="26"/>
          <w:szCs w:val="26"/>
        </w:rPr>
        <w:t>«Обеспечение экологической безопасности руководителями и специалистами общехозяйственных систем управления»;</w:t>
      </w:r>
    </w:p>
    <w:p w:rsidR="00E14217" w:rsidRPr="004761E0" w:rsidRDefault="00E14217" w:rsidP="007076A7">
      <w:pPr>
        <w:numPr>
          <w:ilvl w:val="0"/>
          <w:numId w:val="241"/>
        </w:numPr>
        <w:tabs>
          <w:tab w:val="left" w:pos="567"/>
          <w:tab w:val="left" w:pos="1134"/>
        </w:tabs>
        <w:ind w:left="1134" w:hanging="567"/>
        <w:rPr>
          <w:sz w:val="26"/>
          <w:szCs w:val="26"/>
        </w:rPr>
      </w:pPr>
      <w:r w:rsidRPr="004761E0">
        <w:rPr>
          <w:sz w:val="26"/>
          <w:szCs w:val="26"/>
        </w:rPr>
        <w:t>«Обеспечение экологической безопасности при работах в области обращения с опасными отходами»;</w:t>
      </w:r>
    </w:p>
    <w:p w:rsidR="00E14217" w:rsidRPr="004761E0" w:rsidRDefault="00E14217" w:rsidP="007076A7">
      <w:pPr>
        <w:numPr>
          <w:ilvl w:val="0"/>
          <w:numId w:val="241"/>
        </w:numPr>
        <w:tabs>
          <w:tab w:val="left" w:pos="567"/>
          <w:tab w:val="left" w:pos="1134"/>
        </w:tabs>
        <w:ind w:left="1134" w:hanging="567"/>
        <w:rPr>
          <w:sz w:val="26"/>
          <w:szCs w:val="26"/>
        </w:rPr>
      </w:pPr>
      <w:r w:rsidRPr="004761E0">
        <w:rPr>
          <w:sz w:val="26"/>
          <w:szCs w:val="26"/>
        </w:rPr>
        <w:t>«Охрана водной среды»;</w:t>
      </w:r>
    </w:p>
    <w:p w:rsidR="00E14217" w:rsidRPr="004761E0" w:rsidRDefault="00E14217" w:rsidP="007076A7">
      <w:pPr>
        <w:numPr>
          <w:ilvl w:val="0"/>
          <w:numId w:val="241"/>
        </w:numPr>
        <w:tabs>
          <w:tab w:val="left" w:pos="567"/>
          <w:tab w:val="left" w:pos="1134"/>
        </w:tabs>
        <w:ind w:left="1134" w:hanging="567"/>
        <w:rPr>
          <w:sz w:val="26"/>
          <w:szCs w:val="26"/>
        </w:rPr>
      </w:pPr>
      <w:r w:rsidRPr="004761E0">
        <w:rPr>
          <w:sz w:val="26"/>
          <w:szCs w:val="26"/>
        </w:rPr>
        <w:t>«Аудитор/ведущий аудитор систем экологического менеджмента»;</w:t>
      </w:r>
    </w:p>
    <w:p w:rsidR="00E14217" w:rsidRPr="004761E0" w:rsidRDefault="00E14217" w:rsidP="007076A7">
      <w:pPr>
        <w:numPr>
          <w:ilvl w:val="0"/>
          <w:numId w:val="241"/>
        </w:numPr>
        <w:tabs>
          <w:tab w:val="left" w:pos="567"/>
          <w:tab w:val="left" w:pos="1134"/>
        </w:tabs>
        <w:ind w:left="1134" w:hanging="567"/>
        <w:rPr>
          <w:sz w:val="26"/>
          <w:szCs w:val="26"/>
        </w:rPr>
      </w:pPr>
      <w:r w:rsidRPr="004761E0">
        <w:rPr>
          <w:sz w:val="26"/>
          <w:szCs w:val="26"/>
        </w:rPr>
        <w:t xml:space="preserve">«Совершенствование интегрированной системы менеджмента в соответствии со стандартами </w:t>
      </w:r>
      <w:r w:rsidRPr="004761E0">
        <w:rPr>
          <w:sz w:val="26"/>
          <w:szCs w:val="26"/>
          <w:lang w:val="en-US"/>
        </w:rPr>
        <w:t>ISO</w:t>
      </w:r>
      <w:r w:rsidRPr="004761E0">
        <w:rPr>
          <w:sz w:val="26"/>
          <w:szCs w:val="26"/>
        </w:rPr>
        <w:t xml:space="preserve"> 14001:2004 и </w:t>
      </w:r>
      <w:r w:rsidRPr="004761E0">
        <w:rPr>
          <w:sz w:val="26"/>
          <w:szCs w:val="26"/>
          <w:lang w:val="en-US"/>
        </w:rPr>
        <w:t>OHSAS</w:t>
      </w:r>
      <w:r w:rsidRPr="004761E0">
        <w:rPr>
          <w:sz w:val="26"/>
          <w:szCs w:val="26"/>
        </w:rPr>
        <w:t xml:space="preserve"> 18001:2007».</w:t>
      </w:r>
    </w:p>
    <w:p w:rsidR="00E14217" w:rsidRPr="004761E0" w:rsidRDefault="00E14217" w:rsidP="00715EEC">
      <w:pPr>
        <w:spacing w:before="120" w:after="120"/>
        <w:ind w:firstLine="567"/>
        <w:rPr>
          <w:b/>
          <w:sz w:val="26"/>
          <w:szCs w:val="26"/>
          <w:lang w:eastAsia="ru-RU"/>
        </w:rPr>
      </w:pPr>
      <w:r w:rsidRPr="004761E0">
        <w:rPr>
          <w:b/>
          <w:sz w:val="26"/>
          <w:szCs w:val="26"/>
          <w:lang w:eastAsia="ru-RU"/>
        </w:rPr>
        <w:t>Участие в специализированных выставках и конференциях</w:t>
      </w:r>
    </w:p>
    <w:p w:rsidR="00E14217" w:rsidRPr="004761E0" w:rsidRDefault="00E14217" w:rsidP="00E14217">
      <w:pPr>
        <w:ind w:firstLine="561"/>
        <w:rPr>
          <w:bCs/>
          <w:sz w:val="26"/>
          <w:szCs w:val="26"/>
        </w:rPr>
      </w:pPr>
      <w:r w:rsidRPr="004761E0">
        <w:rPr>
          <w:bCs/>
          <w:sz w:val="26"/>
          <w:szCs w:val="26"/>
        </w:rPr>
        <w:t>В рамках VII Всероссийской конференции «Экология и производство. Перспективы развития экономических механизмов охраны окружающей среды»</w:t>
      </w:r>
      <w:r w:rsidRPr="006F4AB8">
        <w:rPr>
          <w:rStyle w:val="af1"/>
        </w:rPr>
        <w:footnoteReference w:id="140"/>
      </w:r>
      <w:r w:rsidRPr="004761E0">
        <w:rPr>
          <w:bCs/>
          <w:sz w:val="26"/>
          <w:szCs w:val="26"/>
        </w:rPr>
        <w:t xml:space="preserve"> подведены итоги конкурса «100 лучших организаций России. Экология и экологический менеджмент», по результатам которого Общество признано лауреатом конкурса и отмечено золотой медалью и дипломом.</w:t>
      </w:r>
    </w:p>
    <w:p w:rsidR="00E14217" w:rsidRPr="004761E0" w:rsidRDefault="0008080E" w:rsidP="00E14217">
      <w:pPr>
        <w:ind w:right="3" w:firstLine="567"/>
        <w:rPr>
          <w:sz w:val="26"/>
          <w:szCs w:val="26"/>
        </w:rPr>
      </w:pPr>
      <w:r>
        <w:rPr>
          <w:sz w:val="26"/>
          <w:szCs w:val="26"/>
        </w:rPr>
        <w:t>ОАО </w:t>
      </w:r>
      <w:r w:rsidR="00E14217" w:rsidRPr="004761E0">
        <w:rPr>
          <w:sz w:val="26"/>
          <w:szCs w:val="26"/>
        </w:rPr>
        <w:t xml:space="preserve">«МОЭСК» также награждено дипломом и почетной медалью промышленно-экологического форума </w:t>
      </w:r>
      <w:r w:rsidR="007B08DA" w:rsidRPr="004761E0">
        <w:rPr>
          <w:sz w:val="26"/>
          <w:szCs w:val="26"/>
        </w:rPr>
        <w:t>«РосПромЭко-2013»</w:t>
      </w:r>
      <w:r w:rsidR="00E14217" w:rsidRPr="006F4AB8">
        <w:rPr>
          <w:rStyle w:val="af1"/>
        </w:rPr>
        <w:footnoteReference w:id="141"/>
      </w:r>
      <w:r w:rsidR="00E14217" w:rsidRPr="004761E0">
        <w:rPr>
          <w:sz w:val="26"/>
          <w:szCs w:val="26"/>
        </w:rPr>
        <w:t xml:space="preserve"> за выполнение мероприятий по уменьшению негативного воздействия на окружающую среду.</w:t>
      </w:r>
    </w:p>
    <w:p w:rsidR="00E14217" w:rsidRPr="00715EEC" w:rsidRDefault="00E14217" w:rsidP="00715EEC">
      <w:pPr>
        <w:spacing w:before="120" w:after="120"/>
        <w:ind w:firstLine="567"/>
        <w:rPr>
          <w:b/>
          <w:sz w:val="26"/>
          <w:szCs w:val="26"/>
          <w:lang w:eastAsia="ru-RU"/>
        </w:rPr>
      </w:pPr>
      <w:r w:rsidRPr="00715EEC">
        <w:rPr>
          <w:b/>
          <w:sz w:val="26"/>
          <w:szCs w:val="26"/>
          <w:lang w:eastAsia="ru-RU"/>
        </w:rPr>
        <w:t>Экологический аудит</w:t>
      </w:r>
    </w:p>
    <w:p w:rsidR="00E14217" w:rsidRPr="004761E0" w:rsidRDefault="00E14217" w:rsidP="00E14217">
      <w:pPr>
        <w:shd w:val="clear" w:color="auto" w:fill="FFFFFF"/>
        <w:ind w:right="17" w:firstLine="567"/>
        <w:rPr>
          <w:sz w:val="26"/>
          <w:szCs w:val="26"/>
        </w:rPr>
      </w:pPr>
      <w:r w:rsidRPr="004761E0">
        <w:rPr>
          <w:sz w:val="26"/>
          <w:szCs w:val="26"/>
        </w:rPr>
        <w:t xml:space="preserve">В соответствии с экологической политикой в Обществе проводится усовершенствование системы управления в области охраны окружающей среды и природопользования на основе функционирования системы экологического менеджмента. </w:t>
      </w:r>
    </w:p>
    <w:p w:rsidR="00E14217" w:rsidRPr="004761E0" w:rsidRDefault="00E14217" w:rsidP="00E14217">
      <w:pPr>
        <w:shd w:val="clear" w:color="auto" w:fill="FFFFFF"/>
        <w:ind w:right="17" w:firstLine="567"/>
        <w:rPr>
          <w:sz w:val="26"/>
          <w:szCs w:val="26"/>
        </w:rPr>
      </w:pPr>
      <w:r w:rsidRPr="004761E0">
        <w:rPr>
          <w:sz w:val="26"/>
          <w:szCs w:val="26"/>
        </w:rPr>
        <w:t xml:space="preserve">В 2013 году проведен второй надзорный аудит интегрированной системы менеджмента экологии, охраны труда, профессионального здоровья и безопасности </w:t>
      </w:r>
      <w:r w:rsidR="0008080E">
        <w:rPr>
          <w:sz w:val="26"/>
          <w:szCs w:val="26"/>
        </w:rPr>
        <w:t>ОАО </w:t>
      </w:r>
      <w:r w:rsidRPr="004761E0">
        <w:rPr>
          <w:sz w:val="26"/>
          <w:szCs w:val="26"/>
        </w:rPr>
        <w:t>«МОЭСК». В рамках аудита проверены исполнительный аппарат и филиалы  ВЭС и ЦЭС.</w:t>
      </w:r>
    </w:p>
    <w:p w:rsidR="00E14217" w:rsidRPr="004761E0" w:rsidRDefault="00E14217" w:rsidP="007B08DA">
      <w:pPr>
        <w:ind w:firstLine="540"/>
        <w:rPr>
          <w:sz w:val="26"/>
          <w:szCs w:val="26"/>
        </w:rPr>
      </w:pPr>
      <w:r w:rsidRPr="004761E0">
        <w:rPr>
          <w:sz w:val="26"/>
          <w:szCs w:val="26"/>
        </w:rPr>
        <w:t xml:space="preserve">По выявленным замечаниям </w:t>
      </w:r>
      <w:r w:rsidR="007B08DA" w:rsidRPr="004761E0">
        <w:rPr>
          <w:sz w:val="26"/>
          <w:szCs w:val="26"/>
        </w:rPr>
        <w:t>(</w:t>
      </w:r>
      <w:r w:rsidR="007B08DA" w:rsidRPr="004761E0">
        <w:rPr>
          <w:rFonts w:eastAsia="Times New Roman"/>
          <w:sz w:val="26"/>
          <w:szCs w:val="26"/>
          <w:lang w:eastAsia="ru-RU"/>
        </w:rPr>
        <w:t xml:space="preserve">в области </w:t>
      </w:r>
      <w:r w:rsidR="007B08DA" w:rsidRPr="004761E0">
        <w:rPr>
          <w:sz w:val="26"/>
          <w:szCs w:val="26"/>
        </w:rPr>
        <w:t xml:space="preserve">управления документацией и управления операциями – накопление отходов производства и потребления) </w:t>
      </w:r>
      <w:r w:rsidRPr="004761E0">
        <w:rPr>
          <w:sz w:val="26"/>
          <w:szCs w:val="26"/>
        </w:rPr>
        <w:t>разрабатывается план корректирующих и предупреждающих действий.</w:t>
      </w:r>
    </w:p>
    <w:p w:rsidR="00E14217" w:rsidRPr="004761E0" w:rsidRDefault="00E14217" w:rsidP="00E14217">
      <w:pPr>
        <w:shd w:val="clear" w:color="auto" w:fill="FFFFFF"/>
        <w:ind w:right="17" w:firstLine="567"/>
        <w:rPr>
          <w:sz w:val="26"/>
          <w:szCs w:val="26"/>
        </w:rPr>
      </w:pPr>
      <w:r w:rsidRPr="004761E0">
        <w:rPr>
          <w:sz w:val="26"/>
          <w:szCs w:val="26"/>
        </w:rPr>
        <w:t xml:space="preserve">На основании результатов проверок подразделений и процессов </w:t>
      </w:r>
      <w:r w:rsidR="0008080E">
        <w:rPr>
          <w:sz w:val="26"/>
          <w:szCs w:val="26"/>
        </w:rPr>
        <w:t>ОАО </w:t>
      </w:r>
      <w:r w:rsidRPr="004761E0">
        <w:rPr>
          <w:sz w:val="26"/>
          <w:szCs w:val="26"/>
        </w:rPr>
        <w:t xml:space="preserve">«МОЭСК» аудиторами сделано заключение, что ИСМ соответствует требованиям </w:t>
      </w:r>
      <w:r w:rsidRPr="004761E0">
        <w:rPr>
          <w:sz w:val="26"/>
          <w:szCs w:val="26"/>
          <w:lang w:val="en-US"/>
        </w:rPr>
        <w:t>ISO</w:t>
      </w:r>
      <w:r w:rsidRPr="004761E0">
        <w:rPr>
          <w:sz w:val="26"/>
          <w:szCs w:val="26"/>
        </w:rPr>
        <w:t xml:space="preserve"> 14001:2004, </w:t>
      </w:r>
      <w:r w:rsidRPr="004761E0">
        <w:rPr>
          <w:sz w:val="26"/>
          <w:szCs w:val="26"/>
          <w:lang w:val="en-US"/>
        </w:rPr>
        <w:t>OHSAS</w:t>
      </w:r>
      <w:r w:rsidRPr="004761E0">
        <w:rPr>
          <w:sz w:val="26"/>
          <w:szCs w:val="26"/>
        </w:rPr>
        <w:t xml:space="preserve"> 18001:2007, </w:t>
      </w:r>
      <w:r w:rsidRPr="004761E0">
        <w:rPr>
          <w:noProof/>
          <w:sz w:val="26"/>
          <w:szCs w:val="26"/>
        </w:rPr>
        <w:t>продемонстрированы объективные свидетельства результативного поддержания и совершенствования ИСМ</w:t>
      </w:r>
      <w:r w:rsidRPr="004761E0">
        <w:rPr>
          <w:sz w:val="26"/>
          <w:szCs w:val="26"/>
        </w:rPr>
        <w:t xml:space="preserve">. Интегрированная система менеджмента рекомендована к продолжению действий сертификата по Международным стандартам ISO 19001:2004 и </w:t>
      </w:r>
      <w:r w:rsidRPr="004761E0">
        <w:rPr>
          <w:sz w:val="26"/>
          <w:szCs w:val="26"/>
          <w:lang w:val="en-US"/>
        </w:rPr>
        <w:t>OHSAS</w:t>
      </w:r>
      <w:r w:rsidRPr="004761E0">
        <w:rPr>
          <w:sz w:val="26"/>
          <w:szCs w:val="26"/>
        </w:rPr>
        <w:t xml:space="preserve"> 18001:2007.</w:t>
      </w:r>
    </w:p>
    <w:p w:rsidR="00E14217" w:rsidRPr="00715EEC" w:rsidRDefault="00715EEC" w:rsidP="00715EEC">
      <w:pPr>
        <w:spacing w:before="120" w:after="120"/>
        <w:ind w:firstLine="567"/>
        <w:rPr>
          <w:b/>
          <w:sz w:val="26"/>
          <w:szCs w:val="26"/>
          <w:lang w:eastAsia="ru-RU"/>
        </w:rPr>
      </w:pPr>
      <w:r>
        <w:rPr>
          <w:b/>
          <w:sz w:val="26"/>
          <w:szCs w:val="26"/>
          <w:lang w:eastAsia="ru-RU"/>
        </w:rPr>
        <w:t>Основные задачи на 2014 год</w:t>
      </w:r>
    </w:p>
    <w:p w:rsidR="007B08DA" w:rsidRPr="004761E0" w:rsidRDefault="007B08DA" w:rsidP="007076A7">
      <w:pPr>
        <w:pStyle w:val="a5"/>
        <w:numPr>
          <w:ilvl w:val="0"/>
          <w:numId w:val="247"/>
        </w:numPr>
        <w:ind w:left="1134" w:hanging="567"/>
        <w:rPr>
          <w:spacing w:val="2"/>
          <w:sz w:val="26"/>
          <w:szCs w:val="26"/>
        </w:rPr>
      </w:pPr>
      <w:r w:rsidRPr="004761E0">
        <w:rPr>
          <w:spacing w:val="2"/>
          <w:sz w:val="26"/>
          <w:szCs w:val="26"/>
        </w:rPr>
        <w:t>инструментальный контроль выбросов загрязняющих веществ от стационарных, передвижных источников загрязнения атмосферы;</w:t>
      </w:r>
    </w:p>
    <w:p w:rsidR="007B08DA" w:rsidRPr="004761E0" w:rsidRDefault="007B08DA" w:rsidP="007076A7">
      <w:pPr>
        <w:pStyle w:val="a5"/>
        <w:numPr>
          <w:ilvl w:val="0"/>
          <w:numId w:val="247"/>
        </w:numPr>
        <w:ind w:left="1134" w:hanging="567"/>
        <w:rPr>
          <w:spacing w:val="2"/>
          <w:sz w:val="26"/>
          <w:szCs w:val="26"/>
        </w:rPr>
      </w:pPr>
      <w:r w:rsidRPr="004761E0">
        <w:rPr>
          <w:spacing w:val="2"/>
          <w:sz w:val="26"/>
          <w:szCs w:val="26"/>
        </w:rPr>
        <w:lastRenderedPageBreak/>
        <w:t>контроль сброса загрязняющих веществ со сточными водами;</w:t>
      </w:r>
    </w:p>
    <w:p w:rsidR="007B08DA" w:rsidRPr="004761E0" w:rsidRDefault="007B08DA" w:rsidP="007076A7">
      <w:pPr>
        <w:pStyle w:val="a5"/>
        <w:numPr>
          <w:ilvl w:val="0"/>
          <w:numId w:val="247"/>
        </w:numPr>
        <w:ind w:left="1134" w:hanging="567"/>
        <w:rPr>
          <w:spacing w:val="2"/>
          <w:sz w:val="26"/>
          <w:szCs w:val="26"/>
        </w:rPr>
      </w:pPr>
      <w:r w:rsidRPr="004761E0">
        <w:rPr>
          <w:spacing w:val="2"/>
          <w:sz w:val="26"/>
          <w:szCs w:val="26"/>
        </w:rPr>
        <w:t>оборудование площадок для временного накопления отходов производства и потребления;</w:t>
      </w:r>
    </w:p>
    <w:p w:rsidR="007B08DA" w:rsidRPr="004761E0" w:rsidRDefault="007B08DA" w:rsidP="007076A7">
      <w:pPr>
        <w:pStyle w:val="a5"/>
        <w:numPr>
          <w:ilvl w:val="0"/>
          <w:numId w:val="247"/>
        </w:numPr>
        <w:ind w:left="1134" w:hanging="567"/>
        <w:rPr>
          <w:spacing w:val="2"/>
          <w:sz w:val="26"/>
          <w:szCs w:val="26"/>
        </w:rPr>
      </w:pPr>
      <w:r w:rsidRPr="004761E0">
        <w:rPr>
          <w:spacing w:val="2"/>
          <w:sz w:val="26"/>
          <w:szCs w:val="26"/>
        </w:rPr>
        <w:t xml:space="preserve">проведение производственного экологического контроля за соблюдением природоохранного законодательства РФ; </w:t>
      </w:r>
    </w:p>
    <w:p w:rsidR="007B08DA" w:rsidRPr="004761E0" w:rsidRDefault="007B08DA" w:rsidP="007076A7">
      <w:pPr>
        <w:pStyle w:val="a5"/>
        <w:numPr>
          <w:ilvl w:val="0"/>
          <w:numId w:val="247"/>
        </w:numPr>
        <w:ind w:left="1134" w:hanging="567"/>
        <w:rPr>
          <w:spacing w:val="2"/>
          <w:sz w:val="26"/>
          <w:szCs w:val="26"/>
        </w:rPr>
      </w:pPr>
      <w:r w:rsidRPr="004761E0">
        <w:rPr>
          <w:spacing w:val="2"/>
          <w:sz w:val="26"/>
          <w:szCs w:val="26"/>
        </w:rPr>
        <w:t>ведение учета в области обращения с отходами</w:t>
      </w:r>
      <w:r w:rsidRPr="006F4AB8">
        <w:rPr>
          <w:rStyle w:val="af1"/>
        </w:rPr>
        <w:footnoteReference w:id="142"/>
      </w:r>
      <w:r w:rsidRPr="004761E0">
        <w:rPr>
          <w:spacing w:val="2"/>
          <w:sz w:val="26"/>
          <w:szCs w:val="26"/>
        </w:rPr>
        <w:t xml:space="preserve"> в соответствии с Приказом МПР РФ от 01.09.2011 № 721;</w:t>
      </w:r>
    </w:p>
    <w:p w:rsidR="007B08DA" w:rsidRPr="004761E0" w:rsidRDefault="007B08DA" w:rsidP="007076A7">
      <w:pPr>
        <w:pStyle w:val="a5"/>
        <w:numPr>
          <w:ilvl w:val="0"/>
          <w:numId w:val="247"/>
        </w:numPr>
        <w:ind w:left="1134" w:hanging="567"/>
        <w:rPr>
          <w:spacing w:val="2"/>
          <w:sz w:val="26"/>
          <w:szCs w:val="26"/>
        </w:rPr>
      </w:pPr>
      <w:r w:rsidRPr="004761E0">
        <w:rPr>
          <w:spacing w:val="2"/>
          <w:sz w:val="26"/>
          <w:szCs w:val="26"/>
        </w:rPr>
        <w:t>разработка нормативной разрешительной документации;</w:t>
      </w:r>
    </w:p>
    <w:p w:rsidR="007B08DA" w:rsidRPr="004761E0" w:rsidRDefault="007B08DA" w:rsidP="007076A7">
      <w:pPr>
        <w:pStyle w:val="a5"/>
        <w:numPr>
          <w:ilvl w:val="0"/>
          <w:numId w:val="247"/>
        </w:numPr>
        <w:ind w:left="1134" w:hanging="567"/>
        <w:rPr>
          <w:spacing w:val="2"/>
          <w:sz w:val="26"/>
          <w:szCs w:val="26"/>
        </w:rPr>
      </w:pPr>
      <w:r w:rsidRPr="004761E0">
        <w:rPr>
          <w:spacing w:val="2"/>
          <w:sz w:val="26"/>
          <w:szCs w:val="26"/>
        </w:rPr>
        <w:t>производственный контроль соблюдения санитарных правил и нормативов в части воздействия шумового и электромагнитного излучения на окружающую среду;</w:t>
      </w:r>
    </w:p>
    <w:p w:rsidR="007B08DA" w:rsidRPr="004761E0" w:rsidRDefault="007B08DA" w:rsidP="007076A7">
      <w:pPr>
        <w:pStyle w:val="a5"/>
        <w:numPr>
          <w:ilvl w:val="0"/>
          <w:numId w:val="247"/>
        </w:numPr>
        <w:ind w:left="1134" w:hanging="567"/>
        <w:rPr>
          <w:spacing w:val="2"/>
          <w:sz w:val="26"/>
          <w:szCs w:val="26"/>
        </w:rPr>
      </w:pPr>
      <w:r w:rsidRPr="004761E0">
        <w:rPr>
          <w:spacing w:val="2"/>
          <w:sz w:val="26"/>
          <w:szCs w:val="26"/>
        </w:rPr>
        <w:t>контроль соблюдения нормативов на границе СЗЗ;</w:t>
      </w:r>
    </w:p>
    <w:p w:rsidR="007B08DA" w:rsidRPr="004761E0" w:rsidRDefault="007B08DA" w:rsidP="007076A7">
      <w:pPr>
        <w:pStyle w:val="a5"/>
        <w:numPr>
          <w:ilvl w:val="0"/>
          <w:numId w:val="247"/>
        </w:numPr>
        <w:ind w:left="1134" w:hanging="567"/>
        <w:rPr>
          <w:spacing w:val="2"/>
          <w:sz w:val="26"/>
          <w:szCs w:val="26"/>
        </w:rPr>
      </w:pPr>
      <w:r w:rsidRPr="004761E0">
        <w:rPr>
          <w:spacing w:val="2"/>
          <w:sz w:val="26"/>
          <w:szCs w:val="26"/>
        </w:rPr>
        <w:t xml:space="preserve">обеспечение функционирования и развития системы экологического менеджмента в соответствии с требованиями международного стандарта </w:t>
      </w:r>
      <w:r w:rsidRPr="004761E0">
        <w:rPr>
          <w:spacing w:val="2"/>
          <w:sz w:val="26"/>
          <w:szCs w:val="26"/>
          <w:lang w:val="en-US"/>
        </w:rPr>
        <w:t>ISO</w:t>
      </w:r>
      <w:r w:rsidRPr="004761E0">
        <w:rPr>
          <w:spacing w:val="2"/>
          <w:sz w:val="26"/>
          <w:szCs w:val="26"/>
        </w:rPr>
        <w:t xml:space="preserve"> 14001:2004, подготовка к ресертификации.</w:t>
      </w:r>
    </w:p>
    <w:p w:rsidR="00715EEC" w:rsidRDefault="00715EEC">
      <w:pPr>
        <w:ind w:firstLine="0"/>
        <w:jc w:val="left"/>
        <w:rPr>
          <w:rFonts w:eastAsia="Times New Roman"/>
          <w:b/>
          <w:bCs/>
          <w:kern w:val="32"/>
          <w:sz w:val="26"/>
          <w:szCs w:val="26"/>
          <w:lang w:eastAsia="ru-RU"/>
        </w:rPr>
      </w:pPr>
      <w:bookmarkStart w:id="133" w:name="_Toc380576951"/>
      <w:r>
        <w:rPr>
          <w:sz w:val="26"/>
          <w:szCs w:val="26"/>
          <w:lang w:eastAsia="ru-RU"/>
        </w:rPr>
        <w:br w:type="page"/>
      </w:r>
    </w:p>
    <w:p w:rsidR="00027A32" w:rsidRPr="004761E0" w:rsidRDefault="00E34ACB" w:rsidP="007076A7">
      <w:pPr>
        <w:pStyle w:val="11"/>
        <w:numPr>
          <w:ilvl w:val="0"/>
          <w:numId w:val="321"/>
        </w:numPr>
        <w:spacing w:before="120" w:after="120"/>
        <w:ind w:left="1134" w:hanging="567"/>
        <w:rPr>
          <w:rFonts w:ascii="Times New Roman" w:hAnsi="Times New Roman"/>
          <w:sz w:val="26"/>
          <w:szCs w:val="26"/>
          <w:lang w:eastAsia="ru-RU"/>
        </w:rPr>
      </w:pPr>
      <w:bookmarkStart w:id="134" w:name="_Toc385339848"/>
      <w:r w:rsidRPr="004761E0">
        <w:rPr>
          <w:rFonts w:ascii="Times New Roman" w:hAnsi="Times New Roman"/>
          <w:sz w:val="26"/>
          <w:szCs w:val="26"/>
          <w:lang w:eastAsia="ru-RU"/>
        </w:rPr>
        <w:lastRenderedPageBreak/>
        <w:t>Внешние коммуникации</w:t>
      </w:r>
      <w:bookmarkEnd w:id="133"/>
      <w:bookmarkEnd w:id="134"/>
    </w:p>
    <w:p w:rsidR="00C64BC5" w:rsidRPr="004761E0" w:rsidRDefault="00E34ACB" w:rsidP="007076A7">
      <w:pPr>
        <w:pStyle w:val="a8"/>
        <w:numPr>
          <w:ilvl w:val="1"/>
          <w:numId w:val="321"/>
        </w:numPr>
        <w:spacing w:before="120" w:after="120"/>
        <w:ind w:left="1134" w:hanging="567"/>
        <w:jc w:val="both"/>
        <w:rPr>
          <w:rFonts w:ascii="Times New Roman" w:hAnsi="Times New Roman"/>
          <w:b/>
          <w:sz w:val="26"/>
          <w:szCs w:val="26"/>
        </w:rPr>
      </w:pPr>
      <w:bookmarkStart w:id="135" w:name="_Toc380576952"/>
      <w:bookmarkStart w:id="136" w:name="_Toc385339849"/>
      <w:r w:rsidRPr="004761E0">
        <w:rPr>
          <w:rFonts w:ascii="Times New Roman" w:hAnsi="Times New Roman"/>
          <w:b/>
          <w:sz w:val="26"/>
          <w:szCs w:val="26"/>
        </w:rPr>
        <w:t>Интервью директора департамента по связям с общественностью</w:t>
      </w:r>
      <w:bookmarkEnd w:id="135"/>
      <w:bookmarkEnd w:id="136"/>
    </w:p>
    <w:p w:rsidR="00570119" w:rsidRPr="004761E0" w:rsidRDefault="00570119" w:rsidP="00570119">
      <w:pPr>
        <w:spacing w:before="120" w:after="120"/>
        <w:ind w:firstLine="567"/>
        <w:rPr>
          <w:rFonts w:eastAsia="Times New Roman"/>
          <w:b/>
          <w:sz w:val="26"/>
          <w:szCs w:val="26"/>
        </w:rPr>
      </w:pPr>
      <w:r w:rsidRPr="004761E0">
        <w:rPr>
          <w:rFonts w:eastAsia="Times New Roman"/>
          <w:b/>
          <w:sz w:val="26"/>
          <w:szCs w:val="26"/>
        </w:rPr>
        <w:t>Каковы основные результаты деятельности в отчетном году в рамках курируемого направления?</w:t>
      </w:r>
    </w:p>
    <w:p w:rsidR="00570119" w:rsidRPr="004761E0" w:rsidRDefault="00570119" w:rsidP="00570119">
      <w:pPr>
        <w:ind w:firstLine="567"/>
        <w:rPr>
          <w:color w:val="0D0D0D"/>
          <w:sz w:val="26"/>
          <w:szCs w:val="26"/>
        </w:rPr>
      </w:pPr>
      <w:r w:rsidRPr="004761E0">
        <w:rPr>
          <w:color w:val="0D0D0D"/>
          <w:sz w:val="26"/>
          <w:szCs w:val="26"/>
        </w:rPr>
        <w:t xml:space="preserve">В 2013 году приоритетными задачами блока по связям с общественностью были повышение информационной открытости, прозрачности бизнес-процессов компании и обеспечение эффективных коммуникаций со всеми целевыми аудиториями. Мы многое сделали для того, чтобы  информация об упрощении взаимодействия с </w:t>
      </w:r>
      <w:r w:rsidR="004546A6">
        <w:rPr>
          <w:color w:val="0D0D0D"/>
          <w:sz w:val="26"/>
          <w:szCs w:val="26"/>
        </w:rPr>
        <w:t>ОАО «</w:t>
      </w:r>
      <w:r w:rsidRPr="004761E0">
        <w:rPr>
          <w:color w:val="0D0D0D"/>
          <w:sz w:val="26"/>
          <w:szCs w:val="26"/>
        </w:rPr>
        <w:t>МОЭСК</w:t>
      </w:r>
      <w:r w:rsidR="004546A6">
        <w:rPr>
          <w:color w:val="0D0D0D"/>
          <w:sz w:val="26"/>
          <w:szCs w:val="26"/>
        </w:rPr>
        <w:t>»</w:t>
      </w:r>
      <w:r w:rsidRPr="004761E0">
        <w:rPr>
          <w:color w:val="0D0D0D"/>
          <w:sz w:val="26"/>
          <w:szCs w:val="26"/>
        </w:rPr>
        <w:t xml:space="preserve"> дошла до заявителей: провели реиновацию сайта с целью сделать его более информативным и доступным для широкой аудитории, усовершенствовали интерактивные сервисы для клиентов  на портале по технологическому присоединению. Достойный результат показали в части взаимодействия  с органами государственной власти, муниципального управления, общественными организациями: департаментом организовано и проведено около 30 совместных мероприятий, имевших широки</w:t>
      </w:r>
      <w:r w:rsidR="004D12F9">
        <w:rPr>
          <w:color w:val="0D0D0D"/>
          <w:sz w:val="26"/>
          <w:szCs w:val="26"/>
        </w:rPr>
        <w:t>й</w:t>
      </w:r>
      <w:r w:rsidRPr="004761E0">
        <w:rPr>
          <w:color w:val="0D0D0D"/>
          <w:sz w:val="26"/>
          <w:szCs w:val="26"/>
        </w:rPr>
        <w:t xml:space="preserve"> резонанс как на региональном, так и на федеральном уровне. Существенные достижения сделаны в области разработки и внедрения нового единого фирменного стиля, благодаря которым компания приобрела яркий, более узнаваемый образ, способствующий укреплению положительного имиджа </w:t>
      </w:r>
      <w:r w:rsidR="004546A6">
        <w:rPr>
          <w:color w:val="0D0D0D"/>
          <w:sz w:val="26"/>
          <w:szCs w:val="26"/>
        </w:rPr>
        <w:t>ОАО «</w:t>
      </w:r>
      <w:r w:rsidRPr="004761E0">
        <w:rPr>
          <w:color w:val="0D0D0D"/>
          <w:sz w:val="26"/>
          <w:szCs w:val="26"/>
        </w:rPr>
        <w:t>МОЭСК</w:t>
      </w:r>
      <w:r w:rsidR="004546A6">
        <w:rPr>
          <w:color w:val="0D0D0D"/>
          <w:sz w:val="26"/>
          <w:szCs w:val="26"/>
        </w:rPr>
        <w:t>»</w:t>
      </w:r>
      <w:r w:rsidRPr="004761E0">
        <w:rPr>
          <w:color w:val="0D0D0D"/>
          <w:sz w:val="26"/>
          <w:szCs w:val="26"/>
        </w:rPr>
        <w:t xml:space="preserve"> и успешному позиционированию бренда. </w:t>
      </w:r>
    </w:p>
    <w:p w:rsidR="00570119" w:rsidRPr="004761E0" w:rsidRDefault="00570119" w:rsidP="00570119">
      <w:pPr>
        <w:spacing w:before="120" w:after="120"/>
        <w:ind w:firstLine="567"/>
        <w:rPr>
          <w:rFonts w:eastAsia="Times New Roman"/>
          <w:b/>
          <w:sz w:val="26"/>
          <w:szCs w:val="26"/>
        </w:rPr>
      </w:pPr>
      <w:r w:rsidRPr="004761E0">
        <w:rPr>
          <w:rFonts w:eastAsia="Times New Roman"/>
          <w:b/>
          <w:sz w:val="26"/>
          <w:szCs w:val="26"/>
        </w:rPr>
        <w:t>Как, по Вашему мнению, в отчетном году упростилась деятельность в рамках курируемого направления?</w:t>
      </w:r>
    </w:p>
    <w:p w:rsidR="004D12F9" w:rsidRDefault="00570119" w:rsidP="00570119">
      <w:pPr>
        <w:pStyle w:val="a5"/>
        <w:ind w:left="0" w:firstLine="567"/>
        <w:contextualSpacing w:val="0"/>
        <w:rPr>
          <w:rFonts w:eastAsia="Times New Roman"/>
          <w:sz w:val="26"/>
          <w:szCs w:val="26"/>
        </w:rPr>
      </w:pPr>
      <w:r w:rsidRPr="004761E0">
        <w:rPr>
          <w:rFonts w:eastAsia="Times New Roman"/>
          <w:sz w:val="26"/>
          <w:szCs w:val="26"/>
          <w:lang w:val="en-US"/>
        </w:rPr>
        <w:t>PR</w:t>
      </w:r>
      <w:r w:rsidRPr="004761E0">
        <w:rPr>
          <w:rFonts w:eastAsia="Times New Roman"/>
          <w:sz w:val="26"/>
          <w:szCs w:val="26"/>
        </w:rPr>
        <w:t xml:space="preserve"> помогает бизнесу решать его задачи. В этой связи важно понимать, что если не будет позитивных изменений в деятельности самой компании, то не будет и </w:t>
      </w:r>
      <w:r w:rsidRPr="004761E0">
        <w:rPr>
          <w:rFonts w:eastAsia="Times New Roman"/>
          <w:sz w:val="26"/>
          <w:szCs w:val="26"/>
          <w:lang w:val="en-US"/>
        </w:rPr>
        <w:t>PR</w:t>
      </w:r>
      <w:r w:rsidRPr="004761E0">
        <w:rPr>
          <w:rFonts w:eastAsia="Times New Roman"/>
          <w:sz w:val="26"/>
          <w:szCs w:val="26"/>
        </w:rPr>
        <w:t xml:space="preserve">-активности. Многие подразделения компании провели в отчетном году громадную работу по упрощению доступа к услугам </w:t>
      </w:r>
      <w:r w:rsidR="004546A6">
        <w:rPr>
          <w:rFonts w:eastAsia="Times New Roman"/>
          <w:sz w:val="26"/>
          <w:szCs w:val="26"/>
        </w:rPr>
        <w:t>ОАО «</w:t>
      </w:r>
      <w:r w:rsidRPr="004761E0">
        <w:rPr>
          <w:rFonts w:eastAsia="Times New Roman"/>
          <w:sz w:val="26"/>
          <w:szCs w:val="26"/>
        </w:rPr>
        <w:t>МОЭСК</w:t>
      </w:r>
      <w:r w:rsidR="004546A6">
        <w:rPr>
          <w:rFonts w:eastAsia="Times New Roman"/>
          <w:sz w:val="26"/>
          <w:szCs w:val="26"/>
        </w:rPr>
        <w:t>»</w:t>
      </w:r>
      <w:r w:rsidRPr="004761E0">
        <w:rPr>
          <w:rFonts w:eastAsia="Times New Roman"/>
          <w:sz w:val="26"/>
          <w:szCs w:val="26"/>
        </w:rPr>
        <w:t xml:space="preserve">, поэтому нашей основной задачей было донести эту информацию до целевых аудиторий. Причем больше внимание уделялось диалогу с деловым сообществом. Мы предложили и реализовали различные формы работы: форумы, «круглые столы», Дни предпринимателя и т.д. </w:t>
      </w:r>
    </w:p>
    <w:p w:rsidR="00570119" w:rsidRPr="004761E0" w:rsidRDefault="00570119" w:rsidP="00570119">
      <w:pPr>
        <w:pStyle w:val="a5"/>
        <w:ind w:left="0" w:firstLine="567"/>
        <w:contextualSpacing w:val="0"/>
        <w:rPr>
          <w:rFonts w:eastAsia="Times New Roman"/>
          <w:sz w:val="26"/>
          <w:szCs w:val="26"/>
        </w:rPr>
      </w:pPr>
      <w:r w:rsidRPr="004761E0">
        <w:rPr>
          <w:rFonts w:eastAsia="Times New Roman"/>
          <w:sz w:val="26"/>
          <w:szCs w:val="26"/>
        </w:rPr>
        <w:t xml:space="preserve">Если говорить об упрощении деятельности блока, то надо отметить и активное взаимодействие с целевыми аудиториями в части оперативного предоставления информации. Мы поставили себе цель, чтобы при поступлении запроса, например, от общественной организации или СМИ, информация предоставлялась не только </w:t>
      </w:r>
      <w:r w:rsidR="004D12F9">
        <w:rPr>
          <w:rFonts w:eastAsia="Times New Roman"/>
          <w:sz w:val="26"/>
          <w:szCs w:val="26"/>
        </w:rPr>
        <w:t>в сжатые сроки</w:t>
      </w:r>
      <w:r w:rsidRPr="004761E0">
        <w:rPr>
          <w:rFonts w:eastAsia="Times New Roman"/>
          <w:sz w:val="26"/>
          <w:szCs w:val="26"/>
        </w:rPr>
        <w:t xml:space="preserve">, но и максимально развернуто. Благодаря этому, в отчетном году увеличилось количество объективных публикаций о деятельности </w:t>
      </w:r>
      <w:r w:rsidR="004546A6">
        <w:rPr>
          <w:rFonts w:eastAsia="Times New Roman"/>
          <w:sz w:val="26"/>
          <w:szCs w:val="26"/>
        </w:rPr>
        <w:t>ОАО «</w:t>
      </w:r>
      <w:r w:rsidRPr="004761E0">
        <w:rPr>
          <w:rFonts w:eastAsia="Times New Roman"/>
          <w:sz w:val="26"/>
          <w:szCs w:val="26"/>
        </w:rPr>
        <w:t>МОЭСК</w:t>
      </w:r>
      <w:r w:rsidR="004546A6">
        <w:rPr>
          <w:rFonts w:eastAsia="Times New Roman"/>
          <w:sz w:val="26"/>
          <w:szCs w:val="26"/>
        </w:rPr>
        <w:t>»</w:t>
      </w:r>
      <w:r w:rsidRPr="004761E0">
        <w:rPr>
          <w:rFonts w:eastAsia="Times New Roman"/>
          <w:sz w:val="26"/>
          <w:szCs w:val="26"/>
        </w:rPr>
        <w:t xml:space="preserve"> в федеральных СМИ, которые, как известно, очень ценят оперативность работы пресс-служб и достоверность предоставленной информации.</w:t>
      </w:r>
    </w:p>
    <w:p w:rsidR="00570119" w:rsidRPr="004761E0" w:rsidRDefault="00570119" w:rsidP="00570119">
      <w:pPr>
        <w:pStyle w:val="a5"/>
        <w:spacing w:before="120" w:after="120"/>
        <w:ind w:left="0" w:firstLine="567"/>
        <w:contextualSpacing w:val="0"/>
        <w:rPr>
          <w:rFonts w:eastAsia="Times New Roman"/>
          <w:b/>
          <w:sz w:val="26"/>
          <w:szCs w:val="26"/>
        </w:rPr>
      </w:pPr>
      <w:r w:rsidRPr="004761E0">
        <w:rPr>
          <w:rFonts w:eastAsia="Times New Roman"/>
          <w:b/>
          <w:sz w:val="26"/>
          <w:szCs w:val="26"/>
        </w:rPr>
        <w:t xml:space="preserve">Каким образом результаты деятельности в рамках курируемого направления повлияли в отчетном году на повышение открытости / прозрачности деятельности </w:t>
      </w:r>
      <w:r w:rsidR="0008080E">
        <w:rPr>
          <w:rFonts w:eastAsia="Times New Roman"/>
          <w:b/>
          <w:sz w:val="26"/>
          <w:szCs w:val="26"/>
        </w:rPr>
        <w:t>ОАО </w:t>
      </w:r>
      <w:r w:rsidRPr="004761E0">
        <w:rPr>
          <w:rFonts w:eastAsia="Times New Roman"/>
          <w:b/>
          <w:sz w:val="26"/>
          <w:szCs w:val="26"/>
        </w:rPr>
        <w:t>«МОЭСК»?</w:t>
      </w:r>
    </w:p>
    <w:p w:rsidR="00570119" w:rsidRPr="004761E0" w:rsidRDefault="00570119" w:rsidP="00570119">
      <w:pPr>
        <w:pStyle w:val="a5"/>
        <w:ind w:left="0" w:firstLine="567"/>
        <w:contextualSpacing w:val="0"/>
        <w:rPr>
          <w:color w:val="0D0D0D"/>
          <w:sz w:val="26"/>
          <w:szCs w:val="26"/>
        </w:rPr>
      </w:pPr>
      <w:r w:rsidRPr="004761E0">
        <w:rPr>
          <w:rFonts w:eastAsia="Times New Roman"/>
          <w:sz w:val="26"/>
          <w:szCs w:val="26"/>
        </w:rPr>
        <w:t xml:space="preserve">Открытость компании напрямую коррелирует с интересом к ней, который значительно возрос по сравнению с прошлыми периодами. Только аудитория сайта </w:t>
      </w:r>
      <w:r w:rsidR="0008080E">
        <w:rPr>
          <w:rFonts w:eastAsia="Times New Roman"/>
          <w:sz w:val="26"/>
          <w:szCs w:val="26"/>
        </w:rPr>
        <w:t>ОАО </w:t>
      </w:r>
      <w:r w:rsidRPr="004761E0">
        <w:rPr>
          <w:rFonts w:eastAsia="Times New Roman"/>
          <w:sz w:val="26"/>
          <w:szCs w:val="26"/>
        </w:rPr>
        <w:t>«МОЭСК» выросла почти в два раза</w:t>
      </w:r>
      <w:r w:rsidR="00FB3DDA">
        <w:rPr>
          <w:rFonts w:eastAsia="Times New Roman"/>
          <w:sz w:val="26"/>
          <w:szCs w:val="26"/>
        </w:rPr>
        <w:t>.</w:t>
      </w:r>
      <w:r w:rsidRPr="004761E0">
        <w:rPr>
          <w:rFonts w:eastAsia="Times New Roman"/>
          <w:sz w:val="26"/>
          <w:szCs w:val="26"/>
        </w:rPr>
        <w:t xml:space="preserve"> Это очень хороший итог, учитывая, что компания не меняла ни имени, ни сферу деятельности. Скажу больше – это прямой </w:t>
      </w:r>
      <w:r w:rsidRPr="004761E0">
        <w:rPr>
          <w:rFonts w:eastAsia="Times New Roman"/>
          <w:sz w:val="26"/>
          <w:szCs w:val="26"/>
        </w:rPr>
        <w:lastRenderedPageBreak/>
        <w:t xml:space="preserve">результат информационной открытости всех функциональных блоков компании, наращивания потока коммуникаций с целевыми аудиториями по интернет-каналам, совершенствования электронных сервисов, расширения спектра дополнительных услуг и т.д. </w:t>
      </w:r>
      <w:r w:rsidRPr="004761E0">
        <w:rPr>
          <w:color w:val="0D0D0D"/>
          <w:sz w:val="26"/>
          <w:szCs w:val="26"/>
        </w:rPr>
        <w:t xml:space="preserve">Подтверждением данного факта также служат достаточно высокие позиции </w:t>
      </w:r>
      <w:r w:rsidR="004546A6">
        <w:rPr>
          <w:color w:val="0D0D0D"/>
          <w:sz w:val="26"/>
          <w:szCs w:val="26"/>
        </w:rPr>
        <w:t>ОАО «</w:t>
      </w:r>
      <w:r w:rsidRPr="004761E0">
        <w:rPr>
          <w:color w:val="0D0D0D"/>
          <w:sz w:val="26"/>
          <w:szCs w:val="26"/>
        </w:rPr>
        <w:t>МОЭСК</w:t>
      </w:r>
      <w:r w:rsidR="004546A6">
        <w:rPr>
          <w:color w:val="0D0D0D"/>
          <w:sz w:val="26"/>
          <w:szCs w:val="26"/>
        </w:rPr>
        <w:t>»</w:t>
      </w:r>
      <w:r w:rsidRPr="004761E0">
        <w:rPr>
          <w:color w:val="0D0D0D"/>
          <w:sz w:val="26"/>
          <w:szCs w:val="26"/>
        </w:rPr>
        <w:t xml:space="preserve"> в рейтинге информационной открытости российских компаний ТЭК на протяжении всего отчетного периода.</w:t>
      </w:r>
    </w:p>
    <w:p w:rsidR="00570119" w:rsidRPr="004761E0" w:rsidRDefault="00570119" w:rsidP="00570119">
      <w:pPr>
        <w:pStyle w:val="a5"/>
        <w:spacing w:before="120" w:after="120"/>
        <w:ind w:left="0" w:firstLine="567"/>
        <w:contextualSpacing w:val="0"/>
        <w:rPr>
          <w:rFonts w:eastAsia="Times New Roman"/>
          <w:b/>
          <w:sz w:val="26"/>
          <w:szCs w:val="26"/>
        </w:rPr>
      </w:pPr>
      <w:r w:rsidRPr="004761E0">
        <w:rPr>
          <w:rFonts w:eastAsia="Times New Roman"/>
          <w:b/>
          <w:sz w:val="26"/>
          <w:szCs w:val="26"/>
        </w:rPr>
        <w:t>Как результаты работы в отчетном году в рамках курируемого направления отразились на деятельности клиентов, акционеров, иных заинтересованных сторон?</w:t>
      </w:r>
    </w:p>
    <w:p w:rsidR="00570119" w:rsidRPr="004761E0" w:rsidRDefault="00570119" w:rsidP="004E121E">
      <w:pPr>
        <w:ind w:firstLine="567"/>
        <w:rPr>
          <w:rFonts w:eastAsia="Times New Roman"/>
          <w:sz w:val="26"/>
          <w:szCs w:val="26"/>
        </w:rPr>
      </w:pPr>
      <w:r w:rsidRPr="004761E0">
        <w:rPr>
          <w:rFonts w:eastAsia="Times New Roman"/>
          <w:sz w:val="26"/>
          <w:szCs w:val="26"/>
        </w:rPr>
        <w:t>Открытость и доступность являлись приоритетными направлениями работы и при реализации политики клиентоориентрованности. Посредством совершенствования портала по ТП департаментом выполнен серьезный объем работы в части обеспечения полноценной информационной и сервисной поддержки потребителей, создания сервиса ТП в соответствии со стандартами крупнейших мировых компаний</w:t>
      </w:r>
      <w:r w:rsidRPr="004761E0">
        <w:rPr>
          <w:sz w:val="26"/>
          <w:szCs w:val="26"/>
        </w:rPr>
        <w:t xml:space="preserve">. </w:t>
      </w:r>
      <w:r w:rsidRPr="004761E0">
        <w:rPr>
          <w:rFonts w:eastAsia="Times New Roman"/>
          <w:sz w:val="26"/>
          <w:szCs w:val="26"/>
        </w:rPr>
        <w:t xml:space="preserve">Сайт </w:t>
      </w:r>
      <w:r w:rsidR="009E567A">
        <w:rPr>
          <w:rFonts w:eastAsia="Times New Roman"/>
          <w:sz w:val="26"/>
          <w:szCs w:val="26"/>
        </w:rPr>
        <w:t>К</w:t>
      </w:r>
      <w:r w:rsidRPr="004761E0">
        <w:rPr>
          <w:rFonts w:eastAsia="Times New Roman"/>
          <w:sz w:val="26"/>
          <w:szCs w:val="26"/>
        </w:rPr>
        <w:t>омпании также стал более удобным, информационно-насыщенным и полезным для наших клиентов. Удобство навигации, интерактивный функционал, современные визуальные решения – все ориентировано на повышение лояльности потребителей, осуществление их информационной и сервисной поддержки.</w:t>
      </w:r>
    </w:p>
    <w:p w:rsidR="00570119" w:rsidRPr="004761E0" w:rsidRDefault="00570119" w:rsidP="004E121E">
      <w:pPr>
        <w:ind w:firstLine="567"/>
        <w:rPr>
          <w:rFonts w:eastAsia="Times New Roman"/>
          <w:sz w:val="26"/>
          <w:szCs w:val="26"/>
        </w:rPr>
      </w:pPr>
      <w:r w:rsidRPr="004761E0">
        <w:rPr>
          <w:rFonts w:eastAsia="Times New Roman"/>
          <w:sz w:val="26"/>
          <w:szCs w:val="26"/>
        </w:rPr>
        <w:t xml:space="preserve">Надо отметить, что все нововведения мы производили, поддерживая постоянную обратную связь с нашими целевыми аудиториями. Если, например, от предпринимателей приходил запрос о недостатке информации по техприсоединению к сетям компании, готовилось специальное учебное пособие для представителей малого бизнеса, где в доступной наглядной форме объяснялись все тонкости процесса. Параллельно велась работа по упрощению подачи информации на портале по ТП, изданию буклетов. Особенно приятно, что итогом этой работы стали положительные оценки со стороны органов власти и наших клиентов. </w:t>
      </w:r>
    </w:p>
    <w:p w:rsidR="00570119" w:rsidRPr="004761E0" w:rsidRDefault="00570119" w:rsidP="00570119">
      <w:pPr>
        <w:pStyle w:val="a5"/>
        <w:spacing w:before="120" w:after="120"/>
        <w:ind w:left="0" w:firstLine="567"/>
        <w:contextualSpacing w:val="0"/>
        <w:rPr>
          <w:rFonts w:eastAsia="Times New Roman"/>
          <w:b/>
          <w:sz w:val="26"/>
          <w:szCs w:val="26"/>
        </w:rPr>
      </w:pPr>
      <w:r w:rsidRPr="004761E0">
        <w:rPr>
          <w:rFonts w:eastAsia="Times New Roman"/>
          <w:b/>
          <w:sz w:val="26"/>
          <w:szCs w:val="26"/>
        </w:rPr>
        <w:t>Каковы основные планы на следующий год и среднесрочную перспективу?</w:t>
      </w:r>
    </w:p>
    <w:p w:rsidR="00570119" w:rsidRPr="004761E0" w:rsidRDefault="00570119" w:rsidP="004E121E">
      <w:pPr>
        <w:ind w:firstLine="567"/>
        <w:rPr>
          <w:rFonts w:eastAsia="Times New Roman"/>
          <w:sz w:val="26"/>
          <w:szCs w:val="26"/>
        </w:rPr>
      </w:pPr>
      <w:r w:rsidRPr="004761E0">
        <w:rPr>
          <w:rFonts w:eastAsia="Times New Roman"/>
          <w:sz w:val="26"/>
          <w:szCs w:val="26"/>
        </w:rPr>
        <w:t>Мы сосредоточим усилия на PR-сопровождении программы «3 шага – 2 визита», тем более что у нас уже есть успешный опыт подобной работы по предыдущей программе компании «Пять шагов за три визита». Программа предусматривает как информационное сопровождение, так и комплексную визуализацию про</w:t>
      </w:r>
      <w:r w:rsidR="004546A6">
        <w:rPr>
          <w:rFonts w:eastAsia="Times New Roman"/>
          <w:sz w:val="26"/>
          <w:szCs w:val="26"/>
        </w:rPr>
        <w:t>екта (буклеты, сайт, портал по технологическому присоединению</w:t>
      </w:r>
      <w:r w:rsidRPr="004761E0">
        <w:rPr>
          <w:rFonts w:eastAsia="Times New Roman"/>
          <w:sz w:val="26"/>
          <w:szCs w:val="26"/>
        </w:rPr>
        <w:t xml:space="preserve"> и т.п.), а также организацию мероприятий для целевых аудиторий, в т.ч. для респондентов, участвующих в опросе Всемирного Банка в целях составления рейтинга Doing Business. </w:t>
      </w:r>
    </w:p>
    <w:p w:rsidR="00570119" w:rsidRPr="004761E0" w:rsidRDefault="00570119" w:rsidP="004E121E">
      <w:pPr>
        <w:ind w:firstLine="567"/>
        <w:rPr>
          <w:rFonts w:eastAsia="Times New Roman"/>
          <w:sz w:val="26"/>
          <w:szCs w:val="26"/>
        </w:rPr>
      </w:pPr>
      <w:r w:rsidRPr="004761E0">
        <w:rPr>
          <w:rFonts w:eastAsia="Times New Roman"/>
          <w:sz w:val="26"/>
          <w:szCs w:val="26"/>
        </w:rPr>
        <w:t xml:space="preserve">Кроме того, в планах  предусмотрено продвижение дополнительных услуг, развитие GR-направления, активизация работы в социальных сетях. Самое пристальное внимание будет уделяться разработке и контролю выполнения программы оформления зданий и сооружений филиалов </w:t>
      </w:r>
      <w:r w:rsidR="0008080E">
        <w:rPr>
          <w:rFonts w:eastAsia="Times New Roman"/>
          <w:sz w:val="26"/>
          <w:szCs w:val="26"/>
        </w:rPr>
        <w:t>ОАО </w:t>
      </w:r>
      <w:r w:rsidRPr="004761E0">
        <w:rPr>
          <w:rFonts w:eastAsia="Times New Roman"/>
          <w:sz w:val="26"/>
          <w:szCs w:val="26"/>
        </w:rPr>
        <w:t>«МОЭСК» в соответствии с новым бренд-буком.</w:t>
      </w:r>
    </w:p>
    <w:p w:rsidR="00715EEC" w:rsidRDefault="00715EEC">
      <w:pPr>
        <w:ind w:firstLine="0"/>
        <w:jc w:val="left"/>
        <w:rPr>
          <w:rFonts w:ascii="Cambria" w:eastAsia="Times New Roman" w:hAnsi="Cambria"/>
          <w:b/>
          <w:sz w:val="26"/>
          <w:szCs w:val="26"/>
        </w:rPr>
      </w:pPr>
      <w:r>
        <w:rPr>
          <w:b/>
          <w:sz w:val="26"/>
          <w:szCs w:val="26"/>
        </w:rPr>
        <w:br w:type="page"/>
      </w:r>
    </w:p>
    <w:p w:rsidR="00715EEC" w:rsidRPr="00715EEC" w:rsidRDefault="00715EEC" w:rsidP="007076A7">
      <w:pPr>
        <w:pStyle w:val="a8"/>
        <w:numPr>
          <w:ilvl w:val="1"/>
          <w:numId w:val="321"/>
        </w:numPr>
        <w:spacing w:before="120" w:after="120"/>
        <w:ind w:left="1134" w:hanging="567"/>
        <w:jc w:val="both"/>
        <w:rPr>
          <w:b/>
          <w:sz w:val="26"/>
          <w:szCs w:val="26"/>
        </w:rPr>
      </w:pPr>
      <w:bookmarkStart w:id="137" w:name="_Toc385339850"/>
      <w:r w:rsidRPr="00715EEC">
        <w:rPr>
          <w:rFonts w:ascii="Times New Roman" w:hAnsi="Times New Roman"/>
          <w:b/>
          <w:sz w:val="26"/>
          <w:szCs w:val="26"/>
        </w:rPr>
        <w:lastRenderedPageBreak/>
        <w:t xml:space="preserve">Связи с общественностью, </w:t>
      </w:r>
      <w:r>
        <w:rPr>
          <w:rFonts w:ascii="Times New Roman" w:hAnsi="Times New Roman"/>
          <w:b/>
          <w:sz w:val="26"/>
          <w:szCs w:val="26"/>
        </w:rPr>
        <w:t xml:space="preserve">средствами массовой информации, </w:t>
      </w:r>
      <w:r w:rsidRPr="00715EEC">
        <w:rPr>
          <w:rFonts w:ascii="Times New Roman" w:hAnsi="Times New Roman"/>
          <w:b/>
          <w:sz w:val="26"/>
          <w:szCs w:val="26"/>
        </w:rPr>
        <w:t xml:space="preserve">органами </w:t>
      </w:r>
      <w:r>
        <w:rPr>
          <w:rFonts w:ascii="Times New Roman" w:hAnsi="Times New Roman"/>
          <w:b/>
          <w:sz w:val="26"/>
          <w:szCs w:val="26"/>
        </w:rPr>
        <w:t xml:space="preserve">государственной </w:t>
      </w:r>
      <w:r w:rsidRPr="00715EEC">
        <w:rPr>
          <w:rFonts w:ascii="Times New Roman" w:hAnsi="Times New Roman"/>
          <w:b/>
          <w:sz w:val="26"/>
          <w:szCs w:val="26"/>
        </w:rPr>
        <w:t>власти</w:t>
      </w:r>
      <w:r>
        <w:rPr>
          <w:rFonts w:ascii="Times New Roman" w:hAnsi="Times New Roman"/>
          <w:b/>
          <w:sz w:val="26"/>
          <w:szCs w:val="26"/>
        </w:rPr>
        <w:t xml:space="preserve"> и </w:t>
      </w:r>
      <w:r w:rsidRPr="00715EEC">
        <w:rPr>
          <w:rFonts w:ascii="Times New Roman" w:hAnsi="Times New Roman"/>
          <w:b/>
          <w:sz w:val="26"/>
          <w:szCs w:val="26"/>
        </w:rPr>
        <w:t>муниципального управления, общественными организациями</w:t>
      </w:r>
      <w:bookmarkEnd w:id="137"/>
    </w:p>
    <w:p w:rsidR="00A470FB" w:rsidRPr="004761E0" w:rsidRDefault="00A470FB" w:rsidP="00A470FB">
      <w:pPr>
        <w:ind w:firstLine="567"/>
        <w:rPr>
          <w:sz w:val="26"/>
          <w:szCs w:val="26"/>
        </w:rPr>
      </w:pPr>
      <w:r w:rsidRPr="004761E0">
        <w:rPr>
          <w:sz w:val="26"/>
          <w:szCs w:val="26"/>
        </w:rPr>
        <w:t xml:space="preserve">В 2013 году ключевые направления деятельности Компании в области связей с общественностью неразрывно связаны с необходимостью достижения заявленных целей и задач </w:t>
      </w:r>
      <w:r w:rsidR="0008080E">
        <w:rPr>
          <w:sz w:val="26"/>
          <w:szCs w:val="26"/>
        </w:rPr>
        <w:t>ОАО </w:t>
      </w:r>
      <w:r w:rsidRPr="004761E0">
        <w:rPr>
          <w:sz w:val="26"/>
          <w:szCs w:val="26"/>
        </w:rPr>
        <w:t xml:space="preserve">«МОЭСК». Тематически можно выделить следующие основные векторы </w:t>
      </w:r>
      <w:r w:rsidRPr="004761E0">
        <w:rPr>
          <w:sz w:val="26"/>
          <w:szCs w:val="26"/>
          <w:lang w:val="en-US"/>
        </w:rPr>
        <w:t>PR</w:t>
      </w:r>
      <w:r w:rsidRPr="004761E0">
        <w:rPr>
          <w:sz w:val="26"/>
          <w:szCs w:val="26"/>
        </w:rPr>
        <w:t xml:space="preserve">-работы: </w:t>
      </w:r>
    </w:p>
    <w:p w:rsidR="00A470FB" w:rsidRPr="004761E0" w:rsidRDefault="00A470FB" w:rsidP="007076A7">
      <w:pPr>
        <w:pStyle w:val="a5"/>
        <w:numPr>
          <w:ilvl w:val="0"/>
          <w:numId w:val="233"/>
        </w:numPr>
        <w:ind w:left="1134" w:hanging="567"/>
        <w:contextualSpacing w:val="0"/>
        <w:rPr>
          <w:sz w:val="26"/>
          <w:szCs w:val="26"/>
        </w:rPr>
      </w:pPr>
      <w:r w:rsidRPr="004761E0">
        <w:rPr>
          <w:sz w:val="26"/>
          <w:szCs w:val="26"/>
        </w:rPr>
        <w:t>коммуникационная поддержка приоритетных направлений деятельности Компании;</w:t>
      </w:r>
    </w:p>
    <w:p w:rsidR="00A470FB" w:rsidRPr="004761E0" w:rsidRDefault="00A470FB" w:rsidP="007076A7">
      <w:pPr>
        <w:pStyle w:val="a5"/>
        <w:numPr>
          <w:ilvl w:val="0"/>
          <w:numId w:val="233"/>
        </w:numPr>
        <w:ind w:left="1134" w:hanging="567"/>
        <w:contextualSpacing w:val="0"/>
        <w:rPr>
          <w:sz w:val="26"/>
          <w:szCs w:val="26"/>
        </w:rPr>
      </w:pPr>
      <w:r w:rsidRPr="004761E0">
        <w:rPr>
          <w:sz w:val="26"/>
          <w:szCs w:val="26"/>
        </w:rPr>
        <w:t xml:space="preserve">текущее информационное сопровождение работы </w:t>
      </w:r>
      <w:r w:rsidR="0008080E">
        <w:rPr>
          <w:sz w:val="26"/>
          <w:szCs w:val="26"/>
        </w:rPr>
        <w:t>ОАО </w:t>
      </w:r>
      <w:r w:rsidRPr="004761E0">
        <w:rPr>
          <w:sz w:val="26"/>
          <w:szCs w:val="26"/>
        </w:rPr>
        <w:t>«МОЭСК» в рамках единой коммуникационной политики Компании;</w:t>
      </w:r>
    </w:p>
    <w:p w:rsidR="00A470FB" w:rsidRPr="004761E0" w:rsidRDefault="00A470FB" w:rsidP="007076A7">
      <w:pPr>
        <w:pStyle w:val="a5"/>
        <w:numPr>
          <w:ilvl w:val="0"/>
          <w:numId w:val="233"/>
        </w:numPr>
        <w:ind w:left="1134" w:hanging="567"/>
        <w:contextualSpacing w:val="0"/>
        <w:rPr>
          <w:sz w:val="26"/>
          <w:szCs w:val="26"/>
        </w:rPr>
      </w:pPr>
      <w:r w:rsidRPr="004761E0">
        <w:rPr>
          <w:sz w:val="26"/>
          <w:szCs w:val="26"/>
        </w:rPr>
        <w:t>освещение корпоративных мероприятий Компании;</w:t>
      </w:r>
    </w:p>
    <w:p w:rsidR="00A470FB" w:rsidRPr="004761E0" w:rsidRDefault="00A470FB" w:rsidP="007076A7">
      <w:pPr>
        <w:pStyle w:val="a5"/>
        <w:numPr>
          <w:ilvl w:val="0"/>
          <w:numId w:val="233"/>
        </w:numPr>
        <w:ind w:left="1134" w:hanging="567"/>
        <w:contextualSpacing w:val="0"/>
        <w:rPr>
          <w:sz w:val="26"/>
          <w:szCs w:val="26"/>
        </w:rPr>
      </w:pPr>
      <w:r w:rsidRPr="004761E0">
        <w:rPr>
          <w:sz w:val="26"/>
          <w:szCs w:val="26"/>
        </w:rPr>
        <w:t>подготовка и организация специализированных мероприятий</w:t>
      </w:r>
      <w:r w:rsidR="000F75FF" w:rsidRPr="004761E0">
        <w:rPr>
          <w:sz w:val="26"/>
          <w:szCs w:val="26"/>
        </w:rPr>
        <w:t>.</w:t>
      </w:r>
    </w:p>
    <w:p w:rsidR="00A470FB" w:rsidRPr="00715EEC" w:rsidRDefault="00A470FB" w:rsidP="00715EEC">
      <w:pPr>
        <w:pStyle w:val="a5"/>
        <w:spacing w:before="120" w:after="120"/>
        <w:ind w:left="0" w:firstLine="567"/>
        <w:contextualSpacing w:val="0"/>
        <w:rPr>
          <w:rFonts w:eastAsia="Times New Roman"/>
          <w:b/>
          <w:sz w:val="26"/>
          <w:szCs w:val="26"/>
        </w:rPr>
      </w:pPr>
      <w:r w:rsidRPr="00715EEC">
        <w:rPr>
          <w:rFonts w:eastAsia="Times New Roman"/>
          <w:b/>
          <w:sz w:val="26"/>
          <w:szCs w:val="26"/>
        </w:rPr>
        <w:t>Коммуникации со средствами массовой информации</w:t>
      </w:r>
    </w:p>
    <w:p w:rsidR="00A470FB" w:rsidRPr="004761E0" w:rsidRDefault="00A470FB" w:rsidP="00A470FB">
      <w:pPr>
        <w:ind w:firstLine="567"/>
        <w:rPr>
          <w:sz w:val="26"/>
          <w:szCs w:val="26"/>
        </w:rPr>
      </w:pPr>
      <w:r w:rsidRPr="004761E0">
        <w:rPr>
          <w:sz w:val="26"/>
          <w:szCs w:val="26"/>
        </w:rPr>
        <w:t>В течение года Компания демонстрировала стабильную ак</w:t>
      </w:r>
      <w:r w:rsidR="000F75FF" w:rsidRPr="004761E0">
        <w:rPr>
          <w:sz w:val="26"/>
          <w:szCs w:val="26"/>
        </w:rPr>
        <w:t>тивность на информационном поле:</w:t>
      </w:r>
      <w:r w:rsidRPr="004761E0">
        <w:rPr>
          <w:sz w:val="26"/>
          <w:szCs w:val="26"/>
        </w:rPr>
        <w:t xml:space="preserve"> упор сделан на взаимодействие с федеральными СМИ и центральными телеканалами. </w:t>
      </w:r>
      <w:r w:rsidR="000F75FF" w:rsidRPr="004761E0">
        <w:rPr>
          <w:sz w:val="26"/>
          <w:szCs w:val="26"/>
        </w:rPr>
        <w:t xml:space="preserve">Повысить интерес данных СМИ </w:t>
      </w:r>
      <w:r w:rsidRPr="004761E0">
        <w:rPr>
          <w:sz w:val="26"/>
          <w:szCs w:val="26"/>
        </w:rPr>
        <w:t xml:space="preserve">к </w:t>
      </w:r>
      <w:r w:rsidR="0008080E">
        <w:rPr>
          <w:sz w:val="26"/>
          <w:szCs w:val="26"/>
        </w:rPr>
        <w:t>ОАО </w:t>
      </w:r>
      <w:r w:rsidRPr="004761E0">
        <w:rPr>
          <w:sz w:val="26"/>
          <w:szCs w:val="26"/>
        </w:rPr>
        <w:t>«МОЭСК» удалось за счет открытости Компании и готовности предоставить оперативные комментарии, а также благодаря системной организации специализированных форумов, пресс-конференций и пресс-туров.</w:t>
      </w:r>
    </w:p>
    <w:p w:rsidR="00A470FB" w:rsidRPr="00715EEC" w:rsidRDefault="002E6D87" w:rsidP="00715EEC">
      <w:pPr>
        <w:pStyle w:val="a5"/>
        <w:spacing w:before="120" w:after="120"/>
        <w:ind w:left="0" w:firstLine="567"/>
        <w:contextualSpacing w:val="0"/>
        <w:rPr>
          <w:rFonts w:eastAsia="Times New Roman"/>
          <w:b/>
          <w:sz w:val="26"/>
          <w:szCs w:val="26"/>
        </w:rPr>
      </w:pPr>
      <w:r w:rsidRPr="00715EEC">
        <w:rPr>
          <w:rFonts w:eastAsia="Times New Roman"/>
          <w:b/>
          <w:sz w:val="26"/>
          <w:szCs w:val="26"/>
        </w:rPr>
        <w:t>Количество публикаций</w:t>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678"/>
        <w:gridCol w:w="992"/>
        <w:gridCol w:w="993"/>
        <w:gridCol w:w="992"/>
        <w:gridCol w:w="1135"/>
      </w:tblGrid>
      <w:tr w:rsidR="00A470FB" w:rsidRPr="004761E0" w:rsidTr="008F7314">
        <w:tc>
          <w:tcPr>
            <w:tcW w:w="567" w:type="dxa"/>
            <w:tcBorders>
              <w:right w:val="single" w:sz="4" w:space="0" w:color="FFFFFF" w:themeColor="background1"/>
            </w:tcBorders>
            <w:shd w:val="clear" w:color="auto" w:fill="0F243E" w:themeFill="text2" w:themeFillShade="80"/>
          </w:tcPr>
          <w:p w:rsidR="00A470FB" w:rsidRPr="004761E0" w:rsidRDefault="00A470FB" w:rsidP="002E6D87">
            <w:pPr>
              <w:ind w:firstLine="0"/>
              <w:jc w:val="left"/>
              <w:rPr>
                <w:b/>
                <w:color w:val="FFFFFF" w:themeColor="background1"/>
                <w:sz w:val="20"/>
                <w:szCs w:val="20"/>
              </w:rPr>
            </w:pPr>
            <w:r w:rsidRPr="004761E0">
              <w:rPr>
                <w:b/>
                <w:color w:val="FFFFFF" w:themeColor="background1"/>
                <w:sz w:val="20"/>
                <w:szCs w:val="20"/>
              </w:rPr>
              <w:t xml:space="preserve">№ п/п </w:t>
            </w:r>
          </w:p>
        </w:tc>
        <w:tc>
          <w:tcPr>
            <w:tcW w:w="4678" w:type="dxa"/>
            <w:tcBorders>
              <w:left w:val="single" w:sz="4" w:space="0" w:color="FFFFFF" w:themeColor="background1"/>
              <w:right w:val="single" w:sz="4" w:space="0" w:color="FFFFFF" w:themeColor="background1"/>
            </w:tcBorders>
            <w:shd w:val="clear" w:color="auto" w:fill="0F243E" w:themeFill="text2" w:themeFillShade="80"/>
            <w:vAlign w:val="center"/>
          </w:tcPr>
          <w:p w:rsidR="00A470FB" w:rsidRPr="004761E0" w:rsidRDefault="0053551F" w:rsidP="002E6D87">
            <w:pPr>
              <w:ind w:firstLine="0"/>
              <w:jc w:val="left"/>
              <w:rPr>
                <w:b/>
                <w:color w:val="FFFFFF" w:themeColor="background1"/>
                <w:sz w:val="20"/>
                <w:szCs w:val="20"/>
              </w:rPr>
            </w:pPr>
            <w:r w:rsidRPr="004761E0">
              <w:rPr>
                <w:b/>
                <w:color w:val="FFFFFF" w:themeColor="background1"/>
                <w:sz w:val="20"/>
                <w:szCs w:val="20"/>
              </w:rPr>
              <w:t>Наименование категории</w:t>
            </w:r>
          </w:p>
        </w:tc>
        <w:tc>
          <w:tcPr>
            <w:tcW w:w="992" w:type="dxa"/>
            <w:tcBorders>
              <w:left w:val="single" w:sz="4" w:space="0" w:color="FFFFFF" w:themeColor="background1"/>
              <w:right w:val="single" w:sz="4" w:space="0" w:color="FFFFFF" w:themeColor="background1"/>
            </w:tcBorders>
            <w:shd w:val="clear" w:color="auto" w:fill="0F243E" w:themeFill="text2" w:themeFillShade="80"/>
            <w:vAlign w:val="center"/>
          </w:tcPr>
          <w:p w:rsidR="00A470FB" w:rsidRPr="004761E0" w:rsidRDefault="00A470FB" w:rsidP="008F7314">
            <w:pPr>
              <w:ind w:firstLine="0"/>
              <w:jc w:val="right"/>
              <w:rPr>
                <w:b/>
                <w:color w:val="FFFFFF" w:themeColor="background1"/>
                <w:sz w:val="20"/>
                <w:szCs w:val="20"/>
              </w:rPr>
            </w:pPr>
            <w:r w:rsidRPr="004761E0">
              <w:rPr>
                <w:b/>
                <w:color w:val="FFFFFF" w:themeColor="background1"/>
                <w:sz w:val="20"/>
                <w:szCs w:val="20"/>
              </w:rPr>
              <w:t>2011</w:t>
            </w:r>
          </w:p>
        </w:tc>
        <w:tc>
          <w:tcPr>
            <w:tcW w:w="993" w:type="dxa"/>
            <w:tcBorders>
              <w:left w:val="single" w:sz="4" w:space="0" w:color="FFFFFF" w:themeColor="background1"/>
              <w:right w:val="single" w:sz="4" w:space="0" w:color="FFFFFF" w:themeColor="background1"/>
            </w:tcBorders>
            <w:shd w:val="clear" w:color="auto" w:fill="0F243E" w:themeFill="text2" w:themeFillShade="80"/>
            <w:vAlign w:val="center"/>
          </w:tcPr>
          <w:p w:rsidR="00A470FB" w:rsidRPr="004761E0" w:rsidRDefault="00A470FB" w:rsidP="008F7314">
            <w:pPr>
              <w:ind w:firstLine="0"/>
              <w:jc w:val="right"/>
              <w:rPr>
                <w:b/>
                <w:color w:val="FFFFFF" w:themeColor="background1"/>
                <w:sz w:val="20"/>
                <w:szCs w:val="20"/>
              </w:rPr>
            </w:pPr>
            <w:r w:rsidRPr="004761E0">
              <w:rPr>
                <w:b/>
                <w:color w:val="FFFFFF" w:themeColor="background1"/>
                <w:sz w:val="20"/>
                <w:szCs w:val="20"/>
              </w:rPr>
              <w:t>2012</w:t>
            </w:r>
          </w:p>
        </w:tc>
        <w:tc>
          <w:tcPr>
            <w:tcW w:w="992" w:type="dxa"/>
            <w:tcBorders>
              <w:left w:val="single" w:sz="4" w:space="0" w:color="FFFFFF" w:themeColor="background1"/>
              <w:right w:val="single" w:sz="4" w:space="0" w:color="FFFFFF" w:themeColor="background1"/>
            </w:tcBorders>
            <w:shd w:val="clear" w:color="auto" w:fill="0F243E" w:themeFill="text2" w:themeFillShade="80"/>
            <w:vAlign w:val="center"/>
          </w:tcPr>
          <w:p w:rsidR="00A470FB" w:rsidRPr="004761E0" w:rsidRDefault="00A470FB" w:rsidP="008F7314">
            <w:pPr>
              <w:ind w:firstLine="0"/>
              <w:jc w:val="right"/>
              <w:rPr>
                <w:b/>
                <w:color w:val="FFFFFF" w:themeColor="background1"/>
                <w:sz w:val="20"/>
                <w:szCs w:val="20"/>
              </w:rPr>
            </w:pPr>
            <w:r w:rsidRPr="004761E0">
              <w:rPr>
                <w:b/>
                <w:color w:val="FFFFFF" w:themeColor="background1"/>
                <w:sz w:val="20"/>
                <w:szCs w:val="20"/>
              </w:rPr>
              <w:t>2013</w:t>
            </w:r>
          </w:p>
        </w:tc>
        <w:tc>
          <w:tcPr>
            <w:tcW w:w="1135" w:type="dxa"/>
            <w:tcBorders>
              <w:left w:val="single" w:sz="4" w:space="0" w:color="FFFFFF" w:themeColor="background1"/>
            </w:tcBorders>
            <w:shd w:val="clear" w:color="auto" w:fill="0F243E" w:themeFill="text2" w:themeFillShade="80"/>
            <w:vAlign w:val="center"/>
          </w:tcPr>
          <w:p w:rsidR="00A470FB" w:rsidRPr="004761E0" w:rsidRDefault="00A470FB" w:rsidP="008F7314">
            <w:pPr>
              <w:ind w:firstLine="0"/>
              <w:jc w:val="right"/>
              <w:rPr>
                <w:b/>
                <w:color w:val="FFFFFF" w:themeColor="background1"/>
                <w:sz w:val="20"/>
                <w:szCs w:val="20"/>
              </w:rPr>
            </w:pPr>
            <w:r w:rsidRPr="004761E0">
              <w:rPr>
                <w:b/>
                <w:color w:val="FFFFFF" w:themeColor="background1"/>
                <w:sz w:val="20"/>
                <w:szCs w:val="20"/>
              </w:rPr>
              <w:t>2013/2012</w:t>
            </w:r>
          </w:p>
        </w:tc>
      </w:tr>
      <w:tr w:rsidR="002E6D87" w:rsidRPr="004761E0" w:rsidTr="008F7314">
        <w:tc>
          <w:tcPr>
            <w:tcW w:w="567" w:type="dxa"/>
          </w:tcPr>
          <w:p w:rsidR="002E6D87" w:rsidRPr="004761E0" w:rsidRDefault="002E6D87" w:rsidP="007076A7">
            <w:pPr>
              <w:pStyle w:val="a5"/>
              <w:numPr>
                <w:ilvl w:val="0"/>
                <w:numId w:val="72"/>
              </w:numPr>
              <w:jc w:val="left"/>
              <w:rPr>
                <w:b/>
                <w:sz w:val="20"/>
                <w:szCs w:val="20"/>
              </w:rPr>
            </w:pPr>
          </w:p>
        </w:tc>
        <w:tc>
          <w:tcPr>
            <w:tcW w:w="4678" w:type="dxa"/>
            <w:vAlign w:val="center"/>
          </w:tcPr>
          <w:p w:rsidR="002E6D87" w:rsidRPr="004761E0" w:rsidRDefault="002E6D87" w:rsidP="008F7314">
            <w:pPr>
              <w:ind w:firstLine="0"/>
              <w:jc w:val="left"/>
              <w:rPr>
                <w:b/>
                <w:sz w:val="20"/>
                <w:szCs w:val="20"/>
              </w:rPr>
            </w:pPr>
            <w:r w:rsidRPr="004761E0">
              <w:rPr>
                <w:b/>
                <w:sz w:val="20"/>
                <w:szCs w:val="20"/>
              </w:rPr>
              <w:t xml:space="preserve">Количество публикаций </w:t>
            </w:r>
            <w:r w:rsidR="0061088F" w:rsidRPr="004761E0">
              <w:rPr>
                <w:b/>
                <w:sz w:val="20"/>
                <w:szCs w:val="20"/>
              </w:rPr>
              <w:t xml:space="preserve">шт. </w:t>
            </w:r>
            <w:r w:rsidRPr="004761E0">
              <w:rPr>
                <w:b/>
                <w:sz w:val="20"/>
                <w:szCs w:val="20"/>
              </w:rPr>
              <w:t>(всего), в т.ч.</w:t>
            </w:r>
            <w:r w:rsidR="00403045" w:rsidRPr="004761E0">
              <w:rPr>
                <w:b/>
                <w:sz w:val="20"/>
                <w:szCs w:val="20"/>
              </w:rPr>
              <w:t xml:space="preserve"> по уровню</w:t>
            </w:r>
            <w:r w:rsidRPr="004761E0">
              <w:rPr>
                <w:b/>
                <w:sz w:val="20"/>
                <w:szCs w:val="20"/>
              </w:rPr>
              <w:t>:</w:t>
            </w:r>
          </w:p>
        </w:tc>
        <w:tc>
          <w:tcPr>
            <w:tcW w:w="992" w:type="dxa"/>
            <w:vAlign w:val="center"/>
          </w:tcPr>
          <w:p w:rsidR="002E6D87" w:rsidRPr="004761E0" w:rsidRDefault="002E6D87" w:rsidP="008F7314">
            <w:pPr>
              <w:ind w:firstLine="0"/>
              <w:jc w:val="right"/>
              <w:rPr>
                <w:b/>
                <w:sz w:val="20"/>
                <w:szCs w:val="20"/>
              </w:rPr>
            </w:pPr>
            <w:r w:rsidRPr="004761E0">
              <w:rPr>
                <w:b/>
                <w:sz w:val="20"/>
                <w:szCs w:val="20"/>
              </w:rPr>
              <w:t>18 775</w:t>
            </w:r>
          </w:p>
        </w:tc>
        <w:tc>
          <w:tcPr>
            <w:tcW w:w="993" w:type="dxa"/>
            <w:vAlign w:val="center"/>
          </w:tcPr>
          <w:p w:rsidR="002E6D87" w:rsidRPr="004761E0" w:rsidRDefault="002E6D87" w:rsidP="008F7314">
            <w:pPr>
              <w:ind w:firstLine="0"/>
              <w:jc w:val="right"/>
              <w:rPr>
                <w:b/>
                <w:sz w:val="20"/>
                <w:szCs w:val="20"/>
              </w:rPr>
            </w:pPr>
            <w:r w:rsidRPr="004761E0">
              <w:rPr>
                <w:b/>
                <w:sz w:val="20"/>
                <w:szCs w:val="20"/>
              </w:rPr>
              <w:t>15 601</w:t>
            </w:r>
          </w:p>
        </w:tc>
        <w:tc>
          <w:tcPr>
            <w:tcW w:w="992" w:type="dxa"/>
            <w:vAlign w:val="center"/>
          </w:tcPr>
          <w:p w:rsidR="002E6D87" w:rsidRPr="004761E0" w:rsidRDefault="002E6D87" w:rsidP="008F7314">
            <w:pPr>
              <w:ind w:firstLine="0"/>
              <w:jc w:val="right"/>
              <w:rPr>
                <w:b/>
                <w:sz w:val="20"/>
                <w:szCs w:val="20"/>
              </w:rPr>
            </w:pPr>
            <w:r w:rsidRPr="004761E0">
              <w:rPr>
                <w:b/>
                <w:sz w:val="20"/>
                <w:szCs w:val="20"/>
              </w:rPr>
              <w:t>14 528</w:t>
            </w:r>
          </w:p>
        </w:tc>
        <w:tc>
          <w:tcPr>
            <w:tcW w:w="1135" w:type="dxa"/>
            <w:vAlign w:val="center"/>
          </w:tcPr>
          <w:p w:rsidR="002E6D87" w:rsidRPr="004761E0" w:rsidRDefault="002E6D87" w:rsidP="008F7314">
            <w:pPr>
              <w:ind w:firstLine="0"/>
              <w:jc w:val="right"/>
              <w:rPr>
                <w:b/>
                <w:sz w:val="20"/>
                <w:szCs w:val="20"/>
              </w:rPr>
            </w:pPr>
            <w:r w:rsidRPr="004761E0">
              <w:rPr>
                <w:b/>
                <w:sz w:val="20"/>
                <w:szCs w:val="20"/>
              </w:rPr>
              <w:t>-6,88 %</w:t>
            </w:r>
          </w:p>
        </w:tc>
      </w:tr>
      <w:tr w:rsidR="002E6D87" w:rsidRPr="004761E0" w:rsidTr="008F7314">
        <w:tc>
          <w:tcPr>
            <w:tcW w:w="567" w:type="dxa"/>
          </w:tcPr>
          <w:p w:rsidR="002E6D87" w:rsidRPr="004761E0" w:rsidRDefault="002E6D87" w:rsidP="007076A7">
            <w:pPr>
              <w:pStyle w:val="a5"/>
              <w:numPr>
                <w:ilvl w:val="1"/>
                <w:numId w:val="72"/>
              </w:numPr>
              <w:jc w:val="left"/>
              <w:rPr>
                <w:sz w:val="20"/>
                <w:szCs w:val="20"/>
              </w:rPr>
            </w:pPr>
          </w:p>
        </w:tc>
        <w:tc>
          <w:tcPr>
            <w:tcW w:w="4678" w:type="dxa"/>
            <w:vAlign w:val="center"/>
          </w:tcPr>
          <w:p w:rsidR="002E6D87" w:rsidRPr="004761E0" w:rsidRDefault="002E6D87" w:rsidP="008F7314">
            <w:pPr>
              <w:ind w:left="318" w:firstLine="0"/>
              <w:jc w:val="left"/>
              <w:rPr>
                <w:sz w:val="20"/>
                <w:szCs w:val="20"/>
              </w:rPr>
            </w:pPr>
            <w:r w:rsidRPr="004761E0">
              <w:rPr>
                <w:sz w:val="20"/>
                <w:szCs w:val="20"/>
              </w:rPr>
              <w:t>федеральные СМИ</w:t>
            </w:r>
          </w:p>
        </w:tc>
        <w:tc>
          <w:tcPr>
            <w:tcW w:w="992" w:type="dxa"/>
            <w:vAlign w:val="center"/>
          </w:tcPr>
          <w:p w:rsidR="002E6D87" w:rsidRPr="004761E0" w:rsidRDefault="002E6D87" w:rsidP="008F7314">
            <w:pPr>
              <w:ind w:firstLine="0"/>
              <w:jc w:val="right"/>
              <w:rPr>
                <w:sz w:val="20"/>
                <w:szCs w:val="20"/>
              </w:rPr>
            </w:pPr>
            <w:r w:rsidRPr="004761E0">
              <w:rPr>
                <w:sz w:val="20"/>
                <w:szCs w:val="20"/>
              </w:rPr>
              <w:t>9 763</w:t>
            </w:r>
          </w:p>
        </w:tc>
        <w:tc>
          <w:tcPr>
            <w:tcW w:w="993" w:type="dxa"/>
            <w:vAlign w:val="center"/>
          </w:tcPr>
          <w:p w:rsidR="002E6D87" w:rsidRPr="004761E0" w:rsidRDefault="002E6D87" w:rsidP="008F7314">
            <w:pPr>
              <w:ind w:firstLine="0"/>
              <w:jc w:val="right"/>
              <w:rPr>
                <w:sz w:val="20"/>
                <w:szCs w:val="20"/>
              </w:rPr>
            </w:pPr>
            <w:r w:rsidRPr="004761E0">
              <w:rPr>
                <w:sz w:val="20"/>
                <w:szCs w:val="20"/>
              </w:rPr>
              <w:t>8 424</w:t>
            </w:r>
          </w:p>
        </w:tc>
        <w:tc>
          <w:tcPr>
            <w:tcW w:w="992" w:type="dxa"/>
            <w:vAlign w:val="center"/>
          </w:tcPr>
          <w:p w:rsidR="002E6D87" w:rsidRPr="004761E0" w:rsidRDefault="002E6D87" w:rsidP="008F7314">
            <w:pPr>
              <w:ind w:firstLine="0"/>
              <w:jc w:val="right"/>
              <w:rPr>
                <w:sz w:val="20"/>
                <w:szCs w:val="20"/>
              </w:rPr>
            </w:pPr>
            <w:r w:rsidRPr="004761E0">
              <w:rPr>
                <w:sz w:val="20"/>
                <w:szCs w:val="20"/>
              </w:rPr>
              <w:t>9 153</w:t>
            </w:r>
          </w:p>
        </w:tc>
        <w:tc>
          <w:tcPr>
            <w:tcW w:w="1135" w:type="dxa"/>
            <w:vAlign w:val="center"/>
          </w:tcPr>
          <w:p w:rsidR="002E6D87" w:rsidRPr="004761E0" w:rsidRDefault="002E6D87" w:rsidP="008F7314">
            <w:pPr>
              <w:ind w:firstLine="0"/>
              <w:jc w:val="right"/>
              <w:rPr>
                <w:sz w:val="20"/>
                <w:szCs w:val="20"/>
              </w:rPr>
            </w:pPr>
            <w:r w:rsidRPr="004761E0">
              <w:rPr>
                <w:sz w:val="20"/>
                <w:szCs w:val="20"/>
              </w:rPr>
              <w:t>8,65 %</w:t>
            </w:r>
          </w:p>
        </w:tc>
      </w:tr>
      <w:tr w:rsidR="002E6D87" w:rsidRPr="004761E0" w:rsidTr="008F7314">
        <w:tc>
          <w:tcPr>
            <w:tcW w:w="567" w:type="dxa"/>
          </w:tcPr>
          <w:p w:rsidR="002E6D87" w:rsidRPr="004761E0" w:rsidRDefault="002E6D87" w:rsidP="007076A7">
            <w:pPr>
              <w:pStyle w:val="a5"/>
              <w:numPr>
                <w:ilvl w:val="1"/>
                <w:numId w:val="72"/>
              </w:numPr>
              <w:jc w:val="left"/>
              <w:rPr>
                <w:sz w:val="20"/>
                <w:szCs w:val="20"/>
              </w:rPr>
            </w:pPr>
          </w:p>
        </w:tc>
        <w:tc>
          <w:tcPr>
            <w:tcW w:w="4678" w:type="dxa"/>
            <w:vAlign w:val="center"/>
          </w:tcPr>
          <w:p w:rsidR="002E6D87" w:rsidRPr="004761E0" w:rsidRDefault="002E6D87" w:rsidP="008F7314">
            <w:pPr>
              <w:ind w:left="318" w:firstLine="0"/>
              <w:jc w:val="left"/>
              <w:rPr>
                <w:sz w:val="20"/>
                <w:szCs w:val="20"/>
              </w:rPr>
            </w:pPr>
            <w:r w:rsidRPr="004761E0">
              <w:rPr>
                <w:sz w:val="20"/>
                <w:szCs w:val="20"/>
              </w:rPr>
              <w:t>региональные/ отраслевые СМИ</w:t>
            </w:r>
          </w:p>
        </w:tc>
        <w:tc>
          <w:tcPr>
            <w:tcW w:w="992" w:type="dxa"/>
            <w:vAlign w:val="center"/>
          </w:tcPr>
          <w:p w:rsidR="002E6D87" w:rsidRPr="004761E0" w:rsidRDefault="002E6D87" w:rsidP="008F7314">
            <w:pPr>
              <w:ind w:firstLine="0"/>
              <w:jc w:val="right"/>
              <w:rPr>
                <w:sz w:val="20"/>
                <w:szCs w:val="20"/>
              </w:rPr>
            </w:pPr>
            <w:r w:rsidRPr="004761E0">
              <w:rPr>
                <w:sz w:val="20"/>
                <w:szCs w:val="20"/>
              </w:rPr>
              <w:t>8 449</w:t>
            </w:r>
          </w:p>
        </w:tc>
        <w:tc>
          <w:tcPr>
            <w:tcW w:w="993" w:type="dxa"/>
            <w:vAlign w:val="center"/>
          </w:tcPr>
          <w:p w:rsidR="002E6D87" w:rsidRPr="004761E0" w:rsidRDefault="002E6D87" w:rsidP="008F7314">
            <w:pPr>
              <w:ind w:firstLine="0"/>
              <w:jc w:val="right"/>
              <w:rPr>
                <w:sz w:val="20"/>
                <w:szCs w:val="20"/>
              </w:rPr>
            </w:pPr>
            <w:r w:rsidRPr="004761E0">
              <w:rPr>
                <w:sz w:val="20"/>
                <w:szCs w:val="20"/>
              </w:rPr>
              <w:t>6 397</w:t>
            </w:r>
          </w:p>
        </w:tc>
        <w:tc>
          <w:tcPr>
            <w:tcW w:w="992" w:type="dxa"/>
            <w:vAlign w:val="center"/>
          </w:tcPr>
          <w:p w:rsidR="002E6D87" w:rsidRPr="004761E0" w:rsidRDefault="002E6D87" w:rsidP="008F7314">
            <w:pPr>
              <w:ind w:firstLine="0"/>
              <w:jc w:val="right"/>
              <w:rPr>
                <w:sz w:val="20"/>
                <w:szCs w:val="20"/>
              </w:rPr>
            </w:pPr>
            <w:r w:rsidRPr="004761E0">
              <w:rPr>
                <w:sz w:val="20"/>
                <w:szCs w:val="20"/>
              </w:rPr>
              <w:t>4 939</w:t>
            </w:r>
          </w:p>
        </w:tc>
        <w:tc>
          <w:tcPr>
            <w:tcW w:w="1135" w:type="dxa"/>
            <w:vAlign w:val="center"/>
          </w:tcPr>
          <w:p w:rsidR="002E6D87" w:rsidRPr="004761E0" w:rsidRDefault="002E6D87" w:rsidP="008F7314">
            <w:pPr>
              <w:ind w:firstLine="0"/>
              <w:jc w:val="right"/>
              <w:rPr>
                <w:sz w:val="20"/>
                <w:szCs w:val="20"/>
              </w:rPr>
            </w:pPr>
            <w:r w:rsidRPr="004761E0">
              <w:rPr>
                <w:sz w:val="20"/>
                <w:szCs w:val="20"/>
              </w:rPr>
              <w:t>-22,79 %</w:t>
            </w:r>
          </w:p>
        </w:tc>
      </w:tr>
      <w:tr w:rsidR="002E6D87" w:rsidRPr="004761E0" w:rsidTr="008F7314">
        <w:tc>
          <w:tcPr>
            <w:tcW w:w="567" w:type="dxa"/>
          </w:tcPr>
          <w:p w:rsidR="002E6D87" w:rsidRPr="004761E0" w:rsidRDefault="002E6D87" w:rsidP="007076A7">
            <w:pPr>
              <w:pStyle w:val="a5"/>
              <w:numPr>
                <w:ilvl w:val="1"/>
                <w:numId w:val="72"/>
              </w:numPr>
              <w:jc w:val="left"/>
              <w:rPr>
                <w:sz w:val="20"/>
                <w:szCs w:val="20"/>
              </w:rPr>
            </w:pPr>
          </w:p>
        </w:tc>
        <w:tc>
          <w:tcPr>
            <w:tcW w:w="4678" w:type="dxa"/>
            <w:vAlign w:val="center"/>
          </w:tcPr>
          <w:p w:rsidR="002E6D87" w:rsidRPr="004761E0" w:rsidRDefault="004546A6" w:rsidP="008F7314">
            <w:pPr>
              <w:ind w:left="318" w:firstLine="0"/>
              <w:jc w:val="left"/>
              <w:rPr>
                <w:sz w:val="20"/>
                <w:szCs w:val="20"/>
              </w:rPr>
            </w:pPr>
            <w:r w:rsidRPr="004761E0">
              <w:rPr>
                <w:sz w:val="20"/>
                <w:szCs w:val="20"/>
              </w:rPr>
              <w:t>Д</w:t>
            </w:r>
            <w:r w:rsidR="002E6D87" w:rsidRPr="004761E0">
              <w:rPr>
                <w:sz w:val="20"/>
                <w:szCs w:val="20"/>
              </w:rPr>
              <w:t>ругое</w:t>
            </w:r>
          </w:p>
        </w:tc>
        <w:tc>
          <w:tcPr>
            <w:tcW w:w="992" w:type="dxa"/>
            <w:vAlign w:val="center"/>
          </w:tcPr>
          <w:p w:rsidR="002E6D87" w:rsidRPr="004761E0" w:rsidRDefault="002E6D87" w:rsidP="008F7314">
            <w:pPr>
              <w:ind w:firstLine="0"/>
              <w:jc w:val="right"/>
              <w:rPr>
                <w:sz w:val="20"/>
                <w:szCs w:val="20"/>
              </w:rPr>
            </w:pPr>
            <w:r w:rsidRPr="004761E0">
              <w:rPr>
                <w:sz w:val="20"/>
                <w:szCs w:val="20"/>
              </w:rPr>
              <w:t>563</w:t>
            </w:r>
          </w:p>
        </w:tc>
        <w:tc>
          <w:tcPr>
            <w:tcW w:w="993" w:type="dxa"/>
            <w:vAlign w:val="center"/>
          </w:tcPr>
          <w:p w:rsidR="002E6D87" w:rsidRPr="004761E0" w:rsidRDefault="002E6D87" w:rsidP="008F7314">
            <w:pPr>
              <w:ind w:firstLine="0"/>
              <w:jc w:val="right"/>
              <w:rPr>
                <w:sz w:val="20"/>
                <w:szCs w:val="20"/>
              </w:rPr>
            </w:pPr>
            <w:r w:rsidRPr="004761E0">
              <w:rPr>
                <w:sz w:val="20"/>
                <w:szCs w:val="20"/>
              </w:rPr>
              <w:t>780</w:t>
            </w:r>
          </w:p>
        </w:tc>
        <w:tc>
          <w:tcPr>
            <w:tcW w:w="992" w:type="dxa"/>
            <w:vAlign w:val="center"/>
          </w:tcPr>
          <w:p w:rsidR="002E6D87" w:rsidRPr="004761E0" w:rsidRDefault="002E6D87" w:rsidP="008F7314">
            <w:pPr>
              <w:ind w:firstLine="0"/>
              <w:jc w:val="right"/>
              <w:rPr>
                <w:sz w:val="20"/>
                <w:szCs w:val="20"/>
              </w:rPr>
            </w:pPr>
            <w:r w:rsidRPr="004761E0">
              <w:rPr>
                <w:sz w:val="20"/>
                <w:szCs w:val="20"/>
              </w:rPr>
              <w:t>436</w:t>
            </w:r>
          </w:p>
        </w:tc>
        <w:tc>
          <w:tcPr>
            <w:tcW w:w="1135" w:type="dxa"/>
            <w:vAlign w:val="center"/>
          </w:tcPr>
          <w:p w:rsidR="002E6D87" w:rsidRPr="004761E0" w:rsidRDefault="002E6D87" w:rsidP="008F7314">
            <w:pPr>
              <w:ind w:firstLine="0"/>
              <w:jc w:val="right"/>
              <w:rPr>
                <w:sz w:val="20"/>
                <w:szCs w:val="20"/>
              </w:rPr>
            </w:pPr>
            <w:r w:rsidRPr="004761E0">
              <w:rPr>
                <w:sz w:val="20"/>
                <w:szCs w:val="20"/>
              </w:rPr>
              <w:t>-44,10 %</w:t>
            </w:r>
          </w:p>
        </w:tc>
      </w:tr>
      <w:tr w:rsidR="0053551F" w:rsidRPr="004761E0" w:rsidTr="008F7314">
        <w:tc>
          <w:tcPr>
            <w:tcW w:w="567" w:type="dxa"/>
          </w:tcPr>
          <w:p w:rsidR="0053551F" w:rsidRPr="004761E0" w:rsidRDefault="0053551F" w:rsidP="007076A7">
            <w:pPr>
              <w:pStyle w:val="a5"/>
              <w:numPr>
                <w:ilvl w:val="0"/>
                <w:numId w:val="72"/>
              </w:numPr>
              <w:jc w:val="left"/>
              <w:rPr>
                <w:b/>
                <w:sz w:val="20"/>
                <w:szCs w:val="20"/>
              </w:rPr>
            </w:pPr>
          </w:p>
        </w:tc>
        <w:tc>
          <w:tcPr>
            <w:tcW w:w="4678" w:type="dxa"/>
            <w:vAlign w:val="center"/>
          </w:tcPr>
          <w:p w:rsidR="0053551F" w:rsidRPr="004761E0" w:rsidRDefault="0053551F" w:rsidP="008F7314">
            <w:pPr>
              <w:ind w:firstLine="0"/>
              <w:jc w:val="left"/>
              <w:rPr>
                <w:b/>
                <w:sz w:val="20"/>
                <w:szCs w:val="20"/>
              </w:rPr>
            </w:pPr>
            <w:r w:rsidRPr="004761E0">
              <w:rPr>
                <w:b/>
                <w:sz w:val="20"/>
                <w:szCs w:val="20"/>
              </w:rPr>
              <w:t xml:space="preserve">Количество публикаций </w:t>
            </w:r>
            <w:r w:rsidR="0061088F" w:rsidRPr="004761E0">
              <w:rPr>
                <w:b/>
                <w:sz w:val="20"/>
                <w:szCs w:val="20"/>
              </w:rPr>
              <w:t xml:space="preserve">шт. </w:t>
            </w:r>
            <w:r w:rsidRPr="004761E0">
              <w:rPr>
                <w:b/>
                <w:sz w:val="20"/>
                <w:szCs w:val="20"/>
              </w:rPr>
              <w:t>(всего), в т.ч.</w:t>
            </w:r>
            <w:r w:rsidR="00403045" w:rsidRPr="004761E0">
              <w:rPr>
                <w:b/>
                <w:sz w:val="20"/>
                <w:szCs w:val="20"/>
              </w:rPr>
              <w:t xml:space="preserve"> по характеру</w:t>
            </w:r>
            <w:r w:rsidRPr="004761E0">
              <w:rPr>
                <w:b/>
                <w:sz w:val="20"/>
                <w:szCs w:val="20"/>
              </w:rPr>
              <w:t>:</w:t>
            </w:r>
          </w:p>
        </w:tc>
        <w:tc>
          <w:tcPr>
            <w:tcW w:w="992" w:type="dxa"/>
            <w:vAlign w:val="center"/>
          </w:tcPr>
          <w:p w:rsidR="0053551F" w:rsidRPr="004761E0" w:rsidRDefault="0053551F" w:rsidP="008F7314">
            <w:pPr>
              <w:ind w:firstLine="0"/>
              <w:jc w:val="right"/>
              <w:rPr>
                <w:b/>
                <w:sz w:val="20"/>
                <w:szCs w:val="20"/>
              </w:rPr>
            </w:pPr>
            <w:r w:rsidRPr="004761E0">
              <w:rPr>
                <w:b/>
                <w:sz w:val="20"/>
                <w:szCs w:val="20"/>
              </w:rPr>
              <w:t>18 775</w:t>
            </w:r>
          </w:p>
        </w:tc>
        <w:tc>
          <w:tcPr>
            <w:tcW w:w="993" w:type="dxa"/>
            <w:vAlign w:val="center"/>
          </w:tcPr>
          <w:p w:rsidR="0053551F" w:rsidRPr="004761E0" w:rsidRDefault="0053551F" w:rsidP="008F7314">
            <w:pPr>
              <w:ind w:firstLine="0"/>
              <w:jc w:val="right"/>
              <w:rPr>
                <w:b/>
                <w:sz w:val="20"/>
                <w:szCs w:val="20"/>
              </w:rPr>
            </w:pPr>
            <w:r w:rsidRPr="004761E0">
              <w:rPr>
                <w:b/>
                <w:sz w:val="20"/>
                <w:szCs w:val="20"/>
              </w:rPr>
              <w:t>15 601</w:t>
            </w:r>
          </w:p>
        </w:tc>
        <w:tc>
          <w:tcPr>
            <w:tcW w:w="992" w:type="dxa"/>
            <w:vAlign w:val="center"/>
          </w:tcPr>
          <w:p w:rsidR="0053551F" w:rsidRPr="004761E0" w:rsidRDefault="0053551F" w:rsidP="008F7314">
            <w:pPr>
              <w:ind w:firstLine="0"/>
              <w:jc w:val="right"/>
              <w:rPr>
                <w:b/>
                <w:sz w:val="20"/>
                <w:szCs w:val="20"/>
              </w:rPr>
            </w:pPr>
            <w:r w:rsidRPr="004761E0">
              <w:rPr>
                <w:b/>
                <w:sz w:val="20"/>
                <w:szCs w:val="20"/>
              </w:rPr>
              <w:t>14 528</w:t>
            </w:r>
          </w:p>
        </w:tc>
        <w:tc>
          <w:tcPr>
            <w:tcW w:w="1135" w:type="dxa"/>
            <w:vAlign w:val="center"/>
          </w:tcPr>
          <w:p w:rsidR="0053551F" w:rsidRPr="004761E0" w:rsidRDefault="0053551F" w:rsidP="008F7314">
            <w:pPr>
              <w:ind w:firstLine="0"/>
              <w:jc w:val="right"/>
              <w:rPr>
                <w:b/>
                <w:sz w:val="20"/>
                <w:szCs w:val="20"/>
              </w:rPr>
            </w:pPr>
            <w:r w:rsidRPr="004761E0">
              <w:rPr>
                <w:b/>
                <w:sz w:val="20"/>
                <w:szCs w:val="20"/>
              </w:rPr>
              <w:t>-6,88 %</w:t>
            </w:r>
          </w:p>
        </w:tc>
      </w:tr>
      <w:tr w:rsidR="0053551F" w:rsidRPr="004761E0" w:rsidTr="008F7314">
        <w:tc>
          <w:tcPr>
            <w:tcW w:w="567" w:type="dxa"/>
          </w:tcPr>
          <w:p w:rsidR="0053551F" w:rsidRPr="004761E0" w:rsidRDefault="0053551F" w:rsidP="007076A7">
            <w:pPr>
              <w:pStyle w:val="a5"/>
              <w:numPr>
                <w:ilvl w:val="1"/>
                <w:numId w:val="72"/>
              </w:numPr>
              <w:jc w:val="left"/>
              <w:rPr>
                <w:sz w:val="20"/>
                <w:szCs w:val="20"/>
              </w:rPr>
            </w:pPr>
          </w:p>
        </w:tc>
        <w:tc>
          <w:tcPr>
            <w:tcW w:w="4678" w:type="dxa"/>
            <w:vAlign w:val="center"/>
          </w:tcPr>
          <w:p w:rsidR="0053551F" w:rsidRPr="004761E0" w:rsidRDefault="0053551F" w:rsidP="008F7314">
            <w:pPr>
              <w:ind w:left="318" w:firstLine="0"/>
              <w:jc w:val="left"/>
              <w:rPr>
                <w:sz w:val="20"/>
                <w:szCs w:val="20"/>
              </w:rPr>
            </w:pPr>
            <w:r w:rsidRPr="004761E0">
              <w:rPr>
                <w:sz w:val="20"/>
                <w:szCs w:val="20"/>
              </w:rPr>
              <w:t xml:space="preserve">негативный </w:t>
            </w:r>
          </w:p>
        </w:tc>
        <w:tc>
          <w:tcPr>
            <w:tcW w:w="992" w:type="dxa"/>
            <w:vAlign w:val="center"/>
          </w:tcPr>
          <w:p w:rsidR="0053551F" w:rsidRPr="004761E0" w:rsidRDefault="0053551F" w:rsidP="008F7314">
            <w:pPr>
              <w:ind w:firstLine="0"/>
              <w:jc w:val="right"/>
              <w:rPr>
                <w:sz w:val="20"/>
                <w:szCs w:val="20"/>
              </w:rPr>
            </w:pPr>
            <w:r w:rsidRPr="004761E0">
              <w:rPr>
                <w:sz w:val="20"/>
                <w:szCs w:val="20"/>
              </w:rPr>
              <w:t>1 352</w:t>
            </w:r>
          </w:p>
        </w:tc>
        <w:tc>
          <w:tcPr>
            <w:tcW w:w="993" w:type="dxa"/>
            <w:vAlign w:val="center"/>
          </w:tcPr>
          <w:p w:rsidR="0053551F" w:rsidRPr="004761E0" w:rsidRDefault="0053551F" w:rsidP="008F7314">
            <w:pPr>
              <w:ind w:firstLine="0"/>
              <w:jc w:val="right"/>
              <w:rPr>
                <w:sz w:val="20"/>
                <w:szCs w:val="20"/>
              </w:rPr>
            </w:pPr>
            <w:r w:rsidRPr="004761E0">
              <w:rPr>
                <w:sz w:val="20"/>
                <w:szCs w:val="20"/>
              </w:rPr>
              <w:t>764</w:t>
            </w:r>
          </w:p>
        </w:tc>
        <w:tc>
          <w:tcPr>
            <w:tcW w:w="992" w:type="dxa"/>
            <w:vAlign w:val="center"/>
          </w:tcPr>
          <w:p w:rsidR="0053551F" w:rsidRPr="004761E0" w:rsidRDefault="0053551F" w:rsidP="008F7314">
            <w:pPr>
              <w:ind w:firstLine="0"/>
              <w:jc w:val="right"/>
              <w:rPr>
                <w:sz w:val="20"/>
                <w:szCs w:val="20"/>
              </w:rPr>
            </w:pPr>
            <w:r w:rsidRPr="004761E0">
              <w:rPr>
                <w:sz w:val="20"/>
                <w:szCs w:val="20"/>
              </w:rPr>
              <w:t>392</w:t>
            </w:r>
          </w:p>
        </w:tc>
        <w:tc>
          <w:tcPr>
            <w:tcW w:w="1135" w:type="dxa"/>
            <w:vAlign w:val="center"/>
          </w:tcPr>
          <w:p w:rsidR="0053551F" w:rsidRPr="004761E0" w:rsidRDefault="0053551F" w:rsidP="008F7314">
            <w:pPr>
              <w:ind w:firstLine="0"/>
              <w:jc w:val="right"/>
              <w:rPr>
                <w:sz w:val="20"/>
                <w:szCs w:val="20"/>
              </w:rPr>
            </w:pPr>
            <w:r w:rsidRPr="004761E0">
              <w:rPr>
                <w:sz w:val="20"/>
                <w:szCs w:val="20"/>
              </w:rPr>
              <w:t>-48,69 %</w:t>
            </w:r>
          </w:p>
        </w:tc>
      </w:tr>
      <w:tr w:rsidR="0053551F" w:rsidRPr="004761E0" w:rsidTr="008F7314">
        <w:tc>
          <w:tcPr>
            <w:tcW w:w="567" w:type="dxa"/>
          </w:tcPr>
          <w:p w:rsidR="0053551F" w:rsidRPr="004761E0" w:rsidRDefault="0053551F" w:rsidP="007076A7">
            <w:pPr>
              <w:pStyle w:val="a5"/>
              <w:numPr>
                <w:ilvl w:val="1"/>
                <w:numId w:val="72"/>
              </w:numPr>
              <w:jc w:val="left"/>
              <w:rPr>
                <w:sz w:val="20"/>
                <w:szCs w:val="20"/>
              </w:rPr>
            </w:pPr>
          </w:p>
        </w:tc>
        <w:tc>
          <w:tcPr>
            <w:tcW w:w="4678" w:type="dxa"/>
            <w:vAlign w:val="center"/>
          </w:tcPr>
          <w:p w:rsidR="0053551F" w:rsidRPr="004761E0" w:rsidRDefault="0053551F" w:rsidP="008F7314">
            <w:pPr>
              <w:ind w:left="318" w:firstLine="0"/>
              <w:jc w:val="left"/>
              <w:rPr>
                <w:sz w:val="20"/>
                <w:szCs w:val="20"/>
              </w:rPr>
            </w:pPr>
            <w:r w:rsidRPr="004761E0">
              <w:rPr>
                <w:sz w:val="20"/>
                <w:szCs w:val="20"/>
              </w:rPr>
              <w:t>позитивный</w:t>
            </w:r>
          </w:p>
        </w:tc>
        <w:tc>
          <w:tcPr>
            <w:tcW w:w="992" w:type="dxa"/>
            <w:vAlign w:val="center"/>
          </w:tcPr>
          <w:p w:rsidR="0053551F" w:rsidRPr="004761E0" w:rsidRDefault="0053551F" w:rsidP="008F7314">
            <w:pPr>
              <w:ind w:firstLine="0"/>
              <w:jc w:val="right"/>
              <w:rPr>
                <w:sz w:val="20"/>
                <w:szCs w:val="20"/>
              </w:rPr>
            </w:pPr>
            <w:r w:rsidRPr="004761E0">
              <w:rPr>
                <w:sz w:val="20"/>
                <w:szCs w:val="20"/>
              </w:rPr>
              <w:t>3 961</w:t>
            </w:r>
          </w:p>
        </w:tc>
        <w:tc>
          <w:tcPr>
            <w:tcW w:w="993" w:type="dxa"/>
            <w:vAlign w:val="center"/>
          </w:tcPr>
          <w:p w:rsidR="0053551F" w:rsidRPr="004761E0" w:rsidRDefault="0053551F" w:rsidP="008F7314">
            <w:pPr>
              <w:ind w:firstLine="0"/>
              <w:jc w:val="right"/>
              <w:rPr>
                <w:sz w:val="20"/>
                <w:szCs w:val="20"/>
              </w:rPr>
            </w:pPr>
            <w:r w:rsidRPr="004761E0">
              <w:rPr>
                <w:sz w:val="20"/>
                <w:szCs w:val="20"/>
              </w:rPr>
              <w:t>3 541</w:t>
            </w:r>
          </w:p>
        </w:tc>
        <w:tc>
          <w:tcPr>
            <w:tcW w:w="992" w:type="dxa"/>
            <w:vAlign w:val="center"/>
          </w:tcPr>
          <w:p w:rsidR="0053551F" w:rsidRPr="004761E0" w:rsidRDefault="0053551F" w:rsidP="008F7314">
            <w:pPr>
              <w:ind w:firstLine="0"/>
              <w:jc w:val="right"/>
              <w:rPr>
                <w:sz w:val="20"/>
                <w:szCs w:val="20"/>
              </w:rPr>
            </w:pPr>
            <w:r w:rsidRPr="004761E0">
              <w:rPr>
                <w:sz w:val="20"/>
                <w:szCs w:val="20"/>
              </w:rPr>
              <w:t>4 503</w:t>
            </w:r>
          </w:p>
        </w:tc>
        <w:tc>
          <w:tcPr>
            <w:tcW w:w="1135" w:type="dxa"/>
            <w:vAlign w:val="center"/>
          </w:tcPr>
          <w:p w:rsidR="0053551F" w:rsidRPr="004761E0" w:rsidRDefault="0053551F" w:rsidP="008F7314">
            <w:pPr>
              <w:ind w:firstLine="0"/>
              <w:jc w:val="right"/>
              <w:rPr>
                <w:sz w:val="20"/>
                <w:szCs w:val="20"/>
              </w:rPr>
            </w:pPr>
            <w:r w:rsidRPr="004761E0">
              <w:rPr>
                <w:sz w:val="20"/>
                <w:szCs w:val="20"/>
              </w:rPr>
              <w:t>27,17 %</w:t>
            </w:r>
          </w:p>
        </w:tc>
      </w:tr>
      <w:tr w:rsidR="0053551F" w:rsidRPr="004761E0" w:rsidTr="008F7314">
        <w:tc>
          <w:tcPr>
            <w:tcW w:w="567" w:type="dxa"/>
          </w:tcPr>
          <w:p w:rsidR="0053551F" w:rsidRPr="004761E0" w:rsidRDefault="0053551F" w:rsidP="007076A7">
            <w:pPr>
              <w:pStyle w:val="a5"/>
              <w:numPr>
                <w:ilvl w:val="1"/>
                <w:numId w:val="72"/>
              </w:numPr>
              <w:jc w:val="left"/>
              <w:rPr>
                <w:sz w:val="20"/>
                <w:szCs w:val="20"/>
              </w:rPr>
            </w:pPr>
          </w:p>
        </w:tc>
        <w:tc>
          <w:tcPr>
            <w:tcW w:w="4678" w:type="dxa"/>
            <w:vAlign w:val="center"/>
          </w:tcPr>
          <w:p w:rsidR="0053551F" w:rsidRPr="004761E0" w:rsidRDefault="0053551F" w:rsidP="008F7314">
            <w:pPr>
              <w:ind w:left="318" w:firstLine="0"/>
              <w:jc w:val="left"/>
              <w:rPr>
                <w:sz w:val="20"/>
                <w:szCs w:val="20"/>
              </w:rPr>
            </w:pPr>
            <w:r w:rsidRPr="004761E0">
              <w:rPr>
                <w:sz w:val="20"/>
                <w:szCs w:val="20"/>
              </w:rPr>
              <w:t>нейтральный</w:t>
            </w:r>
          </w:p>
        </w:tc>
        <w:tc>
          <w:tcPr>
            <w:tcW w:w="992" w:type="dxa"/>
            <w:vAlign w:val="center"/>
          </w:tcPr>
          <w:p w:rsidR="0053551F" w:rsidRPr="004761E0" w:rsidRDefault="0053551F" w:rsidP="008F7314">
            <w:pPr>
              <w:ind w:firstLine="0"/>
              <w:jc w:val="right"/>
              <w:rPr>
                <w:sz w:val="20"/>
                <w:szCs w:val="20"/>
              </w:rPr>
            </w:pPr>
            <w:r w:rsidRPr="004761E0">
              <w:rPr>
                <w:sz w:val="20"/>
                <w:szCs w:val="20"/>
              </w:rPr>
              <w:t>13 462</w:t>
            </w:r>
          </w:p>
        </w:tc>
        <w:tc>
          <w:tcPr>
            <w:tcW w:w="993" w:type="dxa"/>
            <w:vAlign w:val="center"/>
          </w:tcPr>
          <w:p w:rsidR="0053551F" w:rsidRPr="004761E0" w:rsidRDefault="0053551F" w:rsidP="008F7314">
            <w:pPr>
              <w:ind w:firstLine="0"/>
              <w:jc w:val="right"/>
              <w:rPr>
                <w:sz w:val="20"/>
                <w:szCs w:val="20"/>
              </w:rPr>
            </w:pPr>
            <w:r w:rsidRPr="004761E0">
              <w:rPr>
                <w:sz w:val="20"/>
                <w:szCs w:val="20"/>
              </w:rPr>
              <w:t>11 296</w:t>
            </w:r>
          </w:p>
        </w:tc>
        <w:tc>
          <w:tcPr>
            <w:tcW w:w="992" w:type="dxa"/>
            <w:vAlign w:val="center"/>
          </w:tcPr>
          <w:p w:rsidR="0053551F" w:rsidRPr="004761E0" w:rsidRDefault="0053551F" w:rsidP="008F7314">
            <w:pPr>
              <w:ind w:firstLine="0"/>
              <w:jc w:val="right"/>
              <w:rPr>
                <w:sz w:val="20"/>
                <w:szCs w:val="20"/>
              </w:rPr>
            </w:pPr>
            <w:r w:rsidRPr="004761E0">
              <w:rPr>
                <w:sz w:val="20"/>
                <w:szCs w:val="20"/>
              </w:rPr>
              <w:t>9 633</w:t>
            </w:r>
          </w:p>
        </w:tc>
        <w:tc>
          <w:tcPr>
            <w:tcW w:w="1135" w:type="dxa"/>
            <w:vAlign w:val="center"/>
          </w:tcPr>
          <w:p w:rsidR="0053551F" w:rsidRPr="004761E0" w:rsidRDefault="0053551F" w:rsidP="008F7314">
            <w:pPr>
              <w:ind w:firstLine="0"/>
              <w:jc w:val="right"/>
              <w:rPr>
                <w:sz w:val="20"/>
                <w:szCs w:val="20"/>
              </w:rPr>
            </w:pPr>
            <w:r w:rsidRPr="004761E0">
              <w:rPr>
                <w:sz w:val="20"/>
                <w:szCs w:val="20"/>
              </w:rPr>
              <w:t>-14,72 %</w:t>
            </w:r>
          </w:p>
        </w:tc>
      </w:tr>
    </w:tbl>
    <w:p w:rsidR="004B08A8" w:rsidRPr="004761E0" w:rsidRDefault="004B08A8" w:rsidP="000B0BA5">
      <w:pPr>
        <w:spacing w:before="120" w:after="120"/>
        <w:ind w:firstLine="0"/>
        <w:rPr>
          <w:color w:val="0D0D0D"/>
          <w:sz w:val="26"/>
          <w:szCs w:val="26"/>
        </w:rPr>
      </w:pPr>
      <w:r w:rsidRPr="004761E0">
        <w:rPr>
          <w:noProof/>
          <w:color w:val="0D0D0D"/>
          <w:sz w:val="26"/>
          <w:szCs w:val="26"/>
          <w:lang w:eastAsia="ru-RU"/>
        </w:rPr>
        <w:lastRenderedPageBreak/>
        <w:drawing>
          <wp:inline distT="0" distB="0" distL="0" distR="0">
            <wp:extent cx="2781300" cy="3200400"/>
            <wp:effectExtent l="19050" t="0" r="1905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r w:rsidR="000B0BA5" w:rsidRPr="004761E0">
        <w:rPr>
          <w:color w:val="0D0D0D"/>
          <w:sz w:val="26"/>
          <w:szCs w:val="26"/>
        </w:rPr>
        <w:t xml:space="preserve"> </w:t>
      </w:r>
    </w:p>
    <w:p w:rsidR="0053551F" w:rsidRPr="004761E0" w:rsidRDefault="0053551F" w:rsidP="0053551F">
      <w:pPr>
        <w:spacing w:before="120" w:after="120"/>
        <w:ind w:firstLine="0"/>
        <w:rPr>
          <w:color w:val="0D0D0D"/>
          <w:sz w:val="26"/>
          <w:szCs w:val="26"/>
        </w:rPr>
      </w:pPr>
      <w:r w:rsidRPr="004761E0">
        <w:rPr>
          <w:noProof/>
          <w:color w:val="0D0D0D"/>
          <w:sz w:val="26"/>
          <w:szCs w:val="26"/>
          <w:lang w:eastAsia="ru-RU"/>
        </w:rPr>
        <w:drawing>
          <wp:inline distT="0" distB="0" distL="0" distR="0">
            <wp:extent cx="2781300" cy="3057525"/>
            <wp:effectExtent l="19050" t="0" r="19050" b="0"/>
            <wp:docPr id="4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r w:rsidRPr="004761E0">
        <w:rPr>
          <w:noProof/>
          <w:color w:val="0D0D0D"/>
          <w:sz w:val="26"/>
          <w:szCs w:val="26"/>
          <w:lang w:eastAsia="ru-RU"/>
        </w:rPr>
        <w:drawing>
          <wp:inline distT="0" distB="0" distL="0" distR="0">
            <wp:extent cx="2902201" cy="3062176"/>
            <wp:effectExtent l="19050" t="0" r="12449" b="4874"/>
            <wp:docPr id="4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rsidR="000F75FF" w:rsidRPr="004761E0" w:rsidRDefault="000F75FF" w:rsidP="000F75FF">
      <w:pPr>
        <w:ind w:firstLine="567"/>
        <w:rPr>
          <w:color w:val="0D0D0D"/>
          <w:sz w:val="26"/>
          <w:szCs w:val="26"/>
        </w:rPr>
      </w:pPr>
      <w:r w:rsidRPr="004761E0">
        <w:rPr>
          <w:color w:val="0D0D0D"/>
          <w:sz w:val="26"/>
          <w:szCs w:val="26"/>
        </w:rPr>
        <w:t>Повышение числа публикаций в федеральных СМИ и снижение – в региональных указывает на подготовку более качественных, оперативных и доступных для широкой аудитории материалов, отражающих самые значимые и реальные достижения компании, а также говорит о концентрации на ключевых информационных поводах о ее деятельности.</w:t>
      </w:r>
    </w:p>
    <w:p w:rsidR="00A470FB" w:rsidRPr="004761E0" w:rsidRDefault="00A470FB" w:rsidP="000F75FF">
      <w:pPr>
        <w:ind w:firstLine="567"/>
        <w:rPr>
          <w:color w:val="0D0D0D"/>
          <w:sz w:val="26"/>
          <w:szCs w:val="26"/>
        </w:rPr>
      </w:pPr>
      <w:r w:rsidRPr="004761E0">
        <w:rPr>
          <w:color w:val="0D0D0D"/>
          <w:sz w:val="26"/>
          <w:szCs w:val="26"/>
        </w:rPr>
        <w:t>Рост доли позитивных материалов от общего количества информационных сообщений объясняется достижени</w:t>
      </w:r>
      <w:r w:rsidR="009D6121" w:rsidRPr="004761E0">
        <w:rPr>
          <w:color w:val="0D0D0D"/>
          <w:sz w:val="26"/>
          <w:szCs w:val="26"/>
        </w:rPr>
        <w:t>я</w:t>
      </w:r>
      <w:r w:rsidRPr="004761E0">
        <w:rPr>
          <w:color w:val="0D0D0D"/>
          <w:sz w:val="26"/>
          <w:szCs w:val="26"/>
        </w:rPr>
        <w:t xml:space="preserve">ми Компании в области </w:t>
      </w:r>
      <w:r w:rsidR="009D6121" w:rsidRPr="004761E0">
        <w:rPr>
          <w:color w:val="0D0D0D"/>
          <w:sz w:val="26"/>
          <w:szCs w:val="26"/>
        </w:rPr>
        <w:t xml:space="preserve">повышения доступности </w:t>
      </w:r>
      <w:r w:rsidRPr="004761E0">
        <w:rPr>
          <w:color w:val="0D0D0D"/>
          <w:sz w:val="26"/>
          <w:szCs w:val="26"/>
        </w:rPr>
        <w:t xml:space="preserve">технологического присоединения, </w:t>
      </w:r>
      <w:r w:rsidR="009D6121" w:rsidRPr="004761E0">
        <w:rPr>
          <w:color w:val="0D0D0D"/>
          <w:sz w:val="26"/>
          <w:szCs w:val="26"/>
        </w:rPr>
        <w:t>систематическим освещением ее деятельности направленной на увеличение надежности и качества электроснабжения, обеспечение финансовой стабильности</w:t>
      </w:r>
      <w:r w:rsidRPr="004761E0">
        <w:rPr>
          <w:color w:val="0D0D0D"/>
          <w:sz w:val="26"/>
          <w:szCs w:val="26"/>
        </w:rPr>
        <w:t>.</w:t>
      </w:r>
    </w:p>
    <w:p w:rsidR="00403045" w:rsidRPr="004761E0" w:rsidRDefault="00403045">
      <w:pPr>
        <w:ind w:firstLine="0"/>
        <w:jc w:val="left"/>
        <w:rPr>
          <w:sz w:val="26"/>
          <w:szCs w:val="26"/>
        </w:rPr>
      </w:pPr>
      <w:r w:rsidRPr="004761E0">
        <w:rPr>
          <w:sz w:val="26"/>
          <w:szCs w:val="26"/>
        </w:rPr>
        <w:br w:type="page"/>
      </w:r>
    </w:p>
    <w:p w:rsidR="00A470FB" w:rsidRPr="004761E0" w:rsidRDefault="00A470FB" w:rsidP="00A470FB">
      <w:pPr>
        <w:ind w:firstLine="567"/>
        <w:rPr>
          <w:sz w:val="26"/>
          <w:szCs w:val="26"/>
        </w:rPr>
      </w:pPr>
      <w:r w:rsidRPr="004761E0">
        <w:rPr>
          <w:sz w:val="26"/>
          <w:szCs w:val="26"/>
        </w:rPr>
        <w:lastRenderedPageBreak/>
        <w:t xml:space="preserve">Подтверждением высокой степени прозрачности Компании для </w:t>
      </w:r>
      <w:r w:rsidR="009D6121" w:rsidRPr="004761E0">
        <w:rPr>
          <w:sz w:val="26"/>
          <w:szCs w:val="26"/>
        </w:rPr>
        <w:t>СМИ</w:t>
      </w:r>
      <w:r w:rsidRPr="004761E0">
        <w:rPr>
          <w:sz w:val="26"/>
          <w:szCs w:val="26"/>
        </w:rPr>
        <w:t xml:space="preserve"> также служат итоги ежемесячного Рейтинга информационной открытости российских компаний топливно-энергетического комплекса (далее – ТЭК).</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850"/>
        <w:gridCol w:w="851"/>
        <w:gridCol w:w="850"/>
        <w:gridCol w:w="851"/>
        <w:gridCol w:w="850"/>
        <w:gridCol w:w="993"/>
        <w:gridCol w:w="850"/>
        <w:gridCol w:w="851"/>
        <w:gridCol w:w="850"/>
        <w:gridCol w:w="851"/>
        <w:gridCol w:w="850"/>
      </w:tblGrid>
      <w:tr w:rsidR="00A470FB" w:rsidRPr="004761E0" w:rsidTr="009D6121">
        <w:trPr>
          <w:trHeight w:val="56"/>
        </w:trPr>
        <w:tc>
          <w:tcPr>
            <w:tcW w:w="10490" w:type="dxa"/>
            <w:gridSpan w:val="12"/>
            <w:tcBorders>
              <w:top w:val="single" w:sz="4" w:space="0" w:color="FFFFFF"/>
              <w:left w:val="single" w:sz="4" w:space="0" w:color="FFFFFF"/>
              <w:bottom w:val="single" w:sz="4" w:space="0" w:color="FFFFFF"/>
              <w:right w:val="single" w:sz="4" w:space="0" w:color="FFFFFF"/>
            </w:tcBorders>
            <w:shd w:val="clear" w:color="auto" w:fill="0F243E"/>
          </w:tcPr>
          <w:p w:rsidR="00A470FB" w:rsidRPr="004761E0" w:rsidRDefault="00A470FB" w:rsidP="000B0BA5">
            <w:pPr>
              <w:ind w:firstLine="0"/>
              <w:jc w:val="center"/>
              <w:rPr>
                <w:b/>
                <w:color w:val="FFFFFF" w:themeColor="background1"/>
                <w:sz w:val="20"/>
                <w:szCs w:val="20"/>
              </w:rPr>
            </w:pPr>
            <w:r w:rsidRPr="004761E0">
              <w:rPr>
                <w:b/>
                <w:color w:val="FFFFFF" w:themeColor="background1"/>
                <w:sz w:val="20"/>
                <w:szCs w:val="20"/>
              </w:rPr>
              <w:t>Месяц</w:t>
            </w:r>
          </w:p>
        </w:tc>
      </w:tr>
      <w:tr w:rsidR="00A470FB" w:rsidRPr="004761E0" w:rsidTr="009D6121">
        <w:tc>
          <w:tcPr>
            <w:tcW w:w="993"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A470FB" w:rsidRPr="004761E0" w:rsidRDefault="00A470FB" w:rsidP="000B0BA5">
            <w:pPr>
              <w:ind w:firstLine="0"/>
              <w:jc w:val="center"/>
              <w:rPr>
                <w:b/>
                <w:color w:val="FFFFFF" w:themeColor="background1"/>
                <w:sz w:val="20"/>
                <w:szCs w:val="20"/>
              </w:rPr>
            </w:pPr>
            <w:r w:rsidRPr="004761E0">
              <w:rPr>
                <w:b/>
                <w:color w:val="FFFFFF" w:themeColor="background1"/>
                <w:sz w:val="20"/>
                <w:szCs w:val="20"/>
              </w:rPr>
              <w:t>янв</w:t>
            </w:r>
          </w:p>
        </w:tc>
        <w:tc>
          <w:tcPr>
            <w:tcW w:w="850"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A470FB" w:rsidRPr="004761E0" w:rsidRDefault="00A470FB" w:rsidP="000B0BA5">
            <w:pPr>
              <w:ind w:firstLine="0"/>
              <w:jc w:val="center"/>
              <w:rPr>
                <w:b/>
                <w:color w:val="FFFFFF" w:themeColor="background1"/>
                <w:sz w:val="20"/>
                <w:szCs w:val="20"/>
              </w:rPr>
            </w:pPr>
            <w:r w:rsidRPr="004761E0">
              <w:rPr>
                <w:b/>
                <w:color w:val="FFFFFF" w:themeColor="background1"/>
                <w:sz w:val="20"/>
                <w:szCs w:val="20"/>
              </w:rPr>
              <w:t>фев</w:t>
            </w:r>
          </w:p>
        </w:tc>
        <w:tc>
          <w:tcPr>
            <w:tcW w:w="851"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A470FB" w:rsidRPr="004761E0" w:rsidRDefault="00A470FB" w:rsidP="000B0BA5">
            <w:pPr>
              <w:ind w:firstLine="0"/>
              <w:jc w:val="center"/>
              <w:rPr>
                <w:b/>
                <w:color w:val="FFFFFF" w:themeColor="background1"/>
                <w:sz w:val="20"/>
                <w:szCs w:val="20"/>
              </w:rPr>
            </w:pPr>
            <w:r w:rsidRPr="004761E0">
              <w:rPr>
                <w:b/>
                <w:color w:val="FFFFFF" w:themeColor="background1"/>
                <w:sz w:val="20"/>
                <w:szCs w:val="20"/>
              </w:rPr>
              <w:t>мар</w:t>
            </w:r>
          </w:p>
        </w:tc>
        <w:tc>
          <w:tcPr>
            <w:tcW w:w="850"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A470FB" w:rsidRPr="004761E0" w:rsidRDefault="00A470FB" w:rsidP="000B0BA5">
            <w:pPr>
              <w:ind w:firstLine="0"/>
              <w:jc w:val="center"/>
              <w:rPr>
                <w:b/>
                <w:color w:val="FFFFFF" w:themeColor="background1"/>
                <w:sz w:val="20"/>
                <w:szCs w:val="20"/>
              </w:rPr>
            </w:pPr>
            <w:r w:rsidRPr="004761E0">
              <w:rPr>
                <w:b/>
                <w:color w:val="FFFFFF" w:themeColor="background1"/>
                <w:sz w:val="20"/>
                <w:szCs w:val="20"/>
              </w:rPr>
              <w:t>апр</w:t>
            </w:r>
          </w:p>
        </w:tc>
        <w:tc>
          <w:tcPr>
            <w:tcW w:w="851"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A470FB" w:rsidRPr="004761E0" w:rsidRDefault="00A470FB" w:rsidP="000B0BA5">
            <w:pPr>
              <w:ind w:firstLine="0"/>
              <w:jc w:val="center"/>
              <w:rPr>
                <w:b/>
                <w:color w:val="FFFFFF" w:themeColor="background1"/>
                <w:sz w:val="20"/>
                <w:szCs w:val="20"/>
              </w:rPr>
            </w:pPr>
            <w:r w:rsidRPr="004761E0">
              <w:rPr>
                <w:b/>
                <w:color w:val="FFFFFF" w:themeColor="background1"/>
                <w:sz w:val="20"/>
                <w:szCs w:val="20"/>
              </w:rPr>
              <w:t>май</w:t>
            </w:r>
          </w:p>
        </w:tc>
        <w:tc>
          <w:tcPr>
            <w:tcW w:w="850"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A470FB" w:rsidRPr="004761E0" w:rsidRDefault="00A470FB" w:rsidP="000B0BA5">
            <w:pPr>
              <w:ind w:firstLine="0"/>
              <w:jc w:val="center"/>
              <w:rPr>
                <w:b/>
                <w:color w:val="FFFFFF" w:themeColor="background1"/>
                <w:sz w:val="20"/>
                <w:szCs w:val="20"/>
              </w:rPr>
            </w:pPr>
            <w:r w:rsidRPr="004761E0">
              <w:rPr>
                <w:b/>
                <w:color w:val="FFFFFF" w:themeColor="background1"/>
                <w:sz w:val="20"/>
                <w:szCs w:val="20"/>
              </w:rPr>
              <w:t>июн</w:t>
            </w:r>
          </w:p>
        </w:tc>
        <w:tc>
          <w:tcPr>
            <w:tcW w:w="993"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A470FB" w:rsidRPr="004761E0" w:rsidRDefault="00A470FB" w:rsidP="000B0BA5">
            <w:pPr>
              <w:ind w:firstLine="0"/>
              <w:jc w:val="center"/>
              <w:rPr>
                <w:b/>
                <w:color w:val="FFFFFF" w:themeColor="background1"/>
                <w:sz w:val="20"/>
                <w:szCs w:val="20"/>
              </w:rPr>
            </w:pPr>
            <w:r w:rsidRPr="004761E0">
              <w:rPr>
                <w:b/>
                <w:color w:val="FFFFFF" w:themeColor="background1"/>
                <w:sz w:val="20"/>
                <w:szCs w:val="20"/>
              </w:rPr>
              <w:t>июл</w:t>
            </w:r>
          </w:p>
        </w:tc>
        <w:tc>
          <w:tcPr>
            <w:tcW w:w="850"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A470FB" w:rsidRPr="004761E0" w:rsidRDefault="00A470FB" w:rsidP="000B0BA5">
            <w:pPr>
              <w:ind w:firstLine="0"/>
              <w:jc w:val="center"/>
              <w:rPr>
                <w:b/>
                <w:color w:val="FFFFFF" w:themeColor="background1"/>
                <w:sz w:val="20"/>
                <w:szCs w:val="20"/>
              </w:rPr>
            </w:pPr>
            <w:r w:rsidRPr="004761E0">
              <w:rPr>
                <w:b/>
                <w:color w:val="FFFFFF" w:themeColor="background1"/>
                <w:sz w:val="20"/>
                <w:szCs w:val="20"/>
              </w:rPr>
              <w:t>авг</w:t>
            </w:r>
          </w:p>
        </w:tc>
        <w:tc>
          <w:tcPr>
            <w:tcW w:w="851"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A470FB" w:rsidRPr="004761E0" w:rsidRDefault="00A470FB" w:rsidP="000B0BA5">
            <w:pPr>
              <w:ind w:firstLine="0"/>
              <w:jc w:val="center"/>
              <w:rPr>
                <w:b/>
                <w:color w:val="FFFFFF" w:themeColor="background1"/>
                <w:sz w:val="20"/>
                <w:szCs w:val="20"/>
              </w:rPr>
            </w:pPr>
            <w:r w:rsidRPr="004761E0">
              <w:rPr>
                <w:b/>
                <w:color w:val="FFFFFF" w:themeColor="background1"/>
                <w:sz w:val="20"/>
                <w:szCs w:val="20"/>
              </w:rPr>
              <w:t>сен</w:t>
            </w:r>
          </w:p>
        </w:tc>
        <w:tc>
          <w:tcPr>
            <w:tcW w:w="850"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A470FB" w:rsidRPr="004761E0" w:rsidRDefault="00A470FB" w:rsidP="000B0BA5">
            <w:pPr>
              <w:ind w:firstLine="0"/>
              <w:jc w:val="center"/>
              <w:rPr>
                <w:b/>
                <w:color w:val="FFFFFF" w:themeColor="background1"/>
                <w:sz w:val="20"/>
                <w:szCs w:val="20"/>
              </w:rPr>
            </w:pPr>
            <w:r w:rsidRPr="004761E0">
              <w:rPr>
                <w:b/>
                <w:color w:val="FFFFFF" w:themeColor="background1"/>
                <w:sz w:val="20"/>
                <w:szCs w:val="20"/>
              </w:rPr>
              <w:t>окт</w:t>
            </w:r>
          </w:p>
        </w:tc>
        <w:tc>
          <w:tcPr>
            <w:tcW w:w="851"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A470FB" w:rsidRPr="004761E0" w:rsidRDefault="00A470FB" w:rsidP="000B0BA5">
            <w:pPr>
              <w:ind w:firstLine="0"/>
              <w:jc w:val="center"/>
              <w:rPr>
                <w:b/>
                <w:color w:val="FFFFFF" w:themeColor="background1"/>
                <w:sz w:val="20"/>
                <w:szCs w:val="20"/>
              </w:rPr>
            </w:pPr>
            <w:r w:rsidRPr="004761E0">
              <w:rPr>
                <w:b/>
                <w:color w:val="FFFFFF" w:themeColor="background1"/>
                <w:sz w:val="20"/>
                <w:szCs w:val="20"/>
              </w:rPr>
              <w:t>ноя</w:t>
            </w:r>
          </w:p>
        </w:tc>
        <w:tc>
          <w:tcPr>
            <w:tcW w:w="850"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A470FB" w:rsidRPr="004761E0" w:rsidRDefault="00A470FB" w:rsidP="000B0BA5">
            <w:pPr>
              <w:ind w:firstLine="0"/>
              <w:jc w:val="center"/>
              <w:rPr>
                <w:b/>
                <w:color w:val="FFFFFF" w:themeColor="background1"/>
                <w:sz w:val="20"/>
                <w:szCs w:val="20"/>
              </w:rPr>
            </w:pPr>
            <w:r w:rsidRPr="004761E0">
              <w:rPr>
                <w:b/>
                <w:color w:val="FFFFFF" w:themeColor="background1"/>
                <w:sz w:val="20"/>
                <w:szCs w:val="20"/>
              </w:rPr>
              <w:t>дек</w:t>
            </w:r>
          </w:p>
        </w:tc>
      </w:tr>
      <w:tr w:rsidR="00A470FB" w:rsidRPr="004761E0" w:rsidTr="009D6121">
        <w:trPr>
          <w:trHeight w:val="56"/>
        </w:trPr>
        <w:tc>
          <w:tcPr>
            <w:tcW w:w="993" w:type="dxa"/>
            <w:tcBorders>
              <w:top w:val="single" w:sz="4" w:space="0" w:color="FFFFFF"/>
              <w:bottom w:val="single" w:sz="4" w:space="0" w:color="auto"/>
            </w:tcBorders>
            <w:vAlign w:val="bottom"/>
          </w:tcPr>
          <w:p w:rsidR="00A470FB" w:rsidRPr="004761E0" w:rsidRDefault="00A470FB" w:rsidP="000B0BA5">
            <w:pPr>
              <w:ind w:firstLine="0"/>
              <w:jc w:val="center"/>
              <w:rPr>
                <w:sz w:val="16"/>
                <w:szCs w:val="20"/>
              </w:rPr>
            </w:pPr>
            <w:r w:rsidRPr="004761E0">
              <w:rPr>
                <w:sz w:val="16"/>
                <w:szCs w:val="20"/>
              </w:rPr>
              <w:t>2</w:t>
            </w:r>
          </w:p>
        </w:tc>
        <w:tc>
          <w:tcPr>
            <w:tcW w:w="850" w:type="dxa"/>
            <w:tcBorders>
              <w:top w:val="single" w:sz="4" w:space="0" w:color="FFFFFF"/>
              <w:bottom w:val="single" w:sz="4" w:space="0" w:color="auto"/>
            </w:tcBorders>
            <w:vAlign w:val="bottom"/>
          </w:tcPr>
          <w:p w:rsidR="00A470FB" w:rsidRPr="004761E0" w:rsidRDefault="00A470FB" w:rsidP="000B0BA5">
            <w:pPr>
              <w:ind w:firstLine="0"/>
              <w:jc w:val="center"/>
              <w:rPr>
                <w:sz w:val="16"/>
                <w:szCs w:val="20"/>
              </w:rPr>
            </w:pPr>
            <w:r w:rsidRPr="004761E0">
              <w:rPr>
                <w:sz w:val="16"/>
                <w:szCs w:val="20"/>
              </w:rPr>
              <w:t>32</w:t>
            </w:r>
          </w:p>
        </w:tc>
        <w:tc>
          <w:tcPr>
            <w:tcW w:w="851" w:type="dxa"/>
            <w:tcBorders>
              <w:top w:val="single" w:sz="4" w:space="0" w:color="FFFFFF"/>
              <w:bottom w:val="single" w:sz="4" w:space="0" w:color="auto"/>
            </w:tcBorders>
            <w:vAlign w:val="bottom"/>
          </w:tcPr>
          <w:p w:rsidR="00A470FB" w:rsidRPr="004761E0" w:rsidRDefault="00A470FB" w:rsidP="000B0BA5">
            <w:pPr>
              <w:ind w:firstLine="0"/>
              <w:jc w:val="center"/>
              <w:rPr>
                <w:sz w:val="16"/>
                <w:szCs w:val="20"/>
              </w:rPr>
            </w:pPr>
            <w:r w:rsidRPr="004761E0">
              <w:rPr>
                <w:sz w:val="16"/>
                <w:szCs w:val="20"/>
              </w:rPr>
              <w:t>34</w:t>
            </w:r>
          </w:p>
        </w:tc>
        <w:tc>
          <w:tcPr>
            <w:tcW w:w="850" w:type="dxa"/>
            <w:tcBorders>
              <w:top w:val="single" w:sz="4" w:space="0" w:color="FFFFFF"/>
              <w:bottom w:val="single" w:sz="4" w:space="0" w:color="auto"/>
            </w:tcBorders>
            <w:vAlign w:val="bottom"/>
          </w:tcPr>
          <w:p w:rsidR="00A470FB" w:rsidRPr="004761E0" w:rsidRDefault="00A470FB" w:rsidP="000B0BA5">
            <w:pPr>
              <w:ind w:firstLine="0"/>
              <w:jc w:val="center"/>
              <w:rPr>
                <w:sz w:val="16"/>
                <w:szCs w:val="20"/>
              </w:rPr>
            </w:pPr>
            <w:r w:rsidRPr="004761E0">
              <w:rPr>
                <w:sz w:val="16"/>
                <w:szCs w:val="20"/>
              </w:rPr>
              <w:t>17</w:t>
            </w:r>
          </w:p>
        </w:tc>
        <w:tc>
          <w:tcPr>
            <w:tcW w:w="851" w:type="dxa"/>
            <w:tcBorders>
              <w:top w:val="single" w:sz="4" w:space="0" w:color="FFFFFF"/>
              <w:bottom w:val="single" w:sz="4" w:space="0" w:color="auto"/>
            </w:tcBorders>
            <w:vAlign w:val="bottom"/>
          </w:tcPr>
          <w:p w:rsidR="00A470FB" w:rsidRPr="004761E0" w:rsidRDefault="00A470FB" w:rsidP="000B0BA5">
            <w:pPr>
              <w:ind w:firstLine="0"/>
              <w:jc w:val="center"/>
              <w:rPr>
                <w:sz w:val="16"/>
                <w:szCs w:val="20"/>
              </w:rPr>
            </w:pPr>
            <w:r w:rsidRPr="004761E0">
              <w:rPr>
                <w:sz w:val="16"/>
                <w:szCs w:val="20"/>
              </w:rPr>
              <w:t>35</w:t>
            </w:r>
          </w:p>
        </w:tc>
        <w:tc>
          <w:tcPr>
            <w:tcW w:w="850" w:type="dxa"/>
            <w:tcBorders>
              <w:top w:val="single" w:sz="4" w:space="0" w:color="FFFFFF"/>
              <w:bottom w:val="single" w:sz="4" w:space="0" w:color="auto"/>
            </w:tcBorders>
            <w:vAlign w:val="bottom"/>
          </w:tcPr>
          <w:p w:rsidR="00A470FB" w:rsidRPr="004761E0" w:rsidRDefault="00A470FB" w:rsidP="000B0BA5">
            <w:pPr>
              <w:ind w:firstLine="0"/>
              <w:jc w:val="center"/>
              <w:rPr>
                <w:sz w:val="16"/>
                <w:szCs w:val="20"/>
              </w:rPr>
            </w:pPr>
            <w:r w:rsidRPr="004761E0">
              <w:rPr>
                <w:sz w:val="16"/>
                <w:szCs w:val="20"/>
              </w:rPr>
              <w:t>39</w:t>
            </w:r>
          </w:p>
        </w:tc>
        <w:tc>
          <w:tcPr>
            <w:tcW w:w="993" w:type="dxa"/>
            <w:tcBorders>
              <w:top w:val="single" w:sz="4" w:space="0" w:color="FFFFFF"/>
              <w:bottom w:val="single" w:sz="4" w:space="0" w:color="auto"/>
            </w:tcBorders>
            <w:vAlign w:val="bottom"/>
          </w:tcPr>
          <w:p w:rsidR="00A470FB" w:rsidRPr="004761E0" w:rsidRDefault="00A470FB" w:rsidP="000B0BA5">
            <w:pPr>
              <w:ind w:firstLine="0"/>
              <w:jc w:val="center"/>
              <w:rPr>
                <w:sz w:val="16"/>
                <w:szCs w:val="20"/>
              </w:rPr>
            </w:pPr>
            <w:r w:rsidRPr="004761E0">
              <w:rPr>
                <w:sz w:val="16"/>
                <w:szCs w:val="20"/>
              </w:rPr>
              <w:t>9</w:t>
            </w:r>
          </w:p>
        </w:tc>
        <w:tc>
          <w:tcPr>
            <w:tcW w:w="850" w:type="dxa"/>
            <w:tcBorders>
              <w:top w:val="single" w:sz="4" w:space="0" w:color="FFFFFF"/>
              <w:bottom w:val="single" w:sz="4" w:space="0" w:color="auto"/>
            </w:tcBorders>
            <w:vAlign w:val="bottom"/>
          </w:tcPr>
          <w:p w:rsidR="00A470FB" w:rsidRPr="004761E0" w:rsidRDefault="00A470FB" w:rsidP="000B0BA5">
            <w:pPr>
              <w:ind w:firstLine="0"/>
              <w:jc w:val="center"/>
              <w:rPr>
                <w:sz w:val="16"/>
                <w:szCs w:val="20"/>
              </w:rPr>
            </w:pPr>
            <w:r w:rsidRPr="004761E0">
              <w:rPr>
                <w:sz w:val="16"/>
                <w:szCs w:val="20"/>
              </w:rPr>
              <w:t>13</w:t>
            </w:r>
          </w:p>
        </w:tc>
        <w:tc>
          <w:tcPr>
            <w:tcW w:w="851" w:type="dxa"/>
            <w:tcBorders>
              <w:top w:val="single" w:sz="4" w:space="0" w:color="FFFFFF"/>
              <w:bottom w:val="single" w:sz="4" w:space="0" w:color="auto"/>
            </w:tcBorders>
            <w:vAlign w:val="bottom"/>
          </w:tcPr>
          <w:p w:rsidR="00A470FB" w:rsidRPr="004761E0" w:rsidRDefault="00A470FB" w:rsidP="000B0BA5">
            <w:pPr>
              <w:ind w:firstLine="0"/>
              <w:jc w:val="center"/>
              <w:rPr>
                <w:sz w:val="16"/>
                <w:szCs w:val="20"/>
              </w:rPr>
            </w:pPr>
            <w:r w:rsidRPr="004761E0">
              <w:rPr>
                <w:sz w:val="16"/>
                <w:szCs w:val="20"/>
              </w:rPr>
              <w:t>18</w:t>
            </w:r>
          </w:p>
        </w:tc>
        <w:tc>
          <w:tcPr>
            <w:tcW w:w="850" w:type="dxa"/>
            <w:tcBorders>
              <w:top w:val="single" w:sz="4" w:space="0" w:color="FFFFFF"/>
              <w:bottom w:val="single" w:sz="4" w:space="0" w:color="auto"/>
            </w:tcBorders>
            <w:vAlign w:val="bottom"/>
          </w:tcPr>
          <w:p w:rsidR="00A470FB" w:rsidRPr="004761E0" w:rsidRDefault="00A470FB" w:rsidP="000B0BA5">
            <w:pPr>
              <w:ind w:firstLine="0"/>
              <w:jc w:val="center"/>
              <w:rPr>
                <w:sz w:val="16"/>
                <w:szCs w:val="20"/>
              </w:rPr>
            </w:pPr>
            <w:r w:rsidRPr="004761E0">
              <w:rPr>
                <w:sz w:val="16"/>
                <w:szCs w:val="20"/>
              </w:rPr>
              <w:t>34</w:t>
            </w:r>
          </w:p>
        </w:tc>
        <w:tc>
          <w:tcPr>
            <w:tcW w:w="851" w:type="dxa"/>
            <w:tcBorders>
              <w:top w:val="single" w:sz="4" w:space="0" w:color="FFFFFF"/>
              <w:bottom w:val="single" w:sz="4" w:space="0" w:color="auto"/>
            </w:tcBorders>
            <w:vAlign w:val="bottom"/>
          </w:tcPr>
          <w:p w:rsidR="00A470FB" w:rsidRPr="004761E0" w:rsidRDefault="00A470FB" w:rsidP="000B0BA5">
            <w:pPr>
              <w:ind w:firstLine="0"/>
              <w:jc w:val="center"/>
              <w:rPr>
                <w:sz w:val="16"/>
                <w:szCs w:val="20"/>
              </w:rPr>
            </w:pPr>
            <w:r w:rsidRPr="004761E0">
              <w:rPr>
                <w:sz w:val="16"/>
                <w:szCs w:val="20"/>
              </w:rPr>
              <w:t>40</w:t>
            </w:r>
          </w:p>
        </w:tc>
        <w:tc>
          <w:tcPr>
            <w:tcW w:w="850" w:type="dxa"/>
            <w:tcBorders>
              <w:top w:val="single" w:sz="4" w:space="0" w:color="FFFFFF"/>
              <w:bottom w:val="single" w:sz="4" w:space="0" w:color="auto"/>
            </w:tcBorders>
            <w:vAlign w:val="bottom"/>
          </w:tcPr>
          <w:p w:rsidR="00A470FB" w:rsidRPr="004761E0" w:rsidRDefault="00A470FB" w:rsidP="000B0BA5">
            <w:pPr>
              <w:ind w:firstLine="0"/>
              <w:jc w:val="center"/>
              <w:rPr>
                <w:sz w:val="16"/>
                <w:szCs w:val="20"/>
              </w:rPr>
            </w:pPr>
            <w:r w:rsidRPr="004761E0">
              <w:rPr>
                <w:sz w:val="16"/>
                <w:szCs w:val="20"/>
              </w:rPr>
              <w:t>12</w:t>
            </w:r>
          </w:p>
        </w:tc>
      </w:tr>
      <w:tr w:rsidR="00A470FB" w:rsidRPr="004761E0" w:rsidTr="009D6121">
        <w:trPr>
          <w:trHeight w:val="53"/>
        </w:trPr>
        <w:tc>
          <w:tcPr>
            <w:tcW w:w="993" w:type="dxa"/>
            <w:tcBorders>
              <w:top w:val="single" w:sz="4" w:space="0" w:color="auto"/>
              <w:left w:val="single" w:sz="4" w:space="0" w:color="auto"/>
              <w:bottom w:val="single" w:sz="4" w:space="0" w:color="auto"/>
              <w:right w:val="single" w:sz="4" w:space="0" w:color="auto"/>
            </w:tcBorders>
            <w:vAlign w:val="center"/>
          </w:tcPr>
          <w:p w:rsidR="00A470FB" w:rsidRPr="004761E0" w:rsidRDefault="00A470FB" w:rsidP="000B0BA5">
            <w:pPr>
              <w:ind w:firstLine="0"/>
              <w:jc w:val="center"/>
              <w:rPr>
                <w:sz w:val="16"/>
                <w:szCs w:val="20"/>
              </w:rPr>
            </w:pPr>
            <w:r w:rsidRPr="004761E0">
              <w:rPr>
                <w:sz w:val="16"/>
                <w:szCs w:val="20"/>
              </w:rPr>
              <w:t>Наиболее высокий</w:t>
            </w:r>
          </w:p>
        </w:tc>
        <w:tc>
          <w:tcPr>
            <w:tcW w:w="850" w:type="dxa"/>
            <w:tcBorders>
              <w:top w:val="single" w:sz="4" w:space="0" w:color="auto"/>
              <w:left w:val="single" w:sz="4" w:space="0" w:color="auto"/>
              <w:bottom w:val="single" w:sz="4" w:space="0" w:color="auto"/>
              <w:right w:val="single" w:sz="4" w:space="0" w:color="auto"/>
            </w:tcBorders>
            <w:vAlign w:val="center"/>
          </w:tcPr>
          <w:p w:rsidR="00A470FB" w:rsidRPr="004761E0" w:rsidRDefault="00A470FB" w:rsidP="000B0BA5">
            <w:pPr>
              <w:ind w:firstLine="0"/>
              <w:jc w:val="center"/>
              <w:rPr>
                <w:sz w:val="16"/>
                <w:szCs w:val="20"/>
              </w:rPr>
            </w:pPr>
            <w:r w:rsidRPr="004761E0">
              <w:rPr>
                <w:sz w:val="16"/>
                <w:szCs w:val="20"/>
              </w:rPr>
              <w:t>Средний</w:t>
            </w:r>
          </w:p>
        </w:tc>
        <w:tc>
          <w:tcPr>
            <w:tcW w:w="851" w:type="dxa"/>
            <w:tcBorders>
              <w:top w:val="single" w:sz="4" w:space="0" w:color="auto"/>
              <w:left w:val="single" w:sz="4" w:space="0" w:color="auto"/>
              <w:bottom w:val="single" w:sz="4" w:space="0" w:color="auto"/>
              <w:right w:val="single" w:sz="4" w:space="0" w:color="auto"/>
            </w:tcBorders>
            <w:vAlign w:val="center"/>
          </w:tcPr>
          <w:p w:rsidR="00A470FB" w:rsidRPr="004761E0" w:rsidRDefault="00A470FB" w:rsidP="000B0BA5">
            <w:pPr>
              <w:ind w:firstLine="0"/>
              <w:jc w:val="center"/>
              <w:rPr>
                <w:sz w:val="16"/>
                <w:szCs w:val="20"/>
              </w:rPr>
            </w:pPr>
            <w:r w:rsidRPr="004761E0">
              <w:rPr>
                <w:sz w:val="16"/>
                <w:szCs w:val="20"/>
              </w:rPr>
              <w:t>Средний</w:t>
            </w:r>
          </w:p>
        </w:tc>
        <w:tc>
          <w:tcPr>
            <w:tcW w:w="850" w:type="dxa"/>
            <w:tcBorders>
              <w:top w:val="single" w:sz="4" w:space="0" w:color="auto"/>
              <w:left w:val="single" w:sz="4" w:space="0" w:color="auto"/>
              <w:bottom w:val="single" w:sz="4" w:space="0" w:color="auto"/>
              <w:right w:val="single" w:sz="4" w:space="0" w:color="auto"/>
            </w:tcBorders>
            <w:vAlign w:val="center"/>
          </w:tcPr>
          <w:p w:rsidR="00A470FB" w:rsidRPr="004761E0" w:rsidRDefault="00A470FB" w:rsidP="000B0BA5">
            <w:pPr>
              <w:ind w:firstLine="0"/>
              <w:jc w:val="center"/>
              <w:rPr>
                <w:sz w:val="16"/>
                <w:szCs w:val="20"/>
              </w:rPr>
            </w:pPr>
            <w:r w:rsidRPr="004761E0">
              <w:rPr>
                <w:sz w:val="16"/>
                <w:szCs w:val="20"/>
              </w:rPr>
              <w:t>Высокий</w:t>
            </w:r>
          </w:p>
        </w:tc>
        <w:tc>
          <w:tcPr>
            <w:tcW w:w="851" w:type="dxa"/>
            <w:tcBorders>
              <w:top w:val="single" w:sz="4" w:space="0" w:color="auto"/>
              <w:left w:val="single" w:sz="4" w:space="0" w:color="auto"/>
              <w:bottom w:val="single" w:sz="4" w:space="0" w:color="auto"/>
              <w:right w:val="single" w:sz="4" w:space="0" w:color="auto"/>
            </w:tcBorders>
            <w:vAlign w:val="center"/>
          </w:tcPr>
          <w:p w:rsidR="00A470FB" w:rsidRPr="004761E0" w:rsidRDefault="00A470FB" w:rsidP="000B0BA5">
            <w:pPr>
              <w:ind w:firstLine="0"/>
              <w:jc w:val="center"/>
              <w:rPr>
                <w:sz w:val="16"/>
                <w:szCs w:val="20"/>
              </w:rPr>
            </w:pPr>
            <w:r w:rsidRPr="004761E0">
              <w:rPr>
                <w:sz w:val="16"/>
                <w:szCs w:val="20"/>
              </w:rPr>
              <w:t>Средний</w:t>
            </w:r>
          </w:p>
        </w:tc>
        <w:tc>
          <w:tcPr>
            <w:tcW w:w="850" w:type="dxa"/>
            <w:tcBorders>
              <w:top w:val="single" w:sz="4" w:space="0" w:color="auto"/>
              <w:left w:val="single" w:sz="4" w:space="0" w:color="auto"/>
              <w:bottom w:val="single" w:sz="4" w:space="0" w:color="auto"/>
              <w:right w:val="single" w:sz="4" w:space="0" w:color="auto"/>
            </w:tcBorders>
            <w:vAlign w:val="center"/>
          </w:tcPr>
          <w:p w:rsidR="00A470FB" w:rsidRPr="004761E0" w:rsidRDefault="00A470FB" w:rsidP="000B0BA5">
            <w:pPr>
              <w:ind w:firstLine="0"/>
              <w:jc w:val="center"/>
              <w:rPr>
                <w:sz w:val="16"/>
                <w:szCs w:val="20"/>
              </w:rPr>
            </w:pPr>
            <w:r w:rsidRPr="004761E0">
              <w:rPr>
                <w:sz w:val="16"/>
                <w:szCs w:val="20"/>
              </w:rPr>
              <w:t>Средний</w:t>
            </w:r>
          </w:p>
        </w:tc>
        <w:tc>
          <w:tcPr>
            <w:tcW w:w="993" w:type="dxa"/>
            <w:tcBorders>
              <w:top w:val="single" w:sz="4" w:space="0" w:color="auto"/>
              <w:left w:val="single" w:sz="4" w:space="0" w:color="auto"/>
              <w:bottom w:val="single" w:sz="4" w:space="0" w:color="auto"/>
              <w:right w:val="single" w:sz="4" w:space="0" w:color="auto"/>
            </w:tcBorders>
            <w:vAlign w:val="center"/>
          </w:tcPr>
          <w:p w:rsidR="00A470FB" w:rsidRPr="004761E0" w:rsidRDefault="00A470FB" w:rsidP="000B0BA5">
            <w:pPr>
              <w:ind w:firstLine="0"/>
              <w:jc w:val="center"/>
              <w:rPr>
                <w:sz w:val="16"/>
                <w:szCs w:val="20"/>
              </w:rPr>
            </w:pPr>
            <w:r w:rsidRPr="004761E0">
              <w:rPr>
                <w:sz w:val="16"/>
                <w:szCs w:val="20"/>
              </w:rPr>
              <w:t>Наиболее</w:t>
            </w:r>
          </w:p>
          <w:p w:rsidR="00A470FB" w:rsidRPr="004761E0" w:rsidRDefault="00A470FB" w:rsidP="000B0BA5">
            <w:pPr>
              <w:ind w:firstLine="0"/>
              <w:jc w:val="center"/>
              <w:rPr>
                <w:sz w:val="16"/>
                <w:szCs w:val="20"/>
              </w:rPr>
            </w:pPr>
            <w:r w:rsidRPr="004761E0">
              <w:rPr>
                <w:sz w:val="16"/>
                <w:szCs w:val="20"/>
              </w:rPr>
              <w:t>высокий</w:t>
            </w:r>
          </w:p>
        </w:tc>
        <w:tc>
          <w:tcPr>
            <w:tcW w:w="850" w:type="dxa"/>
            <w:tcBorders>
              <w:top w:val="single" w:sz="4" w:space="0" w:color="auto"/>
              <w:left w:val="single" w:sz="4" w:space="0" w:color="auto"/>
              <w:bottom w:val="single" w:sz="4" w:space="0" w:color="auto"/>
              <w:right w:val="single" w:sz="4" w:space="0" w:color="auto"/>
            </w:tcBorders>
            <w:vAlign w:val="center"/>
          </w:tcPr>
          <w:p w:rsidR="00A470FB" w:rsidRPr="004761E0" w:rsidRDefault="00A470FB" w:rsidP="000B0BA5">
            <w:pPr>
              <w:ind w:firstLine="0"/>
              <w:jc w:val="center"/>
              <w:rPr>
                <w:sz w:val="16"/>
                <w:szCs w:val="20"/>
              </w:rPr>
            </w:pPr>
            <w:r w:rsidRPr="004761E0">
              <w:rPr>
                <w:sz w:val="16"/>
                <w:szCs w:val="20"/>
              </w:rPr>
              <w:t>Высокий</w:t>
            </w:r>
          </w:p>
        </w:tc>
        <w:tc>
          <w:tcPr>
            <w:tcW w:w="851" w:type="dxa"/>
            <w:tcBorders>
              <w:top w:val="single" w:sz="4" w:space="0" w:color="auto"/>
              <w:left w:val="single" w:sz="4" w:space="0" w:color="auto"/>
              <w:bottom w:val="single" w:sz="4" w:space="0" w:color="auto"/>
              <w:right w:val="single" w:sz="4" w:space="0" w:color="auto"/>
            </w:tcBorders>
            <w:vAlign w:val="center"/>
          </w:tcPr>
          <w:p w:rsidR="00A470FB" w:rsidRPr="004761E0" w:rsidRDefault="00A470FB" w:rsidP="000B0BA5">
            <w:pPr>
              <w:ind w:firstLine="0"/>
              <w:jc w:val="center"/>
              <w:rPr>
                <w:sz w:val="16"/>
                <w:szCs w:val="20"/>
              </w:rPr>
            </w:pPr>
            <w:r w:rsidRPr="004761E0">
              <w:rPr>
                <w:sz w:val="16"/>
                <w:szCs w:val="20"/>
              </w:rPr>
              <w:t>Высокий</w:t>
            </w:r>
          </w:p>
        </w:tc>
        <w:tc>
          <w:tcPr>
            <w:tcW w:w="850" w:type="dxa"/>
            <w:tcBorders>
              <w:top w:val="single" w:sz="4" w:space="0" w:color="auto"/>
              <w:left w:val="single" w:sz="4" w:space="0" w:color="auto"/>
              <w:bottom w:val="single" w:sz="4" w:space="0" w:color="auto"/>
              <w:right w:val="single" w:sz="4" w:space="0" w:color="auto"/>
            </w:tcBorders>
            <w:vAlign w:val="center"/>
          </w:tcPr>
          <w:p w:rsidR="00A470FB" w:rsidRPr="004761E0" w:rsidRDefault="00A470FB" w:rsidP="000B0BA5">
            <w:pPr>
              <w:ind w:firstLine="0"/>
              <w:jc w:val="center"/>
              <w:rPr>
                <w:sz w:val="16"/>
                <w:szCs w:val="20"/>
              </w:rPr>
            </w:pPr>
            <w:r w:rsidRPr="004761E0">
              <w:rPr>
                <w:sz w:val="16"/>
                <w:szCs w:val="20"/>
              </w:rPr>
              <w:t>Средний</w:t>
            </w:r>
          </w:p>
        </w:tc>
        <w:tc>
          <w:tcPr>
            <w:tcW w:w="851" w:type="dxa"/>
            <w:tcBorders>
              <w:top w:val="single" w:sz="4" w:space="0" w:color="auto"/>
              <w:left w:val="single" w:sz="4" w:space="0" w:color="auto"/>
              <w:bottom w:val="single" w:sz="4" w:space="0" w:color="auto"/>
              <w:right w:val="single" w:sz="4" w:space="0" w:color="auto"/>
            </w:tcBorders>
            <w:vAlign w:val="center"/>
          </w:tcPr>
          <w:p w:rsidR="00A470FB" w:rsidRPr="004761E0" w:rsidRDefault="00A470FB" w:rsidP="000B0BA5">
            <w:pPr>
              <w:ind w:firstLine="0"/>
              <w:jc w:val="center"/>
              <w:rPr>
                <w:sz w:val="16"/>
                <w:szCs w:val="20"/>
              </w:rPr>
            </w:pPr>
            <w:r w:rsidRPr="004761E0">
              <w:rPr>
                <w:sz w:val="16"/>
                <w:szCs w:val="20"/>
              </w:rPr>
              <w:t>Средний</w:t>
            </w:r>
          </w:p>
        </w:tc>
        <w:tc>
          <w:tcPr>
            <w:tcW w:w="850" w:type="dxa"/>
            <w:tcBorders>
              <w:top w:val="single" w:sz="4" w:space="0" w:color="auto"/>
              <w:left w:val="single" w:sz="4" w:space="0" w:color="auto"/>
              <w:bottom w:val="single" w:sz="4" w:space="0" w:color="auto"/>
              <w:right w:val="single" w:sz="4" w:space="0" w:color="auto"/>
            </w:tcBorders>
            <w:vAlign w:val="center"/>
          </w:tcPr>
          <w:p w:rsidR="00A470FB" w:rsidRPr="004761E0" w:rsidRDefault="00A470FB" w:rsidP="000B0BA5">
            <w:pPr>
              <w:ind w:firstLine="0"/>
              <w:jc w:val="center"/>
              <w:rPr>
                <w:sz w:val="16"/>
                <w:szCs w:val="20"/>
              </w:rPr>
            </w:pPr>
            <w:r w:rsidRPr="004761E0">
              <w:rPr>
                <w:sz w:val="16"/>
                <w:szCs w:val="20"/>
              </w:rPr>
              <w:t>Высокий</w:t>
            </w:r>
          </w:p>
        </w:tc>
      </w:tr>
    </w:tbl>
    <w:p w:rsidR="00A470FB" w:rsidRPr="004761E0" w:rsidRDefault="00A470FB" w:rsidP="00A470FB">
      <w:pPr>
        <w:ind w:firstLine="567"/>
        <w:jc w:val="center"/>
      </w:pPr>
    </w:p>
    <w:p w:rsidR="00A470FB" w:rsidRPr="004761E0" w:rsidRDefault="00A470FB" w:rsidP="000B0BA5">
      <w:pPr>
        <w:ind w:firstLine="0"/>
      </w:pPr>
      <w:r w:rsidRPr="004761E0">
        <w:rPr>
          <w:noProof/>
          <w:lang w:eastAsia="ru-RU"/>
        </w:rPr>
        <w:drawing>
          <wp:inline distT="0" distB="0" distL="0" distR="0">
            <wp:extent cx="5657850" cy="2197100"/>
            <wp:effectExtent l="0" t="0" r="0" b="0"/>
            <wp:docPr id="36"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rsidR="00A470FB" w:rsidRPr="004761E0" w:rsidRDefault="00A470FB" w:rsidP="00A470FB">
      <w:pPr>
        <w:ind w:firstLine="567"/>
      </w:pPr>
      <w:r w:rsidRPr="004761E0">
        <w:rPr>
          <w:sz w:val="26"/>
          <w:szCs w:val="26"/>
        </w:rPr>
        <w:t xml:space="preserve">Позиция </w:t>
      </w:r>
      <w:r w:rsidR="0008080E">
        <w:rPr>
          <w:sz w:val="26"/>
          <w:szCs w:val="26"/>
        </w:rPr>
        <w:t>ОАО </w:t>
      </w:r>
      <w:r w:rsidRPr="004761E0">
        <w:rPr>
          <w:sz w:val="26"/>
          <w:szCs w:val="26"/>
        </w:rPr>
        <w:t xml:space="preserve">«МОЭСК» в рейтинге информационной открытости российских компаний ТЭК, который ежемесячно составляет Агентство политических и экономических коммуникаций (АПЭК), в 2013 году постоянно менялась. Основной причиной неустойчивого движения рейтинга </w:t>
      </w:r>
      <w:r w:rsidR="00973D0F" w:rsidRPr="004761E0">
        <w:rPr>
          <w:sz w:val="26"/>
          <w:szCs w:val="26"/>
        </w:rPr>
        <w:t>Общества</w:t>
      </w:r>
      <w:r w:rsidRPr="004761E0">
        <w:rPr>
          <w:sz w:val="26"/>
          <w:szCs w:val="26"/>
        </w:rPr>
        <w:t xml:space="preserve"> является зависимость его позиции от количества значимых событий в деятельности Компании в месяц. Иными словами, чем больше событий, тем выше рейтинг.</w:t>
      </w:r>
      <w:r w:rsidRPr="004761E0">
        <w:t xml:space="preserve"> </w:t>
      </w:r>
    </w:p>
    <w:p w:rsidR="00A470FB" w:rsidRPr="004761E0" w:rsidRDefault="00A470FB" w:rsidP="00A470FB">
      <w:pPr>
        <w:ind w:firstLine="567"/>
        <w:rPr>
          <w:sz w:val="26"/>
          <w:szCs w:val="26"/>
        </w:rPr>
      </w:pPr>
      <w:r w:rsidRPr="004761E0">
        <w:rPr>
          <w:sz w:val="26"/>
          <w:szCs w:val="26"/>
        </w:rPr>
        <w:t xml:space="preserve">Наиболее высокую позицию </w:t>
      </w:r>
      <w:r w:rsidR="0008080E">
        <w:rPr>
          <w:sz w:val="26"/>
          <w:szCs w:val="26"/>
        </w:rPr>
        <w:t>ОАО </w:t>
      </w:r>
      <w:r w:rsidRPr="004761E0">
        <w:rPr>
          <w:sz w:val="26"/>
          <w:szCs w:val="26"/>
        </w:rPr>
        <w:t xml:space="preserve">«МОЭСК» заняло в январе 2013 года, что связано с модернизацией корпоративного сайта и запуском обновленной Интернет-приемной, с помощью которой можно задать вопросы, связанные с деятельностью Компании, получить совет или консультацию по предоставляемым услугам. Кроме того, Общество попало в топ-10 компаний ТЭК с наибольшей информационной открытостью в июле 2013 года. В этом месяце у </w:t>
      </w:r>
      <w:r w:rsidR="0008080E">
        <w:rPr>
          <w:sz w:val="26"/>
          <w:szCs w:val="26"/>
        </w:rPr>
        <w:t>ОАО </w:t>
      </w:r>
      <w:r w:rsidRPr="004761E0">
        <w:rPr>
          <w:sz w:val="26"/>
          <w:szCs w:val="26"/>
        </w:rPr>
        <w:t xml:space="preserve">«МОЭСК» 9 позиция, что связано с запуском сервиса подачи онлайн-заявки на технологическое присоединение. На протяжении оставшихся десяти месяцев прошедшего года </w:t>
      </w:r>
      <w:r w:rsidR="0008080E">
        <w:rPr>
          <w:sz w:val="26"/>
          <w:szCs w:val="26"/>
        </w:rPr>
        <w:t>ОАО </w:t>
      </w:r>
      <w:r w:rsidRPr="004761E0">
        <w:rPr>
          <w:sz w:val="26"/>
          <w:szCs w:val="26"/>
        </w:rPr>
        <w:t xml:space="preserve">«МОЭСК» показывало высокий и средний уровень информационной открытости. Примечательно, что Общество ни разу не попало за так называемую «линию отсечения» (позиции ниже 51), то есть уровень открытости </w:t>
      </w:r>
      <w:r w:rsidR="0008080E">
        <w:rPr>
          <w:sz w:val="26"/>
          <w:szCs w:val="26"/>
        </w:rPr>
        <w:t>ОАО </w:t>
      </w:r>
      <w:r w:rsidRPr="004761E0">
        <w:rPr>
          <w:sz w:val="26"/>
          <w:szCs w:val="26"/>
        </w:rPr>
        <w:t>«МОЭСК» ни разу не достиг критически низкого значения.</w:t>
      </w:r>
    </w:p>
    <w:p w:rsidR="00A470FB" w:rsidRPr="004761E0" w:rsidRDefault="00A470FB" w:rsidP="00A470FB">
      <w:pPr>
        <w:ind w:firstLine="567"/>
        <w:rPr>
          <w:i/>
          <w:sz w:val="26"/>
          <w:szCs w:val="26"/>
        </w:rPr>
      </w:pPr>
      <w:r w:rsidRPr="004761E0">
        <w:rPr>
          <w:i/>
          <w:sz w:val="26"/>
          <w:szCs w:val="26"/>
        </w:rPr>
        <w:t>Справочно: Для определения рейтинга информационной открытости российских компаний топливно-энергетического комплекса АПЭК проводит опрос 25 экспертов, в числе которых экономисты, политологи, инвестиционные и отраслевые аналитики, экономические журналисты. Оценка проводится для 76 наиболее крупных компаний, представляющих атомную энергетику, газовую, нефтяную, угольную промышленность, транспортировку нефти и нефтепродуктов, электроэнергетику.</w:t>
      </w:r>
    </w:p>
    <w:p w:rsidR="00403045" w:rsidRPr="004761E0" w:rsidRDefault="00403045">
      <w:pPr>
        <w:ind w:firstLine="0"/>
        <w:jc w:val="left"/>
        <w:rPr>
          <w:b/>
          <w:color w:val="0D0D0D"/>
          <w:sz w:val="26"/>
          <w:szCs w:val="26"/>
        </w:rPr>
      </w:pPr>
      <w:r w:rsidRPr="004761E0">
        <w:rPr>
          <w:b/>
          <w:color w:val="0D0D0D"/>
          <w:sz w:val="26"/>
          <w:szCs w:val="26"/>
        </w:rPr>
        <w:br w:type="page"/>
      </w:r>
    </w:p>
    <w:p w:rsidR="00A470FB" w:rsidRPr="00715EEC" w:rsidRDefault="00A470FB" w:rsidP="00715EEC">
      <w:pPr>
        <w:pStyle w:val="a5"/>
        <w:spacing w:before="120" w:after="120"/>
        <w:ind w:left="0" w:firstLine="567"/>
        <w:contextualSpacing w:val="0"/>
        <w:rPr>
          <w:rFonts w:eastAsia="Times New Roman"/>
          <w:b/>
          <w:sz w:val="26"/>
          <w:szCs w:val="26"/>
        </w:rPr>
      </w:pPr>
      <w:r w:rsidRPr="00715EEC">
        <w:rPr>
          <w:rFonts w:eastAsia="Times New Roman"/>
          <w:b/>
          <w:sz w:val="26"/>
          <w:szCs w:val="26"/>
        </w:rPr>
        <w:lastRenderedPageBreak/>
        <w:t>Коммуникации с органами государственной власти и муниципального управления, общественными организациями</w:t>
      </w:r>
    </w:p>
    <w:p w:rsidR="00A470FB" w:rsidRPr="004761E0" w:rsidRDefault="00A470FB" w:rsidP="00A470FB">
      <w:pPr>
        <w:autoSpaceDE w:val="0"/>
        <w:autoSpaceDN w:val="0"/>
        <w:adjustRightInd w:val="0"/>
        <w:ind w:firstLine="567"/>
        <w:rPr>
          <w:color w:val="0D0D0D"/>
          <w:sz w:val="26"/>
          <w:szCs w:val="26"/>
        </w:rPr>
      </w:pPr>
      <w:r w:rsidRPr="004761E0">
        <w:rPr>
          <w:color w:val="0D0D0D"/>
          <w:sz w:val="26"/>
          <w:szCs w:val="26"/>
        </w:rPr>
        <w:t xml:space="preserve">Продуктивное развитие бизнес-процессов </w:t>
      </w:r>
      <w:r w:rsidR="0008080E">
        <w:rPr>
          <w:color w:val="0D0D0D"/>
          <w:sz w:val="26"/>
          <w:szCs w:val="26"/>
        </w:rPr>
        <w:t>ОАО </w:t>
      </w:r>
      <w:r w:rsidRPr="004761E0">
        <w:rPr>
          <w:color w:val="0D0D0D"/>
          <w:sz w:val="26"/>
          <w:szCs w:val="26"/>
        </w:rPr>
        <w:t>«МОЭСК» требует эффективного и своевременного взаимодействия с органами государственной власти, муниципального управления, общественными организациями по различным вопросам, возникающим в процессе реализации поставленных перед Обществом целей и задач. Помимо регулярного информирования органов госвласти, муниципального управления, общественных организаций о принимаемых решениях использовались такие формы, как:</w:t>
      </w:r>
    </w:p>
    <w:p w:rsidR="00A470FB" w:rsidRPr="004761E0" w:rsidRDefault="00A470FB" w:rsidP="007076A7">
      <w:pPr>
        <w:pStyle w:val="a5"/>
        <w:numPr>
          <w:ilvl w:val="0"/>
          <w:numId w:val="77"/>
        </w:numPr>
        <w:autoSpaceDE w:val="0"/>
        <w:autoSpaceDN w:val="0"/>
        <w:adjustRightInd w:val="0"/>
        <w:ind w:left="1134" w:hanging="567"/>
        <w:rPr>
          <w:color w:val="0D0D0D"/>
          <w:sz w:val="26"/>
          <w:szCs w:val="26"/>
        </w:rPr>
      </w:pPr>
      <w:r w:rsidRPr="004761E0">
        <w:rPr>
          <w:color w:val="0D0D0D"/>
          <w:sz w:val="26"/>
          <w:szCs w:val="26"/>
        </w:rPr>
        <w:t xml:space="preserve">организация встреч руководства </w:t>
      </w:r>
      <w:r w:rsidR="0008080E">
        <w:rPr>
          <w:color w:val="0D0D0D"/>
          <w:sz w:val="26"/>
          <w:szCs w:val="26"/>
        </w:rPr>
        <w:t>ОАО </w:t>
      </w:r>
      <w:r w:rsidRPr="004761E0">
        <w:rPr>
          <w:color w:val="0D0D0D"/>
          <w:sz w:val="26"/>
          <w:szCs w:val="26"/>
        </w:rPr>
        <w:t>«МОЭСК», его филиалов с руководителями органов госвласти, муниципального управления, общественных организаций (организовано 15 встреч, что на пять больше чем в 2012 г</w:t>
      </w:r>
      <w:r w:rsidR="007F0436">
        <w:rPr>
          <w:color w:val="0D0D0D"/>
          <w:sz w:val="26"/>
          <w:szCs w:val="26"/>
        </w:rPr>
        <w:t>оду</w:t>
      </w:r>
      <w:r w:rsidRPr="004761E0">
        <w:rPr>
          <w:color w:val="0D0D0D"/>
          <w:sz w:val="26"/>
          <w:szCs w:val="26"/>
        </w:rPr>
        <w:t>);</w:t>
      </w:r>
    </w:p>
    <w:p w:rsidR="00A470FB" w:rsidRPr="004761E0" w:rsidRDefault="00A470FB" w:rsidP="007076A7">
      <w:pPr>
        <w:pStyle w:val="a5"/>
        <w:numPr>
          <w:ilvl w:val="0"/>
          <w:numId w:val="77"/>
        </w:numPr>
        <w:ind w:left="1134" w:hanging="567"/>
        <w:rPr>
          <w:color w:val="0D0D0D"/>
          <w:sz w:val="26"/>
          <w:szCs w:val="26"/>
        </w:rPr>
      </w:pPr>
      <w:r w:rsidRPr="004761E0">
        <w:rPr>
          <w:sz w:val="26"/>
          <w:szCs w:val="26"/>
        </w:rPr>
        <w:t xml:space="preserve">организация деловых форумов </w:t>
      </w:r>
      <w:r w:rsidRPr="004761E0">
        <w:rPr>
          <w:color w:val="0D0D0D"/>
          <w:sz w:val="26"/>
          <w:szCs w:val="26"/>
        </w:rPr>
        <w:t xml:space="preserve">с участием представителей органов госвласти (форум «Совершенствование технологических присоединений в Московском регионе. Результаты и перспективы» (с участием представителей Минэнерго России, Минэкономики России, ФАС России, ФСТ России, Правительства Москвы, Московской торгово-промышленной палаты, общественной организации «Деловая Россия» и Московской городской организации «ОПОРА России»); форум «Малый бизнес Москвы и </w:t>
      </w:r>
      <w:r w:rsidR="0008080E">
        <w:rPr>
          <w:color w:val="0D0D0D"/>
          <w:sz w:val="26"/>
          <w:szCs w:val="26"/>
        </w:rPr>
        <w:t>ОАО </w:t>
      </w:r>
      <w:r w:rsidRPr="004761E0">
        <w:rPr>
          <w:color w:val="0D0D0D"/>
          <w:sz w:val="26"/>
          <w:szCs w:val="26"/>
        </w:rPr>
        <w:t xml:space="preserve">«МОЭСК»: открытый диалог» (с участием представителей ДепТЭХ г. Москвы, Департамента науки, промышленной политики и предпринимательства г. Москвы, РЭК г. Москвы, </w:t>
      </w:r>
      <w:r w:rsidR="0008080E">
        <w:rPr>
          <w:color w:val="0D0D0D"/>
          <w:sz w:val="26"/>
          <w:szCs w:val="26"/>
        </w:rPr>
        <w:t>ОАО </w:t>
      </w:r>
      <w:r w:rsidRPr="004761E0">
        <w:rPr>
          <w:color w:val="0D0D0D"/>
          <w:sz w:val="26"/>
          <w:szCs w:val="26"/>
        </w:rPr>
        <w:t>«Мосэнергосбыт», Московской городской организации «ОПОРА России»</w:t>
      </w:r>
      <w:r w:rsidR="00C56F37" w:rsidRPr="004761E0">
        <w:rPr>
          <w:color w:val="0D0D0D"/>
          <w:sz w:val="26"/>
          <w:szCs w:val="26"/>
        </w:rPr>
        <w:t xml:space="preserve"> </w:t>
      </w:r>
      <w:r w:rsidRPr="004761E0">
        <w:rPr>
          <w:color w:val="0D0D0D"/>
          <w:sz w:val="26"/>
          <w:szCs w:val="26"/>
        </w:rPr>
        <w:t>и др.);</w:t>
      </w:r>
    </w:p>
    <w:p w:rsidR="00A470FB" w:rsidRPr="004761E0" w:rsidRDefault="00A470FB" w:rsidP="007076A7">
      <w:pPr>
        <w:pStyle w:val="a5"/>
        <w:numPr>
          <w:ilvl w:val="0"/>
          <w:numId w:val="77"/>
        </w:numPr>
        <w:ind w:left="1134" w:hanging="567"/>
        <w:rPr>
          <w:sz w:val="26"/>
          <w:szCs w:val="26"/>
        </w:rPr>
      </w:pPr>
      <w:r w:rsidRPr="004761E0">
        <w:rPr>
          <w:sz w:val="26"/>
          <w:szCs w:val="26"/>
        </w:rPr>
        <w:t>организация ивент-мероприятий с участием представителей Правительства Москвы и Московской области</w:t>
      </w:r>
      <w:r w:rsidRPr="004761E0">
        <w:rPr>
          <w:color w:val="0D0D0D"/>
          <w:sz w:val="26"/>
          <w:szCs w:val="26"/>
        </w:rPr>
        <w:t xml:space="preserve">, муниципальных образований, общественных организаций (проведено шесть мероприятий, в т.ч.: </w:t>
      </w:r>
      <w:r w:rsidRPr="004761E0">
        <w:rPr>
          <w:sz w:val="26"/>
          <w:szCs w:val="26"/>
        </w:rPr>
        <w:t xml:space="preserve">торжественное открытие ЦОК на ул. Большая Тульская, 43 (с участием Мэра Москвы С. Собянина, министра энергетики РФ А. Новака, генерального директора </w:t>
      </w:r>
      <w:r w:rsidR="0008080E">
        <w:rPr>
          <w:sz w:val="26"/>
          <w:szCs w:val="26"/>
        </w:rPr>
        <w:t>ОАО </w:t>
      </w:r>
      <w:r w:rsidRPr="004761E0">
        <w:rPr>
          <w:sz w:val="26"/>
          <w:szCs w:val="26"/>
        </w:rPr>
        <w:t xml:space="preserve">«Россети» О. Бударгина); торжественный пуск ПС 110 кВ «Полянка» (с участием генерального директора Федерального фонда содействия развитию жилищного строительства А. Бравермана); торжественное открытие памятника создателям электрозаграждений (совместно с администрацией городского поселения Нахабино, командованием и ветеранами инженерных войск); торжественное открытие первой очереди </w:t>
      </w:r>
      <w:r w:rsidR="00C56F37" w:rsidRPr="004761E0">
        <w:rPr>
          <w:sz w:val="26"/>
          <w:szCs w:val="26"/>
        </w:rPr>
        <w:t xml:space="preserve">подстанции </w:t>
      </w:r>
      <w:r w:rsidRPr="004761E0">
        <w:rPr>
          <w:sz w:val="26"/>
          <w:szCs w:val="26"/>
        </w:rPr>
        <w:t xml:space="preserve">110/10/6 кВ «Шереметьево» (с участием заместителя председателя Правительства Московской области Д. Пестова, главы Солнечногорского района и др.); </w:t>
      </w:r>
    </w:p>
    <w:p w:rsidR="00A470FB" w:rsidRPr="004761E0" w:rsidRDefault="00A470FB" w:rsidP="007076A7">
      <w:pPr>
        <w:pStyle w:val="a5"/>
        <w:numPr>
          <w:ilvl w:val="0"/>
          <w:numId w:val="77"/>
        </w:numPr>
        <w:ind w:left="1134" w:hanging="567"/>
        <w:rPr>
          <w:sz w:val="26"/>
          <w:szCs w:val="26"/>
        </w:rPr>
      </w:pPr>
      <w:r w:rsidRPr="004761E0">
        <w:rPr>
          <w:color w:val="0D0D0D"/>
          <w:sz w:val="26"/>
          <w:szCs w:val="26"/>
        </w:rPr>
        <w:t xml:space="preserve">проведение круглых столов с членами общественных организаций (проведено пять круглых столов, в т.ч. с активом </w:t>
      </w:r>
      <w:r w:rsidRPr="004761E0">
        <w:rPr>
          <w:sz w:val="26"/>
          <w:szCs w:val="26"/>
        </w:rPr>
        <w:t xml:space="preserve">МГО «ОПОРА России», представителями Федерации рестораторов и отельеров России, Ассоциации частных клиник и др.); </w:t>
      </w:r>
    </w:p>
    <w:p w:rsidR="00A470FB" w:rsidRPr="004761E0" w:rsidRDefault="00A470FB" w:rsidP="007076A7">
      <w:pPr>
        <w:pStyle w:val="a5"/>
        <w:numPr>
          <w:ilvl w:val="0"/>
          <w:numId w:val="77"/>
        </w:numPr>
        <w:ind w:left="1134" w:hanging="567"/>
        <w:rPr>
          <w:sz w:val="26"/>
          <w:szCs w:val="26"/>
        </w:rPr>
      </w:pPr>
      <w:r w:rsidRPr="004761E0">
        <w:rPr>
          <w:sz w:val="26"/>
          <w:szCs w:val="26"/>
        </w:rPr>
        <w:t xml:space="preserve">участие в мероприятиях, проводимых органами госвласти и управления Москвы и Московской области (пробег электромобилей </w:t>
      </w:r>
      <w:r w:rsidR="0008080E">
        <w:rPr>
          <w:sz w:val="26"/>
          <w:szCs w:val="26"/>
        </w:rPr>
        <w:t>ОАО </w:t>
      </w:r>
      <w:r w:rsidRPr="004761E0">
        <w:rPr>
          <w:sz w:val="26"/>
          <w:szCs w:val="26"/>
        </w:rPr>
        <w:t xml:space="preserve">«МОЭСК» в рамках проведения Международной экологической акции «Час земли» </w:t>
      </w:r>
      <w:r w:rsidRPr="004761E0">
        <w:rPr>
          <w:sz w:val="26"/>
          <w:szCs w:val="26"/>
        </w:rPr>
        <w:lastRenderedPageBreak/>
        <w:t>(совместно с Департаментом природопользования и охраны окружающей среды и ДепТЭХ г. Москвы); участие электромобилей Общества в экологическом пробеге «Из прошлого в будущее» (совместно с Департаментом природопользования и охраны окружающей среды и ДепТЭХ г. Москвы); участие в фестивале художественной росписи «Энергия Москвы» в рамках проведения Дня Москвы (совместно с ДепТЭХ г. Москвы и др.)).</w:t>
      </w:r>
    </w:p>
    <w:p w:rsidR="00A470FB" w:rsidRPr="00715EEC" w:rsidRDefault="00A470FB" w:rsidP="007076A7">
      <w:pPr>
        <w:pStyle w:val="a8"/>
        <w:numPr>
          <w:ilvl w:val="1"/>
          <w:numId w:val="321"/>
        </w:numPr>
        <w:spacing w:before="120" w:after="120"/>
        <w:ind w:left="1134" w:hanging="567"/>
        <w:jc w:val="both"/>
        <w:rPr>
          <w:rFonts w:ascii="Times New Roman" w:hAnsi="Times New Roman"/>
          <w:b/>
          <w:sz w:val="26"/>
          <w:szCs w:val="26"/>
        </w:rPr>
      </w:pPr>
      <w:bookmarkStart w:id="138" w:name="_Toc385339851"/>
      <w:r w:rsidRPr="00715EEC">
        <w:rPr>
          <w:rFonts w:ascii="Times New Roman" w:hAnsi="Times New Roman"/>
          <w:b/>
          <w:sz w:val="26"/>
          <w:szCs w:val="26"/>
        </w:rPr>
        <w:t>Конгрессно-выставочная деятельность</w:t>
      </w:r>
      <w:bookmarkEnd w:id="138"/>
    </w:p>
    <w:p w:rsidR="00A470FB" w:rsidRPr="004761E0" w:rsidRDefault="00A470FB" w:rsidP="00A470FB">
      <w:pPr>
        <w:ind w:firstLine="567"/>
        <w:rPr>
          <w:sz w:val="26"/>
          <w:szCs w:val="26"/>
        </w:rPr>
      </w:pPr>
      <w:r w:rsidRPr="004761E0">
        <w:rPr>
          <w:sz w:val="26"/>
          <w:szCs w:val="26"/>
        </w:rPr>
        <w:t xml:space="preserve">Конгрессно-выставочная деятельность </w:t>
      </w:r>
      <w:r w:rsidR="0008080E">
        <w:rPr>
          <w:sz w:val="26"/>
          <w:szCs w:val="26"/>
        </w:rPr>
        <w:t>ОАО </w:t>
      </w:r>
      <w:r w:rsidRPr="004761E0">
        <w:rPr>
          <w:sz w:val="26"/>
          <w:szCs w:val="26"/>
        </w:rPr>
        <w:t>«МОЭСК» направлена на поддержание имиджа Компании, информирование целевых аудиторий об основных направлениях работы и их результатах, выстраивание взаимодействия и «обратной связи» с клиентами-потребителями электроэнергии, правительственными и общественными организациями.</w:t>
      </w:r>
    </w:p>
    <w:p w:rsidR="00A470FB" w:rsidRPr="004761E0" w:rsidRDefault="00A470FB" w:rsidP="00A470FB">
      <w:pPr>
        <w:ind w:firstLine="567"/>
        <w:rPr>
          <w:sz w:val="26"/>
          <w:szCs w:val="26"/>
        </w:rPr>
      </w:pPr>
      <w:r w:rsidRPr="004761E0">
        <w:rPr>
          <w:sz w:val="26"/>
          <w:szCs w:val="26"/>
        </w:rPr>
        <w:t xml:space="preserve">В 2013 году представители </w:t>
      </w:r>
      <w:r w:rsidR="0008080E">
        <w:rPr>
          <w:sz w:val="26"/>
          <w:szCs w:val="26"/>
        </w:rPr>
        <w:t>ОАО </w:t>
      </w:r>
      <w:r w:rsidRPr="004761E0">
        <w:rPr>
          <w:sz w:val="26"/>
          <w:szCs w:val="26"/>
        </w:rPr>
        <w:t xml:space="preserve">«МОЭСК» приняли участие в 10 крупных отраслевых мероприятиях. На 4-х из них спикеры Компании выступили с докладами, еще на 4-х </w:t>
      </w:r>
      <w:r w:rsidR="0008080E">
        <w:rPr>
          <w:sz w:val="26"/>
          <w:szCs w:val="26"/>
        </w:rPr>
        <w:t>ОАО </w:t>
      </w:r>
      <w:r w:rsidRPr="004761E0">
        <w:rPr>
          <w:sz w:val="26"/>
          <w:szCs w:val="26"/>
        </w:rPr>
        <w:t xml:space="preserve">«МОЭСК» представило стенды, а на </w:t>
      </w:r>
      <w:r w:rsidRPr="004761E0">
        <w:rPr>
          <w:sz w:val="26"/>
          <w:szCs w:val="26"/>
          <w:lang w:val="en-US"/>
        </w:rPr>
        <w:t>XI</w:t>
      </w:r>
      <w:r w:rsidRPr="004761E0">
        <w:rPr>
          <w:sz w:val="26"/>
          <w:szCs w:val="26"/>
        </w:rPr>
        <w:t xml:space="preserve"> форуме «ТЭК</w:t>
      </w:r>
      <w:r w:rsidRPr="004761E0">
        <w:rPr>
          <w:sz w:val="26"/>
          <w:szCs w:val="26"/>
          <w:lang w:val="en-US"/>
        </w:rPr>
        <w:t> </w:t>
      </w:r>
      <w:r w:rsidRPr="004761E0">
        <w:rPr>
          <w:sz w:val="26"/>
          <w:szCs w:val="26"/>
        </w:rPr>
        <w:t xml:space="preserve">РОССИИ В </w:t>
      </w:r>
      <w:r w:rsidRPr="004761E0">
        <w:rPr>
          <w:sz w:val="26"/>
          <w:szCs w:val="26"/>
          <w:lang w:val="en-US"/>
        </w:rPr>
        <w:t>XXI</w:t>
      </w:r>
      <w:r w:rsidRPr="004761E0">
        <w:rPr>
          <w:sz w:val="26"/>
          <w:szCs w:val="26"/>
        </w:rPr>
        <w:t xml:space="preserve"> ВЕКЕ» Обществом организован круглый стол о перспективах развития электротранспорта в России. Корпоративная экспозиция </w:t>
      </w:r>
      <w:r w:rsidR="0008080E">
        <w:rPr>
          <w:sz w:val="26"/>
          <w:szCs w:val="26"/>
        </w:rPr>
        <w:t>ОАО </w:t>
      </w:r>
      <w:r w:rsidRPr="004761E0">
        <w:rPr>
          <w:sz w:val="26"/>
          <w:szCs w:val="26"/>
        </w:rPr>
        <w:t>«МОЭСК» признана лучшей на форуме.</w:t>
      </w:r>
    </w:p>
    <w:p w:rsidR="00A470FB" w:rsidRPr="004761E0" w:rsidRDefault="00A470FB" w:rsidP="00A470FB">
      <w:pPr>
        <w:ind w:firstLine="567"/>
        <w:rPr>
          <w:sz w:val="26"/>
          <w:szCs w:val="26"/>
        </w:rPr>
      </w:pPr>
      <w:r w:rsidRPr="004761E0">
        <w:rPr>
          <w:sz w:val="26"/>
          <w:szCs w:val="26"/>
        </w:rPr>
        <w:t xml:space="preserve">Основные темы выступлений представителей </w:t>
      </w:r>
      <w:r w:rsidR="0008080E">
        <w:rPr>
          <w:sz w:val="26"/>
          <w:szCs w:val="26"/>
        </w:rPr>
        <w:t>ОАО </w:t>
      </w:r>
      <w:r w:rsidRPr="004761E0">
        <w:rPr>
          <w:sz w:val="26"/>
          <w:szCs w:val="26"/>
        </w:rPr>
        <w:t>«МОЭСК» на конгрессно-выставочных мероприятиях в 2013 году отражают приоритетные направления развития Компании: электротранспорт и зарядная инфраструктура, охрана труда, упрощение процедуры технологического присоединения, инновации и информационные технологии.</w:t>
      </w:r>
    </w:p>
    <w:p w:rsidR="00A470FB" w:rsidRPr="00715EEC" w:rsidRDefault="00A470FB" w:rsidP="007076A7">
      <w:pPr>
        <w:pStyle w:val="a8"/>
        <w:numPr>
          <w:ilvl w:val="1"/>
          <w:numId w:val="321"/>
        </w:numPr>
        <w:spacing w:before="120" w:after="120"/>
        <w:ind w:left="1134" w:hanging="567"/>
        <w:jc w:val="both"/>
        <w:rPr>
          <w:rFonts w:ascii="Times New Roman" w:hAnsi="Times New Roman"/>
          <w:b/>
          <w:sz w:val="26"/>
          <w:szCs w:val="26"/>
        </w:rPr>
      </w:pPr>
      <w:bookmarkStart w:id="139" w:name="_Toc385339852"/>
      <w:r w:rsidRPr="00715EEC">
        <w:rPr>
          <w:rFonts w:ascii="Times New Roman" w:hAnsi="Times New Roman"/>
          <w:b/>
          <w:sz w:val="26"/>
          <w:szCs w:val="26"/>
        </w:rPr>
        <w:t>Социальные коммуникации</w:t>
      </w:r>
      <w:bookmarkEnd w:id="139"/>
      <w:r w:rsidRPr="00715EEC">
        <w:rPr>
          <w:rFonts w:ascii="Times New Roman" w:hAnsi="Times New Roman"/>
          <w:b/>
          <w:sz w:val="26"/>
          <w:szCs w:val="26"/>
        </w:rPr>
        <w:t xml:space="preserve"> </w:t>
      </w:r>
    </w:p>
    <w:p w:rsidR="00A470FB" w:rsidRPr="004761E0" w:rsidRDefault="00A470FB" w:rsidP="00A470FB">
      <w:pPr>
        <w:spacing w:before="120" w:after="120"/>
        <w:ind w:firstLine="567"/>
        <w:rPr>
          <w:sz w:val="26"/>
          <w:szCs w:val="26"/>
        </w:rPr>
      </w:pPr>
      <w:r w:rsidRPr="004761E0">
        <w:rPr>
          <w:sz w:val="26"/>
          <w:szCs w:val="26"/>
        </w:rPr>
        <w:t xml:space="preserve">С целью повышения открытости деятельности </w:t>
      </w:r>
      <w:r w:rsidR="0008080E">
        <w:rPr>
          <w:sz w:val="26"/>
          <w:szCs w:val="26"/>
        </w:rPr>
        <w:t>ОАО </w:t>
      </w:r>
      <w:r w:rsidRPr="004761E0">
        <w:rPr>
          <w:sz w:val="26"/>
          <w:szCs w:val="26"/>
        </w:rPr>
        <w:t xml:space="preserve">«МОЭСК» и формирования в обществе понимания о важности работы Компании, Департамент по связям с общественностью использует различные формы взаимодействия с целевыми аудиториями. Для этого используются как традиционные, так и современные каналы коммуникации, такие как интернет и социальные сети. </w:t>
      </w:r>
    </w:p>
    <w:p w:rsidR="00A470FB" w:rsidRPr="00715EEC" w:rsidRDefault="00A470FB" w:rsidP="00715EEC">
      <w:pPr>
        <w:pStyle w:val="a5"/>
        <w:spacing w:before="120" w:after="120"/>
        <w:ind w:left="0" w:firstLine="567"/>
        <w:contextualSpacing w:val="0"/>
        <w:rPr>
          <w:rFonts w:eastAsia="Times New Roman"/>
          <w:b/>
          <w:sz w:val="26"/>
          <w:szCs w:val="26"/>
        </w:rPr>
      </w:pPr>
      <w:r w:rsidRPr="00715EEC">
        <w:rPr>
          <w:rFonts w:eastAsia="Times New Roman"/>
          <w:b/>
          <w:sz w:val="26"/>
          <w:szCs w:val="26"/>
        </w:rPr>
        <w:t>Специальные проекты</w:t>
      </w:r>
    </w:p>
    <w:tbl>
      <w:tblPr>
        <w:tblStyle w:val="ae"/>
        <w:tblW w:w="9498" w:type="dxa"/>
        <w:tblInd w:w="108" w:type="dxa"/>
        <w:tblLook w:val="04A0"/>
      </w:tblPr>
      <w:tblGrid>
        <w:gridCol w:w="2410"/>
        <w:gridCol w:w="7088"/>
      </w:tblGrid>
      <w:tr w:rsidR="00A470FB" w:rsidRPr="004761E0" w:rsidTr="008F7314">
        <w:trPr>
          <w:trHeight w:val="53"/>
        </w:trPr>
        <w:tc>
          <w:tcPr>
            <w:tcW w:w="2410" w:type="dxa"/>
            <w:tcBorders>
              <w:right w:val="single" w:sz="4" w:space="0" w:color="FFFFFF" w:themeColor="background1"/>
            </w:tcBorders>
            <w:shd w:val="clear" w:color="auto" w:fill="0F243E" w:themeFill="text2" w:themeFillShade="80"/>
          </w:tcPr>
          <w:p w:rsidR="00A470FB" w:rsidRPr="004761E0" w:rsidRDefault="00A470FB" w:rsidP="00C56F37">
            <w:pPr>
              <w:ind w:firstLine="0"/>
              <w:rPr>
                <w:b/>
              </w:rPr>
            </w:pPr>
            <w:r w:rsidRPr="004761E0">
              <w:rPr>
                <w:b/>
                <w:sz w:val="22"/>
                <w:szCs w:val="22"/>
              </w:rPr>
              <w:t>Наименование проекта</w:t>
            </w:r>
          </w:p>
        </w:tc>
        <w:tc>
          <w:tcPr>
            <w:tcW w:w="7088" w:type="dxa"/>
            <w:tcBorders>
              <w:left w:val="single" w:sz="4" w:space="0" w:color="FFFFFF" w:themeColor="background1"/>
            </w:tcBorders>
            <w:shd w:val="clear" w:color="auto" w:fill="0F243E" w:themeFill="text2" w:themeFillShade="80"/>
          </w:tcPr>
          <w:p w:rsidR="00A470FB" w:rsidRPr="004761E0" w:rsidRDefault="00A470FB" w:rsidP="00C56F37">
            <w:pPr>
              <w:ind w:firstLine="0"/>
              <w:rPr>
                <w:b/>
              </w:rPr>
            </w:pPr>
            <w:r w:rsidRPr="004761E0">
              <w:rPr>
                <w:b/>
                <w:sz w:val="22"/>
              </w:rPr>
              <w:t>Проведенные мероприятия в 2013 году</w:t>
            </w:r>
          </w:p>
        </w:tc>
      </w:tr>
      <w:tr w:rsidR="00A470FB" w:rsidRPr="004761E0" w:rsidTr="00A470FB">
        <w:tc>
          <w:tcPr>
            <w:tcW w:w="2410" w:type="dxa"/>
          </w:tcPr>
          <w:p w:rsidR="00A470FB" w:rsidRPr="004761E0" w:rsidRDefault="00A470FB" w:rsidP="00C56F37">
            <w:pPr>
              <w:spacing w:after="200" w:line="276" w:lineRule="auto"/>
              <w:ind w:firstLine="0"/>
              <w:rPr>
                <w:b/>
              </w:rPr>
            </w:pPr>
            <w:r w:rsidRPr="004761E0">
              <w:rPr>
                <w:b/>
                <w:sz w:val="22"/>
                <w:szCs w:val="22"/>
              </w:rPr>
              <w:t>«</w:t>
            </w:r>
            <w:r w:rsidRPr="004761E0">
              <w:rPr>
                <w:b/>
                <w:sz w:val="22"/>
                <w:szCs w:val="22"/>
                <w:lang w:val="en-US"/>
              </w:rPr>
              <w:t>MOESK</w:t>
            </w:r>
            <w:r w:rsidRPr="004761E0">
              <w:rPr>
                <w:b/>
                <w:sz w:val="22"/>
                <w:szCs w:val="22"/>
              </w:rPr>
              <w:t>-</w:t>
            </w:r>
            <w:r w:rsidRPr="004761E0">
              <w:rPr>
                <w:b/>
                <w:sz w:val="22"/>
                <w:szCs w:val="22"/>
                <w:lang w:val="en-US"/>
              </w:rPr>
              <w:t>EV</w:t>
            </w:r>
            <w:r w:rsidRPr="004761E0">
              <w:rPr>
                <w:b/>
                <w:sz w:val="22"/>
                <w:szCs w:val="22"/>
              </w:rPr>
              <w:t>»</w:t>
            </w:r>
          </w:p>
        </w:tc>
        <w:tc>
          <w:tcPr>
            <w:tcW w:w="7088" w:type="dxa"/>
          </w:tcPr>
          <w:p w:rsidR="00A470FB" w:rsidRPr="004761E0" w:rsidRDefault="00A470FB" w:rsidP="00C56F37">
            <w:pPr>
              <w:ind w:firstLine="459"/>
            </w:pPr>
            <w:r w:rsidRPr="004761E0">
              <w:rPr>
                <w:sz w:val="22"/>
              </w:rPr>
              <w:t xml:space="preserve">Уникальность проводимой </w:t>
            </w:r>
            <w:r w:rsidR="0008080E">
              <w:rPr>
                <w:sz w:val="22"/>
              </w:rPr>
              <w:t>ОАО </w:t>
            </w:r>
            <w:r w:rsidRPr="004761E0">
              <w:rPr>
                <w:sz w:val="22"/>
              </w:rPr>
              <w:t xml:space="preserve">«МОЭСК» работы в области развития электромобильной инфраструктуры, повышенный интерес широкой общественности к теме, стали основой для позиционирования Компании в качестве эксперта в данной области. Ключевыми информационными поводами для этого послужили итоги проекта «МОЭСК-EV», проведение научных исследований в области создания ультрабыстрой зарядки для электробусов, а также приобретение первой в России измерительной электролаборатории на базе электромобиля. </w:t>
            </w:r>
          </w:p>
          <w:p w:rsidR="00A470FB" w:rsidRPr="004761E0" w:rsidRDefault="00A470FB" w:rsidP="00C56F37">
            <w:pPr>
              <w:ind w:firstLine="459"/>
              <w:rPr>
                <w:b/>
                <w:szCs w:val="24"/>
              </w:rPr>
            </w:pPr>
            <w:r w:rsidRPr="004761E0">
              <w:rPr>
                <w:sz w:val="22"/>
              </w:rPr>
              <w:t xml:space="preserve">Помимо приглашений специалистов </w:t>
            </w:r>
            <w:r w:rsidR="0008080E">
              <w:rPr>
                <w:sz w:val="22"/>
              </w:rPr>
              <w:t>ОАО </w:t>
            </w:r>
            <w:r w:rsidRPr="004761E0">
              <w:rPr>
                <w:sz w:val="22"/>
              </w:rPr>
              <w:t>«МОЭСК» к участию в различных тематических мероприятиях (форумы, круглые столы и проч.), которые освещались в федеральных, региональных и специализированных средствах массовой информации, в течение 2013 года с запросами о подготовке видеосюжетов обращались центральные российские телеканалы: Первый канал, Россия 1, НТВ.</w:t>
            </w:r>
          </w:p>
        </w:tc>
      </w:tr>
      <w:tr w:rsidR="00A470FB" w:rsidRPr="004761E0" w:rsidTr="00A470FB">
        <w:tc>
          <w:tcPr>
            <w:tcW w:w="2410" w:type="dxa"/>
          </w:tcPr>
          <w:p w:rsidR="00A470FB" w:rsidRPr="004761E0" w:rsidRDefault="00A470FB" w:rsidP="00C56F37">
            <w:pPr>
              <w:spacing w:after="200" w:line="276" w:lineRule="auto"/>
              <w:ind w:firstLine="0"/>
              <w:rPr>
                <w:b/>
              </w:rPr>
            </w:pPr>
            <w:r w:rsidRPr="004761E0">
              <w:rPr>
                <w:b/>
                <w:sz w:val="22"/>
                <w:szCs w:val="22"/>
              </w:rPr>
              <w:t xml:space="preserve">«Доброе </w:t>
            </w:r>
            <w:r w:rsidRPr="004761E0">
              <w:rPr>
                <w:b/>
                <w:sz w:val="22"/>
                <w:szCs w:val="22"/>
              </w:rPr>
              <w:lastRenderedPageBreak/>
              <w:t>электричество – детям»</w:t>
            </w:r>
          </w:p>
        </w:tc>
        <w:tc>
          <w:tcPr>
            <w:tcW w:w="7088" w:type="dxa"/>
          </w:tcPr>
          <w:p w:rsidR="00A470FB" w:rsidRPr="004761E0" w:rsidRDefault="00A470FB" w:rsidP="00C56F37">
            <w:pPr>
              <w:ind w:firstLine="459"/>
            </w:pPr>
            <w:r w:rsidRPr="004761E0">
              <w:rPr>
                <w:sz w:val="22"/>
              </w:rPr>
              <w:lastRenderedPageBreak/>
              <w:t xml:space="preserve">В 2013 году в рамках благотворительной акции «Доброе </w:t>
            </w:r>
            <w:r w:rsidRPr="004761E0">
              <w:rPr>
                <w:sz w:val="22"/>
              </w:rPr>
              <w:lastRenderedPageBreak/>
              <w:t xml:space="preserve">электричество – детям» специалисты </w:t>
            </w:r>
            <w:r w:rsidR="0008080E">
              <w:rPr>
                <w:sz w:val="22"/>
              </w:rPr>
              <w:t>ОАО </w:t>
            </w:r>
            <w:r w:rsidRPr="004761E0">
              <w:rPr>
                <w:sz w:val="22"/>
              </w:rPr>
              <w:t xml:space="preserve">«МОЭСК» провели в общеобразовательных учреждениях Московского региона свыше 150 открытых уроков на тему «Электробезопасность», на которых присутствовало  более 6 тыс. учащихся. </w:t>
            </w:r>
          </w:p>
          <w:p w:rsidR="00A470FB" w:rsidRPr="004761E0" w:rsidRDefault="00A470FB" w:rsidP="00C56F37">
            <w:pPr>
              <w:ind w:firstLine="459"/>
            </w:pPr>
            <w:r w:rsidRPr="004761E0">
              <w:rPr>
                <w:sz w:val="22"/>
              </w:rPr>
              <w:t>Стоит подчеркнуть, что акция получила одобрение мэра Москвы С.</w:t>
            </w:r>
            <w:r w:rsidR="00403045" w:rsidRPr="004761E0">
              <w:rPr>
                <w:sz w:val="22"/>
              </w:rPr>
              <w:t> </w:t>
            </w:r>
            <w:r w:rsidRPr="004761E0">
              <w:rPr>
                <w:sz w:val="22"/>
              </w:rPr>
              <w:t>Собянина и губернатора Московской области А.</w:t>
            </w:r>
            <w:r w:rsidR="00403045" w:rsidRPr="004761E0">
              <w:rPr>
                <w:sz w:val="22"/>
              </w:rPr>
              <w:t> </w:t>
            </w:r>
            <w:r w:rsidRPr="004761E0">
              <w:rPr>
                <w:sz w:val="22"/>
              </w:rPr>
              <w:t>Воробьева.</w:t>
            </w:r>
          </w:p>
          <w:p w:rsidR="00A470FB" w:rsidRPr="004761E0" w:rsidRDefault="00A470FB" w:rsidP="00C56F37">
            <w:pPr>
              <w:ind w:firstLine="459"/>
            </w:pPr>
            <w:r w:rsidRPr="004761E0">
              <w:rPr>
                <w:sz w:val="22"/>
              </w:rPr>
              <w:t xml:space="preserve">В год пятилетия акции уроки наряду со специалистами службы охраны труда </w:t>
            </w:r>
            <w:r w:rsidR="0008080E">
              <w:rPr>
                <w:sz w:val="22"/>
              </w:rPr>
              <w:t>ОАО </w:t>
            </w:r>
            <w:r w:rsidRPr="004761E0">
              <w:rPr>
                <w:sz w:val="22"/>
              </w:rPr>
              <w:t>«МОЭСК» проводили студенты и преподаватели кафедры Инженерной экологии и охраны труда НИУ «МЭИ».</w:t>
            </w:r>
          </w:p>
          <w:p w:rsidR="00A470FB" w:rsidRPr="004761E0" w:rsidRDefault="00A470FB" w:rsidP="00C56F37">
            <w:pPr>
              <w:ind w:firstLine="459"/>
              <w:rPr>
                <w:sz w:val="22"/>
              </w:rPr>
            </w:pPr>
            <w:r w:rsidRPr="004761E0">
              <w:rPr>
                <w:sz w:val="22"/>
              </w:rPr>
              <w:t xml:space="preserve">В прошедшем году на </w:t>
            </w:r>
            <w:r w:rsidR="009E567A">
              <w:rPr>
                <w:sz w:val="22"/>
              </w:rPr>
              <w:t xml:space="preserve">корпоративном </w:t>
            </w:r>
            <w:r w:rsidRPr="004761E0">
              <w:rPr>
                <w:sz w:val="22"/>
              </w:rPr>
              <w:t xml:space="preserve">сайте </w:t>
            </w:r>
            <w:r w:rsidR="0008080E">
              <w:rPr>
                <w:sz w:val="22"/>
              </w:rPr>
              <w:t>О</w:t>
            </w:r>
            <w:r w:rsidR="009E567A">
              <w:rPr>
                <w:sz w:val="22"/>
              </w:rPr>
              <w:t>бщества</w:t>
            </w:r>
            <w:r w:rsidRPr="004761E0">
              <w:rPr>
                <w:sz w:val="22"/>
              </w:rPr>
              <w:t xml:space="preserve"> появилась возможность подать электронную онлайн-заявку на проведение урока. </w:t>
            </w:r>
          </w:p>
          <w:p w:rsidR="00A470FB" w:rsidRPr="004761E0" w:rsidRDefault="00A470FB" w:rsidP="00C56F37">
            <w:pPr>
              <w:ind w:firstLine="459"/>
            </w:pPr>
            <w:r w:rsidRPr="004761E0">
              <w:rPr>
                <w:sz w:val="22"/>
              </w:rPr>
              <w:t>Впервые проведен конкурс детских рисунков, посвященный безопасному обращению с электроприборами, недопустимости проникновения на энергообъекты, способам экономии электроэнергии. На конкурс поступило 160 работ. Для победителей организован праздник в музее занимательных наук «Экспериментаниум».</w:t>
            </w:r>
          </w:p>
          <w:p w:rsidR="00A470FB" w:rsidRPr="004761E0" w:rsidRDefault="00A470FB" w:rsidP="00C56F37">
            <w:pPr>
              <w:ind w:firstLine="459"/>
            </w:pPr>
            <w:r w:rsidRPr="004761E0">
              <w:rPr>
                <w:sz w:val="22"/>
              </w:rPr>
              <w:t xml:space="preserve">В 2014 году лицом благотворительной акции «Доброе электричество – детям» стали популярные герои мультсериала «Фиксики». Теперь любимые персонажи будут напоминать детям правила электробезопасности с </w:t>
            </w:r>
            <w:r w:rsidRPr="004761E0">
              <w:rPr>
                <w:iCs/>
                <w:sz w:val="22"/>
              </w:rPr>
              <w:t xml:space="preserve">плакатов, линеек, расписаний уроков, закладок, магнитов, раскрасок и другой сувенирной продукции, которую они получают в ходе открытых уроков. </w:t>
            </w:r>
          </w:p>
          <w:p w:rsidR="00A470FB" w:rsidRPr="004761E0" w:rsidRDefault="00A470FB" w:rsidP="00C56F37">
            <w:pPr>
              <w:ind w:firstLine="459"/>
              <w:rPr>
                <w:b/>
                <w:szCs w:val="24"/>
              </w:rPr>
            </w:pPr>
            <w:r w:rsidRPr="004761E0">
              <w:rPr>
                <w:sz w:val="22"/>
              </w:rPr>
              <w:t xml:space="preserve">Акция получила широкое информационное освещения в СМИ. </w:t>
            </w:r>
          </w:p>
        </w:tc>
      </w:tr>
      <w:tr w:rsidR="00A470FB" w:rsidRPr="004761E0" w:rsidTr="00A470FB">
        <w:tc>
          <w:tcPr>
            <w:tcW w:w="2410" w:type="dxa"/>
          </w:tcPr>
          <w:p w:rsidR="00A470FB" w:rsidRPr="004761E0" w:rsidRDefault="00A470FB" w:rsidP="00C56F37">
            <w:pPr>
              <w:spacing w:after="200" w:line="276" w:lineRule="auto"/>
              <w:ind w:firstLine="0"/>
              <w:rPr>
                <w:b/>
              </w:rPr>
            </w:pPr>
            <w:r w:rsidRPr="004761E0">
              <w:rPr>
                <w:b/>
                <w:sz w:val="22"/>
                <w:szCs w:val="22"/>
              </w:rPr>
              <w:lastRenderedPageBreak/>
              <w:t>«Честный киловатт»</w:t>
            </w:r>
          </w:p>
        </w:tc>
        <w:tc>
          <w:tcPr>
            <w:tcW w:w="7088" w:type="dxa"/>
          </w:tcPr>
          <w:p w:rsidR="00A470FB" w:rsidRPr="004761E0" w:rsidRDefault="00A470FB" w:rsidP="00C56F37">
            <w:pPr>
              <w:ind w:firstLine="459"/>
            </w:pPr>
            <w:r w:rsidRPr="004761E0">
              <w:rPr>
                <w:sz w:val="22"/>
              </w:rPr>
              <w:t xml:space="preserve">В 2013 году продолжилась информационная поддержка акции «Честный киловатт». Данная акция направлена на планомерное выявление случаев неучтенного потребления электроэнергии. Задача информационного сопровождения акции – создать среди потребителей понимание об опасности и последствиях несанкционированного присоединения к электросетям и использования электрической энергии. </w:t>
            </w:r>
          </w:p>
          <w:p w:rsidR="00A470FB" w:rsidRPr="004761E0" w:rsidRDefault="00A470FB" w:rsidP="00C56F37">
            <w:pPr>
              <w:ind w:firstLine="459"/>
            </w:pPr>
            <w:r w:rsidRPr="004761E0">
              <w:rPr>
                <w:sz w:val="22"/>
              </w:rPr>
              <w:t xml:space="preserve">В ходе акции «Честный киловатт» энергетики </w:t>
            </w:r>
            <w:r w:rsidR="0008080E">
              <w:rPr>
                <w:sz w:val="22"/>
              </w:rPr>
              <w:t>ОАО </w:t>
            </w:r>
            <w:r w:rsidRPr="004761E0">
              <w:rPr>
                <w:sz w:val="22"/>
              </w:rPr>
              <w:t xml:space="preserve">«МОЭСК» организуют рейды по выявлению случаев неучтенного потребления электроэнергии и ведут разъяснительную работу с населением. </w:t>
            </w:r>
          </w:p>
          <w:p w:rsidR="00A470FB" w:rsidRPr="004761E0" w:rsidRDefault="00A470FB" w:rsidP="00C56F37">
            <w:pPr>
              <w:ind w:firstLine="459"/>
            </w:pPr>
            <w:r w:rsidRPr="004761E0">
              <w:rPr>
                <w:sz w:val="22"/>
              </w:rPr>
              <w:t>По итогам рейдов с участием представителей СМИ вышло 13 сюжетов на федеральных и региональных телеканалах. В результате информационного сопровождения акции вышло более 100 сообщений в печатных и электронных СМИ.</w:t>
            </w:r>
          </w:p>
        </w:tc>
      </w:tr>
      <w:tr w:rsidR="00A470FB" w:rsidRPr="004761E0" w:rsidTr="00A470FB">
        <w:tc>
          <w:tcPr>
            <w:tcW w:w="2410" w:type="dxa"/>
          </w:tcPr>
          <w:p w:rsidR="00A470FB" w:rsidRPr="004761E0" w:rsidRDefault="00A470FB" w:rsidP="00C56F37">
            <w:pPr>
              <w:spacing w:after="200" w:line="276" w:lineRule="auto"/>
              <w:ind w:firstLine="0"/>
              <w:rPr>
                <w:b/>
              </w:rPr>
            </w:pPr>
            <w:r w:rsidRPr="004761E0">
              <w:rPr>
                <w:b/>
                <w:sz w:val="22"/>
                <w:szCs w:val="22"/>
              </w:rPr>
              <w:t>«Технологическое присоединение»</w:t>
            </w:r>
          </w:p>
        </w:tc>
        <w:tc>
          <w:tcPr>
            <w:tcW w:w="7088" w:type="dxa"/>
          </w:tcPr>
          <w:p w:rsidR="00A470FB" w:rsidRPr="004761E0" w:rsidRDefault="00A470FB" w:rsidP="00C56F37">
            <w:pPr>
              <w:ind w:firstLine="459"/>
              <w:rPr>
                <w:sz w:val="22"/>
              </w:rPr>
            </w:pPr>
            <w:r w:rsidRPr="004761E0">
              <w:rPr>
                <w:sz w:val="22"/>
              </w:rPr>
              <w:t xml:space="preserve">Особое внимание уделялось информационному сопровождению вопросов технологического присоединения. В 2013 году реализовано две специальные программы:  </w:t>
            </w:r>
          </w:p>
          <w:p w:rsidR="00A470FB" w:rsidRPr="004761E0" w:rsidRDefault="00A470FB" w:rsidP="00C56F37">
            <w:pPr>
              <w:ind w:firstLine="459"/>
              <w:rPr>
                <w:sz w:val="22"/>
              </w:rPr>
            </w:pPr>
            <w:r w:rsidRPr="004761E0">
              <w:rPr>
                <w:sz w:val="22"/>
              </w:rPr>
              <w:t xml:space="preserve">«PR-кампания по информированию населения Москвы и Московской области о новых стандартах технологического присоединения к электрическим сетям </w:t>
            </w:r>
            <w:r w:rsidR="0008080E">
              <w:rPr>
                <w:sz w:val="22"/>
              </w:rPr>
              <w:t>ОАО </w:t>
            </w:r>
            <w:r w:rsidRPr="004761E0">
              <w:rPr>
                <w:sz w:val="22"/>
              </w:rPr>
              <w:t xml:space="preserve">«МОЭСК» «Пять шагов за три визита» и «PR-сопровождение деятельности по улучшению показателей </w:t>
            </w:r>
            <w:r w:rsidR="0008080E">
              <w:rPr>
                <w:sz w:val="22"/>
              </w:rPr>
              <w:t>ОАО </w:t>
            </w:r>
            <w:r w:rsidRPr="004761E0">
              <w:rPr>
                <w:sz w:val="22"/>
              </w:rPr>
              <w:t xml:space="preserve">«МОЭСК» в рейтинге Всемирного Банка по доступности инженерной инфраструктуры». </w:t>
            </w:r>
          </w:p>
          <w:p w:rsidR="00A470FB" w:rsidRPr="004761E0" w:rsidRDefault="00A470FB" w:rsidP="00C56F37">
            <w:pPr>
              <w:ind w:firstLine="459"/>
              <w:rPr>
                <w:sz w:val="22"/>
              </w:rPr>
            </w:pPr>
            <w:r w:rsidRPr="004761E0">
              <w:rPr>
                <w:sz w:val="22"/>
              </w:rPr>
              <w:t xml:space="preserve">В прошедшем году организовано более 30 публичных мероприятий, в т.ч. с представителями органов власти. Самые крупные из них: </w:t>
            </w:r>
          </w:p>
          <w:p w:rsidR="00A470FB" w:rsidRPr="004761E0" w:rsidRDefault="00A470FB" w:rsidP="007076A7">
            <w:pPr>
              <w:pStyle w:val="a5"/>
              <w:numPr>
                <w:ilvl w:val="0"/>
                <w:numId w:val="78"/>
              </w:numPr>
              <w:ind w:left="884" w:hanging="425"/>
              <w:rPr>
                <w:sz w:val="22"/>
              </w:rPr>
            </w:pPr>
            <w:r w:rsidRPr="004761E0">
              <w:rPr>
                <w:sz w:val="22"/>
              </w:rPr>
              <w:t xml:space="preserve">форум по технологическому присоединению «Совершенствование технологических присоединений в Московском регионе. Результаты и перспективы»; </w:t>
            </w:r>
          </w:p>
          <w:p w:rsidR="00A470FB" w:rsidRPr="004761E0" w:rsidRDefault="00A470FB" w:rsidP="007076A7">
            <w:pPr>
              <w:pStyle w:val="a5"/>
              <w:numPr>
                <w:ilvl w:val="0"/>
                <w:numId w:val="78"/>
              </w:numPr>
              <w:ind w:left="884" w:hanging="425"/>
              <w:rPr>
                <w:sz w:val="22"/>
              </w:rPr>
            </w:pPr>
            <w:r w:rsidRPr="004761E0">
              <w:rPr>
                <w:sz w:val="22"/>
              </w:rPr>
              <w:t>Всероссийское совещание «Доступные сети: проекты, опыт, актуальные вопросы»;</w:t>
            </w:r>
          </w:p>
          <w:p w:rsidR="00A470FB" w:rsidRPr="004761E0" w:rsidRDefault="00A470FB" w:rsidP="007076A7">
            <w:pPr>
              <w:pStyle w:val="a5"/>
              <w:numPr>
                <w:ilvl w:val="0"/>
                <w:numId w:val="78"/>
              </w:numPr>
              <w:ind w:left="884" w:hanging="425"/>
              <w:rPr>
                <w:sz w:val="22"/>
              </w:rPr>
            </w:pPr>
            <w:r w:rsidRPr="004761E0">
              <w:rPr>
                <w:sz w:val="22"/>
              </w:rPr>
              <w:t xml:space="preserve">первый Деловой форум «Малый бизнес Москвы и </w:t>
            </w:r>
            <w:r w:rsidR="0008080E">
              <w:rPr>
                <w:sz w:val="22"/>
              </w:rPr>
              <w:t>ОАО </w:t>
            </w:r>
            <w:r w:rsidRPr="004761E0">
              <w:rPr>
                <w:sz w:val="22"/>
              </w:rPr>
              <w:t>«МОЭСК»: открытый диалог», проведенный совместно с МГО «ОПОРА России».</w:t>
            </w:r>
          </w:p>
          <w:p w:rsidR="00A470FB" w:rsidRPr="004761E0" w:rsidRDefault="00A470FB" w:rsidP="00C56F37">
            <w:pPr>
              <w:ind w:firstLine="459"/>
              <w:rPr>
                <w:sz w:val="22"/>
              </w:rPr>
            </w:pPr>
            <w:r w:rsidRPr="004761E0">
              <w:rPr>
                <w:sz w:val="22"/>
              </w:rPr>
              <w:t xml:space="preserve">В 2013 году неоднократно актуализировались и переиздавались </w:t>
            </w:r>
            <w:r w:rsidRPr="004761E0">
              <w:rPr>
                <w:sz w:val="22"/>
              </w:rPr>
              <w:lastRenderedPageBreak/>
              <w:t xml:space="preserve">брошюры-инструкции по технологическому присоединению для клиентов в рамках программы «5 шагов за 3 визита». Брошюры распространяются в Центрах обслуживания клиентов </w:t>
            </w:r>
            <w:r w:rsidR="0008080E">
              <w:rPr>
                <w:sz w:val="22"/>
              </w:rPr>
              <w:t>ОАО </w:t>
            </w:r>
            <w:r w:rsidR="00403045" w:rsidRPr="004761E0">
              <w:rPr>
                <w:sz w:val="22"/>
              </w:rPr>
              <w:t>«</w:t>
            </w:r>
            <w:r w:rsidRPr="004761E0">
              <w:rPr>
                <w:sz w:val="22"/>
              </w:rPr>
              <w:t>МОЭСК</w:t>
            </w:r>
            <w:r w:rsidR="00403045" w:rsidRPr="004761E0">
              <w:rPr>
                <w:sz w:val="22"/>
              </w:rPr>
              <w:t>»</w:t>
            </w:r>
            <w:r w:rsidR="004546A6">
              <w:rPr>
                <w:sz w:val="22"/>
              </w:rPr>
              <w:t>, а также размещены на п</w:t>
            </w:r>
            <w:r w:rsidRPr="004761E0">
              <w:rPr>
                <w:sz w:val="22"/>
              </w:rPr>
              <w:t xml:space="preserve">ортале по технологическому присоединению: </w:t>
            </w:r>
            <w:hyperlink r:id="rId215" w:history="1">
              <w:r w:rsidR="00D341DC" w:rsidRPr="002E7B7F">
                <w:rPr>
                  <w:rStyle w:val="a4"/>
                  <w:sz w:val="22"/>
                </w:rPr>
                <w:t>http://utp.moesk.ru/</w:t>
              </w:r>
            </w:hyperlink>
            <w:r w:rsidR="00403045" w:rsidRPr="004761E0">
              <w:rPr>
                <w:sz w:val="22"/>
              </w:rPr>
              <w:t xml:space="preserve">. </w:t>
            </w:r>
          </w:p>
          <w:p w:rsidR="00A470FB" w:rsidRPr="004761E0" w:rsidRDefault="00A470FB" w:rsidP="00C56F37">
            <w:pPr>
              <w:ind w:firstLine="459"/>
              <w:rPr>
                <w:sz w:val="22"/>
              </w:rPr>
            </w:pPr>
            <w:r w:rsidRPr="004761E0">
              <w:rPr>
                <w:sz w:val="22"/>
              </w:rPr>
              <w:t xml:space="preserve">Разработано и выпущено методическое пособие для предпринимателей, которое </w:t>
            </w:r>
            <w:r w:rsidR="00403045" w:rsidRPr="004761E0">
              <w:rPr>
                <w:sz w:val="22"/>
              </w:rPr>
              <w:t>также</w:t>
            </w:r>
            <w:r w:rsidRPr="004761E0">
              <w:rPr>
                <w:sz w:val="22"/>
              </w:rPr>
              <w:t xml:space="preserve"> размещено на </w:t>
            </w:r>
            <w:r w:rsidR="00403045" w:rsidRPr="004761E0">
              <w:rPr>
                <w:sz w:val="22"/>
              </w:rPr>
              <w:t>п</w:t>
            </w:r>
            <w:r w:rsidRPr="004761E0">
              <w:rPr>
                <w:sz w:val="22"/>
              </w:rPr>
              <w:t xml:space="preserve">ортале </w:t>
            </w:r>
            <w:hyperlink r:id="rId216" w:history="1">
              <w:r w:rsidR="00403045" w:rsidRPr="004761E0">
                <w:rPr>
                  <w:rStyle w:val="a4"/>
                  <w:sz w:val="22"/>
                </w:rPr>
                <w:t>http://utp.moesk.ru/ai/portal/feedback/feedback.jsp</w:t>
              </w:r>
            </w:hyperlink>
            <w:r w:rsidR="00403045" w:rsidRPr="004761E0">
              <w:rPr>
                <w:sz w:val="22"/>
              </w:rPr>
              <w:t>.</w:t>
            </w:r>
          </w:p>
          <w:p w:rsidR="00A470FB" w:rsidRPr="004761E0" w:rsidRDefault="00A470FB" w:rsidP="00403045">
            <w:pPr>
              <w:ind w:firstLine="459"/>
            </w:pPr>
            <w:r w:rsidRPr="004761E0">
              <w:rPr>
                <w:sz w:val="22"/>
              </w:rPr>
              <w:t xml:space="preserve">Кроме того, издан буклет по перераспределению мощности. Для проекта «Техприсоединение «под ключ» разработан комплекс рекламных и информационных материалов по блоку дополнительных услуг </w:t>
            </w:r>
            <w:r w:rsidR="00403045" w:rsidRPr="004761E0">
              <w:rPr>
                <w:sz w:val="22"/>
              </w:rPr>
              <w:t xml:space="preserve">ЗЭС </w:t>
            </w:r>
            <w:r w:rsidRPr="004761E0">
              <w:rPr>
                <w:sz w:val="22"/>
              </w:rPr>
              <w:t xml:space="preserve">(буклет, информация на </w:t>
            </w:r>
            <w:r w:rsidR="00403045" w:rsidRPr="004761E0">
              <w:rPr>
                <w:sz w:val="22"/>
              </w:rPr>
              <w:t>п</w:t>
            </w:r>
            <w:r w:rsidRPr="004761E0">
              <w:rPr>
                <w:sz w:val="22"/>
              </w:rPr>
              <w:t>ортале по технологическому присоединению, вывески, ролик, плакаты и проч.)</w:t>
            </w:r>
          </w:p>
        </w:tc>
      </w:tr>
    </w:tbl>
    <w:p w:rsidR="00A470FB" w:rsidRPr="004761E0" w:rsidRDefault="00A470FB" w:rsidP="00A470FB">
      <w:pPr>
        <w:autoSpaceDE w:val="0"/>
        <w:autoSpaceDN w:val="0"/>
        <w:spacing w:before="120" w:after="120"/>
        <w:ind w:firstLine="567"/>
        <w:rPr>
          <w:b/>
          <w:sz w:val="26"/>
          <w:szCs w:val="26"/>
        </w:rPr>
      </w:pPr>
      <w:r w:rsidRPr="004761E0">
        <w:rPr>
          <w:b/>
          <w:sz w:val="26"/>
          <w:szCs w:val="26"/>
        </w:rPr>
        <w:lastRenderedPageBreak/>
        <w:t>Интернет-коммуникации</w:t>
      </w:r>
    </w:p>
    <w:p w:rsidR="00A470FB" w:rsidRPr="004761E0" w:rsidRDefault="00A470FB" w:rsidP="00A470FB">
      <w:pPr>
        <w:autoSpaceDE w:val="0"/>
        <w:autoSpaceDN w:val="0"/>
        <w:ind w:firstLine="567"/>
        <w:rPr>
          <w:sz w:val="26"/>
          <w:szCs w:val="26"/>
        </w:rPr>
      </w:pPr>
      <w:r w:rsidRPr="004761E0">
        <w:rPr>
          <w:sz w:val="26"/>
          <w:szCs w:val="26"/>
        </w:rPr>
        <w:t xml:space="preserve">Интернет-каналы остаются одним из приоритетных и стратегически важных средств коммуникации с целевыми аудиториями Компании. Кроме эффективной возможности получения обратной связи Интернет-каналы позволяют развивать интерактивные сервисы для клиентов, что существенно упрощает взаимодействие, сокращает количество необходимых очных визитов, позволяет в полной мере производить автоматизацию внутренних процессов и документооборота. </w:t>
      </w:r>
    </w:p>
    <w:p w:rsidR="00A470FB" w:rsidRPr="004761E0" w:rsidRDefault="00A470FB" w:rsidP="00A470FB">
      <w:pPr>
        <w:autoSpaceDE w:val="0"/>
        <w:autoSpaceDN w:val="0"/>
        <w:ind w:firstLine="567"/>
        <w:rPr>
          <w:sz w:val="26"/>
          <w:szCs w:val="26"/>
        </w:rPr>
      </w:pPr>
      <w:r w:rsidRPr="004761E0">
        <w:rPr>
          <w:sz w:val="26"/>
          <w:szCs w:val="26"/>
        </w:rPr>
        <w:t xml:space="preserve">В 2013 году зафиксирован рост интереса аудитории к корпоративному сайту </w:t>
      </w:r>
      <w:r w:rsidR="009E567A">
        <w:rPr>
          <w:sz w:val="26"/>
          <w:szCs w:val="26"/>
        </w:rPr>
        <w:t>Общества</w:t>
      </w:r>
      <w:r w:rsidRPr="004761E0">
        <w:rPr>
          <w:sz w:val="26"/>
          <w:szCs w:val="26"/>
        </w:rPr>
        <w:t xml:space="preserve">: количество посетителей выросло в 1,9 раза и составило 2,5 млн человек. По сравнению с 2012 годом в отчетном периоде возросло количество посещений – до 12,9 </w:t>
      </w:r>
      <w:r w:rsidR="0008080E">
        <w:rPr>
          <w:sz w:val="26"/>
          <w:szCs w:val="26"/>
        </w:rPr>
        <w:t>млн</w:t>
      </w:r>
      <w:r w:rsidRPr="004761E0">
        <w:rPr>
          <w:sz w:val="26"/>
          <w:szCs w:val="26"/>
        </w:rPr>
        <w:t xml:space="preserve"> Более чем вдвое выросло количество обращений в Интернет-приемную – до 8,8 тыс.</w:t>
      </w:r>
    </w:p>
    <w:p w:rsidR="00A470FB" w:rsidRPr="00715EEC" w:rsidRDefault="00A470FB" w:rsidP="00715EEC">
      <w:pPr>
        <w:pStyle w:val="a5"/>
        <w:spacing w:before="120" w:after="120"/>
        <w:ind w:left="0" w:firstLine="567"/>
        <w:contextualSpacing w:val="0"/>
        <w:rPr>
          <w:rFonts w:eastAsia="Times New Roman"/>
          <w:b/>
          <w:sz w:val="26"/>
          <w:szCs w:val="26"/>
        </w:rPr>
      </w:pPr>
      <w:r w:rsidRPr="00715EEC">
        <w:rPr>
          <w:rFonts w:eastAsia="Times New Roman"/>
          <w:b/>
          <w:sz w:val="26"/>
          <w:szCs w:val="26"/>
        </w:rPr>
        <w:t>Посещаемость корпоративного сайта</w:t>
      </w:r>
    </w:p>
    <w:tbl>
      <w:tblPr>
        <w:tblW w:w="0" w:type="auto"/>
        <w:tblInd w:w="108" w:type="dxa"/>
        <w:tblLayout w:type="fixed"/>
        <w:tblCellMar>
          <w:left w:w="0" w:type="dxa"/>
          <w:right w:w="0" w:type="dxa"/>
        </w:tblCellMar>
        <w:tblLook w:val="04A0"/>
      </w:tblPr>
      <w:tblGrid>
        <w:gridCol w:w="567"/>
        <w:gridCol w:w="3611"/>
        <w:gridCol w:w="1184"/>
        <w:gridCol w:w="1164"/>
        <w:gridCol w:w="1134"/>
        <w:gridCol w:w="1701"/>
      </w:tblGrid>
      <w:tr w:rsidR="00A470FB" w:rsidRPr="004761E0" w:rsidTr="00A470FB">
        <w:trPr>
          <w:cantSplit/>
          <w:trHeight w:val="53"/>
        </w:trPr>
        <w:tc>
          <w:tcPr>
            <w:tcW w:w="567" w:type="dxa"/>
            <w:tcBorders>
              <w:top w:val="single" w:sz="4" w:space="0" w:color="FFFFFF"/>
              <w:left w:val="single" w:sz="4" w:space="0" w:color="FFFFFF"/>
              <w:bottom w:val="single" w:sz="4" w:space="0" w:color="auto"/>
              <w:right w:val="single" w:sz="4" w:space="0" w:color="FFFFFF"/>
            </w:tcBorders>
            <w:shd w:val="clear" w:color="auto" w:fill="0F243E"/>
            <w:tcMar>
              <w:top w:w="0" w:type="dxa"/>
              <w:left w:w="108" w:type="dxa"/>
              <w:bottom w:w="0" w:type="dxa"/>
              <w:right w:w="108" w:type="dxa"/>
            </w:tcMar>
            <w:vAlign w:val="center"/>
            <w:hideMark/>
          </w:tcPr>
          <w:p w:rsidR="00A470FB" w:rsidRPr="004761E0" w:rsidRDefault="00A470FB" w:rsidP="002E6D87">
            <w:pPr>
              <w:ind w:firstLine="0"/>
              <w:rPr>
                <w:rFonts w:eastAsia="Times New Roman"/>
                <w:b/>
                <w:sz w:val="20"/>
                <w:szCs w:val="20"/>
              </w:rPr>
            </w:pPr>
            <w:r w:rsidRPr="004761E0">
              <w:rPr>
                <w:rFonts w:eastAsia="Times New Roman"/>
                <w:b/>
                <w:sz w:val="20"/>
                <w:szCs w:val="20"/>
              </w:rPr>
              <w:t>№ п/п</w:t>
            </w:r>
          </w:p>
        </w:tc>
        <w:tc>
          <w:tcPr>
            <w:tcW w:w="3611" w:type="dxa"/>
            <w:tcBorders>
              <w:top w:val="single" w:sz="4" w:space="0" w:color="FFFFFF"/>
              <w:left w:val="single" w:sz="4" w:space="0" w:color="FFFFFF"/>
              <w:bottom w:val="single" w:sz="4" w:space="0" w:color="auto"/>
              <w:right w:val="single" w:sz="4" w:space="0" w:color="FFFFFF"/>
            </w:tcBorders>
            <w:shd w:val="clear" w:color="auto" w:fill="0F243E"/>
            <w:tcMar>
              <w:top w:w="0" w:type="dxa"/>
              <w:left w:w="108" w:type="dxa"/>
              <w:bottom w:w="0" w:type="dxa"/>
              <w:right w:w="108" w:type="dxa"/>
            </w:tcMar>
            <w:vAlign w:val="center"/>
            <w:hideMark/>
          </w:tcPr>
          <w:p w:rsidR="00A470FB" w:rsidRPr="004761E0" w:rsidRDefault="00A470FB" w:rsidP="002E6D87">
            <w:pPr>
              <w:ind w:firstLine="0"/>
              <w:rPr>
                <w:rFonts w:eastAsia="Times New Roman"/>
                <w:b/>
                <w:sz w:val="20"/>
                <w:szCs w:val="20"/>
              </w:rPr>
            </w:pPr>
            <w:r w:rsidRPr="004761E0">
              <w:rPr>
                <w:rFonts w:eastAsia="Times New Roman"/>
                <w:b/>
                <w:sz w:val="20"/>
                <w:szCs w:val="20"/>
              </w:rPr>
              <w:t>Наименование категории</w:t>
            </w:r>
          </w:p>
        </w:tc>
        <w:tc>
          <w:tcPr>
            <w:tcW w:w="1184" w:type="dxa"/>
            <w:tcBorders>
              <w:top w:val="single" w:sz="4" w:space="0" w:color="FFFFFF"/>
              <w:left w:val="single" w:sz="4" w:space="0" w:color="FFFFFF"/>
              <w:bottom w:val="single" w:sz="4" w:space="0" w:color="auto"/>
              <w:right w:val="single" w:sz="4" w:space="0" w:color="FFFFFF"/>
            </w:tcBorders>
            <w:shd w:val="clear" w:color="auto" w:fill="0F243E"/>
            <w:tcMar>
              <w:top w:w="0" w:type="dxa"/>
              <w:left w:w="108" w:type="dxa"/>
              <w:bottom w:w="0" w:type="dxa"/>
              <w:right w:w="108" w:type="dxa"/>
            </w:tcMar>
            <w:vAlign w:val="center"/>
            <w:hideMark/>
          </w:tcPr>
          <w:p w:rsidR="00A470FB" w:rsidRPr="004761E0" w:rsidRDefault="00A470FB" w:rsidP="002E6D87">
            <w:pPr>
              <w:ind w:firstLine="0"/>
              <w:jc w:val="right"/>
              <w:rPr>
                <w:rFonts w:eastAsia="Times New Roman"/>
                <w:b/>
                <w:sz w:val="20"/>
                <w:szCs w:val="20"/>
              </w:rPr>
            </w:pPr>
            <w:r w:rsidRPr="004761E0">
              <w:rPr>
                <w:rFonts w:eastAsia="Times New Roman"/>
                <w:b/>
                <w:sz w:val="20"/>
                <w:szCs w:val="20"/>
              </w:rPr>
              <w:t>2011</w:t>
            </w:r>
          </w:p>
        </w:tc>
        <w:tc>
          <w:tcPr>
            <w:tcW w:w="1164" w:type="dxa"/>
            <w:tcBorders>
              <w:top w:val="single" w:sz="4" w:space="0" w:color="FFFFFF"/>
              <w:left w:val="single" w:sz="4" w:space="0" w:color="FFFFFF"/>
              <w:bottom w:val="single" w:sz="4" w:space="0" w:color="auto"/>
              <w:right w:val="single" w:sz="4" w:space="0" w:color="FFFFFF"/>
            </w:tcBorders>
            <w:shd w:val="clear" w:color="auto" w:fill="0F243E"/>
            <w:tcMar>
              <w:top w:w="0" w:type="dxa"/>
              <w:left w:w="108" w:type="dxa"/>
              <w:bottom w:w="0" w:type="dxa"/>
              <w:right w:w="108" w:type="dxa"/>
            </w:tcMar>
            <w:vAlign w:val="center"/>
            <w:hideMark/>
          </w:tcPr>
          <w:p w:rsidR="00A470FB" w:rsidRPr="004761E0" w:rsidRDefault="00A470FB" w:rsidP="002E6D87">
            <w:pPr>
              <w:ind w:firstLine="0"/>
              <w:jc w:val="right"/>
              <w:rPr>
                <w:rFonts w:eastAsia="Times New Roman"/>
                <w:b/>
                <w:sz w:val="20"/>
                <w:szCs w:val="20"/>
              </w:rPr>
            </w:pPr>
            <w:r w:rsidRPr="004761E0">
              <w:rPr>
                <w:rFonts w:eastAsia="Times New Roman"/>
                <w:b/>
                <w:sz w:val="20"/>
                <w:szCs w:val="20"/>
              </w:rPr>
              <w:t>2012</w:t>
            </w:r>
          </w:p>
        </w:tc>
        <w:tc>
          <w:tcPr>
            <w:tcW w:w="1134" w:type="dxa"/>
            <w:tcBorders>
              <w:top w:val="single" w:sz="4" w:space="0" w:color="FFFFFF"/>
              <w:left w:val="single" w:sz="4" w:space="0" w:color="FFFFFF"/>
              <w:bottom w:val="single" w:sz="4" w:space="0" w:color="auto"/>
              <w:right w:val="single" w:sz="4" w:space="0" w:color="FFFFFF"/>
            </w:tcBorders>
            <w:shd w:val="clear" w:color="auto" w:fill="0F243E"/>
            <w:tcMar>
              <w:top w:w="0" w:type="dxa"/>
              <w:left w:w="108" w:type="dxa"/>
              <w:bottom w:w="0" w:type="dxa"/>
              <w:right w:w="108" w:type="dxa"/>
            </w:tcMar>
            <w:vAlign w:val="center"/>
            <w:hideMark/>
          </w:tcPr>
          <w:p w:rsidR="00A470FB" w:rsidRPr="004761E0" w:rsidRDefault="00A470FB" w:rsidP="002E6D87">
            <w:pPr>
              <w:ind w:firstLine="0"/>
              <w:jc w:val="right"/>
              <w:rPr>
                <w:rFonts w:eastAsia="Times New Roman"/>
                <w:b/>
                <w:sz w:val="20"/>
                <w:szCs w:val="20"/>
              </w:rPr>
            </w:pPr>
            <w:r w:rsidRPr="004761E0">
              <w:rPr>
                <w:rFonts w:eastAsia="Times New Roman"/>
                <w:b/>
                <w:sz w:val="20"/>
                <w:szCs w:val="20"/>
              </w:rPr>
              <w:t>2013</w:t>
            </w:r>
          </w:p>
        </w:tc>
        <w:tc>
          <w:tcPr>
            <w:tcW w:w="1701" w:type="dxa"/>
            <w:tcBorders>
              <w:top w:val="single" w:sz="4" w:space="0" w:color="FFFFFF"/>
              <w:left w:val="single" w:sz="4" w:space="0" w:color="FFFFFF"/>
              <w:bottom w:val="single" w:sz="4" w:space="0" w:color="auto"/>
              <w:right w:val="single" w:sz="4" w:space="0" w:color="FFFFFF"/>
            </w:tcBorders>
            <w:shd w:val="clear" w:color="auto" w:fill="0F243E"/>
            <w:tcMar>
              <w:top w:w="0" w:type="dxa"/>
              <w:left w:w="108" w:type="dxa"/>
              <w:bottom w:w="0" w:type="dxa"/>
              <w:right w:w="108" w:type="dxa"/>
            </w:tcMar>
            <w:vAlign w:val="center"/>
            <w:hideMark/>
          </w:tcPr>
          <w:p w:rsidR="00A470FB" w:rsidRPr="004761E0" w:rsidRDefault="00A470FB" w:rsidP="002E6D87">
            <w:pPr>
              <w:ind w:firstLine="0"/>
              <w:jc w:val="right"/>
              <w:rPr>
                <w:rFonts w:eastAsia="Times New Roman"/>
                <w:b/>
                <w:sz w:val="20"/>
                <w:szCs w:val="20"/>
              </w:rPr>
            </w:pPr>
            <w:r w:rsidRPr="004761E0">
              <w:rPr>
                <w:rFonts w:eastAsia="Times New Roman"/>
                <w:b/>
                <w:sz w:val="20"/>
                <w:szCs w:val="20"/>
              </w:rPr>
              <w:t>2013/2012</w:t>
            </w:r>
          </w:p>
        </w:tc>
      </w:tr>
      <w:tr w:rsidR="00A470FB" w:rsidRPr="004761E0" w:rsidTr="00A470FB">
        <w:trPr>
          <w:cantSplit/>
          <w:trHeight w:val="53"/>
        </w:trPr>
        <w:tc>
          <w:tcPr>
            <w:tcW w:w="56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A470FB" w:rsidRPr="004761E0" w:rsidRDefault="00A470FB" w:rsidP="007076A7">
            <w:pPr>
              <w:pStyle w:val="a5"/>
              <w:numPr>
                <w:ilvl w:val="0"/>
                <w:numId w:val="73"/>
              </w:numPr>
              <w:contextualSpacing w:val="0"/>
              <w:jc w:val="left"/>
              <w:rPr>
                <w:rFonts w:eastAsia="Times New Roman"/>
                <w:sz w:val="20"/>
                <w:szCs w:val="20"/>
              </w:rPr>
            </w:pPr>
          </w:p>
        </w:tc>
        <w:tc>
          <w:tcPr>
            <w:tcW w:w="36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A470FB" w:rsidRPr="004761E0" w:rsidRDefault="00A470FB" w:rsidP="002E6D87">
            <w:pPr>
              <w:ind w:firstLine="0"/>
              <w:jc w:val="left"/>
              <w:rPr>
                <w:rFonts w:eastAsia="Times New Roman"/>
                <w:sz w:val="20"/>
                <w:szCs w:val="20"/>
              </w:rPr>
            </w:pPr>
            <w:r w:rsidRPr="004761E0">
              <w:rPr>
                <w:rFonts w:eastAsia="Times New Roman"/>
                <w:sz w:val="20"/>
                <w:szCs w:val="20"/>
              </w:rPr>
              <w:t>Количество посетителей корпоративного сайта, млн чел.</w:t>
            </w:r>
          </w:p>
        </w:tc>
        <w:tc>
          <w:tcPr>
            <w:tcW w:w="11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A470FB" w:rsidRPr="004761E0" w:rsidRDefault="00A470FB" w:rsidP="002E6D87">
            <w:pPr>
              <w:ind w:firstLine="0"/>
              <w:jc w:val="right"/>
              <w:rPr>
                <w:rFonts w:eastAsia="Times New Roman"/>
                <w:sz w:val="20"/>
                <w:szCs w:val="20"/>
              </w:rPr>
            </w:pPr>
            <w:r w:rsidRPr="004761E0">
              <w:rPr>
                <w:rFonts w:eastAsia="Times New Roman"/>
                <w:sz w:val="20"/>
                <w:szCs w:val="20"/>
              </w:rPr>
              <w:t>1,10</w:t>
            </w:r>
          </w:p>
        </w:tc>
        <w:tc>
          <w:tcPr>
            <w:tcW w:w="116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A470FB" w:rsidRPr="004761E0" w:rsidRDefault="00A470FB" w:rsidP="002E6D87">
            <w:pPr>
              <w:ind w:firstLine="0"/>
              <w:jc w:val="right"/>
              <w:rPr>
                <w:rFonts w:eastAsia="Times New Roman"/>
                <w:sz w:val="20"/>
                <w:szCs w:val="20"/>
              </w:rPr>
            </w:pPr>
            <w:r w:rsidRPr="004761E0">
              <w:rPr>
                <w:rFonts w:eastAsia="Times New Roman"/>
                <w:sz w:val="20"/>
                <w:szCs w:val="20"/>
              </w:rPr>
              <w:t>1,30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A470FB" w:rsidRPr="004761E0" w:rsidRDefault="00A470FB" w:rsidP="002E6D87">
            <w:pPr>
              <w:ind w:firstLine="0"/>
              <w:jc w:val="right"/>
              <w:rPr>
                <w:rFonts w:eastAsia="Times New Roman"/>
                <w:sz w:val="20"/>
                <w:szCs w:val="20"/>
              </w:rPr>
            </w:pPr>
            <w:r w:rsidRPr="004761E0">
              <w:rPr>
                <w:rFonts w:eastAsia="Times New Roman"/>
                <w:sz w:val="20"/>
                <w:szCs w:val="20"/>
              </w:rPr>
              <w:t>2,45</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A470FB" w:rsidRPr="004761E0" w:rsidRDefault="00A470FB" w:rsidP="002E6D87">
            <w:pPr>
              <w:ind w:firstLine="0"/>
              <w:jc w:val="right"/>
              <w:rPr>
                <w:rFonts w:eastAsia="Times New Roman"/>
                <w:sz w:val="20"/>
                <w:szCs w:val="20"/>
              </w:rPr>
            </w:pPr>
            <w:r w:rsidRPr="004761E0">
              <w:rPr>
                <w:rFonts w:eastAsia="Times New Roman"/>
                <w:sz w:val="20"/>
                <w:szCs w:val="20"/>
              </w:rPr>
              <w:t>88,5 %</w:t>
            </w:r>
          </w:p>
        </w:tc>
      </w:tr>
      <w:tr w:rsidR="00A470FB" w:rsidRPr="004761E0" w:rsidTr="00A470FB">
        <w:trPr>
          <w:cantSplit/>
        </w:trPr>
        <w:tc>
          <w:tcPr>
            <w:tcW w:w="56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A470FB" w:rsidRPr="004761E0" w:rsidRDefault="00A470FB" w:rsidP="007076A7">
            <w:pPr>
              <w:pStyle w:val="a5"/>
              <w:numPr>
                <w:ilvl w:val="0"/>
                <w:numId w:val="73"/>
              </w:numPr>
              <w:contextualSpacing w:val="0"/>
              <w:jc w:val="left"/>
              <w:rPr>
                <w:rFonts w:eastAsia="Times New Roman"/>
                <w:sz w:val="20"/>
                <w:szCs w:val="20"/>
              </w:rPr>
            </w:pPr>
          </w:p>
        </w:tc>
        <w:tc>
          <w:tcPr>
            <w:tcW w:w="36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A470FB" w:rsidRPr="004761E0" w:rsidRDefault="00A470FB" w:rsidP="002E6D87">
            <w:pPr>
              <w:ind w:firstLine="0"/>
              <w:jc w:val="left"/>
              <w:rPr>
                <w:rFonts w:eastAsia="Times New Roman"/>
                <w:sz w:val="20"/>
                <w:szCs w:val="20"/>
              </w:rPr>
            </w:pPr>
            <w:r w:rsidRPr="004761E0">
              <w:rPr>
                <w:rFonts w:eastAsia="Times New Roman"/>
                <w:sz w:val="20"/>
                <w:szCs w:val="20"/>
              </w:rPr>
              <w:t>Количество посещений корпоративного сайта, млн шт.</w:t>
            </w:r>
          </w:p>
        </w:tc>
        <w:tc>
          <w:tcPr>
            <w:tcW w:w="11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A470FB" w:rsidRPr="004761E0" w:rsidRDefault="00A470FB" w:rsidP="002E6D87">
            <w:pPr>
              <w:ind w:firstLine="0"/>
              <w:jc w:val="right"/>
              <w:rPr>
                <w:rFonts w:eastAsia="Times New Roman"/>
                <w:sz w:val="20"/>
                <w:szCs w:val="20"/>
              </w:rPr>
            </w:pPr>
            <w:r w:rsidRPr="004761E0">
              <w:rPr>
                <w:rFonts w:eastAsia="Times New Roman"/>
                <w:sz w:val="20"/>
                <w:szCs w:val="20"/>
              </w:rPr>
              <w:t>5,27</w:t>
            </w:r>
          </w:p>
        </w:tc>
        <w:tc>
          <w:tcPr>
            <w:tcW w:w="116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A470FB" w:rsidRPr="004761E0" w:rsidRDefault="00A470FB" w:rsidP="002E6D87">
            <w:pPr>
              <w:ind w:firstLine="0"/>
              <w:jc w:val="right"/>
              <w:rPr>
                <w:rFonts w:eastAsia="Times New Roman"/>
                <w:sz w:val="20"/>
                <w:szCs w:val="20"/>
              </w:rPr>
            </w:pPr>
            <w:r w:rsidRPr="004761E0">
              <w:rPr>
                <w:rFonts w:eastAsia="Times New Roman"/>
                <w:sz w:val="20"/>
                <w:szCs w:val="20"/>
              </w:rPr>
              <w:t>11,22</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A470FB" w:rsidRPr="004761E0" w:rsidRDefault="00A470FB" w:rsidP="002E6D87">
            <w:pPr>
              <w:ind w:firstLine="0"/>
              <w:jc w:val="right"/>
              <w:rPr>
                <w:rFonts w:eastAsia="Times New Roman"/>
                <w:sz w:val="20"/>
                <w:szCs w:val="20"/>
              </w:rPr>
            </w:pPr>
            <w:r w:rsidRPr="004761E0">
              <w:rPr>
                <w:rFonts w:eastAsia="Times New Roman"/>
                <w:sz w:val="20"/>
                <w:szCs w:val="20"/>
              </w:rPr>
              <w:t>12,95</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A470FB" w:rsidRPr="004761E0" w:rsidRDefault="00A470FB" w:rsidP="002E6D87">
            <w:pPr>
              <w:ind w:firstLine="0"/>
              <w:jc w:val="right"/>
              <w:rPr>
                <w:rFonts w:eastAsia="Times New Roman"/>
                <w:sz w:val="20"/>
                <w:szCs w:val="20"/>
              </w:rPr>
            </w:pPr>
            <w:r w:rsidRPr="004761E0">
              <w:rPr>
                <w:rFonts w:eastAsia="Times New Roman"/>
                <w:sz w:val="20"/>
                <w:szCs w:val="20"/>
              </w:rPr>
              <w:t>15,4 %</w:t>
            </w:r>
          </w:p>
        </w:tc>
      </w:tr>
    </w:tbl>
    <w:p w:rsidR="00A470FB" w:rsidRPr="004761E0" w:rsidRDefault="00453705" w:rsidP="00403045">
      <w:pPr>
        <w:autoSpaceDE w:val="0"/>
        <w:autoSpaceDN w:val="0"/>
        <w:spacing w:before="120"/>
        <w:ind w:firstLine="0"/>
        <w:rPr>
          <w:sz w:val="26"/>
          <w:szCs w:val="26"/>
        </w:rPr>
      </w:pPr>
      <w:r w:rsidRPr="004761E0">
        <w:rPr>
          <w:noProof/>
          <w:sz w:val="26"/>
          <w:szCs w:val="26"/>
          <w:lang w:eastAsia="ru-RU"/>
        </w:rPr>
        <w:drawing>
          <wp:inline distT="0" distB="0" distL="0" distR="0">
            <wp:extent cx="3498850" cy="2533650"/>
            <wp:effectExtent l="19050" t="0" r="25400" b="0"/>
            <wp:docPr id="253"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rsidR="00A470FB" w:rsidRPr="004761E0" w:rsidRDefault="00A470FB" w:rsidP="00A470FB">
      <w:pPr>
        <w:autoSpaceDE w:val="0"/>
        <w:autoSpaceDN w:val="0"/>
        <w:spacing w:before="120"/>
        <w:ind w:firstLine="567"/>
        <w:rPr>
          <w:sz w:val="26"/>
          <w:szCs w:val="26"/>
        </w:rPr>
      </w:pPr>
      <w:r w:rsidRPr="004761E0">
        <w:rPr>
          <w:sz w:val="26"/>
          <w:szCs w:val="26"/>
        </w:rPr>
        <w:t xml:space="preserve">Рост количества посетителей корпоративного сайта </w:t>
      </w:r>
      <w:r w:rsidR="009E567A">
        <w:rPr>
          <w:sz w:val="26"/>
          <w:szCs w:val="26"/>
        </w:rPr>
        <w:t xml:space="preserve">Общества </w:t>
      </w:r>
      <w:r w:rsidRPr="004761E0">
        <w:rPr>
          <w:sz w:val="26"/>
          <w:szCs w:val="26"/>
        </w:rPr>
        <w:t xml:space="preserve">зафиксирован благодаря развитию заочных сервисов, постоянному внедрению новых разделов, появлению англоязычной версии сайта. В 2013 году наибольшее количество посетителей интересовались разделом </w:t>
      </w:r>
      <w:r w:rsidR="00403045" w:rsidRPr="004761E0">
        <w:rPr>
          <w:sz w:val="26"/>
          <w:szCs w:val="26"/>
        </w:rPr>
        <w:t>«</w:t>
      </w:r>
      <w:r w:rsidRPr="004761E0">
        <w:rPr>
          <w:sz w:val="26"/>
          <w:szCs w:val="26"/>
        </w:rPr>
        <w:t xml:space="preserve">Раскрытие информации субъектом рынка </w:t>
      </w:r>
      <w:r w:rsidRPr="004761E0">
        <w:rPr>
          <w:sz w:val="26"/>
          <w:szCs w:val="26"/>
        </w:rPr>
        <w:lastRenderedPageBreak/>
        <w:t>электрической энергии</w:t>
      </w:r>
      <w:r w:rsidR="00403045" w:rsidRPr="004761E0">
        <w:rPr>
          <w:sz w:val="26"/>
          <w:szCs w:val="26"/>
        </w:rPr>
        <w:t>»</w:t>
      </w:r>
      <w:r w:rsidRPr="004761E0">
        <w:rPr>
          <w:sz w:val="26"/>
          <w:szCs w:val="26"/>
        </w:rPr>
        <w:t xml:space="preserve">, а также новостными разделами Компании. </w:t>
      </w:r>
      <w:r w:rsidR="00403045" w:rsidRPr="004761E0">
        <w:rPr>
          <w:sz w:val="26"/>
          <w:szCs w:val="26"/>
        </w:rPr>
        <w:t>Кроме того,</w:t>
      </w:r>
      <w:r w:rsidRPr="004761E0">
        <w:rPr>
          <w:sz w:val="26"/>
          <w:szCs w:val="26"/>
        </w:rPr>
        <w:t xml:space="preserve"> приросту количества посетителей </w:t>
      </w:r>
      <w:r w:rsidR="00403045" w:rsidRPr="004761E0">
        <w:rPr>
          <w:sz w:val="26"/>
          <w:szCs w:val="26"/>
        </w:rPr>
        <w:t>на</w:t>
      </w:r>
      <w:r w:rsidRPr="004761E0">
        <w:rPr>
          <w:sz w:val="26"/>
          <w:szCs w:val="26"/>
        </w:rPr>
        <w:t xml:space="preserve"> 88,5</w:t>
      </w:r>
      <w:r w:rsidR="00403045" w:rsidRPr="004761E0">
        <w:rPr>
          <w:sz w:val="26"/>
          <w:szCs w:val="26"/>
        </w:rPr>
        <w:t> </w:t>
      </w:r>
      <w:r w:rsidRPr="004761E0">
        <w:rPr>
          <w:sz w:val="26"/>
          <w:szCs w:val="26"/>
        </w:rPr>
        <w:t xml:space="preserve">% способствовала активная </w:t>
      </w:r>
      <w:r w:rsidRPr="004761E0">
        <w:rPr>
          <w:sz w:val="26"/>
          <w:szCs w:val="26"/>
          <w:lang w:val="en-US"/>
        </w:rPr>
        <w:t>PR</w:t>
      </w:r>
      <w:r w:rsidRPr="004761E0">
        <w:rPr>
          <w:sz w:val="26"/>
          <w:szCs w:val="26"/>
        </w:rPr>
        <w:t xml:space="preserve">-поддержка и продвижение адреса </w:t>
      </w:r>
      <w:r w:rsidR="0008080E">
        <w:rPr>
          <w:sz w:val="26"/>
          <w:szCs w:val="26"/>
        </w:rPr>
        <w:t>ОАО </w:t>
      </w:r>
      <w:r w:rsidR="00403045" w:rsidRPr="004761E0">
        <w:rPr>
          <w:sz w:val="26"/>
          <w:szCs w:val="26"/>
        </w:rPr>
        <w:t>«</w:t>
      </w:r>
      <w:r w:rsidRPr="004761E0">
        <w:rPr>
          <w:sz w:val="26"/>
          <w:szCs w:val="26"/>
        </w:rPr>
        <w:t>МОЭСК</w:t>
      </w:r>
      <w:r w:rsidR="00403045" w:rsidRPr="004761E0">
        <w:rPr>
          <w:sz w:val="26"/>
          <w:szCs w:val="26"/>
        </w:rPr>
        <w:t>»</w:t>
      </w:r>
      <w:r w:rsidRPr="004761E0">
        <w:rPr>
          <w:sz w:val="26"/>
          <w:szCs w:val="26"/>
        </w:rPr>
        <w:t xml:space="preserve"> в сети Интернет, в т</w:t>
      </w:r>
      <w:r w:rsidR="00403045" w:rsidRPr="004761E0">
        <w:rPr>
          <w:sz w:val="26"/>
          <w:szCs w:val="26"/>
        </w:rPr>
        <w:t>.ч.</w:t>
      </w:r>
      <w:r w:rsidRPr="004761E0">
        <w:rPr>
          <w:sz w:val="26"/>
          <w:szCs w:val="26"/>
        </w:rPr>
        <w:t xml:space="preserve"> благодаря фиксации </w:t>
      </w:r>
      <w:hyperlink r:id="rId218" w:history="1">
        <w:r w:rsidR="00403045" w:rsidRPr="004761E0">
          <w:rPr>
            <w:rStyle w:val="a4"/>
            <w:sz w:val="26"/>
            <w:szCs w:val="26"/>
            <w:lang w:val="en-US"/>
          </w:rPr>
          <w:t>www</w:t>
        </w:r>
        <w:r w:rsidR="00403045" w:rsidRPr="004761E0">
          <w:rPr>
            <w:rStyle w:val="a4"/>
            <w:sz w:val="26"/>
            <w:szCs w:val="26"/>
          </w:rPr>
          <w:t>.</w:t>
        </w:r>
        <w:r w:rsidR="00403045" w:rsidRPr="004761E0">
          <w:rPr>
            <w:rStyle w:val="a4"/>
            <w:sz w:val="26"/>
            <w:szCs w:val="26"/>
            <w:lang w:val="en-US"/>
          </w:rPr>
          <w:t>moesk</w:t>
        </w:r>
        <w:r w:rsidR="00403045" w:rsidRPr="004761E0">
          <w:rPr>
            <w:rStyle w:val="a4"/>
            <w:sz w:val="26"/>
            <w:szCs w:val="26"/>
          </w:rPr>
          <w:t>.</w:t>
        </w:r>
        <w:r w:rsidR="00403045" w:rsidRPr="004761E0">
          <w:rPr>
            <w:rStyle w:val="a4"/>
            <w:sz w:val="26"/>
            <w:szCs w:val="26"/>
            <w:lang w:val="en-US"/>
          </w:rPr>
          <w:t>ru</w:t>
        </w:r>
      </w:hyperlink>
      <w:r w:rsidR="00403045" w:rsidRPr="004761E0">
        <w:rPr>
          <w:sz w:val="26"/>
          <w:szCs w:val="26"/>
        </w:rPr>
        <w:t xml:space="preserve"> </w:t>
      </w:r>
      <w:r w:rsidRPr="004761E0">
        <w:rPr>
          <w:sz w:val="26"/>
          <w:szCs w:val="26"/>
        </w:rPr>
        <w:t xml:space="preserve">в фирменном стиле </w:t>
      </w:r>
      <w:r w:rsidR="00403045" w:rsidRPr="004761E0">
        <w:rPr>
          <w:sz w:val="26"/>
          <w:szCs w:val="26"/>
        </w:rPr>
        <w:t>К</w:t>
      </w:r>
      <w:r w:rsidRPr="004761E0">
        <w:rPr>
          <w:sz w:val="26"/>
          <w:szCs w:val="26"/>
        </w:rPr>
        <w:t>омпании.</w:t>
      </w:r>
    </w:p>
    <w:p w:rsidR="00A470FB" w:rsidRPr="004761E0" w:rsidRDefault="00755B4D" w:rsidP="00403045">
      <w:pPr>
        <w:autoSpaceDE w:val="0"/>
        <w:autoSpaceDN w:val="0"/>
        <w:ind w:firstLine="567"/>
        <w:rPr>
          <w:sz w:val="26"/>
          <w:szCs w:val="26"/>
        </w:rPr>
      </w:pPr>
      <w:r w:rsidRPr="004761E0">
        <w:rPr>
          <w:sz w:val="26"/>
          <w:szCs w:val="26"/>
        </w:rPr>
        <w:t>К</w:t>
      </w:r>
      <w:r w:rsidR="00A470FB" w:rsidRPr="004761E0">
        <w:rPr>
          <w:sz w:val="26"/>
          <w:szCs w:val="26"/>
        </w:rPr>
        <w:t>орпоративн</w:t>
      </w:r>
      <w:r w:rsidRPr="004761E0">
        <w:rPr>
          <w:sz w:val="26"/>
          <w:szCs w:val="26"/>
        </w:rPr>
        <w:t>ый</w:t>
      </w:r>
      <w:r w:rsidR="00A470FB" w:rsidRPr="004761E0">
        <w:rPr>
          <w:sz w:val="26"/>
          <w:szCs w:val="26"/>
        </w:rPr>
        <w:t xml:space="preserve"> сайт</w:t>
      </w:r>
      <w:r w:rsidRPr="004761E0">
        <w:rPr>
          <w:sz w:val="26"/>
          <w:szCs w:val="26"/>
        </w:rPr>
        <w:t xml:space="preserve"> Общества  существует уже более 6 лет. В</w:t>
      </w:r>
      <w:r w:rsidR="00A470FB" w:rsidRPr="004761E0">
        <w:rPr>
          <w:sz w:val="26"/>
          <w:szCs w:val="26"/>
        </w:rPr>
        <w:t xml:space="preserve"> </w:t>
      </w:r>
      <w:r w:rsidRPr="004761E0">
        <w:rPr>
          <w:sz w:val="26"/>
          <w:szCs w:val="26"/>
        </w:rPr>
        <w:t xml:space="preserve">целях обеспечения удобства навигации посетителей, доступности получения необходимой информации, современного внешнего вида в </w:t>
      </w:r>
      <w:r w:rsidR="00A470FB" w:rsidRPr="004761E0">
        <w:rPr>
          <w:sz w:val="26"/>
          <w:szCs w:val="26"/>
        </w:rPr>
        <w:t>2012-2013 г</w:t>
      </w:r>
      <w:r w:rsidR="002E6D87" w:rsidRPr="004761E0">
        <w:rPr>
          <w:sz w:val="26"/>
          <w:szCs w:val="26"/>
        </w:rPr>
        <w:t>г.</w:t>
      </w:r>
      <w:r w:rsidR="00A470FB" w:rsidRPr="004761E0">
        <w:rPr>
          <w:sz w:val="26"/>
          <w:szCs w:val="26"/>
        </w:rPr>
        <w:t xml:space="preserve"> произведен полный редизайн сайта. В 2013 году открыта полноценная англоязычная версия сайта, добавлены новые разделы. </w:t>
      </w:r>
      <w:r w:rsidRPr="004761E0">
        <w:rPr>
          <w:sz w:val="26"/>
          <w:szCs w:val="26"/>
        </w:rPr>
        <w:t xml:space="preserve">Кроме того, </w:t>
      </w:r>
      <w:r w:rsidR="00A470FB" w:rsidRPr="004761E0">
        <w:rPr>
          <w:sz w:val="26"/>
          <w:szCs w:val="26"/>
        </w:rPr>
        <w:t xml:space="preserve">Компания </w:t>
      </w:r>
      <w:r w:rsidR="00A76E37" w:rsidRPr="004761E0">
        <w:rPr>
          <w:sz w:val="26"/>
          <w:szCs w:val="26"/>
        </w:rPr>
        <w:t xml:space="preserve">с 2012 года </w:t>
      </w:r>
      <w:r w:rsidR="00A470FB" w:rsidRPr="004761E0">
        <w:rPr>
          <w:sz w:val="26"/>
          <w:szCs w:val="26"/>
        </w:rPr>
        <w:t>развивает в сети Интернет</w:t>
      </w:r>
      <w:r w:rsidR="004546A6">
        <w:rPr>
          <w:sz w:val="26"/>
          <w:szCs w:val="26"/>
        </w:rPr>
        <w:t xml:space="preserve"> </w:t>
      </w:r>
      <w:r w:rsidRPr="004761E0">
        <w:rPr>
          <w:sz w:val="26"/>
          <w:szCs w:val="26"/>
        </w:rPr>
        <w:t>п</w:t>
      </w:r>
      <w:r w:rsidR="00A470FB" w:rsidRPr="004761E0">
        <w:rPr>
          <w:sz w:val="26"/>
          <w:szCs w:val="26"/>
        </w:rPr>
        <w:t>ортал по технологическому присоединению</w:t>
      </w:r>
      <w:r w:rsidR="00A76E37" w:rsidRPr="004761E0">
        <w:rPr>
          <w:sz w:val="26"/>
          <w:szCs w:val="26"/>
        </w:rPr>
        <w:t>,</w:t>
      </w:r>
      <w:r w:rsidR="00A470FB" w:rsidRPr="004761E0">
        <w:rPr>
          <w:sz w:val="26"/>
          <w:szCs w:val="26"/>
        </w:rPr>
        <w:t xml:space="preserve"> который является составной частью официального корпоративного сайта </w:t>
      </w:r>
      <w:r w:rsidR="009E567A">
        <w:rPr>
          <w:sz w:val="26"/>
          <w:szCs w:val="26"/>
        </w:rPr>
        <w:t xml:space="preserve">Общества </w:t>
      </w:r>
      <w:r w:rsidR="00A470FB" w:rsidRPr="004761E0">
        <w:rPr>
          <w:sz w:val="26"/>
          <w:szCs w:val="26"/>
        </w:rPr>
        <w:t xml:space="preserve">и содержит информацию о технологическом присоединении к электросетям </w:t>
      </w:r>
      <w:r w:rsidR="0008080E">
        <w:rPr>
          <w:sz w:val="26"/>
          <w:szCs w:val="26"/>
        </w:rPr>
        <w:t>ОАО </w:t>
      </w:r>
      <w:r w:rsidR="00A470FB" w:rsidRPr="004761E0">
        <w:rPr>
          <w:sz w:val="26"/>
          <w:szCs w:val="26"/>
        </w:rPr>
        <w:t xml:space="preserve">«МОЭСК». В 2013 году он также подвергнут обновлению и на сегодня представляет собой </w:t>
      </w:r>
      <w:r w:rsidR="00A76E37" w:rsidRPr="004761E0">
        <w:rPr>
          <w:sz w:val="26"/>
          <w:szCs w:val="26"/>
        </w:rPr>
        <w:t>п</w:t>
      </w:r>
      <w:r w:rsidR="00A470FB" w:rsidRPr="004761E0">
        <w:rPr>
          <w:sz w:val="26"/>
          <w:szCs w:val="26"/>
        </w:rPr>
        <w:t>лощадку</w:t>
      </w:r>
      <w:r w:rsidRPr="004761E0">
        <w:rPr>
          <w:sz w:val="26"/>
          <w:szCs w:val="26"/>
        </w:rPr>
        <w:t>,</w:t>
      </w:r>
      <w:r w:rsidR="00A470FB" w:rsidRPr="004761E0">
        <w:rPr>
          <w:sz w:val="26"/>
          <w:szCs w:val="26"/>
        </w:rPr>
        <w:t xml:space="preserve"> </w:t>
      </w:r>
      <w:r w:rsidRPr="004761E0">
        <w:rPr>
          <w:sz w:val="26"/>
          <w:szCs w:val="26"/>
        </w:rPr>
        <w:t xml:space="preserve">где </w:t>
      </w:r>
      <w:r w:rsidR="00A470FB" w:rsidRPr="004761E0">
        <w:rPr>
          <w:sz w:val="26"/>
          <w:szCs w:val="26"/>
        </w:rPr>
        <w:t>взаимодейств</w:t>
      </w:r>
      <w:r w:rsidRPr="004761E0">
        <w:rPr>
          <w:sz w:val="26"/>
          <w:szCs w:val="26"/>
        </w:rPr>
        <w:t xml:space="preserve">уют </w:t>
      </w:r>
      <w:r w:rsidR="00A470FB" w:rsidRPr="004761E0">
        <w:rPr>
          <w:sz w:val="26"/>
          <w:szCs w:val="26"/>
        </w:rPr>
        <w:t>клиент</w:t>
      </w:r>
      <w:r w:rsidRPr="004761E0">
        <w:rPr>
          <w:sz w:val="26"/>
          <w:szCs w:val="26"/>
        </w:rPr>
        <w:t>ы</w:t>
      </w:r>
      <w:r w:rsidR="00A470FB" w:rsidRPr="004761E0">
        <w:rPr>
          <w:sz w:val="26"/>
          <w:szCs w:val="26"/>
        </w:rPr>
        <w:t xml:space="preserve"> и </w:t>
      </w:r>
      <w:r w:rsidRPr="004761E0">
        <w:rPr>
          <w:sz w:val="26"/>
          <w:szCs w:val="26"/>
        </w:rPr>
        <w:t>Компани</w:t>
      </w:r>
      <w:r w:rsidR="00A76E37" w:rsidRPr="004761E0">
        <w:rPr>
          <w:sz w:val="26"/>
          <w:szCs w:val="26"/>
        </w:rPr>
        <w:t>я</w:t>
      </w:r>
      <w:r w:rsidRPr="004761E0">
        <w:rPr>
          <w:sz w:val="26"/>
          <w:szCs w:val="26"/>
        </w:rPr>
        <w:t xml:space="preserve"> по вопросам технологического присоединения</w:t>
      </w:r>
      <w:r w:rsidR="00A470FB" w:rsidRPr="004761E0">
        <w:rPr>
          <w:sz w:val="26"/>
          <w:szCs w:val="26"/>
        </w:rPr>
        <w:t xml:space="preserve">. За отчетный год зафиксировано 394,9 тыс. посетителей </w:t>
      </w:r>
      <w:r w:rsidRPr="004761E0">
        <w:rPr>
          <w:sz w:val="26"/>
          <w:szCs w:val="26"/>
        </w:rPr>
        <w:t>п</w:t>
      </w:r>
      <w:r w:rsidR="00A470FB" w:rsidRPr="004761E0">
        <w:rPr>
          <w:sz w:val="26"/>
          <w:szCs w:val="26"/>
        </w:rPr>
        <w:t xml:space="preserve">ортала, совершено 2,7 млн посещений. В конце 2013 года на </w:t>
      </w:r>
      <w:r w:rsidRPr="004761E0">
        <w:rPr>
          <w:sz w:val="26"/>
          <w:szCs w:val="26"/>
        </w:rPr>
        <w:t>п</w:t>
      </w:r>
      <w:r w:rsidR="00A470FB" w:rsidRPr="004761E0">
        <w:rPr>
          <w:sz w:val="26"/>
          <w:szCs w:val="26"/>
        </w:rPr>
        <w:t xml:space="preserve">ортале осуществлен ряд значительных изменений: </w:t>
      </w:r>
    </w:p>
    <w:p w:rsidR="00A470FB" w:rsidRPr="004761E0" w:rsidRDefault="00A470FB" w:rsidP="007076A7">
      <w:pPr>
        <w:pStyle w:val="a5"/>
        <w:numPr>
          <w:ilvl w:val="0"/>
          <w:numId w:val="74"/>
        </w:numPr>
        <w:autoSpaceDE w:val="0"/>
        <w:autoSpaceDN w:val="0"/>
        <w:ind w:left="1134" w:hanging="567"/>
        <w:contextualSpacing w:val="0"/>
        <w:rPr>
          <w:sz w:val="26"/>
          <w:szCs w:val="26"/>
        </w:rPr>
      </w:pPr>
      <w:r w:rsidRPr="004761E0">
        <w:rPr>
          <w:sz w:val="26"/>
          <w:szCs w:val="26"/>
        </w:rPr>
        <w:t>произведена модернизация Личного кабинета заявителя, осуществлена дополнительная защита персональных данных;</w:t>
      </w:r>
    </w:p>
    <w:p w:rsidR="00A470FB" w:rsidRPr="004761E0" w:rsidRDefault="00A470FB" w:rsidP="007076A7">
      <w:pPr>
        <w:pStyle w:val="a5"/>
        <w:numPr>
          <w:ilvl w:val="0"/>
          <w:numId w:val="74"/>
        </w:numPr>
        <w:autoSpaceDE w:val="0"/>
        <w:autoSpaceDN w:val="0"/>
        <w:ind w:left="1134" w:hanging="567"/>
        <w:contextualSpacing w:val="0"/>
        <w:rPr>
          <w:sz w:val="26"/>
          <w:szCs w:val="26"/>
        </w:rPr>
      </w:pPr>
      <w:r w:rsidRPr="004761E0">
        <w:rPr>
          <w:bCs/>
          <w:sz w:val="26"/>
          <w:szCs w:val="26"/>
        </w:rPr>
        <w:t>добавлена функция «Заказать обратный звонок»;</w:t>
      </w:r>
    </w:p>
    <w:p w:rsidR="00A470FB" w:rsidRPr="004761E0" w:rsidRDefault="00A470FB" w:rsidP="007076A7">
      <w:pPr>
        <w:pStyle w:val="a5"/>
        <w:numPr>
          <w:ilvl w:val="0"/>
          <w:numId w:val="74"/>
        </w:numPr>
        <w:autoSpaceDE w:val="0"/>
        <w:autoSpaceDN w:val="0"/>
        <w:ind w:left="1134" w:hanging="567"/>
        <w:contextualSpacing w:val="0"/>
        <w:rPr>
          <w:sz w:val="26"/>
          <w:szCs w:val="26"/>
        </w:rPr>
      </w:pPr>
      <w:r w:rsidRPr="004761E0">
        <w:rPr>
          <w:bCs/>
          <w:sz w:val="26"/>
          <w:szCs w:val="26"/>
        </w:rPr>
        <w:t xml:space="preserve">открыты новые разделы </w:t>
      </w:r>
      <w:r w:rsidRPr="004761E0">
        <w:rPr>
          <w:sz w:val="26"/>
          <w:szCs w:val="26"/>
        </w:rPr>
        <w:t xml:space="preserve">«Энергобутик. Пилотный проект» по дополнительным услугам Компании и </w:t>
      </w:r>
      <w:r w:rsidRPr="004761E0">
        <w:rPr>
          <w:bCs/>
          <w:sz w:val="26"/>
          <w:szCs w:val="26"/>
        </w:rPr>
        <w:t>«Отзывы клиентов»;</w:t>
      </w:r>
    </w:p>
    <w:p w:rsidR="00A470FB" w:rsidRPr="004761E0" w:rsidRDefault="00A470FB" w:rsidP="007076A7">
      <w:pPr>
        <w:pStyle w:val="a5"/>
        <w:numPr>
          <w:ilvl w:val="0"/>
          <w:numId w:val="74"/>
        </w:numPr>
        <w:autoSpaceDE w:val="0"/>
        <w:autoSpaceDN w:val="0"/>
        <w:ind w:left="1134" w:hanging="567"/>
        <w:contextualSpacing w:val="0"/>
        <w:rPr>
          <w:sz w:val="26"/>
          <w:szCs w:val="26"/>
        </w:rPr>
      </w:pPr>
      <w:r w:rsidRPr="004761E0">
        <w:rPr>
          <w:bCs/>
          <w:sz w:val="26"/>
          <w:szCs w:val="26"/>
        </w:rPr>
        <w:t>подготовлено и размещено руководство для клиентов в форме инфографики.</w:t>
      </w:r>
    </w:p>
    <w:p w:rsidR="00A470FB" w:rsidRPr="004761E0" w:rsidRDefault="00A470FB" w:rsidP="00A470FB">
      <w:pPr>
        <w:autoSpaceDE w:val="0"/>
        <w:autoSpaceDN w:val="0"/>
        <w:spacing w:before="120"/>
        <w:ind w:firstLine="567"/>
        <w:rPr>
          <w:bCs/>
          <w:sz w:val="26"/>
          <w:szCs w:val="26"/>
        </w:rPr>
      </w:pPr>
      <w:r w:rsidRPr="004761E0">
        <w:rPr>
          <w:sz w:val="26"/>
          <w:szCs w:val="26"/>
        </w:rPr>
        <w:t xml:space="preserve">С февраля 2009 года на корпоративном сайте </w:t>
      </w:r>
      <w:r w:rsidR="009E567A">
        <w:rPr>
          <w:sz w:val="26"/>
          <w:szCs w:val="26"/>
        </w:rPr>
        <w:t xml:space="preserve">Общества </w:t>
      </w:r>
      <w:r w:rsidRPr="004761E0">
        <w:rPr>
          <w:sz w:val="26"/>
          <w:szCs w:val="26"/>
        </w:rPr>
        <w:t xml:space="preserve">работает Интернет-приемная. Любой желающий может обратиться с вопросом, предложением по совершенствованию деятельности или жалобой, оставить благодарность. </w:t>
      </w:r>
    </w:p>
    <w:tbl>
      <w:tblPr>
        <w:tblW w:w="0" w:type="auto"/>
        <w:tblInd w:w="45" w:type="dxa"/>
        <w:tblLook w:val="04A0"/>
      </w:tblPr>
      <w:tblGrid>
        <w:gridCol w:w="716"/>
        <w:gridCol w:w="4291"/>
        <w:gridCol w:w="920"/>
        <w:gridCol w:w="919"/>
        <w:gridCol w:w="920"/>
        <w:gridCol w:w="1378"/>
      </w:tblGrid>
      <w:tr w:rsidR="00A470FB" w:rsidRPr="004761E0" w:rsidTr="008F7314">
        <w:trPr>
          <w:trHeight w:val="53"/>
        </w:trPr>
        <w:tc>
          <w:tcPr>
            <w:tcW w:w="716" w:type="dxa"/>
            <w:tcBorders>
              <w:top w:val="single" w:sz="4" w:space="0" w:color="auto"/>
              <w:left w:val="single" w:sz="4" w:space="0" w:color="auto"/>
              <w:bottom w:val="single" w:sz="4" w:space="0" w:color="auto"/>
              <w:right w:val="single" w:sz="4" w:space="0" w:color="FFFFFF" w:themeColor="background1"/>
            </w:tcBorders>
            <w:shd w:val="clear" w:color="auto" w:fill="0F243E"/>
            <w:noWrap/>
            <w:vAlign w:val="center"/>
            <w:hideMark/>
          </w:tcPr>
          <w:p w:rsidR="00A470FB" w:rsidRPr="004761E0" w:rsidRDefault="00A470FB" w:rsidP="002E6D87">
            <w:pPr>
              <w:ind w:firstLine="0"/>
              <w:rPr>
                <w:rFonts w:eastAsia="Times New Roman"/>
                <w:b/>
                <w:sz w:val="20"/>
                <w:szCs w:val="20"/>
                <w:lang w:eastAsia="ru-RU"/>
              </w:rPr>
            </w:pPr>
            <w:r w:rsidRPr="004761E0">
              <w:rPr>
                <w:rFonts w:eastAsia="Times New Roman"/>
                <w:b/>
                <w:sz w:val="20"/>
                <w:szCs w:val="20"/>
                <w:lang w:eastAsia="ru-RU"/>
              </w:rPr>
              <w:t>№ п/п</w:t>
            </w:r>
          </w:p>
        </w:tc>
        <w:tc>
          <w:tcPr>
            <w:tcW w:w="429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vAlign w:val="center"/>
            <w:hideMark/>
          </w:tcPr>
          <w:p w:rsidR="00A470FB" w:rsidRPr="004761E0" w:rsidRDefault="00A470FB" w:rsidP="002E6D87">
            <w:pPr>
              <w:ind w:firstLine="0"/>
              <w:rPr>
                <w:rFonts w:eastAsia="Times New Roman"/>
                <w:b/>
                <w:sz w:val="20"/>
                <w:szCs w:val="20"/>
                <w:lang w:eastAsia="ru-RU"/>
              </w:rPr>
            </w:pPr>
            <w:r w:rsidRPr="004761E0">
              <w:rPr>
                <w:rFonts w:eastAsia="Times New Roman"/>
                <w:b/>
                <w:sz w:val="20"/>
                <w:szCs w:val="20"/>
                <w:lang w:eastAsia="ru-RU"/>
              </w:rPr>
              <w:t>Наименование категории</w:t>
            </w:r>
          </w:p>
        </w:tc>
        <w:tc>
          <w:tcPr>
            <w:tcW w:w="9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vAlign w:val="center"/>
            <w:hideMark/>
          </w:tcPr>
          <w:p w:rsidR="00A470FB" w:rsidRPr="004761E0" w:rsidRDefault="00A470FB" w:rsidP="002E6D87">
            <w:pPr>
              <w:ind w:firstLine="0"/>
              <w:jc w:val="right"/>
              <w:rPr>
                <w:rFonts w:eastAsia="Times New Roman"/>
                <w:b/>
                <w:sz w:val="20"/>
                <w:szCs w:val="20"/>
                <w:lang w:eastAsia="ru-RU"/>
              </w:rPr>
            </w:pPr>
            <w:r w:rsidRPr="004761E0">
              <w:rPr>
                <w:rFonts w:eastAsia="Times New Roman"/>
                <w:b/>
                <w:sz w:val="20"/>
                <w:szCs w:val="20"/>
                <w:lang w:eastAsia="ru-RU"/>
              </w:rPr>
              <w:t>2011</w:t>
            </w:r>
          </w:p>
        </w:tc>
        <w:tc>
          <w:tcPr>
            <w:tcW w:w="91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vAlign w:val="center"/>
            <w:hideMark/>
          </w:tcPr>
          <w:p w:rsidR="00A470FB" w:rsidRPr="004761E0" w:rsidRDefault="00A470FB" w:rsidP="002E6D87">
            <w:pPr>
              <w:ind w:firstLine="0"/>
              <w:jc w:val="right"/>
              <w:rPr>
                <w:rFonts w:eastAsia="Times New Roman"/>
                <w:b/>
                <w:sz w:val="20"/>
                <w:szCs w:val="20"/>
                <w:lang w:eastAsia="ru-RU"/>
              </w:rPr>
            </w:pPr>
            <w:r w:rsidRPr="004761E0">
              <w:rPr>
                <w:rFonts w:eastAsia="Times New Roman"/>
                <w:b/>
                <w:sz w:val="20"/>
                <w:szCs w:val="20"/>
                <w:lang w:eastAsia="ru-RU"/>
              </w:rPr>
              <w:t>2012</w:t>
            </w:r>
          </w:p>
        </w:tc>
        <w:tc>
          <w:tcPr>
            <w:tcW w:w="9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vAlign w:val="center"/>
            <w:hideMark/>
          </w:tcPr>
          <w:p w:rsidR="00A470FB" w:rsidRPr="004761E0" w:rsidRDefault="00A470FB" w:rsidP="002E6D87">
            <w:pPr>
              <w:ind w:firstLine="0"/>
              <w:jc w:val="right"/>
              <w:rPr>
                <w:rFonts w:eastAsia="Times New Roman"/>
                <w:b/>
                <w:sz w:val="20"/>
                <w:szCs w:val="20"/>
                <w:lang w:eastAsia="ru-RU"/>
              </w:rPr>
            </w:pPr>
            <w:r w:rsidRPr="004761E0">
              <w:rPr>
                <w:rFonts w:eastAsia="Times New Roman"/>
                <w:b/>
                <w:sz w:val="20"/>
                <w:szCs w:val="20"/>
                <w:lang w:eastAsia="ru-RU"/>
              </w:rPr>
              <w:t>2013</w:t>
            </w:r>
          </w:p>
        </w:tc>
        <w:tc>
          <w:tcPr>
            <w:tcW w:w="1378" w:type="dxa"/>
            <w:tcBorders>
              <w:top w:val="single" w:sz="4" w:space="0" w:color="auto"/>
              <w:left w:val="single" w:sz="4" w:space="0" w:color="FFFFFF" w:themeColor="background1"/>
              <w:bottom w:val="single" w:sz="4" w:space="0" w:color="auto"/>
              <w:right w:val="single" w:sz="4" w:space="0" w:color="auto"/>
            </w:tcBorders>
            <w:shd w:val="clear" w:color="auto" w:fill="0F243E"/>
            <w:vAlign w:val="center"/>
          </w:tcPr>
          <w:p w:rsidR="00A470FB" w:rsidRPr="004761E0" w:rsidRDefault="00A470FB" w:rsidP="002E6D87">
            <w:pPr>
              <w:ind w:firstLine="0"/>
              <w:jc w:val="right"/>
              <w:rPr>
                <w:rFonts w:eastAsia="Times New Roman"/>
                <w:b/>
                <w:sz w:val="20"/>
                <w:szCs w:val="20"/>
                <w:lang w:eastAsia="ru-RU"/>
              </w:rPr>
            </w:pPr>
            <w:r w:rsidRPr="004761E0">
              <w:rPr>
                <w:rFonts w:eastAsia="Times New Roman"/>
                <w:b/>
                <w:sz w:val="20"/>
                <w:szCs w:val="20"/>
                <w:lang w:eastAsia="ru-RU"/>
              </w:rPr>
              <w:t>2013/2012</w:t>
            </w:r>
          </w:p>
        </w:tc>
      </w:tr>
      <w:tr w:rsidR="00C41134" w:rsidRPr="004761E0" w:rsidTr="00C41134">
        <w:trPr>
          <w:trHeight w:val="255"/>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rsidR="00C41134" w:rsidRPr="004761E0" w:rsidRDefault="00C41134" w:rsidP="007076A7">
            <w:pPr>
              <w:pStyle w:val="a5"/>
              <w:numPr>
                <w:ilvl w:val="0"/>
                <w:numId w:val="75"/>
              </w:numPr>
              <w:jc w:val="left"/>
              <w:rPr>
                <w:rFonts w:eastAsia="Times New Roman"/>
                <w:sz w:val="20"/>
                <w:szCs w:val="20"/>
                <w:lang w:eastAsia="ru-RU"/>
              </w:rPr>
            </w:pPr>
          </w:p>
        </w:tc>
        <w:tc>
          <w:tcPr>
            <w:tcW w:w="4291" w:type="dxa"/>
            <w:tcBorders>
              <w:top w:val="nil"/>
              <w:left w:val="nil"/>
              <w:bottom w:val="single" w:sz="4" w:space="0" w:color="auto"/>
              <w:right w:val="single" w:sz="4" w:space="0" w:color="auto"/>
            </w:tcBorders>
            <w:shd w:val="clear" w:color="auto" w:fill="auto"/>
            <w:vAlign w:val="center"/>
            <w:hideMark/>
          </w:tcPr>
          <w:p w:rsidR="00C41134" w:rsidRPr="004761E0" w:rsidRDefault="00C41134" w:rsidP="00A470FB">
            <w:pPr>
              <w:ind w:firstLine="0"/>
              <w:rPr>
                <w:rFonts w:eastAsia="Times New Roman"/>
                <w:sz w:val="20"/>
                <w:szCs w:val="20"/>
                <w:lang w:eastAsia="ru-RU"/>
              </w:rPr>
            </w:pPr>
            <w:r w:rsidRPr="004761E0">
              <w:rPr>
                <w:rFonts w:eastAsia="Times New Roman"/>
                <w:sz w:val="20"/>
                <w:szCs w:val="20"/>
                <w:lang w:eastAsia="ru-RU"/>
              </w:rPr>
              <w:t>Поступившие обращения всего, шт. в т.ч.:</w:t>
            </w:r>
          </w:p>
        </w:tc>
        <w:tc>
          <w:tcPr>
            <w:tcW w:w="920" w:type="dxa"/>
            <w:tcBorders>
              <w:top w:val="nil"/>
              <w:left w:val="nil"/>
              <w:bottom w:val="single" w:sz="4" w:space="0" w:color="auto"/>
              <w:right w:val="single" w:sz="4" w:space="0" w:color="auto"/>
            </w:tcBorders>
            <w:shd w:val="clear" w:color="auto" w:fill="auto"/>
            <w:vAlign w:val="center"/>
            <w:hideMark/>
          </w:tcPr>
          <w:p w:rsidR="00C41134" w:rsidRPr="004761E0" w:rsidRDefault="00C41134" w:rsidP="002E6D87">
            <w:pPr>
              <w:ind w:firstLine="0"/>
              <w:jc w:val="right"/>
              <w:rPr>
                <w:rFonts w:eastAsia="Times New Roman"/>
                <w:sz w:val="20"/>
                <w:szCs w:val="20"/>
                <w:lang w:eastAsia="ru-RU"/>
              </w:rPr>
            </w:pPr>
            <w:r w:rsidRPr="004761E0">
              <w:rPr>
                <w:rFonts w:eastAsia="Times New Roman"/>
                <w:sz w:val="20"/>
                <w:szCs w:val="20"/>
                <w:lang w:eastAsia="ru-RU"/>
              </w:rPr>
              <w:t>3 166</w:t>
            </w:r>
          </w:p>
        </w:tc>
        <w:tc>
          <w:tcPr>
            <w:tcW w:w="919" w:type="dxa"/>
            <w:tcBorders>
              <w:top w:val="nil"/>
              <w:left w:val="nil"/>
              <w:bottom w:val="single" w:sz="4" w:space="0" w:color="auto"/>
              <w:right w:val="single" w:sz="4" w:space="0" w:color="auto"/>
            </w:tcBorders>
            <w:shd w:val="clear" w:color="auto" w:fill="auto"/>
            <w:vAlign w:val="center"/>
            <w:hideMark/>
          </w:tcPr>
          <w:p w:rsidR="00C41134" w:rsidRPr="004761E0" w:rsidRDefault="00C41134" w:rsidP="002E6D87">
            <w:pPr>
              <w:ind w:firstLine="0"/>
              <w:jc w:val="right"/>
              <w:rPr>
                <w:rFonts w:eastAsia="Times New Roman"/>
                <w:sz w:val="20"/>
                <w:szCs w:val="20"/>
                <w:lang w:eastAsia="ru-RU"/>
              </w:rPr>
            </w:pPr>
            <w:r w:rsidRPr="004761E0">
              <w:rPr>
                <w:rFonts w:eastAsia="Times New Roman"/>
                <w:sz w:val="20"/>
                <w:szCs w:val="20"/>
                <w:lang w:eastAsia="ru-RU"/>
              </w:rPr>
              <w:t>4 340</w:t>
            </w:r>
          </w:p>
        </w:tc>
        <w:tc>
          <w:tcPr>
            <w:tcW w:w="920" w:type="dxa"/>
            <w:tcBorders>
              <w:top w:val="nil"/>
              <w:left w:val="nil"/>
              <w:bottom w:val="single" w:sz="4" w:space="0" w:color="auto"/>
              <w:right w:val="single" w:sz="4" w:space="0" w:color="auto"/>
            </w:tcBorders>
            <w:shd w:val="clear" w:color="auto" w:fill="auto"/>
            <w:vAlign w:val="center"/>
            <w:hideMark/>
          </w:tcPr>
          <w:p w:rsidR="00C41134" w:rsidRPr="004761E0" w:rsidRDefault="00C41134" w:rsidP="002E6D87">
            <w:pPr>
              <w:ind w:firstLine="0"/>
              <w:jc w:val="right"/>
              <w:rPr>
                <w:rFonts w:eastAsia="Times New Roman"/>
                <w:sz w:val="20"/>
                <w:szCs w:val="20"/>
                <w:lang w:eastAsia="ru-RU"/>
              </w:rPr>
            </w:pPr>
            <w:r w:rsidRPr="004761E0">
              <w:rPr>
                <w:rFonts w:eastAsia="Times New Roman"/>
                <w:sz w:val="20"/>
                <w:szCs w:val="20"/>
                <w:lang w:eastAsia="ru-RU"/>
              </w:rPr>
              <w:t>8 838</w:t>
            </w:r>
          </w:p>
        </w:tc>
        <w:tc>
          <w:tcPr>
            <w:tcW w:w="1378" w:type="dxa"/>
            <w:tcBorders>
              <w:top w:val="nil"/>
              <w:left w:val="nil"/>
              <w:bottom w:val="single" w:sz="4" w:space="0" w:color="auto"/>
              <w:right w:val="single" w:sz="4" w:space="0" w:color="auto"/>
            </w:tcBorders>
            <w:vAlign w:val="center"/>
          </w:tcPr>
          <w:p w:rsidR="00C41134" w:rsidRPr="004761E0" w:rsidRDefault="00C41134" w:rsidP="00C41134">
            <w:pPr>
              <w:ind w:hanging="14"/>
              <w:jc w:val="right"/>
              <w:rPr>
                <w:color w:val="000000"/>
                <w:sz w:val="20"/>
                <w:szCs w:val="22"/>
              </w:rPr>
            </w:pPr>
            <w:r w:rsidRPr="004761E0">
              <w:rPr>
                <w:color w:val="000000"/>
                <w:sz w:val="20"/>
                <w:szCs w:val="22"/>
              </w:rPr>
              <w:t>103,64 %</w:t>
            </w:r>
          </w:p>
        </w:tc>
      </w:tr>
      <w:tr w:rsidR="00C41134" w:rsidRPr="004761E0" w:rsidTr="00C41134">
        <w:trPr>
          <w:trHeight w:val="255"/>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rsidR="00C41134" w:rsidRPr="004761E0" w:rsidRDefault="00C41134" w:rsidP="007076A7">
            <w:pPr>
              <w:pStyle w:val="a5"/>
              <w:numPr>
                <w:ilvl w:val="1"/>
                <w:numId w:val="75"/>
              </w:numPr>
              <w:jc w:val="left"/>
              <w:rPr>
                <w:rFonts w:eastAsia="Times New Roman"/>
                <w:sz w:val="20"/>
                <w:szCs w:val="20"/>
                <w:lang w:eastAsia="ru-RU"/>
              </w:rPr>
            </w:pPr>
          </w:p>
        </w:tc>
        <w:tc>
          <w:tcPr>
            <w:tcW w:w="4291" w:type="dxa"/>
            <w:tcBorders>
              <w:top w:val="nil"/>
              <w:left w:val="nil"/>
              <w:bottom w:val="single" w:sz="4" w:space="0" w:color="auto"/>
              <w:right w:val="single" w:sz="4" w:space="0" w:color="auto"/>
            </w:tcBorders>
            <w:shd w:val="clear" w:color="auto" w:fill="auto"/>
            <w:vAlign w:val="center"/>
            <w:hideMark/>
          </w:tcPr>
          <w:p w:rsidR="00C41134" w:rsidRPr="004761E0" w:rsidRDefault="00C41134" w:rsidP="00C41134">
            <w:pPr>
              <w:ind w:left="373" w:firstLine="0"/>
              <w:jc w:val="left"/>
              <w:rPr>
                <w:rFonts w:eastAsia="Times New Roman"/>
                <w:sz w:val="20"/>
                <w:szCs w:val="20"/>
                <w:lang w:eastAsia="ru-RU"/>
              </w:rPr>
            </w:pPr>
            <w:r w:rsidRPr="004761E0">
              <w:rPr>
                <w:rFonts w:eastAsia="Times New Roman"/>
                <w:sz w:val="20"/>
                <w:szCs w:val="20"/>
                <w:lang w:eastAsia="ru-RU"/>
              </w:rPr>
              <w:t>по вопросам технологического присоединения</w:t>
            </w:r>
          </w:p>
        </w:tc>
        <w:tc>
          <w:tcPr>
            <w:tcW w:w="920" w:type="dxa"/>
            <w:tcBorders>
              <w:top w:val="nil"/>
              <w:left w:val="nil"/>
              <w:bottom w:val="single" w:sz="4" w:space="0" w:color="auto"/>
              <w:right w:val="single" w:sz="4" w:space="0" w:color="auto"/>
            </w:tcBorders>
            <w:shd w:val="clear" w:color="auto" w:fill="auto"/>
            <w:vAlign w:val="center"/>
            <w:hideMark/>
          </w:tcPr>
          <w:p w:rsidR="00C41134" w:rsidRPr="004761E0" w:rsidRDefault="00C41134" w:rsidP="002E6D87">
            <w:pPr>
              <w:ind w:firstLine="0"/>
              <w:jc w:val="right"/>
              <w:rPr>
                <w:rFonts w:eastAsia="Times New Roman"/>
                <w:sz w:val="20"/>
                <w:szCs w:val="20"/>
                <w:lang w:eastAsia="ru-RU"/>
              </w:rPr>
            </w:pPr>
            <w:r w:rsidRPr="004761E0">
              <w:rPr>
                <w:rFonts w:eastAsia="Times New Roman"/>
                <w:sz w:val="20"/>
                <w:szCs w:val="20"/>
                <w:lang w:eastAsia="ru-RU"/>
              </w:rPr>
              <w:t>2 327</w:t>
            </w:r>
          </w:p>
        </w:tc>
        <w:tc>
          <w:tcPr>
            <w:tcW w:w="919" w:type="dxa"/>
            <w:tcBorders>
              <w:top w:val="nil"/>
              <w:left w:val="nil"/>
              <w:bottom w:val="single" w:sz="4" w:space="0" w:color="auto"/>
              <w:right w:val="single" w:sz="4" w:space="0" w:color="auto"/>
            </w:tcBorders>
            <w:shd w:val="clear" w:color="auto" w:fill="auto"/>
            <w:vAlign w:val="center"/>
            <w:hideMark/>
          </w:tcPr>
          <w:p w:rsidR="00C41134" w:rsidRPr="004761E0" w:rsidRDefault="00C41134" w:rsidP="002E6D87">
            <w:pPr>
              <w:ind w:firstLine="0"/>
              <w:jc w:val="right"/>
              <w:rPr>
                <w:rFonts w:eastAsia="Times New Roman"/>
                <w:sz w:val="20"/>
                <w:szCs w:val="20"/>
                <w:lang w:eastAsia="ru-RU"/>
              </w:rPr>
            </w:pPr>
            <w:r w:rsidRPr="004761E0">
              <w:rPr>
                <w:rFonts w:eastAsia="Times New Roman"/>
                <w:sz w:val="20"/>
                <w:szCs w:val="20"/>
                <w:lang w:eastAsia="ru-RU"/>
              </w:rPr>
              <w:t>3 632</w:t>
            </w:r>
          </w:p>
        </w:tc>
        <w:tc>
          <w:tcPr>
            <w:tcW w:w="920" w:type="dxa"/>
            <w:tcBorders>
              <w:top w:val="nil"/>
              <w:left w:val="nil"/>
              <w:bottom w:val="single" w:sz="4" w:space="0" w:color="auto"/>
              <w:right w:val="single" w:sz="4" w:space="0" w:color="auto"/>
            </w:tcBorders>
            <w:shd w:val="clear" w:color="auto" w:fill="auto"/>
            <w:vAlign w:val="center"/>
            <w:hideMark/>
          </w:tcPr>
          <w:p w:rsidR="00C41134" w:rsidRPr="004761E0" w:rsidRDefault="00C41134" w:rsidP="002E6D87">
            <w:pPr>
              <w:ind w:firstLine="0"/>
              <w:jc w:val="right"/>
              <w:rPr>
                <w:rFonts w:eastAsia="Times New Roman"/>
                <w:sz w:val="20"/>
                <w:szCs w:val="20"/>
                <w:lang w:eastAsia="ru-RU"/>
              </w:rPr>
            </w:pPr>
            <w:r w:rsidRPr="004761E0">
              <w:rPr>
                <w:rFonts w:eastAsia="Times New Roman"/>
                <w:sz w:val="20"/>
                <w:szCs w:val="20"/>
                <w:lang w:eastAsia="ru-RU"/>
              </w:rPr>
              <w:t>7 098</w:t>
            </w:r>
          </w:p>
        </w:tc>
        <w:tc>
          <w:tcPr>
            <w:tcW w:w="1378" w:type="dxa"/>
            <w:tcBorders>
              <w:top w:val="nil"/>
              <w:left w:val="nil"/>
              <w:bottom w:val="single" w:sz="4" w:space="0" w:color="auto"/>
              <w:right w:val="single" w:sz="4" w:space="0" w:color="auto"/>
            </w:tcBorders>
            <w:vAlign w:val="center"/>
          </w:tcPr>
          <w:p w:rsidR="00C41134" w:rsidRPr="004761E0" w:rsidRDefault="00C41134" w:rsidP="00C41134">
            <w:pPr>
              <w:ind w:hanging="14"/>
              <w:jc w:val="right"/>
              <w:rPr>
                <w:color w:val="000000"/>
                <w:sz w:val="20"/>
                <w:szCs w:val="22"/>
              </w:rPr>
            </w:pPr>
            <w:r w:rsidRPr="004761E0">
              <w:rPr>
                <w:color w:val="000000"/>
                <w:sz w:val="20"/>
                <w:szCs w:val="22"/>
              </w:rPr>
              <w:t>95,43 %</w:t>
            </w:r>
          </w:p>
        </w:tc>
      </w:tr>
      <w:tr w:rsidR="00C41134" w:rsidRPr="004761E0" w:rsidTr="00C41134">
        <w:trPr>
          <w:trHeight w:val="51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rsidR="00C41134" w:rsidRPr="004761E0" w:rsidRDefault="00C41134" w:rsidP="007076A7">
            <w:pPr>
              <w:pStyle w:val="a5"/>
              <w:numPr>
                <w:ilvl w:val="1"/>
                <w:numId w:val="75"/>
              </w:numPr>
              <w:jc w:val="left"/>
              <w:rPr>
                <w:rFonts w:eastAsia="Times New Roman"/>
                <w:sz w:val="20"/>
                <w:szCs w:val="20"/>
                <w:lang w:eastAsia="ru-RU"/>
              </w:rPr>
            </w:pPr>
          </w:p>
        </w:tc>
        <w:tc>
          <w:tcPr>
            <w:tcW w:w="4291" w:type="dxa"/>
            <w:tcBorders>
              <w:top w:val="nil"/>
              <w:left w:val="nil"/>
              <w:bottom w:val="single" w:sz="4" w:space="0" w:color="auto"/>
              <w:right w:val="single" w:sz="4" w:space="0" w:color="auto"/>
            </w:tcBorders>
            <w:shd w:val="clear" w:color="auto" w:fill="auto"/>
            <w:vAlign w:val="center"/>
            <w:hideMark/>
          </w:tcPr>
          <w:p w:rsidR="00C41134" w:rsidRPr="004761E0" w:rsidRDefault="00C41134" w:rsidP="00C41134">
            <w:pPr>
              <w:ind w:left="373" w:firstLine="0"/>
              <w:jc w:val="left"/>
              <w:rPr>
                <w:rFonts w:eastAsia="Times New Roman"/>
                <w:sz w:val="20"/>
                <w:szCs w:val="20"/>
                <w:lang w:eastAsia="ru-RU"/>
              </w:rPr>
            </w:pPr>
            <w:r w:rsidRPr="004761E0">
              <w:rPr>
                <w:rFonts w:eastAsia="Times New Roman"/>
                <w:sz w:val="20"/>
                <w:szCs w:val="20"/>
                <w:lang w:eastAsia="ru-RU"/>
              </w:rPr>
              <w:t>отключения и перебои в электроснабжении, скачки напряжение, техническое обслуживание электросетевых объектов</w:t>
            </w:r>
          </w:p>
        </w:tc>
        <w:tc>
          <w:tcPr>
            <w:tcW w:w="920" w:type="dxa"/>
            <w:tcBorders>
              <w:top w:val="nil"/>
              <w:left w:val="nil"/>
              <w:bottom w:val="single" w:sz="4" w:space="0" w:color="auto"/>
              <w:right w:val="single" w:sz="4" w:space="0" w:color="auto"/>
            </w:tcBorders>
            <w:shd w:val="clear" w:color="auto" w:fill="auto"/>
            <w:vAlign w:val="center"/>
            <w:hideMark/>
          </w:tcPr>
          <w:p w:rsidR="00C41134" w:rsidRPr="004761E0" w:rsidRDefault="00C41134" w:rsidP="002E6D87">
            <w:pPr>
              <w:ind w:firstLine="0"/>
              <w:jc w:val="right"/>
              <w:rPr>
                <w:rFonts w:eastAsia="Times New Roman"/>
                <w:sz w:val="20"/>
                <w:szCs w:val="20"/>
                <w:lang w:eastAsia="ru-RU"/>
              </w:rPr>
            </w:pPr>
            <w:r w:rsidRPr="004761E0">
              <w:rPr>
                <w:rFonts w:eastAsia="Times New Roman"/>
                <w:sz w:val="20"/>
                <w:szCs w:val="20"/>
                <w:lang w:eastAsia="ru-RU"/>
              </w:rPr>
              <w:t>405</w:t>
            </w:r>
          </w:p>
        </w:tc>
        <w:tc>
          <w:tcPr>
            <w:tcW w:w="919" w:type="dxa"/>
            <w:tcBorders>
              <w:top w:val="nil"/>
              <w:left w:val="nil"/>
              <w:bottom w:val="single" w:sz="4" w:space="0" w:color="auto"/>
              <w:right w:val="single" w:sz="4" w:space="0" w:color="auto"/>
            </w:tcBorders>
            <w:shd w:val="clear" w:color="auto" w:fill="auto"/>
            <w:vAlign w:val="center"/>
            <w:hideMark/>
          </w:tcPr>
          <w:p w:rsidR="00C41134" w:rsidRPr="004761E0" w:rsidRDefault="00C41134" w:rsidP="002E6D87">
            <w:pPr>
              <w:ind w:firstLine="0"/>
              <w:jc w:val="right"/>
              <w:rPr>
                <w:rFonts w:eastAsia="Times New Roman"/>
                <w:sz w:val="20"/>
                <w:szCs w:val="20"/>
                <w:lang w:eastAsia="ru-RU"/>
              </w:rPr>
            </w:pPr>
            <w:r w:rsidRPr="004761E0">
              <w:rPr>
                <w:rFonts w:eastAsia="Times New Roman"/>
                <w:sz w:val="20"/>
                <w:szCs w:val="20"/>
                <w:lang w:eastAsia="ru-RU"/>
              </w:rPr>
              <w:t>343</w:t>
            </w:r>
          </w:p>
        </w:tc>
        <w:tc>
          <w:tcPr>
            <w:tcW w:w="920" w:type="dxa"/>
            <w:tcBorders>
              <w:top w:val="nil"/>
              <w:left w:val="nil"/>
              <w:bottom w:val="single" w:sz="4" w:space="0" w:color="auto"/>
              <w:right w:val="single" w:sz="4" w:space="0" w:color="auto"/>
            </w:tcBorders>
            <w:shd w:val="clear" w:color="auto" w:fill="auto"/>
            <w:vAlign w:val="center"/>
            <w:hideMark/>
          </w:tcPr>
          <w:p w:rsidR="00C41134" w:rsidRPr="004761E0" w:rsidRDefault="00C41134" w:rsidP="002E6D87">
            <w:pPr>
              <w:ind w:firstLine="0"/>
              <w:jc w:val="right"/>
              <w:rPr>
                <w:rFonts w:eastAsia="Times New Roman"/>
                <w:sz w:val="20"/>
                <w:szCs w:val="20"/>
                <w:lang w:eastAsia="ru-RU"/>
              </w:rPr>
            </w:pPr>
            <w:r w:rsidRPr="004761E0">
              <w:rPr>
                <w:rFonts w:eastAsia="Times New Roman"/>
                <w:sz w:val="20"/>
                <w:szCs w:val="20"/>
                <w:lang w:eastAsia="ru-RU"/>
              </w:rPr>
              <w:t>641</w:t>
            </w:r>
          </w:p>
        </w:tc>
        <w:tc>
          <w:tcPr>
            <w:tcW w:w="1378" w:type="dxa"/>
            <w:tcBorders>
              <w:top w:val="nil"/>
              <w:left w:val="nil"/>
              <w:bottom w:val="single" w:sz="4" w:space="0" w:color="auto"/>
              <w:right w:val="single" w:sz="4" w:space="0" w:color="auto"/>
            </w:tcBorders>
            <w:vAlign w:val="center"/>
          </w:tcPr>
          <w:p w:rsidR="00C41134" w:rsidRPr="004761E0" w:rsidRDefault="00C41134" w:rsidP="00C41134">
            <w:pPr>
              <w:ind w:hanging="14"/>
              <w:jc w:val="right"/>
              <w:rPr>
                <w:color w:val="000000"/>
                <w:sz w:val="20"/>
                <w:szCs w:val="22"/>
              </w:rPr>
            </w:pPr>
            <w:r w:rsidRPr="004761E0">
              <w:rPr>
                <w:color w:val="000000"/>
                <w:sz w:val="20"/>
                <w:szCs w:val="22"/>
              </w:rPr>
              <w:t>86,88 %</w:t>
            </w:r>
          </w:p>
        </w:tc>
      </w:tr>
      <w:tr w:rsidR="00C41134" w:rsidRPr="004761E0" w:rsidTr="00C41134">
        <w:trPr>
          <w:trHeight w:val="255"/>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rsidR="00C41134" w:rsidRPr="004761E0" w:rsidRDefault="00C41134" w:rsidP="007076A7">
            <w:pPr>
              <w:pStyle w:val="a5"/>
              <w:numPr>
                <w:ilvl w:val="1"/>
                <w:numId w:val="75"/>
              </w:numPr>
              <w:jc w:val="left"/>
              <w:rPr>
                <w:rFonts w:eastAsia="Times New Roman"/>
                <w:sz w:val="20"/>
                <w:szCs w:val="20"/>
                <w:lang w:eastAsia="ru-RU"/>
              </w:rPr>
            </w:pPr>
          </w:p>
        </w:tc>
        <w:tc>
          <w:tcPr>
            <w:tcW w:w="4291" w:type="dxa"/>
            <w:tcBorders>
              <w:top w:val="nil"/>
              <w:left w:val="nil"/>
              <w:bottom w:val="single" w:sz="4" w:space="0" w:color="auto"/>
              <w:right w:val="single" w:sz="4" w:space="0" w:color="auto"/>
            </w:tcBorders>
            <w:shd w:val="clear" w:color="auto" w:fill="auto"/>
            <w:vAlign w:val="center"/>
            <w:hideMark/>
          </w:tcPr>
          <w:p w:rsidR="00C41134" w:rsidRPr="004761E0" w:rsidRDefault="00C41134" w:rsidP="00C41134">
            <w:pPr>
              <w:ind w:left="373" w:firstLine="0"/>
              <w:jc w:val="left"/>
              <w:rPr>
                <w:rFonts w:eastAsia="Times New Roman"/>
                <w:sz w:val="20"/>
                <w:szCs w:val="20"/>
                <w:lang w:eastAsia="ru-RU"/>
              </w:rPr>
            </w:pPr>
            <w:r w:rsidRPr="004761E0">
              <w:rPr>
                <w:rFonts w:eastAsia="Times New Roman"/>
                <w:sz w:val="20"/>
                <w:szCs w:val="20"/>
                <w:lang w:eastAsia="ru-RU"/>
              </w:rPr>
              <w:t>финансовые и экономические вопросы</w:t>
            </w:r>
          </w:p>
        </w:tc>
        <w:tc>
          <w:tcPr>
            <w:tcW w:w="920" w:type="dxa"/>
            <w:tcBorders>
              <w:top w:val="nil"/>
              <w:left w:val="nil"/>
              <w:bottom w:val="single" w:sz="4" w:space="0" w:color="auto"/>
              <w:right w:val="single" w:sz="4" w:space="0" w:color="auto"/>
            </w:tcBorders>
            <w:shd w:val="clear" w:color="auto" w:fill="auto"/>
            <w:vAlign w:val="center"/>
            <w:hideMark/>
          </w:tcPr>
          <w:p w:rsidR="00C41134" w:rsidRPr="004761E0" w:rsidRDefault="00C41134" w:rsidP="002E6D87">
            <w:pPr>
              <w:ind w:firstLine="0"/>
              <w:jc w:val="right"/>
              <w:rPr>
                <w:rFonts w:eastAsia="Times New Roman"/>
                <w:sz w:val="20"/>
                <w:szCs w:val="20"/>
                <w:lang w:eastAsia="ru-RU"/>
              </w:rPr>
            </w:pPr>
            <w:r w:rsidRPr="004761E0">
              <w:rPr>
                <w:rFonts w:eastAsia="Times New Roman"/>
                <w:sz w:val="20"/>
                <w:szCs w:val="20"/>
                <w:lang w:eastAsia="ru-RU"/>
              </w:rPr>
              <w:t>6</w:t>
            </w:r>
          </w:p>
        </w:tc>
        <w:tc>
          <w:tcPr>
            <w:tcW w:w="919" w:type="dxa"/>
            <w:tcBorders>
              <w:top w:val="nil"/>
              <w:left w:val="nil"/>
              <w:bottom w:val="single" w:sz="4" w:space="0" w:color="auto"/>
              <w:right w:val="single" w:sz="4" w:space="0" w:color="auto"/>
            </w:tcBorders>
            <w:shd w:val="clear" w:color="auto" w:fill="auto"/>
            <w:vAlign w:val="center"/>
            <w:hideMark/>
          </w:tcPr>
          <w:p w:rsidR="00C41134" w:rsidRPr="004761E0" w:rsidRDefault="00C41134" w:rsidP="002E6D87">
            <w:pPr>
              <w:ind w:firstLine="0"/>
              <w:jc w:val="right"/>
              <w:rPr>
                <w:rFonts w:eastAsia="Times New Roman"/>
                <w:sz w:val="20"/>
                <w:szCs w:val="20"/>
                <w:lang w:eastAsia="ru-RU"/>
              </w:rPr>
            </w:pPr>
            <w:r w:rsidRPr="004761E0">
              <w:rPr>
                <w:rFonts w:eastAsia="Times New Roman"/>
                <w:sz w:val="20"/>
                <w:szCs w:val="20"/>
                <w:lang w:eastAsia="ru-RU"/>
              </w:rPr>
              <w:t>16</w:t>
            </w:r>
          </w:p>
        </w:tc>
        <w:tc>
          <w:tcPr>
            <w:tcW w:w="920" w:type="dxa"/>
            <w:tcBorders>
              <w:top w:val="nil"/>
              <w:left w:val="nil"/>
              <w:bottom w:val="single" w:sz="4" w:space="0" w:color="auto"/>
              <w:right w:val="single" w:sz="4" w:space="0" w:color="auto"/>
            </w:tcBorders>
            <w:shd w:val="clear" w:color="auto" w:fill="auto"/>
            <w:vAlign w:val="center"/>
            <w:hideMark/>
          </w:tcPr>
          <w:p w:rsidR="00C41134" w:rsidRPr="004761E0" w:rsidRDefault="00C41134" w:rsidP="002E6D87">
            <w:pPr>
              <w:ind w:firstLine="0"/>
              <w:jc w:val="right"/>
              <w:rPr>
                <w:rFonts w:eastAsia="Times New Roman"/>
                <w:sz w:val="20"/>
                <w:szCs w:val="20"/>
                <w:lang w:eastAsia="ru-RU"/>
              </w:rPr>
            </w:pPr>
            <w:r w:rsidRPr="004761E0">
              <w:rPr>
                <w:rFonts w:eastAsia="Times New Roman"/>
                <w:sz w:val="20"/>
                <w:szCs w:val="20"/>
                <w:lang w:eastAsia="ru-RU"/>
              </w:rPr>
              <w:t>98</w:t>
            </w:r>
          </w:p>
        </w:tc>
        <w:tc>
          <w:tcPr>
            <w:tcW w:w="1378" w:type="dxa"/>
            <w:tcBorders>
              <w:top w:val="nil"/>
              <w:left w:val="nil"/>
              <w:bottom w:val="single" w:sz="4" w:space="0" w:color="auto"/>
              <w:right w:val="single" w:sz="4" w:space="0" w:color="auto"/>
            </w:tcBorders>
            <w:vAlign w:val="center"/>
          </w:tcPr>
          <w:p w:rsidR="00C41134" w:rsidRPr="004761E0" w:rsidRDefault="00C41134" w:rsidP="00C41134">
            <w:pPr>
              <w:ind w:hanging="14"/>
              <w:jc w:val="right"/>
              <w:rPr>
                <w:color w:val="000000"/>
                <w:sz w:val="20"/>
                <w:szCs w:val="22"/>
              </w:rPr>
            </w:pPr>
            <w:r w:rsidRPr="004761E0">
              <w:rPr>
                <w:color w:val="000000"/>
                <w:sz w:val="20"/>
                <w:szCs w:val="22"/>
              </w:rPr>
              <w:t>512,50 %</w:t>
            </w:r>
          </w:p>
        </w:tc>
      </w:tr>
      <w:tr w:rsidR="00C41134" w:rsidRPr="004761E0" w:rsidTr="00C41134">
        <w:trPr>
          <w:trHeight w:val="255"/>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rsidR="00C41134" w:rsidRPr="004761E0" w:rsidRDefault="00C41134" w:rsidP="007076A7">
            <w:pPr>
              <w:pStyle w:val="a5"/>
              <w:numPr>
                <w:ilvl w:val="1"/>
                <w:numId w:val="75"/>
              </w:numPr>
              <w:jc w:val="left"/>
              <w:rPr>
                <w:rFonts w:eastAsia="Times New Roman"/>
                <w:sz w:val="20"/>
                <w:szCs w:val="20"/>
                <w:lang w:eastAsia="ru-RU"/>
              </w:rPr>
            </w:pPr>
          </w:p>
        </w:tc>
        <w:tc>
          <w:tcPr>
            <w:tcW w:w="4291" w:type="dxa"/>
            <w:tcBorders>
              <w:top w:val="nil"/>
              <w:left w:val="nil"/>
              <w:bottom w:val="single" w:sz="4" w:space="0" w:color="auto"/>
              <w:right w:val="single" w:sz="4" w:space="0" w:color="auto"/>
            </w:tcBorders>
            <w:shd w:val="clear" w:color="auto" w:fill="auto"/>
            <w:vAlign w:val="center"/>
            <w:hideMark/>
          </w:tcPr>
          <w:p w:rsidR="00C41134" w:rsidRPr="004761E0" w:rsidRDefault="00C41134" w:rsidP="00C41134">
            <w:pPr>
              <w:ind w:left="373" w:firstLine="0"/>
              <w:jc w:val="left"/>
              <w:rPr>
                <w:rFonts w:eastAsia="Times New Roman"/>
                <w:sz w:val="20"/>
                <w:szCs w:val="20"/>
                <w:lang w:eastAsia="ru-RU"/>
              </w:rPr>
            </w:pPr>
            <w:r w:rsidRPr="004761E0">
              <w:rPr>
                <w:rFonts w:eastAsia="Times New Roman"/>
                <w:sz w:val="20"/>
                <w:szCs w:val="20"/>
                <w:lang w:eastAsia="ru-RU"/>
              </w:rPr>
              <w:t>благодарности</w:t>
            </w:r>
          </w:p>
        </w:tc>
        <w:tc>
          <w:tcPr>
            <w:tcW w:w="920" w:type="dxa"/>
            <w:tcBorders>
              <w:top w:val="nil"/>
              <w:left w:val="nil"/>
              <w:bottom w:val="single" w:sz="4" w:space="0" w:color="auto"/>
              <w:right w:val="single" w:sz="4" w:space="0" w:color="auto"/>
            </w:tcBorders>
            <w:shd w:val="clear" w:color="auto" w:fill="auto"/>
            <w:vAlign w:val="center"/>
            <w:hideMark/>
          </w:tcPr>
          <w:p w:rsidR="00C41134" w:rsidRPr="004761E0" w:rsidRDefault="00C41134" w:rsidP="002E6D87">
            <w:pPr>
              <w:ind w:firstLine="0"/>
              <w:jc w:val="right"/>
              <w:rPr>
                <w:rFonts w:eastAsia="Times New Roman"/>
                <w:sz w:val="20"/>
                <w:szCs w:val="20"/>
                <w:lang w:eastAsia="ru-RU"/>
              </w:rPr>
            </w:pPr>
            <w:r w:rsidRPr="004761E0">
              <w:rPr>
                <w:rFonts w:eastAsia="Times New Roman"/>
                <w:sz w:val="20"/>
                <w:szCs w:val="20"/>
                <w:lang w:eastAsia="ru-RU"/>
              </w:rPr>
              <w:t>21</w:t>
            </w:r>
          </w:p>
        </w:tc>
        <w:tc>
          <w:tcPr>
            <w:tcW w:w="919" w:type="dxa"/>
            <w:tcBorders>
              <w:top w:val="nil"/>
              <w:left w:val="nil"/>
              <w:bottom w:val="single" w:sz="4" w:space="0" w:color="auto"/>
              <w:right w:val="single" w:sz="4" w:space="0" w:color="auto"/>
            </w:tcBorders>
            <w:shd w:val="clear" w:color="auto" w:fill="auto"/>
            <w:vAlign w:val="center"/>
            <w:hideMark/>
          </w:tcPr>
          <w:p w:rsidR="00C41134" w:rsidRPr="004761E0" w:rsidRDefault="00C41134" w:rsidP="002E6D87">
            <w:pPr>
              <w:ind w:firstLine="0"/>
              <w:jc w:val="right"/>
              <w:rPr>
                <w:rFonts w:eastAsia="Times New Roman"/>
                <w:sz w:val="20"/>
                <w:szCs w:val="20"/>
                <w:lang w:eastAsia="ru-RU"/>
              </w:rPr>
            </w:pPr>
            <w:r w:rsidRPr="004761E0">
              <w:rPr>
                <w:rFonts w:eastAsia="Times New Roman"/>
                <w:sz w:val="20"/>
                <w:szCs w:val="20"/>
                <w:lang w:eastAsia="ru-RU"/>
              </w:rPr>
              <w:t>31</w:t>
            </w:r>
          </w:p>
        </w:tc>
        <w:tc>
          <w:tcPr>
            <w:tcW w:w="920" w:type="dxa"/>
            <w:tcBorders>
              <w:top w:val="nil"/>
              <w:left w:val="nil"/>
              <w:bottom w:val="single" w:sz="4" w:space="0" w:color="auto"/>
              <w:right w:val="single" w:sz="4" w:space="0" w:color="auto"/>
            </w:tcBorders>
            <w:shd w:val="clear" w:color="auto" w:fill="auto"/>
            <w:vAlign w:val="center"/>
            <w:hideMark/>
          </w:tcPr>
          <w:p w:rsidR="00C41134" w:rsidRPr="004761E0" w:rsidRDefault="00C41134" w:rsidP="002E6D87">
            <w:pPr>
              <w:ind w:firstLine="0"/>
              <w:jc w:val="right"/>
              <w:rPr>
                <w:rFonts w:eastAsia="Times New Roman"/>
                <w:sz w:val="20"/>
                <w:szCs w:val="20"/>
                <w:lang w:eastAsia="ru-RU"/>
              </w:rPr>
            </w:pPr>
            <w:r w:rsidRPr="004761E0">
              <w:rPr>
                <w:rFonts w:eastAsia="Times New Roman"/>
                <w:sz w:val="20"/>
                <w:szCs w:val="20"/>
                <w:lang w:eastAsia="ru-RU"/>
              </w:rPr>
              <w:t>178</w:t>
            </w:r>
          </w:p>
        </w:tc>
        <w:tc>
          <w:tcPr>
            <w:tcW w:w="1378" w:type="dxa"/>
            <w:tcBorders>
              <w:top w:val="nil"/>
              <w:left w:val="nil"/>
              <w:bottom w:val="single" w:sz="4" w:space="0" w:color="auto"/>
              <w:right w:val="single" w:sz="4" w:space="0" w:color="auto"/>
            </w:tcBorders>
            <w:vAlign w:val="center"/>
          </w:tcPr>
          <w:p w:rsidR="00C41134" w:rsidRPr="004761E0" w:rsidRDefault="00C41134" w:rsidP="00C41134">
            <w:pPr>
              <w:ind w:hanging="14"/>
              <w:jc w:val="right"/>
              <w:rPr>
                <w:color w:val="000000"/>
                <w:sz w:val="20"/>
                <w:szCs w:val="22"/>
              </w:rPr>
            </w:pPr>
            <w:r w:rsidRPr="004761E0">
              <w:rPr>
                <w:color w:val="000000"/>
                <w:sz w:val="20"/>
                <w:szCs w:val="22"/>
              </w:rPr>
              <w:t>474,19 %</w:t>
            </w:r>
          </w:p>
        </w:tc>
      </w:tr>
      <w:tr w:rsidR="00C41134" w:rsidRPr="004761E0" w:rsidTr="00C41134">
        <w:trPr>
          <w:trHeight w:val="255"/>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rsidR="00C41134" w:rsidRPr="004761E0" w:rsidRDefault="00C41134" w:rsidP="007076A7">
            <w:pPr>
              <w:pStyle w:val="a5"/>
              <w:numPr>
                <w:ilvl w:val="1"/>
                <w:numId w:val="75"/>
              </w:numPr>
              <w:jc w:val="left"/>
              <w:rPr>
                <w:rFonts w:eastAsia="Times New Roman"/>
                <w:sz w:val="20"/>
                <w:szCs w:val="20"/>
                <w:lang w:eastAsia="ru-RU"/>
              </w:rPr>
            </w:pPr>
          </w:p>
        </w:tc>
        <w:tc>
          <w:tcPr>
            <w:tcW w:w="4291" w:type="dxa"/>
            <w:tcBorders>
              <w:top w:val="nil"/>
              <w:left w:val="nil"/>
              <w:bottom w:val="single" w:sz="4" w:space="0" w:color="auto"/>
              <w:right w:val="single" w:sz="4" w:space="0" w:color="auto"/>
            </w:tcBorders>
            <w:shd w:val="clear" w:color="auto" w:fill="auto"/>
            <w:vAlign w:val="center"/>
            <w:hideMark/>
          </w:tcPr>
          <w:p w:rsidR="00C41134" w:rsidRPr="004761E0" w:rsidRDefault="00C41134" w:rsidP="00C41134">
            <w:pPr>
              <w:ind w:left="373" w:firstLine="0"/>
              <w:jc w:val="left"/>
              <w:rPr>
                <w:rFonts w:eastAsia="Times New Roman"/>
                <w:sz w:val="20"/>
                <w:szCs w:val="20"/>
                <w:lang w:eastAsia="ru-RU"/>
              </w:rPr>
            </w:pPr>
            <w:r w:rsidRPr="004761E0">
              <w:rPr>
                <w:rFonts w:eastAsia="Times New Roman"/>
                <w:sz w:val="20"/>
                <w:szCs w:val="20"/>
                <w:lang w:eastAsia="ru-RU"/>
              </w:rPr>
              <w:t>другое</w:t>
            </w:r>
          </w:p>
        </w:tc>
        <w:tc>
          <w:tcPr>
            <w:tcW w:w="920" w:type="dxa"/>
            <w:tcBorders>
              <w:top w:val="nil"/>
              <w:left w:val="nil"/>
              <w:bottom w:val="single" w:sz="4" w:space="0" w:color="auto"/>
              <w:right w:val="single" w:sz="4" w:space="0" w:color="auto"/>
            </w:tcBorders>
            <w:shd w:val="clear" w:color="auto" w:fill="auto"/>
            <w:vAlign w:val="center"/>
            <w:hideMark/>
          </w:tcPr>
          <w:p w:rsidR="00C41134" w:rsidRPr="004761E0" w:rsidRDefault="00C41134" w:rsidP="002E6D87">
            <w:pPr>
              <w:ind w:firstLine="0"/>
              <w:jc w:val="right"/>
              <w:rPr>
                <w:rFonts w:eastAsia="Times New Roman"/>
                <w:sz w:val="20"/>
                <w:szCs w:val="20"/>
                <w:lang w:eastAsia="ru-RU"/>
              </w:rPr>
            </w:pPr>
            <w:r w:rsidRPr="004761E0">
              <w:rPr>
                <w:rFonts w:eastAsia="Times New Roman"/>
                <w:sz w:val="20"/>
                <w:szCs w:val="20"/>
                <w:lang w:eastAsia="ru-RU"/>
              </w:rPr>
              <w:t>300</w:t>
            </w:r>
          </w:p>
        </w:tc>
        <w:tc>
          <w:tcPr>
            <w:tcW w:w="919" w:type="dxa"/>
            <w:tcBorders>
              <w:top w:val="nil"/>
              <w:left w:val="nil"/>
              <w:bottom w:val="single" w:sz="4" w:space="0" w:color="auto"/>
              <w:right w:val="single" w:sz="4" w:space="0" w:color="auto"/>
            </w:tcBorders>
            <w:shd w:val="clear" w:color="auto" w:fill="auto"/>
            <w:vAlign w:val="center"/>
            <w:hideMark/>
          </w:tcPr>
          <w:p w:rsidR="00C41134" w:rsidRPr="004761E0" w:rsidRDefault="00C41134" w:rsidP="002E6D87">
            <w:pPr>
              <w:ind w:firstLine="0"/>
              <w:jc w:val="right"/>
              <w:rPr>
                <w:rFonts w:eastAsia="Times New Roman"/>
                <w:sz w:val="20"/>
                <w:szCs w:val="20"/>
                <w:lang w:eastAsia="ru-RU"/>
              </w:rPr>
            </w:pPr>
            <w:r w:rsidRPr="004761E0">
              <w:rPr>
                <w:rFonts w:eastAsia="Times New Roman"/>
                <w:sz w:val="20"/>
                <w:szCs w:val="20"/>
                <w:lang w:eastAsia="ru-RU"/>
              </w:rPr>
              <w:t>243</w:t>
            </w:r>
          </w:p>
        </w:tc>
        <w:tc>
          <w:tcPr>
            <w:tcW w:w="920" w:type="dxa"/>
            <w:tcBorders>
              <w:top w:val="nil"/>
              <w:left w:val="nil"/>
              <w:bottom w:val="single" w:sz="4" w:space="0" w:color="auto"/>
              <w:right w:val="single" w:sz="4" w:space="0" w:color="auto"/>
            </w:tcBorders>
            <w:shd w:val="clear" w:color="auto" w:fill="auto"/>
            <w:vAlign w:val="center"/>
            <w:hideMark/>
          </w:tcPr>
          <w:p w:rsidR="00C41134" w:rsidRPr="004761E0" w:rsidRDefault="00C41134" w:rsidP="002E6D87">
            <w:pPr>
              <w:ind w:firstLine="0"/>
              <w:jc w:val="right"/>
              <w:rPr>
                <w:rFonts w:eastAsia="Times New Roman"/>
                <w:sz w:val="20"/>
                <w:szCs w:val="20"/>
                <w:lang w:eastAsia="ru-RU"/>
              </w:rPr>
            </w:pPr>
            <w:r w:rsidRPr="004761E0">
              <w:rPr>
                <w:rFonts w:eastAsia="Times New Roman"/>
                <w:sz w:val="20"/>
                <w:szCs w:val="20"/>
                <w:lang w:eastAsia="ru-RU"/>
              </w:rPr>
              <w:t>759</w:t>
            </w:r>
          </w:p>
        </w:tc>
        <w:tc>
          <w:tcPr>
            <w:tcW w:w="1378" w:type="dxa"/>
            <w:tcBorders>
              <w:top w:val="nil"/>
              <w:left w:val="nil"/>
              <w:bottom w:val="single" w:sz="4" w:space="0" w:color="auto"/>
              <w:right w:val="single" w:sz="4" w:space="0" w:color="auto"/>
            </w:tcBorders>
            <w:vAlign w:val="center"/>
          </w:tcPr>
          <w:p w:rsidR="00C41134" w:rsidRPr="004761E0" w:rsidRDefault="00C41134" w:rsidP="00C41134">
            <w:pPr>
              <w:ind w:hanging="14"/>
              <w:jc w:val="right"/>
              <w:rPr>
                <w:color w:val="000000"/>
                <w:sz w:val="20"/>
                <w:szCs w:val="22"/>
              </w:rPr>
            </w:pPr>
            <w:r w:rsidRPr="004761E0">
              <w:rPr>
                <w:color w:val="000000"/>
                <w:sz w:val="20"/>
                <w:szCs w:val="22"/>
              </w:rPr>
              <w:t>212,35 %</w:t>
            </w:r>
          </w:p>
        </w:tc>
      </w:tr>
    </w:tbl>
    <w:p w:rsidR="00A470FB" w:rsidRPr="004761E0" w:rsidRDefault="00A470FB" w:rsidP="002E6D87">
      <w:pPr>
        <w:autoSpaceDE w:val="0"/>
        <w:autoSpaceDN w:val="0"/>
        <w:spacing w:before="120"/>
        <w:ind w:firstLine="0"/>
        <w:rPr>
          <w:sz w:val="26"/>
          <w:szCs w:val="26"/>
        </w:rPr>
      </w:pPr>
      <w:r w:rsidRPr="004761E0">
        <w:rPr>
          <w:noProof/>
          <w:sz w:val="26"/>
          <w:szCs w:val="26"/>
          <w:lang w:eastAsia="ru-RU"/>
        </w:rPr>
        <w:lastRenderedPageBreak/>
        <w:drawing>
          <wp:inline distT="0" distB="0" distL="0" distR="0">
            <wp:extent cx="3257550" cy="2886075"/>
            <wp:effectExtent l="0" t="0" r="19050" b="9525"/>
            <wp:docPr id="39"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r w:rsidR="002E6D87" w:rsidRPr="004761E0">
        <w:rPr>
          <w:noProof/>
          <w:sz w:val="26"/>
          <w:szCs w:val="26"/>
          <w:lang w:eastAsia="ru-RU"/>
        </w:rPr>
        <w:t xml:space="preserve"> </w:t>
      </w:r>
      <w:r w:rsidR="002E6D87" w:rsidRPr="004761E0">
        <w:rPr>
          <w:noProof/>
          <w:sz w:val="26"/>
          <w:szCs w:val="26"/>
          <w:lang w:eastAsia="ru-RU"/>
        </w:rPr>
        <w:drawing>
          <wp:inline distT="0" distB="0" distL="0" distR="0">
            <wp:extent cx="2486025" cy="2876550"/>
            <wp:effectExtent l="19050" t="0" r="9525" b="0"/>
            <wp:docPr id="41"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rsidR="00A470FB" w:rsidRPr="004761E0" w:rsidRDefault="00A470FB" w:rsidP="00A470FB">
      <w:pPr>
        <w:autoSpaceDE w:val="0"/>
        <w:autoSpaceDN w:val="0"/>
        <w:spacing w:before="120"/>
        <w:ind w:firstLine="567"/>
        <w:rPr>
          <w:sz w:val="26"/>
          <w:szCs w:val="26"/>
        </w:rPr>
      </w:pPr>
      <w:r w:rsidRPr="004761E0">
        <w:rPr>
          <w:sz w:val="26"/>
          <w:szCs w:val="26"/>
        </w:rPr>
        <w:t>Значительный рост общего числа обращений по различным темам, поступающих в Интернет-приемную, обусловлен тем, что данный канал коммуникации становится все более значимым, надежным и оперативным способом получения информации. Следует заметить, что увеличение по многим показателям вызвано общим ростом обращений за 2013 год. Особенно, стоит отметить рост благодарностей в адрес Компании, что говорит о повышении качества деятельности Общества в отчетном году.</w:t>
      </w:r>
    </w:p>
    <w:p w:rsidR="00A470FB" w:rsidRPr="004761E0" w:rsidRDefault="00A470FB" w:rsidP="00A470FB">
      <w:pPr>
        <w:autoSpaceDE w:val="0"/>
        <w:autoSpaceDN w:val="0"/>
        <w:ind w:firstLine="567"/>
        <w:rPr>
          <w:sz w:val="26"/>
          <w:szCs w:val="26"/>
        </w:rPr>
      </w:pPr>
      <w:r w:rsidRPr="004761E0">
        <w:rPr>
          <w:sz w:val="26"/>
          <w:szCs w:val="26"/>
        </w:rPr>
        <w:t xml:space="preserve">В 2013 году корпоративный сайт </w:t>
      </w:r>
      <w:r w:rsidR="0008080E">
        <w:rPr>
          <w:sz w:val="26"/>
          <w:szCs w:val="26"/>
        </w:rPr>
        <w:t>О</w:t>
      </w:r>
      <w:r w:rsidR="009E567A">
        <w:rPr>
          <w:sz w:val="26"/>
          <w:szCs w:val="26"/>
        </w:rPr>
        <w:t>бщества</w:t>
      </w:r>
      <w:r w:rsidRPr="004761E0">
        <w:rPr>
          <w:sz w:val="26"/>
          <w:szCs w:val="26"/>
        </w:rPr>
        <w:t xml:space="preserve"> завоевал Гран-при национального конкурса корпоративных медйных ресурсов «Серебряные нити – 2013» в номинации «Лучший корпоративный сайт».</w:t>
      </w:r>
    </w:p>
    <w:p w:rsidR="00A470FB" w:rsidRPr="00715EEC" w:rsidRDefault="00A470FB" w:rsidP="00715EEC">
      <w:pPr>
        <w:pStyle w:val="a5"/>
        <w:spacing w:before="120" w:after="120"/>
        <w:ind w:left="0" w:firstLine="567"/>
        <w:contextualSpacing w:val="0"/>
        <w:rPr>
          <w:rFonts w:eastAsia="Times New Roman"/>
          <w:b/>
          <w:sz w:val="26"/>
          <w:szCs w:val="26"/>
        </w:rPr>
      </w:pPr>
      <w:r w:rsidRPr="00715EEC">
        <w:rPr>
          <w:rFonts w:eastAsia="Times New Roman"/>
          <w:b/>
          <w:sz w:val="26"/>
          <w:szCs w:val="26"/>
        </w:rPr>
        <w:t>Корпоративные издания</w:t>
      </w:r>
    </w:p>
    <w:p w:rsidR="00A470FB" w:rsidRPr="004761E0" w:rsidRDefault="00A470FB" w:rsidP="00A470FB">
      <w:pPr>
        <w:ind w:firstLine="567"/>
        <w:rPr>
          <w:sz w:val="26"/>
          <w:szCs w:val="26"/>
        </w:rPr>
      </w:pPr>
      <w:r w:rsidRPr="004761E0">
        <w:rPr>
          <w:sz w:val="26"/>
          <w:szCs w:val="26"/>
        </w:rPr>
        <w:t xml:space="preserve">В целях формирования корпоративной культуры, сплочения коллектива Компании вокруг корпоративных ценностей и своевременного информирования работников о деятельности Общества в 2013 году продолжен выпуск периодического издания «Вести МОЭСК». Читатели газеты узнают об основных событиях в области реализации технической, клиентской, инновационной, социальной, антикоррупционной политики Общества, а также о сотрудниках, добившихся высоких производственных показателей или проявивших личные способности. Издание подчеркивает огромный вклад каждого работника в общий успех Компании. Всего за 2013 год вышло 12 полноцветных номеров газеты. Архив издания находится в открытом доступе на корпоративном сайте </w:t>
      </w:r>
      <w:r w:rsidR="0008080E">
        <w:rPr>
          <w:sz w:val="26"/>
          <w:szCs w:val="26"/>
        </w:rPr>
        <w:t>О</w:t>
      </w:r>
      <w:r w:rsidR="009E567A">
        <w:rPr>
          <w:sz w:val="26"/>
          <w:szCs w:val="26"/>
        </w:rPr>
        <w:t>бщества</w:t>
      </w:r>
      <w:r w:rsidRPr="004761E0">
        <w:rPr>
          <w:sz w:val="26"/>
          <w:szCs w:val="26"/>
        </w:rPr>
        <w:t xml:space="preserve"> </w:t>
      </w:r>
      <w:r w:rsidR="009E567A">
        <w:rPr>
          <w:sz w:val="26"/>
          <w:szCs w:val="26"/>
        </w:rPr>
        <w:t xml:space="preserve">в разделе «Пресс-центр» / «Газета </w:t>
      </w:r>
      <w:r w:rsidR="009E567A" w:rsidRPr="009E567A">
        <w:rPr>
          <w:sz w:val="26"/>
          <w:szCs w:val="26"/>
        </w:rPr>
        <w:t>“</w:t>
      </w:r>
      <w:r w:rsidR="009E567A">
        <w:rPr>
          <w:sz w:val="26"/>
          <w:szCs w:val="26"/>
        </w:rPr>
        <w:t>Вести МОЭСК</w:t>
      </w:r>
      <w:r w:rsidR="009E567A" w:rsidRPr="009E567A">
        <w:rPr>
          <w:sz w:val="26"/>
          <w:szCs w:val="26"/>
        </w:rPr>
        <w:t>”</w:t>
      </w:r>
      <w:r w:rsidR="009E567A">
        <w:rPr>
          <w:sz w:val="26"/>
          <w:szCs w:val="26"/>
        </w:rPr>
        <w:t>».</w:t>
      </w:r>
    </w:p>
    <w:p w:rsidR="00A470FB" w:rsidRPr="004761E0" w:rsidRDefault="00A470FB" w:rsidP="00A470FB">
      <w:pPr>
        <w:ind w:firstLine="567"/>
        <w:rPr>
          <w:sz w:val="26"/>
          <w:szCs w:val="26"/>
        </w:rPr>
      </w:pPr>
      <w:r w:rsidRPr="004761E0">
        <w:rPr>
          <w:sz w:val="26"/>
          <w:szCs w:val="26"/>
        </w:rPr>
        <w:t>В 2013 году периодическое издание «Вести МОЭСК» заняло второе место в конкурсе «Серебряные нити» в номинации «Лучшая корпоративная газета». Всего в 2013 году в конкурсе «Серебряные нити» участвовали 114 медийных ресурсов организаций ведущих отраслей экономики.</w:t>
      </w:r>
    </w:p>
    <w:p w:rsidR="00755B4D" w:rsidRPr="004761E0" w:rsidRDefault="00A470FB" w:rsidP="00A470FB">
      <w:pPr>
        <w:ind w:firstLine="567"/>
        <w:rPr>
          <w:sz w:val="26"/>
          <w:szCs w:val="26"/>
        </w:rPr>
      </w:pPr>
      <w:r w:rsidRPr="004761E0">
        <w:rPr>
          <w:sz w:val="26"/>
          <w:szCs w:val="26"/>
        </w:rPr>
        <w:t>Для привлечения внимания персонала к теме охраны труда и повышения производственной безопасности в 2013 году продолжен выпуск ежеквартального издания «ТБ в МОЭСК»</w:t>
      </w:r>
      <w:r w:rsidR="00755B4D" w:rsidRPr="004761E0">
        <w:rPr>
          <w:sz w:val="26"/>
          <w:szCs w:val="26"/>
        </w:rPr>
        <w:t>.</w:t>
      </w:r>
    </w:p>
    <w:p w:rsidR="00755B4D" w:rsidRPr="004761E0" w:rsidRDefault="00755B4D">
      <w:pPr>
        <w:ind w:firstLine="0"/>
        <w:jc w:val="left"/>
        <w:rPr>
          <w:sz w:val="26"/>
          <w:szCs w:val="26"/>
        </w:rPr>
      </w:pPr>
      <w:r w:rsidRPr="004761E0">
        <w:rPr>
          <w:sz w:val="26"/>
          <w:szCs w:val="26"/>
        </w:rPr>
        <w:br w:type="page"/>
      </w:r>
    </w:p>
    <w:p w:rsidR="00A470FB" w:rsidRPr="004761E0" w:rsidRDefault="00A470FB" w:rsidP="00A470FB">
      <w:pPr>
        <w:ind w:firstLine="567"/>
        <w:rPr>
          <w:sz w:val="26"/>
          <w:szCs w:val="26"/>
        </w:rPr>
      </w:pPr>
      <w:r w:rsidRPr="004761E0">
        <w:rPr>
          <w:sz w:val="26"/>
          <w:szCs w:val="26"/>
        </w:rPr>
        <w:lastRenderedPageBreak/>
        <w:t>Для выстраивания неформальных коммуникаций с целевыми аудиториями и повышения про</w:t>
      </w:r>
      <w:r w:rsidR="00755B4D" w:rsidRPr="004761E0">
        <w:rPr>
          <w:sz w:val="26"/>
          <w:szCs w:val="26"/>
        </w:rPr>
        <w:t xml:space="preserve">зрачности деятельности Компании </w:t>
      </w:r>
      <w:r w:rsidR="0008080E">
        <w:rPr>
          <w:sz w:val="26"/>
          <w:szCs w:val="26"/>
        </w:rPr>
        <w:t>ОАО </w:t>
      </w:r>
      <w:r w:rsidRPr="004761E0">
        <w:rPr>
          <w:sz w:val="26"/>
          <w:szCs w:val="26"/>
        </w:rPr>
        <w:t xml:space="preserve">«МОЭСК» ведет корпоративные страницы в социальных сетях </w:t>
      </w:r>
      <w:r w:rsidRPr="004761E0">
        <w:rPr>
          <w:sz w:val="26"/>
          <w:szCs w:val="26"/>
          <w:lang w:val="en-US"/>
        </w:rPr>
        <w:t>Facebook</w:t>
      </w:r>
      <w:r w:rsidRPr="004761E0">
        <w:rPr>
          <w:sz w:val="26"/>
          <w:szCs w:val="26"/>
        </w:rPr>
        <w:t xml:space="preserve"> (</w:t>
      </w:r>
      <w:hyperlink r:id="rId221" w:history="1">
        <w:r w:rsidR="009E567A" w:rsidRPr="000E1274">
          <w:rPr>
            <w:rStyle w:val="a4"/>
            <w:sz w:val="26"/>
            <w:szCs w:val="26"/>
          </w:rPr>
          <w:t>https://www.facebook.com/MOESK</w:t>
        </w:r>
      </w:hyperlink>
      <w:r w:rsidRPr="004761E0">
        <w:rPr>
          <w:sz w:val="26"/>
          <w:szCs w:val="26"/>
        </w:rPr>
        <w:t xml:space="preserve">) и </w:t>
      </w:r>
      <w:r w:rsidRPr="004761E0">
        <w:rPr>
          <w:sz w:val="26"/>
          <w:szCs w:val="26"/>
          <w:lang w:val="en-US"/>
        </w:rPr>
        <w:t>Twitter</w:t>
      </w:r>
      <w:r w:rsidRPr="004761E0">
        <w:rPr>
          <w:sz w:val="26"/>
          <w:szCs w:val="26"/>
        </w:rPr>
        <w:t xml:space="preserve"> (</w:t>
      </w:r>
      <w:hyperlink r:id="rId222" w:history="1">
        <w:r w:rsidRPr="004761E0">
          <w:rPr>
            <w:rStyle w:val="a4"/>
            <w:sz w:val="26"/>
            <w:szCs w:val="26"/>
          </w:rPr>
          <w:t>https://twitter.com/oaomoesk</w:t>
        </w:r>
      </w:hyperlink>
      <w:r w:rsidRPr="004761E0">
        <w:rPr>
          <w:sz w:val="26"/>
          <w:szCs w:val="26"/>
        </w:rPr>
        <w:t>). Информация о деятельности Компании на страницах социальных сетей подается в простой и доступн</w:t>
      </w:r>
      <w:r w:rsidR="00755B4D" w:rsidRPr="004761E0">
        <w:rPr>
          <w:sz w:val="26"/>
          <w:szCs w:val="26"/>
        </w:rPr>
        <w:t>ой для широкой аудитории форме.</w:t>
      </w:r>
    </w:p>
    <w:p w:rsidR="00B3679C" w:rsidRPr="004761E0" w:rsidRDefault="00A470FB" w:rsidP="00B3679C">
      <w:pPr>
        <w:ind w:firstLine="567"/>
        <w:rPr>
          <w:sz w:val="26"/>
          <w:szCs w:val="26"/>
        </w:rPr>
      </w:pPr>
      <w:r w:rsidRPr="004761E0">
        <w:rPr>
          <w:sz w:val="26"/>
          <w:szCs w:val="26"/>
        </w:rPr>
        <w:t xml:space="preserve">В 2013 году аккаунт Компании в </w:t>
      </w:r>
      <w:r w:rsidRPr="004761E0">
        <w:rPr>
          <w:sz w:val="26"/>
          <w:szCs w:val="26"/>
          <w:lang w:val="en-US"/>
        </w:rPr>
        <w:t>Facebook</w:t>
      </w:r>
      <w:r w:rsidRPr="004761E0">
        <w:rPr>
          <w:sz w:val="26"/>
          <w:szCs w:val="26"/>
        </w:rPr>
        <w:t xml:space="preserve"> полностью обновлен и визуализирован в соответствии с дизайном </w:t>
      </w:r>
      <w:r w:rsidR="009E567A">
        <w:rPr>
          <w:sz w:val="26"/>
          <w:szCs w:val="26"/>
        </w:rPr>
        <w:t xml:space="preserve">корпоративного </w:t>
      </w:r>
      <w:r w:rsidRPr="004761E0">
        <w:rPr>
          <w:sz w:val="26"/>
          <w:szCs w:val="26"/>
        </w:rPr>
        <w:t xml:space="preserve">сайта </w:t>
      </w:r>
      <w:r w:rsidR="0008080E">
        <w:rPr>
          <w:sz w:val="26"/>
          <w:szCs w:val="26"/>
        </w:rPr>
        <w:t>О</w:t>
      </w:r>
      <w:r w:rsidR="009E567A">
        <w:rPr>
          <w:sz w:val="26"/>
          <w:szCs w:val="26"/>
        </w:rPr>
        <w:t>бщества</w:t>
      </w:r>
      <w:r w:rsidRPr="004761E0">
        <w:rPr>
          <w:sz w:val="26"/>
          <w:szCs w:val="26"/>
        </w:rPr>
        <w:t xml:space="preserve">. Контент корпоративной страницы обновляется ежедневно. Вниманию аудитории предлагаются актуальные новости Компании, свежие новости ТЭК, публикации ведущих СМИ по вопросам, касающимся сферы деятельности </w:t>
      </w:r>
      <w:r w:rsidR="0008080E">
        <w:rPr>
          <w:sz w:val="26"/>
          <w:szCs w:val="26"/>
        </w:rPr>
        <w:t>ОАО </w:t>
      </w:r>
      <w:r w:rsidRPr="004761E0">
        <w:rPr>
          <w:sz w:val="26"/>
          <w:szCs w:val="26"/>
        </w:rPr>
        <w:t>«МОЭСК», развлекательные фото</w:t>
      </w:r>
      <w:r w:rsidR="00755B4D" w:rsidRPr="004761E0">
        <w:rPr>
          <w:sz w:val="26"/>
          <w:szCs w:val="26"/>
        </w:rPr>
        <w:t>-</w:t>
      </w:r>
      <w:r w:rsidRPr="004761E0">
        <w:rPr>
          <w:sz w:val="26"/>
          <w:szCs w:val="26"/>
        </w:rPr>
        <w:t xml:space="preserve"> и видео матер</w:t>
      </w:r>
      <w:r w:rsidR="00755B4D" w:rsidRPr="004761E0">
        <w:rPr>
          <w:sz w:val="26"/>
          <w:szCs w:val="26"/>
        </w:rPr>
        <w:t>иалы на тему электроэнергетики.</w:t>
      </w:r>
      <w:r w:rsidR="00B3679C" w:rsidRPr="004761E0">
        <w:rPr>
          <w:sz w:val="26"/>
          <w:szCs w:val="26"/>
        </w:rPr>
        <w:t xml:space="preserve"> Корпоративная страничка в </w:t>
      </w:r>
      <w:r w:rsidR="00B3679C" w:rsidRPr="004761E0">
        <w:rPr>
          <w:sz w:val="26"/>
          <w:szCs w:val="26"/>
          <w:lang w:val="en-US"/>
        </w:rPr>
        <w:t>Facebook</w:t>
      </w:r>
      <w:r w:rsidR="00B3679C" w:rsidRPr="004761E0">
        <w:rPr>
          <w:sz w:val="26"/>
          <w:szCs w:val="26"/>
        </w:rPr>
        <w:t xml:space="preserve"> позволяет </w:t>
      </w:r>
      <w:r w:rsidR="0008080E">
        <w:rPr>
          <w:sz w:val="26"/>
          <w:szCs w:val="26"/>
        </w:rPr>
        <w:t>ОАО </w:t>
      </w:r>
      <w:r w:rsidR="00B3679C" w:rsidRPr="004761E0">
        <w:rPr>
          <w:sz w:val="26"/>
          <w:szCs w:val="26"/>
        </w:rPr>
        <w:t xml:space="preserve">«МОЭСК» привлечь внимание широкой аудитории к работе Компании. </w:t>
      </w:r>
    </w:p>
    <w:p w:rsidR="00A470FB" w:rsidRPr="004761E0" w:rsidRDefault="00A470FB" w:rsidP="00A470FB">
      <w:pPr>
        <w:ind w:firstLine="567"/>
        <w:rPr>
          <w:sz w:val="26"/>
          <w:szCs w:val="26"/>
        </w:rPr>
      </w:pPr>
      <w:r w:rsidRPr="004761E0">
        <w:rPr>
          <w:sz w:val="26"/>
          <w:szCs w:val="26"/>
        </w:rPr>
        <w:t xml:space="preserve">С целью оперативного донесения новостей </w:t>
      </w:r>
      <w:r w:rsidR="0008080E">
        <w:rPr>
          <w:sz w:val="26"/>
          <w:szCs w:val="26"/>
        </w:rPr>
        <w:t>ОАО </w:t>
      </w:r>
      <w:r w:rsidRPr="004761E0">
        <w:rPr>
          <w:sz w:val="26"/>
          <w:szCs w:val="26"/>
        </w:rPr>
        <w:t xml:space="preserve">«МОЭСК» до широкого круга заинтересованных лиц ведется корпоративный микроблог в </w:t>
      </w:r>
      <w:r w:rsidRPr="004761E0">
        <w:rPr>
          <w:sz w:val="26"/>
          <w:szCs w:val="26"/>
          <w:lang w:val="en-US"/>
        </w:rPr>
        <w:t>Twitter</w:t>
      </w:r>
      <w:r w:rsidRPr="004761E0">
        <w:rPr>
          <w:sz w:val="26"/>
          <w:szCs w:val="26"/>
        </w:rPr>
        <w:t xml:space="preserve">. Ежедневно в микроблоге </w:t>
      </w:r>
      <w:r w:rsidR="0008080E">
        <w:rPr>
          <w:sz w:val="26"/>
          <w:szCs w:val="26"/>
        </w:rPr>
        <w:t>ОАО </w:t>
      </w:r>
      <w:r w:rsidRPr="004761E0">
        <w:rPr>
          <w:sz w:val="26"/>
          <w:szCs w:val="26"/>
        </w:rPr>
        <w:t>«МОЭСК» публикуется 1-2 сообщения с наиболее значимыми новостями Компании.</w:t>
      </w:r>
    </w:p>
    <w:p w:rsidR="00A470FB" w:rsidRPr="004761E0" w:rsidRDefault="00A470FB" w:rsidP="00A470FB">
      <w:pPr>
        <w:ind w:firstLine="567"/>
        <w:rPr>
          <w:sz w:val="26"/>
          <w:szCs w:val="26"/>
        </w:rPr>
      </w:pPr>
      <w:r w:rsidRPr="004761E0">
        <w:rPr>
          <w:sz w:val="26"/>
          <w:szCs w:val="26"/>
        </w:rPr>
        <w:t xml:space="preserve">Наличие большого количества разнообразных каналов коммуникации с аудиторией упрощает потребителям услуг и другим заинтересованным лицам поиск необходимой информации о Компании. </w:t>
      </w:r>
    </w:p>
    <w:p w:rsidR="00A470FB" w:rsidRPr="004761E0" w:rsidRDefault="00A470FB" w:rsidP="00A470FB">
      <w:pPr>
        <w:spacing w:before="120" w:after="120"/>
        <w:ind w:firstLine="567"/>
        <w:rPr>
          <w:b/>
          <w:sz w:val="26"/>
          <w:szCs w:val="26"/>
        </w:rPr>
      </w:pPr>
      <w:r w:rsidRPr="004761E0">
        <w:rPr>
          <w:b/>
          <w:sz w:val="26"/>
          <w:szCs w:val="26"/>
        </w:rPr>
        <w:t xml:space="preserve">Основные направления, задачи и ключевые проекты, планируемые на 2014 год: </w:t>
      </w:r>
    </w:p>
    <w:p w:rsidR="00A470FB" w:rsidRPr="004761E0" w:rsidRDefault="00A470FB" w:rsidP="007076A7">
      <w:pPr>
        <w:numPr>
          <w:ilvl w:val="0"/>
          <w:numId w:val="76"/>
        </w:numPr>
        <w:ind w:left="1134" w:hanging="567"/>
        <w:rPr>
          <w:sz w:val="26"/>
          <w:szCs w:val="26"/>
        </w:rPr>
      </w:pPr>
      <w:r w:rsidRPr="004761E0">
        <w:rPr>
          <w:sz w:val="26"/>
          <w:szCs w:val="26"/>
          <w:lang w:val="en-US"/>
        </w:rPr>
        <w:t>PR</w:t>
      </w:r>
      <w:r w:rsidRPr="004761E0">
        <w:rPr>
          <w:sz w:val="26"/>
          <w:szCs w:val="26"/>
        </w:rPr>
        <w:t xml:space="preserve">-сопровождение программы </w:t>
      </w:r>
      <w:r w:rsidR="00755B4D" w:rsidRPr="004761E0">
        <w:rPr>
          <w:sz w:val="26"/>
          <w:szCs w:val="26"/>
        </w:rPr>
        <w:t xml:space="preserve">технологического присоединения </w:t>
      </w:r>
      <w:r w:rsidRPr="004761E0">
        <w:rPr>
          <w:sz w:val="26"/>
          <w:szCs w:val="26"/>
        </w:rPr>
        <w:t xml:space="preserve">«3 шага </w:t>
      </w:r>
      <w:r w:rsidR="00755B4D" w:rsidRPr="004761E0">
        <w:rPr>
          <w:sz w:val="26"/>
          <w:szCs w:val="26"/>
        </w:rPr>
        <w:t xml:space="preserve">– </w:t>
      </w:r>
      <w:r w:rsidRPr="004761E0">
        <w:rPr>
          <w:sz w:val="26"/>
          <w:szCs w:val="26"/>
        </w:rPr>
        <w:t>2 визита»;</w:t>
      </w:r>
    </w:p>
    <w:p w:rsidR="00A470FB" w:rsidRPr="004761E0" w:rsidRDefault="00A470FB" w:rsidP="007076A7">
      <w:pPr>
        <w:numPr>
          <w:ilvl w:val="0"/>
          <w:numId w:val="76"/>
        </w:numPr>
        <w:ind w:left="1134" w:hanging="567"/>
        <w:rPr>
          <w:sz w:val="26"/>
          <w:szCs w:val="26"/>
        </w:rPr>
      </w:pPr>
      <w:r w:rsidRPr="004761E0">
        <w:rPr>
          <w:sz w:val="26"/>
          <w:szCs w:val="26"/>
          <w:lang w:val="en-US"/>
        </w:rPr>
        <w:t>PR</w:t>
      </w:r>
      <w:r w:rsidRPr="004761E0">
        <w:rPr>
          <w:sz w:val="26"/>
          <w:szCs w:val="26"/>
        </w:rPr>
        <w:t xml:space="preserve">-продвижение дополнительных услуг </w:t>
      </w:r>
      <w:r w:rsidR="00755B4D" w:rsidRPr="004761E0">
        <w:rPr>
          <w:sz w:val="26"/>
          <w:szCs w:val="26"/>
        </w:rPr>
        <w:t>К</w:t>
      </w:r>
      <w:r w:rsidRPr="004761E0">
        <w:rPr>
          <w:sz w:val="26"/>
          <w:szCs w:val="26"/>
        </w:rPr>
        <w:t>омпании;</w:t>
      </w:r>
    </w:p>
    <w:p w:rsidR="00A470FB" w:rsidRPr="004761E0" w:rsidRDefault="00A470FB" w:rsidP="007076A7">
      <w:pPr>
        <w:numPr>
          <w:ilvl w:val="0"/>
          <w:numId w:val="76"/>
        </w:numPr>
        <w:ind w:left="1134" w:hanging="567"/>
        <w:rPr>
          <w:sz w:val="26"/>
          <w:szCs w:val="26"/>
        </w:rPr>
      </w:pPr>
      <w:r w:rsidRPr="004761E0">
        <w:rPr>
          <w:sz w:val="26"/>
          <w:szCs w:val="26"/>
          <w:lang w:val="en-US"/>
        </w:rPr>
        <w:t>PR</w:t>
      </w:r>
      <w:r w:rsidRPr="004761E0">
        <w:rPr>
          <w:sz w:val="26"/>
          <w:szCs w:val="26"/>
        </w:rPr>
        <w:t>-продвижение мероприятий по повышению надежности и качества оказания услуг;</w:t>
      </w:r>
    </w:p>
    <w:p w:rsidR="00A470FB" w:rsidRPr="004761E0" w:rsidRDefault="00755B4D" w:rsidP="007076A7">
      <w:pPr>
        <w:numPr>
          <w:ilvl w:val="0"/>
          <w:numId w:val="76"/>
        </w:numPr>
        <w:ind w:left="1134" w:hanging="567"/>
        <w:rPr>
          <w:sz w:val="26"/>
          <w:szCs w:val="26"/>
        </w:rPr>
      </w:pPr>
      <w:r w:rsidRPr="004761E0">
        <w:rPr>
          <w:sz w:val="26"/>
          <w:szCs w:val="26"/>
        </w:rPr>
        <w:t>р</w:t>
      </w:r>
      <w:r w:rsidR="00A470FB" w:rsidRPr="004761E0">
        <w:rPr>
          <w:sz w:val="26"/>
          <w:szCs w:val="26"/>
        </w:rPr>
        <w:t xml:space="preserve">азвития </w:t>
      </w:r>
      <w:r w:rsidR="00A470FB" w:rsidRPr="004761E0">
        <w:rPr>
          <w:sz w:val="26"/>
          <w:szCs w:val="26"/>
          <w:lang w:val="en-US"/>
        </w:rPr>
        <w:t>GR</w:t>
      </w:r>
      <w:r w:rsidR="00A470FB" w:rsidRPr="004761E0">
        <w:rPr>
          <w:sz w:val="26"/>
          <w:szCs w:val="26"/>
        </w:rPr>
        <w:t>-направления (взаимодействие и организация совместных мероприятий с органами государственной власти, муниципального управления и общественными организациями; участие в общественных слушаниях в органах законодательной власти; заключение Соглашений о совместной р</w:t>
      </w:r>
      <w:r w:rsidRPr="004761E0">
        <w:rPr>
          <w:sz w:val="26"/>
          <w:szCs w:val="26"/>
        </w:rPr>
        <w:t>аботе по специальным проектам);</w:t>
      </w:r>
    </w:p>
    <w:p w:rsidR="00A470FB" w:rsidRPr="004761E0" w:rsidRDefault="00755B4D" w:rsidP="007076A7">
      <w:pPr>
        <w:numPr>
          <w:ilvl w:val="0"/>
          <w:numId w:val="76"/>
        </w:numPr>
        <w:ind w:left="1134" w:hanging="567"/>
        <w:rPr>
          <w:sz w:val="26"/>
          <w:szCs w:val="26"/>
        </w:rPr>
      </w:pPr>
      <w:r w:rsidRPr="004761E0">
        <w:rPr>
          <w:sz w:val="26"/>
          <w:szCs w:val="26"/>
        </w:rPr>
        <w:t>а</w:t>
      </w:r>
      <w:r w:rsidR="00A470FB" w:rsidRPr="004761E0">
        <w:rPr>
          <w:sz w:val="26"/>
          <w:szCs w:val="26"/>
        </w:rPr>
        <w:t>ктивизация работы в социальных сетях (информирование потребителей о развитии сервиса технологического присоединения и упрощении процедур</w:t>
      </w:r>
      <w:r w:rsidRPr="004761E0">
        <w:rPr>
          <w:sz w:val="26"/>
          <w:szCs w:val="26"/>
        </w:rPr>
        <w:t xml:space="preserve">, </w:t>
      </w:r>
      <w:r w:rsidR="00A470FB" w:rsidRPr="004761E0">
        <w:rPr>
          <w:sz w:val="26"/>
          <w:szCs w:val="26"/>
        </w:rPr>
        <w:t>про</w:t>
      </w:r>
      <w:r w:rsidRPr="004761E0">
        <w:rPr>
          <w:sz w:val="26"/>
          <w:szCs w:val="26"/>
        </w:rPr>
        <w:t>движение дополнительных услуг);</w:t>
      </w:r>
    </w:p>
    <w:p w:rsidR="00A470FB" w:rsidRPr="004761E0" w:rsidRDefault="00755B4D" w:rsidP="007076A7">
      <w:pPr>
        <w:numPr>
          <w:ilvl w:val="0"/>
          <w:numId w:val="76"/>
        </w:numPr>
        <w:ind w:left="1134" w:hanging="567"/>
        <w:rPr>
          <w:lang w:eastAsia="ru-RU"/>
        </w:rPr>
      </w:pPr>
      <w:r w:rsidRPr="004761E0">
        <w:rPr>
          <w:sz w:val="26"/>
          <w:szCs w:val="26"/>
        </w:rPr>
        <w:t>р</w:t>
      </w:r>
      <w:r w:rsidR="00A470FB" w:rsidRPr="004761E0">
        <w:rPr>
          <w:sz w:val="26"/>
          <w:szCs w:val="26"/>
        </w:rPr>
        <w:t xml:space="preserve">азработка и контроль выполнения программы оформления зданий и сооружений филиалов </w:t>
      </w:r>
      <w:r w:rsidR="0008080E">
        <w:rPr>
          <w:sz w:val="26"/>
          <w:szCs w:val="26"/>
        </w:rPr>
        <w:t>ОАО </w:t>
      </w:r>
      <w:r w:rsidR="00A470FB" w:rsidRPr="004761E0">
        <w:rPr>
          <w:sz w:val="26"/>
          <w:szCs w:val="26"/>
        </w:rPr>
        <w:t>«МОЭСК» в соответствии с бренд-буком на 2014 год.</w:t>
      </w:r>
    </w:p>
    <w:p w:rsidR="00715EEC" w:rsidRDefault="00715EEC">
      <w:pPr>
        <w:ind w:firstLine="0"/>
        <w:jc w:val="left"/>
        <w:rPr>
          <w:rFonts w:eastAsia="Times New Roman"/>
          <w:b/>
          <w:bCs/>
          <w:kern w:val="32"/>
          <w:sz w:val="26"/>
          <w:szCs w:val="26"/>
          <w:lang w:eastAsia="ru-RU"/>
        </w:rPr>
      </w:pPr>
      <w:bookmarkStart w:id="140" w:name="_Toc380576955"/>
      <w:r>
        <w:rPr>
          <w:sz w:val="26"/>
          <w:szCs w:val="26"/>
          <w:lang w:eastAsia="ru-RU"/>
        </w:rPr>
        <w:br w:type="page"/>
      </w:r>
    </w:p>
    <w:p w:rsidR="00453705" w:rsidRPr="004761E0" w:rsidRDefault="00E34ACB" w:rsidP="007076A7">
      <w:pPr>
        <w:pStyle w:val="11"/>
        <w:numPr>
          <w:ilvl w:val="0"/>
          <w:numId w:val="321"/>
        </w:numPr>
        <w:spacing w:before="120" w:after="120"/>
        <w:ind w:left="1134" w:hanging="567"/>
        <w:rPr>
          <w:rFonts w:ascii="Times New Roman" w:hAnsi="Times New Roman"/>
          <w:sz w:val="26"/>
          <w:szCs w:val="26"/>
          <w:lang w:eastAsia="ru-RU"/>
        </w:rPr>
      </w:pPr>
      <w:bookmarkStart w:id="141" w:name="_Toc385339853"/>
      <w:r w:rsidRPr="004761E0">
        <w:rPr>
          <w:rFonts w:ascii="Times New Roman" w:hAnsi="Times New Roman"/>
          <w:sz w:val="26"/>
          <w:szCs w:val="26"/>
          <w:lang w:eastAsia="ru-RU"/>
        </w:rPr>
        <w:lastRenderedPageBreak/>
        <w:t>Глоссарий основных понятий и сокращений</w:t>
      </w:r>
      <w:bookmarkEnd w:id="140"/>
      <w:bookmarkEnd w:id="141"/>
    </w:p>
    <w:p w:rsidR="00FD1FFE" w:rsidRPr="004761E0" w:rsidRDefault="00FD1FFE" w:rsidP="00FD1FFE">
      <w:pPr>
        <w:ind w:firstLine="567"/>
        <w:rPr>
          <w:sz w:val="26"/>
          <w:szCs w:val="26"/>
        </w:rPr>
      </w:pPr>
      <w:r w:rsidRPr="004761E0">
        <w:rPr>
          <w:sz w:val="26"/>
          <w:szCs w:val="26"/>
        </w:rPr>
        <w:t>Список основных сокращений и аббревиатур, используемых в тексте Годового отчета.</w:t>
      </w:r>
    </w:p>
    <w:tbl>
      <w:tblPr>
        <w:tblStyle w:val="ae"/>
        <w:tblW w:w="9498" w:type="dxa"/>
        <w:tblInd w:w="108" w:type="dxa"/>
        <w:tblLayout w:type="fixed"/>
        <w:tblLook w:val="04A0"/>
      </w:tblPr>
      <w:tblGrid>
        <w:gridCol w:w="2977"/>
        <w:gridCol w:w="6521"/>
      </w:tblGrid>
      <w:tr w:rsidR="00FD1FFE" w:rsidRPr="004761E0" w:rsidTr="00FD1FFE">
        <w:tc>
          <w:tcPr>
            <w:tcW w:w="2977" w:type="dxa"/>
          </w:tcPr>
          <w:p w:rsidR="00FD1FFE" w:rsidRPr="004761E0" w:rsidRDefault="00FD1FFE" w:rsidP="00FD1FFE">
            <w:pPr>
              <w:ind w:firstLine="0"/>
              <w:jc w:val="left"/>
              <w:rPr>
                <w:sz w:val="22"/>
                <w:szCs w:val="26"/>
              </w:rPr>
            </w:pPr>
            <w:r w:rsidRPr="004761E0">
              <w:rPr>
                <w:sz w:val="22"/>
                <w:szCs w:val="26"/>
              </w:rPr>
              <w:t>ERP (Enterprise Resource Planning)</w:t>
            </w:r>
          </w:p>
        </w:tc>
        <w:tc>
          <w:tcPr>
            <w:tcW w:w="6521" w:type="dxa"/>
          </w:tcPr>
          <w:p w:rsidR="00FD1FFE" w:rsidRPr="004761E0" w:rsidRDefault="00FD1FFE" w:rsidP="00FD1FFE">
            <w:pPr>
              <w:ind w:firstLine="0"/>
              <w:rPr>
                <w:sz w:val="22"/>
                <w:szCs w:val="26"/>
              </w:rPr>
            </w:pPr>
            <w:r w:rsidRPr="004761E0">
              <w:rPr>
                <w:sz w:val="22"/>
                <w:szCs w:val="26"/>
              </w:rPr>
              <w:t>– система управления ресурсами компании, объединяющая все ее подразделения и необходимые функции в одной компьютерной системе, которая обслуживает текущие потребности этих подразделений</w:t>
            </w:r>
          </w:p>
        </w:tc>
      </w:tr>
      <w:tr w:rsidR="00FD1FFE" w:rsidRPr="004761E0" w:rsidTr="00FD1FFE">
        <w:tc>
          <w:tcPr>
            <w:tcW w:w="2977" w:type="dxa"/>
          </w:tcPr>
          <w:p w:rsidR="00FD1FFE" w:rsidRPr="004761E0" w:rsidRDefault="00FD1FFE" w:rsidP="00FD1FFE">
            <w:pPr>
              <w:ind w:firstLine="0"/>
              <w:jc w:val="left"/>
              <w:rPr>
                <w:sz w:val="22"/>
                <w:szCs w:val="26"/>
              </w:rPr>
            </w:pPr>
            <w:r w:rsidRPr="004761E0">
              <w:rPr>
                <w:sz w:val="22"/>
                <w:szCs w:val="26"/>
              </w:rPr>
              <w:t>RAB (Regulatory Asset Base)</w:t>
            </w:r>
          </w:p>
        </w:tc>
        <w:tc>
          <w:tcPr>
            <w:tcW w:w="6521" w:type="dxa"/>
          </w:tcPr>
          <w:p w:rsidR="00FD1FFE" w:rsidRPr="004761E0" w:rsidRDefault="00FD1FFE" w:rsidP="00FD1FFE">
            <w:pPr>
              <w:ind w:firstLine="0"/>
              <w:rPr>
                <w:sz w:val="22"/>
                <w:szCs w:val="26"/>
              </w:rPr>
            </w:pPr>
            <w:r w:rsidRPr="004761E0">
              <w:rPr>
                <w:sz w:val="22"/>
                <w:szCs w:val="26"/>
              </w:rPr>
              <w:t>– метод тарифного регулирования по основе доходности инвестированного капитала</w:t>
            </w:r>
          </w:p>
        </w:tc>
      </w:tr>
      <w:tr w:rsidR="00FD1FFE" w:rsidRPr="004761E0" w:rsidTr="00FD1FFE">
        <w:tc>
          <w:tcPr>
            <w:tcW w:w="2977" w:type="dxa"/>
          </w:tcPr>
          <w:p w:rsidR="00FD1FFE" w:rsidRPr="004761E0" w:rsidRDefault="00FD1FFE" w:rsidP="00FD1FFE">
            <w:pPr>
              <w:ind w:firstLine="0"/>
              <w:jc w:val="left"/>
              <w:rPr>
                <w:sz w:val="22"/>
                <w:szCs w:val="26"/>
              </w:rPr>
            </w:pPr>
            <w:r w:rsidRPr="004761E0">
              <w:rPr>
                <w:sz w:val="22"/>
                <w:szCs w:val="26"/>
              </w:rPr>
              <w:t>SAP</w:t>
            </w:r>
          </w:p>
        </w:tc>
        <w:tc>
          <w:tcPr>
            <w:tcW w:w="6521" w:type="dxa"/>
          </w:tcPr>
          <w:p w:rsidR="00FD1FFE" w:rsidRPr="004761E0" w:rsidRDefault="00FD1FFE" w:rsidP="00FD1FFE">
            <w:pPr>
              <w:ind w:firstLine="0"/>
              <w:rPr>
                <w:sz w:val="22"/>
                <w:szCs w:val="26"/>
              </w:rPr>
            </w:pPr>
            <w:r w:rsidRPr="004761E0">
              <w:rPr>
                <w:sz w:val="22"/>
                <w:szCs w:val="26"/>
              </w:rPr>
              <w:t xml:space="preserve">– программное обеспечение немецкой компании SAP AG </w:t>
            </w:r>
          </w:p>
        </w:tc>
      </w:tr>
      <w:tr w:rsidR="00FD1FFE" w:rsidRPr="004761E0" w:rsidTr="00FD1FFE">
        <w:tc>
          <w:tcPr>
            <w:tcW w:w="2977" w:type="dxa"/>
          </w:tcPr>
          <w:p w:rsidR="00FD1FFE" w:rsidRPr="004761E0" w:rsidRDefault="00FD1FFE" w:rsidP="00FD1FFE">
            <w:pPr>
              <w:ind w:firstLine="0"/>
              <w:jc w:val="left"/>
              <w:rPr>
                <w:sz w:val="22"/>
                <w:szCs w:val="26"/>
                <w:lang w:val="en-US"/>
              </w:rPr>
            </w:pPr>
            <w:r w:rsidRPr="004761E0">
              <w:rPr>
                <w:sz w:val="22"/>
                <w:szCs w:val="26"/>
              </w:rPr>
              <w:t>Smart Grid</w:t>
            </w:r>
          </w:p>
        </w:tc>
        <w:tc>
          <w:tcPr>
            <w:tcW w:w="6521" w:type="dxa"/>
          </w:tcPr>
          <w:p w:rsidR="00FD1FFE" w:rsidRPr="004761E0" w:rsidRDefault="00FD1FFE" w:rsidP="00FD1FFE">
            <w:pPr>
              <w:ind w:firstLine="0"/>
              <w:rPr>
                <w:sz w:val="22"/>
                <w:szCs w:val="26"/>
              </w:rPr>
            </w:pPr>
            <w:r w:rsidRPr="004761E0">
              <w:rPr>
                <w:sz w:val="22"/>
                <w:szCs w:val="26"/>
              </w:rPr>
              <w:t>– технологии «умных сетей»</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АИИС КУЭ</w:t>
            </w:r>
          </w:p>
        </w:tc>
        <w:tc>
          <w:tcPr>
            <w:tcW w:w="6521" w:type="dxa"/>
          </w:tcPr>
          <w:p w:rsidR="00FD1FFE" w:rsidRPr="004761E0" w:rsidRDefault="00FD1FFE" w:rsidP="00FD1FFE">
            <w:pPr>
              <w:ind w:firstLine="0"/>
              <w:rPr>
                <w:sz w:val="22"/>
                <w:szCs w:val="26"/>
              </w:rPr>
            </w:pPr>
            <w:r w:rsidRPr="004761E0">
              <w:rPr>
                <w:sz w:val="22"/>
                <w:szCs w:val="26"/>
              </w:rPr>
              <w:t>– автоматизированные информационно-измерительные системы коммерческого учета электроэнергии</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АСУ ФХД</w:t>
            </w:r>
          </w:p>
        </w:tc>
        <w:tc>
          <w:tcPr>
            <w:tcW w:w="6521" w:type="dxa"/>
          </w:tcPr>
          <w:p w:rsidR="00FD1FFE" w:rsidRPr="004761E0" w:rsidRDefault="00FD1FFE" w:rsidP="00FD1FFE">
            <w:pPr>
              <w:ind w:firstLine="0"/>
              <w:rPr>
                <w:sz w:val="22"/>
                <w:szCs w:val="26"/>
              </w:rPr>
            </w:pPr>
            <w:r w:rsidRPr="004761E0">
              <w:rPr>
                <w:sz w:val="22"/>
                <w:szCs w:val="26"/>
              </w:rPr>
              <w:t>– автоматизированная система управления финансово-хозяйственной деятельностью</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ВЛ</w:t>
            </w:r>
          </w:p>
        </w:tc>
        <w:tc>
          <w:tcPr>
            <w:tcW w:w="6521" w:type="dxa"/>
          </w:tcPr>
          <w:p w:rsidR="00FD1FFE" w:rsidRPr="004761E0" w:rsidRDefault="00FD1FFE" w:rsidP="00FD1FFE">
            <w:pPr>
              <w:ind w:firstLine="0"/>
              <w:rPr>
                <w:sz w:val="22"/>
                <w:szCs w:val="26"/>
              </w:rPr>
            </w:pPr>
            <w:r w:rsidRPr="004761E0">
              <w:rPr>
                <w:sz w:val="22"/>
                <w:szCs w:val="26"/>
              </w:rPr>
              <w:t>– воздушная линия</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ВОЛС</w:t>
            </w:r>
          </w:p>
        </w:tc>
        <w:tc>
          <w:tcPr>
            <w:tcW w:w="6521" w:type="dxa"/>
          </w:tcPr>
          <w:p w:rsidR="00FD1FFE" w:rsidRPr="004761E0" w:rsidRDefault="00FD1FFE" w:rsidP="00FD1FFE">
            <w:pPr>
              <w:ind w:firstLine="0"/>
              <w:rPr>
                <w:sz w:val="22"/>
                <w:szCs w:val="26"/>
              </w:rPr>
            </w:pPr>
            <w:r w:rsidRPr="004761E0">
              <w:rPr>
                <w:sz w:val="22"/>
                <w:szCs w:val="26"/>
              </w:rPr>
              <w:t>– волоконно-оптические линии связи</w:t>
            </w:r>
          </w:p>
        </w:tc>
      </w:tr>
      <w:tr w:rsidR="0019221B" w:rsidRPr="004761E0" w:rsidTr="0019221B">
        <w:tc>
          <w:tcPr>
            <w:tcW w:w="2977" w:type="dxa"/>
          </w:tcPr>
          <w:p w:rsidR="0019221B" w:rsidRPr="004761E0" w:rsidRDefault="0019221B" w:rsidP="0019221B">
            <w:pPr>
              <w:ind w:firstLine="0"/>
              <w:rPr>
                <w:sz w:val="22"/>
                <w:szCs w:val="26"/>
              </w:rPr>
            </w:pPr>
            <w:r>
              <w:rPr>
                <w:sz w:val="22"/>
                <w:szCs w:val="26"/>
              </w:rPr>
              <w:t>В</w:t>
            </w:r>
            <w:r w:rsidRPr="004761E0">
              <w:rPr>
                <w:sz w:val="22"/>
                <w:szCs w:val="26"/>
              </w:rPr>
              <w:t>ОСА</w:t>
            </w:r>
          </w:p>
        </w:tc>
        <w:tc>
          <w:tcPr>
            <w:tcW w:w="6521" w:type="dxa"/>
          </w:tcPr>
          <w:p w:rsidR="0019221B" w:rsidRPr="004761E0" w:rsidRDefault="0019221B" w:rsidP="0019221B">
            <w:pPr>
              <w:ind w:firstLine="0"/>
              <w:rPr>
                <w:sz w:val="22"/>
                <w:szCs w:val="26"/>
              </w:rPr>
            </w:pPr>
            <w:r w:rsidRPr="004761E0">
              <w:rPr>
                <w:sz w:val="22"/>
                <w:szCs w:val="26"/>
              </w:rPr>
              <w:t>– </w:t>
            </w:r>
            <w:r>
              <w:rPr>
                <w:sz w:val="22"/>
                <w:szCs w:val="26"/>
              </w:rPr>
              <w:t>внеочередное</w:t>
            </w:r>
            <w:r w:rsidRPr="004761E0">
              <w:rPr>
                <w:sz w:val="22"/>
                <w:szCs w:val="26"/>
              </w:rPr>
              <w:t xml:space="preserve"> Общее собрание акционеров </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ГОСА</w:t>
            </w:r>
          </w:p>
        </w:tc>
        <w:tc>
          <w:tcPr>
            <w:tcW w:w="6521" w:type="dxa"/>
          </w:tcPr>
          <w:p w:rsidR="00FD1FFE" w:rsidRPr="004761E0" w:rsidRDefault="00FD1FFE" w:rsidP="00FD1FFE">
            <w:pPr>
              <w:ind w:firstLine="0"/>
              <w:rPr>
                <w:sz w:val="22"/>
                <w:szCs w:val="26"/>
              </w:rPr>
            </w:pPr>
            <w:r w:rsidRPr="004761E0">
              <w:rPr>
                <w:sz w:val="22"/>
                <w:szCs w:val="26"/>
              </w:rPr>
              <w:t xml:space="preserve">– годовое Общее собрание акционеров </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ГРЭС</w:t>
            </w:r>
          </w:p>
        </w:tc>
        <w:tc>
          <w:tcPr>
            <w:tcW w:w="6521" w:type="dxa"/>
          </w:tcPr>
          <w:p w:rsidR="00FD1FFE" w:rsidRPr="004761E0" w:rsidRDefault="00FD1FFE" w:rsidP="00FD1FFE">
            <w:pPr>
              <w:ind w:firstLine="0"/>
              <w:rPr>
                <w:sz w:val="22"/>
                <w:szCs w:val="26"/>
              </w:rPr>
            </w:pPr>
            <w:r w:rsidRPr="004761E0">
              <w:rPr>
                <w:sz w:val="22"/>
                <w:szCs w:val="26"/>
              </w:rPr>
              <w:t>– государственная районная электростанция (историческое название)</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ДЗО</w:t>
            </w:r>
          </w:p>
        </w:tc>
        <w:tc>
          <w:tcPr>
            <w:tcW w:w="6521" w:type="dxa"/>
          </w:tcPr>
          <w:p w:rsidR="00FD1FFE" w:rsidRPr="004761E0" w:rsidRDefault="00FD1FFE" w:rsidP="00FD1FFE">
            <w:pPr>
              <w:ind w:firstLine="0"/>
              <w:rPr>
                <w:sz w:val="22"/>
                <w:szCs w:val="26"/>
              </w:rPr>
            </w:pPr>
            <w:r w:rsidRPr="004761E0">
              <w:rPr>
                <w:sz w:val="22"/>
                <w:szCs w:val="26"/>
              </w:rPr>
              <w:t>– дочерние и зависимые общества</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Единый (котловой) тариф</w:t>
            </w:r>
          </w:p>
        </w:tc>
        <w:tc>
          <w:tcPr>
            <w:tcW w:w="6521" w:type="dxa"/>
          </w:tcPr>
          <w:p w:rsidR="00FD1FFE" w:rsidRPr="004761E0" w:rsidRDefault="00FD1FFE" w:rsidP="00FD1FFE">
            <w:pPr>
              <w:ind w:firstLine="0"/>
              <w:rPr>
                <w:sz w:val="22"/>
                <w:szCs w:val="26"/>
              </w:rPr>
            </w:pPr>
            <w:r w:rsidRPr="004761E0">
              <w:rPr>
                <w:sz w:val="22"/>
                <w:szCs w:val="26"/>
              </w:rPr>
              <w:t>– цена (тариф) на услуги по передаче электроэнергии в целях расчетов с потребителями услуг (кроме сетевых организаций), расположенными на территории соответствующего субъекта РФ и принадлежащими к одной группе (категории) из числа тех, по которым законодательством РФ предусмотрена дифференциация тарифов на электроэнергию (мощность), независимо от того, к сетям какой сетевой организации они присоединены, если решением Правительства РФ не предусмотрено иное</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ИТ</w:t>
            </w:r>
          </w:p>
        </w:tc>
        <w:tc>
          <w:tcPr>
            <w:tcW w:w="6521" w:type="dxa"/>
          </w:tcPr>
          <w:p w:rsidR="00FD1FFE" w:rsidRPr="004761E0" w:rsidRDefault="00FD1FFE" w:rsidP="00FD1FFE">
            <w:pPr>
              <w:ind w:firstLine="0"/>
              <w:rPr>
                <w:sz w:val="22"/>
                <w:szCs w:val="26"/>
              </w:rPr>
            </w:pPr>
            <w:r w:rsidRPr="004761E0">
              <w:rPr>
                <w:sz w:val="22"/>
                <w:szCs w:val="26"/>
              </w:rPr>
              <w:t>– информационные технологии</w:t>
            </w:r>
          </w:p>
        </w:tc>
      </w:tr>
      <w:tr w:rsidR="00FD1FFE" w:rsidRPr="004761E0" w:rsidTr="00FD1FFE">
        <w:tc>
          <w:tcPr>
            <w:tcW w:w="2977" w:type="dxa"/>
          </w:tcPr>
          <w:p w:rsidR="00FD1FFE" w:rsidRPr="004761E0" w:rsidRDefault="00FD1FFE" w:rsidP="00FD1FFE">
            <w:pPr>
              <w:ind w:left="709" w:hanging="709"/>
              <w:rPr>
                <w:sz w:val="22"/>
                <w:szCs w:val="26"/>
              </w:rPr>
            </w:pPr>
            <w:r w:rsidRPr="004761E0">
              <w:rPr>
                <w:sz w:val="22"/>
                <w:szCs w:val="26"/>
              </w:rPr>
              <w:t>КВЛ</w:t>
            </w:r>
          </w:p>
        </w:tc>
        <w:tc>
          <w:tcPr>
            <w:tcW w:w="6521" w:type="dxa"/>
          </w:tcPr>
          <w:p w:rsidR="00FD1FFE" w:rsidRPr="004761E0" w:rsidRDefault="00FD1FFE" w:rsidP="00FD1FFE">
            <w:pPr>
              <w:ind w:left="709" w:hanging="709"/>
              <w:rPr>
                <w:sz w:val="22"/>
                <w:szCs w:val="26"/>
              </w:rPr>
            </w:pPr>
            <w:r w:rsidRPr="004761E0">
              <w:rPr>
                <w:sz w:val="22"/>
                <w:szCs w:val="26"/>
              </w:rPr>
              <w:t>– кабельно-воздушная линия</w:t>
            </w:r>
          </w:p>
        </w:tc>
      </w:tr>
      <w:tr w:rsidR="00FD1FFE" w:rsidRPr="004761E0" w:rsidTr="00FD1FFE">
        <w:tc>
          <w:tcPr>
            <w:tcW w:w="2977" w:type="dxa"/>
          </w:tcPr>
          <w:p w:rsidR="00FD1FFE" w:rsidRPr="004761E0" w:rsidRDefault="00FD1FFE" w:rsidP="00FD1FFE">
            <w:pPr>
              <w:ind w:left="709" w:hanging="709"/>
              <w:rPr>
                <w:sz w:val="22"/>
                <w:szCs w:val="26"/>
              </w:rPr>
            </w:pPr>
            <w:r w:rsidRPr="004761E0">
              <w:rPr>
                <w:sz w:val="22"/>
                <w:szCs w:val="26"/>
              </w:rPr>
              <w:t>КЛ</w:t>
            </w:r>
          </w:p>
        </w:tc>
        <w:tc>
          <w:tcPr>
            <w:tcW w:w="6521" w:type="dxa"/>
          </w:tcPr>
          <w:p w:rsidR="00FD1FFE" w:rsidRPr="004761E0" w:rsidRDefault="00FD1FFE" w:rsidP="00FD1FFE">
            <w:pPr>
              <w:ind w:firstLine="0"/>
              <w:rPr>
                <w:sz w:val="22"/>
                <w:szCs w:val="26"/>
              </w:rPr>
            </w:pPr>
            <w:r w:rsidRPr="004761E0">
              <w:rPr>
                <w:sz w:val="22"/>
                <w:szCs w:val="26"/>
              </w:rPr>
              <w:t>– кабельная линия</w:t>
            </w:r>
          </w:p>
        </w:tc>
      </w:tr>
      <w:tr w:rsidR="00FD1FFE" w:rsidRPr="004761E0" w:rsidTr="00FD1FFE">
        <w:trPr>
          <w:trHeight w:val="85"/>
        </w:trPr>
        <w:tc>
          <w:tcPr>
            <w:tcW w:w="2977" w:type="dxa"/>
          </w:tcPr>
          <w:p w:rsidR="00FD1FFE" w:rsidRPr="004761E0" w:rsidRDefault="00FD1FFE" w:rsidP="00FD1FFE">
            <w:pPr>
              <w:ind w:left="709" w:hanging="709"/>
              <w:rPr>
                <w:sz w:val="22"/>
                <w:szCs w:val="26"/>
              </w:rPr>
            </w:pPr>
            <w:r w:rsidRPr="004761E0">
              <w:rPr>
                <w:sz w:val="22"/>
                <w:szCs w:val="26"/>
              </w:rPr>
              <w:t>КПЭ</w:t>
            </w:r>
          </w:p>
        </w:tc>
        <w:tc>
          <w:tcPr>
            <w:tcW w:w="6521" w:type="dxa"/>
          </w:tcPr>
          <w:p w:rsidR="00FD1FFE" w:rsidRPr="004761E0" w:rsidRDefault="00FD1FFE" w:rsidP="00FD1FFE">
            <w:pPr>
              <w:ind w:firstLine="0"/>
              <w:rPr>
                <w:sz w:val="22"/>
                <w:szCs w:val="26"/>
              </w:rPr>
            </w:pPr>
            <w:r w:rsidRPr="004761E0">
              <w:rPr>
                <w:sz w:val="22"/>
                <w:szCs w:val="26"/>
              </w:rPr>
              <w:t>– ключевые показатели эффективности</w:t>
            </w:r>
          </w:p>
        </w:tc>
      </w:tr>
      <w:tr w:rsidR="00FD1FFE" w:rsidRPr="004761E0" w:rsidTr="00FD1FFE">
        <w:trPr>
          <w:trHeight w:val="211"/>
        </w:trPr>
        <w:tc>
          <w:tcPr>
            <w:tcW w:w="2977" w:type="dxa"/>
          </w:tcPr>
          <w:p w:rsidR="00FD1FFE" w:rsidRPr="004761E0" w:rsidRDefault="00FD1FFE" w:rsidP="00FD1FFE">
            <w:pPr>
              <w:ind w:firstLine="0"/>
              <w:rPr>
                <w:sz w:val="22"/>
                <w:szCs w:val="26"/>
              </w:rPr>
            </w:pPr>
            <w:r w:rsidRPr="004761E0">
              <w:rPr>
                <w:sz w:val="22"/>
                <w:szCs w:val="26"/>
              </w:rPr>
              <w:t>ЛЭП</w:t>
            </w:r>
          </w:p>
        </w:tc>
        <w:tc>
          <w:tcPr>
            <w:tcW w:w="6521" w:type="dxa"/>
          </w:tcPr>
          <w:p w:rsidR="00FD1FFE" w:rsidRPr="004761E0" w:rsidRDefault="00FD1FFE" w:rsidP="00FD1FFE">
            <w:pPr>
              <w:ind w:firstLine="34"/>
              <w:rPr>
                <w:sz w:val="22"/>
                <w:szCs w:val="26"/>
              </w:rPr>
            </w:pPr>
            <w:r w:rsidRPr="004761E0">
              <w:rPr>
                <w:sz w:val="22"/>
                <w:szCs w:val="26"/>
              </w:rPr>
              <w:t>– линия электропередачи</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МРСК</w:t>
            </w:r>
          </w:p>
        </w:tc>
        <w:tc>
          <w:tcPr>
            <w:tcW w:w="6521" w:type="dxa"/>
          </w:tcPr>
          <w:p w:rsidR="00FD1FFE" w:rsidRPr="004761E0" w:rsidRDefault="00FD1FFE" w:rsidP="00FD1FFE">
            <w:pPr>
              <w:ind w:firstLine="34"/>
              <w:rPr>
                <w:sz w:val="22"/>
                <w:szCs w:val="26"/>
              </w:rPr>
            </w:pPr>
            <w:r w:rsidRPr="004761E0">
              <w:rPr>
                <w:sz w:val="22"/>
                <w:szCs w:val="26"/>
              </w:rPr>
              <w:t>– межрегиональная распределительная сетевая компания</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Минэнерго России</w:t>
            </w:r>
          </w:p>
        </w:tc>
        <w:tc>
          <w:tcPr>
            <w:tcW w:w="6521" w:type="dxa"/>
          </w:tcPr>
          <w:p w:rsidR="00FD1FFE" w:rsidRPr="004761E0" w:rsidRDefault="00FD1FFE" w:rsidP="00FD1FFE">
            <w:pPr>
              <w:ind w:firstLine="34"/>
              <w:rPr>
                <w:sz w:val="22"/>
                <w:szCs w:val="26"/>
              </w:rPr>
            </w:pPr>
            <w:r w:rsidRPr="004761E0">
              <w:rPr>
                <w:sz w:val="22"/>
                <w:szCs w:val="26"/>
              </w:rPr>
              <w:t>– Министерство энергетики Российской Федерации</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ММВБ</w:t>
            </w:r>
          </w:p>
        </w:tc>
        <w:tc>
          <w:tcPr>
            <w:tcW w:w="6521" w:type="dxa"/>
          </w:tcPr>
          <w:p w:rsidR="00FD1FFE" w:rsidRPr="004761E0" w:rsidRDefault="00FD1FFE" w:rsidP="00FD1FFE">
            <w:pPr>
              <w:ind w:firstLine="34"/>
              <w:rPr>
                <w:sz w:val="22"/>
                <w:szCs w:val="26"/>
              </w:rPr>
            </w:pPr>
            <w:r w:rsidRPr="004761E0">
              <w:rPr>
                <w:sz w:val="22"/>
                <w:szCs w:val="26"/>
              </w:rPr>
              <w:t>– Московская межбанковская валютная биржа</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Московское РДУ</w:t>
            </w:r>
          </w:p>
        </w:tc>
        <w:tc>
          <w:tcPr>
            <w:tcW w:w="6521" w:type="dxa"/>
          </w:tcPr>
          <w:p w:rsidR="00FD1FFE" w:rsidRPr="004761E0" w:rsidRDefault="00FD1FFE" w:rsidP="00FD1FFE">
            <w:pPr>
              <w:ind w:firstLine="34"/>
              <w:rPr>
                <w:sz w:val="22"/>
                <w:szCs w:val="26"/>
              </w:rPr>
            </w:pPr>
            <w:r w:rsidRPr="004761E0">
              <w:rPr>
                <w:sz w:val="22"/>
                <w:szCs w:val="26"/>
              </w:rPr>
              <w:t xml:space="preserve">– региональное диспетчерское управление энергосистемы г. Москвы и Московской области – филиал </w:t>
            </w:r>
            <w:r w:rsidR="0008080E">
              <w:rPr>
                <w:sz w:val="22"/>
                <w:szCs w:val="26"/>
              </w:rPr>
              <w:t>ОАО </w:t>
            </w:r>
            <w:r w:rsidRPr="004761E0">
              <w:rPr>
                <w:sz w:val="22"/>
                <w:szCs w:val="26"/>
              </w:rPr>
              <w:t>«СО ЕЭС»</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МСФО</w:t>
            </w:r>
          </w:p>
        </w:tc>
        <w:tc>
          <w:tcPr>
            <w:tcW w:w="6521" w:type="dxa"/>
          </w:tcPr>
          <w:p w:rsidR="00FD1FFE" w:rsidRPr="004761E0" w:rsidRDefault="00FD1FFE" w:rsidP="00FD1FFE">
            <w:pPr>
              <w:ind w:firstLine="34"/>
              <w:rPr>
                <w:sz w:val="22"/>
                <w:szCs w:val="26"/>
              </w:rPr>
            </w:pPr>
            <w:r w:rsidRPr="004761E0">
              <w:rPr>
                <w:sz w:val="22"/>
                <w:szCs w:val="26"/>
              </w:rPr>
              <w:t>– международные стандарты финансовой отчетности</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НДС</w:t>
            </w:r>
          </w:p>
        </w:tc>
        <w:tc>
          <w:tcPr>
            <w:tcW w:w="6521" w:type="dxa"/>
          </w:tcPr>
          <w:p w:rsidR="00FD1FFE" w:rsidRPr="004761E0" w:rsidRDefault="00FD1FFE" w:rsidP="00FD1FFE">
            <w:pPr>
              <w:ind w:firstLine="34"/>
              <w:rPr>
                <w:sz w:val="22"/>
                <w:szCs w:val="26"/>
              </w:rPr>
            </w:pPr>
            <w:r w:rsidRPr="004761E0">
              <w:rPr>
                <w:sz w:val="22"/>
                <w:szCs w:val="26"/>
              </w:rPr>
              <w:t>– налог на добавленную стоимость</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НИОКР</w:t>
            </w:r>
          </w:p>
        </w:tc>
        <w:tc>
          <w:tcPr>
            <w:tcW w:w="6521" w:type="dxa"/>
          </w:tcPr>
          <w:p w:rsidR="00FD1FFE" w:rsidRPr="004761E0" w:rsidRDefault="00FD1FFE" w:rsidP="00FD1FFE">
            <w:pPr>
              <w:ind w:firstLine="34"/>
              <w:rPr>
                <w:sz w:val="22"/>
                <w:szCs w:val="26"/>
              </w:rPr>
            </w:pPr>
            <w:r w:rsidRPr="004761E0">
              <w:rPr>
                <w:sz w:val="22"/>
                <w:szCs w:val="26"/>
              </w:rPr>
              <w:t>– научно-исследовательские и опытно-конструкторские работы</w:t>
            </w:r>
          </w:p>
        </w:tc>
      </w:tr>
      <w:tr w:rsidR="00FD1FFE" w:rsidRPr="004761E0" w:rsidTr="00FD1FFE">
        <w:tc>
          <w:tcPr>
            <w:tcW w:w="2977" w:type="dxa"/>
          </w:tcPr>
          <w:p w:rsidR="00FD1FFE" w:rsidRPr="004761E0" w:rsidRDefault="00FD1FFE" w:rsidP="00FD1FFE">
            <w:pPr>
              <w:ind w:firstLine="0"/>
              <w:rPr>
                <w:sz w:val="22"/>
                <w:szCs w:val="26"/>
              </w:rPr>
            </w:pPr>
            <w:r w:rsidRPr="004761E0">
              <w:rPr>
                <w:rFonts w:eastAsia="SimSun"/>
                <w:sz w:val="24"/>
                <w:szCs w:val="24"/>
                <w:lang w:eastAsia="zh-CN"/>
              </w:rPr>
              <w:t>НИР</w:t>
            </w:r>
          </w:p>
        </w:tc>
        <w:tc>
          <w:tcPr>
            <w:tcW w:w="6521" w:type="dxa"/>
          </w:tcPr>
          <w:p w:rsidR="00FD1FFE" w:rsidRPr="004761E0" w:rsidRDefault="00FD1FFE" w:rsidP="00FD1FFE">
            <w:pPr>
              <w:ind w:firstLine="34"/>
              <w:rPr>
                <w:sz w:val="22"/>
                <w:szCs w:val="26"/>
              </w:rPr>
            </w:pPr>
            <w:r w:rsidRPr="004761E0">
              <w:rPr>
                <w:sz w:val="22"/>
                <w:szCs w:val="26"/>
              </w:rPr>
              <w:t>– научно-исследовательские работы</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ОГК</w:t>
            </w:r>
          </w:p>
        </w:tc>
        <w:tc>
          <w:tcPr>
            <w:tcW w:w="6521" w:type="dxa"/>
          </w:tcPr>
          <w:p w:rsidR="00FD1FFE" w:rsidRPr="004761E0" w:rsidRDefault="00FD1FFE" w:rsidP="00FD1FFE">
            <w:pPr>
              <w:ind w:firstLine="34"/>
              <w:rPr>
                <w:sz w:val="22"/>
                <w:szCs w:val="26"/>
              </w:rPr>
            </w:pPr>
            <w:r w:rsidRPr="004761E0">
              <w:rPr>
                <w:sz w:val="22"/>
                <w:szCs w:val="26"/>
              </w:rPr>
              <w:t>– оптовая генерирующая компания</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ОТ КЗ</w:t>
            </w:r>
          </w:p>
        </w:tc>
        <w:tc>
          <w:tcPr>
            <w:tcW w:w="6521" w:type="dxa"/>
          </w:tcPr>
          <w:p w:rsidR="00FD1FFE" w:rsidRPr="004761E0" w:rsidRDefault="00FD1FFE" w:rsidP="00FD1FFE">
            <w:pPr>
              <w:ind w:firstLine="34"/>
              <w:rPr>
                <w:sz w:val="22"/>
                <w:szCs w:val="26"/>
              </w:rPr>
            </w:pPr>
            <w:r w:rsidRPr="004761E0">
              <w:rPr>
                <w:sz w:val="22"/>
                <w:szCs w:val="26"/>
              </w:rPr>
              <w:t>– ограничитель тока короткого замыкания</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п.п.</w:t>
            </w:r>
          </w:p>
        </w:tc>
        <w:tc>
          <w:tcPr>
            <w:tcW w:w="6521" w:type="dxa"/>
          </w:tcPr>
          <w:p w:rsidR="00FD1FFE" w:rsidRPr="004761E0" w:rsidRDefault="00FD1FFE" w:rsidP="00FD1FFE">
            <w:pPr>
              <w:ind w:firstLine="34"/>
              <w:rPr>
                <w:sz w:val="22"/>
                <w:szCs w:val="26"/>
              </w:rPr>
            </w:pPr>
            <w:r w:rsidRPr="004761E0">
              <w:rPr>
                <w:sz w:val="22"/>
                <w:szCs w:val="26"/>
              </w:rPr>
              <w:t>– процентный пункт</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пп.</w:t>
            </w:r>
          </w:p>
        </w:tc>
        <w:tc>
          <w:tcPr>
            <w:tcW w:w="6521" w:type="dxa"/>
          </w:tcPr>
          <w:p w:rsidR="00FD1FFE" w:rsidRPr="004761E0" w:rsidRDefault="00FD1FFE" w:rsidP="00FD1FFE">
            <w:pPr>
              <w:ind w:firstLine="34"/>
              <w:rPr>
                <w:sz w:val="22"/>
                <w:szCs w:val="26"/>
              </w:rPr>
            </w:pPr>
            <w:r w:rsidRPr="004761E0">
              <w:rPr>
                <w:sz w:val="22"/>
                <w:szCs w:val="26"/>
              </w:rPr>
              <w:t>– подпункт</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ПС</w:t>
            </w:r>
          </w:p>
        </w:tc>
        <w:tc>
          <w:tcPr>
            <w:tcW w:w="6521" w:type="dxa"/>
          </w:tcPr>
          <w:p w:rsidR="00FD1FFE" w:rsidRPr="004761E0" w:rsidRDefault="00FD1FFE" w:rsidP="00FD1FFE">
            <w:pPr>
              <w:ind w:firstLine="34"/>
              <w:rPr>
                <w:sz w:val="22"/>
                <w:szCs w:val="26"/>
              </w:rPr>
            </w:pPr>
            <w:r w:rsidRPr="004761E0">
              <w:rPr>
                <w:sz w:val="22"/>
                <w:szCs w:val="26"/>
              </w:rPr>
              <w:t>– подстанция напряжением 35 кВ и выше</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Потребители ГН</w:t>
            </w:r>
          </w:p>
        </w:tc>
        <w:tc>
          <w:tcPr>
            <w:tcW w:w="6521" w:type="dxa"/>
          </w:tcPr>
          <w:p w:rsidR="00FD1FFE" w:rsidRPr="004761E0" w:rsidRDefault="00FD1FFE" w:rsidP="00FD1FFE">
            <w:pPr>
              <w:ind w:firstLine="34"/>
              <w:rPr>
                <w:sz w:val="22"/>
                <w:szCs w:val="26"/>
              </w:rPr>
            </w:pPr>
            <w:r w:rsidRPr="004761E0">
              <w:rPr>
                <w:sz w:val="22"/>
                <w:szCs w:val="26"/>
              </w:rPr>
              <w:t>– потребители электроэнергии, энергопринимающие устройства которых присоединены к электрическим сетям сетевой организации через энергетические установки производителя электрической энергии. Потребитель ГН оплачивает услуги по передаче электроэнергии по установленной ставке тарифа на содержание электрических сетей.</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lastRenderedPageBreak/>
              <w:t>ПИР</w:t>
            </w:r>
          </w:p>
        </w:tc>
        <w:tc>
          <w:tcPr>
            <w:tcW w:w="6521" w:type="dxa"/>
          </w:tcPr>
          <w:p w:rsidR="00FD1FFE" w:rsidRPr="004761E0" w:rsidRDefault="00FD1FFE" w:rsidP="00FD1FFE">
            <w:pPr>
              <w:ind w:firstLine="34"/>
              <w:rPr>
                <w:sz w:val="22"/>
                <w:szCs w:val="26"/>
              </w:rPr>
            </w:pPr>
            <w:r w:rsidRPr="004761E0">
              <w:rPr>
                <w:sz w:val="22"/>
                <w:szCs w:val="26"/>
              </w:rPr>
              <w:t>– проектно-изыскательские работы</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ПТК</w:t>
            </w:r>
          </w:p>
        </w:tc>
        <w:tc>
          <w:tcPr>
            <w:tcW w:w="6521" w:type="dxa"/>
          </w:tcPr>
          <w:p w:rsidR="00FD1FFE" w:rsidRPr="004761E0" w:rsidRDefault="00FD1FFE" w:rsidP="00FD1FFE">
            <w:pPr>
              <w:ind w:firstLine="34"/>
              <w:rPr>
                <w:sz w:val="22"/>
                <w:szCs w:val="26"/>
              </w:rPr>
            </w:pPr>
            <w:r w:rsidRPr="004761E0">
              <w:rPr>
                <w:sz w:val="22"/>
                <w:szCs w:val="26"/>
              </w:rPr>
              <w:t>– программно-технический комплекс</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РСБУ</w:t>
            </w:r>
          </w:p>
        </w:tc>
        <w:tc>
          <w:tcPr>
            <w:tcW w:w="6521" w:type="dxa"/>
          </w:tcPr>
          <w:p w:rsidR="00FD1FFE" w:rsidRPr="004761E0" w:rsidRDefault="00FD1FFE" w:rsidP="00FD1FFE">
            <w:pPr>
              <w:ind w:firstLine="34"/>
              <w:rPr>
                <w:sz w:val="22"/>
                <w:szCs w:val="26"/>
              </w:rPr>
            </w:pPr>
            <w:r w:rsidRPr="004761E0">
              <w:rPr>
                <w:sz w:val="22"/>
                <w:szCs w:val="26"/>
              </w:rPr>
              <w:t>– российские стандарты бухгалтерского учета</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РТС</w:t>
            </w:r>
          </w:p>
        </w:tc>
        <w:tc>
          <w:tcPr>
            <w:tcW w:w="6521" w:type="dxa"/>
          </w:tcPr>
          <w:p w:rsidR="00FD1FFE" w:rsidRPr="004761E0" w:rsidRDefault="00FD1FFE" w:rsidP="00FD1FFE">
            <w:pPr>
              <w:ind w:firstLine="34"/>
              <w:rPr>
                <w:sz w:val="22"/>
                <w:szCs w:val="26"/>
              </w:rPr>
            </w:pPr>
            <w:r w:rsidRPr="004761E0">
              <w:rPr>
                <w:sz w:val="22"/>
                <w:szCs w:val="26"/>
              </w:rPr>
              <w:t>– Российская торговая система</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РЭК</w:t>
            </w:r>
          </w:p>
        </w:tc>
        <w:tc>
          <w:tcPr>
            <w:tcW w:w="6521" w:type="dxa"/>
          </w:tcPr>
          <w:p w:rsidR="00FD1FFE" w:rsidRPr="004761E0" w:rsidRDefault="00FD1FFE" w:rsidP="00FD1FFE">
            <w:pPr>
              <w:ind w:firstLine="34"/>
              <w:rPr>
                <w:sz w:val="22"/>
                <w:szCs w:val="26"/>
              </w:rPr>
            </w:pPr>
            <w:r w:rsidRPr="004761E0">
              <w:rPr>
                <w:sz w:val="22"/>
                <w:szCs w:val="26"/>
              </w:rPr>
              <w:t>– Региональная энергетическая комиссия</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РЭС</w:t>
            </w:r>
          </w:p>
        </w:tc>
        <w:tc>
          <w:tcPr>
            <w:tcW w:w="6521" w:type="dxa"/>
          </w:tcPr>
          <w:p w:rsidR="00FD1FFE" w:rsidRPr="004761E0" w:rsidRDefault="00FD1FFE" w:rsidP="00FD1FFE">
            <w:pPr>
              <w:ind w:firstLine="34"/>
              <w:rPr>
                <w:sz w:val="22"/>
                <w:szCs w:val="26"/>
              </w:rPr>
            </w:pPr>
            <w:r w:rsidRPr="004761E0">
              <w:rPr>
                <w:sz w:val="22"/>
                <w:szCs w:val="26"/>
              </w:rPr>
              <w:t>– район электрических сетей</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САПР</w:t>
            </w:r>
          </w:p>
        </w:tc>
        <w:tc>
          <w:tcPr>
            <w:tcW w:w="6521" w:type="dxa"/>
          </w:tcPr>
          <w:p w:rsidR="00FD1FFE" w:rsidRPr="004761E0" w:rsidRDefault="00FD1FFE" w:rsidP="00FD1FFE">
            <w:pPr>
              <w:ind w:firstLine="34"/>
              <w:rPr>
                <w:sz w:val="22"/>
                <w:szCs w:val="26"/>
              </w:rPr>
            </w:pPr>
            <w:r w:rsidRPr="004761E0">
              <w:rPr>
                <w:sz w:val="22"/>
                <w:szCs w:val="26"/>
              </w:rPr>
              <w:t>– системы автоматизированного проектирования</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СМИ</w:t>
            </w:r>
          </w:p>
        </w:tc>
        <w:tc>
          <w:tcPr>
            <w:tcW w:w="6521" w:type="dxa"/>
          </w:tcPr>
          <w:p w:rsidR="00FD1FFE" w:rsidRPr="004761E0" w:rsidRDefault="00FD1FFE" w:rsidP="00FD1FFE">
            <w:pPr>
              <w:ind w:firstLine="34"/>
              <w:rPr>
                <w:sz w:val="22"/>
                <w:szCs w:val="26"/>
              </w:rPr>
            </w:pPr>
            <w:r w:rsidRPr="004761E0">
              <w:rPr>
                <w:sz w:val="22"/>
                <w:szCs w:val="26"/>
              </w:rPr>
              <w:t>– средства массовой информации</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СИП</w:t>
            </w:r>
          </w:p>
        </w:tc>
        <w:tc>
          <w:tcPr>
            <w:tcW w:w="6521" w:type="dxa"/>
          </w:tcPr>
          <w:p w:rsidR="00FD1FFE" w:rsidRPr="004761E0" w:rsidRDefault="00FD1FFE" w:rsidP="00FD1FFE">
            <w:pPr>
              <w:ind w:firstLine="34"/>
              <w:rPr>
                <w:sz w:val="22"/>
                <w:szCs w:val="26"/>
              </w:rPr>
            </w:pPr>
            <w:r w:rsidRPr="004761E0">
              <w:rPr>
                <w:sz w:val="22"/>
                <w:szCs w:val="26"/>
              </w:rPr>
              <w:t>– самонесущий изолированный провод</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ТГК</w:t>
            </w:r>
          </w:p>
        </w:tc>
        <w:tc>
          <w:tcPr>
            <w:tcW w:w="6521" w:type="dxa"/>
          </w:tcPr>
          <w:p w:rsidR="00FD1FFE" w:rsidRPr="004761E0" w:rsidRDefault="00FD1FFE" w:rsidP="00FD1FFE">
            <w:pPr>
              <w:ind w:firstLine="34"/>
              <w:rPr>
                <w:sz w:val="22"/>
                <w:szCs w:val="26"/>
              </w:rPr>
            </w:pPr>
            <w:r w:rsidRPr="004761E0">
              <w:rPr>
                <w:sz w:val="22"/>
                <w:szCs w:val="26"/>
              </w:rPr>
              <w:t>– территориальная генерирующая компания</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ТОиР</w:t>
            </w:r>
          </w:p>
        </w:tc>
        <w:tc>
          <w:tcPr>
            <w:tcW w:w="6521" w:type="dxa"/>
          </w:tcPr>
          <w:p w:rsidR="00FD1FFE" w:rsidRPr="004761E0" w:rsidRDefault="00FD1FFE" w:rsidP="00FD1FFE">
            <w:pPr>
              <w:ind w:firstLine="34"/>
              <w:rPr>
                <w:sz w:val="22"/>
                <w:szCs w:val="26"/>
              </w:rPr>
            </w:pPr>
            <w:r w:rsidRPr="004761E0">
              <w:rPr>
                <w:sz w:val="22"/>
                <w:szCs w:val="26"/>
              </w:rPr>
              <w:t>– техническое обслуживание и ремонт</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ТП</w:t>
            </w:r>
          </w:p>
        </w:tc>
        <w:tc>
          <w:tcPr>
            <w:tcW w:w="6521" w:type="dxa"/>
          </w:tcPr>
          <w:p w:rsidR="00FD1FFE" w:rsidRPr="004761E0" w:rsidRDefault="00FD1FFE" w:rsidP="00FD1FFE">
            <w:pPr>
              <w:ind w:firstLine="34"/>
              <w:rPr>
                <w:sz w:val="22"/>
                <w:szCs w:val="26"/>
              </w:rPr>
            </w:pPr>
            <w:r w:rsidRPr="004761E0">
              <w:rPr>
                <w:sz w:val="22"/>
                <w:szCs w:val="26"/>
              </w:rPr>
              <w:t>– технологическое присоединение</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ТПиР</w:t>
            </w:r>
          </w:p>
        </w:tc>
        <w:tc>
          <w:tcPr>
            <w:tcW w:w="6521" w:type="dxa"/>
          </w:tcPr>
          <w:p w:rsidR="00FD1FFE" w:rsidRPr="004761E0" w:rsidRDefault="00FD1FFE" w:rsidP="00FD1FFE">
            <w:pPr>
              <w:ind w:firstLine="34"/>
              <w:rPr>
                <w:sz w:val="22"/>
                <w:szCs w:val="26"/>
              </w:rPr>
            </w:pPr>
            <w:r w:rsidRPr="004761E0">
              <w:rPr>
                <w:sz w:val="22"/>
                <w:szCs w:val="26"/>
              </w:rPr>
              <w:t>– техническое перевооружение и реконструкция</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ТСО</w:t>
            </w:r>
          </w:p>
        </w:tc>
        <w:tc>
          <w:tcPr>
            <w:tcW w:w="6521" w:type="dxa"/>
          </w:tcPr>
          <w:p w:rsidR="00FD1FFE" w:rsidRPr="004761E0" w:rsidRDefault="00FD1FFE" w:rsidP="00FD1FFE">
            <w:pPr>
              <w:ind w:firstLine="34"/>
              <w:rPr>
                <w:sz w:val="22"/>
                <w:szCs w:val="26"/>
              </w:rPr>
            </w:pPr>
            <w:r w:rsidRPr="004761E0">
              <w:rPr>
                <w:sz w:val="22"/>
                <w:szCs w:val="26"/>
              </w:rPr>
              <w:t>– территориальная сетевая организация</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ТУ</w:t>
            </w:r>
          </w:p>
        </w:tc>
        <w:tc>
          <w:tcPr>
            <w:tcW w:w="6521" w:type="dxa"/>
          </w:tcPr>
          <w:p w:rsidR="00FD1FFE" w:rsidRPr="004761E0" w:rsidRDefault="00FD1FFE" w:rsidP="00FD1FFE">
            <w:pPr>
              <w:ind w:firstLine="34"/>
              <w:rPr>
                <w:sz w:val="22"/>
                <w:szCs w:val="26"/>
              </w:rPr>
            </w:pPr>
            <w:r w:rsidRPr="004761E0">
              <w:rPr>
                <w:sz w:val="22"/>
                <w:szCs w:val="26"/>
              </w:rPr>
              <w:t>– технические условия</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ТЭК</w:t>
            </w:r>
          </w:p>
        </w:tc>
        <w:tc>
          <w:tcPr>
            <w:tcW w:w="6521" w:type="dxa"/>
          </w:tcPr>
          <w:p w:rsidR="00FD1FFE" w:rsidRPr="004761E0" w:rsidRDefault="00FD1FFE" w:rsidP="00FD1FFE">
            <w:pPr>
              <w:ind w:firstLine="34"/>
              <w:rPr>
                <w:sz w:val="22"/>
                <w:szCs w:val="26"/>
              </w:rPr>
            </w:pPr>
            <w:r w:rsidRPr="004761E0">
              <w:rPr>
                <w:sz w:val="22"/>
                <w:szCs w:val="26"/>
              </w:rPr>
              <w:t>– Топливно-энергетический комитет</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ТЭЦ</w:t>
            </w:r>
          </w:p>
        </w:tc>
        <w:tc>
          <w:tcPr>
            <w:tcW w:w="6521" w:type="dxa"/>
          </w:tcPr>
          <w:p w:rsidR="00FD1FFE" w:rsidRPr="004761E0" w:rsidRDefault="00FD1FFE" w:rsidP="00FD1FFE">
            <w:pPr>
              <w:ind w:firstLine="34"/>
              <w:rPr>
                <w:sz w:val="22"/>
                <w:szCs w:val="26"/>
              </w:rPr>
            </w:pPr>
            <w:r w:rsidRPr="004761E0">
              <w:rPr>
                <w:sz w:val="22"/>
                <w:szCs w:val="26"/>
              </w:rPr>
              <w:t>– теплоэлектроцентраль</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ФАС России</w:t>
            </w:r>
          </w:p>
        </w:tc>
        <w:tc>
          <w:tcPr>
            <w:tcW w:w="6521" w:type="dxa"/>
          </w:tcPr>
          <w:p w:rsidR="00FD1FFE" w:rsidRPr="004761E0" w:rsidRDefault="00FD1FFE" w:rsidP="00FD1FFE">
            <w:pPr>
              <w:ind w:firstLine="34"/>
              <w:rPr>
                <w:sz w:val="22"/>
                <w:szCs w:val="26"/>
              </w:rPr>
            </w:pPr>
            <w:r w:rsidRPr="004761E0">
              <w:rPr>
                <w:sz w:val="22"/>
                <w:szCs w:val="26"/>
              </w:rPr>
              <w:t>– Федеральная антимонопольная служба Российской Федерации</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ФКЦБ</w:t>
            </w:r>
          </w:p>
        </w:tc>
        <w:tc>
          <w:tcPr>
            <w:tcW w:w="6521" w:type="dxa"/>
          </w:tcPr>
          <w:p w:rsidR="00FD1FFE" w:rsidRPr="004761E0" w:rsidRDefault="00FD1FFE" w:rsidP="00FD1FFE">
            <w:pPr>
              <w:ind w:firstLine="34"/>
              <w:rPr>
                <w:sz w:val="22"/>
                <w:szCs w:val="26"/>
              </w:rPr>
            </w:pPr>
            <w:r w:rsidRPr="004761E0">
              <w:rPr>
                <w:sz w:val="22"/>
                <w:szCs w:val="26"/>
              </w:rPr>
              <w:t>– Федеральная комиссия по рынку</w:t>
            </w:r>
            <w:r w:rsidR="00EF47AF">
              <w:rPr>
                <w:sz w:val="22"/>
                <w:szCs w:val="26"/>
              </w:rPr>
              <w:t xml:space="preserve"> ценных бумаг (в августе 2004 года</w:t>
            </w:r>
            <w:r w:rsidRPr="004761E0">
              <w:rPr>
                <w:sz w:val="22"/>
                <w:szCs w:val="26"/>
              </w:rPr>
              <w:t xml:space="preserve"> преобразована в ФСФР России)</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ФСК ЕЭС России</w:t>
            </w:r>
          </w:p>
        </w:tc>
        <w:tc>
          <w:tcPr>
            <w:tcW w:w="6521" w:type="dxa"/>
          </w:tcPr>
          <w:p w:rsidR="00FD1FFE" w:rsidRPr="004761E0" w:rsidRDefault="00FD1FFE" w:rsidP="00FD1FFE">
            <w:pPr>
              <w:ind w:firstLine="34"/>
              <w:rPr>
                <w:sz w:val="22"/>
                <w:szCs w:val="26"/>
              </w:rPr>
            </w:pPr>
            <w:r w:rsidRPr="004761E0">
              <w:rPr>
                <w:sz w:val="22"/>
                <w:szCs w:val="26"/>
              </w:rPr>
              <w:t>– Федеральная сетевая компания Единой энергетической системы России</w:t>
            </w:r>
          </w:p>
        </w:tc>
      </w:tr>
      <w:tr w:rsidR="00FD1FFE" w:rsidRPr="004761E0" w:rsidTr="00FD1FFE">
        <w:tc>
          <w:tcPr>
            <w:tcW w:w="2977" w:type="dxa"/>
          </w:tcPr>
          <w:p w:rsidR="00FD1FFE" w:rsidRPr="004761E0" w:rsidRDefault="00FD1FFE" w:rsidP="00FD1FFE">
            <w:pPr>
              <w:ind w:firstLine="0"/>
              <w:rPr>
                <w:sz w:val="22"/>
                <w:szCs w:val="26"/>
              </w:rPr>
            </w:pPr>
            <w:r w:rsidRPr="004761E0">
              <w:rPr>
                <w:sz w:val="22"/>
                <w:szCs w:val="26"/>
              </w:rPr>
              <w:t>ФСФР</w:t>
            </w:r>
          </w:p>
        </w:tc>
        <w:tc>
          <w:tcPr>
            <w:tcW w:w="6521" w:type="dxa"/>
          </w:tcPr>
          <w:p w:rsidR="00FD1FFE" w:rsidRPr="004761E0" w:rsidRDefault="00FD1FFE" w:rsidP="00FD1FFE">
            <w:pPr>
              <w:ind w:firstLine="34"/>
              <w:rPr>
                <w:sz w:val="22"/>
                <w:szCs w:val="26"/>
              </w:rPr>
            </w:pPr>
            <w:r w:rsidRPr="004761E0">
              <w:rPr>
                <w:sz w:val="22"/>
                <w:szCs w:val="26"/>
              </w:rPr>
              <w:t>– Федеральная служба по финансовым рынкам</w:t>
            </w:r>
            <w:r w:rsidR="0019221B">
              <w:rPr>
                <w:sz w:val="22"/>
                <w:szCs w:val="26"/>
              </w:rPr>
              <w:t xml:space="preserve"> (упразднена 01.09.2013, функции переданы Службе Банка России по финансовым рынкам)</w:t>
            </w:r>
          </w:p>
        </w:tc>
      </w:tr>
      <w:tr w:rsidR="00FD1FFE" w:rsidRPr="004761E0" w:rsidTr="00FD1FFE">
        <w:tc>
          <w:tcPr>
            <w:tcW w:w="2977" w:type="dxa"/>
            <w:tcBorders>
              <w:bottom w:val="single" w:sz="4" w:space="0" w:color="auto"/>
            </w:tcBorders>
          </w:tcPr>
          <w:p w:rsidR="00FD1FFE" w:rsidRPr="004761E0" w:rsidRDefault="00FD1FFE" w:rsidP="00FD1FFE">
            <w:pPr>
              <w:ind w:firstLine="0"/>
              <w:rPr>
                <w:sz w:val="22"/>
                <w:szCs w:val="26"/>
              </w:rPr>
            </w:pPr>
            <w:r w:rsidRPr="004761E0">
              <w:rPr>
                <w:sz w:val="22"/>
                <w:szCs w:val="26"/>
              </w:rPr>
              <w:t>ФСТ</w:t>
            </w:r>
          </w:p>
        </w:tc>
        <w:tc>
          <w:tcPr>
            <w:tcW w:w="6521" w:type="dxa"/>
            <w:tcBorders>
              <w:bottom w:val="single" w:sz="4" w:space="0" w:color="auto"/>
            </w:tcBorders>
          </w:tcPr>
          <w:p w:rsidR="00FD1FFE" w:rsidRPr="004761E0" w:rsidRDefault="00FD1FFE" w:rsidP="00FD1FFE">
            <w:pPr>
              <w:ind w:firstLine="34"/>
              <w:rPr>
                <w:sz w:val="22"/>
                <w:szCs w:val="26"/>
              </w:rPr>
            </w:pPr>
            <w:r w:rsidRPr="004761E0">
              <w:rPr>
                <w:sz w:val="22"/>
                <w:szCs w:val="26"/>
              </w:rPr>
              <w:t>– Федеральная служба по тарифам</w:t>
            </w:r>
          </w:p>
        </w:tc>
      </w:tr>
      <w:tr w:rsidR="00FD1FFE" w:rsidRPr="004761E0" w:rsidTr="00FD1FFE">
        <w:tc>
          <w:tcPr>
            <w:tcW w:w="2977" w:type="dxa"/>
            <w:tcBorders>
              <w:bottom w:val="single" w:sz="4" w:space="0" w:color="auto"/>
            </w:tcBorders>
          </w:tcPr>
          <w:p w:rsidR="00FD1FFE" w:rsidRPr="004761E0" w:rsidRDefault="00FD1FFE" w:rsidP="00FD1FFE">
            <w:pPr>
              <w:ind w:firstLine="0"/>
              <w:rPr>
                <w:sz w:val="22"/>
                <w:szCs w:val="26"/>
              </w:rPr>
            </w:pPr>
            <w:r w:rsidRPr="004761E0">
              <w:rPr>
                <w:sz w:val="22"/>
                <w:szCs w:val="26"/>
              </w:rPr>
              <w:t>ЦОК</w:t>
            </w:r>
          </w:p>
        </w:tc>
        <w:tc>
          <w:tcPr>
            <w:tcW w:w="6521" w:type="dxa"/>
            <w:tcBorders>
              <w:bottom w:val="single" w:sz="4" w:space="0" w:color="auto"/>
            </w:tcBorders>
          </w:tcPr>
          <w:p w:rsidR="00FD1FFE" w:rsidRPr="004761E0" w:rsidRDefault="00FD1FFE" w:rsidP="00FD1FFE">
            <w:pPr>
              <w:ind w:firstLine="34"/>
              <w:rPr>
                <w:sz w:val="22"/>
                <w:szCs w:val="26"/>
              </w:rPr>
            </w:pPr>
            <w:r w:rsidRPr="004761E0">
              <w:rPr>
                <w:sz w:val="22"/>
                <w:szCs w:val="26"/>
              </w:rPr>
              <w:t>– центр обслуживания клиентов</w:t>
            </w:r>
          </w:p>
        </w:tc>
      </w:tr>
    </w:tbl>
    <w:p w:rsidR="00FD1FFE" w:rsidRPr="00EF47AF" w:rsidRDefault="00FD1FFE" w:rsidP="00EF47AF">
      <w:pPr>
        <w:spacing w:before="120" w:after="120"/>
        <w:ind w:firstLine="567"/>
        <w:rPr>
          <w:b/>
          <w:sz w:val="26"/>
          <w:szCs w:val="26"/>
        </w:rPr>
      </w:pPr>
      <w:r w:rsidRPr="00EF47AF">
        <w:rPr>
          <w:b/>
          <w:sz w:val="26"/>
          <w:szCs w:val="26"/>
        </w:rPr>
        <w:t>Единицы измерения</w:t>
      </w:r>
    </w:p>
    <w:tbl>
      <w:tblPr>
        <w:tblStyle w:val="ae"/>
        <w:tblW w:w="9606" w:type="dxa"/>
        <w:tblLayout w:type="fixed"/>
        <w:tblLook w:val="04A0"/>
      </w:tblPr>
      <w:tblGrid>
        <w:gridCol w:w="3085"/>
        <w:gridCol w:w="6521"/>
      </w:tblGrid>
      <w:tr w:rsidR="00FD1FFE" w:rsidRPr="004761E0" w:rsidTr="00EF47AF">
        <w:tc>
          <w:tcPr>
            <w:tcW w:w="3085" w:type="dxa"/>
          </w:tcPr>
          <w:p w:rsidR="00FD1FFE" w:rsidRPr="004761E0" w:rsidRDefault="00FD1FFE" w:rsidP="00FD1FFE">
            <w:pPr>
              <w:ind w:firstLine="0"/>
              <w:rPr>
                <w:sz w:val="22"/>
                <w:szCs w:val="26"/>
              </w:rPr>
            </w:pPr>
            <w:r w:rsidRPr="004761E0">
              <w:rPr>
                <w:sz w:val="22"/>
                <w:szCs w:val="26"/>
              </w:rPr>
              <w:t>га</w:t>
            </w:r>
          </w:p>
        </w:tc>
        <w:tc>
          <w:tcPr>
            <w:tcW w:w="6521" w:type="dxa"/>
          </w:tcPr>
          <w:p w:rsidR="00FD1FFE" w:rsidRPr="004761E0" w:rsidRDefault="00FD1FFE" w:rsidP="00FD1FFE">
            <w:pPr>
              <w:ind w:firstLine="0"/>
              <w:rPr>
                <w:sz w:val="22"/>
                <w:szCs w:val="26"/>
              </w:rPr>
            </w:pPr>
            <w:r w:rsidRPr="004761E0">
              <w:rPr>
                <w:sz w:val="22"/>
                <w:szCs w:val="26"/>
              </w:rPr>
              <w:t>– гектар</w:t>
            </w:r>
          </w:p>
        </w:tc>
      </w:tr>
      <w:tr w:rsidR="00FD1FFE" w:rsidRPr="004761E0" w:rsidTr="00EF47AF">
        <w:tc>
          <w:tcPr>
            <w:tcW w:w="3085" w:type="dxa"/>
          </w:tcPr>
          <w:p w:rsidR="00FD1FFE" w:rsidRPr="004761E0" w:rsidRDefault="00FD1FFE" w:rsidP="00FD1FFE">
            <w:pPr>
              <w:ind w:firstLine="0"/>
              <w:rPr>
                <w:sz w:val="22"/>
                <w:szCs w:val="26"/>
              </w:rPr>
            </w:pPr>
            <w:r w:rsidRPr="004761E0">
              <w:rPr>
                <w:sz w:val="22"/>
                <w:szCs w:val="26"/>
              </w:rPr>
              <w:t>кВ</w:t>
            </w:r>
          </w:p>
        </w:tc>
        <w:tc>
          <w:tcPr>
            <w:tcW w:w="6521" w:type="dxa"/>
          </w:tcPr>
          <w:p w:rsidR="00FD1FFE" w:rsidRPr="004761E0" w:rsidRDefault="00FD1FFE" w:rsidP="00FD1FFE">
            <w:pPr>
              <w:ind w:firstLine="0"/>
              <w:rPr>
                <w:sz w:val="22"/>
                <w:szCs w:val="26"/>
              </w:rPr>
            </w:pPr>
            <w:r w:rsidRPr="004761E0">
              <w:rPr>
                <w:sz w:val="22"/>
                <w:szCs w:val="26"/>
              </w:rPr>
              <w:t>– киловольт</w:t>
            </w:r>
          </w:p>
        </w:tc>
      </w:tr>
      <w:tr w:rsidR="00FD1FFE" w:rsidRPr="004761E0" w:rsidTr="00EF47AF">
        <w:tc>
          <w:tcPr>
            <w:tcW w:w="3085" w:type="dxa"/>
          </w:tcPr>
          <w:p w:rsidR="00FD1FFE" w:rsidRPr="004761E0" w:rsidRDefault="00FD1FFE" w:rsidP="00FD1FFE">
            <w:pPr>
              <w:ind w:firstLine="0"/>
              <w:rPr>
                <w:sz w:val="22"/>
                <w:szCs w:val="26"/>
              </w:rPr>
            </w:pPr>
            <w:r w:rsidRPr="004761E0">
              <w:rPr>
                <w:sz w:val="22"/>
                <w:szCs w:val="26"/>
              </w:rPr>
              <w:t>МВт</w:t>
            </w:r>
          </w:p>
        </w:tc>
        <w:tc>
          <w:tcPr>
            <w:tcW w:w="6521" w:type="dxa"/>
          </w:tcPr>
          <w:p w:rsidR="00FD1FFE" w:rsidRPr="004761E0" w:rsidRDefault="00FD1FFE" w:rsidP="00FD1FFE">
            <w:pPr>
              <w:ind w:firstLine="0"/>
              <w:rPr>
                <w:sz w:val="22"/>
                <w:szCs w:val="26"/>
              </w:rPr>
            </w:pPr>
            <w:r w:rsidRPr="004761E0">
              <w:rPr>
                <w:sz w:val="22"/>
                <w:szCs w:val="26"/>
              </w:rPr>
              <w:t>– мегаватт</w:t>
            </w:r>
          </w:p>
        </w:tc>
      </w:tr>
      <w:tr w:rsidR="00FD1FFE" w:rsidRPr="004761E0" w:rsidTr="00EF47AF">
        <w:tc>
          <w:tcPr>
            <w:tcW w:w="3085" w:type="dxa"/>
          </w:tcPr>
          <w:p w:rsidR="00FD1FFE" w:rsidRPr="004761E0" w:rsidRDefault="00FD1FFE" w:rsidP="00FD1FFE">
            <w:pPr>
              <w:ind w:firstLine="0"/>
              <w:rPr>
                <w:sz w:val="22"/>
                <w:szCs w:val="26"/>
              </w:rPr>
            </w:pPr>
            <w:r w:rsidRPr="004761E0">
              <w:rPr>
                <w:sz w:val="22"/>
                <w:szCs w:val="26"/>
              </w:rPr>
              <w:t>ГВА</w:t>
            </w:r>
          </w:p>
        </w:tc>
        <w:tc>
          <w:tcPr>
            <w:tcW w:w="6521" w:type="dxa"/>
          </w:tcPr>
          <w:p w:rsidR="00FD1FFE" w:rsidRPr="004761E0" w:rsidRDefault="00FD1FFE" w:rsidP="00FD1FFE">
            <w:pPr>
              <w:ind w:firstLine="0"/>
              <w:rPr>
                <w:sz w:val="22"/>
                <w:szCs w:val="26"/>
              </w:rPr>
            </w:pPr>
            <w:r w:rsidRPr="004761E0">
              <w:rPr>
                <w:sz w:val="22"/>
                <w:szCs w:val="26"/>
              </w:rPr>
              <w:t>– гигаватт</w:t>
            </w:r>
          </w:p>
        </w:tc>
      </w:tr>
      <w:tr w:rsidR="00FD1FFE" w:rsidRPr="004761E0" w:rsidTr="00EF47AF">
        <w:tc>
          <w:tcPr>
            <w:tcW w:w="3085" w:type="dxa"/>
          </w:tcPr>
          <w:p w:rsidR="00FD1FFE" w:rsidRPr="004761E0" w:rsidRDefault="00FD1FFE" w:rsidP="00FD1FFE">
            <w:pPr>
              <w:ind w:firstLine="0"/>
              <w:rPr>
                <w:sz w:val="22"/>
                <w:szCs w:val="26"/>
              </w:rPr>
            </w:pPr>
            <w:r w:rsidRPr="004761E0">
              <w:rPr>
                <w:sz w:val="22"/>
                <w:szCs w:val="26"/>
              </w:rPr>
              <w:t>кВА</w:t>
            </w:r>
          </w:p>
        </w:tc>
        <w:tc>
          <w:tcPr>
            <w:tcW w:w="6521" w:type="dxa"/>
          </w:tcPr>
          <w:p w:rsidR="00FD1FFE" w:rsidRPr="004761E0" w:rsidRDefault="00FD1FFE" w:rsidP="00FD1FFE">
            <w:pPr>
              <w:ind w:firstLine="0"/>
              <w:rPr>
                <w:sz w:val="22"/>
                <w:szCs w:val="26"/>
              </w:rPr>
            </w:pPr>
            <w:r w:rsidRPr="004761E0">
              <w:rPr>
                <w:sz w:val="22"/>
                <w:szCs w:val="26"/>
              </w:rPr>
              <w:t>– киловольт-ампер</w:t>
            </w:r>
          </w:p>
        </w:tc>
      </w:tr>
      <w:tr w:rsidR="00FD1FFE" w:rsidRPr="004761E0" w:rsidTr="00EF47AF">
        <w:tc>
          <w:tcPr>
            <w:tcW w:w="3085" w:type="dxa"/>
          </w:tcPr>
          <w:p w:rsidR="00FD1FFE" w:rsidRPr="004761E0" w:rsidRDefault="00FD1FFE" w:rsidP="00FD1FFE">
            <w:pPr>
              <w:ind w:firstLine="0"/>
              <w:rPr>
                <w:sz w:val="22"/>
                <w:szCs w:val="26"/>
              </w:rPr>
            </w:pPr>
            <w:r w:rsidRPr="004761E0">
              <w:rPr>
                <w:sz w:val="22"/>
                <w:szCs w:val="26"/>
              </w:rPr>
              <w:t>МВА</w:t>
            </w:r>
          </w:p>
        </w:tc>
        <w:tc>
          <w:tcPr>
            <w:tcW w:w="6521" w:type="dxa"/>
          </w:tcPr>
          <w:p w:rsidR="00FD1FFE" w:rsidRPr="004761E0" w:rsidRDefault="00FD1FFE" w:rsidP="00FD1FFE">
            <w:pPr>
              <w:ind w:firstLine="0"/>
              <w:rPr>
                <w:sz w:val="22"/>
                <w:szCs w:val="26"/>
              </w:rPr>
            </w:pPr>
            <w:r w:rsidRPr="004761E0">
              <w:rPr>
                <w:sz w:val="22"/>
                <w:szCs w:val="26"/>
              </w:rPr>
              <w:t>– мегавольт-ампер</w:t>
            </w:r>
          </w:p>
        </w:tc>
      </w:tr>
      <w:tr w:rsidR="00FD1FFE" w:rsidRPr="004761E0" w:rsidTr="00EF47AF">
        <w:tc>
          <w:tcPr>
            <w:tcW w:w="3085" w:type="dxa"/>
          </w:tcPr>
          <w:p w:rsidR="00FD1FFE" w:rsidRPr="004761E0" w:rsidRDefault="00FD1FFE" w:rsidP="00FD1FFE">
            <w:pPr>
              <w:ind w:firstLine="0"/>
              <w:rPr>
                <w:sz w:val="22"/>
                <w:szCs w:val="26"/>
              </w:rPr>
            </w:pPr>
            <w:r w:rsidRPr="004761E0">
              <w:rPr>
                <w:sz w:val="22"/>
                <w:szCs w:val="26"/>
              </w:rPr>
              <w:t>кВтч</w:t>
            </w:r>
          </w:p>
        </w:tc>
        <w:tc>
          <w:tcPr>
            <w:tcW w:w="6521" w:type="dxa"/>
          </w:tcPr>
          <w:p w:rsidR="00FD1FFE" w:rsidRPr="004761E0" w:rsidRDefault="00FD1FFE" w:rsidP="00FD1FFE">
            <w:pPr>
              <w:ind w:firstLine="0"/>
              <w:rPr>
                <w:sz w:val="22"/>
                <w:szCs w:val="26"/>
              </w:rPr>
            </w:pPr>
            <w:r w:rsidRPr="004761E0">
              <w:rPr>
                <w:sz w:val="22"/>
                <w:szCs w:val="26"/>
              </w:rPr>
              <w:t>– киловатт-час</w:t>
            </w:r>
          </w:p>
        </w:tc>
      </w:tr>
      <w:tr w:rsidR="00FD1FFE" w:rsidRPr="004761E0" w:rsidTr="00EF47AF">
        <w:tc>
          <w:tcPr>
            <w:tcW w:w="3085" w:type="dxa"/>
          </w:tcPr>
          <w:p w:rsidR="00FD1FFE" w:rsidRPr="004761E0" w:rsidRDefault="00FD1FFE" w:rsidP="00FD1FFE">
            <w:pPr>
              <w:ind w:firstLine="0"/>
              <w:rPr>
                <w:sz w:val="22"/>
                <w:szCs w:val="26"/>
              </w:rPr>
            </w:pPr>
            <w:r w:rsidRPr="004761E0">
              <w:rPr>
                <w:sz w:val="22"/>
                <w:szCs w:val="26"/>
              </w:rPr>
              <w:t>км</w:t>
            </w:r>
          </w:p>
        </w:tc>
        <w:tc>
          <w:tcPr>
            <w:tcW w:w="6521" w:type="dxa"/>
          </w:tcPr>
          <w:p w:rsidR="00FD1FFE" w:rsidRPr="004761E0" w:rsidRDefault="00FD1FFE" w:rsidP="00FD1FFE">
            <w:pPr>
              <w:ind w:firstLine="0"/>
              <w:rPr>
                <w:sz w:val="22"/>
                <w:szCs w:val="26"/>
              </w:rPr>
            </w:pPr>
            <w:r w:rsidRPr="004761E0">
              <w:rPr>
                <w:sz w:val="22"/>
                <w:szCs w:val="26"/>
              </w:rPr>
              <w:t>– километр</w:t>
            </w:r>
          </w:p>
        </w:tc>
      </w:tr>
      <w:tr w:rsidR="00FD1FFE" w:rsidRPr="004761E0" w:rsidTr="00EF47AF">
        <w:tc>
          <w:tcPr>
            <w:tcW w:w="3085" w:type="dxa"/>
          </w:tcPr>
          <w:p w:rsidR="00FD1FFE" w:rsidRPr="004761E0" w:rsidRDefault="00FD1FFE" w:rsidP="00FD1FFE">
            <w:pPr>
              <w:ind w:firstLine="0"/>
              <w:rPr>
                <w:sz w:val="22"/>
                <w:szCs w:val="26"/>
              </w:rPr>
            </w:pPr>
            <w:r w:rsidRPr="004761E0">
              <w:rPr>
                <w:sz w:val="22"/>
                <w:szCs w:val="26"/>
              </w:rPr>
              <w:t>коп.</w:t>
            </w:r>
          </w:p>
        </w:tc>
        <w:tc>
          <w:tcPr>
            <w:tcW w:w="6521" w:type="dxa"/>
          </w:tcPr>
          <w:p w:rsidR="00FD1FFE" w:rsidRPr="004761E0" w:rsidRDefault="00FD1FFE" w:rsidP="00FD1FFE">
            <w:pPr>
              <w:ind w:firstLine="0"/>
              <w:rPr>
                <w:sz w:val="22"/>
                <w:szCs w:val="26"/>
              </w:rPr>
            </w:pPr>
            <w:r w:rsidRPr="004761E0">
              <w:rPr>
                <w:sz w:val="22"/>
                <w:szCs w:val="26"/>
              </w:rPr>
              <w:t>– копейка</w:t>
            </w:r>
          </w:p>
        </w:tc>
      </w:tr>
      <w:tr w:rsidR="00FD1FFE" w:rsidRPr="004761E0" w:rsidTr="00EF47AF">
        <w:tc>
          <w:tcPr>
            <w:tcW w:w="3085" w:type="dxa"/>
          </w:tcPr>
          <w:p w:rsidR="00FD1FFE" w:rsidRPr="004761E0" w:rsidRDefault="00FD1FFE" w:rsidP="00FD1FFE">
            <w:pPr>
              <w:ind w:firstLine="0"/>
              <w:rPr>
                <w:sz w:val="22"/>
                <w:szCs w:val="26"/>
              </w:rPr>
            </w:pPr>
            <w:r w:rsidRPr="004761E0">
              <w:rPr>
                <w:sz w:val="22"/>
                <w:szCs w:val="26"/>
              </w:rPr>
              <w:t>МВтч</w:t>
            </w:r>
          </w:p>
        </w:tc>
        <w:tc>
          <w:tcPr>
            <w:tcW w:w="6521" w:type="dxa"/>
          </w:tcPr>
          <w:p w:rsidR="00FD1FFE" w:rsidRPr="004761E0" w:rsidRDefault="00FD1FFE" w:rsidP="00FD1FFE">
            <w:pPr>
              <w:ind w:firstLine="0"/>
              <w:rPr>
                <w:sz w:val="22"/>
                <w:szCs w:val="26"/>
              </w:rPr>
            </w:pPr>
            <w:r w:rsidRPr="004761E0">
              <w:rPr>
                <w:sz w:val="22"/>
                <w:szCs w:val="26"/>
              </w:rPr>
              <w:t>– мегаватт-час</w:t>
            </w:r>
          </w:p>
        </w:tc>
      </w:tr>
      <w:tr w:rsidR="00FD1FFE" w:rsidRPr="004761E0" w:rsidTr="00EF47AF">
        <w:tc>
          <w:tcPr>
            <w:tcW w:w="3085" w:type="dxa"/>
          </w:tcPr>
          <w:p w:rsidR="00FD1FFE" w:rsidRPr="004761E0" w:rsidRDefault="00FD1FFE" w:rsidP="00FD1FFE">
            <w:pPr>
              <w:ind w:firstLine="0"/>
              <w:rPr>
                <w:sz w:val="22"/>
                <w:szCs w:val="26"/>
              </w:rPr>
            </w:pPr>
            <w:r w:rsidRPr="004761E0">
              <w:rPr>
                <w:sz w:val="22"/>
                <w:szCs w:val="26"/>
              </w:rPr>
              <w:t>млн</w:t>
            </w:r>
          </w:p>
        </w:tc>
        <w:tc>
          <w:tcPr>
            <w:tcW w:w="6521" w:type="dxa"/>
          </w:tcPr>
          <w:p w:rsidR="00FD1FFE" w:rsidRPr="004761E0" w:rsidRDefault="00FD1FFE" w:rsidP="00FD1FFE">
            <w:pPr>
              <w:ind w:firstLine="0"/>
              <w:rPr>
                <w:sz w:val="22"/>
                <w:szCs w:val="26"/>
              </w:rPr>
            </w:pPr>
            <w:r w:rsidRPr="004761E0">
              <w:rPr>
                <w:sz w:val="22"/>
                <w:szCs w:val="26"/>
              </w:rPr>
              <w:t>– миллион</w:t>
            </w:r>
          </w:p>
        </w:tc>
      </w:tr>
      <w:tr w:rsidR="00FD1FFE" w:rsidRPr="004761E0" w:rsidTr="00EF47AF">
        <w:tc>
          <w:tcPr>
            <w:tcW w:w="3085" w:type="dxa"/>
          </w:tcPr>
          <w:p w:rsidR="00FD1FFE" w:rsidRPr="004761E0" w:rsidRDefault="00FD1FFE" w:rsidP="00FD1FFE">
            <w:pPr>
              <w:ind w:firstLine="0"/>
              <w:rPr>
                <w:sz w:val="22"/>
                <w:szCs w:val="26"/>
              </w:rPr>
            </w:pPr>
            <w:r w:rsidRPr="004761E0">
              <w:rPr>
                <w:sz w:val="22"/>
                <w:szCs w:val="26"/>
              </w:rPr>
              <w:t xml:space="preserve">млрд </w:t>
            </w:r>
          </w:p>
        </w:tc>
        <w:tc>
          <w:tcPr>
            <w:tcW w:w="6521" w:type="dxa"/>
          </w:tcPr>
          <w:p w:rsidR="00FD1FFE" w:rsidRPr="004761E0" w:rsidRDefault="00FD1FFE" w:rsidP="00FD1FFE">
            <w:pPr>
              <w:ind w:firstLine="0"/>
              <w:rPr>
                <w:sz w:val="22"/>
                <w:szCs w:val="26"/>
              </w:rPr>
            </w:pPr>
            <w:r w:rsidRPr="004761E0">
              <w:rPr>
                <w:sz w:val="22"/>
                <w:szCs w:val="26"/>
              </w:rPr>
              <w:t>– миллиард</w:t>
            </w:r>
          </w:p>
        </w:tc>
      </w:tr>
      <w:tr w:rsidR="00FD1FFE" w:rsidRPr="004761E0" w:rsidTr="00EF47AF">
        <w:tc>
          <w:tcPr>
            <w:tcW w:w="3085" w:type="dxa"/>
          </w:tcPr>
          <w:p w:rsidR="00FD1FFE" w:rsidRPr="004761E0" w:rsidRDefault="00FD1FFE" w:rsidP="00FD1FFE">
            <w:pPr>
              <w:ind w:firstLine="0"/>
              <w:rPr>
                <w:sz w:val="22"/>
                <w:szCs w:val="26"/>
              </w:rPr>
            </w:pPr>
            <w:r w:rsidRPr="004761E0">
              <w:rPr>
                <w:sz w:val="22"/>
                <w:szCs w:val="26"/>
              </w:rPr>
              <w:t xml:space="preserve">руб. </w:t>
            </w:r>
          </w:p>
        </w:tc>
        <w:tc>
          <w:tcPr>
            <w:tcW w:w="6521" w:type="dxa"/>
          </w:tcPr>
          <w:p w:rsidR="00FD1FFE" w:rsidRPr="004761E0" w:rsidRDefault="00FD1FFE" w:rsidP="00FD1FFE">
            <w:pPr>
              <w:ind w:firstLine="0"/>
              <w:rPr>
                <w:sz w:val="22"/>
                <w:szCs w:val="26"/>
              </w:rPr>
            </w:pPr>
            <w:r w:rsidRPr="004761E0">
              <w:rPr>
                <w:sz w:val="22"/>
                <w:szCs w:val="26"/>
              </w:rPr>
              <w:t>– рубль</w:t>
            </w:r>
          </w:p>
        </w:tc>
      </w:tr>
      <w:tr w:rsidR="00FD1FFE" w:rsidRPr="004761E0" w:rsidTr="00EF47AF">
        <w:tc>
          <w:tcPr>
            <w:tcW w:w="3085" w:type="dxa"/>
          </w:tcPr>
          <w:p w:rsidR="00FD1FFE" w:rsidRPr="004761E0" w:rsidRDefault="00FD1FFE" w:rsidP="00FD1FFE">
            <w:pPr>
              <w:ind w:firstLine="0"/>
              <w:rPr>
                <w:sz w:val="22"/>
                <w:szCs w:val="26"/>
              </w:rPr>
            </w:pPr>
            <w:r w:rsidRPr="004761E0">
              <w:rPr>
                <w:sz w:val="22"/>
                <w:szCs w:val="26"/>
              </w:rPr>
              <w:t xml:space="preserve">т </w:t>
            </w:r>
          </w:p>
        </w:tc>
        <w:tc>
          <w:tcPr>
            <w:tcW w:w="6521" w:type="dxa"/>
          </w:tcPr>
          <w:p w:rsidR="00FD1FFE" w:rsidRPr="004761E0" w:rsidRDefault="00FD1FFE" w:rsidP="00FD1FFE">
            <w:pPr>
              <w:ind w:firstLine="0"/>
              <w:rPr>
                <w:sz w:val="22"/>
                <w:szCs w:val="26"/>
              </w:rPr>
            </w:pPr>
            <w:r w:rsidRPr="004761E0">
              <w:rPr>
                <w:sz w:val="22"/>
                <w:szCs w:val="26"/>
              </w:rPr>
              <w:t>– тонна</w:t>
            </w:r>
          </w:p>
        </w:tc>
      </w:tr>
      <w:tr w:rsidR="00FD1FFE" w:rsidRPr="004761E0" w:rsidTr="00EF47AF">
        <w:tc>
          <w:tcPr>
            <w:tcW w:w="3085" w:type="dxa"/>
          </w:tcPr>
          <w:p w:rsidR="00FD1FFE" w:rsidRPr="004761E0" w:rsidRDefault="00FD1FFE" w:rsidP="00FD1FFE">
            <w:pPr>
              <w:ind w:firstLine="0"/>
              <w:rPr>
                <w:sz w:val="22"/>
                <w:szCs w:val="26"/>
              </w:rPr>
            </w:pPr>
            <w:r w:rsidRPr="004761E0">
              <w:rPr>
                <w:sz w:val="22"/>
                <w:szCs w:val="26"/>
              </w:rPr>
              <w:t>у.т.</w:t>
            </w:r>
          </w:p>
        </w:tc>
        <w:tc>
          <w:tcPr>
            <w:tcW w:w="6521" w:type="dxa"/>
          </w:tcPr>
          <w:p w:rsidR="00FD1FFE" w:rsidRPr="004761E0" w:rsidRDefault="00FD1FFE" w:rsidP="00FD1FFE">
            <w:pPr>
              <w:ind w:firstLine="0"/>
              <w:rPr>
                <w:sz w:val="22"/>
                <w:szCs w:val="26"/>
              </w:rPr>
            </w:pPr>
            <w:r w:rsidRPr="004761E0">
              <w:rPr>
                <w:sz w:val="22"/>
                <w:szCs w:val="26"/>
              </w:rPr>
              <w:t>– условное топливо</w:t>
            </w:r>
          </w:p>
        </w:tc>
      </w:tr>
      <w:tr w:rsidR="00FD1FFE" w:rsidRPr="004761E0" w:rsidTr="00EF47AF">
        <w:tc>
          <w:tcPr>
            <w:tcW w:w="3085" w:type="dxa"/>
          </w:tcPr>
          <w:p w:rsidR="00FD1FFE" w:rsidRPr="004761E0" w:rsidRDefault="00FD1FFE" w:rsidP="00FD1FFE">
            <w:pPr>
              <w:ind w:firstLine="0"/>
              <w:rPr>
                <w:sz w:val="22"/>
                <w:szCs w:val="26"/>
              </w:rPr>
            </w:pPr>
            <w:r w:rsidRPr="004761E0">
              <w:rPr>
                <w:sz w:val="22"/>
                <w:szCs w:val="26"/>
              </w:rPr>
              <w:t>у.е.</w:t>
            </w:r>
          </w:p>
        </w:tc>
        <w:tc>
          <w:tcPr>
            <w:tcW w:w="6521" w:type="dxa"/>
          </w:tcPr>
          <w:p w:rsidR="00FD1FFE" w:rsidRPr="004761E0" w:rsidRDefault="00FD1FFE" w:rsidP="00FD1FFE">
            <w:pPr>
              <w:ind w:firstLine="0"/>
              <w:rPr>
                <w:sz w:val="22"/>
                <w:szCs w:val="26"/>
              </w:rPr>
            </w:pPr>
            <w:r w:rsidRPr="004761E0">
              <w:rPr>
                <w:sz w:val="22"/>
                <w:szCs w:val="26"/>
              </w:rPr>
              <w:t>– условная единица</w:t>
            </w:r>
          </w:p>
        </w:tc>
      </w:tr>
      <w:tr w:rsidR="00FD1FFE" w:rsidRPr="004761E0" w:rsidTr="00EF47AF">
        <w:tc>
          <w:tcPr>
            <w:tcW w:w="3085" w:type="dxa"/>
          </w:tcPr>
          <w:p w:rsidR="00FD1FFE" w:rsidRPr="004761E0" w:rsidRDefault="00FD1FFE" w:rsidP="00FD1FFE">
            <w:pPr>
              <w:ind w:firstLine="0"/>
              <w:rPr>
                <w:sz w:val="22"/>
                <w:szCs w:val="26"/>
              </w:rPr>
            </w:pPr>
            <w:r w:rsidRPr="004761E0">
              <w:rPr>
                <w:sz w:val="22"/>
                <w:szCs w:val="26"/>
              </w:rPr>
              <w:t>шт.</w:t>
            </w:r>
          </w:p>
        </w:tc>
        <w:tc>
          <w:tcPr>
            <w:tcW w:w="6521" w:type="dxa"/>
          </w:tcPr>
          <w:p w:rsidR="00FD1FFE" w:rsidRPr="004761E0" w:rsidRDefault="00FD1FFE" w:rsidP="00FD1FFE">
            <w:pPr>
              <w:ind w:firstLine="0"/>
              <w:rPr>
                <w:sz w:val="22"/>
                <w:szCs w:val="26"/>
              </w:rPr>
            </w:pPr>
            <w:r w:rsidRPr="004761E0">
              <w:rPr>
                <w:sz w:val="22"/>
                <w:szCs w:val="26"/>
              </w:rPr>
              <w:t>– штука</w:t>
            </w:r>
          </w:p>
        </w:tc>
      </w:tr>
    </w:tbl>
    <w:p w:rsidR="00715EEC" w:rsidRDefault="00715EEC" w:rsidP="00715EEC">
      <w:pPr>
        <w:rPr>
          <w:rFonts w:eastAsia="Times New Roman"/>
          <w:kern w:val="32"/>
          <w:lang w:eastAsia="ru-RU"/>
        </w:rPr>
      </w:pPr>
      <w:bookmarkStart w:id="142" w:name="_Toc380576956"/>
      <w:r>
        <w:rPr>
          <w:lang w:eastAsia="ru-RU"/>
        </w:rPr>
        <w:br w:type="page"/>
      </w:r>
    </w:p>
    <w:p w:rsidR="00453705" w:rsidRPr="004761E0" w:rsidRDefault="00E34ACB" w:rsidP="007076A7">
      <w:pPr>
        <w:pStyle w:val="11"/>
        <w:numPr>
          <w:ilvl w:val="0"/>
          <w:numId w:val="321"/>
        </w:numPr>
        <w:spacing w:before="120" w:after="120"/>
        <w:ind w:left="1134" w:hanging="567"/>
        <w:rPr>
          <w:rFonts w:ascii="Times New Roman" w:hAnsi="Times New Roman"/>
          <w:sz w:val="26"/>
          <w:szCs w:val="26"/>
          <w:lang w:eastAsia="ru-RU"/>
        </w:rPr>
      </w:pPr>
      <w:bookmarkStart w:id="143" w:name="_Toc385339854"/>
      <w:r w:rsidRPr="004761E0">
        <w:rPr>
          <w:rFonts w:ascii="Times New Roman" w:hAnsi="Times New Roman"/>
          <w:sz w:val="26"/>
          <w:szCs w:val="26"/>
          <w:lang w:eastAsia="ru-RU"/>
        </w:rPr>
        <w:lastRenderedPageBreak/>
        <w:t>Ограничение ответственности</w:t>
      </w:r>
      <w:bookmarkEnd w:id="142"/>
      <w:bookmarkEnd w:id="143"/>
    </w:p>
    <w:p w:rsidR="00FD1FFE" w:rsidRPr="004761E0" w:rsidRDefault="00FD1FFE" w:rsidP="00715EEC">
      <w:pPr>
        <w:ind w:firstLine="567"/>
        <w:rPr>
          <w:sz w:val="26"/>
          <w:szCs w:val="26"/>
        </w:rPr>
      </w:pPr>
      <w:r w:rsidRPr="004761E0">
        <w:rPr>
          <w:sz w:val="26"/>
          <w:szCs w:val="26"/>
        </w:rPr>
        <w:t xml:space="preserve">Годовой отчет Открытого акционерного общества «Московская объединенная электросетевая компания» (далее – </w:t>
      </w:r>
      <w:r w:rsidR="0008080E">
        <w:rPr>
          <w:sz w:val="26"/>
          <w:szCs w:val="26"/>
        </w:rPr>
        <w:t>ОАО </w:t>
      </w:r>
      <w:r w:rsidRPr="004761E0">
        <w:rPr>
          <w:sz w:val="26"/>
          <w:szCs w:val="26"/>
        </w:rPr>
        <w:t>«МОЭСК», Общество, Компания) по итогам работы за 2013 год (далее – Годовой отчет) подготовлен с использованием информации, доступной Обществу на момент его составления.</w:t>
      </w:r>
    </w:p>
    <w:p w:rsidR="00FD1FFE" w:rsidRPr="004761E0" w:rsidRDefault="00FD1FFE" w:rsidP="00715EEC">
      <w:pPr>
        <w:ind w:firstLine="567"/>
        <w:rPr>
          <w:sz w:val="26"/>
          <w:szCs w:val="26"/>
        </w:rPr>
      </w:pPr>
      <w:r w:rsidRPr="004761E0">
        <w:rPr>
          <w:sz w:val="26"/>
          <w:szCs w:val="26"/>
        </w:rPr>
        <w:t>Годовой отчет содержит информацию об итогах деятельности Общества в 2013 году и прогнозные данные, заявления в отношении намерений, мнений или текущих ожиданий Общества, касающихся результатов своей деятельности, финансового положения, ликвидности, перспектив роста, стратегии, а также развития отрасли промышленности, в которой работает Общество. По своей природе для таких прогнозных заявлений характерно наличие рисков и факторов неопределенности, в связи с тем, что они относятся к событиям и зависят от обстоятельств, которые могут не произойти в будущем.</w:t>
      </w:r>
    </w:p>
    <w:p w:rsidR="00FD1FFE" w:rsidRPr="004761E0" w:rsidRDefault="00FD1FFE" w:rsidP="00715EEC">
      <w:pPr>
        <w:ind w:firstLine="567"/>
        <w:rPr>
          <w:sz w:val="26"/>
          <w:szCs w:val="26"/>
        </w:rPr>
      </w:pPr>
      <w:r w:rsidRPr="004761E0">
        <w:rPr>
          <w:sz w:val="26"/>
          <w:szCs w:val="26"/>
        </w:rPr>
        <w:t>Слова «намеревается», «стремится», «ожидает», «оценивает», «планирует», «считает», «предполагает», «может», «должно», «будет», «продолжит» и иные, аналогичные или сходные с ними выражения, как правило, указывают на прогнозный характер заявления и могут предполагать риск ненаступления указанных событий, действий в зависимости от различных факторов.</w:t>
      </w:r>
    </w:p>
    <w:p w:rsidR="00FD1FFE" w:rsidRPr="004761E0" w:rsidRDefault="00FD1FFE" w:rsidP="00715EEC">
      <w:pPr>
        <w:ind w:firstLine="567"/>
        <w:rPr>
          <w:sz w:val="26"/>
          <w:szCs w:val="26"/>
        </w:rPr>
      </w:pPr>
      <w:r w:rsidRPr="004761E0">
        <w:rPr>
          <w:sz w:val="26"/>
          <w:szCs w:val="26"/>
        </w:rPr>
        <w:t>Общество предупреждает о том, что прогнозные заявления не являются гарантией будущих показателей. Фактические результаты деятельности Общества, его финансовое положение и ликвидность, а также развитие отрасли, в которой оно работает, могут существенным образом отличаться от тех данных, что приведены в прогнозных заявлениях, содержащихся в Годовом отчете. Кроме того, даже если перечисленные показатели будут соответствовать прогнозным заявлениям, содержащимся в Годовом отчете, данные результаты и события не служат показателем аналогичных результатов и событий в будущем.</w:t>
      </w:r>
    </w:p>
    <w:p w:rsidR="00FD1FFE" w:rsidRPr="004761E0" w:rsidRDefault="00FD1FFE" w:rsidP="00715EEC">
      <w:pPr>
        <w:ind w:firstLine="567"/>
        <w:rPr>
          <w:sz w:val="26"/>
          <w:szCs w:val="26"/>
        </w:rPr>
      </w:pPr>
      <w:r w:rsidRPr="004761E0">
        <w:rPr>
          <w:sz w:val="26"/>
          <w:szCs w:val="26"/>
        </w:rPr>
        <w:t>Помимо официальной информации о деятельности Общества в Годовом отчете содержится информация, полученная от третьих лиц. Данная информация использована из источников, которые, по мнению Общества, являются надежными. Тем не менее, Общество не гарантирует точность информации, полученной от третьих лиц, которая может быть сокращенной или неполной.</w:t>
      </w:r>
    </w:p>
    <w:p w:rsidR="00FD1FFE" w:rsidRPr="004761E0" w:rsidRDefault="00FD1FFE" w:rsidP="00715EEC">
      <w:pPr>
        <w:ind w:firstLine="567"/>
        <w:rPr>
          <w:sz w:val="26"/>
          <w:szCs w:val="26"/>
        </w:rPr>
      </w:pPr>
      <w:r w:rsidRPr="004761E0">
        <w:rPr>
          <w:sz w:val="26"/>
          <w:szCs w:val="26"/>
        </w:rPr>
        <w:t>Общество не дает каких-либо прямых или подразумеваемых заверений или гарантий и не несет какой-либо ответственности в случае возникновения убытков, которые могут понести физические или юридические лица в результате использования прогнозных заявлений Годового отчета, по любой причине, прямо или косвенно. Указанные лица не должны полностью полагаться на прогнозные заявления, содержащиеся в Годовом отчете, так как они не являются единственно возможным вариантом развития событий.</w:t>
      </w:r>
    </w:p>
    <w:p w:rsidR="00715EEC" w:rsidRDefault="00FD1FFE" w:rsidP="00715EEC">
      <w:pPr>
        <w:ind w:firstLine="567"/>
        <w:rPr>
          <w:sz w:val="26"/>
          <w:szCs w:val="26"/>
        </w:rPr>
      </w:pPr>
      <w:r w:rsidRPr="004761E0">
        <w:rPr>
          <w:sz w:val="26"/>
          <w:szCs w:val="26"/>
        </w:rPr>
        <w:t>За исключением случаев, предусмотренных законодательством РФ, Общество не берет на себя обязательств по пересмотру или подтверждению ожиданий и оценок, а также публикации обновлений и изменений прогнозных заявлений, представленных в Годовом отчете, в связи с последующими событиями или поступлением новой информации.</w:t>
      </w:r>
    </w:p>
    <w:p w:rsidR="00715EEC" w:rsidRDefault="00715EEC">
      <w:pPr>
        <w:ind w:firstLine="0"/>
        <w:jc w:val="left"/>
        <w:rPr>
          <w:sz w:val="26"/>
          <w:szCs w:val="26"/>
        </w:rPr>
      </w:pPr>
      <w:r>
        <w:rPr>
          <w:sz w:val="26"/>
          <w:szCs w:val="26"/>
        </w:rPr>
        <w:br w:type="page"/>
      </w:r>
    </w:p>
    <w:p w:rsidR="00453705" w:rsidRPr="004761E0" w:rsidRDefault="00E34ACB" w:rsidP="007076A7">
      <w:pPr>
        <w:pStyle w:val="11"/>
        <w:numPr>
          <w:ilvl w:val="0"/>
          <w:numId w:val="321"/>
        </w:numPr>
        <w:spacing w:before="120" w:after="120"/>
        <w:ind w:left="1134" w:hanging="567"/>
        <w:rPr>
          <w:rFonts w:ascii="Times New Roman" w:hAnsi="Times New Roman"/>
          <w:sz w:val="26"/>
          <w:szCs w:val="26"/>
          <w:lang w:eastAsia="ru-RU"/>
        </w:rPr>
      </w:pPr>
      <w:bookmarkStart w:id="144" w:name="_Toc380576957"/>
      <w:bookmarkStart w:id="145" w:name="_Toc385339855"/>
      <w:r w:rsidRPr="004761E0">
        <w:rPr>
          <w:rFonts w:ascii="Times New Roman" w:hAnsi="Times New Roman"/>
          <w:sz w:val="26"/>
          <w:szCs w:val="26"/>
          <w:lang w:eastAsia="ru-RU"/>
        </w:rPr>
        <w:lastRenderedPageBreak/>
        <w:t>Приложения</w:t>
      </w:r>
      <w:bookmarkEnd w:id="144"/>
      <w:bookmarkEnd w:id="145"/>
    </w:p>
    <w:p w:rsidR="00453705" w:rsidRPr="00715EEC" w:rsidRDefault="0050069D" w:rsidP="007076A7">
      <w:pPr>
        <w:pStyle w:val="ac"/>
        <w:numPr>
          <w:ilvl w:val="1"/>
          <w:numId w:val="321"/>
        </w:numPr>
        <w:ind w:left="1701" w:hanging="850"/>
        <w:rPr>
          <w:sz w:val="26"/>
          <w:szCs w:val="26"/>
          <w:lang w:eastAsia="ru-RU"/>
        </w:rPr>
      </w:pPr>
      <w:bookmarkStart w:id="146" w:name="_Toc380576958"/>
      <w:r w:rsidRPr="00715EEC">
        <w:rPr>
          <w:sz w:val="26"/>
          <w:szCs w:val="26"/>
          <w:lang w:eastAsia="ru-RU"/>
        </w:rPr>
        <w:t>Информация в разбивке по регионам деятельности</w:t>
      </w:r>
    </w:p>
    <w:p w:rsidR="00BF2AC5" w:rsidRDefault="00EF47AF" w:rsidP="007076A7">
      <w:pPr>
        <w:pStyle w:val="ac"/>
        <w:numPr>
          <w:ilvl w:val="0"/>
          <w:numId w:val="330"/>
        </w:numPr>
        <w:ind w:left="2127" w:hanging="426"/>
        <w:rPr>
          <w:sz w:val="26"/>
          <w:szCs w:val="26"/>
          <w:lang w:eastAsia="ru-RU"/>
        </w:rPr>
      </w:pPr>
      <w:r>
        <w:rPr>
          <w:sz w:val="26"/>
          <w:szCs w:val="26"/>
          <w:lang w:eastAsia="ru-RU"/>
        </w:rPr>
        <w:t>Общие сведения</w:t>
      </w:r>
    </w:p>
    <w:p w:rsidR="00BF2AC5" w:rsidRDefault="00BF2AC5" w:rsidP="007076A7">
      <w:pPr>
        <w:pStyle w:val="ac"/>
        <w:numPr>
          <w:ilvl w:val="0"/>
          <w:numId w:val="330"/>
        </w:numPr>
        <w:ind w:left="2127" w:hanging="426"/>
        <w:rPr>
          <w:sz w:val="26"/>
          <w:szCs w:val="26"/>
          <w:lang w:eastAsia="ru-RU"/>
        </w:rPr>
      </w:pPr>
      <w:r>
        <w:rPr>
          <w:sz w:val="26"/>
          <w:szCs w:val="26"/>
          <w:lang w:eastAsia="ru-RU"/>
        </w:rPr>
        <w:t>Структура и характеристика электросетевых</w:t>
      </w:r>
      <w:r w:rsidR="00E20318">
        <w:rPr>
          <w:sz w:val="26"/>
          <w:szCs w:val="26"/>
          <w:lang w:eastAsia="ru-RU"/>
        </w:rPr>
        <w:t xml:space="preserve"> </w:t>
      </w:r>
      <w:r>
        <w:rPr>
          <w:sz w:val="26"/>
          <w:szCs w:val="26"/>
          <w:lang w:eastAsia="ru-RU"/>
        </w:rPr>
        <w:t>активов</w:t>
      </w:r>
    </w:p>
    <w:p w:rsidR="00BF2AC5" w:rsidRDefault="00BF2AC5" w:rsidP="007076A7">
      <w:pPr>
        <w:pStyle w:val="ac"/>
        <w:numPr>
          <w:ilvl w:val="0"/>
          <w:numId w:val="330"/>
        </w:numPr>
        <w:ind w:left="2127" w:hanging="426"/>
        <w:rPr>
          <w:sz w:val="26"/>
          <w:szCs w:val="26"/>
          <w:lang w:eastAsia="ru-RU"/>
        </w:rPr>
      </w:pPr>
      <w:r>
        <w:rPr>
          <w:sz w:val="26"/>
          <w:szCs w:val="26"/>
          <w:lang w:eastAsia="ru-RU"/>
        </w:rPr>
        <w:t>Передача и распределение электроэнергии</w:t>
      </w:r>
    </w:p>
    <w:p w:rsidR="00BF2AC5" w:rsidRDefault="00BF2AC5" w:rsidP="007076A7">
      <w:pPr>
        <w:pStyle w:val="ac"/>
        <w:numPr>
          <w:ilvl w:val="0"/>
          <w:numId w:val="330"/>
        </w:numPr>
        <w:ind w:left="2127" w:hanging="426"/>
        <w:rPr>
          <w:sz w:val="26"/>
          <w:szCs w:val="26"/>
          <w:lang w:eastAsia="ru-RU"/>
        </w:rPr>
      </w:pPr>
      <w:r>
        <w:rPr>
          <w:sz w:val="26"/>
          <w:szCs w:val="26"/>
          <w:lang w:eastAsia="ru-RU"/>
        </w:rPr>
        <w:t>Энергосбережение и повышение энергоэффективности</w:t>
      </w:r>
    </w:p>
    <w:p w:rsidR="00BF2AC5" w:rsidRDefault="00BF2AC5" w:rsidP="007076A7">
      <w:pPr>
        <w:pStyle w:val="ac"/>
        <w:numPr>
          <w:ilvl w:val="0"/>
          <w:numId w:val="330"/>
        </w:numPr>
        <w:ind w:left="2127" w:hanging="426"/>
        <w:rPr>
          <w:sz w:val="26"/>
          <w:szCs w:val="26"/>
          <w:lang w:eastAsia="ru-RU"/>
        </w:rPr>
      </w:pPr>
      <w:r>
        <w:rPr>
          <w:sz w:val="26"/>
          <w:szCs w:val="26"/>
          <w:lang w:eastAsia="ru-RU"/>
        </w:rPr>
        <w:t>Технологическое присоединение</w:t>
      </w:r>
    </w:p>
    <w:p w:rsidR="00EF47AF" w:rsidRDefault="00EF47AF" w:rsidP="007076A7">
      <w:pPr>
        <w:pStyle w:val="ac"/>
        <w:numPr>
          <w:ilvl w:val="0"/>
          <w:numId w:val="330"/>
        </w:numPr>
        <w:ind w:left="2127" w:hanging="426"/>
        <w:rPr>
          <w:sz w:val="26"/>
          <w:szCs w:val="26"/>
          <w:lang w:eastAsia="ru-RU"/>
        </w:rPr>
      </w:pPr>
      <w:r>
        <w:rPr>
          <w:sz w:val="26"/>
          <w:szCs w:val="26"/>
          <w:lang w:eastAsia="ru-RU"/>
        </w:rPr>
        <w:t>Инвестиционная деятельность</w:t>
      </w:r>
    </w:p>
    <w:p w:rsidR="00BF2AC5" w:rsidRDefault="00BF2AC5" w:rsidP="007076A7">
      <w:pPr>
        <w:pStyle w:val="ac"/>
        <w:numPr>
          <w:ilvl w:val="0"/>
          <w:numId w:val="330"/>
        </w:numPr>
        <w:ind w:left="2127" w:hanging="426"/>
        <w:rPr>
          <w:sz w:val="26"/>
          <w:szCs w:val="26"/>
          <w:lang w:eastAsia="ru-RU"/>
        </w:rPr>
      </w:pPr>
      <w:r>
        <w:rPr>
          <w:sz w:val="26"/>
          <w:szCs w:val="26"/>
          <w:lang w:eastAsia="ru-RU"/>
        </w:rPr>
        <w:t>Основные результаты финансово-экономической деятельности</w:t>
      </w:r>
      <w:r w:rsidR="00E20318">
        <w:rPr>
          <w:sz w:val="26"/>
          <w:szCs w:val="26"/>
          <w:lang w:eastAsia="ru-RU"/>
        </w:rPr>
        <w:t xml:space="preserve"> по РСБУ</w:t>
      </w:r>
    </w:p>
    <w:p w:rsidR="00BF2AC5" w:rsidRDefault="00BF2AC5" w:rsidP="007076A7">
      <w:pPr>
        <w:pStyle w:val="ac"/>
        <w:numPr>
          <w:ilvl w:val="0"/>
          <w:numId w:val="330"/>
        </w:numPr>
        <w:ind w:left="2127" w:hanging="426"/>
        <w:rPr>
          <w:sz w:val="26"/>
          <w:szCs w:val="26"/>
          <w:lang w:eastAsia="ru-RU"/>
        </w:rPr>
      </w:pPr>
      <w:r>
        <w:rPr>
          <w:sz w:val="26"/>
          <w:szCs w:val="26"/>
          <w:lang w:eastAsia="ru-RU"/>
        </w:rPr>
        <w:t>Тарифная политика</w:t>
      </w:r>
    </w:p>
    <w:p w:rsidR="00BF2AC5" w:rsidRDefault="00BF2AC5" w:rsidP="007076A7">
      <w:pPr>
        <w:pStyle w:val="ac"/>
        <w:numPr>
          <w:ilvl w:val="0"/>
          <w:numId w:val="330"/>
        </w:numPr>
        <w:ind w:left="2127" w:hanging="426"/>
        <w:rPr>
          <w:sz w:val="26"/>
          <w:szCs w:val="26"/>
          <w:lang w:eastAsia="ru-RU"/>
        </w:rPr>
      </w:pPr>
      <w:r>
        <w:rPr>
          <w:sz w:val="26"/>
          <w:szCs w:val="26"/>
          <w:lang w:eastAsia="ru-RU"/>
        </w:rPr>
        <w:t>Управление персоналом</w:t>
      </w:r>
    </w:p>
    <w:p w:rsidR="002C3096" w:rsidRPr="002C3096" w:rsidRDefault="002C3096" w:rsidP="007076A7">
      <w:pPr>
        <w:pStyle w:val="ac"/>
        <w:numPr>
          <w:ilvl w:val="1"/>
          <w:numId w:val="321"/>
        </w:numPr>
        <w:ind w:left="1701" w:hanging="850"/>
        <w:rPr>
          <w:sz w:val="26"/>
          <w:szCs w:val="26"/>
          <w:lang w:eastAsia="ru-RU"/>
        </w:rPr>
      </w:pPr>
      <w:r w:rsidRPr="002C3096">
        <w:rPr>
          <w:sz w:val="26"/>
          <w:szCs w:val="26"/>
          <w:lang w:eastAsia="ru-RU"/>
        </w:rPr>
        <w:t>Информация об участии член</w:t>
      </w:r>
      <w:r>
        <w:rPr>
          <w:sz w:val="26"/>
          <w:szCs w:val="26"/>
          <w:lang w:eastAsia="ru-RU"/>
        </w:rPr>
        <w:t>ов</w:t>
      </w:r>
      <w:r w:rsidRPr="002C3096">
        <w:rPr>
          <w:sz w:val="26"/>
          <w:szCs w:val="26"/>
          <w:lang w:eastAsia="ru-RU"/>
        </w:rPr>
        <w:t xml:space="preserve"> органов управления в заседаниях</w:t>
      </w:r>
    </w:p>
    <w:p w:rsidR="002C3096" w:rsidRPr="002C3096" w:rsidRDefault="002C3096" w:rsidP="007076A7">
      <w:pPr>
        <w:pStyle w:val="ac"/>
        <w:numPr>
          <w:ilvl w:val="1"/>
          <w:numId w:val="321"/>
        </w:numPr>
        <w:ind w:left="1701" w:hanging="850"/>
        <w:rPr>
          <w:sz w:val="26"/>
          <w:szCs w:val="26"/>
          <w:lang w:eastAsia="ru-RU"/>
        </w:rPr>
      </w:pPr>
      <w:r w:rsidRPr="002C3096">
        <w:rPr>
          <w:sz w:val="26"/>
          <w:szCs w:val="26"/>
          <w:lang w:eastAsia="ru-RU"/>
        </w:rPr>
        <w:t>Подробная информация о членах органов управления и контроля</w:t>
      </w:r>
    </w:p>
    <w:p w:rsidR="00BF2AC5" w:rsidRDefault="00BF2AC5" w:rsidP="007076A7">
      <w:pPr>
        <w:pStyle w:val="ac"/>
        <w:numPr>
          <w:ilvl w:val="0"/>
          <w:numId w:val="331"/>
        </w:numPr>
        <w:ind w:left="2127" w:hanging="426"/>
        <w:rPr>
          <w:sz w:val="26"/>
          <w:szCs w:val="26"/>
          <w:lang w:eastAsia="ru-RU"/>
        </w:rPr>
      </w:pPr>
      <w:r>
        <w:rPr>
          <w:sz w:val="26"/>
          <w:szCs w:val="26"/>
          <w:lang w:eastAsia="ru-RU"/>
        </w:rPr>
        <w:t>Совет директоров</w:t>
      </w:r>
    </w:p>
    <w:p w:rsidR="00BF2AC5" w:rsidRDefault="00BF2AC5" w:rsidP="007076A7">
      <w:pPr>
        <w:pStyle w:val="ac"/>
        <w:numPr>
          <w:ilvl w:val="0"/>
          <w:numId w:val="331"/>
        </w:numPr>
        <w:ind w:left="2127" w:hanging="426"/>
        <w:rPr>
          <w:sz w:val="26"/>
          <w:szCs w:val="26"/>
          <w:lang w:eastAsia="ru-RU"/>
        </w:rPr>
      </w:pPr>
      <w:r>
        <w:rPr>
          <w:sz w:val="26"/>
          <w:szCs w:val="26"/>
          <w:lang w:eastAsia="ru-RU"/>
        </w:rPr>
        <w:t>Генеральный директор</w:t>
      </w:r>
    </w:p>
    <w:p w:rsidR="00BF2AC5" w:rsidRDefault="00BF2AC5" w:rsidP="007076A7">
      <w:pPr>
        <w:pStyle w:val="ac"/>
        <w:numPr>
          <w:ilvl w:val="0"/>
          <w:numId w:val="331"/>
        </w:numPr>
        <w:ind w:left="2127" w:hanging="426"/>
        <w:rPr>
          <w:sz w:val="26"/>
          <w:szCs w:val="26"/>
          <w:lang w:eastAsia="ru-RU"/>
        </w:rPr>
      </w:pPr>
      <w:r>
        <w:rPr>
          <w:sz w:val="26"/>
          <w:szCs w:val="26"/>
          <w:lang w:eastAsia="ru-RU"/>
        </w:rPr>
        <w:t>Правление</w:t>
      </w:r>
    </w:p>
    <w:p w:rsidR="00BF2AC5" w:rsidRDefault="00BF2AC5" w:rsidP="007076A7">
      <w:pPr>
        <w:pStyle w:val="ac"/>
        <w:numPr>
          <w:ilvl w:val="0"/>
          <w:numId w:val="331"/>
        </w:numPr>
        <w:ind w:left="2127" w:hanging="426"/>
        <w:rPr>
          <w:sz w:val="26"/>
          <w:szCs w:val="26"/>
          <w:lang w:eastAsia="ru-RU"/>
        </w:rPr>
      </w:pPr>
      <w:r>
        <w:rPr>
          <w:sz w:val="26"/>
          <w:szCs w:val="26"/>
          <w:lang w:eastAsia="ru-RU"/>
        </w:rPr>
        <w:t>Ревизионная комиссия</w:t>
      </w:r>
    </w:p>
    <w:p w:rsidR="00D95123" w:rsidRPr="00715EEC" w:rsidRDefault="00D95123" w:rsidP="007076A7">
      <w:pPr>
        <w:pStyle w:val="ac"/>
        <w:numPr>
          <w:ilvl w:val="1"/>
          <w:numId w:val="321"/>
        </w:numPr>
        <w:ind w:left="1701" w:hanging="850"/>
        <w:rPr>
          <w:sz w:val="26"/>
          <w:szCs w:val="26"/>
          <w:lang w:eastAsia="ru-RU"/>
        </w:rPr>
      </w:pPr>
      <w:r w:rsidRPr="00715EEC">
        <w:rPr>
          <w:sz w:val="26"/>
          <w:szCs w:val="26"/>
          <w:lang w:eastAsia="ru-RU"/>
        </w:rPr>
        <w:t>Сведения о соблюдении Кодекса корпоративного поведения</w:t>
      </w:r>
    </w:p>
    <w:p w:rsidR="00D95123" w:rsidRPr="00715EEC" w:rsidRDefault="00D95123" w:rsidP="007076A7">
      <w:pPr>
        <w:pStyle w:val="ac"/>
        <w:numPr>
          <w:ilvl w:val="1"/>
          <w:numId w:val="321"/>
        </w:numPr>
        <w:ind w:left="1701" w:hanging="850"/>
        <w:rPr>
          <w:sz w:val="26"/>
          <w:szCs w:val="26"/>
          <w:lang w:eastAsia="ru-RU"/>
        </w:rPr>
      </w:pPr>
      <w:r w:rsidRPr="00715EEC">
        <w:rPr>
          <w:sz w:val="26"/>
          <w:szCs w:val="26"/>
          <w:lang w:eastAsia="ru-RU"/>
        </w:rPr>
        <w:t xml:space="preserve">Хроника совершенных </w:t>
      </w:r>
      <w:r w:rsidR="00E20318">
        <w:rPr>
          <w:sz w:val="26"/>
          <w:szCs w:val="26"/>
          <w:lang w:eastAsia="ru-RU"/>
        </w:rPr>
        <w:t>в</w:t>
      </w:r>
      <w:r w:rsidRPr="00715EEC">
        <w:rPr>
          <w:sz w:val="26"/>
          <w:szCs w:val="26"/>
          <w:lang w:eastAsia="ru-RU"/>
        </w:rPr>
        <w:t xml:space="preserve"> </w:t>
      </w:r>
      <w:r w:rsidR="00F162E4">
        <w:rPr>
          <w:sz w:val="26"/>
          <w:szCs w:val="26"/>
          <w:lang w:eastAsia="ru-RU"/>
        </w:rPr>
        <w:t>2013</w:t>
      </w:r>
      <w:r w:rsidRPr="00715EEC">
        <w:rPr>
          <w:sz w:val="26"/>
          <w:szCs w:val="26"/>
          <w:lang w:eastAsia="ru-RU"/>
        </w:rPr>
        <w:t xml:space="preserve"> год</w:t>
      </w:r>
      <w:r w:rsidR="00E20318">
        <w:rPr>
          <w:sz w:val="26"/>
          <w:szCs w:val="26"/>
          <w:lang w:eastAsia="ru-RU"/>
        </w:rPr>
        <w:t>у</w:t>
      </w:r>
      <w:r w:rsidR="00E20318" w:rsidRPr="00E20318">
        <w:rPr>
          <w:sz w:val="26"/>
          <w:szCs w:val="26"/>
          <w:lang w:eastAsia="ru-RU"/>
        </w:rPr>
        <w:t xml:space="preserve"> </w:t>
      </w:r>
      <w:r w:rsidR="00E20318">
        <w:rPr>
          <w:sz w:val="26"/>
          <w:szCs w:val="26"/>
          <w:lang w:eastAsia="ru-RU"/>
        </w:rPr>
        <w:t>сделок</w:t>
      </w:r>
    </w:p>
    <w:p w:rsidR="00D95123" w:rsidRDefault="00D95123" w:rsidP="007076A7">
      <w:pPr>
        <w:pStyle w:val="ac"/>
        <w:numPr>
          <w:ilvl w:val="1"/>
          <w:numId w:val="321"/>
        </w:numPr>
        <w:ind w:left="1701" w:hanging="850"/>
        <w:rPr>
          <w:sz w:val="26"/>
          <w:szCs w:val="26"/>
          <w:lang w:eastAsia="ru-RU"/>
        </w:rPr>
      </w:pPr>
      <w:r w:rsidRPr="00715EEC">
        <w:rPr>
          <w:sz w:val="26"/>
          <w:szCs w:val="26"/>
          <w:lang w:eastAsia="ru-RU"/>
        </w:rPr>
        <w:t>У</w:t>
      </w:r>
      <w:r w:rsidR="004344DD">
        <w:rPr>
          <w:sz w:val="26"/>
          <w:szCs w:val="26"/>
          <w:lang w:eastAsia="ru-RU"/>
        </w:rPr>
        <w:t>становленные</w:t>
      </w:r>
      <w:r w:rsidRPr="00715EEC">
        <w:rPr>
          <w:sz w:val="26"/>
          <w:szCs w:val="26"/>
          <w:lang w:eastAsia="ru-RU"/>
        </w:rPr>
        <w:t xml:space="preserve"> тарифы на услуги по передаче электроэнергии</w:t>
      </w:r>
    </w:p>
    <w:p w:rsidR="00F162E4" w:rsidRDefault="004344DD" w:rsidP="007076A7">
      <w:pPr>
        <w:pStyle w:val="ac"/>
        <w:numPr>
          <w:ilvl w:val="1"/>
          <w:numId w:val="321"/>
        </w:numPr>
        <w:ind w:left="1701" w:hanging="850"/>
        <w:rPr>
          <w:sz w:val="26"/>
          <w:szCs w:val="26"/>
          <w:lang w:eastAsia="ru-RU"/>
        </w:rPr>
      </w:pPr>
      <w:r>
        <w:rPr>
          <w:sz w:val="26"/>
          <w:szCs w:val="26"/>
          <w:lang w:eastAsia="ru-RU"/>
        </w:rPr>
        <w:t>Установленные</w:t>
      </w:r>
      <w:r w:rsidR="00F162E4" w:rsidRPr="00715EEC">
        <w:rPr>
          <w:sz w:val="26"/>
          <w:szCs w:val="26"/>
          <w:lang w:eastAsia="ru-RU"/>
        </w:rPr>
        <w:t xml:space="preserve"> ставки платы за технологикое присоединение</w:t>
      </w:r>
    </w:p>
    <w:p w:rsidR="00F162E4" w:rsidRDefault="00F162E4" w:rsidP="007076A7">
      <w:pPr>
        <w:pStyle w:val="ac"/>
        <w:numPr>
          <w:ilvl w:val="1"/>
          <w:numId w:val="321"/>
        </w:numPr>
        <w:ind w:left="1701" w:hanging="850"/>
        <w:rPr>
          <w:sz w:val="26"/>
          <w:szCs w:val="26"/>
          <w:lang w:eastAsia="ru-RU"/>
        </w:rPr>
      </w:pPr>
      <w:r w:rsidRPr="00F162E4">
        <w:rPr>
          <w:sz w:val="26"/>
          <w:szCs w:val="26"/>
          <w:lang w:eastAsia="ru-RU"/>
        </w:rPr>
        <w:t>Значимые объекты инвестиционной программы, введенные в эксплуатацию в 2013 году</w:t>
      </w:r>
    </w:p>
    <w:p w:rsidR="00F162E4" w:rsidRDefault="00F162E4" w:rsidP="007076A7">
      <w:pPr>
        <w:pStyle w:val="ac"/>
        <w:numPr>
          <w:ilvl w:val="1"/>
          <w:numId w:val="321"/>
        </w:numPr>
        <w:ind w:left="1701" w:hanging="850"/>
        <w:rPr>
          <w:sz w:val="26"/>
          <w:szCs w:val="26"/>
          <w:lang w:eastAsia="ru-RU"/>
        </w:rPr>
      </w:pPr>
      <w:r w:rsidRPr="00F162E4">
        <w:rPr>
          <w:sz w:val="26"/>
          <w:szCs w:val="26"/>
          <w:lang w:eastAsia="ru-RU"/>
        </w:rPr>
        <w:t>Значимые проекты инвестиционной программы, начатые в 2013 году</w:t>
      </w:r>
    </w:p>
    <w:p w:rsidR="00453705" w:rsidRPr="00F162E4" w:rsidRDefault="0050069D" w:rsidP="007076A7">
      <w:pPr>
        <w:pStyle w:val="ac"/>
        <w:numPr>
          <w:ilvl w:val="1"/>
          <w:numId w:val="321"/>
        </w:numPr>
        <w:ind w:left="1701" w:hanging="850"/>
        <w:rPr>
          <w:sz w:val="26"/>
          <w:szCs w:val="26"/>
          <w:lang w:eastAsia="ru-RU"/>
        </w:rPr>
      </w:pPr>
      <w:r w:rsidRPr="00715EEC">
        <w:rPr>
          <w:sz w:val="26"/>
          <w:szCs w:val="26"/>
          <w:lang w:eastAsia="ru-RU"/>
        </w:rPr>
        <w:t>Бух</w:t>
      </w:r>
      <w:r w:rsidR="00715EEC">
        <w:rPr>
          <w:sz w:val="26"/>
          <w:szCs w:val="26"/>
          <w:lang w:eastAsia="ru-RU"/>
        </w:rPr>
        <w:t>галтерская отчетность за 2013 год</w:t>
      </w:r>
      <w:r w:rsidRPr="00715EEC">
        <w:rPr>
          <w:sz w:val="26"/>
          <w:szCs w:val="26"/>
          <w:lang w:eastAsia="ru-RU"/>
        </w:rPr>
        <w:t xml:space="preserve">, подготовленная в соответствии с </w:t>
      </w:r>
      <w:r w:rsidR="00EF47AF">
        <w:rPr>
          <w:sz w:val="26"/>
          <w:szCs w:val="26"/>
          <w:lang w:eastAsia="ru-RU"/>
        </w:rPr>
        <w:t>РСБУ</w:t>
      </w:r>
    </w:p>
    <w:p w:rsidR="00453705" w:rsidRPr="00F162E4" w:rsidRDefault="0050069D" w:rsidP="007076A7">
      <w:pPr>
        <w:pStyle w:val="ac"/>
        <w:numPr>
          <w:ilvl w:val="1"/>
          <w:numId w:val="321"/>
        </w:numPr>
        <w:ind w:left="1701" w:hanging="850"/>
        <w:rPr>
          <w:sz w:val="26"/>
          <w:szCs w:val="26"/>
          <w:lang w:eastAsia="ru-RU"/>
        </w:rPr>
      </w:pPr>
      <w:r w:rsidRPr="00F162E4">
        <w:rPr>
          <w:sz w:val="26"/>
          <w:szCs w:val="26"/>
          <w:lang w:eastAsia="ru-RU"/>
        </w:rPr>
        <w:t>Аудиторское заключение</w:t>
      </w:r>
    </w:p>
    <w:p w:rsidR="0050069D" w:rsidRPr="004761E0" w:rsidRDefault="0050069D" w:rsidP="0050069D">
      <w:pPr>
        <w:rPr>
          <w:lang w:eastAsia="ru-RU"/>
        </w:rPr>
        <w:sectPr w:rsidR="0050069D" w:rsidRPr="004761E0" w:rsidSect="00885147">
          <w:pgSz w:w="11906" w:h="16838"/>
          <w:pgMar w:top="1134" w:right="849" w:bottom="1134" w:left="1701" w:header="708" w:footer="708" w:gutter="0"/>
          <w:cols w:space="708"/>
          <w:docGrid w:linePitch="360"/>
        </w:sectPr>
      </w:pPr>
    </w:p>
    <w:p w:rsidR="0050069D" w:rsidRPr="004761E0" w:rsidRDefault="0050069D" w:rsidP="00455EDF">
      <w:pPr>
        <w:pStyle w:val="a8"/>
        <w:numPr>
          <w:ilvl w:val="1"/>
          <w:numId w:val="2"/>
        </w:numPr>
        <w:tabs>
          <w:tab w:val="left" w:pos="1134"/>
        </w:tabs>
        <w:jc w:val="both"/>
        <w:rPr>
          <w:rFonts w:ascii="Times New Roman" w:hAnsi="Times New Roman"/>
          <w:b/>
          <w:sz w:val="26"/>
          <w:szCs w:val="26"/>
          <w:lang w:eastAsia="ru-RU"/>
        </w:rPr>
      </w:pPr>
      <w:bookmarkStart w:id="147" w:name="_Toc385339856"/>
      <w:r w:rsidRPr="004761E0">
        <w:rPr>
          <w:rFonts w:ascii="Times New Roman" w:hAnsi="Times New Roman"/>
          <w:b/>
          <w:sz w:val="26"/>
          <w:szCs w:val="26"/>
          <w:lang w:eastAsia="ru-RU"/>
        </w:rPr>
        <w:lastRenderedPageBreak/>
        <w:t>Информация в разбивке по регионам деятельности</w:t>
      </w:r>
      <w:bookmarkEnd w:id="147"/>
    </w:p>
    <w:p w:rsidR="00D95123" w:rsidRPr="004761E0" w:rsidRDefault="00EF47AF" w:rsidP="007076A7">
      <w:pPr>
        <w:pStyle w:val="a8"/>
        <w:numPr>
          <w:ilvl w:val="0"/>
          <w:numId w:val="226"/>
        </w:numPr>
        <w:tabs>
          <w:tab w:val="left" w:pos="567"/>
          <w:tab w:val="left" w:pos="993"/>
        </w:tabs>
        <w:spacing w:before="120" w:after="120"/>
        <w:ind w:left="567" w:firstLine="0"/>
        <w:jc w:val="left"/>
        <w:rPr>
          <w:rFonts w:ascii="Times New Roman" w:hAnsi="Times New Roman"/>
          <w:b/>
          <w:sz w:val="26"/>
          <w:szCs w:val="26"/>
          <w:lang w:eastAsia="ru-RU"/>
        </w:rPr>
      </w:pPr>
      <w:bookmarkStart w:id="148" w:name="_Toc385339857"/>
      <w:r>
        <w:rPr>
          <w:rFonts w:ascii="Times New Roman" w:hAnsi="Times New Roman"/>
          <w:b/>
          <w:sz w:val="26"/>
          <w:szCs w:val="26"/>
          <w:lang w:eastAsia="ru-RU"/>
        </w:rPr>
        <w:t>Общие сведения</w:t>
      </w:r>
      <w:bookmarkEnd w:id="148"/>
    </w:p>
    <w:p w:rsidR="002E7A5C" w:rsidRPr="00D95123" w:rsidRDefault="002E7A5C" w:rsidP="00D95123">
      <w:pPr>
        <w:spacing w:before="120" w:after="120"/>
        <w:ind w:firstLine="567"/>
        <w:rPr>
          <w:b/>
          <w:sz w:val="26"/>
          <w:szCs w:val="26"/>
          <w:lang w:eastAsia="ru-RU"/>
        </w:rPr>
      </w:pPr>
      <w:r w:rsidRPr="00D95123">
        <w:rPr>
          <w:b/>
          <w:sz w:val="26"/>
          <w:szCs w:val="26"/>
          <w:lang w:eastAsia="ru-RU"/>
        </w:rPr>
        <w:t xml:space="preserve">Динамика электропотребления </w:t>
      </w:r>
    </w:p>
    <w:tbl>
      <w:tblPr>
        <w:tblW w:w="15045" w:type="dxa"/>
        <w:tblInd w:w="95" w:type="dxa"/>
        <w:tblCellMar>
          <w:left w:w="0" w:type="dxa"/>
          <w:right w:w="0" w:type="dxa"/>
        </w:tblCellMar>
        <w:tblLook w:val="04A0"/>
      </w:tblPr>
      <w:tblGrid>
        <w:gridCol w:w="553"/>
        <w:gridCol w:w="2965"/>
        <w:gridCol w:w="702"/>
        <w:gridCol w:w="936"/>
        <w:gridCol w:w="702"/>
        <w:gridCol w:w="702"/>
        <w:gridCol w:w="701"/>
        <w:gridCol w:w="702"/>
        <w:gridCol w:w="702"/>
        <w:gridCol w:w="702"/>
        <w:gridCol w:w="701"/>
        <w:gridCol w:w="766"/>
        <w:gridCol w:w="702"/>
        <w:gridCol w:w="702"/>
        <w:gridCol w:w="701"/>
        <w:gridCol w:w="702"/>
        <w:gridCol w:w="702"/>
        <w:gridCol w:w="702"/>
      </w:tblGrid>
      <w:tr w:rsidR="002E7A5C" w:rsidRPr="004761E0" w:rsidTr="002E7A5C">
        <w:trPr>
          <w:trHeight w:val="70"/>
        </w:trPr>
        <w:tc>
          <w:tcPr>
            <w:tcW w:w="561" w:type="dxa"/>
            <w:vMerge w:val="restart"/>
            <w:tcBorders>
              <w:top w:val="single" w:sz="8" w:space="0" w:color="auto"/>
              <w:left w:val="single" w:sz="8" w:space="0" w:color="auto"/>
              <w:bottom w:val="single" w:sz="8" w:space="0" w:color="000000"/>
              <w:right w:val="single" w:sz="8" w:space="0" w:color="FFFFFF"/>
            </w:tcBorders>
            <w:shd w:val="clear" w:color="auto" w:fill="0F243E"/>
            <w:tcMar>
              <w:top w:w="0" w:type="dxa"/>
              <w:left w:w="108" w:type="dxa"/>
              <w:bottom w:w="0" w:type="dxa"/>
              <w:right w:w="108" w:type="dxa"/>
            </w:tcMar>
            <w:vAlign w:val="center"/>
            <w:hideMark/>
          </w:tcPr>
          <w:p w:rsidR="002E7A5C" w:rsidRPr="004761E0" w:rsidRDefault="002E7A5C" w:rsidP="002E7A5C">
            <w:pPr>
              <w:ind w:firstLine="0"/>
              <w:rPr>
                <w:b/>
                <w:bCs/>
                <w:color w:val="FFFFFF"/>
                <w:sz w:val="20"/>
                <w:szCs w:val="20"/>
              </w:rPr>
            </w:pPr>
            <w:r w:rsidRPr="004761E0">
              <w:rPr>
                <w:b/>
                <w:bCs/>
                <w:color w:val="FFFFFF"/>
                <w:sz w:val="20"/>
                <w:szCs w:val="20"/>
              </w:rPr>
              <w:t>№ п/п</w:t>
            </w:r>
          </w:p>
        </w:tc>
        <w:tc>
          <w:tcPr>
            <w:tcW w:w="3138" w:type="dxa"/>
            <w:vMerge w:val="restart"/>
            <w:tcBorders>
              <w:top w:val="single" w:sz="8" w:space="0" w:color="auto"/>
              <w:left w:val="nil"/>
              <w:bottom w:val="single" w:sz="8" w:space="0" w:color="000000"/>
              <w:right w:val="single" w:sz="8" w:space="0" w:color="FFFFFF"/>
            </w:tcBorders>
            <w:shd w:val="clear" w:color="auto" w:fill="0F243E"/>
            <w:tcMar>
              <w:top w:w="0" w:type="dxa"/>
              <w:left w:w="108" w:type="dxa"/>
              <w:bottom w:w="0" w:type="dxa"/>
              <w:right w:w="108" w:type="dxa"/>
            </w:tcMar>
            <w:vAlign w:val="center"/>
            <w:hideMark/>
          </w:tcPr>
          <w:p w:rsidR="002E7A5C" w:rsidRPr="004761E0" w:rsidRDefault="002E7A5C" w:rsidP="002E7A5C">
            <w:pPr>
              <w:ind w:firstLine="0"/>
              <w:rPr>
                <w:b/>
                <w:bCs/>
                <w:color w:val="FFFFFF"/>
                <w:sz w:val="20"/>
                <w:szCs w:val="20"/>
              </w:rPr>
            </w:pPr>
            <w:r w:rsidRPr="004761E0">
              <w:rPr>
                <w:b/>
                <w:bCs/>
                <w:color w:val="FFFFFF"/>
                <w:sz w:val="20"/>
                <w:szCs w:val="20"/>
              </w:rPr>
              <w:t>Наименование категории</w:t>
            </w:r>
          </w:p>
        </w:tc>
        <w:tc>
          <w:tcPr>
            <w:tcW w:w="5670" w:type="dxa"/>
            <w:gridSpan w:val="8"/>
            <w:tcBorders>
              <w:top w:val="single" w:sz="8" w:space="0" w:color="FFFFFF"/>
              <w:left w:val="nil"/>
              <w:bottom w:val="single" w:sz="8" w:space="0" w:color="FFFFFF"/>
              <w:right w:val="single" w:sz="8" w:space="0" w:color="FFFFFF"/>
            </w:tcBorders>
            <w:shd w:val="clear" w:color="auto" w:fill="0F243E"/>
            <w:tcMar>
              <w:top w:w="0" w:type="dxa"/>
              <w:left w:w="108" w:type="dxa"/>
              <w:bottom w:w="0" w:type="dxa"/>
              <w:right w:w="108" w:type="dxa"/>
            </w:tcMar>
            <w:hideMark/>
          </w:tcPr>
          <w:p w:rsidR="002E7A5C" w:rsidRPr="004761E0" w:rsidRDefault="002E7A5C" w:rsidP="002E7A5C">
            <w:pPr>
              <w:ind w:firstLine="0"/>
              <w:jc w:val="right"/>
              <w:rPr>
                <w:b/>
                <w:bCs/>
                <w:color w:val="FFFFFF"/>
                <w:sz w:val="20"/>
                <w:szCs w:val="20"/>
              </w:rPr>
            </w:pPr>
            <w:r w:rsidRPr="004761E0">
              <w:rPr>
                <w:b/>
                <w:bCs/>
                <w:color w:val="FFFFFF"/>
                <w:sz w:val="20"/>
                <w:szCs w:val="20"/>
              </w:rPr>
              <w:t>г. Москва</w:t>
            </w:r>
          </w:p>
        </w:tc>
        <w:tc>
          <w:tcPr>
            <w:tcW w:w="5670" w:type="dxa"/>
            <w:gridSpan w:val="8"/>
            <w:tcBorders>
              <w:top w:val="single" w:sz="8" w:space="0" w:color="auto"/>
              <w:left w:val="nil"/>
              <w:bottom w:val="single" w:sz="8" w:space="0" w:color="FFFFFF"/>
              <w:right w:val="single" w:sz="8" w:space="0" w:color="auto"/>
            </w:tcBorders>
            <w:shd w:val="clear" w:color="auto" w:fill="0F243E"/>
            <w:tcMar>
              <w:top w:w="0" w:type="dxa"/>
              <w:left w:w="108" w:type="dxa"/>
              <w:bottom w:w="0" w:type="dxa"/>
              <w:right w:w="108" w:type="dxa"/>
            </w:tcMar>
            <w:hideMark/>
          </w:tcPr>
          <w:p w:rsidR="002E7A5C" w:rsidRPr="004761E0" w:rsidRDefault="002E7A5C" w:rsidP="002E7A5C">
            <w:pPr>
              <w:ind w:firstLine="0"/>
              <w:jc w:val="right"/>
              <w:rPr>
                <w:b/>
                <w:bCs/>
                <w:color w:val="FFFFFF"/>
                <w:sz w:val="20"/>
                <w:szCs w:val="20"/>
              </w:rPr>
            </w:pPr>
            <w:r w:rsidRPr="004761E0">
              <w:rPr>
                <w:b/>
                <w:bCs/>
                <w:color w:val="FFFFFF"/>
                <w:sz w:val="20"/>
                <w:szCs w:val="20"/>
              </w:rPr>
              <w:t>Московская область</w:t>
            </w:r>
          </w:p>
        </w:tc>
      </w:tr>
      <w:tr w:rsidR="002E7A5C" w:rsidRPr="004761E0" w:rsidTr="002E7A5C">
        <w:trPr>
          <w:trHeight w:val="300"/>
        </w:trPr>
        <w:tc>
          <w:tcPr>
            <w:tcW w:w="0" w:type="auto"/>
            <w:vMerge/>
            <w:tcBorders>
              <w:top w:val="single" w:sz="8" w:space="0" w:color="auto"/>
              <w:left w:val="single" w:sz="8" w:space="0" w:color="auto"/>
              <w:bottom w:val="single" w:sz="8" w:space="0" w:color="000000"/>
              <w:right w:val="single" w:sz="8" w:space="0" w:color="FFFFFF"/>
            </w:tcBorders>
            <w:vAlign w:val="center"/>
            <w:hideMark/>
          </w:tcPr>
          <w:p w:rsidR="002E7A5C" w:rsidRPr="004761E0" w:rsidRDefault="002E7A5C" w:rsidP="002E7A5C">
            <w:pPr>
              <w:ind w:firstLine="0"/>
              <w:rPr>
                <w:b/>
                <w:bCs/>
                <w:color w:val="FFFFFF"/>
                <w:sz w:val="20"/>
                <w:szCs w:val="20"/>
              </w:rPr>
            </w:pPr>
          </w:p>
        </w:tc>
        <w:tc>
          <w:tcPr>
            <w:tcW w:w="0" w:type="auto"/>
            <w:vMerge/>
            <w:tcBorders>
              <w:top w:val="single" w:sz="8" w:space="0" w:color="auto"/>
              <w:left w:val="nil"/>
              <w:bottom w:val="single" w:sz="8" w:space="0" w:color="000000"/>
              <w:right w:val="single" w:sz="8" w:space="0" w:color="FFFFFF"/>
            </w:tcBorders>
            <w:vAlign w:val="center"/>
            <w:hideMark/>
          </w:tcPr>
          <w:p w:rsidR="002E7A5C" w:rsidRPr="004761E0" w:rsidRDefault="002E7A5C" w:rsidP="002E7A5C">
            <w:pPr>
              <w:ind w:firstLine="0"/>
              <w:rPr>
                <w:b/>
                <w:bCs/>
                <w:color w:val="FFFFFF"/>
                <w:sz w:val="20"/>
                <w:szCs w:val="20"/>
              </w:rPr>
            </w:pPr>
          </w:p>
        </w:tc>
        <w:tc>
          <w:tcPr>
            <w:tcW w:w="708" w:type="dxa"/>
            <w:tcBorders>
              <w:top w:val="nil"/>
              <w:left w:val="nil"/>
              <w:bottom w:val="single" w:sz="8" w:space="0" w:color="FFFFFF"/>
              <w:right w:val="single" w:sz="8" w:space="0" w:color="FFFFFF"/>
            </w:tcBorders>
            <w:shd w:val="clear" w:color="auto" w:fill="0F243E"/>
            <w:tcMar>
              <w:top w:w="0" w:type="dxa"/>
              <w:left w:w="108" w:type="dxa"/>
              <w:bottom w:w="0" w:type="dxa"/>
              <w:right w:w="108" w:type="dxa"/>
            </w:tcMar>
            <w:vAlign w:val="center"/>
            <w:hideMark/>
          </w:tcPr>
          <w:p w:rsidR="002E7A5C" w:rsidRPr="004761E0" w:rsidRDefault="002E7A5C" w:rsidP="002E7A5C">
            <w:pPr>
              <w:ind w:firstLine="0"/>
              <w:jc w:val="right"/>
              <w:rPr>
                <w:b/>
                <w:bCs/>
                <w:color w:val="FFFFFF"/>
                <w:sz w:val="20"/>
                <w:szCs w:val="20"/>
              </w:rPr>
            </w:pPr>
            <w:r w:rsidRPr="004761E0">
              <w:rPr>
                <w:b/>
                <w:bCs/>
                <w:color w:val="FFFFFF"/>
                <w:sz w:val="20"/>
                <w:szCs w:val="20"/>
              </w:rPr>
              <w:t>2011</w:t>
            </w:r>
          </w:p>
        </w:tc>
        <w:tc>
          <w:tcPr>
            <w:tcW w:w="709" w:type="dxa"/>
            <w:tcBorders>
              <w:top w:val="nil"/>
              <w:left w:val="nil"/>
              <w:bottom w:val="single" w:sz="8" w:space="0" w:color="FFFFFF"/>
              <w:right w:val="single" w:sz="8" w:space="0" w:color="FFFFFF"/>
            </w:tcBorders>
            <w:shd w:val="clear" w:color="auto" w:fill="0F243E"/>
            <w:tcMar>
              <w:top w:w="0" w:type="dxa"/>
              <w:left w:w="108" w:type="dxa"/>
              <w:bottom w:w="0" w:type="dxa"/>
              <w:right w:w="108" w:type="dxa"/>
            </w:tcMar>
            <w:vAlign w:val="center"/>
            <w:hideMark/>
          </w:tcPr>
          <w:p w:rsidR="002E7A5C" w:rsidRPr="004761E0" w:rsidRDefault="002E7A5C" w:rsidP="002E7A5C">
            <w:pPr>
              <w:ind w:firstLine="0"/>
              <w:jc w:val="right"/>
              <w:rPr>
                <w:b/>
                <w:bCs/>
                <w:color w:val="FFFFFF"/>
                <w:sz w:val="20"/>
                <w:szCs w:val="20"/>
              </w:rPr>
            </w:pPr>
            <w:r w:rsidRPr="004761E0">
              <w:rPr>
                <w:b/>
                <w:bCs/>
                <w:color w:val="FFFFFF"/>
                <w:sz w:val="20"/>
                <w:szCs w:val="20"/>
              </w:rPr>
              <w:t>2012</w:t>
            </w:r>
          </w:p>
        </w:tc>
        <w:tc>
          <w:tcPr>
            <w:tcW w:w="709" w:type="dxa"/>
            <w:tcBorders>
              <w:top w:val="nil"/>
              <w:left w:val="nil"/>
              <w:bottom w:val="single" w:sz="8" w:space="0" w:color="FFFFFF"/>
              <w:right w:val="single" w:sz="8" w:space="0" w:color="FFFFFF"/>
            </w:tcBorders>
            <w:shd w:val="clear" w:color="auto" w:fill="0F243E"/>
            <w:tcMar>
              <w:top w:w="0" w:type="dxa"/>
              <w:left w:w="108" w:type="dxa"/>
              <w:bottom w:w="0" w:type="dxa"/>
              <w:right w:w="108" w:type="dxa"/>
            </w:tcMar>
            <w:vAlign w:val="center"/>
            <w:hideMark/>
          </w:tcPr>
          <w:p w:rsidR="002E7A5C" w:rsidRPr="004761E0" w:rsidRDefault="002E7A5C" w:rsidP="002E7A5C">
            <w:pPr>
              <w:ind w:firstLine="0"/>
              <w:jc w:val="right"/>
              <w:rPr>
                <w:b/>
                <w:bCs/>
                <w:color w:val="FFFFFF"/>
                <w:sz w:val="20"/>
                <w:szCs w:val="20"/>
              </w:rPr>
            </w:pPr>
            <w:r w:rsidRPr="004761E0">
              <w:rPr>
                <w:b/>
                <w:bCs/>
                <w:color w:val="FFFFFF"/>
                <w:sz w:val="20"/>
                <w:szCs w:val="20"/>
              </w:rPr>
              <w:t>2013</w:t>
            </w:r>
          </w:p>
        </w:tc>
        <w:tc>
          <w:tcPr>
            <w:tcW w:w="709" w:type="dxa"/>
            <w:tcBorders>
              <w:top w:val="nil"/>
              <w:left w:val="nil"/>
              <w:bottom w:val="single" w:sz="8" w:space="0" w:color="FFFFFF"/>
              <w:right w:val="single" w:sz="8" w:space="0" w:color="FFFFFF"/>
            </w:tcBorders>
            <w:shd w:val="clear" w:color="auto" w:fill="0F243E"/>
            <w:tcMar>
              <w:top w:w="0" w:type="dxa"/>
              <w:left w:w="108" w:type="dxa"/>
              <w:bottom w:w="0" w:type="dxa"/>
              <w:right w:w="108" w:type="dxa"/>
            </w:tcMar>
            <w:vAlign w:val="center"/>
            <w:hideMark/>
          </w:tcPr>
          <w:p w:rsidR="002E7A5C" w:rsidRPr="004761E0" w:rsidRDefault="002E7A5C" w:rsidP="002E7A5C">
            <w:pPr>
              <w:ind w:firstLine="0"/>
              <w:jc w:val="right"/>
              <w:rPr>
                <w:b/>
                <w:bCs/>
                <w:color w:val="FFFFFF"/>
                <w:sz w:val="20"/>
                <w:szCs w:val="20"/>
              </w:rPr>
            </w:pPr>
            <w:r w:rsidRPr="004761E0">
              <w:rPr>
                <w:b/>
                <w:bCs/>
                <w:color w:val="FFFFFF"/>
                <w:sz w:val="20"/>
                <w:szCs w:val="20"/>
              </w:rPr>
              <w:t>2014</w:t>
            </w:r>
          </w:p>
        </w:tc>
        <w:tc>
          <w:tcPr>
            <w:tcW w:w="708" w:type="dxa"/>
            <w:tcBorders>
              <w:top w:val="nil"/>
              <w:left w:val="nil"/>
              <w:bottom w:val="single" w:sz="8" w:space="0" w:color="FFFFFF"/>
              <w:right w:val="single" w:sz="8" w:space="0" w:color="FFFFFF"/>
            </w:tcBorders>
            <w:shd w:val="clear" w:color="auto" w:fill="0F243E"/>
            <w:tcMar>
              <w:top w:w="0" w:type="dxa"/>
              <w:left w:w="108" w:type="dxa"/>
              <w:bottom w:w="0" w:type="dxa"/>
              <w:right w:w="108" w:type="dxa"/>
            </w:tcMar>
            <w:vAlign w:val="center"/>
            <w:hideMark/>
          </w:tcPr>
          <w:p w:rsidR="002E7A5C" w:rsidRPr="004761E0" w:rsidRDefault="002E7A5C" w:rsidP="002E7A5C">
            <w:pPr>
              <w:ind w:firstLine="0"/>
              <w:jc w:val="right"/>
              <w:rPr>
                <w:b/>
                <w:bCs/>
                <w:color w:val="FFFFFF"/>
                <w:sz w:val="20"/>
                <w:szCs w:val="20"/>
              </w:rPr>
            </w:pPr>
            <w:r w:rsidRPr="004761E0">
              <w:rPr>
                <w:b/>
                <w:bCs/>
                <w:color w:val="FFFFFF"/>
                <w:sz w:val="20"/>
                <w:szCs w:val="20"/>
              </w:rPr>
              <w:t>2015</w:t>
            </w:r>
          </w:p>
        </w:tc>
        <w:tc>
          <w:tcPr>
            <w:tcW w:w="709" w:type="dxa"/>
            <w:tcBorders>
              <w:top w:val="nil"/>
              <w:left w:val="nil"/>
              <w:bottom w:val="single" w:sz="8" w:space="0" w:color="FFFFFF"/>
              <w:right w:val="single" w:sz="8" w:space="0" w:color="FFFFFF"/>
            </w:tcBorders>
            <w:shd w:val="clear" w:color="auto" w:fill="0F243E"/>
            <w:tcMar>
              <w:top w:w="0" w:type="dxa"/>
              <w:left w:w="108" w:type="dxa"/>
              <w:bottom w:w="0" w:type="dxa"/>
              <w:right w:w="108" w:type="dxa"/>
            </w:tcMar>
            <w:vAlign w:val="center"/>
            <w:hideMark/>
          </w:tcPr>
          <w:p w:rsidR="002E7A5C" w:rsidRPr="004761E0" w:rsidRDefault="002E7A5C" w:rsidP="002E7A5C">
            <w:pPr>
              <w:ind w:firstLine="0"/>
              <w:jc w:val="right"/>
              <w:rPr>
                <w:b/>
                <w:bCs/>
                <w:color w:val="FFFFFF"/>
                <w:sz w:val="20"/>
                <w:szCs w:val="20"/>
              </w:rPr>
            </w:pPr>
            <w:r w:rsidRPr="004761E0">
              <w:rPr>
                <w:b/>
                <w:bCs/>
                <w:color w:val="FFFFFF"/>
                <w:sz w:val="20"/>
                <w:szCs w:val="20"/>
              </w:rPr>
              <w:t>2016</w:t>
            </w:r>
          </w:p>
        </w:tc>
        <w:tc>
          <w:tcPr>
            <w:tcW w:w="709" w:type="dxa"/>
            <w:tcBorders>
              <w:top w:val="nil"/>
              <w:left w:val="nil"/>
              <w:bottom w:val="single" w:sz="8" w:space="0" w:color="FFFFFF"/>
              <w:right w:val="single" w:sz="8" w:space="0" w:color="FFFFFF"/>
            </w:tcBorders>
            <w:shd w:val="clear" w:color="auto" w:fill="0F243E"/>
            <w:tcMar>
              <w:top w:w="0" w:type="dxa"/>
              <w:left w:w="108" w:type="dxa"/>
              <w:bottom w:w="0" w:type="dxa"/>
              <w:right w:w="108" w:type="dxa"/>
            </w:tcMar>
            <w:vAlign w:val="center"/>
            <w:hideMark/>
          </w:tcPr>
          <w:p w:rsidR="002E7A5C" w:rsidRPr="004761E0" w:rsidRDefault="002E7A5C" w:rsidP="002E7A5C">
            <w:pPr>
              <w:ind w:firstLine="0"/>
              <w:jc w:val="right"/>
              <w:rPr>
                <w:b/>
                <w:bCs/>
                <w:color w:val="FFFFFF"/>
                <w:sz w:val="20"/>
                <w:szCs w:val="20"/>
              </w:rPr>
            </w:pPr>
            <w:r w:rsidRPr="004761E0">
              <w:rPr>
                <w:b/>
                <w:bCs/>
                <w:color w:val="FFFFFF"/>
                <w:sz w:val="20"/>
                <w:szCs w:val="20"/>
              </w:rPr>
              <w:t>2017</w:t>
            </w:r>
          </w:p>
        </w:tc>
        <w:tc>
          <w:tcPr>
            <w:tcW w:w="709" w:type="dxa"/>
            <w:tcBorders>
              <w:top w:val="nil"/>
              <w:left w:val="nil"/>
              <w:bottom w:val="single" w:sz="8" w:space="0" w:color="FFFFFF"/>
              <w:right w:val="single" w:sz="8" w:space="0" w:color="FFFFFF"/>
            </w:tcBorders>
            <w:shd w:val="clear" w:color="auto" w:fill="0F243E"/>
            <w:tcMar>
              <w:top w:w="0" w:type="dxa"/>
              <w:left w:w="108" w:type="dxa"/>
              <w:bottom w:w="0" w:type="dxa"/>
              <w:right w:w="108" w:type="dxa"/>
            </w:tcMar>
            <w:vAlign w:val="center"/>
            <w:hideMark/>
          </w:tcPr>
          <w:p w:rsidR="002E7A5C" w:rsidRPr="004761E0" w:rsidRDefault="002E7A5C" w:rsidP="002E7A5C">
            <w:pPr>
              <w:ind w:firstLine="0"/>
              <w:jc w:val="right"/>
              <w:rPr>
                <w:b/>
                <w:bCs/>
                <w:color w:val="FFFFFF"/>
                <w:sz w:val="20"/>
                <w:szCs w:val="20"/>
              </w:rPr>
            </w:pPr>
            <w:r w:rsidRPr="004761E0">
              <w:rPr>
                <w:b/>
                <w:bCs/>
                <w:color w:val="FFFFFF"/>
                <w:sz w:val="20"/>
                <w:szCs w:val="20"/>
              </w:rPr>
              <w:t>2018</w:t>
            </w:r>
          </w:p>
        </w:tc>
        <w:tc>
          <w:tcPr>
            <w:tcW w:w="708" w:type="dxa"/>
            <w:tcBorders>
              <w:top w:val="nil"/>
              <w:left w:val="nil"/>
              <w:bottom w:val="single" w:sz="8" w:space="0" w:color="FFFFFF"/>
              <w:right w:val="single" w:sz="8" w:space="0" w:color="FFFFFF"/>
            </w:tcBorders>
            <w:shd w:val="clear" w:color="auto" w:fill="0F243E"/>
            <w:tcMar>
              <w:top w:w="0" w:type="dxa"/>
              <w:left w:w="108" w:type="dxa"/>
              <w:bottom w:w="0" w:type="dxa"/>
              <w:right w:w="108" w:type="dxa"/>
            </w:tcMar>
            <w:vAlign w:val="center"/>
            <w:hideMark/>
          </w:tcPr>
          <w:p w:rsidR="002E7A5C" w:rsidRPr="004761E0" w:rsidRDefault="002E7A5C" w:rsidP="002E7A5C">
            <w:pPr>
              <w:ind w:firstLine="0"/>
              <w:jc w:val="right"/>
              <w:rPr>
                <w:b/>
                <w:bCs/>
                <w:color w:val="FFFFFF"/>
                <w:sz w:val="20"/>
                <w:szCs w:val="20"/>
              </w:rPr>
            </w:pPr>
            <w:r w:rsidRPr="004761E0">
              <w:rPr>
                <w:b/>
                <w:bCs/>
                <w:color w:val="FFFFFF"/>
                <w:sz w:val="20"/>
                <w:szCs w:val="20"/>
              </w:rPr>
              <w:t>2011</w:t>
            </w:r>
          </w:p>
        </w:tc>
        <w:tc>
          <w:tcPr>
            <w:tcW w:w="709" w:type="dxa"/>
            <w:tcBorders>
              <w:top w:val="nil"/>
              <w:left w:val="nil"/>
              <w:bottom w:val="single" w:sz="8" w:space="0" w:color="FFFFFF"/>
              <w:right w:val="single" w:sz="8" w:space="0" w:color="FFFFFF"/>
            </w:tcBorders>
            <w:shd w:val="clear" w:color="auto" w:fill="0F243E"/>
            <w:tcMar>
              <w:top w:w="0" w:type="dxa"/>
              <w:left w:w="108" w:type="dxa"/>
              <w:bottom w:w="0" w:type="dxa"/>
              <w:right w:w="108" w:type="dxa"/>
            </w:tcMar>
            <w:vAlign w:val="center"/>
            <w:hideMark/>
          </w:tcPr>
          <w:p w:rsidR="002E7A5C" w:rsidRPr="004761E0" w:rsidRDefault="002E7A5C" w:rsidP="002E7A5C">
            <w:pPr>
              <w:ind w:firstLine="0"/>
              <w:jc w:val="right"/>
              <w:rPr>
                <w:b/>
                <w:bCs/>
                <w:color w:val="FFFFFF"/>
                <w:sz w:val="20"/>
                <w:szCs w:val="20"/>
              </w:rPr>
            </w:pPr>
            <w:r w:rsidRPr="004761E0">
              <w:rPr>
                <w:b/>
                <w:bCs/>
                <w:color w:val="FFFFFF"/>
                <w:sz w:val="20"/>
                <w:szCs w:val="20"/>
              </w:rPr>
              <w:t>2012</w:t>
            </w:r>
          </w:p>
        </w:tc>
        <w:tc>
          <w:tcPr>
            <w:tcW w:w="709" w:type="dxa"/>
            <w:tcBorders>
              <w:top w:val="nil"/>
              <w:left w:val="nil"/>
              <w:bottom w:val="single" w:sz="8" w:space="0" w:color="FFFFFF"/>
              <w:right w:val="single" w:sz="8" w:space="0" w:color="FFFFFF"/>
            </w:tcBorders>
            <w:shd w:val="clear" w:color="auto" w:fill="0F243E"/>
            <w:tcMar>
              <w:top w:w="0" w:type="dxa"/>
              <w:left w:w="108" w:type="dxa"/>
              <w:bottom w:w="0" w:type="dxa"/>
              <w:right w:w="108" w:type="dxa"/>
            </w:tcMar>
            <w:vAlign w:val="center"/>
            <w:hideMark/>
          </w:tcPr>
          <w:p w:rsidR="002E7A5C" w:rsidRPr="004761E0" w:rsidRDefault="002E7A5C" w:rsidP="002E7A5C">
            <w:pPr>
              <w:ind w:firstLine="0"/>
              <w:jc w:val="right"/>
              <w:rPr>
                <w:b/>
                <w:bCs/>
                <w:color w:val="FFFFFF"/>
                <w:sz w:val="20"/>
                <w:szCs w:val="20"/>
              </w:rPr>
            </w:pPr>
            <w:r w:rsidRPr="004761E0">
              <w:rPr>
                <w:b/>
                <w:bCs/>
                <w:color w:val="FFFFFF"/>
                <w:sz w:val="20"/>
                <w:szCs w:val="20"/>
              </w:rPr>
              <w:t>2013</w:t>
            </w:r>
          </w:p>
        </w:tc>
        <w:tc>
          <w:tcPr>
            <w:tcW w:w="709" w:type="dxa"/>
            <w:tcBorders>
              <w:top w:val="nil"/>
              <w:left w:val="nil"/>
              <w:bottom w:val="single" w:sz="8" w:space="0" w:color="FFFFFF"/>
              <w:right w:val="single" w:sz="8" w:space="0" w:color="FFFFFF"/>
            </w:tcBorders>
            <w:shd w:val="clear" w:color="auto" w:fill="0F243E"/>
            <w:tcMar>
              <w:top w:w="0" w:type="dxa"/>
              <w:left w:w="108" w:type="dxa"/>
              <w:bottom w:w="0" w:type="dxa"/>
              <w:right w:w="108" w:type="dxa"/>
            </w:tcMar>
            <w:vAlign w:val="center"/>
            <w:hideMark/>
          </w:tcPr>
          <w:p w:rsidR="002E7A5C" w:rsidRPr="004761E0" w:rsidRDefault="002E7A5C" w:rsidP="002E7A5C">
            <w:pPr>
              <w:ind w:firstLine="0"/>
              <w:jc w:val="right"/>
              <w:rPr>
                <w:b/>
                <w:bCs/>
                <w:color w:val="FFFFFF"/>
                <w:sz w:val="20"/>
                <w:szCs w:val="20"/>
              </w:rPr>
            </w:pPr>
            <w:r w:rsidRPr="004761E0">
              <w:rPr>
                <w:b/>
                <w:bCs/>
                <w:color w:val="FFFFFF"/>
                <w:sz w:val="20"/>
                <w:szCs w:val="20"/>
              </w:rPr>
              <w:t>2014</w:t>
            </w:r>
          </w:p>
        </w:tc>
        <w:tc>
          <w:tcPr>
            <w:tcW w:w="708" w:type="dxa"/>
            <w:tcBorders>
              <w:top w:val="nil"/>
              <w:left w:val="nil"/>
              <w:bottom w:val="single" w:sz="8" w:space="0" w:color="FFFFFF"/>
              <w:right w:val="single" w:sz="8" w:space="0" w:color="FFFFFF"/>
            </w:tcBorders>
            <w:shd w:val="clear" w:color="auto" w:fill="0F243E"/>
            <w:tcMar>
              <w:top w:w="0" w:type="dxa"/>
              <w:left w:w="108" w:type="dxa"/>
              <w:bottom w:w="0" w:type="dxa"/>
              <w:right w:w="108" w:type="dxa"/>
            </w:tcMar>
            <w:vAlign w:val="center"/>
            <w:hideMark/>
          </w:tcPr>
          <w:p w:rsidR="002E7A5C" w:rsidRPr="004761E0" w:rsidRDefault="002E7A5C" w:rsidP="002E7A5C">
            <w:pPr>
              <w:ind w:firstLine="0"/>
              <w:jc w:val="right"/>
              <w:rPr>
                <w:b/>
                <w:bCs/>
                <w:color w:val="FFFFFF"/>
                <w:sz w:val="20"/>
                <w:szCs w:val="20"/>
              </w:rPr>
            </w:pPr>
            <w:r w:rsidRPr="004761E0">
              <w:rPr>
                <w:b/>
                <w:bCs/>
                <w:color w:val="FFFFFF"/>
                <w:sz w:val="20"/>
                <w:szCs w:val="20"/>
              </w:rPr>
              <w:t>2015</w:t>
            </w:r>
          </w:p>
        </w:tc>
        <w:tc>
          <w:tcPr>
            <w:tcW w:w="709" w:type="dxa"/>
            <w:tcBorders>
              <w:top w:val="nil"/>
              <w:left w:val="nil"/>
              <w:bottom w:val="single" w:sz="8" w:space="0" w:color="FFFFFF"/>
              <w:right w:val="single" w:sz="8" w:space="0" w:color="FFFFFF"/>
            </w:tcBorders>
            <w:shd w:val="clear" w:color="auto" w:fill="0F243E"/>
            <w:tcMar>
              <w:top w:w="0" w:type="dxa"/>
              <w:left w:w="108" w:type="dxa"/>
              <w:bottom w:w="0" w:type="dxa"/>
              <w:right w:w="108" w:type="dxa"/>
            </w:tcMar>
            <w:vAlign w:val="center"/>
            <w:hideMark/>
          </w:tcPr>
          <w:p w:rsidR="002E7A5C" w:rsidRPr="004761E0" w:rsidRDefault="002E7A5C" w:rsidP="002E7A5C">
            <w:pPr>
              <w:ind w:firstLine="0"/>
              <w:jc w:val="right"/>
              <w:rPr>
                <w:b/>
                <w:bCs/>
                <w:color w:val="FFFFFF"/>
                <w:sz w:val="20"/>
                <w:szCs w:val="20"/>
              </w:rPr>
            </w:pPr>
            <w:r w:rsidRPr="004761E0">
              <w:rPr>
                <w:b/>
                <w:bCs/>
                <w:color w:val="FFFFFF"/>
                <w:sz w:val="20"/>
                <w:szCs w:val="20"/>
              </w:rPr>
              <w:t>2016</w:t>
            </w:r>
          </w:p>
        </w:tc>
        <w:tc>
          <w:tcPr>
            <w:tcW w:w="709" w:type="dxa"/>
            <w:tcBorders>
              <w:top w:val="nil"/>
              <w:left w:val="nil"/>
              <w:bottom w:val="single" w:sz="8" w:space="0" w:color="FFFFFF"/>
              <w:right w:val="single" w:sz="8" w:space="0" w:color="FFFFFF"/>
            </w:tcBorders>
            <w:shd w:val="clear" w:color="auto" w:fill="0F243E"/>
            <w:tcMar>
              <w:top w:w="0" w:type="dxa"/>
              <w:left w:w="108" w:type="dxa"/>
              <w:bottom w:w="0" w:type="dxa"/>
              <w:right w:w="108" w:type="dxa"/>
            </w:tcMar>
            <w:vAlign w:val="center"/>
            <w:hideMark/>
          </w:tcPr>
          <w:p w:rsidR="002E7A5C" w:rsidRPr="004761E0" w:rsidRDefault="002E7A5C" w:rsidP="002E7A5C">
            <w:pPr>
              <w:ind w:firstLine="0"/>
              <w:jc w:val="right"/>
              <w:rPr>
                <w:b/>
                <w:bCs/>
                <w:color w:val="FFFFFF"/>
                <w:sz w:val="20"/>
                <w:szCs w:val="20"/>
              </w:rPr>
            </w:pPr>
            <w:r w:rsidRPr="004761E0">
              <w:rPr>
                <w:b/>
                <w:bCs/>
                <w:color w:val="FFFFFF"/>
                <w:sz w:val="20"/>
                <w:szCs w:val="20"/>
              </w:rPr>
              <w:t>2017</w:t>
            </w:r>
          </w:p>
        </w:tc>
        <w:tc>
          <w:tcPr>
            <w:tcW w:w="709" w:type="dxa"/>
            <w:tcBorders>
              <w:top w:val="nil"/>
              <w:left w:val="nil"/>
              <w:bottom w:val="single" w:sz="8" w:space="0" w:color="auto"/>
              <w:right w:val="single" w:sz="8" w:space="0" w:color="auto"/>
            </w:tcBorders>
            <w:shd w:val="clear" w:color="auto" w:fill="0F243E"/>
            <w:tcMar>
              <w:top w:w="0" w:type="dxa"/>
              <w:left w:w="108" w:type="dxa"/>
              <w:bottom w:w="0" w:type="dxa"/>
              <w:right w:w="108" w:type="dxa"/>
            </w:tcMar>
            <w:vAlign w:val="center"/>
            <w:hideMark/>
          </w:tcPr>
          <w:p w:rsidR="002E7A5C" w:rsidRPr="004761E0" w:rsidRDefault="002E7A5C" w:rsidP="002E7A5C">
            <w:pPr>
              <w:ind w:firstLine="0"/>
              <w:jc w:val="right"/>
              <w:rPr>
                <w:b/>
                <w:bCs/>
                <w:color w:val="FFFFFF"/>
                <w:sz w:val="20"/>
                <w:szCs w:val="20"/>
              </w:rPr>
            </w:pPr>
            <w:r w:rsidRPr="004761E0">
              <w:rPr>
                <w:b/>
                <w:bCs/>
                <w:color w:val="FFFFFF"/>
                <w:sz w:val="20"/>
                <w:szCs w:val="20"/>
              </w:rPr>
              <w:t>2018</w:t>
            </w:r>
          </w:p>
        </w:tc>
      </w:tr>
      <w:tr w:rsidR="002E7A5C" w:rsidRPr="004761E0" w:rsidTr="002E7A5C">
        <w:trPr>
          <w:trHeight w:val="300"/>
        </w:trPr>
        <w:tc>
          <w:tcPr>
            <w:tcW w:w="5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7076A7">
            <w:pPr>
              <w:numPr>
                <w:ilvl w:val="0"/>
                <w:numId w:val="11"/>
              </w:numPr>
              <w:tabs>
                <w:tab w:val="left" w:pos="262"/>
              </w:tabs>
              <w:rPr>
                <w:rFonts w:eastAsia="Times New Roman"/>
                <w:color w:val="000000"/>
                <w:sz w:val="20"/>
                <w:szCs w:val="20"/>
                <w:lang w:eastAsia="ru-RU"/>
              </w:rPr>
            </w:pPr>
          </w:p>
        </w:tc>
        <w:tc>
          <w:tcPr>
            <w:tcW w:w="31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left"/>
              <w:rPr>
                <w:rFonts w:eastAsiaTheme="minorHAnsi"/>
                <w:color w:val="000000"/>
                <w:sz w:val="20"/>
                <w:szCs w:val="20"/>
              </w:rPr>
            </w:pPr>
            <w:r w:rsidRPr="004761E0">
              <w:rPr>
                <w:sz w:val="20"/>
                <w:szCs w:val="20"/>
              </w:rPr>
              <w:t xml:space="preserve">Электропотребление, млрд кВтч </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right"/>
              <w:rPr>
                <w:sz w:val="20"/>
                <w:szCs w:val="20"/>
              </w:rPr>
            </w:pPr>
            <w:r w:rsidRPr="004761E0">
              <w:rPr>
                <w:sz w:val="20"/>
                <w:szCs w:val="20"/>
              </w:rPr>
              <w:t>51,47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right"/>
              <w:rPr>
                <w:sz w:val="20"/>
                <w:szCs w:val="20"/>
              </w:rPr>
            </w:pPr>
            <w:r w:rsidRPr="004761E0">
              <w:rPr>
                <w:sz w:val="20"/>
                <w:szCs w:val="20"/>
              </w:rPr>
              <w:t>54,45</w:t>
            </w:r>
            <w:r w:rsidRPr="006F4AB8">
              <w:rPr>
                <w:rStyle w:val="af1"/>
              </w:rPr>
              <w:footnoteReference w:id="143"/>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right"/>
              <w:rPr>
                <w:sz w:val="20"/>
                <w:szCs w:val="20"/>
              </w:rPr>
            </w:pPr>
            <w:r w:rsidRPr="004761E0">
              <w:rPr>
                <w:sz w:val="20"/>
                <w:szCs w:val="20"/>
              </w:rPr>
              <w:t>55,84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right"/>
              <w:rPr>
                <w:sz w:val="20"/>
                <w:szCs w:val="20"/>
              </w:rPr>
            </w:pPr>
            <w:r w:rsidRPr="004761E0">
              <w:rPr>
                <w:sz w:val="20"/>
                <w:szCs w:val="20"/>
              </w:rPr>
              <w:t>57,17</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right"/>
              <w:rPr>
                <w:sz w:val="20"/>
                <w:szCs w:val="20"/>
              </w:rPr>
            </w:pPr>
            <w:r w:rsidRPr="004761E0">
              <w:rPr>
                <w:sz w:val="20"/>
                <w:szCs w:val="20"/>
              </w:rPr>
              <w:t>58,54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right"/>
              <w:rPr>
                <w:sz w:val="20"/>
                <w:szCs w:val="20"/>
              </w:rPr>
            </w:pPr>
            <w:r w:rsidRPr="004761E0">
              <w:rPr>
                <w:sz w:val="20"/>
                <w:szCs w:val="20"/>
              </w:rPr>
              <w:t>59,64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right"/>
              <w:rPr>
                <w:sz w:val="20"/>
                <w:szCs w:val="20"/>
              </w:rPr>
            </w:pPr>
            <w:r w:rsidRPr="004761E0">
              <w:rPr>
                <w:sz w:val="20"/>
                <w:szCs w:val="20"/>
              </w:rPr>
              <w:t>60,71</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right"/>
              <w:rPr>
                <w:sz w:val="20"/>
                <w:szCs w:val="20"/>
              </w:rPr>
            </w:pPr>
            <w:r w:rsidRPr="004761E0">
              <w:rPr>
                <w:sz w:val="20"/>
                <w:szCs w:val="20"/>
              </w:rPr>
              <w:t>61,82</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right"/>
              <w:rPr>
                <w:sz w:val="20"/>
                <w:szCs w:val="20"/>
              </w:rPr>
            </w:pPr>
            <w:r w:rsidRPr="004761E0">
              <w:rPr>
                <w:sz w:val="20"/>
                <w:szCs w:val="20"/>
              </w:rPr>
              <w:t>46,75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right"/>
              <w:rPr>
                <w:sz w:val="20"/>
                <w:szCs w:val="20"/>
              </w:rPr>
            </w:pPr>
            <w:r w:rsidRPr="004761E0">
              <w:rPr>
                <w:sz w:val="20"/>
                <w:szCs w:val="20"/>
              </w:rPr>
              <w:t>46,47*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right"/>
              <w:rPr>
                <w:sz w:val="20"/>
                <w:szCs w:val="20"/>
              </w:rPr>
            </w:pPr>
            <w:r w:rsidRPr="004761E0">
              <w:rPr>
                <w:sz w:val="20"/>
                <w:szCs w:val="20"/>
              </w:rPr>
              <w:t>47,56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right"/>
              <w:rPr>
                <w:sz w:val="20"/>
                <w:szCs w:val="20"/>
              </w:rPr>
            </w:pPr>
            <w:r w:rsidRPr="004761E0">
              <w:rPr>
                <w:sz w:val="20"/>
                <w:szCs w:val="20"/>
              </w:rPr>
              <w:t>49,09</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right"/>
              <w:rPr>
                <w:sz w:val="20"/>
                <w:szCs w:val="20"/>
              </w:rPr>
            </w:pPr>
            <w:r w:rsidRPr="004761E0">
              <w:rPr>
                <w:sz w:val="20"/>
                <w:szCs w:val="20"/>
              </w:rPr>
              <w:t>50,48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right"/>
              <w:rPr>
                <w:sz w:val="20"/>
                <w:szCs w:val="20"/>
              </w:rPr>
            </w:pPr>
            <w:r w:rsidRPr="004761E0">
              <w:rPr>
                <w:sz w:val="20"/>
                <w:szCs w:val="20"/>
              </w:rPr>
              <w:t>51,62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right"/>
              <w:rPr>
                <w:sz w:val="20"/>
                <w:szCs w:val="20"/>
              </w:rPr>
            </w:pPr>
            <w:r w:rsidRPr="004761E0">
              <w:rPr>
                <w:sz w:val="20"/>
                <w:szCs w:val="20"/>
              </w:rPr>
              <w:t>52,77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right"/>
              <w:rPr>
                <w:sz w:val="20"/>
                <w:szCs w:val="20"/>
              </w:rPr>
            </w:pPr>
            <w:r w:rsidRPr="004761E0">
              <w:rPr>
                <w:sz w:val="20"/>
                <w:szCs w:val="20"/>
              </w:rPr>
              <w:t>53,95</w:t>
            </w:r>
          </w:p>
        </w:tc>
      </w:tr>
      <w:tr w:rsidR="002E7A5C" w:rsidRPr="004761E0" w:rsidTr="002E7A5C">
        <w:trPr>
          <w:trHeight w:val="300"/>
        </w:trPr>
        <w:tc>
          <w:tcPr>
            <w:tcW w:w="5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7076A7">
            <w:pPr>
              <w:numPr>
                <w:ilvl w:val="0"/>
                <w:numId w:val="11"/>
              </w:numPr>
              <w:tabs>
                <w:tab w:val="left" w:pos="262"/>
              </w:tabs>
              <w:rPr>
                <w:rFonts w:eastAsia="Times New Roman"/>
                <w:color w:val="000000"/>
                <w:sz w:val="20"/>
                <w:szCs w:val="20"/>
                <w:lang w:eastAsia="ru-RU"/>
              </w:rPr>
            </w:pPr>
          </w:p>
        </w:tc>
        <w:tc>
          <w:tcPr>
            <w:tcW w:w="31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left"/>
              <w:rPr>
                <w:rFonts w:eastAsiaTheme="minorHAnsi"/>
                <w:color w:val="000000"/>
                <w:sz w:val="20"/>
                <w:szCs w:val="20"/>
              </w:rPr>
            </w:pPr>
            <w:r w:rsidRPr="004761E0">
              <w:rPr>
                <w:sz w:val="20"/>
                <w:szCs w:val="20"/>
              </w:rPr>
              <w:t>Годовой темп прироста электропотребления, %</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right"/>
              <w:rPr>
                <w:sz w:val="20"/>
                <w:szCs w:val="20"/>
              </w:rPr>
            </w:pPr>
            <w:r w:rsidRPr="004761E0">
              <w:rPr>
                <w:sz w:val="20"/>
                <w:szCs w:val="20"/>
              </w:rPr>
              <w:t>0,3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right"/>
              <w:rPr>
                <w:sz w:val="20"/>
                <w:szCs w:val="20"/>
              </w:rPr>
            </w:pPr>
            <w:r w:rsidRPr="004761E0">
              <w:rPr>
                <w:sz w:val="20"/>
                <w:szCs w:val="20"/>
              </w:rPr>
              <w:t>5,8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right"/>
              <w:rPr>
                <w:sz w:val="20"/>
                <w:szCs w:val="20"/>
              </w:rPr>
            </w:pPr>
            <w:r w:rsidRPr="004761E0">
              <w:rPr>
                <w:sz w:val="20"/>
                <w:szCs w:val="20"/>
              </w:rPr>
              <w:t>2,6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right"/>
              <w:rPr>
                <w:sz w:val="20"/>
                <w:szCs w:val="20"/>
              </w:rPr>
            </w:pPr>
            <w:r w:rsidRPr="004761E0">
              <w:rPr>
                <w:sz w:val="20"/>
                <w:szCs w:val="20"/>
              </w:rPr>
              <w:t>2,4</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right"/>
              <w:rPr>
                <w:sz w:val="20"/>
                <w:szCs w:val="20"/>
              </w:rPr>
            </w:pPr>
            <w:r w:rsidRPr="004761E0">
              <w:rPr>
                <w:sz w:val="20"/>
                <w:szCs w:val="20"/>
              </w:rPr>
              <w:t>2,4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right"/>
              <w:rPr>
                <w:sz w:val="20"/>
                <w:szCs w:val="20"/>
              </w:rPr>
            </w:pPr>
            <w:r w:rsidRPr="004761E0">
              <w:rPr>
                <w:sz w:val="20"/>
                <w:szCs w:val="20"/>
              </w:rPr>
              <w:t>1,9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right"/>
              <w:rPr>
                <w:sz w:val="20"/>
                <w:szCs w:val="20"/>
              </w:rPr>
            </w:pPr>
            <w:r w:rsidRPr="004761E0">
              <w:rPr>
                <w:sz w:val="20"/>
                <w:szCs w:val="20"/>
              </w:rPr>
              <w:t>1,8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right"/>
              <w:rPr>
                <w:sz w:val="20"/>
                <w:szCs w:val="20"/>
              </w:rPr>
            </w:pPr>
            <w:r w:rsidRPr="004761E0">
              <w:rPr>
                <w:sz w:val="20"/>
                <w:szCs w:val="20"/>
              </w:rPr>
              <w:t>1,8</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right"/>
              <w:rPr>
                <w:sz w:val="20"/>
                <w:szCs w:val="20"/>
              </w:rPr>
            </w:pPr>
            <w:r w:rsidRPr="004761E0">
              <w:rPr>
                <w:sz w:val="20"/>
                <w:szCs w:val="20"/>
              </w:rPr>
              <w:t>0,7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right"/>
              <w:rPr>
                <w:sz w:val="20"/>
                <w:szCs w:val="20"/>
              </w:rPr>
            </w:pPr>
            <w:r w:rsidRPr="004761E0">
              <w:rPr>
                <w:sz w:val="20"/>
                <w:szCs w:val="20"/>
              </w:rPr>
              <w:t>-0,6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right"/>
              <w:rPr>
                <w:sz w:val="20"/>
                <w:szCs w:val="20"/>
              </w:rPr>
            </w:pPr>
            <w:r w:rsidRPr="004761E0">
              <w:rPr>
                <w:sz w:val="20"/>
                <w:szCs w:val="20"/>
              </w:rPr>
              <w:t>2,3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right"/>
              <w:rPr>
                <w:sz w:val="20"/>
                <w:szCs w:val="20"/>
              </w:rPr>
            </w:pPr>
            <w:r w:rsidRPr="004761E0">
              <w:rPr>
                <w:sz w:val="20"/>
                <w:szCs w:val="20"/>
              </w:rPr>
              <w:t>3,2</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right"/>
              <w:rPr>
                <w:sz w:val="20"/>
                <w:szCs w:val="20"/>
              </w:rPr>
            </w:pPr>
            <w:r w:rsidRPr="004761E0">
              <w:rPr>
                <w:sz w:val="20"/>
                <w:szCs w:val="20"/>
              </w:rPr>
              <w:t>2,8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right"/>
              <w:rPr>
                <w:sz w:val="20"/>
                <w:szCs w:val="20"/>
              </w:rPr>
            </w:pPr>
            <w:r w:rsidRPr="004761E0">
              <w:rPr>
                <w:sz w:val="20"/>
                <w:szCs w:val="20"/>
              </w:rPr>
              <w:t>2,3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right"/>
              <w:rPr>
                <w:sz w:val="20"/>
                <w:szCs w:val="20"/>
              </w:rPr>
            </w:pPr>
            <w:r w:rsidRPr="004761E0">
              <w:rPr>
                <w:sz w:val="20"/>
                <w:szCs w:val="20"/>
              </w:rPr>
              <w:t>2,2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A5C" w:rsidRPr="004761E0" w:rsidRDefault="002E7A5C" w:rsidP="002E7A5C">
            <w:pPr>
              <w:ind w:firstLine="0"/>
              <w:jc w:val="right"/>
              <w:rPr>
                <w:sz w:val="20"/>
                <w:szCs w:val="20"/>
              </w:rPr>
            </w:pPr>
            <w:r w:rsidRPr="004761E0">
              <w:rPr>
                <w:sz w:val="20"/>
                <w:szCs w:val="20"/>
              </w:rPr>
              <w:t>2,2</w:t>
            </w:r>
          </w:p>
        </w:tc>
      </w:tr>
    </w:tbl>
    <w:p w:rsidR="002E7A5C" w:rsidRPr="004761E0" w:rsidRDefault="002E7A5C" w:rsidP="002E7A5C">
      <w:pPr>
        <w:ind w:firstLine="567"/>
        <w:rPr>
          <w:sz w:val="26"/>
          <w:szCs w:val="26"/>
        </w:rPr>
      </w:pPr>
      <w:r w:rsidRPr="004761E0">
        <w:rPr>
          <w:sz w:val="26"/>
          <w:szCs w:val="26"/>
        </w:rPr>
        <w:t>Отчетные данные в разбивке по г. Москве и Московской области представлены по данным Росстата.</w:t>
      </w:r>
    </w:p>
    <w:p w:rsidR="002E7A5C" w:rsidRPr="004761E0" w:rsidRDefault="002E7A5C" w:rsidP="002E7A5C">
      <w:pPr>
        <w:ind w:firstLine="567"/>
        <w:rPr>
          <w:sz w:val="26"/>
          <w:szCs w:val="26"/>
        </w:rPr>
      </w:pPr>
      <w:r w:rsidRPr="004761E0">
        <w:rPr>
          <w:sz w:val="26"/>
          <w:szCs w:val="26"/>
        </w:rPr>
        <w:t xml:space="preserve">Прогнозные данные за 2013-2018 гг. представлены согласно Схеме развития электрических сетей </w:t>
      </w:r>
      <w:r w:rsidR="0008080E">
        <w:rPr>
          <w:sz w:val="26"/>
          <w:szCs w:val="26"/>
        </w:rPr>
        <w:t>ОАО </w:t>
      </w:r>
      <w:r w:rsidRPr="004761E0">
        <w:rPr>
          <w:sz w:val="26"/>
          <w:szCs w:val="26"/>
        </w:rPr>
        <w:t>«МОЭСК» напряжением 110 (35) кВ и выше в г. Москве и Московской области на период до 2025 года.</w:t>
      </w:r>
    </w:p>
    <w:p w:rsidR="007674C6" w:rsidRPr="00715EEC" w:rsidRDefault="00D01CFB" w:rsidP="00715EEC">
      <w:pPr>
        <w:spacing w:before="120" w:after="120"/>
        <w:ind w:firstLine="567"/>
        <w:rPr>
          <w:b/>
          <w:sz w:val="26"/>
          <w:szCs w:val="26"/>
          <w:lang w:eastAsia="ru-RU"/>
        </w:rPr>
      </w:pPr>
      <w:r w:rsidRPr="00715EEC">
        <w:rPr>
          <w:b/>
          <w:sz w:val="26"/>
          <w:szCs w:val="26"/>
          <w:lang w:eastAsia="ru-RU"/>
        </w:rPr>
        <w:t>Доля на рынке услуг по передаче электроэнергии</w:t>
      </w:r>
    </w:p>
    <w:tbl>
      <w:tblPr>
        <w:tblW w:w="14986" w:type="dxa"/>
        <w:tblInd w:w="95" w:type="dxa"/>
        <w:tblLook w:val="04A0"/>
      </w:tblPr>
      <w:tblGrid>
        <w:gridCol w:w="580"/>
        <w:gridCol w:w="3686"/>
        <w:gridCol w:w="1340"/>
        <w:gridCol w:w="1340"/>
        <w:gridCol w:w="1340"/>
        <w:gridCol w:w="1340"/>
        <w:gridCol w:w="1340"/>
        <w:gridCol w:w="1340"/>
        <w:gridCol w:w="1340"/>
        <w:gridCol w:w="1340"/>
      </w:tblGrid>
      <w:tr w:rsidR="00D01CFB" w:rsidRPr="004761E0" w:rsidTr="00712893">
        <w:trPr>
          <w:trHeight w:val="300"/>
        </w:trPr>
        <w:tc>
          <w:tcPr>
            <w:tcW w:w="580" w:type="dxa"/>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0F243E" w:themeFill="text2" w:themeFillShade="80"/>
            <w:vAlign w:val="center"/>
            <w:hideMark/>
          </w:tcPr>
          <w:p w:rsidR="00D01CFB" w:rsidRPr="004761E0" w:rsidRDefault="00D01CFB" w:rsidP="00712893">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3686"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D01CFB" w:rsidRPr="004761E0" w:rsidRDefault="00D01CFB" w:rsidP="00712893">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5360"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D01CFB" w:rsidRPr="004761E0" w:rsidRDefault="00D01CFB" w:rsidP="00712893">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г. Москва</w:t>
            </w:r>
          </w:p>
        </w:tc>
        <w:tc>
          <w:tcPr>
            <w:tcW w:w="5360" w:type="dxa"/>
            <w:gridSpan w:val="4"/>
            <w:tcBorders>
              <w:top w:val="single" w:sz="4" w:space="0" w:color="auto"/>
              <w:left w:val="single" w:sz="4" w:space="0" w:color="FFFFFF" w:themeColor="background1"/>
              <w:bottom w:val="single" w:sz="4" w:space="0" w:color="FFFFFF" w:themeColor="background1"/>
              <w:right w:val="single" w:sz="4" w:space="0" w:color="auto"/>
            </w:tcBorders>
            <w:shd w:val="clear" w:color="auto" w:fill="0F243E" w:themeFill="text2" w:themeFillShade="80"/>
            <w:vAlign w:val="center"/>
            <w:hideMark/>
          </w:tcPr>
          <w:p w:rsidR="00D01CFB" w:rsidRPr="004761E0" w:rsidRDefault="00D01CFB" w:rsidP="00712893">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Московская область</w:t>
            </w:r>
          </w:p>
        </w:tc>
      </w:tr>
      <w:tr w:rsidR="00D01CFB" w:rsidRPr="004761E0" w:rsidTr="00712893">
        <w:trPr>
          <w:trHeight w:val="300"/>
        </w:trPr>
        <w:tc>
          <w:tcPr>
            <w:tcW w:w="580" w:type="dxa"/>
            <w:vMerge/>
            <w:tcBorders>
              <w:top w:val="single" w:sz="4" w:space="0" w:color="FFFFFF" w:themeColor="background1"/>
              <w:left w:val="single" w:sz="4" w:space="0" w:color="auto"/>
              <w:bottom w:val="single" w:sz="4" w:space="0" w:color="000000"/>
              <w:right w:val="single" w:sz="4" w:space="0" w:color="FFFFFF" w:themeColor="background1"/>
            </w:tcBorders>
            <w:shd w:val="clear" w:color="auto" w:fill="0F243E" w:themeFill="text2" w:themeFillShade="80"/>
            <w:vAlign w:val="center"/>
            <w:hideMark/>
          </w:tcPr>
          <w:p w:rsidR="00D01CFB" w:rsidRPr="004761E0" w:rsidRDefault="00D01CFB" w:rsidP="00712893">
            <w:pPr>
              <w:rPr>
                <w:rFonts w:eastAsia="Times New Roman"/>
                <w:b/>
                <w:color w:val="FFFFFF" w:themeColor="background1"/>
                <w:sz w:val="20"/>
                <w:szCs w:val="20"/>
                <w:lang w:eastAsia="ru-RU"/>
              </w:rPr>
            </w:pPr>
          </w:p>
        </w:tc>
        <w:tc>
          <w:tcPr>
            <w:tcW w:w="3686" w:type="dxa"/>
            <w:vMerge/>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0F243E" w:themeFill="text2" w:themeFillShade="80"/>
            <w:vAlign w:val="center"/>
            <w:hideMark/>
          </w:tcPr>
          <w:p w:rsidR="00D01CFB" w:rsidRPr="004761E0" w:rsidRDefault="00D01CFB" w:rsidP="00712893">
            <w:pPr>
              <w:rPr>
                <w:rFonts w:eastAsia="Times New Roman"/>
                <w:b/>
                <w:color w:val="FFFFFF" w:themeColor="background1"/>
                <w:sz w:val="20"/>
                <w:szCs w:val="20"/>
                <w:lang w:eastAsia="ru-RU"/>
              </w:rPr>
            </w:pPr>
          </w:p>
        </w:tc>
        <w:tc>
          <w:tcPr>
            <w:tcW w:w="134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01CFB" w:rsidRPr="004761E0" w:rsidRDefault="00D01CFB" w:rsidP="00712893">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34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01CFB" w:rsidRPr="004761E0" w:rsidRDefault="00D01CFB" w:rsidP="00712893">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34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01CFB" w:rsidRPr="004761E0" w:rsidRDefault="00D01CFB" w:rsidP="00712893">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34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01CFB" w:rsidRPr="004761E0" w:rsidRDefault="00D01CFB" w:rsidP="00017C39">
            <w:pPr>
              <w:ind w:hanging="17"/>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c>
          <w:tcPr>
            <w:tcW w:w="134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01CFB" w:rsidRPr="004761E0" w:rsidRDefault="00D01CFB" w:rsidP="00712893">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34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01CFB" w:rsidRPr="004761E0" w:rsidRDefault="00D01CFB" w:rsidP="00712893">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34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01CFB" w:rsidRPr="004761E0" w:rsidRDefault="00D01CFB" w:rsidP="00712893">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340"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D01CFB" w:rsidRPr="004761E0" w:rsidRDefault="00D01CFB" w:rsidP="00712893">
            <w:pPr>
              <w:ind w:hanging="17"/>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D01CFB" w:rsidRPr="004761E0" w:rsidTr="00D01CFB">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01CFB" w:rsidRPr="004761E0" w:rsidRDefault="00D01CFB" w:rsidP="007076A7">
            <w:pPr>
              <w:numPr>
                <w:ilvl w:val="0"/>
                <w:numId w:val="311"/>
              </w:numPr>
              <w:tabs>
                <w:tab w:val="left" w:pos="262"/>
              </w:tabs>
              <w:rPr>
                <w:rFonts w:eastAsia="Times New Roman"/>
                <w:color w:val="000000"/>
                <w:sz w:val="20"/>
                <w:szCs w:val="20"/>
                <w:lang w:eastAsia="ru-RU"/>
              </w:rPr>
            </w:pPr>
          </w:p>
        </w:tc>
        <w:tc>
          <w:tcPr>
            <w:tcW w:w="3686" w:type="dxa"/>
            <w:tcBorders>
              <w:top w:val="nil"/>
              <w:left w:val="nil"/>
              <w:bottom w:val="single" w:sz="4" w:space="0" w:color="auto"/>
              <w:right w:val="single" w:sz="4" w:space="0" w:color="auto"/>
            </w:tcBorders>
            <w:shd w:val="clear" w:color="auto" w:fill="auto"/>
          </w:tcPr>
          <w:p w:rsidR="00D01CFB" w:rsidRPr="004761E0" w:rsidRDefault="00D01CFB" w:rsidP="002C3096">
            <w:pPr>
              <w:ind w:firstLine="0"/>
              <w:jc w:val="left"/>
              <w:rPr>
                <w:rFonts w:eastAsia="Times New Roman"/>
                <w:sz w:val="20"/>
                <w:szCs w:val="20"/>
                <w:lang w:eastAsia="ru-RU"/>
              </w:rPr>
            </w:pPr>
            <w:r w:rsidRPr="004761E0">
              <w:rPr>
                <w:rFonts w:eastAsia="Times New Roman"/>
                <w:sz w:val="20"/>
                <w:szCs w:val="20"/>
                <w:lang w:eastAsia="ru-RU"/>
              </w:rPr>
              <w:t xml:space="preserve">Доля </w:t>
            </w:r>
            <w:r w:rsidR="00017C39">
              <w:rPr>
                <w:rFonts w:eastAsia="Times New Roman"/>
                <w:sz w:val="20"/>
                <w:szCs w:val="20"/>
                <w:lang w:eastAsia="ru-RU"/>
              </w:rPr>
              <w:t xml:space="preserve">полезного отпуска </w:t>
            </w:r>
            <w:r w:rsidR="0008080E">
              <w:rPr>
                <w:rFonts w:eastAsia="Times New Roman"/>
                <w:sz w:val="20"/>
                <w:szCs w:val="20"/>
                <w:lang w:eastAsia="ru-RU"/>
              </w:rPr>
              <w:t>ОАО </w:t>
            </w:r>
            <w:r w:rsidR="002C3096">
              <w:rPr>
                <w:rFonts w:eastAsia="Times New Roman"/>
                <w:sz w:val="20"/>
                <w:szCs w:val="20"/>
                <w:lang w:eastAsia="ru-RU"/>
              </w:rPr>
              <w:t>«МОЭСК» в полезном отпуске «котловом»</w:t>
            </w:r>
            <w:r w:rsidR="00017C39">
              <w:rPr>
                <w:rFonts w:eastAsia="Times New Roman"/>
                <w:sz w:val="20"/>
                <w:szCs w:val="20"/>
                <w:lang w:eastAsia="ru-RU"/>
              </w:rPr>
              <w:t xml:space="preserve"> региона</w:t>
            </w:r>
            <w:r w:rsidRPr="004761E0">
              <w:rPr>
                <w:rFonts w:eastAsia="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vAlign w:val="center"/>
          </w:tcPr>
          <w:p w:rsidR="00D01CFB" w:rsidRPr="004761E0" w:rsidRDefault="00D01CFB" w:rsidP="00D01CFB">
            <w:pPr>
              <w:ind w:firstLine="0"/>
              <w:jc w:val="right"/>
              <w:rPr>
                <w:rFonts w:eastAsia="Times New Roman"/>
                <w:color w:val="000000"/>
                <w:sz w:val="20"/>
                <w:szCs w:val="20"/>
                <w:lang w:eastAsia="ru-RU"/>
              </w:rPr>
            </w:pPr>
            <w:r w:rsidRPr="004761E0">
              <w:rPr>
                <w:rFonts w:eastAsia="Times New Roman"/>
                <w:color w:val="000000"/>
                <w:sz w:val="20"/>
                <w:szCs w:val="20"/>
                <w:lang w:eastAsia="ru-RU"/>
              </w:rPr>
              <w:t>92,72</w:t>
            </w:r>
          </w:p>
        </w:tc>
        <w:tc>
          <w:tcPr>
            <w:tcW w:w="1340" w:type="dxa"/>
            <w:tcBorders>
              <w:top w:val="nil"/>
              <w:left w:val="nil"/>
              <w:bottom w:val="single" w:sz="4" w:space="0" w:color="auto"/>
              <w:right w:val="single" w:sz="4" w:space="0" w:color="auto"/>
            </w:tcBorders>
            <w:shd w:val="clear" w:color="auto" w:fill="auto"/>
            <w:vAlign w:val="center"/>
          </w:tcPr>
          <w:p w:rsidR="00D01CFB" w:rsidRPr="004761E0" w:rsidRDefault="00D01CFB" w:rsidP="00D01CFB">
            <w:pPr>
              <w:ind w:firstLine="0"/>
              <w:jc w:val="right"/>
              <w:rPr>
                <w:rFonts w:eastAsia="Times New Roman"/>
                <w:color w:val="000000"/>
                <w:sz w:val="20"/>
                <w:szCs w:val="20"/>
                <w:lang w:eastAsia="ru-RU"/>
              </w:rPr>
            </w:pPr>
            <w:r w:rsidRPr="004761E0">
              <w:rPr>
                <w:rFonts w:eastAsia="Times New Roman"/>
                <w:color w:val="000000"/>
                <w:sz w:val="20"/>
                <w:szCs w:val="20"/>
                <w:lang w:eastAsia="ru-RU"/>
              </w:rPr>
              <w:t>86,95</w:t>
            </w:r>
          </w:p>
        </w:tc>
        <w:tc>
          <w:tcPr>
            <w:tcW w:w="1340" w:type="dxa"/>
            <w:tcBorders>
              <w:top w:val="nil"/>
              <w:left w:val="nil"/>
              <w:bottom w:val="single" w:sz="4" w:space="0" w:color="auto"/>
              <w:right w:val="single" w:sz="4" w:space="0" w:color="auto"/>
            </w:tcBorders>
            <w:shd w:val="clear" w:color="auto" w:fill="auto"/>
            <w:vAlign w:val="center"/>
          </w:tcPr>
          <w:p w:rsidR="00D01CFB" w:rsidRPr="004761E0" w:rsidRDefault="00D01CFB" w:rsidP="00D01CFB">
            <w:pPr>
              <w:ind w:firstLine="0"/>
              <w:jc w:val="right"/>
              <w:rPr>
                <w:rFonts w:eastAsia="Times New Roman"/>
                <w:color w:val="000000"/>
                <w:sz w:val="20"/>
                <w:szCs w:val="20"/>
                <w:lang w:eastAsia="ru-RU"/>
              </w:rPr>
            </w:pPr>
            <w:r w:rsidRPr="004761E0">
              <w:rPr>
                <w:rFonts w:eastAsia="Times New Roman"/>
                <w:color w:val="000000"/>
                <w:sz w:val="20"/>
                <w:szCs w:val="20"/>
                <w:lang w:eastAsia="ru-RU"/>
              </w:rPr>
              <w:t>82,58</w:t>
            </w:r>
          </w:p>
        </w:tc>
        <w:tc>
          <w:tcPr>
            <w:tcW w:w="1340" w:type="dxa"/>
            <w:tcBorders>
              <w:top w:val="nil"/>
              <w:left w:val="nil"/>
              <w:bottom w:val="single" w:sz="4" w:space="0" w:color="auto"/>
              <w:right w:val="single" w:sz="4" w:space="0" w:color="auto"/>
            </w:tcBorders>
            <w:shd w:val="clear" w:color="auto" w:fill="auto"/>
            <w:vAlign w:val="center"/>
          </w:tcPr>
          <w:p w:rsidR="00D01CFB" w:rsidRPr="004761E0" w:rsidRDefault="00D01CFB" w:rsidP="00D01CFB">
            <w:pPr>
              <w:ind w:firstLine="0"/>
              <w:jc w:val="right"/>
              <w:rPr>
                <w:color w:val="000000"/>
                <w:sz w:val="22"/>
                <w:szCs w:val="22"/>
              </w:rPr>
            </w:pPr>
            <w:r w:rsidRPr="004761E0">
              <w:rPr>
                <w:color w:val="000000"/>
                <w:sz w:val="22"/>
                <w:szCs w:val="22"/>
              </w:rPr>
              <w:t>-4,37 п.п.</w:t>
            </w:r>
          </w:p>
        </w:tc>
        <w:tc>
          <w:tcPr>
            <w:tcW w:w="1340" w:type="dxa"/>
            <w:tcBorders>
              <w:top w:val="nil"/>
              <w:left w:val="nil"/>
              <w:bottom w:val="single" w:sz="4" w:space="0" w:color="auto"/>
              <w:right w:val="single" w:sz="4" w:space="0" w:color="auto"/>
            </w:tcBorders>
            <w:shd w:val="clear" w:color="auto" w:fill="auto"/>
            <w:vAlign w:val="center"/>
          </w:tcPr>
          <w:p w:rsidR="00D01CFB" w:rsidRPr="004761E0" w:rsidRDefault="00D01CFB" w:rsidP="00D01CFB">
            <w:pPr>
              <w:ind w:firstLine="0"/>
              <w:jc w:val="right"/>
              <w:rPr>
                <w:rFonts w:eastAsia="Times New Roman"/>
                <w:color w:val="000000"/>
                <w:sz w:val="20"/>
                <w:szCs w:val="20"/>
                <w:lang w:eastAsia="ru-RU"/>
              </w:rPr>
            </w:pPr>
            <w:r w:rsidRPr="004761E0">
              <w:rPr>
                <w:rFonts w:eastAsia="Times New Roman"/>
                <w:color w:val="000000"/>
                <w:sz w:val="20"/>
                <w:szCs w:val="20"/>
                <w:lang w:eastAsia="ru-RU"/>
              </w:rPr>
              <w:t>62,98</w:t>
            </w:r>
          </w:p>
        </w:tc>
        <w:tc>
          <w:tcPr>
            <w:tcW w:w="1340" w:type="dxa"/>
            <w:tcBorders>
              <w:top w:val="nil"/>
              <w:left w:val="nil"/>
              <w:bottom w:val="single" w:sz="4" w:space="0" w:color="auto"/>
              <w:right w:val="single" w:sz="4" w:space="0" w:color="auto"/>
            </w:tcBorders>
            <w:shd w:val="clear" w:color="auto" w:fill="auto"/>
            <w:vAlign w:val="center"/>
          </w:tcPr>
          <w:p w:rsidR="00D01CFB" w:rsidRPr="004761E0" w:rsidRDefault="00D01CFB" w:rsidP="00D01CFB">
            <w:pPr>
              <w:ind w:firstLine="0"/>
              <w:jc w:val="right"/>
              <w:rPr>
                <w:rFonts w:eastAsia="Times New Roman"/>
                <w:color w:val="000000"/>
                <w:sz w:val="20"/>
                <w:szCs w:val="20"/>
                <w:lang w:eastAsia="ru-RU"/>
              </w:rPr>
            </w:pPr>
            <w:r w:rsidRPr="004761E0">
              <w:rPr>
                <w:rFonts w:eastAsia="Times New Roman"/>
                <w:color w:val="000000"/>
                <w:sz w:val="20"/>
                <w:szCs w:val="20"/>
                <w:lang w:eastAsia="ru-RU"/>
              </w:rPr>
              <w:t>62,41</w:t>
            </w:r>
          </w:p>
        </w:tc>
        <w:tc>
          <w:tcPr>
            <w:tcW w:w="1340" w:type="dxa"/>
            <w:tcBorders>
              <w:top w:val="nil"/>
              <w:left w:val="nil"/>
              <w:bottom w:val="single" w:sz="4" w:space="0" w:color="auto"/>
              <w:right w:val="single" w:sz="4" w:space="0" w:color="auto"/>
            </w:tcBorders>
            <w:shd w:val="clear" w:color="auto" w:fill="auto"/>
            <w:vAlign w:val="center"/>
          </w:tcPr>
          <w:p w:rsidR="00D01CFB" w:rsidRPr="004761E0" w:rsidRDefault="00D01CFB" w:rsidP="00D01CFB">
            <w:pPr>
              <w:ind w:firstLine="0"/>
              <w:jc w:val="right"/>
              <w:rPr>
                <w:rFonts w:eastAsia="Times New Roman"/>
                <w:color w:val="000000"/>
                <w:sz w:val="20"/>
                <w:szCs w:val="20"/>
                <w:lang w:eastAsia="ru-RU"/>
              </w:rPr>
            </w:pPr>
            <w:r w:rsidRPr="004761E0">
              <w:rPr>
                <w:rFonts w:eastAsia="Times New Roman"/>
                <w:color w:val="000000"/>
                <w:sz w:val="20"/>
                <w:szCs w:val="20"/>
                <w:lang w:eastAsia="ru-RU"/>
              </w:rPr>
              <w:t>60,67</w:t>
            </w:r>
          </w:p>
        </w:tc>
        <w:tc>
          <w:tcPr>
            <w:tcW w:w="1340" w:type="dxa"/>
            <w:tcBorders>
              <w:top w:val="nil"/>
              <w:left w:val="nil"/>
              <w:bottom w:val="single" w:sz="4" w:space="0" w:color="auto"/>
              <w:right w:val="single" w:sz="4" w:space="0" w:color="auto"/>
            </w:tcBorders>
            <w:shd w:val="clear" w:color="auto" w:fill="auto"/>
            <w:vAlign w:val="center"/>
          </w:tcPr>
          <w:p w:rsidR="00D01CFB" w:rsidRPr="004761E0" w:rsidRDefault="00D01CFB" w:rsidP="00D01CFB">
            <w:pPr>
              <w:ind w:firstLine="0"/>
              <w:jc w:val="right"/>
              <w:rPr>
                <w:color w:val="000000"/>
                <w:sz w:val="22"/>
                <w:szCs w:val="22"/>
              </w:rPr>
            </w:pPr>
            <w:r w:rsidRPr="004761E0">
              <w:rPr>
                <w:color w:val="000000"/>
                <w:sz w:val="22"/>
                <w:szCs w:val="22"/>
              </w:rPr>
              <w:t>-1,74 п.п.</w:t>
            </w:r>
          </w:p>
        </w:tc>
      </w:tr>
      <w:tr w:rsidR="00C7702C" w:rsidRPr="004761E0" w:rsidTr="00605A52">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02C" w:rsidRPr="004761E0" w:rsidRDefault="00C7702C" w:rsidP="007076A7">
            <w:pPr>
              <w:numPr>
                <w:ilvl w:val="0"/>
                <w:numId w:val="311"/>
              </w:numPr>
              <w:tabs>
                <w:tab w:val="left" w:pos="262"/>
              </w:tabs>
              <w:rPr>
                <w:rFonts w:eastAsia="Times New Roman"/>
                <w:color w:val="000000"/>
                <w:sz w:val="20"/>
                <w:szCs w:val="20"/>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7702C" w:rsidRPr="004761E0" w:rsidRDefault="00C7702C" w:rsidP="00605A52">
            <w:pPr>
              <w:ind w:firstLine="0"/>
              <w:jc w:val="left"/>
              <w:rPr>
                <w:rFonts w:eastAsia="Times New Roman"/>
                <w:color w:val="000000"/>
                <w:sz w:val="20"/>
                <w:szCs w:val="20"/>
                <w:lang w:eastAsia="ru-RU"/>
              </w:rPr>
            </w:pPr>
            <w:r>
              <w:rPr>
                <w:rFonts w:eastAsia="Times New Roman"/>
                <w:color w:val="000000"/>
                <w:sz w:val="20"/>
                <w:szCs w:val="20"/>
                <w:lang w:eastAsia="ru-RU"/>
              </w:rPr>
              <w:t>Доля НВВ ОАО «МОЭСК» в НВВ Московского региона</w:t>
            </w:r>
            <w:r w:rsidRPr="004761E0">
              <w:rPr>
                <w:rFonts w:eastAsia="Times New Roman"/>
                <w:color w:val="000000"/>
                <w:sz w:val="20"/>
                <w:szCs w:val="20"/>
                <w:lang w:eastAsia="ru-RU"/>
              </w:rPr>
              <w:t>, %</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tcPr>
          <w:p w:rsidR="00C7702C" w:rsidRPr="004761E0" w:rsidRDefault="00C7702C" w:rsidP="00D01CFB">
            <w:pPr>
              <w:ind w:firstLine="0"/>
              <w:jc w:val="right"/>
              <w:rPr>
                <w:rFonts w:eastAsia="Times New Roman"/>
                <w:color w:val="000000"/>
                <w:sz w:val="20"/>
                <w:szCs w:val="20"/>
                <w:lang w:eastAsia="ru-RU"/>
              </w:rPr>
            </w:pPr>
            <w:r w:rsidRPr="004761E0">
              <w:rPr>
                <w:rFonts w:eastAsia="Times New Roman"/>
                <w:color w:val="000000"/>
                <w:sz w:val="20"/>
                <w:szCs w:val="20"/>
                <w:lang w:eastAsia="ru-RU"/>
              </w:rPr>
              <w:t>73,77</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tcPr>
          <w:p w:rsidR="00C7702C" w:rsidRPr="004761E0" w:rsidRDefault="00C7702C" w:rsidP="00D01CFB">
            <w:pPr>
              <w:ind w:firstLine="0"/>
              <w:jc w:val="right"/>
              <w:rPr>
                <w:rFonts w:eastAsia="Times New Roman"/>
                <w:color w:val="000000"/>
                <w:sz w:val="20"/>
                <w:szCs w:val="20"/>
                <w:lang w:eastAsia="ru-RU"/>
              </w:rPr>
            </w:pPr>
            <w:r w:rsidRPr="004761E0">
              <w:rPr>
                <w:rFonts w:eastAsia="Times New Roman"/>
                <w:color w:val="000000"/>
                <w:sz w:val="20"/>
                <w:szCs w:val="20"/>
                <w:lang w:eastAsia="ru-RU"/>
              </w:rPr>
              <w:t>85,27</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tcPr>
          <w:p w:rsidR="00C7702C" w:rsidRPr="004761E0" w:rsidRDefault="00C7702C" w:rsidP="00D01CFB">
            <w:pPr>
              <w:ind w:firstLine="0"/>
              <w:jc w:val="right"/>
              <w:rPr>
                <w:rFonts w:eastAsia="Times New Roman"/>
                <w:color w:val="000000"/>
                <w:sz w:val="20"/>
                <w:szCs w:val="20"/>
                <w:lang w:eastAsia="ru-RU"/>
              </w:rPr>
            </w:pPr>
            <w:r w:rsidRPr="004761E0">
              <w:rPr>
                <w:rFonts w:eastAsia="Times New Roman"/>
                <w:color w:val="000000"/>
                <w:sz w:val="20"/>
                <w:szCs w:val="20"/>
                <w:lang w:eastAsia="ru-RU"/>
              </w:rPr>
              <w:t>77,63</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tcPr>
          <w:p w:rsidR="00C7702C" w:rsidRPr="004761E0" w:rsidRDefault="00C7702C" w:rsidP="00D01CFB">
            <w:pPr>
              <w:ind w:firstLine="0"/>
              <w:jc w:val="right"/>
              <w:rPr>
                <w:color w:val="000000"/>
                <w:sz w:val="22"/>
                <w:szCs w:val="22"/>
              </w:rPr>
            </w:pPr>
            <w:r w:rsidRPr="004761E0">
              <w:rPr>
                <w:color w:val="000000"/>
                <w:sz w:val="22"/>
                <w:szCs w:val="22"/>
              </w:rPr>
              <w:t>-7,65 п.п.</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tcPr>
          <w:p w:rsidR="00C7702C" w:rsidRPr="004761E0" w:rsidRDefault="00C7702C" w:rsidP="00D01CFB">
            <w:pPr>
              <w:ind w:firstLine="0"/>
              <w:jc w:val="right"/>
              <w:rPr>
                <w:rFonts w:eastAsia="Times New Roman"/>
                <w:color w:val="000000"/>
                <w:sz w:val="20"/>
                <w:szCs w:val="20"/>
                <w:lang w:eastAsia="ru-RU"/>
              </w:rPr>
            </w:pPr>
            <w:r w:rsidRPr="004761E0">
              <w:rPr>
                <w:rFonts w:eastAsia="Times New Roman"/>
                <w:color w:val="000000"/>
                <w:sz w:val="20"/>
                <w:szCs w:val="20"/>
                <w:lang w:eastAsia="ru-RU"/>
              </w:rPr>
              <w:t>61,75</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tcPr>
          <w:p w:rsidR="00C7702C" w:rsidRPr="004761E0" w:rsidRDefault="00C7702C" w:rsidP="00D01CFB">
            <w:pPr>
              <w:ind w:firstLine="0"/>
              <w:jc w:val="right"/>
              <w:rPr>
                <w:rFonts w:eastAsia="Times New Roman"/>
                <w:color w:val="000000"/>
                <w:sz w:val="20"/>
                <w:szCs w:val="20"/>
                <w:lang w:eastAsia="ru-RU"/>
              </w:rPr>
            </w:pPr>
            <w:r w:rsidRPr="004761E0">
              <w:rPr>
                <w:rFonts w:eastAsia="Times New Roman"/>
                <w:color w:val="000000"/>
                <w:sz w:val="20"/>
                <w:szCs w:val="20"/>
                <w:lang w:eastAsia="ru-RU"/>
              </w:rPr>
              <w:t>64,37</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tcPr>
          <w:p w:rsidR="00C7702C" w:rsidRPr="004761E0" w:rsidRDefault="00C7702C" w:rsidP="00D01CFB">
            <w:pPr>
              <w:ind w:firstLine="0"/>
              <w:jc w:val="right"/>
              <w:rPr>
                <w:rFonts w:eastAsia="Times New Roman"/>
                <w:color w:val="000000"/>
                <w:sz w:val="20"/>
                <w:szCs w:val="20"/>
                <w:lang w:eastAsia="ru-RU"/>
              </w:rPr>
            </w:pPr>
            <w:r w:rsidRPr="004761E0">
              <w:rPr>
                <w:rFonts w:eastAsia="Times New Roman"/>
                <w:color w:val="000000"/>
                <w:sz w:val="20"/>
                <w:szCs w:val="20"/>
                <w:lang w:eastAsia="ru-RU"/>
              </w:rPr>
              <w:t>63,84</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tcPr>
          <w:p w:rsidR="00C7702C" w:rsidRPr="004761E0" w:rsidRDefault="00C7702C" w:rsidP="00D01CFB">
            <w:pPr>
              <w:ind w:firstLine="0"/>
              <w:jc w:val="right"/>
              <w:rPr>
                <w:color w:val="000000"/>
                <w:sz w:val="22"/>
                <w:szCs w:val="22"/>
              </w:rPr>
            </w:pPr>
            <w:r w:rsidRPr="004761E0">
              <w:rPr>
                <w:color w:val="000000"/>
                <w:sz w:val="22"/>
                <w:szCs w:val="22"/>
              </w:rPr>
              <w:t>-0,54 п.п.</w:t>
            </w:r>
          </w:p>
        </w:tc>
      </w:tr>
    </w:tbl>
    <w:p w:rsidR="0065761C" w:rsidRPr="004761E0" w:rsidRDefault="0065761C">
      <w:pPr>
        <w:ind w:firstLine="0"/>
        <w:jc w:val="left"/>
        <w:rPr>
          <w:b/>
          <w:sz w:val="26"/>
          <w:szCs w:val="26"/>
          <w:lang w:eastAsia="ru-RU"/>
        </w:rPr>
      </w:pPr>
      <w:r w:rsidRPr="004761E0">
        <w:rPr>
          <w:b/>
          <w:sz w:val="26"/>
          <w:szCs w:val="26"/>
          <w:lang w:eastAsia="ru-RU"/>
        </w:rPr>
        <w:br w:type="page"/>
      </w:r>
    </w:p>
    <w:p w:rsidR="00FF7FBB" w:rsidRPr="00715EEC" w:rsidRDefault="00FF7FBB" w:rsidP="007076A7">
      <w:pPr>
        <w:pStyle w:val="a8"/>
        <w:numPr>
          <w:ilvl w:val="0"/>
          <w:numId w:val="226"/>
        </w:numPr>
        <w:tabs>
          <w:tab w:val="left" w:pos="567"/>
          <w:tab w:val="left" w:pos="993"/>
        </w:tabs>
        <w:spacing w:before="120" w:after="120"/>
        <w:ind w:left="567" w:firstLine="0"/>
        <w:jc w:val="left"/>
        <w:rPr>
          <w:rFonts w:ascii="Times New Roman" w:hAnsi="Times New Roman"/>
          <w:b/>
          <w:bCs/>
          <w:sz w:val="26"/>
          <w:szCs w:val="26"/>
        </w:rPr>
      </w:pPr>
      <w:bookmarkStart w:id="149" w:name="_Toc385339858"/>
      <w:r w:rsidRPr="00715EEC">
        <w:rPr>
          <w:rFonts w:ascii="Times New Roman" w:hAnsi="Times New Roman"/>
          <w:b/>
          <w:bCs/>
          <w:sz w:val="26"/>
          <w:szCs w:val="26"/>
        </w:rPr>
        <w:lastRenderedPageBreak/>
        <w:t>Структура</w:t>
      </w:r>
      <w:r w:rsidR="00F749E9" w:rsidRPr="00715EEC">
        <w:rPr>
          <w:rFonts w:ascii="Times New Roman" w:hAnsi="Times New Roman"/>
          <w:b/>
          <w:bCs/>
          <w:sz w:val="26"/>
          <w:szCs w:val="26"/>
        </w:rPr>
        <w:t xml:space="preserve"> и характеристика</w:t>
      </w:r>
      <w:r w:rsidRPr="00715EEC">
        <w:rPr>
          <w:rFonts w:ascii="Times New Roman" w:hAnsi="Times New Roman"/>
          <w:b/>
          <w:bCs/>
          <w:sz w:val="26"/>
          <w:szCs w:val="26"/>
        </w:rPr>
        <w:t xml:space="preserve"> электросетевых активов</w:t>
      </w:r>
      <w:bookmarkEnd w:id="149"/>
    </w:p>
    <w:p w:rsidR="00453705" w:rsidRPr="00D95123" w:rsidRDefault="00B0496B" w:rsidP="00D95123">
      <w:pPr>
        <w:spacing w:before="120" w:after="120"/>
        <w:ind w:firstLine="567"/>
        <w:rPr>
          <w:b/>
          <w:sz w:val="26"/>
          <w:szCs w:val="26"/>
          <w:lang w:eastAsia="ru-RU"/>
        </w:rPr>
      </w:pPr>
      <w:r w:rsidRPr="00D95123">
        <w:rPr>
          <w:b/>
          <w:sz w:val="26"/>
          <w:szCs w:val="26"/>
          <w:lang w:eastAsia="ru-RU"/>
        </w:rPr>
        <w:t>Структура электросетевых активов</w:t>
      </w:r>
      <w:r w:rsidR="00017C39">
        <w:rPr>
          <w:b/>
          <w:sz w:val="26"/>
          <w:szCs w:val="26"/>
          <w:lang w:eastAsia="ru-RU"/>
        </w:rPr>
        <w:t xml:space="preserve"> в разбивке по филиалам</w:t>
      </w:r>
      <w:r w:rsidR="00566BE7" w:rsidRPr="006F4AB8">
        <w:rPr>
          <w:rStyle w:val="af1"/>
        </w:rPr>
        <w:footnoteReference w:id="144"/>
      </w:r>
    </w:p>
    <w:tbl>
      <w:tblPr>
        <w:tblW w:w="15039" w:type="dxa"/>
        <w:tblInd w:w="95" w:type="dxa"/>
        <w:tblLook w:val="04A0"/>
      </w:tblPr>
      <w:tblGrid>
        <w:gridCol w:w="580"/>
        <w:gridCol w:w="7513"/>
        <w:gridCol w:w="851"/>
        <w:gridCol w:w="992"/>
        <w:gridCol w:w="1134"/>
        <w:gridCol w:w="992"/>
        <w:gridCol w:w="992"/>
        <w:gridCol w:w="851"/>
        <w:gridCol w:w="1134"/>
      </w:tblGrid>
      <w:tr w:rsidR="00726BE0" w:rsidRPr="004761E0" w:rsidTr="00017C39">
        <w:trPr>
          <w:trHeight w:val="300"/>
        </w:trPr>
        <w:tc>
          <w:tcPr>
            <w:tcW w:w="580" w:type="dxa"/>
            <w:tcBorders>
              <w:top w:val="single" w:sz="4" w:space="0" w:color="FFFFFF" w:themeColor="background1"/>
              <w:left w:val="single" w:sz="4" w:space="0" w:color="auto"/>
              <w:bottom w:val="single" w:sz="4" w:space="0" w:color="000000"/>
              <w:right w:val="single" w:sz="4" w:space="0" w:color="FFFFFF" w:themeColor="background1"/>
            </w:tcBorders>
            <w:shd w:val="clear" w:color="auto" w:fill="0F243E" w:themeFill="text2" w:themeFillShade="80"/>
            <w:vAlign w:val="center"/>
            <w:hideMark/>
          </w:tcPr>
          <w:p w:rsidR="00726BE0" w:rsidRPr="004761E0" w:rsidRDefault="00726BE0" w:rsidP="00196533">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7513" w:type="dxa"/>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0F243E" w:themeFill="text2" w:themeFillShade="80"/>
            <w:vAlign w:val="center"/>
            <w:hideMark/>
          </w:tcPr>
          <w:p w:rsidR="00726BE0" w:rsidRPr="004761E0" w:rsidRDefault="00726BE0" w:rsidP="00196533">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726BE0" w:rsidRPr="004761E0" w:rsidRDefault="00726BE0" w:rsidP="00196533">
            <w:pPr>
              <w:ind w:firstLine="0"/>
              <w:jc w:val="right"/>
              <w:rPr>
                <w:b/>
                <w:color w:val="FFFFFF" w:themeColor="background1"/>
                <w:sz w:val="20"/>
                <w:szCs w:val="20"/>
              </w:rPr>
            </w:pPr>
            <w:r w:rsidRPr="004761E0">
              <w:rPr>
                <w:b/>
                <w:color w:val="FFFFFF" w:themeColor="background1"/>
                <w:sz w:val="20"/>
                <w:szCs w:val="20"/>
              </w:rPr>
              <w:t>СЭС</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726BE0" w:rsidRPr="004761E0" w:rsidRDefault="00726BE0" w:rsidP="00196533">
            <w:pPr>
              <w:ind w:firstLine="0"/>
              <w:jc w:val="right"/>
              <w:rPr>
                <w:b/>
                <w:color w:val="FFFFFF" w:themeColor="background1"/>
                <w:sz w:val="20"/>
                <w:szCs w:val="20"/>
              </w:rPr>
            </w:pPr>
            <w:r w:rsidRPr="004761E0">
              <w:rPr>
                <w:b/>
                <w:color w:val="FFFFFF" w:themeColor="background1"/>
                <w:sz w:val="20"/>
                <w:szCs w:val="20"/>
              </w:rPr>
              <w:t>ЮЭС</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726BE0" w:rsidRPr="004761E0" w:rsidRDefault="00726BE0" w:rsidP="00196533">
            <w:pPr>
              <w:ind w:firstLine="0"/>
              <w:jc w:val="right"/>
              <w:rPr>
                <w:b/>
                <w:color w:val="FFFFFF" w:themeColor="background1"/>
                <w:sz w:val="20"/>
                <w:szCs w:val="20"/>
              </w:rPr>
            </w:pPr>
            <w:r w:rsidRPr="004761E0">
              <w:rPr>
                <w:b/>
                <w:color w:val="FFFFFF" w:themeColor="background1"/>
                <w:sz w:val="20"/>
                <w:szCs w:val="20"/>
              </w:rPr>
              <w:t>ЗЭС</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726BE0" w:rsidRPr="004761E0" w:rsidRDefault="00726BE0" w:rsidP="00196533">
            <w:pPr>
              <w:ind w:firstLine="0"/>
              <w:jc w:val="right"/>
              <w:rPr>
                <w:b/>
                <w:color w:val="FFFFFF" w:themeColor="background1"/>
                <w:sz w:val="20"/>
                <w:szCs w:val="20"/>
              </w:rPr>
            </w:pPr>
            <w:r w:rsidRPr="004761E0">
              <w:rPr>
                <w:b/>
                <w:color w:val="FFFFFF" w:themeColor="background1"/>
                <w:sz w:val="20"/>
                <w:szCs w:val="20"/>
              </w:rPr>
              <w:t>ВЭС</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726BE0" w:rsidRPr="004761E0" w:rsidRDefault="00726BE0" w:rsidP="00196533">
            <w:pPr>
              <w:ind w:firstLine="0"/>
              <w:jc w:val="right"/>
              <w:rPr>
                <w:b/>
                <w:color w:val="FFFFFF" w:themeColor="background1"/>
                <w:sz w:val="20"/>
                <w:szCs w:val="20"/>
              </w:rPr>
            </w:pPr>
            <w:r w:rsidRPr="004761E0">
              <w:rPr>
                <w:b/>
                <w:color w:val="FFFFFF" w:themeColor="background1"/>
                <w:sz w:val="20"/>
                <w:szCs w:val="20"/>
              </w:rPr>
              <w:t>ЦЭС</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726BE0" w:rsidRPr="004761E0" w:rsidRDefault="00726BE0" w:rsidP="00196533">
            <w:pPr>
              <w:ind w:firstLine="0"/>
              <w:jc w:val="right"/>
              <w:rPr>
                <w:b/>
                <w:color w:val="FFFFFF" w:themeColor="background1"/>
                <w:sz w:val="20"/>
                <w:szCs w:val="20"/>
              </w:rPr>
            </w:pPr>
            <w:r w:rsidRPr="004761E0">
              <w:rPr>
                <w:b/>
                <w:color w:val="FFFFFF" w:themeColor="background1"/>
                <w:sz w:val="20"/>
                <w:szCs w:val="20"/>
              </w:rPr>
              <w:t>МКС</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726BE0" w:rsidRPr="004761E0" w:rsidRDefault="00726BE0" w:rsidP="00196533">
            <w:pPr>
              <w:ind w:firstLine="0"/>
              <w:jc w:val="right"/>
              <w:rPr>
                <w:b/>
                <w:color w:val="FFFFFF" w:themeColor="background1"/>
                <w:sz w:val="20"/>
                <w:szCs w:val="20"/>
              </w:rPr>
            </w:pPr>
            <w:r w:rsidRPr="004761E0">
              <w:rPr>
                <w:b/>
                <w:color w:val="FFFFFF" w:themeColor="background1"/>
                <w:sz w:val="20"/>
                <w:szCs w:val="20"/>
              </w:rPr>
              <w:t>ВКС</w:t>
            </w:r>
          </w:p>
        </w:tc>
      </w:tr>
      <w:tr w:rsidR="002E7F83" w:rsidRPr="004761E0" w:rsidTr="00017C39">
        <w:trPr>
          <w:trHeight w:val="300"/>
        </w:trPr>
        <w:tc>
          <w:tcPr>
            <w:tcW w:w="580"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2E7F83" w:rsidRPr="004761E0" w:rsidRDefault="002E7F83" w:rsidP="00196533">
            <w:pPr>
              <w:numPr>
                <w:ilvl w:val="0"/>
                <w:numId w:val="3"/>
              </w:numPr>
              <w:tabs>
                <w:tab w:val="left" w:pos="262"/>
              </w:tabs>
              <w:ind w:left="47" w:firstLine="0"/>
              <w:rPr>
                <w:rFonts w:eastAsia="Times New Roman"/>
                <w:b/>
                <w:color w:val="000000"/>
                <w:sz w:val="20"/>
                <w:szCs w:val="20"/>
                <w:lang w:eastAsia="ru-RU"/>
              </w:rPr>
            </w:pPr>
          </w:p>
        </w:tc>
        <w:tc>
          <w:tcPr>
            <w:tcW w:w="14459" w:type="dxa"/>
            <w:gridSpan w:val="8"/>
            <w:tcBorders>
              <w:top w:val="nil"/>
              <w:left w:val="nil"/>
              <w:bottom w:val="single" w:sz="4" w:space="0" w:color="auto"/>
              <w:right w:val="single" w:sz="4" w:space="0" w:color="auto"/>
            </w:tcBorders>
            <w:shd w:val="clear" w:color="auto" w:fill="BFBFBF" w:themeFill="background1" w:themeFillShade="BF"/>
            <w:vAlign w:val="center"/>
            <w:hideMark/>
          </w:tcPr>
          <w:p w:rsidR="002E7F83" w:rsidRPr="004761E0" w:rsidRDefault="002E7F83" w:rsidP="00196533">
            <w:pPr>
              <w:ind w:firstLine="0"/>
              <w:jc w:val="left"/>
              <w:rPr>
                <w:rFonts w:eastAsia="Times New Roman"/>
                <w:b/>
                <w:color w:val="000000"/>
                <w:sz w:val="20"/>
                <w:szCs w:val="20"/>
                <w:lang w:eastAsia="ru-RU"/>
              </w:rPr>
            </w:pPr>
            <w:r w:rsidRPr="004761E0">
              <w:rPr>
                <w:rFonts w:eastAsia="Times New Roman"/>
                <w:b/>
                <w:bCs/>
                <w:color w:val="000000"/>
                <w:sz w:val="20"/>
                <w:szCs w:val="20"/>
                <w:lang w:eastAsia="ru-RU"/>
              </w:rPr>
              <w:t>Протяженность линий (по расположению):</w:t>
            </w:r>
          </w:p>
        </w:tc>
      </w:tr>
      <w:tr w:rsidR="002E7F83" w:rsidRPr="004761E0" w:rsidTr="00017C39">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2E7F83" w:rsidRPr="004761E0" w:rsidRDefault="002E7F83" w:rsidP="007076A7">
            <w:pPr>
              <w:pStyle w:val="a5"/>
              <w:numPr>
                <w:ilvl w:val="1"/>
                <w:numId w:val="7"/>
              </w:numPr>
              <w:jc w:val="left"/>
              <w:rPr>
                <w:rFonts w:eastAsia="Times New Roman"/>
                <w:color w:val="000000"/>
                <w:sz w:val="20"/>
                <w:szCs w:val="20"/>
                <w:lang w:eastAsia="ru-RU"/>
              </w:rPr>
            </w:pPr>
          </w:p>
        </w:tc>
        <w:tc>
          <w:tcPr>
            <w:tcW w:w="7513"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left="176" w:firstLine="0"/>
              <w:jc w:val="left"/>
              <w:rPr>
                <w:rFonts w:eastAsia="Times New Roman"/>
                <w:color w:val="000000"/>
                <w:sz w:val="20"/>
                <w:szCs w:val="20"/>
                <w:lang w:eastAsia="ru-RU"/>
              </w:rPr>
            </w:pPr>
            <w:r w:rsidRPr="004761E0">
              <w:rPr>
                <w:rFonts w:eastAsia="Times New Roman"/>
                <w:color w:val="000000"/>
                <w:sz w:val="20"/>
                <w:szCs w:val="20"/>
                <w:lang w:eastAsia="ru-RU"/>
              </w:rPr>
              <w:t>воздушные линии по цепям, км</w:t>
            </w:r>
          </w:p>
        </w:tc>
        <w:tc>
          <w:tcPr>
            <w:tcW w:w="851"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firstLine="0"/>
              <w:jc w:val="right"/>
              <w:rPr>
                <w:bCs/>
                <w:sz w:val="20"/>
                <w:szCs w:val="20"/>
              </w:rPr>
            </w:pPr>
            <w:r w:rsidRPr="004761E0">
              <w:rPr>
                <w:bCs/>
                <w:sz w:val="20"/>
                <w:szCs w:val="20"/>
              </w:rPr>
              <w:t>14 477</w:t>
            </w:r>
          </w:p>
        </w:tc>
        <w:tc>
          <w:tcPr>
            <w:tcW w:w="992"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firstLine="0"/>
              <w:jc w:val="right"/>
              <w:rPr>
                <w:bCs/>
                <w:sz w:val="20"/>
                <w:szCs w:val="20"/>
              </w:rPr>
            </w:pPr>
            <w:r w:rsidRPr="004761E0">
              <w:rPr>
                <w:bCs/>
                <w:sz w:val="20"/>
                <w:szCs w:val="20"/>
              </w:rPr>
              <w:t>16 695</w:t>
            </w:r>
          </w:p>
        </w:tc>
        <w:tc>
          <w:tcPr>
            <w:tcW w:w="1134"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firstLine="0"/>
              <w:jc w:val="right"/>
              <w:rPr>
                <w:bCs/>
                <w:sz w:val="20"/>
                <w:szCs w:val="20"/>
              </w:rPr>
            </w:pPr>
            <w:r w:rsidRPr="004761E0">
              <w:rPr>
                <w:bCs/>
                <w:sz w:val="20"/>
                <w:szCs w:val="20"/>
              </w:rPr>
              <w:t>17 398</w:t>
            </w:r>
          </w:p>
        </w:tc>
        <w:tc>
          <w:tcPr>
            <w:tcW w:w="992"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firstLine="0"/>
              <w:jc w:val="right"/>
              <w:rPr>
                <w:bCs/>
                <w:sz w:val="20"/>
                <w:szCs w:val="20"/>
              </w:rPr>
            </w:pPr>
            <w:r w:rsidRPr="004761E0">
              <w:rPr>
                <w:bCs/>
                <w:sz w:val="20"/>
                <w:szCs w:val="20"/>
              </w:rPr>
              <w:t>16 303</w:t>
            </w:r>
          </w:p>
        </w:tc>
        <w:tc>
          <w:tcPr>
            <w:tcW w:w="992"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firstLine="0"/>
              <w:jc w:val="right"/>
              <w:rPr>
                <w:bCs/>
                <w:sz w:val="20"/>
                <w:szCs w:val="20"/>
              </w:rPr>
            </w:pPr>
            <w:r w:rsidRPr="004761E0">
              <w:rPr>
                <w:bCs/>
                <w:sz w:val="20"/>
                <w:szCs w:val="20"/>
              </w:rPr>
              <w:t>1 139</w:t>
            </w:r>
          </w:p>
        </w:tc>
        <w:tc>
          <w:tcPr>
            <w:tcW w:w="851"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firstLine="0"/>
              <w:jc w:val="right"/>
              <w:rPr>
                <w:bCs/>
                <w:sz w:val="20"/>
                <w:szCs w:val="20"/>
              </w:rPr>
            </w:pPr>
            <w:r w:rsidRPr="004761E0">
              <w:rPr>
                <w:bCs/>
                <w:sz w:val="20"/>
                <w:szCs w:val="20"/>
              </w:rPr>
              <w:t>551</w:t>
            </w:r>
          </w:p>
        </w:tc>
        <w:tc>
          <w:tcPr>
            <w:tcW w:w="1134" w:type="dxa"/>
            <w:tcBorders>
              <w:top w:val="nil"/>
              <w:left w:val="nil"/>
              <w:bottom w:val="single" w:sz="4" w:space="0" w:color="auto"/>
              <w:right w:val="single" w:sz="4" w:space="0" w:color="auto"/>
            </w:tcBorders>
            <w:shd w:val="clear" w:color="auto" w:fill="auto"/>
            <w:vAlign w:val="center"/>
            <w:hideMark/>
          </w:tcPr>
          <w:p w:rsidR="002E7F83" w:rsidRPr="004761E0" w:rsidRDefault="00835898" w:rsidP="00196533">
            <w:pPr>
              <w:ind w:firstLine="0"/>
              <w:jc w:val="right"/>
              <w:rPr>
                <w:sz w:val="20"/>
                <w:szCs w:val="20"/>
              </w:rPr>
            </w:pPr>
            <w:r>
              <w:rPr>
                <w:sz w:val="20"/>
                <w:szCs w:val="20"/>
              </w:rPr>
              <w:t>–</w:t>
            </w:r>
          </w:p>
        </w:tc>
      </w:tr>
      <w:tr w:rsidR="002E7F83" w:rsidRPr="004761E0" w:rsidTr="00017C39">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2E7F83" w:rsidRPr="004761E0" w:rsidRDefault="002E7F83" w:rsidP="007076A7">
            <w:pPr>
              <w:pStyle w:val="a5"/>
              <w:numPr>
                <w:ilvl w:val="1"/>
                <w:numId w:val="7"/>
              </w:numPr>
              <w:jc w:val="left"/>
              <w:rPr>
                <w:rFonts w:eastAsia="Times New Roman"/>
                <w:color w:val="000000"/>
                <w:sz w:val="20"/>
                <w:szCs w:val="20"/>
                <w:lang w:eastAsia="ru-RU"/>
              </w:rPr>
            </w:pPr>
          </w:p>
        </w:tc>
        <w:tc>
          <w:tcPr>
            <w:tcW w:w="7513"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left="176" w:firstLine="0"/>
              <w:jc w:val="left"/>
              <w:rPr>
                <w:rFonts w:eastAsia="Times New Roman"/>
                <w:color w:val="000000"/>
                <w:sz w:val="20"/>
                <w:szCs w:val="20"/>
                <w:lang w:eastAsia="ru-RU"/>
              </w:rPr>
            </w:pPr>
            <w:r w:rsidRPr="004761E0">
              <w:rPr>
                <w:rFonts w:eastAsia="Times New Roman"/>
                <w:color w:val="000000"/>
                <w:sz w:val="20"/>
                <w:szCs w:val="20"/>
                <w:lang w:eastAsia="ru-RU"/>
              </w:rPr>
              <w:t>воздушные линии по трассе, км</w:t>
            </w:r>
          </w:p>
        </w:tc>
        <w:tc>
          <w:tcPr>
            <w:tcW w:w="851"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firstLine="0"/>
              <w:jc w:val="right"/>
              <w:rPr>
                <w:bCs/>
                <w:sz w:val="20"/>
                <w:szCs w:val="20"/>
              </w:rPr>
            </w:pPr>
            <w:r w:rsidRPr="004761E0">
              <w:rPr>
                <w:bCs/>
                <w:sz w:val="20"/>
                <w:szCs w:val="20"/>
              </w:rPr>
              <w:t>13 168</w:t>
            </w:r>
          </w:p>
        </w:tc>
        <w:tc>
          <w:tcPr>
            <w:tcW w:w="992"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firstLine="0"/>
              <w:jc w:val="right"/>
              <w:rPr>
                <w:bCs/>
                <w:sz w:val="20"/>
                <w:szCs w:val="20"/>
              </w:rPr>
            </w:pPr>
            <w:r w:rsidRPr="004761E0">
              <w:rPr>
                <w:bCs/>
                <w:sz w:val="20"/>
                <w:szCs w:val="20"/>
              </w:rPr>
              <w:t>14 769</w:t>
            </w:r>
          </w:p>
        </w:tc>
        <w:tc>
          <w:tcPr>
            <w:tcW w:w="1134"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firstLine="0"/>
              <w:jc w:val="right"/>
              <w:rPr>
                <w:bCs/>
                <w:sz w:val="20"/>
                <w:szCs w:val="20"/>
              </w:rPr>
            </w:pPr>
            <w:r w:rsidRPr="004761E0">
              <w:rPr>
                <w:bCs/>
                <w:sz w:val="20"/>
                <w:szCs w:val="20"/>
              </w:rPr>
              <w:t>15 977</w:t>
            </w:r>
          </w:p>
        </w:tc>
        <w:tc>
          <w:tcPr>
            <w:tcW w:w="992"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firstLine="0"/>
              <w:jc w:val="right"/>
              <w:rPr>
                <w:bCs/>
                <w:sz w:val="20"/>
                <w:szCs w:val="20"/>
              </w:rPr>
            </w:pPr>
            <w:r w:rsidRPr="004761E0">
              <w:rPr>
                <w:bCs/>
                <w:sz w:val="20"/>
                <w:szCs w:val="20"/>
              </w:rPr>
              <w:t>14 570</w:t>
            </w:r>
          </w:p>
        </w:tc>
        <w:tc>
          <w:tcPr>
            <w:tcW w:w="992"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firstLine="0"/>
              <w:jc w:val="right"/>
              <w:rPr>
                <w:bCs/>
                <w:sz w:val="20"/>
                <w:szCs w:val="20"/>
              </w:rPr>
            </w:pPr>
            <w:r w:rsidRPr="004761E0">
              <w:rPr>
                <w:bCs/>
                <w:sz w:val="20"/>
                <w:szCs w:val="20"/>
              </w:rPr>
              <w:t>621</w:t>
            </w:r>
          </w:p>
        </w:tc>
        <w:tc>
          <w:tcPr>
            <w:tcW w:w="851"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firstLine="0"/>
              <w:jc w:val="right"/>
              <w:rPr>
                <w:bCs/>
                <w:sz w:val="20"/>
                <w:szCs w:val="20"/>
              </w:rPr>
            </w:pPr>
            <w:r w:rsidRPr="004761E0">
              <w:rPr>
                <w:bCs/>
                <w:sz w:val="20"/>
                <w:szCs w:val="20"/>
              </w:rPr>
              <w:t>540</w:t>
            </w:r>
          </w:p>
        </w:tc>
        <w:tc>
          <w:tcPr>
            <w:tcW w:w="1134" w:type="dxa"/>
            <w:tcBorders>
              <w:top w:val="nil"/>
              <w:left w:val="nil"/>
              <w:bottom w:val="single" w:sz="4" w:space="0" w:color="auto"/>
              <w:right w:val="single" w:sz="4" w:space="0" w:color="auto"/>
            </w:tcBorders>
            <w:shd w:val="clear" w:color="auto" w:fill="auto"/>
            <w:vAlign w:val="center"/>
            <w:hideMark/>
          </w:tcPr>
          <w:p w:rsidR="002E7F83" w:rsidRPr="004761E0" w:rsidRDefault="00835898" w:rsidP="00196533">
            <w:pPr>
              <w:ind w:firstLine="0"/>
              <w:jc w:val="right"/>
              <w:rPr>
                <w:sz w:val="20"/>
                <w:szCs w:val="20"/>
              </w:rPr>
            </w:pPr>
            <w:r>
              <w:rPr>
                <w:sz w:val="20"/>
                <w:szCs w:val="20"/>
              </w:rPr>
              <w:t>–</w:t>
            </w:r>
          </w:p>
        </w:tc>
      </w:tr>
      <w:tr w:rsidR="002E7F83" w:rsidRPr="004761E0" w:rsidTr="00017C39">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2E7F83" w:rsidRPr="004761E0" w:rsidRDefault="002E7F83" w:rsidP="007076A7">
            <w:pPr>
              <w:pStyle w:val="a5"/>
              <w:numPr>
                <w:ilvl w:val="1"/>
                <w:numId w:val="7"/>
              </w:numPr>
              <w:jc w:val="left"/>
              <w:rPr>
                <w:rFonts w:eastAsia="Times New Roman"/>
                <w:color w:val="000000"/>
                <w:sz w:val="20"/>
                <w:szCs w:val="20"/>
                <w:lang w:eastAsia="ru-RU"/>
              </w:rPr>
            </w:pPr>
          </w:p>
        </w:tc>
        <w:tc>
          <w:tcPr>
            <w:tcW w:w="7513"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left="176" w:firstLine="0"/>
              <w:jc w:val="left"/>
              <w:rPr>
                <w:rFonts w:eastAsia="Times New Roman"/>
                <w:color w:val="000000"/>
                <w:sz w:val="20"/>
                <w:szCs w:val="20"/>
                <w:lang w:eastAsia="ru-RU"/>
              </w:rPr>
            </w:pPr>
            <w:r w:rsidRPr="004761E0">
              <w:rPr>
                <w:rFonts w:eastAsia="Times New Roman"/>
                <w:color w:val="000000"/>
                <w:sz w:val="20"/>
                <w:szCs w:val="20"/>
                <w:lang w:eastAsia="ru-RU"/>
              </w:rPr>
              <w:t>кабельные линии, км</w:t>
            </w:r>
          </w:p>
        </w:tc>
        <w:tc>
          <w:tcPr>
            <w:tcW w:w="851"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firstLine="0"/>
              <w:jc w:val="right"/>
              <w:rPr>
                <w:bCs/>
                <w:sz w:val="20"/>
                <w:szCs w:val="20"/>
              </w:rPr>
            </w:pPr>
            <w:r w:rsidRPr="004761E0">
              <w:rPr>
                <w:bCs/>
                <w:sz w:val="20"/>
                <w:szCs w:val="20"/>
              </w:rPr>
              <w:t>3 980</w:t>
            </w:r>
          </w:p>
        </w:tc>
        <w:tc>
          <w:tcPr>
            <w:tcW w:w="992"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firstLine="0"/>
              <w:jc w:val="right"/>
              <w:rPr>
                <w:bCs/>
                <w:sz w:val="20"/>
                <w:szCs w:val="20"/>
              </w:rPr>
            </w:pPr>
            <w:r w:rsidRPr="004761E0">
              <w:rPr>
                <w:bCs/>
                <w:sz w:val="20"/>
                <w:szCs w:val="20"/>
              </w:rPr>
              <w:t>2 794</w:t>
            </w:r>
          </w:p>
        </w:tc>
        <w:tc>
          <w:tcPr>
            <w:tcW w:w="1134"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firstLine="0"/>
              <w:jc w:val="right"/>
              <w:rPr>
                <w:bCs/>
                <w:sz w:val="20"/>
                <w:szCs w:val="20"/>
              </w:rPr>
            </w:pPr>
            <w:r w:rsidRPr="004761E0">
              <w:rPr>
                <w:bCs/>
                <w:sz w:val="20"/>
                <w:szCs w:val="20"/>
              </w:rPr>
              <w:t>3 375</w:t>
            </w:r>
          </w:p>
        </w:tc>
        <w:tc>
          <w:tcPr>
            <w:tcW w:w="992"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firstLine="0"/>
              <w:jc w:val="right"/>
              <w:rPr>
                <w:bCs/>
                <w:sz w:val="20"/>
                <w:szCs w:val="20"/>
              </w:rPr>
            </w:pPr>
            <w:r w:rsidRPr="004761E0">
              <w:rPr>
                <w:bCs/>
                <w:sz w:val="20"/>
                <w:szCs w:val="20"/>
              </w:rPr>
              <w:t>1 424</w:t>
            </w:r>
          </w:p>
        </w:tc>
        <w:tc>
          <w:tcPr>
            <w:tcW w:w="992"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firstLine="0"/>
              <w:jc w:val="right"/>
              <w:rPr>
                <w:bCs/>
                <w:sz w:val="20"/>
                <w:szCs w:val="20"/>
              </w:rPr>
            </w:pPr>
            <w:r w:rsidRPr="004761E0">
              <w:rPr>
                <w:bCs/>
                <w:sz w:val="20"/>
                <w:szCs w:val="20"/>
              </w:rPr>
              <w:t>1</w:t>
            </w:r>
          </w:p>
        </w:tc>
        <w:tc>
          <w:tcPr>
            <w:tcW w:w="851"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firstLine="0"/>
              <w:jc w:val="right"/>
              <w:rPr>
                <w:bCs/>
                <w:sz w:val="20"/>
                <w:szCs w:val="20"/>
              </w:rPr>
            </w:pPr>
            <w:r w:rsidRPr="004761E0">
              <w:rPr>
                <w:bCs/>
                <w:sz w:val="20"/>
                <w:szCs w:val="20"/>
              </w:rPr>
              <w:t>60 160</w:t>
            </w:r>
          </w:p>
        </w:tc>
        <w:tc>
          <w:tcPr>
            <w:tcW w:w="1134"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firstLine="0"/>
              <w:jc w:val="right"/>
              <w:rPr>
                <w:bCs/>
                <w:sz w:val="20"/>
                <w:szCs w:val="20"/>
              </w:rPr>
            </w:pPr>
            <w:r w:rsidRPr="004761E0">
              <w:rPr>
                <w:bCs/>
                <w:sz w:val="20"/>
                <w:szCs w:val="20"/>
              </w:rPr>
              <w:t>934</w:t>
            </w:r>
          </w:p>
        </w:tc>
      </w:tr>
      <w:tr w:rsidR="002E7F83" w:rsidRPr="004761E0" w:rsidTr="00017C39">
        <w:trPr>
          <w:trHeight w:val="300"/>
        </w:trPr>
        <w:tc>
          <w:tcPr>
            <w:tcW w:w="580" w:type="dxa"/>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2E7F83" w:rsidRPr="004761E0" w:rsidRDefault="002E7F83" w:rsidP="00196533">
            <w:pPr>
              <w:numPr>
                <w:ilvl w:val="0"/>
                <w:numId w:val="3"/>
              </w:numPr>
              <w:tabs>
                <w:tab w:val="left" w:pos="262"/>
              </w:tabs>
              <w:ind w:left="47" w:firstLine="0"/>
              <w:rPr>
                <w:rFonts w:eastAsia="Times New Roman"/>
                <w:b/>
                <w:color w:val="000000"/>
                <w:sz w:val="20"/>
                <w:szCs w:val="20"/>
                <w:lang w:eastAsia="ru-RU"/>
              </w:rPr>
            </w:pPr>
          </w:p>
        </w:tc>
        <w:tc>
          <w:tcPr>
            <w:tcW w:w="14459" w:type="dxa"/>
            <w:gridSpan w:val="8"/>
            <w:tcBorders>
              <w:top w:val="nil"/>
              <w:left w:val="nil"/>
              <w:bottom w:val="single" w:sz="4" w:space="0" w:color="auto"/>
              <w:right w:val="single" w:sz="4" w:space="0" w:color="auto"/>
            </w:tcBorders>
            <w:shd w:val="clear" w:color="auto" w:fill="A6A6A6" w:themeFill="background1" w:themeFillShade="A6"/>
            <w:vAlign w:val="center"/>
            <w:hideMark/>
          </w:tcPr>
          <w:p w:rsidR="002E7F83" w:rsidRPr="004761E0" w:rsidRDefault="002E7F83" w:rsidP="00196533">
            <w:pPr>
              <w:ind w:firstLine="0"/>
              <w:jc w:val="left"/>
              <w:rPr>
                <w:b/>
                <w:bCs/>
                <w:sz w:val="20"/>
                <w:szCs w:val="20"/>
              </w:rPr>
            </w:pPr>
            <w:r w:rsidRPr="004761E0">
              <w:rPr>
                <w:rFonts w:eastAsia="Times New Roman"/>
                <w:b/>
                <w:bCs/>
                <w:sz w:val="20"/>
                <w:szCs w:val="20"/>
                <w:lang w:eastAsia="ru-RU"/>
              </w:rPr>
              <w:t>Протяженность линий (по напряжению):</w:t>
            </w:r>
          </w:p>
        </w:tc>
      </w:tr>
      <w:tr w:rsidR="002E7F83" w:rsidRPr="004761E0" w:rsidTr="00017C39">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2E7F83" w:rsidRPr="007F0436" w:rsidRDefault="002E7F83" w:rsidP="007076A7">
            <w:pPr>
              <w:pStyle w:val="a5"/>
              <w:numPr>
                <w:ilvl w:val="1"/>
                <w:numId w:val="311"/>
              </w:numPr>
              <w:jc w:val="left"/>
              <w:rPr>
                <w:rFonts w:eastAsia="Times New Roman"/>
                <w:color w:val="000000"/>
                <w:sz w:val="20"/>
                <w:szCs w:val="20"/>
                <w:lang w:eastAsia="ru-RU"/>
              </w:rPr>
            </w:pPr>
          </w:p>
        </w:tc>
        <w:tc>
          <w:tcPr>
            <w:tcW w:w="7513"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left="176" w:firstLine="0"/>
              <w:jc w:val="left"/>
              <w:rPr>
                <w:rFonts w:eastAsia="Times New Roman"/>
                <w:color w:val="000000"/>
                <w:sz w:val="20"/>
                <w:szCs w:val="20"/>
                <w:lang w:eastAsia="ru-RU"/>
              </w:rPr>
            </w:pPr>
            <w:r w:rsidRPr="004761E0">
              <w:rPr>
                <w:rFonts w:eastAsia="Times New Roman"/>
                <w:color w:val="000000"/>
                <w:sz w:val="20"/>
                <w:szCs w:val="20"/>
                <w:lang w:eastAsia="ru-RU"/>
              </w:rPr>
              <w:t>высоковольтные линии по цепям, км</w:t>
            </w:r>
          </w:p>
        </w:tc>
        <w:tc>
          <w:tcPr>
            <w:tcW w:w="851"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firstLine="0"/>
              <w:jc w:val="right"/>
              <w:rPr>
                <w:bCs/>
                <w:sz w:val="20"/>
                <w:szCs w:val="20"/>
              </w:rPr>
            </w:pPr>
            <w:r w:rsidRPr="004761E0">
              <w:rPr>
                <w:bCs/>
                <w:sz w:val="20"/>
                <w:szCs w:val="20"/>
              </w:rPr>
              <w:t>3 442</w:t>
            </w:r>
          </w:p>
        </w:tc>
        <w:tc>
          <w:tcPr>
            <w:tcW w:w="992"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firstLine="0"/>
              <w:jc w:val="right"/>
              <w:rPr>
                <w:bCs/>
                <w:sz w:val="20"/>
                <w:szCs w:val="20"/>
              </w:rPr>
            </w:pPr>
            <w:r w:rsidRPr="004761E0">
              <w:rPr>
                <w:bCs/>
                <w:sz w:val="20"/>
                <w:szCs w:val="20"/>
              </w:rPr>
              <w:t>4 040</w:t>
            </w:r>
          </w:p>
        </w:tc>
        <w:tc>
          <w:tcPr>
            <w:tcW w:w="1134"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firstLine="0"/>
              <w:jc w:val="right"/>
              <w:rPr>
                <w:bCs/>
                <w:sz w:val="20"/>
                <w:szCs w:val="20"/>
              </w:rPr>
            </w:pPr>
            <w:r w:rsidRPr="004761E0">
              <w:rPr>
                <w:bCs/>
                <w:sz w:val="20"/>
                <w:szCs w:val="20"/>
              </w:rPr>
              <w:t>3 294</w:t>
            </w:r>
          </w:p>
        </w:tc>
        <w:tc>
          <w:tcPr>
            <w:tcW w:w="992"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firstLine="0"/>
              <w:jc w:val="right"/>
              <w:rPr>
                <w:bCs/>
                <w:sz w:val="20"/>
                <w:szCs w:val="20"/>
              </w:rPr>
            </w:pPr>
            <w:r w:rsidRPr="004761E0">
              <w:rPr>
                <w:bCs/>
                <w:sz w:val="20"/>
                <w:szCs w:val="20"/>
              </w:rPr>
              <w:t>4 142</w:t>
            </w:r>
          </w:p>
        </w:tc>
        <w:tc>
          <w:tcPr>
            <w:tcW w:w="992"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firstLine="0"/>
              <w:jc w:val="right"/>
              <w:rPr>
                <w:bCs/>
                <w:sz w:val="20"/>
                <w:szCs w:val="20"/>
              </w:rPr>
            </w:pPr>
            <w:r w:rsidRPr="004761E0">
              <w:rPr>
                <w:bCs/>
                <w:sz w:val="20"/>
                <w:szCs w:val="20"/>
              </w:rPr>
              <w:t>1 140</w:t>
            </w:r>
          </w:p>
        </w:tc>
        <w:tc>
          <w:tcPr>
            <w:tcW w:w="851" w:type="dxa"/>
            <w:tcBorders>
              <w:top w:val="nil"/>
              <w:left w:val="nil"/>
              <w:bottom w:val="single" w:sz="4" w:space="0" w:color="auto"/>
              <w:right w:val="single" w:sz="4" w:space="0" w:color="auto"/>
            </w:tcBorders>
            <w:shd w:val="clear" w:color="auto" w:fill="auto"/>
            <w:vAlign w:val="center"/>
            <w:hideMark/>
          </w:tcPr>
          <w:p w:rsidR="002E7F83" w:rsidRPr="004761E0" w:rsidRDefault="00835898" w:rsidP="00196533">
            <w:pPr>
              <w:ind w:firstLine="0"/>
              <w:jc w:val="right"/>
              <w:rPr>
                <w:bCs/>
                <w:sz w:val="20"/>
                <w:szCs w:val="20"/>
              </w:rPr>
            </w:pPr>
            <w:r>
              <w:rPr>
                <w:bCs/>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2E7F83" w:rsidRPr="004761E0" w:rsidRDefault="00835898" w:rsidP="00196533">
            <w:pPr>
              <w:ind w:firstLine="0"/>
              <w:jc w:val="right"/>
              <w:rPr>
                <w:sz w:val="20"/>
                <w:szCs w:val="20"/>
              </w:rPr>
            </w:pPr>
            <w:r>
              <w:rPr>
                <w:sz w:val="20"/>
                <w:szCs w:val="20"/>
              </w:rPr>
              <w:t>–</w:t>
            </w:r>
          </w:p>
        </w:tc>
      </w:tr>
      <w:tr w:rsidR="002E7F83" w:rsidRPr="004761E0" w:rsidTr="00017C39">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2E7F83" w:rsidRPr="004761E0" w:rsidRDefault="002E7F83" w:rsidP="007076A7">
            <w:pPr>
              <w:pStyle w:val="a5"/>
              <w:numPr>
                <w:ilvl w:val="1"/>
                <w:numId w:val="311"/>
              </w:numPr>
              <w:jc w:val="left"/>
              <w:rPr>
                <w:rFonts w:eastAsia="Times New Roman"/>
                <w:color w:val="000000"/>
                <w:sz w:val="20"/>
                <w:szCs w:val="20"/>
                <w:lang w:eastAsia="ru-RU"/>
              </w:rPr>
            </w:pPr>
          </w:p>
        </w:tc>
        <w:tc>
          <w:tcPr>
            <w:tcW w:w="7513"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left="176" w:firstLine="0"/>
              <w:jc w:val="left"/>
              <w:rPr>
                <w:rFonts w:eastAsia="Times New Roman"/>
                <w:color w:val="000000"/>
                <w:sz w:val="20"/>
                <w:szCs w:val="20"/>
                <w:lang w:eastAsia="ru-RU"/>
              </w:rPr>
            </w:pPr>
            <w:r w:rsidRPr="004761E0">
              <w:rPr>
                <w:rFonts w:eastAsia="Times New Roman"/>
                <w:color w:val="000000"/>
                <w:sz w:val="20"/>
                <w:szCs w:val="20"/>
                <w:lang w:eastAsia="ru-RU"/>
              </w:rPr>
              <w:t>распределительные линии по цепям, км</w:t>
            </w:r>
          </w:p>
        </w:tc>
        <w:tc>
          <w:tcPr>
            <w:tcW w:w="851"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firstLine="0"/>
              <w:jc w:val="right"/>
              <w:rPr>
                <w:bCs/>
                <w:sz w:val="20"/>
                <w:szCs w:val="20"/>
              </w:rPr>
            </w:pPr>
            <w:r w:rsidRPr="004761E0">
              <w:rPr>
                <w:bCs/>
                <w:sz w:val="20"/>
                <w:szCs w:val="20"/>
              </w:rPr>
              <w:t>15 014</w:t>
            </w:r>
          </w:p>
        </w:tc>
        <w:tc>
          <w:tcPr>
            <w:tcW w:w="992"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firstLine="0"/>
              <w:jc w:val="right"/>
              <w:rPr>
                <w:bCs/>
                <w:sz w:val="20"/>
                <w:szCs w:val="20"/>
              </w:rPr>
            </w:pPr>
            <w:r w:rsidRPr="004761E0">
              <w:rPr>
                <w:bCs/>
                <w:sz w:val="20"/>
                <w:szCs w:val="20"/>
              </w:rPr>
              <w:t>15 450</w:t>
            </w:r>
          </w:p>
        </w:tc>
        <w:tc>
          <w:tcPr>
            <w:tcW w:w="1134"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firstLine="0"/>
              <w:jc w:val="right"/>
              <w:rPr>
                <w:bCs/>
                <w:sz w:val="20"/>
                <w:szCs w:val="20"/>
              </w:rPr>
            </w:pPr>
            <w:r w:rsidRPr="004761E0">
              <w:rPr>
                <w:bCs/>
                <w:sz w:val="20"/>
                <w:szCs w:val="20"/>
              </w:rPr>
              <w:t>17 479</w:t>
            </w:r>
          </w:p>
        </w:tc>
        <w:tc>
          <w:tcPr>
            <w:tcW w:w="992"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firstLine="0"/>
              <w:jc w:val="right"/>
              <w:rPr>
                <w:bCs/>
                <w:sz w:val="20"/>
                <w:szCs w:val="20"/>
              </w:rPr>
            </w:pPr>
            <w:r w:rsidRPr="004761E0">
              <w:rPr>
                <w:bCs/>
                <w:sz w:val="20"/>
                <w:szCs w:val="20"/>
              </w:rPr>
              <w:t>13 584</w:t>
            </w:r>
          </w:p>
        </w:tc>
        <w:tc>
          <w:tcPr>
            <w:tcW w:w="992"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firstLine="0"/>
              <w:jc w:val="right"/>
              <w:rPr>
                <w:bCs/>
                <w:sz w:val="20"/>
                <w:szCs w:val="20"/>
              </w:rPr>
            </w:pPr>
            <w:r w:rsidRPr="004761E0">
              <w:rPr>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2E7F83" w:rsidRPr="004761E0" w:rsidRDefault="002E7F83" w:rsidP="00196533">
            <w:pPr>
              <w:ind w:firstLine="0"/>
              <w:jc w:val="right"/>
              <w:rPr>
                <w:bCs/>
                <w:sz w:val="20"/>
                <w:szCs w:val="20"/>
              </w:rPr>
            </w:pPr>
            <w:r w:rsidRPr="004761E0">
              <w:rPr>
                <w:bCs/>
                <w:sz w:val="20"/>
                <w:szCs w:val="20"/>
              </w:rPr>
              <w:t>60 701</w:t>
            </w:r>
          </w:p>
        </w:tc>
        <w:tc>
          <w:tcPr>
            <w:tcW w:w="1134" w:type="dxa"/>
            <w:tcBorders>
              <w:top w:val="nil"/>
              <w:left w:val="nil"/>
              <w:bottom w:val="single" w:sz="4" w:space="0" w:color="auto"/>
              <w:right w:val="single" w:sz="4" w:space="0" w:color="auto"/>
            </w:tcBorders>
            <w:shd w:val="clear" w:color="auto" w:fill="auto"/>
            <w:vAlign w:val="center"/>
            <w:hideMark/>
          </w:tcPr>
          <w:p w:rsidR="002E7F83" w:rsidRPr="004761E0" w:rsidRDefault="00835898" w:rsidP="00196533">
            <w:pPr>
              <w:ind w:firstLine="0"/>
              <w:jc w:val="right"/>
              <w:rPr>
                <w:sz w:val="20"/>
                <w:szCs w:val="20"/>
              </w:rPr>
            </w:pPr>
            <w:r>
              <w:rPr>
                <w:sz w:val="20"/>
                <w:szCs w:val="20"/>
              </w:rPr>
              <w:t>–</w:t>
            </w:r>
          </w:p>
        </w:tc>
      </w:tr>
      <w:tr w:rsidR="002E7F83" w:rsidRPr="004761E0" w:rsidTr="00017C39">
        <w:trPr>
          <w:trHeight w:val="300"/>
        </w:trPr>
        <w:tc>
          <w:tcPr>
            <w:tcW w:w="580" w:type="dxa"/>
            <w:tcBorders>
              <w:top w:val="nil"/>
              <w:left w:val="single" w:sz="4" w:space="0" w:color="auto"/>
              <w:bottom w:val="single" w:sz="4" w:space="0" w:color="auto"/>
              <w:right w:val="single" w:sz="4" w:space="0" w:color="auto"/>
            </w:tcBorders>
            <w:shd w:val="clear" w:color="auto" w:fill="A6A6A6" w:themeFill="background1" w:themeFillShade="A6"/>
            <w:vAlign w:val="center"/>
          </w:tcPr>
          <w:p w:rsidR="002E7F83" w:rsidRPr="004761E0" w:rsidRDefault="002E7F83" w:rsidP="00196533">
            <w:pPr>
              <w:numPr>
                <w:ilvl w:val="0"/>
                <w:numId w:val="3"/>
              </w:numPr>
              <w:tabs>
                <w:tab w:val="left" w:pos="262"/>
              </w:tabs>
              <w:ind w:left="47" w:firstLine="0"/>
              <w:rPr>
                <w:rFonts w:eastAsia="Times New Roman"/>
                <w:b/>
                <w:color w:val="000000"/>
                <w:sz w:val="20"/>
                <w:szCs w:val="20"/>
                <w:lang w:eastAsia="ru-RU"/>
              </w:rPr>
            </w:pPr>
          </w:p>
        </w:tc>
        <w:tc>
          <w:tcPr>
            <w:tcW w:w="14459" w:type="dxa"/>
            <w:gridSpan w:val="8"/>
            <w:tcBorders>
              <w:top w:val="nil"/>
              <w:left w:val="nil"/>
              <w:bottom w:val="single" w:sz="4" w:space="0" w:color="auto"/>
              <w:right w:val="single" w:sz="4" w:space="0" w:color="auto"/>
            </w:tcBorders>
            <w:shd w:val="clear" w:color="auto" w:fill="A6A6A6" w:themeFill="background1" w:themeFillShade="A6"/>
            <w:vAlign w:val="center"/>
          </w:tcPr>
          <w:p w:rsidR="002E7F83" w:rsidRPr="004761E0" w:rsidRDefault="002E7F83" w:rsidP="00196533">
            <w:pPr>
              <w:ind w:firstLine="0"/>
              <w:jc w:val="left"/>
              <w:rPr>
                <w:b/>
                <w:bCs/>
                <w:color w:val="000000"/>
                <w:sz w:val="20"/>
                <w:szCs w:val="20"/>
              </w:rPr>
            </w:pPr>
            <w:r w:rsidRPr="004761E0">
              <w:rPr>
                <w:rFonts w:eastAsia="Times New Roman"/>
                <w:b/>
                <w:bCs/>
                <w:color w:val="000000"/>
                <w:sz w:val="20"/>
                <w:szCs w:val="20"/>
                <w:lang w:eastAsia="ru-RU"/>
              </w:rPr>
              <w:t>Высоковольтные центры питания</w:t>
            </w:r>
          </w:p>
        </w:tc>
      </w:tr>
      <w:tr w:rsidR="00835898" w:rsidRPr="004761E0" w:rsidTr="00017C39">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5898" w:rsidRPr="007F0436" w:rsidRDefault="00835898" w:rsidP="007076A7">
            <w:pPr>
              <w:pStyle w:val="a5"/>
              <w:numPr>
                <w:ilvl w:val="1"/>
                <w:numId w:val="244"/>
              </w:numPr>
              <w:tabs>
                <w:tab w:val="left" w:pos="262"/>
              </w:tabs>
              <w:rPr>
                <w:rFonts w:eastAsia="Times New Roman"/>
                <w:color w:val="000000"/>
                <w:sz w:val="20"/>
                <w:szCs w:val="20"/>
                <w:lang w:eastAsia="ru-RU"/>
              </w:rPr>
            </w:pPr>
          </w:p>
        </w:tc>
        <w:tc>
          <w:tcPr>
            <w:tcW w:w="7513" w:type="dxa"/>
            <w:tcBorders>
              <w:top w:val="nil"/>
              <w:left w:val="nil"/>
              <w:bottom w:val="single" w:sz="4" w:space="0" w:color="auto"/>
              <w:right w:val="single" w:sz="4" w:space="0" w:color="auto"/>
            </w:tcBorders>
            <w:shd w:val="clear" w:color="auto" w:fill="auto"/>
            <w:vAlign w:val="center"/>
            <w:hideMark/>
          </w:tcPr>
          <w:p w:rsidR="00835898" w:rsidRPr="004761E0" w:rsidRDefault="00835898" w:rsidP="00196533">
            <w:pPr>
              <w:ind w:left="176" w:firstLine="0"/>
              <w:jc w:val="left"/>
              <w:rPr>
                <w:rFonts w:eastAsia="Times New Roman"/>
                <w:color w:val="000000"/>
                <w:sz w:val="20"/>
                <w:szCs w:val="20"/>
                <w:lang w:eastAsia="ru-RU"/>
              </w:rPr>
            </w:pPr>
            <w:r w:rsidRPr="004761E0">
              <w:rPr>
                <w:rFonts w:eastAsia="Times New Roman"/>
                <w:color w:val="000000"/>
                <w:sz w:val="20"/>
                <w:szCs w:val="20"/>
                <w:lang w:eastAsia="ru-RU"/>
              </w:rPr>
              <w:t>количество, шт.</w:t>
            </w:r>
          </w:p>
        </w:tc>
        <w:tc>
          <w:tcPr>
            <w:tcW w:w="851" w:type="dxa"/>
            <w:tcBorders>
              <w:top w:val="nil"/>
              <w:left w:val="nil"/>
              <w:bottom w:val="single" w:sz="4" w:space="0" w:color="auto"/>
              <w:right w:val="single" w:sz="4" w:space="0" w:color="auto"/>
            </w:tcBorders>
            <w:shd w:val="clear" w:color="auto" w:fill="auto"/>
            <w:vAlign w:val="center"/>
            <w:hideMark/>
          </w:tcPr>
          <w:p w:rsidR="00835898" w:rsidRPr="004761E0" w:rsidRDefault="00835898" w:rsidP="00196533">
            <w:pPr>
              <w:ind w:firstLine="0"/>
              <w:jc w:val="right"/>
              <w:rPr>
                <w:bCs/>
                <w:sz w:val="20"/>
                <w:szCs w:val="20"/>
              </w:rPr>
            </w:pPr>
            <w:r w:rsidRPr="004761E0">
              <w:rPr>
                <w:bCs/>
                <w:sz w:val="20"/>
                <w:szCs w:val="20"/>
              </w:rPr>
              <w:t>135</w:t>
            </w:r>
          </w:p>
        </w:tc>
        <w:tc>
          <w:tcPr>
            <w:tcW w:w="992" w:type="dxa"/>
            <w:tcBorders>
              <w:top w:val="nil"/>
              <w:left w:val="nil"/>
              <w:bottom w:val="single" w:sz="4" w:space="0" w:color="auto"/>
              <w:right w:val="single" w:sz="4" w:space="0" w:color="auto"/>
            </w:tcBorders>
            <w:shd w:val="clear" w:color="auto" w:fill="auto"/>
            <w:vAlign w:val="center"/>
            <w:hideMark/>
          </w:tcPr>
          <w:p w:rsidR="00835898" w:rsidRPr="004761E0" w:rsidRDefault="00835898" w:rsidP="00196533">
            <w:pPr>
              <w:ind w:firstLine="0"/>
              <w:jc w:val="right"/>
              <w:rPr>
                <w:bCs/>
                <w:sz w:val="20"/>
                <w:szCs w:val="20"/>
              </w:rPr>
            </w:pPr>
            <w:r w:rsidRPr="004761E0">
              <w:rPr>
                <w:bCs/>
                <w:sz w:val="20"/>
                <w:szCs w:val="20"/>
              </w:rPr>
              <w:t>112</w:t>
            </w:r>
          </w:p>
        </w:tc>
        <w:tc>
          <w:tcPr>
            <w:tcW w:w="1134" w:type="dxa"/>
            <w:tcBorders>
              <w:top w:val="nil"/>
              <w:left w:val="nil"/>
              <w:bottom w:val="single" w:sz="4" w:space="0" w:color="auto"/>
              <w:right w:val="single" w:sz="4" w:space="0" w:color="auto"/>
            </w:tcBorders>
            <w:shd w:val="clear" w:color="auto" w:fill="auto"/>
            <w:vAlign w:val="center"/>
            <w:hideMark/>
          </w:tcPr>
          <w:p w:rsidR="00835898" w:rsidRPr="004761E0" w:rsidRDefault="00835898" w:rsidP="00196533">
            <w:pPr>
              <w:ind w:firstLine="0"/>
              <w:jc w:val="right"/>
              <w:rPr>
                <w:bCs/>
                <w:sz w:val="20"/>
                <w:szCs w:val="20"/>
              </w:rPr>
            </w:pPr>
            <w:r w:rsidRPr="004761E0">
              <w:rPr>
                <w:bCs/>
                <w:sz w:val="20"/>
                <w:szCs w:val="20"/>
              </w:rPr>
              <w:t>103</w:t>
            </w:r>
          </w:p>
        </w:tc>
        <w:tc>
          <w:tcPr>
            <w:tcW w:w="992" w:type="dxa"/>
            <w:tcBorders>
              <w:top w:val="nil"/>
              <w:left w:val="nil"/>
              <w:bottom w:val="single" w:sz="4" w:space="0" w:color="auto"/>
              <w:right w:val="single" w:sz="4" w:space="0" w:color="auto"/>
            </w:tcBorders>
            <w:shd w:val="clear" w:color="auto" w:fill="auto"/>
            <w:vAlign w:val="center"/>
            <w:hideMark/>
          </w:tcPr>
          <w:p w:rsidR="00835898" w:rsidRPr="004761E0" w:rsidRDefault="00835898" w:rsidP="00196533">
            <w:pPr>
              <w:ind w:firstLine="0"/>
              <w:jc w:val="right"/>
              <w:rPr>
                <w:bCs/>
                <w:sz w:val="20"/>
                <w:szCs w:val="20"/>
              </w:rPr>
            </w:pPr>
            <w:r w:rsidRPr="004761E0">
              <w:rPr>
                <w:bCs/>
                <w:sz w:val="20"/>
                <w:szCs w:val="20"/>
              </w:rPr>
              <w:t>148</w:t>
            </w:r>
          </w:p>
        </w:tc>
        <w:tc>
          <w:tcPr>
            <w:tcW w:w="992" w:type="dxa"/>
            <w:tcBorders>
              <w:top w:val="nil"/>
              <w:left w:val="nil"/>
              <w:bottom w:val="single" w:sz="4" w:space="0" w:color="auto"/>
              <w:right w:val="single" w:sz="4" w:space="0" w:color="auto"/>
            </w:tcBorders>
            <w:shd w:val="clear" w:color="auto" w:fill="auto"/>
            <w:vAlign w:val="center"/>
            <w:hideMark/>
          </w:tcPr>
          <w:p w:rsidR="00835898" w:rsidRPr="004761E0" w:rsidRDefault="00835898" w:rsidP="00196533">
            <w:pPr>
              <w:ind w:firstLine="0"/>
              <w:jc w:val="right"/>
              <w:rPr>
                <w:bCs/>
                <w:sz w:val="20"/>
                <w:szCs w:val="20"/>
              </w:rPr>
            </w:pPr>
            <w:r w:rsidRPr="004761E0">
              <w:rPr>
                <w:bCs/>
                <w:sz w:val="20"/>
                <w:szCs w:val="20"/>
              </w:rPr>
              <w:t>110</w:t>
            </w:r>
          </w:p>
        </w:tc>
        <w:tc>
          <w:tcPr>
            <w:tcW w:w="851" w:type="dxa"/>
            <w:tcBorders>
              <w:top w:val="nil"/>
              <w:left w:val="nil"/>
              <w:bottom w:val="single" w:sz="4" w:space="0" w:color="auto"/>
              <w:right w:val="single" w:sz="4" w:space="0" w:color="auto"/>
            </w:tcBorders>
            <w:shd w:val="clear" w:color="auto" w:fill="auto"/>
            <w:vAlign w:val="center"/>
            <w:hideMark/>
          </w:tcPr>
          <w:p w:rsidR="00835898" w:rsidRPr="004761E0" w:rsidRDefault="00835898" w:rsidP="00D52C46">
            <w:pPr>
              <w:ind w:firstLine="0"/>
              <w:jc w:val="right"/>
              <w:rPr>
                <w:sz w:val="20"/>
                <w:szCs w:val="20"/>
              </w:rPr>
            </w:pPr>
            <w:r>
              <w:rPr>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835898" w:rsidRPr="004761E0" w:rsidRDefault="00835898" w:rsidP="00D52C46">
            <w:pPr>
              <w:ind w:firstLine="0"/>
              <w:jc w:val="right"/>
              <w:rPr>
                <w:sz w:val="20"/>
                <w:szCs w:val="20"/>
              </w:rPr>
            </w:pPr>
            <w:r>
              <w:rPr>
                <w:sz w:val="20"/>
                <w:szCs w:val="20"/>
              </w:rPr>
              <w:t>–</w:t>
            </w:r>
          </w:p>
        </w:tc>
      </w:tr>
      <w:tr w:rsidR="00835898" w:rsidRPr="004761E0" w:rsidTr="00017C39">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5898" w:rsidRPr="004761E0" w:rsidRDefault="00835898" w:rsidP="007076A7">
            <w:pPr>
              <w:pStyle w:val="a5"/>
              <w:numPr>
                <w:ilvl w:val="1"/>
                <w:numId w:val="244"/>
              </w:numPr>
              <w:tabs>
                <w:tab w:val="left" w:pos="262"/>
              </w:tabs>
              <w:rPr>
                <w:rFonts w:eastAsia="Times New Roman"/>
                <w:color w:val="000000"/>
                <w:sz w:val="20"/>
                <w:szCs w:val="20"/>
                <w:lang w:eastAsia="ru-RU"/>
              </w:rPr>
            </w:pPr>
          </w:p>
        </w:tc>
        <w:tc>
          <w:tcPr>
            <w:tcW w:w="7513" w:type="dxa"/>
            <w:tcBorders>
              <w:top w:val="nil"/>
              <w:left w:val="nil"/>
              <w:bottom w:val="single" w:sz="4" w:space="0" w:color="auto"/>
              <w:right w:val="single" w:sz="4" w:space="0" w:color="auto"/>
            </w:tcBorders>
            <w:shd w:val="clear" w:color="auto" w:fill="auto"/>
            <w:vAlign w:val="center"/>
            <w:hideMark/>
          </w:tcPr>
          <w:p w:rsidR="00835898" w:rsidRPr="004761E0" w:rsidRDefault="00835898" w:rsidP="00196533">
            <w:pPr>
              <w:ind w:left="176" w:firstLine="0"/>
              <w:jc w:val="left"/>
              <w:rPr>
                <w:rFonts w:eastAsia="Times New Roman"/>
                <w:color w:val="000000"/>
                <w:sz w:val="20"/>
                <w:szCs w:val="20"/>
                <w:lang w:eastAsia="ru-RU"/>
              </w:rPr>
            </w:pPr>
            <w:r w:rsidRPr="004761E0">
              <w:rPr>
                <w:rFonts w:eastAsia="Times New Roman"/>
                <w:color w:val="000000"/>
                <w:sz w:val="20"/>
                <w:szCs w:val="20"/>
                <w:lang w:eastAsia="ru-RU"/>
              </w:rPr>
              <w:t>установленная мощность, МВА</w:t>
            </w:r>
          </w:p>
        </w:tc>
        <w:tc>
          <w:tcPr>
            <w:tcW w:w="851" w:type="dxa"/>
            <w:tcBorders>
              <w:top w:val="nil"/>
              <w:left w:val="nil"/>
              <w:bottom w:val="single" w:sz="4" w:space="0" w:color="auto"/>
              <w:right w:val="single" w:sz="4" w:space="0" w:color="auto"/>
            </w:tcBorders>
            <w:shd w:val="clear" w:color="auto" w:fill="auto"/>
            <w:vAlign w:val="center"/>
            <w:hideMark/>
          </w:tcPr>
          <w:p w:rsidR="00835898" w:rsidRPr="004761E0" w:rsidRDefault="00835898" w:rsidP="00196533">
            <w:pPr>
              <w:ind w:firstLine="0"/>
              <w:jc w:val="right"/>
              <w:rPr>
                <w:bCs/>
                <w:sz w:val="20"/>
                <w:szCs w:val="20"/>
              </w:rPr>
            </w:pPr>
            <w:r w:rsidRPr="004761E0">
              <w:rPr>
                <w:bCs/>
                <w:sz w:val="20"/>
                <w:szCs w:val="20"/>
              </w:rPr>
              <w:t>7 552</w:t>
            </w:r>
          </w:p>
        </w:tc>
        <w:tc>
          <w:tcPr>
            <w:tcW w:w="992" w:type="dxa"/>
            <w:tcBorders>
              <w:top w:val="nil"/>
              <w:left w:val="nil"/>
              <w:bottom w:val="single" w:sz="4" w:space="0" w:color="auto"/>
              <w:right w:val="single" w:sz="4" w:space="0" w:color="auto"/>
            </w:tcBorders>
            <w:shd w:val="clear" w:color="auto" w:fill="auto"/>
            <w:vAlign w:val="center"/>
            <w:hideMark/>
          </w:tcPr>
          <w:p w:rsidR="00835898" w:rsidRPr="004761E0" w:rsidRDefault="00835898" w:rsidP="00196533">
            <w:pPr>
              <w:ind w:firstLine="0"/>
              <w:jc w:val="right"/>
              <w:rPr>
                <w:bCs/>
                <w:sz w:val="20"/>
                <w:szCs w:val="20"/>
              </w:rPr>
            </w:pPr>
            <w:r w:rsidRPr="004761E0">
              <w:rPr>
                <w:bCs/>
                <w:sz w:val="20"/>
                <w:szCs w:val="20"/>
              </w:rPr>
              <w:t>6 275</w:t>
            </w:r>
          </w:p>
        </w:tc>
        <w:tc>
          <w:tcPr>
            <w:tcW w:w="1134" w:type="dxa"/>
            <w:tcBorders>
              <w:top w:val="nil"/>
              <w:left w:val="nil"/>
              <w:bottom w:val="single" w:sz="4" w:space="0" w:color="auto"/>
              <w:right w:val="single" w:sz="4" w:space="0" w:color="auto"/>
            </w:tcBorders>
            <w:shd w:val="clear" w:color="auto" w:fill="auto"/>
            <w:vAlign w:val="center"/>
            <w:hideMark/>
          </w:tcPr>
          <w:p w:rsidR="00835898" w:rsidRPr="004761E0" w:rsidRDefault="00835898" w:rsidP="00196533">
            <w:pPr>
              <w:ind w:firstLine="0"/>
              <w:jc w:val="right"/>
              <w:rPr>
                <w:bCs/>
                <w:sz w:val="20"/>
                <w:szCs w:val="20"/>
              </w:rPr>
            </w:pPr>
            <w:r w:rsidRPr="004761E0">
              <w:rPr>
                <w:bCs/>
                <w:sz w:val="20"/>
                <w:szCs w:val="20"/>
              </w:rPr>
              <w:t>4 263</w:t>
            </w:r>
          </w:p>
        </w:tc>
        <w:tc>
          <w:tcPr>
            <w:tcW w:w="992" w:type="dxa"/>
            <w:tcBorders>
              <w:top w:val="nil"/>
              <w:left w:val="nil"/>
              <w:bottom w:val="single" w:sz="4" w:space="0" w:color="auto"/>
              <w:right w:val="single" w:sz="4" w:space="0" w:color="auto"/>
            </w:tcBorders>
            <w:shd w:val="clear" w:color="auto" w:fill="auto"/>
            <w:vAlign w:val="center"/>
            <w:hideMark/>
          </w:tcPr>
          <w:p w:rsidR="00835898" w:rsidRPr="004761E0" w:rsidRDefault="00835898" w:rsidP="00196533">
            <w:pPr>
              <w:ind w:firstLine="0"/>
              <w:jc w:val="right"/>
              <w:rPr>
                <w:bCs/>
                <w:sz w:val="20"/>
                <w:szCs w:val="20"/>
              </w:rPr>
            </w:pPr>
            <w:r w:rsidRPr="004761E0">
              <w:rPr>
                <w:bCs/>
                <w:sz w:val="20"/>
                <w:szCs w:val="20"/>
              </w:rPr>
              <w:t>6 438</w:t>
            </w:r>
          </w:p>
        </w:tc>
        <w:tc>
          <w:tcPr>
            <w:tcW w:w="992" w:type="dxa"/>
            <w:tcBorders>
              <w:top w:val="nil"/>
              <w:left w:val="nil"/>
              <w:bottom w:val="single" w:sz="4" w:space="0" w:color="auto"/>
              <w:right w:val="single" w:sz="4" w:space="0" w:color="auto"/>
            </w:tcBorders>
            <w:shd w:val="clear" w:color="auto" w:fill="auto"/>
            <w:vAlign w:val="center"/>
            <w:hideMark/>
          </w:tcPr>
          <w:p w:rsidR="00835898" w:rsidRPr="004761E0" w:rsidRDefault="00835898" w:rsidP="00196533">
            <w:pPr>
              <w:ind w:firstLine="0"/>
              <w:jc w:val="right"/>
              <w:rPr>
                <w:bCs/>
                <w:sz w:val="20"/>
                <w:szCs w:val="20"/>
              </w:rPr>
            </w:pPr>
            <w:r w:rsidRPr="004761E0">
              <w:rPr>
                <w:bCs/>
                <w:sz w:val="20"/>
                <w:szCs w:val="20"/>
              </w:rPr>
              <w:t>21 970</w:t>
            </w:r>
          </w:p>
        </w:tc>
        <w:tc>
          <w:tcPr>
            <w:tcW w:w="851" w:type="dxa"/>
            <w:tcBorders>
              <w:top w:val="nil"/>
              <w:left w:val="nil"/>
              <w:bottom w:val="single" w:sz="4" w:space="0" w:color="auto"/>
              <w:right w:val="single" w:sz="4" w:space="0" w:color="auto"/>
            </w:tcBorders>
            <w:shd w:val="clear" w:color="auto" w:fill="auto"/>
            <w:vAlign w:val="center"/>
            <w:hideMark/>
          </w:tcPr>
          <w:p w:rsidR="00835898" w:rsidRPr="004761E0" w:rsidRDefault="00835898" w:rsidP="00D52C46">
            <w:pPr>
              <w:ind w:firstLine="0"/>
              <w:jc w:val="right"/>
              <w:rPr>
                <w:sz w:val="20"/>
                <w:szCs w:val="20"/>
              </w:rPr>
            </w:pPr>
            <w:r>
              <w:rPr>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835898" w:rsidRPr="004761E0" w:rsidRDefault="00835898" w:rsidP="00D52C46">
            <w:pPr>
              <w:ind w:firstLine="0"/>
              <w:jc w:val="right"/>
              <w:rPr>
                <w:sz w:val="20"/>
                <w:szCs w:val="20"/>
              </w:rPr>
            </w:pPr>
            <w:r>
              <w:rPr>
                <w:sz w:val="20"/>
                <w:szCs w:val="20"/>
              </w:rPr>
              <w:t>–</w:t>
            </w:r>
          </w:p>
        </w:tc>
      </w:tr>
      <w:tr w:rsidR="002E7F83" w:rsidRPr="004761E0" w:rsidTr="00017C39">
        <w:trPr>
          <w:trHeight w:val="300"/>
        </w:trPr>
        <w:tc>
          <w:tcPr>
            <w:tcW w:w="580" w:type="dxa"/>
            <w:tcBorders>
              <w:top w:val="nil"/>
              <w:left w:val="single" w:sz="4" w:space="0" w:color="auto"/>
              <w:bottom w:val="single" w:sz="4" w:space="0" w:color="auto"/>
              <w:right w:val="single" w:sz="4" w:space="0" w:color="auto"/>
            </w:tcBorders>
            <w:shd w:val="clear" w:color="auto" w:fill="A6A6A6" w:themeFill="background1" w:themeFillShade="A6"/>
            <w:vAlign w:val="center"/>
          </w:tcPr>
          <w:p w:rsidR="002E7F83" w:rsidRPr="004761E0" w:rsidRDefault="002E7F83" w:rsidP="00017C39">
            <w:pPr>
              <w:numPr>
                <w:ilvl w:val="0"/>
                <w:numId w:val="3"/>
              </w:numPr>
              <w:tabs>
                <w:tab w:val="left" w:pos="262"/>
              </w:tabs>
              <w:ind w:left="47" w:firstLine="0"/>
              <w:rPr>
                <w:rFonts w:eastAsia="Times New Roman"/>
                <w:b/>
                <w:color w:val="000000"/>
                <w:sz w:val="20"/>
                <w:szCs w:val="20"/>
                <w:lang w:eastAsia="ru-RU"/>
              </w:rPr>
            </w:pPr>
          </w:p>
        </w:tc>
        <w:tc>
          <w:tcPr>
            <w:tcW w:w="14459" w:type="dxa"/>
            <w:gridSpan w:val="8"/>
            <w:tcBorders>
              <w:top w:val="nil"/>
              <w:left w:val="nil"/>
              <w:bottom w:val="single" w:sz="4" w:space="0" w:color="auto"/>
              <w:right w:val="single" w:sz="4" w:space="0" w:color="auto"/>
            </w:tcBorders>
            <w:shd w:val="clear" w:color="auto" w:fill="A6A6A6" w:themeFill="background1" w:themeFillShade="A6"/>
            <w:vAlign w:val="center"/>
          </w:tcPr>
          <w:p w:rsidR="002E7F83" w:rsidRPr="004761E0" w:rsidRDefault="002E7F83" w:rsidP="00196533">
            <w:pPr>
              <w:ind w:firstLine="0"/>
              <w:jc w:val="left"/>
              <w:rPr>
                <w:b/>
                <w:bCs/>
                <w:sz w:val="20"/>
                <w:szCs w:val="20"/>
              </w:rPr>
            </w:pPr>
            <w:r w:rsidRPr="004761E0">
              <w:rPr>
                <w:rFonts w:eastAsia="Times New Roman"/>
                <w:b/>
                <w:bCs/>
                <w:color w:val="000000"/>
                <w:sz w:val="20"/>
                <w:szCs w:val="20"/>
                <w:lang w:eastAsia="ru-RU"/>
              </w:rPr>
              <w:t>Подстанции распределительных сетей</w:t>
            </w:r>
          </w:p>
        </w:tc>
      </w:tr>
      <w:tr w:rsidR="00180B7F" w:rsidRPr="004761E0" w:rsidTr="00017C39">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180B7F" w:rsidRPr="007F0436" w:rsidRDefault="00180B7F" w:rsidP="007076A7">
            <w:pPr>
              <w:pStyle w:val="a5"/>
              <w:numPr>
                <w:ilvl w:val="1"/>
                <w:numId w:val="127"/>
              </w:numPr>
              <w:tabs>
                <w:tab w:val="left" w:pos="262"/>
              </w:tabs>
              <w:rPr>
                <w:rFonts w:eastAsia="Times New Roman"/>
                <w:color w:val="000000"/>
                <w:sz w:val="20"/>
                <w:szCs w:val="20"/>
                <w:lang w:eastAsia="ru-RU"/>
              </w:rPr>
            </w:pPr>
          </w:p>
        </w:tc>
        <w:tc>
          <w:tcPr>
            <w:tcW w:w="7513" w:type="dxa"/>
            <w:tcBorders>
              <w:top w:val="nil"/>
              <w:left w:val="nil"/>
              <w:bottom w:val="single" w:sz="4" w:space="0" w:color="auto"/>
              <w:right w:val="single" w:sz="4" w:space="0" w:color="auto"/>
            </w:tcBorders>
            <w:shd w:val="clear" w:color="auto" w:fill="auto"/>
            <w:vAlign w:val="center"/>
            <w:hideMark/>
          </w:tcPr>
          <w:p w:rsidR="00180B7F" w:rsidRPr="004761E0" w:rsidRDefault="00180B7F" w:rsidP="00196533">
            <w:pPr>
              <w:ind w:left="176" w:firstLine="0"/>
              <w:jc w:val="left"/>
              <w:rPr>
                <w:rFonts w:eastAsia="Times New Roman"/>
                <w:color w:val="000000"/>
                <w:sz w:val="20"/>
                <w:szCs w:val="20"/>
                <w:lang w:eastAsia="ru-RU"/>
              </w:rPr>
            </w:pPr>
            <w:r w:rsidRPr="004761E0">
              <w:rPr>
                <w:rFonts w:eastAsia="Times New Roman"/>
                <w:color w:val="000000"/>
                <w:sz w:val="20"/>
                <w:szCs w:val="20"/>
                <w:lang w:eastAsia="ru-RU"/>
              </w:rPr>
              <w:t>количество, шт.</w:t>
            </w:r>
          </w:p>
        </w:tc>
        <w:tc>
          <w:tcPr>
            <w:tcW w:w="851" w:type="dxa"/>
            <w:tcBorders>
              <w:top w:val="nil"/>
              <w:left w:val="nil"/>
              <w:bottom w:val="single" w:sz="4" w:space="0" w:color="auto"/>
              <w:right w:val="single" w:sz="4" w:space="0" w:color="auto"/>
            </w:tcBorders>
            <w:shd w:val="clear" w:color="auto" w:fill="auto"/>
            <w:vAlign w:val="center"/>
            <w:hideMark/>
          </w:tcPr>
          <w:p w:rsidR="00180B7F" w:rsidRPr="004761E0" w:rsidRDefault="00180B7F" w:rsidP="00180B7F">
            <w:pPr>
              <w:ind w:firstLine="0"/>
              <w:jc w:val="right"/>
              <w:rPr>
                <w:bCs/>
                <w:sz w:val="20"/>
                <w:szCs w:val="20"/>
              </w:rPr>
            </w:pPr>
            <w:r>
              <w:rPr>
                <w:bCs/>
                <w:sz w:val="20"/>
                <w:szCs w:val="20"/>
              </w:rPr>
              <w:t>4 043</w:t>
            </w:r>
          </w:p>
        </w:tc>
        <w:tc>
          <w:tcPr>
            <w:tcW w:w="992" w:type="dxa"/>
            <w:tcBorders>
              <w:top w:val="nil"/>
              <w:left w:val="nil"/>
              <w:bottom w:val="single" w:sz="4" w:space="0" w:color="auto"/>
              <w:right w:val="single" w:sz="4" w:space="0" w:color="auto"/>
            </w:tcBorders>
            <w:shd w:val="clear" w:color="auto" w:fill="auto"/>
            <w:vAlign w:val="center"/>
            <w:hideMark/>
          </w:tcPr>
          <w:p w:rsidR="00180B7F" w:rsidRPr="004761E0" w:rsidRDefault="00180B7F" w:rsidP="00180B7F">
            <w:pPr>
              <w:ind w:firstLine="0"/>
              <w:jc w:val="right"/>
              <w:rPr>
                <w:bCs/>
                <w:sz w:val="20"/>
                <w:szCs w:val="20"/>
              </w:rPr>
            </w:pPr>
            <w:r>
              <w:rPr>
                <w:bCs/>
                <w:sz w:val="20"/>
                <w:szCs w:val="20"/>
              </w:rPr>
              <w:t>3 513</w:t>
            </w:r>
          </w:p>
        </w:tc>
        <w:tc>
          <w:tcPr>
            <w:tcW w:w="1134" w:type="dxa"/>
            <w:tcBorders>
              <w:top w:val="nil"/>
              <w:left w:val="nil"/>
              <w:bottom w:val="single" w:sz="4" w:space="0" w:color="auto"/>
              <w:right w:val="single" w:sz="4" w:space="0" w:color="auto"/>
            </w:tcBorders>
            <w:shd w:val="clear" w:color="auto" w:fill="auto"/>
            <w:vAlign w:val="center"/>
            <w:hideMark/>
          </w:tcPr>
          <w:p w:rsidR="00180B7F" w:rsidRPr="004761E0" w:rsidRDefault="00180B7F" w:rsidP="00180B7F">
            <w:pPr>
              <w:ind w:firstLine="0"/>
              <w:jc w:val="right"/>
              <w:rPr>
                <w:bCs/>
                <w:sz w:val="20"/>
                <w:szCs w:val="20"/>
              </w:rPr>
            </w:pPr>
            <w:r>
              <w:rPr>
                <w:bCs/>
                <w:sz w:val="20"/>
                <w:szCs w:val="20"/>
              </w:rPr>
              <w:t>4 751</w:t>
            </w:r>
          </w:p>
        </w:tc>
        <w:tc>
          <w:tcPr>
            <w:tcW w:w="992" w:type="dxa"/>
            <w:tcBorders>
              <w:top w:val="nil"/>
              <w:left w:val="nil"/>
              <w:bottom w:val="single" w:sz="4" w:space="0" w:color="auto"/>
              <w:right w:val="single" w:sz="4" w:space="0" w:color="auto"/>
            </w:tcBorders>
            <w:shd w:val="clear" w:color="auto" w:fill="auto"/>
            <w:vAlign w:val="center"/>
            <w:hideMark/>
          </w:tcPr>
          <w:p w:rsidR="00180B7F" w:rsidRPr="004761E0" w:rsidRDefault="00180B7F" w:rsidP="00180B7F">
            <w:pPr>
              <w:ind w:firstLine="0"/>
              <w:jc w:val="right"/>
              <w:rPr>
                <w:bCs/>
                <w:sz w:val="20"/>
                <w:szCs w:val="20"/>
              </w:rPr>
            </w:pPr>
            <w:r>
              <w:rPr>
                <w:bCs/>
                <w:sz w:val="20"/>
                <w:szCs w:val="20"/>
              </w:rPr>
              <w:t>3 431</w:t>
            </w:r>
          </w:p>
        </w:tc>
        <w:tc>
          <w:tcPr>
            <w:tcW w:w="992" w:type="dxa"/>
            <w:tcBorders>
              <w:top w:val="nil"/>
              <w:left w:val="nil"/>
              <w:bottom w:val="single" w:sz="4" w:space="0" w:color="auto"/>
              <w:right w:val="single" w:sz="4" w:space="0" w:color="auto"/>
            </w:tcBorders>
            <w:shd w:val="clear" w:color="auto" w:fill="auto"/>
            <w:vAlign w:val="center"/>
            <w:hideMark/>
          </w:tcPr>
          <w:p w:rsidR="00180B7F" w:rsidRPr="004761E0" w:rsidRDefault="00180B7F" w:rsidP="00180B7F">
            <w:pPr>
              <w:ind w:firstLine="0"/>
              <w:jc w:val="right"/>
              <w:rPr>
                <w:bCs/>
                <w:sz w:val="20"/>
                <w:szCs w:val="20"/>
              </w:rPr>
            </w:pPr>
            <w:r>
              <w:rPr>
                <w:bCs/>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180B7F" w:rsidRPr="004761E0" w:rsidRDefault="00180B7F" w:rsidP="00180B7F">
            <w:pPr>
              <w:ind w:firstLine="0"/>
              <w:jc w:val="right"/>
              <w:rPr>
                <w:bCs/>
                <w:sz w:val="20"/>
                <w:szCs w:val="20"/>
              </w:rPr>
            </w:pPr>
            <w:r>
              <w:rPr>
                <w:bCs/>
                <w:sz w:val="20"/>
                <w:szCs w:val="20"/>
              </w:rPr>
              <w:t>13 926</w:t>
            </w:r>
          </w:p>
        </w:tc>
        <w:tc>
          <w:tcPr>
            <w:tcW w:w="1134" w:type="dxa"/>
            <w:tcBorders>
              <w:top w:val="nil"/>
              <w:left w:val="nil"/>
              <w:bottom w:val="single" w:sz="4" w:space="0" w:color="auto"/>
              <w:right w:val="single" w:sz="4" w:space="0" w:color="auto"/>
            </w:tcBorders>
            <w:shd w:val="clear" w:color="auto" w:fill="auto"/>
            <w:vAlign w:val="center"/>
            <w:hideMark/>
          </w:tcPr>
          <w:p w:rsidR="00180B7F" w:rsidRPr="004761E0" w:rsidRDefault="00180B7F" w:rsidP="00180B7F">
            <w:pPr>
              <w:ind w:firstLine="0"/>
              <w:jc w:val="right"/>
              <w:rPr>
                <w:sz w:val="20"/>
                <w:szCs w:val="20"/>
              </w:rPr>
            </w:pPr>
            <w:r>
              <w:rPr>
                <w:sz w:val="20"/>
                <w:szCs w:val="20"/>
              </w:rPr>
              <w:t>–</w:t>
            </w:r>
          </w:p>
        </w:tc>
      </w:tr>
      <w:tr w:rsidR="002E7F83" w:rsidRPr="004761E0" w:rsidTr="00017C39">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2E7F83" w:rsidRPr="004761E0" w:rsidRDefault="002E7F83" w:rsidP="007076A7">
            <w:pPr>
              <w:pStyle w:val="a5"/>
              <w:numPr>
                <w:ilvl w:val="1"/>
                <w:numId w:val="127"/>
              </w:numPr>
              <w:tabs>
                <w:tab w:val="left" w:pos="262"/>
              </w:tabs>
              <w:rPr>
                <w:rFonts w:eastAsia="Times New Roman"/>
                <w:color w:val="000000"/>
                <w:sz w:val="20"/>
                <w:szCs w:val="20"/>
                <w:lang w:eastAsia="ru-RU"/>
              </w:rPr>
            </w:pPr>
          </w:p>
        </w:tc>
        <w:tc>
          <w:tcPr>
            <w:tcW w:w="7513" w:type="dxa"/>
            <w:tcBorders>
              <w:top w:val="nil"/>
              <w:left w:val="nil"/>
              <w:bottom w:val="single" w:sz="4" w:space="0" w:color="auto"/>
              <w:right w:val="single" w:sz="4" w:space="0" w:color="auto"/>
            </w:tcBorders>
            <w:shd w:val="clear" w:color="auto" w:fill="auto"/>
            <w:vAlign w:val="center"/>
          </w:tcPr>
          <w:p w:rsidR="002E7F83" w:rsidRPr="004761E0" w:rsidRDefault="002E7F83" w:rsidP="00196533">
            <w:pPr>
              <w:ind w:left="176" w:firstLine="0"/>
              <w:jc w:val="left"/>
              <w:rPr>
                <w:rFonts w:eastAsia="Times New Roman"/>
                <w:color w:val="000000"/>
                <w:sz w:val="20"/>
                <w:szCs w:val="20"/>
                <w:lang w:eastAsia="ru-RU"/>
              </w:rPr>
            </w:pPr>
            <w:r w:rsidRPr="004761E0">
              <w:rPr>
                <w:rFonts w:eastAsia="Times New Roman"/>
                <w:color w:val="000000"/>
                <w:sz w:val="20"/>
                <w:szCs w:val="20"/>
                <w:lang w:eastAsia="ru-RU"/>
              </w:rPr>
              <w:t>установленная мощность, МВА</w:t>
            </w:r>
          </w:p>
        </w:tc>
        <w:tc>
          <w:tcPr>
            <w:tcW w:w="851" w:type="dxa"/>
            <w:tcBorders>
              <w:top w:val="nil"/>
              <w:left w:val="nil"/>
              <w:bottom w:val="single" w:sz="4" w:space="0" w:color="auto"/>
              <w:right w:val="single" w:sz="4" w:space="0" w:color="auto"/>
            </w:tcBorders>
            <w:shd w:val="clear" w:color="auto" w:fill="auto"/>
            <w:vAlign w:val="center"/>
          </w:tcPr>
          <w:p w:rsidR="002E7F83" w:rsidRPr="004761E0" w:rsidRDefault="002E7F83" w:rsidP="00196533">
            <w:pPr>
              <w:ind w:firstLine="0"/>
              <w:jc w:val="right"/>
              <w:rPr>
                <w:bCs/>
                <w:sz w:val="20"/>
                <w:szCs w:val="20"/>
              </w:rPr>
            </w:pPr>
            <w:r w:rsidRPr="004761E0">
              <w:rPr>
                <w:bCs/>
                <w:sz w:val="20"/>
                <w:szCs w:val="20"/>
              </w:rPr>
              <w:t>1 435</w:t>
            </w:r>
          </w:p>
        </w:tc>
        <w:tc>
          <w:tcPr>
            <w:tcW w:w="992" w:type="dxa"/>
            <w:tcBorders>
              <w:top w:val="nil"/>
              <w:left w:val="nil"/>
              <w:bottom w:val="single" w:sz="4" w:space="0" w:color="auto"/>
              <w:right w:val="single" w:sz="4" w:space="0" w:color="auto"/>
            </w:tcBorders>
            <w:shd w:val="clear" w:color="auto" w:fill="auto"/>
            <w:vAlign w:val="center"/>
          </w:tcPr>
          <w:p w:rsidR="002E7F83" w:rsidRPr="004761E0" w:rsidRDefault="002E7F83" w:rsidP="00196533">
            <w:pPr>
              <w:ind w:firstLine="0"/>
              <w:jc w:val="right"/>
              <w:rPr>
                <w:bCs/>
                <w:sz w:val="20"/>
                <w:szCs w:val="20"/>
              </w:rPr>
            </w:pPr>
            <w:r w:rsidRPr="004761E0">
              <w:rPr>
                <w:bCs/>
                <w:sz w:val="20"/>
                <w:szCs w:val="20"/>
              </w:rPr>
              <w:t>1 289</w:t>
            </w:r>
          </w:p>
        </w:tc>
        <w:tc>
          <w:tcPr>
            <w:tcW w:w="1134" w:type="dxa"/>
            <w:tcBorders>
              <w:top w:val="nil"/>
              <w:left w:val="nil"/>
              <w:bottom w:val="single" w:sz="4" w:space="0" w:color="auto"/>
              <w:right w:val="single" w:sz="4" w:space="0" w:color="auto"/>
            </w:tcBorders>
            <w:shd w:val="clear" w:color="auto" w:fill="auto"/>
            <w:vAlign w:val="center"/>
          </w:tcPr>
          <w:p w:rsidR="002E7F83" w:rsidRPr="004761E0" w:rsidRDefault="002E7F83" w:rsidP="00196533">
            <w:pPr>
              <w:ind w:firstLine="0"/>
              <w:jc w:val="right"/>
              <w:rPr>
                <w:bCs/>
                <w:sz w:val="20"/>
                <w:szCs w:val="20"/>
              </w:rPr>
            </w:pPr>
            <w:r w:rsidRPr="004761E0">
              <w:rPr>
                <w:bCs/>
                <w:sz w:val="20"/>
                <w:szCs w:val="20"/>
              </w:rPr>
              <w:t>1 315</w:t>
            </w:r>
          </w:p>
        </w:tc>
        <w:tc>
          <w:tcPr>
            <w:tcW w:w="992" w:type="dxa"/>
            <w:tcBorders>
              <w:top w:val="nil"/>
              <w:left w:val="nil"/>
              <w:bottom w:val="single" w:sz="4" w:space="0" w:color="auto"/>
              <w:right w:val="single" w:sz="4" w:space="0" w:color="auto"/>
            </w:tcBorders>
            <w:shd w:val="clear" w:color="auto" w:fill="auto"/>
            <w:vAlign w:val="center"/>
          </w:tcPr>
          <w:p w:rsidR="002E7F83" w:rsidRPr="004761E0" w:rsidRDefault="002E7F83" w:rsidP="00196533">
            <w:pPr>
              <w:ind w:firstLine="0"/>
              <w:jc w:val="right"/>
              <w:rPr>
                <w:bCs/>
                <w:sz w:val="20"/>
                <w:szCs w:val="20"/>
              </w:rPr>
            </w:pPr>
            <w:r w:rsidRPr="004761E0">
              <w:rPr>
                <w:bCs/>
                <w:sz w:val="20"/>
                <w:szCs w:val="20"/>
              </w:rPr>
              <w:t>1 040</w:t>
            </w:r>
          </w:p>
        </w:tc>
        <w:tc>
          <w:tcPr>
            <w:tcW w:w="992" w:type="dxa"/>
            <w:tcBorders>
              <w:top w:val="nil"/>
              <w:left w:val="nil"/>
              <w:bottom w:val="single" w:sz="4" w:space="0" w:color="auto"/>
              <w:right w:val="single" w:sz="4" w:space="0" w:color="auto"/>
            </w:tcBorders>
            <w:shd w:val="clear" w:color="auto" w:fill="auto"/>
            <w:vAlign w:val="center"/>
          </w:tcPr>
          <w:p w:rsidR="002E7F83" w:rsidRPr="004761E0" w:rsidRDefault="00835898" w:rsidP="00196533">
            <w:pPr>
              <w:ind w:firstLine="0"/>
              <w:jc w:val="right"/>
              <w:rPr>
                <w:bCs/>
                <w:sz w:val="20"/>
                <w:szCs w:val="20"/>
              </w:rPr>
            </w:pPr>
            <w:r>
              <w:rPr>
                <w:bCs/>
                <w:sz w:val="20"/>
                <w:szCs w:val="20"/>
              </w:rPr>
              <w:t>–</w:t>
            </w:r>
          </w:p>
        </w:tc>
        <w:tc>
          <w:tcPr>
            <w:tcW w:w="851" w:type="dxa"/>
            <w:tcBorders>
              <w:top w:val="nil"/>
              <w:left w:val="nil"/>
              <w:bottom w:val="single" w:sz="4" w:space="0" w:color="auto"/>
              <w:right w:val="single" w:sz="4" w:space="0" w:color="auto"/>
            </w:tcBorders>
            <w:shd w:val="clear" w:color="auto" w:fill="auto"/>
            <w:vAlign w:val="center"/>
          </w:tcPr>
          <w:p w:rsidR="002E7F83" w:rsidRPr="004761E0" w:rsidRDefault="002E7F83" w:rsidP="00196533">
            <w:pPr>
              <w:ind w:firstLine="0"/>
              <w:jc w:val="right"/>
              <w:rPr>
                <w:bCs/>
                <w:sz w:val="20"/>
                <w:szCs w:val="20"/>
              </w:rPr>
            </w:pPr>
            <w:r w:rsidRPr="004761E0">
              <w:rPr>
                <w:bCs/>
                <w:sz w:val="20"/>
                <w:szCs w:val="20"/>
              </w:rPr>
              <w:t>17 013</w:t>
            </w:r>
          </w:p>
        </w:tc>
        <w:tc>
          <w:tcPr>
            <w:tcW w:w="1134" w:type="dxa"/>
            <w:tcBorders>
              <w:top w:val="nil"/>
              <w:left w:val="nil"/>
              <w:bottom w:val="single" w:sz="4" w:space="0" w:color="auto"/>
              <w:right w:val="single" w:sz="4" w:space="0" w:color="auto"/>
            </w:tcBorders>
            <w:shd w:val="clear" w:color="auto" w:fill="auto"/>
            <w:vAlign w:val="center"/>
          </w:tcPr>
          <w:p w:rsidR="002E7F83" w:rsidRPr="004761E0" w:rsidRDefault="00835898" w:rsidP="00196533">
            <w:pPr>
              <w:ind w:firstLine="0"/>
              <w:jc w:val="right"/>
              <w:rPr>
                <w:sz w:val="20"/>
                <w:szCs w:val="20"/>
              </w:rPr>
            </w:pPr>
            <w:r>
              <w:rPr>
                <w:sz w:val="20"/>
                <w:szCs w:val="20"/>
              </w:rPr>
              <w:t>–</w:t>
            </w:r>
          </w:p>
        </w:tc>
      </w:tr>
    </w:tbl>
    <w:p w:rsidR="006F7658" w:rsidRPr="004761E0" w:rsidRDefault="00B0496B" w:rsidP="00196533">
      <w:pPr>
        <w:spacing w:before="120" w:after="120"/>
        <w:ind w:firstLine="567"/>
        <w:rPr>
          <w:b/>
          <w:sz w:val="26"/>
          <w:szCs w:val="26"/>
          <w:lang w:eastAsia="ru-RU"/>
        </w:rPr>
      </w:pPr>
      <w:r w:rsidRPr="004761E0">
        <w:rPr>
          <w:b/>
          <w:sz w:val="26"/>
          <w:szCs w:val="26"/>
          <w:lang w:eastAsia="ru-RU"/>
        </w:rPr>
        <w:t>Структура электросетевых активов</w:t>
      </w:r>
    </w:p>
    <w:tbl>
      <w:tblPr>
        <w:tblW w:w="14986" w:type="dxa"/>
        <w:tblInd w:w="95" w:type="dxa"/>
        <w:tblLook w:val="04A0"/>
      </w:tblPr>
      <w:tblGrid>
        <w:gridCol w:w="580"/>
        <w:gridCol w:w="6663"/>
        <w:gridCol w:w="850"/>
        <w:gridCol w:w="851"/>
        <w:gridCol w:w="992"/>
        <w:gridCol w:w="1134"/>
        <w:gridCol w:w="992"/>
        <w:gridCol w:w="992"/>
        <w:gridCol w:w="851"/>
        <w:gridCol w:w="1081"/>
      </w:tblGrid>
      <w:tr w:rsidR="006F7658" w:rsidRPr="007F0436" w:rsidTr="007F0436">
        <w:trPr>
          <w:trHeight w:val="300"/>
        </w:trPr>
        <w:tc>
          <w:tcPr>
            <w:tcW w:w="580" w:type="dxa"/>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0F243E" w:themeFill="text2" w:themeFillShade="80"/>
            <w:vAlign w:val="center"/>
            <w:hideMark/>
          </w:tcPr>
          <w:p w:rsidR="006F7658" w:rsidRPr="007F0436" w:rsidRDefault="006F7658" w:rsidP="00196533">
            <w:pPr>
              <w:ind w:firstLine="0"/>
              <w:rPr>
                <w:rFonts w:eastAsia="Times New Roman"/>
                <w:b/>
                <w:color w:val="FFFFFF" w:themeColor="background1"/>
                <w:sz w:val="20"/>
                <w:szCs w:val="20"/>
                <w:lang w:eastAsia="ru-RU"/>
              </w:rPr>
            </w:pPr>
            <w:r w:rsidRPr="007F0436">
              <w:rPr>
                <w:rFonts w:eastAsia="Times New Roman"/>
                <w:b/>
                <w:color w:val="FFFFFF" w:themeColor="background1"/>
                <w:sz w:val="20"/>
                <w:szCs w:val="20"/>
                <w:lang w:eastAsia="ru-RU"/>
              </w:rPr>
              <w:t>№ п/п</w:t>
            </w:r>
          </w:p>
        </w:tc>
        <w:tc>
          <w:tcPr>
            <w:tcW w:w="6663"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6F7658" w:rsidRPr="007F0436" w:rsidRDefault="006F7658" w:rsidP="00196533">
            <w:pPr>
              <w:ind w:firstLine="0"/>
              <w:rPr>
                <w:rFonts w:eastAsia="Times New Roman"/>
                <w:b/>
                <w:color w:val="FFFFFF" w:themeColor="background1"/>
                <w:sz w:val="20"/>
                <w:szCs w:val="20"/>
                <w:lang w:eastAsia="ru-RU"/>
              </w:rPr>
            </w:pPr>
            <w:r w:rsidRPr="007F0436">
              <w:rPr>
                <w:rFonts w:eastAsia="Times New Roman"/>
                <w:b/>
                <w:color w:val="FFFFFF" w:themeColor="background1"/>
                <w:sz w:val="20"/>
                <w:szCs w:val="20"/>
                <w:lang w:eastAsia="ru-RU"/>
              </w:rPr>
              <w:t>Наименование категории</w:t>
            </w:r>
          </w:p>
        </w:tc>
        <w:tc>
          <w:tcPr>
            <w:tcW w:w="3827"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6F7658" w:rsidRPr="007F0436" w:rsidRDefault="006F7658" w:rsidP="00196533">
            <w:pPr>
              <w:jc w:val="right"/>
              <w:rPr>
                <w:rFonts w:eastAsia="Times New Roman"/>
                <w:b/>
                <w:color w:val="FFFFFF" w:themeColor="background1"/>
                <w:sz w:val="20"/>
                <w:szCs w:val="20"/>
                <w:lang w:eastAsia="ru-RU"/>
              </w:rPr>
            </w:pPr>
            <w:r w:rsidRPr="007F0436">
              <w:rPr>
                <w:rFonts w:eastAsia="Times New Roman"/>
                <w:b/>
                <w:color w:val="FFFFFF" w:themeColor="background1"/>
                <w:sz w:val="20"/>
                <w:szCs w:val="20"/>
                <w:lang w:eastAsia="ru-RU"/>
              </w:rPr>
              <w:t>г. Москва</w:t>
            </w:r>
          </w:p>
        </w:tc>
        <w:tc>
          <w:tcPr>
            <w:tcW w:w="3916" w:type="dxa"/>
            <w:gridSpan w:val="4"/>
            <w:tcBorders>
              <w:top w:val="single" w:sz="4" w:space="0" w:color="auto"/>
              <w:left w:val="single" w:sz="4" w:space="0" w:color="FFFFFF" w:themeColor="background1"/>
              <w:bottom w:val="single" w:sz="4" w:space="0" w:color="FFFFFF" w:themeColor="background1"/>
              <w:right w:val="single" w:sz="4" w:space="0" w:color="auto"/>
            </w:tcBorders>
            <w:shd w:val="clear" w:color="auto" w:fill="0F243E" w:themeFill="text2" w:themeFillShade="80"/>
            <w:vAlign w:val="center"/>
            <w:hideMark/>
          </w:tcPr>
          <w:p w:rsidR="006F7658" w:rsidRPr="007F0436" w:rsidRDefault="006F7658" w:rsidP="00196533">
            <w:pPr>
              <w:jc w:val="right"/>
              <w:rPr>
                <w:rFonts w:eastAsia="Times New Roman"/>
                <w:b/>
                <w:color w:val="FFFFFF" w:themeColor="background1"/>
                <w:sz w:val="20"/>
                <w:szCs w:val="20"/>
                <w:lang w:eastAsia="ru-RU"/>
              </w:rPr>
            </w:pPr>
            <w:r w:rsidRPr="007F0436">
              <w:rPr>
                <w:rFonts w:eastAsia="Times New Roman"/>
                <w:b/>
                <w:color w:val="FFFFFF" w:themeColor="background1"/>
                <w:sz w:val="20"/>
                <w:szCs w:val="20"/>
                <w:lang w:eastAsia="ru-RU"/>
              </w:rPr>
              <w:t>Московская область</w:t>
            </w:r>
          </w:p>
        </w:tc>
      </w:tr>
      <w:tr w:rsidR="006F7658" w:rsidRPr="007F0436" w:rsidTr="007F0436">
        <w:trPr>
          <w:trHeight w:val="300"/>
        </w:trPr>
        <w:tc>
          <w:tcPr>
            <w:tcW w:w="580" w:type="dxa"/>
            <w:vMerge/>
            <w:tcBorders>
              <w:top w:val="single" w:sz="4" w:space="0" w:color="FFFFFF" w:themeColor="background1"/>
              <w:left w:val="single" w:sz="4" w:space="0" w:color="auto"/>
              <w:bottom w:val="single" w:sz="4" w:space="0" w:color="000000"/>
              <w:right w:val="single" w:sz="4" w:space="0" w:color="FFFFFF" w:themeColor="background1"/>
            </w:tcBorders>
            <w:shd w:val="clear" w:color="auto" w:fill="0F243E" w:themeFill="text2" w:themeFillShade="80"/>
            <w:vAlign w:val="center"/>
            <w:hideMark/>
          </w:tcPr>
          <w:p w:rsidR="006F7658" w:rsidRPr="007F0436" w:rsidRDefault="006F7658" w:rsidP="00196533">
            <w:pPr>
              <w:rPr>
                <w:rFonts w:eastAsia="Times New Roman"/>
                <w:b/>
                <w:color w:val="FFFFFF" w:themeColor="background1"/>
                <w:sz w:val="20"/>
                <w:szCs w:val="20"/>
                <w:lang w:eastAsia="ru-RU"/>
              </w:rPr>
            </w:pPr>
          </w:p>
        </w:tc>
        <w:tc>
          <w:tcPr>
            <w:tcW w:w="6663" w:type="dxa"/>
            <w:vMerge/>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0F243E" w:themeFill="text2" w:themeFillShade="80"/>
            <w:vAlign w:val="center"/>
            <w:hideMark/>
          </w:tcPr>
          <w:p w:rsidR="006F7658" w:rsidRPr="007F0436" w:rsidRDefault="006F7658" w:rsidP="00196533">
            <w:pPr>
              <w:rPr>
                <w:rFonts w:eastAsia="Times New Roman"/>
                <w:b/>
                <w:color w:val="FFFFFF" w:themeColor="background1"/>
                <w:sz w:val="20"/>
                <w:szCs w:val="20"/>
                <w:lang w:eastAsia="ru-RU"/>
              </w:rPr>
            </w:pP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6F7658" w:rsidRPr="007F0436" w:rsidRDefault="006F7658" w:rsidP="00196533">
            <w:pPr>
              <w:ind w:firstLine="0"/>
              <w:jc w:val="right"/>
              <w:rPr>
                <w:rFonts w:eastAsia="Times New Roman"/>
                <w:b/>
                <w:color w:val="FFFFFF" w:themeColor="background1"/>
                <w:sz w:val="20"/>
                <w:szCs w:val="20"/>
                <w:lang w:eastAsia="ru-RU"/>
              </w:rPr>
            </w:pPr>
            <w:r w:rsidRPr="007F0436">
              <w:rPr>
                <w:rFonts w:eastAsia="Times New Roman"/>
                <w:b/>
                <w:color w:val="FFFFFF" w:themeColor="background1"/>
                <w:sz w:val="20"/>
                <w:szCs w:val="20"/>
                <w:lang w:eastAsia="ru-RU"/>
              </w:rPr>
              <w:t>2011</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6F7658" w:rsidRPr="007F0436" w:rsidRDefault="006F7658" w:rsidP="00196533">
            <w:pPr>
              <w:ind w:firstLine="0"/>
              <w:jc w:val="right"/>
              <w:rPr>
                <w:rFonts w:eastAsia="Times New Roman"/>
                <w:b/>
                <w:color w:val="FFFFFF" w:themeColor="background1"/>
                <w:sz w:val="20"/>
                <w:szCs w:val="20"/>
                <w:lang w:eastAsia="ru-RU"/>
              </w:rPr>
            </w:pPr>
            <w:r w:rsidRPr="007F0436">
              <w:rPr>
                <w:rFonts w:eastAsia="Times New Roman"/>
                <w:b/>
                <w:color w:val="FFFFFF" w:themeColor="background1"/>
                <w:sz w:val="20"/>
                <w:szCs w:val="20"/>
                <w:lang w:eastAsia="ru-RU"/>
              </w:rPr>
              <w:t>2012</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6F7658" w:rsidRPr="007F0436" w:rsidRDefault="006F7658" w:rsidP="00196533">
            <w:pPr>
              <w:ind w:firstLine="0"/>
              <w:jc w:val="right"/>
              <w:rPr>
                <w:rFonts w:eastAsia="Times New Roman"/>
                <w:b/>
                <w:color w:val="FFFFFF" w:themeColor="background1"/>
                <w:sz w:val="20"/>
                <w:szCs w:val="20"/>
                <w:lang w:eastAsia="ru-RU"/>
              </w:rPr>
            </w:pPr>
            <w:r w:rsidRPr="007F0436">
              <w:rPr>
                <w:rFonts w:eastAsia="Times New Roman"/>
                <w:b/>
                <w:color w:val="FFFFFF" w:themeColor="background1"/>
                <w:sz w:val="20"/>
                <w:szCs w:val="20"/>
                <w:lang w:eastAsia="ru-RU"/>
              </w:rPr>
              <w:t>2013</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6F7658" w:rsidRPr="007F0436" w:rsidRDefault="006F7658" w:rsidP="00196533">
            <w:pPr>
              <w:ind w:firstLine="0"/>
              <w:jc w:val="right"/>
              <w:rPr>
                <w:rFonts w:eastAsia="Times New Roman"/>
                <w:b/>
                <w:color w:val="FFFFFF" w:themeColor="background1"/>
                <w:sz w:val="20"/>
                <w:szCs w:val="20"/>
                <w:lang w:eastAsia="ru-RU"/>
              </w:rPr>
            </w:pPr>
            <w:r w:rsidRPr="007F0436">
              <w:rPr>
                <w:rFonts w:eastAsia="Times New Roman"/>
                <w:b/>
                <w:color w:val="FFFFFF" w:themeColor="background1"/>
                <w:sz w:val="20"/>
                <w:szCs w:val="20"/>
                <w:lang w:eastAsia="ru-RU"/>
              </w:rPr>
              <w:t>2013/2012</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6F7658" w:rsidRPr="007F0436" w:rsidRDefault="006F7658" w:rsidP="00196533">
            <w:pPr>
              <w:ind w:firstLine="0"/>
              <w:jc w:val="right"/>
              <w:rPr>
                <w:rFonts w:eastAsia="Times New Roman"/>
                <w:b/>
                <w:color w:val="FFFFFF" w:themeColor="background1"/>
                <w:sz w:val="20"/>
                <w:szCs w:val="20"/>
                <w:lang w:eastAsia="ru-RU"/>
              </w:rPr>
            </w:pPr>
            <w:r w:rsidRPr="007F0436">
              <w:rPr>
                <w:rFonts w:eastAsia="Times New Roman"/>
                <w:b/>
                <w:color w:val="FFFFFF" w:themeColor="background1"/>
                <w:sz w:val="20"/>
                <w:szCs w:val="20"/>
                <w:lang w:eastAsia="ru-RU"/>
              </w:rPr>
              <w:t>2011</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6F7658" w:rsidRPr="007F0436" w:rsidRDefault="006F7658" w:rsidP="00196533">
            <w:pPr>
              <w:ind w:firstLine="0"/>
              <w:jc w:val="right"/>
              <w:rPr>
                <w:rFonts w:eastAsia="Times New Roman"/>
                <w:b/>
                <w:color w:val="FFFFFF" w:themeColor="background1"/>
                <w:sz w:val="20"/>
                <w:szCs w:val="20"/>
                <w:lang w:eastAsia="ru-RU"/>
              </w:rPr>
            </w:pPr>
            <w:r w:rsidRPr="007F0436">
              <w:rPr>
                <w:rFonts w:eastAsia="Times New Roman"/>
                <w:b/>
                <w:color w:val="FFFFFF" w:themeColor="background1"/>
                <w:sz w:val="20"/>
                <w:szCs w:val="20"/>
                <w:lang w:eastAsia="ru-RU"/>
              </w:rPr>
              <w:t>2012</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6F7658" w:rsidRPr="007F0436" w:rsidRDefault="006F7658" w:rsidP="00196533">
            <w:pPr>
              <w:ind w:firstLine="0"/>
              <w:jc w:val="right"/>
              <w:rPr>
                <w:rFonts w:eastAsia="Times New Roman"/>
                <w:b/>
                <w:color w:val="FFFFFF" w:themeColor="background1"/>
                <w:sz w:val="20"/>
                <w:szCs w:val="20"/>
                <w:lang w:eastAsia="ru-RU"/>
              </w:rPr>
            </w:pPr>
            <w:r w:rsidRPr="007F0436">
              <w:rPr>
                <w:rFonts w:eastAsia="Times New Roman"/>
                <w:b/>
                <w:color w:val="FFFFFF" w:themeColor="background1"/>
                <w:sz w:val="20"/>
                <w:szCs w:val="20"/>
                <w:lang w:eastAsia="ru-RU"/>
              </w:rPr>
              <w:t>2013</w:t>
            </w:r>
          </w:p>
        </w:tc>
        <w:tc>
          <w:tcPr>
            <w:tcW w:w="1081"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6F7658" w:rsidRPr="007F0436" w:rsidRDefault="006F7658" w:rsidP="00196533">
            <w:pPr>
              <w:ind w:firstLine="0"/>
              <w:jc w:val="right"/>
              <w:rPr>
                <w:rFonts w:eastAsia="Times New Roman"/>
                <w:b/>
                <w:color w:val="FFFFFF" w:themeColor="background1"/>
                <w:sz w:val="20"/>
                <w:szCs w:val="20"/>
                <w:lang w:eastAsia="ru-RU"/>
              </w:rPr>
            </w:pPr>
            <w:r w:rsidRPr="007F0436">
              <w:rPr>
                <w:rFonts w:eastAsia="Times New Roman"/>
                <w:b/>
                <w:color w:val="FFFFFF" w:themeColor="background1"/>
                <w:sz w:val="20"/>
                <w:szCs w:val="20"/>
                <w:lang w:eastAsia="ru-RU"/>
              </w:rPr>
              <w:t>2013/2012</w:t>
            </w:r>
          </w:p>
        </w:tc>
      </w:tr>
      <w:tr w:rsidR="00566BE7" w:rsidRPr="007877E1" w:rsidTr="007877E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66BE7" w:rsidRPr="007877E1" w:rsidRDefault="00566BE7" w:rsidP="007076A7">
            <w:pPr>
              <w:numPr>
                <w:ilvl w:val="0"/>
                <w:numId w:val="8"/>
              </w:numPr>
              <w:tabs>
                <w:tab w:val="left" w:pos="262"/>
              </w:tabs>
              <w:ind w:left="47" w:firstLine="0"/>
              <w:jc w:val="left"/>
              <w:rPr>
                <w:rFonts w:eastAsia="Times New Roman"/>
                <w:color w:val="000000"/>
                <w:sz w:val="20"/>
                <w:szCs w:val="20"/>
                <w:lang w:eastAsia="ru-RU"/>
              </w:rPr>
            </w:pPr>
          </w:p>
        </w:tc>
        <w:tc>
          <w:tcPr>
            <w:tcW w:w="6663" w:type="dxa"/>
            <w:tcBorders>
              <w:top w:val="nil"/>
              <w:left w:val="nil"/>
              <w:bottom w:val="single" w:sz="4" w:space="0" w:color="auto"/>
              <w:right w:val="single" w:sz="4" w:space="0" w:color="auto"/>
            </w:tcBorders>
            <w:shd w:val="clear" w:color="auto" w:fill="auto"/>
            <w:vAlign w:val="center"/>
            <w:hideMark/>
          </w:tcPr>
          <w:p w:rsidR="000A4E40" w:rsidRPr="007877E1" w:rsidRDefault="000A4E40" w:rsidP="00196533">
            <w:pPr>
              <w:ind w:firstLine="0"/>
              <w:jc w:val="left"/>
              <w:rPr>
                <w:rFonts w:eastAsia="Times New Roman"/>
                <w:bCs/>
                <w:color w:val="000000"/>
                <w:sz w:val="20"/>
                <w:szCs w:val="20"/>
                <w:lang w:eastAsia="ru-RU"/>
              </w:rPr>
            </w:pPr>
            <w:r w:rsidRPr="007877E1">
              <w:rPr>
                <w:rFonts w:eastAsia="Times New Roman"/>
                <w:bCs/>
                <w:color w:val="000000"/>
                <w:sz w:val="20"/>
                <w:szCs w:val="20"/>
                <w:lang w:eastAsia="ru-RU"/>
              </w:rPr>
              <w:t>В</w:t>
            </w:r>
            <w:r w:rsidR="00566BE7" w:rsidRPr="007877E1">
              <w:rPr>
                <w:rFonts w:eastAsia="Times New Roman"/>
                <w:bCs/>
                <w:color w:val="000000"/>
                <w:sz w:val="20"/>
                <w:szCs w:val="20"/>
                <w:lang w:eastAsia="ru-RU"/>
              </w:rPr>
              <w:t>оздушны</w:t>
            </w:r>
            <w:r w:rsidRPr="007877E1">
              <w:rPr>
                <w:rFonts w:eastAsia="Times New Roman"/>
                <w:bCs/>
                <w:color w:val="000000"/>
                <w:sz w:val="20"/>
                <w:szCs w:val="20"/>
                <w:lang w:eastAsia="ru-RU"/>
              </w:rPr>
              <w:t>е</w:t>
            </w:r>
            <w:r w:rsidR="00566BE7" w:rsidRPr="007877E1">
              <w:rPr>
                <w:rFonts w:eastAsia="Times New Roman"/>
                <w:bCs/>
                <w:color w:val="000000"/>
                <w:sz w:val="20"/>
                <w:szCs w:val="20"/>
                <w:lang w:eastAsia="ru-RU"/>
              </w:rPr>
              <w:t xml:space="preserve"> высоковольтны</w:t>
            </w:r>
            <w:r w:rsidRPr="007877E1">
              <w:rPr>
                <w:rFonts w:eastAsia="Times New Roman"/>
                <w:bCs/>
                <w:color w:val="000000"/>
                <w:sz w:val="20"/>
                <w:szCs w:val="20"/>
                <w:lang w:eastAsia="ru-RU"/>
              </w:rPr>
              <w:t>е</w:t>
            </w:r>
            <w:r w:rsidR="00566BE7" w:rsidRPr="007877E1">
              <w:rPr>
                <w:rFonts w:eastAsia="Times New Roman"/>
                <w:bCs/>
                <w:color w:val="000000"/>
                <w:sz w:val="20"/>
                <w:szCs w:val="20"/>
                <w:lang w:eastAsia="ru-RU"/>
              </w:rPr>
              <w:t xml:space="preserve"> лини</w:t>
            </w:r>
            <w:r w:rsidRPr="007877E1">
              <w:rPr>
                <w:rFonts w:eastAsia="Times New Roman"/>
                <w:bCs/>
                <w:color w:val="000000"/>
                <w:sz w:val="20"/>
                <w:szCs w:val="20"/>
                <w:lang w:eastAsia="ru-RU"/>
              </w:rPr>
              <w:t>и</w:t>
            </w:r>
            <w:r w:rsidR="00566BE7" w:rsidRPr="007877E1">
              <w:rPr>
                <w:rFonts w:eastAsia="Times New Roman"/>
                <w:bCs/>
                <w:color w:val="000000"/>
                <w:sz w:val="20"/>
                <w:szCs w:val="20"/>
                <w:lang w:eastAsia="ru-RU"/>
              </w:rPr>
              <w:t xml:space="preserve"> по цепям, км (всего), </w:t>
            </w:r>
          </w:p>
          <w:p w:rsidR="00566BE7" w:rsidRPr="007877E1" w:rsidRDefault="00566BE7" w:rsidP="00196533">
            <w:pPr>
              <w:ind w:firstLine="0"/>
              <w:jc w:val="left"/>
              <w:rPr>
                <w:rFonts w:eastAsia="Times New Roman"/>
                <w:bCs/>
                <w:color w:val="000000"/>
                <w:sz w:val="20"/>
                <w:szCs w:val="20"/>
                <w:lang w:eastAsia="ru-RU"/>
              </w:rPr>
            </w:pPr>
            <w:r w:rsidRPr="007877E1">
              <w:rPr>
                <w:rFonts w:eastAsia="Times New Roman"/>
                <w:bCs/>
                <w:color w:val="000000"/>
                <w:sz w:val="20"/>
                <w:szCs w:val="20"/>
                <w:lang w:eastAsia="ru-RU"/>
              </w:rPr>
              <w:t>в т.ч. по классам напряжения:</w:t>
            </w:r>
          </w:p>
        </w:tc>
        <w:tc>
          <w:tcPr>
            <w:tcW w:w="850"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1 186</w:t>
            </w:r>
          </w:p>
        </w:tc>
        <w:tc>
          <w:tcPr>
            <w:tcW w:w="851"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1 139</w:t>
            </w:r>
          </w:p>
        </w:tc>
        <w:tc>
          <w:tcPr>
            <w:tcW w:w="992"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1 139</w:t>
            </w:r>
          </w:p>
        </w:tc>
        <w:tc>
          <w:tcPr>
            <w:tcW w:w="1134"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0,00 %</w:t>
            </w:r>
          </w:p>
        </w:tc>
        <w:tc>
          <w:tcPr>
            <w:tcW w:w="992"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14 408</w:t>
            </w:r>
          </w:p>
        </w:tc>
        <w:tc>
          <w:tcPr>
            <w:tcW w:w="992"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14 401</w:t>
            </w:r>
          </w:p>
        </w:tc>
        <w:tc>
          <w:tcPr>
            <w:tcW w:w="851"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14 401</w:t>
            </w:r>
          </w:p>
        </w:tc>
        <w:tc>
          <w:tcPr>
            <w:tcW w:w="1081"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0,00 %</w:t>
            </w:r>
          </w:p>
        </w:tc>
      </w:tr>
      <w:tr w:rsidR="00566BE7" w:rsidRPr="007877E1" w:rsidTr="007877E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66BE7" w:rsidRPr="007877E1" w:rsidRDefault="00566BE7" w:rsidP="007076A7">
            <w:pPr>
              <w:pStyle w:val="a5"/>
              <w:numPr>
                <w:ilvl w:val="1"/>
                <w:numId w:val="9"/>
              </w:numPr>
              <w:jc w:val="left"/>
              <w:rPr>
                <w:rFonts w:eastAsia="Times New Roman"/>
                <w:color w:val="000000"/>
                <w:sz w:val="20"/>
                <w:szCs w:val="20"/>
                <w:lang w:eastAsia="ru-RU"/>
              </w:rPr>
            </w:pPr>
          </w:p>
        </w:tc>
        <w:tc>
          <w:tcPr>
            <w:tcW w:w="6663"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Chars="200" w:firstLine="400"/>
              <w:jc w:val="left"/>
              <w:rPr>
                <w:rFonts w:eastAsia="Times New Roman"/>
                <w:color w:val="000000"/>
                <w:sz w:val="20"/>
                <w:szCs w:val="20"/>
                <w:lang w:eastAsia="ru-RU"/>
              </w:rPr>
            </w:pPr>
            <w:r w:rsidRPr="007877E1">
              <w:rPr>
                <w:rFonts w:eastAsia="Times New Roman"/>
                <w:color w:val="000000"/>
                <w:sz w:val="20"/>
                <w:szCs w:val="20"/>
                <w:lang w:eastAsia="ru-RU"/>
              </w:rPr>
              <w:t>220 кВ</w:t>
            </w:r>
          </w:p>
        </w:tc>
        <w:tc>
          <w:tcPr>
            <w:tcW w:w="850"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452</w:t>
            </w:r>
          </w:p>
        </w:tc>
        <w:tc>
          <w:tcPr>
            <w:tcW w:w="851"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411</w:t>
            </w:r>
          </w:p>
        </w:tc>
        <w:tc>
          <w:tcPr>
            <w:tcW w:w="992"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411</w:t>
            </w:r>
          </w:p>
        </w:tc>
        <w:tc>
          <w:tcPr>
            <w:tcW w:w="1134"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0,00 %</w:t>
            </w:r>
          </w:p>
        </w:tc>
        <w:tc>
          <w:tcPr>
            <w:tcW w:w="992"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1 061</w:t>
            </w:r>
          </w:p>
        </w:tc>
        <w:tc>
          <w:tcPr>
            <w:tcW w:w="992"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1 056</w:t>
            </w:r>
          </w:p>
        </w:tc>
        <w:tc>
          <w:tcPr>
            <w:tcW w:w="851"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1 056</w:t>
            </w:r>
          </w:p>
        </w:tc>
        <w:tc>
          <w:tcPr>
            <w:tcW w:w="1081"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0,00 %</w:t>
            </w:r>
          </w:p>
        </w:tc>
      </w:tr>
      <w:tr w:rsidR="00566BE7" w:rsidRPr="007877E1" w:rsidTr="007877E1">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BE7" w:rsidRPr="007877E1" w:rsidRDefault="00566BE7" w:rsidP="007076A7">
            <w:pPr>
              <w:pStyle w:val="a5"/>
              <w:numPr>
                <w:ilvl w:val="1"/>
                <w:numId w:val="9"/>
              </w:numPr>
              <w:jc w:val="left"/>
              <w:rPr>
                <w:rFonts w:eastAsia="Times New Roman"/>
                <w:color w:val="000000"/>
                <w:sz w:val="20"/>
                <w:szCs w:val="20"/>
                <w:lang w:eastAsia="ru-RU"/>
              </w:rPr>
            </w:pP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BE7" w:rsidRPr="007877E1" w:rsidRDefault="00566BE7" w:rsidP="00196533">
            <w:pPr>
              <w:ind w:firstLineChars="200" w:firstLine="400"/>
              <w:jc w:val="left"/>
              <w:rPr>
                <w:rFonts w:eastAsia="Times New Roman"/>
                <w:color w:val="000000"/>
                <w:sz w:val="20"/>
                <w:szCs w:val="20"/>
                <w:lang w:eastAsia="ru-RU"/>
              </w:rPr>
            </w:pPr>
            <w:r w:rsidRPr="007877E1">
              <w:rPr>
                <w:rFonts w:eastAsia="Times New Roman"/>
                <w:color w:val="000000"/>
                <w:sz w:val="20"/>
                <w:szCs w:val="20"/>
                <w:lang w:eastAsia="ru-RU"/>
              </w:rPr>
              <w:t>110 кВ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701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694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694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0,00 %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9 143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9 141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9 141</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0,00 %</w:t>
            </w:r>
          </w:p>
        </w:tc>
      </w:tr>
      <w:tr w:rsidR="00566BE7" w:rsidRPr="007877E1" w:rsidTr="007877E1">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BE7" w:rsidRPr="007877E1" w:rsidRDefault="00566BE7" w:rsidP="007076A7">
            <w:pPr>
              <w:pStyle w:val="a5"/>
              <w:numPr>
                <w:ilvl w:val="1"/>
                <w:numId w:val="9"/>
              </w:numPr>
              <w:jc w:val="left"/>
              <w:rPr>
                <w:rFonts w:eastAsia="Times New Roman"/>
                <w:color w:val="000000"/>
                <w:sz w:val="20"/>
                <w:szCs w:val="20"/>
                <w:lang w:eastAsia="ru-RU"/>
              </w:rPr>
            </w:pP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566BE7" w:rsidRPr="007877E1" w:rsidRDefault="00566BE7" w:rsidP="00196533">
            <w:pPr>
              <w:ind w:firstLineChars="200" w:firstLine="400"/>
              <w:jc w:val="left"/>
              <w:rPr>
                <w:rFonts w:eastAsia="Times New Roman"/>
                <w:color w:val="000000"/>
                <w:sz w:val="20"/>
                <w:szCs w:val="20"/>
                <w:lang w:eastAsia="ru-RU"/>
              </w:rPr>
            </w:pPr>
            <w:r w:rsidRPr="007877E1">
              <w:rPr>
                <w:rFonts w:eastAsia="Times New Roman"/>
                <w:color w:val="000000"/>
                <w:sz w:val="20"/>
                <w:szCs w:val="20"/>
                <w:lang w:eastAsia="ru-RU"/>
              </w:rPr>
              <w:t>35 кВ</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33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33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33</w:t>
            </w:r>
          </w:p>
        </w:tc>
        <w:tc>
          <w:tcPr>
            <w:tcW w:w="1134" w:type="dxa"/>
            <w:tcBorders>
              <w:top w:val="single" w:sz="4" w:space="0" w:color="auto"/>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0,00 %</w:t>
            </w:r>
          </w:p>
        </w:tc>
        <w:tc>
          <w:tcPr>
            <w:tcW w:w="992" w:type="dxa"/>
            <w:tcBorders>
              <w:top w:val="single" w:sz="4" w:space="0" w:color="auto"/>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4 204</w:t>
            </w:r>
          </w:p>
        </w:tc>
        <w:tc>
          <w:tcPr>
            <w:tcW w:w="992" w:type="dxa"/>
            <w:tcBorders>
              <w:top w:val="single" w:sz="4" w:space="0" w:color="auto"/>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4 204</w:t>
            </w:r>
          </w:p>
        </w:tc>
        <w:tc>
          <w:tcPr>
            <w:tcW w:w="851" w:type="dxa"/>
            <w:tcBorders>
              <w:top w:val="single" w:sz="4" w:space="0" w:color="auto"/>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4 204</w:t>
            </w:r>
          </w:p>
        </w:tc>
        <w:tc>
          <w:tcPr>
            <w:tcW w:w="1081" w:type="dxa"/>
            <w:tcBorders>
              <w:top w:val="single" w:sz="4" w:space="0" w:color="auto"/>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0,00 %</w:t>
            </w:r>
          </w:p>
        </w:tc>
      </w:tr>
      <w:tr w:rsidR="00566BE7" w:rsidRPr="007877E1" w:rsidTr="007877E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66BE7" w:rsidRPr="007877E1" w:rsidRDefault="00566BE7" w:rsidP="007076A7">
            <w:pPr>
              <w:numPr>
                <w:ilvl w:val="0"/>
                <w:numId w:val="8"/>
              </w:numPr>
              <w:tabs>
                <w:tab w:val="left" w:pos="262"/>
              </w:tabs>
              <w:ind w:left="47" w:firstLine="0"/>
              <w:jc w:val="left"/>
              <w:rPr>
                <w:rFonts w:eastAsia="Times New Roman"/>
                <w:color w:val="000000"/>
                <w:sz w:val="20"/>
                <w:szCs w:val="20"/>
                <w:lang w:eastAsia="ru-RU"/>
              </w:rPr>
            </w:pPr>
          </w:p>
        </w:tc>
        <w:tc>
          <w:tcPr>
            <w:tcW w:w="6663" w:type="dxa"/>
            <w:tcBorders>
              <w:top w:val="nil"/>
              <w:left w:val="nil"/>
              <w:bottom w:val="single" w:sz="4" w:space="0" w:color="auto"/>
              <w:right w:val="single" w:sz="4" w:space="0" w:color="auto"/>
            </w:tcBorders>
            <w:shd w:val="clear" w:color="auto" w:fill="auto"/>
            <w:vAlign w:val="center"/>
            <w:hideMark/>
          </w:tcPr>
          <w:p w:rsidR="000A4E40" w:rsidRPr="007877E1" w:rsidRDefault="000A4E40" w:rsidP="00196533">
            <w:pPr>
              <w:ind w:firstLine="0"/>
              <w:jc w:val="left"/>
              <w:rPr>
                <w:rFonts w:eastAsia="Times New Roman"/>
                <w:bCs/>
                <w:color w:val="000000"/>
                <w:sz w:val="20"/>
                <w:szCs w:val="20"/>
                <w:lang w:eastAsia="ru-RU"/>
              </w:rPr>
            </w:pPr>
            <w:r w:rsidRPr="007877E1">
              <w:rPr>
                <w:rFonts w:eastAsia="Times New Roman"/>
                <w:bCs/>
                <w:color w:val="000000"/>
                <w:sz w:val="20"/>
                <w:szCs w:val="20"/>
                <w:lang w:eastAsia="ru-RU"/>
              </w:rPr>
              <w:t>В</w:t>
            </w:r>
            <w:r w:rsidR="00566BE7" w:rsidRPr="007877E1">
              <w:rPr>
                <w:rFonts w:eastAsia="Times New Roman"/>
                <w:bCs/>
                <w:color w:val="000000"/>
                <w:sz w:val="20"/>
                <w:szCs w:val="20"/>
                <w:lang w:eastAsia="ru-RU"/>
              </w:rPr>
              <w:t>оздушны</w:t>
            </w:r>
            <w:r w:rsidRPr="007877E1">
              <w:rPr>
                <w:rFonts w:eastAsia="Times New Roman"/>
                <w:bCs/>
                <w:color w:val="000000"/>
                <w:sz w:val="20"/>
                <w:szCs w:val="20"/>
                <w:lang w:eastAsia="ru-RU"/>
              </w:rPr>
              <w:t>е</w:t>
            </w:r>
            <w:r w:rsidR="00566BE7" w:rsidRPr="007877E1">
              <w:rPr>
                <w:rFonts w:eastAsia="Times New Roman"/>
                <w:bCs/>
                <w:color w:val="000000"/>
                <w:sz w:val="20"/>
                <w:szCs w:val="20"/>
                <w:lang w:eastAsia="ru-RU"/>
              </w:rPr>
              <w:t xml:space="preserve"> распределительны</w:t>
            </w:r>
            <w:r w:rsidRPr="007877E1">
              <w:rPr>
                <w:rFonts w:eastAsia="Times New Roman"/>
                <w:bCs/>
                <w:color w:val="000000"/>
                <w:sz w:val="20"/>
                <w:szCs w:val="20"/>
                <w:lang w:eastAsia="ru-RU"/>
              </w:rPr>
              <w:t>е</w:t>
            </w:r>
            <w:r w:rsidR="00566BE7" w:rsidRPr="007877E1">
              <w:rPr>
                <w:rFonts w:eastAsia="Times New Roman"/>
                <w:bCs/>
                <w:color w:val="000000"/>
                <w:sz w:val="20"/>
                <w:szCs w:val="20"/>
                <w:lang w:eastAsia="ru-RU"/>
              </w:rPr>
              <w:t xml:space="preserve"> лини</w:t>
            </w:r>
            <w:r w:rsidRPr="007877E1">
              <w:rPr>
                <w:rFonts w:eastAsia="Times New Roman"/>
                <w:bCs/>
                <w:color w:val="000000"/>
                <w:sz w:val="20"/>
                <w:szCs w:val="20"/>
                <w:lang w:eastAsia="ru-RU"/>
              </w:rPr>
              <w:t>и</w:t>
            </w:r>
            <w:r w:rsidR="00566BE7" w:rsidRPr="007877E1">
              <w:rPr>
                <w:rFonts w:eastAsia="Times New Roman"/>
                <w:bCs/>
                <w:color w:val="000000"/>
                <w:sz w:val="20"/>
                <w:szCs w:val="20"/>
                <w:lang w:eastAsia="ru-RU"/>
              </w:rPr>
              <w:t xml:space="preserve">, км (всего), </w:t>
            </w:r>
          </w:p>
          <w:p w:rsidR="00566BE7" w:rsidRPr="007877E1" w:rsidRDefault="00566BE7" w:rsidP="00196533">
            <w:pPr>
              <w:ind w:firstLine="0"/>
              <w:jc w:val="left"/>
              <w:rPr>
                <w:rFonts w:eastAsia="Times New Roman"/>
                <w:bCs/>
                <w:color w:val="000000"/>
                <w:sz w:val="20"/>
                <w:szCs w:val="20"/>
                <w:lang w:eastAsia="ru-RU"/>
              </w:rPr>
            </w:pPr>
            <w:r w:rsidRPr="007877E1">
              <w:rPr>
                <w:rFonts w:eastAsia="Times New Roman"/>
                <w:bCs/>
                <w:color w:val="000000"/>
                <w:sz w:val="20"/>
                <w:szCs w:val="20"/>
                <w:lang w:eastAsia="ru-RU"/>
              </w:rPr>
              <w:t>в т.ч. по классам напряжения:</w:t>
            </w:r>
          </w:p>
        </w:tc>
        <w:tc>
          <w:tcPr>
            <w:tcW w:w="850"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365</w:t>
            </w:r>
          </w:p>
        </w:tc>
        <w:tc>
          <w:tcPr>
            <w:tcW w:w="851"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498</w:t>
            </w:r>
          </w:p>
        </w:tc>
        <w:tc>
          <w:tcPr>
            <w:tcW w:w="992"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551</w:t>
            </w:r>
          </w:p>
        </w:tc>
        <w:tc>
          <w:tcPr>
            <w:tcW w:w="1134"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10,66 %</w:t>
            </w:r>
          </w:p>
        </w:tc>
        <w:tc>
          <w:tcPr>
            <w:tcW w:w="992"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50 050</w:t>
            </w:r>
          </w:p>
        </w:tc>
        <w:tc>
          <w:tcPr>
            <w:tcW w:w="992"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50 682</w:t>
            </w:r>
          </w:p>
        </w:tc>
        <w:tc>
          <w:tcPr>
            <w:tcW w:w="851"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50 472</w:t>
            </w:r>
          </w:p>
        </w:tc>
        <w:tc>
          <w:tcPr>
            <w:tcW w:w="1081"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-0,41 %</w:t>
            </w:r>
          </w:p>
        </w:tc>
      </w:tr>
      <w:tr w:rsidR="00835898" w:rsidRPr="007877E1" w:rsidTr="007877E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5898" w:rsidRPr="007877E1" w:rsidRDefault="00835898" w:rsidP="007076A7">
            <w:pPr>
              <w:pStyle w:val="a5"/>
              <w:numPr>
                <w:ilvl w:val="1"/>
                <w:numId w:val="311"/>
              </w:numPr>
              <w:jc w:val="left"/>
              <w:rPr>
                <w:rFonts w:eastAsia="Times New Roman"/>
                <w:color w:val="000000"/>
                <w:sz w:val="20"/>
                <w:szCs w:val="20"/>
                <w:lang w:eastAsia="ru-RU"/>
              </w:rPr>
            </w:pPr>
          </w:p>
        </w:tc>
        <w:tc>
          <w:tcPr>
            <w:tcW w:w="6663" w:type="dxa"/>
            <w:tcBorders>
              <w:top w:val="nil"/>
              <w:left w:val="nil"/>
              <w:bottom w:val="single" w:sz="4" w:space="0" w:color="auto"/>
              <w:right w:val="single" w:sz="4" w:space="0" w:color="auto"/>
            </w:tcBorders>
            <w:shd w:val="clear" w:color="auto" w:fill="auto"/>
            <w:vAlign w:val="center"/>
            <w:hideMark/>
          </w:tcPr>
          <w:p w:rsidR="00835898" w:rsidRPr="007877E1" w:rsidRDefault="00835898" w:rsidP="00196533">
            <w:pPr>
              <w:ind w:firstLineChars="200" w:firstLine="400"/>
              <w:jc w:val="left"/>
              <w:rPr>
                <w:rFonts w:eastAsia="Times New Roman"/>
                <w:color w:val="000000"/>
                <w:sz w:val="20"/>
                <w:szCs w:val="20"/>
                <w:lang w:eastAsia="ru-RU"/>
              </w:rPr>
            </w:pPr>
            <w:r w:rsidRPr="007877E1">
              <w:rPr>
                <w:rFonts w:eastAsia="Times New Roman"/>
                <w:color w:val="000000"/>
                <w:sz w:val="20"/>
                <w:szCs w:val="20"/>
                <w:lang w:eastAsia="ru-RU"/>
              </w:rPr>
              <w:t>20 кВ</w:t>
            </w:r>
          </w:p>
        </w:tc>
        <w:tc>
          <w:tcPr>
            <w:tcW w:w="850" w:type="dxa"/>
            <w:tcBorders>
              <w:top w:val="nil"/>
              <w:left w:val="nil"/>
              <w:bottom w:val="single" w:sz="4" w:space="0" w:color="auto"/>
              <w:right w:val="single" w:sz="4" w:space="0" w:color="auto"/>
            </w:tcBorders>
            <w:shd w:val="clear" w:color="auto" w:fill="auto"/>
            <w:vAlign w:val="center"/>
            <w:hideMark/>
          </w:tcPr>
          <w:p w:rsidR="00835898" w:rsidRPr="004761E0" w:rsidRDefault="00835898" w:rsidP="00D52C46">
            <w:pPr>
              <w:ind w:firstLine="0"/>
              <w:jc w:val="right"/>
              <w:rPr>
                <w:sz w:val="20"/>
                <w:szCs w:val="20"/>
              </w:rPr>
            </w:pPr>
            <w:r>
              <w:rPr>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835898" w:rsidRPr="004761E0" w:rsidRDefault="00835898" w:rsidP="00D52C46">
            <w:pPr>
              <w:ind w:firstLine="0"/>
              <w:jc w:val="right"/>
              <w:rPr>
                <w:sz w:val="20"/>
                <w:szCs w:val="20"/>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rsidR="00835898" w:rsidRPr="004761E0" w:rsidRDefault="00835898" w:rsidP="00D52C46">
            <w:pPr>
              <w:ind w:firstLine="0"/>
              <w:jc w:val="right"/>
              <w:rPr>
                <w:sz w:val="20"/>
                <w:szCs w:val="20"/>
              </w:rPr>
            </w:pPr>
            <w:r>
              <w:rPr>
                <w:sz w:val="20"/>
                <w:szCs w:val="20"/>
              </w:rPr>
              <w:t>–</w:t>
            </w:r>
          </w:p>
        </w:tc>
        <w:tc>
          <w:tcPr>
            <w:tcW w:w="1134" w:type="dxa"/>
            <w:tcBorders>
              <w:top w:val="nil"/>
              <w:left w:val="nil"/>
              <w:bottom w:val="single" w:sz="4" w:space="0" w:color="auto"/>
              <w:right w:val="single" w:sz="4" w:space="0" w:color="auto"/>
            </w:tcBorders>
            <w:shd w:val="clear" w:color="auto" w:fill="auto"/>
            <w:vAlign w:val="center"/>
          </w:tcPr>
          <w:p w:rsidR="00835898" w:rsidRPr="004761E0" w:rsidRDefault="00835898" w:rsidP="00D52C46">
            <w:pPr>
              <w:ind w:firstLine="0"/>
              <w:jc w:val="right"/>
              <w:rPr>
                <w:sz w:val="20"/>
                <w:szCs w:val="20"/>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tcPr>
          <w:p w:rsidR="00835898" w:rsidRPr="004761E0" w:rsidRDefault="00835898" w:rsidP="00D52C46">
            <w:pPr>
              <w:ind w:firstLine="0"/>
              <w:jc w:val="right"/>
              <w:rPr>
                <w:sz w:val="20"/>
                <w:szCs w:val="20"/>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tcPr>
          <w:p w:rsidR="00835898" w:rsidRPr="004761E0" w:rsidRDefault="00835898" w:rsidP="00D52C46">
            <w:pPr>
              <w:ind w:firstLine="0"/>
              <w:jc w:val="right"/>
              <w:rPr>
                <w:sz w:val="20"/>
                <w:szCs w:val="20"/>
              </w:rPr>
            </w:pPr>
            <w:r>
              <w:rPr>
                <w:sz w:val="20"/>
                <w:szCs w:val="20"/>
              </w:rPr>
              <w:t>–</w:t>
            </w:r>
          </w:p>
        </w:tc>
        <w:tc>
          <w:tcPr>
            <w:tcW w:w="851" w:type="dxa"/>
            <w:tcBorders>
              <w:top w:val="nil"/>
              <w:left w:val="nil"/>
              <w:bottom w:val="single" w:sz="4" w:space="0" w:color="auto"/>
              <w:right w:val="single" w:sz="4" w:space="0" w:color="auto"/>
            </w:tcBorders>
            <w:shd w:val="clear" w:color="auto" w:fill="auto"/>
            <w:vAlign w:val="center"/>
          </w:tcPr>
          <w:p w:rsidR="00835898" w:rsidRPr="004761E0" w:rsidRDefault="00835898" w:rsidP="00D52C46">
            <w:pPr>
              <w:ind w:firstLine="0"/>
              <w:jc w:val="right"/>
              <w:rPr>
                <w:sz w:val="20"/>
                <w:szCs w:val="20"/>
              </w:rPr>
            </w:pPr>
            <w:r>
              <w:rPr>
                <w:sz w:val="20"/>
                <w:szCs w:val="20"/>
              </w:rPr>
              <w:t>–</w:t>
            </w:r>
          </w:p>
        </w:tc>
        <w:tc>
          <w:tcPr>
            <w:tcW w:w="1081" w:type="dxa"/>
            <w:tcBorders>
              <w:top w:val="nil"/>
              <w:left w:val="nil"/>
              <w:bottom w:val="single" w:sz="4" w:space="0" w:color="auto"/>
              <w:right w:val="single" w:sz="4" w:space="0" w:color="auto"/>
            </w:tcBorders>
            <w:shd w:val="clear" w:color="auto" w:fill="auto"/>
            <w:vAlign w:val="center"/>
          </w:tcPr>
          <w:p w:rsidR="00835898" w:rsidRPr="004761E0" w:rsidRDefault="00835898" w:rsidP="00D52C46">
            <w:pPr>
              <w:ind w:firstLine="0"/>
              <w:jc w:val="right"/>
              <w:rPr>
                <w:sz w:val="20"/>
                <w:szCs w:val="20"/>
              </w:rPr>
            </w:pPr>
            <w:r>
              <w:rPr>
                <w:sz w:val="20"/>
                <w:szCs w:val="20"/>
              </w:rPr>
              <w:t>–</w:t>
            </w:r>
          </w:p>
        </w:tc>
      </w:tr>
      <w:tr w:rsidR="00566BE7" w:rsidRPr="007877E1" w:rsidTr="007877E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66BE7" w:rsidRPr="007877E1" w:rsidRDefault="00566BE7" w:rsidP="007076A7">
            <w:pPr>
              <w:pStyle w:val="a5"/>
              <w:numPr>
                <w:ilvl w:val="1"/>
                <w:numId w:val="311"/>
              </w:numPr>
              <w:jc w:val="left"/>
              <w:rPr>
                <w:rFonts w:eastAsia="Times New Roman"/>
                <w:color w:val="000000"/>
                <w:sz w:val="20"/>
                <w:szCs w:val="20"/>
                <w:lang w:eastAsia="ru-RU"/>
              </w:rPr>
            </w:pPr>
          </w:p>
        </w:tc>
        <w:tc>
          <w:tcPr>
            <w:tcW w:w="6663"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Chars="200" w:firstLine="400"/>
              <w:jc w:val="left"/>
              <w:rPr>
                <w:rFonts w:eastAsia="Times New Roman"/>
                <w:color w:val="000000"/>
                <w:sz w:val="20"/>
                <w:szCs w:val="20"/>
                <w:lang w:eastAsia="ru-RU"/>
              </w:rPr>
            </w:pPr>
            <w:r w:rsidRPr="007877E1">
              <w:rPr>
                <w:rFonts w:eastAsia="Times New Roman"/>
                <w:color w:val="000000"/>
                <w:sz w:val="20"/>
                <w:szCs w:val="20"/>
                <w:lang w:eastAsia="ru-RU"/>
              </w:rPr>
              <w:t>10 кВ</w:t>
            </w:r>
          </w:p>
        </w:tc>
        <w:tc>
          <w:tcPr>
            <w:tcW w:w="850"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23</w:t>
            </w:r>
          </w:p>
        </w:tc>
        <w:tc>
          <w:tcPr>
            <w:tcW w:w="851"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20</w:t>
            </w:r>
          </w:p>
        </w:tc>
        <w:tc>
          <w:tcPr>
            <w:tcW w:w="992"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27</w:t>
            </w:r>
          </w:p>
        </w:tc>
        <w:tc>
          <w:tcPr>
            <w:tcW w:w="1134"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35,92 %</w:t>
            </w:r>
          </w:p>
        </w:tc>
        <w:tc>
          <w:tcPr>
            <w:tcW w:w="992"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18 921</w:t>
            </w:r>
          </w:p>
        </w:tc>
        <w:tc>
          <w:tcPr>
            <w:tcW w:w="992"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19 029</w:t>
            </w:r>
          </w:p>
        </w:tc>
        <w:tc>
          <w:tcPr>
            <w:tcW w:w="851"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18 716</w:t>
            </w:r>
          </w:p>
        </w:tc>
        <w:tc>
          <w:tcPr>
            <w:tcW w:w="1081"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-1,64 %</w:t>
            </w:r>
          </w:p>
        </w:tc>
      </w:tr>
      <w:tr w:rsidR="00566BE7" w:rsidRPr="007877E1" w:rsidTr="007877E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66BE7" w:rsidRPr="007877E1" w:rsidRDefault="00566BE7" w:rsidP="007076A7">
            <w:pPr>
              <w:pStyle w:val="a5"/>
              <w:numPr>
                <w:ilvl w:val="1"/>
                <w:numId w:val="311"/>
              </w:numPr>
              <w:jc w:val="left"/>
              <w:rPr>
                <w:rFonts w:eastAsia="Times New Roman"/>
                <w:color w:val="000000"/>
                <w:sz w:val="20"/>
                <w:szCs w:val="20"/>
                <w:lang w:eastAsia="ru-RU"/>
              </w:rPr>
            </w:pPr>
          </w:p>
        </w:tc>
        <w:tc>
          <w:tcPr>
            <w:tcW w:w="6663"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Chars="200" w:firstLine="400"/>
              <w:jc w:val="left"/>
              <w:rPr>
                <w:rFonts w:eastAsia="Times New Roman"/>
                <w:color w:val="000000"/>
                <w:sz w:val="20"/>
                <w:szCs w:val="20"/>
                <w:lang w:eastAsia="ru-RU"/>
              </w:rPr>
            </w:pPr>
            <w:r w:rsidRPr="007877E1">
              <w:rPr>
                <w:rFonts w:eastAsia="Times New Roman"/>
                <w:color w:val="000000"/>
                <w:sz w:val="20"/>
                <w:szCs w:val="20"/>
                <w:lang w:eastAsia="ru-RU"/>
              </w:rPr>
              <w:t>6 кВ</w:t>
            </w:r>
          </w:p>
        </w:tc>
        <w:tc>
          <w:tcPr>
            <w:tcW w:w="850"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43</w:t>
            </w:r>
          </w:p>
        </w:tc>
        <w:tc>
          <w:tcPr>
            <w:tcW w:w="851"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29</w:t>
            </w:r>
          </w:p>
        </w:tc>
        <w:tc>
          <w:tcPr>
            <w:tcW w:w="992"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25</w:t>
            </w:r>
          </w:p>
        </w:tc>
        <w:tc>
          <w:tcPr>
            <w:tcW w:w="1134"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-12,80 %</w:t>
            </w:r>
          </w:p>
        </w:tc>
        <w:tc>
          <w:tcPr>
            <w:tcW w:w="992"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8 350</w:t>
            </w:r>
          </w:p>
        </w:tc>
        <w:tc>
          <w:tcPr>
            <w:tcW w:w="992"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8 388</w:t>
            </w:r>
          </w:p>
        </w:tc>
        <w:tc>
          <w:tcPr>
            <w:tcW w:w="851"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8 227</w:t>
            </w:r>
          </w:p>
        </w:tc>
        <w:tc>
          <w:tcPr>
            <w:tcW w:w="1081"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-1,91 %</w:t>
            </w:r>
          </w:p>
        </w:tc>
      </w:tr>
      <w:tr w:rsidR="00566BE7" w:rsidRPr="007877E1" w:rsidTr="007877E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66BE7" w:rsidRPr="007877E1" w:rsidRDefault="00566BE7" w:rsidP="007076A7">
            <w:pPr>
              <w:pStyle w:val="a5"/>
              <w:numPr>
                <w:ilvl w:val="1"/>
                <w:numId w:val="311"/>
              </w:numPr>
              <w:jc w:val="left"/>
              <w:rPr>
                <w:rFonts w:eastAsia="Times New Roman"/>
                <w:color w:val="000000"/>
                <w:sz w:val="20"/>
                <w:szCs w:val="20"/>
                <w:lang w:eastAsia="ru-RU"/>
              </w:rPr>
            </w:pPr>
          </w:p>
        </w:tc>
        <w:tc>
          <w:tcPr>
            <w:tcW w:w="6663"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Chars="200" w:firstLine="400"/>
              <w:jc w:val="left"/>
              <w:rPr>
                <w:rFonts w:eastAsia="Times New Roman"/>
                <w:color w:val="000000"/>
                <w:sz w:val="20"/>
                <w:szCs w:val="20"/>
                <w:lang w:eastAsia="ru-RU"/>
              </w:rPr>
            </w:pPr>
            <w:r w:rsidRPr="007877E1">
              <w:rPr>
                <w:rFonts w:eastAsia="Times New Roman"/>
                <w:color w:val="000000"/>
                <w:sz w:val="20"/>
                <w:szCs w:val="20"/>
                <w:lang w:eastAsia="ru-RU"/>
              </w:rPr>
              <w:t>0,4 кВ</w:t>
            </w:r>
          </w:p>
        </w:tc>
        <w:tc>
          <w:tcPr>
            <w:tcW w:w="850"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298</w:t>
            </w:r>
          </w:p>
        </w:tc>
        <w:tc>
          <w:tcPr>
            <w:tcW w:w="851"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450</w:t>
            </w:r>
          </w:p>
        </w:tc>
        <w:tc>
          <w:tcPr>
            <w:tcW w:w="992"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500</w:t>
            </w:r>
          </w:p>
        </w:tc>
        <w:tc>
          <w:tcPr>
            <w:tcW w:w="1134"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11,07 %</w:t>
            </w:r>
          </w:p>
        </w:tc>
        <w:tc>
          <w:tcPr>
            <w:tcW w:w="992"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22 780</w:t>
            </w:r>
          </w:p>
        </w:tc>
        <w:tc>
          <w:tcPr>
            <w:tcW w:w="992"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23 265</w:t>
            </w:r>
          </w:p>
        </w:tc>
        <w:tc>
          <w:tcPr>
            <w:tcW w:w="851"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23 529</w:t>
            </w:r>
          </w:p>
        </w:tc>
        <w:tc>
          <w:tcPr>
            <w:tcW w:w="1081"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1,13 %</w:t>
            </w:r>
          </w:p>
        </w:tc>
      </w:tr>
      <w:tr w:rsidR="00566BE7" w:rsidRPr="007877E1" w:rsidTr="007877E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66BE7" w:rsidRPr="007877E1" w:rsidRDefault="00566BE7" w:rsidP="007076A7">
            <w:pPr>
              <w:numPr>
                <w:ilvl w:val="0"/>
                <w:numId w:val="8"/>
              </w:numPr>
              <w:tabs>
                <w:tab w:val="left" w:pos="262"/>
              </w:tabs>
              <w:ind w:left="47" w:firstLine="0"/>
              <w:jc w:val="left"/>
              <w:rPr>
                <w:rFonts w:eastAsia="Times New Roman"/>
                <w:color w:val="000000"/>
                <w:sz w:val="20"/>
                <w:szCs w:val="20"/>
                <w:lang w:eastAsia="ru-RU"/>
              </w:rPr>
            </w:pPr>
          </w:p>
        </w:tc>
        <w:tc>
          <w:tcPr>
            <w:tcW w:w="6663" w:type="dxa"/>
            <w:tcBorders>
              <w:top w:val="nil"/>
              <w:left w:val="nil"/>
              <w:bottom w:val="single" w:sz="4" w:space="0" w:color="auto"/>
              <w:right w:val="single" w:sz="4" w:space="0" w:color="auto"/>
            </w:tcBorders>
            <w:shd w:val="clear" w:color="auto" w:fill="auto"/>
            <w:vAlign w:val="center"/>
            <w:hideMark/>
          </w:tcPr>
          <w:p w:rsidR="00566BE7" w:rsidRPr="007877E1" w:rsidRDefault="000A4E40" w:rsidP="00196533">
            <w:pPr>
              <w:ind w:firstLine="0"/>
              <w:jc w:val="left"/>
              <w:rPr>
                <w:rFonts w:eastAsia="Times New Roman"/>
                <w:bCs/>
                <w:color w:val="000000"/>
                <w:sz w:val="20"/>
                <w:szCs w:val="20"/>
                <w:lang w:eastAsia="ru-RU"/>
              </w:rPr>
            </w:pPr>
            <w:r w:rsidRPr="007877E1">
              <w:rPr>
                <w:rFonts w:eastAsia="Times New Roman"/>
                <w:bCs/>
                <w:color w:val="000000"/>
                <w:sz w:val="20"/>
                <w:szCs w:val="20"/>
                <w:lang w:eastAsia="ru-RU"/>
              </w:rPr>
              <w:t>К</w:t>
            </w:r>
            <w:r w:rsidR="00566BE7" w:rsidRPr="007877E1">
              <w:rPr>
                <w:rFonts w:eastAsia="Times New Roman"/>
                <w:bCs/>
                <w:color w:val="000000"/>
                <w:sz w:val="20"/>
                <w:szCs w:val="20"/>
                <w:lang w:eastAsia="ru-RU"/>
              </w:rPr>
              <w:t>абельны</w:t>
            </w:r>
            <w:r w:rsidRPr="007877E1">
              <w:rPr>
                <w:rFonts w:eastAsia="Times New Roman"/>
                <w:bCs/>
                <w:color w:val="000000"/>
                <w:sz w:val="20"/>
                <w:szCs w:val="20"/>
                <w:lang w:eastAsia="ru-RU"/>
              </w:rPr>
              <w:t>е</w:t>
            </w:r>
            <w:r w:rsidR="00566BE7" w:rsidRPr="007877E1">
              <w:rPr>
                <w:rFonts w:eastAsia="Times New Roman"/>
                <w:bCs/>
                <w:color w:val="000000"/>
                <w:sz w:val="20"/>
                <w:szCs w:val="20"/>
                <w:lang w:eastAsia="ru-RU"/>
              </w:rPr>
              <w:t xml:space="preserve"> лини</w:t>
            </w:r>
            <w:r w:rsidRPr="007877E1">
              <w:rPr>
                <w:rFonts w:eastAsia="Times New Roman"/>
                <w:bCs/>
                <w:color w:val="000000"/>
                <w:sz w:val="20"/>
                <w:szCs w:val="20"/>
                <w:lang w:eastAsia="ru-RU"/>
              </w:rPr>
              <w:t>и</w:t>
            </w:r>
            <w:r w:rsidR="00566BE7" w:rsidRPr="007877E1">
              <w:rPr>
                <w:rFonts w:eastAsia="Times New Roman"/>
                <w:bCs/>
                <w:color w:val="000000"/>
                <w:sz w:val="20"/>
                <w:szCs w:val="20"/>
                <w:lang w:eastAsia="ru-RU"/>
              </w:rPr>
              <w:t>, км (всего), в т.ч. по классам напряжения:</w:t>
            </w:r>
          </w:p>
        </w:tc>
        <w:tc>
          <w:tcPr>
            <w:tcW w:w="850"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60 029</w:t>
            </w:r>
          </w:p>
        </w:tc>
        <w:tc>
          <w:tcPr>
            <w:tcW w:w="851"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60 603</w:t>
            </w:r>
          </w:p>
        </w:tc>
        <w:tc>
          <w:tcPr>
            <w:tcW w:w="992"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61 064</w:t>
            </w:r>
          </w:p>
        </w:tc>
        <w:tc>
          <w:tcPr>
            <w:tcW w:w="1134"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0,76 %</w:t>
            </w:r>
          </w:p>
        </w:tc>
        <w:tc>
          <w:tcPr>
            <w:tcW w:w="992"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11 450</w:t>
            </w:r>
          </w:p>
        </w:tc>
        <w:tc>
          <w:tcPr>
            <w:tcW w:w="992"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11 700</w:t>
            </w:r>
          </w:p>
        </w:tc>
        <w:tc>
          <w:tcPr>
            <w:tcW w:w="851"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11 629</w:t>
            </w:r>
          </w:p>
        </w:tc>
        <w:tc>
          <w:tcPr>
            <w:tcW w:w="1081"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-0,61 %</w:t>
            </w:r>
          </w:p>
        </w:tc>
      </w:tr>
      <w:tr w:rsidR="00835898" w:rsidRPr="007877E1" w:rsidTr="007877E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5898" w:rsidRPr="007877E1" w:rsidRDefault="00835898" w:rsidP="007076A7">
            <w:pPr>
              <w:pStyle w:val="a5"/>
              <w:numPr>
                <w:ilvl w:val="1"/>
                <w:numId w:val="244"/>
              </w:numPr>
              <w:tabs>
                <w:tab w:val="left" w:pos="262"/>
              </w:tabs>
              <w:jc w:val="left"/>
              <w:rPr>
                <w:rFonts w:eastAsia="Times New Roman"/>
                <w:color w:val="000000"/>
                <w:sz w:val="20"/>
                <w:szCs w:val="20"/>
                <w:lang w:eastAsia="ru-RU"/>
              </w:rPr>
            </w:pPr>
          </w:p>
        </w:tc>
        <w:tc>
          <w:tcPr>
            <w:tcW w:w="6663" w:type="dxa"/>
            <w:tcBorders>
              <w:top w:val="nil"/>
              <w:left w:val="nil"/>
              <w:bottom w:val="single" w:sz="4" w:space="0" w:color="auto"/>
              <w:right w:val="single" w:sz="4" w:space="0" w:color="auto"/>
            </w:tcBorders>
            <w:shd w:val="clear" w:color="auto" w:fill="auto"/>
            <w:vAlign w:val="center"/>
            <w:hideMark/>
          </w:tcPr>
          <w:p w:rsidR="00835898" w:rsidRPr="007877E1" w:rsidRDefault="00835898" w:rsidP="00196533">
            <w:pPr>
              <w:ind w:firstLineChars="200" w:firstLine="400"/>
              <w:jc w:val="left"/>
              <w:rPr>
                <w:rFonts w:eastAsia="Times New Roman"/>
                <w:color w:val="000000"/>
                <w:sz w:val="20"/>
                <w:szCs w:val="20"/>
                <w:lang w:eastAsia="ru-RU"/>
              </w:rPr>
            </w:pPr>
            <w:r w:rsidRPr="007877E1">
              <w:rPr>
                <w:rFonts w:eastAsia="Times New Roman"/>
                <w:color w:val="000000"/>
                <w:sz w:val="20"/>
                <w:szCs w:val="20"/>
                <w:lang w:eastAsia="ru-RU"/>
              </w:rPr>
              <w:t>500 кВ</w:t>
            </w:r>
          </w:p>
        </w:tc>
        <w:tc>
          <w:tcPr>
            <w:tcW w:w="850" w:type="dxa"/>
            <w:tcBorders>
              <w:top w:val="nil"/>
              <w:left w:val="nil"/>
              <w:bottom w:val="single" w:sz="4" w:space="0" w:color="auto"/>
              <w:right w:val="single" w:sz="4" w:space="0" w:color="auto"/>
            </w:tcBorders>
            <w:shd w:val="clear" w:color="auto" w:fill="auto"/>
            <w:vAlign w:val="center"/>
            <w:hideMark/>
          </w:tcPr>
          <w:p w:rsidR="00835898" w:rsidRPr="007877E1" w:rsidRDefault="00835898" w:rsidP="00196533">
            <w:pPr>
              <w:ind w:firstLine="0"/>
              <w:jc w:val="right"/>
              <w:rPr>
                <w:rFonts w:eastAsia="Times New Roman"/>
                <w:bCs/>
                <w:sz w:val="20"/>
                <w:szCs w:val="20"/>
                <w:lang w:eastAsia="ru-RU"/>
              </w:rPr>
            </w:pPr>
            <w:r w:rsidRPr="007877E1">
              <w:rPr>
                <w:rFonts w:eastAsia="Times New Roman"/>
                <w:bCs/>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835898" w:rsidRPr="007877E1" w:rsidRDefault="00835898" w:rsidP="00196533">
            <w:pPr>
              <w:ind w:firstLine="0"/>
              <w:jc w:val="right"/>
              <w:rPr>
                <w:rFonts w:eastAsia="Times New Roman"/>
                <w:bCs/>
                <w:sz w:val="20"/>
                <w:szCs w:val="20"/>
                <w:lang w:eastAsia="ru-RU"/>
              </w:rPr>
            </w:pPr>
            <w:r w:rsidRPr="007877E1">
              <w:rPr>
                <w:rFonts w:eastAsia="Times New Roman"/>
                <w:bCs/>
                <w:sz w:val="20"/>
                <w:szCs w:val="2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835898" w:rsidRPr="007877E1" w:rsidRDefault="00835898" w:rsidP="00196533">
            <w:pPr>
              <w:ind w:firstLine="0"/>
              <w:jc w:val="right"/>
              <w:rPr>
                <w:rFonts w:eastAsia="Times New Roman"/>
                <w:bCs/>
                <w:sz w:val="20"/>
                <w:szCs w:val="20"/>
                <w:lang w:eastAsia="ru-RU"/>
              </w:rPr>
            </w:pPr>
            <w:r w:rsidRPr="007877E1">
              <w:rPr>
                <w:rFonts w:eastAsia="Times New Roman"/>
                <w:bCs/>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tcPr>
          <w:p w:rsidR="00835898" w:rsidRPr="007877E1" w:rsidRDefault="00835898" w:rsidP="00196533">
            <w:pPr>
              <w:ind w:firstLine="0"/>
              <w:jc w:val="right"/>
              <w:rPr>
                <w:color w:val="000000"/>
                <w:sz w:val="20"/>
                <w:szCs w:val="20"/>
              </w:rPr>
            </w:pPr>
            <w:r w:rsidRPr="007877E1">
              <w:rPr>
                <w:color w:val="000000"/>
                <w:sz w:val="20"/>
                <w:szCs w:val="20"/>
              </w:rPr>
              <w:t>0,00 %</w:t>
            </w:r>
          </w:p>
        </w:tc>
        <w:tc>
          <w:tcPr>
            <w:tcW w:w="992" w:type="dxa"/>
            <w:tcBorders>
              <w:top w:val="nil"/>
              <w:left w:val="nil"/>
              <w:bottom w:val="single" w:sz="4" w:space="0" w:color="auto"/>
              <w:right w:val="single" w:sz="4" w:space="0" w:color="auto"/>
            </w:tcBorders>
            <w:shd w:val="clear" w:color="auto" w:fill="auto"/>
            <w:vAlign w:val="center"/>
          </w:tcPr>
          <w:p w:rsidR="00835898" w:rsidRPr="004761E0" w:rsidRDefault="00835898" w:rsidP="00D52C46">
            <w:pPr>
              <w:ind w:firstLine="0"/>
              <w:jc w:val="right"/>
              <w:rPr>
                <w:sz w:val="20"/>
                <w:szCs w:val="20"/>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tcPr>
          <w:p w:rsidR="00835898" w:rsidRPr="004761E0" w:rsidRDefault="00835898" w:rsidP="00D52C46">
            <w:pPr>
              <w:ind w:firstLine="0"/>
              <w:jc w:val="right"/>
              <w:rPr>
                <w:sz w:val="20"/>
                <w:szCs w:val="20"/>
              </w:rPr>
            </w:pPr>
            <w:r>
              <w:rPr>
                <w:sz w:val="20"/>
                <w:szCs w:val="20"/>
              </w:rPr>
              <w:t>–</w:t>
            </w:r>
          </w:p>
        </w:tc>
        <w:tc>
          <w:tcPr>
            <w:tcW w:w="851" w:type="dxa"/>
            <w:tcBorders>
              <w:top w:val="nil"/>
              <w:left w:val="nil"/>
              <w:bottom w:val="single" w:sz="4" w:space="0" w:color="auto"/>
              <w:right w:val="single" w:sz="4" w:space="0" w:color="auto"/>
            </w:tcBorders>
            <w:shd w:val="clear" w:color="auto" w:fill="auto"/>
            <w:vAlign w:val="center"/>
          </w:tcPr>
          <w:p w:rsidR="00835898" w:rsidRPr="004761E0" w:rsidRDefault="00835898" w:rsidP="00D52C46">
            <w:pPr>
              <w:ind w:firstLine="0"/>
              <w:jc w:val="right"/>
              <w:rPr>
                <w:sz w:val="20"/>
                <w:szCs w:val="20"/>
              </w:rPr>
            </w:pPr>
            <w:r>
              <w:rPr>
                <w:sz w:val="20"/>
                <w:szCs w:val="20"/>
              </w:rPr>
              <w:t>–</w:t>
            </w:r>
          </w:p>
        </w:tc>
        <w:tc>
          <w:tcPr>
            <w:tcW w:w="1081" w:type="dxa"/>
            <w:tcBorders>
              <w:top w:val="nil"/>
              <w:left w:val="nil"/>
              <w:bottom w:val="single" w:sz="4" w:space="0" w:color="auto"/>
              <w:right w:val="single" w:sz="4" w:space="0" w:color="auto"/>
            </w:tcBorders>
            <w:shd w:val="clear" w:color="auto" w:fill="auto"/>
            <w:vAlign w:val="center"/>
          </w:tcPr>
          <w:p w:rsidR="00835898" w:rsidRPr="004761E0" w:rsidRDefault="00835898" w:rsidP="00D52C46">
            <w:pPr>
              <w:ind w:firstLine="0"/>
              <w:jc w:val="right"/>
              <w:rPr>
                <w:sz w:val="20"/>
                <w:szCs w:val="20"/>
              </w:rPr>
            </w:pPr>
            <w:r>
              <w:rPr>
                <w:sz w:val="20"/>
                <w:szCs w:val="20"/>
              </w:rPr>
              <w:t>–</w:t>
            </w:r>
          </w:p>
        </w:tc>
      </w:tr>
      <w:tr w:rsidR="00566BE7" w:rsidRPr="007877E1" w:rsidTr="007877E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66BE7" w:rsidRPr="007877E1" w:rsidRDefault="00566BE7" w:rsidP="007076A7">
            <w:pPr>
              <w:pStyle w:val="a5"/>
              <w:numPr>
                <w:ilvl w:val="1"/>
                <w:numId w:val="244"/>
              </w:numPr>
              <w:tabs>
                <w:tab w:val="left" w:pos="262"/>
              </w:tabs>
              <w:jc w:val="left"/>
              <w:rPr>
                <w:rFonts w:eastAsia="Times New Roman"/>
                <w:color w:val="000000"/>
                <w:sz w:val="20"/>
                <w:szCs w:val="20"/>
                <w:lang w:eastAsia="ru-RU"/>
              </w:rPr>
            </w:pPr>
          </w:p>
        </w:tc>
        <w:tc>
          <w:tcPr>
            <w:tcW w:w="6663"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Chars="200" w:firstLine="400"/>
              <w:jc w:val="left"/>
              <w:rPr>
                <w:rFonts w:eastAsia="Times New Roman"/>
                <w:color w:val="000000"/>
                <w:sz w:val="20"/>
                <w:szCs w:val="20"/>
                <w:lang w:eastAsia="ru-RU"/>
              </w:rPr>
            </w:pPr>
            <w:r w:rsidRPr="007877E1">
              <w:rPr>
                <w:rFonts w:eastAsia="Times New Roman"/>
                <w:color w:val="000000"/>
                <w:sz w:val="20"/>
                <w:szCs w:val="20"/>
                <w:lang w:eastAsia="ru-RU"/>
              </w:rPr>
              <w:t>220 кВ</w:t>
            </w:r>
          </w:p>
        </w:tc>
        <w:tc>
          <w:tcPr>
            <w:tcW w:w="850"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181</w:t>
            </w:r>
          </w:p>
        </w:tc>
        <w:tc>
          <w:tcPr>
            <w:tcW w:w="851"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211</w:t>
            </w:r>
          </w:p>
        </w:tc>
        <w:tc>
          <w:tcPr>
            <w:tcW w:w="992"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223</w:t>
            </w:r>
          </w:p>
        </w:tc>
        <w:tc>
          <w:tcPr>
            <w:tcW w:w="1134"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5,75 %</w:t>
            </w:r>
          </w:p>
        </w:tc>
        <w:tc>
          <w:tcPr>
            <w:tcW w:w="992"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1</w:t>
            </w:r>
          </w:p>
        </w:tc>
        <w:tc>
          <w:tcPr>
            <w:tcW w:w="1081"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0,00 %</w:t>
            </w:r>
          </w:p>
        </w:tc>
      </w:tr>
      <w:tr w:rsidR="00566BE7" w:rsidRPr="007877E1" w:rsidTr="007877E1">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BE7" w:rsidRPr="007877E1" w:rsidRDefault="00566BE7" w:rsidP="007076A7">
            <w:pPr>
              <w:pStyle w:val="a5"/>
              <w:numPr>
                <w:ilvl w:val="1"/>
                <w:numId w:val="244"/>
              </w:numPr>
              <w:tabs>
                <w:tab w:val="left" w:pos="262"/>
              </w:tabs>
              <w:jc w:val="left"/>
              <w:rPr>
                <w:rFonts w:eastAsia="Times New Roman"/>
                <w:color w:val="000000"/>
                <w:sz w:val="20"/>
                <w:szCs w:val="20"/>
                <w:lang w:eastAsia="ru-RU"/>
              </w:rPr>
            </w:pP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BE7" w:rsidRPr="007877E1" w:rsidRDefault="00566BE7" w:rsidP="00196533">
            <w:pPr>
              <w:ind w:firstLineChars="200" w:firstLine="400"/>
              <w:jc w:val="left"/>
              <w:rPr>
                <w:rFonts w:eastAsia="Times New Roman"/>
                <w:color w:val="000000"/>
                <w:sz w:val="20"/>
                <w:szCs w:val="20"/>
                <w:lang w:eastAsia="ru-RU"/>
              </w:rPr>
            </w:pPr>
            <w:r w:rsidRPr="007877E1">
              <w:rPr>
                <w:rFonts w:eastAsia="Times New Roman"/>
                <w:color w:val="000000"/>
                <w:sz w:val="20"/>
                <w:szCs w:val="20"/>
                <w:lang w:eastAsia="ru-RU"/>
              </w:rPr>
              <w:t>110 кВ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663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665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655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-1,55 %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39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56</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43,70 %</w:t>
            </w:r>
          </w:p>
        </w:tc>
      </w:tr>
      <w:tr w:rsidR="00566BE7" w:rsidRPr="007877E1" w:rsidTr="007877E1">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BE7" w:rsidRPr="007877E1" w:rsidRDefault="00566BE7" w:rsidP="007076A7">
            <w:pPr>
              <w:pStyle w:val="a5"/>
              <w:numPr>
                <w:ilvl w:val="1"/>
                <w:numId w:val="244"/>
              </w:numPr>
              <w:tabs>
                <w:tab w:val="left" w:pos="262"/>
              </w:tabs>
              <w:jc w:val="left"/>
              <w:rPr>
                <w:rFonts w:eastAsia="Times New Roman"/>
                <w:color w:val="000000"/>
                <w:sz w:val="20"/>
                <w:szCs w:val="20"/>
                <w:lang w:eastAsia="ru-RU"/>
              </w:rPr>
            </w:pP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566BE7" w:rsidRPr="007877E1" w:rsidRDefault="00566BE7" w:rsidP="00196533">
            <w:pPr>
              <w:ind w:firstLineChars="200" w:firstLine="400"/>
              <w:jc w:val="left"/>
              <w:rPr>
                <w:rFonts w:eastAsia="Times New Roman"/>
                <w:color w:val="000000"/>
                <w:sz w:val="20"/>
                <w:szCs w:val="20"/>
                <w:lang w:eastAsia="ru-RU"/>
              </w:rPr>
            </w:pPr>
            <w:r w:rsidRPr="007877E1">
              <w:rPr>
                <w:rFonts w:eastAsia="Times New Roman"/>
                <w:color w:val="000000"/>
                <w:sz w:val="20"/>
                <w:szCs w:val="20"/>
                <w:lang w:eastAsia="ru-RU"/>
              </w:rPr>
              <w:t>35 кВ</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25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25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25</w:t>
            </w:r>
          </w:p>
        </w:tc>
        <w:tc>
          <w:tcPr>
            <w:tcW w:w="1134" w:type="dxa"/>
            <w:tcBorders>
              <w:top w:val="single" w:sz="4" w:space="0" w:color="auto"/>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0,00 %</w:t>
            </w:r>
          </w:p>
        </w:tc>
        <w:tc>
          <w:tcPr>
            <w:tcW w:w="992" w:type="dxa"/>
            <w:tcBorders>
              <w:top w:val="single" w:sz="4" w:space="0" w:color="auto"/>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517</w:t>
            </w:r>
          </w:p>
        </w:tc>
        <w:tc>
          <w:tcPr>
            <w:tcW w:w="992" w:type="dxa"/>
            <w:tcBorders>
              <w:top w:val="single" w:sz="4" w:space="0" w:color="auto"/>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517</w:t>
            </w:r>
          </w:p>
        </w:tc>
        <w:tc>
          <w:tcPr>
            <w:tcW w:w="851" w:type="dxa"/>
            <w:tcBorders>
              <w:top w:val="single" w:sz="4" w:space="0" w:color="auto"/>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517</w:t>
            </w:r>
          </w:p>
        </w:tc>
        <w:tc>
          <w:tcPr>
            <w:tcW w:w="1081" w:type="dxa"/>
            <w:tcBorders>
              <w:top w:val="single" w:sz="4" w:space="0" w:color="auto"/>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0,00 %</w:t>
            </w:r>
          </w:p>
        </w:tc>
      </w:tr>
      <w:tr w:rsidR="00835898" w:rsidRPr="007877E1" w:rsidTr="007877E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35898" w:rsidRPr="007877E1" w:rsidRDefault="00835898" w:rsidP="007076A7">
            <w:pPr>
              <w:pStyle w:val="a5"/>
              <w:numPr>
                <w:ilvl w:val="1"/>
                <w:numId w:val="244"/>
              </w:numPr>
              <w:tabs>
                <w:tab w:val="left" w:pos="262"/>
              </w:tabs>
              <w:jc w:val="left"/>
              <w:rPr>
                <w:rFonts w:eastAsia="Times New Roman"/>
                <w:color w:val="000000"/>
                <w:sz w:val="20"/>
                <w:szCs w:val="20"/>
                <w:lang w:eastAsia="ru-RU"/>
              </w:rPr>
            </w:pPr>
          </w:p>
        </w:tc>
        <w:tc>
          <w:tcPr>
            <w:tcW w:w="6663" w:type="dxa"/>
            <w:tcBorders>
              <w:top w:val="nil"/>
              <w:left w:val="nil"/>
              <w:bottom w:val="single" w:sz="4" w:space="0" w:color="auto"/>
              <w:right w:val="single" w:sz="4" w:space="0" w:color="auto"/>
            </w:tcBorders>
            <w:shd w:val="clear" w:color="auto" w:fill="auto"/>
            <w:vAlign w:val="center"/>
            <w:hideMark/>
          </w:tcPr>
          <w:p w:rsidR="00835898" w:rsidRPr="007877E1" w:rsidRDefault="00835898" w:rsidP="00196533">
            <w:pPr>
              <w:ind w:firstLineChars="200" w:firstLine="400"/>
              <w:jc w:val="left"/>
              <w:rPr>
                <w:rFonts w:eastAsia="Times New Roman"/>
                <w:color w:val="000000"/>
                <w:sz w:val="20"/>
                <w:szCs w:val="20"/>
                <w:lang w:eastAsia="ru-RU"/>
              </w:rPr>
            </w:pPr>
            <w:r w:rsidRPr="007877E1">
              <w:rPr>
                <w:rFonts w:eastAsia="Times New Roman"/>
                <w:color w:val="000000"/>
                <w:sz w:val="20"/>
                <w:szCs w:val="20"/>
                <w:lang w:eastAsia="ru-RU"/>
              </w:rPr>
              <w:t>20 кВ</w:t>
            </w:r>
          </w:p>
        </w:tc>
        <w:tc>
          <w:tcPr>
            <w:tcW w:w="850" w:type="dxa"/>
            <w:tcBorders>
              <w:top w:val="nil"/>
              <w:left w:val="nil"/>
              <w:bottom w:val="single" w:sz="4" w:space="0" w:color="auto"/>
              <w:right w:val="single" w:sz="4" w:space="0" w:color="auto"/>
            </w:tcBorders>
            <w:shd w:val="clear" w:color="auto" w:fill="auto"/>
            <w:vAlign w:val="center"/>
            <w:hideMark/>
          </w:tcPr>
          <w:p w:rsidR="00835898" w:rsidRPr="007877E1" w:rsidRDefault="00835898" w:rsidP="00196533">
            <w:pPr>
              <w:ind w:firstLine="0"/>
              <w:jc w:val="right"/>
              <w:rPr>
                <w:rFonts w:eastAsia="Times New Roman"/>
                <w:bCs/>
                <w:sz w:val="20"/>
                <w:szCs w:val="20"/>
                <w:lang w:eastAsia="ru-RU"/>
              </w:rPr>
            </w:pPr>
            <w:r w:rsidRPr="007877E1">
              <w:rPr>
                <w:rFonts w:eastAsia="Times New Roman"/>
                <w:bCs/>
                <w:sz w:val="20"/>
                <w:szCs w:val="20"/>
                <w:lang w:eastAsia="ru-RU"/>
              </w:rPr>
              <w:t>166</w:t>
            </w:r>
          </w:p>
        </w:tc>
        <w:tc>
          <w:tcPr>
            <w:tcW w:w="851" w:type="dxa"/>
            <w:tcBorders>
              <w:top w:val="nil"/>
              <w:left w:val="nil"/>
              <w:bottom w:val="single" w:sz="4" w:space="0" w:color="auto"/>
              <w:right w:val="single" w:sz="4" w:space="0" w:color="auto"/>
            </w:tcBorders>
            <w:shd w:val="clear" w:color="auto" w:fill="auto"/>
            <w:vAlign w:val="center"/>
            <w:hideMark/>
          </w:tcPr>
          <w:p w:rsidR="00835898" w:rsidRPr="007877E1" w:rsidRDefault="00835898" w:rsidP="00196533">
            <w:pPr>
              <w:ind w:firstLine="0"/>
              <w:jc w:val="right"/>
              <w:rPr>
                <w:rFonts w:eastAsia="Times New Roman"/>
                <w:bCs/>
                <w:sz w:val="20"/>
                <w:szCs w:val="20"/>
                <w:lang w:eastAsia="ru-RU"/>
              </w:rPr>
            </w:pPr>
            <w:r w:rsidRPr="007877E1">
              <w:rPr>
                <w:rFonts w:eastAsia="Times New Roman"/>
                <w:bCs/>
                <w:sz w:val="20"/>
                <w:szCs w:val="20"/>
                <w:lang w:eastAsia="ru-RU"/>
              </w:rPr>
              <w:t>216</w:t>
            </w:r>
          </w:p>
        </w:tc>
        <w:tc>
          <w:tcPr>
            <w:tcW w:w="992" w:type="dxa"/>
            <w:tcBorders>
              <w:top w:val="nil"/>
              <w:left w:val="nil"/>
              <w:bottom w:val="single" w:sz="4" w:space="0" w:color="auto"/>
              <w:right w:val="single" w:sz="4" w:space="0" w:color="auto"/>
            </w:tcBorders>
            <w:shd w:val="clear" w:color="auto" w:fill="auto"/>
            <w:vAlign w:val="center"/>
            <w:hideMark/>
          </w:tcPr>
          <w:p w:rsidR="00835898" w:rsidRPr="007877E1" w:rsidRDefault="00835898" w:rsidP="00196533">
            <w:pPr>
              <w:ind w:firstLine="0"/>
              <w:jc w:val="right"/>
              <w:rPr>
                <w:rFonts w:eastAsia="Times New Roman"/>
                <w:bCs/>
                <w:sz w:val="20"/>
                <w:szCs w:val="20"/>
                <w:lang w:eastAsia="ru-RU"/>
              </w:rPr>
            </w:pPr>
            <w:r w:rsidRPr="007877E1">
              <w:rPr>
                <w:rFonts w:eastAsia="Times New Roman"/>
                <w:bCs/>
                <w:sz w:val="20"/>
                <w:szCs w:val="20"/>
                <w:lang w:eastAsia="ru-RU"/>
              </w:rPr>
              <w:t>221</w:t>
            </w:r>
          </w:p>
        </w:tc>
        <w:tc>
          <w:tcPr>
            <w:tcW w:w="1134" w:type="dxa"/>
            <w:tcBorders>
              <w:top w:val="nil"/>
              <w:left w:val="nil"/>
              <w:bottom w:val="single" w:sz="4" w:space="0" w:color="auto"/>
              <w:right w:val="single" w:sz="4" w:space="0" w:color="auto"/>
            </w:tcBorders>
            <w:shd w:val="clear" w:color="auto" w:fill="auto"/>
            <w:vAlign w:val="center"/>
          </w:tcPr>
          <w:p w:rsidR="00835898" w:rsidRPr="007877E1" w:rsidRDefault="00835898" w:rsidP="00196533">
            <w:pPr>
              <w:ind w:firstLine="0"/>
              <w:jc w:val="right"/>
              <w:rPr>
                <w:color w:val="000000"/>
                <w:sz w:val="20"/>
                <w:szCs w:val="20"/>
              </w:rPr>
            </w:pPr>
            <w:r w:rsidRPr="007877E1">
              <w:rPr>
                <w:color w:val="000000"/>
                <w:sz w:val="20"/>
                <w:szCs w:val="20"/>
              </w:rPr>
              <w:t>2,27 %</w:t>
            </w:r>
          </w:p>
        </w:tc>
        <w:tc>
          <w:tcPr>
            <w:tcW w:w="992" w:type="dxa"/>
            <w:tcBorders>
              <w:top w:val="nil"/>
              <w:left w:val="nil"/>
              <w:bottom w:val="single" w:sz="4" w:space="0" w:color="auto"/>
              <w:right w:val="single" w:sz="4" w:space="0" w:color="auto"/>
            </w:tcBorders>
            <w:shd w:val="clear" w:color="auto" w:fill="auto"/>
            <w:vAlign w:val="center"/>
          </w:tcPr>
          <w:p w:rsidR="00835898" w:rsidRPr="004761E0" w:rsidRDefault="00835898" w:rsidP="00D52C46">
            <w:pPr>
              <w:ind w:firstLine="0"/>
              <w:jc w:val="right"/>
              <w:rPr>
                <w:sz w:val="20"/>
                <w:szCs w:val="20"/>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tcPr>
          <w:p w:rsidR="00835898" w:rsidRPr="004761E0" w:rsidRDefault="00835898" w:rsidP="00D52C46">
            <w:pPr>
              <w:ind w:firstLine="0"/>
              <w:jc w:val="right"/>
              <w:rPr>
                <w:sz w:val="20"/>
                <w:szCs w:val="20"/>
              </w:rPr>
            </w:pPr>
            <w:r>
              <w:rPr>
                <w:sz w:val="20"/>
                <w:szCs w:val="20"/>
              </w:rPr>
              <w:t>–</w:t>
            </w:r>
          </w:p>
        </w:tc>
        <w:tc>
          <w:tcPr>
            <w:tcW w:w="851" w:type="dxa"/>
            <w:tcBorders>
              <w:top w:val="nil"/>
              <w:left w:val="nil"/>
              <w:bottom w:val="single" w:sz="4" w:space="0" w:color="auto"/>
              <w:right w:val="single" w:sz="4" w:space="0" w:color="auto"/>
            </w:tcBorders>
            <w:shd w:val="clear" w:color="auto" w:fill="auto"/>
            <w:vAlign w:val="center"/>
          </w:tcPr>
          <w:p w:rsidR="00835898" w:rsidRPr="004761E0" w:rsidRDefault="00835898" w:rsidP="00D52C46">
            <w:pPr>
              <w:ind w:firstLine="0"/>
              <w:jc w:val="right"/>
              <w:rPr>
                <w:sz w:val="20"/>
                <w:szCs w:val="20"/>
              </w:rPr>
            </w:pPr>
            <w:r>
              <w:rPr>
                <w:sz w:val="20"/>
                <w:szCs w:val="20"/>
              </w:rPr>
              <w:t>–</w:t>
            </w:r>
          </w:p>
        </w:tc>
        <w:tc>
          <w:tcPr>
            <w:tcW w:w="1081" w:type="dxa"/>
            <w:tcBorders>
              <w:top w:val="nil"/>
              <w:left w:val="nil"/>
              <w:bottom w:val="single" w:sz="4" w:space="0" w:color="auto"/>
              <w:right w:val="single" w:sz="4" w:space="0" w:color="auto"/>
            </w:tcBorders>
            <w:shd w:val="clear" w:color="auto" w:fill="auto"/>
            <w:vAlign w:val="center"/>
          </w:tcPr>
          <w:p w:rsidR="00835898" w:rsidRPr="004761E0" w:rsidRDefault="00835898" w:rsidP="00D52C46">
            <w:pPr>
              <w:ind w:firstLine="0"/>
              <w:jc w:val="right"/>
              <w:rPr>
                <w:sz w:val="20"/>
                <w:szCs w:val="20"/>
              </w:rPr>
            </w:pPr>
            <w:r>
              <w:rPr>
                <w:sz w:val="20"/>
                <w:szCs w:val="20"/>
              </w:rPr>
              <w:t>–</w:t>
            </w:r>
          </w:p>
        </w:tc>
      </w:tr>
      <w:tr w:rsidR="00566BE7" w:rsidRPr="007877E1" w:rsidTr="007877E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66BE7" w:rsidRPr="007877E1" w:rsidRDefault="00566BE7" w:rsidP="007076A7">
            <w:pPr>
              <w:pStyle w:val="a5"/>
              <w:numPr>
                <w:ilvl w:val="1"/>
                <w:numId w:val="244"/>
              </w:numPr>
              <w:tabs>
                <w:tab w:val="left" w:pos="262"/>
              </w:tabs>
              <w:jc w:val="left"/>
              <w:rPr>
                <w:rFonts w:eastAsia="Times New Roman"/>
                <w:color w:val="000000"/>
                <w:sz w:val="20"/>
                <w:szCs w:val="20"/>
                <w:lang w:eastAsia="ru-RU"/>
              </w:rPr>
            </w:pPr>
          </w:p>
        </w:tc>
        <w:tc>
          <w:tcPr>
            <w:tcW w:w="6663"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Chars="200" w:firstLine="400"/>
              <w:jc w:val="left"/>
              <w:rPr>
                <w:rFonts w:eastAsia="Times New Roman"/>
                <w:color w:val="000000"/>
                <w:sz w:val="20"/>
                <w:szCs w:val="20"/>
                <w:lang w:eastAsia="ru-RU"/>
              </w:rPr>
            </w:pPr>
            <w:r w:rsidRPr="007877E1">
              <w:rPr>
                <w:rFonts w:eastAsia="Times New Roman"/>
                <w:color w:val="000000"/>
                <w:sz w:val="20"/>
                <w:szCs w:val="20"/>
                <w:lang w:eastAsia="ru-RU"/>
              </w:rPr>
              <w:t>10 кВ</w:t>
            </w:r>
          </w:p>
        </w:tc>
        <w:tc>
          <w:tcPr>
            <w:tcW w:w="850"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34 170</w:t>
            </w:r>
          </w:p>
        </w:tc>
        <w:tc>
          <w:tcPr>
            <w:tcW w:w="851"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34 131</w:t>
            </w:r>
          </w:p>
        </w:tc>
        <w:tc>
          <w:tcPr>
            <w:tcW w:w="992"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34 456</w:t>
            </w:r>
          </w:p>
        </w:tc>
        <w:tc>
          <w:tcPr>
            <w:tcW w:w="1134"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0,95 %</w:t>
            </w:r>
          </w:p>
        </w:tc>
        <w:tc>
          <w:tcPr>
            <w:tcW w:w="992"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5 361</w:t>
            </w:r>
          </w:p>
        </w:tc>
        <w:tc>
          <w:tcPr>
            <w:tcW w:w="992"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5 545</w:t>
            </w:r>
          </w:p>
        </w:tc>
        <w:tc>
          <w:tcPr>
            <w:tcW w:w="851"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5 657</w:t>
            </w:r>
          </w:p>
        </w:tc>
        <w:tc>
          <w:tcPr>
            <w:tcW w:w="1081"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2,02 %</w:t>
            </w:r>
          </w:p>
        </w:tc>
      </w:tr>
      <w:tr w:rsidR="00566BE7" w:rsidRPr="007877E1" w:rsidTr="007877E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66BE7" w:rsidRPr="007877E1" w:rsidRDefault="00566BE7" w:rsidP="007076A7">
            <w:pPr>
              <w:pStyle w:val="a5"/>
              <w:numPr>
                <w:ilvl w:val="1"/>
                <w:numId w:val="244"/>
              </w:numPr>
              <w:tabs>
                <w:tab w:val="left" w:pos="262"/>
              </w:tabs>
              <w:jc w:val="left"/>
              <w:rPr>
                <w:rFonts w:eastAsia="Times New Roman"/>
                <w:color w:val="000000"/>
                <w:sz w:val="20"/>
                <w:szCs w:val="20"/>
                <w:lang w:eastAsia="ru-RU"/>
              </w:rPr>
            </w:pPr>
          </w:p>
        </w:tc>
        <w:tc>
          <w:tcPr>
            <w:tcW w:w="6663"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Chars="200" w:firstLine="400"/>
              <w:jc w:val="left"/>
              <w:rPr>
                <w:rFonts w:eastAsia="Times New Roman"/>
                <w:color w:val="000000"/>
                <w:sz w:val="20"/>
                <w:szCs w:val="20"/>
                <w:lang w:eastAsia="ru-RU"/>
              </w:rPr>
            </w:pPr>
            <w:r w:rsidRPr="007877E1">
              <w:rPr>
                <w:rFonts w:eastAsia="Times New Roman"/>
                <w:color w:val="000000"/>
                <w:sz w:val="20"/>
                <w:szCs w:val="20"/>
                <w:lang w:eastAsia="ru-RU"/>
              </w:rPr>
              <w:t>6 кВ</w:t>
            </w:r>
          </w:p>
        </w:tc>
        <w:tc>
          <w:tcPr>
            <w:tcW w:w="850"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6 164</w:t>
            </w:r>
          </w:p>
        </w:tc>
        <w:tc>
          <w:tcPr>
            <w:tcW w:w="851"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6 183</w:t>
            </w:r>
          </w:p>
        </w:tc>
        <w:tc>
          <w:tcPr>
            <w:tcW w:w="992"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6 197</w:t>
            </w:r>
          </w:p>
        </w:tc>
        <w:tc>
          <w:tcPr>
            <w:tcW w:w="1134"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0,23 %</w:t>
            </w:r>
          </w:p>
        </w:tc>
        <w:tc>
          <w:tcPr>
            <w:tcW w:w="992"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3 723</w:t>
            </w:r>
          </w:p>
        </w:tc>
        <w:tc>
          <w:tcPr>
            <w:tcW w:w="992"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3 755</w:t>
            </w:r>
          </w:p>
        </w:tc>
        <w:tc>
          <w:tcPr>
            <w:tcW w:w="851"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3 700</w:t>
            </w:r>
          </w:p>
        </w:tc>
        <w:tc>
          <w:tcPr>
            <w:tcW w:w="1081"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-1,46 %</w:t>
            </w:r>
          </w:p>
        </w:tc>
      </w:tr>
      <w:tr w:rsidR="00566BE7" w:rsidRPr="007877E1" w:rsidTr="007877E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66BE7" w:rsidRPr="007877E1" w:rsidRDefault="00566BE7" w:rsidP="007076A7">
            <w:pPr>
              <w:pStyle w:val="a5"/>
              <w:numPr>
                <w:ilvl w:val="1"/>
                <w:numId w:val="244"/>
              </w:numPr>
              <w:tabs>
                <w:tab w:val="left" w:pos="262"/>
              </w:tabs>
              <w:jc w:val="left"/>
              <w:rPr>
                <w:rFonts w:eastAsia="Times New Roman"/>
                <w:color w:val="000000"/>
                <w:sz w:val="20"/>
                <w:szCs w:val="20"/>
                <w:lang w:eastAsia="ru-RU"/>
              </w:rPr>
            </w:pPr>
          </w:p>
        </w:tc>
        <w:tc>
          <w:tcPr>
            <w:tcW w:w="6663"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Chars="200" w:firstLine="400"/>
              <w:jc w:val="left"/>
              <w:rPr>
                <w:rFonts w:eastAsia="Times New Roman"/>
                <w:color w:val="000000"/>
                <w:sz w:val="20"/>
                <w:szCs w:val="20"/>
                <w:lang w:eastAsia="ru-RU"/>
              </w:rPr>
            </w:pPr>
            <w:r w:rsidRPr="007877E1">
              <w:rPr>
                <w:rFonts w:eastAsia="Times New Roman"/>
                <w:color w:val="000000"/>
                <w:sz w:val="20"/>
                <w:szCs w:val="20"/>
                <w:lang w:eastAsia="ru-RU"/>
              </w:rPr>
              <w:t>0,4 кВ</w:t>
            </w:r>
          </w:p>
        </w:tc>
        <w:tc>
          <w:tcPr>
            <w:tcW w:w="850"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18 659</w:t>
            </w:r>
          </w:p>
        </w:tc>
        <w:tc>
          <w:tcPr>
            <w:tcW w:w="851"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19 171</w:t>
            </w:r>
          </w:p>
        </w:tc>
        <w:tc>
          <w:tcPr>
            <w:tcW w:w="992"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19 286</w:t>
            </w:r>
          </w:p>
        </w:tc>
        <w:tc>
          <w:tcPr>
            <w:tcW w:w="1134"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0,60 %</w:t>
            </w:r>
          </w:p>
        </w:tc>
        <w:tc>
          <w:tcPr>
            <w:tcW w:w="992"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1 829</w:t>
            </w:r>
          </w:p>
        </w:tc>
        <w:tc>
          <w:tcPr>
            <w:tcW w:w="992"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1 844</w:t>
            </w:r>
          </w:p>
        </w:tc>
        <w:tc>
          <w:tcPr>
            <w:tcW w:w="851"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1 698</w:t>
            </w:r>
          </w:p>
        </w:tc>
        <w:tc>
          <w:tcPr>
            <w:tcW w:w="1081"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-7,90 %</w:t>
            </w:r>
          </w:p>
        </w:tc>
      </w:tr>
      <w:tr w:rsidR="00566BE7" w:rsidRPr="007877E1" w:rsidTr="007877E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66BE7" w:rsidRPr="007877E1" w:rsidRDefault="00566BE7" w:rsidP="007076A7">
            <w:pPr>
              <w:numPr>
                <w:ilvl w:val="0"/>
                <w:numId w:val="8"/>
              </w:numPr>
              <w:tabs>
                <w:tab w:val="left" w:pos="262"/>
              </w:tabs>
              <w:ind w:left="47" w:firstLine="0"/>
              <w:jc w:val="left"/>
              <w:rPr>
                <w:rFonts w:eastAsia="Times New Roman"/>
                <w:color w:val="000000"/>
                <w:sz w:val="20"/>
                <w:szCs w:val="20"/>
                <w:lang w:eastAsia="ru-RU"/>
              </w:rPr>
            </w:pPr>
          </w:p>
        </w:tc>
        <w:tc>
          <w:tcPr>
            <w:tcW w:w="6663" w:type="dxa"/>
            <w:tcBorders>
              <w:top w:val="nil"/>
              <w:left w:val="nil"/>
              <w:bottom w:val="single" w:sz="4" w:space="0" w:color="auto"/>
              <w:right w:val="single" w:sz="4" w:space="0" w:color="auto"/>
            </w:tcBorders>
            <w:shd w:val="clear" w:color="auto" w:fill="auto"/>
            <w:vAlign w:val="center"/>
            <w:hideMark/>
          </w:tcPr>
          <w:p w:rsidR="00566BE7" w:rsidRPr="007877E1" w:rsidRDefault="000A4E40" w:rsidP="00196533">
            <w:pPr>
              <w:ind w:firstLine="0"/>
              <w:jc w:val="left"/>
              <w:rPr>
                <w:rFonts w:eastAsia="Times New Roman"/>
                <w:bCs/>
                <w:color w:val="000000"/>
                <w:sz w:val="20"/>
                <w:szCs w:val="20"/>
                <w:lang w:eastAsia="ru-RU"/>
              </w:rPr>
            </w:pPr>
            <w:r w:rsidRPr="007877E1">
              <w:rPr>
                <w:rFonts w:eastAsia="Times New Roman"/>
                <w:bCs/>
                <w:color w:val="000000"/>
                <w:sz w:val="20"/>
                <w:szCs w:val="20"/>
                <w:lang w:eastAsia="ru-RU"/>
              </w:rPr>
              <w:t>В</w:t>
            </w:r>
            <w:r w:rsidR="00566BE7" w:rsidRPr="007877E1">
              <w:rPr>
                <w:rFonts w:eastAsia="Times New Roman"/>
                <w:bCs/>
                <w:color w:val="000000"/>
                <w:sz w:val="20"/>
                <w:szCs w:val="20"/>
                <w:lang w:eastAsia="ru-RU"/>
              </w:rPr>
              <w:t>ысоковольтны</w:t>
            </w:r>
            <w:r w:rsidRPr="007877E1">
              <w:rPr>
                <w:rFonts w:eastAsia="Times New Roman"/>
                <w:bCs/>
                <w:color w:val="000000"/>
                <w:sz w:val="20"/>
                <w:szCs w:val="20"/>
                <w:lang w:eastAsia="ru-RU"/>
              </w:rPr>
              <w:t>е</w:t>
            </w:r>
            <w:r w:rsidR="00566BE7" w:rsidRPr="007877E1">
              <w:rPr>
                <w:rFonts w:eastAsia="Times New Roman"/>
                <w:bCs/>
                <w:color w:val="000000"/>
                <w:sz w:val="20"/>
                <w:szCs w:val="20"/>
                <w:lang w:eastAsia="ru-RU"/>
              </w:rPr>
              <w:t xml:space="preserve"> центр</w:t>
            </w:r>
            <w:r w:rsidRPr="007877E1">
              <w:rPr>
                <w:rFonts w:eastAsia="Times New Roman"/>
                <w:bCs/>
                <w:color w:val="000000"/>
                <w:sz w:val="20"/>
                <w:szCs w:val="20"/>
                <w:lang w:eastAsia="ru-RU"/>
              </w:rPr>
              <w:t>ы</w:t>
            </w:r>
            <w:r w:rsidR="00566BE7" w:rsidRPr="007877E1">
              <w:rPr>
                <w:rFonts w:eastAsia="Times New Roman"/>
                <w:bCs/>
                <w:color w:val="000000"/>
                <w:sz w:val="20"/>
                <w:szCs w:val="20"/>
                <w:lang w:eastAsia="ru-RU"/>
              </w:rPr>
              <w:t xml:space="preserve"> питания, шт. (всего), </w:t>
            </w:r>
          </w:p>
          <w:p w:rsidR="00566BE7" w:rsidRPr="007877E1" w:rsidRDefault="00566BE7" w:rsidP="00196533">
            <w:pPr>
              <w:ind w:firstLine="0"/>
              <w:jc w:val="left"/>
              <w:rPr>
                <w:rFonts w:eastAsia="Times New Roman"/>
                <w:bCs/>
                <w:color w:val="000000"/>
                <w:sz w:val="20"/>
                <w:szCs w:val="20"/>
                <w:lang w:eastAsia="ru-RU"/>
              </w:rPr>
            </w:pPr>
            <w:r w:rsidRPr="007877E1">
              <w:rPr>
                <w:rFonts w:eastAsia="Times New Roman"/>
                <w:bCs/>
                <w:color w:val="000000"/>
                <w:sz w:val="20"/>
                <w:szCs w:val="20"/>
                <w:lang w:eastAsia="ru-RU"/>
              </w:rPr>
              <w:t>в т.ч. по классам напряжения:</w:t>
            </w:r>
          </w:p>
        </w:tc>
        <w:tc>
          <w:tcPr>
            <w:tcW w:w="850"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111</w:t>
            </w:r>
          </w:p>
        </w:tc>
        <w:tc>
          <w:tcPr>
            <w:tcW w:w="851"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110</w:t>
            </w:r>
          </w:p>
        </w:tc>
        <w:tc>
          <w:tcPr>
            <w:tcW w:w="992"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110</w:t>
            </w:r>
          </w:p>
        </w:tc>
        <w:tc>
          <w:tcPr>
            <w:tcW w:w="1134"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0,00 %</w:t>
            </w:r>
          </w:p>
        </w:tc>
        <w:tc>
          <w:tcPr>
            <w:tcW w:w="992"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496</w:t>
            </w:r>
          </w:p>
        </w:tc>
        <w:tc>
          <w:tcPr>
            <w:tcW w:w="992"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498</w:t>
            </w:r>
          </w:p>
        </w:tc>
        <w:tc>
          <w:tcPr>
            <w:tcW w:w="851"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498</w:t>
            </w:r>
          </w:p>
        </w:tc>
        <w:tc>
          <w:tcPr>
            <w:tcW w:w="1081"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0,00 %</w:t>
            </w:r>
          </w:p>
        </w:tc>
      </w:tr>
      <w:tr w:rsidR="00566BE7" w:rsidRPr="007877E1" w:rsidTr="007877E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66BE7" w:rsidRPr="007877E1" w:rsidRDefault="00566BE7" w:rsidP="007076A7">
            <w:pPr>
              <w:pStyle w:val="a5"/>
              <w:numPr>
                <w:ilvl w:val="1"/>
                <w:numId w:val="127"/>
              </w:numPr>
              <w:tabs>
                <w:tab w:val="left" w:pos="262"/>
              </w:tabs>
              <w:jc w:val="left"/>
              <w:rPr>
                <w:rFonts w:eastAsia="Times New Roman"/>
                <w:color w:val="000000"/>
                <w:sz w:val="20"/>
                <w:szCs w:val="20"/>
                <w:lang w:eastAsia="ru-RU"/>
              </w:rPr>
            </w:pPr>
          </w:p>
        </w:tc>
        <w:tc>
          <w:tcPr>
            <w:tcW w:w="6663"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Chars="200" w:firstLine="400"/>
              <w:jc w:val="left"/>
              <w:rPr>
                <w:rFonts w:eastAsia="Times New Roman"/>
                <w:color w:val="000000"/>
                <w:sz w:val="20"/>
                <w:szCs w:val="20"/>
                <w:lang w:eastAsia="ru-RU"/>
              </w:rPr>
            </w:pPr>
            <w:r w:rsidRPr="007877E1">
              <w:rPr>
                <w:rFonts w:eastAsia="Times New Roman"/>
                <w:color w:val="000000"/>
                <w:sz w:val="20"/>
                <w:szCs w:val="20"/>
                <w:lang w:eastAsia="ru-RU"/>
              </w:rPr>
              <w:t>220 кВ</w:t>
            </w:r>
          </w:p>
        </w:tc>
        <w:tc>
          <w:tcPr>
            <w:tcW w:w="850"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28</w:t>
            </w:r>
          </w:p>
        </w:tc>
        <w:tc>
          <w:tcPr>
            <w:tcW w:w="851"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29</w:t>
            </w:r>
          </w:p>
        </w:tc>
        <w:tc>
          <w:tcPr>
            <w:tcW w:w="992"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30</w:t>
            </w:r>
          </w:p>
        </w:tc>
        <w:tc>
          <w:tcPr>
            <w:tcW w:w="1134"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3,45 %</w:t>
            </w:r>
          </w:p>
        </w:tc>
        <w:tc>
          <w:tcPr>
            <w:tcW w:w="992"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15</w:t>
            </w:r>
          </w:p>
        </w:tc>
        <w:tc>
          <w:tcPr>
            <w:tcW w:w="992"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16</w:t>
            </w:r>
          </w:p>
        </w:tc>
        <w:tc>
          <w:tcPr>
            <w:tcW w:w="851"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17</w:t>
            </w:r>
          </w:p>
        </w:tc>
        <w:tc>
          <w:tcPr>
            <w:tcW w:w="1081"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6,25 %</w:t>
            </w:r>
          </w:p>
        </w:tc>
      </w:tr>
      <w:tr w:rsidR="00566BE7" w:rsidRPr="007877E1" w:rsidTr="007877E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66BE7" w:rsidRPr="007877E1" w:rsidRDefault="00566BE7" w:rsidP="007076A7">
            <w:pPr>
              <w:pStyle w:val="a5"/>
              <w:numPr>
                <w:ilvl w:val="1"/>
                <w:numId w:val="127"/>
              </w:numPr>
              <w:tabs>
                <w:tab w:val="left" w:pos="262"/>
              </w:tabs>
              <w:jc w:val="left"/>
              <w:rPr>
                <w:rFonts w:eastAsia="Times New Roman"/>
                <w:color w:val="000000"/>
                <w:sz w:val="20"/>
                <w:szCs w:val="20"/>
                <w:lang w:eastAsia="ru-RU"/>
              </w:rPr>
            </w:pPr>
          </w:p>
        </w:tc>
        <w:tc>
          <w:tcPr>
            <w:tcW w:w="6663"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Chars="200" w:firstLine="400"/>
              <w:jc w:val="left"/>
              <w:rPr>
                <w:rFonts w:eastAsia="Times New Roman"/>
                <w:color w:val="000000"/>
                <w:sz w:val="20"/>
                <w:szCs w:val="20"/>
                <w:lang w:eastAsia="ru-RU"/>
              </w:rPr>
            </w:pPr>
            <w:r w:rsidRPr="007877E1">
              <w:rPr>
                <w:rFonts w:eastAsia="Times New Roman"/>
                <w:color w:val="000000"/>
                <w:sz w:val="20"/>
                <w:szCs w:val="20"/>
                <w:lang w:eastAsia="ru-RU"/>
              </w:rPr>
              <w:t>110 кВ</w:t>
            </w:r>
          </w:p>
        </w:tc>
        <w:tc>
          <w:tcPr>
            <w:tcW w:w="850"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81</w:t>
            </w:r>
          </w:p>
        </w:tc>
        <w:tc>
          <w:tcPr>
            <w:tcW w:w="851"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80</w:t>
            </w:r>
          </w:p>
        </w:tc>
        <w:tc>
          <w:tcPr>
            <w:tcW w:w="992"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79</w:t>
            </w:r>
          </w:p>
        </w:tc>
        <w:tc>
          <w:tcPr>
            <w:tcW w:w="1134"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-1,25 %</w:t>
            </w:r>
          </w:p>
        </w:tc>
        <w:tc>
          <w:tcPr>
            <w:tcW w:w="992"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273</w:t>
            </w:r>
          </w:p>
        </w:tc>
        <w:tc>
          <w:tcPr>
            <w:tcW w:w="992"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274</w:t>
            </w:r>
          </w:p>
        </w:tc>
        <w:tc>
          <w:tcPr>
            <w:tcW w:w="851"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277</w:t>
            </w:r>
          </w:p>
        </w:tc>
        <w:tc>
          <w:tcPr>
            <w:tcW w:w="1081"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1,09 %</w:t>
            </w:r>
          </w:p>
        </w:tc>
      </w:tr>
      <w:tr w:rsidR="00566BE7" w:rsidRPr="007877E1" w:rsidTr="007877E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66BE7" w:rsidRPr="007877E1" w:rsidRDefault="00566BE7" w:rsidP="007076A7">
            <w:pPr>
              <w:pStyle w:val="a5"/>
              <w:numPr>
                <w:ilvl w:val="1"/>
                <w:numId w:val="127"/>
              </w:numPr>
              <w:tabs>
                <w:tab w:val="left" w:pos="262"/>
              </w:tabs>
              <w:jc w:val="left"/>
              <w:rPr>
                <w:rFonts w:eastAsia="Times New Roman"/>
                <w:color w:val="000000"/>
                <w:sz w:val="20"/>
                <w:szCs w:val="20"/>
                <w:lang w:eastAsia="ru-RU"/>
              </w:rPr>
            </w:pPr>
          </w:p>
        </w:tc>
        <w:tc>
          <w:tcPr>
            <w:tcW w:w="6663"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Chars="200" w:firstLine="400"/>
              <w:jc w:val="left"/>
              <w:rPr>
                <w:rFonts w:eastAsia="Times New Roman"/>
                <w:color w:val="000000"/>
                <w:sz w:val="20"/>
                <w:szCs w:val="20"/>
                <w:lang w:eastAsia="ru-RU"/>
              </w:rPr>
            </w:pPr>
            <w:r w:rsidRPr="007877E1">
              <w:rPr>
                <w:rFonts w:eastAsia="Times New Roman"/>
                <w:color w:val="000000"/>
                <w:sz w:val="20"/>
                <w:szCs w:val="20"/>
                <w:lang w:eastAsia="ru-RU"/>
              </w:rPr>
              <w:t>35 кВ</w:t>
            </w:r>
          </w:p>
        </w:tc>
        <w:tc>
          <w:tcPr>
            <w:tcW w:w="850"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2</w:t>
            </w:r>
          </w:p>
        </w:tc>
        <w:tc>
          <w:tcPr>
            <w:tcW w:w="851"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0,00 %</w:t>
            </w:r>
          </w:p>
        </w:tc>
        <w:tc>
          <w:tcPr>
            <w:tcW w:w="992"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208</w:t>
            </w:r>
          </w:p>
        </w:tc>
        <w:tc>
          <w:tcPr>
            <w:tcW w:w="992"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208</w:t>
            </w:r>
          </w:p>
        </w:tc>
        <w:tc>
          <w:tcPr>
            <w:tcW w:w="851"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204</w:t>
            </w:r>
          </w:p>
        </w:tc>
        <w:tc>
          <w:tcPr>
            <w:tcW w:w="1081"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-1,92 %</w:t>
            </w:r>
          </w:p>
        </w:tc>
      </w:tr>
      <w:tr w:rsidR="00566BE7" w:rsidRPr="007877E1" w:rsidTr="007877E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66BE7" w:rsidRPr="007877E1" w:rsidRDefault="00566BE7" w:rsidP="007076A7">
            <w:pPr>
              <w:numPr>
                <w:ilvl w:val="0"/>
                <w:numId w:val="127"/>
              </w:numPr>
              <w:tabs>
                <w:tab w:val="left" w:pos="262"/>
              </w:tabs>
              <w:ind w:left="47" w:firstLine="0"/>
              <w:jc w:val="left"/>
              <w:rPr>
                <w:rFonts w:eastAsia="Times New Roman"/>
                <w:color w:val="000000"/>
                <w:sz w:val="20"/>
                <w:szCs w:val="20"/>
                <w:lang w:eastAsia="ru-RU"/>
              </w:rPr>
            </w:pPr>
          </w:p>
        </w:tc>
        <w:tc>
          <w:tcPr>
            <w:tcW w:w="6663"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left"/>
              <w:rPr>
                <w:rFonts w:eastAsia="Times New Roman"/>
                <w:bCs/>
                <w:color w:val="000000"/>
                <w:sz w:val="20"/>
                <w:szCs w:val="20"/>
                <w:lang w:eastAsia="ru-RU"/>
              </w:rPr>
            </w:pPr>
            <w:r w:rsidRPr="007877E1">
              <w:rPr>
                <w:rFonts w:eastAsia="Times New Roman"/>
                <w:bCs/>
                <w:color w:val="000000"/>
                <w:sz w:val="20"/>
                <w:szCs w:val="20"/>
                <w:lang w:eastAsia="ru-RU"/>
              </w:rPr>
              <w:t>Установленная мощность высоковольтных центров питания, МВА</w:t>
            </w:r>
          </w:p>
        </w:tc>
        <w:tc>
          <w:tcPr>
            <w:tcW w:w="850"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21 099</w:t>
            </w:r>
          </w:p>
        </w:tc>
        <w:tc>
          <w:tcPr>
            <w:tcW w:w="851"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21 684</w:t>
            </w:r>
          </w:p>
        </w:tc>
        <w:tc>
          <w:tcPr>
            <w:tcW w:w="992" w:type="dxa"/>
            <w:tcBorders>
              <w:top w:val="nil"/>
              <w:left w:val="nil"/>
              <w:bottom w:val="single" w:sz="4" w:space="0" w:color="auto"/>
              <w:right w:val="single" w:sz="4" w:space="0" w:color="auto"/>
            </w:tcBorders>
            <w:shd w:val="clear" w:color="auto" w:fill="auto"/>
            <w:vAlign w:val="center"/>
            <w:hideMark/>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22 153</w:t>
            </w:r>
          </w:p>
        </w:tc>
        <w:tc>
          <w:tcPr>
            <w:tcW w:w="1134"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2,16 %</w:t>
            </w:r>
          </w:p>
        </w:tc>
        <w:tc>
          <w:tcPr>
            <w:tcW w:w="992"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23 353</w:t>
            </w:r>
          </w:p>
        </w:tc>
        <w:tc>
          <w:tcPr>
            <w:tcW w:w="992"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24 389</w:t>
            </w:r>
          </w:p>
        </w:tc>
        <w:tc>
          <w:tcPr>
            <w:tcW w:w="851"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rFonts w:eastAsia="Times New Roman"/>
                <w:bCs/>
                <w:sz w:val="20"/>
                <w:szCs w:val="20"/>
                <w:lang w:eastAsia="ru-RU"/>
              </w:rPr>
            </w:pPr>
            <w:r w:rsidRPr="007877E1">
              <w:rPr>
                <w:rFonts w:eastAsia="Times New Roman"/>
                <w:bCs/>
                <w:sz w:val="20"/>
                <w:szCs w:val="20"/>
                <w:lang w:eastAsia="ru-RU"/>
              </w:rPr>
              <w:t>25 138</w:t>
            </w:r>
          </w:p>
        </w:tc>
        <w:tc>
          <w:tcPr>
            <w:tcW w:w="1081" w:type="dxa"/>
            <w:tcBorders>
              <w:top w:val="nil"/>
              <w:left w:val="nil"/>
              <w:bottom w:val="single" w:sz="4" w:space="0" w:color="auto"/>
              <w:right w:val="single" w:sz="4" w:space="0" w:color="auto"/>
            </w:tcBorders>
            <w:shd w:val="clear" w:color="auto" w:fill="auto"/>
            <w:vAlign w:val="center"/>
          </w:tcPr>
          <w:p w:rsidR="00566BE7" w:rsidRPr="007877E1" w:rsidRDefault="00566BE7" w:rsidP="00196533">
            <w:pPr>
              <w:ind w:firstLine="0"/>
              <w:jc w:val="right"/>
              <w:rPr>
                <w:color w:val="000000"/>
                <w:sz w:val="20"/>
                <w:szCs w:val="20"/>
              </w:rPr>
            </w:pPr>
            <w:r w:rsidRPr="007877E1">
              <w:rPr>
                <w:color w:val="000000"/>
                <w:sz w:val="20"/>
                <w:szCs w:val="20"/>
              </w:rPr>
              <w:t>3,07 %</w:t>
            </w:r>
          </w:p>
        </w:tc>
      </w:tr>
      <w:tr w:rsidR="00A95930" w:rsidRPr="007877E1" w:rsidTr="00A95930">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95930" w:rsidRPr="007877E1" w:rsidRDefault="00A95930" w:rsidP="007076A7">
            <w:pPr>
              <w:numPr>
                <w:ilvl w:val="0"/>
                <w:numId w:val="127"/>
              </w:numPr>
              <w:tabs>
                <w:tab w:val="left" w:pos="262"/>
              </w:tabs>
              <w:ind w:left="47" w:firstLine="0"/>
              <w:jc w:val="left"/>
              <w:rPr>
                <w:rFonts w:eastAsia="Times New Roman"/>
                <w:color w:val="000000"/>
                <w:sz w:val="20"/>
                <w:szCs w:val="20"/>
                <w:lang w:eastAsia="ru-RU"/>
              </w:rPr>
            </w:pPr>
          </w:p>
        </w:tc>
        <w:tc>
          <w:tcPr>
            <w:tcW w:w="6663" w:type="dxa"/>
            <w:tcBorders>
              <w:top w:val="nil"/>
              <w:left w:val="nil"/>
              <w:bottom w:val="single" w:sz="4" w:space="0" w:color="auto"/>
              <w:right w:val="single" w:sz="4" w:space="0" w:color="auto"/>
            </w:tcBorders>
            <w:shd w:val="clear" w:color="auto" w:fill="auto"/>
            <w:vAlign w:val="center"/>
            <w:hideMark/>
          </w:tcPr>
          <w:p w:rsidR="00A95930" w:rsidRPr="007877E1" w:rsidRDefault="00A95930" w:rsidP="00196533">
            <w:pPr>
              <w:ind w:firstLine="0"/>
              <w:jc w:val="left"/>
              <w:rPr>
                <w:rFonts w:eastAsia="Times New Roman"/>
                <w:bCs/>
                <w:color w:val="000000"/>
                <w:sz w:val="20"/>
                <w:szCs w:val="20"/>
                <w:lang w:eastAsia="ru-RU"/>
              </w:rPr>
            </w:pPr>
            <w:r w:rsidRPr="007877E1">
              <w:rPr>
                <w:rFonts w:eastAsia="Times New Roman"/>
                <w:bCs/>
                <w:color w:val="000000"/>
                <w:sz w:val="20"/>
                <w:szCs w:val="20"/>
                <w:lang w:eastAsia="ru-RU"/>
              </w:rPr>
              <w:t xml:space="preserve">Подстанции распределительных сетей, шт. (всего), </w:t>
            </w:r>
          </w:p>
          <w:p w:rsidR="00A95930" w:rsidRPr="007877E1" w:rsidRDefault="00A95930" w:rsidP="00196533">
            <w:pPr>
              <w:ind w:firstLine="0"/>
              <w:jc w:val="left"/>
              <w:rPr>
                <w:rFonts w:eastAsia="Times New Roman"/>
                <w:bCs/>
                <w:color w:val="000000"/>
                <w:sz w:val="20"/>
                <w:szCs w:val="20"/>
                <w:lang w:eastAsia="ru-RU"/>
              </w:rPr>
            </w:pPr>
            <w:r w:rsidRPr="007877E1">
              <w:rPr>
                <w:rFonts w:eastAsia="Times New Roman"/>
                <w:bCs/>
                <w:color w:val="000000"/>
                <w:sz w:val="20"/>
                <w:szCs w:val="20"/>
                <w:lang w:eastAsia="ru-RU"/>
              </w:rPr>
              <w:t>в т.ч. по классам напряжения:</w:t>
            </w:r>
          </w:p>
        </w:tc>
        <w:tc>
          <w:tcPr>
            <w:tcW w:w="850" w:type="dxa"/>
            <w:tcBorders>
              <w:top w:val="nil"/>
              <w:left w:val="nil"/>
              <w:bottom w:val="single" w:sz="4" w:space="0" w:color="auto"/>
              <w:right w:val="single" w:sz="4" w:space="0" w:color="auto"/>
            </w:tcBorders>
            <w:shd w:val="clear" w:color="auto" w:fill="auto"/>
            <w:vAlign w:val="center"/>
            <w:hideMark/>
          </w:tcPr>
          <w:p w:rsidR="00A95930" w:rsidRPr="007877E1" w:rsidRDefault="00A95930" w:rsidP="00180B7F">
            <w:pPr>
              <w:ind w:firstLine="0"/>
              <w:jc w:val="right"/>
              <w:rPr>
                <w:rFonts w:eastAsia="Times New Roman"/>
                <w:bCs/>
                <w:sz w:val="20"/>
                <w:szCs w:val="20"/>
                <w:lang w:eastAsia="ru-RU"/>
              </w:rPr>
            </w:pPr>
            <w:r>
              <w:rPr>
                <w:rFonts w:eastAsia="Times New Roman"/>
                <w:bCs/>
                <w:sz w:val="20"/>
                <w:szCs w:val="20"/>
                <w:lang w:eastAsia="ru-RU"/>
              </w:rPr>
              <w:t>13 715</w:t>
            </w:r>
          </w:p>
        </w:tc>
        <w:tc>
          <w:tcPr>
            <w:tcW w:w="851" w:type="dxa"/>
            <w:tcBorders>
              <w:top w:val="nil"/>
              <w:left w:val="nil"/>
              <w:bottom w:val="single" w:sz="4" w:space="0" w:color="auto"/>
              <w:right w:val="single" w:sz="4" w:space="0" w:color="auto"/>
            </w:tcBorders>
            <w:shd w:val="clear" w:color="auto" w:fill="auto"/>
            <w:vAlign w:val="center"/>
            <w:hideMark/>
          </w:tcPr>
          <w:p w:rsidR="00A95930" w:rsidRPr="007877E1" w:rsidRDefault="00A95930" w:rsidP="00180B7F">
            <w:pPr>
              <w:ind w:firstLine="0"/>
              <w:jc w:val="right"/>
              <w:rPr>
                <w:rFonts w:eastAsia="Times New Roman"/>
                <w:bCs/>
                <w:sz w:val="20"/>
                <w:szCs w:val="20"/>
                <w:lang w:eastAsia="ru-RU"/>
              </w:rPr>
            </w:pPr>
            <w:r>
              <w:rPr>
                <w:rFonts w:eastAsia="Times New Roman"/>
                <w:bCs/>
                <w:sz w:val="20"/>
                <w:szCs w:val="20"/>
                <w:lang w:eastAsia="ru-RU"/>
              </w:rPr>
              <w:t>13 820</w:t>
            </w:r>
          </w:p>
        </w:tc>
        <w:tc>
          <w:tcPr>
            <w:tcW w:w="992" w:type="dxa"/>
            <w:tcBorders>
              <w:top w:val="nil"/>
              <w:left w:val="nil"/>
              <w:bottom w:val="single" w:sz="4" w:space="0" w:color="auto"/>
              <w:right w:val="single" w:sz="4" w:space="0" w:color="auto"/>
            </w:tcBorders>
            <w:shd w:val="clear" w:color="auto" w:fill="auto"/>
            <w:vAlign w:val="center"/>
            <w:hideMark/>
          </w:tcPr>
          <w:p w:rsidR="00A95930" w:rsidRPr="007877E1" w:rsidRDefault="00A95930" w:rsidP="00180B7F">
            <w:pPr>
              <w:ind w:firstLine="0"/>
              <w:jc w:val="right"/>
              <w:rPr>
                <w:rFonts w:eastAsia="Times New Roman"/>
                <w:bCs/>
                <w:sz w:val="20"/>
                <w:szCs w:val="20"/>
                <w:lang w:eastAsia="ru-RU"/>
              </w:rPr>
            </w:pPr>
            <w:r>
              <w:rPr>
                <w:rFonts w:eastAsia="Times New Roman"/>
                <w:bCs/>
                <w:sz w:val="20"/>
                <w:szCs w:val="20"/>
                <w:lang w:eastAsia="ru-RU"/>
              </w:rPr>
              <w:t>13 926</w:t>
            </w:r>
          </w:p>
        </w:tc>
        <w:tc>
          <w:tcPr>
            <w:tcW w:w="1134" w:type="dxa"/>
            <w:tcBorders>
              <w:top w:val="nil"/>
              <w:left w:val="nil"/>
              <w:bottom w:val="single" w:sz="4" w:space="0" w:color="auto"/>
              <w:right w:val="single" w:sz="4" w:space="0" w:color="auto"/>
            </w:tcBorders>
            <w:shd w:val="clear" w:color="auto" w:fill="auto"/>
            <w:vAlign w:val="center"/>
          </w:tcPr>
          <w:p w:rsidR="00A95930" w:rsidRPr="00A95930" w:rsidRDefault="00A95930" w:rsidP="00A95930">
            <w:pPr>
              <w:ind w:firstLine="0"/>
              <w:jc w:val="right"/>
              <w:rPr>
                <w:color w:val="000000"/>
                <w:sz w:val="20"/>
                <w:szCs w:val="20"/>
              </w:rPr>
            </w:pPr>
            <w:r w:rsidRPr="00A95930">
              <w:rPr>
                <w:color w:val="000000"/>
                <w:sz w:val="20"/>
                <w:szCs w:val="20"/>
              </w:rPr>
              <w:t>0,77</w:t>
            </w:r>
            <w:r>
              <w:rPr>
                <w:color w:val="000000"/>
                <w:sz w:val="20"/>
                <w:szCs w:val="20"/>
              </w:rPr>
              <w:t xml:space="preserve"> </w:t>
            </w:r>
            <w:r w:rsidRPr="00A95930">
              <w:rPr>
                <w:color w:val="000000"/>
                <w:sz w:val="20"/>
                <w:szCs w:val="20"/>
              </w:rPr>
              <w:t>%</w:t>
            </w:r>
          </w:p>
        </w:tc>
        <w:tc>
          <w:tcPr>
            <w:tcW w:w="992" w:type="dxa"/>
            <w:tcBorders>
              <w:top w:val="nil"/>
              <w:left w:val="nil"/>
              <w:bottom w:val="single" w:sz="4" w:space="0" w:color="auto"/>
              <w:right w:val="single" w:sz="4" w:space="0" w:color="auto"/>
            </w:tcBorders>
            <w:shd w:val="clear" w:color="auto" w:fill="auto"/>
            <w:vAlign w:val="center"/>
          </w:tcPr>
          <w:p w:rsidR="00A95930" w:rsidRPr="007877E1" w:rsidRDefault="00A95930" w:rsidP="00180B7F">
            <w:pPr>
              <w:ind w:firstLine="0"/>
              <w:jc w:val="right"/>
              <w:rPr>
                <w:rFonts w:eastAsia="Times New Roman"/>
                <w:bCs/>
                <w:sz w:val="20"/>
                <w:szCs w:val="20"/>
                <w:lang w:eastAsia="ru-RU"/>
              </w:rPr>
            </w:pPr>
            <w:r w:rsidRPr="007877E1">
              <w:rPr>
                <w:rFonts w:eastAsia="Times New Roman"/>
                <w:bCs/>
                <w:sz w:val="20"/>
                <w:szCs w:val="20"/>
                <w:lang w:eastAsia="ru-RU"/>
              </w:rPr>
              <w:t>14 367</w:t>
            </w:r>
          </w:p>
        </w:tc>
        <w:tc>
          <w:tcPr>
            <w:tcW w:w="992" w:type="dxa"/>
            <w:tcBorders>
              <w:top w:val="nil"/>
              <w:left w:val="nil"/>
              <w:bottom w:val="single" w:sz="4" w:space="0" w:color="auto"/>
              <w:right w:val="single" w:sz="4" w:space="0" w:color="auto"/>
            </w:tcBorders>
            <w:shd w:val="clear" w:color="auto" w:fill="auto"/>
            <w:vAlign w:val="center"/>
          </w:tcPr>
          <w:p w:rsidR="00A95930" w:rsidRPr="007877E1" w:rsidRDefault="00A95930" w:rsidP="00180B7F">
            <w:pPr>
              <w:ind w:firstLine="0"/>
              <w:jc w:val="right"/>
              <w:rPr>
                <w:rFonts w:eastAsia="Times New Roman"/>
                <w:bCs/>
                <w:sz w:val="20"/>
                <w:szCs w:val="20"/>
                <w:lang w:eastAsia="ru-RU"/>
              </w:rPr>
            </w:pPr>
            <w:r>
              <w:rPr>
                <w:rFonts w:eastAsia="Times New Roman"/>
                <w:bCs/>
                <w:sz w:val="20"/>
                <w:szCs w:val="20"/>
                <w:lang w:eastAsia="ru-RU"/>
              </w:rPr>
              <w:t>14 646</w:t>
            </w:r>
          </w:p>
        </w:tc>
        <w:tc>
          <w:tcPr>
            <w:tcW w:w="851" w:type="dxa"/>
            <w:tcBorders>
              <w:top w:val="nil"/>
              <w:left w:val="nil"/>
              <w:bottom w:val="single" w:sz="4" w:space="0" w:color="auto"/>
              <w:right w:val="single" w:sz="4" w:space="0" w:color="auto"/>
            </w:tcBorders>
            <w:shd w:val="clear" w:color="auto" w:fill="auto"/>
            <w:vAlign w:val="center"/>
          </w:tcPr>
          <w:p w:rsidR="00A95930" w:rsidRPr="007877E1" w:rsidRDefault="00A95930" w:rsidP="00180B7F">
            <w:pPr>
              <w:ind w:firstLine="0"/>
              <w:jc w:val="right"/>
              <w:rPr>
                <w:rFonts w:eastAsia="Times New Roman"/>
                <w:bCs/>
                <w:sz w:val="20"/>
                <w:szCs w:val="20"/>
                <w:lang w:eastAsia="ru-RU"/>
              </w:rPr>
            </w:pPr>
            <w:r>
              <w:rPr>
                <w:rFonts w:eastAsia="Times New Roman"/>
                <w:bCs/>
                <w:sz w:val="20"/>
                <w:szCs w:val="20"/>
                <w:lang w:eastAsia="ru-RU"/>
              </w:rPr>
              <w:t>15 738</w:t>
            </w:r>
          </w:p>
        </w:tc>
        <w:tc>
          <w:tcPr>
            <w:tcW w:w="1081" w:type="dxa"/>
            <w:tcBorders>
              <w:top w:val="nil"/>
              <w:left w:val="nil"/>
              <w:bottom w:val="single" w:sz="4" w:space="0" w:color="auto"/>
              <w:right w:val="single" w:sz="4" w:space="0" w:color="auto"/>
            </w:tcBorders>
            <w:shd w:val="clear" w:color="auto" w:fill="auto"/>
            <w:vAlign w:val="center"/>
          </w:tcPr>
          <w:p w:rsidR="00A95930" w:rsidRPr="00A95930" w:rsidRDefault="00A95930" w:rsidP="00A95930">
            <w:pPr>
              <w:ind w:firstLine="0"/>
              <w:jc w:val="right"/>
              <w:rPr>
                <w:color w:val="000000"/>
                <w:sz w:val="20"/>
                <w:szCs w:val="20"/>
              </w:rPr>
            </w:pPr>
            <w:r w:rsidRPr="00A95930">
              <w:rPr>
                <w:color w:val="000000"/>
                <w:sz w:val="20"/>
                <w:szCs w:val="20"/>
              </w:rPr>
              <w:t>7,46</w:t>
            </w:r>
            <w:r>
              <w:rPr>
                <w:color w:val="000000"/>
                <w:sz w:val="20"/>
                <w:szCs w:val="20"/>
              </w:rPr>
              <w:t xml:space="preserve"> </w:t>
            </w:r>
            <w:r w:rsidRPr="00A95930">
              <w:rPr>
                <w:color w:val="000000"/>
                <w:sz w:val="20"/>
                <w:szCs w:val="20"/>
              </w:rPr>
              <w:t>%</w:t>
            </w:r>
          </w:p>
        </w:tc>
      </w:tr>
      <w:tr w:rsidR="00A95930" w:rsidRPr="007877E1" w:rsidTr="00A95930">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95930" w:rsidRPr="007877E1" w:rsidRDefault="00A95930" w:rsidP="007076A7">
            <w:pPr>
              <w:pStyle w:val="a5"/>
              <w:numPr>
                <w:ilvl w:val="1"/>
                <w:numId w:val="127"/>
              </w:numPr>
              <w:tabs>
                <w:tab w:val="left" w:pos="262"/>
              </w:tabs>
              <w:jc w:val="left"/>
              <w:rPr>
                <w:rFonts w:eastAsia="Times New Roman"/>
                <w:color w:val="000000"/>
                <w:sz w:val="20"/>
                <w:szCs w:val="20"/>
                <w:lang w:eastAsia="ru-RU"/>
              </w:rPr>
            </w:pPr>
          </w:p>
        </w:tc>
        <w:tc>
          <w:tcPr>
            <w:tcW w:w="6663" w:type="dxa"/>
            <w:tcBorders>
              <w:top w:val="nil"/>
              <w:left w:val="nil"/>
              <w:bottom w:val="single" w:sz="4" w:space="0" w:color="auto"/>
              <w:right w:val="single" w:sz="4" w:space="0" w:color="auto"/>
            </w:tcBorders>
            <w:shd w:val="clear" w:color="auto" w:fill="auto"/>
            <w:vAlign w:val="center"/>
            <w:hideMark/>
          </w:tcPr>
          <w:p w:rsidR="00A95930" w:rsidRPr="007877E1" w:rsidRDefault="00A95930" w:rsidP="00196533">
            <w:pPr>
              <w:ind w:firstLineChars="200" w:firstLine="400"/>
              <w:jc w:val="left"/>
              <w:rPr>
                <w:rFonts w:eastAsia="Times New Roman"/>
                <w:color w:val="000000"/>
                <w:sz w:val="20"/>
                <w:szCs w:val="20"/>
                <w:lang w:eastAsia="ru-RU"/>
              </w:rPr>
            </w:pPr>
            <w:r w:rsidRPr="007877E1">
              <w:rPr>
                <w:rFonts w:eastAsia="Times New Roman"/>
                <w:color w:val="000000"/>
                <w:sz w:val="20"/>
                <w:szCs w:val="20"/>
                <w:lang w:eastAsia="ru-RU"/>
              </w:rPr>
              <w:t>20 кВ</w:t>
            </w:r>
          </w:p>
        </w:tc>
        <w:tc>
          <w:tcPr>
            <w:tcW w:w="850" w:type="dxa"/>
            <w:tcBorders>
              <w:top w:val="nil"/>
              <w:left w:val="nil"/>
              <w:bottom w:val="single" w:sz="4" w:space="0" w:color="auto"/>
              <w:right w:val="single" w:sz="4" w:space="0" w:color="auto"/>
            </w:tcBorders>
            <w:shd w:val="clear" w:color="auto" w:fill="auto"/>
            <w:vAlign w:val="center"/>
            <w:hideMark/>
          </w:tcPr>
          <w:p w:rsidR="00A95930" w:rsidRPr="007877E1" w:rsidRDefault="00A95930" w:rsidP="00180B7F">
            <w:pPr>
              <w:ind w:firstLine="0"/>
              <w:jc w:val="right"/>
              <w:rPr>
                <w:rFonts w:eastAsia="Times New Roman"/>
                <w:bCs/>
                <w:sz w:val="20"/>
                <w:szCs w:val="20"/>
                <w:lang w:eastAsia="ru-RU"/>
              </w:rPr>
            </w:pPr>
            <w:r>
              <w:rPr>
                <w:rFonts w:eastAsia="Times New Roman"/>
                <w:bCs/>
                <w:sz w:val="20"/>
                <w:szCs w:val="20"/>
                <w:lang w:eastAsia="ru-RU"/>
              </w:rPr>
              <w:t>95</w:t>
            </w:r>
          </w:p>
        </w:tc>
        <w:tc>
          <w:tcPr>
            <w:tcW w:w="851" w:type="dxa"/>
            <w:tcBorders>
              <w:top w:val="nil"/>
              <w:left w:val="nil"/>
              <w:bottom w:val="single" w:sz="4" w:space="0" w:color="auto"/>
              <w:right w:val="single" w:sz="4" w:space="0" w:color="auto"/>
            </w:tcBorders>
            <w:shd w:val="clear" w:color="auto" w:fill="auto"/>
            <w:vAlign w:val="center"/>
            <w:hideMark/>
          </w:tcPr>
          <w:p w:rsidR="00A95930" w:rsidRPr="007877E1" w:rsidRDefault="00A95930" w:rsidP="00180B7F">
            <w:pPr>
              <w:ind w:firstLine="0"/>
              <w:jc w:val="right"/>
              <w:rPr>
                <w:rFonts w:eastAsia="Times New Roman"/>
                <w:bCs/>
                <w:sz w:val="20"/>
                <w:szCs w:val="20"/>
                <w:lang w:eastAsia="ru-RU"/>
              </w:rPr>
            </w:pPr>
            <w:r>
              <w:rPr>
                <w:rFonts w:eastAsia="Times New Roman"/>
                <w:bCs/>
                <w:sz w:val="20"/>
                <w:szCs w:val="20"/>
                <w:lang w:eastAsia="ru-RU"/>
              </w:rPr>
              <w:t>112</w:t>
            </w:r>
          </w:p>
        </w:tc>
        <w:tc>
          <w:tcPr>
            <w:tcW w:w="992" w:type="dxa"/>
            <w:tcBorders>
              <w:top w:val="nil"/>
              <w:left w:val="nil"/>
              <w:bottom w:val="single" w:sz="4" w:space="0" w:color="auto"/>
              <w:right w:val="single" w:sz="4" w:space="0" w:color="auto"/>
            </w:tcBorders>
            <w:shd w:val="clear" w:color="auto" w:fill="auto"/>
            <w:vAlign w:val="center"/>
            <w:hideMark/>
          </w:tcPr>
          <w:p w:rsidR="00A95930" w:rsidRPr="007877E1" w:rsidRDefault="00A95930" w:rsidP="00180B7F">
            <w:pPr>
              <w:ind w:firstLine="0"/>
              <w:jc w:val="right"/>
              <w:rPr>
                <w:rFonts w:eastAsia="Times New Roman"/>
                <w:bCs/>
                <w:sz w:val="20"/>
                <w:szCs w:val="20"/>
                <w:lang w:eastAsia="ru-RU"/>
              </w:rPr>
            </w:pPr>
            <w:r>
              <w:rPr>
                <w:rFonts w:eastAsia="Times New Roman"/>
                <w:bCs/>
                <w:sz w:val="20"/>
                <w:szCs w:val="20"/>
                <w:lang w:eastAsia="ru-RU"/>
              </w:rPr>
              <w:t>113</w:t>
            </w:r>
          </w:p>
        </w:tc>
        <w:tc>
          <w:tcPr>
            <w:tcW w:w="1134" w:type="dxa"/>
            <w:tcBorders>
              <w:top w:val="nil"/>
              <w:left w:val="nil"/>
              <w:bottom w:val="single" w:sz="4" w:space="0" w:color="auto"/>
              <w:right w:val="single" w:sz="4" w:space="0" w:color="auto"/>
            </w:tcBorders>
            <w:shd w:val="clear" w:color="auto" w:fill="auto"/>
            <w:vAlign w:val="center"/>
          </w:tcPr>
          <w:p w:rsidR="00A95930" w:rsidRPr="00A95930" w:rsidRDefault="00A95930" w:rsidP="00A95930">
            <w:pPr>
              <w:ind w:firstLine="0"/>
              <w:jc w:val="right"/>
              <w:rPr>
                <w:color w:val="000000"/>
                <w:sz w:val="20"/>
                <w:szCs w:val="20"/>
              </w:rPr>
            </w:pPr>
            <w:r w:rsidRPr="00A95930">
              <w:rPr>
                <w:color w:val="000000"/>
                <w:sz w:val="20"/>
                <w:szCs w:val="20"/>
              </w:rPr>
              <w:t>0,89</w:t>
            </w:r>
            <w:r>
              <w:rPr>
                <w:color w:val="000000"/>
                <w:sz w:val="20"/>
                <w:szCs w:val="20"/>
              </w:rPr>
              <w:t xml:space="preserve"> </w:t>
            </w:r>
            <w:r w:rsidRPr="00A95930">
              <w:rPr>
                <w:color w:val="000000"/>
                <w:sz w:val="20"/>
                <w:szCs w:val="20"/>
              </w:rPr>
              <w:t>%</w:t>
            </w:r>
          </w:p>
        </w:tc>
        <w:tc>
          <w:tcPr>
            <w:tcW w:w="992" w:type="dxa"/>
            <w:tcBorders>
              <w:top w:val="nil"/>
              <w:left w:val="nil"/>
              <w:bottom w:val="single" w:sz="4" w:space="0" w:color="auto"/>
              <w:right w:val="single" w:sz="4" w:space="0" w:color="auto"/>
            </w:tcBorders>
            <w:shd w:val="clear" w:color="auto" w:fill="auto"/>
            <w:vAlign w:val="center"/>
          </w:tcPr>
          <w:p w:rsidR="00A95930" w:rsidRPr="004761E0" w:rsidRDefault="00A95930" w:rsidP="00180B7F">
            <w:pPr>
              <w:ind w:firstLine="0"/>
              <w:jc w:val="right"/>
              <w:rPr>
                <w:sz w:val="20"/>
                <w:szCs w:val="20"/>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tcPr>
          <w:p w:rsidR="00A95930" w:rsidRPr="004761E0" w:rsidRDefault="00A95930" w:rsidP="00180B7F">
            <w:pPr>
              <w:ind w:firstLine="0"/>
              <w:jc w:val="right"/>
              <w:rPr>
                <w:sz w:val="20"/>
                <w:szCs w:val="20"/>
              </w:rPr>
            </w:pPr>
            <w:r>
              <w:rPr>
                <w:sz w:val="20"/>
                <w:szCs w:val="20"/>
              </w:rPr>
              <w:t>–</w:t>
            </w:r>
          </w:p>
        </w:tc>
        <w:tc>
          <w:tcPr>
            <w:tcW w:w="851" w:type="dxa"/>
            <w:tcBorders>
              <w:top w:val="nil"/>
              <w:left w:val="nil"/>
              <w:bottom w:val="single" w:sz="4" w:space="0" w:color="auto"/>
              <w:right w:val="single" w:sz="4" w:space="0" w:color="auto"/>
            </w:tcBorders>
            <w:shd w:val="clear" w:color="auto" w:fill="auto"/>
            <w:vAlign w:val="center"/>
          </w:tcPr>
          <w:p w:rsidR="00A95930" w:rsidRPr="004761E0" w:rsidRDefault="00A95930" w:rsidP="00180B7F">
            <w:pPr>
              <w:ind w:firstLine="0"/>
              <w:jc w:val="right"/>
              <w:rPr>
                <w:sz w:val="20"/>
                <w:szCs w:val="20"/>
              </w:rPr>
            </w:pPr>
            <w:r>
              <w:rPr>
                <w:sz w:val="20"/>
                <w:szCs w:val="20"/>
              </w:rPr>
              <w:t>–</w:t>
            </w:r>
          </w:p>
        </w:tc>
        <w:tc>
          <w:tcPr>
            <w:tcW w:w="1081" w:type="dxa"/>
            <w:tcBorders>
              <w:top w:val="nil"/>
              <w:left w:val="nil"/>
              <w:bottom w:val="single" w:sz="4" w:space="0" w:color="auto"/>
              <w:right w:val="single" w:sz="4" w:space="0" w:color="auto"/>
            </w:tcBorders>
            <w:shd w:val="clear" w:color="auto" w:fill="auto"/>
            <w:vAlign w:val="center"/>
          </w:tcPr>
          <w:p w:rsidR="00A95930" w:rsidRPr="00A95930" w:rsidRDefault="00A95930" w:rsidP="00A95930">
            <w:pPr>
              <w:ind w:firstLine="0"/>
              <w:jc w:val="right"/>
              <w:rPr>
                <w:color w:val="000000"/>
                <w:sz w:val="20"/>
                <w:szCs w:val="20"/>
              </w:rPr>
            </w:pPr>
            <w:r>
              <w:rPr>
                <w:sz w:val="20"/>
                <w:szCs w:val="20"/>
              </w:rPr>
              <w:t>–</w:t>
            </w:r>
          </w:p>
        </w:tc>
      </w:tr>
      <w:tr w:rsidR="00A95930" w:rsidRPr="007877E1" w:rsidTr="00A95930">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A95930" w:rsidRPr="007877E1" w:rsidRDefault="00A95930" w:rsidP="007076A7">
            <w:pPr>
              <w:pStyle w:val="a5"/>
              <w:numPr>
                <w:ilvl w:val="1"/>
                <w:numId w:val="127"/>
              </w:numPr>
              <w:tabs>
                <w:tab w:val="left" w:pos="262"/>
              </w:tabs>
              <w:jc w:val="left"/>
              <w:rPr>
                <w:rFonts w:eastAsia="Times New Roman"/>
                <w:color w:val="000000"/>
                <w:sz w:val="20"/>
                <w:szCs w:val="20"/>
                <w:lang w:eastAsia="ru-RU"/>
              </w:rPr>
            </w:pPr>
          </w:p>
        </w:tc>
        <w:tc>
          <w:tcPr>
            <w:tcW w:w="6663" w:type="dxa"/>
            <w:tcBorders>
              <w:top w:val="nil"/>
              <w:left w:val="nil"/>
              <w:bottom w:val="single" w:sz="4" w:space="0" w:color="auto"/>
              <w:right w:val="single" w:sz="4" w:space="0" w:color="auto"/>
            </w:tcBorders>
            <w:shd w:val="clear" w:color="auto" w:fill="auto"/>
            <w:vAlign w:val="center"/>
          </w:tcPr>
          <w:p w:rsidR="00A95930" w:rsidRPr="007877E1" w:rsidRDefault="00A95930" w:rsidP="00196533">
            <w:pPr>
              <w:ind w:firstLineChars="200" w:firstLine="400"/>
              <w:jc w:val="left"/>
              <w:rPr>
                <w:rFonts w:eastAsia="Times New Roman"/>
                <w:color w:val="000000"/>
                <w:sz w:val="20"/>
                <w:szCs w:val="20"/>
                <w:lang w:eastAsia="ru-RU"/>
              </w:rPr>
            </w:pPr>
            <w:r w:rsidRPr="007877E1">
              <w:rPr>
                <w:rFonts w:eastAsia="Times New Roman"/>
                <w:color w:val="000000"/>
                <w:sz w:val="20"/>
                <w:szCs w:val="20"/>
                <w:lang w:eastAsia="ru-RU"/>
              </w:rPr>
              <w:t>10 кВ</w:t>
            </w:r>
          </w:p>
        </w:tc>
        <w:tc>
          <w:tcPr>
            <w:tcW w:w="850" w:type="dxa"/>
            <w:tcBorders>
              <w:top w:val="nil"/>
              <w:left w:val="nil"/>
              <w:bottom w:val="single" w:sz="4" w:space="0" w:color="auto"/>
              <w:right w:val="single" w:sz="4" w:space="0" w:color="auto"/>
            </w:tcBorders>
            <w:shd w:val="clear" w:color="auto" w:fill="auto"/>
            <w:vAlign w:val="center"/>
          </w:tcPr>
          <w:p w:rsidR="00A95930" w:rsidRPr="007877E1" w:rsidRDefault="00A95930" w:rsidP="00180B7F">
            <w:pPr>
              <w:ind w:firstLine="0"/>
              <w:jc w:val="right"/>
              <w:rPr>
                <w:rFonts w:eastAsia="Times New Roman"/>
                <w:bCs/>
                <w:sz w:val="20"/>
                <w:szCs w:val="20"/>
                <w:lang w:eastAsia="ru-RU"/>
              </w:rPr>
            </w:pPr>
            <w:r>
              <w:rPr>
                <w:rFonts w:eastAsia="Times New Roman"/>
                <w:bCs/>
                <w:sz w:val="20"/>
                <w:szCs w:val="20"/>
                <w:lang w:eastAsia="ru-RU"/>
              </w:rPr>
              <w:t>11 834</w:t>
            </w:r>
          </w:p>
        </w:tc>
        <w:tc>
          <w:tcPr>
            <w:tcW w:w="851" w:type="dxa"/>
            <w:tcBorders>
              <w:top w:val="nil"/>
              <w:left w:val="nil"/>
              <w:bottom w:val="single" w:sz="4" w:space="0" w:color="auto"/>
              <w:right w:val="single" w:sz="4" w:space="0" w:color="auto"/>
            </w:tcBorders>
            <w:shd w:val="clear" w:color="auto" w:fill="auto"/>
            <w:vAlign w:val="center"/>
          </w:tcPr>
          <w:p w:rsidR="00A95930" w:rsidRPr="007877E1" w:rsidRDefault="00A95930" w:rsidP="00180B7F">
            <w:pPr>
              <w:ind w:firstLine="0"/>
              <w:jc w:val="right"/>
              <w:rPr>
                <w:rFonts w:eastAsia="Times New Roman"/>
                <w:bCs/>
                <w:sz w:val="20"/>
                <w:szCs w:val="20"/>
                <w:lang w:eastAsia="ru-RU"/>
              </w:rPr>
            </w:pPr>
            <w:r>
              <w:rPr>
                <w:rFonts w:eastAsia="Times New Roman"/>
                <w:bCs/>
                <w:sz w:val="20"/>
                <w:szCs w:val="20"/>
                <w:lang w:eastAsia="ru-RU"/>
              </w:rPr>
              <w:t>11 937</w:t>
            </w:r>
          </w:p>
        </w:tc>
        <w:tc>
          <w:tcPr>
            <w:tcW w:w="992" w:type="dxa"/>
            <w:tcBorders>
              <w:top w:val="nil"/>
              <w:left w:val="nil"/>
              <w:bottom w:val="single" w:sz="4" w:space="0" w:color="auto"/>
              <w:right w:val="single" w:sz="4" w:space="0" w:color="auto"/>
            </w:tcBorders>
            <w:shd w:val="clear" w:color="auto" w:fill="auto"/>
            <w:vAlign w:val="center"/>
          </w:tcPr>
          <w:p w:rsidR="00A95930" w:rsidRPr="007877E1" w:rsidRDefault="00A95930" w:rsidP="00180B7F">
            <w:pPr>
              <w:ind w:firstLine="0"/>
              <w:jc w:val="right"/>
              <w:rPr>
                <w:rFonts w:eastAsia="Times New Roman"/>
                <w:bCs/>
                <w:sz w:val="20"/>
                <w:szCs w:val="20"/>
                <w:lang w:eastAsia="ru-RU"/>
              </w:rPr>
            </w:pPr>
            <w:r>
              <w:rPr>
                <w:rFonts w:eastAsia="Times New Roman"/>
                <w:bCs/>
                <w:sz w:val="20"/>
                <w:szCs w:val="20"/>
                <w:lang w:eastAsia="ru-RU"/>
              </w:rPr>
              <w:t>12 070</w:t>
            </w:r>
          </w:p>
        </w:tc>
        <w:tc>
          <w:tcPr>
            <w:tcW w:w="1134" w:type="dxa"/>
            <w:tcBorders>
              <w:top w:val="nil"/>
              <w:left w:val="nil"/>
              <w:bottom w:val="single" w:sz="4" w:space="0" w:color="auto"/>
              <w:right w:val="single" w:sz="4" w:space="0" w:color="auto"/>
            </w:tcBorders>
            <w:shd w:val="clear" w:color="auto" w:fill="auto"/>
            <w:vAlign w:val="center"/>
          </w:tcPr>
          <w:p w:rsidR="00A95930" w:rsidRPr="00A95930" w:rsidRDefault="00A95930" w:rsidP="00A95930">
            <w:pPr>
              <w:ind w:firstLine="0"/>
              <w:jc w:val="right"/>
              <w:rPr>
                <w:color w:val="000000"/>
                <w:sz w:val="20"/>
                <w:szCs w:val="20"/>
              </w:rPr>
            </w:pPr>
            <w:r w:rsidRPr="00A95930">
              <w:rPr>
                <w:color w:val="000000"/>
                <w:sz w:val="20"/>
                <w:szCs w:val="20"/>
              </w:rPr>
              <w:t>1,11</w:t>
            </w:r>
            <w:r>
              <w:rPr>
                <w:color w:val="000000"/>
                <w:sz w:val="20"/>
                <w:szCs w:val="20"/>
              </w:rPr>
              <w:t xml:space="preserve"> </w:t>
            </w:r>
            <w:r w:rsidRPr="00A95930">
              <w:rPr>
                <w:color w:val="000000"/>
                <w:sz w:val="20"/>
                <w:szCs w:val="20"/>
              </w:rPr>
              <w:t>%</w:t>
            </w:r>
          </w:p>
        </w:tc>
        <w:tc>
          <w:tcPr>
            <w:tcW w:w="992" w:type="dxa"/>
            <w:tcBorders>
              <w:top w:val="nil"/>
              <w:left w:val="nil"/>
              <w:bottom w:val="single" w:sz="4" w:space="0" w:color="auto"/>
              <w:right w:val="single" w:sz="4" w:space="0" w:color="auto"/>
            </w:tcBorders>
            <w:shd w:val="clear" w:color="auto" w:fill="auto"/>
            <w:vAlign w:val="center"/>
          </w:tcPr>
          <w:p w:rsidR="00A95930" w:rsidRPr="007877E1" w:rsidRDefault="00A95930" w:rsidP="00180B7F">
            <w:pPr>
              <w:ind w:firstLine="0"/>
              <w:jc w:val="right"/>
              <w:rPr>
                <w:rFonts w:eastAsia="Times New Roman"/>
                <w:bCs/>
                <w:sz w:val="20"/>
                <w:szCs w:val="20"/>
                <w:lang w:eastAsia="ru-RU"/>
              </w:rPr>
            </w:pPr>
            <w:r w:rsidRPr="007877E1">
              <w:rPr>
                <w:rFonts w:eastAsia="Times New Roman"/>
                <w:bCs/>
                <w:sz w:val="20"/>
                <w:szCs w:val="20"/>
                <w:lang w:eastAsia="ru-RU"/>
              </w:rPr>
              <w:t>9 669</w:t>
            </w:r>
          </w:p>
        </w:tc>
        <w:tc>
          <w:tcPr>
            <w:tcW w:w="992" w:type="dxa"/>
            <w:tcBorders>
              <w:top w:val="nil"/>
              <w:left w:val="nil"/>
              <w:bottom w:val="single" w:sz="4" w:space="0" w:color="auto"/>
              <w:right w:val="single" w:sz="4" w:space="0" w:color="auto"/>
            </w:tcBorders>
            <w:shd w:val="clear" w:color="auto" w:fill="auto"/>
            <w:vAlign w:val="center"/>
          </w:tcPr>
          <w:p w:rsidR="00A95930" w:rsidRPr="007877E1" w:rsidRDefault="00A95930" w:rsidP="00180B7F">
            <w:pPr>
              <w:ind w:firstLine="0"/>
              <w:jc w:val="right"/>
              <w:rPr>
                <w:rFonts w:eastAsia="Times New Roman"/>
                <w:bCs/>
                <w:sz w:val="20"/>
                <w:szCs w:val="20"/>
                <w:lang w:eastAsia="ru-RU"/>
              </w:rPr>
            </w:pPr>
            <w:r>
              <w:rPr>
                <w:rFonts w:eastAsia="Times New Roman"/>
                <w:bCs/>
                <w:sz w:val="20"/>
                <w:szCs w:val="20"/>
                <w:lang w:eastAsia="ru-RU"/>
              </w:rPr>
              <w:t>9 913</w:t>
            </w:r>
          </w:p>
        </w:tc>
        <w:tc>
          <w:tcPr>
            <w:tcW w:w="851" w:type="dxa"/>
            <w:tcBorders>
              <w:top w:val="nil"/>
              <w:left w:val="nil"/>
              <w:bottom w:val="single" w:sz="4" w:space="0" w:color="auto"/>
              <w:right w:val="single" w:sz="4" w:space="0" w:color="auto"/>
            </w:tcBorders>
            <w:shd w:val="clear" w:color="auto" w:fill="auto"/>
            <w:vAlign w:val="center"/>
          </w:tcPr>
          <w:p w:rsidR="00A95930" w:rsidRPr="007877E1" w:rsidRDefault="00A95930" w:rsidP="00180B7F">
            <w:pPr>
              <w:ind w:firstLine="0"/>
              <w:jc w:val="right"/>
              <w:rPr>
                <w:rFonts w:eastAsia="Times New Roman"/>
                <w:bCs/>
                <w:sz w:val="20"/>
                <w:szCs w:val="20"/>
                <w:lang w:eastAsia="ru-RU"/>
              </w:rPr>
            </w:pPr>
            <w:r>
              <w:rPr>
                <w:rFonts w:eastAsia="Times New Roman"/>
                <w:bCs/>
                <w:sz w:val="20"/>
                <w:szCs w:val="20"/>
                <w:lang w:eastAsia="ru-RU"/>
              </w:rPr>
              <w:t>10 650</w:t>
            </w:r>
          </w:p>
        </w:tc>
        <w:tc>
          <w:tcPr>
            <w:tcW w:w="1081" w:type="dxa"/>
            <w:tcBorders>
              <w:top w:val="nil"/>
              <w:left w:val="nil"/>
              <w:bottom w:val="single" w:sz="4" w:space="0" w:color="auto"/>
              <w:right w:val="single" w:sz="4" w:space="0" w:color="auto"/>
            </w:tcBorders>
            <w:shd w:val="clear" w:color="auto" w:fill="auto"/>
            <w:vAlign w:val="center"/>
          </w:tcPr>
          <w:p w:rsidR="00A95930" w:rsidRPr="00A95930" w:rsidRDefault="00A95930" w:rsidP="00A95930">
            <w:pPr>
              <w:ind w:firstLine="0"/>
              <w:jc w:val="right"/>
              <w:rPr>
                <w:color w:val="000000"/>
                <w:sz w:val="20"/>
                <w:szCs w:val="20"/>
              </w:rPr>
            </w:pPr>
            <w:r w:rsidRPr="00A95930">
              <w:rPr>
                <w:color w:val="000000"/>
                <w:sz w:val="20"/>
                <w:szCs w:val="20"/>
              </w:rPr>
              <w:t>7,43</w:t>
            </w:r>
            <w:r>
              <w:rPr>
                <w:color w:val="000000"/>
                <w:sz w:val="20"/>
                <w:szCs w:val="20"/>
              </w:rPr>
              <w:t xml:space="preserve"> </w:t>
            </w:r>
            <w:r w:rsidRPr="00A95930">
              <w:rPr>
                <w:color w:val="000000"/>
                <w:sz w:val="20"/>
                <w:szCs w:val="20"/>
              </w:rPr>
              <w:t>%</w:t>
            </w:r>
          </w:p>
        </w:tc>
      </w:tr>
      <w:tr w:rsidR="00A95930" w:rsidRPr="007877E1" w:rsidTr="00A95930">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A95930" w:rsidRPr="007877E1" w:rsidRDefault="00A95930" w:rsidP="007076A7">
            <w:pPr>
              <w:pStyle w:val="a5"/>
              <w:numPr>
                <w:ilvl w:val="1"/>
                <w:numId w:val="127"/>
              </w:numPr>
              <w:tabs>
                <w:tab w:val="left" w:pos="262"/>
              </w:tabs>
              <w:jc w:val="left"/>
              <w:rPr>
                <w:rFonts w:eastAsia="Times New Roman"/>
                <w:color w:val="000000"/>
                <w:sz w:val="20"/>
                <w:szCs w:val="20"/>
                <w:lang w:eastAsia="ru-RU"/>
              </w:rPr>
            </w:pPr>
          </w:p>
        </w:tc>
        <w:tc>
          <w:tcPr>
            <w:tcW w:w="6663" w:type="dxa"/>
            <w:tcBorders>
              <w:top w:val="nil"/>
              <w:left w:val="nil"/>
              <w:bottom w:val="single" w:sz="4" w:space="0" w:color="auto"/>
              <w:right w:val="single" w:sz="4" w:space="0" w:color="auto"/>
            </w:tcBorders>
            <w:shd w:val="clear" w:color="auto" w:fill="auto"/>
            <w:vAlign w:val="center"/>
          </w:tcPr>
          <w:p w:rsidR="00A95930" w:rsidRPr="007877E1" w:rsidRDefault="00A95930" w:rsidP="00196533">
            <w:pPr>
              <w:ind w:firstLineChars="200" w:firstLine="400"/>
              <w:jc w:val="left"/>
              <w:rPr>
                <w:rFonts w:eastAsia="Times New Roman"/>
                <w:color w:val="000000"/>
                <w:sz w:val="20"/>
                <w:szCs w:val="20"/>
                <w:lang w:eastAsia="ru-RU"/>
              </w:rPr>
            </w:pPr>
            <w:r w:rsidRPr="007877E1">
              <w:rPr>
                <w:rFonts w:eastAsia="Times New Roman"/>
                <w:color w:val="000000"/>
                <w:sz w:val="20"/>
                <w:szCs w:val="20"/>
                <w:lang w:eastAsia="ru-RU"/>
              </w:rPr>
              <w:t>6 кВ</w:t>
            </w:r>
          </w:p>
        </w:tc>
        <w:tc>
          <w:tcPr>
            <w:tcW w:w="850" w:type="dxa"/>
            <w:tcBorders>
              <w:top w:val="nil"/>
              <w:left w:val="nil"/>
              <w:bottom w:val="single" w:sz="4" w:space="0" w:color="auto"/>
              <w:right w:val="single" w:sz="4" w:space="0" w:color="auto"/>
            </w:tcBorders>
            <w:shd w:val="clear" w:color="auto" w:fill="auto"/>
            <w:vAlign w:val="center"/>
          </w:tcPr>
          <w:p w:rsidR="00A95930" w:rsidRPr="007877E1" w:rsidRDefault="00A95930" w:rsidP="00180B7F">
            <w:pPr>
              <w:ind w:firstLine="0"/>
              <w:jc w:val="right"/>
              <w:rPr>
                <w:rFonts w:eastAsia="Times New Roman"/>
                <w:bCs/>
                <w:sz w:val="20"/>
                <w:szCs w:val="20"/>
                <w:lang w:eastAsia="ru-RU"/>
              </w:rPr>
            </w:pPr>
            <w:r>
              <w:rPr>
                <w:rFonts w:eastAsia="Times New Roman"/>
                <w:bCs/>
                <w:sz w:val="20"/>
                <w:szCs w:val="20"/>
                <w:lang w:eastAsia="ru-RU"/>
              </w:rPr>
              <w:t>1 786</w:t>
            </w:r>
          </w:p>
        </w:tc>
        <w:tc>
          <w:tcPr>
            <w:tcW w:w="851" w:type="dxa"/>
            <w:tcBorders>
              <w:top w:val="nil"/>
              <w:left w:val="nil"/>
              <w:bottom w:val="single" w:sz="4" w:space="0" w:color="auto"/>
              <w:right w:val="single" w:sz="4" w:space="0" w:color="auto"/>
            </w:tcBorders>
            <w:shd w:val="clear" w:color="auto" w:fill="auto"/>
            <w:vAlign w:val="center"/>
          </w:tcPr>
          <w:p w:rsidR="00A95930" w:rsidRPr="007877E1" w:rsidRDefault="00A95930" w:rsidP="00180B7F">
            <w:pPr>
              <w:ind w:firstLine="0"/>
              <w:jc w:val="right"/>
              <w:rPr>
                <w:rFonts w:eastAsia="Times New Roman"/>
                <w:bCs/>
                <w:sz w:val="20"/>
                <w:szCs w:val="20"/>
                <w:lang w:eastAsia="ru-RU"/>
              </w:rPr>
            </w:pPr>
            <w:r>
              <w:rPr>
                <w:rFonts w:eastAsia="Times New Roman"/>
                <w:bCs/>
                <w:sz w:val="20"/>
                <w:szCs w:val="20"/>
                <w:lang w:eastAsia="ru-RU"/>
              </w:rPr>
              <w:t>1 771</w:t>
            </w:r>
          </w:p>
        </w:tc>
        <w:tc>
          <w:tcPr>
            <w:tcW w:w="992" w:type="dxa"/>
            <w:tcBorders>
              <w:top w:val="nil"/>
              <w:left w:val="nil"/>
              <w:bottom w:val="single" w:sz="4" w:space="0" w:color="auto"/>
              <w:right w:val="single" w:sz="4" w:space="0" w:color="auto"/>
            </w:tcBorders>
            <w:shd w:val="clear" w:color="auto" w:fill="auto"/>
            <w:vAlign w:val="center"/>
          </w:tcPr>
          <w:p w:rsidR="00A95930" w:rsidRPr="00A21336" w:rsidRDefault="00A95930" w:rsidP="00180B7F">
            <w:pPr>
              <w:ind w:firstLine="0"/>
              <w:jc w:val="right"/>
              <w:rPr>
                <w:rFonts w:eastAsia="Times New Roman"/>
                <w:bCs/>
                <w:sz w:val="20"/>
                <w:szCs w:val="20"/>
                <w:lang w:val="en-US" w:eastAsia="ru-RU"/>
              </w:rPr>
            </w:pPr>
            <w:r>
              <w:rPr>
                <w:rFonts w:eastAsia="Times New Roman"/>
                <w:bCs/>
                <w:sz w:val="20"/>
                <w:szCs w:val="20"/>
                <w:lang w:eastAsia="ru-RU"/>
              </w:rPr>
              <w:t>1 743</w:t>
            </w:r>
          </w:p>
        </w:tc>
        <w:tc>
          <w:tcPr>
            <w:tcW w:w="1134" w:type="dxa"/>
            <w:tcBorders>
              <w:top w:val="nil"/>
              <w:left w:val="nil"/>
              <w:bottom w:val="single" w:sz="4" w:space="0" w:color="auto"/>
              <w:right w:val="single" w:sz="4" w:space="0" w:color="auto"/>
            </w:tcBorders>
            <w:shd w:val="clear" w:color="auto" w:fill="auto"/>
            <w:vAlign w:val="center"/>
          </w:tcPr>
          <w:p w:rsidR="00A95930" w:rsidRPr="00A95930" w:rsidRDefault="00A95930" w:rsidP="00A95930">
            <w:pPr>
              <w:ind w:firstLine="0"/>
              <w:jc w:val="right"/>
              <w:rPr>
                <w:color w:val="000000"/>
                <w:sz w:val="20"/>
                <w:szCs w:val="20"/>
              </w:rPr>
            </w:pPr>
            <w:r w:rsidRPr="00A95930">
              <w:rPr>
                <w:color w:val="000000"/>
                <w:sz w:val="20"/>
                <w:szCs w:val="20"/>
              </w:rPr>
              <w:t>-1,58</w:t>
            </w:r>
            <w:r>
              <w:rPr>
                <w:color w:val="000000"/>
                <w:sz w:val="20"/>
                <w:szCs w:val="20"/>
              </w:rPr>
              <w:t xml:space="preserve"> </w:t>
            </w:r>
            <w:r w:rsidRPr="00A95930">
              <w:rPr>
                <w:color w:val="000000"/>
                <w:sz w:val="20"/>
                <w:szCs w:val="20"/>
              </w:rPr>
              <w:t>%</w:t>
            </w:r>
          </w:p>
        </w:tc>
        <w:tc>
          <w:tcPr>
            <w:tcW w:w="992" w:type="dxa"/>
            <w:tcBorders>
              <w:top w:val="nil"/>
              <w:left w:val="nil"/>
              <w:bottom w:val="single" w:sz="4" w:space="0" w:color="auto"/>
              <w:right w:val="single" w:sz="4" w:space="0" w:color="auto"/>
            </w:tcBorders>
            <w:shd w:val="clear" w:color="auto" w:fill="auto"/>
            <w:vAlign w:val="center"/>
          </w:tcPr>
          <w:p w:rsidR="00A95930" w:rsidRPr="007877E1" w:rsidRDefault="00A95930" w:rsidP="00180B7F">
            <w:pPr>
              <w:ind w:firstLine="0"/>
              <w:jc w:val="right"/>
              <w:rPr>
                <w:rFonts w:eastAsia="Times New Roman"/>
                <w:bCs/>
                <w:sz w:val="20"/>
                <w:szCs w:val="20"/>
                <w:lang w:eastAsia="ru-RU"/>
              </w:rPr>
            </w:pPr>
            <w:r w:rsidRPr="007877E1">
              <w:rPr>
                <w:rFonts w:eastAsia="Times New Roman"/>
                <w:bCs/>
                <w:sz w:val="20"/>
                <w:szCs w:val="20"/>
                <w:lang w:eastAsia="ru-RU"/>
              </w:rPr>
              <w:t>4 698</w:t>
            </w:r>
          </w:p>
        </w:tc>
        <w:tc>
          <w:tcPr>
            <w:tcW w:w="992" w:type="dxa"/>
            <w:tcBorders>
              <w:top w:val="nil"/>
              <w:left w:val="nil"/>
              <w:bottom w:val="single" w:sz="4" w:space="0" w:color="auto"/>
              <w:right w:val="single" w:sz="4" w:space="0" w:color="auto"/>
            </w:tcBorders>
            <w:shd w:val="clear" w:color="auto" w:fill="auto"/>
            <w:vAlign w:val="center"/>
          </w:tcPr>
          <w:p w:rsidR="00A95930" w:rsidRPr="007877E1" w:rsidRDefault="00A95930" w:rsidP="00180B7F">
            <w:pPr>
              <w:ind w:firstLine="0"/>
              <w:jc w:val="right"/>
              <w:rPr>
                <w:rFonts w:eastAsia="Times New Roman"/>
                <w:bCs/>
                <w:sz w:val="20"/>
                <w:szCs w:val="20"/>
                <w:lang w:eastAsia="ru-RU"/>
              </w:rPr>
            </w:pPr>
            <w:r>
              <w:rPr>
                <w:rFonts w:eastAsia="Times New Roman"/>
                <w:bCs/>
                <w:sz w:val="20"/>
                <w:szCs w:val="20"/>
                <w:lang w:eastAsia="ru-RU"/>
              </w:rPr>
              <w:t>4 733</w:t>
            </w:r>
          </w:p>
        </w:tc>
        <w:tc>
          <w:tcPr>
            <w:tcW w:w="851" w:type="dxa"/>
            <w:tcBorders>
              <w:top w:val="nil"/>
              <w:left w:val="nil"/>
              <w:bottom w:val="single" w:sz="4" w:space="0" w:color="auto"/>
              <w:right w:val="single" w:sz="4" w:space="0" w:color="auto"/>
            </w:tcBorders>
            <w:shd w:val="clear" w:color="auto" w:fill="auto"/>
            <w:vAlign w:val="center"/>
          </w:tcPr>
          <w:p w:rsidR="00A95930" w:rsidRPr="007877E1" w:rsidRDefault="00A95930" w:rsidP="00180B7F">
            <w:pPr>
              <w:ind w:firstLine="0"/>
              <w:jc w:val="right"/>
              <w:rPr>
                <w:rFonts w:eastAsia="Times New Roman"/>
                <w:bCs/>
                <w:sz w:val="20"/>
                <w:szCs w:val="20"/>
                <w:lang w:eastAsia="ru-RU"/>
              </w:rPr>
            </w:pPr>
            <w:r>
              <w:rPr>
                <w:rFonts w:eastAsia="Times New Roman"/>
                <w:bCs/>
                <w:sz w:val="20"/>
                <w:szCs w:val="20"/>
                <w:lang w:eastAsia="ru-RU"/>
              </w:rPr>
              <w:t>5 088</w:t>
            </w:r>
          </w:p>
        </w:tc>
        <w:tc>
          <w:tcPr>
            <w:tcW w:w="1081" w:type="dxa"/>
            <w:tcBorders>
              <w:top w:val="nil"/>
              <w:left w:val="nil"/>
              <w:bottom w:val="single" w:sz="4" w:space="0" w:color="auto"/>
              <w:right w:val="single" w:sz="4" w:space="0" w:color="auto"/>
            </w:tcBorders>
            <w:shd w:val="clear" w:color="auto" w:fill="auto"/>
            <w:vAlign w:val="center"/>
          </w:tcPr>
          <w:p w:rsidR="00A95930" w:rsidRPr="00A95930" w:rsidRDefault="00A95930" w:rsidP="00A95930">
            <w:pPr>
              <w:ind w:firstLine="0"/>
              <w:jc w:val="right"/>
              <w:rPr>
                <w:color w:val="000000"/>
                <w:sz w:val="20"/>
                <w:szCs w:val="20"/>
              </w:rPr>
            </w:pPr>
            <w:r w:rsidRPr="00A95930">
              <w:rPr>
                <w:color w:val="000000"/>
                <w:sz w:val="20"/>
                <w:szCs w:val="20"/>
              </w:rPr>
              <w:t>7,50</w:t>
            </w:r>
            <w:r>
              <w:rPr>
                <w:color w:val="000000"/>
                <w:sz w:val="20"/>
                <w:szCs w:val="20"/>
              </w:rPr>
              <w:t xml:space="preserve"> </w:t>
            </w:r>
            <w:r w:rsidRPr="00A95930">
              <w:rPr>
                <w:color w:val="000000"/>
                <w:sz w:val="20"/>
                <w:szCs w:val="20"/>
              </w:rPr>
              <w:t>%</w:t>
            </w:r>
          </w:p>
        </w:tc>
      </w:tr>
      <w:tr w:rsidR="00180B7F" w:rsidRPr="007877E1" w:rsidTr="007877E1">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180B7F" w:rsidRPr="007877E1" w:rsidRDefault="00180B7F" w:rsidP="007076A7">
            <w:pPr>
              <w:pStyle w:val="a5"/>
              <w:numPr>
                <w:ilvl w:val="1"/>
                <w:numId w:val="127"/>
              </w:numPr>
              <w:tabs>
                <w:tab w:val="left" w:pos="262"/>
              </w:tabs>
              <w:jc w:val="left"/>
              <w:rPr>
                <w:rFonts w:eastAsia="Times New Roman"/>
                <w:color w:val="000000"/>
                <w:sz w:val="20"/>
                <w:szCs w:val="20"/>
                <w:lang w:eastAsia="ru-RU"/>
              </w:rPr>
            </w:pPr>
          </w:p>
        </w:tc>
        <w:tc>
          <w:tcPr>
            <w:tcW w:w="6663" w:type="dxa"/>
            <w:tcBorders>
              <w:top w:val="nil"/>
              <w:left w:val="nil"/>
              <w:bottom w:val="single" w:sz="4" w:space="0" w:color="auto"/>
              <w:right w:val="single" w:sz="4" w:space="0" w:color="auto"/>
            </w:tcBorders>
            <w:shd w:val="clear" w:color="auto" w:fill="auto"/>
            <w:vAlign w:val="center"/>
          </w:tcPr>
          <w:p w:rsidR="00180B7F" w:rsidRPr="007877E1" w:rsidRDefault="00180B7F" w:rsidP="00196533">
            <w:pPr>
              <w:ind w:firstLineChars="200" w:firstLine="400"/>
              <w:jc w:val="left"/>
              <w:rPr>
                <w:rFonts w:eastAsia="Times New Roman"/>
                <w:color w:val="000000"/>
                <w:sz w:val="20"/>
                <w:szCs w:val="20"/>
                <w:lang w:eastAsia="ru-RU"/>
              </w:rPr>
            </w:pPr>
            <w:r w:rsidRPr="007877E1">
              <w:rPr>
                <w:rFonts w:eastAsia="Times New Roman"/>
                <w:color w:val="000000"/>
                <w:sz w:val="20"/>
                <w:szCs w:val="20"/>
                <w:lang w:eastAsia="ru-RU"/>
              </w:rPr>
              <w:t>0,4 кВ</w:t>
            </w:r>
          </w:p>
        </w:tc>
        <w:tc>
          <w:tcPr>
            <w:tcW w:w="850" w:type="dxa"/>
            <w:tcBorders>
              <w:top w:val="nil"/>
              <w:left w:val="nil"/>
              <w:bottom w:val="single" w:sz="4" w:space="0" w:color="auto"/>
              <w:right w:val="single" w:sz="4" w:space="0" w:color="auto"/>
            </w:tcBorders>
            <w:shd w:val="clear" w:color="auto" w:fill="auto"/>
            <w:vAlign w:val="center"/>
          </w:tcPr>
          <w:p w:rsidR="00180B7F" w:rsidRPr="004761E0" w:rsidRDefault="00180B7F" w:rsidP="00180B7F">
            <w:pPr>
              <w:ind w:firstLine="0"/>
              <w:jc w:val="right"/>
              <w:rPr>
                <w:sz w:val="20"/>
                <w:szCs w:val="20"/>
              </w:rPr>
            </w:pPr>
            <w:r>
              <w:rPr>
                <w:sz w:val="20"/>
                <w:szCs w:val="20"/>
              </w:rPr>
              <w:t>–</w:t>
            </w:r>
          </w:p>
        </w:tc>
        <w:tc>
          <w:tcPr>
            <w:tcW w:w="851" w:type="dxa"/>
            <w:tcBorders>
              <w:top w:val="nil"/>
              <w:left w:val="nil"/>
              <w:bottom w:val="single" w:sz="4" w:space="0" w:color="auto"/>
              <w:right w:val="single" w:sz="4" w:space="0" w:color="auto"/>
            </w:tcBorders>
            <w:shd w:val="clear" w:color="auto" w:fill="auto"/>
            <w:vAlign w:val="center"/>
          </w:tcPr>
          <w:p w:rsidR="00180B7F" w:rsidRPr="004761E0" w:rsidRDefault="00180B7F" w:rsidP="00180B7F">
            <w:pPr>
              <w:ind w:firstLine="0"/>
              <w:jc w:val="right"/>
              <w:rPr>
                <w:sz w:val="20"/>
                <w:szCs w:val="20"/>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tcPr>
          <w:p w:rsidR="00180B7F" w:rsidRPr="004761E0" w:rsidRDefault="00180B7F" w:rsidP="00180B7F">
            <w:pPr>
              <w:ind w:firstLine="0"/>
              <w:jc w:val="right"/>
              <w:rPr>
                <w:sz w:val="20"/>
                <w:szCs w:val="20"/>
              </w:rPr>
            </w:pPr>
            <w:r>
              <w:rPr>
                <w:sz w:val="20"/>
                <w:szCs w:val="20"/>
              </w:rPr>
              <w:t>–</w:t>
            </w:r>
          </w:p>
        </w:tc>
        <w:tc>
          <w:tcPr>
            <w:tcW w:w="1134" w:type="dxa"/>
            <w:tcBorders>
              <w:top w:val="nil"/>
              <w:left w:val="nil"/>
              <w:bottom w:val="single" w:sz="4" w:space="0" w:color="auto"/>
              <w:right w:val="single" w:sz="4" w:space="0" w:color="auto"/>
            </w:tcBorders>
            <w:shd w:val="clear" w:color="auto" w:fill="auto"/>
            <w:vAlign w:val="center"/>
          </w:tcPr>
          <w:p w:rsidR="00180B7F" w:rsidRPr="004761E0" w:rsidRDefault="00180B7F" w:rsidP="00180B7F">
            <w:pPr>
              <w:ind w:firstLine="0"/>
              <w:jc w:val="right"/>
              <w:rPr>
                <w:sz w:val="20"/>
                <w:szCs w:val="20"/>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tcPr>
          <w:p w:rsidR="00180B7F" w:rsidRPr="004761E0" w:rsidRDefault="00180B7F" w:rsidP="00180B7F">
            <w:pPr>
              <w:ind w:firstLine="0"/>
              <w:jc w:val="right"/>
              <w:rPr>
                <w:sz w:val="20"/>
                <w:szCs w:val="20"/>
              </w:rPr>
            </w:pPr>
            <w:r>
              <w:rPr>
                <w:sz w:val="20"/>
                <w:szCs w:val="20"/>
              </w:rPr>
              <w:t>–</w:t>
            </w:r>
          </w:p>
        </w:tc>
        <w:tc>
          <w:tcPr>
            <w:tcW w:w="992" w:type="dxa"/>
            <w:tcBorders>
              <w:top w:val="nil"/>
              <w:left w:val="nil"/>
              <w:bottom w:val="single" w:sz="4" w:space="0" w:color="auto"/>
              <w:right w:val="single" w:sz="4" w:space="0" w:color="auto"/>
            </w:tcBorders>
            <w:shd w:val="clear" w:color="auto" w:fill="auto"/>
            <w:vAlign w:val="center"/>
          </w:tcPr>
          <w:p w:rsidR="00180B7F" w:rsidRPr="004761E0" w:rsidRDefault="00180B7F" w:rsidP="00180B7F">
            <w:pPr>
              <w:ind w:firstLine="0"/>
              <w:jc w:val="right"/>
              <w:rPr>
                <w:sz w:val="20"/>
                <w:szCs w:val="20"/>
              </w:rPr>
            </w:pPr>
            <w:r>
              <w:rPr>
                <w:sz w:val="20"/>
                <w:szCs w:val="20"/>
              </w:rPr>
              <w:t>–</w:t>
            </w:r>
          </w:p>
        </w:tc>
        <w:tc>
          <w:tcPr>
            <w:tcW w:w="851" w:type="dxa"/>
            <w:tcBorders>
              <w:top w:val="nil"/>
              <w:left w:val="nil"/>
              <w:bottom w:val="single" w:sz="4" w:space="0" w:color="auto"/>
              <w:right w:val="single" w:sz="4" w:space="0" w:color="auto"/>
            </w:tcBorders>
            <w:shd w:val="clear" w:color="auto" w:fill="auto"/>
            <w:vAlign w:val="center"/>
          </w:tcPr>
          <w:p w:rsidR="00180B7F" w:rsidRPr="004761E0" w:rsidRDefault="00180B7F" w:rsidP="00180B7F">
            <w:pPr>
              <w:ind w:firstLine="0"/>
              <w:jc w:val="right"/>
              <w:rPr>
                <w:sz w:val="20"/>
                <w:szCs w:val="20"/>
              </w:rPr>
            </w:pPr>
            <w:r>
              <w:rPr>
                <w:sz w:val="20"/>
                <w:szCs w:val="20"/>
              </w:rPr>
              <w:t>–</w:t>
            </w:r>
          </w:p>
        </w:tc>
        <w:tc>
          <w:tcPr>
            <w:tcW w:w="1081" w:type="dxa"/>
            <w:tcBorders>
              <w:top w:val="nil"/>
              <w:left w:val="nil"/>
              <w:bottom w:val="single" w:sz="4" w:space="0" w:color="auto"/>
              <w:right w:val="single" w:sz="4" w:space="0" w:color="auto"/>
            </w:tcBorders>
            <w:shd w:val="clear" w:color="auto" w:fill="auto"/>
            <w:vAlign w:val="center"/>
          </w:tcPr>
          <w:p w:rsidR="00180B7F" w:rsidRPr="004761E0" w:rsidRDefault="00180B7F" w:rsidP="00180B7F">
            <w:pPr>
              <w:ind w:firstLine="0"/>
              <w:jc w:val="right"/>
              <w:rPr>
                <w:sz w:val="20"/>
                <w:szCs w:val="20"/>
              </w:rPr>
            </w:pPr>
            <w:r>
              <w:rPr>
                <w:sz w:val="20"/>
                <w:szCs w:val="20"/>
              </w:rPr>
              <w:t>–</w:t>
            </w:r>
          </w:p>
        </w:tc>
      </w:tr>
      <w:tr w:rsidR="00180B7F" w:rsidRPr="007877E1" w:rsidTr="007877E1">
        <w:trPr>
          <w:trHeight w:val="300"/>
        </w:trPr>
        <w:tc>
          <w:tcPr>
            <w:tcW w:w="580" w:type="dxa"/>
            <w:tcBorders>
              <w:top w:val="nil"/>
              <w:left w:val="single" w:sz="4" w:space="0" w:color="auto"/>
              <w:bottom w:val="single" w:sz="4" w:space="0" w:color="auto"/>
              <w:right w:val="single" w:sz="4" w:space="0" w:color="auto"/>
            </w:tcBorders>
            <w:shd w:val="clear" w:color="auto" w:fill="auto"/>
            <w:vAlign w:val="center"/>
          </w:tcPr>
          <w:p w:rsidR="00180B7F" w:rsidRPr="007877E1" w:rsidRDefault="00180B7F" w:rsidP="007076A7">
            <w:pPr>
              <w:numPr>
                <w:ilvl w:val="0"/>
                <w:numId w:val="127"/>
              </w:numPr>
              <w:tabs>
                <w:tab w:val="left" w:pos="262"/>
              </w:tabs>
              <w:ind w:left="47" w:firstLine="0"/>
              <w:jc w:val="left"/>
              <w:rPr>
                <w:rFonts w:eastAsia="Times New Roman"/>
                <w:color w:val="000000"/>
                <w:sz w:val="20"/>
                <w:szCs w:val="20"/>
                <w:lang w:eastAsia="ru-RU"/>
              </w:rPr>
            </w:pPr>
          </w:p>
        </w:tc>
        <w:tc>
          <w:tcPr>
            <w:tcW w:w="6663" w:type="dxa"/>
            <w:tcBorders>
              <w:top w:val="nil"/>
              <w:left w:val="nil"/>
              <w:bottom w:val="single" w:sz="4" w:space="0" w:color="auto"/>
              <w:right w:val="single" w:sz="4" w:space="0" w:color="auto"/>
            </w:tcBorders>
            <w:shd w:val="clear" w:color="auto" w:fill="auto"/>
            <w:vAlign w:val="center"/>
          </w:tcPr>
          <w:p w:rsidR="00180B7F" w:rsidRPr="007877E1" w:rsidRDefault="00180B7F" w:rsidP="00196533">
            <w:pPr>
              <w:ind w:firstLine="0"/>
              <w:jc w:val="left"/>
              <w:rPr>
                <w:rFonts w:eastAsia="Times New Roman"/>
                <w:bCs/>
                <w:color w:val="000000"/>
                <w:sz w:val="20"/>
                <w:szCs w:val="20"/>
                <w:lang w:eastAsia="ru-RU"/>
              </w:rPr>
            </w:pPr>
            <w:r w:rsidRPr="007877E1">
              <w:rPr>
                <w:rFonts w:eastAsia="Times New Roman"/>
                <w:bCs/>
                <w:color w:val="000000"/>
                <w:sz w:val="20"/>
                <w:szCs w:val="20"/>
                <w:lang w:eastAsia="ru-RU"/>
              </w:rPr>
              <w:t>Установленная мощность подстанций распределительных сетей, МВА</w:t>
            </w:r>
          </w:p>
        </w:tc>
        <w:tc>
          <w:tcPr>
            <w:tcW w:w="850" w:type="dxa"/>
            <w:tcBorders>
              <w:top w:val="nil"/>
              <w:left w:val="nil"/>
              <w:bottom w:val="single" w:sz="4" w:space="0" w:color="auto"/>
              <w:right w:val="single" w:sz="4" w:space="0" w:color="auto"/>
            </w:tcBorders>
            <w:shd w:val="clear" w:color="auto" w:fill="auto"/>
            <w:vAlign w:val="center"/>
          </w:tcPr>
          <w:p w:rsidR="00180B7F" w:rsidRPr="007877E1" w:rsidRDefault="00180B7F" w:rsidP="00180B7F">
            <w:pPr>
              <w:ind w:firstLine="0"/>
              <w:jc w:val="right"/>
              <w:rPr>
                <w:rFonts w:eastAsia="Times New Roman"/>
                <w:bCs/>
                <w:sz w:val="20"/>
                <w:szCs w:val="20"/>
                <w:lang w:eastAsia="ru-RU"/>
              </w:rPr>
            </w:pPr>
            <w:r>
              <w:rPr>
                <w:rFonts w:eastAsia="Times New Roman"/>
                <w:bCs/>
                <w:sz w:val="20"/>
                <w:szCs w:val="20"/>
                <w:lang w:eastAsia="ru-RU"/>
              </w:rPr>
              <w:t>16 341</w:t>
            </w:r>
          </w:p>
        </w:tc>
        <w:tc>
          <w:tcPr>
            <w:tcW w:w="851" w:type="dxa"/>
            <w:tcBorders>
              <w:top w:val="nil"/>
              <w:left w:val="nil"/>
              <w:bottom w:val="single" w:sz="4" w:space="0" w:color="auto"/>
              <w:right w:val="single" w:sz="4" w:space="0" w:color="auto"/>
            </w:tcBorders>
            <w:shd w:val="clear" w:color="auto" w:fill="auto"/>
            <w:vAlign w:val="center"/>
          </w:tcPr>
          <w:p w:rsidR="00180B7F" w:rsidRPr="007877E1" w:rsidRDefault="00180B7F" w:rsidP="00180B7F">
            <w:pPr>
              <w:ind w:firstLine="0"/>
              <w:jc w:val="right"/>
              <w:rPr>
                <w:rFonts w:eastAsia="Times New Roman"/>
                <w:bCs/>
                <w:sz w:val="20"/>
                <w:szCs w:val="20"/>
                <w:lang w:eastAsia="ru-RU"/>
              </w:rPr>
            </w:pPr>
            <w:r w:rsidRPr="007877E1">
              <w:rPr>
                <w:rFonts w:eastAsia="Times New Roman"/>
                <w:bCs/>
                <w:sz w:val="20"/>
                <w:szCs w:val="20"/>
                <w:lang w:eastAsia="ru-RU"/>
              </w:rPr>
              <w:t>16 637</w:t>
            </w:r>
          </w:p>
        </w:tc>
        <w:tc>
          <w:tcPr>
            <w:tcW w:w="992" w:type="dxa"/>
            <w:tcBorders>
              <w:top w:val="nil"/>
              <w:left w:val="nil"/>
              <w:bottom w:val="single" w:sz="4" w:space="0" w:color="auto"/>
              <w:right w:val="single" w:sz="4" w:space="0" w:color="auto"/>
            </w:tcBorders>
            <w:shd w:val="clear" w:color="auto" w:fill="auto"/>
            <w:vAlign w:val="center"/>
          </w:tcPr>
          <w:p w:rsidR="00180B7F" w:rsidRPr="007877E1" w:rsidRDefault="00180B7F" w:rsidP="00180B7F">
            <w:pPr>
              <w:ind w:firstLine="0"/>
              <w:jc w:val="right"/>
              <w:rPr>
                <w:rFonts w:eastAsia="Times New Roman"/>
                <w:bCs/>
                <w:sz w:val="20"/>
                <w:szCs w:val="20"/>
                <w:lang w:eastAsia="ru-RU"/>
              </w:rPr>
            </w:pPr>
            <w:r w:rsidRPr="007877E1">
              <w:rPr>
                <w:rFonts w:eastAsia="Times New Roman"/>
                <w:bCs/>
                <w:sz w:val="20"/>
                <w:szCs w:val="20"/>
                <w:lang w:eastAsia="ru-RU"/>
              </w:rPr>
              <w:t>17 013</w:t>
            </w:r>
          </w:p>
        </w:tc>
        <w:tc>
          <w:tcPr>
            <w:tcW w:w="1134" w:type="dxa"/>
            <w:tcBorders>
              <w:top w:val="nil"/>
              <w:left w:val="nil"/>
              <w:bottom w:val="single" w:sz="4" w:space="0" w:color="auto"/>
              <w:right w:val="single" w:sz="4" w:space="0" w:color="auto"/>
            </w:tcBorders>
            <w:shd w:val="clear" w:color="auto" w:fill="auto"/>
            <w:vAlign w:val="center"/>
          </w:tcPr>
          <w:p w:rsidR="00180B7F" w:rsidRPr="007877E1" w:rsidRDefault="00180B7F" w:rsidP="00180B7F">
            <w:pPr>
              <w:ind w:firstLine="0"/>
              <w:jc w:val="right"/>
              <w:rPr>
                <w:color w:val="000000"/>
                <w:sz w:val="20"/>
                <w:szCs w:val="20"/>
              </w:rPr>
            </w:pPr>
            <w:r w:rsidRPr="007877E1">
              <w:rPr>
                <w:color w:val="000000"/>
                <w:sz w:val="20"/>
                <w:szCs w:val="20"/>
              </w:rPr>
              <w:t>2,26 %</w:t>
            </w:r>
          </w:p>
        </w:tc>
        <w:tc>
          <w:tcPr>
            <w:tcW w:w="992" w:type="dxa"/>
            <w:tcBorders>
              <w:top w:val="nil"/>
              <w:left w:val="nil"/>
              <w:bottom w:val="single" w:sz="4" w:space="0" w:color="auto"/>
              <w:right w:val="single" w:sz="4" w:space="0" w:color="auto"/>
            </w:tcBorders>
            <w:shd w:val="clear" w:color="auto" w:fill="auto"/>
            <w:vAlign w:val="center"/>
          </w:tcPr>
          <w:p w:rsidR="00180B7F" w:rsidRPr="007877E1" w:rsidRDefault="00180B7F" w:rsidP="00180B7F">
            <w:pPr>
              <w:ind w:firstLine="0"/>
              <w:jc w:val="right"/>
              <w:rPr>
                <w:rFonts w:eastAsia="Times New Roman"/>
                <w:bCs/>
                <w:sz w:val="20"/>
                <w:szCs w:val="20"/>
                <w:lang w:eastAsia="ru-RU"/>
              </w:rPr>
            </w:pPr>
            <w:r w:rsidRPr="007877E1">
              <w:rPr>
                <w:rFonts w:eastAsia="Times New Roman"/>
                <w:bCs/>
                <w:sz w:val="20"/>
                <w:szCs w:val="20"/>
                <w:lang w:eastAsia="ru-RU"/>
              </w:rPr>
              <w:t>4 868</w:t>
            </w:r>
          </w:p>
        </w:tc>
        <w:tc>
          <w:tcPr>
            <w:tcW w:w="992" w:type="dxa"/>
            <w:tcBorders>
              <w:top w:val="nil"/>
              <w:left w:val="nil"/>
              <w:bottom w:val="single" w:sz="4" w:space="0" w:color="auto"/>
              <w:right w:val="single" w:sz="4" w:space="0" w:color="auto"/>
            </w:tcBorders>
            <w:shd w:val="clear" w:color="auto" w:fill="auto"/>
            <w:vAlign w:val="center"/>
          </w:tcPr>
          <w:p w:rsidR="00180B7F" w:rsidRPr="007877E1" w:rsidRDefault="00180B7F" w:rsidP="00180B7F">
            <w:pPr>
              <w:ind w:firstLine="0"/>
              <w:jc w:val="right"/>
              <w:rPr>
                <w:rFonts w:eastAsia="Times New Roman"/>
                <w:bCs/>
                <w:sz w:val="20"/>
                <w:szCs w:val="20"/>
                <w:lang w:eastAsia="ru-RU"/>
              </w:rPr>
            </w:pPr>
            <w:r w:rsidRPr="007877E1">
              <w:rPr>
                <w:rFonts w:eastAsia="Times New Roman"/>
                <w:bCs/>
                <w:sz w:val="20"/>
                <w:szCs w:val="20"/>
                <w:lang w:eastAsia="ru-RU"/>
              </w:rPr>
              <w:t>4 921</w:t>
            </w:r>
          </w:p>
        </w:tc>
        <w:tc>
          <w:tcPr>
            <w:tcW w:w="851" w:type="dxa"/>
            <w:tcBorders>
              <w:top w:val="nil"/>
              <w:left w:val="nil"/>
              <w:bottom w:val="single" w:sz="4" w:space="0" w:color="auto"/>
              <w:right w:val="single" w:sz="4" w:space="0" w:color="auto"/>
            </w:tcBorders>
            <w:shd w:val="clear" w:color="auto" w:fill="auto"/>
            <w:vAlign w:val="center"/>
          </w:tcPr>
          <w:p w:rsidR="00180B7F" w:rsidRPr="007877E1" w:rsidRDefault="00180B7F" w:rsidP="00180B7F">
            <w:pPr>
              <w:ind w:firstLine="0"/>
              <w:jc w:val="right"/>
              <w:rPr>
                <w:rFonts w:eastAsia="Times New Roman"/>
                <w:bCs/>
                <w:sz w:val="20"/>
                <w:szCs w:val="20"/>
                <w:lang w:eastAsia="ru-RU"/>
              </w:rPr>
            </w:pPr>
            <w:r w:rsidRPr="007877E1">
              <w:rPr>
                <w:rFonts w:eastAsia="Times New Roman"/>
                <w:bCs/>
                <w:sz w:val="20"/>
                <w:szCs w:val="20"/>
                <w:lang w:eastAsia="ru-RU"/>
              </w:rPr>
              <w:t>5 079</w:t>
            </w:r>
          </w:p>
        </w:tc>
        <w:tc>
          <w:tcPr>
            <w:tcW w:w="1081" w:type="dxa"/>
            <w:tcBorders>
              <w:top w:val="nil"/>
              <w:left w:val="nil"/>
              <w:bottom w:val="single" w:sz="4" w:space="0" w:color="auto"/>
              <w:right w:val="single" w:sz="4" w:space="0" w:color="auto"/>
            </w:tcBorders>
            <w:shd w:val="clear" w:color="auto" w:fill="auto"/>
            <w:vAlign w:val="center"/>
          </w:tcPr>
          <w:p w:rsidR="00180B7F" w:rsidRPr="007877E1" w:rsidRDefault="00180B7F" w:rsidP="00180B7F">
            <w:pPr>
              <w:ind w:firstLine="0"/>
              <w:jc w:val="right"/>
              <w:rPr>
                <w:color w:val="000000"/>
                <w:sz w:val="20"/>
                <w:szCs w:val="20"/>
              </w:rPr>
            </w:pPr>
            <w:r w:rsidRPr="007877E1">
              <w:rPr>
                <w:color w:val="000000"/>
                <w:sz w:val="20"/>
                <w:szCs w:val="20"/>
              </w:rPr>
              <w:t>3,22 %</w:t>
            </w:r>
          </w:p>
        </w:tc>
      </w:tr>
    </w:tbl>
    <w:p w:rsidR="005826C7" w:rsidRPr="004761E0" w:rsidRDefault="005826C7" w:rsidP="007076A7">
      <w:pPr>
        <w:pStyle w:val="a8"/>
        <w:numPr>
          <w:ilvl w:val="0"/>
          <w:numId w:val="226"/>
        </w:numPr>
        <w:tabs>
          <w:tab w:val="left" w:pos="567"/>
          <w:tab w:val="left" w:pos="993"/>
        </w:tabs>
        <w:spacing w:before="120" w:after="120"/>
        <w:ind w:left="567" w:firstLine="0"/>
        <w:jc w:val="left"/>
        <w:rPr>
          <w:rFonts w:ascii="Times New Roman" w:hAnsi="Times New Roman"/>
          <w:b/>
          <w:sz w:val="26"/>
          <w:szCs w:val="26"/>
          <w:lang w:eastAsia="ru-RU"/>
        </w:rPr>
      </w:pPr>
      <w:bookmarkStart w:id="150" w:name="_Toc385339859"/>
      <w:r w:rsidRPr="004761E0">
        <w:rPr>
          <w:rFonts w:ascii="Times New Roman" w:hAnsi="Times New Roman"/>
          <w:b/>
          <w:sz w:val="26"/>
          <w:szCs w:val="26"/>
          <w:lang w:eastAsia="ru-RU"/>
        </w:rPr>
        <w:t>Передача и распределение электроэнергии</w:t>
      </w:r>
      <w:bookmarkEnd w:id="150"/>
    </w:p>
    <w:p w:rsidR="0050069D" w:rsidRPr="00D95123" w:rsidRDefault="0050069D" w:rsidP="00D95123">
      <w:pPr>
        <w:spacing w:before="120" w:after="120"/>
        <w:ind w:firstLine="567"/>
        <w:rPr>
          <w:rFonts w:eastAsia="Times New Roman"/>
          <w:b/>
          <w:iCs/>
          <w:color w:val="000000"/>
          <w:sz w:val="26"/>
          <w:szCs w:val="26"/>
          <w:lang w:eastAsia="ru-RU"/>
        </w:rPr>
      </w:pPr>
      <w:r w:rsidRPr="00D95123">
        <w:rPr>
          <w:rFonts w:eastAsia="Times New Roman"/>
          <w:b/>
          <w:iCs/>
          <w:color w:val="000000"/>
          <w:sz w:val="26"/>
          <w:szCs w:val="26"/>
          <w:lang w:eastAsia="ru-RU"/>
        </w:rPr>
        <w:t>Показатели баланса электроэнергии</w:t>
      </w:r>
    </w:p>
    <w:tbl>
      <w:tblPr>
        <w:tblW w:w="14986" w:type="dxa"/>
        <w:tblInd w:w="95" w:type="dxa"/>
        <w:tblLook w:val="04A0"/>
      </w:tblPr>
      <w:tblGrid>
        <w:gridCol w:w="580"/>
        <w:gridCol w:w="3686"/>
        <w:gridCol w:w="1340"/>
        <w:gridCol w:w="1340"/>
        <w:gridCol w:w="1340"/>
        <w:gridCol w:w="1340"/>
        <w:gridCol w:w="1340"/>
        <w:gridCol w:w="1340"/>
        <w:gridCol w:w="1340"/>
        <w:gridCol w:w="1340"/>
      </w:tblGrid>
      <w:tr w:rsidR="0050069D" w:rsidRPr="004761E0" w:rsidTr="0050069D">
        <w:trPr>
          <w:trHeight w:val="300"/>
        </w:trPr>
        <w:tc>
          <w:tcPr>
            <w:tcW w:w="580" w:type="dxa"/>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0F243E" w:themeFill="text2" w:themeFillShade="80"/>
            <w:vAlign w:val="center"/>
            <w:hideMark/>
          </w:tcPr>
          <w:p w:rsidR="0050069D" w:rsidRPr="004761E0" w:rsidRDefault="0050069D" w:rsidP="0050069D">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lastRenderedPageBreak/>
              <w:t>№ п/п</w:t>
            </w:r>
          </w:p>
        </w:tc>
        <w:tc>
          <w:tcPr>
            <w:tcW w:w="3686"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50069D" w:rsidRPr="004761E0" w:rsidRDefault="0050069D" w:rsidP="0050069D">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5360"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50069D" w:rsidRPr="004761E0" w:rsidRDefault="0050069D" w:rsidP="0050069D">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г. Москва</w:t>
            </w:r>
          </w:p>
        </w:tc>
        <w:tc>
          <w:tcPr>
            <w:tcW w:w="5360" w:type="dxa"/>
            <w:gridSpan w:val="4"/>
            <w:tcBorders>
              <w:top w:val="single" w:sz="4" w:space="0" w:color="auto"/>
              <w:left w:val="single" w:sz="4" w:space="0" w:color="FFFFFF" w:themeColor="background1"/>
              <w:bottom w:val="single" w:sz="4" w:space="0" w:color="FFFFFF" w:themeColor="background1"/>
              <w:right w:val="single" w:sz="4" w:space="0" w:color="auto"/>
            </w:tcBorders>
            <w:shd w:val="clear" w:color="auto" w:fill="0F243E" w:themeFill="text2" w:themeFillShade="80"/>
            <w:vAlign w:val="center"/>
            <w:hideMark/>
          </w:tcPr>
          <w:p w:rsidR="0050069D" w:rsidRPr="004761E0" w:rsidRDefault="0050069D" w:rsidP="0050069D">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Московская область</w:t>
            </w:r>
          </w:p>
        </w:tc>
      </w:tr>
      <w:tr w:rsidR="0050069D" w:rsidRPr="004761E0" w:rsidTr="0050069D">
        <w:trPr>
          <w:trHeight w:val="300"/>
        </w:trPr>
        <w:tc>
          <w:tcPr>
            <w:tcW w:w="580" w:type="dxa"/>
            <w:vMerge/>
            <w:tcBorders>
              <w:top w:val="single" w:sz="4" w:space="0" w:color="FFFFFF" w:themeColor="background1"/>
              <w:left w:val="single" w:sz="4" w:space="0" w:color="auto"/>
              <w:bottom w:val="single" w:sz="4" w:space="0" w:color="000000"/>
              <w:right w:val="single" w:sz="4" w:space="0" w:color="FFFFFF" w:themeColor="background1"/>
            </w:tcBorders>
            <w:shd w:val="clear" w:color="auto" w:fill="0F243E" w:themeFill="text2" w:themeFillShade="80"/>
            <w:vAlign w:val="center"/>
            <w:hideMark/>
          </w:tcPr>
          <w:p w:rsidR="0050069D" w:rsidRPr="004761E0" w:rsidRDefault="0050069D" w:rsidP="0050069D">
            <w:pPr>
              <w:rPr>
                <w:rFonts w:eastAsia="Times New Roman"/>
                <w:b/>
                <w:color w:val="FFFFFF" w:themeColor="background1"/>
                <w:sz w:val="20"/>
                <w:szCs w:val="20"/>
                <w:lang w:eastAsia="ru-RU"/>
              </w:rPr>
            </w:pPr>
          </w:p>
        </w:tc>
        <w:tc>
          <w:tcPr>
            <w:tcW w:w="3686" w:type="dxa"/>
            <w:vMerge/>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0F243E" w:themeFill="text2" w:themeFillShade="80"/>
            <w:vAlign w:val="center"/>
            <w:hideMark/>
          </w:tcPr>
          <w:p w:rsidR="0050069D" w:rsidRPr="004761E0" w:rsidRDefault="0050069D" w:rsidP="0050069D">
            <w:pPr>
              <w:rPr>
                <w:rFonts w:eastAsia="Times New Roman"/>
                <w:b/>
                <w:color w:val="FFFFFF" w:themeColor="background1"/>
                <w:sz w:val="20"/>
                <w:szCs w:val="20"/>
                <w:lang w:eastAsia="ru-RU"/>
              </w:rPr>
            </w:pPr>
          </w:p>
        </w:tc>
        <w:tc>
          <w:tcPr>
            <w:tcW w:w="134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0069D" w:rsidRPr="004761E0" w:rsidRDefault="0050069D" w:rsidP="0050069D">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34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0069D" w:rsidRPr="004761E0" w:rsidRDefault="0050069D" w:rsidP="0050069D">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34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0069D" w:rsidRPr="004761E0" w:rsidRDefault="0050069D" w:rsidP="0050069D">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34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0069D" w:rsidRPr="004761E0" w:rsidRDefault="0050069D" w:rsidP="007877E1">
            <w:pPr>
              <w:ind w:hanging="17"/>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c>
          <w:tcPr>
            <w:tcW w:w="134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0069D" w:rsidRPr="004761E0" w:rsidRDefault="0050069D" w:rsidP="0050069D">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34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0069D" w:rsidRPr="004761E0" w:rsidRDefault="0050069D" w:rsidP="0050069D">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34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0069D" w:rsidRPr="004761E0" w:rsidRDefault="0050069D" w:rsidP="0050069D">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340"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50069D" w:rsidRPr="004761E0" w:rsidRDefault="0050069D" w:rsidP="0050069D">
            <w:pPr>
              <w:ind w:hanging="17"/>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50069D" w:rsidRPr="004761E0" w:rsidTr="004E023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0069D" w:rsidRPr="004761E0" w:rsidRDefault="0050069D" w:rsidP="007076A7">
            <w:pPr>
              <w:numPr>
                <w:ilvl w:val="0"/>
                <w:numId w:val="12"/>
              </w:numPr>
              <w:tabs>
                <w:tab w:val="left" w:pos="262"/>
              </w:tabs>
              <w:rPr>
                <w:rFonts w:eastAsia="Times New Roman"/>
                <w:color w:val="000000"/>
                <w:sz w:val="20"/>
                <w:szCs w:val="20"/>
                <w:lang w:eastAsia="ru-RU"/>
              </w:rPr>
            </w:pPr>
          </w:p>
        </w:tc>
        <w:tc>
          <w:tcPr>
            <w:tcW w:w="3686"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50069D">
            <w:pPr>
              <w:ind w:firstLine="0"/>
              <w:rPr>
                <w:rFonts w:eastAsia="Times New Roman"/>
                <w:color w:val="000000"/>
                <w:sz w:val="20"/>
                <w:szCs w:val="20"/>
                <w:lang w:eastAsia="ru-RU"/>
              </w:rPr>
            </w:pPr>
            <w:r w:rsidRPr="004761E0">
              <w:rPr>
                <w:rFonts w:eastAsia="Times New Roman"/>
                <w:color w:val="000000"/>
                <w:sz w:val="20"/>
                <w:szCs w:val="20"/>
                <w:lang w:eastAsia="ru-RU"/>
              </w:rPr>
              <w:t>Отпуск в сеть, млн кВтч</w:t>
            </w:r>
          </w:p>
        </w:tc>
        <w:tc>
          <w:tcPr>
            <w:tcW w:w="1340"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4E0231">
            <w:pPr>
              <w:ind w:firstLine="0"/>
              <w:jc w:val="right"/>
              <w:rPr>
                <w:rFonts w:eastAsia="Times New Roman"/>
                <w:color w:val="000000"/>
                <w:sz w:val="20"/>
                <w:szCs w:val="20"/>
                <w:lang w:eastAsia="ru-RU"/>
              </w:rPr>
            </w:pPr>
            <w:r w:rsidRPr="004761E0">
              <w:rPr>
                <w:rFonts w:eastAsia="Times New Roman"/>
                <w:color w:val="000000"/>
                <w:sz w:val="20"/>
                <w:szCs w:val="20"/>
                <w:lang w:eastAsia="ru-RU"/>
              </w:rPr>
              <w:t>42 775</w:t>
            </w:r>
          </w:p>
        </w:tc>
        <w:tc>
          <w:tcPr>
            <w:tcW w:w="1340"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4E0231">
            <w:pPr>
              <w:ind w:firstLine="0"/>
              <w:jc w:val="right"/>
              <w:rPr>
                <w:rFonts w:eastAsia="Times New Roman"/>
                <w:color w:val="000000"/>
                <w:sz w:val="20"/>
                <w:szCs w:val="20"/>
                <w:lang w:eastAsia="ru-RU"/>
              </w:rPr>
            </w:pPr>
            <w:r w:rsidRPr="004761E0">
              <w:rPr>
                <w:rFonts w:eastAsia="Times New Roman"/>
                <w:color w:val="000000"/>
                <w:sz w:val="20"/>
                <w:szCs w:val="20"/>
                <w:lang w:eastAsia="ru-RU"/>
              </w:rPr>
              <w:t>44 779</w:t>
            </w:r>
          </w:p>
        </w:tc>
        <w:tc>
          <w:tcPr>
            <w:tcW w:w="1340"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4E0231">
            <w:pPr>
              <w:ind w:firstLine="0"/>
              <w:jc w:val="right"/>
              <w:rPr>
                <w:rFonts w:eastAsia="Times New Roman"/>
                <w:color w:val="000000"/>
                <w:sz w:val="20"/>
                <w:szCs w:val="20"/>
                <w:lang w:eastAsia="ru-RU"/>
              </w:rPr>
            </w:pPr>
            <w:r w:rsidRPr="004761E0">
              <w:rPr>
                <w:rFonts w:eastAsia="Times New Roman"/>
                <w:color w:val="000000"/>
                <w:sz w:val="20"/>
                <w:szCs w:val="20"/>
                <w:lang w:eastAsia="ru-RU"/>
              </w:rPr>
              <w:t>46 422</w:t>
            </w:r>
          </w:p>
        </w:tc>
        <w:tc>
          <w:tcPr>
            <w:tcW w:w="1340"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4E0231">
            <w:pPr>
              <w:ind w:firstLine="0"/>
              <w:jc w:val="right"/>
              <w:rPr>
                <w:rFonts w:eastAsia="Times New Roman"/>
                <w:color w:val="000000"/>
                <w:sz w:val="20"/>
                <w:szCs w:val="20"/>
                <w:lang w:eastAsia="ru-RU"/>
              </w:rPr>
            </w:pPr>
            <w:r w:rsidRPr="004761E0">
              <w:rPr>
                <w:rFonts w:eastAsia="Times New Roman"/>
                <w:color w:val="000000"/>
                <w:sz w:val="20"/>
                <w:szCs w:val="20"/>
                <w:lang w:eastAsia="ru-RU"/>
              </w:rPr>
              <w:t>3,67 %</w:t>
            </w:r>
          </w:p>
        </w:tc>
        <w:tc>
          <w:tcPr>
            <w:tcW w:w="1340"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4E0231">
            <w:pPr>
              <w:ind w:firstLine="0"/>
              <w:jc w:val="right"/>
              <w:rPr>
                <w:rFonts w:eastAsia="Times New Roman"/>
                <w:color w:val="000000"/>
                <w:sz w:val="20"/>
                <w:szCs w:val="20"/>
                <w:lang w:eastAsia="ru-RU"/>
              </w:rPr>
            </w:pPr>
            <w:r w:rsidRPr="004761E0">
              <w:rPr>
                <w:rFonts w:eastAsia="Times New Roman"/>
                <w:color w:val="000000"/>
                <w:sz w:val="20"/>
                <w:szCs w:val="20"/>
                <w:lang w:eastAsia="ru-RU"/>
              </w:rPr>
              <w:t>41 390</w:t>
            </w:r>
          </w:p>
        </w:tc>
        <w:tc>
          <w:tcPr>
            <w:tcW w:w="1340"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4E0231">
            <w:pPr>
              <w:ind w:firstLine="0"/>
              <w:jc w:val="right"/>
              <w:rPr>
                <w:rFonts w:eastAsia="Times New Roman"/>
                <w:color w:val="000000"/>
                <w:sz w:val="20"/>
                <w:szCs w:val="20"/>
                <w:lang w:eastAsia="ru-RU"/>
              </w:rPr>
            </w:pPr>
            <w:r w:rsidRPr="004761E0">
              <w:rPr>
                <w:rFonts w:eastAsia="Times New Roman"/>
                <w:color w:val="000000"/>
                <w:sz w:val="20"/>
                <w:szCs w:val="20"/>
                <w:lang w:eastAsia="ru-RU"/>
              </w:rPr>
              <w:t>42 137</w:t>
            </w:r>
          </w:p>
        </w:tc>
        <w:tc>
          <w:tcPr>
            <w:tcW w:w="1340"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4E0231">
            <w:pPr>
              <w:ind w:firstLine="0"/>
              <w:jc w:val="right"/>
              <w:rPr>
                <w:rFonts w:eastAsia="Times New Roman"/>
                <w:color w:val="000000"/>
                <w:sz w:val="20"/>
                <w:szCs w:val="20"/>
                <w:lang w:eastAsia="ru-RU"/>
              </w:rPr>
            </w:pPr>
            <w:r w:rsidRPr="004761E0">
              <w:rPr>
                <w:rFonts w:eastAsia="Times New Roman"/>
                <w:color w:val="000000"/>
                <w:sz w:val="20"/>
                <w:szCs w:val="20"/>
                <w:lang w:eastAsia="ru-RU"/>
              </w:rPr>
              <w:t>41 793</w:t>
            </w:r>
          </w:p>
        </w:tc>
        <w:tc>
          <w:tcPr>
            <w:tcW w:w="1340"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4E0231">
            <w:pPr>
              <w:ind w:firstLine="0"/>
              <w:jc w:val="right"/>
              <w:rPr>
                <w:rFonts w:eastAsia="Times New Roman"/>
                <w:color w:val="000000"/>
                <w:sz w:val="20"/>
                <w:szCs w:val="20"/>
                <w:lang w:eastAsia="ru-RU"/>
              </w:rPr>
            </w:pPr>
            <w:r w:rsidRPr="004761E0">
              <w:rPr>
                <w:rFonts w:eastAsia="Times New Roman"/>
                <w:color w:val="000000"/>
                <w:sz w:val="20"/>
                <w:szCs w:val="20"/>
                <w:lang w:eastAsia="ru-RU"/>
              </w:rPr>
              <w:t>-0,82 %</w:t>
            </w:r>
          </w:p>
        </w:tc>
      </w:tr>
      <w:tr w:rsidR="0050069D" w:rsidRPr="004761E0" w:rsidTr="004E023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0069D" w:rsidRPr="004761E0" w:rsidRDefault="0050069D" w:rsidP="007076A7">
            <w:pPr>
              <w:numPr>
                <w:ilvl w:val="0"/>
                <w:numId w:val="12"/>
              </w:numPr>
              <w:tabs>
                <w:tab w:val="left" w:pos="262"/>
              </w:tabs>
              <w:rPr>
                <w:rFonts w:eastAsia="Times New Roman"/>
                <w:color w:val="000000"/>
                <w:sz w:val="20"/>
                <w:szCs w:val="20"/>
                <w:lang w:eastAsia="ru-RU"/>
              </w:rPr>
            </w:pPr>
          </w:p>
        </w:tc>
        <w:tc>
          <w:tcPr>
            <w:tcW w:w="3686" w:type="dxa"/>
            <w:tcBorders>
              <w:top w:val="nil"/>
              <w:left w:val="nil"/>
              <w:bottom w:val="single" w:sz="4" w:space="0" w:color="auto"/>
              <w:right w:val="single" w:sz="4" w:space="0" w:color="auto"/>
            </w:tcBorders>
            <w:shd w:val="clear" w:color="auto" w:fill="auto"/>
            <w:vAlign w:val="center"/>
            <w:hideMark/>
          </w:tcPr>
          <w:p w:rsidR="0050069D" w:rsidRPr="004761E0" w:rsidRDefault="005457CA" w:rsidP="005457CA">
            <w:pPr>
              <w:ind w:firstLine="0"/>
              <w:rPr>
                <w:rFonts w:eastAsia="Times New Roman"/>
                <w:color w:val="000000"/>
                <w:sz w:val="20"/>
                <w:szCs w:val="20"/>
                <w:lang w:eastAsia="ru-RU"/>
              </w:rPr>
            </w:pPr>
            <w:r w:rsidRPr="004761E0">
              <w:rPr>
                <w:rFonts w:eastAsia="Times New Roman"/>
                <w:color w:val="000000"/>
                <w:sz w:val="20"/>
                <w:szCs w:val="20"/>
                <w:lang w:eastAsia="ru-RU"/>
              </w:rPr>
              <w:t>П</w:t>
            </w:r>
            <w:r w:rsidR="0050069D" w:rsidRPr="004761E0">
              <w:rPr>
                <w:rFonts w:eastAsia="Times New Roman"/>
                <w:color w:val="000000"/>
                <w:sz w:val="20"/>
                <w:szCs w:val="20"/>
                <w:lang w:eastAsia="ru-RU"/>
              </w:rPr>
              <w:t>олезный отпуск</w:t>
            </w:r>
            <w:r w:rsidR="000F1B8D" w:rsidRPr="004761E0">
              <w:rPr>
                <w:rFonts w:eastAsia="Times New Roman"/>
                <w:color w:val="000000"/>
                <w:sz w:val="20"/>
                <w:szCs w:val="20"/>
                <w:lang w:eastAsia="ru-RU"/>
              </w:rPr>
              <w:t xml:space="preserve"> «собственный»</w:t>
            </w:r>
            <w:r w:rsidRPr="006F4AB8">
              <w:rPr>
                <w:rStyle w:val="af1"/>
              </w:rPr>
              <w:footnoteReference w:id="145"/>
            </w:r>
            <w:r w:rsidR="0050069D" w:rsidRPr="004761E0">
              <w:rPr>
                <w:rFonts w:eastAsia="Times New Roman"/>
                <w:color w:val="000000"/>
                <w:sz w:val="20"/>
                <w:szCs w:val="20"/>
                <w:lang w:eastAsia="ru-RU"/>
              </w:rPr>
              <w:t>, млн кВтч</w:t>
            </w:r>
          </w:p>
        </w:tc>
        <w:tc>
          <w:tcPr>
            <w:tcW w:w="1340"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4E0231">
            <w:pPr>
              <w:ind w:firstLine="0"/>
              <w:jc w:val="right"/>
              <w:rPr>
                <w:rFonts w:eastAsia="Times New Roman"/>
                <w:color w:val="000000"/>
                <w:sz w:val="20"/>
                <w:szCs w:val="20"/>
                <w:lang w:eastAsia="ru-RU"/>
              </w:rPr>
            </w:pPr>
            <w:r w:rsidRPr="004761E0">
              <w:rPr>
                <w:rFonts w:eastAsia="Times New Roman"/>
                <w:color w:val="000000"/>
                <w:sz w:val="20"/>
                <w:szCs w:val="20"/>
                <w:lang w:eastAsia="ru-RU"/>
              </w:rPr>
              <w:t>38 417</w:t>
            </w:r>
          </w:p>
        </w:tc>
        <w:tc>
          <w:tcPr>
            <w:tcW w:w="1340"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4E0231">
            <w:pPr>
              <w:ind w:firstLine="0"/>
              <w:jc w:val="right"/>
              <w:rPr>
                <w:rFonts w:eastAsia="Times New Roman"/>
                <w:color w:val="000000"/>
                <w:sz w:val="20"/>
                <w:szCs w:val="20"/>
                <w:lang w:eastAsia="ru-RU"/>
              </w:rPr>
            </w:pPr>
            <w:r w:rsidRPr="004761E0">
              <w:rPr>
                <w:rFonts w:eastAsia="Times New Roman"/>
                <w:color w:val="000000"/>
                <w:sz w:val="20"/>
                <w:szCs w:val="20"/>
                <w:lang w:eastAsia="ru-RU"/>
              </w:rPr>
              <w:t>40 550</w:t>
            </w:r>
          </w:p>
        </w:tc>
        <w:tc>
          <w:tcPr>
            <w:tcW w:w="1340"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4E0231">
            <w:pPr>
              <w:ind w:firstLine="0"/>
              <w:jc w:val="right"/>
              <w:rPr>
                <w:rFonts w:eastAsia="Times New Roman"/>
                <w:color w:val="000000"/>
                <w:sz w:val="20"/>
                <w:szCs w:val="20"/>
                <w:lang w:eastAsia="ru-RU"/>
              </w:rPr>
            </w:pPr>
            <w:r w:rsidRPr="004761E0">
              <w:rPr>
                <w:rFonts w:eastAsia="Times New Roman"/>
                <w:color w:val="000000"/>
                <w:sz w:val="20"/>
                <w:szCs w:val="20"/>
                <w:lang w:eastAsia="ru-RU"/>
              </w:rPr>
              <w:t>42 236</w:t>
            </w:r>
          </w:p>
        </w:tc>
        <w:tc>
          <w:tcPr>
            <w:tcW w:w="1340"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4E0231">
            <w:pPr>
              <w:ind w:firstLine="0"/>
              <w:jc w:val="right"/>
              <w:rPr>
                <w:rFonts w:eastAsia="Times New Roman"/>
                <w:color w:val="000000"/>
                <w:sz w:val="20"/>
                <w:szCs w:val="20"/>
                <w:lang w:eastAsia="ru-RU"/>
              </w:rPr>
            </w:pPr>
            <w:r w:rsidRPr="004761E0">
              <w:rPr>
                <w:rFonts w:eastAsia="Times New Roman"/>
                <w:color w:val="000000"/>
                <w:sz w:val="20"/>
                <w:szCs w:val="20"/>
                <w:lang w:eastAsia="ru-RU"/>
              </w:rPr>
              <w:t>4,16 %</w:t>
            </w:r>
          </w:p>
        </w:tc>
        <w:tc>
          <w:tcPr>
            <w:tcW w:w="1340"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4E0231">
            <w:pPr>
              <w:ind w:firstLine="0"/>
              <w:jc w:val="right"/>
              <w:rPr>
                <w:rFonts w:eastAsia="Times New Roman"/>
                <w:color w:val="000000"/>
                <w:sz w:val="20"/>
                <w:szCs w:val="20"/>
                <w:lang w:eastAsia="ru-RU"/>
              </w:rPr>
            </w:pPr>
            <w:r w:rsidRPr="004761E0">
              <w:rPr>
                <w:rFonts w:eastAsia="Times New Roman"/>
                <w:color w:val="000000"/>
                <w:sz w:val="20"/>
                <w:szCs w:val="20"/>
                <w:lang w:eastAsia="ru-RU"/>
              </w:rPr>
              <w:t>37 053</w:t>
            </w:r>
          </w:p>
        </w:tc>
        <w:tc>
          <w:tcPr>
            <w:tcW w:w="1340"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4E0231">
            <w:pPr>
              <w:ind w:firstLine="0"/>
              <w:jc w:val="right"/>
              <w:rPr>
                <w:rFonts w:eastAsia="Times New Roman"/>
                <w:color w:val="000000"/>
                <w:sz w:val="20"/>
                <w:szCs w:val="20"/>
                <w:lang w:eastAsia="ru-RU"/>
              </w:rPr>
            </w:pPr>
            <w:r w:rsidRPr="004761E0">
              <w:rPr>
                <w:rFonts w:eastAsia="Times New Roman"/>
                <w:color w:val="000000"/>
                <w:sz w:val="20"/>
                <w:szCs w:val="20"/>
                <w:lang w:eastAsia="ru-RU"/>
              </w:rPr>
              <w:t>37 996</w:t>
            </w:r>
          </w:p>
        </w:tc>
        <w:tc>
          <w:tcPr>
            <w:tcW w:w="1340"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4E0231">
            <w:pPr>
              <w:ind w:firstLine="0"/>
              <w:jc w:val="right"/>
              <w:rPr>
                <w:rFonts w:eastAsia="Times New Roman"/>
                <w:color w:val="000000"/>
                <w:sz w:val="20"/>
                <w:szCs w:val="20"/>
                <w:lang w:eastAsia="ru-RU"/>
              </w:rPr>
            </w:pPr>
            <w:r w:rsidRPr="004761E0">
              <w:rPr>
                <w:rFonts w:eastAsia="Times New Roman"/>
                <w:color w:val="000000"/>
                <w:sz w:val="20"/>
                <w:szCs w:val="20"/>
                <w:lang w:eastAsia="ru-RU"/>
              </w:rPr>
              <w:t>37 897</w:t>
            </w:r>
          </w:p>
        </w:tc>
        <w:tc>
          <w:tcPr>
            <w:tcW w:w="1340"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4E0231">
            <w:pPr>
              <w:ind w:firstLine="0"/>
              <w:jc w:val="right"/>
              <w:rPr>
                <w:rFonts w:eastAsia="Times New Roman"/>
                <w:color w:val="000000"/>
                <w:sz w:val="20"/>
                <w:szCs w:val="20"/>
                <w:lang w:eastAsia="ru-RU"/>
              </w:rPr>
            </w:pPr>
            <w:r w:rsidRPr="004761E0">
              <w:rPr>
                <w:rFonts w:eastAsia="Times New Roman"/>
                <w:color w:val="000000"/>
                <w:sz w:val="20"/>
                <w:szCs w:val="20"/>
                <w:lang w:eastAsia="ru-RU"/>
              </w:rPr>
              <w:t>-0,26 %</w:t>
            </w:r>
          </w:p>
        </w:tc>
      </w:tr>
      <w:tr w:rsidR="0050069D" w:rsidRPr="004761E0" w:rsidTr="004E023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0069D" w:rsidRPr="004761E0" w:rsidRDefault="0050069D" w:rsidP="007076A7">
            <w:pPr>
              <w:numPr>
                <w:ilvl w:val="0"/>
                <w:numId w:val="12"/>
              </w:numPr>
              <w:tabs>
                <w:tab w:val="left" w:pos="262"/>
              </w:tabs>
              <w:rPr>
                <w:rFonts w:eastAsia="Times New Roman"/>
                <w:color w:val="000000"/>
                <w:sz w:val="20"/>
                <w:szCs w:val="20"/>
                <w:lang w:eastAsia="ru-RU"/>
              </w:rPr>
            </w:pPr>
          </w:p>
        </w:tc>
        <w:tc>
          <w:tcPr>
            <w:tcW w:w="3686"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50069D">
            <w:pPr>
              <w:ind w:firstLine="0"/>
              <w:rPr>
                <w:rFonts w:eastAsia="Times New Roman"/>
                <w:color w:val="000000"/>
                <w:sz w:val="20"/>
                <w:szCs w:val="20"/>
                <w:lang w:eastAsia="ru-RU"/>
              </w:rPr>
            </w:pPr>
            <w:r w:rsidRPr="004761E0">
              <w:rPr>
                <w:rFonts w:eastAsia="Times New Roman"/>
                <w:color w:val="000000"/>
                <w:sz w:val="20"/>
                <w:szCs w:val="20"/>
                <w:lang w:eastAsia="ru-RU"/>
              </w:rPr>
              <w:t>Потери, % от отпуска в сеть</w:t>
            </w:r>
          </w:p>
        </w:tc>
        <w:tc>
          <w:tcPr>
            <w:tcW w:w="1340"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4E0231">
            <w:pPr>
              <w:ind w:firstLine="0"/>
              <w:jc w:val="right"/>
              <w:rPr>
                <w:rFonts w:eastAsia="Times New Roman"/>
                <w:color w:val="000000"/>
                <w:sz w:val="20"/>
                <w:szCs w:val="20"/>
                <w:lang w:eastAsia="ru-RU"/>
              </w:rPr>
            </w:pPr>
            <w:r w:rsidRPr="004761E0">
              <w:rPr>
                <w:rFonts w:eastAsia="Times New Roman"/>
                <w:color w:val="000000"/>
                <w:sz w:val="20"/>
                <w:szCs w:val="20"/>
                <w:lang w:eastAsia="ru-RU"/>
              </w:rPr>
              <w:t>10,19</w:t>
            </w:r>
          </w:p>
        </w:tc>
        <w:tc>
          <w:tcPr>
            <w:tcW w:w="1340"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4E0231">
            <w:pPr>
              <w:ind w:firstLine="0"/>
              <w:jc w:val="right"/>
              <w:rPr>
                <w:rFonts w:eastAsia="Times New Roman"/>
                <w:color w:val="000000"/>
                <w:sz w:val="20"/>
                <w:szCs w:val="20"/>
                <w:lang w:eastAsia="ru-RU"/>
              </w:rPr>
            </w:pPr>
            <w:r w:rsidRPr="004761E0">
              <w:rPr>
                <w:rFonts w:eastAsia="Times New Roman"/>
                <w:color w:val="000000"/>
                <w:sz w:val="20"/>
                <w:szCs w:val="20"/>
                <w:lang w:eastAsia="ru-RU"/>
              </w:rPr>
              <w:t>9,44</w:t>
            </w:r>
          </w:p>
        </w:tc>
        <w:tc>
          <w:tcPr>
            <w:tcW w:w="1340"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4E0231">
            <w:pPr>
              <w:ind w:firstLine="0"/>
              <w:jc w:val="right"/>
              <w:rPr>
                <w:rFonts w:eastAsia="Times New Roman"/>
                <w:color w:val="000000"/>
                <w:sz w:val="20"/>
                <w:szCs w:val="20"/>
                <w:lang w:eastAsia="ru-RU"/>
              </w:rPr>
            </w:pPr>
            <w:r w:rsidRPr="004761E0">
              <w:rPr>
                <w:rFonts w:eastAsia="Times New Roman"/>
                <w:color w:val="000000"/>
                <w:sz w:val="20"/>
                <w:szCs w:val="20"/>
                <w:lang w:eastAsia="ru-RU"/>
              </w:rPr>
              <w:t>9,02</w:t>
            </w:r>
          </w:p>
        </w:tc>
        <w:tc>
          <w:tcPr>
            <w:tcW w:w="1340"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4E0231">
            <w:pPr>
              <w:ind w:firstLine="0"/>
              <w:jc w:val="right"/>
              <w:rPr>
                <w:rFonts w:eastAsia="Times New Roman"/>
                <w:color w:val="000000"/>
                <w:sz w:val="20"/>
                <w:szCs w:val="20"/>
                <w:lang w:eastAsia="ru-RU"/>
              </w:rPr>
            </w:pPr>
            <w:r w:rsidRPr="004761E0">
              <w:rPr>
                <w:rFonts w:eastAsia="Times New Roman"/>
                <w:color w:val="000000"/>
                <w:sz w:val="20"/>
                <w:szCs w:val="20"/>
                <w:lang w:eastAsia="ru-RU"/>
              </w:rPr>
              <w:t>-0,42 п.п.</w:t>
            </w:r>
          </w:p>
        </w:tc>
        <w:tc>
          <w:tcPr>
            <w:tcW w:w="1340"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4E0231">
            <w:pPr>
              <w:ind w:firstLine="0"/>
              <w:jc w:val="right"/>
              <w:rPr>
                <w:rFonts w:eastAsia="Times New Roman"/>
                <w:color w:val="000000"/>
                <w:sz w:val="20"/>
                <w:szCs w:val="20"/>
                <w:lang w:eastAsia="ru-RU"/>
              </w:rPr>
            </w:pPr>
            <w:r w:rsidRPr="004761E0">
              <w:rPr>
                <w:rFonts w:eastAsia="Times New Roman"/>
                <w:color w:val="000000"/>
                <w:sz w:val="20"/>
                <w:szCs w:val="20"/>
                <w:lang w:eastAsia="ru-RU"/>
              </w:rPr>
              <w:t>10,48</w:t>
            </w:r>
          </w:p>
        </w:tc>
        <w:tc>
          <w:tcPr>
            <w:tcW w:w="1340"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4E0231">
            <w:pPr>
              <w:ind w:firstLine="0"/>
              <w:jc w:val="right"/>
              <w:rPr>
                <w:rFonts w:eastAsia="Times New Roman"/>
                <w:color w:val="000000"/>
                <w:sz w:val="20"/>
                <w:szCs w:val="20"/>
                <w:lang w:eastAsia="ru-RU"/>
              </w:rPr>
            </w:pPr>
            <w:r w:rsidRPr="004761E0">
              <w:rPr>
                <w:rFonts w:eastAsia="Times New Roman"/>
                <w:color w:val="000000"/>
                <w:sz w:val="20"/>
                <w:szCs w:val="20"/>
                <w:lang w:eastAsia="ru-RU"/>
              </w:rPr>
              <w:t>9,83</w:t>
            </w:r>
          </w:p>
        </w:tc>
        <w:tc>
          <w:tcPr>
            <w:tcW w:w="1340"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4E0231">
            <w:pPr>
              <w:ind w:firstLine="0"/>
              <w:jc w:val="right"/>
              <w:rPr>
                <w:rFonts w:eastAsia="Times New Roman"/>
                <w:color w:val="000000"/>
                <w:sz w:val="20"/>
                <w:szCs w:val="20"/>
                <w:lang w:eastAsia="ru-RU"/>
              </w:rPr>
            </w:pPr>
            <w:r w:rsidRPr="004761E0">
              <w:rPr>
                <w:rFonts w:eastAsia="Times New Roman"/>
                <w:color w:val="000000"/>
                <w:sz w:val="20"/>
                <w:szCs w:val="20"/>
                <w:lang w:eastAsia="ru-RU"/>
              </w:rPr>
              <w:t>9,32</w:t>
            </w:r>
          </w:p>
        </w:tc>
        <w:tc>
          <w:tcPr>
            <w:tcW w:w="1340"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4E0231">
            <w:pPr>
              <w:ind w:firstLine="0"/>
              <w:jc w:val="right"/>
              <w:rPr>
                <w:rFonts w:eastAsia="Times New Roman"/>
                <w:color w:val="000000"/>
                <w:sz w:val="20"/>
                <w:szCs w:val="20"/>
                <w:lang w:eastAsia="ru-RU"/>
              </w:rPr>
            </w:pPr>
            <w:r w:rsidRPr="004761E0">
              <w:rPr>
                <w:rFonts w:eastAsia="Times New Roman"/>
                <w:color w:val="000000"/>
                <w:sz w:val="20"/>
                <w:szCs w:val="20"/>
                <w:lang w:eastAsia="ru-RU"/>
              </w:rPr>
              <w:t>-0,51 п.п.</w:t>
            </w:r>
          </w:p>
        </w:tc>
      </w:tr>
      <w:tr w:rsidR="0050069D" w:rsidRPr="004761E0" w:rsidTr="000F1B8D">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0069D" w:rsidRPr="004761E0" w:rsidRDefault="0050069D" w:rsidP="007076A7">
            <w:pPr>
              <w:numPr>
                <w:ilvl w:val="0"/>
                <w:numId w:val="12"/>
              </w:numPr>
              <w:tabs>
                <w:tab w:val="left" w:pos="262"/>
              </w:tabs>
              <w:rPr>
                <w:rFonts w:eastAsia="Times New Roman"/>
                <w:color w:val="000000"/>
                <w:sz w:val="20"/>
                <w:szCs w:val="20"/>
                <w:lang w:eastAsia="ru-RU"/>
              </w:rPr>
            </w:pPr>
          </w:p>
        </w:tc>
        <w:tc>
          <w:tcPr>
            <w:tcW w:w="3686"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50069D">
            <w:pPr>
              <w:ind w:firstLine="0"/>
              <w:rPr>
                <w:rFonts w:eastAsia="Times New Roman"/>
                <w:color w:val="000000"/>
                <w:sz w:val="20"/>
                <w:szCs w:val="20"/>
                <w:lang w:eastAsia="ru-RU"/>
              </w:rPr>
            </w:pPr>
            <w:r w:rsidRPr="004761E0">
              <w:rPr>
                <w:rFonts w:eastAsia="Times New Roman"/>
                <w:color w:val="000000"/>
                <w:sz w:val="20"/>
                <w:szCs w:val="20"/>
                <w:lang w:eastAsia="ru-RU"/>
              </w:rPr>
              <w:t>Потери, млн кВтч</w:t>
            </w:r>
          </w:p>
        </w:tc>
        <w:tc>
          <w:tcPr>
            <w:tcW w:w="1340"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4E0231">
            <w:pPr>
              <w:ind w:firstLine="0"/>
              <w:jc w:val="right"/>
              <w:rPr>
                <w:rFonts w:eastAsia="Times New Roman"/>
                <w:color w:val="000000"/>
                <w:sz w:val="20"/>
                <w:szCs w:val="20"/>
                <w:lang w:eastAsia="ru-RU"/>
              </w:rPr>
            </w:pPr>
            <w:r w:rsidRPr="004761E0">
              <w:rPr>
                <w:rFonts w:eastAsia="Times New Roman"/>
                <w:color w:val="000000"/>
                <w:sz w:val="20"/>
                <w:szCs w:val="20"/>
                <w:lang w:eastAsia="ru-RU"/>
              </w:rPr>
              <w:t>4 359</w:t>
            </w:r>
          </w:p>
        </w:tc>
        <w:tc>
          <w:tcPr>
            <w:tcW w:w="1340"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4E0231">
            <w:pPr>
              <w:ind w:firstLine="0"/>
              <w:jc w:val="right"/>
              <w:rPr>
                <w:rFonts w:eastAsia="Times New Roman"/>
                <w:color w:val="000000"/>
                <w:sz w:val="20"/>
                <w:szCs w:val="20"/>
                <w:lang w:eastAsia="ru-RU"/>
              </w:rPr>
            </w:pPr>
            <w:r w:rsidRPr="004761E0">
              <w:rPr>
                <w:rFonts w:eastAsia="Times New Roman"/>
                <w:color w:val="000000"/>
                <w:sz w:val="20"/>
                <w:szCs w:val="20"/>
                <w:lang w:eastAsia="ru-RU"/>
              </w:rPr>
              <w:t>4 229</w:t>
            </w:r>
          </w:p>
        </w:tc>
        <w:tc>
          <w:tcPr>
            <w:tcW w:w="1340"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4E0231">
            <w:pPr>
              <w:ind w:firstLine="0"/>
              <w:jc w:val="right"/>
              <w:rPr>
                <w:rFonts w:eastAsia="Times New Roman"/>
                <w:color w:val="000000"/>
                <w:sz w:val="20"/>
                <w:szCs w:val="20"/>
                <w:lang w:eastAsia="ru-RU"/>
              </w:rPr>
            </w:pPr>
            <w:r w:rsidRPr="004761E0">
              <w:rPr>
                <w:rFonts w:eastAsia="Times New Roman"/>
                <w:color w:val="000000"/>
                <w:sz w:val="20"/>
                <w:szCs w:val="20"/>
                <w:lang w:eastAsia="ru-RU"/>
              </w:rPr>
              <w:t>4 186</w:t>
            </w:r>
          </w:p>
        </w:tc>
        <w:tc>
          <w:tcPr>
            <w:tcW w:w="1340"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4E0231">
            <w:pPr>
              <w:ind w:firstLine="0"/>
              <w:jc w:val="right"/>
              <w:rPr>
                <w:rFonts w:eastAsia="Times New Roman"/>
                <w:color w:val="000000"/>
                <w:sz w:val="20"/>
                <w:szCs w:val="20"/>
                <w:lang w:eastAsia="ru-RU"/>
              </w:rPr>
            </w:pPr>
            <w:r w:rsidRPr="004761E0">
              <w:rPr>
                <w:rFonts w:eastAsia="Times New Roman"/>
                <w:color w:val="000000"/>
                <w:sz w:val="20"/>
                <w:szCs w:val="20"/>
                <w:lang w:eastAsia="ru-RU"/>
              </w:rPr>
              <w:t>-1,02 %</w:t>
            </w:r>
          </w:p>
        </w:tc>
        <w:tc>
          <w:tcPr>
            <w:tcW w:w="1340"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4E0231">
            <w:pPr>
              <w:ind w:firstLine="0"/>
              <w:jc w:val="right"/>
              <w:rPr>
                <w:rFonts w:eastAsia="Times New Roman"/>
                <w:color w:val="000000"/>
                <w:sz w:val="20"/>
                <w:szCs w:val="20"/>
                <w:lang w:eastAsia="ru-RU"/>
              </w:rPr>
            </w:pPr>
            <w:r w:rsidRPr="004761E0">
              <w:rPr>
                <w:rFonts w:eastAsia="Times New Roman"/>
                <w:color w:val="000000"/>
                <w:sz w:val="20"/>
                <w:szCs w:val="20"/>
                <w:lang w:eastAsia="ru-RU"/>
              </w:rPr>
              <w:t>4 337</w:t>
            </w:r>
          </w:p>
        </w:tc>
        <w:tc>
          <w:tcPr>
            <w:tcW w:w="1340"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4E0231">
            <w:pPr>
              <w:ind w:firstLine="0"/>
              <w:jc w:val="right"/>
              <w:rPr>
                <w:rFonts w:eastAsia="Times New Roman"/>
                <w:color w:val="000000"/>
                <w:sz w:val="20"/>
                <w:szCs w:val="20"/>
                <w:lang w:eastAsia="ru-RU"/>
              </w:rPr>
            </w:pPr>
            <w:r w:rsidRPr="004761E0">
              <w:rPr>
                <w:rFonts w:eastAsia="Times New Roman"/>
                <w:color w:val="000000"/>
                <w:sz w:val="20"/>
                <w:szCs w:val="20"/>
                <w:lang w:eastAsia="ru-RU"/>
              </w:rPr>
              <w:t>4 140</w:t>
            </w:r>
          </w:p>
        </w:tc>
        <w:tc>
          <w:tcPr>
            <w:tcW w:w="1340"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4E0231">
            <w:pPr>
              <w:ind w:firstLine="0"/>
              <w:jc w:val="right"/>
              <w:rPr>
                <w:rFonts w:eastAsia="Times New Roman"/>
                <w:color w:val="000000"/>
                <w:sz w:val="20"/>
                <w:szCs w:val="20"/>
                <w:lang w:eastAsia="ru-RU"/>
              </w:rPr>
            </w:pPr>
            <w:r w:rsidRPr="004761E0">
              <w:rPr>
                <w:rFonts w:eastAsia="Times New Roman"/>
                <w:color w:val="000000"/>
                <w:sz w:val="20"/>
                <w:szCs w:val="20"/>
                <w:lang w:eastAsia="ru-RU"/>
              </w:rPr>
              <w:t>3 895</w:t>
            </w:r>
          </w:p>
        </w:tc>
        <w:tc>
          <w:tcPr>
            <w:tcW w:w="1340" w:type="dxa"/>
            <w:tcBorders>
              <w:top w:val="nil"/>
              <w:left w:val="nil"/>
              <w:bottom w:val="single" w:sz="4" w:space="0" w:color="auto"/>
              <w:right w:val="single" w:sz="4" w:space="0" w:color="auto"/>
            </w:tcBorders>
            <w:shd w:val="clear" w:color="auto" w:fill="auto"/>
            <w:vAlign w:val="center"/>
            <w:hideMark/>
          </w:tcPr>
          <w:p w:rsidR="0050069D" w:rsidRPr="004761E0" w:rsidRDefault="0050069D" w:rsidP="004E0231">
            <w:pPr>
              <w:ind w:firstLine="0"/>
              <w:jc w:val="right"/>
              <w:rPr>
                <w:rFonts w:eastAsia="Times New Roman"/>
                <w:color w:val="000000"/>
                <w:sz w:val="20"/>
                <w:szCs w:val="20"/>
                <w:lang w:eastAsia="ru-RU"/>
              </w:rPr>
            </w:pPr>
            <w:r w:rsidRPr="004761E0">
              <w:rPr>
                <w:rFonts w:eastAsia="Times New Roman"/>
                <w:color w:val="000000"/>
                <w:sz w:val="20"/>
                <w:szCs w:val="20"/>
                <w:lang w:eastAsia="ru-RU"/>
              </w:rPr>
              <w:t>-5,92 %</w:t>
            </w:r>
          </w:p>
        </w:tc>
      </w:tr>
      <w:tr w:rsidR="0076491C" w:rsidRPr="004761E0" w:rsidTr="0076491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91C" w:rsidRPr="004761E0" w:rsidRDefault="0076491C" w:rsidP="0076491C">
            <w:pPr>
              <w:tabs>
                <w:tab w:val="left" w:pos="262"/>
              </w:tabs>
              <w:ind w:left="360" w:firstLine="0"/>
              <w:rPr>
                <w:rFonts w:eastAsia="Times New Roman"/>
                <w:color w:val="000000"/>
                <w:sz w:val="20"/>
                <w:szCs w:val="20"/>
                <w:lang w:eastAsia="ru-RU"/>
              </w:rPr>
            </w:pPr>
          </w:p>
        </w:tc>
        <w:tc>
          <w:tcPr>
            <w:tcW w:w="14406" w:type="dxa"/>
            <w:gridSpan w:val="9"/>
            <w:tcBorders>
              <w:top w:val="single" w:sz="4" w:space="0" w:color="auto"/>
              <w:left w:val="nil"/>
              <w:bottom w:val="single" w:sz="4" w:space="0" w:color="auto"/>
              <w:right w:val="single" w:sz="4" w:space="0" w:color="auto"/>
            </w:tcBorders>
            <w:shd w:val="clear" w:color="auto" w:fill="auto"/>
            <w:vAlign w:val="center"/>
            <w:hideMark/>
          </w:tcPr>
          <w:p w:rsidR="0076491C" w:rsidRPr="004761E0" w:rsidRDefault="0076491C" w:rsidP="0076491C">
            <w:pPr>
              <w:ind w:firstLine="0"/>
              <w:jc w:val="left"/>
              <w:rPr>
                <w:rFonts w:eastAsia="Times New Roman"/>
                <w:color w:val="000000"/>
                <w:sz w:val="20"/>
                <w:szCs w:val="20"/>
                <w:lang w:eastAsia="ru-RU"/>
              </w:rPr>
            </w:pPr>
            <w:r>
              <w:rPr>
                <w:rFonts w:eastAsia="Times New Roman"/>
                <w:color w:val="000000"/>
                <w:sz w:val="20"/>
                <w:szCs w:val="20"/>
                <w:lang w:eastAsia="ru-RU"/>
              </w:rPr>
              <w:t>Справочно:</w:t>
            </w:r>
          </w:p>
        </w:tc>
      </w:tr>
      <w:tr w:rsidR="000F1B8D" w:rsidRPr="004761E0" w:rsidTr="000F1B8D">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1B8D" w:rsidRPr="004761E0" w:rsidRDefault="000F1B8D" w:rsidP="007076A7">
            <w:pPr>
              <w:numPr>
                <w:ilvl w:val="0"/>
                <w:numId w:val="12"/>
              </w:numPr>
              <w:tabs>
                <w:tab w:val="left" w:pos="262"/>
              </w:tabs>
              <w:rPr>
                <w:rFonts w:eastAsia="Times New Roman"/>
                <w:color w:val="000000"/>
                <w:sz w:val="20"/>
                <w:szCs w:val="20"/>
                <w:lang w:eastAsia="ru-RU"/>
              </w:rPr>
            </w:pP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0F1B8D" w:rsidRPr="004761E0" w:rsidRDefault="000F1B8D" w:rsidP="000F1B8D">
            <w:pPr>
              <w:ind w:firstLine="0"/>
              <w:rPr>
                <w:rFonts w:eastAsia="Times New Roman"/>
                <w:color w:val="000000"/>
                <w:sz w:val="20"/>
                <w:szCs w:val="20"/>
                <w:lang w:eastAsia="ru-RU"/>
              </w:rPr>
            </w:pPr>
            <w:r w:rsidRPr="004761E0">
              <w:rPr>
                <w:rFonts w:eastAsia="Times New Roman"/>
                <w:color w:val="000000"/>
                <w:sz w:val="20"/>
                <w:szCs w:val="20"/>
                <w:lang w:eastAsia="ru-RU"/>
              </w:rPr>
              <w:t>Полезный отпуск «котловой», млн кВтч</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0F1B8D" w:rsidRPr="004761E0" w:rsidRDefault="000F1B8D" w:rsidP="00C83360">
            <w:pPr>
              <w:ind w:firstLine="0"/>
              <w:jc w:val="right"/>
              <w:rPr>
                <w:rFonts w:eastAsia="Times New Roman"/>
                <w:color w:val="000000"/>
                <w:sz w:val="20"/>
                <w:szCs w:val="20"/>
                <w:lang w:eastAsia="ru-RU"/>
              </w:rPr>
            </w:pPr>
            <w:r w:rsidRPr="004761E0">
              <w:rPr>
                <w:rFonts w:eastAsia="Times New Roman"/>
                <w:color w:val="000000"/>
                <w:sz w:val="20"/>
                <w:szCs w:val="20"/>
                <w:lang w:eastAsia="ru-RU"/>
              </w:rPr>
              <w:t>37 876</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0F1B8D" w:rsidRPr="004761E0" w:rsidRDefault="000F1B8D" w:rsidP="00C83360">
            <w:pPr>
              <w:ind w:firstLine="0"/>
              <w:jc w:val="right"/>
              <w:rPr>
                <w:rFonts w:eastAsia="Times New Roman"/>
                <w:color w:val="000000"/>
                <w:sz w:val="20"/>
                <w:szCs w:val="20"/>
                <w:lang w:eastAsia="ru-RU"/>
              </w:rPr>
            </w:pPr>
            <w:r w:rsidRPr="004761E0">
              <w:rPr>
                <w:rFonts w:eastAsia="Times New Roman"/>
                <w:color w:val="000000"/>
                <w:sz w:val="20"/>
                <w:szCs w:val="20"/>
                <w:lang w:eastAsia="ru-RU"/>
              </w:rPr>
              <w:t>32 891</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0F1B8D" w:rsidRPr="004761E0" w:rsidRDefault="000F1B8D" w:rsidP="00C83360">
            <w:pPr>
              <w:ind w:firstLine="0"/>
              <w:jc w:val="right"/>
              <w:rPr>
                <w:rFonts w:eastAsia="Times New Roman"/>
                <w:color w:val="000000"/>
                <w:sz w:val="20"/>
                <w:szCs w:val="20"/>
                <w:lang w:eastAsia="ru-RU"/>
              </w:rPr>
            </w:pPr>
            <w:r w:rsidRPr="004761E0">
              <w:rPr>
                <w:rFonts w:eastAsia="Times New Roman"/>
                <w:color w:val="000000"/>
                <w:sz w:val="20"/>
                <w:szCs w:val="20"/>
                <w:lang w:eastAsia="ru-RU"/>
              </w:rPr>
              <w:t>34 675</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0F1B8D" w:rsidRPr="004761E0" w:rsidRDefault="000F1B8D" w:rsidP="00C83360">
            <w:pPr>
              <w:ind w:firstLine="0"/>
              <w:jc w:val="right"/>
              <w:rPr>
                <w:rFonts w:eastAsia="Times New Roman"/>
                <w:color w:val="000000"/>
                <w:sz w:val="20"/>
                <w:szCs w:val="20"/>
                <w:lang w:eastAsia="ru-RU"/>
              </w:rPr>
            </w:pPr>
            <w:r w:rsidRPr="004761E0">
              <w:rPr>
                <w:rFonts w:eastAsia="Times New Roman"/>
                <w:color w:val="000000"/>
                <w:sz w:val="20"/>
                <w:szCs w:val="20"/>
                <w:lang w:eastAsia="ru-RU"/>
              </w:rPr>
              <w:t>5,42 %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0F1B8D" w:rsidRPr="004761E0" w:rsidRDefault="000F1B8D" w:rsidP="00C83360">
            <w:pPr>
              <w:ind w:firstLine="0"/>
              <w:jc w:val="right"/>
              <w:rPr>
                <w:rFonts w:eastAsia="Times New Roman"/>
                <w:color w:val="000000"/>
                <w:sz w:val="20"/>
                <w:szCs w:val="20"/>
                <w:lang w:eastAsia="ru-RU"/>
              </w:rPr>
            </w:pPr>
            <w:r w:rsidRPr="004761E0">
              <w:rPr>
                <w:rFonts w:eastAsia="Times New Roman"/>
                <w:color w:val="000000"/>
                <w:sz w:val="20"/>
                <w:szCs w:val="20"/>
                <w:lang w:eastAsia="ru-RU"/>
              </w:rPr>
              <w:t>35 663</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0F1B8D" w:rsidRPr="004761E0" w:rsidRDefault="000F1B8D" w:rsidP="00C83360">
            <w:pPr>
              <w:ind w:firstLine="0"/>
              <w:jc w:val="right"/>
              <w:rPr>
                <w:rFonts w:eastAsia="Times New Roman"/>
                <w:color w:val="000000"/>
                <w:sz w:val="20"/>
                <w:szCs w:val="20"/>
                <w:lang w:eastAsia="ru-RU"/>
              </w:rPr>
            </w:pPr>
            <w:r w:rsidRPr="004761E0">
              <w:rPr>
                <w:rFonts w:eastAsia="Times New Roman"/>
                <w:color w:val="000000"/>
                <w:sz w:val="20"/>
                <w:szCs w:val="20"/>
                <w:lang w:eastAsia="ru-RU"/>
              </w:rPr>
              <w:t>36 470</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0F1B8D" w:rsidRPr="004761E0" w:rsidRDefault="000F1B8D" w:rsidP="00C83360">
            <w:pPr>
              <w:ind w:firstLine="0"/>
              <w:jc w:val="right"/>
              <w:rPr>
                <w:rFonts w:eastAsia="Times New Roman"/>
                <w:color w:val="000000"/>
                <w:sz w:val="20"/>
                <w:szCs w:val="20"/>
                <w:lang w:eastAsia="ru-RU"/>
              </w:rPr>
            </w:pPr>
            <w:r w:rsidRPr="004761E0">
              <w:rPr>
                <w:rFonts w:eastAsia="Times New Roman"/>
                <w:color w:val="000000"/>
                <w:sz w:val="20"/>
                <w:szCs w:val="20"/>
                <w:lang w:eastAsia="ru-RU"/>
              </w:rPr>
              <w:t>36 737</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0F1B8D" w:rsidRPr="004761E0" w:rsidRDefault="000F1B8D" w:rsidP="00C83360">
            <w:pPr>
              <w:ind w:firstLine="0"/>
              <w:jc w:val="right"/>
              <w:rPr>
                <w:rFonts w:eastAsia="Times New Roman"/>
                <w:color w:val="000000"/>
                <w:sz w:val="20"/>
                <w:szCs w:val="20"/>
                <w:lang w:eastAsia="ru-RU"/>
              </w:rPr>
            </w:pPr>
            <w:r w:rsidRPr="004761E0">
              <w:rPr>
                <w:rFonts w:eastAsia="Times New Roman"/>
                <w:color w:val="000000"/>
                <w:sz w:val="20"/>
                <w:szCs w:val="20"/>
                <w:lang w:eastAsia="ru-RU"/>
              </w:rPr>
              <w:t>0,73 %</w:t>
            </w:r>
          </w:p>
        </w:tc>
      </w:tr>
    </w:tbl>
    <w:p w:rsidR="005826C7" w:rsidRPr="004761E0" w:rsidRDefault="005826C7" w:rsidP="007076A7">
      <w:pPr>
        <w:pStyle w:val="a8"/>
        <w:numPr>
          <w:ilvl w:val="0"/>
          <w:numId w:val="226"/>
        </w:numPr>
        <w:tabs>
          <w:tab w:val="left" w:pos="567"/>
          <w:tab w:val="left" w:pos="993"/>
        </w:tabs>
        <w:spacing w:before="120" w:after="120"/>
        <w:ind w:left="567" w:firstLine="0"/>
        <w:jc w:val="left"/>
        <w:rPr>
          <w:rFonts w:ascii="Times New Roman" w:hAnsi="Times New Roman"/>
          <w:b/>
          <w:sz w:val="26"/>
          <w:szCs w:val="26"/>
          <w:lang w:eastAsia="ru-RU"/>
        </w:rPr>
      </w:pPr>
      <w:bookmarkStart w:id="151" w:name="_Toc385339860"/>
      <w:r w:rsidRPr="004761E0">
        <w:rPr>
          <w:rFonts w:ascii="Times New Roman" w:hAnsi="Times New Roman"/>
          <w:b/>
          <w:sz w:val="26"/>
          <w:szCs w:val="26"/>
          <w:lang w:eastAsia="ru-RU"/>
        </w:rPr>
        <w:t>Энергосбережение и повышение энергоэффективности</w:t>
      </w:r>
      <w:bookmarkEnd w:id="151"/>
    </w:p>
    <w:p w:rsidR="00453705" w:rsidRPr="00D95123" w:rsidRDefault="00B0496B" w:rsidP="00D95123">
      <w:pPr>
        <w:spacing w:before="120" w:after="120"/>
        <w:ind w:firstLine="567"/>
        <w:rPr>
          <w:rFonts w:eastAsia="Times New Roman"/>
          <w:b/>
          <w:iCs/>
          <w:color w:val="000000"/>
          <w:sz w:val="26"/>
          <w:szCs w:val="26"/>
          <w:lang w:eastAsia="ru-RU"/>
        </w:rPr>
      </w:pPr>
      <w:r w:rsidRPr="00D95123">
        <w:rPr>
          <w:rFonts w:eastAsia="Times New Roman"/>
          <w:b/>
          <w:iCs/>
          <w:color w:val="000000"/>
          <w:sz w:val="26"/>
          <w:szCs w:val="26"/>
          <w:lang w:eastAsia="ru-RU"/>
        </w:rPr>
        <w:t xml:space="preserve">Сведения о </w:t>
      </w:r>
      <w:r w:rsidR="007877E1">
        <w:rPr>
          <w:rFonts w:eastAsia="Times New Roman"/>
          <w:b/>
          <w:iCs/>
          <w:color w:val="000000"/>
          <w:sz w:val="26"/>
          <w:szCs w:val="26"/>
          <w:lang w:eastAsia="ru-RU"/>
        </w:rPr>
        <w:t xml:space="preserve">потреблении </w:t>
      </w:r>
      <w:r w:rsidRPr="00D95123">
        <w:rPr>
          <w:rFonts w:eastAsia="Times New Roman"/>
          <w:b/>
          <w:iCs/>
          <w:color w:val="000000"/>
          <w:sz w:val="26"/>
          <w:szCs w:val="26"/>
          <w:lang w:eastAsia="ru-RU"/>
        </w:rPr>
        <w:t>энергоресурсов на производственные и хозяйственные нужды</w:t>
      </w:r>
      <w:r w:rsidR="006D32CC" w:rsidRPr="006F4AB8">
        <w:rPr>
          <w:rStyle w:val="af1"/>
        </w:rPr>
        <w:footnoteReference w:id="146"/>
      </w:r>
    </w:p>
    <w:tbl>
      <w:tblPr>
        <w:tblW w:w="15326" w:type="dxa"/>
        <w:tblInd w:w="91" w:type="dxa"/>
        <w:tblLayout w:type="fixed"/>
        <w:tblLook w:val="04A0"/>
      </w:tblPr>
      <w:tblGrid>
        <w:gridCol w:w="708"/>
        <w:gridCol w:w="4623"/>
        <w:gridCol w:w="1774"/>
        <w:gridCol w:w="992"/>
        <w:gridCol w:w="992"/>
        <w:gridCol w:w="992"/>
        <w:gridCol w:w="1134"/>
        <w:gridCol w:w="993"/>
        <w:gridCol w:w="992"/>
        <w:gridCol w:w="992"/>
        <w:gridCol w:w="1134"/>
      </w:tblGrid>
      <w:tr w:rsidR="006D32CC" w:rsidRPr="004761E0" w:rsidTr="00B70E35">
        <w:trPr>
          <w:trHeight w:val="300"/>
        </w:trPr>
        <w:tc>
          <w:tcPr>
            <w:tcW w:w="708" w:type="dxa"/>
            <w:vMerge w:val="restart"/>
            <w:tcBorders>
              <w:top w:val="single" w:sz="4" w:space="0" w:color="auto"/>
              <w:left w:val="single" w:sz="4" w:space="0" w:color="auto"/>
              <w:right w:val="single" w:sz="4" w:space="0" w:color="FFFFFF" w:themeColor="background1"/>
            </w:tcBorders>
            <w:shd w:val="clear" w:color="auto" w:fill="0F243E" w:themeFill="text2" w:themeFillShade="80"/>
            <w:vAlign w:val="center"/>
          </w:tcPr>
          <w:p w:rsidR="006D32CC" w:rsidRPr="004761E0" w:rsidRDefault="006D32CC" w:rsidP="006D32CC">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4623" w:type="dxa"/>
            <w:vMerge w:val="restart"/>
            <w:tcBorders>
              <w:top w:val="single" w:sz="4" w:space="0" w:color="auto"/>
              <w:left w:val="single" w:sz="4" w:space="0" w:color="FFFFFF" w:themeColor="background1"/>
              <w:right w:val="single" w:sz="4" w:space="0" w:color="FFFFFF" w:themeColor="background1"/>
            </w:tcBorders>
            <w:shd w:val="clear" w:color="auto" w:fill="0F243E" w:themeFill="text2" w:themeFillShade="80"/>
            <w:vAlign w:val="center"/>
          </w:tcPr>
          <w:p w:rsidR="006D32CC" w:rsidRPr="004761E0" w:rsidRDefault="006D32CC" w:rsidP="006D32CC">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774" w:type="dxa"/>
            <w:vMerge w:val="restart"/>
            <w:tcBorders>
              <w:top w:val="single" w:sz="4" w:space="0" w:color="auto"/>
              <w:left w:val="single" w:sz="4" w:space="0" w:color="FFFFFF" w:themeColor="background1"/>
              <w:right w:val="single" w:sz="4" w:space="0" w:color="FFFFFF" w:themeColor="background1"/>
            </w:tcBorders>
            <w:shd w:val="clear" w:color="auto" w:fill="0F243E" w:themeFill="text2" w:themeFillShade="80"/>
            <w:vAlign w:val="center"/>
          </w:tcPr>
          <w:p w:rsidR="006D32CC" w:rsidRPr="004761E0" w:rsidRDefault="006D32CC" w:rsidP="006D32CC">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Ед. изм.</w:t>
            </w:r>
          </w:p>
        </w:tc>
        <w:tc>
          <w:tcPr>
            <w:tcW w:w="4110"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6D32CC" w:rsidRPr="004761E0" w:rsidRDefault="006D32CC" w:rsidP="006D32CC">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г. Москва</w:t>
            </w:r>
          </w:p>
        </w:tc>
        <w:tc>
          <w:tcPr>
            <w:tcW w:w="4111" w:type="dxa"/>
            <w:gridSpan w:val="4"/>
            <w:tcBorders>
              <w:top w:val="single" w:sz="4" w:space="0" w:color="auto"/>
              <w:left w:val="single" w:sz="4" w:space="0" w:color="FFFFFF" w:themeColor="background1"/>
              <w:bottom w:val="single" w:sz="4" w:space="0" w:color="FFFFFF" w:themeColor="background1"/>
              <w:right w:val="single" w:sz="4" w:space="0" w:color="auto"/>
            </w:tcBorders>
            <w:shd w:val="clear" w:color="auto" w:fill="0F243E" w:themeFill="text2" w:themeFillShade="80"/>
            <w:vAlign w:val="center"/>
          </w:tcPr>
          <w:p w:rsidR="006D32CC" w:rsidRPr="004761E0" w:rsidRDefault="006D32CC" w:rsidP="006D32CC">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Московская область</w:t>
            </w:r>
          </w:p>
        </w:tc>
      </w:tr>
      <w:tr w:rsidR="006D32CC" w:rsidRPr="004761E0" w:rsidTr="00B70E35">
        <w:trPr>
          <w:trHeight w:val="300"/>
        </w:trPr>
        <w:tc>
          <w:tcPr>
            <w:tcW w:w="708" w:type="dxa"/>
            <w:vMerge/>
            <w:tcBorders>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6D32CC" w:rsidRPr="004761E0" w:rsidRDefault="006D32CC" w:rsidP="006D32CC">
            <w:pPr>
              <w:ind w:firstLine="0"/>
              <w:jc w:val="left"/>
              <w:rPr>
                <w:rFonts w:eastAsia="Times New Roman"/>
                <w:b/>
                <w:color w:val="FFFFFF" w:themeColor="background1"/>
                <w:sz w:val="20"/>
                <w:szCs w:val="20"/>
                <w:lang w:eastAsia="ru-RU"/>
              </w:rPr>
            </w:pPr>
          </w:p>
        </w:tc>
        <w:tc>
          <w:tcPr>
            <w:tcW w:w="4623" w:type="dxa"/>
            <w:vMerge/>
            <w:tcBorders>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6D32CC" w:rsidRPr="004761E0" w:rsidRDefault="006D32CC" w:rsidP="006D32CC">
            <w:pPr>
              <w:ind w:firstLine="0"/>
              <w:jc w:val="left"/>
              <w:rPr>
                <w:rFonts w:eastAsia="Times New Roman"/>
                <w:b/>
                <w:color w:val="FFFFFF" w:themeColor="background1"/>
                <w:sz w:val="20"/>
                <w:szCs w:val="20"/>
                <w:lang w:eastAsia="ru-RU"/>
              </w:rPr>
            </w:pPr>
          </w:p>
        </w:tc>
        <w:tc>
          <w:tcPr>
            <w:tcW w:w="1774" w:type="dxa"/>
            <w:vMerge/>
            <w:tcBorders>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6D32CC" w:rsidRPr="004761E0" w:rsidRDefault="006D32CC" w:rsidP="006D32CC">
            <w:pPr>
              <w:ind w:firstLine="0"/>
              <w:jc w:val="left"/>
              <w:rPr>
                <w:rFonts w:eastAsia="Times New Roman"/>
                <w:b/>
                <w:color w:val="FFFFFF" w:themeColor="background1"/>
                <w:sz w:val="20"/>
                <w:szCs w:val="20"/>
                <w:lang w:eastAsia="ru-RU"/>
              </w:rPr>
            </w:pP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6D32CC" w:rsidRPr="004761E0" w:rsidRDefault="006D32CC" w:rsidP="006D32C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6D32CC" w:rsidRPr="004761E0" w:rsidRDefault="006D32CC" w:rsidP="006D32C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6D32CC" w:rsidRPr="004761E0" w:rsidRDefault="006D32CC" w:rsidP="006D32C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6D32CC" w:rsidRPr="004761E0" w:rsidRDefault="006D32CC" w:rsidP="006D32C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c>
          <w:tcPr>
            <w:tcW w:w="9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6D32CC" w:rsidRPr="004761E0" w:rsidRDefault="006D32CC" w:rsidP="006D32C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6D32CC" w:rsidRPr="004761E0" w:rsidRDefault="006D32CC" w:rsidP="006D32C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6D32CC" w:rsidRPr="004761E0" w:rsidRDefault="006D32CC" w:rsidP="006D32C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F243E" w:themeFill="text2" w:themeFillShade="80"/>
            <w:vAlign w:val="center"/>
          </w:tcPr>
          <w:p w:rsidR="006D32CC" w:rsidRPr="004761E0" w:rsidRDefault="006D32CC" w:rsidP="006D32C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B70E35" w:rsidRPr="004761E0" w:rsidTr="00B70E35">
        <w:trPr>
          <w:trHeight w:val="300"/>
        </w:trPr>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0E35" w:rsidRPr="004761E0" w:rsidRDefault="00B70E35" w:rsidP="007076A7">
            <w:pPr>
              <w:numPr>
                <w:ilvl w:val="0"/>
                <w:numId w:val="49"/>
              </w:numPr>
              <w:jc w:val="left"/>
              <w:rPr>
                <w:rFonts w:eastAsia="Times New Roman"/>
                <w:color w:val="000000"/>
                <w:sz w:val="20"/>
                <w:szCs w:val="20"/>
                <w:lang w:eastAsia="ru-RU"/>
              </w:rPr>
            </w:pPr>
          </w:p>
        </w:tc>
        <w:tc>
          <w:tcPr>
            <w:tcW w:w="4623" w:type="dxa"/>
            <w:vMerge w:val="restart"/>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6D32CC">
            <w:pPr>
              <w:ind w:firstLine="0"/>
              <w:rPr>
                <w:rFonts w:eastAsia="Times New Roman"/>
                <w:color w:val="000000"/>
                <w:sz w:val="20"/>
                <w:szCs w:val="20"/>
                <w:lang w:eastAsia="ru-RU"/>
              </w:rPr>
            </w:pPr>
            <w:r w:rsidRPr="004761E0">
              <w:rPr>
                <w:rFonts w:eastAsia="Times New Roman"/>
                <w:color w:val="000000"/>
                <w:sz w:val="20"/>
                <w:szCs w:val="20"/>
                <w:lang w:eastAsia="ru-RU"/>
              </w:rPr>
              <w:t>Потери электроэнергии (всего), в т.ч.:</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B70E35" w:rsidRPr="004761E0" w:rsidRDefault="00B70E35" w:rsidP="006D32CC">
            <w:pPr>
              <w:ind w:firstLine="0"/>
              <w:jc w:val="left"/>
              <w:rPr>
                <w:rFonts w:eastAsia="Times New Roman"/>
                <w:color w:val="000000"/>
                <w:sz w:val="20"/>
                <w:szCs w:val="20"/>
                <w:lang w:eastAsia="ru-RU"/>
              </w:rPr>
            </w:pPr>
            <w:r w:rsidRPr="004761E0">
              <w:rPr>
                <w:rFonts w:eastAsia="Times New Roman"/>
                <w:color w:val="000000"/>
                <w:sz w:val="20"/>
                <w:szCs w:val="20"/>
                <w:lang w:eastAsia="ru-RU"/>
              </w:rPr>
              <w:t>млн кВтч</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4 358,6</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4 229,4</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4 186,5</w:t>
            </w:r>
          </w:p>
        </w:tc>
        <w:tc>
          <w:tcPr>
            <w:tcW w:w="1134"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-1,01 %</w:t>
            </w:r>
          </w:p>
        </w:tc>
        <w:tc>
          <w:tcPr>
            <w:tcW w:w="993"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4 337,0</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4 140,2</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3 895,5</w:t>
            </w:r>
          </w:p>
        </w:tc>
        <w:tc>
          <w:tcPr>
            <w:tcW w:w="1134"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-5,91 %</w:t>
            </w:r>
          </w:p>
        </w:tc>
      </w:tr>
      <w:tr w:rsidR="00B70E35" w:rsidRPr="004761E0" w:rsidTr="00B70E35">
        <w:trPr>
          <w:trHeight w:val="70"/>
        </w:trPr>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70E35" w:rsidRPr="004761E0" w:rsidRDefault="00B70E35" w:rsidP="006D32CC">
            <w:pPr>
              <w:pStyle w:val="a5"/>
              <w:ind w:left="360" w:firstLine="0"/>
              <w:jc w:val="left"/>
              <w:rPr>
                <w:rFonts w:eastAsia="Times New Roman"/>
                <w:color w:val="000000"/>
                <w:sz w:val="20"/>
                <w:szCs w:val="20"/>
                <w:lang w:eastAsia="ru-RU"/>
              </w:rPr>
            </w:pPr>
          </w:p>
        </w:tc>
        <w:tc>
          <w:tcPr>
            <w:tcW w:w="4623" w:type="dxa"/>
            <w:vMerge/>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6D32CC">
            <w:pPr>
              <w:ind w:firstLineChars="200" w:firstLine="400"/>
              <w:jc w:val="left"/>
              <w:rPr>
                <w:rFonts w:eastAsia="Times New Roman"/>
                <w:color w:val="000000"/>
                <w:sz w:val="20"/>
                <w:szCs w:val="20"/>
                <w:lang w:eastAsia="ru-RU"/>
              </w:rPr>
            </w:pP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B70E35" w:rsidRPr="004761E0" w:rsidRDefault="00B70E35" w:rsidP="006D32CC">
            <w:pPr>
              <w:ind w:firstLine="0"/>
              <w:jc w:val="left"/>
              <w:rPr>
                <w:rFonts w:eastAsia="Times New Roman"/>
                <w:color w:val="000000"/>
                <w:sz w:val="20"/>
                <w:szCs w:val="20"/>
                <w:lang w:eastAsia="ru-RU"/>
              </w:rPr>
            </w:pPr>
            <w:r w:rsidRPr="004761E0">
              <w:rPr>
                <w:rFonts w:eastAsia="Times New Roman"/>
                <w:color w:val="000000"/>
                <w:sz w:val="20"/>
                <w:szCs w:val="20"/>
                <w:lang w:eastAsia="ru-RU"/>
              </w:rPr>
              <w:t>% к отпуску в сеть</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10,19</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9,44</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9,02</w:t>
            </w:r>
          </w:p>
        </w:tc>
        <w:tc>
          <w:tcPr>
            <w:tcW w:w="1134"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-0,43 п.п.</w:t>
            </w:r>
          </w:p>
        </w:tc>
        <w:tc>
          <w:tcPr>
            <w:tcW w:w="993"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10,48</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9,83</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9,32</w:t>
            </w:r>
          </w:p>
        </w:tc>
        <w:tc>
          <w:tcPr>
            <w:tcW w:w="1134"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-0,50 п.п.</w:t>
            </w:r>
          </w:p>
        </w:tc>
      </w:tr>
      <w:tr w:rsidR="00B70E35" w:rsidRPr="004761E0" w:rsidTr="00B70E35">
        <w:trPr>
          <w:trHeight w:val="30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70E35" w:rsidRPr="004761E0" w:rsidRDefault="00B70E35" w:rsidP="007076A7">
            <w:pPr>
              <w:pStyle w:val="a5"/>
              <w:numPr>
                <w:ilvl w:val="1"/>
                <w:numId w:val="49"/>
              </w:numPr>
              <w:jc w:val="left"/>
              <w:rPr>
                <w:rFonts w:eastAsia="Times New Roman"/>
                <w:color w:val="000000"/>
                <w:sz w:val="20"/>
                <w:szCs w:val="20"/>
                <w:lang w:eastAsia="ru-RU"/>
              </w:rPr>
            </w:pPr>
          </w:p>
        </w:tc>
        <w:tc>
          <w:tcPr>
            <w:tcW w:w="4623"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AE159C" w:rsidP="006D32CC">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 xml:space="preserve">потребление электроэнергии </w:t>
            </w:r>
            <w:r w:rsidR="00B70E35" w:rsidRPr="004761E0">
              <w:rPr>
                <w:rFonts w:eastAsia="Times New Roman"/>
                <w:color w:val="000000"/>
                <w:sz w:val="20"/>
                <w:szCs w:val="20"/>
                <w:lang w:eastAsia="ru-RU"/>
              </w:rPr>
              <w:t>на собственные нужды подстанций</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B70E35" w:rsidRPr="004761E0" w:rsidRDefault="00B70E35" w:rsidP="006D32CC">
            <w:pPr>
              <w:ind w:firstLine="0"/>
              <w:jc w:val="left"/>
              <w:rPr>
                <w:rFonts w:eastAsia="Times New Roman"/>
                <w:color w:val="000000"/>
                <w:sz w:val="20"/>
                <w:szCs w:val="20"/>
                <w:lang w:eastAsia="ru-RU"/>
              </w:rPr>
            </w:pPr>
            <w:r w:rsidRPr="004761E0">
              <w:rPr>
                <w:rFonts w:eastAsia="Times New Roman"/>
                <w:color w:val="000000"/>
                <w:sz w:val="20"/>
                <w:szCs w:val="20"/>
                <w:lang w:eastAsia="ru-RU"/>
              </w:rPr>
              <w:t>млн кВтч</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155,7</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155,7</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152,7</w:t>
            </w:r>
          </w:p>
        </w:tc>
        <w:tc>
          <w:tcPr>
            <w:tcW w:w="1134"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-1,92 %</w:t>
            </w:r>
          </w:p>
        </w:tc>
        <w:tc>
          <w:tcPr>
            <w:tcW w:w="993"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95,1</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93,8</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94,3</w:t>
            </w:r>
          </w:p>
        </w:tc>
        <w:tc>
          <w:tcPr>
            <w:tcW w:w="1134"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0,56 %</w:t>
            </w:r>
          </w:p>
        </w:tc>
      </w:tr>
      <w:tr w:rsidR="00B70E35" w:rsidRPr="004761E0" w:rsidTr="00B70E35">
        <w:trPr>
          <w:trHeight w:val="30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70E35" w:rsidRPr="004761E0" w:rsidRDefault="00B70E35" w:rsidP="007076A7">
            <w:pPr>
              <w:numPr>
                <w:ilvl w:val="0"/>
                <w:numId w:val="49"/>
              </w:numPr>
              <w:jc w:val="left"/>
              <w:rPr>
                <w:rFonts w:eastAsia="Times New Roman"/>
                <w:color w:val="000000"/>
                <w:sz w:val="20"/>
                <w:szCs w:val="20"/>
                <w:lang w:eastAsia="ru-RU"/>
              </w:rPr>
            </w:pPr>
          </w:p>
        </w:tc>
        <w:tc>
          <w:tcPr>
            <w:tcW w:w="4623"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6D32CC">
            <w:pPr>
              <w:ind w:firstLine="0"/>
              <w:jc w:val="left"/>
              <w:rPr>
                <w:rFonts w:eastAsia="Times New Roman"/>
                <w:color w:val="000000"/>
                <w:sz w:val="20"/>
                <w:szCs w:val="20"/>
                <w:lang w:eastAsia="ru-RU"/>
              </w:rPr>
            </w:pPr>
            <w:r w:rsidRPr="004761E0">
              <w:rPr>
                <w:rFonts w:eastAsia="Times New Roman"/>
                <w:color w:val="000000"/>
                <w:sz w:val="20"/>
                <w:szCs w:val="20"/>
                <w:lang w:eastAsia="ru-RU"/>
              </w:rPr>
              <w:t>Потребление ресурсов на хозяйственные нужды (всего), в т.ч. по видам ресурсов:</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B70E35" w:rsidRPr="004761E0" w:rsidRDefault="00B70E35" w:rsidP="006D32CC">
            <w:pPr>
              <w:ind w:firstLine="0"/>
              <w:jc w:val="left"/>
              <w:rPr>
                <w:rFonts w:eastAsia="Times New Roman"/>
                <w:color w:val="000000"/>
                <w:sz w:val="20"/>
                <w:szCs w:val="20"/>
                <w:lang w:eastAsia="ru-RU"/>
              </w:rPr>
            </w:pPr>
            <w:r w:rsidRPr="004761E0">
              <w:rPr>
                <w:rFonts w:eastAsia="Times New Roman"/>
                <w:color w:val="000000"/>
                <w:sz w:val="20"/>
                <w:szCs w:val="20"/>
                <w:lang w:eastAsia="ru-RU"/>
              </w:rPr>
              <w:t>млн руб. с НДС</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250,0</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234,7</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230,4</w:t>
            </w:r>
          </w:p>
        </w:tc>
        <w:tc>
          <w:tcPr>
            <w:tcW w:w="1134"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-1,83 %</w:t>
            </w:r>
          </w:p>
        </w:tc>
        <w:tc>
          <w:tcPr>
            <w:tcW w:w="993"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425,6</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385,9</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405,7</w:t>
            </w:r>
          </w:p>
        </w:tc>
        <w:tc>
          <w:tcPr>
            <w:tcW w:w="1134"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5,11 %</w:t>
            </w:r>
          </w:p>
        </w:tc>
      </w:tr>
      <w:tr w:rsidR="00B70E35" w:rsidRPr="004761E0" w:rsidTr="00B70E35">
        <w:trPr>
          <w:trHeight w:val="300"/>
        </w:trPr>
        <w:tc>
          <w:tcPr>
            <w:tcW w:w="708" w:type="dxa"/>
            <w:vMerge w:val="restart"/>
            <w:tcBorders>
              <w:top w:val="single" w:sz="4" w:space="0" w:color="auto"/>
              <w:left w:val="single" w:sz="4" w:space="0" w:color="auto"/>
              <w:right w:val="single" w:sz="4" w:space="0" w:color="auto"/>
            </w:tcBorders>
            <w:shd w:val="clear" w:color="auto" w:fill="auto"/>
            <w:vAlign w:val="center"/>
          </w:tcPr>
          <w:p w:rsidR="00B70E35" w:rsidRPr="004761E0" w:rsidRDefault="00B70E35" w:rsidP="007076A7">
            <w:pPr>
              <w:pStyle w:val="a5"/>
              <w:numPr>
                <w:ilvl w:val="1"/>
                <w:numId w:val="49"/>
              </w:numPr>
              <w:jc w:val="left"/>
              <w:rPr>
                <w:rFonts w:eastAsia="Times New Roman"/>
                <w:color w:val="000000"/>
                <w:sz w:val="20"/>
                <w:szCs w:val="20"/>
                <w:lang w:eastAsia="ru-RU"/>
              </w:rPr>
            </w:pPr>
          </w:p>
        </w:tc>
        <w:tc>
          <w:tcPr>
            <w:tcW w:w="4623" w:type="dxa"/>
            <w:vMerge w:val="restart"/>
            <w:tcBorders>
              <w:top w:val="single" w:sz="4" w:space="0" w:color="auto"/>
              <w:left w:val="nil"/>
              <w:right w:val="single" w:sz="4" w:space="0" w:color="auto"/>
            </w:tcBorders>
            <w:shd w:val="clear" w:color="auto" w:fill="auto"/>
            <w:vAlign w:val="center"/>
          </w:tcPr>
          <w:p w:rsidR="00B70E35" w:rsidRPr="004761E0" w:rsidRDefault="00B70E35" w:rsidP="006D32CC">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топливо и энергия</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B70E35" w:rsidRPr="004761E0" w:rsidRDefault="00B70E35" w:rsidP="006D32CC">
            <w:pPr>
              <w:ind w:firstLine="0"/>
              <w:jc w:val="left"/>
              <w:rPr>
                <w:rFonts w:eastAsia="Times New Roman"/>
                <w:color w:val="000000"/>
                <w:sz w:val="20"/>
                <w:szCs w:val="20"/>
                <w:lang w:eastAsia="ru-RU"/>
              </w:rPr>
            </w:pPr>
            <w:r w:rsidRPr="004761E0">
              <w:rPr>
                <w:rFonts w:eastAsia="Times New Roman"/>
                <w:color w:val="000000"/>
                <w:sz w:val="20"/>
                <w:szCs w:val="20"/>
                <w:lang w:eastAsia="ru-RU"/>
              </w:rPr>
              <w:t>т.у.т / м²</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16 979,6</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15 812,1</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14 933,0</w:t>
            </w:r>
          </w:p>
        </w:tc>
        <w:tc>
          <w:tcPr>
            <w:tcW w:w="1134"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-5,56 %</w:t>
            </w:r>
          </w:p>
        </w:tc>
        <w:tc>
          <w:tcPr>
            <w:tcW w:w="993"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30 526,3</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25 052,5</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25 929,5</w:t>
            </w:r>
          </w:p>
        </w:tc>
        <w:tc>
          <w:tcPr>
            <w:tcW w:w="1134"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3,50 %</w:t>
            </w:r>
          </w:p>
        </w:tc>
      </w:tr>
      <w:tr w:rsidR="00B70E35" w:rsidRPr="004761E0" w:rsidTr="00B70E35">
        <w:trPr>
          <w:trHeight w:val="300"/>
        </w:trPr>
        <w:tc>
          <w:tcPr>
            <w:tcW w:w="708" w:type="dxa"/>
            <w:vMerge/>
            <w:tcBorders>
              <w:left w:val="single" w:sz="4" w:space="0" w:color="auto"/>
              <w:right w:val="single" w:sz="4" w:space="0" w:color="auto"/>
            </w:tcBorders>
            <w:shd w:val="clear" w:color="auto" w:fill="auto"/>
            <w:vAlign w:val="center"/>
          </w:tcPr>
          <w:p w:rsidR="00B70E35" w:rsidRPr="004761E0" w:rsidRDefault="00B70E35" w:rsidP="006D32CC">
            <w:pPr>
              <w:pStyle w:val="a5"/>
              <w:ind w:left="360" w:firstLine="0"/>
              <w:jc w:val="left"/>
              <w:rPr>
                <w:rFonts w:eastAsia="Times New Roman"/>
                <w:color w:val="000000"/>
                <w:sz w:val="20"/>
                <w:szCs w:val="20"/>
                <w:lang w:eastAsia="ru-RU"/>
              </w:rPr>
            </w:pPr>
          </w:p>
        </w:tc>
        <w:tc>
          <w:tcPr>
            <w:tcW w:w="4623" w:type="dxa"/>
            <w:vMerge/>
            <w:tcBorders>
              <w:left w:val="nil"/>
              <w:right w:val="single" w:sz="4" w:space="0" w:color="auto"/>
            </w:tcBorders>
            <w:shd w:val="clear" w:color="auto" w:fill="auto"/>
            <w:vAlign w:val="center"/>
          </w:tcPr>
          <w:p w:rsidR="00B70E35" w:rsidRPr="004761E0" w:rsidRDefault="00B70E35" w:rsidP="006D32CC">
            <w:pPr>
              <w:ind w:firstLineChars="200" w:firstLine="400"/>
              <w:jc w:val="left"/>
              <w:rPr>
                <w:rFonts w:eastAsia="Times New Roman"/>
                <w:color w:val="000000"/>
                <w:sz w:val="20"/>
                <w:szCs w:val="20"/>
                <w:lang w:eastAsia="ru-RU"/>
              </w:rPr>
            </w:pP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B70E35" w:rsidRPr="004761E0" w:rsidRDefault="00B70E35" w:rsidP="006D32CC">
            <w:pPr>
              <w:ind w:firstLine="0"/>
              <w:jc w:val="left"/>
              <w:rPr>
                <w:rFonts w:eastAsia="Times New Roman"/>
                <w:color w:val="000000"/>
                <w:sz w:val="20"/>
                <w:szCs w:val="20"/>
                <w:lang w:eastAsia="ru-RU"/>
              </w:rPr>
            </w:pPr>
            <w:r w:rsidRPr="004761E0">
              <w:rPr>
                <w:rFonts w:eastAsia="Times New Roman"/>
                <w:color w:val="000000"/>
                <w:sz w:val="20"/>
                <w:szCs w:val="20"/>
                <w:lang w:eastAsia="ru-RU"/>
              </w:rPr>
              <w:t>млн руб. с НДС</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235,3</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223,5</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219,9</w:t>
            </w:r>
          </w:p>
        </w:tc>
        <w:tc>
          <w:tcPr>
            <w:tcW w:w="1134"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-1,63 %</w:t>
            </w:r>
          </w:p>
        </w:tc>
        <w:tc>
          <w:tcPr>
            <w:tcW w:w="993"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420,6</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382,5</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401,9</w:t>
            </w:r>
          </w:p>
        </w:tc>
        <w:tc>
          <w:tcPr>
            <w:tcW w:w="1134"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5,07 %</w:t>
            </w:r>
          </w:p>
        </w:tc>
      </w:tr>
      <w:tr w:rsidR="00B70E35" w:rsidRPr="004761E0" w:rsidTr="00B70E35">
        <w:trPr>
          <w:trHeight w:val="300"/>
        </w:trPr>
        <w:tc>
          <w:tcPr>
            <w:tcW w:w="708" w:type="dxa"/>
            <w:vMerge/>
            <w:tcBorders>
              <w:left w:val="single" w:sz="4" w:space="0" w:color="auto"/>
              <w:bottom w:val="single" w:sz="4" w:space="0" w:color="auto"/>
              <w:right w:val="single" w:sz="4" w:space="0" w:color="auto"/>
            </w:tcBorders>
            <w:shd w:val="clear" w:color="auto" w:fill="auto"/>
            <w:vAlign w:val="center"/>
          </w:tcPr>
          <w:p w:rsidR="00B70E35" w:rsidRPr="004761E0" w:rsidRDefault="00B70E35" w:rsidP="006D32CC">
            <w:pPr>
              <w:pStyle w:val="a5"/>
              <w:ind w:left="360" w:firstLine="0"/>
              <w:jc w:val="left"/>
              <w:rPr>
                <w:rFonts w:eastAsia="Times New Roman"/>
                <w:color w:val="000000"/>
                <w:sz w:val="20"/>
                <w:szCs w:val="20"/>
                <w:lang w:eastAsia="ru-RU"/>
              </w:rPr>
            </w:pPr>
          </w:p>
        </w:tc>
        <w:tc>
          <w:tcPr>
            <w:tcW w:w="4623" w:type="dxa"/>
            <w:vMerge/>
            <w:tcBorders>
              <w:left w:val="nil"/>
              <w:bottom w:val="single" w:sz="4" w:space="0" w:color="auto"/>
              <w:right w:val="single" w:sz="4" w:space="0" w:color="auto"/>
            </w:tcBorders>
            <w:shd w:val="clear" w:color="auto" w:fill="auto"/>
            <w:vAlign w:val="center"/>
          </w:tcPr>
          <w:p w:rsidR="00B70E35" w:rsidRPr="004761E0" w:rsidRDefault="00B70E35" w:rsidP="006D32CC">
            <w:pPr>
              <w:ind w:firstLineChars="200" w:firstLine="400"/>
              <w:jc w:val="left"/>
              <w:rPr>
                <w:rFonts w:eastAsia="Times New Roman"/>
                <w:color w:val="000000"/>
                <w:sz w:val="20"/>
                <w:szCs w:val="20"/>
                <w:lang w:eastAsia="ru-RU"/>
              </w:rPr>
            </w:pP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B70E35" w:rsidRPr="004761E0" w:rsidRDefault="00B70E35" w:rsidP="006D32CC">
            <w:pPr>
              <w:ind w:firstLine="0"/>
              <w:jc w:val="left"/>
              <w:rPr>
                <w:rFonts w:eastAsia="Times New Roman"/>
                <w:color w:val="000000"/>
                <w:sz w:val="20"/>
                <w:szCs w:val="20"/>
                <w:lang w:eastAsia="ru-RU"/>
              </w:rPr>
            </w:pPr>
            <w:r w:rsidRPr="004761E0">
              <w:rPr>
                <w:rFonts w:eastAsia="Times New Roman"/>
                <w:color w:val="000000"/>
                <w:sz w:val="20"/>
                <w:szCs w:val="20"/>
                <w:lang w:eastAsia="ru-RU"/>
              </w:rPr>
              <w:t>т.у.т на м² площади помещений</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0,11</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0,07</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0,06</w:t>
            </w:r>
          </w:p>
        </w:tc>
        <w:tc>
          <w:tcPr>
            <w:tcW w:w="1134"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-10,68 %</w:t>
            </w:r>
          </w:p>
        </w:tc>
        <w:tc>
          <w:tcPr>
            <w:tcW w:w="993"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0,12</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0,10</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0,10</w:t>
            </w:r>
          </w:p>
        </w:tc>
        <w:tc>
          <w:tcPr>
            <w:tcW w:w="1134"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0,52 %</w:t>
            </w:r>
          </w:p>
        </w:tc>
      </w:tr>
      <w:tr w:rsidR="00B70E35" w:rsidRPr="004761E0" w:rsidTr="00B70E35">
        <w:trPr>
          <w:trHeight w:val="300"/>
        </w:trPr>
        <w:tc>
          <w:tcPr>
            <w:tcW w:w="708" w:type="dxa"/>
            <w:vMerge w:val="restart"/>
            <w:tcBorders>
              <w:top w:val="single" w:sz="4" w:space="0" w:color="auto"/>
              <w:left w:val="single" w:sz="4" w:space="0" w:color="auto"/>
              <w:right w:val="single" w:sz="4" w:space="0" w:color="auto"/>
            </w:tcBorders>
            <w:shd w:val="clear" w:color="auto" w:fill="auto"/>
            <w:vAlign w:val="center"/>
          </w:tcPr>
          <w:p w:rsidR="00B70E35" w:rsidRPr="004761E0" w:rsidRDefault="00B70E35" w:rsidP="007076A7">
            <w:pPr>
              <w:pStyle w:val="a5"/>
              <w:numPr>
                <w:ilvl w:val="2"/>
                <w:numId w:val="49"/>
              </w:numPr>
              <w:jc w:val="left"/>
              <w:rPr>
                <w:rFonts w:eastAsia="Times New Roman"/>
                <w:color w:val="000000"/>
                <w:sz w:val="20"/>
                <w:szCs w:val="20"/>
                <w:lang w:eastAsia="ru-RU"/>
              </w:rPr>
            </w:pPr>
          </w:p>
        </w:tc>
        <w:tc>
          <w:tcPr>
            <w:tcW w:w="4623" w:type="dxa"/>
            <w:vMerge w:val="restart"/>
            <w:tcBorders>
              <w:top w:val="single" w:sz="4" w:space="0" w:color="auto"/>
              <w:left w:val="nil"/>
              <w:right w:val="single" w:sz="4" w:space="0" w:color="auto"/>
            </w:tcBorders>
            <w:shd w:val="clear" w:color="auto" w:fill="auto"/>
            <w:vAlign w:val="center"/>
          </w:tcPr>
          <w:p w:rsidR="00B70E35" w:rsidRPr="004761E0" w:rsidRDefault="00B70E35" w:rsidP="006D32CC">
            <w:pPr>
              <w:ind w:left="601" w:firstLine="0"/>
              <w:jc w:val="left"/>
              <w:rPr>
                <w:rFonts w:eastAsia="Times New Roman"/>
                <w:color w:val="000000"/>
                <w:sz w:val="20"/>
                <w:szCs w:val="20"/>
                <w:lang w:eastAsia="ru-RU"/>
              </w:rPr>
            </w:pPr>
            <w:r w:rsidRPr="004761E0">
              <w:rPr>
                <w:rFonts w:eastAsia="Times New Roman"/>
                <w:color w:val="000000"/>
                <w:sz w:val="20"/>
                <w:szCs w:val="20"/>
                <w:lang w:eastAsia="ru-RU"/>
              </w:rPr>
              <w:t>электроэнергия</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B70E35" w:rsidRPr="004761E0" w:rsidRDefault="00B70E35" w:rsidP="006D32CC">
            <w:pPr>
              <w:ind w:firstLine="0"/>
              <w:jc w:val="left"/>
              <w:rPr>
                <w:rFonts w:eastAsia="Times New Roman"/>
                <w:color w:val="000000"/>
                <w:sz w:val="20"/>
                <w:szCs w:val="20"/>
                <w:lang w:eastAsia="ru-RU"/>
              </w:rPr>
            </w:pPr>
            <w:r w:rsidRPr="004761E0">
              <w:rPr>
                <w:rFonts w:eastAsia="Times New Roman"/>
                <w:color w:val="000000"/>
                <w:sz w:val="20"/>
                <w:szCs w:val="20"/>
                <w:lang w:eastAsia="ru-RU"/>
              </w:rPr>
              <w:t>млн кВтч</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12,6</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17,6</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18,0</w:t>
            </w:r>
          </w:p>
        </w:tc>
        <w:tc>
          <w:tcPr>
            <w:tcW w:w="1134"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2,11 %</w:t>
            </w:r>
          </w:p>
        </w:tc>
        <w:tc>
          <w:tcPr>
            <w:tcW w:w="993"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42,8</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35,2</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38,1</w:t>
            </w:r>
          </w:p>
        </w:tc>
        <w:tc>
          <w:tcPr>
            <w:tcW w:w="1134"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8,12 %</w:t>
            </w:r>
          </w:p>
        </w:tc>
      </w:tr>
      <w:tr w:rsidR="00B70E35" w:rsidRPr="004761E0" w:rsidTr="00B70E35">
        <w:trPr>
          <w:trHeight w:val="300"/>
        </w:trPr>
        <w:tc>
          <w:tcPr>
            <w:tcW w:w="708" w:type="dxa"/>
            <w:vMerge/>
            <w:tcBorders>
              <w:left w:val="single" w:sz="4" w:space="0" w:color="auto"/>
              <w:bottom w:val="single" w:sz="4" w:space="0" w:color="auto"/>
              <w:right w:val="single" w:sz="4" w:space="0" w:color="auto"/>
            </w:tcBorders>
            <w:shd w:val="clear" w:color="auto" w:fill="auto"/>
            <w:vAlign w:val="center"/>
          </w:tcPr>
          <w:p w:rsidR="00B70E35" w:rsidRPr="004761E0" w:rsidRDefault="00B70E35" w:rsidP="006D32CC">
            <w:pPr>
              <w:pStyle w:val="a5"/>
              <w:ind w:left="360" w:firstLine="0"/>
              <w:jc w:val="left"/>
              <w:rPr>
                <w:rFonts w:eastAsia="Times New Roman"/>
                <w:color w:val="000000"/>
                <w:sz w:val="20"/>
                <w:szCs w:val="20"/>
                <w:lang w:eastAsia="ru-RU"/>
              </w:rPr>
            </w:pPr>
          </w:p>
        </w:tc>
        <w:tc>
          <w:tcPr>
            <w:tcW w:w="4623" w:type="dxa"/>
            <w:vMerge/>
            <w:tcBorders>
              <w:left w:val="nil"/>
              <w:bottom w:val="single" w:sz="4" w:space="0" w:color="auto"/>
              <w:right w:val="single" w:sz="4" w:space="0" w:color="auto"/>
            </w:tcBorders>
            <w:shd w:val="clear" w:color="auto" w:fill="auto"/>
            <w:vAlign w:val="center"/>
          </w:tcPr>
          <w:p w:rsidR="00B70E35" w:rsidRPr="004761E0" w:rsidRDefault="00B70E35" w:rsidP="006D32CC">
            <w:pPr>
              <w:ind w:left="601" w:firstLineChars="200" w:firstLine="400"/>
              <w:jc w:val="left"/>
              <w:rPr>
                <w:rFonts w:eastAsia="Times New Roman"/>
                <w:color w:val="000000"/>
                <w:sz w:val="20"/>
                <w:szCs w:val="20"/>
                <w:lang w:eastAsia="ru-RU"/>
              </w:rPr>
            </w:pP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B70E35" w:rsidRPr="004761E0" w:rsidRDefault="00B70E35" w:rsidP="006D32CC">
            <w:pPr>
              <w:ind w:firstLine="0"/>
              <w:jc w:val="left"/>
              <w:rPr>
                <w:rFonts w:eastAsia="Times New Roman"/>
                <w:color w:val="000000"/>
                <w:sz w:val="20"/>
                <w:szCs w:val="20"/>
                <w:lang w:eastAsia="ru-RU"/>
              </w:rPr>
            </w:pPr>
            <w:r w:rsidRPr="004761E0">
              <w:rPr>
                <w:rFonts w:eastAsia="Times New Roman"/>
                <w:color w:val="000000"/>
                <w:sz w:val="20"/>
                <w:szCs w:val="20"/>
                <w:lang w:eastAsia="ru-RU"/>
              </w:rPr>
              <w:t>млн руб. с НДС</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47,3</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72,1</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77,5</w:t>
            </w:r>
          </w:p>
        </w:tc>
        <w:tc>
          <w:tcPr>
            <w:tcW w:w="1134"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7,50 %</w:t>
            </w:r>
          </w:p>
        </w:tc>
        <w:tc>
          <w:tcPr>
            <w:tcW w:w="993"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161,2</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126,7</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143,6</w:t>
            </w:r>
          </w:p>
        </w:tc>
        <w:tc>
          <w:tcPr>
            <w:tcW w:w="1134"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13,31 %</w:t>
            </w:r>
          </w:p>
        </w:tc>
      </w:tr>
      <w:tr w:rsidR="00B70E35" w:rsidRPr="004761E0" w:rsidTr="00B70E35">
        <w:trPr>
          <w:trHeight w:val="300"/>
        </w:trPr>
        <w:tc>
          <w:tcPr>
            <w:tcW w:w="708" w:type="dxa"/>
            <w:vMerge w:val="restart"/>
            <w:tcBorders>
              <w:top w:val="single" w:sz="4" w:space="0" w:color="auto"/>
              <w:left w:val="single" w:sz="4" w:space="0" w:color="auto"/>
              <w:right w:val="single" w:sz="4" w:space="0" w:color="auto"/>
            </w:tcBorders>
            <w:shd w:val="clear" w:color="auto" w:fill="auto"/>
            <w:vAlign w:val="center"/>
          </w:tcPr>
          <w:p w:rsidR="00B70E35" w:rsidRPr="004761E0" w:rsidRDefault="00B70E35" w:rsidP="007076A7">
            <w:pPr>
              <w:pStyle w:val="a5"/>
              <w:numPr>
                <w:ilvl w:val="2"/>
                <w:numId w:val="49"/>
              </w:numPr>
              <w:jc w:val="left"/>
              <w:rPr>
                <w:rFonts w:eastAsia="Times New Roman"/>
                <w:color w:val="000000"/>
                <w:sz w:val="20"/>
                <w:szCs w:val="20"/>
                <w:lang w:eastAsia="ru-RU"/>
              </w:rPr>
            </w:pPr>
          </w:p>
        </w:tc>
        <w:tc>
          <w:tcPr>
            <w:tcW w:w="4623" w:type="dxa"/>
            <w:vMerge w:val="restart"/>
            <w:tcBorders>
              <w:top w:val="single" w:sz="4" w:space="0" w:color="auto"/>
              <w:left w:val="nil"/>
              <w:right w:val="single" w:sz="4" w:space="0" w:color="auto"/>
            </w:tcBorders>
            <w:shd w:val="clear" w:color="auto" w:fill="auto"/>
            <w:vAlign w:val="center"/>
          </w:tcPr>
          <w:p w:rsidR="00B70E35" w:rsidRPr="004761E0" w:rsidRDefault="00B70E35" w:rsidP="006D32CC">
            <w:pPr>
              <w:ind w:left="601" w:firstLine="0"/>
              <w:jc w:val="left"/>
              <w:rPr>
                <w:rFonts w:eastAsia="Times New Roman"/>
                <w:color w:val="000000"/>
                <w:sz w:val="20"/>
                <w:szCs w:val="20"/>
                <w:lang w:eastAsia="ru-RU"/>
              </w:rPr>
            </w:pPr>
            <w:r w:rsidRPr="004761E0">
              <w:rPr>
                <w:rFonts w:eastAsia="Times New Roman"/>
                <w:color w:val="000000"/>
                <w:sz w:val="20"/>
                <w:szCs w:val="20"/>
                <w:lang w:eastAsia="ru-RU"/>
              </w:rPr>
              <w:t>тепловая энергия</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B70E35" w:rsidRPr="004761E0" w:rsidRDefault="00B70E35" w:rsidP="006D32CC">
            <w:pPr>
              <w:ind w:firstLine="0"/>
              <w:jc w:val="left"/>
              <w:rPr>
                <w:rFonts w:eastAsia="Times New Roman"/>
                <w:color w:val="000000"/>
                <w:sz w:val="20"/>
                <w:szCs w:val="20"/>
                <w:lang w:eastAsia="ru-RU"/>
              </w:rPr>
            </w:pPr>
            <w:r w:rsidRPr="004761E0">
              <w:rPr>
                <w:rFonts w:eastAsia="Times New Roman"/>
                <w:color w:val="000000"/>
                <w:sz w:val="20"/>
                <w:szCs w:val="20"/>
                <w:lang w:eastAsia="ru-RU"/>
              </w:rPr>
              <w:t>Гкал</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35 183,8</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34 448,1</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32 243,5</w:t>
            </w:r>
          </w:p>
        </w:tc>
        <w:tc>
          <w:tcPr>
            <w:tcW w:w="1134"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-6,40 %</w:t>
            </w:r>
          </w:p>
        </w:tc>
        <w:tc>
          <w:tcPr>
            <w:tcW w:w="993"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22 089,6</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18 899,5</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22 494,2</w:t>
            </w:r>
          </w:p>
        </w:tc>
        <w:tc>
          <w:tcPr>
            <w:tcW w:w="1134"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19,02 %</w:t>
            </w:r>
          </w:p>
        </w:tc>
      </w:tr>
      <w:tr w:rsidR="00B70E35" w:rsidRPr="004761E0" w:rsidTr="00B70E35">
        <w:trPr>
          <w:trHeight w:val="300"/>
        </w:trPr>
        <w:tc>
          <w:tcPr>
            <w:tcW w:w="708" w:type="dxa"/>
            <w:vMerge/>
            <w:tcBorders>
              <w:left w:val="single" w:sz="4" w:space="0" w:color="auto"/>
              <w:bottom w:val="single" w:sz="4" w:space="0" w:color="auto"/>
              <w:right w:val="single" w:sz="4" w:space="0" w:color="auto"/>
            </w:tcBorders>
            <w:shd w:val="clear" w:color="auto" w:fill="auto"/>
            <w:vAlign w:val="center"/>
          </w:tcPr>
          <w:p w:rsidR="00B70E35" w:rsidRPr="004761E0" w:rsidRDefault="00B70E35" w:rsidP="007076A7">
            <w:pPr>
              <w:pStyle w:val="a5"/>
              <w:numPr>
                <w:ilvl w:val="2"/>
                <w:numId w:val="49"/>
              </w:numPr>
              <w:jc w:val="left"/>
              <w:rPr>
                <w:rFonts w:eastAsia="Times New Roman"/>
                <w:color w:val="000000"/>
                <w:sz w:val="20"/>
                <w:szCs w:val="20"/>
                <w:lang w:eastAsia="ru-RU"/>
              </w:rPr>
            </w:pPr>
          </w:p>
        </w:tc>
        <w:tc>
          <w:tcPr>
            <w:tcW w:w="4623" w:type="dxa"/>
            <w:vMerge/>
            <w:tcBorders>
              <w:left w:val="nil"/>
              <w:bottom w:val="single" w:sz="4" w:space="0" w:color="auto"/>
              <w:right w:val="single" w:sz="4" w:space="0" w:color="auto"/>
            </w:tcBorders>
            <w:shd w:val="clear" w:color="auto" w:fill="auto"/>
            <w:vAlign w:val="center"/>
          </w:tcPr>
          <w:p w:rsidR="00B70E35" w:rsidRPr="004761E0" w:rsidRDefault="00B70E35" w:rsidP="006D32CC">
            <w:pPr>
              <w:ind w:left="601" w:firstLine="0"/>
              <w:jc w:val="left"/>
              <w:rPr>
                <w:rFonts w:eastAsia="Times New Roman"/>
                <w:color w:val="000000"/>
                <w:sz w:val="20"/>
                <w:szCs w:val="20"/>
                <w:lang w:eastAsia="ru-RU"/>
              </w:rPr>
            </w:pP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B70E35" w:rsidRPr="004761E0" w:rsidRDefault="00B70E35" w:rsidP="006D32CC">
            <w:pPr>
              <w:ind w:firstLine="0"/>
              <w:jc w:val="left"/>
              <w:rPr>
                <w:rFonts w:eastAsia="Times New Roman"/>
                <w:color w:val="000000"/>
                <w:sz w:val="20"/>
                <w:szCs w:val="20"/>
                <w:lang w:eastAsia="ru-RU"/>
              </w:rPr>
            </w:pPr>
            <w:r w:rsidRPr="004761E0">
              <w:rPr>
                <w:rFonts w:eastAsia="Times New Roman"/>
                <w:color w:val="000000"/>
                <w:sz w:val="20"/>
                <w:szCs w:val="20"/>
                <w:lang w:eastAsia="ru-RU"/>
              </w:rPr>
              <w:t>млн руб. с НДС</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50,3</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44,4</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47,0</w:t>
            </w:r>
          </w:p>
        </w:tc>
        <w:tc>
          <w:tcPr>
            <w:tcW w:w="1134"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5,87 %</w:t>
            </w:r>
          </w:p>
        </w:tc>
        <w:tc>
          <w:tcPr>
            <w:tcW w:w="993"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29,6</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26,9</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34,5</w:t>
            </w:r>
          </w:p>
        </w:tc>
        <w:tc>
          <w:tcPr>
            <w:tcW w:w="1134"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28,00 %</w:t>
            </w:r>
          </w:p>
        </w:tc>
      </w:tr>
      <w:tr w:rsidR="00835898" w:rsidRPr="004761E0" w:rsidTr="00B70E35">
        <w:trPr>
          <w:trHeight w:val="300"/>
        </w:trPr>
        <w:tc>
          <w:tcPr>
            <w:tcW w:w="708" w:type="dxa"/>
            <w:vMerge w:val="restart"/>
            <w:tcBorders>
              <w:top w:val="single" w:sz="4" w:space="0" w:color="auto"/>
              <w:left w:val="single" w:sz="4" w:space="0" w:color="auto"/>
              <w:right w:val="single" w:sz="4" w:space="0" w:color="auto"/>
            </w:tcBorders>
            <w:shd w:val="clear" w:color="auto" w:fill="auto"/>
            <w:vAlign w:val="center"/>
          </w:tcPr>
          <w:p w:rsidR="00835898" w:rsidRPr="004761E0" w:rsidRDefault="00835898" w:rsidP="007076A7">
            <w:pPr>
              <w:pStyle w:val="a5"/>
              <w:numPr>
                <w:ilvl w:val="2"/>
                <w:numId w:val="49"/>
              </w:numPr>
              <w:jc w:val="left"/>
              <w:rPr>
                <w:rFonts w:eastAsia="Times New Roman"/>
                <w:color w:val="000000"/>
                <w:sz w:val="20"/>
                <w:szCs w:val="20"/>
                <w:lang w:eastAsia="ru-RU"/>
              </w:rPr>
            </w:pPr>
          </w:p>
        </w:tc>
        <w:tc>
          <w:tcPr>
            <w:tcW w:w="4623" w:type="dxa"/>
            <w:vMerge w:val="restart"/>
            <w:tcBorders>
              <w:top w:val="single" w:sz="4" w:space="0" w:color="auto"/>
              <w:left w:val="nil"/>
              <w:right w:val="single" w:sz="4" w:space="0" w:color="auto"/>
            </w:tcBorders>
            <w:shd w:val="clear" w:color="auto" w:fill="auto"/>
            <w:vAlign w:val="center"/>
          </w:tcPr>
          <w:p w:rsidR="00835898" w:rsidRPr="004761E0" w:rsidRDefault="00835898" w:rsidP="006D32CC">
            <w:pPr>
              <w:ind w:left="601" w:firstLine="0"/>
              <w:jc w:val="left"/>
              <w:rPr>
                <w:rFonts w:eastAsia="Times New Roman"/>
                <w:color w:val="000000"/>
                <w:sz w:val="20"/>
                <w:szCs w:val="20"/>
                <w:lang w:eastAsia="ru-RU"/>
              </w:rPr>
            </w:pPr>
            <w:r w:rsidRPr="004761E0">
              <w:rPr>
                <w:rFonts w:eastAsia="Times New Roman"/>
                <w:color w:val="000000"/>
                <w:sz w:val="20"/>
                <w:szCs w:val="20"/>
                <w:lang w:eastAsia="ru-RU"/>
              </w:rPr>
              <w:t>газ</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835898" w:rsidRPr="004761E0" w:rsidRDefault="00835898" w:rsidP="006D32CC">
            <w:pPr>
              <w:ind w:firstLine="0"/>
              <w:jc w:val="left"/>
              <w:rPr>
                <w:rFonts w:eastAsia="Times New Roman"/>
                <w:color w:val="000000"/>
                <w:sz w:val="20"/>
                <w:szCs w:val="20"/>
                <w:lang w:eastAsia="ru-RU"/>
              </w:rPr>
            </w:pPr>
            <w:r w:rsidRPr="004761E0">
              <w:rPr>
                <w:rFonts w:eastAsia="Times New Roman"/>
                <w:color w:val="000000"/>
                <w:sz w:val="20"/>
                <w:szCs w:val="20"/>
                <w:lang w:eastAsia="ru-RU"/>
              </w:rPr>
              <w:t>тыс. м³</w:t>
            </w:r>
          </w:p>
        </w:tc>
        <w:tc>
          <w:tcPr>
            <w:tcW w:w="992" w:type="dxa"/>
            <w:tcBorders>
              <w:top w:val="single" w:sz="4" w:space="0" w:color="auto"/>
              <w:left w:val="nil"/>
              <w:bottom w:val="single" w:sz="4" w:space="0" w:color="auto"/>
              <w:right w:val="single" w:sz="4" w:space="0" w:color="auto"/>
            </w:tcBorders>
            <w:shd w:val="clear" w:color="auto" w:fill="auto"/>
            <w:vAlign w:val="center"/>
          </w:tcPr>
          <w:p w:rsidR="00835898" w:rsidRPr="004761E0" w:rsidRDefault="00835898" w:rsidP="00D52C46">
            <w:pPr>
              <w:ind w:firstLine="0"/>
              <w:jc w:val="right"/>
              <w:rPr>
                <w:sz w:val="20"/>
                <w:szCs w:val="20"/>
              </w:rPr>
            </w:pPr>
            <w:r>
              <w:rPr>
                <w:sz w:val="20"/>
                <w:szCs w:val="20"/>
              </w:rPr>
              <w:t>–</w:t>
            </w:r>
          </w:p>
        </w:tc>
        <w:tc>
          <w:tcPr>
            <w:tcW w:w="992" w:type="dxa"/>
            <w:tcBorders>
              <w:top w:val="single" w:sz="4" w:space="0" w:color="auto"/>
              <w:left w:val="nil"/>
              <w:bottom w:val="single" w:sz="4" w:space="0" w:color="auto"/>
              <w:right w:val="single" w:sz="4" w:space="0" w:color="auto"/>
            </w:tcBorders>
            <w:shd w:val="clear" w:color="auto" w:fill="auto"/>
            <w:vAlign w:val="center"/>
          </w:tcPr>
          <w:p w:rsidR="00835898" w:rsidRPr="004761E0" w:rsidRDefault="00835898" w:rsidP="00D52C46">
            <w:pPr>
              <w:ind w:firstLine="0"/>
              <w:jc w:val="right"/>
              <w:rPr>
                <w:sz w:val="20"/>
                <w:szCs w:val="20"/>
              </w:rPr>
            </w:pPr>
            <w:r>
              <w:rPr>
                <w:sz w:val="20"/>
                <w:szCs w:val="20"/>
              </w:rPr>
              <w:t>–</w:t>
            </w:r>
          </w:p>
        </w:tc>
        <w:tc>
          <w:tcPr>
            <w:tcW w:w="992" w:type="dxa"/>
            <w:tcBorders>
              <w:top w:val="single" w:sz="4" w:space="0" w:color="auto"/>
              <w:left w:val="nil"/>
              <w:bottom w:val="single" w:sz="4" w:space="0" w:color="auto"/>
              <w:right w:val="single" w:sz="4" w:space="0" w:color="auto"/>
            </w:tcBorders>
            <w:shd w:val="clear" w:color="auto" w:fill="auto"/>
            <w:vAlign w:val="center"/>
          </w:tcPr>
          <w:p w:rsidR="00835898" w:rsidRPr="004761E0" w:rsidRDefault="00835898" w:rsidP="00D52C46">
            <w:pPr>
              <w:ind w:firstLine="0"/>
              <w:jc w:val="right"/>
              <w:rPr>
                <w:sz w:val="20"/>
                <w:szCs w:val="20"/>
              </w:rPr>
            </w:pPr>
            <w:r>
              <w:rPr>
                <w:sz w:val="20"/>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835898" w:rsidRPr="004761E0" w:rsidRDefault="00835898" w:rsidP="00D52C46">
            <w:pPr>
              <w:ind w:firstLine="0"/>
              <w:jc w:val="right"/>
              <w:rPr>
                <w:sz w:val="20"/>
                <w:szCs w:val="20"/>
              </w:rPr>
            </w:pPr>
            <w:r>
              <w:rPr>
                <w:sz w:val="20"/>
                <w:szCs w:val="20"/>
              </w:rPr>
              <w:t>–</w:t>
            </w:r>
          </w:p>
        </w:tc>
        <w:tc>
          <w:tcPr>
            <w:tcW w:w="993" w:type="dxa"/>
            <w:tcBorders>
              <w:top w:val="single" w:sz="4" w:space="0" w:color="auto"/>
              <w:left w:val="nil"/>
              <w:bottom w:val="single" w:sz="4" w:space="0" w:color="auto"/>
              <w:right w:val="single" w:sz="4" w:space="0" w:color="auto"/>
            </w:tcBorders>
            <w:vAlign w:val="center"/>
          </w:tcPr>
          <w:p w:rsidR="00835898" w:rsidRPr="004761E0" w:rsidRDefault="00835898" w:rsidP="00B70E35">
            <w:pPr>
              <w:ind w:firstLine="0"/>
              <w:jc w:val="right"/>
              <w:rPr>
                <w:color w:val="000000"/>
                <w:sz w:val="20"/>
                <w:szCs w:val="20"/>
              </w:rPr>
            </w:pPr>
            <w:r w:rsidRPr="004761E0">
              <w:rPr>
                <w:color w:val="000000"/>
                <w:sz w:val="20"/>
                <w:szCs w:val="20"/>
              </w:rPr>
              <w:t>259,9</w:t>
            </w:r>
          </w:p>
        </w:tc>
        <w:tc>
          <w:tcPr>
            <w:tcW w:w="992" w:type="dxa"/>
            <w:tcBorders>
              <w:top w:val="single" w:sz="4" w:space="0" w:color="auto"/>
              <w:left w:val="nil"/>
              <w:bottom w:val="single" w:sz="4" w:space="0" w:color="auto"/>
              <w:right w:val="single" w:sz="4" w:space="0" w:color="auto"/>
            </w:tcBorders>
            <w:vAlign w:val="center"/>
          </w:tcPr>
          <w:p w:rsidR="00835898" w:rsidRPr="004761E0" w:rsidRDefault="00835898" w:rsidP="00B70E35">
            <w:pPr>
              <w:ind w:firstLine="0"/>
              <w:jc w:val="right"/>
              <w:rPr>
                <w:color w:val="000000"/>
                <w:sz w:val="20"/>
                <w:szCs w:val="20"/>
              </w:rPr>
            </w:pPr>
            <w:r w:rsidRPr="004761E0">
              <w:rPr>
                <w:color w:val="000000"/>
                <w:sz w:val="20"/>
                <w:szCs w:val="20"/>
              </w:rPr>
              <w:t>265,2</w:t>
            </w:r>
          </w:p>
        </w:tc>
        <w:tc>
          <w:tcPr>
            <w:tcW w:w="992" w:type="dxa"/>
            <w:tcBorders>
              <w:top w:val="single" w:sz="4" w:space="0" w:color="auto"/>
              <w:left w:val="nil"/>
              <w:bottom w:val="single" w:sz="4" w:space="0" w:color="auto"/>
              <w:right w:val="single" w:sz="4" w:space="0" w:color="auto"/>
            </w:tcBorders>
            <w:vAlign w:val="center"/>
          </w:tcPr>
          <w:p w:rsidR="00835898" w:rsidRPr="004761E0" w:rsidRDefault="00835898" w:rsidP="00B70E35">
            <w:pPr>
              <w:ind w:firstLine="0"/>
              <w:jc w:val="right"/>
              <w:rPr>
                <w:color w:val="000000"/>
                <w:sz w:val="20"/>
                <w:szCs w:val="20"/>
              </w:rPr>
            </w:pPr>
            <w:r w:rsidRPr="004761E0">
              <w:rPr>
                <w:color w:val="000000"/>
                <w:sz w:val="20"/>
                <w:szCs w:val="20"/>
              </w:rPr>
              <w:t>149,4</w:t>
            </w:r>
          </w:p>
        </w:tc>
        <w:tc>
          <w:tcPr>
            <w:tcW w:w="1134" w:type="dxa"/>
            <w:tcBorders>
              <w:top w:val="single" w:sz="4" w:space="0" w:color="auto"/>
              <w:left w:val="nil"/>
              <w:bottom w:val="single" w:sz="4" w:space="0" w:color="auto"/>
              <w:right w:val="single" w:sz="4" w:space="0" w:color="auto"/>
            </w:tcBorders>
            <w:vAlign w:val="center"/>
          </w:tcPr>
          <w:p w:rsidR="00835898" w:rsidRPr="004761E0" w:rsidRDefault="00835898" w:rsidP="00B70E35">
            <w:pPr>
              <w:ind w:firstLine="0"/>
              <w:jc w:val="right"/>
              <w:rPr>
                <w:color w:val="000000"/>
                <w:sz w:val="20"/>
                <w:szCs w:val="20"/>
              </w:rPr>
            </w:pPr>
            <w:r w:rsidRPr="004761E0">
              <w:rPr>
                <w:color w:val="000000"/>
                <w:sz w:val="20"/>
                <w:szCs w:val="20"/>
              </w:rPr>
              <w:t>-43,66 %</w:t>
            </w:r>
          </w:p>
        </w:tc>
      </w:tr>
      <w:tr w:rsidR="00835898" w:rsidRPr="004761E0" w:rsidTr="00B70E35">
        <w:trPr>
          <w:trHeight w:val="300"/>
        </w:trPr>
        <w:tc>
          <w:tcPr>
            <w:tcW w:w="708" w:type="dxa"/>
            <w:vMerge/>
            <w:tcBorders>
              <w:left w:val="single" w:sz="4" w:space="0" w:color="auto"/>
              <w:bottom w:val="single" w:sz="4" w:space="0" w:color="auto"/>
              <w:right w:val="single" w:sz="4" w:space="0" w:color="auto"/>
            </w:tcBorders>
            <w:shd w:val="clear" w:color="auto" w:fill="auto"/>
            <w:vAlign w:val="center"/>
          </w:tcPr>
          <w:p w:rsidR="00835898" w:rsidRPr="004761E0" w:rsidRDefault="00835898" w:rsidP="006D32CC">
            <w:pPr>
              <w:pStyle w:val="a5"/>
              <w:ind w:left="360" w:firstLine="0"/>
              <w:jc w:val="left"/>
              <w:rPr>
                <w:rFonts w:eastAsia="Times New Roman"/>
                <w:color w:val="000000"/>
                <w:sz w:val="20"/>
                <w:szCs w:val="20"/>
                <w:lang w:eastAsia="ru-RU"/>
              </w:rPr>
            </w:pPr>
          </w:p>
        </w:tc>
        <w:tc>
          <w:tcPr>
            <w:tcW w:w="4623" w:type="dxa"/>
            <w:vMerge/>
            <w:tcBorders>
              <w:left w:val="nil"/>
              <w:bottom w:val="single" w:sz="4" w:space="0" w:color="auto"/>
              <w:right w:val="single" w:sz="4" w:space="0" w:color="auto"/>
            </w:tcBorders>
            <w:shd w:val="clear" w:color="auto" w:fill="auto"/>
            <w:vAlign w:val="center"/>
          </w:tcPr>
          <w:p w:rsidR="00835898" w:rsidRPr="004761E0" w:rsidRDefault="00835898" w:rsidP="006D32CC">
            <w:pPr>
              <w:ind w:left="601" w:firstLine="0"/>
              <w:jc w:val="left"/>
              <w:rPr>
                <w:rFonts w:eastAsia="Times New Roman"/>
                <w:color w:val="000000"/>
                <w:sz w:val="20"/>
                <w:szCs w:val="20"/>
                <w:lang w:eastAsia="ru-RU"/>
              </w:rPr>
            </w:pP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835898" w:rsidRPr="004761E0" w:rsidRDefault="00835898" w:rsidP="006D32CC">
            <w:pPr>
              <w:ind w:firstLine="0"/>
              <w:jc w:val="left"/>
              <w:rPr>
                <w:rFonts w:eastAsia="Times New Roman"/>
                <w:color w:val="000000"/>
                <w:sz w:val="20"/>
                <w:szCs w:val="20"/>
                <w:lang w:eastAsia="ru-RU"/>
              </w:rPr>
            </w:pPr>
            <w:r w:rsidRPr="004761E0">
              <w:rPr>
                <w:rFonts w:eastAsia="Times New Roman"/>
                <w:color w:val="000000"/>
                <w:sz w:val="20"/>
                <w:szCs w:val="20"/>
                <w:lang w:eastAsia="ru-RU"/>
              </w:rPr>
              <w:t>млн руб. с НДС</w:t>
            </w:r>
          </w:p>
        </w:tc>
        <w:tc>
          <w:tcPr>
            <w:tcW w:w="992" w:type="dxa"/>
            <w:tcBorders>
              <w:top w:val="single" w:sz="4" w:space="0" w:color="auto"/>
              <w:left w:val="nil"/>
              <w:bottom w:val="single" w:sz="4" w:space="0" w:color="auto"/>
              <w:right w:val="single" w:sz="4" w:space="0" w:color="auto"/>
            </w:tcBorders>
            <w:shd w:val="clear" w:color="auto" w:fill="auto"/>
            <w:vAlign w:val="center"/>
          </w:tcPr>
          <w:p w:rsidR="00835898" w:rsidRPr="004761E0" w:rsidRDefault="00835898" w:rsidP="00D52C46">
            <w:pPr>
              <w:ind w:firstLine="0"/>
              <w:jc w:val="right"/>
              <w:rPr>
                <w:sz w:val="20"/>
                <w:szCs w:val="20"/>
              </w:rPr>
            </w:pPr>
            <w:r>
              <w:rPr>
                <w:sz w:val="20"/>
                <w:szCs w:val="20"/>
              </w:rPr>
              <w:t>–</w:t>
            </w:r>
          </w:p>
        </w:tc>
        <w:tc>
          <w:tcPr>
            <w:tcW w:w="992" w:type="dxa"/>
            <w:tcBorders>
              <w:top w:val="single" w:sz="4" w:space="0" w:color="auto"/>
              <w:left w:val="nil"/>
              <w:bottom w:val="single" w:sz="4" w:space="0" w:color="auto"/>
              <w:right w:val="single" w:sz="4" w:space="0" w:color="auto"/>
            </w:tcBorders>
            <w:shd w:val="clear" w:color="auto" w:fill="auto"/>
            <w:vAlign w:val="center"/>
          </w:tcPr>
          <w:p w:rsidR="00835898" w:rsidRPr="004761E0" w:rsidRDefault="00835898" w:rsidP="00D52C46">
            <w:pPr>
              <w:ind w:firstLine="0"/>
              <w:jc w:val="right"/>
              <w:rPr>
                <w:sz w:val="20"/>
                <w:szCs w:val="20"/>
              </w:rPr>
            </w:pPr>
            <w:r>
              <w:rPr>
                <w:sz w:val="20"/>
                <w:szCs w:val="20"/>
              </w:rPr>
              <w:t>–</w:t>
            </w:r>
          </w:p>
        </w:tc>
        <w:tc>
          <w:tcPr>
            <w:tcW w:w="992" w:type="dxa"/>
            <w:tcBorders>
              <w:top w:val="single" w:sz="4" w:space="0" w:color="auto"/>
              <w:left w:val="nil"/>
              <w:bottom w:val="single" w:sz="4" w:space="0" w:color="auto"/>
              <w:right w:val="single" w:sz="4" w:space="0" w:color="auto"/>
            </w:tcBorders>
            <w:shd w:val="clear" w:color="auto" w:fill="auto"/>
            <w:vAlign w:val="center"/>
          </w:tcPr>
          <w:p w:rsidR="00835898" w:rsidRPr="004761E0" w:rsidRDefault="00835898" w:rsidP="00D52C46">
            <w:pPr>
              <w:ind w:firstLine="0"/>
              <w:jc w:val="right"/>
              <w:rPr>
                <w:sz w:val="20"/>
                <w:szCs w:val="20"/>
              </w:rPr>
            </w:pPr>
            <w:r>
              <w:rPr>
                <w:sz w:val="20"/>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835898" w:rsidRPr="004761E0" w:rsidRDefault="00835898" w:rsidP="00D52C46">
            <w:pPr>
              <w:ind w:firstLine="0"/>
              <w:jc w:val="right"/>
              <w:rPr>
                <w:sz w:val="20"/>
                <w:szCs w:val="20"/>
              </w:rPr>
            </w:pPr>
            <w:r>
              <w:rPr>
                <w:sz w:val="20"/>
                <w:szCs w:val="20"/>
              </w:rPr>
              <w:t>–</w:t>
            </w:r>
          </w:p>
        </w:tc>
        <w:tc>
          <w:tcPr>
            <w:tcW w:w="993" w:type="dxa"/>
            <w:tcBorders>
              <w:top w:val="single" w:sz="4" w:space="0" w:color="auto"/>
              <w:left w:val="nil"/>
              <w:bottom w:val="single" w:sz="4" w:space="0" w:color="auto"/>
              <w:right w:val="single" w:sz="4" w:space="0" w:color="auto"/>
            </w:tcBorders>
            <w:vAlign w:val="center"/>
          </w:tcPr>
          <w:p w:rsidR="00835898" w:rsidRPr="004761E0" w:rsidRDefault="00835898" w:rsidP="00B70E35">
            <w:pPr>
              <w:ind w:firstLine="0"/>
              <w:jc w:val="right"/>
              <w:rPr>
                <w:color w:val="000000"/>
                <w:sz w:val="20"/>
                <w:szCs w:val="20"/>
              </w:rPr>
            </w:pPr>
            <w:r w:rsidRPr="004761E0">
              <w:rPr>
                <w:color w:val="000000"/>
                <w:sz w:val="20"/>
                <w:szCs w:val="20"/>
              </w:rPr>
              <w:t>1,0</w:t>
            </w:r>
          </w:p>
        </w:tc>
        <w:tc>
          <w:tcPr>
            <w:tcW w:w="992" w:type="dxa"/>
            <w:tcBorders>
              <w:top w:val="single" w:sz="4" w:space="0" w:color="auto"/>
              <w:left w:val="nil"/>
              <w:bottom w:val="single" w:sz="4" w:space="0" w:color="auto"/>
              <w:right w:val="single" w:sz="4" w:space="0" w:color="auto"/>
            </w:tcBorders>
            <w:vAlign w:val="center"/>
          </w:tcPr>
          <w:p w:rsidR="00835898" w:rsidRPr="004761E0" w:rsidRDefault="00835898" w:rsidP="00B70E35">
            <w:pPr>
              <w:ind w:firstLine="0"/>
              <w:jc w:val="right"/>
              <w:rPr>
                <w:color w:val="000000"/>
                <w:sz w:val="20"/>
                <w:szCs w:val="20"/>
              </w:rPr>
            </w:pPr>
            <w:r w:rsidRPr="004761E0">
              <w:rPr>
                <w:color w:val="000000"/>
                <w:sz w:val="20"/>
                <w:szCs w:val="20"/>
              </w:rPr>
              <w:t>0,8</w:t>
            </w:r>
          </w:p>
        </w:tc>
        <w:tc>
          <w:tcPr>
            <w:tcW w:w="992" w:type="dxa"/>
            <w:tcBorders>
              <w:top w:val="single" w:sz="4" w:space="0" w:color="auto"/>
              <w:left w:val="nil"/>
              <w:bottom w:val="single" w:sz="4" w:space="0" w:color="auto"/>
              <w:right w:val="single" w:sz="4" w:space="0" w:color="auto"/>
            </w:tcBorders>
            <w:vAlign w:val="center"/>
          </w:tcPr>
          <w:p w:rsidR="00835898" w:rsidRPr="004761E0" w:rsidRDefault="00835898" w:rsidP="00B70E35">
            <w:pPr>
              <w:ind w:firstLine="0"/>
              <w:jc w:val="right"/>
              <w:rPr>
                <w:color w:val="000000"/>
                <w:sz w:val="20"/>
                <w:szCs w:val="20"/>
              </w:rPr>
            </w:pPr>
            <w:r w:rsidRPr="004761E0">
              <w:rPr>
                <w:color w:val="000000"/>
                <w:sz w:val="20"/>
                <w:szCs w:val="20"/>
              </w:rPr>
              <w:t>0,8</w:t>
            </w:r>
          </w:p>
        </w:tc>
        <w:tc>
          <w:tcPr>
            <w:tcW w:w="1134" w:type="dxa"/>
            <w:tcBorders>
              <w:top w:val="single" w:sz="4" w:space="0" w:color="auto"/>
              <w:left w:val="nil"/>
              <w:bottom w:val="single" w:sz="4" w:space="0" w:color="auto"/>
              <w:right w:val="single" w:sz="4" w:space="0" w:color="auto"/>
            </w:tcBorders>
            <w:vAlign w:val="center"/>
          </w:tcPr>
          <w:p w:rsidR="00835898" w:rsidRPr="004761E0" w:rsidRDefault="00835898" w:rsidP="00B70E35">
            <w:pPr>
              <w:ind w:firstLine="0"/>
              <w:jc w:val="right"/>
              <w:rPr>
                <w:color w:val="000000"/>
                <w:sz w:val="20"/>
                <w:szCs w:val="20"/>
              </w:rPr>
            </w:pPr>
            <w:r w:rsidRPr="004761E0">
              <w:rPr>
                <w:color w:val="000000"/>
                <w:sz w:val="20"/>
                <w:szCs w:val="20"/>
              </w:rPr>
              <w:t>-4,53 %</w:t>
            </w:r>
          </w:p>
        </w:tc>
      </w:tr>
      <w:tr w:rsidR="00B70E35" w:rsidRPr="004761E0" w:rsidTr="00B70E35">
        <w:trPr>
          <w:trHeight w:val="300"/>
        </w:trPr>
        <w:tc>
          <w:tcPr>
            <w:tcW w:w="708" w:type="dxa"/>
            <w:vMerge w:val="restart"/>
            <w:tcBorders>
              <w:top w:val="single" w:sz="4" w:space="0" w:color="auto"/>
              <w:left w:val="single" w:sz="4" w:space="0" w:color="auto"/>
              <w:right w:val="single" w:sz="4" w:space="0" w:color="auto"/>
            </w:tcBorders>
            <w:shd w:val="clear" w:color="auto" w:fill="auto"/>
            <w:vAlign w:val="center"/>
          </w:tcPr>
          <w:p w:rsidR="00B70E35" w:rsidRPr="004761E0" w:rsidRDefault="00B70E35" w:rsidP="007076A7">
            <w:pPr>
              <w:pStyle w:val="a5"/>
              <w:numPr>
                <w:ilvl w:val="2"/>
                <w:numId w:val="49"/>
              </w:numPr>
              <w:jc w:val="left"/>
              <w:rPr>
                <w:rFonts w:eastAsia="Times New Roman"/>
                <w:color w:val="000000"/>
                <w:sz w:val="20"/>
                <w:szCs w:val="20"/>
                <w:lang w:eastAsia="ru-RU"/>
              </w:rPr>
            </w:pPr>
          </w:p>
        </w:tc>
        <w:tc>
          <w:tcPr>
            <w:tcW w:w="4623" w:type="dxa"/>
            <w:vMerge w:val="restart"/>
            <w:tcBorders>
              <w:top w:val="single" w:sz="4" w:space="0" w:color="auto"/>
              <w:left w:val="nil"/>
              <w:right w:val="single" w:sz="4" w:space="0" w:color="auto"/>
            </w:tcBorders>
            <w:shd w:val="clear" w:color="auto" w:fill="auto"/>
            <w:vAlign w:val="center"/>
          </w:tcPr>
          <w:p w:rsidR="00B70E35" w:rsidRPr="004761E0" w:rsidRDefault="00B70E35" w:rsidP="006D32CC">
            <w:pPr>
              <w:ind w:left="601" w:firstLine="0"/>
              <w:jc w:val="left"/>
              <w:rPr>
                <w:rFonts w:eastAsia="Times New Roman"/>
                <w:color w:val="000000"/>
                <w:sz w:val="20"/>
                <w:szCs w:val="20"/>
                <w:lang w:eastAsia="ru-RU"/>
              </w:rPr>
            </w:pPr>
            <w:r w:rsidRPr="004761E0">
              <w:rPr>
                <w:rFonts w:eastAsia="Times New Roman"/>
                <w:color w:val="000000"/>
                <w:sz w:val="20"/>
                <w:szCs w:val="20"/>
                <w:lang w:eastAsia="ru-RU"/>
              </w:rPr>
              <w:t>иное (дизельное топливо, керосин, бензин и др.)</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B70E35" w:rsidRPr="004761E0" w:rsidRDefault="00B70E35" w:rsidP="006D32CC">
            <w:pPr>
              <w:ind w:firstLine="0"/>
              <w:jc w:val="left"/>
              <w:rPr>
                <w:rFonts w:eastAsia="Times New Roman"/>
                <w:color w:val="000000"/>
                <w:sz w:val="20"/>
                <w:szCs w:val="20"/>
                <w:lang w:eastAsia="ru-RU"/>
              </w:rPr>
            </w:pPr>
            <w:r w:rsidRPr="004761E0">
              <w:rPr>
                <w:rFonts w:eastAsia="Times New Roman"/>
                <w:color w:val="000000"/>
                <w:sz w:val="20"/>
                <w:szCs w:val="20"/>
                <w:lang w:eastAsia="ru-RU"/>
              </w:rPr>
              <w:t>тыс. т у. т.</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7,4</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4,6</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4,0</w:t>
            </w:r>
          </w:p>
        </w:tc>
        <w:tc>
          <w:tcPr>
            <w:tcW w:w="1134"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-14,68 %</w:t>
            </w:r>
          </w:p>
        </w:tc>
        <w:tc>
          <w:tcPr>
            <w:tcW w:w="993"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12,2</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9,8</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9,3</w:t>
            </w:r>
          </w:p>
        </w:tc>
        <w:tc>
          <w:tcPr>
            <w:tcW w:w="1134"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-5,20 %</w:t>
            </w:r>
          </w:p>
        </w:tc>
      </w:tr>
      <w:tr w:rsidR="00B70E35" w:rsidRPr="004761E0" w:rsidTr="00B70E35">
        <w:trPr>
          <w:trHeight w:val="300"/>
        </w:trPr>
        <w:tc>
          <w:tcPr>
            <w:tcW w:w="708" w:type="dxa"/>
            <w:vMerge/>
            <w:tcBorders>
              <w:left w:val="single" w:sz="4" w:space="0" w:color="auto"/>
              <w:bottom w:val="single" w:sz="4" w:space="0" w:color="auto"/>
              <w:right w:val="single" w:sz="4" w:space="0" w:color="auto"/>
            </w:tcBorders>
            <w:shd w:val="clear" w:color="auto" w:fill="auto"/>
            <w:vAlign w:val="center"/>
          </w:tcPr>
          <w:p w:rsidR="00B70E35" w:rsidRPr="004761E0" w:rsidRDefault="00B70E35" w:rsidP="007076A7">
            <w:pPr>
              <w:pStyle w:val="a5"/>
              <w:numPr>
                <w:ilvl w:val="2"/>
                <w:numId w:val="49"/>
              </w:numPr>
              <w:jc w:val="left"/>
              <w:rPr>
                <w:rFonts w:eastAsia="Times New Roman"/>
                <w:color w:val="000000"/>
                <w:sz w:val="20"/>
                <w:szCs w:val="20"/>
                <w:lang w:eastAsia="ru-RU"/>
              </w:rPr>
            </w:pPr>
          </w:p>
        </w:tc>
        <w:tc>
          <w:tcPr>
            <w:tcW w:w="4623" w:type="dxa"/>
            <w:vMerge/>
            <w:tcBorders>
              <w:left w:val="nil"/>
              <w:bottom w:val="single" w:sz="4" w:space="0" w:color="auto"/>
              <w:right w:val="single" w:sz="4" w:space="0" w:color="auto"/>
            </w:tcBorders>
            <w:shd w:val="clear" w:color="auto" w:fill="auto"/>
            <w:vAlign w:val="center"/>
          </w:tcPr>
          <w:p w:rsidR="00B70E35" w:rsidRPr="004761E0" w:rsidRDefault="00B70E35" w:rsidP="006D32CC">
            <w:pPr>
              <w:ind w:firstLineChars="200" w:firstLine="400"/>
              <w:jc w:val="left"/>
              <w:rPr>
                <w:rFonts w:eastAsia="Times New Roman"/>
                <w:color w:val="000000"/>
                <w:sz w:val="20"/>
                <w:szCs w:val="20"/>
                <w:lang w:eastAsia="ru-RU"/>
              </w:rPr>
            </w:pP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B70E35" w:rsidRPr="004761E0" w:rsidRDefault="00B70E35" w:rsidP="006D32CC">
            <w:pPr>
              <w:ind w:firstLine="0"/>
              <w:jc w:val="left"/>
              <w:rPr>
                <w:rFonts w:eastAsia="Times New Roman"/>
                <w:color w:val="000000"/>
                <w:sz w:val="20"/>
                <w:szCs w:val="20"/>
                <w:lang w:eastAsia="ru-RU"/>
              </w:rPr>
            </w:pPr>
            <w:r w:rsidRPr="004761E0">
              <w:rPr>
                <w:rFonts w:eastAsia="Times New Roman"/>
                <w:color w:val="000000"/>
                <w:sz w:val="20"/>
                <w:szCs w:val="20"/>
                <w:lang w:eastAsia="ru-RU"/>
              </w:rPr>
              <w:t>млн руб. с НДС</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137,8</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107,0</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95,4</w:t>
            </w:r>
          </w:p>
        </w:tc>
        <w:tc>
          <w:tcPr>
            <w:tcW w:w="1134"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-10,88 %</w:t>
            </w:r>
          </w:p>
        </w:tc>
        <w:tc>
          <w:tcPr>
            <w:tcW w:w="993"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0,2</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0,2</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0,2</w:t>
            </w:r>
          </w:p>
        </w:tc>
        <w:tc>
          <w:tcPr>
            <w:tcW w:w="1134"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-2,19 %</w:t>
            </w:r>
          </w:p>
        </w:tc>
      </w:tr>
      <w:tr w:rsidR="00B70E35" w:rsidRPr="004761E0" w:rsidTr="00B70E35">
        <w:trPr>
          <w:trHeight w:val="300"/>
        </w:trPr>
        <w:tc>
          <w:tcPr>
            <w:tcW w:w="708" w:type="dxa"/>
            <w:vMerge w:val="restart"/>
            <w:tcBorders>
              <w:top w:val="single" w:sz="4" w:space="0" w:color="auto"/>
              <w:left w:val="single" w:sz="4" w:space="0" w:color="auto"/>
              <w:right w:val="single" w:sz="4" w:space="0" w:color="auto"/>
            </w:tcBorders>
            <w:shd w:val="clear" w:color="auto" w:fill="auto"/>
            <w:vAlign w:val="center"/>
          </w:tcPr>
          <w:p w:rsidR="00B70E35" w:rsidRPr="004761E0" w:rsidRDefault="00B70E35" w:rsidP="007076A7">
            <w:pPr>
              <w:pStyle w:val="a5"/>
              <w:numPr>
                <w:ilvl w:val="1"/>
                <w:numId w:val="49"/>
              </w:numPr>
              <w:jc w:val="left"/>
              <w:rPr>
                <w:rFonts w:eastAsia="Times New Roman"/>
                <w:color w:val="000000"/>
                <w:sz w:val="20"/>
                <w:szCs w:val="20"/>
                <w:lang w:eastAsia="ru-RU"/>
              </w:rPr>
            </w:pPr>
          </w:p>
        </w:tc>
        <w:tc>
          <w:tcPr>
            <w:tcW w:w="4623" w:type="dxa"/>
            <w:vMerge w:val="restart"/>
            <w:tcBorders>
              <w:top w:val="single" w:sz="4" w:space="0" w:color="auto"/>
              <w:left w:val="nil"/>
              <w:right w:val="single" w:sz="4" w:space="0" w:color="auto"/>
            </w:tcBorders>
            <w:shd w:val="clear" w:color="auto" w:fill="auto"/>
            <w:vAlign w:val="center"/>
          </w:tcPr>
          <w:p w:rsidR="00B70E35" w:rsidRPr="004761E0" w:rsidRDefault="00B70E35" w:rsidP="006D32CC">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водоснабжение горячее</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B70E35" w:rsidRPr="004761E0" w:rsidRDefault="00B70E35" w:rsidP="006D32CC">
            <w:pPr>
              <w:ind w:firstLine="0"/>
              <w:jc w:val="left"/>
              <w:rPr>
                <w:rFonts w:eastAsia="Times New Roman"/>
                <w:color w:val="000000"/>
                <w:sz w:val="20"/>
                <w:szCs w:val="20"/>
                <w:lang w:eastAsia="ru-RU"/>
              </w:rPr>
            </w:pPr>
            <w:r w:rsidRPr="004761E0">
              <w:rPr>
                <w:rFonts w:eastAsia="Times New Roman"/>
                <w:color w:val="000000"/>
                <w:sz w:val="20"/>
                <w:szCs w:val="20"/>
                <w:lang w:eastAsia="ru-RU"/>
              </w:rPr>
              <w:t>тыс. м</w:t>
            </w:r>
            <w:r w:rsidRPr="004761E0">
              <w:rPr>
                <w:rFonts w:eastAsia="Times New Roman"/>
                <w:color w:val="000000"/>
                <w:sz w:val="20"/>
                <w:szCs w:val="20"/>
                <w:vertAlign w:val="superscript"/>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0,0</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0,6</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4,0</w:t>
            </w:r>
          </w:p>
        </w:tc>
        <w:tc>
          <w:tcPr>
            <w:tcW w:w="1134"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570,38 %</w:t>
            </w:r>
          </w:p>
        </w:tc>
        <w:tc>
          <w:tcPr>
            <w:tcW w:w="993"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17,8</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3,3</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4,7</w:t>
            </w:r>
          </w:p>
        </w:tc>
        <w:tc>
          <w:tcPr>
            <w:tcW w:w="1134"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41,45 %</w:t>
            </w:r>
          </w:p>
        </w:tc>
      </w:tr>
      <w:tr w:rsidR="00B70E35" w:rsidRPr="004761E0" w:rsidTr="00B70E35">
        <w:trPr>
          <w:trHeight w:val="300"/>
        </w:trPr>
        <w:tc>
          <w:tcPr>
            <w:tcW w:w="708" w:type="dxa"/>
            <w:vMerge/>
            <w:tcBorders>
              <w:left w:val="single" w:sz="4" w:space="0" w:color="auto"/>
              <w:right w:val="single" w:sz="4" w:space="0" w:color="auto"/>
            </w:tcBorders>
            <w:shd w:val="clear" w:color="auto" w:fill="auto"/>
            <w:vAlign w:val="center"/>
          </w:tcPr>
          <w:p w:rsidR="00B70E35" w:rsidRPr="004761E0" w:rsidRDefault="00B70E35" w:rsidP="006D32CC">
            <w:pPr>
              <w:pStyle w:val="a5"/>
              <w:ind w:left="360" w:firstLine="0"/>
              <w:jc w:val="left"/>
              <w:rPr>
                <w:rFonts w:eastAsia="Times New Roman"/>
                <w:color w:val="000000"/>
                <w:sz w:val="20"/>
                <w:szCs w:val="20"/>
                <w:lang w:eastAsia="ru-RU"/>
              </w:rPr>
            </w:pPr>
          </w:p>
        </w:tc>
        <w:tc>
          <w:tcPr>
            <w:tcW w:w="4623" w:type="dxa"/>
            <w:vMerge/>
            <w:tcBorders>
              <w:left w:val="nil"/>
              <w:right w:val="single" w:sz="4" w:space="0" w:color="auto"/>
            </w:tcBorders>
            <w:shd w:val="clear" w:color="auto" w:fill="auto"/>
            <w:vAlign w:val="center"/>
          </w:tcPr>
          <w:p w:rsidR="00B70E35" w:rsidRPr="004761E0" w:rsidRDefault="00B70E35" w:rsidP="006D32CC">
            <w:pPr>
              <w:ind w:firstLineChars="200" w:firstLine="400"/>
              <w:jc w:val="left"/>
              <w:rPr>
                <w:rFonts w:eastAsia="Times New Roman"/>
                <w:color w:val="000000"/>
                <w:sz w:val="20"/>
                <w:szCs w:val="20"/>
                <w:lang w:eastAsia="ru-RU"/>
              </w:rPr>
            </w:pP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B70E35" w:rsidRPr="004761E0" w:rsidRDefault="00B70E35" w:rsidP="006D32CC">
            <w:pPr>
              <w:ind w:firstLine="0"/>
              <w:jc w:val="left"/>
              <w:rPr>
                <w:rFonts w:eastAsia="Times New Roman"/>
                <w:color w:val="000000"/>
                <w:sz w:val="20"/>
                <w:szCs w:val="20"/>
                <w:lang w:eastAsia="ru-RU"/>
              </w:rPr>
            </w:pPr>
            <w:r w:rsidRPr="004761E0">
              <w:rPr>
                <w:rFonts w:eastAsia="Times New Roman"/>
                <w:color w:val="000000"/>
                <w:sz w:val="20"/>
                <w:szCs w:val="20"/>
                <w:lang w:eastAsia="ru-RU"/>
              </w:rPr>
              <w:t>Гкал</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247,9</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271,8</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338,4</w:t>
            </w:r>
          </w:p>
        </w:tc>
        <w:tc>
          <w:tcPr>
            <w:tcW w:w="1134"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24,51 %</w:t>
            </w:r>
          </w:p>
        </w:tc>
        <w:tc>
          <w:tcPr>
            <w:tcW w:w="993"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636,4</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162,9</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502,2</w:t>
            </w:r>
          </w:p>
        </w:tc>
        <w:tc>
          <w:tcPr>
            <w:tcW w:w="1134"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208,31 %</w:t>
            </w:r>
          </w:p>
        </w:tc>
      </w:tr>
      <w:tr w:rsidR="00B70E35" w:rsidRPr="004761E0" w:rsidTr="00B70E35">
        <w:trPr>
          <w:trHeight w:val="300"/>
        </w:trPr>
        <w:tc>
          <w:tcPr>
            <w:tcW w:w="708" w:type="dxa"/>
            <w:vMerge/>
            <w:tcBorders>
              <w:left w:val="single" w:sz="4" w:space="0" w:color="auto"/>
              <w:bottom w:val="single" w:sz="4" w:space="0" w:color="auto"/>
              <w:right w:val="single" w:sz="4" w:space="0" w:color="auto"/>
            </w:tcBorders>
            <w:shd w:val="clear" w:color="auto" w:fill="auto"/>
            <w:vAlign w:val="center"/>
          </w:tcPr>
          <w:p w:rsidR="00B70E35" w:rsidRPr="004761E0" w:rsidRDefault="00B70E35" w:rsidP="006D32CC">
            <w:pPr>
              <w:pStyle w:val="a5"/>
              <w:ind w:left="360" w:firstLine="0"/>
              <w:jc w:val="left"/>
              <w:rPr>
                <w:rFonts w:eastAsia="Times New Roman"/>
                <w:color w:val="000000"/>
                <w:sz w:val="20"/>
                <w:szCs w:val="20"/>
                <w:lang w:eastAsia="ru-RU"/>
              </w:rPr>
            </w:pPr>
          </w:p>
        </w:tc>
        <w:tc>
          <w:tcPr>
            <w:tcW w:w="4623" w:type="dxa"/>
            <w:vMerge/>
            <w:tcBorders>
              <w:left w:val="nil"/>
              <w:bottom w:val="single" w:sz="4" w:space="0" w:color="auto"/>
              <w:right w:val="single" w:sz="4" w:space="0" w:color="auto"/>
            </w:tcBorders>
            <w:shd w:val="clear" w:color="auto" w:fill="auto"/>
            <w:vAlign w:val="center"/>
          </w:tcPr>
          <w:p w:rsidR="00B70E35" w:rsidRPr="004761E0" w:rsidRDefault="00B70E35" w:rsidP="006D32CC">
            <w:pPr>
              <w:ind w:firstLineChars="200" w:firstLine="400"/>
              <w:jc w:val="left"/>
              <w:rPr>
                <w:rFonts w:eastAsia="Times New Roman"/>
                <w:color w:val="000000"/>
                <w:sz w:val="20"/>
                <w:szCs w:val="20"/>
                <w:lang w:eastAsia="ru-RU"/>
              </w:rPr>
            </w:pP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B70E35" w:rsidRPr="004761E0" w:rsidRDefault="00B70E35" w:rsidP="006D32CC">
            <w:pPr>
              <w:ind w:firstLine="0"/>
              <w:jc w:val="left"/>
              <w:rPr>
                <w:rFonts w:eastAsia="Times New Roman"/>
                <w:color w:val="000000"/>
                <w:sz w:val="20"/>
                <w:szCs w:val="20"/>
                <w:lang w:eastAsia="ru-RU"/>
              </w:rPr>
            </w:pPr>
            <w:r w:rsidRPr="004761E0">
              <w:rPr>
                <w:rFonts w:eastAsia="Times New Roman"/>
                <w:color w:val="000000"/>
                <w:sz w:val="20"/>
                <w:szCs w:val="20"/>
                <w:lang w:eastAsia="ru-RU"/>
              </w:rPr>
              <w:t>млн руб. с НДС</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0,4</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1,3</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0,6</w:t>
            </w:r>
          </w:p>
        </w:tc>
        <w:tc>
          <w:tcPr>
            <w:tcW w:w="1134"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-52,62 %</w:t>
            </w:r>
          </w:p>
        </w:tc>
        <w:tc>
          <w:tcPr>
            <w:tcW w:w="993"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1,6</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0,3</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0,7</w:t>
            </w:r>
          </w:p>
        </w:tc>
        <w:tc>
          <w:tcPr>
            <w:tcW w:w="1134"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107,61 %</w:t>
            </w:r>
          </w:p>
        </w:tc>
      </w:tr>
      <w:tr w:rsidR="00B70E35" w:rsidRPr="004761E0" w:rsidTr="00B70E35">
        <w:trPr>
          <w:trHeight w:val="300"/>
        </w:trPr>
        <w:tc>
          <w:tcPr>
            <w:tcW w:w="708" w:type="dxa"/>
            <w:vMerge w:val="restart"/>
            <w:tcBorders>
              <w:top w:val="single" w:sz="4" w:space="0" w:color="auto"/>
              <w:left w:val="single" w:sz="4" w:space="0" w:color="auto"/>
              <w:right w:val="single" w:sz="4" w:space="0" w:color="auto"/>
            </w:tcBorders>
            <w:shd w:val="clear" w:color="auto" w:fill="auto"/>
            <w:vAlign w:val="center"/>
          </w:tcPr>
          <w:p w:rsidR="00B70E35" w:rsidRPr="004761E0" w:rsidRDefault="00B70E35" w:rsidP="007076A7">
            <w:pPr>
              <w:pStyle w:val="a5"/>
              <w:numPr>
                <w:ilvl w:val="1"/>
                <w:numId w:val="49"/>
              </w:numPr>
              <w:jc w:val="left"/>
              <w:rPr>
                <w:rFonts w:eastAsia="Times New Roman"/>
                <w:color w:val="000000"/>
                <w:sz w:val="20"/>
                <w:szCs w:val="20"/>
                <w:lang w:eastAsia="ru-RU"/>
              </w:rPr>
            </w:pPr>
          </w:p>
        </w:tc>
        <w:tc>
          <w:tcPr>
            <w:tcW w:w="4623" w:type="dxa"/>
            <w:vMerge w:val="restart"/>
            <w:tcBorders>
              <w:top w:val="single" w:sz="4" w:space="0" w:color="auto"/>
              <w:left w:val="nil"/>
              <w:right w:val="single" w:sz="4" w:space="0" w:color="auto"/>
            </w:tcBorders>
            <w:shd w:val="clear" w:color="auto" w:fill="auto"/>
            <w:vAlign w:val="center"/>
          </w:tcPr>
          <w:p w:rsidR="00B70E35" w:rsidRPr="004761E0" w:rsidRDefault="00B70E35" w:rsidP="006D32CC">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водоснабжение холодное</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B70E35" w:rsidRPr="004761E0" w:rsidRDefault="00B70E35" w:rsidP="006D32CC">
            <w:pPr>
              <w:ind w:firstLine="0"/>
              <w:jc w:val="left"/>
              <w:rPr>
                <w:rFonts w:eastAsia="Times New Roman"/>
                <w:color w:val="000000"/>
                <w:sz w:val="20"/>
                <w:szCs w:val="20"/>
                <w:lang w:eastAsia="ru-RU"/>
              </w:rPr>
            </w:pPr>
            <w:r w:rsidRPr="004761E0">
              <w:rPr>
                <w:rFonts w:eastAsia="Times New Roman"/>
                <w:color w:val="000000"/>
                <w:sz w:val="20"/>
                <w:szCs w:val="20"/>
                <w:lang w:eastAsia="ru-RU"/>
              </w:rPr>
              <w:t>тыс. м</w:t>
            </w:r>
            <w:r w:rsidRPr="004761E0">
              <w:rPr>
                <w:rFonts w:eastAsia="Times New Roman"/>
                <w:color w:val="000000"/>
                <w:sz w:val="20"/>
                <w:szCs w:val="20"/>
                <w:vertAlign w:val="superscript"/>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272,4</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211,6</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189,9</w:t>
            </w:r>
          </w:p>
        </w:tc>
        <w:tc>
          <w:tcPr>
            <w:tcW w:w="1134"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-10,26 %</w:t>
            </w:r>
          </w:p>
        </w:tc>
        <w:tc>
          <w:tcPr>
            <w:tcW w:w="993"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165,5</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133,1</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125,6</w:t>
            </w:r>
          </w:p>
        </w:tc>
        <w:tc>
          <w:tcPr>
            <w:tcW w:w="1134"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-5,58 %</w:t>
            </w:r>
          </w:p>
        </w:tc>
      </w:tr>
      <w:tr w:rsidR="00B70E35" w:rsidRPr="004761E0" w:rsidTr="00B70E35">
        <w:trPr>
          <w:trHeight w:val="300"/>
        </w:trPr>
        <w:tc>
          <w:tcPr>
            <w:tcW w:w="708" w:type="dxa"/>
            <w:vMerge/>
            <w:tcBorders>
              <w:left w:val="single" w:sz="4" w:space="0" w:color="auto"/>
              <w:bottom w:val="single" w:sz="4" w:space="0" w:color="auto"/>
              <w:right w:val="single" w:sz="4" w:space="0" w:color="auto"/>
            </w:tcBorders>
            <w:shd w:val="clear" w:color="auto" w:fill="auto"/>
            <w:vAlign w:val="center"/>
          </w:tcPr>
          <w:p w:rsidR="00B70E35" w:rsidRPr="004761E0" w:rsidRDefault="00B70E35" w:rsidP="006D32CC">
            <w:pPr>
              <w:pStyle w:val="a5"/>
              <w:ind w:left="360" w:firstLine="0"/>
              <w:jc w:val="left"/>
              <w:rPr>
                <w:rFonts w:eastAsia="Times New Roman"/>
                <w:color w:val="000000"/>
                <w:sz w:val="20"/>
                <w:szCs w:val="20"/>
                <w:lang w:eastAsia="ru-RU"/>
              </w:rPr>
            </w:pPr>
          </w:p>
        </w:tc>
        <w:tc>
          <w:tcPr>
            <w:tcW w:w="4623" w:type="dxa"/>
            <w:vMerge/>
            <w:tcBorders>
              <w:left w:val="nil"/>
              <w:bottom w:val="single" w:sz="4" w:space="0" w:color="auto"/>
              <w:right w:val="single" w:sz="4" w:space="0" w:color="auto"/>
            </w:tcBorders>
            <w:shd w:val="clear" w:color="auto" w:fill="auto"/>
            <w:vAlign w:val="center"/>
          </w:tcPr>
          <w:p w:rsidR="00B70E35" w:rsidRPr="004761E0" w:rsidRDefault="00B70E35" w:rsidP="006D32CC">
            <w:pPr>
              <w:ind w:firstLineChars="200" w:firstLine="400"/>
              <w:jc w:val="left"/>
              <w:rPr>
                <w:rFonts w:eastAsia="Times New Roman"/>
                <w:color w:val="000000"/>
                <w:sz w:val="20"/>
                <w:szCs w:val="20"/>
                <w:lang w:eastAsia="ru-RU"/>
              </w:rPr>
            </w:pP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B70E35" w:rsidRPr="004761E0" w:rsidRDefault="00B70E35" w:rsidP="006D32CC">
            <w:pPr>
              <w:ind w:firstLine="0"/>
              <w:jc w:val="left"/>
              <w:rPr>
                <w:rFonts w:eastAsia="Times New Roman"/>
                <w:color w:val="000000"/>
                <w:sz w:val="20"/>
                <w:szCs w:val="20"/>
                <w:lang w:eastAsia="ru-RU"/>
              </w:rPr>
            </w:pPr>
            <w:r w:rsidRPr="004761E0">
              <w:rPr>
                <w:rFonts w:eastAsia="Times New Roman"/>
                <w:color w:val="000000"/>
                <w:sz w:val="20"/>
                <w:szCs w:val="20"/>
                <w:lang w:eastAsia="ru-RU"/>
              </w:rPr>
              <w:t>млн руб. с НДС</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14,3</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9,9</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0,30 %</w:t>
            </w:r>
          </w:p>
        </w:tc>
        <w:tc>
          <w:tcPr>
            <w:tcW w:w="993"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3,4</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3,1</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3,1</w:t>
            </w:r>
          </w:p>
        </w:tc>
        <w:tc>
          <w:tcPr>
            <w:tcW w:w="1134"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-0,36 %</w:t>
            </w:r>
          </w:p>
        </w:tc>
      </w:tr>
      <w:tr w:rsidR="00B70E35" w:rsidRPr="004761E0" w:rsidTr="00B70E35">
        <w:trPr>
          <w:trHeight w:val="30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70E35" w:rsidRPr="004761E0" w:rsidRDefault="00B70E35" w:rsidP="007076A7">
            <w:pPr>
              <w:numPr>
                <w:ilvl w:val="0"/>
                <w:numId w:val="49"/>
              </w:numPr>
              <w:jc w:val="left"/>
              <w:rPr>
                <w:rFonts w:eastAsia="Times New Roman"/>
                <w:color w:val="000000"/>
                <w:sz w:val="20"/>
                <w:szCs w:val="20"/>
                <w:lang w:eastAsia="ru-RU"/>
              </w:rPr>
            </w:pPr>
          </w:p>
        </w:tc>
        <w:tc>
          <w:tcPr>
            <w:tcW w:w="4623"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6D32CC">
            <w:pPr>
              <w:ind w:firstLine="0"/>
              <w:jc w:val="left"/>
              <w:rPr>
                <w:rFonts w:eastAsia="Times New Roman"/>
                <w:color w:val="000000"/>
                <w:sz w:val="20"/>
                <w:szCs w:val="20"/>
                <w:lang w:eastAsia="ru-RU"/>
              </w:rPr>
            </w:pPr>
            <w:r w:rsidRPr="004761E0">
              <w:rPr>
                <w:rFonts w:eastAsia="Times New Roman"/>
                <w:color w:val="000000"/>
                <w:sz w:val="20"/>
                <w:szCs w:val="20"/>
                <w:lang w:eastAsia="ru-RU"/>
              </w:rPr>
              <w:t>Оснащенность современными приборами учета электроэнергии на розничном рынке</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B70E35" w:rsidRPr="004761E0" w:rsidRDefault="00B70E35" w:rsidP="006D32CC">
            <w:pPr>
              <w:ind w:firstLine="0"/>
              <w:jc w:val="left"/>
              <w:rPr>
                <w:rFonts w:eastAsia="Times New Roman"/>
                <w:color w:val="000000"/>
                <w:sz w:val="20"/>
                <w:szCs w:val="20"/>
                <w:lang w:eastAsia="ru-RU"/>
              </w:rPr>
            </w:pPr>
            <w:r w:rsidRPr="004761E0">
              <w:rPr>
                <w:rFonts w:eastAsia="Times New Roman"/>
                <w:color w:val="000000"/>
                <w:sz w:val="20"/>
                <w:szCs w:val="20"/>
                <w:lang w:eastAsia="ru-RU"/>
              </w:rPr>
              <w:t>%</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59,5</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59,5</w:t>
            </w:r>
          </w:p>
        </w:tc>
        <w:tc>
          <w:tcPr>
            <w:tcW w:w="992"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61,4</w:t>
            </w:r>
          </w:p>
        </w:tc>
        <w:tc>
          <w:tcPr>
            <w:tcW w:w="1134" w:type="dxa"/>
            <w:tcBorders>
              <w:top w:val="single" w:sz="4" w:space="0" w:color="auto"/>
              <w:left w:val="nil"/>
              <w:bottom w:val="single" w:sz="4" w:space="0" w:color="auto"/>
              <w:right w:val="single" w:sz="4" w:space="0" w:color="auto"/>
            </w:tcBorders>
            <w:shd w:val="clear" w:color="auto" w:fill="auto"/>
            <w:vAlign w:val="center"/>
          </w:tcPr>
          <w:p w:rsidR="00B70E35" w:rsidRPr="004761E0" w:rsidRDefault="00B70E35" w:rsidP="00B70E35">
            <w:pPr>
              <w:ind w:firstLine="0"/>
              <w:jc w:val="right"/>
              <w:rPr>
                <w:color w:val="000000"/>
                <w:sz w:val="20"/>
                <w:szCs w:val="20"/>
              </w:rPr>
            </w:pPr>
            <w:r w:rsidRPr="004761E0">
              <w:rPr>
                <w:color w:val="000000"/>
                <w:sz w:val="20"/>
                <w:szCs w:val="20"/>
              </w:rPr>
              <w:t>1,92 п.п.</w:t>
            </w:r>
          </w:p>
        </w:tc>
        <w:tc>
          <w:tcPr>
            <w:tcW w:w="993"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53,1</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55,3</w:t>
            </w:r>
          </w:p>
        </w:tc>
        <w:tc>
          <w:tcPr>
            <w:tcW w:w="992"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56,4</w:t>
            </w:r>
          </w:p>
        </w:tc>
        <w:tc>
          <w:tcPr>
            <w:tcW w:w="1134" w:type="dxa"/>
            <w:tcBorders>
              <w:top w:val="single" w:sz="4" w:space="0" w:color="auto"/>
              <w:left w:val="nil"/>
              <w:bottom w:val="single" w:sz="4" w:space="0" w:color="auto"/>
              <w:right w:val="single" w:sz="4" w:space="0" w:color="auto"/>
            </w:tcBorders>
            <w:vAlign w:val="center"/>
          </w:tcPr>
          <w:p w:rsidR="00B70E35" w:rsidRPr="004761E0" w:rsidRDefault="00B70E35" w:rsidP="00B70E35">
            <w:pPr>
              <w:ind w:firstLine="0"/>
              <w:jc w:val="right"/>
              <w:rPr>
                <w:color w:val="000000"/>
                <w:sz w:val="20"/>
                <w:szCs w:val="20"/>
              </w:rPr>
            </w:pPr>
            <w:r w:rsidRPr="004761E0">
              <w:rPr>
                <w:color w:val="000000"/>
                <w:sz w:val="20"/>
                <w:szCs w:val="20"/>
              </w:rPr>
              <w:t>1,17 п.п.</w:t>
            </w:r>
          </w:p>
        </w:tc>
      </w:tr>
    </w:tbl>
    <w:p w:rsidR="00F749E9" w:rsidRPr="004761E0" w:rsidRDefault="00F749E9" w:rsidP="007076A7">
      <w:pPr>
        <w:pStyle w:val="a8"/>
        <w:numPr>
          <w:ilvl w:val="0"/>
          <w:numId w:val="226"/>
        </w:numPr>
        <w:tabs>
          <w:tab w:val="left" w:pos="567"/>
          <w:tab w:val="left" w:pos="993"/>
        </w:tabs>
        <w:spacing w:before="120" w:after="120"/>
        <w:ind w:left="567" w:firstLine="0"/>
        <w:jc w:val="left"/>
        <w:rPr>
          <w:rFonts w:ascii="Times New Roman" w:hAnsi="Times New Roman"/>
          <w:b/>
          <w:sz w:val="26"/>
          <w:szCs w:val="26"/>
          <w:lang w:eastAsia="ru-RU"/>
        </w:rPr>
      </w:pPr>
      <w:bookmarkStart w:id="152" w:name="_Toc385339861"/>
      <w:r w:rsidRPr="004761E0">
        <w:rPr>
          <w:rFonts w:ascii="Times New Roman" w:hAnsi="Times New Roman"/>
          <w:b/>
          <w:sz w:val="26"/>
          <w:szCs w:val="26"/>
          <w:lang w:eastAsia="ru-RU"/>
        </w:rPr>
        <w:t>Технологическое присоединение</w:t>
      </w:r>
      <w:bookmarkEnd w:id="152"/>
    </w:p>
    <w:p w:rsidR="00C0652D" w:rsidRPr="004761E0" w:rsidRDefault="001A25B0" w:rsidP="00D95123">
      <w:pPr>
        <w:tabs>
          <w:tab w:val="left" w:pos="426"/>
        </w:tabs>
        <w:spacing w:before="120" w:after="120"/>
        <w:ind w:firstLine="567"/>
        <w:rPr>
          <w:b/>
          <w:sz w:val="26"/>
          <w:szCs w:val="26"/>
        </w:rPr>
      </w:pPr>
      <w:r w:rsidRPr="004761E0">
        <w:rPr>
          <w:b/>
          <w:sz w:val="26"/>
          <w:szCs w:val="26"/>
        </w:rPr>
        <w:t>Результаты деятельности по технологическому присоединению</w:t>
      </w:r>
    </w:p>
    <w:tbl>
      <w:tblPr>
        <w:tblW w:w="14986" w:type="dxa"/>
        <w:tblInd w:w="95" w:type="dxa"/>
        <w:tblLook w:val="04A0"/>
      </w:tblPr>
      <w:tblGrid>
        <w:gridCol w:w="580"/>
        <w:gridCol w:w="6663"/>
        <w:gridCol w:w="850"/>
        <w:gridCol w:w="851"/>
        <w:gridCol w:w="992"/>
        <w:gridCol w:w="1134"/>
        <w:gridCol w:w="992"/>
        <w:gridCol w:w="992"/>
        <w:gridCol w:w="851"/>
        <w:gridCol w:w="1081"/>
      </w:tblGrid>
      <w:tr w:rsidR="00343EAB" w:rsidRPr="004761E0" w:rsidTr="00D27896">
        <w:trPr>
          <w:trHeight w:val="300"/>
        </w:trPr>
        <w:tc>
          <w:tcPr>
            <w:tcW w:w="580" w:type="dxa"/>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0F243E" w:themeFill="text2" w:themeFillShade="80"/>
            <w:vAlign w:val="center"/>
            <w:hideMark/>
          </w:tcPr>
          <w:p w:rsidR="00343EAB" w:rsidRPr="004761E0" w:rsidRDefault="00343EAB" w:rsidP="00343EAB">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6663"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343EAB" w:rsidRPr="004761E0" w:rsidRDefault="00343EAB" w:rsidP="00343EAB">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3827"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343EAB" w:rsidRPr="004761E0" w:rsidRDefault="00343EAB" w:rsidP="00343EAB">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г. Москва</w:t>
            </w:r>
          </w:p>
        </w:tc>
        <w:tc>
          <w:tcPr>
            <w:tcW w:w="3916" w:type="dxa"/>
            <w:gridSpan w:val="4"/>
            <w:tcBorders>
              <w:top w:val="single" w:sz="4" w:space="0" w:color="auto"/>
              <w:left w:val="single" w:sz="4" w:space="0" w:color="FFFFFF" w:themeColor="background1"/>
              <w:bottom w:val="single" w:sz="4" w:space="0" w:color="FFFFFF" w:themeColor="background1"/>
              <w:right w:val="single" w:sz="4" w:space="0" w:color="auto"/>
            </w:tcBorders>
            <w:shd w:val="clear" w:color="auto" w:fill="0F243E" w:themeFill="text2" w:themeFillShade="80"/>
            <w:vAlign w:val="center"/>
            <w:hideMark/>
          </w:tcPr>
          <w:p w:rsidR="00343EAB" w:rsidRPr="004761E0" w:rsidRDefault="00343EAB" w:rsidP="00343EAB">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Московская область</w:t>
            </w:r>
          </w:p>
        </w:tc>
      </w:tr>
      <w:tr w:rsidR="00D27896" w:rsidRPr="004761E0" w:rsidTr="00D27896">
        <w:trPr>
          <w:trHeight w:val="300"/>
        </w:trPr>
        <w:tc>
          <w:tcPr>
            <w:tcW w:w="580" w:type="dxa"/>
            <w:vMerge/>
            <w:tcBorders>
              <w:top w:val="single" w:sz="4" w:space="0" w:color="FFFFFF" w:themeColor="background1"/>
              <w:left w:val="single" w:sz="4" w:space="0" w:color="auto"/>
              <w:bottom w:val="single" w:sz="4" w:space="0" w:color="000000"/>
              <w:right w:val="single" w:sz="4" w:space="0" w:color="FFFFFF" w:themeColor="background1"/>
            </w:tcBorders>
            <w:shd w:val="clear" w:color="auto" w:fill="0F243E" w:themeFill="text2" w:themeFillShade="80"/>
            <w:vAlign w:val="center"/>
            <w:hideMark/>
          </w:tcPr>
          <w:p w:rsidR="00343EAB" w:rsidRPr="004761E0" w:rsidRDefault="00343EAB" w:rsidP="00343EAB">
            <w:pPr>
              <w:rPr>
                <w:rFonts w:eastAsia="Times New Roman"/>
                <w:b/>
                <w:color w:val="FFFFFF" w:themeColor="background1"/>
                <w:sz w:val="20"/>
                <w:szCs w:val="20"/>
                <w:lang w:eastAsia="ru-RU"/>
              </w:rPr>
            </w:pPr>
          </w:p>
        </w:tc>
        <w:tc>
          <w:tcPr>
            <w:tcW w:w="6663" w:type="dxa"/>
            <w:vMerge/>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0F243E" w:themeFill="text2" w:themeFillShade="80"/>
            <w:vAlign w:val="center"/>
            <w:hideMark/>
          </w:tcPr>
          <w:p w:rsidR="00343EAB" w:rsidRPr="004761E0" w:rsidRDefault="00343EAB" w:rsidP="00343EAB">
            <w:pPr>
              <w:rPr>
                <w:rFonts w:eastAsia="Times New Roman"/>
                <w:b/>
                <w:color w:val="FFFFFF" w:themeColor="background1"/>
                <w:sz w:val="20"/>
                <w:szCs w:val="20"/>
                <w:lang w:eastAsia="ru-RU"/>
              </w:rPr>
            </w:pP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C0652D" w:rsidRPr="004761E0" w:rsidRDefault="00343EAB">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C0652D" w:rsidRPr="004761E0" w:rsidRDefault="00343EAB">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C0652D" w:rsidRPr="004761E0" w:rsidRDefault="00343EAB">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C0652D" w:rsidRPr="004761E0" w:rsidRDefault="00343EAB">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C0652D" w:rsidRPr="004761E0" w:rsidRDefault="00343EAB">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C0652D" w:rsidRPr="004761E0" w:rsidRDefault="00343EAB">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C0652D" w:rsidRPr="004761E0" w:rsidRDefault="00343EAB">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081"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C0652D" w:rsidRPr="004761E0" w:rsidRDefault="00343EAB">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D27896" w:rsidRPr="004761E0" w:rsidTr="00835898">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343EAB" w:rsidRPr="004761E0" w:rsidRDefault="00343EAB" w:rsidP="007076A7">
            <w:pPr>
              <w:numPr>
                <w:ilvl w:val="0"/>
                <w:numId w:val="104"/>
              </w:numPr>
              <w:tabs>
                <w:tab w:val="left" w:pos="262"/>
              </w:tabs>
              <w:rPr>
                <w:rFonts w:eastAsia="Times New Roman"/>
                <w:color w:val="000000"/>
                <w:sz w:val="20"/>
                <w:szCs w:val="20"/>
                <w:lang w:eastAsia="ru-RU"/>
              </w:rPr>
            </w:pPr>
          </w:p>
        </w:tc>
        <w:tc>
          <w:tcPr>
            <w:tcW w:w="6663" w:type="dxa"/>
            <w:tcBorders>
              <w:top w:val="nil"/>
              <w:left w:val="nil"/>
              <w:bottom w:val="single" w:sz="4" w:space="0" w:color="auto"/>
              <w:right w:val="single" w:sz="4" w:space="0" w:color="auto"/>
            </w:tcBorders>
            <w:shd w:val="clear" w:color="auto" w:fill="auto"/>
            <w:vAlign w:val="center"/>
            <w:hideMark/>
          </w:tcPr>
          <w:p w:rsidR="00C0652D" w:rsidRPr="004761E0" w:rsidRDefault="00681D58">
            <w:pPr>
              <w:ind w:firstLine="0"/>
              <w:jc w:val="left"/>
              <w:rPr>
                <w:rFonts w:eastAsia="Times New Roman"/>
                <w:color w:val="000000"/>
                <w:sz w:val="20"/>
                <w:szCs w:val="20"/>
                <w:lang w:eastAsia="ru-RU"/>
              </w:rPr>
            </w:pPr>
            <w:r w:rsidRPr="004761E0">
              <w:rPr>
                <w:color w:val="000000"/>
                <w:sz w:val="20"/>
                <w:szCs w:val="20"/>
              </w:rPr>
              <w:t>Ко</w:t>
            </w:r>
            <w:r w:rsidR="00343EAB" w:rsidRPr="004761E0">
              <w:rPr>
                <w:color w:val="000000"/>
                <w:sz w:val="20"/>
                <w:szCs w:val="20"/>
              </w:rPr>
              <w:t>личество поданных заявок на технологическое присоединение, шт.</w:t>
            </w:r>
          </w:p>
        </w:tc>
        <w:tc>
          <w:tcPr>
            <w:tcW w:w="850"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8 950</w:t>
            </w:r>
          </w:p>
        </w:tc>
        <w:tc>
          <w:tcPr>
            <w:tcW w:w="851"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8 326</w:t>
            </w:r>
          </w:p>
        </w:tc>
        <w:tc>
          <w:tcPr>
            <w:tcW w:w="992"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13 166</w:t>
            </w:r>
          </w:p>
        </w:tc>
        <w:tc>
          <w:tcPr>
            <w:tcW w:w="1134"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58,13 %</w:t>
            </w:r>
          </w:p>
        </w:tc>
        <w:tc>
          <w:tcPr>
            <w:tcW w:w="992"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24 593</w:t>
            </w:r>
          </w:p>
        </w:tc>
        <w:tc>
          <w:tcPr>
            <w:tcW w:w="992"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44 837</w:t>
            </w:r>
          </w:p>
        </w:tc>
        <w:tc>
          <w:tcPr>
            <w:tcW w:w="851"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78 444</w:t>
            </w:r>
          </w:p>
        </w:tc>
        <w:tc>
          <w:tcPr>
            <w:tcW w:w="1081"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74,95 %</w:t>
            </w:r>
          </w:p>
        </w:tc>
      </w:tr>
      <w:tr w:rsidR="00D27896" w:rsidRPr="004761E0" w:rsidTr="00835898">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343EAB" w:rsidRPr="004761E0" w:rsidRDefault="00343EAB" w:rsidP="007076A7">
            <w:pPr>
              <w:numPr>
                <w:ilvl w:val="0"/>
                <w:numId w:val="104"/>
              </w:numPr>
              <w:tabs>
                <w:tab w:val="left" w:pos="262"/>
              </w:tabs>
              <w:rPr>
                <w:rFonts w:eastAsia="Times New Roman"/>
                <w:color w:val="000000"/>
                <w:sz w:val="20"/>
                <w:szCs w:val="20"/>
                <w:lang w:eastAsia="ru-RU"/>
              </w:rPr>
            </w:pPr>
          </w:p>
        </w:tc>
        <w:tc>
          <w:tcPr>
            <w:tcW w:w="6663" w:type="dxa"/>
            <w:tcBorders>
              <w:top w:val="nil"/>
              <w:left w:val="nil"/>
              <w:bottom w:val="single" w:sz="4" w:space="0" w:color="auto"/>
              <w:right w:val="single" w:sz="4" w:space="0" w:color="auto"/>
            </w:tcBorders>
            <w:shd w:val="clear" w:color="auto" w:fill="auto"/>
            <w:vAlign w:val="center"/>
            <w:hideMark/>
          </w:tcPr>
          <w:p w:rsidR="00C0652D" w:rsidRPr="004761E0" w:rsidRDefault="00681D58">
            <w:pPr>
              <w:ind w:firstLine="0"/>
              <w:jc w:val="left"/>
              <w:rPr>
                <w:rFonts w:eastAsia="Times New Roman"/>
                <w:color w:val="000000"/>
                <w:sz w:val="20"/>
                <w:szCs w:val="20"/>
                <w:lang w:eastAsia="ru-RU"/>
              </w:rPr>
            </w:pPr>
            <w:r w:rsidRPr="004761E0">
              <w:rPr>
                <w:color w:val="000000"/>
                <w:sz w:val="20"/>
                <w:szCs w:val="20"/>
              </w:rPr>
              <w:t>М</w:t>
            </w:r>
            <w:r w:rsidR="00343EAB" w:rsidRPr="004761E0">
              <w:rPr>
                <w:color w:val="000000"/>
                <w:sz w:val="20"/>
                <w:szCs w:val="20"/>
              </w:rPr>
              <w:t>ощность по поданным заявкам на технологическое присоединение, МВт</w:t>
            </w:r>
          </w:p>
        </w:tc>
        <w:tc>
          <w:tcPr>
            <w:tcW w:w="850"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2 852</w:t>
            </w:r>
          </w:p>
        </w:tc>
        <w:tc>
          <w:tcPr>
            <w:tcW w:w="851"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3 465</w:t>
            </w:r>
          </w:p>
        </w:tc>
        <w:tc>
          <w:tcPr>
            <w:tcW w:w="992"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3 653</w:t>
            </w:r>
          </w:p>
        </w:tc>
        <w:tc>
          <w:tcPr>
            <w:tcW w:w="1134"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5,44 %</w:t>
            </w:r>
          </w:p>
        </w:tc>
        <w:tc>
          <w:tcPr>
            <w:tcW w:w="992"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2 808</w:t>
            </w:r>
          </w:p>
        </w:tc>
        <w:tc>
          <w:tcPr>
            <w:tcW w:w="992"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4 707</w:t>
            </w:r>
          </w:p>
        </w:tc>
        <w:tc>
          <w:tcPr>
            <w:tcW w:w="851"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5 188</w:t>
            </w:r>
          </w:p>
        </w:tc>
        <w:tc>
          <w:tcPr>
            <w:tcW w:w="1081"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10,23 %</w:t>
            </w:r>
          </w:p>
        </w:tc>
      </w:tr>
      <w:tr w:rsidR="00D27896" w:rsidRPr="004761E0" w:rsidTr="00835898">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343EAB" w:rsidRPr="004761E0" w:rsidRDefault="00343EAB" w:rsidP="007076A7">
            <w:pPr>
              <w:numPr>
                <w:ilvl w:val="0"/>
                <w:numId w:val="104"/>
              </w:numPr>
              <w:tabs>
                <w:tab w:val="left" w:pos="262"/>
              </w:tabs>
              <w:rPr>
                <w:rFonts w:eastAsia="Times New Roman"/>
                <w:color w:val="000000"/>
                <w:sz w:val="20"/>
                <w:szCs w:val="20"/>
                <w:lang w:eastAsia="ru-RU"/>
              </w:rPr>
            </w:pPr>
          </w:p>
        </w:tc>
        <w:tc>
          <w:tcPr>
            <w:tcW w:w="6663" w:type="dxa"/>
            <w:tcBorders>
              <w:top w:val="nil"/>
              <w:left w:val="nil"/>
              <w:bottom w:val="single" w:sz="4" w:space="0" w:color="auto"/>
              <w:right w:val="single" w:sz="4" w:space="0" w:color="auto"/>
            </w:tcBorders>
            <w:shd w:val="clear" w:color="auto" w:fill="auto"/>
            <w:vAlign w:val="center"/>
            <w:hideMark/>
          </w:tcPr>
          <w:p w:rsidR="00C0652D" w:rsidRPr="004761E0" w:rsidRDefault="00681D58">
            <w:pPr>
              <w:ind w:firstLine="0"/>
              <w:jc w:val="left"/>
              <w:rPr>
                <w:rFonts w:eastAsia="Times New Roman"/>
                <w:color w:val="000000"/>
                <w:sz w:val="20"/>
                <w:szCs w:val="20"/>
                <w:lang w:eastAsia="ru-RU"/>
              </w:rPr>
            </w:pPr>
            <w:r w:rsidRPr="004761E0">
              <w:rPr>
                <w:color w:val="000000"/>
                <w:sz w:val="20"/>
                <w:szCs w:val="20"/>
              </w:rPr>
              <w:t>К</w:t>
            </w:r>
            <w:r w:rsidR="00343EAB" w:rsidRPr="004761E0">
              <w:rPr>
                <w:color w:val="000000"/>
                <w:sz w:val="20"/>
                <w:szCs w:val="20"/>
              </w:rPr>
              <w:t>оличество заключенных договоров на технологическое присоединение, шт.</w:t>
            </w:r>
          </w:p>
        </w:tc>
        <w:tc>
          <w:tcPr>
            <w:tcW w:w="850"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3 502</w:t>
            </w:r>
          </w:p>
        </w:tc>
        <w:tc>
          <w:tcPr>
            <w:tcW w:w="851"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4 853</w:t>
            </w:r>
          </w:p>
        </w:tc>
        <w:tc>
          <w:tcPr>
            <w:tcW w:w="992"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8 598</w:t>
            </w:r>
          </w:p>
        </w:tc>
        <w:tc>
          <w:tcPr>
            <w:tcW w:w="1134"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77,17 %</w:t>
            </w:r>
          </w:p>
        </w:tc>
        <w:tc>
          <w:tcPr>
            <w:tcW w:w="992"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19 388</w:t>
            </w:r>
          </w:p>
        </w:tc>
        <w:tc>
          <w:tcPr>
            <w:tcW w:w="992"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32 652</w:t>
            </w:r>
          </w:p>
        </w:tc>
        <w:tc>
          <w:tcPr>
            <w:tcW w:w="851"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62 279</w:t>
            </w:r>
          </w:p>
        </w:tc>
        <w:tc>
          <w:tcPr>
            <w:tcW w:w="1081"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90,74 %</w:t>
            </w:r>
          </w:p>
        </w:tc>
      </w:tr>
      <w:tr w:rsidR="00D27896" w:rsidRPr="004761E0" w:rsidTr="00835898">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343EAB" w:rsidRPr="004761E0" w:rsidRDefault="00343EAB" w:rsidP="007076A7">
            <w:pPr>
              <w:numPr>
                <w:ilvl w:val="0"/>
                <w:numId w:val="104"/>
              </w:numPr>
              <w:tabs>
                <w:tab w:val="left" w:pos="262"/>
              </w:tabs>
              <w:rPr>
                <w:rFonts w:eastAsia="Times New Roman"/>
                <w:color w:val="000000"/>
                <w:sz w:val="20"/>
                <w:szCs w:val="20"/>
                <w:lang w:eastAsia="ru-RU"/>
              </w:rPr>
            </w:pPr>
          </w:p>
        </w:tc>
        <w:tc>
          <w:tcPr>
            <w:tcW w:w="6663" w:type="dxa"/>
            <w:tcBorders>
              <w:top w:val="nil"/>
              <w:left w:val="nil"/>
              <w:bottom w:val="single" w:sz="4" w:space="0" w:color="auto"/>
              <w:right w:val="single" w:sz="4" w:space="0" w:color="auto"/>
            </w:tcBorders>
            <w:shd w:val="clear" w:color="auto" w:fill="auto"/>
            <w:vAlign w:val="center"/>
            <w:hideMark/>
          </w:tcPr>
          <w:p w:rsidR="00C0652D" w:rsidRPr="004761E0" w:rsidRDefault="00681D58">
            <w:pPr>
              <w:ind w:firstLine="0"/>
              <w:jc w:val="left"/>
              <w:rPr>
                <w:rFonts w:eastAsia="Times New Roman"/>
                <w:color w:val="000000"/>
                <w:sz w:val="20"/>
                <w:szCs w:val="20"/>
                <w:lang w:eastAsia="ru-RU"/>
              </w:rPr>
            </w:pPr>
            <w:r w:rsidRPr="004761E0">
              <w:rPr>
                <w:color w:val="000000"/>
                <w:sz w:val="20"/>
                <w:szCs w:val="20"/>
              </w:rPr>
              <w:t>М</w:t>
            </w:r>
            <w:r w:rsidR="00343EAB" w:rsidRPr="004761E0">
              <w:rPr>
                <w:color w:val="000000"/>
                <w:sz w:val="20"/>
                <w:szCs w:val="20"/>
              </w:rPr>
              <w:t>ощность по заключенным договорам на технологическое присоединение, МВт</w:t>
            </w:r>
          </w:p>
        </w:tc>
        <w:tc>
          <w:tcPr>
            <w:tcW w:w="850"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965</w:t>
            </w:r>
          </w:p>
        </w:tc>
        <w:tc>
          <w:tcPr>
            <w:tcW w:w="851"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886</w:t>
            </w:r>
          </w:p>
        </w:tc>
        <w:tc>
          <w:tcPr>
            <w:tcW w:w="992"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2 168</w:t>
            </w:r>
          </w:p>
        </w:tc>
        <w:tc>
          <w:tcPr>
            <w:tcW w:w="1134"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144,75 %</w:t>
            </w:r>
          </w:p>
        </w:tc>
        <w:tc>
          <w:tcPr>
            <w:tcW w:w="992"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813</w:t>
            </w:r>
          </w:p>
        </w:tc>
        <w:tc>
          <w:tcPr>
            <w:tcW w:w="992"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1 708</w:t>
            </w:r>
          </w:p>
        </w:tc>
        <w:tc>
          <w:tcPr>
            <w:tcW w:w="851"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2 286</w:t>
            </w:r>
          </w:p>
        </w:tc>
        <w:tc>
          <w:tcPr>
            <w:tcW w:w="1081"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33,84 %</w:t>
            </w:r>
          </w:p>
        </w:tc>
      </w:tr>
      <w:tr w:rsidR="00D27896" w:rsidRPr="004761E0" w:rsidTr="00835898">
        <w:trPr>
          <w:trHeight w:val="371"/>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343EAB" w:rsidRPr="004761E0" w:rsidRDefault="00343EAB" w:rsidP="007076A7">
            <w:pPr>
              <w:numPr>
                <w:ilvl w:val="0"/>
                <w:numId w:val="104"/>
              </w:numPr>
              <w:tabs>
                <w:tab w:val="left" w:pos="262"/>
              </w:tabs>
              <w:rPr>
                <w:rFonts w:eastAsia="Times New Roman"/>
                <w:color w:val="000000"/>
                <w:sz w:val="20"/>
                <w:szCs w:val="20"/>
                <w:lang w:eastAsia="ru-RU"/>
              </w:rPr>
            </w:pPr>
          </w:p>
        </w:tc>
        <w:tc>
          <w:tcPr>
            <w:tcW w:w="6663" w:type="dxa"/>
            <w:tcBorders>
              <w:top w:val="nil"/>
              <w:left w:val="nil"/>
              <w:bottom w:val="single" w:sz="4" w:space="0" w:color="auto"/>
              <w:right w:val="single" w:sz="4" w:space="0" w:color="auto"/>
            </w:tcBorders>
            <w:shd w:val="clear" w:color="auto" w:fill="auto"/>
            <w:vAlign w:val="center"/>
            <w:hideMark/>
          </w:tcPr>
          <w:p w:rsidR="00C0652D" w:rsidRPr="004761E0" w:rsidRDefault="00681D58">
            <w:pPr>
              <w:ind w:firstLine="0"/>
              <w:jc w:val="left"/>
              <w:rPr>
                <w:rFonts w:eastAsia="Times New Roman"/>
                <w:color w:val="000000"/>
                <w:sz w:val="20"/>
                <w:szCs w:val="20"/>
                <w:lang w:eastAsia="ru-RU"/>
              </w:rPr>
            </w:pPr>
            <w:r w:rsidRPr="004761E0">
              <w:rPr>
                <w:color w:val="000000"/>
                <w:sz w:val="20"/>
                <w:szCs w:val="20"/>
              </w:rPr>
              <w:t>Ф</w:t>
            </w:r>
            <w:r w:rsidR="00343EAB" w:rsidRPr="004761E0">
              <w:rPr>
                <w:color w:val="000000"/>
                <w:sz w:val="20"/>
                <w:szCs w:val="20"/>
              </w:rPr>
              <w:t>актическое присоединение, шт.</w:t>
            </w:r>
          </w:p>
        </w:tc>
        <w:tc>
          <w:tcPr>
            <w:tcW w:w="850"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2 723</w:t>
            </w:r>
          </w:p>
        </w:tc>
        <w:tc>
          <w:tcPr>
            <w:tcW w:w="851"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1 746</w:t>
            </w:r>
          </w:p>
        </w:tc>
        <w:tc>
          <w:tcPr>
            <w:tcW w:w="992"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3 478</w:t>
            </w:r>
          </w:p>
        </w:tc>
        <w:tc>
          <w:tcPr>
            <w:tcW w:w="1134"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99,20 %</w:t>
            </w:r>
          </w:p>
        </w:tc>
        <w:tc>
          <w:tcPr>
            <w:tcW w:w="992"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11 977</w:t>
            </w:r>
          </w:p>
        </w:tc>
        <w:tc>
          <w:tcPr>
            <w:tcW w:w="992"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15 159</w:t>
            </w:r>
          </w:p>
        </w:tc>
        <w:tc>
          <w:tcPr>
            <w:tcW w:w="851"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31 381</w:t>
            </w:r>
          </w:p>
        </w:tc>
        <w:tc>
          <w:tcPr>
            <w:tcW w:w="1081"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107,01 %</w:t>
            </w:r>
          </w:p>
        </w:tc>
      </w:tr>
      <w:tr w:rsidR="00D27896" w:rsidRPr="004761E0" w:rsidTr="00835898">
        <w:trPr>
          <w:trHeight w:val="406"/>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343EAB" w:rsidRPr="004761E0" w:rsidRDefault="00343EAB" w:rsidP="007076A7">
            <w:pPr>
              <w:numPr>
                <w:ilvl w:val="0"/>
                <w:numId w:val="104"/>
              </w:numPr>
              <w:tabs>
                <w:tab w:val="left" w:pos="262"/>
              </w:tabs>
              <w:rPr>
                <w:rFonts w:eastAsia="Times New Roman"/>
                <w:color w:val="000000"/>
                <w:sz w:val="20"/>
                <w:szCs w:val="20"/>
                <w:lang w:eastAsia="ru-RU"/>
              </w:rPr>
            </w:pPr>
          </w:p>
        </w:tc>
        <w:tc>
          <w:tcPr>
            <w:tcW w:w="6663" w:type="dxa"/>
            <w:tcBorders>
              <w:top w:val="nil"/>
              <w:left w:val="nil"/>
              <w:bottom w:val="single" w:sz="4" w:space="0" w:color="auto"/>
              <w:right w:val="single" w:sz="4" w:space="0" w:color="auto"/>
            </w:tcBorders>
            <w:shd w:val="clear" w:color="auto" w:fill="auto"/>
            <w:vAlign w:val="center"/>
            <w:hideMark/>
          </w:tcPr>
          <w:p w:rsidR="00C0652D" w:rsidRPr="004761E0" w:rsidRDefault="00343EAB">
            <w:pPr>
              <w:ind w:firstLine="0"/>
              <w:jc w:val="left"/>
              <w:rPr>
                <w:rFonts w:eastAsia="Times New Roman"/>
                <w:color w:val="000000"/>
                <w:sz w:val="20"/>
                <w:szCs w:val="20"/>
                <w:lang w:eastAsia="ru-RU"/>
              </w:rPr>
            </w:pPr>
            <w:r w:rsidRPr="004761E0">
              <w:rPr>
                <w:color w:val="000000"/>
                <w:sz w:val="20"/>
                <w:szCs w:val="20"/>
              </w:rPr>
              <w:t>Фактически присоединенная мощность, МВт</w:t>
            </w:r>
          </w:p>
        </w:tc>
        <w:tc>
          <w:tcPr>
            <w:tcW w:w="850"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353</w:t>
            </w:r>
          </w:p>
        </w:tc>
        <w:tc>
          <w:tcPr>
            <w:tcW w:w="851"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345</w:t>
            </w:r>
          </w:p>
        </w:tc>
        <w:tc>
          <w:tcPr>
            <w:tcW w:w="992"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401</w:t>
            </w:r>
          </w:p>
        </w:tc>
        <w:tc>
          <w:tcPr>
            <w:tcW w:w="1134"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16,22 %</w:t>
            </w:r>
          </w:p>
        </w:tc>
        <w:tc>
          <w:tcPr>
            <w:tcW w:w="992"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563</w:t>
            </w:r>
          </w:p>
        </w:tc>
        <w:tc>
          <w:tcPr>
            <w:tcW w:w="992"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1 076</w:t>
            </w:r>
          </w:p>
        </w:tc>
        <w:tc>
          <w:tcPr>
            <w:tcW w:w="851"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1 130</w:t>
            </w:r>
          </w:p>
        </w:tc>
        <w:tc>
          <w:tcPr>
            <w:tcW w:w="1081" w:type="dxa"/>
            <w:tcBorders>
              <w:top w:val="nil"/>
              <w:left w:val="nil"/>
              <w:bottom w:val="single" w:sz="4" w:space="0" w:color="auto"/>
              <w:right w:val="single" w:sz="4" w:space="0" w:color="auto"/>
            </w:tcBorders>
            <w:shd w:val="clear" w:color="auto" w:fill="auto"/>
            <w:vAlign w:val="center"/>
            <w:hideMark/>
          </w:tcPr>
          <w:p w:rsidR="00343EAB" w:rsidRPr="004761E0" w:rsidRDefault="00343EAB" w:rsidP="00835898">
            <w:pPr>
              <w:ind w:firstLine="0"/>
              <w:jc w:val="right"/>
              <w:rPr>
                <w:rFonts w:eastAsia="Times New Roman"/>
                <w:color w:val="000000"/>
                <w:sz w:val="20"/>
                <w:szCs w:val="20"/>
                <w:lang w:eastAsia="ru-RU"/>
              </w:rPr>
            </w:pPr>
            <w:r w:rsidRPr="004761E0">
              <w:rPr>
                <w:color w:val="000000"/>
                <w:sz w:val="20"/>
                <w:szCs w:val="20"/>
              </w:rPr>
              <w:t>4,97 %</w:t>
            </w:r>
          </w:p>
        </w:tc>
      </w:tr>
    </w:tbl>
    <w:p w:rsidR="00C0652D" w:rsidRPr="004761E0" w:rsidRDefault="001A25B0" w:rsidP="00D95123">
      <w:pPr>
        <w:tabs>
          <w:tab w:val="left" w:pos="426"/>
        </w:tabs>
        <w:spacing w:before="120" w:after="120"/>
        <w:ind w:firstLine="567"/>
        <w:rPr>
          <w:b/>
          <w:sz w:val="26"/>
          <w:szCs w:val="26"/>
        </w:rPr>
      </w:pPr>
      <w:r w:rsidRPr="004761E0">
        <w:rPr>
          <w:b/>
          <w:sz w:val="26"/>
          <w:szCs w:val="26"/>
        </w:rPr>
        <w:t>Подробные результаты  деятельности по технологическому присоединению</w:t>
      </w:r>
    </w:p>
    <w:tbl>
      <w:tblPr>
        <w:tblW w:w="15011" w:type="dxa"/>
        <w:tblInd w:w="95" w:type="dxa"/>
        <w:tblLook w:val="04A0"/>
      </w:tblPr>
      <w:tblGrid>
        <w:gridCol w:w="581"/>
        <w:gridCol w:w="6674"/>
        <w:gridCol w:w="851"/>
        <w:gridCol w:w="852"/>
        <w:gridCol w:w="994"/>
        <w:gridCol w:w="1136"/>
        <w:gridCol w:w="994"/>
        <w:gridCol w:w="994"/>
        <w:gridCol w:w="852"/>
        <w:gridCol w:w="1083"/>
      </w:tblGrid>
      <w:tr w:rsidR="005902EC" w:rsidRPr="004761E0" w:rsidTr="00525213">
        <w:trPr>
          <w:trHeight w:val="164"/>
        </w:trPr>
        <w:tc>
          <w:tcPr>
            <w:tcW w:w="581" w:type="dxa"/>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0F243E" w:themeFill="text2" w:themeFillShade="80"/>
            <w:vAlign w:val="center"/>
            <w:hideMark/>
          </w:tcPr>
          <w:p w:rsidR="005902EC" w:rsidRPr="004761E0" w:rsidRDefault="005902EC" w:rsidP="006753D8">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6674"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5902EC" w:rsidRPr="004761E0" w:rsidRDefault="005902EC" w:rsidP="006753D8">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3833"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5902EC" w:rsidRPr="004761E0" w:rsidRDefault="005902EC" w:rsidP="006753D8">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г. Москва</w:t>
            </w:r>
          </w:p>
        </w:tc>
        <w:tc>
          <w:tcPr>
            <w:tcW w:w="3923" w:type="dxa"/>
            <w:gridSpan w:val="4"/>
            <w:tcBorders>
              <w:top w:val="single" w:sz="4" w:space="0" w:color="auto"/>
              <w:left w:val="single" w:sz="4" w:space="0" w:color="FFFFFF" w:themeColor="background1"/>
              <w:bottom w:val="single" w:sz="4" w:space="0" w:color="FFFFFF" w:themeColor="background1"/>
              <w:right w:val="single" w:sz="4" w:space="0" w:color="auto"/>
            </w:tcBorders>
            <w:shd w:val="clear" w:color="auto" w:fill="0F243E" w:themeFill="text2" w:themeFillShade="80"/>
            <w:vAlign w:val="center"/>
            <w:hideMark/>
          </w:tcPr>
          <w:p w:rsidR="005902EC" w:rsidRPr="004761E0" w:rsidRDefault="005902EC" w:rsidP="006753D8">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Московская область</w:t>
            </w:r>
          </w:p>
        </w:tc>
      </w:tr>
      <w:tr w:rsidR="003B7B34" w:rsidRPr="004761E0" w:rsidTr="00525213">
        <w:trPr>
          <w:trHeight w:val="164"/>
        </w:trPr>
        <w:tc>
          <w:tcPr>
            <w:tcW w:w="581" w:type="dxa"/>
            <w:vMerge/>
            <w:tcBorders>
              <w:top w:val="single" w:sz="4" w:space="0" w:color="FFFFFF" w:themeColor="background1"/>
              <w:left w:val="single" w:sz="4" w:space="0" w:color="auto"/>
              <w:bottom w:val="single" w:sz="4" w:space="0" w:color="000000"/>
              <w:right w:val="single" w:sz="4" w:space="0" w:color="FFFFFF" w:themeColor="background1"/>
            </w:tcBorders>
            <w:shd w:val="clear" w:color="auto" w:fill="0F243E" w:themeFill="text2" w:themeFillShade="80"/>
            <w:vAlign w:val="center"/>
            <w:hideMark/>
          </w:tcPr>
          <w:p w:rsidR="005902EC" w:rsidRPr="004761E0" w:rsidRDefault="005902EC" w:rsidP="006753D8">
            <w:pPr>
              <w:rPr>
                <w:rFonts w:eastAsia="Times New Roman"/>
                <w:b/>
                <w:color w:val="FFFFFF" w:themeColor="background1"/>
                <w:sz w:val="20"/>
                <w:szCs w:val="20"/>
                <w:lang w:eastAsia="ru-RU"/>
              </w:rPr>
            </w:pPr>
          </w:p>
        </w:tc>
        <w:tc>
          <w:tcPr>
            <w:tcW w:w="6674" w:type="dxa"/>
            <w:vMerge/>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0F243E" w:themeFill="text2" w:themeFillShade="80"/>
            <w:vAlign w:val="center"/>
            <w:hideMark/>
          </w:tcPr>
          <w:p w:rsidR="005902EC" w:rsidRPr="004761E0" w:rsidRDefault="005902EC" w:rsidP="006753D8">
            <w:pPr>
              <w:rPr>
                <w:rFonts w:eastAsia="Times New Roman"/>
                <w:b/>
                <w:color w:val="FFFFFF" w:themeColor="background1"/>
                <w:sz w:val="20"/>
                <w:szCs w:val="20"/>
                <w:lang w:eastAsia="ru-RU"/>
              </w:rPr>
            </w:pP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902EC" w:rsidRPr="004761E0" w:rsidRDefault="005902EC" w:rsidP="006753D8">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85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902EC" w:rsidRPr="004761E0" w:rsidRDefault="005902EC" w:rsidP="006753D8">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99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902EC" w:rsidRPr="004761E0" w:rsidRDefault="005902EC" w:rsidP="006753D8">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902EC" w:rsidRPr="004761E0" w:rsidRDefault="005902EC" w:rsidP="006753D8">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c>
          <w:tcPr>
            <w:tcW w:w="99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902EC" w:rsidRPr="004761E0" w:rsidRDefault="005902EC" w:rsidP="006753D8">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99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902EC" w:rsidRPr="004761E0" w:rsidRDefault="005902EC" w:rsidP="006753D8">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85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5902EC" w:rsidRPr="004761E0" w:rsidRDefault="005902EC" w:rsidP="006753D8">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08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5902EC" w:rsidRPr="004761E0" w:rsidRDefault="005902EC" w:rsidP="006753D8">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5902EC" w:rsidRPr="004761E0" w:rsidTr="00525213">
        <w:trPr>
          <w:trHeight w:val="164"/>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C0652D" w:rsidRPr="004761E0" w:rsidRDefault="00C0652D" w:rsidP="007076A7">
            <w:pPr>
              <w:numPr>
                <w:ilvl w:val="0"/>
                <w:numId w:val="106"/>
              </w:numPr>
              <w:tabs>
                <w:tab w:val="left" w:pos="262"/>
              </w:tabs>
              <w:rPr>
                <w:rFonts w:eastAsia="Times New Roman"/>
                <w:b/>
                <w:color w:val="000000"/>
                <w:sz w:val="20"/>
                <w:szCs w:val="20"/>
                <w:lang w:eastAsia="ru-RU"/>
              </w:rPr>
            </w:pPr>
          </w:p>
        </w:tc>
        <w:tc>
          <w:tcPr>
            <w:tcW w:w="6674" w:type="dxa"/>
            <w:tcBorders>
              <w:top w:val="nil"/>
              <w:left w:val="nil"/>
              <w:bottom w:val="single" w:sz="4" w:space="0" w:color="auto"/>
              <w:right w:val="single" w:sz="4" w:space="0" w:color="auto"/>
            </w:tcBorders>
            <w:shd w:val="clear" w:color="auto" w:fill="auto"/>
            <w:vAlign w:val="center"/>
            <w:hideMark/>
          </w:tcPr>
          <w:p w:rsidR="005902EC" w:rsidRPr="004761E0" w:rsidRDefault="005902EC" w:rsidP="006753D8">
            <w:pPr>
              <w:ind w:firstLine="0"/>
              <w:jc w:val="left"/>
              <w:rPr>
                <w:rFonts w:eastAsia="Times New Roman"/>
                <w:b/>
                <w:color w:val="000000"/>
                <w:sz w:val="20"/>
                <w:szCs w:val="20"/>
                <w:lang w:eastAsia="ru-RU"/>
              </w:rPr>
            </w:pPr>
            <w:r w:rsidRPr="004761E0">
              <w:rPr>
                <w:rFonts w:eastAsia="Times New Roman"/>
                <w:b/>
                <w:bCs/>
                <w:color w:val="000000"/>
                <w:sz w:val="20"/>
                <w:szCs w:val="20"/>
                <w:lang w:eastAsia="ru-RU"/>
              </w:rPr>
              <w:t>Общее количество поданных заявок, шт. (всего), в т.ч.:</w:t>
            </w:r>
          </w:p>
        </w:tc>
        <w:tc>
          <w:tcPr>
            <w:tcW w:w="851" w:type="dxa"/>
            <w:tcBorders>
              <w:top w:val="nil"/>
              <w:left w:val="nil"/>
              <w:bottom w:val="single" w:sz="4" w:space="0" w:color="auto"/>
              <w:right w:val="single" w:sz="4" w:space="0" w:color="auto"/>
            </w:tcBorders>
            <w:shd w:val="clear" w:color="auto" w:fill="auto"/>
            <w:vAlign w:val="center"/>
            <w:hideMark/>
          </w:tcPr>
          <w:p w:rsidR="005902EC" w:rsidRPr="004761E0" w:rsidRDefault="005902EC" w:rsidP="006753D8">
            <w:pPr>
              <w:ind w:firstLine="0"/>
              <w:jc w:val="right"/>
              <w:rPr>
                <w:rFonts w:eastAsia="Times New Roman"/>
                <w:b/>
                <w:color w:val="000000"/>
                <w:sz w:val="20"/>
                <w:szCs w:val="20"/>
                <w:lang w:eastAsia="ru-RU"/>
              </w:rPr>
            </w:pPr>
            <w:r w:rsidRPr="004761E0">
              <w:rPr>
                <w:rFonts w:eastAsia="Times New Roman"/>
                <w:b/>
                <w:bCs/>
                <w:color w:val="000000"/>
                <w:sz w:val="20"/>
                <w:szCs w:val="20"/>
                <w:lang w:eastAsia="ru-RU"/>
              </w:rPr>
              <w:t>8 950</w:t>
            </w:r>
          </w:p>
        </w:tc>
        <w:tc>
          <w:tcPr>
            <w:tcW w:w="852" w:type="dxa"/>
            <w:tcBorders>
              <w:top w:val="nil"/>
              <w:left w:val="nil"/>
              <w:bottom w:val="single" w:sz="4" w:space="0" w:color="auto"/>
              <w:right w:val="single" w:sz="4" w:space="0" w:color="auto"/>
            </w:tcBorders>
            <w:shd w:val="clear" w:color="auto" w:fill="auto"/>
            <w:vAlign w:val="center"/>
            <w:hideMark/>
          </w:tcPr>
          <w:p w:rsidR="005902EC" w:rsidRPr="004761E0" w:rsidRDefault="005902EC" w:rsidP="006753D8">
            <w:pPr>
              <w:ind w:firstLine="0"/>
              <w:jc w:val="right"/>
              <w:rPr>
                <w:rFonts w:eastAsia="Times New Roman"/>
                <w:b/>
                <w:color w:val="000000"/>
                <w:sz w:val="20"/>
                <w:szCs w:val="20"/>
                <w:lang w:eastAsia="ru-RU"/>
              </w:rPr>
            </w:pPr>
            <w:r w:rsidRPr="004761E0">
              <w:rPr>
                <w:rFonts w:eastAsia="Times New Roman"/>
                <w:b/>
                <w:bCs/>
                <w:color w:val="000000"/>
                <w:sz w:val="20"/>
                <w:szCs w:val="20"/>
                <w:lang w:eastAsia="ru-RU"/>
              </w:rPr>
              <w:t>8 326</w:t>
            </w:r>
          </w:p>
        </w:tc>
        <w:tc>
          <w:tcPr>
            <w:tcW w:w="994" w:type="dxa"/>
            <w:tcBorders>
              <w:top w:val="nil"/>
              <w:left w:val="nil"/>
              <w:bottom w:val="single" w:sz="4" w:space="0" w:color="auto"/>
              <w:right w:val="single" w:sz="4" w:space="0" w:color="auto"/>
            </w:tcBorders>
            <w:shd w:val="clear" w:color="auto" w:fill="auto"/>
            <w:vAlign w:val="center"/>
            <w:hideMark/>
          </w:tcPr>
          <w:p w:rsidR="005902EC" w:rsidRPr="004761E0" w:rsidRDefault="005902EC" w:rsidP="006753D8">
            <w:pPr>
              <w:ind w:firstLine="0"/>
              <w:jc w:val="right"/>
              <w:rPr>
                <w:rFonts w:eastAsia="Times New Roman"/>
                <w:b/>
                <w:color w:val="000000"/>
                <w:sz w:val="20"/>
                <w:szCs w:val="20"/>
                <w:lang w:eastAsia="ru-RU"/>
              </w:rPr>
            </w:pPr>
            <w:r w:rsidRPr="004761E0">
              <w:rPr>
                <w:rFonts w:eastAsia="Times New Roman"/>
                <w:b/>
                <w:bCs/>
                <w:color w:val="000000"/>
                <w:sz w:val="20"/>
                <w:szCs w:val="20"/>
                <w:lang w:eastAsia="ru-RU"/>
              </w:rPr>
              <w:t>13 166</w:t>
            </w:r>
          </w:p>
        </w:tc>
        <w:tc>
          <w:tcPr>
            <w:tcW w:w="1136" w:type="dxa"/>
            <w:tcBorders>
              <w:top w:val="nil"/>
              <w:left w:val="nil"/>
              <w:bottom w:val="single" w:sz="4" w:space="0" w:color="auto"/>
              <w:right w:val="single" w:sz="4" w:space="0" w:color="auto"/>
            </w:tcBorders>
            <w:shd w:val="clear" w:color="auto" w:fill="auto"/>
            <w:vAlign w:val="center"/>
            <w:hideMark/>
          </w:tcPr>
          <w:p w:rsidR="005902EC" w:rsidRPr="004761E0" w:rsidRDefault="001A25B0" w:rsidP="006753D8">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58,13 %</w:t>
            </w:r>
          </w:p>
        </w:tc>
        <w:tc>
          <w:tcPr>
            <w:tcW w:w="994" w:type="dxa"/>
            <w:tcBorders>
              <w:top w:val="nil"/>
              <w:left w:val="nil"/>
              <w:bottom w:val="single" w:sz="4" w:space="0" w:color="auto"/>
              <w:right w:val="single" w:sz="4" w:space="0" w:color="auto"/>
            </w:tcBorders>
            <w:shd w:val="clear" w:color="auto" w:fill="auto"/>
            <w:vAlign w:val="center"/>
            <w:hideMark/>
          </w:tcPr>
          <w:p w:rsidR="005902EC" w:rsidRPr="004761E0" w:rsidRDefault="005902EC" w:rsidP="006753D8">
            <w:pPr>
              <w:ind w:firstLine="0"/>
              <w:jc w:val="right"/>
              <w:rPr>
                <w:rFonts w:eastAsia="Times New Roman"/>
                <w:b/>
                <w:color w:val="000000"/>
                <w:sz w:val="20"/>
                <w:szCs w:val="20"/>
                <w:lang w:eastAsia="ru-RU"/>
              </w:rPr>
            </w:pPr>
            <w:r w:rsidRPr="004761E0">
              <w:rPr>
                <w:rFonts w:eastAsia="Times New Roman"/>
                <w:b/>
                <w:bCs/>
                <w:color w:val="000000"/>
                <w:sz w:val="20"/>
                <w:szCs w:val="20"/>
                <w:lang w:eastAsia="ru-RU"/>
              </w:rPr>
              <w:t>24 593</w:t>
            </w:r>
          </w:p>
        </w:tc>
        <w:tc>
          <w:tcPr>
            <w:tcW w:w="994" w:type="dxa"/>
            <w:tcBorders>
              <w:top w:val="nil"/>
              <w:left w:val="nil"/>
              <w:bottom w:val="single" w:sz="4" w:space="0" w:color="auto"/>
              <w:right w:val="single" w:sz="4" w:space="0" w:color="auto"/>
            </w:tcBorders>
            <w:shd w:val="clear" w:color="auto" w:fill="auto"/>
            <w:vAlign w:val="center"/>
            <w:hideMark/>
          </w:tcPr>
          <w:p w:rsidR="005902EC" w:rsidRPr="004761E0" w:rsidRDefault="005902EC" w:rsidP="006753D8">
            <w:pPr>
              <w:ind w:firstLine="0"/>
              <w:jc w:val="right"/>
              <w:rPr>
                <w:rFonts w:eastAsia="Times New Roman"/>
                <w:b/>
                <w:color w:val="000000"/>
                <w:sz w:val="20"/>
                <w:szCs w:val="20"/>
                <w:lang w:eastAsia="ru-RU"/>
              </w:rPr>
            </w:pPr>
            <w:r w:rsidRPr="004761E0">
              <w:rPr>
                <w:rFonts w:eastAsia="Times New Roman"/>
                <w:b/>
                <w:bCs/>
                <w:color w:val="000000"/>
                <w:sz w:val="20"/>
                <w:szCs w:val="20"/>
                <w:lang w:eastAsia="ru-RU"/>
              </w:rPr>
              <w:t>44 837</w:t>
            </w:r>
          </w:p>
        </w:tc>
        <w:tc>
          <w:tcPr>
            <w:tcW w:w="852" w:type="dxa"/>
            <w:tcBorders>
              <w:top w:val="nil"/>
              <w:left w:val="nil"/>
              <w:bottom w:val="single" w:sz="4" w:space="0" w:color="auto"/>
              <w:right w:val="single" w:sz="4" w:space="0" w:color="auto"/>
            </w:tcBorders>
            <w:shd w:val="clear" w:color="auto" w:fill="auto"/>
            <w:vAlign w:val="center"/>
            <w:hideMark/>
          </w:tcPr>
          <w:p w:rsidR="005902EC" w:rsidRPr="004761E0" w:rsidRDefault="005902EC" w:rsidP="006753D8">
            <w:pPr>
              <w:ind w:firstLine="0"/>
              <w:jc w:val="right"/>
              <w:rPr>
                <w:rFonts w:eastAsia="Times New Roman"/>
                <w:b/>
                <w:color w:val="000000"/>
                <w:sz w:val="20"/>
                <w:szCs w:val="20"/>
                <w:lang w:eastAsia="ru-RU"/>
              </w:rPr>
            </w:pPr>
            <w:r w:rsidRPr="004761E0">
              <w:rPr>
                <w:rFonts w:eastAsia="Times New Roman"/>
                <w:b/>
                <w:bCs/>
                <w:color w:val="000000"/>
                <w:sz w:val="20"/>
                <w:szCs w:val="20"/>
                <w:lang w:eastAsia="ru-RU"/>
              </w:rPr>
              <w:t>78 444</w:t>
            </w:r>
          </w:p>
        </w:tc>
        <w:tc>
          <w:tcPr>
            <w:tcW w:w="1083" w:type="dxa"/>
            <w:tcBorders>
              <w:top w:val="nil"/>
              <w:left w:val="nil"/>
              <w:bottom w:val="single" w:sz="4" w:space="0" w:color="auto"/>
              <w:right w:val="single" w:sz="4" w:space="0" w:color="auto"/>
            </w:tcBorders>
            <w:shd w:val="clear" w:color="auto" w:fill="auto"/>
            <w:vAlign w:val="center"/>
            <w:hideMark/>
          </w:tcPr>
          <w:p w:rsidR="005902EC" w:rsidRPr="004761E0" w:rsidRDefault="001A25B0" w:rsidP="006753D8">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74,95 %</w:t>
            </w:r>
          </w:p>
        </w:tc>
      </w:tr>
      <w:tr w:rsidR="00525213" w:rsidRPr="004761E0" w:rsidTr="00525213">
        <w:trPr>
          <w:trHeight w:val="164"/>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C0652D" w:rsidRPr="004761E0" w:rsidRDefault="00C0652D" w:rsidP="007076A7">
            <w:pPr>
              <w:pStyle w:val="a5"/>
              <w:numPr>
                <w:ilvl w:val="1"/>
                <w:numId w:val="106"/>
              </w:numPr>
              <w:tabs>
                <w:tab w:val="left" w:pos="262"/>
              </w:tabs>
              <w:contextualSpacing w:val="0"/>
              <w:rPr>
                <w:rFonts w:eastAsia="Times New Roman"/>
                <w:color w:val="000000"/>
                <w:sz w:val="20"/>
                <w:szCs w:val="20"/>
                <w:lang w:eastAsia="ru-RU"/>
              </w:rPr>
            </w:pPr>
          </w:p>
        </w:tc>
        <w:tc>
          <w:tcPr>
            <w:tcW w:w="6674" w:type="dxa"/>
            <w:tcBorders>
              <w:top w:val="nil"/>
              <w:left w:val="nil"/>
              <w:bottom w:val="single" w:sz="4" w:space="0" w:color="auto"/>
              <w:right w:val="single" w:sz="4" w:space="0" w:color="auto"/>
            </w:tcBorders>
            <w:shd w:val="clear" w:color="auto" w:fill="auto"/>
            <w:hideMark/>
          </w:tcPr>
          <w:p w:rsidR="00C0652D" w:rsidRPr="004761E0" w:rsidRDefault="00525213" w:rsidP="006753D8">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до 15 кВт (всего), в т.ч.:</w:t>
            </w:r>
          </w:p>
        </w:tc>
        <w:tc>
          <w:tcPr>
            <w:tcW w:w="851"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rFonts w:eastAsia="Times New Roman"/>
                <w:color w:val="000000"/>
                <w:sz w:val="20"/>
                <w:szCs w:val="20"/>
                <w:lang w:eastAsia="ru-RU"/>
              </w:rPr>
            </w:pPr>
            <w:r w:rsidRPr="004761E0">
              <w:rPr>
                <w:rFonts w:eastAsia="Times New Roman"/>
                <w:sz w:val="20"/>
                <w:szCs w:val="20"/>
                <w:lang w:eastAsia="ru-RU"/>
              </w:rPr>
              <w:t>5 738</w:t>
            </w:r>
          </w:p>
        </w:tc>
        <w:tc>
          <w:tcPr>
            <w:tcW w:w="852"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rFonts w:eastAsia="Times New Roman"/>
                <w:color w:val="000000"/>
                <w:sz w:val="20"/>
                <w:szCs w:val="20"/>
                <w:lang w:eastAsia="ru-RU"/>
              </w:rPr>
            </w:pPr>
            <w:r w:rsidRPr="004761E0">
              <w:rPr>
                <w:rFonts w:eastAsia="Times New Roman"/>
                <w:sz w:val="20"/>
                <w:szCs w:val="20"/>
                <w:lang w:eastAsia="ru-RU"/>
              </w:rPr>
              <w:t>4 283</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rFonts w:eastAsia="Times New Roman"/>
                <w:color w:val="000000"/>
                <w:sz w:val="20"/>
                <w:szCs w:val="20"/>
                <w:lang w:eastAsia="ru-RU"/>
              </w:rPr>
            </w:pPr>
            <w:r w:rsidRPr="004761E0">
              <w:rPr>
                <w:rFonts w:eastAsia="Times New Roman"/>
                <w:sz w:val="20"/>
                <w:szCs w:val="20"/>
                <w:lang w:eastAsia="ru-RU"/>
              </w:rPr>
              <w:t>8 910</w:t>
            </w:r>
          </w:p>
        </w:tc>
        <w:tc>
          <w:tcPr>
            <w:tcW w:w="1136"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108,03 %</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rFonts w:eastAsia="Times New Roman"/>
                <w:color w:val="000000"/>
                <w:sz w:val="20"/>
                <w:szCs w:val="20"/>
                <w:lang w:eastAsia="ru-RU"/>
              </w:rPr>
            </w:pPr>
            <w:r w:rsidRPr="004761E0">
              <w:rPr>
                <w:rFonts w:eastAsia="Times New Roman"/>
                <w:sz w:val="20"/>
                <w:szCs w:val="20"/>
                <w:lang w:eastAsia="ru-RU"/>
              </w:rPr>
              <w:t>22 092</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rFonts w:eastAsia="Times New Roman"/>
                <w:color w:val="000000"/>
                <w:sz w:val="20"/>
                <w:szCs w:val="20"/>
                <w:lang w:eastAsia="ru-RU"/>
              </w:rPr>
            </w:pPr>
            <w:r w:rsidRPr="004761E0">
              <w:rPr>
                <w:rFonts w:eastAsia="Times New Roman"/>
                <w:sz w:val="20"/>
                <w:szCs w:val="20"/>
                <w:lang w:eastAsia="ru-RU"/>
              </w:rPr>
              <w:t>40 334</w:t>
            </w:r>
          </w:p>
        </w:tc>
        <w:tc>
          <w:tcPr>
            <w:tcW w:w="852"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rFonts w:eastAsia="Times New Roman"/>
                <w:color w:val="000000"/>
                <w:sz w:val="20"/>
                <w:szCs w:val="20"/>
                <w:lang w:eastAsia="ru-RU"/>
              </w:rPr>
            </w:pPr>
            <w:r w:rsidRPr="004761E0">
              <w:rPr>
                <w:rFonts w:eastAsia="Times New Roman"/>
                <w:sz w:val="20"/>
                <w:szCs w:val="20"/>
                <w:lang w:eastAsia="ru-RU"/>
              </w:rPr>
              <w:t>73 037</w:t>
            </w:r>
          </w:p>
        </w:tc>
        <w:tc>
          <w:tcPr>
            <w:tcW w:w="1083"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81,08 %</w:t>
            </w:r>
          </w:p>
        </w:tc>
      </w:tr>
      <w:tr w:rsidR="00525213" w:rsidRPr="004761E0" w:rsidTr="00525213">
        <w:trPr>
          <w:trHeight w:val="164"/>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C0652D" w:rsidRPr="004761E0" w:rsidRDefault="00C0652D" w:rsidP="007076A7">
            <w:pPr>
              <w:pStyle w:val="a5"/>
              <w:numPr>
                <w:ilvl w:val="2"/>
                <w:numId w:val="106"/>
              </w:numPr>
              <w:tabs>
                <w:tab w:val="left" w:pos="262"/>
              </w:tabs>
              <w:contextualSpacing w:val="0"/>
              <w:rPr>
                <w:rFonts w:eastAsia="Times New Roman"/>
                <w:color w:val="000000"/>
                <w:sz w:val="20"/>
                <w:szCs w:val="20"/>
                <w:lang w:eastAsia="ru-RU"/>
              </w:rPr>
            </w:pPr>
          </w:p>
        </w:tc>
        <w:tc>
          <w:tcPr>
            <w:tcW w:w="6674" w:type="dxa"/>
            <w:tcBorders>
              <w:top w:val="nil"/>
              <w:left w:val="nil"/>
              <w:bottom w:val="single" w:sz="4" w:space="0" w:color="auto"/>
              <w:right w:val="single" w:sz="4" w:space="0" w:color="auto"/>
            </w:tcBorders>
            <w:shd w:val="clear" w:color="auto" w:fill="auto"/>
            <w:hideMark/>
          </w:tcPr>
          <w:p w:rsidR="00C0652D" w:rsidRPr="004761E0" w:rsidRDefault="00525213" w:rsidP="006753D8">
            <w:pPr>
              <w:ind w:firstLineChars="371" w:firstLine="742"/>
              <w:jc w:val="left"/>
              <w:rPr>
                <w:rFonts w:eastAsia="Times New Roman"/>
                <w:color w:val="000000"/>
                <w:sz w:val="20"/>
                <w:szCs w:val="20"/>
                <w:lang w:eastAsia="ru-RU"/>
              </w:rPr>
            </w:pPr>
            <w:r w:rsidRPr="004761E0">
              <w:rPr>
                <w:rFonts w:eastAsia="Times New Roman"/>
                <w:color w:val="000000"/>
                <w:sz w:val="20"/>
                <w:szCs w:val="20"/>
                <w:lang w:eastAsia="ru-RU"/>
              </w:rPr>
              <w:t>физические лица до 15 кВт</w:t>
            </w:r>
          </w:p>
        </w:tc>
        <w:tc>
          <w:tcPr>
            <w:tcW w:w="851"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rFonts w:eastAsia="Times New Roman"/>
                <w:color w:val="000000"/>
                <w:sz w:val="20"/>
                <w:szCs w:val="20"/>
                <w:lang w:eastAsia="ru-RU"/>
              </w:rPr>
            </w:pPr>
            <w:r w:rsidRPr="004761E0">
              <w:rPr>
                <w:rFonts w:eastAsia="Times New Roman"/>
                <w:sz w:val="20"/>
                <w:szCs w:val="20"/>
                <w:lang w:eastAsia="ru-RU"/>
              </w:rPr>
              <w:t>738</w:t>
            </w:r>
          </w:p>
        </w:tc>
        <w:tc>
          <w:tcPr>
            <w:tcW w:w="852"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rFonts w:eastAsia="Times New Roman"/>
                <w:color w:val="000000"/>
                <w:sz w:val="20"/>
                <w:szCs w:val="20"/>
                <w:lang w:eastAsia="ru-RU"/>
              </w:rPr>
            </w:pPr>
            <w:r w:rsidRPr="004761E0">
              <w:rPr>
                <w:rFonts w:eastAsia="Times New Roman"/>
                <w:sz w:val="20"/>
                <w:szCs w:val="20"/>
                <w:lang w:eastAsia="ru-RU"/>
              </w:rPr>
              <w:t>909</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rFonts w:eastAsia="Times New Roman"/>
                <w:color w:val="000000"/>
                <w:sz w:val="20"/>
                <w:szCs w:val="20"/>
                <w:lang w:eastAsia="ru-RU"/>
              </w:rPr>
            </w:pPr>
            <w:r w:rsidRPr="004761E0">
              <w:rPr>
                <w:rFonts w:eastAsia="Times New Roman"/>
                <w:sz w:val="20"/>
                <w:szCs w:val="20"/>
                <w:lang w:eastAsia="ru-RU"/>
              </w:rPr>
              <w:t>2 702</w:t>
            </w:r>
          </w:p>
        </w:tc>
        <w:tc>
          <w:tcPr>
            <w:tcW w:w="1136"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197,25 %</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rFonts w:eastAsia="Times New Roman"/>
                <w:color w:val="000000"/>
                <w:sz w:val="20"/>
                <w:szCs w:val="20"/>
                <w:lang w:eastAsia="ru-RU"/>
              </w:rPr>
            </w:pPr>
            <w:r w:rsidRPr="004761E0">
              <w:rPr>
                <w:rFonts w:eastAsia="Times New Roman"/>
                <w:sz w:val="20"/>
                <w:szCs w:val="20"/>
                <w:lang w:eastAsia="ru-RU"/>
              </w:rPr>
              <w:t>20 229</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rFonts w:eastAsia="Times New Roman"/>
                <w:color w:val="000000"/>
                <w:sz w:val="20"/>
                <w:szCs w:val="20"/>
                <w:lang w:eastAsia="ru-RU"/>
              </w:rPr>
            </w:pPr>
            <w:r w:rsidRPr="004761E0">
              <w:rPr>
                <w:rFonts w:eastAsia="Times New Roman"/>
                <w:sz w:val="20"/>
                <w:szCs w:val="20"/>
                <w:lang w:eastAsia="ru-RU"/>
              </w:rPr>
              <w:t>38 364</w:t>
            </w:r>
          </w:p>
        </w:tc>
        <w:tc>
          <w:tcPr>
            <w:tcW w:w="852"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rFonts w:eastAsia="Times New Roman"/>
                <w:color w:val="000000"/>
                <w:sz w:val="20"/>
                <w:szCs w:val="20"/>
                <w:lang w:eastAsia="ru-RU"/>
              </w:rPr>
            </w:pPr>
            <w:r w:rsidRPr="004761E0">
              <w:rPr>
                <w:rFonts w:eastAsia="Times New Roman"/>
                <w:sz w:val="20"/>
                <w:szCs w:val="20"/>
                <w:lang w:eastAsia="ru-RU"/>
              </w:rPr>
              <w:t>69 420</w:t>
            </w:r>
          </w:p>
        </w:tc>
        <w:tc>
          <w:tcPr>
            <w:tcW w:w="1083"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80,95 %</w:t>
            </w:r>
          </w:p>
        </w:tc>
      </w:tr>
      <w:tr w:rsidR="00525213" w:rsidRPr="004761E0" w:rsidTr="00525213">
        <w:trPr>
          <w:trHeight w:val="164"/>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C0652D" w:rsidRPr="004761E0" w:rsidRDefault="00C0652D" w:rsidP="007076A7">
            <w:pPr>
              <w:pStyle w:val="a5"/>
              <w:numPr>
                <w:ilvl w:val="1"/>
                <w:numId w:val="106"/>
              </w:numPr>
              <w:tabs>
                <w:tab w:val="left" w:pos="262"/>
              </w:tabs>
              <w:contextualSpacing w:val="0"/>
              <w:rPr>
                <w:rFonts w:eastAsia="Times New Roman"/>
                <w:color w:val="000000"/>
                <w:sz w:val="20"/>
                <w:szCs w:val="20"/>
                <w:lang w:eastAsia="ru-RU"/>
              </w:rPr>
            </w:pPr>
          </w:p>
        </w:tc>
        <w:tc>
          <w:tcPr>
            <w:tcW w:w="6674" w:type="dxa"/>
            <w:tcBorders>
              <w:top w:val="nil"/>
              <w:left w:val="nil"/>
              <w:bottom w:val="single" w:sz="4" w:space="0" w:color="auto"/>
              <w:right w:val="single" w:sz="4" w:space="0" w:color="auto"/>
            </w:tcBorders>
            <w:shd w:val="clear" w:color="auto" w:fill="auto"/>
            <w:hideMark/>
          </w:tcPr>
          <w:p w:rsidR="00C0652D" w:rsidRPr="004761E0" w:rsidRDefault="00525213" w:rsidP="006753D8">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свыше 15 кВт и до 150 кВт (всего), в т.ч.:</w:t>
            </w:r>
          </w:p>
        </w:tc>
        <w:tc>
          <w:tcPr>
            <w:tcW w:w="851"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rFonts w:eastAsia="Times New Roman"/>
                <w:color w:val="000000"/>
                <w:sz w:val="20"/>
                <w:szCs w:val="20"/>
                <w:lang w:eastAsia="ru-RU"/>
              </w:rPr>
            </w:pPr>
            <w:r w:rsidRPr="004761E0">
              <w:rPr>
                <w:rFonts w:eastAsia="Times New Roman"/>
                <w:sz w:val="20"/>
                <w:szCs w:val="20"/>
                <w:lang w:eastAsia="ru-RU"/>
              </w:rPr>
              <w:t>1 882</w:t>
            </w:r>
          </w:p>
        </w:tc>
        <w:tc>
          <w:tcPr>
            <w:tcW w:w="852"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rFonts w:eastAsia="Times New Roman"/>
                <w:color w:val="000000"/>
                <w:sz w:val="20"/>
                <w:szCs w:val="20"/>
                <w:lang w:eastAsia="ru-RU"/>
              </w:rPr>
            </w:pPr>
            <w:r w:rsidRPr="004761E0">
              <w:rPr>
                <w:rFonts w:eastAsia="Times New Roman"/>
                <w:sz w:val="20"/>
                <w:szCs w:val="20"/>
                <w:lang w:eastAsia="ru-RU"/>
              </w:rPr>
              <w:t>2 239</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rFonts w:eastAsia="Times New Roman"/>
                <w:color w:val="000000"/>
                <w:sz w:val="20"/>
                <w:szCs w:val="20"/>
                <w:lang w:eastAsia="ru-RU"/>
              </w:rPr>
            </w:pPr>
            <w:r w:rsidRPr="004761E0">
              <w:rPr>
                <w:rFonts w:eastAsia="Times New Roman"/>
                <w:sz w:val="20"/>
                <w:szCs w:val="20"/>
                <w:lang w:eastAsia="ru-RU"/>
              </w:rPr>
              <w:t>2 982</w:t>
            </w:r>
          </w:p>
        </w:tc>
        <w:tc>
          <w:tcPr>
            <w:tcW w:w="1136"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33,18 %</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rFonts w:eastAsia="Times New Roman"/>
                <w:color w:val="000000"/>
                <w:sz w:val="20"/>
                <w:szCs w:val="20"/>
                <w:lang w:eastAsia="ru-RU"/>
              </w:rPr>
            </w:pPr>
            <w:r w:rsidRPr="004761E0">
              <w:rPr>
                <w:rFonts w:eastAsia="Times New Roman"/>
                <w:sz w:val="20"/>
                <w:szCs w:val="20"/>
                <w:lang w:eastAsia="ru-RU"/>
              </w:rPr>
              <w:t>978</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rFonts w:eastAsia="Times New Roman"/>
                <w:color w:val="000000"/>
                <w:sz w:val="20"/>
                <w:szCs w:val="20"/>
                <w:lang w:eastAsia="ru-RU"/>
              </w:rPr>
            </w:pPr>
            <w:r w:rsidRPr="004761E0">
              <w:rPr>
                <w:rFonts w:eastAsia="Times New Roman"/>
                <w:sz w:val="20"/>
                <w:szCs w:val="20"/>
                <w:lang w:eastAsia="ru-RU"/>
              </w:rPr>
              <w:t>1 760</w:t>
            </w:r>
          </w:p>
        </w:tc>
        <w:tc>
          <w:tcPr>
            <w:tcW w:w="852"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rFonts w:eastAsia="Times New Roman"/>
                <w:color w:val="000000"/>
                <w:sz w:val="20"/>
                <w:szCs w:val="20"/>
                <w:lang w:eastAsia="ru-RU"/>
              </w:rPr>
            </w:pPr>
            <w:r w:rsidRPr="004761E0">
              <w:rPr>
                <w:rFonts w:eastAsia="Times New Roman"/>
                <w:sz w:val="20"/>
                <w:szCs w:val="20"/>
                <w:lang w:eastAsia="ru-RU"/>
              </w:rPr>
              <w:t>2 701</w:t>
            </w:r>
          </w:p>
        </w:tc>
        <w:tc>
          <w:tcPr>
            <w:tcW w:w="1083"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53,47 %</w:t>
            </w:r>
          </w:p>
        </w:tc>
      </w:tr>
      <w:tr w:rsidR="00525213" w:rsidRPr="004761E0" w:rsidTr="00525213">
        <w:trPr>
          <w:trHeight w:val="203"/>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C0652D" w:rsidRPr="004761E0" w:rsidRDefault="00C0652D" w:rsidP="007076A7">
            <w:pPr>
              <w:pStyle w:val="a5"/>
              <w:numPr>
                <w:ilvl w:val="2"/>
                <w:numId w:val="106"/>
              </w:numPr>
              <w:tabs>
                <w:tab w:val="left" w:pos="262"/>
              </w:tabs>
              <w:contextualSpacing w:val="0"/>
              <w:rPr>
                <w:rFonts w:eastAsia="Times New Roman"/>
                <w:color w:val="000000"/>
                <w:sz w:val="20"/>
                <w:szCs w:val="20"/>
                <w:lang w:eastAsia="ru-RU"/>
              </w:rPr>
            </w:pPr>
          </w:p>
        </w:tc>
        <w:tc>
          <w:tcPr>
            <w:tcW w:w="6674" w:type="dxa"/>
            <w:tcBorders>
              <w:top w:val="nil"/>
              <w:left w:val="nil"/>
              <w:bottom w:val="single" w:sz="4" w:space="0" w:color="auto"/>
              <w:right w:val="single" w:sz="4" w:space="0" w:color="auto"/>
            </w:tcBorders>
            <w:shd w:val="clear" w:color="auto" w:fill="auto"/>
            <w:hideMark/>
          </w:tcPr>
          <w:p w:rsidR="00C0652D" w:rsidRPr="004761E0" w:rsidRDefault="00525213" w:rsidP="006753D8">
            <w:pPr>
              <w:ind w:firstLineChars="371" w:firstLine="742"/>
              <w:jc w:val="left"/>
              <w:rPr>
                <w:rFonts w:eastAsia="Times New Roman"/>
                <w:color w:val="000000"/>
                <w:sz w:val="20"/>
                <w:szCs w:val="20"/>
                <w:lang w:eastAsia="ru-RU"/>
              </w:rPr>
            </w:pPr>
            <w:r w:rsidRPr="004761E0">
              <w:rPr>
                <w:rFonts w:eastAsia="Times New Roman"/>
                <w:color w:val="000000"/>
                <w:sz w:val="20"/>
                <w:szCs w:val="20"/>
                <w:lang w:eastAsia="ru-RU"/>
              </w:rPr>
              <w:t>заявители, воспользовавшиеся рассрочкой</w:t>
            </w:r>
          </w:p>
        </w:tc>
        <w:tc>
          <w:tcPr>
            <w:tcW w:w="851"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rFonts w:eastAsia="Times New Roman"/>
                <w:color w:val="000000"/>
                <w:sz w:val="20"/>
                <w:szCs w:val="20"/>
                <w:lang w:eastAsia="ru-RU"/>
              </w:rPr>
            </w:pPr>
            <w:r w:rsidRPr="004761E0">
              <w:rPr>
                <w:rFonts w:eastAsia="Times New Roman"/>
                <w:sz w:val="20"/>
                <w:szCs w:val="20"/>
                <w:lang w:eastAsia="ru-RU"/>
              </w:rPr>
              <w:t>8</w:t>
            </w:r>
          </w:p>
        </w:tc>
        <w:tc>
          <w:tcPr>
            <w:tcW w:w="852"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rFonts w:eastAsia="Times New Roman"/>
                <w:color w:val="000000"/>
                <w:sz w:val="20"/>
                <w:szCs w:val="20"/>
                <w:lang w:eastAsia="ru-RU"/>
              </w:rPr>
            </w:pPr>
            <w:r w:rsidRPr="004761E0">
              <w:rPr>
                <w:rFonts w:eastAsia="Times New Roman"/>
                <w:sz w:val="20"/>
                <w:szCs w:val="20"/>
                <w:lang w:eastAsia="ru-RU"/>
              </w:rPr>
              <w:t>34</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rFonts w:eastAsia="Times New Roman"/>
                <w:color w:val="000000"/>
                <w:sz w:val="20"/>
                <w:szCs w:val="20"/>
                <w:lang w:eastAsia="ru-RU"/>
              </w:rPr>
            </w:pPr>
            <w:r w:rsidRPr="004761E0">
              <w:rPr>
                <w:rFonts w:eastAsia="Times New Roman"/>
                <w:sz w:val="20"/>
                <w:szCs w:val="20"/>
                <w:lang w:eastAsia="ru-RU"/>
              </w:rPr>
              <w:t>2</w:t>
            </w:r>
          </w:p>
        </w:tc>
        <w:tc>
          <w:tcPr>
            <w:tcW w:w="1136"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-94,12 %</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rFonts w:eastAsia="Times New Roman"/>
                <w:color w:val="000000"/>
                <w:sz w:val="20"/>
                <w:szCs w:val="20"/>
                <w:lang w:eastAsia="ru-RU"/>
              </w:rPr>
            </w:pPr>
            <w:r w:rsidRPr="004761E0">
              <w:rPr>
                <w:rFonts w:eastAsia="Times New Roman"/>
                <w:sz w:val="20"/>
                <w:szCs w:val="20"/>
                <w:lang w:eastAsia="ru-RU"/>
              </w:rPr>
              <w:t>166</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rFonts w:eastAsia="Times New Roman"/>
                <w:color w:val="000000"/>
                <w:sz w:val="20"/>
                <w:szCs w:val="20"/>
                <w:lang w:eastAsia="ru-RU"/>
              </w:rPr>
            </w:pPr>
            <w:r w:rsidRPr="004761E0">
              <w:rPr>
                <w:rFonts w:eastAsia="Times New Roman"/>
                <w:sz w:val="20"/>
                <w:szCs w:val="20"/>
                <w:lang w:eastAsia="ru-RU"/>
              </w:rPr>
              <w:t>213</w:t>
            </w:r>
          </w:p>
        </w:tc>
        <w:tc>
          <w:tcPr>
            <w:tcW w:w="852"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rFonts w:eastAsia="Times New Roman"/>
                <w:color w:val="000000"/>
                <w:sz w:val="20"/>
                <w:szCs w:val="20"/>
                <w:lang w:eastAsia="ru-RU"/>
              </w:rPr>
            </w:pPr>
            <w:r w:rsidRPr="004761E0">
              <w:rPr>
                <w:rFonts w:eastAsia="Times New Roman"/>
                <w:sz w:val="20"/>
                <w:szCs w:val="20"/>
                <w:lang w:eastAsia="ru-RU"/>
              </w:rPr>
              <w:t>64</w:t>
            </w:r>
          </w:p>
        </w:tc>
        <w:tc>
          <w:tcPr>
            <w:tcW w:w="1083"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-69,95 %</w:t>
            </w:r>
          </w:p>
        </w:tc>
      </w:tr>
      <w:tr w:rsidR="00525213" w:rsidRPr="004761E0" w:rsidTr="00525213">
        <w:trPr>
          <w:trHeight w:val="222"/>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C0652D" w:rsidRPr="004761E0" w:rsidRDefault="00C0652D" w:rsidP="007076A7">
            <w:pPr>
              <w:pStyle w:val="a5"/>
              <w:numPr>
                <w:ilvl w:val="1"/>
                <w:numId w:val="106"/>
              </w:numPr>
              <w:tabs>
                <w:tab w:val="left" w:pos="262"/>
              </w:tabs>
              <w:contextualSpacing w:val="0"/>
              <w:rPr>
                <w:rFonts w:eastAsia="Times New Roman"/>
                <w:color w:val="000000"/>
                <w:sz w:val="20"/>
                <w:szCs w:val="20"/>
                <w:lang w:eastAsia="ru-RU"/>
              </w:rPr>
            </w:pPr>
          </w:p>
        </w:tc>
        <w:tc>
          <w:tcPr>
            <w:tcW w:w="6674" w:type="dxa"/>
            <w:tcBorders>
              <w:top w:val="nil"/>
              <w:left w:val="nil"/>
              <w:bottom w:val="single" w:sz="4" w:space="0" w:color="auto"/>
              <w:right w:val="single" w:sz="4" w:space="0" w:color="auto"/>
            </w:tcBorders>
            <w:shd w:val="clear" w:color="auto" w:fill="auto"/>
            <w:hideMark/>
          </w:tcPr>
          <w:p w:rsidR="00C0652D" w:rsidRPr="004761E0" w:rsidRDefault="00525213" w:rsidP="006753D8">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свыше 150 кВт и менее 670 кВт</w:t>
            </w:r>
          </w:p>
        </w:tc>
        <w:tc>
          <w:tcPr>
            <w:tcW w:w="851"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color w:val="000000"/>
                <w:sz w:val="20"/>
                <w:szCs w:val="20"/>
              </w:rPr>
            </w:pPr>
            <w:r w:rsidRPr="004761E0">
              <w:rPr>
                <w:rFonts w:eastAsia="Times New Roman"/>
                <w:sz w:val="20"/>
                <w:szCs w:val="20"/>
                <w:lang w:eastAsia="ru-RU"/>
              </w:rPr>
              <w:t>964</w:t>
            </w:r>
          </w:p>
        </w:tc>
        <w:tc>
          <w:tcPr>
            <w:tcW w:w="852"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color w:val="000000"/>
                <w:sz w:val="20"/>
                <w:szCs w:val="20"/>
              </w:rPr>
            </w:pPr>
            <w:r w:rsidRPr="004761E0">
              <w:rPr>
                <w:rFonts w:eastAsia="Times New Roman"/>
                <w:sz w:val="20"/>
                <w:szCs w:val="20"/>
                <w:lang w:eastAsia="ru-RU"/>
              </w:rPr>
              <w:t>1 366</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color w:val="000000"/>
                <w:sz w:val="20"/>
                <w:szCs w:val="20"/>
              </w:rPr>
            </w:pPr>
            <w:r w:rsidRPr="004761E0">
              <w:rPr>
                <w:rFonts w:eastAsia="Times New Roman"/>
                <w:sz w:val="20"/>
                <w:szCs w:val="20"/>
                <w:lang w:eastAsia="ru-RU"/>
              </w:rPr>
              <w:t>853</w:t>
            </w:r>
          </w:p>
        </w:tc>
        <w:tc>
          <w:tcPr>
            <w:tcW w:w="1136"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color w:val="000000"/>
                <w:sz w:val="20"/>
                <w:szCs w:val="20"/>
              </w:rPr>
            </w:pPr>
            <w:r w:rsidRPr="004761E0">
              <w:rPr>
                <w:rFonts w:eastAsia="Times New Roman"/>
                <w:color w:val="000000"/>
                <w:sz w:val="20"/>
                <w:szCs w:val="20"/>
                <w:lang w:eastAsia="ru-RU"/>
              </w:rPr>
              <w:t>-37,55 %</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color w:val="000000"/>
                <w:sz w:val="20"/>
                <w:szCs w:val="20"/>
              </w:rPr>
            </w:pPr>
            <w:r w:rsidRPr="004761E0">
              <w:rPr>
                <w:rFonts w:eastAsia="Times New Roman"/>
                <w:sz w:val="20"/>
                <w:szCs w:val="20"/>
                <w:lang w:eastAsia="ru-RU"/>
              </w:rPr>
              <w:t>1 059</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color w:val="000000"/>
                <w:sz w:val="20"/>
                <w:szCs w:val="20"/>
              </w:rPr>
            </w:pPr>
            <w:r w:rsidRPr="004761E0">
              <w:rPr>
                <w:rFonts w:eastAsia="Times New Roman"/>
                <w:sz w:val="20"/>
                <w:szCs w:val="20"/>
                <w:lang w:eastAsia="ru-RU"/>
              </w:rPr>
              <w:t>1 797</w:t>
            </w:r>
          </w:p>
        </w:tc>
        <w:tc>
          <w:tcPr>
            <w:tcW w:w="852"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color w:val="000000"/>
                <w:sz w:val="20"/>
                <w:szCs w:val="20"/>
              </w:rPr>
            </w:pPr>
            <w:r w:rsidRPr="004761E0">
              <w:rPr>
                <w:rFonts w:eastAsia="Times New Roman"/>
                <w:sz w:val="20"/>
                <w:szCs w:val="20"/>
                <w:lang w:eastAsia="ru-RU"/>
              </w:rPr>
              <w:t>1 881</w:t>
            </w:r>
          </w:p>
        </w:tc>
        <w:tc>
          <w:tcPr>
            <w:tcW w:w="1083"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color w:val="000000"/>
                <w:sz w:val="20"/>
                <w:szCs w:val="20"/>
              </w:rPr>
            </w:pPr>
            <w:r w:rsidRPr="004761E0">
              <w:rPr>
                <w:rFonts w:eastAsia="Times New Roman"/>
                <w:color w:val="000000"/>
                <w:sz w:val="20"/>
                <w:szCs w:val="20"/>
                <w:lang w:eastAsia="ru-RU"/>
              </w:rPr>
              <w:t>4,67 %</w:t>
            </w:r>
          </w:p>
        </w:tc>
      </w:tr>
      <w:tr w:rsidR="00525213" w:rsidRPr="004761E0" w:rsidTr="00525213">
        <w:trPr>
          <w:trHeight w:val="222"/>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C0652D" w:rsidRPr="004761E0" w:rsidRDefault="00C0652D" w:rsidP="007076A7">
            <w:pPr>
              <w:pStyle w:val="a5"/>
              <w:numPr>
                <w:ilvl w:val="1"/>
                <w:numId w:val="106"/>
              </w:numPr>
              <w:tabs>
                <w:tab w:val="left" w:pos="262"/>
              </w:tabs>
              <w:contextualSpacing w:val="0"/>
              <w:rPr>
                <w:rFonts w:eastAsia="Times New Roman"/>
                <w:color w:val="000000"/>
                <w:sz w:val="20"/>
                <w:szCs w:val="20"/>
                <w:lang w:eastAsia="ru-RU"/>
              </w:rPr>
            </w:pPr>
          </w:p>
        </w:tc>
        <w:tc>
          <w:tcPr>
            <w:tcW w:w="6674" w:type="dxa"/>
            <w:tcBorders>
              <w:top w:val="nil"/>
              <w:left w:val="nil"/>
              <w:bottom w:val="single" w:sz="4" w:space="0" w:color="auto"/>
              <w:right w:val="single" w:sz="4" w:space="0" w:color="auto"/>
            </w:tcBorders>
            <w:shd w:val="clear" w:color="auto" w:fill="auto"/>
            <w:hideMark/>
          </w:tcPr>
          <w:p w:rsidR="00C0652D" w:rsidRPr="004761E0" w:rsidRDefault="00525213" w:rsidP="006753D8">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не менее 670 кВт</w:t>
            </w:r>
          </w:p>
        </w:tc>
        <w:tc>
          <w:tcPr>
            <w:tcW w:w="851"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rFonts w:eastAsia="Times New Roman"/>
                <w:color w:val="000000"/>
                <w:sz w:val="20"/>
                <w:szCs w:val="20"/>
                <w:lang w:eastAsia="ru-RU"/>
              </w:rPr>
            </w:pPr>
            <w:r w:rsidRPr="004761E0">
              <w:rPr>
                <w:rFonts w:eastAsia="Times New Roman"/>
                <w:sz w:val="20"/>
                <w:szCs w:val="20"/>
                <w:lang w:eastAsia="ru-RU"/>
              </w:rPr>
              <w:t>366</w:t>
            </w:r>
          </w:p>
        </w:tc>
        <w:tc>
          <w:tcPr>
            <w:tcW w:w="852"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rFonts w:eastAsia="Times New Roman"/>
                <w:color w:val="000000"/>
                <w:sz w:val="20"/>
                <w:szCs w:val="20"/>
                <w:lang w:eastAsia="ru-RU"/>
              </w:rPr>
            </w:pPr>
            <w:r w:rsidRPr="004761E0">
              <w:rPr>
                <w:rFonts w:eastAsia="Times New Roman"/>
                <w:sz w:val="20"/>
                <w:szCs w:val="20"/>
                <w:lang w:eastAsia="ru-RU"/>
              </w:rPr>
              <w:t>438</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rFonts w:eastAsia="Times New Roman"/>
                <w:color w:val="000000"/>
                <w:sz w:val="20"/>
                <w:szCs w:val="20"/>
                <w:lang w:eastAsia="ru-RU"/>
              </w:rPr>
            </w:pPr>
            <w:r w:rsidRPr="004761E0">
              <w:rPr>
                <w:rFonts w:eastAsia="Times New Roman"/>
                <w:sz w:val="20"/>
                <w:szCs w:val="20"/>
                <w:lang w:eastAsia="ru-RU"/>
              </w:rPr>
              <w:t>421</w:t>
            </w:r>
          </w:p>
        </w:tc>
        <w:tc>
          <w:tcPr>
            <w:tcW w:w="1136"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-3,88 %</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rFonts w:eastAsia="Times New Roman"/>
                <w:color w:val="000000"/>
                <w:sz w:val="20"/>
                <w:szCs w:val="20"/>
                <w:lang w:eastAsia="ru-RU"/>
              </w:rPr>
            </w:pPr>
            <w:r w:rsidRPr="004761E0">
              <w:rPr>
                <w:rFonts w:eastAsia="Times New Roman"/>
                <w:sz w:val="20"/>
                <w:szCs w:val="20"/>
                <w:lang w:eastAsia="ru-RU"/>
              </w:rPr>
              <w:t>464</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rFonts w:eastAsia="Times New Roman"/>
                <w:color w:val="000000"/>
                <w:sz w:val="20"/>
                <w:szCs w:val="20"/>
                <w:lang w:eastAsia="ru-RU"/>
              </w:rPr>
            </w:pPr>
            <w:r w:rsidRPr="004761E0">
              <w:rPr>
                <w:rFonts w:eastAsia="Times New Roman"/>
                <w:sz w:val="20"/>
                <w:szCs w:val="20"/>
                <w:lang w:eastAsia="ru-RU"/>
              </w:rPr>
              <w:t>946</w:t>
            </w:r>
          </w:p>
        </w:tc>
        <w:tc>
          <w:tcPr>
            <w:tcW w:w="852" w:type="dxa"/>
            <w:tcBorders>
              <w:top w:val="nil"/>
              <w:left w:val="nil"/>
              <w:bottom w:val="single" w:sz="4" w:space="0" w:color="auto"/>
              <w:right w:val="single" w:sz="4" w:space="0" w:color="auto"/>
            </w:tcBorders>
            <w:shd w:val="clear" w:color="auto" w:fill="auto"/>
            <w:vAlign w:val="center"/>
            <w:hideMark/>
          </w:tcPr>
          <w:p w:rsidR="00525213" w:rsidRPr="004761E0" w:rsidRDefault="001A25B0" w:rsidP="006753D8">
            <w:pPr>
              <w:ind w:firstLine="0"/>
              <w:jc w:val="right"/>
              <w:rPr>
                <w:rFonts w:eastAsia="Times New Roman"/>
                <w:color w:val="000000"/>
                <w:sz w:val="20"/>
                <w:szCs w:val="20"/>
                <w:lang w:eastAsia="ru-RU"/>
              </w:rPr>
            </w:pPr>
            <w:r w:rsidRPr="004761E0">
              <w:rPr>
                <w:rFonts w:eastAsia="Times New Roman"/>
                <w:sz w:val="20"/>
                <w:szCs w:val="20"/>
                <w:lang w:eastAsia="ru-RU"/>
              </w:rPr>
              <w:t>825</w:t>
            </w:r>
          </w:p>
        </w:tc>
        <w:tc>
          <w:tcPr>
            <w:tcW w:w="1083"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-12,79 %</w:t>
            </w:r>
          </w:p>
        </w:tc>
      </w:tr>
      <w:tr w:rsidR="005902EC" w:rsidRPr="004761E0" w:rsidTr="00525213">
        <w:trPr>
          <w:trHeight w:val="222"/>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652D" w:rsidRPr="004761E0" w:rsidRDefault="00C0652D" w:rsidP="007076A7">
            <w:pPr>
              <w:numPr>
                <w:ilvl w:val="0"/>
                <w:numId w:val="106"/>
              </w:numPr>
              <w:tabs>
                <w:tab w:val="left" w:pos="262"/>
              </w:tabs>
              <w:rPr>
                <w:rFonts w:eastAsia="Times New Roman"/>
                <w:b/>
                <w:color w:val="000000"/>
                <w:sz w:val="20"/>
                <w:szCs w:val="20"/>
                <w:lang w:eastAsia="ru-RU"/>
              </w:rPr>
            </w:pPr>
          </w:p>
        </w:tc>
        <w:tc>
          <w:tcPr>
            <w:tcW w:w="6674" w:type="dxa"/>
            <w:tcBorders>
              <w:top w:val="single" w:sz="4" w:space="0" w:color="auto"/>
              <w:left w:val="nil"/>
              <w:bottom w:val="single" w:sz="4" w:space="0" w:color="auto"/>
              <w:right w:val="single" w:sz="4" w:space="0" w:color="auto"/>
            </w:tcBorders>
            <w:shd w:val="clear" w:color="auto" w:fill="auto"/>
            <w:vAlign w:val="center"/>
            <w:hideMark/>
          </w:tcPr>
          <w:p w:rsidR="005902EC" w:rsidRPr="004761E0" w:rsidRDefault="005902EC" w:rsidP="006753D8">
            <w:pPr>
              <w:ind w:firstLine="0"/>
              <w:jc w:val="left"/>
              <w:rPr>
                <w:rFonts w:eastAsia="Times New Roman"/>
                <w:b/>
                <w:color w:val="000000"/>
                <w:sz w:val="20"/>
                <w:szCs w:val="20"/>
                <w:lang w:eastAsia="ru-RU"/>
              </w:rPr>
            </w:pPr>
            <w:r w:rsidRPr="004761E0">
              <w:rPr>
                <w:rFonts w:eastAsia="Times New Roman"/>
                <w:b/>
                <w:bCs/>
                <w:color w:val="000000"/>
                <w:sz w:val="20"/>
                <w:szCs w:val="20"/>
                <w:lang w:eastAsia="ru-RU"/>
              </w:rPr>
              <w:t>Общая мощность по поданным заявкам, МВт (всего), в т.ч.:</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902EC" w:rsidRPr="004761E0" w:rsidRDefault="005902EC" w:rsidP="006753D8">
            <w:pPr>
              <w:ind w:firstLine="0"/>
              <w:jc w:val="right"/>
              <w:rPr>
                <w:rFonts w:eastAsia="Times New Roman"/>
                <w:b/>
                <w:sz w:val="20"/>
                <w:szCs w:val="20"/>
                <w:lang w:eastAsia="ru-RU"/>
              </w:rPr>
            </w:pPr>
            <w:r w:rsidRPr="004761E0">
              <w:rPr>
                <w:rFonts w:eastAsia="Times New Roman"/>
                <w:b/>
                <w:bCs/>
                <w:color w:val="000000"/>
                <w:sz w:val="20"/>
                <w:szCs w:val="20"/>
                <w:lang w:eastAsia="ru-RU"/>
              </w:rPr>
              <w:t>2 852</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902EC" w:rsidRPr="004761E0" w:rsidRDefault="005902EC" w:rsidP="006753D8">
            <w:pPr>
              <w:ind w:firstLine="0"/>
              <w:jc w:val="right"/>
              <w:rPr>
                <w:rFonts w:eastAsia="Times New Roman"/>
                <w:b/>
                <w:sz w:val="20"/>
                <w:szCs w:val="20"/>
                <w:lang w:eastAsia="ru-RU"/>
              </w:rPr>
            </w:pPr>
            <w:r w:rsidRPr="004761E0">
              <w:rPr>
                <w:rFonts w:eastAsia="Times New Roman"/>
                <w:b/>
                <w:bCs/>
                <w:color w:val="000000"/>
                <w:sz w:val="20"/>
                <w:szCs w:val="20"/>
                <w:lang w:eastAsia="ru-RU"/>
              </w:rPr>
              <w:t>3 465</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902EC" w:rsidRPr="004761E0" w:rsidRDefault="005902EC" w:rsidP="006753D8">
            <w:pPr>
              <w:ind w:firstLine="0"/>
              <w:jc w:val="right"/>
              <w:rPr>
                <w:rFonts w:eastAsia="Times New Roman"/>
                <w:b/>
                <w:sz w:val="20"/>
                <w:szCs w:val="20"/>
                <w:lang w:eastAsia="ru-RU"/>
              </w:rPr>
            </w:pPr>
            <w:r w:rsidRPr="004761E0">
              <w:rPr>
                <w:rFonts w:eastAsia="Times New Roman"/>
                <w:b/>
                <w:bCs/>
                <w:color w:val="000000"/>
                <w:sz w:val="20"/>
                <w:szCs w:val="20"/>
                <w:lang w:eastAsia="ru-RU"/>
              </w:rPr>
              <w:t>3 653</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5902EC" w:rsidRPr="004761E0" w:rsidRDefault="001A25B0" w:rsidP="006753D8">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5,44 %</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902EC" w:rsidRPr="004761E0" w:rsidRDefault="005902EC" w:rsidP="006753D8">
            <w:pPr>
              <w:ind w:firstLine="0"/>
              <w:jc w:val="right"/>
              <w:rPr>
                <w:rFonts w:eastAsia="Times New Roman"/>
                <w:b/>
                <w:sz w:val="20"/>
                <w:szCs w:val="20"/>
                <w:lang w:eastAsia="ru-RU"/>
              </w:rPr>
            </w:pPr>
            <w:r w:rsidRPr="004761E0">
              <w:rPr>
                <w:rFonts w:eastAsia="Times New Roman"/>
                <w:b/>
                <w:bCs/>
                <w:color w:val="000000"/>
                <w:sz w:val="20"/>
                <w:szCs w:val="20"/>
                <w:lang w:eastAsia="ru-RU"/>
              </w:rPr>
              <w:t>2 809</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902EC" w:rsidRPr="004761E0" w:rsidRDefault="005902EC" w:rsidP="006753D8">
            <w:pPr>
              <w:ind w:firstLine="0"/>
              <w:jc w:val="right"/>
              <w:rPr>
                <w:rFonts w:eastAsia="Times New Roman"/>
                <w:b/>
                <w:sz w:val="20"/>
                <w:szCs w:val="20"/>
                <w:lang w:eastAsia="ru-RU"/>
              </w:rPr>
            </w:pPr>
            <w:r w:rsidRPr="004761E0">
              <w:rPr>
                <w:rFonts w:eastAsia="Times New Roman"/>
                <w:b/>
                <w:bCs/>
                <w:color w:val="000000"/>
                <w:sz w:val="20"/>
                <w:szCs w:val="20"/>
                <w:lang w:eastAsia="ru-RU"/>
              </w:rPr>
              <w:t>4 707</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902EC" w:rsidRPr="004761E0" w:rsidRDefault="005902EC" w:rsidP="006753D8">
            <w:pPr>
              <w:ind w:firstLine="0"/>
              <w:jc w:val="right"/>
              <w:rPr>
                <w:rFonts w:eastAsia="Times New Roman"/>
                <w:b/>
                <w:sz w:val="20"/>
                <w:szCs w:val="20"/>
                <w:lang w:eastAsia="ru-RU"/>
              </w:rPr>
            </w:pPr>
            <w:r w:rsidRPr="004761E0">
              <w:rPr>
                <w:rFonts w:eastAsia="Times New Roman"/>
                <w:b/>
                <w:bCs/>
                <w:color w:val="000000"/>
                <w:sz w:val="20"/>
                <w:szCs w:val="20"/>
                <w:lang w:eastAsia="ru-RU"/>
              </w:rPr>
              <w:t>5 188</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5902EC" w:rsidRPr="004761E0" w:rsidRDefault="001A25B0" w:rsidP="006753D8">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10,23</w:t>
            </w:r>
            <w:r w:rsidR="003A1C23" w:rsidRPr="004761E0">
              <w:rPr>
                <w:rFonts w:eastAsia="Times New Roman"/>
                <w:b/>
                <w:color w:val="000000"/>
                <w:sz w:val="20"/>
                <w:szCs w:val="20"/>
                <w:lang w:eastAsia="ru-RU"/>
              </w:rPr>
              <w:t xml:space="preserve"> </w:t>
            </w:r>
            <w:r w:rsidRPr="004761E0">
              <w:rPr>
                <w:rFonts w:eastAsia="Times New Roman"/>
                <w:b/>
                <w:color w:val="000000"/>
                <w:sz w:val="20"/>
                <w:szCs w:val="20"/>
                <w:lang w:eastAsia="ru-RU"/>
              </w:rPr>
              <w:t>%</w:t>
            </w:r>
          </w:p>
        </w:tc>
      </w:tr>
      <w:tr w:rsidR="00525213" w:rsidRPr="004761E0" w:rsidTr="00525213">
        <w:trPr>
          <w:trHeight w:val="222"/>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213" w:rsidRPr="004761E0" w:rsidRDefault="00525213" w:rsidP="007076A7">
            <w:pPr>
              <w:pStyle w:val="a5"/>
              <w:numPr>
                <w:ilvl w:val="1"/>
                <w:numId w:val="106"/>
              </w:numPr>
              <w:tabs>
                <w:tab w:val="left" w:pos="262"/>
              </w:tabs>
              <w:contextualSpacing w:val="0"/>
              <w:rPr>
                <w:rFonts w:eastAsia="Times New Roman"/>
                <w:color w:val="000000"/>
                <w:sz w:val="20"/>
                <w:szCs w:val="20"/>
                <w:lang w:eastAsia="ru-RU"/>
              </w:rPr>
            </w:pPr>
          </w:p>
        </w:tc>
        <w:tc>
          <w:tcPr>
            <w:tcW w:w="6674" w:type="dxa"/>
            <w:tcBorders>
              <w:top w:val="single" w:sz="4" w:space="0" w:color="auto"/>
              <w:left w:val="nil"/>
              <w:bottom w:val="single" w:sz="4" w:space="0" w:color="auto"/>
              <w:right w:val="single" w:sz="4" w:space="0" w:color="auto"/>
            </w:tcBorders>
            <w:shd w:val="clear" w:color="auto" w:fill="auto"/>
            <w:hideMark/>
          </w:tcPr>
          <w:p w:rsidR="00C0652D" w:rsidRPr="004761E0" w:rsidRDefault="00525213" w:rsidP="006753D8">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до 15 кВт (всего), в т.ч.:</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43</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34</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79</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135,71 %</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281</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547</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1 005</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83,86 %</w:t>
            </w:r>
          </w:p>
        </w:tc>
      </w:tr>
      <w:tr w:rsidR="00525213" w:rsidRPr="004761E0" w:rsidTr="00525213">
        <w:trPr>
          <w:trHeight w:val="222"/>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652D" w:rsidRPr="004761E0" w:rsidRDefault="00C0652D" w:rsidP="007076A7">
            <w:pPr>
              <w:pStyle w:val="a5"/>
              <w:numPr>
                <w:ilvl w:val="2"/>
                <w:numId w:val="106"/>
              </w:numPr>
              <w:tabs>
                <w:tab w:val="left" w:pos="262"/>
              </w:tabs>
              <w:contextualSpacing w:val="0"/>
              <w:rPr>
                <w:rFonts w:eastAsia="Times New Roman"/>
                <w:color w:val="000000"/>
                <w:sz w:val="20"/>
                <w:szCs w:val="20"/>
                <w:lang w:eastAsia="ru-RU"/>
              </w:rPr>
            </w:pPr>
          </w:p>
        </w:tc>
        <w:tc>
          <w:tcPr>
            <w:tcW w:w="6674" w:type="dxa"/>
            <w:tcBorders>
              <w:top w:val="single" w:sz="4" w:space="0" w:color="auto"/>
              <w:left w:val="nil"/>
              <w:bottom w:val="single" w:sz="4" w:space="0" w:color="auto"/>
              <w:right w:val="single" w:sz="4" w:space="0" w:color="auto"/>
            </w:tcBorders>
            <w:shd w:val="clear" w:color="auto" w:fill="auto"/>
            <w:hideMark/>
          </w:tcPr>
          <w:p w:rsidR="00C0652D" w:rsidRPr="004761E0" w:rsidRDefault="00525213" w:rsidP="006753D8">
            <w:pPr>
              <w:ind w:firstLineChars="371" w:firstLine="742"/>
              <w:jc w:val="left"/>
              <w:rPr>
                <w:rFonts w:eastAsia="Times New Roman"/>
                <w:color w:val="000000"/>
                <w:sz w:val="20"/>
                <w:szCs w:val="20"/>
                <w:lang w:eastAsia="ru-RU"/>
              </w:rPr>
            </w:pPr>
            <w:r w:rsidRPr="004761E0">
              <w:rPr>
                <w:rFonts w:eastAsia="Times New Roman"/>
                <w:color w:val="000000"/>
                <w:sz w:val="20"/>
                <w:szCs w:val="20"/>
                <w:lang w:eastAsia="ru-RU"/>
              </w:rPr>
              <w:t>физические лица до 15 кВт</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9</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11</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36</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216,78 %</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259</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526</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964</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83,45 %</w:t>
            </w:r>
          </w:p>
        </w:tc>
      </w:tr>
      <w:tr w:rsidR="00525213" w:rsidRPr="004761E0" w:rsidTr="00525213">
        <w:trPr>
          <w:trHeight w:val="222"/>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213" w:rsidRPr="004761E0" w:rsidRDefault="00525213" w:rsidP="007076A7">
            <w:pPr>
              <w:pStyle w:val="a5"/>
              <w:numPr>
                <w:ilvl w:val="1"/>
                <w:numId w:val="106"/>
              </w:numPr>
              <w:tabs>
                <w:tab w:val="left" w:pos="262"/>
              </w:tabs>
              <w:contextualSpacing w:val="0"/>
              <w:rPr>
                <w:rFonts w:eastAsia="Times New Roman"/>
                <w:color w:val="000000"/>
                <w:sz w:val="20"/>
                <w:szCs w:val="20"/>
                <w:lang w:eastAsia="ru-RU"/>
              </w:rPr>
            </w:pPr>
          </w:p>
        </w:tc>
        <w:tc>
          <w:tcPr>
            <w:tcW w:w="6674" w:type="dxa"/>
            <w:tcBorders>
              <w:top w:val="single" w:sz="4" w:space="0" w:color="auto"/>
              <w:left w:val="nil"/>
              <w:bottom w:val="single" w:sz="4" w:space="0" w:color="auto"/>
              <w:right w:val="single" w:sz="4" w:space="0" w:color="auto"/>
            </w:tcBorders>
            <w:shd w:val="clear" w:color="auto" w:fill="auto"/>
            <w:hideMark/>
          </w:tcPr>
          <w:p w:rsidR="00C0652D" w:rsidRPr="004761E0" w:rsidRDefault="00525213" w:rsidP="006753D8">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свыше 15 кВт и до 150 кВт (всего), в т.ч.:</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90</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112</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176</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58,19 %</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62</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106</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202</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91,00 %</w:t>
            </w:r>
          </w:p>
        </w:tc>
      </w:tr>
      <w:tr w:rsidR="00525213" w:rsidRPr="004761E0" w:rsidTr="00525213">
        <w:trPr>
          <w:trHeight w:val="222"/>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652D" w:rsidRPr="004761E0" w:rsidRDefault="00C0652D" w:rsidP="007076A7">
            <w:pPr>
              <w:pStyle w:val="a5"/>
              <w:numPr>
                <w:ilvl w:val="2"/>
                <w:numId w:val="106"/>
              </w:numPr>
              <w:tabs>
                <w:tab w:val="left" w:pos="262"/>
              </w:tabs>
              <w:contextualSpacing w:val="0"/>
              <w:rPr>
                <w:rFonts w:eastAsia="Times New Roman"/>
                <w:color w:val="000000"/>
                <w:sz w:val="20"/>
                <w:szCs w:val="20"/>
                <w:lang w:eastAsia="ru-RU"/>
              </w:rPr>
            </w:pPr>
          </w:p>
        </w:tc>
        <w:tc>
          <w:tcPr>
            <w:tcW w:w="6674" w:type="dxa"/>
            <w:tcBorders>
              <w:top w:val="single" w:sz="4" w:space="0" w:color="auto"/>
              <w:left w:val="nil"/>
              <w:bottom w:val="single" w:sz="4" w:space="0" w:color="auto"/>
              <w:right w:val="single" w:sz="4" w:space="0" w:color="auto"/>
            </w:tcBorders>
            <w:shd w:val="clear" w:color="auto" w:fill="auto"/>
            <w:hideMark/>
          </w:tcPr>
          <w:p w:rsidR="00C0652D" w:rsidRPr="004761E0" w:rsidRDefault="00525213" w:rsidP="006753D8">
            <w:pPr>
              <w:ind w:firstLineChars="371" w:firstLine="742"/>
              <w:jc w:val="left"/>
              <w:rPr>
                <w:rFonts w:eastAsia="Times New Roman"/>
                <w:color w:val="000000"/>
                <w:sz w:val="20"/>
                <w:szCs w:val="20"/>
                <w:lang w:eastAsia="ru-RU"/>
              </w:rPr>
            </w:pPr>
            <w:r w:rsidRPr="004761E0">
              <w:rPr>
                <w:rFonts w:eastAsia="Times New Roman"/>
                <w:color w:val="000000"/>
                <w:sz w:val="20"/>
                <w:szCs w:val="20"/>
                <w:lang w:eastAsia="ru-RU"/>
              </w:rPr>
              <w:t>заявители, воспользовавшиеся рассрочкой</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0</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-80,40 %</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13</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18</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6</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-64,49 %</w:t>
            </w:r>
          </w:p>
        </w:tc>
      </w:tr>
      <w:tr w:rsidR="00525213" w:rsidRPr="004761E0" w:rsidTr="00525213">
        <w:trPr>
          <w:trHeight w:val="222"/>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213" w:rsidRPr="004761E0" w:rsidRDefault="00525213" w:rsidP="007076A7">
            <w:pPr>
              <w:pStyle w:val="a5"/>
              <w:numPr>
                <w:ilvl w:val="1"/>
                <w:numId w:val="106"/>
              </w:numPr>
              <w:tabs>
                <w:tab w:val="left" w:pos="262"/>
              </w:tabs>
              <w:contextualSpacing w:val="0"/>
              <w:rPr>
                <w:rFonts w:eastAsia="Times New Roman"/>
                <w:color w:val="000000"/>
                <w:sz w:val="20"/>
                <w:szCs w:val="20"/>
                <w:lang w:eastAsia="ru-RU"/>
              </w:rPr>
            </w:pPr>
          </w:p>
        </w:tc>
        <w:tc>
          <w:tcPr>
            <w:tcW w:w="6674" w:type="dxa"/>
            <w:tcBorders>
              <w:top w:val="single" w:sz="4" w:space="0" w:color="auto"/>
              <w:left w:val="nil"/>
              <w:bottom w:val="single" w:sz="4" w:space="0" w:color="auto"/>
              <w:right w:val="single" w:sz="4" w:space="0" w:color="auto"/>
            </w:tcBorders>
            <w:shd w:val="clear" w:color="auto" w:fill="auto"/>
            <w:hideMark/>
          </w:tcPr>
          <w:p w:rsidR="00C0652D" w:rsidRPr="004761E0" w:rsidRDefault="00525213" w:rsidP="006753D8">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свыше 150 кВт и менее 670 кВт</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274</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378</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275</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-27,14 %</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366</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568</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703</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23,81 %</w:t>
            </w:r>
          </w:p>
        </w:tc>
      </w:tr>
      <w:tr w:rsidR="00525213" w:rsidRPr="004761E0" w:rsidTr="00525213">
        <w:trPr>
          <w:trHeight w:val="222"/>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213" w:rsidRPr="004761E0" w:rsidRDefault="00525213" w:rsidP="007076A7">
            <w:pPr>
              <w:pStyle w:val="a5"/>
              <w:numPr>
                <w:ilvl w:val="1"/>
                <w:numId w:val="106"/>
              </w:numPr>
              <w:tabs>
                <w:tab w:val="left" w:pos="262"/>
              </w:tabs>
              <w:contextualSpacing w:val="0"/>
              <w:rPr>
                <w:rFonts w:eastAsia="Times New Roman"/>
                <w:color w:val="000000"/>
                <w:sz w:val="20"/>
                <w:szCs w:val="20"/>
                <w:lang w:eastAsia="ru-RU"/>
              </w:rPr>
            </w:pPr>
          </w:p>
        </w:tc>
        <w:tc>
          <w:tcPr>
            <w:tcW w:w="6674" w:type="dxa"/>
            <w:tcBorders>
              <w:top w:val="single" w:sz="4" w:space="0" w:color="auto"/>
              <w:left w:val="nil"/>
              <w:bottom w:val="single" w:sz="4" w:space="0" w:color="auto"/>
              <w:right w:val="single" w:sz="4" w:space="0" w:color="auto"/>
            </w:tcBorders>
            <w:shd w:val="clear" w:color="auto" w:fill="auto"/>
            <w:hideMark/>
          </w:tcPr>
          <w:p w:rsidR="00C0652D" w:rsidRPr="004761E0" w:rsidRDefault="00525213" w:rsidP="006753D8">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не менее 670 кВт</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2 445</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2 942</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3 122</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6,14 %</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2 100</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3 486</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3 278</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-5,97 %</w:t>
            </w:r>
          </w:p>
        </w:tc>
      </w:tr>
      <w:tr w:rsidR="005902EC" w:rsidRPr="004761E0" w:rsidTr="00525213">
        <w:trPr>
          <w:trHeight w:val="222"/>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652D" w:rsidRPr="004761E0" w:rsidRDefault="00C0652D" w:rsidP="007076A7">
            <w:pPr>
              <w:numPr>
                <w:ilvl w:val="0"/>
                <w:numId w:val="106"/>
              </w:numPr>
              <w:tabs>
                <w:tab w:val="left" w:pos="262"/>
              </w:tabs>
              <w:rPr>
                <w:rFonts w:eastAsia="Times New Roman"/>
                <w:b/>
                <w:color w:val="000000"/>
                <w:sz w:val="20"/>
                <w:szCs w:val="20"/>
                <w:lang w:eastAsia="ru-RU"/>
              </w:rPr>
            </w:pPr>
          </w:p>
        </w:tc>
        <w:tc>
          <w:tcPr>
            <w:tcW w:w="6674" w:type="dxa"/>
            <w:tcBorders>
              <w:top w:val="single" w:sz="4" w:space="0" w:color="auto"/>
              <w:left w:val="nil"/>
              <w:bottom w:val="single" w:sz="4" w:space="0" w:color="auto"/>
              <w:right w:val="single" w:sz="4" w:space="0" w:color="auto"/>
            </w:tcBorders>
            <w:shd w:val="clear" w:color="auto" w:fill="auto"/>
            <w:vAlign w:val="center"/>
            <w:hideMark/>
          </w:tcPr>
          <w:p w:rsidR="005902EC" w:rsidRPr="004761E0" w:rsidRDefault="005902EC" w:rsidP="006753D8">
            <w:pPr>
              <w:ind w:firstLine="0"/>
              <w:jc w:val="left"/>
              <w:rPr>
                <w:rFonts w:eastAsia="Times New Roman"/>
                <w:b/>
                <w:color w:val="000000"/>
                <w:sz w:val="20"/>
                <w:szCs w:val="20"/>
                <w:lang w:eastAsia="ru-RU"/>
              </w:rPr>
            </w:pPr>
            <w:r w:rsidRPr="004761E0">
              <w:rPr>
                <w:rFonts w:eastAsia="Times New Roman"/>
                <w:b/>
                <w:bCs/>
                <w:color w:val="000000"/>
                <w:sz w:val="20"/>
                <w:szCs w:val="20"/>
                <w:lang w:eastAsia="ru-RU"/>
              </w:rPr>
              <w:t>Общее количество заключенных договоров, шт. (всего), в т.ч.:</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902EC" w:rsidRPr="004761E0" w:rsidRDefault="005902EC" w:rsidP="006753D8">
            <w:pPr>
              <w:ind w:firstLine="0"/>
              <w:jc w:val="right"/>
              <w:rPr>
                <w:rFonts w:eastAsia="Times New Roman"/>
                <w:b/>
                <w:sz w:val="20"/>
                <w:szCs w:val="20"/>
                <w:lang w:eastAsia="ru-RU"/>
              </w:rPr>
            </w:pPr>
            <w:r w:rsidRPr="004761E0">
              <w:rPr>
                <w:rFonts w:eastAsia="Times New Roman"/>
                <w:b/>
                <w:bCs/>
                <w:color w:val="000000"/>
                <w:sz w:val="20"/>
                <w:szCs w:val="20"/>
                <w:lang w:eastAsia="ru-RU"/>
              </w:rPr>
              <w:t>3 502</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902EC" w:rsidRPr="004761E0" w:rsidRDefault="005902EC" w:rsidP="006753D8">
            <w:pPr>
              <w:ind w:firstLine="0"/>
              <w:jc w:val="right"/>
              <w:rPr>
                <w:rFonts w:eastAsia="Times New Roman"/>
                <w:b/>
                <w:sz w:val="20"/>
                <w:szCs w:val="20"/>
                <w:lang w:eastAsia="ru-RU"/>
              </w:rPr>
            </w:pPr>
            <w:r w:rsidRPr="004761E0">
              <w:rPr>
                <w:rFonts w:eastAsia="Times New Roman"/>
                <w:b/>
                <w:bCs/>
                <w:color w:val="000000"/>
                <w:sz w:val="20"/>
                <w:szCs w:val="20"/>
                <w:lang w:eastAsia="ru-RU"/>
              </w:rPr>
              <w:t>4 853</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902EC" w:rsidRPr="004761E0" w:rsidRDefault="005902EC" w:rsidP="006753D8">
            <w:pPr>
              <w:ind w:firstLine="0"/>
              <w:jc w:val="right"/>
              <w:rPr>
                <w:rFonts w:eastAsia="Times New Roman"/>
                <w:b/>
                <w:sz w:val="20"/>
                <w:szCs w:val="20"/>
                <w:lang w:eastAsia="ru-RU"/>
              </w:rPr>
            </w:pPr>
            <w:r w:rsidRPr="004761E0">
              <w:rPr>
                <w:rFonts w:eastAsia="Times New Roman"/>
                <w:b/>
                <w:bCs/>
                <w:color w:val="000000"/>
                <w:sz w:val="20"/>
                <w:szCs w:val="20"/>
                <w:lang w:eastAsia="ru-RU"/>
              </w:rPr>
              <w:t>8 598</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5902EC" w:rsidRPr="004761E0" w:rsidRDefault="001A25B0" w:rsidP="006753D8">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77,17 %</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902EC" w:rsidRPr="004761E0" w:rsidRDefault="005902EC" w:rsidP="006753D8">
            <w:pPr>
              <w:ind w:firstLine="0"/>
              <w:jc w:val="right"/>
              <w:rPr>
                <w:rFonts w:eastAsia="Times New Roman"/>
                <w:b/>
                <w:sz w:val="20"/>
                <w:szCs w:val="20"/>
                <w:lang w:eastAsia="ru-RU"/>
              </w:rPr>
            </w:pPr>
            <w:r w:rsidRPr="004761E0">
              <w:rPr>
                <w:rFonts w:eastAsia="Times New Roman"/>
                <w:b/>
                <w:bCs/>
                <w:color w:val="000000"/>
                <w:sz w:val="20"/>
                <w:szCs w:val="20"/>
                <w:lang w:eastAsia="ru-RU"/>
              </w:rPr>
              <w:t>19 388</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902EC" w:rsidRPr="004761E0" w:rsidRDefault="005902EC" w:rsidP="006753D8">
            <w:pPr>
              <w:ind w:firstLine="0"/>
              <w:jc w:val="right"/>
              <w:rPr>
                <w:rFonts w:eastAsia="Times New Roman"/>
                <w:b/>
                <w:sz w:val="20"/>
                <w:szCs w:val="20"/>
                <w:lang w:eastAsia="ru-RU"/>
              </w:rPr>
            </w:pPr>
            <w:r w:rsidRPr="004761E0">
              <w:rPr>
                <w:rFonts w:eastAsia="Times New Roman"/>
                <w:b/>
                <w:bCs/>
                <w:color w:val="000000"/>
                <w:sz w:val="20"/>
                <w:szCs w:val="20"/>
                <w:lang w:eastAsia="ru-RU"/>
              </w:rPr>
              <w:t>32 652</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902EC" w:rsidRPr="004761E0" w:rsidRDefault="005902EC" w:rsidP="006753D8">
            <w:pPr>
              <w:ind w:firstLine="0"/>
              <w:jc w:val="right"/>
              <w:rPr>
                <w:rFonts w:eastAsia="Times New Roman"/>
                <w:b/>
                <w:sz w:val="20"/>
                <w:szCs w:val="20"/>
                <w:lang w:eastAsia="ru-RU"/>
              </w:rPr>
            </w:pPr>
            <w:r w:rsidRPr="004761E0">
              <w:rPr>
                <w:rFonts w:eastAsia="Times New Roman"/>
                <w:b/>
                <w:bCs/>
                <w:color w:val="000000"/>
                <w:sz w:val="20"/>
                <w:szCs w:val="20"/>
                <w:lang w:eastAsia="ru-RU"/>
              </w:rPr>
              <w:t>62 279</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5902EC" w:rsidRPr="004761E0" w:rsidRDefault="001A25B0" w:rsidP="006753D8">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90,74</w:t>
            </w:r>
            <w:r w:rsidR="003A1C23" w:rsidRPr="004761E0">
              <w:rPr>
                <w:rFonts w:eastAsia="Times New Roman"/>
                <w:b/>
                <w:color w:val="000000"/>
                <w:sz w:val="20"/>
                <w:szCs w:val="20"/>
                <w:lang w:eastAsia="ru-RU"/>
              </w:rPr>
              <w:t xml:space="preserve"> </w:t>
            </w:r>
            <w:r w:rsidRPr="004761E0">
              <w:rPr>
                <w:rFonts w:eastAsia="Times New Roman"/>
                <w:b/>
                <w:color w:val="000000"/>
                <w:sz w:val="20"/>
                <w:szCs w:val="20"/>
                <w:lang w:eastAsia="ru-RU"/>
              </w:rPr>
              <w:t>%</w:t>
            </w:r>
          </w:p>
        </w:tc>
      </w:tr>
      <w:tr w:rsidR="00525213" w:rsidRPr="004761E0" w:rsidTr="00525213">
        <w:trPr>
          <w:trHeight w:val="222"/>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213" w:rsidRPr="004761E0" w:rsidRDefault="00525213" w:rsidP="007076A7">
            <w:pPr>
              <w:pStyle w:val="a5"/>
              <w:numPr>
                <w:ilvl w:val="1"/>
                <w:numId w:val="106"/>
              </w:numPr>
              <w:tabs>
                <w:tab w:val="left" w:pos="262"/>
              </w:tabs>
              <w:contextualSpacing w:val="0"/>
              <w:rPr>
                <w:rFonts w:eastAsia="Times New Roman"/>
                <w:color w:val="000000"/>
                <w:sz w:val="20"/>
                <w:szCs w:val="20"/>
                <w:lang w:eastAsia="ru-RU"/>
              </w:rPr>
            </w:pPr>
          </w:p>
        </w:tc>
        <w:tc>
          <w:tcPr>
            <w:tcW w:w="6674" w:type="dxa"/>
            <w:tcBorders>
              <w:top w:val="single" w:sz="4" w:space="0" w:color="auto"/>
              <w:left w:val="nil"/>
              <w:bottom w:val="single" w:sz="4" w:space="0" w:color="auto"/>
              <w:right w:val="single" w:sz="4" w:space="0" w:color="auto"/>
            </w:tcBorders>
            <w:shd w:val="clear" w:color="auto" w:fill="auto"/>
            <w:hideMark/>
          </w:tcPr>
          <w:p w:rsidR="00C0652D" w:rsidRPr="004761E0" w:rsidRDefault="00525213" w:rsidP="006753D8">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до 15 кВт (всего), в т.ч.:</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2 268</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2 442</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5 687</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132,88 %</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18 239</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30 007</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59 086</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96,91 %</w:t>
            </w:r>
          </w:p>
        </w:tc>
      </w:tr>
      <w:tr w:rsidR="00525213" w:rsidRPr="004761E0" w:rsidTr="00525213">
        <w:trPr>
          <w:trHeight w:val="222"/>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652D" w:rsidRPr="004761E0" w:rsidRDefault="00C0652D" w:rsidP="007076A7">
            <w:pPr>
              <w:pStyle w:val="a5"/>
              <w:numPr>
                <w:ilvl w:val="2"/>
                <w:numId w:val="106"/>
              </w:numPr>
              <w:tabs>
                <w:tab w:val="left" w:pos="262"/>
              </w:tabs>
              <w:contextualSpacing w:val="0"/>
              <w:rPr>
                <w:rFonts w:eastAsia="Times New Roman"/>
                <w:color w:val="000000"/>
                <w:sz w:val="20"/>
                <w:szCs w:val="20"/>
                <w:lang w:eastAsia="ru-RU"/>
              </w:rPr>
            </w:pPr>
          </w:p>
        </w:tc>
        <w:tc>
          <w:tcPr>
            <w:tcW w:w="6674" w:type="dxa"/>
            <w:tcBorders>
              <w:top w:val="single" w:sz="4" w:space="0" w:color="auto"/>
              <w:left w:val="nil"/>
              <w:bottom w:val="single" w:sz="4" w:space="0" w:color="auto"/>
              <w:right w:val="single" w:sz="4" w:space="0" w:color="auto"/>
            </w:tcBorders>
            <w:shd w:val="clear" w:color="auto" w:fill="auto"/>
            <w:hideMark/>
          </w:tcPr>
          <w:p w:rsidR="00C0652D" w:rsidRPr="004761E0" w:rsidRDefault="00525213" w:rsidP="006753D8">
            <w:pPr>
              <w:ind w:firstLineChars="371" w:firstLine="742"/>
              <w:jc w:val="left"/>
              <w:rPr>
                <w:rFonts w:eastAsia="Times New Roman"/>
                <w:color w:val="000000"/>
                <w:sz w:val="20"/>
                <w:szCs w:val="20"/>
                <w:lang w:eastAsia="ru-RU"/>
              </w:rPr>
            </w:pPr>
            <w:r w:rsidRPr="004761E0">
              <w:rPr>
                <w:rFonts w:eastAsia="Times New Roman"/>
                <w:color w:val="000000"/>
                <w:sz w:val="20"/>
                <w:szCs w:val="20"/>
                <w:lang w:eastAsia="ru-RU"/>
              </w:rPr>
              <w:t>физические лица до 15 кВт</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369</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230</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2 360</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926,09 %</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16 784</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28 311</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55 555</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96,23 %</w:t>
            </w:r>
          </w:p>
        </w:tc>
      </w:tr>
      <w:tr w:rsidR="00525213" w:rsidRPr="004761E0" w:rsidTr="00525213">
        <w:trPr>
          <w:trHeight w:val="222"/>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213" w:rsidRPr="004761E0" w:rsidRDefault="00525213" w:rsidP="007076A7">
            <w:pPr>
              <w:pStyle w:val="a5"/>
              <w:numPr>
                <w:ilvl w:val="1"/>
                <w:numId w:val="106"/>
              </w:numPr>
              <w:tabs>
                <w:tab w:val="left" w:pos="262"/>
              </w:tabs>
              <w:contextualSpacing w:val="0"/>
              <w:rPr>
                <w:rFonts w:eastAsia="Times New Roman"/>
                <w:color w:val="000000"/>
                <w:sz w:val="20"/>
                <w:szCs w:val="20"/>
                <w:lang w:eastAsia="ru-RU"/>
              </w:rPr>
            </w:pPr>
          </w:p>
        </w:tc>
        <w:tc>
          <w:tcPr>
            <w:tcW w:w="6674" w:type="dxa"/>
            <w:tcBorders>
              <w:top w:val="single" w:sz="4" w:space="0" w:color="auto"/>
              <w:left w:val="nil"/>
              <w:bottom w:val="single" w:sz="4" w:space="0" w:color="auto"/>
              <w:right w:val="single" w:sz="4" w:space="0" w:color="auto"/>
            </w:tcBorders>
            <w:shd w:val="clear" w:color="auto" w:fill="auto"/>
            <w:hideMark/>
          </w:tcPr>
          <w:p w:rsidR="00C0652D" w:rsidRPr="004761E0" w:rsidRDefault="00525213" w:rsidP="006753D8">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свыше 15 кВт и до 150 кВт (всего), в т.ч.:</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794</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1 608</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2 066</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28,48 %</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576</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1 190</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1 801</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51,34 %</w:t>
            </w:r>
          </w:p>
        </w:tc>
      </w:tr>
      <w:tr w:rsidR="00525213" w:rsidRPr="004761E0" w:rsidTr="00525213">
        <w:trPr>
          <w:trHeight w:val="222"/>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652D" w:rsidRPr="004761E0" w:rsidRDefault="00C0652D" w:rsidP="007076A7">
            <w:pPr>
              <w:pStyle w:val="a5"/>
              <w:numPr>
                <w:ilvl w:val="2"/>
                <w:numId w:val="106"/>
              </w:numPr>
              <w:tabs>
                <w:tab w:val="left" w:pos="262"/>
              </w:tabs>
              <w:contextualSpacing w:val="0"/>
              <w:rPr>
                <w:rFonts w:eastAsia="Times New Roman"/>
                <w:color w:val="000000"/>
                <w:sz w:val="20"/>
                <w:szCs w:val="20"/>
                <w:lang w:eastAsia="ru-RU"/>
              </w:rPr>
            </w:pPr>
          </w:p>
        </w:tc>
        <w:tc>
          <w:tcPr>
            <w:tcW w:w="6674" w:type="dxa"/>
            <w:tcBorders>
              <w:top w:val="single" w:sz="4" w:space="0" w:color="auto"/>
              <w:left w:val="nil"/>
              <w:bottom w:val="single" w:sz="4" w:space="0" w:color="auto"/>
              <w:right w:val="single" w:sz="4" w:space="0" w:color="auto"/>
            </w:tcBorders>
            <w:shd w:val="clear" w:color="auto" w:fill="auto"/>
            <w:hideMark/>
          </w:tcPr>
          <w:p w:rsidR="00C0652D" w:rsidRPr="004761E0" w:rsidRDefault="00525213" w:rsidP="006753D8">
            <w:pPr>
              <w:ind w:firstLineChars="371" w:firstLine="742"/>
              <w:jc w:val="left"/>
              <w:rPr>
                <w:rFonts w:eastAsia="Times New Roman"/>
                <w:color w:val="000000"/>
                <w:sz w:val="20"/>
                <w:szCs w:val="20"/>
                <w:lang w:eastAsia="ru-RU"/>
              </w:rPr>
            </w:pPr>
            <w:r w:rsidRPr="004761E0">
              <w:rPr>
                <w:rFonts w:eastAsia="Times New Roman"/>
                <w:color w:val="000000"/>
                <w:sz w:val="20"/>
                <w:szCs w:val="20"/>
                <w:lang w:eastAsia="ru-RU"/>
              </w:rPr>
              <w:t>заявители, воспользовавшиеся рассрочкой</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8</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32</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-93,75 %</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102</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117</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73</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-37,61 %</w:t>
            </w:r>
          </w:p>
        </w:tc>
      </w:tr>
      <w:tr w:rsidR="00525213" w:rsidRPr="004761E0" w:rsidTr="00525213">
        <w:trPr>
          <w:trHeight w:val="222"/>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213" w:rsidRPr="004761E0" w:rsidRDefault="00525213" w:rsidP="007076A7">
            <w:pPr>
              <w:pStyle w:val="a5"/>
              <w:numPr>
                <w:ilvl w:val="1"/>
                <w:numId w:val="106"/>
              </w:numPr>
              <w:tabs>
                <w:tab w:val="left" w:pos="262"/>
              </w:tabs>
              <w:contextualSpacing w:val="0"/>
              <w:rPr>
                <w:rFonts w:eastAsia="Times New Roman"/>
                <w:color w:val="000000"/>
                <w:sz w:val="20"/>
                <w:szCs w:val="20"/>
                <w:lang w:eastAsia="ru-RU"/>
              </w:rPr>
            </w:pPr>
          </w:p>
        </w:tc>
        <w:tc>
          <w:tcPr>
            <w:tcW w:w="6674" w:type="dxa"/>
            <w:tcBorders>
              <w:top w:val="single" w:sz="4" w:space="0" w:color="auto"/>
              <w:left w:val="nil"/>
              <w:bottom w:val="single" w:sz="4" w:space="0" w:color="auto"/>
              <w:right w:val="single" w:sz="4" w:space="0" w:color="auto"/>
            </w:tcBorders>
            <w:shd w:val="clear" w:color="auto" w:fill="auto"/>
            <w:hideMark/>
          </w:tcPr>
          <w:p w:rsidR="00C0652D" w:rsidRPr="004761E0" w:rsidRDefault="00525213" w:rsidP="006753D8">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свыше 150 кВт и менее 670 кВт</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349</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630</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630</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0,00 %</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444</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1 105</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1 090</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-1,36 %</w:t>
            </w:r>
          </w:p>
        </w:tc>
      </w:tr>
      <w:tr w:rsidR="00525213" w:rsidRPr="004761E0" w:rsidTr="00525213">
        <w:trPr>
          <w:trHeight w:val="222"/>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213" w:rsidRPr="004761E0" w:rsidRDefault="00525213" w:rsidP="007076A7">
            <w:pPr>
              <w:pStyle w:val="a5"/>
              <w:numPr>
                <w:ilvl w:val="1"/>
                <w:numId w:val="106"/>
              </w:numPr>
              <w:tabs>
                <w:tab w:val="left" w:pos="262"/>
              </w:tabs>
              <w:contextualSpacing w:val="0"/>
              <w:rPr>
                <w:rFonts w:eastAsia="Times New Roman"/>
                <w:color w:val="000000"/>
                <w:sz w:val="20"/>
                <w:szCs w:val="20"/>
                <w:lang w:eastAsia="ru-RU"/>
              </w:rPr>
            </w:pPr>
          </w:p>
        </w:tc>
        <w:tc>
          <w:tcPr>
            <w:tcW w:w="6674" w:type="dxa"/>
            <w:tcBorders>
              <w:top w:val="single" w:sz="4" w:space="0" w:color="auto"/>
              <w:left w:val="nil"/>
              <w:bottom w:val="single" w:sz="4" w:space="0" w:color="auto"/>
              <w:right w:val="single" w:sz="4" w:space="0" w:color="auto"/>
            </w:tcBorders>
            <w:shd w:val="clear" w:color="auto" w:fill="auto"/>
            <w:hideMark/>
          </w:tcPr>
          <w:p w:rsidR="00C0652D" w:rsidRPr="004761E0" w:rsidRDefault="00525213" w:rsidP="006753D8">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не менее 670 кВт</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91</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173</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215</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24,28 %</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129</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350</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302</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-13,71 %</w:t>
            </w:r>
          </w:p>
        </w:tc>
      </w:tr>
      <w:tr w:rsidR="005902EC" w:rsidRPr="004761E0" w:rsidTr="00525213">
        <w:trPr>
          <w:trHeight w:val="222"/>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652D" w:rsidRPr="004761E0" w:rsidRDefault="00C0652D" w:rsidP="007076A7">
            <w:pPr>
              <w:numPr>
                <w:ilvl w:val="0"/>
                <w:numId w:val="106"/>
              </w:numPr>
              <w:tabs>
                <w:tab w:val="left" w:pos="262"/>
              </w:tabs>
              <w:rPr>
                <w:rFonts w:eastAsia="Times New Roman"/>
                <w:b/>
                <w:color w:val="000000"/>
                <w:sz w:val="20"/>
                <w:szCs w:val="20"/>
                <w:lang w:eastAsia="ru-RU"/>
              </w:rPr>
            </w:pPr>
          </w:p>
        </w:tc>
        <w:tc>
          <w:tcPr>
            <w:tcW w:w="6674" w:type="dxa"/>
            <w:tcBorders>
              <w:top w:val="single" w:sz="4" w:space="0" w:color="auto"/>
              <w:left w:val="nil"/>
              <w:bottom w:val="single" w:sz="4" w:space="0" w:color="auto"/>
              <w:right w:val="single" w:sz="4" w:space="0" w:color="auto"/>
            </w:tcBorders>
            <w:shd w:val="clear" w:color="auto" w:fill="auto"/>
            <w:vAlign w:val="center"/>
            <w:hideMark/>
          </w:tcPr>
          <w:p w:rsidR="005902EC" w:rsidRPr="004761E0" w:rsidRDefault="005902EC" w:rsidP="006753D8">
            <w:pPr>
              <w:ind w:firstLine="0"/>
              <w:jc w:val="left"/>
              <w:rPr>
                <w:rFonts w:eastAsia="Times New Roman"/>
                <w:b/>
                <w:color w:val="000000"/>
                <w:sz w:val="20"/>
                <w:szCs w:val="20"/>
                <w:lang w:eastAsia="ru-RU"/>
              </w:rPr>
            </w:pPr>
            <w:r w:rsidRPr="004761E0">
              <w:rPr>
                <w:rFonts w:eastAsia="Times New Roman"/>
                <w:b/>
                <w:bCs/>
                <w:color w:val="000000"/>
                <w:sz w:val="20"/>
                <w:szCs w:val="20"/>
                <w:lang w:eastAsia="ru-RU"/>
              </w:rPr>
              <w:t>Общая мощность по заключенным договорам, МВт (всего), в т.ч.:</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902EC" w:rsidRPr="004761E0" w:rsidRDefault="005902EC" w:rsidP="006753D8">
            <w:pPr>
              <w:ind w:firstLine="0"/>
              <w:jc w:val="right"/>
              <w:rPr>
                <w:rFonts w:eastAsia="Times New Roman"/>
                <w:b/>
                <w:sz w:val="20"/>
                <w:szCs w:val="20"/>
                <w:lang w:eastAsia="ru-RU"/>
              </w:rPr>
            </w:pPr>
            <w:r w:rsidRPr="004761E0">
              <w:rPr>
                <w:rFonts w:eastAsia="Times New Roman"/>
                <w:b/>
                <w:bCs/>
                <w:color w:val="000000"/>
                <w:sz w:val="20"/>
                <w:szCs w:val="20"/>
                <w:lang w:eastAsia="ru-RU"/>
              </w:rPr>
              <w:t>965</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902EC" w:rsidRPr="004761E0" w:rsidRDefault="005902EC" w:rsidP="006753D8">
            <w:pPr>
              <w:ind w:firstLine="0"/>
              <w:jc w:val="right"/>
              <w:rPr>
                <w:rFonts w:eastAsia="Times New Roman"/>
                <w:b/>
                <w:sz w:val="20"/>
                <w:szCs w:val="20"/>
                <w:lang w:eastAsia="ru-RU"/>
              </w:rPr>
            </w:pPr>
            <w:r w:rsidRPr="004761E0">
              <w:rPr>
                <w:rFonts w:eastAsia="Times New Roman"/>
                <w:b/>
                <w:bCs/>
                <w:color w:val="000000"/>
                <w:sz w:val="20"/>
                <w:szCs w:val="20"/>
                <w:lang w:eastAsia="ru-RU"/>
              </w:rPr>
              <w:t>886</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902EC" w:rsidRPr="004761E0" w:rsidRDefault="005902EC" w:rsidP="006753D8">
            <w:pPr>
              <w:ind w:firstLine="0"/>
              <w:jc w:val="right"/>
              <w:rPr>
                <w:rFonts w:eastAsia="Times New Roman"/>
                <w:b/>
                <w:sz w:val="20"/>
                <w:szCs w:val="20"/>
                <w:lang w:eastAsia="ru-RU"/>
              </w:rPr>
            </w:pPr>
            <w:r w:rsidRPr="004761E0">
              <w:rPr>
                <w:rFonts w:eastAsia="Times New Roman"/>
                <w:b/>
                <w:bCs/>
                <w:color w:val="000000"/>
                <w:sz w:val="20"/>
                <w:szCs w:val="20"/>
                <w:lang w:eastAsia="ru-RU"/>
              </w:rPr>
              <w:t>2 168</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5902EC" w:rsidRPr="004761E0" w:rsidRDefault="001A25B0" w:rsidP="006753D8">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144,72 %</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902EC" w:rsidRPr="004761E0" w:rsidRDefault="005902EC" w:rsidP="006753D8">
            <w:pPr>
              <w:ind w:firstLine="0"/>
              <w:jc w:val="right"/>
              <w:rPr>
                <w:rFonts w:eastAsia="Times New Roman"/>
                <w:b/>
                <w:sz w:val="20"/>
                <w:szCs w:val="20"/>
                <w:lang w:eastAsia="ru-RU"/>
              </w:rPr>
            </w:pPr>
            <w:r w:rsidRPr="004761E0">
              <w:rPr>
                <w:rFonts w:eastAsia="Times New Roman"/>
                <w:b/>
                <w:bCs/>
                <w:color w:val="000000"/>
                <w:sz w:val="20"/>
                <w:szCs w:val="20"/>
                <w:lang w:eastAsia="ru-RU"/>
              </w:rPr>
              <w:t>813</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902EC" w:rsidRPr="004761E0" w:rsidRDefault="005902EC" w:rsidP="006753D8">
            <w:pPr>
              <w:ind w:firstLine="0"/>
              <w:jc w:val="right"/>
              <w:rPr>
                <w:rFonts w:eastAsia="Times New Roman"/>
                <w:b/>
                <w:sz w:val="20"/>
                <w:szCs w:val="20"/>
                <w:lang w:eastAsia="ru-RU"/>
              </w:rPr>
            </w:pPr>
            <w:r w:rsidRPr="004761E0">
              <w:rPr>
                <w:rFonts w:eastAsia="Times New Roman"/>
                <w:b/>
                <w:bCs/>
                <w:color w:val="000000"/>
                <w:sz w:val="20"/>
                <w:szCs w:val="20"/>
                <w:lang w:eastAsia="ru-RU"/>
              </w:rPr>
              <w:t>1 708</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902EC" w:rsidRPr="004761E0" w:rsidRDefault="005902EC" w:rsidP="006753D8">
            <w:pPr>
              <w:ind w:firstLine="0"/>
              <w:jc w:val="right"/>
              <w:rPr>
                <w:rFonts w:eastAsia="Times New Roman"/>
                <w:b/>
                <w:sz w:val="20"/>
                <w:szCs w:val="20"/>
                <w:lang w:eastAsia="ru-RU"/>
              </w:rPr>
            </w:pPr>
            <w:r w:rsidRPr="004761E0">
              <w:rPr>
                <w:rFonts w:eastAsia="Times New Roman"/>
                <w:b/>
                <w:bCs/>
                <w:color w:val="000000"/>
                <w:sz w:val="20"/>
                <w:szCs w:val="20"/>
                <w:lang w:eastAsia="ru-RU"/>
              </w:rPr>
              <w:t>2 286</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5902EC" w:rsidRPr="004761E0" w:rsidRDefault="001A25B0" w:rsidP="006753D8">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33,84</w:t>
            </w:r>
            <w:r w:rsidR="003A1C23" w:rsidRPr="004761E0">
              <w:rPr>
                <w:rFonts w:eastAsia="Times New Roman"/>
                <w:b/>
                <w:color w:val="000000"/>
                <w:sz w:val="20"/>
                <w:szCs w:val="20"/>
                <w:lang w:eastAsia="ru-RU"/>
              </w:rPr>
              <w:t xml:space="preserve"> </w:t>
            </w:r>
            <w:r w:rsidRPr="004761E0">
              <w:rPr>
                <w:rFonts w:eastAsia="Times New Roman"/>
                <w:b/>
                <w:color w:val="000000"/>
                <w:sz w:val="20"/>
                <w:szCs w:val="20"/>
                <w:lang w:eastAsia="ru-RU"/>
              </w:rPr>
              <w:t>%</w:t>
            </w:r>
          </w:p>
        </w:tc>
      </w:tr>
      <w:tr w:rsidR="00525213" w:rsidRPr="004761E0" w:rsidTr="00525213">
        <w:trPr>
          <w:trHeight w:val="222"/>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213" w:rsidRPr="004761E0" w:rsidRDefault="00525213" w:rsidP="007076A7">
            <w:pPr>
              <w:pStyle w:val="a5"/>
              <w:numPr>
                <w:ilvl w:val="1"/>
                <w:numId w:val="106"/>
              </w:numPr>
              <w:tabs>
                <w:tab w:val="left" w:pos="262"/>
              </w:tabs>
              <w:contextualSpacing w:val="0"/>
              <w:rPr>
                <w:rFonts w:eastAsia="Times New Roman"/>
                <w:color w:val="000000"/>
                <w:sz w:val="20"/>
                <w:szCs w:val="20"/>
                <w:lang w:eastAsia="ru-RU"/>
              </w:rPr>
            </w:pPr>
          </w:p>
        </w:tc>
        <w:tc>
          <w:tcPr>
            <w:tcW w:w="6674" w:type="dxa"/>
            <w:tcBorders>
              <w:top w:val="single" w:sz="4" w:space="0" w:color="auto"/>
              <w:left w:val="nil"/>
              <w:bottom w:val="single" w:sz="4" w:space="0" w:color="auto"/>
              <w:right w:val="single" w:sz="4" w:space="0" w:color="auto"/>
            </w:tcBorders>
            <w:shd w:val="clear" w:color="auto" w:fill="auto"/>
            <w:hideMark/>
          </w:tcPr>
          <w:p w:rsidR="00C0652D" w:rsidRPr="004761E0" w:rsidRDefault="00525213" w:rsidP="006753D8">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до 15 кВт (всего), в т.ч.:</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20</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21</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60</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187,57 %</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228</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404</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824</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104,12 %</w:t>
            </w:r>
          </w:p>
        </w:tc>
      </w:tr>
      <w:tr w:rsidR="00525213" w:rsidRPr="004761E0" w:rsidTr="00525213">
        <w:trPr>
          <w:trHeight w:val="222"/>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652D" w:rsidRPr="004761E0" w:rsidRDefault="00C0652D" w:rsidP="007076A7">
            <w:pPr>
              <w:pStyle w:val="a5"/>
              <w:numPr>
                <w:ilvl w:val="2"/>
                <w:numId w:val="106"/>
              </w:numPr>
              <w:tabs>
                <w:tab w:val="left" w:pos="262"/>
              </w:tabs>
              <w:contextualSpacing w:val="0"/>
              <w:rPr>
                <w:rFonts w:eastAsia="Times New Roman"/>
                <w:color w:val="000000"/>
                <w:sz w:val="20"/>
                <w:szCs w:val="20"/>
                <w:lang w:eastAsia="ru-RU"/>
              </w:rPr>
            </w:pPr>
          </w:p>
        </w:tc>
        <w:tc>
          <w:tcPr>
            <w:tcW w:w="6674" w:type="dxa"/>
            <w:tcBorders>
              <w:top w:val="single" w:sz="4" w:space="0" w:color="auto"/>
              <w:left w:val="nil"/>
              <w:bottom w:val="single" w:sz="4" w:space="0" w:color="auto"/>
              <w:right w:val="single" w:sz="4" w:space="0" w:color="auto"/>
            </w:tcBorders>
            <w:shd w:val="clear" w:color="auto" w:fill="auto"/>
            <w:hideMark/>
          </w:tcPr>
          <w:p w:rsidR="00C0652D" w:rsidRPr="004761E0" w:rsidRDefault="00525213" w:rsidP="006753D8">
            <w:pPr>
              <w:ind w:firstLineChars="371" w:firstLine="742"/>
              <w:jc w:val="left"/>
              <w:rPr>
                <w:rFonts w:eastAsia="Times New Roman"/>
                <w:color w:val="000000"/>
                <w:sz w:val="20"/>
                <w:szCs w:val="20"/>
                <w:lang w:eastAsia="ru-RU"/>
              </w:rPr>
            </w:pPr>
            <w:r w:rsidRPr="004761E0">
              <w:rPr>
                <w:rFonts w:eastAsia="Times New Roman"/>
                <w:color w:val="000000"/>
                <w:sz w:val="20"/>
                <w:szCs w:val="20"/>
                <w:lang w:eastAsia="ru-RU"/>
              </w:rPr>
              <w:t>физические лица до 15 кВт</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5</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3</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31</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967,36 %</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212</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385</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780</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102,82 %</w:t>
            </w:r>
          </w:p>
        </w:tc>
      </w:tr>
      <w:tr w:rsidR="00525213" w:rsidRPr="004761E0" w:rsidTr="00525213">
        <w:trPr>
          <w:trHeight w:val="222"/>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213" w:rsidRPr="004761E0" w:rsidRDefault="00525213" w:rsidP="007076A7">
            <w:pPr>
              <w:pStyle w:val="a5"/>
              <w:numPr>
                <w:ilvl w:val="1"/>
                <w:numId w:val="106"/>
              </w:numPr>
              <w:tabs>
                <w:tab w:val="left" w:pos="262"/>
              </w:tabs>
              <w:contextualSpacing w:val="0"/>
              <w:rPr>
                <w:rFonts w:eastAsia="Times New Roman"/>
                <w:color w:val="000000"/>
                <w:sz w:val="20"/>
                <w:szCs w:val="20"/>
                <w:lang w:eastAsia="ru-RU"/>
              </w:rPr>
            </w:pPr>
          </w:p>
        </w:tc>
        <w:tc>
          <w:tcPr>
            <w:tcW w:w="6674" w:type="dxa"/>
            <w:tcBorders>
              <w:top w:val="single" w:sz="4" w:space="0" w:color="auto"/>
              <w:left w:val="nil"/>
              <w:bottom w:val="single" w:sz="4" w:space="0" w:color="auto"/>
              <w:right w:val="single" w:sz="4" w:space="0" w:color="auto"/>
            </w:tcBorders>
            <w:shd w:val="clear" w:color="auto" w:fill="auto"/>
            <w:hideMark/>
          </w:tcPr>
          <w:p w:rsidR="00C0652D" w:rsidRPr="004761E0" w:rsidRDefault="00525213" w:rsidP="006753D8">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свыше 15 кВт и до 150 кВт (всего), в т.ч.:</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38</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81</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126</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55,54 %</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37</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70</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137</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94,17 %</w:t>
            </w:r>
          </w:p>
        </w:tc>
      </w:tr>
      <w:tr w:rsidR="00525213" w:rsidRPr="004761E0" w:rsidTr="00525213">
        <w:trPr>
          <w:trHeight w:val="222"/>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652D" w:rsidRPr="004761E0" w:rsidRDefault="00C0652D" w:rsidP="007076A7">
            <w:pPr>
              <w:pStyle w:val="a5"/>
              <w:numPr>
                <w:ilvl w:val="2"/>
                <w:numId w:val="106"/>
              </w:numPr>
              <w:tabs>
                <w:tab w:val="left" w:pos="262"/>
              </w:tabs>
              <w:contextualSpacing w:val="0"/>
              <w:rPr>
                <w:rFonts w:eastAsia="Times New Roman"/>
                <w:color w:val="000000"/>
                <w:sz w:val="20"/>
                <w:szCs w:val="20"/>
                <w:lang w:eastAsia="ru-RU"/>
              </w:rPr>
            </w:pPr>
          </w:p>
        </w:tc>
        <w:tc>
          <w:tcPr>
            <w:tcW w:w="6674" w:type="dxa"/>
            <w:tcBorders>
              <w:top w:val="single" w:sz="4" w:space="0" w:color="auto"/>
              <w:left w:val="nil"/>
              <w:bottom w:val="single" w:sz="4" w:space="0" w:color="auto"/>
              <w:right w:val="single" w:sz="4" w:space="0" w:color="auto"/>
            </w:tcBorders>
            <w:shd w:val="clear" w:color="auto" w:fill="auto"/>
            <w:hideMark/>
          </w:tcPr>
          <w:p w:rsidR="00C0652D" w:rsidRPr="004761E0" w:rsidRDefault="00525213" w:rsidP="006753D8">
            <w:pPr>
              <w:ind w:firstLineChars="371" w:firstLine="742"/>
              <w:jc w:val="left"/>
              <w:rPr>
                <w:rFonts w:eastAsia="Times New Roman"/>
                <w:color w:val="000000"/>
                <w:sz w:val="20"/>
                <w:szCs w:val="20"/>
                <w:lang w:eastAsia="ru-RU"/>
              </w:rPr>
            </w:pPr>
            <w:r w:rsidRPr="004761E0">
              <w:rPr>
                <w:rFonts w:eastAsia="Times New Roman"/>
                <w:color w:val="000000"/>
                <w:sz w:val="20"/>
                <w:szCs w:val="20"/>
                <w:lang w:eastAsia="ru-RU"/>
              </w:rPr>
              <w:t>заявители, воспользовавшиеся рассрочкой</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4</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0</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-95,23 %</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6</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24</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7</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-70,51 %</w:t>
            </w:r>
          </w:p>
        </w:tc>
      </w:tr>
      <w:tr w:rsidR="00525213" w:rsidRPr="004761E0" w:rsidTr="00525213">
        <w:trPr>
          <w:trHeight w:val="222"/>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213" w:rsidRPr="004761E0" w:rsidRDefault="00525213" w:rsidP="007076A7">
            <w:pPr>
              <w:pStyle w:val="a5"/>
              <w:numPr>
                <w:ilvl w:val="1"/>
                <w:numId w:val="106"/>
              </w:numPr>
              <w:tabs>
                <w:tab w:val="left" w:pos="262"/>
              </w:tabs>
              <w:contextualSpacing w:val="0"/>
              <w:rPr>
                <w:rFonts w:eastAsia="Times New Roman"/>
                <w:color w:val="000000"/>
                <w:sz w:val="20"/>
                <w:szCs w:val="20"/>
                <w:lang w:eastAsia="ru-RU"/>
              </w:rPr>
            </w:pPr>
          </w:p>
        </w:tc>
        <w:tc>
          <w:tcPr>
            <w:tcW w:w="6674" w:type="dxa"/>
            <w:tcBorders>
              <w:top w:val="single" w:sz="4" w:space="0" w:color="auto"/>
              <w:left w:val="nil"/>
              <w:bottom w:val="single" w:sz="4" w:space="0" w:color="auto"/>
              <w:right w:val="single" w:sz="4" w:space="0" w:color="auto"/>
            </w:tcBorders>
            <w:shd w:val="clear" w:color="auto" w:fill="auto"/>
            <w:hideMark/>
          </w:tcPr>
          <w:p w:rsidR="00C0652D" w:rsidRPr="004761E0" w:rsidRDefault="00525213" w:rsidP="006753D8">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свыше 150 кВт и менее 670 кВт</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96</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170</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205</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20,47 %</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142</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332</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394</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18,79 %</w:t>
            </w:r>
          </w:p>
        </w:tc>
      </w:tr>
      <w:tr w:rsidR="00525213" w:rsidRPr="004761E0" w:rsidTr="00525213">
        <w:trPr>
          <w:trHeight w:val="222"/>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213" w:rsidRPr="004761E0" w:rsidRDefault="00525213" w:rsidP="007076A7">
            <w:pPr>
              <w:pStyle w:val="a5"/>
              <w:numPr>
                <w:ilvl w:val="1"/>
                <w:numId w:val="106"/>
              </w:numPr>
              <w:tabs>
                <w:tab w:val="left" w:pos="262"/>
              </w:tabs>
              <w:contextualSpacing w:val="0"/>
              <w:rPr>
                <w:rFonts w:eastAsia="Times New Roman"/>
                <w:color w:val="000000"/>
                <w:sz w:val="20"/>
                <w:szCs w:val="20"/>
                <w:lang w:eastAsia="ru-RU"/>
              </w:rPr>
            </w:pPr>
          </w:p>
        </w:tc>
        <w:tc>
          <w:tcPr>
            <w:tcW w:w="6674" w:type="dxa"/>
            <w:tcBorders>
              <w:top w:val="single" w:sz="4" w:space="0" w:color="auto"/>
              <w:left w:val="nil"/>
              <w:bottom w:val="single" w:sz="4" w:space="0" w:color="auto"/>
              <w:right w:val="single" w:sz="4" w:space="0" w:color="auto"/>
            </w:tcBorders>
            <w:shd w:val="clear" w:color="auto" w:fill="auto"/>
            <w:hideMark/>
          </w:tcPr>
          <w:p w:rsidR="00C0652D" w:rsidRPr="004761E0" w:rsidRDefault="00525213" w:rsidP="006753D8">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не менее 670 кВт</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811</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614</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1 778</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189,40 %</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406</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902</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931</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3,23 %</w:t>
            </w:r>
          </w:p>
        </w:tc>
      </w:tr>
      <w:tr w:rsidR="003A1C23" w:rsidRPr="004761E0" w:rsidTr="00525213">
        <w:trPr>
          <w:trHeight w:val="222"/>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652D" w:rsidRPr="004761E0" w:rsidRDefault="00C0652D" w:rsidP="007076A7">
            <w:pPr>
              <w:numPr>
                <w:ilvl w:val="0"/>
                <w:numId w:val="106"/>
              </w:numPr>
              <w:tabs>
                <w:tab w:val="left" w:pos="262"/>
              </w:tabs>
              <w:rPr>
                <w:rFonts w:eastAsia="Times New Roman"/>
                <w:b/>
                <w:color w:val="000000"/>
                <w:sz w:val="20"/>
                <w:szCs w:val="20"/>
                <w:lang w:eastAsia="ru-RU"/>
              </w:rPr>
            </w:pPr>
          </w:p>
        </w:tc>
        <w:tc>
          <w:tcPr>
            <w:tcW w:w="6674" w:type="dxa"/>
            <w:tcBorders>
              <w:top w:val="single" w:sz="4" w:space="0" w:color="auto"/>
              <w:left w:val="nil"/>
              <w:bottom w:val="single" w:sz="4" w:space="0" w:color="auto"/>
              <w:right w:val="single" w:sz="4" w:space="0" w:color="auto"/>
            </w:tcBorders>
            <w:shd w:val="clear" w:color="auto" w:fill="auto"/>
            <w:vAlign w:val="center"/>
            <w:hideMark/>
          </w:tcPr>
          <w:p w:rsidR="003A1C23" w:rsidRPr="004761E0" w:rsidRDefault="003A1C23" w:rsidP="006753D8">
            <w:pPr>
              <w:ind w:firstLine="0"/>
              <w:jc w:val="left"/>
              <w:rPr>
                <w:rFonts w:eastAsia="Times New Roman"/>
                <w:b/>
                <w:color w:val="000000"/>
                <w:sz w:val="20"/>
                <w:szCs w:val="20"/>
                <w:lang w:eastAsia="ru-RU"/>
              </w:rPr>
            </w:pPr>
            <w:r w:rsidRPr="004761E0">
              <w:rPr>
                <w:rFonts w:eastAsia="Times New Roman"/>
                <w:b/>
                <w:bCs/>
                <w:color w:val="000000"/>
                <w:sz w:val="20"/>
                <w:szCs w:val="20"/>
                <w:lang w:eastAsia="ru-RU"/>
              </w:rPr>
              <w:t>Фактическое присоединение, шт. (всего), в т.ч.:</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A1C23" w:rsidRPr="004761E0" w:rsidRDefault="003A1C23" w:rsidP="006753D8">
            <w:pPr>
              <w:ind w:firstLine="0"/>
              <w:jc w:val="right"/>
              <w:rPr>
                <w:rFonts w:eastAsia="Times New Roman"/>
                <w:b/>
                <w:sz w:val="20"/>
                <w:szCs w:val="20"/>
                <w:lang w:eastAsia="ru-RU"/>
              </w:rPr>
            </w:pPr>
            <w:r w:rsidRPr="004761E0">
              <w:rPr>
                <w:rFonts w:eastAsia="Times New Roman"/>
                <w:b/>
                <w:bCs/>
                <w:color w:val="000000"/>
                <w:sz w:val="20"/>
                <w:szCs w:val="20"/>
                <w:lang w:eastAsia="ru-RU"/>
              </w:rPr>
              <w:t>2 723</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3A1C23" w:rsidRPr="004761E0" w:rsidRDefault="003A1C23" w:rsidP="006753D8">
            <w:pPr>
              <w:ind w:firstLine="0"/>
              <w:jc w:val="right"/>
              <w:rPr>
                <w:rFonts w:eastAsia="Times New Roman"/>
                <w:b/>
                <w:sz w:val="20"/>
                <w:szCs w:val="20"/>
                <w:lang w:eastAsia="ru-RU"/>
              </w:rPr>
            </w:pPr>
            <w:r w:rsidRPr="004761E0">
              <w:rPr>
                <w:rFonts w:eastAsia="Times New Roman"/>
                <w:b/>
                <w:bCs/>
                <w:color w:val="000000"/>
                <w:sz w:val="20"/>
                <w:szCs w:val="20"/>
                <w:lang w:eastAsia="ru-RU"/>
              </w:rPr>
              <w:t>1 746</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3A1C23" w:rsidRPr="004761E0" w:rsidRDefault="003A1C23" w:rsidP="006753D8">
            <w:pPr>
              <w:ind w:firstLine="0"/>
              <w:jc w:val="right"/>
              <w:rPr>
                <w:rFonts w:eastAsia="Times New Roman"/>
                <w:b/>
                <w:sz w:val="20"/>
                <w:szCs w:val="20"/>
                <w:lang w:eastAsia="ru-RU"/>
              </w:rPr>
            </w:pPr>
            <w:r w:rsidRPr="004761E0">
              <w:rPr>
                <w:rFonts w:eastAsia="Times New Roman"/>
                <w:b/>
                <w:bCs/>
                <w:color w:val="000000"/>
                <w:sz w:val="20"/>
                <w:szCs w:val="20"/>
                <w:lang w:eastAsia="ru-RU"/>
              </w:rPr>
              <w:t>3 478</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3A1C23" w:rsidRPr="004761E0" w:rsidRDefault="001A25B0" w:rsidP="006753D8">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99,20 %</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3A1C23" w:rsidRPr="004761E0" w:rsidRDefault="003A1C23" w:rsidP="006753D8">
            <w:pPr>
              <w:ind w:firstLine="0"/>
              <w:jc w:val="right"/>
              <w:rPr>
                <w:rFonts w:eastAsia="Times New Roman"/>
                <w:b/>
                <w:sz w:val="20"/>
                <w:szCs w:val="20"/>
                <w:lang w:eastAsia="ru-RU"/>
              </w:rPr>
            </w:pPr>
            <w:r w:rsidRPr="004761E0">
              <w:rPr>
                <w:rFonts w:eastAsia="Times New Roman"/>
                <w:b/>
                <w:bCs/>
                <w:color w:val="000000"/>
                <w:sz w:val="20"/>
                <w:szCs w:val="20"/>
                <w:lang w:eastAsia="ru-RU"/>
              </w:rPr>
              <w:t>11 977</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3A1C23" w:rsidRPr="004761E0" w:rsidRDefault="003A1C23" w:rsidP="006753D8">
            <w:pPr>
              <w:ind w:firstLine="0"/>
              <w:jc w:val="right"/>
              <w:rPr>
                <w:rFonts w:eastAsia="Times New Roman"/>
                <w:b/>
                <w:sz w:val="20"/>
                <w:szCs w:val="20"/>
                <w:lang w:eastAsia="ru-RU"/>
              </w:rPr>
            </w:pPr>
            <w:r w:rsidRPr="004761E0">
              <w:rPr>
                <w:rFonts w:eastAsia="Times New Roman"/>
                <w:b/>
                <w:bCs/>
                <w:color w:val="000000"/>
                <w:sz w:val="20"/>
                <w:szCs w:val="20"/>
                <w:lang w:eastAsia="ru-RU"/>
              </w:rPr>
              <w:t>15 159</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3A1C23" w:rsidRPr="004761E0" w:rsidRDefault="003A1C23" w:rsidP="006753D8">
            <w:pPr>
              <w:ind w:firstLine="0"/>
              <w:jc w:val="right"/>
              <w:rPr>
                <w:rFonts w:eastAsia="Times New Roman"/>
                <w:b/>
                <w:sz w:val="20"/>
                <w:szCs w:val="20"/>
                <w:lang w:eastAsia="ru-RU"/>
              </w:rPr>
            </w:pPr>
            <w:r w:rsidRPr="004761E0">
              <w:rPr>
                <w:rFonts w:eastAsia="Times New Roman"/>
                <w:b/>
                <w:bCs/>
                <w:color w:val="000000"/>
                <w:sz w:val="20"/>
                <w:szCs w:val="20"/>
                <w:lang w:eastAsia="ru-RU"/>
              </w:rPr>
              <w:t>31 381</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3A1C23" w:rsidRPr="004761E0" w:rsidRDefault="001A25B0" w:rsidP="006753D8">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107,01</w:t>
            </w:r>
            <w:r w:rsidR="003A1C23" w:rsidRPr="004761E0">
              <w:rPr>
                <w:rFonts w:eastAsia="Times New Roman"/>
                <w:b/>
                <w:color w:val="000000"/>
                <w:sz w:val="20"/>
                <w:szCs w:val="20"/>
                <w:lang w:eastAsia="ru-RU"/>
              </w:rPr>
              <w:t xml:space="preserve"> </w:t>
            </w:r>
            <w:r w:rsidRPr="004761E0">
              <w:rPr>
                <w:rFonts w:eastAsia="Times New Roman"/>
                <w:b/>
                <w:color w:val="000000"/>
                <w:sz w:val="20"/>
                <w:szCs w:val="20"/>
                <w:lang w:eastAsia="ru-RU"/>
              </w:rPr>
              <w:t>%</w:t>
            </w:r>
          </w:p>
        </w:tc>
      </w:tr>
      <w:tr w:rsidR="00525213" w:rsidRPr="004761E0" w:rsidTr="00525213">
        <w:trPr>
          <w:trHeight w:val="222"/>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213" w:rsidRPr="004761E0" w:rsidRDefault="00525213" w:rsidP="007076A7">
            <w:pPr>
              <w:pStyle w:val="a5"/>
              <w:numPr>
                <w:ilvl w:val="1"/>
                <w:numId w:val="106"/>
              </w:numPr>
              <w:tabs>
                <w:tab w:val="left" w:pos="262"/>
              </w:tabs>
              <w:contextualSpacing w:val="0"/>
              <w:rPr>
                <w:rFonts w:eastAsia="Times New Roman"/>
                <w:color w:val="000000"/>
                <w:sz w:val="20"/>
                <w:szCs w:val="20"/>
                <w:lang w:eastAsia="ru-RU"/>
              </w:rPr>
            </w:pPr>
          </w:p>
        </w:tc>
        <w:tc>
          <w:tcPr>
            <w:tcW w:w="6674" w:type="dxa"/>
            <w:tcBorders>
              <w:top w:val="single" w:sz="4" w:space="0" w:color="auto"/>
              <w:left w:val="nil"/>
              <w:bottom w:val="single" w:sz="4" w:space="0" w:color="auto"/>
              <w:right w:val="single" w:sz="4" w:space="0" w:color="auto"/>
            </w:tcBorders>
            <w:shd w:val="clear" w:color="auto" w:fill="auto"/>
            <w:hideMark/>
          </w:tcPr>
          <w:p w:rsidR="00C0652D" w:rsidRPr="004761E0" w:rsidRDefault="00525213" w:rsidP="006753D8">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до 15 кВт (всего), в т.ч.:</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2 077</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1 027</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2 177</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111,98 %</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11 052</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14 219</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29 641</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108,46 %</w:t>
            </w:r>
          </w:p>
        </w:tc>
      </w:tr>
      <w:tr w:rsidR="00525213" w:rsidRPr="004761E0" w:rsidTr="00525213">
        <w:trPr>
          <w:trHeight w:val="222"/>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652D" w:rsidRPr="004761E0" w:rsidRDefault="00C0652D" w:rsidP="007076A7">
            <w:pPr>
              <w:pStyle w:val="a5"/>
              <w:numPr>
                <w:ilvl w:val="2"/>
                <w:numId w:val="106"/>
              </w:numPr>
              <w:tabs>
                <w:tab w:val="left" w:pos="262"/>
              </w:tabs>
              <w:contextualSpacing w:val="0"/>
              <w:rPr>
                <w:rFonts w:eastAsia="Times New Roman"/>
                <w:color w:val="000000"/>
                <w:sz w:val="20"/>
                <w:szCs w:val="20"/>
                <w:lang w:eastAsia="ru-RU"/>
              </w:rPr>
            </w:pPr>
          </w:p>
        </w:tc>
        <w:tc>
          <w:tcPr>
            <w:tcW w:w="6674" w:type="dxa"/>
            <w:tcBorders>
              <w:top w:val="single" w:sz="4" w:space="0" w:color="auto"/>
              <w:left w:val="nil"/>
              <w:bottom w:val="single" w:sz="4" w:space="0" w:color="auto"/>
              <w:right w:val="single" w:sz="4" w:space="0" w:color="auto"/>
            </w:tcBorders>
            <w:shd w:val="clear" w:color="auto" w:fill="auto"/>
            <w:hideMark/>
          </w:tcPr>
          <w:p w:rsidR="00C0652D" w:rsidRPr="004761E0" w:rsidRDefault="00525213" w:rsidP="006753D8">
            <w:pPr>
              <w:ind w:firstLineChars="371" w:firstLine="742"/>
              <w:jc w:val="left"/>
              <w:rPr>
                <w:rFonts w:eastAsia="Times New Roman"/>
                <w:color w:val="000000"/>
                <w:sz w:val="20"/>
                <w:szCs w:val="20"/>
                <w:lang w:eastAsia="ru-RU"/>
              </w:rPr>
            </w:pPr>
            <w:r w:rsidRPr="004761E0">
              <w:rPr>
                <w:rFonts w:eastAsia="Times New Roman"/>
                <w:color w:val="000000"/>
                <w:sz w:val="20"/>
                <w:szCs w:val="20"/>
                <w:lang w:eastAsia="ru-RU"/>
              </w:rPr>
              <w:t>физические лица до 15 кВт</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565</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74</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701</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847,30 %</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10 150</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13 321</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28 098</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110,93 %</w:t>
            </w:r>
          </w:p>
        </w:tc>
      </w:tr>
      <w:tr w:rsidR="00525213" w:rsidRPr="004761E0" w:rsidTr="00525213">
        <w:trPr>
          <w:trHeight w:val="222"/>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213" w:rsidRPr="004761E0" w:rsidRDefault="00525213" w:rsidP="007076A7">
            <w:pPr>
              <w:pStyle w:val="a5"/>
              <w:numPr>
                <w:ilvl w:val="1"/>
                <w:numId w:val="106"/>
              </w:numPr>
              <w:tabs>
                <w:tab w:val="left" w:pos="262"/>
              </w:tabs>
              <w:contextualSpacing w:val="0"/>
              <w:rPr>
                <w:rFonts w:eastAsia="Times New Roman"/>
                <w:color w:val="000000"/>
                <w:sz w:val="20"/>
                <w:szCs w:val="20"/>
                <w:lang w:eastAsia="ru-RU"/>
              </w:rPr>
            </w:pPr>
          </w:p>
        </w:tc>
        <w:tc>
          <w:tcPr>
            <w:tcW w:w="6674" w:type="dxa"/>
            <w:tcBorders>
              <w:top w:val="single" w:sz="4" w:space="0" w:color="auto"/>
              <w:left w:val="nil"/>
              <w:bottom w:val="single" w:sz="4" w:space="0" w:color="auto"/>
              <w:right w:val="single" w:sz="4" w:space="0" w:color="auto"/>
            </w:tcBorders>
            <w:shd w:val="clear" w:color="auto" w:fill="auto"/>
            <w:hideMark/>
          </w:tcPr>
          <w:p w:rsidR="00C0652D" w:rsidRPr="004761E0" w:rsidRDefault="00525213" w:rsidP="006753D8">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свыше 15 кВт и до 150 кВт (всего), в т.ч.:</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277</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394</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982</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149,24 %</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410</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468</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1 068</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128,21 %</w:t>
            </w:r>
          </w:p>
        </w:tc>
      </w:tr>
      <w:tr w:rsidR="00525213" w:rsidRPr="004761E0" w:rsidTr="00525213">
        <w:trPr>
          <w:trHeight w:val="222"/>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213" w:rsidRPr="004761E0" w:rsidRDefault="00525213" w:rsidP="007076A7">
            <w:pPr>
              <w:pStyle w:val="a5"/>
              <w:numPr>
                <w:ilvl w:val="1"/>
                <w:numId w:val="106"/>
              </w:numPr>
              <w:tabs>
                <w:tab w:val="left" w:pos="262"/>
              </w:tabs>
              <w:contextualSpacing w:val="0"/>
              <w:rPr>
                <w:rFonts w:eastAsia="Times New Roman"/>
                <w:color w:val="000000"/>
                <w:sz w:val="20"/>
                <w:szCs w:val="20"/>
                <w:lang w:eastAsia="ru-RU"/>
              </w:rPr>
            </w:pPr>
          </w:p>
        </w:tc>
        <w:tc>
          <w:tcPr>
            <w:tcW w:w="6674" w:type="dxa"/>
            <w:tcBorders>
              <w:top w:val="single" w:sz="4" w:space="0" w:color="auto"/>
              <w:left w:val="nil"/>
              <w:bottom w:val="single" w:sz="4" w:space="0" w:color="auto"/>
              <w:right w:val="single" w:sz="4" w:space="0" w:color="auto"/>
            </w:tcBorders>
            <w:shd w:val="clear" w:color="auto" w:fill="auto"/>
            <w:hideMark/>
          </w:tcPr>
          <w:p w:rsidR="00C0652D" w:rsidRPr="004761E0" w:rsidRDefault="00525213" w:rsidP="006753D8">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заявители, воспользовавшиеся рассрочкой</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9</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7</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-71,43 %</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206</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293</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15</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-94,88 %</w:t>
            </w:r>
          </w:p>
        </w:tc>
      </w:tr>
      <w:tr w:rsidR="00525213" w:rsidRPr="004761E0" w:rsidTr="00525213">
        <w:trPr>
          <w:trHeight w:val="222"/>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C0652D" w:rsidRPr="004761E0" w:rsidRDefault="00C0652D" w:rsidP="007076A7">
            <w:pPr>
              <w:pStyle w:val="a5"/>
              <w:numPr>
                <w:ilvl w:val="2"/>
                <w:numId w:val="106"/>
              </w:numPr>
              <w:tabs>
                <w:tab w:val="left" w:pos="262"/>
              </w:tabs>
              <w:contextualSpacing w:val="0"/>
              <w:rPr>
                <w:rFonts w:eastAsia="Times New Roman"/>
                <w:color w:val="000000"/>
                <w:sz w:val="20"/>
                <w:szCs w:val="20"/>
                <w:lang w:eastAsia="ru-RU"/>
              </w:rPr>
            </w:pPr>
          </w:p>
        </w:tc>
        <w:tc>
          <w:tcPr>
            <w:tcW w:w="6674" w:type="dxa"/>
            <w:tcBorders>
              <w:top w:val="nil"/>
              <w:left w:val="nil"/>
              <w:bottom w:val="single" w:sz="4" w:space="0" w:color="auto"/>
              <w:right w:val="single" w:sz="4" w:space="0" w:color="auto"/>
            </w:tcBorders>
            <w:shd w:val="clear" w:color="auto" w:fill="auto"/>
            <w:hideMark/>
          </w:tcPr>
          <w:p w:rsidR="00C0652D" w:rsidRPr="004761E0" w:rsidRDefault="00525213" w:rsidP="006753D8">
            <w:pPr>
              <w:ind w:firstLineChars="371" w:firstLine="742"/>
              <w:jc w:val="left"/>
              <w:rPr>
                <w:rFonts w:eastAsia="Times New Roman"/>
                <w:color w:val="000000"/>
                <w:sz w:val="20"/>
                <w:szCs w:val="20"/>
                <w:lang w:eastAsia="ru-RU"/>
              </w:rPr>
            </w:pPr>
            <w:r w:rsidRPr="004761E0">
              <w:rPr>
                <w:rFonts w:eastAsia="Times New Roman"/>
                <w:color w:val="000000"/>
                <w:sz w:val="20"/>
                <w:szCs w:val="20"/>
                <w:lang w:eastAsia="ru-RU"/>
              </w:rPr>
              <w:t>свыше 150 кВт и менее 670 кВт</w:t>
            </w:r>
          </w:p>
        </w:tc>
        <w:tc>
          <w:tcPr>
            <w:tcW w:w="851"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265</w:t>
            </w:r>
          </w:p>
        </w:tc>
        <w:tc>
          <w:tcPr>
            <w:tcW w:w="852"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241</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225</w:t>
            </w:r>
          </w:p>
        </w:tc>
        <w:tc>
          <w:tcPr>
            <w:tcW w:w="1136"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-6,64 %</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395</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360</w:t>
            </w:r>
          </w:p>
        </w:tc>
        <w:tc>
          <w:tcPr>
            <w:tcW w:w="852"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495</w:t>
            </w:r>
          </w:p>
        </w:tc>
        <w:tc>
          <w:tcPr>
            <w:tcW w:w="1083"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37,50 %</w:t>
            </w:r>
          </w:p>
        </w:tc>
      </w:tr>
      <w:tr w:rsidR="00525213" w:rsidRPr="004761E0" w:rsidTr="00525213">
        <w:trPr>
          <w:trHeight w:val="222"/>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525213" w:rsidRPr="004761E0" w:rsidRDefault="00525213" w:rsidP="007076A7">
            <w:pPr>
              <w:pStyle w:val="a5"/>
              <w:numPr>
                <w:ilvl w:val="1"/>
                <w:numId w:val="106"/>
              </w:numPr>
              <w:tabs>
                <w:tab w:val="left" w:pos="262"/>
              </w:tabs>
              <w:contextualSpacing w:val="0"/>
              <w:rPr>
                <w:rFonts w:eastAsia="Times New Roman"/>
                <w:color w:val="000000"/>
                <w:sz w:val="20"/>
                <w:szCs w:val="20"/>
                <w:lang w:eastAsia="ru-RU"/>
              </w:rPr>
            </w:pPr>
          </w:p>
        </w:tc>
        <w:tc>
          <w:tcPr>
            <w:tcW w:w="6674" w:type="dxa"/>
            <w:tcBorders>
              <w:top w:val="nil"/>
              <w:left w:val="nil"/>
              <w:bottom w:val="single" w:sz="4" w:space="0" w:color="auto"/>
              <w:right w:val="single" w:sz="4" w:space="0" w:color="auto"/>
            </w:tcBorders>
            <w:shd w:val="clear" w:color="auto" w:fill="auto"/>
            <w:hideMark/>
          </w:tcPr>
          <w:p w:rsidR="00C0652D" w:rsidRPr="004761E0" w:rsidRDefault="00525213" w:rsidP="006753D8">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не менее 670 кВт</w:t>
            </w:r>
          </w:p>
        </w:tc>
        <w:tc>
          <w:tcPr>
            <w:tcW w:w="851"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104</w:t>
            </w:r>
          </w:p>
        </w:tc>
        <w:tc>
          <w:tcPr>
            <w:tcW w:w="852"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84</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94</w:t>
            </w:r>
          </w:p>
        </w:tc>
        <w:tc>
          <w:tcPr>
            <w:tcW w:w="1136"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11,90 %</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120</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112</w:t>
            </w:r>
          </w:p>
        </w:tc>
        <w:tc>
          <w:tcPr>
            <w:tcW w:w="852"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177</w:t>
            </w:r>
          </w:p>
        </w:tc>
        <w:tc>
          <w:tcPr>
            <w:tcW w:w="1083"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58,04 %</w:t>
            </w:r>
          </w:p>
        </w:tc>
      </w:tr>
      <w:tr w:rsidR="003A1C23" w:rsidRPr="004761E0" w:rsidTr="00525213">
        <w:trPr>
          <w:trHeight w:val="222"/>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C0652D" w:rsidRPr="004761E0" w:rsidRDefault="00C0652D" w:rsidP="007076A7">
            <w:pPr>
              <w:numPr>
                <w:ilvl w:val="0"/>
                <w:numId w:val="106"/>
              </w:numPr>
              <w:tabs>
                <w:tab w:val="left" w:pos="262"/>
              </w:tabs>
              <w:rPr>
                <w:rFonts w:eastAsia="Times New Roman"/>
                <w:b/>
                <w:color w:val="000000"/>
                <w:sz w:val="20"/>
                <w:szCs w:val="20"/>
                <w:lang w:eastAsia="ru-RU"/>
              </w:rPr>
            </w:pPr>
          </w:p>
        </w:tc>
        <w:tc>
          <w:tcPr>
            <w:tcW w:w="6674" w:type="dxa"/>
            <w:tcBorders>
              <w:top w:val="nil"/>
              <w:left w:val="nil"/>
              <w:bottom w:val="single" w:sz="4" w:space="0" w:color="auto"/>
              <w:right w:val="single" w:sz="4" w:space="0" w:color="auto"/>
            </w:tcBorders>
            <w:shd w:val="clear" w:color="auto" w:fill="auto"/>
            <w:vAlign w:val="center"/>
            <w:hideMark/>
          </w:tcPr>
          <w:p w:rsidR="003A1C23" w:rsidRPr="004761E0" w:rsidRDefault="003A1C23" w:rsidP="006753D8">
            <w:pPr>
              <w:ind w:firstLine="0"/>
              <w:jc w:val="left"/>
              <w:rPr>
                <w:rFonts w:eastAsia="Times New Roman"/>
                <w:b/>
                <w:color w:val="000000"/>
                <w:sz w:val="20"/>
                <w:szCs w:val="20"/>
                <w:lang w:eastAsia="ru-RU"/>
              </w:rPr>
            </w:pPr>
            <w:r w:rsidRPr="004761E0">
              <w:rPr>
                <w:rFonts w:eastAsia="Times New Roman"/>
                <w:b/>
                <w:bCs/>
                <w:color w:val="000000"/>
                <w:sz w:val="20"/>
                <w:szCs w:val="20"/>
                <w:lang w:eastAsia="ru-RU"/>
              </w:rPr>
              <w:t xml:space="preserve">Фактически присоединенная мощность, МВт (всего), в т.ч.: </w:t>
            </w:r>
          </w:p>
        </w:tc>
        <w:tc>
          <w:tcPr>
            <w:tcW w:w="851" w:type="dxa"/>
            <w:tcBorders>
              <w:top w:val="nil"/>
              <w:left w:val="nil"/>
              <w:bottom w:val="single" w:sz="4" w:space="0" w:color="auto"/>
              <w:right w:val="single" w:sz="4" w:space="0" w:color="auto"/>
            </w:tcBorders>
            <w:shd w:val="clear" w:color="auto" w:fill="auto"/>
            <w:vAlign w:val="center"/>
            <w:hideMark/>
          </w:tcPr>
          <w:p w:rsidR="003A1C23" w:rsidRPr="004761E0" w:rsidRDefault="003A1C23" w:rsidP="006753D8">
            <w:pPr>
              <w:ind w:firstLine="0"/>
              <w:jc w:val="right"/>
              <w:rPr>
                <w:rFonts w:eastAsia="Times New Roman"/>
                <w:b/>
                <w:sz w:val="20"/>
                <w:szCs w:val="20"/>
                <w:lang w:eastAsia="ru-RU"/>
              </w:rPr>
            </w:pPr>
            <w:r w:rsidRPr="004761E0">
              <w:rPr>
                <w:rFonts w:eastAsia="Times New Roman"/>
                <w:b/>
                <w:bCs/>
                <w:color w:val="000000"/>
                <w:sz w:val="20"/>
                <w:szCs w:val="20"/>
                <w:lang w:eastAsia="ru-RU"/>
              </w:rPr>
              <w:t>353</w:t>
            </w:r>
          </w:p>
        </w:tc>
        <w:tc>
          <w:tcPr>
            <w:tcW w:w="852" w:type="dxa"/>
            <w:tcBorders>
              <w:top w:val="nil"/>
              <w:left w:val="nil"/>
              <w:bottom w:val="single" w:sz="4" w:space="0" w:color="auto"/>
              <w:right w:val="single" w:sz="4" w:space="0" w:color="auto"/>
            </w:tcBorders>
            <w:shd w:val="clear" w:color="auto" w:fill="auto"/>
            <w:vAlign w:val="center"/>
            <w:hideMark/>
          </w:tcPr>
          <w:p w:rsidR="003A1C23" w:rsidRPr="004761E0" w:rsidRDefault="003A1C23" w:rsidP="006753D8">
            <w:pPr>
              <w:ind w:firstLine="0"/>
              <w:jc w:val="right"/>
              <w:rPr>
                <w:rFonts w:eastAsia="Times New Roman"/>
                <w:b/>
                <w:sz w:val="20"/>
                <w:szCs w:val="20"/>
                <w:lang w:eastAsia="ru-RU"/>
              </w:rPr>
            </w:pPr>
            <w:r w:rsidRPr="004761E0">
              <w:rPr>
                <w:rFonts w:eastAsia="Times New Roman"/>
                <w:b/>
                <w:bCs/>
                <w:color w:val="000000"/>
                <w:sz w:val="20"/>
                <w:szCs w:val="20"/>
                <w:lang w:eastAsia="ru-RU"/>
              </w:rPr>
              <w:t>345</w:t>
            </w:r>
          </w:p>
        </w:tc>
        <w:tc>
          <w:tcPr>
            <w:tcW w:w="994" w:type="dxa"/>
            <w:tcBorders>
              <w:top w:val="nil"/>
              <w:left w:val="nil"/>
              <w:bottom w:val="single" w:sz="4" w:space="0" w:color="auto"/>
              <w:right w:val="single" w:sz="4" w:space="0" w:color="auto"/>
            </w:tcBorders>
            <w:shd w:val="clear" w:color="auto" w:fill="auto"/>
            <w:vAlign w:val="center"/>
            <w:hideMark/>
          </w:tcPr>
          <w:p w:rsidR="003A1C23" w:rsidRPr="004761E0" w:rsidRDefault="003A1C23" w:rsidP="006753D8">
            <w:pPr>
              <w:ind w:firstLine="0"/>
              <w:jc w:val="right"/>
              <w:rPr>
                <w:rFonts w:eastAsia="Times New Roman"/>
                <w:b/>
                <w:sz w:val="20"/>
                <w:szCs w:val="20"/>
                <w:lang w:eastAsia="ru-RU"/>
              </w:rPr>
            </w:pPr>
            <w:r w:rsidRPr="004761E0">
              <w:rPr>
                <w:rFonts w:eastAsia="Times New Roman"/>
                <w:b/>
                <w:bCs/>
                <w:color w:val="000000"/>
                <w:sz w:val="20"/>
                <w:szCs w:val="20"/>
                <w:lang w:eastAsia="ru-RU"/>
              </w:rPr>
              <w:t>401</w:t>
            </w:r>
          </w:p>
        </w:tc>
        <w:tc>
          <w:tcPr>
            <w:tcW w:w="1136" w:type="dxa"/>
            <w:tcBorders>
              <w:top w:val="nil"/>
              <w:left w:val="nil"/>
              <w:bottom w:val="single" w:sz="4" w:space="0" w:color="auto"/>
              <w:right w:val="single" w:sz="4" w:space="0" w:color="auto"/>
            </w:tcBorders>
            <w:shd w:val="clear" w:color="auto" w:fill="auto"/>
            <w:vAlign w:val="center"/>
            <w:hideMark/>
          </w:tcPr>
          <w:p w:rsidR="003A1C23" w:rsidRPr="004761E0" w:rsidRDefault="001A25B0" w:rsidP="006753D8">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16,15 %</w:t>
            </w:r>
          </w:p>
        </w:tc>
        <w:tc>
          <w:tcPr>
            <w:tcW w:w="994" w:type="dxa"/>
            <w:tcBorders>
              <w:top w:val="nil"/>
              <w:left w:val="nil"/>
              <w:bottom w:val="single" w:sz="4" w:space="0" w:color="auto"/>
              <w:right w:val="single" w:sz="4" w:space="0" w:color="auto"/>
            </w:tcBorders>
            <w:shd w:val="clear" w:color="auto" w:fill="auto"/>
            <w:vAlign w:val="center"/>
            <w:hideMark/>
          </w:tcPr>
          <w:p w:rsidR="003A1C23" w:rsidRPr="004761E0" w:rsidRDefault="003A1C23" w:rsidP="00440B45">
            <w:pPr>
              <w:ind w:firstLine="0"/>
              <w:jc w:val="right"/>
              <w:rPr>
                <w:rFonts w:eastAsia="Times New Roman"/>
                <w:b/>
                <w:sz w:val="20"/>
                <w:szCs w:val="20"/>
                <w:lang w:eastAsia="ru-RU"/>
              </w:rPr>
            </w:pPr>
            <w:r w:rsidRPr="004761E0">
              <w:rPr>
                <w:rFonts w:eastAsia="Times New Roman"/>
                <w:b/>
                <w:bCs/>
                <w:color w:val="000000"/>
                <w:sz w:val="20"/>
                <w:szCs w:val="20"/>
                <w:lang w:eastAsia="ru-RU"/>
              </w:rPr>
              <w:t>56</w:t>
            </w:r>
            <w:r w:rsidR="00440B45">
              <w:rPr>
                <w:rFonts w:eastAsia="Times New Roman"/>
                <w:b/>
                <w:bCs/>
                <w:color w:val="000000"/>
                <w:sz w:val="20"/>
                <w:szCs w:val="20"/>
                <w:lang w:eastAsia="ru-RU"/>
              </w:rPr>
              <w:t>3</w:t>
            </w:r>
          </w:p>
        </w:tc>
        <w:tc>
          <w:tcPr>
            <w:tcW w:w="994" w:type="dxa"/>
            <w:tcBorders>
              <w:top w:val="nil"/>
              <w:left w:val="nil"/>
              <w:bottom w:val="single" w:sz="4" w:space="0" w:color="auto"/>
              <w:right w:val="single" w:sz="4" w:space="0" w:color="auto"/>
            </w:tcBorders>
            <w:shd w:val="clear" w:color="auto" w:fill="auto"/>
            <w:vAlign w:val="center"/>
            <w:hideMark/>
          </w:tcPr>
          <w:p w:rsidR="003A1C23" w:rsidRPr="004761E0" w:rsidRDefault="003A1C23" w:rsidP="006753D8">
            <w:pPr>
              <w:ind w:firstLine="0"/>
              <w:jc w:val="right"/>
              <w:rPr>
                <w:rFonts w:eastAsia="Times New Roman"/>
                <w:b/>
                <w:sz w:val="20"/>
                <w:szCs w:val="20"/>
                <w:lang w:eastAsia="ru-RU"/>
              </w:rPr>
            </w:pPr>
            <w:r w:rsidRPr="004761E0">
              <w:rPr>
                <w:rFonts w:eastAsia="Times New Roman"/>
                <w:b/>
                <w:bCs/>
                <w:color w:val="000000"/>
                <w:sz w:val="20"/>
                <w:szCs w:val="20"/>
                <w:lang w:eastAsia="ru-RU"/>
              </w:rPr>
              <w:t>1 076</w:t>
            </w:r>
          </w:p>
        </w:tc>
        <w:tc>
          <w:tcPr>
            <w:tcW w:w="852" w:type="dxa"/>
            <w:tcBorders>
              <w:top w:val="nil"/>
              <w:left w:val="nil"/>
              <w:bottom w:val="single" w:sz="4" w:space="0" w:color="auto"/>
              <w:right w:val="single" w:sz="4" w:space="0" w:color="auto"/>
            </w:tcBorders>
            <w:shd w:val="clear" w:color="auto" w:fill="auto"/>
            <w:vAlign w:val="center"/>
            <w:hideMark/>
          </w:tcPr>
          <w:p w:rsidR="003A1C23" w:rsidRPr="004761E0" w:rsidRDefault="003A1C23" w:rsidP="006753D8">
            <w:pPr>
              <w:ind w:firstLine="0"/>
              <w:jc w:val="right"/>
              <w:rPr>
                <w:rFonts w:eastAsia="Times New Roman"/>
                <w:b/>
                <w:sz w:val="20"/>
                <w:szCs w:val="20"/>
                <w:lang w:eastAsia="ru-RU"/>
              </w:rPr>
            </w:pPr>
            <w:r w:rsidRPr="004761E0">
              <w:rPr>
                <w:rFonts w:eastAsia="Times New Roman"/>
                <w:b/>
                <w:bCs/>
                <w:color w:val="000000"/>
                <w:sz w:val="20"/>
                <w:szCs w:val="20"/>
                <w:lang w:eastAsia="ru-RU"/>
              </w:rPr>
              <w:t>1 130</w:t>
            </w:r>
          </w:p>
        </w:tc>
        <w:tc>
          <w:tcPr>
            <w:tcW w:w="1083" w:type="dxa"/>
            <w:tcBorders>
              <w:top w:val="nil"/>
              <w:left w:val="nil"/>
              <w:bottom w:val="single" w:sz="4" w:space="0" w:color="auto"/>
              <w:right w:val="single" w:sz="4" w:space="0" w:color="auto"/>
            </w:tcBorders>
            <w:shd w:val="clear" w:color="auto" w:fill="auto"/>
            <w:vAlign w:val="center"/>
            <w:hideMark/>
          </w:tcPr>
          <w:p w:rsidR="003A1C23" w:rsidRPr="004761E0" w:rsidRDefault="001A25B0" w:rsidP="006753D8">
            <w:pPr>
              <w:ind w:firstLine="0"/>
              <w:jc w:val="right"/>
              <w:rPr>
                <w:rFonts w:eastAsia="Times New Roman"/>
                <w:b/>
                <w:color w:val="000000"/>
                <w:sz w:val="20"/>
                <w:szCs w:val="20"/>
                <w:lang w:eastAsia="ru-RU"/>
              </w:rPr>
            </w:pPr>
            <w:r w:rsidRPr="004761E0">
              <w:rPr>
                <w:rFonts w:eastAsia="Times New Roman"/>
                <w:b/>
                <w:color w:val="000000"/>
                <w:sz w:val="20"/>
                <w:szCs w:val="20"/>
                <w:lang w:eastAsia="ru-RU"/>
              </w:rPr>
              <w:t>4,97</w:t>
            </w:r>
            <w:r w:rsidR="003A1C23" w:rsidRPr="004761E0">
              <w:rPr>
                <w:rFonts w:eastAsia="Times New Roman"/>
                <w:b/>
                <w:color w:val="000000"/>
                <w:sz w:val="20"/>
                <w:szCs w:val="20"/>
                <w:lang w:eastAsia="ru-RU"/>
              </w:rPr>
              <w:t xml:space="preserve"> </w:t>
            </w:r>
            <w:r w:rsidRPr="004761E0">
              <w:rPr>
                <w:rFonts w:eastAsia="Times New Roman"/>
                <w:b/>
                <w:color w:val="000000"/>
                <w:sz w:val="20"/>
                <w:szCs w:val="20"/>
                <w:lang w:eastAsia="ru-RU"/>
              </w:rPr>
              <w:t>%</w:t>
            </w:r>
          </w:p>
        </w:tc>
      </w:tr>
      <w:tr w:rsidR="00525213" w:rsidRPr="004761E0" w:rsidTr="00525213">
        <w:trPr>
          <w:trHeight w:val="222"/>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525213" w:rsidRPr="004761E0" w:rsidRDefault="00525213" w:rsidP="007076A7">
            <w:pPr>
              <w:pStyle w:val="a5"/>
              <w:numPr>
                <w:ilvl w:val="1"/>
                <w:numId w:val="106"/>
              </w:numPr>
              <w:tabs>
                <w:tab w:val="left" w:pos="262"/>
              </w:tabs>
              <w:contextualSpacing w:val="0"/>
              <w:rPr>
                <w:rFonts w:eastAsia="Times New Roman"/>
                <w:color w:val="000000"/>
                <w:sz w:val="20"/>
                <w:szCs w:val="20"/>
                <w:lang w:eastAsia="ru-RU"/>
              </w:rPr>
            </w:pPr>
          </w:p>
        </w:tc>
        <w:tc>
          <w:tcPr>
            <w:tcW w:w="6674" w:type="dxa"/>
            <w:tcBorders>
              <w:top w:val="nil"/>
              <w:left w:val="nil"/>
              <w:bottom w:val="single" w:sz="4" w:space="0" w:color="auto"/>
              <w:right w:val="single" w:sz="4" w:space="0" w:color="auto"/>
            </w:tcBorders>
            <w:shd w:val="clear" w:color="auto" w:fill="auto"/>
            <w:hideMark/>
          </w:tcPr>
          <w:p w:rsidR="00C0652D" w:rsidRPr="004761E0" w:rsidRDefault="00525213" w:rsidP="006753D8">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до 15 кВт (всего), в т.ч.:</w:t>
            </w:r>
          </w:p>
        </w:tc>
        <w:tc>
          <w:tcPr>
            <w:tcW w:w="851"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26</w:t>
            </w:r>
          </w:p>
        </w:tc>
        <w:tc>
          <w:tcPr>
            <w:tcW w:w="852"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11</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22</w:t>
            </w:r>
          </w:p>
        </w:tc>
        <w:tc>
          <w:tcPr>
            <w:tcW w:w="1136"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103,85 %</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116</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180</w:t>
            </w:r>
          </w:p>
        </w:tc>
        <w:tc>
          <w:tcPr>
            <w:tcW w:w="852"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400</w:t>
            </w:r>
          </w:p>
        </w:tc>
        <w:tc>
          <w:tcPr>
            <w:tcW w:w="1083"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122,91 %</w:t>
            </w:r>
          </w:p>
        </w:tc>
      </w:tr>
      <w:tr w:rsidR="00525213" w:rsidRPr="004761E0" w:rsidTr="00525213">
        <w:trPr>
          <w:trHeight w:val="222"/>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C0652D" w:rsidRPr="004761E0" w:rsidRDefault="00C0652D" w:rsidP="007076A7">
            <w:pPr>
              <w:pStyle w:val="a5"/>
              <w:numPr>
                <w:ilvl w:val="2"/>
                <w:numId w:val="106"/>
              </w:numPr>
              <w:tabs>
                <w:tab w:val="left" w:pos="262"/>
              </w:tabs>
              <w:contextualSpacing w:val="0"/>
              <w:rPr>
                <w:rFonts w:eastAsia="Times New Roman"/>
                <w:color w:val="000000"/>
                <w:sz w:val="20"/>
                <w:szCs w:val="20"/>
                <w:lang w:eastAsia="ru-RU"/>
              </w:rPr>
            </w:pPr>
          </w:p>
        </w:tc>
        <w:tc>
          <w:tcPr>
            <w:tcW w:w="6674" w:type="dxa"/>
            <w:tcBorders>
              <w:top w:val="nil"/>
              <w:left w:val="nil"/>
              <w:bottom w:val="single" w:sz="4" w:space="0" w:color="auto"/>
              <w:right w:val="single" w:sz="4" w:space="0" w:color="auto"/>
            </w:tcBorders>
            <w:shd w:val="clear" w:color="auto" w:fill="auto"/>
            <w:hideMark/>
          </w:tcPr>
          <w:p w:rsidR="00C0652D" w:rsidRPr="004761E0" w:rsidRDefault="00525213" w:rsidP="006753D8">
            <w:pPr>
              <w:ind w:firstLineChars="371" w:firstLine="742"/>
              <w:jc w:val="left"/>
              <w:rPr>
                <w:rFonts w:eastAsia="Times New Roman"/>
                <w:color w:val="000000"/>
                <w:sz w:val="20"/>
                <w:szCs w:val="20"/>
                <w:lang w:eastAsia="ru-RU"/>
              </w:rPr>
            </w:pPr>
            <w:r w:rsidRPr="004761E0">
              <w:rPr>
                <w:rFonts w:eastAsia="Times New Roman"/>
                <w:color w:val="000000"/>
                <w:sz w:val="20"/>
                <w:szCs w:val="20"/>
                <w:lang w:eastAsia="ru-RU"/>
              </w:rPr>
              <w:t>физические лица до 15 кВт</w:t>
            </w:r>
          </w:p>
        </w:tc>
        <w:tc>
          <w:tcPr>
            <w:tcW w:w="851"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7</w:t>
            </w:r>
          </w:p>
        </w:tc>
        <w:tc>
          <w:tcPr>
            <w:tcW w:w="852"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9</w:t>
            </w:r>
          </w:p>
        </w:tc>
        <w:tc>
          <w:tcPr>
            <w:tcW w:w="1136"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819,78 %</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107</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170</w:t>
            </w:r>
          </w:p>
        </w:tc>
        <w:tc>
          <w:tcPr>
            <w:tcW w:w="852"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382</w:t>
            </w:r>
          </w:p>
        </w:tc>
        <w:tc>
          <w:tcPr>
            <w:tcW w:w="1083"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125,54 %</w:t>
            </w:r>
          </w:p>
        </w:tc>
      </w:tr>
      <w:tr w:rsidR="00525213" w:rsidRPr="004761E0" w:rsidTr="00525213">
        <w:trPr>
          <w:trHeight w:val="222"/>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525213" w:rsidRPr="004761E0" w:rsidRDefault="00525213" w:rsidP="007076A7">
            <w:pPr>
              <w:pStyle w:val="a5"/>
              <w:numPr>
                <w:ilvl w:val="1"/>
                <w:numId w:val="106"/>
              </w:numPr>
              <w:tabs>
                <w:tab w:val="left" w:pos="262"/>
              </w:tabs>
              <w:contextualSpacing w:val="0"/>
              <w:rPr>
                <w:rFonts w:eastAsia="Times New Roman"/>
                <w:color w:val="000000"/>
                <w:sz w:val="20"/>
                <w:szCs w:val="20"/>
                <w:lang w:eastAsia="ru-RU"/>
              </w:rPr>
            </w:pPr>
          </w:p>
        </w:tc>
        <w:tc>
          <w:tcPr>
            <w:tcW w:w="6674" w:type="dxa"/>
            <w:tcBorders>
              <w:top w:val="nil"/>
              <w:left w:val="nil"/>
              <w:bottom w:val="single" w:sz="4" w:space="0" w:color="auto"/>
              <w:right w:val="single" w:sz="4" w:space="0" w:color="auto"/>
            </w:tcBorders>
            <w:shd w:val="clear" w:color="auto" w:fill="auto"/>
            <w:hideMark/>
          </w:tcPr>
          <w:p w:rsidR="00C0652D" w:rsidRPr="004761E0" w:rsidRDefault="00525213" w:rsidP="006753D8">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свыше 15 кВт и до 150 кВт (всего), в т.ч.:</w:t>
            </w:r>
          </w:p>
        </w:tc>
        <w:tc>
          <w:tcPr>
            <w:tcW w:w="851"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13</w:t>
            </w:r>
          </w:p>
        </w:tc>
        <w:tc>
          <w:tcPr>
            <w:tcW w:w="852"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20</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57</w:t>
            </w:r>
          </w:p>
        </w:tc>
        <w:tc>
          <w:tcPr>
            <w:tcW w:w="1136"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179,78 %</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23</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26</w:t>
            </w:r>
          </w:p>
        </w:tc>
        <w:tc>
          <w:tcPr>
            <w:tcW w:w="852"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72</w:t>
            </w:r>
          </w:p>
        </w:tc>
        <w:tc>
          <w:tcPr>
            <w:tcW w:w="1083"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182,90 %</w:t>
            </w:r>
          </w:p>
        </w:tc>
      </w:tr>
      <w:tr w:rsidR="00525213" w:rsidRPr="004761E0" w:rsidTr="00525213">
        <w:trPr>
          <w:trHeight w:val="222"/>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C0652D" w:rsidRPr="004761E0" w:rsidRDefault="00C0652D" w:rsidP="007076A7">
            <w:pPr>
              <w:pStyle w:val="a5"/>
              <w:numPr>
                <w:ilvl w:val="2"/>
                <w:numId w:val="106"/>
              </w:numPr>
              <w:tabs>
                <w:tab w:val="left" w:pos="262"/>
              </w:tabs>
              <w:contextualSpacing w:val="0"/>
              <w:rPr>
                <w:rFonts w:eastAsia="Times New Roman"/>
                <w:color w:val="000000"/>
                <w:sz w:val="20"/>
                <w:szCs w:val="20"/>
                <w:lang w:eastAsia="ru-RU"/>
              </w:rPr>
            </w:pPr>
          </w:p>
        </w:tc>
        <w:tc>
          <w:tcPr>
            <w:tcW w:w="6674" w:type="dxa"/>
            <w:tcBorders>
              <w:top w:val="nil"/>
              <w:left w:val="nil"/>
              <w:bottom w:val="single" w:sz="4" w:space="0" w:color="auto"/>
              <w:right w:val="single" w:sz="4" w:space="0" w:color="auto"/>
            </w:tcBorders>
            <w:shd w:val="clear" w:color="auto" w:fill="auto"/>
            <w:hideMark/>
          </w:tcPr>
          <w:p w:rsidR="00C0652D" w:rsidRPr="004761E0" w:rsidRDefault="00525213" w:rsidP="006753D8">
            <w:pPr>
              <w:ind w:firstLineChars="371" w:firstLine="742"/>
              <w:jc w:val="left"/>
              <w:rPr>
                <w:rFonts w:eastAsia="Times New Roman"/>
                <w:color w:val="000000"/>
                <w:sz w:val="20"/>
                <w:szCs w:val="20"/>
                <w:lang w:eastAsia="ru-RU"/>
              </w:rPr>
            </w:pPr>
            <w:r w:rsidRPr="004761E0">
              <w:rPr>
                <w:rFonts w:eastAsia="Times New Roman"/>
                <w:color w:val="000000"/>
                <w:sz w:val="20"/>
                <w:szCs w:val="20"/>
                <w:lang w:eastAsia="ru-RU"/>
              </w:rPr>
              <w:t>заявители, воспользовавшиеся рассрочкой</w:t>
            </w:r>
          </w:p>
        </w:tc>
        <w:tc>
          <w:tcPr>
            <w:tcW w:w="851"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w:t>
            </w:r>
          </w:p>
        </w:tc>
        <w:tc>
          <w:tcPr>
            <w:tcW w:w="852"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0</w:t>
            </w:r>
          </w:p>
        </w:tc>
        <w:tc>
          <w:tcPr>
            <w:tcW w:w="1136"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-82,13 %</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12</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52</w:t>
            </w:r>
          </w:p>
        </w:tc>
        <w:tc>
          <w:tcPr>
            <w:tcW w:w="852"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w:t>
            </w:r>
          </w:p>
        </w:tc>
        <w:tc>
          <w:tcPr>
            <w:tcW w:w="1083"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-98,60 %</w:t>
            </w:r>
          </w:p>
        </w:tc>
      </w:tr>
      <w:tr w:rsidR="00525213" w:rsidRPr="004761E0" w:rsidTr="00525213">
        <w:trPr>
          <w:trHeight w:val="222"/>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525213" w:rsidRPr="004761E0" w:rsidRDefault="00525213" w:rsidP="007076A7">
            <w:pPr>
              <w:pStyle w:val="a5"/>
              <w:numPr>
                <w:ilvl w:val="1"/>
                <w:numId w:val="106"/>
              </w:numPr>
              <w:tabs>
                <w:tab w:val="left" w:pos="262"/>
              </w:tabs>
              <w:contextualSpacing w:val="0"/>
              <w:rPr>
                <w:rFonts w:eastAsia="Times New Roman"/>
                <w:color w:val="000000"/>
                <w:sz w:val="20"/>
                <w:szCs w:val="20"/>
                <w:lang w:eastAsia="ru-RU"/>
              </w:rPr>
            </w:pPr>
          </w:p>
        </w:tc>
        <w:tc>
          <w:tcPr>
            <w:tcW w:w="6674" w:type="dxa"/>
            <w:tcBorders>
              <w:top w:val="nil"/>
              <w:left w:val="nil"/>
              <w:bottom w:val="single" w:sz="4" w:space="0" w:color="auto"/>
              <w:right w:val="single" w:sz="4" w:space="0" w:color="auto"/>
            </w:tcBorders>
            <w:shd w:val="clear" w:color="auto" w:fill="auto"/>
            <w:hideMark/>
          </w:tcPr>
          <w:p w:rsidR="00C0652D" w:rsidRPr="004761E0" w:rsidRDefault="00525213" w:rsidP="006753D8">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свыше 150 кВт и менее 670 кВт</w:t>
            </w:r>
          </w:p>
        </w:tc>
        <w:tc>
          <w:tcPr>
            <w:tcW w:w="851"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71</w:t>
            </w:r>
          </w:p>
        </w:tc>
        <w:tc>
          <w:tcPr>
            <w:tcW w:w="852"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66</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71</w:t>
            </w:r>
          </w:p>
        </w:tc>
        <w:tc>
          <w:tcPr>
            <w:tcW w:w="1136"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7,50 %</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119</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96</w:t>
            </w:r>
          </w:p>
        </w:tc>
        <w:tc>
          <w:tcPr>
            <w:tcW w:w="852"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176</w:t>
            </w:r>
          </w:p>
        </w:tc>
        <w:tc>
          <w:tcPr>
            <w:tcW w:w="1083"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83,70 %</w:t>
            </w:r>
          </w:p>
        </w:tc>
      </w:tr>
      <w:tr w:rsidR="00525213" w:rsidRPr="004761E0" w:rsidTr="00525213">
        <w:trPr>
          <w:trHeight w:val="222"/>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525213" w:rsidRPr="004761E0" w:rsidRDefault="00525213" w:rsidP="007076A7">
            <w:pPr>
              <w:pStyle w:val="a5"/>
              <w:numPr>
                <w:ilvl w:val="1"/>
                <w:numId w:val="106"/>
              </w:numPr>
              <w:tabs>
                <w:tab w:val="left" w:pos="262"/>
              </w:tabs>
              <w:contextualSpacing w:val="0"/>
              <w:rPr>
                <w:rFonts w:eastAsia="Times New Roman"/>
                <w:color w:val="000000"/>
                <w:sz w:val="20"/>
                <w:szCs w:val="20"/>
                <w:lang w:eastAsia="ru-RU"/>
              </w:rPr>
            </w:pPr>
          </w:p>
        </w:tc>
        <w:tc>
          <w:tcPr>
            <w:tcW w:w="6674" w:type="dxa"/>
            <w:tcBorders>
              <w:top w:val="nil"/>
              <w:left w:val="nil"/>
              <w:bottom w:val="single" w:sz="4" w:space="0" w:color="auto"/>
              <w:right w:val="single" w:sz="4" w:space="0" w:color="auto"/>
            </w:tcBorders>
            <w:shd w:val="clear" w:color="auto" w:fill="auto"/>
            <w:hideMark/>
          </w:tcPr>
          <w:p w:rsidR="00C0652D" w:rsidRPr="004761E0" w:rsidRDefault="00525213" w:rsidP="006753D8">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не менее 670 кВт</w:t>
            </w:r>
          </w:p>
        </w:tc>
        <w:tc>
          <w:tcPr>
            <w:tcW w:w="851"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243</w:t>
            </w:r>
          </w:p>
        </w:tc>
        <w:tc>
          <w:tcPr>
            <w:tcW w:w="852"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248</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251</w:t>
            </w:r>
          </w:p>
        </w:tc>
        <w:tc>
          <w:tcPr>
            <w:tcW w:w="1136"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1,20 %</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304</w:t>
            </w:r>
          </w:p>
        </w:tc>
        <w:tc>
          <w:tcPr>
            <w:tcW w:w="994"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775</w:t>
            </w:r>
          </w:p>
        </w:tc>
        <w:tc>
          <w:tcPr>
            <w:tcW w:w="852"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sz w:val="20"/>
                <w:szCs w:val="20"/>
                <w:lang w:eastAsia="ru-RU"/>
              </w:rPr>
            </w:pPr>
            <w:r w:rsidRPr="004761E0">
              <w:rPr>
                <w:rFonts w:eastAsia="Times New Roman"/>
                <w:color w:val="000000"/>
                <w:sz w:val="20"/>
                <w:szCs w:val="20"/>
                <w:lang w:eastAsia="ru-RU"/>
              </w:rPr>
              <w:t>481</w:t>
            </w:r>
          </w:p>
        </w:tc>
        <w:tc>
          <w:tcPr>
            <w:tcW w:w="1083" w:type="dxa"/>
            <w:tcBorders>
              <w:top w:val="nil"/>
              <w:left w:val="nil"/>
              <w:bottom w:val="single" w:sz="4" w:space="0" w:color="auto"/>
              <w:right w:val="single" w:sz="4" w:space="0" w:color="auto"/>
            </w:tcBorders>
            <w:shd w:val="clear" w:color="auto" w:fill="auto"/>
            <w:vAlign w:val="center"/>
            <w:hideMark/>
          </w:tcPr>
          <w:p w:rsidR="00525213" w:rsidRPr="004761E0" w:rsidRDefault="00525213" w:rsidP="006753D8">
            <w:pPr>
              <w:ind w:firstLine="0"/>
              <w:jc w:val="right"/>
              <w:rPr>
                <w:rFonts w:eastAsia="Times New Roman"/>
                <w:color w:val="000000"/>
                <w:sz w:val="20"/>
                <w:szCs w:val="20"/>
                <w:lang w:eastAsia="ru-RU"/>
              </w:rPr>
            </w:pPr>
            <w:r w:rsidRPr="004761E0">
              <w:rPr>
                <w:rFonts w:eastAsia="Times New Roman"/>
                <w:color w:val="000000"/>
                <w:sz w:val="20"/>
                <w:szCs w:val="20"/>
                <w:lang w:eastAsia="ru-RU"/>
              </w:rPr>
              <w:t>-37,94 %</w:t>
            </w:r>
          </w:p>
        </w:tc>
      </w:tr>
    </w:tbl>
    <w:p w:rsidR="00D21056" w:rsidRPr="00D95123" w:rsidRDefault="001A25B0" w:rsidP="00D95123">
      <w:pPr>
        <w:tabs>
          <w:tab w:val="left" w:pos="426"/>
        </w:tabs>
        <w:spacing w:before="120" w:after="120"/>
        <w:ind w:firstLine="567"/>
        <w:rPr>
          <w:b/>
          <w:sz w:val="26"/>
          <w:szCs w:val="26"/>
        </w:rPr>
      </w:pPr>
      <w:r w:rsidRPr="00D95123">
        <w:rPr>
          <w:b/>
          <w:sz w:val="26"/>
          <w:szCs w:val="26"/>
        </w:rPr>
        <w:t>Распределение заявляемой мощности по отраслям хозяйственной деятельности</w:t>
      </w:r>
    </w:p>
    <w:tbl>
      <w:tblPr>
        <w:tblW w:w="15039" w:type="dxa"/>
        <w:tblInd w:w="95" w:type="dxa"/>
        <w:tblLook w:val="04A0"/>
      </w:tblPr>
      <w:tblGrid>
        <w:gridCol w:w="581"/>
        <w:gridCol w:w="6662"/>
        <w:gridCol w:w="850"/>
        <w:gridCol w:w="851"/>
        <w:gridCol w:w="992"/>
        <w:gridCol w:w="1134"/>
        <w:gridCol w:w="850"/>
        <w:gridCol w:w="993"/>
        <w:gridCol w:w="850"/>
        <w:gridCol w:w="1276"/>
      </w:tblGrid>
      <w:tr w:rsidR="00D21056" w:rsidRPr="004761E0" w:rsidTr="00D21056">
        <w:trPr>
          <w:trHeight w:val="164"/>
        </w:trPr>
        <w:tc>
          <w:tcPr>
            <w:tcW w:w="581" w:type="dxa"/>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0F243E" w:themeFill="text2" w:themeFillShade="80"/>
            <w:vAlign w:val="center"/>
            <w:hideMark/>
          </w:tcPr>
          <w:p w:rsidR="00D21056" w:rsidRPr="004761E0" w:rsidRDefault="00D21056" w:rsidP="004E03CC">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6662"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D21056" w:rsidRPr="004761E0" w:rsidRDefault="00D21056" w:rsidP="004E03CC">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3827"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D21056" w:rsidRPr="004761E0" w:rsidRDefault="00D21056" w:rsidP="004E03CC">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г. Москва</w:t>
            </w:r>
          </w:p>
        </w:tc>
        <w:tc>
          <w:tcPr>
            <w:tcW w:w="3969" w:type="dxa"/>
            <w:gridSpan w:val="4"/>
            <w:tcBorders>
              <w:top w:val="single" w:sz="4" w:space="0" w:color="auto"/>
              <w:left w:val="single" w:sz="4" w:space="0" w:color="FFFFFF" w:themeColor="background1"/>
              <w:bottom w:val="single" w:sz="4" w:space="0" w:color="FFFFFF" w:themeColor="background1"/>
              <w:right w:val="single" w:sz="4" w:space="0" w:color="auto"/>
            </w:tcBorders>
            <w:shd w:val="clear" w:color="auto" w:fill="0F243E" w:themeFill="text2" w:themeFillShade="80"/>
            <w:vAlign w:val="center"/>
            <w:hideMark/>
          </w:tcPr>
          <w:p w:rsidR="00D21056" w:rsidRPr="004761E0" w:rsidRDefault="00D21056" w:rsidP="004E03CC">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Московская область</w:t>
            </w:r>
          </w:p>
        </w:tc>
      </w:tr>
      <w:tr w:rsidR="00D21056" w:rsidRPr="004761E0" w:rsidTr="00D21056">
        <w:trPr>
          <w:trHeight w:val="164"/>
        </w:trPr>
        <w:tc>
          <w:tcPr>
            <w:tcW w:w="581" w:type="dxa"/>
            <w:vMerge/>
            <w:tcBorders>
              <w:top w:val="single" w:sz="4" w:space="0" w:color="FFFFFF" w:themeColor="background1"/>
              <w:left w:val="single" w:sz="4" w:space="0" w:color="auto"/>
              <w:bottom w:val="single" w:sz="4" w:space="0" w:color="000000"/>
              <w:right w:val="single" w:sz="4" w:space="0" w:color="FFFFFF" w:themeColor="background1"/>
            </w:tcBorders>
            <w:shd w:val="clear" w:color="auto" w:fill="0F243E" w:themeFill="text2" w:themeFillShade="80"/>
            <w:vAlign w:val="center"/>
            <w:hideMark/>
          </w:tcPr>
          <w:p w:rsidR="00D21056" w:rsidRPr="004761E0" w:rsidRDefault="00D21056" w:rsidP="004E03CC">
            <w:pPr>
              <w:rPr>
                <w:rFonts w:eastAsia="Times New Roman"/>
                <w:b/>
                <w:color w:val="FFFFFF" w:themeColor="background1"/>
                <w:sz w:val="20"/>
                <w:szCs w:val="20"/>
                <w:lang w:eastAsia="ru-RU"/>
              </w:rPr>
            </w:pPr>
          </w:p>
        </w:tc>
        <w:tc>
          <w:tcPr>
            <w:tcW w:w="6662" w:type="dxa"/>
            <w:vMerge/>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0F243E" w:themeFill="text2" w:themeFillShade="80"/>
            <w:vAlign w:val="center"/>
            <w:hideMark/>
          </w:tcPr>
          <w:p w:rsidR="00D21056" w:rsidRPr="004761E0" w:rsidRDefault="00D21056" w:rsidP="004E03CC">
            <w:pPr>
              <w:rPr>
                <w:rFonts w:eastAsia="Times New Roman"/>
                <w:b/>
                <w:color w:val="FFFFFF" w:themeColor="background1"/>
                <w:sz w:val="20"/>
                <w:szCs w:val="20"/>
                <w:lang w:eastAsia="ru-RU"/>
              </w:rPr>
            </w:pP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21056" w:rsidRPr="004761E0" w:rsidRDefault="00D21056" w:rsidP="004E03C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21056" w:rsidRPr="004761E0" w:rsidRDefault="00D21056" w:rsidP="004E03C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21056" w:rsidRPr="004761E0" w:rsidRDefault="00D21056" w:rsidP="004E03C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21056" w:rsidRPr="004761E0" w:rsidRDefault="00D21056" w:rsidP="004E03C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21056" w:rsidRPr="004761E0" w:rsidRDefault="00D21056" w:rsidP="004E03C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9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21056" w:rsidRPr="004761E0" w:rsidRDefault="00D21056" w:rsidP="004E03C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D21056" w:rsidRPr="004761E0" w:rsidRDefault="00D21056" w:rsidP="004E03C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276"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D21056" w:rsidRPr="004761E0" w:rsidRDefault="00D21056" w:rsidP="004E03C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D21056" w:rsidRPr="004761E0" w:rsidTr="00D21056">
        <w:trPr>
          <w:trHeight w:val="164"/>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C0652D" w:rsidRPr="004761E0" w:rsidRDefault="00C0652D" w:rsidP="007076A7">
            <w:pPr>
              <w:numPr>
                <w:ilvl w:val="0"/>
                <w:numId w:val="108"/>
              </w:numPr>
              <w:tabs>
                <w:tab w:val="left" w:pos="262"/>
              </w:tabs>
              <w:rPr>
                <w:rFonts w:eastAsia="Times New Roman"/>
                <w:b/>
                <w:color w:val="000000"/>
                <w:sz w:val="20"/>
                <w:szCs w:val="20"/>
                <w:lang w:eastAsia="ru-RU"/>
              </w:rPr>
            </w:pPr>
          </w:p>
        </w:tc>
        <w:tc>
          <w:tcPr>
            <w:tcW w:w="6662" w:type="dxa"/>
            <w:tcBorders>
              <w:top w:val="nil"/>
              <w:left w:val="nil"/>
              <w:bottom w:val="single" w:sz="4" w:space="0" w:color="auto"/>
              <w:right w:val="single" w:sz="4" w:space="0" w:color="auto"/>
            </w:tcBorders>
            <w:shd w:val="clear" w:color="auto" w:fill="auto"/>
            <w:vAlign w:val="center"/>
            <w:hideMark/>
          </w:tcPr>
          <w:p w:rsidR="00D21056" w:rsidRPr="004761E0" w:rsidRDefault="00D21056" w:rsidP="004E03CC">
            <w:pPr>
              <w:ind w:firstLine="0"/>
              <w:jc w:val="left"/>
              <w:rPr>
                <w:rFonts w:eastAsia="Times New Roman"/>
                <w:b/>
                <w:color w:val="000000"/>
                <w:sz w:val="20"/>
                <w:szCs w:val="20"/>
                <w:lang w:eastAsia="ru-RU"/>
              </w:rPr>
            </w:pPr>
            <w:r w:rsidRPr="004761E0">
              <w:rPr>
                <w:rFonts w:eastAsia="Times New Roman"/>
                <w:b/>
                <w:bCs/>
                <w:color w:val="000000"/>
                <w:sz w:val="20"/>
                <w:szCs w:val="20"/>
                <w:lang w:eastAsia="ru-RU"/>
              </w:rPr>
              <w:t>Фактически присоединенная мощность, МВт (всего), в т.ч.:</w:t>
            </w:r>
          </w:p>
        </w:tc>
        <w:tc>
          <w:tcPr>
            <w:tcW w:w="850" w:type="dxa"/>
            <w:tcBorders>
              <w:top w:val="nil"/>
              <w:left w:val="nil"/>
              <w:bottom w:val="single" w:sz="4" w:space="0" w:color="auto"/>
              <w:right w:val="single" w:sz="4" w:space="0" w:color="auto"/>
            </w:tcBorders>
            <w:shd w:val="clear" w:color="auto" w:fill="auto"/>
            <w:vAlign w:val="center"/>
            <w:hideMark/>
          </w:tcPr>
          <w:p w:rsidR="00D21056" w:rsidRPr="004761E0" w:rsidRDefault="00D21056" w:rsidP="004E03CC">
            <w:pPr>
              <w:ind w:firstLine="0"/>
              <w:jc w:val="right"/>
              <w:rPr>
                <w:rFonts w:eastAsia="Times New Roman"/>
                <w:b/>
                <w:color w:val="000000"/>
                <w:sz w:val="20"/>
                <w:szCs w:val="20"/>
                <w:lang w:eastAsia="ru-RU"/>
              </w:rPr>
            </w:pPr>
            <w:r w:rsidRPr="004761E0">
              <w:rPr>
                <w:rFonts w:eastAsia="Times New Roman"/>
                <w:b/>
                <w:bCs/>
                <w:color w:val="000000"/>
                <w:sz w:val="20"/>
                <w:szCs w:val="20"/>
                <w:lang w:eastAsia="ru-RU"/>
              </w:rPr>
              <w:t>353</w:t>
            </w:r>
          </w:p>
        </w:tc>
        <w:tc>
          <w:tcPr>
            <w:tcW w:w="851" w:type="dxa"/>
            <w:tcBorders>
              <w:top w:val="nil"/>
              <w:left w:val="nil"/>
              <w:bottom w:val="single" w:sz="4" w:space="0" w:color="auto"/>
              <w:right w:val="single" w:sz="4" w:space="0" w:color="auto"/>
            </w:tcBorders>
            <w:shd w:val="clear" w:color="auto" w:fill="auto"/>
            <w:vAlign w:val="center"/>
            <w:hideMark/>
          </w:tcPr>
          <w:p w:rsidR="00D21056" w:rsidRPr="004761E0" w:rsidRDefault="00D21056" w:rsidP="004E03CC">
            <w:pPr>
              <w:ind w:firstLine="0"/>
              <w:jc w:val="right"/>
              <w:rPr>
                <w:rFonts w:eastAsia="Times New Roman"/>
                <w:b/>
                <w:color w:val="000000"/>
                <w:sz w:val="20"/>
                <w:szCs w:val="20"/>
                <w:lang w:eastAsia="ru-RU"/>
              </w:rPr>
            </w:pPr>
            <w:r w:rsidRPr="004761E0">
              <w:rPr>
                <w:rFonts w:eastAsia="Times New Roman"/>
                <w:b/>
                <w:bCs/>
                <w:color w:val="000000"/>
                <w:sz w:val="20"/>
                <w:szCs w:val="20"/>
                <w:lang w:eastAsia="ru-RU"/>
              </w:rPr>
              <w:t>345</w:t>
            </w:r>
          </w:p>
        </w:tc>
        <w:tc>
          <w:tcPr>
            <w:tcW w:w="992" w:type="dxa"/>
            <w:tcBorders>
              <w:top w:val="nil"/>
              <w:left w:val="nil"/>
              <w:bottom w:val="single" w:sz="4" w:space="0" w:color="auto"/>
              <w:right w:val="single" w:sz="4" w:space="0" w:color="auto"/>
            </w:tcBorders>
            <w:shd w:val="clear" w:color="auto" w:fill="auto"/>
            <w:vAlign w:val="center"/>
            <w:hideMark/>
          </w:tcPr>
          <w:p w:rsidR="00D21056" w:rsidRPr="004761E0" w:rsidRDefault="00D21056" w:rsidP="004E03CC">
            <w:pPr>
              <w:ind w:firstLine="0"/>
              <w:jc w:val="right"/>
              <w:rPr>
                <w:rFonts w:eastAsia="Times New Roman"/>
                <w:b/>
                <w:color w:val="000000"/>
                <w:sz w:val="20"/>
                <w:szCs w:val="20"/>
                <w:lang w:eastAsia="ru-RU"/>
              </w:rPr>
            </w:pPr>
            <w:r w:rsidRPr="004761E0">
              <w:rPr>
                <w:rFonts w:eastAsia="Times New Roman"/>
                <w:b/>
                <w:bCs/>
                <w:color w:val="000000"/>
                <w:sz w:val="20"/>
                <w:szCs w:val="20"/>
                <w:lang w:eastAsia="ru-RU"/>
              </w:rPr>
              <w:t>401</w:t>
            </w:r>
          </w:p>
        </w:tc>
        <w:tc>
          <w:tcPr>
            <w:tcW w:w="1134" w:type="dxa"/>
            <w:tcBorders>
              <w:top w:val="nil"/>
              <w:left w:val="nil"/>
              <w:bottom w:val="single" w:sz="4" w:space="0" w:color="auto"/>
              <w:right w:val="single" w:sz="4" w:space="0" w:color="auto"/>
            </w:tcBorders>
            <w:shd w:val="clear" w:color="auto" w:fill="auto"/>
            <w:vAlign w:val="center"/>
            <w:hideMark/>
          </w:tcPr>
          <w:p w:rsidR="00D21056" w:rsidRPr="004761E0" w:rsidRDefault="00D21056" w:rsidP="004E03CC">
            <w:pPr>
              <w:ind w:firstLine="0"/>
              <w:jc w:val="right"/>
              <w:rPr>
                <w:rFonts w:eastAsia="Times New Roman"/>
                <w:b/>
                <w:color w:val="000000"/>
                <w:sz w:val="20"/>
                <w:szCs w:val="20"/>
                <w:lang w:eastAsia="ru-RU"/>
              </w:rPr>
            </w:pPr>
            <w:r w:rsidRPr="004761E0">
              <w:rPr>
                <w:rFonts w:eastAsia="Times New Roman"/>
                <w:b/>
                <w:bCs/>
                <w:color w:val="000000"/>
                <w:sz w:val="20"/>
                <w:szCs w:val="20"/>
                <w:lang w:eastAsia="ru-RU"/>
              </w:rPr>
              <w:t>16,15 %</w:t>
            </w:r>
          </w:p>
        </w:tc>
        <w:tc>
          <w:tcPr>
            <w:tcW w:w="850" w:type="dxa"/>
            <w:tcBorders>
              <w:top w:val="nil"/>
              <w:left w:val="nil"/>
              <w:bottom w:val="single" w:sz="4" w:space="0" w:color="auto"/>
              <w:right w:val="single" w:sz="4" w:space="0" w:color="auto"/>
            </w:tcBorders>
            <w:shd w:val="clear" w:color="auto" w:fill="auto"/>
            <w:vAlign w:val="center"/>
            <w:hideMark/>
          </w:tcPr>
          <w:p w:rsidR="00D21056" w:rsidRPr="004761E0" w:rsidRDefault="00D21056" w:rsidP="004E03CC">
            <w:pPr>
              <w:ind w:firstLine="0"/>
              <w:jc w:val="right"/>
              <w:rPr>
                <w:rFonts w:eastAsia="Times New Roman"/>
                <w:b/>
                <w:color w:val="000000"/>
                <w:sz w:val="20"/>
                <w:szCs w:val="20"/>
                <w:lang w:eastAsia="ru-RU"/>
              </w:rPr>
            </w:pPr>
            <w:r w:rsidRPr="004761E0">
              <w:rPr>
                <w:rFonts w:eastAsia="Times New Roman"/>
                <w:b/>
                <w:bCs/>
                <w:color w:val="000000"/>
                <w:sz w:val="20"/>
                <w:szCs w:val="20"/>
                <w:lang w:eastAsia="ru-RU"/>
              </w:rPr>
              <w:t>563</w:t>
            </w:r>
          </w:p>
        </w:tc>
        <w:tc>
          <w:tcPr>
            <w:tcW w:w="993" w:type="dxa"/>
            <w:tcBorders>
              <w:top w:val="nil"/>
              <w:left w:val="nil"/>
              <w:bottom w:val="single" w:sz="4" w:space="0" w:color="auto"/>
              <w:right w:val="single" w:sz="4" w:space="0" w:color="auto"/>
            </w:tcBorders>
            <w:shd w:val="clear" w:color="auto" w:fill="auto"/>
            <w:vAlign w:val="center"/>
            <w:hideMark/>
          </w:tcPr>
          <w:p w:rsidR="00D21056" w:rsidRPr="004761E0" w:rsidRDefault="00D21056" w:rsidP="004E03CC">
            <w:pPr>
              <w:ind w:firstLine="0"/>
              <w:jc w:val="right"/>
              <w:rPr>
                <w:rFonts w:eastAsia="Times New Roman"/>
                <w:b/>
                <w:color w:val="000000"/>
                <w:sz w:val="20"/>
                <w:szCs w:val="20"/>
                <w:lang w:eastAsia="ru-RU"/>
              </w:rPr>
            </w:pPr>
            <w:r w:rsidRPr="004761E0">
              <w:rPr>
                <w:rFonts w:eastAsia="Times New Roman"/>
                <w:b/>
                <w:bCs/>
                <w:color w:val="000000"/>
                <w:sz w:val="20"/>
                <w:szCs w:val="20"/>
                <w:lang w:eastAsia="ru-RU"/>
              </w:rPr>
              <w:t>1 076</w:t>
            </w:r>
          </w:p>
        </w:tc>
        <w:tc>
          <w:tcPr>
            <w:tcW w:w="850" w:type="dxa"/>
            <w:tcBorders>
              <w:top w:val="nil"/>
              <w:left w:val="nil"/>
              <w:bottom w:val="single" w:sz="4" w:space="0" w:color="auto"/>
              <w:right w:val="single" w:sz="4" w:space="0" w:color="auto"/>
            </w:tcBorders>
            <w:shd w:val="clear" w:color="auto" w:fill="auto"/>
            <w:vAlign w:val="center"/>
            <w:hideMark/>
          </w:tcPr>
          <w:p w:rsidR="00D21056" w:rsidRPr="004761E0" w:rsidRDefault="00D21056" w:rsidP="004E03CC">
            <w:pPr>
              <w:ind w:firstLine="0"/>
              <w:jc w:val="right"/>
              <w:rPr>
                <w:rFonts w:eastAsia="Times New Roman"/>
                <w:b/>
                <w:color w:val="000000"/>
                <w:sz w:val="20"/>
                <w:szCs w:val="20"/>
                <w:lang w:eastAsia="ru-RU"/>
              </w:rPr>
            </w:pPr>
            <w:r w:rsidRPr="004761E0">
              <w:rPr>
                <w:rFonts w:eastAsia="Times New Roman"/>
                <w:b/>
                <w:bCs/>
                <w:color w:val="000000"/>
                <w:sz w:val="20"/>
                <w:szCs w:val="20"/>
                <w:lang w:eastAsia="ru-RU"/>
              </w:rPr>
              <w:t>1 130</w:t>
            </w:r>
          </w:p>
        </w:tc>
        <w:tc>
          <w:tcPr>
            <w:tcW w:w="1276" w:type="dxa"/>
            <w:tcBorders>
              <w:top w:val="nil"/>
              <w:left w:val="nil"/>
              <w:bottom w:val="single" w:sz="4" w:space="0" w:color="auto"/>
              <w:right w:val="single" w:sz="4" w:space="0" w:color="auto"/>
            </w:tcBorders>
            <w:shd w:val="clear" w:color="auto" w:fill="auto"/>
            <w:vAlign w:val="center"/>
            <w:hideMark/>
          </w:tcPr>
          <w:p w:rsidR="00D21056" w:rsidRPr="004761E0" w:rsidRDefault="00D21056" w:rsidP="004E03CC">
            <w:pPr>
              <w:ind w:firstLine="0"/>
              <w:jc w:val="right"/>
              <w:rPr>
                <w:rFonts w:eastAsia="Times New Roman"/>
                <w:b/>
                <w:color w:val="000000"/>
                <w:sz w:val="20"/>
                <w:szCs w:val="20"/>
                <w:lang w:eastAsia="ru-RU"/>
              </w:rPr>
            </w:pPr>
            <w:r w:rsidRPr="004761E0">
              <w:rPr>
                <w:rFonts w:eastAsia="Times New Roman"/>
                <w:b/>
                <w:bCs/>
                <w:color w:val="000000"/>
                <w:sz w:val="20"/>
                <w:szCs w:val="20"/>
                <w:lang w:eastAsia="ru-RU"/>
              </w:rPr>
              <w:t>4,97 %</w:t>
            </w:r>
          </w:p>
        </w:tc>
      </w:tr>
      <w:tr w:rsidR="00D21056" w:rsidRPr="004761E0" w:rsidTr="00D21056">
        <w:trPr>
          <w:trHeight w:val="164"/>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C0652D" w:rsidRPr="004761E0" w:rsidRDefault="00C0652D" w:rsidP="007076A7">
            <w:pPr>
              <w:pStyle w:val="a5"/>
              <w:numPr>
                <w:ilvl w:val="1"/>
                <w:numId w:val="108"/>
              </w:numPr>
              <w:tabs>
                <w:tab w:val="left" w:pos="262"/>
              </w:tabs>
              <w:rPr>
                <w:rFonts w:eastAsia="Times New Roman"/>
                <w:color w:val="000000"/>
                <w:sz w:val="20"/>
                <w:szCs w:val="20"/>
                <w:lang w:eastAsia="ru-RU"/>
              </w:rPr>
            </w:pPr>
          </w:p>
        </w:tc>
        <w:tc>
          <w:tcPr>
            <w:tcW w:w="6662" w:type="dxa"/>
            <w:tcBorders>
              <w:top w:val="nil"/>
              <w:left w:val="nil"/>
              <w:bottom w:val="single" w:sz="4" w:space="0" w:color="auto"/>
              <w:right w:val="single" w:sz="4" w:space="0" w:color="auto"/>
            </w:tcBorders>
            <w:shd w:val="clear" w:color="auto" w:fill="auto"/>
            <w:vAlign w:val="center"/>
            <w:hideMark/>
          </w:tcPr>
          <w:p w:rsidR="00D21056" w:rsidRPr="004761E0" w:rsidRDefault="00D21056" w:rsidP="004E03CC">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промышленность</w:t>
            </w:r>
          </w:p>
        </w:tc>
        <w:tc>
          <w:tcPr>
            <w:tcW w:w="850" w:type="dxa"/>
            <w:tcBorders>
              <w:top w:val="nil"/>
              <w:left w:val="nil"/>
              <w:bottom w:val="single" w:sz="4" w:space="0" w:color="auto"/>
              <w:right w:val="single" w:sz="4" w:space="0" w:color="auto"/>
            </w:tcBorders>
            <w:shd w:val="clear" w:color="auto" w:fill="auto"/>
            <w:vAlign w:val="center"/>
            <w:hideMark/>
          </w:tcPr>
          <w:p w:rsidR="00D21056" w:rsidRPr="004761E0" w:rsidRDefault="00D21056" w:rsidP="004E03CC">
            <w:pPr>
              <w:ind w:firstLine="0"/>
              <w:jc w:val="right"/>
              <w:rPr>
                <w:rFonts w:eastAsia="Times New Roman"/>
                <w:color w:val="000000"/>
                <w:sz w:val="20"/>
                <w:szCs w:val="20"/>
                <w:lang w:eastAsia="ru-RU"/>
              </w:rPr>
            </w:pPr>
            <w:r w:rsidRPr="004761E0">
              <w:rPr>
                <w:rFonts w:eastAsia="Times New Roman"/>
                <w:color w:val="000000"/>
                <w:sz w:val="20"/>
                <w:szCs w:val="20"/>
                <w:lang w:eastAsia="ru-RU"/>
              </w:rPr>
              <w:t>0</w:t>
            </w:r>
          </w:p>
        </w:tc>
        <w:tc>
          <w:tcPr>
            <w:tcW w:w="851" w:type="dxa"/>
            <w:tcBorders>
              <w:top w:val="nil"/>
              <w:left w:val="nil"/>
              <w:bottom w:val="single" w:sz="4" w:space="0" w:color="auto"/>
              <w:right w:val="single" w:sz="4" w:space="0" w:color="auto"/>
            </w:tcBorders>
            <w:shd w:val="clear" w:color="auto" w:fill="auto"/>
            <w:vAlign w:val="center"/>
            <w:hideMark/>
          </w:tcPr>
          <w:p w:rsidR="00D21056" w:rsidRPr="004761E0" w:rsidRDefault="00D21056" w:rsidP="004E03CC">
            <w:pPr>
              <w:ind w:firstLine="0"/>
              <w:jc w:val="right"/>
              <w:rPr>
                <w:rFonts w:eastAsia="Times New Roman"/>
                <w:color w:val="000000"/>
                <w:sz w:val="20"/>
                <w:szCs w:val="20"/>
                <w:lang w:eastAsia="ru-RU"/>
              </w:rPr>
            </w:pPr>
            <w:r w:rsidRPr="004761E0">
              <w:rPr>
                <w:rFonts w:eastAsia="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D21056" w:rsidRPr="004761E0" w:rsidRDefault="00D21056" w:rsidP="004E03CC">
            <w:pPr>
              <w:ind w:firstLine="0"/>
              <w:jc w:val="right"/>
              <w:rPr>
                <w:rFonts w:eastAsia="Times New Roman"/>
                <w:color w:val="000000"/>
                <w:sz w:val="20"/>
                <w:szCs w:val="20"/>
                <w:lang w:eastAsia="ru-RU"/>
              </w:rPr>
            </w:pPr>
            <w:r w:rsidRPr="004761E0">
              <w:rPr>
                <w:rFonts w:eastAsia="Times New Roman"/>
                <w:color w:val="000000"/>
                <w:sz w:val="20"/>
                <w:szCs w:val="20"/>
                <w:lang w:eastAsia="ru-RU"/>
              </w:rPr>
              <w:t>29</w:t>
            </w:r>
          </w:p>
        </w:tc>
        <w:tc>
          <w:tcPr>
            <w:tcW w:w="1134" w:type="dxa"/>
            <w:tcBorders>
              <w:top w:val="nil"/>
              <w:left w:val="nil"/>
              <w:bottom w:val="single" w:sz="4" w:space="0" w:color="auto"/>
              <w:right w:val="single" w:sz="4" w:space="0" w:color="auto"/>
            </w:tcBorders>
            <w:shd w:val="clear" w:color="auto" w:fill="auto"/>
            <w:vAlign w:val="center"/>
            <w:hideMark/>
          </w:tcPr>
          <w:p w:rsidR="00D21056" w:rsidRPr="007877E1" w:rsidRDefault="007877E1" w:rsidP="004E03CC">
            <w:pPr>
              <w:ind w:firstLine="0"/>
              <w:jc w:val="right"/>
              <w:rPr>
                <w:rFonts w:eastAsia="Times New Roman"/>
                <w:color w:val="000000"/>
                <w:sz w:val="20"/>
                <w:szCs w:val="20"/>
                <w:lang w:eastAsia="ru-RU"/>
              </w:rPr>
            </w:pPr>
            <w:r>
              <w:rPr>
                <w:rFonts w:eastAsia="Times New Roman"/>
                <w:bCs/>
                <w:color w:val="000000"/>
                <w:sz w:val="20"/>
                <w:szCs w:val="20"/>
                <w:lang w:eastAsia="ru-RU"/>
              </w:rPr>
              <w:t>2</w:t>
            </w:r>
            <w:r w:rsidR="00E30CDF">
              <w:rPr>
                <w:rFonts w:eastAsia="Times New Roman"/>
                <w:bCs/>
                <w:color w:val="000000"/>
                <w:sz w:val="20"/>
                <w:szCs w:val="20"/>
                <w:lang w:eastAsia="ru-RU"/>
              </w:rPr>
              <w:t xml:space="preserve"> </w:t>
            </w:r>
            <w:r>
              <w:rPr>
                <w:rFonts w:eastAsia="Times New Roman"/>
                <w:bCs/>
                <w:color w:val="000000"/>
                <w:sz w:val="20"/>
                <w:szCs w:val="20"/>
                <w:lang w:eastAsia="ru-RU"/>
              </w:rPr>
              <w:t>800,00 %</w:t>
            </w:r>
          </w:p>
        </w:tc>
        <w:tc>
          <w:tcPr>
            <w:tcW w:w="850" w:type="dxa"/>
            <w:tcBorders>
              <w:top w:val="nil"/>
              <w:left w:val="nil"/>
              <w:bottom w:val="single" w:sz="4" w:space="0" w:color="auto"/>
              <w:right w:val="single" w:sz="4" w:space="0" w:color="auto"/>
            </w:tcBorders>
            <w:shd w:val="clear" w:color="auto" w:fill="auto"/>
            <w:vAlign w:val="bottom"/>
            <w:hideMark/>
          </w:tcPr>
          <w:p w:rsidR="00D21056" w:rsidRPr="004761E0" w:rsidRDefault="00D21056" w:rsidP="004E03CC">
            <w:pPr>
              <w:ind w:firstLine="0"/>
              <w:jc w:val="right"/>
              <w:rPr>
                <w:rFonts w:eastAsia="Times New Roman"/>
                <w:color w:val="000000"/>
                <w:sz w:val="20"/>
                <w:szCs w:val="20"/>
                <w:lang w:eastAsia="ru-RU"/>
              </w:rPr>
            </w:pPr>
            <w:r w:rsidRPr="004761E0">
              <w:rPr>
                <w:rFonts w:eastAsia="Times New Roman"/>
                <w:color w:val="000000"/>
                <w:sz w:val="20"/>
                <w:szCs w:val="20"/>
                <w:lang w:eastAsia="ru-RU"/>
              </w:rPr>
              <w:t>16</w:t>
            </w:r>
          </w:p>
        </w:tc>
        <w:tc>
          <w:tcPr>
            <w:tcW w:w="993" w:type="dxa"/>
            <w:tcBorders>
              <w:top w:val="nil"/>
              <w:left w:val="nil"/>
              <w:bottom w:val="single" w:sz="4" w:space="0" w:color="auto"/>
              <w:right w:val="single" w:sz="4" w:space="0" w:color="auto"/>
            </w:tcBorders>
            <w:shd w:val="clear" w:color="auto" w:fill="auto"/>
            <w:vAlign w:val="bottom"/>
            <w:hideMark/>
          </w:tcPr>
          <w:p w:rsidR="00D21056" w:rsidRPr="004761E0" w:rsidRDefault="00D21056" w:rsidP="004E03CC">
            <w:pPr>
              <w:ind w:firstLine="0"/>
              <w:jc w:val="right"/>
              <w:rPr>
                <w:rFonts w:eastAsia="Times New Roman"/>
                <w:color w:val="000000"/>
                <w:sz w:val="20"/>
                <w:szCs w:val="20"/>
                <w:lang w:eastAsia="ru-RU"/>
              </w:rPr>
            </w:pPr>
            <w:r w:rsidRPr="004761E0">
              <w:rPr>
                <w:rFonts w:eastAsia="Times New Roman"/>
                <w:color w:val="000000"/>
                <w:sz w:val="20"/>
                <w:szCs w:val="20"/>
                <w:lang w:eastAsia="ru-RU"/>
              </w:rPr>
              <w:t>413</w:t>
            </w:r>
          </w:p>
        </w:tc>
        <w:tc>
          <w:tcPr>
            <w:tcW w:w="850" w:type="dxa"/>
            <w:tcBorders>
              <w:top w:val="nil"/>
              <w:left w:val="nil"/>
              <w:bottom w:val="single" w:sz="4" w:space="0" w:color="auto"/>
              <w:right w:val="single" w:sz="4" w:space="0" w:color="auto"/>
            </w:tcBorders>
            <w:shd w:val="clear" w:color="auto" w:fill="auto"/>
            <w:vAlign w:val="bottom"/>
            <w:hideMark/>
          </w:tcPr>
          <w:p w:rsidR="00D21056" w:rsidRPr="004761E0" w:rsidRDefault="00D21056" w:rsidP="004E03CC">
            <w:pPr>
              <w:ind w:firstLine="0"/>
              <w:jc w:val="right"/>
              <w:rPr>
                <w:rFonts w:eastAsia="Times New Roman"/>
                <w:color w:val="000000"/>
                <w:sz w:val="20"/>
                <w:szCs w:val="20"/>
                <w:lang w:eastAsia="ru-RU"/>
              </w:rPr>
            </w:pPr>
            <w:r w:rsidRPr="004761E0">
              <w:rPr>
                <w:rFonts w:eastAsia="Times New Roman"/>
                <w:color w:val="000000"/>
                <w:sz w:val="20"/>
                <w:szCs w:val="20"/>
                <w:lang w:eastAsia="ru-RU"/>
              </w:rPr>
              <w:t>64</w:t>
            </w:r>
          </w:p>
        </w:tc>
        <w:tc>
          <w:tcPr>
            <w:tcW w:w="1276" w:type="dxa"/>
            <w:tcBorders>
              <w:top w:val="nil"/>
              <w:left w:val="nil"/>
              <w:bottom w:val="single" w:sz="4" w:space="0" w:color="auto"/>
              <w:right w:val="single" w:sz="4" w:space="0" w:color="auto"/>
            </w:tcBorders>
            <w:shd w:val="clear" w:color="auto" w:fill="auto"/>
            <w:vAlign w:val="center"/>
            <w:hideMark/>
          </w:tcPr>
          <w:p w:rsidR="00D21056" w:rsidRPr="004761E0" w:rsidRDefault="001A25B0" w:rsidP="004E03CC">
            <w:pPr>
              <w:ind w:firstLine="0"/>
              <w:jc w:val="right"/>
              <w:rPr>
                <w:rFonts w:eastAsia="Times New Roman"/>
                <w:color w:val="000000"/>
                <w:sz w:val="20"/>
                <w:szCs w:val="20"/>
                <w:lang w:eastAsia="ru-RU"/>
              </w:rPr>
            </w:pPr>
            <w:r w:rsidRPr="004761E0">
              <w:rPr>
                <w:rFonts w:eastAsia="Times New Roman"/>
                <w:bCs/>
                <w:color w:val="000000"/>
                <w:sz w:val="20"/>
                <w:szCs w:val="20"/>
                <w:lang w:eastAsia="ru-RU"/>
              </w:rPr>
              <w:t>-84,50</w:t>
            </w:r>
            <w:r w:rsidR="00D21056" w:rsidRPr="004761E0">
              <w:rPr>
                <w:rFonts w:eastAsia="Times New Roman"/>
                <w:bCs/>
                <w:color w:val="000000"/>
                <w:sz w:val="20"/>
                <w:szCs w:val="20"/>
                <w:lang w:eastAsia="ru-RU"/>
              </w:rPr>
              <w:t xml:space="preserve"> </w:t>
            </w:r>
            <w:r w:rsidRPr="004761E0">
              <w:rPr>
                <w:rFonts w:eastAsia="Times New Roman"/>
                <w:bCs/>
                <w:color w:val="000000"/>
                <w:sz w:val="20"/>
                <w:szCs w:val="20"/>
                <w:lang w:eastAsia="ru-RU"/>
              </w:rPr>
              <w:t>%</w:t>
            </w:r>
          </w:p>
        </w:tc>
      </w:tr>
      <w:tr w:rsidR="00D21056" w:rsidRPr="004761E0" w:rsidTr="00D21056">
        <w:trPr>
          <w:trHeight w:val="164"/>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C0652D" w:rsidRPr="004761E0" w:rsidRDefault="00C0652D" w:rsidP="007076A7">
            <w:pPr>
              <w:pStyle w:val="a5"/>
              <w:numPr>
                <w:ilvl w:val="1"/>
                <w:numId w:val="108"/>
              </w:numPr>
              <w:tabs>
                <w:tab w:val="left" w:pos="262"/>
              </w:tabs>
              <w:rPr>
                <w:rFonts w:eastAsia="Times New Roman"/>
                <w:color w:val="000000"/>
                <w:sz w:val="20"/>
                <w:szCs w:val="20"/>
                <w:lang w:eastAsia="ru-RU"/>
              </w:rPr>
            </w:pPr>
          </w:p>
        </w:tc>
        <w:tc>
          <w:tcPr>
            <w:tcW w:w="6662" w:type="dxa"/>
            <w:tcBorders>
              <w:top w:val="nil"/>
              <w:left w:val="nil"/>
              <w:bottom w:val="single" w:sz="4" w:space="0" w:color="auto"/>
              <w:right w:val="single" w:sz="4" w:space="0" w:color="auto"/>
            </w:tcBorders>
            <w:shd w:val="clear" w:color="auto" w:fill="auto"/>
            <w:vAlign w:val="center"/>
            <w:hideMark/>
          </w:tcPr>
          <w:p w:rsidR="00C0652D" w:rsidRPr="004761E0" w:rsidRDefault="00D21056">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сельское хозяйство</w:t>
            </w:r>
          </w:p>
        </w:tc>
        <w:tc>
          <w:tcPr>
            <w:tcW w:w="850" w:type="dxa"/>
            <w:tcBorders>
              <w:top w:val="nil"/>
              <w:left w:val="nil"/>
              <w:bottom w:val="single" w:sz="4" w:space="0" w:color="auto"/>
              <w:right w:val="single" w:sz="4" w:space="0" w:color="auto"/>
            </w:tcBorders>
            <w:shd w:val="clear" w:color="auto" w:fill="auto"/>
            <w:vAlign w:val="center"/>
            <w:hideMark/>
          </w:tcPr>
          <w:p w:rsidR="00D21056" w:rsidRPr="004761E0" w:rsidRDefault="00D21056" w:rsidP="004E03CC">
            <w:pPr>
              <w:ind w:firstLine="0"/>
              <w:jc w:val="right"/>
              <w:rPr>
                <w:rFonts w:eastAsia="Times New Roman"/>
                <w:color w:val="000000"/>
                <w:sz w:val="20"/>
                <w:szCs w:val="20"/>
                <w:lang w:eastAsia="ru-RU"/>
              </w:rPr>
            </w:pPr>
            <w:r w:rsidRPr="004761E0">
              <w:rPr>
                <w:rFonts w:eastAsia="Times New Roman"/>
                <w:color w:val="000000"/>
                <w:sz w:val="20"/>
                <w:szCs w:val="20"/>
                <w:lang w:eastAsia="ru-RU"/>
              </w:rPr>
              <w:t>0</w:t>
            </w:r>
          </w:p>
        </w:tc>
        <w:tc>
          <w:tcPr>
            <w:tcW w:w="851" w:type="dxa"/>
            <w:tcBorders>
              <w:top w:val="nil"/>
              <w:left w:val="nil"/>
              <w:bottom w:val="single" w:sz="4" w:space="0" w:color="auto"/>
              <w:right w:val="single" w:sz="4" w:space="0" w:color="auto"/>
            </w:tcBorders>
            <w:shd w:val="clear" w:color="auto" w:fill="auto"/>
            <w:vAlign w:val="center"/>
            <w:hideMark/>
          </w:tcPr>
          <w:p w:rsidR="00D21056" w:rsidRPr="004761E0" w:rsidRDefault="00D21056" w:rsidP="004E03CC">
            <w:pPr>
              <w:ind w:firstLine="0"/>
              <w:jc w:val="right"/>
              <w:rPr>
                <w:rFonts w:eastAsia="Times New Roman"/>
                <w:color w:val="000000"/>
                <w:sz w:val="20"/>
                <w:szCs w:val="20"/>
                <w:lang w:eastAsia="ru-RU"/>
              </w:rPr>
            </w:pPr>
            <w:r w:rsidRPr="004761E0">
              <w:rPr>
                <w:rFonts w:eastAsia="Times New Roman"/>
                <w:color w:val="000000"/>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D21056" w:rsidRPr="004761E0" w:rsidRDefault="00D21056" w:rsidP="004E03CC">
            <w:pPr>
              <w:ind w:firstLine="0"/>
              <w:jc w:val="right"/>
              <w:rPr>
                <w:rFonts w:eastAsia="Times New Roman"/>
                <w:color w:val="000000"/>
                <w:sz w:val="20"/>
                <w:szCs w:val="20"/>
                <w:lang w:eastAsia="ru-RU"/>
              </w:rPr>
            </w:pPr>
            <w:r w:rsidRPr="004761E0">
              <w:rPr>
                <w:rFonts w:eastAsia="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D21056" w:rsidRPr="004761E0" w:rsidRDefault="00D21056" w:rsidP="00D21056">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vAlign w:val="bottom"/>
            <w:hideMark/>
          </w:tcPr>
          <w:p w:rsidR="00D21056" w:rsidRPr="004761E0" w:rsidRDefault="00D21056" w:rsidP="004E03CC">
            <w:pPr>
              <w:ind w:firstLine="0"/>
              <w:jc w:val="right"/>
              <w:rPr>
                <w:rFonts w:eastAsia="Times New Roman"/>
                <w:color w:val="000000"/>
                <w:sz w:val="20"/>
                <w:szCs w:val="20"/>
                <w:lang w:eastAsia="ru-RU"/>
              </w:rPr>
            </w:pPr>
            <w:r w:rsidRPr="004761E0">
              <w:rPr>
                <w:rFonts w:eastAsia="Times New Roman"/>
                <w:color w:val="000000"/>
                <w:sz w:val="20"/>
                <w:szCs w:val="20"/>
                <w:lang w:eastAsia="ru-RU"/>
              </w:rPr>
              <w:t>1</w:t>
            </w:r>
          </w:p>
        </w:tc>
        <w:tc>
          <w:tcPr>
            <w:tcW w:w="993" w:type="dxa"/>
            <w:tcBorders>
              <w:top w:val="nil"/>
              <w:left w:val="nil"/>
              <w:bottom w:val="single" w:sz="4" w:space="0" w:color="auto"/>
              <w:right w:val="single" w:sz="4" w:space="0" w:color="auto"/>
            </w:tcBorders>
            <w:shd w:val="clear" w:color="auto" w:fill="auto"/>
            <w:vAlign w:val="bottom"/>
            <w:hideMark/>
          </w:tcPr>
          <w:p w:rsidR="00D21056" w:rsidRPr="004761E0" w:rsidRDefault="00D21056" w:rsidP="004E03CC">
            <w:pPr>
              <w:ind w:firstLine="0"/>
              <w:jc w:val="right"/>
              <w:rPr>
                <w:rFonts w:eastAsia="Times New Roman"/>
                <w:color w:val="000000"/>
                <w:sz w:val="20"/>
                <w:szCs w:val="20"/>
                <w:lang w:eastAsia="ru-RU"/>
              </w:rPr>
            </w:pPr>
            <w:r w:rsidRPr="004761E0">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vAlign w:val="bottom"/>
            <w:hideMark/>
          </w:tcPr>
          <w:p w:rsidR="00D21056" w:rsidRPr="004761E0" w:rsidRDefault="00D21056" w:rsidP="004E03CC">
            <w:pPr>
              <w:ind w:firstLine="0"/>
              <w:jc w:val="right"/>
              <w:rPr>
                <w:rFonts w:eastAsia="Times New Roman"/>
                <w:color w:val="000000"/>
                <w:sz w:val="20"/>
                <w:szCs w:val="20"/>
                <w:lang w:eastAsia="ru-RU"/>
              </w:rPr>
            </w:pPr>
            <w:r w:rsidRPr="004761E0">
              <w:rPr>
                <w:rFonts w:eastAsia="Times New Roman"/>
                <w:color w:val="000000"/>
                <w:sz w:val="20"/>
                <w:szCs w:val="20"/>
                <w:lang w:eastAsia="ru-RU"/>
              </w:rPr>
              <w:t>3</w:t>
            </w:r>
          </w:p>
        </w:tc>
        <w:tc>
          <w:tcPr>
            <w:tcW w:w="1276" w:type="dxa"/>
            <w:tcBorders>
              <w:top w:val="nil"/>
              <w:left w:val="nil"/>
              <w:bottom w:val="single" w:sz="4" w:space="0" w:color="auto"/>
              <w:right w:val="single" w:sz="4" w:space="0" w:color="auto"/>
            </w:tcBorders>
            <w:shd w:val="clear" w:color="auto" w:fill="auto"/>
            <w:vAlign w:val="center"/>
            <w:hideMark/>
          </w:tcPr>
          <w:p w:rsidR="00D21056" w:rsidRPr="004761E0" w:rsidRDefault="007877E1" w:rsidP="00D21056">
            <w:pPr>
              <w:ind w:firstLine="0"/>
              <w:jc w:val="right"/>
              <w:rPr>
                <w:rFonts w:eastAsia="Times New Roman"/>
                <w:color w:val="000000"/>
                <w:sz w:val="20"/>
                <w:szCs w:val="20"/>
                <w:lang w:eastAsia="ru-RU"/>
              </w:rPr>
            </w:pPr>
            <w:r>
              <w:rPr>
                <w:rFonts w:eastAsia="Times New Roman"/>
                <w:bCs/>
                <w:color w:val="000000"/>
                <w:sz w:val="20"/>
                <w:szCs w:val="20"/>
                <w:lang w:eastAsia="ru-RU"/>
              </w:rPr>
              <w:t>200</w:t>
            </w:r>
            <w:r w:rsidR="00D21056" w:rsidRPr="004761E0">
              <w:rPr>
                <w:rFonts w:eastAsia="Times New Roman"/>
                <w:bCs/>
                <w:color w:val="000000"/>
                <w:sz w:val="20"/>
                <w:szCs w:val="20"/>
                <w:lang w:eastAsia="ru-RU"/>
              </w:rPr>
              <w:t>,00 %</w:t>
            </w:r>
          </w:p>
        </w:tc>
      </w:tr>
      <w:tr w:rsidR="00D21056" w:rsidRPr="004761E0" w:rsidTr="00D21056">
        <w:trPr>
          <w:trHeight w:val="164"/>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C0652D" w:rsidRPr="004761E0" w:rsidRDefault="00C0652D" w:rsidP="007076A7">
            <w:pPr>
              <w:pStyle w:val="a5"/>
              <w:numPr>
                <w:ilvl w:val="1"/>
                <w:numId w:val="108"/>
              </w:numPr>
              <w:tabs>
                <w:tab w:val="left" w:pos="262"/>
              </w:tabs>
              <w:rPr>
                <w:rFonts w:eastAsia="Times New Roman"/>
                <w:color w:val="000000"/>
                <w:sz w:val="20"/>
                <w:szCs w:val="20"/>
                <w:lang w:eastAsia="ru-RU"/>
              </w:rPr>
            </w:pPr>
          </w:p>
        </w:tc>
        <w:tc>
          <w:tcPr>
            <w:tcW w:w="6662" w:type="dxa"/>
            <w:tcBorders>
              <w:top w:val="nil"/>
              <w:left w:val="nil"/>
              <w:bottom w:val="single" w:sz="4" w:space="0" w:color="auto"/>
              <w:right w:val="single" w:sz="4" w:space="0" w:color="auto"/>
            </w:tcBorders>
            <w:shd w:val="clear" w:color="auto" w:fill="auto"/>
            <w:vAlign w:val="center"/>
            <w:hideMark/>
          </w:tcPr>
          <w:p w:rsidR="00D21056" w:rsidRPr="004761E0" w:rsidRDefault="00D21056" w:rsidP="004E03CC">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коммунально-бытовая и социальная сферы</w:t>
            </w:r>
          </w:p>
        </w:tc>
        <w:tc>
          <w:tcPr>
            <w:tcW w:w="850" w:type="dxa"/>
            <w:tcBorders>
              <w:top w:val="nil"/>
              <w:left w:val="nil"/>
              <w:bottom w:val="single" w:sz="4" w:space="0" w:color="auto"/>
              <w:right w:val="single" w:sz="4" w:space="0" w:color="auto"/>
            </w:tcBorders>
            <w:shd w:val="clear" w:color="auto" w:fill="auto"/>
            <w:vAlign w:val="center"/>
            <w:hideMark/>
          </w:tcPr>
          <w:p w:rsidR="00D21056" w:rsidRPr="004761E0" w:rsidRDefault="00D21056" w:rsidP="004E03CC">
            <w:pPr>
              <w:ind w:firstLine="0"/>
              <w:jc w:val="right"/>
              <w:rPr>
                <w:rFonts w:eastAsia="Times New Roman"/>
                <w:color w:val="000000"/>
                <w:sz w:val="20"/>
                <w:szCs w:val="20"/>
                <w:lang w:eastAsia="ru-RU"/>
              </w:rPr>
            </w:pPr>
            <w:r w:rsidRPr="004761E0">
              <w:rPr>
                <w:rFonts w:eastAsia="Times New Roman"/>
                <w:color w:val="000000"/>
                <w:sz w:val="20"/>
                <w:szCs w:val="20"/>
                <w:lang w:eastAsia="ru-RU"/>
              </w:rPr>
              <w:t>210</w:t>
            </w:r>
          </w:p>
        </w:tc>
        <w:tc>
          <w:tcPr>
            <w:tcW w:w="851" w:type="dxa"/>
            <w:tcBorders>
              <w:top w:val="nil"/>
              <w:left w:val="nil"/>
              <w:bottom w:val="single" w:sz="4" w:space="0" w:color="auto"/>
              <w:right w:val="single" w:sz="4" w:space="0" w:color="auto"/>
            </w:tcBorders>
            <w:shd w:val="clear" w:color="auto" w:fill="auto"/>
            <w:vAlign w:val="center"/>
            <w:hideMark/>
          </w:tcPr>
          <w:p w:rsidR="00D21056" w:rsidRPr="004761E0" w:rsidRDefault="00D21056" w:rsidP="004E03CC">
            <w:pPr>
              <w:ind w:firstLine="0"/>
              <w:jc w:val="right"/>
              <w:rPr>
                <w:rFonts w:eastAsia="Times New Roman"/>
                <w:color w:val="000000"/>
                <w:sz w:val="20"/>
                <w:szCs w:val="20"/>
                <w:lang w:eastAsia="ru-RU"/>
              </w:rPr>
            </w:pPr>
            <w:r w:rsidRPr="004761E0">
              <w:rPr>
                <w:rFonts w:eastAsia="Times New Roman"/>
                <w:color w:val="000000"/>
                <w:sz w:val="20"/>
                <w:szCs w:val="20"/>
                <w:lang w:eastAsia="ru-RU"/>
              </w:rPr>
              <w:t>72</w:t>
            </w:r>
          </w:p>
        </w:tc>
        <w:tc>
          <w:tcPr>
            <w:tcW w:w="992" w:type="dxa"/>
            <w:tcBorders>
              <w:top w:val="nil"/>
              <w:left w:val="nil"/>
              <w:bottom w:val="single" w:sz="4" w:space="0" w:color="auto"/>
              <w:right w:val="single" w:sz="4" w:space="0" w:color="auto"/>
            </w:tcBorders>
            <w:shd w:val="clear" w:color="auto" w:fill="auto"/>
            <w:vAlign w:val="center"/>
            <w:hideMark/>
          </w:tcPr>
          <w:p w:rsidR="00D21056" w:rsidRPr="004761E0" w:rsidRDefault="00D21056" w:rsidP="004E03CC">
            <w:pPr>
              <w:ind w:firstLine="0"/>
              <w:jc w:val="right"/>
              <w:rPr>
                <w:rFonts w:eastAsia="Times New Roman"/>
                <w:color w:val="000000"/>
                <w:sz w:val="20"/>
                <w:szCs w:val="20"/>
                <w:lang w:eastAsia="ru-RU"/>
              </w:rPr>
            </w:pPr>
            <w:r w:rsidRPr="004761E0">
              <w:rPr>
                <w:rFonts w:eastAsia="Times New Roman"/>
                <w:color w:val="000000"/>
                <w:sz w:val="20"/>
                <w:szCs w:val="20"/>
                <w:lang w:eastAsia="ru-RU"/>
              </w:rPr>
              <w:t>64</w:t>
            </w:r>
          </w:p>
        </w:tc>
        <w:tc>
          <w:tcPr>
            <w:tcW w:w="1134" w:type="dxa"/>
            <w:tcBorders>
              <w:top w:val="nil"/>
              <w:left w:val="nil"/>
              <w:bottom w:val="single" w:sz="4" w:space="0" w:color="auto"/>
              <w:right w:val="single" w:sz="4" w:space="0" w:color="auto"/>
            </w:tcBorders>
            <w:shd w:val="clear" w:color="auto" w:fill="auto"/>
            <w:vAlign w:val="center"/>
            <w:hideMark/>
          </w:tcPr>
          <w:p w:rsidR="00D21056" w:rsidRPr="004761E0" w:rsidRDefault="001A25B0" w:rsidP="004E03CC">
            <w:pPr>
              <w:ind w:firstLine="0"/>
              <w:jc w:val="right"/>
              <w:rPr>
                <w:rFonts w:eastAsia="Times New Roman"/>
                <w:color w:val="000000"/>
                <w:sz w:val="20"/>
                <w:szCs w:val="20"/>
                <w:lang w:eastAsia="ru-RU"/>
              </w:rPr>
            </w:pPr>
            <w:r w:rsidRPr="004761E0">
              <w:rPr>
                <w:rFonts w:eastAsia="Times New Roman"/>
                <w:bCs/>
                <w:color w:val="000000"/>
                <w:sz w:val="20"/>
                <w:szCs w:val="20"/>
                <w:lang w:eastAsia="ru-RU"/>
              </w:rPr>
              <w:t>-11,47</w:t>
            </w:r>
            <w:r w:rsidR="00D21056" w:rsidRPr="004761E0">
              <w:rPr>
                <w:rFonts w:eastAsia="Times New Roman"/>
                <w:bCs/>
                <w:color w:val="000000"/>
                <w:sz w:val="20"/>
                <w:szCs w:val="20"/>
                <w:lang w:eastAsia="ru-RU"/>
              </w:rPr>
              <w:t xml:space="preserve"> </w:t>
            </w:r>
            <w:r w:rsidRPr="004761E0">
              <w:rPr>
                <w:rFonts w:eastAsia="Times New Roman"/>
                <w:bCs/>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vAlign w:val="bottom"/>
            <w:hideMark/>
          </w:tcPr>
          <w:p w:rsidR="00D21056" w:rsidRPr="004761E0" w:rsidRDefault="00D21056" w:rsidP="004E03CC">
            <w:pPr>
              <w:ind w:firstLine="0"/>
              <w:jc w:val="right"/>
              <w:rPr>
                <w:rFonts w:eastAsia="Times New Roman"/>
                <w:color w:val="000000"/>
                <w:sz w:val="20"/>
                <w:szCs w:val="20"/>
                <w:lang w:eastAsia="ru-RU"/>
              </w:rPr>
            </w:pPr>
            <w:r w:rsidRPr="004761E0">
              <w:rPr>
                <w:rFonts w:eastAsia="Times New Roman"/>
                <w:color w:val="000000"/>
                <w:sz w:val="20"/>
                <w:szCs w:val="20"/>
                <w:lang w:eastAsia="ru-RU"/>
              </w:rPr>
              <w:t>155</w:t>
            </w:r>
          </w:p>
        </w:tc>
        <w:tc>
          <w:tcPr>
            <w:tcW w:w="993" w:type="dxa"/>
            <w:tcBorders>
              <w:top w:val="nil"/>
              <w:left w:val="nil"/>
              <w:bottom w:val="single" w:sz="4" w:space="0" w:color="auto"/>
              <w:right w:val="single" w:sz="4" w:space="0" w:color="auto"/>
            </w:tcBorders>
            <w:shd w:val="clear" w:color="auto" w:fill="auto"/>
            <w:vAlign w:val="bottom"/>
            <w:hideMark/>
          </w:tcPr>
          <w:p w:rsidR="00D21056" w:rsidRPr="004761E0" w:rsidRDefault="00D21056" w:rsidP="004E03CC">
            <w:pPr>
              <w:ind w:firstLine="0"/>
              <w:jc w:val="right"/>
              <w:rPr>
                <w:rFonts w:eastAsia="Times New Roman"/>
                <w:color w:val="000000"/>
                <w:sz w:val="20"/>
                <w:szCs w:val="20"/>
                <w:lang w:eastAsia="ru-RU"/>
              </w:rPr>
            </w:pPr>
            <w:r w:rsidRPr="004761E0">
              <w:rPr>
                <w:rFonts w:eastAsia="Times New Roman"/>
                <w:color w:val="000000"/>
                <w:sz w:val="20"/>
                <w:szCs w:val="20"/>
                <w:lang w:eastAsia="ru-RU"/>
              </w:rPr>
              <w:t>56</w:t>
            </w:r>
          </w:p>
        </w:tc>
        <w:tc>
          <w:tcPr>
            <w:tcW w:w="850" w:type="dxa"/>
            <w:tcBorders>
              <w:top w:val="nil"/>
              <w:left w:val="nil"/>
              <w:bottom w:val="single" w:sz="4" w:space="0" w:color="auto"/>
              <w:right w:val="single" w:sz="4" w:space="0" w:color="auto"/>
            </w:tcBorders>
            <w:shd w:val="clear" w:color="auto" w:fill="auto"/>
            <w:vAlign w:val="bottom"/>
            <w:hideMark/>
          </w:tcPr>
          <w:p w:rsidR="00D21056" w:rsidRPr="004761E0" w:rsidRDefault="00D21056" w:rsidP="004E03CC">
            <w:pPr>
              <w:ind w:firstLine="0"/>
              <w:jc w:val="right"/>
              <w:rPr>
                <w:rFonts w:eastAsia="Times New Roman"/>
                <w:color w:val="000000"/>
                <w:sz w:val="20"/>
                <w:szCs w:val="20"/>
                <w:lang w:eastAsia="ru-RU"/>
              </w:rPr>
            </w:pPr>
            <w:r w:rsidRPr="004761E0">
              <w:rPr>
                <w:rFonts w:eastAsia="Times New Roman"/>
                <w:color w:val="000000"/>
                <w:sz w:val="20"/>
                <w:szCs w:val="20"/>
                <w:lang w:eastAsia="ru-RU"/>
              </w:rPr>
              <w:t>183</w:t>
            </w:r>
          </w:p>
        </w:tc>
        <w:tc>
          <w:tcPr>
            <w:tcW w:w="1276" w:type="dxa"/>
            <w:tcBorders>
              <w:top w:val="nil"/>
              <w:left w:val="nil"/>
              <w:bottom w:val="single" w:sz="4" w:space="0" w:color="auto"/>
              <w:right w:val="single" w:sz="4" w:space="0" w:color="auto"/>
            </w:tcBorders>
            <w:shd w:val="clear" w:color="auto" w:fill="auto"/>
            <w:vAlign w:val="center"/>
            <w:hideMark/>
          </w:tcPr>
          <w:p w:rsidR="00D21056" w:rsidRPr="004761E0" w:rsidRDefault="007877E1" w:rsidP="007877E1">
            <w:pPr>
              <w:ind w:firstLine="0"/>
              <w:jc w:val="right"/>
              <w:rPr>
                <w:rFonts w:eastAsia="Times New Roman"/>
                <w:color w:val="000000"/>
                <w:sz w:val="20"/>
                <w:szCs w:val="20"/>
                <w:lang w:eastAsia="ru-RU"/>
              </w:rPr>
            </w:pPr>
            <w:r>
              <w:rPr>
                <w:rFonts w:eastAsia="Times New Roman"/>
                <w:bCs/>
                <w:color w:val="000000"/>
                <w:sz w:val="20"/>
                <w:szCs w:val="20"/>
                <w:lang w:eastAsia="ru-RU"/>
              </w:rPr>
              <w:t>226</w:t>
            </w:r>
            <w:r w:rsidR="00D21056" w:rsidRPr="004761E0">
              <w:rPr>
                <w:rFonts w:eastAsia="Times New Roman"/>
                <w:bCs/>
                <w:color w:val="000000"/>
                <w:sz w:val="20"/>
                <w:szCs w:val="20"/>
                <w:lang w:eastAsia="ru-RU"/>
              </w:rPr>
              <w:t>,</w:t>
            </w:r>
            <w:r>
              <w:rPr>
                <w:rFonts w:eastAsia="Times New Roman"/>
                <w:bCs/>
                <w:color w:val="000000"/>
                <w:sz w:val="20"/>
                <w:szCs w:val="20"/>
                <w:lang w:eastAsia="ru-RU"/>
              </w:rPr>
              <w:t>79</w:t>
            </w:r>
            <w:r w:rsidR="00D21056" w:rsidRPr="004761E0">
              <w:rPr>
                <w:rFonts w:eastAsia="Times New Roman"/>
                <w:bCs/>
                <w:color w:val="000000"/>
                <w:sz w:val="20"/>
                <w:szCs w:val="20"/>
                <w:lang w:eastAsia="ru-RU"/>
              </w:rPr>
              <w:t xml:space="preserve"> %</w:t>
            </w:r>
          </w:p>
        </w:tc>
      </w:tr>
      <w:tr w:rsidR="00D21056" w:rsidRPr="004761E0" w:rsidTr="00D21056">
        <w:trPr>
          <w:trHeight w:val="203"/>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C0652D" w:rsidRPr="004761E0" w:rsidRDefault="00C0652D" w:rsidP="007076A7">
            <w:pPr>
              <w:pStyle w:val="a5"/>
              <w:numPr>
                <w:ilvl w:val="1"/>
                <w:numId w:val="108"/>
              </w:numPr>
              <w:tabs>
                <w:tab w:val="left" w:pos="262"/>
              </w:tabs>
              <w:rPr>
                <w:rFonts w:eastAsia="Times New Roman"/>
                <w:color w:val="000000"/>
                <w:sz w:val="20"/>
                <w:szCs w:val="20"/>
                <w:lang w:eastAsia="ru-RU"/>
              </w:rPr>
            </w:pPr>
          </w:p>
        </w:tc>
        <w:tc>
          <w:tcPr>
            <w:tcW w:w="6662" w:type="dxa"/>
            <w:tcBorders>
              <w:top w:val="nil"/>
              <w:left w:val="nil"/>
              <w:bottom w:val="single" w:sz="4" w:space="0" w:color="auto"/>
              <w:right w:val="single" w:sz="4" w:space="0" w:color="auto"/>
            </w:tcBorders>
            <w:shd w:val="clear" w:color="auto" w:fill="auto"/>
            <w:vAlign w:val="center"/>
            <w:hideMark/>
          </w:tcPr>
          <w:p w:rsidR="00C0652D" w:rsidRPr="004761E0" w:rsidRDefault="00D21056">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физические лица</w:t>
            </w:r>
          </w:p>
        </w:tc>
        <w:tc>
          <w:tcPr>
            <w:tcW w:w="850" w:type="dxa"/>
            <w:tcBorders>
              <w:top w:val="nil"/>
              <w:left w:val="nil"/>
              <w:bottom w:val="single" w:sz="4" w:space="0" w:color="auto"/>
              <w:right w:val="single" w:sz="4" w:space="0" w:color="auto"/>
            </w:tcBorders>
            <w:shd w:val="clear" w:color="auto" w:fill="auto"/>
            <w:vAlign w:val="center"/>
            <w:hideMark/>
          </w:tcPr>
          <w:p w:rsidR="00D21056" w:rsidRPr="004761E0" w:rsidRDefault="00D21056" w:rsidP="004E03CC">
            <w:pPr>
              <w:ind w:firstLine="0"/>
              <w:jc w:val="right"/>
              <w:rPr>
                <w:rFonts w:eastAsia="Times New Roman"/>
                <w:color w:val="000000"/>
                <w:sz w:val="20"/>
                <w:szCs w:val="20"/>
                <w:lang w:eastAsia="ru-RU"/>
              </w:rPr>
            </w:pPr>
            <w:r w:rsidRPr="004761E0">
              <w:rPr>
                <w:rFonts w:eastAsia="Times New Roman"/>
                <w:color w:val="000000"/>
                <w:sz w:val="20"/>
                <w:szCs w:val="20"/>
                <w:lang w:eastAsia="ru-RU"/>
              </w:rPr>
              <w:t>5</w:t>
            </w:r>
          </w:p>
        </w:tc>
        <w:tc>
          <w:tcPr>
            <w:tcW w:w="851" w:type="dxa"/>
            <w:tcBorders>
              <w:top w:val="nil"/>
              <w:left w:val="nil"/>
              <w:bottom w:val="single" w:sz="4" w:space="0" w:color="auto"/>
              <w:right w:val="single" w:sz="4" w:space="0" w:color="auto"/>
            </w:tcBorders>
            <w:shd w:val="clear" w:color="auto" w:fill="auto"/>
            <w:vAlign w:val="center"/>
            <w:hideMark/>
          </w:tcPr>
          <w:p w:rsidR="00D21056" w:rsidRPr="004761E0" w:rsidRDefault="00D21056" w:rsidP="004E03CC">
            <w:pPr>
              <w:ind w:firstLine="0"/>
              <w:jc w:val="right"/>
              <w:rPr>
                <w:rFonts w:eastAsia="Times New Roman"/>
                <w:color w:val="000000"/>
                <w:sz w:val="20"/>
                <w:szCs w:val="20"/>
                <w:lang w:eastAsia="ru-RU"/>
              </w:rPr>
            </w:pPr>
            <w:r w:rsidRPr="004761E0">
              <w:rPr>
                <w:rFonts w:eastAsia="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D21056" w:rsidRPr="004761E0" w:rsidRDefault="00D21056" w:rsidP="004E03CC">
            <w:pPr>
              <w:ind w:firstLine="0"/>
              <w:jc w:val="right"/>
              <w:rPr>
                <w:rFonts w:eastAsia="Times New Roman"/>
                <w:color w:val="000000"/>
                <w:sz w:val="20"/>
                <w:szCs w:val="20"/>
                <w:lang w:eastAsia="ru-RU"/>
              </w:rPr>
            </w:pPr>
            <w:r w:rsidRPr="004761E0">
              <w:rPr>
                <w:rFonts w:eastAsia="Times New Roman"/>
                <w:color w:val="000000"/>
                <w:sz w:val="20"/>
                <w:szCs w:val="20"/>
                <w:lang w:eastAsia="ru-RU"/>
              </w:rPr>
              <w:t>9</w:t>
            </w:r>
          </w:p>
        </w:tc>
        <w:tc>
          <w:tcPr>
            <w:tcW w:w="1134" w:type="dxa"/>
            <w:tcBorders>
              <w:top w:val="nil"/>
              <w:left w:val="nil"/>
              <w:bottom w:val="single" w:sz="4" w:space="0" w:color="auto"/>
              <w:right w:val="single" w:sz="4" w:space="0" w:color="auto"/>
            </w:tcBorders>
            <w:shd w:val="clear" w:color="auto" w:fill="auto"/>
            <w:vAlign w:val="center"/>
            <w:hideMark/>
          </w:tcPr>
          <w:p w:rsidR="00D21056" w:rsidRPr="004761E0" w:rsidRDefault="007877E1" w:rsidP="007877E1">
            <w:pPr>
              <w:ind w:firstLine="0"/>
              <w:jc w:val="center"/>
              <w:rPr>
                <w:rFonts w:eastAsia="Times New Roman"/>
                <w:color w:val="000000"/>
                <w:sz w:val="20"/>
                <w:szCs w:val="20"/>
                <w:lang w:eastAsia="ru-RU"/>
              </w:rPr>
            </w:pPr>
            <w:r>
              <w:rPr>
                <w:rFonts w:eastAsia="Times New Roman"/>
                <w:bCs/>
                <w:color w:val="000000"/>
                <w:sz w:val="20"/>
                <w:szCs w:val="20"/>
                <w:lang w:eastAsia="ru-RU"/>
              </w:rPr>
              <w:t>800,00</w:t>
            </w:r>
            <w:r w:rsidR="00D21056" w:rsidRPr="004761E0">
              <w:rPr>
                <w:rFonts w:eastAsia="Times New Roman"/>
                <w:bCs/>
                <w:color w:val="000000"/>
                <w:sz w:val="20"/>
                <w:szCs w:val="20"/>
                <w:lang w:eastAsia="ru-RU"/>
              </w:rPr>
              <w:t xml:space="preserve"> </w:t>
            </w:r>
            <w:r w:rsidR="001A25B0" w:rsidRPr="004761E0">
              <w:rPr>
                <w:rFonts w:eastAsia="Times New Roman"/>
                <w:bCs/>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vAlign w:val="bottom"/>
            <w:hideMark/>
          </w:tcPr>
          <w:p w:rsidR="00D21056" w:rsidRPr="004761E0" w:rsidRDefault="00D21056" w:rsidP="004E03CC">
            <w:pPr>
              <w:ind w:firstLine="0"/>
              <w:jc w:val="right"/>
              <w:rPr>
                <w:rFonts w:eastAsia="Times New Roman"/>
                <w:color w:val="000000"/>
                <w:sz w:val="20"/>
                <w:szCs w:val="20"/>
                <w:lang w:eastAsia="ru-RU"/>
              </w:rPr>
            </w:pPr>
            <w:r w:rsidRPr="004761E0">
              <w:rPr>
                <w:rFonts w:eastAsia="Times New Roman"/>
                <w:color w:val="000000"/>
                <w:sz w:val="20"/>
                <w:szCs w:val="20"/>
                <w:lang w:eastAsia="ru-RU"/>
              </w:rPr>
              <w:t>107</w:t>
            </w:r>
          </w:p>
        </w:tc>
        <w:tc>
          <w:tcPr>
            <w:tcW w:w="993" w:type="dxa"/>
            <w:tcBorders>
              <w:top w:val="nil"/>
              <w:left w:val="nil"/>
              <w:bottom w:val="single" w:sz="4" w:space="0" w:color="auto"/>
              <w:right w:val="single" w:sz="4" w:space="0" w:color="auto"/>
            </w:tcBorders>
            <w:shd w:val="clear" w:color="auto" w:fill="auto"/>
            <w:vAlign w:val="bottom"/>
            <w:hideMark/>
          </w:tcPr>
          <w:p w:rsidR="00D21056" w:rsidRPr="004761E0" w:rsidRDefault="00D21056" w:rsidP="004E03CC">
            <w:pPr>
              <w:ind w:firstLine="0"/>
              <w:jc w:val="right"/>
              <w:rPr>
                <w:rFonts w:eastAsia="Times New Roman"/>
                <w:color w:val="000000"/>
                <w:sz w:val="20"/>
                <w:szCs w:val="20"/>
                <w:lang w:eastAsia="ru-RU"/>
              </w:rPr>
            </w:pPr>
            <w:r w:rsidRPr="004761E0">
              <w:rPr>
                <w:rFonts w:eastAsia="Times New Roman"/>
                <w:color w:val="000000"/>
                <w:sz w:val="20"/>
                <w:szCs w:val="20"/>
                <w:lang w:eastAsia="ru-RU"/>
              </w:rPr>
              <w:t>170</w:t>
            </w:r>
          </w:p>
        </w:tc>
        <w:tc>
          <w:tcPr>
            <w:tcW w:w="850" w:type="dxa"/>
            <w:tcBorders>
              <w:top w:val="nil"/>
              <w:left w:val="nil"/>
              <w:bottom w:val="single" w:sz="4" w:space="0" w:color="auto"/>
              <w:right w:val="single" w:sz="4" w:space="0" w:color="auto"/>
            </w:tcBorders>
            <w:shd w:val="clear" w:color="auto" w:fill="auto"/>
            <w:vAlign w:val="bottom"/>
            <w:hideMark/>
          </w:tcPr>
          <w:p w:rsidR="00D21056" w:rsidRPr="004761E0" w:rsidRDefault="00D21056" w:rsidP="004E03CC">
            <w:pPr>
              <w:ind w:firstLine="0"/>
              <w:jc w:val="right"/>
              <w:rPr>
                <w:rFonts w:eastAsia="Times New Roman"/>
                <w:color w:val="000000"/>
                <w:sz w:val="20"/>
                <w:szCs w:val="20"/>
                <w:lang w:eastAsia="ru-RU"/>
              </w:rPr>
            </w:pPr>
            <w:r w:rsidRPr="004761E0">
              <w:rPr>
                <w:rFonts w:eastAsia="Times New Roman"/>
                <w:color w:val="000000"/>
                <w:sz w:val="20"/>
                <w:szCs w:val="20"/>
                <w:lang w:eastAsia="ru-RU"/>
              </w:rPr>
              <w:t>382</w:t>
            </w:r>
          </w:p>
        </w:tc>
        <w:tc>
          <w:tcPr>
            <w:tcW w:w="1276" w:type="dxa"/>
            <w:tcBorders>
              <w:top w:val="nil"/>
              <w:left w:val="nil"/>
              <w:bottom w:val="single" w:sz="4" w:space="0" w:color="auto"/>
              <w:right w:val="single" w:sz="4" w:space="0" w:color="auto"/>
            </w:tcBorders>
            <w:shd w:val="clear" w:color="auto" w:fill="auto"/>
            <w:vAlign w:val="center"/>
            <w:hideMark/>
          </w:tcPr>
          <w:p w:rsidR="00D21056" w:rsidRPr="004761E0" w:rsidRDefault="00D21056" w:rsidP="007877E1">
            <w:pPr>
              <w:ind w:firstLine="0"/>
              <w:jc w:val="right"/>
              <w:rPr>
                <w:rFonts w:eastAsia="Times New Roman"/>
                <w:color w:val="000000"/>
                <w:sz w:val="20"/>
                <w:szCs w:val="20"/>
                <w:lang w:eastAsia="ru-RU"/>
              </w:rPr>
            </w:pPr>
            <w:r w:rsidRPr="004761E0">
              <w:rPr>
                <w:rFonts w:eastAsia="Times New Roman"/>
                <w:bCs/>
                <w:color w:val="000000"/>
                <w:sz w:val="20"/>
                <w:szCs w:val="20"/>
                <w:lang w:eastAsia="ru-RU"/>
              </w:rPr>
              <w:t>1</w:t>
            </w:r>
            <w:r w:rsidR="007877E1">
              <w:rPr>
                <w:rFonts w:eastAsia="Times New Roman"/>
                <w:bCs/>
                <w:color w:val="000000"/>
                <w:sz w:val="20"/>
                <w:szCs w:val="20"/>
                <w:lang w:eastAsia="ru-RU"/>
              </w:rPr>
              <w:t>24</w:t>
            </w:r>
            <w:r w:rsidRPr="004761E0">
              <w:rPr>
                <w:rFonts w:eastAsia="Times New Roman"/>
                <w:bCs/>
                <w:color w:val="000000"/>
                <w:sz w:val="20"/>
                <w:szCs w:val="20"/>
                <w:lang w:eastAsia="ru-RU"/>
              </w:rPr>
              <w:t>,</w:t>
            </w:r>
            <w:r w:rsidR="007877E1">
              <w:rPr>
                <w:rFonts w:eastAsia="Times New Roman"/>
                <w:bCs/>
                <w:color w:val="000000"/>
                <w:sz w:val="20"/>
                <w:szCs w:val="20"/>
                <w:lang w:eastAsia="ru-RU"/>
              </w:rPr>
              <w:t>71</w:t>
            </w:r>
            <w:r w:rsidRPr="004761E0">
              <w:rPr>
                <w:rFonts w:eastAsia="Times New Roman"/>
                <w:bCs/>
                <w:color w:val="000000"/>
                <w:sz w:val="20"/>
                <w:szCs w:val="20"/>
                <w:lang w:eastAsia="ru-RU"/>
              </w:rPr>
              <w:t xml:space="preserve"> %</w:t>
            </w:r>
          </w:p>
        </w:tc>
      </w:tr>
      <w:tr w:rsidR="00D21056" w:rsidRPr="004761E0" w:rsidTr="00D21056">
        <w:trPr>
          <w:trHeight w:val="222"/>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C0652D" w:rsidRPr="004761E0" w:rsidRDefault="00C0652D" w:rsidP="007076A7">
            <w:pPr>
              <w:pStyle w:val="a5"/>
              <w:numPr>
                <w:ilvl w:val="1"/>
                <w:numId w:val="108"/>
              </w:numPr>
              <w:tabs>
                <w:tab w:val="left" w:pos="262"/>
              </w:tabs>
              <w:rPr>
                <w:rFonts w:eastAsia="Times New Roman"/>
                <w:color w:val="000000"/>
                <w:sz w:val="20"/>
                <w:szCs w:val="20"/>
                <w:lang w:eastAsia="ru-RU"/>
              </w:rPr>
            </w:pPr>
          </w:p>
        </w:tc>
        <w:tc>
          <w:tcPr>
            <w:tcW w:w="6662" w:type="dxa"/>
            <w:tcBorders>
              <w:top w:val="nil"/>
              <w:left w:val="nil"/>
              <w:bottom w:val="single" w:sz="4" w:space="0" w:color="auto"/>
              <w:right w:val="single" w:sz="4" w:space="0" w:color="auto"/>
            </w:tcBorders>
            <w:shd w:val="clear" w:color="auto" w:fill="auto"/>
            <w:vAlign w:val="center"/>
            <w:hideMark/>
          </w:tcPr>
          <w:p w:rsidR="00D21056" w:rsidRPr="004761E0" w:rsidRDefault="00D21056" w:rsidP="004E03CC">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прочее</w:t>
            </w:r>
          </w:p>
        </w:tc>
        <w:tc>
          <w:tcPr>
            <w:tcW w:w="850" w:type="dxa"/>
            <w:tcBorders>
              <w:top w:val="nil"/>
              <w:left w:val="nil"/>
              <w:bottom w:val="single" w:sz="4" w:space="0" w:color="auto"/>
              <w:right w:val="single" w:sz="4" w:space="0" w:color="auto"/>
            </w:tcBorders>
            <w:shd w:val="clear" w:color="auto" w:fill="auto"/>
            <w:vAlign w:val="center"/>
            <w:hideMark/>
          </w:tcPr>
          <w:p w:rsidR="00D21056" w:rsidRPr="004761E0" w:rsidRDefault="00D21056" w:rsidP="004E03CC">
            <w:pPr>
              <w:ind w:firstLine="0"/>
              <w:jc w:val="right"/>
              <w:rPr>
                <w:color w:val="000000"/>
                <w:sz w:val="20"/>
                <w:szCs w:val="20"/>
              </w:rPr>
            </w:pPr>
            <w:r w:rsidRPr="004761E0">
              <w:rPr>
                <w:rFonts w:eastAsia="Times New Roman"/>
                <w:color w:val="000000"/>
                <w:sz w:val="20"/>
                <w:szCs w:val="20"/>
                <w:lang w:eastAsia="ru-RU"/>
              </w:rPr>
              <w:t>139</w:t>
            </w:r>
          </w:p>
        </w:tc>
        <w:tc>
          <w:tcPr>
            <w:tcW w:w="851" w:type="dxa"/>
            <w:tcBorders>
              <w:top w:val="nil"/>
              <w:left w:val="nil"/>
              <w:bottom w:val="single" w:sz="4" w:space="0" w:color="auto"/>
              <w:right w:val="single" w:sz="4" w:space="0" w:color="auto"/>
            </w:tcBorders>
            <w:shd w:val="clear" w:color="auto" w:fill="auto"/>
            <w:vAlign w:val="center"/>
            <w:hideMark/>
          </w:tcPr>
          <w:p w:rsidR="00D21056" w:rsidRPr="004761E0" w:rsidRDefault="00D21056" w:rsidP="004E03CC">
            <w:pPr>
              <w:ind w:firstLine="0"/>
              <w:jc w:val="right"/>
              <w:rPr>
                <w:color w:val="000000"/>
                <w:sz w:val="20"/>
                <w:szCs w:val="20"/>
              </w:rPr>
            </w:pPr>
            <w:r w:rsidRPr="004761E0">
              <w:rPr>
                <w:rFonts w:eastAsia="Times New Roman"/>
                <w:color w:val="000000"/>
                <w:sz w:val="20"/>
                <w:szCs w:val="20"/>
                <w:lang w:eastAsia="ru-RU"/>
              </w:rPr>
              <w:t>272</w:t>
            </w:r>
          </w:p>
        </w:tc>
        <w:tc>
          <w:tcPr>
            <w:tcW w:w="992" w:type="dxa"/>
            <w:tcBorders>
              <w:top w:val="nil"/>
              <w:left w:val="nil"/>
              <w:bottom w:val="single" w:sz="4" w:space="0" w:color="auto"/>
              <w:right w:val="single" w:sz="4" w:space="0" w:color="auto"/>
            </w:tcBorders>
            <w:shd w:val="clear" w:color="auto" w:fill="auto"/>
            <w:vAlign w:val="center"/>
            <w:hideMark/>
          </w:tcPr>
          <w:p w:rsidR="00D21056" w:rsidRPr="004761E0" w:rsidRDefault="00D21056" w:rsidP="004E03CC">
            <w:pPr>
              <w:ind w:firstLine="0"/>
              <w:jc w:val="right"/>
              <w:rPr>
                <w:color w:val="000000"/>
                <w:sz w:val="20"/>
                <w:szCs w:val="20"/>
              </w:rPr>
            </w:pPr>
            <w:r w:rsidRPr="004761E0">
              <w:rPr>
                <w:rFonts w:eastAsia="Times New Roman"/>
                <w:color w:val="000000"/>
                <w:sz w:val="20"/>
                <w:szCs w:val="20"/>
                <w:lang w:eastAsia="ru-RU"/>
              </w:rPr>
              <w:t>300</w:t>
            </w:r>
          </w:p>
        </w:tc>
        <w:tc>
          <w:tcPr>
            <w:tcW w:w="1134" w:type="dxa"/>
            <w:tcBorders>
              <w:top w:val="nil"/>
              <w:left w:val="nil"/>
              <w:bottom w:val="single" w:sz="4" w:space="0" w:color="auto"/>
              <w:right w:val="single" w:sz="4" w:space="0" w:color="auto"/>
            </w:tcBorders>
            <w:shd w:val="clear" w:color="auto" w:fill="auto"/>
            <w:vAlign w:val="center"/>
            <w:hideMark/>
          </w:tcPr>
          <w:p w:rsidR="00D21056" w:rsidRPr="004761E0" w:rsidRDefault="001A25B0" w:rsidP="004E03CC">
            <w:pPr>
              <w:ind w:firstLine="0"/>
              <w:jc w:val="right"/>
              <w:rPr>
                <w:color w:val="000000"/>
                <w:sz w:val="20"/>
                <w:szCs w:val="20"/>
              </w:rPr>
            </w:pPr>
            <w:r w:rsidRPr="004761E0">
              <w:rPr>
                <w:rFonts w:eastAsia="Times New Roman"/>
                <w:bCs/>
                <w:color w:val="000000"/>
                <w:sz w:val="20"/>
                <w:szCs w:val="20"/>
                <w:lang w:eastAsia="ru-RU"/>
              </w:rPr>
              <w:t>10,38</w:t>
            </w:r>
            <w:r w:rsidR="00D21056" w:rsidRPr="004761E0">
              <w:rPr>
                <w:rFonts w:eastAsia="Times New Roman"/>
                <w:bCs/>
                <w:color w:val="000000"/>
                <w:sz w:val="20"/>
                <w:szCs w:val="20"/>
                <w:lang w:eastAsia="ru-RU"/>
              </w:rPr>
              <w:t xml:space="preserve"> </w:t>
            </w:r>
            <w:r w:rsidRPr="004761E0">
              <w:rPr>
                <w:rFonts w:eastAsia="Times New Roman"/>
                <w:bCs/>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vAlign w:val="bottom"/>
            <w:hideMark/>
          </w:tcPr>
          <w:p w:rsidR="00D21056" w:rsidRPr="004761E0" w:rsidRDefault="00D21056" w:rsidP="004E03CC">
            <w:pPr>
              <w:ind w:firstLine="0"/>
              <w:jc w:val="right"/>
              <w:rPr>
                <w:color w:val="000000"/>
                <w:sz w:val="20"/>
                <w:szCs w:val="20"/>
              </w:rPr>
            </w:pPr>
            <w:r w:rsidRPr="004761E0">
              <w:rPr>
                <w:rFonts w:eastAsia="Times New Roman"/>
                <w:color w:val="000000"/>
                <w:sz w:val="20"/>
                <w:szCs w:val="20"/>
                <w:lang w:eastAsia="ru-RU"/>
              </w:rPr>
              <w:t>286</w:t>
            </w:r>
          </w:p>
        </w:tc>
        <w:tc>
          <w:tcPr>
            <w:tcW w:w="993" w:type="dxa"/>
            <w:tcBorders>
              <w:top w:val="nil"/>
              <w:left w:val="nil"/>
              <w:bottom w:val="single" w:sz="4" w:space="0" w:color="auto"/>
              <w:right w:val="single" w:sz="4" w:space="0" w:color="auto"/>
            </w:tcBorders>
            <w:shd w:val="clear" w:color="auto" w:fill="auto"/>
            <w:vAlign w:val="bottom"/>
            <w:hideMark/>
          </w:tcPr>
          <w:p w:rsidR="00D21056" w:rsidRPr="004761E0" w:rsidRDefault="00D21056" w:rsidP="004E03CC">
            <w:pPr>
              <w:ind w:firstLine="0"/>
              <w:jc w:val="right"/>
              <w:rPr>
                <w:color w:val="000000"/>
                <w:sz w:val="20"/>
                <w:szCs w:val="20"/>
              </w:rPr>
            </w:pPr>
            <w:r w:rsidRPr="004761E0">
              <w:rPr>
                <w:rFonts w:eastAsia="Times New Roman"/>
                <w:color w:val="000000"/>
                <w:sz w:val="20"/>
                <w:szCs w:val="20"/>
                <w:lang w:eastAsia="ru-RU"/>
              </w:rPr>
              <w:t>436</w:t>
            </w:r>
          </w:p>
        </w:tc>
        <w:tc>
          <w:tcPr>
            <w:tcW w:w="850" w:type="dxa"/>
            <w:tcBorders>
              <w:top w:val="nil"/>
              <w:left w:val="nil"/>
              <w:bottom w:val="single" w:sz="4" w:space="0" w:color="auto"/>
              <w:right w:val="single" w:sz="4" w:space="0" w:color="auto"/>
            </w:tcBorders>
            <w:shd w:val="clear" w:color="auto" w:fill="auto"/>
            <w:vAlign w:val="bottom"/>
            <w:hideMark/>
          </w:tcPr>
          <w:p w:rsidR="00D21056" w:rsidRPr="004761E0" w:rsidRDefault="00D21056" w:rsidP="004E03CC">
            <w:pPr>
              <w:ind w:firstLine="0"/>
              <w:jc w:val="right"/>
              <w:rPr>
                <w:color w:val="000000"/>
                <w:sz w:val="20"/>
                <w:szCs w:val="20"/>
              </w:rPr>
            </w:pPr>
            <w:r w:rsidRPr="004761E0">
              <w:rPr>
                <w:rFonts w:eastAsia="Times New Roman"/>
                <w:color w:val="000000"/>
                <w:sz w:val="20"/>
                <w:szCs w:val="20"/>
                <w:lang w:eastAsia="ru-RU"/>
              </w:rPr>
              <w:t>497</w:t>
            </w:r>
          </w:p>
        </w:tc>
        <w:tc>
          <w:tcPr>
            <w:tcW w:w="1276" w:type="dxa"/>
            <w:tcBorders>
              <w:top w:val="nil"/>
              <w:left w:val="nil"/>
              <w:bottom w:val="single" w:sz="4" w:space="0" w:color="auto"/>
              <w:right w:val="single" w:sz="4" w:space="0" w:color="auto"/>
            </w:tcBorders>
            <w:shd w:val="clear" w:color="auto" w:fill="auto"/>
            <w:vAlign w:val="center"/>
            <w:hideMark/>
          </w:tcPr>
          <w:p w:rsidR="00D21056" w:rsidRPr="004761E0" w:rsidRDefault="001A25B0" w:rsidP="004E03CC">
            <w:pPr>
              <w:ind w:firstLine="0"/>
              <w:jc w:val="right"/>
              <w:rPr>
                <w:color w:val="000000"/>
                <w:sz w:val="20"/>
                <w:szCs w:val="20"/>
              </w:rPr>
            </w:pPr>
            <w:r w:rsidRPr="004761E0">
              <w:rPr>
                <w:rFonts w:eastAsia="Times New Roman"/>
                <w:bCs/>
                <w:color w:val="000000"/>
                <w:sz w:val="20"/>
                <w:szCs w:val="20"/>
                <w:lang w:eastAsia="ru-RU"/>
              </w:rPr>
              <w:t>13,98</w:t>
            </w:r>
            <w:r w:rsidR="00D21056" w:rsidRPr="004761E0">
              <w:rPr>
                <w:rFonts w:eastAsia="Times New Roman"/>
                <w:bCs/>
                <w:color w:val="000000"/>
                <w:sz w:val="20"/>
                <w:szCs w:val="20"/>
                <w:lang w:eastAsia="ru-RU"/>
              </w:rPr>
              <w:t xml:space="preserve"> </w:t>
            </w:r>
            <w:r w:rsidRPr="004761E0">
              <w:rPr>
                <w:rFonts w:eastAsia="Times New Roman"/>
                <w:bCs/>
                <w:color w:val="000000"/>
                <w:sz w:val="20"/>
                <w:szCs w:val="20"/>
                <w:lang w:eastAsia="ru-RU"/>
              </w:rPr>
              <w:t>%</w:t>
            </w:r>
          </w:p>
        </w:tc>
      </w:tr>
    </w:tbl>
    <w:p w:rsidR="00D21056" w:rsidRPr="004761E0" w:rsidRDefault="00A747DA" w:rsidP="00D21056">
      <w:pPr>
        <w:tabs>
          <w:tab w:val="left" w:pos="426"/>
        </w:tabs>
        <w:spacing w:before="120" w:after="120"/>
        <w:ind w:firstLine="567"/>
        <w:rPr>
          <w:b/>
          <w:sz w:val="26"/>
          <w:szCs w:val="26"/>
        </w:rPr>
      </w:pPr>
      <w:r w:rsidRPr="004761E0">
        <w:rPr>
          <w:b/>
          <w:sz w:val="26"/>
          <w:szCs w:val="26"/>
        </w:rPr>
        <w:t>Анализ частоты использования (выбора заявителем) того или иного способа расчета платы за технологическое присоединение</w:t>
      </w:r>
    </w:p>
    <w:tbl>
      <w:tblPr>
        <w:tblW w:w="15011" w:type="dxa"/>
        <w:tblInd w:w="95" w:type="dxa"/>
        <w:tblLook w:val="04A0"/>
      </w:tblPr>
      <w:tblGrid>
        <w:gridCol w:w="581"/>
        <w:gridCol w:w="6674"/>
        <w:gridCol w:w="851"/>
        <w:gridCol w:w="852"/>
        <w:gridCol w:w="994"/>
        <w:gridCol w:w="1136"/>
        <w:gridCol w:w="994"/>
        <w:gridCol w:w="994"/>
        <w:gridCol w:w="852"/>
        <w:gridCol w:w="1083"/>
      </w:tblGrid>
      <w:tr w:rsidR="00A747DA" w:rsidRPr="004761E0" w:rsidTr="00A747DA">
        <w:trPr>
          <w:trHeight w:val="164"/>
        </w:trPr>
        <w:tc>
          <w:tcPr>
            <w:tcW w:w="581" w:type="dxa"/>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0F243E" w:themeFill="text2" w:themeFillShade="80"/>
            <w:vAlign w:val="center"/>
            <w:hideMark/>
          </w:tcPr>
          <w:p w:rsidR="00A747DA" w:rsidRPr="004761E0" w:rsidRDefault="00A747DA" w:rsidP="006C288C">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6674"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A747DA" w:rsidRPr="004761E0" w:rsidRDefault="00A747DA" w:rsidP="006C288C">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3833"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A747DA" w:rsidRPr="004761E0" w:rsidRDefault="00A747DA" w:rsidP="006C288C">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г. Москва</w:t>
            </w:r>
          </w:p>
        </w:tc>
        <w:tc>
          <w:tcPr>
            <w:tcW w:w="3923" w:type="dxa"/>
            <w:gridSpan w:val="4"/>
            <w:tcBorders>
              <w:top w:val="single" w:sz="4" w:space="0" w:color="auto"/>
              <w:left w:val="single" w:sz="4" w:space="0" w:color="FFFFFF" w:themeColor="background1"/>
              <w:bottom w:val="single" w:sz="4" w:space="0" w:color="FFFFFF" w:themeColor="background1"/>
              <w:right w:val="single" w:sz="4" w:space="0" w:color="auto"/>
            </w:tcBorders>
            <w:shd w:val="clear" w:color="auto" w:fill="0F243E" w:themeFill="text2" w:themeFillShade="80"/>
            <w:vAlign w:val="center"/>
            <w:hideMark/>
          </w:tcPr>
          <w:p w:rsidR="00A747DA" w:rsidRPr="004761E0" w:rsidRDefault="00A747DA" w:rsidP="006C288C">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Московская область</w:t>
            </w:r>
          </w:p>
        </w:tc>
      </w:tr>
      <w:tr w:rsidR="00A747DA" w:rsidRPr="004761E0" w:rsidTr="00A747DA">
        <w:trPr>
          <w:trHeight w:val="164"/>
        </w:trPr>
        <w:tc>
          <w:tcPr>
            <w:tcW w:w="581" w:type="dxa"/>
            <w:vMerge/>
            <w:tcBorders>
              <w:top w:val="single" w:sz="4" w:space="0" w:color="FFFFFF" w:themeColor="background1"/>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A747DA" w:rsidRPr="004761E0" w:rsidRDefault="00A747DA" w:rsidP="006C288C">
            <w:pPr>
              <w:rPr>
                <w:rFonts w:eastAsia="Times New Roman"/>
                <w:b/>
                <w:color w:val="FFFFFF" w:themeColor="background1"/>
                <w:sz w:val="20"/>
                <w:szCs w:val="20"/>
                <w:lang w:eastAsia="ru-RU"/>
              </w:rPr>
            </w:pPr>
          </w:p>
        </w:tc>
        <w:tc>
          <w:tcPr>
            <w:tcW w:w="6674"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A747DA" w:rsidRPr="004761E0" w:rsidRDefault="00A747DA" w:rsidP="006C288C">
            <w:pPr>
              <w:rPr>
                <w:rFonts w:eastAsia="Times New Roman"/>
                <w:b/>
                <w:color w:val="FFFFFF" w:themeColor="background1"/>
                <w:sz w:val="20"/>
                <w:szCs w:val="20"/>
                <w:lang w:eastAsia="ru-RU"/>
              </w:rPr>
            </w:pP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A747DA" w:rsidRPr="004761E0" w:rsidRDefault="00A747DA" w:rsidP="006C288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85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A747DA" w:rsidRPr="004761E0" w:rsidRDefault="00A747DA" w:rsidP="006C288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99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A747DA" w:rsidRPr="004761E0" w:rsidRDefault="00A747DA" w:rsidP="006C288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A747DA" w:rsidRPr="004761E0" w:rsidRDefault="00A747DA" w:rsidP="006C288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c>
          <w:tcPr>
            <w:tcW w:w="99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A747DA" w:rsidRPr="004761E0" w:rsidRDefault="00A747DA" w:rsidP="006C288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99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A747DA" w:rsidRPr="004761E0" w:rsidRDefault="00A747DA" w:rsidP="006C288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85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A747DA" w:rsidRPr="004761E0" w:rsidRDefault="00A747DA" w:rsidP="006C288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08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A747DA" w:rsidRPr="004761E0" w:rsidRDefault="00A747DA" w:rsidP="006C288C">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A747DA" w:rsidRPr="004761E0" w:rsidTr="006C288C">
        <w:trPr>
          <w:trHeight w:val="164"/>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652D" w:rsidRPr="004761E0" w:rsidRDefault="00C0652D" w:rsidP="007076A7">
            <w:pPr>
              <w:numPr>
                <w:ilvl w:val="0"/>
                <w:numId w:val="111"/>
              </w:numPr>
              <w:tabs>
                <w:tab w:val="left" w:pos="262"/>
              </w:tabs>
              <w:jc w:val="left"/>
              <w:rPr>
                <w:rFonts w:eastAsia="Times New Roman"/>
                <w:color w:val="000000"/>
                <w:sz w:val="20"/>
                <w:szCs w:val="20"/>
                <w:lang w:eastAsia="ru-RU"/>
              </w:rPr>
            </w:pPr>
          </w:p>
        </w:tc>
        <w:tc>
          <w:tcPr>
            <w:tcW w:w="6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47DA" w:rsidRPr="004761E0" w:rsidRDefault="00A747DA" w:rsidP="006C288C">
            <w:pPr>
              <w:ind w:firstLine="0"/>
              <w:jc w:val="left"/>
              <w:rPr>
                <w:rFonts w:eastAsia="Times New Roman"/>
                <w:color w:val="000000"/>
                <w:sz w:val="20"/>
                <w:szCs w:val="20"/>
                <w:lang w:eastAsia="ru-RU"/>
              </w:rPr>
            </w:pPr>
            <w:r w:rsidRPr="004761E0">
              <w:rPr>
                <w:color w:val="000000"/>
                <w:sz w:val="20"/>
                <w:szCs w:val="20"/>
              </w:rPr>
              <w:t>Индивидуальный проект,</w:t>
            </w:r>
            <w:r w:rsidRPr="004761E0">
              <w:rPr>
                <w:color w:val="000000"/>
                <w:sz w:val="20"/>
                <w:szCs w:val="20"/>
                <w:lang w:val="en-US"/>
              </w:rPr>
              <w:t xml:space="preserve"> </w:t>
            </w:r>
            <w:r w:rsidRPr="004761E0">
              <w:rPr>
                <w:color w:val="000000"/>
                <w:sz w:val="20"/>
                <w:szCs w:val="20"/>
              </w:rPr>
              <w:t>шт.</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47DA" w:rsidRPr="004761E0" w:rsidRDefault="00A747DA" w:rsidP="006C288C">
            <w:pPr>
              <w:ind w:firstLine="0"/>
              <w:jc w:val="right"/>
              <w:rPr>
                <w:rFonts w:eastAsia="Times New Roman"/>
                <w:b/>
                <w:color w:val="000000"/>
                <w:sz w:val="20"/>
                <w:szCs w:val="20"/>
                <w:lang w:eastAsia="ru-RU"/>
              </w:rPr>
            </w:pPr>
            <w:r w:rsidRPr="004761E0">
              <w:rPr>
                <w:color w:val="000000"/>
                <w:sz w:val="20"/>
                <w:szCs w:val="20"/>
              </w:rPr>
              <w:t>46</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47DA" w:rsidRPr="004761E0" w:rsidRDefault="00A747DA" w:rsidP="006C288C">
            <w:pPr>
              <w:ind w:firstLine="0"/>
              <w:jc w:val="right"/>
              <w:rPr>
                <w:rFonts w:eastAsia="Times New Roman"/>
                <w:b/>
                <w:color w:val="000000"/>
                <w:sz w:val="20"/>
                <w:szCs w:val="20"/>
                <w:lang w:eastAsia="ru-RU"/>
              </w:rPr>
            </w:pPr>
            <w:r w:rsidRPr="004761E0">
              <w:rPr>
                <w:color w:val="000000"/>
                <w:sz w:val="20"/>
                <w:szCs w:val="20"/>
              </w:rPr>
              <w:t>3</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47DA" w:rsidRPr="004761E0" w:rsidRDefault="00A747DA" w:rsidP="006C288C">
            <w:pPr>
              <w:ind w:firstLine="0"/>
              <w:jc w:val="right"/>
              <w:rPr>
                <w:rFonts w:eastAsia="Times New Roman"/>
                <w:b/>
                <w:color w:val="000000"/>
                <w:sz w:val="20"/>
                <w:szCs w:val="20"/>
                <w:lang w:eastAsia="ru-RU"/>
              </w:rPr>
            </w:pPr>
            <w:r w:rsidRPr="004761E0">
              <w:rPr>
                <w:color w:val="000000"/>
                <w:sz w:val="20"/>
                <w:szCs w:val="20"/>
              </w:rPr>
              <w:t>15</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47DA" w:rsidRPr="004761E0" w:rsidRDefault="00AB6245" w:rsidP="006C288C">
            <w:pPr>
              <w:ind w:firstLine="0"/>
              <w:jc w:val="right"/>
              <w:rPr>
                <w:rFonts w:eastAsia="Times New Roman"/>
                <w:b/>
                <w:color w:val="000000"/>
                <w:sz w:val="20"/>
                <w:szCs w:val="20"/>
                <w:lang w:eastAsia="ru-RU"/>
              </w:rPr>
            </w:pPr>
            <w:r w:rsidRPr="004761E0">
              <w:rPr>
                <w:color w:val="000000"/>
                <w:sz w:val="20"/>
                <w:szCs w:val="20"/>
              </w:rPr>
              <w:t>4</w:t>
            </w:r>
            <w:r w:rsidR="00A747DA" w:rsidRPr="004761E0">
              <w:rPr>
                <w:color w:val="000000"/>
                <w:sz w:val="20"/>
                <w:szCs w:val="20"/>
              </w:rPr>
              <w:t>00,00</w:t>
            </w:r>
            <w:r w:rsidR="00A747DA" w:rsidRPr="004761E0">
              <w:rPr>
                <w:color w:val="000000"/>
                <w:sz w:val="20"/>
                <w:szCs w:val="20"/>
                <w:lang w:val="en-US"/>
              </w:rPr>
              <w:t xml:space="preserve"> </w:t>
            </w:r>
            <w:r w:rsidR="00A747DA" w:rsidRPr="004761E0">
              <w:rPr>
                <w:color w:val="000000"/>
                <w:sz w:val="20"/>
                <w:szCs w:val="20"/>
              </w:rPr>
              <w:t>%</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47DA" w:rsidRPr="004761E0" w:rsidRDefault="00A747DA" w:rsidP="006C288C">
            <w:pPr>
              <w:ind w:firstLine="0"/>
              <w:jc w:val="right"/>
              <w:rPr>
                <w:rFonts w:eastAsia="Times New Roman"/>
                <w:b/>
                <w:color w:val="000000"/>
                <w:sz w:val="20"/>
                <w:szCs w:val="20"/>
                <w:lang w:eastAsia="ru-RU"/>
              </w:rPr>
            </w:pPr>
            <w:r w:rsidRPr="004761E0">
              <w:rPr>
                <w:color w:val="000000"/>
                <w:sz w:val="20"/>
                <w:szCs w:val="20"/>
              </w:rPr>
              <w:t>7</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47DA" w:rsidRPr="004761E0" w:rsidRDefault="00A747DA" w:rsidP="006C288C">
            <w:pPr>
              <w:ind w:firstLine="0"/>
              <w:jc w:val="right"/>
              <w:rPr>
                <w:rFonts w:eastAsia="Times New Roman"/>
                <w:b/>
                <w:color w:val="000000"/>
                <w:sz w:val="20"/>
                <w:szCs w:val="20"/>
                <w:lang w:eastAsia="ru-RU"/>
              </w:rPr>
            </w:pPr>
            <w:r w:rsidRPr="004761E0">
              <w:rPr>
                <w:color w:val="000000"/>
                <w:sz w:val="20"/>
                <w:szCs w:val="20"/>
              </w:rPr>
              <w:t>10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47DA" w:rsidRPr="004761E0" w:rsidRDefault="00A747DA" w:rsidP="006C288C">
            <w:pPr>
              <w:ind w:firstLine="0"/>
              <w:jc w:val="right"/>
              <w:rPr>
                <w:rFonts w:eastAsia="Times New Roman"/>
                <w:b/>
                <w:color w:val="000000"/>
                <w:sz w:val="20"/>
                <w:szCs w:val="20"/>
                <w:lang w:eastAsia="ru-RU"/>
              </w:rPr>
            </w:pPr>
            <w:r w:rsidRPr="004761E0">
              <w:rPr>
                <w:color w:val="000000"/>
                <w:sz w:val="20"/>
                <w:szCs w:val="20"/>
              </w:rPr>
              <w:t>15</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47DA" w:rsidRPr="004761E0" w:rsidRDefault="00A747DA" w:rsidP="006C288C">
            <w:pPr>
              <w:ind w:firstLine="0"/>
              <w:jc w:val="right"/>
              <w:rPr>
                <w:rFonts w:eastAsia="Times New Roman"/>
                <w:b/>
                <w:color w:val="000000"/>
                <w:sz w:val="20"/>
                <w:szCs w:val="20"/>
                <w:lang w:eastAsia="ru-RU"/>
              </w:rPr>
            </w:pPr>
            <w:r w:rsidRPr="004761E0">
              <w:rPr>
                <w:color w:val="000000"/>
                <w:sz w:val="20"/>
                <w:szCs w:val="20"/>
              </w:rPr>
              <w:t>50,00</w:t>
            </w:r>
            <w:r w:rsidRPr="004761E0">
              <w:rPr>
                <w:color w:val="000000"/>
                <w:sz w:val="20"/>
                <w:szCs w:val="20"/>
                <w:lang w:val="en-US"/>
              </w:rPr>
              <w:t xml:space="preserve"> </w:t>
            </w:r>
            <w:r w:rsidRPr="004761E0">
              <w:rPr>
                <w:color w:val="000000"/>
                <w:sz w:val="20"/>
                <w:szCs w:val="20"/>
              </w:rPr>
              <w:t>%</w:t>
            </w:r>
          </w:p>
        </w:tc>
      </w:tr>
      <w:tr w:rsidR="00A747DA" w:rsidRPr="004761E0" w:rsidTr="006C288C">
        <w:trPr>
          <w:trHeight w:val="164"/>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652D" w:rsidRPr="004761E0" w:rsidRDefault="00C0652D" w:rsidP="007076A7">
            <w:pPr>
              <w:numPr>
                <w:ilvl w:val="0"/>
                <w:numId w:val="111"/>
              </w:numPr>
              <w:tabs>
                <w:tab w:val="left" w:pos="262"/>
              </w:tabs>
              <w:jc w:val="left"/>
              <w:rPr>
                <w:rFonts w:eastAsia="Times New Roman"/>
                <w:color w:val="000000"/>
                <w:sz w:val="20"/>
                <w:szCs w:val="20"/>
                <w:lang w:eastAsia="ru-RU"/>
              </w:rPr>
            </w:pPr>
          </w:p>
        </w:tc>
        <w:tc>
          <w:tcPr>
            <w:tcW w:w="6674" w:type="dxa"/>
            <w:tcBorders>
              <w:top w:val="single" w:sz="4" w:space="0" w:color="auto"/>
              <w:left w:val="nil"/>
              <w:bottom w:val="single" w:sz="4" w:space="0" w:color="auto"/>
              <w:right w:val="single" w:sz="4" w:space="0" w:color="auto"/>
            </w:tcBorders>
            <w:shd w:val="clear" w:color="auto" w:fill="auto"/>
            <w:vAlign w:val="center"/>
            <w:hideMark/>
          </w:tcPr>
          <w:p w:rsidR="00C0652D" w:rsidRPr="004761E0" w:rsidRDefault="00A747DA" w:rsidP="006C288C">
            <w:pPr>
              <w:ind w:firstLine="0"/>
              <w:jc w:val="left"/>
              <w:rPr>
                <w:rFonts w:eastAsia="Times New Roman"/>
                <w:bCs/>
                <w:color w:val="000000"/>
                <w:sz w:val="20"/>
                <w:szCs w:val="20"/>
                <w:lang w:eastAsia="ru-RU"/>
              </w:rPr>
            </w:pPr>
            <w:r w:rsidRPr="004761E0">
              <w:rPr>
                <w:color w:val="000000"/>
                <w:sz w:val="20"/>
                <w:szCs w:val="20"/>
              </w:rPr>
              <w:t>Стандартизированные тарифные ставки, шт.</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747DA" w:rsidRPr="004761E0" w:rsidRDefault="00A747DA" w:rsidP="006C288C">
            <w:pPr>
              <w:ind w:firstLine="0"/>
              <w:jc w:val="right"/>
              <w:rPr>
                <w:rFonts w:eastAsia="Times New Roman"/>
                <w:color w:val="000000"/>
                <w:sz w:val="20"/>
                <w:szCs w:val="20"/>
                <w:lang w:eastAsia="ru-RU"/>
              </w:rPr>
            </w:pPr>
            <w:r w:rsidRPr="004761E0">
              <w:rPr>
                <w:color w:val="000000"/>
                <w:sz w:val="20"/>
                <w:szCs w:val="20"/>
              </w:rPr>
              <w:t>0</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A747DA" w:rsidRPr="004761E0" w:rsidRDefault="00A747DA" w:rsidP="006C288C">
            <w:pPr>
              <w:ind w:firstLine="0"/>
              <w:jc w:val="right"/>
              <w:rPr>
                <w:rFonts w:eastAsia="Times New Roman"/>
                <w:color w:val="000000"/>
                <w:sz w:val="20"/>
                <w:szCs w:val="20"/>
                <w:lang w:eastAsia="ru-RU"/>
              </w:rPr>
            </w:pPr>
            <w:r w:rsidRPr="004761E0">
              <w:rPr>
                <w:color w:val="000000"/>
                <w:sz w:val="20"/>
                <w:szCs w:val="20"/>
              </w:rPr>
              <w:t>0</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A747DA" w:rsidRPr="004761E0" w:rsidRDefault="00A747DA" w:rsidP="006C288C">
            <w:pPr>
              <w:ind w:firstLine="0"/>
              <w:jc w:val="right"/>
              <w:rPr>
                <w:rFonts w:eastAsia="Times New Roman"/>
                <w:color w:val="000000"/>
                <w:sz w:val="20"/>
                <w:szCs w:val="20"/>
                <w:lang w:eastAsia="ru-RU"/>
              </w:rPr>
            </w:pPr>
            <w:r w:rsidRPr="004761E0">
              <w:rPr>
                <w:color w:val="000000"/>
                <w:sz w:val="20"/>
                <w:szCs w:val="20"/>
              </w:rPr>
              <w:t>333</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A747DA" w:rsidRPr="004761E0" w:rsidRDefault="00A747DA" w:rsidP="006C288C">
            <w:pPr>
              <w:ind w:firstLine="0"/>
              <w:jc w:val="right"/>
              <w:rPr>
                <w:rFonts w:eastAsia="Times New Roman"/>
                <w:color w:val="000000"/>
                <w:sz w:val="20"/>
                <w:szCs w:val="20"/>
                <w:lang w:val="en-US" w:eastAsia="ru-RU"/>
              </w:rPr>
            </w:pPr>
            <w:r w:rsidRPr="004761E0">
              <w:rPr>
                <w:color w:val="000000"/>
                <w:sz w:val="20"/>
                <w:szCs w:val="20"/>
                <w:lang w:val="en-US"/>
              </w:rPr>
              <w:t>–</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A747DA" w:rsidRPr="004761E0" w:rsidRDefault="00A747DA" w:rsidP="006C288C">
            <w:pPr>
              <w:ind w:firstLine="0"/>
              <w:jc w:val="right"/>
              <w:rPr>
                <w:rFonts w:eastAsia="Times New Roman"/>
                <w:color w:val="000000"/>
                <w:sz w:val="20"/>
                <w:szCs w:val="20"/>
                <w:lang w:eastAsia="ru-RU"/>
              </w:rPr>
            </w:pPr>
            <w:r w:rsidRPr="004761E0">
              <w:rPr>
                <w:color w:val="000000"/>
                <w:sz w:val="20"/>
                <w:szCs w:val="20"/>
              </w:rPr>
              <w:t>0</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A747DA" w:rsidRPr="004761E0" w:rsidRDefault="00A747DA" w:rsidP="006C288C">
            <w:pPr>
              <w:ind w:firstLine="0"/>
              <w:jc w:val="right"/>
              <w:rPr>
                <w:rFonts w:eastAsia="Times New Roman"/>
                <w:color w:val="000000"/>
                <w:sz w:val="20"/>
                <w:szCs w:val="20"/>
                <w:lang w:eastAsia="ru-RU"/>
              </w:rPr>
            </w:pPr>
            <w:r w:rsidRPr="004761E0">
              <w:rPr>
                <w:color w:val="000000"/>
                <w:sz w:val="20"/>
                <w:szCs w:val="20"/>
              </w:rPr>
              <w:t>0</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A747DA" w:rsidRPr="004761E0" w:rsidRDefault="00A747DA" w:rsidP="006C288C">
            <w:pPr>
              <w:ind w:firstLine="0"/>
              <w:jc w:val="right"/>
              <w:rPr>
                <w:rFonts w:eastAsia="Times New Roman"/>
                <w:color w:val="000000"/>
                <w:sz w:val="20"/>
                <w:szCs w:val="20"/>
                <w:lang w:eastAsia="ru-RU"/>
              </w:rPr>
            </w:pPr>
            <w:r w:rsidRPr="004761E0">
              <w:rPr>
                <w:color w:val="000000"/>
                <w:sz w:val="20"/>
                <w:szCs w:val="20"/>
              </w:rPr>
              <w:t>103</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A747DA" w:rsidRPr="004761E0" w:rsidRDefault="00012E87" w:rsidP="006C288C">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r>
      <w:tr w:rsidR="00A747DA" w:rsidRPr="004761E0" w:rsidTr="006C288C">
        <w:trPr>
          <w:trHeight w:val="164"/>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C0652D" w:rsidRPr="004761E0" w:rsidRDefault="00C0652D" w:rsidP="007076A7">
            <w:pPr>
              <w:numPr>
                <w:ilvl w:val="0"/>
                <w:numId w:val="111"/>
              </w:numPr>
              <w:tabs>
                <w:tab w:val="left" w:pos="262"/>
              </w:tabs>
              <w:jc w:val="left"/>
              <w:rPr>
                <w:rFonts w:eastAsia="Times New Roman"/>
                <w:color w:val="000000"/>
                <w:sz w:val="20"/>
                <w:szCs w:val="20"/>
                <w:lang w:eastAsia="ru-RU"/>
              </w:rPr>
            </w:pPr>
          </w:p>
        </w:tc>
        <w:tc>
          <w:tcPr>
            <w:tcW w:w="6674" w:type="dxa"/>
            <w:tcBorders>
              <w:top w:val="nil"/>
              <w:left w:val="nil"/>
              <w:bottom w:val="single" w:sz="4" w:space="0" w:color="auto"/>
              <w:right w:val="single" w:sz="4" w:space="0" w:color="auto"/>
            </w:tcBorders>
            <w:shd w:val="clear" w:color="auto" w:fill="auto"/>
            <w:vAlign w:val="center"/>
            <w:hideMark/>
          </w:tcPr>
          <w:p w:rsidR="00C0652D" w:rsidRPr="004761E0" w:rsidRDefault="00A747DA" w:rsidP="006C288C">
            <w:pPr>
              <w:ind w:firstLine="0"/>
              <w:jc w:val="left"/>
              <w:rPr>
                <w:rFonts w:eastAsia="Times New Roman"/>
                <w:bCs/>
                <w:color w:val="000000"/>
                <w:sz w:val="20"/>
                <w:szCs w:val="20"/>
                <w:lang w:eastAsia="ru-RU"/>
              </w:rPr>
            </w:pPr>
            <w:r w:rsidRPr="004761E0">
              <w:rPr>
                <w:color w:val="000000"/>
                <w:sz w:val="20"/>
                <w:szCs w:val="20"/>
              </w:rPr>
              <w:t>Ставка за единицу мощности, шт.</w:t>
            </w:r>
          </w:p>
        </w:tc>
        <w:tc>
          <w:tcPr>
            <w:tcW w:w="851" w:type="dxa"/>
            <w:tcBorders>
              <w:top w:val="nil"/>
              <w:left w:val="nil"/>
              <w:bottom w:val="single" w:sz="4" w:space="0" w:color="auto"/>
              <w:right w:val="single" w:sz="4" w:space="0" w:color="auto"/>
            </w:tcBorders>
            <w:shd w:val="clear" w:color="auto" w:fill="auto"/>
            <w:vAlign w:val="center"/>
            <w:hideMark/>
          </w:tcPr>
          <w:p w:rsidR="00A747DA" w:rsidRPr="004761E0" w:rsidRDefault="00A747DA" w:rsidP="006C288C">
            <w:pPr>
              <w:ind w:firstLine="0"/>
              <w:jc w:val="right"/>
              <w:rPr>
                <w:rFonts w:eastAsia="Times New Roman"/>
                <w:color w:val="000000"/>
                <w:sz w:val="20"/>
                <w:szCs w:val="20"/>
                <w:lang w:eastAsia="ru-RU"/>
              </w:rPr>
            </w:pPr>
            <w:r w:rsidRPr="004761E0">
              <w:rPr>
                <w:color w:val="000000"/>
                <w:sz w:val="20"/>
                <w:szCs w:val="20"/>
              </w:rPr>
              <w:t>3 456</w:t>
            </w:r>
          </w:p>
        </w:tc>
        <w:tc>
          <w:tcPr>
            <w:tcW w:w="852" w:type="dxa"/>
            <w:tcBorders>
              <w:top w:val="nil"/>
              <w:left w:val="nil"/>
              <w:bottom w:val="single" w:sz="4" w:space="0" w:color="auto"/>
              <w:right w:val="single" w:sz="4" w:space="0" w:color="auto"/>
            </w:tcBorders>
            <w:shd w:val="clear" w:color="auto" w:fill="auto"/>
            <w:vAlign w:val="center"/>
            <w:hideMark/>
          </w:tcPr>
          <w:p w:rsidR="00A747DA" w:rsidRPr="004761E0" w:rsidRDefault="00A747DA" w:rsidP="006C288C">
            <w:pPr>
              <w:ind w:firstLine="0"/>
              <w:jc w:val="right"/>
              <w:rPr>
                <w:rFonts w:eastAsia="Times New Roman"/>
                <w:color w:val="000000"/>
                <w:sz w:val="20"/>
                <w:szCs w:val="20"/>
                <w:lang w:eastAsia="ru-RU"/>
              </w:rPr>
            </w:pPr>
            <w:r w:rsidRPr="004761E0">
              <w:rPr>
                <w:color w:val="000000"/>
                <w:sz w:val="20"/>
                <w:szCs w:val="20"/>
              </w:rPr>
              <w:t>4 850</w:t>
            </w:r>
          </w:p>
        </w:tc>
        <w:tc>
          <w:tcPr>
            <w:tcW w:w="994" w:type="dxa"/>
            <w:tcBorders>
              <w:top w:val="nil"/>
              <w:left w:val="nil"/>
              <w:bottom w:val="single" w:sz="4" w:space="0" w:color="auto"/>
              <w:right w:val="single" w:sz="4" w:space="0" w:color="auto"/>
            </w:tcBorders>
            <w:shd w:val="clear" w:color="auto" w:fill="auto"/>
            <w:vAlign w:val="center"/>
            <w:hideMark/>
          </w:tcPr>
          <w:p w:rsidR="00A747DA" w:rsidRPr="004761E0" w:rsidRDefault="00A747DA" w:rsidP="006C288C">
            <w:pPr>
              <w:ind w:firstLine="0"/>
              <w:jc w:val="right"/>
              <w:rPr>
                <w:rFonts w:eastAsia="Times New Roman"/>
                <w:color w:val="000000"/>
                <w:sz w:val="20"/>
                <w:szCs w:val="20"/>
                <w:lang w:eastAsia="ru-RU"/>
              </w:rPr>
            </w:pPr>
            <w:r w:rsidRPr="004761E0">
              <w:rPr>
                <w:color w:val="000000"/>
                <w:sz w:val="20"/>
                <w:szCs w:val="20"/>
              </w:rPr>
              <w:t>8 250</w:t>
            </w:r>
          </w:p>
        </w:tc>
        <w:tc>
          <w:tcPr>
            <w:tcW w:w="1136" w:type="dxa"/>
            <w:tcBorders>
              <w:top w:val="nil"/>
              <w:left w:val="nil"/>
              <w:bottom w:val="single" w:sz="4" w:space="0" w:color="auto"/>
              <w:right w:val="single" w:sz="4" w:space="0" w:color="auto"/>
            </w:tcBorders>
            <w:shd w:val="clear" w:color="auto" w:fill="auto"/>
            <w:vAlign w:val="center"/>
            <w:hideMark/>
          </w:tcPr>
          <w:p w:rsidR="00A747DA" w:rsidRPr="004761E0" w:rsidRDefault="00A747DA" w:rsidP="006C288C">
            <w:pPr>
              <w:ind w:firstLine="0"/>
              <w:jc w:val="right"/>
              <w:rPr>
                <w:rFonts w:eastAsia="Times New Roman"/>
                <w:color w:val="000000"/>
                <w:sz w:val="20"/>
                <w:szCs w:val="20"/>
                <w:lang w:eastAsia="ru-RU"/>
              </w:rPr>
            </w:pPr>
            <w:r w:rsidRPr="004761E0">
              <w:rPr>
                <w:color w:val="000000"/>
                <w:sz w:val="20"/>
                <w:szCs w:val="20"/>
              </w:rPr>
              <w:t>70,10</w:t>
            </w:r>
            <w:r w:rsidR="00E30CDF">
              <w:rPr>
                <w:color w:val="000000"/>
                <w:sz w:val="20"/>
                <w:szCs w:val="20"/>
              </w:rPr>
              <w:t xml:space="preserve"> </w:t>
            </w:r>
            <w:r w:rsidRPr="004761E0">
              <w:rPr>
                <w:color w:val="000000"/>
                <w:sz w:val="20"/>
                <w:szCs w:val="20"/>
              </w:rPr>
              <w:t>%</w:t>
            </w:r>
          </w:p>
        </w:tc>
        <w:tc>
          <w:tcPr>
            <w:tcW w:w="994" w:type="dxa"/>
            <w:tcBorders>
              <w:top w:val="nil"/>
              <w:left w:val="nil"/>
              <w:bottom w:val="single" w:sz="4" w:space="0" w:color="auto"/>
              <w:right w:val="single" w:sz="4" w:space="0" w:color="auto"/>
            </w:tcBorders>
            <w:shd w:val="clear" w:color="auto" w:fill="auto"/>
            <w:vAlign w:val="center"/>
            <w:hideMark/>
          </w:tcPr>
          <w:p w:rsidR="00A747DA" w:rsidRPr="004761E0" w:rsidRDefault="00A747DA" w:rsidP="006C288C">
            <w:pPr>
              <w:ind w:firstLine="0"/>
              <w:jc w:val="right"/>
              <w:rPr>
                <w:rFonts w:eastAsia="Times New Roman"/>
                <w:color w:val="000000"/>
                <w:sz w:val="20"/>
                <w:szCs w:val="20"/>
                <w:lang w:eastAsia="ru-RU"/>
              </w:rPr>
            </w:pPr>
            <w:r w:rsidRPr="004761E0">
              <w:rPr>
                <w:color w:val="000000"/>
                <w:sz w:val="20"/>
                <w:szCs w:val="20"/>
              </w:rPr>
              <w:t>19 381</w:t>
            </w:r>
          </w:p>
        </w:tc>
        <w:tc>
          <w:tcPr>
            <w:tcW w:w="994" w:type="dxa"/>
            <w:tcBorders>
              <w:top w:val="nil"/>
              <w:left w:val="nil"/>
              <w:bottom w:val="single" w:sz="4" w:space="0" w:color="auto"/>
              <w:right w:val="single" w:sz="4" w:space="0" w:color="auto"/>
            </w:tcBorders>
            <w:shd w:val="clear" w:color="auto" w:fill="auto"/>
            <w:vAlign w:val="center"/>
            <w:hideMark/>
          </w:tcPr>
          <w:p w:rsidR="00A747DA" w:rsidRPr="004761E0" w:rsidRDefault="00A747DA" w:rsidP="006C288C">
            <w:pPr>
              <w:ind w:firstLine="0"/>
              <w:jc w:val="right"/>
              <w:rPr>
                <w:rFonts w:eastAsia="Times New Roman"/>
                <w:color w:val="000000"/>
                <w:sz w:val="20"/>
                <w:szCs w:val="20"/>
                <w:lang w:eastAsia="ru-RU"/>
              </w:rPr>
            </w:pPr>
            <w:r w:rsidRPr="004761E0">
              <w:rPr>
                <w:color w:val="000000"/>
                <w:sz w:val="20"/>
                <w:szCs w:val="20"/>
              </w:rPr>
              <w:t>32 642</w:t>
            </w:r>
          </w:p>
        </w:tc>
        <w:tc>
          <w:tcPr>
            <w:tcW w:w="852" w:type="dxa"/>
            <w:tcBorders>
              <w:top w:val="nil"/>
              <w:left w:val="nil"/>
              <w:bottom w:val="single" w:sz="4" w:space="0" w:color="auto"/>
              <w:right w:val="single" w:sz="4" w:space="0" w:color="auto"/>
            </w:tcBorders>
            <w:shd w:val="clear" w:color="auto" w:fill="auto"/>
            <w:vAlign w:val="center"/>
            <w:hideMark/>
          </w:tcPr>
          <w:p w:rsidR="00A747DA" w:rsidRPr="004761E0" w:rsidRDefault="00A747DA" w:rsidP="006C288C">
            <w:pPr>
              <w:ind w:firstLine="0"/>
              <w:jc w:val="right"/>
              <w:rPr>
                <w:rFonts w:eastAsia="Times New Roman"/>
                <w:color w:val="000000"/>
                <w:sz w:val="20"/>
                <w:szCs w:val="20"/>
                <w:lang w:eastAsia="ru-RU"/>
              </w:rPr>
            </w:pPr>
            <w:r w:rsidRPr="004761E0">
              <w:rPr>
                <w:color w:val="000000"/>
                <w:sz w:val="20"/>
                <w:szCs w:val="20"/>
              </w:rPr>
              <w:t>62 161</w:t>
            </w:r>
          </w:p>
        </w:tc>
        <w:tc>
          <w:tcPr>
            <w:tcW w:w="1083" w:type="dxa"/>
            <w:tcBorders>
              <w:top w:val="nil"/>
              <w:left w:val="nil"/>
              <w:bottom w:val="single" w:sz="4" w:space="0" w:color="auto"/>
              <w:right w:val="single" w:sz="4" w:space="0" w:color="auto"/>
            </w:tcBorders>
            <w:shd w:val="clear" w:color="auto" w:fill="auto"/>
            <w:vAlign w:val="center"/>
            <w:hideMark/>
          </w:tcPr>
          <w:p w:rsidR="00A747DA" w:rsidRPr="004761E0" w:rsidRDefault="00A747DA" w:rsidP="006C288C">
            <w:pPr>
              <w:ind w:firstLine="0"/>
              <w:jc w:val="right"/>
              <w:rPr>
                <w:rFonts w:eastAsia="Times New Roman"/>
                <w:color w:val="000000"/>
                <w:sz w:val="20"/>
                <w:szCs w:val="20"/>
                <w:lang w:eastAsia="ru-RU"/>
              </w:rPr>
            </w:pPr>
            <w:r w:rsidRPr="004761E0">
              <w:rPr>
                <w:color w:val="000000"/>
                <w:sz w:val="20"/>
                <w:szCs w:val="20"/>
              </w:rPr>
              <w:t>90,43</w:t>
            </w:r>
            <w:r w:rsidRPr="004761E0">
              <w:rPr>
                <w:color w:val="000000"/>
                <w:sz w:val="20"/>
                <w:szCs w:val="20"/>
                <w:lang w:val="en-US"/>
              </w:rPr>
              <w:t xml:space="preserve"> </w:t>
            </w:r>
            <w:r w:rsidRPr="004761E0">
              <w:rPr>
                <w:color w:val="000000"/>
                <w:sz w:val="20"/>
                <w:szCs w:val="20"/>
              </w:rPr>
              <w:t>%</w:t>
            </w:r>
          </w:p>
        </w:tc>
      </w:tr>
    </w:tbl>
    <w:p w:rsidR="00F749E9" w:rsidRPr="004761E0" w:rsidRDefault="00F749E9" w:rsidP="007076A7">
      <w:pPr>
        <w:pStyle w:val="a8"/>
        <w:numPr>
          <w:ilvl w:val="0"/>
          <w:numId w:val="226"/>
        </w:numPr>
        <w:tabs>
          <w:tab w:val="left" w:pos="567"/>
          <w:tab w:val="left" w:pos="993"/>
        </w:tabs>
        <w:spacing w:before="120" w:after="120"/>
        <w:ind w:left="567" w:firstLine="0"/>
        <w:jc w:val="left"/>
        <w:rPr>
          <w:rFonts w:ascii="Times New Roman" w:hAnsi="Times New Roman"/>
          <w:b/>
          <w:sz w:val="26"/>
          <w:szCs w:val="26"/>
          <w:lang w:eastAsia="ru-RU"/>
        </w:rPr>
      </w:pPr>
      <w:bookmarkStart w:id="153" w:name="_Toc385339862"/>
      <w:r w:rsidRPr="004761E0">
        <w:rPr>
          <w:rFonts w:ascii="Times New Roman" w:hAnsi="Times New Roman"/>
          <w:b/>
          <w:sz w:val="26"/>
          <w:szCs w:val="26"/>
          <w:lang w:eastAsia="ru-RU"/>
        </w:rPr>
        <w:t>Основные результаты финансово-экономической деятельности по РСБУ</w:t>
      </w:r>
      <w:bookmarkEnd w:id="153"/>
    </w:p>
    <w:p w:rsidR="006A0727" w:rsidRPr="004761E0" w:rsidRDefault="006A0727" w:rsidP="00D95123">
      <w:pPr>
        <w:tabs>
          <w:tab w:val="left" w:pos="426"/>
        </w:tabs>
        <w:spacing w:before="120" w:after="120"/>
        <w:ind w:firstLine="567"/>
        <w:rPr>
          <w:b/>
          <w:sz w:val="26"/>
          <w:szCs w:val="26"/>
        </w:rPr>
      </w:pPr>
      <w:r w:rsidRPr="00D95123">
        <w:rPr>
          <w:b/>
          <w:sz w:val="26"/>
          <w:szCs w:val="26"/>
        </w:rPr>
        <w:t>Анализ прибылей и убытков по РСБУ</w:t>
      </w:r>
    </w:p>
    <w:tbl>
      <w:tblPr>
        <w:tblW w:w="15011" w:type="dxa"/>
        <w:tblInd w:w="95" w:type="dxa"/>
        <w:tblLook w:val="04A0"/>
      </w:tblPr>
      <w:tblGrid>
        <w:gridCol w:w="581"/>
        <w:gridCol w:w="6674"/>
        <w:gridCol w:w="851"/>
        <w:gridCol w:w="852"/>
        <w:gridCol w:w="994"/>
        <w:gridCol w:w="1136"/>
        <w:gridCol w:w="994"/>
        <w:gridCol w:w="994"/>
        <w:gridCol w:w="852"/>
        <w:gridCol w:w="1083"/>
      </w:tblGrid>
      <w:tr w:rsidR="006A0727" w:rsidRPr="004761E0" w:rsidTr="006A0727">
        <w:trPr>
          <w:trHeight w:val="164"/>
        </w:trPr>
        <w:tc>
          <w:tcPr>
            <w:tcW w:w="581" w:type="dxa"/>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0F243E" w:themeFill="text2" w:themeFillShade="80"/>
            <w:vAlign w:val="center"/>
            <w:hideMark/>
          </w:tcPr>
          <w:p w:rsidR="006A0727" w:rsidRPr="004761E0" w:rsidRDefault="006A0727" w:rsidP="006A0727">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6674"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6A0727" w:rsidRPr="004761E0" w:rsidRDefault="006A0727" w:rsidP="006A0727">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3833"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6A0727" w:rsidRPr="004761E0" w:rsidRDefault="006A0727" w:rsidP="006A0727">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г. Москва</w:t>
            </w:r>
          </w:p>
        </w:tc>
        <w:tc>
          <w:tcPr>
            <w:tcW w:w="3923" w:type="dxa"/>
            <w:gridSpan w:val="4"/>
            <w:tcBorders>
              <w:top w:val="single" w:sz="4" w:space="0" w:color="auto"/>
              <w:left w:val="single" w:sz="4" w:space="0" w:color="FFFFFF" w:themeColor="background1"/>
              <w:bottom w:val="single" w:sz="4" w:space="0" w:color="FFFFFF" w:themeColor="background1"/>
              <w:right w:val="single" w:sz="4" w:space="0" w:color="auto"/>
            </w:tcBorders>
            <w:shd w:val="clear" w:color="auto" w:fill="0F243E" w:themeFill="text2" w:themeFillShade="80"/>
            <w:vAlign w:val="center"/>
            <w:hideMark/>
          </w:tcPr>
          <w:p w:rsidR="006A0727" w:rsidRPr="004761E0" w:rsidRDefault="006A0727" w:rsidP="006A0727">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Московская область</w:t>
            </w:r>
          </w:p>
        </w:tc>
      </w:tr>
      <w:tr w:rsidR="006A0727" w:rsidRPr="004761E0" w:rsidTr="006A0727">
        <w:trPr>
          <w:trHeight w:val="164"/>
        </w:trPr>
        <w:tc>
          <w:tcPr>
            <w:tcW w:w="581" w:type="dxa"/>
            <w:vMerge/>
            <w:tcBorders>
              <w:top w:val="single" w:sz="4" w:space="0" w:color="FFFFFF" w:themeColor="background1"/>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6A0727" w:rsidRPr="004761E0" w:rsidRDefault="006A0727" w:rsidP="006A0727">
            <w:pPr>
              <w:rPr>
                <w:rFonts w:eastAsia="Times New Roman"/>
                <w:b/>
                <w:color w:val="FFFFFF" w:themeColor="background1"/>
                <w:sz w:val="20"/>
                <w:szCs w:val="20"/>
                <w:lang w:eastAsia="ru-RU"/>
              </w:rPr>
            </w:pPr>
          </w:p>
        </w:tc>
        <w:tc>
          <w:tcPr>
            <w:tcW w:w="6674"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6A0727" w:rsidRPr="004761E0" w:rsidRDefault="006A0727" w:rsidP="006A0727">
            <w:pPr>
              <w:rPr>
                <w:rFonts w:eastAsia="Times New Roman"/>
                <w:b/>
                <w:color w:val="FFFFFF" w:themeColor="background1"/>
                <w:sz w:val="20"/>
                <w:szCs w:val="20"/>
                <w:lang w:eastAsia="ru-RU"/>
              </w:rPr>
            </w:pP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6A0727" w:rsidRPr="004761E0" w:rsidRDefault="006A0727" w:rsidP="006A0727">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85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6A0727" w:rsidRPr="004761E0" w:rsidRDefault="006A0727" w:rsidP="006A0727">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99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6A0727" w:rsidRPr="004761E0" w:rsidRDefault="006A0727" w:rsidP="006A0727">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6A0727" w:rsidRPr="004761E0" w:rsidRDefault="006A0727" w:rsidP="006A0727">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c>
          <w:tcPr>
            <w:tcW w:w="99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6A0727" w:rsidRPr="004761E0" w:rsidRDefault="006A0727" w:rsidP="006A0727">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99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6A0727" w:rsidRPr="004761E0" w:rsidRDefault="006A0727" w:rsidP="006A0727">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85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6A0727" w:rsidRPr="004761E0" w:rsidRDefault="006A0727" w:rsidP="006A0727">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08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6A0727" w:rsidRPr="004761E0" w:rsidRDefault="006A0727" w:rsidP="006A0727">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6A0727" w:rsidRPr="004761E0" w:rsidTr="006A0727">
        <w:trPr>
          <w:trHeight w:val="164"/>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7076A7">
            <w:pPr>
              <w:numPr>
                <w:ilvl w:val="0"/>
                <w:numId w:val="199"/>
              </w:numPr>
              <w:jc w:val="left"/>
              <w:rPr>
                <w:rFonts w:eastAsia="Times New Roman"/>
                <w:b/>
                <w:color w:val="000000"/>
                <w:sz w:val="20"/>
                <w:szCs w:val="20"/>
                <w:lang w:eastAsia="ru-RU"/>
              </w:rPr>
            </w:pPr>
          </w:p>
        </w:tc>
        <w:tc>
          <w:tcPr>
            <w:tcW w:w="667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rPr>
                <w:rFonts w:eastAsia="Times New Roman"/>
                <w:b/>
                <w:sz w:val="20"/>
                <w:szCs w:val="20"/>
                <w:lang w:eastAsia="ru-RU"/>
              </w:rPr>
            </w:pPr>
            <w:r w:rsidRPr="004761E0">
              <w:rPr>
                <w:rFonts w:eastAsia="Times New Roman"/>
                <w:b/>
                <w:sz w:val="20"/>
                <w:szCs w:val="20"/>
                <w:lang w:eastAsia="ru-RU"/>
              </w:rPr>
              <w:t>Выручка, млн руб. без НДС (всего), в т.ч.:</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71 948</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61 929</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63 410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2,39 %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54 598</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56 079</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61 321</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9,35</w:t>
            </w:r>
            <w:r w:rsidR="00D237C3" w:rsidRPr="004761E0">
              <w:rPr>
                <w:rFonts w:eastAsia="Times New Roman"/>
                <w:sz w:val="20"/>
                <w:szCs w:val="20"/>
                <w:lang w:eastAsia="ru-RU"/>
              </w:rPr>
              <w:t xml:space="preserve"> </w:t>
            </w:r>
            <w:r w:rsidRPr="004761E0">
              <w:rPr>
                <w:rFonts w:eastAsia="Times New Roman"/>
                <w:sz w:val="20"/>
                <w:szCs w:val="20"/>
                <w:lang w:eastAsia="ru-RU"/>
              </w:rPr>
              <w:t>%</w:t>
            </w:r>
          </w:p>
        </w:tc>
      </w:tr>
      <w:tr w:rsidR="006A0727" w:rsidRPr="004761E0" w:rsidTr="006A0727">
        <w:trPr>
          <w:trHeight w:val="164"/>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7076A7">
            <w:pPr>
              <w:pStyle w:val="a5"/>
              <w:numPr>
                <w:ilvl w:val="1"/>
                <w:numId w:val="199"/>
              </w:numPr>
              <w:jc w:val="left"/>
              <w:rPr>
                <w:rFonts w:eastAsia="Times New Roman"/>
                <w:color w:val="000000"/>
                <w:sz w:val="20"/>
                <w:szCs w:val="20"/>
                <w:lang w:eastAsia="ru-RU"/>
              </w:rPr>
            </w:pPr>
          </w:p>
        </w:tc>
        <w:tc>
          <w:tcPr>
            <w:tcW w:w="667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left="318" w:firstLine="0"/>
              <w:jc w:val="left"/>
              <w:rPr>
                <w:rFonts w:eastAsia="Times New Roman"/>
                <w:sz w:val="20"/>
                <w:szCs w:val="20"/>
                <w:lang w:eastAsia="ru-RU"/>
              </w:rPr>
            </w:pPr>
            <w:r w:rsidRPr="004761E0">
              <w:rPr>
                <w:rFonts w:eastAsia="Times New Roman"/>
                <w:sz w:val="20"/>
                <w:szCs w:val="20"/>
                <w:lang w:eastAsia="ru-RU"/>
              </w:rPr>
              <w:t>от оказания услуг по передаче электроэнергии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58 195</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49 690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54 974</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10,63 %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48 799</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50 590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56 006</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10,71</w:t>
            </w:r>
            <w:r w:rsidR="00D237C3" w:rsidRPr="004761E0">
              <w:rPr>
                <w:rFonts w:eastAsia="Times New Roman"/>
                <w:sz w:val="20"/>
                <w:szCs w:val="20"/>
                <w:lang w:eastAsia="ru-RU"/>
              </w:rPr>
              <w:t xml:space="preserve"> </w:t>
            </w:r>
            <w:r w:rsidRPr="004761E0">
              <w:rPr>
                <w:rFonts w:eastAsia="Times New Roman"/>
                <w:sz w:val="20"/>
                <w:szCs w:val="20"/>
                <w:lang w:eastAsia="ru-RU"/>
              </w:rPr>
              <w:t>%</w:t>
            </w:r>
          </w:p>
        </w:tc>
      </w:tr>
      <w:tr w:rsidR="006A0727" w:rsidRPr="004761E0" w:rsidTr="006A0727">
        <w:trPr>
          <w:trHeight w:val="164"/>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7076A7">
            <w:pPr>
              <w:pStyle w:val="a5"/>
              <w:numPr>
                <w:ilvl w:val="1"/>
                <w:numId w:val="199"/>
              </w:numPr>
              <w:jc w:val="left"/>
              <w:rPr>
                <w:rFonts w:eastAsia="Times New Roman"/>
                <w:color w:val="000000"/>
                <w:sz w:val="20"/>
                <w:szCs w:val="20"/>
                <w:lang w:eastAsia="ru-RU"/>
              </w:rPr>
            </w:pPr>
          </w:p>
        </w:tc>
        <w:tc>
          <w:tcPr>
            <w:tcW w:w="667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left="318" w:firstLine="0"/>
              <w:jc w:val="left"/>
              <w:rPr>
                <w:rFonts w:eastAsia="Times New Roman"/>
                <w:sz w:val="20"/>
                <w:szCs w:val="20"/>
                <w:lang w:eastAsia="ru-RU"/>
              </w:rPr>
            </w:pPr>
            <w:r w:rsidRPr="004761E0">
              <w:rPr>
                <w:rFonts w:eastAsia="Times New Roman"/>
                <w:sz w:val="20"/>
                <w:szCs w:val="20"/>
                <w:lang w:eastAsia="ru-RU"/>
              </w:rPr>
              <w:t xml:space="preserve">от оказания услуг по технологическому присоединению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13 134</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11 966</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8 073</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-32,54 %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5 726</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5 420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5 158</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-4,83</w:t>
            </w:r>
            <w:r w:rsidR="00D237C3" w:rsidRPr="004761E0">
              <w:rPr>
                <w:rFonts w:eastAsia="Times New Roman"/>
                <w:sz w:val="20"/>
                <w:szCs w:val="20"/>
                <w:lang w:eastAsia="ru-RU"/>
              </w:rPr>
              <w:t xml:space="preserve"> </w:t>
            </w:r>
            <w:r w:rsidRPr="004761E0">
              <w:rPr>
                <w:rFonts w:eastAsia="Times New Roman"/>
                <w:sz w:val="20"/>
                <w:szCs w:val="20"/>
                <w:lang w:eastAsia="ru-RU"/>
              </w:rPr>
              <w:t>%</w:t>
            </w:r>
          </w:p>
        </w:tc>
      </w:tr>
      <w:tr w:rsidR="006A0727" w:rsidRPr="004761E0" w:rsidTr="006A0727">
        <w:trPr>
          <w:trHeight w:val="164"/>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7076A7">
            <w:pPr>
              <w:pStyle w:val="a5"/>
              <w:numPr>
                <w:ilvl w:val="1"/>
                <w:numId w:val="199"/>
              </w:numPr>
              <w:jc w:val="left"/>
              <w:rPr>
                <w:rFonts w:eastAsia="Times New Roman"/>
                <w:color w:val="000000"/>
                <w:sz w:val="20"/>
                <w:szCs w:val="20"/>
                <w:lang w:eastAsia="ru-RU"/>
              </w:rPr>
            </w:pPr>
          </w:p>
        </w:tc>
        <w:tc>
          <w:tcPr>
            <w:tcW w:w="667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left="318" w:firstLine="0"/>
              <w:jc w:val="left"/>
              <w:rPr>
                <w:rFonts w:eastAsia="Times New Roman"/>
                <w:sz w:val="20"/>
                <w:szCs w:val="20"/>
                <w:lang w:eastAsia="ru-RU"/>
              </w:rPr>
            </w:pPr>
            <w:r w:rsidRPr="004761E0">
              <w:rPr>
                <w:rFonts w:eastAsia="Times New Roman"/>
                <w:sz w:val="20"/>
                <w:szCs w:val="20"/>
                <w:lang w:eastAsia="ru-RU"/>
              </w:rPr>
              <w:t>от прочей деятельности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620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273</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363</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33,01 %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73</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68</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156</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128,64</w:t>
            </w:r>
            <w:r w:rsidR="00D237C3" w:rsidRPr="004761E0">
              <w:rPr>
                <w:rFonts w:eastAsia="Times New Roman"/>
                <w:sz w:val="20"/>
                <w:szCs w:val="20"/>
                <w:lang w:eastAsia="ru-RU"/>
              </w:rPr>
              <w:t xml:space="preserve"> </w:t>
            </w:r>
            <w:r w:rsidRPr="004761E0">
              <w:rPr>
                <w:rFonts w:eastAsia="Times New Roman"/>
                <w:sz w:val="20"/>
                <w:szCs w:val="20"/>
                <w:lang w:eastAsia="ru-RU"/>
              </w:rPr>
              <w:t>%</w:t>
            </w:r>
          </w:p>
        </w:tc>
      </w:tr>
      <w:tr w:rsidR="006A0727" w:rsidRPr="004761E0" w:rsidTr="006A0727">
        <w:trPr>
          <w:trHeight w:val="164"/>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7076A7">
            <w:pPr>
              <w:numPr>
                <w:ilvl w:val="0"/>
                <w:numId w:val="199"/>
              </w:numPr>
              <w:jc w:val="left"/>
              <w:rPr>
                <w:rFonts w:eastAsia="Times New Roman"/>
                <w:b/>
                <w:color w:val="000000"/>
                <w:sz w:val="20"/>
                <w:szCs w:val="20"/>
                <w:lang w:eastAsia="ru-RU"/>
              </w:rPr>
            </w:pPr>
          </w:p>
        </w:tc>
        <w:tc>
          <w:tcPr>
            <w:tcW w:w="667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left"/>
              <w:rPr>
                <w:rFonts w:eastAsia="Times New Roman"/>
                <w:b/>
                <w:sz w:val="20"/>
                <w:szCs w:val="20"/>
                <w:lang w:eastAsia="ru-RU"/>
              </w:rPr>
            </w:pPr>
            <w:r w:rsidRPr="004761E0">
              <w:rPr>
                <w:rFonts w:eastAsia="Times New Roman"/>
                <w:b/>
                <w:sz w:val="20"/>
                <w:szCs w:val="20"/>
                <w:lang w:eastAsia="ru-RU"/>
              </w:rPr>
              <w:t>Себестоимость, млн руб. без НДС (всего), в т.ч.:</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49 889</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43 008</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49 733</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15,64 %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51 213</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49 297</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53 290</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8,10</w:t>
            </w:r>
            <w:r w:rsidR="00D237C3" w:rsidRPr="004761E0">
              <w:rPr>
                <w:rFonts w:eastAsia="Times New Roman"/>
                <w:sz w:val="20"/>
                <w:szCs w:val="20"/>
                <w:lang w:eastAsia="ru-RU"/>
              </w:rPr>
              <w:t xml:space="preserve"> </w:t>
            </w:r>
            <w:r w:rsidRPr="004761E0">
              <w:rPr>
                <w:rFonts w:eastAsia="Times New Roman"/>
                <w:sz w:val="20"/>
                <w:szCs w:val="20"/>
                <w:lang w:eastAsia="ru-RU"/>
              </w:rPr>
              <w:t>%</w:t>
            </w:r>
          </w:p>
        </w:tc>
      </w:tr>
      <w:tr w:rsidR="006A0727" w:rsidRPr="004761E0" w:rsidTr="006A0727">
        <w:trPr>
          <w:trHeight w:val="164"/>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7076A7">
            <w:pPr>
              <w:pStyle w:val="a5"/>
              <w:numPr>
                <w:ilvl w:val="1"/>
                <w:numId w:val="199"/>
              </w:numPr>
              <w:jc w:val="left"/>
              <w:rPr>
                <w:rFonts w:eastAsia="Times New Roman"/>
                <w:color w:val="000000"/>
                <w:sz w:val="20"/>
                <w:szCs w:val="20"/>
                <w:lang w:eastAsia="ru-RU"/>
              </w:rPr>
            </w:pPr>
          </w:p>
        </w:tc>
        <w:tc>
          <w:tcPr>
            <w:tcW w:w="667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left="318" w:firstLine="0"/>
              <w:jc w:val="left"/>
              <w:rPr>
                <w:rFonts w:eastAsia="Times New Roman"/>
                <w:sz w:val="20"/>
                <w:szCs w:val="20"/>
                <w:lang w:eastAsia="ru-RU"/>
              </w:rPr>
            </w:pPr>
            <w:r w:rsidRPr="004761E0">
              <w:rPr>
                <w:rFonts w:eastAsia="Times New Roman"/>
                <w:sz w:val="20"/>
                <w:szCs w:val="20"/>
                <w:lang w:eastAsia="ru-RU"/>
              </w:rPr>
              <w:t>от оказания услуг по передаче электроэнергии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46 446</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40 199</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49 031</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21,97 %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50 460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48 656</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52 860</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8,64</w:t>
            </w:r>
            <w:r w:rsidR="00D237C3" w:rsidRPr="004761E0">
              <w:rPr>
                <w:rFonts w:eastAsia="Times New Roman"/>
                <w:sz w:val="20"/>
                <w:szCs w:val="20"/>
                <w:lang w:eastAsia="ru-RU"/>
              </w:rPr>
              <w:t xml:space="preserve"> </w:t>
            </w:r>
            <w:r w:rsidRPr="004761E0">
              <w:rPr>
                <w:rFonts w:eastAsia="Times New Roman"/>
                <w:sz w:val="20"/>
                <w:szCs w:val="20"/>
                <w:lang w:eastAsia="ru-RU"/>
              </w:rPr>
              <w:t>%</w:t>
            </w:r>
          </w:p>
        </w:tc>
      </w:tr>
      <w:tr w:rsidR="006A0727" w:rsidRPr="004761E0" w:rsidTr="006A0727">
        <w:trPr>
          <w:trHeight w:val="164"/>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7076A7">
            <w:pPr>
              <w:pStyle w:val="a5"/>
              <w:numPr>
                <w:ilvl w:val="1"/>
                <w:numId w:val="199"/>
              </w:numPr>
              <w:jc w:val="left"/>
              <w:rPr>
                <w:rFonts w:eastAsia="Times New Roman"/>
                <w:color w:val="000000"/>
                <w:sz w:val="20"/>
                <w:szCs w:val="20"/>
                <w:lang w:eastAsia="ru-RU"/>
              </w:rPr>
            </w:pPr>
          </w:p>
        </w:tc>
        <w:tc>
          <w:tcPr>
            <w:tcW w:w="667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left="318" w:firstLine="0"/>
              <w:jc w:val="left"/>
              <w:rPr>
                <w:rFonts w:eastAsia="Times New Roman"/>
                <w:sz w:val="20"/>
                <w:szCs w:val="20"/>
                <w:lang w:eastAsia="ru-RU"/>
              </w:rPr>
            </w:pPr>
            <w:r w:rsidRPr="004761E0">
              <w:rPr>
                <w:rFonts w:eastAsia="Times New Roman"/>
                <w:sz w:val="20"/>
                <w:szCs w:val="20"/>
                <w:lang w:eastAsia="ru-RU"/>
              </w:rPr>
              <w:t xml:space="preserve">от оказания услуг по технологическому присоединению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3 013</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2 730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610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-77,65 %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708</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604</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359</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-40,49</w:t>
            </w:r>
            <w:r w:rsidR="00D237C3" w:rsidRPr="004761E0">
              <w:rPr>
                <w:rFonts w:eastAsia="Times New Roman"/>
                <w:sz w:val="20"/>
                <w:szCs w:val="20"/>
                <w:lang w:eastAsia="ru-RU"/>
              </w:rPr>
              <w:t xml:space="preserve"> </w:t>
            </w:r>
            <w:r w:rsidRPr="004761E0">
              <w:rPr>
                <w:rFonts w:eastAsia="Times New Roman"/>
                <w:sz w:val="20"/>
                <w:szCs w:val="20"/>
                <w:lang w:eastAsia="ru-RU"/>
              </w:rPr>
              <w:t>%</w:t>
            </w:r>
          </w:p>
        </w:tc>
      </w:tr>
      <w:tr w:rsidR="006A0727" w:rsidRPr="004761E0" w:rsidTr="006A0727">
        <w:trPr>
          <w:trHeight w:val="164"/>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7076A7">
            <w:pPr>
              <w:pStyle w:val="a5"/>
              <w:numPr>
                <w:ilvl w:val="1"/>
                <w:numId w:val="199"/>
              </w:numPr>
              <w:jc w:val="left"/>
              <w:rPr>
                <w:rFonts w:eastAsia="Times New Roman"/>
                <w:color w:val="000000"/>
                <w:sz w:val="20"/>
                <w:szCs w:val="20"/>
                <w:lang w:eastAsia="ru-RU"/>
              </w:rPr>
            </w:pPr>
          </w:p>
        </w:tc>
        <w:tc>
          <w:tcPr>
            <w:tcW w:w="667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left="318" w:firstLine="0"/>
              <w:jc w:val="left"/>
              <w:rPr>
                <w:rFonts w:eastAsia="Times New Roman"/>
                <w:sz w:val="20"/>
                <w:szCs w:val="20"/>
                <w:lang w:eastAsia="ru-RU"/>
              </w:rPr>
            </w:pPr>
            <w:r w:rsidRPr="004761E0">
              <w:rPr>
                <w:rFonts w:eastAsia="Times New Roman"/>
                <w:sz w:val="20"/>
                <w:szCs w:val="20"/>
                <w:lang w:eastAsia="ru-RU"/>
              </w:rPr>
              <w:t>от прочей деятельности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431</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79</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92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15,89 %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45</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36</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70</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93,50</w:t>
            </w:r>
            <w:r w:rsidR="00D237C3" w:rsidRPr="004761E0">
              <w:rPr>
                <w:rFonts w:eastAsia="Times New Roman"/>
                <w:sz w:val="20"/>
                <w:szCs w:val="20"/>
                <w:lang w:eastAsia="ru-RU"/>
              </w:rPr>
              <w:t xml:space="preserve"> </w:t>
            </w:r>
            <w:r w:rsidRPr="004761E0">
              <w:rPr>
                <w:rFonts w:eastAsia="Times New Roman"/>
                <w:sz w:val="20"/>
                <w:szCs w:val="20"/>
                <w:lang w:eastAsia="ru-RU"/>
              </w:rPr>
              <w:t>%</w:t>
            </w:r>
          </w:p>
        </w:tc>
      </w:tr>
      <w:tr w:rsidR="006A0727" w:rsidRPr="004761E0" w:rsidTr="006A0727">
        <w:trPr>
          <w:trHeight w:val="164"/>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7076A7">
            <w:pPr>
              <w:numPr>
                <w:ilvl w:val="0"/>
                <w:numId w:val="199"/>
              </w:numPr>
              <w:jc w:val="left"/>
              <w:rPr>
                <w:rFonts w:eastAsia="Times New Roman"/>
                <w:b/>
                <w:color w:val="000000"/>
                <w:sz w:val="20"/>
                <w:szCs w:val="20"/>
                <w:lang w:eastAsia="ru-RU"/>
              </w:rPr>
            </w:pPr>
          </w:p>
        </w:tc>
        <w:tc>
          <w:tcPr>
            <w:tcW w:w="667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left"/>
              <w:rPr>
                <w:rFonts w:eastAsia="Times New Roman"/>
                <w:b/>
                <w:sz w:val="20"/>
                <w:szCs w:val="20"/>
                <w:lang w:eastAsia="ru-RU"/>
              </w:rPr>
            </w:pPr>
            <w:r w:rsidRPr="004761E0">
              <w:rPr>
                <w:rFonts w:eastAsia="Times New Roman"/>
                <w:b/>
                <w:sz w:val="20"/>
                <w:szCs w:val="20"/>
                <w:lang w:eastAsia="ru-RU"/>
              </w:rPr>
              <w:t>EBITDA, млн руб. без НДС (всего), в т.ч.:</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30 272</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26 696</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19 464</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-27,09 %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9 306</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14 516</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A478D5" w:rsidP="006A0727">
            <w:pPr>
              <w:ind w:firstLine="0"/>
              <w:jc w:val="right"/>
              <w:rPr>
                <w:rFonts w:eastAsia="Times New Roman"/>
                <w:sz w:val="20"/>
                <w:szCs w:val="20"/>
                <w:lang w:eastAsia="ru-RU"/>
              </w:rPr>
            </w:pPr>
            <w:r>
              <w:rPr>
                <w:rFonts w:eastAsia="Times New Roman"/>
                <w:sz w:val="20"/>
                <w:szCs w:val="20"/>
                <w:lang w:eastAsia="ru-RU"/>
              </w:rPr>
              <w:t>16 96</w:t>
            </w:r>
            <w:r w:rsidR="006A0727" w:rsidRPr="004761E0">
              <w:rPr>
                <w:rFonts w:eastAsia="Times New Roman"/>
                <w:sz w:val="20"/>
                <w:szCs w:val="20"/>
                <w:lang w:eastAsia="ru-RU"/>
              </w:rPr>
              <w:t>6</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A478D5" w:rsidP="006A0727">
            <w:pPr>
              <w:ind w:firstLine="0"/>
              <w:jc w:val="right"/>
              <w:rPr>
                <w:rFonts w:eastAsia="Times New Roman"/>
                <w:sz w:val="20"/>
                <w:szCs w:val="20"/>
                <w:lang w:eastAsia="ru-RU"/>
              </w:rPr>
            </w:pPr>
            <w:r>
              <w:rPr>
                <w:rFonts w:eastAsia="Times New Roman"/>
                <w:sz w:val="20"/>
                <w:szCs w:val="20"/>
                <w:lang w:eastAsia="ru-RU"/>
              </w:rPr>
              <w:t>16</w:t>
            </w:r>
            <w:r w:rsidR="006A0727" w:rsidRPr="004761E0">
              <w:rPr>
                <w:rFonts w:eastAsia="Times New Roman"/>
                <w:sz w:val="20"/>
                <w:szCs w:val="20"/>
                <w:lang w:eastAsia="ru-RU"/>
              </w:rPr>
              <w:t>,</w:t>
            </w:r>
            <w:r>
              <w:rPr>
                <w:rFonts w:eastAsia="Times New Roman"/>
                <w:sz w:val="20"/>
                <w:szCs w:val="20"/>
                <w:lang w:eastAsia="ru-RU"/>
              </w:rPr>
              <w:t>8</w:t>
            </w:r>
            <w:r w:rsidR="006A0727" w:rsidRPr="004761E0">
              <w:rPr>
                <w:rFonts w:eastAsia="Times New Roman"/>
                <w:sz w:val="20"/>
                <w:szCs w:val="20"/>
                <w:lang w:eastAsia="ru-RU"/>
              </w:rPr>
              <w:t>8</w:t>
            </w:r>
            <w:r w:rsidR="00D237C3" w:rsidRPr="004761E0">
              <w:rPr>
                <w:rFonts w:eastAsia="Times New Roman"/>
                <w:sz w:val="20"/>
                <w:szCs w:val="20"/>
                <w:lang w:eastAsia="ru-RU"/>
              </w:rPr>
              <w:t xml:space="preserve"> </w:t>
            </w:r>
            <w:r w:rsidR="006A0727" w:rsidRPr="004761E0">
              <w:rPr>
                <w:rFonts w:eastAsia="Times New Roman"/>
                <w:sz w:val="20"/>
                <w:szCs w:val="20"/>
                <w:lang w:eastAsia="ru-RU"/>
              </w:rPr>
              <w:t>%</w:t>
            </w:r>
          </w:p>
        </w:tc>
      </w:tr>
      <w:tr w:rsidR="006A0727" w:rsidRPr="004761E0" w:rsidTr="006A0727">
        <w:trPr>
          <w:trHeight w:val="164"/>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7076A7">
            <w:pPr>
              <w:pStyle w:val="a5"/>
              <w:numPr>
                <w:ilvl w:val="1"/>
                <w:numId w:val="199"/>
              </w:numPr>
              <w:jc w:val="left"/>
              <w:rPr>
                <w:rFonts w:eastAsia="Times New Roman"/>
                <w:color w:val="000000"/>
                <w:sz w:val="20"/>
                <w:szCs w:val="20"/>
                <w:lang w:eastAsia="ru-RU"/>
              </w:rPr>
            </w:pPr>
          </w:p>
        </w:tc>
        <w:tc>
          <w:tcPr>
            <w:tcW w:w="667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left="318" w:firstLine="0"/>
              <w:jc w:val="left"/>
              <w:rPr>
                <w:rFonts w:eastAsia="Times New Roman"/>
                <w:sz w:val="20"/>
                <w:szCs w:val="20"/>
                <w:lang w:eastAsia="ru-RU"/>
              </w:rPr>
            </w:pPr>
            <w:r w:rsidRPr="004761E0">
              <w:rPr>
                <w:rFonts w:eastAsia="Times New Roman"/>
                <w:sz w:val="20"/>
                <w:szCs w:val="20"/>
                <w:lang w:eastAsia="ru-RU"/>
              </w:rPr>
              <w:t>от оказания услуг по передаче электроэнергии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19 960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17 266</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20 244</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17,25 %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4 260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9 668</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12 087</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25,02</w:t>
            </w:r>
            <w:r w:rsidR="00D237C3" w:rsidRPr="004761E0">
              <w:rPr>
                <w:rFonts w:eastAsia="Times New Roman"/>
                <w:sz w:val="20"/>
                <w:szCs w:val="20"/>
                <w:lang w:eastAsia="ru-RU"/>
              </w:rPr>
              <w:t xml:space="preserve"> </w:t>
            </w:r>
            <w:r w:rsidRPr="004761E0">
              <w:rPr>
                <w:rFonts w:eastAsia="Times New Roman"/>
                <w:sz w:val="20"/>
                <w:szCs w:val="20"/>
                <w:lang w:eastAsia="ru-RU"/>
              </w:rPr>
              <w:t>%</w:t>
            </w:r>
          </w:p>
        </w:tc>
      </w:tr>
      <w:tr w:rsidR="006A0727" w:rsidRPr="004761E0" w:rsidTr="006A0727">
        <w:trPr>
          <w:trHeight w:val="164"/>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0727" w:rsidRPr="004761E0" w:rsidRDefault="006A0727" w:rsidP="007076A7">
            <w:pPr>
              <w:pStyle w:val="a5"/>
              <w:numPr>
                <w:ilvl w:val="1"/>
                <w:numId w:val="199"/>
              </w:numPr>
              <w:jc w:val="left"/>
              <w:rPr>
                <w:rFonts w:eastAsia="Times New Roman"/>
                <w:color w:val="000000"/>
                <w:sz w:val="20"/>
                <w:szCs w:val="20"/>
                <w:lang w:eastAsia="ru-RU"/>
              </w:rPr>
            </w:pPr>
          </w:p>
        </w:tc>
        <w:tc>
          <w:tcPr>
            <w:tcW w:w="667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left="318" w:firstLine="0"/>
              <w:jc w:val="left"/>
              <w:rPr>
                <w:rFonts w:eastAsia="Times New Roman"/>
                <w:sz w:val="20"/>
                <w:szCs w:val="20"/>
                <w:lang w:eastAsia="ru-RU"/>
              </w:rPr>
            </w:pPr>
            <w:r w:rsidRPr="004761E0">
              <w:rPr>
                <w:rFonts w:eastAsia="Times New Roman"/>
                <w:sz w:val="20"/>
                <w:szCs w:val="20"/>
                <w:lang w:eastAsia="ru-RU"/>
              </w:rPr>
              <w:t xml:space="preserve">от оказания услуг по технологическому присоединению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10 123</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9 236</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-999</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-110,82 %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5 018</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4 816</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4 799</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-0,36</w:t>
            </w:r>
            <w:r w:rsidR="00D237C3" w:rsidRPr="004761E0">
              <w:rPr>
                <w:rFonts w:eastAsia="Times New Roman"/>
                <w:sz w:val="20"/>
                <w:szCs w:val="20"/>
                <w:lang w:eastAsia="ru-RU"/>
              </w:rPr>
              <w:t xml:space="preserve"> </w:t>
            </w:r>
            <w:r w:rsidRPr="004761E0">
              <w:rPr>
                <w:rFonts w:eastAsia="Times New Roman"/>
                <w:sz w:val="20"/>
                <w:szCs w:val="20"/>
                <w:lang w:eastAsia="ru-RU"/>
              </w:rPr>
              <w:t>%</w:t>
            </w:r>
          </w:p>
        </w:tc>
      </w:tr>
      <w:tr w:rsidR="006A0727" w:rsidRPr="004761E0" w:rsidTr="006A0727">
        <w:trPr>
          <w:trHeight w:val="164"/>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0727" w:rsidRPr="004761E0" w:rsidRDefault="006A0727" w:rsidP="007076A7">
            <w:pPr>
              <w:pStyle w:val="a5"/>
              <w:numPr>
                <w:ilvl w:val="1"/>
                <w:numId w:val="199"/>
              </w:numPr>
              <w:jc w:val="left"/>
              <w:rPr>
                <w:rFonts w:eastAsia="Times New Roman"/>
                <w:color w:val="000000"/>
                <w:sz w:val="20"/>
                <w:szCs w:val="20"/>
                <w:lang w:eastAsia="ru-RU"/>
              </w:rPr>
            </w:pPr>
          </w:p>
        </w:tc>
        <w:tc>
          <w:tcPr>
            <w:tcW w:w="6674" w:type="dxa"/>
            <w:tcBorders>
              <w:top w:val="single" w:sz="4" w:space="0" w:color="auto"/>
              <w:left w:val="nil"/>
              <w:bottom w:val="single" w:sz="4" w:space="0" w:color="auto"/>
              <w:right w:val="single" w:sz="4" w:space="0" w:color="auto"/>
            </w:tcBorders>
            <w:shd w:val="clear" w:color="auto" w:fill="auto"/>
            <w:vAlign w:val="center"/>
          </w:tcPr>
          <w:p w:rsidR="006A0727" w:rsidRPr="004761E0" w:rsidRDefault="006A0727" w:rsidP="006A0727">
            <w:pPr>
              <w:ind w:left="318" w:firstLine="0"/>
              <w:jc w:val="left"/>
              <w:rPr>
                <w:rFonts w:eastAsia="Times New Roman"/>
                <w:sz w:val="20"/>
                <w:szCs w:val="20"/>
                <w:lang w:eastAsia="ru-RU"/>
              </w:rPr>
            </w:pPr>
            <w:r w:rsidRPr="004761E0">
              <w:rPr>
                <w:rFonts w:eastAsia="Times New Roman"/>
                <w:sz w:val="20"/>
                <w:szCs w:val="20"/>
                <w:lang w:eastAsia="ru-RU"/>
              </w:rPr>
              <w:t>от прочей деятельности</w:t>
            </w:r>
          </w:p>
        </w:tc>
        <w:tc>
          <w:tcPr>
            <w:tcW w:w="851" w:type="dxa"/>
            <w:tcBorders>
              <w:top w:val="single" w:sz="4" w:space="0" w:color="auto"/>
              <w:left w:val="nil"/>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189</w:t>
            </w:r>
          </w:p>
        </w:tc>
        <w:tc>
          <w:tcPr>
            <w:tcW w:w="852" w:type="dxa"/>
            <w:tcBorders>
              <w:top w:val="single" w:sz="4" w:space="0" w:color="auto"/>
              <w:left w:val="nil"/>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194</w:t>
            </w:r>
          </w:p>
        </w:tc>
        <w:tc>
          <w:tcPr>
            <w:tcW w:w="994" w:type="dxa"/>
            <w:tcBorders>
              <w:top w:val="single" w:sz="4" w:space="0" w:color="auto"/>
              <w:left w:val="nil"/>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219</w:t>
            </w:r>
          </w:p>
        </w:tc>
        <w:tc>
          <w:tcPr>
            <w:tcW w:w="1136" w:type="dxa"/>
            <w:tcBorders>
              <w:top w:val="single" w:sz="4" w:space="0" w:color="auto"/>
              <w:left w:val="nil"/>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13,12 %</w:t>
            </w:r>
          </w:p>
        </w:tc>
        <w:tc>
          <w:tcPr>
            <w:tcW w:w="994" w:type="dxa"/>
            <w:tcBorders>
              <w:top w:val="single" w:sz="4" w:space="0" w:color="auto"/>
              <w:left w:val="nil"/>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28</w:t>
            </w:r>
          </w:p>
        </w:tc>
        <w:tc>
          <w:tcPr>
            <w:tcW w:w="994" w:type="dxa"/>
            <w:tcBorders>
              <w:top w:val="single" w:sz="4" w:space="0" w:color="auto"/>
              <w:left w:val="nil"/>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32</w:t>
            </w:r>
          </w:p>
        </w:tc>
        <w:tc>
          <w:tcPr>
            <w:tcW w:w="852" w:type="dxa"/>
            <w:tcBorders>
              <w:top w:val="single" w:sz="4" w:space="0" w:color="auto"/>
              <w:left w:val="nil"/>
              <w:bottom w:val="single" w:sz="4" w:space="0" w:color="auto"/>
              <w:right w:val="single" w:sz="4" w:space="0" w:color="auto"/>
            </w:tcBorders>
            <w:shd w:val="clear" w:color="auto" w:fill="auto"/>
            <w:vAlign w:val="center"/>
          </w:tcPr>
          <w:p w:rsidR="006A0727" w:rsidRPr="004761E0" w:rsidRDefault="003D25E1" w:rsidP="006A0727">
            <w:pPr>
              <w:ind w:firstLine="0"/>
              <w:jc w:val="right"/>
              <w:rPr>
                <w:rFonts w:eastAsia="Times New Roman"/>
                <w:sz w:val="20"/>
                <w:szCs w:val="20"/>
                <w:lang w:eastAsia="ru-RU"/>
              </w:rPr>
            </w:pPr>
            <w:r>
              <w:rPr>
                <w:rFonts w:eastAsia="Times New Roman"/>
                <w:sz w:val="20"/>
                <w:szCs w:val="20"/>
                <w:lang w:eastAsia="ru-RU"/>
              </w:rPr>
              <w:t>80</w:t>
            </w:r>
          </w:p>
        </w:tc>
        <w:tc>
          <w:tcPr>
            <w:tcW w:w="1083" w:type="dxa"/>
            <w:tcBorders>
              <w:top w:val="single" w:sz="4" w:space="0" w:color="auto"/>
              <w:left w:val="nil"/>
              <w:bottom w:val="single" w:sz="4" w:space="0" w:color="auto"/>
              <w:right w:val="single" w:sz="4" w:space="0" w:color="auto"/>
            </w:tcBorders>
            <w:shd w:val="clear" w:color="auto" w:fill="auto"/>
            <w:vAlign w:val="center"/>
          </w:tcPr>
          <w:p w:rsidR="006A0727" w:rsidRPr="004761E0" w:rsidRDefault="003D25E1" w:rsidP="006A0727">
            <w:pPr>
              <w:ind w:firstLine="0"/>
              <w:jc w:val="right"/>
              <w:rPr>
                <w:rFonts w:eastAsia="Times New Roman"/>
                <w:sz w:val="20"/>
                <w:szCs w:val="20"/>
                <w:lang w:eastAsia="ru-RU"/>
              </w:rPr>
            </w:pPr>
            <w:r>
              <w:rPr>
                <w:rFonts w:eastAsia="Times New Roman"/>
                <w:sz w:val="20"/>
                <w:szCs w:val="20"/>
                <w:lang w:eastAsia="ru-RU"/>
              </w:rPr>
              <w:t>150,00</w:t>
            </w:r>
            <w:r w:rsidR="00D237C3" w:rsidRPr="004761E0">
              <w:rPr>
                <w:rFonts w:eastAsia="Times New Roman"/>
                <w:sz w:val="20"/>
                <w:szCs w:val="20"/>
                <w:lang w:eastAsia="ru-RU"/>
              </w:rPr>
              <w:t xml:space="preserve"> </w:t>
            </w:r>
            <w:r w:rsidR="006A0727" w:rsidRPr="004761E0">
              <w:rPr>
                <w:rFonts w:eastAsia="Times New Roman"/>
                <w:sz w:val="20"/>
                <w:szCs w:val="20"/>
                <w:lang w:eastAsia="ru-RU"/>
              </w:rPr>
              <w:t>%</w:t>
            </w:r>
          </w:p>
        </w:tc>
      </w:tr>
      <w:tr w:rsidR="006A0727" w:rsidRPr="004761E0" w:rsidTr="00D237C3">
        <w:trPr>
          <w:trHeight w:val="164"/>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6A0727" w:rsidRPr="004761E0" w:rsidRDefault="006A0727" w:rsidP="007076A7">
            <w:pPr>
              <w:numPr>
                <w:ilvl w:val="0"/>
                <w:numId w:val="199"/>
              </w:numPr>
              <w:jc w:val="left"/>
              <w:rPr>
                <w:rFonts w:eastAsia="Times New Roman"/>
                <w:b/>
                <w:color w:val="000000"/>
                <w:sz w:val="20"/>
                <w:szCs w:val="20"/>
                <w:lang w:eastAsia="ru-RU"/>
              </w:rPr>
            </w:pPr>
          </w:p>
        </w:tc>
        <w:tc>
          <w:tcPr>
            <w:tcW w:w="6674" w:type="dxa"/>
            <w:tcBorders>
              <w:top w:val="nil"/>
              <w:left w:val="nil"/>
              <w:bottom w:val="single" w:sz="4" w:space="0" w:color="auto"/>
              <w:right w:val="single" w:sz="4" w:space="0" w:color="auto"/>
            </w:tcBorders>
            <w:shd w:val="clear" w:color="auto" w:fill="auto"/>
            <w:vAlign w:val="center"/>
          </w:tcPr>
          <w:p w:rsidR="006A0727" w:rsidRPr="004761E0" w:rsidRDefault="006A0727" w:rsidP="006A0727">
            <w:pPr>
              <w:ind w:firstLine="0"/>
              <w:jc w:val="left"/>
              <w:rPr>
                <w:rFonts w:eastAsia="Times New Roman"/>
                <w:b/>
                <w:sz w:val="20"/>
                <w:szCs w:val="20"/>
                <w:lang w:eastAsia="ru-RU"/>
              </w:rPr>
            </w:pPr>
            <w:r w:rsidRPr="004761E0">
              <w:rPr>
                <w:rFonts w:eastAsia="Times New Roman"/>
                <w:b/>
                <w:sz w:val="20"/>
                <w:szCs w:val="20"/>
                <w:lang w:eastAsia="ru-RU"/>
              </w:rPr>
              <w:t>Рентабельность по EBITDA, %</w:t>
            </w:r>
          </w:p>
        </w:tc>
        <w:tc>
          <w:tcPr>
            <w:tcW w:w="851" w:type="dxa"/>
            <w:tcBorders>
              <w:top w:val="nil"/>
              <w:left w:val="nil"/>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42,07</w:t>
            </w:r>
          </w:p>
        </w:tc>
        <w:tc>
          <w:tcPr>
            <w:tcW w:w="852" w:type="dxa"/>
            <w:tcBorders>
              <w:top w:val="nil"/>
              <w:left w:val="nil"/>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43,11</w:t>
            </w:r>
          </w:p>
        </w:tc>
        <w:tc>
          <w:tcPr>
            <w:tcW w:w="994" w:type="dxa"/>
            <w:tcBorders>
              <w:top w:val="nil"/>
              <w:left w:val="nil"/>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30,70</w:t>
            </w:r>
          </w:p>
        </w:tc>
        <w:tc>
          <w:tcPr>
            <w:tcW w:w="1136" w:type="dxa"/>
            <w:tcBorders>
              <w:top w:val="nil"/>
              <w:left w:val="nil"/>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-12,41 п.п.</w:t>
            </w:r>
          </w:p>
        </w:tc>
        <w:tc>
          <w:tcPr>
            <w:tcW w:w="994" w:type="dxa"/>
            <w:tcBorders>
              <w:top w:val="nil"/>
              <w:left w:val="nil"/>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17,05</w:t>
            </w:r>
          </w:p>
        </w:tc>
        <w:tc>
          <w:tcPr>
            <w:tcW w:w="994" w:type="dxa"/>
            <w:tcBorders>
              <w:top w:val="nil"/>
              <w:left w:val="nil"/>
              <w:bottom w:val="single" w:sz="4" w:space="0" w:color="auto"/>
              <w:right w:val="single" w:sz="4" w:space="0" w:color="auto"/>
            </w:tcBorders>
            <w:shd w:val="clear" w:color="auto" w:fill="auto"/>
            <w:vAlign w:val="center"/>
          </w:tcPr>
          <w:p w:rsidR="006A0727" w:rsidRPr="004761E0" w:rsidRDefault="006A0727" w:rsidP="006A0727">
            <w:pPr>
              <w:ind w:firstLine="0"/>
              <w:jc w:val="right"/>
              <w:rPr>
                <w:rFonts w:eastAsia="Times New Roman"/>
                <w:sz w:val="20"/>
                <w:szCs w:val="20"/>
                <w:lang w:eastAsia="ru-RU"/>
              </w:rPr>
            </w:pPr>
            <w:r w:rsidRPr="004761E0">
              <w:rPr>
                <w:rFonts w:eastAsia="Times New Roman"/>
                <w:sz w:val="20"/>
                <w:szCs w:val="20"/>
                <w:lang w:eastAsia="ru-RU"/>
              </w:rPr>
              <w:t>25,89</w:t>
            </w:r>
          </w:p>
        </w:tc>
        <w:tc>
          <w:tcPr>
            <w:tcW w:w="852" w:type="dxa"/>
            <w:tcBorders>
              <w:top w:val="nil"/>
              <w:left w:val="nil"/>
              <w:bottom w:val="single" w:sz="4" w:space="0" w:color="auto"/>
              <w:right w:val="single" w:sz="4" w:space="0" w:color="auto"/>
            </w:tcBorders>
            <w:shd w:val="clear" w:color="auto" w:fill="auto"/>
            <w:vAlign w:val="center"/>
          </w:tcPr>
          <w:p w:rsidR="006A0727" w:rsidRPr="004761E0" w:rsidRDefault="003D25E1" w:rsidP="006A0727">
            <w:pPr>
              <w:ind w:firstLine="0"/>
              <w:jc w:val="right"/>
              <w:rPr>
                <w:rFonts w:eastAsia="Times New Roman"/>
                <w:sz w:val="20"/>
                <w:szCs w:val="20"/>
                <w:lang w:eastAsia="ru-RU"/>
              </w:rPr>
            </w:pPr>
            <w:r>
              <w:rPr>
                <w:rFonts w:eastAsia="Times New Roman"/>
                <w:sz w:val="20"/>
                <w:szCs w:val="20"/>
                <w:lang w:eastAsia="ru-RU"/>
              </w:rPr>
              <w:t>27,67</w:t>
            </w:r>
          </w:p>
        </w:tc>
        <w:tc>
          <w:tcPr>
            <w:tcW w:w="1083" w:type="dxa"/>
            <w:tcBorders>
              <w:top w:val="nil"/>
              <w:left w:val="nil"/>
              <w:bottom w:val="single" w:sz="4" w:space="0" w:color="auto"/>
              <w:right w:val="single" w:sz="4" w:space="0" w:color="auto"/>
            </w:tcBorders>
            <w:shd w:val="clear" w:color="auto" w:fill="auto"/>
            <w:vAlign w:val="center"/>
          </w:tcPr>
          <w:p w:rsidR="006A0727" w:rsidRPr="004761E0" w:rsidRDefault="006A0727" w:rsidP="003D25E1">
            <w:pPr>
              <w:ind w:firstLine="0"/>
              <w:jc w:val="right"/>
              <w:rPr>
                <w:rFonts w:eastAsia="Times New Roman"/>
                <w:sz w:val="20"/>
                <w:szCs w:val="20"/>
                <w:lang w:eastAsia="ru-RU"/>
              </w:rPr>
            </w:pPr>
            <w:r w:rsidRPr="004761E0">
              <w:rPr>
                <w:rFonts w:eastAsia="Times New Roman"/>
                <w:sz w:val="20"/>
                <w:szCs w:val="20"/>
                <w:lang w:eastAsia="ru-RU"/>
              </w:rPr>
              <w:t>1,</w:t>
            </w:r>
            <w:r w:rsidR="003D25E1">
              <w:rPr>
                <w:rFonts w:eastAsia="Times New Roman"/>
                <w:sz w:val="20"/>
                <w:szCs w:val="20"/>
                <w:lang w:eastAsia="ru-RU"/>
              </w:rPr>
              <w:t>78</w:t>
            </w:r>
            <w:r w:rsidR="00D237C3" w:rsidRPr="004761E0">
              <w:rPr>
                <w:rFonts w:eastAsia="Times New Roman"/>
                <w:sz w:val="20"/>
                <w:szCs w:val="20"/>
                <w:lang w:eastAsia="ru-RU"/>
              </w:rPr>
              <w:t xml:space="preserve"> п.п.</w:t>
            </w:r>
          </w:p>
        </w:tc>
      </w:tr>
      <w:tr w:rsidR="00D237C3" w:rsidRPr="004761E0" w:rsidTr="00D237C3">
        <w:trPr>
          <w:trHeight w:val="164"/>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D237C3" w:rsidRPr="004761E0" w:rsidRDefault="00D237C3" w:rsidP="007076A7">
            <w:pPr>
              <w:numPr>
                <w:ilvl w:val="0"/>
                <w:numId w:val="199"/>
              </w:numPr>
              <w:jc w:val="left"/>
              <w:rPr>
                <w:rFonts w:eastAsia="Times New Roman"/>
                <w:b/>
                <w:color w:val="000000"/>
                <w:sz w:val="20"/>
                <w:szCs w:val="20"/>
                <w:lang w:eastAsia="ru-RU"/>
              </w:rPr>
            </w:pPr>
          </w:p>
        </w:tc>
        <w:tc>
          <w:tcPr>
            <w:tcW w:w="6674" w:type="dxa"/>
            <w:tcBorders>
              <w:top w:val="single" w:sz="4" w:space="0" w:color="auto"/>
              <w:left w:val="single" w:sz="4" w:space="0" w:color="auto"/>
              <w:bottom w:val="single" w:sz="4" w:space="0" w:color="auto"/>
              <w:right w:val="single" w:sz="4" w:space="0" w:color="auto"/>
            </w:tcBorders>
            <w:shd w:val="clear" w:color="auto" w:fill="auto"/>
            <w:vAlign w:val="center"/>
          </w:tcPr>
          <w:p w:rsidR="00D237C3" w:rsidRPr="004761E0" w:rsidRDefault="00D237C3" w:rsidP="006A0727">
            <w:pPr>
              <w:ind w:firstLine="0"/>
              <w:jc w:val="left"/>
              <w:rPr>
                <w:rFonts w:eastAsia="Times New Roman"/>
                <w:b/>
                <w:sz w:val="20"/>
                <w:szCs w:val="20"/>
                <w:lang w:eastAsia="ru-RU"/>
              </w:rPr>
            </w:pPr>
            <w:r w:rsidRPr="004761E0">
              <w:rPr>
                <w:rFonts w:eastAsia="Times New Roman"/>
                <w:b/>
                <w:sz w:val="20"/>
                <w:szCs w:val="20"/>
                <w:lang w:eastAsia="ru-RU"/>
              </w:rPr>
              <w:t>Чистая прибыль, млн руб. без НДС (всего), в т.ч.:</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18 108</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13 051</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5 150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-60,54 %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-1 055</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4 133</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6 490</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57,03 %</w:t>
            </w:r>
          </w:p>
        </w:tc>
      </w:tr>
      <w:tr w:rsidR="00D237C3" w:rsidRPr="004761E0" w:rsidTr="00D237C3">
        <w:trPr>
          <w:trHeight w:val="164"/>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D237C3" w:rsidRPr="004761E0" w:rsidRDefault="00D237C3" w:rsidP="007076A7">
            <w:pPr>
              <w:pStyle w:val="a5"/>
              <w:numPr>
                <w:ilvl w:val="1"/>
                <w:numId w:val="199"/>
              </w:numPr>
              <w:jc w:val="left"/>
              <w:rPr>
                <w:rFonts w:eastAsia="Times New Roman"/>
                <w:color w:val="000000"/>
                <w:sz w:val="20"/>
                <w:szCs w:val="20"/>
                <w:lang w:eastAsia="ru-RU"/>
              </w:rPr>
            </w:pPr>
          </w:p>
        </w:tc>
        <w:tc>
          <w:tcPr>
            <w:tcW w:w="6674" w:type="dxa"/>
            <w:tcBorders>
              <w:top w:val="single" w:sz="4" w:space="0" w:color="auto"/>
              <w:left w:val="nil"/>
              <w:bottom w:val="single" w:sz="4" w:space="0" w:color="auto"/>
              <w:right w:val="single" w:sz="4" w:space="0" w:color="auto"/>
            </w:tcBorders>
            <w:shd w:val="clear" w:color="auto" w:fill="auto"/>
            <w:vAlign w:val="center"/>
          </w:tcPr>
          <w:p w:rsidR="00D237C3" w:rsidRPr="004761E0" w:rsidRDefault="00D237C3" w:rsidP="006A0727">
            <w:pPr>
              <w:ind w:left="318" w:firstLine="0"/>
              <w:jc w:val="left"/>
              <w:rPr>
                <w:rFonts w:eastAsia="Times New Roman"/>
                <w:sz w:val="20"/>
                <w:szCs w:val="20"/>
                <w:lang w:eastAsia="ru-RU"/>
              </w:rPr>
            </w:pPr>
            <w:r w:rsidRPr="004761E0">
              <w:rPr>
                <w:rFonts w:eastAsia="Times New Roman"/>
                <w:sz w:val="20"/>
                <w:szCs w:val="20"/>
                <w:lang w:eastAsia="ru-RU"/>
              </w:rPr>
              <w:t>от оказания услуг по передаче электроэнергии</w:t>
            </w:r>
          </w:p>
        </w:tc>
        <w:tc>
          <w:tcPr>
            <w:tcW w:w="851" w:type="dxa"/>
            <w:tcBorders>
              <w:top w:val="single" w:sz="4" w:space="0" w:color="auto"/>
              <w:left w:val="nil"/>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9 860</w:t>
            </w:r>
          </w:p>
        </w:tc>
        <w:tc>
          <w:tcPr>
            <w:tcW w:w="852" w:type="dxa"/>
            <w:tcBorders>
              <w:top w:val="single" w:sz="4" w:space="0" w:color="auto"/>
              <w:left w:val="nil"/>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5 507</w:t>
            </w:r>
          </w:p>
        </w:tc>
        <w:tc>
          <w:tcPr>
            <w:tcW w:w="994" w:type="dxa"/>
            <w:tcBorders>
              <w:top w:val="single" w:sz="4" w:space="0" w:color="auto"/>
              <w:left w:val="nil"/>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5 733</w:t>
            </w:r>
          </w:p>
        </w:tc>
        <w:tc>
          <w:tcPr>
            <w:tcW w:w="1136" w:type="dxa"/>
            <w:tcBorders>
              <w:top w:val="single" w:sz="4" w:space="0" w:color="auto"/>
              <w:left w:val="nil"/>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4,11 %</w:t>
            </w:r>
          </w:p>
        </w:tc>
        <w:tc>
          <w:tcPr>
            <w:tcW w:w="994" w:type="dxa"/>
            <w:tcBorders>
              <w:top w:val="single" w:sz="4" w:space="0" w:color="auto"/>
              <w:left w:val="nil"/>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-5 092</w:t>
            </w:r>
          </w:p>
        </w:tc>
        <w:tc>
          <w:tcPr>
            <w:tcW w:w="994" w:type="dxa"/>
            <w:tcBorders>
              <w:top w:val="single" w:sz="4" w:space="0" w:color="auto"/>
              <w:left w:val="nil"/>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255</w:t>
            </w:r>
          </w:p>
        </w:tc>
        <w:tc>
          <w:tcPr>
            <w:tcW w:w="852" w:type="dxa"/>
            <w:tcBorders>
              <w:top w:val="single" w:sz="4" w:space="0" w:color="auto"/>
              <w:left w:val="nil"/>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2 583</w:t>
            </w:r>
          </w:p>
        </w:tc>
        <w:tc>
          <w:tcPr>
            <w:tcW w:w="1083" w:type="dxa"/>
            <w:tcBorders>
              <w:top w:val="single" w:sz="4" w:space="0" w:color="auto"/>
              <w:left w:val="nil"/>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913,37 %</w:t>
            </w:r>
          </w:p>
        </w:tc>
      </w:tr>
      <w:tr w:rsidR="00D237C3" w:rsidRPr="004761E0" w:rsidTr="006A0727">
        <w:trPr>
          <w:trHeight w:val="164"/>
        </w:trPr>
        <w:tc>
          <w:tcPr>
            <w:tcW w:w="581" w:type="dxa"/>
            <w:tcBorders>
              <w:top w:val="nil"/>
              <w:left w:val="single" w:sz="4" w:space="0" w:color="auto"/>
              <w:bottom w:val="single" w:sz="4" w:space="0" w:color="auto"/>
              <w:right w:val="single" w:sz="4" w:space="0" w:color="auto"/>
            </w:tcBorders>
            <w:shd w:val="clear" w:color="auto" w:fill="auto"/>
            <w:vAlign w:val="center"/>
          </w:tcPr>
          <w:p w:rsidR="00D237C3" w:rsidRPr="004761E0" w:rsidRDefault="00D237C3" w:rsidP="007076A7">
            <w:pPr>
              <w:pStyle w:val="a5"/>
              <w:numPr>
                <w:ilvl w:val="1"/>
                <w:numId w:val="199"/>
              </w:numPr>
              <w:jc w:val="left"/>
              <w:rPr>
                <w:rFonts w:eastAsia="Times New Roman"/>
                <w:color w:val="000000"/>
                <w:sz w:val="20"/>
                <w:szCs w:val="20"/>
                <w:lang w:eastAsia="ru-RU"/>
              </w:rPr>
            </w:pPr>
          </w:p>
        </w:tc>
        <w:tc>
          <w:tcPr>
            <w:tcW w:w="6674" w:type="dxa"/>
            <w:tcBorders>
              <w:top w:val="nil"/>
              <w:left w:val="nil"/>
              <w:bottom w:val="single" w:sz="4" w:space="0" w:color="auto"/>
              <w:right w:val="single" w:sz="4" w:space="0" w:color="auto"/>
            </w:tcBorders>
            <w:shd w:val="clear" w:color="auto" w:fill="auto"/>
            <w:vAlign w:val="center"/>
          </w:tcPr>
          <w:p w:rsidR="00D237C3" w:rsidRPr="004761E0" w:rsidRDefault="00D237C3" w:rsidP="006A0727">
            <w:pPr>
              <w:ind w:left="318" w:firstLine="0"/>
              <w:jc w:val="left"/>
              <w:rPr>
                <w:rFonts w:eastAsia="Times New Roman"/>
                <w:sz w:val="20"/>
                <w:szCs w:val="20"/>
                <w:lang w:eastAsia="ru-RU"/>
              </w:rPr>
            </w:pPr>
            <w:r w:rsidRPr="004761E0">
              <w:rPr>
                <w:rFonts w:eastAsia="Times New Roman"/>
                <w:sz w:val="20"/>
                <w:szCs w:val="20"/>
                <w:lang w:eastAsia="ru-RU"/>
              </w:rPr>
              <w:t xml:space="preserve">от оказания услуг по технологическому присоединению </w:t>
            </w:r>
          </w:p>
        </w:tc>
        <w:tc>
          <w:tcPr>
            <w:tcW w:w="851" w:type="dxa"/>
            <w:tcBorders>
              <w:top w:val="nil"/>
              <w:left w:val="nil"/>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8 097</w:t>
            </w:r>
          </w:p>
        </w:tc>
        <w:tc>
          <w:tcPr>
            <w:tcW w:w="852" w:type="dxa"/>
            <w:tcBorders>
              <w:top w:val="nil"/>
              <w:left w:val="nil"/>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7 389</w:t>
            </w:r>
          </w:p>
        </w:tc>
        <w:tc>
          <w:tcPr>
            <w:tcW w:w="994" w:type="dxa"/>
            <w:tcBorders>
              <w:top w:val="nil"/>
              <w:left w:val="nil"/>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-800</w:t>
            </w:r>
          </w:p>
        </w:tc>
        <w:tc>
          <w:tcPr>
            <w:tcW w:w="1136" w:type="dxa"/>
            <w:tcBorders>
              <w:top w:val="nil"/>
              <w:left w:val="nil"/>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-110,82 %</w:t>
            </w:r>
          </w:p>
        </w:tc>
        <w:tc>
          <w:tcPr>
            <w:tcW w:w="994" w:type="dxa"/>
            <w:tcBorders>
              <w:top w:val="nil"/>
              <w:left w:val="nil"/>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4 014</w:t>
            </w:r>
          </w:p>
        </w:tc>
        <w:tc>
          <w:tcPr>
            <w:tcW w:w="994" w:type="dxa"/>
            <w:tcBorders>
              <w:top w:val="nil"/>
              <w:left w:val="nil"/>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3 853</w:t>
            </w:r>
          </w:p>
        </w:tc>
        <w:tc>
          <w:tcPr>
            <w:tcW w:w="852" w:type="dxa"/>
            <w:tcBorders>
              <w:top w:val="nil"/>
              <w:left w:val="nil"/>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3 839</w:t>
            </w:r>
          </w:p>
        </w:tc>
        <w:tc>
          <w:tcPr>
            <w:tcW w:w="1083" w:type="dxa"/>
            <w:tcBorders>
              <w:top w:val="nil"/>
              <w:left w:val="nil"/>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-0,36 %</w:t>
            </w:r>
          </w:p>
        </w:tc>
      </w:tr>
      <w:tr w:rsidR="00D237C3" w:rsidRPr="004761E0" w:rsidTr="006A0727">
        <w:trPr>
          <w:trHeight w:val="164"/>
        </w:trPr>
        <w:tc>
          <w:tcPr>
            <w:tcW w:w="581" w:type="dxa"/>
            <w:tcBorders>
              <w:top w:val="nil"/>
              <w:left w:val="single" w:sz="4" w:space="0" w:color="auto"/>
              <w:bottom w:val="single" w:sz="4" w:space="0" w:color="auto"/>
              <w:right w:val="single" w:sz="4" w:space="0" w:color="auto"/>
            </w:tcBorders>
            <w:shd w:val="clear" w:color="auto" w:fill="auto"/>
            <w:vAlign w:val="center"/>
          </w:tcPr>
          <w:p w:rsidR="00D237C3" w:rsidRPr="004761E0" w:rsidRDefault="00D237C3" w:rsidP="007076A7">
            <w:pPr>
              <w:pStyle w:val="a5"/>
              <w:numPr>
                <w:ilvl w:val="1"/>
                <w:numId w:val="199"/>
              </w:numPr>
              <w:jc w:val="left"/>
              <w:rPr>
                <w:rFonts w:eastAsia="Times New Roman"/>
                <w:color w:val="000000"/>
                <w:sz w:val="20"/>
                <w:szCs w:val="20"/>
                <w:lang w:eastAsia="ru-RU"/>
              </w:rPr>
            </w:pPr>
          </w:p>
        </w:tc>
        <w:tc>
          <w:tcPr>
            <w:tcW w:w="6674" w:type="dxa"/>
            <w:tcBorders>
              <w:top w:val="nil"/>
              <w:left w:val="nil"/>
              <w:bottom w:val="single" w:sz="4" w:space="0" w:color="auto"/>
              <w:right w:val="single" w:sz="4" w:space="0" w:color="auto"/>
            </w:tcBorders>
            <w:shd w:val="clear" w:color="auto" w:fill="auto"/>
            <w:vAlign w:val="center"/>
          </w:tcPr>
          <w:p w:rsidR="00D237C3" w:rsidRPr="004761E0" w:rsidRDefault="00D237C3" w:rsidP="006A0727">
            <w:pPr>
              <w:ind w:left="318" w:firstLine="0"/>
              <w:jc w:val="left"/>
              <w:rPr>
                <w:rFonts w:eastAsia="Times New Roman"/>
                <w:sz w:val="20"/>
                <w:szCs w:val="20"/>
                <w:lang w:eastAsia="ru-RU"/>
              </w:rPr>
            </w:pPr>
            <w:r w:rsidRPr="004761E0">
              <w:rPr>
                <w:rFonts w:eastAsia="Times New Roman"/>
                <w:sz w:val="20"/>
                <w:szCs w:val="20"/>
                <w:lang w:eastAsia="ru-RU"/>
              </w:rPr>
              <w:t>от прочей деятельности</w:t>
            </w:r>
          </w:p>
        </w:tc>
        <w:tc>
          <w:tcPr>
            <w:tcW w:w="851" w:type="dxa"/>
            <w:tcBorders>
              <w:top w:val="nil"/>
              <w:left w:val="nil"/>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151</w:t>
            </w:r>
          </w:p>
        </w:tc>
        <w:tc>
          <w:tcPr>
            <w:tcW w:w="852" w:type="dxa"/>
            <w:tcBorders>
              <w:top w:val="nil"/>
              <w:left w:val="nil"/>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155</w:t>
            </w:r>
          </w:p>
        </w:tc>
        <w:tc>
          <w:tcPr>
            <w:tcW w:w="994" w:type="dxa"/>
            <w:tcBorders>
              <w:top w:val="nil"/>
              <w:left w:val="nil"/>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217</w:t>
            </w:r>
          </w:p>
        </w:tc>
        <w:tc>
          <w:tcPr>
            <w:tcW w:w="1136" w:type="dxa"/>
            <w:tcBorders>
              <w:top w:val="nil"/>
              <w:left w:val="nil"/>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40,02 %</w:t>
            </w:r>
          </w:p>
        </w:tc>
        <w:tc>
          <w:tcPr>
            <w:tcW w:w="994" w:type="dxa"/>
            <w:tcBorders>
              <w:top w:val="nil"/>
              <w:left w:val="nil"/>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22</w:t>
            </w:r>
          </w:p>
        </w:tc>
        <w:tc>
          <w:tcPr>
            <w:tcW w:w="994" w:type="dxa"/>
            <w:tcBorders>
              <w:top w:val="nil"/>
              <w:left w:val="nil"/>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25</w:t>
            </w:r>
          </w:p>
        </w:tc>
        <w:tc>
          <w:tcPr>
            <w:tcW w:w="852" w:type="dxa"/>
            <w:tcBorders>
              <w:top w:val="nil"/>
              <w:left w:val="nil"/>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68</w:t>
            </w:r>
          </w:p>
        </w:tc>
        <w:tc>
          <w:tcPr>
            <w:tcW w:w="1083" w:type="dxa"/>
            <w:tcBorders>
              <w:top w:val="nil"/>
              <w:left w:val="nil"/>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168,95 %</w:t>
            </w:r>
          </w:p>
        </w:tc>
      </w:tr>
      <w:tr w:rsidR="00D237C3" w:rsidRPr="004761E0" w:rsidTr="006A0727">
        <w:trPr>
          <w:trHeight w:val="164"/>
        </w:trPr>
        <w:tc>
          <w:tcPr>
            <w:tcW w:w="581" w:type="dxa"/>
            <w:tcBorders>
              <w:top w:val="nil"/>
              <w:left w:val="single" w:sz="4" w:space="0" w:color="auto"/>
              <w:bottom w:val="single" w:sz="4" w:space="0" w:color="auto"/>
              <w:right w:val="single" w:sz="4" w:space="0" w:color="auto"/>
            </w:tcBorders>
            <w:shd w:val="clear" w:color="auto" w:fill="auto"/>
            <w:vAlign w:val="center"/>
          </w:tcPr>
          <w:p w:rsidR="00D237C3" w:rsidRPr="004761E0" w:rsidRDefault="00D237C3" w:rsidP="007076A7">
            <w:pPr>
              <w:numPr>
                <w:ilvl w:val="0"/>
                <w:numId w:val="199"/>
              </w:numPr>
              <w:jc w:val="left"/>
              <w:rPr>
                <w:rFonts w:eastAsia="Times New Roman"/>
                <w:b/>
                <w:color w:val="000000"/>
                <w:sz w:val="20"/>
                <w:szCs w:val="20"/>
                <w:lang w:eastAsia="ru-RU"/>
              </w:rPr>
            </w:pPr>
          </w:p>
        </w:tc>
        <w:tc>
          <w:tcPr>
            <w:tcW w:w="6674" w:type="dxa"/>
            <w:tcBorders>
              <w:top w:val="nil"/>
              <w:left w:val="nil"/>
              <w:bottom w:val="single" w:sz="4" w:space="0" w:color="auto"/>
              <w:right w:val="single" w:sz="4" w:space="0" w:color="auto"/>
            </w:tcBorders>
            <w:shd w:val="clear" w:color="auto" w:fill="auto"/>
            <w:vAlign w:val="center"/>
          </w:tcPr>
          <w:p w:rsidR="00D237C3" w:rsidRPr="004761E0" w:rsidRDefault="00D237C3" w:rsidP="006A0727">
            <w:pPr>
              <w:ind w:firstLine="0"/>
              <w:jc w:val="left"/>
              <w:rPr>
                <w:rFonts w:eastAsia="Times New Roman"/>
                <w:b/>
                <w:sz w:val="20"/>
                <w:szCs w:val="20"/>
                <w:lang w:eastAsia="ru-RU"/>
              </w:rPr>
            </w:pPr>
            <w:r w:rsidRPr="004761E0">
              <w:rPr>
                <w:rFonts w:eastAsia="Times New Roman"/>
                <w:b/>
                <w:sz w:val="20"/>
                <w:szCs w:val="20"/>
                <w:lang w:eastAsia="ru-RU"/>
              </w:rPr>
              <w:t>Рентабельность по чистой прибыли, %</w:t>
            </w:r>
          </w:p>
        </w:tc>
        <w:tc>
          <w:tcPr>
            <w:tcW w:w="851" w:type="dxa"/>
            <w:tcBorders>
              <w:top w:val="nil"/>
              <w:left w:val="nil"/>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25,17</w:t>
            </w:r>
          </w:p>
        </w:tc>
        <w:tc>
          <w:tcPr>
            <w:tcW w:w="852" w:type="dxa"/>
            <w:tcBorders>
              <w:top w:val="nil"/>
              <w:left w:val="nil"/>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21,07</w:t>
            </w:r>
          </w:p>
        </w:tc>
        <w:tc>
          <w:tcPr>
            <w:tcW w:w="994" w:type="dxa"/>
            <w:tcBorders>
              <w:top w:val="nil"/>
              <w:left w:val="nil"/>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8,12</w:t>
            </w:r>
          </w:p>
        </w:tc>
        <w:tc>
          <w:tcPr>
            <w:tcW w:w="1136" w:type="dxa"/>
            <w:tcBorders>
              <w:top w:val="nil"/>
              <w:left w:val="nil"/>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-12,95 п.п.</w:t>
            </w:r>
          </w:p>
        </w:tc>
        <w:tc>
          <w:tcPr>
            <w:tcW w:w="994" w:type="dxa"/>
            <w:tcBorders>
              <w:top w:val="nil"/>
              <w:left w:val="nil"/>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-1,93</w:t>
            </w:r>
          </w:p>
        </w:tc>
        <w:tc>
          <w:tcPr>
            <w:tcW w:w="994" w:type="dxa"/>
            <w:tcBorders>
              <w:top w:val="nil"/>
              <w:left w:val="nil"/>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7,37</w:t>
            </w:r>
          </w:p>
        </w:tc>
        <w:tc>
          <w:tcPr>
            <w:tcW w:w="852" w:type="dxa"/>
            <w:tcBorders>
              <w:top w:val="nil"/>
              <w:left w:val="nil"/>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10,58</w:t>
            </w:r>
          </w:p>
        </w:tc>
        <w:tc>
          <w:tcPr>
            <w:tcW w:w="1083" w:type="dxa"/>
            <w:tcBorders>
              <w:top w:val="nil"/>
              <w:left w:val="nil"/>
              <w:bottom w:val="single" w:sz="4" w:space="0" w:color="auto"/>
              <w:right w:val="single" w:sz="4" w:space="0" w:color="auto"/>
            </w:tcBorders>
            <w:shd w:val="clear" w:color="auto" w:fill="auto"/>
            <w:vAlign w:val="center"/>
          </w:tcPr>
          <w:p w:rsidR="00D237C3" w:rsidRPr="004761E0" w:rsidRDefault="00D237C3" w:rsidP="00D237C3">
            <w:pPr>
              <w:ind w:firstLine="0"/>
              <w:jc w:val="right"/>
              <w:rPr>
                <w:rFonts w:eastAsia="Times New Roman"/>
                <w:sz w:val="20"/>
                <w:szCs w:val="20"/>
                <w:lang w:eastAsia="ru-RU"/>
              </w:rPr>
            </w:pPr>
            <w:r w:rsidRPr="004761E0">
              <w:rPr>
                <w:rFonts w:eastAsia="Times New Roman"/>
                <w:sz w:val="20"/>
                <w:szCs w:val="20"/>
                <w:lang w:eastAsia="ru-RU"/>
              </w:rPr>
              <w:t>3,21 п.п.</w:t>
            </w:r>
          </w:p>
        </w:tc>
      </w:tr>
    </w:tbl>
    <w:p w:rsidR="004A4CF1" w:rsidRPr="004761E0" w:rsidRDefault="004A4CF1" w:rsidP="00D95123">
      <w:pPr>
        <w:tabs>
          <w:tab w:val="left" w:pos="426"/>
        </w:tabs>
        <w:spacing w:before="120" w:after="120"/>
        <w:ind w:firstLine="567"/>
        <w:rPr>
          <w:b/>
          <w:sz w:val="26"/>
          <w:szCs w:val="26"/>
        </w:rPr>
      </w:pPr>
      <w:r w:rsidRPr="004761E0">
        <w:rPr>
          <w:b/>
          <w:sz w:val="26"/>
          <w:szCs w:val="26"/>
        </w:rPr>
        <w:t>Сравнение фактической выручки от услуг по передаче электроэнергии и учтенного значения в Бизнес-плане</w:t>
      </w:r>
    </w:p>
    <w:tbl>
      <w:tblPr>
        <w:tblW w:w="16230" w:type="dxa"/>
        <w:tblInd w:w="-743" w:type="dxa"/>
        <w:tblLayout w:type="fixed"/>
        <w:tblLook w:val="04A0"/>
      </w:tblPr>
      <w:tblGrid>
        <w:gridCol w:w="709"/>
        <w:gridCol w:w="2643"/>
        <w:gridCol w:w="1752"/>
        <w:gridCol w:w="1487"/>
        <w:gridCol w:w="1559"/>
        <w:gridCol w:w="1276"/>
        <w:gridCol w:w="1632"/>
        <w:gridCol w:w="1424"/>
        <w:gridCol w:w="1275"/>
        <w:gridCol w:w="1438"/>
        <w:gridCol w:w="1035"/>
      </w:tblGrid>
      <w:tr w:rsidR="004A4CF1" w:rsidRPr="004761E0" w:rsidTr="00867958">
        <w:trPr>
          <w:trHeight w:val="71"/>
        </w:trPr>
        <w:tc>
          <w:tcPr>
            <w:tcW w:w="709" w:type="dxa"/>
            <w:vMerge w:val="restart"/>
            <w:tcBorders>
              <w:bottom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2643"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6074" w:type="dxa"/>
            <w:gridSpan w:val="4"/>
            <w:tcBorders>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Бизнес-план</w:t>
            </w:r>
          </w:p>
        </w:tc>
        <w:tc>
          <w:tcPr>
            <w:tcW w:w="5769" w:type="dxa"/>
            <w:gridSpan w:val="4"/>
            <w:tcBorders>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center"/>
              <w:rPr>
                <w:rFonts w:eastAsia="Times New Roman"/>
                <w:b/>
                <w:color w:val="FFFFFF" w:themeColor="background1"/>
                <w:sz w:val="20"/>
                <w:szCs w:val="20"/>
                <w:lang w:eastAsia="ru-RU"/>
              </w:rPr>
            </w:pPr>
            <w:r w:rsidRPr="004761E0">
              <w:rPr>
                <w:rFonts w:eastAsia="Times New Roman"/>
                <w:b/>
                <w:sz w:val="20"/>
                <w:szCs w:val="20"/>
                <w:lang w:eastAsia="ru-RU"/>
              </w:rPr>
              <w:t>Факт</w:t>
            </w:r>
          </w:p>
        </w:tc>
        <w:tc>
          <w:tcPr>
            <w:tcW w:w="1035" w:type="dxa"/>
            <w:vMerge w:val="restart"/>
            <w:tcBorders>
              <w:left w:val="single" w:sz="4" w:space="0" w:color="FFFFFF" w:themeColor="background1"/>
              <w:bottom w:val="single" w:sz="4" w:space="0" w:color="FFFFFF" w:themeColor="background1"/>
            </w:tcBorders>
            <w:shd w:val="clear" w:color="auto" w:fill="0F243E" w:themeFill="text2" w:themeFillShade="80"/>
            <w:vAlign w:val="center"/>
          </w:tcPr>
          <w:p w:rsidR="004A4CF1" w:rsidRPr="004761E0" w:rsidRDefault="004A4CF1" w:rsidP="00D64744">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Факт/Бизнес-план</w:t>
            </w:r>
          </w:p>
        </w:tc>
      </w:tr>
      <w:tr w:rsidR="004A4CF1" w:rsidRPr="004761E0" w:rsidTr="00867958">
        <w:trPr>
          <w:trHeight w:val="258"/>
        </w:trPr>
        <w:tc>
          <w:tcPr>
            <w:tcW w:w="709" w:type="dxa"/>
            <w:vMerge/>
            <w:tcBorders>
              <w:top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left"/>
              <w:rPr>
                <w:rFonts w:eastAsia="Times New Roman"/>
                <w:b/>
                <w:color w:val="FFFFFF" w:themeColor="background1"/>
                <w:sz w:val="20"/>
                <w:szCs w:val="20"/>
                <w:lang w:eastAsia="ru-RU"/>
              </w:rPr>
            </w:pPr>
          </w:p>
        </w:tc>
        <w:tc>
          <w:tcPr>
            <w:tcW w:w="264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left"/>
              <w:rPr>
                <w:rFonts w:eastAsia="Times New Roman"/>
                <w:b/>
                <w:color w:val="FFFFFF" w:themeColor="background1"/>
                <w:sz w:val="20"/>
                <w:szCs w:val="20"/>
                <w:lang w:eastAsia="ru-RU"/>
              </w:rPr>
            </w:pP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Выручка (без учета стоимости нагрузочных потерь)</w:t>
            </w:r>
          </w:p>
        </w:tc>
        <w:tc>
          <w:tcPr>
            <w:tcW w:w="1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Стоимость нагрузочных потерь</w:t>
            </w:r>
            <w:r w:rsidRPr="006F4AB8">
              <w:rPr>
                <w:rStyle w:val="af1"/>
              </w:rPr>
              <w:footnoteReference w:id="147"/>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Полезный отпуск «котловой»</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Средний тариф</w:t>
            </w:r>
          </w:p>
        </w:tc>
        <w:tc>
          <w:tcPr>
            <w:tcW w:w="1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xml:space="preserve">Выручка </w:t>
            </w:r>
          </w:p>
          <w:p w:rsidR="004A4CF1" w:rsidRPr="004761E0" w:rsidRDefault="004A4CF1" w:rsidP="00D64744">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(без учета стоимости нагрузочных потерь)</w:t>
            </w:r>
          </w:p>
        </w:tc>
        <w:tc>
          <w:tcPr>
            <w:tcW w:w="1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Стоимость нагрузочных потерь</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A4CF1" w:rsidRPr="004761E0" w:rsidRDefault="004A4CF1" w:rsidP="00D64744">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Полезный отпуск «котловой»</w:t>
            </w:r>
          </w:p>
        </w:tc>
        <w:tc>
          <w:tcPr>
            <w:tcW w:w="14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A4CF1" w:rsidRPr="004761E0" w:rsidRDefault="004A4CF1" w:rsidP="00D64744">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Средний тариф</w:t>
            </w:r>
          </w:p>
        </w:tc>
        <w:tc>
          <w:tcPr>
            <w:tcW w:w="1035" w:type="dxa"/>
            <w:vMerge/>
            <w:tcBorders>
              <w:top w:val="single" w:sz="4" w:space="0" w:color="FFFFFF" w:themeColor="background1"/>
              <w:left w:val="single" w:sz="4" w:space="0" w:color="FFFFFF" w:themeColor="background1"/>
              <w:bottom w:val="single" w:sz="4" w:space="0" w:color="FFFFFF" w:themeColor="background1"/>
            </w:tcBorders>
            <w:shd w:val="clear" w:color="auto" w:fill="0F243E" w:themeFill="text2" w:themeFillShade="80"/>
            <w:vAlign w:val="center"/>
          </w:tcPr>
          <w:p w:rsidR="004A4CF1" w:rsidRPr="004761E0" w:rsidRDefault="004A4CF1" w:rsidP="00D64744">
            <w:pPr>
              <w:ind w:firstLine="0"/>
              <w:jc w:val="right"/>
              <w:rPr>
                <w:rFonts w:eastAsia="Times New Roman"/>
                <w:b/>
                <w:color w:val="FFFFFF" w:themeColor="background1"/>
                <w:sz w:val="20"/>
                <w:szCs w:val="20"/>
                <w:lang w:eastAsia="ru-RU"/>
              </w:rPr>
            </w:pPr>
          </w:p>
        </w:tc>
      </w:tr>
      <w:tr w:rsidR="004A4CF1" w:rsidRPr="004761E0" w:rsidTr="00867958">
        <w:trPr>
          <w:trHeight w:val="510"/>
        </w:trPr>
        <w:tc>
          <w:tcPr>
            <w:tcW w:w="709" w:type="dxa"/>
            <w:vMerge/>
            <w:tcBorders>
              <w:top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left"/>
              <w:rPr>
                <w:rFonts w:eastAsia="Times New Roman"/>
                <w:b/>
                <w:color w:val="FFFFFF" w:themeColor="background1"/>
                <w:sz w:val="20"/>
                <w:szCs w:val="20"/>
                <w:lang w:eastAsia="ru-RU"/>
              </w:rPr>
            </w:pPr>
          </w:p>
        </w:tc>
        <w:tc>
          <w:tcPr>
            <w:tcW w:w="2643" w:type="dxa"/>
            <w:vMerge/>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left"/>
              <w:rPr>
                <w:rFonts w:eastAsia="Times New Roman"/>
                <w:b/>
                <w:color w:val="FFFFFF" w:themeColor="background1"/>
                <w:sz w:val="20"/>
                <w:szCs w:val="20"/>
                <w:lang w:eastAsia="ru-RU"/>
              </w:rPr>
            </w:pPr>
          </w:p>
        </w:tc>
        <w:tc>
          <w:tcPr>
            <w:tcW w:w="1752"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млн руб. без НДС</w:t>
            </w:r>
          </w:p>
        </w:tc>
        <w:tc>
          <w:tcPr>
            <w:tcW w:w="1487"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млн руб. без НДС</w:t>
            </w:r>
          </w:p>
        </w:tc>
        <w:tc>
          <w:tcPr>
            <w:tcW w:w="1559"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млн кВтч</w:t>
            </w:r>
          </w:p>
        </w:tc>
        <w:tc>
          <w:tcPr>
            <w:tcW w:w="1276"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коп/кВтч без НДС</w:t>
            </w:r>
          </w:p>
        </w:tc>
        <w:tc>
          <w:tcPr>
            <w:tcW w:w="1632"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млн руб. без НДС</w:t>
            </w:r>
          </w:p>
        </w:tc>
        <w:tc>
          <w:tcPr>
            <w:tcW w:w="1424"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млн руб. без НДС</w:t>
            </w:r>
          </w:p>
        </w:tc>
        <w:tc>
          <w:tcPr>
            <w:tcW w:w="1275"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rsidR="004A4CF1" w:rsidRPr="004761E0" w:rsidRDefault="004A4CF1" w:rsidP="00D64744">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млн кВтч</w:t>
            </w:r>
          </w:p>
        </w:tc>
        <w:tc>
          <w:tcPr>
            <w:tcW w:w="1438"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rsidR="004A4CF1" w:rsidRPr="004761E0" w:rsidRDefault="004A4CF1" w:rsidP="00D64744">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xml:space="preserve">коп/кВтч </w:t>
            </w:r>
          </w:p>
          <w:p w:rsidR="004A4CF1" w:rsidRPr="004761E0" w:rsidRDefault="004A4CF1" w:rsidP="00D64744">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без НДС</w:t>
            </w:r>
          </w:p>
        </w:tc>
        <w:tc>
          <w:tcPr>
            <w:tcW w:w="1035" w:type="dxa"/>
            <w:tcBorders>
              <w:top w:val="single" w:sz="4" w:space="0" w:color="FFFFFF" w:themeColor="background1"/>
              <w:left w:val="single" w:sz="4" w:space="0" w:color="FFFFFF" w:themeColor="background1"/>
            </w:tcBorders>
            <w:shd w:val="clear" w:color="auto" w:fill="0F243E" w:themeFill="text2" w:themeFillShade="80"/>
            <w:vAlign w:val="center"/>
          </w:tcPr>
          <w:p w:rsidR="004A4CF1" w:rsidRPr="004761E0" w:rsidRDefault="004A4CF1" w:rsidP="00D64744">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w:t>
            </w:r>
          </w:p>
        </w:tc>
      </w:tr>
      <w:tr w:rsidR="004A4CF1" w:rsidRPr="004761E0" w:rsidTr="00867958">
        <w:trPr>
          <w:trHeight w:val="300"/>
        </w:trPr>
        <w:tc>
          <w:tcPr>
            <w:tcW w:w="709" w:type="dxa"/>
            <w:tcBorders>
              <w:left w:val="single" w:sz="4" w:space="0" w:color="auto"/>
              <w:bottom w:val="single" w:sz="4" w:space="0" w:color="auto"/>
              <w:right w:val="single" w:sz="4" w:space="0" w:color="auto"/>
            </w:tcBorders>
            <w:shd w:val="clear" w:color="auto" w:fill="auto"/>
            <w:vAlign w:val="center"/>
            <w:hideMark/>
          </w:tcPr>
          <w:p w:rsidR="004A4CF1" w:rsidRPr="004761E0" w:rsidRDefault="004A4CF1" w:rsidP="007076A7">
            <w:pPr>
              <w:pStyle w:val="a5"/>
              <w:numPr>
                <w:ilvl w:val="0"/>
                <w:numId w:val="286"/>
              </w:numPr>
              <w:ind w:left="45" w:firstLine="0"/>
              <w:jc w:val="left"/>
              <w:rPr>
                <w:rFonts w:eastAsia="Times New Roman"/>
                <w:color w:val="000000"/>
                <w:sz w:val="20"/>
                <w:szCs w:val="20"/>
                <w:lang w:eastAsia="ru-RU"/>
              </w:rPr>
            </w:pPr>
          </w:p>
        </w:tc>
        <w:tc>
          <w:tcPr>
            <w:tcW w:w="2643" w:type="dxa"/>
            <w:tcBorders>
              <w:left w:val="nil"/>
              <w:bottom w:val="single" w:sz="4" w:space="0" w:color="auto"/>
              <w:right w:val="single" w:sz="4" w:space="0" w:color="auto"/>
            </w:tcBorders>
            <w:shd w:val="clear" w:color="auto" w:fill="auto"/>
            <w:vAlign w:val="center"/>
            <w:hideMark/>
          </w:tcPr>
          <w:p w:rsidR="004A4CF1" w:rsidRPr="004761E0" w:rsidRDefault="004A4CF1" w:rsidP="00D64744">
            <w:pPr>
              <w:ind w:firstLine="0"/>
              <w:jc w:val="left"/>
              <w:rPr>
                <w:rFonts w:eastAsia="Times New Roman"/>
                <w:color w:val="000000"/>
                <w:sz w:val="20"/>
                <w:szCs w:val="20"/>
                <w:lang w:eastAsia="ru-RU"/>
              </w:rPr>
            </w:pPr>
            <w:r w:rsidRPr="004761E0">
              <w:rPr>
                <w:rFonts w:eastAsia="Times New Roman"/>
                <w:color w:val="000000"/>
                <w:sz w:val="20"/>
                <w:szCs w:val="20"/>
                <w:lang w:eastAsia="ru-RU"/>
              </w:rPr>
              <w:t>По Обществу (всего), в т.ч.:</w:t>
            </w:r>
          </w:p>
        </w:tc>
        <w:tc>
          <w:tcPr>
            <w:tcW w:w="1752" w:type="dxa"/>
            <w:tcBorders>
              <w:left w:val="nil"/>
              <w:bottom w:val="single" w:sz="4" w:space="0" w:color="auto"/>
              <w:right w:val="single" w:sz="4" w:space="0" w:color="auto"/>
            </w:tcBorders>
            <w:shd w:val="clear" w:color="000000" w:fill="D9D9D9"/>
            <w:vAlign w:val="center"/>
            <w:hideMark/>
          </w:tcPr>
          <w:p w:rsidR="004A4CF1" w:rsidRPr="004761E0" w:rsidRDefault="004A4CF1" w:rsidP="00D64744">
            <w:pPr>
              <w:ind w:firstLine="0"/>
              <w:jc w:val="right"/>
              <w:rPr>
                <w:rFonts w:eastAsia="Times New Roman"/>
                <w:color w:val="000000"/>
                <w:sz w:val="20"/>
                <w:szCs w:val="20"/>
                <w:lang w:eastAsia="ru-RU"/>
              </w:rPr>
            </w:pPr>
            <w:r w:rsidRPr="004761E0">
              <w:rPr>
                <w:rFonts w:eastAsia="Times New Roman"/>
                <w:color w:val="000000"/>
                <w:sz w:val="20"/>
                <w:szCs w:val="20"/>
                <w:lang w:eastAsia="ru-RU"/>
              </w:rPr>
              <w:t>111 808</w:t>
            </w:r>
          </w:p>
        </w:tc>
        <w:tc>
          <w:tcPr>
            <w:tcW w:w="1487" w:type="dxa"/>
            <w:tcBorders>
              <w:left w:val="nil"/>
              <w:bottom w:val="single" w:sz="4" w:space="0" w:color="auto"/>
              <w:right w:val="single" w:sz="4" w:space="0" w:color="auto"/>
            </w:tcBorders>
            <w:shd w:val="clear" w:color="000000" w:fill="D9D9D9"/>
            <w:vAlign w:val="center"/>
            <w:hideMark/>
          </w:tcPr>
          <w:p w:rsidR="004A4CF1" w:rsidRPr="004761E0" w:rsidRDefault="004A4CF1" w:rsidP="00D64744">
            <w:pPr>
              <w:ind w:firstLine="0"/>
              <w:jc w:val="right"/>
              <w:rPr>
                <w:rFonts w:eastAsia="Times New Roman"/>
                <w:color w:val="000000"/>
                <w:sz w:val="20"/>
                <w:szCs w:val="20"/>
                <w:lang w:eastAsia="ru-RU"/>
              </w:rPr>
            </w:pPr>
            <w:r w:rsidRPr="004761E0">
              <w:rPr>
                <w:rFonts w:eastAsia="Times New Roman"/>
                <w:color w:val="000000"/>
                <w:sz w:val="20"/>
                <w:szCs w:val="20"/>
                <w:lang w:eastAsia="ru-RU"/>
              </w:rPr>
              <w:t>2 991</w:t>
            </w:r>
          </w:p>
        </w:tc>
        <w:tc>
          <w:tcPr>
            <w:tcW w:w="1559" w:type="dxa"/>
            <w:tcBorders>
              <w:left w:val="nil"/>
              <w:bottom w:val="single" w:sz="4" w:space="0" w:color="auto"/>
              <w:right w:val="single" w:sz="4" w:space="0" w:color="auto"/>
            </w:tcBorders>
            <w:shd w:val="clear" w:color="000000" w:fill="D9D9D9"/>
            <w:vAlign w:val="center"/>
            <w:hideMark/>
          </w:tcPr>
          <w:p w:rsidR="004A4CF1" w:rsidRPr="004761E0" w:rsidRDefault="004A4CF1" w:rsidP="00D64744">
            <w:pPr>
              <w:ind w:firstLine="0"/>
              <w:jc w:val="right"/>
              <w:rPr>
                <w:rFonts w:eastAsia="Times New Roman"/>
                <w:color w:val="000000"/>
                <w:sz w:val="20"/>
                <w:szCs w:val="20"/>
                <w:lang w:eastAsia="ru-RU"/>
              </w:rPr>
            </w:pPr>
            <w:r w:rsidRPr="004761E0">
              <w:rPr>
                <w:rFonts w:eastAsia="Times New Roman"/>
                <w:color w:val="000000"/>
                <w:sz w:val="20"/>
                <w:szCs w:val="20"/>
                <w:lang w:eastAsia="ru-RU"/>
              </w:rPr>
              <w:t>71 766</w:t>
            </w:r>
          </w:p>
        </w:tc>
        <w:tc>
          <w:tcPr>
            <w:tcW w:w="1276" w:type="dxa"/>
            <w:tcBorders>
              <w:left w:val="nil"/>
              <w:bottom w:val="single" w:sz="4" w:space="0" w:color="auto"/>
              <w:right w:val="single" w:sz="4" w:space="0" w:color="auto"/>
            </w:tcBorders>
            <w:shd w:val="clear" w:color="000000" w:fill="D9D9D9"/>
            <w:vAlign w:val="center"/>
            <w:hideMark/>
          </w:tcPr>
          <w:p w:rsidR="004A4CF1" w:rsidRPr="004761E0" w:rsidRDefault="004A4CF1" w:rsidP="00D64744">
            <w:pPr>
              <w:ind w:firstLine="0"/>
              <w:jc w:val="right"/>
              <w:rPr>
                <w:rFonts w:eastAsia="Times New Roman"/>
                <w:color w:val="000000"/>
                <w:sz w:val="20"/>
                <w:szCs w:val="20"/>
                <w:lang w:eastAsia="ru-RU"/>
              </w:rPr>
            </w:pPr>
            <w:r w:rsidRPr="004761E0">
              <w:rPr>
                <w:rFonts w:eastAsia="Times New Roman"/>
                <w:color w:val="000000"/>
                <w:sz w:val="20"/>
                <w:szCs w:val="20"/>
                <w:lang w:eastAsia="ru-RU"/>
              </w:rPr>
              <w:t>160,0</w:t>
            </w:r>
          </w:p>
        </w:tc>
        <w:tc>
          <w:tcPr>
            <w:tcW w:w="1632" w:type="dxa"/>
            <w:tcBorders>
              <w:left w:val="nil"/>
              <w:bottom w:val="single" w:sz="4" w:space="0" w:color="auto"/>
              <w:right w:val="single" w:sz="4" w:space="0" w:color="auto"/>
            </w:tcBorders>
            <w:shd w:val="clear" w:color="000000" w:fill="FFFFFF"/>
            <w:vAlign w:val="center"/>
            <w:hideMark/>
          </w:tcPr>
          <w:p w:rsidR="004A4CF1" w:rsidRPr="004761E0" w:rsidRDefault="004A4CF1" w:rsidP="00D64744">
            <w:pPr>
              <w:ind w:firstLine="0"/>
              <w:jc w:val="right"/>
              <w:rPr>
                <w:rFonts w:eastAsia="Times New Roman"/>
                <w:color w:val="000000"/>
                <w:sz w:val="20"/>
                <w:szCs w:val="20"/>
                <w:lang w:eastAsia="ru-RU"/>
              </w:rPr>
            </w:pPr>
            <w:r w:rsidRPr="004761E0">
              <w:rPr>
                <w:rFonts w:eastAsia="Times New Roman"/>
                <w:color w:val="000000"/>
                <w:sz w:val="20"/>
                <w:szCs w:val="20"/>
                <w:lang w:eastAsia="ru-RU"/>
              </w:rPr>
              <w:t>110 980</w:t>
            </w:r>
          </w:p>
        </w:tc>
        <w:tc>
          <w:tcPr>
            <w:tcW w:w="1424" w:type="dxa"/>
            <w:tcBorders>
              <w:left w:val="nil"/>
              <w:bottom w:val="single" w:sz="4" w:space="0" w:color="auto"/>
              <w:right w:val="single" w:sz="4" w:space="0" w:color="auto"/>
            </w:tcBorders>
            <w:shd w:val="clear" w:color="000000" w:fill="FFFFFF"/>
            <w:vAlign w:val="center"/>
            <w:hideMark/>
          </w:tcPr>
          <w:p w:rsidR="004A4CF1" w:rsidRPr="004761E0" w:rsidRDefault="00212313" w:rsidP="00D64744">
            <w:pPr>
              <w:ind w:left="360" w:firstLine="0"/>
              <w:jc w:val="right"/>
              <w:rPr>
                <w:rFonts w:eastAsia="Times New Roman"/>
                <w:color w:val="000000"/>
                <w:sz w:val="20"/>
                <w:szCs w:val="20"/>
                <w:lang w:eastAsia="ru-RU"/>
              </w:rPr>
            </w:pPr>
            <w:r w:rsidRPr="004761E0">
              <w:rPr>
                <w:rFonts w:eastAsia="Times New Roman"/>
                <w:color w:val="000000"/>
                <w:sz w:val="20"/>
                <w:szCs w:val="20"/>
                <w:lang w:eastAsia="ru-RU"/>
              </w:rPr>
              <w:t xml:space="preserve">3 </w:t>
            </w:r>
            <w:r w:rsidR="004A4CF1" w:rsidRPr="004761E0">
              <w:rPr>
                <w:rFonts w:eastAsia="Times New Roman"/>
                <w:color w:val="000000"/>
                <w:sz w:val="20"/>
                <w:szCs w:val="20"/>
                <w:lang w:eastAsia="ru-RU"/>
              </w:rPr>
              <w:t>101</w:t>
            </w:r>
          </w:p>
        </w:tc>
        <w:tc>
          <w:tcPr>
            <w:tcW w:w="1275" w:type="dxa"/>
            <w:tcBorders>
              <w:left w:val="single" w:sz="4" w:space="0" w:color="auto"/>
              <w:bottom w:val="single" w:sz="4" w:space="0" w:color="auto"/>
              <w:right w:val="single" w:sz="4" w:space="0" w:color="auto"/>
            </w:tcBorders>
            <w:vAlign w:val="center"/>
          </w:tcPr>
          <w:p w:rsidR="004A4CF1" w:rsidRPr="004761E0" w:rsidRDefault="004A4CF1" w:rsidP="00D64744">
            <w:pPr>
              <w:ind w:firstLine="0"/>
              <w:jc w:val="right"/>
              <w:rPr>
                <w:rFonts w:eastAsia="Times New Roman"/>
                <w:color w:val="000000"/>
                <w:sz w:val="20"/>
                <w:szCs w:val="20"/>
                <w:lang w:eastAsia="ru-RU"/>
              </w:rPr>
            </w:pPr>
            <w:r w:rsidRPr="004761E0">
              <w:rPr>
                <w:rFonts w:eastAsia="Times New Roman"/>
                <w:color w:val="000000"/>
                <w:sz w:val="20"/>
                <w:szCs w:val="20"/>
                <w:lang w:eastAsia="ru-RU"/>
              </w:rPr>
              <w:t>71 412</w:t>
            </w:r>
          </w:p>
        </w:tc>
        <w:tc>
          <w:tcPr>
            <w:tcW w:w="1438" w:type="dxa"/>
            <w:tcBorders>
              <w:left w:val="single" w:sz="4" w:space="0" w:color="auto"/>
              <w:bottom w:val="single" w:sz="4" w:space="0" w:color="auto"/>
              <w:right w:val="single" w:sz="4" w:space="0" w:color="auto"/>
            </w:tcBorders>
            <w:vAlign w:val="center"/>
          </w:tcPr>
          <w:p w:rsidR="004A4CF1" w:rsidRPr="004761E0" w:rsidRDefault="004A4CF1" w:rsidP="00D64744">
            <w:pPr>
              <w:ind w:firstLine="0"/>
              <w:jc w:val="right"/>
              <w:rPr>
                <w:rFonts w:eastAsia="Times New Roman"/>
                <w:color w:val="000000"/>
                <w:sz w:val="20"/>
                <w:szCs w:val="20"/>
                <w:lang w:eastAsia="ru-RU"/>
              </w:rPr>
            </w:pPr>
            <w:r w:rsidRPr="004761E0">
              <w:rPr>
                <w:rFonts w:eastAsia="Times New Roman"/>
                <w:color w:val="000000"/>
                <w:sz w:val="20"/>
                <w:szCs w:val="20"/>
                <w:lang w:eastAsia="ru-RU"/>
              </w:rPr>
              <w:t>159,8</w:t>
            </w:r>
          </w:p>
        </w:tc>
        <w:tc>
          <w:tcPr>
            <w:tcW w:w="1035" w:type="dxa"/>
            <w:tcBorders>
              <w:left w:val="single" w:sz="4" w:space="0" w:color="auto"/>
              <w:bottom w:val="single" w:sz="4" w:space="0" w:color="auto"/>
              <w:right w:val="single" w:sz="4" w:space="0" w:color="auto"/>
            </w:tcBorders>
            <w:vAlign w:val="center"/>
          </w:tcPr>
          <w:p w:rsidR="004A4CF1" w:rsidRPr="004761E0" w:rsidRDefault="004A4CF1" w:rsidP="00D64744">
            <w:pPr>
              <w:ind w:firstLine="0"/>
              <w:jc w:val="right"/>
              <w:rPr>
                <w:rFonts w:eastAsia="Times New Roman"/>
                <w:color w:val="000000"/>
                <w:sz w:val="20"/>
                <w:szCs w:val="20"/>
                <w:lang w:eastAsia="ru-RU"/>
              </w:rPr>
            </w:pPr>
            <w:r w:rsidRPr="004761E0">
              <w:rPr>
                <w:rFonts w:eastAsia="Times New Roman"/>
                <w:color w:val="000000"/>
                <w:sz w:val="20"/>
                <w:szCs w:val="20"/>
                <w:lang w:eastAsia="ru-RU"/>
              </w:rPr>
              <w:t>-0,74</w:t>
            </w:r>
          </w:p>
        </w:tc>
      </w:tr>
      <w:tr w:rsidR="004A4CF1" w:rsidRPr="004761E0" w:rsidTr="00867958">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4CF1" w:rsidRPr="004761E0" w:rsidRDefault="004A4CF1" w:rsidP="007076A7">
            <w:pPr>
              <w:pStyle w:val="a5"/>
              <w:numPr>
                <w:ilvl w:val="1"/>
                <w:numId w:val="286"/>
              </w:numPr>
              <w:ind w:left="0" w:firstLine="0"/>
              <w:jc w:val="left"/>
              <w:rPr>
                <w:rFonts w:eastAsia="Times New Roman"/>
                <w:color w:val="000000"/>
                <w:sz w:val="20"/>
                <w:szCs w:val="20"/>
                <w:lang w:eastAsia="ru-RU"/>
              </w:rPr>
            </w:pPr>
          </w:p>
        </w:tc>
        <w:tc>
          <w:tcPr>
            <w:tcW w:w="2643" w:type="dxa"/>
            <w:tcBorders>
              <w:top w:val="single" w:sz="4" w:space="0" w:color="auto"/>
              <w:left w:val="nil"/>
              <w:bottom w:val="single" w:sz="4" w:space="0" w:color="auto"/>
              <w:right w:val="single" w:sz="4" w:space="0" w:color="auto"/>
            </w:tcBorders>
            <w:shd w:val="clear" w:color="auto" w:fill="auto"/>
            <w:vAlign w:val="center"/>
            <w:hideMark/>
          </w:tcPr>
          <w:p w:rsidR="004A4CF1" w:rsidRPr="004761E0" w:rsidRDefault="004A4CF1" w:rsidP="00D64744">
            <w:pPr>
              <w:ind w:firstLineChars="124" w:firstLine="248"/>
              <w:jc w:val="left"/>
              <w:rPr>
                <w:rFonts w:eastAsia="Times New Roman"/>
                <w:color w:val="000000"/>
                <w:sz w:val="20"/>
                <w:szCs w:val="20"/>
                <w:lang w:eastAsia="ru-RU"/>
              </w:rPr>
            </w:pPr>
            <w:r w:rsidRPr="004761E0">
              <w:rPr>
                <w:rFonts w:eastAsia="Times New Roman"/>
                <w:color w:val="000000"/>
                <w:sz w:val="20"/>
                <w:szCs w:val="20"/>
                <w:lang w:eastAsia="ru-RU"/>
              </w:rPr>
              <w:t>по г. Москве</w:t>
            </w:r>
          </w:p>
        </w:tc>
        <w:tc>
          <w:tcPr>
            <w:tcW w:w="1752" w:type="dxa"/>
            <w:tcBorders>
              <w:top w:val="single" w:sz="4" w:space="0" w:color="auto"/>
              <w:left w:val="nil"/>
              <w:bottom w:val="single" w:sz="4" w:space="0" w:color="auto"/>
              <w:right w:val="single" w:sz="4" w:space="0" w:color="auto"/>
            </w:tcBorders>
            <w:shd w:val="clear" w:color="000000" w:fill="D9D9D9"/>
            <w:vAlign w:val="center"/>
            <w:hideMark/>
          </w:tcPr>
          <w:p w:rsidR="004A4CF1" w:rsidRPr="004761E0" w:rsidRDefault="004A4CF1" w:rsidP="00D64744">
            <w:pPr>
              <w:ind w:firstLine="0"/>
              <w:jc w:val="right"/>
              <w:rPr>
                <w:rFonts w:eastAsia="Times New Roman"/>
                <w:color w:val="000000"/>
                <w:sz w:val="20"/>
                <w:szCs w:val="20"/>
                <w:lang w:eastAsia="ru-RU"/>
              </w:rPr>
            </w:pPr>
            <w:r w:rsidRPr="004761E0">
              <w:rPr>
                <w:rFonts w:eastAsia="Times New Roman"/>
                <w:color w:val="000000"/>
                <w:sz w:val="20"/>
                <w:szCs w:val="20"/>
                <w:lang w:eastAsia="ru-RU"/>
              </w:rPr>
              <w:t>55 661</w:t>
            </w:r>
          </w:p>
        </w:tc>
        <w:tc>
          <w:tcPr>
            <w:tcW w:w="1487" w:type="dxa"/>
            <w:tcBorders>
              <w:top w:val="single" w:sz="4" w:space="0" w:color="auto"/>
              <w:left w:val="nil"/>
              <w:bottom w:val="single" w:sz="4" w:space="0" w:color="auto"/>
              <w:right w:val="single" w:sz="4" w:space="0" w:color="auto"/>
            </w:tcBorders>
            <w:shd w:val="clear" w:color="000000" w:fill="D9D9D9"/>
            <w:vAlign w:val="center"/>
            <w:hideMark/>
          </w:tcPr>
          <w:p w:rsidR="004A4CF1" w:rsidRPr="004761E0" w:rsidRDefault="004A4CF1" w:rsidP="00D64744">
            <w:pPr>
              <w:ind w:firstLine="0"/>
              <w:jc w:val="right"/>
              <w:rPr>
                <w:rFonts w:eastAsia="Times New Roman"/>
                <w:color w:val="000000"/>
                <w:sz w:val="20"/>
                <w:szCs w:val="20"/>
                <w:lang w:eastAsia="ru-RU"/>
              </w:rPr>
            </w:pPr>
            <w:r w:rsidRPr="004761E0">
              <w:rPr>
                <w:rFonts w:eastAsia="Times New Roman"/>
                <w:color w:val="000000"/>
                <w:sz w:val="20"/>
                <w:szCs w:val="20"/>
                <w:lang w:eastAsia="ru-RU"/>
              </w:rPr>
              <w:t>1 445</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4A4CF1" w:rsidRPr="004761E0" w:rsidRDefault="004A4CF1" w:rsidP="00D64744">
            <w:pPr>
              <w:ind w:firstLine="0"/>
              <w:jc w:val="right"/>
              <w:rPr>
                <w:rFonts w:eastAsia="Times New Roman"/>
                <w:color w:val="000000"/>
                <w:sz w:val="20"/>
                <w:szCs w:val="20"/>
                <w:lang w:eastAsia="ru-RU"/>
              </w:rPr>
            </w:pPr>
            <w:r w:rsidRPr="004761E0">
              <w:rPr>
                <w:rFonts w:eastAsia="Times New Roman"/>
                <w:color w:val="000000"/>
                <w:sz w:val="20"/>
                <w:szCs w:val="20"/>
                <w:lang w:eastAsia="ru-RU"/>
              </w:rPr>
              <w:t>34 866</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4A4CF1" w:rsidRPr="004761E0" w:rsidRDefault="004A4CF1" w:rsidP="00D64744">
            <w:pPr>
              <w:ind w:firstLine="0"/>
              <w:jc w:val="right"/>
              <w:rPr>
                <w:rFonts w:eastAsia="Times New Roman"/>
                <w:color w:val="000000"/>
                <w:sz w:val="20"/>
                <w:szCs w:val="20"/>
                <w:lang w:eastAsia="ru-RU"/>
              </w:rPr>
            </w:pPr>
            <w:r w:rsidRPr="004761E0">
              <w:rPr>
                <w:rFonts w:eastAsia="Times New Roman"/>
                <w:color w:val="000000"/>
                <w:sz w:val="20"/>
                <w:szCs w:val="20"/>
                <w:lang w:eastAsia="ru-RU"/>
              </w:rPr>
              <w:t>163,8</w:t>
            </w:r>
          </w:p>
        </w:tc>
        <w:tc>
          <w:tcPr>
            <w:tcW w:w="1632" w:type="dxa"/>
            <w:tcBorders>
              <w:top w:val="single" w:sz="4" w:space="0" w:color="auto"/>
              <w:left w:val="nil"/>
              <w:bottom w:val="single" w:sz="4" w:space="0" w:color="auto"/>
              <w:right w:val="single" w:sz="4" w:space="0" w:color="auto"/>
            </w:tcBorders>
            <w:shd w:val="clear" w:color="000000" w:fill="FFFFFF"/>
            <w:vAlign w:val="center"/>
            <w:hideMark/>
          </w:tcPr>
          <w:p w:rsidR="004A4CF1" w:rsidRPr="004761E0" w:rsidRDefault="004A4CF1" w:rsidP="00D64744">
            <w:pPr>
              <w:ind w:firstLine="0"/>
              <w:jc w:val="right"/>
              <w:rPr>
                <w:rFonts w:eastAsia="Times New Roman"/>
                <w:color w:val="000000"/>
                <w:sz w:val="20"/>
                <w:szCs w:val="20"/>
                <w:lang w:eastAsia="ru-RU"/>
              </w:rPr>
            </w:pPr>
            <w:r w:rsidRPr="004761E0">
              <w:rPr>
                <w:rFonts w:eastAsia="Times New Roman"/>
                <w:color w:val="000000"/>
                <w:sz w:val="20"/>
                <w:szCs w:val="20"/>
                <w:lang w:eastAsia="ru-RU"/>
              </w:rPr>
              <w:t>54 974</w:t>
            </w:r>
          </w:p>
        </w:tc>
        <w:tc>
          <w:tcPr>
            <w:tcW w:w="1424" w:type="dxa"/>
            <w:tcBorders>
              <w:top w:val="single" w:sz="4" w:space="0" w:color="auto"/>
              <w:left w:val="nil"/>
              <w:bottom w:val="single" w:sz="4" w:space="0" w:color="auto"/>
              <w:right w:val="single" w:sz="4" w:space="0" w:color="auto"/>
            </w:tcBorders>
            <w:shd w:val="clear" w:color="000000" w:fill="FFFFFF"/>
            <w:vAlign w:val="center"/>
            <w:hideMark/>
          </w:tcPr>
          <w:p w:rsidR="004A4CF1" w:rsidRPr="004761E0" w:rsidRDefault="004A4CF1" w:rsidP="00D64744">
            <w:pPr>
              <w:ind w:firstLine="0"/>
              <w:jc w:val="right"/>
              <w:rPr>
                <w:rFonts w:eastAsia="Times New Roman"/>
                <w:color w:val="000000"/>
                <w:sz w:val="20"/>
                <w:szCs w:val="20"/>
                <w:lang w:eastAsia="ru-RU"/>
              </w:rPr>
            </w:pPr>
            <w:r w:rsidRPr="004761E0">
              <w:rPr>
                <w:rFonts w:eastAsia="Times New Roman"/>
                <w:color w:val="000000"/>
                <w:sz w:val="20"/>
                <w:szCs w:val="20"/>
                <w:lang w:eastAsia="ru-RU"/>
              </w:rPr>
              <w:t>1 500</w:t>
            </w:r>
          </w:p>
        </w:tc>
        <w:tc>
          <w:tcPr>
            <w:tcW w:w="1275" w:type="dxa"/>
            <w:tcBorders>
              <w:top w:val="single" w:sz="4" w:space="0" w:color="auto"/>
              <w:left w:val="single" w:sz="4" w:space="0" w:color="auto"/>
              <w:bottom w:val="single" w:sz="4" w:space="0" w:color="auto"/>
              <w:right w:val="single" w:sz="4" w:space="0" w:color="auto"/>
            </w:tcBorders>
            <w:vAlign w:val="center"/>
          </w:tcPr>
          <w:p w:rsidR="004A4CF1" w:rsidRPr="004761E0" w:rsidRDefault="004A4CF1" w:rsidP="00D64744">
            <w:pPr>
              <w:ind w:firstLine="0"/>
              <w:jc w:val="right"/>
              <w:rPr>
                <w:rFonts w:eastAsia="Times New Roman"/>
                <w:color w:val="000000"/>
                <w:sz w:val="20"/>
                <w:szCs w:val="20"/>
                <w:lang w:eastAsia="ru-RU"/>
              </w:rPr>
            </w:pPr>
            <w:r w:rsidRPr="004761E0">
              <w:rPr>
                <w:rFonts w:eastAsia="Times New Roman"/>
                <w:color w:val="000000"/>
                <w:sz w:val="20"/>
                <w:szCs w:val="20"/>
                <w:lang w:eastAsia="ru-RU"/>
              </w:rPr>
              <w:t>34 675</w:t>
            </w:r>
          </w:p>
        </w:tc>
        <w:tc>
          <w:tcPr>
            <w:tcW w:w="1438" w:type="dxa"/>
            <w:tcBorders>
              <w:top w:val="single" w:sz="4" w:space="0" w:color="auto"/>
              <w:left w:val="single" w:sz="4" w:space="0" w:color="auto"/>
              <w:bottom w:val="single" w:sz="4" w:space="0" w:color="auto"/>
              <w:right w:val="single" w:sz="4" w:space="0" w:color="auto"/>
            </w:tcBorders>
            <w:vAlign w:val="center"/>
          </w:tcPr>
          <w:p w:rsidR="004A4CF1" w:rsidRPr="004761E0" w:rsidRDefault="004A4CF1" w:rsidP="00D64744">
            <w:pPr>
              <w:ind w:firstLine="0"/>
              <w:jc w:val="right"/>
              <w:rPr>
                <w:rFonts w:eastAsia="Times New Roman"/>
                <w:color w:val="000000"/>
                <w:sz w:val="20"/>
                <w:szCs w:val="20"/>
                <w:lang w:eastAsia="ru-RU"/>
              </w:rPr>
            </w:pPr>
            <w:r w:rsidRPr="004761E0">
              <w:rPr>
                <w:rFonts w:eastAsia="Times New Roman"/>
                <w:color w:val="000000"/>
                <w:sz w:val="20"/>
                <w:szCs w:val="20"/>
                <w:lang w:eastAsia="ru-RU"/>
              </w:rPr>
              <w:t>162,9</w:t>
            </w:r>
          </w:p>
        </w:tc>
        <w:tc>
          <w:tcPr>
            <w:tcW w:w="1035" w:type="dxa"/>
            <w:tcBorders>
              <w:top w:val="single" w:sz="4" w:space="0" w:color="auto"/>
              <w:left w:val="single" w:sz="4" w:space="0" w:color="auto"/>
              <w:bottom w:val="single" w:sz="4" w:space="0" w:color="auto"/>
              <w:right w:val="single" w:sz="4" w:space="0" w:color="auto"/>
            </w:tcBorders>
            <w:vAlign w:val="center"/>
          </w:tcPr>
          <w:p w:rsidR="004A4CF1" w:rsidRPr="004761E0" w:rsidRDefault="004A4CF1" w:rsidP="00D64744">
            <w:pPr>
              <w:ind w:firstLine="0"/>
              <w:jc w:val="right"/>
              <w:rPr>
                <w:rFonts w:eastAsia="Times New Roman"/>
                <w:color w:val="000000"/>
                <w:sz w:val="20"/>
                <w:szCs w:val="20"/>
                <w:lang w:eastAsia="ru-RU"/>
              </w:rPr>
            </w:pPr>
            <w:r w:rsidRPr="004761E0">
              <w:rPr>
                <w:rFonts w:eastAsia="Times New Roman"/>
                <w:color w:val="000000"/>
                <w:sz w:val="20"/>
                <w:szCs w:val="20"/>
                <w:lang w:eastAsia="ru-RU"/>
              </w:rPr>
              <w:t>-1,23</w:t>
            </w:r>
          </w:p>
        </w:tc>
      </w:tr>
      <w:tr w:rsidR="004A4CF1" w:rsidRPr="004761E0" w:rsidTr="00867958">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4CF1" w:rsidRPr="004761E0" w:rsidRDefault="004A4CF1" w:rsidP="007076A7">
            <w:pPr>
              <w:pStyle w:val="a5"/>
              <w:numPr>
                <w:ilvl w:val="1"/>
                <w:numId w:val="286"/>
              </w:numPr>
              <w:ind w:left="0" w:firstLine="0"/>
              <w:jc w:val="left"/>
              <w:rPr>
                <w:rFonts w:eastAsia="Times New Roman"/>
                <w:color w:val="000000"/>
                <w:sz w:val="20"/>
                <w:szCs w:val="20"/>
                <w:lang w:eastAsia="ru-RU"/>
              </w:rPr>
            </w:pPr>
          </w:p>
        </w:tc>
        <w:tc>
          <w:tcPr>
            <w:tcW w:w="2643" w:type="dxa"/>
            <w:tcBorders>
              <w:top w:val="single" w:sz="4" w:space="0" w:color="auto"/>
              <w:left w:val="nil"/>
              <w:bottom w:val="single" w:sz="4" w:space="0" w:color="auto"/>
              <w:right w:val="single" w:sz="4" w:space="0" w:color="auto"/>
            </w:tcBorders>
            <w:shd w:val="clear" w:color="auto" w:fill="auto"/>
            <w:vAlign w:val="center"/>
            <w:hideMark/>
          </w:tcPr>
          <w:p w:rsidR="004A4CF1" w:rsidRPr="004761E0" w:rsidRDefault="004A4CF1" w:rsidP="00D64744">
            <w:pPr>
              <w:ind w:firstLineChars="124" w:firstLine="248"/>
              <w:jc w:val="left"/>
              <w:rPr>
                <w:rFonts w:eastAsia="Times New Roman"/>
                <w:color w:val="000000"/>
                <w:sz w:val="20"/>
                <w:szCs w:val="20"/>
                <w:lang w:eastAsia="ru-RU"/>
              </w:rPr>
            </w:pPr>
            <w:r w:rsidRPr="004761E0">
              <w:rPr>
                <w:rFonts w:eastAsia="Times New Roman"/>
                <w:color w:val="000000"/>
                <w:sz w:val="20"/>
                <w:szCs w:val="20"/>
                <w:lang w:eastAsia="ru-RU"/>
              </w:rPr>
              <w:t>по Московской области</w:t>
            </w:r>
          </w:p>
        </w:tc>
        <w:tc>
          <w:tcPr>
            <w:tcW w:w="1752" w:type="dxa"/>
            <w:tcBorders>
              <w:top w:val="single" w:sz="4" w:space="0" w:color="auto"/>
              <w:left w:val="nil"/>
              <w:bottom w:val="single" w:sz="4" w:space="0" w:color="auto"/>
              <w:right w:val="single" w:sz="4" w:space="0" w:color="auto"/>
            </w:tcBorders>
            <w:shd w:val="clear" w:color="000000" w:fill="D9D9D9"/>
            <w:vAlign w:val="center"/>
            <w:hideMark/>
          </w:tcPr>
          <w:p w:rsidR="004A4CF1" w:rsidRPr="004761E0" w:rsidRDefault="004A4CF1" w:rsidP="00D64744">
            <w:pPr>
              <w:ind w:firstLine="0"/>
              <w:jc w:val="right"/>
              <w:rPr>
                <w:rFonts w:eastAsia="Times New Roman"/>
                <w:color w:val="000000"/>
                <w:sz w:val="20"/>
                <w:szCs w:val="20"/>
                <w:lang w:eastAsia="ru-RU"/>
              </w:rPr>
            </w:pPr>
            <w:r w:rsidRPr="004761E0">
              <w:rPr>
                <w:rFonts w:eastAsia="Times New Roman"/>
                <w:color w:val="000000"/>
                <w:sz w:val="20"/>
                <w:szCs w:val="20"/>
                <w:lang w:eastAsia="ru-RU"/>
              </w:rPr>
              <w:t>56 147</w:t>
            </w:r>
          </w:p>
        </w:tc>
        <w:tc>
          <w:tcPr>
            <w:tcW w:w="1487" w:type="dxa"/>
            <w:tcBorders>
              <w:top w:val="single" w:sz="4" w:space="0" w:color="auto"/>
              <w:left w:val="nil"/>
              <w:bottom w:val="single" w:sz="4" w:space="0" w:color="auto"/>
              <w:right w:val="single" w:sz="4" w:space="0" w:color="auto"/>
            </w:tcBorders>
            <w:shd w:val="clear" w:color="000000" w:fill="D9D9D9"/>
            <w:vAlign w:val="center"/>
            <w:hideMark/>
          </w:tcPr>
          <w:p w:rsidR="004A4CF1" w:rsidRPr="004761E0" w:rsidRDefault="004A4CF1" w:rsidP="00D64744">
            <w:pPr>
              <w:ind w:firstLine="0"/>
              <w:jc w:val="right"/>
              <w:rPr>
                <w:rFonts w:eastAsia="Times New Roman"/>
                <w:color w:val="000000"/>
                <w:sz w:val="20"/>
                <w:szCs w:val="20"/>
                <w:lang w:eastAsia="ru-RU"/>
              </w:rPr>
            </w:pPr>
            <w:r w:rsidRPr="004761E0">
              <w:rPr>
                <w:rFonts w:eastAsia="Times New Roman"/>
                <w:color w:val="000000"/>
                <w:sz w:val="20"/>
                <w:szCs w:val="20"/>
                <w:lang w:eastAsia="ru-RU"/>
              </w:rPr>
              <w:t>1 546</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4A4CF1" w:rsidRPr="004761E0" w:rsidRDefault="004A4CF1" w:rsidP="00D64744">
            <w:pPr>
              <w:ind w:firstLine="0"/>
              <w:jc w:val="right"/>
              <w:rPr>
                <w:rFonts w:eastAsia="Times New Roman"/>
                <w:color w:val="000000"/>
                <w:sz w:val="20"/>
                <w:szCs w:val="20"/>
                <w:lang w:eastAsia="ru-RU"/>
              </w:rPr>
            </w:pPr>
            <w:r w:rsidRPr="004761E0">
              <w:rPr>
                <w:rFonts w:eastAsia="Times New Roman"/>
                <w:color w:val="000000"/>
                <w:sz w:val="20"/>
                <w:szCs w:val="20"/>
                <w:lang w:eastAsia="ru-RU"/>
              </w:rPr>
              <w:t>36 900</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4A4CF1" w:rsidRPr="004761E0" w:rsidRDefault="004A4CF1" w:rsidP="00D64744">
            <w:pPr>
              <w:ind w:firstLine="0"/>
              <w:jc w:val="right"/>
              <w:rPr>
                <w:rFonts w:eastAsia="Times New Roman"/>
                <w:color w:val="000000"/>
                <w:sz w:val="20"/>
                <w:szCs w:val="20"/>
                <w:lang w:eastAsia="ru-RU"/>
              </w:rPr>
            </w:pPr>
            <w:r w:rsidRPr="004761E0">
              <w:rPr>
                <w:rFonts w:eastAsia="Times New Roman"/>
                <w:color w:val="000000"/>
                <w:sz w:val="20"/>
                <w:szCs w:val="20"/>
                <w:lang w:eastAsia="ru-RU"/>
              </w:rPr>
              <w:t>156,3</w:t>
            </w:r>
          </w:p>
        </w:tc>
        <w:tc>
          <w:tcPr>
            <w:tcW w:w="1632" w:type="dxa"/>
            <w:tcBorders>
              <w:top w:val="single" w:sz="4" w:space="0" w:color="auto"/>
              <w:left w:val="nil"/>
              <w:bottom w:val="single" w:sz="4" w:space="0" w:color="auto"/>
              <w:right w:val="single" w:sz="4" w:space="0" w:color="auto"/>
            </w:tcBorders>
            <w:shd w:val="clear" w:color="000000" w:fill="FFFFFF"/>
            <w:vAlign w:val="center"/>
            <w:hideMark/>
          </w:tcPr>
          <w:p w:rsidR="004A4CF1" w:rsidRPr="004761E0" w:rsidRDefault="004A4CF1" w:rsidP="00D64744">
            <w:pPr>
              <w:ind w:firstLine="0"/>
              <w:jc w:val="right"/>
              <w:rPr>
                <w:rFonts w:eastAsia="Times New Roman"/>
                <w:color w:val="000000"/>
                <w:sz w:val="20"/>
                <w:szCs w:val="20"/>
                <w:lang w:eastAsia="ru-RU"/>
              </w:rPr>
            </w:pPr>
            <w:r w:rsidRPr="004761E0">
              <w:rPr>
                <w:rFonts w:eastAsia="Times New Roman"/>
                <w:color w:val="000000"/>
                <w:sz w:val="20"/>
                <w:szCs w:val="20"/>
                <w:lang w:eastAsia="ru-RU"/>
              </w:rPr>
              <w:t>56 006</w:t>
            </w:r>
          </w:p>
        </w:tc>
        <w:tc>
          <w:tcPr>
            <w:tcW w:w="1424" w:type="dxa"/>
            <w:tcBorders>
              <w:top w:val="single" w:sz="4" w:space="0" w:color="auto"/>
              <w:left w:val="nil"/>
              <w:bottom w:val="single" w:sz="4" w:space="0" w:color="auto"/>
              <w:right w:val="single" w:sz="4" w:space="0" w:color="auto"/>
            </w:tcBorders>
            <w:shd w:val="clear" w:color="000000" w:fill="FFFFFF"/>
            <w:vAlign w:val="center"/>
            <w:hideMark/>
          </w:tcPr>
          <w:p w:rsidR="004A4CF1" w:rsidRPr="004761E0" w:rsidRDefault="004A4CF1" w:rsidP="00D64744">
            <w:pPr>
              <w:ind w:firstLine="0"/>
              <w:jc w:val="right"/>
              <w:rPr>
                <w:rFonts w:eastAsia="Times New Roman"/>
                <w:color w:val="000000"/>
                <w:sz w:val="20"/>
                <w:szCs w:val="20"/>
                <w:lang w:eastAsia="ru-RU"/>
              </w:rPr>
            </w:pPr>
            <w:r w:rsidRPr="004761E0">
              <w:rPr>
                <w:rFonts w:eastAsia="Times New Roman"/>
                <w:color w:val="000000"/>
                <w:sz w:val="20"/>
                <w:szCs w:val="20"/>
                <w:lang w:eastAsia="ru-RU"/>
              </w:rPr>
              <w:t>1 601</w:t>
            </w:r>
          </w:p>
        </w:tc>
        <w:tc>
          <w:tcPr>
            <w:tcW w:w="1275" w:type="dxa"/>
            <w:tcBorders>
              <w:top w:val="single" w:sz="4" w:space="0" w:color="auto"/>
              <w:left w:val="single" w:sz="4" w:space="0" w:color="auto"/>
              <w:bottom w:val="single" w:sz="4" w:space="0" w:color="auto"/>
              <w:right w:val="single" w:sz="4" w:space="0" w:color="auto"/>
            </w:tcBorders>
            <w:vAlign w:val="center"/>
          </w:tcPr>
          <w:p w:rsidR="004A4CF1" w:rsidRPr="004761E0" w:rsidRDefault="004A4CF1" w:rsidP="00D64744">
            <w:pPr>
              <w:ind w:firstLine="0"/>
              <w:jc w:val="right"/>
              <w:rPr>
                <w:rFonts w:eastAsia="Times New Roman"/>
                <w:color w:val="000000"/>
                <w:sz w:val="20"/>
                <w:szCs w:val="20"/>
                <w:lang w:eastAsia="ru-RU"/>
              </w:rPr>
            </w:pPr>
            <w:r w:rsidRPr="004761E0">
              <w:rPr>
                <w:rFonts w:eastAsia="Times New Roman"/>
                <w:color w:val="000000"/>
                <w:sz w:val="20"/>
                <w:szCs w:val="20"/>
                <w:lang w:eastAsia="ru-RU"/>
              </w:rPr>
              <w:t>36 737</w:t>
            </w:r>
          </w:p>
        </w:tc>
        <w:tc>
          <w:tcPr>
            <w:tcW w:w="1438" w:type="dxa"/>
            <w:tcBorders>
              <w:top w:val="single" w:sz="4" w:space="0" w:color="auto"/>
              <w:left w:val="single" w:sz="4" w:space="0" w:color="auto"/>
              <w:bottom w:val="single" w:sz="4" w:space="0" w:color="auto"/>
              <w:right w:val="single" w:sz="4" w:space="0" w:color="auto"/>
            </w:tcBorders>
            <w:vAlign w:val="center"/>
          </w:tcPr>
          <w:p w:rsidR="004A4CF1" w:rsidRPr="004761E0" w:rsidRDefault="004A4CF1" w:rsidP="00D64744">
            <w:pPr>
              <w:ind w:firstLine="0"/>
              <w:jc w:val="right"/>
              <w:rPr>
                <w:rFonts w:eastAsia="Times New Roman"/>
                <w:color w:val="000000"/>
                <w:sz w:val="20"/>
                <w:szCs w:val="20"/>
                <w:lang w:eastAsia="ru-RU"/>
              </w:rPr>
            </w:pPr>
            <w:r w:rsidRPr="004761E0">
              <w:rPr>
                <w:rFonts w:eastAsia="Times New Roman"/>
                <w:color w:val="000000"/>
                <w:sz w:val="20"/>
                <w:szCs w:val="20"/>
                <w:lang w:eastAsia="ru-RU"/>
              </w:rPr>
              <w:t>156,8</w:t>
            </w:r>
          </w:p>
        </w:tc>
        <w:tc>
          <w:tcPr>
            <w:tcW w:w="1035" w:type="dxa"/>
            <w:tcBorders>
              <w:top w:val="single" w:sz="4" w:space="0" w:color="auto"/>
              <w:left w:val="single" w:sz="4" w:space="0" w:color="auto"/>
              <w:bottom w:val="single" w:sz="4" w:space="0" w:color="auto"/>
              <w:right w:val="single" w:sz="4" w:space="0" w:color="auto"/>
            </w:tcBorders>
            <w:vAlign w:val="center"/>
          </w:tcPr>
          <w:p w:rsidR="004A4CF1" w:rsidRPr="004761E0" w:rsidRDefault="004A4CF1" w:rsidP="00D64744">
            <w:pPr>
              <w:ind w:firstLine="0"/>
              <w:jc w:val="right"/>
              <w:rPr>
                <w:rFonts w:eastAsia="Times New Roman"/>
                <w:color w:val="000000"/>
                <w:sz w:val="20"/>
                <w:szCs w:val="20"/>
                <w:lang w:eastAsia="ru-RU"/>
              </w:rPr>
            </w:pPr>
            <w:r w:rsidRPr="004761E0">
              <w:rPr>
                <w:rFonts w:eastAsia="Times New Roman"/>
                <w:color w:val="000000"/>
                <w:sz w:val="20"/>
                <w:szCs w:val="20"/>
                <w:lang w:eastAsia="ru-RU"/>
              </w:rPr>
              <w:t>-0,25</w:t>
            </w:r>
          </w:p>
        </w:tc>
      </w:tr>
    </w:tbl>
    <w:p w:rsidR="004A4CF1" w:rsidRPr="004761E0" w:rsidRDefault="004A4CF1" w:rsidP="004A4CF1">
      <w:pPr>
        <w:spacing w:before="120" w:after="120"/>
        <w:ind w:firstLine="567"/>
        <w:jc w:val="left"/>
        <w:rPr>
          <w:rFonts w:eastAsia="Times New Roman"/>
          <w:b/>
          <w:iCs/>
          <w:color w:val="000000"/>
          <w:sz w:val="26"/>
          <w:szCs w:val="26"/>
          <w:lang w:eastAsia="ru-RU"/>
        </w:rPr>
      </w:pPr>
      <w:r w:rsidRPr="004761E0">
        <w:rPr>
          <w:rFonts w:eastAsia="Times New Roman"/>
          <w:b/>
          <w:iCs/>
          <w:color w:val="000000"/>
          <w:sz w:val="26"/>
          <w:szCs w:val="26"/>
          <w:lang w:eastAsia="ru-RU"/>
        </w:rPr>
        <w:t>Сравнение фактической выручки от услуг по передаче электроэнергии и учтенного значения в тарифно-балансовом решении</w:t>
      </w:r>
    </w:p>
    <w:tbl>
      <w:tblPr>
        <w:tblW w:w="16160" w:type="dxa"/>
        <w:tblInd w:w="-743" w:type="dxa"/>
        <w:tblLayout w:type="fixed"/>
        <w:tblLook w:val="04A0"/>
      </w:tblPr>
      <w:tblGrid>
        <w:gridCol w:w="709"/>
        <w:gridCol w:w="2570"/>
        <w:gridCol w:w="3242"/>
        <w:gridCol w:w="1559"/>
        <w:gridCol w:w="1276"/>
        <w:gridCol w:w="1559"/>
        <w:gridCol w:w="1418"/>
        <w:gridCol w:w="1276"/>
        <w:gridCol w:w="1417"/>
        <w:gridCol w:w="1134"/>
      </w:tblGrid>
      <w:tr w:rsidR="004E768B" w:rsidRPr="004761E0" w:rsidTr="00867958">
        <w:trPr>
          <w:trHeight w:val="71"/>
        </w:trPr>
        <w:tc>
          <w:tcPr>
            <w:tcW w:w="709" w:type="dxa"/>
            <w:vMerge w:val="restart"/>
            <w:tcBorders>
              <w:bottom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2570"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6077"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Тарифно-балансовое решение</w:t>
            </w:r>
          </w:p>
        </w:tc>
        <w:tc>
          <w:tcPr>
            <w:tcW w:w="5670" w:type="dxa"/>
            <w:gridSpan w:val="4"/>
            <w:tcBorders>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A4CF1" w:rsidRPr="004761E0" w:rsidRDefault="004A4CF1" w:rsidP="00D64744">
            <w:pPr>
              <w:ind w:firstLine="0"/>
              <w:jc w:val="center"/>
              <w:rPr>
                <w:rFonts w:eastAsia="Times New Roman"/>
                <w:b/>
                <w:color w:val="FFFFFF" w:themeColor="background1"/>
                <w:sz w:val="20"/>
                <w:szCs w:val="20"/>
                <w:lang w:eastAsia="ru-RU"/>
              </w:rPr>
            </w:pPr>
            <w:r w:rsidRPr="004761E0">
              <w:rPr>
                <w:rFonts w:eastAsia="Times New Roman"/>
                <w:b/>
                <w:sz w:val="20"/>
                <w:szCs w:val="20"/>
                <w:lang w:eastAsia="ru-RU"/>
              </w:rPr>
              <w:t>Факт</w:t>
            </w:r>
          </w:p>
        </w:tc>
        <w:tc>
          <w:tcPr>
            <w:tcW w:w="1134" w:type="dxa"/>
            <w:vMerge w:val="restart"/>
            <w:tcBorders>
              <w:left w:val="single" w:sz="4" w:space="0" w:color="FFFFFF" w:themeColor="background1"/>
            </w:tcBorders>
            <w:shd w:val="clear" w:color="auto" w:fill="0F243E" w:themeFill="text2" w:themeFillShade="80"/>
            <w:vAlign w:val="center"/>
          </w:tcPr>
          <w:p w:rsidR="004A4CF1" w:rsidRPr="004761E0" w:rsidRDefault="004A4CF1" w:rsidP="00D64744">
            <w:pPr>
              <w:ind w:firstLine="0"/>
              <w:jc w:val="center"/>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Факт/Учтено в ТБР</w:t>
            </w:r>
            <w:r w:rsidRPr="006F4AB8">
              <w:rPr>
                <w:rStyle w:val="af1"/>
              </w:rPr>
              <w:footnoteReference w:id="148"/>
            </w:r>
          </w:p>
        </w:tc>
      </w:tr>
      <w:tr w:rsidR="004A4CF1" w:rsidRPr="004761E0" w:rsidTr="00867958">
        <w:trPr>
          <w:trHeight w:val="587"/>
        </w:trPr>
        <w:tc>
          <w:tcPr>
            <w:tcW w:w="709" w:type="dxa"/>
            <w:vMerge/>
            <w:tcBorders>
              <w:top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left"/>
              <w:rPr>
                <w:rFonts w:eastAsia="Times New Roman"/>
                <w:b/>
                <w:color w:val="FFFFFF" w:themeColor="background1"/>
                <w:sz w:val="20"/>
                <w:szCs w:val="20"/>
                <w:lang w:eastAsia="ru-RU"/>
              </w:rPr>
            </w:pPr>
          </w:p>
        </w:tc>
        <w:tc>
          <w:tcPr>
            <w:tcW w:w="257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left"/>
              <w:rPr>
                <w:rFonts w:eastAsia="Times New Roman"/>
                <w:b/>
                <w:color w:val="FFFFFF" w:themeColor="background1"/>
                <w:sz w:val="20"/>
                <w:szCs w:val="20"/>
                <w:lang w:eastAsia="ru-RU"/>
              </w:rPr>
            </w:pPr>
          </w:p>
        </w:tc>
        <w:tc>
          <w:tcPr>
            <w:tcW w:w="3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center"/>
              <w:rPr>
                <w:b/>
                <w:color w:val="FFFFFF" w:themeColor="background1"/>
                <w:sz w:val="20"/>
                <w:szCs w:val="20"/>
              </w:rPr>
            </w:pPr>
            <w:r w:rsidRPr="004761E0">
              <w:rPr>
                <w:b/>
                <w:color w:val="FFFFFF" w:themeColor="background1"/>
                <w:sz w:val="20"/>
                <w:szCs w:val="20"/>
              </w:rPr>
              <w:t>Выручка</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center"/>
              <w:rPr>
                <w:b/>
                <w:color w:val="FFFFFF" w:themeColor="background1"/>
                <w:sz w:val="20"/>
                <w:szCs w:val="20"/>
              </w:rPr>
            </w:pPr>
            <w:r w:rsidRPr="004761E0">
              <w:rPr>
                <w:b/>
                <w:color w:val="FFFFFF" w:themeColor="background1"/>
                <w:sz w:val="20"/>
                <w:szCs w:val="20"/>
              </w:rPr>
              <w:t xml:space="preserve">Полезный отпуск </w:t>
            </w:r>
            <w:r w:rsidRPr="004761E0">
              <w:rPr>
                <w:rFonts w:eastAsia="Times New Roman"/>
                <w:b/>
                <w:color w:val="FFFFFF" w:themeColor="background1"/>
                <w:sz w:val="20"/>
                <w:szCs w:val="20"/>
                <w:lang w:eastAsia="ru-RU"/>
              </w:rPr>
              <w:lastRenderedPageBreak/>
              <w:t>«котловой»</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center"/>
              <w:rPr>
                <w:b/>
                <w:color w:val="FFFFFF" w:themeColor="background1"/>
                <w:sz w:val="20"/>
                <w:szCs w:val="20"/>
              </w:rPr>
            </w:pPr>
            <w:r w:rsidRPr="004761E0">
              <w:rPr>
                <w:b/>
                <w:color w:val="FFFFFF" w:themeColor="background1"/>
                <w:sz w:val="20"/>
                <w:szCs w:val="20"/>
              </w:rPr>
              <w:lastRenderedPageBreak/>
              <w:t>Средний тариф</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center"/>
              <w:rPr>
                <w:b/>
                <w:color w:val="FFFFFF" w:themeColor="background1"/>
                <w:sz w:val="20"/>
                <w:szCs w:val="20"/>
              </w:rPr>
            </w:pPr>
            <w:r w:rsidRPr="004761E0">
              <w:rPr>
                <w:b/>
                <w:color w:val="FFFFFF" w:themeColor="background1"/>
                <w:sz w:val="20"/>
                <w:szCs w:val="20"/>
              </w:rPr>
              <w:t xml:space="preserve">Выручка (включая </w:t>
            </w:r>
            <w:r w:rsidRPr="004761E0">
              <w:rPr>
                <w:b/>
                <w:color w:val="FFFFFF" w:themeColor="background1"/>
                <w:sz w:val="20"/>
                <w:szCs w:val="20"/>
              </w:rPr>
              <w:lastRenderedPageBreak/>
              <w:t>нагрузочные потери)</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center"/>
              <w:rPr>
                <w:b/>
                <w:color w:val="FFFFFF" w:themeColor="background1"/>
                <w:sz w:val="20"/>
                <w:szCs w:val="20"/>
              </w:rPr>
            </w:pPr>
            <w:r w:rsidRPr="004761E0">
              <w:rPr>
                <w:b/>
                <w:color w:val="FFFFFF" w:themeColor="background1"/>
                <w:sz w:val="20"/>
                <w:szCs w:val="20"/>
              </w:rPr>
              <w:lastRenderedPageBreak/>
              <w:t xml:space="preserve">Стоимость нагрузочных </w:t>
            </w:r>
            <w:r w:rsidRPr="004761E0">
              <w:rPr>
                <w:b/>
                <w:color w:val="FFFFFF" w:themeColor="background1"/>
                <w:sz w:val="20"/>
                <w:szCs w:val="20"/>
              </w:rPr>
              <w:lastRenderedPageBreak/>
              <w:t>потерь</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center"/>
              <w:rPr>
                <w:b/>
                <w:color w:val="FFFFFF" w:themeColor="background1"/>
                <w:sz w:val="20"/>
                <w:szCs w:val="20"/>
              </w:rPr>
            </w:pPr>
            <w:r w:rsidRPr="004761E0">
              <w:rPr>
                <w:b/>
                <w:color w:val="FFFFFF" w:themeColor="background1"/>
                <w:sz w:val="20"/>
                <w:szCs w:val="20"/>
              </w:rPr>
              <w:lastRenderedPageBreak/>
              <w:t xml:space="preserve">Полезный отпуск </w:t>
            </w:r>
            <w:r w:rsidRPr="004761E0">
              <w:rPr>
                <w:b/>
                <w:color w:val="FFFFFF" w:themeColor="background1"/>
                <w:sz w:val="20"/>
                <w:szCs w:val="20"/>
              </w:rPr>
              <w:lastRenderedPageBreak/>
              <w:t>«котловой»</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4A4CF1" w:rsidRPr="004761E0" w:rsidRDefault="004A4CF1" w:rsidP="00D64744">
            <w:pPr>
              <w:ind w:firstLine="0"/>
              <w:jc w:val="center"/>
              <w:rPr>
                <w:b/>
                <w:color w:val="FFFFFF" w:themeColor="background1"/>
                <w:sz w:val="20"/>
                <w:szCs w:val="20"/>
              </w:rPr>
            </w:pPr>
            <w:r w:rsidRPr="004761E0">
              <w:rPr>
                <w:b/>
                <w:color w:val="FFFFFF" w:themeColor="background1"/>
                <w:sz w:val="20"/>
                <w:szCs w:val="20"/>
              </w:rPr>
              <w:lastRenderedPageBreak/>
              <w:t>Средний тариф</w:t>
            </w:r>
          </w:p>
        </w:tc>
        <w:tc>
          <w:tcPr>
            <w:tcW w:w="1134" w:type="dxa"/>
            <w:vMerge/>
            <w:tcBorders>
              <w:left w:val="single" w:sz="4" w:space="0" w:color="FFFFFF" w:themeColor="background1"/>
              <w:bottom w:val="single" w:sz="4" w:space="0" w:color="FFFFFF" w:themeColor="background1"/>
            </w:tcBorders>
            <w:shd w:val="clear" w:color="auto" w:fill="0F243E" w:themeFill="text2" w:themeFillShade="80"/>
            <w:vAlign w:val="center"/>
          </w:tcPr>
          <w:p w:rsidR="004A4CF1" w:rsidRPr="004761E0" w:rsidRDefault="004A4CF1" w:rsidP="00D64744">
            <w:pPr>
              <w:ind w:firstLine="0"/>
              <w:jc w:val="right"/>
              <w:rPr>
                <w:rFonts w:eastAsia="Times New Roman"/>
                <w:b/>
                <w:color w:val="FFFFFF" w:themeColor="background1"/>
                <w:sz w:val="20"/>
                <w:szCs w:val="20"/>
                <w:lang w:eastAsia="ru-RU"/>
              </w:rPr>
            </w:pPr>
          </w:p>
        </w:tc>
      </w:tr>
      <w:tr w:rsidR="004A4CF1" w:rsidRPr="004761E0" w:rsidTr="00867958">
        <w:trPr>
          <w:trHeight w:val="510"/>
        </w:trPr>
        <w:tc>
          <w:tcPr>
            <w:tcW w:w="709" w:type="dxa"/>
            <w:vMerge/>
            <w:tcBorders>
              <w:top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left"/>
              <w:rPr>
                <w:rFonts w:eastAsia="Times New Roman"/>
                <w:b/>
                <w:color w:val="FFFFFF" w:themeColor="background1"/>
                <w:sz w:val="20"/>
                <w:szCs w:val="20"/>
                <w:lang w:eastAsia="ru-RU"/>
              </w:rPr>
            </w:pPr>
          </w:p>
        </w:tc>
        <w:tc>
          <w:tcPr>
            <w:tcW w:w="2570" w:type="dxa"/>
            <w:vMerge/>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left"/>
              <w:rPr>
                <w:rFonts w:eastAsia="Times New Roman"/>
                <w:b/>
                <w:color w:val="FFFFFF" w:themeColor="background1"/>
                <w:sz w:val="20"/>
                <w:szCs w:val="20"/>
                <w:lang w:eastAsia="ru-RU"/>
              </w:rPr>
            </w:pPr>
          </w:p>
        </w:tc>
        <w:tc>
          <w:tcPr>
            <w:tcW w:w="3242"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center"/>
              <w:rPr>
                <w:b/>
                <w:color w:val="FFFFFF" w:themeColor="background1"/>
                <w:sz w:val="20"/>
                <w:szCs w:val="20"/>
              </w:rPr>
            </w:pPr>
            <w:r w:rsidRPr="004761E0">
              <w:rPr>
                <w:b/>
                <w:color w:val="FFFFFF" w:themeColor="background1"/>
                <w:sz w:val="20"/>
                <w:szCs w:val="20"/>
              </w:rPr>
              <w:t>млн руб. без НДС</w:t>
            </w:r>
          </w:p>
        </w:tc>
        <w:tc>
          <w:tcPr>
            <w:tcW w:w="1559"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center"/>
              <w:rPr>
                <w:b/>
                <w:color w:val="FFFFFF" w:themeColor="background1"/>
                <w:sz w:val="20"/>
                <w:szCs w:val="20"/>
              </w:rPr>
            </w:pPr>
            <w:r w:rsidRPr="004761E0">
              <w:rPr>
                <w:b/>
                <w:color w:val="FFFFFF" w:themeColor="background1"/>
                <w:sz w:val="20"/>
                <w:szCs w:val="20"/>
              </w:rPr>
              <w:t>млн кВтч</w:t>
            </w:r>
          </w:p>
        </w:tc>
        <w:tc>
          <w:tcPr>
            <w:tcW w:w="1276"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center"/>
              <w:rPr>
                <w:b/>
                <w:color w:val="FFFFFF" w:themeColor="background1"/>
                <w:sz w:val="20"/>
                <w:szCs w:val="20"/>
              </w:rPr>
            </w:pPr>
            <w:r w:rsidRPr="004761E0">
              <w:rPr>
                <w:b/>
                <w:color w:val="FFFFFF" w:themeColor="background1"/>
                <w:sz w:val="20"/>
                <w:szCs w:val="20"/>
              </w:rPr>
              <w:t>коп/кВтч без НДС</w:t>
            </w:r>
          </w:p>
        </w:tc>
        <w:tc>
          <w:tcPr>
            <w:tcW w:w="1559"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center"/>
              <w:rPr>
                <w:b/>
                <w:color w:val="FFFFFF" w:themeColor="background1"/>
                <w:sz w:val="20"/>
                <w:szCs w:val="20"/>
              </w:rPr>
            </w:pPr>
            <w:r w:rsidRPr="004761E0">
              <w:rPr>
                <w:b/>
                <w:color w:val="FFFFFF" w:themeColor="background1"/>
                <w:sz w:val="20"/>
                <w:szCs w:val="20"/>
              </w:rPr>
              <w:t>млн руб. без НДС</w:t>
            </w:r>
          </w:p>
        </w:tc>
        <w:tc>
          <w:tcPr>
            <w:tcW w:w="1418"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center"/>
              <w:rPr>
                <w:b/>
                <w:color w:val="FFFFFF" w:themeColor="background1"/>
                <w:sz w:val="20"/>
                <w:szCs w:val="20"/>
              </w:rPr>
            </w:pPr>
            <w:r w:rsidRPr="004761E0">
              <w:rPr>
                <w:b/>
                <w:color w:val="FFFFFF" w:themeColor="background1"/>
                <w:sz w:val="20"/>
                <w:szCs w:val="20"/>
              </w:rPr>
              <w:t>млн руб. без НДС</w:t>
            </w:r>
          </w:p>
        </w:tc>
        <w:tc>
          <w:tcPr>
            <w:tcW w:w="1276"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hideMark/>
          </w:tcPr>
          <w:p w:rsidR="004A4CF1" w:rsidRPr="004761E0" w:rsidRDefault="004A4CF1" w:rsidP="00D64744">
            <w:pPr>
              <w:ind w:firstLine="0"/>
              <w:jc w:val="center"/>
              <w:rPr>
                <w:b/>
                <w:color w:val="FFFFFF" w:themeColor="background1"/>
                <w:sz w:val="20"/>
                <w:szCs w:val="20"/>
              </w:rPr>
            </w:pPr>
            <w:r w:rsidRPr="004761E0">
              <w:rPr>
                <w:b/>
                <w:color w:val="FFFFFF" w:themeColor="background1"/>
                <w:sz w:val="20"/>
                <w:szCs w:val="20"/>
              </w:rPr>
              <w:t>млн кВтч</w:t>
            </w:r>
          </w:p>
        </w:tc>
        <w:tc>
          <w:tcPr>
            <w:tcW w:w="1417"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rsidR="004A4CF1" w:rsidRPr="004761E0" w:rsidRDefault="004A4CF1" w:rsidP="00D64744">
            <w:pPr>
              <w:ind w:firstLine="0"/>
              <w:jc w:val="center"/>
              <w:rPr>
                <w:b/>
                <w:color w:val="FFFFFF" w:themeColor="background1"/>
                <w:sz w:val="20"/>
                <w:szCs w:val="20"/>
              </w:rPr>
            </w:pPr>
            <w:r w:rsidRPr="004761E0">
              <w:rPr>
                <w:b/>
                <w:color w:val="FFFFFF" w:themeColor="background1"/>
                <w:sz w:val="20"/>
                <w:szCs w:val="20"/>
              </w:rPr>
              <w:t xml:space="preserve">коп/кВтч </w:t>
            </w:r>
          </w:p>
          <w:p w:rsidR="004A4CF1" w:rsidRPr="004761E0" w:rsidRDefault="004A4CF1" w:rsidP="00D64744">
            <w:pPr>
              <w:ind w:firstLine="0"/>
              <w:jc w:val="center"/>
              <w:rPr>
                <w:b/>
                <w:color w:val="FFFFFF" w:themeColor="background1"/>
                <w:sz w:val="20"/>
                <w:szCs w:val="20"/>
              </w:rPr>
            </w:pPr>
            <w:r w:rsidRPr="004761E0">
              <w:rPr>
                <w:b/>
                <w:color w:val="FFFFFF" w:themeColor="background1"/>
                <w:sz w:val="20"/>
                <w:szCs w:val="20"/>
              </w:rPr>
              <w:t>без НДС</w:t>
            </w:r>
          </w:p>
        </w:tc>
        <w:tc>
          <w:tcPr>
            <w:tcW w:w="1134" w:type="dxa"/>
            <w:tcBorders>
              <w:top w:val="single" w:sz="4" w:space="0" w:color="FFFFFF" w:themeColor="background1"/>
              <w:left w:val="single" w:sz="4" w:space="0" w:color="FFFFFF" w:themeColor="background1"/>
            </w:tcBorders>
            <w:shd w:val="clear" w:color="auto" w:fill="0F243E" w:themeFill="text2" w:themeFillShade="80"/>
            <w:vAlign w:val="center"/>
          </w:tcPr>
          <w:p w:rsidR="004A4CF1" w:rsidRPr="004761E0" w:rsidRDefault="004A4CF1" w:rsidP="00D64744">
            <w:pPr>
              <w:ind w:firstLine="0"/>
              <w:jc w:val="center"/>
              <w:rPr>
                <w:b/>
                <w:color w:val="FFFFFF" w:themeColor="background1"/>
                <w:sz w:val="20"/>
                <w:szCs w:val="20"/>
              </w:rPr>
            </w:pPr>
            <w:r w:rsidRPr="004761E0">
              <w:rPr>
                <w:b/>
                <w:color w:val="FFFFFF" w:themeColor="background1"/>
                <w:sz w:val="20"/>
                <w:szCs w:val="20"/>
              </w:rPr>
              <w:t>%</w:t>
            </w:r>
          </w:p>
        </w:tc>
      </w:tr>
      <w:tr w:rsidR="004A4CF1" w:rsidRPr="004761E0" w:rsidTr="00867958">
        <w:trPr>
          <w:trHeight w:val="300"/>
        </w:trPr>
        <w:tc>
          <w:tcPr>
            <w:tcW w:w="709" w:type="dxa"/>
            <w:tcBorders>
              <w:left w:val="single" w:sz="4" w:space="0" w:color="auto"/>
              <w:bottom w:val="single" w:sz="4" w:space="0" w:color="auto"/>
              <w:right w:val="single" w:sz="4" w:space="0" w:color="auto"/>
            </w:tcBorders>
            <w:shd w:val="clear" w:color="auto" w:fill="auto"/>
            <w:vAlign w:val="center"/>
            <w:hideMark/>
          </w:tcPr>
          <w:p w:rsidR="004A4CF1" w:rsidRPr="004761E0" w:rsidRDefault="004A4CF1" w:rsidP="007076A7">
            <w:pPr>
              <w:pStyle w:val="a5"/>
              <w:numPr>
                <w:ilvl w:val="0"/>
                <w:numId w:val="287"/>
              </w:numPr>
              <w:ind w:left="34" w:firstLine="0"/>
              <w:jc w:val="left"/>
              <w:rPr>
                <w:rFonts w:eastAsia="Times New Roman"/>
                <w:color w:val="000000"/>
                <w:sz w:val="20"/>
                <w:szCs w:val="20"/>
                <w:lang w:eastAsia="ru-RU"/>
              </w:rPr>
            </w:pPr>
          </w:p>
        </w:tc>
        <w:tc>
          <w:tcPr>
            <w:tcW w:w="2570" w:type="dxa"/>
            <w:tcBorders>
              <w:left w:val="nil"/>
              <w:bottom w:val="single" w:sz="4" w:space="0" w:color="auto"/>
              <w:right w:val="single" w:sz="4" w:space="0" w:color="auto"/>
            </w:tcBorders>
            <w:shd w:val="clear" w:color="auto" w:fill="auto"/>
            <w:vAlign w:val="center"/>
            <w:hideMark/>
          </w:tcPr>
          <w:p w:rsidR="004A4CF1" w:rsidRPr="004761E0" w:rsidRDefault="004A4CF1" w:rsidP="00D64744">
            <w:pPr>
              <w:ind w:firstLine="0"/>
              <w:jc w:val="left"/>
              <w:rPr>
                <w:rFonts w:eastAsia="Times New Roman"/>
                <w:color w:val="000000"/>
                <w:sz w:val="20"/>
                <w:szCs w:val="20"/>
                <w:lang w:eastAsia="ru-RU"/>
              </w:rPr>
            </w:pPr>
            <w:r w:rsidRPr="004761E0">
              <w:rPr>
                <w:rFonts w:eastAsia="Times New Roman"/>
                <w:color w:val="000000"/>
                <w:sz w:val="20"/>
                <w:szCs w:val="20"/>
                <w:lang w:eastAsia="ru-RU"/>
              </w:rPr>
              <w:t>По Обществу (всего), в т.ч.:</w:t>
            </w:r>
          </w:p>
        </w:tc>
        <w:tc>
          <w:tcPr>
            <w:tcW w:w="3242" w:type="dxa"/>
            <w:tcBorders>
              <w:left w:val="nil"/>
              <w:bottom w:val="single" w:sz="4" w:space="0" w:color="auto"/>
              <w:right w:val="single" w:sz="4" w:space="0" w:color="auto"/>
            </w:tcBorders>
            <w:shd w:val="clear" w:color="000000" w:fill="D9D9D9"/>
            <w:vAlign w:val="center"/>
            <w:hideMark/>
          </w:tcPr>
          <w:p w:rsidR="004A4CF1" w:rsidRPr="004761E0" w:rsidRDefault="004A4CF1" w:rsidP="00D64744">
            <w:pPr>
              <w:ind w:firstLine="0"/>
              <w:jc w:val="right"/>
              <w:rPr>
                <w:color w:val="000000"/>
                <w:sz w:val="20"/>
                <w:szCs w:val="20"/>
              </w:rPr>
            </w:pPr>
            <w:r w:rsidRPr="004761E0">
              <w:rPr>
                <w:color w:val="000000"/>
                <w:sz w:val="20"/>
                <w:szCs w:val="20"/>
              </w:rPr>
              <w:t>111 460</w:t>
            </w:r>
          </w:p>
        </w:tc>
        <w:tc>
          <w:tcPr>
            <w:tcW w:w="1559" w:type="dxa"/>
            <w:tcBorders>
              <w:left w:val="nil"/>
              <w:bottom w:val="single" w:sz="4" w:space="0" w:color="auto"/>
              <w:right w:val="single" w:sz="4" w:space="0" w:color="auto"/>
            </w:tcBorders>
            <w:shd w:val="clear" w:color="000000" w:fill="D9D9D9"/>
            <w:vAlign w:val="center"/>
            <w:hideMark/>
          </w:tcPr>
          <w:p w:rsidR="004A4CF1" w:rsidRPr="004761E0" w:rsidRDefault="004A4CF1" w:rsidP="00D64744">
            <w:pPr>
              <w:ind w:firstLine="0"/>
              <w:jc w:val="right"/>
              <w:rPr>
                <w:color w:val="000000"/>
                <w:sz w:val="20"/>
                <w:szCs w:val="20"/>
              </w:rPr>
            </w:pPr>
            <w:r w:rsidRPr="004761E0">
              <w:rPr>
                <w:color w:val="000000"/>
                <w:sz w:val="20"/>
                <w:szCs w:val="20"/>
              </w:rPr>
              <w:t>69 627</w:t>
            </w:r>
          </w:p>
        </w:tc>
        <w:tc>
          <w:tcPr>
            <w:tcW w:w="1276" w:type="dxa"/>
            <w:tcBorders>
              <w:left w:val="nil"/>
              <w:bottom w:val="single" w:sz="4" w:space="0" w:color="auto"/>
              <w:right w:val="single" w:sz="4" w:space="0" w:color="auto"/>
            </w:tcBorders>
            <w:shd w:val="clear" w:color="000000" w:fill="D9D9D9"/>
            <w:vAlign w:val="center"/>
            <w:hideMark/>
          </w:tcPr>
          <w:p w:rsidR="004A4CF1" w:rsidRPr="004761E0" w:rsidRDefault="004A4CF1" w:rsidP="00D64744">
            <w:pPr>
              <w:ind w:firstLine="0"/>
              <w:jc w:val="right"/>
              <w:rPr>
                <w:color w:val="000000"/>
                <w:sz w:val="20"/>
                <w:szCs w:val="20"/>
              </w:rPr>
            </w:pPr>
            <w:r w:rsidRPr="004761E0">
              <w:rPr>
                <w:color w:val="000000"/>
                <w:sz w:val="20"/>
                <w:szCs w:val="20"/>
              </w:rPr>
              <w:t>160,08</w:t>
            </w:r>
          </w:p>
        </w:tc>
        <w:tc>
          <w:tcPr>
            <w:tcW w:w="1559" w:type="dxa"/>
            <w:tcBorders>
              <w:left w:val="nil"/>
              <w:bottom w:val="single" w:sz="4" w:space="0" w:color="auto"/>
              <w:right w:val="single" w:sz="4" w:space="0" w:color="auto"/>
            </w:tcBorders>
            <w:shd w:val="clear" w:color="auto" w:fill="FFFFFF" w:themeFill="background1"/>
            <w:vAlign w:val="center"/>
            <w:hideMark/>
          </w:tcPr>
          <w:p w:rsidR="004A4CF1" w:rsidRPr="004761E0" w:rsidRDefault="004A4CF1" w:rsidP="00D64744">
            <w:pPr>
              <w:ind w:firstLine="0"/>
              <w:jc w:val="right"/>
              <w:rPr>
                <w:color w:val="000000"/>
                <w:sz w:val="20"/>
                <w:szCs w:val="20"/>
              </w:rPr>
            </w:pPr>
            <w:r w:rsidRPr="004761E0">
              <w:rPr>
                <w:color w:val="000000"/>
                <w:sz w:val="20"/>
                <w:szCs w:val="20"/>
              </w:rPr>
              <w:t>114 081</w:t>
            </w:r>
          </w:p>
        </w:tc>
        <w:tc>
          <w:tcPr>
            <w:tcW w:w="1418" w:type="dxa"/>
            <w:tcBorders>
              <w:left w:val="nil"/>
              <w:bottom w:val="single" w:sz="4" w:space="0" w:color="auto"/>
              <w:right w:val="single" w:sz="4" w:space="0" w:color="auto"/>
            </w:tcBorders>
            <w:shd w:val="clear" w:color="000000" w:fill="FFFFFF"/>
            <w:vAlign w:val="center"/>
            <w:hideMark/>
          </w:tcPr>
          <w:p w:rsidR="004A4CF1" w:rsidRPr="004761E0" w:rsidRDefault="004A4CF1" w:rsidP="00D64744">
            <w:pPr>
              <w:ind w:firstLine="0"/>
              <w:jc w:val="right"/>
              <w:rPr>
                <w:color w:val="000000"/>
                <w:sz w:val="20"/>
                <w:szCs w:val="20"/>
              </w:rPr>
            </w:pPr>
            <w:r w:rsidRPr="004761E0">
              <w:rPr>
                <w:color w:val="000000"/>
                <w:sz w:val="20"/>
                <w:szCs w:val="20"/>
              </w:rPr>
              <w:t>3 101</w:t>
            </w:r>
          </w:p>
        </w:tc>
        <w:tc>
          <w:tcPr>
            <w:tcW w:w="1276" w:type="dxa"/>
            <w:tcBorders>
              <w:left w:val="nil"/>
              <w:bottom w:val="single" w:sz="4" w:space="0" w:color="auto"/>
              <w:right w:val="single" w:sz="4" w:space="0" w:color="auto"/>
            </w:tcBorders>
            <w:shd w:val="clear" w:color="000000" w:fill="FFFFFF"/>
            <w:vAlign w:val="center"/>
            <w:hideMark/>
          </w:tcPr>
          <w:p w:rsidR="004A4CF1" w:rsidRPr="004761E0" w:rsidRDefault="004A4CF1" w:rsidP="00D64744">
            <w:pPr>
              <w:ind w:firstLine="0"/>
              <w:jc w:val="right"/>
              <w:rPr>
                <w:color w:val="000000"/>
                <w:sz w:val="20"/>
                <w:szCs w:val="20"/>
              </w:rPr>
            </w:pPr>
            <w:r w:rsidRPr="004761E0">
              <w:rPr>
                <w:color w:val="000000"/>
                <w:sz w:val="20"/>
                <w:szCs w:val="20"/>
              </w:rPr>
              <w:t>71 412</w:t>
            </w:r>
          </w:p>
        </w:tc>
        <w:tc>
          <w:tcPr>
            <w:tcW w:w="1417" w:type="dxa"/>
            <w:tcBorders>
              <w:left w:val="single" w:sz="4" w:space="0" w:color="auto"/>
              <w:bottom w:val="single" w:sz="4" w:space="0" w:color="auto"/>
              <w:right w:val="single" w:sz="4" w:space="0" w:color="auto"/>
            </w:tcBorders>
            <w:vAlign w:val="center"/>
          </w:tcPr>
          <w:p w:rsidR="004A4CF1" w:rsidRPr="004761E0" w:rsidRDefault="004A4CF1" w:rsidP="00D64744">
            <w:pPr>
              <w:ind w:firstLine="0"/>
              <w:jc w:val="right"/>
              <w:rPr>
                <w:color w:val="000000"/>
                <w:sz w:val="20"/>
                <w:szCs w:val="20"/>
              </w:rPr>
            </w:pPr>
            <w:r w:rsidRPr="004761E0">
              <w:rPr>
                <w:color w:val="000000"/>
                <w:sz w:val="20"/>
                <w:szCs w:val="20"/>
              </w:rPr>
              <w:t>159,7</w:t>
            </w:r>
          </w:p>
        </w:tc>
        <w:tc>
          <w:tcPr>
            <w:tcW w:w="1134" w:type="dxa"/>
            <w:tcBorders>
              <w:left w:val="single" w:sz="4" w:space="0" w:color="auto"/>
              <w:bottom w:val="single" w:sz="4" w:space="0" w:color="auto"/>
              <w:right w:val="single" w:sz="4" w:space="0" w:color="auto"/>
            </w:tcBorders>
            <w:vAlign w:val="center"/>
          </w:tcPr>
          <w:p w:rsidR="004A4CF1" w:rsidRPr="004761E0" w:rsidRDefault="004A4CF1" w:rsidP="00D64744">
            <w:pPr>
              <w:ind w:firstLine="0"/>
              <w:jc w:val="right"/>
              <w:rPr>
                <w:color w:val="000000"/>
                <w:sz w:val="20"/>
                <w:szCs w:val="20"/>
              </w:rPr>
            </w:pPr>
            <w:r w:rsidRPr="004761E0">
              <w:rPr>
                <w:color w:val="000000"/>
                <w:sz w:val="20"/>
                <w:szCs w:val="20"/>
              </w:rPr>
              <w:t>2,35</w:t>
            </w:r>
          </w:p>
        </w:tc>
      </w:tr>
      <w:tr w:rsidR="004A4CF1" w:rsidRPr="004761E0" w:rsidTr="00867958">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4CF1" w:rsidRPr="004761E0" w:rsidRDefault="004A4CF1" w:rsidP="007076A7">
            <w:pPr>
              <w:pStyle w:val="a5"/>
              <w:numPr>
                <w:ilvl w:val="1"/>
                <w:numId w:val="91"/>
              </w:numPr>
              <w:jc w:val="left"/>
              <w:rPr>
                <w:rFonts w:eastAsia="Times New Roman"/>
                <w:color w:val="000000"/>
                <w:sz w:val="20"/>
                <w:szCs w:val="20"/>
                <w:lang w:eastAsia="ru-RU"/>
              </w:rPr>
            </w:pPr>
          </w:p>
        </w:tc>
        <w:tc>
          <w:tcPr>
            <w:tcW w:w="2570" w:type="dxa"/>
            <w:tcBorders>
              <w:top w:val="single" w:sz="4" w:space="0" w:color="auto"/>
              <w:left w:val="nil"/>
              <w:bottom w:val="single" w:sz="4" w:space="0" w:color="auto"/>
              <w:right w:val="single" w:sz="4" w:space="0" w:color="auto"/>
            </w:tcBorders>
            <w:shd w:val="clear" w:color="auto" w:fill="auto"/>
            <w:vAlign w:val="center"/>
            <w:hideMark/>
          </w:tcPr>
          <w:p w:rsidR="004A4CF1" w:rsidRPr="004761E0" w:rsidRDefault="004A4CF1" w:rsidP="00D64744">
            <w:pPr>
              <w:ind w:firstLineChars="124" w:firstLine="248"/>
              <w:jc w:val="left"/>
              <w:rPr>
                <w:rFonts w:eastAsia="Times New Roman"/>
                <w:color w:val="000000"/>
                <w:sz w:val="20"/>
                <w:szCs w:val="20"/>
                <w:lang w:eastAsia="ru-RU"/>
              </w:rPr>
            </w:pPr>
            <w:r w:rsidRPr="004761E0">
              <w:rPr>
                <w:rFonts w:eastAsia="Times New Roman"/>
                <w:color w:val="000000"/>
                <w:sz w:val="20"/>
                <w:szCs w:val="20"/>
                <w:lang w:eastAsia="ru-RU"/>
              </w:rPr>
              <w:t>по г. Москве</w:t>
            </w:r>
          </w:p>
        </w:tc>
        <w:tc>
          <w:tcPr>
            <w:tcW w:w="3242" w:type="dxa"/>
            <w:tcBorders>
              <w:top w:val="single" w:sz="4" w:space="0" w:color="auto"/>
              <w:left w:val="nil"/>
              <w:bottom w:val="single" w:sz="4" w:space="0" w:color="auto"/>
              <w:right w:val="single" w:sz="4" w:space="0" w:color="auto"/>
            </w:tcBorders>
            <w:shd w:val="clear" w:color="000000" w:fill="D9D9D9"/>
            <w:vAlign w:val="center"/>
            <w:hideMark/>
          </w:tcPr>
          <w:p w:rsidR="004A4CF1" w:rsidRPr="004761E0" w:rsidRDefault="004A4CF1" w:rsidP="00D64744">
            <w:pPr>
              <w:ind w:firstLine="0"/>
              <w:jc w:val="right"/>
              <w:rPr>
                <w:color w:val="000000"/>
                <w:sz w:val="20"/>
                <w:szCs w:val="20"/>
              </w:rPr>
            </w:pPr>
            <w:r w:rsidRPr="004761E0">
              <w:rPr>
                <w:color w:val="000000"/>
                <w:sz w:val="20"/>
                <w:szCs w:val="20"/>
              </w:rPr>
              <w:t>55 611</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4A4CF1" w:rsidRPr="004761E0" w:rsidRDefault="004A4CF1" w:rsidP="00D64744">
            <w:pPr>
              <w:ind w:firstLine="0"/>
              <w:jc w:val="right"/>
              <w:rPr>
                <w:color w:val="000000"/>
                <w:sz w:val="20"/>
                <w:szCs w:val="20"/>
              </w:rPr>
            </w:pPr>
            <w:r w:rsidRPr="004761E0">
              <w:rPr>
                <w:color w:val="000000"/>
                <w:sz w:val="20"/>
                <w:szCs w:val="20"/>
              </w:rPr>
              <w:t>33 958</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4A4CF1" w:rsidRPr="004761E0" w:rsidRDefault="004A4CF1" w:rsidP="00D64744">
            <w:pPr>
              <w:ind w:firstLine="0"/>
              <w:jc w:val="right"/>
              <w:rPr>
                <w:color w:val="000000"/>
                <w:sz w:val="20"/>
                <w:szCs w:val="20"/>
              </w:rPr>
            </w:pPr>
            <w:r w:rsidRPr="004761E0">
              <w:rPr>
                <w:color w:val="000000"/>
                <w:sz w:val="20"/>
                <w:szCs w:val="20"/>
              </w:rPr>
              <w:t>163,76</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rsidR="004A4CF1" w:rsidRPr="004761E0" w:rsidRDefault="004A4CF1" w:rsidP="00D64744">
            <w:pPr>
              <w:ind w:firstLine="0"/>
              <w:jc w:val="right"/>
              <w:rPr>
                <w:color w:val="000000"/>
                <w:sz w:val="20"/>
                <w:szCs w:val="20"/>
              </w:rPr>
            </w:pPr>
            <w:r w:rsidRPr="004761E0">
              <w:rPr>
                <w:color w:val="000000"/>
                <w:sz w:val="20"/>
                <w:szCs w:val="20"/>
              </w:rPr>
              <w:t>56 474</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4A4CF1" w:rsidRPr="004761E0" w:rsidRDefault="004A4CF1" w:rsidP="00D64744">
            <w:pPr>
              <w:ind w:firstLine="0"/>
              <w:jc w:val="right"/>
              <w:rPr>
                <w:color w:val="000000"/>
                <w:sz w:val="20"/>
                <w:szCs w:val="20"/>
              </w:rPr>
            </w:pPr>
            <w:r w:rsidRPr="004761E0">
              <w:rPr>
                <w:color w:val="000000"/>
                <w:sz w:val="20"/>
                <w:szCs w:val="20"/>
              </w:rPr>
              <w:t>1 500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4A4CF1" w:rsidRPr="004761E0" w:rsidRDefault="004A4CF1" w:rsidP="00D64744">
            <w:pPr>
              <w:ind w:firstLine="0"/>
              <w:jc w:val="right"/>
              <w:rPr>
                <w:color w:val="000000"/>
                <w:sz w:val="20"/>
                <w:szCs w:val="20"/>
              </w:rPr>
            </w:pPr>
            <w:r w:rsidRPr="004761E0">
              <w:rPr>
                <w:color w:val="000000"/>
                <w:sz w:val="20"/>
                <w:szCs w:val="20"/>
              </w:rPr>
              <w:t>34 675</w:t>
            </w:r>
          </w:p>
        </w:tc>
        <w:tc>
          <w:tcPr>
            <w:tcW w:w="1417" w:type="dxa"/>
            <w:tcBorders>
              <w:top w:val="single" w:sz="4" w:space="0" w:color="auto"/>
              <w:left w:val="single" w:sz="4" w:space="0" w:color="auto"/>
              <w:bottom w:val="single" w:sz="4" w:space="0" w:color="auto"/>
              <w:right w:val="single" w:sz="4" w:space="0" w:color="auto"/>
            </w:tcBorders>
            <w:vAlign w:val="center"/>
          </w:tcPr>
          <w:p w:rsidR="004A4CF1" w:rsidRPr="004761E0" w:rsidRDefault="004A4CF1" w:rsidP="00D64744">
            <w:pPr>
              <w:ind w:firstLine="0"/>
              <w:jc w:val="right"/>
              <w:rPr>
                <w:color w:val="000000"/>
                <w:sz w:val="20"/>
                <w:szCs w:val="20"/>
              </w:rPr>
            </w:pPr>
            <w:r w:rsidRPr="004761E0">
              <w:rPr>
                <w:color w:val="000000"/>
                <w:sz w:val="20"/>
                <w:szCs w:val="20"/>
              </w:rPr>
              <w:t>162,9</w:t>
            </w:r>
          </w:p>
        </w:tc>
        <w:tc>
          <w:tcPr>
            <w:tcW w:w="1134" w:type="dxa"/>
            <w:tcBorders>
              <w:top w:val="single" w:sz="4" w:space="0" w:color="auto"/>
              <w:left w:val="single" w:sz="4" w:space="0" w:color="auto"/>
              <w:bottom w:val="single" w:sz="4" w:space="0" w:color="auto"/>
              <w:right w:val="single" w:sz="4" w:space="0" w:color="auto"/>
            </w:tcBorders>
            <w:vAlign w:val="center"/>
          </w:tcPr>
          <w:p w:rsidR="004A4CF1" w:rsidRPr="004761E0" w:rsidRDefault="004A4CF1" w:rsidP="00D64744">
            <w:pPr>
              <w:ind w:firstLine="0"/>
              <w:jc w:val="right"/>
              <w:rPr>
                <w:color w:val="000000"/>
                <w:sz w:val="20"/>
                <w:szCs w:val="20"/>
              </w:rPr>
            </w:pPr>
            <w:r w:rsidRPr="004761E0">
              <w:rPr>
                <w:color w:val="000000"/>
                <w:sz w:val="20"/>
                <w:szCs w:val="20"/>
              </w:rPr>
              <w:t>1,55</w:t>
            </w:r>
          </w:p>
        </w:tc>
      </w:tr>
      <w:tr w:rsidR="004A4CF1" w:rsidRPr="004761E0" w:rsidTr="00867958">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4CF1" w:rsidRPr="004761E0" w:rsidRDefault="004A4CF1" w:rsidP="007076A7">
            <w:pPr>
              <w:pStyle w:val="a5"/>
              <w:numPr>
                <w:ilvl w:val="1"/>
                <w:numId w:val="91"/>
              </w:numPr>
              <w:ind w:left="0" w:firstLine="0"/>
              <w:jc w:val="left"/>
              <w:rPr>
                <w:rFonts w:eastAsia="Times New Roman"/>
                <w:color w:val="000000"/>
                <w:sz w:val="20"/>
                <w:szCs w:val="20"/>
                <w:lang w:eastAsia="ru-RU"/>
              </w:rPr>
            </w:pPr>
          </w:p>
        </w:tc>
        <w:tc>
          <w:tcPr>
            <w:tcW w:w="2570" w:type="dxa"/>
            <w:tcBorders>
              <w:top w:val="single" w:sz="4" w:space="0" w:color="auto"/>
              <w:left w:val="nil"/>
              <w:bottom w:val="single" w:sz="4" w:space="0" w:color="auto"/>
              <w:right w:val="single" w:sz="4" w:space="0" w:color="auto"/>
            </w:tcBorders>
            <w:shd w:val="clear" w:color="auto" w:fill="auto"/>
            <w:vAlign w:val="center"/>
            <w:hideMark/>
          </w:tcPr>
          <w:p w:rsidR="004A4CF1" w:rsidRPr="004761E0" w:rsidRDefault="004A4CF1" w:rsidP="00D64744">
            <w:pPr>
              <w:ind w:firstLineChars="124" w:firstLine="248"/>
              <w:jc w:val="left"/>
              <w:rPr>
                <w:rFonts w:eastAsia="Times New Roman"/>
                <w:color w:val="000000"/>
                <w:sz w:val="20"/>
                <w:szCs w:val="20"/>
                <w:lang w:eastAsia="ru-RU"/>
              </w:rPr>
            </w:pPr>
            <w:r w:rsidRPr="004761E0">
              <w:rPr>
                <w:rFonts w:eastAsia="Times New Roman"/>
                <w:color w:val="000000"/>
                <w:sz w:val="20"/>
                <w:szCs w:val="20"/>
                <w:lang w:eastAsia="ru-RU"/>
              </w:rPr>
              <w:t>по Московской области</w:t>
            </w:r>
          </w:p>
        </w:tc>
        <w:tc>
          <w:tcPr>
            <w:tcW w:w="3242" w:type="dxa"/>
            <w:tcBorders>
              <w:top w:val="single" w:sz="4" w:space="0" w:color="auto"/>
              <w:left w:val="nil"/>
              <w:bottom w:val="single" w:sz="4" w:space="0" w:color="auto"/>
              <w:right w:val="single" w:sz="4" w:space="0" w:color="auto"/>
            </w:tcBorders>
            <w:shd w:val="clear" w:color="000000" w:fill="D9D9D9"/>
            <w:vAlign w:val="center"/>
            <w:hideMark/>
          </w:tcPr>
          <w:p w:rsidR="004A4CF1" w:rsidRPr="004761E0" w:rsidRDefault="004A4CF1" w:rsidP="00D64744">
            <w:pPr>
              <w:ind w:firstLine="0"/>
              <w:jc w:val="right"/>
              <w:rPr>
                <w:color w:val="000000"/>
                <w:sz w:val="20"/>
                <w:szCs w:val="20"/>
              </w:rPr>
            </w:pPr>
            <w:r w:rsidRPr="004761E0">
              <w:rPr>
                <w:color w:val="000000"/>
                <w:sz w:val="20"/>
                <w:szCs w:val="20"/>
              </w:rPr>
              <w:t>55 849</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4A4CF1" w:rsidRPr="004761E0" w:rsidRDefault="004A4CF1" w:rsidP="00D64744">
            <w:pPr>
              <w:ind w:firstLine="0"/>
              <w:jc w:val="right"/>
              <w:rPr>
                <w:color w:val="000000"/>
                <w:sz w:val="20"/>
                <w:szCs w:val="20"/>
              </w:rPr>
            </w:pPr>
            <w:r w:rsidRPr="004761E0">
              <w:rPr>
                <w:color w:val="000000"/>
                <w:sz w:val="20"/>
                <w:szCs w:val="20"/>
              </w:rPr>
              <w:t>35 669</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4A4CF1" w:rsidRPr="004761E0" w:rsidRDefault="004A4CF1" w:rsidP="00D64744">
            <w:pPr>
              <w:ind w:firstLine="0"/>
              <w:jc w:val="right"/>
              <w:rPr>
                <w:color w:val="000000"/>
                <w:sz w:val="20"/>
                <w:szCs w:val="20"/>
              </w:rPr>
            </w:pPr>
            <w:r w:rsidRPr="004761E0">
              <w:rPr>
                <w:color w:val="000000"/>
                <w:sz w:val="20"/>
                <w:szCs w:val="20"/>
              </w:rPr>
              <w:t>156,58</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rsidR="004A4CF1" w:rsidRPr="004761E0" w:rsidRDefault="004A4CF1" w:rsidP="00D64744">
            <w:pPr>
              <w:ind w:firstLine="0"/>
              <w:jc w:val="right"/>
              <w:rPr>
                <w:color w:val="000000"/>
                <w:sz w:val="20"/>
                <w:szCs w:val="20"/>
              </w:rPr>
            </w:pPr>
            <w:r w:rsidRPr="004761E0">
              <w:rPr>
                <w:color w:val="000000"/>
                <w:sz w:val="20"/>
                <w:szCs w:val="20"/>
              </w:rPr>
              <w:t>57 608</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4A4CF1" w:rsidRPr="004761E0" w:rsidRDefault="004A4CF1" w:rsidP="00D64744">
            <w:pPr>
              <w:ind w:firstLine="0"/>
              <w:jc w:val="right"/>
              <w:rPr>
                <w:color w:val="000000"/>
                <w:sz w:val="20"/>
                <w:szCs w:val="20"/>
              </w:rPr>
            </w:pPr>
            <w:r w:rsidRPr="004761E0">
              <w:rPr>
                <w:color w:val="000000"/>
                <w:sz w:val="20"/>
                <w:szCs w:val="20"/>
              </w:rPr>
              <w:t>1 601</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4A4CF1" w:rsidRPr="004761E0" w:rsidRDefault="004A4CF1" w:rsidP="00D64744">
            <w:pPr>
              <w:ind w:firstLine="0"/>
              <w:jc w:val="right"/>
              <w:rPr>
                <w:color w:val="000000"/>
                <w:sz w:val="20"/>
                <w:szCs w:val="20"/>
              </w:rPr>
            </w:pPr>
            <w:r w:rsidRPr="004761E0">
              <w:rPr>
                <w:color w:val="000000"/>
                <w:sz w:val="20"/>
                <w:szCs w:val="20"/>
              </w:rPr>
              <w:t>36 737</w:t>
            </w:r>
          </w:p>
        </w:tc>
        <w:tc>
          <w:tcPr>
            <w:tcW w:w="1417" w:type="dxa"/>
            <w:tcBorders>
              <w:top w:val="single" w:sz="4" w:space="0" w:color="auto"/>
              <w:left w:val="single" w:sz="4" w:space="0" w:color="auto"/>
              <w:bottom w:val="single" w:sz="4" w:space="0" w:color="auto"/>
              <w:right w:val="single" w:sz="4" w:space="0" w:color="auto"/>
            </w:tcBorders>
            <w:vAlign w:val="center"/>
          </w:tcPr>
          <w:p w:rsidR="004A4CF1" w:rsidRPr="004761E0" w:rsidRDefault="004A4CF1" w:rsidP="00D64744">
            <w:pPr>
              <w:ind w:firstLine="0"/>
              <w:jc w:val="right"/>
              <w:rPr>
                <w:color w:val="000000"/>
                <w:sz w:val="20"/>
                <w:szCs w:val="20"/>
              </w:rPr>
            </w:pPr>
            <w:r w:rsidRPr="004761E0">
              <w:rPr>
                <w:color w:val="000000"/>
                <w:sz w:val="20"/>
                <w:szCs w:val="20"/>
              </w:rPr>
              <w:t>156,8</w:t>
            </w:r>
          </w:p>
        </w:tc>
        <w:tc>
          <w:tcPr>
            <w:tcW w:w="1134" w:type="dxa"/>
            <w:tcBorders>
              <w:top w:val="single" w:sz="4" w:space="0" w:color="auto"/>
              <w:left w:val="single" w:sz="4" w:space="0" w:color="auto"/>
              <w:bottom w:val="single" w:sz="4" w:space="0" w:color="auto"/>
              <w:right w:val="single" w:sz="4" w:space="0" w:color="auto"/>
            </w:tcBorders>
            <w:vAlign w:val="center"/>
          </w:tcPr>
          <w:p w:rsidR="004A4CF1" w:rsidRPr="004761E0" w:rsidRDefault="004A4CF1" w:rsidP="00D64744">
            <w:pPr>
              <w:ind w:firstLine="0"/>
              <w:jc w:val="right"/>
              <w:rPr>
                <w:color w:val="000000"/>
                <w:sz w:val="20"/>
                <w:szCs w:val="20"/>
              </w:rPr>
            </w:pPr>
            <w:r w:rsidRPr="004761E0">
              <w:rPr>
                <w:color w:val="000000"/>
                <w:sz w:val="20"/>
                <w:szCs w:val="20"/>
              </w:rPr>
              <w:t>3,15</w:t>
            </w:r>
          </w:p>
        </w:tc>
      </w:tr>
    </w:tbl>
    <w:p w:rsidR="00F749E9" w:rsidRPr="00D95123" w:rsidRDefault="00F749E9" w:rsidP="00D95123">
      <w:pPr>
        <w:tabs>
          <w:tab w:val="left" w:pos="426"/>
        </w:tabs>
        <w:spacing w:before="120" w:after="120"/>
        <w:ind w:firstLine="567"/>
        <w:rPr>
          <w:b/>
          <w:sz w:val="26"/>
          <w:szCs w:val="26"/>
        </w:rPr>
      </w:pPr>
      <w:r w:rsidRPr="00D95123">
        <w:rPr>
          <w:b/>
          <w:sz w:val="26"/>
          <w:szCs w:val="26"/>
        </w:rPr>
        <w:t>Структура себестоимости по статьям затрат</w:t>
      </w:r>
    </w:p>
    <w:tbl>
      <w:tblPr>
        <w:tblW w:w="15011" w:type="dxa"/>
        <w:tblInd w:w="95" w:type="dxa"/>
        <w:tblLook w:val="04A0"/>
      </w:tblPr>
      <w:tblGrid>
        <w:gridCol w:w="580"/>
        <w:gridCol w:w="6651"/>
        <w:gridCol w:w="850"/>
        <w:gridCol w:w="851"/>
        <w:gridCol w:w="992"/>
        <w:gridCol w:w="1136"/>
        <w:gridCol w:w="992"/>
        <w:gridCol w:w="992"/>
        <w:gridCol w:w="851"/>
        <w:gridCol w:w="1116"/>
      </w:tblGrid>
      <w:tr w:rsidR="00337FBA" w:rsidRPr="004761E0" w:rsidTr="00337FBA">
        <w:trPr>
          <w:trHeight w:val="164"/>
        </w:trPr>
        <w:tc>
          <w:tcPr>
            <w:tcW w:w="580" w:type="dxa"/>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0F243E" w:themeFill="text2" w:themeFillShade="80"/>
            <w:vAlign w:val="center"/>
            <w:hideMark/>
          </w:tcPr>
          <w:p w:rsidR="00337FBA" w:rsidRPr="004761E0" w:rsidRDefault="00337FBA" w:rsidP="00533F89">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6651"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337FBA" w:rsidRPr="004761E0" w:rsidRDefault="00337FBA" w:rsidP="00533F89">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3829"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337FBA" w:rsidRPr="004761E0" w:rsidRDefault="00337FBA" w:rsidP="00533F89">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г. Москва</w:t>
            </w:r>
          </w:p>
        </w:tc>
        <w:tc>
          <w:tcPr>
            <w:tcW w:w="3951" w:type="dxa"/>
            <w:gridSpan w:val="4"/>
            <w:tcBorders>
              <w:top w:val="single" w:sz="4" w:space="0" w:color="auto"/>
              <w:left w:val="single" w:sz="4" w:space="0" w:color="FFFFFF" w:themeColor="background1"/>
              <w:bottom w:val="single" w:sz="4" w:space="0" w:color="FFFFFF" w:themeColor="background1"/>
              <w:right w:val="single" w:sz="4" w:space="0" w:color="auto"/>
            </w:tcBorders>
            <w:shd w:val="clear" w:color="auto" w:fill="0F243E" w:themeFill="text2" w:themeFillShade="80"/>
            <w:vAlign w:val="center"/>
            <w:hideMark/>
          </w:tcPr>
          <w:p w:rsidR="00337FBA" w:rsidRPr="004761E0" w:rsidRDefault="00337FBA" w:rsidP="00533F89">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Московская область</w:t>
            </w:r>
          </w:p>
        </w:tc>
      </w:tr>
      <w:tr w:rsidR="00337FBA" w:rsidRPr="004761E0" w:rsidTr="00337FBA">
        <w:trPr>
          <w:trHeight w:val="164"/>
        </w:trPr>
        <w:tc>
          <w:tcPr>
            <w:tcW w:w="580" w:type="dxa"/>
            <w:vMerge/>
            <w:tcBorders>
              <w:top w:val="single" w:sz="4" w:space="0" w:color="FFFFFF" w:themeColor="background1"/>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337FBA" w:rsidRPr="004761E0" w:rsidRDefault="00337FBA" w:rsidP="00533F89">
            <w:pPr>
              <w:rPr>
                <w:rFonts w:eastAsia="Times New Roman"/>
                <w:b/>
                <w:color w:val="FFFFFF" w:themeColor="background1"/>
                <w:sz w:val="20"/>
                <w:szCs w:val="20"/>
                <w:lang w:eastAsia="ru-RU"/>
              </w:rPr>
            </w:pPr>
          </w:p>
        </w:tc>
        <w:tc>
          <w:tcPr>
            <w:tcW w:w="6651"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37FBA" w:rsidRPr="004761E0" w:rsidRDefault="00337FBA" w:rsidP="00533F89">
            <w:pPr>
              <w:rPr>
                <w:rFonts w:eastAsia="Times New Roman"/>
                <w:b/>
                <w:color w:val="FFFFFF" w:themeColor="background1"/>
                <w:sz w:val="20"/>
                <w:szCs w:val="20"/>
                <w:lang w:eastAsia="ru-RU"/>
              </w:rPr>
            </w:pP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37FBA" w:rsidRPr="004761E0" w:rsidRDefault="00337FBA" w:rsidP="00533F8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37FBA" w:rsidRPr="004761E0" w:rsidRDefault="00337FBA" w:rsidP="00533F8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37FBA" w:rsidRPr="004761E0" w:rsidRDefault="00337FBA" w:rsidP="00533F8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37FBA" w:rsidRPr="004761E0" w:rsidRDefault="00337FBA" w:rsidP="00533F8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37FBA" w:rsidRPr="004761E0" w:rsidRDefault="00337FBA" w:rsidP="00533F8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37FBA" w:rsidRPr="004761E0" w:rsidRDefault="00337FBA" w:rsidP="00533F8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337FBA" w:rsidRPr="004761E0" w:rsidRDefault="00337FBA" w:rsidP="00533F8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16"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337FBA" w:rsidRPr="004761E0" w:rsidRDefault="00337FBA" w:rsidP="00533F8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337FBA" w:rsidRPr="004761E0" w:rsidTr="00337FBA">
        <w:trPr>
          <w:trHeight w:val="164"/>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7076A7">
            <w:pPr>
              <w:pStyle w:val="a5"/>
              <w:numPr>
                <w:ilvl w:val="0"/>
                <w:numId w:val="205"/>
              </w:numPr>
              <w:jc w:val="left"/>
              <w:rPr>
                <w:rFonts w:eastAsia="Times New Roman"/>
                <w:b/>
                <w:bCs/>
                <w:sz w:val="20"/>
                <w:szCs w:val="20"/>
                <w:lang w:eastAsia="ru-RU"/>
              </w:rPr>
            </w:pP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533F89">
            <w:pPr>
              <w:ind w:firstLine="0"/>
              <w:rPr>
                <w:rFonts w:eastAsia="Times New Roman"/>
                <w:b/>
                <w:sz w:val="20"/>
                <w:szCs w:val="20"/>
                <w:lang w:eastAsia="ru-RU"/>
              </w:rPr>
            </w:pPr>
            <w:r w:rsidRPr="004761E0">
              <w:rPr>
                <w:rFonts w:eastAsia="Times New Roman"/>
                <w:b/>
                <w:sz w:val="20"/>
                <w:szCs w:val="20"/>
                <w:lang w:eastAsia="ru-RU"/>
              </w:rPr>
              <w:t>Себестоимость, млн руб. без НДС (всего), в т.ч.:</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49 889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43 008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49 733</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15,64 %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51 213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49 297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53 290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color w:val="000000"/>
                <w:sz w:val="20"/>
                <w:szCs w:val="20"/>
              </w:rPr>
            </w:pPr>
            <w:r w:rsidRPr="004761E0">
              <w:rPr>
                <w:color w:val="000000"/>
                <w:sz w:val="20"/>
                <w:szCs w:val="20"/>
              </w:rPr>
              <w:t>8,10 %</w:t>
            </w:r>
          </w:p>
        </w:tc>
      </w:tr>
      <w:tr w:rsidR="00337FBA" w:rsidRPr="004761E0" w:rsidTr="00337FBA">
        <w:trPr>
          <w:trHeight w:val="164"/>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7076A7">
            <w:pPr>
              <w:pStyle w:val="a5"/>
              <w:numPr>
                <w:ilvl w:val="1"/>
                <w:numId w:val="205"/>
              </w:numPr>
              <w:jc w:val="left"/>
              <w:rPr>
                <w:rFonts w:eastAsia="Times New Roman"/>
                <w:bCs/>
                <w:sz w:val="20"/>
                <w:szCs w:val="20"/>
                <w:lang w:eastAsia="ru-RU"/>
              </w:rPr>
            </w:pP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533F89">
            <w:pPr>
              <w:ind w:firstLine="0"/>
              <w:rPr>
                <w:rFonts w:eastAsia="Times New Roman"/>
                <w:sz w:val="20"/>
                <w:szCs w:val="20"/>
                <w:lang w:eastAsia="ru-RU"/>
              </w:rPr>
            </w:pPr>
            <w:r w:rsidRPr="004761E0">
              <w:rPr>
                <w:rFonts w:eastAsia="Times New Roman"/>
                <w:sz w:val="20"/>
                <w:szCs w:val="20"/>
                <w:lang w:eastAsia="ru-RU"/>
              </w:rPr>
              <w:t>Условно неподконтрольные затраты (всего), в т.ч.:</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32 269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25 918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32 692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26,14 %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37 058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36 332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39 709</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color w:val="000000"/>
                <w:sz w:val="20"/>
                <w:szCs w:val="20"/>
              </w:rPr>
            </w:pPr>
            <w:r w:rsidRPr="004761E0">
              <w:rPr>
                <w:color w:val="000000"/>
                <w:sz w:val="20"/>
                <w:szCs w:val="20"/>
              </w:rPr>
              <w:t>9,29 %</w:t>
            </w:r>
          </w:p>
        </w:tc>
      </w:tr>
      <w:tr w:rsidR="00337FBA" w:rsidRPr="004761E0" w:rsidTr="00337FBA">
        <w:trPr>
          <w:trHeight w:val="164"/>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7076A7">
            <w:pPr>
              <w:pStyle w:val="a5"/>
              <w:numPr>
                <w:ilvl w:val="2"/>
                <w:numId w:val="205"/>
              </w:numPr>
              <w:jc w:val="left"/>
              <w:rPr>
                <w:rFonts w:eastAsia="Times New Roman"/>
                <w:bCs/>
                <w:sz w:val="20"/>
                <w:szCs w:val="20"/>
                <w:lang w:eastAsia="ru-RU"/>
              </w:rPr>
            </w:pP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533F89">
            <w:pPr>
              <w:ind w:left="460" w:firstLine="0"/>
              <w:rPr>
                <w:rFonts w:eastAsia="Times New Roman"/>
                <w:sz w:val="20"/>
                <w:szCs w:val="20"/>
                <w:lang w:eastAsia="ru-RU"/>
              </w:rPr>
            </w:pPr>
            <w:r w:rsidRPr="004761E0">
              <w:rPr>
                <w:rFonts w:eastAsia="Times New Roman"/>
                <w:sz w:val="20"/>
                <w:szCs w:val="20"/>
                <w:lang w:eastAsia="ru-RU"/>
              </w:rPr>
              <w:t>покупная электроэнергия на компенсацию потерь</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6 652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5 861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6 175</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5,36 %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6 386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5 625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5 661</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color w:val="000000"/>
                <w:sz w:val="20"/>
                <w:szCs w:val="20"/>
              </w:rPr>
            </w:pPr>
            <w:r w:rsidRPr="004761E0">
              <w:rPr>
                <w:color w:val="000000"/>
                <w:sz w:val="20"/>
                <w:szCs w:val="20"/>
              </w:rPr>
              <w:t>0,64 %</w:t>
            </w:r>
          </w:p>
        </w:tc>
      </w:tr>
      <w:tr w:rsidR="00337FBA" w:rsidRPr="004761E0" w:rsidTr="00337FBA">
        <w:trPr>
          <w:trHeight w:val="164"/>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7076A7">
            <w:pPr>
              <w:pStyle w:val="a5"/>
              <w:numPr>
                <w:ilvl w:val="2"/>
                <w:numId w:val="205"/>
              </w:numPr>
              <w:jc w:val="left"/>
              <w:rPr>
                <w:rFonts w:eastAsia="Times New Roman"/>
                <w:bCs/>
                <w:sz w:val="20"/>
                <w:szCs w:val="20"/>
                <w:lang w:eastAsia="ru-RU"/>
              </w:rPr>
            </w:pP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533F89">
            <w:pPr>
              <w:ind w:left="460" w:firstLine="0"/>
              <w:rPr>
                <w:rFonts w:eastAsia="Times New Roman"/>
                <w:sz w:val="20"/>
                <w:szCs w:val="20"/>
                <w:lang w:eastAsia="ru-RU"/>
              </w:rPr>
            </w:pPr>
            <w:r w:rsidRPr="004761E0">
              <w:rPr>
                <w:rFonts w:eastAsia="Times New Roman"/>
                <w:sz w:val="20"/>
                <w:szCs w:val="20"/>
                <w:lang w:eastAsia="ru-RU"/>
              </w:rPr>
              <w:t xml:space="preserve">услуги </w:t>
            </w:r>
            <w:r w:rsidR="0008080E">
              <w:rPr>
                <w:rFonts w:eastAsia="Times New Roman"/>
                <w:sz w:val="20"/>
                <w:szCs w:val="20"/>
                <w:lang w:eastAsia="ru-RU"/>
              </w:rPr>
              <w:t>ОАО </w:t>
            </w:r>
            <w:r w:rsidRPr="004761E0">
              <w:rPr>
                <w:rFonts w:eastAsia="Times New Roman"/>
                <w:sz w:val="20"/>
                <w:szCs w:val="20"/>
                <w:lang w:eastAsia="ru-RU"/>
              </w:rPr>
              <w:t>«ФСК ЕЭС»</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3 040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4 035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4 630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14,75 %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7 986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8 237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8 900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color w:val="000000"/>
                <w:sz w:val="20"/>
                <w:szCs w:val="20"/>
              </w:rPr>
            </w:pPr>
            <w:r w:rsidRPr="004761E0">
              <w:rPr>
                <w:color w:val="000000"/>
                <w:sz w:val="20"/>
                <w:szCs w:val="20"/>
              </w:rPr>
              <w:t>8,05 %</w:t>
            </w:r>
          </w:p>
        </w:tc>
      </w:tr>
      <w:tr w:rsidR="00337FBA" w:rsidRPr="004761E0" w:rsidTr="00337FBA">
        <w:trPr>
          <w:trHeight w:val="164"/>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7076A7">
            <w:pPr>
              <w:pStyle w:val="a5"/>
              <w:numPr>
                <w:ilvl w:val="2"/>
                <w:numId w:val="205"/>
              </w:numPr>
              <w:jc w:val="left"/>
              <w:rPr>
                <w:rFonts w:eastAsia="Times New Roman"/>
                <w:bCs/>
                <w:sz w:val="20"/>
                <w:szCs w:val="20"/>
                <w:lang w:eastAsia="ru-RU"/>
              </w:rPr>
            </w:pP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533F89">
            <w:pPr>
              <w:ind w:left="460" w:firstLine="0"/>
              <w:rPr>
                <w:rFonts w:eastAsia="Times New Roman"/>
                <w:sz w:val="20"/>
                <w:szCs w:val="20"/>
                <w:lang w:eastAsia="ru-RU"/>
              </w:rPr>
            </w:pPr>
            <w:r w:rsidRPr="004761E0">
              <w:rPr>
                <w:rFonts w:eastAsia="Times New Roman"/>
                <w:sz w:val="20"/>
                <w:szCs w:val="20"/>
                <w:lang w:eastAsia="ru-RU"/>
              </w:rPr>
              <w:t>услуги распределительных сетевых компаний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14 497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6 723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11 262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67,51 %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15 570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15 089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17 036</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color w:val="000000"/>
                <w:sz w:val="20"/>
                <w:szCs w:val="20"/>
              </w:rPr>
            </w:pPr>
            <w:r w:rsidRPr="004761E0">
              <w:rPr>
                <w:color w:val="000000"/>
                <w:sz w:val="20"/>
                <w:szCs w:val="20"/>
              </w:rPr>
              <w:t>12,90 %</w:t>
            </w:r>
          </w:p>
        </w:tc>
      </w:tr>
      <w:tr w:rsidR="00337FBA" w:rsidRPr="004761E0" w:rsidTr="00337FBA">
        <w:trPr>
          <w:trHeight w:val="164"/>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7076A7">
            <w:pPr>
              <w:pStyle w:val="a5"/>
              <w:numPr>
                <w:ilvl w:val="2"/>
                <w:numId w:val="205"/>
              </w:numPr>
              <w:jc w:val="left"/>
              <w:rPr>
                <w:rFonts w:eastAsia="Times New Roman"/>
                <w:bCs/>
                <w:sz w:val="20"/>
                <w:szCs w:val="20"/>
                <w:lang w:eastAsia="ru-RU"/>
              </w:rPr>
            </w:pP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533F89">
            <w:pPr>
              <w:ind w:left="460" w:firstLine="0"/>
              <w:rPr>
                <w:rFonts w:eastAsia="Times New Roman"/>
                <w:sz w:val="20"/>
                <w:szCs w:val="20"/>
                <w:lang w:eastAsia="ru-RU"/>
              </w:rPr>
            </w:pPr>
            <w:r w:rsidRPr="004761E0">
              <w:rPr>
                <w:rFonts w:eastAsia="Times New Roman"/>
                <w:sz w:val="20"/>
                <w:szCs w:val="20"/>
                <w:lang w:eastAsia="ru-RU"/>
              </w:rPr>
              <w:t>амортизация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8 081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9 299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10 624</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14,25 %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7 115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7 381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8 112</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color w:val="000000"/>
                <w:sz w:val="20"/>
                <w:szCs w:val="20"/>
              </w:rPr>
            </w:pPr>
            <w:r w:rsidRPr="004761E0">
              <w:rPr>
                <w:color w:val="000000"/>
                <w:sz w:val="20"/>
                <w:szCs w:val="20"/>
              </w:rPr>
              <w:t>9,90 %</w:t>
            </w:r>
          </w:p>
        </w:tc>
      </w:tr>
      <w:tr w:rsidR="00337FBA" w:rsidRPr="004761E0" w:rsidTr="00337FBA">
        <w:trPr>
          <w:trHeight w:val="164"/>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7076A7">
            <w:pPr>
              <w:pStyle w:val="a5"/>
              <w:numPr>
                <w:ilvl w:val="1"/>
                <w:numId w:val="205"/>
              </w:numPr>
              <w:jc w:val="left"/>
              <w:rPr>
                <w:rFonts w:eastAsia="Times New Roman"/>
                <w:bCs/>
                <w:sz w:val="20"/>
                <w:szCs w:val="20"/>
                <w:lang w:eastAsia="ru-RU"/>
              </w:rPr>
            </w:pP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533F89">
            <w:pPr>
              <w:ind w:firstLine="0"/>
              <w:rPr>
                <w:rFonts w:eastAsia="Times New Roman"/>
                <w:sz w:val="20"/>
                <w:szCs w:val="20"/>
                <w:lang w:eastAsia="ru-RU"/>
              </w:rPr>
            </w:pPr>
            <w:r w:rsidRPr="004761E0">
              <w:rPr>
                <w:rFonts w:eastAsia="Times New Roman"/>
                <w:sz w:val="20"/>
                <w:szCs w:val="20"/>
                <w:lang w:eastAsia="ru-RU"/>
              </w:rPr>
              <w:t>Подконтрольные затраты (всего), в т.ч.:</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17 620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17 090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17 041</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-0,29 %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14 155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12 965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13 581</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color w:val="000000"/>
                <w:sz w:val="20"/>
                <w:szCs w:val="20"/>
              </w:rPr>
            </w:pPr>
            <w:r w:rsidRPr="004761E0">
              <w:rPr>
                <w:color w:val="000000"/>
                <w:sz w:val="20"/>
                <w:szCs w:val="20"/>
              </w:rPr>
              <w:t>4,75 %</w:t>
            </w:r>
          </w:p>
        </w:tc>
      </w:tr>
      <w:tr w:rsidR="00337FBA" w:rsidRPr="004761E0" w:rsidTr="00337FBA">
        <w:trPr>
          <w:trHeight w:val="164"/>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7076A7">
            <w:pPr>
              <w:pStyle w:val="a5"/>
              <w:numPr>
                <w:ilvl w:val="2"/>
                <w:numId w:val="205"/>
              </w:numPr>
              <w:jc w:val="left"/>
              <w:rPr>
                <w:rFonts w:eastAsia="Times New Roman"/>
                <w:bCs/>
                <w:sz w:val="20"/>
                <w:szCs w:val="20"/>
                <w:lang w:eastAsia="ru-RU"/>
              </w:rPr>
            </w:pP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533F89">
            <w:pPr>
              <w:ind w:left="460" w:firstLine="0"/>
              <w:rPr>
                <w:rFonts w:eastAsia="Times New Roman"/>
                <w:sz w:val="20"/>
                <w:szCs w:val="20"/>
                <w:lang w:eastAsia="ru-RU"/>
              </w:rPr>
            </w:pPr>
            <w:r w:rsidRPr="004761E0">
              <w:rPr>
                <w:rFonts w:eastAsia="Times New Roman"/>
                <w:sz w:val="20"/>
                <w:szCs w:val="20"/>
                <w:lang w:eastAsia="ru-RU"/>
              </w:rPr>
              <w:t>затраты на персонал (оплата труда, страховые взносы, НПФ)</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6 956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7 130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7 895</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10,73 %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7 031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6 278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6 986</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color w:val="000000"/>
                <w:sz w:val="20"/>
                <w:szCs w:val="20"/>
              </w:rPr>
            </w:pPr>
            <w:r w:rsidRPr="004761E0">
              <w:rPr>
                <w:color w:val="000000"/>
                <w:sz w:val="20"/>
                <w:szCs w:val="20"/>
              </w:rPr>
              <w:t>11,28 %</w:t>
            </w:r>
          </w:p>
        </w:tc>
      </w:tr>
      <w:tr w:rsidR="00337FBA" w:rsidRPr="004761E0" w:rsidTr="00337FBA">
        <w:trPr>
          <w:trHeight w:val="164"/>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7076A7">
            <w:pPr>
              <w:pStyle w:val="a5"/>
              <w:numPr>
                <w:ilvl w:val="2"/>
                <w:numId w:val="205"/>
              </w:numPr>
              <w:jc w:val="left"/>
              <w:rPr>
                <w:rFonts w:eastAsia="Times New Roman"/>
                <w:bCs/>
                <w:sz w:val="20"/>
                <w:szCs w:val="20"/>
                <w:lang w:eastAsia="ru-RU"/>
              </w:rPr>
            </w:pP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533F89">
            <w:pPr>
              <w:ind w:left="460" w:firstLine="0"/>
              <w:rPr>
                <w:rFonts w:eastAsia="Times New Roman"/>
                <w:sz w:val="20"/>
                <w:szCs w:val="20"/>
                <w:lang w:eastAsia="ru-RU"/>
              </w:rPr>
            </w:pPr>
            <w:r w:rsidRPr="004761E0">
              <w:rPr>
                <w:rFonts w:eastAsia="Times New Roman"/>
                <w:sz w:val="20"/>
                <w:szCs w:val="20"/>
                <w:lang w:eastAsia="ru-RU"/>
              </w:rPr>
              <w:t>ремонтное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2 288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2 499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2 635</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5,44 %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2 928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2 447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2 698</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color w:val="000000"/>
                <w:sz w:val="20"/>
                <w:szCs w:val="20"/>
              </w:rPr>
            </w:pPr>
            <w:r w:rsidRPr="004761E0">
              <w:rPr>
                <w:color w:val="000000"/>
                <w:sz w:val="20"/>
                <w:szCs w:val="20"/>
              </w:rPr>
              <w:t>10,26 %</w:t>
            </w:r>
          </w:p>
        </w:tc>
      </w:tr>
      <w:tr w:rsidR="00337FBA" w:rsidRPr="004761E0" w:rsidTr="00337FBA">
        <w:trPr>
          <w:trHeight w:val="164"/>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7076A7">
            <w:pPr>
              <w:pStyle w:val="a5"/>
              <w:numPr>
                <w:ilvl w:val="2"/>
                <w:numId w:val="205"/>
              </w:numPr>
              <w:jc w:val="left"/>
              <w:rPr>
                <w:rFonts w:eastAsia="Times New Roman"/>
                <w:bCs/>
                <w:sz w:val="20"/>
                <w:szCs w:val="20"/>
                <w:lang w:eastAsia="ru-RU"/>
              </w:rPr>
            </w:pP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533F89">
            <w:pPr>
              <w:ind w:left="460" w:firstLine="0"/>
              <w:rPr>
                <w:rFonts w:eastAsia="Times New Roman"/>
                <w:sz w:val="20"/>
                <w:szCs w:val="20"/>
                <w:lang w:eastAsia="ru-RU"/>
              </w:rPr>
            </w:pPr>
            <w:r w:rsidRPr="004761E0">
              <w:rPr>
                <w:rFonts w:eastAsia="Times New Roman"/>
                <w:sz w:val="20"/>
                <w:szCs w:val="20"/>
                <w:lang w:eastAsia="ru-RU"/>
              </w:rPr>
              <w:t>лизинговые платежи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3 493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3 046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2 105</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-30,89 %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450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168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64</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color w:val="000000"/>
                <w:sz w:val="20"/>
                <w:szCs w:val="20"/>
              </w:rPr>
            </w:pPr>
            <w:r w:rsidRPr="004761E0">
              <w:rPr>
                <w:color w:val="000000"/>
                <w:sz w:val="20"/>
                <w:szCs w:val="20"/>
              </w:rPr>
              <w:t>-61,90 %</w:t>
            </w:r>
          </w:p>
        </w:tc>
      </w:tr>
      <w:tr w:rsidR="00337FBA" w:rsidRPr="004761E0" w:rsidTr="00337FBA">
        <w:trPr>
          <w:trHeight w:val="164"/>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7076A7">
            <w:pPr>
              <w:pStyle w:val="a5"/>
              <w:numPr>
                <w:ilvl w:val="2"/>
                <w:numId w:val="205"/>
              </w:numPr>
              <w:jc w:val="left"/>
              <w:rPr>
                <w:rFonts w:eastAsia="Times New Roman"/>
                <w:bCs/>
                <w:sz w:val="20"/>
                <w:szCs w:val="20"/>
                <w:lang w:eastAsia="ru-RU"/>
              </w:rPr>
            </w:pP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533F89">
            <w:pPr>
              <w:ind w:left="460" w:firstLine="0"/>
              <w:rPr>
                <w:rFonts w:eastAsia="Times New Roman"/>
                <w:sz w:val="20"/>
                <w:szCs w:val="20"/>
                <w:lang w:eastAsia="ru-RU"/>
              </w:rPr>
            </w:pPr>
            <w:r w:rsidRPr="004761E0">
              <w:rPr>
                <w:rFonts w:eastAsia="Times New Roman"/>
                <w:sz w:val="20"/>
                <w:szCs w:val="20"/>
                <w:lang w:eastAsia="ru-RU"/>
              </w:rPr>
              <w:t>ИТ-затраты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167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233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212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-9,01 %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185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168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155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color w:val="000000"/>
                <w:sz w:val="20"/>
                <w:szCs w:val="20"/>
              </w:rPr>
            </w:pPr>
            <w:r w:rsidRPr="004761E0">
              <w:rPr>
                <w:color w:val="000000"/>
                <w:sz w:val="20"/>
                <w:szCs w:val="20"/>
              </w:rPr>
              <w:t>-7,74 %</w:t>
            </w:r>
          </w:p>
        </w:tc>
      </w:tr>
      <w:tr w:rsidR="00337FBA" w:rsidRPr="004761E0" w:rsidTr="00337FBA">
        <w:trPr>
          <w:trHeight w:val="164"/>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7076A7">
            <w:pPr>
              <w:pStyle w:val="a5"/>
              <w:numPr>
                <w:ilvl w:val="2"/>
                <w:numId w:val="205"/>
              </w:numPr>
              <w:jc w:val="left"/>
              <w:rPr>
                <w:rFonts w:eastAsia="Times New Roman"/>
                <w:bCs/>
                <w:sz w:val="20"/>
                <w:szCs w:val="20"/>
                <w:lang w:eastAsia="ru-RU"/>
              </w:rPr>
            </w:pP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533F89">
            <w:pPr>
              <w:ind w:left="460" w:firstLine="0"/>
              <w:rPr>
                <w:rFonts w:eastAsia="Times New Roman"/>
                <w:sz w:val="20"/>
                <w:szCs w:val="20"/>
                <w:lang w:eastAsia="ru-RU"/>
              </w:rPr>
            </w:pPr>
            <w:r w:rsidRPr="004761E0">
              <w:rPr>
                <w:rFonts w:eastAsia="Times New Roman"/>
                <w:sz w:val="20"/>
                <w:szCs w:val="20"/>
                <w:lang w:eastAsia="ru-RU"/>
              </w:rPr>
              <w:t>прочие расходы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4 718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4 183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4 195</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0,29 %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3 561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3 904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rFonts w:eastAsia="Times New Roman"/>
                <w:sz w:val="20"/>
                <w:szCs w:val="20"/>
                <w:lang w:eastAsia="ru-RU"/>
              </w:rPr>
            </w:pPr>
            <w:r w:rsidRPr="004761E0">
              <w:rPr>
                <w:rFonts w:eastAsia="Times New Roman"/>
                <w:sz w:val="20"/>
                <w:szCs w:val="20"/>
                <w:lang w:eastAsia="ru-RU"/>
              </w:rPr>
              <w:t>3 679</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37FBA" w:rsidRPr="004761E0" w:rsidRDefault="00337FBA" w:rsidP="00337FBA">
            <w:pPr>
              <w:ind w:firstLine="0"/>
              <w:jc w:val="right"/>
              <w:rPr>
                <w:color w:val="000000"/>
                <w:sz w:val="20"/>
                <w:szCs w:val="20"/>
              </w:rPr>
            </w:pPr>
            <w:r w:rsidRPr="004761E0">
              <w:rPr>
                <w:color w:val="000000"/>
                <w:sz w:val="20"/>
                <w:szCs w:val="20"/>
              </w:rPr>
              <w:t>-5,76 %</w:t>
            </w:r>
          </w:p>
        </w:tc>
      </w:tr>
    </w:tbl>
    <w:p w:rsidR="00F749E9" w:rsidRPr="004761E0" w:rsidRDefault="005E74B6" w:rsidP="007076A7">
      <w:pPr>
        <w:pStyle w:val="a8"/>
        <w:numPr>
          <w:ilvl w:val="0"/>
          <w:numId w:val="226"/>
        </w:numPr>
        <w:tabs>
          <w:tab w:val="left" w:pos="567"/>
          <w:tab w:val="left" w:pos="993"/>
        </w:tabs>
        <w:spacing w:before="120" w:after="120"/>
        <w:ind w:left="567" w:firstLine="0"/>
        <w:jc w:val="left"/>
        <w:rPr>
          <w:rFonts w:ascii="Times New Roman" w:hAnsi="Times New Roman"/>
          <w:b/>
          <w:sz w:val="26"/>
          <w:szCs w:val="26"/>
        </w:rPr>
      </w:pPr>
      <w:bookmarkStart w:id="154" w:name="_Toc385339863"/>
      <w:r>
        <w:rPr>
          <w:rFonts w:ascii="Times New Roman" w:hAnsi="Times New Roman"/>
          <w:b/>
          <w:sz w:val="26"/>
          <w:szCs w:val="26"/>
        </w:rPr>
        <w:t>И</w:t>
      </w:r>
      <w:r w:rsidR="00F749E9" w:rsidRPr="004761E0">
        <w:rPr>
          <w:rFonts w:ascii="Times New Roman" w:hAnsi="Times New Roman"/>
          <w:b/>
          <w:sz w:val="26"/>
          <w:szCs w:val="26"/>
        </w:rPr>
        <w:t>нвестиционн</w:t>
      </w:r>
      <w:r>
        <w:rPr>
          <w:rFonts w:ascii="Times New Roman" w:hAnsi="Times New Roman"/>
          <w:b/>
          <w:sz w:val="26"/>
          <w:szCs w:val="26"/>
        </w:rPr>
        <w:t>ая</w:t>
      </w:r>
      <w:r w:rsidR="00F749E9" w:rsidRPr="004761E0">
        <w:rPr>
          <w:rFonts w:ascii="Times New Roman" w:hAnsi="Times New Roman"/>
          <w:b/>
          <w:sz w:val="26"/>
          <w:szCs w:val="26"/>
        </w:rPr>
        <w:t xml:space="preserve"> деятельност</w:t>
      </w:r>
      <w:r>
        <w:rPr>
          <w:rFonts w:ascii="Times New Roman" w:hAnsi="Times New Roman"/>
          <w:b/>
          <w:sz w:val="26"/>
          <w:szCs w:val="26"/>
        </w:rPr>
        <w:t>ь</w:t>
      </w:r>
      <w:bookmarkEnd w:id="154"/>
    </w:p>
    <w:p w:rsidR="00012E87" w:rsidRPr="004761E0" w:rsidRDefault="00AB6245" w:rsidP="00D95123">
      <w:pPr>
        <w:tabs>
          <w:tab w:val="left" w:pos="426"/>
        </w:tabs>
        <w:spacing w:before="120" w:after="120"/>
        <w:ind w:firstLine="567"/>
        <w:rPr>
          <w:b/>
          <w:sz w:val="26"/>
          <w:szCs w:val="26"/>
        </w:rPr>
      </w:pPr>
      <w:r w:rsidRPr="004761E0">
        <w:rPr>
          <w:b/>
          <w:sz w:val="26"/>
          <w:szCs w:val="26"/>
        </w:rPr>
        <w:t>Стоимостные и физические параметры инвестиционной деятельности</w:t>
      </w:r>
    </w:p>
    <w:tbl>
      <w:tblPr>
        <w:tblW w:w="14969" w:type="dxa"/>
        <w:tblInd w:w="95" w:type="dxa"/>
        <w:tblLook w:val="04A0"/>
      </w:tblPr>
      <w:tblGrid>
        <w:gridCol w:w="579"/>
        <w:gridCol w:w="6655"/>
        <w:gridCol w:w="849"/>
        <w:gridCol w:w="850"/>
        <w:gridCol w:w="991"/>
        <w:gridCol w:w="1133"/>
        <w:gridCol w:w="991"/>
        <w:gridCol w:w="991"/>
        <w:gridCol w:w="850"/>
        <w:gridCol w:w="1080"/>
      </w:tblGrid>
      <w:tr w:rsidR="00012E87" w:rsidRPr="004761E0" w:rsidTr="00A20E78">
        <w:trPr>
          <w:trHeight w:val="241"/>
        </w:trPr>
        <w:tc>
          <w:tcPr>
            <w:tcW w:w="579" w:type="dxa"/>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0F243E" w:themeFill="text2" w:themeFillShade="80"/>
            <w:vAlign w:val="center"/>
            <w:hideMark/>
          </w:tcPr>
          <w:p w:rsidR="00012E87" w:rsidRPr="004761E0" w:rsidRDefault="00012E87" w:rsidP="00A20E78">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6655"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012E87" w:rsidRPr="004761E0" w:rsidRDefault="00012E87" w:rsidP="00A20E78">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3823"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012E87" w:rsidRPr="004761E0" w:rsidRDefault="00012E87" w:rsidP="00A20E78">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г. Москва</w:t>
            </w:r>
          </w:p>
        </w:tc>
        <w:tc>
          <w:tcPr>
            <w:tcW w:w="3912" w:type="dxa"/>
            <w:gridSpan w:val="4"/>
            <w:tcBorders>
              <w:top w:val="single" w:sz="4" w:space="0" w:color="auto"/>
              <w:left w:val="single" w:sz="4" w:space="0" w:color="FFFFFF" w:themeColor="background1"/>
              <w:bottom w:val="single" w:sz="4" w:space="0" w:color="FFFFFF" w:themeColor="background1"/>
              <w:right w:val="single" w:sz="4" w:space="0" w:color="auto"/>
            </w:tcBorders>
            <w:shd w:val="clear" w:color="auto" w:fill="0F243E" w:themeFill="text2" w:themeFillShade="80"/>
            <w:vAlign w:val="center"/>
            <w:hideMark/>
          </w:tcPr>
          <w:p w:rsidR="00012E87" w:rsidRPr="004761E0" w:rsidRDefault="00012E87" w:rsidP="00A20E78">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Московская область</w:t>
            </w:r>
          </w:p>
        </w:tc>
      </w:tr>
      <w:tr w:rsidR="00AB6245" w:rsidRPr="004761E0" w:rsidTr="00A20E78">
        <w:trPr>
          <w:trHeight w:val="241"/>
        </w:trPr>
        <w:tc>
          <w:tcPr>
            <w:tcW w:w="579" w:type="dxa"/>
            <w:vMerge/>
            <w:tcBorders>
              <w:top w:val="single" w:sz="4" w:space="0" w:color="FFFFFF" w:themeColor="background1"/>
              <w:left w:val="single" w:sz="4" w:space="0" w:color="auto"/>
              <w:bottom w:val="single" w:sz="4" w:space="0" w:color="000000"/>
              <w:right w:val="single" w:sz="4" w:space="0" w:color="FFFFFF" w:themeColor="background1"/>
            </w:tcBorders>
            <w:shd w:val="clear" w:color="auto" w:fill="0F243E" w:themeFill="text2" w:themeFillShade="80"/>
            <w:vAlign w:val="center"/>
            <w:hideMark/>
          </w:tcPr>
          <w:p w:rsidR="00012E87" w:rsidRPr="004761E0" w:rsidRDefault="00012E87" w:rsidP="00A20E78">
            <w:pPr>
              <w:rPr>
                <w:rFonts w:eastAsia="Times New Roman"/>
                <w:b/>
                <w:color w:val="FFFFFF" w:themeColor="background1"/>
                <w:sz w:val="20"/>
                <w:szCs w:val="20"/>
                <w:lang w:eastAsia="ru-RU"/>
              </w:rPr>
            </w:pPr>
          </w:p>
        </w:tc>
        <w:tc>
          <w:tcPr>
            <w:tcW w:w="6655" w:type="dxa"/>
            <w:vMerge/>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0F243E" w:themeFill="text2" w:themeFillShade="80"/>
            <w:vAlign w:val="center"/>
            <w:hideMark/>
          </w:tcPr>
          <w:p w:rsidR="00012E87" w:rsidRPr="004761E0" w:rsidRDefault="00012E87" w:rsidP="00A20E78">
            <w:pPr>
              <w:rPr>
                <w:rFonts w:eastAsia="Times New Roman"/>
                <w:b/>
                <w:color w:val="FFFFFF" w:themeColor="background1"/>
                <w:sz w:val="20"/>
                <w:szCs w:val="20"/>
                <w:lang w:eastAsia="ru-RU"/>
              </w:rPr>
            </w:pPr>
          </w:p>
        </w:tc>
        <w:tc>
          <w:tcPr>
            <w:tcW w:w="84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012E87" w:rsidRPr="004761E0" w:rsidRDefault="00012E87" w:rsidP="00A20E78">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012E87" w:rsidRPr="004761E0" w:rsidRDefault="00012E87" w:rsidP="00A20E78">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99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012E87" w:rsidRPr="004761E0" w:rsidRDefault="00012E87" w:rsidP="00A20E78">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012E87" w:rsidRPr="004761E0" w:rsidRDefault="00012E87" w:rsidP="00A20E78">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c>
          <w:tcPr>
            <w:tcW w:w="99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012E87" w:rsidRPr="004761E0" w:rsidRDefault="00012E87" w:rsidP="00A20E78">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99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012E87" w:rsidRPr="004761E0" w:rsidRDefault="00012E87" w:rsidP="00A20E78">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012E87" w:rsidRPr="004761E0" w:rsidRDefault="00012E87" w:rsidP="00A20E78">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080"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012E87" w:rsidRPr="004761E0" w:rsidRDefault="00012E87" w:rsidP="00A20E78">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AB6245" w:rsidRPr="004761E0" w:rsidTr="00A20E78">
        <w:trPr>
          <w:trHeight w:val="241"/>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C0652D" w:rsidRPr="004761E0" w:rsidRDefault="00C0652D" w:rsidP="007076A7">
            <w:pPr>
              <w:pStyle w:val="a5"/>
              <w:numPr>
                <w:ilvl w:val="0"/>
                <w:numId w:val="123"/>
              </w:numPr>
              <w:tabs>
                <w:tab w:val="left" w:pos="262"/>
              </w:tabs>
              <w:contextualSpacing w:val="0"/>
              <w:rPr>
                <w:rFonts w:eastAsia="Times New Roman"/>
                <w:color w:val="000000"/>
                <w:sz w:val="20"/>
                <w:szCs w:val="20"/>
                <w:lang w:eastAsia="ru-RU"/>
              </w:rPr>
            </w:pPr>
          </w:p>
        </w:tc>
        <w:tc>
          <w:tcPr>
            <w:tcW w:w="6655" w:type="dxa"/>
            <w:tcBorders>
              <w:top w:val="nil"/>
              <w:left w:val="nil"/>
              <w:bottom w:val="single" w:sz="4" w:space="0" w:color="auto"/>
              <w:right w:val="single" w:sz="4" w:space="0" w:color="auto"/>
            </w:tcBorders>
            <w:shd w:val="clear" w:color="auto" w:fill="auto"/>
            <w:vAlign w:val="center"/>
            <w:hideMark/>
          </w:tcPr>
          <w:p w:rsidR="00AB6245" w:rsidRPr="004761E0" w:rsidRDefault="00081DF0" w:rsidP="00081DF0">
            <w:pPr>
              <w:tabs>
                <w:tab w:val="left" w:pos="1843"/>
              </w:tabs>
              <w:ind w:right="-1" w:firstLine="0"/>
              <w:jc w:val="left"/>
              <w:rPr>
                <w:sz w:val="20"/>
                <w:szCs w:val="20"/>
              </w:rPr>
            </w:pPr>
            <w:r>
              <w:rPr>
                <w:color w:val="000000"/>
                <w:sz w:val="20"/>
                <w:szCs w:val="20"/>
              </w:rPr>
              <w:t>К</w:t>
            </w:r>
            <w:r w:rsidR="00AB6245" w:rsidRPr="004761E0">
              <w:rPr>
                <w:color w:val="000000"/>
                <w:sz w:val="20"/>
                <w:szCs w:val="20"/>
              </w:rPr>
              <w:t>апитальны</w:t>
            </w:r>
            <w:r>
              <w:rPr>
                <w:color w:val="000000"/>
                <w:sz w:val="20"/>
                <w:szCs w:val="20"/>
              </w:rPr>
              <w:t>е</w:t>
            </w:r>
            <w:r w:rsidR="00AB6245" w:rsidRPr="004761E0">
              <w:rPr>
                <w:color w:val="000000"/>
                <w:sz w:val="20"/>
                <w:szCs w:val="20"/>
              </w:rPr>
              <w:t xml:space="preserve"> вложени</w:t>
            </w:r>
            <w:r>
              <w:rPr>
                <w:color w:val="000000"/>
                <w:sz w:val="20"/>
                <w:szCs w:val="20"/>
              </w:rPr>
              <w:t>я</w:t>
            </w:r>
            <w:r w:rsidR="00AB6245" w:rsidRPr="004761E0">
              <w:rPr>
                <w:color w:val="000000"/>
                <w:sz w:val="20"/>
                <w:szCs w:val="20"/>
              </w:rPr>
              <w:t>, млн руб. без НДС</w:t>
            </w:r>
          </w:p>
        </w:tc>
        <w:tc>
          <w:tcPr>
            <w:tcW w:w="849" w:type="dxa"/>
            <w:tcBorders>
              <w:top w:val="nil"/>
              <w:left w:val="nil"/>
              <w:bottom w:val="single" w:sz="4" w:space="0" w:color="auto"/>
              <w:right w:val="single" w:sz="4" w:space="0" w:color="auto"/>
            </w:tcBorders>
            <w:shd w:val="clear" w:color="auto" w:fill="auto"/>
            <w:vAlign w:val="bottom"/>
            <w:hideMark/>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18 785</w:t>
            </w:r>
          </w:p>
        </w:tc>
        <w:tc>
          <w:tcPr>
            <w:tcW w:w="850" w:type="dxa"/>
            <w:tcBorders>
              <w:top w:val="nil"/>
              <w:left w:val="nil"/>
              <w:bottom w:val="single" w:sz="4" w:space="0" w:color="auto"/>
              <w:right w:val="single" w:sz="4" w:space="0" w:color="auto"/>
            </w:tcBorders>
            <w:shd w:val="clear" w:color="auto" w:fill="auto"/>
            <w:vAlign w:val="bottom"/>
            <w:hideMark/>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23 906</w:t>
            </w:r>
          </w:p>
        </w:tc>
        <w:tc>
          <w:tcPr>
            <w:tcW w:w="991" w:type="dxa"/>
            <w:tcBorders>
              <w:top w:val="nil"/>
              <w:left w:val="nil"/>
              <w:bottom w:val="single" w:sz="4" w:space="0" w:color="auto"/>
              <w:right w:val="single" w:sz="4" w:space="0" w:color="auto"/>
            </w:tcBorders>
            <w:shd w:val="clear" w:color="auto" w:fill="auto"/>
            <w:vAlign w:val="bottom"/>
            <w:hideMark/>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33 157</w:t>
            </w:r>
          </w:p>
        </w:tc>
        <w:tc>
          <w:tcPr>
            <w:tcW w:w="1133" w:type="dxa"/>
            <w:tcBorders>
              <w:top w:val="nil"/>
              <w:left w:val="nil"/>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38,70 %</w:t>
            </w:r>
          </w:p>
        </w:tc>
        <w:tc>
          <w:tcPr>
            <w:tcW w:w="991" w:type="dxa"/>
            <w:tcBorders>
              <w:top w:val="nil"/>
              <w:left w:val="nil"/>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10 742</w:t>
            </w:r>
          </w:p>
        </w:tc>
        <w:tc>
          <w:tcPr>
            <w:tcW w:w="991" w:type="dxa"/>
            <w:tcBorders>
              <w:top w:val="nil"/>
              <w:left w:val="nil"/>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12 189</w:t>
            </w:r>
          </w:p>
        </w:tc>
        <w:tc>
          <w:tcPr>
            <w:tcW w:w="850" w:type="dxa"/>
            <w:tcBorders>
              <w:top w:val="nil"/>
              <w:left w:val="nil"/>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18 055</w:t>
            </w:r>
          </w:p>
        </w:tc>
        <w:tc>
          <w:tcPr>
            <w:tcW w:w="1080" w:type="dxa"/>
            <w:tcBorders>
              <w:top w:val="nil"/>
              <w:left w:val="nil"/>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48,12 %</w:t>
            </w:r>
          </w:p>
        </w:tc>
      </w:tr>
      <w:tr w:rsidR="00AB6245" w:rsidRPr="004761E0" w:rsidTr="00A20E78">
        <w:trPr>
          <w:trHeight w:val="241"/>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AB6245" w:rsidRPr="004761E0" w:rsidRDefault="00AB6245" w:rsidP="007076A7">
            <w:pPr>
              <w:pStyle w:val="a5"/>
              <w:numPr>
                <w:ilvl w:val="0"/>
                <w:numId w:val="123"/>
              </w:numPr>
              <w:tabs>
                <w:tab w:val="left" w:pos="262"/>
              </w:tabs>
              <w:contextualSpacing w:val="0"/>
              <w:rPr>
                <w:rFonts w:eastAsia="Times New Roman"/>
                <w:color w:val="000000"/>
                <w:sz w:val="20"/>
                <w:szCs w:val="20"/>
                <w:lang w:eastAsia="ru-RU"/>
              </w:rPr>
            </w:pPr>
          </w:p>
        </w:tc>
        <w:tc>
          <w:tcPr>
            <w:tcW w:w="6655" w:type="dxa"/>
            <w:tcBorders>
              <w:top w:val="nil"/>
              <w:left w:val="nil"/>
              <w:bottom w:val="single" w:sz="4" w:space="0" w:color="auto"/>
              <w:right w:val="single" w:sz="4" w:space="0" w:color="auto"/>
            </w:tcBorders>
            <w:shd w:val="clear" w:color="auto" w:fill="auto"/>
            <w:vAlign w:val="center"/>
            <w:hideMark/>
          </w:tcPr>
          <w:p w:rsidR="00AB6245" w:rsidRPr="004761E0" w:rsidRDefault="00AB6245" w:rsidP="00A20E78">
            <w:pPr>
              <w:tabs>
                <w:tab w:val="left" w:pos="1843"/>
              </w:tabs>
              <w:ind w:right="-1" w:firstLine="0"/>
              <w:jc w:val="left"/>
              <w:rPr>
                <w:color w:val="000000"/>
                <w:sz w:val="20"/>
                <w:szCs w:val="20"/>
              </w:rPr>
            </w:pPr>
            <w:r w:rsidRPr="004761E0">
              <w:rPr>
                <w:color w:val="000000"/>
                <w:sz w:val="20"/>
                <w:szCs w:val="20"/>
              </w:rPr>
              <w:t>Ввод основных фондов, млн руб. без НДС</w:t>
            </w:r>
          </w:p>
        </w:tc>
        <w:tc>
          <w:tcPr>
            <w:tcW w:w="849" w:type="dxa"/>
            <w:tcBorders>
              <w:top w:val="nil"/>
              <w:left w:val="nil"/>
              <w:bottom w:val="single" w:sz="4" w:space="0" w:color="auto"/>
              <w:right w:val="single" w:sz="4" w:space="0" w:color="auto"/>
            </w:tcBorders>
            <w:shd w:val="clear" w:color="auto" w:fill="auto"/>
            <w:vAlign w:val="bottom"/>
            <w:hideMark/>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18 648</w:t>
            </w:r>
          </w:p>
        </w:tc>
        <w:tc>
          <w:tcPr>
            <w:tcW w:w="850" w:type="dxa"/>
            <w:tcBorders>
              <w:top w:val="nil"/>
              <w:left w:val="nil"/>
              <w:bottom w:val="single" w:sz="4" w:space="0" w:color="auto"/>
              <w:right w:val="single" w:sz="4" w:space="0" w:color="auto"/>
            </w:tcBorders>
            <w:shd w:val="clear" w:color="auto" w:fill="auto"/>
            <w:vAlign w:val="bottom"/>
            <w:hideMark/>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27 440</w:t>
            </w:r>
          </w:p>
        </w:tc>
        <w:tc>
          <w:tcPr>
            <w:tcW w:w="991" w:type="dxa"/>
            <w:tcBorders>
              <w:top w:val="nil"/>
              <w:left w:val="nil"/>
              <w:bottom w:val="single" w:sz="4" w:space="0" w:color="auto"/>
              <w:right w:val="single" w:sz="4" w:space="0" w:color="auto"/>
            </w:tcBorders>
            <w:shd w:val="clear" w:color="auto" w:fill="auto"/>
            <w:vAlign w:val="bottom"/>
            <w:hideMark/>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29 350</w:t>
            </w:r>
          </w:p>
        </w:tc>
        <w:tc>
          <w:tcPr>
            <w:tcW w:w="1133" w:type="dxa"/>
            <w:tcBorders>
              <w:top w:val="nil"/>
              <w:left w:val="nil"/>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6,96 %</w:t>
            </w:r>
          </w:p>
        </w:tc>
        <w:tc>
          <w:tcPr>
            <w:tcW w:w="991" w:type="dxa"/>
            <w:tcBorders>
              <w:top w:val="nil"/>
              <w:left w:val="nil"/>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11 470</w:t>
            </w:r>
          </w:p>
        </w:tc>
        <w:tc>
          <w:tcPr>
            <w:tcW w:w="991" w:type="dxa"/>
            <w:tcBorders>
              <w:top w:val="nil"/>
              <w:left w:val="nil"/>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11 655</w:t>
            </w:r>
          </w:p>
        </w:tc>
        <w:tc>
          <w:tcPr>
            <w:tcW w:w="850" w:type="dxa"/>
            <w:tcBorders>
              <w:top w:val="nil"/>
              <w:left w:val="nil"/>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16 477</w:t>
            </w:r>
          </w:p>
        </w:tc>
        <w:tc>
          <w:tcPr>
            <w:tcW w:w="1080" w:type="dxa"/>
            <w:tcBorders>
              <w:top w:val="nil"/>
              <w:left w:val="nil"/>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141,37 %</w:t>
            </w:r>
          </w:p>
        </w:tc>
      </w:tr>
      <w:tr w:rsidR="00AB6245" w:rsidRPr="004761E0" w:rsidTr="00A20E78">
        <w:trPr>
          <w:trHeight w:val="241"/>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6245" w:rsidRPr="004761E0" w:rsidRDefault="00AB6245" w:rsidP="007076A7">
            <w:pPr>
              <w:pStyle w:val="a5"/>
              <w:numPr>
                <w:ilvl w:val="0"/>
                <w:numId w:val="123"/>
              </w:numPr>
              <w:tabs>
                <w:tab w:val="left" w:pos="262"/>
              </w:tabs>
              <w:contextualSpacing w:val="0"/>
              <w:rPr>
                <w:rFonts w:eastAsia="Times New Roman"/>
                <w:color w:val="000000"/>
                <w:sz w:val="20"/>
                <w:szCs w:val="20"/>
                <w:lang w:eastAsia="ru-RU"/>
              </w:rPr>
            </w:pPr>
          </w:p>
        </w:tc>
        <w:tc>
          <w:tcPr>
            <w:tcW w:w="6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6245" w:rsidRPr="004761E0" w:rsidRDefault="00AB6245" w:rsidP="00A20E78">
            <w:pPr>
              <w:tabs>
                <w:tab w:val="left" w:pos="1843"/>
              </w:tabs>
              <w:ind w:right="-1" w:firstLine="0"/>
              <w:jc w:val="left"/>
              <w:rPr>
                <w:color w:val="000000"/>
                <w:sz w:val="20"/>
                <w:szCs w:val="20"/>
              </w:rPr>
            </w:pPr>
            <w:r w:rsidRPr="004761E0">
              <w:rPr>
                <w:color w:val="000000"/>
                <w:sz w:val="20"/>
                <w:szCs w:val="20"/>
              </w:rPr>
              <w:t>Финансирование, млн руб. с НДС</w:t>
            </w:r>
          </w:p>
        </w:tc>
        <w:tc>
          <w:tcPr>
            <w:tcW w:w="8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19 658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23 635</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24 388</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3,19 %</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12 022</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13 790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18 306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132,75 %</w:t>
            </w:r>
          </w:p>
        </w:tc>
      </w:tr>
      <w:tr w:rsidR="00AB6245" w:rsidRPr="004761E0" w:rsidTr="00A20E78">
        <w:trPr>
          <w:trHeight w:val="241"/>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6245" w:rsidRPr="004761E0" w:rsidRDefault="00AB6245" w:rsidP="007076A7">
            <w:pPr>
              <w:pStyle w:val="a5"/>
              <w:numPr>
                <w:ilvl w:val="0"/>
                <w:numId w:val="123"/>
              </w:numPr>
              <w:tabs>
                <w:tab w:val="left" w:pos="262"/>
              </w:tabs>
              <w:contextualSpacing w:val="0"/>
              <w:rPr>
                <w:rFonts w:eastAsia="Times New Roman"/>
                <w:color w:val="000000"/>
                <w:sz w:val="20"/>
                <w:szCs w:val="20"/>
                <w:lang w:eastAsia="ru-RU"/>
              </w:rPr>
            </w:pPr>
          </w:p>
        </w:tc>
        <w:tc>
          <w:tcPr>
            <w:tcW w:w="14390" w:type="dxa"/>
            <w:gridSpan w:val="9"/>
            <w:tcBorders>
              <w:top w:val="single" w:sz="4" w:space="0" w:color="auto"/>
              <w:left w:val="nil"/>
              <w:bottom w:val="single" w:sz="4" w:space="0" w:color="auto"/>
              <w:right w:val="single" w:sz="4" w:space="0" w:color="auto"/>
            </w:tcBorders>
            <w:shd w:val="clear" w:color="auto" w:fill="auto"/>
            <w:vAlign w:val="center"/>
            <w:hideMark/>
          </w:tcPr>
          <w:p w:rsidR="00AB6245" w:rsidRPr="004761E0" w:rsidRDefault="00AB6245" w:rsidP="00A20E78">
            <w:pPr>
              <w:ind w:firstLine="0"/>
              <w:jc w:val="left"/>
              <w:rPr>
                <w:color w:val="000000"/>
                <w:sz w:val="20"/>
                <w:szCs w:val="20"/>
              </w:rPr>
            </w:pPr>
            <w:r w:rsidRPr="004761E0">
              <w:rPr>
                <w:color w:val="000000"/>
                <w:sz w:val="20"/>
                <w:szCs w:val="20"/>
              </w:rPr>
              <w:t>Ввод основных фондов:</w:t>
            </w:r>
          </w:p>
        </w:tc>
      </w:tr>
      <w:tr w:rsidR="00AB6245" w:rsidRPr="004761E0" w:rsidTr="00A20E78">
        <w:trPr>
          <w:trHeight w:val="241"/>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3705" w:rsidRPr="004761E0" w:rsidRDefault="00453705" w:rsidP="007076A7">
            <w:pPr>
              <w:pStyle w:val="a5"/>
              <w:numPr>
                <w:ilvl w:val="1"/>
                <w:numId w:val="12"/>
              </w:numPr>
              <w:tabs>
                <w:tab w:val="left" w:pos="262"/>
              </w:tabs>
              <w:contextualSpacing w:val="0"/>
              <w:rPr>
                <w:rFonts w:eastAsia="Times New Roman"/>
                <w:color w:val="000000"/>
                <w:sz w:val="20"/>
                <w:szCs w:val="20"/>
                <w:lang w:eastAsia="ru-RU"/>
              </w:rPr>
            </w:pPr>
          </w:p>
        </w:tc>
        <w:tc>
          <w:tcPr>
            <w:tcW w:w="6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6245" w:rsidRPr="004761E0" w:rsidRDefault="00AB6245" w:rsidP="00A20E78">
            <w:pPr>
              <w:tabs>
                <w:tab w:val="left" w:pos="1843"/>
              </w:tabs>
              <w:ind w:left="459" w:right="-1" w:firstLine="0"/>
              <w:jc w:val="left"/>
              <w:rPr>
                <w:color w:val="000000"/>
                <w:sz w:val="20"/>
                <w:szCs w:val="20"/>
              </w:rPr>
            </w:pPr>
            <w:r w:rsidRPr="004761E0">
              <w:rPr>
                <w:color w:val="000000"/>
                <w:sz w:val="20"/>
                <w:szCs w:val="20"/>
              </w:rPr>
              <w:t>трансформаторной мощности, МВА</w:t>
            </w:r>
          </w:p>
        </w:tc>
        <w:tc>
          <w:tcPr>
            <w:tcW w:w="8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1 067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2 554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2 835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11,01 %</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530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2 238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1 618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72,31 %</w:t>
            </w:r>
          </w:p>
        </w:tc>
      </w:tr>
      <w:tr w:rsidR="00AB6245" w:rsidRPr="004761E0" w:rsidTr="00A20E78">
        <w:trPr>
          <w:trHeight w:val="241"/>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6245" w:rsidRPr="004761E0" w:rsidRDefault="00AB6245" w:rsidP="007076A7">
            <w:pPr>
              <w:pStyle w:val="a5"/>
              <w:numPr>
                <w:ilvl w:val="1"/>
                <w:numId w:val="12"/>
              </w:numPr>
              <w:tabs>
                <w:tab w:val="left" w:pos="262"/>
              </w:tabs>
              <w:contextualSpacing w:val="0"/>
              <w:rPr>
                <w:rFonts w:eastAsia="Times New Roman"/>
                <w:color w:val="000000"/>
                <w:sz w:val="20"/>
                <w:szCs w:val="20"/>
                <w:lang w:eastAsia="ru-RU"/>
              </w:rPr>
            </w:pPr>
          </w:p>
        </w:tc>
        <w:tc>
          <w:tcPr>
            <w:tcW w:w="6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6245" w:rsidRPr="004761E0" w:rsidRDefault="00AB6245" w:rsidP="00A20E78">
            <w:pPr>
              <w:tabs>
                <w:tab w:val="left" w:pos="1843"/>
              </w:tabs>
              <w:ind w:left="459" w:right="-1" w:firstLine="0"/>
              <w:jc w:val="left"/>
              <w:rPr>
                <w:sz w:val="20"/>
                <w:szCs w:val="20"/>
              </w:rPr>
            </w:pPr>
            <w:r w:rsidRPr="004761E0">
              <w:rPr>
                <w:color w:val="000000"/>
                <w:sz w:val="20"/>
                <w:szCs w:val="20"/>
              </w:rPr>
              <w:t>линий электропередач, км</w:t>
            </w:r>
          </w:p>
        </w:tc>
        <w:tc>
          <w:tcPr>
            <w:tcW w:w="8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936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1 676</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1 570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-6,34 %</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1 790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2 644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4 625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174,95 %</w:t>
            </w:r>
          </w:p>
        </w:tc>
      </w:tr>
      <w:tr w:rsidR="00AB6245" w:rsidRPr="004761E0" w:rsidTr="00A20E78">
        <w:trPr>
          <w:trHeight w:val="241"/>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6245" w:rsidRPr="004761E0" w:rsidRDefault="00AB6245" w:rsidP="007076A7">
            <w:pPr>
              <w:pStyle w:val="a5"/>
              <w:numPr>
                <w:ilvl w:val="0"/>
                <w:numId w:val="12"/>
              </w:numPr>
              <w:tabs>
                <w:tab w:val="left" w:pos="262"/>
              </w:tabs>
              <w:contextualSpacing w:val="0"/>
              <w:rPr>
                <w:rFonts w:eastAsia="Times New Roman"/>
                <w:color w:val="000000"/>
                <w:sz w:val="20"/>
                <w:szCs w:val="20"/>
                <w:lang w:eastAsia="ru-RU"/>
              </w:rPr>
            </w:pPr>
          </w:p>
        </w:tc>
        <w:tc>
          <w:tcPr>
            <w:tcW w:w="1439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B6245" w:rsidRPr="004761E0" w:rsidRDefault="00AB6245" w:rsidP="00A20E78">
            <w:pPr>
              <w:ind w:firstLine="0"/>
              <w:jc w:val="left"/>
              <w:rPr>
                <w:color w:val="000000"/>
                <w:sz w:val="20"/>
                <w:szCs w:val="20"/>
              </w:rPr>
            </w:pPr>
            <w:r w:rsidRPr="004761E0">
              <w:rPr>
                <w:color w:val="000000"/>
                <w:sz w:val="20"/>
                <w:szCs w:val="20"/>
              </w:rPr>
              <w:t>Прирост:</w:t>
            </w:r>
          </w:p>
        </w:tc>
      </w:tr>
      <w:tr w:rsidR="00AB6245" w:rsidRPr="004761E0" w:rsidTr="00A20E78">
        <w:trPr>
          <w:trHeight w:val="241"/>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6245" w:rsidRPr="004761E0" w:rsidRDefault="00AB6245" w:rsidP="007076A7">
            <w:pPr>
              <w:pStyle w:val="a5"/>
              <w:numPr>
                <w:ilvl w:val="1"/>
                <w:numId w:val="12"/>
              </w:numPr>
              <w:tabs>
                <w:tab w:val="left" w:pos="262"/>
              </w:tabs>
              <w:contextualSpacing w:val="0"/>
              <w:rPr>
                <w:rFonts w:eastAsia="Times New Roman"/>
                <w:color w:val="000000"/>
                <w:sz w:val="20"/>
                <w:szCs w:val="20"/>
                <w:lang w:eastAsia="ru-RU"/>
              </w:rPr>
            </w:pPr>
          </w:p>
        </w:tc>
        <w:tc>
          <w:tcPr>
            <w:tcW w:w="6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6245" w:rsidRPr="004761E0" w:rsidRDefault="00AB6245" w:rsidP="00A20E78">
            <w:pPr>
              <w:tabs>
                <w:tab w:val="left" w:pos="1843"/>
              </w:tabs>
              <w:ind w:left="459" w:right="-1" w:firstLine="0"/>
              <w:jc w:val="left"/>
              <w:rPr>
                <w:color w:val="000000"/>
                <w:sz w:val="20"/>
                <w:szCs w:val="20"/>
              </w:rPr>
            </w:pPr>
            <w:r w:rsidRPr="004761E0">
              <w:rPr>
                <w:color w:val="000000"/>
                <w:sz w:val="20"/>
                <w:szCs w:val="20"/>
              </w:rPr>
              <w:t>трансформаторной мощности, МВА</w:t>
            </w:r>
          </w:p>
        </w:tc>
        <w:tc>
          <w:tcPr>
            <w:tcW w:w="8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955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1 375</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1 164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-15,35 %</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389</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495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1 140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230,24 %</w:t>
            </w:r>
          </w:p>
        </w:tc>
      </w:tr>
      <w:tr w:rsidR="00AB6245" w:rsidRPr="004761E0" w:rsidTr="00A20E78">
        <w:trPr>
          <w:trHeight w:val="241"/>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6245" w:rsidRPr="004761E0" w:rsidRDefault="00AB6245" w:rsidP="007076A7">
            <w:pPr>
              <w:pStyle w:val="a5"/>
              <w:numPr>
                <w:ilvl w:val="1"/>
                <w:numId w:val="12"/>
              </w:numPr>
              <w:tabs>
                <w:tab w:val="left" w:pos="262"/>
              </w:tabs>
              <w:contextualSpacing w:val="0"/>
              <w:rPr>
                <w:rFonts w:eastAsia="Times New Roman"/>
                <w:color w:val="000000"/>
                <w:sz w:val="20"/>
                <w:szCs w:val="20"/>
                <w:lang w:eastAsia="ru-RU"/>
              </w:rPr>
            </w:pPr>
          </w:p>
        </w:tc>
        <w:tc>
          <w:tcPr>
            <w:tcW w:w="6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6245" w:rsidRPr="004761E0" w:rsidRDefault="00AB6245" w:rsidP="00A20E78">
            <w:pPr>
              <w:tabs>
                <w:tab w:val="left" w:pos="1843"/>
              </w:tabs>
              <w:ind w:left="459" w:right="-1" w:firstLine="0"/>
              <w:jc w:val="left"/>
              <w:rPr>
                <w:color w:val="000000"/>
                <w:sz w:val="20"/>
                <w:szCs w:val="20"/>
              </w:rPr>
            </w:pPr>
            <w:r w:rsidRPr="004761E0">
              <w:rPr>
                <w:color w:val="000000"/>
                <w:sz w:val="20"/>
                <w:szCs w:val="20"/>
              </w:rPr>
              <w:t>линий электропередач, км</w:t>
            </w:r>
          </w:p>
        </w:tc>
        <w:tc>
          <w:tcPr>
            <w:tcW w:w="8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713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1 074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2 727</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153,83 %</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740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886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908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AB6245" w:rsidRPr="004761E0" w:rsidRDefault="00AB6245" w:rsidP="00A20E78">
            <w:pPr>
              <w:tabs>
                <w:tab w:val="left" w:pos="1843"/>
              </w:tabs>
              <w:ind w:right="-1" w:firstLine="0"/>
              <w:jc w:val="right"/>
              <w:rPr>
                <w:color w:val="000000"/>
                <w:sz w:val="20"/>
                <w:szCs w:val="20"/>
              </w:rPr>
            </w:pPr>
            <w:r w:rsidRPr="004761E0">
              <w:rPr>
                <w:color w:val="000000"/>
                <w:sz w:val="20"/>
                <w:szCs w:val="20"/>
              </w:rPr>
              <w:t>102,43 %</w:t>
            </w:r>
          </w:p>
        </w:tc>
      </w:tr>
    </w:tbl>
    <w:p w:rsidR="00C07545" w:rsidRPr="004761E0" w:rsidRDefault="00466C74" w:rsidP="00466C74">
      <w:pPr>
        <w:spacing w:before="120" w:after="120"/>
        <w:ind w:firstLine="567"/>
        <w:rPr>
          <w:b/>
          <w:sz w:val="26"/>
          <w:szCs w:val="26"/>
        </w:rPr>
      </w:pPr>
      <w:r w:rsidRPr="004761E0">
        <w:rPr>
          <w:rFonts w:eastAsia="Times New Roman"/>
          <w:b/>
          <w:iCs/>
          <w:color w:val="000000"/>
          <w:sz w:val="26"/>
          <w:szCs w:val="26"/>
          <w:lang w:eastAsia="ru-RU"/>
        </w:rPr>
        <w:t>Стоимостные и физические параметры долгосрочной инвестиционной деятельности</w:t>
      </w:r>
    </w:p>
    <w:tbl>
      <w:tblPr>
        <w:tblW w:w="15039" w:type="dxa"/>
        <w:tblInd w:w="95" w:type="dxa"/>
        <w:tblLayout w:type="fixed"/>
        <w:tblLook w:val="04A0"/>
      </w:tblPr>
      <w:tblGrid>
        <w:gridCol w:w="561"/>
        <w:gridCol w:w="4555"/>
        <w:gridCol w:w="993"/>
        <w:gridCol w:w="992"/>
        <w:gridCol w:w="992"/>
        <w:gridCol w:w="851"/>
        <w:gridCol w:w="1134"/>
        <w:gridCol w:w="992"/>
        <w:gridCol w:w="992"/>
        <w:gridCol w:w="992"/>
        <w:gridCol w:w="851"/>
        <w:gridCol w:w="1134"/>
      </w:tblGrid>
      <w:tr w:rsidR="00C07545" w:rsidRPr="004761E0" w:rsidTr="00C07545">
        <w:trPr>
          <w:trHeight w:val="300"/>
        </w:trPr>
        <w:tc>
          <w:tcPr>
            <w:tcW w:w="561" w:type="dxa"/>
            <w:vMerge w:val="restart"/>
            <w:tcBorders>
              <w:top w:val="single" w:sz="4" w:space="0" w:color="auto"/>
              <w:left w:val="single" w:sz="4" w:space="0" w:color="auto"/>
              <w:bottom w:val="single" w:sz="4" w:space="0" w:color="FFFFFF" w:themeColor="background1"/>
            </w:tcBorders>
            <w:shd w:val="clear" w:color="auto" w:fill="0F243E" w:themeFill="text2" w:themeFillShade="80"/>
            <w:vAlign w:val="center"/>
            <w:hideMark/>
          </w:tcPr>
          <w:p w:rsidR="00C07545" w:rsidRPr="004761E0" w:rsidRDefault="00C07545" w:rsidP="00674FE7">
            <w:pPr>
              <w:ind w:firstLine="0"/>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 п/п</w:t>
            </w:r>
          </w:p>
        </w:tc>
        <w:tc>
          <w:tcPr>
            <w:tcW w:w="4555" w:type="dxa"/>
            <w:vMerge w:val="restart"/>
            <w:tcBorders>
              <w:top w:val="single" w:sz="4" w:space="0" w:color="auto"/>
              <w:bottom w:val="single" w:sz="4" w:space="0" w:color="FFFFFF" w:themeColor="background1"/>
              <w:right w:val="single" w:sz="4" w:space="0" w:color="FFFFFF" w:themeColor="background1"/>
            </w:tcBorders>
            <w:shd w:val="clear" w:color="auto" w:fill="0F243E" w:themeFill="text2" w:themeFillShade="80"/>
            <w:vAlign w:val="center"/>
            <w:hideMark/>
          </w:tcPr>
          <w:p w:rsidR="00C07545" w:rsidRPr="004761E0" w:rsidRDefault="00C07545" w:rsidP="00674FE7">
            <w:pPr>
              <w:ind w:firstLine="0"/>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Наименование категории</w:t>
            </w:r>
          </w:p>
        </w:tc>
        <w:tc>
          <w:tcPr>
            <w:tcW w:w="4962"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C07545" w:rsidRPr="004761E0" w:rsidRDefault="00C07545" w:rsidP="00C07545">
            <w:pPr>
              <w:ind w:firstLine="0"/>
              <w:jc w:val="righ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г. Москва</w:t>
            </w:r>
          </w:p>
        </w:tc>
        <w:tc>
          <w:tcPr>
            <w:tcW w:w="4961" w:type="dxa"/>
            <w:gridSpan w:val="5"/>
            <w:tcBorders>
              <w:top w:val="single" w:sz="4" w:space="0" w:color="auto"/>
              <w:left w:val="single" w:sz="4" w:space="0" w:color="FFFFFF" w:themeColor="background1"/>
              <w:bottom w:val="single" w:sz="4" w:space="0" w:color="FFFFFF" w:themeColor="background1"/>
              <w:right w:val="single" w:sz="4" w:space="0" w:color="auto"/>
            </w:tcBorders>
            <w:shd w:val="clear" w:color="auto" w:fill="0F243E" w:themeFill="text2" w:themeFillShade="80"/>
            <w:vAlign w:val="center"/>
          </w:tcPr>
          <w:p w:rsidR="00C07545" w:rsidRPr="004761E0" w:rsidRDefault="00C07545" w:rsidP="00C07545">
            <w:pPr>
              <w:ind w:firstLine="0"/>
              <w:jc w:val="righ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Московская область</w:t>
            </w:r>
          </w:p>
        </w:tc>
      </w:tr>
      <w:tr w:rsidR="00C07545" w:rsidRPr="004761E0" w:rsidTr="00C07545">
        <w:trPr>
          <w:trHeight w:val="300"/>
        </w:trPr>
        <w:tc>
          <w:tcPr>
            <w:tcW w:w="561" w:type="dxa"/>
            <w:vMerge/>
            <w:tcBorders>
              <w:top w:val="single" w:sz="4" w:space="0" w:color="FFFFFF" w:themeColor="background1"/>
              <w:left w:val="single" w:sz="4" w:space="0" w:color="auto"/>
              <w:bottom w:val="single" w:sz="4" w:space="0" w:color="000000"/>
              <w:right w:val="single" w:sz="4" w:space="0" w:color="FFFFFF" w:themeColor="background1"/>
            </w:tcBorders>
            <w:shd w:val="clear" w:color="auto" w:fill="0F243E" w:themeFill="text2" w:themeFillShade="80"/>
            <w:vAlign w:val="center"/>
            <w:hideMark/>
          </w:tcPr>
          <w:p w:rsidR="00C07545" w:rsidRPr="004761E0" w:rsidRDefault="00C07545" w:rsidP="00674FE7">
            <w:pPr>
              <w:rPr>
                <w:rFonts w:eastAsia="Times New Roman"/>
                <w:b/>
                <w:color w:val="FFFFFF" w:themeColor="background1"/>
                <w:sz w:val="18"/>
                <w:szCs w:val="20"/>
                <w:lang w:eastAsia="ru-RU"/>
              </w:rPr>
            </w:pPr>
          </w:p>
        </w:tc>
        <w:tc>
          <w:tcPr>
            <w:tcW w:w="4555" w:type="dxa"/>
            <w:vMerge/>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0F243E" w:themeFill="text2" w:themeFillShade="80"/>
            <w:vAlign w:val="center"/>
            <w:hideMark/>
          </w:tcPr>
          <w:p w:rsidR="00C07545" w:rsidRPr="004761E0" w:rsidRDefault="00C07545" w:rsidP="00674FE7">
            <w:pPr>
              <w:rPr>
                <w:rFonts w:eastAsia="Times New Roman"/>
                <w:b/>
                <w:color w:val="FFFFFF" w:themeColor="background1"/>
                <w:sz w:val="18"/>
                <w:szCs w:val="20"/>
                <w:lang w:eastAsia="ru-RU"/>
              </w:rPr>
            </w:pPr>
          </w:p>
        </w:tc>
        <w:tc>
          <w:tcPr>
            <w:tcW w:w="9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C07545" w:rsidRPr="004761E0" w:rsidRDefault="00C07545" w:rsidP="00674FE7">
            <w:pPr>
              <w:ind w:firstLine="0"/>
              <w:jc w:val="righ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2014</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C07545" w:rsidRPr="004761E0" w:rsidRDefault="00C07545" w:rsidP="00674FE7">
            <w:pPr>
              <w:ind w:firstLine="0"/>
              <w:jc w:val="righ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2015</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C07545" w:rsidRPr="004761E0" w:rsidRDefault="00C07545" w:rsidP="00674FE7">
            <w:pPr>
              <w:ind w:firstLine="0"/>
              <w:jc w:val="righ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2016</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C07545" w:rsidRPr="004761E0" w:rsidRDefault="00C07545" w:rsidP="00674FE7">
            <w:pPr>
              <w:ind w:firstLine="0"/>
              <w:jc w:val="righ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2017</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C07545" w:rsidRPr="004761E0" w:rsidRDefault="00C07545" w:rsidP="00674FE7">
            <w:pPr>
              <w:ind w:firstLine="0"/>
              <w:jc w:val="righ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2014-201</w:t>
            </w:r>
            <w:r w:rsidR="00F55BF9" w:rsidRPr="004761E0">
              <w:rPr>
                <w:rFonts w:eastAsia="Times New Roman"/>
                <w:b/>
                <w:color w:val="FFFFFF" w:themeColor="background1"/>
                <w:sz w:val="18"/>
                <w:szCs w:val="20"/>
                <w:lang w:eastAsia="ru-RU"/>
              </w:rPr>
              <w:t>7</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C07545" w:rsidRPr="004761E0" w:rsidRDefault="00C07545" w:rsidP="00674FE7">
            <w:pPr>
              <w:ind w:firstLine="0"/>
              <w:jc w:val="righ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2014</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C07545" w:rsidRPr="004761E0" w:rsidRDefault="00C07545" w:rsidP="00674FE7">
            <w:pPr>
              <w:ind w:firstLine="0"/>
              <w:jc w:val="righ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2015</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C07545" w:rsidRPr="004761E0" w:rsidRDefault="00C07545" w:rsidP="00674FE7">
            <w:pPr>
              <w:ind w:firstLine="0"/>
              <w:jc w:val="righ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2016</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C07545" w:rsidRPr="004761E0" w:rsidRDefault="00C07545" w:rsidP="00674FE7">
            <w:pPr>
              <w:ind w:firstLine="0"/>
              <w:jc w:val="righ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2017</w:t>
            </w:r>
          </w:p>
        </w:tc>
        <w:tc>
          <w:tcPr>
            <w:tcW w:w="1134"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F243E" w:themeFill="text2" w:themeFillShade="80"/>
            <w:vAlign w:val="center"/>
          </w:tcPr>
          <w:p w:rsidR="00C07545" w:rsidRPr="004761E0" w:rsidRDefault="00C07545" w:rsidP="00F55BF9">
            <w:pPr>
              <w:ind w:firstLine="0"/>
              <w:jc w:val="righ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2014-201</w:t>
            </w:r>
            <w:r w:rsidR="00F55BF9" w:rsidRPr="004761E0">
              <w:rPr>
                <w:rFonts w:eastAsia="Times New Roman"/>
                <w:b/>
                <w:color w:val="FFFFFF" w:themeColor="background1"/>
                <w:sz w:val="18"/>
                <w:szCs w:val="20"/>
                <w:lang w:eastAsia="ru-RU"/>
              </w:rPr>
              <w:t>7</w:t>
            </w:r>
          </w:p>
        </w:tc>
      </w:tr>
      <w:tr w:rsidR="00466C74" w:rsidRPr="004761E0" w:rsidTr="00C07545">
        <w:trPr>
          <w:trHeight w:val="30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466C74" w:rsidRPr="004761E0" w:rsidRDefault="00466C74" w:rsidP="007076A7">
            <w:pPr>
              <w:numPr>
                <w:ilvl w:val="0"/>
                <w:numId w:val="171"/>
              </w:numPr>
              <w:tabs>
                <w:tab w:val="left" w:pos="262"/>
              </w:tabs>
              <w:ind w:left="47" w:firstLine="0"/>
              <w:rPr>
                <w:rFonts w:eastAsia="Times New Roman"/>
                <w:color w:val="000000"/>
                <w:sz w:val="18"/>
                <w:szCs w:val="20"/>
                <w:lang w:eastAsia="ru-RU"/>
              </w:rPr>
            </w:pPr>
          </w:p>
        </w:tc>
        <w:tc>
          <w:tcPr>
            <w:tcW w:w="4555" w:type="dxa"/>
            <w:tcBorders>
              <w:top w:val="nil"/>
              <w:left w:val="nil"/>
              <w:bottom w:val="single" w:sz="4" w:space="0" w:color="auto"/>
              <w:right w:val="single" w:sz="4" w:space="0" w:color="auto"/>
            </w:tcBorders>
            <w:shd w:val="clear" w:color="auto" w:fill="auto"/>
            <w:vAlign w:val="center"/>
          </w:tcPr>
          <w:p w:rsidR="00466C74" w:rsidRPr="004761E0" w:rsidRDefault="00081DF0" w:rsidP="00081DF0">
            <w:pPr>
              <w:tabs>
                <w:tab w:val="left" w:pos="1843"/>
              </w:tabs>
              <w:ind w:right="-1" w:firstLine="0"/>
              <w:jc w:val="left"/>
              <w:rPr>
                <w:sz w:val="18"/>
                <w:szCs w:val="22"/>
              </w:rPr>
            </w:pPr>
            <w:r>
              <w:rPr>
                <w:color w:val="000000"/>
                <w:sz w:val="18"/>
                <w:szCs w:val="22"/>
              </w:rPr>
              <w:t>К</w:t>
            </w:r>
            <w:r w:rsidR="00466C74" w:rsidRPr="004761E0">
              <w:rPr>
                <w:color w:val="000000"/>
                <w:sz w:val="18"/>
                <w:szCs w:val="22"/>
              </w:rPr>
              <w:t>апитальны</w:t>
            </w:r>
            <w:r>
              <w:rPr>
                <w:color w:val="000000"/>
                <w:sz w:val="18"/>
                <w:szCs w:val="22"/>
              </w:rPr>
              <w:t>е</w:t>
            </w:r>
            <w:r w:rsidR="00466C74" w:rsidRPr="004761E0">
              <w:rPr>
                <w:color w:val="000000"/>
                <w:sz w:val="18"/>
                <w:szCs w:val="22"/>
              </w:rPr>
              <w:t xml:space="preserve"> вложени</w:t>
            </w:r>
            <w:r>
              <w:rPr>
                <w:color w:val="000000"/>
                <w:sz w:val="18"/>
                <w:szCs w:val="22"/>
              </w:rPr>
              <w:t>я</w:t>
            </w:r>
            <w:r w:rsidR="00466C74" w:rsidRPr="004761E0">
              <w:rPr>
                <w:color w:val="000000"/>
                <w:sz w:val="18"/>
                <w:szCs w:val="22"/>
              </w:rPr>
              <w:t>, млн руб. без НДС</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34 618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22 598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17 382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19 826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94 424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20 176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18 468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15 412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12 614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66 670</w:t>
            </w:r>
          </w:p>
        </w:tc>
      </w:tr>
      <w:tr w:rsidR="00466C74" w:rsidRPr="004761E0" w:rsidTr="00C07545">
        <w:trPr>
          <w:trHeight w:val="30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466C74" w:rsidRPr="004761E0" w:rsidRDefault="00466C74" w:rsidP="007076A7">
            <w:pPr>
              <w:numPr>
                <w:ilvl w:val="0"/>
                <w:numId w:val="171"/>
              </w:numPr>
              <w:tabs>
                <w:tab w:val="left" w:pos="262"/>
              </w:tabs>
              <w:ind w:left="47" w:firstLine="0"/>
              <w:rPr>
                <w:rFonts w:eastAsia="Times New Roman"/>
                <w:color w:val="000000"/>
                <w:sz w:val="18"/>
                <w:szCs w:val="20"/>
                <w:lang w:eastAsia="ru-RU"/>
              </w:rPr>
            </w:pPr>
          </w:p>
        </w:tc>
        <w:tc>
          <w:tcPr>
            <w:tcW w:w="4555" w:type="dxa"/>
            <w:tcBorders>
              <w:top w:val="nil"/>
              <w:left w:val="nil"/>
              <w:bottom w:val="single" w:sz="4" w:space="0" w:color="auto"/>
              <w:right w:val="single" w:sz="4" w:space="0" w:color="auto"/>
            </w:tcBorders>
            <w:shd w:val="clear" w:color="auto" w:fill="auto"/>
            <w:vAlign w:val="center"/>
          </w:tcPr>
          <w:p w:rsidR="00466C74" w:rsidRPr="004761E0" w:rsidRDefault="00466C74" w:rsidP="00674FE7">
            <w:pPr>
              <w:tabs>
                <w:tab w:val="left" w:pos="1843"/>
              </w:tabs>
              <w:ind w:right="-1" w:firstLine="0"/>
              <w:jc w:val="left"/>
              <w:rPr>
                <w:color w:val="000000"/>
                <w:sz w:val="18"/>
                <w:szCs w:val="22"/>
              </w:rPr>
            </w:pPr>
            <w:r w:rsidRPr="004761E0">
              <w:rPr>
                <w:color w:val="000000"/>
                <w:sz w:val="18"/>
                <w:szCs w:val="22"/>
              </w:rPr>
              <w:t>Ввод основных фондов, млн руб. без НДС</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34 564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27 994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17 276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22 460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102 294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21 200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16 921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17 888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15 309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71 318</w:t>
            </w:r>
          </w:p>
        </w:tc>
      </w:tr>
      <w:tr w:rsidR="00466C74" w:rsidRPr="004761E0" w:rsidTr="00C07545">
        <w:trPr>
          <w:trHeight w:val="30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466C74" w:rsidRPr="004761E0" w:rsidRDefault="00466C74" w:rsidP="007076A7">
            <w:pPr>
              <w:numPr>
                <w:ilvl w:val="0"/>
                <w:numId w:val="171"/>
              </w:numPr>
              <w:tabs>
                <w:tab w:val="left" w:pos="262"/>
              </w:tabs>
              <w:ind w:left="47" w:firstLine="0"/>
              <w:rPr>
                <w:rFonts w:eastAsia="Times New Roman"/>
                <w:color w:val="000000"/>
                <w:sz w:val="18"/>
                <w:szCs w:val="20"/>
                <w:lang w:eastAsia="ru-RU"/>
              </w:rPr>
            </w:pPr>
          </w:p>
        </w:tc>
        <w:tc>
          <w:tcPr>
            <w:tcW w:w="4555" w:type="dxa"/>
            <w:tcBorders>
              <w:top w:val="nil"/>
              <w:left w:val="nil"/>
              <w:bottom w:val="single" w:sz="4" w:space="0" w:color="auto"/>
              <w:right w:val="single" w:sz="4" w:space="0" w:color="auto"/>
            </w:tcBorders>
            <w:shd w:val="clear" w:color="auto" w:fill="auto"/>
            <w:vAlign w:val="center"/>
          </w:tcPr>
          <w:p w:rsidR="00466C74" w:rsidRPr="004761E0" w:rsidRDefault="00466C74" w:rsidP="00674FE7">
            <w:pPr>
              <w:tabs>
                <w:tab w:val="left" w:pos="1843"/>
              </w:tabs>
              <w:ind w:right="-1" w:firstLine="0"/>
              <w:jc w:val="left"/>
              <w:rPr>
                <w:color w:val="000000"/>
                <w:sz w:val="18"/>
                <w:szCs w:val="22"/>
              </w:rPr>
            </w:pPr>
            <w:r w:rsidRPr="004761E0">
              <w:rPr>
                <w:color w:val="000000"/>
                <w:sz w:val="18"/>
                <w:szCs w:val="22"/>
              </w:rPr>
              <w:t>Финансирование, млн руб. с НДС</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36 427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27 497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20 073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22 627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106 624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20 333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19 764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18 624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18 901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77 623</w:t>
            </w:r>
          </w:p>
        </w:tc>
      </w:tr>
      <w:tr w:rsidR="00C07545" w:rsidRPr="004761E0" w:rsidTr="00674FE7">
        <w:trPr>
          <w:trHeight w:val="30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C07545" w:rsidRPr="004761E0" w:rsidRDefault="00C07545" w:rsidP="007076A7">
            <w:pPr>
              <w:numPr>
                <w:ilvl w:val="0"/>
                <w:numId w:val="171"/>
              </w:numPr>
              <w:tabs>
                <w:tab w:val="left" w:pos="262"/>
              </w:tabs>
              <w:ind w:left="47" w:firstLine="0"/>
              <w:rPr>
                <w:rFonts w:eastAsia="Times New Roman"/>
                <w:color w:val="000000"/>
                <w:sz w:val="18"/>
                <w:szCs w:val="20"/>
                <w:lang w:eastAsia="ru-RU"/>
              </w:rPr>
            </w:pPr>
          </w:p>
        </w:tc>
        <w:tc>
          <w:tcPr>
            <w:tcW w:w="14478" w:type="dxa"/>
            <w:gridSpan w:val="11"/>
            <w:tcBorders>
              <w:top w:val="nil"/>
              <w:left w:val="nil"/>
              <w:bottom w:val="single" w:sz="4" w:space="0" w:color="auto"/>
              <w:right w:val="single" w:sz="4" w:space="0" w:color="auto"/>
            </w:tcBorders>
            <w:shd w:val="clear" w:color="auto" w:fill="auto"/>
            <w:vAlign w:val="center"/>
          </w:tcPr>
          <w:p w:rsidR="00C07545" w:rsidRPr="004761E0" w:rsidRDefault="00C07545" w:rsidP="00C07545">
            <w:pPr>
              <w:ind w:firstLine="0"/>
              <w:jc w:val="left"/>
              <w:rPr>
                <w:rFonts w:eastAsia="Times New Roman"/>
                <w:color w:val="000000"/>
                <w:sz w:val="18"/>
                <w:szCs w:val="20"/>
                <w:lang w:eastAsia="ru-RU"/>
              </w:rPr>
            </w:pPr>
            <w:r w:rsidRPr="004761E0">
              <w:rPr>
                <w:color w:val="000000"/>
                <w:sz w:val="18"/>
                <w:szCs w:val="22"/>
              </w:rPr>
              <w:t>Ввод основных фондов:</w:t>
            </w:r>
          </w:p>
        </w:tc>
      </w:tr>
      <w:tr w:rsidR="00466C74" w:rsidRPr="004761E0" w:rsidTr="00C07545">
        <w:trPr>
          <w:trHeight w:val="300"/>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7076A7">
            <w:pPr>
              <w:pStyle w:val="a5"/>
              <w:numPr>
                <w:ilvl w:val="1"/>
                <w:numId w:val="312"/>
              </w:numPr>
              <w:tabs>
                <w:tab w:val="left" w:pos="262"/>
              </w:tabs>
              <w:rPr>
                <w:rFonts w:eastAsia="Times New Roman"/>
                <w:color w:val="000000"/>
                <w:sz w:val="18"/>
                <w:szCs w:val="20"/>
                <w:lang w:eastAsia="ru-RU"/>
              </w:rPr>
            </w:pPr>
          </w:p>
        </w:tc>
        <w:tc>
          <w:tcPr>
            <w:tcW w:w="4555" w:type="dxa"/>
            <w:tcBorders>
              <w:top w:val="single" w:sz="4" w:space="0" w:color="auto"/>
              <w:left w:val="nil"/>
              <w:bottom w:val="single" w:sz="4" w:space="0" w:color="auto"/>
              <w:right w:val="single" w:sz="4" w:space="0" w:color="auto"/>
            </w:tcBorders>
            <w:shd w:val="clear" w:color="auto" w:fill="auto"/>
            <w:vAlign w:val="center"/>
          </w:tcPr>
          <w:p w:rsidR="00466C74" w:rsidRPr="004761E0" w:rsidRDefault="00466C74" w:rsidP="00674FE7">
            <w:pPr>
              <w:tabs>
                <w:tab w:val="left" w:pos="1843"/>
              </w:tabs>
              <w:ind w:left="459" w:right="-1" w:firstLine="0"/>
              <w:jc w:val="left"/>
              <w:rPr>
                <w:color w:val="000000"/>
                <w:sz w:val="18"/>
                <w:szCs w:val="22"/>
              </w:rPr>
            </w:pPr>
            <w:r w:rsidRPr="004761E0">
              <w:rPr>
                <w:color w:val="000000"/>
                <w:sz w:val="18"/>
                <w:szCs w:val="22"/>
              </w:rPr>
              <w:t>трансформаторной мощности, МВА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3 431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2 671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1 831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1 908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9 841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2 453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1 562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2 149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577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6 741</w:t>
            </w:r>
          </w:p>
        </w:tc>
      </w:tr>
      <w:tr w:rsidR="00466C74" w:rsidRPr="004761E0" w:rsidTr="00C07545">
        <w:trPr>
          <w:trHeight w:val="300"/>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7076A7">
            <w:pPr>
              <w:pStyle w:val="a5"/>
              <w:numPr>
                <w:ilvl w:val="1"/>
                <w:numId w:val="312"/>
              </w:numPr>
              <w:tabs>
                <w:tab w:val="left" w:pos="262"/>
              </w:tabs>
              <w:rPr>
                <w:rFonts w:eastAsia="Times New Roman"/>
                <w:color w:val="000000"/>
                <w:sz w:val="18"/>
                <w:szCs w:val="20"/>
                <w:lang w:eastAsia="ru-RU"/>
              </w:rPr>
            </w:pPr>
          </w:p>
        </w:tc>
        <w:tc>
          <w:tcPr>
            <w:tcW w:w="4555" w:type="dxa"/>
            <w:tcBorders>
              <w:top w:val="single" w:sz="4" w:space="0" w:color="auto"/>
              <w:left w:val="nil"/>
              <w:bottom w:val="single" w:sz="4" w:space="0" w:color="auto"/>
              <w:right w:val="single" w:sz="4" w:space="0" w:color="auto"/>
            </w:tcBorders>
            <w:shd w:val="clear" w:color="auto" w:fill="auto"/>
            <w:vAlign w:val="center"/>
          </w:tcPr>
          <w:p w:rsidR="00466C74" w:rsidRPr="004761E0" w:rsidRDefault="00466C74" w:rsidP="00674FE7">
            <w:pPr>
              <w:tabs>
                <w:tab w:val="left" w:pos="1843"/>
              </w:tabs>
              <w:ind w:left="459" w:right="-1" w:firstLine="0"/>
              <w:jc w:val="left"/>
              <w:rPr>
                <w:sz w:val="18"/>
                <w:szCs w:val="22"/>
              </w:rPr>
            </w:pPr>
            <w:r w:rsidRPr="004761E0">
              <w:rPr>
                <w:color w:val="000000"/>
                <w:sz w:val="18"/>
                <w:szCs w:val="22"/>
              </w:rPr>
              <w:t>линий электропередач, км</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455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553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330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289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1 627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1 907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1 151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980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946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4 984</w:t>
            </w:r>
          </w:p>
        </w:tc>
      </w:tr>
      <w:tr w:rsidR="00C07545" w:rsidRPr="004761E0" w:rsidTr="00674FE7">
        <w:trPr>
          <w:trHeight w:val="300"/>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C07545" w:rsidRPr="004761E0" w:rsidRDefault="00C07545" w:rsidP="007076A7">
            <w:pPr>
              <w:numPr>
                <w:ilvl w:val="0"/>
                <w:numId w:val="312"/>
              </w:numPr>
              <w:tabs>
                <w:tab w:val="left" w:pos="262"/>
              </w:tabs>
              <w:ind w:left="47" w:firstLine="0"/>
              <w:rPr>
                <w:rFonts w:eastAsia="Times New Roman"/>
                <w:color w:val="000000"/>
                <w:sz w:val="18"/>
                <w:szCs w:val="20"/>
                <w:lang w:eastAsia="ru-RU"/>
              </w:rPr>
            </w:pPr>
          </w:p>
        </w:tc>
        <w:tc>
          <w:tcPr>
            <w:tcW w:w="14478" w:type="dxa"/>
            <w:gridSpan w:val="11"/>
            <w:tcBorders>
              <w:top w:val="single" w:sz="4" w:space="0" w:color="auto"/>
              <w:left w:val="nil"/>
              <w:bottom w:val="single" w:sz="4" w:space="0" w:color="auto"/>
              <w:right w:val="single" w:sz="4" w:space="0" w:color="auto"/>
            </w:tcBorders>
            <w:shd w:val="clear" w:color="auto" w:fill="auto"/>
            <w:vAlign w:val="center"/>
          </w:tcPr>
          <w:p w:rsidR="00C07545" w:rsidRPr="004761E0" w:rsidRDefault="00C07545" w:rsidP="00C07545">
            <w:pPr>
              <w:ind w:firstLine="0"/>
              <w:jc w:val="left"/>
              <w:rPr>
                <w:rFonts w:eastAsia="Times New Roman"/>
                <w:color w:val="000000"/>
                <w:sz w:val="18"/>
                <w:szCs w:val="20"/>
                <w:lang w:eastAsia="ru-RU"/>
              </w:rPr>
            </w:pPr>
            <w:r w:rsidRPr="004761E0">
              <w:rPr>
                <w:color w:val="000000"/>
                <w:sz w:val="18"/>
                <w:szCs w:val="22"/>
              </w:rPr>
              <w:t>Прирост:</w:t>
            </w:r>
          </w:p>
        </w:tc>
      </w:tr>
      <w:tr w:rsidR="00466C74" w:rsidRPr="004761E0" w:rsidTr="00C07545">
        <w:trPr>
          <w:trHeight w:val="300"/>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7076A7">
            <w:pPr>
              <w:pStyle w:val="a5"/>
              <w:numPr>
                <w:ilvl w:val="1"/>
                <w:numId w:val="312"/>
              </w:numPr>
              <w:tabs>
                <w:tab w:val="left" w:pos="262"/>
              </w:tabs>
              <w:rPr>
                <w:rFonts w:eastAsia="Times New Roman"/>
                <w:color w:val="000000"/>
                <w:sz w:val="18"/>
                <w:szCs w:val="20"/>
                <w:lang w:eastAsia="ru-RU"/>
              </w:rPr>
            </w:pPr>
          </w:p>
        </w:tc>
        <w:tc>
          <w:tcPr>
            <w:tcW w:w="4555" w:type="dxa"/>
            <w:tcBorders>
              <w:top w:val="single" w:sz="4" w:space="0" w:color="auto"/>
              <w:left w:val="nil"/>
              <w:bottom w:val="single" w:sz="4" w:space="0" w:color="auto"/>
              <w:right w:val="single" w:sz="4" w:space="0" w:color="auto"/>
            </w:tcBorders>
            <w:shd w:val="clear" w:color="auto" w:fill="auto"/>
            <w:vAlign w:val="center"/>
          </w:tcPr>
          <w:p w:rsidR="00466C74" w:rsidRPr="004761E0" w:rsidRDefault="00466C74" w:rsidP="00674FE7">
            <w:pPr>
              <w:tabs>
                <w:tab w:val="left" w:pos="1843"/>
              </w:tabs>
              <w:ind w:left="459" w:right="-1" w:firstLine="0"/>
              <w:jc w:val="left"/>
              <w:rPr>
                <w:color w:val="000000"/>
                <w:sz w:val="18"/>
                <w:szCs w:val="22"/>
              </w:rPr>
            </w:pPr>
            <w:r w:rsidRPr="004761E0">
              <w:rPr>
                <w:color w:val="000000"/>
                <w:sz w:val="18"/>
                <w:szCs w:val="22"/>
              </w:rPr>
              <w:t>трансформаторной мощности, МВА (ВН)</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1 795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1 048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1 059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666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4 568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1 480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780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1 205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366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3 831</w:t>
            </w:r>
          </w:p>
        </w:tc>
      </w:tr>
      <w:tr w:rsidR="00466C74" w:rsidRPr="004761E0" w:rsidTr="00C07545">
        <w:trPr>
          <w:trHeight w:val="300"/>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7076A7">
            <w:pPr>
              <w:pStyle w:val="a5"/>
              <w:numPr>
                <w:ilvl w:val="1"/>
                <w:numId w:val="312"/>
              </w:numPr>
              <w:tabs>
                <w:tab w:val="left" w:pos="262"/>
              </w:tabs>
              <w:rPr>
                <w:rFonts w:eastAsia="Times New Roman"/>
                <w:color w:val="000000"/>
                <w:sz w:val="18"/>
                <w:szCs w:val="20"/>
                <w:lang w:eastAsia="ru-RU"/>
              </w:rPr>
            </w:pPr>
          </w:p>
        </w:tc>
        <w:tc>
          <w:tcPr>
            <w:tcW w:w="4555" w:type="dxa"/>
            <w:tcBorders>
              <w:top w:val="single" w:sz="4" w:space="0" w:color="auto"/>
              <w:left w:val="nil"/>
              <w:bottom w:val="single" w:sz="4" w:space="0" w:color="auto"/>
              <w:right w:val="single" w:sz="4" w:space="0" w:color="auto"/>
            </w:tcBorders>
            <w:shd w:val="clear" w:color="auto" w:fill="auto"/>
            <w:vAlign w:val="center"/>
          </w:tcPr>
          <w:p w:rsidR="00466C74" w:rsidRPr="004761E0" w:rsidRDefault="00466C74" w:rsidP="00674FE7">
            <w:pPr>
              <w:tabs>
                <w:tab w:val="left" w:pos="1843"/>
              </w:tabs>
              <w:ind w:left="459" w:right="-1" w:firstLine="0"/>
              <w:jc w:val="left"/>
              <w:rPr>
                <w:color w:val="000000"/>
                <w:sz w:val="18"/>
                <w:szCs w:val="22"/>
              </w:rPr>
            </w:pPr>
            <w:r w:rsidRPr="004761E0">
              <w:rPr>
                <w:color w:val="000000"/>
                <w:sz w:val="18"/>
                <w:szCs w:val="22"/>
              </w:rPr>
              <w:t>линий электропередач, км</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347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187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187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729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673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637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66C74" w:rsidRPr="004761E0" w:rsidRDefault="00466C74" w:rsidP="00674FE7">
            <w:pPr>
              <w:ind w:firstLine="0"/>
              <w:jc w:val="right"/>
              <w:rPr>
                <w:rFonts w:eastAsia="Times New Roman"/>
                <w:color w:val="000000"/>
                <w:sz w:val="18"/>
                <w:szCs w:val="20"/>
                <w:lang w:eastAsia="ru-RU"/>
              </w:rPr>
            </w:pPr>
            <w:r w:rsidRPr="004761E0">
              <w:rPr>
                <w:rFonts w:eastAsia="Times New Roman"/>
                <w:color w:val="000000"/>
                <w:sz w:val="18"/>
                <w:szCs w:val="20"/>
                <w:lang w:eastAsia="ru-RU"/>
              </w:rPr>
              <w:t>1 929</w:t>
            </w:r>
          </w:p>
        </w:tc>
      </w:tr>
    </w:tbl>
    <w:p w:rsidR="00F749E9" w:rsidRDefault="00F749E9" w:rsidP="007076A7">
      <w:pPr>
        <w:pStyle w:val="a8"/>
        <w:numPr>
          <w:ilvl w:val="0"/>
          <w:numId w:val="226"/>
        </w:numPr>
        <w:tabs>
          <w:tab w:val="left" w:pos="567"/>
          <w:tab w:val="left" w:pos="993"/>
        </w:tabs>
        <w:spacing w:before="120" w:after="120"/>
        <w:ind w:left="567" w:firstLine="0"/>
        <w:jc w:val="left"/>
        <w:rPr>
          <w:rFonts w:ascii="Times New Roman" w:hAnsi="Times New Roman"/>
          <w:b/>
          <w:sz w:val="26"/>
          <w:szCs w:val="26"/>
          <w:lang w:eastAsia="ru-RU"/>
        </w:rPr>
      </w:pPr>
      <w:bookmarkStart w:id="155" w:name="_Toc385339864"/>
      <w:r w:rsidRPr="004761E0">
        <w:rPr>
          <w:rFonts w:ascii="Times New Roman" w:hAnsi="Times New Roman"/>
          <w:b/>
          <w:sz w:val="26"/>
          <w:szCs w:val="26"/>
          <w:lang w:eastAsia="ru-RU"/>
        </w:rPr>
        <w:t>Тарифная политика</w:t>
      </w:r>
      <w:bookmarkEnd w:id="155"/>
    </w:p>
    <w:p w:rsidR="005E74B6" w:rsidRPr="005E74B6" w:rsidRDefault="005E74B6" w:rsidP="005E74B6">
      <w:pPr>
        <w:tabs>
          <w:tab w:val="left" w:pos="426"/>
        </w:tabs>
        <w:spacing w:before="120" w:after="120"/>
        <w:ind w:firstLine="567"/>
        <w:rPr>
          <w:b/>
          <w:sz w:val="26"/>
          <w:szCs w:val="26"/>
        </w:rPr>
      </w:pPr>
      <w:r w:rsidRPr="005E74B6">
        <w:rPr>
          <w:b/>
          <w:sz w:val="26"/>
          <w:szCs w:val="26"/>
        </w:rPr>
        <w:t>Структура тарифа на услуги по передаче электроэнергии на территории г. Москвы и Московской области</w:t>
      </w:r>
    </w:p>
    <w:tbl>
      <w:tblPr>
        <w:tblW w:w="14986" w:type="dxa"/>
        <w:tblInd w:w="95" w:type="dxa"/>
        <w:tblLook w:val="04A0"/>
      </w:tblPr>
      <w:tblGrid>
        <w:gridCol w:w="580"/>
        <w:gridCol w:w="5625"/>
        <w:gridCol w:w="1038"/>
        <w:gridCol w:w="850"/>
        <w:gridCol w:w="851"/>
        <w:gridCol w:w="992"/>
        <w:gridCol w:w="1134"/>
        <w:gridCol w:w="992"/>
        <w:gridCol w:w="992"/>
        <w:gridCol w:w="851"/>
        <w:gridCol w:w="1081"/>
      </w:tblGrid>
      <w:tr w:rsidR="00A9213E" w:rsidRPr="004761E0" w:rsidTr="005123D7">
        <w:trPr>
          <w:trHeight w:val="300"/>
        </w:trPr>
        <w:tc>
          <w:tcPr>
            <w:tcW w:w="580" w:type="dxa"/>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0F243E" w:themeFill="text2" w:themeFillShade="80"/>
            <w:vAlign w:val="center"/>
            <w:hideMark/>
          </w:tcPr>
          <w:p w:rsidR="00A9213E" w:rsidRPr="004761E0" w:rsidRDefault="00A9213E" w:rsidP="005123D7">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5625" w:type="dxa"/>
            <w:vMerge w:val="restart"/>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A9213E" w:rsidRPr="004761E0" w:rsidRDefault="00A9213E" w:rsidP="005123D7">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1038" w:type="dxa"/>
            <w:vMerge w:val="restart"/>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A9213E" w:rsidRPr="004761E0" w:rsidRDefault="00A9213E" w:rsidP="005123D7">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Ед. изм.</w:t>
            </w:r>
          </w:p>
        </w:tc>
        <w:tc>
          <w:tcPr>
            <w:tcW w:w="3827"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A9213E" w:rsidRPr="004761E0" w:rsidRDefault="00A9213E" w:rsidP="005123D7">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г. Москва</w:t>
            </w:r>
          </w:p>
        </w:tc>
        <w:tc>
          <w:tcPr>
            <w:tcW w:w="3916" w:type="dxa"/>
            <w:gridSpan w:val="4"/>
            <w:tcBorders>
              <w:top w:val="single" w:sz="4" w:space="0" w:color="auto"/>
              <w:left w:val="single" w:sz="4" w:space="0" w:color="FFFFFF" w:themeColor="background1"/>
              <w:bottom w:val="single" w:sz="4" w:space="0" w:color="FFFFFF" w:themeColor="background1"/>
              <w:right w:val="single" w:sz="4" w:space="0" w:color="auto"/>
            </w:tcBorders>
            <w:shd w:val="clear" w:color="auto" w:fill="0F243E" w:themeFill="text2" w:themeFillShade="80"/>
            <w:vAlign w:val="center"/>
            <w:hideMark/>
          </w:tcPr>
          <w:p w:rsidR="00A9213E" w:rsidRPr="004761E0" w:rsidRDefault="00A9213E" w:rsidP="005123D7">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Московская область</w:t>
            </w:r>
          </w:p>
        </w:tc>
      </w:tr>
      <w:tr w:rsidR="00A9213E" w:rsidRPr="004761E0" w:rsidTr="005123D7">
        <w:trPr>
          <w:trHeight w:val="300"/>
        </w:trPr>
        <w:tc>
          <w:tcPr>
            <w:tcW w:w="580" w:type="dxa"/>
            <w:vMerge/>
            <w:tcBorders>
              <w:top w:val="single" w:sz="4" w:space="0" w:color="FFFFFF" w:themeColor="background1"/>
              <w:left w:val="single" w:sz="4" w:space="0" w:color="auto"/>
              <w:bottom w:val="single" w:sz="4" w:space="0" w:color="000000"/>
              <w:right w:val="single" w:sz="4" w:space="0" w:color="FFFFFF" w:themeColor="background1"/>
            </w:tcBorders>
            <w:shd w:val="clear" w:color="auto" w:fill="0F243E" w:themeFill="text2" w:themeFillShade="80"/>
            <w:vAlign w:val="center"/>
            <w:hideMark/>
          </w:tcPr>
          <w:p w:rsidR="00A9213E" w:rsidRPr="004761E0" w:rsidRDefault="00A9213E" w:rsidP="005123D7">
            <w:pPr>
              <w:rPr>
                <w:rFonts w:eastAsia="Times New Roman"/>
                <w:b/>
                <w:color w:val="FFFFFF" w:themeColor="background1"/>
                <w:sz w:val="20"/>
                <w:szCs w:val="20"/>
                <w:lang w:eastAsia="ru-RU"/>
              </w:rPr>
            </w:pPr>
          </w:p>
        </w:tc>
        <w:tc>
          <w:tcPr>
            <w:tcW w:w="5625" w:type="dxa"/>
            <w:vMerge/>
            <w:tcBorders>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A9213E" w:rsidRPr="004761E0" w:rsidRDefault="00A9213E" w:rsidP="005123D7">
            <w:pPr>
              <w:rPr>
                <w:rFonts w:eastAsia="Times New Roman"/>
                <w:b/>
                <w:color w:val="FFFFFF" w:themeColor="background1"/>
                <w:sz w:val="20"/>
                <w:szCs w:val="20"/>
                <w:lang w:eastAsia="ru-RU"/>
              </w:rPr>
            </w:pPr>
          </w:p>
        </w:tc>
        <w:tc>
          <w:tcPr>
            <w:tcW w:w="1038" w:type="dxa"/>
            <w:vMerge/>
            <w:tcBorders>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A9213E" w:rsidRPr="004761E0" w:rsidRDefault="00A9213E" w:rsidP="005123D7">
            <w:pPr>
              <w:rPr>
                <w:rFonts w:eastAsia="Times New Roman"/>
                <w:b/>
                <w:color w:val="FFFFFF" w:themeColor="background1"/>
                <w:sz w:val="20"/>
                <w:szCs w:val="20"/>
                <w:lang w:eastAsia="ru-RU"/>
              </w:rPr>
            </w:pP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A9213E" w:rsidRPr="004761E0" w:rsidRDefault="00A9213E" w:rsidP="005123D7">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A9213E" w:rsidRPr="004761E0" w:rsidRDefault="00A9213E" w:rsidP="005123D7">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A9213E" w:rsidRPr="004761E0" w:rsidRDefault="00A9213E" w:rsidP="005123D7">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A9213E" w:rsidRPr="004761E0" w:rsidRDefault="00A9213E" w:rsidP="005123D7">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A9213E" w:rsidRPr="004761E0" w:rsidRDefault="00A9213E" w:rsidP="005123D7">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A9213E" w:rsidRPr="004761E0" w:rsidRDefault="00A9213E" w:rsidP="005123D7">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A9213E" w:rsidRPr="004761E0" w:rsidRDefault="00A9213E" w:rsidP="005123D7">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081"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A9213E" w:rsidRPr="004761E0" w:rsidRDefault="00A9213E" w:rsidP="005123D7">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A9213E" w:rsidRPr="004761E0" w:rsidTr="005123D7">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9213E" w:rsidRPr="004761E0" w:rsidRDefault="00A9213E" w:rsidP="007076A7">
            <w:pPr>
              <w:pStyle w:val="a5"/>
              <w:numPr>
                <w:ilvl w:val="0"/>
                <w:numId w:val="142"/>
              </w:numPr>
              <w:tabs>
                <w:tab w:val="left" w:pos="262"/>
              </w:tabs>
              <w:contextualSpacing w:val="0"/>
              <w:rPr>
                <w:rFonts w:eastAsia="Times New Roman"/>
                <w:color w:val="000000"/>
                <w:sz w:val="20"/>
                <w:szCs w:val="20"/>
                <w:lang w:eastAsia="ru-RU"/>
              </w:rPr>
            </w:pPr>
          </w:p>
        </w:tc>
        <w:tc>
          <w:tcPr>
            <w:tcW w:w="5625" w:type="dxa"/>
            <w:tcBorders>
              <w:top w:val="single" w:sz="4" w:space="0" w:color="auto"/>
              <w:left w:val="nil"/>
              <w:bottom w:val="single" w:sz="4" w:space="0" w:color="auto"/>
              <w:right w:val="single" w:sz="4" w:space="0" w:color="auto"/>
            </w:tcBorders>
            <w:shd w:val="clear" w:color="auto" w:fill="auto"/>
            <w:vAlign w:val="center"/>
          </w:tcPr>
          <w:p w:rsidR="00A9213E" w:rsidRPr="004761E0" w:rsidRDefault="00A9213E" w:rsidP="005123D7">
            <w:pPr>
              <w:ind w:firstLine="0"/>
              <w:jc w:val="left"/>
              <w:rPr>
                <w:rFonts w:eastAsia="Times New Roman"/>
                <w:color w:val="000000"/>
                <w:sz w:val="20"/>
                <w:szCs w:val="20"/>
                <w:lang w:eastAsia="ru-RU"/>
              </w:rPr>
            </w:pPr>
            <w:r w:rsidRPr="004761E0">
              <w:rPr>
                <w:rFonts w:eastAsia="Times New Roman"/>
                <w:color w:val="000000"/>
                <w:sz w:val="20"/>
                <w:szCs w:val="20"/>
                <w:lang w:eastAsia="ru-RU"/>
              </w:rPr>
              <w:t>Необходимая валовая выручка «котловая» (всего), в т.ч.:</w:t>
            </w:r>
          </w:p>
        </w:tc>
        <w:tc>
          <w:tcPr>
            <w:tcW w:w="1038" w:type="dxa"/>
            <w:tcBorders>
              <w:top w:val="single" w:sz="4" w:space="0" w:color="auto"/>
              <w:left w:val="nil"/>
              <w:bottom w:val="single" w:sz="4" w:space="0" w:color="auto"/>
              <w:right w:val="single" w:sz="4" w:space="0" w:color="auto"/>
            </w:tcBorders>
            <w:shd w:val="clear" w:color="auto" w:fill="auto"/>
            <w:vAlign w:val="center"/>
          </w:tcPr>
          <w:p w:rsidR="00A9213E" w:rsidRPr="004761E0" w:rsidRDefault="00A9213E" w:rsidP="005123D7">
            <w:pPr>
              <w:ind w:firstLine="0"/>
              <w:jc w:val="center"/>
              <w:rPr>
                <w:rFonts w:eastAsia="Times New Roman"/>
                <w:color w:val="000000"/>
                <w:sz w:val="20"/>
                <w:szCs w:val="20"/>
                <w:lang w:eastAsia="ru-RU"/>
              </w:rPr>
            </w:pPr>
            <w:r w:rsidRPr="004761E0">
              <w:rPr>
                <w:rFonts w:eastAsia="Times New Roman"/>
                <w:color w:val="000000"/>
                <w:sz w:val="20"/>
                <w:szCs w:val="20"/>
                <w:lang w:eastAsia="ru-RU"/>
              </w:rPr>
              <w:t>млн руб.</w:t>
            </w:r>
          </w:p>
        </w:tc>
        <w:tc>
          <w:tcPr>
            <w:tcW w:w="850" w:type="dxa"/>
            <w:tcBorders>
              <w:top w:val="nil"/>
              <w:left w:val="nil"/>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58 980</w:t>
            </w:r>
          </w:p>
        </w:tc>
        <w:tc>
          <w:tcPr>
            <w:tcW w:w="851" w:type="dxa"/>
            <w:tcBorders>
              <w:top w:val="nil"/>
              <w:left w:val="nil"/>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47 436</w:t>
            </w:r>
          </w:p>
        </w:tc>
        <w:tc>
          <w:tcPr>
            <w:tcW w:w="992" w:type="dxa"/>
            <w:tcBorders>
              <w:top w:val="nil"/>
              <w:left w:val="nil"/>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55 611</w:t>
            </w:r>
          </w:p>
        </w:tc>
        <w:tc>
          <w:tcPr>
            <w:tcW w:w="1134" w:type="dxa"/>
            <w:tcBorders>
              <w:top w:val="nil"/>
              <w:left w:val="nil"/>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17,23 %</w:t>
            </w:r>
          </w:p>
        </w:tc>
        <w:tc>
          <w:tcPr>
            <w:tcW w:w="992" w:type="dxa"/>
            <w:tcBorders>
              <w:top w:val="nil"/>
              <w:left w:val="nil"/>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49 119</w:t>
            </w:r>
          </w:p>
        </w:tc>
        <w:tc>
          <w:tcPr>
            <w:tcW w:w="992" w:type="dxa"/>
            <w:tcBorders>
              <w:top w:val="nil"/>
              <w:left w:val="nil"/>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52 119</w:t>
            </w:r>
          </w:p>
        </w:tc>
        <w:tc>
          <w:tcPr>
            <w:tcW w:w="851" w:type="dxa"/>
            <w:tcBorders>
              <w:top w:val="nil"/>
              <w:left w:val="nil"/>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55 849</w:t>
            </w:r>
          </w:p>
        </w:tc>
        <w:tc>
          <w:tcPr>
            <w:tcW w:w="1081" w:type="dxa"/>
            <w:tcBorders>
              <w:top w:val="nil"/>
              <w:left w:val="nil"/>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7,16 %</w:t>
            </w:r>
          </w:p>
        </w:tc>
      </w:tr>
      <w:tr w:rsidR="00A9213E" w:rsidRPr="004761E0" w:rsidTr="005123D7">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9213E" w:rsidRPr="004761E0" w:rsidRDefault="00A9213E" w:rsidP="007076A7">
            <w:pPr>
              <w:pStyle w:val="a5"/>
              <w:numPr>
                <w:ilvl w:val="1"/>
                <w:numId w:val="146"/>
              </w:numPr>
              <w:tabs>
                <w:tab w:val="left" w:pos="262"/>
              </w:tabs>
              <w:rPr>
                <w:rFonts w:eastAsia="Times New Roman"/>
                <w:color w:val="000000"/>
                <w:sz w:val="20"/>
                <w:szCs w:val="20"/>
                <w:lang w:eastAsia="ru-RU"/>
              </w:rPr>
            </w:pPr>
          </w:p>
        </w:tc>
        <w:tc>
          <w:tcPr>
            <w:tcW w:w="5625" w:type="dxa"/>
            <w:tcBorders>
              <w:top w:val="nil"/>
              <w:left w:val="nil"/>
              <w:bottom w:val="single" w:sz="4" w:space="0" w:color="auto"/>
              <w:right w:val="single" w:sz="4" w:space="0" w:color="auto"/>
            </w:tcBorders>
            <w:shd w:val="clear" w:color="auto" w:fill="auto"/>
            <w:vAlign w:val="center"/>
          </w:tcPr>
          <w:p w:rsidR="00A9213E" w:rsidRPr="004761E0" w:rsidRDefault="00A9213E" w:rsidP="005123D7">
            <w:pPr>
              <w:tabs>
                <w:tab w:val="left" w:pos="1843"/>
              </w:tabs>
              <w:ind w:left="459" w:right="-1" w:firstLine="0"/>
              <w:jc w:val="left"/>
              <w:rPr>
                <w:color w:val="000000"/>
                <w:sz w:val="20"/>
                <w:szCs w:val="20"/>
              </w:rPr>
            </w:pPr>
            <w:r w:rsidRPr="004761E0">
              <w:rPr>
                <w:color w:val="000000"/>
                <w:sz w:val="20"/>
                <w:szCs w:val="20"/>
              </w:rPr>
              <w:t xml:space="preserve">расходы на </w:t>
            </w:r>
            <w:r w:rsidR="0008080E">
              <w:rPr>
                <w:color w:val="000000"/>
                <w:sz w:val="20"/>
                <w:szCs w:val="20"/>
              </w:rPr>
              <w:t>ОАО </w:t>
            </w:r>
            <w:r w:rsidRPr="004761E0">
              <w:rPr>
                <w:color w:val="000000"/>
                <w:sz w:val="20"/>
                <w:szCs w:val="20"/>
              </w:rPr>
              <w:t>«ФСК ЕЭС»*</w:t>
            </w:r>
          </w:p>
        </w:tc>
        <w:tc>
          <w:tcPr>
            <w:tcW w:w="1038" w:type="dxa"/>
            <w:tcBorders>
              <w:top w:val="nil"/>
              <w:left w:val="nil"/>
              <w:bottom w:val="single" w:sz="4" w:space="0" w:color="auto"/>
              <w:right w:val="single" w:sz="4" w:space="0" w:color="auto"/>
            </w:tcBorders>
            <w:shd w:val="clear" w:color="auto" w:fill="auto"/>
            <w:vAlign w:val="center"/>
          </w:tcPr>
          <w:p w:rsidR="00A9213E" w:rsidRPr="004761E0" w:rsidRDefault="00A9213E" w:rsidP="005123D7">
            <w:pPr>
              <w:ind w:firstLine="0"/>
              <w:jc w:val="center"/>
              <w:rPr>
                <w:rFonts w:eastAsia="Times New Roman"/>
                <w:color w:val="000000"/>
                <w:sz w:val="20"/>
                <w:szCs w:val="20"/>
                <w:lang w:eastAsia="ru-RU"/>
              </w:rPr>
            </w:pPr>
            <w:r w:rsidRPr="004761E0">
              <w:rPr>
                <w:rFonts w:eastAsia="Times New Roman"/>
                <w:color w:val="000000"/>
                <w:sz w:val="20"/>
                <w:szCs w:val="20"/>
                <w:lang w:eastAsia="ru-RU"/>
              </w:rPr>
              <w:t>млн руб.</w:t>
            </w:r>
          </w:p>
        </w:tc>
        <w:tc>
          <w:tcPr>
            <w:tcW w:w="850" w:type="dxa"/>
            <w:tcBorders>
              <w:top w:val="nil"/>
              <w:left w:val="nil"/>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3 915</w:t>
            </w:r>
          </w:p>
        </w:tc>
        <w:tc>
          <w:tcPr>
            <w:tcW w:w="851" w:type="dxa"/>
            <w:tcBorders>
              <w:top w:val="nil"/>
              <w:left w:val="nil"/>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4 743</w:t>
            </w:r>
          </w:p>
        </w:tc>
        <w:tc>
          <w:tcPr>
            <w:tcW w:w="992" w:type="dxa"/>
            <w:tcBorders>
              <w:top w:val="nil"/>
              <w:left w:val="nil"/>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5 640</w:t>
            </w:r>
          </w:p>
        </w:tc>
        <w:tc>
          <w:tcPr>
            <w:tcW w:w="1134" w:type="dxa"/>
            <w:tcBorders>
              <w:top w:val="nil"/>
              <w:left w:val="nil"/>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18,89 %</w:t>
            </w:r>
          </w:p>
        </w:tc>
        <w:tc>
          <w:tcPr>
            <w:tcW w:w="992" w:type="dxa"/>
            <w:tcBorders>
              <w:top w:val="nil"/>
              <w:left w:val="nil"/>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8 351</w:t>
            </w:r>
          </w:p>
        </w:tc>
        <w:tc>
          <w:tcPr>
            <w:tcW w:w="992" w:type="dxa"/>
            <w:tcBorders>
              <w:top w:val="nil"/>
              <w:left w:val="nil"/>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8 781</w:t>
            </w:r>
          </w:p>
        </w:tc>
        <w:tc>
          <w:tcPr>
            <w:tcW w:w="851" w:type="dxa"/>
            <w:tcBorders>
              <w:top w:val="nil"/>
              <w:left w:val="nil"/>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9 766</w:t>
            </w:r>
          </w:p>
        </w:tc>
        <w:tc>
          <w:tcPr>
            <w:tcW w:w="1081" w:type="dxa"/>
            <w:tcBorders>
              <w:top w:val="nil"/>
              <w:left w:val="nil"/>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11,22 %</w:t>
            </w:r>
          </w:p>
        </w:tc>
      </w:tr>
      <w:tr w:rsidR="00A9213E" w:rsidRPr="004761E0" w:rsidTr="005123D7">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13E" w:rsidRPr="004761E0" w:rsidRDefault="00A9213E" w:rsidP="007076A7">
            <w:pPr>
              <w:pStyle w:val="a5"/>
              <w:numPr>
                <w:ilvl w:val="1"/>
                <w:numId w:val="146"/>
              </w:numPr>
              <w:tabs>
                <w:tab w:val="left" w:pos="262"/>
              </w:tabs>
              <w:contextualSpacing w:val="0"/>
              <w:rPr>
                <w:rFonts w:eastAsia="Times New Roman"/>
                <w:color w:val="000000"/>
                <w:sz w:val="20"/>
                <w:szCs w:val="20"/>
                <w:lang w:eastAsia="ru-RU"/>
              </w:rPr>
            </w:pPr>
          </w:p>
        </w:tc>
        <w:tc>
          <w:tcPr>
            <w:tcW w:w="5625"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tabs>
                <w:tab w:val="left" w:pos="1843"/>
              </w:tabs>
              <w:ind w:left="459" w:right="-1" w:firstLine="0"/>
              <w:jc w:val="left"/>
              <w:rPr>
                <w:color w:val="000000"/>
                <w:sz w:val="20"/>
                <w:szCs w:val="20"/>
              </w:rPr>
            </w:pPr>
            <w:r w:rsidRPr="004761E0">
              <w:rPr>
                <w:color w:val="000000"/>
                <w:sz w:val="20"/>
                <w:szCs w:val="20"/>
              </w:rPr>
              <w:t>расходы на ТСО</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center"/>
              <w:rPr>
                <w:rFonts w:eastAsia="Times New Roman"/>
                <w:color w:val="000000"/>
                <w:sz w:val="20"/>
                <w:szCs w:val="20"/>
                <w:lang w:eastAsia="ru-RU"/>
              </w:rPr>
            </w:pPr>
            <w:r w:rsidRPr="004761E0">
              <w:rPr>
                <w:rFonts w:eastAsia="Times New Roman"/>
                <w:color w:val="000000"/>
                <w:sz w:val="20"/>
                <w:szCs w:val="20"/>
                <w:lang w:eastAsia="ru-RU"/>
              </w:rPr>
              <w:t>млн руб.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14 955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6 861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11 335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65,21 %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16 568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16 653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18 215</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9,38 %</w:t>
            </w:r>
          </w:p>
        </w:tc>
      </w:tr>
      <w:tr w:rsidR="00A9213E" w:rsidRPr="004761E0" w:rsidTr="005123D7">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13E" w:rsidRPr="004761E0" w:rsidRDefault="00A9213E" w:rsidP="007076A7">
            <w:pPr>
              <w:pStyle w:val="a5"/>
              <w:numPr>
                <w:ilvl w:val="1"/>
                <w:numId w:val="146"/>
              </w:numPr>
              <w:tabs>
                <w:tab w:val="left" w:pos="262"/>
              </w:tabs>
              <w:contextualSpacing w:val="0"/>
              <w:rPr>
                <w:rFonts w:eastAsia="Times New Roman"/>
                <w:color w:val="000000"/>
                <w:sz w:val="20"/>
                <w:szCs w:val="20"/>
                <w:lang w:eastAsia="ru-RU"/>
              </w:rPr>
            </w:pPr>
          </w:p>
        </w:tc>
        <w:tc>
          <w:tcPr>
            <w:tcW w:w="5625"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tabs>
                <w:tab w:val="left" w:pos="1843"/>
              </w:tabs>
              <w:ind w:left="459" w:right="-1" w:firstLine="0"/>
              <w:jc w:val="left"/>
              <w:rPr>
                <w:color w:val="000000"/>
                <w:sz w:val="20"/>
                <w:szCs w:val="20"/>
              </w:rPr>
            </w:pPr>
            <w:r w:rsidRPr="004761E0">
              <w:rPr>
                <w:color w:val="000000"/>
                <w:sz w:val="20"/>
                <w:szCs w:val="20"/>
              </w:rPr>
              <w:t>расходы на оплату потерь*</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center"/>
              <w:rPr>
                <w:rFonts w:eastAsia="Times New Roman"/>
                <w:color w:val="000000"/>
                <w:sz w:val="20"/>
                <w:szCs w:val="20"/>
                <w:lang w:eastAsia="ru-RU"/>
              </w:rPr>
            </w:pPr>
            <w:r w:rsidRPr="004761E0">
              <w:rPr>
                <w:rFonts w:eastAsia="Times New Roman"/>
                <w:color w:val="000000"/>
                <w:sz w:val="20"/>
                <w:szCs w:val="20"/>
                <w:lang w:eastAsia="ru-RU"/>
              </w:rPr>
              <w:t>млн руб.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7 092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6 306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6 703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6,30 %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7 457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7 170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7 119</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-0,71 %</w:t>
            </w:r>
          </w:p>
        </w:tc>
      </w:tr>
      <w:tr w:rsidR="00A9213E" w:rsidRPr="004761E0" w:rsidTr="005123D7">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7076A7">
            <w:pPr>
              <w:pStyle w:val="a5"/>
              <w:numPr>
                <w:ilvl w:val="0"/>
                <w:numId w:val="142"/>
              </w:numPr>
              <w:tabs>
                <w:tab w:val="left" w:pos="262"/>
              </w:tabs>
              <w:contextualSpacing w:val="0"/>
              <w:rPr>
                <w:rFonts w:eastAsia="Times New Roman"/>
                <w:color w:val="000000"/>
                <w:sz w:val="20"/>
                <w:szCs w:val="20"/>
                <w:lang w:eastAsia="ru-RU"/>
              </w:rPr>
            </w:pPr>
          </w:p>
        </w:tc>
        <w:tc>
          <w:tcPr>
            <w:tcW w:w="5625"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left"/>
              <w:rPr>
                <w:rFonts w:eastAsia="Times New Roman"/>
                <w:color w:val="000000"/>
                <w:sz w:val="20"/>
                <w:szCs w:val="20"/>
                <w:lang w:eastAsia="ru-RU"/>
              </w:rPr>
            </w:pPr>
            <w:r w:rsidRPr="004761E0">
              <w:rPr>
                <w:rFonts w:eastAsia="Times New Roman"/>
                <w:color w:val="000000"/>
                <w:sz w:val="20"/>
                <w:szCs w:val="20"/>
                <w:lang w:eastAsia="ru-RU"/>
              </w:rPr>
              <w:t>Полезный отпуск «котловой» (с учетом потребителей ГН)</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center"/>
              <w:rPr>
                <w:rFonts w:eastAsia="Times New Roman"/>
                <w:color w:val="000000"/>
                <w:sz w:val="20"/>
                <w:szCs w:val="20"/>
                <w:lang w:eastAsia="ru-RU"/>
              </w:rPr>
            </w:pPr>
            <w:r w:rsidRPr="004761E0">
              <w:rPr>
                <w:rFonts w:eastAsia="Times New Roman"/>
                <w:color w:val="000000"/>
                <w:sz w:val="20"/>
                <w:szCs w:val="20"/>
                <w:lang w:eastAsia="ru-RU"/>
              </w:rPr>
              <w:t>млн кВтч</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37 595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30 695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33 958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10,63 %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34 862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35 620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35 669</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0,14 %</w:t>
            </w:r>
          </w:p>
        </w:tc>
      </w:tr>
      <w:tr w:rsidR="00A9213E" w:rsidRPr="004761E0" w:rsidTr="005123D7">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7076A7">
            <w:pPr>
              <w:pStyle w:val="a5"/>
              <w:numPr>
                <w:ilvl w:val="0"/>
                <w:numId w:val="142"/>
              </w:numPr>
              <w:tabs>
                <w:tab w:val="left" w:pos="262"/>
              </w:tabs>
              <w:contextualSpacing w:val="0"/>
              <w:rPr>
                <w:rFonts w:eastAsia="Times New Roman"/>
                <w:color w:val="000000"/>
                <w:sz w:val="20"/>
                <w:szCs w:val="20"/>
                <w:lang w:eastAsia="ru-RU"/>
              </w:rPr>
            </w:pPr>
          </w:p>
        </w:tc>
        <w:tc>
          <w:tcPr>
            <w:tcW w:w="5625"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left"/>
              <w:rPr>
                <w:rFonts w:eastAsia="Times New Roman"/>
                <w:color w:val="000000"/>
                <w:sz w:val="20"/>
                <w:szCs w:val="20"/>
                <w:lang w:eastAsia="ru-RU"/>
              </w:rPr>
            </w:pPr>
            <w:r w:rsidRPr="004761E0">
              <w:rPr>
                <w:rFonts w:eastAsia="Times New Roman"/>
                <w:color w:val="000000"/>
                <w:sz w:val="20"/>
                <w:szCs w:val="20"/>
                <w:lang w:eastAsia="ru-RU"/>
              </w:rPr>
              <w:t>Средний тариф «котловой»</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center"/>
              <w:rPr>
                <w:rFonts w:eastAsia="Times New Roman"/>
                <w:color w:val="000000"/>
                <w:sz w:val="20"/>
                <w:szCs w:val="20"/>
                <w:lang w:eastAsia="ru-RU"/>
              </w:rPr>
            </w:pPr>
            <w:r w:rsidRPr="004761E0">
              <w:rPr>
                <w:rFonts w:eastAsia="Times New Roman"/>
                <w:color w:val="000000"/>
                <w:sz w:val="20"/>
                <w:szCs w:val="20"/>
                <w:lang w:eastAsia="ru-RU"/>
              </w:rPr>
              <w:t>коп/кВтч</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156,88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154,54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163,76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5,97 %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140,90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146,32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156,58</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7,01 %</w:t>
            </w:r>
          </w:p>
        </w:tc>
      </w:tr>
      <w:tr w:rsidR="00A9213E" w:rsidRPr="004761E0" w:rsidTr="005123D7">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7076A7">
            <w:pPr>
              <w:pStyle w:val="a5"/>
              <w:numPr>
                <w:ilvl w:val="0"/>
                <w:numId w:val="142"/>
              </w:numPr>
              <w:tabs>
                <w:tab w:val="left" w:pos="262"/>
              </w:tabs>
              <w:contextualSpacing w:val="0"/>
              <w:rPr>
                <w:rFonts w:eastAsia="Times New Roman"/>
                <w:color w:val="000000"/>
                <w:sz w:val="20"/>
                <w:szCs w:val="20"/>
                <w:lang w:eastAsia="ru-RU"/>
              </w:rPr>
            </w:pPr>
          </w:p>
        </w:tc>
        <w:tc>
          <w:tcPr>
            <w:tcW w:w="5625"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left"/>
              <w:rPr>
                <w:rFonts w:eastAsia="Times New Roman"/>
                <w:color w:val="000000"/>
                <w:sz w:val="20"/>
                <w:szCs w:val="20"/>
                <w:lang w:eastAsia="ru-RU"/>
              </w:rPr>
            </w:pPr>
            <w:r w:rsidRPr="004761E0">
              <w:rPr>
                <w:rFonts w:eastAsia="Times New Roman"/>
                <w:color w:val="000000"/>
                <w:sz w:val="20"/>
                <w:szCs w:val="20"/>
                <w:lang w:eastAsia="ru-RU"/>
              </w:rPr>
              <w:t>Темп прироста среднего «котлового» тарифа</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center"/>
              <w:rPr>
                <w:rFonts w:eastAsia="Times New Roman"/>
                <w:color w:val="000000"/>
                <w:sz w:val="20"/>
                <w:szCs w:val="20"/>
                <w:lang w:eastAsia="ru-RU"/>
              </w:rPr>
            </w:pPr>
            <w:r w:rsidRPr="004761E0">
              <w:rPr>
                <w:rFonts w:eastAsia="Times New Roman"/>
                <w:color w:val="000000"/>
                <w:sz w:val="20"/>
                <w:szCs w:val="20"/>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19,80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16,30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3,80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7,00</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r>
      <w:tr w:rsidR="00A9213E" w:rsidRPr="004761E0" w:rsidTr="005123D7">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7076A7">
            <w:pPr>
              <w:pStyle w:val="a5"/>
              <w:numPr>
                <w:ilvl w:val="0"/>
                <w:numId w:val="142"/>
              </w:numPr>
              <w:tabs>
                <w:tab w:val="left" w:pos="262"/>
              </w:tabs>
              <w:contextualSpacing w:val="0"/>
              <w:rPr>
                <w:rFonts w:eastAsia="Times New Roman"/>
                <w:color w:val="000000"/>
                <w:sz w:val="20"/>
                <w:szCs w:val="20"/>
                <w:lang w:eastAsia="ru-RU"/>
              </w:rPr>
            </w:pPr>
          </w:p>
        </w:tc>
        <w:tc>
          <w:tcPr>
            <w:tcW w:w="5625"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Необходимая валовая выручка </w:t>
            </w:r>
            <w:r w:rsidR="0008080E">
              <w:rPr>
                <w:rFonts w:eastAsia="Times New Roman"/>
                <w:color w:val="000000"/>
                <w:sz w:val="20"/>
                <w:szCs w:val="20"/>
                <w:lang w:eastAsia="ru-RU"/>
              </w:rPr>
              <w:t>ОАО </w:t>
            </w:r>
            <w:r w:rsidRPr="004761E0">
              <w:rPr>
                <w:rFonts w:eastAsia="Times New Roman"/>
                <w:color w:val="000000"/>
                <w:sz w:val="20"/>
                <w:szCs w:val="20"/>
                <w:lang w:eastAsia="ru-RU"/>
              </w:rPr>
              <w:t>«МОЭСК»**</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center"/>
              <w:rPr>
                <w:rFonts w:eastAsia="Times New Roman"/>
                <w:color w:val="000000"/>
                <w:sz w:val="20"/>
                <w:szCs w:val="20"/>
                <w:lang w:eastAsia="ru-RU"/>
              </w:rPr>
            </w:pPr>
            <w:r w:rsidRPr="004761E0">
              <w:rPr>
                <w:rFonts w:eastAsia="Times New Roman"/>
                <w:color w:val="000000"/>
                <w:sz w:val="20"/>
                <w:szCs w:val="20"/>
                <w:lang w:eastAsia="ru-RU"/>
              </w:rPr>
              <w:t>млн руб.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44 025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40 575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44 276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9,12 %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32 551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35 466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37 634</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6,11 %</w:t>
            </w:r>
          </w:p>
        </w:tc>
      </w:tr>
      <w:tr w:rsidR="00A9213E" w:rsidRPr="004761E0" w:rsidTr="005123D7">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7076A7">
            <w:pPr>
              <w:pStyle w:val="a5"/>
              <w:numPr>
                <w:ilvl w:val="0"/>
                <w:numId w:val="142"/>
              </w:numPr>
              <w:tabs>
                <w:tab w:val="left" w:pos="262"/>
              </w:tabs>
              <w:contextualSpacing w:val="0"/>
              <w:rPr>
                <w:rFonts w:eastAsia="Times New Roman"/>
                <w:color w:val="000000"/>
                <w:sz w:val="20"/>
                <w:szCs w:val="20"/>
                <w:lang w:eastAsia="ru-RU"/>
              </w:rPr>
            </w:pPr>
          </w:p>
        </w:tc>
        <w:tc>
          <w:tcPr>
            <w:tcW w:w="5625"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Полезный отпуск </w:t>
            </w:r>
            <w:r w:rsidR="0008080E">
              <w:rPr>
                <w:rFonts w:eastAsia="Times New Roman"/>
                <w:color w:val="000000"/>
                <w:sz w:val="20"/>
                <w:szCs w:val="20"/>
                <w:lang w:eastAsia="ru-RU"/>
              </w:rPr>
              <w:t>ОАО </w:t>
            </w:r>
            <w:r w:rsidRPr="004761E0">
              <w:rPr>
                <w:rFonts w:eastAsia="Times New Roman"/>
                <w:color w:val="000000"/>
                <w:sz w:val="20"/>
                <w:szCs w:val="20"/>
                <w:lang w:eastAsia="ru-RU"/>
              </w:rPr>
              <w:t>«МОЭСК»</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center"/>
              <w:rPr>
                <w:rFonts w:eastAsia="Times New Roman"/>
                <w:color w:val="000000"/>
                <w:sz w:val="20"/>
                <w:szCs w:val="20"/>
                <w:lang w:eastAsia="ru-RU"/>
              </w:rPr>
            </w:pPr>
            <w:r w:rsidRPr="004761E0">
              <w:rPr>
                <w:rFonts w:eastAsia="Times New Roman"/>
                <w:color w:val="000000"/>
                <w:sz w:val="20"/>
                <w:szCs w:val="20"/>
                <w:lang w:eastAsia="ru-RU"/>
              </w:rPr>
              <w:t>млн кВтч</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37 211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40 753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41 240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1,20 %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35 922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36 891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36 931</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0,11 %</w:t>
            </w:r>
          </w:p>
        </w:tc>
      </w:tr>
      <w:tr w:rsidR="00A9213E" w:rsidRPr="004761E0" w:rsidTr="005123D7">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7076A7">
            <w:pPr>
              <w:pStyle w:val="a5"/>
              <w:numPr>
                <w:ilvl w:val="0"/>
                <w:numId w:val="142"/>
              </w:numPr>
              <w:tabs>
                <w:tab w:val="left" w:pos="262"/>
              </w:tabs>
              <w:contextualSpacing w:val="0"/>
              <w:rPr>
                <w:rFonts w:eastAsia="Times New Roman"/>
                <w:color w:val="000000"/>
                <w:sz w:val="20"/>
                <w:szCs w:val="20"/>
                <w:lang w:eastAsia="ru-RU"/>
              </w:rPr>
            </w:pPr>
          </w:p>
        </w:tc>
        <w:tc>
          <w:tcPr>
            <w:tcW w:w="5625"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Средний тариф </w:t>
            </w:r>
            <w:r w:rsidR="0008080E">
              <w:rPr>
                <w:rFonts w:eastAsia="Times New Roman"/>
                <w:color w:val="000000"/>
                <w:sz w:val="20"/>
                <w:szCs w:val="20"/>
                <w:lang w:eastAsia="ru-RU"/>
              </w:rPr>
              <w:t>ОАО </w:t>
            </w:r>
            <w:r w:rsidRPr="004761E0">
              <w:rPr>
                <w:rFonts w:eastAsia="Times New Roman"/>
                <w:color w:val="000000"/>
                <w:sz w:val="20"/>
                <w:szCs w:val="20"/>
                <w:lang w:eastAsia="ru-RU"/>
              </w:rPr>
              <w:t>«МОЭСК»</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center"/>
              <w:rPr>
                <w:rFonts w:eastAsia="Times New Roman"/>
                <w:color w:val="000000"/>
                <w:sz w:val="20"/>
                <w:szCs w:val="20"/>
                <w:lang w:eastAsia="ru-RU"/>
              </w:rPr>
            </w:pPr>
            <w:r w:rsidRPr="004761E0">
              <w:rPr>
                <w:rFonts w:eastAsia="Times New Roman"/>
                <w:color w:val="000000"/>
                <w:sz w:val="20"/>
                <w:szCs w:val="20"/>
                <w:lang w:eastAsia="ru-RU"/>
              </w:rPr>
              <w:t>коп/кВтч</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118,31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99,56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107,36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7,83 %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90,61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96,14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101,90</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5,99 %</w:t>
            </w:r>
          </w:p>
        </w:tc>
      </w:tr>
      <w:tr w:rsidR="00A9213E" w:rsidRPr="004761E0" w:rsidTr="005123D7">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7076A7">
            <w:pPr>
              <w:pStyle w:val="a5"/>
              <w:numPr>
                <w:ilvl w:val="0"/>
                <w:numId w:val="142"/>
              </w:numPr>
              <w:tabs>
                <w:tab w:val="left" w:pos="262"/>
              </w:tabs>
              <w:contextualSpacing w:val="0"/>
              <w:rPr>
                <w:rFonts w:eastAsia="Times New Roman"/>
                <w:color w:val="000000"/>
                <w:sz w:val="20"/>
                <w:szCs w:val="20"/>
                <w:lang w:eastAsia="ru-RU"/>
              </w:rPr>
            </w:pPr>
          </w:p>
        </w:tc>
        <w:tc>
          <w:tcPr>
            <w:tcW w:w="5625"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Темп прироста среднего тарифа </w:t>
            </w:r>
            <w:r w:rsidR="0008080E">
              <w:rPr>
                <w:rFonts w:eastAsia="Times New Roman"/>
                <w:color w:val="000000"/>
                <w:sz w:val="20"/>
                <w:szCs w:val="20"/>
                <w:lang w:eastAsia="ru-RU"/>
              </w:rPr>
              <w:t>ОАО </w:t>
            </w:r>
            <w:r w:rsidRPr="004761E0">
              <w:rPr>
                <w:rFonts w:eastAsia="Times New Roman"/>
                <w:color w:val="000000"/>
                <w:sz w:val="20"/>
                <w:szCs w:val="20"/>
                <w:lang w:eastAsia="ru-RU"/>
              </w:rPr>
              <w:t>«МОЭСК»</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center"/>
              <w:rPr>
                <w:rFonts w:eastAsia="Times New Roman"/>
                <w:color w:val="000000"/>
                <w:sz w:val="20"/>
                <w:szCs w:val="20"/>
                <w:lang w:eastAsia="ru-RU"/>
              </w:rPr>
            </w:pPr>
            <w:r w:rsidRPr="004761E0">
              <w:rPr>
                <w:rFonts w:eastAsia="Times New Roman"/>
                <w:color w:val="000000"/>
                <w:sz w:val="20"/>
                <w:szCs w:val="20"/>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11,80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-15,80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7,80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12,90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6,10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0</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r>
    </w:tbl>
    <w:p w:rsidR="00A9213E" w:rsidRPr="004761E0" w:rsidRDefault="00A9213E" w:rsidP="00A9213E">
      <w:pPr>
        <w:ind w:firstLine="0"/>
        <w:rPr>
          <w:rFonts w:eastAsia="Times New Roman" w:cs="Calibri"/>
          <w:sz w:val="20"/>
          <w:szCs w:val="26"/>
        </w:rPr>
      </w:pPr>
      <w:r w:rsidRPr="004761E0">
        <w:rPr>
          <w:rFonts w:eastAsia="Times New Roman" w:cs="Calibri"/>
          <w:sz w:val="20"/>
          <w:szCs w:val="26"/>
        </w:rPr>
        <w:t>* с учетом нагрузочных потерь;</w:t>
      </w:r>
    </w:p>
    <w:p w:rsidR="00A9213E" w:rsidRPr="004761E0" w:rsidRDefault="00A9213E" w:rsidP="00A9213E">
      <w:pPr>
        <w:pStyle w:val="a5"/>
        <w:ind w:left="0" w:firstLine="0"/>
        <w:rPr>
          <w:rFonts w:eastAsia="Times New Roman" w:cs="Calibri"/>
          <w:sz w:val="20"/>
          <w:szCs w:val="26"/>
        </w:rPr>
      </w:pPr>
      <w:r w:rsidRPr="004761E0">
        <w:rPr>
          <w:rFonts w:eastAsia="Times New Roman" w:cs="Calibri"/>
          <w:sz w:val="20"/>
          <w:szCs w:val="26"/>
        </w:rPr>
        <w:t>**</w:t>
      </w:r>
      <w:r w:rsidRPr="004761E0">
        <w:rPr>
          <w:sz w:val="20"/>
        </w:rPr>
        <w:t xml:space="preserve"> </w:t>
      </w:r>
      <w:r w:rsidRPr="004761E0">
        <w:rPr>
          <w:rFonts w:eastAsia="Times New Roman" w:cs="Calibri"/>
          <w:sz w:val="20"/>
          <w:szCs w:val="26"/>
        </w:rPr>
        <w:t xml:space="preserve">с учетом расходов на оплату услуг </w:t>
      </w:r>
      <w:r w:rsidR="0008080E">
        <w:rPr>
          <w:rFonts w:eastAsia="Times New Roman" w:cs="Calibri"/>
          <w:sz w:val="20"/>
          <w:szCs w:val="26"/>
        </w:rPr>
        <w:t>ОАО </w:t>
      </w:r>
      <w:r w:rsidRPr="004761E0">
        <w:rPr>
          <w:rFonts w:eastAsia="Times New Roman" w:cs="Calibri"/>
          <w:sz w:val="20"/>
          <w:szCs w:val="26"/>
        </w:rPr>
        <w:t>«ФСК ЕЭС», затрат на компенсацию потерь электроэнергии в сетях (без затрат на оплату услуг ТСО).</w:t>
      </w:r>
    </w:p>
    <w:p w:rsidR="00A9213E" w:rsidRPr="00D95123" w:rsidRDefault="00A9213E" w:rsidP="00D95123">
      <w:pPr>
        <w:tabs>
          <w:tab w:val="left" w:pos="426"/>
        </w:tabs>
        <w:spacing w:before="120" w:after="120"/>
        <w:ind w:firstLine="567"/>
        <w:rPr>
          <w:b/>
          <w:sz w:val="26"/>
          <w:szCs w:val="26"/>
        </w:rPr>
      </w:pPr>
      <w:r w:rsidRPr="00D95123">
        <w:rPr>
          <w:b/>
          <w:sz w:val="26"/>
          <w:szCs w:val="26"/>
        </w:rPr>
        <w:t>Долгосрочные параметры регулирования</w:t>
      </w:r>
      <w:r w:rsidRPr="006F4AB8">
        <w:rPr>
          <w:rStyle w:val="af1"/>
        </w:rPr>
        <w:footnoteReference w:id="149"/>
      </w:r>
      <w:r w:rsidRPr="00D95123">
        <w:rPr>
          <w:b/>
          <w:sz w:val="26"/>
          <w:szCs w:val="26"/>
        </w:rPr>
        <w:t xml:space="preserve"> и необходимая валовая выручка</w:t>
      </w:r>
    </w:p>
    <w:tbl>
      <w:tblPr>
        <w:tblW w:w="16257" w:type="dxa"/>
        <w:tblInd w:w="-743" w:type="dxa"/>
        <w:tblLayout w:type="fixed"/>
        <w:tblLook w:val="04A0"/>
      </w:tblPr>
      <w:tblGrid>
        <w:gridCol w:w="567"/>
        <w:gridCol w:w="3261"/>
        <w:gridCol w:w="567"/>
        <w:gridCol w:w="992"/>
        <w:gridCol w:w="992"/>
        <w:gridCol w:w="993"/>
        <w:gridCol w:w="992"/>
        <w:gridCol w:w="992"/>
        <w:gridCol w:w="992"/>
        <w:gridCol w:w="993"/>
        <w:gridCol w:w="992"/>
        <w:gridCol w:w="992"/>
        <w:gridCol w:w="992"/>
        <w:gridCol w:w="993"/>
        <w:gridCol w:w="947"/>
      </w:tblGrid>
      <w:tr w:rsidR="00A9213E" w:rsidRPr="004761E0" w:rsidTr="00867958">
        <w:trPr>
          <w:trHeight w:val="300"/>
        </w:trPr>
        <w:tc>
          <w:tcPr>
            <w:tcW w:w="567" w:type="dxa"/>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0F243E" w:themeFill="text2" w:themeFillShade="80"/>
            <w:vAlign w:val="center"/>
            <w:hideMark/>
          </w:tcPr>
          <w:p w:rsidR="00A9213E" w:rsidRPr="004761E0" w:rsidRDefault="00A9213E" w:rsidP="005123D7">
            <w:pPr>
              <w:ind w:firstLine="0"/>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 п/п</w:t>
            </w:r>
          </w:p>
        </w:tc>
        <w:tc>
          <w:tcPr>
            <w:tcW w:w="3261"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A9213E" w:rsidRPr="004761E0" w:rsidRDefault="00A9213E" w:rsidP="005123D7">
            <w:pPr>
              <w:ind w:firstLine="0"/>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Наименование категории</w:t>
            </w:r>
          </w:p>
        </w:tc>
        <w:tc>
          <w:tcPr>
            <w:tcW w:w="567"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A9213E" w:rsidRPr="004761E0" w:rsidRDefault="00A9213E" w:rsidP="005123D7">
            <w:pPr>
              <w:ind w:firstLine="0"/>
              <w:jc w:val="center"/>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Ед. изм.</w:t>
            </w:r>
          </w:p>
        </w:tc>
        <w:tc>
          <w:tcPr>
            <w:tcW w:w="5953" w:type="dxa"/>
            <w:gridSpan w:val="6"/>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A9213E" w:rsidRPr="004761E0" w:rsidRDefault="00A9213E" w:rsidP="005123D7">
            <w:pPr>
              <w:jc w:val="righ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г. Москва</w:t>
            </w:r>
          </w:p>
        </w:tc>
        <w:tc>
          <w:tcPr>
            <w:tcW w:w="5909" w:type="dxa"/>
            <w:gridSpan w:val="6"/>
            <w:tcBorders>
              <w:top w:val="single" w:sz="4" w:space="0" w:color="auto"/>
              <w:left w:val="single" w:sz="4" w:space="0" w:color="FFFFFF" w:themeColor="background1"/>
              <w:bottom w:val="single" w:sz="4" w:space="0" w:color="FFFFFF" w:themeColor="background1"/>
              <w:right w:val="single" w:sz="4" w:space="0" w:color="auto"/>
            </w:tcBorders>
            <w:shd w:val="clear" w:color="auto" w:fill="0F243E" w:themeFill="text2" w:themeFillShade="80"/>
            <w:vAlign w:val="center"/>
            <w:hideMark/>
          </w:tcPr>
          <w:p w:rsidR="00A9213E" w:rsidRPr="004761E0" w:rsidRDefault="00A9213E" w:rsidP="005123D7">
            <w:pPr>
              <w:jc w:val="righ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Московская область</w:t>
            </w:r>
          </w:p>
        </w:tc>
      </w:tr>
      <w:tr w:rsidR="00A9213E" w:rsidRPr="004761E0" w:rsidTr="00867958">
        <w:trPr>
          <w:trHeight w:val="300"/>
        </w:trPr>
        <w:tc>
          <w:tcPr>
            <w:tcW w:w="567" w:type="dxa"/>
            <w:vMerge/>
            <w:tcBorders>
              <w:top w:val="single" w:sz="4" w:space="0" w:color="FFFFFF" w:themeColor="background1"/>
              <w:left w:val="single" w:sz="4" w:space="0" w:color="auto"/>
              <w:bottom w:val="single" w:sz="4" w:space="0" w:color="000000"/>
              <w:right w:val="single" w:sz="4" w:space="0" w:color="FFFFFF" w:themeColor="background1"/>
            </w:tcBorders>
            <w:shd w:val="clear" w:color="auto" w:fill="0F243E" w:themeFill="text2" w:themeFillShade="80"/>
            <w:vAlign w:val="center"/>
            <w:hideMark/>
          </w:tcPr>
          <w:p w:rsidR="00A9213E" w:rsidRPr="004761E0" w:rsidRDefault="00A9213E" w:rsidP="005123D7">
            <w:pPr>
              <w:rPr>
                <w:rFonts w:eastAsia="Times New Roman"/>
                <w:b/>
                <w:color w:val="FFFFFF" w:themeColor="background1"/>
                <w:sz w:val="18"/>
                <w:szCs w:val="20"/>
                <w:lang w:eastAsia="ru-RU"/>
              </w:rPr>
            </w:pPr>
          </w:p>
        </w:tc>
        <w:tc>
          <w:tcPr>
            <w:tcW w:w="3261" w:type="dxa"/>
            <w:vMerge/>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0F243E" w:themeFill="text2" w:themeFillShade="80"/>
            <w:vAlign w:val="center"/>
            <w:hideMark/>
          </w:tcPr>
          <w:p w:rsidR="00A9213E" w:rsidRPr="004761E0" w:rsidRDefault="00A9213E" w:rsidP="005123D7">
            <w:pPr>
              <w:rPr>
                <w:rFonts w:eastAsia="Times New Roman"/>
                <w:b/>
                <w:color w:val="FFFFFF" w:themeColor="background1"/>
                <w:sz w:val="18"/>
                <w:szCs w:val="20"/>
                <w:lang w:eastAsia="ru-RU"/>
              </w:rPr>
            </w:pPr>
          </w:p>
        </w:tc>
        <w:tc>
          <w:tcPr>
            <w:tcW w:w="567" w:type="dxa"/>
            <w:vMerge/>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0F243E" w:themeFill="text2" w:themeFillShade="80"/>
            <w:vAlign w:val="center"/>
          </w:tcPr>
          <w:p w:rsidR="00A9213E" w:rsidRPr="004761E0" w:rsidRDefault="00A9213E" w:rsidP="005123D7">
            <w:pPr>
              <w:rPr>
                <w:rFonts w:eastAsia="Times New Roman"/>
                <w:b/>
                <w:color w:val="FFFFFF" w:themeColor="background1"/>
                <w:sz w:val="18"/>
                <w:szCs w:val="20"/>
                <w:lang w:eastAsia="ru-RU"/>
              </w:rPr>
            </w:pP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A9213E" w:rsidRPr="004761E0" w:rsidRDefault="00A9213E" w:rsidP="005123D7">
            <w:pPr>
              <w:ind w:firstLine="0"/>
              <w:jc w:val="righ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2012</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A9213E" w:rsidRPr="004761E0" w:rsidRDefault="00A9213E" w:rsidP="005123D7">
            <w:pPr>
              <w:ind w:firstLine="0"/>
              <w:jc w:val="righ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2013</w:t>
            </w:r>
          </w:p>
        </w:tc>
        <w:tc>
          <w:tcPr>
            <w:tcW w:w="9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A9213E" w:rsidRPr="004761E0" w:rsidRDefault="00A9213E" w:rsidP="005123D7">
            <w:pPr>
              <w:ind w:firstLine="0"/>
              <w:jc w:val="righ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2014</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A9213E" w:rsidRPr="004761E0" w:rsidRDefault="00A9213E" w:rsidP="005123D7">
            <w:pPr>
              <w:ind w:firstLine="0"/>
              <w:jc w:val="righ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2015</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A9213E" w:rsidRPr="004761E0" w:rsidRDefault="00A9213E" w:rsidP="005123D7">
            <w:pPr>
              <w:ind w:firstLine="0"/>
              <w:jc w:val="righ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2016</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A9213E" w:rsidRPr="004761E0" w:rsidRDefault="00A9213E" w:rsidP="005123D7">
            <w:pPr>
              <w:ind w:firstLine="0"/>
              <w:jc w:val="righ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2017</w:t>
            </w:r>
          </w:p>
        </w:tc>
        <w:tc>
          <w:tcPr>
            <w:tcW w:w="9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A9213E" w:rsidRPr="004761E0" w:rsidRDefault="00A9213E" w:rsidP="005123D7">
            <w:pPr>
              <w:ind w:firstLine="0"/>
              <w:jc w:val="righ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2012</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A9213E" w:rsidRPr="004761E0" w:rsidRDefault="00A9213E" w:rsidP="005123D7">
            <w:pPr>
              <w:ind w:firstLine="0"/>
              <w:jc w:val="righ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2013</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A9213E" w:rsidRPr="004761E0" w:rsidRDefault="00A9213E" w:rsidP="005123D7">
            <w:pPr>
              <w:ind w:firstLine="0"/>
              <w:jc w:val="righ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2014</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A9213E" w:rsidRPr="004761E0" w:rsidRDefault="00A9213E" w:rsidP="005123D7">
            <w:pPr>
              <w:ind w:firstLine="0"/>
              <w:jc w:val="righ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2015</w:t>
            </w:r>
          </w:p>
        </w:tc>
        <w:tc>
          <w:tcPr>
            <w:tcW w:w="9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A9213E" w:rsidRPr="004761E0" w:rsidRDefault="00A9213E" w:rsidP="005123D7">
            <w:pPr>
              <w:ind w:firstLine="0"/>
              <w:jc w:val="righ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2016</w:t>
            </w:r>
          </w:p>
        </w:tc>
        <w:tc>
          <w:tcPr>
            <w:tcW w:w="94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F243E" w:themeFill="text2" w:themeFillShade="80"/>
            <w:vAlign w:val="center"/>
          </w:tcPr>
          <w:p w:rsidR="00A9213E" w:rsidRPr="004761E0" w:rsidRDefault="00A9213E" w:rsidP="005123D7">
            <w:pPr>
              <w:ind w:firstLine="0"/>
              <w:jc w:val="right"/>
              <w:rPr>
                <w:rFonts w:eastAsia="Times New Roman"/>
                <w:b/>
                <w:color w:val="FFFFFF" w:themeColor="background1"/>
                <w:sz w:val="18"/>
                <w:szCs w:val="20"/>
                <w:lang w:eastAsia="ru-RU"/>
              </w:rPr>
            </w:pPr>
            <w:r w:rsidRPr="004761E0">
              <w:rPr>
                <w:rFonts w:eastAsia="Times New Roman"/>
                <w:b/>
                <w:color w:val="FFFFFF" w:themeColor="background1"/>
                <w:sz w:val="18"/>
                <w:szCs w:val="20"/>
                <w:lang w:eastAsia="ru-RU"/>
              </w:rPr>
              <w:t>2017</w:t>
            </w:r>
          </w:p>
        </w:tc>
      </w:tr>
      <w:tr w:rsidR="00A9213E" w:rsidRPr="004761E0" w:rsidTr="00867958">
        <w:trPr>
          <w:trHeight w:val="300"/>
        </w:trPr>
        <w:tc>
          <w:tcPr>
            <w:tcW w:w="567" w:type="dxa"/>
            <w:tcBorders>
              <w:top w:val="nil"/>
              <w:left w:val="single" w:sz="4" w:space="0" w:color="auto"/>
              <w:bottom w:val="single" w:sz="4" w:space="0" w:color="auto"/>
              <w:right w:val="single" w:sz="4" w:space="0" w:color="auto"/>
            </w:tcBorders>
            <w:shd w:val="clear" w:color="auto" w:fill="auto"/>
            <w:vAlign w:val="center"/>
          </w:tcPr>
          <w:p w:rsidR="00A9213E" w:rsidRPr="004761E0" w:rsidRDefault="00A9213E" w:rsidP="007076A7">
            <w:pPr>
              <w:numPr>
                <w:ilvl w:val="0"/>
                <w:numId w:val="143"/>
              </w:numPr>
              <w:tabs>
                <w:tab w:val="left" w:pos="262"/>
              </w:tabs>
              <w:ind w:left="47" w:firstLine="0"/>
              <w:rPr>
                <w:rFonts w:eastAsia="Times New Roman"/>
                <w:color w:val="000000"/>
                <w:sz w:val="18"/>
                <w:szCs w:val="20"/>
                <w:lang w:eastAsia="ru-RU"/>
              </w:rPr>
            </w:pPr>
          </w:p>
        </w:tc>
        <w:tc>
          <w:tcPr>
            <w:tcW w:w="3261" w:type="dxa"/>
            <w:tcBorders>
              <w:top w:val="single" w:sz="4" w:space="0" w:color="000000"/>
              <w:left w:val="nil"/>
              <w:bottom w:val="single" w:sz="4" w:space="0" w:color="auto"/>
              <w:right w:val="single" w:sz="4" w:space="0" w:color="auto"/>
            </w:tcBorders>
            <w:shd w:val="clear" w:color="auto" w:fill="auto"/>
            <w:vAlign w:val="center"/>
          </w:tcPr>
          <w:p w:rsidR="00A9213E" w:rsidRPr="004761E0" w:rsidRDefault="00A9213E" w:rsidP="005123D7">
            <w:pPr>
              <w:ind w:firstLine="0"/>
              <w:jc w:val="left"/>
              <w:rPr>
                <w:rFonts w:eastAsia="Times New Roman"/>
                <w:color w:val="000000"/>
                <w:sz w:val="18"/>
                <w:szCs w:val="16"/>
                <w:lang w:eastAsia="ru-RU"/>
              </w:rPr>
            </w:pPr>
            <w:r w:rsidRPr="004761E0">
              <w:rPr>
                <w:rFonts w:eastAsia="Times New Roman"/>
                <w:color w:val="000000"/>
                <w:sz w:val="18"/>
                <w:szCs w:val="16"/>
                <w:lang w:eastAsia="ru-RU"/>
              </w:rPr>
              <w:t>Базовый уровень операционных расходов</w:t>
            </w:r>
          </w:p>
        </w:tc>
        <w:tc>
          <w:tcPr>
            <w:tcW w:w="567" w:type="dxa"/>
            <w:tcBorders>
              <w:top w:val="single" w:sz="4" w:space="0" w:color="000000"/>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center"/>
              <w:rPr>
                <w:rFonts w:eastAsia="Times New Roman"/>
                <w:color w:val="000000"/>
                <w:sz w:val="18"/>
                <w:szCs w:val="16"/>
                <w:lang w:eastAsia="ru-RU"/>
              </w:rPr>
            </w:pPr>
            <w:r w:rsidRPr="004761E0">
              <w:rPr>
                <w:rFonts w:eastAsia="Times New Roman"/>
                <w:color w:val="000000"/>
                <w:sz w:val="18"/>
                <w:szCs w:val="16"/>
                <w:lang w:eastAsia="ru-RU"/>
              </w:rPr>
              <w:t>млн руб.</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12 483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12 483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12 483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12 483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12 483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12 483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8 655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8 655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8 655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8 655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8 655</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8 655</w:t>
            </w:r>
          </w:p>
        </w:tc>
      </w:tr>
      <w:tr w:rsidR="00A9213E" w:rsidRPr="004761E0" w:rsidTr="00867958">
        <w:trPr>
          <w:trHeight w:val="300"/>
        </w:trPr>
        <w:tc>
          <w:tcPr>
            <w:tcW w:w="567" w:type="dxa"/>
            <w:tcBorders>
              <w:top w:val="nil"/>
              <w:left w:val="single" w:sz="4" w:space="0" w:color="auto"/>
              <w:bottom w:val="single" w:sz="4" w:space="0" w:color="auto"/>
              <w:right w:val="single" w:sz="4" w:space="0" w:color="auto"/>
            </w:tcBorders>
            <w:shd w:val="clear" w:color="auto" w:fill="auto"/>
            <w:vAlign w:val="center"/>
          </w:tcPr>
          <w:p w:rsidR="00A9213E" w:rsidRPr="004761E0" w:rsidRDefault="00A9213E" w:rsidP="007076A7">
            <w:pPr>
              <w:numPr>
                <w:ilvl w:val="0"/>
                <w:numId w:val="143"/>
              </w:numPr>
              <w:tabs>
                <w:tab w:val="left" w:pos="262"/>
              </w:tabs>
              <w:ind w:left="47" w:firstLine="0"/>
              <w:rPr>
                <w:rFonts w:eastAsia="Times New Roman"/>
                <w:color w:val="000000"/>
                <w:sz w:val="18"/>
                <w:szCs w:val="20"/>
                <w:lang w:eastAsia="ru-RU"/>
              </w:rPr>
            </w:pPr>
          </w:p>
        </w:tc>
        <w:tc>
          <w:tcPr>
            <w:tcW w:w="3261" w:type="dxa"/>
            <w:tcBorders>
              <w:top w:val="single" w:sz="4" w:space="0" w:color="auto"/>
              <w:left w:val="nil"/>
              <w:bottom w:val="single" w:sz="4" w:space="0" w:color="auto"/>
              <w:right w:val="single" w:sz="4" w:space="0" w:color="auto"/>
            </w:tcBorders>
            <w:shd w:val="clear" w:color="auto" w:fill="auto"/>
            <w:vAlign w:val="center"/>
          </w:tcPr>
          <w:p w:rsidR="00A9213E" w:rsidRPr="004761E0" w:rsidRDefault="00A9213E" w:rsidP="005123D7">
            <w:pPr>
              <w:ind w:firstLine="0"/>
              <w:jc w:val="left"/>
              <w:rPr>
                <w:rFonts w:eastAsia="Times New Roman"/>
                <w:color w:val="000000"/>
                <w:sz w:val="18"/>
                <w:szCs w:val="16"/>
                <w:lang w:eastAsia="ru-RU"/>
              </w:rPr>
            </w:pPr>
            <w:r w:rsidRPr="004761E0">
              <w:rPr>
                <w:rFonts w:eastAsia="Times New Roman"/>
                <w:color w:val="000000"/>
                <w:sz w:val="18"/>
                <w:szCs w:val="16"/>
                <w:lang w:eastAsia="ru-RU"/>
              </w:rPr>
              <w:t>Индекс эффективности операционных расходов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center"/>
              <w:rPr>
                <w:rFonts w:eastAsia="Times New Roman"/>
                <w:color w:val="000000"/>
                <w:sz w:val="18"/>
                <w:szCs w:val="16"/>
                <w:lang w:eastAsia="ru-RU"/>
              </w:rPr>
            </w:pPr>
            <w:r w:rsidRPr="004761E0">
              <w:rPr>
                <w:rFonts w:eastAsia="Times New Roman"/>
                <w:color w:val="000000"/>
                <w:sz w:val="18"/>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2</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2</w:t>
            </w:r>
          </w:p>
        </w:tc>
      </w:tr>
      <w:tr w:rsidR="00A9213E" w:rsidRPr="004761E0" w:rsidTr="00867958">
        <w:trPr>
          <w:trHeight w:val="300"/>
        </w:trPr>
        <w:tc>
          <w:tcPr>
            <w:tcW w:w="567" w:type="dxa"/>
            <w:tcBorders>
              <w:top w:val="nil"/>
              <w:left w:val="single" w:sz="4" w:space="0" w:color="auto"/>
              <w:bottom w:val="single" w:sz="4" w:space="0" w:color="auto"/>
              <w:right w:val="single" w:sz="4" w:space="0" w:color="auto"/>
            </w:tcBorders>
            <w:shd w:val="clear" w:color="auto" w:fill="auto"/>
            <w:vAlign w:val="center"/>
          </w:tcPr>
          <w:p w:rsidR="00A9213E" w:rsidRPr="004761E0" w:rsidRDefault="00A9213E" w:rsidP="007076A7">
            <w:pPr>
              <w:numPr>
                <w:ilvl w:val="0"/>
                <w:numId w:val="143"/>
              </w:numPr>
              <w:tabs>
                <w:tab w:val="left" w:pos="262"/>
              </w:tabs>
              <w:ind w:left="47" w:firstLine="0"/>
              <w:rPr>
                <w:rFonts w:eastAsia="Times New Roman"/>
                <w:color w:val="000000"/>
                <w:sz w:val="18"/>
                <w:szCs w:val="20"/>
                <w:lang w:eastAsia="ru-RU"/>
              </w:rPr>
            </w:pPr>
          </w:p>
        </w:tc>
        <w:tc>
          <w:tcPr>
            <w:tcW w:w="3261" w:type="dxa"/>
            <w:tcBorders>
              <w:top w:val="single" w:sz="4" w:space="0" w:color="auto"/>
              <w:left w:val="nil"/>
              <w:bottom w:val="single" w:sz="4" w:space="0" w:color="auto"/>
              <w:right w:val="single" w:sz="4" w:space="0" w:color="auto"/>
            </w:tcBorders>
            <w:shd w:val="clear" w:color="auto" w:fill="auto"/>
            <w:vAlign w:val="center"/>
          </w:tcPr>
          <w:p w:rsidR="00A9213E" w:rsidRPr="004761E0" w:rsidRDefault="00A9213E" w:rsidP="005123D7">
            <w:pPr>
              <w:ind w:firstLine="0"/>
              <w:jc w:val="left"/>
              <w:rPr>
                <w:rFonts w:eastAsia="Times New Roman"/>
                <w:color w:val="000000"/>
                <w:sz w:val="18"/>
                <w:szCs w:val="16"/>
                <w:lang w:eastAsia="ru-RU"/>
              </w:rPr>
            </w:pPr>
            <w:r w:rsidRPr="004761E0">
              <w:rPr>
                <w:rFonts w:eastAsia="Times New Roman"/>
                <w:color w:val="000000"/>
                <w:sz w:val="18"/>
                <w:szCs w:val="16"/>
                <w:lang w:eastAsia="ru-RU"/>
              </w:rPr>
              <w:t>Размер инвестированного капитала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center"/>
              <w:rPr>
                <w:rFonts w:eastAsia="Times New Roman"/>
                <w:color w:val="000000"/>
                <w:sz w:val="18"/>
                <w:szCs w:val="16"/>
                <w:lang w:eastAsia="ru-RU"/>
              </w:rPr>
            </w:pPr>
            <w:r w:rsidRPr="004761E0">
              <w:rPr>
                <w:rFonts w:eastAsia="Times New Roman"/>
                <w:color w:val="000000"/>
                <w:sz w:val="18"/>
                <w:szCs w:val="16"/>
                <w:lang w:eastAsia="ru-RU"/>
              </w:rPr>
              <w:t>млн руб.</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123 401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123 401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123 401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123 401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123 401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123 401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59 095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59 095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59 095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59 095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59 095</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59 095</w:t>
            </w:r>
          </w:p>
        </w:tc>
      </w:tr>
      <w:tr w:rsidR="00A9213E" w:rsidRPr="004761E0" w:rsidTr="00867958">
        <w:trPr>
          <w:trHeight w:val="300"/>
        </w:trPr>
        <w:tc>
          <w:tcPr>
            <w:tcW w:w="567" w:type="dxa"/>
            <w:tcBorders>
              <w:top w:val="nil"/>
              <w:left w:val="single" w:sz="4" w:space="0" w:color="auto"/>
              <w:bottom w:val="single" w:sz="4" w:space="0" w:color="auto"/>
              <w:right w:val="single" w:sz="4" w:space="0" w:color="auto"/>
            </w:tcBorders>
            <w:shd w:val="clear" w:color="auto" w:fill="auto"/>
            <w:vAlign w:val="center"/>
          </w:tcPr>
          <w:p w:rsidR="00A9213E" w:rsidRPr="004761E0" w:rsidRDefault="00A9213E" w:rsidP="007076A7">
            <w:pPr>
              <w:numPr>
                <w:ilvl w:val="0"/>
                <w:numId w:val="143"/>
              </w:numPr>
              <w:tabs>
                <w:tab w:val="left" w:pos="262"/>
              </w:tabs>
              <w:ind w:left="47" w:firstLine="0"/>
              <w:rPr>
                <w:rFonts w:eastAsia="Times New Roman"/>
                <w:color w:val="000000"/>
                <w:sz w:val="18"/>
                <w:szCs w:val="20"/>
                <w:lang w:eastAsia="ru-RU"/>
              </w:rPr>
            </w:pPr>
          </w:p>
        </w:tc>
        <w:tc>
          <w:tcPr>
            <w:tcW w:w="3261" w:type="dxa"/>
            <w:tcBorders>
              <w:top w:val="single" w:sz="4" w:space="0" w:color="auto"/>
              <w:left w:val="nil"/>
              <w:bottom w:val="single" w:sz="4" w:space="0" w:color="auto"/>
              <w:right w:val="single" w:sz="4" w:space="0" w:color="auto"/>
            </w:tcBorders>
            <w:shd w:val="clear" w:color="auto" w:fill="auto"/>
            <w:vAlign w:val="center"/>
          </w:tcPr>
          <w:p w:rsidR="00A9213E" w:rsidRPr="004761E0" w:rsidRDefault="00A9213E" w:rsidP="005123D7">
            <w:pPr>
              <w:ind w:firstLine="0"/>
              <w:jc w:val="left"/>
              <w:rPr>
                <w:rFonts w:eastAsia="Times New Roman"/>
                <w:color w:val="000000"/>
                <w:sz w:val="18"/>
                <w:szCs w:val="16"/>
                <w:lang w:eastAsia="ru-RU"/>
              </w:rPr>
            </w:pPr>
            <w:r w:rsidRPr="004761E0">
              <w:rPr>
                <w:rFonts w:eastAsia="Times New Roman"/>
                <w:color w:val="000000"/>
                <w:sz w:val="18"/>
                <w:szCs w:val="16"/>
                <w:lang w:eastAsia="ru-RU"/>
              </w:rPr>
              <w:t>Чистый оборотный капитал</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center"/>
              <w:rPr>
                <w:rFonts w:eastAsia="Times New Roman"/>
                <w:color w:val="000000"/>
                <w:sz w:val="18"/>
                <w:szCs w:val="16"/>
                <w:lang w:eastAsia="ru-RU"/>
              </w:rPr>
            </w:pPr>
            <w:r w:rsidRPr="004761E0">
              <w:rPr>
                <w:rFonts w:eastAsia="Times New Roman"/>
                <w:color w:val="000000"/>
                <w:sz w:val="18"/>
                <w:szCs w:val="16"/>
                <w:lang w:eastAsia="ru-RU"/>
              </w:rPr>
              <w:t>млн руб.</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739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685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806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885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1 016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1 136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566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611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681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770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854</w:t>
            </w:r>
          </w:p>
        </w:tc>
      </w:tr>
      <w:tr w:rsidR="00A9213E" w:rsidRPr="004761E0" w:rsidTr="00867958">
        <w:trPr>
          <w:trHeight w:val="300"/>
        </w:trPr>
        <w:tc>
          <w:tcPr>
            <w:tcW w:w="567" w:type="dxa"/>
            <w:tcBorders>
              <w:top w:val="nil"/>
              <w:left w:val="single" w:sz="4" w:space="0" w:color="auto"/>
              <w:bottom w:val="single" w:sz="4" w:space="0" w:color="auto"/>
              <w:right w:val="single" w:sz="4" w:space="0" w:color="auto"/>
            </w:tcBorders>
            <w:shd w:val="clear" w:color="auto" w:fill="auto"/>
            <w:vAlign w:val="center"/>
          </w:tcPr>
          <w:p w:rsidR="00A9213E" w:rsidRPr="004761E0" w:rsidRDefault="00A9213E" w:rsidP="007076A7">
            <w:pPr>
              <w:numPr>
                <w:ilvl w:val="0"/>
                <w:numId w:val="143"/>
              </w:numPr>
              <w:tabs>
                <w:tab w:val="left" w:pos="262"/>
              </w:tabs>
              <w:ind w:left="47" w:firstLine="0"/>
              <w:rPr>
                <w:rFonts w:eastAsia="Times New Roman"/>
                <w:color w:val="000000"/>
                <w:sz w:val="18"/>
                <w:szCs w:val="20"/>
                <w:lang w:eastAsia="ru-RU"/>
              </w:rPr>
            </w:pPr>
          </w:p>
        </w:tc>
        <w:tc>
          <w:tcPr>
            <w:tcW w:w="3261" w:type="dxa"/>
            <w:tcBorders>
              <w:top w:val="single" w:sz="4" w:space="0" w:color="auto"/>
              <w:left w:val="nil"/>
              <w:bottom w:val="single" w:sz="4" w:space="0" w:color="auto"/>
              <w:right w:val="single" w:sz="4" w:space="0" w:color="auto"/>
            </w:tcBorders>
            <w:shd w:val="clear" w:color="auto" w:fill="auto"/>
            <w:vAlign w:val="center"/>
          </w:tcPr>
          <w:p w:rsidR="00A9213E" w:rsidRPr="004761E0" w:rsidRDefault="00A9213E" w:rsidP="005123D7">
            <w:pPr>
              <w:ind w:firstLine="0"/>
              <w:jc w:val="left"/>
              <w:rPr>
                <w:rFonts w:eastAsia="Times New Roman"/>
                <w:color w:val="000000"/>
                <w:sz w:val="18"/>
                <w:szCs w:val="16"/>
                <w:lang w:eastAsia="ru-RU"/>
              </w:rPr>
            </w:pPr>
            <w:r w:rsidRPr="004761E0">
              <w:rPr>
                <w:rFonts w:eastAsia="Times New Roman"/>
                <w:color w:val="000000"/>
                <w:sz w:val="18"/>
                <w:szCs w:val="16"/>
                <w:lang w:eastAsia="ru-RU"/>
              </w:rPr>
              <w:t>Норма доходности на «старый» капитал</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center"/>
              <w:rPr>
                <w:rFonts w:eastAsia="Times New Roman"/>
                <w:color w:val="000000"/>
                <w:sz w:val="18"/>
                <w:szCs w:val="16"/>
                <w:lang w:eastAsia="ru-RU"/>
              </w:rPr>
            </w:pPr>
            <w:r w:rsidRPr="004761E0">
              <w:rPr>
                <w:rFonts w:eastAsia="Times New Roman"/>
                <w:color w:val="000000"/>
                <w:sz w:val="18"/>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5,5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7,5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11,0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6,9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7,8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8,0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8,0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11,0</w:t>
            </w:r>
          </w:p>
        </w:tc>
      </w:tr>
      <w:tr w:rsidR="00A9213E" w:rsidRPr="004761E0" w:rsidTr="00867958">
        <w:trPr>
          <w:trHeight w:val="300"/>
        </w:trPr>
        <w:tc>
          <w:tcPr>
            <w:tcW w:w="567" w:type="dxa"/>
            <w:tcBorders>
              <w:top w:val="nil"/>
              <w:left w:val="single" w:sz="4" w:space="0" w:color="auto"/>
              <w:bottom w:val="single" w:sz="4" w:space="0" w:color="auto"/>
              <w:right w:val="single" w:sz="4" w:space="0" w:color="auto"/>
            </w:tcBorders>
            <w:shd w:val="clear" w:color="auto" w:fill="auto"/>
            <w:vAlign w:val="center"/>
          </w:tcPr>
          <w:p w:rsidR="00A9213E" w:rsidRPr="004761E0" w:rsidRDefault="00A9213E" w:rsidP="007076A7">
            <w:pPr>
              <w:numPr>
                <w:ilvl w:val="0"/>
                <w:numId w:val="143"/>
              </w:numPr>
              <w:tabs>
                <w:tab w:val="left" w:pos="262"/>
              </w:tabs>
              <w:ind w:left="47" w:firstLine="0"/>
              <w:rPr>
                <w:rFonts w:eastAsia="Times New Roman"/>
                <w:color w:val="000000"/>
                <w:sz w:val="18"/>
                <w:szCs w:val="20"/>
                <w:lang w:eastAsia="ru-RU"/>
              </w:rPr>
            </w:pPr>
          </w:p>
        </w:tc>
        <w:tc>
          <w:tcPr>
            <w:tcW w:w="3261" w:type="dxa"/>
            <w:tcBorders>
              <w:top w:val="single" w:sz="4" w:space="0" w:color="auto"/>
              <w:left w:val="nil"/>
              <w:bottom w:val="single" w:sz="4" w:space="0" w:color="auto"/>
              <w:right w:val="single" w:sz="4" w:space="0" w:color="auto"/>
            </w:tcBorders>
            <w:shd w:val="clear" w:color="auto" w:fill="auto"/>
            <w:vAlign w:val="center"/>
          </w:tcPr>
          <w:p w:rsidR="00A9213E" w:rsidRPr="004761E0" w:rsidRDefault="00A9213E" w:rsidP="005123D7">
            <w:pPr>
              <w:ind w:firstLine="0"/>
              <w:jc w:val="left"/>
              <w:rPr>
                <w:rFonts w:eastAsia="Times New Roman"/>
                <w:color w:val="000000"/>
                <w:sz w:val="18"/>
                <w:szCs w:val="16"/>
                <w:lang w:eastAsia="ru-RU"/>
              </w:rPr>
            </w:pPr>
            <w:r w:rsidRPr="004761E0">
              <w:rPr>
                <w:rFonts w:eastAsia="Times New Roman"/>
                <w:color w:val="000000"/>
                <w:sz w:val="18"/>
                <w:szCs w:val="16"/>
                <w:lang w:eastAsia="ru-RU"/>
              </w:rPr>
              <w:t>Норма доходности на «новый» капитал</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center"/>
              <w:rPr>
                <w:rFonts w:eastAsia="Times New Roman"/>
                <w:color w:val="000000"/>
                <w:sz w:val="18"/>
                <w:szCs w:val="16"/>
                <w:lang w:eastAsia="ru-RU"/>
              </w:rPr>
            </w:pPr>
            <w:r w:rsidRPr="004761E0">
              <w:rPr>
                <w:rFonts w:eastAsia="Times New Roman"/>
                <w:color w:val="000000"/>
                <w:sz w:val="18"/>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11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11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11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11</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11</w:t>
            </w:r>
          </w:p>
        </w:tc>
      </w:tr>
      <w:tr w:rsidR="00A9213E" w:rsidRPr="004761E0" w:rsidTr="00867958">
        <w:trPr>
          <w:trHeight w:val="300"/>
        </w:trPr>
        <w:tc>
          <w:tcPr>
            <w:tcW w:w="567" w:type="dxa"/>
            <w:tcBorders>
              <w:top w:val="nil"/>
              <w:left w:val="single" w:sz="4" w:space="0" w:color="auto"/>
              <w:bottom w:val="single" w:sz="4" w:space="0" w:color="auto"/>
              <w:right w:val="single" w:sz="4" w:space="0" w:color="auto"/>
            </w:tcBorders>
            <w:shd w:val="clear" w:color="auto" w:fill="auto"/>
            <w:vAlign w:val="center"/>
          </w:tcPr>
          <w:p w:rsidR="00A9213E" w:rsidRPr="004761E0" w:rsidRDefault="00A9213E" w:rsidP="007076A7">
            <w:pPr>
              <w:numPr>
                <w:ilvl w:val="0"/>
                <w:numId w:val="143"/>
              </w:numPr>
              <w:tabs>
                <w:tab w:val="left" w:pos="262"/>
              </w:tabs>
              <w:ind w:left="47" w:firstLine="0"/>
              <w:rPr>
                <w:rFonts w:eastAsia="Times New Roman"/>
                <w:color w:val="000000"/>
                <w:sz w:val="18"/>
                <w:szCs w:val="20"/>
                <w:lang w:eastAsia="ru-RU"/>
              </w:rPr>
            </w:pPr>
          </w:p>
        </w:tc>
        <w:tc>
          <w:tcPr>
            <w:tcW w:w="3261" w:type="dxa"/>
            <w:tcBorders>
              <w:top w:val="single" w:sz="4" w:space="0" w:color="auto"/>
              <w:left w:val="nil"/>
              <w:bottom w:val="single" w:sz="4" w:space="0" w:color="auto"/>
              <w:right w:val="single" w:sz="4" w:space="0" w:color="auto"/>
            </w:tcBorders>
            <w:shd w:val="clear" w:color="auto" w:fill="auto"/>
            <w:vAlign w:val="center"/>
          </w:tcPr>
          <w:p w:rsidR="00A9213E" w:rsidRPr="004761E0" w:rsidRDefault="00A9213E" w:rsidP="005123D7">
            <w:pPr>
              <w:ind w:firstLine="0"/>
              <w:jc w:val="left"/>
              <w:rPr>
                <w:rFonts w:eastAsia="Times New Roman"/>
                <w:color w:val="000000"/>
                <w:sz w:val="18"/>
                <w:szCs w:val="16"/>
                <w:lang w:eastAsia="ru-RU"/>
              </w:rPr>
            </w:pPr>
            <w:r w:rsidRPr="004761E0">
              <w:rPr>
                <w:rFonts w:eastAsia="Times New Roman"/>
                <w:color w:val="000000"/>
                <w:sz w:val="18"/>
                <w:szCs w:val="16"/>
                <w:lang w:eastAsia="ru-RU"/>
              </w:rPr>
              <w:t>Срок возврата инвестированного капитала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center"/>
              <w:rPr>
                <w:rFonts w:eastAsia="Times New Roman"/>
                <w:color w:val="000000"/>
                <w:sz w:val="18"/>
                <w:szCs w:val="16"/>
                <w:lang w:eastAsia="ru-RU"/>
              </w:rPr>
            </w:pPr>
            <w:r w:rsidRPr="004761E0">
              <w:rPr>
                <w:rFonts w:eastAsia="Times New Roman"/>
                <w:color w:val="000000"/>
                <w:sz w:val="18"/>
                <w:szCs w:val="16"/>
                <w:lang w:eastAsia="ru-RU"/>
              </w:rPr>
              <w:t>лет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35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35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35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35</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35</w:t>
            </w:r>
          </w:p>
        </w:tc>
      </w:tr>
      <w:tr w:rsidR="00A9213E" w:rsidRPr="004761E0" w:rsidTr="00867958">
        <w:trPr>
          <w:trHeight w:val="300"/>
        </w:trPr>
        <w:tc>
          <w:tcPr>
            <w:tcW w:w="567" w:type="dxa"/>
            <w:tcBorders>
              <w:top w:val="nil"/>
              <w:left w:val="single" w:sz="4" w:space="0" w:color="auto"/>
              <w:bottom w:val="single" w:sz="4" w:space="0" w:color="auto"/>
              <w:right w:val="single" w:sz="4" w:space="0" w:color="auto"/>
            </w:tcBorders>
            <w:shd w:val="clear" w:color="auto" w:fill="auto"/>
            <w:vAlign w:val="center"/>
          </w:tcPr>
          <w:p w:rsidR="00A9213E" w:rsidRPr="004761E0" w:rsidRDefault="00A9213E" w:rsidP="007076A7">
            <w:pPr>
              <w:numPr>
                <w:ilvl w:val="0"/>
                <w:numId w:val="143"/>
              </w:numPr>
              <w:tabs>
                <w:tab w:val="left" w:pos="262"/>
              </w:tabs>
              <w:ind w:left="47" w:firstLine="0"/>
              <w:rPr>
                <w:rFonts w:eastAsia="Times New Roman"/>
                <w:color w:val="000000"/>
                <w:sz w:val="18"/>
                <w:szCs w:val="20"/>
                <w:lang w:eastAsia="ru-RU"/>
              </w:rPr>
            </w:pPr>
          </w:p>
        </w:tc>
        <w:tc>
          <w:tcPr>
            <w:tcW w:w="3261" w:type="dxa"/>
            <w:tcBorders>
              <w:top w:val="single" w:sz="4" w:space="0" w:color="auto"/>
              <w:left w:val="nil"/>
              <w:bottom w:val="single" w:sz="4" w:space="0" w:color="auto"/>
              <w:right w:val="single" w:sz="4" w:space="0" w:color="auto"/>
            </w:tcBorders>
            <w:shd w:val="clear" w:color="auto" w:fill="auto"/>
            <w:vAlign w:val="center"/>
          </w:tcPr>
          <w:p w:rsidR="00A9213E" w:rsidRPr="004761E0" w:rsidRDefault="00A9213E" w:rsidP="005123D7">
            <w:pPr>
              <w:ind w:firstLine="0"/>
              <w:jc w:val="left"/>
              <w:rPr>
                <w:rFonts w:eastAsia="Times New Roman"/>
                <w:color w:val="000000"/>
                <w:sz w:val="18"/>
                <w:szCs w:val="16"/>
                <w:lang w:eastAsia="ru-RU"/>
              </w:rPr>
            </w:pPr>
            <w:r w:rsidRPr="004761E0">
              <w:rPr>
                <w:rFonts w:eastAsia="Times New Roman"/>
                <w:color w:val="000000"/>
                <w:sz w:val="18"/>
                <w:szCs w:val="16"/>
                <w:lang w:eastAsia="ru-RU"/>
              </w:rPr>
              <w:t>Коэффициент эластичности подконтрольных расходов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center"/>
              <w:rPr>
                <w:rFonts w:eastAsia="Times New Roman"/>
                <w:color w:val="000000"/>
                <w:sz w:val="18"/>
                <w:szCs w:val="16"/>
                <w:lang w:eastAsia="ru-RU"/>
              </w:rPr>
            </w:pPr>
            <w:r w:rsidRPr="004761E0">
              <w:rPr>
                <w:rFonts w:eastAsia="Times New Roman"/>
                <w:color w:val="000000"/>
                <w:sz w:val="18"/>
                <w:szCs w:val="16"/>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0,75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0,75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0,75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0,75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0,75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0,75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0,75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0,75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0,75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0,75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0,75</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0,75</w:t>
            </w:r>
          </w:p>
        </w:tc>
      </w:tr>
      <w:tr w:rsidR="00A9213E" w:rsidRPr="004761E0" w:rsidTr="00867958">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A9213E" w:rsidRPr="004761E0" w:rsidRDefault="00A9213E" w:rsidP="007076A7">
            <w:pPr>
              <w:numPr>
                <w:ilvl w:val="0"/>
                <w:numId w:val="143"/>
              </w:numPr>
              <w:tabs>
                <w:tab w:val="left" w:pos="262"/>
              </w:tabs>
              <w:ind w:left="47" w:firstLine="0"/>
              <w:rPr>
                <w:rFonts w:eastAsia="Times New Roman"/>
                <w:color w:val="000000"/>
                <w:sz w:val="18"/>
                <w:szCs w:val="20"/>
                <w:lang w:eastAsia="ru-RU"/>
              </w:rPr>
            </w:pPr>
          </w:p>
        </w:tc>
        <w:tc>
          <w:tcPr>
            <w:tcW w:w="3261" w:type="dxa"/>
            <w:tcBorders>
              <w:top w:val="single" w:sz="4" w:space="0" w:color="auto"/>
              <w:left w:val="nil"/>
              <w:bottom w:val="single" w:sz="4" w:space="0" w:color="auto"/>
              <w:right w:val="single" w:sz="4" w:space="0" w:color="auto"/>
            </w:tcBorders>
            <w:shd w:val="clear" w:color="auto" w:fill="auto"/>
            <w:vAlign w:val="center"/>
          </w:tcPr>
          <w:p w:rsidR="00A9213E" w:rsidRPr="004761E0" w:rsidRDefault="00A9213E" w:rsidP="005123D7">
            <w:pPr>
              <w:ind w:firstLine="0"/>
              <w:jc w:val="left"/>
              <w:rPr>
                <w:rFonts w:eastAsia="Times New Roman"/>
                <w:color w:val="000000"/>
                <w:sz w:val="18"/>
                <w:szCs w:val="16"/>
                <w:lang w:eastAsia="ru-RU"/>
              </w:rPr>
            </w:pPr>
            <w:r w:rsidRPr="004761E0">
              <w:rPr>
                <w:rFonts w:eastAsia="Times New Roman"/>
                <w:color w:val="000000"/>
                <w:sz w:val="18"/>
                <w:szCs w:val="16"/>
                <w:lang w:eastAsia="ru-RU"/>
              </w:rPr>
              <w:t>Норматив технологического расхода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center"/>
              <w:rPr>
                <w:rFonts w:eastAsia="Times New Roman"/>
                <w:color w:val="000000"/>
                <w:sz w:val="18"/>
                <w:szCs w:val="16"/>
                <w:lang w:eastAsia="ru-RU"/>
              </w:rPr>
            </w:pPr>
            <w:r w:rsidRPr="004761E0">
              <w:rPr>
                <w:rFonts w:eastAsia="Times New Roman"/>
                <w:color w:val="000000"/>
                <w:sz w:val="18"/>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9,65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9,59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9,09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8,43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8,22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8,02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11,00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10,67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10,05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9,46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9,31</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9,24</w:t>
            </w:r>
          </w:p>
        </w:tc>
      </w:tr>
      <w:tr w:rsidR="00A9213E" w:rsidRPr="004761E0" w:rsidTr="00867958">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A9213E" w:rsidRPr="004761E0" w:rsidRDefault="00A9213E" w:rsidP="007076A7">
            <w:pPr>
              <w:numPr>
                <w:ilvl w:val="0"/>
                <w:numId w:val="143"/>
              </w:numPr>
              <w:tabs>
                <w:tab w:val="left" w:pos="262"/>
              </w:tabs>
              <w:ind w:left="47" w:firstLine="0"/>
              <w:rPr>
                <w:rFonts w:eastAsia="Times New Roman"/>
                <w:color w:val="000000"/>
                <w:sz w:val="18"/>
                <w:szCs w:val="20"/>
                <w:lang w:eastAsia="ru-RU"/>
              </w:rPr>
            </w:pPr>
          </w:p>
        </w:tc>
        <w:tc>
          <w:tcPr>
            <w:tcW w:w="3261" w:type="dxa"/>
            <w:tcBorders>
              <w:top w:val="single" w:sz="4" w:space="0" w:color="auto"/>
              <w:left w:val="nil"/>
              <w:bottom w:val="single" w:sz="4" w:space="0" w:color="auto"/>
              <w:right w:val="single" w:sz="4" w:space="0" w:color="auto"/>
            </w:tcBorders>
            <w:shd w:val="clear" w:color="auto" w:fill="auto"/>
            <w:vAlign w:val="center"/>
          </w:tcPr>
          <w:p w:rsidR="00A9213E" w:rsidRPr="004761E0" w:rsidRDefault="00A9213E" w:rsidP="005123D7">
            <w:pPr>
              <w:ind w:firstLine="0"/>
              <w:jc w:val="left"/>
              <w:rPr>
                <w:rFonts w:eastAsia="Times New Roman"/>
                <w:color w:val="000000"/>
                <w:sz w:val="18"/>
                <w:szCs w:val="16"/>
                <w:lang w:eastAsia="ru-RU"/>
              </w:rPr>
            </w:pPr>
            <w:r w:rsidRPr="004761E0">
              <w:rPr>
                <w:rFonts w:eastAsia="Times New Roman"/>
                <w:color w:val="000000"/>
                <w:sz w:val="18"/>
                <w:szCs w:val="16"/>
                <w:lang w:eastAsia="ru-RU"/>
              </w:rPr>
              <w:t>Уровень надежности реализуемых товаров и услуг</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center"/>
              <w:rPr>
                <w:rFonts w:eastAsia="Times New Roman"/>
                <w:color w:val="000000"/>
                <w:sz w:val="18"/>
                <w:szCs w:val="16"/>
                <w:lang w:eastAsia="ru-RU"/>
              </w:rPr>
            </w:pPr>
            <w:r w:rsidRPr="004761E0">
              <w:rPr>
                <w:rFonts w:eastAsia="Times New Roman"/>
                <w:color w:val="000000"/>
                <w:sz w:val="18"/>
                <w:szCs w:val="16"/>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0,000506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0,000499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0,000491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0,000484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0,000477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0,000469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0,076818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0,075665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0,074530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0,073412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0,072311</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0,071227</w:t>
            </w:r>
          </w:p>
        </w:tc>
      </w:tr>
      <w:tr w:rsidR="00A9213E" w:rsidRPr="004761E0" w:rsidTr="00867958">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A9213E" w:rsidRPr="004761E0" w:rsidRDefault="00A9213E" w:rsidP="007076A7">
            <w:pPr>
              <w:numPr>
                <w:ilvl w:val="0"/>
                <w:numId w:val="143"/>
              </w:numPr>
              <w:tabs>
                <w:tab w:val="left" w:pos="262"/>
              </w:tabs>
              <w:ind w:left="47" w:firstLine="0"/>
              <w:rPr>
                <w:rFonts w:eastAsia="Times New Roman"/>
                <w:color w:val="000000"/>
                <w:sz w:val="18"/>
                <w:szCs w:val="20"/>
                <w:lang w:eastAsia="ru-RU"/>
              </w:rPr>
            </w:pPr>
          </w:p>
        </w:tc>
        <w:tc>
          <w:tcPr>
            <w:tcW w:w="3261" w:type="dxa"/>
            <w:tcBorders>
              <w:top w:val="single" w:sz="4" w:space="0" w:color="auto"/>
              <w:left w:val="nil"/>
              <w:bottom w:val="single" w:sz="4" w:space="0" w:color="auto"/>
              <w:right w:val="single" w:sz="4" w:space="0" w:color="auto"/>
            </w:tcBorders>
            <w:shd w:val="clear" w:color="auto" w:fill="auto"/>
            <w:vAlign w:val="center"/>
          </w:tcPr>
          <w:p w:rsidR="00A9213E" w:rsidRPr="004761E0" w:rsidRDefault="00A9213E" w:rsidP="005123D7">
            <w:pPr>
              <w:ind w:firstLine="0"/>
              <w:jc w:val="left"/>
              <w:rPr>
                <w:rFonts w:eastAsia="Times New Roman"/>
                <w:color w:val="000000"/>
                <w:sz w:val="18"/>
                <w:szCs w:val="16"/>
                <w:lang w:eastAsia="ru-RU"/>
              </w:rPr>
            </w:pPr>
            <w:r w:rsidRPr="004761E0">
              <w:rPr>
                <w:rFonts w:eastAsia="Times New Roman"/>
                <w:color w:val="000000"/>
                <w:sz w:val="18"/>
                <w:szCs w:val="16"/>
                <w:lang w:eastAsia="ru-RU"/>
              </w:rPr>
              <w:t>Уровень качества реализуемых товаров и услуг</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center"/>
              <w:rPr>
                <w:rFonts w:eastAsia="Times New Roman"/>
                <w:color w:val="000000"/>
                <w:sz w:val="18"/>
                <w:szCs w:val="16"/>
                <w:lang w:eastAsia="ru-RU"/>
              </w:rPr>
            </w:pPr>
            <w:r w:rsidRPr="004761E0">
              <w:rPr>
                <w:rFonts w:eastAsia="Times New Roman"/>
                <w:color w:val="000000"/>
                <w:sz w:val="18"/>
                <w:szCs w:val="16"/>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1,0102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1,0102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1,0102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1,0102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1,0102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1,0102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0,0102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0,0102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0,0102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0,0102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0,0102</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rFonts w:eastAsia="Times New Roman"/>
                <w:color w:val="000000"/>
                <w:sz w:val="18"/>
                <w:szCs w:val="20"/>
                <w:lang w:eastAsia="ru-RU"/>
              </w:rPr>
            </w:pPr>
            <w:r w:rsidRPr="004761E0">
              <w:rPr>
                <w:rFonts w:eastAsia="Times New Roman"/>
                <w:color w:val="000000"/>
                <w:sz w:val="18"/>
                <w:szCs w:val="20"/>
                <w:lang w:eastAsia="ru-RU"/>
              </w:rPr>
              <w:t>0,0102</w:t>
            </w:r>
          </w:p>
        </w:tc>
      </w:tr>
      <w:tr w:rsidR="00A9213E" w:rsidRPr="004761E0" w:rsidTr="00867958">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A9213E" w:rsidRPr="004761E0" w:rsidRDefault="00A9213E" w:rsidP="007076A7">
            <w:pPr>
              <w:numPr>
                <w:ilvl w:val="0"/>
                <w:numId w:val="143"/>
              </w:numPr>
              <w:tabs>
                <w:tab w:val="left" w:pos="262"/>
              </w:tabs>
              <w:ind w:left="47" w:firstLine="0"/>
              <w:rPr>
                <w:rFonts w:eastAsia="Times New Roman"/>
                <w:color w:val="000000"/>
                <w:sz w:val="18"/>
                <w:szCs w:val="20"/>
                <w:lang w:eastAsia="ru-RU"/>
              </w:rPr>
            </w:pPr>
          </w:p>
        </w:tc>
        <w:tc>
          <w:tcPr>
            <w:tcW w:w="3261" w:type="dxa"/>
            <w:tcBorders>
              <w:top w:val="single" w:sz="4" w:space="0" w:color="auto"/>
              <w:left w:val="nil"/>
              <w:bottom w:val="single" w:sz="4" w:space="0" w:color="auto"/>
              <w:right w:val="single" w:sz="4" w:space="0" w:color="auto"/>
            </w:tcBorders>
            <w:shd w:val="clear" w:color="auto" w:fill="auto"/>
            <w:vAlign w:val="center"/>
          </w:tcPr>
          <w:p w:rsidR="00A9213E" w:rsidRPr="004761E0" w:rsidRDefault="00A9213E" w:rsidP="005123D7">
            <w:pPr>
              <w:ind w:firstLine="0"/>
              <w:jc w:val="left"/>
              <w:rPr>
                <w:rFonts w:eastAsia="Times New Roman"/>
                <w:color w:val="000000"/>
                <w:sz w:val="18"/>
                <w:szCs w:val="16"/>
                <w:lang w:eastAsia="ru-RU"/>
              </w:rPr>
            </w:pPr>
            <w:r w:rsidRPr="004761E0">
              <w:rPr>
                <w:rFonts w:eastAsia="Times New Roman"/>
                <w:color w:val="000000"/>
                <w:sz w:val="18"/>
                <w:szCs w:val="16"/>
                <w:lang w:eastAsia="ru-RU"/>
              </w:rPr>
              <w:t>Необходимая валовая выручка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center"/>
              <w:rPr>
                <w:rFonts w:eastAsia="Times New Roman"/>
                <w:color w:val="000000"/>
                <w:sz w:val="18"/>
                <w:szCs w:val="16"/>
                <w:lang w:eastAsia="ru-RU"/>
              </w:rPr>
            </w:pPr>
            <w:r w:rsidRPr="004761E0">
              <w:rPr>
                <w:rFonts w:eastAsia="Times New Roman"/>
                <w:color w:val="000000"/>
                <w:sz w:val="18"/>
                <w:szCs w:val="16"/>
                <w:lang w:eastAsia="ru-RU"/>
              </w:rPr>
              <w:t xml:space="preserve">млн </w:t>
            </w:r>
            <w:r w:rsidRPr="004761E0">
              <w:rPr>
                <w:rFonts w:eastAsia="Times New Roman"/>
                <w:color w:val="000000"/>
                <w:sz w:val="18"/>
                <w:szCs w:val="16"/>
                <w:lang w:eastAsia="ru-RU"/>
              </w:rPr>
              <w:lastRenderedPageBreak/>
              <w:t>руб.</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lastRenderedPageBreak/>
              <w:t>34 269</w:t>
            </w:r>
            <w:r w:rsidR="005123D7" w:rsidRPr="006F4AB8">
              <w:rPr>
                <w:rStyle w:val="af1"/>
              </w:rPr>
              <w:footnoteReference w:id="150"/>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37 572</w:t>
            </w:r>
            <w:r w:rsidR="005123D7" w:rsidRPr="006F4AB8">
              <w:rPr>
                <w:rStyle w:val="af1"/>
              </w:rPr>
              <w:footnoteReference w:id="151"/>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41 809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51 278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58 213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65 587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28 296</w:t>
            </w:r>
            <w:r w:rsidR="005123D7" w:rsidRPr="006F4AB8">
              <w:rPr>
                <w:rStyle w:val="af1"/>
              </w:rPr>
              <w:footnoteReference w:id="152"/>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30 515</w:t>
            </w:r>
            <w:r w:rsidR="005123D7" w:rsidRPr="006F4AB8">
              <w:rPr>
                <w:rStyle w:val="af1"/>
              </w:rPr>
              <w:footnoteReference w:id="153"/>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33 170</w:t>
            </w:r>
            <w:r w:rsidR="005123D7" w:rsidRPr="006F4AB8">
              <w:rPr>
                <w:rStyle w:val="af1"/>
              </w:rPr>
              <w:footnoteReference w:id="154"/>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37 990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40 978</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A9213E" w:rsidRPr="004761E0" w:rsidRDefault="00A9213E" w:rsidP="005123D7">
            <w:pPr>
              <w:ind w:firstLine="0"/>
              <w:jc w:val="right"/>
              <w:rPr>
                <w:color w:val="000000"/>
                <w:sz w:val="18"/>
                <w:szCs w:val="18"/>
              </w:rPr>
            </w:pPr>
            <w:r w:rsidRPr="004761E0">
              <w:rPr>
                <w:color w:val="000000"/>
                <w:sz w:val="18"/>
                <w:szCs w:val="18"/>
              </w:rPr>
              <w:t>44 812</w:t>
            </w:r>
          </w:p>
        </w:tc>
      </w:tr>
    </w:tbl>
    <w:p w:rsidR="005123D7" w:rsidRPr="004761E0" w:rsidRDefault="005123D7" w:rsidP="005123D7">
      <w:pPr>
        <w:pStyle w:val="af"/>
        <w:ind w:firstLine="567"/>
        <w:rPr>
          <w:rFonts w:eastAsia="Times New Roman" w:cs="Calibri"/>
          <w:sz w:val="26"/>
          <w:szCs w:val="26"/>
        </w:rPr>
      </w:pPr>
      <w:r w:rsidRPr="004761E0">
        <w:rPr>
          <w:rFonts w:eastAsia="Times New Roman" w:cs="Calibri"/>
          <w:sz w:val="26"/>
          <w:szCs w:val="26"/>
        </w:rPr>
        <w:lastRenderedPageBreak/>
        <w:t>Необходимая валовая выручка по г. Москве на 2014-2017 гг. утверждена Постановлением РЭК г. Москвы от 20.12.2013 № 419-ээ «Об установлении единых (котловых) тарифов на услуги по передаче электрической энергии по сетям города Москвы на 2014 год».</w:t>
      </w:r>
    </w:p>
    <w:p w:rsidR="00A9213E" w:rsidRDefault="005123D7" w:rsidP="005123D7">
      <w:pPr>
        <w:pStyle w:val="a5"/>
        <w:ind w:left="0" w:firstLine="567"/>
        <w:rPr>
          <w:rFonts w:eastAsia="Times New Roman" w:cs="Calibri"/>
          <w:sz w:val="26"/>
          <w:szCs w:val="26"/>
        </w:rPr>
      </w:pPr>
      <w:r w:rsidRPr="004761E0">
        <w:rPr>
          <w:rFonts w:eastAsia="Times New Roman" w:cs="Calibri"/>
          <w:sz w:val="26"/>
          <w:szCs w:val="26"/>
        </w:rPr>
        <w:t>Н</w:t>
      </w:r>
      <w:r w:rsidR="00A9213E" w:rsidRPr="004761E0">
        <w:rPr>
          <w:rFonts w:eastAsia="Times New Roman" w:cs="Calibri"/>
          <w:sz w:val="26"/>
          <w:szCs w:val="26"/>
        </w:rPr>
        <w:t>еобходим</w:t>
      </w:r>
      <w:r w:rsidRPr="004761E0">
        <w:rPr>
          <w:rFonts w:eastAsia="Times New Roman" w:cs="Calibri"/>
          <w:sz w:val="26"/>
          <w:szCs w:val="26"/>
        </w:rPr>
        <w:t>ая</w:t>
      </w:r>
      <w:r w:rsidR="00A9213E" w:rsidRPr="004761E0">
        <w:rPr>
          <w:rFonts w:eastAsia="Times New Roman" w:cs="Calibri"/>
          <w:sz w:val="26"/>
          <w:szCs w:val="26"/>
        </w:rPr>
        <w:t xml:space="preserve"> валов</w:t>
      </w:r>
      <w:r w:rsidRPr="004761E0">
        <w:rPr>
          <w:rFonts w:eastAsia="Times New Roman" w:cs="Calibri"/>
          <w:sz w:val="26"/>
          <w:szCs w:val="26"/>
        </w:rPr>
        <w:t>ая</w:t>
      </w:r>
      <w:r w:rsidR="00A9213E" w:rsidRPr="004761E0">
        <w:rPr>
          <w:rFonts w:eastAsia="Times New Roman" w:cs="Calibri"/>
          <w:sz w:val="26"/>
          <w:szCs w:val="26"/>
        </w:rPr>
        <w:t xml:space="preserve"> выручк</w:t>
      </w:r>
      <w:r w:rsidRPr="004761E0">
        <w:rPr>
          <w:rFonts w:eastAsia="Times New Roman" w:cs="Calibri"/>
          <w:sz w:val="26"/>
          <w:szCs w:val="26"/>
        </w:rPr>
        <w:t>а</w:t>
      </w:r>
      <w:r w:rsidR="00A9213E" w:rsidRPr="004761E0">
        <w:rPr>
          <w:rFonts w:eastAsia="Times New Roman" w:cs="Calibri"/>
          <w:sz w:val="26"/>
          <w:szCs w:val="26"/>
        </w:rPr>
        <w:t xml:space="preserve"> по Московской области на 2015-2017 гг. рассчитан</w:t>
      </w:r>
      <w:r w:rsidRPr="004761E0">
        <w:rPr>
          <w:rFonts w:eastAsia="Times New Roman" w:cs="Calibri"/>
          <w:sz w:val="26"/>
          <w:szCs w:val="26"/>
        </w:rPr>
        <w:t>а</w:t>
      </w:r>
      <w:r w:rsidR="00A9213E" w:rsidRPr="004761E0">
        <w:rPr>
          <w:rFonts w:eastAsia="Times New Roman" w:cs="Calibri"/>
          <w:sz w:val="26"/>
          <w:szCs w:val="26"/>
        </w:rPr>
        <w:t xml:space="preserve"> экспертным путем.</w:t>
      </w:r>
    </w:p>
    <w:p w:rsidR="00E93459" w:rsidRPr="004761E0" w:rsidRDefault="00E93459" w:rsidP="00E93459">
      <w:pPr>
        <w:spacing w:before="120" w:after="120"/>
        <w:ind w:firstLine="567"/>
        <w:rPr>
          <w:b/>
          <w:sz w:val="26"/>
          <w:szCs w:val="26"/>
        </w:rPr>
      </w:pPr>
      <w:r w:rsidRPr="009817EE">
        <w:rPr>
          <w:b/>
          <w:sz w:val="26"/>
          <w:szCs w:val="26"/>
        </w:rPr>
        <w:t>Средняя стоимость 1 МВт</w:t>
      </w:r>
      <w:r w:rsidRPr="006F4AB8">
        <w:rPr>
          <w:rStyle w:val="af1"/>
        </w:rPr>
        <w:footnoteReference w:id="155"/>
      </w:r>
    </w:p>
    <w:tbl>
      <w:tblPr>
        <w:tblW w:w="13948" w:type="dxa"/>
        <w:tblInd w:w="95" w:type="dxa"/>
        <w:tblLook w:val="04A0"/>
      </w:tblPr>
      <w:tblGrid>
        <w:gridCol w:w="580"/>
        <w:gridCol w:w="5625"/>
        <w:gridCol w:w="850"/>
        <w:gridCol w:w="851"/>
        <w:gridCol w:w="992"/>
        <w:gridCol w:w="1134"/>
        <w:gridCol w:w="992"/>
        <w:gridCol w:w="992"/>
        <w:gridCol w:w="851"/>
        <w:gridCol w:w="1081"/>
      </w:tblGrid>
      <w:tr w:rsidR="00E93459" w:rsidRPr="004761E0" w:rsidTr="00E93459">
        <w:trPr>
          <w:trHeight w:val="300"/>
        </w:trPr>
        <w:tc>
          <w:tcPr>
            <w:tcW w:w="580" w:type="dxa"/>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0F243E" w:themeFill="text2" w:themeFillShade="80"/>
            <w:vAlign w:val="center"/>
            <w:hideMark/>
          </w:tcPr>
          <w:p w:rsidR="00E93459" w:rsidRPr="004761E0" w:rsidRDefault="00E93459" w:rsidP="00E93459">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5625" w:type="dxa"/>
            <w:vMerge w:val="restart"/>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E93459" w:rsidRPr="004761E0" w:rsidRDefault="00E93459" w:rsidP="00E93459">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3827"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E93459" w:rsidRPr="004761E0" w:rsidRDefault="00E93459" w:rsidP="00E93459">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г. Москва</w:t>
            </w:r>
          </w:p>
        </w:tc>
        <w:tc>
          <w:tcPr>
            <w:tcW w:w="3916" w:type="dxa"/>
            <w:gridSpan w:val="4"/>
            <w:tcBorders>
              <w:top w:val="single" w:sz="4" w:space="0" w:color="auto"/>
              <w:left w:val="single" w:sz="4" w:space="0" w:color="FFFFFF" w:themeColor="background1"/>
              <w:bottom w:val="single" w:sz="4" w:space="0" w:color="FFFFFF" w:themeColor="background1"/>
              <w:right w:val="single" w:sz="4" w:space="0" w:color="auto"/>
            </w:tcBorders>
            <w:shd w:val="clear" w:color="auto" w:fill="0F243E" w:themeFill="text2" w:themeFillShade="80"/>
            <w:vAlign w:val="center"/>
            <w:hideMark/>
          </w:tcPr>
          <w:p w:rsidR="00E93459" w:rsidRPr="004761E0" w:rsidRDefault="00E93459" w:rsidP="00E93459">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Московская область</w:t>
            </w:r>
          </w:p>
        </w:tc>
      </w:tr>
      <w:tr w:rsidR="00E93459" w:rsidRPr="004761E0" w:rsidTr="00E93459">
        <w:trPr>
          <w:trHeight w:val="300"/>
        </w:trPr>
        <w:tc>
          <w:tcPr>
            <w:tcW w:w="580" w:type="dxa"/>
            <w:vMerge/>
            <w:tcBorders>
              <w:top w:val="single" w:sz="4" w:space="0" w:color="FFFFFF" w:themeColor="background1"/>
              <w:left w:val="single" w:sz="4" w:space="0" w:color="auto"/>
              <w:bottom w:val="single" w:sz="4" w:space="0" w:color="auto"/>
              <w:right w:val="single" w:sz="4" w:space="0" w:color="FFFFFF" w:themeColor="background1"/>
            </w:tcBorders>
            <w:shd w:val="clear" w:color="auto" w:fill="0F243E" w:themeFill="text2" w:themeFillShade="80"/>
            <w:vAlign w:val="center"/>
            <w:hideMark/>
          </w:tcPr>
          <w:p w:rsidR="00E93459" w:rsidRPr="004761E0" w:rsidRDefault="00E93459" w:rsidP="00E93459">
            <w:pPr>
              <w:rPr>
                <w:rFonts w:eastAsia="Times New Roman"/>
                <w:b/>
                <w:color w:val="FFFFFF" w:themeColor="background1"/>
                <w:sz w:val="20"/>
                <w:szCs w:val="20"/>
                <w:lang w:eastAsia="ru-RU"/>
              </w:rPr>
            </w:pPr>
          </w:p>
        </w:tc>
        <w:tc>
          <w:tcPr>
            <w:tcW w:w="5625" w:type="dxa"/>
            <w:vMerge/>
            <w:tcBorders>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E93459" w:rsidRPr="004761E0" w:rsidRDefault="00E93459" w:rsidP="00E93459">
            <w:pPr>
              <w:rPr>
                <w:rFonts w:eastAsia="Times New Roman"/>
                <w:b/>
                <w:color w:val="FFFFFF" w:themeColor="background1"/>
                <w:sz w:val="20"/>
                <w:szCs w:val="20"/>
                <w:lang w:eastAsia="ru-RU"/>
              </w:rPr>
            </w:pP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E93459" w:rsidRPr="004761E0" w:rsidRDefault="00E93459" w:rsidP="00E9345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E93459" w:rsidRPr="004761E0" w:rsidRDefault="00E93459" w:rsidP="00E9345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E93459" w:rsidRPr="004761E0" w:rsidRDefault="00E93459" w:rsidP="00E9345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E93459" w:rsidRPr="004761E0" w:rsidRDefault="00E93459" w:rsidP="00E9345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E93459" w:rsidRPr="004761E0" w:rsidRDefault="00E93459" w:rsidP="00E9345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E93459" w:rsidRPr="004761E0" w:rsidRDefault="00E93459" w:rsidP="00E9345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E93459" w:rsidRPr="004761E0" w:rsidRDefault="00E93459" w:rsidP="00E9345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081"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E93459" w:rsidRPr="004761E0" w:rsidRDefault="00E93459" w:rsidP="00E9345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E93459" w:rsidRPr="004761E0" w:rsidTr="00E93459">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3459" w:rsidRPr="004761E0" w:rsidRDefault="00E93459" w:rsidP="007076A7">
            <w:pPr>
              <w:pStyle w:val="a5"/>
              <w:numPr>
                <w:ilvl w:val="0"/>
                <w:numId w:val="325"/>
              </w:numPr>
              <w:tabs>
                <w:tab w:val="left" w:pos="262"/>
              </w:tabs>
              <w:contextualSpacing w:val="0"/>
              <w:rPr>
                <w:rFonts w:eastAsia="Times New Roman"/>
                <w:color w:val="000000"/>
                <w:sz w:val="20"/>
                <w:szCs w:val="20"/>
                <w:lang w:eastAsia="ru-RU"/>
              </w:rPr>
            </w:pPr>
          </w:p>
        </w:tc>
        <w:tc>
          <w:tcPr>
            <w:tcW w:w="5625"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left"/>
              <w:rPr>
                <w:bCs/>
                <w:color w:val="000000"/>
                <w:sz w:val="20"/>
                <w:szCs w:val="20"/>
              </w:rPr>
            </w:pPr>
            <w:r w:rsidRPr="005E74B6">
              <w:rPr>
                <w:bCs/>
                <w:color w:val="000000"/>
                <w:sz w:val="20"/>
                <w:szCs w:val="20"/>
              </w:rPr>
              <w:t>Средняя стоимость 1 МВт</w:t>
            </w:r>
          </w:p>
        </w:tc>
        <w:tc>
          <w:tcPr>
            <w:tcW w:w="850"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36,91</w:t>
            </w:r>
          </w:p>
        </w:tc>
        <w:tc>
          <w:tcPr>
            <w:tcW w:w="851"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15,71</w:t>
            </w:r>
          </w:p>
        </w:tc>
        <w:tc>
          <w:tcPr>
            <w:tcW w:w="992"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12,86</w:t>
            </w:r>
          </w:p>
        </w:tc>
        <w:tc>
          <w:tcPr>
            <w:tcW w:w="1134"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-18,12</w:t>
            </w:r>
            <w:r>
              <w:rPr>
                <w:bCs/>
                <w:color w:val="000000"/>
                <w:sz w:val="20"/>
                <w:szCs w:val="20"/>
              </w:rPr>
              <w:t xml:space="preserve"> </w:t>
            </w:r>
            <w:r w:rsidRPr="005E74B6">
              <w:rPr>
                <w:bCs/>
                <w:color w:val="000000"/>
                <w:sz w:val="20"/>
                <w:szCs w:val="20"/>
              </w:rPr>
              <w:t>%</w:t>
            </w:r>
          </w:p>
        </w:tc>
        <w:tc>
          <w:tcPr>
            <w:tcW w:w="992"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10,37</w:t>
            </w:r>
          </w:p>
        </w:tc>
        <w:tc>
          <w:tcPr>
            <w:tcW w:w="992"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11,12</w:t>
            </w:r>
          </w:p>
        </w:tc>
        <w:tc>
          <w:tcPr>
            <w:tcW w:w="851"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7,14</w:t>
            </w:r>
          </w:p>
        </w:tc>
        <w:tc>
          <w:tcPr>
            <w:tcW w:w="1081"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-35,76</w:t>
            </w:r>
            <w:r>
              <w:rPr>
                <w:bCs/>
                <w:color w:val="000000"/>
                <w:sz w:val="20"/>
                <w:szCs w:val="20"/>
              </w:rPr>
              <w:t xml:space="preserve"> </w:t>
            </w:r>
            <w:r w:rsidRPr="005E74B6">
              <w:rPr>
                <w:bCs/>
                <w:color w:val="000000"/>
                <w:sz w:val="20"/>
                <w:szCs w:val="20"/>
              </w:rPr>
              <w:t>%</w:t>
            </w:r>
          </w:p>
        </w:tc>
      </w:tr>
      <w:tr w:rsidR="00E93459" w:rsidRPr="004761E0" w:rsidTr="00E93459">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3459" w:rsidRPr="00E93459" w:rsidRDefault="00E93459" w:rsidP="007076A7">
            <w:pPr>
              <w:pStyle w:val="a5"/>
              <w:numPr>
                <w:ilvl w:val="1"/>
                <w:numId w:val="253"/>
              </w:numPr>
              <w:tabs>
                <w:tab w:val="left" w:pos="262"/>
              </w:tabs>
              <w:rPr>
                <w:rFonts w:eastAsia="Times New Roman"/>
                <w:color w:val="000000"/>
                <w:sz w:val="20"/>
                <w:szCs w:val="20"/>
                <w:lang w:eastAsia="ru-RU"/>
              </w:rPr>
            </w:pPr>
          </w:p>
        </w:tc>
        <w:tc>
          <w:tcPr>
            <w:tcW w:w="5625"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Chars="200" w:firstLine="400"/>
              <w:jc w:val="left"/>
              <w:rPr>
                <w:bCs/>
                <w:color w:val="000000"/>
                <w:sz w:val="20"/>
                <w:szCs w:val="20"/>
              </w:rPr>
            </w:pPr>
            <w:r w:rsidRPr="005E74B6">
              <w:rPr>
                <w:bCs/>
                <w:color w:val="000000"/>
                <w:sz w:val="20"/>
                <w:szCs w:val="20"/>
              </w:rPr>
              <w:t>до 15 кВт (всего), в т.ч.:</w:t>
            </w:r>
          </w:p>
        </w:tc>
        <w:tc>
          <w:tcPr>
            <w:tcW w:w="850"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2,67</w:t>
            </w:r>
          </w:p>
        </w:tc>
        <w:tc>
          <w:tcPr>
            <w:tcW w:w="851"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1,98</w:t>
            </w:r>
          </w:p>
        </w:tc>
        <w:tc>
          <w:tcPr>
            <w:tcW w:w="992"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1,83</w:t>
            </w:r>
          </w:p>
        </w:tc>
        <w:tc>
          <w:tcPr>
            <w:tcW w:w="1134"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-7,19</w:t>
            </w:r>
            <w:r>
              <w:rPr>
                <w:bCs/>
                <w:color w:val="000000"/>
                <w:sz w:val="20"/>
                <w:szCs w:val="20"/>
              </w:rPr>
              <w:t xml:space="preserve"> </w:t>
            </w:r>
            <w:r w:rsidRPr="005E74B6">
              <w:rPr>
                <w:bCs/>
                <w:color w:val="000000"/>
                <w:sz w:val="20"/>
                <w:szCs w:val="20"/>
              </w:rPr>
              <w:t>%</w:t>
            </w:r>
          </w:p>
        </w:tc>
        <w:tc>
          <w:tcPr>
            <w:tcW w:w="992"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0,41</w:t>
            </w:r>
          </w:p>
        </w:tc>
        <w:tc>
          <w:tcPr>
            <w:tcW w:w="992"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1,33</w:t>
            </w:r>
          </w:p>
        </w:tc>
        <w:tc>
          <w:tcPr>
            <w:tcW w:w="851"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0,06</w:t>
            </w:r>
          </w:p>
        </w:tc>
        <w:tc>
          <w:tcPr>
            <w:tcW w:w="1081"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-95,55</w:t>
            </w:r>
            <w:r>
              <w:rPr>
                <w:bCs/>
                <w:color w:val="000000"/>
                <w:sz w:val="20"/>
                <w:szCs w:val="20"/>
              </w:rPr>
              <w:t xml:space="preserve"> </w:t>
            </w:r>
            <w:r w:rsidRPr="005E74B6">
              <w:rPr>
                <w:bCs/>
                <w:color w:val="000000"/>
                <w:sz w:val="20"/>
                <w:szCs w:val="20"/>
              </w:rPr>
              <w:t>%</w:t>
            </w:r>
          </w:p>
        </w:tc>
      </w:tr>
      <w:tr w:rsidR="00E93459" w:rsidRPr="004761E0" w:rsidTr="00E93459">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3459" w:rsidRPr="00E93459" w:rsidRDefault="00E93459" w:rsidP="00E93459">
            <w:pPr>
              <w:tabs>
                <w:tab w:val="left" w:pos="262"/>
              </w:tabs>
              <w:ind w:firstLine="0"/>
              <w:rPr>
                <w:rFonts w:eastAsia="Times New Roman"/>
                <w:color w:val="000000"/>
                <w:sz w:val="20"/>
                <w:szCs w:val="20"/>
                <w:lang w:eastAsia="ru-RU"/>
              </w:rPr>
            </w:pPr>
          </w:p>
        </w:tc>
        <w:tc>
          <w:tcPr>
            <w:tcW w:w="5625"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Chars="371" w:firstLine="742"/>
              <w:jc w:val="left"/>
              <w:rPr>
                <w:bCs/>
                <w:color w:val="000000"/>
                <w:sz w:val="20"/>
                <w:szCs w:val="20"/>
              </w:rPr>
            </w:pPr>
            <w:r w:rsidRPr="00E93459">
              <w:rPr>
                <w:rFonts w:eastAsia="Times New Roman"/>
                <w:color w:val="000000"/>
                <w:sz w:val="20"/>
                <w:szCs w:val="20"/>
                <w:lang w:eastAsia="ru-RU"/>
              </w:rPr>
              <w:t>физические</w:t>
            </w:r>
            <w:r w:rsidRPr="005E74B6">
              <w:rPr>
                <w:bCs/>
                <w:color w:val="000000"/>
                <w:sz w:val="20"/>
                <w:szCs w:val="20"/>
              </w:rPr>
              <w:t xml:space="preserve"> лица до 15 кВт</w:t>
            </w:r>
          </w:p>
        </w:tc>
        <w:tc>
          <w:tcPr>
            <w:tcW w:w="850"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0,03</w:t>
            </w:r>
          </w:p>
        </w:tc>
        <w:tc>
          <w:tcPr>
            <w:tcW w:w="851"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5,52</w:t>
            </w:r>
          </w:p>
        </w:tc>
        <w:tc>
          <w:tcPr>
            <w:tcW w:w="992"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1,11</w:t>
            </w:r>
          </w:p>
        </w:tc>
        <w:tc>
          <w:tcPr>
            <w:tcW w:w="1134"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-79,85</w:t>
            </w:r>
            <w:r>
              <w:rPr>
                <w:bCs/>
                <w:color w:val="000000"/>
                <w:sz w:val="20"/>
                <w:szCs w:val="20"/>
              </w:rPr>
              <w:t xml:space="preserve"> </w:t>
            </w:r>
            <w:r w:rsidRPr="005E74B6">
              <w:rPr>
                <w:bCs/>
                <w:color w:val="000000"/>
                <w:sz w:val="20"/>
                <w:szCs w:val="20"/>
              </w:rPr>
              <w:t>%</w:t>
            </w:r>
          </w:p>
        </w:tc>
        <w:tc>
          <w:tcPr>
            <w:tcW w:w="992"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0,04</w:t>
            </w:r>
          </w:p>
        </w:tc>
        <w:tc>
          <w:tcPr>
            <w:tcW w:w="992"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0,00</w:t>
            </w:r>
          </w:p>
        </w:tc>
        <w:tc>
          <w:tcPr>
            <w:tcW w:w="851"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0,00</w:t>
            </w:r>
          </w:p>
        </w:tc>
        <w:tc>
          <w:tcPr>
            <w:tcW w:w="1081"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392,11</w:t>
            </w:r>
            <w:r>
              <w:rPr>
                <w:bCs/>
                <w:color w:val="000000"/>
                <w:sz w:val="20"/>
                <w:szCs w:val="20"/>
              </w:rPr>
              <w:t xml:space="preserve"> </w:t>
            </w:r>
            <w:r w:rsidRPr="005E74B6">
              <w:rPr>
                <w:bCs/>
                <w:color w:val="000000"/>
                <w:sz w:val="20"/>
                <w:szCs w:val="20"/>
              </w:rPr>
              <w:t>%</w:t>
            </w:r>
          </w:p>
        </w:tc>
      </w:tr>
      <w:tr w:rsidR="00E93459" w:rsidRPr="004761E0" w:rsidTr="00E93459">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3459" w:rsidRPr="004761E0" w:rsidRDefault="00E93459" w:rsidP="007076A7">
            <w:pPr>
              <w:pStyle w:val="a5"/>
              <w:numPr>
                <w:ilvl w:val="1"/>
                <w:numId w:val="253"/>
              </w:numPr>
              <w:tabs>
                <w:tab w:val="left" w:pos="262"/>
              </w:tabs>
              <w:rPr>
                <w:rFonts w:eastAsia="Times New Roman"/>
                <w:color w:val="000000"/>
                <w:sz w:val="20"/>
                <w:szCs w:val="20"/>
                <w:lang w:eastAsia="ru-RU"/>
              </w:rPr>
            </w:pPr>
          </w:p>
        </w:tc>
        <w:tc>
          <w:tcPr>
            <w:tcW w:w="5625"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Chars="200" w:firstLine="400"/>
              <w:jc w:val="left"/>
              <w:rPr>
                <w:bCs/>
                <w:color w:val="000000"/>
                <w:sz w:val="20"/>
                <w:szCs w:val="20"/>
              </w:rPr>
            </w:pPr>
            <w:r w:rsidRPr="005E74B6">
              <w:rPr>
                <w:bCs/>
                <w:color w:val="000000"/>
                <w:sz w:val="20"/>
                <w:szCs w:val="20"/>
              </w:rPr>
              <w:t>свыше 15 кВт и до 150 кВт</w:t>
            </w:r>
          </w:p>
        </w:tc>
        <w:tc>
          <w:tcPr>
            <w:tcW w:w="850"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47,97</w:t>
            </w:r>
          </w:p>
        </w:tc>
        <w:tc>
          <w:tcPr>
            <w:tcW w:w="851"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6,93</w:t>
            </w:r>
          </w:p>
        </w:tc>
        <w:tc>
          <w:tcPr>
            <w:tcW w:w="992"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4,87</w:t>
            </w:r>
          </w:p>
        </w:tc>
        <w:tc>
          <w:tcPr>
            <w:tcW w:w="1134"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-29,73</w:t>
            </w:r>
            <w:r>
              <w:rPr>
                <w:bCs/>
                <w:color w:val="000000"/>
                <w:sz w:val="20"/>
                <w:szCs w:val="20"/>
              </w:rPr>
              <w:t xml:space="preserve"> </w:t>
            </w:r>
            <w:r w:rsidRPr="005E74B6">
              <w:rPr>
                <w:bCs/>
                <w:color w:val="000000"/>
                <w:sz w:val="20"/>
                <w:szCs w:val="20"/>
              </w:rPr>
              <w:t>%</w:t>
            </w:r>
          </w:p>
        </w:tc>
        <w:tc>
          <w:tcPr>
            <w:tcW w:w="992"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8,87</w:t>
            </w:r>
          </w:p>
        </w:tc>
        <w:tc>
          <w:tcPr>
            <w:tcW w:w="992"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17,26</w:t>
            </w:r>
          </w:p>
        </w:tc>
        <w:tc>
          <w:tcPr>
            <w:tcW w:w="851"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7,70</w:t>
            </w:r>
          </w:p>
        </w:tc>
        <w:tc>
          <w:tcPr>
            <w:tcW w:w="1081"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-55,41</w:t>
            </w:r>
            <w:r>
              <w:rPr>
                <w:bCs/>
                <w:color w:val="000000"/>
                <w:sz w:val="20"/>
                <w:szCs w:val="20"/>
              </w:rPr>
              <w:t xml:space="preserve"> </w:t>
            </w:r>
            <w:r w:rsidRPr="005E74B6">
              <w:rPr>
                <w:bCs/>
                <w:color w:val="000000"/>
                <w:sz w:val="20"/>
                <w:szCs w:val="20"/>
              </w:rPr>
              <w:t>%</w:t>
            </w:r>
          </w:p>
        </w:tc>
      </w:tr>
      <w:tr w:rsidR="00E93459" w:rsidRPr="004761E0" w:rsidTr="00E93459">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3459" w:rsidRPr="004761E0" w:rsidRDefault="00E93459" w:rsidP="007076A7">
            <w:pPr>
              <w:pStyle w:val="a5"/>
              <w:numPr>
                <w:ilvl w:val="1"/>
                <w:numId w:val="253"/>
              </w:numPr>
              <w:tabs>
                <w:tab w:val="left" w:pos="262"/>
              </w:tabs>
              <w:rPr>
                <w:rFonts w:eastAsia="Times New Roman"/>
                <w:color w:val="000000"/>
                <w:sz w:val="20"/>
                <w:szCs w:val="20"/>
                <w:lang w:eastAsia="ru-RU"/>
              </w:rPr>
            </w:pPr>
          </w:p>
        </w:tc>
        <w:tc>
          <w:tcPr>
            <w:tcW w:w="5625"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Chars="200" w:firstLine="400"/>
              <w:jc w:val="left"/>
              <w:rPr>
                <w:bCs/>
                <w:color w:val="000000"/>
                <w:sz w:val="20"/>
                <w:szCs w:val="20"/>
              </w:rPr>
            </w:pPr>
            <w:r w:rsidRPr="005E74B6">
              <w:rPr>
                <w:bCs/>
                <w:color w:val="000000"/>
                <w:sz w:val="20"/>
                <w:szCs w:val="20"/>
              </w:rPr>
              <w:t>свыше 150 кВт и менее 670 кВт</w:t>
            </w:r>
          </w:p>
        </w:tc>
        <w:tc>
          <w:tcPr>
            <w:tcW w:w="850"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55,12</w:t>
            </w:r>
          </w:p>
        </w:tc>
        <w:tc>
          <w:tcPr>
            <w:tcW w:w="851"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11,02</w:t>
            </w:r>
          </w:p>
        </w:tc>
        <w:tc>
          <w:tcPr>
            <w:tcW w:w="992"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9,10</w:t>
            </w:r>
          </w:p>
        </w:tc>
        <w:tc>
          <w:tcPr>
            <w:tcW w:w="1134"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-17,44</w:t>
            </w:r>
            <w:r>
              <w:rPr>
                <w:bCs/>
                <w:color w:val="000000"/>
                <w:sz w:val="20"/>
                <w:szCs w:val="20"/>
              </w:rPr>
              <w:t xml:space="preserve"> </w:t>
            </w:r>
            <w:r w:rsidRPr="005E74B6">
              <w:rPr>
                <w:bCs/>
                <w:color w:val="000000"/>
                <w:sz w:val="20"/>
                <w:szCs w:val="20"/>
              </w:rPr>
              <w:t>%</w:t>
            </w:r>
          </w:p>
        </w:tc>
        <w:tc>
          <w:tcPr>
            <w:tcW w:w="992"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10,03</w:t>
            </w:r>
          </w:p>
        </w:tc>
        <w:tc>
          <w:tcPr>
            <w:tcW w:w="992"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30,77</w:t>
            </w:r>
          </w:p>
        </w:tc>
        <w:tc>
          <w:tcPr>
            <w:tcW w:w="851"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11,07</w:t>
            </w:r>
          </w:p>
        </w:tc>
        <w:tc>
          <w:tcPr>
            <w:tcW w:w="1081"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-64,03</w:t>
            </w:r>
            <w:r>
              <w:rPr>
                <w:bCs/>
                <w:color w:val="000000"/>
                <w:sz w:val="20"/>
                <w:szCs w:val="20"/>
              </w:rPr>
              <w:t xml:space="preserve"> </w:t>
            </w:r>
            <w:r w:rsidRPr="005E74B6">
              <w:rPr>
                <w:bCs/>
                <w:color w:val="000000"/>
                <w:sz w:val="20"/>
                <w:szCs w:val="20"/>
              </w:rPr>
              <w:t>%</w:t>
            </w:r>
          </w:p>
        </w:tc>
      </w:tr>
      <w:tr w:rsidR="00E93459" w:rsidRPr="004761E0" w:rsidTr="00E93459">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3459" w:rsidRPr="004761E0" w:rsidRDefault="00E93459" w:rsidP="007076A7">
            <w:pPr>
              <w:pStyle w:val="a5"/>
              <w:numPr>
                <w:ilvl w:val="1"/>
                <w:numId w:val="253"/>
              </w:numPr>
              <w:tabs>
                <w:tab w:val="left" w:pos="262"/>
              </w:tabs>
              <w:rPr>
                <w:rFonts w:eastAsia="Times New Roman"/>
                <w:color w:val="000000"/>
                <w:sz w:val="20"/>
                <w:szCs w:val="20"/>
                <w:lang w:eastAsia="ru-RU"/>
              </w:rPr>
            </w:pPr>
          </w:p>
        </w:tc>
        <w:tc>
          <w:tcPr>
            <w:tcW w:w="5625"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Chars="200" w:firstLine="400"/>
              <w:jc w:val="left"/>
              <w:rPr>
                <w:bCs/>
                <w:color w:val="000000"/>
                <w:sz w:val="20"/>
                <w:szCs w:val="20"/>
              </w:rPr>
            </w:pPr>
            <w:r w:rsidRPr="005E74B6">
              <w:rPr>
                <w:bCs/>
                <w:color w:val="000000"/>
                <w:sz w:val="20"/>
                <w:szCs w:val="20"/>
              </w:rPr>
              <w:t>не менее 670 кВт</w:t>
            </w:r>
          </w:p>
        </w:tc>
        <w:tc>
          <w:tcPr>
            <w:tcW w:w="850"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34,67</w:t>
            </w:r>
          </w:p>
        </w:tc>
        <w:tc>
          <w:tcPr>
            <w:tcW w:w="851"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18,28</w:t>
            </w:r>
          </w:p>
        </w:tc>
        <w:tc>
          <w:tcPr>
            <w:tcW w:w="992"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16,71</w:t>
            </w:r>
          </w:p>
        </w:tc>
        <w:tc>
          <w:tcPr>
            <w:tcW w:w="1134"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-8,56</w:t>
            </w:r>
            <w:r>
              <w:rPr>
                <w:bCs/>
                <w:color w:val="000000"/>
                <w:sz w:val="20"/>
                <w:szCs w:val="20"/>
              </w:rPr>
              <w:t xml:space="preserve"> </w:t>
            </w:r>
            <w:r w:rsidRPr="005E74B6">
              <w:rPr>
                <w:bCs/>
                <w:color w:val="000000"/>
                <w:sz w:val="20"/>
                <w:szCs w:val="20"/>
              </w:rPr>
              <w:t>%</w:t>
            </w:r>
          </w:p>
        </w:tc>
        <w:tc>
          <w:tcPr>
            <w:tcW w:w="992"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14,42</w:t>
            </w:r>
          </w:p>
        </w:tc>
        <w:tc>
          <w:tcPr>
            <w:tcW w:w="992"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10,74</w:t>
            </w:r>
          </w:p>
        </w:tc>
        <w:tc>
          <w:tcPr>
            <w:tcW w:w="851"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11,53</w:t>
            </w:r>
          </w:p>
        </w:tc>
        <w:tc>
          <w:tcPr>
            <w:tcW w:w="1081" w:type="dxa"/>
            <w:tcBorders>
              <w:top w:val="single" w:sz="4" w:space="0" w:color="auto"/>
              <w:left w:val="nil"/>
              <w:bottom w:val="single" w:sz="4" w:space="0" w:color="auto"/>
              <w:right w:val="single" w:sz="4" w:space="0" w:color="auto"/>
            </w:tcBorders>
            <w:shd w:val="clear" w:color="auto" w:fill="auto"/>
            <w:vAlign w:val="center"/>
          </w:tcPr>
          <w:p w:rsidR="00E93459" w:rsidRPr="005E74B6" w:rsidRDefault="00E93459" w:rsidP="00E93459">
            <w:pPr>
              <w:ind w:firstLine="0"/>
              <w:jc w:val="right"/>
              <w:rPr>
                <w:bCs/>
                <w:color w:val="000000"/>
                <w:sz w:val="20"/>
                <w:szCs w:val="20"/>
              </w:rPr>
            </w:pPr>
            <w:r w:rsidRPr="005E74B6">
              <w:rPr>
                <w:bCs/>
                <w:color w:val="000000"/>
                <w:sz w:val="20"/>
                <w:szCs w:val="20"/>
              </w:rPr>
              <w:t>7,37</w:t>
            </w:r>
            <w:r>
              <w:rPr>
                <w:bCs/>
                <w:color w:val="000000"/>
                <w:sz w:val="20"/>
                <w:szCs w:val="20"/>
              </w:rPr>
              <w:t xml:space="preserve"> </w:t>
            </w:r>
            <w:r w:rsidRPr="005E74B6">
              <w:rPr>
                <w:bCs/>
                <w:color w:val="000000"/>
                <w:sz w:val="20"/>
                <w:szCs w:val="20"/>
              </w:rPr>
              <w:t>%</w:t>
            </w:r>
          </w:p>
        </w:tc>
      </w:tr>
    </w:tbl>
    <w:p w:rsidR="00F749E9" w:rsidRPr="004761E0" w:rsidRDefault="00F749E9" w:rsidP="007076A7">
      <w:pPr>
        <w:pStyle w:val="a8"/>
        <w:numPr>
          <w:ilvl w:val="0"/>
          <w:numId w:val="226"/>
        </w:numPr>
        <w:tabs>
          <w:tab w:val="left" w:pos="567"/>
          <w:tab w:val="left" w:pos="993"/>
        </w:tabs>
        <w:spacing w:before="120" w:after="120"/>
        <w:ind w:left="567" w:firstLine="0"/>
        <w:jc w:val="left"/>
        <w:rPr>
          <w:rFonts w:ascii="Times New Roman" w:hAnsi="Times New Roman"/>
          <w:b/>
          <w:sz w:val="26"/>
          <w:szCs w:val="26"/>
          <w:lang w:eastAsia="ru-RU"/>
        </w:rPr>
      </w:pPr>
      <w:bookmarkStart w:id="156" w:name="_Toc385339865"/>
      <w:r w:rsidRPr="004761E0">
        <w:rPr>
          <w:rFonts w:ascii="Times New Roman" w:hAnsi="Times New Roman"/>
          <w:b/>
          <w:sz w:val="26"/>
          <w:szCs w:val="26"/>
          <w:lang w:eastAsia="ru-RU"/>
        </w:rPr>
        <w:t>Управление персоналом</w:t>
      </w:r>
      <w:bookmarkEnd w:id="156"/>
    </w:p>
    <w:p w:rsidR="0061088F" w:rsidRPr="00D95123" w:rsidRDefault="0061088F" w:rsidP="00D95123">
      <w:pPr>
        <w:tabs>
          <w:tab w:val="left" w:pos="426"/>
        </w:tabs>
        <w:spacing w:before="120" w:after="120"/>
        <w:ind w:firstLine="567"/>
        <w:rPr>
          <w:b/>
          <w:sz w:val="26"/>
          <w:szCs w:val="26"/>
        </w:rPr>
      </w:pPr>
      <w:r w:rsidRPr="00D95123">
        <w:rPr>
          <w:b/>
          <w:sz w:val="26"/>
          <w:szCs w:val="26"/>
        </w:rPr>
        <w:t>Динамика численности персонала</w:t>
      </w:r>
    </w:p>
    <w:tbl>
      <w:tblPr>
        <w:tblW w:w="14975" w:type="dxa"/>
        <w:tblInd w:w="95" w:type="dxa"/>
        <w:tblLayout w:type="fixed"/>
        <w:tblLook w:val="04A0"/>
      </w:tblPr>
      <w:tblGrid>
        <w:gridCol w:w="580"/>
        <w:gridCol w:w="3964"/>
        <w:gridCol w:w="1299"/>
        <w:gridCol w:w="1299"/>
        <w:gridCol w:w="1299"/>
        <w:gridCol w:w="1324"/>
        <w:gridCol w:w="1299"/>
        <w:gridCol w:w="1299"/>
        <w:gridCol w:w="1299"/>
        <w:gridCol w:w="1313"/>
      </w:tblGrid>
      <w:tr w:rsidR="0061088F" w:rsidRPr="004761E0" w:rsidTr="00F749E9">
        <w:trPr>
          <w:trHeight w:val="300"/>
        </w:trPr>
        <w:tc>
          <w:tcPr>
            <w:tcW w:w="580" w:type="dxa"/>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0F243E" w:themeFill="text2" w:themeFillShade="80"/>
            <w:vAlign w:val="center"/>
            <w:hideMark/>
          </w:tcPr>
          <w:p w:rsidR="0061088F" w:rsidRPr="004761E0" w:rsidRDefault="0061088F" w:rsidP="0061088F">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lastRenderedPageBreak/>
              <w:t>№ п/п</w:t>
            </w:r>
          </w:p>
        </w:tc>
        <w:tc>
          <w:tcPr>
            <w:tcW w:w="3964"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61088F" w:rsidRPr="004761E0" w:rsidRDefault="0061088F" w:rsidP="0061088F">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5221"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61088F" w:rsidRPr="004761E0" w:rsidRDefault="0061088F" w:rsidP="0061088F">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г. Москва</w:t>
            </w:r>
          </w:p>
        </w:tc>
        <w:tc>
          <w:tcPr>
            <w:tcW w:w="5210" w:type="dxa"/>
            <w:gridSpan w:val="4"/>
            <w:tcBorders>
              <w:top w:val="single" w:sz="4" w:space="0" w:color="auto"/>
              <w:left w:val="single" w:sz="4" w:space="0" w:color="FFFFFF" w:themeColor="background1"/>
              <w:bottom w:val="single" w:sz="4" w:space="0" w:color="FFFFFF" w:themeColor="background1"/>
              <w:right w:val="single" w:sz="4" w:space="0" w:color="auto"/>
            </w:tcBorders>
            <w:shd w:val="clear" w:color="auto" w:fill="0F243E" w:themeFill="text2" w:themeFillShade="80"/>
            <w:vAlign w:val="center"/>
            <w:hideMark/>
          </w:tcPr>
          <w:p w:rsidR="0061088F" w:rsidRPr="004761E0" w:rsidRDefault="0061088F" w:rsidP="0061088F">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Московская область</w:t>
            </w:r>
          </w:p>
        </w:tc>
      </w:tr>
      <w:tr w:rsidR="0061088F" w:rsidRPr="004761E0" w:rsidTr="00F749E9">
        <w:trPr>
          <w:trHeight w:val="300"/>
        </w:trPr>
        <w:tc>
          <w:tcPr>
            <w:tcW w:w="580" w:type="dxa"/>
            <w:vMerge/>
            <w:tcBorders>
              <w:top w:val="single" w:sz="4" w:space="0" w:color="FFFFFF" w:themeColor="background1"/>
              <w:left w:val="single" w:sz="4" w:space="0" w:color="auto"/>
              <w:bottom w:val="single" w:sz="4" w:space="0" w:color="000000"/>
              <w:right w:val="single" w:sz="4" w:space="0" w:color="FFFFFF" w:themeColor="background1"/>
            </w:tcBorders>
            <w:shd w:val="clear" w:color="auto" w:fill="0F243E" w:themeFill="text2" w:themeFillShade="80"/>
            <w:vAlign w:val="center"/>
            <w:hideMark/>
          </w:tcPr>
          <w:p w:rsidR="0061088F" w:rsidRPr="004761E0" w:rsidRDefault="0061088F" w:rsidP="0061088F">
            <w:pPr>
              <w:rPr>
                <w:rFonts w:eastAsia="Times New Roman"/>
                <w:b/>
                <w:color w:val="FFFFFF" w:themeColor="background1"/>
                <w:sz w:val="20"/>
                <w:szCs w:val="20"/>
                <w:lang w:eastAsia="ru-RU"/>
              </w:rPr>
            </w:pPr>
          </w:p>
        </w:tc>
        <w:tc>
          <w:tcPr>
            <w:tcW w:w="3964" w:type="dxa"/>
            <w:vMerge/>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0F243E" w:themeFill="text2" w:themeFillShade="80"/>
            <w:vAlign w:val="center"/>
            <w:hideMark/>
          </w:tcPr>
          <w:p w:rsidR="0061088F" w:rsidRPr="004761E0" w:rsidRDefault="0061088F" w:rsidP="0061088F">
            <w:pPr>
              <w:rPr>
                <w:rFonts w:eastAsia="Times New Roman"/>
                <w:b/>
                <w:color w:val="FFFFFF" w:themeColor="background1"/>
                <w:sz w:val="20"/>
                <w:szCs w:val="20"/>
                <w:lang w:eastAsia="ru-RU"/>
              </w:rPr>
            </w:pPr>
          </w:p>
        </w:tc>
        <w:tc>
          <w:tcPr>
            <w:tcW w:w="129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61088F" w:rsidRPr="004761E0" w:rsidRDefault="0061088F" w:rsidP="004D2A3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29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61088F" w:rsidRPr="004761E0" w:rsidRDefault="0061088F" w:rsidP="004D2A3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29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61088F" w:rsidRPr="004761E0" w:rsidRDefault="0061088F" w:rsidP="004D2A3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32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61088F" w:rsidRPr="004761E0" w:rsidRDefault="0061088F" w:rsidP="004D2A3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c>
          <w:tcPr>
            <w:tcW w:w="129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61088F" w:rsidRPr="004761E0" w:rsidRDefault="0061088F" w:rsidP="004D2A3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29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61088F" w:rsidRPr="004761E0" w:rsidRDefault="0061088F" w:rsidP="004D2A3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29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61088F" w:rsidRPr="004761E0" w:rsidRDefault="0061088F" w:rsidP="004D2A3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3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61088F" w:rsidRPr="004761E0" w:rsidRDefault="0061088F" w:rsidP="004D2A39">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61088F" w:rsidRPr="004761E0" w:rsidTr="00F749E9">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61088F" w:rsidRPr="004761E0" w:rsidRDefault="0061088F" w:rsidP="007076A7">
            <w:pPr>
              <w:numPr>
                <w:ilvl w:val="0"/>
                <w:numId w:val="86"/>
              </w:numPr>
              <w:tabs>
                <w:tab w:val="left" w:pos="262"/>
              </w:tabs>
              <w:ind w:left="47" w:firstLine="0"/>
              <w:jc w:val="left"/>
              <w:rPr>
                <w:rFonts w:eastAsia="Times New Roman"/>
                <w:color w:val="000000"/>
                <w:sz w:val="20"/>
                <w:szCs w:val="20"/>
                <w:lang w:eastAsia="ru-RU"/>
              </w:rPr>
            </w:pPr>
          </w:p>
        </w:tc>
        <w:tc>
          <w:tcPr>
            <w:tcW w:w="3964" w:type="dxa"/>
            <w:tcBorders>
              <w:top w:val="nil"/>
              <w:left w:val="nil"/>
              <w:bottom w:val="single" w:sz="4" w:space="0" w:color="auto"/>
              <w:right w:val="single" w:sz="4" w:space="0" w:color="auto"/>
            </w:tcBorders>
            <w:shd w:val="clear" w:color="auto" w:fill="auto"/>
            <w:vAlign w:val="center"/>
            <w:hideMark/>
          </w:tcPr>
          <w:p w:rsidR="0061088F" w:rsidRPr="004761E0" w:rsidRDefault="0061088F" w:rsidP="0061088F">
            <w:pPr>
              <w:ind w:firstLine="0"/>
              <w:jc w:val="left"/>
              <w:rPr>
                <w:rFonts w:eastAsia="Times New Roman"/>
                <w:color w:val="000000"/>
                <w:sz w:val="20"/>
                <w:szCs w:val="20"/>
                <w:lang w:eastAsia="ru-RU"/>
              </w:rPr>
            </w:pPr>
            <w:r w:rsidRPr="004761E0">
              <w:rPr>
                <w:rFonts w:eastAsia="Times New Roman"/>
                <w:color w:val="000000"/>
                <w:sz w:val="20"/>
                <w:szCs w:val="20"/>
                <w:lang w:eastAsia="ru-RU"/>
              </w:rPr>
              <w:t>Среднесписочная численность персонала, чел. (всего), в т.ч.:</w:t>
            </w:r>
          </w:p>
        </w:tc>
        <w:tc>
          <w:tcPr>
            <w:tcW w:w="1299" w:type="dxa"/>
            <w:tcBorders>
              <w:top w:val="nil"/>
              <w:left w:val="nil"/>
              <w:bottom w:val="single" w:sz="4" w:space="0" w:color="auto"/>
              <w:right w:val="single" w:sz="4" w:space="0" w:color="auto"/>
            </w:tcBorders>
            <w:shd w:val="clear" w:color="auto" w:fill="auto"/>
            <w:vAlign w:val="center"/>
            <w:hideMark/>
          </w:tcPr>
          <w:p w:rsidR="0061088F" w:rsidRPr="004761E0" w:rsidRDefault="0061088F" w:rsidP="0061088F">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7 536</w:t>
            </w:r>
          </w:p>
        </w:tc>
        <w:tc>
          <w:tcPr>
            <w:tcW w:w="1299" w:type="dxa"/>
            <w:tcBorders>
              <w:top w:val="nil"/>
              <w:left w:val="nil"/>
              <w:bottom w:val="single" w:sz="4" w:space="0" w:color="auto"/>
              <w:right w:val="single" w:sz="4" w:space="0" w:color="auto"/>
            </w:tcBorders>
            <w:shd w:val="clear" w:color="auto" w:fill="auto"/>
            <w:vAlign w:val="center"/>
            <w:hideMark/>
          </w:tcPr>
          <w:p w:rsidR="0061088F" w:rsidRPr="004761E0" w:rsidRDefault="0061088F" w:rsidP="0061088F">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7 394</w:t>
            </w:r>
          </w:p>
        </w:tc>
        <w:tc>
          <w:tcPr>
            <w:tcW w:w="1299" w:type="dxa"/>
            <w:tcBorders>
              <w:top w:val="nil"/>
              <w:left w:val="nil"/>
              <w:bottom w:val="single" w:sz="4" w:space="0" w:color="auto"/>
              <w:right w:val="single" w:sz="4" w:space="0" w:color="auto"/>
            </w:tcBorders>
            <w:shd w:val="clear" w:color="auto" w:fill="auto"/>
            <w:vAlign w:val="center"/>
            <w:hideMark/>
          </w:tcPr>
          <w:p w:rsidR="0061088F" w:rsidRPr="004761E0" w:rsidRDefault="0061088F" w:rsidP="0061088F">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7 630</w:t>
            </w:r>
          </w:p>
        </w:tc>
        <w:tc>
          <w:tcPr>
            <w:tcW w:w="1324" w:type="dxa"/>
            <w:tcBorders>
              <w:top w:val="nil"/>
              <w:left w:val="nil"/>
              <w:bottom w:val="single" w:sz="4" w:space="0" w:color="auto"/>
              <w:right w:val="single" w:sz="4" w:space="0" w:color="auto"/>
            </w:tcBorders>
            <w:shd w:val="clear" w:color="auto" w:fill="auto"/>
            <w:vAlign w:val="center"/>
            <w:hideMark/>
          </w:tcPr>
          <w:p w:rsidR="0061088F" w:rsidRPr="004761E0" w:rsidRDefault="0061088F" w:rsidP="0061088F">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3,19 %</w:t>
            </w:r>
          </w:p>
        </w:tc>
        <w:tc>
          <w:tcPr>
            <w:tcW w:w="1299" w:type="dxa"/>
            <w:tcBorders>
              <w:top w:val="nil"/>
              <w:left w:val="nil"/>
              <w:bottom w:val="single" w:sz="4" w:space="0" w:color="auto"/>
              <w:right w:val="single" w:sz="4" w:space="0" w:color="auto"/>
            </w:tcBorders>
            <w:shd w:val="clear" w:color="auto" w:fill="auto"/>
            <w:vAlign w:val="center"/>
            <w:hideMark/>
          </w:tcPr>
          <w:p w:rsidR="0061088F" w:rsidRPr="004761E0" w:rsidRDefault="0061088F" w:rsidP="0061088F">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7 696</w:t>
            </w:r>
          </w:p>
        </w:tc>
        <w:tc>
          <w:tcPr>
            <w:tcW w:w="1299" w:type="dxa"/>
            <w:tcBorders>
              <w:top w:val="nil"/>
              <w:left w:val="nil"/>
              <w:bottom w:val="single" w:sz="4" w:space="0" w:color="auto"/>
              <w:right w:val="single" w:sz="4" w:space="0" w:color="auto"/>
            </w:tcBorders>
            <w:shd w:val="clear" w:color="auto" w:fill="auto"/>
            <w:vAlign w:val="center"/>
            <w:hideMark/>
          </w:tcPr>
          <w:p w:rsidR="0061088F" w:rsidRPr="004761E0" w:rsidRDefault="0061088F" w:rsidP="0061088F">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7 821</w:t>
            </w:r>
          </w:p>
        </w:tc>
        <w:tc>
          <w:tcPr>
            <w:tcW w:w="1299" w:type="dxa"/>
            <w:tcBorders>
              <w:top w:val="nil"/>
              <w:left w:val="nil"/>
              <w:bottom w:val="single" w:sz="4" w:space="0" w:color="auto"/>
              <w:right w:val="single" w:sz="4" w:space="0" w:color="auto"/>
            </w:tcBorders>
            <w:shd w:val="clear" w:color="auto" w:fill="auto"/>
            <w:vAlign w:val="center"/>
            <w:hideMark/>
          </w:tcPr>
          <w:p w:rsidR="0061088F" w:rsidRPr="004761E0" w:rsidRDefault="0061088F" w:rsidP="0061088F">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7 530</w:t>
            </w:r>
          </w:p>
        </w:tc>
        <w:tc>
          <w:tcPr>
            <w:tcW w:w="1313" w:type="dxa"/>
            <w:tcBorders>
              <w:top w:val="nil"/>
              <w:left w:val="nil"/>
              <w:bottom w:val="single" w:sz="4" w:space="0" w:color="auto"/>
              <w:right w:val="single" w:sz="4" w:space="0" w:color="auto"/>
            </w:tcBorders>
            <w:shd w:val="clear" w:color="auto" w:fill="auto"/>
            <w:vAlign w:val="center"/>
            <w:hideMark/>
          </w:tcPr>
          <w:p w:rsidR="0061088F" w:rsidRPr="004761E0" w:rsidRDefault="0061088F" w:rsidP="0061088F">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-3,72 %</w:t>
            </w:r>
          </w:p>
        </w:tc>
      </w:tr>
      <w:tr w:rsidR="0061088F" w:rsidRPr="004761E0" w:rsidTr="00F749E9">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88F" w:rsidRPr="004761E0" w:rsidRDefault="00F749E9" w:rsidP="007076A7">
            <w:pPr>
              <w:pStyle w:val="a5"/>
              <w:numPr>
                <w:ilvl w:val="1"/>
                <w:numId w:val="215"/>
              </w:numPr>
              <w:tabs>
                <w:tab w:val="left" w:pos="262"/>
              </w:tabs>
              <w:ind w:left="47"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 </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88F" w:rsidRPr="004761E0" w:rsidRDefault="0061088F" w:rsidP="0061088F">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исполнительный аппарат</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88F" w:rsidRPr="004761E0" w:rsidRDefault="0061088F" w:rsidP="0061088F">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882</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88F" w:rsidRPr="004761E0" w:rsidRDefault="0061088F" w:rsidP="0061088F">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950</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88F" w:rsidRPr="004761E0" w:rsidRDefault="0061088F" w:rsidP="0061088F">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1 012</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88F" w:rsidRPr="004761E0" w:rsidRDefault="0061088F" w:rsidP="0061088F">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6,53 %</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88F" w:rsidRPr="004761E0" w:rsidRDefault="0061088F" w:rsidP="0061088F">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88F" w:rsidRPr="004761E0" w:rsidRDefault="0061088F" w:rsidP="0061088F">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88F" w:rsidRPr="004761E0" w:rsidRDefault="0061088F" w:rsidP="0061088F">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88F" w:rsidRPr="004761E0" w:rsidRDefault="0061088F" w:rsidP="0061088F">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w:t>
            </w:r>
          </w:p>
        </w:tc>
      </w:tr>
      <w:tr w:rsidR="000D32E7" w:rsidRPr="004761E0" w:rsidTr="00F749E9">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2E7" w:rsidRPr="004761E0" w:rsidRDefault="000D32E7" w:rsidP="007076A7">
            <w:pPr>
              <w:numPr>
                <w:ilvl w:val="0"/>
                <w:numId w:val="86"/>
              </w:numPr>
              <w:tabs>
                <w:tab w:val="left" w:pos="262"/>
              </w:tabs>
              <w:ind w:left="47" w:firstLine="0"/>
              <w:jc w:val="left"/>
              <w:rPr>
                <w:rFonts w:eastAsia="Times New Roman"/>
                <w:color w:val="000000"/>
                <w:sz w:val="20"/>
                <w:szCs w:val="20"/>
                <w:lang w:eastAsia="ru-RU"/>
              </w:rPr>
            </w:pP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2E7" w:rsidRPr="004761E0" w:rsidRDefault="008E11BC" w:rsidP="000D32E7">
            <w:pPr>
              <w:ind w:firstLine="0"/>
              <w:jc w:val="left"/>
              <w:rPr>
                <w:rFonts w:eastAsia="Times New Roman"/>
                <w:color w:val="000000"/>
                <w:sz w:val="20"/>
                <w:szCs w:val="20"/>
                <w:lang w:eastAsia="ru-RU"/>
              </w:rPr>
            </w:pPr>
            <w:r>
              <w:rPr>
                <w:rFonts w:eastAsia="Times New Roman"/>
                <w:color w:val="000000"/>
                <w:sz w:val="20"/>
                <w:szCs w:val="20"/>
                <w:lang w:eastAsia="ru-RU"/>
              </w:rPr>
              <w:t>Штатная</w:t>
            </w:r>
            <w:r w:rsidR="000D32E7" w:rsidRPr="004761E0">
              <w:rPr>
                <w:rFonts w:eastAsia="Times New Roman"/>
                <w:color w:val="000000"/>
                <w:sz w:val="20"/>
                <w:szCs w:val="20"/>
                <w:lang w:eastAsia="ru-RU"/>
              </w:rPr>
              <w:t xml:space="preserve"> численность персонала, чел. (всего), в т.ч.:</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2E7" w:rsidRPr="004761E0" w:rsidRDefault="000D32E7" w:rsidP="000D32E7">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8 559</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2E7" w:rsidRPr="004761E0" w:rsidRDefault="000D32E7" w:rsidP="000D32E7">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8 247</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2E7" w:rsidRPr="004761E0" w:rsidRDefault="000D32E7" w:rsidP="000D32E7">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8 118</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2E7" w:rsidRPr="004761E0" w:rsidRDefault="000D32E7" w:rsidP="000D32E7">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-1,56</w:t>
            </w:r>
            <w:r w:rsidR="008E11BC">
              <w:rPr>
                <w:rFonts w:eastAsia="Times New Roman"/>
                <w:bCs/>
                <w:color w:val="000000"/>
                <w:sz w:val="20"/>
                <w:szCs w:val="20"/>
                <w:lang w:eastAsia="ru-RU"/>
              </w:rPr>
              <w:t xml:space="preserve"> </w:t>
            </w:r>
            <w:r w:rsidRPr="004761E0">
              <w:rPr>
                <w:rFonts w:eastAsia="Times New Roman"/>
                <w:bCs/>
                <w:color w:val="000000"/>
                <w:sz w:val="20"/>
                <w:szCs w:val="20"/>
                <w:lang w:eastAsia="ru-RU"/>
              </w:rPr>
              <w: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2E7" w:rsidRPr="004761E0" w:rsidRDefault="000D32E7" w:rsidP="000D32E7">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8 003</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2E7" w:rsidRPr="004761E0" w:rsidRDefault="000D32E7" w:rsidP="000D32E7">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8 106</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2E7" w:rsidRPr="004761E0" w:rsidRDefault="000D32E7" w:rsidP="000D32E7">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8 133</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2E7" w:rsidRPr="004761E0" w:rsidRDefault="000D32E7" w:rsidP="000D32E7">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0,33 %</w:t>
            </w:r>
          </w:p>
        </w:tc>
      </w:tr>
      <w:tr w:rsidR="000D32E7" w:rsidRPr="004761E0" w:rsidTr="00F749E9">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2E7" w:rsidRPr="008E11BC" w:rsidRDefault="000D32E7" w:rsidP="007076A7">
            <w:pPr>
              <w:pStyle w:val="a5"/>
              <w:numPr>
                <w:ilvl w:val="1"/>
                <w:numId w:val="11"/>
              </w:numPr>
              <w:tabs>
                <w:tab w:val="left" w:pos="262"/>
              </w:tabs>
              <w:jc w:val="left"/>
              <w:rPr>
                <w:rFonts w:eastAsia="Times New Roman"/>
                <w:color w:val="000000"/>
                <w:sz w:val="20"/>
                <w:szCs w:val="20"/>
                <w:lang w:eastAsia="ru-RU"/>
              </w:rPr>
            </w:pP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2E7" w:rsidRPr="004761E0" w:rsidRDefault="000D32E7" w:rsidP="000D32E7">
            <w:pPr>
              <w:ind w:firstLineChars="200" w:firstLine="400"/>
              <w:jc w:val="left"/>
              <w:rPr>
                <w:rFonts w:eastAsia="Times New Roman"/>
                <w:color w:val="000000"/>
                <w:sz w:val="20"/>
                <w:szCs w:val="20"/>
                <w:lang w:eastAsia="ru-RU"/>
              </w:rPr>
            </w:pPr>
            <w:r w:rsidRPr="004761E0">
              <w:rPr>
                <w:rFonts w:eastAsia="Times New Roman"/>
                <w:color w:val="000000"/>
                <w:sz w:val="20"/>
                <w:szCs w:val="20"/>
                <w:lang w:eastAsia="ru-RU"/>
              </w:rPr>
              <w:t>исполнительный аппарат</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2E7" w:rsidRPr="004761E0" w:rsidRDefault="000D32E7" w:rsidP="000D32E7">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942</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2E7" w:rsidRPr="004761E0" w:rsidRDefault="000D32E7" w:rsidP="000D32E7">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1 039</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2E7" w:rsidRPr="004761E0" w:rsidRDefault="000D32E7" w:rsidP="000D32E7">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1 117</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2E7" w:rsidRPr="004761E0" w:rsidRDefault="000D32E7" w:rsidP="000D32E7">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7,51</w:t>
            </w:r>
            <w:r w:rsidR="008E11BC">
              <w:rPr>
                <w:rFonts w:eastAsia="Times New Roman"/>
                <w:bCs/>
                <w:color w:val="000000"/>
                <w:sz w:val="20"/>
                <w:szCs w:val="20"/>
                <w:lang w:eastAsia="ru-RU"/>
              </w:rPr>
              <w:t xml:space="preserve"> </w:t>
            </w:r>
            <w:r w:rsidRPr="004761E0">
              <w:rPr>
                <w:rFonts w:eastAsia="Times New Roman"/>
                <w:bCs/>
                <w:color w:val="000000"/>
                <w:sz w:val="20"/>
                <w:szCs w:val="20"/>
                <w:lang w:eastAsia="ru-RU"/>
              </w:rPr>
              <w: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2E7" w:rsidRPr="004761E0" w:rsidRDefault="000D32E7" w:rsidP="000D32E7">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2E7" w:rsidRPr="004761E0" w:rsidRDefault="000D32E7" w:rsidP="000D32E7">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2E7" w:rsidRPr="004761E0" w:rsidRDefault="000D32E7" w:rsidP="000D32E7">
            <w:pPr>
              <w:ind w:firstLine="0"/>
              <w:jc w:val="right"/>
              <w:rPr>
                <w:rFonts w:eastAsia="Times New Roman"/>
                <w:bCs/>
                <w:color w:val="000000"/>
                <w:sz w:val="20"/>
                <w:szCs w:val="20"/>
                <w:lang w:eastAsia="ru-RU"/>
              </w:rPr>
            </w:pPr>
            <w:r w:rsidRPr="004761E0">
              <w:rPr>
                <w:rFonts w:eastAsia="Times New Roman"/>
                <w:bCs/>
                <w:color w:val="000000"/>
                <w:sz w:val="20"/>
                <w:szCs w:val="20"/>
                <w:lang w:eastAsia="ru-RU"/>
              </w:rPr>
              <w:t>–</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2E7" w:rsidRPr="004761E0" w:rsidRDefault="000D32E7" w:rsidP="000D32E7">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r>
    </w:tbl>
    <w:p w:rsidR="000D32E7" w:rsidRPr="004761E0" w:rsidRDefault="00414E7E" w:rsidP="00414E7E">
      <w:pPr>
        <w:spacing w:before="120" w:after="120"/>
        <w:ind w:firstLine="567"/>
        <w:jc w:val="left"/>
        <w:rPr>
          <w:rFonts w:eastAsia="Times New Roman"/>
          <w:b/>
          <w:iCs/>
          <w:color w:val="000000"/>
          <w:sz w:val="26"/>
          <w:szCs w:val="26"/>
          <w:lang w:eastAsia="ru-RU"/>
        </w:rPr>
      </w:pPr>
      <w:r w:rsidRPr="004761E0">
        <w:rPr>
          <w:rFonts w:eastAsia="Times New Roman"/>
          <w:b/>
          <w:iCs/>
          <w:color w:val="000000"/>
          <w:sz w:val="26"/>
          <w:szCs w:val="26"/>
          <w:lang w:eastAsia="ru-RU"/>
        </w:rPr>
        <w:t>Сведения о подготовке, переподготовке и повышении квалификации персонала</w:t>
      </w:r>
    </w:p>
    <w:tbl>
      <w:tblPr>
        <w:tblW w:w="14975" w:type="dxa"/>
        <w:tblInd w:w="95" w:type="dxa"/>
        <w:tblLook w:val="04A0"/>
      </w:tblPr>
      <w:tblGrid>
        <w:gridCol w:w="580"/>
        <w:gridCol w:w="3686"/>
        <w:gridCol w:w="1340"/>
        <w:gridCol w:w="1340"/>
        <w:gridCol w:w="1340"/>
        <w:gridCol w:w="1340"/>
        <w:gridCol w:w="1340"/>
        <w:gridCol w:w="1340"/>
        <w:gridCol w:w="1340"/>
        <w:gridCol w:w="1329"/>
      </w:tblGrid>
      <w:tr w:rsidR="00414E7E" w:rsidRPr="004761E0" w:rsidTr="00F749E9">
        <w:trPr>
          <w:trHeight w:val="300"/>
        </w:trPr>
        <w:tc>
          <w:tcPr>
            <w:tcW w:w="580" w:type="dxa"/>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0F243E" w:themeFill="text2" w:themeFillShade="80"/>
            <w:vAlign w:val="center"/>
            <w:hideMark/>
          </w:tcPr>
          <w:p w:rsidR="00414E7E" w:rsidRPr="004761E0" w:rsidRDefault="00414E7E" w:rsidP="00414E7E">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3686"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14E7E" w:rsidRPr="004761E0" w:rsidRDefault="00414E7E" w:rsidP="00414E7E">
            <w:pPr>
              <w:ind w:firstLine="0"/>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Наименование категории</w:t>
            </w:r>
          </w:p>
        </w:tc>
        <w:tc>
          <w:tcPr>
            <w:tcW w:w="5360"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414E7E" w:rsidRPr="004761E0" w:rsidRDefault="00414E7E" w:rsidP="00414E7E">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г. Москва</w:t>
            </w:r>
          </w:p>
        </w:tc>
        <w:tc>
          <w:tcPr>
            <w:tcW w:w="5349" w:type="dxa"/>
            <w:gridSpan w:val="4"/>
            <w:tcBorders>
              <w:top w:val="single" w:sz="4" w:space="0" w:color="auto"/>
              <w:left w:val="single" w:sz="4" w:space="0" w:color="FFFFFF" w:themeColor="background1"/>
              <w:bottom w:val="single" w:sz="4" w:space="0" w:color="FFFFFF" w:themeColor="background1"/>
              <w:right w:val="single" w:sz="4" w:space="0" w:color="auto"/>
            </w:tcBorders>
            <w:shd w:val="clear" w:color="auto" w:fill="0F243E" w:themeFill="text2" w:themeFillShade="80"/>
            <w:vAlign w:val="center"/>
            <w:hideMark/>
          </w:tcPr>
          <w:p w:rsidR="00414E7E" w:rsidRPr="004761E0" w:rsidRDefault="00414E7E" w:rsidP="00414E7E">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Московская область</w:t>
            </w:r>
          </w:p>
        </w:tc>
      </w:tr>
      <w:tr w:rsidR="00414E7E" w:rsidRPr="004761E0" w:rsidTr="00F749E9">
        <w:trPr>
          <w:trHeight w:val="300"/>
        </w:trPr>
        <w:tc>
          <w:tcPr>
            <w:tcW w:w="580" w:type="dxa"/>
            <w:vMerge/>
            <w:tcBorders>
              <w:top w:val="single" w:sz="4" w:space="0" w:color="FFFFFF" w:themeColor="background1"/>
              <w:left w:val="single" w:sz="4" w:space="0" w:color="auto"/>
              <w:bottom w:val="single" w:sz="4" w:space="0" w:color="000000"/>
              <w:right w:val="single" w:sz="4" w:space="0" w:color="FFFFFF" w:themeColor="background1"/>
            </w:tcBorders>
            <w:shd w:val="clear" w:color="auto" w:fill="0F243E" w:themeFill="text2" w:themeFillShade="80"/>
            <w:vAlign w:val="center"/>
            <w:hideMark/>
          </w:tcPr>
          <w:p w:rsidR="00414E7E" w:rsidRPr="004761E0" w:rsidRDefault="00414E7E" w:rsidP="00414E7E">
            <w:pPr>
              <w:rPr>
                <w:rFonts w:eastAsia="Times New Roman"/>
                <w:b/>
                <w:color w:val="FFFFFF" w:themeColor="background1"/>
                <w:sz w:val="20"/>
                <w:szCs w:val="20"/>
                <w:lang w:eastAsia="ru-RU"/>
              </w:rPr>
            </w:pPr>
          </w:p>
        </w:tc>
        <w:tc>
          <w:tcPr>
            <w:tcW w:w="3686" w:type="dxa"/>
            <w:vMerge/>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0F243E" w:themeFill="text2" w:themeFillShade="80"/>
            <w:vAlign w:val="center"/>
            <w:hideMark/>
          </w:tcPr>
          <w:p w:rsidR="00414E7E" w:rsidRPr="004761E0" w:rsidRDefault="00414E7E" w:rsidP="00414E7E">
            <w:pPr>
              <w:rPr>
                <w:rFonts w:eastAsia="Times New Roman"/>
                <w:b/>
                <w:color w:val="FFFFFF" w:themeColor="background1"/>
                <w:sz w:val="20"/>
                <w:szCs w:val="20"/>
                <w:lang w:eastAsia="ru-RU"/>
              </w:rPr>
            </w:pPr>
          </w:p>
        </w:tc>
        <w:tc>
          <w:tcPr>
            <w:tcW w:w="134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14E7E" w:rsidRPr="004761E0" w:rsidRDefault="00414E7E" w:rsidP="00414E7E">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34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14E7E" w:rsidRPr="004761E0" w:rsidRDefault="00414E7E" w:rsidP="00414E7E">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34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14E7E" w:rsidRPr="004761E0" w:rsidRDefault="00414E7E" w:rsidP="00414E7E">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34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14E7E" w:rsidRPr="004761E0" w:rsidRDefault="00414E7E" w:rsidP="00414E7E">
            <w:pPr>
              <w:ind w:hanging="17"/>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c>
          <w:tcPr>
            <w:tcW w:w="134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14E7E" w:rsidRPr="004761E0" w:rsidRDefault="00414E7E" w:rsidP="00414E7E">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2011</w:t>
            </w:r>
          </w:p>
        </w:tc>
        <w:tc>
          <w:tcPr>
            <w:tcW w:w="134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14E7E" w:rsidRPr="004761E0" w:rsidRDefault="00414E7E" w:rsidP="00414E7E">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2012</w:t>
            </w:r>
          </w:p>
        </w:tc>
        <w:tc>
          <w:tcPr>
            <w:tcW w:w="134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414E7E" w:rsidRPr="004761E0" w:rsidRDefault="00414E7E" w:rsidP="00414E7E">
            <w:pPr>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w:t>
            </w:r>
          </w:p>
        </w:tc>
        <w:tc>
          <w:tcPr>
            <w:tcW w:w="1329"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F243E" w:themeFill="text2" w:themeFillShade="80"/>
            <w:vAlign w:val="center"/>
            <w:hideMark/>
          </w:tcPr>
          <w:p w:rsidR="00414E7E" w:rsidRPr="004761E0" w:rsidRDefault="00414E7E" w:rsidP="00414E7E">
            <w:pPr>
              <w:ind w:hanging="17"/>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2013/2012</w:t>
            </w:r>
          </w:p>
        </w:tc>
      </w:tr>
      <w:tr w:rsidR="00414E7E" w:rsidRPr="004761E0" w:rsidTr="00F749E9">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27A32" w:rsidRPr="004761E0" w:rsidRDefault="00027A32" w:rsidP="007076A7">
            <w:pPr>
              <w:pStyle w:val="a5"/>
              <w:numPr>
                <w:ilvl w:val="0"/>
                <w:numId w:val="118"/>
              </w:numPr>
              <w:tabs>
                <w:tab w:val="left" w:pos="262"/>
              </w:tabs>
              <w:jc w:val="left"/>
              <w:rPr>
                <w:rFonts w:eastAsia="Times New Roman"/>
                <w:color w:val="000000"/>
                <w:sz w:val="20"/>
                <w:szCs w:val="20"/>
                <w:lang w:eastAsia="ru-RU"/>
              </w:rPr>
            </w:pPr>
          </w:p>
        </w:tc>
        <w:tc>
          <w:tcPr>
            <w:tcW w:w="3686" w:type="dxa"/>
            <w:tcBorders>
              <w:top w:val="nil"/>
              <w:left w:val="nil"/>
              <w:bottom w:val="single" w:sz="4" w:space="0" w:color="auto"/>
              <w:right w:val="single" w:sz="4" w:space="0" w:color="auto"/>
            </w:tcBorders>
            <w:shd w:val="clear" w:color="auto" w:fill="auto"/>
            <w:vAlign w:val="center"/>
            <w:hideMark/>
          </w:tcPr>
          <w:p w:rsidR="00414E7E" w:rsidRPr="004761E0" w:rsidRDefault="00414E7E" w:rsidP="00C83375">
            <w:pPr>
              <w:ind w:firstLine="0"/>
              <w:jc w:val="left"/>
              <w:rPr>
                <w:rFonts w:eastAsia="Times New Roman"/>
                <w:color w:val="000000"/>
                <w:sz w:val="20"/>
                <w:szCs w:val="20"/>
                <w:lang w:eastAsia="ru-RU"/>
              </w:rPr>
            </w:pPr>
            <w:r w:rsidRPr="004761E0">
              <w:rPr>
                <w:rFonts w:eastAsia="Times New Roman"/>
                <w:color w:val="000000"/>
                <w:sz w:val="20"/>
                <w:szCs w:val="20"/>
                <w:lang w:eastAsia="ru-RU"/>
              </w:rPr>
              <w:t>Количество работников, прошедших обучение чел. (всего), в т.ч.:</w:t>
            </w:r>
          </w:p>
        </w:tc>
        <w:tc>
          <w:tcPr>
            <w:tcW w:w="1340" w:type="dxa"/>
            <w:tcBorders>
              <w:top w:val="nil"/>
              <w:left w:val="nil"/>
              <w:bottom w:val="single" w:sz="4" w:space="0" w:color="auto"/>
              <w:right w:val="single" w:sz="4" w:space="0" w:color="auto"/>
            </w:tcBorders>
            <w:shd w:val="clear" w:color="auto" w:fill="auto"/>
            <w:vAlign w:val="center"/>
            <w:hideMark/>
          </w:tcPr>
          <w:p w:rsidR="00414E7E" w:rsidRPr="004761E0" w:rsidRDefault="00414E7E" w:rsidP="00414E7E">
            <w:pPr>
              <w:ind w:firstLine="0"/>
              <w:jc w:val="right"/>
              <w:rPr>
                <w:color w:val="000000"/>
                <w:sz w:val="20"/>
                <w:szCs w:val="20"/>
              </w:rPr>
            </w:pPr>
            <w:r w:rsidRPr="004761E0">
              <w:rPr>
                <w:color w:val="000000"/>
                <w:sz w:val="20"/>
                <w:szCs w:val="20"/>
              </w:rPr>
              <w:t>7 412</w:t>
            </w:r>
          </w:p>
        </w:tc>
        <w:tc>
          <w:tcPr>
            <w:tcW w:w="1340" w:type="dxa"/>
            <w:tcBorders>
              <w:top w:val="nil"/>
              <w:left w:val="nil"/>
              <w:bottom w:val="single" w:sz="4" w:space="0" w:color="auto"/>
              <w:right w:val="single" w:sz="4" w:space="0" w:color="auto"/>
            </w:tcBorders>
            <w:shd w:val="clear" w:color="auto" w:fill="auto"/>
            <w:vAlign w:val="center"/>
            <w:hideMark/>
          </w:tcPr>
          <w:p w:rsidR="00414E7E" w:rsidRPr="004761E0" w:rsidRDefault="00414E7E" w:rsidP="00414E7E">
            <w:pPr>
              <w:ind w:firstLine="0"/>
              <w:jc w:val="right"/>
              <w:rPr>
                <w:color w:val="000000"/>
                <w:sz w:val="20"/>
                <w:szCs w:val="20"/>
              </w:rPr>
            </w:pPr>
            <w:r w:rsidRPr="004761E0">
              <w:rPr>
                <w:color w:val="000000"/>
                <w:sz w:val="20"/>
                <w:szCs w:val="20"/>
              </w:rPr>
              <w:t>6 044</w:t>
            </w:r>
          </w:p>
        </w:tc>
        <w:tc>
          <w:tcPr>
            <w:tcW w:w="1340" w:type="dxa"/>
            <w:tcBorders>
              <w:top w:val="nil"/>
              <w:left w:val="nil"/>
              <w:bottom w:val="single" w:sz="4" w:space="0" w:color="auto"/>
              <w:right w:val="single" w:sz="4" w:space="0" w:color="auto"/>
            </w:tcBorders>
            <w:shd w:val="clear" w:color="auto" w:fill="auto"/>
            <w:vAlign w:val="center"/>
            <w:hideMark/>
          </w:tcPr>
          <w:p w:rsidR="00414E7E" w:rsidRPr="008C0014" w:rsidRDefault="00414E7E" w:rsidP="008C0014">
            <w:pPr>
              <w:ind w:firstLine="0"/>
              <w:jc w:val="right"/>
              <w:rPr>
                <w:color w:val="000000"/>
                <w:sz w:val="20"/>
                <w:szCs w:val="20"/>
                <w:lang w:val="en-US"/>
              </w:rPr>
            </w:pPr>
            <w:r w:rsidRPr="004761E0">
              <w:rPr>
                <w:color w:val="000000"/>
                <w:sz w:val="20"/>
                <w:szCs w:val="20"/>
              </w:rPr>
              <w:t xml:space="preserve">6 </w:t>
            </w:r>
            <w:r w:rsidR="008C0014">
              <w:rPr>
                <w:color w:val="000000"/>
                <w:sz w:val="20"/>
                <w:szCs w:val="20"/>
                <w:lang w:val="en-US"/>
              </w:rPr>
              <w:t>467</w:t>
            </w:r>
          </w:p>
        </w:tc>
        <w:tc>
          <w:tcPr>
            <w:tcW w:w="1340" w:type="dxa"/>
            <w:tcBorders>
              <w:top w:val="nil"/>
              <w:left w:val="nil"/>
              <w:bottom w:val="single" w:sz="4" w:space="0" w:color="auto"/>
              <w:right w:val="single" w:sz="4" w:space="0" w:color="auto"/>
            </w:tcBorders>
            <w:shd w:val="clear" w:color="auto" w:fill="auto"/>
            <w:vAlign w:val="center"/>
            <w:hideMark/>
          </w:tcPr>
          <w:p w:rsidR="00414E7E" w:rsidRPr="004761E0" w:rsidRDefault="008C0014" w:rsidP="00414E7E">
            <w:pPr>
              <w:ind w:firstLine="0"/>
              <w:jc w:val="right"/>
              <w:rPr>
                <w:color w:val="000000"/>
                <w:sz w:val="20"/>
                <w:szCs w:val="20"/>
              </w:rPr>
            </w:pPr>
            <w:r>
              <w:rPr>
                <w:color w:val="000000"/>
                <w:sz w:val="20"/>
                <w:szCs w:val="20"/>
              </w:rPr>
              <w:t>7,00</w:t>
            </w:r>
            <w:r w:rsidR="00C83375" w:rsidRPr="004761E0">
              <w:rPr>
                <w:color w:val="000000"/>
                <w:sz w:val="20"/>
                <w:szCs w:val="20"/>
              </w:rPr>
              <w:t xml:space="preserve"> </w:t>
            </w:r>
            <w:r w:rsidR="00414E7E" w:rsidRPr="004761E0">
              <w:rPr>
                <w:color w:val="000000"/>
                <w:sz w:val="20"/>
                <w:szCs w:val="20"/>
              </w:rPr>
              <w:t>%</w:t>
            </w:r>
          </w:p>
        </w:tc>
        <w:tc>
          <w:tcPr>
            <w:tcW w:w="1340" w:type="dxa"/>
            <w:tcBorders>
              <w:top w:val="nil"/>
              <w:left w:val="nil"/>
              <w:bottom w:val="single" w:sz="4" w:space="0" w:color="auto"/>
              <w:right w:val="single" w:sz="4" w:space="0" w:color="auto"/>
            </w:tcBorders>
            <w:shd w:val="clear" w:color="auto" w:fill="auto"/>
            <w:vAlign w:val="center"/>
            <w:hideMark/>
          </w:tcPr>
          <w:p w:rsidR="00414E7E" w:rsidRPr="004761E0" w:rsidRDefault="00414E7E" w:rsidP="00414E7E">
            <w:pPr>
              <w:ind w:firstLine="0"/>
              <w:jc w:val="right"/>
              <w:rPr>
                <w:color w:val="000000"/>
                <w:sz w:val="20"/>
                <w:szCs w:val="20"/>
              </w:rPr>
            </w:pPr>
            <w:r w:rsidRPr="004761E0">
              <w:rPr>
                <w:color w:val="000000"/>
                <w:sz w:val="20"/>
                <w:szCs w:val="20"/>
              </w:rPr>
              <w:t>4 500</w:t>
            </w:r>
          </w:p>
        </w:tc>
        <w:tc>
          <w:tcPr>
            <w:tcW w:w="1340" w:type="dxa"/>
            <w:tcBorders>
              <w:top w:val="nil"/>
              <w:left w:val="nil"/>
              <w:bottom w:val="single" w:sz="4" w:space="0" w:color="auto"/>
              <w:right w:val="single" w:sz="4" w:space="0" w:color="auto"/>
            </w:tcBorders>
            <w:shd w:val="clear" w:color="auto" w:fill="auto"/>
            <w:vAlign w:val="center"/>
            <w:hideMark/>
          </w:tcPr>
          <w:p w:rsidR="00414E7E" w:rsidRPr="004761E0" w:rsidRDefault="00414E7E" w:rsidP="00414E7E">
            <w:pPr>
              <w:ind w:firstLine="0"/>
              <w:jc w:val="right"/>
              <w:rPr>
                <w:color w:val="000000"/>
                <w:sz w:val="20"/>
                <w:szCs w:val="20"/>
              </w:rPr>
            </w:pPr>
            <w:r w:rsidRPr="004761E0">
              <w:rPr>
                <w:color w:val="000000"/>
                <w:sz w:val="20"/>
                <w:szCs w:val="20"/>
              </w:rPr>
              <w:t>4 955</w:t>
            </w:r>
          </w:p>
        </w:tc>
        <w:tc>
          <w:tcPr>
            <w:tcW w:w="1340" w:type="dxa"/>
            <w:tcBorders>
              <w:top w:val="nil"/>
              <w:left w:val="nil"/>
              <w:bottom w:val="single" w:sz="4" w:space="0" w:color="auto"/>
              <w:right w:val="single" w:sz="4" w:space="0" w:color="auto"/>
            </w:tcBorders>
            <w:shd w:val="clear" w:color="auto" w:fill="auto"/>
            <w:vAlign w:val="center"/>
            <w:hideMark/>
          </w:tcPr>
          <w:p w:rsidR="00414E7E" w:rsidRPr="004761E0" w:rsidRDefault="00414E7E" w:rsidP="00414E7E">
            <w:pPr>
              <w:ind w:firstLine="0"/>
              <w:jc w:val="right"/>
              <w:rPr>
                <w:color w:val="000000"/>
                <w:sz w:val="20"/>
                <w:szCs w:val="20"/>
              </w:rPr>
            </w:pPr>
            <w:r w:rsidRPr="004761E0">
              <w:rPr>
                <w:color w:val="000000"/>
                <w:sz w:val="20"/>
                <w:szCs w:val="20"/>
              </w:rPr>
              <w:t>4 433</w:t>
            </w:r>
          </w:p>
        </w:tc>
        <w:tc>
          <w:tcPr>
            <w:tcW w:w="1329" w:type="dxa"/>
            <w:tcBorders>
              <w:top w:val="nil"/>
              <w:left w:val="nil"/>
              <w:bottom w:val="single" w:sz="4" w:space="0" w:color="auto"/>
              <w:right w:val="single" w:sz="4" w:space="0" w:color="auto"/>
            </w:tcBorders>
            <w:shd w:val="clear" w:color="auto" w:fill="auto"/>
            <w:vAlign w:val="center"/>
            <w:hideMark/>
          </w:tcPr>
          <w:p w:rsidR="00414E7E" w:rsidRPr="004761E0" w:rsidRDefault="00414E7E" w:rsidP="00414E7E">
            <w:pPr>
              <w:ind w:firstLine="0"/>
              <w:jc w:val="right"/>
              <w:rPr>
                <w:color w:val="000000"/>
                <w:sz w:val="20"/>
                <w:szCs w:val="20"/>
              </w:rPr>
            </w:pPr>
            <w:r w:rsidRPr="004761E0">
              <w:rPr>
                <w:color w:val="000000"/>
                <w:sz w:val="20"/>
                <w:szCs w:val="20"/>
              </w:rPr>
              <w:t>-10,53</w:t>
            </w:r>
            <w:r w:rsidR="00C83375" w:rsidRPr="004761E0">
              <w:rPr>
                <w:color w:val="000000"/>
                <w:sz w:val="20"/>
                <w:szCs w:val="20"/>
              </w:rPr>
              <w:t xml:space="preserve"> </w:t>
            </w:r>
            <w:r w:rsidRPr="004761E0">
              <w:rPr>
                <w:color w:val="000000"/>
                <w:sz w:val="20"/>
                <w:szCs w:val="20"/>
              </w:rPr>
              <w:t>%</w:t>
            </w:r>
          </w:p>
        </w:tc>
      </w:tr>
      <w:tr w:rsidR="00414E7E" w:rsidRPr="004761E0" w:rsidTr="00F749E9">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E7E" w:rsidRPr="004761E0" w:rsidRDefault="00414E7E" w:rsidP="007076A7">
            <w:pPr>
              <w:pStyle w:val="a5"/>
              <w:numPr>
                <w:ilvl w:val="1"/>
                <w:numId w:val="118"/>
              </w:numPr>
              <w:tabs>
                <w:tab w:val="left" w:pos="262"/>
              </w:tabs>
              <w:ind w:left="0" w:firstLine="0"/>
              <w:jc w:val="left"/>
              <w:rPr>
                <w:rFonts w:eastAsia="Times New Roman"/>
                <w:color w:val="000000"/>
                <w:sz w:val="20"/>
                <w:szCs w:val="20"/>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E7E" w:rsidRPr="004761E0" w:rsidRDefault="00414E7E" w:rsidP="00C83375">
            <w:pPr>
              <w:ind w:left="459" w:firstLine="0"/>
              <w:jc w:val="left"/>
              <w:rPr>
                <w:rFonts w:eastAsia="Times New Roman"/>
                <w:color w:val="000000"/>
                <w:sz w:val="20"/>
                <w:szCs w:val="20"/>
                <w:lang w:eastAsia="ru-RU"/>
              </w:rPr>
            </w:pPr>
            <w:r w:rsidRPr="004761E0">
              <w:rPr>
                <w:rFonts w:eastAsia="Times New Roman"/>
                <w:color w:val="000000"/>
                <w:sz w:val="20"/>
                <w:szCs w:val="20"/>
                <w:lang w:eastAsia="ru-RU"/>
              </w:rPr>
              <w:t>количество работников, прошедших обучение, на базе собственных учебных центров, чел.</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E7E" w:rsidRPr="004761E0" w:rsidRDefault="00414E7E" w:rsidP="00414E7E">
            <w:pPr>
              <w:ind w:firstLine="0"/>
              <w:jc w:val="right"/>
              <w:rPr>
                <w:color w:val="000000"/>
                <w:sz w:val="20"/>
                <w:szCs w:val="20"/>
              </w:rPr>
            </w:pPr>
            <w:r w:rsidRPr="004761E0">
              <w:rPr>
                <w:color w:val="000000"/>
                <w:sz w:val="20"/>
                <w:szCs w:val="20"/>
              </w:rPr>
              <w:t>2 702</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E7E" w:rsidRPr="004761E0" w:rsidRDefault="00414E7E" w:rsidP="00414E7E">
            <w:pPr>
              <w:ind w:firstLine="0"/>
              <w:jc w:val="right"/>
              <w:rPr>
                <w:color w:val="000000"/>
                <w:sz w:val="20"/>
                <w:szCs w:val="20"/>
              </w:rPr>
            </w:pPr>
            <w:r w:rsidRPr="004761E0">
              <w:rPr>
                <w:color w:val="000000"/>
                <w:sz w:val="20"/>
                <w:szCs w:val="20"/>
              </w:rPr>
              <w:t>2 049</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E7E" w:rsidRPr="004761E0" w:rsidRDefault="00414E7E" w:rsidP="00414E7E">
            <w:pPr>
              <w:ind w:firstLine="0"/>
              <w:jc w:val="right"/>
              <w:rPr>
                <w:color w:val="000000"/>
                <w:sz w:val="20"/>
                <w:szCs w:val="20"/>
              </w:rPr>
            </w:pPr>
            <w:r w:rsidRPr="004761E0">
              <w:rPr>
                <w:color w:val="000000"/>
                <w:sz w:val="20"/>
                <w:szCs w:val="20"/>
              </w:rPr>
              <w:t>2 154</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E7E" w:rsidRPr="004761E0" w:rsidRDefault="00414E7E" w:rsidP="00414E7E">
            <w:pPr>
              <w:ind w:firstLine="0"/>
              <w:jc w:val="right"/>
              <w:rPr>
                <w:color w:val="000000"/>
                <w:sz w:val="20"/>
                <w:szCs w:val="20"/>
              </w:rPr>
            </w:pPr>
            <w:r w:rsidRPr="004761E0">
              <w:rPr>
                <w:color w:val="000000"/>
                <w:sz w:val="20"/>
                <w:szCs w:val="20"/>
              </w:rPr>
              <w:t>5,12</w:t>
            </w:r>
            <w:r w:rsidR="00C83375" w:rsidRPr="004761E0">
              <w:rPr>
                <w:color w:val="000000"/>
                <w:sz w:val="20"/>
                <w:szCs w:val="20"/>
              </w:rPr>
              <w:t xml:space="preserve"> </w:t>
            </w:r>
            <w:r w:rsidRPr="004761E0">
              <w:rPr>
                <w:color w:val="000000"/>
                <w:sz w:val="20"/>
                <w:szCs w:val="20"/>
              </w:rPr>
              <w:t>%</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E7E" w:rsidRPr="004761E0" w:rsidRDefault="00414E7E" w:rsidP="00414E7E">
            <w:pPr>
              <w:ind w:firstLine="0"/>
              <w:jc w:val="right"/>
              <w:rPr>
                <w:color w:val="000000"/>
                <w:sz w:val="20"/>
                <w:szCs w:val="20"/>
              </w:rPr>
            </w:pPr>
            <w:r w:rsidRPr="004761E0">
              <w:rPr>
                <w:color w:val="000000"/>
                <w:sz w:val="20"/>
                <w:szCs w:val="20"/>
              </w:rPr>
              <w:t>238</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E7E" w:rsidRPr="004761E0" w:rsidRDefault="00414E7E" w:rsidP="00414E7E">
            <w:pPr>
              <w:ind w:firstLine="0"/>
              <w:jc w:val="right"/>
              <w:rPr>
                <w:color w:val="000000"/>
                <w:sz w:val="20"/>
                <w:szCs w:val="20"/>
              </w:rPr>
            </w:pPr>
            <w:r w:rsidRPr="004761E0">
              <w:rPr>
                <w:color w:val="000000"/>
                <w:sz w:val="20"/>
                <w:szCs w:val="20"/>
              </w:rPr>
              <w:t>139</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E7E" w:rsidRPr="004761E0" w:rsidRDefault="00414E7E" w:rsidP="00414E7E">
            <w:pPr>
              <w:ind w:firstLine="0"/>
              <w:jc w:val="right"/>
              <w:rPr>
                <w:color w:val="000000"/>
                <w:sz w:val="20"/>
                <w:szCs w:val="20"/>
              </w:rPr>
            </w:pPr>
            <w:r w:rsidRPr="004761E0">
              <w:rPr>
                <w:color w:val="000000"/>
                <w:sz w:val="20"/>
                <w:szCs w:val="20"/>
              </w:rPr>
              <w:t>177</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E7E" w:rsidRPr="004761E0" w:rsidRDefault="00414E7E" w:rsidP="00414E7E">
            <w:pPr>
              <w:ind w:firstLine="0"/>
              <w:jc w:val="right"/>
              <w:rPr>
                <w:color w:val="000000"/>
                <w:sz w:val="20"/>
                <w:szCs w:val="20"/>
              </w:rPr>
            </w:pPr>
            <w:r w:rsidRPr="004761E0">
              <w:rPr>
                <w:color w:val="000000"/>
                <w:sz w:val="20"/>
                <w:szCs w:val="20"/>
              </w:rPr>
              <w:t>27,34</w:t>
            </w:r>
            <w:r w:rsidR="00C83375" w:rsidRPr="004761E0">
              <w:rPr>
                <w:color w:val="000000"/>
                <w:sz w:val="20"/>
                <w:szCs w:val="20"/>
              </w:rPr>
              <w:t xml:space="preserve"> </w:t>
            </w:r>
            <w:r w:rsidRPr="004761E0">
              <w:rPr>
                <w:color w:val="000000"/>
                <w:sz w:val="20"/>
                <w:szCs w:val="20"/>
              </w:rPr>
              <w:t>%</w:t>
            </w:r>
          </w:p>
        </w:tc>
      </w:tr>
      <w:tr w:rsidR="00414E7E" w:rsidRPr="004761E0" w:rsidTr="00F749E9">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7A32" w:rsidRPr="004761E0" w:rsidRDefault="00027A32" w:rsidP="007076A7">
            <w:pPr>
              <w:pStyle w:val="a5"/>
              <w:numPr>
                <w:ilvl w:val="0"/>
                <w:numId w:val="118"/>
              </w:numPr>
              <w:tabs>
                <w:tab w:val="left" w:pos="262"/>
              </w:tabs>
              <w:jc w:val="left"/>
              <w:rPr>
                <w:rFonts w:eastAsia="Times New Roman"/>
                <w:color w:val="000000"/>
                <w:sz w:val="20"/>
                <w:szCs w:val="20"/>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E7E" w:rsidRPr="004761E0" w:rsidRDefault="00414E7E" w:rsidP="00C83375">
            <w:pPr>
              <w:ind w:firstLine="0"/>
              <w:jc w:val="left"/>
              <w:rPr>
                <w:rFonts w:eastAsia="Times New Roman"/>
                <w:color w:val="000000"/>
                <w:sz w:val="20"/>
                <w:szCs w:val="20"/>
                <w:lang w:eastAsia="ru-RU"/>
              </w:rPr>
            </w:pPr>
            <w:r w:rsidRPr="004761E0">
              <w:rPr>
                <w:rFonts w:eastAsia="Times New Roman"/>
                <w:color w:val="000000"/>
                <w:sz w:val="20"/>
                <w:szCs w:val="20"/>
                <w:lang w:eastAsia="ru-RU"/>
              </w:rPr>
              <w:t>Соотношение затрат на обучение к фонду оплаты труда, %</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E7E" w:rsidRPr="004761E0" w:rsidRDefault="00414E7E" w:rsidP="00414E7E">
            <w:pPr>
              <w:ind w:firstLine="0"/>
              <w:jc w:val="right"/>
              <w:rPr>
                <w:color w:val="000000"/>
                <w:sz w:val="20"/>
                <w:szCs w:val="20"/>
              </w:rPr>
            </w:pPr>
            <w:r w:rsidRPr="004761E0">
              <w:rPr>
                <w:color w:val="000000"/>
                <w:sz w:val="20"/>
                <w:szCs w:val="20"/>
              </w:rPr>
              <w:t>0,74</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E7E" w:rsidRPr="004761E0" w:rsidRDefault="00414E7E" w:rsidP="00414E7E">
            <w:pPr>
              <w:ind w:firstLine="0"/>
              <w:jc w:val="right"/>
              <w:rPr>
                <w:color w:val="000000"/>
                <w:sz w:val="20"/>
                <w:szCs w:val="20"/>
              </w:rPr>
            </w:pPr>
            <w:r w:rsidRPr="004761E0">
              <w:rPr>
                <w:color w:val="000000"/>
                <w:sz w:val="20"/>
                <w:szCs w:val="20"/>
              </w:rPr>
              <w:t>0,73</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E7E" w:rsidRPr="004761E0" w:rsidRDefault="00414E7E" w:rsidP="00414E7E">
            <w:pPr>
              <w:ind w:firstLine="0"/>
              <w:jc w:val="right"/>
              <w:rPr>
                <w:color w:val="000000"/>
                <w:sz w:val="20"/>
                <w:szCs w:val="20"/>
              </w:rPr>
            </w:pPr>
            <w:r w:rsidRPr="004761E0">
              <w:rPr>
                <w:color w:val="000000"/>
                <w:sz w:val="20"/>
                <w:szCs w:val="20"/>
              </w:rPr>
              <w:t>0,86</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E7E" w:rsidRPr="004761E0" w:rsidRDefault="00414E7E" w:rsidP="00414E7E">
            <w:pPr>
              <w:ind w:firstLine="0"/>
              <w:jc w:val="right"/>
              <w:rPr>
                <w:color w:val="000000"/>
                <w:sz w:val="20"/>
                <w:szCs w:val="20"/>
              </w:rPr>
            </w:pPr>
            <w:r w:rsidRPr="004761E0">
              <w:rPr>
                <w:color w:val="000000"/>
                <w:sz w:val="20"/>
                <w:szCs w:val="20"/>
              </w:rPr>
              <w:t>0,13</w:t>
            </w:r>
            <w:r w:rsidR="00C83375" w:rsidRPr="004761E0">
              <w:rPr>
                <w:color w:val="000000"/>
                <w:sz w:val="20"/>
                <w:szCs w:val="20"/>
              </w:rPr>
              <w:t xml:space="preserve"> п.п.</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E7E" w:rsidRPr="004761E0" w:rsidRDefault="00414E7E" w:rsidP="00414E7E">
            <w:pPr>
              <w:ind w:firstLine="0"/>
              <w:jc w:val="right"/>
              <w:rPr>
                <w:color w:val="000000"/>
                <w:sz w:val="20"/>
                <w:szCs w:val="20"/>
              </w:rPr>
            </w:pPr>
            <w:r w:rsidRPr="004761E0">
              <w:rPr>
                <w:color w:val="000000"/>
                <w:sz w:val="20"/>
                <w:szCs w:val="20"/>
              </w:rPr>
              <w:t>0,55</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E7E" w:rsidRPr="004761E0" w:rsidRDefault="00414E7E" w:rsidP="00414E7E">
            <w:pPr>
              <w:ind w:firstLine="0"/>
              <w:jc w:val="right"/>
              <w:rPr>
                <w:color w:val="000000"/>
                <w:sz w:val="20"/>
                <w:szCs w:val="20"/>
              </w:rPr>
            </w:pPr>
            <w:r w:rsidRPr="004761E0">
              <w:rPr>
                <w:color w:val="000000"/>
                <w:sz w:val="20"/>
                <w:szCs w:val="20"/>
              </w:rPr>
              <w:t>0,63</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E7E" w:rsidRPr="004761E0" w:rsidRDefault="00414E7E" w:rsidP="00414E7E">
            <w:pPr>
              <w:ind w:firstLine="0"/>
              <w:jc w:val="right"/>
              <w:rPr>
                <w:color w:val="000000"/>
                <w:sz w:val="20"/>
                <w:szCs w:val="20"/>
              </w:rPr>
            </w:pPr>
            <w:r w:rsidRPr="004761E0">
              <w:rPr>
                <w:color w:val="000000"/>
                <w:sz w:val="20"/>
                <w:szCs w:val="20"/>
              </w:rPr>
              <w:t>0,71</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E7E" w:rsidRPr="004761E0" w:rsidRDefault="00414E7E" w:rsidP="00414E7E">
            <w:pPr>
              <w:ind w:firstLine="0"/>
              <w:jc w:val="right"/>
              <w:rPr>
                <w:color w:val="000000"/>
                <w:sz w:val="20"/>
                <w:szCs w:val="20"/>
              </w:rPr>
            </w:pPr>
            <w:r w:rsidRPr="004761E0">
              <w:rPr>
                <w:color w:val="000000"/>
                <w:sz w:val="20"/>
                <w:szCs w:val="20"/>
              </w:rPr>
              <w:t>0,08</w:t>
            </w:r>
            <w:r w:rsidR="00C83375" w:rsidRPr="004761E0">
              <w:rPr>
                <w:color w:val="000000"/>
                <w:sz w:val="20"/>
                <w:szCs w:val="20"/>
              </w:rPr>
              <w:t xml:space="preserve"> п.п.</w:t>
            </w:r>
          </w:p>
        </w:tc>
      </w:tr>
    </w:tbl>
    <w:p w:rsidR="006D32CC" w:rsidRPr="004761E0" w:rsidRDefault="006D32CC">
      <w:pPr>
        <w:ind w:firstLine="0"/>
        <w:jc w:val="left"/>
        <w:rPr>
          <w:sz w:val="26"/>
          <w:szCs w:val="26"/>
          <w:lang w:eastAsia="ru-RU"/>
        </w:rPr>
      </w:pPr>
      <w:r w:rsidRPr="004761E0">
        <w:rPr>
          <w:sz w:val="26"/>
          <w:szCs w:val="26"/>
          <w:lang w:eastAsia="ru-RU"/>
        </w:rPr>
        <w:br w:type="page"/>
      </w:r>
    </w:p>
    <w:p w:rsidR="007F447C" w:rsidRPr="004761E0" w:rsidRDefault="002C3096" w:rsidP="007F447C">
      <w:pPr>
        <w:pStyle w:val="a8"/>
        <w:numPr>
          <w:ilvl w:val="1"/>
          <w:numId w:val="2"/>
        </w:numPr>
        <w:tabs>
          <w:tab w:val="left" w:pos="1134"/>
        </w:tabs>
        <w:jc w:val="both"/>
        <w:rPr>
          <w:rFonts w:ascii="Times New Roman" w:hAnsi="Times New Roman"/>
          <w:b/>
          <w:sz w:val="26"/>
          <w:szCs w:val="26"/>
          <w:lang w:eastAsia="ru-RU"/>
        </w:rPr>
      </w:pPr>
      <w:bookmarkStart w:id="157" w:name="_Toc382853167"/>
      <w:bookmarkStart w:id="158" w:name="_Toc385339866"/>
      <w:bookmarkEnd w:id="157"/>
      <w:r>
        <w:rPr>
          <w:rFonts w:ascii="Times New Roman" w:hAnsi="Times New Roman"/>
          <w:b/>
          <w:sz w:val="26"/>
          <w:szCs w:val="26"/>
          <w:lang w:eastAsia="ru-RU"/>
        </w:rPr>
        <w:lastRenderedPageBreak/>
        <w:t>И</w:t>
      </w:r>
      <w:r w:rsidR="007F447C" w:rsidRPr="00D95123">
        <w:rPr>
          <w:rFonts w:ascii="Times New Roman" w:hAnsi="Times New Roman"/>
          <w:b/>
          <w:sz w:val="26"/>
          <w:szCs w:val="26"/>
          <w:lang w:eastAsia="ru-RU"/>
        </w:rPr>
        <w:t>нформация о</w:t>
      </w:r>
      <w:r>
        <w:rPr>
          <w:rFonts w:ascii="Times New Roman" w:hAnsi="Times New Roman"/>
          <w:b/>
          <w:sz w:val="26"/>
          <w:szCs w:val="26"/>
          <w:lang w:eastAsia="ru-RU"/>
        </w:rPr>
        <w:t>б участии</w:t>
      </w:r>
      <w:r w:rsidR="007F447C" w:rsidRPr="00D95123">
        <w:rPr>
          <w:rFonts w:ascii="Times New Roman" w:hAnsi="Times New Roman"/>
          <w:b/>
          <w:sz w:val="26"/>
          <w:szCs w:val="26"/>
          <w:lang w:eastAsia="ru-RU"/>
        </w:rPr>
        <w:t xml:space="preserve"> член</w:t>
      </w:r>
      <w:r>
        <w:rPr>
          <w:rFonts w:ascii="Times New Roman" w:hAnsi="Times New Roman"/>
          <w:b/>
          <w:sz w:val="26"/>
          <w:szCs w:val="26"/>
          <w:lang w:eastAsia="ru-RU"/>
        </w:rPr>
        <w:t>ов</w:t>
      </w:r>
      <w:r w:rsidR="007F447C" w:rsidRPr="00D95123">
        <w:rPr>
          <w:rFonts w:ascii="Times New Roman" w:hAnsi="Times New Roman"/>
          <w:b/>
          <w:sz w:val="26"/>
          <w:szCs w:val="26"/>
          <w:lang w:eastAsia="ru-RU"/>
        </w:rPr>
        <w:t xml:space="preserve"> органов управления </w:t>
      </w:r>
      <w:r>
        <w:rPr>
          <w:rFonts w:ascii="Times New Roman" w:hAnsi="Times New Roman"/>
          <w:b/>
          <w:sz w:val="26"/>
          <w:szCs w:val="26"/>
          <w:lang w:eastAsia="ru-RU"/>
        </w:rPr>
        <w:t>в заседаниях</w:t>
      </w:r>
      <w:bookmarkEnd w:id="158"/>
    </w:p>
    <w:p w:rsidR="00A543F8" w:rsidRPr="00D95123" w:rsidRDefault="00A543F8" w:rsidP="00D95123">
      <w:pPr>
        <w:spacing w:before="120" w:after="120"/>
        <w:ind w:firstLine="567"/>
        <w:jc w:val="left"/>
        <w:rPr>
          <w:rFonts w:eastAsia="Times New Roman"/>
          <w:b/>
          <w:iCs/>
          <w:color w:val="000000"/>
          <w:sz w:val="26"/>
          <w:szCs w:val="26"/>
          <w:lang w:eastAsia="ru-RU"/>
        </w:rPr>
      </w:pPr>
      <w:r w:rsidRPr="00D95123">
        <w:rPr>
          <w:rFonts w:eastAsia="Times New Roman"/>
          <w:b/>
          <w:iCs/>
          <w:color w:val="000000"/>
          <w:sz w:val="26"/>
          <w:szCs w:val="26"/>
          <w:lang w:eastAsia="ru-RU"/>
        </w:rPr>
        <w:t>Информация об участии членов Совета директоров в заседаниях в отчетном году</w:t>
      </w:r>
    </w:p>
    <w:tbl>
      <w:tblPr>
        <w:tblW w:w="1607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5"/>
        <w:gridCol w:w="1997"/>
        <w:gridCol w:w="4111"/>
        <w:gridCol w:w="1417"/>
        <w:gridCol w:w="1843"/>
        <w:gridCol w:w="1134"/>
        <w:gridCol w:w="1134"/>
        <w:gridCol w:w="1275"/>
        <w:gridCol w:w="1276"/>
        <w:gridCol w:w="1337"/>
      </w:tblGrid>
      <w:tr w:rsidR="00862BFA" w:rsidRPr="004761E0" w:rsidTr="004D5027">
        <w:trPr>
          <w:trHeight w:val="290"/>
        </w:trPr>
        <w:tc>
          <w:tcPr>
            <w:tcW w:w="555" w:type="dxa"/>
            <w:vMerge w:val="restart"/>
            <w:tcBorders>
              <w:right w:val="single" w:sz="4" w:space="0" w:color="FFFFFF"/>
            </w:tcBorders>
            <w:shd w:val="clear" w:color="auto" w:fill="0F243E"/>
            <w:hideMark/>
          </w:tcPr>
          <w:p w:rsidR="00862BFA" w:rsidRPr="004761E0" w:rsidRDefault="00862BFA" w:rsidP="00862BFA">
            <w:pPr>
              <w:ind w:firstLine="0"/>
              <w:jc w:val="left"/>
              <w:rPr>
                <w:rFonts w:eastAsia="Times New Roman"/>
                <w:b/>
                <w:color w:val="FFFFFF"/>
                <w:sz w:val="20"/>
                <w:szCs w:val="20"/>
                <w:lang w:eastAsia="ru-RU"/>
              </w:rPr>
            </w:pPr>
            <w:r w:rsidRPr="004761E0">
              <w:rPr>
                <w:rFonts w:eastAsia="Times New Roman"/>
                <w:b/>
                <w:color w:val="FFFFFF"/>
                <w:sz w:val="20"/>
                <w:szCs w:val="20"/>
                <w:lang w:eastAsia="ru-RU"/>
              </w:rPr>
              <w:t>№ п/п</w:t>
            </w:r>
          </w:p>
        </w:tc>
        <w:tc>
          <w:tcPr>
            <w:tcW w:w="1997" w:type="dxa"/>
            <w:vMerge w:val="restart"/>
            <w:tcBorders>
              <w:left w:val="single" w:sz="4" w:space="0" w:color="FFFFFF"/>
              <w:right w:val="single" w:sz="4" w:space="0" w:color="FFFFFF"/>
            </w:tcBorders>
            <w:shd w:val="clear" w:color="auto" w:fill="0F243E"/>
            <w:hideMark/>
          </w:tcPr>
          <w:p w:rsidR="00862BFA" w:rsidRPr="004761E0" w:rsidRDefault="00862BFA" w:rsidP="00862BFA">
            <w:pPr>
              <w:ind w:firstLine="0"/>
              <w:jc w:val="left"/>
              <w:rPr>
                <w:rFonts w:eastAsia="Times New Roman"/>
                <w:b/>
                <w:color w:val="FFFFFF"/>
                <w:sz w:val="20"/>
                <w:szCs w:val="20"/>
                <w:lang w:eastAsia="ru-RU"/>
              </w:rPr>
            </w:pPr>
            <w:r w:rsidRPr="004761E0">
              <w:rPr>
                <w:rFonts w:eastAsia="Times New Roman"/>
                <w:b/>
                <w:color w:val="FFFFFF"/>
                <w:sz w:val="20"/>
                <w:szCs w:val="20"/>
                <w:lang w:eastAsia="ru-RU"/>
              </w:rPr>
              <w:t>Ф.И.О. члена Совета директоров (СД)</w:t>
            </w:r>
          </w:p>
        </w:tc>
        <w:tc>
          <w:tcPr>
            <w:tcW w:w="4111" w:type="dxa"/>
            <w:vMerge w:val="restart"/>
            <w:tcBorders>
              <w:left w:val="single" w:sz="4" w:space="0" w:color="FFFFFF"/>
              <w:right w:val="single" w:sz="4" w:space="0" w:color="FFFFFF"/>
            </w:tcBorders>
            <w:shd w:val="clear" w:color="auto" w:fill="0F243E"/>
            <w:hideMark/>
          </w:tcPr>
          <w:p w:rsidR="00862BFA" w:rsidRPr="004761E0" w:rsidRDefault="00862BFA" w:rsidP="00862BFA">
            <w:pPr>
              <w:ind w:firstLine="0"/>
              <w:jc w:val="left"/>
              <w:rPr>
                <w:rFonts w:eastAsia="Times New Roman"/>
                <w:b/>
                <w:color w:val="FFFFFF"/>
                <w:sz w:val="20"/>
                <w:szCs w:val="20"/>
                <w:lang w:eastAsia="ru-RU"/>
              </w:rPr>
            </w:pPr>
            <w:r w:rsidRPr="004761E0">
              <w:rPr>
                <w:rFonts w:eastAsia="Times New Roman"/>
                <w:b/>
                <w:color w:val="FFFFFF"/>
                <w:sz w:val="20"/>
                <w:szCs w:val="20"/>
                <w:lang w:eastAsia="ru-RU"/>
              </w:rPr>
              <w:t>Должность на момент выдвижения</w:t>
            </w:r>
          </w:p>
        </w:tc>
        <w:tc>
          <w:tcPr>
            <w:tcW w:w="1417" w:type="dxa"/>
            <w:vMerge w:val="restart"/>
            <w:tcBorders>
              <w:left w:val="single" w:sz="4" w:space="0" w:color="FFFFFF"/>
              <w:right w:val="single" w:sz="4" w:space="0" w:color="FFFFFF"/>
            </w:tcBorders>
            <w:shd w:val="clear" w:color="auto" w:fill="0F243E"/>
          </w:tcPr>
          <w:p w:rsidR="00862BFA" w:rsidRPr="004761E0" w:rsidRDefault="00862BFA" w:rsidP="00862BFA">
            <w:pPr>
              <w:ind w:firstLine="0"/>
              <w:jc w:val="left"/>
              <w:rPr>
                <w:rFonts w:eastAsia="Times New Roman"/>
                <w:b/>
                <w:color w:val="FFFFFF"/>
                <w:sz w:val="20"/>
                <w:szCs w:val="20"/>
                <w:lang w:eastAsia="ru-RU"/>
              </w:rPr>
            </w:pPr>
            <w:r w:rsidRPr="004761E0">
              <w:rPr>
                <w:rFonts w:eastAsia="Times New Roman"/>
                <w:b/>
                <w:color w:val="FFFFFF"/>
                <w:sz w:val="20"/>
                <w:szCs w:val="20"/>
                <w:lang w:eastAsia="ru-RU"/>
              </w:rPr>
              <w:t>Период созыва СД</w:t>
            </w:r>
          </w:p>
        </w:tc>
        <w:tc>
          <w:tcPr>
            <w:tcW w:w="1843" w:type="dxa"/>
            <w:vMerge w:val="restart"/>
            <w:tcBorders>
              <w:left w:val="single" w:sz="4" w:space="0" w:color="FFFFFF"/>
              <w:right w:val="single" w:sz="4" w:space="0" w:color="FFFFFF"/>
            </w:tcBorders>
            <w:shd w:val="clear" w:color="auto" w:fill="0F243E"/>
          </w:tcPr>
          <w:p w:rsidR="00862BFA" w:rsidRPr="004761E0" w:rsidRDefault="00862BFA" w:rsidP="000B3F0E">
            <w:pPr>
              <w:ind w:firstLine="0"/>
              <w:jc w:val="right"/>
              <w:rPr>
                <w:rFonts w:eastAsia="Times New Roman"/>
                <w:b/>
                <w:color w:val="FFFFFF"/>
                <w:sz w:val="20"/>
                <w:szCs w:val="20"/>
                <w:lang w:eastAsia="ru-RU"/>
              </w:rPr>
            </w:pPr>
            <w:r w:rsidRPr="004761E0">
              <w:rPr>
                <w:rFonts w:eastAsia="Times New Roman"/>
                <w:b/>
                <w:color w:val="FFFFFF"/>
                <w:sz w:val="20"/>
                <w:szCs w:val="20"/>
                <w:lang w:eastAsia="ru-RU"/>
              </w:rPr>
              <w:t>Количество заседаний СД в отчетном году, в которых член СД принял участие</w:t>
            </w:r>
            <w:r w:rsidR="000B3F0E">
              <w:rPr>
                <w:rFonts w:eastAsia="Times New Roman"/>
                <w:b/>
                <w:color w:val="FFFFFF"/>
                <w:sz w:val="20"/>
                <w:szCs w:val="20"/>
                <w:lang w:eastAsia="ru-RU"/>
              </w:rPr>
              <w:t xml:space="preserve"> (</w:t>
            </w:r>
            <w:r w:rsidRPr="004761E0">
              <w:rPr>
                <w:rFonts w:eastAsia="Times New Roman"/>
                <w:b/>
                <w:color w:val="FFFFFF"/>
                <w:sz w:val="20"/>
                <w:szCs w:val="20"/>
                <w:lang w:eastAsia="ru-RU"/>
              </w:rPr>
              <w:t>шт</w:t>
            </w:r>
            <w:r w:rsidR="000B3F0E">
              <w:rPr>
                <w:rFonts w:eastAsia="Times New Roman"/>
                <w:b/>
                <w:color w:val="FFFFFF"/>
                <w:sz w:val="20"/>
                <w:szCs w:val="20"/>
                <w:lang w:eastAsia="ru-RU"/>
              </w:rPr>
              <w:t>.),</w:t>
            </w:r>
            <w:r>
              <w:rPr>
                <w:rFonts w:eastAsia="Times New Roman"/>
                <w:b/>
                <w:color w:val="FFFFFF"/>
                <w:sz w:val="20"/>
                <w:szCs w:val="20"/>
                <w:lang w:eastAsia="ru-RU"/>
              </w:rPr>
              <w:t xml:space="preserve"> из общего к</w:t>
            </w:r>
            <w:r w:rsidRPr="004761E0">
              <w:rPr>
                <w:rFonts w:eastAsia="Times New Roman"/>
                <w:b/>
                <w:color w:val="FFFFFF"/>
                <w:sz w:val="20"/>
                <w:szCs w:val="20"/>
                <w:lang w:eastAsia="ru-RU"/>
              </w:rPr>
              <w:t>оличеств</w:t>
            </w:r>
            <w:r>
              <w:rPr>
                <w:rFonts w:eastAsia="Times New Roman"/>
                <w:b/>
                <w:color w:val="FFFFFF"/>
                <w:sz w:val="20"/>
                <w:szCs w:val="20"/>
                <w:lang w:eastAsia="ru-RU"/>
              </w:rPr>
              <w:t>а</w:t>
            </w:r>
            <w:r w:rsidRPr="004761E0">
              <w:rPr>
                <w:rFonts w:eastAsia="Times New Roman"/>
                <w:b/>
                <w:color w:val="FFFFFF"/>
                <w:sz w:val="20"/>
                <w:szCs w:val="20"/>
                <w:lang w:eastAsia="ru-RU"/>
              </w:rPr>
              <w:t xml:space="preserve"> заседаний СД в отчетном году, в которых требовалось участие члена СД</w:t>
            </w:r>
            <w:r w:rsidR="000B3F0E">
              <w:rPr>
                <w:rFonts w:eastAsia="Times New Roman"/>
                <w:b/>
                <w:color w:val="FFFFFF"/>
                <w:sz w:val="20"/>
                <w:szCs w:val="20"/>
                <w:lang w:eastAsia="ru-RU"/>
              </w:rPr>
              <w:t xml:space="preserve"> (</w:t>
            </w:r>
            <w:r w:rsidRPr="004761E0">
              <w:rPr>
                <w:rFonts w:eastAsia="Times New Roman"/>
                <w:b/>
                <w:color w:val="FFFFFF"/>
                <w:sz w:val="20"/>
                <w:szCs w:val="20"/>
                <w:lang w:eastAsia="ru-RU"/>
              </w:rPr>
              <w:t>шт</w:t>
            </w:r>
            <w:r w:rsidR="000B3F0E">
              <w:rPr>
                <w:rFonts w:eastAsia="Times New Roman"/>
                <w:b/>
                <w:color w:val="FFFFFF"/>
                <w:sz w:val="20"/>
                <w:szCs w:val="20"/>
                <w:lang w:eastAsia="ru-RU"/>
              </w:rPr>
              <w:t>.)</w:t>
            </w:r>
            <w:r>
              <w:rPr>
                <w:rFonts w:eastAsia="Times New Roman"/>
                <w:b/>
                <w:color w:val="FFFFFF"/>
                <w:sz w:val="20"/>
                <w:szCs w:val="20"/>
                <w:lang w:eastAsia="ru-RU"/>
              </w:rPr>
              <w:t>, явка</w:t>
            </w:r>
          </w:p>
        </w:tc>
        <w:tc>
          <w:tcPr>
            <w:tcW w:w="6156" w:type="dxa"/>
            <w:gridSpan w:val="5"/>
            <w:tcBorders>
              <w:left w:val="single" w:sz="4" w:space="0" w:color="FFFFFF"/>
              <w:bottom w:val="single" w:sz="4" w:space="0" w:color="FFFFFF" w:themeColor="background1"/>
              <w:right w:val="single" w:sz="4" w:space="0" w:color="FFFFFF"/>
            </w:tcBorders>
            <w:shd w:val="clear" w:color="auto" w:fill="0F243E"/>
          </w:tcPr>
          <w:p w:rsidR="00862BFA" w:rsidRPr="004761E0" w:rsidRDefault="00862BFA" w:rsidP="000B3F0E">
            <w:pPr>
              <w:ind w:firstLine="0"/>
              <w:jc w:val="right"/>
              <w:rPr>
                <w:rFonts w:eastAsia="Times New Roman"/>
                <w:b/>
                <w:color w:val="FFFFFF"/>
                <w:sz w:val="20"/>
                <w:szCs w:val="20"/>
                <w:lang w:eastAsia="ru-RU"/>
              </w:rPr>
            </w:pPr>
            <w:r w:rsidRPr="004761E0">
              <w:rPr>
                <w:rFonts w:eastAsia="Times New Roman"/>
                <w:b/>
                <w:color w:val="FFFFFF"/>
                <w:sz w:val="20"/>
                <w:szCs w:val="20"/>
                <w:lang w:eastAsia="ru-RU"/>
              </w:rPr>
              <w:t>Количество заседаний Комитета в отчетном году, в которых принял участие член СД, одновременно являющийся членом Комитета</w:t>
            </w:r>
            <w:r w:rsidR="000B3F0E">
              <w:rPr>
                <w:rFonts w:eastAsia="Times New Roman"/>
                <w:b/>
                <w:color w:val="FFFFFF"/>
                <w:sz w:val="20"/>
                <w:szCs w:val="20"/>
                <w:lang w:eastAsia="ru-RU"/>
              </w:rPr>
              <w:t xml:space="preserve">  (</w:t>
            </w:r>
            <w:r w:rsidRPr="004761E0">
              <w:rPr>
                <w:rFonts w:eastAsia="Times New Roman"/>
                <w:b/>
                <w:color w:val="FFFFFF"/>
                <w:sz w:val="20"/>
                <w:szCs w:val="20"/>
                <w:lang w:eastAsia="ru-RU"/>
              </w:rPr>
              <w:t>шт.</w:t>
            </w:r>
            <w:r w:rsidR="000B3F0E">
              <w:rPr>
                <w:rFonts w:eastAsia="Times New Roman"/>
                <w:b/>
                <w:color w:val="FFFFFF"/>
                <w:sz w:val="20"/>
                <w:szCs w:val="20"/>
                <w:lang w:eastAsia="ru-RU"/>
              </w:rPr>
              <w:t>),</w:t>
            </w:r>
            <w:r w:rsidRPr="004761E0">
              <w:rPr>
                <w:rFonts w:eastAsia="Times New Roman"/>
                <w:b/>
                <w:color w:val="FFFFFF"/>
                <w:sz w:val="20"/>
                <w:szCs w:val="20"/>
                <w:lang w:eastAsia="ru-RU"/>
              </w:rPr>
              <w:t xml:space="preserve"> </w:t>
            </w:r>
            <w:r>
              <w:rPr>
                <w:rFonts w:eastAsia="Times New Roman"/>
                <w:b/>
                <w:color w:val="FFFFFF"/>
                <w:sz w:val="20"/>
                <w:szCs w:val="20"/>
                <w:lang w:eastAsia="ru-RU"/>
              </w:rPr>
              <w:t xml:space="preserve"> из</w:t>
            </w:r>
            <w:r w:rsidRPr="004761E0">
              <w:rPr>
                <w:rFonts w:eastAsia="Times New Roman"/>
                <w:b/>
                <w:color w:val="FFFFFF"/>
                <w:sz w:val="20"/>
                <w:szCs w:val="20"/>
                <w:lang w:eastAsia="ru-RU"/>
              </w:rPr>
              <w:t xml:space="preserve"> </w:t>
            </w:r>
            <w:r>
              <w:rPr>
                <w:rFonts w:eastAsia="Times New Roman"/>
                <w:b/>
                <w:color w:val="FFFFFF"/>
                <w:sz w:val="20"/>
                <w:szCs w:val="20"/>
                <w:lang w:eastAsia="ru-RU"/>
              </w:rPr>
              <w:t>о</w:t>
            </w:r>
            <w:r w:rsidRPr="004761E0">
              <w:rPr>
                <w:rFonts w:eastAsia="Times New Roman"/>
                <w:b/>
                <w:color w:val="FFFFFF"/>
                <w:sz w:val="20"/>
                <w:szCs w:val="20"/>
                <w:lang w:eastAsia="ru-RU"/>
              </w:rPr>
              <w:t>бще</w:t>
            </w:r>
            <w:r>
              <w:rPr>
                <w:rFonts w:eastAsia="Times New Roman"/>
                <w:b/>
                <w:color w:val="FFFFFF"/>
                <w:sz w:val="20"/>
                <w:szCs w:val="20"/>
                <w:lang w:eastAsia="ru-RU"/>
              </w:rPr>
              <w:t>го</w:t>
            </w:r>
            <w:r w:rsidRPr="004761E0">
              <w:rPr>
                <w:rFonts w:eastAsia="Times New Roman"/>
                <w:b/>
                <w:color w:val="FFFFFF"/>
                <w:sz w:val="20"/>
                <w:szCs w:val="20"/>
                <w:lang w:eastAsia="ru-RU"/>
              </w:rPr>
              <w:t xml:space="preserve"> количеств</w:t>
            </w:r>
            <w:r>
              <w:rPr>
                <w:rFonts w:eastAsia="Times New Roman"/>
                <w:b/>
                <w:color w:val="FFFFFF"/>
                <w:sz w:val="20"/>
                <w:szCs w:val="20"/>
                <w:lang w:eastAsia="ru-RU"/>
              </w:rPr>
              <w:t>а</w:t>
            </w:r>
            <w:r w:rsidRPr="004761E0">
              <w:rPr>
                <w:rFonts w:eastAsia="Times New Roman"/>
                <w:b/>
                <w:color w:val="FFFFFF"/>
                <w:sz w:val="20"/>
                <w:szCs w:val="20"/>
                <w:lang w:eastAsia="ru-RU"/>
              </w:rPr>
              <w:t xml:space="preserve"> заседаний Комитета в отчетном году, в которых требовалось участие члена СД, одновременно являющегося членом Комитета</w:t>
            </w:r>
            <w:r w:rsidR="000B3F0E">
              <w:rPr>
                <w:rFonts w:eastAsia="Times New Roman"/>
                <w:b/>
                <w:color w:val="FFFFFF"/>
                <w:sz w:val="20"/>
                <w:szCs w:val="20"/>
                <w:lang w:eastAsia="ru-RU"/>
              </w:rPr>
              <w:t xml:space="preserve"> (</w:t>
            </w:r>
            <w:r w:rsidRPr="004761E0">
              <w:rPr>
                <w:rFonts w:eastAsia="Times New Roman"/>
                <w:b/>
                <w:color w:val="FFFFFF"/>
                <w:sz w:val="20"/>
                <w:szCs w:val="20"/>
                <w:lang w:eastAsia="ru-RU"/>
              </w:rPr>
              <w:t>шт.</w:t>
            </w:r>
            <w:r w:rsidR="000B3F0E">
              <w:rPr>
                <w:rFonts w:eastAsia="Times New Roman"/>
                <w:b/>
                <w:color w:val="FFFFFF"/>
                <w:sz w:val="20"/>
                <w:szCs w:val="20"/>
                <w:lang w:eastAsia="ru-RU"/>
              </w:rPr>
              <w:t>)</w:t>
            </w:r>
            <w:r>
              <w:rPr>
                <w:rFonts w:eastAsia="Times New Roman"/>
                <w:b/>
                <w:color w:val="FFFFFF"/>
                <w:sz w:val="20"/>
                <w:szCs w:val="20"/>
                <w:lang w:eastAsia="ru-RU"/>
              </w:rPr>
              <w:t>, явка</w:t>
            </w:r>
          </w:p>
        </w:tc>
      </w:tr>
      <w:tr w:rsidR="00862BFA" w:rsidRPr="004761E0" w:rsidTr="004D5027">
        <w:trPr>
          <w:trHeight w:val="265"/>
        </w:trPr>
        <w:tc>
          <w:tcPr>
            <w:tcW w:w="555" w:type="dxa"/>
            <w:vMerge/>
            <w:tcBorders>
              <w:right w:val="single" w:sz="4" w:space="0" w:color="FFFFFF"/>
            </w:tcBorders>
            <w:shd w:val="clear" w:color="auto" w:fill="0F243E"/>
            <w:vAlign w:val="center"/>
            <w:hideMark/>
          </w:tcPr>
          <w:p w:rsidR="00862BFA" w:rsidRPr="004761E0" w:rsidRDefault="00862BFA" w:rsidP="006B4FAE">
            <w:pPr>
              <w:ind w:firstLine="0"/>
              <w:jc w:val="left"/>
              <w:rPr>
                <w:rFonts w:eastAsia="Times New Roman"/>
                <w:b/>
                <w:color w:val="FFFFFF"/>
                <w:sz w:val="20"/>
                <w:szCs w:val="20"/>
                <w:lang w:eastAsia="ru-RU"/>
              </w:rPr>
            </w:pPr>
          </w:p>
        </w:tc>
        <w:tc>
          <w:tcPr>
            <w:tcW w:w="1997" w:type="dxa"/>
            <w:vMerge/>
            <w:tcBorders>
              <w:left w:val="single" w:sz="4" w:space="0" w:color="FFFFFF"/>
              <w:right w:val="single" w:sz="4" w:space="0" w:color="FFFFFF"/>
            </w:tcBorders>
            <w:shd w:val="clear" w:color="auto" w:fill="0F243E"/>
            <w:vAlign w:val="center"/>
            <w:hideMark/>
          </w:tcPr>
          <w:p w:rsidR="00862BFA" w:rsidRPr="004761E0" w:rsidRDefault="00862BFA" w:rsidP="006B4FAE">
            <w:pPr>
              <w:ind w:firstLine="0"/>
              <w:jc w:val="left"/>
              <w:rPr>
                <w:rFonts w:eastAsia="Times New Roman"/>
                <w:b/>
                <w:color w:val="FFFFFF"/>
                <w:sz w:val="20"/>
                <w:szCs w:val="20"/>
                <w:lang w:eastAsia="ru-RU"/>
              </w:rPr>
            </w:pPr>
          </w:p>
        </w:tc>
        <w:tc>
          <w:tcPr>
            <w:tcW w:w="4111" w:type="dxa"/>
            <w:vMerge/>
            <w:tcBorders>
              <w:left w:val="single" w:sz="4" w:space="0" w:color="FFFFFF"/>
              <w:right w:val="single" w:sz="4" w:space="0" w:color="FFFFFF"/>
            </w:tcBorders>
            <w:shd w:val="clear" w:color="auto" w:fill="0F243E"/>
            <w:vAlign w:val="center"/>
            <w:hideMark/>
          </w:tcPr>
          <w:p w:rsidR="00862BFA" w:rsidRPr="004761E0" w:rsidRDefault="00862BFA" w:rsidP="006B4FAE">
            <w:pPr>
              <w:ind w:firstLine="0"/>
              <w:jc w:val="left"/>
              <w:rPr>
                <w:rFonts w:eastAsia="Times New Roman"/>
                <w:b/>
                <w:color w:val="FFFFFF"/>
                <w:sz w:val="20"/>
                <w:szCs w:val="20"/>
                <w:lang w:eastAsia="ru-RU"/>
              </w:rPr>
            </w:pPr>
          </w:p>
        </w:tc>
        <w:tc>
          <w:tcPr>
            <w:tcW w:w="1417" w:type="dxa"/>
            <w:vMerge/>
            <w:tcBorders>
              <w:left w:val="single" w:sz="4" w:space="0" w:color="FFFFFF"/>
              <w:right w:val="single" w:sz="4" w:space="0" w:color="FFFFFF"/>
            </w:tcBorders>
            <w:shd w:val="clear" w:color="auto" w:fill="0F243E"/>
          </w:tcPr>
          <w:p w:rsidR="00862BFA" w:rsidRPr="004761E0" w:rsidRDefault="00862BFA" w:rsidP="006B4FAE">
            <w:pPr>
              <w:ind w:firstLine="0"/>
              <w:jc w:val="right"/>
              <w:rPr>
                <w:rFonts w:eastAsia="Times New Roman"/>
                <w:b/>
                <w:color w:val="FFFFFF"/>
                <w:sz w:val="20"/>
                <w:szCs w:val="20"/>
                <w:lang w:eastAsia="ru-RU"/>
              </w:rPr>
            </w:pPr>
          </w:p>
        </w:tc>
        <w:tc>
          <w:tcPr>
            <w:tcW w:w="1843" w:type="dxa"/>
            <w:vMerge/>
            <w:tcBorders>
              <w:left w:val="single" w:sz="4" w:space="0" w:color="FFFFFF"/>
              <w:right w:val="single" w:sz="4" w:space="0" w:color="FFFFFF"/>
            </w:tcBorders>
            <w:shd w:val="clear" w:color="auto" w:fill="0F243E"/>
          </w:tcPr>
          <w:p w:rsidR="00862BFA" w:rsidRPr="004761E0" w:rsidRDefault="00862BFA" w:rsidP="00B6020E">
            <w:pPr>
              <w:ind w:firstLine="0"/>
              <w:jc w:val="right"/>
              <w:rPr>
                <w:rFonts w:eastAsia="Times New Roman"/>
                <w:b/>
                <w:color w:val="FFFFFF"/>
                <w:sz w:val="20"/>
                <w:szCs w:val="20"/>
                <w:lang w:eastAsia="ru-RU"/>
              </w:rPr>
            </w:pPr>
          </w:p>
        </w:tc>
        <w:tc>
          <w:tcPr>
            <w:tcW w:w="1134" w:type="dxa"/>
            <w:tcBorders>
              <w:top w:val="single" w:sz="4" w:space="0" w:color="FFFFFF" w:themeColor="background1"/>
              <w:left w:val="single" w:sz="4" w:space="0" w:color="FFFFFF"/>
              <w:right w:val="single" w:sz="4" w:space="0" w:color="FFFFFF" w:themeColor="background1"/>
            </w:tcBorders>
            <w:shd w:val="clear" w:color="auto" w:fill="0F243E"/>
          </w:tcPr>
          <w:p w:rsidR="00862BFA" w:rsidRPr="004761E0" w:rsidRDefault="00862BFA" w:rsidP="00862BFA">
            <w:pPr>
              <w:ind w:firstLine="0"/>
              <w:jc w:val="right"/>
              <w:rPr>
                <w:rFonts w:eastAsia="Times New Roman"/>
                <w:b/>
                <w:color w:val="FFFFFF"/>
                <w:sz w:val="20"/>
                <w:szCs w:val="20"/>
                <w:lang w:eastAsia="ru-RU"/>
              </w:rPr>
            </w:pPr>
            <w:r w:rsidRPr="004761E0">
              <w:rPr>
                <w:rFonts w:eastAsia="Times New Roman"/>
                <w:b/>
                <w:color w:val="FFFFFF"/>
                <w:sz w:val="20"/>
                <w:szCs w:val="20"/>
                <w:lang w:eastAsia="ru-RU"/>
              </w:rPr>
              <w:t>Комитет по надежности</w:t>
            </w:r>
          </w:p>
        </w:tc>
        <w:tc>
          <w:tcPr>
            <w:tcW w:w="1134" w:type="dxa"/>
            <w:tcBorders>
              <w:top w:val="single" w:sz="4" w:space="0" w:color="FFFFFF" w:themeColor="background1"/>
              <w:left w:val="single" w:sz="4" w:space="0" w:color="FFFFFF" w:themeColor="background1"/>
              <w:right w:val="single" w:sz="4" w:space="0" w:color="FFFFFF" w:themeColor="background1"/>
            </w:tcBorders>
            <w:shd w:val="clear" w:color="auto" w:fill="0F243E"/>
          </w:tcPr>
          <w:p w:rsidR="00862BFA" w:rsidRPr="004761E0" w:rsidRDefault="00862BFA" w:rsidP="00862BFA">
            <w:pPr>
              <w:ind w:firstLine="0"/>
              <w:jc w:val="right"/>
              <w:rPr>
                <w:rFonts w:eastAsia="Times New Roman"/>
                <w:b/>
                <w:color w:val="FFFFFF"/>
                <w:sz w:val="20"/>
                <w:szCs w:val="20"/>
                <w:lang w:eastAsia="ru-RU"/>
              </w:rPr>
            </w:pPr>
            <w:r w:rsidRPr="004761E0">
              <w:rPr>
                <w:rFonts w:eastAsia="Times New Roman"/>
                <w:b/>
                <w:color w:val="FFFFFF"/>
                <w:sz w:val="20"/>
                <w:szCs w:val="20"/>
                <w:lang w:eastAsia="ru-RU"/>
              </w:rPr>
              <w:t>Комитет по технологическому присоединению к электрическим сетям</w:t>
            </w:r>
          </w:p>
        </w:tc>
        <w:tc>
          <w:tcPr>
            <w:tcW w:w="1275" w:type="dxa"/>
            <w:tcBorders>
              <w:top w:val="single" w:sz="4" w:space="0" w:color="FFFFFF" w:themeColor="background1"/>
              <w:left w:val="single" w:sz="4" w:space="0" w:color="FFFFFF" w:themeColor="background1"/>
              <w:right w:val="single" w:sz="4" w:space="0" w:color="FFFFFF" w:themeColor="background1"/>
            </w:tcBorders>
            <w:shd w:val="clear" w:color="auto" w:fill="0F243E"/>
          </w:tcPr>
          <w:p w:rsidR="00862BFA" w:rsidRPr="004761E0" w:rsidRDefault="00862BFA" w:rsidP="00B6020E">
            <w:pPr>
              <w:ind w:firstLine="0"/>
              <w:jc w:val="right"/>
              <w:rPr>
                <w:rFonts w:eastAsia="Times New Roman"/>
                <w:b/>
                <w:color w:val="FFFFFF"/>
                <w:sz w:val="20"/>
                <w:szCs w:val="20"/>
                <w:lang w:eastAsia="ru-RU"/>
              </w:rPr>
            </w:pPr>
            <w:r w:rsidRPr="004761E0">
              <w:rPr>
                <w:rFonts w:eastAsia="Times New Roman"/>
                <w:b/>
                <w:color w:val="FFFFFF"/>
                <w:sz w:val="20"/>
                <w:szCs w:val="20"/>
                <w:lang w:eastAsia="ru-RU"/>
              </w:rPr>
              <w:t>Комитет по стратегии и развитию</w:t>
            </w:r>
          </w:p>
        </w:tc>
        <w:tc>
          <w:tcPr>
            <w:tcW w:w="1276" w:type="dxa"/>
            <w:tcBorders>
              <w:top w:val="single" w:sz="4" w:space="0" w:color="FFFFFF" w:themeColor="background1"/>
              <w:left w:val="single" w:sz="4" w:space="0" w:color="FFFFFF" w:themeColor="background1"/>
              <w:right w:val="single" w:sz="4" w:space="0" w:color="FFFFFF" w:themeColor="background1"/>
            </w:tcBorders>
            <w:shd w:val="clear" w:color="auto" w:fill="0F243E"/>
          </w:tcPr>
          <w:p w:rsidR="00862BFA" w:rsidRPr="004761E0" w:rsidRDefault="00862BFA" w:rsidP="00B6020E">
            <w:pPr>
              <w:ind w:firstLine="0"/>
              <w:jc w:val="right"/>
              <w:rPr>
                <w:rFonts w:eastAsia="Times New Roman"/>
                <w:b/>
                <w:color w:val="FFFFFF"/>
                <w:sz w:val="20"/>
                <w:szCs w:val="20"/>
                <w:lang w:eastAsia="ru-RU"/>
              </w:rPr>
            </w:pPr>
            <w:r w:rsidRPr="004761E0">
              <w:rPr>
                <w:rFonts w:eastAsia="Times New Roman"/>
                <w:b/>
                <w:color w:val="FFFFFF"/>
                <w:sz w:val="20"/>
                <w:szCs w:val="20"/>
                <w:lang w:eastAsia="ru-RU"/>
              </w:rPr>
              <w:t>Комитет по аудиту</w:t>
            </w:r>
          </w:p>
        </w:tc>
        <w:tc>
          <w:tcPr>
            <w:tcW w:w="1337" w:type="dxa"/>
            <w:tcBorders>
              <w:top w:val="single" w:sz="4" w:space="0" w:color="FFFFFF" w:themeColor="background1"/>
              <w:left w:val="single" w:sz="4" w:space="0" w:color="FFFFFF" w:themeColor="background1"/>
              <w:right w:val="single" w:sz="4" w:space="0" w:color="FFFFFF"/>
            </w:tcBorders>
            <w:shd w:val="clear" w:color="auto" w:fill="0F243E"/>
          </w:tcPr>
          <w:p w:rsidR="00862BFA" w:rsidRPr="004761E0" w:rsidRDefault="00862BFA" w:rsidP="00B6020E">
            <w:pPr>
              <w:ind w:firstLine="0"/>
              <w:jc w:val="right"/>
              <w:rPr>
                <w:rFonts w:eastAsia="Times New Roman"/>
                <w:b/>
                <w:color w:val="FFFFFF"/>
                <w:sz w:val="20"/>
                <w:szCs w:val="20"/>
                <w:lang w:eastAsia="ru-RU"/>
              </w:rPr>
            </w:pPr>
            <w:r w:rsidRPr="004761E0">
              <w:rPr>
                <w:rFonts w:eastAsia="Times New Roman"/>
                <w:b/>
                <w:color w:val="FFFFFF"/>
                <w:sz w:val="20"/>
                <w:szCs w:val="20"/>
                <w:lang w:eastAsia="ru-RU"/>
              </w:rPr>
              <w:t>Комитет по кадрам и вознаграждениям</w:t>
            </w:r>
          </w:p>
        </w:tc>
      </w:tr>
      <w:tr w:rsidR="00862BFA" w:rsidRPr="004761E0" w:rsidTr="004D5027">
        <w:trPr>
          <w:trHeight w:val="535"/>
        </w:trPr>
        <w:tc>
          <w:tcPr>
            <w:tcW w:w="555" w:type="dxa"/>
            <w:shd w:val="clear" w:color="auto" w:fill="auto"/>
            <w:vAlign w:val="center"/>
          </w:tcPr>
          <w:p w:rsidR="00862BFA" w:rsidRPr="004761E0" w:rsidRDefault="00862BFA" w:rsidP="007076A7">
            <w:pPr>
              <w:pStyle w:val="a5"/>
              <w:numPr>
                <w:ilvl w:val="0"/>
                <w:numId w:val="27"/>
              </w:numPr>
              <w:tabs>
                <w:tab w:val="left" w:pos="333"/>
              </w:tabs>
              <w:ind w:left="0" w:firstLine="0"/>
              <w:contextualSpacing w:val="0"/>
              <w:jc w:val="left"/>
              <w:rPr>
                <w:rFonts w:eastAsia="Times New Roman"/>
                <w:color w:val="000000"/>
                <w:sz w:val="20"/>
                <w:szCs w:val="20"/>
                <w:lang w:eastAsia="ru-RU"/>
              </w:rPr>
            </w:pPr>
          </w:p>
        </w:tc>
        <w:tc>
          <w:tcPr>
            <w:tcW w:w="1997" w:type="dxa"/>
            <w:shd w:val="clear" w:color="auto" w:fill="auto"/>
            <w:vAlign w:val="center"/>
            <w:hideMark/>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Бударгин О.М.</w:t>
            </w:r>
          </w:p>
        </w:tc>
        <w:tc>
          <w:tcPr>
            <w:tcW w:w="4111" w:type="dxa"/>
            <w:shd w:val="clear" w:color="auto" w:fill="auto"/>
            <w:vAlign w:val="center"/>
            <w:hideMark/>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Председатель Правления </w:t>
            </w:r>
            <w:r w:rsidR="0008080E">
              <w:rPr>
                <w:rFonts w:eastAsia="Times New Roman"/>
                <w:color w:val="000000"/>
                <w:sz w:val="20"/>
                <w:szCs w:val="20"/>
                <w:lang w:eastAsia="ru-RU"/>
              </w:rPr>
              <w:t>ОАО </w:t>
            </w:r>
            <w:r w:rsidRPr="004761E0">
              <w:rPr>
                <w:rFonts w:eastAsia="Times New Roman"/>
                <w:color w:val="000000"/>
                <w:sz w:val="20"/>
                <w:szCs w:val="20"/>
                <w:lang w:eastAsia="ru-RU"/>
              </w:rPr>
              <w:t>«ФСК ЕЭС»</w:t>
            </w:r>
          </w:p>
        </w:tc>
        <w:tc>
          <w:tcPr>
            <w:tcW w:w="1417" w:type="dxa"/>
            <w:vAlign w:val="center"/>
          </w:tcPr>
          <w:p w:rsidR="00862BFA" w:rsidRPr="004761E0" w:rsidRDefault="00862BFA" w:rsidP="00DC64F2">
            <w:pPr>
              <w:ind w:firstLine="0"/>
              <w:jc w:val="right"/>
              <w:rPr>
                <w:rFonts w:eastAsia="Times New Roman"/>
                <w:color w:val="000000"/>
                <w:sz w:val="20"/>
                <w:szCs w:val="20"/>
                <w:lang w:eastAsia="ru-RU"/>
              </w:rPr>
            </w:pPr>
            <w:r w:rsidRPr="004761E0">
              <w:rPr>
                <w:rFonts w:eastAsia="Times New Roman"/>
                <w:color w:val="000000"/>
                <w:sz w:val="20"/>
                <w:szCs w:val="20"/>
                <w:lang w:eastAsia="ru-RU"/>
              </w:rPr>
              <w:t xml:space="preserve">2012-2013/ 2013-2014 </w:t>
            </w:r>
          </w:p>
        </w:tc>
        <w:tc>
          <w:tcPr>
            <w:tcW w:w="1843" w:type="dxa"/>
            <w:vAlign w:val="center"/>
          </w:tcPr>
          <w:p w:rsidR="00862BFA"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28</w:t>
            </w:r>
            <w:r>
              <w:rPr>
                <w:rFonts w:eastAsia="Times New Roman"/>
                <w:color w:val="000000"/>
                <w:sz w:val="20"/>
                <w:szCs w:val="20"/>
                <w:lang w:eastAsia="ru-RU"/>
              </w:rPr>
              <w:t xml:space="preserve"> из 28, </w:t>
            </w:r>
          </w:p>
          <w:p w:rsidR="00862BFA" w:rsidRPr="004761E0" w:rsidRDefault="00862BFA" w:rsidP="006B4FAE">
            <w:pPr>
              <w:ind w:firstLine="0"/>
              <w:jc w:val="right"/>
              <w:rPr>
                <w:rFonts w:eastAsia="Times New Roman"/>
                <w:color w:val="000000"/>
                <w:sz w:val="20"/>
                <w:szCs w:val="20"/>
                <w:lang w:eastAsia="ru-RU"/>
              </w:rPr>
            </w:pPr>
            <w:r>
              <w:rPr>
                <w:rFonts w:eastAsia="Times New Roman"/>
                <w:color w:val="000000"/>
                <w:sz w:val="20"/>
                <w:szCs w:val="20"/>
                <w:lang w:eastAsia="ru-RU"/>
              </w:rPr>
              <w:t>явка 100 %</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5"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6"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337"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r>
      <w:tr w:rsidR="00862BFA" w:rsidRPr="004761E0" w:rsidTr="004D5027">
        <w:trPr>
          <w:trHeight w:val="70"/>
        </w:trPr>
        <w:tc>
          <w:tcPr>
            <w:tcW w:w="555" w:type="dxa"/>
            <w:shd w:val="clear" w:color="auto" w:fill="auto"/>
            <w:vAlign w:val="center"/>
          </w:tcPr>
          <w:p w:rsidR="00862BFA" w:rsidRPr="004761E0" w:rsidRDefault="00862BFA" w:rsidP="007076A7">
            <w:pPr>
              <w:pStyle w:val="a5"/>
              <w:numPr>
                <w:ilvl w:val="0"/>
                <w:numId w:val="27"/>
              </w:numPr>
              <w:tabs>
                <w:tab w:val="left" w:pos="333"/>
              </w:tabs>
              <w:ind w:left="0" w:firstLine="0"/>
              <w:contextualSpacing w:val="0"/>
              <w:jc w:val="left"/>
              <w:rPr>
                <w:rFonts w:eastAsia="Times New Roman"/>
                <w:color w:val="000000"/>
                <w:sz w:val="20"/>
                <w:szCs w:val="20"/>
                <w:lang w:eastAsia="ru-RU"/>
              </w:rPr>
            </w:pPr>
          </w:p>
        </w:tc>
        <w:tc>
          <w:tcPr>
            <w:tcW w:w="1997" w:type="dxa"/>
            <w:shd w:val="clear" w:color="auto" w:fill="auto"/>
            <w:vAlign w:val="center"/>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Васильев С.В.</w:t>
            </w:r>
          </w:p>
        </w:tc>
        <w:tc>
          <w:tcPr>
            <w:tcW w:w="4111" w:type="dxa"/>
            <w:shd w:val="clear" w:color="auto" w:fill="auto"/>
            <w:vAlign w:val="center"/>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Директор Департамента развития электроэнергетики Минэнерго России</w:t>
            </w:r>
          </w:p>
        </w:tc>
        <w:tc>
          <w:tcPr>
            <w:tcW w:w="1417" w:type="dxa"/>
            <w:vAlign w:val="center"/>
          </w:tcPr>
          <w:p w:rsidR="00862BFA" w:rsidRPr="004761E0"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2013-2014</w:t>
            </w:r>
          </w:p>
        </w:tc>
        <w:tc>
          <w:tcPr>
            <w:tcW w:w="1843" w:type="dxa"/>
            <w:vAlign w:val="center"/>
          </w:tcPr>
          <w:p w:rsidR="00862BFA"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11</w:t>
            </w:r>
            <w:r>
              <w:rPr>
                <w:rFonts w:eastAsia="Times New Roman"/>
                <w:color w:val="000000"/>
                <w:sz w:val="20"/>
                <w:szCs w:val="20"/>
                <w:lang w:eastAsia="ru-RU"/>
              </w:rPr>
              <w:t xml:space="preserve"> из 13, </w:t>
            </w:r>
          </w:p>
          <w:p w:rsidR="00862BFA" w:rsidRPr="004761E0" w:rsidRDefault="00862BFA" w:rsidP="006B4FAE">
            <w:pPr>
              <w:ind w:firstLine="0"/>
              <w:jc w:val="right"/>
              <w:rPr>
                <w:rFonts w:eastAsia="Times New Roman"/>
                <w:color w:val="000000"/>
                <w:sz w:val="20"/>
                <w:szCs w:val="20"/>
                <w:lang w:eastAsia="ru-RU"/>
              </w:rPr>
            </w:pPr>
            <w:r>
              <w:rPr>
                <w:rFonts w:eastAsia="Times New Roman"/>
                <w:color w:val="000000"/>
                <w:sz w:val="20"/>
                <w:szCs w:val="20"/>
                <w:lang w:eastAsia="ru-RU"/>
              </w:rPr>
              <w:t>явка 85 %</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5"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6"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337"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r>
      <w:tr w:rsidR="00862BFA" w:rsidRPr="004761E0" w:rsidTr="004D5027">
        <w:trPr>
          <w:trHeight w:val="521"/>
        </w:trPr>
        <w:tc>
          <w:tcPr>
            <w:tcW w:w="555" w:type="dxa"/>
            <w:shd w:val="clear" w:color="auto" w:fill="auto"/>
            <w:vAlign w:val="center"/>
          </w:tcPr>
          <w:p w:rsidR="00862BFA" w:rsidRPr="004761E0" w:rsidRDefault="00862BFA" w:rsidP="007076A7">
            <w:pPr>
              <w:pStyle w:val="a5"/>
              <w:numPr>
                <w:ilvl w:val="0"/>
                <w:numId w:val="27"/>
              </w:numPr>
              <w:tabs>
                <w:tab w:val="left" w:pos="333"/>
              </w:tabs>
              <w:ind w:left="0" w:firstLine="0"/>
              <w:contextualSpacing w:val="0"/>
              <w:jc w:val="left"/>
              <w:rPr>
                <w:rFonts w:eastAsia="Times New Roman"/>
                <w:color w:val="000000"/>
                <w:sz w:val="20"/>
                <w:szCs w:val="20"/>
                <w:lang w:eastAsia="ru-RU"/>
              </w:rPr>
            </w:pPr>
          </w:p>
        </w:tc>
        <w:tc>
          <w:tcPr>
            <w:tcW w:w="1997" w:type="dxa"/>
            <w:shd w:val="clear" w:color="auto" w:fill="auto"/>
            <w:vAlign w:val="center"/>
            <w:hideMark/>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Гавриленко А.А.</w:t>
            </w:r>
          </w:p>
        </w:tc>
        <w:tc>
          <w:tcPr>
            <w:tcW w:w="4111" w:type="dxa"/>
            <w:shd w:val="clear" w:color="auto" w:fill="auto"/>
            <w:vAlign w:val="center"/>
            <w:hideMark/>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Генеральный директор </w:t>
            </w:r>
            <w:r w:rsidR="0008080E">
              <w:rPr>
                <w:rFonts w:eastAsia="Times New Roman"/>
                <w:color w:val="000000"/>
                <w:sz w:val="20"/>
                <w:szCs w:val="20"/>
                <w:lang w:eastAsia="ru-RU"/>
              </w:rPr>
              <w:t>ЗАО </w:t>
            </w:r>
            <w:r w:rsidRPr="004761E0">
              <w:rPr>
                <w:rFonts w:eastAsia="Times New Roman"/>
                <w:color w:val="000000"/>
                <w:sz w:val="20"/>
                <w:szCs w:val="20"/>
                <w:lang w:eastAsia="ru-RU"/>
              </w:rPr>
              <w:t>«Лидер» (Компании по управлению активами пенсионного фонда)</w:t>
            </w:r>
          </w:p>
        </w:tc>
        <w:tc>
          <w:tcPr>
            <w:tcW w:w="1417" w:type="dxa"/>
            <w:vAlign w:val="center"/>
          </w:tcPr>
          <w:p w:rsidR="00862BFA" w:rsidRPr="004761E0" w:rsidRDefault="00862BFA" w:rsidP="00DC64F2">
            <w:pPr>
              <w:ind w:firstLine="0"/>
              <w:jc w:val="right"/>
              <w:rPr>
                <w:rFonts w:eastAsia="Times New Roman"/>
                <w:color w:val="000000"/>
                <w:sz w:val="20"/>
                <w:szCs w:val="20"/>
                <w:lang w:eastAsia="ru-RU"/>
              </w:rPr>
            </w:pPr>
            <w:r w:rsidRPr="004761E0">
              <w:rPr>
                <w:rFonts w:eastAsia="Times New Roman"/>
                <w:color w:val="000000"/>
                <w:sz w:val="20"/>
                <w:szCs w:val="20"/>
                <w:lang w:eastAsia="ru-RU"/>
              </w:rPr>
              <w:t xml:space="preserve">2012-2013/ 2013-2014 </w:t>
            </w:r>
          </w:p>
        </w:tc>
        <w:tc>
          <w:tcPr>
            <w:tcW w:w="1843" w:type="dxa"/>
            <w:vAlign w:val="center"/>
          </w:tcPr>
          <w:p w:rsidR="00862BFA"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28</w:t>
            </w:r>
            <w:r>
              <w:rPr>
                <w:rFonts w:eastAsia="Times New Roman"/>
                <w:color w:val="000000"/>
                <w:sz w:val="20"/>
                <w:szCs w:val="20"/>
                <w:lang w:eastAsia="ru-RU"/>
              </w:rPr>
              <w:t xml:space="preserve"> из 28, </w:t>
            </w:r>
          </w:p>
          <w:p w:rsidR="00862BFA" w:rsidRPr="004761E0" w:rsidRDefault="00862BFA" w:rsidP="006B4FAE">
            <w:pPr>
              <w:ind w:firstLine="0"/>
              <w:jc w:val="right"/>
              <w:rPr>
                <w:rFonts w:eastAsia="Times New Roman"/>
                <w:color w:val="000000"/>
                <w:sz w:val="20"/>
                <w:szCs w:val="20"/>
                <w:lang w:eastAsia="ru-RU"/>
              </w:rPr>
            </w:pPr>
            <w:r>
              <w:rPr>
                <w:rFonts w:eastAsia="Times New Roman"/>
                <w:color w:val="000000"/>
                <w:sz w:val="20"/>
                <w:szCs w:val="20"/>
                <w:lang w:eastAsia="ru-RU"/>
              </w:rPr>
              <w:t>явка 100 %</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5"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6"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337" w:type="dxa"/>
            <w:vAlign w:val="center"/>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10 из 15, явка 66,7 %</w:t>
            </w:r>
          </w:p>
        </w:tc>
      </w:tr>
      <w:tr w:rsidR="00862BFA" w:rsidRPr="004761E0" w:rsidTr="004D5027">
        <w:trPr>
          <w:trHeight w:val="70"/>
        </w:trPr>
        <w:tc>
          <w:tcPr>
            <w:tcW w:w="555" w:type="dxa"/>
            <w:shd w:val="clear" w:color="auto" w:fill="auto"/>
            <w:vAlign w:val="center"/>
          </w:tcPr>
          <w:p w:rsidR="00862BFA" w:rsidRPr="004761E0" w:rsidRDefault="00862BFA" w:rsidP="007076A7">
            <w:pPr>
              <w:pStyle w:val="a5"/>
              <w:numPr>
                <w:ilvl w:val="0"/>
                <w:numId w:val="27"/>
              </w:numPr>
              <w:tabs>
                <w:tab w:val="left" w:pos="333"/>
              </w:tabs>
              <w:ind w:left="0" w:firstLine="0"/>
              <w:contextualSpacing w:val="0"/>
              <w:jc w:val="left"/>
              <w:rPr>
                <w:rFonts w:eastAsia="Times New Roman"/>
                <w:color w:val="000000"/>
                <w:sz w:val="20"/>
                <w:szCs w:val="20"/>
                <w:lang w:eastAsia="ru-RU"/>
              </w:rPr>
            </w:pPr>
          </w:p>
        </w:tc>
        <w:tc>
          <w:tcPr>
            <w:tcW w:w="1997" w:type="dxa"/>
            <w:shd w:val="clear" w:color="auto" w:fill="auto"/>
            <w:vAlign w:val="center"/>
            <w:hideMark/>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Голубев П.В.</w:t>
            </w:r>
          </w:p>
        </w:tc>
        <w:tc>
          <w:tcPr>
            <w:tcW w:w="4111" w:type="dxa"/>
            <w:shd w:val="clear" w:color="auto" w:fill="auto"/>
            <w:vAlign w:val="center"/>
            <w:hideMark/>
          </w:tcPr>
          <w:p w:rsidR="00862BFA" w:rsidRPr="004761E0" w:rsidRDefault="00862BFA" w:rsidP="00A543F8">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Директор по эксплуатации и ТОиР </w:t>
            </w:r>
            <w:r w:rsidR="0008080E">
              <w:rPr>
                <w:rFonts w:eastAsia="Times New Roman"/>
                <w:color w:val="000000"/>
                <w:sz w:val="20"/>
                <w:szCs w:val="20"/>
                <w:lang w:eastAsia="ru-RU"/>
              </w:rPr>
              <w:t>ОАО </w:t>
            </w:r>
            <w:r w:rsidRPr="004761E0">
              <w:rPr>
                <w:rFonts w:eastAsia="Times New Roman"/>
                <w:color w:val="000000"/>
                <w:sz w:val="20"/>
                <w:szCs w:val="20"/>
                <w:lang w:eastAsia="ru-RU"/>
              </w:rPr>
              <w:t>«Холдинг МРСК»</w:t>
            </w:r>
          </w:p>
        </w:tc>
        <w:tc>
          <w:tcPr>
            <w:tcW w:w="1417" w:type="dxa"/>
            <w:vAlign w:val="center"/>
          </w:tcPr>
          <w:p w:rsidR="00862BFA" w:rsidRPr="004761E0"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 xml:space="preserve">2012-2013 </w:t>
            </w:r>
          </w:p>
        </w:tc>
        <w:tc>
          <w:tcPr>
            <w:tcW w:w="1843" w:type="dxa"/>
            <w:vAlign w:val="center"/>
          </w:tcPr>
          <w:p w:rsidR="00862BFA"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15</w:t>
            </w:r>
            <w:r>
              <w:rPr>
                <w:rFonts w:eastAsia="Times New Roman"/>
                <w:color w:val="000000"/>
                <w:sz w:val="20"/>
                <w:szCs w:val="20"/>
                <w:lang w:eastAsia="ru-RU"/>
              </w:rPr>
              <w:t xml:space="preserve"> из 15, </w:t>
            </w:r>
          </w:p>
          <w:p w:rsidR="00862BFA" w:rsidRPr="004761E0" w:rsidRDefault="00862BFA" w:rsidP="006B4FAE">
            <w:pPr>
              <w:ind w:firstLine="0"/>
              <w:jc w:val="right"/>
              <w:rPr>
                <w:rFonts w:eastAsia="Times New Roman"/>
                <w:color w:val="000000"/>
                <w:sz w:val="20"/>
                <w:szCs w:val="20"/>
                <w:lang w:eastAsia="ru-RU"/>
              </w:rPr>
            </w:pPr>
            <w:r>
              <w:rPr>
                <w:rFonts w:eastAsia="Times New Roman"/>
                <w:color w:val="000000"/>
                <w:sz w:val="20"/>
                <w:szCs w:val="20"/>
                <w:lang w:eastAsia="ru-RU"/>
              </w:rPr>
              <w:t>явка 100 %</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5"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6"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337"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r>
      <w:tr w:rsidR="00862BFA" w:rsidRPr="004761E0" w:rsidTr="004D5027">
        <w:trPr>
          <w:trHeight w:val="593"/>
        </w:trPr>
        <w:tc>
          <w:tcPr>
            <w:tcW w:w="555" w:type="dxa"/>
            <w:shd w:val="clear" w:color="auto" w:fill="auto"/>
            <w:vAlign w:val="center"/>
          </w:tcPr>
          <w:p w:rsidR="00862BFA" w:rsidRPr="004761E0" w:rsidRDefault="00862BFA" w:rsidP="007076A7">
            <w:pPr>
              <w:pStyle w:val="a5"/>
              <w:numPr>
                <w:ilvl w:val="0"/>
                <w:numId w:val="27"/>
              </w:numPr>
              <w:tabs>
                <w:tab w:val="left" w:pos="333"/>
              </w:tabs>
              <w:ind w:left="0" w:firstLine="0"/>
              <w:contextualSpacing w:val="0"/>
              <w:jc w:val="left"/>
              <w:rPr>
                <w:rFonts w:eastAsia="Times New Roman"/>
                <w:color w:val="000000"/>
                <w:sz w:val="20"/>
                <w:szCs w:val="20"/>
                <w:lang w:eastAsia="ru-RU"/>
              </w:rPr>
            </w:pPr>
          </w:p>
        </w:tc>
        <w:tc>
          <w:tcPr>
            <w:tcW w:w="1997" w:type="dxa"/>
            <w:shd w:val="clear" w:color="auto" w:fill="auto"/>
            <w:vAlign w:val="center"/>
            <w:hideMark/>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Гончаров В.А.</w:t>
            </w:r>
          </w:p>
        </w:tc>
        <w:tc>
          <w:tcPr>
            <w:tcW w:w="4111" w:type="dxa"/>
            <w:shd w:val="clear" w:color="auto" w:fill="auto"/>
            <w:vAlign w:val="center"/>
            <w:hideMark/>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Заместитель Председателя Правления </w:t>
            </w:r>
            <w:r w:rsidR="0008080E">
              <w:rPr>
                <w:rFonts w:eastAsia="Times New Roman"/>
                <w:color w:val="000000"/>
                <w:sz w:val="20"/>
                <w:szCs w:val="20"/>
                <w:lang w:eastAsia="ru-RU"/>
              </w:rPr>
              <w:t>ОАО </w:t>
            </w:r>
            <w:r w:rsidRPr="004761E0">
              <w:rPr>
                <w:rFonts w:eastAsia="Times New Roman"/>
                <w:color w:val="000000"/>
                <w:sz w:val="20"/>
                <w:szCs w:val="20"/>
                <w:lang w:eastAsia="ru-RU"/>
              </w:rPr>
              <w:t xml:space="preserve"> «ФСК ЕЭС», Заместитель Исполнительного директора по инвестиционной деятельности </w:t>
            </w:r>
            <w:r w:rsidR="0008080E">
              <w:rPr>
                <w:rFonts w:eastAsia="Times New Roman"/>
                <w:color w:val="000000"/>
                <w:sz w:val="20"/>
                <w:szCs w:val="20"/>
                <w:lang w:eastAsia="ru-RU"/>
              </w:rPr>
              <w:t>ОАО </w:t>
            </w:r>
            <w:r w:rsidRPr="004761E0">
              <w:rPr>
                <w:rFonts w:eastAsia="Times New Roman"/>
                <w:color w:val="000000"/>
                <w:sz w:val="20"/>
                <w:szCs w:val="20"/>
                <w:lang w:eastAsia="ru-RU"/>
              </w:rPr>
              <w:t>«Холдинг МРСК»</w:t>
            </w:r>
          </w:p>
        </w:tc>
        <w:tc>
          <w:tcPr>
            <w:tcW w:w="1417" w:type="dxa"/>
            <w:vAlign w:val="center"/>
          </w:tcPr>
          <w:p w:rsidR="00862BFA" w:rsidRPr="004761E0"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 xml:space="preserve">2012-2013 </w:t>
            </w:r>
          </w:p>
        </w:tc>
        <w:tc>
          <w:tcPr>
            <w:tcW w:w="1843" w:type="dxa"/>
            <w:vAlign w:val="center"/>
          </w:tcPr>
          <w:p w:rsidR="00185EE3"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15</w:t>
            </w:r>
            <w:r>
              <w:rPr>
                <w:rFonts w:eastAsia="Times New Roman"/>
                <w:color w:val="000000"/>
                <w:sz w:val="20"/>
                <w:szCs w:val="20"/>
                <w:lang w:eastAsia="ru-RU"/>
              </w:rPr>
              <w:t xml:space="preserve"> из 15, </w:t>
            </w:r>
          </w:p>
          <w:p w:rsidR="00862BFA" w:rsidRPr="004761E0" w:rsidRDefault="00862BFA" w:rsidP="006B4FAE">
            <w:pPr>
              <w:ind w:firstLine="0"/>
              <w:jc w:val="right"/>
              <w:rPr>
                <w:rFonts w:eastAsia="Times New Roman"/>
                <w:color w:val="000000"/>
                <w:sz w:val="20"/>
                <w:szCs w:val="20"/>
                <w:lang w:eastAsia="ru-RU"/>
              </w:rPr>
            </w:pPr>
            <w:r>
              <w:rPr>
                <w:rFonts w:eastAsia="Times New Roman"/>
                <w:color w:val="000000"/>
                <w:sz w:val="20"/>
                <w:szCs w:val="20"/>
                <w:lang w:eastAsia="ru-RU"/>
              </w:rPr>
              <w:t>явка 100 %</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5" w:type="dxa"/>
            <w:vAlign w:val="center"/>
          </w:tcPr>
          <w:p w:rsidR="00862BFA"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 xml:space="preserve">9 из 10, </w:t>
            </w:r>
          </w:p>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явка 90,0 %</w:t>
            </w:r>
          </w:p>
        </w:tc>
        <w:tc>
          <w:tcPr>
            <w:tcW w:w="1276" w:type="dxa"/>
            <w:vAlign w:val="center"/>
          </w:tcPr>
          <w:p w:rsidR="00862BFA"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 xml:space="preserve">7 из 8, </w:t>
            </w:r>
          </w:p>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явка  87,5 %</w:t>
            </w:r>
          </w:p>
        </w:tc>
        <w:tc>
          <w:tcPr>
            <w:tcW w:w="1337" w:type="dxa"/>
            <w:vAlign w:val="center"/>
          </w:tcPr>
          <w:p w:rsidR="00862BFA"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 xml:space="preserve">9 из 11, </w:t>
            </w:r>
          </w:p>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явка 81,8 %</w:t>
            </w:r>
          </w:p>
        </w:tc>
      </w:tr>
      <w:tr w:rsidR="00862BFA" w:rsidRPr="004761E0" w:rsidTr="004D5027">
        <w:trPr>
          <w:trHeight w:val="839"/>
        </w:trPr>
        <w:tc>
          <w:tcPr>
            <w:tcW w:w="555" w:type="dxa"/>
            <w:shd w:val="clear" w:color="auto" w:fill="auto"/>
            <w:vAlign w:val="center"/>
          </w:tcPr>
          <w:p w:rsidR="00862BFA" w:rsidRPr="004761E0" w:rsidRDefault="00862BFA" w:rsidP="007076A7">
            <w:pPr>
              <w:pStyle w:val="a5"/>
              <w:numPr>
                <w:ilvl w:val="0"/>
                <w:numId w:val="27"/>
              </w:numPr>
              <w:tabs>
                <w:tab w:val="left" w:pos="333"/>
              </w:tabs>
              <w:ind w:left="0" w:firstLine="0"/>
              <w:contextualSpacing w:val="0"/>
              <w:jc w:val="left"/>
              <w:rPr>
                <w:rFonts w:eastAsia="Times New Roman"/>
                <w:color w:val="000000"/>
                <w:sz w:val="20"/>
                <w:szCs w:val="20"/>
                <w:lang w:eastAsia="ru-RU"/>
              </w:rPr>
            </w:pPr>
          </w:p>
        </w:tc>
        <w:tc>
          <w:tcPr>
            <w:tcW w:w="1997" w:type="dxa"/>
            <w:shd w:val="clear" w:color="auto" w:fill="auto"/>
            <w:vAlign w:val="center"/>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Демин С.А.</w:t>
            </w:r>
          </w:p>
        </w:tc>
        <w:tc>
          <w:tcPr>
            <w:tcW w:w="4111" w:type="dxa"/>
            <w:shd w:val="clear" w:color="auto" w:fill="auto"/>
            <w:vAlign w:val="center"/>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Первый заместитель генерального директора филиала </w:t>
            </w:r>
            <w:r w:rsidR="0008080E">
              <w:rPr>
                <w:rFonts w:eastAsia="Times New Roman"/>
                <w:color w:val="000000"/>
                <w:sz w:val="20"/>
                <w:szCs w:val="20"/>
                <w:lang w:eastAsia="ru-RU"/>
              </w:rPr>
              <w:t>ОАО </w:t>
            </w:r>
            <w:r w:rsidRPr="004761E0">
              <w:rPr>
                <w:rFonts w:eastAsia="Times New Roman"/>
                <w:color w:val="000000"/>
                <w:sz w:val="20"/>
                <w:szCs w:val="20"/>
                <w:lang w:eastAsia="ru-RU"/>
              </w:rPr>
              <w:t>«ФСК ЕЭС» – МЭС Центра – главный инженер</w:t>
            </w:r>
          </w:p>
        </w:tc>
        <w:tc>
          <w:tcPr>
            <w:tcW w:w="1417" w:type="dxa"/>
            <w:vAlign w:val="center"/>
          </w:tcPr>
          <w:p w:rsidR="00862BFA" w:rsidRPr="004761E0"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2013-2014</w:t>
            </w:r>
          </w:p>
        </w:tc>
        <w:tc>
          <w:tcPr>
            <w:tcW w:w="1843" w:type="dxa"/>
            <w:vAlign w:val="center"/>
          </w:tcPr>
          <w:p w:rsidR="00185EE3"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13</w:t>
            </w:r>
            <w:r>
              <w:rPr>
                <w:rFonts w:eastAsia="Times New Roman"/>
                <w:color w:val="000000"/>
                <w:sz w:val="20"/>
                <w:szCs w:val="20"/>
                <w:lang w:eastAsia="ru-RU"/>
              </w:rPr>
              <w:t xml:space="preserve"> из 13, </w:t>
            </w:r>
          </w:p>
          <w:p w:rsidR="00862BFA" w:rsidRPr="004761E0" w:rsidRDefault="00862BFA" w:rsidP="006B4FAE">
            <w:pPr>
              <w:ind w:firstLine="0"/>
              <w:jc w:val="right"/>
              <w:rPr>
                <w:rFonts w:eastAsia="Times New Roman"/>
                <w:color w:val="000000"/>
                <w:sz w:val="20"/>
                <w:szCs w:val="20"/>
                <w:lang w:eastAsia="ru-RU"/>
              </w:rPr>
            </w:pPr>
            <w:r>
              <w:rPr>
                <w:rFonts w:eastAsia="Times New Roman"/>
                <w:color w:val="000000"/>
                <w:sz w:val="20"/>
                <w:szCs w:val="20"/>
                <w:lang w:eastAsia="ru-RU"/>
              </w:rPr>
              <w:t>явка 100 %</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5"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6"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337" w:type="dxa"/>
            <w:vAlign w:val="center"/>
          </w:tcPr>
          <w:p w:rsidR="00185EE3" w:rsidRDefault="00185EE3" w:rsidP="00862BFA">
            <w:pPr>
              <w:ind w:firstLine="0"/>
              <w:jc w:val="right"/>
              <w:rPr>
                <w:rFonts w:eastAsia="Times New Roman"/>
                <w:color w:val="000000"/>
                <w:sz w:val="20"/>
                <w:szCs w:val="20"/>
                <w:lang w:eastAsia="ru-RU"/>
              </w:rPr>
            </w:pPr>
            <w:r>
              <w:rPr>
                <w:rFonts w:eastAsia="Times New Roman"/>
                <w:color w:val="000000"/>
                <w:sz w:val="20"/>
                <w:szCs w:val="20"/>
                <w:lang w:eastAsia="ru-RU"/>
              </w:rPr>
              <w:t xml:space="preserve">4 из 4, </w:t>
            </w:r>
          </w:p>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явка 100 %</w:t>
            </w:r>
          </w:p>
        </w:tc>
      </w:tr>
      <w:tr w:rsidR="00862BFA" w:rsidRPr="004761E0" w:rsidTr="004D5027">
        <w:trPr>
          <w:trHeight w:val="839"/>
        </w:trPr>
        <w:tc>
          <w:tcPr>
            <w:tcW w:w="555" w:type="dxa"/>
            <w:shd w:val="clear" w:color="auto" w:fill="auto"/>
            <w:vAlign w:val="center"/>
          </w:tcPr>
          <w:p w:rsidR="00862BFA" w:rsidRPr="004761E0" w:rsidRDefault="00862BFA" w:rsidP="007076A7">
            <w:pPr>
              <w:pStyle w:val="a5"/>
              <w:numPr>
                <w:ilvl w:val="0"/>
                <w:numId w:val="27"/>
              </w:numPr>
              <w:tabs>
                <w:tab w:val="left" w:pos="333"/>
              </w:tabs>
              <w:ind w:left="0" w:firstLine="0"/>
              <w:contextualSpacing w:val="0"/>
              <w:jc w:val="left"/>
              <w:rPr>
                <w:rFonts w:eastAsia="Times New Roman"/>
                <w:color w:val="000000"/>
                <w:sz w:val="20"/>
                <w:szCs w:val="20"/>
                <w:lang w:eastAsia="ru-RU"/>
              </w:rPr>
            </w:pPr>
          </w:p>
        </w:tc>
        <w:tc>
          <w:tcPr>
            <w:tcW w:w="1997" w:type="dxa"/>
            <w:shd w:val="clear" w:color="auto" w:fill="auto"/>
            <w:vAlign w:val="center"/>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Казаченков А.В.</w:t>
            </w:r>
          </w:p>
        </w:tc>
        <w:tc>
          <w:tcPr>
            <w:tcW w:w="4111" w:type="dxa"/>
            <w:shd w:val="clear" w:color="auto" w:fill="auto"/>
            <w:vAlign w:val="center"/>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Член Правления, первый заместитель Председателя Правления </w:t>
            </w:r>
            <w:r w:rsidR="0008080E">
              <w:rPr>
                <w:rFonts w:eastAsia="Times New Roman"/>
                <w:color w:val="000000"/>
                <w:sz w:val="20"/>
                <w:szCs w:val="20"/>
                <w:lang w:eastAsia="ru-RU"/>
              </w:rPr>
              <w:t>ОАО </w:t>
            </w:r>
            <w:r w:rsidRPr="004761E0">
              <w:rPr>
                <w:rFonts w:eastAsia="Times New Roman"/>
                <w:color w:val="000000"/>
                <w:sz w:val="20"/>
                <w:szCs w:val="20"/>
                <w:lang w:eastAsia="ru-RU"/>
              </w:rPr>
              <w:t>«ФСК ЕЭС»</w:t>
            </w:r>
          </w:p>
        </w:tc>
        <w:tc>
          <w:tcPr>
            <w:tcW w:w="1417" w:type="dxa"/>
            <w:vAlign w:val="center"/>
          </w:tcPr>
          <w:p w:rsidR="00862BFA" w:rsidRPr="004761E0"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2013-2014</w:t>
            </w:r>
          </w:p>
        </w:tc>
        <w:tc>
          <w:tcPr>
            <w:tcW w:w="1843" w:type="dxa"/>
            <w:vAlign w:val="center"/>
          </w:tcPr>
          <w:p w:rsidR="00185EE3"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13</w:t>
            </w:r>
            <w:r>
              <w:rPr>
                <w:rFonts w:eastAsia="Times New Roman"/>
                <w:color w:val="000000"/>
                <w:sz w:val="20"/>
                <w:szCs w:val="20"/>
                <w:lang w:eastAsia="ru-RU"/>
              </w:rPr>
              <w:t xml:space="preserve"> из 13, </w:t>
            </w:r>
          </w:p>
          <w:p w:rsidR="00862BFA" w:rsidRPr="004761E0" w:rsidRDefault="00862BFA" w:rsidP="006B4FAE">
            <w:pPr>
              <w:ind w:firstLine="0"/>
              <w:jc w:val="right"/>
              <w:rPr>
                <w:rFonts w:eastAsia="Times New Roman"/>
                <w:color w:val="000000"/>
                <w:sz w:val="20"/>
                <w:szCs w:val="20"/>
                <w:lang w:eastAsia="ru-RU"/>
              </w:rPr>
            </w:pPr>
            <w:r>
              <w:rPr>
                <w:rFonts w:eastAsia="Times New Roman"/>
                <w:color w:val="000000"/>
                <w:sz w:val="20"/>
                <w:szCs w:val="20"/>
                <w:lang w:eastAsia="ru-RU"/>
              </w:rPr>
              <w:t>явка 100 %</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5"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6"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337" w:type="dxa"/>
            <w:vAlign w:val="center"/>
          </w:tcPr>
          <w:p w:rsidR="00185EE3" w:rsidRDefault="00862BFA" w:rsidP="00185EE3">
            <w:pPr>
              <w:ind w:firstLine="0"/>
              <w:jc w:val="right"/>
              <w:rPr>
                <w:rFonts w:eastAsia="Times New Roman"/>
                <w:color w:val="000000"/>
                <w:sz w:val="20"/>
                <w:szCs w:val="20"/>
                <w:lang w:eastAsia="ru-RU"/>
              </w:rPr>
            </w:pPr>
            <w:r w:rsidRPr="004761E0">
              <w:rPr>
                <w:rFonts w:eastAsia="Times New Roman"/>
                <w:color w:val="000000"/>
                <w:sz w:val="20"/>
                <w:szCs w:val="20"/>
                <w:lang w:eastAsia="ru-RU"/>
              </w:rPr>
              <w:t xml:space="preserve">4 из 4, </w:t>
            </w:r>
          </w:p>
          <w:p w:rsidR="00862BFA" w:rsidRPr="004761E0" w:rsidRDefault="00862BFA" w:rsidP="00185EE3">
            <w:pPr>
              <w:ind w:firstLine="0"/>
              <w:jc w:val="right"/>
              <w:rPr>
                <w:rFonts w:eastAsia="Times New Roman"/>
                <w:color w:val="000000"/>
                <w:sz w:val="20"/>
                <w:szCs w:val="20"/>
                <w:lang w:eastAsia="ru-RU"/>
              </w:rPr>
            </w:pPr>
            <w:r w:rsidRPr="004761E0">
              <w:rPr>
                <w:rFonts w:eastAsia="Times New Roman"/>
                <w:color w:val="000000"/>
                <w:sz w:val="20"/>
                <w:szCs w:val="20"/>
                <w:lang w:eastAsia="ru-RU"/>
              </w:rPr>
              <w:t>явка 100 %</w:t>
            </w:r>
          </w:p>
        </w:tc>
      </w:tr>
      <w:tr w:rsidR="00862BFA" w:rsidRPr="004761E0" w:rsidTr="004D5027">
        <w:trPr>
          <w:trHeight w:val="839"/>
        </w:trPr>
        <w:tc>
          <w:tcPr>
            <w:tcW w:w="555" w:type="dxa"/>
            <w:shd w:val="clear" w:color="auto" w:fill="auto"/>
            <w:vAlign w:val="center"/>
          </w:tcPr>
          <w:p w:rsidR="00862BFA" w:rsidRPr="004761E0" w:rsidRDefault="00862BFA" w:rsidP="007076A7">
            <w:pPr>
              <w:pStyle w:val="a5"/>
              <w:numPr>
                <w:ilvl w:val="0"/>
                <w:numId w:val="27"/>
              </w:numPr>
              <w:tabs>
                <w:tab w:val="left" w:pos="333"/>
              </w:tabs>
              <w:ind w:left="0" w:firstLine="0"/>
              <w:contextualSpacing w:val="0"/>
              <w:jc w:val="left"/>
              <w:rPr>
                <w:rFonts w:eastAsia="Times New Roman"/>
                <w:color w:val="000000"/>
                <w:sz w:val="20"/>
                <w:szCs w:val="20"/>
                <w:lang w:eastAsia="ru-RU"/>
              </w:rPr>
            </w:pPr>
          </w:p>
        </w:tc>
        <w:tc>
          <w:tcPr>
            <w:tcW w:w="1997" w:type="dxa"/>
            <w:shd w:val="clear" w:color="auto" w:fill="auto"/>
            <w:vAlign w:val="center"/>
            <w:hideMark/>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Кербер С.М.</w:t>
            </w:r>
          </w:p>
        </w:tc>
        <w:tc>
          <w:tcPr>
            <w:tcW w:w="4111" w:type="dxa"/>
            <w:shd w:val="clear" w:color="auto" w:fill="auto"/>
            <w:vAlign w:val="center"/>
            <w:hideMark/>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Руководитель дирекции инвестиционных проектов и программ – Управляющий директор </w:t>
            </w:r>
            <w:r w:rsidR="0008080E">
              <w:rPr>
                <w:rFonts w:eastAsia="Times New Roman"/>
                <w:color w:val="000000"/>
                <w:sz w:val="20"/>
                <w:szCs w:val="20"/>
                <w:lang w:eastAsia="ru-RU"/>
              </w:rPr>
              <w:t>ЗАО </w:t>
            </w:r>
            <w:r w:rsidRPr="004761E0">
              <w:rPr>
                <w:rFonts w:eastAsia="Times New Roman"/>
                <w:color w:val="000000"/>
                <w:sz w:val="20"/>
                <w:szCs w:val="20"/>
                <w:lang w:eastAsia="ru-RU"/>
              </w:rPr>
              <w:t>«Лидер» (Компании по управлению активами пенсионного фонда)</w:t>
            </w:r>
          </w:p>
        </w:tc>
        <w:tc>
          <w:tcPr>
            <w:tcW w:w="1417" w:type="dxa"/>
            <w:vAlign w:val="center"/>
          </w:tcPr>
          <w:p w:rsidR="00862BFA" w:rsidRPr="004761E0"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 xml:space="preserve">2012-2013 </w:t>
            </w:r>
          </w:p>
        </w:tc>
        <w:tc>
          <w:tcPr>
            <w:tcW w:w="1843" w:type="dxa"/>
            <w:vAlign w:val="center"/>
          </w:tcPr>
          <w:p w:rsidR="00185EE3"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15</w:t>
            </w:r>
            <w:r>
              <w:rPr>
                <w:rFonts w:eastAsia="Times New Roman"/>
                <w:color w:val="000000"/>
                <w:sz w:val="20"/>
                <w:szCs w:val="20"/>
                <w:lang w:eastAsia="ru-RU"/>
              </w:rPr>
              <w:t xml:space="preserve"> из 15, </w:t>
            </w:r>
          </w:p>
          <w:p w:rsidR="00862BFA" w:rsidRPr="004761E0" w:rsidRDefault="00862BFA" w:rsidP="006B4FAE">
            <w:pPr>
              <w:ind w:firstLine="0"/>
              <w:jc w:val="right"/>
              <w:rPr>
                <w:rFonts w:eastAsia="Times New Roman"/>
                <w:color w:val="000000"/>
                <w:sz w:val="20"/>
                <w:szCs w:val="20"/>
                <w:lang w:eastAsia="ru-RU"/>
              </w:rPr>
            </w:pPr>
            <w:r>
              <w:rPr>
                <w:rFonts w:eastAsia="Times New Roman"/>
                <w:color w:val="000000"/>
                <w:sz w:val="20"/>
                <w:szCs w:val="20"/>
                <w:lang w:eastAsia="ru-RU"/>
              </w:rPr>
              <w:t>явка 100 %</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5"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6" w:type="dxa"/>
            <w:vAlign w:val="center"/>
          </w:tcPr>
          <w:p w:rsidR="00185EE3"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 xml:space="preserve">8 из 8, </w:t>
            </w:r>
          </w:p>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явка 100 %</w:t>
            </w:r>
          </w:p>
        </w:tc>
        <w:tc>
          <w:tcPr>
            <w:tcW w:w="1337"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r>
      <w:tr w:rsidR="00862BFA" w:rsidRPr="004761E0" w:rsidTr="004D5027">
        <w:trPr>
          <w:trHeight w:val="600"/>
        </w:trPr>
        <w:tc>
          <w:tcPr>
            <w:tcW w:w="555" w:type="dxa"/>
            <w:shd w:val="clear" w:color="auto" w:fill="auto"/>
            <w:vAlign w:val="center"/>
          </w:tcPr>
          <w:p w:rsidR="00862BFA" w:rsidRPr="004761E0" w:rsidRDefault="00862BFA" w:rsidP="007076A7">
            <w:pPr>
              <w:pStyle w:val="a5"/>
              <w:numPr>
                <w:ilvl w:val="0"/>
                <w:numId w:val="27"/>
              </w:numPr>
              <w:tabs>
                <w:tab w:val="left" w:pos="333"/>
              </w:tabs>
              <w:ind w:left="0" w:firstLine="0"/>
              <w:contextualSpacing w:val="0"/>
              <w:jc w:val="left"/>
              <w:rPr>
                <w:rFonts w:eastAsia="Times New Roman"/>
                <w:color w:val="000000"/>
                <w:sz w:val="20"/>
                <w:szCs w:val="20"/>
                <w:lang w:eastAsia="ru-RU"/>
              </w:rPr>
            </w:pPr>
          </w:p>
        </w:tc>
        <w:tc>
          <w:tcPr>
            <w:tcW w:w="1997" w:type="dxa"/>
            <w:shd w:val="clear" w:color="auto" w:fill="auto"/>
            <w:vAlign w:val="center"/>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Ливинский П.А.</w:t>
            </w:r>
          </w:p>
        </w:tc>
        <w:tc>
          <w:tcPr>
            <w:tcW w:w="4111" w:type="dxa"/>
            <w:shd w:val="clear" w:color="auto" w:fill="auto"/>
            <w:vAlign w:val="center"/>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Руководитель Департамента топливно-энергетического хозяйства  города Москвы</w:t>
            </w:r>
          </w:p>
        </w:tc>
        <w:tc>
          <w:tcPr>
            <w:tcW w:w="1417" w:type="dxa"/>
            <w:vAlign w:val="center"/>
          </w:tcPr>
          <w:p w:rsidR="00862BFA" w:rsidRPr="004761E0"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2013-2014</w:t>
            </w:r>
          </w:p>
        </w:tc>
        <w:tc>
          <w:tcPr>
            <w:tcW w:w="1843" w:type="dxa"/>
            <w:vAlign w:val="center"/>
          </w:tcPr>
          <w:p w:rsidR="00185EE3"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12</w:t>
            </w:r>
            <w:r>
              <w:rPr>
                <w:rFonts w:eastAsia="Times New Roman"/>
                <w:color w:val="000000"/>
                <w:sz w:val="20"/>
                <w:szCs w:val="20"/>
                <w:lang w:eastAsia="ru-RU"/>
              </w:rPr>
              <w:t xml:space="preserve"> из 13, </w:t>
            </w:r>
          </w:p>
          <w:p w:rsidR="00862BFA" w:rsidRPr="004761E0" w:rsidRDefault="00862BFA" w:rsidP="006B4FAE">
            <w:pPr>
              <w:ind w:firstLine="0"/>
              <w:jc w:val="right"/>
              <w:rPr>
                <w:rFonts w:eastAsia="Times New Roman"/>
                <w:color w:val="000000"/>
                <w:sz w:val="20"/>
                <w:szCs w:val="20"/>
                <w:lang w:eastAsia="ru-RU"/>
              </w:rPr>
            </w:pPr>
            <w:r>
              <w:rPr>
                <w:rFonts w:eastAsia="Times New Roman"/>
                <w:color w:val="000000"/>
                <w:sz w:val="20"/>
                <w:szCs w:val="20"/>
                <w:lang w:eastAsia="ru-RU"/>
              </w:rPr>
              <w:t>явка 92 %</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5"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6"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337"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r>
      <w:tr w:rsidR="00862BFA" w:rsidRPr="004761E0" w:rsidTr="004D5027">
        <w:trPr>
          <w:trHeight w:val="600"/>
        </w:trPr>
        <w:tc>
          <w:tcPr>
            <w:tcW w:w="555" w:type="dxa"/>
            <w:shd w:val="clear" w:color="auto" w:fill="auto"/>
            <w:vAlign w:val="center"/>
          </w:tcPr>
          <w:p w:rsidR="00862BFA" w:rsidRPr="004761E0" w:rsidRDefault="00862BFA" w:rsidP="007076A7">
            <w:pPr>
              <w:pStyle w:val="a5"/>
              <w:numPr>
                <w:ilvl w:val="0"/>
                <w:numId w:val="27"/>
              </w:numPr>
              <w:tabs>
                <w:tab w:val="left" w:pos="333"/>
              </w:tabs>
              <w:ind w:left="0" w:firstLine="0"/>
              <w:contextualSpacing w:val="0"/>
              <w:jc w:val="left"/>
              <w:rPr>
                <w:rFonts w:eastAsia="Times New Roman"/>
                <w:color w:val="000000"/>
                <w:sz w:val="20"/>
                <w:szCs w:val="20"/>
                <w:lang w:eastAsia="ru-RU"/>
              </w:rPr>
            </w:pPr>
          </w:p>
        </w:tc>
        <w:tc>
          <w:tcPr>
            <w:tcW w:w="1997" w:type="dxa"/>
            <w:shd w:val="clear" w:color="auto" w:fill="auto"/>
            <w:vAlign w:val="center"/>
            <w:hideMark/>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Муров А.Е.</w:t>
            </w:r>
          </w:p>
        </w:tc>
        <w:tc>
          <w:tcPr>
            <w:tcW w:w="4111" w:type="dxa"/>
            <w:shd w:val="clear" w:color="auto" w:fill="auto"/>
            <w:vAlign w:val="center"/>
            <w:hideMark/>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Первый заместитель Председателя Правления </w:t>
            </w:r>
            <w:r w:rsidR="0008080E">
              <w:rPr>
                <w:rFonts w:eastAsia="Times New Roman"/>
                <w:color w:val="000000"/>
                <w:sz w:val="20"/>
                <w:szCs w:val="20"/>
                <w:lang w:eastAsia="ru-RU"/>
              </w:rPr>
              <w:t>ОАО </w:t>
            </w:r>
            <w:r w:rsidRPr="004761E0">
              <w:rPr>
                <w:rFonts w:eastAsia="Times New Roman"/>
                <w:color w:val="000000"/>
                <w:sz w:val="20"/>
                <w:szCs w:val="20"/>
                <w:lang w:eastAsia="ru-RU"/>
              </w:rPr>
              <w:t xml:space="preserve">«ФСК ЕЭС», Исполнительный директор </w:t>
            </w:r>
            <w:r w:rsidR="0008080E">
              <w:rPr>
                <w:rFonts w:eastAsia="Times New Roman"/>
                <w:color w:val="000000"/>
                <w:sz w:val="20"/>
                <w:szCs w:val="20"/>
                <w:lang w:eastAsia="ru-RU"/>
              </w:rPr>
              <w:t>ОАО </w:t>
            </w:r>
            <w:r w:rsidRPr="004761E0">
              <w:rPr>
                <w:rFonts w:eastAsia="Times New Roman"/>
                <w:color w:val="000000"/>
                <w:sz w:val="20"/>
                <w:szCs w:val="20"/>
                <w:lang w:eastAsia="ru-RU"/>
              </w:rPr>
              <w:t>«Холдинг МРСК»</w:t>
            </w:r>
          </w:p>
        </w:tc>
        <w:tc>
          <w:tcPr>
            <w:tcW w:w="1417" w:type="dxa"/>
            <w:vAlign w:val="center"/>
          </w:tcPr>
          <w:p w:rsidR="00862BFA" w:rsidRPr="004761E0"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 xml:space="preserve">2012-2013 </w:t>
            </w:r>
          </w:p>
        </w:tc>
        <w:tc>
          <w:tcPr>
            <w:tcW w:w="1843" w:type="dxa"/>
            <w:vAlign w:val="center"/>
          </w:tcPr>
          <w:p w:rsidR="00185EE3"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15</w:t>
            </w:r>
            <w:r>
              <w:rPr>
                <w:rFonts w:eastAsia="Times New Roman"/>
                <w:color w:val="000000"/>
                <w:sz w:val="20"/>
                <w:szCs w:val="20"/>
                <w:lang w:eastAsia="ru-RU"/>
              </w:rPr>
              <w:t xml:space="preserve"> из 15, </w:t>
            </w:r>
          </w:p>
          <w:p w:rsidR="00862BFA" w:rsidRPr="004761E0" w:rsidRDefault="00862BFA" w:rsidP="006B4FAE">
            <w:pPr>
              <w:ind w:firstLine="0"/>
              <w:jc w:val="right"/>
              <w:rPr>
                <w:rFonts w:eastAsia="Times New Roman"/>
                <w:color w:val="000000"/>
                <w:sz w:val="20"/>
                <w:szCs w:val="20"/>
                <w:lang w:eastAsia="ru-RU"/>
              </w:rPr>
            </w:pPr>
            <w:r>
              <w:rPr>
                <w:rFonts w:eastAsia="Times New Roman"/>
                <w:color w:val="000000"/>
                <w:sz w:val="20"/>
                <w:szCs w:val="20"/>
                <w:lang w:eastAsia="ru-RU"/>
              </w:rPr>
              <w:t>явка 100 %</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5"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6"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337" w:type="dxa"/>
            <w:vAlign w:val="center"/>
          </w:tcPr>
          <w:p w:rsidR="00185EE3"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 xml:space="preserve">9 из 11, </w:t>
            </w:r>
          </w:p>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явка 81,8 %</w:t>
            </w:r>
          </w:p>
        </w:tc>
      </w:tr>
      <w:tr w:rsidR="00862BFA" w:rsidRPr="004761E0" w:rsidTr="004D5027">
        <w:trPr>
          <w:trHeight w:val="347"/>
        </w:trPr>
        <w:tc>
          <w:tcPr>
            <w:tcW w:w="555" w:type="dxa"/>
            <w:shd w:val="clear" w:color="auto" w:fill="auto"/>
            <w:vAlign w:val="center"/>
          </w:tcPr>
          <w:p w:rsidR="00862BFA" w:rsidRPr="004761E0" w:rsidRDefault="00862BFA" w:rsidP="007076A7">
            <w:pPr>
              <w:pStyle w:val="a5"/>
              <w:numPr>
                <w:ilvl w:val="0"/>
                <w:numId w:val="27"/>
              </w:numPr>
              <w:tabs>
                <w:tab w:val="left" w:pos="333"/>
              </w:tabs>
              <w:ind w:left="0" w:firstLine="0"/>
              <w:contextualSpacing w:val="0"/>
              <w:jc w:val="left"/>
              <w:rPr>
                <w:rFonts w:eastAsia="Times New Roman"/>
                <w:color w:val="000000"/>
                <w:sz w:val="20"/>
                <w:szCs w:val="20"/>
                <w:lang w:eastAsia="ru-RU"/>
              </w:rPr>
            </w:pPr>
          </w:p>
        </w:tc>
        <w:tc>
          <w:tcPr>
            <w:tcW w:w="1997" w:type="dxa"/>
            <w:shd w:val="clear" w:color="auto" w:fill="auto"/>
            <w:vAlign w:val="center"/>
            <w:hideMark/>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Назин В.Л.</w:t>
            </w:r>
          </w:p>
        </w:tc>
        <w:tc>
          <w:tcPr>
            <w:tcW w:w="4111" w:type="dxa"/>
            <w:shd w:val="clear" w:color="auto" w:fill="auto"/>
            <w:vAlign w:val="center"/>
            <w:hideMark/>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Независимый консультант в электроэнергетике</w:t>
            </w:r>
          </w:p>
        </w:tc>
        <w:tc>
          <w:tcPr>
            <w:tcW w:w="1417" w:type="dxa"/>
            <w:vAlign w:val="center"/>
          </w:tcPr>
          <w:p w:rsidR="00862BFA" w:rsidRPr="004761E0"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 xml:space="preserve">2012-2013 </w:t>
            </w:r>
          </w:p>
        </w:tc>
        <w:tc>
          <w:tcPr>
            <w:tcW w:w="1843" w:type="dxa"/>
            <w:vAlign w:val="center"/>
          </w:tcPr>
          <w:p w:rsidR="00185EE3"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15</w:t>
            </w:r>
            <w:r>
              <w:rPr>
                <w:rFonts w:eastAsia="Times New Roman"/>
                <w:color w:val="000000"/>
                <w:sz w:val="20"/>
                <w:szCs w:val="20"/>
                <w:lang w:eastAsia="ru-RU"/>
              </w:rPr>
              <w:t xml:space="preserve"> из 15, </w:t>
            </w:r>
          </w:p>
          <w:p w:rsidR="00862BFA" w:rsidRPr="004761E0" w:rsidRDefault="00862BFA" w:rsidP="006B4FAE">
            <w:pPr>
              <w:ind w:firstLine="0"/>
              <w:jc w:val="right"/>
              <w:rPr>
                <w:rFonts w:eastAsia="Times New Roman"/>
                <w:color w:val="000000"/>
                <w:sz w:val="20"/>
                <w:szCs w:val="20"/>
                <w:lang w:eastAsia="ru-RU"/>
              </w:rPr>
            </w:pPr>
            <w:r>
              <w:rPr>
                <w:rFonts w:eastAsia="Times New Roman"/>
                <w:color w:val="000000"/>
                <w:sz w:val="20"/>
                <w:szCs w:val="20"/>
                <w:lang w:eastAsia="ru-RU"/>
              </w:rPr>
              <w:t>явка 100 %</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5"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6" w:type="dxa"/>
            <w:vAlign w:val="center"/>
          </w:tcPr>
          <w:p w:rsidR="00185EE3"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 xml:space="preserve">8 из 8, </w:t>
            </w:r>
          </w:p>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явка 100 %</w:t>
            </w:r>
          </w:p>
        </w:tc>
        <w:tc>
          <w:tcPr>
            <w:tcW w:w="1337"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r>
      <w:tr w:rsidR="00862BFA" w:rsidRPr="004761E0" w:rsidTr="004D5027">
        <w:trPr>
          <w:trHeight w:val="273"/>
        </w:trPr>
        <w:tc>
          <w:tcPr>
            <w:tcW w:w="555" w:type="dxa"/>
            <w:shd w:val="clear" w:color="auto" w:fill="auto"/>
            <w:vAlign w:val="center"/>
          </w:tcPr>
          <w:p w:rsidR="00862BFA" w:rsidRPr="004761E0" w:rsidRDefault="00862BFA" w:rsidP="007076A7">
            <w:pPr>
              <w:pStyle w:val="a5"/>
              <w:numPr>
                <w:ilvl w:val="0"/>
                <w:numId w:val="27"/>
              </w:numPr>
              <w:tabs>
                <w:tab w:val="left" w:pos="333"/>
              </w:tabs>
              <w:ind w:left="0" w:firstLine="0"/>
              <w:contextualSpacing w:val="0"/>
              <w:jc w:val="left"/>
              <w:rPr>
                <w:rFonts w:eastAsia="Times New Roman"/>
                <w:color w:val="000000"/>
                <w:sz w:val="20"/>
                <w:szCs w:val="20"/>
                <w:lang w:eastAsia="ru-RU"/>
              </w:rPr>
            </w:pPr>
          </w:p>
        </w:tc>
        <w:tc>
          <w:tcPr>
            <w:tcW w:w="1997" w:type="dxa"/>
            <w:shd w:val="clear" w:color="auto" w:fill="auto"/>
            <w:vAlign w:val="center"/>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Никитин С.А.</w:t>
            </w:r>
          </w:p>
        </w:tc>
        <w:tc>
          <w:tcPr>
            <w:tcW w:w="4111" w:type="dxa"/>
            <w:shd w:val="clear" w:color="auto" w:fill="auto"/>
            <w:vAlign w:val="center"/>
          </w:tcPr>
          <w:p w:rsidR="00862BFA" w:rsidRPr="004761E0" w:rsidRDefault="00862BFA" w:rsidP="000414BD">
            <w:pPr>
              <w:ind w:firstLine="0"/>
              <w:jc w:val="left"/>
              <w:rPr>
                <w:rFonts w:eastAsia="Times New Roman"/>
                <w:color w:val="000000"/>
                <w:sz w:val="20"/>
                <w:szCs w:val="20"/>
                <w:lang w:eastAsia="ru-RU"/>
              </w:rPr>
            </w:pPr>
            <w:r w:rsidRPr="004761E0">
              <w:rPr>
                <w:rFonts w:eastAsia="Times New Roman"/>
                <w:color w:val="000000"/>
                <w:sz w:val="20"/>
                <w:szCs w:val="20"/>
                <w:lang w:eastAsia="ru-RU"/>
              </w:rPr>
              <w:t>Заме</w:t>
            </w:r>
            <w:r w:rsidR="003B2247">
              <w:rPr>
                <w:rFonts w:eastAsia="Times New Roman"/>
                <w:color w:val="000000"/>
                <w:sz w:val="20"/>
                <w:szCs w:val="20"/>
                <w:lang w:eastAsia="ru-RU"/>
              </w:rPr>
              <w:t>ститель г</w:t>
            </w:r>
            <w:r w:rsidRPr="004761E0">
              <w:rPr>
                <w:rFonts w:eastAsia="Times New Roman"/>
                <w:color w:val="000000"/>
                <w:sz w:val="20"/>
                <w:szCs w:val="20"/>
                <w:lang w:eastAsia="ru-RU"/>
              </w:rPr>
              <w:t xml:space="preserve">енерального директора – </w:t>
            </w:r>
            <w:r w:rsidR="000414BD">
              <w:rPr>
                <w:rFonts w:eastAsia="Times New Roman"/>
                <w:color w:val="000000"/>
                <w:sz w:val="20"/>
                <w:szCs w:val="20"/>
                <w:lang w:eastAsia="ru-RU"/>
              </w:rPr>
              <w:t>н</w:t>
            </w:r>
            <w:r w:rsidRPr="004761E0">
              <w:rPr>
                <w:rFonts w:eastAsia="Times New Roman"/>
                <w:color w:val="000000"/>
                <w:sz w:val="20"/>
                <w:szCs w:val="20"/>
                <w:lang w:eastAsia="ru-RU"/>
              </w:rPr>
              <w:t xml:space="preserve">ачальник Управления методологии, организации и контроля проектной деятельности  </w:t>
            </w:r>
            <w:r w:rsidR="0008080E">
              <w:rPr>
                <w:rFonts w:eastAsia="Times New Roman"/>
                <w:color w:val="000000"/>
                <w:sz w:val="20"/>
                <w:szCs w:val="20"/>
                <w:lang w:eastAsia="ru-RU"/>
              </w:rPr>
              <w:t>ЗАО </w:t>
            </w:r>
            <w:r w:rsidRPr="004761E0">
              <w:rPr>
                <w:rFonts w:eastAsia="Times New Roman"/>
                <w:color w:val="000000"/>
                <w:sz w:val="20"/>
                <w:szCs w:val="20"/>
                <w:lang w:eastAsia="ru-RU"/>
              </w:rPr>
              <w:t>«Лидер» (Компании по управлению активами пенсионного фонда)</w:t>
            </w:r>
          </w:p>
        </w:tc>
        <w:tc>
          <w:tcPr>
            <w:tcW w:w="1417" w:type="dxa"/>
            <w:vAlign w:val="center"/>
          </w:tcPr>
          <w:p w:rsidR="00862BFA" w:rsidRPr="004761E0"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2013-2014</w:t>
            </w:r>
          </w:p>
        </w:tc>
        <w:tc>
          <w:tcPr>
            <w:tcW w:w="1843" w:type="dxa"/>
            <w:vAlign w:val="center"/>
          </w:tcPr>
          <w:p w:rsidR="00185EE3"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13</w:t>
            </w:r>
            <w:r>
              <w:rPr>
                <w:rFonts w:eastAsia="Times New Roman"/>
                <w:color w:val="000000"/>
                <w:sz w:val="20"/>
                <w:szCs w:val="20"/>
                <w:lang w:eastAsia="ru-RU"/>
              </w:rPr>
              <w:t xml:space="preserve"> из 13, </w:t>
            </w:r>
          </w:p>
          <w:p w:rsidR="00862BFA" w:rsidRPr="004761E0" w:rsidRDefault="00862BFA" w:rsidP="006B4FAE">
            <w:pPr>
              <w:ind w:firstLine="0"/>
              <w:jc w:val="right"/>
              <w:rPr>
                <w:rFonts w:eastAsia="Times New Roman"/>
                <w:color w:val="000000"/>
                <w:sz w:val="20"/>
                <w:szCs w:val="20"/>
                <w:lang w:eastAsia="ru-RU"/>
              </w:rPr>
            </w:pPr>
            <w:r>
              <w:rPr>
                <w:rFonts w:eastAsia="Times New Roman"/>
                <w:color w:val="000000"/>
                <w:sz w:val="20"/>
                <w:szCs w:val="20"/>
                <w:lang w:eastAsia="ru-RU"/>
              </w:rPr>
              <w:t>явка 100 %</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5" w:type="dxa"/>
            <w:vAlign w:val="center"/>
          </w:tcPr>
          <w:p w:rsidR="00185EE3"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 xml:space="preserve">6 из 7, </w:t>
            </w:r>
          </w:p>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явка 85,7 %</w:t>
            </w:r>
          </w:p>
        </w:tc>
        <w:tc>
          <w:tcPr>
            <w:tcW w:w="1276"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337"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r>
      <w:tr w:rsidR="00862BFA" w:rsidRPr="004761E0" w:rsidTr="004D5027">
        <w:trPr>
          <w:trHeight w:val="600"/>
        </w:trPr>
        <w:tc>
          <w:tcPr>
            <w:tcW w:w="555" w:type="dxa"/>
            <w:shd w:val="clear" w:color="auto" w:fill="auto"/>
            <w:vAlign w:val="center"/>
          </w:tcPr>
          <w:p w:rsidR="00862BFA" w:rsidRPr="004761E0" w:rsidRDefault="00862BFA" w:rsidP="007076A7">
            <w:pPr>
              <w:pStyle w:val="a5"/>
              <w:numPr>
                <w:ilvl w:val="0"/>
                <w:numId w:val="27"/>
              </w:numPr>
              <w:tabs>
                <w:tab w:val="left" w:pos="333"/>
              </w:tabs>
              <w:ind w:left="0" w:firstLine="0"/>
              <w:contextualSpacing w:val="0"/>
              <w:jc w:val="left"/>
              <w:rPr>
                <w:rFonts w:eastAsia="Times New Roman"/>
                <w:color w:val="000000"/>
                <w:sz w:val="20"/>
                <w:szCs w:val="20"/>
                <w:lang w:eastAsia="ru-RU"/>
              </w:rPr>
            </w:pPr>
          </w:p>
        </w:tc>
        <w:tc>
          <w:tcPr>
            <w:tcW w:w="1997" w:type="dxa"/>
            <w:shd w:val="clear" w:color="auto" w:fill="auto"/>
            <w:vAlign w:val="center"/>
            <w:hideMark/>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Нуждов А.В.</w:t>
            </w:r>
          </w:p>
        </w:tc>
        <w:tc>
          <w:tcPr>
            <w:tcW w:w="4111" w:type="dxa"/>
            <w:shd w:val="clear" w:color="auto" w:fill="auto"/>
            <w:vAlign w:val="center"/>
            <w:hideMark/>
          </w:tcPr>
          <w:p w:rsidR="00862BFA" w:rsidRPr="004761E0" w:rsidRDefault="00862BFA" w:rsidP="003B2247">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Заместитель </w:t>
            </w:r>
            <w:r w:rsidR="003B2247">
              <w:rPr>
                <w:rFonts w:eastAsia="Times New Roman"/>
                <w:color w:val="000000"/>
                <w:sz w:val="20"/>
                <w:szCs w:val="20"/>
                <w:lang w:eastAsia="ru-RU"/>
              </w:rPr>
              <w:t>г</w:t>
            </w:r>
            <w:r w:rsidRPr="004761E0">
              <w:rPr>
                <w:rFonts w:eastAsia="Times New Roman"/>
                <w:color w:val="000000"/>
                <w:sz w:val="20"/>
                <w:szCs w:val="20"/>
                <w:lang w:eastAsia="ru-RU"/>
              </w:rPr>
              <w:t xml:space="preserve">енерального директора по безопасности </w:t>
            </w:r>
            <w:r w:rsidR="0008080E">
              <w:rPr>
                <w:rFonts w:eastAsia="Times New Roman"/>
                <w:color w:val="000000"/>
                <w:sz w:val="20"/>
                <w:szCs w:val="20"/>
                <w:lang w:eastAsia="ru-RU"/>
              </w:rPr>
              <w:t>ЗАО </w:t>
            </w:r>
            <w:r w:rsidRPr="004761E0">
              <w:rPr>
                <w:rFonts w:eastAsia="Times New Roman"/>
                <w:color w:val="000000"/>
                <w:sz w:val="20"/>
                <w:szCs w:val="20"/>
                <w:lang w:eastAsia="ru-RU"/>
              </w:rPr>
              <w:t>«Лидер» (Компании по управлению активами пенсионного фонда)</w:t>
            </w:r>
          </w:p>
        </w:tc>
        <w:tc>
          <w:tcPr>
            <w:tcW w:w="1417" w:type="dxa"/>
            <w:vAlign w:val="center"/>
          </w:tcPr>
          <w:p w:rsidR="00862BFA" w:rsidRPr="004761E0"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2012-2013/</w:t>
            </w:r>
            <w:r w:rsidRPr="004761E0">
              <w:rPr>
                <w:rFonts w:eastAsia="Times New Roman"/>
                <w:color w:val="000000"/>
                <w:sz w:val="20"/>
                <w:szCs w:val="20"/>
                <w:lang w:eastAsia="ru-RU"/>
              </w:rPr>
              <w:br/>
              <w:t xml:space="preserve">2013-2014 </w:t>
            </w:r>
          </w:p>
        </w:tc>
        <w:tc>
          <w:tcPr>
            <w:tcW w:w="1843" w:type="dxa"/>
            <w:vAlign w:val="center"/>
          </w:tcPr>
          <w:p w:rsidR="00185EE3"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28</w:t>
            </w:r>
            <w:r>
              <w:rPr>
                <w:rFonts w:eastAsia="Times New Roman"/>
                <w:color w:val="000000"/>
                <w:sz w:val="20"/>
                <w:szCs w:val="20"/>
                <w:lang w:eastAsia="ru-RU"/>
              </w:rPr>
              <w:t xml:space="preserve"> из 28, </w:t>
            </w:r>
          </w:p>
          <w:p w:rsidR="00862BFA" w:rsidRPr="004761E0" w:rsidRDefault="00862BFA" w:rsidP="006B4FAE">
            <w:pPr>
              <w:ind w:firstLine="0"/>
              <w:jc w:val="right"/>
              <w:rPr>
                <w:rFonts w:eastAsia="Times New Roman"/>
                <w:color w:val="000000"/>
                <w:sz w:val="20"/>
                <w:szCs w:val="20"/>
                <w:lang w:eastAsia="ru-RU"/>
              </w:rPr>
            </w:pPr>
            <w:r>
              <w:rPr>
                <w:rFonts w:eastAsia="Times New Roman"/>
                <w:color w:val="000000"/>
                <w:sz w:val="20"/>
                <w:szCs w:val="20"/>
                <w:lang w:eastAsia="ru-RU"/>
              </w:rPr>
              <w:t>явка 100 %</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5" w:type="dxa"/>
            <w:vAlign w:val="center"/>
          </w:tcPr>
          <w:p w:rsidR="00185EE3"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 xml:space="preserve">7 из 17, </w:t>
            </w:r>
          </w:p>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 xml:space="preserve">явка 41,2 % </w:t>
            </w:r>
          </w:p>
        </w:tc>
        <w:tc>
          <w:tcPr>
            <w:tcW w:w="1276"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337"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r>
      <w:tr w:rsidR="00862BFA" w:rsidRPr="004761E0" w:rsidTr="004D5027">
        <w:trPr>
          <w:trHeight w:val="506"/>
        </w:trPr>
        <w:tc>
          <w:tcPr>
            <w:tcW w:w="555" w:type="dxa"/>
            <w:shd w:val="clear" w:color="auto" w:fill="auto"/>
            <w:vAlign w:val="center"/>
          </w:tcPr>
          <w:p w:rsidR="00862BFA" w:rsidRPr="004761E0" w:rsidRDefault="00862BFA" w:rsidP="007076A7">
            <w:pPr>
              <w:pStyle w:val="a5"/>
              <w:numPr>
                <w:ilvl w:val="0"/>
                <w:numId w:val="27"/>
              </w:numPr>
              <w:tabs>
                <w:tab w:val="left" w:pos="333"/>
              </w:tabs>
              <w:ind w:left="0" w:firstLine="0"/>
              <w:contextualSpacing w:val="0"/>
              <w:jc w:val="left"/>
              <w:rPr>
                <w:rFonts w:eastAsia="Times New Roman"/>
                <w:color w:val="000000"/>
                <w:sz w:val="20"/>
                <w:szCs w:val="20"/>
                <w:lang w:eastAsia="ru-RU"/>
              </w:rPr>
            </w:pPr>
          </w:p>
        </w:tc>
        <w:tc>
          <w:tcPr>
            <w:tcW w:w="1997" w:type="dxa"/>
            <w:shd w:val="clear" w:color="auto" w:fill="auto"/>
            <w:vAlign w:val="center"/>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Панкстьянов Ю.Н.</w:t>
            </w:r>
          </w:p>
        </w:tc>
        <w:tc>
          <w:tcPr>
            <w:tcW w:w="4111" w:type="dxa"/>
            <w:shd w:val="clear" w:color="auto" w:fill="auto"/>
            <w:vAlign w:val="center"/>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Начальник Департамента тарифообразования </w:t>
            </w:r>
            <w:r w:rsidR="0008080E">
              <w:rPr>
                <w:rFonts w:eastAsia="Times New Roman"/>
                <w:color w:val="000000"/>
                <w:sz w:val="20"/>
                <w:szCs w:val="20"/>
                <w:lang w:eastAsia="ru-RU"/>
              </w:rPr>
              <w:t>ОАО </w:t>
            </w:r>
            <w:r w:rsidRPr="004761E0">
              <w:rPr>
                <w:rFonts w:eastAsia="Times New Roman"/>
                <w:color w:val="000000"/>
                <w:sz w:val="20"/>
                <w:szCs w:val="20"/>
                <w:lang w:eastAsia="ru-RU"/>
              </w:rPr>
              <w:t xml:space="preserve">«Холдинг МРСК»   </w:t>
            </w:r>
          </w:p>
        </w:tc>
        <w:tc>
          <w:tcPr>
            <w:tcW w:w="1417" w:type="dxa"/>
            <w:vAlign w:val="center"/>
          </w:tcPr>
          <w:p w:rsidR="00862BFA" w:rsidRPr="004761E0"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2013-2014</w:t>
            </w:r>
          </w:p>
        </w:tc>
        <w:tc>
          <w:tcPr>
            <w:tcW w:w="1843" w:type="dxa"/>
            <w:vAlign w:val="center"/>
          </w:tcPr>
          <w:p w:rsidR="00185EE3"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13</w:t>
            </w:r>
            <w:r>
              <w:rPr>
                <w:rFonts w:eastAsia="Times New Roman"/>
                <w:color w:val="000000"/>
                <w:sz w:val="20"/>
                <w:szCs w:val="20"/>
                <w:lang w:eastAsia="ru-RU"/>
              </w:rPr>
              <w:t xml:space="preserve"> из 13, </w:t>
            </w:r>
          </w:p>
          <w:p w:rsidR="00862BFA" w:rsidRPr="004761E0" w:rsidRDefault="00862BFA" w:rsidP="006B4FAE">
            <w:pPr>
              <w:ind w:firstLine="0"/>
              <w:jc w:val="right"/>
              <w:rPr>
                <w:rFonts w:eastAsia="Times New Roman"/>
                <w:color w:val="000000"/>
                <w:sz w:val="20"/>
                <w:szCs w:val="20"/>
                <w:lang w:eastAsia="ru-RU"/>
              </w:rPr>
            </w:pPr>
            <w:r>
              <w:rPr>
                <w:rFonts w:eastAsia="Times New Roman"/>
                <w:color w:val="000000"/>
                <w:sz w:val="20"/>
                <w:szCs w:val="20"/>
                <w:lang w:eastAsia="ru-RU"/>
              </w:rPr>
              <w:t>явка 100 %</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5"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6"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337"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r>
      <w:tr w:rsidR="00862BFA" w:rsidRPr="004761E0" w:rsidTr="004D5027">
        <w:trPr>
          <w:trHeight w:val="506"/>
        </w:trPr>
        <w:tc>
          <w:tcPr>
            <w:tcW w:w="555" w:type="dxa"/>
            <w:shd w:val="clear" w:color="auto" w:fill="auto"/>
            <w:vAlign w:val="center"/>
          </w:tcPr>
          <w:p w:rsidR="00862BFA" w:rsidRPr="004761E0" w:rsidRDefault="00862BFA" w:rsidP="007076A7">
            <w:pPr>
              <w:pStyle w:val="a5"/>
              <w:numPr>
                <w:ilvl w:val="0"/>
                <w:numId w:val="27"/>
              </w:numPr>
              <w:tabs>
                <w:tab w:val="left" w:pos="333"/>
              </w:tabs>
              <w:ind w:left="0" w:firstLine="0"/>
              <w:contextualSpacing w:val="0"/>
              <w:jc w:val="left"/>
              <w:rPr>
                <w:rFonts w:eastAsia="Times New Roman"/>
                <w:color w:val="000000"/>
                <w:sz w:val="20"/>
                <w:szCs w:val="20"/>
                <w:lang w:eastAsia="ru-RU"/>
              </w:rPr>
            </w:pPr>
          </w:p>
        </w:tc>
        <w:tc>
          <w:tcPr>
            <w:tcW w:w="1997" w:type="dxa"/>
            <w:shd w:val="clear" w:color="auto" w:fill="auto"/>
            <w:vAlign w:val="center"/>
            <w:hideMark/>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Седунов В.Н.</w:t>
            </w:r>
          </w:p>
        </w:tc>
        <w:tc>
          <w:tcPr>
            <w:tcW w:w="4111" w:type="dxa"/>
            <w:shd w:val="clear" w:color="auto" w:fill="auto"/>
            <w:vAlign w:val="center"/>
            <w:hideMark/>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Генеральный директор филиала </w:t>
            </w:r>
            <w:r w:rsidR="0008080E">
              <w:rPr>
                <w:rFonts w:eastAsia="Times New Roman"/>
                <w:color w:val="000000"/>
                <w:sz w:val="20"/>
                <w:szCs w:val="20"/>
                <w:lang w:eastAsia="ru-RU"/>
              </w:rPr>
              <w:t>ОАО </w:t>
            </w:r>
            <w:r w:rsidRPr="004761E0">
              <w:rPr>
                <w:rFonts w:eastAsia="Times New Roman"/>
                <w:color w:val="000000"/>
                <w:sz w:val="20"/>
                <w:szCs w:val="20"/>
                <w:lang w:eastAsia="ru-RU"/>
              </w:rPr>
              <w:t>«ФСК ЕЭС» - МЭС Центра</w:t>
            </w:r>
          </w:p>
        </w:tc>
        <w:tc>
          <w:tcPr>
            <w:tcW w:w="1417" w:type="dxa"/>
            <w:vAlign w:val="center"/>
          </w:tcPr>
          <w:p w:rsidR="00862BFA" w:rsidRPr="004761E0"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 xml:space="preserve">2012-2013 </w:t>
            </w:r>
          </w:p>
        </w:tc>
        <w:tc>
          <w:tcPr>
            <w:tcW w:w="1843" w:type="dxa"/>
            <w:vAlign w:val="center"/>
          </w:tcPr>
          <w:p w:rsidR="00185EE3"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15</w:t>
            </w:r>
            <w:r>
              <w:rPr>
                <w:rFonts w:eastAsia="Times New Roman"/>
                <w:color w:val="000000"/>
                <w:sz w:val="20"/>
                <w:szCs w:val="20"/>
                <w:lang w:eastAsia="ru-RU"/>
              </w:rPr>
              <w:t xml:space="preserve"> из 15, </w:t>
            </w:r>
          </w:p>
          <w:p w:rsidR="00862BFA" w:rsidRPr="004761E0" w:rsidRDefault="00862BFA" w:rsidP="006B4FAE">
            <w:pPr>
              <w:ind w:firstLine="0"/>
              <w:jc w:val="right"/>
              <w:rPr>
                <w:rFonts w:eastAsia="Times New Roman"/>
                <w:color w:val="000000"/>
                <w:sz w:val="20"/>
                <w:szCs w:val="20"/>
                <w:lang w:eastAsia="ru-RU"/>
              </w:rPr>
            </w:pPr>
            <w:r>
              <w:rPr>
                <w:rFonts w:eastAsia="Times New Roman"/>
                <w:color w:val="000000"/>
                <w:sz w:val="20"/>
                <w:szCs w:val="20"/>
                <w:lang w:eastAsia="ru-RU"/>
              </w:rPr>
              <w:t>явка 100 %</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5"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6" w:type="dxa"/>
            <w:vAlign w:val="center"/>
          </w:tcPr>
          <w:p w:rsidR="00185EE3"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 xml:space="preserve">8 из 8, </w:t>
            </w:r>
          </w:p>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явка 100 %</w:t>
            </w:r>
          </w:p>
        </w:tc>
        <w:tc>
          <w:tcPr>
            <w:tcW w:w="1337" w:type="dxa"/>
            <w:vAlign w:val="center"/>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11 из 11, явка 100 %</w:t>
            </w:r>
          </w:p>
        </w:tc>
      </w:tr>
      <w:tr w:rsidR="00862BFA" w:rsidRPr="004761E0" w:rsidTr="004D5027">
        <w:trPr>
          <w:trHeight w:val="470"/>
        </w:trPr>
        <w:tc>
          <w:tcPr>
            <w:tcW w:w="555" w:type="dxa"/>
            <w:shd w:val="clear" w:color="auto" w:fill="auto"/>
            <w:vAlign w:val="center"/>
          </w:tcPr>
          <w:p w:rsidR="00862BFA" w:rsidRPr="004761E0" w:rsidRDefault="00862BFA" w:rsidP="007076A7">
            <w:pPr>
              <w:pStyle w:val="a5"/>
              <w:numPr>
                <w:ilvl w:val="0"/>
                <w:numId w:val="27"/>
              </w:numPr>
              <w:tabs>
                <w:tab w:val="left" w:pos="333"/>
              </w:tabs>
              <w:ind w:left="0" w:firstLine="0"/>
              <w:contextualSpacing w:val="0"/>
              <w:jc w:val="left"/>
              <w:rPr>
                <w:rFonts w:eastAsia="Times New Roman"/>
                <w:color w:val="000000"/>
                <w:sz w:val="20"/>
                <w:szCs w:val="20"/>
                <w:lang w:eastAsia="ru-RU"/>
              </w:rPr>
            </w:pPr>
          </w:p>
        </w:tc>
        <w:tc>
          <w:tcPr>
            <w:tcW w:w="1997" w:type="dxa"/>
            <w:shd w:val="clear" w:color="auto" w:fill="auto"/>
            <w:vAlign w:val="center"/>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Семин Н.А.</w:t>
            </w:r>
          </w:p>
        </w:tc>
        <w:tc>
          <w:tcPr>
            <w:tcW w:w="4111" w:type="dxa"/>
            <w:shd w:val="clear" w:color="auto" w:fill="auto"/>
            <w:vAlign w:val="center"/>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Вице-президент НПФ «ГАЗФОНД»</w:t>
            </w:r>
          </w:p>
        </w:tc>
        <w:tc>
          <w:tcPr>
            <w:tcW w:w="1417" w:type="dxa"/>
            <w:vAlign w:val="center"/>
          </w:tcPr>
          <w:p w:rsidR="00862BFA" w:rsidRPr="004761E0"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2013-2014</w:t>
            </w:r>
          </w:p>
        </w:tc>
        <w:tc>
          <w:tcPr>
            <w:tcW w:w="1843" w:type="dxa"/>
            <w:vAlign w:val="center"/>
          </w:tcPr>
          <w:p w:rsidR="00185EE3" w:rsidRDefault="00862BFA" w:rsidP="00B6020E">
            <w:pPr>
              <w:ind w:firstLine="0"/>
              <w:jc w:val="right"/>
              <w:rPr>
                <w:rFonts w:eastAsia="Times New Roman"/>
                <w:color w:val="000000"/>
                <w:sz w:val="20"/>
                <w:szCs w:val="20"/>
                <w:lang w:eastAsia="ru-RU"/>
              </w:rPr>
            </w:pPr>
            <w:r w:rsidRPr="004761E0">
              <w:rPr>
                <w:rFonts w:eastAsia="Times New Roman"/>
                <w:color w:val="000000"/>
                <w:sz w:val="20"/>
                <w:szCs w:val="20"/>
                <w:lang w:eastAsia="ru-RU"/>
              </w:rPr>
              <w:t>13</w:t>
            </w:r>
            <w:r>
              <w:rPr>
                <w:rFonts w:eastAsia="Times New Roman"/>
                <w:color w:val="000000"/>
                <w:sz w:val="20"/>
                <w:szCs w:val="20"/>
                <w:lang w:eastAsia="ru-RU"/>
              </w:rPr>
              <w:t xml:space="preserve"> из 13, </w:t>
            </w:r>
          </w:p>
          <w:p w:rsidR="00862BFA" w:rsidRPr="004761E0" w:rsidRDefault="00862BFA" w:rsidP="00B6020E">
            <w:pPr>
              <w:ind w:firstLine="0"/>
              <w:jc w:val="right"/>
              <w:rPr>
                <w:rFonts w:eastAsia="Times New Roman"/>
                <w:color w:val="000000"/>
                <w:sz w:val="20"/>
                <w:szCs w:val="20"/>
                <w:lang w:eastAsia="ru-RU"/>
              </w:rPr>
            </w:pPr>
            <w:r>
              <w:rPr>
                <w:rFonts w:eastAsia="Times New Roman"/>
                <w:color w:val="000000"/>
                <w:sz w:val="20"/>
                <w:szCs w:val="20"/>
                <w:lang w:eastAsia="ru-RU"/>
              </w:rPr>
              <w:t xml:space="preserve">явка 100 % </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5"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6"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337"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r>
      <w:tr w:rsidR="00862BFA" w:rsidRPr="004761E0" w:rsidTr="004D5027">
        <w:trPr>
          <w:trHeight w:val="470"/>
        </w:trPr>
        <w:tc>
          <w:tcPr>
            <w:tcW w:w="555" w:type="dxa"/>
            <w:shd w:val="clear" w:color="auto" w:fill="auto"/>
            <w:vAlign w:val="center"/>
          </w:tcPr>
          <w:p w:rsidR="00862BFA" w:rsidRPr="004761E0" w:rsidRDefault="00862BFA" w:rsidP="007076A7">
            <w:pPr>
              <w:pStyle w:val="a5"/>
              <w:numPr>
                <w:ilvl w:val="0"/>
                <w:numId w:val="27"/>
              </w:numPr>
              <w:tabs>
                <w:tab w:val="left" w:pos="333"/>
              </w:tabs>
              <w:ind w:left="0" w:firstLine="0"/>
              <w:contextualSpacing w:val="0"/>
              <w:jc w:val="left"/>
              <w:rPr>
                <w:rFonts w:eastAsia="Times New Roman"/>
                <w:color w:val="000000"/>
                <w:sz w:val="20"/>
                <w:szCs w:val="20"/>
                <w:lang w:eastAsia="ru-RU"/>
              </w:rPr>
            </w:pPr>
          </w:p>
        </w:tc>
        <w:tc>
          <w:tcPr>
            <w:tcW w:w="1997" w:type="dxa"/>
            <w:shd w:val="clear" w:color="auto" w:fill="auto"/>
            <w:vAlign w:val="center"/>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Синютин П.А.</w:t>
            </w:r>
          </w:p>
        </w:tc>
        <w:tc>
          <w:tcPr>
            <w:tcW w:w="4111" w:type="dxa"/>
            <w:shd w:val="clear" w:color="auto" w:fill="auto"/>
            <w:vAlign w:val="center"/>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Генеральный директор </w:t>
            </w:r>
            <w:r w:rsidR="0008080E">
              <w:rPr>
                <w:rFonts w:eastAsia="Times New Roman"/>
                <w:color w:val="000000"/>
                <w:sz w:val="20"/>
                <w:szCs w:val="20"/>
                <w:lang w:eastAsia="ru-RU"/>
              </w:rPr>
              <w:t>ОАО </w:t>
            </w:r>
            <w:r w:rsidRPr="004761E0">
              <w:rPr>
                <w:rFonts w:eastAsia="Times New Roman"/>
                <w:color w:val="000000"/>
                <w:sz w:val="20"/>
                <w:szCs w:val="20"/>
                <w:lang w:eastAsia="ru-RU"/>
              </w:rPr>
              <w:t>«МОЭСК»</w:t>
            </w:r>
          </w:p>
        </w:tc>
        <w:tc>
          <w:tcPr>
            <w:tcW w:w="1417" w:type="dxa"/>
            <w:vAlign w:val="center"/>
          </w:tcPr>
          <w:p w:rsidR="00862BFA" w:rsidRPr="004761E0"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2013-2014</w:t>
            </w:r>
          </w:p>
        </w:tc>
        <w:tc>
          <w:tcPr>
            <w:tcW w:w="1843" w:type="dxa"/>
            <w:vAlign w:val="center"/>
          </w:tcPr>
          <w:p w:rsidR="00185EE3"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13</w:t>
            </w:r>
            <w:r>
              <w:rPr>
                <w:rFonts w:eastAsia="Times New Roman"/>
                <w:color w:val="000000"/>
                <w:sz w:val="20"/>
                <w:szCs w:val="20"/>
                <w:lang w:eastAsia="ru-RU"/>
              </w:rPr>
              <w:t xml:space="preserve"> из 13, </w:t>
            </w:r>
          </w:p>
          <w:p w:rsidR="00862BFA" w:rsidRPr="004761E0" w:rsidRDefault="00862BFA" w:rsidP="006B4FAE">
            <w:pPr>
              <w:ind w:firstLine="0"/>
              <w:jc w:val="right"/>
              <w:rPr>
                <w:rFonts w:eastAsia="Times New Roman"/>
                <w:color w:val="000000"/>
                <w:sz w:val="20"/>
                <w:szCs w:val="20"/>
                <w:lang w:eastAsia="ru-RU"/>
              </w:rPr>
            </w:pPr>
            <w:r>
              <w:rPr>
                <w:rFonts w:eastAsia="Times New Roman"/>
                <w:color w:val="000000"/>
                <w:sz w:val="20"/>
                <w:szCs w:val="20"/>
                <w:lang w:eastAsia="ru-RU"/>
              </w:rPr>
              <w:t xml:space="preserve">явка 100 % </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5" w:type="dxa"/>
            <w:vAlign w:val="center"/>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14 из 17, явка  82,4 %</w:t>
            </w:r>
          </w:p>
        </w:tc>
        <w:tc>
          <w:tcPr>
            <w:tcW w:w="1276"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337"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r>
      <w:tr w:rsidR="00862BFA" w:rsidRPr="004761E0" w:rsidTr="004D5027">
        <w:trPr>
          <w:trHeight w:val="470"/>
        </w:trPr>
        <w:tc>
          <w:tcPr>
            <w:tcW w:w="555" w:type="dxa"/>
            <w:shd w:val="clear" w:color="auto" w:fill="auto"/>
            <w:vAlign w:val="center"/>
          </w:tcPr>
          <w:p w:rsidR="00862BFA" w:rsidRPr="004761E0" w:rsidRDefault="00862BFA" w:rsidP="007076A7">
            <w:pPr>
              <w:pStyle w:val="a5"/>
              <w:numPr>
                <w:ilvl w:val="0"/>
                <w:numId w:val="27"/>
              </w:numPr>
              <w:tabs>
                <w:tab w:val="left" w:pos="333"/>
              </w:tabs>
              <w:ind w:left="0" w:firstLine="0"/>
              <w:contextualSpacing w:val="0"/>
              <w:jc w:val="left"/>
              <w:rPr>
                <w:rFonts w:eastAsia="Times New Roman"/>
                <w:color w:val="000000"/>
                <w:sz w:val="20"/>
                <w:szCs w:val="20"/>
                <w:lang w:eastAsia="ru-RU"/>
              </w:rPr>
            </w:pPr>
          </w:p>
        </w:tc>
        <w:tc>
          <w:tcPr>
            <w:tcW w:w="1997" w:type="dxa"/>
            <w:shd w:val="clear" w:color="auto" w:fill="auto"/>
            <w:vAlign w:val="center"/>
            <w:hideMark/>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Скляров Е.В.</w:t>
            </w:r>
          </w:p>
        </w:tc>
        <w:tc>
          <w:tcPr>
            <w:tcW w:w="4111" w:type="dxa"/>
            <w:shd w:val="clear" w:color="auto" w:fill="auto"/>
            <w:vAlign w:val="center"/>
            <w:hideMark/>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Руководитель Департамента топливно-энергетического хозяйства г. Москвы</w:t>
            </w:r>
          </w:p>
        </w:tc>
        <w:tc>
          <w:tcPr>
            <w:tcW w:w="1417" w:type="dxa"/>
            <w:vAlign w:val="center"/>
          </w:tcPr>
          <w:p w:rsidR="00862BFA" w:rsidRPr="004761E0"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 xml:space="preserve">2012-2013 </w:t>
            </w:r>
          </w:p>
        </w:tc>
        <w:tc>
          <w:tcPr>
            <w:tcW w:w="1843" w:type="dxa"/>
            <w:vAlign w:val="center"/>
          </w:tcPr>
          <w:p w:rsidR="00185EE3" w:rsidRDefault="00862BFA" w:rsidP="00B6020E">
            <w:pPr>
              <w:ind w:firstLine="0"/>
              <w:jc w:val="right"/>
              <w:rPr>
                <w:rFonts w:eastAsia="Times New Roman"/>
                <w:color w:val="000000"/>
                <w:sz w:val="20"/>
                <w:szCs w:val="20"/>
                <w:lang w:eastAsia="ru-RU"/>
              </w:rPr>
            </w:pPr>
            <w:r w:rsidRPr="004761E0">
              <w:rPr>
                <w:rFonts w:eastAsia="Times New Roman"/>
                <w:color w:val="000000"/>
                <w:sz w:val="20"/>
                <w:szCs w:val="20"/>
                <w:lang w:eastAsia="ru-RU"/>
              </w:rPr>
              <w:t>1</w:t>
            </w:r>
            <w:r>
              <w:rPr>
                <w:rFonts w:eastAsia="Times New Roman"/>
                <w:color w:val="000000"/>
                <w:sz w:val="20"/>
                <w:szCs w:val="20"/>
                <w:lang w:eastAsia="ru-RU"/>
              </w:rPr>
              <w:t xml:space="preserve"> из 15, </w:t>
            </w:r>
          </w:p>
          <w:p w:rsidR="00862BFA" w:rsidRPr="004761E0" w:rsidRDefault="00862BFA" w:rsidP="00B6020E">
            <w:pPr>
              <w:ind w:firstLine="0"/>
              <w:jc w:val="right"/>
              <w:rPr>
                <w:rFonts w:eastAsia="Times New Roman"/>
                <w:color w:val="000000"/>
                <w:sz w:val="20"/>
                <w:szCs w:val="20"/>
                <w:lang w:eastAsia="ru-RU"/>
              </w:rPr>
            </w:pPr>
            <w:r>
              <w:rPr>
                <w:rFonts w:eastAsia="Times New Roman"/>
                <w:color w:val="000000"/>
                <w:sz w:val="20"/>
                <w:szCs w:val="20"/>
                <w:lang w:eastAsia="ru-RU"/>
              </w:rPr>
              <w:t>явка 7 %</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5"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6" w:type="dxa"/>
            <w:vAlign w:val="center"/>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337" w:type="dxa"/>
            <w:vAlign w:val="center"/>
          </w:tcPr>
          <w:p w:rsidR="00185EE3"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 xml:space="preserve">0 из 11, </w:t>
            </w:r>
          </w:p>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явка 0 %</w:t>
            </w:r>
          </w:p>
        </w:tc>
      </w:tr>
      <w:tr w:rsidR="00862BFA" w:rsidRPr="004761E0" w:rsidTr="004D5027">
        <w:trPr>
          <w:trHeight w:val="701"/>
        </w:trPr>
        <w:tc>
          <w:tcPr>
            <w:tcW w:w="555" w:type="dxa"/>
            <w:shd w:val="clear" w:color="auto" w:fill="auto"/>
            <w:vAlign w:val="center"/>
          </w:tcPr>
          <w:p w:rsidR="00862BFA" w:rsidRPr="004761E0" w:rsidRDefault="00862BFA" w:rsidP="007076A7">
            <w:pPr>
              <w:pStyle w:val="a5"/>
              <w:numPr>
                <w:ilvl w:val="0"/>
                <w:numId w:val="27"/>
              </w:numPr>
              <w:tabs>
                <w:tab w:val="left" w:pos="333"/>
              </w:tabs>
              <w:ind w:left="0" w:firstLine="0"/>
              <w:contextualSpacing w:val="0"/>
              <w:jc w:val="left"/>
              <w:rPr>
                <w:rFonts w:eastAsia="Times New Roman"/>
                <w:color w:val="000000"/>
                <w:sz w:val="20"/>
                <w:szCs w:val="20"/>
                <w:lang w:eastAsia="ru-RU"/>
              </w:rPr>
            </w:pPr>
          </w:p>
        </w:tc>
        <w:tc>
          <w:tcPr>
            <w:tcW w:w="1997" w:type="dxa"/>
            <w:shd w:val="clear" w:color="auto" w:fill="auto"/>
            <w:vAlign w:val="center"/>
            <w:hideMark/>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Скрибот В.</w:t>
            </w:r>
          </w:p>
        </w:tc>
        <w:tc>
          <w:tcPr>
            <w:tcW w:w="4111" w:type="dxa"/>
            <w:shd w:val="clear" w:color="auto" w:fill="auto"/>
            <w:vAlign w:val="center"/>
            <w:hideMark/>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Управляющий директор, начальник Управления электроэнергетики и инфраструктурных проектов Департамента прямых инвестиций ГПБ (ОАО)</w:t>
            </w:r>
          </w:p>
        </w:tc>
        <w:tc>
          <w:tcPr>
            <w:tcW w:w="1417" w:type="dxa"/>
            <w:vAlign w:val="center"/>
          </w:tcPr>
          <w:p w:rsidR="00862BFA" w:rsidRPr="004761E0"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2012-2013/</w:t>
            </w:r>
            <w:r w:rsidRPr="004761E0">
              <w:rPr>
                <w:rFonts w:eastAsia="Times New Roman"/>
                <w:color w:val="000000"/>
                <w:sz w:val="20"/>
                <w:szCs w:val="20"/>
                <w:lang w:eastAsia="ru-RU"/>
              </w:rPr>
              <w:br/>
              <w:t xml:space="preserve">2013-2014  </w:t>
            </w:r>
          </w:p>
        </w:tc>
        <w:tc>
          <w:tcPr>
            <w:tcW w:w="1843" w:type="dxa"/>
            <w:vAlign w:val="center"/>
          </w:tcPr>
          <w:p w:rsidR="00185EE3" w:rsidRDefault="00862BFA" w:rsidP="00185EE3">
            <w:pPr>
              <w:ind w:firstLine="0"/>
              <w:jc w:val="right"/>
              <w:rPr>
                <w:rFonts w:eastAsia="Times New Roman"/>
                <w:color w:val="000000"/>
                <w:sz w:val="20"/>
                <w:szCs w:val="20"/>
                <w:lang w:eastAsia="ru-RU"/>
              </w:rPr>
            </w:pPr>
            <w:r w:rsidRPr="004761E0">
              <w:rPr>
                <w:rFonts w:eastAsia="Times New Roman"/>
                <w:color w:val="000000"/>
                <w:sz w:val="20"/>
                <w:szCs w:val="20"/>
                <w:lang w:eastAsia="ru-RU"/>
              </w:rPr>
              <w:t>28</w:t>
            </w:r>
            <w:r>
              <w:rPr>
                <w:rFonts w:eastAsia="Times New Roman"/>
                <w:color w:val="000000"/>
                <w:sz w:val="20"/>
                <w:szCs w:val="20"/>
                <w:lang w:eastAsia="ru-RU"/>
              </w:rPr>
              <w:t xml:space="preserve"> из 28, </w:t>
            </w:r>
          </w:p>
          <w:p w:rsidR="00862BFA" w:rsidRPr="004761E0" w:rsidRDefault="00862BFA" w:rsidP="00185EE3">
            <w:pPr>
              <w:ind w:firstLine="0"/>
              <w:jc w:val="right"/>
              <w:rPr>
                <w:rFonts w:eastAsia="Times New Roman"/>
                <w:color w:val="000000"/>
                <w:sz w:val="20"/>
                <w:szCs w:val="20"/>
                <w:lang w:eastAsia="ru-RU"/>
              </w:rPr>
            </w:pPr>
            <w:r>
              <w:rPr>
                <w:rFonts w:eastAsia="Times New Roman"/>
                <w:color w:val="000000"/>
                <w:sz w:val="20"/>
                <w:szCs w:val="20"/>
                <w:lang w:eastAsia="ru-RU"/>
              </w:rPr>
              <w:t>явка 100 %</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5"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6" w:type="dxa"/>
            <w:vAlign w:val="center"/>
          </w:tcPr>
          <w:p w:rsidR="00185EE3"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 xml:space="preserve">5 из 8, </w:t>
            </w:r>
          </w:p>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явка 62,5 %</w:t>
            </w:r>
          </w:p>
        </w:tc>
        <w:tc>
          <w:tcPr>
            <w:tcW w:w="1337" w:type="dxa"/>
            <w:vAlign w:val="center"/>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10 из 15, явка 66,7 %</w:t>
            </w:r>
          </w:p>
        </w:tc>
      </w:tr>
      <w:tr w:rsidR="00862BFA" w:rsidRPr="004761E0" w:rsidTr="004D5027">
        <w:trPr>
          <w:trHeight w:val="433"/>
        </w:trPr>
        <w:tc>
          <w:tcPr>
            <w:tcW w:w="555" w:type="dxa"/>
            <w:shd w:val="clear" w:color="auto" w:fill="auto"/>
            <w:vAlign w:val="center"/>
          </w:tcPr>
          <w:p w:rsidR="00862BFA" w:rsidRPr="004761E0" w:rsidRDefault="00862BFA" w:rsidP="007076A7">
            <w:pPr>
              <w:pStyle w:val="a5"/>
              <w:numPr>
                <w:ilvl w:val="0"/>
                <w:numId w:val="27"/>
              </w:numPr>
              <w:tabs>
                <w:tab w:val="left" w:pos="333"/>
              </w:tabs>
              <w:ind w:left="0" w:firstLine="0"/>
              <w:contextualSpacing w:val="0"/>
              <w:jc w:val="left"/>
              <w:rPr>
                <w:rFonts w:eastAsia="Times New Roman"/>
                <w:color w:val="000000"/>
                <w:sz w:val="20"/>
                <w:szCs w:val="20"/>
                <w:lang w:eastAsia="ru-RU"/>
              </w:rPr>
            </w:pPr>
          </w:p>
        </w:tc>
        <w:tc>
          <w:tcPr>
            <w:tcW w:w="1997" w:type="dxa"/>
            <w:shd w:val="clear" w:color="auto" w:fill="auto"/>
            <w:vAlign w:val="center"/>
            <w:hideMark/>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Тихонова М.Г.</w:t>
            </w:r>
          </w:p>
        </w:tc>
        <w:tc>
          <w:tcPr>
            <w:tcW w:w="4111" w:type="dxa"/>
            <w:shd w:val="clear" w:color="auto" w:fill="auto"/>
            <w:vAlign w:val="center"/>
            <w:hideMark/>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w:t>
            </w:r>
          </w:p>
        </w:tc>
        <w:tc>
          <w:tcPr>
            <w:tcW w:w="1417" w:type="dxa"/>
            <w:vAlign w:val="center"/>
          </w:tcPr>
          <w:p w:rsidR="00862BFA" w:rsidRPr="004761E0"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 xml:space="preserve">2012-2013 </w:t>
            </w:r>
          </w:p>
        </w:tc>
        <w:tc>
          <w:tcPr>
            <w:tcW w:w="1843" w:type="dxa"/>
            <w:vAlign w:val="center"/>
          </w:tcPr>
          <w:p w:rsidR="00185EE3"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10</w:t>
            </w:r>
            <w:r>
              <w:rPr>
                <w:rFonts w:eastAsia="Times New Roman"/>
                <w:color w:val="000000"/>
                <w:sz w:val="20"/>
                <w:szCs w:val="20"/>
                <w:lang w:eastAsia="ru-RU"/>
              </w:rPr>
              <w:t xml:space="preserve"> из 15, </w:t>
            </w:r>
          </w:p>
          <w:p w:rsidR="00862BFA" w:rsidRPr="004761E0" w:rsidRDefault="00862BFA" w:rsidP="006B4FAE">
            <w:pPr>
              <w:ind w:firstLine="0"/>
              <w:jc w:val="right"/>
              <w:rPr>
                <w:rFonts w:eastAsia="Times New Roman"/>
                <w:color w:val="000000"/>
                <w:sz w:val="20"/>
                <w:szCs w:val="20"/>
                <w:lang w:eastAsia="ru-RU"/>
              </w:rPr>
            </w:pPr>
            <w:r>
              <w:rPr>
                <w:rFonts w:eastAsia="Times New Roman"/>
                <w:color w:val="000000"/>
                <w:sz w:val="20"/>
                <w:szCs w:val="20"/>
                <w:lang w:eastAsia="ru-RU"/>
              </w:rPr>
              <w:t>явка 67 %</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5" w:type="dxa"/>
            <w:vAlign w:val="center"/>
          </w:tcPr>
          <w:p w:rsidR="00185EE3"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 xml:space="preserve">4 из 10, </w:t>
            </w:r>
          </w:p>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 xml:space="preserve">явка 40,0 % </w:t>
            </w:r>
          </w:p>
        </w:tc>
        <w:tc>
          <w:tcPr>
            <w:tcW w:w="1276"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337"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r>
      <w:tr w:rsidR="00862BFA" w:rsidRPr="004761E0" w:rsidTr="004D5027">
        <w:trPr>
          <w:trHeight w:val="608"/>
        </w:trPr>
        <w:tc>
          <w:tcPr>
            <w:tcW w:w="555" w:type="dxa"/>
            <w:shd w:val="clear" w:color="auto" w:fill="auto"/>
            <w:vAlign w:val="center"/>
          </w:tcPr>
          <w:p w:rsidR="00862BFA" w:rsidRPr="004761E0" w:rsidRDefault="00862BFA" w:rsidP="007076A7">
            <w:pPr>
              <w:pStyle w:val="a5"/>
              <w:numPr>
                <w:ilvl w:val="0"/>
                <w:numId w:val="27"/>
              </w:numPr>
              <w:tabs>
                <w:tab w:val="left" w:pos="333"/>
              </w:tabs>
              <w:ind w:left="0" w:firstLine="0"/>
              <w:contextualSpacing w:val="0"/>
              <w:jc w:val="left"/>
              <w:rPr>
                <w:rFonts w:eastAsia="Times New Roman"/>
                <w:color w:val="000000"/>
                <w:sz w:val="20"/>
                <w:szCs w:val="20"/>
                <w:lang w:eastAsia="ru-RU"/>
              </w:rPr>
            </w:pPr>
          </w:p>
        </w:tc>
        <w:tc>
          <w:tcPr>
            <w:tcW w:w="1997" w:type="dxa"/>
            <w:shd w:val="clear" w:color="auto" w:fill="auto"/>
            <w:vAlign w:val="center"/>
            <w:hideMark/>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Хвалин И.В.</w:t>
            </w:r>
          </w:p>
        </w:tc>
        <w:tc>
          <w:tcPr>
            <w:tcW w:w="4111" w:type="dxa"/>
            <w:shd w:val="clear" w:color="auto" w:fill="auto"/>
            <w:vAlign w:val="center"/>
            <w:hideMark/>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Заместитель Председателя Правления </w:t>
            </w:r>
            <w:r w:rsidR="0008080E">
              <w:rPr>
                <w:rFonts w:eastAsia="Times New Roman"/>
                <w:color w:val="000000"/>
                <w:sz w:val="20"/>
                <w:szCs w:val="20"/>
                <w:lang w:eastAsia="ru-RU"/>
              </w:rPr>
              <w:t>ОАО </w:t>
            </w:r>
            <w:r w:rsidRPr="004761E0">
              <w:rPr>
                <w:rFonts w:eastAsia="Times New Roman"/>
                <w:color w:val="000000"/>
                <w:sz w:val="20"/>
                <w:szCs w:val="20"/>
                <w:lang w:eastAsia="ru-RU"/>
              </w:rPr>
              <w:t>«ФСК  ЕЭС»</w:t>
            </w:r>
          </w:p>
        </w:tc>
        <w:tc>
          <w:tcPr>
            <w:tcW w:w="1417" w:type="dxa"/>
            <w:vAlign w:val="center"/>
          </w:tcPr>
          <w:p w:rsidR="00862BFA" w:rsidRPr="004761E0"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 xml:space="preserve">2012-2013 </w:t>
            </w:r>
          </w:p>
        </w:tc>
        <w:tc>
          <w:tcPr>
            <w:tcW w:w="1843" w:type="dxa"/>
            <w:vAlign w:val="center"/>
          </w:tcPr>
          <w:p w:rsidR="00185EE3"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13</w:t>
            </w:r>
            <w:r>
              <w:rPr>
                <w:rFonts w:eastAsia="Times New Roman"/>
                <w:color w:val="000000"/>
                <w:sz w:val="20"/>
                <w:szCs w:val="20"/>
                <w:lang w:eastAsia="ru-RU"/>
              </w:rPr>
              <w:t xml:space="preserve"> из 15, </w:t>
            </w:r>
          </w:p>
          <w:p w:rsidR="00862BFA" w:rsidRPr="004761E0" w:rsidRDefault="00862BFA" w:rsidP="006B4FAE">
            <w:pPr>
              <w:ind w:firstLine="0"/>
              <w:jc w:val="right"/>
              <w:rPr>
                <w:rFonts w:eastAsia="Times New Roman"/>
                <w:color w:val="000000"/>
                <w:sz w:val="20"/>
                <w:szCs w:val="20"/>
                <w:lang w:eastAsia="ru-RU"/>
              </w:rPr>
            </w:pPr>
            <w:r>
              <w:rPr>
                <w:rFonts w:eastAsia="Times New Roman"/>
                <w:color w:val="000000"/>
                <w:sz w:val="20"/>
                <w:szCs w:val="20"/>
                <w:lang w:eastAsia="ru-RU"/>
              </w:rPr>
              <w:t>явка 87 %</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5"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6" w:type="dxa"/>
            <w:vAlign w:val="center"/>
          </w:tcPr>
          <w:p w:rsidR="00185EE3"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 xml:space="preserve">7 из 8, </w:t>
            </w:r>
          </w:p>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явка 87,5 %</w:t>
            </w:r>
          </w:p>
        </w:tc>
        <w:tc>
          <w:tcPr>
            <w:tcW w:w="1337" w:type="dxa"/>
            <w:vAlign w:val="center"/>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r>
      <w:tr w:rsidR="00862BFA" w:rsidRPr="004761E0" w:rsidTr="004D5027">
        <w:trPr>
          <w:trHeight w:val="521"/>
        </w:trPr>
        <w:tc>
          <w:tcPr>
            <w:tcW w:w="555" w:type="dxa"/>
            <w:shd w:val="clear" w:color="auto" w:fill="auto"/>
            <w:vAlign w:val="center"/>
          </w:tcPr>
          <w:p w:rsidR="00862BFA" w:rsidRPr="004761E0" w:rsidRDefault="00862BFA" w:rsidP="007076A7">
            <w:pPr>
              <w:pStyle w:val="a5"/>
              <w:numPr>
                <w:ilvl w:val="0"/>
                <w:numId w:val="27"/>
              </w:numPr>
              <w:tabs>
                <w:tab w:val="left" w:pos="333"/>
              </w:tabs>
              <w:ind w:left="0" w:firstLine="0"/>
              <w:contextualSpacing w:val="0"/>
              <w:jc w:val="left"/>
              <w:rPr>
                <w:rFonts w:eastAsia="Times New Roman"/>
                <w:color w:val="000000"/>
                <w:sz w:val="20"/>
                <w:szCs w:val="20"/>
                <w:lang w:eastAsia="ru-RU"/>
              </w:rPr>
            </w:pPr>
          </w:p>
        </w:tc>
        <w:tc>
          <w:tcPr>
            <w:tcW w:w="1997" w:type="dxa"/>
            <w:shd w:val="clear" w:color="auto" w:fill="auto"/>
            <w:vAlign w:val="center"/>
            <w:hideMark/>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Шатохина О.В.</w:t>
            </w:r>
          </w:p>
        </w:tc>
        <w:tc>
          <w:tcPr>
            <w:tcW w:w="4111" w:type="dxa"/>
            <w:shd w:val="clear" w:color="auto" w:fill="auto"/>
            <w:vAlign w:val="center"/>
            <w:hideMark/>
          </w:tcPr>
          <w:p w:rsidR="00862BFA" w:rsidRPr="004761E0" w:rsidRDefault="00862BFA" w:rsidP="006B4FAE">
            <w:pPr>
              <w:ind w:firstLine="0"/>
              <w:jc w:val="left"/>
              <w:rPr>
                <w:rFonts w:eastAsia="Times New Roman"/>
                <w:color w:val="000000"/>
                <w:sz w:val="20"/>
                <w:szCs w:val="20"/>
                <w:lang w:eastAsia="ru-RU"/>
              </w:rPr>
            </w:pPr>
            <w:r w:rsidRPr="004761E0">
              <w:rPr>
                <w:rFonts w:eastAsia="Times New Roman"/>
                <w:color w:val="000000"/>
                <w:sz w:val="20"/>
                <w:szCs w:val="20"/>
                <w:lang w:eastAsia="ru-RU"/>
              </w:rPr>
              <w:t xml:space="preserve">Директор по экономике </w:t>
            </w:r>
            <w:r w:rsidR="0008080E">
              <w:rPr>
                <w:rFonts w:eastAsia="Times New Roman"/>
                <w:color w:val="000000"/>
                <w:sz w:val="20"/>
                <w:szCs w:val="20"/>
                <w:lang w:eastAsia="ru-RU"/>
              </w:rPr>
              <w:t>ОАО </w:t>
            </w:r>
            <w:r w:rsidRPr="004761E0">
              <w:rPr>
                <w:rFonts w:eastAsia="Times New Roman"/>
                <w:color w:val="000000"/>
                <w:sz w:val="20"/>
                <w:szCs w:val="20"/>
                <w:lang w:eastAsia="ru-RU"/>
              </w:rPr>
              <w:t>«Холдинг МРСК»</w:t>
            </w:r>
          </w:p>
        </w:tc>
        <w:tc>
          <w:tcPr>
            <w:tcW w:w="1417" w:type="dxa"/>
            <w:vAlign w:val="center"/>
          </w:tcPr>
          <w:p w:rsidR="00862BFA" w:rsidRPr="004761E0"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2013-2014</w:t>
            </w:r>
          </w:p>
        </w:tc>
        <w:tc>
          <w:tcPr>
            <w:tcW w:w="1843" w:type="dxa"/>
            <w:vAlign w:val="center"/>
          </w:tcPr>
          <w:p w:rsidR="00185EE3" w:rsidRDefault="00862BFA" w:rsidP="006B4FAE">
            <w:pPr>
              <w:ind w:firstLine="0"/>
              <w:jc w:val="right"/>
              <w:rPr>
                <w:rFonts w:eastAsia="Times New Roman"/>
                <w:color w:val="000000"/>
                <w:sz w:val="20"/>
                <w:szCs w:val="20"/>
                <w:lang w:eastAsia="ru-RU"/>
              </w:rPr>
            </w:pPr>
            <w:r w:rsidRPr="004761E0">
              <w:rPr>
                <w:rFonts w:eastAsia="Times New Roman"/>
                <w:color w:val="000000"/>
                <w:sz w:val="20"/>
                <w:szCs w:val="20"/>
                <w:lang w:eastAsia="ru-RU"/>
              </w:rPr>
              <w:t>13</w:t>
            </w:r>
            <w:r>
              <w:rPr>
                <w:rFonts w:eastAsia="Times New Roman"/>
                <w:color w:val="000000"/>
                <w:sz w:val="20"/>
                <w:szCs w:val="20"/>
                <w:lang w:eastAsia="ru-RU"/>
              </w:rPr>
              <w:t xml:space="preserve"> из 13, </w:t>
            </w:r>
          </w:p>
          <w:p w:rsidR="00862BFA" w:rsidRPr="004761E0" w:rsidRDefault="00862BFA" w:rsidP="006B4FAE">
            <w:pPr>
              <w:ind w:firstLine="0"/>
              <w:jc w:val="right"/>
              <w:rPr>
                <w:rFonts w:eastAsia="Times New Roman"/>
                <w:color w:val="000000"/>
                <w:sz w:val="20"/>
                <w:szCs w:val="20"/>
                <w:lang w:eastAsia="ru-RU"/>
              </w:rPr>
            </w:pPr>
            <w:r>
              <w:rPr>
                <w:rFonts w:eastAsia="Times New Roman"/>
                <w:color w:val="000000"/>
                <w:sz w:val="20"/>
                <w:szCs w:val="20"/>
                <w:lang w:eastAsia="ru-RU"/>
              </w:rPr>
              <w:t>явка 100 %</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134"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5" w:type="dxa"/>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276" w:type="dxa"/>
            <w:vAlign w:val="center"/>
          </w:tcPr>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w:t>
            </w:r>
          </w:p>
        </w:tc>
        <w:tc>
          <w:tcPr>
            <w:tcW w:w="1337" w:type="dxa"/>
            <w:vAlign w:val="center"/>
          </w:tcPr>
          <w:p w:rsidR="00185EE3"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 xml:space="preserve">4 из 4, </w:t>
            </w:r>
          </w:p>
          <w:p w:rsidR="00862BFA" w:rsidRPr="004761E0" w:rsidRDefault="00862BFA" w:rsidP="00862BFA">
            <w:pPr>
              <w:ind w:firstLine="0"/>
              <w:jc w:val="right"/>
              <w:rPr>
                <w:rFonts w:eastAsia="Times New Roman"/>
                <w:color w:val="000000"/>
                <w:sz w:val="20"/>
                <w:szCs w:val="20"/>
                <w:lang w:eastAsia="ru-RU"/>
              </w:rPr>
            </w:pPr>
            <w:r w:rsidRPr="004761E0">
              <w:rPr>
                <w:rFonts w:eastAsia="Times New Roman"/>
                <w:color w:val="000000"/>
                <w:sz w:val="20"/>
                <w:szCs w:val="20"/>
                <w:lang w:eastAsia="ru-RU"/>
              </w:rPr>
              <w:t>явка 100 %</w:t>
            </w:r>
          </w:p>
        </w:tc>
      </w:tr>
    </w:tbl>
    <w:p w:rsidR="00C91BED" w:rsidRPr="004761E0" w:rsidRDefault="00410049" w:rsidP="00D95123">
      <w:pPr>
        <w:spacing w:before="120" w:after="120"/>
        <w:ind w:firstLine="567"/>
        <w:jc w:val="left"/>
        <w:rPr>
          <w:rFonts w:eastAsia="Times New Roman"/>
          <w:b/>
          <w:iCs/>
          <w:color w:val="000000"/>
          <w:sz w:val="26"/>
          <w:szCs w:val="26"/>
          <w:lang w:eastAsia="ru-RU"/>
        </w:rPr>
      </w:pPr>
      <w:r w:rsidRPr="004761E0">
        <w:rPr>
          <w:rFonts w:eastAsia="Times New Roman"/>
          <w:b/>
          <w:iCs/>
          <w:color w:val="000000"/>
          <w:sz w:val="26"/>
          <w:szCs w:val="26"/>
          <w:lang w:eastAsia="ru-RU"/>
        </w:rPr>
        <w:t>Информация об участии членов Комитетов при Совете директоров в заседаниях в отчетном году</w:t>
      </w:r>
    </w:p>
    <w:tbl>
      <w:tblPr>
        <w:tblW w:w="16302" w:type="dxa"/>
        <w:tblInd w:w="-743" w:type="dxa"/>
        <w:tblLayout w:type="fixed"/>
        <w:tblLook w:val="04A0"/>
      </w:tblPr>
      <w:tblGrid>
        <w:gridCol w:w="558"/>
        <w:gridCol w:w="1851"/>
        <w:gridCol w:w="10916"/>
        <w:gridCol w:w="2977"/>
      </w:tblGrid>
      <w:tr w:rsidR="00397040" w:rsidRPr="004761E0" w:rsidTr="00397040">
        <w:trPr>
          <w:trHeight w:val="840"/>
        </w:trPr>
        <w:tc>
          <w:tcPr>
            <w:tcW w:w="558" w:type="dxa"/>
            <w:tcBorders>
              <w:right w:val="single" w:sz="4" w:space="0" w:color="FFFFFF" w:themeColor="background1"/>
            </w:tcBorders>
            <w:shd w:val="clear" w:color="auto" w:fill="0F243E" w:themeFill="text2" w:themeFillShade="80"/>
            <w:hideMark/>
          </w:tcPr>
          <w:p w:rsidR="00397040" w:rsidRPr="004761E0" w:rsidRDefault="00397040" w:rsidP="00FC4463">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1851" w:type="dxa"/>
            <w:tcBorders>
              <w:left w:val="single" w:sz="4" w:space="0" w:color="FFFFFF" w:themeColor="background1"/>
              <w:right w:val="single" w:sz="4" w:space="0" w:color="FFFFFF" w:themeColor="background1"/>
            </w:tcBorders>
            <w:shd w:val="clear" w:color="auto" w:fill="0F243E" w:themeFill="text2" w:themeFillShade="80"/>
            <w:hideMark/>
          </w:tcPr>
          <w:p w:rsidR="00397040" w:rsidRPr="004761E0" w:rsidRDefault="00397040" w:rsidP="00FC4463">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Ф.И.О. члена Комитета, должность на момент выдвижения</w:t>
            </w:r>
          </w:p>
        </w:tc>
        <w:tc>
          <w:tcPr>
            <w:tcW w:w="10916" w:type="dxa"/>
            <w:tcBorders>
              <w:left w:val="single" w:sz="4" w:space="0" w:color="FFFFFF" w:themeColor="background1"/>
              <w:right w:val="single" w:sz="4" w:space="0" w:color="FFFFFF" w:themeColor="background1"/>
            </w:tcBorders>
            <w:shd w:val="clear" w:color="auto" w:fill="0F243E" w:themeFill="text2" w:themeFillShade="80"/>
          </w:tcPr>
          <w:p w:rsidR="00397040" w:rsidRPr="004761E0" w:rsidRDefault="00397040" w:rsidP="00FC4463">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Должность на момент выдвижения</w:t>
            </w:r>
          </w:p>
        </w:tc>
        <w:tc>
          <w:tcPr>
            <w:tcW w:w="2977" w:type="dxa"/>
            <w:tcBorders>
              <w:left w:val="single" w:sz="4" w:space="0" w:color="FFFFFF" w:themeColor="background1"/>
              <w:right w:val="single" w:sz="4" w:space="0" w:color="FFFFFF" w:themeColor="background1"/>
            </w:tcBorders>
            <w:shd w:val="clear" w:color="auto" w:fill="0F243E" w:themeFill="text2" w:themeFillShade="80"/>
            <w:hideMark/>
          </w:tcPr>
          <w:p w:rsidR="00397040" w:rsidRPr="004761E0" w:rsidRDefault="00397040" w:rsidP="000B3F0E">
            <w:pPr>
              <w:ind w:firstLine="0"/>
              <w:jc w:val="right"/>
              <w:rPr>
                <w:rFonts w:eastAsia="Times New Roman"/>
                <w:b/>
                <w:color w:val="FFFFFF" w:themeColor="background1"/>
                <w:sz w:val="20"/>
                <w:szCs w:val="20"/>
                <w:lang w:eastAsia="ru-RU"/>
              </w:rPr>
            </w:pPr>
            <w:r w:rsidRPr="004761E0">
              <w:rPr>
                <w:rFonts w:eastAsia="Times New Roman"/>
                <w:b/>
                <w:color w:val="FFFFFF"/>
                <w:sz w:val="20"/>
                <w:szCs w:val="20"/>
                <w:lang w:eastAsia="ru-RU"/>
              </w:rPr>
              <w:t xml:space="preserve">Количество заседаний </w:t>
            </w:r>
            <w:r>
              <w:rPr>
                <w:rFonts w:eastAsia="Times New Roman"/>
                <w:b/>
                <w:color w:val="FFFFFF"/>
                <w:sz w:val="20"/>
                <w:szCs w:val="20"/>
                <w:lang w:eastAsia="ru-RU"/>
              </w:rPr>
              <w:t xml:space="preserve">Комитета </w:t>
            </w:r>
            <w:r w:rsidRPr="004761E0">
              <w:rPr>
                <w:rFonts w:eastAsia="Times New Roman"/>
                <w:b/>
                <w:color w:val="FFFFFF"/>
                <w:sz w:val="20"/>
                <w:szCs w:val="20"/>
                <w:lang w:eastAsia="ru-RU"/>
              </w:rPr>
              <w:t xml:space="preserve">в отчетном году, в которых член </w:t>
            </w:r>
            <w:r>
              <w:rPr>
                <w:rFonts w:eastAsia="Times New Roman"/>
                <w:b/>
                <w:color w:val="FFFFFF"/>
                <w:sz w:val="20"/>
                <w:szCs w:val="20"/>
                <w:lang w:eastAsia="ru-RU"/>
              </w:rPr>
              <w:t xml:space="preserve">Комитета </w:t>
            </w:r>
            <w:r w:rsidRPr="004761E0">
              <w:rPr>
                <w:rFonts w:eastAsia="Times New Roman"/>
                <w:b/>
                <w:color w:val="FFFFFF"/>
                <w:sz w:val="20"/>
                <w:szCs w:val="20"/>
                <w:lang w:eastAsia="ru-RU"/>
              </w:rPr>
              <w:t>принял участие</w:t>
            </w:r>
            <w:r>
              <w:rPr>
                <w:rFonts w:eastAsia="Times New Roman"/>
                <w:b/>
                <w:color w:val="FFFFFF"/>
                <w:sz w:val="20"/>
                <w:szCs w:val="20"/>
                <w:lang w:eastAsia="ru-RU"/>
              </w:rPr>
              <w:t xml:space="preserve"> (</w:t>
            </w:r>
            <w:r w:rsidRPr="004761E0">
              <w:rPr>
                <w:rFonts w:eastAsia="Times New Roman"/>
                <w:b/>
                <w:color w:val="FFFFFF"/>
                <w:sz w:val="20"/>
                <w:szCs w:val="20"/>
                <w:lang w:eastAsia="ru-RU"/>
              </w:rPr>
              <w:t xml:space="preserve"> шт.</w:t>
            </w:r>
            <w:r>
              <w:rPr>
                <w:rFonts w:eastAsia="Times New Roman"/>
                <w:b/>
                <w:color w:val="FFFFFF"/>
                <w:sz w:val="20"/>
                <w:szCs w:val="20"/>
                <w:lang w:eastAsia="ru-RU"/>
              </w:rPr>
              <w:t>), из общего к</w:t>
            </w:r>
            <w:r w:rsidRPr="004761E0">
              <w:rPr>
                <w:rFonts w:eastAsia="Times New Roman"/>
                <w:b/>
                <w:color w:val="FFFFFF"/>
                <w:sz w:val="20"/>
                <w:szCs w:val="20"/>
                <w:lang w:eastAsia="ru-RU"/>
              </w:rPr>
              <w:t>оличеств</w:t>
            </w:r>
            <w:r>
              <w:rPr>
                <w:rFonts w:eastAsia="Times New Roman"/>
                <w:b/>
                <w:color w:val="FFFFFF"/>
                <w:sz w:val="20"/>
                <w:szCs w:val="20"/>
                <w:lang w:eastAsia="ru-RU"/>
              </w:rPr>
              <w:t>а</w:t>
            </w:r>
            <w:r w:rsidRPr="004761E0">
              <w:rPr>
                <w:rFonts w:eastAsia="Times New Roman"/>
                <w:b/>
                <w:color w:val="FFFFFF"/>
                <w:sz w:val="20"/>
                <w:szCs w:val="20"/>
                <w:lang w:eastAsia="ru-RU"/>
              </w:rPr>
              <w:t xml:space="preserve"> заседаний </w:t>
            </w:r>
            <w:r>
              <w:rPr>
                <w:rFonts w:eastAsia="Times New Roman"/>
                <w:b/>
                <w:color w:val="FFFFFF"/>
                <w:sz w:val="20"/>
                <w:szCs w:val="20"/>
                <w:lang w:eastAsia="ru-RU"/>
              </w:rPr>
              <w:t xml:space="preserve">Комитета </w:t>
            </w:r>
            <w:r w:rsidRPr="004761E0">
              <w:rPr>
                <w:rFonts w:eastAsia="Times New Roman"/>
                <w:b/>
                <w:color w:val="FFFFFF"/>
                <w:sz w:val="20"/>
                <w:szCs w:val="20"/>
                <w:lang w:eastAsia="ru-RU"/>
              </w:rPr>
              <w:t>в отчетном году, в кото</w:t>
            </w:r>
            <w:r>
              <w:rPr>
                <w:rFonts w:eastAsia="Times New Roman"/>
                <w:b/>
                <w:color w:val="FFFFFF"/>
                <w:sz w:val="20"/>
                <w:szCs w:val="20"/>
                <w:lang w:eastAsia="ru-RU"/>
              </w:rPr>
              <w:t>рых требовалось участие члена Комитета (</w:t>
            </w:r>
            <w:r w:rsidRPr="004761E0">
              <w:rPr>
                <w:rFonts w:eastAsia="Times New Roman"/>
                <w:b/>
                <w:color w:val="FFFFFF"/>
                <w:sz w:val="20"/>
                <w:szCs w:val="20"/>
                <w:lang w:eastAsia="ru-RU"/>
              </w:rPr>
              <w:t>шт</w:t>
            </w:r>
            <w:r>
              <w:rPr>
                <w:rFonts w:eastAsia="Times New Roman"/>
                <w:b/>
                <w:color w:val="FFFFFF"/>
                <w:sz w:val="20"/>
                <w:szCs w:val="20"/>
                <w:lang w:eastAsia="ru-RU"/>
              </w:rPr>
              <w:t>.), явка</w:t>
            </w:r>
          </w:p>
        </w:tc>
      </w:tr>
      <w:tr w:rsidR="00397040" w:rsidRPr="004761E0" w:rsidTr="00512DCC">
        <w:trPr>
          <w:trHeight w:val="250"/>
        </w:trPr>
        <w:tc>
          <w:tcPr>
            <w:tcW w:w="558" w:type="dxa"/>
            <w:tcBorders>
              <w:left w:val="single" w:sz="4" w:space="0" w:color="auto"/>
              <w:bottom w:val="single" w:sz="4" w:space="0" w:color="auto"/>
              <w:right w:val="single" w:sz="4" w:space="0" w:color="auto"/>
            </w:tcBorders>
            <w:shd w:val="clear" w:color="auto" w:fill="BFBFBF" w:themeFill="background1" w:themeFillShade="BF"/>
            <w:vAlign w:val="center"/>
            <w:hideMark/>
          </w:tcPr>
          <w:p w:rsidR="00397040" w:rsidRPr="004761E0" w:rsidRDefault="00397040" w:rsidP="007076A7">
            <w:pPr>
              <w:pStyle w:val="a5"/>
              <w:numPr>
                <w:ilvl w:val="0"/>
                <w:numId w:val="42"/>
              </w:numPr>
              <w:ind w:left="0" w:firstLine="0"/>
              <w:contextualSpacing w:val="0"/>
              <w:jc w:val="left"/>
              <w:rPr>
                <w:rFonts w:eastAsia="Times New Roman"/>
                <w:sz w:val="20"/>
                <w:szCs w:val="20"/>
                <w:lang w:eastAsia="ru-RU"/>
              </w:rPr>
            </w:pPr>
          </w:p>
        </w:tc>
        <w:tc>
          <w:tcPr>
            <w:tcW w:w="15744" w:type="dxa"/>
            <w:gridSpan w:val="3"/>
            <w:tcBorders>
              <w:left w:val="single" w:sz="4" w:space="0" w:color="auto"/>
              <w:bottom w:val="single" w:sz="4" w:space="0" w:color="auto"/>
              <w:right w:val="single" w:sz="4" w:space="0" w:color="auto"/>
            </w:tcBorders>
            <w:shd w:val="clear" w:color="auto" w:fill="BFBFBF" w:themeFill="background1" w:themeFillShade="BF"/>
            <w:vAlign w:val="center"/>
          </w:tcPr>
          <w:p w:rsidR="00397040" w:rsidRPr="004761E0" w:rsidRDefault="00397040" w:rsidP="00397040">
            <w:pPr>
              <w:ind w:firstLine="0"/>
              <w:jc w:val="left"/>
              <w:rPr>
                <w:rFonts w:eastAsia="Times New Roman"/>
                <w:b/>
                <w:bCs/>
                <w:iCs/>
                <w:sz w:val="20"/>
                <w:szCs w:val="20"/>
                <w:lang w:eastAsia="ru-RU"/>
              </w:rPr>
            </w:pPr>
            <w:r w:rsidRPr="004761E0">
              <w:rPr>
                <w:rFonts w:eastAsia="Times New Roman"/>
                <w:b/>
                <w:bCs/>
                <w:iCs/>
                <w:sz w:val="20"/>
                <w:szCs w:val="20"/>
                <w:lang w:eastAsia="ru-RU"/>
              </w:rPr>
              <w:t>Комитет по надежности</w:t>
            </w:r>
          </w:p>
        </w:tc>
      </w:tr>
      <w:tr w:rsidR="00397040" w:rsidRPr="004761E0" w:rsidTr="00397040">
        <w:trPr>
          <w:trHeight w:val="16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Балабанов М.И.</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0B3F0E">
            <w:pPr>
              <w:tabs>
                <w:tab w:val="left" w:pos="1440"/>
              </w:tabs>
              <w:ind w:firstLine="0"/>
              <w:jc w:val="left"/>
              <w:rPr>
                <w:rFonts w:eastAsia="Times New Roman"/>
                <w:sz w:val="20"/>
                <w:szCs w:val="20"/>
                <w:lang w:eastAsia="ru-RU"/>
              </w:rPr>
            </w:pPr>
            <w:r w:rsidRPr="004761E0">
              <w:rPr>
                <w:rFonts w:eastAsia="Times New Roman"/>
                <w:sz w:val="20"/>
                <w:szCs w:val="20"/>
                <w:lang w:eastAsia="ru-RU"/>
              </w:rPr>
              <w:t>Первый заместитель руководителя Департамента топливно-энергетического хозяйства города Москвы</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0 из </w:t>
            </w:r>
            <w:r w:rsidRPr="004761E0">
              <w:rPr>
                <w:rFonts w:eastAsia="Times New Roman"/>
                <w:sz w:val="20"/>
                <w:szCs w:val="20"/>
                <w:lang w:eastAsia="ru-RU"/>
              </w:rPr>
              <w:t>6</w:t>
            </w:r>
            <w:r>
              <w:rPr>
                <w:rFonts w:eastAsia="Times New Roman"/>
                <w:sz w:val="20"/>
                <w:szCs w:val="20"/>
                <w:lang w:eastAsia="ru-RU"/>
              </w:rPr>
              <w:t>, явка 0 %</w:t>
            </w:r>
          </w:p>
        </w:tc>
      </w:tr>
      <w:tr w:rsidR="00397040" w:rsidRPr="004761E0" w:rsidTr="00397040">
        <w:trPr>
          <w:trHeight w:val="16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Борисов Е.И.</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Директор проекта ГПБ (ОАО)</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6 из </w:t>
            </w:r>
            <w:r w:rsidRPr="004761E0">
              <w:rPr>
                <w:rFonts w:eastAsia="Times New Roman"/>
                <w:sz w:val="20"/>
                <w:szCs w:val="20"/>
                <w:lang w:eastAsia="ru-RU"/>
              </w:rPr>
              <w:t>6</w:t>
            </w:r>
            <w:r>
              <w:rPr>
                <w:rFonts w:eastAsia="Times New Roman"/>
                <w:sz w:val="20"/>
                <w:szCs w:val="20"/>
                <w:lang w:eastAsia="ru-RU"/>
              </w:rPr>
              <w:t>, явка 100 %</w:t>
            </w:r>
          </w:p>
        </w:tc>
      </w:tr>
      <w:tr w:rsidR="00397040" w:rsidRPr="004761E0" w:rsidTr="00397040">
        <w:trPr>
          <w:trHeight w:val="16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Добахянц Ю.В.</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 xml:space="preserve">Заместитель начальника Департамента оперативно-технологического управления – начальник отдела развития оперативно-технологического управления </w:t>
            </w:r>
            <w:r>
              <w:rPr>
                <w:rFonts w:eastAsia="Times New Roman"/>
                <w:sz w:val="20"/>
                <w:szCs w:val="20"/>
                <w:lang w:eastAsia="ru-RU"/>
              </w:rPr>
              <w:t>ОАО </w:t>
            </w:r>
            <w:r w:rsidRPr="004761E0">
              <w:rPr>
                <w:rFonts w:eastAsia="Times New Roman"/>
                <w:sz w:val="20"/>
                <w:szCs w:val="20"/>
                <w:lang w:eastAsia="ru-RU"/>
              </w:rPr>
              <w:t>«Холдинг МРСК»</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3 из </w:t>
            </w:r>
            <w:r w:rsidRPr="004761E0">
              <w:rPr>
                <w:rFonts w:eastAsia="Times New Roman"/>
                <w:sz w:val="20"/>
                <w:szCs w:val="20"/>
                <w:lang w:eastAsia="ru-RU"/>
              </w:rPr>
              <w:t>3</w:t>
            </w:r>
            <w:r>
              <w:rPr>
                <w:rFonts w:eastAsia="Times New Roman"/>
                <w:sz w:val="20"/>
                <w:szCs w:val="20"/>
                <w:lang w:eastAsia="ru-RU"/>
              </w:rPr>
              <w:t>, явка 100 %</w:t>
            </w:r>
          </w:p>
        </w:tc>
      </w:tr>
      <w:tr w:rsidR="00397040" w:rsidRPr="004761E0" w:rsidTr="00397040">
        <w:trPr>
          <w:trHeight w:val="16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Зуйкова О.В.</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 xml:space="preserve">Руководитель дирекции производственного контроля и охраны труда </w:t>
            </w:r>
            <w:r>
              <w:rPr>
                <w:rFonts w:eastAsia="Times New Roman"/>
                <w:sz w:val="20"/>
                <w:szCs w:val="20"/>
                <w:lang w:eastAsia="ru-RU"/>
              </w:rPr>
              <w:t>ОАО </w:t>
            </w:r>
            <w:r w:rsidRPr="004761E0">
              <w:rPr>
                <w:rFonts w:eastAsia="Times New Roman"/>
                <w:sz w:val="20"/>
                <w:szCs w:val="20"/>
                <w:lang w:eastAsia="ru-RU"/>
              </w:rPr>
              <w:t>«Холдинг МРСК»</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3 из </w:t>
            </w:r>
            <w:r w:rsidRPr="004761E0">
              <w:rPr>
                <w:rFonts w:eastAsia="Times New Roman"/>
                <w:sz w:val="20"/>
                <w:szCs w:val="20"/>
                <w:lang w:eastAsia="ru-RU"/>
              </w:rPr>
              <w:t>3</w:t>
            </w:r>
            <w:r>
              <w:rPr>
                <w:rFonts w:eastAsia="Times New Roman"/>
                <w:sz w:val="20"/>
                <w:szCs w:val="20"/>
                <w:lang w:eastAsia="ru-RU"/>
              </w:rPr>
              <w:t>, явка 100 %</w:t>
            </w:r>
          </w:p>
        </w:tc>
      </w:tr>
      <w:tr w:rsidR="00397040" w:rsidRPr="004761E0" w:rsidTr="00397040">
        <w:trPr>
          <w:trHeight w:val="16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Иванов В.Е.</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C359B0">
            <w:pPr>
              <w:ind w:firstLine="0"/>
              <w:jc w:val="left"/>
              <w:rPr>
                <w:rFonts w:eastAsia="Times New Roman"/>
                <w:sz w:val="20"/>
                <w:szCs w:val="20"/>
                <w:lang w:eastAsia="ru-RU"/>
              </w:rPr>
            </w:pPr>
            <w:r w:rsidRPr="004761E0">
              <w:rPr>
                <w:rFonts w:eastAsia="Times New Roman"/>
                <w:sz w:val="20"/>
                <w:szCs w:val="20"/>
                <w:lang w:eastAsia="ru-RU"/>
              </w:rPr>
              <w:t xml:space="preserve">Заместитель главного инженера по оперативно-технологическому управлению </w:t>
            </w:r>
            <w:r>
              <w:rPr>
                <w:rFonts w:eastAsia="Times New Roman"/>
                <w:sz w:val="20"/>
                <w:szCs w:val="20"/>
                <w:lang w:eastAsia="ru-RU"/>
              </w:rPr>
              <w:t>–</w:t>
            </w:r>
            <w:r w:rsidRPr="004761E0">
              <w:rPr>
                <w:rFonts w:eastAsia="Times New Roman"/>
                <w:sz w:val="20"/>
                <w:szCs w:val="20"/>
                <w:lang w:eastAsia="ru-RU"/>
              </w:rPr>
              <w:t xml:space="preserve"> начальник ЦУС </w:t>
            </w:r>
            <w:r>
              <w:rPr>
                <w:rFonts w:eastAsia="Times New Roman"/>
                <w:sz w:val="20"/>
                <w:szCs w:val="20"/>
                <w:lang w:eastAsia="ru-RU"/>
              </w:rPr>
              <w:t>ОАО </w:t>
            </w:r>
            <w:r w:rsidRPr="004761E0">
              <w:rPr>
                <w:rFonts w:eastAsia="Times New Roman"/>
                <w:sz w:val="20"/>
                <w:szCs w:val="20"/>
                <w:lang w:eastAsia="ru-RU"/>
              </w:rPr>
              <w:t>«МОЭСК»</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5 из </w:t>
            </w:r>
            <w:r w:rsidRPr="004761E0">
              <w:rPr>
                <w:rFonts w:eastAsia="Times New Roman"/>
                <w:sz w:val="20"/>
                <w:szCs w:val="20"/>
                <w:lang w:eastAsia="ru-RU"/>
              </w:rPr>
              <w:t>6</w:t>
            </w:r>
            <w:r>
              <w:rPr>
                <w:rFonts w:eastAsia="Times New Roman"/>
                <w:sz w:val="20"/>
                <w:szCs w:val="20"/>
                <w:lang w:eastAsia="ru-RU"/>
              </w:rPr>
              <w:t>, явка 83,33 %</w:t>
            </w:r>
          </w:p>
        </w:tc>
      </w:tr>
      <w:tr w:rsidR="00397040" w:rsidRPr="004761E0" w:rsidTr="00397040">
        <w:trPr>
          <w:trHeight w:val="16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Кручинин М.А.</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Министр энергетики Московской области</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1 из </w:t>
            </w:r>
            <w:r w:rsidRPr="004761E0">
              <w:rPr>
                <w:rFonts w:eastAsia="Times New Roman"/>
                <w:sz w:val="20"/>
                <w:szCs w:val="20"/>
                <w:lang w:eastAsia="ru-RU"/>
              </w:rPr>
              <w:t>6</w:t>
            </w:r>
            <w:r>
              <w:rPr>
                <w:rFonts w:eastAsia="Times New Roman"/>
                <w:sz w:val="20"/>
                <w:szCs w:val="20"/>
                <w:lang w:eastAsia="ru-RU"/>
              </w:rPr>
              <w:t>, явка 16,67 %</w:t>
            </w:r>
          </w:p>
        </w:tc>
      </w:tr>
      <w:tr w:rsidR="00397040" w:rsidRPr="004761E0" w:rsidTr="00397040">
        <w:trPr>
          <w:trHeight w:val="16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Магадеев Р.Р.</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C359B0">
            <w:pPr>
              <w:ind w:firstLine="0"/>
              <w:jc w:val="left"/>
              <w:rPr>
                <w:rFonts w:eastAsia="Times New Roman"/>
                <w:sz w:val="20"/>
                <w:szCs w:val="20"/>
                <w:lang w:eastAsia="ru-RU"/>
              </w:rPr>
            </w:pPr>
            <w:r w:rsidRPr="004761E0">
              <w:rPr>
                <w:rFonts w:eastAsia="Times New Roman"/>
                <w:sz w:val="20"/>
                <w:szCs w:val="20"/>
                <w:lang w:eastAsia="ru-RU"/>
              </w:rPr>
              <w:t>Директор Департамента развития оперативно</w:t>
            </w:r>
            <w:r>
              <w:rPr>
                <w:rFonts w:eastAsia="Times New Roman"/>
                <w:sz w:val="20"/>
                <w:szCs w:val="20"/>
                <w:lang w:eastAsia="ru-RU"/>
              </w:rPr>
              <w:t>-</w:t>
            </w:r>
            <w:r w:rsidRPr="004761E0">
              <w:rPr>
                <w:rFonts w:eastAsia="Times New Roman"/>
                <w:sz w:val="20"/>
                <w:szCs w:val="20"/>
                <w:lang w:eastAsia="ru-RU"/>
              </w:rPr>
              <w:t xml:space="preserve">технологического управления </w:t>
            </w:r>
            <w:r>
              <w:rPr>
                <w:rFonts w:eastAsia="Times New Roman"/>
                <w:sz w:val="20"/>
                <w:szCs w:val="20"/>
                <w:lang w:eastAsia="ru-RU"/>
              </w:rPr>
              <w:t>ОАО </w:t>
            </w:r>
            <w:r w:rsidRPr="004761E0">
              <w:rPr>
                <w:rFonts w:eastAsia="Times New Roman"/>
                <w:sz w:val="20"/>
                <w:szCs w:val="20"/>
                <w:lang w:eastAsia="ru-RU"/>
              </w:rPr>
              <w:t>«Россети»</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3 из </w:t>
            </w:r>
            <w:r w:rsidRPr="004761E0">
              <w:rPr>
                <w:rFonts w:eastAsia="Times New Roman"/>
                <w:sz w:val="20"/>
                <w:szCs w:val="20"/>
                <w:lang w:eastAsia="ru-RU"/>
              </w:rPr>
              <w:t>3</w:t>
            </w:r>
            <w:r>
              <w:rPr>
                <w:rFonts w:eastAsia="Times New Roman"/>
                <w:sz w:val="20"/>
                <w:szCs w:val="20"/>
                <w:lang w:eastAsia="ru-RU"/>
              </w:rPr>
              <w:t>, явка 100 %</w:t>
            </w:r>
          </w:p>
        </w:tc>
      </w:tr>
      <w:tr w:rsidR="00397040" w:rsidRPr="004761E0" w:rsidTr="00397040">
        <w:trPr>
          <w:trHeight w:val="16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Марцинковский Г.О.</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 xml:space="preserve">Начальник департамента капитального строительства </w:t>
            </w:r>
            <w:r>
              <w:rPr>
                <w:rFonts w:eastAsia="Times New Roman"/>
                <w:sz w:val="20"/>
                <w:szCs w:val="20"/>
                <w:lang w:eastAsia="ru-RU"/>
              </w:rPr>
              <w:t>ОАО </w:t>
            </w:r>
            <w:r w:rsidRPr="004761E0">
              <w:rPr>
                <w:rFonts w:eastAsia="Times New Roman"/>
                <w:sz w:val="20"/>
                <w:szCs w:val="20"/>
                <w:lang w:eastAsia="ru-RU"/>
              </w:rPr>
              <w:t>«Холдинг МРСК»</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3 из </w:t>
            </w:r>
            <w:r w:rsidRPr="004761E0">
              <w:rPr>
                <w:rFonts w:eastAsia="Times New Roman"/>
                <w:sz w:val="20"/>
                <w:szCs w:val="20"/>
                <w:lang w:eastAsia="ru-RU"/>
              </w:rPr>
              <w:t>3</w:t>
            </w:r>
            <w:r>
              <w:rPr>
                <w:rFonts w:eastAsia="Times New Roman"/>
                <w:sz w:val="20"/>
                <w:szCs w:val="20"/>
                <w:lang w:eastAsia="ru-RU"/>
              </w:rPr>
              <w:t>, явка 100 %</w:t>
            </w:r>
          </w:p>
        </w:tc>
      </w:tr>
      <w:tr w:rsidR="00397040" w:rsidRPr="004761E0" w:rsidTr="00397040">
        <w:trPr>
          <w:trHeight w:val="16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Неганов Л.В.</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Министр энергетики Московской области</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0 из 0</w:t>
            </w:r>
          </w:p>
        </w:tc>
      </w:tr>
      <w:tr w:rsidR="00397040" w:rsidRPr="004761E0" w:rsidTr="00397040">
        <w:trPr>
          <w:trHeight w:val="16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Панков Д.Л.</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 xml:space="preserve">Директор по стратегии, развитию и инновациям </w:t>
            </w:r>
            <w:r>
              <w:rPr>
                <w:rFonts w:eastAsia="Times New Roman"/>
                <w:sz w:val="20"/>
                <w:szCs w:val="20"/>
                <w:lang w:eastAsia="ru-RU"/>
              </w:rPr>
              <w:t>ОАО </w:t>
            </w:r>
            <w:r w:rsidRPr="004761E0">
              <w:rPr>
                <w:rFonts w:eastAsia="Times New Roman"/>
                <w:sz w:val="20"/>
                <w:szCs w:val="20"/>
                <w:lang w:eastAsia="ru-RU"/>
              </w:rPr>
              <w:t>«Холдинг МРСК»</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3 из </w:t>
            </w:r>
            <w:r w:rsidRPr="004761E0">
              <w:rPr>
                <w:rFonts w:eastAsia="Times New Roman"/>
                <w:sz w:val="20"/>
                <w:szCs w:val="20"/>
                <w:lang w:eastAsia="ru-RU"/>
              </w:rPr>
              <w:t>3</w:t>
            </w:r>
            <w:r>
              <w:rPr>
                <w:rFonts w:eastAsia="Times New Roman"/>
                <w:sz w:val="20"/>
                <w:szCs w:val="20"/>
                <w:lang w:eastAsia="ru-RU"/>
              </w:rPr>
              <w:t>, явка 100 %</w:t>
            </w:r>
          </w:p>
        </w:tc>
      </w:tr>
      <w:tr w:rsidR="00397040" w:rsidRPr="004761E0" w:rsidTr="00397040">
        <w:trPr>
          <w:trHeight w:val="16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Уколов В.А.</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C359B0">
            <w:pPr>
              <w:ind w:firstLine="0"/>
              <w:jc w:val="left"/>
              <w:rPr>
                <w:rFonts w:eastAsia="Times New Roman"/>
                <w:sz w:val="20"/>
                <w:szCs w:val="20"/>
                <w:lang w:eastAsia="ru-RU"/>
              </w:rPr>
            </w:pPr>
            <w:r w:rsidRPr="004761E0">
              <w:rPr>
                <w:rFonts w:eastAsia="Times New Roman"/>
                <w:sz w:val="20"/>
                <w:szCs w:val="20"/>
                <w:lang w:eastAsia="ru-RU"/>
              </w:rPr>
              <w:t>Начальник отдела развития РЗА и АСТУ Департамента оперативно</w:t>
            </w:r>
            <w:r>
              <w:rPr>
                <w:rFonts w:eastAsia="Times New Roman"/>
                <w:sz w:val="20"/>
                <w:szCs w:val="20"/>
                <w:lang w:eastAsia="ru-RU"/>
              </w:rPr>
              <w:t>-</w:t>
            </w:r>
            <w:r w:rsidRPr="004761E0">
              <w:rPr>
                <w:rFonts w:eastAsia="Times New Roman"/>
                <w:sz w:val="20"/>
                <w:szCs w:val="20"/>
                <w:lang w:eastAsia="ru-RU"/>
              </w:rPr>
              <w:t xml:space="preserve">технологического управления </w:t>
            </w:r>
            <w:r>
              <w:rPr>
                <w:rFonts w:eastAsia="Times New Roman"/>
                <w:sz w:val="20"/>
                <w:szCs w:val="20"/>
                <w:lang w:eastAsia="ru-RU"/>
              </w:rPr>
              <w:t>ОАО </w:t>
            </w:r>
            <w:r w:rsidRPr="004761E0">
              <w:rPr>
                <w:rFonts w:eastAsia="Times New Roman"/>
                <w:sz w:val="20"/>
                <w:szCs w:val="20"/>
                <w:lang w:eastAsia="ru-RU"/>
              </w:rPr>
              <w:t>«Россети»</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sidRPr="004761E0">
              <w:rPr>
                <w:rFonts w:eastAsia="Times New Roman"/>
                <w:sz w:val="20"/>
                <w:szCs w:val="20"/>
                <w:lang w:eastAsia="ru-RU"/>
              </w:rPr>
              <w:t>3</w:t>
            </w:r>
            <w:r>
              <w:rPr>
                <w:rFonts w:eastAsia="Times New Roman"/>
                <w:sz w:val="20"/>
                <w:szCs w:val="20"/>
                <w:lang w:eastAsia="ru-RU"/>
              </w:rPr>
              <w:t xml:space="preserve"> из 3, явка 100 %</w:t>
            </w:r>
          </w:p>
        </w:tc>
      </w:tr>
      <w:tr w:rsidR="00397040" w:rsidRPr="004761E0" w:rsidTr="00397040">
        <w:trPr>
          <w:trHeight w:val="16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Чегодаев А.В.</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C359B0">
            <w:pPr>
              <w:ind w:firstLine="0"/>
              <w:jc w:val="left"/>
              <w:rPr>
                <w:rFonts w:eastAsia="Times New Roman"/>
                <w:sz w:val="20"/>
                <w:szCs w:val="20"/>
                <w:lang w:eastAsia="ru-RU"/>
              </w:rPr>
            </w:pPr>
            <w:r w:rsidRPr="004761E0">
              <w:rPr>
                <w:rFonts w:eastAsia="Times New Roman"/>
                <w:sz w:val="20"/>
                <w:szCs w:val="20"/>
                <w:lang w:eastAsia="ru-RU"/>
              </w:rPr>
              <w:t xml:space="preserve">Первый заместитель генерального директора </w:t>
            </w:r>
            <w:r>
              <w:rPr>
                <w:rFonts w:eastAsia="Times New Roman"/>
                <w:sz w:val="20"/>
                <w:szCs w:val="20"/>
                <w:lang w:eastAsia="ru-RU"/>
              </w:rPr>
              <w:t>–</w:t>
            </w:r>
            <w:r w:rsidRPr="004761E0">
              <w:rPr>
                <w:rFonts w:eastAsia="Times New Roman"/>
                <w:sz w:val="20"/>
                <w:szCs w:val="20"/>
                <w:lang w:eastAsia="ru-RU"/>
              </w:rPr>
              <w:t xml:space="preserve"> главный инженер </w:t>
            </w:r>
            <w:r>
              <w:rPr>
                <w:rFonts w:eastAsia="Times New Roman"/>
                <w:sz w:val="20"/>
                <w:szCs w:val="20"/>
                <w:lang w:eastAsia="ru-RU"/>
              </w:rPr>
              <w:t>ОАО </w:t>
            </w:r>
            <w:r w:rsidRPr="004761E0">
              <w:rPr>
                <w:rFonts w:eastAsia="Times New Roman"/>
                <w:sz w:val="20"/>
                <w:szCs w:val="20"/>
                <w:lang w:eastAsia="ru-RU"/>
              </w:rPr>
              <w:t>«МОЭСК»</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5 из </w:t>
            </w:r>
            <w:r w:rsidRPr="004761E0">
              <w:rPr>
                <w:rFonts w:eastAsia="Times New Roman"/>
                <w:sz w:val="20"/>
                <w:szCs w:val="20"/>
                <w:lang w:eastAsia="ru-RU"/>
              </w:rPr>
              <w:t>6</w:t>
            </w:r>
            <w:r>
              <w:rPr>
                <w:rFonts w:eastAsia="Times New Roman"/>
                <w:sz w:val="20"/>
                <w:szCs w:val="20"/>
                <w:lang w:eastAsia="ru-RU"/>
              </w:rPr>
              <w:t>, явка 83,33 %</w:t>
            </w:r>
          </w:p>
        </w:tc>
      </w:tr>
      <w:tr w:rsidR="00397040" w:rsidRPr="004761E0" w:rsidTr="00512DCC">
        <w:trPr>
          <w:trHeight w:val="265"/>
        </w:trPr>
        <w:tc>
          <w:tcPr>
            <w:tcW w:w="5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97040" w:rsidRPr="004761E0" w:rsidRDefault="00397040" w:rsidP="007076A7">
            <w:pPr>
              <w:pStyle w:val="a5"/>
              <w:numPr>
                <w:ilvl w:val="0"/>
                <w:numId w:val="42"/>
              </w:numPr>
              <w:ind w:left="0" w:firstLine="0"/>
              <w:contextualSpacing w:val="0"/>
              <w:jc w:val="left"/>
              <w:rPr>
                <w:rFonts w:eastAsia="Times New Roman"/>
                <w:sz w:val="20"/>
                <w:szCs w:val="20"/>
                <w:lang w:eastAsia="ru-RU"/>
              </w:rPr>
            </w:pPr>
          </w:p>
        </w:tc>
        <w:tc>
          <w:tcPr>
            <w:tcW w:w="15744"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tcPr>
          <w:p w:rsidR="00397040" w:rsidRPr="004761E0" w:rsidRDefault="00397040" w:rsidP="00397040">
            <w:pPr>
              <w:ind w:firstLine="0"/>
              <w:jc w:val="left"/>
              <w:rPr>
                <w:rFonts w:eastAsia="Times New Roman"/>
                <w:b/>
                <w:bCs/>
                <w:iCs/>
                <w:color w:val="000000"/>
                <w:sz w:val="20"/>
                <w:szCs w:val="20"/>
                <w:lang w:eastAsia="ru-RU"/>
              </w:rPr>
            </w:pPr>
            <w:r w:rsidRPr="004761E0">
              <w:rPr>
                <w:rFonts w:eastAsia="Times New Roman"/>
                <w:b/>
                <w:bCs/>
                <w:iCs/>
                <w:color w:val="000000"/>
                <w:sz w:val="20"/>
                <w:szCs w:val="20"/>
                <w:lang w:eastAsia="ru-RU"/>
              </w:rPr>
              <w:t>Комитет по технологическому присоединению к электрическим сетям</w:t>
            </w:r>
            <w:r w:rsidRPr="006F4AB8">
              <w:rPr>
                <w:rStyle w:val="af1"/>
              </w:rPr>
              <w:footnoteReference w:id="156"/>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rPr>
                <w:rFonts w:eastAsia="Times New Roman"/>
                <w:sz w:val="20"/>
                <w:szCs w:val="20"/>
                <w:lang w:eastAsia="ru-RU"/>
              </w:rPr>
            </w:pPr>
            <w:r w:rsidRPr="004761E0">
              <w:rPr>
                <w:rFonts w:eastAsia="Times New Roman"/>
                <w:sz w:val="20"/>
                <w:szCs w:val="20"/>
                <w:lang w:eastAsia="ru-RU"/>
              </w:rPr>
              <w:t>Ардеев А.В.</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 xml:space="preserve">Начальник отдела корпоративного управления </w:t>
            </w:r>
            <w:r>
              <w:rPr>
                <w:rFonts w:eastAsia="Times New Roman"/>
                <w:sz w:val="20"/>
                <w:szCs w:val="20"/>
                <w:lang w:eastAsia="ru-RU"/>
              </w:rPr>
              <w:t>ЗАО </w:t>
            </w:r>
            <w:r w:rsidRPr="004761E0">
              <w:rPr>
                <w:rFonts w:eastAsia="Times New Roman"/>
                <w:sz w:val="20"/>
                <w:szCs w:val="20"/>
                <w:lang w:eastAsia="ru-RU"/>
              </w:rPr>
              <w:t>«Лидер»</w:t>
            </w:r>
            <w:r>
              <w:rPr>
                <w:rFonts w:eastAsia="Times New Roman"/>
                <w:sz w:val="20"/>
                <w:szCs w:val="20"/>
                <w:lang w:eastAsia="ru-RU"/>
              </w:rPr>
              <w:t xml:space="preserve"> </w:t>
            </w:r>
            <w:r w:rsidRPr="004761E0">
              <w:rPr>
                <w:sz w:val="20"/>
                <w:szCs w:val="20"/>
              </w:rPr>
              <w:t>(Компани</w:t>
            </w:r>
            <w:r>
              <w:rPr>
                <w:sz w:val="20"/>
                <w:szCs w:val="20"/>
              </w:rPr>
              <w:t>и</w:t>
            </w:r>
            <w:r w:rsidRPr="004761E0">
              <w:rPr>
                <w:sz w:val="20"/>
                <w:szCs w:val="20"/>
              </w:rPr>
              <w:t xml:space="preserve"> по управлению активами пенсионного фонда)</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397040" w:rsidRPr="004761E0" w:rsidRDefault="00397040" w:rsidP="000B3F0E">
            <w:pPr>
              <w:ind w:firstLine="0"/>
              <w:jc w:val="right"/>
              <w:rPr>
                <w:rFonts w:eastAsia="Times New Roman"/>
                <w:sz w:val="20"/>
                <w:szCs w:val="20"/>
                <w:lang w:eastAsia="ru-RU"/>
              </w:rPr>
            </w:pPr>
            <w:r w:rsidRPr="004761E0">
              <w:rPr>
                <w:rFonts w:eastAsia="Times New Roman"/>
                <w:sz w:val="20"/>
                <w:szCs w:val="20"/>
                <w:lang w:eastAsia="ru-RU"/>
              </w:rPr>
              <w:t>–</w:t>
            </w:r>
          </w:p>
        </w:tc>
      </w:tr>
      <w:tr w:rsidR="00397040" w:rsidRPr="004761E0" w:rsidTr="00397040">
        <w:trPr>
          <w:trHeight w:val="16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rPr>
                <w:rFonts w:eastAsia="Times New Roman"/>
                <w:sz w:val="20"/>
                <w:szCs w:val="20"/>
                <w:lang w:eastAsia="ru-RU"/>
              </w:rPr>
            </w:pPr>
            <w:r w:rsidRPr="004761E0">
              <w:rPr>
                <w:rFonts w:eastAsia="Times New Roman"/>
                <w:sz w:val="20"/>
                <w:szCs w:val="20"/>
                <w:lang w:eastAsia="ru-RU"/>
              </w:rPr>
              <w:t>Архипов С.А.</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Заместитель генерального директора –</w:t>
            </w:r>
            <w:r>
              <w:rPr>
                <w:rFonts w:eastAsia="Times New Roman"/>
                <w:sz w:val="20"/>
                <w:szCs w:val="20"/>
                <w:lang w:eastAsia="ru-RU"/>
              </w:rPr>
              <w:t xml:space="preserve"> </w:t>
            </w:r>
            <w:r w:rsidRPr="004761E0">
              <w:rPr>
                <w:rFonts w:eastAsia="Times New Roman"/>
                <w:sz w:val="20"/>
                <w:szCs w:val="20"/>
                <w:lang w:eastAsia="ru-RU"/>
              </w:rPr>
              <w:t xml:space="preserve">технический директор </w:t>
            </w:r>
            <w:r>
              <w:rPr>
                <w:rFonts w:eastAsia="Times New Roman"/>
                <w:sz w:val="20"/>
                <w:szCs w:val="20"/>
                <w:lang w:eastAsia="ru-RU"/>
              </w:rPr>
              <w:t>ОАО </w:t>
            </w:r>
            <w:r w:rsidRPr="004761E0">
              <w:rPr>
                <w:rFonts w:eastAsia="Times New Roman"/>
                <w:sz w:val="20"/>
                <w:szCs w:val="20"/>
                <w:lang w:eastAsia="ru-RU"/>
              </w:rPr>
              <w:t>«Россети»</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397040" w:rsidRPr="004761E0" w:rsidRDefault="00397040" w:rsidP="000B3F0E">
            <w:pPr>
              <w:ind w:firstLine="0"/>
              <w:jc w:val="right"/>
              <w:rPr>
                <w:rFonts w:eastAsia="Times New Roman"/>
                <w:sz w:val="20"/>
                <w:szCs w:val="20"/>
                <w:lang w:eastAsia="ru-RU"/>
              </w:rPr>
            </w:pPr>
            <w:r w:rsidRPr="004761E0">
              <w:rPr>
                <w:rFonts w:eastAsia="Times New Roman"/>
                <w:sz w:val="20"/>
                <w:szCs w:val="20"/>
                <w:lang w:eastAsia="ru-RU"/>
              </w:rPr>
              <w:t>–</w:t>
            </w:r>
          </w:p>
        </w:tc>
      </w:tr>
      <w:tr w:rsidR="00397040" w:rsidRPr="004761E0" w:rsidTr="00397040">
        <w:trPr>
          <w:trHeight w:val="16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rPr>
                <w:rFonts w:eastAsia="Times New Roman"/>
                <w:sz w:val="20"/>
                <w:szCs w:val="20"/>
                <w:lang w:eastAsia="ru-RU"/>
              </w:rPr>
            </w:pPr>
            <w:r w:rsidRPr="004761E0">
              <w:rPr>
                <w:rFonts w:eastAsia="Times New Roman"/>
                <w:sz w:val="20"/>
                <w:szCs w:val="20"/>
                <w:lang w:eastAsia="ru-RU"/>
              </w:rPr>
              <w:t>Борисов Е.И.</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Директор проекта ГПБ (ОАО)</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397040" w:rsidRPr="004761E0" w:rsidRDefault="00397040" w:rsidP="000B3F0E">
            <w:pPr>
              <w:ind w:firstLine="0"/>
              <w:jc w:val="right"/>
              <w:rPr>
                <w:rFonts w:eastAsia="Times New Roman"/>
                <w:sz w:val="20"/>
                <w:szCs w:val="20"/>
                <w:lang w:eastAsia="ru-RU"/>
              </w:rPr>
            </w:pPr>
            <w:r w:rsidRPr="004761E0">
              <w:rPr>
                <w:rFonts w:eastAsia="Times New Roman"/>
                <w:sz w:val="20"/>
                <w:szCs w:val="20"/>
                <w:lang w:eastAsia="ru-RU"/>
              </w:rPr>
              <w:t>–</w:t>
            </w:r>
          </w:p>
        </w:tc>
      </w:tr>
      <w:tr w:rsidR="00397040" w:rsidRPr="004761E0" w:rsidTr="00397040">
        <w:trPr>
          <w:trHeight w:val="16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rPr>
                <w:rFonts w:eastAsia="Times New Roman"/>
                <w:sz w:val="20"/>
                <w:szCs w:val="20"/>
                <w:lang w:eastAsia="ru-RU"/>
              </w:rPr>
            </w:pPr>
            <w:r w:rsidRPr="004761E0">
              <w:rPr>
                <w:rFonts w:eastAsia="Times New Roman"/>
                <w:sz w:val="20"/>
                <w:szCs w:val="20"/>
                <w:lang w:eastAsia="ru-RU"/>
              </w:rPr>
              <w:t xml:space="preserve">Вакулин К.В. </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 xml:space="preserve">Ведущий аудитор корпоративного управления </w:t>
            </w:r>
            <w:r>
              <w:rPr>
                <w:rFonts w:eastAsia="Times New Roman"/>
                <w:sz w:val="20"/>
                <w:szCs w:val="20"/>
                <w:lang w:eastAsia="ru-RU"/>
              </w:rPr>
              <w:t>ЗАО </w:t>
            </w:r>
            <w:r w:rsidRPr="004761E0">
              <w:rPr>
                <w:rFonts w:eastAsia="Times New Roman"/>
                <w:sz w:val="20"/>
                <w:szCs w:val="20"/>
                <w:lang w:eastAsia="ru-RU"/>
              </w:rPr>
              <w:t>«Лидер»</w:t>
            </w:r>
            <w:r>
              <w:rPr>
                <w:rFonts w:eastAsia="Times New Roman"/>
                <w:sz w:val="20"/>
                <w:szCs w:val="20"/>
                <w:lang w:eastAsia="ru-RU"/>
              </w:rPr>
              <w:t xml:space="preserve"> </w:t>
            </w:r>
            <w:r w:rsidRPr="004761E0">
              <w:rPr>
                <w:sz w:val="20"/>
                <w:szCs w:val="20"/>
              </w:rPr>
              <w:t>(Компани</w:t>
            </w:r>
            <w:r>
              <w:rPr>
                <w:sz w:val="20"/>
                <w:szCs w:val="20"/>
              </w:rPr>
              <w:t>и</w:t>
            </w:r>
            <w:r w:rsidRPr="004761E0">
              <w:rPr>
                <w:sz w:val="20"/>
                <w:szCs w:val="20"/>
              </w:rPr>
              <w:t xml:space="preserve"> по управлению активами пенсионного фонда)</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397040" w:rsidRPr="004761E0" w:rsidRDefault="00397040" w:rsidP="000B3F0E">
            <w:pPr>
              <w:ind w:firstLine="0"/>
              <w:jc w:val="right"/>
              <w:rPr>
                <w:rFonts w:eastAsia="Times New Roman"/>
                <w:sz w:val="20"/>
                <w:szCs w:val="20"/>
                <w:lang w:eastAsia="ru-RU"/>
              </w:rPr>
            </w:pPr>
            <w:r w:rsidRPr="004761E0">
              <w:rPr>
                <w:rFonts w:eastAsia="Times New Roman"/>
                <w:sz w:val="20"/>
                <w:szCs w:val="20"/>
                <w:lang w:eastAsia="ru-RU"/>
              </w:rPr>
              <w:t>–</w:t>
            </w:r>
          </w:p>
        </w:tc>
      </w:tr>
      <w:tr w:rsidR="00397040" w:rsidRPr="004761E0" w:rsidTr="00397040">
        <w:trPr>
          <w:trHeight w:val="16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rPr>
                <w:rFonts w:eastAsia="Times New Roman"/>
                <w:sz w:val="20"/>
                <w:szCs w:val="20"/>
                <w:lang w:eastAsia="ru-RU"/>
              </w:rPr>
            </w:pPr>
            <w:r w:rsidRPr="004761E0">
              <w:rPr>
                <w:rFonts w:eastAsia="Times New Roman"/>
                <w:sz w:val="20"/>
                <w:szCs w:val="20"/>
                <w:lang w:eastAsia="ru-RU"/>
              </w:rPr>
              <w:t>Готлиб Д.И.</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 xml:space="preserve">Заместитель исполнительного директора по развитию и взаимоотношениям с клиентами </w:t>
            </w:r>
            <w:r>
              <w:rPr>
                <w:rFonts w:eastAsia="Times New Roman"/>
                <w:sz w:val="20"/>
                <w:szCs w:val="20"/>
                <w:lang w:eastAsia="ru-RU"/>
              </w:rPr>
              <w:t>ОАО </w:t>
            </w:r>
            <w:r w:rsidRPr="004761E0">
              <w:rPr>
                <w:rFonts w:eastAsia="Times New Roman"/>
                <w:sz w:val="20"/>
                <w:szCs w:val="20"/>
                <w:lang w:eastAsia="ru-RU"/>
              </w:rPr>
              <w:t>«Холдинг МРСК»</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397040" w:rsidRPr="004761E0" w:rsidRDefault="00397040" w:rsidP="000B3F0E">
            <w:pPr>
              <w:ind w:firstLine="0"/>
              <w:jc w:val="right"/>
              <w:rPr>
                <w:rFonts w:eastAsia="Times New Roman"/>
                <w:sz w:val="20"/>
                <w:szCs w:val="20"/>
                <w:lang w:eastAsia="ru-RU"/>
              </w:rPr>
            </w:pPr>
            <w:r w:rsidRPr="004761E0">
              <w:rPr>
                <w:rFonts w:eastAsia="Times New Roman"/>
                <w:sz w:val="20"/>
                <w:szCs w:val="20"/>
                <w:lang w:eastAsia="ru-RU"/>
              </w:rPr>
              <w:t>–</w:t>
            </w:r>
          </w:p>
        </w:tc>
      </w:tr>
      <w:tr w:rsidR="00397040" w:rsidRPr="004761E0" w:rsidTr="00397040">
        <w:trPr>
          <w:trHeight w:val="16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rPr>
                <w:rFonts w:eastAsia="Times New Roman"/>
                <w:sz w:val="20"/>
                <w:szCs w:val="20"/>
                <w:lang w:eastAsia="ru-RU"/>
              </w:rPr>
            </w:pPr>
            <w:r w:rsidRPr="004761E0">
              <w:rPr>
                <w:rFonts w:eastAsia="Times New Roman"/>
                <w:sz w:val="20"/>
                <w:szCs w:val="20"/>
                <w:lang w:eastAsia="ru-RU"/>
              </w:rPr>
              <w:t xml:space="preserve">Зорин Ф.П. </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 xml:space="preserve">Заместитель генерального директора по развитию сети и оказанию услуг филиала </w:t>
            </w:r>
            <w:r>
              <w:rPr>
                <w:rFonts w:eastAsia="Times New Roman"/>
                <w:sz w:val="20"/>
                <w:szCs w:val="20"/>
                <w:lang w:eastAsia="ru-RU"/>
              </w:rPr>
              <w:t>ОАО «ФСК ЕЭС» –</w:t>
            </w:r>
            <w:r w:rsidRPr="004761E0">
              <w:rPr>
                <w:rFonts w:eastAsia="Times New Roman"/>
                <w:sz w:val="20"/>
                <w:szCs w:val="20"/>
                <w:lang w:eastAsia="ru-RU"/>
              </w:rPr>
              <w:t xml:space="preserve"> МЭС Центра</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397040" w:rsidRPr="004761E0" w:rsidRDefault="00397040" w:rsidP="000B3F0E">
            <w:pPr>
              <w:ind w:firstLine="0"/>
              <w:jc w:val="right"/>
              <w:rPr>
                <w:rFonts w:eastAsia="Times New Roman"/>
                <w:sz w:val="20"/>
                <w:szCs w:val="20"/>
                <w:lang w:eastAsia="ru-RU"/>
              </w:rPr>
            </w:pPr>
            <w:r w:rsidRPr="004761E0">
              <w:rPr>
                <w:rFonts w:eastAsia="Times New Roman"/>
                <w:sz w:val="20"/>
                <w:szCs w:val="20"/>
                <w:lang w:eastAsia="ru-RU"/>
              </w:rPr>
              <w:t>–</w:t>
            </w:r>
          </w:p>
        </w:tc>
      </w:tr>
      <w:tr w:rsidR="00397040" w:rsidRPr="004761E0" w:rsidTr="00397040">
        <w:trPr>
          <w:trHeight w:val="16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rPr>
                <w:rFonts w:eastAsia="Times New Roman"/>
                <w:sz w:val="20"/>
                <w:szCs w:val="20"/>
                <w:lang w:eastAsia="ru-RU"/>
              </w:rPr>
            </w:pPr>
            <w:r w:rsidRPr="004761E0">
              <w:rPr>
                <w:rFonts w:eastAsia="Times New Roman"/>
                <w:sz w:val="20"/>
                <w:szCs w:val="20"/>
                <w:lang w:eastAsia="ru-RU"/>
              </w:rPr>
              <w:t xml:space="preserve">Комаров В.М. </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 xml:space="preserve">Заместитель начальника Департамента перспективного развития и </w:t>
            </w:r>
            <w:r>
              <w:rPr>
                <w:rFonts w:eastAsia="Times New Roman"/>
                <w:sz w:val="20"/>
                <w:szCs w:val="20"/>
                <w:lang w:eastAsia="ru-RU"/>
              </w:rPr>
              <w:t>технологического присоединения –</w:t>
            </w:r>
            <w:r w:rsidRPr="004761E0">
              <w:rPr>
                <w:rFonts w:eastAsia="Times New Roman"/>
                <w:sz w:val="20"/>
                <w:szCs w:val="20"/>
                <w:lang w:eastAsia="ru-RU"/>
              </w:rPr>
              <w:t xml:space="preserve"> начальник отдела технологического присоединения </w:t>
            </w:r>
            <w:r>
              <w:rPr>
                <w:rFonts w:eastAsia="Times New Roman"/>
                <w:sz w:val="20"/>
                <w:szCs w:val="20"/>
                <w:lang w:eastAsia="ru-RU"/>
              </w:rPr>
              <w:t>ОАО </w:t>
            </w:r>
            <w:r w:rsidRPr="004761E0">
              <w:rPr>
                <w:rFonts w:eastAsia="Times New Roman"/>
                <w:sz w:val="20"/>
                <w:szCs w:val="20"/>
                <w:lang w:eastAsia="ru-RU"/>
              </w:rPr>
              <w:t>«Холдинг МРСК»</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397040" w:rsidRPr="004761E0" w:rsidRDefault="00397040" w:rsidP="000B3F0E">
            <w:pPr>
              <w:ind w:firstLine="0"/>
              <w:jc w:val="right"/>
              <w:rPr>
                <w:rFonts w:eastAsia="Times New Roman"/>
                <w:sz w:val="20"/>
                <w:szCs w:val="20"/>
                <w:lang w:eastAsia="ru-RU"/>
              </w:rPr>
            </w:pPr>
            <w:r w:rsidRPr="004761E0">
              <w:rPr>
                <w:rFonts w:eastAsia="Times New Roman"/>
                <w:sz w:val="20"/>
                <w:szCs w:val="20"/>
                <w:lang w:eastAsia="ru-RU"/>
              </w:rPr>
              <w:t>–</w:t>
            </w:r>
          </w:p>
        </w:tc>
      </w:tr>
      <w:tr w:rsidR="00397040" w:rsidRPr="004761E0" w:rsidTr="00397040">
        <w:trPr>
          <w:trHeight w:val="16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rPr>
                <w:rFonts w:eastAsia="Times New Roman"/>
                <w:sz w:val="20"/>
                <w:szCs w:val="20"/>
                <w:lang w:eastAsia="ru-RU"/>
              </w:rPr>
            </w:pPr>
            <w:r w:rsidRPr="004761E0">
              <w:rPr>
                <w:rFonts w:eastAsia="Times New Roman"/>
                <w:sz w:val="20"/>
                <w:szCs w:val="20"/>
                <w:lang w:eastAsia="ru-RU"/>
              </w:rPr>
              <w:t xml:space="preserve">Королев В.Г. </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Начальник управления контроля электроэнергетики ФАС России</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397040" w:rsidRPr="004761E0" w:rsidRDefault="00397040" w:rsidP="000B3F0E">
            <w:pPr>
              <w:ind w:firstLine="0"/>
              <w:jc w:val="right"/>
              <w:rPr>
                <w:rFonts w:eastAsia="Times New Roman"/>
                <w:sz w:val="20"/>
                <w:szCs w:val="20"/>
                <w:lang w:eastAsia="ru-RU"/>
              </w:rPr>
            </w:pPr>
            <w:r w:rsidRPr="004761E0">
              <w:rPr>
                <w:rFonts w:eastAsia="Times New Roman"/>
                <w:sz w:val="20"/>
                <w:szCs w:val="20"/>
                <w:lang w:eastAsia="ru-RU"/>
              </w:rPr>
              <w:t>–</w:t>
            </w:r>
          </w:p>
        </w:tc>
      </w:tr>
      <w:tr w:rsidR="00397040" w:rsidRPr="004761E0" w:rsidTr="00397040">
        <w:trPr>
          <w:trHeight w:val="16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rPr>
                <w:rFonts w:eastAsia="Times New Roman"/>
                <w:sz w:val="20"/>
                <w:szCs w:val="20"/>
                <w:lang w:eastAsia="ru-RU"/>
              </w:rPr>
            </w:pPr>
            <w:r w:rsidRPr="004761E0">
              <w:rPr>
                <w:rFonts w:eastAsia="Times New Roman"/>
                <w:sz w:val="20"/>
                <w:szCs w:val="20"/>
                <w:lang w:eastAsia="ru-RU"/>
              </w:rPr>
              <w:t xml:space="preserve">Масалева И.Б. </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 xml:space="preserve">Директор Департамента перспективного развития сети и технологического присоединения </w:t>
            </w:r>
            <w:r>
              <w:rPr>
                <w:rFonts w:eastAsia="Times New Roman"/>
                <w:sz w:val="20"/>
                <w:szCs w:val="20"/>
                <w:lang w:eastAsia="ru-RU"/>
              </w:rPr>
              <w:t>ОАО </w:t>
            </w:r>
            <w:r w:rsidRPr="004761E0">
              <w:rPr>
                <w:rFonts w:eastAsia="Times New Roman"/>
                <w:sz w:val="20"/>
                <w:szCs w:val="20"/>
                <w:lang w:eastAsia="ru-RU"/>
              </w:rPr>
              <w:t>«Россети»</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397040" w:rsidRPr="004761E0" w:rsidRDefault="00397040" w:rsidP="000B3F0E">
            <w:pPr>
              <w:ind w:firstLine="0"/>
              <w:jc w:val="right"/>
              <w:rPr>
                <w:rFonts w:eastAsia="Times New Roman"/>
                <w:sz w:val="20"/>
                <w:szCs w:val="20"/>
                <w:lang w:eastAsia="ru-RU"/>
              </w:rPr>
            </w:pPr>
            <w:r w:rsidRPr="004761E0">
              <w:rPr>
                <w:rFonts w:eastAsia="Times New Roman"/>
                <w:sz w:val="20"/>
                <w:szCs w:val="20"/>
                <w:lang w:eastAsia="ru-RU"/>
              </w:rPr>
              <w:t>–</w:t>
            </w:r>
          </w:p>
        </w:tc>
      </w:tr>
      <w:tr w:rsidR="00397040" w:rsidRPr="004761E0" w:rsidTr="00397040">
        <w:trPr>
          <w:trHeight w:val="16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rPr>
                <w:rFonts w:eastAsia="Times New Roman"/>
                <w:sz w:val="20"/>
                <w:szCs w:val="20"/>
                <w:lang w:eastAsia="ru-RU"/>
              </w:rPr>
            </w:pPr>
            <w:r w:rsidRPr="004761E0">
              <w:rPr>
                <w:rFonts w:eastAsia="Times New Roman"/>
                <w:sz w:val="20"/>
                <w:szCs w:val="20"/>
                <w:lang w:eastAsia="ru-RU"/>
              </w:rPr>
              <w:t xml:space="preserve">Панин А.А. </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 xml:space="preserve">Заместитель генерального директора по правовым вопросам </w:t>
            </w:r>
            <w:r>
              <w:rPr>
                <w:rFonts w:eastAsia="Times New Roman"/>
                <w:sz w:val="20"/>
                <w:szCs w:val="20"/>
                <w:lang w:eastAsia="ru-RU"/>
              </w:rPr>
              <w:t>ОАО </w:t>
            </w:r>
            <w:r w:rsidRPr="004761E0">
              <w:rPr>
                <w:rFonts w:eastAsia="Times New Roman"/>
                <w:sz w:val="20"/>
                <w:szCs w:val="20"/>
                <w:lang w:eastAsia="ru-RU"/>
              </w:rPr>
              <w:t>«МОЭСК»</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397040" w:rsidRPr="004761E0" w:rsidRDefault="00397040" w:rsidP="000B3F0E">
            <w:pPr>
              <w:ind w:firstLine="0"/>
              <w:jc w:val="right"/>
              <w:rPr>
                <w:rFonts w:eastAsia="Times New Roman"/>
                <w:sz w:val="20"/>
                <w:szCs w:val="20"/>
                <w:lang w:eastAsia="ru-RU"/>
              </w:rPr>
            </w:pPr>
            <w:r w:rsidRPr="004761E0">
              <w:rPr>
                <w:rFonts w:eastAsia="Times New Roman"/>
                <w:sz w:val="20"/>
                <w:szCs w:val="20"/>
                <w:lang w:eastAsia="ru-RU"/>
              </w:rPr>
              <w:t>–</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rPr>
                <w:rFonts w:eastAsia="Times New Roman"/>
                <w:sz w:val="20"/>
                <w:szCs w:val="20"/>
                <w:lang w:eastAsia="ru-RU"/>
              </w:rPr>
            </w:pPr>
            <w:r w:rsidRPr="004761E0">
              <w:rPr>
                <w:rFonts w:eastAsia="Times New Roman"/>
                <w:sz w:val="20"/>
                <w:szCs w:val="20"/>
                <w:lang w:eastAsia="ru-RU"/>
              </w:rPr>
              <w:t>Плешивцев В.Г.</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Первый заместитель руководителя Департамента топливно-энергетического хозяйства города Москвы</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397040" w:rsidRPr="004761E0" w:rsidRDefault="00397040" w:rsidP="000B3F0E">
            <w:pPr>
              <w:ind w:firstLine="0"/>
              <w:jc w:val="right"/>
              <w:rPr>
                <w:rFonts w:eastAsia="Times New Roman"/>
                <w:sz w:val="20"/>
                <w:szCs w:val="20"/>
                <w:lang w:eastAsia="ru-RU"/>
              </w:rPr>
            </w:pPr>
            <w:r w:rsidRPr="004761E0">
              <w:rPr>
                <w:rFonts w:eastAsia="Times New Roman"/>
                <w:sz w:val="20"/>
                <w:szCs w:val="20"/>
                <w:lang w:eastAsia="ru-RU"/>
              </w:rPr>
              <w:t>–</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rPr>
                <w:rFonts w:eastAsia="Times New Roman"/>
                <w:sz w:val="20"/>
                <w:szCs w:val="20"/>
                <w:lang w:eastAsia="ru-RU"/>
              </w:rPr>
            </w:pPr>
            <w:r w:rsidRPr="004761E0">
              <w:rPr>
                <w:rFonts w:eastAsia="Times New Roman"/>
                <w:sz w:val="20"/>
                <w:szCs w:val="20"/>
                <w:lang w:eastAsia="ru-RU"/>
              </w:rPr>
              <w:t xml:space="preserve">Пятигор А.М. </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 xml:space="preserve">Директор по перспективному развитию сети </w:t>
            </w:r>
            <w:r>
              <w:rPr>
                <w:rFonts w:eastAsia="Times New Roman"/>
                <w:sz w:val="20"/>
                <w:szCs w:val="20"/>
                <w:lang w:eastAsia="ru-RU"/>
              </w:rPr>
              <w:t>ОАО </w:t>
            </w:r>
            <w:r w:rsidRPr="004761E0">
              <w:rPr>
                <w:rFonts w:eastAsia="Times New Roman"/>
                <w:sz w:val="20"/>
                <w:szCs w:val="20"/>
                <w:lang w:eastAsia="ru-RU"/>
              </w:rPr>
              <w:t>«МОЭСК»</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397040" w:rsidRPr="004761E0" w:rsidRDefault="00397040" w:rsidP="000B3F0E">
            <w:pPr>
              <w:ind w:firstLine="0"/>
              <w:jc w:val="right"/>
              <w:rPr>
                <w:rFonts w:eastAsia="Times New Roman"/>
                <w:sz w:val="20"/>
                <w:szCs w:val="20"/>
                <w:lang w:eastAsia="ru-RU"/>
              </w:rPr>
            </w:pPr>
            <w:r w:rsidRPr="004761E0">
              <w:rPr>
                <w:rFonts w:eastAsia="Times New Roman"/>
                <w:sz w:val="20"/>
                <w:szCs w:val="20"/>
                <w:lang w:eastAsia="ru-RU"/>
              </w:rPr>
              <w:t>–</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rPr>
                <w:rFonts w:eastAsia="Times New Roman"/>
                <w:sz w:val="20"/>
                <w:szCs w:val="20"/>
                <w:lang w:eastAsia="ru-RU"/>
              </w:rPr>
            </w:pPr>
            <w:r w:rsidRPr="004761E0">
              <w:rPr>
                <w:rFonts w:eastAsia="Times New Roman"/>
                <w:sz w:val="20"/>
                <w:szCs w:val="20"/>
                <w:lang w:eastAsia="ru-RU"/>
              </w:rPr>
              <w:t>Синютин П.А.</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0B3F0E">
            <w:pPr>
              <w:ind w:firstLine="0"/>
              <w:jc w:val="left"/>
              <w:rPr>
                <w:rFonts w:eastAsia="Times New Roman"/>
                <w:sz w:val="20"/>
                <w:szCs w:val="20"/>
                <w:lang w:eastAsia="ru-RU"/>
              </w:rPr>
            </w:pPr>
            <w:r>
              <w:rPr>
                <w:rFonts w:eastAsia="Times New Roman"/>
                <w:sz w:val="20"/>
                <w:szCs w:val="20"/>
                <w:lang w:eastAsia="ru-RU"/>
              </w:rPr>
              <w:t>И.о. г</w:t>
            </w:r>
            <w:r w:rsidRPr="004761E0">
              <w:rPr>
                <w:rFonts w:eastAsia="Times New Roman"/>
                <w:sz w:val="20"/>
                <w:szCs w:val="20"/>
                <w:lang w:eastAsia="ru-RU"/>
              </w:rPr>
              <w:t xml:space="preserve">енерального директора </w:t>
            </w:r>
            <w:r>
              <w:rPr>
                <w:rFonts w:eastAsia="Times New Roman"/>
                <w:sz w:val="20"/>
                <w:szCs w:val="20"/>
                <w:lang w:eastAsia="ru-RU"/>
              </w:rPr>
              <w:t>ОАО </w:t>
            </w:r>
            <w:r w:rsidRPr="004761E0">
              <w:rPr>
                <w:rFonts w:eastAsia="Times New Roman"/>
                <w:sz w:val="20"/>
                <w:szCs w:val="20"/>
                <w:lang w:eastAsia="ru-RU"/>
              </w:rPr>
              <w:t>«МОЭСК»</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397040" w:rsidRPr="004761E0" w:rsidRDefault="00397040" w:rsidP="000B3F0E">
            <w:pPr>
              <w:ind w:firstLine="0"/>
              <w:jc w:val="right"/>
              <w:rPr>
                <w:rFonts w:eastAsia="Times New Roman"/>
                <w:sz w:val="20"/>
                <w:szCs w:val="20"/>
                <w:lang w:eastAsia="ru-RU"/>
              </w:rPr>
            </w:pPr>
            <w:r w:rsidRPr="004761E0">
              <w:rPr>
                <w:rFonts w:eastAsia="Times New Roman"/>
                <w:sz w:val="20"/>
                <w:szCs w:val="20"/>
                <w:lang w:eastAsia="ru-RU"/>
              </w:rPr>
              <w:t>–</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rPr>
                <w:rFonts w:eastAsia="Times New Roman"/>
                <w:sz w:val="20"/>
                <w:szCs w:val="20"/>
                <w:lang w:eastAsia="ru-RU"/>
              </w:rPr>
            </w:pPr>
            <w:r w:rsidRPr="004761E0">
              <w:rPr>
                <w:rFonts w:eastAsia="Times New Roman"/>
                <w:sz w:val="20"/>
                <w:szCs w:val="20"/>
                <w:lang w:eastAsia="ru-RU"/>
              </w:rPr>
              <w:t>Скляров Е.В.</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Руководитель Департамента топливно-энергетического хозяйства города Москвы</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397040" w:rsidRPr="004761E0" w:rsidRDefault="00397040" w:rsidP="000B3F0E">
            <w:pPr>
              <w:ind w:firstLine="0"/>
              <w:jc w:val="right"/>
              <w:rPr>
                <w:rFonts w:eastAsia="Times New Roman"/>
                <w:sz w:val="20"/>
                <w:szCs w:val="20"/>
                <w:lang w:eastAsia="ru-RU"/>
              </w:rPr>
            </w:pPr>
            <w:r w:rsidRPr="004761E0">
              <w:rPr>
                <w:rFonts w:eastAsia="Times New Roman"/>
                <w:sz w:val="20"/>
                <w:szCs w:val="20"/>
                <w:lang w:eastAsia="ru-RU"/>
              </w:rPr>
              <w:t>–</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rPr>
                <w:rFonts w:eastAsia="Times New Roman"/>
                <w:sz w:val="20"/>
                <w:szCs w:val="20"/>
                <w:lang w:eastAsia="ru-RU"/>
              </w:rPr>
            </w:pPr>
            <w:r w:rsidRPr="004761E0">
              <w:rPr>
                <w:rFonts w:eastAsia="Times New Roman"/>
                <w:sz w:val="20"/>
                <w:szCs w:val="20"/>
                <w:lang w:eastAsia="ru-RU"/>
              </w:rPr>
              <w:t>Тиховодов Е.А.</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 xml:space="preserve">Директор департамента экономики </w:t>
            </w:r>
            <w:r>
              <w:rPr>
                <w:rFonts w:eastAsia="Times New Roman"/>
                <w:sz w:val="20"/>
                <w:szCs w:val="20"/>
                <w:lang w:eastAsia="ru-RU"/>
              </w:rPr>
              <w:t>ОАО </w:t>
            </w:r>
            <w:r w:rsidRPr="004761E0">
              <w:rPr>
                <w:rFonts w:eastAsia="Times New Roman"/>
                <w:sz w:val="20"/>
                <w:szCs w:val="20"/>
                <w:lang w:eastAsia="ru-RU"/>
              </w:rPr>
              <w:t>«МОЭСК»</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397040" w:rsidRPr="004761E0" w:rsidRDefault="00397040" w:rsidP="000B3F0E">
            <w:pPr>
              <w:ind w:firstLine="0"/>
              <w:jc w:val="right"/>
              <w:rPr>
                <w:rFonts w:eastAsia="Times New Roman"/>
                <w:sz w:val="20"/>
                <w:szCs w:val="20"/>
                <w:lang w:eastAsia="ru-RU"/>
              </w:rPr>
            </w:pPr>
            <w:r w:rsidRPr="004761E0">
              <w:rPr>
                <w:rFonts w:eastAsia="Times New Roman"/>
                <w:sz w:val="20"/>
                <w:szCs w:val="20"/>
                <w:lang w:eastAsia="ru-RU"/>
              </w:rPr>
              <w:t>–</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rPr>
                <w:rFonts w:eastAsia="Times New Roman"/>
                <w:sz w:val="20"/>
                <w:szCs w:val="20"/>
                <w:lang w:eastAsia="ru-RU"/>
              </w:rPr>
            </w:pPr>
            <w:r w:rsidRPr="004761E0">
              <w:rPr>
                <w:rFonts w:eastAsia="Times New Roman"/>
                <w:sz w:val="20"/>
                <w:szCs w:val="20"/>
                <w:lang w:eastAsia="ru-RU"/>
              </w:rPr>
              <w:t>Тушунов Д.Ю.</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 xml:space="preserve">Главный экономист </w:t>
            </w:r>
            <w:r>
              <w:rPr>
                <w:rFonts w:eastAsia="Times New Roman"/>
                <w:sz w:val="20"/>
                <w:szCs w:val="20"/>
                <w:lang w:eastAsia="ru-RU"/>
              </w:rPr>
              <w:t>ЗАО </w:t>
            </w:r>
            <w:r w:rsidRPr="004761E0">
              <w:rPr>
                <w:rFonts w:eastAsia="Times New Roman"/>
                <w:sz w:val="20"/>
                <w:szCs w:val="20"/>
                <w:lang w:eastAsia="ru-RU"/>
              </w:rPr>
              <w:t>«Лидер»</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397040" w:rsidRPr="004761E0" w:rsidRDefault="00397040" w:rsidP="000B3F0E">
            <w:pPr>
              <w:ind w:firstLine="0"/>
              <w:jc w:val="right"/>
              <w:rPr>
                <w:rFonts w:eastAsia="Times New Roman"/>
                <w:sz w:val="20"/>
                <w:szCs w:val="20"/>
                <w:lang w:eastAsia="ru-RU"/>
              </w:rPr>
            </w:pPr>
            <w:r w:rsidRPr="004761E0">
              <w:rPr>
                <w:rFonts w:eastAsia="Times New Roman"/>
                <w:sz w:val="20"/>
                <w:szCs w:val="20"/>
                <w:lang w:eastAsia="ru-RU"/>
              </w:rPr>
              <w:t>–</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rPr>
                <w:rFonts w:eastAsia="Times New Roman"/>
                <w:sz w:val="20"/>
                <w:szCs w:val="20"/>
                <w:lang w:eastAsia="ru-RU"/>
              </w:rPr>
            </w:pPr>
            <w:r w:rsidRPr="004761E0">
              <w:rPr>
                <w:rFonts w:eastAsia="Times New Roman"/>
                <w:sz w:val="20"/>
                <w:szCs w:val="20"/>
                <w:lang w:eastAsia="ru-RU"/>
              </w:rPr>
              <w:t>Файрушина М.А.</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Министр Правительства Московской области по ценам и тарифам</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397040" w:rsidRPr="004761E0" w:rsidRDefault="00397040" w:rsidP="000B3F0E">
            <w:pPr>
              <w:ind w:firstLine="0"/>
              <w:jc w:val="right"/>
              <w:rPr>
                <w:rFonts w:eastAsia="Times New Roman"/>
                <w:sz w:val="20"/>
                <w:szCs w:val="20"/>
                <w:lang w:eastAsia="ru-RU"/>
              </w:rPr>
            </w:pPr>
            <w:r w:rsidRPr="004761E0">
              <w:rPr>
                <w:rFonts w:eastAsia="Times New Roman"/>
                <w:sz w:val="20"/>
                <w:szCs w:val="20"/>
                <w:lang w:eastAsia="ru-RU"/>
              </w:rPr>
              <w:t>–</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rPr>
                <w:rFonts w:eastAsia="Times New Roman"/>
                <w:sz w:val="20"/>
                <w:szCs w:val="20"/>
                <w:lang w:eastAsia="ru-RU"/>
              </w:rPr>
            </w:pPr>
            <w:r w:rsidRPr="004761E0">
              <w:rPr>
                <w:rFonts w:eastAsia="Times New Roman"/>
                <w:sz w:val="20"/>
                <w:szCs w:val="20"/>
                <w:lang w:eastAsia="ru-RU"/>
              </w:rPr>
              <w:t>Финогенов А.В.</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 xml:space="preserve">Руководитель инвестиционных проектов </w:t>
            </w:r>
            <w:r>
              <w:rPr>
                <w:rFonts w:eastAsia="Times New Roman"/>
                <w:sz w:val="20"/>
                <w:szCs w:val="20"/>
                <w:lang w:eastAsia="ru-RU"/>
              </w:rPr>
              <w:t>ЗАО </w:t>
            </w:r>
            <w:r w:rsidRPr="004761E0">
              <w:rPr>
                <w:rFonts w:eastAsia="Times New Roman"/>
                <w:sz w:val="20"/>
                <w:szCs w:val="20"/>
                <w:lang w:eastAsia="ru-RU"/>
              </w:rPr>
              <w:t>«Лидер»</w:t>
            </w:r>
            <w:r>
              <w:rPr>
                <w:rFonts w:eastAsia="Times New Roman"/>
                <w:sz w:val="20"/>
                <w:szCs w:val="20"/>
                <w:lang w:eastAsia="ru-RU"/>
              </w:rPr>
              <w:t xml:space="preserve"> </w:t>
            </w:r>
            <w:r w:rsidRPr="004761E0">
              <w:rPr>
                <w:sz w:val="20"/>
                <w:szCs w:val="20"/>
              </w:rPr>
              <w:t>(Компани</w:t>
            </w:r>
            <w:r>
              <w:rPr>
                <w:sz w:val="20"/>
                <w:szCs w:val="20"/>
              </w:rPr>
              <w:t>и</w:t>
            </w:r>
            <w:r w:rsidRPr="004761E0">
              <w:rPr>
                <w:sz w:val="20"/>
                <w:szCs w:val="20"/>
              </w:rPr>
              <w:t xml:space="preserve"> по управлению активами пенсионного фонда)</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397040" w:rsidRPr="004761E0" w:rsidRDefault="00397040" w:rsidP="000B3F0E">
            <w:pPr>
              <w:ind w:firstLine="0"/>
              <w:jc w:val="right"/>
              <w:rPr>
                <w:rFonts w:eastAsia="Times New Roman"/>
                <w:sz w:val="20"/>
                <w:szCs w:val="20"/>
                <w:lang w:eastAsia="ru-RU"/>
              </w:rPr>
            </w:pPr>
            <w:r w:rsidRPr="004761E0">
              <w:rPr>
                <w:rFonts w:eastAsia="Times New Roman"/>
                <w:sz w:val="20"/>
                <w:szCs w:val="20"/>
                <w:lang w:eastAsia="ru-RU"/>
              </w:rPr>
              <w:t>–</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rPr>
                <w:rFonts w:eastAsia="Times New Roman"/>
                <w:sz w:val="20"/>
                <w:szCs w:val="20"/>
                <w:lang w:eastAsia="ru-RU"/>
              </w:rPr>
            </w:pPr>
            <w:r w:rsidRPr="004761E0">
              <w:rPr>
                <w:rFonts w:eastAsia="Times New Roman"/>
                <w:sz w:val="20"/>
                <w:szCs w:val="20"/>
                <w:lang w:eastAsia="ru-RU"/>
              </w:rPr>
              <w:t>Хацкевич С.Ф.</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 xml:space="preserve">Заместитель генерального директора по развитию и реализации услуг </w:t>
            </w:r>
            <w:r>
              <w:rPr>
                <w:rFonts w:eastAsia="Times New Roman"/>
                <w:sz w:val="20"/>
                <w:szCs w:val="20"/>
                <w:lang w:eastAsia="ru-RU"/>
              </w:rPr>
              <w:t>ОАО </w:t>
            </w:r>
            <w:r w:rsidRPr="004761E0">
              <w:rPr>
                <w:rFonts w:eastAsia="Times New Roman"/>
                <w:sz w:val="20"/>
                <w:szCs w:val="20"/>
                <w:lang w:eastAsia="ru-RU"/>
              </w:rPr>
              <w:t>«МОЭСК»</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397040" w:rsidRPr="004761E0" w:rsidRDefault="00397040" w:rsidP="000B3F0E">
            <w:pPr>
              <w:ind w:firstLine="0"/>
              <w:jc w:val="right"/>
              <w:rPr>
                <w:rFonts w:eastAsia="Times New Roman"/>
                <w:sz w:val="20"/>
                <w:szCs w:val="20"/>
                <w:lang w:eastAsia="ru-RU"/>
              </w:rPr>
            </w:pPr>
            <w:r w:rsidRPr="004761E0">
              <w:rPr>
                <w:rFonts w:eastAsia="Times New Roman"/>
                <w:sz w:val="20"/>
                <w:szCs w:val="20"/>
                <w:lang w:eastAsia="ru-RU"/>
              </w:rPr>
              <w:t>–</w:t>
            </w:r>
          </w:p>
        </w:tc>
      </w:tr>
      <w:tr w:rsidR="00397040" w:rsidRPr="004761E0" w:rsidTr="00512DCC">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397040" w:rsidRPr="004761E0" w:rsidRDefault="00397040" w:rsidP="007076A7">
            <w:pPr>
              <w:pStyle w:val="a5"/>
              <w:numPr>
                <w:ilvl w:val="0"/>
                <w:numId w:val="42"/>
              </w:numPr>
              <w:ind w:left="0" w:firstLine="0"/>
              <w:contextualSpacing w:val="0"/>
              <w:jc w:val="left"/>
              <w:rPr>
                <w:rFonts w:eastAsia="Times New Roman"/>
                <w:sz w:val="20"/>
                <w:szCs w:val="20"/>
                <w:lang w:eastAsia="ru-RU"/>
              </w:rPr>
            </w:pPr>
          </w:p>
        </w:tc>
        <w:tc>
          <w:tcPr>
            <w:tcW w:w="15744" w:type="dxa"/>
            <w:gridSpan w:val="3"/>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97040" w:rsidRPr="00BA788C" w:rsidRDefault="00397040" w:rsidP="00397040">
            <w:pPr>
              <w:ind w:firstLine="0"/>
              <w:jc w:val="left"/>
              <w:rPr>
                <w:rFonts w:eastAsia="Times New Roman"/>
                <w:b/>
                <w:sz w:val="20"/>
                <w:szCs w:val="20"/>
                <w:lang w:eastAsia="ru-RU"/>
              </w:rPr>
            </w:pPr>
            <w:r w:rsidRPr="00BA788C">
              <w:rPr>
                <w:rFonts w:eastAsia="Times New Roman"/>
                <w:b/>
                <w:sz w:val="20"/>
                <w:szCs w:val="20"/>
                <w:lang w:eastAsia="ru-RU"/>
              </w:rPr>
              <w:t>Комитет по стратегии и развитию</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Ардеев А.В.</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0B3F0E">
            <w:pPr>
              <w:ind w:firstLine="0"/>
              <w:jc w:val="left"/>
              <w:rPr>
                <w:sz w:val="20"/>
                <w:szCs w:val="20"/>
              </w:rPr>
            </w:pPr>
            <w:r w:rsidRPr="004761E0">
              <w:rPr>
                <w:sz w:val="20"/>
                <w:szCs w:val="20"/>
              </w:rPr>
              <w:t xml:space="preserve">Начальник отдела корпоративного управления </w:t>
            </w:r>
            <w:r>
              <w:rPr>
                <w:sz w:val="20"/>
                <w:szCs w:val="20"/>
              </w:rPr>
              <w:t>ЗАО </w:t>
            </w:r>
            <w:r w:rsidRPr="004761E0">
              <w:rPr>
                <w:sz w:val="20"/>
                <w:szCs w:val="20"/>
              </w:rPr>
              <w:t>«Лидер»</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7 из </w:t>
            </w:r>
            <w:r w:rsidRPr="004761E0">
              <w:rPr>
                <w:rFonts w:eastAsia="Times New Roman"/>
                <w:sz w:val="20"/>
                <w:szCs w:val="20"/>
                <w:lang w:eastAsia="ru-RU"/>
              </w:rPr>
              <w:t>7</w:t>
            </w:r>
            <w:r>
              <w:rPr>
                <w:rFonts w:eastAsia="Times New Roman"/>
                <w:sz w:val="20"/>
                <w:szCs w:val="20"/>
                <w:lang w:eastAsia="ru-RU"/>
              </w:rPr>
              <w:t>, явка 100 %</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Балаева С.А.</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0B3F0E">
            <w:pPr>
              <w:ind w:firstLine="0"/>
              <w:jc w:val="left"/>
              <w:rPr>
                <w:sz w:val="20"/>
                <w:szCs w:val="20"/>
              </w:rPr>
            </w:pPr>
            <w:r w:rsidRPr="004761E0">
              <w:rPr>
                <w:sz w:val="20"/>
                <w:szCs w:val="20"/>
              </w:rPr>
              <w:t xml:space="preserve">Директор Департамента инвестиционной деятельности </w:t>
            </w:r>
            <w:r>
              <w:rPr>
                <w:sz w:val="20"/>
                <w:szCs w:val="20"/>
              </w:rPr>
              <w:t>ОАО </w:t>
            </w:r>
            <w:r w:rsidRPr="004761E0">
              <w:rPr>
                <w:sz w:val="20"/>
                <w:szCs w:val="20"/>
              </w:rPr>
              <w:t>«Россети»</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6 из </w:t>
            </w:r>
            <w:r w:rsidRPr="004761E0">
              <w:rPr>
                <w:rFonts w:eastAsia="Times New Roman"/>
                <w:sz w:val="20"/>
                <w:szCs w:val="20"/>
                <w:lang w:eastAsia="ru-RU"/>
              </w:rPr>
              <w:t>7</w:t>
            </w:r>
            <w:r>
              <w:rPr>
                <w:rFonts w:eastAsia="Times New Roman"/>
                <w:sz w:val="20"/>
                <w:szCs w:val="20"/>
                <w:lang w:eastAsia="ru-RU"/>
              </w:rPr>
              <w:t>, явка 85,71 %</w:t>
            </w:r>
          </w:p>
        </w:tc>
      </w:tr>
      <w:tr w:rsidR="00397040" w:rsidRPr="004761E0" w:rsidTr="00397040">
        <w:trPr>
          <w:trHeight w:val="16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Башинджагян А.А.</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0B3F0E">
            <w:pPr>
              <w:ind w:firstLine="0"/>
              <w:jc w:val="left"/>
              <w:rPr>
                <w:sz w:val="20"/>
                <w:szCs w:val="20"/>
              </w:rPr>
            </w:pPr>
            <w:r w:rsidRPr="004761E0">
              <w:rPr>
                <w:sz w:val="20"/>
                <w:szCs w:val="20"/>
              </w:rPr>
              <w:t>Консультант отдела корпоративного управления Департамента корпоративного управления, ценовой конъюнктуры и контрольно-ревизионной работы в отраслях ТЭК Минэнерго России</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3 из </w:t>
            </w:r>
            <w:r w:rsidRPr="004761E0">
              <w:rPr>
                <w:rFonts w:eastAsia="Times New Roman"/>
                <w:sz w:val="20"/>
                <w:szCs w:val="20"/>
                <w:lang w:eastAsia="ru-RU"/>
              </w:rPr>
              <w:t>7</w:t>
            </w:r>
            <w:r>
              <w:rPr>
                <w:rFonts w:eastAsia="Times New Roman"/>
                <w:sz w:val="20"/>
                <w:szCs w:val="20"/>
                <w:lang w:eastAsia="ru-RU"/>
              </w:rPr>
              <w:t>, явка 42,86 %</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Богатенков А.А.</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0B3F0E">
            <w:pPr>
              <w:ind w:firstLine="0"/>
              <w:jc w:val="left"/>
              <w:rPr>
                <w:sz w:val="20"/>
                <w:szCs w:val="20"/>
              </w:rPr>
            </w:pPr>
            <w:r w:rsidRPr="004761E0">
              <w:rPr>
                <w:sz w:val="20"/>
                <w:szCs w:val="20"/>
              </w:rPr>
              <w:t>Заместитель руководителя Департамента топливно-энергетического хозяйства города Москвы</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7 из </w:t>
            </w:r>
            <w:r w:rsidRPr="004761E0">
              <w:rPr>
                <w:rFonts w:eastAsia="Times New Roman"/>
                <w:sz w:val="20"/>
                <w:szCs w:val="20"/>
                <w:lang w:eastAsia="ru-RU"/>
              </w:rPr>
              <w:t>11</w:t>
            </w:r>
            <w:r>
              <w:rPr>
                <w:rFonts w:eastAsia="Times New Roman"/>
                <w:sz w:val="20"/>
                <w:szCs w:val="20"/>
                <w:lang w:eastAsia="ru-RU"/>
              </w:rPr>
              <w:t>, явка 63,64 %</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Борисов Е.И.</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0B3F0E">
            <w:pPr>
              <w:ind w:firstLine="0"/>
              <w:jc w:val="left"/>
              <w:rPr>
                <w:sz w:val="20"/>
                <w:szCs w:val="20"/>
              </w:rPr>
            </w:pPr>
            <w:r w:rsidRPr="004761E0">
              <w:rPr>
                <w:sz w:val="20"/>
                <w:szCs w:val="20"/>
              </w:rPr>
              <w:t>Директор проекта ГПБ (ОАО)</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9 из </w:t>
            </w:r>
            <w:r w:rsidRPr="004761E0">
              <w:rPr>
                <w:rFonts w:eastAsia="Times New Roman"/>
                <w:sz w:val="20"/>
                <w:szCs w:val="20"/>
                <w:lang w:eastAsia="ru-RU"/>
              </w:rPr>
              <w:t>17</w:t>
            </w:r>
            <w:r>
              <w:rPr>
                <w:rFonts w:eastAsia="Times New Roman"/>
                <w:sz w:val="20"/>
                <w:szCs w:val="20"/>
                <w:lang w:eastAsia="ru-RU"/>
              </w:rPr>
              <w:t>, явка 52,94 %</w:t>
            </w:r>
          </w:p>
        </w:tc>
      </w:tr>
      <w:tr w:rsidR="00397040" w:rsidRPr="004761E0" w:rsidTr="00397040">
        <w:trPr>
          <w:trHeight w:val="16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contextualSpacing w:val="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0B3F0E">
            <w:pPr>
              <w:ind w:firstLine="0"/>
              <w:jc w:val="left"/>
              <w:rPr>
                <w:rFonts w:eastAsia="Times New Roman"/>
                <w:sz w:val="20"/>
                <w:szCs w:val="20"/>
                <w:lang w:eastAsia="ru-RU"/>
              </w:rPr>
            </w:pPr>
            <w:r w:rsidRPr="004761E0">
              <w:rPr>
                <w:rFonts w:eastAsia="Times New Roman"/>
                <w:sz w:val="20"/>
                <w:szCs w:val="20"/>
                <w:lang w:eastAsia="ru-RU"/>
              </w:rPr>
              <w:t>Гончаров В.А.</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0B3F0E">
            <w:pPr>
              <w:ind w:firstLine="0"/>
              <w:jc w:val="left"/>
              <w:rPr>
                <w:sz w:val="20"/>
                <w:szCs w:val="20"/>
              </w:rPr>
            </w:pPr>
            <w:r w:rsidRPr="004761E0">
              <w:rPr>
                <w:sz w:val="20"/>
                <w:szCs w:val="20"/>
              </w:rPr>
              <w:t xml:space="preserve">Заместитель Председателя Правления </w:t>
            </w:r>
            <w:r>
              <w:rPr>
                <w:sz w:val="20"/>
                <w:szCs w:val="20"/>
              </w:rPr>
              <w:t>ОАО </w:t>
            </w:r>
            <w:r w:rsidRPr="004761E0">
              <w:rPr>
                <w:sz w:val="20"/>
                <w:szCs w:val="20"/>
              </w:rPr>
              <w:t xml:space="preserve">«ФСК ЕЭС», Заместитель исполнительного директора по инвестиционной деятельности </w:t>
            </w:r>
            <w:r>
              <w:rPr>
                <w:sz w:val="20"/>
                <w:szCs w:val="20"/>
              </w:rPr>
              <w:t>ОАО </w:t>
            </w:r>
            <w:r w:rsidRPr="004761E0">
              <w:rPr>
                <w:sz w:val="20"/>
                <w:szCs w:val="20"/>
              </w:rPr>
              <w:t>«Холдинг МРСК»</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9 из </w:t>
            </w:r>
            <w:r w:rsidRPr="004761E0">
              <w:rPr>
                <w:rFonts w:eastAsia="Times New Roman"/>
                <w:sz w:val="20"/>
                <w:szCs w:val="20"/>
                <w:lang w:eastAsia="ru-RU"/>
              </w:rPr>
              <w:t>10</w:t>
            </w:r>
            <w:r>
              <w:rPr>
                <w:rFonts w:eastAsia="Times New Roman"/>
                <w:sz w:val="20"/>
                <w:szCs w:val="20"/>
                <w:lang w:eastAsia="ru-RU"/>
              </w:rPr>
              <w:t>, явка 90,00 %</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C34130">
            <w:pPr>
              <w:ind w:firstLine="0"/>
              <w:jc w:val="left"/>
              <w:rPr>
                <w:rFonts w:eastAsia="Times New Roman"/>
                <w:sz w:val="20"/>
                <w:szCs w:val="20"/>
                <w:lang w:eastAsia="ru-RU"/>
              </w:rPr>
            </w:pPr>
            <w:r w:rsidRPr="004761E0">
              <w:rPr>
                <w:rFonts w:eastAsia="Times New Roman"/>
                <w:sz w:val="20"/>
                <w:szCs w:val="20"/>
                <w:lang w:eastAsia="ru-RU"/>
              </w:rPr>
              <w:t>Демидов А.В.</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sidRPr="004761E0">
              <w:rPr>
                <w:sz w:val="20"/>
                <w:szCs w:val="20"/>
              </w:rPr>
              <w:t xml:space="preserve">Первый заместитель исполнительного директора </w:t>
            </w:r>
            <w:r>
              <w:rPr>
                <w:sz w:val="20"/>
                <w:szCs w:val="20"/>
              </w:rPr>
              <w:t>ОАО </w:t>
            </w:r>
            <w:r w:rsidRPr="004761E0">
              <w:rPr>
                <w:sz w:val="20"/>
                <w:szCs w:val="20"/>
              </w:rPr>
              <w:t>«Холдинг МРСК»</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10 из </w:t>
            </w:r>
            <w:r w:rsidRPr="004761E0">
              <w:rPr>
                <w:rFonts w:eastAsia="Times New Roman"/>
                <w:sz w:val="20"/>
                <w:szCs w:val="20"/>
                <w:lang w:eastAsia="ru-RU"/>
              </w:rPr>
              <w:t>10</w:t>
            </w:r>
            <w:r>
              <w:rPr>
                <w:rFonts w:eastAsia="Times New Roman"/>
                <w:sz w:val="20"/>
                <w:szCs w:val="20"/>
                <w:lang w:eastAsia="ru-RU"/>
              </w:rPr>
              <w:t>, явка 100 %</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C34130">
            <w:pPr>
              <w:ind w:firstLine="0"/>
              <w:jc w:val="left"/>
              <w:rPr>
                <w:rFonts w:eastAsia="Times New Roman"/>
                <w:sz w:val="20"/>
                <w:szCs w:val="20"/>
                <w:lang w:eastAsia="ru-RU"/>
              </w:rPr>
            </w:pPr>
            <w:r w:rsidRPr="004761E0">
              <w:rPr>
                <w:rFonts w:eastAsia="Times New Roman"/>
                <w:sz w:val="20"/>
                <w:szCs w:val="20"/>
                <w:lang w:eastAsia="ru-RU"/>
              </w:rPr>
              <w:t>Демин А.А.</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Pr>
                <w:sz w:val="20"/>
                <w:szCs w:val="20"/>
              </w:rPr>
              <w:t>Первый заместитель г</w:t>
            </w:r>
            <w:r w:rsidRPr="004761E0">
              <w:rPr>
                <w:sz w:val="20"/>
                <w:szCs w:val="20"/>
              </w:rPr>
              <w:t xml:space="preserve">енерального директора по экономике и финансам </w:t>
            </w:r>
            <w:r>
              <w:rPr>
                <w:sz w:val="20"/>
                <w:szCs w:val="20"/>
              </w:rPr>
              <w:t>ОАО </w:t>
            </w:r>
            <w:r w:rsidRPr="004761E0">
              <w:rPr>
                <w:sz w:val="20"/>
                <w:szCs w:val="20"/>
              </w:rPr>
              <w:t>«Россети»</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5 из </w:t>
            </w:r>
            <w:r w:rsidRPr="004761E0">
              <w:rPr>
                <w:rFonts w:eastAsia="Times New Roman"/>
                <w:sz w:val="20"/>
                <w:szCs w:val="20"/>
                <w:lang w:eastAsia="ru-RU"/>
              </w:rPr>
              <w:t>17</w:t>
            </w:r>
            <w:r>
              <w:rPr>
                <w:rFonts w:eastAsia="Times New Roman"/>
                <w:sz w:val="20"/>
                <w:szCs w:val="20"/>
                <w:lang w:eastAsia="ru-RU"/>
              </w:rPr>
              <w:t>, явка 29,41 %</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C34130">
            <w:pPr>
              <w:ind w:firstLine="0"/>
              <w:jc w:val="left"/>
              <w:rPr>
                <w:rFonts w:eastAsia="Times New Roman"/>
                <w:sz w:val="20"/>
                <w:szCs w:val="20"/>
                <w:lang w:eastAsia="ru-RU"/>
              </w:rPr>
            </w:pPr>
            <w:r w:rsidRPr="004761E0">
              <w:rPr>
                <w:rFonts w:eastAsia="Times New Roman"/>
                <w:sz w:val="20"/>
                <w:szCs w:val="20"/>
                <w:lang w:eastAsia="ru-RU"/>
              </w:rPr>
              <w:t>Иванов Т.В.</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sidRPr="004761E0">
              <w:rPr>
                <w:sz w:val="20"/>
                <w:szCs w:val="20"/>
              </w:rPr>
              <w:t>Заместитель Председателя Правительства Московской области</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1 из </w:t>
            </w:r>
            <w:r w:rsidRPr="004761E0">
              <w:rPr>
                <w:rFonts w:eastAsia="Times New Roman"/>
                <w:sz w:val="20"/>
                <w:szCs w:val="20"/>
                <w:lang w:eastAsia="ru-RU"/>
              </w:rPr>
              <w:t>1</w:t>
            </w:r>
            <w:r>
              <w:rPr>
                <w:rFonts w:eastAsia="Times New Roman"/>
                <w:sz w:val="20"/>
                <w:szCs w:val="20"/>
                <w:lang w:eastAsia="ru-RU"/>
              </w:rPr>
              <w:t>, явка 100 %</w:t>
            </w:r>
          </w:p>
        </w:tc>
      </w:tr>
      <w:tr w:rsidR="00397040" w:rsidRPr="004761E0" w:rsidTr="00397040">
        <w:trPr>
          <w:trHeight w:val="16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C34130">
            <w:pPr>
              <w:ind w:firstLine="0"/>
              <w:jc w:val="left"/>
              <w:rPr>
                <w:rFonts w:eastAsia="Times New Roman"/>
                <w:sz w:val="20"/>
                <w:szCs w:val="20"/>
                <w:lang w:eastAsia="ru-RU"/>
              </w:rPr>
            </w:pPr>
            <w:r w:rsidRPr="004761E0">
              <w:rPr>
                <w:rFonts w:eastAsia="Times New Roman"/>
                <w:sz w:val="20"/>
                <w:szCs w:val="20"/>
                <w:lang w:eastAsia="ru-RU"/>
              </w:rPr>
              <w:t>Игумнов Н.Г.</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sidRPr="004761E0">
              <w:rPr>
                <w:sz w:val="20"/>
                <w:szCs w:val="20"/>
              </w:rPr>
              <w:t>Старший менеджер проекта Управления электроэнергетики и инфраструктурных проектов Департамента прямых инвестиций ГПБ (ОАО)</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7 из </w:t>
            </w:r>
            <w:r w:rsidRPr="004761E0">
              <w:rPr>
                <w:rFonts w:eastAsia="Times New Roman"/>
                <w:sz w:val="20"/>
                <w:szCs w:val="20"/>
                <w:lang w:eastAsia="ru-RU"/>
              </w:rPr>
              <w:t>7</w:t>
            </w:r>
            <w:r>
              <w:rPr>
                <w:rFonts w:eastAsia="Times New Roman"/>
                <w:sz w:val="20"/>
                <w:szCs w:val="20"/>
                <w:lang w:eastAsia="ru-RU"/>
              </w:rPr>
              <w:t>, явка 100 %</w:t>
            </w:r>
          </w:p>
        </w:tc>
      </w:tr>
      <w:tr w:rsidR="00397040" w:rsidRPr="004761E0" w:rsidTr="00397040">
        <w:trPr>
          <w:trHeight w:val="16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C34130">
            <w:pPr>
              <w:ind w:firstLine="0"/>
              <w:jc w:val="left"/>
              <w:rPr>
                <w:rFonts w:eastAsia="Times New Roman"/>
                <w:sz w:val="20"/>
                <w:szCs w:val="20"/>
                <w:lang w:eastAsia="ru-RU"/>
              </w:rPr>
            </w:pPr>
            <w:r w:rsidRPr="004761E0">
              <w:rPr>
                <w:rFonts w:eastAsia="Times New Roman"/>
                <w:sz w:val="20"/>
                <w:szCs w:val="20"/>
                <w:lang w:eastAsia="ru-RU"/>
              </w:rPr>
              <w:t>Иноземцев А.В.</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sidRPr="004761E0">
              <w:rPr>
                <w:sz w:val="20"/>
                <w:szCs w:val="20"/>
              </w:rPr>
              <w:t xml:space="preserve">Первый заместитель генерального директора по финансово-экономической деятельности и корпоративному управлению </w:t>
            </w:r>
            <w:r>
              <w:rPr>
                <w:sz w:val="20"/>
                <w:szCs w:val="20"/>
              </w:rPr>
              <w:t>ОАО </w:t>
            </w:r>
            <w:r w:rsidRPr="004761E0">
              <w:rPr>
                <w:sz w:val="20"/>
                <w:szCs w:val="20"/>
              </w:rPr>
              <w:t>«МОЭСК»</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7 из </w:t>
            </w:r>
            <w:r w:rsidRPr="004761E0">
              <w:rPr>
                <w:rFonts w:eastAsia="Times New Roman"/>
                <w:sz w:val="20"/>
                <w:szCs w:val="20"/>
                <w:lang w:eastAsia="ru-RU"/>
              </w:rPr>
              <w:t>7</w:t>
            </w:r>
            <w:r>
              <w:rPr>
                <w:rFonts w:eastAsia="Times New Roman"/>
                <w:sz w:val="20"/>
                <w:szCs w:val="20"/>
                <w:lang w:eastAsia="ru-RU"/>
              </w:rPr>
              <w:t>, явка 100 %</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C34130">
            <w:pPr>
              <w:ind w:firstLine="0"/>
              <w:jc w:val="left"/>
              <w:rPr>
                <w:rFonts w:eastAsia="Times New Roman"/>
                <w:sz w:val="20"/>
                <w:szCs w:val="20"/>
                <w:lang w:eastAsia="ru-RU"/>
              </w:rPr>
            </w:pPr>
            <w:r w:rsidRPr="004761E0">
              <w:rPr>
                <w:rFonts w:eastAsia="Times New Roman"/>
                <w:sz w:val="20"/>
                <w:szCs w:val="20"/>
                <w:lang w:eastAsia="ru-RU"/>
              </w:rPr>
              <w:t>Кручинин М.А.</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sidRPr="004761E0">
              <w:rPr>
                <w:sz w:val="20"/>
                <w:szCs w:val="20"/>
              </w:rPr>
              <w:t>Министр энергетики Московской области</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2 из </w:t>
            </w:r>
            <w:r w:rsidRPr="004761E0">
              <w:rPr>
                <w:rFonts w:eastAsia="Times New Roman"/>
                <w:sz w:val="20"/>
                <w:szCs w:val="20"/>
                <w:lang w:eastAsia="ru-RU"/>
              </w:rPr>
              <w:t>11</w:t>
            </w:r>
            <w:r>
              <w:rPr>
                <w:rFonts w:eastAsia="Times New Roman"/>
                <w:sz w:val="20"/>
                <w:szCs w:val="20"/>
                <w:lang w:eastAsia="ru-RU"/>
              </w:rPr>
              <w:t>, явка 18,18 %</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C34130">
            <w:pPr>
              <w:ind w:firstLine="0"/>
              <w:jc w:val="left"/>
              <w:rPr>
                <w:rFonts w:eastAsia="Times New Roman"/>
                <w:sz w:val="20"/>
                <w:szCs w:val="20"/>
                <w:lang w:eastAsia="ru-RU"/>
              </w:rPr>
            </w:pPr>
            <w:r w:rsidRPr="004761E0">
              <w:rPr>
                <w:rFonts w:eastAsia="Times New Roman"/>
                <w:sz w:val="20"/>
                <w:szCs w:val="20"/>
                <w:lang w:eastAsia="ru-RU"/>
              </w:rPr>
              <w:t>Лебедев С.Ю.</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sidRPr="004761E0">
              <w:rPr>
                <w:sz w:val="20"/>
                <w:szCs w:val="20"/>
              </w:rPr>
              <w:t xml:space="preserve">Директор Департамента стратегического развития </w:t>
            </w:r>
            <w:r>
              <w:rPr>
                <w:sz w:val="20"/>
                <w:szCs w:val="20"/>
              </w:rPr>
              <w:t>ОАО </w:t>
            </w:r>
            <w:r w:rsidRPr="004761E0">
              <w:rPr>
                <w:sz w:val="20"/>
                <w:szCs w:val="20"/>
              </w:rPr>
              <w:t>«Россети»</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7 из </w:t>
            </w:r>
            <w:r w:rsidRPr="004761E0">
              <w:rPr>
                <w:rFonts w:eastAsia="Times New Roman"/>
                <w:sz w:val="20"/>
                <w:szCs w:val="20"/>
                <w:lang w:eastAsia="ru-RU"/>
              </w:rPr>
              <w:t>7</w:t>
            </w:r>
            <w:r>
              <w:rPr>
                <w:rFonts w:eastAsia="Times New Roman"/>
                <w:sz w:val="20"/>
                <w:szCs w:val="20"/>
                <w:lang w:eastAsia="ru-RU"/>
              </w:rPr>
              <w:t>, явка 100 %</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C34130">
            <w:pPr>
              <w:ind w:firstLine="0"/>
              <w:jc w:val="left"/>
              <w:rPr>
                <w:rFonts w:eastAsia="Times New Roman"/>
                <w:sz w:val="20"/>
                <w:szCs w:val="20"/>
                <w:lang w:eastAsia="ru-RU"/>
              </w:rPr>
            </w:pPr>
            <w:r w:rsidRPr="004761E0">
              <w:rPr>
                <w:sz w:val="20"/>
                <w:szCs w:val="20"/>
              </w:rPr>
              <w:t>Неганов Л.В.</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rFonts w:eastAsia="Times New Roman"/>
                <w:sz w:val="20"/>
                <w:szCs w:val="20"/>
                <w:lang w:eastAsia="ru-RU"/>
              </w:rPr>
            </w:pPr>
            <w:r w:rsidRPr="004761E0">
              <w:rPr>
                <w:sz w:val="20"/>
                <w:szCs w:val="20"/>
              </w:rPr>
              <w:t>Министр энергетики Московской области</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C34130">
            <w:pPr>
              <w:ind w:firstLine="0"/>
              <w:jc w:val="right"/>
              <w:rPr>
                <w:rFonts w:eastAsia="Times New Roman"/>
                <w:sz w:val="20"/>
                <w:szCs w:val="20"/>
                <w:lang w:eastAsia="ru-RU"/>
              </w:rPr>
            </w:pPr>
            <w:r>
              <w:rPr>
                <w:rFonts w:eastAsia="Times New Roman"/>
                <w:sz w:val="20"/>
                <w:szCs w:val="20"/>
                <w:lang w:eastAsia="ru-RU"/>
              </w:rPr>
              <w:t xml:space="preserve">0 из </w:t>
            </w:r>
            <w:r w:rsidRPr="004761E0">
              <w:rPr>
                <w:rFonts w:eastAsia="Times New Roman"/>
                <w:sz w:val="20"/>
                <w:szCs w:val="20"/>
                <w:lang w:eastAsia="ru-RU"/>
              </w:rPr>
              <w:t>0</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C34130">
            <w:pPr>
              <w:ind w:firstLine="0"/>
              <w:jc w:val="left"/>
              <w:rPr>
                <w:rFonts w:eastAsia="Times New Roman"/>
                <w:sz w:val="20"/>
                <w:szCs w:val="20"/>
                <w:lang w:eastAsia="ru-RU"/>
              </w:rPr>
            </w:pPr>
            <w:r w:rsidRPr="004761E0">
              <w:rPr>
                <w:rFonts w:eastAsia="Times New Roman"/>
                <w:sz w:val="20"/>
                <w:szCs w:val="20"/>
                <w:lang w:eastAsia="ru-RU"/>
              </w:rPr>
              <w:t>Никитин С.А.</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C359B0">
            <w:pPr>
              <w:ind w:firstLine="0"/>
              <w:jc w:val="left"/>
              <w:rPr>
                <w:sz w:val="20"/>
                <w:szCs w:val="20"/>
              </w:rPr>
            </w:pPr>
            <w:r w:rsidRPr="004761E0">
              <w:rPr>
                <w:sz w:val="20"/>
                <w:szCs w:val="20"/>
              </w:rPr>
              <w:t>Замест</w:t>
            </w:r>
            <w:r>
              <w:rPr>
                <w:sz w:val="20"/>
                <w:szCs w:val="20"/>
              </w:rPr>
              <w:t>итель генерального директора – н</w:t>
            </w:r>
            <w:r w:rsidRPr="004761E0">
              <w:rPr>
                <w:sz w:val="20"/>
                <w:szCs w:val="20"/>
              </w:rPr>
              <w:t xml:space="preserve">ачальник Управления корпоративного контроля </w:t>
            </w:r>
            <w:r>
              <w:rPr>
                <w:sz w:val="20"/>
                <w:szCs w:val="20"/>
              </w:rPr>
              <w:t>ЗАО </w:t>
            </w:r>
            <w:r w:rsidRPr="004761E0">
              <w:rPr>
                <w:sz w:val="20"/>
                <w:szCs w:val="20"/>
              </w:rPr>
              <w:t>«Лидер»</w:t>
            </w:r>
            <w:r>
              <w:rPr>
                <w:sz w:val="20"/>
                <w:szCs w:val="20"/>
              </w:rPr>
              <w:t xml:space="preserve"> </w:t>
            </w:r>
            <w:r w:rsidRPr="004761E0">
              <w:rPr>
                <w:sz w:val="20"/>
                <w:szCs w:val="20"/>
              </w:rPr>
              <w:t>(Компани</w:t>
            </w:r>
            <w:r>
              <w:rPr>
                <w:sz w:val="20"/>
                <w:szCs w:val="20"/>
              </w:rPr>
              <w:t>и</w:t>
            </w:r>
            <w:r w:rsidRPr="004761E0">
              <w:rPr>
                <w:sz w:val="20"/>
                <w:szCs w:val="20"/>
              </w:rPr>
              <w:t xml:space="preserve"> по управлению активами пенсионного фонда)</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6 из </w:t>
            </w:r>
            <w:r w:rsidRPr="004761E0">
              <w:rPr>
                <w:rFonts w:eastAsia="Times New Roman"/>
                <w:sz w:val="20"/>
                <w:szCs w:val="20"/>
                <w:lang w:eastAsia="ru-RU"/>
              </w:rPr>
              <w:t>7</w:t>
            </w:r>
            <w:r>
              <w:rPr>
                <w:rFonts w:eastAsia="Times New Roman"/>
                <w:sz w:val="20"/>
                <w:szCs w:val="20"/>
                <w:lang w:eastAsia="ru-RU"/>
              </w:rPr>
              <w:t>, явка 85, 71 %</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C34130">
            <w:pPr>
              <w:ind w:firstLine="0"/>
              <w:jc w:val="left"/>
              <w:rPr>
                <w:rFonts w:eastAsia="Times New Roman"/>
                <w:sz w:val="20"/>
                <w:szCs w:val="20"/>
                <w:lang w:eastAsia="ru-RU"/>
              </w:rPr>
            </w:pPr>
            <w:r w:rsidRPr="004761E0">
              <w:rPr>
                <w:rFonts w:eastAsia="Times New Roman"/>
                <w:sz w:val="20"/>
                <w:szCs w:val="20"/>
                <w:lang w:eastAsia="ru-RU"/>
              </w:rPr>
              <w:t>Нуждов А.В.</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sidRPr="004761E0">
              <w:rPr>
                <w:sz w:val="20"/>
                <w:szCs w:val="20"/>
              </w:rPr>
              <w:t xml:space="preserve">Заместитель генерального директора по инвестициями и взаимодействию с государственными органами </w:t>
            </w:r>
            <w:r>
              <w:rPr>
                <w:sz w:val="20"/>
                <w:szCs w:val="20"/>
              </w:rPr>
              <w:t>ЗАО </w:t>
            </w:r>
            <w:r w:rsidRPr="004761E0">
              <w:rPr>
                <w:sz w:val="20"/>
                <w:szCs w:val="20"/>
              </w:rPr>
              <w:t>«Лидер»</w:t>
            </w:r>
            <w:r>
              <w:rPr>
                <w:sz w:val="20"/>
                <w:szCs w:val="20"/>
              </w:rPr>
              <w:t xml:space="preserve"> </w:t>
            </w:r>
            <w:r w:rsidRPr="004761E0">
              <w:rPr>
                <w:sz w:val="20"/>
                <w:szCs w:val="20"/>
              </w:rPr>
              <w:t>(Компани</w:t>
            </w:r>
            <w:r>
              <w:rPr>
                <w:sz w:val="20"/>
                <w:szCs w:val="20"/>
              </w:rPr>
              <w:t>и</w:t>
            </w:r>
            <w:r w:rsidRPr="004761E0">
              <w:rPr>
                <w:sz w:val="20"/>
                <w:szCs w:val="20"/>
              </w:rPr>
              <w:t xml:space="preserve"> по управлению активами пенсионного фонда)</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7 из </w:t>
            </w:r>
            <w:r w:rsidRPr="004761E0">
              <w:rPr>
                <w:rFonts w:eastAsia="Times New Roman"/>
                <w:sz w:val="20"/>
                <w:szCs w:val="20"/>
                <w:lang w:eastAsia="ru-RU"/>
              </w:rPr>
              <w:t>17</w:t>
            </w:r>
            <w:r>
              <w:rPr>
                <w:rFonts w:eastAsia="Times New Roman"/>
                <w:sz w:val="20"/>
                <w:szCs w:val="20"/>
                <w:lang w:eastAsia="ru-RU"/>
              </w:rPr>
              <w:t>, явка 41,18 %</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C34130">
            <w:pPr>
              <w:ind w:firstLine="0"/>
              <w:jc w:val="left"/>
              <w:rPr>
                <w:rFonts w:eastAsia="Times New Roman"/>
                <w:sz w:val="20"/>
                <w:szCs w:val="20"/>
                <w:lang w:eastAsia="ru-RU"/>
              </w:rPr>
            </w:pPr>
            <w:r w:rsidRPr="004761E0">
              <w:rPr>
                <w:rFonts w:eastAsia="Times New Roman"/>
                <w:sz w:val="20"/>
                <w:szCs w:val="20"/>
                <w:lang w:eastAsia="ru-RU"/>
              </w:rPr>
              <w:t>Олейник А.П.</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sidRPr="004761E0">
              <w:rPr>
                <w:sz w:val="20"/>
                <w:szCs w:val="20"/>
              </w:rPr>
              <w:t>Заместитель Председателя Правительства Московской области</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C34130">
            <w:pPr>
              <w:ind w:firstLine="0"/>
              <w:jc w:val="right"/>
              <w:rPr>
                <w:rFonts w:eastAsia="Times New Roman"/>
                <w:sz w:val="20"/>
                <w:szCs w:val="20"/>
                <w:lang w:eastAsia="ru-RU"/>
              </w:rPr>
            </w:pPr>
            <w:r>
              <w:rPr>
                <w:rFonts w:eastAsia="Times New Roman"/>
                <w:sz w:val="20"/>
                <w:szCs w:val="20"/>
                <w:lang w:eastAsia="ru-RU"/>
              </w:rPr>
              <w:t xml:space="preserve">0 из </w:t>
            </w:r>
            <w:r w:rsidRPr="004761E0">
              <w:rPr>
                <w:rFonts w:eastAsia="Times New Roman"/>
                <w:sz w:val="20"/>
                <w:szCs w:val="20"/>
                <w:lang w:eastAsia="ru-RU"/>
              </w:rPr>
              <w:t>6</w:t>
            </w:r>
            <w:r>
              <w:rPr>
                <w:rFonts w:eastAsia="Times New Roman"/>
                <w:sz w:val="20"/>
                <w:szCs w:val="20"/>
                <w:lang w:eastAsia="ru-RU"/>
              </w:rPr>
              <w:t>, явка 0 %</w:t>
            </w:r>
          </w:p>
        </w:tc>
      </w:tr>
      <w:tr w:rsidR="00397040" w:rsidRPr="004761E0" w:rsidTr="00397040">
        <w:trPr>
          <w:trHeight w:val="16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C34130">
            <w:pPr>
              <w:ind w:firstLine="0"/>
              <w:jc w:val="left"/>
              <w:rPr>
                <w:rFonts w:eastAsia="Times New Roman"/>
                <w:sz w:val="20"/>
                <w:szCs w:val="20"/>
                <w:lang w:eastAsia="ru-RU"/>
              </w:rPr>
            </w:pPr>
            <w:r w:rsidRPr="004761E0">
              <w:rPr>
                <w:rFonts w:eastAsia="Times New Roman"/>
                <w:sz w:val="20"/>
                <w:szCs w:val="20"/>
                <w:lang w:eastAsia="ru-RU"/>
              </w:rPr>
              <w:t>Саух М.М.</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sidRPr="004761E0">
              <w:rPr>
                <w:sz w:val="20"/>
                <w:szCs w:val="20"/>
              </w:rPr>
              <w:t xml:space="preserve">Начальник Управления корпоративных отношений Департамента корпоративного управления и взаимодействия с акционерами и инвесторами  </w:t>
            </w:r>
            <w:r>
              <w:rPr>
                <w:sz w:val="20"/>
                <w:szCs w:val="20"/>
              </w:rPr>
              <w:t>ОАО </w:t>
            </w:r>
            <w:r w:rsidRPr="004761E0">
              <w:rPr>
                <w:sz w:val="20"/>
                <w:szCs w:val="20"/>
              </w:rPr>
              <w:t>«Россети»</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7 из </w:t>
            </w:r>
            <w:r w:rsidRPr="004761E0">
              <w:rPr>
                <w:rFonts w:eastAsia="Times New Roman"/>
                <w:sz w:val="20"/>
                <w:szCs w:val="20"/>
                <w:lang w:eastAsia="ru-RU"/>
              </w:rPr>
              <w:t>7</w:t>
            </w:r>
            <w:r>
              <w:rPr>
                <w:rFonts w:eastAsia="Times New Roman"/>
                <w:sz w:val="20"/>
                <w:szCs w:val="20"/>
                <w:lang w:eastAsia="ru-RU"/>
              </w:rPr>
              <w:t>, явка 100 %</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C34130">
            <w:pPr>
              <w:ind w:firstLine="0"/>
              <w:jc w:val="left"/>
              <w:rPr>
                <w:rFonts w:eastAsia="Times New Roman"/>
                <w:sz w:val="20"/>
                <w:szCs w:val="20"/>
                <w:lang w:eastAsia="ru-RU"/>
              </w:rPr>
            </w:pPr>
            <w:r w:rsidRPr="004761E0">
              <w:rPr>
                <w:rFonts w:eastAsia="Times New Roman"/>
                <w:sz w:val="20"/>
                <w:szCs w:val="20"/>
                <w:lang w:eastAsia="ru-RU"/>
              </w:rPr>
              <w:t>Синютин П.А.</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sidRPr="004761E0">
              <w:rPr>
                <w:sz w:val="20"/>
                <w:szCs w:val="20"/>
              </w:rPr>
              <w:t xml:space="preserve">Генеральный директор </w:t>
            </w:r>
            <w:r>
              <w:rPr>
                <w:sz w:val="20"/>
                <w:szCs w:val="20"/>
              </w:rPr>
              <w:t>ОАО </w:t>
            </w:r>
            <w:r w:rsidRPr="004761E0">
              <w:rPr>
                <w:sz w:val="20"/>
                <w:szCs w:val="20"/>
              </w:rPr>
              <w:t>«МОЭСК»</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14 из </w:t>
            </w:r>
            <w:r w:rsidRPr="004761E0">
              <w:rPr>
                <w:rFonts w:eastAsia="Times New Roman"/>
                <w:sz w:val="20"/>
                <w:szCs w:val="20"/>
                <w:lang w:eastAsia="ru-RU"/>
              </w:rPr>
              <w:t>17</w:t>
            </w:r>
            <w:r>
              <w:rPr>
                <w:rFonts w:eastAsia="Times New Roman"/>
                <w:sz w:val="20"/>
                <w:szCs w:val="20"/>
                <w:lang w:eastAsia="ru-RU"/>
              </w:rPr>
              <w:t>, явка 82,35 %</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C34130">
            <w:pPr>
              <w:ind w:firstLine="0"/>
              <w:jc w:val="left"/>
              <w:rPr>
                <w:rFonts w:eastAsia="Times New Roman"/>
                <w:sz w:val="20"/>
                <w:szCs w:val="20"/>
                <w:lang w:eastAsia="ru-RU"/>
              </w:rPr>
            </w:pPr>
            <w:r w:rsidRPr="004761E0">
              <w:rPr>
                <w:rFonts w:eastAsia="Times New Roman"/>
                <w:sz w:val="20"/>
                <w:szCs w:val="20"/>
                <w:lang w:eastAsia="ru-RU"/>
              </w:rPr>
              <w:t>Тихонова М.Г.</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sidRPr="004761E0">
              <w:rPr>
                <w:sz w:val="20"/>
                <w:szCs w:val="20"/>
              </w:rPr>
              <w:t xml:space="preserve">Член Совета директоров </w:t>
            </w:r>
            <w:r>
              <w:rPr>
                <w:sz w:val="20"/>
                <w:szCs w:val="20"/>
              </w:rPr>
              <w:t>ОАО </w:t>
            </w:r>
            <w:r w:rsidRPr="004761E0">
              <w:rPr>
                <w:sz w:val="20"/>
                <w:szCs w:val="20"/>
              </w:rPr>
              <w:t>«МОЭСК»</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4 из </w:t>
            </w:r>
            <w:r w:rsidRPr="004761E0">
              <w:rPr>
                <w:rFonts w:eastAsia="Times New Roman"/>
                <w:sz w:val="20"/>
                <w:szCs w:val="20"/>
                <w:lang w:eastAsia="ru-RU"/>
              </w:rPr>
              <w:t>10</w:t>
            </w:r>
            <w:r>
              <w:rPr>
                <w:rFonts w:eastAsia="Times New Roman"/>
                <w:sz w:val="20"/>
                <w:szCs w:val="20"/>
                <w:lang w:eastAsia="ru-RU"/>
              </w:rPr>
              <w:t>, явка 40,00 %</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C34130">
            <w:pPr>
              <w:ind w:firstLine="0"/>
              <w:jc w:val="left"/>
              <w:rPr>
                <w:rFonts w:eastAsia="Times New Roman"/>
                <w:sz w:val="20"/>
                <w:szCs w:val="20"/>
                <w:lang w:eastAsia="ru-RU"/>
              </w:rPr>
            </w:pPr>
            <w:r w:rsidRPr="004761E0">
              <w:rPr>
                <w:rFonts w:eastAsia="Times New Roman"/>
                <w:sz w:val="20"/>
                <w:szCs w:val="20"/>
                <w:lang w:eastAsia="ru-RU"/>
              </w:rPr>
              <w:t>Финогенов А.В.</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sidRPr="004761E0">
              <w:rPr>
                <w:sz w:val="20"/>
                <w:szCs w:val="20"/>
              </w:rPr>
              <w:t xml:space="preserve">Руководитель инвестиционных проектов </w:t>
            </w:r>
            <w:r>
              <w:rPr>
                <w:sz w:val="20"/>
                <w:szCs w:val="20"/>
              </w:rPr>
              <w:t>ЗАО </w:t>
            </w:r>
            <w:r w:rsidRPr="004761E0">
              <w:rPr>
                <w:sz w:val="20"/>
                <w:szCs w:val="20"/>
              </w:rPr>
              <w:t>«Лидер»</w:t>
            </w:r>
            <w:r>
              <w:rPr>
                <w:sz w:val="20"/>
                <w:szCs w:val="20"/>
              </w:rPr>
              <w:t xml:space="preserve"> </w:t>
            </w:r>
            <w:r w:rsidRPr="004761E0">
              <w:rPr>
                <w:sz w:val="20"/>
                <w:szCs w:val="20"/>
              </w:rPr>
              <w:t>(Компани</w:t>
            </w:r>
            <w:r>
              <w:rPr>
                <w:sz w:val="20"/>
                <w:szCs w:val="20"/>
              </w:rPr>
              <w:t>и</w:t>
            </w:r>
            <w:r w:rsidRPr="004761E0">
              <w:rPr>
                <w:sz w:val="20"/>
                <w:szCs w:val="20"/>
              </w:rPr>
              <w:t xml:space="preserve"> по управлению активами пенсионного фонда)</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10 из </w:t>
            </w:r>
            <w:r w:rsidRPr="004761E0">
              <w:rPr>
                <w:rFonts w:eastAsia="Times New Roman"/>
                <w:sz w:val="20"/>
                <w:szCs w:val="20"/>
                <w:lang w:eastAsia="ru-RU"/>
              </w:rPr>
              <w:t>10</w:t>
            </w:r>
            <w:r>
              <w:rPr>
                <w:rFonts w:eastAsia="Times New Roman"/>
                <w:sz w:val="20"/>
                <w:szCs w:val="20"/>
                <w:lang w:eastAsia="ru-RU"/>
              </w:rPr>
              <w:t>, явка 100 %</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C34130">
            <w:pPr>
              <w:ind w:firstLine="0"/>
              <w:jc w:val="left"/>
              <w:rPr>
                <w:rFonts w:eastAsia="Times New Roman"/>
                <w:sz w:val="20"/>
                <w:szCs w:val="20"/>
                <w:lang w:eastAsia="ru-RU"/>
              </w:rPr>
            </w:pPr>
            <w:r w:rsidRPr="004761E0">
              <w:rPr>
                <w:rFonts w:eastAsia="Times New Roman"/>
                <w:sz w:val="20"/>
                <w:szCs w:val="20"/>
                <w:lang w:eastAsia="ru-RU"/>
              </w:rPr>
              <w:t>Чевкин Д.А.</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sidRPr="004761E0">
              <w:rPr>
                <w:sz w:val="20"/>
                <w:szCs w:val="20"/>
              </w:rPr>
              <w:t xml:space="preserve">Директор Департамента кадровой политики и организационного развития </w:t>
            </w:r>
            <w:r>
              <w:rPr>
                <w:sz w:val="20"/>
                <w:szCs w:val="20"/>
              </w:rPr>
              <w:t>ОАО </w:t>
            </w:r>
            <w:r w:rsidRPr="004761E0">
              <w:rPr>
                <w:sz w:val="20"/>
                <w:szCs w:val="20"/>
              </w:rPr>
              <w:t>«Россети»</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5 из </w:t>
            </w:r>
            <w:r w:rsidRPr="004761E0">
              <w:rPr>
                <w:rFonts w:eastAsia="Times New Roman"/>
                <w:sz w:val="20"/>
                <w:szCs w:val="20"/>
                <w:lang w:eastAsia="ru-RU"/>
              </w:rPr>
              <w:t>7</w:t>
            </w:r>
            <w:r>
              <w:rPr>
                <w:rFonts w:eastAsia="Times New Roman"/>
                <w:sz w:val="20"/>
                <w:szCs w:val="20"/>
                <w:lang w:eastAsia="ru-RU"/>
              </w:rPr>
              <w:t>, явка 71,43 %</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C34130">
            <w:pPr>
              <w:ind w:firstLine="0"/>
              <w:jc w:val="left"/>
              <w:rPr>
                <w:rFonts w:eastAsia="Times New Roman"/>
                <w:sz w:val="20"/>
                <w:szCs w:val="20"/>
                <w:lang w:eastAsia="ru-RU"/>
              </w:rPr>
            </w:pPr>
            <w:r w:rsidRPr="004761E0">
              <w:rPr>
                <w:rFonts w:eastAsia="Times New Roman"/>
                <w:sz w:val="20"/>
                <w:szCs w:val="20"/>
                <w:lang w:eastAsia="ru-RU"/>
              </w:rPr>
              <w:t>Ящерицына Ю.В.</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sidRPr="004761E0">
              <w:rPr>
                <w:sz w:val="20"/>
                <w:szCs w:val="20"/>
              </w:rPr>
              <w:t xml:space="preserve">Директор Департамента экономического планирования и бюджетирования </w:t>
            </w:r>
            <w:r>
              <w:rPr>
                <w:sz w:val="20"/>
                <w:szCs w:val="20"/>
              </w:rPr>
              <w:t>ОАО </w:t>
            </w:r>
            <w:r w:rsidRPr="004761E0">
              <w:rPr>
                <w:sz w:val="20"/>
                <w:szCs w:val="20"/>
              </w:rPr>
              <w:t>«Россети»</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6 из </w:t>
            </w:r>
            <w:r w:rsidRPr="004761E0">
              <w:rPr>
                <w:rFonts w:eastAsia="Times New Roman"/>
                <w:sz w:val="20"/>
                <w:szCs w:val="20"/>
                <w:lang w:eastAsia="ru-RU"/>
              </w:rPr>
              <w:t>7</w:t>
            </w:r>
            <w:r>
              <w:rPr>
                <w:rFonts w:eastAsia="Times New Roman"/>
                <w:sz w:val="20"/>
                <w:szCs w:val="20"/>
                <w:lang w:eastAsia="ru-RU"/>
              </w:rPr>
              <w:t>, явка 85,71 %</w:t>
            </w:r>
          </w:p>
        </w:tc>
      </w:tr>
      <w:tr w:rsidR="00397040" w:rsidRPr="004761E0" w:rsidTr="00512DCC">
        <w:trPr>
          <w:trHeight w:val="21"/>
        </w:trPr>
        <w:tc>
          <w:tcPr>
            <w:tcW w:w="5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97040" w:rsidRPr="004761E0" w:rsidRDefault="00397040" w:rsidP="007076A7">
            <w:pPr>
              <w:pStyle w:val="a5"/>
              <w:numPr>
                <w:ilvl w:val="0"/>
                <w:numId w:val="42"/>
              </w:numPr>
              <w:ind w:left="0" w:firstLine="0"/>
              <w:jc w:val="left"/>
              <w:rPr>
                <w:rFonts w:eastAsia="Times New Roman"/>
                <w:sz w:val="20"/>
                <w:szCs w:val="20"/>
                <w:lang w:eastAsia="ru-RU"/>
              </w:rPr>
            </w:pPr>
          </w:p>
        </w:tc>
        <w:tc>
          <w:tcPr>
            <w:tcW w:w="15744"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97040" w:rsidRPr="004761E0" w:rsidRDefault="00397040" w:rsidP="007C1701">
            <w:pPr>
              <w:ind w:firstLine="0"/>
              <w:jc w:val="left"/>
              <w:rPr>
                <w:rFonts w:eastAsia="Times New Roman"/>
                <w:b/>
                <w:bCs/>
                <w:iCs/>
                <w:color w:val="000000"/>
                <w:sz w:val="20"/>
                <w:szCs w:val="20"/>
                <w:lang w:eastAsia="ru-RU"/>
              </w:rPr>
            </w:pPr>
            <w:r w:rsidRPr="004761E0">
              <w:rPr>
                <w:rFonts w:eastAsia="Times New Roman"/>
                <w:b/>
                <w:bCs/>
                <w:iCs/>
                <w:color w:val="000000"/>
                <w:sz w:val="20"/>
                <w:szCs w:val="20"/>
                <w:lang w:eastAsia="ru-RU"/>
              </w:rPr>
              <w:t>Комитет по аудиту</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410049">
            <w:pPr>
              <w:ind w:firstLine="0"/>
              <w:jc w:val="left"/>
              <w:rPr>
                <w:rFonts w:eastAsia="Times New Roman"/>
                <w:sz w:val="20"/>
                <w:szCs w:val="20"/>
                <w:lang w:eastAsia="ru-RU"/>
              </w:rPr>
            </w:pPr>
            <w:r w:rsidRPr="004761E0">
              <w:rPr>
                <w:rFonts w:eastAsia="Times New Roman"/>
                <w:sz w:val="20"/>
                <w:szCs w:val="20"/>
                <w:lang w:eastAsia="ru-RU"/>
              </w:rPr>
              <w:t>Демин С.А.</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sidRPr="004761E0">
              <w:rPr>
                <w:sz w:val="20"/>
                <w:szCs w:val="20"/>
              </w:rPr>
              <w:t xml:space="preserve">Генеральный директор филиала </w:t>
            </w:r>
            <w:r>
              <w:rPr>
                <w:sz w:val="20"/>
                <w:szCs w:val="20"/>
              </w:rPr>
              <w:t>ОАО </w:t>
            </w:r>
            <w:r w:rsidRPr="004761E0">
              <w:rPr>
                <w:sz w:val="20"/>
                <w:szCs w:val="20"/>
              </w:rPr>
              <w:t>«ФСК ЕЭС» – МЭС Центра</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C34130">
            <w:pPr>
              <w:ind w:firstLine="0"/>
              <w:jc w:val="right"/>
              <w:rPr>
                <w:rFonts w:eastAsia="Times New Roman"/>
                <w:sz w:val="20"/>
                <w:szCs w:val="20"/>
                <w:lang w:eastAsia="ru-RU"/>
              </w:rPr>
            </w:pPr>
            <w:r>
              <w:rPr>
                <w:rFonts w:eastAsia="Times New Roman"/>
                <w:sz w:val="20"/>
                <w:szCs w:val="20"/>
                <w:lang w:eastAsia="ru-RU"/>
              </w:rPr>
              <w:t xml:space="preserve">0 из </w:t>
            </w:r>
            <w:r w:rsidRPr="004761E0">
              <w:rPr>
                <w:rFonts w:eastAsia="Times New Roman"/>
                <w:sz w:val="20"/>
                <w:szCs w:val="20"/>
                <w:lang w:eastAsia="ru-RU"/>
              </w:rPr>
              <w:t>0</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410049">
            <w:pPr>
              <w:ind w:firstLine="0"/>
              <w:jc w:val="left"/>
              <w:rPr>
                <w:rFonts w:eastAsia="Times New Roman"/>
                <w:sz w:val="20"/>
                <w:szCs w:val="20"/>
                <w:lang w:eastAsia="ru-RU"/>
              </w:rPr>
            </w:pPr>
            <w:r w:rsidRPr="004761E0">
              <w:rPr>
                <w:rFonts w:eastAsia="Times New Roman"/>
                <w:sz w:val="20"/>
                <w:szCs w:val="20"/>
                <w:lang w:eastAsia="ru-RU"/>
              </w:rPr>
              <w:t>Гончаров В.А.</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sidRPr="004761E0">
              <w:rPr>
                <w:sz w:val="20"/>
                <w:szCs w:val="20"/>
              </w:rPr>
              <w:t xml:space="preserve">Заместитель Председателя Правления </w:t>
            </w:r>
            <w:r>
              <w:rPr>
                <w:sz w:val="20"/>
                <w:szCs w:val="20"/>
              </w:rPr>
              <w:t>ОАО </w:t>
            </w:r>
            <w:r w:rsidRPr="004761E0">
              <w:rPr>
                <w:sz w:val="20"/>
                <w:szCs w:val="20"/>
              </w:rPr>
              <w:t xml:space="preserve">«ФСК ЕЭС», Заместитель исполнительного директора по инвестиционной деятельности </w:t>
            </w:r>
            <w:r>
              <w:rPr>
                <w:sz w:val="20"/>
                <w:szCs w:val="20"/>
              </w:rPr>
              <w:t>ОАО </w:t>
            </w:r>
            <w:r w:rsidRPr="004761E0">
              <w:rPr>
                <w:sz w:val="20"/>
                <w:szCs w:val="20"/>
              </w:rPr>
              <w:t>«Холдинг МРСК»</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7 из </w:t>
            </w:r>
            <w:r w:rsidRPr="004761E0">
              <w:rPr>
                <w:rFonts w:eastAsia="Times New Roman"/>
                <w:sz w:val="20"/>
                <w:szCs w:val="20"/>
                <w:lang w:eastAsia="ru-RU"/>
              </w:rPr>
              <w:t>8</w:t>
            </w:r>
            <w:r>
              <w:rPr>
                <w:rFonts w:eastAsia="Times New Roman"/>
                <w:sz w:val="20"/>
                <w:szCs w:val="20"/>
                <w:lang w:eastAsia="ru-RU"/>
              </w:rPr>
              <w:t>, явка 87,50 %</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410049">
            <w:pPr>
              <w:ind w:firstLine="0"/>
              <w:jc w:val="left"/>
              <w:rPr>
                <w:rFonts w:eastAsia="Times New Roman"/>
                <w:sz w:val="20"/>
                <w:szCs w:val="20"/>
                <w:lang w:eastAsia="ru-RU"/>
              </w:rPr>
            </w:pPr>
            <w:r w:rsidRPr="004761E0">
              <w:rPr>
                <w:rFonts w:eastAsia="Times New Roman"/>
                <w:sz w:val="20"/>
                <w:szCs w:val="20"/>
                <w:lang w:eastAsia="ru-RU"/>
              </w:rPr>
              <w:t>Казаченков А.В.</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sidRPr="004761E0">
              <w:rPr>
                <w:sz w:val="20"/>
                <w:szCs w:val="20"/>
              </w:rPr>
              <w:t xml:space="preserve">Первый Заместитель Председателя Правления </w:t>
            </w:r>
            <w:r>
              <w:rPr>
                <w:sz w:val="20"/>
                <w:szCs w:val="20"/>
              </w:rPr>
              <w:t>ОАО </w:t>
            </w:r>
            <w:r w:rsidRPr="004761E0">
              <w:rPr>
                <w:sz w:val="20"/>
                <w:szCs w:val="20"/>
              </w:rPr>
              <w:t>«ФСК ЕЭС»</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C34130">
            <w:pPr>
              <w:ind w:firstLine="0"/>
              <w:jc w:val="right"/>
              <w:rPr>
                <w:rFonts w:eastAsia="Times New Roman"/>
                <w:sz w:val="20"/>
                <w:szCs w:val="20"/>
                <w:lang w:eastAsia="ru-RU"/>
              </w:rPr>
            </w:pPr>
            <w:r>
              <w:rPr>
                <w:rFonts w:eastAsia="Times New Roman"/>
                <w:sz w:val="20"/>
                <w:szCs w:val="20"/>
                <w:lang w:eastAsia="ru-RU"/>
              </w:rPr>
              <w:t xml:space="preserve">0 из </w:t>
            </w:r>
            <w:r w:rsidRPr="004761E0">
              <w:rPr>
                <w:rFonts w:eastAsia="Times New Roman"/>
                <w:sz w:val="20"/>
                <w:szCs w:val="20"/>
                <w:lang w:eastAsia="ru-RU"/>
              </w:rPr>
              <w:t>0</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410049">
            <w:pPr>
              <w:ind w:firstLine="0"/>
              <w:jc w:val="left"/>
              <w:rPr>
                <w:rFonts w:eastAsia="Times New Roman"/>
                <w:sz w:val="20"/>
                <w:szCs w:val="20"/>
                <w:lang w:eastAsia="ru-RU"/>
              </w:rPr>
            </w:pPr>
            <w:r w:rsidRPr="004761E0">
              <w:rPr>
                <w:rFonts w:eastAsia="Times New Roman"/>
                <w:sz w:val="20"/>
                <w:szCs w:val="20"/>
                <w:lang w:eastAsia="ru-RU"/>
              </w:rPr>
              <w:t>Кербер С.М.</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B2247">
            <w:pPr>
              <w:ind w:firstLine="0"/>
              <w:jc w:val="left"/>
              <w:rPr>
                <w:sz w:val="20"/>
                <w:szCs w:val="20"/>
              </w:rPr>
            </w:pPr>
            <w:r w:rsidRPr="004761E0">
              <w:rPr>
                <w:sz w:val="20"/>
                <w:szCs w:val="20"/>
              </w:rPr>
              <w:t>Руководитель Дирекции инвестиционных проектов и программ – Управляющий директор З</w:t>
            </w:r>
            <w:r>
              <w:rPr>
                <w:sz w:val="20"/>
                <w:szCs w:val="20"/>
              </w:rPr>
              <w:t>АО </w:t>
            </w:r>
            <w:r w:rsidRPr="004761E0">
              <w:rPr>
                <w:sz w:val="20"/>
                <w:szCs w:val="20"/>
              </w:rPr>
              <w:t>«Лидер» (Компани</w:t>
            </w:r>
            <w:r>
              <w:rPr>
                <w:sz w:val="20"/>
                <w:szCs w:val="20"/>
              </w:rPr>
              <w:t>и</w:t>
            </w:r>
            <w:r w:rsidRPr="004761E0">
              <w:rPr>
                <w:sz w:val="20"/>
                <w:szCs w:val="20"/>
              </w:rPr>
              <w:t xml:space="preserve"> по управлению активами пенсионного фонда)</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8 из </w:t>
            </w:r>
            <w:r w:rsidRPr="004761E0">
              <w:rPr>
                <w:rFonts w:eastAsia="Times New Roman"/>
                <w:sz w:val="20"/>
                <w:szCs w:val="20"/>
                <w:lang w:eastAsia="ru-RU"/>
              </w:rPr>
              <w:t>8</w:t>
            </w:r>
            <w:r>
              <w:rPr>
                <w:rFonts w:eastAsia="Times New Roman"/>
                <w:sz w:val="20"/>
                <w:szCs w:val="20"/>
                <w:lang w:eastAsia="ru-RU"/>
              </w:rPr>
              <w:t>, явка 100 %</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410049">
            <w:pPr>
              <w:ind w:firstLine="0"/>
              <w:jc w:val="left"/>
              <w:rPr>
                <w:rFonts w:eastAsia="Times New Roman"/>
                <w:sz w:val="20"/>
                <w:szCs w:val="20"/>
                <w:lang w:eastAsia="ru-RU"/>
              </w:rPr>
            </w:pPr>
            <w:r w:rsidRPr="004761E0">
              <w:rPr>
                <w:rFonts w:eastAsia="Times New Roman"/>
                <w:sz w:val="20"/>
                <w:szCs w:val="20"/>
                <w:lang w:eastAsia="ru-RU"/>
              </w:rPr>
              <w:t>Назин В.Л.</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sidRPr="004761E0">
              <w:rPr>
                <w:sz w:val="20"/>
                <w:szCs w:val="20"/>
              </w:rPr>
              <w:t xml:space="preserve">Член Совета директоров </w:t>
            </w:r>
            <w:r>
              <w:rPr>
                <w:sz w:val="20"/>
                <w:szCs w:val="20"/>
              </w:rPr>
              <w:t>ОАО </w:t>
            </w:r>
            <w:r w:rsidRPr="004761E0">
              <w:rPr>
                <w:sz w:val="20"/>
                <w:szCs w:val="20"/>
              </w:rPr>
              <w:t>«Московская объединенная электросетевая компания»</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C34130">
            <w:pPr>
              <w:ind w:firstLine="0"/>
              <w:jc w:val="right"/>
              <w:rPr>
                <w:rFonts w:eastAsia="Times New Roman"/>
                <w:sz w:val="20"/>
                <w:szCs w:val="20"/>
                <w:lang w:eastAsia="ru-RU"/>
              </w:rPr>
            </w:pPr>
            <w:r>
              <w:rPr>
                <w:rFonts w:eastAsia="Times New Roman"/>
                <w:sz w:val="20"/>
                <w:szCs w:val="20"/>
                <w:lang w:eastAsia="ru-RU"/>
              </w:rPr>
              <w:t xml:space="preserve">8 из </w:t>
            </w:r>
            <w:r w:rsidRPr="004761E0">
              <w:rPr>
                <w:rFonts w:eastAsia="Times New Roman"/>
                <w:sz w:val="20"/>
                <w:szCs w:val="20"/>
                <w:lang w:eastAsia="ru-RU"/>
              </w:rPr>
              <w:t>8</w:t>
            </w:r>
            <w:r>
              <w:rPr>
                <w:rFonts w:eastAsia="Times New Roman"/>
                <w:sz w:val="20"/>
                <w:szCs w:val="20"/>
                <w:lang w:eastAsia="ru-RU"/>
              </w:rPr>
              <w:t>, 100 %</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410049">
            <w:pPr>
              <w:ind w:firstLine="0"/>
              <w:jc w:val="left"/>
              <w:rPr>
                <w:rFonts w:eastAsia="Times New Roman"/>
                <w:sz w:val="20"/>
                <w:szCs w:val="20"/>
                <w:lang w:eastAsia="ru-RU"/>
              </w:rPr>
            </w:pPr>
            <w:r w:rsidRPr="004761E0">
              <w:rPr>
                <w:rFonts w:eastAsia="Times New Roman"/>
                <w:sz w:val="20"/>
                <w:szCs w:val="20"/>
                <w:lang w:eastAsia="ru-RU"/>
              </w:rPr>
              <w:t>Никитин С.А.</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sidRPr="004761E0">
              <w:rPr>
                <w:sz w:val="20"/>
                <w:szCs w:val="20"/>
              </w:rPr>
              <w:t>Замест</w:t>
            </w:r>
            <w:r>
              <w:rPr>
                <w:sz w:val="20"/>
                <w:szCs w:val="20"/>
              </w:rPr>
              <w:t>итель генерального директора – н</w:t>
            </w:r>
            <w:r w:rsidRPr="004761E0">
              <w:rPr>
                <w:sz w:val="20"/>
                <w:szCs w:val="20"/>
              </w:rPr>
              <w:t xml:space="preserve">ачальник Управления корпоративного контроля  </w:t>
            </w:r>
            <w:r>
              <w:rPr>
                <w:sz w:val="20"/>
                <w:szCs w:val="20"/>
              </w:rPr>
              <w:t>ЗАО </w:t>
            </w:r>
            <w:r w:rsidRPr="004761E0">
              <w:rPr>
                <w:sz w:val="20"/>
                <w:szCs w:val="20"/>
              </w:rPr>
              <w:t>«Лидер»</w:t>
            </w:r>
            <w:r>
              <w:rPr>
                <w:sz w:val="20"/>
                <w:szCs w:val="20"/>
              </w:rPr>
              <w:t xml:space="preserve"> </w:t>
            </w:r>
            <w:r w:rsidRPr="004761E0">
              <w:rPr>
                <w:sz w:val="20"/>
                <w:szCs w:val="20"/>
              </w:rPr>
              <w:t>(Компани</w:t>
            </w:r>
            <w:r>
              <w:rPr>
                <w:sz w:val="20"/>
                <w:szCs w:val="20"/>
              </w:rPr>
              <w:t>и</w:t>
            </w:r>
            <w:r w:rsidRPr="004761E0">
              <w:rPr>
                <w:sz w:val="20"/>
                <w:szCs w:val="20"/>
              </w:rPr>
              <w:t xml:space="preserve"> по управлению активами пенсионного фонда)</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C34130">
            <w:pPr>
              <w:ind w:firstLine="0"/>
              <w:jc w:val="right"/>
              <w:rPr>
                <w:rFonts w:eastAsia="Times New Roman"/>
                <w:sz w:val="20"/>
                <w:szCs w:val="20"/>
                <w:lang w:eastAsia="ru-RU"/>
              </w:rPr>
            </w:pPr>
            <w:r>
              <w:rPr>
                <w:rFonts w:eastAsia="Times New Roman"/>
                <w:sz w:val="20"/>
                <w:szCs w:val="20"/>
                <w:lang w:eastAsia="ru-RU"/>
              </w:rPr>
              <w:t xml:space="preserve">0 из </w:t>
            </w:r>
            <w:r w:rsidRPr="004761E0">
              <w:rPr>
                <w:rFonts w:eastAsia="Times New Roman"/>
                <w:sz w:val="20"/>
                <w:szCs w:val="20"/>
                <w:lang w:eastAsia="ru-RU"/>
              </w:rPr>
              <w:t>0</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410049">
            <w:pPr>
              <w:ind w:firstLine="0"/>
              <w:jc w:val="left"/>
              <w:rPr>
                <w:rFonts w:eastAsia="Times New Roman"/>
                <w:sz w:val="20"/>
                <w:szCs w:val="20"/>
                <w:lang w:eastAsia="ru-RU"/>
              </w:rPr>
            </w:pPr>
            <w:r w:rsidRPr="004761E0">
              <w:rPr>
                <w:rFonts w:eastAsia="Times New Roman"/>
                <w:sz w:val="20"/>
                <w:szCs w:val="20"/>
                <w:lang w:eastAsia="ru-RU"/>
              </w:rPr>
              <w:t>Нуждов А.В.</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Pr>
                <w:sz w:val="20"/>
                <w:szCs w:val="20"/>
              </w:rPr>
              <w:t>Заместитель г</w:t>
            </w:r>
            <w:r w:rsidRPr="004761E0">
              <w:rPr>
                <w:sz w:val="20"/>
                <w:szCs w:val="20"/>
              </w:rPr>
              <w:t xml:space="preserve">енерального директора по инвестициям и взаимодействию с государственными органами  </w:t>
            </w:r>
            <w:r>
              <w:rPr>
                <w:sz w:val="20"/>
                <w:szCs w:val="20"/>
              </w:rPr>
              <w:t>ЗАО </w:t>
            </w:r>
            <w:r w:rsidRPr="004761E0">
              <w:rPr>
                <w:sz w:val="20"/>
                <w:szCs w:val="20"/>
              </w:rPr>
              <w:t>«Лидер»</w:t>
            </w:r>
            <w:r>
              <w:rPr>
                <w:sz w:val="20"/>
                <w:szCs w:val="20"/>
              </w:rPr>
              <w:t xml:space="preserve"> </w:t>
            </w:r>
            <w:r w:rsidRPr="004761E0">
              <w:rPr>
                <w:sz w:val="20"/>
                <w:szCs w:val="20"/>
              </w:rPr>
              <w:t>(Компани</w:t>
            </w:r>
            <w:r>
              <w:rPr>
                <w:sz w:val="20"/>
                <w:szCs w:val="20"/>
              </w:rPr>
              <w:t>и</w:t>
            </w:r>
            <w:r w:rsidRPr="004761E0">
              <w:rPr>
                <w:sz w:val="20"/>
                <w:szCs w:val="20"/>
              </w:rPr>
              <w:t xml:space="preserve"> по управлению активами пенсионного фонда)</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C34130">
            <w:pPr>
              <w:ind w:firstLine="0"/>
              <w:jc w:val="right"/>
              <w:rPr>
                <w:rFonts w:eastAsia="Times New Roman"/>
                <w:sz w:val="20"/>
                <w:szCs w:val="20"/>
                <w:lang w:eastAsia="ru-RU"/>
              </w:rPr>
            </w:pPr>
            <w:r>
              <w:rPr>
                <w:rFonts w:eastAsia="Times New Roman"/>
                <w:sz w:val="20"/>
                <w:szCs w:val="20"/>
                <w:lang w:eastAsia="ru-RU"/>
              </w:rPr>
              <w:t xml:space="preserve">0 из </w:t>
            </w:r>
            <w:r w:rsidRPr="004761E0">
              <w:rPr>
                <w:rFonts w:eastAsia="Times New Roman"/>
                <w:sz w:val="20"/>
                <w:szCs w:val="20"/>
                <w:lang w:eastAsia="ru-RU"/>
              </w:rPr>
              <w:t>0</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410049">
            <w:pPr>
              <w:ind w:firstLine="0"/>
              <w:jc w:val="left"/>
              <w:rPr>
                <w:rFonts w:eastAsia="Times New Roman"/>
                <w:sz w:val="20"/>
                <w:szCs w:val="20"/>
                <w:lang w:eastAsia="ru-RU"/>
              </w:rPr>
            </w:pPr>
            <w:r w:rsidRPr="004761E0">
              <w:rPr>
                <w:rFonts w:eastAsia="Times New Roman"/>
                <w:sz w:val="20"/>
                <w:szCs w:val="20"/>
                <w:lang w:eastAsia="ru-RU"/>
              </w:rPr>
              <w:t>Панкстьянов Ю.Н.</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sidRPr="004761E0">
              <w:rPr>
                <w:sz w:val="20"/>
                <w:szCs w:val="20"/>
              </w:rPr>
              <w:t xml:space="preserve">Директор Департамента тарифной политики </w:t>
            </w:r>
            <w:r>
              <w:rPr>
                <w:sz w:val="20"/>
                <w:szCs w:val="20"/>
              </w:rPr>
              <w:t>ОАО </w:t>
            </w:r>
            <w:r w:rsidRPr="004761E0">
              <w:rPr>
                <w:sz w:val="20"/>
                <w:szCs w:val="20"/>
              </w:rPr>
              <w:t>«Россети»</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C34130">
            <w:pPr>
              <w:ind w:firstLine="0"/>
              <w:jc w:val="right"/>
              <w:rPr>
                <w:rFonts w:eastAsia="Times New Roman"/>
                <w:sz w:val="20"/>
                <w:szCs w:val="20"/>
                <w:lang w:eastAsia="ru-RU"/>
              </w:rPr>
            </w:pPr>
            <w:r>
              <w:rPr>
                <w:rFonts w:eastAsia="Times New Roman"/>
                <w:sz w:val="20"/>
                <w:szCs w:val="20"/>
                <w:lang w:eastAsia="ru-RU"/>
              </w:rPr>
              <w:t xml:space="preserve">0 из </w:t>
            </w:r>
            <w:r w:rsidRPr="004761E0">
              <w:rPr>
                <w:rFonts w:eastAsia="Times New Roman"/>
                <w:sz w:val="20"/>
                <w:szCs w:val="20"/>
                <w:lang w:eastAsia="ru-RU"/>
              </w:rPr>
              <w:t>0</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410049">
            <w:pPr>
              <w:ind w:firstLine="0"/>
              <w:jc w:val="left"/>
              <w:rPr>
                <w:rFonts w:eastAsia="Times New Roman"/>
                <w:sz w:val="20"/>
                <w:szCs w:val="20"/>
                <w:lang w:eastAsia="ru-RU"/>
              </w:rPr>
            </w:pPr>
            <w:r w:rsidRPr="004761E0">
              <w:rPr>
                <w:rFonts w:eastAsia="Times New Roman"/>
                <w:sz w:val="20"/>
                <w:szCs w:val="20"/>
                <w:lang w:eastAsia="ru-RU"/>
              </w:rPr>
              <w:t>Седунов В.Н.</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sidRPr="004761E0">
              <w:rPr>
                <w:sz w:val="20"/>
                <w:szCs w:val="20"/>
              </w:rPr>
              <w:t xml:space="preserve">Генеральный директор филиала МЭС Центра </w:t>
            </w:r>
            <w:r>
              <w:rPr>
                <w:sz w:val="20"/>
                <w:szCs w:val="20"/>
              </w:rPr>
              <w:t>ОАО </w:t>
            </w:r>
            <w:r w:rsidRPr="004761E0">
              <w:rPr>
                <w:sz w:val="20"/>
                <w:szCs w:val="20"/>
              </w:rPr>
              <w:t>«ФСК ЕЭС»</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8 из </w:t>
            </w:r>
            <w:r w:rsidRPr="004761E0">
              <w:rPr>
                <w:rFonts w:eastAsia="Times New Roman"/>
                <w:sz w:val="20"/>
                <w:szCs w:val="20"/>
                <w:lang w:eastAsia="ru-RU"/>
              </w:rPr>
              <w:t>8</w:t>
            </w:r>
            <w:r>
              <w:rPr>
                <w:rFonts w:eastAsia="Times New Roman"/>
                <w:sz w:val="20"/>
                <w:szCs w:val="20"/>
                <w:lang w:eastAsia="ru-RU"/>
              </w:rPr>
              <w:t>, явка 100 %</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410049">
            <w:pPr>
              <w:ind w:firstLine="0"/>
              <w:jc w:val="left"/>
              <w:rPr>
                <w:rFonts w:eastAsia="Times New Roman"/>
                <w:sz w:val="20"/>
                <w:szCs w:val="20"/>
                <w:lang w:eastAsia="ru-RU"/>
              </w:rPr>
            </w:pPr>
            <w:r w:rsidRPr="004761E0">
              <w:rPr>
                <w:rFonts w:eastAsia="Times New Roman"/>
                <w:sz w:val="20"/>
                <w:szCs w:val="20"/>
                <w:lang w:eastAsia="ru-RU"/>
              </w:rPr>
              <w:t>Семин Н.А.</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sidRPr="004761E0">
              <w:rPr>
                <w:sz w:val="20"/>
                <w:szCs w:val="20"/>
              </w:rPr>
              <w:t>Вице-президент НПФ «Газфонд»</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C34130">
            <w:pPr>
              <w:ind w:firstLine="0"/>
              <w:jc w:val="right"/>
              <w:rPr>
                <w:rFonts w:eastAsia="Times New Roman"/>
                <w:sz w:val="20"/>
                <w:szCs w:val="20"/>
                <w:lang w:eastAsia="ru-RU"/>
              </w:rPr>
            </w:pPr>
            <w:r>
              <w:rPr>
                <w:rFonts w:eastAsia="Times New Roman"/>
                <w:sz w:val="20"/>
                <w:szCs w:val="20"/>
                <w:lang w:eastAsia="ru-RU"/>
              </w:rPr>
              <w:t xml:space="preserve">0 из </w:t>
            </w:r>
            <w:r w:rsidRPr="004761E0">
              <w:rPr>
                <w:rFonts w:eastAsia="Times New Roman"/>
                <w:sz w:val="20"/>
                <w:szCs w:val="20"/>
                <w:lang w:eastAsia="ru-RU"/>
              </w:rPr>
              <w:t>0</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410049">
            <w:pPr>
              <w:ind w:firstLine="0"/>
              <w:jc w:val="left"/>
              <w:rPr>
                <w:rFonts w:eastAsia="Times New Roman"/>
                <w:sz w:val="20"/>
                <w:szCs w:val="20"/>
                <w:lang w:eastAsia="ru-RU"/>
              </w:rPr>
            </w:pPr>
            <w:r w:rsidRPr="004761E0">
              <w:rPr>
                <w:rFonts w:eastAsia="Times New Roman"/>
                <w:sz w:val="20"/>
                <w:szCs w:val="20"/>
                <w:lang w:eastAsia="ru-RU"/>
              </w:rPr>
              <w:t>Скрибот В.</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sidRPr="004761E0">
              <w:rPr>
                <w:sz w:val="20"/>
                <w:szCs w:val="20"/>
              </w:rPr>
              <w:t>Начальник Управления электроэнергетики и инфраструктурных проектов Департамента прямых инвестиций ГПБ (ОАО)</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5 из </w:t>
            </w:r>
            <w:r w:rsidRPr="004761E0">
              <w:rPr>
                <w:rFonts w:eastAsia="Times New Roman"/>
                <w:sz w:val="20"/>
                <w:szCs w:val="20"/>
                <w:lang w:eastAsia="ru-RU"/>
              </w:rPr>
              <w:t>8</w:t>
            </w:r>
            <w:r>
              <w:rPr>
                <w:rFonts w:eastAsia="Times New Roman"/>
                <w:sz w:val="20"/>
                <w:szCs w:val="20"/>
                <w:lang w:eastAsia="ru-RU"/>
              </w:rPr>
              <w:t>, явка 62,50 %</w:t>
            </w:r>
          </w:p>
        </w:tc>
      </w:tr>
      <w:tr w:rsidR="00397040" w:rsidRPr="004761E0" w:rsidTr="00397040">
        <w:trPr>
          <w:trHeight w:val="16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410049">
            <w:pPr>
              <w:ind w:firstLine="0"/>
              <w:jc w:val="left"/>
              <w:rPr>
                <w:rFonts w:eastAsia="Times New Roman"/>
                <w:sz w:val="20"/>
                <w:szCs w:val="20"/>
                <w:lang w:eastAsia="ru-RU"/>
              </w:rPr>
            </w:pPr>
            <w:r w:rsidRPr="004761E0">
              <w:rPr>
                <w:rFonts w:eastAsia="Times New Roman"/>
                <w:sz w:val="20"/>
                <w:szCs w:val="20"/>
                <w:lang w:eastAsia="ru-RU"/>
              </w:rPr>
              <w:t>Хвалин И.В.</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sidRPr="004761E0">
              <w:rPr>
                <w:sz w:val="20"/>
                <w:szCs w:val="20"/>
              </w:rPr>
              <w:t xml:space="preserve">Заместитель Председателя Правления </w:t>
            </w:r>
            <w:r>
              <w:rPr>
                <w:sz w:val="20"/>
                <w:szCs w:val="20"/>
              </w:rPr>
              <w:t>ОАО </w:t>
            </w:r>
            <w:r w:rsidRPr="004761E0">
              <w:rPr>
                <w:sz w:val="20"/>
                <w:szCs w:val="20"/>
              </w:rPr>
              <w:t xml:space="preserve">«ФСК ЕЭС», Заместитель исполнительного директора по стратегии </w:t>
            </w:r>
            <w:r>
              <w:rPr>
                <w:sz w:val="20"/>
                <w:szCs w:val="20"/>
              </w:rPr>
              <w:t>ОАО </w:t>
            </w:r>
            <w:r w:rsidRPr="004761E0">
              <w:rPr>
                <w:sz w:val="20"/>
                <w:szCs w:val="20"/>
              </w:rPr>
              <w:t>«Холдинг МРСК»</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7 из </w:t>
            </w:r>
            <w:r w:rsidRPr="004761E0">
              <w:rPr>
                <w:rFonts w:eastAsia="Times New Roman"/>
                <w:sz w:val="20"/>
                <w:szCs w:val="20"/>
                <w:lang w:eastAsia="ru-RU"/>
              </w:rPr>
              <w:t>8</w:t>
            </w:r>
            <w:r>
              <w:rPr>
                <w:rFonts w:eastAsia="Times New Roman"/>
                <w:sz w:val="20"/>
                <w:szCs w:val="20"/>
                <w:lang w:eastAsia="ru-RU"/>
              </w:rPr>
              <w:t>, явка 87,50 %</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410049">
            <w:pPr>
              <w:ind w:firstLine="0"/>
              <w:jc w:val="left"/>
              <w:rPr>
                <w:rFonts w:eastAsia="Times New Roman"/>
                <w:sz w:val="20"/>
                <w:szCs w:val="20"/>
                <w:lang w:eastAsia="ru-RU"/>
              </w:rPr>
            </w:pPr>
            <w:r w:rsidRPr="004761E0">
              <w:rPr>
                <w:rFonts w:eastAsia="Times New Roman"/>
                <w:sz w:val="20"/>
                <w:szCs w:val="20"/>
                <w:lang w:eastAsia="ru-RU"/>
              </w:rPr>
              <w:t>Шатохина О.В.</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sidRPr="004761E0">
              <w:rPr>
                <w:sz w:val="20"/>
                <w:szCs w:val="20"/>
              </w:rPr>
              <w:t xml:space="preserve">Заместитель генерального директора по экономике и финансам  </w:t>
            </w:r>
            <w:r>
              <w:rPr>
                <w:sz w:val="20"/>
                <w:szCs w:val="20"/>
              </w:rPr>
              <w:t>ОАО </w:t>
            </w:r>
            <w:r w:rsidRPr="004761E0">
              <w:rPr>
                <w:sz w:val="20"/>
                <w:szCs w:val="20"/>
              </w:rPr>
              <w:t>«Россети»</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C34130">
            <w:pPr>
              <w:ind w:firstLine="0"/>
              <w:jc w:val="right"/>
              <w:rPr>
                <w:rFonts w:eastAsia="Times New Roman"/>
                <w:sz w:val="20"/>
                <w:szCs w:val="20"/>
                <w:lang w:eastAsia="ru-RU"/>
              </w:rPr>
            </w:pPr>
            <w:r>
              <w:rPr>
                <w:rFonts w:eastAsia="Times New Roman"/>
                <w:sz w:val="20"/>
                <w:szCs w:val="20"/>
                <w:lang w:eastAsia="ru-RU"/>
              </w:rPr>
              <w:t xml:space="preserve">0 из </w:t>
            </w:r>
            <w:r w:rsidRPr="004761E0">
              <w:rPr>
                <w:rFonts w:eastAsia="Times New Roman"/>
                <w:sz w:val="20"/>
                <w:szCs w:val="20"/>
                <w:lang w:eastAsia="ru-RU"/>
              </w:rPr>
              <w:t>0</w:t>
            </w:r>
          </w:p>
        </w:tc>
      </w:tr>
      <w:tr w:rsidR="00397040" w:rsidRPr="004761E0" w:rsidTr="00512DCC">
        <w:trPr>
          <w:trHeight w:val="21"/>
        </w:trPr>
        <w:tc>
          <w:tcPr>
            <w:tcW w:w="5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97040" w:rsidRPr="004761E0" w:rsidRDefault="00397040" w:rsidP="007076A7">
            <w:pPr>
              <w:pStyle w:val="a5"/>
              <w:numPr>
                <w:ilvl w:val="0"/>
                <w:numId w:val="42"/>
              </w:numPr>
              <w:ind w:left="0" w:firstLine="0"/>
              <w:jc w:val="left"/>
              <w:rPr>
                <w:rFonts w:eastAsia="Times New Roman"/>
                <w:sz w:val="20"/>
                <w:szCs w:val="20"/>
                <w:lang w:eastAsia="ru-RU"/>
              </w:rPr>
            </w:pPr>
          </w:p>
        </w:tc>
        <w:tc>
          <w:tcPr>
            <w:tcW w:w="15744"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97040" w:rsidRPr="004761E0" w:rsidRDefault="00397040" w:rsidP="007C1701">
            <w:pPr>
              <w:ind w:firstLine="0"/>
              <w:jc w:val="left"/>
              <w:rPr>
                <w:rFonts w:eastAsia="Times New Roman"/>
                <w:b/>
                <w:bCs/>
                <w:iCs/>
                <w:color w:val="000000"/>
                <w:sz w:val="20"/>
                <w:szCs w:val="20"/>
                <w:lang w:eastAsia="ru-RU"/>
              </w:rPr>
            </w:pPr>
            <w:r w:rsidRPr="004761E0">
              <w:rPr>
                <w:rFonts w:eastAsia="Times New Roman"/>
                <w:b/>
                <w:bCs/>
                <w:iCs/>
                <w:color w:val="000000"/>
                <w:sz w:val="20"/>
                <w:szCs w:val="20"/>
                <w:lang w:eastAsia="ru-RU"/>
              </w:rPr>
              <w:t>Комитет по кадрам и вознаграждениям</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410049">
            <w:pPr>
              <w:ind w:firstLine="0"/>
              <w:jc w:val="left"/>
              <w:rPr>
                <w:rFonts w:eastAsia="Times New Roman"/>
                <w:sz w:val="20"/>
                <w:szCs w:val="20"/>
                <w:lang w:eastAsia="ru-RU"/>
              </w:rPr>
            </w:pPr>
            <w:r w:rsidRPr="004761E0">
              <w:rPr>
                <w:rFonts w:eastAsia="Times New Roman"/>
                <w:sz w:val="20"/>
                <w:szCs w:val="20"/>
                <w:lang w:eastAsia="ru-RU"/>
              </w:rPr>
              <w:t>Гавриленко А.А.</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sidRPr="004761E0">
              <w:rPr>
                <w:sz w:val="20"/>
                <w:szCs w:val="20"/>
              </w:rPr>
              <w:t xml:space="preserve">Генеральный директор </w:t>
            </w:r>
            <w:r>
              <w:rPr>
                <w:sz w:val="20"/>
                <w:szCs w:val="20"/>
              </w:rPr>
              <w:t>ЗАО </w:t>
            </w:r>
            <w:r w:rsidRPr="004761E0">
              <w:rPr>
                <w:sz w:val="20"/>
                <w:szCs w:val="20"/>
              </w:rPr>
              <w:t>«Лидер»</w:t>
            </w:r>
            <w:r>
              <w:rPr>
                <w:sz w:val="20"/>
                <w:szCs w:val="20"/>
              </w:rPr>
              <w:t xml:space="preserve"> </w:t>
            </w:r>
            <w:r w:rsidRPr="004761E0">
              <w:rPr>
                <w:sz w:val="20"/>
                <w:szCs w:val="20"/>
              </w:rPr>
              <w:t>(Компани</w:t>
            </w:r>
            <w:r>
              <w:rPr>
                <w:sz w:val="20"/>
                <w:szCs w:val="20"/>
              </w:rPr>
              <w:t>и</w:t>
            </w:r>
            <w:r w:rsidRPr="004761E0">
              <w:rPr>
                <w:sz w:val="20"/>
                <w:szCs w:val="20"/>
              </w:rPr>
              <w:t xml:space="preserve"> по управлению активами пенсионного фонда)</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10 из </w:t>
            </w:r>
            <w:r w:rsidRPr="004761E0">
              <w:rPr>
                <w:rFonts w:eastAsia="Times New Roman"/>
                <w:sz w:val="20"/>
                <w:szCs w:val="20"/>
                <w:lang w:eastAsia="ru-RU"/>
              </w:rPr>
              <w:t>15</w:t>
            </w:r>
            <w:r>
              <w:rPr>
                <w:rFonts w:eastAsia="Times New Roman"/>
                <w:sz w:val="20"/>
                <w:szCs w:val="20"/>
                <w:lang w:eastAsia="ru-RU"/>
              </w:rPr>
              <w:t>, явка 66,67 %</w:t>
            </w:r>
          </w:p>
        </w:tc>
      </w:tr>
      <w:tr w:rsidR="00397040" w:rsidRPr="004761E0" w:rsidTr="00397040">
        <w:trPr>
          <w:trHeight w:val="16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410049">
            <w:pPr>
              <w:ind w:firstLine="0"/>
              <w:jc w:val="left"/>
              <w:rPr>
                <w:rFonts w:eastAsia="Times New Roman"/>
                <w:sz w:val="20"/>
                <w:szCs w:val="20"/>
                <w:lang w:eastAsia="ru-RU"/>
              </w:rPr>
            </w:pPr>
            <w:r w:rsidRPr="004761E0">
              <w:rPr>
                <w:rFonts w:eastAsia="Times New Roman"/>
                <w:sz w:val="20"/>
                <w:szCs w:val="20"/>
                <w:lang w:eastAsia="ru-RU"/>
              </w:rPr>
              <w:t>Гончаров В.А.</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sidRPr="004761E0">
              <w:rPr>
                <w:sz w:val="20"/>
                <w:szCs w:val="20"/>
              </w:rPr>
              <w:t xml:space="preserve">Заместитель Председателя Правления </w:t>
            </w:r>
            <w:r>
              <w:rPr>
                <w:sz w:val="20"/>
                <w:szCs w:val="20"/>
              </w:rPr>
              <w:t>ОАО </w:t>
            </w:r>
            <w:r w:rsidRPr="004761E0">
              <w:rPr>
                <w:sz w:val="20"/>
                <w:szCs w:val="20"/>
              </w:rPr>
              <w:t xml:space="preserve">«ФСК ЕЭС», Заместитель исполнительного директора по инвестиционной деятельности </w:t>
            </w:r>
            <w:r>
              <w:rPr>
                <w:sz w:val="20"/>
                <w:szCs w:val="20"/>
              </w:rPr>
              <w:t>ОАО </w:t>
            </w:r>
            <w:r w:rsidRPr="004761E0">
              <w:rPr>
                <w:sz w:val="20"/>
                <w:szCs w:val="20"/>
              </w:rPr>
              <w:t>«Холдинг МРСК»</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9 из </w:t>
            </w:r>
            <w:r w:rsidRPr="004761E0">
              <w:rPr>
                <w:rFonts w:eastAsia="Times New Roman"/>
                <w:sz w:val="20"/>
                <w:szCs w:val="20"/>
                <w:lang w:eastAsia="ru-RU"/>
              </w:rPr>
              <w:t>11</w:t>
            </w:r>
            <w:r>
              <w:rPr>
                <w:rFonts w:eastAsia="Times New Roman"/>
                <w:sz w:val="20"/>
                <w:szCs w:val="20"/>
                <w:lang w:eastAsia="ru-RU"/>
              </w:rPr>
              <w:t>, явка 81,82 %</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410049">
            <w:pPr>
              <w:ind w:firstLine="0"/>
              <w:jc w:val="left"/>
              <w:rPr>
                <w:rFonts w:eastAsia="Times New Roman"/>
                <w:sz w:val="20"/>
                <w:szCs w:val="20"/>
                <w:lang w:eastAsia="ru-RU"/>
              </w:rPr>
            </w:pPr>
            <w:r w:rsidRPr="004761E0">
              <w:rPr>
                <w:rFonts w:eastAsia="Times New Roman"/>
                <w:sz w:val="20"/>
                <w:szCs w:val="20"/>
                <w:lang w:eastAsia="ru-RU"/>
              </w:rPr>
              <w:t>Демин С.А.</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sidRPr="004761E0">
              <w:rPr>
                <w:sz w:val="20"/>
                <w:szCs w:val="20"/>
              </w:rPr>
              <w:t xml:space="preserve">Генеральный директор филиала </w:t>
            </w:r>
            <w:r>
              <w:rPr>
                <w:sz w:val="20"/>
                <w:szCs w:val="20"/>
              </w:rPr>
              <w:t>ОАО </w:t>
            </w:r>
            <w:r w:rsidRPr="004761E0">
              <w:rPr>
                <w:sz w:val="20"/>
                <w:szCs w:val="20"/>
              </w:rPr>
              <w:t>«ФСК ЕЭС» – МЭС Центра</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4 из </w:t>
            </w:r>
            <w:r w:rsidRPr="004761E0">
              <w:rPr>
                <w:rFonts w:eastAsia="Times New Roman"/>
                <w:sz w:val="20"/>
                <w:szCs w:val="20"/>
                <w:lang w:eastAsia="ru-RU"/>
              </w:rPr>
              <w:t>4</w:t>
            </w:r>
            <w:r>
              <w:rPr>
                <w:rFonts w:eastAsia="Times New Roman"/>
                <w:sz w:val="20"/>
                <w:szCs w:val="20"/>
                <w:lang w:eastAsia="ru-RU"/>
              </w:rPr>
              <w:t>, явка 100 %</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410049">
            <w:pPr>
              <w:ind w:firstLine="0"/>
              <w:jc w:val="left"/>
              <w:rPr>
                <w:rFonts w:eastAsia="Times New Roman"/>
                <w:sz w:val="20"/>
                <w:szCs w:val="20"/>
                <w:lang w:eastAsia="ru-RU"/>
              </w:rPr>
            </w:pPr>
            <w:r w:rsidRPr="004761E0">
              <w:rPr>
                <w:rFonts w:eastAsia="Times New Roman"/>
                <w:sz w:val="20"/>
                <w:szCs w:val="20"/>
                <w:lang w:eastAsia="ru-RU"/>
              </w:rPr>
              <w:t>Казаченков А.В.</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sidRPr="004761E0">
              <w:rPr>
                <w:sz w:val="20"/>
                <w:szCs w:val="20"/>
              </w:rPr>
              <w:t xml:space="preserve">Член Правления, Первый Заместитель Председателя  Правления </w:t>
            </w:r>
            <w:r>
              <w:rPr>
                <w:sz w:val="20"/>
                <w:szCs w:val="20"/>
              </w:rPr>
              <w:t>ОАО </w:t>
            </w:r>
            <w:r w:rsidRPr="004761E0">
              <w:rPr>
                <w:sz w:val="20"/>
                <w:szCs w:val="20"/>
              </w:rPr>
              <w:t>«ФСК ЕЭС»</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4 из </w:t>
            </w:r>
            <w:r w:rsidRPr="004761E0">
              <w:rPr>
                <w:rFonts w:eastAsia="Times New Roman"/>
                <w:sz w:val="20"/>
                <w:szCs w:val="20"/>
                <w:lang w:eastAsia="ru-RU"/>
              </w:rPr>
              <w:t>4</w:t>
            </w:r>
            <w:r>
              <w:rPr>
                <w:rFonts w:eastAsia="Times New Roman"/>
                <w:sz w:val="20"/>
                <w:szCs w:val="20"/>
                <w:lang w:eastAsia="ru-RU"/>
              </w:rPr>
              <w:t>, явка 100 %</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410049">
            <w:pPr>
              <w:ind w:firstLine="0"/>
              <w:jc w:val="left"/>
              <w:rPr>
                <w:rFonts w:eastAsia="Times New Roman"/>
                <w:sz w:val="20"/>
                <w:szCs w:val="20"/>
                <w:lang w:eastAsia="ru-RU"/>
              </w:rPr>
            </w:pPr>
            <w:r w:rsidRPr="004761E0">
              <w:rPr>
                <w:rFonts w:eastAsia="Times New Roman"/>
                <w:sz w:val="20"/>
                <w:szCs w:val="20"/>
                <w:lang w:eastAsia="ru-RU"/>
              </w:rPr>
              <w:t>Муров А.Е.</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sidRPr="004761E0">
              <w:rPr>
                <w:sz w:val="20"/>
                <w:szCs w:val="20"/>
              </w:rPr>
              <w:t xml:space="preserve">Исполнительный директор </w:t>
            </w:r>
            <w:r>
              <w:rPr>
                <w:sz w:val="20"/>
                <w:szCs w:val="20"/>
              </w:rPr>
              <w:t>ОАО </w:t>
            </w:r>
            <w:r w:rsidRPr="004761E0">
              <w:rPr>
                <w:sz w:val="20"/>
                <w:szCs w:val="20"/>
              </w:rPr>
              <w:t>«Холдинг МРСК»</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9 из </w:t>
            </w:r>
            <w:r w:rsidRPr="004761E0">
              <w:rPr>
                <w:rFonts w:eastAsia="Times New Roman"/>
                <w:sz w:val="20"/>
                <w:szCs w:val="20"/>
                <w:lang w:eastAsia="ru-RU"/>
              </w:rPr>
              <w:t>11</w:t>
            </w:r>
            <w:r>
              <w:rPr>
                <w:rFonts w:eastAsia="Times New Roman"/>
                <w:sz w:val="20"/>
                <w:szCs w:val="20"/>
                <w:lang w:eastAsia="ru-RU"/>
              </w:rPr>
              <w:t>, явка 81,82 %</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410049">
            <w:pPr>
              <w:ind w:firstLine="0"/>
              <w:jc w:val="left"/>
              <w:rPr>
                <w:rFonts w:eastAsia="Times New Roman"/>
                <w:sz w:val="20"/>
                <w:szCs w:val="20"/>
                <w:lang w:eastAsia="ru-RU"/>
              </w:rPr>
            </w:pPr>
            <w:r w:rsidRPr="004761E0">
              <w:rPr>
                <w:rFonts w:eastAsia="Times New Roman"/>
                <w:sz w:val="20"/>
                <w:szCs w:val="20"/>
                <w:lang w:eastAsia="ru-RU"/>
              </w:rPr>
              <w:t>Седунов В.Н.</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sidRPr="004761E0">
              <w:rPr>
                <w:sz w:val="20"/>
                <w:szCs w:val="20"/>
              </w:rPr>
              <w:t xml:space="preserve">Генеральный директор филиала МЭС Центра </w:t>
            </w:r>
            <w:r>
              <w:rPr>
                <w:sz w:val="20"/>
                <w:szCs w:val="20"/>
              </w:rPr>
              <w:t>ОАО </w:t>
            </w:r>
            <w:r w:rsidRPr="004761E0">
              <w:rPr>
                <w:sz w:val="20"/>
                <w:szCs w:val="20"/>
              </w:rPr>
              <w:t>«ФСК ЕЭС»</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11 из </w:t>
            </w:r>
            <w:r w:rsidRPr="004761E0">
              <w:rPr>
                <w:rFonts w:eastAsia="Times New Roman"/>
                <w:sz w:val="20"/>
                <w:szCs w:val="20"/>
                <w:lang w:eastAsia="ru-RU"/>
              </w:rPr>
              <w:t>11</w:t>
            </w:r>
            <w:r>
              <w:rPr>
                <w:rFonts w:eastAsia="Times New Roman"/>
                <w:sz w:val="20"/>
                <w:szCs w:val="20"/>
                <w:lang w:eastAsia="ru-RU"/>
              </w:rPr>
              <w:t>, явка 100 %</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410049">
            <w:pPr>
              <w:ind w:firstLine="0"/>
              <w:jc w:val="left"/>
              <w:rPr>
                <w:rFonts w:eastAsia="Times New Roman"/>
                <w:sz w:val="20"/>
                <w:szCs w:val="20"/>
                <w:lang w:eastAsia="ru-RU"/>
              </w:rPr>
            </w:pPr>
            <w:r w:rsidRPr="004761E0">
              <w:rPr>
                <w:rFonts w:eastAsia="Times New Roman"/>
                <w:sz w:val="20"/>
                <w:szCs w:val="20"/>
                <w:lang w:eastAsia="ru-RU"/>
              </w:rPr>
              <w:t>Скляров Е.В.</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sidRPr="004761E0">
              <w:rPr>
                <w:sz w:val="20"/>
                <w:szCs w:val="20"/>
              </w:rPr>
              <w:t>Руководитель Департамента топливно-энергетического хозяйства города Москвы</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0 из </w:t>
            </w:r>
            <w:r w:rsidRPr="004761E0">
              <w:rPr>
                <w:rFonts w:eastAsia="Times New Roman"/>
                <w:sz w:val="20"/>
                <w:szCs w:val="20"/>
                <w:lang w:eastAsia="ru-RU"/>
              </w:rPr>
              <w:t>11</w:t>
            </w:r>
            <w:r>
              <w:rPr>
                <w:rFonts w:eastAsia="Times New Roman"/>
                <w:sz w:val="20"/>
                <w:szCs w:val="20"/>
                <w:lang w:eastAsia="ru-RU"/>
              </w:rPr>
              <w:t>, явка 0%</w:t>
            </w:r>
          </w:p>
        </w:tc>
      </w:tr>
      <w:tr w:rsidR="00397040" w:rsidRPr="004761E0" w:rsidTr="00397040">
        <w:trPr>
          <w:trHeight w:val="16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410049">
            <w:pPr>
              <w:ind w:firstLine="0"/>
              <w:jc w:val="left"/>
              <w:rPr>
                <w:rFonts w:eastAsia="Times New Roman"/>
                <w:sz w:val="20"/>
                <w:szCs w:val="20"/>
                <w:lang w:eastAsia="ru-RU"/>
              </w:rPr>
            </w:pPr>
            <w:r w:rsidRPr="004761E0">
              <w:rPr>
                <w:rFonts w:eastAsia="Times New Roman"/>
                <w:sz w:val="20"/>
                <w:szCs w:val="20"/>
                <w:lang w:eastAsia="ru-RU"/>
              </w:rPr>
              <w:t>Скрибот В.</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sidRPr="004761E0">
              <w:rPr>
                <w:sz w:val="20"/>
                <w:szCs w:val="20"/>
              </w:rPr>
              <w:t>Начальник Управления электроэнергетики и инфраструктурных проектов Департамента прямых инвестиций ГПБ (ОАО)</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10 из </w:t>
            </w:r>
            <w:r w:rsidRPr="004761E0">
              <w:rPr>
                <w:rFonts w:eastAsia="Times New Roman"/>
                <w:sz w:val="20"/>
                <w:szCs w:val="20"/>
                <w:lang w:eastAsia="ru-RU"/>
              </w:rPr>
              <w:t>15</w:t>
            </w:r>
            <w:r>
              <w:rPr>
                <w:rFonts w:eastAsia="Times New Roman"/>
                <w:sz w:val="20"/>
                <w:szCs w:val="20"/>
                <w:lang w:eastAsia="ru-RU"/>
              </w:rPr>
              <w:t>, явка 66,67 %</w:t>
            </w:r>
          </w:p>
        </w:tc>
      </w:tr>
      <w:tr w:rsidR="00397040" w:rsidRPr="004761E0" w:rsidTr="00397040">
        <w:trPr>
          <w:trHeight w:val="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397040" w:rsidRPr="004761E0" w:rsidRDefault="00397040" w:rsidP="007076A7">
            <w:pPr>
              <w:pStyle w:val="a5"/>
              <w:numPr>
                <w:ilvl w:val="1"/>
                <w:numId w:val="42"/>
              </w:numPr>
              <w:tabs>
                <w:tab w:val="left" w:pos="49"/>
                <w:tab w:val="left" w:pos="524"/>
              </w:tabs>
              <w:ind w:left="49" w:firstLine="0"/>
              <w:jc w:val="left"/>
              <w:rPr>
                <w:rFonts w:eastAsia="Times New Roman"/>
                <w:sz w:val="20"/>
                <w:szCs w:val="20"/>
                <w:lang w:eastAsia="ru-RU"/>
              </w:rPr>
            </w:pP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397040" w:rsidRPr="004761E0" w:rsidRDefault="00397040" w:rsidP="00410049">
            <w:pPr>
              <w:ind w:firstLine="0"/>
              <w:jc w:val="left"/>
              <w:rPr>
                <w:rFonts w:eastAsia="Times New Roman"/>
                <w:sz w:val="20"/>
                <w:szCs w:val="20"/>
                <w:lang w:eastAsia="ru-RU"/>
              </w:rPr>
            </w:pPr>
            <w:r w:rsidRPr="004761E0">
              <w:rPr>
                <w:rFonts w:eastAsia="Times New Roman"/>
                <w:sz w:val="20"/>
                <w:szCs w:val="20"/>
                <w:lang w:eastAsia="ru-RU"/>
              </w:rPr>
              <w:t>Шатохина О.В.</w:t>
            </w:r>
          </w:p>
        </w:tc>
        <w:tc>
          <w:tcPr>
            <w:tcW w:w="10916" w:type="dxa"/>
            <w:tcBorders>
              <w:top w:val="single" w:sz="4" w:space="0" w:color="auto"/>
              <w:left w:val="single" w:sz="4" w:space="0" w:color="auto"/>
              <w:bottom w:val="single" w:sz="4" w:space="0" w:color="auto"/>
              <w:right w:val="single" w:sz="4" w:space="0" w:color="auto"/>
            </w:tcBorders>
            <w:vAlign w:val="center"/>
          </w:tcPr>
          <w:p w:rsidR="00397040" w:rsidRPr="004761E0" w:rsidRDefault="00397040" w:rsidP="003100DA">
            <w:pPr>
              <w:ind w:firstLine="0"/>
              <w:jc w:val="left"/>
              <w:rPr>
                <w:sz w:val="20"/>
                <w:szCs w:val="20"/>
              </w:rPr>
            </w:pPr>
            <w:r>
              <w:rPr>
                <w:sz w:val="20"/>
                <w:szCs w:val="20"/>
              </w:rPr>
              <w:t>Заместитель г</w:t>
            </w:r>
            <w:r w:rsidRPr="004761E0">
              <w:rPr>
                <w:sz w:val="20"/>
                <w:szCs w:val="20"/>
              </w:rPr>
              <w:t xml:space="preserve">енерального директора по экономике и финансам </w:t>
            </w:r>
            <w:r>
              <w:rPr>
                <w:sz w:val="20"/>
                <w:szCs w:val="20"/>
              </w:rPr>
              <w:t>ОАО </w:t>
            </w:r>
            <w:r w:rsidRPr="004761E0">
              <w:rPr>
                <w:sz w:val="20"/>
                <w:szCs w:val="20"/>
              </w:rPr>
              <w:t>«Россети»</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040" w:rsidRPr="004761E0" w:rsidRDefault="00397040" w:rsidP="000B3F0E">
            <w:pPr>
              <w:ind w:firstLine="0"/>
              <w:jc w:val="right"/>
              <w:rPr>
                <w:rFonts w:eastAsia="Times New Roman"/>
                <w:sz w:val="20"/>
                <w:szCs w:val="20"/>
                <w:lang w:eastAsia="ru-RU"/>
              </w:rPr>
            </w:pPr>
            <w:r>
              <w:rPr>
                <w:rFonts w:eastAsia="Times New Roman"/>
                <w:sz w:val="20"/>
                <w:szCs w:val="20"/>
                <w:lang w:eastAsia="ru-RU"/>
              </w:rPr>
              <w:t xml:space="preserve">4 из </w:t>
            </w:r>
            <w:r w:rsidRPr="004761E0">
              <w:rPr>
                <w:rFonts w:eastAsia="Times New Roman"/>
                <w:sz w:val="20"/>
                <w:szCs w:val="20"/>
                <w:lang w:eastAsia="ru-RU"/>
              </w:rPr>
              <w:t>4</w:t>
            </w:r>
            <w:r>
              <w:rPr>
                <w:rFonts w:eastAsia="Times New Roman"/>
                <w:sz w:val="20"/>
                <w:szCs w:val="20"/>
                <w:lang w:eastAsia="ru-RU"/>
              </w:rPr>
              <w:t>, явка 100 %</w:t>
            </w:r>
          </w:p>
        </w:tc>
      </w:tr>
    </w:tbl>
    <w:p w:rsidR="005A5A1B" w:rsidRPr="00D95123" w:rsidRDefault="005A5A1B" w:rsidP="00D95123">
      <w:pPr>
        <w:spacing w:before="120" w:after="120"/>
        <w:ind w:firstLine="567"/>
        <w:jc w:val="left"/>
        <w:rPr>
          <w:rFonts w:eastAsia="Times New Roman"/>
          <w:b/>
          <w:iCs/>
          <w:color w:val="000000"/>
          <w:sz w:val="26"/>
          <w:szCs w:val="26"/>
          <w:lang w:eastAsia="ru-RU"/>
        </w:rPr>
      </w:pPr>
      <w:r w:rsidRPr="004761E0">
        <w:rPr>
          <w:rFonts w:eastAsia="Times New Roman"/>
          <w:b/>
          <w:iCs/>
          <w:color w:val="000000"/>
          <w:sz w:val="26"/>
          <w:szCs w:val="26"/>
          <w:lang w:eastAsia="ru-RU"/>
        </w:rPr>
        <w:t>Информация об участии членов Правления в заседаниях в отчетном году</w:t>
      </w:r>
    </w:p>
    <w:tbl>
      <w:tblPr>
        <w:tblW w:w="16389" w:type="dxa"/>
        <w:tblInd w:w="-743" w:type="dxa"/>
        <w:tblLayout w:type="fixed"/>
        <w:tblLook w:val="04A0"/>
      </w:tblPr>
      <w:tblGrid>
        <w:gridCol w:w="580"/>
        <w:gridCol w:w="1689"/>
        <w:gridCol w:w="10447"/>
        <w:gridCol w:w="1130"/>
        <w:gridCol w:w="2543"/>
      </w:tblGrid>
      <w:tr w:rsidR="000B3F0E" w:rsidRPr="004761E0" w:rsidTr="000B3F0E">
        <w:trPr>
          <w:cantSplit/>
          <w:trHeight w:val="80"/>
        </w:trPr>
        <w:tc>
          <w:tcPr>
            <w:tcW w:w="580" w:type="dxa"/>
            <w:tcBorders>
              <w:top w:val="single" w:sz="4" w:space="0" w:color="auto"/>
              <w:left w:val="nil"/>
              <w:bottom w:val="single" w:sz="4" w:space="0" w:color="auto"/>
              <w:right w:val="single" w:sz="4" w:space="0" w:color="FFFFFF" w:themeColor="background1"/>
            </w:tcBorders>
            <w:shd w:val="clear" w:color="auto" w:fill="0F243E" w:themeFill="text2" w:themeFillShade="80"/>
            <w:hideMark/>
          </w:tcPr>
          <w:p w:rsidR="000B3F0E" w:rsidRPr="004761E0" w:rsidRDefault="000B3F0E" w:rsidP="000B3F0E">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п/п</w:t>
            </w:r>
          </w:p>
        </w:tc>
        <w:tc>
          <w:tcPr>
            <w:tcW w:w="168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hideMark/>
          </w:tcPr>
          <w:p w:rsidR="000B3F0E" w:rsidRPr="004761E0" w:rsidRDefault="000B3F0E" w:rsidP="000B3F0E">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 xml:space="preserve">Ф.И.О. члена Правления </w:t>
            </w:r>
          </w:p>
        </w:tc>
        <w:tc>
          <w:tcPr>
            <w:tcW w:w="1044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tcPr>
          <w:p w:rsidR="000B3F0E" w:rsidRPr="004761E0" w:rsidRDefault="000B3F0E" w:rsidP="000B3F0E">
            <w:pPr>
              <w:ind w:firstLine="0"/>
              <w:jc w:val="lef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Должность на 31.12.2013</w:t>
            </w:r>
          </w:p>
        </w:tc>
        <w:tc>
          <w:tcPr>
            <w:tcW w:w="113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hideMark/>
          </w:tcPr>
          <w:p w:rsidR="000B3F0E" w:rsidRPr="004761E0" w:rsidRDefault="000B3F0E" w:rsidP="000B3F0E">
            <w:pPr>
              <w:ind w:firstLine="0"/>
              <w:jc w:val="right"/>
              <w:rPr>
                <w:rFonts w:eastAsia="Times New Roman"/>
                <w:b/>
                <w:color w:val="FFFFFF" w:themeColor="background1"/>
                <w:sz w:val="20"/>
                <w:szCs w:val="20"/>
                <w:lang w:eastAsia="ru-RU"/>
              </w:rPr>
            </w:pPr>
            <w:r w:rsidRPr="004761E0">
              <w:rPr>
                <w:rFonts w:eastAsia="Times New Roman"/>
                <w:b/>
                <w:color w:val="FFFFFF" w:themeColor="background1"/>
                <w:sz w:val="20"/>
                <w:szCs w:val="20"/>
                <w:lang w:eastAsia="ru-RU"/>
              </w:rPr>
              <w:t>Дата избрания</w:t>
            </w:r>
          </w:p>
        </w:tc>
        <w:tc>
          <w:tcPr>
            <w:tcW w:w="254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hideMark/>
          </w:tcPr>
          <w:p w:rsidR="000B3F0E" w:rsidRPr="004761E0" w:rsidRDefault="000B3F0E" w:rsidP="000B3F0E">
            <w:pPr>
              <w:ind w:firstLine="0"/>
              <w:jc w:val="right"/>
              <w:rPr>
                <w:rFonts w:eastAsia="Times New Roman"/>
                <w:b/>
                <w:color w:val="FFFFFF" w:themeColor="background1"/>
                <w:sz w:val="20"/>
                <w:szCs w:val="20"/>
                <w:lang w:eastAsia="ru-RU"/>
              </w:rPr>
            </w:pPr>
            <w:r w:rsidRPr="004761E0">
              <w:rPr>
                <w:rFonts w:eastAsia="Times New Roman"/>
                <w:b/>
                <w:color w:val="FFFFFF"/>
                <w:sz w:val="20"/>
                <w:szCs w:val="20"/>
                <w:lang w:eastAsia="ru-RU"/>
              </w:rPr>
              <w:t xml:space="preserve">Количество заседаний </w:t>
            </w:r>
            <w:r>
              <w:rPr>
                <w:rFonts w:eastAsia="Times New Roman"/>
                <w:b/>
                <w:color w:val="FFFFFF"/>
                <w:sz w:val="20"/>
                <w:szCs w:val="20"/>
                <w:lang w:eastAsia="ru-RU"/>
              </w:rPr>
              <w:t xml:space="preserve">Правление </w:t>
            </w:r>
            <w:r w:rsidRPr="004761E0">
              <w:rPr>
                <w:rFonts w:eastAsia="Times New Roman"/>
                <w:b/>
                <w:color w:val="FFFFFF"/>
                <w:sz w:val="20"/>
                <w:szCs w:val="20"/>
                <w:lang w:eastAsia="ru-RU"/>
              </w:rPr>
              <w:t xml:space="preserve">в отчетном году, в которых член </w:t>
            </w:r>
            <w:r>
              <w:rPr>
                <w:rFonts w:eastAsia="Times New Roman"/>
                <w:b/>
                <w:color w:val="FFFFFF"/>
                <w:sz w:val="20"/>
                <w:szCs w:val="20"/>
                <w:lang w:eastAsia="ru-RU"/>
              </w:rPr>
              <w:t xml:space="preserve">Правления </w:t>
            </w:r>
            <w:r w:rsidRPr="004761E0">
              <w:rPr>
                <w:rFonts w:eastAsia="Times New Roman"/>
                <w:b/>
                <w:color w:val="FFFFFF"/>
                <w:sz w:val="20"/>
                <w:szCs w:val="20"/>
                <w:lang w:eastAsia="ru-RU"/>
              </w:rPr>
              <w:t>принял участие</w:t>
            </w:r>
            <w:r>
              <w:rPr>
                <w:rFonts w:eastAsia="Times New Roman"/>
                <w:b/>
                <w:color w:val="FFFFFF"/>
                <w:sz w:val="20"/>
                <w:szCs w:val="20"/>
                <w:lang w:eastAsia="ru-RU"/>
              </w:rPr>
              <w:t xml:space="preserve"> (</w:t>
            </w:r>
            <w:r w:rsidRPr="004761E0">
              <w:rPr>
                <w:rFonts w:eastAsia="Times New Roman"/>
                <w:b/>
                <w:color w:val="FFFFFF"/>
                <w:sz w:val="20"/>
                <w:szCs w:val="20"/>
                <w:lang w:eastAsia="ru-RU"/>
              </w:rPr>
              <w:t xml:space="preserve"> шт.</w:t>
            </w:r>
            <w:r>
              <w:rPr>
                <w:rFonts w:eastAsia="Times New Roman"/>
                <w:b/>
                <w:color w:val="FFFFFF"/>
                <w:sz w:val="20"/>
                <w:szCs w:val="20"/>
                <w:lang w:eastAsia="ru-RU"/>
              </w:rPr>
              <w:t>), из общего к</w:t>
            </w:r>
            <w:r w:rsidRPr="004761E0">
              <w:rPr>
                <w:rFonts w:eastAsia="Times New Roman"/>
                <w:b/>
                <w:color w:val="FFFFFF"/>
                <w:sz w:val="20"/>
                <w:szCs w:val="20"/>
                <w:lang w:eastAsia="ru-RU"/>
              </w:rPr>
              <w:t>оличеств</w:t>
            </w:r>
            <w:r>
              <w:rPr>
                <w:rFonts w:eastAsia="Times New Roman"/>
                <w:b/>
                <w:color w:val="FFFFFF"/>
                <w:sz w:val="20"/>
                <w:szCs w:val="20"/>
                <w:lang w:eastAsia="ru-RU"/>
              </w:rPr>
              <w:t>а</w:t>
            </w:r>
            <w:r w:rsidRPr="004761E0">
              <w:rPr>
                <w:rFonts w:eastAsia="Times New Roman"/>
                <w:b/>
                <w:color w:val="FFFFFF"/>
                <w:sz w:val="20"/>
                <w:szCs w:val="20"/>
                <w:lang w:eastAsia="ru-RU"/>
              </w:rPr>
              <w:t xml:space="preserve"> заседаний </w:t>
            </w:r>
            <w:r>
              <w:rPr>
                <w:rFonts w:eastAsia="Times New Roman"/>
                <w:b/>
                <w:color w:val="FFFFFF"/>
                <w:sz w:val="20"/>
                <w:szCs w:val="20"/>
                <w:lang w:eastAsia="ru-RU"/>
              </w:rPr>
              <w:t xml:space="preserve">Правления </w:t>
            </w:r>
            <w:r w:rsidRPr="004761E0">
              <w:rPr>
                <w:rFonts w:eastAsia="Times New Roman"/>
                <w:b/>
                <w:color w:val="FFFFFF"/>
                <w:sz w:val="20"/>
                <w:szCs w:val="20"/>
                <w:lang w:eastAsia="ru-RU"/>
              </w:rPr>
              <w:t>в отчетном году, в кото</w:t>
            </w:r>
            <w:r>
              <w:rPr>
                <w:rFonts w:eastAsia="Times New Roman"/>
                <w:b/>
                <w:color w:val="FFFFFF"/>
                <w:sz w:val="20"/>
                <w:szCs w:val="20"/>
                <w:lang w:eastAsia="ru-RU"/>
              </w:rPr>
              <w:t>рых требовалось участие члена Правления (</w:t>
            </w:r>
            <w:r w:rsidRPr="004761E0">
              <w:rPr>
                <w:rFonts w:eastAsia="Times New Roman"/>
                <w:b/>
                <w:color w:val="FFFFFF"/>
                <w:sz w:val="20"/>
                <w:szCs w:val="20"/>
                <w:lang w:eastAsia="ru-RU"/>
              </w:rPr>
              <w:t>шт</w:t>
            </w:r>
            <w:r>
              <w:rPr>
                <w:rFonts w:eastAsia="Times New Roman"/>
                <w:b/>
                <w:color w:val="FFFFFF"/>
                <w:sz w:val="20"/>
                <w:szCs w:val="20"/>
                <w:lang w:eastAsia="ru-RU"/>
              </w:rPr>
              <w:t>.), явка</w:t>
            </w:r>
          </w:p>
        </w:tc>
      </w:tr>
      <w:tr w:rsidR="000B3F0E" w:rsidRPr="004761E0" w:rsidTr="000B3F0E">
        <w:trPr>
          <w:cantSplit/>
          <w:trHeight w:val="8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0B3F0E" w:rsidRPr="004761E0" w:rsidRDefault="000B3F0E" w:rsidP="007076A7">
            <w:pPr>
              <w:pStyle w:val="a5"/>
              <w:numPr>
                <w:ilvl w:val="0"/>
                <w:numId w:val="22"/>
              </w:numPr>
              <w:ind w:left="0" w:firstLine="0"/>
              <w:contextualSpacing w:val="0"/>
              <w:jc w:val="right"/>
              <w:rPr>
                <w:rFonts w:eastAsia="Times New Roman"/>
                <w:color w:val="000000"/>
                <w:sz w:val="20"/>
                <w:szCs w:val="20"/>
                <w:lang w:eastAsia="ru-RU"/>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F0E" w:rsidRPr="004761E0" w:rsidRDefault="000B3F0E" w:rsidP="000B3F0E">
            <w:pPr>
              <w:ind w:firstLine="0"/>
              <w:jc w:val="left"/>
              <w:rPr>
                <w:rFonts w:eastAsia="Times New Roman"/>
                <w:color w:val="000000"/>
                <w:sz w:val="20"/>
                <w:szCs w:val="20"/>
                <w:lang w:eastAsia="ru-RU"/>
              </w:rPr>
            </w:pPr>
            <w:r w:rsidRPr="004761E0">
              <w:rPr>
                <w:rFonts w:eastAsia="Times New Roman"/>
                <w:color w:val="000000"/>
                <w:sz w:val="20"/>
                <w:szCs w:val="20"/>
                <w:lang w:eastAsia="ru-RU"/>
              </w:rPr>
              <w:t>Буланова О.Л.</w:t>
            </w:r>
          </w:p>
        </w:tc>
        <w:tc>
          <w:tcPr>
            <w:tcW w:w="10447" w:type="dxa"/>
            <w:tcBorders>
              <w:top w:val="single" w:sz="4" w:space="0" w:color="auto"/>
              <w:left w:val="single" w:sz="4" w:space="0" w:color="auto"/>
              <w:bottom w:val="single" w:sz="4" w:space="0" w:color="auto"/>
              <w:right w:val="single" w:sz="4" w:space="0" w:color="auto"/>
            </w:tcBorders>
            <w:shd w:val="clear" w:color="auto" w:fill="auto"/>
            <w:vAlign w:val="center"/>
          </w:tcPr>
          <w:p w:rsidR="000B3F0E" w:rsidRPr="004761E0" w:rsidRDefault="000B3F0E" w:rsidP="000B3F0E">
            <w:pPr>
              <w:ind w:firstLine="0"/>
              <w:jc w:val="left"/>
              <w:rPr>
                <w:rFonts w:eastAsia="Times New Roman"/>
                <w:color w:val="000000"/>
                <w:sz w:val="20"/>
                <w:szCs w:val="20"/>
                <w:lang w:eastAsia="ru-RU"/>
              </w:rPr>
            </w:pPr>
            <w:r w:rsidRPr="004761E0">
              <w:rPr>
                <w:rFonts w:eastAsia="Times New Roman"/>
                <w:color w:val="000000"/>
                <w:sz w:val="20"/>
                <w:szCs w:val="20"/>
                <w:lang w:eastAsia="ru-RU"/>
              </w:rPr>
              <w:t>–</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F0E" w:rsidRPr="004761E0" w:rsidRDefault="000B3F0E" w:rsidP="000B3F0E">
            <w:pPr>
              <w:ind w:firstLine="0"/>
              <w:jc w:val="right"/>
              <w:rPr>
                <w:rFonts w:eastAsia="Times New Roman"/>
                <w:color w:val="000000"/>
                <w:sz w:val="20"/>
                <w:szCs w:val="20"/>
                <w:lang w:eastAsia="ru-RU"/>
              </w:rPr>
            </w:pPr>
            <w:r w:rsidRPr="004761E0">
              <w:rPr>
                <w:rFonts w:eastAsia="Times New Roman"/>
                <w:color w:val="000000"/>
                <w:sz w:val="20"/>
                <w:szCs w:val="20"/>
                <w:lang w:eastAsia="ru-RU"/>
              </w:rPr>
              <w:t>10.06.2009</w:t>
            </w:r>
          </w:p>
        </w:tc>
        <w:tc>
          <w:tcPr>
            <w:tcW w:w="2543" w:type="dxa"/>
            <w:tcBorders>
              <w:top w:val="single" w:sz="4" w:space="0" w:color="auto"/>
              <w:left w:val="nil"/>
              <w:bottom w:val="single" w:sz="4" w:space="0" w:color="auto"/>
              <w:right w:val="single" w:sz="4" w:space="0" w:color="auto"/>
            </w:tcBorders>
            <w:shd w:val="clear" w:color="auto" w:fill="auto"/>
            <w:vAlign w:val="center"/>
            <w:hideMark/>
          </w:tcPr>
          <w:p w:rsidR="000B3F0E" w:rsidRPr="004761E0" w:rsidRDefault="000B3F0E" w:rsidP="000B3F0E">
            <w:pPr>
              <w:ind w:firstLine="0"/>
              <w:jc w:val="right"/>
              <w:rPr>
                <w:rFonts w:eastAsia="Times New Roman"/>
                <w:color w:val="000000"/>
                <w:sz w:val="20"/>
                <w:szCs w:val="20"/>
                <w:lang w:eastAsia="ru-RU"/>
              </w:rPr>
            </w:pPr>
            <w:r w:rsidRPr="004761E0">
              <w:rPr>
                <w:rFonts w:eastAsia="Times New Roman"/>
                <w:color w:val="000000"/>
                <w:sz w:val="20"/>
                <w:szCs w:val="20"/>
                <w:lang w:eastAsia="ru-RU"/>
              </w:rPr>
              <w:t>41</w:t>
            </w:r>
            <w:r>
              <w:rPr>
                <w:rFonts w:eastAsia="Times New Roman"/>
                <w:color w:val="000000"/>
                <w:sz w:val="20"/>
                <w:szCs w:val="20"/>
                <w:lang w:eastAsia="ru-RU"/>
              </w:rPr>
              <w:t xml:space="preserve"> из 62, явка 66 %</w:t>
            </w:r>
          </w:p>
        </w:tc>
      </w:tr>
      <w:tr w:rsidR="000B3F0E" w:rsidRPr="004761E0" w:rsidTr="000B3F0E">
        <w:trPr>
          <w:cantSplit/>
          <w:trHeight w:val="8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0B3F0E" w:rsidRPr="004761E0" w:rsidRDefault="000B3F0E" w:rsidP="007076A7">
            <w:pPr>
              <w:pStyle w:val="a5"/>
              <w:numPr>
                <w:ilvl w:val="0"/>
                <w:numId w:val="22"/>
              </w:numPr>
              <w:ind w:left="0" w:firstLine="0"/>
              <w:contextualSpacing w:val="0"/>
              <w:jc w:val="right"/>
              <w:rPr>
                <w:rFonts w:eastAsia="Times New Roman"/>
                <w:color w:val="000000"/>
                <w:sz w:val="20"/>
                <w:szCs w:val="20"/>
                <w:lang w:eastAsia="ru-RU"/>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F0E" w:rsidRPr="004761E0" w:rsidRDefault="000B3F0E" w:rsidP="000B3F0E">
            <w:pPr>
              <w:ind w:firstLine="0"/>
              <w:jc w:val="left"/>
              <w:rPr>
                <w:rFonts w:eastAsia="Times New Roman"/>
                <w:color w:val="000000"/>
                <w:sz w:val="20"/>
                <w:szCs w:val="20"/>
                <w:lang w:eastAsia="ru-RU"/>
              </w:rPr>
            </w:pPr>
            <w:r w:rsidRPr="004761E0">
              <w:rPr>
                <w:rFonts w:eastAsia="Times New Roman"/>
                <w:color w:val="000000"/>
                <w:sz w:val="20"/>
                <w:szCs w:val="20"/>
                <w:lang w:eastAsia="ru-RU"/>
              </w:rPr>
              <w:t>Будыко М.Л.</w:t>
            </w:r>
          </w:p>
        </w:tc>
        <w:tc>
          <w:tcPr>
            <w:tcW w:w="10447" w:type="dxa"/>
            <w:tcBorders>
              <w:top w:val="single" w:sz="4" w:space="0" w:color="auto"/>
              <w:left w:val="single" w:sz="4" w:space="0" w:color="auto"/>
              <w:bottom w:val="single" w:sz="4" w:space="0" w:color="auto"/>
              <w:right w:val="single" w:sz="4" w:space="0" w:color="auto"/>
            </w:tcBorders>
            <w:shd w:val="clear" w:color="auto" w:fill="auto"/>
            <w:vAlign w:val="center"/>
          </w:tcPr>
          <w:p w:rsidR="000B3F0E" w:rsidRPr="004761E0" w:rsidRDefault="000B3F0E" w:rsidP="000B3F0E">
            <w:pPr>
              <w:ind w:firstLine="0"/>
              <w:jc w:val="left"/>
              <w:rPr>
                <w:rFonts w:eastAsia="Times New Roman"/>
                <w:color w:val="000000"/>
                <w:sz w:val="20"/>
                <w:szCs w:val="20"/>
                <w:lang w:eastAsia="ru-RU"/>
              </w:rPr>
            </w:pPr>
            <w:r w:rsidRPr="004761E0">
              <w:rPr>
                <w:sz w:val="20"/>
                <w:szCs w:val="20"/>
              </w:rPr>
              <w:t xml:space="preserve">Заместитель генерального директора по логистике и МТО </w:t>
            </w:r>
            <w:r w:rsidR="0008080E">
              <w:rPr>
                <w:sz w:val="20"/>
                <w:szCs w:val="20"/>
              </w:rPr>
              <w:t>ОАО </w:t>
            </w:r>
            <w:r w:rsidRPr="004761E0">
              <w:rPr>
                <w:sz w:val="20"/>
                <w:szCs w:val="20"/>
              </w:rPr>
              <w:t>«МОЭСК»</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F0E" w:rsidRPr="004761E0" w:rsidRDefault="000B3F0E" w:rsidP="000B3F0E">
            <w:pPr>
              <w:ind w:firstLine="0"/>
              <w:jc w:val="right"/>
              <w:rPr>
                <w:rFonts w:eastAsia="Times New Roman"/>
                <w:color w:val="000000"/>
                <w:sz w:val="20"/>
                <w:szCs w:val="20"/>
                <w:lang w:eastAsia="ru-RU"/>
              </w:rPr>
            </w:pPr>
            <w:r w:rsidRPr="004761E0">
              <w:rPr>
                <w:rFonts w:eastAsia="Times New Roman"/>
                <w:color w:val="000000"/>
                <w:sz w:val="20"/>
                <w:szCs w:val="20"/>
                <w:lang w:eastAsia="ru-RU"/>
              </w:rPr>
              <w:t>27.12.2012</w:t>
            </w:r>
          </w:p>
        </w:tc>
        <w:tc>
          <w:tcPr>
            <w:tcW w:w="2543" w:type="dxa"/>
            <w:tcBorders>
              <w:top w:val="single" w:sz="4" w:space="0" w:color="auto"/>
              <w:left w:val="nil"/>
              <w:bottom w:val="single" w:sz="4" w:space="0" w:color="auto"/>
              <w:right w:val="single" w:sz="4" w:space="0" w:color="auto"/>
            </w:tcBorders>
            <w:shd w:val="clear" w:color="auto" w:fill="auto"/>
            <w:vAlign w:val="center"/>
            <w:hideMark/>
          </w:tcPr>
          <w:p w:rsidR="000B3F0E" w:rsidRPr="004761E0" w:rsidRDefault="000B3F0E" w:rsidP="000B3F0E">
            <w:pPr>
              <w:ind w:firstLine="0"/>
              <w:jc w:val="right"/>
              <w:rPr>
                <w:rFonts w:eastAsia="Times New Roman"/>
                <w:color w:val="000000"/>
                <w:sz w:val="20"/>
                <w:szCs w:val="20"/>
                <w:lang w:eastAsia="ru-RU"/>
              </w:rPr>
            </w:pPr>
            <w:r w:rsidRPr="004761E0">
              <w:rPr>
                <w:rFonts w:eastAsia="Times New Roman"/>
                <w:color w:val="000000"/>
                <w:sz w:val="20"/>
                <w:szCs w:val="20"/>
                <w:lang w:eastAsia="ru-RU"/>
              </w:rPr>
              <w:t>33</w:t>
            </w:r>
            <w:r>
              <w:rPr>
                <w:rFonts w:eastAsia="Times New Roman"/>
                <w:color w:val="000000"/>
                <w:sz w:val="20"/>
                <w:szCs w:val="20"/>
                <w:lang w:eastAsia="ru-RU"/>
              </w:rPr>
              <w:t xml:space="preserve"> из 62, явка 53 %</w:t>
            </w:r>
          </w:p>
        </w:tc>
      </w:tr>
      <w:tr w:rsidR="000B3F0E" w:rsidRPr="004761E0" w:rsidTr="000B3F0E">
        <w:trPr>
          <w:cantSplit/>
          <w:trHeight w:val="8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0B3F0E" w:rsidRPr="004761E0" w:rsidRDefault="000B3F0E" w:rsidP="007076A7">
            <w:pPr>
              <w:pStyle w:val="a5"/>
              <w:numPr>
                <w:ilvl w:val="0"/>
                <w:numId w:val="22"/>
              </w:numPr>
              <w:ind w:left="0" w:firstLine="0"/>
              <w:contextualSpacing w:val="0"/>
              <w:jc w:val="right"/>
              <w:rPr>
                <w:rFonts w:eastAsia="Times New Roman"/>
                <w:color w:val="000000"/>
                <w:sz w:val="20"/>
                <w:szCs w:val="20"/>
                <w:lang w:eastAsia="ru-RU"/>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F0E" w:rsidRPr="004761E0" w:rsidRDefault="000B3F0E" w:rsidP="000B3F0E">
            <w:pPr>
              <w:ind w:firstLine="0"/>
              <w:jc w:val="left"/>
              <w:rPr>
                <w:rFonts w:eastAsia="Times New Roman"/>
                <w:color w:val="000000"/>
                <w:sz w:val="20"/>
                <w:szCs w:val="20"/>
                <w:lang w:eastAsia="ru-RU"/>
              </w:rPr>
            </w:pPr>
            <w:r w:rsidRPr="004761E0">
              <w:rPr>
                <w:rFonts w:eastAsia="Times New Roman"/>
                <w:color w:val="000000"/>
                <w:sz w:val="20"/>
                <w:szCs w:val="20"/>
                <w:lang w:eastAsia="ru-RU"/>
              </w:rPr>
              <w:t>Войнов Р.В.</w:t>
            </w:r>
          </w:p>
        </w:tc>
        <w:tc>
          <w:tcPr>
            <w:tcW w:w="10447" w:type="dxa"/>
            <w:tcBorders>
              <w:top w:val="single" w:sz="4" w:space="0" w:color="auto"/>
              <w:left w:val="single" w:sz="4" w:space="0" w:color="auto"/>
              <w:bottom w:val="single" w:sz="4" w:space="0" w:color="auto"/>
              <w:right w:val="single" w:sz="4" w:space="0" w:color="auto"/>
            </w:tcBorders>
            <w:shd w:val="clear" w:color="auto" w:fill="auto"/>
            <w:vAlign w:val="center"/>
          </w:tcPr>
          <w:p w:rsidR="000B3F0E" w:rsidRPr="004761E0" w:rsidRDefault="000B3F0E" w:rsidP="000B3F0E">
            <w:pPr>
              <w:ind w:firstLine="0"/>
              <w:jc w:val="left"/>
              <w:rPr>
                <w:rFonts w:eastAsia="Times New Roman"/>
                <w:color w:val="000000"/>
                <w:sz w:val="20"/>
                <w:szCs w:val="20"/>
                <w:lang w:eastAsia="ru-RU"/>
              </w:rPr>
            </w:pPr>
            <w:r w:rsidRPr="004761E0">
              <w:rPr>
                <w:sz w:val="20"/>
                <w:szCs w:val="20"/>
              </w:rPr>
              <w:t>Заме</w:t>
            </w:r>
            <w:r w:rsidR="00C359B0">
              <w:rPr>
                <w:sz w:val="20"/>
                <w:szCs w:val="20"/>
              </w:rPr>
              <w:t>ститель генерального директора –</w:t>
            </w:r>
            <w:r w:rsidRPr="004761E0">
              <w:rPr>
                <w:sz w:val="20"/>
                <w:szCs w:val="20"/>
              </w:rPr>
              <w:t xml:space="preserve"> директор филиала «Московские кабельные сети» </w:t>
            </w:r>
            <w:r w:rsidR="0008080E">
              <w:rPr>
                <w:sz w:val="20"/>
                <w:szCs w:val="20"/>
              </w:rPr>
              <w:t>ОАО </w:t>
            </w:r>
            <w:r w:rsidRPr="004761E0">
              <w:rPr>
                <w:sz w:val="20"/>
                <w:szCs w:val="20"/>
              </w:rPr>
              <w:t>«МОЭСК»</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F0E" w:rsidRPr="004761E0" w:rsidRDefault="000B3F0E" w:rsidP="000B3F0E">
            <w:pPr>
              <w:ind w:firstLine="0"/>
              <w:jc w:val="right"/>
              <w:rPr>
                <w:rFonts w:eastAsia="Times New Roman"/>
                <w:color w:val="000000"/>
                <w:sz w:val="20"/>
                <w:szCs w:val="20"/>
                <w:lang w:eastAsia="ru-RU"/>
              </w:rPr>
            </w:pPr>
            <w:r w:rsidRPr="004761E0">
              <w:rPr>
                <w:rFonts w:eastAsia="Times New Roman"/>
                <w:color w:val="000000"/>
                <w:sz w:val="20"/>
                <w:szCs w:val="20"/>
                <w:lang w:eastAsia="ru-RU"/>
              </w:rPr>
              <w:t>27.12.2012</w:t>
            </w:r>
          </w:p>
        </w:tc>
        <w:tc>
          <w:tcPr>
            <w:tcW w:w="2543" w:type="dxa"/>
            <w:tcBorders>
              <w:top w:val="single" w:sz="4" w:space="0" w:color="auto"/>
              <w:left w:val="nil"/>
              <w:bottom w:val="single" w:sz="4" w:space="0" w:color="auto"/>
              <w:right w:val="single" w:sz="4" w:space="0" w:color="auto"/>
            </w:tcBorders>
            <w:shd w:val="clear" w:color="auto" w:fill="auto"/>
            <w:vAlign w:val="center"/>
            <w:hideMark/>
          </w:tcPr>
          <w:p w:rsidR="000B3F0E" w:rsidRPr="004761E0" w:rsidRDefault="000B3F0E" w:rsidP="000B3F0E">
            <w:pPr>
              <w:ind w:firstLine="0"/>
              <w:jc w:val="right"/>
              <w:rPr>
                <w:rFonts w:eastAsia="Times New Roman"/>
                <w:color w:val="000000"/>
                <w:sz w:val="20"/>
                <w:szCs w:val="20"/>
                <w:lang w:eastAsia="ru-RU"/>
              </w:rPr>
            </w:pPr>
            <w:r w:rsidRPr="004761E0">
              <w:rPr>
                <w:rFonts w:eastAsia="Times New Roman"/>
                <w:color w:val="000000"/>
                <w:sz w:val="20"/>
                <w:szCs w:val="20"/>
                <w:lang w:eastAsia="ru-RU"/>
              </w:rPr>
              <w:t>54</w:t>
            </w:r>
            <w:r>
              <w:rPr>
                <w:rFonts w:eastAsia="Times New Roman"/>
                <w:color w:val="000000"/>
                <w:sz w:val="20"/>
                <w:szCs w:val="20"/>
                <w:lang w:eastAsia="ru-RU"/>
              </w:rPr>
              <w:t xml:space="preserve"> из 62, явка 87 %</w:t>
            </w:r>
          </w:p>
        </w:tc>
      </w:tr>
      <w:tr w:rsidR="000B3F0E" w:rsidRPr="004761E0" w:rsidTr="000B3F0E">
        <w:trPr>
          <w:cantSplit/>
          <w:trHeight w:val="8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0B3F0E" w:rsidRPr="004761E0" w:rsidRDefault="000B3F0E" w:rsidP="007076A7">
            <w:pPr>
              <w:pStyle w:val="a5"/>
              <w:numPr>
                <w:ilvl w:val="0"/>
                <w:numId w:val="22"/>
              </w:numPr>
              <w:ind w:left="0" w:firstLine="0"/>
              <w:contextualSpacing w:val="0"/>
              <w:jc w:val="right"/>
              <w:rPr>
                <w:rFonts w:eastAsia="Times New Roman"/>
                <w:color w:val="000000"/>
                <w:sz w:val="20"/>
                <w:szCs w:val="20"/>
                <w:lang w:eastAsia="ru-RU"/>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F0E" w:rsidRPr="004761E0" w:rsidRDefault="000B3F0E" w:rsidP="000B3F0E">
            <w:pPr>
              <w:ind w:firstLine="0"/>
              <w:jc w:val="left"/>
              <w:rPr>
                <w:rFonts w:eastAsia="Times New Roman"/>
                <w:color w:val="000000"/>
                <w:sz w:val="20"/>
                <w:szCs w:val="20"/>
                <w:lang w:eastAsia="ru-RU"/>
              </w:rPr>
            </w:pPr>
            <w:r w:rsidRPr="004761E0">
              <w:rPr>
                <w:rFonts w:eastAsia="Times New Roman"/>
                <w:color w:val="000000"/>
                <w:sz w:val="20"/>
                <w:szCs w:val="20"/>
                <w:lang w:eastAsia="ru-RU"/>
              </w:rPr>
              <w:t>Чегодаев А.В.</w:t>
            </w:r>
          </w:p>
        </w:tc>
        <w:tc>
          <w:tcPr>
            <w:tcW w:w="10447" w:type="dxa"/>
            <w:tcBorders>
              <w:top w:val="single" w:sz="4" w:space="0" w:color="auto"/>
              <w:left w:val="single" w:sz="4" w:space="0" w:color="auto"/>
              <w:bottom w:val="single" w:sz="4" w:space="0" w:color="auto"/>
              <w:right w:val="single" w:sz="4" w:space="0" w:color="auto"/>
            </w:tcBorders>
            <w:shd w:val="clear" w:color="auto" w:fill="auto"/>
            <w:vAlign w:val="center"/>
          </w:tcPr>
          <w:p w:rsidR="000B3F0E" w:rsidRPr="004761E0" w:rsidRDefault="000B3F0E" w:rsidP="003B2247">
            <w:pPr>
              <w:ind w:firstLine="0"/>
              <w:jc w:val="left"/>
              <w:rPr>
                <w:rFonts w:eastAsia="Times New Roman"/>
                <w:color w:val="000000"/>
                <w:sz w:val="20"/>
                <w:szCs w:val="20"/>
                <w:lang w:eastAsia="ru-RU"/>
              </w:rPr>
            </w:pPr>
            <w:r w:rsidRPr="004761E0">
              <w:rPr>
                <w:sz w:val="20"/>
                <w:szCs w:val="20"/>
              </w:rPr>
              <w:t xml:space="preserve">Первый заместитель генерального директора – </w:t>
            </w:r>
            <w:r w:rsidR="003B2247">
              <w:rPr>
                <w:sz w:val="20"/>
                <w:szCs w:val="20"/>
              </w:rPr>
              <w:t>г</w:t>
            </w:r>
            <w:r w:rsidRPr="004761E0">
              <w:rPr>
                <w:sz w:val="20"/>
                <w:szCs w:val="20"/>
              </w:rPr>
              <w:t xml:space="preserve">лавный инженер </w:t>
            </w:r>
            <w:r w:rsidR="0008080E">
              <w:rPr>
                <w:sz w:val="20"/>
                <w:szCs w:val="20"/>
              </w:rPr>
              <w:t>ОАО </w:t>
            </w:r>
            <w:r w:rsidRPr="004761E0">
              <w:rPr>
                <w:sz w:val="20"/>
                <w:szCs w:val="20"/>
              </w:rPr>
              <w:t>«МОЭСК»</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F0E" w:rsidRPr="004761E0" w:rsidRDefault="000B3F0E" w:rsidP="000B3F0E">
            <w:pPr>
              <w:ind w:firstLine="0"/>
              <w:jc w:val="right"/>
              <w:rPr>
                <w:rFonts w:eastAsia="Times New Roman"/>
                <w:color w:val="000000"/>
                <w:sz w:val="20"/>
                <w:szCs w:val="20"/>
                <w:lang w:eastAsia="ru-RU"/>
              </w:rPr>
            </w:pPr>
            <w:r w:rsidRPr="004761E0">
              <w:rPr>
                <w:rFonts w:eastAsia="Times New Roman"/>
                <w:color w:val="000000"/>
                <w:sz w:val="20"/>
                <w:szCs w:val="20"/>
                <w:lang w:eastAsia="ru-RU"/>
              </w:rPr>
              <w:t>02.09.2010</w:t>
            </w:r>
          </w:p>
        </w:tc>
        <w:tc>
          <w:tcPr>
            <w:tcW w:w="2543" w:type="dxa"/>
            <w:tcBorders>
              <w:top w:val="single" w:sz="4" w:space="0" w:color="auto"/>
              <w:left w:val="nil"/>
              <w:bottom w:val="single" w:sz="4" w:space="0" w:color="auto"/>
              <w:right w:val="single" w:sz="4" w:space="0" w:color="auto"/>
            </w:tcBorders>
            <w:shd w:val="clear" w:color="auto" w:fill="auto"/>
            <w:vAlign w:val="center"/>
            <w:hideMark/>
          </w:tcPr>
          <w:p w:rsidR="000B3F0E" w:rsidRPr="004761E0" w:rsidRDefault="000B3F0E" w:rsidP="000B3F0E">
            <w:pPr>
              <w:ind w:firstLine="0"/>
              <w:jc w:val="right"/>
              <w:rPr>
                <w:rFonts w:eastAsia="Times New Roman"/>
                <w:color w:val="000000"/>
                <w:sz w:val="20"/>
                <w:szCs w:val="20"/>
                <w:lang w:eastAsia="ru-RU"/>
              </w:rPr>
            </w:pPr>
            <w:r w:rsidRPr="004761E0">
              <w:rPr>
                <w:rFonts w:eastAsia="Times New Roman"/>
                <w:color w:val="000000"/>
                <w:sz w:val="20"/>
                <w:szCs w:val="20"/>
                <w:lang w:eastAsia="ru-RU"/>
              </w:rPr>
              <w:t>50</w:t>
            </w:r>
            <w:r>
              <w:rPr>
                <w:rFonts w:eastAsia="Times New Roman"/>
                <w:color w:val="000000"/>
                <w:sz w:val="20"/>
                <w:szCs w:val="20"/>
                <w:lang w:eastAsia="ru-RU"/>
              </w:rPr>
              <w:t xml:space="preserve"> из 62, явка 81 %</w:t>
            </w:r>
          </w:p>
        </w:tc>
      </w:tr>
      <w:tr w:rsidR="000B3F0E" w:rsidRPr="004761E0" w:rsidTr="000B3F0E">
        <w:trPr>
          <w:cantSplit/>
          <w:trHeight w:val="8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0B3F0E" w:rsidRPr="004761E0" w:rsidRDefault="000B3F0E" w:rsidP="007076A7">
            <w:pPr>
              <w:pStyle w:val="a5"/>
              <w:numPr>
                <w:ilvl w:val="0"/>
                <w:numId w:val="22"/>
              </w:numPr>
              <w:ind w:left="0" w:firstLine="0"/>
              <w:contextualSpacing w:val="0"/>
              <w:jc w:val="right"/>
              <w:rPr>
                <w:rFonts w:eastAsia="Times New Roman"/>
                <w:color w:val="000000"/>
                <w:sz w:val="20"/>
                <w:szCs w:val="20"/>
                <w:lang w:eastAsia="ru-RU"/>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F0E" w:rsidRPr="004761E0" w:rsidRDefault="000B3F0E" w:rsidP="000B3F0E">
            <w:pPr>
              <w:ind w:firstLine="0"/>
              <w:jc w:val="left"/>
              <w:rPr>
                <w:rFonts w:eastAsia="Times New Roman"/>
                <w:color w:val="000000"/>
                <w:sz w:val="20"/>
                <w:szCs w:val="20"/>
                <w:lang w:eastAsia="ru-RU"/>
              </w:rPr>
            </w:pPr>
            <w:r w:rsidRPr="004761E0">
              <w:rPr>
                <w:rFonts w:eastAsia="Times New Roman"/>
                <w:color w:val="000000"/>
                <w:sz w:val="20"/>
                <w:szCs w:val="20"/>
                <w:lang w:eastAsia="ru-RU"/>
              </w:rPr>
              <w:t>Иноземцев А.В.</w:t>
            </w:r>
          </w:p>
        </w:tc>
        <w:tc>
          <w:tcPr>
            <w:tcW w:w="10447" w:type="dxa"/>
            <w:tcBorders>
              <w:top w:val="single" w:sz="4" w:space="0" w:color="auto"/>
              <w:left w:val="single" w:sz="4" w:space="0" w:color="auto"/>
              <w:bottom w:val="single" w:sz="4" w:space="0" w:color="auto"/>
              <w:right w:val="single" w:sz="4" w:space="0" w:color="auto"/>
            </w:tcBorders>
            <w:shd w:val="clear" w:color="auto" w:fill="auto"/>
            <w:vAlign w:val="center"/>
          </w:tcPr>
          <w:p w:rsidR="000B3F0E" w:rsidRPr="004761E0" w:rsidRDefault="000B3F0E" w:rsidP="000B3F0E">
            <w:pPr>
              <w:ind w:firstLine="0"/>
              <w:jc w:val="left"/>
              <w:rPr>
                <w:rFonts w:eastAsia="Times New Roman"/>
                <w:color w:val="000000"/>
                <w:sz w:val="20"/>
                <w:szCs w:val="20"/>
                <w:lang w:eastAsia="ru-RU"/>
              </w:rPr>
            </w:pPr>
            <w:r w:rsidRPr="004761E0">
              <w:rPr>
                <w:sz w:val="20"/>
                <w:szCs w:val="20"/>
              </w:rPr>
              <w:t xml:space="preserve">Первый заместитель генерального директора по финансово-экономической деятельности и корпоративному управлению </w:t>
            </w:r>
            <w:r w:rsidR="0008080E">
              <w:rPr>
                <w:sz w:val="20"/>
                <w:szCs w:val="20"/>
              </w:rPr>
              <w:t>ОАО </w:t>
            </w:r>
            <w:r w:rsidRPr="004761E0">
              <w:rPr>
                <w:sz w:val="20"/>
                <w:szCs w:val="20"/>
              </w:rPr>
              <w:t>«МОЭСК»</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F0E" w:rsidRPr="004761E0" w:rsidRDefault="000B3F0E" w:rsidP="000B3F0E">
            <w:pPr>
              <w:ind w:firstLine="0"/>
              <w:jc w:val="right"/>
              <w:rPr>
                <w:rFonts w:eastAsia="Times New Roman"/>
                <w:color w:val="000000"/>
                <w:sz w:val="20"/>
                <w:szCs w:val="20"/>
                <w:lang w:eastAsia="ru-RU"/>
              </w:rPr>
            </w:pPr>
            <w:r w:rsidRPr="004761E0">
              <w:rPr>
                <w:rFonts w:eastAsia="Times New Roman"/>
                <w:color w:val="000000"/>
                <w:sz w:val="20"/>
                <w:szCs w:val="20"/>
                <w:lang w:eastAsia="ru-RU"/>
              </w:rPr>
              <w:t>27.12.2012</w:t>
            </w:r>
          </w:p>
        </w:tc>
        <w:tc>
          <w:tcPr>
            <w:tcW w:w="2543" w:type="dxa"/>
            <w:tcBorders>
              <w:top w:val="single" w:sz="4" w:space="0" w:color="auto"/>
              <w:left w:val="nil"/>
              <w:bottom w:val="single" w:sz="4" w:space="0" w:color="auto"/>
              <w:right w:val="single" w:sz="4" w:space="0" w:color="auto"/>
            </w:tcBorders>
            <w:shd w:val="clear" w:color="auto" w:fill="auto"/>
            <w:vAlign w:val="center"/>
            <w:hideMark/>
          </w:tcPr>
          <w:p w:rsidR="000B3F0E" w:rsidRPr="004761E0" w:rsidRDefault="000B3F0E" w:rsidP="000B3F0E">
            <w:pPr>
              <w:ind w:firstLine="0"/>
              <w:jc w:val="right"/>
              <w:rPr>
                <w:rFonts w:eastAsia="Times New Roman"/>
                <w:color w:val="000000"/>
                <w:sz w:val="20"/>
                <w:szCs w:val="20"/>
                <w:lang w:eastAsia="ru-RU"/>
              </w:rPr>
            </w:pPr>
            <w:r w:rsidRPr="004761E0">
              <w:rPr>
                <w:rFonts w:eastAsia="Times New Roman"/>
                <w:color w:val="000000"/>
                <w:sz w:val="20"/>
                <w:szCs w:val="20"/>
                <w:lang w:eastAsia="ru-RU"/>
              </w:rPr>
              <w:t>53</w:t>
            </w:r>
            <w:r>
              <w:rPr>
                <w:rFonts w:eastAsia="Times New Roman"/>
                <w:color w:val="000000"/>
                <w:sz w:val="20"/>
                <w:szCs w:val="20"/>
                <w:lang w:eastAsia="ru-RU"/>
              </w:rPr>
              <w:t xml:space="preserve"> из 62, явка 85 %</w:t>
            </w:r>
          </w:p>
        </w:tc>
      </w:tr>
      <w:tr w:rsidR="000B3F0E" w:rsidRPr="004761E0" w:rsidTr="000B3F0E">
        <w:trPr>
          <w:cantSplit/>
          <w:trHeight w:val="257"/>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0B3F0E" w:rsidRPr="004761E0" w:rsidRDefault="000B3F0E" w:rsidP="007076A7">
            <w:pPr>
              <w:pStyle w:val="a5"/>
              <w:numPr>
                <w:ilvl w:val="0"/>
                <w:numId w:val="22"/>
              </w:numPr>
              <w:ind w:left="0" w:firstLine="0"/>
              <w:contextualSpacing w:val="0"/>
              <w:jc w:val="right"/>
              <w:rPr>
                <w:rFonts w:eastAsia="Times New Roman"/>
                <w:color w:val="000000"/>
                <w:sz w:val="20"/>
                <w:szCs w:val="20"/>
                <w:lang w:eastAsia="ru-RU"/>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F0E" w:rsidRPr="004761E0" w:rsidRDefault="000B3F0E" w:rsidP="000B3F0E">
            <w:pPr>
              <w:ind w:firstLine="0"/>
              <w:jc w:val="left"/>
              <w:rPr>
                <w:rFonts w:eastAsia="Times New Roman"/>
                <w:color w:val="000000"/>
                <w:sz w:val="20"/>
                <w:szCs w:val="20"/>
                <w:lang w:eastAsia="ru-RU"/>
              </w:rPr>
            </w:pPr>
            <w:r w:rsidRPr="004761E0">
              <w:rPr>
                <w:rFonts w:eastAsia="Times New Roman"/>
                <w:color w:val="000000"/>
                <w:sz w:val="20"/>
                <w:szCs w:val="20"/>
                <w:lang w:eastAsia="ru-RU"/>
              </w:rPr>
              <w:t>Кадацкий В.Л.</w:t>
            </w:r>
          </w:p>
        </w:tc>
        <w:tc>
          <w:tcPr>
            <w:tcW w:w="10447" w:type="dxa"/>
            <w:tcBorders>
              <w:top w:val="single" w:sz="4" w:space="0" w:color="auto"/>
              <w:left w:val="single" w:sz="4" w:space="0" w:color="auto"/>
              <w:bottom w:val="single" w:sz="4" w:space="0" w:color="auto"/>
              <w:right w:val="single" w:sz="4" w:space="0" w:color="auto"/>
            </w:tcBorders>
            <w:shd w:val="clear" w:color="auto" w:fill="auto"/>
            <w:vAlign w:val="center"/>
          </w:tcPr>
          <w:p w:rsidR="000B3F0E" w:rsidRPr="004761E0" w:rsidRDefault="000B3F0E" w:rsidP="000B3F0E">
            <w:pPr>
              <w:ind w:firstLine="0"/>
              <w:jc w:val="left"/>
              <w:rPr>
                <w:rFonts w:eastAsia="Times New Roman"/>
                <w:color w:val="000000"/>
                <w:sz w:val="20"/>
                <w:szCs w:val="20"/>
                <w:lang w:eastAsia="ru-RU"/>
              </w:rPr>
            </w:pPr>
            <w:r w:rsidRPr="004761E0">
              <w:rPr>
                <w:sz w:val="20"/>
                <w:szCs w:val="20"/>
              </w:rPr>
              <w:t xml:space="preserve">Заместитель генерального директора по безопасности </w:t>
            </w:r>
            <w:r w:rsidR="0008080E">
              <w:rPr>
                <w:sz w:val="20"/>
                <w:szCs w:val="20"/>
              </w:rPr>
              <w:t>ОАО </w:t>
            </w:r>
            <w:r w:rsidRPr="004761E0">
              <w:rPr>
                <w:sz w:val="20"/>
                <w:szCs w:val="20"/>
              </w:rPr>
              <w:t>«МОЭСК»</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F0E" w:rsidRPr="004761E0" w:rsidRDefault="000B3F0E" w:rsidP="000B3F0E">
            <w:pPr>
              <w:ind w:firstLine="0"/>
              <w:jc w:val="right"/>
              <w:rPr>
                <w:rFonts w:eastAsia="Times New Roman"/>
                <w:color w:val="000000"/>
                <w:sz w:val="20"/>
                <w:szCs w:val="20"/>
                <w:lang w:eastAsia="ru-RU"/>
              </w:rPr>
            </w:pPr>
            <w:r w:rsidRPr="004761E0">
              <w:rPr>
                <w:rFonts w:eastAsia="Times New Roman"/>
                <w:color w:val="000000"/>
                <w:sz w:val="20"/>
                <w:szCs w:val="20"/>
                <w:lang w:eastAsia="ru-RU"/>
              </w:rPr>
              <w:t>27.12.2012</w:t>
            </w:r>
          </w:p>
        </w:tc>
        <w:tc>
          <w:tcPr>
            <w:tcW w:w="2543" w:type="dxa"/>
            <w:tcBorders>
              <w:top w:val="single" w:sz="4" w:space="0" w:color="auto"/>
              <w:left w:val="nil"/>
              <w:bottom w:val="single" w:sz="4" w:space="0" w:color="auto"/>
              <w:right w:val="single" w:sz="4" w:space="0" w:color="auto"/>
            </w:tcBorders>
            <w:shd w:val="clear" w:color="auto" w:fill="auto"/>
            <w:vAlign w:val="center"/>
            <w:hideMark/>
          </w:tcPr>
          <w:p w:rsidR="000B3F0E" w:rsidRPr="004761E0" w:rsidRDefault="000B3F0E" w:rsidP="000B3F0E">
            <w:pPr>
              <w:ind w:firstLine="0"/>
              <w:jc w:val="right"/>
              <w:rPr>
                <w:rFonts w:eastAsia="Times New Roman"/>
                <w:color w:val="000000"/>
                <w:sz w:val="20"/>
                <w:szCs w:val="20"/>
                <w:lang w:eastAsia="ru-RU"/>
              </w:rPr>
            </w:pPr>
            <w:r w:rsidRPr="004761E0">
              <w:rPr>
                <w:rFonts w:eastAsia="Times New Roman"/>
                <w:color w:val="000000"/>
                <w:sz w:val="20"/>
                <w:szCs w:val="20"/>
                <w:lang w:eastAsia="ru-RU"/>
              </w:rPr>
              <w:t>53</w:t>
            </w:r>
            <w:r>
              <w:rPr>
                <w:rFonts w:eastAsia="Times New Roman"/>
                <w:color w:val="000000"/>
                <w:sz w:val="20"/>
                <w:szCs w:val="20"/>
                <w:lang w:eastAsia="ru-RU"/>
              </w:rPr>
              <w:t xml:space="preserve"> из 62, явка 85 %</w:t>
            </w:r>
          </w:p>
        </w:tc>
      </w:tr>
      <w:tr w:rsidR="000B3F0E" w:rsidRPr="004761E0" w:rsidTr="000B3F0E">
        <w:trPr>
          <w:cantSplit/>
          <w:trHeight w:val="249"/>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0B3F0E" w:rsidRPr="004761E0" w:rsidRDefault="000B3F0E" w:rsidP="007076A7">
            <w:pPr>
              <w:pStyle w:val="a5"/>
              <w:numPr>
                <w:ilvl w:val="0"/>
                <w:numId w:val="22"/>
              </w:numPr>
              <w:ind w:left="0" w:firstLine="0"/>
              <w:contextualSpacing w:val="0"/>
              <w:jc w:val="right"/>
              <w:rPr>
                <w:rFonts w:eastAsia="Times New Roman"/>
                <w:color w:val="000000"/>
                <w:sz w:val="20"/>
                <w:szCs w:val="20"/>
                <w:lang w:eastAsia="ru-RU"/>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F0E" w:rsidRPr="004761E0" w:rsidRDefault="000B3F0E" w:rsidP="000B3F0E">
            <w:pPr>
              <w:ind w:firstLine="0"/>
              <w:jc w:val="left"/>
              <w:rPr>
                <w:rFonts w:eastAsia="Times New Roman"/>
                <w:color w:val="000000"/>
                <w:sz w:val="20"/>
                <w:szCs w:val="20"/>
                <w:lang w:eastAsia="ru-RU"/>
              </w:rPr>
            </w:pPr>
            <w:r w:rsidRPr="004761E0">
              <w:rPr>
                <w:rFonts w:eastAsia="Times New Roman"/>
                <w:color w:val="000000"/>
                <w:sz w:val="20"/>
                <w:szCs w:val="20"/>
                <w:lang w:eastAsia="ru-RU"/>
              </w:rPr>
              <w:t>Кренева Н.А.</w:t>
            </w:r>
          </w:p>
        </w:tc>
        <w:tc>
          <w:tcPr>
            <w:tcW w:w="10447" w:type="dxa"/>
            <w:tcBorders>
              <w:top w:val="single" w:sz="4" w:space="0" w:color="auto"/>
              <w:left w:val="single" w:sz="4" w:space="0" w:color="auto"/>
              <w:bottom w:val="single" w:sz="4" w:space="0" w:color="auto"/>
              <w:right w:val="single" w:sz="4" w:space="0" w:color="auto"/>
            </w:tcBorders>
            <w:shd w:val="clear" w:color="auto" w:fill="auto"/>
            <w:vAlign w:val="center"/>
          </w:tcPr>
          <w:p w:rsidR="000B3F0E" w:rsidRPr="004761E0" w:rsidRDefault="000B3F0E" w:rsidP="000B3F0E">
            <w:pPr>
              <w:ind w:firstLine="0"/>
              <w:jc w:val="left"/>
              <w:rPr>
                <w:rFonts w:eastAsia="Times New Roman"/>
                <w:color w:val="000000"/>
                <w:sz w:val="20"/>
                <w:szCs w:val="20"/>
                <w:lang w:eastAsia="ru-RU"/>
              </w:rPr>
            </w:pPr>
            <w:r w:rsidRPr="004761E0">
              <w:rPr>
                <w:sz w:val="20"/>
                <w:szCs w:val="20"/>
              </w:rPr>
              <w:t xml:space="preserve">Заместитель генерального директора по управлению персоналом </w:t>
            </w:r>
            <w:r w:rsidR="0008080E">
              <w:rPr>
                <w:sz w:val="20"/>
                <w:szCs w:val="20"/>
              </w:rPr>
              <w:t>ОАО </w:t>
            </w:r>
            <w:r w:rsidRPr="004761E0">
              <w:rPr>
                <w:sz w:val="20"/>
                <w:szCs w:val="20"/>
              </w:rPr>
              <w:t>«МОЭСК»</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F0E" w:rsidRPr="004761E0" w:rsidRDefault="000B3F0E" w:rsidP="000B3F0E">
            <w:pPr>
              <w:ind w:firstLine="0"/>
              <w:jc w:val="right"/>
              <w:rPr>
                <w:rFonts w:eastAsia="Times New Roman"/>
                <w:color w:val="000000"/>
                <w:sz w:val="20"/>
                <w:szCs w:val="20"/>
                <w:lang w:eastAsia="ru-RU"/>
              </w:rPr>
            </w:pPr>
            <w:r w:rsidRPr="004761E0">
              <w:rPr>
                <w:rFonts w:eastAsia="Times New Roman"/>
                <w:color w:val="000000"/>
                <w:sz w:val="20"/>
                <w:szCs w:val="20"/>
                <w:lang w:eastAsia="ru-RU"/>
              </w:rPr>
              <w:t>27.12.2012</w:t>
            </w:r>
          </w:p>
        </w:tc>
        <w:tc>
          <w:tcPr>
            <w:tcW w:w="2543" w:type="dxa"/>
            <w:tcBorders>
              <w:top w:val="single" w:sz="4" w:space="0" w:color="auto"/>
              <w:left w:val="nil"/>
              <w:bottom w:val="single" w:sz="4" w:space="0" w:color="auto"/>
              <w:right w:val="single" w:sz="4" w:space="0" w:color="auto"/>
            </w:tcBorders>
            <w:shd w:val="clear" w:color="auto" w:fill="auto"/>
            <w:vAlign w:val="center"/>
            <w:hideMark/>
          </w:tcPr>
          <w:p w:rsidR="000B3F0E" w:rsidRPr="004761E0" w:rsidRDefault="000B3F0E" w:rsidP="000B3F0E">
            <w:pPr>
              <w:ind w:firstLine="0"/>
              <w:jc w:val="right"/>
              <w:rPr>
                <w:rFonts w:eastAsia="Times New Roman"/>
                <w:color w:val="000000"/>
                <w:sz w:val="20"/>
                <w:szCs w:val="20"/>
                <w:lang w:eastAsia="ru-RU"/>
              </w:rPr>
            </w:pPr>
            <w:r w:rsidRPr="004761E0">
              <w:rPr>
                <w:rFonts w:eastAsia="Times New Roman"/>
                <w:color w:val="000000"/>
                <w:sz w:val="20"/>
                <w:szCs w:val="20"/>
                <w:lang w:eastAsia="ru-RU"/>
              </w:rPr>
              <w:t>57</w:t>
            </w:r>
            <w:r>
              <w:rPr>
                <w:rFonts w:eastAsia="Times New Roman"/>
                <w:color w:val="000000"/>
                <w:sz w:val="20"/>
                <w:szCs w:val="20"/>
                <w:lang w:eastAsia="ru-RU"/>
              </w:rPr>
              <w:t xml:space="preserve"> из 62, явка 92 %</w:t>
            </w:r>
          </w:p>
        </w:tc>
      </w:tr>
      <w:tr w:rsidR="000B3F0E" w:rsidRPr="004761E0" w:rsidTr="000B3F0E">
        <w:trPr>
          <w:cantSplit/>
          <w:trHeight w:val="257"/>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0B3F0E" w:rsidRPr="004761E0" w:rsidRDefault="000B3F0E" w:rsidP="007076A7">
            <w:pPr>
              <w:pStyle w:val="a5"/>
              <w:numPr>
                <w:ilvl w:val="0"/>
                <w:numId w:val="22"/>
              </w:numPr>
              <w:ind w:left="0" w:firstLine="0"/>
              <w:contextualSpacing w:val="0"/>
              <w:jc w:val="right"/>
              <w:rPr>
                <w:rFonts w:eastAsia="Times New Roman"/>
                <w:color w:val="000000"/>
                <w:sz w:val="20"/>
                <w:szCs w:val="20"/>
                <w:lang w:eastAsia="ru-RU"/>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F0E" w:rsidRPr="004761E0" w:rsidRDefault="000B3F0E" w:rsidP="000B3F0E">
            <w:pPr>
              <w:ind w:firstLine="0"/>
              <w:jc w:val="left"/>
              <w:rPr>
                <w:rFonts w:eastAsia="Times New Roman"/>
                <w:color w:val="000000"/>
                <w:sz w:val="20"/>
                <w:szCs w:val="20"/>
                <w:lang w:eastAsia="ru-RU"/>
              </w:rPr>
            </w:pPr>
            <w:r w:rsidRPr="004761E0">
              <w:rPr>
                <w:rFonts w:eastAsia="Times New Roman"/>
                <w:color w:val="000000"/>
                <w:sz w:val="20"/>
                <w:szCs w:val="20"/>
                <w:lang w:eastAsia="ru-RU"/>
              </w:rPr>
              <w:t>Панин А.А.</w:t>
            </w:r>
          </w:p>
        </w:tc>
        <w:tc>
          <w:tcPr>
            <w:tcW w:w="10447" w:type="dxa"/>
            <w:tcBorders>
              <w:top w:val="single" w:sz="4" w:space="0" w:color="auto"/>
              <w:left w:val="single" w:sz="4" w:space="0" w:color="auto"/>
              <w:bottom w:val="single" w:sz="4" w:space="0" w:color="auto"/>
              <w:right w:val="single" w:sz="4" w:space="0" w:color="auto"/>
            </w:tcBorders>
            <w:shd w:val="clear" w:color="auto" w:fill="auto"/>
            <w:vAlign w:val="center"/>
          </w:tcPr>
          <w:p w:rsidR="000B3F0E" w:rsidRPr="004761E0" w:rsidRDefault="000B3F0E" w:rsidP="000B3F0E">
            <w:pPr>
              <w:ind w:firstLine="0"/>
              <w:jc w:val="left"/>
              <w:rPr>
                <w:rFonts w:eastAsia="Times New Roman"/>
                <w:color w:val="000000"/>
                <w:sz w:val="20"/>
                <w:szCs w:val="20"/>
                <w:lang w:eastAsia="ru-RU"/>
              </w:rPr>
            </w:pPr>
            <w:r w:rsidRPr="004761E0">
              <w:rPr>
                <w:sz w:val="20"/>
                <w:szCs w:val="20"/>
              </w:rPr>
              <w:t xml:space="preserve">Заместитель генерального директора по правовым вопросам </w:t>
            </w:r>
            <w:r w:rsidR="0008080E">
              <w:rPr>
                <w:sz w:val="20"/>
                <w:szCs w:val="20"/>
              </w:rPr>
              <w:t>ОАО </w:t>
            </w:r>
            <w:r w:rsidRPr="004761E0">
              <w:rPr>
                <w:sz w:val="20"/>
                <w:szCs w:val="20"/>
              </w:rPr>
              <w:t>«МОЭСК»</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F0E" w:rsidRPr="004761E0" w:rsidRDefault="000B3F0E" w:rsidP="000B3F0E">
            <w:pPr>
              <w:ind w:firstLine="0"/>
              <w:jc w:val="right"/>
              <w:rPr>
                <w:rFonts w:eastAsia="Times New Roman"/>
                <w:color w:val="000000"/>
                <w:sz w:val="20"/>
                <w:szCs w:val="20"/>
                <w:lang w:eastAsia="ru-RU"/>
              </w:rPr>
            </w:pPr>
            <w:r w:rsidRPr="004761E0">
              <w:rPr>
                <w:rFonts w:eastAsia="Times New Roman"/>
                <w:color w:val="000000"/>
                <w:sz w:val="20"/>
                <w:szCs w:val="20"/>
                <w:lang w:eastAsia="ru-RU"/>
              </w:rPr>
              <w:t>27.12.2012</w:t>
            </w:r>
          </w:p>
        </w:tc>
        <w:tc>
          <w:tcPr>
            <w:tcW w:w="2543" w:type="dxa"/>
            <w:tcBorders>
              <w:top w:val="single" w:sz="4" w:space="0" w:color="auto"/>
              <w:left w:val="nil"/>
              <w:bottom w:val="single" w:sz="4" w:space="0" w:color="auto"/>
              <w:right w:val="single" w:sz="4" w:space="0" w:color="auto"/>
            </w:tcBorders>
            <w:shd w:val="clear" w:color="auto" w:fill="auto"/>
            <w:vAlign w:val="center"/>
            <w:hideMark/>
          </w:tcPr>
          <w:p w:rsidR="000B3F0E" w:rsidRPr="004761E0" w:rsidRDefault="000B3F0E" w:rsidP="000B3F0E">
            <w:pPr>
              <w:ind w:firstLine="0"/>
              <w:jc w:val="right"/>
              <w:rPr>
                <w:rFonts w:eastAsia="Times New Roman"/>
                <w:color w:val="000000"/>
                <w:sz w:val="20"/>
                <w:szCs w:val="20"/>
                <w:lang w:eastAsia="ru-RU"/>
              </w:rPr>
            </w:pPr>
            <w:r w:rsidRPr="004761E0">
              <w:rPr>
                <w:rFonts w:eastAsia="Times New Roman"/>
                <w:color w:val="000000"/>
                <w:sz w:val="20"/>
                <w:szCs w:val="20"/>
                <w:lang w:eastAsia="ru-RU"/>
              </w:rPr>
              <w:t>42</w:t>
            </w:r>
            <w:r>
              <w:rPr>
                <w:rFonts w:eastAsia="Times New Roman"/>
                <w:color w:val="000000"/>
                <w:sz w:val="20"/>
                <w:szCs w:val="20"/>
                <w:lang w:eastAsia="ru-RU"/>
              </w:rPr>
              <w:t xml:space="preserve"> из 62, явка 68 %</w:t>
            </w:r>
          </w:p>
        </w:tc>
      </w:tr>
      <w:tr w:rsidR="000B3F0E" w:rsidRPr="004761E0" w:rsidTr="000B3F0E">
        <w:trPr>
          <w:cantSplit/>
          <w:trHeight w:val="257"/>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0B3F0E" w:rsidRPr="004761E0" w:rsidRDefault="000B3F0E" w:rsidP="007076A7">
            <w:pPr>
              <w:pStyle w:val="a5"/>
              <w:numPr>
                <w:ilvl w:val="0"/>
                <w:numId w:val="22"/>
              </w:numPr>
              <w:ind w:left="0" w:firstLine="0"/>
              <w:contextualSpacing w:val="0"/>
              <w:jc w:val="right"/>
              <w:rPr>
                <w:rFonts w:eastAsia="Times New Roman"/>
                <w:color w:val="000000"/>
                <w:sz w:val="20"/>
                <w:szCs w:val="20"/>
                <w:lang w:eastAsia="ru-RU"/>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F0E" w:rsidRPr="004761E0" w:rsidRDefault="000B3F0E" w:rsidP="000B3F0E">
            <w:pPr>
              <w:ind w:firstLine="0"/>
              <w:jc w:val="left"/>
              <w:rPr>
                <w:rFonts w:eastAsia="Times New Roman"/>
                <w:color w:val="000000"/>
                <w:sz w:val="20"/>
                <w:szCs w:val="20"/>
                <w:lang w:eastAsia="ru-RU"/>
              </w:rPr>
            </w:pPr>
            <w:r w:rsidRPr="004761E0">
              <w:rPr>
                <w:rFonts w:eastAsia="Times New Roman"/>
                <w:color w:val="000000"/>
                <w:sz w:val="20"/>
                <w:szCs w:val="20"/>
                <w:lang w:eastAsia="ru-RU"/>
              </w:rPr>
              <w:t>Романовский С.П.</w:t>
            </w:r>
          </w:p>
        </w:tc>
        <w:tc>
          <w:tcPr>
            <w:tcW w:w="10447" w:type="dxa"/>
            <w:tcBorders>
              <w:top w:val="single" w:sz="4" w:space="0" w:color="auto"/>
              <w:left w:val="single" w:sz="4" w:space="0" w:color="auto"/>
              <w:bottom w:val="single" w:sz="4" w:space="0" w:color="auto"/>
              <w:right w:val="single" w:sz="4" w:space="0" w:color="auto"/>
            </w:tcBorders>
            <w:shd w:val="clear" w:color="auto" w:fill="auto"/>
            <w:vAlign w:val="center"/>
          </w:tcPr>
          <w:p w:rsidR="000B3F0E" w:rsidRPr="004761E0" w:rsidRDefault="000B3F0E" w:rsidP="000B3F0E">
            <w:pPr>
              <w:ind w:firstLine="0"/>
              <w:jc w:val="left"/>
              <w:rPr>
                <w:rFonts w:eastAsia="Times New Roman"/>
                <w:color w:val="000000"/>
                <w:sz w:val="20"/>
                <w:szCs w:val="20"/>
                <w:lang w:eastAsia="ru-RU"/>
              </w:rPr>
            </w:pPr>
            <w:r w:rsidRPr="004761E0">
              <w:rPr>
                <w:sz w:val="20"/>
                <w:szCs w:val="20"/>
              </w:rPr>
              <w:t xml:space="preserve">Заместитель генерального директора по капитальному строительству </w:t>
            </w:r>
            <w:r w:rsidR="0008080E">
              <w:rPr>
                <w:sz w:val="20"/>
                <w:szCs w:val="20"/>
              </w:rPr>
              <w:t>ОАО </w:t>
            </w:r>
            <w:r w:rsidRPr="004761E0">
              <w:rPr>
                <w:sz w:val="20"/>
                <w:szCs w:val="20"/>
              </w:rPr>
              <w:t>«МОЭСК»</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F0E" w:rsidRPr="004761E0" w:rsidRDefault="000B3F0E" w:rsidP="000B3F0E">
            <w:pPr>
              <w:ind w:firstLine="0"/>
              <w:jc w:val="right"/>
              <w:rPr>
                <w:rFonts w:eastAsia="Times New Roman"/>
                <w:color w:val="000000"/>
                <w:sz w:val="20"/>
                <w:szCs w:val="20"/>
                <w:lang w:eastAsia="ru-RU"/>
              </w:rPr>
            </w:pPr>
            <w:r w:rsidRPr="004761E0">
              <w:rPr>
                <w:rFonts w:eastAsia="Times New Roman"/>
                <w:color w:val="000000"/>
                <w:sz w:val="20"/>
                <w:szCs w:val="20"/>
                <w:lang w:eastAsia="ru-RU"/>
              </w:rPr>
              <w:t>29.03.2011</w:t>
            </w:r>
          </w:p>
        </w:tc>
        <w:tc>
          <w:tcPr>
            <w:tcW w:w="2543" w:type="dxa"/>
            <w:tcBorders>
              <w:top w:val="single" w:sz="4" w:space="0" w:color="auto"/>
              <w:left w:val="nil"/>
              <w:bottom w:val="single" w:sz="4" w:space="0" w:color="auto"/>
              <w:right w:val="single" w:sz="4" w:space="0" w:color="auto"/>
            </w:tcBorders>
            <w:shd w:val="clear" w:color="auto" w:fill="auto"/>
            <w:vAlign w:val="center"/>
            <w:hideMark/>
          </w:tcPr>
          <w:p w:rsidR="000B3F0E" w:rsidRPr="004761E0" w:rsidRDefault="000B3F0E" w:rsidP="000B3F0E">
            <w:pPr>
              <w:ind w:firstLine="0"/>
              <w:jc w:val="right"/>
              <w:rPr>
                <w:rFonts w:eastAsia="Times New Roman"/>
                <w:color w:val="000000"/>
                <w:sz w:val="20"/>
                <w:szCs w:val="20"/>
                <w:lang w:eastAsia="ru-RU"/>
              </w:rPr>
            </w:pPr>
            <w:r w:rsidRPr="004761E0">
              <w:rPr>
                <w:rFonts w:eastAsia="Times New Roman"/>
                <w:color w:val="000000"/>
                <w:sz w:val="20"/>
                <w:szCs w:val="20"/>
                <w:lang w:eastAsia="ru-RU"/>
              </w:rPr>
              <w:t>56</w:t>
            </w:r>
            <w:r>
              <w:rPr>
                <w:rFonts w:eastAsia="Times New Roman"/>
                <w:color w:val="000000"/>
                <w:sz w:val="20"/>
                <w:szCs w:val="20"/>
                <w:lang w:eastAsia="ru-RU"/>
              </w:rPr>
              <w:t xml:space="preserve"> из 62, явка 90 %</w:t>
            </w:r>
          </w:p>
        </w:tc>
      </w:tr>
      <w:tr w:rsidR="000B3F0E" w:rsidRPr="004761E0" w:rsidTr="000B3F0E">
        <w:trPr>
          <w:cantSplit/>
          <w:trHeight w:val="249"/>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0B3F0E" w:rsidRPr="004761E0" w:rsidRDefault="000B3F0E" w:rsidP="007076A7">
            <w:pPr>
              <w:pStyle w:val="a5"/>
              <w:numPr>
                <w:ilvl w:val="0"/>
                <w:numId w:val="22"/>
              </w:numPr>
              <w:ind w:left="0" w:firstLine="0"/>
              <w:contextualSpacing w:val="0"/>
              <w:jc w:val="right"/>
              <w:rPr>
                <w:rFonts w:eastAsia="Times New Roman"/>
                <w:color w:val="000000"/>
                <w:sz w:val="20"/>
                <w:szCs w:val="20"/>
                <w:lang w:eastAsia="ru-RU"/>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F0E" w:rsidRPr="004761E0" w:rsidRDefault="000B3F0E" w:rsidP="000B3F0E">
            <w:pPr>
              <w:ind w:firstLine="0"/>
              <w:jc w:val="left"/>
              <w:rPr>
                <w:rFonts w:eastAsia="Times New Roman"/>
                <w:color w:val="000000"/>
                <w:sz w:val="20"/>
                <w:szCs w:val="20"/>
                <w:lang w:eastAsia="ru-RU"/>
              </w:rPr>
            </w:pPr>
            <w:r w:rsidRPr="004761E0">
              <w:rPr>
                <w:rFonts w:eastAsia="Times New Roman"/>
                <w:color w:val="000000"/>
                <w:sz w:val="20"/>
                <w:szCs w:val="20"/>
                <w:lang w:eastAsia="ru-RU"/>
              </w:rPr>
              <w:t>Синютин П.А.</w:t>
            </w:r>
          </w:p>
        </w:tc>
        <w:tc>
          <w:tcPr>
            <w:tcW w:w="10447" w:type="dxa"/>
            <w:tcBorders>
              <w:top w:val="single" w:sz="4" w:space="0" w:color="auto"/>
              <w:left w:val="single" w:sz="4" w:space="0" w:color="auto"/>
              <w:bottom w:val="single" w:sz="4" w:space="0" w:color="auto"/>
              <w:right w:val="single" w:sz="4" w:space="0" w:color="auto"/>
            </w:tcBorders>
            <w:shd w:val="clear" w:color="auto" w:fill="auto"/>
            <w:vAlign w:val="center"/>
          </w:tcPr>
          <w:p w:rsidR="000B3F0E" w:rsidRPr="004761E0" w:rsidRDefault="000B3F0E" w:rsidP="000414BD">
            <w:pPr>
              <w:ind w:firstLine="0"/>
              <w:jc w:val="left"/>
              <w:rPr>
                <w:rFonts w:eastAsia="Times New Roman"/>
                <w:color w:val="000000"/>
                <w:sz w:val="20"/>
                <w:szCs w:val="20"/>
                <w:lang w:eastAsia="ru-RU"/>
              </w:rPr>
            </w:pPr>
            <w:r w:rsidRPr="004761E0">
              <w:rPr>
                <w:sz w:val="20"/>
                <w:szCs w:val="20"/>
              </w:rPr>
              <w:t xml:space="preserve">Генеральный директор </w:t>
            </w:r>
            <w:r w:rsidR="0008080E">
              <w:rPr>
                <w:sz w:val="20"/>
                <w:szCs w:val="20"/>
              </w:rPr>
              <w:t>ОАО </w:t>
            </w:r>
            <w:r w:rsidRPr="004761E0">
              <w:rPr>
                <w:sz w:val="20"/>
                <w:szCs w:val="20"/>
              </w:rPr>
              <w:t>«МОЭСК»</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F0E" w:rsidRPr="004761E0" w:rsidRDefault="000B3F0E" w:rsidP="000B3F0E">
            <w:pPr>
              <w:ind w:firstLine="0"/>
              <w:jc w:val="right"/>
              <w:rPr>
                <w:rFonts w:eastAsia="Times New Roman"/>
                <w:color w:val="000000"/>
                <w:sz w:val="20"/>
                <w:szCs w:val="20"/>
                <w:lang w:eastAsia="ru-RU"/>
              </w:rPr>
            </w:pPr>
            <w:r w:rsidRPr="004761E0">
              <w:rPr>
                <w:rFonts w:eastAsia="Times New Roman"/>
                <w:color w:val="000000"/>
                <w:sz w:val="20"/>
                <w:szCs w:val="20"/>
                <w:lang w:eastAsia="ru-RU"/>
              </w:rPr>
              <w:t>27.12.2012</w:t>
            </w:r>
          </w:p>
        </w:tc>
        <w:tc>
          <w:tcPr>
            <w:tcW w:w="2543" w:type="dxa"/>
            <w:tcBorders>
              <w:top w:val="single" w:sz="4" w:space="0" w:color="auto"/>
              <w:left w:val="nil"/>
              <w:bottom w:val="single" w:sz="4" w:space="0" w:color="auto"/>
              <w:right w:val="single" w:sz="4" w:space="0" w:color="auto"/>
            </w:tcBorders>
            <w:shd w:val="clear" w:color="auto" w:fill="auto"/>
            <w:vAlign w:val="center"/>
            <w:hideMark/>
          </w:tcPr>
          <w:p w:rsidR="000B3F0E" w:rsidRPr="004761E0" w:rsidRDefault="000B3F0E" w:rsidP="000B3F0E">
            <w:pPr>
              <w:ind w:firstLine="0"/>
              <w:jc w:val="right"/>
              <w:rPr>
                <w:rFonts w:eastAsia="Times New Roman"/>
                <w:color w:val="000000"/>
                <w:sz w:val="20"/>
                <w:szCs w:val="20"/>
                <w:lang w:eastAsia="ru-RU"/>
              </w:rPr>
            </w:pPr>
            <w:r w:rsidRPr="004761E0">
              <w:rPr>
                <w:rFonts w:eastAsia="Times New Roman"/>
                <w:color w:val="000000"/>
                <w:sz w:val="20"/>
                <w:szCs w:val="20"/>
                <w:lang w:eastAsia="ru-RU"/>
              </w:rPr>
              <w:t>55</w:t>
            </w:r>
            <w:r>
              <w:rPr>
                <w:rFonts w:eastAsia="Times New Roman"/>
                <w:color w:val="000000"/>
                <w:sz w:val="20"/>
                <w:szCs w:val="20"/>
                <w:lang w:eastAsia="ru-RU"/>
              </w:rPr>
              <w:t xml:space="preserve"> из 62, явка 89 %</w:t>
            </w:r>
          </w:p>
        </w:tc>
      </w:tr>
      <w:tr w:rsidR="000B3F0E" w:rsidRPr="004761E0" w:rsidTr="000B3F0E">
        <w:trPr>
          <w:cantSplit/>
          <w:trHeight w:val="257"/>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0B3F0E" w:rsidRPr="004761E0" w:rsidRDefault="000B3F0E" w:rsidP="007076A7">
            <w:pPr>
              <w:pStyle w:val="a5"/>
              <w:numPr>
                <w:ilvl w:val="0"/>
                <w:numId w:val="22"/>
              </w:numPr>
              <w:ind w:left="0" w:firstLine="0"/>
              <w:contextualSpacing w:val="0"/>
              <w:jc w:val="right"/>
              <w:rPr>
                <w:rFonts w:eastAsia="Times New Roman"/>
                <w:color w:val="000000"/>
                <w:sz w:val="20"/>
                <w:szCs w:val="20"/>
                <w:lang w:eastAsia="ru-RU"/>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F0E" w:rsidRPr="004761E0" w:rsidRDefault="000B3F0E" w:rsidP="000B3F0E">
            <w:pPr>
              <w:ind w:firstLine="0"/>
              <w:jc w:val="left"/>
              <w:rPr>
                <w:rFonts w:eastAsia="Times New Roman"/>
                <w:color w:val="000000"/>
                <w:sz w:val="20"/>
                <w:szCs w:val="20"/>
                <w:lang w:eastAsia="ru-RU"/>
              </w:rPr>
            </w:pPr>
            <w:r w:rsidRPr="004761E0">
              <w:rPr>
                <w:rFonts w:eastAsia="Times New Roman"/>
                <w:color w:val="000000"/>
                <w:sz w:val="20"/>
                <w:szCs w:val="20"/>
                <w:lang w:eastAsia="ru-RU"/>
              </w:rPr>
              <w:t>Старостин А.С.</w:t>
            </w:r>
          </w:p>
        </w:tc>
        <w:tc>
          <w:tcPr>
            <w:tcW w:w="10447" w:type="dxa"/>
            <w:tcBorders>
              <w:top w:val="single" w:sz="4" w:space="0" w:color="auto"/>
              <w:left w:val="single" w:sz="4" w:space="0" w:color="auto"/>
              <w:bottom w:val="single" w:sz="4" w:space="0" w:color="auto"/>
              <w:right w:val="single" w:sz="4" w:space="0" w:color="auto"/>
            </w:tcBorders>
            <w:shd w:val="clear" w:color="auto" w:fill="auto"/>
            <w:vAlign w:val="center"/>
          </w:tcPr>
          <w:p w:rsidR="000B3F0E" w:rsidRPr="004761E0" w:rsidRDefault="000B3F0E" w:rsidP="000B3F0E">
            <w:pPr>
              <w:ind w:firstLine="0"/>
              <w:jc w:val="left"/>
              <w:rPr>
                <w:rFonts w:eastAsia="Times New Roman"/>
                <w:color w:val="000000"/>
                <w:sz w:val="20"/>
                <w:szCs w:val="20"/>
                <w:lang w:eastAsia="ru-RU"/>
              </w:rPr>
            </w:pPr>
            <w:r w:rsidRPr="004761E0">
              <w:rPr>
                <w:sz w:val="20"/>
                <w:szCs w:val="20"/>
              </w:rPr>
              <w:t xml:space="preserve">Заместитель генерального директора по корпоративному управлению и собственности </w:t>
            </w:r>
            <w:r w:rsidR="0008080E">
              <w:rPr>
                <w:sz w:val="20"/>
                <w:szCs w:val="20"/>
              </w:rPr>
              <w:t>ОАО </w:t>
            </w:r>
            <w:r w:rsidRPr="004761E0">
              <w:rPr>
                <w:sz w:val="20"/>
                <w:szCs w:val="20"/>
              </w:rPr>
              <w:t>«МОЭСК»</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F0E" w:rsidRPr="004761E0" w:rsidRDefault="000B3F0E" w:rsidP="000B3F0E">
            <w:pPr>
              <w:ind w:firstLine="0"/>
              <w:jc w:val="right"/>
              <w:rPr>
                <w:rFonts w:eastAsia="Times New Roman"/>
                <w:color w:val="000000"/>
                <w:sz w:val="20"/>
                <w:szCs w:val="20"/>
                <w:lang w:eastAsia="ru-RU"/>
              </w:rPr>
            </w:pPr>
            <w:r w:rsidRPr="004761E0">
              <w:rPr>
                <w:rFonts w:eastAsia="Times New Roman"/>
                <w:color w:val="000000"/>
                <w:sz w:val="20"/>
                <w:szCs w:val="20"/>
                <w:lang w:eastAsia="ru-RU"/>
              </w:rPr>
              <w:t>27.12.2012</w:t>
            </w:r>
          </w:p>
        </w:tc>
        <w:tc>
          <w:tcPr>
            <w:tcW w:w="2543" w:type="dxa"/>
            <w:tcBorders>
              <w:top w:val="single" w:sz="4" w:space="0" w:color="auto"/>
              <w:left w:val="nil"/>
              <w:bottom w:val="single" w:sz="4" w:space="0" w:color="auto"/>
              <w:right w:val="single" w:sz="4" w:space="0" w:color="auto"/>
            </w:tcBorders>
            <w:shd w:val="clear" w:color="auto" w:fill="auto"/>
            <w:vAlign w:val="center"/>
            <w:hideMark/>
          </w:tcPr>
          <w:p w:rsidR="000B3F0E" w:rsidRPr="004761E0" w:rsidRDefault="000B3F0E" w:rsidP="000B3F0E">
            <w:pPr>
              <w:ind w:firstLine="0"/>
              <w:jc w:val="right"/>
              <w:rPr>
                <w:rFonts w:eastAsia="Times New Roman"/>
                <w:color w:val="000000"/>
                <w:sz w:val="20"/>
                <w:szCs w:val="20"/>
                <w:lang w:eastAsia="ru-RU"/>
              </w:rPr>
            </w:pPr>
            <w:r w:rsidRPr="004761E0">
              <w:rPr>
                <w:rFonts w:eastAsia="Times New Roman"/>
                <w:color w:val="000000"/>
                <w:sz w:val="20"/>
                <w:szCs w:val="20"/>
                <w:lang w:eastAsia="ru-RU"/>
              </w:rPr>
              <w:t>53</w:t>
            </w:r>
            <w:r>
              <w:rPr>
                <w:rFonts w:eastAsia="Times New Roman"/>
                <w:color w:val="000000"/>
                <w:sz w:val="20"/>
                <w:szCs w:val="20"/>
                <w:lang w:eastAsia="ru-RU"/>
              </w:rPr>
              <w:t xml:space="preserve"> из 62, явка 85 %</w:t>
            </w:r>
          </w:p>
        </w:tc>
      </w:tr>
      <w:tr w:rsidR="000B3F0E" w:rsidRPr="004761E0" w:rsidTr="000B3F0E">
        <w:trPr>
          <w:cantSplit/>
          <w:trHeight w:val="257"/>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0B3F0E" w:rsidRPr="004761E0" w:rsidRDefault="000B3F0E" w:rsidP="007076A7">
            <w:pPr>
              <w:pStyle w:val="a5"/>
              <w:numPr>
                <w:ilvl w:val="0"/>
                <w:numId w:val="22"/>
              </w:numPr>
              <w:ind w:left="0" w:firstLine="0"/>
              <w:contextualSpacing w:val="0"/>
              <w:jc w:val="right"/>
              <w:rPr>
                <w:rFonts w:eastAsia="Times New Roman"/>
                <w:color w:val="000000"/>
                <w:sz w:val="20"/>
                <w:szCs w:val="20"/>
                <w:lang w:eastAsia="ru-RU"/>
              </w:rPr>
            </w:pP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F0E" w:rsidRPr="004761E0" w:rsidRDefault="000B3F0E" w:rsidP="000B3F0E">
            <w:pPr>
              <w:ind w:firstLine="0"/>
              <w:jc w:val="left"/>
              <w:rPr>
                <w:rFonts w:eastAsia="Times New Roman"/>
                <w:color w:val="000000"/>
                <w:sz w:val="20"/>
                <w:szCs w:val="20"/>
                <w:lang w:eastAsia="ru-RU"/>
              </w:rPr>
            </w:pPr>
            <w:r w:rsidRPr="004761E0">
              <w:rPr>
                <w:rFonts w:eastAsia="Times New Roman"/>
                <w:color w:val="000000"/>
                <w:sz w:val="20"/>
                <w:szCs w:val="20"/>
                <w:lang w:eastAsia="ru-RU"/>
              </w:rPr>
              <w:t>Хацкевич С.Ф.</w:t>
            </w:r>
          </w:p>
        </w:tc>
        <w:tc>
          <w:tcPr>
            <w:tcW w:w="10447" w:type="dxa"/>
            <w:tcBorders>
              <w:top w:val="single" w:sz="4" w:space="0" w:color="auto"/>
              <w:left w:val="single" w:sz="4" w:space="0" w:color="auto"/>
              <w:bottom w:val="single" w:sz="4" w:space="0" w:color="auto"/>
              <w:right w:val="single" w:sz="4" w:space="0" w:color="auto"/>
            </w:tcBorders>
            <w:shd w:val="clear" w:color="auto" w:fill="auto"/>
            <w:vAlign w:val="center"/>
          </w:tcPr>
          <w:p w:rsidR="000B3F0E" w:rsidRPr="004761E0" w:rsidRDefault="000B3F0E" w:rsidP="000B3F0E">
            <w:pPr>
              <w:ind w:firstLine="0"/>
              <w:jc w:val="left"/>
              <w:rPr>
                <w:rFonts w:eastAsia="Times New Roman"/>
                <w:color w:val="000000"/>
                <w:sz w:val="20"/>
                <w:szCs w:val="20"/>
                <w:lang w:eastAsia="ru-RU"/>
              </w:rPr>
            </w:pPr>
            <w:r w:rsidRPr="004761E0">
              <w:rPr>
                <w:sz w:val="20"/>
                <w:szCs w:val="20"/>
              </w:rPr>
              <w:t xml:space="preserve">Советник </w:t>
            </w:r>
            <w:r w:rsidR="0008080E">
              <w:rPr>
                <w:sz w:val="20"/>
                <w:szCs w:val="20"/>
              </w:rPr>
              <w:t>ОАО </w:t>
            </w:r>
            <w:r w:rsidRPr="004761E0">
              <w:rPr>
                <w:sz w:val="20"/>
                <w:szCs w:val="20"/>
              </w:rPr>
              <w:t>«МОЭСК»</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F0E" w:rsidRPr="004761E0" w:rsidRDefault="000B3F0E" w:rsidP="000B3F0E">
            <w:pPr>
              <w:ind w:firstLine="0"/>
              <w:jc w:val="right"/>
              <w:rPr>
                <w:rFonts w:eastAsia="Times New Roman"/>
                <w:color w:val="000000"/>
                <w:sz w:val="20"/>
                <w:szCs w:val="20"/>
                <w:lang w:eastAsia="ru-RU"/>
              </w:rPr>
            </w:pPr>
            <w:r w:rsidRPr="004761E0">
              <w:rPr>
                <w:rFonts w:eastAsia="Times New Roman"/>
                <w:color w:val="000000"/>
                <w:sz w:val="20"/>
                <w:szCs w:val="20"/>
                <w:lang w:eastAsia="ru-RU"/>
              </w:rPr>
              <w:t>27.12.2012</w:t>
            </w:r>
          </w:p>
        </w:tc>
        <w:tc>
          <w:tcPr>
            <w:tcW w:w="2543" w:type="dxa"/>
            <w:tcBorders>
              <w:top w:val="single" w:sz="4" w:space="0" w:color="auto"/>
              <w:left w:val="nil"/>
              <w:bottom w:val="single" w:sz="4" w:space="0" w:color="auto"/>
              <w:right w:val="single" w:sz="4" w:space="0" w:color="auto"/>
            </w:tcBorders>
            <w:shd w:val="clear" w:color="auto" w:fill="auto"/>
            <w:vAlign w:val="center"/>
            <w:hideMark/>
          </w:tcPr>
          <w:p w:rsidR="000B3F0E" w:rsidRPr="004761E0" w:rsidRDefault="000B3F0E" w:rsidP="000B3F0E">
            <w:pPr>
              <w:ind w:firstLine="0"/>
              <w:jc w:val="right"/>
              <w:rPr>
                <w:rFonts w:eastAsia="Times New Roman"/>
                <w:color w:val="000000"/>
                <w:sz w:val="20"/>
                <w:szCs w:val="20"/>
                <w:lang w:eastAsia="ru-RU"/>
              </w:rPr>
            </w:pPr>
            <w:r w:rsidRPr="004761E0">
              <w:rPr>
                <w:rFonts w:eastAsia="Times New Roman"/>
                <w:color w:val="000000"/>
                <w:sz w:val="20"/>
                <w:szCs w:val="20"/>
                <w:lang w:eastAsia="ru-RU"/>
              </w:rPr>
              <w:t>39</w:t>
            </w:r>
            <w:r>
              <w:rPr>
                <w:rFonts w:eastAsia="Times New Roman"/>
                <w:color w:val="000000"/>
                <w:sz w:val="20"/>
                <w:szCs w:val="20"/>
                <w:lang w:eastAsia="ru-RU"/>
              </w:rPr>
              <w:t xml:space="preserve"> из 62, явка 63%</w:t>
            </w:r>
          </w:p>
        </w:tc>
      </w:tr>
    </w:tbl>
    <w:p w:rsidR="002C3096" w:rsidRDefault="002C3096" w:rsidP="002C3096">
      <w:pPr>
        <w:rPr>
          <w:rFonts w:eastAsia="Times New Roman"/>
          <w:lang w:eastAsia="ru-RU"/>
        </w:rPr>
      </w:pPr>
      <w:r>
        <w:rPr>
          <w:lang w:eastAsia="ru-RU"/>
        </w:rPr>
        <w:br w:type="page"/>
      </w:r>
    </w:p>
    <w:p w:rsidR="006B4FAE" w:rsidRPr="002C3096" w:rsidRDefault="002C3096" w:rsidP="002C3096">
      <w:pPr>
        <w:pStyle w:val="a8"/>
        <w:numPr>
          <w:ilvl w:val="1"/>
          <w:numId w:val="2"/>
        </w:numPr>
        <w:tabs>
          <w:tab w:val="left" w:pos="1134"/>
        </w:tabs>
        <w:ind w:hanging="578"/>
        <w:jc w:val="both"/>
        <w:rPr>
          <w:rFonts w:ascii="Times New Roman" w:hAnsi="Times New Roman"/>
          <w:b/>
          <w:sz w:val="26"/>
          <w:szCs w:val="26"/>
          <w:lang w:eastAsia="ru-RU"/>
        </w:rPr>
      </w:pPr>
      <w:bookmarkStart w:id="159" w:name="_Toc385339867"/>
      <w:r>
        <w:rPr>
          <w:rFonts w:ascii="Times New Roman" w:hAnsi="Times New Roman"/>
          <w:b/>
          <w:sz w:val="26"/>
          <w:szCs w:val="26"/>
          <w:lang w:eastAsia="ru-RU"/>
        </w:rPr>
        <w:lastRenderedPageBreak/>
        <w:t>Подробная и</w:t>
      </w:r>
      <w:r w:rsidR="006B4FAE" w:rsidRPr="002C3096">
        <w:rPr>
          <w:rFonts w:ascii="Times New Roman" w:hAnsi="Times New Roman"/>
          <w:b/>
          <w:sz w:val="26"/>
          <w:szCs w:val="26"/>
          <w:lang w:eastAsia="ru-RU"/>
        </w:rPr>
        <w:t>нформация о членах органов управления и контроля</w:t>
      </w:r>
      <w:bookmarkEnd w:id="159"/>
    </w:p>
    <w:p w:rsidR="006B4FAE" w:rsidRPr="002C3096" w:rsidRDefault="006B4FAE" w:rsidP="007076A7">
      <w:pPr>
        <w:pStyle w:val="a8"/>
        <w:numPr>
          <w:ilvl w:val="0"/>
          <w:numId w:val="324"/>
        </w:numPr>
        <w:tabs>
          <w:tab w:val="left" w:pos="567"/>
          <w:tab w:val="left" w:pos="993"/>
        </w:tabs>
        <w:spacing w:before="120" w:after="120"/>
        <w:ind w:left="1134" w:hanging="567"/>
        <w:jc w:val="left"/>
        <w:rPr>
          <w:rFonts w:ascii="Times New Roman" w:hAnsi="Times New Roman"/>
          <w:b/>
          <w:sz w:val="26"/>
          <w:szCs w:val="26"/>
          <w:lang w:eastAsia="ru-RU"/>
        </w:rPr>
      </w:pPr>
      <w:bookmarkStart w:id="160" w:name="_Toc385339868"/>
      <w:r w:rsidRPr="002C3096">
        <w:rPr>
          <w:rFonts w:ascii="Times New Roman" w:hAnsi="Times New Roman"/>
          <w:b/>
          <w:sz w:val="26"/>
          <w:szCs w:val="26"/>
          <w:lang w:eastAsia="ru-RU"/>
        </w:rPr>
        <w:t>Совет директоров</w:t>
      </w:r>
      <w:bookmarkEnd w:id="160"/>
      <w:r w:rsidRPr="002C3096">
        <w:rPr>
          <w:rFonts w:ascii="Times New Roman" w:hAnsi="Times New Roman"/>
          <w:b/>
          <w:sz w:val="26"/>
          <w:szCs w:val="26"/>
          <w:lang w:eastAsia="ru-RU"/>
        </w:rPr>
        <w:t xml:space="preserve"> </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992"/>
        <w:gridCol w:w="8080"/>
        <w:gridCol w:w="4536"/>
      </w:tblGrid>
      <w:tr w:rsidR="006B4FAE" w:rsidRPr="004761E0" w:rsidTr="006B4FAE">
        <w:tc>
          <w:tcPr>
            <w:tcW w:w="14459"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rsidR="006B4FAE" w:rsidRPr="004761E0" w:rsidRDefault="00523797" w:rsidP="007076A7">
            <w:pPr>
              <w:pStyle w:val="a5"/>
              <w:numPr>
                <w:ilvl w:val="0"/>
                <w:numId w:val="275"/>
              </w:numPr>
              <w:ind w:left="601" w:hanging="567"/>
              <w:contextualSpacing w:val="0"/>
              <w:jc w:val="left"/>
              <w:rPr>
                <w:b/>
                <w:bCs/>
                <w:iCs/>
                <w:sz w:val="20"/>
                <w:szCs w:val="26"/>
              </w:rPr>
            </w:pPr>
            <w:r>
              <w:rPr>
                <w:b/>
                <w:bCs/>
                <w:iCs/>
                <w:sz w:val="20"/>
                <w:szCs w:val="26"/>
              </w:rPr>
              <w:t>Бударгин Олег Михайлович (П</w:t>
            </w:r>
            <w:r w:rsidR="006B4FAE" w:rsidRPr="004761E0">
              <w:rPr>
                <w:b/>
                <w:bCs/>
                <w:iCs/>
                <w:sz w:val="20"/>
                <w:szCs w:val="26"/>
              </w:rPr>
              <w:t>редседатель Совета директоров)</w:t>
            </w:r>
          </w:p>
        </w:tc>
      </w:tr>
      <w:tr w:rsidR="006B4FAE" w:rsidRPr="004761E0" w:rsidTr="006B4FAE">
        <w:tc>
          <w:tcPr>
            <w:tcW w:w="144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B4FAE" w:rsidRPr="004761E0" w:rsidRDefault="006B4FAE" w:rsidP="006B4FAE">
            <w:pPr>
              <w:ind w:firstLine="0"/>
              <w:jc w:val="left"/>
              <w:rPr>
                <w:b/>
                <w:sz w:val="20"/>
                <w:szCs w:val="20"/>
              </w:rPr>
            </w:pPr>
            <w:r w:rsidRPr="004761E0">
              <w:rPr>
                <w:sz w:val="20"/>
                <w:szCs w:val="26"/>
              </w:rPr>
              <w:t>Все должности, занимаемые данным лицом в Обществе и других организациях за последние 5 лет и в настоящее время в хронологическом порядке, в т.ч. по совместительству:</w:t>
            </w:r>
          </w:p>
        </w:tc>
      </w:tr>
      <w:tr w:rsidR="006B4FAE" w:rsidRPr="004761E0" w:rsidTr="006B4FAE">
        <w:tc>
          <w:tcPr>
            <w:tcW w:w="1843" w:type="dxa"/>
            <w:gridSpan w:val="2"/>
            <w:tcBorders>
              <w:top w:val="single" w:sz="4" w:space="0" w:color="auto"/>
              <w:left w:val="single" w:sz="4" w:space="0" w:color="auto"/>
              <w:bottom w:val="single" w:sz="4" w:space="0" w:color="FFFFFF"/>
              <w:right w:val="single" w:sz="4" w:space="0" w:color="FFFFFF"/>
            </w:tcBorders>
            <w:shd w:val="clear" w:color="auto" w:fill="0F243E"/>
            <w:vAlign w:val="center"/>
          </w:tcPr>
          <w:p w:rsidR="006B4FAE" w:rsidRPr="004761E0" w:rsidRDefault="006B4FAE" w:rsidP="006B4FAE">
            <w:pPr>
              <w:ind w:firstLine="0"/>
              <w:jc w:val="center"/>
              <w:rPr>
                <w:b/>
                <w:sz w:val="20"/>
                <w:szCs w:val="20"/>
              </w:rPr>
            </w:pPr>
            <w:r w:rsidRPr="004761E0">
              <w:rPr>
                <w:b/>
                <w:sz w:val="20"/>
                <w:szCs w:val="20"/>
              </w:rPr>
              <w:t>Период</w:t>
            </w:r>
          </w:p>
        </w:tc>
        <w:tc>
          <w:tcPr>
            <w:tcW w:w="8080" w:type="dxa"/>
            <w:vMerge w:val="restart"/>
            <w:tcBorders>
              <w:top w:val="single" w:sz="4" w:space="0" w:color="auto"/>
              <w:left w:val="single" w:sz="4" w:space="0" w:color="FFFFFF"/>
              <w:bottom w:val="single" w:sz="4" w:space="0" w:color="FFFFFF"/>
              <w:right w:val="single" w:sz="4" w:space="0" w:color="FFFFFF"/>
            </w:tcBorders>
            <w:shd w:val="clear" w:color="auto" w:fill="0F243E"/>
            <w:vAlign w:val="center"/>
          </w:tcPr>
          <w:p w:rsidR="006B4FAE" w:rsidRPr="004761E0" w:rsidRDefault="006B4FAE" w:rsidP="006B4FAE">
            <w:pPr>
              <w:ind w:firstLine="0"/>
              <w:jc w:val="left"/>
              <w:rPr>
                <w:b/>
                <w:sz w:val="20"/>
                <w:szCs w:val="20"/>
              </w:rPr>
            </w:pPr>
            <w:r w:rsidRPr="004761E0">
              <w:rPr>
                <w:b/>
                <w:sz w:val="20"/>
                <w:szCs w:val="20"/>
              </w:rPr>
              <w:t>Наименование организации</w:t>
            </w:r>
          </w:p>
        </w:tc>
        <w:tc>
          <w:tcPr>
            <w:tcW w:w="4536" w:type="dxa"/>
            <w:vMerge w:val="restart"/>
            <w:tcBorders>
              <w:top w:val="single" w:sz="4" w:space="0" w:color="auto"/>
              <w:left w:val="single" w:sz="4" w:space="0" w:color="FFFFFF"/>
              <w:bottom w:val="single" w:sz="4" w:space="0" w:color="FFFFFF"/>
              <w:right w:val="single" w:sz="4" w:space="0" w:color="auto"/>
            </w:tcBorders>
            <w:shd w:val="clear" w:color="auto" w:fill="0F243E"/>
            <w:vAlign w:val="center"/>
          </w:tcPr>
          <w:p w:rsidR="006B4FAE" w:rsidRPr="004761E0" w:rsidRDefault="006B4FAE" w:rsidP="006B4FAE">
            <w:pPr>
              <w:ind w:firstLine="0"/>
              <w:jc w:val="left"/>
              <w:rPr>
                <w:b/>
                <w:sz w:val="20"/>
                <w:szCs w:val="20"/>
              </w:rPr>
            </w:pPr>
            <w:r w:rsidRPr="004761E0">
              <w:rPr>
                <w:b/>
                <w:sz w:val="20"/>
                <w:szCs w:val="20"/>
              </w:rPr>
              <w:t>Должность</w:t>
            </w:r>
          </w:p>
        </w:tc>
      </w:tr>
      <w:tr w:rsidR="006B4FAE" w:rsidRPr="004761E0" w:rsidTr="006B4FAE">
        <w:tc>
          <w:tcPr>
            <w:tcW w:w="851" w:type="dxa"/>
            <w:tcBorders>
              <w:top w:val="single" w:sz="4" w:space="0" w:color="FFFFFF"/>
              <w:left w:val="single" w:sz="4" w:space="0" w:color="auto"/>
              <w:bottom w:val="single" w:sz="4" w:space="0" w:color="auto"/>
              <w:right w:val="single" w:sz="4" w:space="0" w:color="FFFFFF"/>
            </w:tcBorders>
            <w:shd w:val="clear" w:color="auto" w:fill="0F243E"/>
            <w:vAlign w:val="center"/>
          </w:tcPr>
          <w:p w:rsidR="006B4FAE" w:rsidRPr="004761E0" w:rsidRDefault="006B4FAE" w:rsidP="006B4FAE">
            <w:pPr>
              <w:ind w:firstLine="0"/>
              <w:jc w:val="center"/>
              <w:rPr>
                <w:b/>
                <w:sz w:val="20"/>
                <w:szCs w:val="20"/>
              </w:rPr>
            </w:pPr>
            <w:r w:rsidRPr="004761E0">
              <w:rPr>
                <w:b/>
                <w:sz w:val="20"/>
                <w:szCs w:val="20"/>
              </w:rPr>
              <w:t>с</w:t>
            </w:r>
          </w:p>
        </w:tc>
        <w:tc>
          <w:tcPr>
            <w:tcW w:w="992" w:type="dxa"/>
            <w:tcBorders>
              <w:top w:val="single" w:sz="4" w:space="0" w:color="FFFFFF"/>
              <w:left w:val="single" w:sz="4" w:space="0" w:color="FFFFFF"/>
              <w:bottom w:val="single" w:sz="4" w:space="0" w:color="auto"/>
              <w:right w:val="single" w:sz="4" w:space="0" w:color="FFFFFF"/>
            </w:tcBorders>
            <w:shd w:val="clear" w:color="auto" w:fill="0F243E"/>
            <w:vAlign w:val="center"/>
          </w:tcPr>
          <w:p w:rsidR="006B4FAE" w:rsidRPr="004761E0" w:rsidRDefault="006B4FAE" w:rsidP="006B4FAE">
            <w:pPr>
              <w:ind w:firstLine="0"/>
              <w:jc w:val="center"/>
              <w:rPr>
                <w:b/>
                <w:sz w:val="20"/>
                <w:szCs w:val="20"/>
              </w:rPr>
            </w:pPr>
            <w:r w:rsidRPr="004761E0">
              <w:rPr>
                <w:b/>
                <w:sz w:val="20"/>
                <w:szCs w:val="20"/>
              </w:rPr>
              <w:t>по</w:t>
            </w:r>
          </w:p>
        </w:tc>
        <w:tc>
          <w:tcPr>
            <w:tcW w:w="8080" w:type="dxa"/>
            <w:vMerge/>
            <w:tcBorders>
              <w:top w:val="single" w:sz="4" w:space="0" w:color="FFFFFF"/>
              <w:left w:val="single" w:sz="4" w:space="0" w:color="FFFFFF"/>
              <w:bottom w:val="single" w:sz="4" w:space="0" w:color="auto"/>
              <w:right w:val="single" w:sz="4" w:space="0" w:color="FFFFFF"/>
            </w:tcBorders>
            <w:shd w:val="clear" w:color="auto" w:fill="0F243E"/>
            <w:vAlign w:val="center"/>
          </w:tcPr>
          <w:p w:rsidR="006B4FAE" w:rsidRPr="004761E0" w:rsidRDefault="006B4FAE" w:rsidP="006B4FAE">
            <w:pPr>
              <w:jc w:val="center"/>
              <w:rPr>
                <w:sz w:val="20"/>
                <w:szCs w:val="20"/>
              </w:rPr>
            </w:pPr>
          </w:p>
        </w:tc>
        <w:tc>
          <w:tcPr>
            <w:tcW w:w="4536" w:type="dxa"/>
            <w:vMerge/>
            <w:tcBorders>
              <w:top w:val="single" w:sz="4" w:space="0" w:color="FFFFFF"/>
              <w:left w:val="single" w:sz="4" w:space="0" w:color="FFFFFF"/>
              <w:bottom w:val="single" w:sz="4" w:space="0" w:color="auto"/>
              <w:right w:val="single" w:sz="4" w:space="0" w:color="auto"/>
            </w:tcBorders>
            <w:shd w:val="clear" w:color="auto" w:fill="0F243E"/>
            <w:vAlign w:val="center"/>
          </w:tcPr>
          <w:p w:rsidR="006B4FAE" w:rsidRPr="004761E0" w:rsidRDefault="006B4FAE" w:rsidP="006B4FAE">
            <w:pPr>
              <w:jc w:val="center"/>
              <w:rPr>
                <w:sz w:val="20"/>
                <w:szCs w:val="20"/>
              </w:rPr>
            </w:pPr>
          </w:p>
        </w:tc>
      </w:tr>
      <w:tr w:rsidR="006B4FAE" w:rsidRPr="004761E0" w:rsidTr="006B4FAE">
        <w:tc>
          <w:tcPr>
            <w:tcW w:w="851" w:type="dxa"/>
            <w:tcBorders>
              <w:top w:val="single" w:sz="4" w:space="0" w:color="auto"/>
            </w:tcBorders>
            <w:shd w:val="clear" w:color="auto" w:fill="auto"/>
          </w:tcPr>
          <w:p w:rsidR="006B4FAE" w:rsidRPr="004761E0" w:rsidRDefault="006B4FAE" w:rsidP="006B4FAE">
            <w:pPr>
              <w:ind w:firstLine="0"/>
              <w:jc w:val="left"/>
              <w:rPr>
                <w:sz w:val="20"/>
                <w:szCs w:val="20"/>
              </w:rPr>
            </w:pPr>
            <w:r w:rsidRPr="004761E0">
              <w:rPr>
                <w:sz w:val="20"/>
                <w:szCs w:val="20"/>
              </w:rPr>
              <w:t>2007</w:t>
            </w:r>
          </w:p>
        </w:tc>
        <w:tc>
          <w:tcPr>
            <w:tcW w:w="992" w:type="dxa"/>
            <w:tcBorders>
              <w:top w:val="single" w:sz="4" w:space="0" w:color="auto"/>
            </w:tcBorders>
            <w:shd w:val="clear" w:color="auto" w:fill="auto"/>
          </w:tcPr>
          <w:p w:rsidR="006B4FAE" w:rsidRPr="004761E0" w:rsidRDefault="006B4FAE" w:rsidP="006B4FAE">
            <w:pPr>
              <w:ind w:firstLine="0"/>
              <w:jc w:val="left"/>
              <w:rPr>
                <w:sz w:val="20"/>
                <w:szCs w:val="20"/>
              </w:rPr>
            </w:pPr>
            <w:r w:rsidRPr="004761E0">
              <w:rPr>
                <w:sz w:val="20"/>
                <w:szCs w:val="20"/>
              </w:rPr>
              <w:t>2009</w:t>
            </w:r>
          </w:p>
        </w:tc>
        <w:tc>
          <w:tcPr>
            <w:tcW w:w="8080" w:type="dxa"/>
            <w:tcBorders>
              <w:top w:val="single" w:sz="4" w:space="0" w:color="auto"/>
            </w:tcBorders>
            <w:shd w:val="clear" w:color="auto" w:fill="auto"/>
          </w:tcPr>
          <w:p w:rsidR="006B4FAE" w:rsidRPr="004761E0" w:rsidRDefault="006B4FAE" w:rsidP="006B4FAE">
            <w:pPr>
              <w:ind w:firstLine="0"/>
              <w:jc w:val="left"/>
              <w:rPr>
                <w:sz w:val="20"/>
                <w:szCs w:val="20"/>
              </w:rPr>
            </w:pPr>
            <w:r w:rsidRPr="004761E0">
              <w:rPr>
                <w:sz w:val="20"/>
                <w:szCs w:val="20"/>
              </w:rPr>
              <w:t>Сибирский федеральный округ</w:t>
            </w:r>
          </w:p>
        </w:tc>
        <w:tc>
          <w:tcPr>
            <w:tcW w:w="4536" w:type="dxa"/>
            <w:tcBorders>
              <w:top w:val="single" w:sz="4" w:space="0" w:color="auto"/>
            </w:tcBorders>
            <w:shd w:val="clear" w:color="auto" w:fill="auto"/>
          </w:tcPr>
          <w:p w:rsidR="006B4FAE" w:rsidRPr="004761E0" w:rsidRDefault="006B4FAE" w:rsidP="006B4FAE">
            <w:pPr>
              <w:ind w:firstLine="0"/>
              <w:jc w:val="left"/>
              <w:rPr>
                <w:sz w:val="20"/>
                <w:szCs w:val="20"/>
              </w:rPr>
            </w:pPr>
            <w:r w:rsidRPr="004761E0">
              <w:rPr>
                <w:sz w:val="20"/>
                <w:szCs w:val="20"/>
              </w:rPr>
              <w:t>Помощник Полномочного представителя Президента РФ</w:t>
            </w:r>
          </w:p>
        </w:tc>
      </w:tr>
      <w:tr w:rsidR="006B4FAE" w:rsidRPr="004761E0" w:rsidTr="006B4FAE">
        <w:tc>
          <w:tcPr>
            <w:tcW w:w="851" w:type="dxa"/>
            <w:shd w:val="clear" w:color="auto" w:fill="auto"/>
          </w:tcPr>
          <w:p w:rsidR="006B4FAE" w:rsidRPr="004761E0" w:rsidRDefault="006B4FAE" w:rsidP="006B4FAE">
            <w:pPr>
              <w:ind w:firstLine="0"/>
              <w:jc w:val="left"/>
              <w:rPr>
                <w:sz w:val="20"/>
                <w:szCs w:val="20"/>
              </w:rPr>
            </w:pPr>
            <w:r w:rsidRPr="004761E0">
              <w:rPr>
                <w:sz w:val="20"/>
                <w:szCs w:val="20"/>
              </w:rPr>
              <w:t>2009</w:t>
            </w:r>
          </w:p>
        </w:tc>
        <w:tc>
          <w:tcPr>
            <w:tcW w:w="992" w:type="dxa"/>
            <w:shd w:val="clear" w:color="auto" w:fill="auto"/>
          </w:tcPr>
          <w:p w:rsidR="006B4FAE" w:rsidRPr="004761E0" w:rsidRDefault="006B4FAE" w:rsidP="006B4FAE">
            <w:pPr>
              <w:ind w:firstLine="0"/>
              <w:jc w:val="left"/>
              <w:rPr>
                <w:sz w:val="20"/>
                <w:szCs w:val="20"/>
              </w:rPr>
            </w:pPr>
            <w:r w:rsidRPr="004761E0">
              <w:rPr>
                <w:sz w:val="20"/>
                <w:szCs w:val="20"/>
              </w:rPr>
              <w:t>2009</w:t>
            </w:r>
          </w:p>
        </w:tc>
        <w:tc>
          <w:tcPr>
            <w:tcW w:w="8080" w:type="dxa"/>
            <w:shd w:val="clear" w:color="auto" w:fill="auto"/>
          </w:tcPr>
          <w:p w:rsidR="006B4FAE" w:rsidRPr="004761E0" w:rsidRDefault="0008080E" w:rsidP="006B4FAE">
            <w:pPr>
              <w:ind w:firstLine="0"/>
              <w:jc w:val="left"/>
              <w:rPr>
                <w:sz w:val="20"/>
                <w:szCs w:val="20"/>
              </w:rPr>
            </w:pPr>
            <w:r>
              <w:rPr>
                <w:sz w:val="20"/>
                <w:szCs w:val="20"/>
              </w:rPr>
              <w:t>ОАО </w:t>
            </w:r>
            <w:r w:rsidR="006B4FAE" w:rsidRPr="004761E0">
              <w:rPr>
                <w:sz w:val="20"/>
                <w:szCs w:val="20"/>
              </w:rPr>
              <w:t>«ФСК ЕЭС»</w:t>
            </w:r>
          </w:p>
        </w:tc>
        <w:tc>
          <w:tcPr>
            <w:tcW w:w="4536" w:type="dxa"/>
            <w:shd w:val="clear" w:color="auto" w:fill="auto"/>
          </w:tcPr>
          <w:p w:rsidR="006B4FAE" w:rsidRPr="004761E0" w:rsidRDefault="006B4FAE" w:rsidP="006B4FAE">
            <w:pPr>
              <w:ind w:firstLine="0"/>
              <w:jc w:val="left"/>
              <w:rPr>
                <w:sz w:val="20"/>
                <w:szCs w:val="20"/>
              </w:rPr>
            </w:pPr>
            <w:r w:rsidRPr="004761E0">
              <w:rPr>
                <w:sz w:val="20"/>
                <w:szCs w:val="20"/>
              </w:rPr>
              <w:t>И.о. Председателя Правления</w:t>
            </w:r>
          </w:p>
        </w:tc>
      </w:tr>
      <w:tr w:rsidR="006B4FAE" w:rsidRPr="004761E0" w:rsidTr="006B4FAE">
        <w:tc>
          <w:tcPr>
            <w:tcW w:w="851" w:type="dxa"/>
            <w:shd w:val="clear" w:color="auto" w:fill="auto"/>
          </w:tcPr>
          <w:p w:rsidR="006B4FAE" w:rsidRPr="004761E0" w:rsidRDefault="006B4FAE" w:rsidP="006B4FAE">
            <w:pPr>
              <w:ind w:firstLine="0"/>
              <w:jc w:val="left"/>
              <w:rPr>
                <w:sz w:val="20"/>
                <w:szCs w:val="20"/>
              </w:rPr>
            </w:pPr>
            <w:r w:rsidRPr="004761E0">
              <w:rPr>
                <w:sz w:val="20"/>
                <w:szCs w:val="20"/>
              </w:rPr>
              <w:t>2009</w:t>
            </w:r>
          </w:p>
        </w:tc>
        <w:tc>
          <w:tcPr>
            <w:tcW w:w="992" w:type="dxa"/>
            <w:shd w:val="clear" w:color="auto" w:fill="auto"/>
          </w:tcPr>
          <w:p w:rsidR="006B4FAE" w:rsidRPr="004761E0" w:rsidRDefault="006B4FAE" w:rsidP="006B4FAE">
            <w:pPr>
              <w:ind w:firstLine="0"/>
              <w:jc w:val="left"/>
              <w:rPr>
                <w:sz w:val="20"/>
                <w:szCs w:val="20"/>
              </w:rPr>
            </w:pPr>
            <w:r w:rsidRPr="004761E0">
              <w:rPr>
                <w:sz w:val="20"/>
                <w:szCs w:val="20"/>
              </w:rPr>
              <w:t>2013</w:t>
            </w:r>
          </w:p>
        </w:tc>
        <w:tc>
          <w:tcPr>
            <w:tcW w:w="8080" w:type="dxa"/>
            <w:shd w:val="clear" w:color="auto" w:fill="auto"/>
          </w:tcPr>
          <w:p w:rsidR="006B4FAE" w:rsidRPr="004761E0" w:rsidRDefault="0008080E" w:rsidP="006B4FAE">
            <w:pPr>
              <w:ind w:firstLine="0"/>
              <w:jc w:val="left"/>
              <w:rPr>
                <w:sz w:val="20"/>
                <w:szCs w:val="20"/>
              </w:rPr>
            </w:pPr>
            <w:r>
              <w:rPr>
                <w:sz w:val="20"/>
                <w:szCs w:val="20"/>
              </w:rPr>
              <w:t>ОАО </w:t>
            </w:r>
            <w:r w:rsidR="006B4FAE" w:rsidRPr="004761E0">
              <w:rPr>
                <w:sz w:val="20"/>
                <w:szCs w:val="20"/>
              </w:rPr>
              <w:t>«ФСК «ЕЭС»</w:t>
            </w:r>
          </w:p>
        </w:tc>
        <w:tc>
          <w:tcPr>
            <w:tcW w:w="4536" w:type="dxa"/>
            <w:shd w:val="clear" w:color="auto" w:fill="auto"/>
          </w:tcPr>
          <w:p w:rsidR="006B4FAE" w:rsidRPr="004761E0" w:rsidRDefault="006B4FAE" w:rsidP="006B4FAE">
            <w:pPr>
              <w:ind w:firstLine="0"/>
              <w:jc w:val="left"/>
              <w:rPr>
                <w:sz w:val="20"/>
                <w:szCs w:val="20"/>
              </w:rPr>
            </w:pPr>
            <w:r w:rsidRPr="004761E0">
              <w:rPr>
                <w:sz w:val="20"/>
                <w:szCs w:val="20"/>
              </w:rPr>
              <w:t>Председатель Правления</w:t>
            </w:r>
          </w:p>
        </w:tc>
      </w:tr>
      <w:tr w:rsidR="006B4FAE" w:rsidRPr="004761E0" w:rsidTr="006B4FAE">
        <w:tc>
          <w:tcPr>
            <w:tcW w:w="851" w:type="dxa"/>
            <w:shd w:val="clear" w:color="auto" w:fill="auto"/>
          </w:tcPr>
          <w:p w:rsidR="006B4FAE" w:rsidRPr="004761E0" w:rsidRDefault="006B4FAE" w:rsidP="006B4FAE">
            <w:pPr>
              <w:ind w:firstLine="0"/>
              <w:jc w:val="left"/>
              <w:rPr>
                <w:sz w:val="20"/>
                <w:szCs w:val="20"/>
              </w:rPr>
            </w:pPr>
            <w:r w:rsidRPr="004761E0">
              <w:rPr>
                <w:sz w:val="20"/>
                <w:szCs w:val="20"/>
              </w:rPr>
              <w:t>2010</w:t>
            </w:r>
          </w:p>
        </w:tc>
        <w:tc>
          <w:tcPr>
            <w:tcW w:w="992" w:type="dxa"/>
            <w:shd w:val="clear" w:color="auto" w:fill="auto"/>
          </w:tcPr>
          <w:p w:rsidR="006B4FAE" w:rsidRPr="004761E0" w:rsidRDefault="006B4FAE" w:rsidP="006B4FAE">
            <w:pPr>
              <w:ind w:firstLine="0"/>
              <w:jc w:val="left"/>
              <w:rPr>
                <w:sz w:val="20"/>
                <w:szCs w:val="20"/>
              </w:rPr>
            </w:pPr>
            <w:r w:rsidRPr="004761E0">
              <w:rPr>
                <w:sz w:val="20"/>
                <w:szCs w:val="20"/>
              </w:rPr>
              <w:t>2011</w:t>
            </w:r>
          </w:p>
        </w:tc>
        <w:tc>
          <w:tcPr>
            <w:tcW w:w="8080" w:type="dxa"/>
            <w:shd w:val="clear" w:color="auto" w:fill="auto"/>
          </w:tcPr>
          <w:p w:rsidR="006B4FAE" w:rsidRPr="004761E0" w:rsidRDefault="0008080E" w:rsidP="006B4FAE">
            <w:pPr>
              <w:ind w:firstLine="0"/>
              <w:jc w:val="left"/>
              <w:rPr>
                <w:sz w:val="20"/>
                <w:szCs w:val="20"/>
              </w:rPr>
            </w:pPr>
            <w:r>
              <w:rPr>
                <w:sz w:val="20"/>
                <w:szCs w:val="20"/>
              </w:rPr>
              <w:t>ЗАО </w:t>
            </w:r>
            <w:r w:rsidR="006B4FAE" w:rsidRPr="004761E0">
              <w:rPr>
                <w:sz w:val="20"/>
                <w:szCs w:val="20"/>
              </w:rPr>
              <w:t>«АПБЭ»</w:t>
            </w:r>
          </w:p>
        </w:tc>
        <w:tc>
          <w:tcPr>
            <w:tcW w:w="4536" w:type="dxa"/>
            <w:shd w:val="clear" w:color="auto" w:fill="auto"/>
          </w:tcPr>
          <w:p w:rsidR="006B4FAE" w:rsidRPr="004761E0" w:rsidRDefault="006B4FAE" w:rsidP="006B4FAE">
            <w:pPr>
              <w:ind w:firstLine="0"/>
              <w:jc w:val="left"/>
              <w:rPr>
                <w:sz w:val="20"/>
                <w:szCs w:val="20"/>
              </w:rPr>
            </w:pPr>
            <w:r w:rsidRPr="004761E0">
              <w:rPr>
                <w:sz w:val="20"/>
                <w:szCs w:val="20"/>
              </w:rPr>
              <w:t>Член Совета директоров</w:t>
            </w:r>
          </w:p>
        </w:tc>
      </w:tr>
      <w:tr w:rsidR="006B4FAE" w:rsidRPr="004761E0" w:rsidTr="006B4FAE">
        <w:tc>
          <w:tcPr>
            <w:tcW w:w="851" w:type="dxa"/>
            <w:shd w:val="clear" w:color="auto" w:fill="auto"/>
          </w:tcPr>
          <w:p w:rsidR="006B4FAE" w:rsidRPr="004761E0" w:rsidRDefault="006B4FAE" w:rsidP="006B4FAE">
            <w:pPr>
              <w:ind w:firstLine="0"/>
              <w:jc w:val="left"/>
              <w:rPr>
                <w:sz w:val="20"/>
                <w:szCs w:val="20"/>
              </w:rPr>
            </w:pPr>
            <w:r w:rsidRPr="004761E0">
              <w:rPr>
                <w:sz w:val="20"/>
                <w:szCs w:val="20"/>
              </w:rPr>
              <w:t>2010</w:t>
            </w:r>
          </w:p>
        </w:tc>
        <w:tc>
          <w:tcPr>
            <w:tcW w:w="992" w:type="dxa"/>
            <w:shd w:val="clear" w:color="auto" w:fill="auto"/>
          </w:tcPr>
          <w:p w:rsidR="006B4FAE" w:rsidRPr="004761E0" w:rsidRDefault="006B4FAE" w:rsidP="006B4FAE">
            <w:pPr>
              <w:ind w:firstLine="0"/>
              <w:jc w:val="left"/>
              <w:rPr>
                <w:sz w:val="20"/>
                <w:szCs w:val="20"/>
              </w:rPr>
            </w:pPr>
            <w:r w:rsidRPr="004761E0">
              <w:rPr>
                <w:sz w:val="20"/>
                <w:szCs w:val="20"/>
              </w:rPr>
              <w:t>наст.вр.</w:t>
            </w:r>
          </w:p>
        </w:tc>
        <w:tc>
          <w:tcPr>
            <w:tcW w:w="8080" w:type="dxa"/>
            <w:shd w:val="clear" w:color="auto" w:fill="auto"/>
          </w:tcPr>
          <w:p w:rsidR="006B4FAE" w:rsidRPr="004761E0" w:rsidRDefault="0008080E" w:rsidP="006B4FAE">
            <w:pPr>
              <w:ind w:firstLine="0"/>
              <w:jc w:val="left"/>
              <w:rPr>
                <w:sz w:val="20"/>
                <w:szCs w:val="20"/>
              </w:rPr>
            </w:pPr>
            <w:r>
              <w:rPr>
                <w:sz w:val="20"/>
                <w:szCs w:val="20"/>
              </w:rPr>
              <w:t>ОАО </w:t>
            </w:r>
            <w:r w:rsidR="006B4FAE" w:rsidRPr="004761E0">
              <w:rPr>
                <w:sz w:val="20"/>
                <w:szCs w:val="20"/>
              </w:rPr>
              <w:t>«ФСК ЕЭС»</w:t>
            </w:r>
          </w:p>
        </w:tc>
        <w:tc>
          <w:tcPr>
            <w:tcW w:w="4536" w:type="dxa"/>
            <w:shd w:val="clear" w:color="auto" w:fill="auto"/>
          </w:tcPr>
          <w:p w:rsidR="006B4FAE" w:rsidRPr="004761E0" w:rsidRDefault="006B4FAE" w:rsidP="006B4FAE">
            <w:pPr>
              <w:ind w:firstLine="0"/>
              <w:jc w:val="left"/>
              <w:rPr>
                <w:sz w:val="20"/>
                <w:szCs w:val="20"/>
              </w:rPr>
            </w:pPr>
            <w:r w:rsidRPr="004761E0">
              <w:rPr>
                <w:sz w:val="20"/>
                <w:szCs w:val="20"/>
              </w:rPr>
              <w:t>Член Совета директоров</w:t>
            </w:r>
          </w:p>
        </w:tc>
      </w:tr>
      <w:tr w:rsidR="006B4FAE" w:rsidRPr="004761E0" w:rsidTr="006B4FAE">
        <w:tc>
          <w:tcPr>
            <w:tcW w:w="851" w:type="dxa"/>
            <w:shd w:val="clear" w:color="auto" w:fill="auto"/>
          </w:tcPr>
          <w:p w:rsidR="006B4FAE" w:rsidRPr="004761E0" w:rsidRDefault="006B4FAE" w:rsidP="006B4FAE">
            <w:pPr>
              <w:ind w:firstLine="0"/>
              <w:jc w:val="left"/>
              <w:rPr>
                <w:sz w:val="20"/>
                <w:szCs w:val="20"/>
              </w:rPr>
            </w:pPr>
            <w:r w:rsidRPr="004761E0">
              <w:rPr>
                <w:sz w:val="20"/>
                <w:szCs w:val="20"/>
              </w:rPr>
              <w:t>2011</w:t>
            </w:r>
          </w:p>
        </w:tc>
        <w:tc>
          <w:tcPr>
            <w:tcW w:w="992" w:type="dxa"/>
            <w:shd w:val="clear" w:color="auto" w:fill="auto"/>
          </w:tcPr>
          <w:p w:rsidR="006B4FAE" w:rsidRPr="004761E0" w:rsidRDefault="006B4FAE" w:rsidP="006B4FAE">
            <w:pPr>
              <w:ind w:firstLine="0"/>
              <w:jc w:val="left"/>
              <w:rPr>
                <w:sz w:val="20"/>
                <w:szCs w:val="20"/>
              </w:rPr>
            </w:pPr>
            <w:r w:rsidRPr="004761E0">
              <w:rPr>
                <w:sz w:val="20"/>
                <w:szCs w:val="20"/>
              </w:rPr>
              <w:t>наст.вр.</w:t>
            </w:r>
          </w:p>
        </w:tc>
        <w:tc>
          <w:tcPr>
            <w:tcW w:w="8080" w:type="dxa"/>
            <w:shd w:val="clear" w:color="auto" w:fill="auto"/>
          </w:tcPr>
          <w:p w:rsidR="006B4FAE" w:rsidRPr="004761E0" w:rsidRDefault="0008080E" w:rsidP="006B4FAE">
            <w:pPr>
              <w:ind w:firstLine="0"/>
              <w:jc w:val="left"/>
              <w:rPr>
                <w:sz w:val="20"/>
                <w:szCs w:val="20"/>
              </w:rPr>
            </w:pPr>
            <w:r>
              <w:rPr>
                <w:sz w:val="20"/>
                <w:szCs w:val="20"/>
              </w:rPr>
              <w:t>ОАО </w:t>
            </w:r>
            <w:r w:rsidR="006B4FAE" w:rsidRPr="004761E0">
              <w:rPr>
                <w:sz w:val="20"/>
                <w:szCs w:val="20"/>
              </w:rPr>
              <w:t>«ВБРР»</w:t>
            </w:r>
          </w:p>
        </w:tc>
        <w:tc>
          <w:tcPr>
            <w:tcW w:w="4536" w:type="dxa"/>
            <w:shd w:val="clear" w:color="auto" w:fill="auto"/>
          </w:tcPr>
          <w:p w:rsidR="006B4FAE" w:rsidRPr="004761E0" w:rsidRDefault="006B4FAE" w:rsidP="006B4FAE">
            <w:pPr>
              <w:ind w:firstLine="0"/>
              <w:jc w:val="left"/>
              <w:rPr>
                <w:sz w:val="20"/>
                <w:szCs w:val="20"/>
              </w:rPr>
            </w:pPr>
            <w:r w:rsidRPr="004761E0">
              <w:rPr>
                <w:sz w:val="20"/>
                <w:szCs w:val="20"/>
              </w:rPr>
              <w:t>Член Наблюдательного совета</w:t>
            </w:r>
          </w:p>
        </w:tc>
      </w:tr>
      <w:tr w:rsidR="006B4FAE" w:rsidRPr="004761E0" w:rsidTr="006B4FAE">
        <w:tc>
          <w:tcPr>
            <w:tcW w:w="851" w:type="dxa"/>
            <w:shd w:val="clear" w:color="auto" w:fill="auto"/>
          </w:tcPr>
          <w:p w:rsidR="006B4FAE" w:rsidRPr="004761E0" w:rsidRDefault="006B4FAE" w:rsidP="006B4FAE">
            <w:pPr>
              <w:ind w:firstLine="0"/>
              <w:jc w:val="left"/>
              <w:rPr>
                <w:sz w:val="20"/>
                <w:szCs w:val="20"/>
              </w:rPr>
            </w:pPr>
            <w:r w:rsidRPr="004761E0">
              <w:rPr>
                <w:sz w:val="20"/>
                <w:szCs w:val="20"/>
              </w:rPr>
              <w:t>2011</w:t>
            </w:r>
          </w:p>
        </w:tc>
        <w:tc>
          <w:tcPr>
            <w:tcW w:w="992" w:type="dxa"/>
            <w:shd w:val="clear" w:color="auto" w:fill="auto"/>
          </w:tcPr>
          <w:p w:rsidR="006B4FAE" w:rsidRPr="004761E0" w:rsidRDefault="006B4FAE" w:rsidP="006B4FAE">
            <w:pPr>
              <w:ind w:firstLine="0"/>
              <w:jc w:val="left"/>
              <w:rPr>
                <w:sz w:val="20"/>
                <w:szCs w:val="20"/>
              </w:rPr>
            </w:pPr>
            <w:r w:rsidRPr="004761E0">
              <w:rPr>
                <w:sz w:val="20"/>
                <w:szCs w:val="20"/>
              </w:rPr>
              <w:t>наст.вр.</w:t>
            </w:r>
          </w:p>
        </w:tc>
        <w:tc>
          <w:tcPr>
            <w:tcW w:w="8080" w:type="dxa"/>
            <w:shd w:val="clear" w:color="auto" w:fill="auto"/>
          </w:tcPr>
          <w:p w:rsidR="006B4FAE" w:rsidRPr="004761E0" w:rsidRDefault="0008080E" w:rsidP="006B4FAE">
            <w:pPr>
              <w:ind w:firstLine="0"/>
              <w:jc w:val="left"/>
              <w:rPr>
                <w:sz w:val="20"/>
                <w:szCs w:val="20"/>
              </w:rPr>
            </w:pPr>
            <w:r>
              <w:rPr>
                <w:sz w:val="20"/>
                <w:szCs w:val="20"/>
              </w:rPr>
              <w:t>ОАО </w:t>
            </w:r>
            <w:r w:rsidR="006B4FAE" w:rsidRPr="004761E0">
              <w:rPr>
                <w:sz w:val="20"/>
                <w:szCs w:val="20"/>
              </w:rPr>
              <w:t>«ИНТЕР РАО ЕЭС»</w:t>
            </w:r>
          </w:p>
        </w:tc>
        <w:tc>
          <w:tcPr>
            <w:tcW w:w="4536" w:type="dxa"/>
            <w:shd w:val="clear" w:color="auto" w:fill="auto"/>
          </w:tcPr>
          <w:p w:rsidR="006B4FAE" w:rsidRPr="004761E0" w:rsidRDefault="006B4FAE" w:rsidP="006B4FAE">
            <w:pPr>
              <w:ind w:firstLine="0"/>
              <w:jc w:val="left"/>
              <w:rPr>
                <w:sz w:val="20"/>
                <w:szCs w:val="20"/>
              </w:rPr>
            </w:pPr>
            <w:r w:rsidRPr="004761E0">
              <w:rPr>
                <w:sz w:val="20"/>
                <w:szCs w:val="20"/>
              </w:rPr>
              <w:t>Член Совета директоров</w:t>
            </w:r>
          </w:p>
        </w:tc>
      </w:tr>
      <w:tr w:rsidR="006B4FAE" w:rsidRPr="004761E0" w:rsidTr="006B4FAE">
        <w:tc>
          <w:tcPr>
            <w:tcW w:w="851" w:type="dxa"/>
            <w:shd w:val="clear" w:color="auto" w:fill="auto"/>
          </w:tcPr>
          <w:p w:rsidR="006B4FAE" w:rsidRPr="004761E0" w:rsidRDefault="006B4FAE" w:rsidP="006B4FAE">
            <w:pPr>
              <w:ind w:firstLine="0"/>
              <w:jc w:val="left"/>
              <w:rPr>
                <w:sz w:val="20"/>
                <w:szCs w:val="20"/>
              </w:rPr>
            </w:pPr>
            <w:r w:rsidRPr="004761E0">
              <w:rPr>
                <w:sz w:val="20"/>
                <w:szCs w:val="20"/>
              </w:rPr>
              <w:t>2012</w:t>
            </w:r>
          </w:p>
        </w:tc>
        <w:tc>
          <w:tcPr>
            <w:tcW w:w="992" w:type="dxa"/>
            <w:shd w:val="clear" w:color="auto" w:fill="auto"/>
          </w:tcPr>
          <w:p w:rsidR="006B4FAE" w:rsidRPr="004761E0" w:rsidRDefault="006B4FAE" w:rsidP="006B4FAE">
            <w:pPr>
              <w:ind w:firstLine="0"/>
              <w:jc w:val="left"/>
              <w:rPr>
                <w:sz w:val="20"/>
                <w:szCs w:val="20"/>
              </w:rPr>
            </w:pPr>
            <w:r w:rsidRPr="004761E0">
              <w:rPr>
                <w:sz w:val="20"/>
                <w:szCs w:val="20"/>
              </w:rPr>
              <w:t>наст.вр.</w:t>
            </w:r>
          </w:p>
        </w:tc>
        <w:tc>
          <w:tcPr>
            <w:tcW w:w="8080" w:type="dxa"/>
            <w:shd w:val="clear" w:color="auto" w:fill="auto"/>
          </w:tcPr>
          <w:p w:rsidR="006B4FAE" w:rsidRPr="004761E0" w:rsidRDefault="006B4FAE" w:rsidP="006B4FAE">
            <w:pPr>
              <w:ind w:firstLine="0"/>
              <w:jc w:val="left"/>
              <w:rPr>
                <w:sz w:val="20"/>
                <w:szCs w:val="20"/>
              </w:rPr>
            </w:pPr>
            <w:r w:rsidRPr="004761E0">
              <w:rPr>
                <w:sz w:val="20"/>
                <w:szCs w:val="20"/>
              </w:rPr>
              <w:t>НП «Ассоциация предприятий солнечной энергетики»</w:t>
            </w:r>
          </w:p>
        </w:tc>
        <w:tc>
          <w:tcPr>
            <w:tcW w:w="4536" w:type="dxa"/>
            <w:shd w:val="clear" w:color="auto" w:fill="auto"/>
          </w:tcPr>
          <w:p w:rsidR="006B4FAE" w:rsidRPr="004761E0" w:rsidRDefault="006B4FAE" w:rsidP="006B4FAE">
            <w:pPr>
              <w:ind w:firstLine="0"/>
              <w:jc w:val="left"/>
              <w:rPr>
                <w:sz w:val="20"/>
                <w:szCs w:val="20"/>
              </w:rPr>
            </w:pPr>
            <w:r w:rsidRPr="004761E0">
              <w:rPr>
                <w:sz w:val="20"/>
                <w:szCs w:val="20"/>
              </w:rPr>
              <w:t>Председатель Наблюдательного совета</w:t>
            </w:r>
          </w:p>
        </w:tc>
      </w:tr>
      <w:tr w:rsidR="006B4FAE" w:rsidRPr="004761E0" w:rsidTr="006B4FAE">
        <w:tc>
          <w:tcPr>
            <w:tcW w:w="851" w:type="dxa"/>
            <w:shd w:val="clear" w:color="auto" w:fill="auto"/>
          </w:tcPr>
          <w:p w:rsidR="006B4FAE" w:rsidRPr="004761E0" w:rsidRDefault="006B4FAE" w:rsidP="006B4FAE">
            <w:pPr>
              <w:ind w:firstLine="0"/>
              <w:jc w:val="left"/>
              <w:rPr>
                <w:sz w:val="20"/>
                <w:szCs w:val="20"/>
              </w:rPr>
            </w:pPr>
            <w:r w:rsidRPr="004761E0">
              <w:rPr>
                <w:sz w:val="20"/>
                <w:szCs w:val="20"/>
              </w:rPr>
              <w:t>2012</w:t>
            </w:r>
          </w:p>
        </w:tc>
        <w:tc>
          <w:tcPr>
            <w:tcW w:w="992" w:type="dxa"/>
            <w:shd w:val="clear" w:color="auto" w:fill="auto"/>
          </w:tcPr>
          <w:p w:rsidR="006B4FAE" w:rsidRPr="004761E0" w:rsidRDefault="006B4FAE" w:rsidP="006B4FAE">
            <w:pPr>
              <w:ind w:firstLine="0"/>
              <w:jc w:val="left"/>
              <w:rPr>
                <w:sz w:val="20"/>
                <w:szCs w:val="20"/>
              </w:rPr>
            </w:pPr>
            <w:r w:rsidRPr="004761E0">
              <w:rPr>
                <w:sz w:val="20"/>
                <w:szCs w:val="20"/>
              </w:rPr>
              <w:t>наст.вр.</w:t>
            </w:r>
          </w:p>
        </w:tc>
        <w:tc>
          <w:tcPr>
            <w:tcW w:w="8080" w:type="dxa"/>
            <w:shd w:val="clear" w:color="auto" w:fill="auto"/>
          </w:tcPr>
          <w:p w:rsidR="006B4FAE" w:rsidRPr="004761E0" w:rsidRDefault="0008080E" w:rsidP="006B4FAE">
            <w:pPr>
              <w:ind w:firstLine="0"/>
              <w:jc w:val="left"/>
              <w:rPr>
                <w:sz w:val="20"/>
                <w:szCs w:val="20"/>
              </w:rPr>
            </w:pPr>
            <w:r>
              <w:rPr>
                <w:sz w:val="20"/>
                <w:szCs w:val="20"/>
              </w:rPr>
              <w:t>ОАО </w:t>
            </w:r>
            <w:r w:rsidR="006B4FAE" w:rsidRPr="004761E0">
              <w:rPr>
                <w:sz w:val="20"/>
                <w:szCs w:val="20"/>
              </w:rPr>
              <w:t>«Кубаньэнерго»</w:t>
            </w:r>
          </w:p>
        </w:tc>
        <w:tc>
          <w:tcPr>
            <w:tcW w:w="4536" w:type="dxa"/>
            <w:shd w:val="clear" w:color="auto" w:fill="auto"/>
          </w:tcPr>
          <w:p w:rsidR="006B4FAE" w:rsidRPr="004761E0" w:rsidRDefault="006B4FAE" w:rsidP="006B4FAE">
            <w:pPr>
              <w:ind w:firstLine="0"/>
              <w:jc w:val="left"/>
              <w:rPr>
                <w:sz w:val="20"/>
                <w:szCs w:val="20"/>
              </w:rPr>
            </w:pPr>
            <w:r w:rsidRPr="004761E0">
              <w:rPr>
                <w:sz w:val="20"/>
                <w:szCs w:val="20"/>
              </w:rPr>
              <w:t>Председатель Совета директоров</w:t>
            </w:r>
          </w:p>
        </w:tc>
      </w:tr>
      <w:tr w:rsidR="006B4FAE" w:rsidRPr="004761E0" w:rsidTr="006B4FAE">
        <w:tc>
          <w:tcPr>
            <w:tcW w:w="851" w:type="dxa"/>
            <w:shd w:val="clear" w:color="auto" w:fill="auto"/>
          </w:tcPr>
          <w:p w:rsidR="006B4FAE" w:rsidRPr="004761E0" w:rsidRDefault="006B4FAE" w:rsidP="006B4FAE">
            <w:pPr>
              <w:ind w:firstLine="0"/>
              <w:jc w:val="left"/>
              <w:rPr>
                <w:sz w:val="20"/>
                <w:szCs w:val="20"/>
              </w:rPr>
            </w:pPr>
            <w:r w:rsidRPr="004761E0">
              <w:rPr>
                <w:sz w:val="20"/>
                <w:szCs w:val="20"/>
              </w:rPr>
              <w:t>2012</w:t>
            </w:r>
          </w:p>
        </w:tc>
        <w:tc>
          <w:tcPr>
            <w:tcW w:w="992" w:type="dxa"/>
            <w:shd w:val="clear" w:color="auto" w:fill="auto"/>
          </w:tcPr>
          <w:p w:rsidR="006B4FAE" w:rsidRPr="004761E0" w:rsidRDefault="006B4FAE" w:rsidP="006B4FAE">
            <w:pPr>
              <w:ind w:firstLine="0"/>
              <w:jc w:val="left"/>
              <w:rPr>
                <w:sz w:val="20"/>
                <w:szCs w:val="20"/>
              </w:rPr>
            </w:pPr>
            <w:r w:rsidRPr="004761E0">
              <w:rPr>
                <w:sz w:val="20"/>
                <w:szCs w:val="20"/>
              </w:rPr>
              <w:t>наст.вр.</w:t>
            </w:r>
          </w:p>
        </w:tc>
        <w:tc>
          <w:tcPr>
            <w:tcW w:w="8080" w:type="dxa"/>
            <w:shd w:val="clear" w:color="auto" w:fill="auto"/>
          </w:tcPr>
          <w:p w:rsidR="006B4FAE" w:rsidRPr="004761E0" w:rsidRDefault="0008080E" w:rsidP="006B4FAE">
            <w:pPr>
              <w:ind w:firstLine="0"/>
              <w:jc w:val="left"/>
              <w:rPr>
                <w:sz w:val="20"/>
                <w:szCs w:val="20"/>
              </w:rPr>
            </w:pPr>
            <w:r>
              <w:rPr>
                <w:sz w:val="20"/>
                <w:szCs w:val="20"/>
              </w:rPr>
              <w:t>ОАО </w:t>
            </w:r>
            <w:r w:rsidR="006B4FAE" w:rsidRPr="004761E0">
              <w:rPr>
                <w:sz w:val="20"/>
                <w:szCs w:val="20"/>
              </w:rPr>
              <w:t>«МРСК Сибири»</w:t>
            </w:r>
          </w:p>
        </w:tc>
        <w:tc>
          <w:tcPr>
            <w:tcW w:w="4536" w:type="dxa"/>
            <w:shd w:val="clear" w:color="auto" w:fill="auto"/>
          </w:tcPr>
          <w:p w:rsidR="006B4FAE" w:rsidRPr="004761E0" w:rsidRDefault="006B4FAE" w:rsidP="006B4FAE">
            <w:pPr>
              <w:ind w:firstLine="0"/>
              <w:jc w:val="left"/>
              <w:rPr>
                <w:sz w:val="20"/>
                <w:szCs w:val="20"/>
              </w:rPr>
            </w:pPr>
            <w:r w:rsidRPr="004761E0">
              <w:rPr>
                <w:sz w:val="20"/>
                <w:szCs w:val="20"/>
              </w:rPr>
              <w:t>Председатель Совета директоров</w:t>
            </w:r>
          </w:p>
        </w:tc>
      </w:tr>
      <w:tr w:rsidR="006B4FAE" w:rsidRPr="004761E0" w:rsidTr="006B4FAE">
        <w:tc>
          <w:tcPr>
            <w:tcW w:w="851" w:type="dxa"/>
            <w:shd w:val="clear" w:color="auto" w:fill="auto"/>
          </w:tcPr>
          <w:p w:rsidR="006B4FAE" w:rsidRPr="004761E0" w:rsidRDefault="006B4FAE" w:rsidP="006B4FAE">
            <w:pPr>
              <w:ind w:firstLine="0"/>
              <w:jc w:val="left"/>
              <w:rPr>
                <w:sz w:val="20"/>
                <w:szCs w:val="20"/>
              </w:rPr>
            </w:pPr>
            <w:r w:rsidRPr="004761E0">
              <w:rPr>
                <w:sz w:val="20"/>
                <w:szCs w:val="20"/>
              </w:rPr>
              <w:t>2012</w:t>
            </w:r>
          </w:p>
        </w:tc>
        <w:tc>
          <w:tcPr>
            <w:tcW w:w="992" w:type="dxa"/>
            <w:shd w:val="clear" w:color="auto" w:fill="auto"/>
          </w:tcPr>
          <w:p w:rsidR="006B4FAE" w:rsidRPr="004761E0" w:rsidRDefault="006B4FAE" w:rsidP="006B4FAE">
            <w:pPr>
              <w:ind w:firstLine="0"/>
              <w:jc w:val="left"/>
              <w:rPr>
                <w:sz w:val="20"/>
                <w:szCs w:val="20"/>
              </w:rPr>
            </w:pPr>
            <w:r w:rsidRPr="004761E0">
              <w:rPr>
                <w:sz w:val="20"/>
                <w:szCs w:val="20"/>
              </w:rPr>
              <w:t>наст.вр.</w:t>
            </w:r>
          </w:p>
        </w:tc>
        <w:tc>
          <w:tcPr>
            <w:tcW w:w="8080" w:type="dxa"/>
            <w:shd w:val="clear" w:color="auto" w:fill="auto"/>
          </w:tcPr>
          <w:p w:rsidR="006B4FAE" w:rsidRPr="004761E0" w:rsidRDefault="0008080E" w:rsidP="006B4FAE">
            <w:pPr>
              <w:ind w:firstLine="0"/>
              <w:jc w:val="left"/>
              <w:rPr>
                <w:sz w:val="20"/>
                <w:szCs w:val="20"/>
              </w:rPr>
            </w:pPr>
            <w:r>
              <w:rPr>
                <w:sz w:val="20"/>
                <w:szCs w:val="20"/>
              </w:rPr>
              <w:t>ОАО </w:t>
            </w:r>
            <w:r w:rsidR="006B4FAE" w:rsidRPr="004761E0">
              <w:rPr>
                <w:sz w:val="20"/>
                <w:szCs w:val="20"/>
              </w:rPr>
              <w:t>«МОЭСК»</w:t>
            </w:r>
          </w:p>
        </w:tc>
        <w:tc>
          <w:tcPr>
            <w:tcW w:w="4536" w:type="dxa"/>
            <w:shd w:val="clear" w:color="auto" w:fill="auto"/>
          </w:tcPr>
          <w:p w:rsidR="006B4FAE" w:rsidRPr="004761E0" w:rsidRDefault="006B4FAE" w:rsidP="006B4FAE">
            <w:pPr>
              <w:ind w:firstLine="0"/>
              <w:jc w:val="left"/>
              <w:rPr>
                <w:sz w:val="20"/>
                <w:szCs w:val="20"/>
              </w:rPr>
            </w:pPr>
            <w:r w:rsidRPr="004761E0">
              <w:rPr>
                <w:sz w:val="20"/>
                <w:szCs w:val="20"/>
              </w:rPr>
              <w:t>Председатель Совета директоров</w:t>
            </w:r>
          </w:p>
        </w:tc>
      </w:tr>
      <w:tr w:rsidR="006B4FAE" w:rsidRPr="004761E0" w:rsidTr="006B4FAE">
        <w:tc>
          <w:tcPr>
            <w:tcW w:w="851" w:type="dxa"/>
            <w:shd w:val="clear" w:color="auto" w:fill="auto"/>
          </w:tcPr>
          <w:p w:rsidR="006B4FAE" w:rsidRPr="004761E0" w:rsidRDefault="006B4FAE" w:rsidP="006B4FAE">
            <w:pPr>
              <w:ind w:firstLine="0"/>
              <w:jc w:val="left"/>
              <w:rPr>
                <w:sz w:val="20"/>
                <w:szCs w:val="20"/>
              </w:rPr>
            </w:pPr>
            <w:r w:rsidRPr="004761E0">
              <w:rPr>
                <w:sz w:val="20"/>
                <w:szCs w:val="20"/>
              </w:rPr>
              <w:t>2012</w:t>
            </w:r>
          </w:p>
        </w:tc>
        <w:tc>
          <w:tcPr>
            <w:tcW w:w="992" w:type="dxa"/>
            <w:shd w:val="clear" w:color="auto" w:fill="auto"/>
          </w:tcPr>
          <w:p w:rsidR="006B4FAE" w:rsidRPr="004761E0" w:rsidRDefault="006B4FAE" w:rsidP="006B4FAE">
            <w:pPr>
              <w:ind w:firstLine="0"/>
              <w:jc w:val="left"/>
              <w:rPr>
                <w:sz w:val="20"/>
                <w:szCs w:val="20"/>
              </w:rPr>
            </w:pPr>
            <w:r w:rsidRPr="004761E0">
              <w:rPr>
                <w:sz w:val="20"/>
                <w:szCs w:val="20"/>
              </w:rPr>
              <w:t>наст.вр.</w:t>
            </w:r>
          </w:p>
        </w:tc>
        <w:tc>
          <w:tcPr>
            <w:tcW w:w="8080" w:type="dxa"/>
            <w:shd w:val="clear" w:color="auto" w:fill="auto"/>
          </w:tcPr>
          <w:p w:rsidR="006B4FAE" w:rsidRPr="004761E0" w:rsidRDefault="0008080E" w:rsidP="006B4FAE">
            <w:pPr>
              <w:ind w:firstLine="0"/>
              <w:jc w:val="left"/>
              <w:rPr>
                <w:sz w:val="20"/>
                <w:szCs w:val="20"/>
              </w:rPr>
            </w:pPr>
            <w:r>
              <w:rPr>
                <w:sz w:val="20"/>
                <w:szCs w:val="20"/>
              </w:rPr>
              <w:t>ОАО </w:t>
            </w:r>
            <w:r w:rsidR="006B4FAE" w:rsidRPr="004761E0">
              <w:rPr>
                <w:sz w:val="20"/>
                <w:szCs w:val="20"/>
              </w:rPr>
              <w:t>«Россети»</w:t>
            </w:r>
            <w:r w:rsidR="00442E76">
              <w:rPr>
                <w:sz w:val="20"/>
                <w:szCs w:val="20"/>
              </w:rPr>
              <w:t xml:space="preserve"> (до 04.04.2013 – ОАО «Холдинг МРСК»)</w:t>
            </w:r>
          </w:p>
        </w:tc>
        <w:tc>
          <w:tcPr>
            <w:tcW w:w="4536" w:type="dxa"/>
            <w:shd w:val="clear" w:color="auto" w:fill="auto"/>
          </w:tcPr>
          <w:p w:rsidR="006B4FAE" w:rsidRPr="004761E0" w:rsidRDefault="006B4FAE" w:rsidP="006B4FAE">
            <w:pPr>
              <w:ind w:firstLine="0"/>
              <w:jc w:val="left"/>
              <w:rPr>
                <w:sz w:val="20"/>
                <w:szCs w:val="20"/>
              </w:rPr>
            </w:pPr>
            <w:r w:rsidRPr="004761E0">
              <w:rPr>
                <w:sz w:val="20"/>
                <w:szCs w:val="20"/>
              </w:rPr>
              <w:t>Председатель Правления</w:t>
            </w:r>
          </w:p>
        </w:tc>
      </w:tr>
      <w:tr w:rsidR="006B4FAE" w:rsidRPr="004761E0" w:rsidTr="006B4FAE">
        <w:tc>
          <w:tcPr>
            <w:tcW w:w="851" w:type="dxa"/>
            <w:shd w:val="clear" w:color="auto" w:fill="auto"/>
          </w:tcPr>
          <w:p w:rsidR="006B4FAE" w:rsidRPr="004761E0" w:rsidRDefault="006B4FAE" w:rsidP="006B4FAE">
            <w:pPr>
              <w:ind w:firstLine="0"/>
              <w:jc w:val="left"/>
              <w:rPr>
                <w:sz w:val="20"/>
                <w:szCs w:val="20"/>
              </w:rPr>
            </w:pPr>
            <w:r w:rsidRPr="004761E0">
              <w:rPr>
                <w:sz w:val="20"/>
                <w:szCs w:val="20"/>
              </w:rPr>
              <w:t>2013</w:t>
            </w:r>
          </w:p>
        </w:tc>
        <w:tc>
          <w:tcPr>
            <w:tcW w:w="992" w:type="dxa"/>
            <w:shd w:val="clear" w:color="auto" w:fill="auto"/>
          </w:tcPr>
          <w:p w:rsidR="006B4FAE" w:rsidRPr="004761E0" w:rsidRDefault="006B4FAE" w:rsidP="006B4FAE">
            <w:pPr>
              <w:ind w:firstLine="0"/>
              <w:jc w:val="left"/>
              <w:rPr>
                <w:sz w:val="20"/>
                <w:szCs w:val="20"/>
              </w:rPr>
            </w:pPr>
            <w:r w:rsidRPr="004761E0">
              <w:rPr>
                <w:sz w:val="20"/>
                <w:szCs w:val="20"/>
              </w:rPr>
              <w:t>наст.вр.</w:t>
            </w:r>
          </w:p>
        </w:tc>
        <w:tc>
          <w:tcPr>
            <w:tcW w:w="8080" w:type="dxa"/>
            <w:shd w:val="clear" w:color="auto" w:fill="auto"/>
          </w:tcPr>
          <w:p w:rsidR="006B4FAE" w:rsidRPr="004761E0" w:rsidRDefault="0008080E" w:rsidP="006B4FAE">
            <w:pPr>
              <w:ind w:firstLine="0"/>
              <w:jc w:val="left"/>
              <w:rPr>
                <w:sz w:val="20"/>
                <w:szCs w:val="20"/>
              </w:rPr>
            </w:pPr>
            <w:r>
              <w:rPr>
                <w:sz w:val="20"/>
                <w:szCs w:val="20"/>
              </w:rPr>
              <w:t>ОАО </w:t>
            </w:r>
            <w:r w:rsidR="006B4FAE" w:rsidRPr="004761E0">
              <w:rPr>
                <w:sz w:val="20"/>
                <w:szCs w:val="20"/>
              </w:rPr>
              <w:t>«Россети»</w:t>
            </w:r>
            <w:r w:rsidR="00442E76">
              <w:rPr>
                <w:sz w:val="20"/>
                <w:szCs w:val="20"/>
              </w:rPr>
              <w:t xml:space="preserve"> (до 04.04.2013 – ОАО «Холдинг МРСК»)</w:t>
            </w:r>
          </w:p>
        </w:tc>
        <w:tc>
          <w:tcPr>
            <w:tcW w:w="4536" w:type="dxa"/>
            <w:shd w:val="clear" w:color="auto" w:fill="auto"/>
          </w:tcPr>
          <w:p w:rsidR="006B4FAE" w:rsidRPr="004761E0" w:rsidRDefault="006B4FAE" w:rsidP="006B4FAE">
            <w:pPr>
              <w:ind w:firstLine="0"/>
              <w:jc w:val="left"/>
              <w:rPr>
                <w:sz w:val="20"/>
                <w:szCs w:val="20"/>
              </w:rPr>
            </w:pPr>
            <w:r w:rsidRPr="004761E0">
              <w:rPr>
                <w:sz w:val="20"/>
                <w:szCs w:val="20"/>
              </w:rPr>
              <w:t>Генеральный директор, член Совета директоров</w:t>
            </w:r>
          </w:p>
        </w:tc>
      </w:tr>
      <w:tr w:rsidR="006B4FAE" w:rsidRPr="004761E0" w:rsidTr="006B4FAE">
        <w:tblPrEx>
          <w:tblLook w:val="04A0"/>
        </w:tblPrEx>
        <w:tc>
          <w:tcPr>
            <w:tcW w:w="14459" w:type="dxa"/>
            <w:gridSpan w:val="4"/>
          </w:tcPr>
          <w:p w:rsidR="006B4FAE" w:rsidRPr="004761E0" w:rsidRDefault="006B4FAE" w:rsidP="006B4FAE">
            <w:pPr>
              <w:ind w:firstLine="0"/>
              <w:jc w:val="left"/>
              <w:rPr>
                <w:bCs/>
                <w:iCs/>
                <w:sz w:val="20"/>
                <w:szCs w:val="26"/>
                <w:lang w:eastAsia="ru-RU"/>
              </w:rPr>
            </w:pPr>
            <w:r w:rsidRPr="004761E0">
              <w:rPr>
                <w:sz w:val="20"/>
                <w:szCs w:val="26"/>
                <w:lang w:eastAsia="ru-RU"/>
              </w:rPr>
              <w:t>Иная информация</w:t>
            </w:r>
          </w:p>
        </w:tc>
      </w:tr>
      <w:tr w:rsidR="006B4FAE" w:rsidRPr="004761E0" w:rsidTr="006B4FAE">
        <w:tblPrEx>
          <w:tblLook w:val="04A0"/>
        </w:tblPrEx>
        <w:tc>
          <w:tcPr>
            <w:tcW w:w="9923" w:type="dxa"/>
            <w:gridSpan w:val="3"/>
          </w:tcPr>
          <w:p w:rsidR="006B4FAE" w:rsidRPr="004761E0" w:rsidRDefault="006B4FAE" w:rsidP="006B4FAE">
            <w:pPr>
              <w:ind w:firstLine="0"/>
              <w:jc w:val="left"/>
              <w:rPr>
                <w:sz w:val="20"/>
                <w:szCs w:val="26"/>
                <w:lang w:eastAsia="ru-RU"/>
              </w:rPr>
            </w:pPr>
            <w:r w:rsidRPr="004761E0">
              <w:rPr>
                <w:sz w:val="20"/>
                <w:szCs w:val="26"/>
                <w:lang w:eastAsia="ru-RU"/>
              </w:rPr>
              <w:t>Доли участия в уставном капитале Общества/обыкновенных акций:</w:t>
            </w:r>
          </w:p>
        </w:tc>
        <w:tc>
          <w:tcPr>
            <w:tcW w:w="4536" w:type="dxa"/>
          </w:tcPr>
          <w:p w:rsidR="006B4FAE" w:rsidRPr="004761E0" w:rsidRDefault="006B4FAE" w:rsidP="006B4FAE">
            <w:pPr>
              <w:ind w:firstLine="0"/>
              <w:jc w:val="left"/>
              <w:rPr>
                <w:sz w:val="20"/>
                <w:szCs w:val="26"/>
                <w:lang w:eastAsia="ru-RU"/>
              </w:rPr>
            </w:pPr>
            <w:r w:rsidRPr="004761E0">
              <w:rPr>
                <w:bCs/>
                <w:iCs/>
                <w:sz w:val="20"/>
                <w:szCs w:val="26"/>
                <w:lang w:eastAsia="ru-RU"/>
              </w:rPr>
              <w:t>Лицо указанных долей не имеет</w:t>
            </w:r>
            <w:r w:rsidRPr="004761E0">
              <w:rPr>
                <w:sz w:val="20"/>
                <w:szCs w:val="26"/>
                <w:lang w:eastAsia="ru-RU"/>
              </w:rPr>
              <w:t>.</w:t>
            </w:r>
          </w:p>
        </w:tc>
      </w:tr>
      <w:tr w:rsidR="006B4FAE" w:rsidRPr="004761E0" w:rsidTr="006B4FAE">
        <w:tblPrEx>
          <w:tblLook w:val="04A0"/>
        </w:tblPrEx>
        <w:tc>
          <w:tcPr>
            <w:tcW w:w="9923" w:type="dxa"/>
            <w:gridSpan w:val="3"/>
          </w:tcPr>
          <w:p w:rsidR="006B4FAE" w:rsidRPr="004761E0" w:rsidRDefault="006B4FAE" w:rsidP="006B4FAE">
            <w:pPr>
              <w:ind w:firstLine="0"/>
              <w:jc w:val="left"/>
              <w:rPr>
                <w:sz w:val="20"/>
                <w:szCs w:val="26"/>
                <w:lang w:eastAsia="ru-RU"/>
              </w:rPr>
            </w:pPr>
            <w:r w:rsidRPr="004761E0">
              <w:rPr>
                <w:sz w:val="20"/>
                <w:szCs w:val="26"/>
                <w:lang w:eastAsia="ru-RU"/>
              </w:rPr>
              <w:t>Доли участия лица в уставном (складочном) капитале (паевом фонде) дочерних и зависимых обществ Общества:</w:t>
            </w:r>
          </w:p>
        </w:tc>
        <w:tc>
          <w:tcPr>
            <w:tcW w:w="4536" w:type="dxa"/>
          </w:tcPr>
          <w:p w:rsidR="006B4FAE" w:rsidRPr="004761E0" w:rsidRDefault="006B4FAE" w:rsidP="006B4FAE">
            <w:pPr>
              <w:ind w:firstLine="0"/>
              <w:jc w:val="left"/>
              <w:rPr>
                <w:sz w:val="20"/>
                <w:szCs w:val="26"/>
                <w:lang w:eastAsia="ru-RU"/>
              </w:rPr>
            </w:pPr>
            <w:r w:rsidRPr="004761E0">
              <w:rPr>
                <w:bCs/>
                <w:iCs/>
                <w:sz w:val="20"/>
                <w:szCs w:val="26"/>
                <w:lang w:eastAsia="ru-RU"/>
              </w:rPr>
              <w:t>Лицо указанных долей не имеет</w:t>
            </w:r>
          </w:p>
        </w:tc>
      </w:tr>
      <w:tr w:rsidR="006B4FAE" w:rsidRPr="004761E0" w:rsidTr="006B4FAE">
        <w:tblPrEx>
          <w:tblLook w:val="04A0"/>
        </w:tblPrEx>
        <w:tc>
          <w:tcPr>
            <w:tcW w:w="9923" w:type="dxa"/>
            <w:gridSpan w:val="3"/>
          </w:tcPr>
          <w:p w:rsidR="006B4FAE" w:rsidRPr="004761E0" w:rsidRDefault="006B4FAE" w:rsidP="006B4FAE">
            <w:pPr>
              <w:ind w:firstLine="0"/>
              <w:jc w:val="left"/>
              <w:rPr>
                <w:sz w:val="20"/>
                <w:szCs w:val="26"/>
                <w:lang w:eastAsia="ru-RU"/>
              </w:rPr>
            </w:pPr>
            <w:r w:rsidRPr="004761E0">
              <w:rPr>
                <w:sz w:val="20"/>
                <w:szCs w:val="26"/>
                <w:lang w:eastAsia="ru-RU"/>
              </w:rPr>
              <w:t>Сведения о характере любых родственных связей с иными лицами, входящими в состав органов управления Общества и/или органов контроля за финансово-хозяйственной деятельностью Общества:</w:t>
            </w:r>
          </w:p>
        </w:tc>
        <w:tc>
          <w:tcPr>
            <w:tcW w:w="4536" w:type="dxa"/>
          </w:tcPr>
          <w:p w:rsidR="006B4FAE" w:rsidRPr="004761E0" w:rsidRDefault="006B4FAE" w:rsidP="006B4FAE">
            <w:pPr>
              <w:ind w:firstLine="0"/>
              <w:jc w:val="left"/>
              <w:rPr>
                <w:sz w:val="20"/>
                <w:szCs w:val="26"/>
                <w:lang w:eastAsia="ru-RU"/>
              </w:rPr>
            </w:pPr>
            <w:r w:rsidRPr="004761E0">
              <w:rPr>
                <w:bCs/>
                <w:iCs/>
                <w:sz w:val="20"/>
                <w:szCs w:val="26"/>
                <w:lang w:eastAsia="ru-RU"/>
              </w:rPr>
              <w:t>Указанных родственных связей у лица нет.</w:t>
            </w:r>
          </w:p>
        </w:tc>
      </w:tr>
      <w:tr w:rsidR="006B4FAE" w:rsidRPr="004761E0" w:rsidTr="006B4FAE">
        <w:tblPrEx>
          <w:tblLook w:val="04A0"/>
        </w:tblPrEx>
        <w:tc>
          <w:tcPr>
            <w:tcW w:w="9923" w:type="dxa"/>
            <w:gridSpan w:val="3"/>
          </w:tcPr>
          <w:p w:rsidR="006B4FAE" w:rsidRPr="004761E0" w:rsidRDefault="006B4FAE" w:rsidP="006B4FAE">
            <w:pPr>
              <w:ind w:firstLine="0"/>
              <w:jc w:val="left"/>
              <w:rPr>
                <w:sz w:val="20"/>
                <w:szCs w:val="26"/>
                <w:lang w:eastAsia="ru-RU"/>
              </w:rPr>
            </w:pPr>
            <w:r w:rsidRPr="004761E0">
              <w:rPr>
                <w:sz w:val="20"/>
                <w:szCs w:val="26"/>
                <w:lang w:eastAsia="ru-RU"/>
              </w:rP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c>
        <w:tc>
          <w:tcPr>
            <w:tcW w:w="4536" w:type="dxa"/>
          </w:tcPr>
          <w:p w:rsidR="006B4FAE" w:rsidRPr="004761E0" w:rsidRDefault="006B4FAE" w:rsidP="006B4FAE">
            <w:pPr>
              <w:ind w:firstLine="0"/>
              <w:jc w:val="left"/>
              <w:rPr>
                <w:sz w:val="20"/>
                <w:szCs w:val="26"/>
                <w:lang w:eastAsia="ru-RU"/>
              </w:rPr>
            </w:pPr>
            <w:r w:rsidRPr="004761E0">
              <w:rPr>
                <w:bCs/>
                <w:iCs/>
                <w:sz w:val="20"/>
                <w:szCs w:val="26"/>
                <w:lang w:eastAsia="ru-RU"/>
              </w:rPr>
              <w:t>Лицо к указанным видам ответственности не привлекалось</w:t>
            </w:r>
          </w:p>
        </w:tc>
      </w:tr>
      <w:tr w:rsidR="006B4FAE" w:rsidRPr="004761E0" w:rsidTr="006B4FAE">
        <w:tblPrEx>
          <w:tblLook w:val="04A0"/>
        </w:tblPrEx>
        <w:tc>
          <w:tcPr>
            <w:tcW w:w="9923" w:type="dxa"/>
            <w:gridSpan w:val="3"/>
          </w:tcPr>
          <w:p w:rsidR="006B4FAE" w:rsidRPr="004761E0" w:rsidRDefault="006B4FAE" w:rsidP="006B4FAE">
            <w:pPr>
              <w:ind w:firstLine="0"/>
              <w:jc w:val="left"/>
              <w:rPr>
                <w:sz w:val="20"/>
                <w:szCs w:val="26"/>
                <w:lang w:eastAsia="ru-RU"/>
              </w:rPr>
            </w:pPr>
            <w:r w:rsidRPr="004761E0">
              <w:rPr>
                <w:sz w:val="20"/>
                <w:szCs w:val="26"/>
                <w:lang w:eastAsia="ru-RU"/>
              </w:rP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tc>
        <w:tc>
          <w:tcPr>
            <w:tcW w:w="4536" w:type="dxa"/>
          </w:tcPr>
          <w:p w:rsidR="006B4FAE" w:rsidRPr="004761E0" w:rsidRDefault="006B4FAE" w:rsidP="006B4FAE">
            <w:pPr>
              <w:ind w:firstLine="0"/>
              <w:jc w:val="left"/>
              <w:rPr>
                <w:sz w:val="20"/>
                <w:szCs w:val="26"/>
                <w:lang w:eastAsia="ru-RU"/>
              </w:rPr>
            </w:pPr>
            <w:r w:rsidRPr="004761E0">
              <w:rPr>
                <w:bCs/>
                <w:iCs/>
                <w:sz w:val="20"/>
                <w:szCs w:val="26"/>
                <w:lang w:eastAsia="ru-RU"/>
              </w:rPr>
              <w:t>Лицо указанных должностей не занимало.</w:t>
            </w:r>
          </w:p>
        </w:tc>
      </w:tr>
      <w:tr w:rsidR="00670B18" w:rsidRPr="004761E0" w:rsidTr="006B4FAE">
        <w:tblPrEx>
          <w:tblLook w:val="04A0"/>
        </w:tblPrEx>
        <w:tc>
          <w:tcPr>
            <w:tcW w:w="9923" w:type="dxa"/>
            <w:gridSpan w:val="3"/>
          </w:tcPr>
          <w:p w:rsidR="00670B18" w:rsidRPr="00670B18" w:rsidRDefault="00670B18" w:rsidP="00670B18">
            <w:pPr>
              <w:ind w:firstLine="0"/>
              <w:jc w:val="left"/>
              <w:rPr>
                <w:sz w:val="20"/>
                <w:szCs w:val="26"/>
                <w:lang w:eastAsia="ru-RU"/>
              </w:rPr>
            </w:pPr>
            <w:r w:rsidRPr="00670B18">
              <w:rPr>
                <w:sz w:val="20"/>
                <w:szCs w:val="26"/>
                <w:lang w:eastAsia="ru-RU"/>
              </w:rPr>
              <w:t>Сведения о сделках по приобретению или отчуждению акций Общества в течение отчетного года</w:t>
            </w:r>
            <w:r>
              <w:rPr>
                <w:sz w:val="20"/>
                <w:szCs w:val="26"/>
                <w:lang w:eastAsia="ru-RU"/>
              </w:rPr>
              <w:t>:</w:t>
            </w:r>
          </w:p>
        </w:tc>
        <w:tc>
          <w:tcPr>
            <w:tcW w:w="4536" w:type="dxa"/>
          </w:tcPr>
          <w:p w:rsidR="00670B18" w:rsidRPr="00670B18" w:rsidRDefault="00670B18" w:rsidP="00670B18">
            <w:pPr>
              <w:ind w:firstLine="0"/>
              <w:jc w:val="left"/>
              <w:rPr>
                <w:sz w:val="20"/>
                <w:szCs w:val="26"/>
                <w:lang w:eastAsia="ru-RU"/>
              </w:rPr>
            </w:pPr>
            <w:r w:rsidRPr="00670B18">
              <w:rPr>
                <w:sz w:val="20"/>
                <w:szCs w:val="26"/>
                <w:lang w:eastAsia="ru-RU"/>
              </w:rPr>
              <w:t>Лицом указанные сделки не совершались</w:t>
            </w:r>
            <w:r>
              <w:rPr>
                <w:sz w:val="20"/>
                <w:szCs w:val="26"/>
                <w:lang w:eastAsia="ru-RU"/>
              </w:rPr>
              <w:t>.</w:t>
            </w:r>
          </w:p>
        </w:tc>
      </w:tr>
      <w:tr w:rsidR="006B4FAE" w:rsidRPr="004761E0" w:rsidTr="006B4FAE">
        <w:tblPrEx>
          <w:tblLook w:val="04A0"/>
        </w:tblPrEx>
        <w:tc>
          <w:tcPr>
            <w:tcW w:w="9923" w:type="dxa"/>
            <w:gridSpan w:val="3"/>
          </w:tcPr>
          <w:p w:rsidR="006B4FAE" w:rsidRPr="004761E0" w:rsidRDefault="006B4FAE" w:rsidP="006B4FAE">
            <w:pPr>
              <w:ind w:firstLine="0"/>
              <w:jc w:val="left"/>
              <w:rPr>
                <w:sz w:val="20"/>
                <w:szCs w:val="26"/>
                <w:lang w:eastAsia="ru-RU"/>
              </w:rPr>
            </w:pPr>
            <w:r w:rsidRPr="004761E0">
              <w:rPr>
                <w:sz w:val="20"/>
                <w:szCs w:val="26"/>
                <w:lang w:eastAsia="ru-RU"/>
              </w:rPr>
              <w:t>Наличие согласия на раскрытие данной информации в Годовом отчете</w:t>
            </w:r>
            <w:r w:rsidR="00670B18">
              <w:rPr>
                <w:sz w:val="20"/>
                <w:szCs w:val="26"/>
                <w:lang w:eastAsia="ru-RU"/>
              </w:rPr>
              <w:t>:</w:t>
            </w:r>
          </w:p>
        </w:tc>
        <w:tc>
          <w:tcPr>
            <w:tcW w:w="4536" w:type="dxa"/>
          </w:tcPr>
          <w:p w:rsidR="006B4FAE" w:rsidRPr="004761E0" w:rsidRDefault="006B4FAE" w:rsidP="006B4FAE">
            <w:pPr>
              <w:ind w:firstLine="0"/>
              <w:jc w:val="left"/>
              <w:rPr>
                <w:bCs/>
                <w:iCs/>
                <w:sz w:val="20"/>
                <w:szCs w:val="26"/>
                <w:lang w:eastAsia="ru-RU"/>
              </w:rPr>
            </w:pPr>
            <w:r w:rsidRPr="004761E0">
              <w:rPr>
                <w:bCs/>
                <w:iCs/>
                <w:sz w:val="20"/>
                <w:szCs w:val="26"/>
                <w:lang w:eastAsia="ru-RU"/>
              </w:rPr>
              <w:t>Лицом дано подобное согласие.</w:t>
            </w:r>
          </w:p>
        </w:tc>
      </w:tr>
      <w:tr w:rsidR="006B4FAE" w:rsidRPr="004761E0" w:rsidTr="006B4FAE">
        <w:tblPrEx>
          <w:tblLook w:val="04A0"/>
        </w:tblPrEx>
        <w:tc>
          <w:tcPr>
            <w:tcW w:w="14459" w:type="dxa"/>
            <w:gridSpan w:val="4"/>
            <w:shd w:val="clear" w:color="auto" w:fill="D9D9D9"/>
          </w:tcPr>
          <w:p w:rsidR="006B4FAE" w:rsidRPr="004761E0" w:rsidRDefault="006B4FAE" w:rsidP="007076A7">
            <w:pPr>
              <w:pStyle w:val="a5"/>
              <w:numPr>
                <w:ilvl w:val="0"/>
                <w:numId w:val="275"/>
              </w:numPr>
              <w:ind w:left="601" w:hanging="567"/>
              <w:contextualSpacing w:val="0"/>
              <w:jc w:val="left"/>
              <w:rPr>
                <w:b/>
                <w:bCs/>
                <w:iCs/>
                <w:sz w:val="20"/>
                <w:szCs w:val="26"/>
                <w:lang w:eastAsia="ru-RU"/>
              </w:rPr>
            </w:pPr>
            <w:r w:rsidRPr="004761E0">
              <w:rPr>
                <w:b/>
                <w:bCs/>
                <w:iCs/>
                <w:sz w:val="20"/>
                <w:szCs w:val="26"/>
                <w:lang w:eastAsia="ru-RU"/>
              </w:rPr>
              <w:t>Васильев Сергей Вячеславович</w:t>
            </w:r>
          </w:p>
        </w:tc>
      </w:tr>
      <w:tr w:rsidR="006B4FAE" w:rsidRPr="004761E0" w:rsidTr="006B4FAE">
        <w:tblPrEx>
          <w:tblLook w:val="04A0"/>
        </w:tblPrEx>
        <w:tc>
          <w:tcPr>
            <w:tcW w:w="14459" w:type="dxa"/>
            <w:gridSpan w:val="4"/>
          </w:tcPr>
          <w:p w:rsidR="006B4FAE" w:rsidRPr="004761E0" w:rsidRDefault="006B4FAE" w:rsidP="006B4FAE">
            <w:pPr>
              <w:ind w:firstLine="0"/>
              <w:jc w:val="left"/>
              <w:rPr>
                <w:bCs/>
                <w:iCs/>
                <w:sz w:val="20"/>
                <w:szCs w:val="20"/>
                <w:lang w:eastAsia="ru-RU"/>
              </w:rPr>
            </w:pPr>
            <w:r w:rsidRPr="004761E0">
              <w:rPr>
                <w:sz w:val="20"/>
                <w:szCs w:val="20"/>
                <w:lang w:eastAsia="ru-RU"/>
              </w:rPr>
              <w:t xml:space="preserve">Все должности, занимаемые данным лицом в Обществе и других организациях за последние 5 лет и в настоящее время в хронологическом порядке, в т.ч. по </w:t>
            </w:r>
            <w:r w:rsidRPr="004761E0">
              <w:rPr>
                <w:sz w:val="20"/>
                <w:szCs w:val="20"/>
                <w:lang w:eastAsia="ru-RU"/>
              </w:rPr>
              <w:lastRenderedPageBreak/>
              <w:t>совместительству:</w:t>
            </w:r>
          </w:p>
        </w:tc>
      </w:tr>
      <w:tr w:rsidR="006B4FAE" w:rsidRPr="004761E0" w:rsidTr="006B4FAE">
        <w:tc>
          <w:tcPr>
            <w:tcW w:w="1843" w:type="dxa"/>
            <w:gridSpan w:val="2"/>
            <w:tcBorders>
              <w:top w:val="single" w:sz="4" w:space="0" w:color="auto"/>
              <w:left w:val="single" w:sz="4" w:space="0" w:color="auto"/>
              <w:bottom w:val="single" w:sz="4" w:space="0" w:color="FFFFFF"/>
              <w:right w:val="single" w:sz="4" w:space="0" w:color="FFFFFF"/>
            </w:tcBorders>
            <w:shd w:val="clear" w:color="auto" w:fill="0F243E"/>
            <w:vAlign w:val="center"/>
          </w:tcPr>
          <w:p w:rsidR="006B4FAE" w:rsidRPr="004761E0" w:rsidRDefault="006B4FAE" w:rsidP="006B4FAE">
            <w:pPr>
              <w:ind w:firstLine="0"/>
              <w:jc w:val="center"/>
              <w:rPr>
                <w:b/>
                <w:sz w:val="20"/>
                <w:szCs w:val="22"/>
              </w:rPr>
            </w:pPr>
            <w:r w:rsidRPr="004761E0">
              <w:rPr>
                <w:b/>
                <w:sz w:val="20"/>
                <w:szCs w:val="22"/>
              </w:rPr>
              <w:lastRenderedPageBreak/>
              <w:t>Период</w:t>
            </w:r>
          </w:p>
        </w:tc>
        <w:tc>
          <w:tcPr>
            <w:tcW w:w="8080" w:type="dxa"/>
            <w:vMerge w:val="restart"/>
            <w:tcBorders>
              <w:top w:val="single" w:sz="4" w:space="0" w:color="auto"/>
              <w:left w:val="single" w:sz="4" w:space="0" w:color="FFFFFF"/>
              <w:bottom w:val="single" w:sz="4" w:space="0" w:color="FFFFFF"/>
              <w:right w:val="single" w:sz="4" w:space="0" w:color="FFFFFF"/>
            </w:tcBorders>
            <w:shd w:val="clear" w:color="auto" w:fill="0F243E"/>
            <w:vAlign w:val="center"/>
          </w:tcPr>
          <w:p w:rsidR="006B4FAE" w:rsidRPr="004761E0" w:rsidRDefault="006B4FAE" w:rsidP="006B4FAE">
            <w:pPr>
              <w:ind w:firstLine="0"/>
              <w:jc w:val="left"/>
              <w:rPr>
                <w:b/>
                <w:sz w:val="20"/>
                <w:szCs w:val="22"/>
              </w:rPr>
            </w:pPr>
            <w:r w:rsidRPr="004761E0">
              <w:rPr>
                <w:b/>
                <w:sz w:val="20"/>
                <w:szCs w:val="22"/>
              </w:rPr>
              <w:t>Наименование организации</w:t>
            </w:r>
          </w:p>
        </w:tc>
        <w:tc>
          <w:tcPr>
            <w:tcW w:w="4536" w:type="dxa"/>
            <w:vMerge w:val="restart"/>
            <w:tcBorders>
              <w:top w:val="single" w:sz="4" w:space="0" w:color="auto"/>
              <w:left w:val="single" w:sz="4" w:space="0" w:color="FFFFFF"/>
              <w:bottom w:val="single" w:sz="4" w:space="0" w:color="FFFFFF"/>
              <w:right w:val="single" w:sz="4" w:space="0" w:color="auto"/>
            </w:tcBorders>
            <w:shd w:val="clear" w:color="auto" w:fill="0F243E"/>
            <w:vAlign w:val="center"/>
          </w:tcPr>
          <w:p w:rsidR="006B4FAE" w:rsidRPr="004761E0" w:rsidRDefault="006B4FAE" w:rsidP="006B4FAE">
            <w:pPr>
              <w:ind w:firstLine="0"/>
              <w:jc w:val="left"/>
              <w:rPr>
                <w:b/>
                <w:sz w:val="20"/>
                <w:szCs w:val="22"/>
              </w:rPr>
            </w:pPr>
            <w:r w:rsidRPr="004761E0">
              <w:rPr>
                <w:b/>
                <w:sz w:val="20"/>
                <w:szCs w:val="22"/>
              </w:rPr>
              <w:t>Должность</w:t>
            </w:r>
          </w:p>
        </w:tc>
      </w:tr>
      <w:tr w:rsidR="006B4FAE" w:rsidRPr="004761E0" w:rsidTr="006B4FAE">
        <w:tc>
          <w:tcPr>
            <w:tcW w:w="851" w:type="dxa"/>
            <w:tcBorders>
              <w:top w:val="single" w:sz="4" w:space="0" w:color="FFFFFF"/>
              <w:left w:val="single" w:sz="4" w:space="0" w:color="auto"/>
              <w:bottom w:val="single" w:sz="4" w:space="0" w:color="auto"/>
              <w:right w:val="single" w:sz="4" w:space="0" w:color="FFFFFF"/>
            </w:tcBorders>
            <w:shd w:val="clear" w:color="auto" w:fill="0F243E"/>
            <w:vAlign w:val="center"/>
          </w:tcPr>
          <w:p w:rsidR="006B4FAE" w:rsidRPr="004761E0" w:rsidRDefault="006B4FAE" w:rsidP="006B4FAE">
            <w:pPr>
              <w:ind w:firstLine="0"/>
              <w:jc w:val="center"/>
              <w:rPr>
                <w:b/>
                <w:sz w:val="20"/>
                <w:szCs w:val="22"/>
              </w:rPr>
            </w:pPr>
            <w:r w:rsidRPr="004761E0">
              <w:rPr>
                <w:b/>
                <w:sz w:val="20"/>
                <w:szCs w:val="22"/>
              </w:rPr>
              <w:t>с</w:t>
            </w:r>
          </w:p>
        </w:tc>
        <w:tc>
          <w:tcPr>
            <w:tcW w:w="992" w:type="dxa"/>
            <w:tcBorders>
              <w:top w:val="single" w:sz="4" w:space="0" w:color="FFFFFF"/>
              <w:left w:val="single" w:sz="4" w:space="0" w:color="FFFFFF"/>
              <w:bottom w:val="single" w:sz="4" w:space="0" w:color="auto"/>
              <w:right w:val="single" w:sz="4" w:space="0" w:color="FFFFFF"/>
            </w:tcBorders>
            <w:shd w:val="clear" w:color="auto" w:fill="0F243E"/>
            <w:vAlign w:val="center"/>
          </w:tcPr>
          <w:p w:rsidR="006B4FAE" w:rsidRPr="004761E0" w:rsidRDefault="006B4FAE" w:rsidP="006B4FAE">
            <w:pPr>
              <w:ind w:firstLine="0"/>
              <w:jc w:val="center"/>
              <w:rPr>
                <w:b/>
                <w:sz w:val="20"/>
                <w:szCs w:val="22"/>
              </w:rPr>
            </w:pPr>
            <w:r w:rsidRPr="004761E0">
              <w:rPr>
                <w:b/>
                <w:sz w:val="20"/>
                <w:szCs w:val="22"/>
              </w:rPr>
              <w:t>по</w:t>
            </w:r>
          </w:p>
        </w:tc>
        <w:tc>
          <w:tcPr>
            <w:tcW w:w="8080" w:type="dxa"/>
            <w:vMerge/>
            <w:tcBorders>
              <w:top w:val="single" w:sz="4" w:space="0" w:color="FFFFFF"/>
              <w:left w:val="single" w:sz="4" w:space="0" w:color="FFFFFF"/>
              <w:bottom w:val="single" w:sz="4" w:space="0" w:color="auto"/>
              <w:right w:val="single" w:sz="4" w:space="0" w:color="FFFFFF"/>
            </w:tcBorders>
            <w:shd w:val="clear" w:color="auto" w:fill="0F243E"/>
            <w:vAlign w:val="center"/>
          </w:tcPr>
          <w:p w:rsidR="006B4FAE" w:rsidRPr="004761E0" w:rsidRDefault="006B4FAE" w:rsidP="006B4FAE">
            <w:pPr>
              <w:jc w:val="left"/>
              <w:rPr>
                <w:sz w:val="20"/>
                <w:szCs w:val="22"/>
              </w:rPr>
            </w:pPr>
          </w:p>
        </w:tc>
        <w:tc>
          <w:tcPr>
            <w:tcW w:w="4536" w:type="dxa"/>
            <w:vMerge/>
            <w:tcBorders>
              <w:top w:val="single" w:sz="4" w:space="0" w:color="FFFFFF"/>
              <w:left w:val="single" w:sz="4" w:space="0" w:color="FFFFFF"/>
              <w:bottom w:val="single" w:sz="4" w:space="0" w:color="auto"/>
              <w:right w:val="single" w:sz="4" w:space="0" w:color="auto"/>
            </w:tcBorders>
            <w:shd w:val="clear" w:color="auto" w:fill="0F243E"/>
            <w:vAlign w:val="center"/>
          </w:tcPr>
          <w:p w:rsidR="006B4FAE" w:rsidRPr="004761E0" w:rsidRDefault="006B4FAE" w:rsidP="006B4FAE">
            <w:pPr>
              <w:jc w:val="left"/>
              <w:rPr>
                <w:sz w:val="20"/>
                <w:szCs w:val="22"/>
              </w:rPr>
            </w:pPr>
          </w:p>
        </w:tc>
      </w:tr>
      <w:tr w:rsidR="006B4FAE" w:rsidRPr="004761E0" w:rsidTr="006B4FAE">
        <w:tc>
          <w:tcPr>
            <w:tcW w:w="851" w:type="dxa"/>
            <w:tcBorders>
              <w:top w:val="single" w:sz="4" w:space="0" w:color="auto"/>
            </w:tcBorders>
            <w:shd w:val="clear" w:color="auto" w:fill="auto"/>
          </w:tcPr>
          <w:p w:rsidR="006B4FAE" w:rsidRPr="004761E0" w:rsidRDefault="006B4FAE" w:rsidP="006B4FAE">
            <w:pPr>
              <w:ind w:firstLine="0"/>
              <w:jc w:val="left"/>
              <w:rPr>
                <w:sz w:val="20"/>
                <w:szCs w:val="22"/>
              </w:rPr>
            </w:pPr>
            <w:r w:rsidRPr="004761E0">
              <w:rPr>
                <w:sz w:val="20"/>
                <w:szCs w:val="22"/>
              </w:rPr>
              <w:t>2008</w:t>
            </w:r>
          </w:p>
        </w:tc>
        <w:tc>
          <w:tcPr>
            <w:tcW w:w="992" w:type="dxa"/>
            <w:tcBorders>
              <w:top w:val="single" w:sz="4" w:space="0" w:color="auto"/>
            </w:tcBorders>
            <w:shd w:val="clear" w:color="auto" w:fill="auto"/>
          </w:tcPr>
          <w:p w:rsidR="006B4FAE" w:rsidRPr="004761E0" w:rsidRDefault="006B4FAE" w:rsidP="006B4FAE">
            <w:pPr>
              <w:ind w:firstLine="0"/>
              <w:jc w:val="left"/>
              <w:rPr>
                <w:sz w:val="20"/>
                <w:szCs w:val="22"/>
              </w:rPr>
            </w:pPr>
            <w:r w:rsidRPr="004761E0">
              <w:rPr>
                <w:sz w:val="20"/>
                <w:szCs w:val="22"/>
              </w:rPr>
              <w:t>2012</w:t>
            </w:r>
          </w:p>
        </w:tc>
        <w:tc>
          <w:tcPr>
            <w:tcW w:w="8080" w:type="dxa"/>
            <w:tcBorders>
              <w:top w:val="single" w:sz="4" w:space="0" w:color="auto"/>
            </w:tcBorders>
            <w:shd w:val="clear" w:color="auto" w:fill="auto"/>
          </w:tcPr>
          <w:p w:rsidR="006B4FAE" w:rsidRPr="004761E0" w:rsidRDefault="0008080E" w:rsidP="006B4FAE">
            <w:pPr>
              <w:ind w:firstLine="0"/>
              <w:jc w:val="left"/>
              <w:rPr>
                <w:sz w:val="20"/>
                <w:szCs w:val="22"/>
              </w:rPr>
            </w:pPr>
            <w:r>
              <w:rPr>
                <w:sz w:val="20"/>
                <w:szCs w:val="22"/>
              </w:rPr>
              <w:t>ОАО </w:t>
            </w:r>
            <w:r w:rsidR="006B4FAE" w:rsidRPr="004761E0">
              <w:rPr>
                <w:sz w:val="20"/>
                <w:szCs w:val="22"/>
              </w:rPr>
              <w:t>«Россети»</w:t>
            </w:r>
            <w:r w:rsidR="00442E76">
              <w:rPr>
                <w:sz w:val="20"/>
                <w:szCs w:val="22"/>
              </w:rPr>
              <w:t xml:space="preserve"> </w:t>
            </w:r>
            <w:r w:rsidR="00442E76">
              <w:rPr>
                <w:sz w:val="20"/>
                <w:szCs w:val="20"/>
              </w:rPr>
              <w:t>(до 04.04.2013 – ОАО «Холдинг МРСК»)</w:t>
            </w:r>
          </w:p>
        </w:tc>
        <w:tc>
          <w:tcPr>
            <w:tcW w:w="4536" w:type="dxa"/>
            <w:tcBorders>
              <w:top w:val="single" w:sz="4" w:space="0" w:color="auto"/>
            </w:tcBorders>
            <w:shd w:val="clear" w:color="auto" w:fill="auto"/>
          </w:tcPr>
          <w:p w:rsidR="006B4FAE" w:rsidRPr="004761E0" w:rsidRDefault="006B4FAE" w:rsidP="006B4FAE">
            <w:pPr>
              <w:ind w:firstLine="0"/>
              <w:jc w:val="left"/>
              <w:rPr>
                <w:sz w:val="20"/>
                <w:szCs w:val="22"/>
              </w:rPr>
            </w:pPr>
            <w:r w:rsidRPr="004761E0">
              <w:rPr>
                <w:sz w:val="20"/>
                <w:szCs w:val="22"/>
              </w:rPr>
              <w:t>Член Правления, Директор по правовым вопросам и взаимодействию с участниками рынка</w:t>
            </w:r>
          </w:p>
        </w:tc>
      </w:tr>
      <w:tr w:rsidR="006B4FAE" w:rsidRPr="004761E0" w:rsidTr="006B4FAE">
        <w:tc>
          <w:tcPr>
            <w:tcW w:w="851" w:type="dxa"/>
            <w:shd w:val="clear" w:color="auto" w:fill="auto"/>
          </w:tcPr>
          <w:p w:rsidR="006B4FAE" w:rsidRPr="004761E0" w:rsidRDefault="006B4FAE" w:rsidP="006B4FAE">
            <w:pPr>
              <w:ind w:firstLine="0"/>
              <w:jc w:val="left"/>
              <w:rPr>
                <w:sz w:val="20"/>
                <w:szCs w:val="22"/>
              </w:rPr>
            </w:pPr>
            <w:r w:rsidRPr="004761E0">
              <w:rPr>
                <w:sz w:val="20"/>
                <w:szCs w:val="22"/>
              </w:rPr>
              <w:t>2012</w:t>
            </w:r>
          </w:p>
        </w:tc>
        <w:tc>
          <w:tcPr>
            <w:tcW w:w="992" w:type="dxa"/>
            <w:shd w:val="clear" w:color="auto" w:fill="auto"/>
          </w:tcPr>
          <w:p w:rsidR="006B4FAE" w:rsidRPr="004761E0" w:rsidRDefault="006B4FAE" w:rsidP="006B4FAE">
            <w:pPr>
              <w:ind w:firstLine="0"/>
              <w:jc w:val="left"/>
              <w:rPr>
                <w:sz w:val="20"/>
                <w:szCs w:val="22"/>
              </w:rPr>
            </w:pPr>
            <w:r w:rsidRPr="004761E0">
              <w:rPr>
                <w:sz w:val="20"/>
                <w:szCs w:val="22"/>
              </w:rPr>
              <w:t>2013</w:t>
            </w:r>
          </w:p>
        </w:tc>
        <w:tc>
          <w:tcPr>
            <w:tcW w:w="8080" w:type="dxa"/>
            <w:shd w:val="clear" w:color="auto" w:fill="auto"/>
          </w:tcPr>
          <w:p w:rsidR="006B4FAE" w:rsidRPr="004761E0" w:rsidRDefault="006B4FAE" w:rsidP="006B4FAE">
            <w:pPr>
              <w:ind w:firstLine="0"/>
              <w:jc w:val="left"/>
              <w:rPr>
                <w:sz w:val="20"/>
                <w:szCs w:val="22"/>
              </w:rPr>
            </w:pPr>
            <w:r w:rsidRPr="004761E0">
              <w:rPr>
                <w:sz w:val="20"/>
                <w:szCs w:val="22"/>
              </w:rPr>
              <w:t>Министерство энергетики РФ</w:t>
            </w:r>
          </w:p>
        </w:tc>
        <w:tc>
          <w:tcPr>
            <w:tcW w:w="4536" w:type="dxa"/>
            <w:shd w:val="clear" w:color="auto" w:fill="auto"/>
          </w:tcPr>
          <w:p w:rsidR="006B4FAE" w:rsidRPr="004761E0" w:rsidRDefault="006B4FAE" w:rsidP="006B4FAE">
            <w:pPr>
              <w:ind w:firstLine="0"/>
              <w:jc w:val="left"/>
              <w:rPr>
                <w:sz w:val="20"/>
                <w:szCs w:val="22"/>
              </w:rPr>
            </w:pPr>
            <w:r w:rsidRPr="004761E0">
              <w:rPr>
                <w:sz w:val="20"/>
                <w:szCs w:val="22"/>
              </w:rPr>
              <w:t>Директор Департамента развития электроэнергетики</w:t>
            </w:r>
          </w:p>
        </w:tc>
      </w:tr>
      <w:tr w:rsidR="006B4FAE" w:rsidRPr="004761E0" w:rsidTr="006B4FAE">
        <w:tc>
          <w:tcPr>
            <w:tcW w:w="851" w:type="dxa"/>
            <w:shd w:val="clear" w:color="auto" w:fill="auto"/>
          </w:tcPr>
          <w:p w:rsidR="006B4FAE" w:rsidRPr="004761E0" w:rsidRDefault="006B4FAE" w:rsidP="006B4FAE">
            <w:pPr>
              <w:ind w:firstLine="0"/>
              <w:jc w:val="left"/>
              <w:rPr>
                <w:sz w:val="20"/>
                <w:szCs w:val="22"/>
              </w:rPr>
            </w:pPr>
            <w:r w:rsidRPr="004761E0">
              <w:rPr>
                <w:sz w:val="20"/>
                <w:szCs w:val="22"/>
              </w:rPr>
              <w:t>2013</w:t>
            </w:r>
          </w:p>
        </w:tc>
        <w:tc>
          <w:tcPr>
            <w:tcW w:w="992" w:type="dxa"/>
            <w:shd w:val="clear" w:color="auto" w:fill="auto"/>
          </w:tcPr>
          <w:p w:rsidR="006B4FAE" w:rsidRPr="004761E0" w:rsidRDefault="006B4FAE" w:rsidP="006B4FAE">
            <w:pPr>
              <w:ind w:firstLine="0"/>
              <w:jc w:val="left"/>
              <w:rPr>
                <w:sz w:val="20"/>
                <w:szCs w:val="20"/>
              </w:rPr>
            </w:pPr>
            <w:r w:rsidRPr="004761E0">
              <w:rPr>
                <w:sz w:val="20"/>
                <w:szCs w:val="20"/>
              </w:rPr>
              <w:t>наст.вр.</w:t>
            </w:r>
          </w:p>
        </w:tc>
        <w:tc>
          <w:tcPr>
            <w:tcW w:w="8080" w:type="dxa"/>
            <w:shd w:val="clear" w:color="auto" w:fill="auto"/>
          </w:tcPr>
          <w:p w:rsidR="006B4FAE" w:rsidRPr="004761E0" w:rsidRDefault="0008080E" w:rsidP="006B4FAE">
            <w:pPr>
              <w:ind w:firstLine="0"/>
              <w:jc w:val="left"/>
              <w:rPr>
                <w:sz w:val="20"/>
                <w:szCs w:val="22"/>
              </w:rPr>
            </w:pPr>
            <w:r>
              <w:rPr>
                <w:sz w:val="20"/>
                <w:szCs w:val="22"/>
              </w:rPr>
              <w:t>ОАО </w:t>
            </w:r>
            <w:r w:rsidR="006B4FAE" w:rsidRPr="004761E0">
              <w:rPr>
                <w:sz w:val="20"/>
                <w:szCs w:val="22"/>
              </w:rPr>
              <w:t>«Ленэнерго»</w:t>
            </w:r>
          </w:p>
        </w:tc>
        <w:tc>
          <w:tcPr>
            <w:tcW w:w="4536" w:type="dxa"/>
            <w:shd w:val="clear" w:color="auto" w:fill="auto"/>
          </w:tcPr>
          <w:p w:rsidR="006B4FAE" w:rsidRPr="004761E0" w:rsidRDefault="006B4FAE" w:rsidP="006B4FAE">
            <w:pPr>
              <w:ind w:firstLine="0"/>
              <w:jc w:val="left"/>
              <w:rPr>
                <w:sz w:val="20"/>
                <w:szCs w:val="22"/>
              </w:rPr>
            </w:pPr>
            <w:r w:rsidRPr="004761E0">
              <w:rPr>
                <w:sz w:val="20"/>
                <w:szCs w:val="22"/>
              </w:rPr>
              <w:t>Член Совета директоров</w:t>
            </w:r>
          </w:p>
        </w:tc>
      </w:tr>
      <w:tr w:rsidR="006B4FAE" w:rsidRPr="004761E0" w:rsidTr="006B4FAE">
        <w:tc>
          <w:tcPr>
            <w:tcW w:w="851" w:type="dxa"/>
            <w:shd w:val="clear" w:color="auto" w:fill="auto"/>
          </w:tcPr>
          <w:p w:rsidR="006B4FAE" w:rsidRPr="004761E0" w:rsidRDefault="006B4FAE" w:rsidP="006B4FAE">
            <w:pPr>
              <w:ind w:firstLine="0"/>
              <w:jc w:val="left"/>
              <w:rPr>
                <w:sz w:val="20"/>
                <w:szCs w:val="22"/>
              </w:rPr>
            </w:pPr>
            <w:r w:rsidRPr="004761E0">
              <w:rPr>
                <w:sz w:val="20"/>
                <w:szCs w:val="22"/>
              </w:rPr>
              <w:t>2013</w:t>
            </w:r>
          </w:p>
        </w:tc>
        <w:tc>
          <w:tcPr>
            <w:tcW w:w="992" w:type="dxa"/>
            <w:shd w:val="clear" w:color="auto" w:fill="auto"/>
          </w:tcPr>
          <w:p w:rsidR="006B4FAE" w:rsidRPr="004761E0" w:rsidRDefault="006B4FAE" w:rsidP="006B4FAE">
            <w:pPr>
              <w:ind w:firstLine="0"/>
              <w:jc w:val="left"/>
              <w:rPr>
                <w:sz w:val="20"/>
                <w:szCs w:val="20"/>
              </w:rPr>
            </w:pPr>
            <w:r w:rsidRPr="004761E0">
              <w:rPr>
                <w:sz w:val="20"/>
                <w:szCs w:val="20"/>
              </w:rPr>
              <w:t>наст.вр.</w:t>
            </w:r>
          </w:p>
        </w:tc>
        <w:tc>
          <w:tcPr>
            <w:tcW w:w="8080" w:type="dxa"/>
            <w:shd w:val="clear" w:color="auto" w:fill="auto"/>
          </w:tcPr>
          <w:p w:rsidR="006B4FAE" w:rsidRPr="004761E0" w:rsidRDefault="0008080E" w:rsidP="006B4FAE">
            <w:pPr>
              <w:ind w:firstLine="0"/>
              <w:jc w:val="left"/>
              <w:rPr>
                <w:sz w:val="20"/>
                <w:szCs w:val="22"/>
              </w:rPr>
            </w:pPr>
            <w:r>
              <w:rPr>
                <w:sz w:val="20"/>
                <w:szCs w:val="22"/>
              </w:rPr>
              <w:t>ОАО </w:t>
            </w:r>
            <w:r w:rsidR="006B4FAE" w:rsidRPr="004761E0">
              <w:rPr>
                <w:sz w:val="20"/>
                <w:szCs w:val="22"/>
              </w:rPr>
              <w:t>«МОЭСК»</w:t>
            </w:r>
          </w:p>
        </w:tc>
        <w:tc>
          <w:tcPr>
            <w:tcW w:w="4536" w:type="dxa"/>
            <w:shd w:val="clear" w:color="auto" w:fill="auto"/>
          </w:tcPr>
          <w:p w:rsidR="006B4FAE" w:rsidRPr="004761E0" w:rsidRDefault="006B4FAE" w:rsidP="006B4FAE">
            <w:pPr>
              <w:ind w:firstLine="0"/>
              <w:jc w:val="left"/>
              <w:rPr>
                <w:sz w:val="20"/>
                <w:szCs w:val="22"/>
              </w:rPr>
            </w:pPr>
            <w:r w:rsidRPr="004761E0">
              <w:rPr>
                <w:sz w:val="20"/>
                <w:szCs w:val="22"/>
              </w:rPr>
              <w:t>Член Совета директоров</w:t>
            </w:r>
          </w:p>
        </w:tc>
      </w:tr>
      <w:tr w:rsidR="006B4FAE" w:rsidRPr="004761E0" w:rsidTr="006B4FAE">
        <w:tblPrEx>
          <w:tblLook w:val="04A0"/>
        </w:tblPrEx>
        <w:tc>
          <w:tcPr>
            <w:tcW w:w="14459" w:type="dxa"/>
            <w:gridSpan w:val="4"/>
          </w:tcPr>
          <w:p w:rsidR="006B4FAE" w:rsidRPr="004761E0" w:rsidRDefault="006B4FAE" w:rsidP="006B4FAE">
            <w:pPr>
              <w:ind w:firstLine="0"/>
              <w:jc w:val="left"/>
              <w:rPr>
                <w:bCs/>
                <w:iCs/>
                <w:sz w:val="20"/>
                <w:szCs w:val="26"/>
                <w:lang w:eastAsia="ru-RU"/>
              </w:rPr>
            </w:pPr>
            <w:r w:rsidRPr="004761E0">
              <w:rPr>
                <w:sz w:val="20"/>
                <w:szCs w:val="26"/>
                <w:lang w:eastAsia="ru-RU"/>
              </w:rPr>
              <w:t>Иная информация</w:t>
            </w:r>
          </w:p>
        </w:tc>
      </w:tr>
      <w:tr w:rsidR="006B4FAE" w:rsidRPr="004761E0" w:rsidTr="006B4FAE">
        <w:tblPrEx>
          <w:tblLook w:val="04A0"/>
        </w:tblPrEx>
        <w:tc>
          <w:tcPr>
            <w:tcW w:w="9923" w:type="dxa"/>
            <w:gridSpan w:val="3"/>
          </w:tcPr>
          <w:p w:rsidR="006B4FAE" w:rsidRPr="004761E0" w:rsidRDefault="006B4FAE" w:rsidP="006B4FAE">
            <w:pPr>
              <w:ind w:firstLine="0"/>
              <w:jc w:val="left"/>
              <w:rPr>
                <w:sz w:val="20"/>
                <w:szCs w:val="26"/>
                <w:lang w:eastAsia="ru-RU"/>
              </w:rPr>
            </w:pPr>
            <w:r w:rsidRPr="004761E0">
              <w:rPr>
                <w:sz w:val="20"/>
                <w:szCs w:val="26"/>
                <w:lang w:eastAsia="ru-RU"/>
              </w:rPr>
              <w:t>Доли участия в уставном капитале Общества/обыкновенных акций:</w:t>
            </w:r>
          </w:p>
        </w:tc>
        <w:tc>
          <w:tcPr>
            <w:tcW w:w="4536" w:type="dxa"/>
          </w:tcPr>
          <w:p w:rsidR="006B4FAE" w:rsidRPr="004761E0" w:rsidRDefault="006B4FAE" w:rsidP="006B4FAE">
            <w:pPr>
              <w:ind w:firstLine="0"/>
              <w:jc w:val="left"/>
              <w:rPr>
                <w:sz w:val="20"/>
                <w:szCs w:val="26"/>
                <w:lang w:eastAsia="ru-RU"/>
              </w:rPr>
            </w:pPr>
            <w:r w:rsidRPr="004761E0">
              <w:rPr>
                <w:bCs/>
                <w:iCs/>
                <w:sz w:val="20"/>
                <w:szCs w:val="26"/>
                <w:lang w:eastAsia="ru-RU"/>
              </w:rPr>
              <w:t>Лицо указанных долей не имеет</w:t>
            </w:r>
            <w:r w:rsidRPr="004761E0">
              <w:rPr>
                <w:sz w:val="20"/>
                <w:szCs w:val="26"/>
                <w:lang w:eastAsia="ru-RU"/>
              </w:rPr>
              <w:t>.</w:t>
            </w:r>
          </w:p>
        </w:tc>
      </w:tr>
      <w:tr w:rsidR="006B4FAE" w:rsidRPr="004761E0" w:rsidTr="006B4FAE">
        <w:tblPrEx>
          <w:tblLook w:val="04A0"/>
        </w:tblPrEx>
        <w:tc>
          <w:tcPr>
            <w:tcW w:w="9923" w:type="dxa"/>
            <w:gridSpan w:val="3"/>
          </w:tcPr>
          <w:p w:rsidR="006B4FAE" w:rsidRPr="004761E0" w:rsidRDefault="006B4FAE" w:rsidP="006B4FAE">
            <w:pPr>
              <w:ind w:firstLine="0"/>
              <w:jc w:val="left"/>
              <w:rPr>
                <w:sz w:val="20"/>
                <w:szCs w:val="26"/>
                <w:lang w:eastAsia="ru-RU"/>
              </w:rPr>
            </w:pPr>
            <w:r w:rsidRPr="004761E0">
              <w:rPr>
                <w:sz w:val="20"/>
                <w:szCs w:val="26"/>
                <w:lang w:eastAsia="ru-RU"/>
              </w:rPr>
              <w:t>Доли участия лица в уставном (складочном) капитале (паевом фонде) дочерних и зависимых обществ Общества:</w:t>
            </w:r>
          </w:p>
        </w:tc>
        <w:tc>
          <w:tcPr>
            <w:tcW w:w="4536" w:type="dxa"/>
          </w:tcPr>
          <w:p w:rsidR="006B4FAE" w:rsidRPr="004761E0" w:rsidRDefault="006B4FAE" w:rsidP="006B4FAE">
            <w:pPr>
              <w:ind w:firstLine="0"/>
              <w:jc w:val="left"/>
              <w:rPr>
                <w:sz w:val="20"/>
                <w:szCs w:val="26"/>
                <w:lang w:eastAsia="ru-RU"/>
              </w:rPr>
            </w:pPr>
            <w:r w:rsidRPr="004761E0">
              <w:rPr>
                <w:bCs/>
                <w:iCs/>
                <w:sz w:val="20"/>
                <w:szCs w:val="26"/>
                <w:lang w:eastAsia="ru-RU"/>
              </w:rPr>
              <w:t>Лицо указанных долей не имеет</w:t>
            </w:r>
          </w:p>
        </w:tc>
      </w:tr>
      <w:tr w:rsidR="006B4FAE" w:rsidRPr="004761E0" w:rsidTr="006B4FAE">
        <w:tblPrEx>
          <w:tblLook w:val="04A0"/>
        </w:tblPrEx>
        <w:tc>
          <w:tcPr>
            <w:tcW w:w="9923" w:type="dxa"/>
            <w:gridSpan w:val="3"/>
          </w:tcPr>
          <w:p w:rsidR="006B4FAE" w:rsidRPr="004761E0" w:rsidRDefault="006B4FAE" w:rsidP="006B4FAE">
            <w:pPr>
              <w:ind w:firstLine="0"/>
              <w:jc w:val="left"/>
              <w:rPr>
                <w:sz w:val="20"/>
                <w:szCs w:val="26"/>
                <w:lang w:eastAsia="ru-RU"/>
              </w:rPr>
            </w:pPr>
            <w:r w:rsidRPr="004761E0">
              <w:rPr>
                <w:sz w:val="20"/>
                <w:szCs w:val="26"/>
                <w:lang w:eastAsia="ru-RU"/>
              </w:rPr>
              <w:t>Сведения о характере любых родственных связей с иными лицами, входящими в состав органов управления Общества и/или органов контроля за финансово-хозяйственной деятельностью Общества:</w:t>
            </w:r>
          </w:p>
        </w:tc>
        <w:tc>
          <w:tcPr>
            <w:tcW w:w="4536" w:type="dxa"/>
          </w:tcPr>
          <w:p w:rsidR="006B4FAE" w:rsidRPr="004761E0" w:rsidRDefault="006B4FAE" w:rsidP="006B4FAE">
            <w:pPr>
              <w:ind w:firstLine="0"/>
              <w:jc w:val="left"/>
              <w:rPr>
                <w:sz w:val="20"/>
                <w:szCs w:val="26"/>
                <w:lang w:eastAsia="ru-RU"/>
              </w:rPr>
            </w:pPr>
            <w:r w:rsidRPr="004761E0">
              <w:rPr>
                <w:bCs/>
                <w:iCs/>
                <w:sz w:val="20"/>
                <w:szCs w:val="26"/>
                <w:lang w:eastAsia="ru-RU"/>
              </w:rPr>
              <w:t>Указанных родственных связей у лица нет.</w:t>
            </w:r>
          </w:p>
        </w:tc>
      </w:tr>
      <w:tr w:rsidR="006B4FAE" w:rsidRPr="004761E0" w:rsidTr="006B4FAE">
        <w:tblPrEx>
          <w:tblLook w:val="04A0"/>
        </w:tblPrEx>
        <w:tc>
          <w:tcPr>
            <w:tcW w:w="9923" w:type="dxa"/>
            <w:gridSpan w:val="3"/>
          </w:tcPr>
          <w:p w:rsidR="006B4FAE" w:rsidRPr="004761E0" w:rsidRDefault="006B4FAE" w:rsidP="006B4FAE">
            <w:pPr>
              <w:ind w:firstLine="0"/>
              <w:jc w:val="left"/>
              <w:rPr>
                <w:sz w:val="20"/>
                <w:szCs w:val="26"/>
                <w:lang w:eastAsia="ru-RU"/>
              </w:rPr>
            </w:pPr>
            <w:r w:rsidRPr="004761E0">
              <w:rPr>
                <w:sz w:val="20"/>
                <w:szCs w:val="26"/>
                <w:lang w:eastAsia="ru-RU"/>
              </w:rP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c>
        <w:tc>
          <w:tcPr>
            <w:tcW w:w="4536" w:type="dxa"/>
          </w:tcPr>
          <w:p w:rsidR="006B4FAE" w:rsidRPr="004761E0" w:rsidRDefault="006B4FAE" w:rsidP="006B4FAE">
            <w:pPr>
              <w:ind w:firstLine="0"/>
              <w:jc w:val="left"/>
              <w:rPr>
                <w:sz w:val="20"/>
                <w:szCs w:val="26"/>
                <w:lang w:eastAsia="ru-RU"/>
              </w:rPr>
            </w:pPr>
            <w:r w:rsidRPr="004761E0">
              <w:rPr>
                <w:bCs/>
                <w:iCs/>
                <w:sz w:val="20"/>
                <w:szCs w:val="26"/>
                <w:lang w:eastAsia="ru-RU"/>
              </w:rPr>
              <w:t>Лицо к указанным видам ответственности не привлекалось</w:t>
            </w:r>
          </w:p>
        </w:tc>
      </w:tr>
      <w:tr w:rsidR="006B4FAE" w:rsidRPr="004761E0" w:rsidTr="006B4FAE">
        <w:tblPrEx>
          <w:tblLook w:val="04A0"/>
        </w:tblPrEx>
        <w:tc>
          <w:tcPr>
            <w:tcW w:w="9923" w:type="dxa"/>
            <w:gridSpan w:val="3"/>
          </w:tcPr>
          <w:p w:rsidR="006B4FAE" w:rsidRPr="004761E0" w:rsidRDefault="006B4FAE" w:rsidP="006B4FAE">
            <w:pPr>
              <w:ind w:firstLine="0"/>
              <w:jc w:val="left"/>
              <w:rPr>
                <w:sz w:val="20"/>
                <w:szCs w:val="26"/>
                <w:lang w:eastAsia="ru-RU"/>
              </w:rPr>
            </w:pPr>
            <w:r w:rsidRPr="004761E0">
              <w:rPr>
                <w:sz w:val="20"/>
                <w:szCs w:val="26"/>
                <w:lang w:eastAsia="ru-RU"/>
              </w:rP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tc>
        <w:tc>
          <w:tcPr>
            <w:tcW w:w="4536" w:type="dxa"/>
          </w:tcPr>
          <w:p w:rsidR="006B4FAE" w:rsidRPr="004761E0" w:rsidRDefault="006B4FAE" w:rsidP="006B4FAE">
            <w:pPr>
              <w:ind w:firstLine="0"/>
              <w:jc w:val="left"/>
              <w:rPr>
                <w:sz w:val="20"/>
                <w:szCs w:val="26"/>
                <w:lang w:eastAsia="ru-RU"/>
              </w:rPr>
            </w:pPr>
            <w:r w:rsidRPr="004761E0">
              <w:rPr>
                <w:bCs/>
                <w:iCs/>
                <w:sz w:val="20"/>
                <w:szCs w:val="26"/>
                <w:lang w:eastAsia="ru-RU"/>
              </w:rPr>
              <w:t>Лицо указанных должностей не занимало.</w:t>
            </w:r>
          </w:p>
        </w:tc>
      </w:tr>
      <w:tr w:rsidR="00670B18" w:rsidRPr="004761E0" w:rsidTr="006B4FAE">
        <w:tblPrEx>
          <w:tblLook w:val="04A0"/>
        </w:tblPrEx>
        <w:tc>
          <w:tcPr>
            <w:tcW w:w="9923" w:type="dxa"/>
            <w:gridSpan w:val="3"/>
          </w:tcPr>
          <w:p w:rsidR="00670B18" w:rsidRPr="00670B18" w:rsidRDefault="00670B18" w:rsidP="00670B18">
            <w:pPr>
              <w:ind w:firstLine="0"/>
              <w:jc w:val="left"/>
              <w:rPr>
                <w:sz w:val="20"/>
                <w:szCs w:val="26"/>
                <w:lang w:eastAsia="ru-RU"/>
              </w:rPr>
            </w:pPr>
            <w:r w:rsidRPr="00670B18">
              <w:rPr>
                <w:sz w:val="20"/>
                <w:szCs w:val="26"/>
                <w:lang w:eastAsia="ru-RU"/>
              </w:rPr>
              <w:t>Сведения о сделках по приобретению или отчуждению акций Общества в течение отчетного года</w:t>
            </w:r>
            <w:r>
              <w:rPr>
                <w:sz w:val="20"/>
                <w:szCs w:val="26"/>
                <w:lang w:eastAsia="ru-RU"/>
              </w:rPr>
              <w:t>:</w:t>
            </w:r>
          </w:p>
        </w:tc>
        <w:tc>
          <w:tcPr>
            <w:tcW w:w="4536" w:type="dxa"/>
          </w:tcPr>
          <w:p w:rsidR="00670B18" w:rsidRPr="00670B18" w:rsidRDefault="00670B18" w:rsidP="00670B18">
            <w:pPr>
              <w:ind w:firstLine="0"/>
              <w:jc w:val="left"/>
              <w:rPr>
                <w:sz w:val="20"/>
                <w:szCs w:val="26"/>
                <w:lang w:eastAsia="ru-RU"/>
              </w:rPr>
            </w:pPr>
            <w:r w:rsidRPr="00670B18">
              <w:rPr>
                <w:sz w:val="20"/>
                <w:szCs w:val="26"/>
                <w:lang w:eastAsia="ru-RU"/>
              </w:rPr>
              <w:t>Лицом указанные сделки не совершались</w:t>
            </w:r>
            <w:r>
              <w:rPr>
                <w:sz w:val="20"/>
                <w:szCs w:val="26"/>
                <w:lang w:eastAsia="ru-RU"/>
              </w:rPr>
              <w:t>.</w:t>
            </w:r>
          </w:p>
        </w:tc>
      </w:tr>
      <w:tr w:rsidR="006B4FAE" w:rsidRPr="004761E0" w:rsidTr="006B4FAE">
        <w:tblPrEx>
          <w:tblLook w:val="04A0"/>
        </w:tblPrEx>
        <w:tc>
          <w:tcPr>
            <w:tcW w:w="9923" w:type="dxa"/>
            <w:gridSpan w:val="3"/>
          </w:tcPr>
          <w:p w:rsidR="006B4FAE" w:rsidRPr="004761E0" w:rsidRDefault="006B4FAE" w:rsidP="006B4FAE">
            <w:pPr>
              <w:ind w:firstLine="0"/>
              <w:jc w:val="left"/>
              <w:rPr>
                <w:sz w:val="20"/>
                <w:szCs w:val="26"/>
                <w:lang w:eastAsia="ru-RU"/>
              </w:rPr>
            </w:pPr>
            <w:r w:rsidRPr="004761E0">
              <w:rPr>
                <w:sz w:val="20"/>
                <w:szCs w:val="26"/>
                <w:lang w:eastAsia="ru-RU"/>
              </w:rPr>
              <w:t>Наличие согласия на раскрытие дан</w:t>
            </w:r>
            <w:r w:rsidR="00670B18">
              <w:rPr>
                <w:sz w:val="20"/>
                <w:szCs w:val="26"/>
                <w:lang w:eastAsia="ru-RU"/>
              </w:rPr>
              <w:t>ной информации в Годовом отчете:</w:t>
            </w:r>
          </w:p>
        </w:tc>
        <w:tc>
          <w:tcPr>
            <w:tcW w:w="4536" w:type="dxa"/>
          </w:tcPr>
          <w:p w:rsidR="006B4FAE" w:rsidRPr="004761E0" w:rsidRDefault="006B4FAE" w:rsidP="006B4FAE">
            <w:pPr>
              <w:ind w:firstLine="0"/>
              <w:jc w:val="left"/>
              <w:rPr>
                <w:bCs/>
                <w:iCs/>
                <w:sz w:val="20"/>
                <w:szCs w:val="26"/>
                <w:lang w:eastAsia="ru-RU"/>
              </w:rPr>
            </w:pPr>
            <w:r w:rsidRPr="004761E0">
              <w:rPr>
                <w:bCs/>
                <w:iCs/>
                <w:sz w:val="20"/>
                <w:szCs w:val="26"/>
                <w:lang w:eastAsia="ru-RU"/>
              </w:rPr>
              <w:t>Лицом дано подобное согласие.</w:t>
            </w:r>
          </w:p>
        </w:tc>
      </w:tr>
      <w:tr w:rsidR="006B4FAE" w:rsidRPr="004761E0" w:rsidTr="006B4FAE">
        <w:tblPrEx>
          <w:tblLook w:val="04A0"/>
        </w:tblPrEx>
        <w:tc>
          <w:tcPr>
            <w:tcW w:w="14459" w:type="dxa"/>
            <w:gridSpan w:val="4"/>
            <w:shd w:val="clear" w:color="auto" w:fill="D9D9D9"/>
          </w:tcPr>
          <w:p w:rsidR="006B4FAE" w:rsidRPr="004761E0" w:rsidRDefault="006B4FAE" w:rsidP="007076A7">
            <w:pPr>
              <w:pStyle w:val="a5"/>
              <w:numPr>
                <w:ilvl w:val="0"/>
                <w:numId w:val="275"/>
              </w:numPr>
              <w:ind w:left="601" w:hanging="567"/>
              <w:contextualSpacing w:val="0"/>
              <w:jc w:val="left"/>
              <w:rPr>
                <w:b/>
                <w:bCs/>
                <w:iCs/>
                <w:sz w:val="20"/>
                <w:szCs w:val="20"/>
                <w:lang w:eastAsia="ru-RU"/>
              </w:rPr>
            </w:pPr>
            <w:r w:rsidRPr="004761E0">
              <w:rPr>
                <w:b/>
                <w:bCs/>
                <w:iCs/>
                <w:sz w:val="20"/>
                <w:szCs w:val="20"/>
                <w:lang w:eastAsia="ru-RU"/>
              </w:rPr>
              <w:t>Гавриленко Анатолий Анатольевич</w:t>
            </w:r>
          </w:p>
        </w:tc>
      </w:tr>
      <w:tr w:rsidR="006B4FAE" w:rsidRPr="004761E0" w:rsidTr="006B4FAE">
        <w:tblPrEx>
          <w:tblLook w:val="04A0"/>
        </w:tblPrEx>
        <w:tc>
          <w:tcPr>
            <w:tcW w:w="14459" w:type="dxa"/>
            <w:gridSpan w:val="4"/>
          </w:tcPr>
          <w:p w:rsidR="006B4FAE" w:rsidRPr="004761E0" w:rsidRDefault="006B4FAE" w:rsidP="006B4FAE">
            <w:pPr>
              <w:ind w:firstLine="0"/>
              <w:jc w:val="left"/>
              <w:rPr>
                <w:bCs/>
                <w:iCs/>
                <w:sz w:val="20"/>
                <w:szCs w:val="20"/>
                <w:lang w:eastAsia="ru-RU"/>
              </w:rPr>
            </w:pPr>
            <w:r w:rsidRPr="004761E0">
              <w:rPr>
                <w:sz w:val="20"/>
                <w:szCs w:val="20"/>
                <w:lang w:eastAsia="ru-RU"/>
              </w:rPr>
              <w:t>Все должности, занимаемые данным лицом в Обществе и других организациях за последние 5 лет и в настоящее время в хронологическом порядке, в т.ч. по совместительству:</w:t>
            </w:r>
          </w:p>
        </w:tc>
      </w:tr>
      <w:tr w:rsidR="006B4FAE" w:rsidRPr="004761E0" w:rsidTr="006B4FAE">
        <w:tc>
          <w:tcPr>
            <w:tcW w:w="1843" w:type="dxa"/>
            <w:gridSpan w:val="2"/>
            <w:tcBorders>
              <w:top w:val="single" w:sz="4" w:space="0" w:color="auto"/>
              <w:left w:val="single" w:sz="4" w:space="0" w:color="auto"/>
              <w:bottom w:val="single" w:sz="4" w:space="0" w:color="FFFFFF"/>
              <w:right w:val="single" w:sz="4" w:space="0" w:color="FFFFFF"/>
            </w:tcBorders>
            <w:shd w:val="clear" w:color="auto" w:fill="0F243E"/>
            <w:vAlign w:val="center"/>
          </w:tcPr>
          <w:p w:rsidR="006B4FAE" w:rsidRPr="004761E0" w:rsidRDefault="006B4FAE" w:rsidP="006B4FAE">
            <w:pPr>
              <w:ind w:firstLine="0"/>
              <w:jc w:val="center"/>
              <w:rPr>
                <w:b/>
                <w:sz w:val="20"/>
                <w:szCs w:val="20"/>
              </w:rPr>
            </w:pPr>
            <w:r w:rsidRPr="004761E0">
              <w:rPr>
                <w:b/>
                <w:sz w:val="20"/>
                <w:szCs w:val="20"/>
              </w:rPr>
              <w:t>Период</w:t>
            </w:r>
          </w:p>
        </w:tc>
        <w:tc>
          <w:tcPr>
            <w:tcW w:w="8080" w:type="dxa"/>
            <w:vMerge w:val="restart"/>
            <w:tcBorders>
              <w:top w:val="single" w:sz="4" w:space="0" w:color="auto"/>
              <w:left w:val="single" w:sz="4" w:space="0" w:color="FFFFFF"/>
              <w:bottom w:val="single" w:sz="4" w:space="0" w:color="FFFFFF"/>
              <w:right w:val="single" w:sz="4" w:space="0" w:color="FFFFFF"/>
            </w:tcBorders>
            <w:shd w:val="clear" w:color="auto" w:fill="0F243E"/>
            <w:vAlign w:val="center"/>
          </w:tcPr>
          <w:p w:rsidR="006B4FAE" w:rsidRPr="004761E0" w:rsidRDefault="006B4FAE" w:rsidP="006B4FAE">
            <w:pPr>
              <w:ind w:firstLine="0"/>
              <w:jc w:val="left"/>
              <w:rPr>
                <w:b/>
                <w:sz w:val="20"/>
                <w:szCs w:val="20"/>
              </w:rPr>
            </w:pPr>
            <w:r w:rsidRPr="004761E0">
              <w:rPr>
                <w:b/>
                <w:sz w:val="20"/>
                <w:szCs w:val="20"/>
              </w:rPr>
              <w:t>Наименование организации</w:t>
            </w:r>
          </w:p>
        </w:tc>
        <w:tc>
          <w:tcPr>
            <w:tcW w:w="4536" w:type="dxa"/>
            <w:vMerge w:val="restart"/>
            <w:tcBorders>
              <w:top w:val="single" w:sz="4" w:space="0" w:color="auto"/>
              <w:left w:val="single" w:sz="4" w:space="0" w:color="FFFFFF"/>
              <w:bottom w:val="single" w:sz="4" w:space="0" w:color="FFFFFF"/>
              <w:right w:val="single" w:sz="4" w:space="0" w:color="auto"/>
            </w:tcBorders>
            <w:shd w:val="clear" w:color="auto" w:fill="0F243E"/>
            <w:vAlign w:val="center"/>
          </w:tcPr>
          <w:p w:rsidR="006B4FAE" w:rsidRPr="004761E0" w:rsidRDefault="006B4FAE" w:rsidP="006B4FAE">
            <w:pPr>
              <w:ind w:firstLine="0"/>
              <w:jc w:val="left"/>
              <w:rPr>
                <w:b/>
                <w:sz w:val="20"/>
                <w:szCs w:val="20"/>
              </w:rPr>
            </w:pPr>
            <w:r w:rsidRPr="004761E0">
              <w:rPr>
                <w:b/>
                <w:sz w:val="20"/>
                <w:szCs w:val="20"/>
              </w:rPr>
              <w:t>Должность</w:t>
            </w:r>
          </w:p>
        </w:tc>
      </w:tr>
      <w:tr w:rsidR="006B4FAE" w:rsidRPr="004761E0" w:rsidTr="006B4FAE">
        <w:tc>
          <w:tcPr>
            <w:tcW w:w="851" w:type="dxa"/>
            <w:tcBorders>
              <w:top w:val="single" w:sz="4" w:space="0" w:color="FFFFFF"/>
              <w:left w:val="single" w:sz="4" w:space="0" w:color="auto"/>
              <w:bottom w:val="single" w:sz="4" w:space="0" w:color="auto"/>
              <w:right w:val="single" w:sz="4" w:space="0" w:color="FFFFFF"/>
            </w:tcBorders>
            <w:shd w:val="clear" w:color="auto" w:fill="0F243E"/>
            <w:vAlign w:val="center"/>
          </w:tcPr>
          <w:p w:rsidR="006B4FAE" w:rsidRPr="004761E0" w:rsidRDefault="006B4FAE" w:rsidP="006B4FAE">
            <w:pPr>
              <w:ind w:firstLine="0"/>
              <w:jc w:val="center"/>
              <w:rPr>
                <w:b/>
                <w:sz w:val="20"/>
                <w:szCs w:val="20"/>
              </w:rPr>
            </w:pPr>
            <w:r w:rsidRPr="004761E0">
              <w:rPr>
                <w:b/>
                <w:sz w:val="20"/>
                <w:szCs w:val="20"/>
              </w:rPr>
              <w:t>с</w:t>
            </w:r>
          </w:p>
        </w:tc>
        <w:tc>
          <w:tcPr>
            <w:tcW w:w="992" w:type="dxa"/>
            <w:tcBorders>
              <w:top w:val="single" w:sz="4" w:space="0" w:color="FFFFFF"/>
              <w:left w:val="single" w:sz="4" w:space="0" w:color="FFFFFF"/>
              <w:bottom w:val="single" w:sz="4" w:space="0" w:color="auto"/>
              <w:right w:val="single" w:sz="4" w:space="0" w:color="FFFFFF"/>
            </w:tcBorders>
            <w:shd w:val="clear" w:color="auto" w:fill="0F243E"/>
            <w:vAlign w:val="center"/>
          </w:tcPr>
          <w:p w:rsidR="006B4FAE" w:rsidRPr="004761E0" w:rsidRDefault="006B4FAE" w:rsidP="006B4FAE">
            <w:pPr>
              <w:ind w:firstLine="0"/>
              <w:jc w:val="center"/>
              <w:rPr>
                <w:b/>
                <w:sz w:val="20"/>
                <w:szCs w:val="20"/>
              </w:rPr>
            </w:pPr>
            <w:r w:rsidRPr="004761E0">
              <w:rPr>
                <w:b/>
                <w:sz w:val="20"/>
                <w:szCs w:val="20"/>
              </w:rPr>
              <w:t>по</w:t>
            </w:r>
          </w:p>
        </w:tc>
        <w:tc>
          <w:tcPr>
            <w:tcW w:w="8080" w:type="dxa"/>
            <w:vMerge/>
            <w:tcBorders>
              <w:top w:val="single" w:sz="4" w:space="0" w:color="FFFFFF"/>
              <w:left w:val="single" w:sz="4" w:space="0" w:color="FFFFFF"/>
              <w:bottom w:val="single" w:sz="4" w:space="0" w:color="auto"/>
              <w:right w:val="single" w:sz="4" w:space="0" w:color="FFFFFF"/>
            </w:tcBorders>
            <w:shd w:val="clear" w:color="auto" w:fill="0F243E"/>
            <w:vAlign w:val="center"/>
          </w:tcPr>
          <w:p w:rsidR="006B4FAE" w:rsidRPr="004761E0" w:rsidRDefault="006B4FAE" w:rsidP="006B4FAE">
            <w:pPr>
              <w:jc w:val="center"/>
              <w:rPr>
                <w:sz w:val="20"/>
                <w:szCs w:val="20"/>
              </w:rPr>
            </w:pPr>
          </w:p>
        </w:tc>
        <w:tc>
          <w:tcPr>
            <w:tcW w:w="4536" w:type="dxa"/>
            <w:vMerge/>
            <w:tcBorders>
              <w:top w:val="single" w:sz="4" w:space="0" w:color="FFFFFF"/>
              <w:left w:val="single" w:sz="4" w:space="0" w:color="FFFFFF"/>
              <w:bottom w:val="single" w:sz="4" w:space="0" w:color="auto"/>
              <w:right w:val="single" w:sz="4" w:space="0" w:color="auto"/>
            </w:tcBorders>
            <w:shd w:val="clear" w:color="auto" w:fill="0F243E"/>
            <w:vAlign w:val="center"/>
          </w:tcPr>
          <w:p w:rsidR="006B4FAE" w:rsidRPr="004761E0" w:rsidRDefault="006B4FAE" w:rsidP="006B4FAE">
            <w:pPr>
              <w:jc w:val="center"/>
              <w:rPr>
                <w:sz w:val="20"/>
                <w:szCs w:val="20"/>
              </w:rPr>
            </w:pPr>
          </w:p>
        </w:tc>
      </w:tr>
      <w:tr w:rsidR="006B4FAE" w:rsidRPr="004761E0" w:rsidTr="006B4FAE">
        <w:tc>
          <w:tcPr>
            <w:tcW w:w="851" w:type="dxa"/>
            <w:tcBorders>
              <w:top w:val="single" w:sz="4" w:space="0" w:color="auto"/>
            </w:tcBorders>
            <w:shd w:val="clear" w:color="auto" w:fill="auto"/>
          </w:tcPr>
          <w:p w:rsidR="006B4FAE" w:rsidRPr="004761E0" w:rsidRDefault="006B4FAE" w:rsidP="006B4FAE">
            <w:pPr>
              <w:ind w:firstLine="0"/>
              <w:jc w:val="left"/>
              <w:rPr>
                <w:sz w:val="20"/>
                <w:szCs w:val="20"/>
              </w:rPr>
            </w:pPr>
            <w:r w:rsidRPr="004761E0">
              <w:rPr>
                <w:sz w:val="20"/>
                <w:szCs w:val="20"/>
              </w:rPr>
              <w:t>2008</w:t>
            </w:r>
          </w:p>
        </w:tc>
        <w:tc>
          <w:tcPr>
            <w:tcW w:w="992" w:type="dxa"/>
            <w:tcBorders>
              <w:top w:val="single" w:sz="4" w:space="0" w:color="auto"/>
            </w:tcBorders>
            <w:shd w:val="clear" w:color="auto" w:fill="auto"/>
          </w:tcPr>
          <w:p w:rsidR="006B4FAE" w:rsidRPr="004761E0" w:rsidRDefault="006B4FAE" w:rsidP="006B4FAE">
            <w:pPr>
              <w:ind w:firstLine="0"/>
              <w:jc w:val="left"/>
              <w:rPr>
                <w:sz w:val="20"/>
                <w:szCs w:val="20"/>
              </w:rPr>
            </w:pPr>
            <w:r w:rsidRPr="004761E0">
              <w:rPr>
                <w:sz w:val="20"/>
                <w:szCs w:val="20"/>
              </w:rPr>
              <w:t>2011</w:t>
            </w:r>
          </w:p>
        </w:tc>
        <w:tc>
          <w:tcPr>
            <w:tcW w:w="8080" w:type="dxa"/>
            <w:tcBorders>
              <w:top w:val="single" w:sz="4" w:space="0" w:color="auto"/>
            </w:tcBorders>
            <w:shd w:val="clear" w:color="auto" w:fill="auto"/>
          </w:tcPr>
          <w:p w:rsidR="006B4FAE" w:rsidRPr="004761E0" w:rsidRDefault="0008080E" w:rsidP="006B4FAE">
            <w:pPr>
              <w:ind w:firstLine="0"/>
              <w:jc w:val="left"/>
              <w:rPr>
                <w:sz w:val="20"/>
                <w:szCs w:val="20"/>
              </w:rPr>
            </w:pPr>
            <w:r>
              <w:rPr>
                <w:sz w:val="20"/>
                <w:szCs w:val="20"/>
              </w:rPr>
              <w:t>ОАО </w:t>
            </w:r>
            <w:r w:rsidR="006B4FAE" w:rsidRPr="004761E0">
              <w:rPr>
                <w:sz w:val="20"/>
                <w:szCs w:val="20"/>
              </w:rPr>
              <w:t>«ОГК-6»</w:t>
            </w:r>
          </w:p>
        </w:tc>
        <w:tc>
          <w:tcPr>
            <w:tcW w:w="4536" w:type="dxa"/>
            <w:tcBorders>
              <w:top w:val="single" w:sz="4" w:space="0" w:color="auto"/>
            </w:tcBorders>
            <w:shd w:val="clear" w:color="auto" w:fill="auto"/>
          </w:tcPr>
          <w:p w:rsidR="006B4FAE" w:rsidRPr="004761E0" w:rsidRDefault="006B4FAE" w:rsidP="006B4FAE">
            <w:pPr>
              <w:ind w:firstLine="0"/>
              <w:jc w:val="left"/>
              <w:rPr>
                <w:sz w:val="20"/>
                <w:szCs w:val="20"/>
              </w:rPr>
            </w:pPr>
            <w:r w:rsidRPr="004761E0">
              <w:rPr>
                <w:sz w:val="20"/>
                <w:szCs w:val="20"/>
              </w:rPr>
              <w:t>Член Совета директоров</w:t>
            </w:r>
          </w:p>
        </w:tc>
      </w:tr>
      <w:tr w:rsidR="006B4FAE" w:rsidRPr="004761E0" w:rsidTr="006B4FAE">
        <w:tc>
          <w:tcPr>
            <w:tcW w:w="851" w:type="dxa"/>
            <w:shd w:val="clear" w:color="auto" w:fill="auto"/>
          </w:tcPr>
          <w:p w:rsidR="006B4FAE" w:rsidRPr="004761E0" w:rsidRDefault="006B4FAE" w:rsidP="006B4FAE">
            <w:pPr>
              <w:ind w:firstLine="0"/>
              <w:jc w:val="left"/>
              <w:rPr>
                <w:sz w:val="20"/>
                <w:szCs w:val="20"/>
              </w:rPr>
            </w:pPr>
            <w:r w:rsidRPr="004761E0">
              <w:rPr>
                <w:sz w:val="20"/>
                <w:szCs w:val="20"/>
              </w:rPr>
              <w:t>2008</w:t>
            </w:r>
          </w:p>
        </w:tc>
        <w:tc>
          <w:tcPr>
            <w:tcW w:w="992" w:type="dxa"/>
            <w:shd w:val="clear" w:color="auto" w:fill="auto"/>
          </w:tcPr>
          <w:p w:rsidR="006B4FAE" w:rsidRPr="004761E0" w:rsidRDefault="006B4FAE" w:rsidP="006B4FAE">
            <w:pPr>
              <w:ind w:firstLine="0"/>
              <w:jc w:val="left"/>
              <w:rPr>
                <w:sz w:val="20"/>
                <w:szCs w:val="20"/>
              </w:rPr>
            </w:pPr>
            <w:r w:rsidRPr="004761E0">
              <w:rPr>
                <w:sz w:val="20"/>
                <w:szCs w:val="20"/>
              </w:rPr>
              <w:t>2013</w:t>
            </w:r>
          </w:p>
        </w:tc>
        <w:tc>
          <w:tcPr>
            <w:tcW w:w="8080" w:type="dxa"/>
            <w:shd w:val="clear" w:color="auto" w:fill="auto"/>
          </w:tcPr>
          <w:p w:rsidR="006B4FAE" w:rsidRPr="004761E0" w:rsidRDefault="0008080E" w:rsidP="006B4FAE">
            <w:pPr>
              <w:ind w:firstLine="0"/>
              <w:jc w:val="left"/>
              <w:rPr>
                <w:sz w:val="20"/>
                <w:szCs w:val="20"/>
              </w:rPr>
            </w:pPr>
            <w:r>
              <w:rPr>
                <w:sz w:val="20"/>
                <w:szCs w:val="20"/>
              </w:rPr>
              <w:t>ОАО </w:t>
            </w:r>
            <w:r w:rsidR="006B4FAE" w:rsidRPr="004761E0">
              <w:rPr>
                <w:sz w:val="20"/>
                <w:szCs w:val="20"/>
              </w:rPr>
              <w:t>«ОГК-2»</w:t>
            </w:r>
          </w:p>
        </w:tc>
        <w:tc>
          <w:tcPr>
            <w:tcW w:w="4536" w:type="dxa"/>
            <w:shd w:val="clear" w:color="auto" w:fill="auto"/>
          </w:tcPr>
          <w:p w:rsidR="006B4FAE" w:rsidRPr="004761E0" w:rsidRDefault="006B4FAE" w:rsidP="006B4FAE">
            <w:pPr>
              <w:ind w:firstLine="0"/>
              <w:jc w:val="left"/>
              <w:rPr>
                <w:sz w:val="20"/>
                <w:szCs w:val="20"/>
              </w:rPr>
            </w:pPr>
            <w:r w:rsidRPr="004761E0">
              <w:rPr>
                <w:sz w:val="20"/>
                <w:szCs w:val="20"/>
              </w:rPr>
              <w:t>Член Совета директоров</w:t>
            </w:r>
          </w:p>
        </w:tc>
      </w:tr>
      <w:tr w:rsidR="006B4FAE" w:rsidRPr="004761E0" w:rsidTr="006B4FAE">
        <w:tc>
          <w:tcPr>
            <w:tcW w:w="851" w:type="dxa"/>
            <w:shd w:val="clear" w:color="auto" w:fill="auto"/>
          </w:tcPr>
          <w:p w:rsidR="006B4FAE" w:rsidRPr="004761E0" w:rsidRDefault="006B4FAE" w:rsidP="006B4FAE">
            <w:pPr>
              <w:ind w:firstLine="0"/>
              <w:jc w:val="left"/>
              <w:rPr>
                <w:sz w:val="20"/>
                <w:szCs w:val="20"/>
              </w:rPr>
            </w:pPr>
            <w:r w:rsidRPr="004761E0">
              <w:rPr>
                <w:sz w:val="20"/>
                <w:szCs w:val="20"/>
              </w:rPr>
              <w:t>2011</w:t>
            </w:r>
          </w:p>
        </w:tc>
        <w:tc>
          <w:tcPr>
            <w:tcW w:w="992" w:type="dxa"/>
            <w:shd w:val="clear" w:color="auto" w:fill="auto"/>
          </w:tcPr>
          <w:p w:rsidR="006B4FAE" w:rsidRPr="004761E0" w:rsidRDefault="006B4FAE" w:rsidP="006B4FAE">
            <w:pPr>
              <w:ind w:firstLine="0"/>
              <w:jc w:val="left"/>
              <w:rPr>
                <w:sz w:val="20"/>
                <w:szCs w:val="20"/>
              </w:rPr>
            </w:pPr>
            <w:r w:rsidRPr="004761E0">
              <w:rPr>
                <w:sz w:val="20"/>
                <w:szCs w:val="20"/>
              </w:rPr>
              <w:t>2013</w:t>
            </w:r>
          </w:p>
        </w:tc>
        <w:tc>
          <w:tcPr>
            <w:tcW w:w="8080" w:type="dxa"/>
            <w:shd w:val="clear" w:color="auto" w:fill="auto"/>
          </w:tcPr>
          <w:p w:rsidR="006B4FAE" w:rsidRPr="004761E0" w:rsidRDefault="0008080E" w:rsidP="006B4FAE">
            <w:pPr>
              <w:ind w:firstLine="0"/>
              <w:jc w:val="left"/>
              <w:rPr>
                <w:sz w:val="20"/>
                <w:szCs w:val="20"/>
              </w:rPr>
            </w:pPr>
            <w:r>
              <w:rPr>
                <w:sz w:val="20"/>
                <w:szCs w:val="20"/>
              </w:rPr>
              <w:t>ОАО </w:t>
            </w:r>
            <w:r w:rsidR="006B4FAE" w:rsidRPr="004761E0">
              <w:rPr>
                <w:sz w:val="20"/>
                <w:szCs w:val="20"/>
              </w:rPr>
              <w:t>«ТГК-1»</w:t>
            </w:r>
          </w:p>
        </w:tc>
        <w:tc>
          <w:tcPr>
            <w:tcW w:w="4536" w:type="dxa"/>
            <w:shd w:val="clear" w:color="auto" w:fill="auto"/>
          </w:tcPr>
          <w:p w:rsidR="006B4FAE" w:rsidRPr="004761E0" w:rsidRDefault="006B4FAE" w:rsidP="006B4FAE">
            <w:pPr>
              <w:ind w:firstLine="0"/>
              <w:jc w:val="left"/>
              <w:rPr>
                <w:sz w:val="20"/>
                <w:szCs w:val="20"/>
              </w:rPr>
            </w:pPr>
            <w:r w:rsidRPr="004761E0">
              <w:rPr>
                <w:sz w:val="20"/>
                <w:szCs w:val="20"/>
              </w:rPr>
              <w:t>Член Совета директоров</w:t>
            </w:r>
          </w:p>
        </w:tc>
      </w:tr>
      <w:tr w:rsidR="006B4FAE" w:rsidRPr="004761E0" w:rsidTr="006B4FAE">
        <w:tc>
          <w:tcPr>
            <w:tcW w:w="851" w:type="dxa"/>
            <w:shd w:val="clear" w:color="auto" w:fill="auto"/>
          </w:tcPr>
          <w:p w:rsidR="006B4FAE" w:rsidRPr="004761E0" w:rsidRDefault="006B4FAE" w:rsidP="006B4FAE">
            <w:pPr>
              <w:ind w:firstLine="0"/>
              <w:jc w:val="left"/>
              <w:rPr>
                <w:sz w:val="20"/>
                <w:szCs w:val="20"/>
              </w:rPr>
            </w:pPr>
            <w:r w:rsidRPr="004761E0">
              <w:rPr>
                <w:sz w:val="20"/>
                <w:szCs w:val="20"/>
              </w:rPr>
              <w:t>2011</w:t>
            </w:r>
          </w:p>
        </w:tc>
        <w:tc>
          <w:tcPr>
            <w:tcW w:w="992" w:type="dxa"/>
            <w:shd w:val="clear" w:color="auto" w:fill="auto"/>
          </w:tcPr>
          <w:p w:rsidR="006B4FAE" w:rsidRPr="004761E0" w:rsidRDefault="006B4FAE" w:rsidP="006B4FAE">
            <w:pPr>
              <w:ind w:firstLine="0"/>
              <w:jc w:val="left"/>
              <w:rPr>
                <w:sz w:val="20"/>
                <w:szCs w:val="20"/>
              </w:rPr>
            </w:pPr>
            <w:r w:rsidRPr="004761E0">
              <w:rPr>
                <w:sz w:val="20"/>
                <w:szCs w:val="20"/>
              </w:rPr>
              <w:t>2013</w:t>
            </w:r>
          </w:p>
        </w:tc>
        <w:tc>
          <w:tcPr>
            <w:tcW w:w="8080" w:type="dxa"/>
            <w:shd w:val="clear" w:color="auto" w:fill="auto"/>
          </w:tcPr>
          <w:p w:rsidR="006B4FAE" w:rsidRPr="004761E0" w:rsidRDefault="0008080E" w:rsidP="006B4FAE">
            <w:pPr>
              <w:ind w:firstLine="0"/>
              <w:jc w:val="left"/>
              <w:rPr>
                <w:sz w:val="20"/>
                <w:szCs w:val="20"/>
              </w:rPr>
            </w:pPr>
            <w:r>
              <w:rPr>
                <w:sz w:val="20"/>
                <w:szCs w:val="20"/>
              </w:rPr>
              <w:t>ОАО </w:t>
            </w:r>
            <w:r w:rsidR="006B4FAE" w:rsidRPr="004761E0">
              <w:rPr>
                <w:sz w:val="20"/>
                <w:szCs w:val="20"/>
              </w:rPr>
              <w:t>«Газпром нефтехим Салават»</w:t>
            </w:r>
          </w:p>
        </w:tc>
        <w:tc>
          <w:tcPr>
            <w:tcW w:w="4536" w:type="dxa"/>
            <w:shd w:val="clear" w:color="auto" w:fill="auto"/>
          </w:tcPr>
          <w:p w:rsidR="006B4FAE" w:rsidRPr="004761E0" w:rsidRDefault="006B4FAE" w:rsidP="006B4FAE">
            <w:pPr>
              <w:ind w:firstLine="0"/>
              <w:jc w:val="left"/>
              <w:rPr>
                <w:sz w:val="20"/>
                <w:szCs w:val="20"/>
              </w:rPr>
            </w:pPr>
            <w:r w:rsidRPr="004761E0">
              <w:rPr>
                <w:sz w:val="20"/>
                <w:szCs w:val="20"/>
              </w:rPr>
              <w:t>Член Совета директоров</w:t>
            </w:r>
          </w:p>
        </w:tc>
      </w:tr>
      <w:tr w:rsidR="006B4FAE" w:rsidRPr="004761E0" w:rsidTr="006B4FAE">
        <w:tc>
          <w:tcPr>
            <w:tcW w:w="851" w:type="dxa"/>
            <w:shd w:val="clear" w:color="auto" w:fill="auto"/>
          </w:tcPr>
          <w:p w:rsidR="006B4FAE" w:rsidRPr="004761E0" w:rsidRDefault="006B4FAE" w:rsidP="006B4FAE">
            <w:pPr>
              <w:ind w:firstLine="0"/>
              <w:jc w:val="left"/>
              <w:rPr>
                <w:sz w:val="20"/>
                <w:szCs w:val="20"/>
              </w:rPr>
            </w:pPr>
            <w:r w:rsidRPr="004761E0">
              <w:rPr>
                <w:sz w:val="20"/>
                <w:szCs w:val="20"/>
              </w:rPr>
              <w:t>2013</w:t>
            </w:r>
          </w:p>
        </w:tc>
        <w:tc>
          <w:tcPr>
            <w:tcW w:w="992" w:type="dxa"/>
            <w:shd w:val="clear" w:color="auto" w:fill="auto"/>
          </w:tcPr>
          <w:p w:rsidR="006B4FAE" w:rsidRPr="004761E0" w:rsidRDefault="006B4FAE" w:rsidP="006B4FAE">
            <w:pPr>
              <w:ind w:firstLine="0"/>
              <w:jc w:val="left"/>
              <w:rPr>
                <w:sz w:val="20"/>
                <w:szCs w:val="20"/>
              </w:rPr>
            </w:pPr>
            <w:r w:rsidRPr="004761E0">
              <w:rPr>
                <w:sz w:val="20"/>
                <w:szCs w:val="20"/>
              </w:rPr>
              <w:t>2013</w:t>
            </w:r>
          </w:p>
        </w:tc>
        <w:tc>
          <w:tcPr>
            <w:tcW w:w="8080" w:type="dxa"/>
            <w:shd w:val="clear" w:color="auto" w:fill="auto"/>
          </w:tcPr>
          <w:p w:rsidR="006B4FAE" w:rsidRPr="004761E0" w:rsidRDefault="0008080E" w:rsidP="006B4FAE">
            <w:pPr>
              <w:ind w:firstLine="0"/>
              <w:jc w:val="left"/>
              <w:rPr>
                <w:sz w:val="20"/>
                <w:szCs w:val="20"/>
              </w:rPr>
            </w:pPr>
            <w:r>
              <w:rPr>
                <w:sz w:val="20"/>
                <w:szCs w:val="20"/>
              </w:rPr>
              <w:t>ООО </w:t>
            </w:r>
            <w:r w:rsidR="006B4FAE" w:rsidRPr="004761E0">
              <w:rPr>
                <w:sz w:val="20"/>
                <w:szCs w:val="20"/>
              </w:rPr>
              <w:t>«Истра Менеджмент»</w:t>
            </w:r>
          </w:p>
        </w:tc>
        <w:tc>
          <w:tcPr>
            <w:tcW w:w="4536" w:type="dxa"/>
            <w:shd w:val="clear" w:color="auto" w:fill="auto"/>
          </w:tcPr>
          <w:p w:rsidR="006B4FAE" w:rsidRPr="004761E0" w:rsidRDefault="006B4FAE" w:rsidP="006B4FAE">
            <w:pPr>
              <w:ind w:firstLine="0"/>
              <w:jc w:val="left"/>
              <w:rPr>
                <w:sz w:val="20"/>
                <w:szCs w:val="20"/>
              </w:rPr>
            </w:pPr>
            <w:r w:rsidRPr="004761E0">
              <w:rPr>
                <w:sz w:val="20"/>
                <w:szCs w:val="20"/>
              </w:rPr>
              <w:t>Член Совета директоров</w:t>
            </w:r>
          </w:p>
        </w:tc>
      </w:tr>
      <w:tr w:rsidR="006B4FAE" w:rsidRPr="004761E0" w:rsidTr="006B4FAE">
        <w:tc>
          <w:tcPr>
            <w:tcW w:w="851" w:type="dxa"/>
            <w:shd w:val="clear" w:color="auto" w:fill="auto"/>
          </w:tcPr>
          <w:p w:rsidR="006B4FAE" w:rsidRPr="004761E0" w:rsidRDefault="006B4FAE" w:rsidP="006B4FAE">
            <w:pPr>
              <w:ind w:firstLine="0"/>
              <w:jc w:val="left"/>
              <w:rPr>
                <w:sz w:val="20"/>
                <w:szCs w:val="20"/>
              </w:rPr>
            </w:pPr>
            <w:r w:rsidRPr="004761E0">
              <w:rPr>
                <w:sz w:val="20"/>
                <w:szCs w:val="20"/>
              </w:rPr>
              <w:t>2013</w:t>
            </w:r>
          </w:p>
        </w:tc>
        <w:tc>
          <w:tcPr>
            <w:tcW w:w="992" w:type="dxa"/>
            <w:shd w:val="clear" w:color="auto" w:fill="auto"/>
          </w:tcPr>
          <w:p w:rsidR="006B4FAE" w:rsidRPr="004761E0" w:rsidRDefault="006B4FAE" w:rsidP="006B4FAE">
            <w:pPr>
              <w:ind w:firstLine="0"/>
              <w:jc w:val="left"/>
              <w:rPr>
                <w:sz w:val="20"/>
                <w:szCs w:val="20"/>
              </w:rPr>
            </w:pPr>
            <w:r w:rsidRPr="004761E0">
              <w:rPr>
                <w:sz w:val="20"/>
                <w:szCs w:val="20"/>
              </w:rPr>
              <w:t>наст.вр.</w:t>
            </w:r>
          </w:p>
        </w:tc>
        <w:tc>
          <w:tcPr>
            <w:tcW w:w="8080" w:type="dxa"/>
            <w:shd w:val="clear" w:color="auto" w:fill="auto"/>
          </w:tcPr>
          <w:p w:rsidR="006B4FAE" w:rsidRPr="004761E0" w:rsidRDefault="0008080E" w:rsidP="006B4FAE">
            <w:pPr>
              <w:ind w:firstLine="0"/>
              <w:jc w:val="left"/>
              <w:rPr>
                <w:sz w:val="20"/>
                <w:szCs w:val="20"/>
              </w:rPr>
            </w:pPr>
            <w:r>
              <w:rPr>
                <w:sz w:val="20"/>
                <w:szCs w:val="20"/>
              </w:rPr>
              <w:t>ОАО </w:t>
            </w:r>
            <w:r w:rsidR="006B4FAE" w:rsidRPr="004761E0">
              <w:rPr>
                <w:sz w:val="20"/>
                <w:szCs w:val="20"/>
              </w:rPr>
              <w:t>«Мосэнерго»</w:t>
            </w:r>
          </w:p>
        </w:tc>
        <w:tc>
          <w:tcPr>
            <w:tcW w:w="4536" w:type="dxa"/>
            <w:shd w:val="clear" w:color="auto" w:fill="auto"/>
          </w:tcPr>
          <w:p w:rsidR="006B4FAE" w:rsidRPr="004761E0" w:rsidRDefault="006B4FAE" w:rsidP="006B4FAE">
            <w:pPr>
              <w:ind w:firstLine="0"/>
              <w:jc w:val="left"/>
              <w:rPr>
                <w:sz w:val="20"/>
                <w:szCs w:val="20"/>
              </w:rPr>
            </w:pPr>
            <w:r w:rsidRPr="004761E0">
              <w:rPr>
                <w:sz w:val="20"/>
                <w:szCs w:val="20"/>
              </w:rPr>
              <w:t>Член Совета директоров</w:t>
            </w:r>
          </w:p>
        </w:tc>
      </w:tr>
      <w:tr w:rsidR="006B4FAE" w:rsidRPr="004761E0" w:rsidTr="006B4FAE">
        <w:tc>
          <w:tcPr>
            <w:tcW w:w="851" w:type="dxa"/>
            <w:shd w:val="clear" w:color="auto" w:fill="auto"/>
          </w:tcPr>
          <w:p w:rsidR="006B4FAE" w:rsidRPr="004761E0" w:rsidRDefault="006B4FAE" w:rsidP="006B4FAE">
            <w:pPr>
              <w:ind w:firstLine="0"/>
              <w:jc w:val="left"/>
              <w:rPr>
                <w:sz w:val="20"/>
                <w:szCs w:val="20"/>
              </w:rPr>
            </w:pPr>
            <w:r w:rsidRPr="004761E0">
              <w:rPr>
                <w:sz w:val="20"/>
                <w:szCs w:val="20"/>
              </w:rPr>
              <w:t>2004</w:t>
            </w:r>
          </w:p>
        </w:tc>
        <w:tc>
          <w:tcPr>
            <w:tcW w:w="992" w:type="dxa"/>
            <w:shd w:val="clear" w:color="auto" w:fill="auto"/>
          </w:tcPr>
          <w:p w:rsidR="006B4FAE" w:rsidRPr="004761E0" w:rsidRDefault="006B4FAE" w:rsidP="006B4FAE">
            <w:pPr>
              <w:ind w:firstLine="0"/>
              <w:jc w:val="left"/>
              <w:rPr>
                <w:sz w:val="20"/>
                <w:szCs w:val="20"/>
              </w:rPr>
            </w:pPr>
            <w:r w:rsidRPr="004761E0">
              <w:rPr>
                <w:sz w:val="20"/>
                <w:szCs w:val="20"/>
              </w:rPr>
              <w:t>наст.вр.</w:t>
            </w:r>
          </w:p>
        </w:tc>
        <w:tc>
          <w:tcPr>
            <w:tcW w:w="8080" w:type="dxa"/>
            <w:shd w:val="clear" w:color="auto" w:fill="auto"/>
          </w:tcPr>
          <w:p w:rsidR="006B4FAE" w:rsidRPr="004761E0" w:rsidRDefault="0008080E" w:rsidP="006B4FAE">
            <w:pPr>
              <w:ind w:firstLine="0"/>
              <w:jc w:val="left"/>
              <w:rPr>
                <w:sz w:val="20"/>
                <w:szCs w:val="20"/>
              </w:rPr>
            </w:pPr>
            <w:r>
              <w:rPr>
                <w:sz w:val="20"/>
                <w:szCs w:val="20"/>
              </w:rPr>
              <w:t>ЗАО </w:t>
            </w:r>
            <w:r w:rsidR="006B4FAE" w:rsidRPr="004761E0">
              <w:rPr>
                <w:sz w:val="20"/>
                <w:szCs w:val="20"/>
              </w:rPr>
              <w:t>«Лидер» (Компания по управлению активами пенсионного фонда)</w:t>
            </w:r>
          </w:p>
        </w:tc>
        <w:tc>
          <w:tcPr>
            <w:tcW w:w="4536" w:type="dxa"/>
            <w:shd w:val="clear" w:color="auto" w:fill="auto"/>
          </w:tcPr>
          <w:p w:rsidR="006B4FAE" w:rsidRPr="004761E0" w:rsidRDefault="006B4FAE" w:rsidP="006B4FAE">
            <w:pPr>
              <w:ind w:firstLine="0"/>
              <w:jc w:val="left"/>
              <w:rPr>
                <w:sz w:val="20"/>
                <w:szCs w:val="20"/>
              </w:rPr>
            </w:pPr>
            <w:r w:rsidRPr="004761E0">
              <w:rPr>
                <w:sz w:val="20"/>
                <w:szCs w:val="20"/>
              </w:rPr>
              <w:t>Генеральный директор, Член Совета директоров</w:t>
            </w:r>
          </w:p>
        </w:tc>
      </w:tr>
      <w:tr w:rsidR="006B4FAE" w:rsidRPr="004761E0" w:rsidTr="006B4FAE">
        <w:tc>
          <w:tcPr>
            <w:tcW w:w="851" w:type="dxa"/>
            <w:shd w:val="clear" w:color="auto" w:fill="auto"/>
          </w:tcPr>
          <w:p w:rsidR="006B4FAE" w:rsidRPr="004761E0" w:rsidRDefault="006B4FAE" w:rsidP="006B4FAE">
            <w:pPr>
              <w:ind w:firstLine="0"/>
              <w:jc w:val="left"/>
              <w:rPr>
                <w:sz w:val="20"/>
                <w:szCs w:val="20"/>
              </w:rPr>
            </w:pPr>
            <w:r w:rsidRPr="004761E0">
              <w:rPr>
                <w:sz w:val="20"/>
                <w:szCs w:val="20"/>
              </w:rPr>
              <w:t>2005</w:t>
            </w:r>
          </w:p>
        </w:tc>
        <w:tc>
          <w:tcPr>
            <w:tcW w:w="992" w:type="dxa"/>
            <w:shd w:val="clear" w:color="auto" w:fill="auto"/>
          </w:tcPr>
          <w:p w:rsidR="006B4FAE" w:rsidRPr="004761E0" w:rsidRDefault="006B4FAE" w:rsidP="006B4FAE">
            <w:pPr>
              <w:ind w:firstLine="0"/>
              <w:jc w:val="left"/>
              <w:rPr>
                <w:sz w:val="20"/>
                <w:szCs w:val="20"/>
              </w:rPr>
            </w:pPr>
            <w:r w:rsidRPr="004761E0">
              <w:rPr>
                <w:sz w:val="20"/>
                <w:szCs w:val="20"/>
              </w:rPr>
              <w:t>наст.вр.</w:t>
            </w:r>
          </w:p>
        </w:tc>
        <w:tc>
          <w:tcPr>
            <w:tcW w:w="8080" w:type="dxa"/>
            <w:shd w:val="clear" w:color="auto" w:fill="auto"/>
          </w:tcPr>
          <w:p w:rsidR="006B4FAE" w:rsidRPr="004761E0" w:rsidRDefault="0008080E" w:rsidP="006B4FAE">
            <w:pPr>
              <w:ind w:firstLine="0"/>
              <w:jc w:val="left"/>
              <w:rPr>
                <w:sz w:val="20"/>
                <w:szCs w:val="20"/>
              </w:rPr>
            </w:pPr>
            <w:r>
              <w:rPr>
                <w:sz w:val="20"/>
                <w:szCs w:val="20"/>
              </w:rPr>
              <w:t>ОАО </w:t>
            </w:r>
            <w:r w:rsidR="006B4FAE" w:rsidRPr="004761E0">
              <w:rPr>
                <w:sz w:val="20"/>
                <w:szCs w:val="20"/>
              </w:rPr>
              <w:t>«МОЭСК»</w:t>
            </w:r>
          </w:p>
        </w:tc>
        <w:tc>
          <w:tcPr>
            <w:tcW w:w="4536" w:type="dxa"/>
            <w:shd w:val="clear" w:color="auto" w:fill="auto"/>
          </w:tcPr>
          <w:p w:rsidR="006B4FAE" w:rsidRPr="004761E0" w:rsidRDefault="006B4FAE" w:rsidP="006B4FAE">
            <w:pPr>
              <w:ind w:firstLine="0"/>
              <w:jc w:val="left"/>
              <w:rPr>
                <w:sz w:val="20"/>
                <w:szCs w:val="20"/>
              </w:rPr>
            </w:pPr>
            <w:r w:rsidRPr="004761E0">
              <w:rPr>
                <w:sz w:val="20"/>
                <w:szCs w:val="20"/>
              </w:rPr>
              <w:t>Член Совета директоров</w:t>
            </w:r>
          </w:p>
        </w:tc>
      </w:tr>
      <w:tr w:rsidR="006B4FAE" w:rsidRPr="004761E0" w:rsidTr="006B4FAE">
        <w:tc>
          <w:tcPr>
            <w:tcW w:w="851" w:type="dxa"/>
            <w:shd w:val="clear" w:color="auto" w:fill="auto"/>
          </w:tcPr>
          <w:p w:rsidR="006B4FAE" w:rsidRPr="004761E0" w:rsidRDefault="006B4FAE" w:rsidP="006B4FAE">
            <w:pPr>
              <w:ind w:firstLine="0"/>
              <w:jc w:val="left"/>
              <w:rPr>
                <w:sz w:val="20"/>
                <w:szCs w:val="20"/>
              </w:rPr>
            </w:pPr>
            <w:r w:rsidRPr="004761E0">
              <w:rPr>
                <w:sz w:val="20"/>
                <w:szCs w:val="20"/>
              </w:rPr>
              <w:t>2008</w:t>
            </w:r>
          </w:p>
        </w:tc>
        <w:tc>
          <w:tcPr>
            <w:tcW w:w="992" w:type="dxa"/>
            <w:shd w:val="clear" w:color="auto" w:fill="auto"/>
          </w:tcPr>
          <w:p w:rsidR="006B4FAE" w:rsidRPr="004761E0" w:rsidRDefault="006B4FAE" w:rsidP="006B4FAE">
            <w:pPr>
              <w:ind w:firstLine="0"/>
              <w:jc w:val="left"/>
              <w:rPr>
                <w:sz w:val="20"/>
                <w:szCs w:val="20"/>
              </w:rPr>
            </w:pPr>
            <w:r w:rsidRPr="004761E0">
              <w:rPr>
                <w:sz w:val="20"/>
                <w:szCs w:val="20"/>
              </w:rPr>
              <w:t>наст.вр.</w:t>
            </w:r>
          </w:p>
        </w:tc>
        <w:tc>
          <w:tcPr>
            <w:tcW w:w="8080" w:type="dxa"/>
            <w:shd w:val="clear" w:color="auto" w:fill="auto"/>
          </w:tcPr>
          <w:p w:rsidR="006B4FAE" w:rsidRPr="004761E0" w:rsidRDefault="006B4FAE" w:rsidP="006B4FAE">
            <w:pPr>
              <w:ind w:firstLine="0"/>
              <w:jc w:val="left"/>
              <w:rPr>
                <w:sz w:val="20"/>
                <w:szCs w:val="20"/>
              </w:rPr>
            </w:pPr>
            <w:r w:rsidRPr="004761E0">
              <w:rPr>
                <w:sz w:val="20"/>
                <w:szCs w:val="20"/>
              </w:rPr>
              <w:t>ГПБ (ОАО)</w:t>
            </w:r>
          </w:p>
        </w:tc>
        <w:tc>
          <w:tcPr>
            <w:tcW w:w="4536" w:type="dxa"/>
            <w:shd w:val="clear" w:color="auto" w:fill="auto"/>
          </w:tcPr>
          <w:p w:rsidR="006B4FAE" w:rsidRPr="004761E0" w:rsidRDefault="006B4FAE" w:rsidP="006B4FAE">
            <w:pPr>
              <w:ind w:firstLine="0"/>
              <w:jc w:val="left"/>
              <w:rPr>
                <w:sz w:val="20"/>
                <w:szCs w:val="20"/>
              </w:rPr>
            </w:pPr>
            <w:r w:rsidRPr="004761E0">
              <w:rPr>
                <w:sz w:val="20"/>
                <w:szCs w:val="20"/>
              </w:rPr>
              <w:t>Член Совета директоров</w:t>
            </w:r>
          </w:p>
        </w:tc>
      </w:tr>
      <w:tr w:rsidR="006B4FAE" w:rsidRPr="004761E0" w:rsidTr="006B4FAE">
        <w:tc>
          <w:tcPr>
            <w:tcW w:w="851" w:type="dxa"/>
            <w:shd w:val="clear" w:color="auto" w:fill="auto"/>
          </w:tcPr>
          <w:p w:rsidR="006B4FAE" w:rsidRPr="004761E0" w:rsidRDefault="006B4FAE" w:rsidP="006B4FAE">
            <w:pPr>
              <w:ind w:firstLine="0"/>
              <w:jc w:val="left"/>
              <w:rPr>
                <w:sz w:val="20"/>
                <w:szCs w:val="20"/>
              </w:rPr>
            </w:pPr>
            <w:r w:rsidRPr="004761E0">
              <w:rPr>
                <w:sz w:val="20"/>
                <w:szCs w:val="20"/>
              </w:rPr>
              <w:t>2010</w:t>
            </w:r>
          </w:p>
        </w:tc>
        <w:tc>
          <w:tcPr>
            <w:tcW w:w="992" w:type="dxa"/>
            <w:shd w:val="clear" w:color="auto" w:fill="auto"/>
          </w:tcPr>
          <w:p w:rsidR="006B4FAE" w:rsidRPr="004761E0" w:rsidRDefault="006B4FAE" w:rsidP="006B4FAE">
            <w:pPr>
              <w:ind w:firstLine="0"/>
              <w:jc w:val="left"/>
              <w:rPr>
                <w:sz w:val="20"/>
                <w:szCs w:val="20"/>
              </w:rPr>
            </w:pPr>
            <w:r w:rsidRPr="004761E0">
              <w:rPr>
                <w:sz w:val="20"/>
                <w:szCs w:val="20"/>
              </w:rPr>
              <w:t>наст.вр.</w:t>
            </w:r>
          </w:p>
        </w:tc>
        <w:tc>
          <w:tcPr>
            <w:tcW w:w="8080" w:type="dxa"/>
            <w:shd w:val="clear" w:color="auto" w:fill="auto"/>
          </w:tcPr>
          <w:p w:rsidR="006B4FAE" w:rsidRPr="004761E0" w:rsidRDefault="0008080E" w:rsidP="006B4FAE">
            <w:pPr>
              <w:ind w:firstLine="0"/>
              <w:jc w:val="left"/>
              <w:rPr>
                <w:sz w:val="20"/>
                <w:szCs w:val="20"/>
              </w:rPr>
            </w:pPr>
            <w:r>
              <w:rPr>
                <w:sz w:val="20"/>
                <w:szCs w:val="20"/>
              </w:rPr>
              <w:t>ОАО </w:t>
            </w:r>
            <w:r w:rsidR="006B4FAE" w:rsidRPr="004761E0">
              <w:rPr>
                <w:sz w:val="20"/>
                <w:szCs w:val="20"/>
              </w:rPr>
              <w:t>«ГАЗКОН»</w:t>
            </w:r>
          </w:p>
        </w:tc>
        <w:tc>
          <w:tcPr>
            <w:tcW w:w="4536" w:type="dxa"/>
            <w:shd w:val="clear" w:color="auto" w:fill="auto"/>
          </w:tcPr>
          <w:p w:rsidR="006B4FAE" w:rsidRPr="004761E0" w:rsidRDefault="006B4FAE" w:rsidP="006B4FAE">
            <w:pPr>
              <w:ind w:firstLine="0"/>
              <w:jc w:val="left"/>
              <w:rPr>
                <w:sz w:val="20"/>
                <w:szCs w:val="20"/>
              </w:rPr>
            </w:pPr>
            <w:r w:rsidRPr="004761E0">
              <w:rPr>
                <w:sz w:val="20"/>
                <w:szCs w:val="20"/>
              </w:rPr>
              <w:t>Член Совета директоров</w:t>
            </w:r>
          </w:p>
        </w:tc>
      </w:tr>
      <w:tr w:rsidR="006B4FAE" w:rsidRPr="004761E0" w:rsidTr="006B4FAE">
        <w:tc>
          <w:tcPr>
            <w:tcW w:w="851" w:type="dxa"/>
            <w:shd w:val="clear" w:color="auto" w:fill="auto"/>
          </w:tcPr>
          <w:p w:rsidR="006B4FAE" w:rsidRPr="004761E0" w:rsidRDefault="006B4FAE" w:rsidP="006B4FAE">
            <w:pPr>
              <w:ind w:firstLine="0"/>
              <w:jc w:val="left"/>
              <w:rPr>
                <w:sz w:val="20"/>
                <w:szCs w:val="20"/>
              </w:rPr>
            </w:pPr>
            <w:r w:rsidRPr="004761E0">
              <w:rPr>
                <w:sz w:val="20"/>
                <w:szCs w:val="20"/>
              </w:rPr>
              <w:lastRenderedPageBreak/>
              <w:t>2010</w:t>
            </w:r>
          </w:p>
        </w:tc>
        <w:tc>
          <w:tcPr>
            <w:tcW w:w="992" w:type="dxa"/>
            <w:shd w:val="clear" w:color="auto" w:fill="auto"/>
          </w:tcPr>
          <w:p w:rsidR="006B4FAE" w:rsidRPr="004761E0" w:rsidRDefault="006B4FAE" w:rsidP="006B4FAE">
            <w:pPr>
              <w:ind w:firstLine="0"/>
              <w:jc w:val="left"/>
              <w:rPr>
                <w:sz w:val="20"/>
                <w:szCs w:val="20"/>
              </w:rPr>
            </w:pPr>
            <w:r w:rsidRPr="004761E0">
              <w:rPr>
                <w:sz w:val="20"/>
                <w:szCs w:val="20"/>
              </w:rPr>
              <w:t>наст.вр.</w:t>
            </w:r>
          </w:p>
        </w:tc>
        <w:tc>
          <w:tcPr>
            <w:tcW w:w="8080" w:type="dxa"/>
            <w:shd w:val="clear" w:color="auto" w:fill="auto"/>
          </w:tcPr>
          <w:p w:rsidR="006B4FAE" w:rsidRPr="004761E0" w:rsidRDefault="0008080E" w:rsidP="006B4FAE">
            <w:pPr>
              <w:ind w:firstLine="0"/>
              <w:jc w:val="left"/>
              <w:rPr>
                <w:sz w:val="20"/>
                <w:szCs w:val="20"/>
              </w:rPr>
            </w:pPr>
            <w:r>
              <w:rPr>
                <w:sz w:val="20"/>
                <w:szCs w:val="20"/>
              </w:rPr>
              <w:t>ОАО </w:t>
            </w:r>
            <w:r w:rsidR="006B4FAE" w:rsidRPr="004761E0">
              <w:rPr>
                <w:sz w:val="20"/>
                <w:szCs w:val="20"/>
              </w:rPr>
              <w:t>«ГАЗ-сервис»</w:t>
            </w:r>
          </w:p>
        </w:tc>
        <w:tc>
          <w:tcPr>
            <w:tcW w:w="4536" w:type="dxa"/>
            <w:shd w:val="clear" w:color="auto" w:fill="auto"/>
          </w:tcPr>
          <w:p w:rsidR="006B4FAE" w:rsidRPr="004761E0" w:rsidRDefault="006B4FAE" w:rsidP="006B4FAE">
            <w:pPr>
              <w:ind w:firstLine="0"/>
              <w:jc w:val="left"/>
              <w:rPr>
                <w:sz w:val="20"/>
                <w:szCs w:val="20"/>
              </w:rPr>
            </w:pPr>
            <w:r w:rsidRPr="004761E0">
              <w:rPr>
                <w:sz w:val="20"/>
                <w:szCs w:val="20"/>
              </w:rPr>
              <w:t>Член Совета директоров</w:t>
            </w:r>
          </w:p>
        </w:tc>
      </w:tr>
      <w:tr w:rsidR="006B4FAE" w:rsidRPr="004761E0" w:rsidTr="006B4FAE">
        <w:tc>
          <w:tcPr>
            <w:tcW w:w="851" w:type="dxa"/>
            <w:shd w:val="clear" w:color="auto" w:fill="auto"/>
          </w:tcPr>
          <w:p w:rsidR="006B4FAE" w:rsidRPr="004761E0" w:rsidRDefault="006B4FAE" w:rsidP="006B4FAE">
            <w:pPr>
              <w:ind w:firstLine="0"/>
              <w:jc w:val="left"/>
              <w:rPr>
                <w:sz w:val="20"/>
                <w:szCs w:val="20"/>
              </w:rPr>
            </w:pPr>
            <w:r w:rsidRPr="004761E0">
              <w:rPr>
                <w:sz w:val="20"/>
                <w:szCs w:val="20"/>
              </w:rPr>
              <w:t>2010</w:t>
            </w:r>
          </w:p>
        </w:tc>
        <w:tc>
          <w:tcPr>
            <w:tcW w:w="992" w:type="dxa"/>
            <w:shd w:val="clear" w:color="auto" w:fill="auto"/>
          </w:tcPr>
          <w:p w:rsidR="006B4FAE" w:rsidRPr="004761E0" w:rsidRDefault="006B4FAE" w:rsidP="006B4FAE">
            <w:pPr>
              <w:ind w:firstLine="0"/>
              <w:jc w:val="left"/>
              <w:rPr>
                <w:sz w:val="20"/>
                <w:szCs w:val="20"/>
              </w:rPr>
            </w:pPr>
            <w:r w:rsidRPr="004761E0">
              <w:rPr>
                <w:sz w:val="20"/>
                <w:szCs w:val="20"/>
              </w:rPr>
              <w:t>наст.вр.</w:t>
            </w:r>
          </w:p>
        </w:tc>
        <w:tc>
          <w:tcPr>
            <w:tcW w:w="8080" w:type="dxa"/>
            <w:shd w:val="clear" w:color="auto" w:fill="auto"/>
          </w:tcPr>
          <w:p w:rsidR="006B4FAE" w:rsidRPr="004761E0" w:rsidRDefault="0008080E" w:rsidP="006B4FAE">
            <w:pPr>
              <w:ind w:firstLine="0"/>
              <w:jc w:val="left"/>
              <w:rPr>
                <w:sz w:val="20"/>
                <w:szCs w:val="20"/>
              </w:rPr>
            </w:pPr>
            <w:r>
              <w:rPr>
                <w:sz w:val="20"/>
                <w:szCs w:val="20"/>
              </w:rPr>
              <w:t>ОАО </w:t>
            </w:r>
            <w:r w:rsidR="006B4FAE" w:rsidRPr="004761E0">
              <w:rPr>
                <w:sz w:val="20"/>
                <w:szCs w:val="20"/>
              </w:rPr>
              <w:t>«Главная дорога»</w:t>
            </w:r>
          </w:p>
        </w:tc>
        <w:tc>
          <w:tcPr>
            <w:tcW w:w="4536" w:type="dxa"/>
            <w:shd w:val="clear" w:color="auto" w:fill="auto"/>
          </w:tcPr>
          <w:p w:rsidR="006B4FAE" w:rsidRPr="004761E0" w:rsidRDefault="006B4FAE" w:rsidP="006B4FAE">
            <w:pPr>
              <w:ind w:firstLine="0"/>
              <w:jc w:val="left"/>
              <w:rPr>
                <w:sz w:val="20"/>
                <w:szCs w:val="20"/>
              </w:rPr>
            </w:pPr>
            <w:r w:rsidRPr="004761E0">
              <w:rPr>
                <w:sz w:val="20"/>
                <w:szCs w:val="20"/>
              </w:rPr>
              <w:t>Член Совета директоров</w:t>
            </w:r>
          </w:p>
        </w:tc>
      </w:tr>
      <w:tr w:rsidR="006B4FAE" w:rsidRPr="004761E0" w:rsidTr="006B4FAE">
        <w:tc>
          <w:tcPr>
            <w:tcW w:w="851" w:type="dxa"/>
            <w:shd w:val="clear" w:color="auto" w:fill="auto"/>
          </w:tcPr>
          <w:p w:rsidR="006B4FAE" w:rsidRPr="004761E0" w:rsidRDefault="006B4FAE" w:rsidP="006B4FAE">
            <w:pPr>
              <w:ind w:firstLine="0"/>
              <w:jc w:val="left"/>
              <w:rPr>
                <w:sz w:val="20"/>
                <w:szCs w:val="20"/>
              </w:rPr>
            </w:pPr>
            <w:r w:rsidRPr="004761E0">
              <w:rPr>
                <w:sz w:val="20"/>
                <w:szCs w:val="20"/>
              </w:rPr>
              <w:t>2010</w:t>
            </w:r>
          </w:p>
        </w:tc>
        <w:tc>
          <w:tcPr>
            <w:tcW w:w="992" w:type="dxa"/>
            <w:shd w:val="clear" w:color="auto" w:fill="auto"/>
          </w:tcPr>
          <w:p w:rsidR="006B4FAE" w:rsidRPr="004761E0" w:rsidRDefault="006B4FAE" w:rsidP="006B4FAE">
            <w:pPr>
              <w:ind w:firstLine="0"/>
              <w:jc w:val="left"/>
              <w:rPr>
                <w:sz w:val="20"/>
                <w:szCs w:val="20"/>
              </w:rPr>
            </w:pPr>
            <w:r w:rsidRPr="004761E0">
              <w:rPr>
                <w:sz w:val="20"/>
                <w:szCs w:val="20"/>
              </w:rPr>
              <w:t>наст.вр.</w:t>
            </w:r>
          </w:p>
        </w:tc>
        <w:tc>
          <w:tcPr>
            <w:tcW w:w="8080" w:type="dxa"/>
            <w:shd w:val="clear" w:color="auto" w:fill="auto"/>
          </w:tcPr>
          <w:p w:rsidR="006B4FAE" w:rsidRPr="004761E0" w:rsidRDefault="0008080E" w:rsidP="006B4FAE">
            <w:pPr>
              <w:ind w:firstLine="0"/>
              <w:jc w:val="left"/>
              <w:rPr>
                <w:sz w:val="20"/>
                <w:szCs w:val="20"/>
              </w:rPr>
            </w:pPr>
            <w:r>
              <w:rPr>
                <w:sz w:val="20"/>
                <w:szCs w:val="20"/>
              </w:rPr>
              <w:t>ООО </w:t>
            </w:r>
            <w:r w:rsidR="006B4FAE" w:rsidRPr="004761E0">
              <w:rPr>
                <w:sz w:val="20"/>
                <w:szCs w:val="20"/>
              </w:rPr>
              <w:t>«Сочи-Бриз»</w:t>
            </w:r>
          </w:p>
        </w:tc>
        <w:tc>
          <w:tcPr>
            <w:tcW w:w="4536" w:type="dxa"/>
            <w:shd w:val="clear" w:color="auto" w:fill="auto"/>
          </w:tcPr>
          <w:p w:rsidR="006B4FAE" w:rsidRPr="004761E0" w:rsidRDefault="006B4FAE" w:rsidP="006B4FAE">
            <w:pPr>
              <w:ind w:firstLine="0"/>
              <w:jc w:val="left"/>
              <w:rPr>
                <w:sz w:val="20"/>
                <w:szCs w:val="20"/>
              </w:rPr>
            </w:pPr>
            <w:r w:rsidRPr="004761E0">
              <w:rPr>
                <w:sz w:val="20"/>
                <w:szCs w:val="20"/>
              </w:rPr>
              <w:t>Член Совета директоров</w:t>
            </w:r>
          </w:p>
        </w:tc>
      </w:tr>
      <w:tr w:rsidR="006B4FAE" w:rsidRPr="004761E0" w:rsidTr="006B4FAE">
        <w:tc>
          <w:tcPr>
            <w:tcW w:w="851" w:type="dxa"/>
            <w:shd w:val="clear" w:color="auto" w:fill="auto"/>
          </w:tcPr>
          <w:p w:rsidR="006B4FAE" w:rsidRPr="004761E0" w:rsidRDefault="006B4FAE" w:rsidP="006B4FAE">
            <w:pPr>
              <w:ind w:firstLine="0"/>
              <w:jc w:val="left"/>
              <w:rPr>
                <w:sz w:val="20"/>
                <w:szCs w:val="20"/>
              </w:rPr>
            </w:pPr>
            <w:r w:rsidRPr="004761E0">
              <w:rPr>
                <w:sz w:val="20"/>
                <w:szCs w:val="20"/>
              </w:rPr>
              <w:t>2011</w:t>
            </w:r>
          </w:p>
        </w:tc>
        <w:tc>
          <w:tcPr>
            <w:tcW w:w="992" w:type="dxa"/>
            <w:shd w:val="clear" w:color="auto" w:fill="auto"/>
          </w:tcPr>
          <w:p w:rsidR="006B4FAE" w:rsidRPr="004761E0" w:rsidRDefault="006B4FAE" w:rsidP="006B4FAE">
            <w:pPr>
              <w:ind w:firstLine="0"/>
              <w:jc w:val="left"/>
              <w:rPr>
                <w:sz w:val="20"/>
                <w:szCs w:val="20"/>
              </w:rPr>
            </w:pPr>
            <w:r w:rsidRPr="004761E0">
              <w:rPr>
                <w:sz w:val="20"/>
                <w:szCs w:val="20"/>
              </w:rPr>
              <w:t>наст.вр.</w:t>
            </w:r>
          </w:p>
        </w:tc>
        <w:tc>
          <w:tcPr>
            <w:tcW w:w="8080" w:type="dxa"/>
            <w:shd w:val="clear" w:color="auto" w:fill="auto"/>
          </w:tcPr>
          <w:p w:rsidR="006B4FAE" w:rsidRPr="004761E0" w:rsidRDefault="0008080E" w:rsidP="006B4FAE">
            <w:pPr>
              <w:ind w:firstLine="0"/>
              <w:jc w:val="left"/>
              <w:rPr>
                <w:sz w:val="20"/>
                <w:szCs w:val="20"/>
              </w:rPr>
            </w:pPr>
            <w:r>
              <w:rPr>
                <w:sz w:val="20"/>
                <w:szCs w:val="20"/>
              </w:rPr>
              <w:t>ОАО </w:t>
            </w:r>
            <w:r w:rsidR="006B4FAE" w:rsidRPr="004761E0">
              <w:rPr>
                <w:sz w:val="20"/>
                <w:szCs w:val="20"/>
              </w:rPr>
              <w:t>«Мосэнергосбыт»</w:t>
            </w:r>
          </w:p>
        </w:tc>
        <w:tc>
          <w:tcPr>
            <w:tcW w:w="4536" w:type="dxa"/>
            <w:shd w:val="clear" w:color="auto" w:fill="auto"/>
          </w:tcPr>
          <w:p w:rsidR="006B4FAE" w:rsidRPr="004761E0" w:rsidRDefault="006B4FAE" w:rsidP="006B4FAE">
            <w:pPr>
              <w:ind w:firstLine="0"/>
              <w:jc w:val="left"/>
              <w:rPr>
                <w:sz w:val="20"/>
                <w:szCs w:val="20"/>
              </w:rPr>
            </w:pPr>
            <w:r w:rsidRPr="004761E0">
              <w:rPr>
                <w:sz w:val="20"/>
                <w:szCs w:val="20"/>
              </w:rPr>
              <w:t>Член Совета директоров</w:t>
            </w:r>
          </w:p>
        </w:tc>
      </w:tr>
      <w:tr w:rsidR="006B4FAE" w:rsidRPr="004761E0" w:rsidTr="006B4FAE">
        <w:tc>
          <w:tcPr>
            <w:tcW w:w="851" w:type="dxa"/>
            <w:shd w:val="clear" w:color="auto" w:fill="auto"/>
          </w:tcPr>
          <w:p w:rsidR="006B4FAE" w:rsidRPr="004761E0" w:rsidRDefault="006B4FAE" w:rsidP="006B4FAE">
            <w:pPr>
              <w:ind w:firstLine="0"/>
              <w:jc w:val="left"/>
              <w:rPr>
                <w:sz w:val="20"/>
                <w:szCs w:val="20"/>
              </w:rPr>
            </w:pPr>
            <w:r w:rsidRPr="004761E0">
              <w:rPr>
                <w:sz w:val="20"/>
                <w:szCs w:val="20"/>
              </w:rPr>
              <w:t>2013</w:t>
            </w:r>
          </w:p>
        </w:tc>
        <w:tc>
          <w:tcPr>
            <w:tcW w:w="992" w:type="dxa"/>
            <w:shd w:val="clear" w:color="auto" w:fill="auto"/>
          </w:tcPr>
          <w:p w:rsidR="006B4FAE" w:rsidRPr="004761E0" w:rsidRDefault="006B4FAE" w:rsidP="006B4FAE">
            <w:pPr>
              <w:ind w:firstLine="0"/>
              <w:jc w:val="left"/>
              <w:rPr>
                <w:sz w:val="20"/>
                <w:szCs w:val="20"/>
              </w:rPr>
            </w:pPr>
            <w:r w:rsidRPr="004761E0">
              <w:rPr>
                <w:sz w:val="20"/>
                <w:szCs w:val="20"/>
              </w:rPr>
              <w:t>наст.вр.</w:t>
            </w:r>
          </w:p>
        </w:tc>
        <w:tc>
          <w:tcPr>
            <w:tcW w:w="8080" w:type="dxa"/>
            <w:shd w:val="clear" w:color="auto" w:fill="auto"/>
          </w:tcPr>
          <w:p w:rsidR="006B4FAE" w:rsidRPr="004761E0" w:rsidRDefault="0008080E" w:rsidP="006B4FAE">
            <w:pPr>
              <w:ind w:firstLine="0"/>
              <w:jc w:val="left"/>
              <w:rPr>
                <w:sz w:val="20"/>
                <w:szCs w:val="20"/>
              </w:rPr>
            </w:pPr>
            <w:r>
              <w:rPr>
                <w:sz w:val="20"/>
                <w:szCs w:val="20"/>
              </w:rPr>
              <w:t>ОАО </w:t>
            </w:r>
            <w:r w:rsidR="006B4FAE" w:rsidRPr="004761E0">
              <w:rPr>
                <w:sz w:val="20"/>
                <w:szCs w:val="20"/>
              </w:rPr>
              <w:t>«ГАЗ-Тек»</w:t>
            </w:r>
          </w:p>
        </w:tc>
        <w:tc>
          <w:tcPr>
            <w:tcW w:w="4536" w:type="dxa"/>
            <w:shd w:val="clear" w:color="auto" w:fill="auto"/>
          </w:tcPr>
          <w:p w:rsidR="006B4FAE" w:rsidRPr="004761E0" w:rsidRDefault="006B4FAE" w:rsidP="006B4FAE">
            <w:pPr>
              <w:ind w:firstLine="0"/>
              <w:jc w:val="left"/>
              <w:rPr>
                <w:sz w:val="20"/>
                <w:szCs w:val="20"/>
              </w:rPr>
            </w:pPr>
            <w:r w:rsidRPr="004761E0">
              <w:rPr>
                <w:sz w:val="20"/>
                <w:szCs w:val="20"/>
              </w:rPr>
              <w:t>Член Совета директоров</w:t>
            </w:r>
          </w:p>
        </w:tc>
      </w:tr>
      <w:tr w:rsidR="006B4FAE" w:rsidRPr="004761E0" w:rsidTr="006B4FAE">
        <w:tc>
          <w:tcPr>
            <w:tcW w:w="851" w:type="dxa"/>
            <w:shd w:val="clear" w:color="auto" w:fill="auto"/>
          </w:tcPr>
          <w:p w:rsidR="006B4FAE" w:rsidRPr="004761E0" w:rsidRDefault="006B4FAE" w:rsidP="006B4FAE">
            <w:pPr>
              <w:ind w:firstLine="0"/>
              <w:jc w:val="left"/>
              <w:rPr>
                <w:sz w:val="20"/>
                <w:szCs w:val="20"/>
              </w:rPr>
            </w:pPr>
            <w:r w:rsidRPr="004761E0">
              <w:rPr>
                <w:sz w:val="20"/>
                <w:szCs w:val="20"/>
              </w:rPr>
              <w:t>2013</w:t>
            </w:r>
          </w:p>
        </w:tc>
        <w:tc>
          <w:tcPr>
            <w:tcW w:w="992" w:type="dxa"/>
            <w:shd w:val="clear" w:color="auto" w:fill="auto"/>
          </w:tcPr>
          <w:p w:rsidR="006B4FAE" w:rsidRPr="004761E0" w:rsidRDefault="006B4FAE" w:rsidP="006B4FAE">
            <w:pPr>
              <w:ind w:firstLine="0"/>
              <w:jc w:val="left"/>
              <w:rPr>
                <w:sz w:val="20"/>
                <w:szCs w:val="20"/>
              </w:rPr>
            </w:pPr>
            <w:r w:rsidRPr="004761E0">
              <w:rPr>
                <w:sz w:val="20"/>
                <w:szCs w:val="20"/>
              </w:rPr>
              <w:t>наст.вр.</w:t>
            </w:r>
          </w:p>
        </w:tc>
        <w:tc>
          <w:tcPr>
            <w:tcW w:w="8080" w:type="dxa"/>
            <w:shd w:val="clear" w:color="auto" w:fill="auto"/>
          </w:tcPr>
          <w:p w:rsidR="006B4FAE" w:rsidRPr="004761E0" w:rsidRDefault="0008080E" w:rsidP="006B4FAE">
            <w:pPr>
              <w:ind w:firstLine="0"/>
              <w:jc w:val="left"/>
              <w:rPr>
                <w:sz w:val="20"/>
                <w:szCs w:val="20"/>
              </w:rPr>
            </w:pPr>
            <w:r>
              <w:rPr>
                <w:sz w:val="20"/>
                <w:szCs w:val="20"/>
              </w:rPr>
              <w:t>ОАО </w:t>
            </w:r>
            <w:r w:rsidR="006B4FAE" w:rsidRPr="004761E0">
              <w:rPr>
                <w:sz w:val="20"/>
                <w:szCs w:val="20"/>
              </w:rPr>
              <w:t>«РКК «Энергия»</w:t>
            </w:r>
          </w:p>
        </w:tc>
        <w:tc>
          <w:tcPr>
            <w:tcW w:w="4536" w:type="dxa"/>
            <w:shd w:val="clear" w:color="auto" w:fill="auto"/>
          </w:tcPr>
          <w:p w:rsidR="006B4FAE" w:rsidRPr="004761E0" w:rsidRDefault="006B4FAE" w:rsidP="006B4FAE">
            <w:pPr>
              <w:ind w:firstLine="0"/>
              <w:jc w:val="left"/>
              <w:rPr>
                <w:sz w:val="20"/>
                <w:szCs w:val="20"/>
              </w:rPr>
            </w:pPr>
            <w:r w:rsidRPr="004761E0">
              <w:rPr>
                <w:sz w:val="20"/>
                <w:szCs w:val="20"/>
              </w:rPr>
              <w:t>Член Совета директоров</w:t>
            </w:r>
          </w:p>
        </w:tc>
      </w:tr>
      <w:tr w:rsidR="006B4FAE" w:rsidRPr="004761E0" w:rsidTr="006B4FAE">
        <w:tblPrEx>
          <w:tblLook w:val="04A0"/>
        </w:tblPrEx>
        <w:tc>
          <w:tcPr>
            <w:tcW w:w="14459" w:type="dxa"/>
            <w:gridSpan w:val="4"/>
          </w:tcPr>
          <w:p w:rsidR="006B4FAE" w:rsidRPr="004761E0" w:rsidRDefault="006B4FAE" w:rsidP="006B4FAE">
            <w:pPr>
              <w:ind w:firstLine="0"/>
              <w:jc w:val="left"/>
              <w:rPr>
                <w:bCs/>
                <w:iCs/>
                <w:sz w:val="20"/>
                <w:szCs w:val="20"/>
                <w:lang w:eastAsia="ru-RU"/>
              </w:rPr>
            </w:pPr>
            <w:r w:rsidRPr="004761E0">
              <w:rPr>
                <w:sz w:val="20"/>
                <w:szCs w:val="20"/>
                <w:lang w:eastAsia="ru-RU"/>
              </w:rPr>
              <w:t>Иная информация</w:t>
            </w:r>
          </w:p>
        </w:tc>
      </w:tr>
      <w:tr w:rsidR="006B4FAE" w:rsidRPr="004761E0" w:rsidTr="006B4FAE">
        <w:tblPrEx>
          <w:tblLook w:val="04A0"/>
        </w:tblPrEx>
        <w:tc>
          <w:tcPr>
            <w:tcW w:w="9923" w:type="dxa"/>
            <w:gridSpan w:val="3"/>
          </w:tcPr>
          <w:p w:rsidR="006B4FAE" w:rsidRPr="004761E0" w:rsidRDefault="006B4FAE" w:rsidP="006B4FAE">
            <w:pPr>
              <w:ind w:firstLine="0"/>
              <w:jc w:val="left"/>
              <w:rPr>
                <w:sz w:val="20"/>
                <w:szCs w:val="20"/>
                <w:lang w:eastAsia="ru-RU"/>
              </w:rPr>
            </w:pPr>
            <w:r w:rsidRPr="004761E0">
              <w:rPr>
                <w:sz w:val="20"/>
                <w:szCs w:val="20"/>
                <w:lang w:eastAsia="ru-RU"/>
              </w:rPr>
              <w:t>Доли участия в уставном капитале Общества/обыкновенных акций:</w:t>
            </w:r>
          </w:p>
        </w:tc>
        <w:tc>
          <w:tcPr>
            <w:tcW w:w="4536" w:type="dxa"/>
          </w:tcPr>
          <w:p w:rsidR="006B4FAE" w:rsidRPr="004761E0" w:rsidRDefault="006B4FAE" w:rsidP="006B4FAE">
            <w:pPr>
              <w:ind w:firstLine="0"/>
              <w:jc w:val="left"/>
              <w:rPr>
                <w:sz w:val="20"/>
                <w:szCs w:val="20"/>
                <w:lang w:eastAsia="ru-RU"/>
              </w:rPr>
            </w:pPr>
            <w:r w:rsidRPr="004761E0">
              <w:rPr>
                <w:bCs/>
                <w:iCs/>
                <w:sz w:val="20"/>
                <w:szCs w:val="20"/>
                <w:lang w:eastAsia="ru-RU"/>
              </w:rPr>
              <w:t>Лицо указанных долей не имеет</w:t>
            </w:r>
            <w:r w:rsidRPr="004761E0">
              <w:rPr>
                <w:sz w:val="20"/>
                <w:szCs w:val="20"/>
                <w:lang w:eastAsia="ru-RU"/>
              </w:rPr>
              <w:t>.</w:t>
            </w:r>
          </w:p>
        </w:tc>
      </w:tr>
      <w:tr w:rsidR="006B4FAE" w:rsidRPr="004761E0" w:rsidTr="006B4FAE">
        <w:tblPrEx>
          <w:tblLook w:val="04A0"/>
        </w:tblPrEx>
        <w:tc>
          <w:tcPr>
            <w:tcW w:w="9923" w:type="dxa"/>
            <w:gridSpan w:val="3"/>
          </w:tcPr>
          <w:p w:rsidR="006B4FAE" w:rsidRPr="004761E0" w:rsidRDefault="006B4FAE" w:rsidP="006B4FAE">
            <w:pPr>
              <w:ind w:firstLine="0"/>
              <w:jc w:val="left"/>
              <w:rPr>
                <w:sz w:val="20"/>
                <w:szCs w:val="20"/>
                <w:lang w:eastAsia="ru-RU"/>
              </w:rPr>
            </w:pPr>
            <w:r w:rsidRPr="004761E0">
              <w:rPr>
                <w:sz w:val="20"/>
                <w:szCs w:val="20"/>
                <w:lang w:eastAsia="ru-RU"/>
              </w:rPr>
              <w:t>Доли участия лица в уставном (складочном) капитале (паевом фонде) дочерних и зависимых обществ Общества:</w:t>
            </w:r>
          </w:p>
        </w:tc>
        <w:tc>
          <w:tcPr>
            <w:tcW w:w="4536" w:type="dxa"/>
          </w:tcPr>
          <w:p w:rsidR="006B4FAE" w:rsidRPr="004761E0" w:rsidRDefault="006B4FAE" w:rsidP="006B4FAE">
            <w:pPr>
              <w:ind w:firstLine="0"/>
              <w:jc w:val="left"/>
              <w:rPr>
                <w:sz w:val="20"/>
                <w:szCs w:val="20"/>
                <w:lang w:eastAsia="ru-RU"/>
              </w:rPr>
            </w:pPr>
            <w:r w:rsidRPr="004761E0">
              <w:rPr>
                <w:bCs/>
                <w:iCs/>
                <w:sz w:val="20"/>
                <w:szCs w:val="20"/>
                <w:lang w:eastAsia="ru-RU"/>
              </w:rPr>
              <w:t>Лицо указанных долей не имеет</w:t>
            </w:r>
          </w:p>
        </w:tc>
      </w:tr>
      <w:tr w:rsidR="006B4FAE" w:rsidRPr="004761E0" w:rsidTr="006B4FAE">
        <w:tblPrEx>
          <w:tblLook w:val="04A0"/>
        </w:tblPrEx>
        <w:tc>
          <w:tcPr>
            <w:tcW w:w="9923" w:type="dxa"/>
            <w:gridSpan w:val="3"/>
          </w:tcPr>
          <w:p w:rsidR="006B4FAE" w:rsidRPr="004761E0" w:rsidRDefault="006B4FAE" w:rsidP="006B4FAE">
            <w:pPr>
              <w:ind w:firstLine="0"/>
              <w:jc w:val="left"/>
              <w:rPr>
                <w:sz w:val="20"/>
                <w:szCs w:val="20"/>
                <w:lang w:eastAsia="ru-RU"/>
              </w:rPr>
            </w:pPr>
            <w:r w:rsidRPr="004761E0">
              <w:rPr>
                <w:sz w:val="20"/>
                <w:szCs w:val="20"/>
                <w:lang w:eastAsia="ru-RU"/>
              </w:rPr>
              <w:t>Сведения о характере любых родственных связей с иными лицами, входящими в состав органов управления Общества и/или органов контроля за финансово-хозяйственной деятельностью Общества:</w:t>
            </w:r>
          </w:p>
        </w:tc>
        <w:tc>
          <w:tcPr>
            <w:tcW w:w="4536" w:type="dxa"/>
          </w:tcPr>
          <w:p w:rsidR="006B4FAE" w:rsidRPr="004761E0" w:rsidRDefault="006B4FAE" w:rsidP="006B4FAE">
            <w:pPr>
              <w:ind w:firstLine="0"/>
              <w:jc w:val="left"/>
              <w:rPr>
                <w:sz w:val="20"/>
                <w:szCs w:val="20"/>
                <w:lang w:eastAsia="ru-RU"/>
              </w:rPr>
            </w:pPr>
            <w:r w:rsidRPr="004761E0">
              <w:rPr>
                <w:bCs/>
                <w:iCs/>
                <w:sz w:val="20"/>
                <w:szCs w:val="20"/>
                <w:lang w:eastAsia="ru-RU"/>
              </w:rPr>
              <w:t>Указанных родственных связей у лица нет.</w:t>
            </w:r>
          </w:p>
        </w:tc>
      </w:tr>
      <w:tr w:rsidR="006B4FAE" w:rsidRPr="004761E0" w:rsidTr="006B4FAE">
        <w:tblPrEx>
          <w:tblLook w:val="04A0"/>
        </w:tblPrEx>
        <w:tc>
          <w:tcPr>
            <w:tcW w:w="9923" w:type="dxa"/>
            <w:gridSpan w:val="3"/>
          </w:tcPr>
          <w:p w:rsidR="006B4FAE" w:rsidRPr="004761E0" w:rsidRDefault="006B4FAE" w:rsidP="006B4FAE">
            <w:pPr>
              <w:ind w:firstLine="0"/>
              <w:jc w:val="left"/>
              <w:rPr>
                <w:sz w:val="20"/>
                <w:szCs w:val="20"/>
                <w:lang w:eastAsia="ru-RU"/>
              </w:rPr>
            </w:pPr>
            <w:r w:rsidRPr="004761E0">
              <w:rPr>
                <w:sz w:val="20"/>
                <w:szCs w:val="20"/>
                <w:lang w:eastAsia="ru-RU"/>
              </w:rP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c>
        <w:tc>
          <w:tcPr>
            <w:tcW w:w="4536" w:type="dxa"/>
          </w:tcPr>
          <w:p w:rsidR="006B4FAE" w:rsidRPr="004761E0" w:rsidRDefault="006B4FAE" w:rsidP="006B4FAE">
            <w:pPr>
              <w:ind w:firstLine="0"/>
              <w:jc w:val="left"/>
              <w:rPr>
                <w:sz w:val="20"/>
                <w:szCs w:val="20"/>
                <w:lang w:eastAsia="ru-RU"/>
              </w:rPr>
            </w:pPr>
            <w:r w:rsidRPr="004761E0">
              <w:rPr>
                <w:bCs/>
                <w:iCs/>
                <w:sz w:val="20"/>
                <w:szCs w:val="20"/>
                <w:lang w:eastAsia="ru-RU"/>
              </w:rPr>
              <w:t>Лицо к указанным видам ответственности не привлекалось</w:t>
            </w:r>
          </w:p>
        </w:tc>
      </w:tr>
      <w:tr w:rsidR="006B4FAE" w:rsidRPr="004761E0" w:rsidTr="006B4FAE">
        <w:tblPrEx>
          <w:tblLook w:val="04A0"/>
        </w:tblPrEx>
        <w:tc>
          <w:tcPr>
            <w:tcW w:w="9923" w:type="dxa"/>
            <w:gridSpan w:val="3"/>
          </w:tcPr>
          <w:p w:rsidR="006B4FAE" w:rsidRPr="004761E0" w:rsidRDefault="006B4FAE" w:rsidP="006B4FAE">
            <w:pPr>
              <w:ind w:firstLine="0"/>
              <w:jc w:val="left"/>
              <w:rPr>
                <w:sz w:val="20"/>
                <w:szCs w:val="20"/>
                <w:lang w:eastAsia="ru-RU"/>
              </w:rPr>
            </w:pPr>
            <w:r w:rsidRPr="004761E0">
              <w:rPr>
                <w:sz w:val="20"/>
                <w:szCs w:val="20"/>
                <w:lang w:eastAsia="ru-RU"/>
              </w:rP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tc>
        <w:tc>
          <w:tcPr>
            <w:tcW w:w="4536" w:type="dxa"/>
          </w:tcPr>
          <w:p w:rsidR="006B4FAE" w:rsidRPr="004761E0" w:rsidRDefault="006B4FAE" w:rsidP="006B4FAE">
            <w:pPr>
              <w:ind w:firstLine="0"/>
              <w:jc w:val="left"/>
              <w:rPr>
                <w:sz w:val="20"/>
                <w:szCs w:val="20"/>
                <w:lang w:eastAsia="ru-RU"/>
              </w:rPr>
            </w:pPr>
            <w:r w:rsidRPr="004761E0">
              <w:rPr>
                <w:bCs/>
                <w:iCs/>
                <w:sz w:val="20"/>
                <w:szCs w:val="20"/>
                <w:lang w:eastAsia="ru-RU"/>
              </w:rPr>
              <w:t>Лицо указанных должностей не занимало.</w:t>
            </w:r>
          </w:p>
        </w:tc>
      </w:tr>
      <w:tr w:rsidR="00670B18" w:rsidRPr="004761E0" w:rsidTr="006B4FAE">
        <w:tblPrEx>
          <w:tblLook w:val="04A0"/>
        </w:tblPrEx>
        <w:tc>
          <w:tcPr>
            <w:tcW w:w="9923" w:type="dxa"/>
            <w:gridSpan w:val="3"/>
          </w:tcPr>
          <w:p w:rsidR="00670B18" w:rsidRPr="00670B18" w:rsidRDefault="00670B18" w:rsidP="00670B18">
            <w:pPr>
              <w:ind w:firstLine="0"/>
              <w:jc w:val="left"/>
              <w:rPr>
                <w:sz w:val="20"/>
                <w:szCs w:val="26"/>
                <w:lang w:eastAsia="ru-RU"/>
              </w:rPr>
            </w:pPr>
            <w:r w:rsidRPr="00670B18">
              <w:rPr>
                <w:sz w:val="20"/>
                <w:szCs w:val="26"/>
                <w:lang w:eastAsia="ru-RU"/>
              </w:rPr>
              <w:t>Сведения о сделках по приобретению или отчуждению акций Общества в течение отчетного года</w:t>
            </w:r>
            <w:r>
              <w:rPr>
                <w:sz w:val="20"/>
                <w:szCs w:val="26"/>
                <w:lang w:eastAsia="ru-RU"/>
              </w:rPr>
              <w:t>:</w:t>
            </w:r>
          </w:p>
        </w:tc>
        <w:tc>
          <w:tcPr>
            <w:tcW w:w="4536" w:type="dxa"/>
          </w:tcPr>
          <w:p w:rsidR="00670B18" w:rsidRPr="00670B18" w:rsidRDefault="00670B18" w:rsidP="00670B18">
            <w:pPr>
              <w:ind w:firstLine="0"/>
              <w:jc w:val="left"/>
              <w:rPr>
                <w:sz w:val="20"/>
                <w:szCs w:val="26"/>
                <w:lang w:eastAsia="ru-RU"/>
              </w:rPr>
            </w:pPr>
            <w:r w:rsidRPr="00670B18">
              <w:rPr>
                <w:sz w:val="20"/>
                <w:szCs w:val="26"/>
                <w:lang w:eastAsia="ru-RU"/>
              </w:rPr>
              <w:t>Лицом указанные сделки не совершались</w:t>
            </w:r>
            <w:r>
              <w:rPr>
                <w:sz w:val="20"/>
                <w:szCs w:val="26"/>
                <w:lang w:eastAsia="ru-RU"/>
              </w:rPr>
              <w:t>.</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Наличие согласия на раскрытие дан</w:t>
            </w:r>
            <w:r>
              <w:rPr>
                <w:sz w:val="20"/>
                <w:szCs w:val="20"/>
                <w:lang w:eastAsia="ru-RU"/>
              </w:rPr>
              <w:t>ной информации в Годовом отчете:</w:t>
            </w:r>
          </w:p>
        </w:tc>
        <w:tc>
          <w:tcPr>
            <w:tcW w:w="4536" w:type="dxa"/>
          </w:tcPr>
          <w:p w:rsidR="00670B18" w:rsidRPr="004761E0" w:rsidRDefault="00670B18" w:rsidP="006B4FAE">
            <w:pPr>
              <w:ind w:firstLine="0"/>
              <w:jc w:val="left"/>
              <w:rPr>
                <w:bCs/>
                <w:iCs/>
                <w:sz w:val="20"/>
                <w:szCs w:val="20"/>
                <w:lang w:eastAsia="ru-RU"/>
              </w:rPr>
            </w:pPr>
            <w:r w:rsidRPr="004761E0">
              <w:rPr>
                <w:bCs/>
                <w:iCs/>
                <w:sz w:val="20"/>
                <w:szCs w:val="20"/>
                <w:lang w:eastAsia="ru-RU"/>
              </w:rPr>
              <w:t>Лицом дано подобное согласие.</w:t>
            </w:r>
          </w:p>
        </w:tc>
      </w:tr>
      <w:tr w:rsidR="00670B18" w:rsidRPr="004761E0" w:rsidTr="006B4FAE">
        <w:tblPrEx>
          <w:tblLook w:val="04A0"/>
        </w:tblPrEx>
        <w:tc>
          <w:tcPr>
            <w:tcW w:w="14459" w:type="dxa"/>
            <w:gridSpan w:val="4"/>
            <w:shd w:val="clear" w:color="auto" w:fill="D9D9D9"/>
          </w:tcPr>
          <w:p w:rsidR="00670B18" w:rsidRPr="004761E0" w:rsidRDefault="00670B18" w:rsidP="007076A7">
            <w:pPr>
              <w:pStyle w:val="a5"/>
              <w:numPr>
                <w:ilvl w:val="0"/>
                <w:numId w:val="275"/>
              </w:numPr>
              <w:ind w:left="601" w:hanging="567"/>
              <w:contextualSpacing w:val="0"/>
              <w:jc w:val="left"/>
              <w:rPr>
                <w:b/>
                <w:bCs/>
                <w:iCs/>
                <w:sz w:val="20"/>
                <w:szCs w:val="20"/>
                <w:lang w:eastAsia="ru-RU"/>
              </w:rPr>
            </w:pPr>
            <w:r w:rsidRPr="004761E0">
              <w:rPr>
                <w:b/>
                <w:bCs/>
                <w:iCs/>
                <w:sz w:val="20"/>
                <w:szCs w:val="20"/>
                <w:lang w:eastAsia="ru-RU"/>
              </w:rPr>
              <w:t>Демин Сергей Александрович</w:t>
            </w:r>
          </w:p>
        </w:tc>
      </w:tr>
      <w:tr w:rsidR="00670B18" w:rsidRPr="004761E0" w:rsidTr="006B4FAE">
        <w:tblPrEx>
          <w:tblLook w:val="04A0"/>
        </w:tblPrEx>
        <w:tc>
          <w:tcPr>
            <w:tcW w:w="14459" w:type="dxa"/>
            <w:gridSpan w:val="4"/>
          </w:tcPr>
          <w:p w:rsidR="00670B18" w:rsidRPr="004761E0" w:rsidRDefault="00670B18" w:rsidP="006B4FAE">
            <w:pPr>
              <w:ind w:firstLine="0"/>
              <w:jc w:val="left"/>
              <w:rPr>
                <w:bCs/>
                <w:iCs/>
                <w:sz w:val="20"/>
                <w:szCs w:val="20"/>
                <w:lang w:eastAsia="ru-RU"/>
              </w:rPr>
            </w:pPr>
            <w:r w:rsidRPr="004761E0">
              <w:rPr>
                <w:sz w:val="20"/>
                <w:szCs w:val="20"/>
                <w:lang w:eastAsia="ru-RU"/>
              </w:rPr>
              <w:t>Все должности, занимаемые данным лицом в Обществе и других организациях за последние 5 лет и в настоящее время в хронологическом порядке, в т.ч. по совместительству:</w:t>
            </w:r>
          </w:p>
        </w:tc>
      </w:tr>
      <w:tr w:rsidR="00670B18" w:rsidRPr="004761E0" w:rsidTr="006B4FAE">
        <w:tc>
          <w:tcPr>
            <w:tcW w:w="1843" w:type="dxa"/>
            <w:gridSpan w:val="2"/>
            <w:tcBorders>
              <w:bottom w:val="single" w:sz="4" w:space="0" w:color="FFFFFF"/>
              <w:right w:val="single" w:sz="4" w:space="0" w:color="FFFFFF"/>
            </w:tcBorders>
            <w:shd w:val="clear" w:color="auto" w:fill="0F243E"/>
            <w:vAlign w:val="center"/>
          </w:tcPr>
          <w:p w:rsidR="00670B18" w:rsidRPr="004761E0" w:rsidRDefault="00670B18" w:rsidP="006B4FAE">
            <w:pPr>
              <w:ind w:left="34" w:hanging="1"/>
              <w:jc w:val="center"/>
              <w:rPr>
                <w:b/>
                <w:sz w:val="20"/>
                <w:szCs w:val="20"/>
              </w:rPr>
            </w:pPr>
            <w:r w:rsidRPr="004761E0">
              <w:rPr>
                <w:b/>
                <w:sz w:val="20"/>
                <w:szCs w:val="20"/>
              </w:rPr>
              <w:t>Период</w:t>
            </w:r>
          </w:p>
        </w:tc>
        <w:tc>
          <w:tcPr>
            <w:tcW w:w="8080" w:type="dxa"/>
            <w:vMerge w:val="restart"/>
            <w:tcBorders>
              <w:left w:val="single" w:sz="4" w:space="0" w:color="FFFFFF"/>
              <w:bottom w:val="single" w:sz="4" w:space="0" w:color="FFFFFF"/>
              <w:right w:val="single" w:sz="4" w:space="0" w:color="FFFFFF"/>
            </w:tcBorders>
            <w:shd w:val="clear" w:color="auto" w:fill="0F243E"/>
            <w:vAlign w:val="center"/>
          </w:tcPr>
          <w:p w:rsidR="00670B18" w:rsidRPr="004761E0" w:rsidRDefault="00670B18" w:rsidP="006B4FAE">
            <w:pPr>
              <w:ind w:left="34" w:hanging="1"/>
              <w:jc w:val="left"/>
              <w:rPr>
                <w:b/>
                <w:sz w:val="20"/>
                <w:szCs w:val="20"/>
              </w:rPr>
            </w:pPr>
            <w:r w:rsidRPr="004761E0">
              <w:rPr>
                <w:b/>
                <w:sz w:val="20"/>
                <w:szCs w:val="20"/>
              </w:rPr>
              <w:t>Наименование организации</w:t>
            </w:r>
          </w:p>
        </w:tc>
        <w:tc>
          <w:tcPr>
            <w:tcW w:w="4536" w:type="dxa"/>
            <w:vMerge w:val="restart"/>
            <w:tcBorders>
              <w:left w:val="single" w:sz="4" w:space="0" w:color="FFFFFF"/>
              <w:bottom w:val="single" w:sz="4" w:space="0" w:color="FFFFFF"/>
            </w:tcBorders>
            <w:shd w:val="clear" w:color="auto" w:fill="0F243E"/>
            <w:vAlign w:val="center"/>
          </w:tcPr>
          <w:p w:rsidR="00670B18" w:rsidRPr="004761E0" w:rsidRDefault="00670B18" w:rsidP="006B4FAE">
            <w:pPr>
              <w:ind w:left="34" w:hanging="1"/>
              <w:jc w:val="left"/>
              <w:rPr>
                <w:b/>
                <w:sz w:val="20"/>
                <w:szCs w:val="20"/>
              </w:rPr>
            </w:pPr>
            <w:r w:rsidRPr="004761E0">
              <w:rPr>
                <w:b/>
                <w:sz w:val="20"/>
                <w:szCs w:val="20"/>
              </w:rPr>
              <w:t>Должность</w:t>
            </w:r>
          </w:p>
        </w:tc>
      </w:tr>
      <w:tr w:rsidR="00670B18" w:rsidRPr="004761E0" w:rsidTr="006B4FAE">
        <w:tc>
          <w:tcPr>
            <w:tcW w:w="851" w:type="dxa"/>
            <w:tcBorders>
              <w:top w:val="single" w:sz="4" w:space="0" w:color="FFFFFF"/>
              <w:right w:val="single" w:sz="4" w:space="0" w:color="FFFFFF"/>
            </w:tcBorders>
            <w:shd w:val="clear" w:color="auto" w:fill="0F243E"/>
          </w:tcPr>
          <w:p w:rsidR="00670B18" w:rsidRPr="004761E0" w:rsidRDefault="00670B18" w:rsidP="006B4FAE">
            <w:pPr>
              <w:ind w:left="34" w:hanging="1"/>
              <w:jc w:val="center"/>
              <w:rPr>
                <w:b/>
                <w:sz w:val="20"/>
                <w:szCs w:val="20"/>
              </w:rPr>
            </w:pPr>
            <w:r w:rsidRPr="004761E0">
              <w:rPr>
                <w:b/>
                <w:sz w:val="20"/>
                <w:szCs w:val="20"/>
              </w:rPr>
              <w:t>с</w:t>
            </w:r>
          </w:p>
        </w:tc>
        <w:tc>
          <w:tcPr>
            <w:tcW w:w="992" w:type="dxa"/>
            <w:tcBorders>
              <w:top w:val="single" w:sz="4" w:space="0" w:color="FFFFFF"/>
              <w:left w:val="single" w:sz="4" w:space="0" w:color="FFFFFF"/>
              <w:right w:val="single" w:sz="4" w:space="0" w:color="FFFFFF"/>
            </w:tcBorders>
            <w:shd w:val="clear" w:color="auto" w:fill="0F243E"/>
          </w:tcPr>
          <w:p w:rsidR="00670B18" w:rsidRPr="004761E0" w:rsidRDefault="00670B18" w:rsidP="006B4FAE">
            <w:pPr>
              <w:ind w:left="34" w:hanging="1"/>
              <w:jc w:val="center"/>
              <w:rPr>
                <w:b/>
                <w:sz w:val="20"/>
                <w:szCs w:val="20"/>
              </w:rPr>
            </w:pPr>
            <w:r w:rsidRPr="004761E0">
              <w:rPr>
                <w:b/>
                <w:sz w:val="20"/>
                <w:szCs w:val="20"/>
              </w:rPr>
              <w:t>по</w:t>
            </w:r>
          </w:p>
        </w:tc>
        <w:tc>
          <w:tcPr>
            <w:tcW w:w="8080" w:type="dxa"/>
            <w:vMerge/>
            <w:tcBorders>
              <w:top w:val="single" w:sz="4" w:space="0" w:color="FFFFFF"/>
              <w:left w:val="single" w:sz="4" w:space="0" w:color="FFFFFF"/>
              <w:right w:val="single" w:sz="4" w:space="0" w:color="FFFFFF"/>
            </w:tcBorders>
            <w:shd w:val="clear" w:color="auto" w:fill="0F243E"/>
          </w:tcPr>
          <w:p w:rsidR="00670B18" w:rsidRPr="004761E0" w:rsidRDefault="00670B18" w:rsidP="006B4FAE">
            <w:pPr>
              <w:ind w:left="34"/>
              <w:rPr>
                <w:b/>
                <w:sz w:val="20"/>
                <w:szCs w:val="20"/>
              </w:rPr>
            </w:pPr>
          </w:p>
        </w:tc>
        <w:tc>
          <w:tcPr>
            <w:tcW w:w="4536" w:type="dxa"/>
            <w:vMerge/>
            <w:tcBorders>
              <w:top w:val="single" w:sz="4" w:space="0" w:color="FFFFFF"/>
              <w:left w:val="single" w:sz="4" w:space="0" w:color="FFFFFF"/>
            </w:tcBorders>
            <w:shd w:val="clear" w:color="auto" w:fill="0F243E"/>
          </w:tcPr>
          <w:p w:rsidR="00670B18" w:rsidRPr="004761E0" w:rsidRDefault="00670B18" w:rsidP="006B4FAE">
            <w:pPr>
              <w:ind w:left="34"/>
              <w:rPr>
                <w:b/>
                <w:sz w:val="20"/>
                <w:szCs w:val="20"/>
              </w:rPr>
            </w:pP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2009</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2010</w:t>
            </w:r>
          </w:p>
        </w:tc>
        <w:tc>
          <w:tcPr>
            <w:tcW w:w="8080" w:type="dxa"/>
            <w:shd w:val="clear" w:color="auto" w:fill="auto"/>
          </w:tcPr>
          <w:p w:rsidR="00670B18" w:rsidRPr="004761E0" w:rsidRDefault="00670B18" w:rsidP="006B4FAE">
            <w:pPr>
              <w:ind w:firstLine="0"/>
              <w:jc w:val="left"/>
              <w:rPr>
                <w:sz w:val="20"/>
                <w:szCs w:val="20"/>
              </w:rPr>
            </w:pPr>
            <w:r w:rsidRPr="004761E0">
              <w:rPr>
                <w:sz w:val="20"/>
                <w:szCs w:val="20"/>
              </w:rPr>
              <w:t xml:space="preserve">Филиал </w:t>
            </w:r>
            <w:r>
              <w:rPr>
                <w:sz w:val="20"/>
                <w:szCs w:val="20"/>
              </w:rPr>
              <w:t>ОАО «ФСК ЕЭС» –</w:t>
            </w:r>
            <w:r w:rsidRPr="004761E0">
              <w:rPr>
                <w:sz w:val="20"/>
                <w:szCs w:val="20"/>
              </w:rPr>
              <w:t xml:space="preserve"> МЭС Центра</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Директор по организации эксплуатации основного оборудования</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2010</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2013</w:t>
            </w:r>
          </w:p>
        </w:tc>
        <w:tc>
          <w:tcPr>
            <w:tcW w:w="8080" w:type="dxa"/>
            <w:shd w:val="clear" w:color="auto" w:fill="auto"/>
          </w:tcPr>
          <w:p w:rsidR="00670B18" w:rsidRPr="004761E0" w:rsidRDefault="00670B18" w:rsidP="006B4FAE">
            <w:pPr>
              <w:ind w:firstLine="0"/>
              <w:jc w:val="left"/>
              <w:rPr>
                <w:sz w:val="20"/>
                <w:szCs w:val="20"/>
              </w:rPr>
            </w:pPr>
            <w:r w:rsidRPr="004761E0">
              <w:rPr>
                <w:sz w:val="20"/>
                <w:szCs w:val="20"/>
              </w:rPr>
              <w:t xml:space="preserve">Филиал </w:t>
            </w:r>
            <w:r>
              <w:rPr>
                <w:sz w:val="20"/>
                <w:szCs w:val="20"/>
              </w:rPr>
              <w:t>ОАО «ФСК ЕЭС» –</w:t>
            </w:r>
            <w:r w:rsidRPr="004761E0">
              <w:rPr>
                <w:sz w:val="20"/>
                <w:szCs w:val="20"/>
              </w:rPr>
              <w:t xml:space="preserve"> МЭС Центра</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Первый заместитель генерального директора – главный инженер</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2013</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C359B0">
            <w:pPr>
              <w:ind w:firstLine="0"/>
              <w:jc w:val="left"/>
              <w:rPr>
                <w:sz w:val="20"/>
                <w:szCs w:val="20"/>
              </w:rPr>
            </w:pPr>
            <w:r w:rsidRPr="004761E0">
              <w:rPr>
                <w:sz w:val="20"/>
                <w:szCs w:val="20"/>
              </w:rPr>
              <w:t xml:space="preserve">Филиал </w:t>
            </w:r>
            <w:r>
              <w:rPr>
                <w:sz w:val="20"/>
                <w:szCs w:val="20"/>
              </w:rPr>
              <w:t>ОАО </w:t>
            </w:r>
            <w:r w:rsidRPr="004761E0">
              <w:rPr>
                <w:sz w:val="20"/>
                <w:szCs w:val="20"/>
              </w:rPr>
              <w:t xml:space="preserve">«ФСК ЕЭС» </w:t>
            </w:r>
            <w:r>
              <w:rPr>
                <w:sz w:val="20"/>
                <w:szCs w:val="20"/>
              </w:rPr>
              <w:t>–</w:t>
            </w:r>
            <w:r w:rsidRPr="004761E0">
              <w:rPr>
                <w:sz w:val="20"/>
                <w:szCs w:val="20"/>
              </w:rPr>
              <w:t xml:space="preserve"> МЭС Центра</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Генеральный директор</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2013</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«МРСК Центра»</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2013</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«МРСК Центра и Приволжья»</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2013</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«МОЭСК»</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blPrEx>
          <w:tblLook w:val="04A0"/>
        </w:tblPrEx>
        <w:tc>
          <w:tcPr>
            <w:tcW w:w="14459" w:type="dxa"/>
            <w:gridSpan w:val="4"/>
          </w:tcPr>
          <w:p w:rsidR="00670B18" w:rsidRPr="004761E0" w:rsidRDefault="00670B18" w:rsidP="006B4FAE">
            <w:pPr>
              <w:ind w:firstLine="0"/>
              <w:jc w:val="left"/>
              <w:rPr>
                <w:bCs/>
                <w:iCs/>
                <w:sz w:val="20"/>
                <w:szCs w:val="20"/>
                <w:lang w:eastAsia="ru-RU"/>
              </w:rPr>
            </w:pPr>
            <w:r w:rsidRPr="004761E0">
              <w:rPr>
                <w:sz w:val="20"/>
                <w:szCs w:val="20"/>
                <w:lang w:eastAsia="ru-RU"/>
              </w:rPr>
              <w:t>Иная информация</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Доли участия в уставном капитале Общества/обыкновенных акций:</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Лицо указанных долей не имеет</w:t>
            </w:r>
            <w:r w:rsidRPr="004761E0">
              <w:rPr>
                <w:sz w:val="20"/>
                <w:szCs w:val="20"/>
                <w:lang w:eastAsia="ru-RU"/>
              </w:rPr>
              <w:t>.</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Доли участия лица в уставном (складочном) капитале (паевом фонде) дочерних и зависимых обществ Общества:</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Лицо указанных долей не имеет</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Сведения о характере любых родственных связей с иными лицами, входящими в состав органов управления Общества и/или органов контроля за финансово-хозяйственной деятельностью Общества:</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Указанных родственных связей у лица нет.</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lastRenderedPageBreak/>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Лицо к указанным видам ответственности не привлекалось</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Лицо указанных должностей не занимало.</w:t>
            </w:r>
          </w:p>
        </w:tc>
      </w:tr>
      <w:tr w:rsidR="00670B18" w:rsidRPr="004761E0" w:rsidTr="006B4FAE">
        <w:tblPrEx>
          <w:tblLook w:val="04A0"/>
        </w:tblPrEx>
        <w:tc>
          <w:tcPr>
            <w:tcW w:w="9923" w:type="dxa"/>
            <w:gridSpan w:val="3"/>
          </w:tcPr>
          <w:p w:rsidR="00670B18" w:rsidRPr="00670B18" w:rsidRDefault="00670B18" w:rsidP="00670B18">
            <w:pPr>
              <w:ind w:firstLine="0"/>
              <w:jc w:val="left"/>
              <w:rPr>
                <w:sz w:val="20"/>
                <w:szCs w:val="26"/>
                <w:lang w:eastAsia="ru-RU"/>
              </w:rPr>
            </w:pPr>
            <w:r w:rsidRPr="00670B18">
              <w:rPr>
                <w:sz w:val="20"/>
                <w:szCs w:val="26"/>
                <w:lang w:eastAsia="ru-RU"/>
              </w:rPr>
              <w:t>Сведения о сделках по приобретению или отчуждению акций Общества в течение отчетного года</w:t>
            </w:r>
            <w:r>
              <w:rPr>
                <w:sz w:val="20"/>
                <w:szCs w:val="26"/>
                <w:lang w:eastAsia="ru-RU"/>
              </w:rPr>
              <w:t>:</w:t>
            </w:r>
          </w:p>
        </w:tc>
        <w:tc>
          <w:tcPr>
            <w:tcW w:w="4536" w:type="dxa"/>
          </w:tcPr>
          <w:p w:rsidR="00670B18" w:rsidRPr="00670B18" w:rsidRDefault="00670B18" w:rsidP="00670B18">
            <w:pPr>
              <w:ind w:firstLine="0"/>
              <w:jc w:val="left"/>
              <w:rPr>
                <w:sz w:val="20"/>
                <w:szCs w:val="26"/>
                <w:lang w:eastAsia="ru-RU"/>
              </w:rPr>
            </w:pPr>
            <w:r w:rsidRPr="00670B18">
              <w:rPr>
                <w:sz w:val="20"/>
                <w:szCs w:val="26"/>
                <w:lang w:eastAsia="ru-RU"/>
              </w:rPr>
              <w:t>Лицом указанные сделки не совершались</w:t>
            </w:r>
            <w:r>
              <w:rPr>
                <w:sz w:val="20"/>
                <w:szCs w:val="26"/>
                <w:lang w:eastAsia="ru-RU"/>
              </w:rPr>
              <w:t>.</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Наличие согласия на раскрытие дан</w:t>
            </w:r>
            <w:r>
              <w:rPr>
                <w:sz w:val="20"/>
                <w:szCs w:val="20"/>
                <w:lang w:eastAsia="ru-RU"/>
              </w:rPr>
              <w:t>ной информации в Годовом отчете:</w:t>
            </w:r>
          </w:p>
        </w:tc>
        <w:tc>
          <w:tcPr>
            <w:tcW w:w="4536" w:type="dxa"/>
          </w:tcPr>
          <w:p w:rsidR="00670B18" w:rsidRPr="004761E0" w:rsidRDefault="00670B18" w:rsidP="006B4FAE">
            <w:pPr>
              <w:ind w:firstLine="0"/>
              <w:jc w:val="left"/>
              <w:rPr>
                <w:bCs/>
                <w:iCs/>
                <w:sz w:val="20"/>
                <w:szCs w:val="20"/>
                <w:lang w:eastAsia="ru-RU"/>
              </w:rPr>
            </w:pPr>
            <w:r w:rsidRPr="004761E0">
              <w:rPr>
                <w:bCs/>
                <w:iCs/>
                <w:sz w:val="20"/>
                <w:szCs w:val="20"/>
                <w:lang w:eastAsia="ru-RU"/>
              </w:rPr>
              <w:t>Лицом дано подобное согласие.</w:t>
            </w:r>
          </w:p>
        </w:tc>
      </w:tr>
      <w:tr w:rsidR="00670B18" w:rsidRPr="004761E0" w:rsidTr="006B4FAE">
        <w:tblPrEx>
          <w:tblLook w:val="04A0"/>
        </w:tblPrEx>
        <w:tc>
          <w:tcPr>
            <w:tcW w:w="14459" w:type="dxa"/>
            <w:gridSpan w:val="4"/>
            <w:shd w:val="clear" w:color="auto" w:fill="D9D9D9"/>
          </w:tcPr>
          <w:p w:rsidR="00670B18" w:rsidRPr="004761E0" w:rsidRDefault="00670B18" w:rsidP="007076A7">
            <w:pPr>
              <w:pStyle w:val="a5"/>
              <w:numPr>
                <w:ilvl w:val="0"/>
                <w:numId w:val="275"/>
              </w:numPr>
              <w:ind w:left="601" w:hanging="567"/>
              <w:contextualSpacing w:val="0"/>
              <w:jc w:val="left"/>
              <w:rPr>
                <w:b/>
                <w:bCs/>
                <w:iCs/>
                <w:sz w:val="20"/>
                <w:szCs w:val="20"/>
                <w:lang w:eastAsia="ru-RU"/>
              </w:rPr>
            </w:pPr>
            <w:r w:rsidRPr="004761E0">
              <w:rPr>
                <w:b/>
                <w:bCs/>
                <w:iCs/>
                <w:sz w:val="20"/>
                <w:szCs w:val="20"/>
                <w:lang w:eastAsia="ru-RU"/>
              </w:rPr>
              <w:t>Казаченков Андрей Валентинович</w:t>
            </w:r>
          </w:p>
        </w:tc>
      </w:tr>
      <w:tr w:rsidR="00670B18" w:rsidRPr="004761E0" w:rsidTr="006B4FAE">
        <w:tblPrEx>
          <w:tblLook w:val="04A0"/>
        </w:tblPrEx>
        <w:tc>
          <w:tcPr>
            <w:tcW w:w="14459" w:type="dxa"/>
            <w:gridSpan w:val="4"/>
          </w:tcPr>
          <w:p w:rsidR="00670B18" w:rsidRPr="004761E0" w:rsidRDefault="00670B18" w:rsidP="006B4FAE">
            <w:pPr>
              <w:ind w:firstLine="0"/>
              <w:jc w:val="left"/>
              <w:rPr>
                <w:bCs/>
                <w:iCs/>
                <w:sz w:val="20"/>
                <w:szCs w:val="20"/>
                <w:lang w:eastAsia="ru-RU"/>
              </w:rPr>
            </w:pPr>
            <w:r w:rsidRPr="004761E0">
              <w:rPr>
                <w:sz w:val="20"/>
                <w:szCs w:val="20"/>
                <w:lang w:eastAsia="ru-RU"/>
              </w:rPr>
              <w:t>Все должности, занимаемые данным лицом в Обществе и других организациях за последние 5 лет и в настоящее время в хронологическом порядке, в т.ч. по совместительству:</w:t>
            </w:r>
          </w:p>
        </w:tc>
      </w:tr>
      <w:tr w:rsidR="00670B18" w:rsidRPr="004761E0" w:rsidTr="006B4FAE">
        <w:tc>
          <w:tcPr>
            <w:tcW w:w="1843" w:type="dxa"/>
            <w:gridSpan w:val="2"/>
            <w:tcBorders>
              <w:bottom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0"/>
              </w:rPr>
            </w:pPr>
            <w:r w:rsidRPr="004761E0">
              <w:rPr>
                <w:b/>
                <w:sz w:val="20"/>
                <w:szCs w:val="20"/>
              </w:rPr>
              <w:t>Период</w:t>
            </w:r>
          </w:p>
        </w:tc>
        <w:tc>
          <w:tcPr>
            <w:tcW w:w="8080" w:type="dxa"/>
            <w:vMerge w:val="restart"/>
            <w:tcBorders>
              <w:left w:val="single" w:sz="4" w:space="0" w:color="FFFFFF"/>
              <w:bottom w:val="single" w:sz="4" w:space="0" w:color="FFFFFF"/>
              <w:right w:val="single" w:sz="4" w:space="0" w:color="FFFFFF"/>
            </w:tcBorders>
            <w:shd w:val="clear" w:color="auto" w:fill="0F243E"/>
            <w:vAlign w:val="center"/>
          </w:tcPr>
          <w:p w:rsidR="00670B18" w:rsidRPr="004761E0" w:rsidRDefault="00670B18" w:rsidP="006B4FAE">
            <w:pPr>
              <w:ind w:firstLine="0"/>
              <w:jc w:val="left"/>
              <w:rPr>
                <w:b/>
                <w:sz w:val="20"/>
                <w:szCs w:val="20"/>
              </w:rPr>
            </w:pPr>
            <w:r w:rsidRPr="004761E0">
              <w:rPr>
                <w:b/>
                <w:sz w:val="20"/>
                <w:szCs w:val="20"/>
              </w:rPr>
              <w:t>Наименование организации</w:t>
            </w:r>
          </w:p>
        </w:tc>
        <w:tc>
          <w:tcPr>
            <w:tcW w:w="4536" w:type="dxa"/>
            <w:vMerge w:val="restart"/>
            <w:tcBorders>
              <w:left w:val="single" w:sz="4" w:space="0" w:color="FFFFFF"/>
              <w:bottom w:val="single" w:sz="4" w:space="0" w:color="FFFFFF"/>
            </w:tcBorders>
            <w:shd w:val="clear" w:color="auto" w:fill="0F243E"/>
            <w:vAlign w:val="center"/>
          </w:tcPr>
          <w:p w:rsidR="00670B18" w:rsidRPr="004761E0" w:rsidRDefault="00670B18" w:rsidP="006B4FAE">
            <w:pPr>
              <w:ind w:firstLine="0"/>
              <w:jc w:val="left"/>
              <w:rPr>
                <w:b/>
                <w:sz w:val="20"/>
                <w:szCs w:val="20"/>
              </w:rPr>
            </w:pPr>
            <w:r w:rsidRPr="004761E0">
              <w:rPr>
                <w:b/>
                <w:sz w:val="20"/>
                <w:szCs w:val="20"/>
              </w:rPr>
              <w:t>Должность</w:t>
            </w:r>
          </w:p>
        </w:tc>
      </w:tr>
      <w:tr w:rsidR="00670B18" w:rsidRPr="004761E0" w:rsidTr="006B4FAE">
        <w:tc>
          <w:tcPr>
            <w:tcW w:w="851" w:type="dxa"/>
            <w:tcBorders>
              <w:top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0"/>
              </w:rPr>
            </w:pPr>
            <w:r w:rsidRPr="004761E0">
              <w:rPr>
                <w:b/>
                <w:sz w:val="20"/>
                <w:szCs w:val="20"/>
              </w:rPr>
              <w:t>с</w:t>
            </w:r>
          </w:p>
        </w:tc>
        <w:tc>
          <w:tcPr>
            <w:tcW w:w="992" w:type="dxa"/>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0"/>
              </w:rPr>
            </w:pPr>
            <w:r w:rsidRPr="004761E0">
              <w:rPr>
                <w:b/>
                <w:sz w:val="20"/>
                <w:szCs w:val="20"/>
              </w:rPr>
              <w:t>по</w:t>
            </w:r>
          </w:p>
        </w:tc>
        <w:tc>
          <w:tcPr>
            <w:tcW w:w="8080" w:type="dxa"/>
            <w:vMerge/>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jc w:val="center"/>
              <w:rPr>
                <w:b/>
                <w:sz w:val="20"/>
                <w:szCs w:val="20"/>
              </w:rPr>
            </w:pPr>
          </w:p>
        </w:tc>
        <w:tc>
          <w:tcPr>
            <w:tcW w:w="4536" w:type="dxa"/>
            <w:vMerge/>
            <w:tcBorders>
              <w:top w:val="single" w:sz="4" w:space="0" w:color="FFFFFF"/>
              <w:left w:val="single" w:sz="4" w:space="0" w:color="FFFFFF"/>
            </w:tcBorders>
            <w:shd w:val="clear" w:color="auto" w:fill="0F243E"/>
            <w:vAlign w:val="center"/>
          </w:tcPr>
          <w:p w:rsidR="00670B18" w:rsidRPr="004761E0" w:rsidRDefault="00670B18" w:rsidP="006B4FAE">
            <w:pPr>
              <w:jc w:val="center"/>
              <w:rPr>
                <w:b/>
                <w:sz w:val="20"/>
                <w:szCs w:val="20"/>
              </w:rPr>
            </w:pP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2007</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2009</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«ОГК-1»</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Начальник Департамента корпоративных финансов</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2009</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2009</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«ФСК ЕЭС»</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Советник Председателя Правления</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2009</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2012</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«ФСК ЕЭС»</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Заместитель Председателя Правления, Член Правления</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2010</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2011</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«Волжская ТГК»</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2010</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2011</w:t>
            </w:r>
          </w:p>
        </w:tc>
        <w:tc>
          <w:tcPr>
            <w:tcW w:w="8080" w:type="dxa"/>
            <w:shd w:val="clear" w:color="auto" w:fill="auto"/>
          </w:tcPr>
          <w:p w:rsidR="00670B18" w:rsidRPr="004761E0" w:rsidRDefault="00670B18" w:rsidP="006B4FAE">
            <w:pPr>
              <w:ind w:firstLine="0"/>
              <w:jc w:val="left"/>
              <w:rPr>
                <w:sz w:val="20"/>
                <w:szCs w:val="20"/>
              </w:rPr>
            </w:pPr>
            <w:r>
              <w:rPr>
                <w:sz w:val="20"/>
                <w:szCs w:val="20"/>
              </w:rPr>
              <w:t>ООО </w:t>
            </w:r>
            <w:r w:rsidRPr="004761E0">
              <w:rPr>
                <w:sz w:val="20"/>
                <w:szCs w:val="20"/>
              </w:rPr>
              <w:t>«Индекс энергетики – ФСК ЕЭС»</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rPr>
          <w:trHeight w:val="317"/>
        </w:trPr>
        <w:tc>
          <w:tcPr>
            <w:tcW w:w="851" w:type="dxa"/>
            <w:shd w:val="clear" w:color="auto" w:fill="auto"/>
          </w:tcPr>
          <w:p w:rsidR="00670B18" w:rsidRPr="004761E0" w:rsidRDefault="00670B18" w:rsidP="006B4FAE">
            <w:pPr>
              <w:ind w:firstLine="0"/>
              <w:jc w:val="left"/>
              <w:rPr>
                <w:sz w:val="20"/>
                <w:szCs w:val="20"/>
              </w:rPr>
            </w:pPr>
            <w:r w:rsidRPr="004761E0">
              <w:rPr>
                <w:sz w:val="20"/>
                <w:szCs w:val="20"/>
              </w:rPr>
              <w:t>2011</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2012</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«ЦИУС ЕЭС»</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rPr>
          <w:trHeight w:val="317"/>
        </w:trPr>
        <w:tc>
          <w:tcPr>
            <w:tcW w:w="851" w:type="dxa"/>
            <w:shd w:val="clear" w:color="auto" w:fill="auto"/>
          </w:tcPr>
          <w:p w:rsidR="00670B18" w:rsidRPr="004761E0" w:rsidRDefault="00670B18" w:rsidP="006B4FAE">
            <w:pPr>
              <w:ind w:firstLine="0"/>
              <w:jc w:val="left"/>
              <w:rPr>
                <w:sz w:val="20"/>
                <w:szCs w:val="20"/>
              </w:rPr>
            </w:pPr>
            <w:r w:rsidRPr="004761E0">
              <w:rPr>
                <w:sz w:val="20"/>
                <w:szCs w:val="20"/>
              </w:rPr>
              <w:t>2012</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2013</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«НИЦ ЕЭС»</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rPr>
          <w:trHeight w:val="317"/>
        </w:trPr>
        <w:tc>
          <w:tcPr>
            <w:tcW w:w="851" w:type="dxa"/>
            <w:shd w:val="clear" w:color="auto" w:fill="auto"/>
          </w:tcPr>
          <w:p w:rsidR="00670B18" w:rsidRPr="004761E0" w:rsidRDefault="00670B18" w:rsidP="006B4FAE">
            <w:pPr>
              <w:ind w:firstLine="0"/>
              <w:jc w:val="left"/>
              <w:rPr>
                <w:sz w:val="20"/>
                <w:szCs w:val="20"/>
              </w:rPr>
            </w:pPr>
            <w:r w:rsidRPr="004761E0">
              <w:rPr>
                <w:sz w:val="20"/>
                <w:szCs w:val="20"/>
              </w:rPr>
              <w:t>2012</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2013</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«МРСК Центра»</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Заместитель Председателя Совета директоров</w:t>
            </w:r>
          </w:p>
        </w:tc>
      </w:tr>
      <w:tr w:rsidR="00670B18" w:rsidRPr="004761E0" w:rsidTr="006B4FAE">
        <w:trPr>
          <w:trHeight w:val="317"/>
        </w:trPr>
        <w:tc>
          <w:tcPr>
            <w:tcW w:w="851" w:type="dxa"/>
            <w:shd w:val="clear" w:color="auto" w:fill="auto"/>
          </w:tcPr>
          <w:p w:rsidR="00670B18" w:rsidRPr="004761E0" w:rsidRDefault="00670B18" w:rsidP="006B4FAE">
            <w:pPr>
              <w:ind w:firstLine="0"/>
              <w:jc w:val="left"/>
              <w:rPr>
                <w:sz w:val="20"/>
                <w:szCs w:val="20"/>
              </w:rPr>
            </w:pPr>
            <w:r w:rsidRPr="004761E0">
              <w:rPr>
                <w:sz w:val="20"/>
                <w:szCs w:val="20"/>
              </w:rPr>
              <w:t>2012</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«ФСК ЕЭС»</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Первый заместитель Председателя Правления, Член Правления</w:t>
            </w:r>
          </w:p>
        </w:tc>
      </w:tr>
      <w:tr w:rsidR="00670B18" w:rsidRPr="004761E0" w:rsidTr="006B4FAE">
        <w:trPr>
          <w:trHeight w:val="317"/>
        </w:trPr>
        <w:tc>
          <w:tcPr>
            <w:tcW w:w="851" w:type="dxa"/>
            <w:shd w:val="clear" w:color="auto" w:fill="auto"/>
          </w:tcPr>
          <w:p w:rsidR="00670B18" w:rsidRPr="004761E0" w:rsidRDefault="00670B18" w:rsidP="006B4FAE">
            <w:pPr>
              <w:ind w:firstLine="0"/>
              <w:jc w:val="left"/>
              <w:rPr>
                <w:sz w:val="20"/>
                <w:szCs w:val="20"/>
              </w:rPr>
            </w:pPr>
            <w:r w:rsidRPr="004761E0">
              <w:rPr>
                <w:sz w:val="20"/>
                <w:szCs w:val="20"/>
              </w:rPr>
              <w:t>2012</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«Ленэнерго»</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rPr>
          <w:trHeight w:val="317"/>
        </w:trPr>
        <w:tc>
          <w:tcPr>
            <w:tcW w:w="851" w:type="dxa"/>
            <w:shd w:val="clear" w:color="auto" w:fill="auto"/>
          </w:tcPr>
          <w:p w:rsidR="00670B18" w:rsidRPr="004761E0" w:rsidRDefault="00670B18" w:rsidP="006B4FAE">
            <w:pPr>
              <w:ind w:firstLine="0"/>
              <w:jc w:val="left"/>
              <w:rPr>
                <w:sz w:val="20"/>
                <w:szCs w:val="20"/>
              </w:rPr>
            </w:pPr>
            <w:r w:rsidRPr="004761E0">
              <w:rPr>
                <w:sz w:val="20"/>
                <w:szCs w:val="20"/>
              </w:rPr>
              <w:t>2013</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«МОЭСК»</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blPrEx>
          <w:tblLook w:val="04A0"/>
        </w:tblPrEx>
        <w:tc>
          <w:tcPr>
            <w:tcW w:w="14459" w:type="dxa"/>
            <w:gridSpan w:val="4"/>
          </w:tcPr>
          <w:p w:rsidR="00670B18" w:rsidRPr="004761E0" w:rsidRDefault="00670B18" w:rsidP="006B4FAE">
            <w:pPr>
              <w:ind w:firstLine="0"/>
              <w:jc w:val="left"/>
              <w:rPr>
                <w:bCs/>
                <w:iCs/>
                <w:sz w:val="20"/>
                <w:szCs w:val="20"/>
                <w:lang w:eastAsia="ru-RU"/>
              </w:rPr>
            </w:pPr>
            <w:r w:rsidRPr="004761E0">
              <w:rPr>
                <w:sz w:val="20"/>
                <w:szCs w:val="20"/>
                <w:lang w:eastAsia="ru-RU"/>
              </w:rPr>
              <w:t>Иная информация</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Доли участия в уставном капитале Общества/обыкновенных акций:</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Лицо указанных долей не имеет</w:t>
            </w:r>
            <w:r w:rsidRPr="004761E0">
              <w:rPr>
                <w:sz w:val="20"/>
                <w:szCs w:val="20"/>
                <w:lang w:eastAsia="ru-RU"/>
              </w:rPr>
              <w:t>.</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Доли участия лица в уставном (складочном) капитале (паевом фонде) дочерних и зависимых обществ Общества:</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Лицо указанных долей не имеет</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Сведения о характере любых родственных связей с иными лицами, входящими в состав органов управления Общества и/или органов контроля за финансово-хозяйственной деятельностью Общества:</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Указанных родственных связей у лица нет.</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Лицо к указанным видам ответственности не привлекалось</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 xml:space="preserve">Сведений о занятии таким лицом должностей в органах управления коммерческих организаций в период, когда </w:t>
            </w:r>
            <w:r w:rsidRPr="004761E0">
              <w:rPr>
                <w:sz w:val="20"/>
                <w:szCs w:val="20"/>
                <w:lang w:eastAsia="ru-RU"/>
              </w:rPr>
              <w:lastRenderedPageBreak/>
              <w:t>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lastRenderedPageBreak/>
              <w:t>Лицо указанных должностей не занимало.</w:t>
            </w:r>
          </w:p>
        </w:tc>
      </w:tr>
      <w:tr w:rsidR="00670B18" w:rsidRPr="004761E0" w:rsidTr="006B4FAE">
        <w:tblPrEx>
          <w:tblLook w:val="04A0"/>
        </w:tblPrEx>
        <w:tc>
          <w:tcPr>
            <w:tcW w:w="9923" w:type="dxa"/>
            <w:gridSpan w:val="3"/>
          </w:tcPr>
          <w:p w:rsidR="00670B18" w:rsidRPr="00670B18" w:rsidRDefault="00670B18" w:rsidP="00670B18">
            <w:pPr>
              <w:ind w:firstLine="0"/>
              <w:jc w:val="left"/>
              <w:rPr>
                <w:sz w:val="20"/>
                <w:szCs w:val="26"/>
                <w:lang w:eastAsia="ru-RU"/>
              </w:rPr>
            </w:pPr>
            <w:r w:rsidRPr="00670B18">
              <w:rPr>
                <w:sz w:val="20"/>
                <w:szCs w:val="26"/>
                <w:lang w:eastAsia="ru-RU"/>
              </w:rPr>
              <w:lastRenderedPageBreak/>
              <w:t>Сведения о сделках по приобретению или отчуждению акций Общества в течение отчетного года</w:t>
            </w:r>
            <w:r>
              <w:rPr>
                <w:sz w:val="20"/>
                <w:szCs w:val="26"/>
                <w:lang w:eastAsia="ru-RU"/>
              </w:rPr>
              <w:t>:</w:t>
            </w:r>
          </w:p>
        </w:tc>
        <w:tc>
          <w:tcPr>
            <w:tcW w:w="4536" w:type="dxa"/>
          </w:tcPr>
          <w:p w:rsidR="00670B18" w:rsidRPr="00670B18" w:rsidRDefault="00670B18" w:rsidP="00670B18">
            <w:pPr>
              <w:ind w:firstLine="0"/>
              <w:jc w:val="left"/>
              <w:rPr>
                <w:sz w:val="20"/>
                <w:szCs w:val="26"/>
                <w:lang w:eastAsia="ru-RU"/>
              </w:rPr>
            </w:pPr>
            <w:r w:rsidRPr="00670B18">
              <w:rPr>
                <w:sz w:val="20"/>
                <w:szCs w:val="26"/>
                <w:lang w:eastAsia="ru-RU"/>
              </w:rPr>
              <w:t>Лицом указанные сделки не совершались</w:t>
            </w:r>
            <w:r>
              <w:rPr>
                <w:sz w:val="20"/>
                <w:szCs w:val="26"/>
                <w:lang w:eastAsia="ru-RU"/>
              </w:rPr>
              <w:t>.</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Наличие согласия на раскрытие дан</w:t>
            </w:r>
            <w:r>
              <w:rPr>
                <w:sz w:val="20"/>
                <w:szCs w:val="20"/>
                <w:lang w:eastAsia="ru-RU"/>
              </w:rPr>
              <w:t>ной информации в Годовом отчете:</w:t>
            </w:r>
          </w:p>
        </w:tc>
        <w:tc>
          <w:tcPr>
            <w:tcW w:w="4536" w:type="dxa"/>
          </w:tcPr>
          <w:p w:rsidR="00670B18" w:rsidRPr="004761E0" w:rsidRDefault="00670B18" w:rsidP="006B4FAE">
            <w:pPr>
              <w:ind w:firstLine="0"/>
              <w:jc w:val="left"/>
              <w:rPr>
                <w:bCs/>
                <w:iCs/>
                <w:sz w:val="20"/>
                <w:szCs w:val="20"/>
                <w:lang w:eastAsia="ru-RU"/>
              </w:rPr>
            </w:pPr>
            <w:r w:rsidRPr="004761E0">
              <w:rPr>
                <w:bCs/>
                <w:iCs/>
                <w:sz w:val="20"/>
                <w:szCs w:val="20"/>
                <w:lang w:eastAsia="ru-RU"/>
              </w:rPr>
              <w:t>Лицом дано подобное согласие.</w:t>
            </w:r>
          </w:p>
        </w:tc>
      </w:tr>
      <w:tr w:rsidR="00670B18" w:rsidRPr="004761E0" w:rsidTr="006B4FAE">
        <w:tblPrEx>
          <w:tblLook w:val="04A0"/>
        </w:tblPrEx>
        <w:tc>
          <w:tcPr>
            <w:tcW w:w="14459" w:type="dxa"/>
            <w:gridSpan w:val="4"/>
            <w:shd w:val="clear" w:color="auto" w:fill="D9D9D9"/>
          </w:tcPr>
          <w:p w:rsidR="00670B18" w:rsidRPr="004761E0" w:rsidRDefault="00670B18" w:rsidP="007076A7">
            <w:pPr>
              <w:pStyle w:val="a5"/>
              <w:numPr>
                <w:ilvl w:val="0"/>
                <w:numId w:val="275"/>
              </w:numPr>
              <w:ind w:left="601" w:hanging="567"/>
              <w:contextualSpacing w:val="0"/>
              <w:jc w:val="left"/>
              <w:rPr>
                <w:b/>
                <w:bCs/>
                <w:iCs/>
                <w:sz w:val="20"/>
                <w:szCs w:val="20"/>
                <w:lang w:eastAsia="ru-RU"/>
              </w:rPr>
            </w:pPr>
            <w:r w:rsidRPr="004761E0">
              <w:rPr>
                <w:b/>
                <w:bCs/>
                <w:iCs/>
                <w:sz w:val="20"/>
                <w:szCs w:val="20"/>
                <w:lang w:eastAsia="ru-RU"/>
              </w:rPr>
              <w:t>Ливинский Павел Анатольевич</w:t>
            </w:r>
          </w:p>
        </w:tc>
      </w:tr>
      <w:tr w:rsidR="00670B18" w:rsidRPr="004761E0" w:rsidTr="006B4FAE">
        <w:tblPrEx>
          <w:tblLook w:val="04A0"/>
        </w:tblPrEx>
        <w:tc>
          <w:tcPr>
            <w:tcW w:w="14459" w:type="dxa"/>
            <w:gridSpan w:val="4"/>
          </w:tcPr>
          <w:p w:rsidR="00670B18" w:rsidRPr="004761E0" w:rsidRDefault="00670B18" w:rsidP="006B4FAE">
            <w:pPr>
              <w:ind w:firstLine="0"/>
              <w:jc w:val="left"/>
              <w:rPr>
                <w:bCs/>
                <w:iCs/>
                <w:sz w:val="20"/>
                <w:szCs w:val="20"/>
                <w:lang w:eastAsia="ru-RU"/>
              </w:rPr>
            </w:pPr>
            <w:r w:rsidRPr="004761E0">
              <w:rPr>
                <w:bCs/>
                <w:iCs/>
                <w:sz w:val="20"/>
                <w:szCs w:val="20"/>
                <w:lang w:eastAsia="ru-RU"/>
              </w:rPr>
              <w:t>Все должности, занимаемые данным лицом в Обществе и других организациях за последние 5 лет и в настоящее время в хронологическом порядке, в т.ч. по совместительству:</w:t>
            </w:r>
          </w:p>
        </w:tc>
      </w:tr>
      <w:tr w:rsidR="00670B18" w:rsidRPr="004761E0" w:rsidTr="006B4FAE">
        <w:tc>
          <w:tcPr>
            <w:tcW w:w="1843" w:type="dxa"/>
            <w:gridSpan w:val="2"/>
            <w:tcBorders>
              <w:bottom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0"/>
              </w:rPr>
            </w:pPr>
            <w:r w:rsidRPr="004761E0">
              <w:rPr>
                <w:b/>
                <w:sz w:val="20"/>
                <w:szCs w:val="20"/>
              </w:rPr>
              <w:t>Период</w:t>
            </w:r>
          </w:p>
        </w:tc>
        <w:tc>
          <w:tcPr>
            <w:tcW w:w="8080" w:type="dxa"/>
            <w:vMerge w:val="restart"/>
            <w:tcBorders>
              <w:left w:val="single" w:sz="4" w:space="0" w:color="FFFFFF"/>
              <w:bottom w:val="single" w:sz="4" w:space="0" w:color="FFFFFF"/>
              <w:right w:val="single" w:sz="4" w:space="0" w:color="FFFFFF"/>
            </w:tcBorders>
            <w:shd w:val="clear" w:color="auto" w:fill="0F243E"/>
            <w:vAlign w:val="center"/>
          </w:tcPr>
          <w:p w:rsidR="00670B18" w:rsidRPr="004761E0" w:rsidRDefault="00670B18" w:rsidP="006B4FAE">
            <w:pPr>
              <w:ind w:firstLine="0"/>
              <w:jc w:val="left"/>
              <w:rPr>
                <w:b/>
                <w:sz w:val="20"/>
                <w:szCs w:val="20"/>
              </w:rPr>
            </w:pPr>
            <w:r w:rsidRPr="004761E0">
              <w:rPr>
                <w:b/>
                <w:sz w:val="20"/>
                <w:szCs w:val="20"/>
              </w:rPr>
              <w:t>Наименование организации</w:t>
            </w:r>
          </w:p>
        </w:tc>
        <w:tc>
          <w:tcPr>
            <w:tcW w:w="4536" w:type="dxa"/>
            <w:vMerge w:val="restart"/>
            <w:tcBorders>
              <w:left w:val="single" w:sz="4" w:space="0" w:color="FFFFFF"/>
              <w:bottom w:val="single" w:sz="4" w:space="0" w:color="FFFFFF"/>
            </w:tcBorders>
            <w:shd w:val="clear" w:color="auto" w:fill="0F243E"/>
            <w:vAlign w:val="center"/>
          </w:tcPr>
          <w:p w:rsidR="00670B18" w:rsidRPr="004761E0" w:rsidRDefault="00670B18" w:rsidP="006B4FAE">
            <w:pPr>
              <w:ind w:firstLine="0"/>
              <w:jc w:val="left"/>
              <w:rPr>
                <w:b/>
                <w:sz w:val="20"/>
                <w:szCs w:val="20"/>
              </w:rPr>
            </w:pPr>
            <w:r w:rsidRPr="004761E0">
              <w:rPr>
                <w:b/>
                <w:sz w:val="20"/>
                <w:szCs w:val="20"/>
              </w:rPr>
              <w:t>Должность</w:t>
            </w:r>
          </w:p>
        </w:tc>
      </w:tr>
      <w:tr w:rsidR="00670B18" w:rsidRPr="004761E0" w:rsidTr="006B4FAE">
        <w:tc>
          <w:tcPr>
            <w:tcW w:w="851" w:type="dxa"/>
            <w:tcBorders>
              <w:top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0"/>
              </w:rPr>
            </w:pPr>
            <w:r w:rsidRPr="004761E0">
              <w:rPr>
                <w:b/>
                <w:sz w:val="20"/>
                <w:szCs w:val="20"/>
              </w:rPr>
              <w:t>с</w:t>
            </w:r>
          </w:p>
        </w:tc>
        <w:tc>
          <w:tcPr>
            <w:tcW w:w="992" w:type="dxa"/>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0"/>
              </w:rPr>
            </w:pPr>
            <w:r w:rsidRPr="004761E0">
              <w:rPr>
                <w:b/>
                <w:sz w:val="20"/>
                <w:szCs w:val="20"/>
              </w:rPr>
              <w:t>по</w:t>
            </w:r>
          </w:p>
        </w:tc>
        <w:tc>
          <w:tcPr>
            <w:tcW w:w="8080" w:type="dxa"/>
            <w:vMerge/>
            <w:tcBorders>
              <w:top w:val="single" w:sz="4" w:space="0" w:color="FFFFFF"/>
              <w:left w:val="single" w:sz="4" w:space="0" w:color="FFFFFF"/>
              <w:right w:val="single" w:sz="4" w:space="0" w:color="FFFFFF"/>
            </w:tcBorders>
            <w:shd w:val="clear" w:color="auto" w:fill="002060"/>
            <w:vAlign w:val="center"/>
          </w:tcPr>
          <w:p w:rsidR="00670B18" w:rsidRPr="004761E0" w:rsidRDefault="00670B18" w:rsidP="006B4FAE">
            <w:pPr>
              <w:jc w:val="center"/>
              <w:rPr>
                <w:b/>
                <w:sz w:val="20"/>
                <w:szCs w:val="20"/>
              </w:rPr>
            </w:pPr>
          </w:p>
        </w:tc>
        <w:tc>
          <w:tcPr>
            <w:tcW w:w="4536" w:type="dxa"/>
            <w:vMerge/>
            <w:tcBorders>
              <w:top w:val="single" w:sz="4" w:space="0" w:color="FFFFFF"/>
              <w:left w:val="single" w:sz="4" w:space="0" w:color="FFFFFF"/>
            </w:tcBorders>
            <w:shd w:val="clear" w:color="auto" w:fill="002060"/>
            <w:vAlign w:val="center"/>
          </w:tcPr>
          <w:p w:rsidR="00670B18" w:rsidRPr="004761E0" w:rsidRDefault="00670B18" w:rsidP="006B4FAE">
            <w:pPr>
              <w:jc w:val="center"/>
              <w:rPr>
                <w:b/>
                <w:sz w:val="20"/>
                <w:szCs w:val="20"/>
              </w:rPr>
            </w:pP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2008</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2009</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«МОЭСК»</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Заместитель генерального директора по работе с клиентами и технологическим присоединениям</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2009</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2010</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«Специализированное проектно-конструкторское бюро по ремонту и реконструкции»</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Генеральный директор</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2011</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2013</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«ОЭК»</w:t>
            </w:r>
          </w:p>
        </w:tc>
        <w:tc>
          <w:tcPr>
            <w:tcW w:w="4536" w:type="dxa"/>
            <w:shd w:val="clear" w:color="auto" w:fill="auto"/>
          </w:tcPr>
          <w:p w:rsidR="00670B18" w:rsidRPr="004761E0" w:rsidRDefault="00670B18" w:rsidP="006B4FAE">
            <w:pPr>
              <w:ind w:firstLine="0"/>
              <w:jc w:val="left"/>
              <w:rPr>
                <w:sz w:val="20"/>
                <w:szCs w:val="20"/>
              </w:rPr>
            </w:pPr>
            <w:r>
              <w:rPr>
                <w:sz w:val="20"/>
                <w:szCs w:val="20"/>
              </w:rPr>
              <w:t>Коммерческий директор –</w:t>
            </w:r>
            <w:r w:rsidRPr="004761E0">
              <w:rPr>
                <w:sz w:val="20"/>
                <w:szCs w:val="20"/>
              </w:rPr>
              <w:t xml:space="preserve"> первый замес</w:t>
            </w:r>
            <w:r>
              <w:rPr>
                <w:sz w:val="20"/>
                <w:szCs w:val="20"/>
              </w:rPr>
              <w:t>титель генерального директора, г</w:t>
            </w:r>
            <w:r w:rsidRPr="004761E0">
              <w:rPr>
                <w:sz w:val="20"/>
                <w:szCs w:val="20"/>
              </w:rPr>
              <w:t>енеральный директор</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2013</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sidRPr="004761E0">
              <w:rPr>
                <w:sz w:val="20"/>
                <w:szCs w:val="20"/>
              </w:rPr>
              <w:t>Департамент топливно-энергетического хозяйства города Москвы</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Руководитель Департамента</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2012</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«ОЭК»</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2012</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«Мосгаз»</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2012</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«Мосэнерго»</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2013</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2013</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«МОЭК»</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2013</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«Мосгорсвет»</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2013</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«МОЭСК»</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blPrEx>
          <w:tblLook w:val="04A0"/>
        </w:tblPrEx>
        <w:tc>
          <w:tcPr>
            <w:tcW w:w="14459" w:type="dxa"/>
            <w:gridSpan w:val="4"/>
          </w:tcPr>
          <w:p w:rsidR="00670B18" w:rsidRPr="004761E0" w:rsidRDefault="00670B18" w:rsidP="006B4FAE">
            <w:pPr>
              <w:ind w:firstLine="0"/>
              <w:jc w:val="left"/>
              <w:rPr>
                <w:bCs/>
                <w:iCs/>
                <w:sz w:val="20"/>
                <w:szCs w:val="20"/>
                <w:lang w:eastAsia="ru-RU"/>
              </w:rPr>
            </w:pPr>
            <w:r w:rsidRPr="004761E0">
              <w:rPr>
                <w:sz w:val="20"/>
                <w:szCs w:val="20"/>
                <w:lang w:eastAsia="ru-RU"/>
              </w:rPr>
              <w:t>Иная информация</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Доли участия в уставном капитале Общества/обыкновенных акций:</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Лицо указанных долей не имеет</w:t>
            </w:r>
            <w:r w:rsidRPr="004761E0">
              <w:rPr>
                <w:sz w:val="20"/>
                <w:szCs w:val="20"/>
                <w:lang w:eastAsia="ru-RU"/>
              </w:rPr>
              <w:t>.</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Доли участия лица в уставном (складочном) капитале (паевом фонде) дочерних и зависимых обществ Общества:</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Лицо указанных долей не имеет</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Сведения о характере любых родственных связей с иными лицами, входящими в состав органов управления Общества и/или органов контроля за финансово-хозяйственной деятельностью Общества:</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Указанных родственных связей у лица нет.</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Лицо к указанным видам ответственности не привлекалось</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Лицо указанных должностей не занимало.</w:t>
            </w:r>
          </w:p>
        </w:tc>
      </w:tr>
      <w:tr w:rsidR="00670B18" w:rsidRPr="004761E0" w:rsidTr="006B4FAE">
        <w:tblPrEx>
          <w:tblLook w:val="04A0"/>
        </w:tblPrEx>
        <w:tc>
          <w:tcPr>
            <w:tcW w:w="9923" w:type="dxa"/>
            <w:gridSpan w:val="3"/>
          </w:tcPr>
          <w:p w:rsidR="00670B18" w:rsidRPr="00670B18" w:rsidRDefault="00670B18" w:rsidP="00670B18">
            <w:pPr>
              <w:ind w:firstLine="0"/>
              <w:jc w:val="left"/>
              <w:rPr>
                <w:sz w:val="20"/>
                <w:szCs w:val="26"/>
                <w:lang w:eastAsia="ru-RU"/>
              </w:rPr>
            </w:pPr>
            <w:r w:rsidRPr="00670B18">
              <w:rPr>
                <w:sz w:val="20"/>
                <w:szCs w:val="26"/>
                <w:lang w:eastAsia="ru-RU"/>
              </w:rPr>
              <w:t>Сведения о сделках по приобретению или отчуждению акций Общества в течение отчетного года</w:t>
            </w:r>
            <w:r>
              <w:rPr>
                <w:sz w:val="20"/>
                <w:szCs w:val="26"/>
                <w:lang w:eastAsia="ru-RU"/>
              </w:rPr>
              <w:t>:</w:t>
            </w:r>
          </w:p>
        </w:tc>
        <w:tc>
          <w:tcPr>
            <w:tcW w:w="4536" w:type="dxa"/>
          </w:tcPr>
          <w:p w:rsidR="00670B18" w:rsidRPr="00670B18" w:rsidRDefault="00670B18" w:rsidP="00670B18">
            <w:pPr>
              <w:ind w:firstLine="0"/>
              <w:jc w:val="left"/>
              <w:rPr>
                <w:sz w:val="20"/>
                <w:szCs w:val="26"/>
                <w:lang w:eastAsia="ru-RU"/>
              </w:rPr>
            </w:pPr>
            <w:r w:rsidRPr="00670B18">
              <w:rPr>
                <w:sz w:val="20"/>
                <w:szCs w:val="26"/>
                <w:lang w:eastAsia="ru-RU"/>
              </w:rPr>
              <w:t>Лицом указанные сделки не совершались</w:t>
            </w:r>
            <w:r>
              <w:rPr>
                <w:sz w:val="20"/>
                <w:szCs w:val="26"/>
                <w:lang w:eastAsia="ru-RU"/>
              </w:rPr>
              <w:t>.</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Наличие согласия на раскрытие дан</w:t>
            </w:r>
            <w:r>
              <w:rPr>
                <w:sz w:val="20"/>
                <w:szCs w:val="20"/>
                <w:lang w:eastAsia="ru-RU"/>
              </w:rPr>
              <w:t>ной информации в Годовом отчете:</w:t>
            </w:r>
          </w:p>
        </w:tc>
        <w:tc>
          <w:tcPr>
            <w:tcW w:w="4536" w:type="dxa"/>
          </w:tcPr>
          <w:p w:rsidR="00670B18" w:rsidRPr="004761E0" w:rsidRDefault="00670B18" w:rsidP="006B4FAE">
            <w:pPr>
              <w:ind w:firstLine="0"/>
              <w:jc w:val="left"/>
              <w:rPr>
                <w:bCs/>
                <w:iCs/>
                <w:sz w:val="20"/>
                <w:szCs w:val="20"/>
                <w:lang w:eastAsia="ru-RU"/>
              </w:rPr>
            </w:pPr>
            <w:r w:rsidRPr="004761E0">
              <w:rPr>
                <w:bCs/>
                <w:iCs/>
                <w:sz w:val="20"/>
                <w:szCs w:val="20"/>
                <w:lang w:eastAsia="ru-RU"/>
              </w:rPr>
              <w:t>Лицом дано подобное согласие.</w:t>
            </w:r>
          </w:p>
        </w:tc>
      </w:tr>
      <w:tr w:rsidR="00670B18" w:rsidRPr="004761E0" w:rsidTr="006B4FAE">
        <w:tblPrEx>
          <w:tblLook w:val="04A0"/>
        </w:tblPrEx>
        <w:tc>
          <w:tcPr>
            <w:tcW w:w="14459" w:type="dxa"/>
            <w:gridSpan w:val="4"/>
            <w:shd w:val="clear" w:color="auto" w:fill="D9D9D9"/>
          </w:tcPr>
          <w:p w:rsidR="00670B18" w:rsidRPr="004761E0" w:rsidRDefault="00670B18" w:rsidP="007076A7">
            <w:pPr>
              <w:pStyle w:val="a5"/>
              <w:numPr>
                <w:ilvl w:val="0"/>
                <w:numId w:val="275"/>
              </w:numPr>
              <w:ind w:left="601" w:hanging="567"/>
              <w:contextualSpacing w:val="0"/>
              <w:jc w:val="left"/>
              <w:rPr>
                <w:b/>
                <w:bCs/>
                <w:iCs/>
                <w:sz w:val="20"/>
                <w:szCs w:val="20"/>
                <w:lang w:eastAsia="ru-RU"/>
              </w:rPr>
            </w:pPr>
            <w:r w:rsidRPr="004761E0">
              <w:rPr>
                <w:b/>
                <w:bCs/>
                <w:iCs/>
                <w:sz w:val="20"/>
                <w:szCs w:val="20"/>
                <w:lang w:eastAsia="ru-RU"/>
              </w:rPr>
              <w:t>Никитин Сергей Александрович</w:t>
            </w:r>
          </w:p>
        </w:tc>
      </w:tr>
      <w:tr w:rsidR="00670B18" w:rsidRPr="004761E0" w:rsidTr="006B4FAE">
        <w:tblPrEx>
          <w:tblLook w:val="04A0"/>
        </w:tblPrEx>
        <w:tc>
          <w:tcPr>
            <w:tcW w:w="14459" w:type="dxa"/>
            <w:gridSpan w:val="4"/>
          </w:tcPr>
          <w:p w:rsidR="00670B18" w:rsidRPr="004761E0" w:rsidRDefault="00670B18" w:rsidP="006B4FAE">
            <w:pPr>
              <w:ind w:firstLine="0"/>
              <w:jc w:val="left"/>
              <w:rPr>
                <w:bCs/>
                <w:iCs/>
                <w:sz w:val="20"/>
                <w:szCs w:val="20"/>
                <w:lang w:eastAsia="ru-RU"/>
              </w:rPr>
            </w:pPr>
            <w:r w:rsidRPr="004761E0">
              <w:rPr>
                <w:sz w:val="20"/>
                <w:szCs w:val="20"/>
                <w:lang w:eastAsia="ru-RU"/>
              </w:rPr>
              <w:t>Все должности, занимаемые данным лицом в Обществе и других организациях за последние 5 лет и в настоящее время в хронологическом порядке, в т.ч. по совместительству:</w:t>
            </w:r>
          </w:p>
        </w:tc>
      </w:tr>
      <w:tr w:rsidR="00670B18" w:rsidRPr="004761E0" w:rsidTr="006B4FAE">
        <w:tc>
          <w:tcPr>
            <w:tcW w:w="1843" w:type="dxa"/>
            <w:gridSpan w:val="2"/>
            <w:tcBorders>
              <w:bottom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0"/>
              </w:rPr>
            </w:pPr>
            <w:r w:rsidRPr="004761E0">
              <w:rPr>
                <w:b/>
                <w:sz w:val="20"/>
                <w:szCs w:val="20"/>
              </w:rPr>
              <w:t>Период</w:t>
            </w:r>
          </w:p>
        </w:tc>
        <w:tc>
          <w:tcPr>
            <w:tcW w:w="8080" w:type="dxa"/>
            <w:vMerge w:val="restart"/>
            <w:tcBorders>
              <w:left w:val="single" w:sz="4" w:space="0" w:color="FFFFFF"/>
              <w:bottom w:val="single" w:sz="4" w:space="0" w:color="FFFFFF"/>
              <w:right w:val="single" w:sz="4" w:space="0" w:color="FFFFFF"/>
            </w:tcBorders>
            <w:shd w:val="clear" w:color="auto" w:fill="0F243E"/>
            <w:vAlign w:val="center"/>
          </w:tcPr>
          <w:p w:rsidR="00670B18" w:rsidRPr="004761E0" w:rsidRDefault="00670B18" w:rsidP="006B4FAE">
            <w:pPr>
              <w:ind w:firstLine="0"/>
              <w:jc w:val="left"/>
              <w:rPr>
                <w:b/>
                <w:sz w:val="20"/>
                <w:szCs w:val="20"/>
              </w:rPr>
            </w:pPr>
            <w:r w:rsidRPr="004761E0">
              <w:rPr>
                <w:b/>
                <w:sz w:val="20"/>
                <w:szCs w:val="20"/>
              </w:rPr>
              <w:t>Наименование организации</w:t>
            </w:r>
          </w:p>
        </w:tc>
        <w:tc>
          <w:tcPr>
            <w:tcW w:w="4536" w:type="dxa"/>
            <w:vMerge w:val="restart"/>
            <w:tcBorders>
              <w:left w:val="single" w:sz="4" w:space="0" w:color="FFFFFF"/>
              <w:bottom w:val="single" w:sz="4" w:space="0" w:color="FFFFFF"/>
            </w:tcBorders>
            <w:shd w:val="clear" w:color="auto" w:fill="0F243E"/>
            <w:vAlign w:val="center"/>
          </w:tcPr>
          <w:p w:rsidR="00670B18" w:rsidRPr="004761E0" w:rsidRDefault="00670B18" w:rsidP="006B4FAE">
            <w:pPr>
              <w:ind w:firstLine="0"/>
              <w:jc w:val="left"/>
              <w:rPr>
                <w:b/>
                <w:sz w:val="20"/>
                <w:szCs w:val="20"/>
              </w:rPr>
            </w:pPr>
            <w:r w:rsidRPr="004761E0">
              <w:rPr>
                <w:b/>
                <w:sz w:val="20"/>
                <w:szCs w:val="20"/>
              </w:rPr>
              <w:t>Должность</w:t>
            </w:r>
          </w:p>
        </w:tc>
      </w:tr>
      <w:tr w:rsidR="00670B18" w:rsidRPr="004761E0" w:rsidTr="006B4FAE">
        <w:tc>
          <w:tcPr>
            <w:tcW w:w="851" w:type="dxa"/>
            <w:tcBorders>
              <w:top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0"/>
              </w:rPr>
            </w:pPr>
            <w:r w:rsidRPr="004761E0">
              <w:rPr>
                <w:b/>
                <w:sz w:val="20"/>
                <w:szCs w:val="20"/>
              </w:rPr>
              <w:lastRenderedPageBreak/>
              <w:t>с</w:t>
            </w:r>
          </w:p>
        </w:tc>
        <w:tc>
          <w:tcPr>
            <w:tcW w:w="992" w:type="dxa"/>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0"/>
              </w:rPr>
            </w:pPr>
            <w:r w:rsidRPr="004761E0">
              <w:rPr>
                <w:b/>
                <w:sz w:val="20"/>
                <w:szCs w:val="20"/>
              </w:rPr>
              <w:t>по</w:t>
            </w:r>
          </w:p>
        </w:tc>
        <w:tc>
          <w:tcPr>
            <w:tcW w:w="8080" w:type="dxa"/>
            <w:vMerge/>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jc w:val="center"/>
              <w:rPr>
                <w:b/>
                <w:sz w:val="20"/>
                <w:szCs w:val="20"/>
              </w:rPr>
            </w:pPr>
          </w:p>
        </w:tc>
        <w:tc>
          <w:tcPr>
            <w:tcW w:w="4536" w:type="dxa"/>
            <w:vMerge/>
            <w:tcBorders>
              <w:top w:val="single" w:sz="4" w:space="0" w:color="FFFFFF"/>
              <w:left w:val="single" w:sz="4" w:space="0" w:color="FFFFFF"/>
            </w:tcBorders>
            <w:shd w:val="clear" w:color="auto" w:fill="0F243E"/>
            <w:vAlign w:val="center"/>
          </w:tcPr>
          <w:p w:rsidR="00670B18" w:rsidRPr="004761E0" w:rsidRDefault="00670B18" w:rsidP="006B4FAE">
            <w:pPr>
              <w:jc w:val="center"/>
              <w:rPr>
                <w:b/>
                <w:sz w:val="20"/>
                <w:szCs w:val="20"/>
              </w:rPr>
            </w:pP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2011</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0414BD">
            <w:pPr>
              <w:ind w:firstLine="0"/>
              <w:jc w:val="left"/>
              <w:rPr>
                <w:sz w:val="20"/>
                <w:szCs w:val="20"/>
              </w:rPr>
            </w:pPr>
            <w:r>
              <w:rPr>
                <w:sz w:val="20"/>
                <w:szCs w:val="20"/>
              </w:rPr>
              <w:t>ЗАО </w:t>
            </w:r>
            <w:r w:rsidRPr="004761E0">
              <w:rPr>
                <w:sz w:val="20"/>
                <w:szCs w:val="20"/>
              </w:rPr>
              <w:t>«Лидер»</w:t>
            </w:r>
            <w:r>
              <w:rPr>
                <w:sz w:val="20"/>
                <w:szCs w:val="20"/>
              </w:rPr>
              <w:t xml:space="preserve"> </w:t>
            </w:r>
            <w:r w:rsidRPr="004761E0">
              <w:rPr>
                <w:sz w:val="20"/>
                <w:szCs w:val="20"/>
              </w:rPr>
              <w:t>(Компани</w:t>
            </w:r>
            <w:r>
              <w:rPr>
                <w:sz w:val="20"/>
                <w:szCs w:val="20"/>
              </w:rPr>
              <w:t>я</w:t>
            </w:r>
            <w:r w:rsidRPr="004761E0">
              <w:rPr>
                <w:sz w:val="20"/>
                <w:szCs w:val="20"/>
              </w:rPr>
              <w:t xml:space="preserve"> по управлению активами пенсионного фонда)</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Заместитель генерального директора, начальник управления корпоративного контроля</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1998</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2011</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«Техснабэкспорт»</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Заместитель генерального директора</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2013</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«Инфинитум»</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2012</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«Главная дорога»</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2013</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«Алор Банк»</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2013</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Pr>
                <w:sz w:val="20"/>
                <w:szCs w:val="20"/>
              </w:rPr>
              <w:t>ООО </w:t>
            </w:r>
            <w:r w:rsidRPr="004761E0">
              <w:rPr>
                <w:sz w:val="20"/>
                <w:szCs w:val="20"/>
              </w:rPr>
              <w:t>«Алор +»</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2013</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Pr>
                <w:sz w:val="20"/>
                <w:szCs w:val="20"/>
              </w:rPr>
              <w:t>ООО </w:t>
            </w:r>
            <w:r w:rsidRPr="004761E0">
              <w:rPr>
                <w:sz w:val="20"/>
                <w:szCs w:val="20"/>
              </w:rPr>
              <w:t>«ИНВЕСТ-СТОЛИЦА»</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2012</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«МОЭСК»</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blPrEx>
          <w:tblLook w:val="04A0"/>
        </w:tblPrEx>
        <w:tc>
          <w:tcPr>
            <w:tcW w:w="14459" w:type="dxa"/>
            <w:gridSpan w:val="4"/>
          </w:tcPr>
          <w:p w:rsidR="00670B18" w:rsidRPr="004761E0" w:rsidRDefault="00670B18" w:rsidP="006B4FAE">
            <w:pPr>
              <w:ind w:firstLine="0"/>
              <w:jc w:val="left"/>
              <w:rPr>
                <w:bCs/>
                <w:iCs/>
                <w:sz w:val="20"/>
                <w:szCs w:val="20"/>
                <w:lang w:eastAsia="ru-RU"/>
              </w:rPr>
            </w:pPr>
            <w:r w:rsidRPr="004761E0">
              <w:rPr>
                <w:sz w:val="20"/>
                <w:szCs w:val="20"/>
                <w:lang w:eastAsia="ru-RU"/>
              </w:rPr>
              <w:t>Иная информация</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Доли участия в уставном капитале Общества/обыкновенных акций:</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Лицо указанных долей не имеет</w:t>
            </w:r>
            <w:r w:rsidRPr="004761E0">
              <w:rPr>
                <w:sz w:val="20"/>
                <w:szCs w:val="20"/>
                <w:lang w:eastAsia="ru-RU"/>
              </w:rPr>
              <w:t>.</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Доли участия лица в уставном (складочном) капитале (паевом фонде) дочерних и зависимых обществ Общества:</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Лицо указанных долей не имеет</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Сведения о характере любых родственных связей с иными лицами, входящими в состав органов управления Общества и/или органов контроля за финансово-хозяйственной деятельностью Общества:</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Указанных родственных связей у лица нет.</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Лицо к указанным видам ответственности не привлекалось</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Лицо указанных должностей не занимало.</w:t>
            </w:r>
          </w:p>
        </w:tc>
      </w:tr>
      <w:tr w:rsidR="00670B18" w:rsidRPr="004761E0" w:rsidTr="006B4FAE">
        <w:tblPrEx>
          <w:tblLook w:val="04A0"/>
        </w:tblPrEx>
        <w:tc>
          <w:tcPr>
            <w:tcW w:w="9923" w:type="dxa"/>
            <w:gridSpan w:val="3"/>
          </w:tcPr>
          <w:p w:rsidR="00670B18" w:rsidRPr="00670B18" w:rsidRDefault="00670B18" w:rsidP="00670B18">
            <w:pPr>
              <w:ind w:firstLine="0"/>
              <w:jc w:val="left"/>
              <w:rPr>
                <w:sz w:val="20"/>
                <w:szCs w:val="26"/>
                <w:lang w:eastAsia="ru-RU"/>
              </w:rPr>
            </w:pPr>
            <w:r w:rsidRPr="00670B18">
              <w:rPr>
                <w:sz w:val="20"/>
                <w:szCs w:val="26"/>
                <w:lang w:eastAsia="ru-RU"/>
              </w:rPr>
              <w:t>Сведения о сделках по приобретению или отчуждению акций Общества в течение отчетного года</w:t>
            </w:r>
            <w:r>
              <w:rPr>
                <w:sz w:val="20"/>
                <w:szCs w:val="26"/>
                <w:lang w:eastAsia="ru-RU"/>
              </w:rPr>
              <w:t>:</w:t>
            </w:r>
          </w:p>
        </w:tc>
        <w:tc>
          <w:tcPr>
            <w:tcW w:w="4536" w:type="dxa"/>
          </w:tcPr>
          <w:p w:rsidR="00670B18" w:rsidRPr="00670B18" w:rsidRDefault="00670B18" w:rsidP="00670B18">
            <w:pPr>
              <w:ind w:firstLine="0"/>
              <w:jc w:val="left"/>
              <w:rPr>
                <w:sz w:val="20"/>
                <w:szCs w:val="26"/>
                <w:lang w:eastAsia="ru-RU"/>
              </w:rPr>
            </w:pPr>
            <w:r w:rsidRPr="00670B18">
              <w:rPr>
                <w:sz w:val="20"/>
                <w:szCs w:val="26"/>
                <w:lang w:eastAsia="ru-RU"/>
              </w:rPr>
              <w:t>Лицом указанные сделки не совершались</w:t>
            </w:r>
            <w:r>
              <w:rPr>
                <w:sz w:val="20"/>
                <w:szCs w:val="26"/>
                <w:lang w:eastAsia="ru-RU"/>
              </w:rPr>
              <w:t>.</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Наличие согласия на раскрытие дан</w:t>
            </w:r>
            <w:r>
              <w:rPr>
                <w:sz w:val="20"/>
                <w:szCs w:val="20"/>
                <w:lang w:eastAsia="ru-RU"/>
              </w:rPr>
              <w:t>ной информации в Годовом отчете:</w:t>
            </w:r>
          </w:p>
        </w:tc>
        <w:tc>
          <w:tcPr>
            <w:tcW w:w="4536" w:type="dxa"/>
          </w:tcPr>
          <w:p w:rsidR="00670B18" w:rsidRPr="004761E0" w:rsidRDefault="00670B18" w:rsidP="006B4FAE">
            <w:pPr>
              <w:ind w:firstLine="0"/>
              <w:jc w:val="left"/>
              <w:rPr>
                <w:bCs/>
                <w:iCs/>
                <w:sz w:val="20"/>
                <w:szCs w:val="20"/>
                <w:lang w:eastAsia="ru-RU"/>
              </w:rPr>
            </w:pPr>
            <w:r w:rsidRPr="004761E0">
              <w:rPr>
                <w:bCs/>
                <w:iCs/>
                <w:sz w:val="20"/>
                <w:szCs w:val="20"/>
                <w:lang w:eastAsia="ru-RU"/>
              </w:rPr>
              <w:t>Лицом дано подобное согласие.</w:t>
            </w:r>
          </w:p>
        </w:tc>
      </w:tr>
      <w:tr w:rsidR="00670B18" w:rsidRPr="004761E0" w:rsidTr="006B4FAE">
        <w:tblPrEx>
          <w:tblLook w:val="04A0"/>
        </w:tblPrEx>
        <w:tc>
          <w:tcPr>
            <w:tcW w:w="14459" w:type="dxa"/>
            <w:gridSpan w:val="4"/>
            <w:shd w:val="clear" w:color="auto" w:fill="D9D9D9"/>
          </w:tcPr>
          <w:p w:rsidR="00670B18" w:rsidRPr="004761E0" w:rsidRDefault="00670B18" w:rsidP="007076A7">
            <w:pPr>
              <w:pStyle w:val="a5"/>
              <w:numPr>
                <w:ilvl w:val="0"/>
                <w:numId w:val="275"/>
              </w:numPr>
              <w:ind w:left="601" w:hanging="567"/>
              <w:contextualSpacing w:val="0"/>
              <w:jc w:val="left"/>
              <w:rPr>
                <w:b/>
                <w:bCs/>
                <w:iCs/>
                <w:sz w:val="20"/>
                <w:szCs w:val="20"/>
                <w:lang w:eastAsia="ru-RU"/>
              </w:rPr>
            </w:pPr>
            <w:r w:rsidRPr="004761E0">
              <w:rPr>
                <w:b/>
                <w:bCs/>
                <w:iCs/>
                <w:sz w:val="20"/>
                <w:szCs w:val="20"/>
                <w:lang w:eastAsia="ru-RU"/>
              </w:rPr>
              <w:t>Нуждов Алексей Викторович</w:t>
            </w:r>
          </w:p>
        </w:tc>
      </w:tr>
      <w:tr w:rsidR="00670B18" w:rsidRPr="004761E0" w:rsidTr="006B4FAE">
        <w:tblPrEx>
          <w:tblLook w:val="04A0"/>
        </w:tblPrEx>
        <w:tc>
          <w:tcPr>
            <w:tcW w:w="14459" w:type="dxa"/>
            <w:gridSpan w:val="4"/>
          </w:tcPr>
          <w:p w:rsidR="00670B18" w:rsidRPr="004761E0" w:rsidRDefault="00670B18" w:rsidP="006B4FAE">
            <w:pPr>
              <w:ind w:firstLine="0"/>
              <w:jc w:val="left"/>
              <w:rPr>
                <w:bCs/>
                <w:iCs/>
                <w:sz w:val="20"/>
                <w:szCs w:val="20"/>
                <w:lang w:eastAsia="ru-RU"/>
              </w:rPr>
            </w:pPr>
            <w:r w:rsidRPr="004761E0">
              <w:rPr>
                <w:sz w:val="20"/>
                <w:szCs w:val="20"/>
                <w:lang w:eastAsia="ru-RU"/>
              </w:rPr>
              <w:t>Все должности, занимаемые данным лицом в Обществе и других организациях за последние 5 лет и в настоящее время в хронологическом порядке, в т.ч. по совместительству:</w:t>
            </w:r>
          </w:p>
        </w:tc>
      </w:tr>
      <w:tr w:rsidR="00670B18" w:rsidRPr="004761E0" w:rsidTr="006B4FAE">
        <w:tc>
          <w:tcPr>
            <w:tcW w:w="1843" w:type="dxa"/>
            <w:gridSpan w:val="2"/>
            <w:tcBorders>
              <w:bottom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0"/>
              </w:rPr>
            </w:pPr>
            <w:r w:rsidRPr="004761E0">
              <w:rPr>
                <w:b/>
                <w:sz w:val="20"/>
                <w:szCs w:val="20"/>
              </w:rPr>
              <w:t>Период</w:t>
            </w:r>
          </w:p>
        </w:tc>
        <w:tc>
          <w:tcPr>
            <w:tcW w:w="8080" w:type="dxa"/>
            <w:vMerge w:val="restart"/>
            <w:tcBorders>
              <w:left w:val="single" w:sz="4" w:space="0" w:color="FFFFFF"/>
              <w:bottom w:val="single" w:sz="4" w:space="0" w:color="FFFFFF"/>
              <w:right w:val="single" w:sz="4" w:space="0" w:color="FFFFFF"/>
            </w:tcBorders>
            <w:shd w:val="clear" w:color="auto" w:fill="0F243E"/>
            <w:vAlign w:val="center"/>
          </w:tcPr>
          <w:p w:rsidR="00670B18" w:rsidRPr="004761E0" w:rsidRDefault="00670B18" w:rsidP="006B4FAE">
            <w:pPr>
              <w:ind w:firstLine="0"/>
              <w:jc w:val="left"/>
              <w:rPr>
                <w:b/>
                <w:sz w:val="20"/>
                <w:szCs w:val="20"/>
              </w:rPr>
            </w:pPr>
            <w:r w:rsidRPr="004761E0">
              <w:rPr>
                <w:b/>
                <w:sz w:val="20"/>
                <w:szCs w:val="20"/>
              </w:rPr>
              <w:t>Наименование организации</w:t>
            </w:r>
          </w:p>
        </w:tc>
        <w:tc>
          <w:tcPr>
            <w:tcW w:w="4536" w:type="dxa"/>
            <w:vMerge w:val="restart"/>
            <w:tcBorders>
              <w:left w:val="single" w:sz="4" w:space="0" w:color="FFFFFF"/>
              <w:bottom w:val="single" w:sz="4" w:space="0" w:color="FFFFFF"/>
            </w:tcBorders>
            <w:shd w:val="clear" w:color="auto" w:fill="0F243E"/>
            <w:vAlign w:val="center"/>
          </w:tcPr>
          <w:p w:rsidR="00670B18" w:rsidRPr="004761E0" w:rsidRDefault="00670B18" w:rsidP="006B4FAE">
            <w:pPr>
              <w:ind w:firstLine="0"/>
              <w:jc w:val="left"/>
              <w:rPr>
                <w:b/>
                <w:sz w:val="20"/>
                <w:szCs w:val="20"/>
              </w:rPr>
            </w:pPr>
            <w:r w:rsidRPr="004761E0">
              <w:rPr>
                <w:b/>
                <w:sz w:val="20"/>
                <w:szCs w:val="20"/>
              </w:rPr>
              <w:t>Должность</w:t>
            </w:r>
          </w:p>
        </w:tc>
      </w:tr>
      <w:tr w:rsidR="00670B18" w:rsidRPr="004761E0" w:rsidTr="006B4FAE">
        <w:tc>
          <w:tcPr>
            <w:tcW w:w="851" w:type="dxa"/>
            <w:tcBorders>
              <w:top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0"/>
              </w:rPr>
            </w:pPr>
            <w:r w:rsidRPr="004761E0">
              <w:rPr>
                <w:b/>
                <w:sz w:val="20"/>
                <w:szCs w:val="20"/>
              </w:rPr>
              <w:t>с</w:t>
            </w:r>
          </w:p>
        </w:tc>
        <w:tc>
          <w:tcPr>
            <w:tcW w:w="992" w:type="dxa"/>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0"/>
              </w:rPr>
            </w:pPr>
            <w:r w:rsidRPr="004761E0">
              <w:rPr>
                <w:b/>
                <w:sz w:val="20"/>
                <w:szCs w:val="20"/>
              </w:rPr>
              <w:t>по</w:t>
            </w:r>
          </w:p>
        </w:tc>
        <w:tc>
          <w:tcPr>
            <w:tcW w:w="8080" w:type="dxa"/>
            <w:vMerge/>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jc w:val="center"/>
              <w:rPr>
                <w:b/>
                <w:sz w:val="20"/>
                <w:szCs w:val="20"/>
              </w:rPr>
            </w:pPr>
          </w:p>
        </w:tc>
        <w:tc>
          <w:tcPr>
            <w:tcW w:w="4536" w:type="dxa"/>
            <w:vMerge/>
            <w:tcBorders>
              <w:top w:val="single" w:sz="4" w:space="0" w:color="FFFFFF"/>
              <w:left w:val="single" w:sz="4" w:space="0" w:color="FFFFFF"/>
            </w:tcBorders>
            <w:shd w:val="clear" w:color="auto" w:fill="0F243E"/>
            <w:vAlign w:val="center"/>
          </w:tcPr>
          <w:p w:rsidR="00670B18" w:rsidRPr="004761E0" w:rsidRDefault="00670B18" w:rsidP="006B4FAE">
            <w:pPr>
              <w:jc w:val="center"/>
              <w:rPr>
                <w:b/>
                <w:sz w:val="20"/>
                <w:szCs w:val="20"/>
              </w:rPr>
            </w:pP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2004</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2009</w:t>
            </w:r>
          </w:p>
        </w:tc>
        <w:tc>
          <w:tcPr>
            <w:tcW w:w="8080" w:type="dxa"/>
            <w:shd w:val="clear" w:color="auto" w:fill="auto"/>
          </w:tcPr>
          <w:p w:rsidR="00670B18" w:rsidRPr="004761E0" w:rsidRDefault="00670B18" w:rsidP="006B4FAE">
            <w:pPr>
              <w:ind w:firstLine="0"/>
              <w:jc w:val="left"/>
              <w:rPr>
                <w:sz w:val="20"/>
                <w:szCs w:val="20"/>
              </w:rPr>
            </w:pPr>
            <w:r w:rsidRPr="004761E0">
              <w:rPr>
                <w:sz w:val="20"/>
                <w:szCs w:val="20"/>
              </w:rPr>
              <w:t>ФСБ России</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Начальник отдела</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2009</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2012</w:t>
            </w:r>
          </w:p>
        </w:tc>
        <w:tc>
          <w:tcPr>
            <w:tcW w:w="8080" w:type="dxa"/>
            <w:shd w:val="clear" w:color="auto" w:fill="auto"/>
          </w:tcPr>
          <w:p w:rsidR="00670B18" w:rsidRPr="004761E0" w:rsidRDefault="00670B18" w:rsidP="006B4FAE">
            <w:pPr>
              <w:ind w:firstLine="0"/>
              <w:jc w:val="left"/>
              <w:rPr>
                <w:sz w:val="20"/>
                <w:szCs w:val="20"/>
              </w:rPr>
            </w:pPr>
            <w:r>
              <w:rPr>
                <w:sz w:val="20"/>
                <w:szCs w:val="20"/>
              </w:rPr>
              <w:t>ЗАО </w:t>
            </w:r>
            <w:r w:rsidRPr="004761E0">
              <w:rPr>
                <w:sz w:val="20"/>
                <w:szCs w:val="20"/>
              </w:rPr>
              <w:t>«Лидер» (Компания по управлению активами пенсионного фонда)</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Заместитель генерального директора  по безопасности</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2009</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sidRPr="004761E0">
              <w:rPr>
                <w:sz w:val="20"/>
                <w:szCs w:val="20"/>
              </w:rPr>
              <w:t>НПФ «ГАЗФОНД»</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Начальник управления корпоративной защиты</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2009</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«Мосэнергосбыт»</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2010</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«МОЭСК»</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2012</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Pr>
                <w:sz w:val="20"/>
                <w:szCs w:val="20"/>
              </w:rPr>
              <w:t>ЗАО </w:t>
            </w:r>
            <w:r w:rsidRPr="004761E0">
              <w:rPr>
                <w:sz w:val="20"/>
                <w:szCs w:val="20"/>
              </w:rPr>
              <w:t>«Лидер» (Компания по управлению активами пенсионного фонда)</w:t>
            </w:r>
          </w:p>
        </w:tc>
        <w:tc>
          <w:tcPr>
            <w:tcW w:w="4536" w:type="dxa"/>
            <w:shd w:val="clear" w:color="auto" w:fill="auto"/>
          </w:tcPr>
          <w:p w:rsidR="00670B18" w:rsidRPr="004761E0" w:rsidRDefault="00670B18" w:rsidP="000414BD">
            <w:pPr>
              <w:ind w:firstLine="0"/>
              <w:jc w:val="left"/>
              <w:rPr>
                <w:sz w:val="20"/>
                <w:szCs w:val="20"/>
              </w:rPr>
            </w:pPr>
            <w:r w:rsidRPr="004761E0">
              <w:rPr>
                <w:sz w:val="20"/>
                <w:szCs w:val="20"/>
              </w:rPr>
              <w:t xml:space="preserve">Заместитель </w:t>
            </w:r>
            <w:r>
              <w:rPr>
                <w:sz w:val="20"/>
                <w:szCs w:val="20"/>
              </w:rPr>
              <w:t>г</w:t>
            </w:r>
            <w:r w:rsidRPr="004761E0">
              <w:rPr>
                <w:sz w:val="20"/>
                <w:szCs w:val="20"/>
              </w:rPr>
              <w:t>енерального директора по инвестициям и взаимодействию с государственными органами</w:t>
            </w:r>
          </w:p>
        </w:tc>
      </w:tr>
      <w:tr w:rsidR="00670B18" w:rsidRPr="004761E0" w:rsidTr="006B4FAE">
        <w:tblPrEx>
          <w:tblLook w:val="04A0"/>
        </w:tblPrEx>
        <w:tc>
          <w:tcPr>
            <w:tcW w:w="14459" w:type="dxa"/>
            <w:gridSpan w:val="4"/>
          </w:tcPr>
          <w:p w:rsidR="00670B18" w:rsidRPr="004761E0" w:rsidRDefault="00670B18" w:rsidP="006B4FAE">
            <w:pPr>
              <w:ind w:firstLine="0"/>
              <w:jc w:val="left"/>
              <w:rPr>
                <w:bCs/>
                <w:iCs/>
                <w:sz w:val="20"/>
                <w:szCs w:val="20"/>
                <w:lang w:eastAsia="ru-RU"/>
              </w:rPr>
            </w:pPr>
            <w:r w:rsidRPr="004761E0">
              <w:rPr>
                <w:sz w:val="20"/>
                <w:szCs w:val="20"/>
                <w:lang w:eastAsia="ru-RU"/>
              </w:rPr>
              <w:t>Иная информация</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lastRenderedPageBreak/>
              <w:t>Доли участия в уставном капитале Общества/обыкновенных акций:</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Лицо указанных долей не имеет</w:t>
            </w:r>
            <w:r w:rsidRPr="004761E0">
              <w:rPr>
                <w:sz w:val="20"/>
                <w:szCs w:val="20"/>
                <w:lang w:eastAsia="ru-RU"/>
              </w:rPr>
              <w:t>.</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Доли участия лица в уставном (складочном) капитале (паевом фонде) дочерних и зависимых обществ Общества:</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Лицо указанных долей не имеет</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Сведения о характере любых родственных связей с иными лицами, входящими в состав органов управления Общества и/или органов контроля за финансово-хозяйственной деятельностью Общества:</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Указанных родственных связей у лица нет.</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Лицо к указанным видам ответственности не привлекалось</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Лицо указанных должностей не занимало.</w:t>
            </w:r>
          </w:p>
        </w:tc>
      </w:tr>
      <w:tr w:rsidR="00670B18" w:rsidRPr="004761E0" w:rsidTr="006B4FAE">
        <w:tblPrEx>
          <w:tblLook w:val="04A0"/>
        </w:tblPrEx>
        <w:tc>
          <w:tcPr>
            <w:tcW w:w="9923" w:type="dxa"/>
            <w:gridSpan w:val="3"/>
          </w:tcPr>
          <w:p w:rsidR="00670B18" w:rsidRPr="00670B18" w:rsidRDefault="00670B18" w:rsidP="00670B18">
            <w:pPr>
              <w:ind w:firstLine="0"/>
              <w:jc w:val="left"/>
              <w:rPr>
                <w:sz w:val="20"/>
                <w:szCs w:val="26"/>
                <w:lang w:eastAsia="ru-RU"/>
              </w:rPr>
            </w:pPr>
            <w:r w:rsidRPr="00670B18">
              <w:rPr>
                <w:sz w:val="20"/>
                <w:szCs w:val="26"/>
                <w:lang w:eastAsia="ru-RU"/>
              </w:rPr>
              <w:t>Сведения о сделках по приобретению или отчуждению акций Общества в течение отчетного года</w:t>
            </w:r>
            <w:r>
              <w:rPr>
                <w:sz w:val="20"/>
                <w:szCs w:val="26"/>
                <w:lang w:eastAsia="ru-RU"/>
              </w:rPr>
              <w:t>:</w:t>
            </w:r>
          </w:p>
        </w:tc>
        <w:tc>
          <w:tcPr>
            <w:tcW w:w="4536" w:type="dxa"/>
          </w:tcPr>
          <w:p w:rsidR="00670B18" w:rsidRPr="00670B18" w:rsidRDefault="00670B18" w:rsidP="00670B18">
            <w:pPr>
              <w:ind w:firstLine="0"/>
              <w:jc w:val="left"/>
              <w:rPr>
                <w:sz w:val="20"/>
                <w:szCs w:val="26"/>
                <w:lang w:eastAsia="ru-RU"/>
              </w:rPr>
            </w:pPr>
            <w:r w:rsidRPr="00670B18">
              <w:rPr>
                <w:sz w:val="20"/>
                <w:szCs w:val="26"/>
                <w:lang w:eastAsia="ru-RU"/>
              </w:rPr>
              <w:t>Лицом указанные сделки не совершались</w:t>
            </w:r>
            <w:r>
              <w:rPr>
                <w:sz w:val="20"/>
                <w:szCs w:val="26"/>
                <w:lang w:eastAsia="ru-RU"/>
              </w:rPr>
              <w:t>.</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Наличие согласия на раскрытие дан</w:t>
            </w:r>
            <w:r>
              <w:rPr>
                <w:sz w:val="20"/>
                <w:szCs w:val="20"/>
                <w:lang w:eastAsia="ru-RU"/>
              </w:rPr>
              <w:t>ной информации в Годовом отчете:</w:t>
            </w:r>
          </w:p>
        </w:tc>
        <w:tc>
          <w:tcPr>
            <w:tcW w:w="4536" w:type="dxa"/>
          </w:tcPr>
          <w:p w:rsidR="00670B18" w:rsidRPr="004761E0" w:rsidRDefault="00670B18" w:rsidP="006B4FAE">
            <w:pPr>
              <w:ind w:firstLine="0"/>
              <w:jc w:val="left"/>
              <w:rPr>
                <w:bCs/>
                <w:iCs/>
                <w:sz w:val="20"/>
                <w:szCs w:val="20"/>
                <w:lang w:eastAsia="ru-RU"/>
              </w:rPr>
            </w:pPr>
            <w:r w:rsidRPr="004761E0">
              <w:rPr>
                <w:bCs/>
                <w:iCs/>
                <w:sz w:val="20"/>
                <w:szCs w:val="20"/>
                <w:lang w:eastAsia="ru-RU"/>
              </w:rPr>
              <w:t>Лицом дано подобное согласие.</w:t>
            </w:r>
          </w:p>
        </w:tc>
      </w:tr>
      <w:tr w:rsidR="00670B18" w:rsidRPr="004761E0" w:rsidTr="006B4FAE">
        <w:tblPrEx>
          <w:tblLook w:val="04A0"/>
        </w:tblPrEx>
        <w:tc>
          <w:tcPr>
            <w:tcW w:w="14459" w:type="dxa"/>
            <w:gridSpan w:val="4"/>
            <w:shd w:val="clear" w:color="auto" w:fill="D9D9D9"/>
            <w:vAlign w:val="center"/>
          </w:tcPr>
          <w:p w:rsidR="00670B18" w:rsidRPr="004761E0" w:rsidRDefault="00670B18" w:rsidP="007076A7">
            <w:pPr>
              <w:pStyle w:val="a5"/>
              <w:numPr>
                <w:ilvl w:val="0"/>
                <w:numId w:val="275"/>
              </w:numPr>
              <w:ind w:left="601" w:hanging="567"/>
              <w:contextualSpacing w:val="0"/>
              <w:jc w:val="left"/>
              <w:rPr>
                <w:b/>
                <w:bCs/>
                <w:iCs/>
                <w:sz w:val="20"/>
                <w:szCs w:val="20"/>
                <w:lang w:eastAsia="ru-RU"/>
              </w:rPr>
            </w:pPr>
            <w:r w:rsidRPr="004761E0">
              <w:rPr>
                <w:b/>
                <w:bCs/>
                <w:iCs/>
                <w:sz w:val="20"/>
                <w:szCs w:val="20"/>
                <w:lang w:eastAsia="ru-RU"/>
              </w:rPr>
              <w:t>Панкстьянов Юрий Николаевич</w:t>
            </w:r>
          </w:p>
        </w:tc>
      </w:tr>
      <w:tr w:rsidR="00670B18" w:rsidRPr="004761E0" w:rsidTr="006B4FAE">
        <w:tblPrEx>
          <w:tblLook w:val="04A0"/>
        </w:tblPrEx>
        <w:tc>
          <w:tcPr>
            <w:tcW w:w="14459" w:type="dxa"/>
            <w:gridSpan w:val="4"/>
            <w:tcBorders>
              <w:bottom w:val="single" w:sz="4" w:space="0" w:color="auto"/>
            </w:tcBorders>
          </w:tcPr>
          <w:p w:rsidR="00670B18" w:rsidRPr="004761E0" w:rsidRDefault="00670B18" w:rsidP="006B4FAE">
            <w:pPr>
              <w:ind w:firstLine="0"/>
              <w:jc w:val="left"/>
              <w:rPr>
                <w:bCs/>
                <w:iCs/>
                <w:sz w:val="20"/>
                <w:szCs w:val="20"/>
                <w:lang w:eastAsia="ru-RU"/>
              </w:rPr>
            </w:pPr>
            <w:r w:rsidRPr="004761E0">
              <w:rPr>
                <w:sz w:val="20"/>
                <w:szCs w:val="20"/>
                <w:lang w:eastAsia="ru-RU"/>
              </w:rPr>
              <w:t>Все должности, занимаемые данным лицом в Обществе и других организациях за последние 5 лет и в настоящее время в хронологическом порядке, в т.ч. по совместительству:</w:t>
            </w:r>
          </w:p>
        </w:tc>
      </w:tr>
      <w:tr w:rsidR="00670B18" w:rsidRPr="004761E0" w:rsidTr="006B4FAE">
        <w:tc>
          <w:tcPr>
            <w:tcW w:w="1843" w:type="dxa"/>
            <w:gridSpan w:val="2"/>
            <w:tcBorders>
              <w:top w:val="single" w:sz="4" w:space="0" w:color="auto"/>
              <w:left w:val="single" w:sz="4" w:space="0" w:color="auto"/>
              <w:bottom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0"/>
              </w:rPr>
            </w:pPr>
            <w:r w:rsidRPr="004761E0">
              <w:rPr>
                <w:b/>
                <w:sz w:val="20"/>
                <w:szCs w:val="20"/>
              </w:rPr>
              <w:t>Период</w:t>
            </w:r>
          </w:p>
        </w:tc>
        <w:tc>
          <w:tcPr>
            <w:tcW w:w="8080" w:type="dxa"/>
            <w:vMerge w:val="restart"/>
            <w:tcBorders>
              <w:top w:val="single" w:sz="4" w:space="0" w:color="auto"/>
              <w:left w:val="single" w:sz="4" w:space="0" w:color="FFFFFF"/>
              <w:bottom w:val="single" w:sz="4" w:space="0" w:color="FFFFFF"/>
              <w:right w:val="single" w:sz="4" w:space="0" w:color="FFFFFF"/>
            </w:tcBorders>
            <w:shd w:val="clear" w:color="auto" w:fill="0F243E"/>
            <w:vAlign w:val="center"/>
          </w:tcPr>
          <w:p w:rsidR="00670B18" w:rsidRPr="004761E0" w:rsidRDefault="00670B18" w:rsidP="006B4FAE">
            <w:pPr>
              <w:ind w:firstLine="0"/>
              <w:jc w:val="left"/>
              <w:rPr>
                <w:b/>
                <w:sz w:val="20"/>
                <w:szCs w:val="20"/>
              </w:rPr>
            </w:pPr>
            <w:r w:rsidRPr="004761E0">
              <w:rPr>
                <w:b/>
                <w:sz w:val="20"/>
                <w:szCs w:val="20"/>
              </w:rPr>
              <w:t>Наименование организации</w:t>
            </w:r>
          </w:p>
        </w:tc>
        <w:tc>
          <w:tcPr>
            <w:tcW w:w="4536" w:type="dxa"/>
            <w:vMerge w:val="restart"/>
            <w:tcBorders>
              <w:top w:val="single" w:sz="4" w:space="0" w:color="auto"/>
              <w:left w:val="single" w:sz="4" w:space="0" w:color="FFFFFF"/>
              <w:bottom w:val="single" w:sz="4" w:space="0" w:color="FFFFFF"/>
              <w:right w:val="single" w:sz="4" w:space="0" w:color="auto"/>
            </w:tcBorders>
            <w:shd w:val="clear" w:color="auto" w:fill="0F243E"/>
            <w:vAlign w:val="center"/>
          </w:tcPr>
          <w:p w:rsidR="00670B18" w:rsidRPr="004761E0" w:rsidRDefault="00670B18" w:rsidP="006B4FAE">
            <w:pPr>
              <w:ind w:firstLine="0"/>
              <w:jc w:val="left"/>
              <w:rPr>
                <w:b/>
                <w:sz w:val="20"/>
                <w:szCs w:val="20"/>
              </w:rPr>
            </w:pPr>
            <w:r w:rsidRPr="004761E0">
              <w:rPr>
                <w:b/>
                <w:sz w:val="20"/>
                <w:szCs w:val="20"/>
              </w:rPr>
              <w:t>Должность</w:t>
            </w:r>
          </w:p>
        </w:tc>
      </w:tr>
      <w:tr w:rsidR="00670B18" w:rsidRPr="004761E0" w:rsidTr="006B4FAE">
        <w:tc>
          <w:tcPr>
            <w:tcW w:w="851" w:type="dxa"/>
            <w:tcBorders>
              <w:top w:val="single" w:sz="4" w:space="0" w:color="FFFFFF"/>
              <w:left w:val="single" w:sz="4" w:space="0" w:color="auto"/>
              <w:right w:val="single" w:sz="4" w:space="0" w:color="FFFFFF"/>
            </w:tcBorders>
            <w:shd w:val="clear" w:color="auto" w:fill="0F243E"/>
            <w:vAlign w:val="center"/>
          </w:tcPr>
          <w:p w:rsidR="00670B18" w:rsidRPr="004761E0" w:rsidRDefault="00670B18" w:rsidP="006B4FAE">
            <w:pPr>
              <w:ind w:firstLine="0"/>
              <w:jc w:val="center"/>
              <w:rPr>
                <w:b/>
                <w:sz w:val="20"/>
                <w:szCs w:val="20"/>
              </w:rPr>
            </w:pPr>
            <w:r w:rsidRPr="004761E0">
              <w:rPr>
                <w:b/>
                <w:sz w:val="20"/>
                <w:szCs w:val="20"/>
              </w:rPr>
              <w:t>с</w:t>
            </w:r>
          </w:p>
        </w:tc>
        <w:tc>
          <w:tcPr>
            <w:tcW w:w="992" w:type="dxa"/>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0"/>
              </w:rPr>
            </w:pPr>
            <w:r w:rsidRPr="004761E0">
              <w:rPr>
                <w:b/>
                <w:sz w:val="20"/>
                <w:szCs w:val="20"/>
              </w:rPr>
              <w:t>по</w:t>
            </w:r>
          </w:p>
        </w:tc>
        <w:tc>
          <w:tcPr>
            <w:tcW w:w="8080" w:type="dxa"/>
            <w:vMerge/>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jc w:val="center"/>
              <w:rPr>
                <w:sz w:val="20"/>
                <w:szCs w:val="20"/>
              </w:rPr>
            </w:pPr>
          </w:p>
        </w:tc>
        <w:tc>
          <w:tcPr>
            <w:tcW w:w="4536" w:type="dxa"/>
            <w:vMerge/>
            <w:tcBorders>
              <w:top w:val="single" w:sz="4" w:space="0" w:color="FFFFFF"/>
              <w:left w:val="single" w:sz="4" w:space="0" w:color="FFFFFF"/>
              <w:right w:val="single" w:sz="4" w:space="0" w:color="auto"/>
            </w:tcBorders>
            <w:shd w:val="clear" w:color="auto" w:fill="0F243E"/>
            <w:vAlign w:val="center"/>
          </w:tcPr>
          <w:p w:rsidR="00670B18" w:rsidRPr="004761E0" w:rsidRDefault="00670B18" w:rsidP="006B4FAE">
            <w:pPr>
              <w:jc w:val="center"/>
              <w:rPr>
                <w:sz w:val="20"/>
                <w:szCs w:val="20"/>
              </w:rPr>
            </w:pPr>
          </w:p>
        </w:tc>
      </w:tr>
      <w:tr w:rsidR="00670B18" w:rsidRPr="004761E0" w:rsidTr="006B4FAE">
        <w:tc>
          <w:tcPr>
            <w:tcW w:w="851" w:type="dxa"/>
            <w:tcBorders>
              <w:left w:val="single" w:sz="4" w:space="0" w:color="auto"/>
            </w:tcBorders>
            <w:shd w:val="clear" w:color="auto" w:fill="auto"/>
          </w:tcPr>
          <w:p w:rsidR="00670B18" w:rsidRPr="004761E0" w:rsidDel="006C2AD5" w:rsidRDefault="00670B18" w:rsidP="006B4FAE">
            <w:pPr>
              <w:ind w:firstLine="0"/>
              <w:jc w:val="left"/>
              <w:rPr>
                <w:sz w:val="20"/>
                <w:szCs w:val="20"/>
              </w:rPr>
            </w:pPr>
            <w:r w:rsidRPr="004761E0">
              <w:rPr>
                <w:sz w:val="20"/>
                <w:szCs w:val="20"/>
              </w:rPr>
              <w:t>2004</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2008</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«ФСК ЕЭС»</w:t>
            </w:r>
          </w:p>
        </w:tc>
        <w:tc>
          <w:tcPr>
            <w:tcW w:w="4536" w:type="dxa"/>
            <w:tcBorders>
              <w:right w:val="single" w:sz="4" w:space="0" w:color="auto"/>
            </w:tcBorders>
            <w:shd w:val="clear" w:color="auto" w:fill="auto"/>
          </w:tcPr>
          <w:p w:rsidR="00670B18" w:rsidRPr="004761E0" w:rsidRDefault="00670B18" w:rsidP="006B4FAE">
            <w:pPr>
              <w:ind w:firstLine="0"/>
              <w:jc w:val="left"/>
              <w:rPr>
                <w:sz w:val="20"/>
                <w:szCs w:val="20"/>
              </w:rPr>
            </w:pPr>
            <w:r w:rsidRPr="004761E0">
              <w:rPr>
                <w:sz w:val="20"/>
                <w:szCs w:val="20"/>
              </w:rPr>
              <w:t>Руководитель Управления тарифообразования</w:t>
            </w:r>
          </w:p>
        </w:tc>
      </w:tr>
      <w:tr w:rsidR="00670B18" w:rsidRPr="004761E0" w:rsidTr="006B4FAE">
        <w:tc>
          <w:tcPr>
            <w:tcW w:w="851" w:type="dxa"/>
            <w:tcBorders>
              <w:left w:val="single" w:sz="4" w:space="0" w:color="auto"/>
            </w:tcBorders>
            <w:shd w:val="clear" w:color="auto" w:fill="auto"/>
          </w:tcPr>
          <w:p w:rsidR="00670B18" w:rsidRPr="004761E0" w:rsidRDefault="00670B18" w:rsidP="006B4FAE">
            <w:pPr>
              <w:ind w:firstLine="0"/>
              <w:jc w:val="left"/>
              <w:rPr>
                <w:sz w:val="20"/>
                <w:szCs w:val="20"/>
              </w:rPr>
            </w:pPr>
            <w:r w:rsidRPr="004761E0">
              <w:rPr>
                <w:sz w:val="20"/>
                <w:szCs w:val="20"/>
              </w:rPr>
              <w:t>2008</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«Россети»</w:t>
            </w:r>
            <w:r>
              <w:rPr>
                <w:sz w:val="20"/>
                <w:szCs w:val="20"/>
              </w:rPr>
              <w:t xml:space="preserve"> (до 04.04.2013 – ОАО «Холдинг МРСК»)</w:t>
            </w:r>
          </w:p>
        </w:tc>
        <w:tc>
          <w:tcPr>
            <w:tcW w:w="4536" w:type="dxa"/>
            <w:tcBorders>
              <w:right w:val="single" w:sz="4" w:space="0" w:color="auto"/>
            </w:tcBorders>
            <w:shd w:val="clear" w:color="auto" w:fill="auto"/>
          </w:tcPr>
          <w:p w:rsidR="00670B18" w:rsidRPr="004761E0" w:rsidRDefault="00670B18" w:rsidP="006B4FAE">
            <w:pPr>
              <w:ind w:firstLine="0"/>
              <w:jc w:val="left"/>
              <w:rPr>
                <w:sz w:val="20"/>
                <w:szCs w:val="20"/>
              </w:rPr>
            </w:pPr>
            <w:r w:rsidRPr="004761E0">
              <w:rPr>
                <w:sz w:val="20"/>
                <w:szCs w:val="20"/>
              </w:rPr>
              <w:t>Директор Департамента тарифной политики, Начальник Департамента тарифообразования</w:t>
            </w:r>
          </w:p>
        </w:tc>
      </w:tr>
      <w:tr w:rsidR="00670B18" w:rsidRPr="004761E0" w:rsidTr="006B4FAE">
        <w:tc>
          <w:tcPr>
            <w:tcW w:w="851" w:type="dxa"/>
            <w:tcBorders>
              <w:left w:val="single" w:sz="4" w:space="0" w:color="auto"/>
            </w:tcBorders>
            <w:shd w:val="clear" w:color="auto" w:fill="auto"/>
          </w:tcPr>
          <w:p w:rsidR="00670B18" w:rsidRPr="004761E0" w:rsidRDefault="00670B18" w:rsidP="006B4FAE">
            <w:pPr>
              <w:ind w:firstLine="0"/>
              <w:jc w:val="left"/>
              <w:rPr>
                <w:sz w:val="20"/>
                <w:szCs w:val="20"/>
              </w:rPr>
            </w:pPr>
            <w:r w:rsidRPr="004761E0">
              <w:rPr>
                <w:sz w:val="20"/>
                <w:szCs w:val="20"/>
              </w:rPr>
              <w:t>2009</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2010</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«МРСК Урала»</w:t>
            </w:r>
          </w:p>
        </w:tc>
        <w:tc>
          <w:tcPr>
            <w:tcW w:w="4536" w:type="dxa"/>
            <w:tcBorders>
              <w:right w:val="single" w:sz="4" w:space="0" w:color="auto"/>
            </w:tcBorders>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c>
          <w:tcPr>
            <w:tcW w:w="851" w:type="dxa"/>
            <w:tcBorders>
              <w:left w:val="single" w:sz="4" w:space="0" w:color="auto"/>
            </w:tcBorders>
            <w:shd w:val="clear" w:color="auto" w:fill="auto"/>
          </w:tcPr>
          <w:p w:rsidR="00670B18" w:rsidRPr="004761E0" w:rsidRDefault="00670B18" w:rsidP="006B4FAE">
            <w:pPr>
              <w:ind w:firstLine="0"/>
              <w:jc w:val="left"/>
              <w:rPr>
                <w:sz w:val="20"/>
                <w:szCs w:val="20"/>
              </w:rPr>
            </w:pPr>
            <w:r w:rsidRPr="004761E0">
              <w:rPr>
                <w:sz w:val="20"/>
                <w:szCs w:val="20"/>
              </w:rPr>
              <w:t>2011</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«МРСК Волги»</w:t>
            </w:r>
          </w:p>
        </w:tc>
        <w:tc>
          <w:tcPr>
            <w:tcW w:w="4536" w:type="dxa"/>
            <w:tcBorders>
              <w:right w:val="single" w:sz="4" w:space="0" w:color="auto"/>
            </w:tcBorders>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c>
          <w:tcPr>
            <w:tcW w:w="851" w:type="dxa"/>
            <w:tcBorders>
              <w:left w:val="single" w:sz="4" w:space="0" w:color="auto"/>
              <w:bottom w:val="single" w:sz="4" w:space="0" w:color="auto"/>
            </w:tcBorders>
            <w:shd w:val="clear" w:color="auto" w:fill="auto"/>
          </w:tcPr>
          <w:p w:rsidR="00670B18" w:rsidRPr="004761E0" w:rsidRDefault="00670B18" w:rsidP="006B4FAE">
            <w:pPr>
              <w:ind w:firstLine="0"/>
              <w:jc w:val="left"/>
              <w:rPr>
                <w:sz w:val="20"/>
                <w:szCs w:val="20"/>
              </w:rPr>
            </w:pPr>
            <w:r w:rsidRPr="004761E0">
              <w:rPr>
                <w:sz w:val="20"/>
                <w:szCs w:val="20"/>
              </w:rPr>
              <w:t>2013</w:t>
            </w:r>
          </w:p>
        </w:tc>
        <w:tc>
          <w:tcPr>
            <w:tcW w:w="992" w:type="dxa"/>
            <w:tcBorders>
              <w:bottom w:val="single" w:sz="4" w:space="0" w:color="auto"/>
            </w:tcBorders>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tcBorders>
              <w:bottom w:val="single" w:sz="4" w:space="0" w:color="auto"/>
            </w:tcBorders>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«МОЭСК»</w:t>
            </w:r>
          </w:p>
        </w:tc>
        <w:tc>
          <w:tcPr>
            <w:tcW w:w="4536" w:type="dxa"/>
            <w:tcBorders>
              <w:bottom w:val="single" w:sz="4" w:space="0" w:color="auto"/>
              <w:right w:val="single" w:sz="4" w:space="0" w:color="auto"/>
            </w:tcBorders>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blPrEx>
          <w:tblLook w:val="04A0"/>
        </w:tblPrEx>
        <w:tc>
          <w:tcPr>
            <w:tcW w:w="14459" w:type="dxa"/>
            <w:gridSpan w:val="4"/>
            <w:tcBorders>
              <w:top w:val="single" w:sz="4" w:space="0" w:color="auto"/>
            </w:tcBorders>
          </w:tcPr>
          <w:p w:rsidR="00670B18" w:rsidRPr="004761E0" w:rsidRDefault="00670B18" w:rsidP="006B4FAE">
            <w:pPr>
              <w:ind w:firstLine="0"/>
              <w:jc w:val="left"/>
              <w:rPr>
                <w:bCs/>
                <w:iCs/>
                <w:sz w:val="20"/>
                <w:szCs w:val="20"/>
                <w:lang w:eastAsia="ru-RU"/>
              </w:rPr>
            </w:pPr>
            <w:r w:rsidRPr="004761E0">
              <w:rPr>
                <w:sz w:val="20"/>
                <w:szCs w:val="20"/>
                <w:lang w:eastAsia="ru-RU"/>
              </w:rPr>
              <w:t>Иная информация</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Доли участия в уставном капитале Общества/обыкновенных акций:</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Лицо указанных долей не имеет</w:t>
            </w:r>
            <w:r w:rsidRPr="004761E0">
              <w:rPr>
                <w:sz w:val="20"/>
                <w:szCs w:val="20"/>
                <w:lang w:eastAsia="ru-RU"/>
              </w:rPr>
              <w:t>.</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Доли участия лица в уставном (складочном) капитале (паевом фонде) дочерних и зависимых обществ Общества:</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Лицо указанных долей не имеет</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Сведения о характере любых родственных связей с иными лицами, входящими в состав органов управления Общества и/или органов контроля за финансово-хозяйственной деятельностью Общества:</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Указанных родственных связей у лица нет.</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Лицо к указанным видам ответственности не привлекалось</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Лицо указанных должностей не занимало.</w:t>
            </w:r>
          </w:p>
        </w:tc>
      </w:tr>
      <w:tr w:rsidR="00670B18" w:rsidRPr="004761E0" w:rsidTr="006B4FAE">
        <w:tblPrEx>
          <w:tblLook w:val="04A0"/>
        </w:tblPrEx>
        <w:tc>
          <w:tcPr>
            <w:tcW w:w="9923" w:type="dxa"/>
            <w:gridSpan w:val="3"/>
          </w:tcPr>
          <w:p w:rsidR="00670B18" w:rsidRPr="00670B18" w:rsidRDefault="00670B18" w:rsidP="00670B18">
            <w:pPr>
              <w:ind w:firstLine="0"/>
              <w:jc w:val="left"/>
              <w:rPr>
                <w:sz w:val="20"/>
                <w:szCs w:val="26"/>
                <w:lang w:eastAsia="ru-RU"/>
              </w:rPr>
            </w:pPr>
            <w:r w:rsidRPr="00670B18">
              <w:rPr>
                <w:sz w:val="20"/>
                <w:szCs w:val="26"/>
                <w:lang w:eastAsia="ru-RU"/>
              </w:rPr>
              <w:t>Сведения о сделках по приобретению или отчуждению акций Общества в течение отчетного года</w:t>
            </w:r>
            <w:r>
              <w:rPr>
                <w:sz w:val="20"/>
                <w:szCs w:val="26"/>
                <w:lang w:eastAsia="ru-RU"/>
              </w:rPr>
              <w:t>:</w:t>
            </w:r>
          </w:p>
        </w:tc>
        <w:tc>
          <w:tcPr>
            <w:tcW w:w="4536" w:type="dxa"/>
          </w:tcPr>
          <w:p w:rsidR="00670B18" w:rsidRPr="00670B18" w:rsidRDefault="00670B18" w:rsidP="00670B18">
            <w:pPr>
              <w:ind w:firstLine="0"/>
              <w:jc w:val="left"/>
              <w:rPr>
                <w:sz w:val="20"/>
                <w:szCs w:val="26"/>
                <w:lang w:eastAsia="ru-RU"/>
              </w:rPr>
            </w:pPr>
            <w:r w:rsidRPr="00670B18">
              <w:rPr>
                <w:sz w:val="20"/>
                <w:szCs w:val="26"/>
                <w:lang w:eastAsia="ru-RU"/>
              </w:rPr>
              <w:t>Лицом указанные сделки не совершались</w:t>
            </w:r>
            <w:r>
              <w:rPr>
                <w:sz w:val="20"/>
                <w:szCs w:val="26"/>
                <w:lang w:eastAsia="ru-RU"/>
              </w:rPr>
              <w:t>.</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Наличие согласия на раскрытие дан</w:t>
            </w:r>
            <w:r>
              <w:rPr>
                <w:sz w:val="20"/>
                <w:szCs w:val="20"/>
                <w:lang w:eastAsia="ru-RU"/>
              </w:rPr>
              <w:t>ной информации в Годовом отчете:</w:t>
            </w:r>
          </w:p>
        </w:tc>
        <w:tc>
          <w:tcPr>
            <w:tcW w:w="4536" w:type="dxa"/>
          </w:tcPr>
          <w:p w:rsidR="00670B18" w:rsidRPr="004761E0" w:rsidRDefault="00670B18" w:rsidP="006B4FAE">
            <w:pPr>
              <w:ind w:firstLine="0"/>
              <w:jc w:val="left"/>
              <w:rPr>
                <w:bCs/>
                <w:iCs/>
                <w:sz w:val="20"/>
                <w:szCs w:val="20"/>
                <w:lang w:eastAsia="ru-RU"/>
              </w:rPr>
            </w:pPr>
            <w:r w:rsidRPr="004761E0">
              <w:rPr>
                <w:bCs/>
                <w:iCs/>
                <w:sz w:val="20"/>
                <w:szCs w:val="20"/>
                <w:lang w:eastAsia="ru-RU"/>
              </w:rPr>
              <w:t>Лицом дано подобное согласие.</w:t>
            </w:r>
          </w:p>
        </w:tc>
      </w:tr>
      <w:tr w:rsidR="00670B18" w:rsidRPr="004761E0" w:rsidTr="006B4FAE">
        <w:tblPrEx>
          <w:tblLook w:val="04A0"/>
        </w:tblPrEx>
        <w:tc>
          <w:tcPr>
            <w:tcW w:w="14459" w:type="dxa"/>
            <w:gridSpan w:val="4"/>
            <w:shd w:val="clear" w:color="auto" w:fill="D9D9D9"/>
          </w:tcPr>
          <w:p w:rsidR="00670B18" w:rsidRPr="004761E0" w:rsidRDefault="00670B18" w:rsidP="007076A7">
            <w:pPr>
              <w:pStyle w:val="a5"/>
              <w:numPr>
                <w:ilvl w:val="0"/>
                <w:numId w:val="275"/>
              </w:numPr>
              <w:ind w:left="601" w:hanging="567"/>
              <w:contextualSpacing w:val="0"/>
              <w:jc w:val="left"/>
              <w:rPr>
                <w:b/>
                <w:bCs/>
                <w:iCs/>
                <w:sz w:val="20"/>
                <w:szCs w:val="20"/>
                <w:lang w:eastAsia="ru-RU"/>
              </w:rPr>
            </w:pPr>
            <w:r w:rsidRPr="004761E0">
              <w:rPr>
                <w:b/>
                <w:bCs/>
                <w:iCs/>
                <w:sz w:val="20"/>
                <w:szCs w:val="20"/>
                <w:lang w:eastAsia="ru-RU"/>
              </w:rPr>
              <w:t>Семин Николай Алексеевич</w:t>
            </w:r>
          </w:p>
        </w:tc>
      </w:tr>
      <w:tr w:rsidR="00670B18" w:rsidRPr="004761E0" w:rsidTr="006B4FAE">
        <w:tblPrEx>
          <w:tblLook w:val="04A0"/>
        </w:tblPrEx>
        <w:tc>
          <w:tcPr>
            <w:tcW w:w="14459" w:type="dxa"/>
            <w:gridSpan w:val="4"/>
          </w:tcPr>
          <w:p w:rsidR="00670B18" w:rsidRPr="004761E0" w:rsidRDefault="00670B18" w:rsidP="006B4FAE">
            <w:pPr>
              <w:ind w:firstLine="0"/>
              <w:jc w:val="left"/>
              <w:rPr>
                <w:bCs/>
                <w:iCs/>
                <w:sz w:val="20"/>
                <w:szCs w:val="20"/>
                <w:lang w:eastAsia="ru-RU"/>
              </w:rPr>
            </w:pPr>
            <w:r w:rsidRPr="004761E0">
              <w:rPr>
                <w:sz w:val="20"/>
                <w:szCs w:val="20"/>
                <w:lang w:eastAsia="ru-RU"/>
              </w:rPr>
              <w:t xml:space="preserve">Все должности, занимаемые данным лицом в Обществе и других организациях за последние 5 лет и в настоящее время в хронологическом порядке, в т.ч. по </w:t>
            </w:r>
            <w:r w:rsidRPr="004761E0">
              <w:rPr>
                <w:sz w:val="20"/>
                <w:szCs w:val="20"/>
                <w:lang w:eastAsia="ru-RU"/>
              </w:rPr>
              <w:lastRenderedPageBreak/>
              <w:t>совместительству:</w:t>
            </w:r>
          </w:p>
        </w:tc>
      </w:tr>
      <w:tr w:rsidR="00670B18" w:rsidRPr="004761E0" w:rsidTr="006B4FAE">
        <w:tc>
          <w:tcPr>
            <w:tcW w:w="1843" w:type="dxa"/>
            <w:gridSpan w:val="2"/>
            <w:tcBorders>
              <w:bottom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0"/>
              </w:rPr>
            </w:pPr>
            <w:r w:rsidRPr="004761E0">
              <w:rPr>
                <w:b/>
                <w:sz w:val="20"/>
                <w:szCs w:val="20"/>
              </w:rPr>
              <w:lastRenderedPageBreak/>
              <w:t>Период</w:t>
            </w:r>
          </w:p>
        </w:tc>
        <w:tc>
          <w:tcPr>
            <w:tcW w:w="8080" w:type="dxa"/>
            <w:vMerge w:val="restart"/>
            <w:tcBorders>
              <w:left w:val="single" w:sz="4" w:space="0" w:color="FFFFFF"/>
              <w:bottom w:val="single" w:sz="4" w:space="0" w:color="FFFFFF"/>
              <w:right w:val="single" w:sz="4" w:space="0" w:color="FFFFFF"/>
            </w:tcBorders>
            <w:shd w:val="clear" w:color="auto" w:fill="0F243E"/>
            <w:vAlign w:val="center"/>
          </w:tcPr>
          <w:p w:rsidR="00670B18" w:rsidRPr="004761E0" w:rsidRDefault="00670B18" w:rsidP="006B4FAE">
            <w:pPr>
              <w:ind w:firstLine="0"/>
              <w:jc w:val="left"/>
              <w:rPr>
                <w:b/>
                <w:sz w:val="20"/>
                <w:szCs w:val="20"/>
              </w:rPr>
            </w:pPr>
            <w:r w:rsidRPr="004761E0">
              <w:rPr>
                <w:b/>
                <w:sz w:val="20"/>
                <w:szCs w:val="20"/>
              </w:rPr>
              <w:t>Наименование организации</w:t>
            </w:r>
          </w:p>
        </w:tc>
        <w:tc>
          <w:tcPr>
            <w:tcW w:w="4536" w:type="dxa"/>
            <w:vMerge w:val="restart"/>
            <w:tcBorders>
              <w:left w:val="single" w:sz="4" w:space="0" w:color="FFFFFF"/>
              <w:bottom w:val="single" w:sz="4" w:space="0" w:color="FFFFFF"/>
            </w:tcBorders>
            <w:shd w:val="clear" w:color="auto" w:fill="0F243E"/>
            <w:vAlign w:val="center"/>
          </w:tcPr>
          <w:p w:rsidR="00670B18" w:rsidRPr="004761E0" w:rsidRDefault="00670B18" w:rsidP="006B4FAE">
            <w:pPr>
              <w:ind w:firstLine="0"/>
              <w:jc w:val="left"/>
              <w:rPr>
                <w:b/>
                <w:sz w:val="20"/>
                <w:szCs w:val="20"/>
              </w:rPr>
            </w:pPr>
            <w:r w:rsidRPr="004761E0">
              <w:rPr>
                <w:b/>
                <w:sz w:val="20"/>
                <w:szCs w:val="20"/>
              </w:rPr>
              <w:t>Должность</w:t>
            </w:r>
          </w:p>
        </w:tc>
      </w:tr>
      <w:tr w:rsidR="00670B18" w:rsidRPr="004761E0" w:rsidTr="006B4FAE">
        <w:tc>
          <w:tcPr>
            <w:tcW w:w="851" w:type="dxa"/>
            <w:tcBorders>
              <w:top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0"/>
              </w:rPr>
            </w:pPr>
            <w:r w:rsidRPr="004761E0">
              <w:rPr>
                <w:b/>
                <w:sz w:val="20"/>
                <w:szCs w:val="20"/>
              </w:rPr>
              <w:t>с</w:t>
            </w:r>
          </w:p>
        </w:tc>
        <w:tc>
          <w:tcPr>
            <w:tcW w:w="992" w:type="dxa"/>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0"/>
              </w:rPr>
            </w:pPr>
            <w:r w:rsidRPr="004761E0">
              <w:rPr>
                <w:b/>
                <w:sz w:val="20"/>
                <w:szCs w:val="20"/>
              </w:rPr>
              <w:t>по</w:t>
            </w:r>
          </w:p>
        </w:tc>
        <w:tc>
          <w:tcPr>
            <w:tcW w:w="8080" w:type="dxa"/>
            <w:vMerge/>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jc w:val="center"/>
              <w:rPr>
                <w:sz w:val="20"/>
                <w:szCs w:val="20"/>
              </w:rPr>
            </w:pPr>
          </w:p>
        </w:tc>
        <w:tc>
          <w:tcPr>
            <w:tcW w:w="4536" w:type="dxa"/>
            <w:vMerge/>
            <w:tcBorders>
              <w:top w:val="single" w:sz="4" w:space="0" w:color="FFFFFF"/>
              <w:left w:val="single" w:sz="4" w:space="0" w:color="FFFFFF"/>
            </w:tcBorders>
            <w:shd w:val="clear" w:color="auto" w:fill="0F243E"/>
            <w:vAlign w:val="center"/>
          </w:tcPr>
          <w:p w:rsidR="00670B18" w:rsidRPr="004761E0" w:rsidRDefault="00670B18" w:rsidP="006B4FAE">
            <w:pPr>
              <w:jc w:val="center"/>
              <w:rPr>
                <w:sz w:val="20"/>
                <w:szCs w:val="20"/>
              </w:rPr>
            </w:pP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2003</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sidRPr="004761E0">
              <w:rPr>
                <w:sz w:val="20"/>
                <w:szCs w:val="20"/>
              </w:rPr>
              <w:t>НПФ «ГАЗФОНД»</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Вице-президент</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2003</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Pr>
                <w:sz w:val="20"/>
                <w:szCs w:val="20"/>
              </w:rPr>
              <w:t>ЗАО </w:t>
            </w:r>
            <w:r w:rsidRPr="004761E0">
              <w:rPr>
                <w:sz w:val="20"/>
                <w:szCs w:val="20"/>
              </w:rPr>
              <w:t>«Лидер» (Компания по управлению активами пенсионного фонда)</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Председатель Совета директоров</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2011</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«Управляющая компания «АГАНА»</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2010</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«Мосэнергосбыт – Серпухов»</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2009</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«Мосэнергосбыт – Домодедово»</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2009</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«Мосэнергосбыт – Наро-Фоминск»</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2013</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«МОЭСК»</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blPrEx>
          <w:tblLook w:val="04A0"/>
        </w:tblPrEx>
        <w:tc>
          <w:tcPr>
            <w:tcW w:w="14459" w:type="dxa"/>
            <w:gridSpan w:val="4"/>
          </w:tcPr>
          <w:p w:rsidR="00670B18" w:rsidRPr="004761E0" w:rsidRDefault="00670B18" w:rsidP="006B4FAE">
            <w:pPr>
              <w:ind w:firstLine="0"/>
              <w:jc w:val="left"/>
              <w:rPr>
                <w:bCs/>
                <w:iCs/>
                <w:sz w:val="20"/>
                <w:szCs w:val="20"/>
                <w:lang w:eastAsia="ru-RU"/>
              </w:rPr>
            </w:pPr>
            <w:r w:rsidRPr="004761E0">
              <w:rPr>
                <w:sz w:val="20"/>
                <w:szCs w:val="20"/>
                <w:lang w:eastAsia="ru-RU"/>
              </w:rPr>
              <w:t>Иная информация</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Доли участия в уставном капитале Общества/обыкновенных акций:</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Лицо указанных долей не имеет</w:t>
            </w:r>
            <w:r w:rsidRPr="004761E0">
              <w:rPr>
                <w:sz w:val="20"/>
                <w:szCs w:val="20"/>
                <w:lang w:eastAsia="ru-RU"/>
              </w:rPr>
              <w:t>.</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Доли участия лица в уставном (складочном) капитале (паевом фонде) дочерних и зависимых обществ Общества:</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Лицо указанных долей не имеет</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Сведения о характере любых родственных связей с иными лицами, входящими в состав органов управления Общества и/или органов контроля за финансово-хозяйственной деятельностью Общества:</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Указанных родственных связей у лица нет.</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Лицо к указанным видам ответственности не привлекалось</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tc>
        <w:tc>
          <w:tcPr>
            <w:tcW w:w="4536" w:type="dxa"/>
          </w:tcPr>
          <w:p w:rsidR="00670B18" w:rsidRPr="004761E0" w:rsidRDefault="00670B18" w:rsidP="006B4FAE">
            <w:pPr>
              <w:ind w:firstLine="0"/>
              <w:jc w:val="left"/>
              <w:rPr>
                <w:sz w:val="20"/>
                <w:szCs w:val="20"/>
                <w:lang w:eastAsia="ru-RU"/>
              </w:rPr>
            </w:pPr>
            <w:r w:rsidRPr="004761E0">
              <w:rPr>
                <w:bCs/>
                <w:iCs/>
                <w:sz w:val="20"/>
                <w:szCs w:val="20"/>
                <w:lang w:eastAsia="ru-RU"/>
              </w:rPr>
              <w:t>Лицо указанных должностей не занимало.</w:t>
            </w:r>
          </w:p>
        </w:tc>
      </w:tr>
      <w:tr w:rsidR="00670B18" w:rsidRPr="004761E0" w:rsidTr="006B4FAE">
        <w:tblPrEx>
          <w:tblLook w:val="04A0"/>
        </w:tblPrEx>
        <w:tc>
          <w:tcPr>
            <w:tcW w:w="9923" w:type="dxa"/>
            <w:gridSpan w:val="3"/>
          </w:tcPr>
          <w:p w:rsidR="00670B18" w:rsidRPr="00670B18" w:rsidRDefault="00670B18" w:rsidP="00670B18">
            <w:pPr>
              <w:ind w:firstLine="0"/>
              <w:jc w:val="left"/>
              <w:rPr>
                <w:sz w:val="20"/>
                <w:szCs w:val="26"/>
                <w:lang w:eastAsia="ru-RU"/>
              </w:rPr>
            </w:pPr>
            <w:r w:rsidRPr="00670B18">
              <w:rPr>
                <w:sz w:val="20"/>
                <w:szCs w:val="26"/>
                <w:lang w:eastAsia="ru-RU"/>
              </w:rPr>
              <w:t>Сведения о сделках по приобретению или отчуждению акций Общества в течение отчетного года</w:t>
            </w:r>
            <w:r>
              <w:rPr>
                <w:sz w:val="20"/>
                <w:szCs w:val="26"/>
                <w:lang w:eastAsia="ru-RU"/>
              </w:rPr>
              <w:t>:</w:t>
            </w:r>
          </w:p>
        </w:tc>
        <w:tc>
          <w:tcPr>
            <w:tcW w:w="4536" w:type="dxa"/>
          </w:tcPr>
          <w:p w:rsidR="00670B18" w:rsidRPr="00670B18" w:rsidRDefault="00670B18" w:rsidP="00670B18">
            <w:pPr>
              <w:ind w:firstLine="0"/>
              <w:jc w:val="left"/>
              <w:rPr>
                <w:sz w:val="20"/>
                <w:szCs w:val="26"/>
                <w:lang w:eastAsia="ru-RU"/>
              </w:rPr>
            </w:pPr>
            <w:r w:rsidRPr="00670B18">
              <w:rPr>
                <w:sz w:val="20"/>
                <w:szCs w:val="26"/>
                <w:lang w:eastAsia="ru-RU"/>
              </w:rPr>
              <w:t>Лицом указанные сделки не совершались</w:t>
            </w:r>
            <w:r>
              <w:rPr>
                <w:sz w:val="20"/>
                <w:szCs w:val="26"/>
                <w:lang w:eastAsia="ru-RU"/>
              </w:rPr>
              <w:t>.</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0"/>
                <w:lang w:eastAsia="ru-RU"/>
              </w:rPr>
            </w:pPr>
            <w:r w:rsidRPr="004761E0">
              <w:rPr>
                <w:sz w:val="20"/>
                <w:szCs w:val="20"/>
                <w:lang w:eastAsia="ru-RU"/>
              </w:rPr>
              <w:t>Наличие согласия на раскрытие дан</w:t>
            </w:r>
            <w:r>
              <w:rPr>
                <w:sz w:val="20"/>
                <w:szCs w:val="20"/>
                <w:lang w:eastAsia="ru-RU"/>
              </w:rPr>
              <w:t>ной информации в Годовом отчете:</w:t>
            </w:r>
          </w:p>
        </w:tc>
        <w:tc>
          <w:tcPr>
            <w:tcW w:w="4536" w:type="dxa"/>
          </w:tcPr>
          <w:p w:rsidR="00670B18" w:rsidRPr="004761E0" w:rsidRDefault="00670B18" w:rsidP="006B4FAE">
            <w:pPr>
              <w:ind w:firstLine="0"/>
              <w:jc w:val="left"/>
              <w:rPr>
                <w:bCs/>
                <w:iCs/>
                <w:sz w:val="20"/>
                <w:szCs w:val="20"/>
                <w:lang w:eastAsia="ru-RU"/>
              </w:rPr>
            </w:pPr>
            <w:r w:rsidRPr="004761E0">
              <w:rPr>
                <w:bCs/>
                <w:iCs/>
                <w:sz w:val="20"/>
                <w:szCs w:val="20"/>
                <w:lang w:eastAsia="ru-RU"/>
              </w:rPr>
              <w:t>Лицом дано подобное согласие.</w:t>
            </w:r>
          </w:p>
        </w:tc>
      </w:tr>
      <w:tr w:rsidR="00670B18" w:rsidRPr="004761E0" w:rsidTr="006B4FAE">
        <w:tblPrEx>
          <w:tblLook w:val="04A0"/>
        </w:tblPrEx>
        <w:tc>
          <w:tcPr>
            <w:tcW w:w="14459" w:type="dxa"/>
            <w:gridSpan w:val="4"/>
            <w:shd w:val="clear" w:color="auto" w:fill="BFBFBF"/>
          </w:tcPr>
          <w:p w:rsidR="00670B18" w:rsidRPr="004761E0" w:rsidRDefault="00670B18" w:rsidP="007076A7">
            <w:pPr>
              <w:pStyle w:val="a5"/>
              <w:numPr>
                <w:ilvl w:val="0"/>
                <w:numId w:val="275"/>
              </w:numPr>
              <w:ind w:left="601" w:hanging="567"/>
              <w:contextualSpacing w:val="0"/>
              <w:jc w:val="left"/>
              <w:rPr>
                <w:b/>
                <w:bCs/>
                <w:iCs/>
                <w:sz w:val="20"/>
                <w:szCs w:val="20"/>
                <w:lang w:eastAsia="ru-RU"/>
              </w:rPr>
            </w:pPr>
            <w:r w:rsidRPr="004761E0">
              <w:rPr>
                <w:b/>
                <w:bCs/>
                <w:iCs/>
                <w:sz w:val="20"/>
                <w:szCs w:val="20"/>
                <w:lang w:eastAsia="ru-RU"/>
              </w:rPr>
              <w:t>Скрибот Вольфганг</w:t>
            </w:r>
          </w:p>
        </w:tc>
      </w:tr>
      <w:tr w:rsidR="00670B18" w:rsidRPr="004761E0" w:rsidTr="006B4FAE">
        <w:tblPrEx>
          <w:tblLook w:val="04A0"/>
        </w:tblPrEx>
        <w:tc>
          <w:tcPr>
            <w:tcW w:w="14459" w:type="dxa"/>
            <w:gridSpan w:val="4"/>
          </w:tcPr>
          <w:p w:rsidR="00670B18" w:rsidRPr="004761E0" w:rsidRDefault="00670B18" w:rsidP="006B4FAE">
            <w:pPr>
              <w:ind w:firstLine="0"/>
              <w:jc w:val="left"/>
              <w:rPr>
                <w:bCs/>
                <w:iCs/>
                <w:sz w:val="20"/>
                <w:szCs w:val="20"/>
                <w:lang w:eastAsia="ru-RU"/>
              </w:rPr>
            </w:pPr>
            <w:r w:rsidRPr="004761E0">
              <w:rPr>
                <w:sz w:val="20"/>
                <w:szCs w:val="26"/>
                <w:lang w:eastAsia="ru-RU"/>
              </w:rPr>
              <w:t>Все должности, занимаемые данным лицом в Обществе и других организациях за последние 5 лет и в настоящее время в хронологическом порядке, в т.ч. по совместительству:</w:t>
            </w:r>
          </w:p>
        </w:tc>
      </w:tr>
      <w:tr w:rsidR="00670B18" w:rsidRPr="004761E0" w:rsidTr="006B4FAE">
        <w:tc>
          <w:tcPr>
            <w:tcW w:w="1843" w:type="dxa"/>
            <w:gridSpan w:val="2"/>
            <w:tcBorders>
              <w:bottom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0"/>
              </w:rPr>
            </w:pPr>
            <w:r w:rsidRPr="004761E0">
              <w:rPr>
                <w:b/>
                <w:sz w:val="20"/>
                <w:szCs w:val="20"/>
              </w:rPr>
              <w:t>Период</w:t>
            </w:r>
          </w:p>
        </w:tc>
        <w:tc>
          <w:tcPr>
            <w:tcW w:w="8080" w:type="dxa"/>
            <w:vMerge w:val="restart"/>
            <w:tcBorders>
              <w:left w:val="single" w:sz="4" w:space="0" w:color="FFFFFF"/>
              <w:bottom w:val="single" w:sz="4" w:space="0" w:color="FFFFFF"/>
              <w:right w:val="single" w:sz="4" w:space="0" w:color="FFFFFF"/>
            </w:tcBorders>
            <w:shd w:val="clear" w:color="auto" w:fill="0F243E"/>
            <w:vAlign w:val="center"/>
          </w:tcPr>
          <w:p w:rsidR="00670B18" w:rsidRPr="004761E0" w:rsidRDefault="00670B18" w:rsidP="006B4FAE">
            <w:pPr>
              <w:ind w:firstLine="0"/>
              <w:jc w:val="left"/>
              <w:rPr>
                <w:b/>
                <w:sz w:val="20"/>
                <w:szCs w:val="20"/>
              </w:rPr>
            </w:pPr>
            <w:r w:rsidRPr="004761E0">
              <w:rPr>
                <w:b/>
                <w:sz w:val="20"/>
                <w:szCs w:val="20"/>
              </w:rPr>
              <w:t>Наименование организации</w:t>
            </w:r>
          </w:p>
        </w:tc>
        <w:tc>
          <w:tcPr>
            <w:tcW w:w="4536" w:type="dxa"/>
            <w:vMerge w:val="restart"/>
            <w:tcBorders>
              <w:left w:val="single" w:sz="4" w:space="0" w:color="FFFFFF"/>
              <w:bottom w:val="single" w:sz="4" w:space="0" w:color="FFFFFF"/>
            </w:tcBorders>
            <w:shd w:val="clear" w:color="auto" w:fill="0F243E"/>
            <w:vAlign w:val="center"/>
          </w:tcPr>
          <w:p w:rsidR="00670B18" w:rsidRPr="004761E0" w:rsidRDefault="00670B18" w:rsidP="006B4FAE">
            <w:pPr>
              <w:ind w:firstLine="0"/>
              <w:jc w:val="left"/>
              <w:rPr>
                <w:b/>
                <w:sz w:val="20"/>
                <w:szCs w:val="20"/>
              </w:rPr>
            </w:pPr>
            <w:r w:rsidRPr="004761E0">
              <w:rPr>
                <w:b/>
                <w:sz w:val="20"/>
                <w:szCs w:val="20"/>
              </w:rPr>
              <w:t>Должность</w:t>
            </w:r>
          </w:p>
        </w:tc>
      </w:tr>
      <w:tr w:rsidR="00670B18" w:rsidRPr="004761E0" w:rsidTr="006B4FAE">
        <w:tc>
          <w:tcPr>
            <w:tcW w:w="851" w:type="dxa"/>
            <w:tcBorders>
              <w:top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0"/>
              </w:rPr>
            </w:pPr>
            <w:r w:rsidRPr="004761E0">
              <w:rPr>
                <w:b/>
                <w:sz w:val="20"/>
                <w:szCs w:val="20"/>
              </w:rPr>
              <w:t>с</w:t>
            </w:r>
          </w:p>
        </w:tc>
        <w:tc>
          <w:tcPr>
            <w:tcW w:w="992" w:type="dxa"/>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0"/>
              </w:rPr>
            </w:pPr>
            <w:r w:rsidRPr="004761E0">
              <w:rPr>
                <w:b/>
                <w:sz w:val="20"/>
                <w:szCs w:val="20"/>
              </w:rPr>
              <w:t>по</w:t>
            </w:r>
          </w:p>
        </w:tc>
        <w:tc>
          <w:tcPr>
            <w:tcW w:w="8080" w:type="dxa"/>
            <w:vMerge/>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jc w:val="center"/>
              <w:rPr>
                <w:b/>
                <w:sz w:val="20"/>
                <w:szCs w:val="20"/>
              </w:rPr>
            </w:pPr>
          </w:p>
        </w:tc>
        <w:tc>
          <w:tcPr>
            <w:tcW w:w="4536" w:type="dxa"/>
            <w:vMerge/>
            <w:tcBorders>
              <w:top w:val="single" w:sz="4" w:space="0" w:color="FFFFFF"/>
              <w:left w:val="single" w:sz="4" w:space="0" w:color="FFFFFF"/>
            </w:tcBorders>
            <w:shd w:val="clear" w:color="auto" w:fill="0F243E"/>
            <w:vAlign w:val="center"/>
          </w:tcPr>
          <w:p w:rsidR="00670B18" w:rsidRPr="004761E0" w:rsidRDefault="00670B18" w:rsidP="006B4FAE">
            <w:pPr>
              <w:jc w:val="center"/>
              <w:rPr>
                <w:b/>
                <w:sz w:val="20"/>
                <w:szCs w:val="20"/>
              </w:rPr>
            </w:pP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2004</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sidRPr="004761E0">
              <w:rPr>
                <w:sz w:val="20"/>
                <w:szCs w:val="20"/>
              </w:rPr>
              <w:t>«ГПБ (ОАО)</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Управляющий директор, начальник Управления электроэнергетики и инфраструктурных проектов Департамента прямых инвестиций</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2009</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2013</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«ЭСКМО»</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2009</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«Мосэнергосбыт»</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c>
          <w:tcPr>
            <w:tcW w:w="851" w:type="dxa"/>
            <w:shd w:val="clear" w:color="auto" w:fill="auto"/>
          </w:tcPr>
          <w:p w:rsidR="00670B18" w:rsidRPr="004761E0" w:rsidRDefault="00670B18" w:rsidP="007F0FC1">
            <w:pPr>
              <w:ind w:firstLine="0"/>
              <w:jc w:val="left"/>
              <w:rPr>
                <w:sz w:val="20"/>
                <w:szCs w:val="20"/>
              </w:rPr>
            </w:pPr>
            <w:r w:rsidRPr="004761E0">
              <w:rPr>
                <w:sz w:val="20"/>
                <w:szCs w:val="20"/>
              </w:rPr>
              <w:t>2011</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Pr>
                <w:sz w:val="20"/>
                <w:szCs w:val="20"/>
              </w:rPr>
              <w:t>ООО </w:t>
            </w:r>
            <w:r w:rsidRPr="004761E0">
              <w:rPr>
                <w:sz w:val="20"/>
                <w:szCs w:val="20"/>
              </w:rPr>
              <w:t>«ГПБ-Энергоэффект»</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2011</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2013</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«МРТЭ»</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2011</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2013</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«МЭС-Пушкино»</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2011</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sidRPr="004761E0">
              <w:rPr>
                <w:sz w:val="20"/>
                <w:szCs w:val="20"/>
              </w:rPr>
              <w:t>Centrex AG</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lastRenderedPageBreak/>
              <w:t>2011</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2013</w:t>
            </w:r>
          </w:p>
        </w:tc>
        <w:tc>
          <w:tcPr>
            <w:tcW w:w="8080" w:type="dxa"/>
            <w:shd w:val="clear" w:color="auto" w:fill="auto"/>
          </w:tcPr>
          <w:p w:rsidR="00670B18" w:rsidRPr="004761E0" w:rsidRDefault="00670B18" w:rsidP="006B4FAE">
            <w:pPr>
              <w:ind w:firstLine="0"/>
              <w:jc w:val="left"/>
              <w:rPr>
                <w:sz w:val="20"/>
                <w:szCs w:val="20"/>
              </w:rPr>
            </w:pPr>
            <w:r>
              <w:rPr>
                <w:sz w:val="20"/>
                <w:szCs w:val="20"/>
              </w:rPr>
              <w:t>ООО </w:t>
            </w:r>
            <w:r w:rsidRPr="004761E0">
              <w:rPr>
                <w:sz w:val="20"/>
                <w:szCs w:val="20"/>
              </w:rPr>
              <w:t>«Прима Энерджи»</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2013</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«Магистраль северной столицы»</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2013</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«Бионет»</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2013</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lang w:val="en-US"/>
              </w:rPr>
            </w:pPr>
            <w:r w:rsidRPr="004761E0">
              <w:rPr>
                <w:sz w:val="20"/>
                <w:szCs w:val="20"/>
                <w:lang w:val="en-US"/>
              </w:rPr>
              <w:t>Carbon Trade&amp;Finance SICAR S.A.</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c>
          <w:tcPr>
            <w:tcW w:w="851" w:type="dxa"/>
            <w:shd w:val="clear" w:color="auto" w:fill="auto"/>
          </w:tcPr>
          <w:p w:rsidR="00670B18" w:rsidRPr="004761E0" w:rsidRDefault="00670B18" w:rsidP="006B4FAE">
            <w:pPr>
              <w:ind w:firstLine="0"/>
              <w:jc w:val="left"/>
              <w:rPr>
                <w:sz w:val="20"/>
                <w:szCs w:val="20"/>
              </w:rPr>
            </w:pPr>
            <w:r w:rsidRPr="004761E0">
              <w:rPr>
                <w:sz w:val="20"/>
                <w:szCs w:val="20"/>
              </w:rPr>
              <w:t>2007</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0"/>
              </w:rPr>
            </w:pPr>
            <w:r>
              <w:rPr>
                <w:sz w:val="20"/>
                <w:szCs w:val="20"/>
              </w:rPr>
              <w:t>ОАО </w:t>
            </w:r>
            <w:r w:rsidRPr="004761E0">
              <w:rPr>
                <w:sz w:val="20"/>
                <w:szCs w:val="20"/>
              </w:rPr>
              <w:t>«МОЭСК»</w:t>
            </w:r>
          </w:p>
        </w:tc>
        <w:tc>
          <w:tcPr>
            <w:tcW w:w="4536" w:type="dxa"/>
            <w:shd w:val="clear" w:color="auto" w:fill="auto"/>
          </w:tcPr>
          <w:p w:rsidR="00670B18" w:rsidRPr="004761E0" w:rsidRDefault="00670B18" w:rsidP="006B4FAE">
            <w:pPr>
              <w:ind w:firstLine="0"/>
              <w:jc w:val="left"/>
              <w:rPr>
                <w:sz w:val="20"/>
                <w:szCs w:val="20"/>
              </w:rPr>
            </w:pPr>
            <w:r w:rsidRPr="004761E0">
              <w:rPr>
                <w:sz w:val="20"/>
                <w:szCs w:val="20"/>
              </w:rPr>
              <w:t>Член Совета директоров</w:t>
            </w:r>
          </w:p>
        </w:tc>
      </w:tr>
      <w:tr w:rsidR="00670B18" w:rsidRPr="004761E0" w:rsidTr="006B4FAE">
        <w:tblPrEx>
          <w:tblLook w:val="04A0"/>
        </w:tblPrEx>
        <w:tc>
          <w:tcPr>
            <w:tcW w:w="14459" w:type="dxa"/>
            <w:gridSpan w:val="4"/>
          </w:tcPr>
          <w:p w:rsidR="00670B18" w:rsidRPr="004761E0" w:rsidRDefault="00670B18" w:rsidP="006B4FAE">
            <w:pPr>
              <w:ind w:firstLine="0"/>
              <w:jc w:val="left"/>
              <w:rPr>
                <w:bCs/>
                <w:iCs/>
                <w:sz w:val="20"/>
                <w:szCs w:val="26"/>
                <w:lang w:eastAsia="ru-RU"/>
              </w:rPr>
            </w:pPr>
            <w:r w:rsidRPr="004761E0">
              <w:rPr>
                <w:sz w:val="20"/>
                <w:szCs w:val="26"/>
                <w:lang w:eastAsia="ru-RU"/>
              </w:rPr>
              <w:t>Иная информация</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Доли участия в уставном капитале Общества/обыкновенных акций:</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долей не имеет</w:t>
            </w:r>
            <w:r w:rsidRPr="004761E0">
              <w:rPr>
                <w:sz w:val="20"/>
                <w:szCs w:val="26"/>
                <w:lang w:eastAsia="ru-RU"/>
              </w:rPr>
              <w:t>.</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Доли участия лица в уставном (складочном) капитале (паевом фонде) дочерних и зависимых обществ Общества:</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долей не имеет</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Сведения о характере любых родственных связей с иными лицами, входящими в состав органов управления Общества и/или органов контроля за финансово-хозяйственной деятельностью Общества:</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Указанных родственных связей у лица нет.</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к указанным видам ответственности не привлекалось</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должностей не занимало.</w:t>
            </w:r>
          </w:p>
        </w:tc>
      </w:tr>
      <w:tr w:rsidR="00670B18" w:rsidRPr="004761E0" w:rsidTr="006B4FAE">
        <w:tblPrEx>
          <w:tblLook w:val="04A0"/>
        </w:tblPrEx>
        <w:tc>
          <w:tcPr>
            <w:tcW w:w="9923" w:type="dxa"/>
            <w:gridSpan w:val="3"/>
          </w:tcPr>
          <w:p w:rsidR="00670B18" w:rsidRPr="00670B18" w:rsidRDefault="00670B18" w:rsidP="00670B18">
            <w:pPr>
              <w:ind w:firstLine="0"/>
              <w:jc w:val="left"/>
              <w:rPr>
                <w:sz w:val="20"/>
                <w:szCs w:val="26"/>
                <w:lang w:eastAsia="ru-RU"/>
              </w:rPr>
            </w:pPr>
            <w:r w:rsidRPr="00670B18">
              <w:rPr>
                <w:sz w:val="20"/>
                <w:szCs w:val="26"/>
                <w:lang w:eastAsia="ru-RU"/>
              </w:rPr>
              <w:t>Сведения о сделках по приобретению или отчуждению акций Общества в течение отчетного года</w:t>
            </w:r>
            <w:r>
              <w:rPr>
                <w:sz w:val="20"/>
                <w:szCs w:val="26"/>
                <w:lang w:eastAsia="ru-RU"/>
              </w:rPr>
              <w:t>:</w:t>
            </w:r>
          </w:p>
        </w:tc>
        <w:tc>
          <w:tcPr>
            <w:tcW w:w="4536" w:type="dxa"/>
          </w:tcPr>
          <w:p w:rsidR="00670B18" w:rsidRPr="00670B18" w:rsidRDefault="00670B18" w:rsidP="00670B18">
            <w:pPr>
              <w:ind w:firstLine="0"/>
              <w:jc w:val="left"/>
              <w:rPr>
                <w:sz w:val="20"/>
                <w:szCs w:val="26"/>
                <w:lang w:eastAsia="ru-RU"/>
              </w:rPr>
            </w:pPr>
            <w:r w:rsidRPr="00670B18">
              <w:rPr>
                <w:sz w:val="20"/>
                <w:szCs w:val="26"/>
                <w:lang w:eastAsia="ru-RU"/>
              </w:rPr>
              <w:t>Лицом указанные сделки не совершались</w:t>
            </w:r>
            <w:r>
              <w:rPr>
                <w:sz w:val="20"/>
                <w:szCs w:val="26"/>
                <w:lang w:eastAsia="ru-RU"/>
              </w:rPr>
              <w:t>.</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Наличие согласия на раскрытие дан</w:t>
            </w:r>
            <w:r>
              <w:rPr>
                <w:sz w:val="20"/>
                <w:szCs w:val="26"/>
                <w:lang w:eastAsia="ru-RU"/>
              </w:rPr>
              <w:t>ной информации в Годовом отчете:</w:t>
            </w:r>
          </w:p>
        </w:tc>
        <w:tc>
          <w:tcPr>
            <w:tcW w:w="4536" w:type="dxa"/>
          </w:tcPr>
          <w:p w:rsidR="00670B18" w:rsidRPr="004761E0" w:rsidRDefault="00670B18" w:rsidP="006B4FAE">
            <w:pPr>
              <w:ind w:firstLine="0"/>
              <w:jc w:val="left"/>
              <w:rPr>
                <w:bCs/>
                <w:iCs/>
                <w:sz w:val="20"/>
                <w:szCs w:val="26"/>
                <w:lang w:eastAsia="ru-RU"/>
              </w:rPr>
            </w:pPr>
            <w:r w:rsidRPr="004761E0">
              <w:rPr>
                <w:bCs/>
                <w:iCs/>
                <w:sz w:val="20"/>
                <w:szCs w:val="26"/>
                <w:lang w:eastAsia="ru-RU"/>
              </w:rPr>
              <w:t>Лицом дано подобное согласие.</w:t>
            </w:r>
          </w:p>
        </w:tc>
      </w:tr>
      <w:tr w:rsidR="00670B18" w:rsidRPr="004761E0" w:rsidTr="006B4FAE">
        <w:tblPrEx>
          <w:tblLook w:val="04A0"/>
        </w:tblPrEx>
        <w:tc>
          <w:tcPr>
            <w:tcW w:w="14459" w:type="dxa"/>
            <w:gridSpan w:val="4"/>
            <w:shd w:val="clear" w:color="auto" w:fill="BFBFBF"/>
          </w:tcPr>
          <w:p w:rsidR="00670B18" w:rsidRPr="004761E0" w:rsidRDefault="00670B18" w:rsidP="007076A7">
            <w:pPr>
              <w:pStyle w:val="a5"/>
              <w:numPr>
                <w:ilvl w:val="0"/>
                <w:numId w:val="275"/>
              </w:numPr>
              <w:ind w:left="601" w:hanging="567"/>
              <w:contextualSpacing w:val="0"/>
              <w:jc w:val="left"/>
              <w:rPr>
                <w:b/>
                <w:bCs/>
                <w:iCs/>
                <w:sz w:val="20"/>
                <w:szCs w:val="26"/>
                <w:lang w:eastAsia="ru-RU"/>
              </w:rPr>
            </w:pPr>
            <w:r w:rsidRPr="004761E0">
              <w:rPr>
                <w:b/>
                <w:bCs/>
                <w:iCs/>
                <w:sz w:val="20"/>
                <w:szCs w:val="26"/>
                <w:lang w:eastAsia="ru-RU"/>
              </w:rPr>
              <w:t>Синютин Петр Алексеевич</w:t>
            </w:r>
          </w:p>
        </w:tc>
      </w:tr>
      <w:tr w:rsidR="00670B18" w:rsidRPr="004761E0" w:rsidTr="006B4FAE">
        <w:tblPrEx>
          <w:tblLook w:val="04A0"/>
        </w:tblPrEx>
        <w:tc>
          <w:tcPr>
            <w:tcW w:w="14459" w:type="dxa"/>
            <w:gridSpan w:val="4"/>
          </w:tcPr>
          <w:p w:rsidR="00670B18" w:rsidRPr="004761E0" w:rsidRDefault="00670B18" w:rsidP="006B4FAE">
            <w:pPr>
              <w:ind w:firstLine="0"/>
              <w:jc w:val="left"/>
              <w:rPr>
                <w:bCs/>
                <w:iCs/>
                <w:sz w:val="20"/>
                <w:szCs w:val="26"/>
                <w:lang w:eastAsia="ru-RU"/>
              </w:rPr>
            </w:pPr>
            <w:r w:rsidRPr="004761E0">
              <w:rPr>
                <w:sz w:val="20"/>
                <w:szCs w:val="26"/>
                <w:lang w:eastAsia="ru-RU"/>
              </w:rPr>
              <w:t>Все должности, занимаемые данным лицом в Обществе и других организациях за последние 5 лет и в настоящее время в хронологическом порядке, в т.ч. по совместительству:</w:t>
            </w:r>
          </w:p>
        </w:tc>
      </w:tr>
      <w:tr w:rsidR="00670B18" w:rsidRPr="004761E0" w:rsidTr="006B4FAE">
        <w:tc>
          <w:tcPr>
            <w:tcW w:w="1843" w:type="dxa"/>
            <w:gridSpan w:val="2"/>
            <w:tcBorders>
              <w:bottom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2"/>
              </w:rPr>
            </w:pPr>
            <w:r w:rsidRPr="004761E0">
              <w:rPr>
                <w:b/>
                <w:sz w:val="20"/>
                <w:szCs w:val="22"/>
              </w:rPr>
              <w:t>Период</w:t>
            </w:r>
          </w:p>
        </w:tc>
        <w:tc>
          <w:tcPr>
            <w:tcW w:w="8080" w:type="dxa"/>
            <w:vMerge w:val="restart"/>
            <w:tcBorders>
              <w:left w:val="single" w:sz="4" w:space="0" w:color="FFFFFF"/>
              <w:bottom w:val="single" w:sz="4" w:space="0" w:color="FFFFFF"/>
              <w:right w:val="single" w:sz="4" w:space="0" w:color="FFFFFF"/>
            </w:tcBorders>
            <w:shd w:val="clear" w:color="auto" w:fill="0F243E"/>
            <w:vAlign w:val="center"/>
          </w:tcPr>
          <w:p w:rsidR="00670B18" w:rsidRPr="004761E0" w:rsidRDefault="00670B18" w:rsidP="006B4FAE">
            <w:pPr>
              <w:ind w:firstLine="0"/>
              <w:jc w:val="left"/>
              <w:rPr>
                <w:b/>
                <w:sz w:val="20"/>
                <w:szCs w:val="22"/>
              </w:rPr>
            </w:pPr>
            <w:r w:rsidRPr="004761E0">
              <w:rPr>
                <w:b/>
                <w:sz w:val="20"/>
                <w:szCs w:val="22"/>
              </w:rPr>
              <w:t>Наименование организации</w:t>
            </w:r>
          </w:p>
        </w:tc>
        <w:tc>
          <w:tcPr>
            <w:tcW w:w="4536" w:type="dxa"/>
            <w:vMerge w:val="restart"/>
            <w:tcBorders>
              <w:left w:val="single" w:sz="4" w:space="0" w:color="FFFFFF"/>
              <w:bottom w:val="single" w:sz="4" w:space="0" w:color="FFFFFF"/>
            </w:tcBorders>
            <w:shd w:val="clear" w:color="auto" w:fill="0F243E"/>
            <w:vAlign w:val="center"/>
          </w:tcPr>
          <w:p w:rsidR="00670B18" w:rsidRPr="004761E0" w:rsidRDefault="00670B18" w:rsidP="006B4FAE">
            <w:pPr>
              <w:ind w:firstLine="0"/>
              <w:jc w:val="left"/>
              <w:rPr>
                <w:b/>
                <w:sz w:val="20"/>
                <w:szCs w:val="22"/>
              </w:rPr>
            </w:pPr>
            <w:r w:rsidRPr="004761E0">
              <w:rPr>
                <w:b/>
                <w:sz w:val="20"/>
                <w:szCs w:val="22"/>
              </w:rPr>
              <w:t>Должность</w:t>
            </w:r>
          </w:p>
        </w:tc>
      </w:tr>
      <w:tr w:rsidR="00670B18" w:rsidRPr="004761E0" w:rsidTr="006B4FAE">
        <w:tc>
          <w:tcPr>
            <w:tcW w:w="851" w:type="dxa"/>
            <w:tcBorders>
              <w:top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2"/>
              </w:rPr>
            </w:pPr>
            <w:r w:rsidRPr="004761E0">
              <w:rPr>
                <w:b/>
                <w:sz w:val="20"/>
                <w:szCs w:val="22"/>
              </w:rPr>
              <w:t>с</w:t>
            </w:r>
          </w:p>
        </w:tc>
        <w:tc>
          <w:tcPr>
            <w:tcW w:w="992" w:type="dxa"/>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2"/>
              </w:rPr>
            </w:pPr>
            <w:r w:rsidRPr="004761E0">
              <w:rPr>
                <w:b/>
                <w:sz w:val="20"/>
                <w:szCs w:val="22"/>
              </w:rPr>
              <w:t>по</w:t>
            </w:r>
          </w:p>
        </w:tc>
        <w:tc>
          <w:tcPr>
            <w:tcW w:w="8080" w:type="dxa"/>
            <w:vMerge/>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jc w:val="center"/>
              <w:rPr>
                <w:sz w:val="20"/>
                <w:szCs w:val="22"/>
              </w:rPr>
            </w:pPr>
          </w:p>
        </w:tc>
        <w:tc>
          <w:tcPr>
            <w:tcW w:w="4536" w:type="dxa"/>
            <w:vMerge/>
            <w:tcBorders>
              <w:top w:val="single" w:sz="4" w:space="0" w:color="FFFFFF"/>
              <w:left w:val="single" w:sz="4" w:space="0" w:color="FFFFFF"/>
            </w:tcBorders>
            <w:shd w:val="clear" w:color="auto" w:fill="0F243E"/>
            <w:vAlign w:val="center"/>
          </w:tcPr>
          <w:p w:rsidR="00670B18" w:rsidRPr="004761E0" w:rsidRDefault="00670B18" w:rsidP="006B4FAE">
            <w:pPr>
              <w:jc w:val="center"/>
              <w:rPr>
                <w:sz w:val="20"/>
                <w:szCs w:val="22"/>
              </w:rPr>
            </w:pPr>
          </w:p>
        </w:tc>
      </w:tr>
      <w:tr w:rsidR="00670B18" w:rsidRPr="004761E0" w:rsidTr="006B4FAE">
        <w:tc>
          <w:tcPr>
            <w:tcW w:w="851" w:type="dxa"/>
            <w:shd w:val="clear" w:color="auto" w:fill="auto"/>
          </w:tcPr>
          <w:p w:rsidR="00670B18" w:rsidRPr="004761E0" w:rsidRDefault="00670B18" w:rsidP="006B4FAE">
            <w:pPr>
              <w:ind w:firstLine="0"/>
              <w:jc w:val="left"/>
              <w:rPr>
                <w:sz w:val="20"/>
                <w:szCs w:val="22"/>
              </w:rPr>
            </w:pPr>
            <w:r w:rsidRPr="004761E0">
              <w:rPr>
                <w:sz w:val="20"/>
                <w:szCs w:val="22"/>
              </w:rPr>
              <w:t>2008</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2010</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«Мосэнергосбыт»</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Генеральный директор</w:t>
            </w:r>
          </w:p>
        </w:tc>
      </w:tr>
      <w:tr w:rsidR="00670B18" w:rsidRPr="004761E0" w:rsidTr="006B4FAE">
        <w:tc>
          <w:tcPr>
            <w:tcW w:w="851" w:type="dxa"/>
            <w:shd w:val="clear" w:color="auto" w:fill="auto"/>
          </w:tcPr>
          <w:p w:rsidR="00670B18" w:rsidRPr="004761E0" w:rsidRDefault="00670B18" w:rsidP="006B4FAE">
            <w:pPr>
              <w:ind w:firstLine="0"/>
              <w:jc w:val="left"/>
              <w:rPr>
                <w:sz w:val="20"/>
                <w:szCs w:val="22"/>
              </w:rPr>
            </w:pPr>
            <w:r w:rsidRPr="004761E0">
              <w:rPr>
                <w:sz w:val="20"/>
                <w:szCs w:val="22"/>
              </w:rPr>
              <w:t>2010</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2012</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«Мосэнергосбыт»</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Управляющий директор-первый заместитель генерального директора</w:t>
            </w:r>
          </w:p>
        </w:tc>
      </w:tr>
      <w:tr w:rsidR="00670B18" w:rsidRPr="004761E0" w:rsidTr="006B4FAE">
        <w:tc>
          <w:tcPr>
            <w:tcW w:w="851" w:type="dxa"/>
            <w:shd w:val="clear" w:color="auto" w:fill="auto"/>
          </w:tcPr>
          <w:p w:rsidR="00670B18" w:rsidRPr="004761E0" w:rsidRDefault="00670B18" w:rsidP="006B4FAE">
            <w:pPr>
              <w:ind w:firstLine="0"/>
              <w:jc w:val="left"/>
              <w:rPr>
                <w:sz w:val="20"/>
                <w:szCs w:val="22"/>
              </w:rPr>
            </w:pPr>
            <w:r w:rsidRPr="004761E0">
              <w:rPr>
                <w:sz w:val="20"/>
                <w:szCs w:val="22"/>
              </w:rPr>
              <w:t>2012</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2013</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«МОЭСК»</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И.о. генерального директора, Председатель Правления</w:t>
            </w:r>
          </w:p>
        </w:tc>
      </w:tr>
      <w:tr w:rsidR="00670B18" w:rsidRPr="004761E0" w:rsidTr="006B4FAE">
        <w:tc>
          <w:tcPr>
            <w:tcW w:w="851" w:type="dxa"/>
            <w:shd w:val="clear" w:color="auto" w:fill="auto"/>
          </w:tcPr>
          <w:p w:rsidR="00670B18" w:rsidRPr="004761E0" w:rsidRDefault="00670B18" w:rsidP="006B4FAE">
            <w:pPr>
              <w:ind w:firstLine="0"/>
              <w:jc w:val="left"/>
              <w:rPr>
                <w:sz w:val="20"/>
                <w:szCs w:val="22"/>
              </w:rPr>
            </w:pPr>
            <w:r w:rsidRPr="004761E0">
              <w:rPr>
                <w:sz w:val="20"/>
                <w:szCs w:val="22"/>
              </w:rPr>
              <w:t>2013</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«МОЭСК»</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Генеральный директор, Председатель Правления, член Совета директоров</w:t>
            </w:r>
          </w:p>
        </w:tc>
      </w:tr>
      <w:tr w:rsidR="00670B18" w:rsidRPr="004761E0" w:rsidTr="006B4FAE">
        <w:tblPrEx>
          <w:tblLook w:val="04A0"/>
        </w:tblPrEx>
        <w:tc>
          <w:tcPr>
            <w:tcW w:w="14459" w:type="dxa"/>
            <w:gridSpan w:val="4"/>
          </w:tcPr>
          <w:p w:rsidR="00670B18" w:rsidRPr="004761E0" w:rsidRDefault="00670B18" w:rsidP="006B4FAE">
            <w:pPr>
              <w:ind w:firstLine="0"/>
              <w:jc w:val="left"/>
              <w:rPr>
                <w:bCs/>
                <w:iCs/>
                <w:sz w:val="20"/>
                <w:szCs w:val="26"/>
                <w:lang w:eastAsia="ru-RU"/>
              </w:rPr>
            </w:pPr>
            <w:r w:rsidRPr="004761E0">
              <w:rPr>
                <w:sz w:val="20"/>
                <w:szCs w:val="26"/>
                <w:lang w:eastAsia="ru-RU"/>
              </w:rPr>
              <w:t>Иная информация</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Доли участия в уставном капитале Общества/обыкновенных акций:</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долей не имеет</w:t>
            </w:r>
            <w:r w:rsidRPr="004761E0">
              <w:rPr>
                <w:sz w:val="20"/>
                <w:szCs w:val="26"/>
                <w:lang w:eastAsia="ru-RU"/>
              </w:rPr>
              <w:t>.</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Доли участия лица в уставном (складочном) капитале (паевом фонде) дочерних и зависимых обществ Общества:</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долей не имеет</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Сведения о характере любых родственных связей с иными лицами, входящими в состав органов управления Общества и/или органов контроля за финансово-хозяйственной деятельностью Общества:</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Указанных родственных связей у лица нет.</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к указанным видам ответственности не привлекалось</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lastRenderedPageBreak/>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должностей не занимало.</w:t>
            </w:r>
          </w:p>
        </w:tc>
      </w:tr>
      <w:tr w:rsidR="00670B18" w:rsidRPr="004761E0" w:rsidTr="006B4FAE">
        <w:tblPrEx>
          <w:tblLook w:val="04A0"/>
        </w:tblPrEx>
        <w:tc>
          <w:tcPr>
            <w:tcW w:w="9923" w:type="dxa"/>
            <w:gridSpan w:val="3"/>
          </w:tcPr>
          <w:p w:rsidR="00670B18" w:rsidRPr="00670B18" w:rsidRDefault="00670B18" w:rsidP="00670B18">
            <w:pPr>
              <w:ind w:firstLine="0"/>
              <w:jc w:val="left"/>
              <w:rPr>
                <w:sz w:val="20"/>
                <w:szCs w:val="26"/>
                <w:lang w:eastAsia="ru-RU"/>
              </w:rPr>
            </w:pPr>
            <w:r w:rsidRPr="00670B18">
              <w:rPr>
                <w:sz w:val="20"/>
                <w:szCs w:val="26"/>
                <w:lang w:eastAsia="ru-RU"/>
              </w:rPr>
              <w:t>Сведения о сделках по приобретению или отчуждению акций Общества в течение отчетного года</w:t>
            </w:r>
            <w:r>
              <w:rPr>
                <w:sz w:val="20"/>
                <w:szCs w:val="26"/>
                <w:lang w:eastAsia="ru-RU"/>
              </w:rPr>
              <w:t>:</w:t>
            </w:r>
          </w:p>
        </w:tc>
        <w:tc>
          <w:tcPr>
            <w:tcW w:w="4536" w:type="dxa"/>
          </w:tcPr>
          <w:p w:rsidR="00670B18" w:rsidRPr="00670B18" w:rsidRDefault="00670B18" w:rsidP="00670B18">
            <w:pPr>
              <w:ind w:firstLine="0"/>
              <w:jc w:val="left"/>
              <w:rPr>
                <w:sz w:val="20"/>
                <w:szCs w:val="26"/>
                <w:lang w:eastAsia="ru-RU"/>
              </w:rPr>
            </w:pPr>
            <w:r w:rsidRPr="00670B18">
              <w:rPr>
                <w:sz w:val="20"/>
                <w:szCs w:val="26"/>
                <w:lang w:eastAsia="ru-RU"/>
              </w:rPr>
              <w:t>Лицом указанные сделки не совершались</w:t>
            </w:r>
            <w:r>
              <w:rPr>
                <w:sz w:val="20"/>
                <w:szCs w:val="26"/>
                <w:lang w:eastAsia="ru-RU"/>
              </w:rPr>
              <w:t>.</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Наличие согласия на раскрытие дан</w:t>
            </w:r>
            <w:r>
              <w:rPr>
                <w:sz w:val="20"/>
                <w:szCs w:val="26"/>
                <w:lang w:eastAsia="ru-RU"/>
              </w:rPr>
              <w:t>ной информации в Годовом отчете:</w:t>
            </w:r>
          </w:p>
        </w:tc>
        <w:tc>
          <w:tcPr>
            <w:tcW w:w="4536" w:type="dxa"/>
          </w:tcPr>
          <w:p w:rsidR="00670B18" w:rsidRPr="004761E0" w:rsidRDefault="00670B18" w:rsidP="006B4FAE">
            <w:pPr>
              <w:ind w:firstLine="0"/>
              <w:jc w:val="left"/>
              <w:rPr>
                <w:bCs/>
                <w:iCs/>
                <w:sz w:val="20"/>
                <w:szCs w:val="26"/>
                <w:lang w:eastAsia="ru-RU"/>
              </w:rPr>
            </w:pPr>
            <w:r w:rsidRPr="004761E0">
              <w:rPr>
                <w:bCs/>
                <w:iCs/>
                <w:sz w:val="20"/>
                <w:szCs w:val="26"/>
                <w:lang w:eastAsia="ru-RU"/>
              </w:rPr>
              <w:t>Лицом дано подобное согласие.</w:t>
            </w:r>
          </w:p>
        </w:tc>
      </w:tr>
      <w:tr w:rsidR="00670B18" w:rsidRPr="004761E0" w:rsidTr="006B4FAE">
        <w:tblPrEx>
          <w:tblLook w:val="04A0"/>
        </w:tblPrEx>
        <w:tc>
          <w:tcPr>
            <w:tcW w:w="14459" w:type="dxa"/>
            <w:gridSpan w:val="4"/>
            <w:shd w:val="clear" w:color="auto" w:fill="BFBFBF"/>
          </w:tcPr>
          <w:p w:rsidR="00670B18" w:rsidRPr="004761E0" w:rsidRDefault="00670B18" w:rsidP="007076A7">
            <w:pPr>
              <w:pStyle w:val="a5"/>
              <w:numPr>
                <w:ilvl w:val="0"/>
                <w:numId w:val="275"/>
              </w:numPr>
              <w:ind w:left="601" w:hanging="567"/>
              <w:contextualSpacing w:val="0"/>
              <w:jc w:val="left"/>
              <w:rPr>
                <w:b/>
                <w:bCs/>
                <w:iCs/>
                <w:sz w:val="20"/>
                <w:szCs w:val="26"/>
                <w:lang w:eastAsia="ru-RU"/>
              </w:rPr>
            </w:pPr>
            <w:r w:rsidRPr="004761E0">
              <w:rPr>
                <w:b/>
                <w:bCs/>
                <w:iCs/>
                <w:sz w:val="20"/>
                <w:szCs w:val="26"/>
                <w:lang w:eastAsia="ru-RU"/>
              </w:rPr>
              <w:t>Шатохина Оксана Владимировна</w:t>
            </w:r>
          </w:p>
        </w:tc>
      </w:tr>
      <w:tr w:rsidR="00670B18" w:rsidRPr="004761E0" w:rsidTr="006B4FAE">
        <w:tblPrEx>
          <w:tblLook w:val="04A0"/>
        </w:tblPrEx>
        <w:tc>
          <w:tcPr>
            <w:tcW w:w="14459" w:type="dxa"/>
            <w:gridSpan w:val="4"/>
          </w:tcPr>
          <w:p w:rsidR="00670B18" w:rsidRPr="004761E0" w:rsidRDefault="00670B18" w:rsidP="006B4FAE">
            <w:pPr>
              <w:ind w:firstLine="0"/>
              <w:jc w:val="left"/>
              <w:rPr>
                <w:sz w:val="20"/>
                <w:szCs w:val="26"/>
                <w:lang w:eastAsia="ru-RU"/>
              </w:rPr>
            </w:pPr>
            <w:r w:rsidRPr="004761E0">
              <w:rPr>
                <w:sz w:val="20"/>
                <w:szCs w:val="26"/>
                <w:lang w:eastAsia="ru-RU"/>
              </w:rPr>
              <w:t>Все должности, занимаемые данным лицом в Обществе и других организациях за последние 5 лет и в настоящее время в хронологическом порядке, в т.ч. по совместительству:</w:t>
            </w:r>
          </w:p>
        </w:tc>
      </w:tr>
      <w:tr w:rsidR="00670B18" w:rsidRPr="004761E0" w:rsidTr="006B4FAE">
        <w:tc>
          <w:tcPr>
            <w:tcW w:w="1843" w:type="dxa"/>
            <w:gridSpan w:val="2"/>
            <w:tcBorders>
              <w:bottom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2"/>
              </w:rPr>
            </w:pPr>
            <w:r w:rsidRPr="004761E0">
              <w:rPr>
                <w:b/>
                <w:sz w:val="20"/>
                <w:szCs w:val="22"/>
              </w:rPr>
              <w:t>Период</w:t>
            </w:r>
          </w:p>
        </w:tc>
        <w:tc>
          <w:tcPr>
            <w:tcW w:w="8080" w:type="dxa"/>
            <w:vMerge w:val="restart"/>
            <w:tcBorders>
              <w:left w:val="single" w:sz="4" w:space="0" w:color="FFFFFF"/>
              <w:bottom w:val="single" w:sz="4" w:space="0" w:color="FFFFFF"/>
              <w:right w:val="single" w:sz="4" w:space="0" w:color="FFFFFF"/>
            </w:tcBorders>
            <w:shd w:val="clear" w:color="auto" w:fill="0F243E"/>
            <w:vAlign w:val="center"/>
          </w:tcPr>
          <w:p w:rsidR="00670B18" w:rsidRPr="004761E0" w:rsidRDefault="00670B18" w:rsidP="006B4FAE">
            <w:pPr>
              <w:ind w:firstLine="0"/>
              <w:jc w:val="left"/>
              <w:rPr>
                <w:b/>
                <w:sz w:val="20"/>
                <w:szCs w:val="22"/>
              </w:rPr>
            </w:pPr>
            <w:r w:rsidRPr="004761E0">
              <w:rPr>
                <w:b/>
                <w:sz w:val="20"/>
                <w:szCs w:val="22"/>
              </w:rPr>
              <w:t>Наименование организации</w:t>
            </w:r>
          </w:p>
        </w:tc>
        <w:tc>
          <w:tcPr>
            <w:tcW w:w="4536" w:type="dxa"/>
            <w:vMerge w:val="restart"/>
            <w:tcBorders>
              <w:left w:val="single" w:sz="4" w:space="0" w:color="FFFFFF"/>
              <w:bottom w:val="single" w:sz="4" w:space="0" w:color="FFFFFF"/>
            </w:tcBorders>
            <w:shd w:val="clear" w:color="auto" w:fill="0F243E"/>
            <w:vAlign w:val="center"/>
          </w:tcPr>
          <w:p w:rsidR="00670B18" w:rsidRPr="004761E0" w:rsidRDefault="00670B18" w:rsidP="006B4FAE">
            <w:pPr>
              <w:ind w:firstLine="0"/>
              <w:jc w:val="left"/>
              <w:rPr>
                <w:b/>
                <w:sz w:val="20"/>
                <w:szCs w:val="22"/>
              </w:rPr>
            </w:pPr>
            <w:r w:rsidRPr="004761E0">
              <w:rPr>
                <w:b/>
                <w:sz w:val="20"/>
                <w:szCs w:val="22"/>
              </w:rPr>
              <w:t>Должность</w:t>
            </w:r>
          </w:p>
        </w:tc>
      </w:tr>
      <w:tr w:rsidR="00670B18" w:rsidRPr="004761E0" w:rsidTr="006B4FAE">
        <w:tc>
          <w:tcPr>
            <w:tcW w:w="851" w:type="dxa"/>
            <w:tcBorders>
              <w:top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2"/>
              </w:rPr>
            </w:pPr>
            <w:r w:rsidRPr="004761E0">
              <w:rPr>
                <w:b/>
                <w:sz w:val="20"/>
                <w:szCs w:val="22"/>
              </w:rPr>
              <w:t>с</w:t>
            </w:r>
          </w:p>
        </w:tc>
        <w:tc>
          <w:tcPr>
            <w:tcW w:w="992" w:type="dxa"/>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2"/>
              </w:rPr>
            </w:pPr>
            <w:r w:rsidRPr="004761E0">
              <w:rPr>
                <w:b/>
                <w:sz w:val="20"/>
                <w:szCs w:val="22"/>
              </w:rPr>
              <w:t>по</w:t>
            </w:r>
          </w:p>
        </w:tc>
        <w:tc>
          <w:tcPr>
            <w:tcW w:w="8080" w:type="dxa"/>
            <w:vMerge/>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jc w:val="center"/>
              <w:rPr>
                <w:b/>
                <w:sz w:val="20"/>
                <w:szCs w:val="22"/>
              </w:rPr>
            </w:pPr>
          </w:p>
        </w:tc>
        <w:tc>
          <w:tcPr>
            <w:tcW w:w="4536" w:type="dxa"/>
            <w:vMerge/>
            <w:tcBorders>
              <w:top w:val="single" w:sz="4" w:space="0" w:color="FFFFFF"/>
              <w:left w:val="single" w:sz="4" w:space="0" w:color="FFFFFF"/>
            </w:tcBorders>
            <w:shd w:val="clear" w:color="auto" w:fill="0F243E"/>
            <w:vAlign w:val="center"/>
          </w:tcPr>
          <w:p w:rsidR="00670B18" w:rsidRPr="004761E0" w:rsidRDefault="00670B18" w:rsidP="006B4FAE">
            <w:pPr>
              <w:jc w:val="center"/>
              <w:rPr>
                <w:b/>
                <w:sz w:val="20"/>
                <w:szCs w:val="22"/>
              </w:rPr>
            </w:pPr>
          </w:p>
        </w:tc>
      </w:tr>
      <w:tr w:rsidR="00670B18" w:rsidRPr="004761E0" w:rsidTr="006B4FAE">
        <w:tc>
          <w:tcPr>
            <w:tcW w:w="851" w:type="dxa"/>
            <w:shd w:val="clear" w:color="auto" w:fill="auto"/>
          </w:tcPr>
          <w:p w:rsidR="00670B18" w:rsidRPr="004761E0" w:rsidRDefault="00670B18" w:rsidP="006B4FAE">
            <w:pPr>
              <w:ind w:firstLine="0"/>
              <w:jc w:val="left"/>
              <w:rPr>
                <w:sz w:val="20"/>
                <w:szCs w:val="22"/>
              </w:rPr>
            </w:pPr>
            <w:r w:rsidRPr="004761E0">
              <w:rPr>
                <w:sz w:val="20"/>
                <w:szCs w:val="22"/>
              </w:rPr>
              <w:t>2008</w:t>
            </w:r>
          </w:p>
        </w:tc>
        <w:tc>
          <w:tcPr>
            <w:tcW w:w="992" w:type="dxa"/>
            <w:shd w:val="clear" w:color="auto" w:fill="auto"/>
          </w:tcPr>
          <w:p w:rsidR="00670B18" w:rsidRPr="004761E0" w:rsidRDefault="00670B18" w:rsidP="00523797">
            <w:pPr>
              <w:ind w:firstLine="0"/>
              <w:jc w:val="left"/>
              <w:rPr>
                <w:sz w:val="20"/>
                <w:szCs w:val="22"/>
              </w:rPr>
            </w:pPr>
            <w:r w:rsidRPr="004761E0">
              <w:rPr>
                <w:sz w:val="20"/>
                <w:szCs w:val="22"/>
              </w:rPr>
              <w:t>20</w:t>
            </w:r>
            <w:r>
              <w:rPr>
                <w:sz w:val="20"/>
                <w:szCs w:val="22"/>
              </w:rPr>
              <w:t>13</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«ФСК ЕЭС»</w:t>
            </w:r>
          </w:p>
        </w:tc>
        <w:tc>
          <w:tcPr>
            <w:tcW w:w="4536" w:type="dxa"/>
            <w:shd w:val="clear" w:color="auto" w:fill="auto"/>
          </w:tcPr>
          <w:p w:rsidR="00670B18" w:rsidRPr="004761E0" w:rsidRDefault="00670B18" w:rsidP="000414BD">
            <w:pPr>
              <w:ind w:firstLine="0"/>
              <w:jc w:val="left"/>
              <w:rPr>
                <w:sz w:val="20"/>
                <w:szCs w:val="22"/>
              </w:rPr>
            </w:pPr>
            <w:r>
              <w:rPr>
                <w:sz w:val="20"/>
                <w:szCs w:val="22"/>
              </w:rPr>
              <w:t>Директор по экономике, н</w:t>
            </w:r>
            <w:r w:rsidRPr="004761E0">
              <w:rPr>
                <w:sz w:val="20"/>
                <w:szCs w:val="22"/>
              </w:rPr>
              <w:t>ачальник Департамента экономического планирования и бюджетировани</w:t>
            </w:r>
            <w:r>
              <w:rPr>
                <w:sz w:val="20"/>
                <w:szCs w:val="22"/>
              </w:rPr>
              <w:t>я, п</w:t>
            </w:r>
            <w:r w:rsidRPr="004761E0">
              <w:rPr>
                <w:sz w:val="20"/>
                <w:szCs w:val="22"/>
              </w:rPr>
              <w:t xml:space="preserve">ервый заместитель </w:t>
            </w:r>
            <w:r>
              <w:rPr>
                <w:sz w:val="20"/>
                <w:szCs w:val="22"/>
              </w:rPr>
              <w:t>н</w:t>
            </w:r>
            <w:r w:rsidRPr="004761E0">
              <w:rPr>
                <w:sz w:val="20"/>
                <w:szCs w:val="22"/>
              </w:rPr>
              <w:t>ачальника Департамента экономического планирования и бюджетирования</w:t>
            </w:r>
          </w:p>
        </w:tc>
      </w:tr>
      <w:tr w:rsidR="00670B18" w:rsidRPr="004761E0" w:rsidTr="006B4FAE">
        <w:tc>
          <w:tcPr>
            <w:tcW w:w="851" w:type="dxa"/>
            <w:shd w:val="clear" w:color="auto" w:fill="auto"/>
          </w:tcPr>
          <w:p w:rsidR="00670B18" w:rsidRPr="004761E0" w:rsidRDefault="00670B18" w:rsidP="006B4FAE">
            <w:pPr>
              <w:ind w:firstLine="0"/>
              <w:jc w:val="left"/>
              <w:rPr>
                <w:sz w:val="20"/>
                <w:szCs w:val="22"/>
              </w:rPr>
            </w:pPr>
            <w:r w:rsidRPr="004761E0">
              <w:rPr>
                <w:sz w:val="20"/>
                <w:szCs w:val="22"/>
              </w:rPr>
              <w:t>2012</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«Россети»</w:t>
            </w:r>
            <w:r>
              <w:rPr>
                <w:sz w:val="20"/>
                <w:szCs w:val="22"/>
              </w:rPr>
              <w:t xml:space="preserve"> </w:t>
            </w:r>
            <w:r>
              <w:rPr>
                <w:sz w:val="20"/>
                <w:szCs w:val="20"/>
              </w:rPr>
              <w:t>(до 04.04.2013 – ОАО «Холдинг МРСК»)</w:t>
            </w:r>
          </w:p>
        </w:tc>
        <w:tc>
          <w:tcPr>
            <w:tcW w:w="4536" w:type="dxa"/>
            <w:shd w:val="clear" w:color="auto" w:fill="auto"/>
          </w:tcPr>
          <w:p w:rsidR="00670B18" w:rsidRPr="004761E0" w:rsidRDefault="00670B18" w:rsidP="000414BD">
            <w:pPr>
              <w:ind w:firstLine="0"/>
              <w:jc w:val="left"/>
              <w:rPr>
                <w:sz w:val="20"/>
                <w:szCs w:val="22"/>
              </w:rPr>
            </w:pPr>
            <w:r>
              <w:rPr>
                <w:sz w:val="20"/>
                <w:szCs w:val="22"/>
              </w:rPr>
              <w:t>Заместитель г</w:t>
            </w:r>
            <w:r w:rsidRPr="004761E0">
              <w:rPr>
                <w:sz w:val="20"/>
                <w:szCs w:val="22"/>
              </w:rPr>
              <w:t xml:space="preserve">енерального директора по экономике и финансам, </w:t>
            </w:r>
            <w:r>
              <w:rPr>
                <w:sz w:val="20"/>
                <w:szCs w:val="22"/>
              </w:rPr>
              <w:t>д</w:t>
            </w:r>
            <w:r w:rsidRPr="004761E0">
              <w:rPr>
                <w:sz w:val="20"/>
                <w:szCs w:val="22"/>
              </w:rPr>
              <w:t>иректор по экономике</w:t>
            </w:r>
          </w:p>
        </w:tc>
      </w:tr>
      <w:tr w:rsidR="00670B18" w:rsidRPr="004761E0" w:rsidTr="006B4FAE">
        <w:tc>
          <w:tcPr>
            <w:tcW w:w="851" w:type="dxa"/>
            <w:shd w:val="clear" w:color="auto" w:fill="auto"/>
          </w:tcPr>
          <w:p w:rsidR="00670B18" w:rsidRPr="004761E0" w:rsidRDefault="00670B18" w:rsidP="006B4FAE">
            <w:pPr>
              <w:ind w:firstLine="0"/>
              <w:jc w:val="left"/>
              <w:rPr>
                <w:sz w:val="20"/>
                <w:szCs w:val="22"/>
              </w:rPr>
            </w:pPr>
            <w:r w:rsidRPr="004761E0">
              <w:rPr>
                <w:sz w:val="20"/>
                <w:szCs w:val="22"/>
              </w:rPr>
              <w:t>2013</w:t>
            </w:r>
          </w:p>
        </w:tc>
        <w:tc>
          <w:tcPr>
            <w:tcW w:w="992" w:type="dxa"/>
            <w:shd w:val="clear" w:color="auto" w:fill="auto"/>
          </w:tcPr>
          <w:p w:rsidR="00670B18" w:rsidRPr="004761E0" w:rsidRDefault="00670B18" w:rsidP="006B4FAE">
            <w:pPr>
              <w:ind w:firstLine="0"/>
              <w:jc w:val="left"/>
              <w:rPr>
                <w:sz w:val="20"/>
                <w:szCs w:val="20"/>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«МОЭСК»</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Член Совета директоров</w:t>
            </w:r>
          </w:p>
        </w:tc>
      </w:tr>
      <w:tr w:rsidR="00670B18" w:rsidRPr="004761E0" w:rsidTr="006B4FAE">
        <w:tblPrEx>
          <w:tblLook w:val="04A0"/>
        </w:tblPrEx>
        <w:tc>
          <w:tcPr>
            <w:tcW w:w="14459" w:type="dxa"/>
            <w:gridSpan w:val="4"/>
          </w:tcPr>
          <w:p w:rsidR="00670B18" w:rsidRPr="004761E0" w:rsidRDefault="00670B18" w:rsidP="006B4FAE">
            <w:pPr>
              <w:ind w:firstLine="0"/>
              <w:jc w:val="left"/>
              <w:rPr>
                <w:bCs/>
                <w:iCs/>
                <w:sz w:val="20"/>
                <w:szCs w:val="26"/>
                <w:lang w:eastAsia="ru-RU"/>
              </w:rPr>
            </w:pPr>
            <w:r w:rsidRPr="004761E0">
              <w:rPr>
                <w:sz w:val="20"/>
                <w:szCs w:val="26"/>
                <w:lang w:eastAsia="ru-RU"/>
              </w:rPr>
              <w:t>Иная информация</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Доли участия в уставном капитале Общества/обыкновенных акций:</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долей не имеет</w:t>
            </w:r>
            <w:r w:rsidRPr="004761E0">
              <w:rPr>
                <w:sz w:val="20"/>
                <w:szCs w:val="26"/>
                <w:lang w:eastAsia="ru-RU"/>
              </w:rPr>
              <w:t>.</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Доли участия лица в уставном (складочном) капитале (паевом фонде) дочерних и зависимых обществ Общества:</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долей не имеет</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Сведения о характере любых родственных связей с иными лицами, входящими в состав органов управления Общества и/или органов контроля за финансово-хозяйственной деятельностью Общества:</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Указанных родственных связей у лица нет.</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к указанным видам ответственности не привлекалось</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должностей не занимало.</w:t>
            </w:r>
          </w:p>
        </w:tc>
      </w:tr>
      <w:tr w:rsidR="00670B18" w:rsidRPr="004761E0" w:rsidTr="006B4FAE">
        <w:tblPrEx>
          <w:tblLook w:val="04A0"/>
        </w:tblPrEx>
        <w:tc>
          <w:tcPr>
            <w:tcW w:w="9923" w:type="dxa"/>
            <w:gridSpan w:val="3"/>
          </w:tcPr>
          <w:p w:rsidR="00670B18" w:rsidRPr="00670B18" w:rsidRDefault="00670B18" w:rsidP="00670B18">
            <w:pPr>
              <w:ind w:firstLine="0"/>
              <w:jc w:val="left"/>
              <w:rPr>
                <w:sz w:val="20"/>
                <w:szCs w:val="26"/>
                <w:lang w:eastAsia="ru-RU"/>
              </w:rPr>
            </w:pPr>
            <w:r w:rsidRPr="00670B18">
              <w:rPr>
                <w:sz w:val="20"/>
                <w:szCs w:val="26"/>
                <w:lang w:eastAsia="ru-RU"/>
              </w:rPr>
              <w:t>Сведения о сделках по приобретению или отчуждению акций Общества в течение отчетного года</w:t>
            </w:r>
            <w:r>
              <w:rPr>
                <w:sz w:val="20"/>
                <w:szCs w:val="26"/>
                <w:lang w:eastAsia="ru-RU"/>
              </w:rPr>
              <w:t>:</w:t>
            </w:r>
          </w:p>
        </w:tc>
        <w:tc>
          <w:tcPr>
            <w:tcW w:w="4536" w:type="dxa"/>
          </w:tcPr>
          <w:p w:rsidR="00670B18" w:rsidRPr="00670B18" w:rsidRDefault="00670B18" w:rsidP="00670B18">
            <w:pPr>
              <w:ind w:firstLine="0"/>
              <w:jc w:val="left"/>
              <w:rPr>
                <w:sz w:val="20"/>
                <w:szCs w:val="26"/>
                <w:lang w:eastAsia="ru-RU"/>
              </w:rPr>
            </w:pPr>
            <w:r w:rsidRPr="00670B18">
              <w:rPr>
                <w:sz w:val="20"/>
                <w:szCs w:val="26"/>
                <w:lang w:eastAsia="ru-RU"/>
              </w:rPr>
              <w:t>Лицом указанные сделки не совершались</w:t>
            </w:r>
            <w:r>
              <w:rPr>
                <w:sz w:val="20"/>
                <w:szCs w:val="26"/>
                <w:lang w:eastAsia="ru-RU"/>
              </w:rPr>
              <w:t>.</w:t>
            </w:r>
          </w:p>
        </w:tc>
      </w:tr>
      <w:tr w:rsidR="00670B18" w:rsidRPr="004761E0" w:rsidTr="006B4FAE">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Наличие согласия на раскрытие дан</w:t>
            </w:r>
            <w:r>
              <w:rPr>
                <w:sz w:val="20"/>
                <w:szCs w:val="26"/>
                <w:lang w:eastAsia="ru-RU"/>
              </w:rPr>
              <w:t>ной информации в Годовом отчете:</w:t>
            </w:r>
          </w:p>
        </w:tc>
        <w:tc>
          <w:tcPr>
            <w:tcW w:w="4536" w:type="dxa"/>
          </w:tcPr>
          <w:p w:rsidR="00670B18" w:rsidRPr="004761E0" w:rsidRDefault="00670B18" w:rsidP="006B4FAE">
            <w:pPr>
              <w:ind w:firstLine="0"/>
              <w:jc w:val="left"/>
              <w:rPr>
                <w:bCs/>
                <w:iCs/>
                <w:sz w:val="20"/>
                <w:szCs w:val="26"/>
                <w:lang w:eastAsia="ru-RU"/>
              </w:rPr>
            </w:pPr>
            <w:r w:rsidRPr="004761E0">
              <w:rPr>
                <w:bCs/>
                <w:iCs/>
                <w:sz w:val="20"/>
                <w:szCs w:val="26"/>
                <w:lang w:eastAsia="ru-RU"/>
              </w:rPr>
              <w:t>Лицом дано подобное согласие.</w:t>
            </w:r>
          </w:p>
        </w:tc>
      </w:tr>
    </w:tbl>
    <w:p w:rsidR="006B4FAE" w:rsidRPr="002C3096" w:rsidRDefault="006B4FAE" w:rsidP="007076A7">
      <w:pPr>
        <w:pStyle w:val="a8"/>
        <w:numPr>
          <w:ilvl w:val="0"/>
          <w:numId w:val="324"/>
        </w:numPr>
        <w:tabs>
          <w:tab w:val="left" w:pos="567"/>
          <w:tab w:val="left" w:pos="993"/>
        </w:tabs>
        <w:spacing w:before="120" w:after="120"/>
        <w:ind w:left="1134" w:hanging="567"/>
        <w:jc w:val="left"/>
        <w:rPr>
          <w:rFonts w:ascii="Times New Roman" w:hAnsi="Times New Roman"/>
          <w:b/>
          <w:sz w:val="26"/>
          <w:szCs w:val="26"/>
          <w:lang w:eastAsia="ru-RU"/>
        </w:rPr>
      </w:pPr>
      <w:bookmarkStart w:id="161" w:name="_Toc385339869"/>
      <w:r w:rsidRPr="002C3096">
        <w:rPr>
          <w:rFonts w:ascii="Times New Roman" w:hAnsi="Times New Roman"/>
          <w:b/>
          <w:sz w:val="26"/>
          <w:szCs w:val="26"/>
          <w:lang w:eastAsia="ru-RU"/>
        </w:rPr>
        <w:t>Генеральный директор</w:t>
      </w:r>
      <w:bookmarkEnd w:id="161"/>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59"/>
      </w:tblGrid>
      <w:tr w:rsidR="006B4FAE" w:rsidRPr="004761E0" w:rsidTr="006B4FAE">
        <w:tc>
          <w:tcPr>
            <w:tcW w:w="14459" w:type="dxa"/>
            <w:shd w:val="clear" w:color="auto" w:fill="BFBFBF"/>
          </w:tcPr>
          <w:p w:rsidR="006B4FAE" w:rsidRPr="004761E0" w:rsidRDefault="00523797" w:rsidP="006B4FAE">
            <w:pPr>
              <w:ind w:firstLine="0"/>
              <w:rPr>
                <w:b/>
                <w:sz w:val="20"/>
                <w:szCs w:val="26"/>
                <w:lang w:eastAsia="ru-RU"/>
              </w:rPr>
            </w:pPr>
            <w:r>
              <w:rPr>
                <w:b/>
                <w:bCs/>
                <w:iCs/>
                <w:sz w:val="20"/>
                <w:szCs w:val="26"/>
                <w:lang w:eastAsia="ru-RU"/>
              </w:rPr>
              <w:t>Синютин Петр Алексеевич (П</w:t>
            </w:r>
            <w:r w:rsidR="006B4FAE" w:rsidRPr="004761E0">
              <w:rPr>
                <w:b/>
                <w:bCs/>
                <w:iCs/>
                <w:sz w:val="20"/>
                <w:szCs w:val="26"/>
                <w:lang w:eastAsia="ru-RU"/>
              </w:rPr>
              <w:t>редседатель Правления)</w:t>
            </w:r>
          </w:p>
        </w:tc>
      </w:tr>
      <w:tr w:rsidR="006B4FAE" w:rsidRPr="004761E0" w:rsidTr="006B4FAE">
        <w:tc>
          <w:tcPr>
            <w:tcW w:w="14459" w:type="dxa"/>
          </w:tcPr>
          <w:p w:rsidR="006B4FAE" w:rsidRPr="004761E0" w:rsidRDefault="006B4FAE" w:rsidP="006B4FAE">
            <w:pPr>
              <w:ind w:firstLine="0"/>
              <w:rPr>
                <w:bCs/>
                <w:iCs/>
                <w:sz w:val="20"/>
                <w:szCs w:val="26"/>
                <w:lang w:eastAsia="ru-RU"/>
              </w:rPr>
            </w:pPr>
            <w:r w:rsidRPr="004761E0">
              <w:rPr>
                <w:sz w:val="20"/>
                <w:szCs w:val="26"/>
                <w:lang w:eastAsia="ru-RU"/>
              </w:rPr>
              <w:t>Информация о генеральном директоре представлена в составе информации о Совете директоров.</w:t>
            </w:r>
          </w:p>
        </w:tc>
      </w:tr>
    </w:tbl>
    <w:p w:rsidR="006B4FAE" w:rsidRPr="002C3096" w:rsidRDefault="006B4FAE" w:rsidP="007076A7">
      <w:pPr>
        <w:pStyle w:val="a8"/>
        <w:numPr>
          <w:ilvl w:val="0"/>
          <w:numId w:val="324"/>
        </w:numPr>
        <w:tabs>
          <w:tab w:val="left" w:pos="567"/>
          <w:tab w:val="left" w:pos="993"/>
        </w:tabs>
        <w:spacing w:before="120" w:after="120"/>
        <w:ind w:left="1134" w:hanging="567"/>
        <w:jc w:val="left"/>
        <w:rPr>
          <w:rFonts w:ascii="Times New Roman" w:hAnsi="Times New Roman"/>
          <w:b/>
          <w:sz w:val="26"/>
          <w:szCs w:val="26"/>
          <w:lang w:eastAsia="ru-RU"/>
        </w:rPr>
      </w:pPr>
      <w:bookmarkStart w:id="162" w:name="_Toc385339870"/>
      <w:r w:rsidRPr="002C3096">
        <w:rPr>
          <w:rFonts w:ascii="Times New Roman" w:hAnsi="Times New Roman"/>
          <w:b/>
          <w:sz w:val="26"/>
          <w:szCs w:val="26"/>
          <w:lang w:eastAsia="ru-RU"/>
        </w:rPr>
        <w:t>Правление</w:t>
      </w:r>
      <w:bookmarkEnd w:id="162"/>
      <w:r w:rsidRPr="002C3096">
        <w:rPr>
          <w:rFonts w:ascii="Times New Roman" w:hAnsi="Times New Roman"/>
          <w:b/>
          <w:sz w:val="26"/>
          <w:szCs w:val="26"/>
          <w:lang w:eastAsia="ru-RU"/>
        </w:rPr>
        <w:t xml:space="preserve"> </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992"/>
        <w:gridCol w:w="8080"/>
        <w:gridCol w:w="4536"/>
      </w:tblGrid>
      <w:tr w:rsidR="006B4FAE" w:rsidRPr="004761E0" w:rsidTr="006D3155">
        <w:tc>
          <w:tcPr>
            <w:tcW w:w="14459"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rsidR="006B4FAE" w:rsidRPr="004761E0" w:rsidRDefault="00523797" w:rsidP="007076A7">
            <w:pPr>
              <w:pStyle w:val="a5"/>
              <w:numPr>
                <w:ilvl w:val="0"/>
                <w:numId w:val="276"/>
              </w:numPr>
              <w:ind w:left="601" w:hanging="567"/>
              <w:contextualSpacing w:val="0"/>
              <w:jc w:val="left"/>
              <w:rPr>
                <w:b/>
                <w:sz w:val="20"/>
                <w:szCs w:val="26"/>
              </w:rPr>
            </w:pPr>
            <w:r>
              <w:rPr>
                <w:b/>
                <w:bCs/>
                <w:iCs/>
                <w:sz w:val="20"/>
                <w:szCs w:val="26"/>
              </w:rPr>
              <w:lastRenderedPageBreak/>
              <w:t>Синютин Петр Алексеевич (П</w:t>
            </w:r>
            <w:r w:rsidR="006B4FAE" w:rsidRPr="004761E0">
              <w:rPr>
                <w:b/>
                <w:bCs/>
                <w:iCs/>
                <w:sz w:val="20"/>
                <w:szCs w:val="26"/>
              </w:rPr>
              <w:t>редседатель Правления)</w:t>
            </w:r>
          </w:p>
        </w:tc>
      </w:tr>
      <w:tr w:rsidR="006B4FAE" w:rsidRPr="004761E0" w:rsidTr="006D3155">
        <w:tc>
          <w:tcPr>
            <w:tcW w:w="144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B4FAE" w:rsidRPr="004761E0" w:rsidRDefault="006B4FAE" w:rsidP="006B4FAE">
            <w:pPr>
              <w:ind w:firstLine="0"/>
              <w:rPr>
                <w:sz w:val="20"/>
                <w:szCs w:val="26"/>
              </w:rPr>
            </w:pPr>
            <w:r w:rsidRPr="004761E0">
              <w:rPr>
                <w:sz w:val="20"/>
                <w:szCs w:val="26"/>
              </w:rPr>
              <w:t>Информация о Председателе Правления представлена в составе информации о Совете директоров.</w:t>
            </w:r>
          </w:p>
        </w:tc>
      </w:tr>
      <w:tr w:rsidR="006B4FAE" w:rsidRPr="004761E0" w:rsidTr="006D3155">
        <w:tc>
          <w:tcPr>
            <w:tcW w:w="14459"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rsidR="006B4FAE" w:rsidRPr="004761E0" w:rsidRDefault="006B4FAE" w:rsidP="007076A7">
            <w:pPr>
              <w:pStyle w:val="a5"/>
              <w:numPr>
                <w:ilvl w:val="0"/>
                <w:numId w:val="276"/>
              </w:numPr>
              <w:ind w:left="601" w:hanging="567"/>
              <w:contextualSpacing w:val="0"/>
              <w:jc w:val="left"/>
              <w:rPr>
                <w:b/>
                <w:bCs/>
                <w:iCs/>
                <w:sz w:val="20"/>
                <w:szCs w:val="26"/>
              </w:rPr>
            </w:pPr>
            <w:r w:rsidRPr="004761E0">
              <w:rPr>
                <w:b/>
                <w:bCs/>
                <w:iCs/>
                <w:sz w:val="20"/>
                <w:szCs w:val="26"/>
              </w:rPr>
              <w:t>Будыко Марк Леонидович</w:t>
            </w:r>
          </w:p>
        </w:tc>
      </w:tr>
      <w:tr w:rsidR="006B4FAE" w:rsidRPr="004761E0" w:rsidTr="006D3155">
        <w:tc>
          <w:tcPr>
            <w:tcW w:w="144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B4FAE" w:rsidRPr="004761E0" w:rsidRDefault="006B4FAE" w:rsidP="006B4FAE">
            <w:pPr>
              <w:ind w:firstLine="0"/>
              <w:jc w:val="left"/>
              <w:rPr>
                <w:b/>
                <w:sz w:val="20"/>
                <w:szCs w:val="22"/>
              </w:rPr>
            </w:pPr>
            <w:r w:rsidRPr="004761E0">
              <w:rPr>
                <w:sz w:val="20"/>
                <w:szCs w:val="26"/>
              </w:rPr>
              <w:t>Все должности, занимаемые данным лицом в Обществе и других организациях за последние 5 лет и в настоящее время в хронологическом порядке, в т.ч. по совместительству:</w:t>
            </w:r>
          </w:p>
        </w:tc>
      </w:tr>
      <w:tr w:rsidR="006B4FAE" w:rsidRPr="004761E0" w:rsidTr="006D3155">
        <w:tc>
          <w:tcPr>
            <w:tcW w:w="1843" w:type="dxa"/>
            <w:gridSpan w:val="2"/>
            <w:tcBorders>
              <w:top w:val="single" w:sz="4" w:space="0" w:color="auto"/>
              <w:bottom w:val="single" w:sz="4" w:space="0" w:color="FFFFFF"/>
              <w:right w:val="single" w:sz="4" w:space="0" w:color="FFFFFF"/>
            </w:tcBorders>
            <w:shd w:val="clear" w:color="auto" w:fill="0F243E"/>
            <w:vAlign w:val="center"/>
          </w:tcPr>
          <w:p w:rsidR="006B4FAE" w:rsidRPr="004761E0" w:rsidRDefault="006B4FAE" w:rsidP="006B4FAE">
            <w:pPr>
              <w:ind w:firstLine="0"/>
              <w:jc w:val="center"/>
              <w:rPr>
                <w:b/>
                <w:sz w:val="20"/>
                <w:szCs w:val="22"/>
              </w:rPr>
            </w:pPr>
            <w:r w:rsidRPr="004761E0">
              <w:rPr>
                <w:b/>
                <w:sz w:val="20"/>
                <w:szCs w:val="22"/>
              </w:rPr>
              <w:t>Период</w:t>
            </w:r>
          </w:p>
        </w:tc>
        <w:tc>
          <w:tcPr>
            <w:tcW w:w="8080" w:type="dxa"/>
            <w:vMerge w:val="restart"/>
            <w:tcBorders>
              <w:top w:val="single" w:sz="4" w:space="0" w:color="auto"/>
              <w:left w:val="single" w:sz="4" w:space="0" w:color="FFFFFF"/>
              <w:bottom w:val="single" w:sz="4" w:space="0" w:color="FFFFFF"/>
              <w:right w:val="single" w:sz="4" w:space="0" w:color="FFFFFF"/>
            </w:tcBorders>
            <w:shd w:val="clear" w:color="auto" w:fill="0F243E"/>
            <w:vAlign w:val="center"/>
          </w:tcPr>
          <w:p w:rsidR="006B4FAE" w:rsidRPr="004761E0" w:rsidRDefault="006B4FAE" w:rsidP="006B4FAE">
            <w:pPr>
              <w:ind w:firstLine="0"/>
              <w:jc w:val="left"/>
              <w:rPr>
                <w:b/>
                <w:sz w:val="20"/>
                <w:szCs w:val="22"/>
              </w:rPr>
            </w:pPr>
            <w:r w:rsidRPr="004761E0">
              <w:rPr>
                <w:b/>
                <w:sz w:val="20"/>
                <w:szCs w:val="22"/>
              </w:rPr>
              <w:t>Наименование организации</w:t>
            </w:r>
          </w:p>
        </w:tc>
        <w:tc>
          <w:tcPr>
            <w:tcW w:w="4536" w:type="dxa"/>
            <w:vMerge w:val="restart"/>
            <w:tcBorders>
              <w:top w:val="single" w:sz="4" w:space="0" w:color="auto"/>
              <w:left w:val="single" w:sz="4" w:space="0" w:color="FFFFFF"/>
              <w:bottom w:val="single" w:sz="4" w:space="0" w:color="FFFFFF"/>
            </w:tcBorders>
            <w:shd w:val="clear" w:color="auto" w:fill="0F243E"/>
            <w:vAlign w:val="center"/>
          </w:tcPr>
          <w:p w:rsidR="006B4FAE" w:rsidRPr="004761E0" w:rsidRDefault="006B4FAE" w:rsidP="006B4FAE">
            <w:pPr>
              <w:ind w:firstLine="0"/>
              <w:jc w:val="left"/>
              <w:rPr>
                <w:b/>
                <w:sz w:val="20"/>
                <w:szCs w:val="22"/>
              </w:rPr>
            </w:pPr>
            <w:r w:rsidRPr="004761E0">
              <w:rPr>
                <w:b/>
                <w:sz w:val="20"/>
                <w:szCs w:val="22"/>
              </w:rPr>
              <w:t>Должность</w:t>
            </w:r>
          </w:p>
        </w:tc>
      </w:tr>
      <w:tr w:rsidR="006B4FAE" w:rsidRPr="004761E0" w:rsidTr="006D3155">
        <w:tc>
          <w:tcPr>
            <w:tcW w:w="851" w:type="dxa"/>
            <w:tcBorders>
              <w:top w:val="single" w:sz="4" w:space="0" w:color="FFFFFF"/>
              <w:right w:val="single" w:sz="4" w:space="0" w:color="FFFFFF"/>
            </w:tcBorders>
            <w:shd w:val="clear" w:color="auto" w:fill="0F243E"/>
            <w:vAlign w:val="center"/>
          </w:tcPr>
          <w:p w:rsidR="006B4FAE" w:rsidRPr="004761E0" w:rsidRDefault="006B4FAE" w:rsidP="006B4FAE">
            <w:pPr>
              <w:ind w:firstLine="0"/>
              <w:jc w:val="center"/>
              <w:rPr>
                <w:b/>
                <w:sz w:val="20"/>
                <w:szCs w:val="22"/>
              </w:rPr>
            </w:pPr>
            <w:r w:rsidRPr="004761E0">
              <w:rPr>
                <w:b/>
                <w:sz w:val="20"/>
                <w:szCs w:val="22"/>
              </w:rPr>
              <w:t>с</w:t>
            </w:r>
          </w:p>
        </w:tc>
        <w:tc>
          <w:tcPr>
            <w:tcW w:w="992" w:type="dxa"/>
            <w:tcBorders>
              <w:top w:val="single" w:sz="4" w:space="0" w:color="FFFFFF"/>
              <w:left w:val="single" w:sz="4" w:space="0" w:color="FFFFFF"/>
              <w:right w:val="single" w:sz="4" w:space="0" w:color="FFFFFF"/>
            </w:tcBorders>
            <w:shd w:val="clear" w:color="auto" w:fill="0F243E"/>
            <w:vAlign w:val="center"/>
          </w:tcPr>
          <w:p w:rsidR="006B4FAE" w:rsidRPr="004761E0" w:rsidRDefault="006B4FAE" w:rsidP="006B4FAE">
            <w:pPr>
              <w:ind w:firstLine="0"/>
              <w:jc w:val="center"/>
              <w:rPr>
                <w:b/>
                <w:sz w:val="20"/>
                <w:szCs w:val="22"/>
              </w:rPr>
            </w:pPr>
            <w:r w:rsidRPr="004761E0">
              <w:rPr>
                <w:b/>
                <w:sz w:val="20"/>
                <w:szCs w:val="22"/>
              </w:rPr>
              <w:t>по</w:t>
            </w:r>
          </w:p>
        </w:tc>
        <w:tc>
          <w:tcPr>
            <w:tcW w:w="8080" w:type="dxa"/>
            <w:vMerge/>
            <w:tcBorders>
              <w:top w:val="single" w:sz="4" w:space="0" w:color="FFFFFF"/>
              <w:left w:val="single" w:sz="4" w:space="0" w:color="FFFFFF"/>
              <w:right w:val="single" w:sz="4" w:space="0" w:color="FFFFFF"/>
            </w:tcBorders>
            <w:shd w:val="clear" w:color="auto" w:fill="0F243E"/>
            <w:vAlign w:val="center"/>
          </w:tcPr>
          <w:p w:rsidR="006B4FAE" w:rsidRPr="004761E0" w:rsidRDefault="006B4FAE" w:rsidP="006B4FAE">
            <w:pPr>
              <w:jc w:val="center"/>
              <w:rPr>
                <w:b/>
                <w:sz w:val="20"/>
                <w:szCs w:val="22"/>
              </w:rPr>
            </w:pPr>
          </w:p>
        </w:tc>
        <w:tc>
          <w:tcPr>
            <w:tcW w:w="4536" w:type="dxa"/>
            <w:vMerge/>
            <w:tcBorders>
              <w:top w:val="single" w:sz="4" w:space="0" w:color="FFFFFF"/>
              <w:left w:val="single" w:sz="4" w:space="0" w:color="FFFFFF"/>
            </w:tcBorders>
            <w:shd w:val="clear" w:color="auto" w:fill="0F243E"/>
            <w:vAlign w:val="center"/>
          </w:tcPr>
          <w:p w:rsidR="006B4FAE" w:rsidRPr="004761E0" w:rsidRDefault="006B4FAE" w:rsidP="006B4FAE">
            <w:pPr>
              <w:jc w:val="center"/>
              <w:rPr>
                <w:b/>
                <w:sz w:val="20"/>
                <w:szCs w:val="22"/>
              </w:rPr>
            </w:pPr>
          </w:p>
        </w:tc>
      </w:tr>
      <w:tr w:rsidR="006B4FAE" w:rsidRPr="004761E0" w:rsidTr="006D3155">
        <w:tc>
          <w:tcPr>
            <w:tcW w:w="851" w:type="dxa"/>
            <w:shd w:val="clear" w:color="auto" w:fill="auto"/>
          </w:tcPr>
          <w:p w:rsidR="006B4FAE" w:rsidRPr="004761E0" w:rsidRDefault="006B4FAE" w:rsidP="006B4FAE">
            <w:pPr>
              <w:ind w:firstLine="0"/>
              <w:jc w:val="left"/>
              <w:rPr>
                <w:sz w:val="20"/>
                <w:szCs w:val="22"/>
              </w:rPr>
            </w:pPr>
            <w:r w:rsidRPr="004761E0">
              <w:rPr>
                <w:sz w:val="20"/>
                <w:szCs w:val="22"/>
              </w:rPr>
              <w:t>2007</w:t>
            </w:r>
          </w:p>
        </w:tc>
        <w:tc>
          <w:tcPr>
            <w:tcW w:w="992" w:type="dxa"/>
            <w:shd w:val="clear" w:color="auto" w:fill="auto"/>
          </w:tcPr>
          <w:p w:rsidR="006B4FAE" w:rsidRPr="004761E0" w:rsidRDefault="006B4FAE" w:rsidP="006B4FAE">
            <w:pPr>
              <w:ind w:firstLine="0"/>
              <w:jc w:val="left"/>
              <w:rPr>
                <w:sz w:val="20"/>
                <w:szCs w:val="22"/>
              </w:rPr>
            </w:pPr>
            <w:r w:rsidRPr="004761E0">
              <w:rPr>
                <w:sz w:val="20"/>
                <w:szCs w:val="22"/>
              </w:rPr>
              <w:t>2011</w:t>
            </w:r>
          </w:p>
        </w:tc>
        <w:tc>
          <w:tcPr>
            <w:tcW w:w="8080" w:type="dxa"/>
            <w:shd w:val="clear" w:color="auto" w:fill="auto"/>
          </w:tcPr>
          <w:p w:rsidR="006B4FAE" w:rsidRPr="004761E0" w:rsidRDefault="0008080E" w:rsidP="006B4FAE">
            <w:pPr>
              <w:ind w:firstLine="0"/>
              <w:jc w:val="left"/>
              <w:rPr>
                <w:sz w:val="20"/>
                <w:szCs w:val="22"/>
              </w:rPr>
            </w:pPr>
            <w:r>
              <w:rPr>
                <w:sz w:val="20"/>
                <w:szCs w:val="22"/>
              </w:rPr>
              <w:t>ООО </w:t>
            </w:r>
            <w:r w:rsidR="006B4FAE" w:rsidRPr="004761E0">
              <w:rPr>
                <w:sz w:val="20"/>
                <w:szCs w:val="22"/>
              </w:rPr>
              <w:t>«Петрогрупп»</w:t>
            </w:r>
          </w:p>
        </w:tc>
        <w:tc>
          <w:tcPr>
            <w:tcW w:w="4536" w:type="dxa"/>
            <w:shd w:val="clear" w:color="auto" w:fill="auto"/>
          </w:tcPr>
          <w:p w:rsidR="006B4FAE" w:rsidRPr="004761E0" w:rsidRDefault="006B4FAE" w:rsidP="006B4FAE">
            <w:pPr>
              <w:ind w:firstLine="0"/>
              <w:jc w:val="left"/>
              <w:rPr>
                <w:sz w:val="20"/>
                <w:szCs w:val="22"/>
              </w:rPr>
            </w:pPr>
            <w:r w:rsidRPr="004761E0">
              <w:rPr>
                <w:sz w:val="20"/>
                <w:szCs w:val="22"/>
              </w:rPr>
              <w:t>Заместитель генерального директора</w:t>
            </w:r>
          </w:p>
        </w:tc>
      </w:tr>
      <w:tr w:rsidR="006B4FAE" w:rsidRPr="004761E0" w:rsidTr="006D3155">
        <w:tc>
          <w:tcPr>
            <w:tcW w:w="851" w:type="dxa"/>
            <w:shd w:val="clear" w:color="auto" w:fill="auto"/>
          </w:tcPr>
          <w:p w:rsidR="006B4FAE" w:rsidRPr="004761E0" w:rsidRDefault="006B4FAE" w:rsidP="006B4FAE">
            <w:pPr>
              <w:ind w:firstLine="0"/>
              <w:jc w:val="left"/>
              <w:rPr>
                <w:sz w:val="20"/>
                <w:szCs w:val="22"/>
              </w:rPr>
            </w:pPr>
            <w:r w:rsidRPr="004761E0">
              <w:rPr>
                <w:sz w:val="20"/>
                <w:szCs w:val="22"/>
              </w:rPr>
              <w:t>2011</w:t>
            </w:r>
          </w:p>
        </w:tc>
        <w:tc>
          <w:tcPr>
            <w:tcW w:w="992" w:type="dxa"/>
            <w:shd w:val="clear" w:color="auto" w:fill="auto"/>
          </w:tcPr>
          <w:p w:rsidR="006B4FAE" w:rsidRPr="004761E0" w:rsidRDefault="006B4FAE" w:rsidP="006B4FAE">
            <w:pPr>
              <w:ind w:firstLine="0"/>
              <w:jc w:val="left"/>
              <w:rPr>
                <w:sz w:val="20"/>
                <w:szCs w:val="22"/>
              </w:rPr>
            </w:pPr>
            <w:r w:rsidRPr="004761E0">
              <w:rPr>
                <w:sz w:val="20"/>
                <w:szCs w:val="22"/>
              </w:rPr>
              <w:t>2011</w:t>
            </w:r>
          </w:p>
        </w:tc>
        <w:tc>
          <w:tcPr>
            <w:tcW w:w="8080" w:type="dxa"/>
            <w:shd w:val="clear" w:color="auto" w:fill="auto"/>
          </w:tcPr>
          <w:p w:rsidR="006B4FAE" w:rsidRPr="004761E0" w:rsidRDefault="0008080E" w:rsidP="006B4FAE">
            <w:pPr>
              <w:ind w:firstLine="0"/>
              <w:jc w:val="left"/>
              <w:rPr>
                <w:sz w:val="20"/>
                <w:szCs w:val="22"/>
              </w:rPr>
            </w:pPr>
            <w:r>
              <w:rPr>
                <w:sz w:val="20"/>
                <w:szCs w:val="22"/>
              </w:rPr>
              <w:t>ОАО </w:t>
            </w:r>
            <w:r w:rsidR="006B4FAE" w:rsidRPr="004761E0">
              <w:rPr>
                <w:sz w:val="20"/>
                <w:szCs w:val="22"/>
              </w:rPr>
              <w:t>«Петербургская сбытовая компания»</w:t>
            </w:r>
          </w:p>
        </w:tc>
        <w:tc>
          <w:tcPr>
            <w:tcW w:w="4536" w:type="dxa"/>
            <w:shd w:val="clear" w:color="auto" w:fill="auto"/>
          </w:tcPr>
          <w:p w:rsidR="006B4FAE" w:rsidRPr="004761E0" w:rsidRDefault="006B4FAE" w:rsidP="006B4FAE">
            <w:pPr>
              <w:ind w:firstLine="0"/>
              <w:jc w:val="left"/>
              <w:rPr>
                <w:sz w:val="20"/>
                <w:szCs w:val="22"/>
              </w:rPr>
            </w:pPr>
            <w:r w:rsidRPr="004761E0">
              <w:rPr>
                <w:sz w:val="20"/>
                <w:szCs w:val="22"/>
              </w:rPr>
              <w:t>Управляющий директор</w:t>
            </w:r>
          </w:p>
        </w:tc>
      </w:tr>
      <w:tr w:rsidR="006B4FAE" w:rsidRPr="004761E0" w:rsidTr="006D3155">
        <w:tc>
          <w:tcPr>
            <w:tcW w:w="851" w:type="dxa"/>
            <w:shd w:val="clear" w:color="auto" w:fill="auto"/>
          </w:tcPr>
          <w:p w:rsidR="006B4FAE" w:rsidRPr="004761E0" w:rsidRDefault="006B4FAE" w:rsidP="006B4FAE">
            <w:pPr>
              <w:ind w:firstLine="0"/>
              <w:jc w:val="left"/>
              <w:rPr>
                <w:sz w:val="20"/>
                <w:szCs w:val="22"/>
              </w:rPr>
            </w:pPr>
            <w:r w:rsidRPr="004761E0">
              <w:rPr>
                <w:sz w:val="20"/>
                <w:szCs w:val="22"/>
              </w:rPr>
              <w:t>2011</w:t>
            </w:r>
          </w:p>
        </w:tc>
        <w:tc>
          <w:tcPr>
            <w:tcW w:w="992" w:type="dxa"/>
            <w:shd w:val="clear" w:color="auto" w:fill="auto"/>
          </w:tcPr>
          <w:p w:rsidR="006B4FAE" w:rsidRPr="004761E0" w:rsidRDefault="006B4FAE" w:rsidP="006B4FAE">
            <w:pPr>
              <w:ind w:firstLine="0"/>
              <w:jc w:val="left"/>
              <w:rPr>
                <w:sz w:val="20"/>
                <w:szCs w:val="22"/>
              </w:rPr>
            </w:pPr>
            <w:r w:rsidRPr="004761E0">
              <w:rPr>
                <w:sz w:val="20"/>
                <w:szCs w:val="22"/>
              </w:rPr>
              <w:t>2012</w:t>
            </w:r>
          </w:p>
        </w:tc>
        <w:tc>
          <w:tcPr>
            <w:tcW w:w="8080" w:type="dxa"/>
            <w:shd w:val="clear" w:color="auto" w:fill="auto"/>
          </w:tcPr>
          <w:p w:rsidR="006B4FAE" w:rsidRPr="004761E0" w:rsidRDefault="0008080E" w:rsidP="006B4FAE">
            <w:pPr>
              <w:ind w:firstLine="0"/>
              <w:jc w:val="left"/>
              <w:rPr>
                <w:sz w:val="20"/>
                <w:szCs w:val="22"/>
              </w:rPr>
            </w:pPr>
            <w:r>
              <w:rPr>
                <w:sz w:val="20"/>
                <w:szCs w:val="22"/>
              </w:rPr>
              <w:t>ОАО </w:t>
            </w:r>
            <w:r w:rsidR="006B4FAE" w:rsidRPr="004761E0">
              <w:rPr>
                <w:sz w:val="20"/>
                <w:szCs w:val="22"/>
              </w:rPr>
              <w:t>«Объединенная энергосбытовая компания»</w:t>
            </w:r>
          </w:p>
        </w:tc>
        <w:tc>
          <w:tcPr>
            <w:tcW w:w="4536" w:type="dxa"/>
            <w:shd w:val="clear" w:color="auto" w:fill="auto"/>
          </w:tcPr>
          <w:p w:rsidR="006B4FAE" w:rsidRPr="004761E0" w:rsidRDefault="006B4FAE" w:rsidP="006B4FAE">
            <w:pPr>
              <w:ind w:firstLine="0"/>
              <w:jc w:val="left"/>
              <w:rPr>
                <w:sz w:val="20"/>
                <w:szCs w:val="22"/>
              </w:rPr>
            </w:pPr>
            <w:r w:rsidRPr="004761E0">
              <w:rPr>
                <w:sz w:val="20"/>
                <w:szCs w:val="22"/>
              </w:rPr>
              <w:t>Советник аппарата генерального директора</w:t>
            </w:r>
          </w:p>
        </w:tc>
      </w:tr>
      <w:tr w:rsidR="006B4FAE" w:rsidRPr="004761E0" w:rsidTr="006D3155">
        <w:tc>
          <w:tcPr>
            <w:tcW w:w="851" w:type="dxa"/>
            <w:shd w:val="clear" w:color="auto" w:fill="auto"/>
          </w:tcPr>
          <w:p w:rsidR="006B4FAE" w:rsidRPr="004761E0" w:rsidRDefault="006B4FAE" w:rsidP="006B4FAE">
            <w:pPr>
              <w:ind w:firstLine="0"/>
              <w:jc w:val="left"/>
              <w:rPr>
                <w:sz w:val="20"/>
                <w:szCs w:val="22"/>
              </w:rPr>
            </w:pPr>
            <w:r w:rsidRPr="004761E0">
              <w:rPr>
                <w:sz w:val="20"/>
                <w:szCs w:val="22"/>
              </w:rPr>
              <w:t>2012</w:t>
            </w:r>
          </w:p>
        </w:tc>
        <w:tc>
          <w:tcPr>
            <w:tcW w:w="992" w:type="dxa"/>
            <w:shd w:val="clear" w:color="auto" w:fill="auto"/>
          </w:tcPr>
          <w:p w:rsidR="006B4FAE" w:rsidRPr="004761E0" w:rsidRDefault="006B4FAE" w:rsidP="006B4FAE">
            <w:pPr>
              <w:ind w:firstLine="0"/>
              <w:jc w:val="left"/>
              <w:rPr>
                <w:sz w:val="20"/>
                <w:szCs w:val="22"/>
              </w:rPr>
            </w:pPr>
            <w:r w:rsidRPr="004761E0">
              <w:rPr>
                <w:sz w:val="20"/>
                <w:szCs w:val="20"/>
              </w:rPr>
              <w:t>наст.вр.</w:t>
            </w:r>
          </w:p>
        </w:tc>
        <w:tc>
          <w:tcPr>
            <w:tcW w:w="8080" w:type="dxa"/>
            <w:shd w:val="clear" w:color="auto" w:fill="auto"/>
          </w:tcPr>
          <w:p w:rsidR="006B4FAE" w:rsidRPr="004761E0" w:rsidRDefault="0008080E" w:rsidP="006B4FAE">
            <w:pPr>
              <w:ind w:firstLine="0"/>
              <w:jc w:val="left"/>
              <w:rPr>
                <w:sz w:val="20"/>
                <w:szCs w:val="22"/>
              </w:rPr>
            </w:pPr>
            <w:r>
              <w:rPr>
                <w:sz w:val="20"/>
                <w:szCs w:val="22"/>
              </w:rPr>
              <w:t>ОАО </w:t>
            </w:r>
            <w:r w:rsidR="006B4FAE" w:rsidRPr="004761E0">
              <w:rPr>
                <w:sz w:val="20"/>
                <w:szCs w:val="22"/>
              </w:rPr>
              <w:t>«МОЭСК»</w:t>
            </w:r>
          </w:p>
        </w:tc>
        <w:tc>
          <w:tcPr>
            <w:tcW w:w="4536" w:type="dxa"/>
            <w:shd w:val="clear" w:color="auto" w:fill="auto"/>
          </w:tcPr>
          <w:p w:rsidR="006B4FAE" w:rsidRPr="004761E0" w:rsidRDefault="006B4FAE" w:rsidP="006B4FAE">
            <w:pPr>
              <w:ind w:firstLine="0"/>
              <w:jc w:val="left"/>
              <w:rPr>
                <w:sz w:val="20"/>
                <w:szCs w:val="22"/>
              </w:rPr>
            </w:pPr>
            <w:r w:rsidRPr="004761E0">
              <w:rPr>
                <w:sz w:val="20"/>
                <w:szCs w:val="22"/>
              </w:rPr>
              <w:t>Заместитель генерального директора по логистике и МТО, член Правления</w:t>
            </w:r>
          </w:p>
        </w:tc>
      </w:tr>
      <w:tr w:rsidR="006B4FAE" w:rsidRPr="004761E0" w:rsidTr="006D3155">
        <w:tblPrEx>
          <w:tblLook w:val="04A0"/>
        </w:tblPrEx>
        <w:tc>
          <w:tcPr>
            <w:tcW w:w="14459" w:type="dxa"/>
            <w:gridSpan w:val="4"/>
          </w:tcPr>
          <w:p w:rsidR="006B4FAE" w:rsidRPr="004761E0" w:rsidRDefault="006B4FAE" w:rsidP="006B4FAE">
            <w:pPr>
              <w:ind w:firstLine="0"/>
              <w:jc w:val="left"/>
              <w:rPr>
                <w:bCs/>
                <w:iCs/>
                <w:sz w:val="20"/>
                <w:szCs w:val="26"/>
                <w:lang w:eastAsia="ru-RU"/>
              </w:rPr>
            </w:pPr>
            <w:r w:rsidRPr="004761E0">
              <w:rPr>
                <w:bCs/>
                <w:iCs/>
                <w:sz w:val="20"/>
                <w:szCs w:val="26"/>
                <w:lang w:eastAsia="ru-RU"/>
              </w:rPr>
              <w:t>Иная информация</w:t>
            </w:r>
          </w:p>
        </w:tc>
      </w:tr>
      <w:tr w:rsidR="006B4FAE" w:rsidRPr="004761E0" w:rsidTr="006D3155">
        <w:tblPrEx>
          <w:tblLook w:val="04A0"/>
        </w:tblPrEx>
        <w:tc>
          <w:tcPr>
            <w:tcW w:w="9923" w:type="dxa"/>
            <w:gridSpan w:val="3"/>
          </w:tcPr>
          <w:p w:rsidR="006B4FAE" w:rsidRPr="004761E0" w:rsidRDefault="006B4FAE" w:rsidP="006B4FAE">
            <w:pPr>
              <w:ind w:firstLine="0"/>
              <w:jc w:val="left"/>
              <w:rPr>
                <w:sz w:val="20"/>
                <w:szCs w:val="26"/>
                <w:lang w:eastAsia="ru-RU"/>
              </w:rPr>
            </w:pPr>
            <w:r w:rsidRPr="004761E0">
              <w:rPr>
                <w:sz w:val="20"/>
                <w:szCs w:val="26"/>
                <w:lang w:eastAsia="ru-RU"/>
              </w:rPr>
              <w:t>Доли участия в уставном капитале Общества/обыкновенных акций:</w:t>
            </w:r>
          </w:p>
        </w:tc>
        <w:tc>
          <w:tcPr>
            <w:tcW w:w="4536" w:type="dxa"/>
          </w:tcPr>
          <w:p w:rsidR="006B4FAE" w:rsidRPr="004761E0" w:rsidRDefault="006B4FAE" w:rsidP="006B4FAE">
            <w:pPr>
              <w:ind w:firstLine="0"/>
              <w:jc w:val="left"/>
              <w:rPr>
                <w:sz w:val="20"/>
                <w:szCs w:val="26"/>
                <w:lang w:eastAsia="ru-RU"/>
              </w:rPr>
            </w:pPr>
            <w:r w:rsidRPr="004761E0">
              <w:rPr>
                <w:bCs/>
                <w:iCs/>
                <w:sz w:val="20"/>
                <w:szCs w:val="26"/>
                <w:lang w:eastAsia="ru-RU"/>
              </w:rPr>
              <w:t>Лицо указанных долей не имеет</w:t>
            </w:r>
            <w:r w:rsidRPr="004761E0">
              <w:rPr>
                <w:sz w:val="20"/>
                <w:szCs w:val="26"/>
                <w:lang w:eastAsia="ru-RU"/>
              </w:rPr>
              <w:t>.</w:t>
            </w:r>
          </w:p>
        </w:tc>
      </w:tr>
      <w:tr w:rsidR="006B4FAE" w:rsidRPr="004761E0" w:rsidTr="006D3155">
        <w:tblPrEx>
          <w:tblLook w:val="04A0"/>
        </w:tblPrEx>
        <w:tc>
          <w:tcPr>
            <w:tcW w:w="9923" w:type="dxa"/>
            <w:gridSpan w:val="3"/>
          </w:tcPr>
          <w:p w:rsidR="006B4FAE" w:rsidRPr="004761E0" w:rsidRDefault="006B4FAE" w:rsidP="006B4FAE">
            <w:pPr>
              <w:ind w:firstLine="0"/>
              <w:jc w:val="left"/>
              <w:rPr>
                <w:sz w:val="20"/>
                <w:szCs w:val="26"/>
                <w:lang w:eastAsia="ru-RU"/>
              </w:rPr>
            </w:pPr>
            <w:r w:rsidRPr="004761E0">
              <w:rPr>
                <w:sz w:val="20"/>
                <w:szCs w:val="26"/>
                <w:lang w:eastAsia="ru-RU"/>
              </w:rPr>
              <w:t>Доли участия лица в уставном (складочном) капитале (паевом фонде) дочерних и зависимых обществ Общества:</w:t>
            </w:r>
          </w:p>
        </w:tc>
        <w:tc>
          <w:tcPr>
            <w:tcW w:w="4536" w:type="dxa"/>
          </w:tcPr>
          <w:p w:rsidR="006B4FAE" w:rsidRPr="004761E0" w:rsidRDefault="006B4FAE" w:rsidP="006B4FAE">
            <w:pPr>
              <w:ind w:firstLine="0"/>
              <w:jc w:val="left"/>
              <w:rPr>
                <w:sz w:val="20"/>
                <w:szCs w:val="26"/>
                <w:lang w:eastAsia="ru-RU"/>
              </w:rPr>
            </w:pPr>
            <w:r w:rsidRPr="004761E0">
              <w:rPr>
                <w:bCs/>
                <w:iCs/>
                <w:sz w:val="20"/>
                <w:szCs w:val="26"/>
                <w:lang w:eastAsia="ru-RU"/>
              </w:rPr>
              <w:t>Лицо указанных долей не имеет</w:t>
            </w:r>
          </w:p>
        </w:tc>
      </w:tr>
      <w:tr w:rsidR="006B4FAE" w:rsidRPr="004761E0" w:rsidTr="006D3155">
        <w:tblPrEx>
          <w:tblLook w:val="04A0"/>
        </w:tblPrEx>
        <w:tc>
          <w:tcPr>
            <w:tcW w:w="9923" w:type="dxa"/>
            <w:gridSpan w:val="3"/>
          </w:tcPr>
          <w:p w:rsidR="006B4FAE" w:rsidRPr="004761E0" w:rsidRDefault="006B4FAE" w:rsidP="006B4FAE">
            <w:pPr>
              <w:ind w:firstLine="0"/>
              <w:jc w:val="left"/>
              <w:rPr>
                <w:sz w:val="20"/>
                <w:szCs w:val="26"/>
                <w:lang w:eastAsia="ru-RU"/>
              </w:rPr>
            </w:pPr>
            <w:r w:rsidRPr="004761E0">
              <w:rPr>
                <w:sz w:val="20"/>
                <w:szCs w:val="26"/>
                <w:lang w:eastAsia="ru-RU"/>
              </w:rPr>
              <w:t>Сведения о характере любых родственных связей с иными лицами, входящими в состав органов управления Общества и/или органов контроля за финансово-хозяйственной деятельностью Общества:</w:t>
            </w:r>
          </w:p>
        </w:tc>
        <w:tc>
          <w:tcPr>
            <w:tcW w:w="4536" w:type="dxa"/>
          </w:tcPr>
          <w:p w:rsidR="006B4FAE" w:rsidRPr="004761E0" w:rsidRDefault="006B4FAE" w:rsidP="006B4FAE">
            <w:pPr>
              <w:ind w:firstLine="0"/>
              <w:jc w:val="left"/>
              <w:rPr>
                <w:sz w:val="20"/>
                <w:szCs w:val="26"/>
                <w:lang w:eastAsia="ru-RU"/>
              </w:rPr>
            </w:pPr>
            <w:r w:rsidRPr="004761E0">
              <w:rPr>
                <w:bCs/>
                <w:iCs/>
                <w:sz w:val="20"/>
                <w:szCs w:val="26"/>
                <w:lang w:eastAsia="ru-RU"/>
              </w:rPr>
              <w:t>Указанных родственных связей у лица нет.</w:t>
            </w:r>
          </w:p>
        </w:tc>
      </w:tr>
      <w:tr w:rsidR="006B4FAE" w:rsidRPr="004761E0" w:rsidTr="006D3155">
        <w:tblPrEx>
          <w:tblLook w:val="04A0"/>
        </w:tblPrEx>
        <w:tc>
          <w:tcPr>
            <w:tcW w:w="9923" w:type="dxa"/>
            <w:gridSpan w:val="3"/>
          </w:tcPr>
          <w:p w:rsidR="006B4FAE" w:rsidRPr="004761E0" w:rsidRDefault="006B4FAE" w:rsidP="006B4FAE">
            <w:pPr>
              <w:ind w:firstLine="0"/>
              <w:jc w:val="left"/>
              <w:rPr>
                <w:sz w:val="20"/>
                <w:szCs w:val="26"/>
                <w:lang w:eastAsia="ru-RU"/>
              </w:rPr>
            </w:pPr>
            <w:r w:rsidRPr="004761E0">
              <w:rPr>
                <w:sz w:val="20"/>
                <w:szCs w:val="26"/>
                <w:lang w:eastAsia="ru-RU"/>
              </w:rP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c>
        <w:tc>
          <w:tcPr>
            <w:tcW w:w="4536" w:type="dxa"/>
          </w:tcPr>
          <w:p w:rsidR="006B4FAE" w:rsidRPr="004761E0" w:rsidRDefault="006B4FAE" w:rsidP="006B4FAE">
            <w:pPr>
              <w:ind w:firstLine="0"/>
              <w:jc w:val="left"/>
              <w:rPr>
                <w:sz w:val="20"/>
                <w:szCs w:val="26"/>
                <w:lang w:eastAsia="ru-RU"/>
              </w:rPr>
            </w:pPr>
            <w:r w:rsidRPr="004761E0">
              <w:rPr>
                <w:bCs/>
                <w:iCs/>
                <w:sz w:val="20"/>
                <w:szCs w:val="26"/>
                <w:lang w:eastAsia="ru-RU"/>
              </w:rPr>
              <w:t>Лицо к указанным видам ответственности не привлекалось</w:t>
            </w:r>
          </w:p>
        </w:tc>
      </w:tr>
      <w:tr w:rsidR="006B4FAE" w:rsidRPr="004761E0" w:rsidTr="006D3155">
        <w:tblPrEx>
          <w:tblLook w:val="04A0"/>
        </w:tblPrEx>
        <w:tc>
          <w:tcPr>
            <w:tcW w:w="9923" w:type="dxa"/>
            <w:gridSpan w:val="3"/>
          </w:tcPr>
          <w:p w:rsidR="006B4FAE" w:rsidRPr="004761E0" w:rsidRDefault="006B4FAE" w:rsidP="006B4FAE">
            <w:pPr>
              <w:ind w:firstLine="0"/>
              <w:jc w:val="left"/>
              <w:rPr>
                <w:sz w:val="20"/>
                <w:szCs w:val="26"/>
                <w:lang w:eastAsia="ru-RU"/>
              </w:rPr>
            </w:pPr>
            <w:r w:rsidRPr="004761E0">
              <w:rPr>
                <w:sz w:val="20"/>
                <w:szCs w:val="26"/>
                <w:lang w:eastAsia="ru-RU"/>
              </w:rP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tc>
        <w:tc>
          <w:tcPr>
            <w:tcW w:w="4536" w:type="dxa"/>
          </w:tcPr>
          <w:p w:rsidR="006B4FAE" w:rsidRPr="004761E0" w:rsidRDefault="006B4FAE" w:rsidP="006B4FAE">
            <w:pPr>
              <w:ind w:firstLine="0"/>
              <w:jc w:val="left"/>
              <w:rPr>
                <w:sz w:val="20"/>
                <w:szCs w:val="26"/>
                <w:lang w:eastAsia="ru-RU"/>
              </w:rPr>
            </w:pPr>
            <w:r w:rsidRPr="004761E0">
              <w:rPr>
                <w:bCs/>
                <w:iCs/>
                <w:sz w:val="20"/>
                <w:szCs w:val="26"/>
                <w:lang w:eastAsia="ru-RU"/>
              </w:rPr>
              <w:t>Лицо указанных должностей не занимало.</w:t>
            </w:r>
          </w:p>
        </w:tc>
      </w:tr>
      <w:tr w:rsidR="00670B18" w:rsidRPr="004761E0" w:rsidTr="006D3155">
        <w:tblPrEx>
          <w:tblLook w:val="04A0"/>
        </w:tblPrEx>
        <w:tc>
          <w:tcPr>
            <w:tcW w:w="9923" w:type="dxa"/>
            <w:gridSpan w:val="3"/>
          </w:tcPr>
          <w:p w:rsidR="00670B18" w:rsidRPr="00670B18" w:rsidRDefault="00670B18" w:rsidP="00670B18">
            <w:pPr>
              <w:ind w:firstLine="0"/>
              <w:jc w:val="left"/>
              <w:rPr>
                <w:sz w:val="20"/>
                <w:szCs w:val="26"/>
                <w:lang w:eastAsia="ru-RU"/>
              </w:rPr>
            </w:pPr>
            <w:r w:rsidRPr="00670B18">
              <w:rPr>
                <w:sz w:val="20"/>
                <w:szCs w:val="26"/>
                <w:lang w:eastAsia="ru-RU"/>
              </w:rPr>
              <w:t>Сведения о сделках по приобретению или отчуждению акций Общества в течение отчетного года</w:t>
            </w:r>
            <w:r>
              <w:rPr>
                <w:sz w:val="20"/>
                <w:szCs w:val="26"/>
                <w:lang w:eastAsia="ru-RU"/>
              </w:rPr>
              <w:t>:</w:t>
            </w:r>
          </w:p>
        </w:tc>
        <w:tc>
          <w:tcPr>
            <w:tcW w:w="4536" w:type="dxa"/>
          </w:tcPr>
          <w:p w:rsidR="00670B18" w:rsidRPr="00670B18" w:rsidRDefault="00670B18" w:rsidP="00670B18">
            <w:pPr>
              <w:ind w:firstLine="0"/>
              <w:jc w:val="left"/>
              <w:rPr>
                <w:sz w:val="20"/>
                <w:szCs w:val="26"/>
                <w:lang w:eastAsia="ru-RU"/>
              </w:rPr>
            </w:pPr>
            <w:r w:rsidRPr="00670B18">
              <w:rPr>
                <w:sz w:val="20"/>
                <w:szCs w:val="26"/>
                <w:lang w:eastAsia="ru-RU"/>
              </w:rPr>
              <w:t>Лицом указанные сделки не совершались</w:t>
            </w:r>
            <w:r>
              <w:rPr>
                <w:sz w:val="20"/>
                <w:szCs w:val="26"/>
                <w:lang w:eastAsia="ru-RU"/>
              </w:rPr>
              <w:t>.</w:t>
            </w:r>
          </w:p>
        </w:tc>
      </w:tr>
      <w:tr w:rsidR="00670B18" w:rsidRPr="004761E0" w:rsidTr="006D3155">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Наличие  согласия на раскрытие дан</w:t>
            </w:r>
            <w:r>
              <w:rPr>
                <w:sz w:val="20"/>
                <w:szCs w:val="26"/>
                <w:lang w:eastAsia="ru-RU"/>
              </w:rPr>
              <w:t>ной информации в Годовом отчете:</w:t>
            </w:r>
          </w:p>
        </w:tc>
        <w:tc>
          <w:tcPr>
            <w:tcW w:w="4536" w:type="dxa"/>
          </w:tcPr>
          <w:p w:rsidR="00670B18" w:rsidRPr="004761E0" w:rsidRDefault="00670B18" w:rsidP="006B4FAE">
            <w:pPr>
              <w:ind w:firstLine="0"/>
              <w:jc w:val="left"/>
              <w:rPr>
                <w:bCs/>
                <w:iCs/>
                <w:sz w:val="20"/>
                <w:szCs w:val="26"/>
                <w:lang w:eastAsia="ru-RU"/>
              </w:rPr>
            </w:pPr>
            <w:r w:rsidRPr="004761E0">
              <w:rPr>
                <w:bCs/>
                <w:iCs/>
                <w:sz w:val="20"/>
                <w:szCs w:val="26"/>
                <w:lang w:eastAsia="ru-RU"/>
              </w:rPr>
              <w:t>Лицом дано подобное согласие.</w:t>
            </w:r>
          </w:p>
        </w:tc>
      </w:tr>
      <w:tr w:rsidR="00670B18" w:rsidRPr="004761E0" w:rsidTr="006D3155">
        <w:tblPrEx>
          <w:tblLook w:val="04A0"/>
        </w:tblPrEx>
        <w:tc>
          <w:tcPr>
            <w:tcW w:w="14459" w:type="dxa"/>
            <w:gridSpan w:val="4"/>
            <w:shd w:val="clear" w:color="auto" w:fill="BFBFBF"/>
          </w:tcPr>
          <w:p w:rsidR="00670B18" w:rsidRPr="004761E0" w:rsidRDefault="00670B18" w:rsidP="007076A7">
            <w:pPr>
              <w:pStyle w:val="a5"/>
              <w:numPr>
                <w:ilvl w:val="0"/>
                <w:numId w:val="276"/>
              </w:numPr>
              <w:ind w:left="601" w:hanging="567"/>
              <w:contextualSpacing w:val="0"/>
              <w:jc w:val="left"/>
              <w:rPr>
                <w:b/>
                <w:bCs/>
                <w:iCs/>
                <w:sz w:val="20"/>
                <w:szCs w:val="26"/>
                <w:lang w:eastAsia="ru-RU"/>
              </w:rPr>
            </w:pPr>
            <w:r w:rsidRPr="004761E0">
              <w:rPr>
                <w:b/>
                <w:bCs/>
                <w:iCs/>
                <w:sz w:val="20"/>
                <w:szCs w:val="26"/>
                <w:lang w:eastAsia="ru-RU"/>
              </w:rPr>
              <w:t>Буланова Ольга Леонидовна</w:t>
            </w:r>
          </w:p>
        </w:tc>
      </w:tr>
      <w:tr w:rsidR="00670B18" w:rsidRPr="004761E0" w:rsidTr="006D3155">
        <w:tblPrEx>
          <w:tblLook w:val="04A0"/>
        </w:tblPrEx>
        <w:tc>
          <w:tcPr>
            <w:tcW w:w="14459" w:type="dxa"/>
            <w:gridSpan w:val="4"/>
          </w:tcPr>
          <w:p w:rsidR="00670B18" w:rsidRPr="004761E0" w:rsidRDefault="00670B18" w:rsidP="006B4FAE">
            <w:pPr>
              <w:ind w:firstLine="0"/>
              <w:jc w:val="left"/>
              <w:rPr>
                <w:bCs/>
                <w:iCs/>
                <w:sz w:val="20"/>
                <w:szCs w:val="26"/>
                <w:lang w:eastAsia="ru-RU"/>
              </w:rPr>
            </w:pPr>
            <w:r w:rsidRPr="004761E0">
              <w:rPr>
                <w:sz w:val="20"/>
                <w:szCs w:val="26"/>
                <w:lang w:eastAsia="ru-RU"/>
              </w:rPr>
              <w:t>Все должности, занимаемые данным лицом в Обществе и других организациях за последние 5 лет и в настоящее время в хронологическом порядке, в т.ч. по совместительству:</w:t>
            </w:r>
          </w:p>
        </w:tc>
      </w:tr>
      <w:tr w:rsidR="00670B18" w:rsidRPr="004761E0" w:rsidTr="006D3155">
        <w:tc>
          <w:tcPr>
            <w:tcW w:w="1843" w:type="dxa"/>
            <w:gridSpan w:val="2"/>
            <w:tcBorders>
              <w:bottom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2"/>
              </w:rPr>
            </w:pPr>
            <w:r w:rsidRPr="004761E0">
              <w:rPr>
                <w:b/>
                <w:sz w:val="20"/>
                <w:szCs w:val="22"/>
              </w:rPr>
              <w:t>Период</w:t>
            </w:r>
          </w:p>
        </w:tc>
        <w:tc>
          <w:tcPr>
            <w:tcW w:w="8080" w:type="dxa"/>
            <w:vMerge w:val="restart"/>
            <w:tcBorders>
              <w:left w:val="single" w:sz="4" w:space="0" w:color="FFFFFF"/>
              <w:bottom w:val="single" w:sz="4" w:space="0" w:color="FFFFFF"/>
              <w:right w:val="single" w:sz="4" w:space="0" w:color="FFFFFF"/>
            </w:tcBorders>
            <w:shd w:val="clear" w:color="auto" w:fill="0F243E"/>
            <w:vAlign w:val="center"/>
          </w:tcPr>
          <w:p w:rsidR="00670B18" w:rsidRPr="004761E0" w:rsidRDefault="00670B18" w:rsidP="006B4FAE">
            <w:pPr>
              <w:ind w:firstLine="0"/>
              <w:jc w:val="left"/>
              <w:rPr>
                <w:b/>
                <w:sz w:val="20"/>
                <w:szCs w:val="22"/>
              </w:rPr>
            </w:pPr>
            <w:r w:rsidRPr="004761E0">
              <w:rPr>
                <w:b/>
                <w:sz w:val="20"/>
                <w:szCs w:val="22"/>
              </w:rPr>
              <w:t>Наименование организации</w:t>
            </w:r>
          </w:p>
        </w:tc>
        <w:tc>
          <w:tcPr>
            <w:tcW w:w="4536" w:type="dxa"/>
            <w:vMerge w:val="restart"/>
            <w:tcBorders>
              <w:left w:val="single" w:sz="4" w:space="0" w:color="FFFFFF"/>
              <w:bottom w:val="single" w:sz="4" w:space="0" w:color="FFFFFF"/>
            </w:tcBorders>
            <w:shd w:val="clear" w:color="auto" w:fill="0F243E"/>
            <w:vAlign w:val="center"/>
          </w:tcPr>
          <w:p w:rsidR="00670B18" w:rsidRPr="004761E0" w:rsidRDefault="00670B18" w:rsidP="006B4FAE">
            <w:pPr>
              <w:ind w:firstLine="0"/>
              <w:jc w:val="left"/>
              <w:rPr>
                <w:b/>
                <w:sz w:val="20"/>
                <w:szCs w:val="22"/>
              </w:rPr>
            </w:pPr>
            <w:r w:rsidRPr="004761E0">
              <w:rPr>
                <w:b/>
                <w:sz w:val="20"/>
                <w:szCs w:val="22"/>
              </w:rPr>
              <w:t>Должность</w:t>
            </w:r>
          </w:p>
        </w:tc>
      </w:tr>
      <w:tr w:rsidR="00670B18" w:rsidRPr="004761E0" w:rsidTr="006D3155">
        <w:tc>
          <w:tcPr>
            <w:tcW w:w="851" w:type="dxa"/>
            <w:tcBorders>
              <w:top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2"/>
              </w:rPr>
            </w:pPr>
            <w:r w:rsidRPr="004761E0">
              <w:rPr>
                <w:b/>
                <w:sz w:val="20"/>
                <w:szCs w:val="22"/>
              </w:rPr>
              <w:t>с</w:t>
            </w:r>
          </w:p>
        </w:tc>
        <w:tc>
          <w:tcPr>
            <w:tcW w:w="992" w:type="dxa"/>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2"/>
              </w:rPr>
            </w:pPr>
            <w:r w:rsidRPr="004761E0">
              <w:rPr>
                <w:b/>
                <w:sz w:val="20"/>
                <w:szCs w:val="22"/>
              </w:rPr>
              <w:t>по</w:t>
            </w:r>
          </w:p>
        </w:tc>
        <w:tc>
          <w:tcPr>
            <w:tcW w:w="8080" w:type="dxa"/>
            <w:vMerge/>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jc w:val="center"/>
              <w:rPr>
                <w:b/>
                <w:sz w:val="20"/>
                <w:szCs w:val="22"/>
              </w:rPr>
            </w:pPr>
          </w:p>
        </w:tc>
        <w:tc>
          <w:tcPr>
            <w:tcW w:w="4536" w:type="dxa"/>
            <w:vMerge/>
            <w:tcBorders>
              <w:top w:val="single" w:sz="4" w:space="0" w:color="FFFFFF"/>
              <w:left w:val="single" w:sz="4" w:space="0" w:color="FFFFFF"/>
            </w:tcBorders>
            <w:shd w:val="clear" w:color="auto" w:fill="0F243E"/>
            <w:vAlign w:val="center"/>
          </w:tcPr>
          <w:p w:rsidR="00670B18" w:rsidRPr="004761E0" w:rsidRDefault="00670B18" w:rsidP="006B4FAE">
            <w:pPr>
              <w:jc w:val="center"/>
              <w:rPr>
                <w:b/>
                <w:sz w:val="20"/>
                <w:szCs w:val="22"/>
              </w:rPr>
            </w:pPr>
          </w:p>
        </w:tc>
      </w:tr>
      <w:tr w:rsidR="00670B18" w:rsidRPr="004761E0" w:rsidTr="006D3155">
        <w:tc>
          <w:tcPr>
            <w:tcW w:w="851" w:type="dxa"/>
            <w:shd w:val="clear" w:color="auto" w:fill="auto"/>
          </w:tcPr>
          <w:p w:rsidR="00670B18" w:rsidRPr="004761E0" w:rsidRDefault="00670B18" w:rsidP="006B4FAE">
            <w:pPr>
              <w:ind w:firstLine="0"/>
              <w:jc w:val="left"/>
              <w:rPr>
                <w:sz w:val="20"/>
                <w:szCs w:val="22"/>
              </w:rPr>
            </w:pPr>
            <w:r w:rsidRPr="004761E0">
              <w:rPr>
                <w:sz w:val="20"/>
                <w:szCs w:val="22"/>
              </w:rPr>
              <w:t>2000</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2009</w:t>
            </w:r>
          </w:p>
        </w:tc>
        <w:tc>
          <w:tcPr>
            <w:tcW w:w="8080" w:type="dxa"/>
            <w:shd w:val="clear" w:color="auto" w:fill="auto"/>
          </w:tcPr>
          <w:p w:rsidR="00670B18" w:rsidRPr="004761E0" w:rsidRDefault="00670B18" w:rsidP="006B4FAE">
            <w:pPr>
              <w:ind w:firstLine="0"/>
              <w:jc w:val="left"/>
              <w:rPr>
                <w:sz w:val="20"/>
                <w:szCs w:val="22"/>
              </w:rPr>
            </w:pPr>
            <w:r w:rsidRPr="004761E0">
              <w:rPr>
                <w:sz w:val="20"/>
                <w:szCs w:val="22"/>
              </w:rPr>
              <w:t>Группа компаний «ИНОПРОМ»</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Финансовый директор</w:t>
            </w:r>
          </w:p>
        </w:tc>
      </w:tr>
      <w:tr w:rsidR="00670B18" w:rsidRPr="004761E0" w:rsidTr="006D3155">
        <w:tc>
          <w:tcPr>
            <w:tcW w:w="851" w:type="dxa"/>
            <w:shd w:val="clear" w:color="auto" w:fill="auto"/>
          </w:tcPr>
          <w:p w:rsidR="00670B18" w:rsidRPr="004761E0" w:rsidRDefault="00670B18" w:rsidP="006B4FAE">
            <w:pPr>
              <w:ind w:firstLine="0"/>
              <w:jc w:val="left"/>
              <w:rPr>
                <w:sz w:val="20"/>
                <w:szCs w:val="22"/>
              </w:rPr>
            </w:pPr>
            <w:r w:rsidRPr="004761E0">
              <w:rPr>
                <w:sz w:val="20"/>
                <w:szCs w:val="22"/>
              </w:rPr>
              <w:t>2009</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2012</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«МОЭСК»</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Заместитель генерального директора по экономике и финансам</w:t>
            </w:r>
          </w:p>
        </w:tc>
      </w:tr>
      <w:tr w:rsidR="00670B18" w:rsidRPr="004761E0" w:rsidTr="006D3155">
        <w:tc>
          <w:tcPr>
            <w:tcW w:w="851" w:type="dxa"/>
            <w:shd w:val="clear" w:color="auto" w:fill="auto"/>
          </w:tcPr>
          <w:p w:rsidR="00670B18" w:rsidRPr="004761E0" w:rsidRDefault="00670B18" w:rsidP="006B4FAE">
            <w:pPr>
              <w:ind w:firstLine="0"/>
              <w:jc w:val="left"/>
              <w:rPr>
                <w:sz w:val="20"/>
                <w:szCs w:val="22"/>
              </w:rPr>
            </w:pPr>
            <w:r w:rsidRPr="004761E0">
              <w:rPr>
                <w:sz w:val="20"/>
                <w:szCs w:val="22"/>
              </w:rPr>
              <w:t>2012</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2013</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«МОЭСК»</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Советник</w:t>
            </w:r>
          </w:p>
        </w:tc>
      </w:tr>
      <w:tr w:rsidR="00670B18" w:rsidRPr="004761E0" w:rsidTr="006D3155">
        <w:tc>
          <w:tcPr>
            <w:tcW w:w="851" w:type="dxa"/>
            <w:shd w:val="clear" w:color="auto" w:fill="auto"/>
          </w:tcPr>
          <w:p w:rsidR="00670B18" w:rsidRPr="004761E0" w:rsidRDefault="00670B18" w:rsidP="006B4FAE">
            <w:pPr>
              <w:ind w:firstLine="0"/>
              <w:jc w:val="left"/>
              <w:rPr>
                <w:sz w:val="20"/>
                <w:szCs w:val="22"/>
              </w:rPr>
            </w:pPr>
            <w:r w:rsidRPr="004761E0">
              <w:rPr>
                <w:sz w:val="20"/>
                <w:szCs w:val="22"/>
              </w:rPr>
              <w:t>2009</w:t>
            </w:r>
          </w:p>
        </w:tc>
        <w:tc>
          <w:tcPr>
            <w:tcW w:w="992" w:type="dxa"/>
            <w:shd w:val="clear" w:color="auto" w:fill="auto"/>
          </w:tcPr>
          <w:p w:rsidR="00670B18" w:rsidRPr="004761E0" w:rsidRDefault="00670B18" w:rsidP="006B4FAE">
            <w:pPr>
              <w:ind w:firstLine="0"/>
              <w:jc w:val="left"/>
              <w:rPr>
                <w:sz w:val="20"/>
                <w:szCs w:val="22"/>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«МОЭСК»</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Член Правления</w:t>
            </w:r>
          </w:p>
        </w:tc>
      </w:tr>
      <w:tr w:rsidR="00670B18" w:rsidRPr="004761E0" w:rsidTr="006D3155">
        <w:tblPrEx>
          <w:tblLook w:val="04A0"/>
        </w:tblPrEx>
        <w:tc>
          <w:tcPr>
            <w:tcW w:w="14459" w:type="dxa"/>
            <w:gridSpan w:val="4"/>
          </w:tcPr>
          <w:p w:rsidR="00670B18" w:rsidRPr="004761E0" w:rsidRDefault="00670B18" w:rsidP="006B4FAE">
            <w:pPr>
              <w:ind w:firstLine="0"/>
              <w:jc w:val="left"/>
              <w:rPr>
                <w:bCs/>
                <w:iCs/>
                <w:sz w:val="20"/>
                <w:szCs w:val="26"/>
                <w:lang w:eastAsia="ru-RU"/>
              </w:rPr>
            </w:pPr>
            <w:r w:rsidRPr="004761E0">
              <w:rPr>
                <w:sz w:val="20"/>
                <w:szCs w:val="26"/>
                <w:lang w:eastAsia="ru-RU"/>
              </w:rPr>
              <w:t>Иная информация</w:t>
            </w:r>
          </w:p>
        </w:tc>
      </w:tr>
      <w:tr w:rsidR="00670B18" w:rsidRPr="004761E0" w:rsidTr="006D3155">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Доли участия в уставном капитале Общества/обыкновенных акций:</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долей не имеет</w:t>
            </w:r>
            <w:r w:rsidRPr="004761E0">
              <w:rPr>
                <w:sz w:val="20"/>
                <w:szCs w:val="26"/>
                <w:lang w:eastAsia="ru-RU"/>
              </w:rPr>
              <w:t>.</w:t>
            </w:r>
          </w:p>
        </w:tc>
      </w:tr>
      <w:tr w:rsidR="00670B18" w:rsidRPr="004761E0" w:rsidTr="006D3155">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lastRenderedPageBreak/>
              <w:t>Доли участия лица в уставном (складочном) капитале (паевом фонде) дочерних и зависимых обществ Общества:</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долей не имеет</w:t>
            </w:r>
          </w:p>
        </w:tc>
      </w:tr>
      <w:tr w:rsidR="00670B18" w:rsidRPr="004761E0" w:rsidTr="006D3155">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Сведения о характере любых родственных связей с иными лицами, входящими в состав органов управления Общества и/или органов контроля за финансово-хозяйственной деятельностью Общества:</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Указанных родственных связей у лица нет.</w:t>
            </w:r>
          </w:p>
        </w:tc>
      </w:tr>
      <w:tr w:rsidR="00670B18" w:rsidRPr="004761E0" w:rsidTr="006D3155">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к указанным видам ответственности не привлекалось</w:t>
            </w:r>
          </w:p>
        </w:tc>
      </w:tr>
      <w:tr w:rsidR="00670B18" w:rsidRPr="004761E0" w:rsidTr="006D3155">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должностей не занимало.</w:t>
            </w:r>
          </w:p>
        </w:tc>
      </w:tr>
      <w:tr w:rsidR="00670B18" w:rsidRPr="004761E0" w:rsidTr="006D3155">
        <w:tblPrEx>
          <w:tblLook w:val="04A0"/>
        </w:tblPrEx>
        <w:tc>
          <w:tcPr>
            <w:tcW w:w="9923" w:type="dxa"/>
            <w:gridSpan w:val="3"/>
          </w:tcPr>
          <w:p w:rsidR="00670B18" w:rsidRPr="00670B18" w:rsidRDefault="00670B18" w:rsidP="00670B18">
            <w:pPr>
              <w:ind w:firstLine="0"/>
              <w:jc w:val="left"/>
              <w:rPr>
                <w:sz w:val="20"/>
                <w:szCs w:val="26"/>
                <w:lang w:eastAsia="ru-RU"/>
              </w:rPr>
            </w:pPr>
            <w:r w:rsidRPr="00670B18">
              <w:rPr>
                <w:sz w:val="20"/>
                <w:szCs w:val="26"/>
                <w:lang w:eastAsia="ru-RU"/>
              </w:rPr>
              <w:t>Сведения о сделках по приобретению или отчуждению акций Общества в течение отчетного года</w:t>
            </w:r>
            <w:r>
              <w:rPr>
                <w:sz w:val="20"/>
                <w:szCs w:val="26"/>
                <w:lang w:eastAsia="ru-RU"/>
              </w:rPr>
              <w:t>:</w:t>
            </w:r>
          </w:p>
        </w:tc>
        <w:tc>
          <w:tcPr>
            <w:tcW w:w="4536" w:type="dxa"/>
          </w:tcPr>
          <w:p w:rsidR="00670B18" w:rsidRPr="00670B18" w:rsidRDefault="00670B18" w:rsidP="00670B18">
            <w:pPr>
              <w:ind w:firstLine="0"/>
              <w:jc w:val="left"/>
              <w:rPr>
                <w:sz w:val="20"/>
                <w:szCs w:val="26"/>
                <w:lang w:eastAsia="ru-RU"/>
              </w:rPr>
            </w:pPr>
            <w:r w:rsidRPr="00670B18">
              <w:rPr>
                <w:sz w:val="20"/>
                <w:szCs w:val="26"/>
                <w:lang w:eastAsia="ru-RU"/>
              </w:rPr>
              <w:t>Лицом указанные сделки не совершались</w:t>
            </w:r>
            <w:r>
              <w:rPr>
                <w:sz w:val="20"/>
                <w:szCs w:val="26"/>
                <w:lang w:eastAsia="ru-RU"/>
              </w:rPr>
              <w:t>.</w:t>
            </w:r>
          </w:p>
        </w:tc>
      </w:tr>
      <w:tr w:rsidR="00670B18" w:rsidRPr="004761E0" w:rsidTr="006D3155">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Наличие  согласия на раскрытие дан</w:t>
            </w:r>
            <w:r>
              <w:rPr>
                <w:sz w:val="20"/>
                <w:szCs w:val="26"/>
                <w:lang w:eastAsia="ru-RU"/>
              </w:rPr>
              <w:t>ной информации в Годовом отчете:</w:t>
            </w:r>
          </w:p>
        </w:tc>
        <w:tc>
          <w:tcPr>
            <w:tcW w:w="4536" w:type="dxa"/>
          </w:tcPr>
          <w:p w:rsidR="00670B18" w:rsidRPr="004761E0" w:rsidRDefault="00670B18" w:rsidP="006B4FAE">
            <w:pPr>
              <w:ind w:firstLine="0"/>
              <w:jc w:val="left"/>
              <w:rPr>
                <w:bCs/>
                <w:iCs/>
                <w:sz w:val="20"/>
                <w:szCs w:val="26"/>
                <w:lang w:eastAsia="ru-RU"/>
              </w:rPr>
            </w:pPr>
            <w:r w:rsidRPr="004761E0">
              <w:rPr>
                <w:bCs/>
                <w:iCs/>
                <w:sz w:val="20"/>
                <w:szCs w:val="26"/>
                <w:lang w:eastAsia="ru-RU"/>
              </w:rPr>
              <w:t>Лицом дано подобное согласие.</w:t>
            </w:r>
          </w:p>
        </w:tc>
      </w:tr>
      <w:tr w:rsidR="00670B18" w:rsidRPr="004761E0" w:rsidTr="006D3155">
        <w:tblPrEx>
          <w:tblLook w:val="04A0"/>
        </w:tblPrEx>
        <w:tc>
          <w:tcPr>
            <w:tcW w:w="14459" w:type="dxa"/>
            <w:gridSpan w:val="4"/>
            <w:shd w:val="clear" w:color="auto" w:fill="BFBFBF"/>
          </w:tcPr>
          <w:p w:rsidR="00670B18" w:rsidRPr="004761E0" w:rsidRDefault="00670B18" w:rsidP="007076A7">
            <w:pPr>
              <w:pStyle w:val="a5"/>
              <w:numPr>
                <w:ilvl w:val="0"/>
                <w:numId w:val="276"/>
              </w:numPr>
              <w:ind w:left="601" w:hanging="567"/>
              <w:contextualSpacing w:val="0"/>
              <w:jc w:val="left"/>
              <w:rPr>
                <w:b/>
                <w:bCs/>
                <w:iCs/>
                <w:sz w:val="20"/>
                <w:szCs w:val="26"/>
                <w:lang w:eastAsia="ru-RU"/>
              </w:rPr>
            </w:pPr>
            <w:r w:rsidRPr="004761E0">
              <w:rPr>
                <w:b/>
                <w:bCs/>
                <w:iCs/>
                <w:sz w:val="20"/>
                <w:szCs w:val="26"/>
                <w:lang w:eastAsia="ru-RU"/>
              </w:rPr>
              <w:t>Войнов Роман Владимирович</w:t>
            </w:r>
          </w:p>
        </w:tc>
      </w:tr>
      <w:tr w:rsidR="00670B18" w:rsidRPr="004761E0" w:rsidTr="006D3155">
        <w:tblPrEx>
          <w:tblLook w:val="04A0"/>
        </w:tblPrEx>
        <w:tc>
          <w:tcPr>
            <w:tcW w:w="14459" w:type="dxa"/>
            <w:gridSpan w:val="4"/>
          </w:tcPr>
          <w:p w:rsidR="00670B18" w:rsidRPr="004761E0" w:rsidRDefault="00670B18" w:rsidP="006B4FAE">
            <w:pPr>
              <w:ind w:firstLine="0"/>
              <w:jc w:val="left"/>
              <w:rPr>
                <w:bCs/>
                <w:iCs/>
                <w:sz w:val="20"/>
                <w:szCs w:val="26"/>
                <w:lang w:eastAsia="ru-RU"/>
              </w:rPr>
            </w:pPr>
            <w:r w:rsidRPr="004761E0">
              <w:rPr>
                <w:sz w:val="20"/>
                <w:szCs w:val="26"/>
                <w:lang w:eastAsia="ru-RU"/>
              </w:rPr>
              <w:t>Все должности, занимаемые данным лицом в Обществе и других организациях за последние 5 лет и в настоящее время в хронологическом порядке, в т.ч. по совместительству:</w:t>
            </w:r>
          </w:p>
        </w:tc>
      </w:tr>
      <w:tr w:rsidR="00670B18" w:rsidRPr="004761E0" w:rsidTr="006D3155">
        <w:tc>
          <w:tcPr>
            <w:tcW w:w="1843" w:type="dxa"/>
            <w:gridSpan w:val="2"/>
            <w:tcBorders>
              <w:bottom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2"/>
              </w:rPr>
            </w:pPr>
            <w:r w:rsidRPr="004761E0">
              <w:rPr>
                <w:b/>
                <w:sz w:val="20"/>
                <w:szCs w:val="22"/>
              </w:rPr>
              <w:t>Период</w:t>
            </w:r>
          </w:p>
        </w:tc>
        <w:tc>
          <w:tcPr>
            <w:tcW w:w="8080" w:type="dxa"/>
            <w:vMerge w:val="restart"/>
            <w:tcBorders>
              <w:left w:val="single" w:sz="4" w:space="0" w:color="FFFFFF"/>
              <w:bottom w:val="single" w:sz="4" w:space="0" w:color="FFFFFF"/>
              <w:right w:val="single" w:sz="4" w:space="0" w:color="FFFFFF"/>
            </w:tcBorders>
            <w:shd w:val="clear" w:color="auto" w:fill="0F243E"/>
            <w:vAlign w:val="center"/>
          </w:tcPr>
          <w:p w:rsidR="00670B18" w:rsidRPr="004761E0" w:rsidRDefault="00670B18" w:rsidP="006B4FAE">
            <w:pPr>
              <w:ind w:firstLine="0"/>
              <w:jc w:val="left"/>
              <w:rPr>
                <w:b/>
                <w:sz w:val="20"/>
                <w:szCs w:val="22"/>
              </w:rPr>
            </w:pPr>
            <w:r w:rsidRPr="004761E0">
              <w:rPr>
                <w:b/>
                <w:sz w:val="20"/>
                <w:szCs w:val="22"/>
              </w:rPr>
              <w:t>Наименование организации</w:t>
            </w:r>
          </w:p>
        </w:tc>
        <w:tc>
          <w:tcPr>
            <w:tcW w:w="4536" w:type="dxa"/>
            <w:vMerge w:val="restart"/>
            <w:tcBorders>
              <w:left w:val="single" w:sz="4" w:space="0" w:color="FFFFFF"/>
              <w:bottom w:val="single" w:sz="4" w:space="0" w:color="FFFFFF"/>
            </w:tcBorders>
            <w:shd w:val="clear" w:color="auto" w:fill="0F243E"/>
            <w:vAlign w:val="center"/>
          </w:tcPr>
          <w:p w:rsidR="00670B18" w:rsidRPr="004761E0" w:rsidRDefault="00670B18" w:rsidP="006B4FAE">
            <w:pPr>
              <w:ind w:firstLine="0"/>
              <w:jc w:val="left"/>
              <w:rPr>
                <w:b/>
                <w:sz w:val="20"/>
                <w:szCs w:val="22"/>
              </w:rPr>
            </w:pPr>
            <w:r w:rsidRPr="004761E0">
              <w:rPr>
                <w:b/>
                <w:sz w:val="20"/>
                <w:szCs w:val="22"/>
              </w:rPr>
              <w:t>Должность</w:t>
            </w:r>
          </w:p>
        </w:tc>
      </w:tr>
      <w:tr w:rsidR="00670B18" w:rsidRPr="004761E0" w:rsidTr="006D3155">
        <w:tc>
          <w:tcPr>
            <w:tcW w:w="851" w:type="dxa"/>
            <w:tcBorders>
              <w:top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2"/>
              </w:rPr>
            </w:pPr>
            <w:r w:rsidRPr="004761E0">
              <w:rPr>
                <w:b/>
                <w:sz w:val="20"/>
                <w:szCs w:val="22"/>
              </w:rPr>
              <w:t>с</w:t>
            </w:r>
          </w:p>
        </w:tc>
        <w:tc>
          <w:tcPr>
            <w:tcW w:w="992" w:type="dxa"/>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2"/>
              </w:rPr>
            </w:pPr>
            <w:r w:rsidRPr="004761E0">
              <w:rPr>
                <w:b/>
                <w:sz w:val="20"/>
                <w:szCs w:val="22"/>
              </w:rPr>
              <w:t>по</w:t>
            </w:r>
          </w:p>
        </w:tc>
        <w:tc>
          <w:tcPr>
            <w:tcW w:w="8080" w:type="dxa"/>
            <w:vMerge/>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jc w:val="center"/>
              <w:rPr>
                <w:b/>
                <w:sz w:val="20"/>
                <w:szCs w:val="22"/>
              </w:rPr>
            </w:pPr>
          </w:p>
        </w:tc>
        <w:tc>
          <w:tcPr>
            <w:tcW w:w="4536" w:type="dxa"/>
            <w:vMerge/>
            <w:tcBorders>
              <w:top w:val="single" w:sz="4" w:space="0" w:color="FFFFFF"/>
              <w:left w:val="single" w:sz="4" w:space="0" w:color="FFFFFF"/>
            </w:tcBorders>
            <w:shd w:val="clear" w:color="auto" w:fill="0F243E"/>
            <w:vAlign w:val="center"/>
          </w:tcPr>
          <w:p w:rsidR="00670B18" w:rsidRPr="004761E0" w:rsidRDefault="00670B18" w:rsidP="006B4FAE">
            <w:pPr>
              <w:jc w:val="center"/>
              <w:rPr>
                <w:b/>
                <w:sz w:val="20"/>
                <w:szCs w:val="22"/>
              </w:rPr>
            </w:pPr>
          </w:p>
        </w:tc>
      </w:tr>
      <w:tr w:rsidR="00670B18" w:rsidRPr="004761E0" w:rsidTr="006D3155">
        <w:tc>
          <w:tcPr>
            <w:tcW w:w="851" w:type="dxa"/>
            <w:shd w:val="clear" w:color="auto" w:fill="auto"/>
          </w:tcPr>
          <w:p w:rsidR="00670B18" w:rsidRPr="004761E0" w:rsidRDefault="00670B18" w:rsidP="006B4FAE">
            <w:pPr>
              <w:ind w:firstLine="0"/>
              <w:jc w:val="left"/>
              <w:rPr>
                <w:sz w:val="20"/>
                <w:szCs w:val="22"/>
              </w:rPr>
            </w:pPr>
            <w:r w:rsidRPr="004761E0">
              <w:rPr>
                <w:sz w:val="20"/>
                <w:szCs w:val="22"/>
              </w:rPr>
              <w:t>2007</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2013</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«МОЭСК»</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 xml:space="preserve">Заместитель генерального директора-директор филиала </w:t>
            </w:r>
            <w:r>
              <w:rPr>
                <w:sz w:val="20"/>
                <w:szCs w:val="22"/>
              </w:rPr>
              <w:t>ОАО </w:t>
            </w:r>
            <w:r w:rsidRPr="004761E0">
              <w:rPr>
                <w:sz w:val="20"/>
                <w:szCs w:val="22"/>
              </w:rPr>
              <w:t>«МОЭСК» - «Центральные электрические сети», Заместитель главного инженера по диспетчерскому управлению-начальник ЦУС, заместитель технического директора по диспетчерскому управлению-начальник ЦУС, начальник центрального диспетчерского управления, начальник центральной диспетчерской службы</w:t>
            </w:r>
          </w:p>
        </w:tc>
      </w:tr>
      <w:tr w:rsidR="00670B18" w:rsidRPr="004761E0" w:rsidTr="006D3155">
        <w:tc>
          <w:tcPr>
            <w:tcW w:w="851" w:type="dxa"/>
            <w:shd w:val="clear" w:color="auto" w:fill="auto"/>
          </w:tcPr>
          <w:p w:rsidR="00670B18" w:rsidRPr="004761E0" w:rsidRDefault="00670B18" w:rsidP="006B4FAE">
            <w:pPr>
              <w:ind w:firstLine="0"/>
              <w:jc w:val="left"/>
              <w:rPr>
                <w:sz w:val="20"/>
                <w:szCs w:val="22"/>
              </w:rPr>
            </w:pPr>
            <w:r w:rsidRPr="004761E0">
              <w:rPr>
                <w:sz w:val="20"/>
                <w:szCs w:val="22"/>
              </w:rPr>
              <w:t>2013</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2013</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«МОЭСК»</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 xml:space="preserve">Директор филиала </w:t>
            </w:r>
            <w:r>
              <w:rPr>
                <w:sz w:val="20"/>
                <w:szCs w:val="22"/>
              </w:rPr>
              <w:t>ОАО </w:t>
            </w:r>
            <w:r w:rsidRPr="004761E0">
              <w:rPr>
                <w:sz w:val="20"/>
                <w:szCs w:val="22"/>
              </w:rPr>
              <w:t>«МОЭСК» - «Центральные электрические сети»</w:t>
            </w:r>
          </w:p>
        </w:tc>
      </w:tr>
      <w:tr w:rsidR="00670B18" w:rsidRPr="004761E0" w:rsidTr="006D3155">
        <w:tc>
          <w:tcPr>
            <w:tcW w:w="851" w:type="dxa"/>
            <w:shd w:val="clear" w:color="auto" w:fill="auto"/>
          </w:tcPr>
          <w:p w:rsidR="00670B18" w:rsidRPr="004761E0" w:rsidRDefault="00670B18" w:rsidP="006B4FAE">
            <w:pPr>
              <w:ind w:firstLine="0"/>
              <w:jc w:val="left"/>
              <w:rPr>
                <w:sz w:val="20"/>
                <w:szCs w:val="22"/>
              </w:rPr>
            </w:pPr>
            <w:r w:rsidRPr="004761E0">
              <w:rPr>
                <w:sz w:val="20"/>
                <w:szCs w:val="22"/>
              </w:rPr>
              <w:t>2012</w:t>
            </w:r>
          </w:p>
        </w:tc>
        <w:tc>
          <w:tcPr>
            <w:tcW w:w="992" w:type="dxa"/>
            <w:shd w:val="clear" w:color="auto" w:fill="auto"/>
          </w:tcPr>
          <w:p w:rsidR="00670B18" w:rsidRPr="004761E0" w:rsidRDefault="00670B18" w:rsidP="006B4FAE">
            <w:pPr>
              <w:ind w:firstLine="0"/>
              <w:jc w:val="left"/>
              <w:rPr>
                <w:sz w:val="20"/>
                <w:szCs w:val="22"/>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«МОЭСК»</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Член Правления</w:t>
            </w:r>
          </w:p>
        </w:tc>
      </w:tr>
      <w:tr w:rsidR="00670B18" w:rsidRPr="004761E0" w:rsidTr="006D3155">
        <w:tc>
          <w:tcPr>
            <w:tcW w:w="851" w:type="dxa"/>
            <w:shd w:val="clear" w:color="auto" w:fill="auto"/>
          </w:tcPr>
          <w:p w:rsidR="00670B18" w:rsidRPr="004761E0" w:rsidRDefault="00670B18" w:rsidP="006B4FAE">
            <w:pPr>
              <w:ind w:firstLine="0"/>
              <w:jc w:val="left"/>
              <w:rPr>
                <w:sz w:val="20"/>
                <w:szCs w:val="22"/>
              </w:rPr>
            </w:pPr>
            <w:r w:rsidRPr="004761E0">
              <w:rPr>
                <w:sz w:val="20"/>
                <w:szCs w:val="22"/>
              </w:rPr>
              <w:t>2013</w:t>
            </w:r>
          </w:p>
        </w:tc>
        <w:tc>
          <w:tcPr>
            <w:tcW w:w="992" w:type="dxa"/>
            <w:shd w:val="clear" w:color="auto" w:fill="auto"/>
          </w:tcPr>
          <w:p w:rsidR="00670B18" w:rsidRPr="004761E0" w:rsidRDefault="00670B18" w:rsidP="006B4FAE">
            <w:pPr>
              <w:ind w:firstLine="0"/>
              <w:jc w:val="left"/>
              <w:rPr>
                <w:sz w:val="20"/>
                <w:szCs w:val="22"/>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«МОЭСК»</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 xml:space="preserve">Директор филиала </w:t>
            </w:r>
            <w:r>
              <w:rPr>
                <w:sz w:val="20"/>
                <w:szCs w:val="22"/>
              </w:rPr>
              <w:t>ОАО </w:t>
            </w:r>
            <w:r w:rsidRPr="004761E0">
              <w:rPr>
                <w:sz w:val="20"/>
                <w:szCs w:val="22"/>
              </w:rPr>
              <w:t>«МОЭСК» - «Московские кабельные сети»</w:t>
            </w:r>
          </w:p>
        </w:tc>
      </w:tr>
      <w:tr w:rsidR="00670B18" w:rsidRPr="004761E0" w:rsidTr="006D3155">
        <w:tblPrEx>
          <w:tblLook w:val="04A0"/>
        </w:tblPrEx>
        <w:tc>
          <w:tcPr>
            <w:tcW w:w="14459" w:type="dxa"/>
            <w:gridSpan w:val="4"/>
          </w:tcPr>
          <w:p w:rsidR="00670B18" w:rsidRPr="004761E0" w:rsidRDefault="00670B18" w:rsidP="006B4FAE">
            <w:pPr>
              <w:ind w:firstLine="0"/>
              <w:jc w:val="left"/>
              <w:rPr>
                <w:bCs/>
                <w:iCs/>
                <w:sz w:val="20"/>
                <w:szCs w:val="26"/>
                <w:lang w:eastAsia="ru-RU"/>
              </w:rPr>
            </w:pPr>
            <w:r w:rsidRPr="004761E0">
              <w:rPr>
                <w:sz w:val="20"/>
                <w:szCs w:val="26"/>
                <w:lang w:eastAsia="ru-RU"/>
              </w:rPr>
              <w:t>Иная информация</w:t>
            </w:r>
          </w:p>
        </w:tc>
      </w:tr>
      <w:tr w:rsidR="00670B18" w:rsidRPr="004761E0" w:rsidTr="006D3155">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Доли участия в уставном капитале Общества/обыкновенных акций:</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долей не имеет</w:t>
            </w:r>
            <w:r w:rsidRPr="004761E0">
              <w:rPr>
                <w:sz w:val="20"/>
                <w:szCs w:val="26"/>
                <w:lang w:eastAsia="ru-RU"/>
              </w:rPr>
              <w:t>.</w:t>
            </w:r>
          </w:p>
        </w:tc>
      </w:tr>
      <w:tr w:rsidR="00670B18" w:rsidRPr="004761E0" w:rsidTr="006D3155">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Доли участия лица в уставном (складочном) капитале (паевом фонде) дочерних и зависимых обществ Общества:</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долей не имеет</w:t>
            </w:r>
          </w:p>
        </w:tc>
      </w:tr>
      <w:tr w:rsidR="00670B18" w:rsidRPr="004761E0" w:rsidTr="006D3155">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Сведения о характере любых родственных связей с иными лицами, входящими в состав органов управления Общества и/или органов контроля за финансово-хозяйственной деятельностью Общества:</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Указанных родственных связей у лица нет.</w:t>
            </w:r>
          </w:p>
        </w:tc>
      </w:tr>
      <w:tr w:rsidR="00670B18" w:rsidRPr="004761E0" w:rsidTr="006D3155">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к указанным видам ответственности не привлекалось</w:t>
            </w:r>
          </w:p>
        </w:tc>
      </w:tr>
      <w:tr w:rsidR="00670B18" w:rsidRPr="004761E0" w:rsidTr="006D3155">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lastRenderedPageBreak/>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должностей не занимало.</w:t>
            </w:r>
          </w:p>
        </w:tc>
      </w:tr>
      <w:tr w:rsidR="00670B18" w:rsidRPr="004761E0" w:rsidTr="006D3155">
        <w:tblPrEx>
          <w:tblLook w:val="04A0"/>
        </w:tblPrEx>
        <w:tc>
          <w:tcPr>
            <w:tcW w:w="9923" w:type="dxa"/>
            <w:gridSpan w:val="3"/>
          </w:tcPr>
          <w:p w:rsidR="00670B18" w:rsidRPr="00670B18" w:rsidRDefault="00670B18" w:rsidP="00670B18">
            <w:pPr>
              <w:ind w:firstLine="0"/>
              <w:jc w:val="left"/>
              <w:rPr>
                <w:sz w:val="20"/>
                <w:szCs w:val="26"/>
                <w:lang w:eastAsia="ru-RU"/>
              </w:rPr>
            </w:pPr>
            <w:r w:rsidRPr="00670B18">
              <w:rPr>
                <w:sz w:val="20"/>
                <w:szCs w:val="26"/>
                <w:lang w:eastAsia="ru-RU"/>
              </w:rPr>
              <w:t>Сведения о сделках по приобретению или отчуждению акций Общества в течение отчетного года</w:t>
            </w:r>
            <w:r>
              <w:rPr>
                <w:sz w:val="20"/>
                <w:szCs w:val="26"/>
                <w:lang w:eastAsia="ru-RU"/>
              </w:rPr>
              <w:t>:</w:t>
            </w:r>
          </w:p>
        </w:tc>
        <w:tc>
          <w:tcPr>
            <w:tcW w:w="4536" w:type="dxa"/>
          </w:tcPr>
          <w:p w:rsidR="00670B18" w:rsidRPr="00670B18" w:rsidRDefault="00670B18" w:rsidP="00670B18">
            <w:pPr>
              <w:ind w:firstLine="0"/>
              <w:jc w:val="left"/>
              <w:rPr>
                <w:sz w:val="20"/>
                <w:szCs w:val="26"/>
                <w:lang w:eastAsia="ru-RU"/>
              </w:rPr>
            </w:pPr>
            <w:r w:rsidRPr="00670B18">
              <w:rPr>
                <w:sz w:val="20"/>
                <w:szCs w:val="26"/>
                <w:lang w:eastAsia="ru-RU"/>
              </w:rPr>
              <w:t>Лицом указанные сделки не совершались</w:t>
            </w:r>
            <w:r>
              <w:rPr>
                <w:sz w:val="20"/>
                <w:szCs w:val="26"/>
                <w:lang w:eastAsia="ru-RU"/>
              </w:rPr>
              <w:t>.</w:t>
            </w:r>
          </w:p>
        </w:tc>
      </w:tr>
      <w:tr w:rsidR="00670B18" w:rsidRPr="004761E0" w:rsidTr="006D3155">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Наличие  согласия на раскрытие дан</w:t>
            </w:r>
            <w:r>
              <w:rPr>
                <w:sz w:val="20"/>
                <w:szCs w:val="26"/>
                <w:lang w:eastAsia="ru-RU"/>
              </w:rPr>
              <w:t>ной информации в Годовом отчете:</w:t>
            </w:r>
          </w:p>
        </w:tc>
        <w:tc>
          <w:tcPr>
            <w:tcW w:w="4536" w:type="dxa"/>
          </w:tcPr>
          <w:p w:rsidR="00670B18" w:rsidRPr="004761E0" w:rsidRDefault="00670B18" w:rsidP="006B4FAE">
            <w:pPr>
              <w:ind w:firstLine="0"/>
              <w:jc w:val="left"/>
              <w:rPr>
                <w:bCs/>
                <w:iCs/>
                <w:sz w:val="20"/>
                <w:szCs w:val="26"/>
                <w:lang w:eastAsia="ru-RU"/>
              </w:rPr>
            </w:pPr>
            <w:r w:rsidRPr="004761E0">
              <w:rPr>
                <w:bCs/>
                <w:iCs/>
                <w:sz w:val="20"/>
                <w:szCs w:val="26"/>
                <w:lang w:eastAsia="ru-RU"/>
              </w:rPr>
              <w:t>Лицом дано подобное согласие.</w:t>
            </w:r>
          </w:p>
        </w:tc>
      </w:tr>
      <w:tr w:rsidR="00670B18" w:rsidRPr="004761E0" w:rsidTr="006D3155">
        <w:tblPrEx>
          <w:tblLook w:val="04A0"/>
        </w:tblPrEx>
        <w:tc>
          <w:tcPr>
            <w:tcW w:w="14459" w:type="dxa"/>
            <w:gridSpan w:val="4"/>
            <w:shd w:val="clear" w:color="auto" w:fill="BFBFBF"/>
          </w:tcPr>
          <w:p w:rsidR="00670B18" w:rsidRPr="004761E0" w:rsidRDefault="00670B18" w:rsidP="007076A7">
            <w:pPr>
              <w:pStyle w:val="a5"/>
              <w:numPr>
                <w:ilvl w:val="0"/>
                <w:numId w:val="276"/>
              </w:numPr>
              <w:ind w:left="601" w:hanging="567"/>
              <w:contextualSpacing w:val="0"/>
              <w:jc w:val="left"/>
              <w:rPr>
                <w:b/>
                <w:bCs/>
                <w:iCs/>
                <w:sz w:val="20"/>
                <w:szCs w:val="26"/>
                <w:lang w:eastAsia="ru-RU"/>
              </w:rPr>
            </w:pPr>
            <w:r w:rsidRPr="004761E0">
              <w:rPr>
                <w:b/>
                <w:bCs/>
                <w:iCs/>
                <w:sz w:val="20"/>
                <w:szCs w:val="26"/>
                <w:lang w:eastAsia="ru-RU"/>
              </w:rPr>
              <w:t>Иноземцев Александр Валерьевич</w:t>
            </w:r>
          </w:p>
        </w:tc>
      </w:tr>
      <w:tr w:rsidR="00670B18" w:rsidRPr="004761E0" w:rsidTr="006D3155">
        <w:tblPrEx>
          <w:tblLook w:val="04A0"/>
        </w:tblPrEx>
        <w:tc>
          <w:tcPr>
            <w:tcW w:w="14459" w:type="dxa"/>
            <w:gridSpan w:val="4"/>
          </w:tcPr>
          <w:p w:rsidR="00670B18" w:rsidRPr="004761E0" w:rsidRDefault="00670B18" w:rsidP="006B4FAE">
            <w:pPr>
              <w:ind w:firstLine="0"/>
              <w:jc w:val="left"/>
              <w:rPr>
                <w:bCs/>
                <w:iCs/>
                <w:sz w:val="20"/>
                <w:szCs w:val="26"/>
                <w:lang w:eastAsia="ru-RU"/>
              </w:rPr>
            </w:pPr>
            <w:r w:rsidRPr="004761E0">
              <w:rPr>
                <w:sz w:val="20"/>
                <w:szCs w:val="26"/>
                <w:lang w:eastAsia="ru-RU"/>
              </w:rPr>
              <w:t>Все должности, занимаемые данным лицом в Обществе и других организациях за последние 5 лет и в настоящее время в хронологическом порядке, в т.ч. по совместительству:</w:t>
            </w:r>
          </w:p>
        </w:tc>
      </w:tr>
      <w:tr w:rsidR="00670B18" w:rsidRPr="004761E0" w:rsidTr="006D3155">
        <w:tc>
          <w:tcPr>
            <w:tcW w:w="1843" w:type="dxa"/>
            <w:gridSpan w:val="2"/>
            <w:tcBorders>
              <w:bottom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2"/>
              </w:rPr>
            </w:pPr>
            <w:r w:rsidRPr="004761E0">
              <w:rPr>
                <w:b/>
                <w:sz w:val="20"/>
                <w:szCs w:val="22"/>
              </w:rPr>
              <w:t>Период</w:t>
            </w:r>
          </w:p>
        </w:tc>
        <w:tc>
          <w:tcPr>
            <w:tcW w:w="8080" w:type="dxa"/>
            <w:vMerge w:val="restart"/>
            <w:tcBorders>
              <w:left w:val="single" w:sz="4" w:space="0" w:color="FFFFFF"/>
              <w:bottom w:val="single" w:sz="4" w:space="0" w:color="FFFFFF"/>
              <w:right w:val="single" w:sz="4" w:space="0" w:color="FFFFFF"/>
            </w:tcBorders>
            <w:shd w:val="clear" w:color="auto" w:fill="0F243E"/>
            <w:vAlign w:val="center"/>
          </w:tcPr>
          <w:p w:rsidR="00670B18" w:rsidRPr="004761E0" w:rsidRDefault="00670B18" w:rsidP="006B4FAE">
            <w:pPr>
              <w:ind w:firstLine="0"/>
              <w:jc w:val="left"/>
              <w:rPr>
                <w:b/>
                <w:sz w:val="20"/>
                <w:szCs w:val="22"/>
              </w:rPr>
            </w:pPr>
            <w:r w:rsidRPr="004761E0">
              <w:rPr>
                <w:b/>
                <w:sz w:val="20"/>
                <w:szCs w:val="22"/>
              </w:rPr>
              <w:t>Наименование организации</w:t>
            </w:r>
          </w:p>
        </w:tc>
        <w:tc>
          <w:tcPr>
            <w:tcW w:w="4536" w:type="dxa"/>
            <w:vMerge w:val="restart"/>
            <w:tcBorders>
              <w:left w:val="single" w:sz="4" w:space="0" w:color="FFFFFF"/>
              <w:bottom w:val="single" w:sz="4" w:space="0" w:color="FFFFFF"/>
            </w:tcBorders>
            <w:shd w:val="clear" w:color="auto" w:fill="0F243E"/>
            <w:vAlign w:val="center"/>
          </w:tcPr>
          <w:p w:rsidR="00670B18" w:rsidRPr="004761E0" w:rsidRDefault="00670B18" w:rsidP="006B4FAE">
            <w:pPr>
              <w:ind w:firstLine="0"/>
              <w:jc w:val="left"/>
              <w:rPr>
                <w:b/>
                <w:sz w:val="20"/>
                <w:szCs w:val="22"/>
              </w:rPr>
            </w:pPr>
            <w:r w:rsidRPr="004761E0">
              <w:rPr>
                <w:b/>
                <w:sz w:val="20"/>
                <w:szCs w:val="22"/>
              </w:rPr>
              <w:t>Должность</w:t>
            </w:r>
          </w:p>
        </w:tc>
      </w:tr>
      <w:tr w:rsidR="00670B18" w:rsidRPr="004761E0" w:rsidTr="006D3155">
        <w:tc>
          <w:tcPr>
            <w:tcW w:w="851" w:type="dxa"/>
            <w:tcBorders>
              <w:top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2"/>
              </w:rPr>
            </w:pPr>
            <w:r w:rsidRPr="004761E0">
              <w:rPr>
                <w:b/>
                <w:sz w:val="20"/>
                <w:szCs w:val="22"/>
              </w:rPr>
              <w:t>с</w:t>
            </w:r>
          </w:p>
        </w:tc>
        <w:tc>
          <w:tcPr>
            <w:tcW w:w="992" w:type="dxa"/>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2"/>
              </w:rPr>
            </w:pPr>
            <w:r w:rsidRPr="004761E0">
              <w:rPr>
                <w:b/>
                <w:sz w:val="20"/>
                <w:szCs w:val="22"/>
              </w:rPr>
              <w:t>по</w:t>
            </w:r>
          </w:p>
        </w:tc>
        <w:tc>
          <w:tcPr>
            <w:tcW w:w="8080" w:type="dxa"/>
            <w:vMerge/>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jc w:val="center"/>
              <w:rPr>
                <w:sz w:val="20"/>
                <w:szCs w:val="22"/>
              </w:rPr>
            </w:pPr>
          </w:p>
        </w:tc>
        <w:tc>
          <w:tcPr>
            <w:tcW w:w="4536" w:type="dxa"/>
            <w:vMerge/>
            <w:tcBorders>
              <w:top w:val="single" w:sz="4" w:space="0" w:color="FFFFFF"/>
              <w:left w:val="single" w:sz="4" w:space="0" w:color="FFFFFF"/>
            </w:tcBorders>
            <w:shd w:val="clear" w:color="auto" w:fill="0F243E"/>
            <w:vAlign w:val="center"/>
          </w:tcPr>
          <w:p w:rsidR="00670B18" w:rsidRPr="004761E0" w:rsidRDefault="00670B18" w:rsidP="006B4FAE">
            <w:pPr>
              <w:jc w:val="center"/>
              <w:rPr>
                <w:sz w:val="20"/>
                <w:szCs w:val="22"/>
              </w:rPr>
            </w:pPr>
          </w:p>
        </w:tc>
      </w:tr>
      <w:tr w:rsidR="00670B18" w:rsidRPr="004761E0" w:rsidTr="006D3155">
        <w:tc>
          <w:tcPr>
            <w:tcW w:w="851" w:type="dxa"/>
            <w:shd w:val="clear" w:color="auto" w:fill="auto"/>
          </w:tcPr>
          <w:p w:rsidR="00670B18" w:rsidRPr="004761E0" w:rsidRDefault="00670B18" w:rsidP="006B4FAE">
            <w:pPr>
              <w:ind w:firstLine="0"/>
              <w:jc w:val="left"/>
              <w:rPr>
                <w:sz w:val="20"/>
                <w:szCs w:val="22"/>
              </w:rPr>
            </w:pPr>
            <w:r w:rsidRPr="004761E0">
              <w:rPr>
                <w:sz w:val="20"/>
                <w:szCs w:val="22"/>
              </w:rPr>
              <w:t>2008</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2009</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«СУЭК»</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Руководитель департамента экономики и тарифообразования</w:t>
            </w:r>
          </w:p>
        </w:tc>
      </w:tr>
      <w:tr w:rsidR="00670B18" w:rsidRPr="004761E0" w:rsidTr="006D3155">
        <w:tc>
          <w:tcPr>
            <w:tcW w:w="851" w:type="dxa"/>
            <w:shd w:val="clear" w:color="auto" w:fill="auto"/>
          </w:tcPr>
          <w:p w:rsidR="00670B18" w:rsidRPr="004761E0" w:rsidRDefault="00670B18" w:rsidP="006B4FAE">
            <w:pPr>
              <w:ind w:firstLine="0"/>
              <w:jc w:val="left"/>
              <w:rPr>
                <w:sz w:val="20"/>
                <w:szCs w:val="22"/>
              </w:rPr>
            </w:pPr>
            <w:r w:rsidRPr="004761E0">
              <w:rPr>
                <w:sz w:val="20"/>
                <w:szCs w:val="22"/>
              </w:rPr>
              <w:t>2009</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2011</w:t>
            </w:r>
          </w:p>
        </w:tc>
        <w:tc>
          <w:tcPr>
            <w:tcW w:w="8080" w:type="dxa"/>
            <w:shd w:val="clear" w:color="auto" w:fill="auto"/>
          </w:tcPr>
          <w:p w:rsidR="00670B18" w:rsidRPr="004761E0" w:rsidRDefault="00670B18" w:rsidP="006B4FAE">
            <w:pPr>
              <w:ind w:firstLine="0"/>
              <w:jc w:val="left"/>
              <w:rPr>
                <w:sz w:val="20"/>
                <w:szCs w:val="22"/>
              </w:rPr>
            </w:pPr>
            <w:r>
              <w:rPr>
                <w:sz w:val="20"/>
                <w:szCs w:val="22"/>
              </w:rPr>
              <w:t>ООО </w:t>
            </w:r>
            <w:r w:rsidRPr="004761E0">
              <w:rPr>
                <w:sz w:val="20"/>
                <w:szCs w:val="22"/>
              </w:rPr>
              <w:t>«УК СГК»</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Заместитель генерального директора</w:t>
            </w:r>
            <w:r w:rsidRPr="004761E0">
              <w:rPr>
                <w:sz w:val="20"/>
                <w:szCs w:val="20"/>
              </w:rPr>
              <w:t xml:space="preserve"> –</w:t>
            </w:r>
            <w:r w:rsidRPr="004761E0">
              <w:rPr>
                <w:sz w:val="20"/>
                <w:szCs w:val="22"/>
              </w:rPr>
              <w:t xml:space="preserve"> финансовый директор</w:t>
            </w:r>
          </w:p>
        </w:tc>
      </w:tr>
      <w:tr w:rsidR="00670B18" w:rsidRPr="004761E0" w:rsidTr="006D3155">
        <w:tc>
          <w:tcPr>
            <w:tcW w:w="851" w:type="dxa"/>
            <w:shd w:val="clear" w:color="auto" w:fill="auto"/>
          </w:tcPr>
          <w:p w:rsidR="00670B18" w:rsidRPr="004761E0" w:rsidRDefault="00670B18" w:rsidP="006B4FAE">
            <w:pPr>
              <w:ind w:firstLine="0"/>
              <w:jc w:val="left"/>
              <w:rPr>
                <w:sz w:val="20"/>
                <w:szCs w:val="22"/>
              </w:rPr>
            </w:pPr>
            <w:r w:rsidRPr="004761E0">
              <w:rPr>
                <w:sz w:val="20"/>
                <w:szCs w:val="22"/>
              </w:rPr>
              <w:t>2011</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2012</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«Мосэнергосбыт»</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Финансовый директор</w:t>
            </w:r>
          </w:p>
        </w:tc>
      </w:tr>
      <w:tr w:rsidR="00670B18" w:rsidRPr="004761E0" w:rsidTr="006D3155">
        <w:tc>
          <w:tcPr>
            <w:tcW w:w="851" w:type="dxa"/>
            <w:shd w:val="clear" w:color="auto" w:fill="auto"/>
          </w:tcPr>
          <w:p w:rsidR="00670B18" w:rsidRPr="004761E0" w:rsidRDefault="00670B18" w:rsidP="006B4FAE">
            <w:pPr>
              <w:ind w:firstLine="0"/>
              <w:jc w:val="left"/>
              <w:rPr>
                <w:sz w:val="20"/>
                <w:szCs w:val="22"/>
              </w:rPr>
            </w:pPr>
            <w:r w:rsidRPr="004761E0">
              <w:rPr>
                <w:sz w:val="20"/>
                <w:szCs w:val="22"/>
              </w:rPr>
              <w:t>2012</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2013</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«МОЭСК»</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Заместитель генерального директора по экономике и финансам, член Правления</w:t>
            </w:r>
          </w:p>
        </w:tc>
      </w:tr>
      <w:tr w:rsidR="00670B18" w:rsidRPr="004761E0" w:rsidTr="006D3155">
        <w:tc>
          <w:tcPr>
            <w:tcW w:w="851" w:type="dxa"/>
            <w:shd w:val="clear" w:color="auto" w:fill="auto"/>
          </w:tcPr>
          <w:p w:rsidR="00670B18" w:rsidRPr="004761E0" w:rsidRDefault="00670B18" w:rsidP="006B4FAE">
            <w:pPr>
              <w:ind w:firstLine="0"/>
              <w:jc w:val="left"/>
              <w:rPr>
                <w:sz w:val="20"/>
                <w:szCs w:val="22"/>
              </w:rPr>
            </w:pPr>
            <w:r w:rsidRPr="004761E0">
              <w:rPr>
                <w:sz w:val="20"/>
                <w:szCs w:val="22"/>
              </w:rPr>
              <w:t>2013</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2013</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«МОЭСК»</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Первый заместитель генерального директора, член Правления</w:t>
            </w:r>
          </w:p>
        </w:tc>
      </w:tr>
      <w:tr w:rsidR="00670B18" w:rsidRPr="004761E0" w:rsidTr="006D3155">
        <w:tc>
          <w:tcPr>
            <w:tcW w:w="851" w:type="dxa"/>
            <w:shd w:val="clear" w:color="auto" w:fill="auto"/>
          </w:tcPr>
          <w:p w:rsidR="00670B18" w:rsidRPr="004761E0" w:rsidRDefault="00670B18" w:rsidP="006B4FAE">
            <w:pPr>
              <w:ind w:firstLine="0"/>
              <w:jc w:val="left"/>
              <w:rPr>
                <w:sz w:val="20"/>
                <w:szCs w:val="22"/>
              </w:rPr>
            </w:pPr>
            <w:r w:rsidRPr="004761E0">
              <w:rPr>
                <w:sz w:val="20"/>
                <w:szCs w:val="22"/>
              </w:rPr>
              <w:t>2013</w:t>
            </w:r>
          </w:p>
        </w:tc>
        <w:tc>
          <w:tcPr>
            <w:tcW w:w="992" w:type="dxa"/>
            <w:shd w:val="clear" w:color="auto" w:fill="auto"/>
          </w:tcPr>
          <w:p w:rsidR="00670B18" w:rsidRPr="004761E0" w:rsidRDefault="00670B18" w:rsidP="006B4FAE">
            <w:pPr>
              <w:ind w:firstLine="0"/>
              <w:jc w:val="left"/>
              <w:rPr>
                <w:sz w:val="20"/>
                <w:szCs w:val="22"/>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«МОЭСК»</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Первый заместитель генерального директора по финансово-экономической деятельности и корпоративному управлению, член Правления</w:t>
            </w:r>
          </w:p>
        </w:tc>
      </w:tr>
      <w:tr w:rsidR="00670B18" w:rsidRPr="004761E0" w:rsidTr="006D3155">
        <w:tblPrEx>
          <w:tblLook w:val="04A0"/>
        </w:tblPrEx>
        <w:tc>
          <w:tcPr>
            <w:tcW w:w="14459" w:type="dxa"/>
            <w:gridSpan w:val="4"/>
          </w:tcPr>
          <w:p w:rsidR="00670B18" w:rsidRPr="004761E0" w:rsidRDefault="00670B18" w:rsidP="006B4FAE">
            <w:pPr>
              <w:ind w:firstLine="0"/>
              <w:jc w:val="left"/>
              <w:rPr>
                <w:bCs/>
                <w:iCs/>
                <w:sz w:val="20"/>
                <w:szCs w:val="26"/>
                <w:lang w:eastAsia="ru-RU"/>
              </w:rPr>
            </w:pPr>
            <w:r w:rsidRPr="004761E0">
              <w:rPr>
                <w:sz w:val="20"/>
                <w:szCs w:val="26"/>
                <w:lang w:eastAsia="ru-RU"/>
              </w:rPr>
              <w:t>Иная информация</w:t>
            </w:r>
          </w:p>
        </w:tc>
      </w:tr>
      <w:tr w:rsidR="00670B18" w:rsidRPr="004761E0" w:rsidTr="006D3155">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Доли участия в уставном капитале Общества/обыкновенных акций:</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долей не имеет</w:t>
            </w:r>
            <w:r w:rsidRPr="004761E0">
              <w:rPr>
                <w:sz w:val="20"/>
                <w:szCs w:val="26"/>
                <w:lang w:eastAsia="ru-RU"/>
              </w:rPr>
              <w:t>.</w:t>
            </w:r>
          </w:p>
        </w:tc>
      </w:tr>
      <w:tr w:rsidR="00670B18" w:rsidRPr="004761E0" w:rsidTr="006D3155">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Доли участия лица в уставном (складочном) капитале (паевом фонде) дочерних и зависимых обществ Общества:</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долей не имеет</w:t>
            </w:r>
          </w:p>
        </w:tc>
      </w:tr>
      <w:tr w:rsidR="00670B18" w:rsidRPr="004761E0" w:rsidTr="006D3155">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Сведения о характере любых родственных связей с иными лицами, входящими в состав органов управления Общества и/или органов контроля за финансово-хозяйственной деятельностью Общества:</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Указанных родственных связей у лица нет.</w:t>
            </w:r>
          </w:p>
        </w:tc>
      </w:tr>
      <w:tr w:rsidR="00670B18" w:rsidRPr="004761E0" w:rsidTr="006D3155">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к указанным видам ответственности не привлекалось</w:t>
            </w:r>
          </w:p>
        </w:tc>
      </w:tr>
      <w:tr w:rsidR="00670B18" w:rsidRPr="004761E0" w:rsidTr="006D3155">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должностей не занимало.</w:t>
            </w:r>
          </w:p>
        </w:tc>
      </w:tr>
      <w:tr w:rsidR="00670B18" w:rsidRPr="004761E0" w:rsidTr="006D3155">
        <w:tblPrEx>
          <w:tblLook w:val="04A0"/>
        </w:tblPrEx>
        <w:tc>
          <w:tcPr>
            <w:tcW w:w="9923" w:type="dxa"/>
            <w:gridSpan w:val="3"/>
          </w:tcPr>
          <w:p w:rsidR="00670B18" w:rsidRPr="00670B18" w:rsidRDefault="00670B18" w:rsidP="00670B18">
            <w:pPr>
              <w:ind w:firstLine="0"/>
              <w:jc w:val="left"/>
              <w:rPr>
                <w:sz w:val="20"/>
                <w:szCs w:val="26"/>
                <w:lang w:eastAsia="ru-RU"/>
              </w:rPr>
            </w:pPr>
            <w:r w:rsidRPr="00670B18">
              <w:rPr>
                <w:sz w:val="20"/>
                <w:szCs w:val="26"/>
                <w:lang w:eastAsia="ru-RU"/>
              </w:rPr>
              <w:t>Сведения о сделках по приобретению или отчуждению акций Общества в течение отчетного года</w:t>
            </w:r>
            <w:r>
              <w:rPr>
                <w:sz w:val="20"/>
                <w:szCs w:val="26"/>
                <w:lang w:eastAsia="ru-RU"/>
              </w:rPr>
              <w:t>:</w:t>
            </w:r>
          </w:p>
        </w:tc>
        <w:tc>
          <w:tcPr>
            <w:tcW w:w="4536" w:type="dxa"/>
          </w:tcPr>
          <w:p w:rsidR="00670B18" w:rsidRPr="00670B18" w:rsidRDefault="00670B18" w:rsidP="00670B18">
            <w:pPr>
              <w:ind w:firstLine="0"/>
              <w:jc w:val="left"/>
              <w:rPr>
                <w:sz w:val="20"/>
                <w:szCs w:val="26"/>
                <w:lang w:eastAsia="ru-RU"/>
              </w:rPr>
            </w:pPr>
            <w:r w:rsidRPr="00670B18">
              <w:rPr>
                <w:sz w:val="20"/>
                <w:szCs w:val="26"/>
                <w:lang w:eastAsia="ru-RU"/>
              </w:rPr>
              <w:t>Лицом указанные сделки не совершались</w:t>
            </w:r>
            <w:r>
              <w:rPr>
                <w:sz w:val="20"/>
                <w:szCs w:val="26"/>
                <w:lang w:eastAsia="ru-RU"/>
              </w:rPr>
              <w:t>.</w:t>
            </w:r>
          </w:p>
        </w:tc>
      </w:tr>
      <w:tr w:rsidR="00670B18" w:rsidRPr="004761E0" w:rsidTr="006D3155">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Наличие  согласия на раскрытие дан</w:t>
            </w:r>
            <w:r>
              <w:rPr>
                <w:sz w:val="20"/>
                <w:szCs w:val="26"/>
                <w:lang w:eastAsia="ru-RU"/>
              </w:rPr>
              <w:t>ной информации в Годовом отчете:</w:t>
            </w:r>
          </w:p>
        </w:tc>
        <w:tc>
          <w:tcPr>
            <w:tcW w:w="4536" w:type="dxa"/>
          </w:tcPr>
          <w:p w:rsidR="00670B18" w:rsidRPr="004761E0" w:rsidRDefault="00670B18" w:rsidP="006B4FAE">
            <w:pPr>
              <w:ind w:firstLine="0"/>
              <w:jc w:val="left"/>
              <w:rPr>
                <w:bCs/>
                <w:iCs/>
                <w:sz w:val="20"/>
                <w:szCs w:val="26"/>
                <w:lang w:eastAsia="ru-RU"/>
              </w:rPr>
            </w:pPr>
            <w:r w:rsidRPr="004761E0">
              <w:rPr>
                <w:bCs/>
                <w:iCs/>
                <w:sz w:val="20"/>
                <w:szCs w:val="26"/>
                <w:lang w:eastAsia="ru-RU"/>
              </w:rPr>
              <w:t>Лицом дано подобное согласие.</w:t>
            </w:r>
          </w:p>
        </w:tc>
      </w:tr>
      <w:tr w:rsidR="00670B18" w:rsidRPr="004761E0" w:rsidTr="006D3155">
        <w:tblPrEx>
          <w:tblLook w:val="04A0"/>
        </w:tblPrEx>
        <w:tc>
          <w:tcPr>
            <w:tcW w:w="14459" w:type="dxa"/>
            <w:gridSpan w:val="4"/>
            <w:shd w:val="clear" w:color="auto" w:fill="BFBFBF"/>
          </w:tcPr>
          <w:p w:rsidR="00670B18" w:rsidRPr="004761E0" w:rsidRDefault="00670B18" w:rsidP="007076A7">
            <w:pPr>
              <w:pStyle w:val="a5"/>
              <w:numPr>
                <w:ilvl w:val="0"/>
                <w:numId w:val="276"/>
              </w:numPr>
              <w:ind w:left="601" w:hanging="567"/>
              <w:contextualSpacing w:val="0"/>
              <w:jc w:val="left"/>
              <w:rPr>
                <w:b/>
                <w:bCs/>
                <w:iCs/>
                <w:sz w:val="20"/>
                <w:szCs w:val="26"/>
                <w:lang w:eastAsia="ru-RU"/>
              </w:rPr>
            </w:pPr>
            <w:r w:rsidRPr="004761E0">
              <w:rPr>
                <w:b/>
                <w:bCs/>
                <w:iCs/>
                <w:sz w:val="20"/>
                <w:szCs w:val="26"/>
                <w:lang w:eastAsia="ru-RU"/>
              </w:rPr>
              <w:t>Кадацкий Валерий Леонидович</w:t>
            </w:r>
          </w:p>
        </w:tc>
      </w:tr>
      <w:tr w:rsidR="00670B18" w:rsidRPr="004761E0" w:rsidTr="006D3155">
        <w:tblPrEx>
          <w:tblLook w:val="04A0"/>
        </w:tblPrEx>
        <w:tc>
          <w:tcPr>
            <w:tcW w:w="14459" w:type="dxa"/>
            <w:gridSpan w:val="4"/>
          </w:tcPr>
          <w:p w:rsidR="00670B18" w:rsidRPr="004761E0" w:rsidRDefault="00670B18" w:rsidP="006B4FAE">
            <w:pPr>
              <w:ind w:firstLine="0"/>
              <w:jc w:val="left"/>
              <w:rPr>
                <w:bCs/>
                <w:iCs/>
                <w:sz w:val="20"/>
                <w:szCs w:val="26"/>
                <w:lang w:eastAsia="ru-RU"/>
              </w:rPr>
            </w:pPr>
            <w:r w:rsidRPr="004761E0">
              <w:rPr>
                <w:sz w:val="20"/>
                <w:szCs w:val="26"/>
                <w:lang w:eastAsia="ru-RU"/>
              </w:rPr>
              <w:t>Все должности, занимаемые данным лицом в Обществе и других организациях за последние 5 лет и в настоящее время в хронологическом порядке, в т.ч. по совместительству:</w:t>
            </w:r>
          </w:p>
        </w:tc>
      </w:tr>
      <w:tr w:rsidR="00670B18" w:rsidRPr="004761E0" w:rsidTr="006D3155">
        <w:tc>
          <w:tcPr>
            <w:tcW w:w="1843" w:type="dxa"/>
            <w:gridSpan w:val="2"/>
            <w:tcBorders>
              <w:bottom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2"/>
              </w:rPr>
            </w:pPr>
            <w:r w:rsidRPr="004761E0">
              <w:rPr>
                <w:b/>
                <w:sz w:val="20"/>
                <w:szCs w:val="22"/>
              </w:rPr>
              <w:lastRenderedPageBreak/>
              <w:t>Период</w:t>
            </w:r>
          </w:p>
        </w:tc>
        <w:tc>
          <w:tcPr>
            <w:tcW w:w="8080" w:type="dxa"/>
            <w:vMerge w:val="restart"/>
            <w:tcBorders>
              <w:left w:val="single" w:sz="4" w:space="0" w:color="FFFFFF"/>
              <w:bottom w:val="single" w:sz="4" w:space="0" w:color="FFFFFF"/>
              <w:right w:val="single" w:sz="4" w:space="0" w:color="FFFFFF"/>
            </w:tcBorders>
            <w:shd w:val="clear" w:color="auto" w:fill="0F243E"/>
            <w:vAlign w:val="center"/>
          </w:tcPr>
          <w:p w:rsidR="00670B18" w:rsidRPr="004761E0" w:rsidRDefault="00670B18" w:rsidP="006B4FAE">
            <w:pPr>
              <w:ind w:firstLine="0"/>
              <w:rPr>
                <w:b/>
                <w:sz w:val="20"/>
                <w:szCs w:val="22"/>
              </w:rPr>
            </w:pPr>
            <w:r w:rsidRPr="004761E0">
              <w:rPr>
                <w:b/>
                <w:sz w:val="20"/>
                <w:szCs w:val="22"/>
              </w:rPr>
              <w:t>Наименование организации</w:t>
            </w:r>
          </w:p>
        </w:tc>
        <w:tc>
          <w:tcPr>
            <w:tcW w:w="4536" w:type="dxa"/>
            <w:vMerge w:val="restart"/>
            <w:tcBorders>
              <w:left w:val="single" w:sz="4" w:space="0" w:color="FFFFFF"/>
              <w:bottom w:val="single" w:sz="4" w:space="0" w:color="FFFFFF"/>
            </w:tcBorders>
            <w:shd w:val="clear" w:color="auto" w:fill="0F243E"/>
            <w:vAlign w:val="center"/>
          </w:tcPr>
          <w:p w:rsidR="00670B18" w:rsidRPr="004761E0" w:rsidRDefault="00670B18" w:rsidP="006B4FAE">
            <w:pPr>
              <w:ind w:firstLine="0"/>
              <w:rPr>
                <w:b/>
                <w:sz w:val="20"/>
                <w:szCs w:val="22"/>
              </w:rPr>
            </w:pPr>
            <w:r w:rsidRPr="004761E0">
              <w:rPr>
                <w:b/>
                <w:sz w:val="20"/>
                <w:szCs w:val="22"/>
              </w:rPr>
              <w:t>Должность</w:t>
            </w:r>
          </w:p>
        </w:tc>
      </w:tr>
      <w:tr w:rsidR="00670B18" w:rsidRPr="004761E0" w:rsidTr="006D3155">
        <w:tc>
          <w:tcPr>
            <w:tcW w:w="851" w:type="dxa"/>
            <w:tcBorders>
              <w:top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2"/>
              </w:rPr>
            </w:pPr>
            <w:r w:rsidRPr="004761E0">
              <w:rPr>
                <w:b/>
                <w:sz w:val="20"/>
                <w:szCs w:val="22"/>
              </w:rPr>
              <w:t>с</w:t>
            </w:r>
          </w:p>
        </w:tc>
        <w:tc>
          <w:tcPr>
            <w:tcW w:w="992" w:type="dxa"/>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2"/>
              </w:rPr>
            </w:pPr>
            <w:r w:rsidRPr="004761E0">
              <w:rPr>
                <w:b/>
                <w:sz w:val="20"/>
                <w:szCs w:val="22"/>
              </w:rPr>
              <w:t>по</w:t>
            </w:r>
          </w:p>
        </w:tc>
        <w:tc>
          <w:tcPr>
            <w:tcW w:w="8080" w:type="dxa"/>
            <w:vMerge/>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jc w:val="center"/>
              <w:rPr>
                <w:sz w:val="20"/>
                <w:szCs w:val="22"/>
              </w:rPr>
            </w:pPr>
          </w:p>
        </w:tc>
        <w:tc>
          <w:tcPr>
            <w:tcW w:w="4536" w:type="dxa"/>
            <w:vMerge/>
            <w:tcBorders>
              <w:top w:val="single" w:sz="4" w:space="0" w:color="FFFFFF"/>
              <w:left w:val="single" w:sz="4" w:space="0" w:color="FFFFFF"/>
            </w:tcBorders>
            <w:shd w:val="clear" w:color="auto" w:fill="0F243E"/>
            <w:vAlign w:val="center"/>
          </w:tcPr>
          <w:p w:rsidR="00670B18" w:rsidRPr="004761E0" w:rsidRDefault="00670B18" w:rsidP="006B4FAE">
            <w:pPr>
              <w:jc w:val="center"/>
              <w:rPr>
                <w:sz w:val="20"/>
                <w:szCs w:val="22"/>
              </w:rPr>
            </w:pPr>
          </w:p>
        </w:tc>
      </w:tr>
      <w:tr w:rsidR="00670B18" w:rsidRPr="004761E0" w:rsidTr="006D3155">
        <w:tc>
          <w:tcPr>
            <w:tcW w:w="851" w:type="dxa"/>
            <w:shd w:val="clear" w:color="auto" w:fill="auto"/>
          </w:tcPr>
          <w:p w:rsidR="00670B18" w:rsidRPr="004761E0" w:rsidRDefault="00670B18" w:rsidP="006B4FAE">
            <w:pPr>
              <w:ind w:firstLine="0"/>
              <w:jc w:val="left"/>
              <w:rPr>
                <w:sz w:val="20"/>
                <w:szCs w:val="22"/>
              </w:rPr>
            </w:pPr>
            <w:r w:rsidRPr="004761E0">
              <w:rPr>
                <w:sz w:val="20"/>
                <w:szCs w:val="22"/>
              </w:rPr>
              <w:t>2008</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2012</w:t>
            </w:r>
          </w:p>
        </w:tc>
        <w:tc>
          <w:tcPr>
            <w:tcW w:w="8080" w:type="dxa"/>
            <w:shd w:val="clear" w:color="auto" w:fill="auto"/>
          </w:tcPr>
          <w:p w:rsidR="00670B18" w:rsidRPr="004761E0" w:rsidRDefault="00670B18" w:rsidP="006B4FAE">
            <w:pPr>
              <w:ind w:firstLine="0"/>
              <w:jc w:val="left"/>
              <w:rPr>
                <w:sz w:val="20"/>
                <w:szCs w:val="22"/>
              </w:rPr>
            </w:pPr>
            <w:r w:rsidRPr="004761E0">
              <w:rPr>
                <w:sz w:val="20"/>
                <w:szCs w:val="22"/>
              </w:rPr>
              <w:t>Аппарат Мэра, Правительство Москвы</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Начальник Управления координации деятельности по обеспечению безопасности города Москвы, Руководитель Департамента региональной безопасности города Москвы</w:t>
            </w:r>
          </w:p>
        </w:tc>
      </w:tr>
      <w:tr w:rsidR="00670B18" w:rsidRPr="004761E0" w:rsidTr="006D3155">
        <w:tc>
          <w:tcPr>
            <w:tcW w:w="851" w:type="dxa"/>
            <w:shd w:val="clear" w:color="auto" w:fill="auto"/>
          </w:tcPr>
          <w:p w:rsidR="00670B18" w:rsidRPr="004761E0" w:rsidRDefault="00670B18" w:rsidP="006B4FAE">
            <w:pPr>
              <w:ind w:firstLine="0"/>
              <w:jc w:val="left"/>
              <w:rPr>
                <w:sz w:val="20"/>
                <w:szCs w:val="22"/>
              </w:rPr>
            </w:pPr>
            <w:r w:rsidRPr="004761E0">
              <w:rPr>
                <w:sz w:val="20"/>
                <w:szCs w:val="22"/>
              </w:rPr>
              <w:t>2012</w:t>
            </w:r>
          </w:p>
        </w:tc>
        <w:tc>
          <w:tcPr>
            <w:tcW w:w="992" w:type="dxa"/>
            <w:shd w:val="clear" w:color="auto" w:fill="auto"/>
          </w:tcPr>
          <w:p w:rsidR="00670B18" w:rsidRPr="004761E0" w:rsidRDefault="00670B18" w:rsidP="006B4FAE">
            <w:pPr>
              <w:ind w:firstLine="0"/>
              <w:jc w:val="left"/>
              <w:rPr>
                <w:sz w:val="20"/>
                <w:szCs w:val="22"/>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«МОЭСК»</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Заместитель генерального директора по безопасности, член Правления</w:t>
            </w:r>
          </w:p>
        </w:tc>
      </w:tr>
      <w:tr w:rsidR="00670B18" w:rsidRPr="004761E0" w:rsidTr="006D3155">
        <w:tblPrEx>
          <w:tblLook w:val="04A0"/>
        </w:tblPrEx>
        <w:tc>
          <w:tcPr>
            <w:tcW w:w="14459" w:type="dxa"/>
            <w:gridSpan w:val="4"/>
          </w:tcPr>
          <w:p w:rsidR="00670B18" w:rsidRPr="004761E0" w:rsidRDefault="00670B18" w:rsidP="006B4FAE">
            <w:pPr>
              <w:ind w:firstLine="0"/>
              <w:jc w:val="left"/>
              <w:rPr>
                <w:bCs/>
                <w:iCs/>
                <w:sz w:val="20"/>
                <w:szCs w:val="26"/>
                <w:lang w:eastAsia="ru-RU"/>
              </w:rPr>
            </w:pPr>
            <w:r w:rsidRPr="004761E0">
              <w:rPr>
                <w:sz w:val="20"/>
                <w:szCs w:val="26"/>
                <w:lang w:eastAsia="ru-RU"/>
              </w:rPr>
              <w:t>Иная информация</w:t>
            </w:r>
          </w:p>
        </w:tc>
      </w:tr>
      <w:tr w:rsidR="00670B18" w:rsidRPr="004761E0" w:rsidTr="006D3155">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Доли участия в уставном капитале Общества/обыкновенных акций:</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долей не имеет</w:t>
            </w:r>
            <w:r w:rsidRPr="004761E0">
              <w:rPr>
                <w:sz w:val="20"/>
                <w:szCs w:val="26"/>
                <w:lang w:eastAsia="ru-RU"/>
              </w:rPr>
              <w:t>.</w:t>
            </w:r>
          </w:p>
        </w:tc>
      </w:tr>
      <w:tr w:rsidR="00670B18" w:rsidRPr="004761E0" w:rsidTr="006D3155">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Доли участия лица в уставном (складочном) капитале (паевом фонде) дочерних и зависимых обществ Общества:</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долей не имеет</w:t>
            </w:r>
          </w:p>
        </w:tc>
      </w:tr>
      <w:tr w:rsidR="00670B18" w:rsidRPr="004761E0" w:rsidTr="006D3155">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Сведения о характере любых родственных связей с иными лицами, входящими в состав органов управления Общества и/или органов контроля за финансово-хозяйственной деятельностью Общества:</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Указанных родственных связей у лица нет.</w:t>
            </w:r>
          </w:p>
        </w:tc>
      </w:tr>
      <w:tr w:rsidR="00670B18" w:rsidRPr="004761E0" w:rsidTr="006D3155">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к указанным видам ответственности не привлекалось</w:t>
            </w:r>
          </w:p>
        </w:tc>
      </w:tr>
      <w:tr w:rsidR="00670B18" w:rsidRPr="004761E0" w:rsidTr="006D3155">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должностей не занимало.</w:t>
            </w:r>
          </w:p>
        </w:tc>
      </w:tr>
      <w:tr w:rsidR="00670B18" w:rsidRPr="004761E0" w:rsidTr="006D3155">
        <w:tblPrEx>
          <w:tblLook w:val="04A0"/>
        </w:tblPrEx>
        <w:tc>
          <w:tcPr>
            <w:tcW w:w="9923" w:type="dxa"/>
            <w:gridSpan w:val="3"/>
          </w:tcPr>
          <w:p w:rsidR="00670B18" w:rsidRPr="00670B18" w:rsidRDefault="00670B18" w:rsidP="00670B18">
            <w:pPr>
              <w:ind w:firstLine="0"/>
              <w:jc w:val="left"/>
              <w:rPr>
                <w:sz w:val="20"/>
                <w:szCs w:val="26"/>
                <w:lang w:eastAsia="ru-RU"/>
              </w:rPr>
            </w:pPr>
            <w:r w:rsidRPr="00670B18">
              <w:rPr>
                <w:sz w:val="20"/>
                <w:szCs w:val="26"/>
                <w:lang w:eastAsia="ru-RU"/>
              </w:rPr>
              <w:t>Сведения о сделках по приобретению или отчуждению акций Общества в течение отчетного года</w:t>
            </w:r>
            <w:r>
              <w:rPr>
                <w:sz w:val="20"/>
                <w:szCs w:val="26"/>
                <w:lang w:eastAsia="ru-RU"/>
              </w:rPr>
              <w:t>:</w:t>
            </w:r>
          </w:p>
        </w:tc>
        <w:tc>
          <w:tcPr>
            <w:tcW w:w="4536" w:type="dxa"/>
          </w:tcPr>
          <w:p w:rsidR="00670B18" w:rsidRPr="00670B18" w:rsidRDefault="00670B18" w:rsidP="00670B18">
            <w:pPr>
              <w:ind w:firstLine="0"/>
              <w:jc w:val="left"/>
              <w:rPr>
                <w:sz w:val="20"/>
                <w:szCs w:val="26"/>
                <w:lang w:eastAsia="ru-RU"/>
              </w:rPr>
            </w:pPr>
            <w:r w:rsidRPr="00670B18">
              <w:rPr>
                <w:sz w:val="20"/>
                <w:szCs w:val="26"/>
                <w:lang w:eastAsia="ru-RU"/>
              </w:rPr>
              <w:t>Лицом указанные сделки не совершались</w:t>
            </w:r>
            <w:r>
              <w:rPr>
                <w:sz w:val="20"/>
                <w:szCs w:val="26"/>
                <w:lang w:eastAsia="ru-RU"/>
              </w:rPr>
              <w:t>.</w:t>
            </w:r>
          </w:p>
        </w:tc>
      </w:tr>
      <w:tr w:rsidR="00670B18" w:rsidRPr="004761E0" w:rsidTr="006D3155">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Наличие  согласия на раскрытие дан</w:t>
            </w:r>
            <w:r>
              <w:rPr>
                <w:sz w:val="20"/>
                <w:szCs w:val="26"/>
                <w:lang w:eastAsia="ru-RU"/>
              </w:rPr>
              <w:t>ной информации в Годовом отчете:</w:t>
            </w:r>
          </w:p>
        </w:tc>
        <w:tc>
          <w:tcPr>
            <w:tcW w:w="4536" w:type="dxa"/>
          </w:tcPr>
          <w:p w:rsidR="00670B18" w:rsidRPr="004761E0" w:rsidRDefault="00670B18" w:rsidP="006B4FAE">
            <w:pPr>
              <w:ind w:firstLine="0"/>
              <w:jc w:val="left"/>
              <w:rPr>
                <w:bCs/>
                <w:iCs/>
                <w:sz w:val="20"/>
                <w:szCs w:val="26"/>
                <w:lang w:eastAsia="ru-RU"/>
              </w:rPr>
            </w:pPr>
            <w:r w:rsidRPr="004761E0">
              <w:rPr>
                <w:bCs/>
                <w:iCs/>
                <w:sz w:val="20"/>
                <w:szCs w:val="26"/>
                <w:lang w:eastAsia="ru-RU"/>
              </w:rPr>
              <w:t>Лицом дано подобное согласие.</w:t>
            </w:r>
          </w:p>
        </w:tc>
      </w:tr>
      <w:tr w:rsidR="00670B18" w:rsidRPr="004761E0" w:rsidTr="006D3155">
        <w:tblPrEx>
          <w:tblLook w:val="04A0"/>
        </w:tblPrEx>
        <w:tc>
          <w:tcPr>
            <w:tcW w:w="14459" w:type="dxa"/>
            <w:gridSpan w:val="4"/>
            <w:shd w:val="clear" w:color="auto" w:fill="BFBFBF"/>
          </w:tcPr>
          <w:p w:rsidR="00670B18" w:rsidRPr="004761E0" w:rsidRDefault="00670B18" w:rsidP="007076A7">
            <w:pPr>
              <w:pStyle w:val="a5"/>
              <w:numPr>
                <w:ilvl w:val="0"/>
                <w:numId w:val="276"/>
              </w:numPr>
              <w:ind w:left="601" w:hanging="567"/>
              <w:contextualSpacing w:val="0"/>
              <w:jc w:val="left"/>
              <w:rPr>
                <w:b/>
                <w:bCs/>
                <w:iCs/>
                <w:sz w:val="20"/>
                <w:szCs w:val="26"/>
                <w:lang w:eastAsia="ru-RU"/>
              </w:rPr>
            </w:pPr>
            <w:r w:rsidRPr="004761E0">
              <w:rPr>
                <w:b/>
                <w:bCs/>
                <w:iCs/>
                <w:sz w:val="20"/>
                <w:szCs w:val="26"/>
                <w:lang w:eastAsia="ru-RU"/>
              </w:rPr>
              <w:t>Кренева Надежда Анатольевна</w:t>
            </w:r>
          </w:p>
        </w:tc>
      </w:tr>
      <w:tr w:rsidR="00670B18" w:rsidRPr="004761E0" w:rsidTr="006D3155">
        <w:tblPrEx>
          <w:tblLook w:val="04A0"/>
        </w:tblPrEx>
        <w:tc>
          <w:tcPr>
            <w:tcW w:w="14459" w:type="dxa"/>
            <w:gridSpan w:val="4"/>
          </w:tcPr>
          <w:p w:rsidR="00670B18" w:rsidRPr="004761E0" w:rsidRDefault="00670B18" w:rsidP="006B4FAE">
            <w:pPr>
              <w:ind w:firstLine="0"/>
              <w:jc w:val="left"/>
              <w:rPr>
                <w:bCs/>
                <w:iCs/>
                <w:sz w:val="20"/>
                <w:szCs w:val="26"/>
                <w:lang w:eastAsia="ru-RU"/>
              </w:rPr>
            </w:pPr>
            <w:r w:rsidRPr="004761E0">
              <w:rPr>
                <w:sz w:val="20"/>
                <w:szCs w:val="26"/>
                <w:lang w:eastAsia="ru-RU"/>
              </w:rPr>
              <w:t>Все должности, занимаемые данным лицом в Обществе и других организациях за последние 5 лет и в настоящее время в хронологическом порядке, в т.ч. по совместительству:</w:t>
            </w:r>
          </w:p>
        </w:tc>
      </w:tr>
      <w:tr w:rsidR="00670B18" w:rsidRPr="004761E0" w:rsidTr="00670B18">
        <w:tc>
          <w:tcPr>
            <w:tcW w:w="1843" w:type="dxa"/>
            <w:gridSpan w:val="2"/>
            <w:tcBorders>
              <w:bottom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2"/>
              </w:rPr>
            </w:pPr>
            <w:r w:rsidRPr="004761E0">
              <w:rPr>
                <w:b/>
                <w:sz w:val="20"/>
                <w:szCs w:val="22"/>
              </w:rPr>
              <w:t>Период</w:t>
            </w:r>
          </w:p>
        </w:tc>
        <w:tc>
          <w:tcPr>
            <w:tcW w:w="8080" w:type="dxa"/>
            <w:vMerge w:val="restart"/>
            <w:tcBorders>
              <w:left w:val="single" w:sz="4" w:space="0" w:color="FFFFFF"/>
              <w:bottom w:val="single" w:sz="4" w:space="0" w:color="FFFFFF"/>
              <w:right w:val="single" w:sz="4" w:space="0" w:color="FFFFFF"/>
            </w:tcBorders>
            <w:shd w:val="clear" w:color="auto" w:fill="0F243E"/>
            <w:vAlign w:val="center"/>
          </w:tcPr>
          <w:p w:rsidR="00670B18" w:rsidRPr="004761E0" w:rsidRDefault="00670B18" w:rsidP="006B4FAE">
            <w:pPr>
              <w:ind w:firstLine="0"/>
              <w:jc w:val="left"/>
              <w:rPr>
                <w:b/>
                <w:sz w:val="20"/>
                <w:szCs w:val="22"/>
              </w:rPr>
            </w:pPr>
            <w:r w:rsidRPr="004761E0">
              <w:rPr>
                <w:b/>
                <w:sz w:val="20"/>
                <w:szCs w:val="22"/>
              </w:rPr>
              <w:t>Наименование организации</w:t>
            </w:r>
          </w:p>
        </w:tc>
        <w:tc>
          <w:tcPr>
            <w:tcW w:w="4536" w:type="dxa"/>
            <w:vMerge w:val="restart"/>
            <w:tcBorders>
              <w:left w:val="single" w:sz="4" w:space="0" w:color="FFFFFF"/>
              <w:bottom w:val="single" w:sz="4" w:space="0" w:color="FFFFFF"/>
            </w:tcBorders>
            <w:shd w:val="clear" w:color="auto" w:fill="0F243E"/>
            <w:vAlign w:val="center"/>
          </w:tcPr>
          <w:p w:rsidR="00670B18" w:rsidRPr="004761E0" w:rsidRDefault="00670B18" w:rsidP="006B4FAE">
            <w:pPr>
              <w:ind w:firstLine="0"/>
              <w:jc w:val="left"/>
              <w:rPr>
                <w:b/>
                <w:sz w:val="20"/>
                <w:szCs w:val="22"/>
              </w:rPr>
            </w:pPr>
            <w:r w:rsidRPr="004761E0">
              <w:rPr>
                <w:b/>
                <w:sz w:val="20"/>
                <w:szCs w:val="22"/>
              </w:rPr>
              <w:t>Должность</w:t>
            </w:r>
          </w:p>
        </w:tc>
      </w:tr>
      <w:tr w:rsidR="00670B18" w:rsidRPr="004761E0" w:rsidTr="00670B18">
        <w:tc>
          <w:tcPr>
            <w:tcW w:w="851" w:type="dxa"/>
            <w:tcBorders>
              <w:top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2"/>
              </w:rPr>
            </w:pPr>
            <w:r w:rsidRPr="004761E0">
              <w:rPr>
                <w:b/>
                <w:sz w:val="20"/>
                <w:szCs w:val="22"/>
              </w:rPr>
              <w:t>с</w:t>
            </w:r>
          </w:p>
        </w:tc>
        <w:tc>
          <w:tcPr>
            <w:tcW w:w="992" w:type="dxa"/>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2"/>
              </w:rPr>
            </w:pPr>
            <w:r w:rsidRPr="004761E0">
              <w:rPr>
                <w:b/>
                <w:sz w:val="20"/>
                <w:szCs w:val="22"/>
              </w:rPr>
              <w:t>по</w:t>
            </w:r>
          </w:p>
        </w:tc>
        <w:tc>
          <w:tcPr>
            <w:tcW w:w="8080" w:type="dxa"/>
            <w:vMerge/>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jc w:val="center"/>
              <w:rPr>
                <w:b/>
                <w:sz w:val="20"/>
                <w:szCs w:val="22"/>
              </w:rPr>
            </w:pPr>
          </w:p>
        </w:tc>
        <w:tc>
          <w:tcPr>
            <w:tcW w:w="4536" w:type="dxa"/>
            <w:vMerge/>
            <w:tcBorders>
              <w:top w:val="single" w:sz="4" w:space="0" w:color="FFFFFF"/>
              <w:left w:val="single" w:sz="4" w:space="0" w:color="FFFFFF"/>
            </w:tcBorders>
            <w:shd w:val="clear" w:color="auto" w:fill="0F243E"/>
            <w:vAlign w:val="center"/>
          </w:tcPr>
          <w:p w:rsidR="00670B18" w:rsidRPr="004761E0" w:rsidRDefault="00670B18" w:rsidP="006B4FAE">
            <w:pPr>
              <w:jc w:val="center"/>
              <w:rPr>
                <w:b/>
                <w:sz w:val="20"/>
                <w:szCs w:val="22"/>
              </w:rPr>
            </w:pPr>
          </w:p>
        </w:tc>
      </w:tr>
      <w:tr w:rsidR="00670B18" w:rsidRPr="004761E0" w:rsidTr="00670B18">
        <w:tc>
          <w:tcPr>
            <w:tcW w:w="851" w:type="dxa"/>
            <w:shd w:val="clear" w:color="auto" w:fill="auto"/>
          </w:tcPr>
          <w:p w:rsidR="00670B18" w:rsidRPr="004761E0" w:rsidRDefault="00670B18" w:rsidP="006B4FAE">
            <w:pPr>
              <w:ind w:firstLine="0"/>
              <w:jc w:val="left"/>
              <w:rPr>
                <w:sz w:val="20"/>
                <w:szCs w:val="22"/>
              </w:rPr>
            </w:pPr>
            <w:r w:rsidRPr="004761E0">
              <w:rPr>
                <w:sz w:val="20"/>
                <w:szCs w:val="22"/>
              </w:rPr>
              <w:t>2005</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2010</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«РусГидро»</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Начальник департамента экономики и финансов, Директор по экономике</w:t>
            </w:r>
          </w:p>
        </w:tc>
      </w:tr>
      <w:tr w:rsidR="00670B18" w:rsidRPr="004761E0" w:rsidTr="00670B18">
        <w:tc>
          <w:tcPr>
            <w:tcW w:w="851" w:type="dxa"/>
            <w:shd w:val="clear" w:color="auto" w:fill="auto"/>
          </w:tcPr>
          <w:p w:rsidR="00670B18" w:rsidRPr="004761E0" w:rsidRDefault="00670B18" w:rsidP="006B4FAE">
            <w:pPr>
              <w:ind w:firstLine="0"/>
              <w:jc w:val="left"/>
              <w:rPr>
                <w:sz w:val="20"/>
                <w:szCs w:val="22"/>
              </w:rPr>
            </w:pPr>
            <w:r w:rsidRPr="004761E0">
              <w:rPr>
                <w:sz w:val="20"/>
                <w:szCs w:val="22"/>
              </w:rPr>
              <w:t>2010</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2010</w:t>
            </w:r>
          </w:p>
        </w:tc>
        <w:tc>
          <w:tcPr>
            <w:tcW w:w="8080" w:type="dxa"/>
            <w:shd w:val="clear" w:color="auto" w:fill="auto"/>
          </w:tcPr>
          <w:p w:rsidR="00670B18" w:rsidRPr="004761E0" w:rsidRDefault="00670B18" w:rsidP="006B4FAE">
            <w:pPr>
              <w:ind w:firstLine="0"/>
              <w:jc w:val="left"/>
              <w:rPr>
                <w:sz w:val="20"/>
                <w:szCs w:val="22"/>
              </w:rPr>
            </w:pPr>
            <w:r w:rsidRPr="004761E0">
              <w:rPr>
                <w:sz w:val="20"/>
                <w:szCs w:val="22"/>
              </w:rPr>
              <w:t>Филиал «ГК Олимпстрой» в г. Москве</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Директор департамента по организации строительства</w:t>
            </w:r>
          </w:p>
        </w:tc>
      </w:tr>
      <w:tr w:rsidR="00670B18" w:rsidRPr="004761E0" w:rsidTr="00670B18">
        <w:tc>
          <w:tcPr>
            <w:tcW w:w="851" w:type="dxa"/>
            <w:shd w:val="clear" w:color="auto" w:fill="auto"/>
          </w:tcPr>
          <w:p w:rsidR="00670B18" w:rsidRPr="004761E0" w:rsidRDefault="00670B18" w:rsidP="006B4FAE">
            <w:pPr>
              <w:ind w:firstLine="0"/>
              <w:jc w:val="left"/>
              <w:rPr>
                <w:sz w:val="20"/>
                <w:szCs w:val="22"/>
              </w:rPr>
            </w:pPr>
            <w:r w:rsidRPr="004761E0">
              <w:rPr>
                <w:sz w:val="20"/>
                <w:szCs w:val="22"/>
              </w:rPr>
              <w:t>2010</w:t>
            </w:r>
          </w:p>
        </w:tc>
        <w:tc>
          <w:tcPr>
            <w:tcW w:w="992" w:type="dxa"/>
            <w:shd w:val="clear" w:color="auto" w:fill="auto"/>
          </w:tcPr>
          <w:p w:rsidR="00670B18" w:rsidRPr="004761E0" w:rsidRDefault="00670B18" w:rsidP="006B4FAE">
            <w:pPr>
              <w:ind w:firstLine="0"/>
              <w:jc w:val="left"/>
              <w:rPr>
                <w:sz w:val="20"/>
                <w:szCs w:val="22"/>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«МОЭСК»</w:t>
            </w:r>
          </w:p>
        </w:tc>
        <w:tc>
          <w:tcPr>
            <w:tcW w:w="4536" w:type="dxa"/>
            <w:shd w:val="clear" w:color="auto" w:fill="auto"/>
          </w:tcPr>
          <w:p w:rsidR="00670B18" w:rsidRPr="004761E0" w:rsidRDefault="00670B18" w:rsidP="000414BD">
            <w:pPr>
              <w:ind w:firstLine="0"/>
              <w:jc w:val="left"/>
              <w:rPr>
                <w:sz w:val="20"/>
                <w:szCs w:val="22"/>
              </w:rPr>
            </w:pPr>
            <w:r w:rsidRPr="004761E0">
              <w:rPr>
                <w:sz w:val="20"/>
                <w:szCs w:val="22"/>
              </w:rPr>
              <w:t xml:space="preserve">Заместитель генерального директора по управлению персоналом, </w:t>
            </w:r>
            <w:r>
              <w:rPr>
                <w:sz w:val="20"/>
                <w:szCs w:val="22"/>
              </w:rPr>
              <w:t>с</w:t>
            </w:r>
            <w:r w:rsidRPr="004761E0">
              <w:rPr>
                <w:sz w:val="20"/>
                <w:szCs w:val="22"/>
              </w:rPr>
              <w:t>оветник генерального директора по кадровым вопросам</w:t>
            </w:r>
          </w:p>
        </w:tc>
      </w:tr>
      <w:tr w:rsidR="00670B18" w:rsidRPr="004761E0" w:rsidTr="00670B18">
        <w:tc>
          <w:tcPr>
            <w:tcW w:w="851" w:type="dxa"/>
            <w:shd w:val="clear" w:color="auto" w:fill="auto"/>
          </w:tcPr>
          <w:p w:rsidR="00670B18" w:rsidRPr="004761E0" w:rsidRDefault="00670B18" w:rsidP="006B4FAE">
            <w:pPr>
              <w:ind w:firstLine="0"/>
              <w:jc w:val="left"/>
              <w:rPr>
                <w:sz w:val="20"/>
                <w:szCs w:val="22"/>
              </w:rPr>
            </w:pPr>
            <w:r w:rsidRPr="004761E0">
              <w:rPr>
                <w:sz w:val="20"/>
                <w:szCs w:val="22"/>
              </w:rPr>
              <w:t>2012</w:t>
            </w:r>
          </w:p>
        </w:tc>
        <w:tc>
          <w:tcPr>
            <w:tcW w:w="992" w:type="dxa"/>
            <w:shd w:val="clear" w:color="auto" w:fill="auto"/>
          </w:tcPr>
          <w:p w:rsidR="00670B18" w:rsidRPr="004761E0" w:rsidRDefault="00670B18" w:rsidP="006B4FAE">
            <w:pPr>
              <w:ind w:firstLine="0"/>
              <w:jc w:val="left"/>
              <w:rPr>
                <w:sz w:val="20"/>
                <w:szCs w:val="22"/>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«МОЭСК»</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Член Правления</w:t>
            </w:r>
          </w:p>
        </w:tc>
      </w:tr>
      <w:tr w:rsidR="00670B18" w:rsidRPr="004761E0" w:rsidTr="00670B18">
        <w:tblPrEx>
          <w:tblLook w:val="04A0"/>
        </w:tblPrEx>
        <w:tc>
          <w:tcPr>
            <w:tcW w:w="14459" w:type="dxa"/>
            <w:gridSpan w:val="4"/>
          </w:tcPr>
          <w:p w:rsidR="00670B18" w:rsidRPr="004761E0" w:rsidRDefault="00670B18" w:rsidP="006B4FAE">
            <w:pPr>
              <w:ind w:firstLine="0"/>
              <w:jc w:val="left"/>
              <w:rPr>
                <w:bCs/>
                <w:iCs/>
                <w:sz w:val="20"/>
                <w:szCs w:val="26"/>
                <w:lang w:eastAsia="ru-RU"/>
              </w:rPr>
            </w:pPr>
            <w:r w:rsidRPr="004761E0">
              <w:rPr>
                <w:sz w:val="20"/>
                <w:szCs w:val="26"/>
                <w:lang w:eastAsia="ru-RU"/>
              </w:rPr>
              <w:t>Иная информация</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Доли участия в уставном капитале Общества/обыкновенных акций:</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долей не имеет</w:t>
            </w:r>
            <w:r w:rsidRPr="004761E0">
              <w:rPr>
                <w:sz w:val="20"/>
                <w:szCs w:val="26"/>
                <w:lang w:eastAsia="ru-RU"/>
              </w:rPr>
              <w:t>.</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Доли участия лица в уставном (складочном) капитале (паевом фонде) дочерних и зависимых обществ Общества:</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долей не имеет</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 xml:space="preserve">Сведения о характере любых родственных связей с иными лицами, входящими в состав органов управления </w:t>
            </w:r>
            <w:r w:rsidRPr="004761E0">
              <w:rPr>
                <w:sz w:val="20"/>
                <w:szCs w:val="26"/>
                <w:lang w:eastAsia="ru-RU"/>
              </w:rPr>
              <w:lastRenderedPageBreak/>
              <w:t>Общества и/или органов контроля за финансово-хозяйственной деятельностью Общества:</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lastRenderedPageBreak/>
              <w:t>Указанных родственных связей у лица нет.</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lastRenderedPageBreak/>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к указанным видам ответственности не привлекалось</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должностей не занимало.</w:t>
            </w:r>
          </w:p>
        </w:tc>
      </w:tr>
      <w:tr w:rsidR="00670B18" w:rsidRPr="004761E0" w:rsidTr="00670B18">
        <w:tblPrEx>
          <w:tblLook w:val="04A0"/>
        </w:tblPrEx>
        <w:tc>
          <w:tcPr>
            <w:tcW w:w="9923" w:type="dxa"/>
            <w:gridSpan w:val="3"/>
          </w:tcPr>
          <w:p w:rsidR="00670B18" w:rsidRPr="00670B18" w:rsidRDefault="00670B18" w:rsidP="00670B18">
            <w:pPr>
              <w:ind w:firstLine="0"/>
              <w:jc w:val="left"/>
              <w:rPr>
                <w:sz w:val="20"/>
                <w:szCs w:val="26"/>
                <w:lang w:eastAsia="ru-RU"/>
              </w:rPr>
            </w:pPr>
            <w:r w:rsidRPr="00670B18">
              <w:rPr>
                <w:sz w:val="20"/>
                <w:szCs w:val="26"/>
                <w:lang w:eastAsia="ru-RU"/>
              </w:rPr>
              <w:t>Сведения о сделках по приобретению или отчуждению акций Общества в течение отчетного года</w:t>
            </w:r>
            <w:r>
              <w:rPr>
                <w:sz w:val="20"/>
                <w:szCs w:val="26"/>
                <w:lang w:eastAsia="ru-RU"/>
              </w:rPr>
              <w:t>:</w:t>
            </w:r>
          </w:p>
        </w:tc>
        <w:tc>
          <w:tcPr>
            <w:tcW w:w="4536" w:type="dxa"/>
          </w:tcPr>
          <w:p w:rsidR="00670B18" w:rsidRPr="00670B18" w:rsidRDefault="00670B18" w:rsidP="00670B18">
            <w:pPr>
              <w:ind w:firstLine="0"/>
              <w:jc w:val="left"/>
              <w:rPr>
                <w:sz w:val="20"/>
                <w:szCs w:val="26"/>
                <w:lang w:eastAsia="ru-RU"/>
              </w:rPr>
            </w:pPr>
            <w:r w:rsidRPr="00670B18">
              <w:rPr>
                <w:sz w:val="20"/>
                <w:szCs w:val="26"/>
                <w:lang w:eastAsia="ru-RU"/>
              </w:rPr>
              <w:t>Лицом указанные сделки не совершались</w:t>
            </w:r>
            <w:r>
              <w:rPr>
                <w:sz w:val="20"/>
                <w:szCs w:val="26"/>
                <w:lang w:eastAsia="ru-RU"/>
              </w:rPr>
              <w:t>.</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Наличие  согласия на раскрытие дан</w:t>
            </w:r>
            <w:r>
              <w:rPr>
                <w:sz w:val="20"/>
                <w:szCs w:val="26"/>
                <w:lang w:eastAsia="ru-RU"/>
              </w:rPr>
              <w:t>ной информации в Годовом отчете:</w:t>
            </w:r>
          </w:p>
        </w:tc>
        <w:tc>
          <w:tcPr>
            <w:tcW w:w="4536" w:type="dxa"/>
          </w:tcPr>
          <w:p w:rsidR="00670B18" w:rsidRPr="004761E0" w:rsidRDefault="00670B18" w:rsidP="006B4FAE">
            <w:pPr>
              <w:ind w:firstLine="0"/>
              <w:jc w:val="left"/>
              <w:rPr>
                <w:bCs/>
                <w:iCs/>
                <w:sz w:val="20"/>
                <w:szCs w:val="26"/>
                <w:lang w:eastAsia="ru-RU"/>
              </w:rPr>
            </w:pPr>
            <w:r w:rsidRPr="004761E0">
              <w:rPr>
                <w:bCs/>
                <w:iCs/>
                <w:sz w:val="20"/>
                <w:szCs w:val="26"/>
                <w:lang w:eastAsia="ru-RU"/>
              </w:rPr>
              <w:t>Лицом дано подобное согласие.</w:t>
            </w:r>
          </w:p>
        </w:tc>
      </w:tr>
      <w:tr w:rsidR="00670B18" w:rsidRPr="004761E0" w:rsidTr="00670B18">
        <w:tblPrEx>
          <w:tblLook w:val="04A0"/>
        </w:tblPrEx>
        <w:tc>
          <w:tcPr>
            <w:tcW w:w="14459" w:type="dxa"/>
            <w:gridSpan w:val="4"/>
            <w:shd w:val="clear" w:color="auto" w:fill="BFBFBF"/>
          </w:tcPr>
          <w:p w:rsidR="00670B18" w:rsidRPr="004761E0" w:rsidRDefault="00670B18" w:rsidP="007076A7">
            <w:pPr>
              <w:pStyle w:val="a5"/>
              <w:numPr>
                <w:ilvl w:val="0"/>
                <w:numId w:val="276"/>
              </w:numPr>
              <w:ind w:left="601" w:hanging="567"/>
              <w:contextualSpacing w:val="0"/>
              <w:jc w:val="left"/>
              <w:rPr>
                <w:b/>
                <w:bCs/>
                <w:iCs/>
                <w:sz w:val="20"/>
                <w:szCs w:val="26"/>
                <w:lang w:eastAsia="ru-RU"/>
              </w:rPr>
            </w:pPr>
            <w:r w:rsidRPr="004761E0">
              <w:rPr>
                <w:b/>
                <w:bCs/>
                <w:iCs/>
                <w:sz w:val="20"/>
                <w:szCs w:val="26"/>
                <w:lang w:eastAsia="ru-RU"/>
              </w:rPr>
              <w:t>Панин Александр Александрович</w:t>
            </w:r>
          </w:p>
        </w:tc>
      </w:tr>
      <w:tr w:rsidR="00670B18" w:rsidRPr="004761E0" w:rsidTr="00670B18">
        <w:tblPrEx>
          <w:tblLook w:val="04A0"/>
        </w:tblPrEx>
        <w:tc>
          <w:tcPr>
            <w:tcW w:w="14459" w:type="dxa"/>
            <w:gridSpan w:val="4"/>
          </w:tcPr>
          <w:p w:rsidR="00670B18" w:rsidRPr="004761E0" w:rsidRDefault="00670B18" w:rsidP="006B4FAE">
            <w:pPr>
              <w:ind w:firstLine="0"/>
              <w:jc w:val="left"/>
              <w:rPr>
                <w:bCs/>
                <w:iCs/>
                <w:sz w:val="20"/>
                <w:szCs w:val="26"/>
                <w:lang w:eastAsia="ru-RU"/>
              </w:rPr>
            </w:pPr>
            <w:r w:rsidRPr="004761E0">
              <w:rPr>
                <w:sz w:val="20"/>
                <w:szCs w:val="26"/>
                <w:lang w:eastAsia="ru-RU"/>
              </w:rPr>
              <w:t>Все должности, занимаемые данным лицом в Обществе и других организациях за последние 5 лет и в настоящее время в хронологическом порядке, в т.ч. по совместительству:</w:t>
            </w:r>
          </w:p>
        </w:tc>
      </w:tr>
      <w:tr w:rsidR="00670B18" w:rsidRPr="004761E0" w:rsidTr="00670B18">
        <w:tc>
          <w:tcPr>
            <w:tcW w:w="1843" w:type="dxa"/>
            <w:gridSpan w:val="2"/>
            <w:tcBorders>
              <w:bottom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2"/>
              </w:rPr>
            </w:pPr>
            <w:r w:rsidRPr="004761E0">
              <w:rPr>
                <w:b/>
                <w:sz w:val="20"/>
                <w:szCs w:val="22"/>
              </w:rPr>
              <w:t>Период</w:t>
            </w:r>
          </w:p>
        </w:tc>
        <w:tc>
          <w:tcPr>
            <w:tcW w:w="8080" w:type="dxa"/>
            <w:vMerge w:val="restart"/>
            <w:tcBorders>
              <w:left w:val="single" w:sz="4" w:space="0" w:color="FFFFFF"/>
              <w:bottom w:val="single" w:sz="4" w:space="0" w:color="FFFFFF"/>
              <w:right w:val="single" w:sz="4" w:space="0" w:color="FFFFFF"/>
            </w:tcBorders>
            <w:shd w:val="clear" w:color="auto" w:fill="0F243E"/>
            <w:vAlign w:val="center"/>
          </w:tcPr>
          <w:p w:rsidR="00670B18" w:rsidRPr="004761E0" w:rsidRDefault="00670B18" w:rsidP="006B4FAE">
            <w:pPr>
              <w:ind w:firstLine="0"/>
              <w:jc w:val="left"/>
              <w:rPr>
                <w:b/>
                <w:sz w:val="20"/>
                <w:szCs w:val="22"/>
              </w:rPr>
            </w:pPr>
            <w:r w:rsidRPr="004761E0">
              <w:rPr>
                <w:b/>
                <w:sz w:val="20"/>
                <w:szCs w:val="22"/>
              </w:rPr>
              <w:t>Наименование организации</w:t>
            </w:r>
          </w:p>
        </w:tc>
        <w:tc>
          <w:tcPr>
            <w:tcW w:w="4536" w:type="dxa"/>
            <w:vMerge w:val="restart"/>
            <w:tcBorders>
              <w:left w:val="single" w:sz="4" w:space="0" w:color="FFFFFF"/>
              <w:bottom w:val="single" w:sz="4" w:space="0" w:color="FFFFFF"/>
            </w:tcBorders>
            <w:shd w:val="clear" w:color="auto" w:fill="0F243E"/>
            <w:vAlign w:val="center"/>
          </w:tcPr>
          <w:p w:rsidR="00670B18" w:rsidRPr="004761E0" w:rsidRDefault="00670B18" w:rsidP="006B4FAE">
            <w:pPr>
              <w:ind w:firstLine="0"/>
              <w:jc w:val="left"/>
              <w:rPr>
                <w:b/>
                <w:sz w:val="20"/>
                <w:szCs w:val="22"/>
              </w:rPr>
            </w:pPr>
            <w:r w:rsidRPr="004761E0">
              <w:rPr>
                <w:b/>
                <w:sz w:val="20"/>
                <w:szCs w:val="22"/>
              </w:rPr>
              <w:t>Должность</w:t>
            </w:r>
          </w:p>
        </w:tc>
      </w:tr>
      <w:tr w:rsidR="00670B18" w:rsidRPr="004761E0" w:rsidTr="00670B18">
        <w:tc>
          <w:tcPr>
            <w:tcW w:w="851" w:type="dxa"/>
            <w:tcBorders>
              <w:top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2"/>
              </w:rPr>
            </w:pPr>
            <w:r w:rsidRPr="004761E0">
              <w:rPr>
                <w:b/>
                <w:sz w:val="20"/>
                <w:szCs w:val="22"/>
              </w:rPr>
              <w:t>с</w:t>
            </w:r>
          </w:p>
        </w:tc>
        <w:tc>
          <w:tcPr>
            <w:tcW w:w="992" w:type="dxa"/>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2"/>
              </w:rPr>
            </w:pPr>
            <w:r w:rsidRPr="004761E0">
              <w:rPr>
                <w:b/>
                <w:sz w:val="20"/>
                <w:szCs w:val="22"/>
              </w:rPr>
              <w:t>по</w:t>
            </w:r>
          </w:p>
        </w:tc>
        <w:tc>
          <w:tcPr>
            <w:tcW w:w="8080" w:type="dxa"/>
            <w:vMerge/>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jc w:val="center"/>
              <w:rPr>
                <w:b/>
                <w:sz w:val="20"/>
                <w:szCs w:val="22"/>
              </w:rPr>
            </w:pPr>
          </w:p>
        </w:tc>
        <w:tc>
          <w:tcPr>
            <w:tcW w:w="4536" w:type="dxa"/>
            <w:vMerge/>
            <w:tcBorders>
              <w:top w:val="single" w:sz="4" w:space="0" w:color="FFFFFF"/>
              <w:left w:val="single" w:sz="4" w:space="0" w:color="FFFFFF"/>
            </w:tcBorders>
            <w:shd w:val="clear" w:color="auto" w:fill="0F243E"/>
            <w:vAlign w:val="center"/>
          </w:tcPr>
          <w:p w:rsidR="00670B18" w:rsidRPr="004761E0" w:rsidRDefault="00670B18" w:rsidP="006B4FAE">
            <w:pPr>
              <w:jc w:val="center"/>
              <w:rPr>
                <w:b/>
                <w:sz w:val="20"/>
                <w:szCs w:val="22"/>
              </w:rPr>
            </w:pPr>
          </w:p>
        </w:tc>
      </w:tr>
      <w:tr w:rsidR="00670B18" w:rsidRPr="004761E0" w:rsidTr="00670B18">
        <w:tc>
          <w:tcPr>
            <w:tcW w:w="851" w:type="dxa"/>
            <w:shd w:val="clear" w:color="auto" w:fill="auto"/>
          </w:tcPr>
          <w:p w:rsidR="00670B18" w:rsidRPr="004761E0" w:rsidRDefault="00670B18" w:rsidP="006B4FAE">
            <w:pPr>
              <w:ind w:firstLine="0"/>
              <w:jc w:val="left"/>
              <w:rPr>
                <w:sz w:val="20"/>
                <w:szCs w:val="22"/>
              </w:rPr>
            </w:pPr>
            <w:r w:rsidRPr="004761E0">
              <w:rPr>
                <w:sz w:val="20"/>
                <w:szCs w:val="22"/>
              </w:rPr>
              <w:t>2005</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2010</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«ОГК-3»</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Начальник юридического департамента</w:t>
            </w:r>
          </w:p>
        </w:tc>
      </w:tr>
      <w:tr w:rsidR="00670B18" w:rsidRPr="004761E0" w:rsidTr="00670B18">
        <w:tc>
          <w:tcPr>
            <w:tcW w:w="851" w:type="dxa"/>
            <w:shd w:val="clear" w:color="auto" w:fill="auto"/>
          </w:tcPr>
          <w:p w:rsidR="00670B18" w:rsidRPr="004761E0" w:rsidRDefault="00670B18" w:rsidP="006B4FAE">
            <w:pPr>
              <w:ind w:firstLine="0"/>
              <w:jc w:val="left"/>
              <w:rPr>
                <w:sz w:val="20"/>
                <w:szCs w:val="22"/>
              </w:rPr>
            </w:pPr>
            <w:r w:rsidRPr="004761E0">
              <w:rPr>
                <w:sz w:val="20"/>
                <w:szCs w:val="22"/>
              </w:rPr>
              <w:t>2010</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2011</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«Энергостройинвест-Холдинг»</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Заместитель генерального директора по правовым вопросам, член Правления</w:t>
            </w:r>
          </w:p>
        </w:tc>
      </w:tr>
      <w:tr w:rsidR="00670B18" w:rsidRPr="004761E0" w:rsidTr="00670B18">
        <w:tc>
          <w:tcPr>
            <w:tcW w:w="851" w:type="dxa"/>
            <w:shd w:val="clear" w:color="auto" w:fill="auto"/>
          </w:tcPr>
          <w:p w:rsidR="00670B18" w:rsidRPr="004761E0" w:rsidRDefault="00670B18" w:rsidP="006B4FAE">
            <w:pPr>
              <w:ind w:firstLine="0"/>
              <w:jc w:val="left"/>
              <w:rPr>
                <w:sz w:val="20"/>
                <w:szCs w:val="22"/>
              </w:rPr>
            </w:pPr>
            <w:r w:rsidRPr="004761E0">
              <w:rPr>
                <w:sz w:val="20"/>
                <w:szCs w:val="22"/>
              </w:rPr>
              <w:t>2011</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2013</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«ЛЕНМОРНИИПРОЕКТ»</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Член Совета директоров</w:t>
            </w:r>
          </w:p>
        </w:tc>
      </w:tr>
      <w:tr w:rsidR="00670B18" w:rsidRPr="004761E0" w:rsidTr="00670B18">
        <w:tc>
          <w:tcPr>
            <w:tcW w:w="851" w:type="dxa"/>
            <w:shd w:val="clear" w:color="auto" w:fill="auto"/>
          </w:tcPr>
          <w:p w:rsidR="00670B18" w:rsidRPr="004761E0" w:rsidRDefault="00670B18" w:rsidP="006B4FAE">
            <w:pPr>
              <w:ind w:firstLine="0"/>
              <w:jc w:val="left"/>
              <w:rPr>
                <w:sz w:val="20"/>
                <w:szCs w:val="22"/>
              </w:rPr>
            </w:pPr>
            <w:r w:rsidRPr="004761E0">
              <w:rPr>
                <w:sz w:val="20"/>
                <w:szCs w:val="22"/>
              </w:rPr>
              <w:t>2011</w:t>
            </w:r>
          </w:p>
        </w:tc>
        <w:tc>
          <w:tcPr>
            <w:tcW w:w="992" w:type="dxa"/>
            <w:shd w:val="clear" w:color="auto" w:fill="auto"/>
          </w:tcPr>
          <w:p w:rsidR="00670B18" w:rsidRPr="004761E0" w:rsidRDefault="00670B18" w:rsidP="006B4FAE">
            <w:pPr>
              <w:ind w:firstLine="0"/>
              <w:jc w:val="left"/>
              <w:rPr>
                <w:sz w:val="20"/>
                <w:szCs w:val="22"/>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«МОЭСК»</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Директор по правовому обеспечению</w:t>
            </w:r>
            <w:r w:rsidRPr="004761E0">
              <w:rPr>
                <w:sz w:val="20"/>
                <w:szCs w:val="20"/>
              </w:rPr>
              <w:t xml:space="preserve"> – </w:t>
            </w:r>
            <w:r w:rsidRPr="004761E0">
              <w:rPr>
                <w:sz w:val="20"/>
                <w:szCs w:val="22"/>
              </w:rPr>
              <w:t>директор департамента, заместитель  генерального директора по правовым вопросам</w:t>
            </w:r>
          </w:p>
        </w:tc>
      </w:tr>
      <w:tr w:rsidR="00670B18" w:rsidRPr="004761E0" w:rsidTr="00670B18">
        <w:tc>
          <w:tcPr>
            <w:tcW w:w="851" w:type="dxa"/>
            <w:shd w:val="clear" w:color="auto" w:fill="auto"/>
          </w:tcPr>
          <w:p w:rsidR="00670B18" w:rsidRPr="004761E0" w:rsidRDefault="00670B18" w:rsidP="006B4FAE">
            <w:pPr>
              <w:ind w:firstLine="0"/>
              <w:jc w:val="left"/>
              <w:rPr>
                <w:sz w:val="20"/>
                <w:szCs w:val="22"/>
              </w:rPr>
            </w:pPr>
            <w:r w:rsidRPr="004761E0">
              <w:rPr>
                <w:sz w:val="20"/>
                <w:szCs w:val="22"/>
              </w:rPr>
              <w:t>2012</w:t>
            </w:r>
          </w:p>
        </w:tc>
        <w:tc>
          <w:tcPr>
            <w:tcW w:w="992" w:type="dxa"/>
            <w:shd w:val="clear" w:color="auto" w:fill="auto"/>
          </w:tcPr>
          <w:p w:rsidR="00670B18" w:rsidRPr="004761E0" w:rsidRDefault="00670B18" w:rsidP="006B4FAE">
            <w:pPr>
              <w:ind w:firstLine="0"/>
              <w:jc w:val="left"/>
              <w:rPr>
                <w:sz w:val="20"/>
                <w:szCs w:val="22"/>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«МОЭСК»</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Член Правления</w:t>
            </w:r>
          </w:p>
        </w:tc>
      </w:tr>
      <w:tr w:rsidR="00670B18" w:rsidRPr="004761E0" w:rsidTr="00670B18">
        <w:tblPrEx>
          <w:tblLook w:val="04A0"/>
        </w:tblPrEx>
        <w:tc>
          <w:tcPr>
            <w:tcW w:w="14459" w:type="dxa"/>
            <w:gridSpan w:val="4"/>
          </w:tcPr>
          <w:p w:rsidR="00670B18" w:rsidRPr="004761E0" w:rsidRDefault="00670B18" w:rsidP="006B4FAE">
            <w:pPr>
              <w:ind w:firstLine="0"/>
              <w:jc w:val="left"/>
              <w:rPr>
                <w:bCs/>
                <w:iCs/>
                <w:sz w:val="20"/>
                <w:szCs w:val="26"/>
                <w:lang w:eastAsia="ru-RU"/>
              </w:rPr>
            </w:pPr>
            <w:r w:rsidRPr="004761E0">
              <w:rPr>
                <w:sz w:val="20"/>
                <w:szCs w:val="26"/>
                <w:lang w:eastAsia="ru-RU"/>
              </w:rPr>
              <w:t>Иная информация</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Доли участия в уставном капитале Общества/обыкновенных акций:</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долей не имеет</w:t>
            </w:r>
            <w:r w:rsidRPr="004761E0">
              <w:rPr>
                <w:sz w:val="20"/>
                <w:szCs w:val="26"/>
                <w:lang w:eastAsia="ru-RU"/>
              </w:rPr>
              <w:t>.</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Доли участия лица в уставном (складочном) капитале (паевом фонде) дочерних и зависимых обществ Общества:</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долей не имеет</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Сведения о характере любых родственных связей с иными лицами, входящими в состав органов управления Общества и/или органов контроля за финансово-хозяйственной деятельностью Общества:</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Указанных родственных связей у лица нет.</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к указанным видам ответственности не привлекалось</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должностей не занимало.</w:t>
            </w:r>
          </w:p>
        </w:tc>
      </w:tr>
      <w:tr w:rsidR="00670B18" w:rsidRPr="004761E0" w:rsidTr="00670B18">
        <w:tblPrEx>
          <w:tblLook w:val="04A0"/>
        </w:tblPrEx>
        <w:tc>
          <w:tcPr>
            <w:tcW w:w="9923" w:type="dxa"/>
            <w:gridSpan w:val="3"/>
          </w:tcPr>
          <w:p w:rsidR="00670B18" w:rsidRPr="00670B18" w:rsidRDefault="00670B18" w:rsidP="00670B18">
            <w:pPr>
              <w:ind w:firstLine="0"/>
              <w:jc w:val="left"/>
              <w:rPr>
                <w:sz w:val="20"/>
                <w:szCs w:val="26"/>
                <w:lang w:eastAsia="ru-RU"/>
              </w:rPr>
            </w:pPr>
            <w:r w:rsidRPr="00670B18">
              <w:rPr>
                <w:sz w:val="20"/>
                <w:szCs w:val="26"/>
                <w:lang w:eastAsia="ru-RU"/>
              </w:rPr>
              <w:t>Сведения о сделках по приобретению или отчуждению акций Общества в течение отчетного года</w:t>
            </w:r>
            <w:r>
              <w:rPr>
                <w:sz w:val="20"/>
                <w:szCs w:val="26"/>
                <w:lang w:eastAsia="ru-RU"/>
              </w:rPr>
              <w:t>:</w:t>
            </w:r>
          </w:p>
        </w:tc>
        <w:tc>
          <w:tcPr>
            <w:tcW w:w="4536" w:type="dxa"/>
          </w:tcPr>
          <w:p w:rsidR="00670B18" w:rsidRPr="00670B18" w:rsidRDefault="00670B18" w:rsidP="00670B18">
            <w:pPr>
              <w:ind w:firstLine="0"/>
              <w:jc w:val="left"/>
              <w:rPr>
                <w:sz w:val="20"/>
                <w:szCs w:val="26"/>
                <w:lang w:eastAsia="ru-RU"/>
              </w:rPr>
            </w:pPr>
            <w:r w:rsidRPr="00670B18">
              <w:rPr>
                <w:sz w:val="20"/>
                <w:szCs w:val="26"/>
                <w:lang w:eastAsia="ru-RU"/>
              </w:rPr>
              <w:t>Лицом указанные сделки не совершались</w:t>
            </w:r>
            <w:r>
              <w:rPr>
                <w:sz w:val="20"/>
                <w:szCs w:val="26"/>
                <w:lang w:eastAsia="ru-RU"/>
              </w:rPr>
              <w:t>.</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Pr>
                <w:sz w:val="20"/>
                <w:szCs w:val="26"/>
                <w:lang w:eastAsia="ru-RU"/>
              </w:rPr>
              <w:t xml:space="preserve">Наличие </w:t>
            </w:r>
            <w:r w:rsidRPr="004761E0">
              <w:rPr>
                <w:sz w:val="20"/>
                <w:szCs w:val="26"/>
                <w:lang w:eastAsia="ru-RU"/>
              </w:rPr>
              <w:t>согласия на раскрытие дан</w:t>
            </w:r>
            <w:r>
              <w:rPr>
                <w:sz w:val="20"/>
                <w:szCs w:val="26"/>
                <w:lang w:eastAsia="ru-RU"/>
              </w:rPr>
              <w:t>ной информации в Годовом отчете:</w:t>
            </w:r>
          </w:p>
        </w:tc>
        <w:tc>
          <w:tcPr>
            <w:tcW w:w="4536" w:type="dxa"/>
          </w:tcPr>
          <w:p w:rsidR="00670B18" w:rsidRPr="004761E0" w:rsidRDefault="00670B18" w:rsidP="006B4FAE">
            <w:pPr>
              <w:ind w:firstLine="0"/>
              <w:jc w:val="left"/>
              <w:rPr>
                <w:bCs/>
                <w:iCs/>
                <w:sz w:val="20"/>
                <w:szCs w:val="26"/>
                <w:lang w:eastAsia="ru-RU"/>
              </w:rPr>
            </w:pPr>
            <w:r w:rsidRPr="004761E0">
              <w:rPr>
                <w:bCs/>
                <w:iCs/>
                <w:sz w:val="20"/>
                <w:szCs w:val="26"/>
                <w:lang w:eastAsia="ru-RU"/>
              </w:rPr>
              <w:t>Лицом дано подобное согласие.</w:t>
            </w:r>
          </w:p>
        </w:tc>
      </w:tr>
      <w:tr w:rsidR="00670B18" w:rsidRPr="004761E0" w:rsidTr="00670B18">
        <w:tblPrEx>
          <w:tblLook w:val="04A0"/>
        </w:tblPrEx>
        <w:tc>
          <w:tcPr>
            <w:tcW w:w="14459" w:type="dxa"/>
            <w:gridSpan w:val="4"/>
            <w:shd w:val="clear" w:color="auto" w:fill="BFBFBF"/>
          </w:tcPr>
          <w:p w:rsidR="00670B18" w:rsidRPr="004761E0" w:rsidRDefault="00670B18" w:rsidP="007076A7">
            <w:pPr>
              <w:pStyle w:val="a5"/>
              <w:numPr>
                <w:ilvl w:val="0"/>
                <w:numId w:val="276"/>
              </w:numPr>
              <w:ind w:left="601" w:hanging="567"/>
              <w:contextualSpacing w:val="0"/>
              <w:jc w:val="left"/>
              <w:rPr>
                <w:b/>
                <w:bCs/>
                <w:iCs/>
                <w:sz w:val="20"/>
                <w:szCs w:val="26"/>
                <w:lang w:eastAsia="ru-RU"/>
              </w:rPr>
            </w:pPr>
            <w:r w:rsidRPr="004761E0">
              <w:rPr>
                <w:b/>
                <w:bCs/>
                <w:iCs/>
                <w:sz w:val="20"/>
                <w:szCs w:val="26"/>
                <w:lang w:eastAsia="ru-RU"/>
              </w:rPr>
              <w:t>Романовский Сергей Петрович</w:t>
            </w:r>
          </w:p>
        </w:tc>
      </w:tr>
      <w:tr w:rsidR="00670B18" w:rsidRPr="004761E0" w:rsidTr="00670B18">
        <w:tblPrEx>
          <w:tblLook w:val="04A0"/>
        </w:tblPrEx>
        <w:tc>
          <w:tcPr>
            <w:tcW w:w="14459" w:type="dxa"/>
            <w:gridSpan w:val="4"/>
          </w:tcPr>
          <w:p w:rsidR="00670B18" w:rsidRPr="004761E0" w:rsidRDefault="00670B18" w:rsidP="006B4FAE">
            <w:pPr>
              <w:ind w:firstLine="0"/>
              <w:jc w:val="left"/>
              <w:rPr>
                <w:bCs/>
                <w:iCs/>
                <w:sz w:val="20"/>
                <w:szCs w:val="26"/>
                <w:lang w:eastAsia="ru-RU"/>
              </w:rPr>
            </w:pPr>
            <w:r w:rsidRPr="004761E0">
              <w:rPr>
                <w:sz w:val="20"/>
                <w:szCs w:val="26"/>
                <w:lang w:eastAsia="ru-RU"/>
              </w:rPr>
              <w:t>Все должности, занимаемые данным лицом в Обществе и других организациях за последние 5 лет и в настоящее время в хронологическом порядке, в т.ч. по совместительству:</w:t>
            </w:r>
          </w:p>
        </w:tc>
      </w:tr>
      <w:tr w:rsidR="00670B18" w:rsidRPr="004761E0" w:rsidTr="00670B18">
        <w:tc>
          <w:tcPr>
            <w:tcW w:w="1843" w:type="dxa"/>
            <w:gridSpan w:val="2"/>
            <w:tcBorders>
              <w:bottom w:val="single" w:sz="4" w:space="0" w:color="FFFFFF"/>
              <w:right w:val="single" w:sz="4" w:space="0" w:color="FFFFFF"/>
            </w:tcBorders>
            <w:shd w:val="clear" w:color="auto" w:fill="0F243E"/>
            <w:vAlign w:val="center"/>
          </w:tcPr>
          <w:p w:rsidR="00670B18" w:rsidRPr="004761E0" w:rsidRDefault="00670B18" w:rsidP="006B4FAE">
            <w:pPr>
              <w:ind w:firstLine="34"/>
              <w:jc w:val="center"/>
              <w:rPr>
                <w:b/>
                <w:sz w:val="20"/>
                <w:szCs w:val="22"/>
              </w:rPr>
            </w:pPr>
            <w:r w:rsidRPr="004761E0">
              <w:rPr>
                <w:b/>
                <w:sz w:val="20"/>
                <w:szCs w:val="22"/>
              </w:rPr>
              <w:lastRenderedPageBreak/>
              <w:t>Период</w:t>
            </w:r>
          </w:p>
        </w:tc>
        <w:tc>
          <w:tcPr>
            <w:tcW w:w="8080" w:type="dxa"/>
            <w:vMerge w:val="restart"/>
            <w:tcBorders>
              <w:left w:val="single" w:sz="4" w:space="0" w:color="FFFFFF"/>
              <w:bottom w:val="single" w:sz="4" w:space="0" w:color="FFFFFF"/>
              <w:right w:val="single" w:sz="4" w:space="0" w:color="FFFFFF"/>
            </w:tcBorders>
            <w:shd w:val="clear" w:color="auto" w:fill="0F243E"/>
            <w:vAlign w:val="center"/>
          </w:tcPr>
          <w:p w:rsidR="00670B18" w:rsidRPr="004761E0" w:rsidRDefault="00670B18" w:rsidP="006B4FAE">
            <w:pPr>
              <w:ind w:firstLine="34"/>
              <w:jc w:val="left"/>
              <w:rPr>
                <w:b/>
                <w:sz w:val="20"/>
                <w:szCs w:val="22"/>
              </w:rPr>
            </w:pPr>
            <w:r w:rsidRPr="004761E0">
              <w:rPr>
                <w:b/>
                <w:sz w:val="20"/>
                <w:szCs w:val="22"/>
              </w:rPr>
              <w:t>Наименование организации</w:t>
            </w:r>
          </w:p>
        </w:tc>
        <w:tc>
          <w:tcPr>
            <w:tcW w:w="4536" w:type="dxa"/>
            <w:vMerge w:val="restart"/>
            <w:tcBorders>
              <w:left w:val="single" w:sz="4" w:space="0" w:color="FFFFFF"/>
              <w:bottom w:val="single" w:sz="4" w:space="0" w:color="FFFFFF"/>
            </w:tcBorders>
            <w:shd w:val="clear" w:color="auto" w:fill="0F243E"/>
            <w:vAlign w:val="center"/>
          </w:tcPr>
          <w:p w:rsidR="00670B18" w:rsidRPr="004761E0" w:rsidRDefault="00670B18" w:rsidP="006B4FAE">
            <w:pPr>
              <w:ind w:firstLine="34"/>
              <w:jc w:val="left"/>
              <w:rPr>
                <w:b/>
                <w:sz w:val="20"/>
                <w:szCs w:val="22"/>
              </w:rPr>
            </w:pPr>
            <w:r w:rsidRPr="004761E0">
              <w:rPr>
                <w:b/>
                <w:sz w:val="20"/>
                <w:szCs w:val="22"/>
              </w:rPr>
              <w:t>Должность</w:t>
            </w:r>
          </w:p>
        </w:tc>
      </w:tr>
      <w:tr w:rsidR="00670B18" w:rsidRPr="004761E0" w:rsidTr="00670B18">
        <w:tc>
          <w:tcPr>
            <w:tcW w:w="851" w:type="dxa"/>
            <w:tcBorders>
              <w:top w:val="single" w:sz="4" w:space="0" w:color="FFFFFF"/>
              <w:right w:val="single" w:sz="4" w:space="0" w:color="FFFFFF"/>
            </w:tcBorders>
            <w:shd w:val="clear" w:color="auto" w:fill="0F243E"/>
            <w:vAlign w:val="center"/>
          </w:tcPr>
          <w:p w:rsidR="00670B18" w:rsidRPr="004761E0" w:rsidRDefault="00670B18" w:rsidP="006B4FAE">
            <w:pPr>
              <w:ind w:firstLine="34"/>
              <w:jc w:val="center"/>
              <w:rPr>
                <w:b/>
                <w:sz w:val="20"/>
                <w:szCs w:val="22"/>
              </w:rPr>
            </w:pPr>
            <w:r w:rsidRPr="004761E0">
              <w:rPr>
                <w:b/>
                <w:sz w:val="20"/>
                <w:szCs w:val="22"/>
              </w:rPr>
              <w:t>с</w:t>
            </w:r>
          </w:p>
        </w:tc>
        <w:tc>
          <w:tcPr>
            <w:tcW w:w="992" w:type="dxa"/>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ind w:firstLine="34"/>
              <w:jc w:val="center"/>
              <w:rPr>
                <w:b/>
                <w:sz w:val="20"/>
                <w:szCs w:val="22"/>
              </w:rPr>
            </w:pPr>
            <w:r w:rsidRPr="004761E0">
              <w:rPr>
                <w:b/>
                <w:sz w:val="20"/>
                <w:szCs w:val="22"/>
              </w:rPr>
              <w:t>по</w:t>
            </w:r>
          </w:p>
        </w:tc>
        <w:tc>
          <w:tcPr>
            <w:tcW w:w="8080" w:type="dxa"/>
            <w:vMerge/>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jc w:val="center"/>
              <w:rPr>
                <w:b/>
                <w:sz w:val="20"/>
                <w:szCs w:val="22"/>
              </w:rPr>
            </w:pPr>
          </w:p>
        </w:tc>
        <w:tc>
          <w:tcPr>
            <w:tcW w:w="4536" w:type="dxa"/>
            <w:vMerge/>
            <w:tcBorders>
              <w:top w:val="single" w:sz="4" w:space="0" w:color="FFFFFF"/>
              <w:left w:val="single" w:sz="4" w:space="0" w:color="FFFFFF"/>
            </w:tcBorders>
            <w:shd w:val="clear" w:color="auto" w:fill="0F243E"/>
            <w:vAlign w:val="center"/>
          </w:tcPr>
          <w:p w:rsidR="00670B18" w:rsidRPr="004761E0" w:rsidRDefault="00670B18" w:rsidP="006B4FAE">
            <w:pPr>
              <w:jc w:val="center"/>
              <w:rPr>
                <w:b/>
                <w:sz w:val="20"/>
                <w:szCs w:val="22"/>
              </w:rPr>
            </w:pPr>
          </w:p>
        </w:tc>
      </w:tr>
      <w:tr w:rsidR="00670B18" w:rsidRPr="004761E0" w:rsidTr="00670B18">
        <w:tc>
          <w:tcPr>
            <w:tcW w:w="851" w:type="dxa"/>
            <w:shd w:val="clear" w:color="auto" w:fill="auto"/>
          </w:tcPr>
          <w:p w:rsidR="00670B18" w:rsidRPr="004761E0" w:rsidRDefault="00670B18" w:rsidP="006B4FAE">
            <w:pPr>
              <w:ind w:firstLine="0"/>
              <w:jc w:val="left"/>
              <w:rPr>
                <w:sz w:val="20"/>
                <w:szCs w:val="22"/>
              </w:rPr>
            </w:pPr>
            <w:r w:rsidRPr="004761E0">
              <w:rPr>
                <w:sz w:val="20"/>
                <w:szCs w:val="22"/>
              </w:rPr>
              <w:t>2002</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2008</w:t>
            </w:r>
          </w:p>
        </w:tc>
        <w:tc>
          <w:tcPr>
            <w:tcW w:w="8080" w:type="dxa"/>
            <w:shd w:val="clear" w:color="auto" w:fill="auto"/>
          </w:tcPr>
          <w:p w:rsidR="00670B18" w:rsidRPr="004761E0" w:rsidRDefault="00670B18" w:rsidP="006B4FAE">
            <w:pPr>
              <w:ind w:firstLine="0"/>
              <w:jc w:val="left"/>
              <w:rPr>
                <w:sz w:val="20"/>
                <w:szCs w:val="22"/>
              </w:rPr>
            </w:pPr>
            <w:r w:rsidRPr="004761E0">
              <w:rPr>
                <w:sz w:val="20"/>
                <w:szCs w:val="22"/>
              </w:rPr>
              <w:t>Департамент топливно-энергетического хозяйства города Москвы</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Первый заместитель руководителя департамента</w:t>
            </w:r>
          </w:p>
        </w:tc>
      </w:tr>
      <w:tr w:rsidR="00670B18" w:rsidRPr="004761E0" w:rsidTr="00670B18">
        <w:tc>
          <w:tcPr>
            <w:tcW w:w="851" w:type="dxa"/>
            <w:shd w:val="clear" w:color="auto" w:fill="auto"/>
          </w:tcPr>
          <w:p w:rsidR="00670B18" w:rsidRPr="004761E0" w:rsidRDefault="00670B18" w:rsidP="006B4FAE">
            <w:pPr>
              <w:ind w:firstLine="0"/>
              <w:jc w:val="left"/>
              <w:rPr>
                <w:sz w:val="20"/>
                <w:szCs w:val="22"/>
              </w:rPr>
            </w:pPr>
            <w:r w:rsidRPr="004761E0">
              <w:rPr>
                <w:sz w:val="20"/>
                <w:szCs w:val="22"/>
              </w:rPr>
              <w:t>2009</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2010</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«Электрозавод»</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Первый заместитель генерального директора</w:t>
            </w:r>
          </w:p>
        </w:tc>
      </w:tr>
      <w:tr w:rsidR="00670B18" w:rsidRPr="004761E0" w:rsidTr="00670B18">
        <w:tc>
          <w:tcPr>
            <w:tcW w:w="851" w:type="dxa"/>
            <w:shd w:val="clear" w:color="auto" w:fill="auto"/>
          </w:tcPr>
          <w:p w:rsidR="00670B18" w:rsidRPr="004761E0" w:rsidRDefault="00670B18" w:rsidP="006B4FAE">
            <w:pPr>
              <w:ind w:firstLine="0"/>
              <w:jc w:val="left"/>
              <w:rPr>
                <w:sz w:val="20"/>
                <w:szCs w:val="22"/>
              </w:rPr>
            </w:pPr>
            <w:r w:rsidRPr="004761E0">
              <w:rPr>
                <w:sz w:val="20"/>
                <w:szCs w:val="22"/>
              </w:rPr>
              <w:t>2010</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2010</w:t>
            </w:r>
          </w:p>
        </w:tc>
        <w:tc>
          <w:tcPr>
            <w:tcW w:w="8080" w:type="dxa"/>
            <w:shd w:val="clear" w:color="auto" w:fill="auto"/>
          </w:tcPr>
          <w:p w:rsidR="00670B18" w:rsidRPr="004761E0" w:rsidRDefault="00670B18" w:rsidP="006B4FAE">
            <w:pPr>
              <w:ind w:firstLine="0"/>
              <w:jc w:val="left"/>
              <w:rPr>
                <w:sz w:val="20"/>
                <w:szCs w:val="22"/>
              </w:rPr>
            </w:pPr>
            <w:r w:rsidRPr="004761E0">
              <w:rPr>
                <w:sz w:val="20"/>
                <w:szCs w:val="22"/>
              </w:rPr>
              <w:t xml:space="preserve">Филиал </w:t>
            </w:r>
            <w:r>
              <w:rPr>
                <w:sz w:val="20"/>
                <w:szCs w:val="22"/>
              </w:rPr>
              <w:t>ОАО </w:t>
            </w:r>
            <w:r w:rsidRPr="004761E0">
              <w:rPr>
                <w:sz w:val="20"/>
                <w:szCs w:val="22"/>
              </w:rPr>
              <w:t>«ФСК ЕЭС»</w:t>
            </w:r>
            <w:r w:rsidRPr="004761E0">
              <w:rPr>
                <w:sz w:val="20"/>
                <w:szCs w:val="20"/>
              </w:rPr>
              <w:t xml:space="preserve"> – </w:t>
            </w:r>
            <w:r w:rsidRPr="004761E0">
              <w:rPr>
                <w:sz w:val="20"/>
                <w:szCs w:val="22"/>
              </w:rPr>
              <w:t>МЭС Центра</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Первый заместитель генерального директора</w:t>
            </w:r>
          </w:p>
        </w:tc>
      </w:tr>
      <w:tr w:rsidR="00670B18" w:rsidRPr="004761E0" w:rsidTr="00670B18">
        <w:tc>
          <w:tcPr>
            <w:tcW w:w="851" w:type="dxa"/>
            <w:shd w:val="clear" w:color="auto" w:fill="auto"/>
          </w:tcPr>
          <w:p w:rsidR="00670B18" w:rsidRPr="004761E0" w:rsidRDefault="00670B18" w:rsidP="006B4FAE">
            <w:pPr>
              <w:ind w:firstLine="0"/>
              <w:jc w:val="left"/>
              <w:rPr>
                <w:sz w:val="20"/>
                <w:szCs w:val="22"/>
              </w:rPr>
            </w:pPr>
            <w:r w:rsidRPr="004761E0">
              <w:rPr>
                <w:sz w:val="20"/>
                <w:szCs w:val="22"/>
              </w:rPr>
              <w:t>2011</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2014</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«МОЭСК»</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Заместитель генерального директора по капитальному строительству</w:t>
            </w:r>
          </w:p>
        </w:tc>
      </w:tr>
      <w:tr w:rsidR="00670B18" w:rsidRPr="004761E0" w:rsidTr="00670B18">
        <w:tc>
          <w:tcPr>
            <w:tcW w:w="851" w:type="dxa"/>
            <w:shd w:val="clear" w:color="auto" w:fill="auto"/>
          </w:tcPr>
          <w:p w:rsidR="00670B18" w:rsidRPr="004761E0" w:rsidRDefault="00670B18" w:rsidP="006B4FAE">
            <w:pPr>
              <w:ind w:firstLine="0"/>
              <w:jc w:val="left"/>
              <w:rPr>
                <w:sz w:val="20"/>
                <w:szCs w:val="22"/>
              </w:rPr>
            </w:pPr>
            <w:r w:rsidRPr="004761E0">
              <w:rPr>
                <w:sz w:val="20"/>
                <w:szCs w:val="22"/>
              </w:rPr>
              <w:t>2011</w:t>
            </w:r>
          </w:p>
        </w:tc>
        <w:tc>
          <w:tcPr>
            <w:tcW w:w="992" w:type="dxa"/>
            <w:shd w:val="clear" w:color="auto" w:fill="auto"/>
          </w:tcPr>
          <w:p w:rsidR="00670B18" w:rsidRPr="004761E0" w:rsidRDefault="00670B18" w:rsidP="006B4FAE">
            <w:pPr>
              <w:ind w:firstLine="0"/>
              <w:jc w:val="left"/>
              <w:rPr>
                <w:sz w:val="20"/>
                <w:szCs w:val="22"/>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«МОЭСК»</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Член Правления</w:t>
            </w:r>
          </w:p>
        </w:tc>
      </w:tr>
      <w:tr w:rsidR="00670B18" w:rsidRPr="004761E0" w:rsidTr="00670B18">
        <w:tblPrEx>
          <w:tblLook w:val="04A0"/>
        </w:tblPrEx>
        <w:tc>
          <w:tcPr>
            <w:tcW w:w="14459" w:type="dxa"/>
            <w:gridSpan w:val="4"/>
          </w:tcPr>
          <w:p w:rsidR="00670B18" w:rsidRPr="004761E0" w:rsidRDefault="00670B18" w:rsidP="006B4FAE">
            <w:pPr>
              <w:ind w:firstLine="0"/>
              <w:jc w:val="left"/>
              <w:rPr>
                <w:bCs/>
                <w:iCs/>
                <w:sz w:val="20"/>
                <w:szCs w:val="26"/>
                <w:lang w:eastAsia="ru-RU"/>
              </w:rPr>
            </w:pPr>
            <w:r w:rsidRPr="004761E0">
              <w:rPr>
                <w:sz w:val="20"/>
                <w:szCs w:val="26"/>
                <w:lang w:eastAsia="ru-RU"/>
              </w:rPr>
              <w:t>Иная информация</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Доли участия в уставном капитале Общества/обыкновенных акций:</w:t>
            </w:r>
          </w:p>
        </w:tc>
        <w:tc>
          <w:tcPr>
            <w:tcW w:w="4536" w:type="dxa"/>
          </w:tcPr>
          <w:p w:rsidR="00670B18" w:rsidRPr="004761E0" w:rsidRDefault="00670B18" w:rsidP="006B4FAE">
            <w:pPr>
              <w:ind w:firstLine="0"/>
              <w:jc w:val="left"/>
              <w:rPr>
                <w:bCs/>
                <w:iCs/>
                <w:sz w:val="20"/>
                <w:szCs w:val="26"/>
                <w:lang w:eastAsia="ru-RU"/>
              </w:rPr>
            </w:pPr>
            <w:r w:rsidRPr="004761E0">
              <w:rPr>
                <w:bCs/>
                <w:iCs/>
                <w:sz w:val="20"/>
                <w:szCs w:val="26"/>
                <w:lang w:eastAsia="ru-RU"/>
              </w:rPr>
              <w:t>0,00004 % / 0,00004 %</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Доли участия лица в уставном (складочном) капитале (паевом фонде) дочерних и зависимых обществ Общества:</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долей не имеет</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Сведения о характере любых родственных связей с иными лицами, входящими в состав органов управления Общества и/или органов контроля за финансово-хозяйственной деятельностью Общества:</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Указанных родственных связей у лица нет.</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к указанным видам ответственности не привлекалось</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должностей не занимало.</w:t>
            </w:r>
          </w:p>
        </w:tc>
      </w:tr>
      <w:tr w:rsidR="00670B18" w:rsidRPr="004761E0" w:rsidTr="00670B18">
        <w:tblPrEx>
          <w:tblLook w:val="04A0"/>
        </w:tblPrEx>
        <w:tc>
          <w:tcPr>
            <w:tcW w:w="9923" w:type="dxa"/>
            <w:gridSpan w:val="3"/>
          </w:tcPr>
          <w:p w:rsidR="00670B18" w:rsidRPr="00670B18" w:rsidRDefault="00670B18" w:rsidP="00670B18">
            <w:pPr>
              <w:ind w:firstLine="0"/>
              <w:jc w:val="left"/>
              <w:rPr>
                <w:sz w:val="20"/>
                <w:szCs w:val="26"/>
                <w:lang w:eastAsia="ru-RU"/>
              </w:rPr>
            </w:pPr>
            <w:r w:rsidRPr="00670B18">
              <w:rPr>
                <w:sz w:val="20"/>
                <w:szCs w:val="26"/>
                <w:lang w:eastAsia="ru-RU"/>
              </w:rPr>
              <w:t>Сведения о сделках по приобретению или отчуждению акций Общества в течение отчетного года</w:t>
            </w:r>
            <w:r>
              <w:rPr>
                <w:sz w:val="20"/>
                <w:szCs w:val="26"/>
                <w:lang w:eastAsia="ru-RU"/>
              </w:rPr>
              <w:t>:</w:t>
            </w:r>
          </w:p>
        </w:tc>
        <w:tc>
          <w:tcPr>
            <w:tcW w:w="4536" w:type="dxa"/>
          </w:tcPr>
          <w:p w:rsidR="00670B18" w:rsidRPr="00670B18" w:rsidRDefault="00670B18" w:rsidP="00670B18">
            <w:pPr>
              <w:ind w:firstLine="0"/>
              <w:jc w:val="left"/>
              <w:rPr>
                <w:sz w:val="20"/>
                <w:szCs w:val="26"/>
                <w:lang w:eastAsia="ru-RU"/>
              </w:rPr>
            </w:pPr>
            <w:r w:rsidRPr="00670B18">
              <w:rPr>
                <w:sz w:val="20"/>
                <w:szCs w:val="26"/>
                <w:lang w:eastAsia="ru-RU"/>
              </w:rPr>
              <w:t>Лицом указанные сделки не совершались</w:t>
            </w:r>
            <w:r>
              <w:rPr>
                <w:sz w:val="20"/>
                <w:szCs w:val="26"/>
                <w:lang w:eastAsia="ru-RU"/>
              </w:rPr>
              <w:t>.</w:t>
            </w:r>
          </w:p>
        </w:tc>
      </w:tr>
      <w:tr w:rsidR="00670B18" w:rsidRPr="004761E0" w:rsidTr="00670B18">
        <w:tblPrEx>
          <w:tblLook w:val="04A0"/>
        </w:tblPrEx>
        <w:tc>
          <w:tcPr>
            <w:tcW w:w="9923" w:type="dxa"/>
            <w:gridSpan w:val="3"/>
          </w:tcPr>
          <w:p w:rsidR="00670B18" w:rsidRPr="004761E0" w:rsidRDefault="00670B18" w:rsidP="00670B18">
            <w:pPr>
              <w:ind w:firstLine="0"/>
              <w:jc w:val="left"/>
              <w:rPr>
                <w:sz w:val="20"/>
                <w:szCs w:val="26"/>
                <w:lang w:eastAsia="ru-RU"/>
              </w:rPr>
            </w:pPr>
            <w:r w:rsidRPr="004761E0">
              <w:rPr>
                <w:sz w:val="20"/>
                <w:szCs w:val="26"/>
                <w:lang w:eastAsia="ru-RU"/>
              </w:rPr>
              <w:t>Наличие согласия на раскрытие дан</w:t>
            </w:r>
            <w:r>
              <w:rPr>
                <w:sz w:val="20"/>
                <w:szCs w:val="26"/>
                <w:lang w:eastAsia="ru-RU"/>
              </w:rPr>
              <w:t>ной информации в Годовом отчете:</w:t>
            </w:r>
          </w:p>
        </w:tc>
        <w:tc>
          <w:tcPr>
            <w:tcW w:w="4536" w:type="dxa"/>
          </w:tcPr>
          <w:p w:rsidR="00670B18" w:rsidRPr="004761E0" w:rsidRDefault="00670B18" w:rsidP="006B4FAE">
            <w:pPr>
              <w:ind w:firstLine="0"/>
              <w:jc w:val="left"/>
              <w:rPr>
                <w:bCs/>
                <w:iCs/>
                <w:sz w:val="20"/>
                <w:szCs w:val="26"/>
                <w:lang w:eastAsia="ru-RU"/>
              </w:rPr>
            </w:pPr>
            <w:r w:rsidRPr="004761E0">
              <w:rPr>
                <w:bCs/>
                <w:iCs/>
                <w:sz w:val="20"/>
                <w:szCs w:val="26"/>
                <w:lang w:eastAsia="ru-RU"/>
              </w:rPr>
              <w:t>Лицом дано подобное согласие.</w:t>
            </w:r>
          </w:p>
        </w:tc>
      </w:tr>
      <w:tr w:rsidR="00670B18" w:rsidRPr="004761E0" w:rsidTr="00670B18">
        <w:tblPrEx>
          <w:tblLook w:val="04A0"/>
        </w:tblPrEx>
        <w:tc>
          <w:tcPr>
            <w:tcW w:w="14459" w:type="dxa"/>
            <w:gridSpan w:val="4"/>
            <w:shd w:val="clear" w:color="auto" w:fill="BFBFBF"/>
          </w:tcPr>
          <w:p w:rsidR="00670B18" w:rsidRPr="004761E0" w:rsidRDefault="00670B18" w:rsidP="007076A7">
            <w:pPr>
              <w:pStyle w:val="a5"/>
              <w:numPr>
                <w:ilvl w:val="0"/>
                <w:numId w:val="276"/>
              </w:numPr>
              <w:ind w:left="601" w:hanging="567"/>
              <w:contextualSpacing w:val="0"/>
              <w:jc w:val="left"/>
              <w:rPr>
                <w:b/>
                <w:bCs/>
                <w:iCs/>
                <w:sz w:val="20"/>
                <w:szCs w:val="20"/>
                <w:lang w:eastAsia="ru-RU"/>
              </w:rPr>
            </w:pPr>
            <w:r w:rsidRPr="004761E0">
              <w:rPr>
                <w:b/>
                <w:bCs/>
                <w:iCs/>
                <w:sz w:val="20"/>
                <w:szCs w:val="20"/>
                <w:lang w:eastAsia="ru-RU"/>
              </w:rPr>
              <w:t>Старостин Алексей Сергеевич</w:t>
            </w:r>
          </w:p>
        </w:tc>
      </w:tr>
      <w:tr w:rsidR="00670B18" w:rsidRPr="004761E0" w:rsidTr="00670B18">
        <w:tblPrEx>
          <w:tblLook w:val="04A0"/>
        </w:tblPrEx>
        <w:tc>
          <w:tcPr>
            <w:tcW w:w="14459" w:type="dxa"/>
            <w:gridSpan w:val="4"/>
          </w:tcPr>
          <w:p w:rsidR="00670B18" w:rsidRPr="004761E0" w:rsidRDefault="00670B18" w:rsidP="006B4FAE">
            <w:pPr>
              <w:ind w:firstLine="0"/>
              <w:jc w:val="left"/>
              <w:rPr>
                <w:bCs/>
                <w:iCs/>
                <w:sz w:val="20"/>
                <w:szCs w:val="20"/>
                <w:lang w:eastAsia="ru-RU"/>
              </w:rPr>
            </w:pPr>
            <w:r w:rsidRPr="004761E0">
              <w:rPr>
                <w:sz w:val="20"/>
                <w:szCs w:val="20"/>
                <w:lang w:eastAsia="ru-RU"/>
              </w:rPr>
              <w:t>Все должности, занимаемые данным лицом в Обществе и других организациях за последние 5 лет и в настоящее время в хронологическом порядке, в т.ч. по совместительству:</w:t>
            </w:r>
          </w:p>
        </w:tc>
      </w:tr>
      <w:tr w:rsidR="00670B18" w:rsidRPr="004761E0" w:rsidTr="00670B18">
        <w:tc>
          <w:tcPr>
            <w:tcW w:w="1843" w:type="dxa"/>
            <w:gridSpan w:val="2"/>
            <w:tcBorders>
              <w:bottom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2"/>
              </w:rPr>
            </w:pPr>
            <w:r w:rsidRPr="004761E0">
              <w:rPr>
                <w:b/>
                <w:sz w:val="20"/>
                <w:szCs w:val="22"/>
              </w:rPr>
              <w:t>Период</w:t>
            </w:r>
          </w:p>
        </w:tc>
        <w:tc>
          <w:tcPr>
            <w:tcW w:w="8080" w:type="dxa"/>
            <w:vMerge w:val="restart"/>
            <w:tcBorders>
              <w:left w:val="single" w:sz="4" w:space="0" w:color="FFFFFF"/>
              <w:bottom w:val="single" w:sz="4" w:space="0" w:color="FFFFFF"/>
              <w:right w:val="single" w:sz="4" w:space="0" w:color="FFFFFF"/>
            </w:tcBorders>
            <w:shd w:val="clear" w:color="auto" w:fill="0F243E"/>
            <w:vAlign w:val="center"/>
          </w:tcPr>
          <w:p w:rsidR="00670B18" w:rsidRPr="004761E0" w:rsidRDefault="00670B18" w:rsidP="006B4FAE">
            <w:pPr>
              <w:ind w:firstLine="0"/>
              <w:jc w:val="left"/>
              <w:rPr>
                <w:b/>
                <w:sz w:val="20"/>
                <w:szCs w:val="22"/>
              </w:rPr>
            </w:pPr>
            <w:r w:rsidRPr="004761E0">
              <w:rPr>
                <w:b/>
                <w:sz w:val="20"/>
                <w:szCs w:val="22"/>
              </w:rPr>
              <w:t>Наименование организации</w:t>
            </w:r>
          </w:p>
        </w:tc>
        <w:tc>
          <w:tcPr>
            <w:tcW w:w="4536" w:type="dxa"/>
            <w:vMerge w:val="restart"/>
            <w:tcBorders>
              <w:left w:val="single" w:sz="4" w:space="0" w:color="FFFFFF"/>
              <w:bottom w:val="single" w:sz="4" w:space="0" w:color="FFFFFF"/>
            </w:tcBorders>
            <w:shd w:val="clear" w:color="auto" w:fill="0F243E"/>
            <w:vAlign w:val="center"/>
          </w:tcPr>
          <w:p w:rsidR="00670B18" w:rsidRPr="004761E0" w:rsidRDefault="00670B18" w:rsidP="006B4FAE">
            <w:pPr>
              <w:ind w:firstLine="0"/>
              <w:jc w:val="left"/>
              <w:rPr>
                <w:b/>
                <w:sz w:val="20"/>
                <w:szCs w:val="22"/>
              </w:rPr>
            </w:pPr>
            <w:r w:rsidRPr="004761E0">
              <w:rPr>
                <w:b/>
                <w:sz w:val="20"/>
                <w:szCs w:val="22"/>
              </w:rPr>
              <w:t>Должность</w:t>
            </w:r>
          </w:p>
        </w:tc>
      </w:tr>
      <w:tr w:rsidR="00670B18" w:rsidRPr="004761E0" w:rsidTr="00670B18">
        <w:tc>
          <w:tcPr>
            <w:tcW w:w="851" w:type="dxa"/>
            <w:tcBorders>
              <w:top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2"/>
              </w:rPr>
            </w:pPr>
            <w:r w:rsidRPr="004761E0">
              <w:rPr>
                <w:b/>
                <w:sz w:val="20"/>
                <w:szCs w:val="22"/>
              </w:rPr>
              <w:t>с</w:t>
            </w:r>
          </w:p>
        </w:tc>
        <w:tc>
          <w:tcPr>
            <w:tcW w:w="992" w:type="dxa"/>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2"/>
              </w:rPr>
            </w:pPr>
            <w:r w:rsidRPr="004761E0">
              <w:rPr>
                <w:b/>
                <w:sz w:val="20"/>
                <w:szCs w:val="22"/>
              </w:rPr>
              <w:t>по</w:t>
            </w:r>
          </w:p>
        </w:tc>
        <w:tc>
          <w:tcPr>
            <w:tcW w:w="8080" w:type="dxa"/>
            <w:vMerge/>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jc w:val="center"/>
              <w:rPr>
                <w:b/>
                <w:sz w:val="20"/>
                <w:szCs w:val="22"/>
              </w:rPr>
            </w:pPr>
          </w:p>
        </w:tc>
        <w:tc>
          <w:tcPr>
            <w:tcW w:w="4536" w:type="dxa"/>
            <w:vMerge/>
            <w:tcBorders>
              <w:top w:val="single" w:sz="4" w:space="0" w:color="FFFFFF"/>
              <w:left w:val="single" w:sz="4" w:space="0" w:color="FFFFFF"/>
            </w:tcBorders>
            <w:shd w:val="clear" w:color="auto" w:fill="0F243E"/>
            <w:vAlign w:val="center"/>
          </w:tcPr>
          <w:p w:rsidR="00670B18" w:rsidRPr="004761E0" w:rsidRDefault="00670B18" w:rsidP="006B4FAE">
            <w:pPr>
              <w:jc w:val="center"/>
              <w:rPr>
                <w:b/>
                <w:sz w:val="20"/>
                <w:szCs w:val="22"/>
              </w:rPr>
            </w:pPr>
          </w:p>
        </w:tc>
      </w:tr>
      <w:tr w:rsidR="00670B18" w:rsidRPr="004761E0" w:rsidTr="00670B18">
        <w:tc>
          <w:tcPr>
            <w:tcW w:w="851" w:type="dxa"/>
            <w:shd w:val="clear" w:color="auto" w:fill="auto"/>
          </w:tcPr>
          <w:p w:rsidR="00670B18" w:rsidRPr="004761E0" w:rsidRDefault="00670B18" w:rsidP="006B4FAE">
            <w:pPr>
              <w:ind w:firstLine="0"/>
              <w:jc w:val="left"/>
              <w:rPr>
                <w:sz w:val="20"/>
                <w:szCs w:val="22"/>
              </w:rPr>
            </w:pPr>
            <w:r w:rsidRPr="004761E0">
              <w:rPr>
                <w:sz w:val="20"/>
                <w:szCs w:val="22"/>
              </w:rPr>
              <w:t>2008</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2009</w:t>
            </w:r>
          </w:p>
        </w:tc>
        <w:tc>
          <w:tcPr>
            <w:tcW w:w="8080" w:type="dxa"/>
            <w:shd w:val="clear" w:color="auto" w:fill="auto"/>
          </w:tcPr>
          <w:p w:rsidR="00670B18" w:rsidRPr="004761E0" w:rsidRDefault="00670B18" w:rsidP="006B4FAE">
            <w:pPr>
              <w:ind w:firstLine="0"/>
              <w:jc w:val="left"/>
              <w:rPr>
                <w:sz w:val="20"/>
                <w:szCs w:val="22"/>
              </w:rPr>
            </w:pPr>
            <w:r>
              <w:rPr>
                <w:sz w:val="20"/>
                <w:szCs w:val="22"/>
              </w:rPr>
              <w:t>ООО </w:t>
            </w:r>
            <w:r w:rsidRPr="004761E0">
              <w:rPr>
                <w:sz w:val="20"/>
                <w:szCs w:val="22"/>
              </w:rPr>
              <w:t>«ЕвроСибэнерго»</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Директор по правовым вопросам</w:t>
            </w:r>
          </w:p>
        </w:tc>
      </w:tr>
      <w:tr w:rsidR="00670B18" w:rsidRPr="004761E0" w:rsidTr="00670B18">
        <w:tc>
          <w:tcPr>
            <w:tcW w:w="851" w:type="dxa"/>
            <w:shd w:val="clear" w:color="auto" w:fill="auto"/>
          </w:tcPr>
          <w:p w:rsidR="00670B18" w:rsidRPr="004761E0" w:rsidRDefault="00670B18" w:rsidP="006B4FAE">
            <w:pPr>
              <w:ind w:firstLine="0"/>
              <w:jc w:val="left"/>
              <w:rPr>
                <w:sz w:val="20"/>
                <w:szCs w:val="22"/>
              </w:rPr>
            </w:pPr>
            <w:r w:rsidRPr="004761E0">
              <w:rPr>
                <w:sz w:val="20"/>
                <w:szCs w:val="22"/>
              </w:rPr>
              <w:t>2009</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2009</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«Иркутскэнерго»</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Директор по правовым вопросам</w:t>
            </w:r>
          </w:p>
        </w:tc>
      </w:tr>
      <w:tr w:rsidR="00670B18" w:rsidRPr="004761E0" w:rsidTr="00670B18">
        <w:tc>
          <w:tcPr>
            <w:tcW w:w="851" w:type="dxa"/>
            <w:shd w:val="clear" w:color="auto" w:fill="auto"/>
          </w:tcPr>
          <w:p w:rsidR="00670B18" w:rsidRPr="004761E0" w:rsidRDefault="00670B18" w:rsidP="006B4FAE">
            <w:pPr>
              <w:ind w:firstLine="0"/>
              <w:jc w:val="left"/>
              <w:rPr>
                <w:sz w:val="20"/>
                <w:szCs w:val="22"/>
              </w:rPr>
            </w:pPr>
            <w:r w:rsidRPr="004761E0">
              <w:rPr>
                <w:sz w:val="20"/>
                <w:szCs w:val="22"/>
              </w:rPr>
              <w:t>2009</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2012</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«Мосэнергосбыт»</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Заместитель генерального директора по правовому и корпоративному обеспечению, заместитель управляющего директора по правовым и корпоративному обеспечению</w:t>
            </w:r>
          </w:p>
        </w:tc>
      </w:tr>
      <w:tr w:rsidR="00670B18" w:rsidRPr="004761E0" w:rsidTr="00670B18">
        <w:tc>
          <w:tcPr>
            <w:tcW w:w="851" w:type="dxa"/>
            <w:shd w:val="clear" w:color="auto" w:fill="auto"/>
          </w:tcPr>
          <w:p w:rsidR="00670B18" w:rsidRPr="004761E0" w:rsidRDefault="00670B18" w:rsidP="006B4FAE">
            <w:pPr>
              <w:ind w:firstLine="0"/>
              <w:jc w:val="left"/>
              <w:rPr>
                <w:sz w:val="20"/>
                <w:szCs w:val="22"/>
              </w:rPr>
            </w:pPr>
            <w:r w:rsidRPr="004761E0">
              <w:rPr>
                <w:sz w:val="20"/>
                <w:szCs w:val="22"/>
              </w:rPr>
              <w:t>2012</w:t>
            </w:r>
          </w:p>
        </w:tc>
        <w:tc>
          <w:tcPr>
            <w:tcW w:w="992" w:type="dxa"/>
            <w:shd w:val="clear" w:color="auto" w:fill="auto"/>
          </w:tcPr>
          <w:p w:rsidR="00670B18" w:rsidRPr="004761E0" w:rsidRDefault="00670B18" w:rsidP="006B4FAE">
            <w:pPr>
              <w:ind w:firstLine="0"/>
              <w:jc w:val="left"/>
              <w:rPr>
                <w:sz w:val="20"/>
                <w:szCs w:val="22"/>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«МОЭСК»</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Заместитель генерального директора по корпоративному управлению и собственности, член Правления</w:t>
            </w:r>
          </w:p>
        </w:tc>
      </w:tr>
      <w:tr w:rsidR="00670B18" w:rsidRPr="004761E0" w:rsidTr="00670B18">
        <w:tblPrEx>
          <w:tblLook w:val="04A0"/>
        </w:tblPrEx>
        <w:tc>
          <w:tcPr>
            <w:tcW w:w="14459" w:type="dxa"/>
            <w:gridSpan w:val="4"/>
          </w:tcPr>
          <w:p w:rsidR="00670B18" w:rsidRPr="004761E0" w:rsidRDefault="00670B18" w:rsidP="006B4FAE">
            <w:pPr>
              <w:ind w:firstLine="0"/>
              <w:jc w:val="left"/>
              <w:rPr>
                <w:bCs/>
                <w:iCs/>
                <w:sz w:val="20"/>
                <w:szCs w:val="26"/>
                <w:lang w:eastAsia="ru-RU"/>
              </w:rPr>
            </w:pPr>
            <w:r w:rsidRPr="004761E0">
              <w:rPr>
                <w:sz w:val="20"/>
                <w:szCs w:val="26"/>
                <w:lang w:eastAsia="ru-RU"/>
              </w:rPr>
              <w:t>Иная информация</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Доли участия в уставном капитале Общества/обыкновенных акций:</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долей не имеет</w:t>
            </w:r>
            <w:r w:rsidRPr="004761E0">
              <w:rPr>
                <w:sz w:val="20"/>
                <w:szCs w:val="26"/>
                <w:lang w:eastAsia="ru-RU"/>
              </w:rPr>
              <w:t>.</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Доли участия лица в уставном (складочном) капитале (паевом фонде) дочерних и зависимых обществ Общества:</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долей не имеет</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lastRenderedPageBreak/>
              <w:t>Сведения о характере любых родственных связей с иными лицами, входящими в состав органов управления Общества и/или органов контроля за финансово-хозяйственной деятельностью Общества:</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Указанных родственных связей у лица нет.</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к указанным видам ответственности не привлекалось</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должностей не занимало.</w:t>
            </w:r>
          </w:p>
        </w:tc>
      </w:tr>
      <w:tr w:rsidR="00670B18" w:rsidRPr="004761E0" w:rsidTr="00670B18">
        <w:tblPrEx>
          <w:tblLook w:val="04A0"/>
        </w:tblPrEx>
        <w:tc>
          <w:tcPr>
            <w:tcW w:w="9923" w:type="dxa"/>
            <w:gridSpan w:val="3"/>
          </w:tcPr>
          <w:p w:rsidR="00670B18" w:rsidRPr="00670B18" w:rsidRDefault="00670B18" w:rsidP="00670B18">
            <w:pPr>
              <w:ind w:firstLine="0"/>
              <w:jc w:val="left"/>
              <w:rPr>
                <w:sz w:val="20"/>
                <w:szCs w:val="26"/>
                <w:lang w:eastAsia="ru-RU"/>
              </w:rPr>
            </w:pPr>
            <w:r w:rsidRPr="00670B18">
              <w:rPr>
                <w:sz w:val="20"/>
                <w:szCs w:val="26"/>
                <w:lang w:eastAsia="ru-RU"/>
              </w:rPr>
              <w:t>Сведения о сделках по приобретению или отчуждению акций Общества в течение отчетного года</w:t>
            </w:r>
            <w:r>
              <w:rPr>
                <w:sz w:val="20"/>
                <w:szCs w:val="26"/>
                <w:lang w:eastAsia="ru-RU"/>
              </w:rPr>
              <w:t>:</w:t>
            </w:r>
          </w:p>
        </w:tc>
        <w:tc>
          <w:tcPr>
            <w:tcW w:w="4536" w:type="dxa"/>
          </w:tcPr>
          <w:p w:rsidR="00670B18" w:rsidRPr="00670B18" w:rsidRDefault="00670B18" w:rsidP="00670B18">
            <w:pPr>
              <w:ind w:firstLine="0"/>
              <w:jc w:val="left"/>
              <w:rPr>
                <w:sz w:val="20"/>
                <w:szCs w:val="26"/>
                <w:lang w:eastAsia="ru-RU"/>
              </w:rPr>
            </w:pPr>
            <w:r w:rsidRPr="00670B18">
              <w:rPr>
                <w:sz w:val="20"/>
                <w:szCs w:val="26"/>
                <w:lang w:eastAsia="ru-RU"/>
              </w:rPr>
              <w:t>Лицом указанные сделки не совершались</w:t>
            </w:r>
            <w:r>
              <w:rPr>
                <w:sz w:val="20"/>
                <w:szCs w:val="26"/>
                <w:lang w:eastAsia="ru-RU"/>
              </w:rPr>
              <w:t>.</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Pr>
                <w:sz w:val="20"/>
                <w:szCs w:val="26"/>
                <w:lang w:eastAsia="ru-RU"/>
              </w:rPr>
              <w:t xml:space="preserve">Наличие </w:t>
            </w:r>
            <w:r w:rsidRPr="004761E0">
              <w:rPr>
                <w:sz w:val="20"/>
                <w:szCs w:val="26"/>
                <w:lang w:eastAsia="ru-RU"/>
              </w:rPr>
              <w:t>согласия на раскрытие дан</w:t>
            </w:r>
            <w:r>
              <w:rPr>
                <w:sz w:val="20"/>
                <w:szCs w:val="26"/>
                <w:lang w:eastAsia="ru-RU"/>
              </w:rPr>
              <w:t>ной информации в Годовом отчете:</w:t>
            </w:r>
          </w:p>
        </w:tc>
        <w:tc>
          <w:tcPr>
            <w:tcW w:w="4536" w:type="dxa"/>
          </w:tcPr>
          <w:p w:rsidR="00670B18" w:rsidRPr="004761E0" w:rsidRDefault="00670B18" w:rsidP="006B4FAE">
            <w:pPr>
              <w:ind w:firstLine="0"/>
              <w:jc w:val="left"/>
              <w:rPr>
                <w:bCs/>
                <w:iCs/>
                <w:sz w:val="20"/>
                <w:szCs w:val="26"/>
                <w:lang w:eastAsia="ru-RU"/>
              </w:rPr>
            </w:pPr>
            <w:r w:rsidRPr="004761E0">
              <w:rPr>
                <w:bCs/>
                <w:iCs/>
                <w:sz w:val="20"/>
                <w:szCs w:val="26"/>
                <w:lang w:eastAsia="ru-RU"/>
              </w:rPr>
              <w:t>Лицом дано подобное согласие.</w:t>
            </w:r>
          </w:p>
        </w:tc>
      </w:tr>
      <w:tr w:rsidR="00670B18" w:rsidRPr="004761E0" w:rsidTr="00670B18">
        <w:tblPrEx>
          <w:tblLook w:val="04A0"/>
        </w:tblPrEx>
        <w:tc>
          <w:tcPr>
            <w:tcW w:w="14459" w:type="dxa"/>
            <w:gridSpan w:val="4"/>
            <w:shd w:val="clear" w:color="auto" w:fill="BFBFBF"/>
          </w:tcPr>
          <w:p w:rsidR="00670B18" w:rsidRPr="004761E0" w:rsidRDefault="00670B18" w:rsidP="007076A7">
            <w:pPr>
              <w:pStyle w:val="a5"/>
              <w:numPr>
                <w:ilvl w:val="0"/>
                <w:numId w:val="276"/>
              </w:numPr>
              <w:ind w:left="601" w:hanging="567"/>
              <w:contextualSpacing w:val="0"/>
              <w:jc w:val="left"/>
              <w:rPr>
                <w:b/>
                <w:bCs/>
                <w:iCs/>
                <w:sz w:val="20"/>
                <w:szCs w:val="20"/>
                <w:lang w:eastAsia="ru-RU"/>
              </w:rPr>
            </w:pPr>
            <w:r w:rsidRPr="004761E0">
              <w:rPr>
                <w:b/>
                <w:bCs/>
                <w:iCs/>
                <w:sz w:val="20"/>
                <w:szCs w:val="20"/>
                <w:lang w:eastAsia="ru-RU"/>
              </w:rPr>
              <w:t>Хацкевич Станислав Феликсович</w:t>
            </w:r>
          </w:p>
        </w:tc>
      </w:tr>
      <w:tr w:rsidR="00670B18" w:rsidRPr="004761E0" w:rsidTr="00670B18">
        <w:tblPrEx>
          <w:tblLook w:val="04A0"/>
        </w:tblPrEx>
        <w:tc>
          <w:tcPr>
            <w:tcW w:w="14459" w:type="dxa"/>
            <w:gridSpan w:val="4"/>
          </w:tcPr>
          <w:p w:rsidR="00670B18" w:rsidRPr="004761E0" w:rsidRDefault="00670B18" w:rsidP="006B4FAE">
            <w:pPr>
              <w:ind w:firstLine="0"/>
              <w:jc w:val="left"/>
              <w:rPr>
                <w:bCs/>
                <w:iCs/>
                <w:sz w:val="20"/>
                <w:szCs w:val="26"/>
                <w:lang w:eastAsia="ru-RU"/>
              </w:rPr>
            </w:pPr>
            <w:r w:rsidRPr="004761E0">
              <w:rPr>
                <w:sz w:val="20"/>
                <w:szCs w:val="26"/>
                <w:lang w:eastAsia="ru-RU"/>
              </w:rPr>
              <w:t>Все должности, занимаемые данным лицом в Обществе и других организациях за последние 5 лет и в настоящее время в хронологическом порядке, в т.ч. по совместительству:</w:t>
            </w:r>
          </w:p>
        </w:tc>
      </w:tr>
      <w:tr w:rsidR="00670B18" w:rsidRPr="004761E0" w:rsidTr="00670B18">
        <w:tc>
          <w:tcPr>
            <w:tcW w:w="1843" w:type="dxa"/>
            <w:gridSpan w:val="2"/>
            <w:tcBorders>
              <w:bottom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2"/>
              </w:rPr>
            </w:pPr>
            <w:r w:rsidRPr="004761E0">
              <w:rPr>
                <w:b/>
                <w:sz w:val="20"/>
                <w:szCs w:val="22"/>
              </w:rPr>
              <w:t>Период</w:t>
            </w:r>
          </w:p>
        </w:tc>
        <w:tc>
          <w:tcPr>
            <w:tcW w:w="8080" w:type="dxa"/>
            <w:vMerge w:val="restart"/>
            <w:tcBorders>
              <w:left w:val="single" w:sz="4" w:space="0" w:color="FFFFFF"/>
              <w:bottom w:val="single" w:sz="4" w:space="0" w:color="FFFFFF"/>
              <w:right w:val="single" w:sz="4" w:space="0" w:color="FFFFFF"/>
            </w:tcBorders>
            <w:shd w:val="clear" w:color="auto" w:fill="0F243E"/>
            <w:vAlign w:val="center"/>
          </w:tcPr>
          <w:p w:rsidR="00670B18" w:rsidRPr="004761E0" w:rsidRDefault="00670B18" w:rsidP="006B4FAE">
            <w:pPr>
              <w:ind w:firstLine="0"/>
              <w:jc w:val="left"/>
              <w:rPr>
                <w:b/>
                <w:sz w:val="20"/>
                <w:szCs w:val="22"/>
              </w:rPr>
            </w:pPr>
            <w:r w:rsidRPr="004761E0">
              <w:rPr>
                <w:b/>
                <w:sz w:val="20"/>
                <w:szCs w:val="22"/>
              </w:rPr>
              <w:t>Наименование организации</w:t>
            </w:r>
          </w:p>
        </w:tc>
        <w:tc>
          <w:tcPr>
            <w:tcW w:w="4536" w:type="dxa"/>
            <w:vMerge w:val="restart"/>
            <w:tcBorders>
              <w:left w:val="single" w:sz="4" w:space="0" w:color="FFFFFF"/>
              <w:bottom w:val="single" w:sz="4" w:space="0" w:color="FFFFFF"/>
            </w:tcBorders>
            <w:shd w:val="clear" w:color="auto" w:fill="0F243E"/>
            <w:vAlign w:val="center"/>
          </w:tcPr>
          <w:p w:rsidR="00670B18" w:rsidRPr="004761E0" w:rsidRDefault="00670B18" w:rsidP="006B4FAE">
            <w:pPr>
              <w:ind w:firstLine="0"/>
              <w:jc w:val="left"/>
              <w:rPr>
                <w:b/>
                <w:sz w:val="20"/>
                <w:szCs w:val="22"/>
              </w:rPr>
            </w:pPr>
            <w:r w:rsidRPr="004761E0">
              <w:rPr>
                <w:b/>
                <w:sz w:val="20"/>
                <w:szCs w:val="22"/>
              </w:rPr>
              <w:t>Должность</w:t>
            </w:r>
          </w:p>
        </w:tc>
      </w:tr>
      <w:tr w:rsidR="00670B18" w:rsidRPr="004761E0" w:rsidTr="00670B18">
        <w:tc>
          <w:tcPr>
            <w:tcW w:w="851" w:type="dxa"/>
            <w:tcBorders>
              <w:top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2"/>
              </w:rPr>
            </w:pPr>
            <w:r w:rsidRPr="004761E0">
              <w:rPr>
                <w:b/>
                <w:sz w:val="20"/>
                <w:szCs w:val="22"/>
              </w:rPr>
              <w:t>с</w:t>
            </w:r>
          </w:p>
        </w:tc>
        <w:tc>
          <w:tcPr>
            <w:tcW w:w="992" w:type="dxa"/>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2"/>
              </w:rPr>
            </w:pPr>
            <w:r w:rsidRPr="004761E0">
              <w:rPr>
                <w:b/>
                <w:sz w:val="20"/>
                <w:szCs w:val="22"/>
              </w:rPr>
              <w:t>по</w:t>
            </w:r>
          </w:p>
        </w:tc>
        <w:tc>
          <w:tcPr>
            <w:tcW w:w="8080" w:type="dxa"/>
            <w:vMerge/>
            <w:tcBorders>
              <w:top w:val="single" w:sz="4" w:space="0" w:color="FFFFFF"/>
              <w:left w:val="single" w:sz="4" w:space="0" w:color="FFFFFF"/>
              <w:right w:val="single" w:sz="4" w:space="0" w:color="FFFFFF"/>
            </w:tcBorders>
            <w:shd w:val="clear" w:color="auto" w:fill="002060"/>
            <w:vAlign w:val="center"/>
          </w:tcPr>
          <w:p w:rsidR="00670B18" w:rsidRPr="004761E0" w:rsidRDefault="00670B18" w:rsidP="006B4FAE">
            <w:pPr>
              <w:jc w:val="center"/>
              <w:rPr>
                <w:b/>
                <w:sz w:val="20"/>
                <w:szCs w:val="22"/>
              </w:rPr>
            </w:pPr>
          </w:p>
        </w:tc>
        <w:tc>
          <w:tcPr>
            <w:tcW w:w="4536" w:type="dxa"/>
            <w:vMerge/>
            <w:tcBorders>
              <w:top w:val="single" w:sz="4" w:space="0" w:color="FFFFFF"/>
              <w:left w:val="single" w:sz="4" w:space="0" w:color="FFFFFF"/>
            </w:tcBorders>
            <w:shd w:val="clear" w:color="auto" w:fill="002060"/>
            <w:vAlign w:val="center"/>
          </w:tcPr>
          <w:p w:rsidR="00670B18" w:rsidRPr="004761E0" w:rsidRDefault="00670B18" w:rsidP="006B4FAE">
            <w:pPr>
              <w:jc w:val="center"/>
              <w:rPr>
                <w:b/>
                <w:sz w:val="20"/>
                <w:szCs w:val="22"/>
              </w:rPr>
            </w:pPr>
          </w:p>
        </w:tc>
      </w:tr>
      <w:tr w:rsidR="00670B18" w:rsidRPr="004761E0" w:rsidTr="00670B18">
        <w:tc>
          <w:tcPr>
            <w:tcW w:w="851" w:type="dxa"/>
            <w:shd w:val="clear" w:color="auto" w:fill="auto"/>
          </w:tcPr>
          <w:p w:rsidR="00670B18" w:rsidRPr="004761E0" w:rsidRDefault="00670B18" w:rsidP="006B4FAE">
            <w:pPr>
              <w:ind w:firstLine="0"/>
              <w:jc w:val="left"/>
              <w:rPr>
                <w:sz w:val="20"/>
                <w:szCs w:val="22"/>
              </w:rPr>
            </w:pPr>
            <w:r w:rsidRPr="004761E0">
              <w:rPr>
                <w:sz w:val="20"/>
                <w:szCs w:val="22"/>
              </w:rPr>
              <w:t>2008</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2009</w:t>
            </w:r>
          </w:p>
        </w:tc>
        <w:tc>
          <w:tcPr>
            <w:tcW w:w="8080" w:type="dxa"/>
            <w:shd w:val="clear" w:color="auto" w:fill="auto"/>
          </w:tcPr>
          <w:p w:rsidR="00670B18" w:rsidRPr="004761E0" w:rsidRDefault="00670B18" w:rsidP="006B4FAE">
            <w:pPr>
              <w:ind w:firstLine="0"/>
              <w:jc w:val="left"/>
              <w:rPr>
                <w:sz w:val="20"/>
                <w:szCs w:val="22"/>
              </w:rPr>
            </w:pPr>
            <w:r>
              <w:rPr>
                <w:sz w:val="20"/>
                <w:szCs w:val="22"/>
              </w:rPr>
              <w:t>ЗАО </w:t>
            </w:r>
            <w:r w:rsidRPr="004761E0">
              <w:rPr>
                <w:sz w:val="20"/>
                <w:szCs w:val="22"/>
              </w:rPr>
              <w:t>«Миракс-Фили»</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Заместитель генерального директора</w:t>
            </w:r>
          </w:p>
        </w:tc>
      </w:tr>
      <w:tr w:rsidR="00670B18" w:rsidRPr="004761E0" w:rsidTr="00670B18">
        <w:tc>
          <w:tcPr>
            <w:tcW w:w="851" w:type="dxa"/>
            <w:shd w:val="clear" w:color="auto" w:fill="auto"/>
          </w:tcPr>
          <w:p w:rsidR="00670B18" w:rsidRPr="004761E0" w:rsidRDefault="00670B18" w:rsidP="006B4FAE">
            <w:pPr>
              <w:ind w:firstLine="0"/>
              <w:jc w:val="left"/>
              <w:rPr>
                <w:sz w:val="20"/>
                <w:szCs w:val="22"/>
              </w:rPr>
            </w:pPr>
            <w:r w:rsidRPr="004761E0">
              <w:rPr>
                <w:sz w:val="20"/>
                <w:szCs w:val="22"/>
              </w:rPr>
              <w:t>2009</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2011</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«Дальмостострой»</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Генеральный директор</w:t>
            </w:r>
          </w:p>
        </w:tc>
      </w:tr>
      <w:tr w:rsidR="00670B18" w:rsidRPr="004761E0" w:rsidTr="00670B18">
        <w:tc>
          <w:tcPr>
            <w:tcW w:w="851" w:type="dxa"/>
            <w:shd w:val="clear" w:color="auto" w:fill="auto"/>
          </w:tcPr>
          <w:p w:rsidR="00670B18" w:rsidRPr="004761E0" w:rsidRDefault="00670B18" w:rsidP="006B4FAE">
            <w:pPr>
              <w:ind w:firstLine="0"/>
              <w:jc w:val="left"/>
              <w:rPr>
                <w:sz w:val="20"/>
                <w:szCs w:val="22"/>
              </w:rPr>
            </w:pPr>
            <w:r w:rsidRPr="004761E0">
              <w:rPr>
                <w:sz w:val="20"/>
                <w:szCs w:val="22"/>
              </w:rPr>
              <w:t>2011</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2012</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«Красная Поляна»</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Генеральный директор</w:t>
            </w:r>
          </w:p>
        </w:tc>
      </w:tr>
      <w:tr w:rsidR="00670B18" w:rsidRPr="004761E0" w:rsidTr="00670B18">
        <w:tc>
          <w:tcPr>
            <w:tcW w:w="851" w:type="dxa"/>
            <w:shd w:val="clear" w:color="auto" w:fill="auto"/>
          </w:tcPr>
          <w:p w:rsidR="00670B18" w:rsidRPr="004761E0" w:rsidRDefault="00670B18" w:rsidP="006B4FAE">
            <w:pPr>
              <w:ind w:firstLine="0"/>
              <w:jc w:val="left"/>
              <w:rPr>
                <w:sz w:val="20"/>
                <w:szCs w:val="22"/>
              </w:rPr>
            </w:pPr>
            <w:r w:rsidRPr="004761E0">
              <w:rPr>
                <w:sz w:val="20"/>
                <w:szCs w:val="22"/>
              </w:rPr>
              <w:t>2012</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2013</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«МОЭСК»</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Заместитель генерального директора по развитию и реализации услуг, член Правления</w:t>
            </w:r>
          </w:p>
        </w:tc>
      </w:tr>
      <w:tr w:rsidR="00670B18" w:rsidRPr="004761E0" w:rsidTr="00670B18">
        <w:tc>
          <w:tcPr>
            <w:tcW w:w="851" w:type="dxa"/>
            <w:shd w:val="clear" w:color="auto" w:fill="auto"/>
          </w:tcPr>
          <w:p w:rsidR="00670B18" w:rsidRPr="004761E0" w:rsidRDefault="00670B18" w:rsidP="006B4FAE">
            <w:pPr>
              <w:ind w:firstLine="0"/>
              <w:jc w:val="left"/>
              <w:rPr>
                <w:sz w:val="20"/>
                <w:szCs w:val="22"/>
              </w:rPr>
            </w:pPr>
            <w:r w:rsidRPr="004761E0">
              <w:rPr>
                <w:sz w:val="20"/>
                <w:szCs w:val="22"/>
              </w:rPr>
              <w:t>2013</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2013</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«МОЭСК»</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Заместитель генерального директора по технологическому присоединению и развитию услуг, член Правления</w:t>
            </w:r>
          </w:p>
        </w:tc>
      </w:tr>
      <w:tr w:rsidR="00670B18" w:rsidRPr="004761E0" w:rsidTr="00670B18">
        <w:tc>
          <w:tcPr>
            <w:tcW w:w="851" w:type="dxa"/>
            <w:shd w:val="clear" w:color="auto" w:fill="auto"/>
          </w:tcPr>
          <w:p w:rsidR="00670B18" w:rsidRPr="004761E0" w:rsidRDefault="00670B18" w:rsidP="006B4FAE">
            <w:pPr>
              <w:ind w:firstLine="0"/>
              <w:jc w:val="left"/>
              <w:rPr>
                <w:sz w:val="20"/>
                <w:szCs w:val="22"/>
              </w:rPr>
            </w:pPr>
            <w:r w:rsidRPr="004761E0">
              <w:rPr>
                <w:sz w:val="20"/>
                <w:szCs w:val="22"/>
              </w:rPr>
              <w:t>2012</w:t>
            </w:r>
          </w:p>
        </w:tc>
        <w:tc>
          <w:tcPr>
            <w:tcW w:w="992" w:type="dxa"/>
            <w:shd w:val="clear" w:color="auto" w:fill="auto"/>
          </w:tcPr>
          <w:p w:rsidR="00670B18" w:rsidRPr="004761E0" w:rsidRDefault="00670B18" w:rsidP="006B4FAE">
            <w:pPr>
              <w:ind w:firstLine="0"/>
              <w:jc w:val="left"/>
              <w:rPr>
                <w:sz w:val="20"/>
                <w:szCs w:val="22"/>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«МОЭСК»</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Советник, член Правления</w:t>
            </w:r>
          </w:p>
        </w:tc>
      </w:tr>
      <w:tr w:rsidR="00670B18" w:rsidRPr="004761E0" w:rsidTr="00670B18">
        <w:tblPrEx>
          <w:tblLook w:val="04A0"/>
        </w:tblPrEx>
        <w:tc>
          <w:tcPr>
            <w:tcW w:w="14459" w:type="dxa"/>
            <w:gridSpan w:val="4"/>
          </w:tcPr>
          <w:p w:rsidR="00670B18" w:rsidRPr="004761E0" w:rsidRDefault="00670B18" w:rsidP="006B4FAE">
            <w:pPr>
              <w:ind w:firstLine="0"/>
              <w:jc w:val="left"/>
              <w:rPr>
                <w:bCs/>
                <w:iCs/>
                <w:sz w:val="20"/>
                <w:szCs w:val="26"/>
                <w:lang w:eastAsia="ru-RU"/>
              </w:rPr>
            </w:pPr>
            <w:r w:rsidRPr="004761E0">
              <w:rPr>
                <w:sz w:val="20"/>
                <w:szCs w:val="26"/>
                <w:lang w:eastAsia="ru-RU"/>
              </w:rPr>
              <w:t>Иная информация</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Доли участия в уставном капитале Общества/обыкновенных акций:</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долей не имеет</w:t>
            </w:r>
            <w:r w:rsidRPr="004761E0">
              <w:rPr>
                <w:sz w:val="20"/>
                <w:szCs w:val="26"/>
                <w:lang w:eastAsia="ru-RU"/>
              </w:rPr>
              <w:t>.</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Доли участия лица в уставном (складочном) капитале (паевом фонде) дочерних и зависимых обществ Общества:</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долей не имеет</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Сведения о характере любых родственных связей с иными лицами, входящими в состав органов управления Общества и/или органов контроля за финансово-хозяйственной деятельностью Общества:</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Указанных родственных связей у лица нет.</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к указанным видам ответственности не привлекалось</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должностей не занимало.</w:t>
            </w:r>
          </w:p>
        </w:tc>
      </w:tr>
      <w:tr w:rsidR="00670B18" w:rsidRPr="004761E0" w:rsidTr="00670B18">
        <w:tblPrEx>
          <w:tblLook w:val="04A0"/>
        </w:tblPrEx>
        <w:tc>
          <w:tcPr>
            <w:tcW w:w="9923" w:type="dxa"/>
            <w:gridSpan w:val="3"/>
          </w:tcPr>
          <w:p w:rsidR="00670B18" w:rsidRPr="00670B18" w:rsidRDefault="00670B18" w:rsidP="00670B18">
            <w:pPr>
              <w:ind w:firstLine="0"/>
              <w:jc w:val="left"/>
              <w:rPr>
                <w:sz w:val="20"/>
                <w:szCs w:val="26"/>
                <w:lang w:eastAsia="ru-RU"/>
              </w:rPr>
            </w:pPr>
            <w:r w:rsidRPr="00670B18">
              <w:rPr>
                <w:sz w:val="20"/>
                <w:szCs w:val="26"/>
                <w:lang w:eastAsia="ru-RU"/>
              </w:rPr>
              <w:t>Сведения о сделках по приобретению или отчуждению акций Общества в течение отчетного года</w:t>
            </w:r>
            <w:r>
              <w:rPr>
                <w:sz w:val="20"/>
                <w:szCs w:val="26"/>
                <w:lang w:eastAsia="ru-RU"/>
              </w:rPr>
              <w:t>:</w:t>
            </w:r>
          </w:p>
        </w:tc>
        <w:tc>
          <w:tcPr>
            <w:tcW w:w="4536" w:type="dxa"/>
          </w:tcPr>
          <w:p w:rsidR="00670B18" w:rsidRPr="00670B18" w:rsidRDefault="00670B18" w:rsidP="00670B18">
            <w:pPr>
              <w:ind w:firstLine="0"/>
              <w:jc w:val="left"/>
              <w:rPr>
                <w:sz w:val="20"/>
                <w:szCs w:val="26"/>
                <w:lang w:eastAsia="ru-RU"/>
              </w:rPr>
            </w:pPr>
            <w:r w:rsidRPr="00670B18">
              <w:rPr>
                <w:sz w:val="20"/>
                <w:szCs w:val="26"/>
                <w:lang w:eastAsia="ru-RU"/>
              </w:rPr>
              <w:t>Лицом указанные сделки не совершались</w:t>
            </w:r>
            <w:r>
              <w:rPr>
                <w:sz w:val="20"/>
                <w:szCs w:val="26"/>
                <w:lang w:eastAsia="ru-RU"/>
              </w:rPr>
              <w:t>.</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Pr>
                <w:sz w:val="20"/>
                <w:szCs w:val="26"/>
                <w:lang w:eastAsia="ru-RU"/>
              </w:rPr>
              <w:t xml:space="preserve">Наличие </w:t>
            </w:r>
            <w:r w:rsidRPr="004761E0">
              <w:rPr>
                <w:sz w:val="20"/>
                <w:szCs w:val="26"/>
                <w:lang w:eastAsia="ru-RU"/>
              </w:rPr>
              <w:t>согласия на раскрытие дан</w:t>
            </w:r>
            <w:r>
              <w:rPr>
                <w:sz w:val="20"/>
                <w:szCs w:val="26"/>
                <w:lang w:eastAsia="ru-RU"/>
              </w:rPr>
              <w:t>ной информации в Годовом отчете:</w:t>
            </w:r>
          </w:p>
        </w:tc>
        <w:tc>
          <w:tcPr>
            <w:tcW w:w="4536" w:type="dxa"/>
          </w:tcPr>
          <w:p w:rsidR="00670B18" w:rsidRPr="004761E0" w:rsidRDefault="00670B18" w:rsidP="006B4FAE">
            <w:pPr>
              <w:ind w:firstLine="0"/>
              <w:jc w:val="left"/>
              <w:rPr>
                <w:bCs/>
                <w:iCs/>
                <w:sz w:val="20"/>
                <w:szCs w:val="26"/>
                <w:lang w:eastAsia="ru-RU"/>
              </w:rPr>
            </w:pPr>
            <w:r w:rsidRPr="004761E0">
              <w:rPr>
                <w:bCs/>
                <w:iCs/>
                <w:sz w:val="20"/>
                <w:szCs w:val="26"/>
                <w:lang w:eastAsia="ru-RU"/>
              </w:rPr>
              <w:t>Лицом дано подобное согласие.</w:t>
            </w:r>
          </w:p>
        </w:tc>
      </w:tr>
      <w:tr w:rsidR="00670B18" w:rsidRPr="004761E0" w:rsidTr="00670B18">
        <w:tblPrEx>
          <w:tblLook w:val="04A0"/>
        </w:tblPrEx>
        <w:tc>
          <w:tcPr>
            <w:tcW w:w="14459" w:type="dxa"/>
            <w:gridSpan w:val="4"/>
            <w:shd w:val="clear" w:color="auto" w:fill="BFBFBF"/>
          </w:tcPr>
          <w:p w:rsidR="00670B18" w:rsidRPr="004761E0" w:rsidRDefault="00670B18" w:rsidP="007076A7">
            <w:pPr>
              <w:pStyle w:val="a5"/>
              <w:numPr>
                <w:ilvl w:val="0"/>
                <w:numId w:val="276"/>
              </w:numPr>
              <w:ind w:left="601" w:hanging="567"/>
              <w:contextualSpacing w:val="0"/>
              <w:jc w:val="left"/>
              <w:rPr>
                <w:b/>
                <w:bCs/>
                <w:iCs/>
                <w:sz w:val="20"/>
                <w:szCs w:val="20"/>
                <w:lang w:eastAsia="ru-RU"/>
              </w:rPr>
            </w:pPr>
            <w:r w:rsidRPr="004761E0">
              <w:rPr>
                <w:b/>
                <w:bCs/>
                <w:iCs/>
                <w:sz w:val="20"/>
                <w:szCs w:val="20"/>
                <w:lang w:eastAsia="ru-RU"/>
              </w:rPr>
              <w:t>Чегодаев Анатолий Васильевич</w:t>
            </w:r>
          </w:p>
        </w:tc>
      </w:tr>
      <w:tr w:rsidR="00670B18" w:rsidRPr="004761E0" w:rsidTr="00670B18">
        <w:tblPrEx>
          <w:tblLook w:val="04A0"/>
        </w:tblPrEx>
        <w:tc>
          <w:tcPr>
            <w:tcW w:w="14459" w:type="dxa"/>
            <w:gridSpan w:val="4"/>
          </w:tcPr>
          <w:p w:rsidR="00670B18" w:rsidRPr="004761E0" w:rsidRDefault="00670B18" w:rsidP="006B4FAE">
            <w:pPr>
              <w:ind w:firstLine="0"/>
              <w:jc w:val="left"/>
              <w:rPr>
                <w:bCs/>
                <w:iCs/>
                <w:sz w:val="20"/>
                <w:szCs w:val="26"/>
                <w:lang w:eastAsia="ru-RU"/>
              </w:rPr>
            </w:pPr>
            <w:r w:rsidRPr="004761E0">
              <w:rPr>
                <w:sz w:val="20"/>
                <w:szCs w:val="26"/>
                <w:lang w:eastAsia="ru-RU"/>
              </w:rPr>
              <w:lastRenderedPageBreak/>
              <w:t>Все должности, занимаемые данным лицом в Обществе и других организациях за последние 5 лет и в настоящее время в хронологическом порядке, в т.ч. по совместительству:</w:t>
            </w:r>
          </w:p>
        </w:tc>
      </w:tr>
      <w:tr w:rsidR="00670B18" w:rsidRPr="004761E0" w:rsidTr="00670B18">
        <w:tc>
          <w:tcPr>
            <w:tcW w:w="1843" w:type="dxa"/>
            <w:gridSpan w:val="2"/>
            <w:tcBorders>
              <w:bottom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2"/>
              </w:rPr>
            </w:pPr>
            <w:r w:rsidRPr="004761E0">
              <w:rPr>
                <w:b/>
                <w:sz w:val="20"/>
                <w:szCs w:val="22"/>
              </w:rPr>
              <w:t>Период</w:t>
            </w:r>
          </w:p>
        </w:tc>
        <w:tc>
          <w:tcPr>
            <w:tcW w:w="8080" w:type="dxa"/>
            <w:vMerge w:val="restart"/>
            <w:tcBorders>
              <w:left w:val="single" w:sz="4" w:space="0" w:color="FFFFFF"/>
              <w:bottom w:val="single" w:sz="4" w:space="0" w:color="FFFFFF"/>
              <w:right w:val="single" w:sz="4" w:space="0" w:color="FFFFFF"/>
            </w:tcBorders>
            <w:shd w:val="clear" w:color="auto" w:fill="0F243E"/>
            <w:vAlign w:val="center"/>
          </w:tcPr>
          <w:p w:rsidR="00670B18" w:rsidRPr="004761E0" w:rsidRDefault="00670B18" w:rsidP="006B4FAE">
            <w:pPr>
              <w:ind w:firstLine="0"/>
              <w:jc w:val="left"/>
              <w:rPr>
                <w:b/>
                <w:sz w:val="20"/>
                <w:szCs w:val="22"/>
              </w:rPr>
            </w:pPr>
            <w:r w:rsidRPr="004761E0">
              <w:rPr>
                <w:b/>
                <w:sz w:val="20"/>
                <w:szCs w:val="22"/>
              </w:rPr>
              <w:t>Наименование организации</w:t>
            </w:r>
          </w:p>
        </w:tc>
        <w:tc>
          <w:tcPr>
            <w:tcW w:w="4536" w:type="dxa"/>
            <w:vMerge w:val="restart"/>
            <w:tcBorders>
              <w:left w:val="single" w:sz="4" w:space="0" w:color="FFFFFF"/>
              <w:bottom w:val="single" w:sz="4" w:space="0" w:color="FFFFFF"/>
            </w:tcBorders>
            <w:shd w:val="clear" w:color="auto" w:fill="0F243E"/>
            <w:vAlign w:val="center"/>
          </w:tcPr>
          <w:p w:rsidR="00670B18" w:rsidRPr="004761E0" w:rsidRDefault="00670B18" w:rsidP="006B4FAE">
            <w:pPr>
              <w:ind w:firstLine="0"/>
              <w:jc w:val="left"/>
              <w:rPr>
                <w:b/>
                <w:sz w:val="20"/>
                <w:szCs w:val="22"/>
              </w:rPr>
            </w:pPr>
            <w:r w:rsidRPr="004761E0">
              <w:rPr>
                <w:b/>
                <w:sz w:val="20"/>
                <w:szCs w:val="22"/>
              </w:rPr>
              <w:t>Должность</w:t>
            </w:r>
          </w:p>
        </w:tc>
      </w:tr>
      <w:tr w:rsidR="00670B18" w:rsidRPr="004761E0" w:rsidTr="00670B18">
        <w:tc>
          <w:tcPr>
            <w:tcW w:w="851" w:type="dxa"/>
            <w:tcBorders>
              <w:top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2"/>
              </w:rPr>
            </w:pPr>
            <w:r w:rsidRPr="004761E0">
              <w:rPr>
                <w:b/>
                <w:sz w:val="20"/>
                <w:szCs w:val="22"/>
              </w:rPr>
              <w:t>с</w:t>
            </w:r>
          </w:p>
        </w:tc>
        <w:tc>
          <w:tcPr>
            <w:tcW w:w="992" w:type="dxa"/>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ind w:firstLine="0"/>
              <w:jc w:val="center"/>
              <w:rPr>
                <w:b/>
                <w:sz w:val="20"/>
                <w:szCs w:val="22"/>
              </w:rPr>
            </w:pPr>
            <w:r w:rsidRPr="004761E0">
              <w:rPr>
                <w:b/>
                <w:sz w:val="20"/>
                <w:szCs w:val="22"/>
              </w:rPr>
              <w:t>по</w:t>
            </w:r>
          </w:p>
        </w:tc>
        <w:tc>
          <w:tcPr>
            <w:tcW w:w="8080" w:type="dxa"/>
            <w:vMerge/>
            <w:tcBorders>
              <w:top w:val="single" w:sz="4" w:space="0" w:color="FFFFFF"/>
              <w:left w:val="single" w:sz="4" w:space="0" w:color="FFFFFF"/>
              <w:right w:val="single" w:sz="4" w:space="0" w:color="FFFFFF"/>
            </w:tcBorders>
            <w:shd w:val="clear" w:color="auto" w:fill="0F243E"/>
            <w:vAlign w:val="center"/>
          </w:tcPr>
          <w:p w:rsidR="00670B18" w:rsidRPr="004761E0" w:rsidRDefault="00670B18" w:rsidP="006B4FAE">
            <w:pPr>
              <w:jc w:val="center"/>
              <w:rPr>
                <w:b/>
                <w:sz w:val="20"/>
                <w:szCs w:val="22"/>
              </w:rPr>
            </w:pPr>
          </w:p>
        </w:tc>
        <w:tc>
          <w:tcPr>
            <w:tcW w:w="4536" w:type="dxa"/>
            <w:vMerge/>
            <w:tcBorders>
              <w:top w:val="single" w:sz="4" w:space="0" w:color="FFFFFF"/>
              <w:left w:val="single" w:sz="4" w:space="0" w:color="FFFFFF"/>
            </w:tcBorders>
            <w:shd w:val="clear" w:color="auto" w:fill="0F243E"/>
            <w:vAlign w:val="center"/>
          </w:tcPr>
          <w:p w:rsidR="00670B18" w:rsidRPr="004761E0" w:rsidRDefault="00670B18" w:rsidP="006B4FAE">
            <w:pPr>
              <w:jc w:val="center"/>
              <w:rPr>
                <w:b/>
                <w:sz w:val="20"/>
                <w:szCs w:val="22"/>
              </w:rPr>
            </w:pPr>
          </w:p>
        </w:tc>
      </w:tr>
      <w:tr w:rsidR="00670B18" w:rsidRPr="004761E0" w:rsidTr="00670B18">
        <w:tc>
          <w:tcPr>
            <w:tcW w:w="851" w:type="dxa"/>
            <w:shd w:val="clear" w:color="auto" w:fill="auto"/>
          </w:tcPr>
          <w:p w:rsidR="00670B18" w:rsidRPr="004761E0" w:rsidRDefault="00670B18" w:rsidP="006B4FAE">
            <w:pPr>
              <w:ind w:firstLine="0"/>
              <w:jc w:val="left"/>
              <w:rPr>
                <w:sz w:val="20"/>
                <w:szCs w:val="22"/>
              </w:rPr>
            </w:pPr>
            <w:r w:rsidRPr="004761E0">
              <w:rPr>
                <w:sz w:val="20"/>
                <w:szCs w:val="22"/>
              </w:rPr>
              <w:t>2005</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2008</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«ОГК-2»</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Заместитель генерального директора по производству-главный инженер</w:t>
            </w:r>
          </w:p>
        </w:tc>
      </w:tr>
      <w:tr w:rsidR="00670B18" w:rsidRPr="004761E0" w:rsidTr="00670B18">
        <w:tc>
          <w:tcPr>
            <w:tcW w:w="851" w:type="dxa"/>
            <w:shd w:val="clear" w:color="auto" w:fill="auto"/>
          </w:tcPr>
          <w:p w:rsidR="00670B18" w:rsidRPr="004761E0" w:rsidRDefault="00670B18" w:rsidP="006B4FAE">
            <w:pPr>
              <w:ind w:firstLine="0"/>
              <w:jc w:val="left"/>
              <w:rPr>
                <w:sz w:val="20"/>
                <w:szCs w:val="22"/>
              </w:rPr>
            </w:pPr>
            <w:r w:rsidRPr="004761E0">
              <w:rPr>
                <w:sz w:val="20"/>
                <w:szCs w:val="22"/>
              </w:rPr>
              <w:t>2008</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2009</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«Инжиниринговая компания РЭР»</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Директор по производству</w:t>
            </w:r>
            <w:r w:rsidRPr="004761E0">
              <w:rPr>
                <w:sz w:val="20"/>
                <w:szCs w:val="20"/>
              </w:rPr>
              <w:t xml:space="preserve"> – </w:t>
            </w:r>
            <w:r w:rsidRPr="004761E0">
              <w:rPr>
                <w:sz w:val="20"/>
                <w:szCs w:val="22"/>
              </w:rPr>
              <w:t>главный инженер</w:t>
            </w:r>
          </w:p>
        </w:tc>
      </w:tr>
      <w:tr w:rsidR="00670B18" w:rsidRPr="004761E0" w:rsidTr="00670B18">
        <w:tc>
          <w:tcPr>
            <w:tcW w:w="851" w:type="dxa"/>
            <w:shd w:val="clear" w:color="auto" w:fill="auto"/>
          </w:tcPr>
          <w:p w:rsidR="00670B18" w:rsidRPr="004761E0" w:rsidRDefault="00670B18" w:rsidP="006B4FAE">
            <w:pPr>
              <w:ind w:firstLine="0"/>
              <w:jc w:val="left"/>
              <w:rPr>
                <w:sz w:val="20"/>
                <w:szCs w:val="22"/>
              </w:rPr>
            </w:pPr>
            <w:r w:rsidRPr="004761E0">
              <w:rPr>
                <w:sz w:val="20"/>
                <w:szCs w:val="22"/>
              </w:rPr>
              <w:t>2009</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2010</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«ФСК ЕЭС»</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Заместитель главного инженера по организации эксплуатации</w:t>
            </w:r>
          </w:p>
        </w:tc>
      </w:tr>
      <w:tr w:rsidR="00670B18" w:rsidRPr="004761E0" w:rsidTr="00670B18">
        <w:tc>
          <w:tcPr>
            <w:tcW w:w="851" w:type="dxa"/>
            <w:shd w:val="clear" w:color="auto" w:fill="auto"/>
          </w:tcPr>
          <w:p w:rsidR="00670B18" w:rsidRPr="004761E0" w:rsidRDefault="00670B18" w:rsidP="006B4FAE">
            <w:pPr>
              <w:ind w:firstLine="0"/>
              <w:jc w:val="left"/>
              <w:rPr>
                <w:sz w:val="20"/>
                <w:szCs w:val="22"/>
              </w:rPr>
            </w:pPr>
            <w:r w:rsidRPr="004761E0">
              <w:rPr>
                <w:sz w:val="20"/>
                <w:szCs w:val="22"/>
              </w:rPr>
              <w:t>2010</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2010</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«Дальэнергосетьпроект»</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Член Совета директоров</w:t>
            </w:r>
          </w:p>
        </w:tc>
      </w:tr>
      <w:tr w:rsidR="00670B18" w:rsidRPr="004761E0" w:rsidTr="00670B18">
        <w:tc>
          <w:tcPr>
            <w:tcW w:w="851" w:type="dxa"/>
            <w:shd w:val="clear" w:color="auto" w:fill="auto"/>
          </w:tcPr>
          <w:p w:rsidR="00670B18" w:rsidRPr="004761E0" w:rsidRDefault="00670B18" w:rsidP="006B4FAE">
            <w:pPr>
              <w:ind w:firstLine="0"/>
              <w:jc w:val="left"/>
              <w:rPr>
                <w:sz w:val="20"/>
                <w:szCs w:val="22"/>
              </w:rPr>
            </w:pPr>
            <w:r w:rsidRPr="004761E0">
              <w:rPr>
                <w:sz w:val="20"/>
                <w:szCs w:val="22"/>
              </w:rPr>
              <w:t>2010</w:t>
            </w:r>
          </w:p>
        </w:tc>
        <w:tc>
          <w:tcPr>
            <w:tcW w:w="992" w:type="dxa"/>
            <w:shd w:val="clear" w:color="auto" w:fill="auto"/>
          </w:tcPr>
          <w:p w:rsidR="00670B18" w:rsidRPr="004761E0" w:rsidRDefault="00670B18" w:rsidP="006B4FAE">
            <w:pPr>
              <w:ind w:firstLine="0"/>
              <w:jc w:val="left"/>
              <w:rPr>
                <w:sz w:val="20"/>
                <w:szCs w:val="22"/>
              </w:rPr>
            </w:pPr>
            <w:r w:rsidRPr="004761E0">
              <w:rPr>
                <w:sz w:val="20"/>
                <w:szCs w:val="22"/>
              </w:rPr>
              <w:t>2011</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«Кубанские магистральные сети»</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Член Совета директоров</w:t>
            </w:r>
          </w:p>
        </w:tc>
      </w:tr>
      <w:tr w:rsidR="00670B18" w:rsidRPr="004761E0" w:rsidTr="00670B18">
        <w:tc>
          <w:tcPr>
            <w:tcW w:w="851" w:type="dxa"/>
            <w:shd w:val="clear" w:color="auto" w:fill="auto"/>
          </w:tcPr>
          <w:p w:rsidR="00670B18" w:rsidRPr="004761E0" w:rsidRDefault="00670B18" w:rsidP="006B4FAE">
            <w:pPr>
              <w:ind w:firstLine="0"/>
              <w:jc w:val="left"/>
              <w:rPr>
                <w:sz w:val="20"/>
                <w:szCs w:val="22"/>
              </w:rPr>
            </w:pPr>
            <w:r w:rsidRPr="004761E0">
              <w:rPr>
                <w:sz w:val="20"/>
                <w:szCs w:val="22"/>
              </w:rPr>
              <w:t>2010</w:t>
            </w:r>
          </w:p>
        </w:tc>
        <w:tc>
          <w:tcPr>
            <w:tcW w:w="992" w:type="dxa"/>
            <w:shd w:val="clear" w:color="auto" w:fill="auto"/>
          </w:tcPr>
          <w:p w:rsidR="00670B18" w:rsidRPr="004761E0" w:rsidRDefault="00670B18" w:rsidP="006B4FAE">
            <w:pPr>
              <w:ind w:firstLine="0"/>
              <w:jc w:val="left"/>
              <w:rPr>
                <w:sz w:val="20"/>
                <w:szCs w:val="22"/>
              </w:rPr>
            </w:pPr>
            <w:r w:rsidRPr="004761E0">
              <w:rPr>
                <w:sz w:val="20"/>
                <w:szCs w:val="20"/>
              </w:rPr>
              <w:t>наст.вр.</w:t>
            </w:r>
          </w:p>
        </w:tc>
        <w:tc>
          <w:tcPr>
            <w:tcW w:w="8080" w:type="dxa"/>
            <w:shd w:val="clear" w:color="auto" w:fill="auto"/>
          </w:tcPr>
          <w:p w:rsidR="00670B18" w:rsidRPr="004761E0" w:rsidRDefault="00670B18" w:rsidP="006B4FAE">
            <w:pPr>
              <w:ind w:firstLine="0"/>
              <w:jc w:val="left"/>
              <w:rPr>
                <w:sz w:val="20"/>
                <w:szCs w:val="22"/>
              </w:rPr>
            </w:pPr>
            <w:r>
              <w:rPr>
                <w:sz w:val="20"/>
                <w:szCs w:val="22"/>
              </w:rPr>
              <w:t>ОАО </w:t>
            </w:r>
            <w:r w:rsidRPr="004761E0">
              <w:rPr>
                <w:sz w:val="20"/>
                <w:szCs w:val="22"/>
              </w:rPr>
              <w:t>«МОЭСК»</w:t>
            </w:r>
          </w:p>
        </w:tc>
        <w:tc>
          <w:tcPr>
            <w:tcW w:w="4536" w:type="dxa"/>
            <w:shd w:val="clear" w:color="auto" w:fill="auto"/>
          </w:tcPr>
          <w:p w:rsidR="00670B18" w:rsidRPr="004761E0" w:rsidRDefault="00670B18" w:rsidP="006B4FAE">
            <w:pPr>
              <w:ind w:firstLine="0"/>
              <w:jc w:val="left"/>
              <w:rPr>
                <w:sz w:val="20"/>
                <w:szCs w:val="22"/>
              </w:rPr>
            </w:pPr>
            <w:r w:rsidRPr="004761E0">
              <w:rPr>
                <w:sz w:val="20"/>
                <w:szCs w:val="22"/>
              </w:rPr>
              <w:t>Первый заместитель генерального директора</w:t>
            </w:r>
            <w:r w:rsidRPr="004761E0">
              <w:rPr>
                <w:sz w:val="20"/>
                <w:szCs w:val="20"/>
              </w:rPr>
              <w:t xml:space="preserve"> – </w:t>
            </w:r>
            <w:r w:rsidRPr="004761E0">
              <w:rPr>
                <w:sz w:val="20"/>
                <w:szCs w:val="22"/>
              </w:rPr>
              <w:t>Главный инженер, Первый заместитель генерального директора</w:t>
            </w:r>
            <w:r w:rsidRPr="004761E0">
              <w:rPr>
                <w:sz w:val="20"/>
                <w:szCs w:val="20"/>
              </w:rPr>
              <w:t xml:space="preserve"> – </w:t>
            </w:r>
            <w:r w:rsidRPr="004761E0">
              <w:rPr>
                <w:sz w:val="20"/>
                <w:szCs w:val="22"/>
              </w:rPr>
              <w:t>Технический директор, Заместитель генерального директора – технический директор, Член Правления</w:t>
            </w:r>
          </w:p>
        </w:tc>
      </w:tr>
      <w:tr w:rsidR="00670B18" w:rsidRPr="004761E0" w:rsidTr="00670B18">
        <w:tc>
          <w:tcPr>
            <w:tcW w:w="14459" w:type="dxa"/>
            <w:gridSpan w:val="4"/>
            <w:shd w:val="clear" w:color="auto" w:fill="auto"/>
          </w:tcPr>
          <w:p w:rsidR="00670B18" w:rsidRPr="004761E0" w:rsidRDefault="00670B18" w:rsidP="006B4FAE">
            <w:pPr>
              <w:ind w:firstLine="0"/>
              <w:jc w:val="left"/>
              <w:rPr>
                <w:sz w:val="20"/>
                <w:szCs w:val="22"/>
              </w:rPr>
            </w:pPr>
            <w:r w:rsidRPr="004761E0">
              <w:rPr>
                <w:sz w:val="20"/>
                <w:szCs w:val="26"/>
              </w:rPr>
              <w:t>Иная информация</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Доли участия в уставном капитале Общества/обыкновенных акций:</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долей не имеет</w:t>
            </w:r>
            <w:r w:rsidRPr="004761E0">
              <w:rPr>
                <w:sz w:val="20"/>
                <w:szCs w:val="26"/>
                <w:lang w:eastAsia="ru-RU"/>
              </w:rPr>
              <w:t>.</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Доли участия лица в уставном (складочном) капитале (паевом фонде) дочерних и зависимых обществ Общества:</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долей не имеет</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Сведения о характере любых родственных связей с иными лицами, входящими в состав органов управления Общества и/или органов контроля за финансово-хозяйственной деятельностью Общества:</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Указанных родственных связей у лица нет.</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к указанным видам ответственности не привлекалось</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sidRPr="004761E0">
              <w:rPr>
                <w:sz w:val="20"/>
                <w:szCs w:val="26"/>
                <w:lang w:eastAsia="ru-RU"/>
              </w:rP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tc>
        <w:tc>
          <w:tcPr>
            <w:tcW w:w="4536" w:type="dxa"/>
          </w:tcPr>
          <w:p w:rsidR="00670B18" w:rsidRPr="004761E0" w:rsidRDefault="00670B18" w:rsidP="006B4FAE">
            <w:pPr>
              <w:ind w:firstLine="0"/>
              <w:jc w:val="left"/>
              <w:rPr>
                <w:sz w:val="20"/>
                <w:szCs w:val="26"/>
                <w:lang w:eastAsia="ru-RU"/>
              </w:rPr>
            </w:pPr>
            <w:r w:rsidRPr="004761E0">
              <w:rPr>
                <w:bCs/>
                <w:iCs/>
                <w:sz w:val="20"/>
                <w:szCs w:val="26"/>
                <w:lang w:eastAsia="ru-RU"/>
              </w:rPr>
              <w:t>Лицо указанных должностей не занимало.</w:t>
            </w:r>
          </w:p>
        </w:tc>
      </w:tr>
      <w:tr w:rsidR="00670B18" w:rsidRPr="004761E0" w:rsidTr="00670B18">
        <w:tblPrEx>
          <w:tblLook w:val="04A0"/>
        </w:tblPrEx>
        <w:tc>
          <w:tcPr>
            <w:tcW w:w="9923" w:type="dxa"/>
            <w:gridSpan w:val="3"/>
          </w:tcPr>
          <w:p w:rsidR="00670B18" w:rsidRPr="00670B18" w:rsidRDefault="00670B18" w:rsidP="00670B18">
            <w:pPr>
              <w:ind w:firstLine="0"/>
              <w:jc w:val="left"/>
              <w:rPr>
                <w:sz w:val="20"/>
                <w:szCs w:val="26"/>
                <w:lang w:eastAsia="ru-RU"/>
              </w:rPr>
            </w:pPr>
            <w:r w:rsidRPr="00670B18">
              <w:rPr>
                <w:sz w:val="20"/>
                <w:szCs w:val="26"/>
                <w:lang w:eastAsia="ru-RU"/>
              </w:rPr>
              <w:t>Сведения о сделках по приобретению или отчуждению акций Общества в течение отчетного года</w:t>
            </w:r>
            <w:r>
              <w:rPr>
                <w:sz w:val="20"/>
                <w:szCs w:val="26"/>
                <w:lang w:eastAsia="ru-RU"/>
              </w:rPr>
              <w:t>:</w:t>
            </w:r>
          </w:p>
        </w:tc>
        <w:tc>
          <w:tcPr>
            <w:tcW w:w="4536" w:type="dxa"/>
          </w:tcPr>
          <w:p w:rsidR="00670B18" w:rsidRPr="00670B18" w:rsidRDefault="00670B18" w:rsidP="00670B18">
            <w:pPr>
              <w:ind w:firstLine="0"/>
              <w:jc w:val="left"/>
              <w:rPr>
                <w:sz w:val="20"/>
                <w:szCs w:val="26"/>
                <w:lang w:eastAsia="ru-RU"/>
              </w:rPr>
            </w:pPr>
            <w:r w:rsidRPr="00670B18">
              <w:rPr>
                <w:sz w:val="20"/>
                <w:szCs w:val="26"/>
                <w:lang w:eastAsia="ru-RU"/>
              </w:rPr>
              <w:t>Лицом указанные сделки не совершались</w:t>
            </w:r>
            <w:r>
              <w:rPr>
                <w:sz w:val="20"/>
                <w:szCs w:val="26"/>
                <w:lang w:eastAsia="ru-RU"/>
              </w:rPr>
              <w:t>.</w:t>
            </w:r>
          </w:p>
        </w:tc>
      </w:tr>
      <w:tr w:rsidR="00670B18" w:rsidRPr="004761E0" w:rsidTr="00670B18">
        <w:tblPrEx>
          <w:tblLook w:val="04A0"/>
        </w:tblPrEx>
        <w:tc>
          <w:tcPr>
            <w:tcW w:w="9923" w:type="dxa"/>
            <w:gridSpan w:val="3"/>
          </w:tcPr>
          <w:p w:rsidR="00670B18" w:rsidRPr="004761E0" w:rsidRDefault="00670B18" w:rsidP="006B4FAE">
            <w:pPr>
              <w:ind w:firstLine="0"/>
              <w:jc w:val="left"/>
              <w:rPr>
                <w:sz w:val="20"/>
                <w:szCs w:val="26"/>
                <w:lang w:eastAsia="ru-RU"/>
              </w:rPr>
            </w:pPr>
            <w:r>
              <w:rPr>
                <w:sz w:val="20"/>
                <w:szCs w:val="26"/>
                <w:lang w:eastAsia="ru-RU"/>
              </w:rPr>
              <w:t xml:space="preserve">Наличие </w:t>
            </w:r>
            <w:r w:rsidRPr="004761E0">
              <w:rPr>
                <w:sz w:val="20"/>
                <w:szCs w:val="26"/>
                <w:lang w:eastAsia="ru-RU"/>
              </w:rPr>
              <w:t>согласия на раскрытие дан</w:t>
            </w:r>
            <w:r>
              <w:rPr>
                <w:sz w:val="20"/>
                <w:szCs w:val="26"/>
                <w:lang w:eastAsia="ru-RU"/>
              </w:rPr>
              <w:t>ной информации в Годовом отчете:</w:t>
            </w:r>
          </w:p>
        </w:tc>
        <w:tc>
          <w:tcPr>
            <w:tcW w:w="4536" w:type="dxa"/>
          </w:tcPr>
          <w:p w:rsidR="00670B18" w:rsidRPr="004761E0" w:rsidRDefault="00670B18" w:rsidP="006B4FAE">
            <w:pPr>
              <w:ind w:firstLine="0"/>
              <w:jc w:val="left"/>
              <w:rPr>
                <w:bCs/>
                <w:iCs/>
                <w:sz w:val="20"/>
                <w:szCs w:val="26"/>
                <w:lang w:eastAsia="ru-RU"/>
              </w:rPr>
            </w:pPr>
            <w:r w:rsidRPr="004761E0">
              <w:rPr>
                <w:bCs/>
                <w:iCs/>
                <w:sz w:val="20"/>
                <w:szCs w:val="26"/>
                <w:lang w:eastAsia="ru-RU"/>
              </w:rPr>
              <w:t>Лицом дано подобное согласие.</w:t>
            </w:r>
          </w:p>
        </w:tc>
      </w:tr>
    </w:tbl>
    <w:p w:rsidR="006B4FAE" w:rsidRPr="002C3096" w:rsidRDefault="006B4FAE" w:rsidP="007076A7">
      <w:pPr>
        <w:pStyle w:val="a8"/>
        <w:numPr>
          <w:ilvl w:val="0"/>
          <w:numId w:val="324"/>
        </w:numPr>
        <w:tabs>
          <w:tab w:val="left" w:pos="567"/>
          <w:tab w:val="left" w:pos="993"/>
        </w:tabs>
        <w:spacing w:before="120" w:after="120"/>
        <w:ind w:left="1134" w:hanging="567"/>
        <w:jc w:val="left"/>
        <w:rPr>
          <w:rFonts w:ascii="Times New Roman" w:hAnsi="Times New Roman"/>
          <w:b/>
          <w:sz w:val="26"/>
          <w:szCs w:val="26"/>
          <w:lang w:eastAsia="ru-RU"/>
        </w:rPr>
      </w:pPr>
      <w:bookmarkStart w:id="163" w:name="_Toc385339871"/>
      <w:r w:rsidRPr="002C3096">
        <w:rPr>
          <w:rFonts w:ascii="Times New Roman" w:hAnsi="Times New Roman"/>
          <w:b/>
          <w:sz w:val="26"/>
          <w:szCs w:val="26"/>
          <w:lang w:eastAsia="ru-RU"/>
        </w:rPr>
        <w:t>Ревизионная комиссия</w:t>
      </w:r>
      <w:bookmarkEnd w:id="163"/>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992"/>
        <w:gridCol w:w="8080"/>
        <w:gridCol w:w="4536"/>
      </w:tblGrid>
      <w:tr w:rsidR="00A82997" w:rsidRPr="004761E0" w:rsidTr="00670B18">
        <w:tc>
          <w:tcPr>
            <w:tcW w:w="14459" w:type="dxa"/>
            <w:gridSpan w:val="4"/>
            <w:tcBorders>
              <w:bottom w:val="single" w:sz="4" w:space="0" w:color="auto"/>
            </w:tcBorders>
            <w:shd w:val="clear" w:color="auto" w:fill="BFBFBF" w:themeFill="background1" w:themeFillShade="BF"/>
            <w:vAlign w:val="center"/>
          </w:tcPr>
          <w:p w:rsidR="00A82997" w:rsidRPr="004761E0" w:rsidRDefault="006D3155" w:rsidP="007076A7">
            <w:pPr>
              <w:pStyle w:val="a5"/>
              <w:numPr>
                <w:ilvl w:val="0"/>
                <w:numId w:val="277"/>
              </w:numPr>
              <w:ind w:left="601" w:hanging="601"/>
              <w:contextualSpacing w:val="0"/>
              <w:jc w:val="left"/>
              <w:rPr>
                <w:b/>
                <w:bCs/>
                <w:iCs/>
                <w:sz w:val="20"/>
                <w:szCs w:val="20"/>
              </w:rPr>
            </w:pPr>
            <w:r>
              <w:rPr>
                <w:b/>
                <w:bCs/>
                <w:iCs/>
                <w:sz w:val="20"/>
                <w:szCs w:val="20"/>
              </w:rPr>
              <w:t>Гайченя Иван Алексеевич</w:t>
            </w:r>
          </w:p>
        </w:tc>
      </w:tr>
      <w:tr w:rsidR="00A82997" w:rsidRPr="004761E0" w:rsidTr="00670B18">
        <w:tc>
          <w:tcPr>
            <w:tcW w:w="14459" w:type="dxa"/>
            <w:gridSpan w:val="4"/>
            <w:tcBorders>
              <w:bottom w:val="single" w:sz="4" w:space="0" w:color="auto"/>
            </w:tcBorders>
            <w:shd w:val="clear" w:color="auto" w:fill="auto"/>
            <w:vAlign w:val="center"/>
          </w:tcPr>
          <w:p w:rsidR="00A82997" w:rsidRPr="004761E0" w:rsidRDefault="00A82997" w:rsidP="00F83ADF">
            <w:pPr>
              <w:ind w:firstLine="0"/>
              <w:jc w:val="left"/>
              <w:rPr>
                <w:b/>
                <w:sz w:val="20"/>
                <w:szCs w:val="22"/>
              </w:rPr>
            </w:pPr>
            <w:r w:rsidRPr="004761E0">
              <w:rPr>
                <w:sz w:val="20"/>
                <w:szCs w:val="26"/>
              </w:rPr>
              <w:t>Все должности, занимаемые данным лицом в Обществе и других организациях за последние 5 лет и в настоящее время в хронологическом порядке, в т.ч. по совместительству:</w:t>
            </w:r>
          </w:p>
        </w:tc>
      </w:tr>
      <w:tr w:rsidR="00570119" w:rsidRPr="004761E0" w:rsidTr="00670B18">
        <w:tc>
          <w:tcPr>
            <w:tcW w:w="1843" w:type="dxa"/>
            <w:gridSpan w:val="2"/>
            <w:tcBorders>
              <w:top w:val="single" w:sz="4" w:space="0" w:color="auto"/>
              <w:bottom w:val="single" w:sz="4" w:space="0" w:color="FFFFFF" w:themeColor="background1"/>
              <w:right w:val="single" w:sz="4" w:space="0" w:color="FFFFFF" w:themeColor="background1"/>
            </w:tcBorders>
            <w:shd w:val="clear" w:color="auto" w:fill="0F243E" w:themeFill="text2" w:themeFillShade="80"/>
            <w:vAlign w:val="center"/>
          </w:tcPr>
          <w:p w:rsidR="00570119" w:rsidRPr="004761E0" w:rsidRDefault="00570119" w:rsidP="00F83ADF">
            <w:pPr>
              <w:ind w:firstLine="0"/>
              <w:jc w:val="center"/>
              <w:rPr>
                <w:b/>
                <w:sz w:val="20"/>
                <w:szCs w:val="22"/>
              </w:rPr>
            </w:pPr>
            <w:r w:rsidRPr="004761E0">
              <w:rPr>
                <w:b/>
                <w:sz w:val="20"/>
                <w:szCs w:val="22"/>
              </w:rPr>
              <w:t>Период</w:t>
            </w:r>
          </w:p>
        </w:tc>
        <w:tc>
          <w:tcPr>
            <w:tcW w:w="8080"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570119" w:rsidRPr="004761E0" w:rsidRDefault="00570119" w:rsidP="00F83ADF">
            <w:pPr>
              <w:ind w:firstLine="0"/>
              <w:jc w:val="left"/>
              <w:rPr>
                <w:b/>
                <w:sz w:val="20"/>
                <w:szCs w:val="22"/>
              </w:rPr>
            </w:pPr>
            <w:r w:rsidRPr="004761E0">
              <w:rPr>
                <w:b/>
                <w:sz w:val="20"/>
                <w:szCs w:val="22"/>
              </w:rPr>
              <w:t>Наименование организации</w:t>
            </w:r>
          </w:p>
        </w:tc>
        <w:tc>
          <w:tcPr>
            <w:tcW w:w="4536" w:type="dxa"/>
            <w:vMerge w:val="restart"/>
            <w:tcBorders>
              <w:top w:val="single" w:sz="4" w:space="0" w:color="auto"/>
              <w:left w:val="single" w:sz="4" w:space="0" w:color="FFFFFF" w:themeColor="background1"/>
              <w:bottom w:val="single" w:sz="4" w:space="0" w:color="FFFFFF" w:themeColor="background1"/>
            </w:tcBorders>
            <w:shd w:val="clear" w:color="auto" w:fill="0F243E" w:themeFill="text2" w:themeFillShade="80"/>
            <w:vAlign w:val="center"/>
          </w:tcPr>
          <w:p w:rsidR="00570119" w:rsidRPr="004761E0" w:rsidRDefault="00570119" w:rsidP="00F83ADF">
            <w:pPr>
              <w:ind w:firstLine="0"/>
              <w:jc w:val="left"/>
              <w:rPr>
                <w:b/>
                <w:sz w:val="20"/>
                <w:szCs w:val="22"/>
              </w:rPr>
            </w:pPr>
            <w:r w:rsidRPr="004761E0">
              <w:rPr>
                <w:b/>
                <w:sz w:val="20"/>
                <w:szCs w:val="22"/>
              </w:rPr>
              <w:t>Должность</w:t>
            </w:r>
          </w:p>
        </w:tc>
      </w:tr>
      <w:tr w:rsidR="00570119" w:rsidRPr="004761E0" w:rsidTr="00670B18">
        <w:trPr>
          <w:trHeight w:val="63"/>
        </w:trPr>
        <w:tc>
          <w:tcPr>
            <w:tcW w:w="851" w:type="dxa"/>
            <w:tcBorders>
              <w:top w:val="single" w:sz="4" w:space="0" w:color="FFFFFF" w:themeColor="background1"/>
              <w:right w:val="single" w:sz="4" w:space="0" w:color="FFFFFF" w:themeColor="background1"/>
            </w:tcBorders>
            <w:shd w:val="clear" w:color="auto" w:fill="0F243E" w:themeFill="text2" w:themeFillShade="80"/>
            <w:vAlign w:val="center"/>
          </w:tcPr>
          <w:p w:rsidR="00570119" w:rsidRPr="004761E0" w:rsidRDefault="00570119" w:rsidP="00F83ADF">
            <w:pPr>
              <w:ind w:firstLine="0"/>
              <w:jc w:val="center"/>
              <w:rPr>
                <w:b/>
                <w:sz w:val="20"/>
                <w:szCs w:val="22"/>
              </w:rPr>
            </w:pPr>
            <w:r w:rsidRPr="004761E0">
              <w:rPr>
                <w:b/>
                <w:sz w:val="20"/>
                <w:szCs w:val="22"/>
              </w:rPr>
              <w:t>с</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rsidR="00570119" w:rsidRPr="004761E0" w:rsidRDefault="00570119" w:rsidP="00F83ADF">
            <w:pPr>
              <w:ind w:firstLine="0"/>
              <w:jc w:val="center"/>
              <w:rPr>
                <w:b/>
                <w:sz w:val="20"/>
                <w:szCs w:val="22"/>
              </w:rPr>
            </w:pPr>
            <w:r w:rsidRPr="004761E0">
              <w:rPr>
                <w:b/>
                <w:sz w:val="20"/>
                <w:szCs w:val="22"/>
              </w:rPr>
              <w:t>по</w:t>
            </w:r>
          </w:p>
        </w:tc>
        <w:tc>
          <w:tcPr>
            <w:tcW w:w="8080" w:type="dxa"/>
            <w:vMerge/>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rsidR="00570119" w:rsidRPr="004761E0" w:rsidRDefault="00570119" w:rsidP="009B2B16">
            <w:pPr>
              <w:jc w:val="center"/>
              <w:rPr>
                <w:b/>
                <w:sz w:val="20"/>
                <w:szCs w:val="22"/>
              </w:rPr>
            </w:pPr>
          </w:p>
        </w:tc>
        <w:tc>
          <w:tcPr>
            <w:tcW w:w="4536" w:type="dxa"/>
            <w:vMerge/>
            <w:tcBorders>
              <w:top w:val="single" w:sz="4" w:space="0" w:color="FFFFFF" w:themeColor="background1"/>
              <w:left w:val="single" w:sz="4" w:space="0" w:color="FFFFFF" w:themeColor="background1"/>
            </w:tcBorders>
            <w:shd w:val="clear" w:color="auto" w:fill="0F243E" w:themeFill="text2" w:themeFillShade="80"/>
            <w:vAlign w:val="center"/>
          </w:tcPr>
          <w:p w:rsidR="00570119" w:rsidRPr="004761E0" w:rsidRDefault="00570119" w:rsidP="009B2B16">
            <w:pPr>
              <w:jc w:val="center"/>
              <w:rPr>
                <w:b/>
                <w:sz w:val="20"/>
                <w:szCs w:val="22"/>
              </w:rPr>
            </w:pPr>
          </w:p>
        </w:tc>
      </w:tr>
      <w:tr w:rsidR="00570119" w:rsidRPr="004761E0" w:rsidTr="00670B18">
        <w:tc>
          <w:tcPr>
            <w:tcW w:w="851" w:type="dxa"/>
            <w:shd w:val="clear" w:color="auto" w:fill="auto"/>
          </w:tcPr>
          <w:p w:rsidR="00570119" w:rsidRPr="004761E0" w:rsidRDefault="00570119" w:rsidP="005C0EC7">
            <w:pPr>
              <w:ind w:firstLine="0"/>
              <w:jc w:val="left"/>
              <w:rPr>
                <w:sz w:val="20"/>
                <w:szCs w:val="22"/>
              </w:rPr>
            </w:pPr>
            <w:r w:rsidRPr="004761E0">
              <w:rPr>
                <w:sz w:val="20"/>
                <w:szCs w:val="22"/>
              </w:rPr>
              <w:t>1985</w:t>
            </w:r>
          </w:p>
        </w:tc>
        <w:tc>
          <w:tcPr>
            <w:tcW w:w="992" w:type="dxa"/>
            <w:shd w:val="clear" w:color="auto" w:fill="auto"/>
          </w:tcPr>
          <w:p w:rsidR="00570119" w:rsidRPr="004761E0" w:rsidRDefault="00570119" w:rsidP="005C0EC7">
            <w:pPr>
              <w:ind w:firstLine="0"/>
              <w:jc w:val="left"/>
              <w:rPr>
                <w:sz w:val="20"/>
                <w:szCs w:val="22"/>
              </w:rPr>
            </w:pPr>
            <w:r w:rsidRPr="004761E0">
              <w:rPr>
                <w:sz w:val="20"/>
                <w:szCs w:val="22"/>
              </w:rPr>
              <w:t>2011</w:t>
            </w:r>
          </w:p>
        </w:tc>
        <w:tc>
          <w:tcPr>
            <w:tcW w:w="8080" w:type="dxa"/>
            <w:shd w:val="clear" w:color="auto" w:fill="auto"/>
          </w:tcPr>
          <w:p w:rsidR="00570119" w:rsidRPr="004761E0" w:rsidRDefault="00570119" w:rsidP="005C0EC7">
            <w:pPr>
              <w:ind w:firstLine="0"/>
              <w:jc w:val="left"/>
              <w:rPr>
                <w:sz w:val="20"/>
                <w:szCs w:val="22"/>
              </w:rPr>
            </w:pPr>
            <w:r w:rsidRPr="004761E0">
              <w:rPr>
                <w:sz w:val="20"/>
                <w:szCs w:val="22"/>
              </w:rPr>
              <w:t>Вооруженные силы Российской Федерации</w:t>
            </w:r>
          </w:p>
        </w:tc>
        <w:tc>
          <w:tcPr>
            <w:tcW w:w="4536" w:type="dxa"/>
            <w:shd w:val="clear" w:color="auto" w:fill="auto"/>
          </w:tcPr>
          <w:p w:rsidR="00570119" w:rsidRPr="004761E0" w:rsidRDefault="00570119" w:rsidP="005C0EC7">
            <w:pPr>
              <w:ind w:firstLine="0"/>
              <w:jc w:val="left"/>
              <w:rPr>
                <w:sz w:val="20"/>
                <w:szCs w:val="22"/>
              </w:rPr>
            </w:pPr>
            <w:r w:rsidRPr="004761E0">
              <w:rPr>
                <w:sz w:val="20"/>
                <w:szCs w:val="22"/>
              </w:rPr>
              <w:t>Офицер</w:t>
            </w:r>
          </w:p>
        </w:tc>
      </w:tr>
      <w:tr w:rsidR="00570119" w:rsidRPr="004761E0" w:rsidTr="00670B18">
        <w:tc>
          <w:tcPr>
            <w:tcW w:w="851" w:type="dxa"/>
            <w:shd w:val="clear" w:color="auto" w:fill="auto"/>
          </w:tcPr>
          <w:p w:rsidR="00570119" w:rsidRPr="004761E0" w:rsidRDefault="00570119" w:rsidP="005C0EC7">
            <w:pPr>
              <w:ind w:firstLine="0"/>
              <w:jc w:val="left"/>
              <w:rPr>
                <w:sz w:val="20"/>
                <w:szCs w:val="22"/>
              </w:rPr>
            </w:pPr>
            <w:r w:rsidRPr="004761E0">
              <w:rPr>
                <w:sz w:val="20"/>
                <w:szCs w:val="22"/>
              </w:rPr>
              <w:lastRenderedPageBreak/>
              <w:t>2012</w:t>
            </w:r>
          </w:p>
        </w:tc>
        <w:tc>
          <w:tcPr>
            <w:tcW w:w="992" w:type="dxa"/>
            <w:shd w:val="clear" w:color="auto" w:fill="auto"/>
          </w:tcPr>
          <w:p w:rsidR="00570119" w:rsidRPr="004761E0" w:rsidRDefault="00570119" w:rsidP="005C0EC7">
            <w:pPr>
              <w:ind w:firstLine="0"/>
              <w:jc w:val="left"/>
              <w:rPr>
                <w:sz w:val="20"/>
                <w:szCs w:val="22"/>
              </w:rPr>
            </w:pPr>
            <w:r w:rsidRPr="004761E0">
              <w:rPr>
                <w:sz w:val="20"/>
                <w:szCs w:val="22"/>
              </w:rPr>
              <w:t>2013</w:t>
            </w:r>
          </w:p>
        </w:tc>
        <w:tc>
          <w:tcPr>
            <w:tcW w:w="8080" w:type="dxa"/>
            <w:shd w:val="clear" w:color="auto" w:fill="auto"/>
          </w:tcPr>
          <w:p w:rsidR="00570119" w:rsidRPr="004761E0" w:rsidRDefault="0008080E" w:rsidP="005C0EC7">
            <w:pPr>
              <w:ind w:firstLine="0"/>
              <w:jc w:val="left"/>
              <w:rPr>
                <w:sz w:val="20"/>
                <w:szCs w:val="22"/>
              </w:rPr>
            </w:pPr>
            <w:r>
              <w:rPr>
                <w:sz w:val="20"/>
                <w:szCs w:val="22"/>
              </w:rPr>
              <w:t>ОАО </w:t>
            </w:r>
            <w:r w:rsidR="00570119" w:rsidRPr="004761E0">
              <w:rPr>
                <w:sz w:val="20"/>
                <w:szCs w:val="22"/>
              </w:rPr>
              <w:t>«ФСК ЕЭС»</w:t>
            </w:r>
          </w:p>
        </w:tc>
        <w:tc>
          <w:tcPr>
            <w:tcW w:w="4536" w:type="dxa"/>
            <w:shd w:val="clear" w:color="auto" w:fill="auto"/>
          </w:tcPr>
          <w:p w:rsidR="00570119" w:rsidRPr="004761E0" w:rsidRDefault="000414BD" w:rsidP="005C0EC7">
            <w:pPr>
              <w:ind w:firstLine="0"/>
              <w:jc w:val="left"/>
              <w:rPr>
                <w:sz w:val="20"/>
                <w:szCs w:val="22"/>
              </w:rPr>
            </w:pPr>
            <w:r>
              <w:rPr>
                <w:sz w:val="20"/>
                <w:szCs w:val="22"/>
              </w:rPr>
              <w:t>Первый заместитель д</w:t>
            </w:r>
            <w:r w:rsidR="00570119" w:rsidRPr="004761E0">
              <w:rPr>
                <w:sz w:val="20"/>
                <w:szCs w:val="22"/>
              </w:rPr>
              <w:t>иректора по безопасности</w:t>
            </w:r>
          </w:p>
        </w:tc>
      </w:tr>
      <w:tr w:rsidR="009C5A19" w:rsidRPr="004761E0" w:rsidTr="00670B18">
        <w:tc>
          <w:tcPr>
            <w:tcW w:w="851" w:type="dxa"/>
            <w:shd w:val="clear" w:color="auto" w:fill="auto"/>
          </w:tcPr>
          <w:p w:rsidR="009C5A19" w:rsidRPr="004761E0" w:rsidRDefault="009C5A19" w:rsidP="006D3155">
            <w:pPr>
              <w:ind w:firstLine="0"/>
              <w:jc w:val="left"/>
              <w:rPr>
                <w:sz w:val="20"/>
                <w:szCs w:val="22"/>
              </w:rPr>
            </w:pPr>
            <w:r w:rsidRPr="004761E0">
              <w:rPr>
                <w:sz w:val="20"/>
                <w:szCs w:val="22"/>
              </w:rPr>
              <w:t>201</w:t>
            </w:r>
            <w:r w:rsidR="006D3155">
              <w:rPr>
                <w:sz w:val="20"/>
                <w:szCs w:val="22"/>
              </w:rPr>
              <w:t>1</w:t>
            </w:r>
          </w:p>
        </w:tc>
        <w:tc>
          <w:tcPr>
            <w:tcW w:w="992" w:type="dxa"/>
            <w:shd w:val="clear" w:color="auto" w:fill="auto"/>
          </w:tcPr>
          <w:p w:rsidR="009C5A19" w:rsidRPr="004761E0" w:rsidRDefault="009C5A19" w:rsidP="009C5A19">
            <w:pPr>
              <w:ind w:firstLine="0"/>
              <w:jc w:val="left"/>
              <w:rPr>
                <w:sz w:val="20"/>
                <w:szCs w:val="22"/>
              </w:rPr>
            </w:pPr>
            <w:r w:rsidRPr="004761E0">
              <w:rPr>
                <w:sz w:val="20"/>
                <w:szCs w:val="20"/>
              </w:rPr>
              <w:t>наст.вр.</w:t>
            </w:r>
          </w:p>
        </w:tc>
        <w:tc>
          <w:tcPr>
            <w:tcW w:w="8080" w:type="dxa"/>
            <w:shd w:val="clear" w:color="auto" w:fill="auto"/>
          </w:tcPr>
          <w:p w:rsidR="009C5A19" w:rsidRPr="004761E0" w:rsidRDefault="0008080E" w:rsidP="005C0EC7">
            <w:pPr>
              <w:ind w:firstLine="0"/>
              <w:jc w:val="left"/>
              <w:rPr>
                <w:sz w:val="20"/>
                <w:szCs w:val="22"/>
              </w:rPr>
            </w:pPr>
            <w:r>
              <w:rPr>
                <w:sz w:val="20"/>
                <w:szCs w:val="22"/>
              </w:rPr>
              <w:t>ОАО </w:t>
            </w:r>
            <w:r w:rsidR="009C5A19" w:rsidRPr="004761E0">
              <w:rPr>
                <w:sz w:val="20"/>
                <w:szCs w:val="22"/>
              </w:rPr>
              <w:t>«Россети»</w:t>
            </w:r>
            <w:r w:rsidR="006D3155">
              <w:rPr>
                <w:sz w:val="20"/>
                <w:szCs w:val="22"/>
              </w:rPr>
              <w:t xml:space="preserve"> </w:t>
            </w:r>
            <w:r w:rsidR="006D3155" w:rsidRPr="006D3155">
              <w:rPr>
                <w:sz w:val="20"/>
                <w:szCs w:val="22"/>
              </w:rPr>
              <w:t>(до 04.04.2013 – ОАО «Холдинг МРСК»)</w:t>
            </w:r>
          </w:p>
        </w:tc>
        <w:tc>
          <w:tcPr>
            <w:tcW w:w="4536" w:type="dxa"/>
            <w:shd w:val="clear" w:color="auto" w:fill="auto"/>
          </w:tcPr>
          <w:p w:rsidR="009C5A19" w:rsidRPr="004761E0" w:rsidRDefault="009C5A19" w:rsidP="005C0EC7">
            <w:pPr>
              <w:ind w:firstLine="0"/>
              <w:jc w:val="left"/>
              <w:rPr>
                <w:sz w:val="20"/>
                <w:szCs w:val="22"/>
              </w:rPr>
            </w:pPr>
            <w:r w:rsidRPr="004761E0">
              <w:rPr>
                <w:sz w:val="20"/>
                <w:szCs w:val="22"/>
              </w:rPr>
              <w:t>Директор Департамента безопасности</w:t>
            </w:r>
            <w:r w:rsidR="006D3155">
              <w:rPr>
                <w:sz w:val="20"/>
                <w:szCs w:val="22"/>
              </w:rPr>
              <w:t xml:space="preserve">, </w:t>
            </w:r>
            <w:r w:rsidR="006D3155" w:rsidRPr="004761E0">
              <w:rPr>
                <w:sz w:val="20"/>
                <w:szCs w:val="22"/>
              </w:rPr>
              <w:t>Первый заместитель начальника Департамента по безопасности</w:t>
            </w:r>
          </w:p>
        </w:tc>
      </w:tr>
      <w:tr w:rsidR="009C5A19" w:rsidRPr="004761E0" w:rsidTr="00670B18">
        <w:tc>
          <w:tcPr>
            <w:tcW w:w="851" w:type="dxa"/>
            <w:shd w:val="clear" w:color="auto" w:fill="auto"/>
          </w:tcPr>
          <w:p w:rsidR="009C5A19" w:rsidRPr="004761E0" w:rsidRDefault="009C5A19" w:rsidP="005C0EC7">
            <w:pPr>
              <w:ind w:firstLine="0"/>
              <w:jc w:val="left"/>
              <w:rPr>
                <w:sz w:val="20"/>
                <w:szCs w:val="22"/>
              </w:rPr>
            </w:pPr>
            <w:r w:rsidRPr="004761E0">
              <w:rPr>
                <w:sz w:val="20"/>
                <w:szCs w:val="22"/>
              </w:rPr>
              <w:t>2013</w:t>
            </w:r>
          </w:p>
        </w:tc>
        <w:tc>
          <w:tcPr>
            <w:tcW w:w="992" w:type="dxa"/>
            <w:shd w:val="clear" w:color="auto" w:fill="auto"/>
          </w:tcPr>
          <w:p w:rsidR="009C5A19" w:rsidRPr="004761E0" w:rsidRDefault="009C5A19" w:rsidP="009C5A19">
            <w:pPr>
              <w:ind w:firstLine="0"/>
              <w:jc w:val="left"/>
              <w:rPr>
                <w:sz w:val="20"/>
                <w:szCs w:val="22"/>
              </w:rPr>
            </w:pPr>
            <w:r w:rsidRPr="004761E0">
              <w:rPr>
                <w:sz w:val="20"/>
                <w:szCs w:val="20"/>
              </w:rPr>
              <w:t>наст.вр.</w:t>
            </w:r>
          </w:p>
        </w:tc>
        <w:tc>
          <w:tcPr>
            <w:tcW w:w="8080" w:type="dxa"/>
            <w:shd w:val="clear" w:color="auto" w:fill="auto"/>
          </w:tcPr>
          <w:p w:rsidR="009C5A19" w:rsidRPr="004761E0" w:rsidRDefault="0008080E" w:rsidP="005C0EC7">
            <w:pPr>
              <w:ind w:firstLine="0"/>
              <w:jc w:val="left"/>
              <w:rPr>
                <w:sz w:val="20"/>
                <w:szCs w:val="22"/>
              </w:rPr>
            </w:pPr>
            <w:r>
              <w:rPr>
                <w:sz w:val="20"/>
                <w:szCs w:val="22"/>
              </w:rPr>
              <w:t>ОАО </w:t>
            </w:r>
            <w:r w:rsidR="009C5A19" w:rsidRPr="004761E0">
              <w:rPr>
                <w:sz w:val="20"/>
                <w:szCs w:val="22"/>
              </w:rPr>
              <w:t>«Кубаньэнерго»</w:t>
            </w:r>
          </w:p>
        </w:tc>
        <w:tc>
          <w:tcPr>
            <w:tcW w:w="4536" w:type="dxa"/>
            <w:shd w:val="clear" w:color="auto" w:fill="auto"/>
          </w:tcPr>
          <w:p w:rsidR="009C5A19" w:rsidRPr="004761E0" w:rsidRDefault="009C5A19" w:rsidP="005C0EC7">
            <w:pPr>
              <w:ind w:firstLine="0"/>
              <w:jc w:val="left"/>
              <w:rPr>
                <w:sz w:val="20"/>
                <w:szCs w:val="22"/>
              </w:rPr>
            </w:pPr>
            <w:r w:rsidRPr="004761E0">
              <w:rPr>
                <w:sz w:val="20"/>
                <w:szCs w:val="22"/>
              </w:rPr>
              <w:t>Член Совета директоров</w:t>
            </w:r>
          </w:p>
        </w:tc>
      </w:tr>
      <w:tr w:rsidR="009C5A19" w:rsidRPr="004761E0" w:rsidTr="00670B18">
        <w:tc>
          <w:tcPr>
            <w:tcW w:w="851" w:type="dxa"/>
            <w:shd w:val="clear" w:color="auto" w:fill="auto"/>
          </w:tcPr>
          <w:p w:rsidR="009C5A19" w:rsidRPr="004761E0" w:rsidRDefault="009C5A19" w:rsidP="005C0EC7">
            <w:pPr>
              <w:ind w:firstLine="0"/>
              <w:jc w:val="left"/>
              <w:rPr>
                <w:sz w:val="20"/>
                <w:szCs w:val="22"/>
              </w:rPr>
            </w:pPr>
            <w:r w:rsidRPr="004761E0">
              <w:rPr>
                <w:sz w:val="20"/>
                <w:szCs w:val="22"/>
              </w:rPr>
              <w:t>2013</w:t>
            </w:r>
          </w:p>
        </w:tc>
        <w:tc>
          <w:tcPr>
            <w:tcW w:w="992" w:type="dxa"/>
            <w:shd w:val="clear" w:color="auto" w:fill="auto"/>
          </w:tcPr>
          <w:p w:rsidR="009C5A19" w:rsidRPr="004761E0" w:rsidRDefault="009C5A19" w:rsidP="009C5A19">
            <w:pPr>
              <w:ind w:firstLine="0"/>
              <w:jc w:val="left"/>
              <w:rPr>
                <w:sz w:val="20"/>
                <w:szCs w:val="22"/>
              </w:rPr>
            </w:pPr>
            <w:r w:rsidRPr="004761E0">
              <w:rPr>
                <w:sz w:val="20"/>
                <w:szCs w:val="20"/>
              </w:rPr>
              <w:t>наст.вр.</w:t>
            </w:r>
          </w:p>
        </w:tc>
        <w:tc>
          <w:tcPr>
            <w:tcW w:w="8080" w:type="dxa"/>
            <w:shd w:val="clear" w:color="auto" w:fill="auto"/>
          </w:tcPr>
          <w:p w:rsidR="009C5A19" w:rsidRPr="004761E0" w:rsidRDefault="0008080E" w:rsidP="005C0EC7">
            <w:pPr>
              <w:ind w:firstLine="0"/>
              <w:jc w:val="left"/>
              <w:rPr>
                <w:sz w:val="20"/>
                <w:szCs w:val="22"/>
              </w:rPr>
            </w:pPr>
            <w:r>
              <w:rPr>
                <w:sz w:val="20"/>
                <w:szCs w:val="22"/>
              </w:rPr>
              <w:t>ОАО </w:t>
            </w:r>
            <w:r w:rsidR="009C5A19" w:rsidRPr="004761E0">
              <w:rPr>
                <w:sz w:val="20"/>
                <w:szCs w:val="22"/>
              </w:rPr>
              <w:t>«МРСК Центра»</w:t>
            </w:r>
          </w:p>
        </w:tc>
        <w:tc>
          <w:tcPr>
            <w:tcW w:w="4536" w:type="dxa"/>
            <w:shd w:val="clear" w:color="auto" w:fill="auto"/>
          </w:tcPr>
          <w:p w:rsidR="009C5A19" w:rsidRPr="004761E0" w:rsidRDefault="009C5A19" w:rsidP="005C0EC7">
            <w:pPr>
              <w:ind w:firstLine="0"/>
              <w:jc w:val="left"/>
              <w:rPr>
                <w:sz w:val="20"/>
                <w:szCs w:val="22"/>
              </w:rPr>
            </w:pPr>
            <w:r w:rsidRPr="004761E0">
              <w:rPr>
                <w:sz w:val="20"/>
                <w:szCs w:val="22"/>
              </w:rPr>
              <w:t>Член Ревизионной комиссии</w:t>
            </w:r>
          </w:p>
        </w:tc>
      </w:tr>
      <w:tr w:rsidR="009C5A19" w:rsidRPr="004761E0" w:rsidTr="00670B18">
        <w:tc>
          <w:tcPr>
            <w:tcW w:w="851" w:type="dxa"/>
            <w:shd w:val="clear" w:color="auto" w:fill="auto"/>
          </w:tcPr>
          <w:p w:rsidR="009C5A19" w:rsidRPr="004761E0" w:rsidRDefault="009C5A19" w:rsidP="005C0EC7">
            <w:pPr>
              <w:ind w:firstLine="0"/>
              <w:jc w:val="left"/>
              <w:rPr>
                <w:sz w:val="20"/>
                <w:szCs w:val="22"/>
              </w:rPr>
            </w:pPr>
            <w:r w:rsidRPr="004761E0">
              <w:rPr>
                <w:sz w:val="20"/>
                <w:szCs w:val="22"/>
              </w:rPr>
              <w:t>2013</w:t>
            </w:r>
          </w:p>
        </w:tc>
        <w:tc>
          <w:tcPr>
            <w:tcW w:w="992" w:type="dxa"/>
            <w:shd w:val="clear" w:color="auto" w:fill="auto"/>
          </w:tcPr>
          <w:p w:rsidR="009C5A19" w:rsidRPr="004761E0" w:rsidRDefault="009C5A19" w:rsidP="009C5A19">
            <w:pPr>
              <w:ind w:firstLine="0"/>
              <w:jc w:val="left"/>
              <w:rPr>
                <w:sz w:val="20"/>
                <w:szCs w:val="22"/>
              </w:rPr>
            </w:pPr>
            <w:r w:rsidRPr="004761E0">
              <w:rPr>
                <w:sz w:val="20"/>
                <w:szCs w:val="20"/>
              </w:rPr>
              <w:t>наст.вр.</w:t>
            </w:r>
          </w:p>
        </w:tc>
        <w:tc>
          <w:tcPr>
            <w:tcW w:w="8080" w:type="dxa"/>
            <w:shd w:val="clear" w:color="auto" w:fill="auto"/>
          </w:tcPr>
          <w:p w:rsidR="009C5A19" w:rsidRPr="004761E0" w:rsidRDefault="0008080E" w:rsidP="005C0EC7">
            <w:pPr>
              <w:ind w:firstLine="0"/>
              <w:jc w:val="left"/>
              <w:rPr>
                <w:sz w:val="20"/>
                <w:szCs w:val="22"/>
              </w:rPr>
            </w:pPr>
            <w:r>
              <w:rPr>
                <w:sz w:val="20"/>
                <w:szCs w:val="22"/>
              </w:rPr>
              <w:t>ОАО </w:t>
            </w:r>
            <w:r w:rsidR="009C5A19" w:rsidRPr="004761E0">
              <w:rPr>
                <w:sz w:val="20"/>
                <w:szCs w:val="22"/>
              </w:rPr>
              <w:t>«Московская объединенная электросетевая компания»</w:t>
            </w:r>
          </w:p>
        </w:tc>
        <w:tc>
          <w:tcPr>
            <w:tcW w:w="4536" w:type="dxa"/>
            <w:shd w:val="clear" w:color="auto" w:fill="auto"/>
          </w:tcPr>
          <w:p w:rsidR="009C5A19" w:rsidRPr="004761E0" w:rsidRDefault="009C5A19" w:rsidP="005C0EC7">
            <w:pPr>
              <w:ind w:firstLine="0"/>
              <w:jc w:val="left"/>
              <w:rPr>
                <w:sz w:val="20"/>
                <w:szCs w:val="22"/>
              </w:rPr>
            </w:pPr>
            <w:r w:rsidRPr="004761E0">
              <w:rPr>
                <w:sz w:val="20"/>
                <w:szCs w:val="22"/>
              </w:rPr>
              <w:t>Член Ревизионной комиссии</w:t>
            </w:r>
          </w:p>
        </w:tc>
      </w:tr>
      <w:tr w:rsidR="00A82997" w:rsidRPr="004761E0" w:rsidTr="00670B18">
        <w:tc>
          <w:tcPr>
            <w:tcW w:w="14459" w:type="dxa"/>
            <w:gridSpan w:val="4"/>
            <w:shd w:val="clear" w:color="auto" w:fill="auto"/>
          </w:tcPr>
          <w:p w:rsidR="00A82997" w:rsidRPr="004761E0" w:rsidRDefault="00A82997" w:rsidP="005C0EC7">
            <w:pPr>
              <w:ind w:firstLine="0"/>
              <w:jc w:val="left"/>
              <w:rPr>
                <w:sz w:val="20"/>
                <w:szCs w:val="22"/>
              </w:rPr>
            </w:pPr>
            <w:r w:rsidRPr="004761E0">
              <w:rPr>
                <w:sz w:val="20"/>
                <w:szCs w:val="26"/>
              </w:rPr>
              <w:t>Иная информация</w:t>
            </w:r>
          </w:p>
        </w:tc>
      </w:tr>
    </w:tbl>
    <w:tbl>
      <w:tblPr>
        <w:tblStyle w:val="ae"/>
        <w:tblW w:w="14317" w:type="dxa"/>
        <w:tblInd w:w="108" w:type="dxa"/>
        <w:tblLook w:val="04A0"/>
      </w:tblPr>
      <w:tblGrid>
        <w:gridCol w:w="9923"/>
        <w:gridCol w:w="4394"/>
      </w:tblGrid>
      <w:tr w:rsidR="005C0EC7" w:rsidRPr="004761E0" w:rsidTr="009C5A19">
        <w:tc>
          <w:tcPr>
            <w:tcW w:w="9923" w:type="dxa"/>
          </w:tcPr>
          <w:p w:rsidR="005C0EC7" w:rsidRPr="004761E0" w:rsidRDefault="005C0EC7" w:rsidP="00A82997">
            <w:pPr>
              <w:ind w:firstLine="0"/>
              <w:jc w:val="left"/>
              <w:rPr>
                <w:sz w:val="20"/>
                <w:szCs w:val="26"/>
              </w:rPr>
            </w:pPr>
            <w:r w:rsidRPr="004761E0">
              <w:rPr>
                <w:sz w:val="20"/>
                <w:szCs w:val="26"/>
              </w:rPr>
              <w:t>Доли участия в уставном капитале Общества/обыкновенных акций:</w:t>
            </w:r>
          </w:p>
        </w:tc>
        <w:tc>
          <w:tcPr>
            <w:tcW w:w="4394" w:type="dxa"/>
          </w:tcPr>
          <w:p w:rsidR="005C0EC7" w:rsidRPr="004761E0" w:rsidRDefault="005C0EC7" w:rsidP="00A82997">
            <w:pPr>
              <w:ind w:firstLine="0"/>
              <w:jc w:val="left"/>
              <w:rPr>
                <w:sz w:val="20"/>
                <w:szCs w:val="26"/>
              </w:rPr>
            </w:pPr>
            <w:r w:rsidRPr="004761E0">
              <w:rPr>
                <w:bCs/>
                <w:iCs/>
                <w:sz w:val="20"/>
                <w:szCs w:val="26"/>
              </w:rPr>
              <w:t>Лицо указанных долей не имеет</w:t>
            </w:r>
            <w:r w:rsidRPr="004761E0">
              <w:rPr>
                <w:sz w:val="20"/>
                <w:szCs w:val="26"/>
              </w:rPr>
              <w:t>.</w:t>
            </w:r>
          </w:p>
        </w:tc>
      </w:tr>
      <w:tr w:rsidR="005C0EC7" w:rsidRPr="004761E0" w:rsidTr="009C5A19">
        <w:tc>
          <w:tcPr>
            <w:tcW w:w="9923" w:type="dxa"/>
          </w:tcPr>
          <w:p w:rsidR="005C0EC7" w:rsidRPr="004761E0" w:rsidRDefault="005C0EC7" w:rsidP="00A82997">
            <w:pPr>
              <w:ind w:firstLine="0"/>
              <w:jc w:val="left"/>
              <w:rPr>
                <w:sz w:val="20"/>
                <w:szCs w:val="26"/>
              </w:rPr>
            </w:pPr>
            <w:r w:rsidRPr="004761E0">
              <w:rPr>
                <w:sz w:val="20"/>
                <w:szCs w:val="26"/>
              </w:rPr>
              <w:t>Доли участия лица в уставном (складочном) капитале (паевом фонде) дочерних и зависимых обществ Общества:</w:t>
            </w:r>
          </w:p>
        </w:tc>
        <w:tc>
          <w:tcPr>
            <w:tcW w:w="4394" w:type="dxa"/>
          </w:tcPr>
          <w:p w:rsidR="005C0EC7" w:rsidRPr="004761E0" w:rsidRDefault="005C0EC7" w:rsidP="00A82997">
            <w:pPr>
              <w:ind w:firstLine="0"/>
              <w:jc w:val="left"/>
              <w:rPr>
                <w:sz w:val="20"/>
                <w:szCs w:val="26"/>
              </w:rPr>
            </w:pPr>
            <w:r w:rsidRPr="004761E0">
              <w:rPr>
                <w:bCs/>
                <w:iCs/>
                <w:sz w:val="20"/>
                <w:szCs w:val="26"/>
              </w:rPr>
              <w:t>Лицо указанных долей не имеет</w:t>
            </w:r>
          </w:p>
        </w:tc>
      </w:tr>
      <w:tr w:rsidR="005C0EC7" w:rsidRPr="004761E0" w:rsidTr="009C5A19">
        <w:tc>
          <w:tcPr>
            <w:tcW w:w="9923" w:type="dxa"/>
          </w:tcPr>
          <w:p w:rsidR="005C0EC7" w:rsidRPr="004761E0" w:rsidRDefault="005C0EC7" w:rsidP="00A82997">
            <w:pPr>
              <w:ind w:firstLine="0"/>
              <w:jc w:val="left"/>
              <w:rPr>
                <w:sz w:val="20"/>
                <w:szCs w:val="26"/>
              </w:rPr>
            </w:pPr>
            <w:r w:rsidRPr="004761E0">
              <w:rPr>
                <w:sz w:val="20"/>
                <w:szCs w:val="26"/>
              </w:rPr>
              <w:t>Сведения о характере любых родственных связей с иными лицами, входящими в состав органов управления Общества и/или органов контроля за финансово-хозяйственной деятельностью Общества:</w:t>
            </w:r>
          </w:p>
        </w:tc>
        <w:tc>
          <w:tcPr>
            <w:tcW w:w="4394" w:type="dxa"/>
          </w:tcPr>
          <w:p w:rsidR="005C0EC7" w:rsidRPr="004761E0" w:rsidRDefault="005C0EC7" w:rsidP="00A82997">
            <w:pPr>
              <w:ind w:firstLine="0"/>
              <w:jc w:val="left"/>
              <w:rPr>
                <w:sz w:val="20"/>
                <w:szCs w:val="26"/>
              </w:rPr>
            </w:pPr>
            <w:r w:rsidRPr="004761E0">
              <w:rPr>
                <w:bCs/>
                <w:iCs/>
                <w:sz w:val="20"/>
                <w:szCs w:val="26"/>
              </w:rPr>
              <w:t>Указанных родственных связей у лица нет.</w:t>
            </w:r>
          </w:p>
        </w:tc>
      </w:tr>
      <w:tr w:rsidR="005C0EC7" w:rsidRPr="004761E0" w:rsidTr="009C5A19">
        <w:tc>
          <w:tcPr>
            <w:tcW w:w="9923" w:type="dxa"/>
          </w:tcPr>
          <w:p w:rsidR="005C0EC7" w:rsidRPr="004761E0" w:rsidRDefault="005C0EC7" w:rsidP="00A82997">
            <w:pPr>
              <w:ind w:firstLine="0"/>
              <w:jc w:val="left"/>
              <w:rPr>
                <w:sz w:val="20"/>
                <w:szCs w:val="26"/>
              </w:rPr>
            </w:pPr>
            <w:r w:rsidRPr="004761E0">
              <w:rPr>
                <w:sz w:val="20"/>
                <w:szCs w:val="26"/>
              </w:rP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c>
        <w:tc>
          <w:tcPr>
            <w:tcW w:w="4394" w:type="dxa"/>
          </w:tcPr>
          <w:p w:rsidR="005C0EC7" w:rsidRPr="004761E0" w:rsidRDefault="005C0EC7" w:rsidP="00A82997">
            <w:pPr>
              <w:ind w:firstLine="0"/>
              <w:jc w:val="left"/>
              <w:rPr>
                <w:sz w:val="20"/>
                <w:szCs w:val="26"/>
              </w:rPr>
            </w:pPr>
            <w:r w:rsidRPr="004761E0">
              <w:rPr>
                <w:bCs/>
                <w:iCs/>
                <w:sz w:val="20"/>
                <w:szCs w:val="26"/>
              </w:rPr>
              <w:t>Лицо к указанным видам ответственности не привлекалось</w:t>
            </w:r>
          </w:p>
        </w:tc>
      </w:tr>
      <w:tr w:rsidR="005C0EC7" w:rsidRPr="004761E0" w:rsidTr="009C5A19">
        <w:tc>
          <w:tcPr>
            <w:tcW w:w="9923" w:type="dxa"/>
          </w:tcPr>
          <w:p w:rsidR="005C0EC7" w:rsidRPr="004761E0" w:rsidRDefault="005C0EC7" w:rsidP="00A82997">
            <w:pPr>
              <w:ind w:firstLine="0"/>
              <w:jc w:val="left"/>
              <w:rPr>
                <w:sz w:val="20"/>
                <w:szCs w:val="26"/>
              </w:rPr>
            </w:pPr>
            <w:r w:rsidRPr="004761E0">
              <w:rPr>
                <w:sz w:val="20"/>
                <w:szCs w:val="26"/>
              </w:rP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tc>
        <w:tc>
          <w:tcPr>
            <w:tcW w:w="4394" w:type="dxa"/>
          </w:tcPr>
          <w:p w:rsidR="005C0EC7" w:rsidRPr="004761E0" w:rsidRDefault="005C0EC7" w:rsidP="00A82997">
            <w:pPr>
              <w:ind w:firstLine="0"/>
              <w:jc w:val="left"/>
              <w:rPr>
                <w:sz w:val="20"/>
                <w:szCs w:val="26"/>
              </w:rPr>
            </w:pPr>
            <w:r w:rsidRPr="004761E0">
              <w:rPr>
                <w:bCs/>
                <w:iCs/>
                <w:sz w:val="20"/>
                <w:szCs w:val="26"/>
              </w:rPr>
              <w:t>Лицо указанных должностей не занимало.</w:t>
            </w:r>
          </w:p>
        </w:tc>
      </w:tr>
      <w:tr w:rsidR="005C0EC7" w:rsidRPr="004761E0" w:rsidTr="009C5A19">
        <w:tc>
          <w:tcPr>
            <w:tcW w:w="9923" w:type="dxa"/>
          </w:tcPr>
          <w:p w:rsidR="005C0EC7" w:rsidRPr="004761E0" w:rsidRDefault="00A82997" w:rsidP="00A82997">
            <w:pPr>
              <w:ind w:firstLine="0"/>
              <w:jc w:val="left"/>
              <w:rPr>
                <w:sz w:val="20"/>
                <w:szCs w:val="26"/>
              </w:rPr>
            </w:pPr>
            <w:r w:rsidRPr="004761E0">
              <w:rPr>
                <w:sz w:val="20"/>
                <w:szCs w:val="26"/>
              </w:rPr>
              <w:t xml:space="preserve">Наличие </w:t>
            </w:r>
            <w:r w:rsidR="005C0EC7" w:rsidRPr="004761E0">
              <w:rPr>
                <w:sz w:val="20"/>
                <w:szCs w:val="26"/>
              </w:rPr>
              <w:t>согласия на раскрытие данной информации в Годовом отчете.</w:t>
            </w:r>
          </w:p>
        </w:tc>
        <w:tc>
          <w:tcPr>
            <w:tcW w:w="4394" w:type="dxa"/>
          </w:tcPr>
          <w:p w:rsidR="005C0EC7" w:rsidRPr="004761E0" w:rsidRDefault="005C0EC7" w:rsidP="00A82997">
            <w:pPr>
              <w:ind w:firstLine="0"/>
              <w:jc w:val="left"/>
              <w:rPr>
                <w:bCs/>
                <w:iCs/>
                <w:sz w:val="20"/>
                <w:szCs w:val="26"/>
              </w:rPr>
            </w:pPr>
            <w:r w:rsidRPr="004761E0">
              <w:rPr>
                <w:bCs/>
                <w:iCs/>
                <w:sz w:val="20"/>
                <w:szCs w:val="26"/>
              </w:rPr>
              <w:t>Лицом дано подобное согласие.</w:t>
            </w:r>
          </w:p>
        </w:tc>
      </w:tr>
      <w:tr w:rsidR="00A82997" w:rsidRPr="004761E0" w:rsidTr="00A82997">
        <w:tc>
          <w:tcPr>
            <w:tcW w:w="14317" w:type="dxa"/>
            <w:gridSpan w:val="2"/>
            <w:shd w:val="clear" w:color="auto" w:fill="BFBFBF" w:themeFill="background1" w:themeFillShade="BF"/>
          </w:tcPr>
          <w:p w:rsidR="00A82997" w:rsidRPr="004761E0" w:rsidRDefault="00A82997" w:rsidP="007076A7">
            <w:pPr>
              <w:pStyle w:val="a5"/>
              <w:numPr>
                <w:ilvl w:val="0"/>
                <w:numId w:val="277"/>
              </w:numPr>
              <w:ind w:left="601" w:hanging="601"/>
              <w:contextualSpacing w:val="0"/>
              <w:jc w:val="left"/>
              <w:rPr>
                <w:b/>
                <w:bCs/>
                <w:iCs/>
                <w:sz w:val="20"/>
                <w:szCs w:val="20"/>
              </w:rPr>
            </w:pPr>
            <w:r w:rsidRPr="004761E0">
              <w:rPr>
                <w:b/>
                <w:bCs/>
                <w:iCs/>
                <w:sz w:val="20"/>
                <w:szCs w:val="20"/>
              </w:rPr>
              <w:t>Лелекова Марина Алексеевна</w:t>
            </w:r>
          </w:p>
        </w:tc>
      </w:tr>
      <w:tr w:rsidR="00A82997" w:rsidRPr="004761E0" w:rsidTr="00A82997">
        <w:tc>
          <w:tcPr>
            <w:tcW w:w="14317" w:type="dxa"/>
            <w:gridSpan w:val="2"/>
          </w:tcPr>
          <w:p w:rsidR="00A82997" w:rsidRPr="004761E0" w:rsidRDefault="00A82997" w:rsidP="00A82997">
            <w:pPr>
              <w:ind w:firstLine="0"/>
              <w:jc w:val="left"/>
              <w:rPr>
                <w:bCs/>
                <w:iCs/>
                <w:sz w:val="20"/>
                <w:szCs w:val="26"/>
              </w:rPr>
            </w:pPr>
            <w:r w:rsidRPr="004761E0">
              <w:rPr>
                <w:sz w:val="20"/>
                <w:szCs w:val="26"/>
              </w:rPr>
              <w:t>Все должности, занимаемые данным лицом в Обществе и других организациях за последние 5 лет и в настоящее время в хронологическом порядке, в т.ч. по совместительству:</w:t>
            </w:r>
          </w:p>
        </w:tc>
      </w:tr>
    </w:tbl>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992"/>
        <w:gridCol w:w="8080"/>
        <w:gridCol w:w="4394"/>
      </w:tblGrid>
      <w:tr w:rsidR="00570119" w:rsidRPr="004761E0" w:rsidTr="009C5A19">
        <w:tc>
          <w:tcPr>
            <w:tcW w:w="1843" w:type="dxa"/>
            <w:gridSpan w:val="2"/>
            <w:tcBorders>
              <w:bottom w:val="single" w:sz="4" w:space="0" w:color="FFFFFF" w:themeColor="background1"/>
              <w:right w:val="single" w:sz="4" w:space="0" w:color="FFFFFF" w:themeColor="background1"/>
            </w:tcBorders>
            <w:shd w:val="clear" w:color="auto" w:fill="0F243E" w:themeFill="text2" w:themeFillShade="80"/>
            <w:vAlign w:val="center"/>
          </w:tcPr>
          <w:p w:rsidR="00570119" w:rsidRPr="004761E0" w:rsidRDefault="00570119" w:rsidP="00F83ADF">
            <w:pPr>
              <w:ind w:firstLine="0"/>
              <w:jc w:val="center"/>
              <w:rPr>
                <w:b/>
                <w:sz w:val="20"/>
                <w:szCs w:val="22"/>
              </w:rPr>
            </w:pPr>
            <w:r w:rsidRPr="004761E0">
              <w:rPr>
                <w:b/>
                <w:sz w:val="20"/>
                <w:szCs w:val="22"/>
              </w:rPr>
              <w:t>Период</w:t>
            </w:r>
          </w:p>
        </w:tc>
        <w:tc>
          <w:tcPr>
            <w:tcW w:w="8080"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570119" w:rsidRPr="004761E0" w:rsidRDefault="00570119" w:rsidP="00F83ADF">
            <w:pPr>
              <w:ind w:firstLine="0"/>
              <w:jc w:val="left"/>
              <w:rPr>
                <w:b/>
                <w:sz w:val="20"/>
                <w:szCs w:val="22"/>
              </w:rPr>
            </w:pPr>
            <w:r w:rsidRPr="004761E0">
              <w:rPr>
                <w:b/>
                <w:sz w:val="20"/>
                <w:szCs w:val="22"/>
              </w:rPr>
              <w:t>Наименование организации</w:t>
            </w:r>
          </w:p>
        </w:tc>
        <w:tc>
          <w:tcPr>
            <w:tcW w:w="4394" w:type="dxa"/>
            <w:vMerge w:val="restart"/>
            <w:tcBorders>
              <w:left w:val="single" w:sz="4" w:space="0" w:color="FFFFFF" w:themeColor="background1"/>
              <w:bottom w:val="single" w:sz="4" w:space="0" w:color="FFFFFF" w:themeColor="background1"/>
            </w:tcBorders>
            <w:shd w:val="clear" w:color="auto" w:fill="0F243E" w:themeFill="text2" w:themeFillShade="80"/>
            <w:vAlign w:val="center"/>
          </w:tcPr>
          <w:p w:rsidR="00570119" w:rsidRPr="004761E0" w:rsidRDefault="00570119" w:rsidP="00F83ADF">
            <w:pPr>
              <w:ind w:firstLine="0"/>
              <w:jc w:val="left"/>
              <w:rPr>
                <w:b/>
                <w:sz w:val="20"/>
                <w:szCs w:val="22"/>
              </w:rPr>
            </w:pPr>
            <w:r w:rsidRPr="004761E0">
              <w:rPr>
                <w:b/>
                <w:sz w:val="20"/>
                <w:szCs w:val="22"/>
              </w:rPr>
              <w:t>Должность</w:t>
            </w:r>
          </w:p>
        </w:tc>
      </w:tr>
      <w:tr w:rsidR="00570119" w:rsidRPr="004761E0" w:rsidTr="009C5A19">
        <w:tc>
          <w:tcPr>
            <w:tcW w:w="851" w:type="dxa"/>
            <w:tcBorders>
              <w:top w:val="single" w:sz="4" w:space="0" w:color="FFFFFF" w:themeColor="background1"/>
              <w:right w:val="single" w:sz="4" w:space="0" w:color="FFFFFF" w:themeColor="background1"/>
            </w:tcBorders>
            <w:shd w:val="clear" w:color="auto" w:fill="0F243E" w:themeFill="text2" w:themeFillShade="80"/>
            <w:vAlign w:val="center"/>
          </w:tcPr>
          <w:p w:rsidR="00570119" w:rsidRPr="004761E0" w:rsidRDefault="00570119" w:rsidP="00F83ADF">
            <w:pPr>
              <w:ind w:firstLine="0"/>
              <w:jc w:val="center"/>
              <w:rPr>
                <w:b/>
                <w:sz w:val="20"/>
                <w:szCs w:val="22"/>
              </w:rPr>
            </w:pPr>
            <w:r w:rsidRPr="004761E0">
              <w:rPr>
                <w:b/>
                <w:sz w:val="20"/>
                <w:szCs w:val="22"/>
              </w:rPr>
              <w:t>с</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rsidR="00570119" w:rsidRPr="004761E0" w:rsidRDefault="00570119" w:rsidP="00F83ADF">
            <w:pPr>
              <w:ind w:firstLine="0"/>
              <w:jc w:val="center"/>
              <w:rPr>
                <w:b/>
                <w:sz w:val="20"/>
                <w:szCs w:val="22"/>
              </w:rPr>
            </w:pPr>
            <w:r w:rsidRPr="004761E0">
              <w:rPr>
                <w:b/>
                <w:sz w:val="20"/>
                <w:szCs w:val="22"/>
              </w:rPr>
              <w:t>по</w:t>
            </w:r>
          </w:p>
        </w:tc>
        <w:tc>
          <w:tcPr>
            <w:tcW w:w="8080" w:type="dxa"/>
            <w:vMerge/>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rsidR="00570119" w:rsidRPr="004761E0" w:rsidRDefault="00570119" w:rsidP="00F83ADF">
            <w:pPr>
              <w:ind w:firstLine="0"/>
              <w:jc w:val="center"/>
              <w:rPr>
                <w:sz w:val="20"/>
                <w:szCs w:val="22"/>
              </w:rPr>
            </w:pPr>
          </w:p>
        </w:tc>
        <w:tc>
          <w:tcPr>
            <w:tcW w:w="4394" w:type="dxa"/>
            <w:vMerge/>
            <w:tcBorders>
              <w:top w:val="single" w:sz="4" w:space="0" w:color="FFFFFF" w:themeColor="background1"/>
              <w:left w:val="single" w:sz="4" w:space="0" w:color="FFFFFF" w:themeColor="background1"/>
            </w:tcBorders>
            <w:shd w:val="clear" w:color="auto" w:fill="0F243E" w:themeFill="text2" w:themeFillShade="80"/>
            <w:vAlign w:val="center"/>
          </w:tcPr>
          <w:p w:rsidR="00570119" w:rsidRPr="004761E0" w:rsidRDefault="00570119" w:rsidP="00F83ADF">
            <w:pPr>
              <w:ind w:firstLine="0"/>
              <w:jc w:val="center"/>
              <w:rPr>
                <w:sz w:val="20"/>
                <w:szCs w:val="22"/>
              </w:rPr>
            </w:pPr>
          </w:p>
        </w:tc>
      </w:tr>
      <w:tr w:rsidR="00570119" w:rsidRPr="004761E0" w:rsidTr="009C5A19">
        <w:tc>
          <w:tcPr>
            <w:tcW w:w="851" w:type="dxa"/>
            <w:shd w:val="clear" w:color="auto" w:fill="auto"/>
          </w:tcPr>
          <w:p w:rsidR="00570119" w:rsidRPr="004761E0" w:rsidRDefault="00570119" w:rsidP="005C0EC7">
            <w:pPr>
              <w:ind w:firstLine="0"/>
              <w:jc w:val="left"/>
              <w:rPr>
                <w:sz w:val="20"/>
                <w:szCs w:val="22"/>
              </w:rPr>
            </w:pPr>
            <w:r w:rsidRPr="004761E0">
              <w:rPr>
                <w:sz w:val="20"/>
                <w:szCs w:val="22"/>
              </w:rPr>
              <w:t>2004</w:t>
            </w:r>
          </w:p>
        </w:tc>
        <w:tc>
          <w:tcPr>
            <w:tcW w:w="992" w:type="dxa"/>
            <w:shd w:val="clear" w:color="auto" w:fill="auto"/>
          </w:tcPr>
          <w:p w:rsidR="00570119" w:rsidRPr="004761E0" w:rsidRDefault="00570119" w:rsidP="005C0EC7">
            <w:pPr>
              <w:ind w:firstLine="0"/>
              <w:jc w:val="left"/>
              <w:rPr>
                <w:sz w:val="20"/>
                <w:szCs w:val="22"/>
              </w:rPr>
            </w:pPr>
            <w:r w:rsidRPr="004761E0">
              <w:rPr>
                <w:sz w:val="20"/>
                <w:szCs w:val="22"/>
              </w:rPr>
              <w:t>2008</w:t>
            </w:r>
          </w:p>
        </w:tc>
        <w:tc>
          <w:tcPr>
            <w:tcW w:w="8080" w:type="dxa"/>
            <w:shd w:val="clear" w:color="auto" w:fill="auto"/>
          </w:tcPr>
          <w:p w:rsidR="00570119" w:rsidRPr="004761E0" w:rsidRDefault="0008080E" w:rsidP="005C0EC7">
            <w:pPr>
              <w:ind w:firstLine="0"/>
              <w:jc w:val="left"/>
              <w:rPr>
                <w:sz w:val="20"/>
                <w:szCs w:val="22"/>
              </w:rPr>
            </w:pPr>
            <w:r>
              <w:rPr>
                <w:sz w:val="20"/>
                <w:szCs w:val="22"/>
              </w:rPr>
              <w:t>ОАО </w:t>
            </w:r>
            <w:r w:rsidR="00570119" w:rsidRPr="004761E0">
              <w:rPr>
                <w:sz w:val="20"/>
                <w:szCs w:val="22"/>
              </w:rPr>
              <w:t>«ФСК ЕЭС»</w:t>
            </w:r>
          </w:p>
        </w:tc>
        <w:tc>
          <w:tcPr>
            <w:tcW w:w="4394" w:type="dxa"/>
            <w:shd w:val="clear" w:color="auto" w:fill="auto"/>
          </w:tcPr>
          <w:p w:rsidR="00570119" w:rsidRPr="004761E0" w:rsidRDefault="00570119" w:rsidP="005C0EC7">
            <w:pPr>
              <w:ind w:firstLine="0"/>
              <w:jc w:val="left"/>
              <w:rPr>
                <w:sz w:val="20"/>
                <w:szCs w:val="22"/>
              </w:rPr>
            </w:pPr>
            <w:r w:rsidRPr="004761E0">
              <w:rPr>
                <w:sz w:val="20"/>
                <w:szCs w:val="22"/>
              </w:rPr>
              <w:t>Заместитель руководителя, ведущий эксперт, главный специалист Дирекции финансового контроля и внутреннего аудита</w:t>
            </w:r>
          </w:p>
        </w:tc>
      </w:tr>
      <w:tr w:rsidR="00570119" w:rsidRPr="004761E0" w:rsidTr="009C5A19">
        <w:tc>
          <w:tcPr>
            <w:tcW w:w="851" w:type="dxa"/>
            <w:shd w:val="clear" w:color="auto" w:fill="auto"/>
          </w:tcPr>
          <w:p w:rsidR="00570119" w:rsidRPr="004761E0" w:rsidRDefault="00570119" w:rsidP="005C0EC7">
            <w:pPr>
              <w:ind w:firstLine="0"/>
              <w:jc w:val="left"/>
              <w:rPr>
                <w:sz w:val="20"/>
                <w:szCs w:val="22"/>
              </w:rPr>
            </w:pPr>
            <w:r w:rsidRPr="004761E0">
              <w:rPr>
                <w:sz w:val="20"/>
                <w:szCs w:val="22"/>
              </w:rPr>
              <w:t>2008</w:t>
            </w:r>
          </w:p>
        </w:tc>
        <w:tc>
          <w:tcPr>
            <w:tcW w:w="992" w:type="dxa"/>
            <w:shd w:val="clear" w:color="auto" w:fill="auto"/>
          </w:tcPr>
          <w:p w:rsidR="00570119" w:rsidRPr="004761E0" w:rsidRDefault="00570119" w:rsidP="005C0EC7">
            <w:pPr>
              <w:ind w:firstLine="0"/>
              <w:jc w:val="left"/>
              <w:rPr>
                <w:sz w:val="20"/>
                <w:szCs w:val="22"/>
              </w:rPr>
            </w:pPr>
            <w:r w:rsidRPr="004761E0">
              <w:rPr>
                <w:sz w:val="20"/>
                <w:szCs w:val="22"/>
              </w:rPr>
              <w:t>2009</w:t>
            </w:r>
          </w:p>
        </w:tc>
        <w:tc>
          <w:tcPr>
            <w:tcW w:w="8080" w:type="dxa"/>
            <w:shd w:val="clear" w:color="auto" w:fill="auto"/>
          </w:tcPr>
          <w:p w:rsidR="00570119" w:rsidRPr="004761E0" w:rsidRDefault="0008080E" w:rsidP="005C0EC7">
            <w:pPr>
              <w:ind w:firstLine="0"/>
              <w:jc w:val="left"/>
              <w:rPr>
                <w:sz w:val="20"/>
                <w:szCs w:val="22"/>
              </w:rPr>
            </w:pPr>
            <w:r>
              <w:rPr>
                <w:sz w:val="20"/>
                <w:szCs w:val="22"/>
              </w:rPr>
              <w:t>ОАО </w:t>
            </w:r>
            <w:r w:rsidR="00570119" w:rsidRPr="004761E0">
              <w:rPr>
                <w:sz w:val="20"/>
                <w:szCs w:val="22"/>
              </w:rPr>
              <w:t>«ФСК ЕЭС»</w:t>
            </w:r>
          </w:p>
        </w:tc>
        <w:tc>
          <w:tcPr>
            <w:tcW w:w="4394" w:type="dxa"/>
            <w:shd w:val="clear" w:color="auto" w:fill="auto"/>
          </w:tcPr>
          <w:p w:rsidR="00570119" w:rsidRPr="004761E0" w:rsidRDefault="00570119" w:rsidP="005C0EC7">
            <w:pPr>
              <w:ind w:firstLine="0"/>
              <w:jc w:val="left"/>
              <w:rPr>
                <w:sz w:val="20"/>
                <w:szCs w:val="22"/>
              </w:rPr>
            </w:pPr>
            <w:r w:rsidRPr="004761E0">
              <w:rPr>
                <w:sz w:val="20"/>
                <w:szCs w:val="22"/>
              </w:rPr>
              <w:t>Руководитель Дирекции финансового контроля и внутреннего аудита</w:t>
            </w:r>
          </w:p>
        </w:tc>
      </w:tr>
      <w:tr w:rsidR="00570119" w:rsidRPr="004761E0" w:rsidTr="009C5A19">
        <w:tc>
          <w:tcPr>
            <w:tcW w:w="851" w:type="dxa"/>
            <w:shd w:val="clear" w:color="auto" w:fill="auto"/>
          </w:tcPr>
          <w:p w:rsidR="00570119" w:rsidRPr="004761E0" w:rsidRDefault="00570119" w:rsidP="005C0EC7">
            <w:pPr>
              <w:ind w:firstLine="0"/>
              <w:jc w:val="left"/>
              <w:rPr>
                <w:sz w:val="20"/>
                <w:szCs w:val="22"/>
              </w:rPr>
            </w:pPr>
            <w:r w:rsidRPr="004761E0">
              <w:rPr>
                <w:sz w:val="20"/>
                <w:szCs w:val="22"/>
              </w:rPr>
              <w:t>2009</w:t>
            </w:r>
          </w:p>
        </w:tc>
        <w:tc>
          <w:tcPr>
            <w:tcW w:w="992" w:type="dxa"/>
            <w:shd w:val="clear" w:color="auto" w:fill="auto"/>
          </w:tcPr>
          <w:p w:rsidR="00570119" w:rsidRPr="004761E0" w:rsidRDefault="00570119" w:rsidP="005C0EC7">
            <w:pPr>
              <w:ind w:firstLine="0"/>
              <w:jc w:val="left"/>
              <w:rPr>
                <w:sz w:val="20"/>
                <w:szCs w:val="22"/>
              </w:rPr>
            </w:pPr>
            <w:r w:rsidRPr="004761E0">
              <w:rPr>
                <w:sz w:val="20"/>
                <w:szCs w:val="22"/>
              </w:rPr>
              <w:t>2013</w:t>
            </w:r>
          </w:p>
        </w:tc>
        <w:tc>
          <w:tcPr>
            <w:tcW w:w="8080" w:type="dxa"/>
            <w:shd w:val="clear" w:color="auto" w:fill="auto"/>
          </w:tcPr>
          <w:p w:rsidR="00570119" w:rsidRPr="004761E0" w:rsidRDefault="0008080E" w:rsidP="005C0EC7">
            <w:pPr>
              <w:ind w:firstLine="0"/>
              <w:jc w:val="left"/>
              <w:rPr>
                <w:sz w:val="20"/>
                <w:szCs w:val="22"/>
              </w:rPr>
            </w:pPr>
            <w:r>
              <w:rPr>
                <w:sz w:val="20"/>
                <w:szCs w:val="22"/>
              </w:rPr>
              <w:t>ОАО </w:t>
            </w:r>
            <w:r w:rsidR="00570119" w:rsidRPr="004761E0">
              <w:rPr>
                <w:sz w:val="20"/>
                <w:szCs w:val="22"/>
              </w:rPr>
              <w:t>«ФСК ЕЭС»</w:t>
            </w:r>
          </w:p>
        </w:tc>
        <w:tc>
          <w:tcPr>
            <w:tcW w:w="4394" w:type="dxa"/>
            <w:shd w:val="clear" w:color="auto" w:fill="auto"/>
          </w:tcPr>
          <w:p w:rsidR="00570119" w:rsidRPr="004761E0" w:rsidRDefault="00570119" w:rsidP="005C0EC7">
            <w:pPr>
              <w:ind w:firstLine="0"/>
              <w:jc w:val="left"/>
              <w:rPr>
                <w:sz w:val="20"/>
                <w:szCs w:val="22"/>
              </w:rPr>
            </w:pPr>
            <w:r w:rsidRPr="004761E0">
              <w:rPr>
                <w:sz w:val="20"/>
                <w:szCs w:val="22"/>
              </w:rPr>
              <w:t>Начальник Департамента контроля и ревизий</w:t>
            </w:r>
          </w:p>
        </w:tc>
      </w:tr>
      <w:tr w:rsidR="009C5A19" w:rsidRPr="004761E0" w:rsidTr="009C5A19">
        <w:tc>
          <w:tcPr>
            <w:tcW w:w="851" w:type="dxa"/>
            <w:shd w:val="clear" w:color="auto" w:fill="auto"/>
          </w:tcPr>
          <w:p w:rsidR="009C5A19" w:rsidRPr="004761E0" w:rsidRDefault="009C5A19" w:rsidP="005C0EC7">
            <w:pPr>
              <w:ind w:firstLine="0"/>
              <w:jc w:val="left"/>
              <w:rPr>
                <w:sz w:val="20"/>
                <w:szCs w:val="22"/>
              </w:rPr>
            </w:pPr>
            <w:r w:rsidRPr="004761E0">
              <w:rPr>
                <w:sz w:val="20"/>
                <w:szCs w:val="22"/>
              </w:rPr>
              <w:t>2013</w:t>
            </w:r>
          </w:p>
        </w:tc>
        <w:tc>
          <w:tcPr>
            <w:tcW w:w="992" w:type="dxa"/>
            <w:shd w:val="clear" w:color="auto" w:fill="auto"/>
          </w:tcPr>
          <w:p w:rsidR="009C5A19" w:rsidRPr="004761E0" w:rsidRDefault="009C5A19" w:rsidP="009C5A19">
            <w:pPr>
              <w:ind w:firstLine="0"/>
              <w:jc w:val="left"/>
              <w:rPr>
                <w:sz w:val="20"/>
                <w:szCs w:val="22"/>
              </w:rPr>
            </w:pPr>
            <w:r w:rsidRPr="004761E0">
              <w:rPr>
                <w:sz w:val="20"/>
                <w:szCs w:val="20"/>
              </w:rPr>
              <w:t>наст.вр.</w:t>
            </w:r>
          </w:p>
        </w:tc>
        <w:tc>
          <w:tcPr>
            <w:tcW w:w="8080" w:type="dxa"/>
            <w:shd w:val="clear" w:color="auto" w:fill="auto"/>
          </w:tcPr>
          <w:p w:rsidR="009C5A19" w:rsidRPr="004761E0" w:rsidRDefault="0008080E" w:rsidP="005C0EC7">
            <w:pPr>
              <w:ind w:firstLine="0"/>
              <w:jc w:val="left"/>
              <w:rPr>
                <w:sz w:val="20"/>
                <w:szCs w:val="22"/>
              </w:rPr>
            </w:pPr>
            <w:r>
              <w:rPr>
                <w:sz w:val="20"/>
                <w:szCs w:val="22"/>
              </w:rPr>
              <w:t>ОАО </w:t>
            </w:r>
            <w:r w:rsidR="009C5A19" w:rsidRPr="004761E0">
              <w:rPr>
                <w:sz w:val="20"/>
                <w:szCs w:val="22"/>
              </w:rPr>
              <w:t>«Россети»</w:t>
            </w:r>
            <w:r w:rsidR="006D3155">
              <w:rPr>
                <w:sz w:val="20"/>
                <w:szCs w:val="22"/>
              </w:rPr>
              <w:t xml:space="preserve"> </w:t>
            </w:r>
            <w:r w:rsidR="006D3155" w:rsidRPr="006D3155">
              <w:rPr>
                <w:sz w:val="20"/>
                <w:szCs w:val="22"/>
              </w:rPr>
              <w:t>(до 04.04.2013 – ОАО «Холдинг МРСК»)</w:t>
            </w:r>
          </w:p>
        </w:tc>
        <w:tc>
          <w:tcPr>
            <w:tcW w:w="4394" w:type="dxa"/>
            <w:shd w:val="clear" w:color="auto" w:fill="auto"/>
          </w:tcPr>
          <w:p w:rsidR="009C5A19" w:rsidRPr="004761E0" w:rsidRDefault="009C5A19" w:rsidP="005C0EC7">
            <w:pPr>
              <w:ind w:firstLine="0"/>
              <w:jc w:val="left"/>
              <w:rPr>
                <w:sz w:val="20"/>
                <w:szCs w:val="22"/>
              </w:rPr>
            </w:pPr>
            <w:r w:rsidRPr="004761E0">
              <w:rPr>
                <w:sz w:val="20"/>
                <w:szCs w:val="22"/>
              </w:rPr>
              <w:t>Директор Департамента внутреннего аудитора и контроля</w:t>
            </w:r>
          </w:p>
        </w:tc>
      </w:tr>
      <w:tr w:rsidR="009C5A19" w:rsidRPr="004761E0" w:rsidTr="009C5A19">
        <w:tc>
          <w:tcPr>
            <w:tcW w:w="851" w:type="dxa"/>
            <w:shd w:val="clear" w:color="auto" w:fill="auto"/>
          </w:tcPr>
          <w:p w:rsidR="009C5A19" w:rsidRPr="004761E0" w:rsidRDefault="009C5A19" w:rsidP="005C0EC7">
            <w:pPr>
              <w:ind w:firstLine="0"/>
              <w:jc w:val="left"/>
              <w:rPr>
                <w:sz w:val="20"/>
                <w:szCs w:val="22"/>
              </w:rPr>
            </w:pPr>
            <w:r w:rsidRPr="004761E0">
              <w:rPr>
                <w:sz w:val="20"/>
                <w:szCs w:val="22"/>
              </w:rPr>
              <w:t>2013</w:t>
            </w:r>
          </w:p>
        </w:tc>
        <w:tc>
          <w:tcPr>
            <w:tcW w:w="992" w:type="dxa"/>
            <w:shd w:val="clear" w:color="auto" w:fill="auto"/>
          </w:tcPr>
          <w:p w:rsidR="009C5A19" w:rsidRPr="004761E0" w:rsidRDefault="009C5A19" w:rsidP="009C5A19">
            <w:pPr>
              <w:ind w:firstLine="0"/>
              <w:jc w:val="left"/>
              <w:rPr>
                <w:sz w:val="20"/>
                <w:szCs w:val="22"/>
              </w:rPr>
            </w:pPr>
            <w:r w:rsidRPr="004761E0">
              <w:rPr>
                <w:sz w:val="20"/>
                <w:szCs w:val="20"/>
              </w:rPr>
              <w:t>наст.вр.</w:t>
            </w:r>
          </w:p>
        </w:tc>
        <w:tc>
          <w:tcPr>
            <w:tcW w:w="8080" w:type="dxa"/>
            <w:shd w:val="clear" w:color="auto" w:fill="auto"/>
          </w:tcPr>
          <w:p w:rsidR="009C5A19" w:rsidRPr="004761E0" w:rsidRDefault="0008080E" w:rsidP="006D3155">
            <w:pPr>
              <w:ind w:firstLine="0"/>
              <w:jc w:val="left"/>
              <w:rPr>
                <w:sz w:val="20"/>
                <w:szCs w:val="22"/>
              </w:rPr>
            </w:pPr>
            <w:r>
              <w:rPr>
                <w:sz w:val="20"/>
                <w:szCs w:val="22"/>
              </w:rPr>
              <w:t>ОАО </w:t>
            </w:r>
            <w:r w:rsidR="009C5A19" w:rsidRPr="004761E0">
              <w:rPr>
                <w:sz w:val="20"/>
                <w:szCs w:val="22"/>
              </w:rPr>
              <w:t>«</w:t>
            </w:r>
            <w:r w:rsidR="006D3155">
              <w:rPr>
                <w:sz w:val="20"/>
                <w:szCs w:val="22"/>
              </w:rPr>
              <w:t>МОЭСК</w:t>
            </w:r>
            <w:r w:rsidR="009C5A19" w:rsidRPr="004761E0">
              <w:rPr>
                <w:sz w:val="20"/>
                <w:szCs w:val="22"/>
              </w:rPr>
              <w:t>»</w:t>
            </w:r>
          </w:p>
        </w:tc>
        <w:tc>
          <w:tcPr>
            <w:tcW w:w="4394" w:type="dxa"/>
            <w:shd w:val="clear" w:color="auto" w:fill="auto"/>
          </w:tcPr>
          <w:p w:rsidR="009C5A19" w:rsidRPr="004761E0" w:rsidRDefault="009C5A19" w:rsidP="005C0EC7">
            <w:pPr>
              <w:ind w:firstLine="0"/>
              <w:jc w:val="left"/>
              <w:rPr>
                <w:sz w:val="20"/>
                <w:szCs w:val="22"/>
              </w:rPr>
            </w:pPr>
            <w:r w:rsidRPr="004761E0">
              <w:rPr>
                <w:sz w:val="20"/>
                <w:szCs w:val="22"/>
              </w:rPr>
              <w:t>Член Ревизионной комиссии</w:t>
            </w:r>
          </w:p>
        </w:tc>
      </w:tr>
      <w:tr w:rsidR="00A82997" w:rsidRPr="004761E0" w:rsidTr="00A82997">
        <w:tc>
          <w:tcPr>
            <w:tcW w:w="14317" w:type="dxa"/>
            <w:gridSpan w:val="4"/>
            <w:shd w:val="clear" w:color="auto" w:fill="auto"/>
          </w:tcPr>
          <w:p w:rsidR="00A82997" w:rsidRPr="004761E0" w:rsidRDefault="00A82997" w:rsidP="005C0EC7">
            <w:pPr>
              <w:ind w:firstLine="0"/>
              <w:jc w:val="left"/>
              <w:rPr>
                <w:sz w:val="20"/>
                <w:szCs w:val="22"/>
              </w:rPr>
            </w:pPr>
            <w:r w:rsidRPr="004761E0">
              <w:rPr>
                <w:sz w:val="20"/>
                <w:szCs w:val="26"/>
              </w:rPr>
              <w:t>Иная информация</w:t>
            </w:r>
          </w:p>
        </w:tc>
      </w:tr>
    </w:tbl>
    <w:tbl>
      <w:tblPr>
        <w:tblStyle w:val="ae"/>
        <w:tblW w:w="14317" w:type="dxa"/>
        <w:tblInd w:w="108" w:type="dxa"/>
        <w:tblLook w:val="04A0"/>
      </w:tblPr>
      <w:tblGrid>
        <w:gridCol w:w="9923"/>
        <w:gridCol w:w="4394"/>
      </w:tblGrid>
      <w:tr w:rsidR="005C0EC7" w:rsidRPr="004761E0" w:rsidTr="009C5A19">
        <w:tc>
          <w:tcPr>
            <w:tcW w:w="9923" w:type="dxa"/>
          </w:tcPr>
          <w:p w:rsidR="005C0EC7" w:rsidRPr="004761E0" w:rsidRDefault="005C0EC7" w:rsidP="00A82997">
            <w:pPr>
              <w:ind w:firstLine="0"/>
              <w:jc w:val="left"/>
              <w:rPr>
                <w:sz w:val="20"/>
                <w:szCs w:val="26"/>
              </w:rPr>
            </w:pPr>
            <w:r w:rsidRPr="004761E0">
              <w:rPr>
                <w:sz w:val="20"/>
                <w:szCs w:val="26"/>
              </w:rPr>
              <w:t>Доли участия в уставном капитале Общества/обыкновенных акций:</w:t>
            </w:r>
          </w:p>
        </w:tc>
        <w:tc>
          <w:tcPr>
            <w:tcW w:w="4394" w:type="dxa"/>
          </w:tcPr>
          <w:p w:rsidR="005C0EC7" w:rsidRPr="004761E0" w:rsidRDefault="005C0EC7" w:rsidP="00A82997">
            <w:pPr>
              <w:ind w:firstLine="0"/>
              <w:jc w:val="left"/>
              <w:rPr>
                <w:sz w:val="20"/>
                <w:szCs w:val="26"/>
              </w:rPr>
            </w:pPr>
            <w:r w:rsidRPr="004761E0">
              <w:rPr>
                <w:bCs/>
                <w:iCs/>
                <w:sz w:val="20"/>
                <w:szCs w:val="26"/>
              </w:rPr>
              <w:t>Лицо указанных долей не имеет</w:t>
            </w:r>
            <w:r w:rsidRPr="004761E0">
              <w:rPr>
                <w:sz w:val="20"/>
                <w:szCs w:val="26"/>
              </w:rPr>
              <w:t>.</w:t>
            </w:r>
          </w:p>
        </w:tc>
      </w:tr>
      <w:tr w:rsidR="005C0EC7" w:rsidRPr="004761E0" w:rsidTr="009C5A19">
        <w:tc>
          <w:tcPr>
            <w:tcW w:w="9923" w:type="dxa"/>
          </w:tcPr>
          <w:p w:rsidR="005C0EC7" w:rsidRPr="004761E0" w:rsidRDefault="005C0EC7" w:rsidP="00A82997">
            <w:pPr>
              <w:ind w:firstLine="0"/>
              <w:jc w:val="left"/>
              <w:rPr>
                <w:sz w:val="20"/>
                <w:szCs w:val="26"/>
              </w:rPr>
            </w:pPr>
            <w:r w:rsidRPr="004761E0">
              <w:rPr>
                <w:sz w:val="20"/>
                <w:szCs w:val="26"/>
              </w:rPr>
              <w:t>Доли участия лица в уставном (складочном) капитале (паевом фонде) дочерних и зависимых обществ Общества:</w:t>
            </w:r>
          </w:p>
        </w:tc>
        <w:tc>
          <w:tcPr>
            <w:tcW w:w="4394" w:type="dxa"/>
          </w:tcPr>
          <w:p w:rsidR="005C0EC7" w:rsidRPr="004761E0" w:rsidRDefault="005C0EC7" w:rsidP="00A82997">
            <w:pPr>
              <w:ind w:firstLine="0"/>
              <w:jc w:val="left"/>
              <w:rPr>
                <w:sz w:val="20"/>
                <w:szCs w:val="26"/>
              </w:rPr>
            </w:pPr>
            <w:r w:rsidRPr="004761E0">
              <w:rPr>
                <w:bCs/>
                <w:iCs/>
                <w:sz w:val="20"/>
                <w:szCs w:val="26"/>
              </w:rPr>
              <w:t>Лицо указанных долей не имеет</w:t>
            </w:r>
          </w:p>
        </w:tc>
      </w:tr>
      <w:tr w:rsidR="005C0EC7" w:rsidRPr="004761E0" w:rsidTr="009C5A19">
        <w:tc>
          <w:tcPr>
            <w:tcW w:w="9923" w:type="dxa"/>
          </w:tcPr>
          <w:p w:rsidR="005C0EC7" w:rsidRPr="004761E0" w:rsidRDefault="005C0EC7" w:rsidP="00A82997">
            <w:pPr>
              <w:ind w:firstLine="0"/>
              <w:jc w:val="left"/>
              <w:rPr>
                <w:sz w:val="20"/>
                <w:szCs w:val="26"/>
              </w:rPr>
            </w:pPr>
            <w:r w:rsidRPr="004761E0">
              <w:rPr>
                <w:sz w:val="20"/>
                <w:szCs w:val="26"/>
              </w:rPr>
              <w:t>Сведения о характере любых родственных связей с иными лицами, входящими в состав органов управления Общества и/или органов контроля за финансово-хозяйственной деятельностью Общества:</w:t>
            </w:r>
          </w:p>
        </w:tc>
        <w:tc>
          <w:tcPr>
            <w:tcW w:w="4394" w:type="dxa"/>
          </w:tcPr>
          <w:p w:rsidR="005C0EC7" w:rsidRPr="004761E0" w:rsidRDefault="005C0EC7" w:rsidP="00A82997">
            <w:pPr>
              <w:ind w:firstLine="0"/>
              <w:jc w:val="left"/>
              <w:rPr>
                <w:sz w:val="20"/>
                <w:szCs w:val="26"/>
              </w:rPr>
            </w:pPr>
            <w:r w:rsidRPr="004761E0">
              <w:rPr>
                <w:bCs/>
                <w:iCs/>
                <w:sz w:val="20"/>
                <w:szCs w:val="26"/>
              </w:rPr>
              <w:t>Указанных родственных связей у лица нет.</w:t>
            </w:r>
          </w:p>
        </w:tc>
      </w:tr>
      <w:tr w:rsidR="005C0EC7" w:rsidRPr="004761E0" w:rsidTr="009C5A19">
        <w:tc>
          <w:tcPr>
            <w:tcW w:w="9923" w:type="dxa"/>
          </w:tcPr>
          <w:p w:rsidR="005C0EC7" w:rsidRPr="004761E0" w:rsidRDefault="005C0EC7" w:rsidP="00A82997">
            <w:pPr>
              <w:ind w:firstLine="0"/>
              <w:jc w:val="left"/>
              <w:rPr>
                <w:sz w:val="20"/>
                <w:szCs w:val="26"/>
              </w:rPr>
            </w:pPr>
            <w:r w:rsidRPr="004761E0">
              <w:rPr>
                <w:sz w:val="20"/>
                <w:szCs w:val="26"/>
              </w:rPr>
              <w:lastRenderedPageBreak/>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c>
        <w:tc>
          <w:tcPr>
            <w:tcW w:w="4394" w:type="dxa"/>
          </w:tcPr>
          <w:p w:rsidR="005C0EC7" w:rsidRPr="004761E0" w:rsidRDefault="005C0EC7" w:rsidP="00A82997">
            <w:pPr>
              <w:ind w:firstLine="0"/>
              <w:jc w:val="left"/>
              <w:rPr>
                <w:sz w:val="20"/>
                <w:szCs w:val="26"/>
              </w:rPr>
            </w:pPr>
            <w:r w:rsidRPr="004761E0">
              <w:rPr>
                <w:bCs/>
                <w:iCs/>
                <w:sz w:val="20"/>
                <w:szCs w:val="26"/>
              </w:rPr>
              <w:t>Лицо к указанным видам ответственности не привлекалось</w:t>
            </w:r>
          </w:p>
        </w:tc>
      </w:tr>
      <w:tr w:rsidR="005C0EC7" w:rsidRPr="004761E0" w:rsidTr="009C5A19">
        <w:tc>
          <w:tcPr>
            <w:tcW w:w="9923" w:type="dxa"/>
          </w:tcPr>
          <w:p w:rsidR="005C0EC7" w:rsidRPr="004761E0" w:rsidRDefault="005C0EC7" w:rsidP="00A82997">
            <w:pPr>
              <w:ind w:firstLine="0"/>
              <w:jc w:val="left"/>
              <w:rPr>
                <w:sz w:val="20"/>
                <w:szCs w:val="26"/>
              </w:rPr>
            </w:pPr>
            <w:r w:rsidRPr="004761E0">
              <w:rPr>
                <w:sz w:val="20"/>
                <w:szCs w:val="26"/>
              </w:rP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tc>
        <w:tc>
          <w:tcPr>
            <w:tcW w:w="4394" w:type="dxa"/>
          </w:tcPr>
          <w:p w:rsidR="005C0EC7" w:rsidRPr="004761E0" w:rsidRDefault="005C0EC7" w:rsidP="00A82997">
            <w:pPr>
              <w:ind w:firstLine="0"/>
              <w:jc w:val="left"/>
              <w:rPr>
                <w:sz w:val="20"/>
                <w:szCs w:val="26"/>
              </w:rPr>
            </w:pPr>
            <w:r w:rsidRPr="004761E0">
              <w:rPr>
                <w:bCs/>
                <w:iCs/>
                <w:sz w:val="20"/>
                <w:szCs w:val="26"/>
              </w:rPr>
              <w:t>Лицо указанных должностей не занимало.</w:t>
            </w:r>
          </w:p>
        </w:tc>
      </w:tr>
      <w:tr w:rsidR="005C0EC7" w:rsidRPr="004761E0" w:rsidTr="009C5A19">
        <w:tc>
          <w:tcPr>
            <w:tcW w:w="9923" w:type="dxa"/>
          </w:tcPr>
          <w:p w:rsidR="005C0EC7" w:rsidRPr="004761E0" w:rsidRDefault="005C0EC7" w:rsidP="00A82997">
            <w:pPr>
              <w:ind w:firstLine="0"/>
              <w:jc w:val="left"/>
              <w:rPr>
                <w:sz w:val="20"/>
                <w:szCs w:val="26"/>
              </w:rPr>
            </w:pPr>
            <w:r w:rsidRPr="004761E0">
              <w:rPr>
                <w:sz w:val="20"/>
                <w:szCs w:val="26"/>
              </w:rPr>
              <w:t>Наличие  согласия на раскрытие данной информации в Годовом отчете.</w:t>
            </w:r>
          </w:p>
        </w:tc>
        <w:tc>
          <w:tcPr>
            <w:tcW w:w="4394" w:type="dxa"/>
          </w:tcPr>
          <w:p w:rsidR="005C0EC7" w:rsidRPr="004761E0" w:rsidRDefault="005C0EC7" w:rsidP="00A82997">
            <w:pPr>
              <w:ind w:firstLine="0"/>
              <w:jc w:val="left"/>
              <w:rPr>
                <w:bCs/>
                <w:iCs/>
                <w:sz w:val="20"/>
                <w:szCs w:val="26"/>
              </w:rPr>
            </w:pPr>
            <w:r w:rsidRPr="004761E0">
              <w:rPr>
                <w:bCs/>
                <w:iCs/>
                <w:sz w:val="20"/>
                <w:szCs w:val="26"/>
              </w:rPr>
              <w:t>Лицом дано подобное согласие.</w:t>
            </w:r>
          </w:p>
        </w:tc>
      </w:tr>
      <w:tr w:rsidR="00A82997" w:rsidRPr="004761E0" w:rsidTr="00A82997">
        <w:tc>
          <w:tcPr>
            <w:tcW w:w="14317" w:type="dxa"/>
            <w:gridSpan w:val="2"/>
            <w:shd w:val="clear" w:color="auto" w:fill="BFBFBF" w:themeFill="background1" w:themeFillShade="BF"/>
          </w:tcPr>
          <w:p w:rsidR="00A82997" w:rsidRPr="004761E0" w:rsidRDefault="00A82997" w:rsidP="007076A7">
            <w:pPr>
              <w:pStyle w:val="a5"/>
              <w:numPr>
                <w:ilvl w:val="0"/>
                <w:numId w:val="277"/>
              </w:numPr>
              <w:ind w:left="601" w:hanging="601"/>
              <w:contextualSpacing w:val="0"/>
              <w:jc w:val="left"/>
              <w:rPr>
                <w:b/>
                <w:bCs/>
                <w:iCs/>
                <w:sz w:val="20"/>
                <w:szCs w:val="20"/>
              </w:rPr>
            </w:pPr>
            <w:r w:rsidRPr="004761E0">
              <w:rPr>
                <w:b/>
                <w:bCs/>
                <w:iCs/>
                <w:sz w:val="20"/>
                <w:szCs w:val="20"/>
              </w:rPr>
              <w:t>Кормушкина Людмила Дмитриевна</w:t>
            </w:r>
          </w:p>
        </w:tc>
      </w:tr>
      <w:tr w:rsidR="00A82997" w:rsidRPr="004761E0" w:rsidTr="00A82997">
        <w:tc>
          <w:tcPr>
            <w:tcW w:w="14317" w:type="dxa"/>
            <w:gridSpan w:val="2"/>
          </w:tcPr>
          <w:p w:rsidR="00A82997" w:rsidRPr="004761E0" w:rsidRDefault="00A82997" w:rsidP="00A82997">
            <w:pPr>
              <w:ind w:firstLine="0"/>
              <w:jc w:val="left"/>
              <w:rPr>
                <w:bCs/>
                <w:iCs/>
                <w:sz w:val="20"/>
                <w:szCs w:val="26"/>
              </w:rPr>
            </w:pPr>
            <w:r w:rsidRPr="004761E0">
              <w:rPr>
                <w:sz w:val="20"/>
                <w:szCs w:val="26"/>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c>
      </w:tr>
    </w:tbl>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992"/>
        <w:gridCol w:w="8080"/>
        <w:gridCol w:w="4394"/>
      </w:tblGrid>
      <w:tr w:rsidR="00570119" w:rsidRPr="004761E0" w:rsidTr="009C5A19">
        <w:tc>
          <w:tcPr>
            <w:tcW w:w="1843" w:type="dxa"/>
            <w:gridSpan w:val="2"/>
            <w:tcBorders>
              <w:bottom w:val="single" w:sz="4" w:space="0" w:color="FFFFFF" w:themeColor="background1"/>
              <w:right w:val="single" w:sz="4" w:space="0" w:color="FFFFFF" w:themeColor="background1"/>
            </w:tcBorders>
            <w:shd w:val="clear" w:color="auto" w:fill="0F243E" w:themeFill="text2" w:themeFillShade="80"/>
            <w:vAlign w:val="center"/>
          </w:tcPr>
          <w:p w:rsidR="00570119" w:rsidRPr="004761E0" w:rsidRDefault="00570119" w:rsidP="005C0EC7">
            <w:pPr>
              <w:ind w:firstLine="0"/>
              <w:jc w:val="center"/>
              <w:rPr>
                <w:b/>
                <w:sz w:val="20"/>
                <w:szCs w:val="22"/>
              </w:rPr>
            </w:pPr>
            <w:r w:rsidRPr="004761E0">
              <w:rPr>
                <w:b/>
                <w:sz w:val="20"/>
                <w:szCs w:val="22"/>
              </w:rPr>
              <w:t>Период</w:t>
            </w:r>
          </w:p>
        </w:tc>
        <w:tc>
          <w:tcPr>
            <w:tcW w:w="8080"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570119" w:rsidRPr="004761E0" w:rsidRDefault="00570119" w:rsidP="005C0EC7">
            <w:pPr>
              <w:ind w:firstLine="0"/>
              <w:jc w:val="left"/>
              <w:rPr>
                <w:b/>
                <w:sz w:val="20"/>
                <w:szCs w:val="22"/>
              </w:rPr>
            </w:pPr>
            <w:r w:rsidRPr="004761E0">
              <w:rPr>
                <w:b/>
                <w:sz w:val="20"/>
                <w:szCs w:val="22"/>
              </w:rPr>
              <w:t>Наименование организации</w:t>
            </w:r>
          </w:p>
        </w:tc>
        <w:tc>
          <w:tcPr>
            <w:tcW w:w="4394" w:type="dxa"/>
            <w:vMerge w:val="restart"/>
            <w:tcBorders>
              <w:left w:val="single" w:sz="4" w:space="0" w:color="FFFFFF" w:themeColor="background1"/>
              <w:bottom w:val="single" w:sz="4" w:space="0" w:color="FFFFFF" w:themeColor="background1"/>
            </w:tcBorders>
            <w:shd w:val="clear" w:color="auto" w:fill="0F243E" w:themeFill="text2" w:themeFillShade="80"/>
            <w:vAlign w:val="center"/>
          </w:tcPr>
          <w:p w:rsidR="00570119" w:rsidRPr="004761E0" w:rsidRDefault="00570119" w:rsidP="005C0EC7">
            <w:pPr>
              <w:ind w:firstLine="0"/>
              <w:jc w:val="left"/>
              <w:rPr>
                <w:b/>
                <w:sz w:val="20"/>
                <w:szCs w:val="22"/>
              </w:rPr>
            </w:pPr>
            <w:r w:rsidRPr="004761E0">
              <w:rPr>
                <w:b/>
                <w:sz w:val="20"/>
                <w:szCs w:val="22"/>
              </w:rPr>
              <w:t>Должность</w:t>
            </w:r>
          </w:p>
        </w:tc>
      </w:tr>
      <w:tr w:rsidR="00570119" w:rsidRPr="004761E0" w:rsidTr="009C5A19">
        <w:tc>
          <w:tcPr>
            <w:tcW w:w="851" w:type="dxa"/>
            <w:tcBorders>
              <w:top w:val="single" w:sz="4" w:space="0" w:color="FFFFFF" w:themeColor="background1"/>
              <w:right w:val="single" w:sz="4" w:space="0" w:color="FFFFFF" w:themeColor="background1"/>
            </w:tcBorders>
            <w:shd w:val="clear" w:color="auto" w:fill="0F243E" w:themeFill="text2" w:themeFillShade="80"/>
            <w:vAlign w:val="center"/>
          </w:tcPr>
          <w:p w:rsidR="00570119" w:rsidRPr="004761E0" w:rsidRDefault="00570119" w:rsidP="005C0EC7">
            <w:pPr>
              <w:ind w:firstLine="0"/>
              <w:jc w:val="center"/>
              <w:rPr>
                <w:b/>
                <w:sz w:val="20"/>
                <w:szCs w:val="22"/>
              </w:rPr>
            </w:pPr>
            <w:r w:rsidRPr="004761E0">
              <w:rPr>
                <w:b/>
                <w:sz w:val="20"/>
                <w:szCs w:val="22"/>
              </w:rPr>
              <w:t>с</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rsidR="00570119" w:rsidRPr="004761E0" w:rsidRDefault="00570119" w:rsidP="005C0EC7">
            <w:pPr>
              <w:ind w:firstLine="0"/>
              <w:jc w:val="center"/>
              <w:rPr>
                <w:b/>
                <w:sz w:val="20"/>
                <w:szCs w:val="22"/>
              </w:rPr>
            </w:pPr>
            <w:r w:rsidRPr="004761E0">
              <w:rPr>
                <w:b/>
                <w:sz w:val="20"/>
                <w:szCs w:val="22"/>
              </w:rPr>
              <w:t>по</w:t>
            </w:r>
          </w:p>
        </w:tc>
        <w:tc>
          <w:tcPr>
            <w:tcW w:w="8080" w:type="dxa"/>
            <w:vMerge/>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rsidR="00570119" w:rsidRPr="004761E0" w:rsidRDefault="00570119" w:rsidP="009B2B16">
            <w:pPr>
              <w:jc w:val="center"/>
              <w:rPr>
                <w:sz w:val="20"/>
                <w:szCs w:val="22"/>
              </w:rPr>
            </w:pPr>
          </w:p>
        </w:tc>
        <w:tc>
          <w:tcPr>
            <w:tcW w:w="4394" w:type="dxa"/>
            <w:vMerge/>
            <w:tcBorders>
              <w:top w:val="single" w:sz="4" w:space="0" w:color="FFFFFF" w:themeColor="background1"/>
              <w:left w:val="single" w:sz="4" w:space="0" w:color="FFFFFF" w:themeColor="background1"/>
            </w:tcBorders>
            <w:shd w:val="clear" w:color="auto" w:fill="0F243E" w:themeFill="text2" w:themeFillShade="80"/>
            <w:vAlign w:val="center"/>
          </w:tcPr>
          <w:p w:rsidR="00570119" w:rsidRPr="004761E0" w:rsidRDefault="00570119" w:rsidP="009B2B16">
            <w:pPr>
              <w:jc w:val="center"/>
              <w:rPr>
                <w:sz w:val="20"/>
                <w:szCs w:val="22"/>
              </w:rPr>
            </w:pPr>
          </w:p>
        </w:tc>
      </w:tr>
      <w:tr w:rsidR="00570119" w:rsidRPr="004761E0" w:rsidTr="009C5A19">
        <w:tc>
          <w:tcPr>
            <w:tcW w:w="851" w:type="dxa"/>
            <w:shd w:val="clear" w:color="auto" w:fill="auto"/>
          </w:tcPr>
          <w:p w:rsidR="00570119" w:rsidRPr="004761E0" w:rsidRDefault="00570119" w:rsidP="005C0EC7">
            <w:pPr>
              <w:ind w:firstLine="0"/>
              <w:jc w:val="left"/>
              <w:rPr>
                <w:sz w:val="20"/>
                <w:szCs w:val="22"/>
              </w:rPr>
            </w:pPr>
            <w:r w:rsidRPr="004761E0">
              <w:rPr>
                <w:sz w:val="20"/>
                <w:szCs w:val="22"/>
              </w:rPr>
              <w:t>2008</w:t>
            </w:r>
          </w:p>
        </w:tc>
        <w:tc>
          <w:tcPr>
            <w:tcW w:w="992" w:type="dxa"/>
            <w:shd w:val="clear" w:color="auto" w:fill="auto"/>
          </w:tcPr>
          <w:p w:rsidR="00570119" w:rsidRPr="004761E0" w:rsidRDefault="00570119" w:rsidP="005C0EC7">
            <w:pPr>
              <w:ind w:firstLine="0"/>
              <w:jc w:val="left"/>
              <w:rPr>
                <w:sz w:val="20"/>
                <w:szCs w:val="22"/>
              </w:rPr>
            </w:pPr>
            <w:r w:rsidRPr="004761E0">
              <w:rPr>
                <w:sz w:val="20"/>
                <w:szCs w:val="22"/>
              </w:rPr>
              <w:t>2013</w:t>
            </w:r>
          </w:p>
        </w:tc>
        <w:tc>
          <w:tcPr>
            <w:tcW w:w="8080" w:type="dxa"/>
            <w:shd w:val="clear" w:color="auto" w:fill="auto"/>
          </w:tcPr>
          <w:p w:rsidR="00570119" w:rsidRPr="004761E0" w:rsidRDefault="0008080E" w:rsidP="005C0EC7">
            <w:pPr>
              <w:ind w:firstLine="0"/>
              <w:jc w:val="left"/>
              <w:rPr>
                <w:sz w:val="20"/>
                <w:szCs w:val="22"/>
              </w:rPr>
            </w:pPr>
            <w:r>
              <w:rPr>
                <w:sz w:val="20"/>
                <w:szCs w:val="22"/>
              </w:rPr>
              <w:t>ОАО </w:t>
            </w:r>
            <w:r w:rsidR="00570119" w:rsidRPr="004761E0">
              <w:rPr>
                <w:sz w:val="20"/>
                <w:szCs w:val="22"/>
              </w:rPr>
              <w:t>«Холдинг МРСК»</w:t>
            </w:r>
          </w:p>
        </w:tc>
        <w:tc>
          <w:tcPr>
            <w:tcW w:w="4394" w:type="dxa"/>
            <w:shd w:val="clear" w:color="auto" w:fill="auto"/>
          </w:tcPr>
          <w:p w:rsidR="00570119" w:rsidRPr="004761E0" w:rsidRDefault="00570119" w:rsidP="005C0EC7">
            <w:pPr>
              <w:ind w:firstLine="0"/>
              <w:jc w:val="left"/>
              <w:rPr>
                <w:sz w:val="20"/>
                <w:szCs w:val="22"/>
              </w:rPr>
            </w:pPr>
            <w:r w:rsidRPr="004761E0">
              <w:rPr>
                <w:sz w:val="20"/>
                <w:szCs w:val="22"/>
              </w:rPr>
              <w:t>Начальник отдела ревизионных проверок и экспертиз Департамента внутреннего аудита и управления рисками</w:t>
            </w:r>
          </w:p>
        </w:tc>
      </w:tr>
      <w:tr w:rsidR="00570119" w:rsidRPr="004761E0" w:rsidTr="009C5A19">
        <w:tc>
          <w:tcPr>
            <w:tcW w:w="851" w:type="dxa"/>
            <w:shd w:val="clear" w:color="auto" w:fill="auto"/>
          </w:tcPr>
          <w:p w:rsidR="00570119" w:rsidRPr="004761E0" w:rsidRDefault="00570119" w:rsidP="005C0EC7">
            <w:pPr>
              <w:ind w:firstLine="0"/>
              <w:jc w:val="left"/>
              <w:rPr>
                <w:sz w:val="20"/>
                <w:szCs w:val="22"/>
              </w:rPr>
            </w:pPr>
            <w:r w:rsidRPr="004761E0">
              <w:rPr>
                <w:sz w:val="20"/>
                <w:szCs w:val="22"/>
              </w:rPr>
              <w:t>2013</w:t>
            </w:r>
          </w:p>
        </w:tc>
        <w:tc>
          <w:tcPr>
            <w:tcW w:w="992" w:type="dxa"/>
            <w:shd w:val="clear" w:color="auto" w:fill="auto"/>
          </w:tcPr>
          <w:p w:rsidR="00570119" w:rsidRPr="004761E0" w:rsidRDefault="00570119" w:rsidP="005C0EC7">
            <w:pPr>
              <w:ind w:firstLine="0"/>
              <w:jc w:val="left"/>
              <w:rPr>
                <w:sz w:val="20"/>
                <w:szCs w:val="22"/>
              </w:rPr>
            </w:pPr>
            <w:r w:rsidRPr="004761E0">
              <w:rPr>
                <w:sz w:val="20"/>
                <w:szCs w:val="22"/>
              </w:rPr>
              <w:t>2013</w:t>
            </w:r>
          </w:p>
        </w:tc>
        <w:tc>
          <w:tcPr>
            <w:tcW w:w="8080" w:type="dxa"/>
            <w:shd w:val="clear" w:color="auto" w:fill="auto"/>
          </w:tcPr>
          <w:p w:rsidR="00570119" w:rsidRPr="004761E0" w:rsidRDefault="0008080E" w:rsidP="005C0EC7">
            <w:pPr>
              <w:ind w:firstLine="0"/>
              <w:jc w:val="left"/>
              <w:rPr>
                <w:sz w:val="20"/>
                <w:szCs w:val="22"/>
              </w:rPr>
            </w:pPr>
            <w:r>
              <w:rPr>
                <w:sz w:val="20"/>
                <w:szCs w:val="22"/>
              </w:rPr>
              <w:t>ОАО </w:t>
            </w:r>
            <w:r w:rsidR="00570119" w:rsidRPr="004761E0">
              <w:rPr>
                <w:sz w:val="20"/>
                <w:szCs w:val="22"/>
              </w:rPr>
              <w:t>«Россети»</w:t>
            </w:r>
            <w:r w:rsidR="006D3155">
              <w:rPr>
                <w:sz w:val="20"/>
                <w:szCs w:val="22"/>
              </w:rPr>
              <w:t xml:space="preserve"> </w:t>
            </w:r>
            <w:r w:rsidR="006D3155" w:rsidRPr="006D3155">
              <w:rPr>
                <w:sz w:val="20"/>
                <w:szCs w:val="22"/>
              </w:rPr>
              <w:t>(до 04.04.2013 – ОАО «Холдинг МРСК»)</w:t>
            </w:r>
          </w:p>
        </w:tc>
        <w:tc>
          <w:tcPr>
            <w:tcW w:w="4394" w:type="dxa"/>
            <w:shd w:val="clear" w:color="auto" w:fill="auto"/>
          </w:tcPr>
          <w:p w:rsidR="00570119" w:rsidRPr="004761E0" w:rsidRDefault="00570119" w:rsidP="005C0EC7">
            <w:pPr>
              <w:ind w:firstLine="0"/>
              <w:jc w:val="left"/>
              <w:rPr>
                <w:sz w:val="20"/>
                <w:szCs w:val="22"/>
              </w:rPr>
            </w:pPr>
            <w:r w:rsidRPr="004761E0">
              <w:rPr>
                <w:sz w:val="20"/>
                <w:szCs w:val="22"/>
              </w:rPr>
              <w:t>Начальник отдела внутреннего аудита, ревизионных проверок и экспертиз Департамента внутреннего аудита и управления рисками</w:t>
            </w:r>
          </w:p>
        </w:tc>
      </w:tr>
      <w:tr w:rsidR="009C5A19" w:rsidRPr="004761E0" w:rsidTr="009C5A19">
        <w:tc>
          <w:tcPr>
            <w:tcW w:w="851" w:type="dxa"/>
            <w:shd w:val="clear" w:color="auto" w:fill="auto"/>
          </w:tcPr>
          <w:p w:rsidR="009C5A19" w:rsidRPr="004761E0" w:rsidRDefault="009C5A19" w:rsidP="005C0EC7">
            <w:pPr>
              <w:ind w:firstLine="0"/>
              <w:jc w:val="left"/>
              <w:rPr>
                <w:sz w:val="20"/>
                <w:szCs w:val="22"/>
              </w:rPr>
            </w:pPr>
            <w:r w:rsidRPr="004761E0">
              <w:rPr>
                <w:sz w:val="20"/>
                <w:szCs w:val="22"/>
              </w:rPr>
              <w:t>2009</w:t>
            </w:r>
          </w:p>
        </w:tc>
        <w:tc>
          <w:tcPr>
            <w:tcW w:w="992" w:type="dxa"/>
            <w:shd w:val="clear" w:color="auto" w:fill="auto"/>
          </w:tcPr>
          <w:p w:rsidR="009C5A19" w:rsidRPr="004761E0" w:rsidRDefault="009C5A19" w:rsidP="009C5A19">
            <w:pPr>
              <w:ind w:firstLine="0"/>
              <w:jc w:val="left"/>
              <w:rPr>
                <w:sz w:val="20"/>
                <w:szCs w:val="22"/>
              </w:rPr>
            </w:pPr>
            <w:r w:rsidRPr="004761E0">
              <w:rPr>
                <w:sz w:val="20"/>
                <w:szCs w:val="20"/>
              </w:rPr>
              <w:t>наст.вр.</w:t>
            </w:r>
          </w:p>
        </w:tc>
        <w:tc>
          <w:tcPr>
            <w:tcW w:w="8080" w:type="dxa"/>
            <w:shd w:val="clear" w:color="auto" w:fill="auto"/>
          </w:tcPr>
          <w:p w:rsidR="009C5A19" w:rsidRPr="004761E0" w:rsidRDefault="0008080E" w:rsidP="005C0EC7">
            <w:pPr>
              <w:ind w:firstLine="0"/>
              <w:jc w:val="left"/>
              <w:rPr>
                <w:sz w:val="20"/>
                <w:szCs w:val="22"/>
              </w:rPr>
            </w:pPr>
            <w:r>
              <w:rPr>
                <w:sz w:val="20"/>
                <w:szCs w:val="22"/>
              </w:rPr>
              <w:t>ОАО </w:t>
            </w:r>
            <w:r w:rsidR="009C5A19" w:rsidRPr="004761E0">
              <w:rPr>
                <w:sz w:val="20"/>
                <w:szCs w:val="22"/>
              </w:rPr>
              <w:t>«Московская объединенная электросетевая компания»</w:t>
            </w:r>
          </w:p>
        </w:tc>
        <w:tc>
          <w:tcPr>
            <w:tcW w:w="4394" w:type="dxa"/>
            <w:shd w:val="clear" w:color="auto" w:fill="auto"/>
          </w:tcPr>
          <w:p w:rsidR="009C5A19" w:rsidRPr="004761E0" w:rsidRDefault="009C5A19" w:rsidP="005C0EC7">
            <w:pPr>
              <w:ind w:firstLine="0"/>
              <w:jc w:val="left"/>
              <w:rPr>
                <w:sz w:val="20"/>
                <w:szCs w:val="22"/>
              </w:rPr>
            </w:pPr>
            <w:r w:rsidRPr="004761E0">
              <w:rPr>
                <w:sz w:val="20"/>
                <w:szCs w:val="22"/>
              </w:rPr>
              <w:t>Член Ревизионной комиссии</w:t>
            </w:r>
          </w:p>
        </w:tc>
      </w:tr>
    </w:tbl>
    <w:tbl>
      <w:tblPr>
        <w:tblStyle w:val="ae"/>
        <w:tblW w:w="14317" w:type="dxa"/>
        <w:tblInd w:w="108" w:type="dxa"/>
        <w:tblLook w:val="04A0"/>
      </w:tblPr>
      <w:tblGrid>
        <w:gridCol w:w="9923"/>
        <w:gridCol w:w="4394"/>
      </w:tblGrid>
      <w:tr w:rsidR="00A82997" w:rsidRPr="004761E0" w:rsidTr="00A82997">
        <w:tc>
          <w:tcPr>
            <w:tcW w:w="14317" w:type="dxa"/>
            <w:gridSpan w:val="2"/>
          </w:tcPr>
          <w:p w:rsidR="00A82997" w:rsidRPr="004761E0" w:rsidRDefault="00A82997" w:rsidP="00A82997">
            <w:pPr>
              <w:ind w:firstLine="0"/>
              <w:jc w:val="left"/>
              <w:rPr>
                <w:bCs/>
                <w:iCs/>
                <w:sz w:val="20"/>
                <w:szCs w:val="26"/>
              </w:rPr>
            </w:pPr>
            <w:r w:rsidRPr="004761E0">
              <w:rPr>
                <w:sz w:val="20"/>
                <w:szCs w:val="26"/>
              </w:rPr>
              <w:t>Иная информация</w:t>
            </w:r>
          </w:p>
        </w:tc>
      </w:tr>
      <w:tr w:rsidR="005C0EC7" w:rsidRPr="004761E0" w:rsidTr="009C5A19">
        <w:tc>
          <w:tcPr>
            <w:tcW w:w="9923" w:type="dxa"/>
          </w:tcPr>
          <w:p w:rsidR="005C0EC7" w:rsidRPr="004761E0" w:rsidRDefault="005C0EC7" w:rsidP="00A82997">
            <w:pPr>
              <w:ind w:firstLine="0"/>
              <w:jc w:val="left"/>
              <w:rPr>
                <w:sz w:val="20"/>
                <w:szCs w:val="26"/>
              </w:rPr>
            </w:pPr>
            <w:r w:rsidRPr="004761E0">
              <w:rPr>
                <w:sz w:val="20"/>
                <w:szCs w:val="26"/>
              </w:rPr>
              <w:t>Доли участия в уставном капитале Общества/обыкновенных акций:</w:t>
            </w:r>
          </w:p>
        </w:tc>
        <w:tc>
          <w:tcPr>
            <w:tcW w:w="4394" w:type="dxa"/>
          </w:tcPr>
          <w:p w:rsidR="005C0EC7" w:rsidRPr="004761E0" w:rsidRDefault="005C0EC7" w:rsidP="00A82997">
            <w:pPr>
              <w:ind w:firstLine="0"/>
              <w:jc w:val="left"/>
              <w:rPr>
                <w:sz w:val="20"/>
                <w:szCs w:val="26"/>
              </w:rPr>
            </w:pPr>
            <w:r w:rsidRPr="004761E0">
              <w:rPr>
                <w:bCs/>
                <w:iCs/>
                <w:sz w:val="20"/>
                <w:szCs w:val="26"/>
              </w:rPr>
              <w:t>Лицо указанных долей не имеет</w:t>
            </w:r>
            <w:r w:rsidRPr="004761E0">
              <w:rPr>
                <w:sz w:val="20"/>
                <w:szCs w:val="26"/>
              </w:rPr>
              <w:t>.</w:t>
            </w:r>
          </w:p>
        </w:tc>
      </w:tr>
      <w:tr w:rsidR="005C0EC7" w:rsidRPr="004761E0" w:rsidTr="009C5A19">
        <w:tc>
          <w:tcPr>
            <w:tcW w:w="9923" w:type="dxa"/>
          </w:tcPr>
          <w:p w:rsidR="005C0EC7" w:rsidRPr="004761E0" w:rsidRDefault="005C0EC7" w:rsidP="00A82997">
            <w:pPr>
              <w:ind w:firstLine="0"/>
              <w:jc w:val="left"/>
              <w:rPr>
                <w:sz w:val="20"/>
                <w:szCs w:val="26"/>
              </w:rPr>
            </w:pPr>
            <w:r w:rsidRPr="004761E0">
              <w:rPr>
                <w:sz w:val="20"/>
                <w:szCs w:val="26"/>
              </w:rPr>
              <w:t>Доли участия лица в уставном (складочном) капитале (паевом фонде) дочерних и зависимых обществ Общества:</w:t>
            </w:r>
          </w:p>
        </w:tc>
        <w:tc>
          <w:tcPr>
            <w:tcW w:w="4394" w:type="dxa"/>
          </w:tcPr>
          <w:p w:rsidR="005C0EC7" w:rsidRPr="004761E0" w:rsidRDefault="005C0EC7" w:rsidP="00A82997">
            <w:pPr>
              <w:ind w:firstLine="0"/>
              <w:jc w:val="left"/>
              <w:rPr>
                <w:sz w:val="20"/>
                <w:szCs w:val="26"/>
              </w:rPr>
            </w:pPr>
            <w:r w:rsidRPr="004761E0">
              <w:rPr>
                <w:bCs/>
                <w:iCs/>
                <w:sz w:val="20"/>
                <w:szCs w:val="26"/>
              </w:rPr>
              <w:t>Лицо указанных долей не имеет</w:t>
            </w:r>
          </w:p>
        </w:tc>
      </w:tr>
      <w:tr w:rsidR="005C0EC7" w:rsidRPr="004761E0" w:rsidTr="009C5A19">
        <w:tc>
          <w:tcPr>
            <w:tcW w:w="9923" w:type="dxa"/>
          </w:tcPr>
          <w:p w:rsidR="005C0EC7" w:rsidRPr="004761E0" w:rsidRDefault="005C0EC7" w:rsidP="00A82997">
            <w:pPr>
              <w:ind w:firstLine="0"/>
              <w:jc w:val="left"/>
              <w:rPr>
                <w:sz w:val="20"/>
                <w:szCs w:val="26"/>
              </w:rPr>
            </w:pPr>
            <w:r w:rsidRPr="004761E0">
              <w:rPr>
                <w:sz w:val="20"/>
                <w:szCs w:val="26"/>
              </w:rPr>
              <w:t>Сведения о характере любых родственных связей с иными лицами, входящими в состав органов управления Общества и/или органов контроля за финансово-хозяйственной деятельностью Общества:</w:t>
            </w:r>
          </w:p>
        </w:tc>
        <w:tc>
          <w:tcPr>
            <w:tcW w:w="4394" w:type="dxa"/>
          </w:tcPr>
          <w:p w:rsidR="005C0EC7" w:rsidRPr="004761E0" w:rsidRDefault="005C0EC7" w:rsidP="00A82997">
            <w:pPr>
              <w:ind w:firstLine="0"/>
              <w:jc w:val="left"/>
              <w:rPr>
                <w:sz w:val="20"/>
                <w:szCs w:val="26"/>
              </w:rPr>
            </w:pPr>
            <w:r w:rsidRPr="004761E0">
              <w:rPr>
                <w:bCs/>
                <w:iCs/>
                <w:sz w:val="20"/>
                <w:szCs w:val="26"/>
              </w:rPr>
              <w:t>Указанных родственных связей у лица нет.</w:t>
            </w:r>
          </w:p>
        </w:tc>
      </w:tr>
      <w:tr w:rsidR="005C0EC7" w:rsidRPr="004761E0" w:rsidTr="009C5A19">
        <w:tc>
          <w:tcPr>
            <w:tcW w:w="9923" w:type="dxa"/>
          </w:tcPr>
          <w:p w:rsidR="005C0EC7" w:rsidRPr="004761E0" w:rsidRDefault="005C0EC7" w:rsidP="00A82997">
            <w:pPr>
              <w:ind w:firstLine="0"/>
              <w:jc w:val="left"/>
              <w:rPr>
                <w:sz w:val="20"/>
                <w:szCs w:val="26"/>
              </w:rPr>
            </w:pPr>
            <w:r w:rsidRPr="004761E0">
              <w:rPr>
                <w:sz w:val="20"/>
                <w:szCs w:val="26"/>
              </w:rP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c>
        <w:tc>
          <w:tcPr>
            <w:tcW w:w="4394" w:type="dxa"/>
          </w:tcPr>
          <w:p w:rsidR="005C0EC7" w:rsidRPr="004761E0" w:rsidRDefault="005C0EC7" w:rsidP="00A82997">
            <w:pPr>
              <w:ind w:firstLine="0"/>
              <w:jc w:val="left"/>
              <w:rPr>
                <w:sz w:val="20"/>
                <w:szCs w:val="26"/>
              </w:rPr>
            </w:pPr>
            <w:r w:rsidRPr="004761E0">
              <w:rPr>
                <w:bCs/>
                <w:iCs/>
                <w:sz w:val="20"/>
                <w:szCs w:val="26"/>
              </w:rPr>
              <w:t>Лицо к указанным видам ответственности не привлекалось</w:t>
            </w:r>
          </w:p>
        </w:tc>
      </w:tr>
      <w:tr w:rsidR="005C0EC7" w:rsidRPr="004761E0" w:rsidTr="009C5A19">
        <w:tc>
          <w:tcPr>
            <w:tcW w:w="9923" w:type="dxa"/>
          </w:tcPr>
          <w:p w:rsidR="005C0EC7" w:rsidRPr="004761E0" w:rsidRDefault="005C0EC7" w:rsidP="00A82997">
            <w:pPr>
              <w:ind w:firstLine="0"/>
              <w:jc w:val="left"/>
              <w:rPr>
                <w:sz w:val="20"/>
                <w:szCs w:val="26"/>
              </w:rPr>
            </w:pPr>
            <w:r w:rsidRPr="004761E0">
              <w:rPr>
                <w:sz w:val="20"/>
                <w:szCs w:val="26"/>
              </w:rP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tc>
        <w:tc>
          <w:tcPr>
            <w:tcW w:w="4394" w:type="dxa"/>
          </w:tcPr>
          <w:p w:rsidR="005C0EC7" w:rsidRPr="004761E0" w:rsidRDefault="005C0EC7" w:rsidP="00A82997">
            <w:pPr>
              <w:ind w:firstLine="0"/>
              <w:jc w:val="left"/>
              <w:rPr>
                <w:sz w:val="20"/>
                <w:szCs w:val="26"/>
              </w:rPr>
            </w:pPr>
            <w:r w:rsidRPr="004761E0">
              <w:rPr>
                <w:bCs/>
                <w:iCs/>
                <w:sz w:val="20"/>
                <w:szCs w:val="26"/>
              </w:rPr>
              <w:t>Лицо указанных должностей не занимало.</w:t>
            </w:r>
          </w:p>
        </w:tc>
      </w:tr>
      <w:tr w:rsidR="005C0EC7" w:rsidRPr="004761E0" w:rsidTr="009C5A19">
        <w:tc>
          <w:tcPr>
            <w:tcW w:w="9923" w:type="dxa"/>
          </w:tcPr>
          <w:p w:rsidR="005C0EC7" w:rsidRPr="004761E0" w:rsidRDefault="005C0EC7" w:rsidP="00A82997">
            <w:pPr>
              <w:ind w:firstLine="0"/>
              <w:jc w:val="left"/>
              <w:rPr>
                <w:sz w:val="20"/>
                <w:szCs w:val="26"/>
              </w:rPr>
            </w:pPr>
            <w:r w:rsidRPr="004761E0">
              <w:rPr>
                <w:sz w:val="20"/>
                <w:szCs w:val="26"/>
              </w:rPr>
              <w:t>Наличие  согласия на раскрытие данной информации в Годовом отчете.</w:t>
            </w:r>
          </w:p>
        </w:tc>
        <w:tc>
          <w:tcPr>
            <w:tcW w:w="4394" w:type="dxa"/>
          </w:tcPr>
          <w:p w:rsidR="005C0EC7" w:rsidRPr="004761E0" w:rsidRDefault="005C0EC7" w:rsidP="00A82997">
            <w:pPr>
              <w:ind w:firstLine="0"/>
              <w:jc w:val="left"/>
              <w:rPr>
                <w:bCs/>
                <w:iCs/>
                <w:sz w:val="20"/>
                <w:szCs w:val="26"/>
              </w:rPr>
            </w:pPr>
            <w:r w:rsidRPr="004761E0">
              <w:rPr>
                <w:bCs/>
                <w:iCs/>
                <w:sz w:val="20"/>
                <w:szCs w:val="26"/>
              </w:rPr>
              <w:t>Лицом дано подобное согласие.</w:t>
            </w:r>
          </w:p>
        </w:tc>
      </w:tr>
      <w:tr w:rsidR="00A82997" w:rsidRPr="004761E0" w:rsidTr="00A82997">
        <w:tc>
          <w:tcPr>
            <w:tcW w:w="14317" w:type="dxa"/>
            <w:gridSpan w:val="2"/>
            <w:shd w:val="clear" w:color="auto" w:fill="BFBFBF" w:themeFill="background1" w:themeFillShade="BF"/>
          </w:tcPr>
          <w:p w:rsidR="00A82997" w:rsidRPr="004761E0" w:rsidRDefault="00A82997" w:rsidP="007076A7">
            <w:pPr>
              <w:pStyle w:val="a5"/>
              <w:numPr>
                <w:ilvl w:val="0"/>
                <w:numId w:val="277"/>
              </w:numPr>
              <w:ind w:left="601" w:hanging="601"/>
              <w:contextualSpacing w:val="0"/>
              <w:jc w:val="left"/>
              <w:rPr>
                <w:b/>
                <w:bCs/>
                <w:iCs/>
                <w:sz w:val="20"/>
                <w:szCs w:val="20"/>
              </w:rPr>
            </w:pPr>
            <w:r w:rsidRPr="004761E0">
              <w:rPr>
                <w:b/>
                <w:bCs/>
                <w:iCs/>
                <w:sz w:val="20"/>
                <w:szCs w:val="20"/>
              </w:rPr>
              <w:t>Ожерельев Алексей Александрович</w:t>
            </w:r>
          </w:p>
        </w:tc>
      </w:tr>
      <w:tr w:rsidR="00A82997" w:rsidRPr="004761E0" w:rsidTr="00A82997">
        <w:tc>
          <w:tcPr>
            <w:tcW w:w="14317" w:type="dxa"/>
            <w:gridSpan w:val="2"/>
          </w:tcPr>
          <w:p w:rsidR="00A82997" w:rsidRPr="004761E0" w:rsidRDefault="00A82997" w:rsidP="00A82997">
            <w:pPr>
              <w:ind w:firstLine="0"/>
              <w:jc w:val="left"/>
              <w:rPr>
                <w:bCs/>
                <w:iCs/>
                <w:sz w:val="20"/>
                <w:szCs w:val="26"/>
              </w:rPr>
            </w:pPr>
            <w:r w:rsidRPr="004761E0">
              <w:rPr>
                <w:sz w:val="20"/>
                <w:szCs w:val="26"/>
              </w:rPr>
              <w:t>Все должности, занимаемые данным лицом в Обществе и других организациях за последние 5 лет и в настоящее время в хронологическом порядке, в т.ч. по совместительству:</w:t>
            </w:r>
          </w:p>
        </w:tc>
      </w:tr>
    </w:tbl>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992"/>
        <w:gridCol w:w="8080"/>
        <w:gridCol w:w="4394"/>
      </w:tblGrid>
      <w:tr w:rsidR="00570119" w:rsidRPr="004761E0" w:rsidTr="009C5A19">
        <w:tc>
          <w:tcPr>
            <w:tcW w:w="1843" w:type="dxa"/>
            <w:gridSpan w:val="2"/>
            <w:tcBorders>
              <w:bottom w:val="single" w:sz="4" w:space="0" w:color="FFFFFF" w:themeColor="background1"/>
              <w:right w:val="single" w:sz="4" w:space="0" w:color="FFFFFF" w:themeColor="background1"/>
            </w:tcBorders>
            <w:shd w:val="clear" w:color="auto" w:fill="0F243E" w:themeFill="text2" w:themeFillShade="80"/>
            <w:vAlign w:val="center"/>
          </w:tcPr>
          <w:p w:rsidR="00570119" w:rsidRPr="004761E0" w:rsidRDefault="00570119" w:rsidP="00F83ADF">
            <w:pPr>
              <w:ind w:firstLine="0"/>
              <w:jc w:val="center"/>
              <w:rPr>
                <w:b/>
                <w:sz w:val="20"/>
                <w:szCs w:val="20"/>
              </w:rPr>
            </w:pPr>
            <w:r w:rsidRPr="004761E0">
              <w:rPr>
                <w:b/>
                <w:sz w:val="20"/>
                <w:szCs w:val="20"/>
              </w:rPr>
              <w:t>Период</w:t>
            </w:r>
          </w:p>
        </w:tc>
        <w:tc>
          <w:tcPr>
            <w:tcW w:w="8080"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570119" w:rsidRPr="004761E0" w:rsidRDefault="00570119" w:rsidP="005C0EC7">
            <w:pPr>
              <w:ind w:firstLine="0"/>
              <w:jc w:val="left"/>
              <w:rPr>
                <w:b/>
                <w:sz w:val="20"/>
                <w:szCs w:val="20"/>
              </w:rPr>
            </w:pPr>
            <w:r w:rsidRPr="004761E0">
              <w:rPr>
                <w:b/>
                <w:sz w:val="20"/>
                <w:szCs w:val="20"/>
              </w:rPr>
              <w:t>Наименование организации</w:t>
            </w:r>
          </w:p>
        </w:tc>
        <w:tc>
          <w:tcPr>
            <w:tcW w:w="4394" w:type="dxa"/>
            <w:vMerge w:val="restart"/>
            <w:tcBorders>
              <w:left w:val="single" w:sz="4" w:space="0" w:color="FFFFFF" w:themeColor="background1"/>
              <w:bottom w:val="single" w:sz="4" w:space="0" w:color="FFFFFF" w:themeColor="background1"/>
            </w:tcBorders>
            <w:shd w:val="clear" w:color="auto" w:fill="0F243E" w:themeFill="text2" w:themeFillShade="80"/>
            <w:vAlign w:val="center"/>
          </w:tcPr>
          <w:p w:rsidR="00570119" w:rsidRPr="004761E0" w:rsidRDefault="00570119" w:rsidP="005C0EC7">
            <w:pPr>
              <w:ind w:firstLine="0"/>
              <w:jc w:val="left"/>
              <w:rPr>
                <w:b/>
                <w:sz w:val="20"/>
                <w:szCs w:val="20"/>
              </w:rPr>
            </w:pPr>
            <w:r w:rsidRPr="004761E0">
              <w:rPr>
                <w:b/>
                <w:sz w:val="20"/>
                <w:szCs w:val="20"/>
              </w:rPr>
              <w:t>Должность</w:t>
            </w:r>
          </w:p>
        </w:tc>
      </w:tr>
      <w:tr w:rsidR="00570119" w:rsidRPr="004761E0" w:rsidTr="009C5A19">
        <w:tc>
          <w:tcPr>
            <w:tcW w:w="851" w:type="dxa"/>
            <w:tcBorders>
              <w:top w:val="single" w:sz="4" w:space="0" w:color="FFFFFF" w:themeColor="background1"/>
              <w:right w:val="single" w:sz="4" w:space="0" w:color="FFFFFF" w:themeColor="background1"/>
            </w:tcBorders>
            <w:shd w:val="clear" w:color="auto" w:fill="0F243E" w:themeFill="text2" w:themeFillShade="80"/>
            <w:vAlign w:val="center"/>
          </w:tcPr>
          <w:p w:rsidR="00570119" w:rsidRPr="004761E0" w:rsidRDefault="00570119" w:rsidP="00F83ADF">
            <w:pPr>
              <w:ind w:firstLine="0"/>
              <w:jc w:val="center"/>
              <w:rPr>
                <w:b/>
                <w:sz w:val="20"/>
                <w:szCs w:val="20"/>
              </w:rPr>
            </w:pPr>
            <w:r w:rsidRPr="004761E0">
              <w:rPr>
                <w:b/>
                <w:sz w:val="20"/>
                <w:szCs w:val="20"/>
              </w:rPr>
              <w:t>с</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rsidR="00570119" w:rsidRPr="004761E0" w:rsidRDefault="00570119" w:rsidP="00F83ADF">
            <w:pPr>
              <w:ind w:firstLine="0"/>
              <w:jc w:val="center"/>
              <w:rPr>
                <w:b/>
                <w:sz w:val="20"/>
                <w:szCs w:val="20"/>
              </w:rPr>
            </w:pPr>
            <w:r w:rsidRPr="004761E0">
              <w:rPr>
                <w:b/>
                <w:sz w:val="20"/>
                <w:szCs w:val="20"/>
              </w:rPr>
              <w:t>по</w:t>
            </w:r>
          </w:p>
        </w:tc>
        <w:tc>
          <w:tcPr>
            <w:tcW w:w="8080" w:type="dxa"/>
            <w:vMerge/>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rsidR="00570119" w:rsidRPr="004761E0" w:rsidRDefault="00570119" w:rsidP="00F83ADF">
            <w:pPr>
              <w:ind w:firstLine="0"/>
              <w:jc w:val="center"/>
              <w:rPr>
                <w:sz w:val="20"/>
                <w:szCs w:val="20"/>
              </w:rPr>
            </w:pPr>
          </w:p>
        </w:tc>
        <w:tc>
          <w:tcPr>
            <w:tcW w:w="4394" w:type="dxa"/>
            <w:vMerge/>
            <w:tcBorders>
              <w:top w:val="single" w:sz="4" w:space="0" w:color="FFFFFF" w:themeColor="background1"/>
              <w:left w:val="single" w:sz="4" w:space="0" w:color="FFFFFF" w:themeColor="background1"/>
            </w:tcBorders>
            <w:shd w:val="clear" w:color="auto" w:fill="0F243E" w:themeFill="text2" w:themeFillShade="80"/>
            <w:vAlign w:val="center"/>
          </w:tcPr>
          <w:p w:rsidR="00570119" w:rsidRPr="004761E0" w:rsidRDefault="00570119" w:rsidP="00F83ADF">
            <w:pPr>
              <w:ind w:firstLine="0"/>
              <w:jc w:val="center"/>
              <w:rPr>
                <w:sz w:val="20"/>
                <w:szCs w:val="20"/>
              </w:rPr>
            </w:pPr>
          </w:p>
        </w:tc>
      </w:tr>
      <w:tr w:rsidR="00570119" w:rsidRPr="004761E0" w:rsidTr="009C5A19">
        <w:tc>
          <w:tcPr>
            <w:tcW w:w="851" w:type="dxa"/>
            <w:shd w:val="clear" w:color="auto" w:fill="auto"/>
          </w:tcPr>
          <w:p w:rsidR="00570119" w:rsidRPr="004761E0" w:rsidRDefault="00570119" w:rsidP="005C0EC7">
            <w:pPr>
              <w:ind w:firstLine="0"/>
              <w:jc w:val="left"/>
              <w:rPr>
                <w:sz w:val="20"/>
                <w:szCs w:val="20"/>
              </w:rPr>
            </w:pPr>
            <w:r w:rsidRPr="004761E0">
              <w:rPr>
                <w:sz w:val="20"/>
                <w:szCs w:val="20"/>
              </w:rPr>
              <w:t>2008</w:t>
            </w:r>
          </w:p>
        </w:tc>
        <w:tc>
          <w:tcPr>
            <w:tcW w:w="992" w:type="dxa"/>
            <w:shd w:val="clear" w:color="auto" w:fill="auto"/>
          </w:tcPr>
          <w:p w:rsidR="00570119" w:rsidRPr="004761E0" w:rsidRDefault="00570119" w:rsidP="005C0EC7">
            <w:pPr>
              <w:ind w:firstLine="0"/>
              <w:jc w:val="left"/>
              <w:rPr>
                <w:sz w:val="20"/>
                <w:szCs w:val="20"/>
              </w:rPr>
            </w:pPr>
            <w:r w:rsidRPr="004761E0">
              <w:rPr>
                <w:sz w:val="20"/>
                <w:szCs w:val="20"/>
              </w:rPr>
              <w:t>2009</w:t>
            </w:r>
          </w:p>
        </w:tc>
        <w:tc>
          <w:tcPr>
            <w:tcW w:w="8080" w:type="dxa"/>
            <w:shd w:val="clear" w:color="auto" w:fill="auto"/>
          </w:tcPr>
          <w:p w:rsidR="00570119" w:rsidRPr="004761E0" w:rsidRDefault="00570119" w:rsidP="005C0EC7">
            <w:pPr>
              <w:ind w:firstLine="0"/>
              <w:jc w:val="left"/>
              <w:rPr>
                <w:sz w:val="20"/>
                <w:szCs w:val="20"/>
              </w:rPr>
            </w:pPr>
            <w:r w:rsidRPr="004761E0">
              <w:rPr>
                <w:sz w:val="20"/>
                <w:szCs w:val="20"/>
              </w:rPr>
              <w:t>Федеральное агентство по управлению государственным имуществом</w:t>
            </w:r>
          </w:p>
        </w:tc>
        <w:tc>
          <w:tcPr>
            <w:tcW w:w="4394" w:type="dxa"/>
            <w:shd w:val="clear" w:color="auto" w:fill="auto"/>
          </w:tcPr>
          <w:p w:rsidR="00570119" w:rsidRPr="004761E0" w:rsidRDefault="00570119" w:rsidP="005C0EC7">
            <w:pPr>
              <w:ind w:firstLine="0"/>
              <w:jc w:val="left"/>
              <w:rPr>
                <w:sz w:val="20"/>
                <w:szCs w:val="20"/>
              </w:rPr>
            </w:pPr>
            <w:r w:rsidRPr="004761E0">
              <w:rPr>
                <w:sz w:val="20"/>
                <w:szCs w:val="20"/>
              </w:rPr>
              <w:t>Консультант</w:t>
            </w:r>
          </w:p>
        </w:tc>
      </w:tr>
      <w:tr w:rsidR="00570119" w:rsidRPr="004761E0" w:rsidTr="009C5A19">
        <w:tc>
          <w:tcPr>
            <w:tcW w:w="851" w:type="dxa"/>
            <w:shd w:val="clear" w:color="auto" w:fill="auto"/>
          </w:tcPr>
          <w:p w:rsidR="00570119" w:rsidRPr="004761E0" w:rsidRDefault="00570119" w:rsidP="005C0EC7">
            <w:pPr>
              <w:ind w:firstLine="0"/>
              <w:jc w:val="left"/>
              <w:rPr>
                <w:sz w:val="20"/>
                <w:szCs w:val="20"/>
              </w:rPr>
            </w:pPr>
            <w:r w:rsidRPr="004761E0">
              <w:rPr>
                <w:sz w:val="20"/>
                <w:szCs w:val="20"/>
              </w:rPr>
              <w:lastRenderedPageBreak/>
              <w:t>2009</w:t>
            </w:r>
          </w:p>
        </w:tc>
        <w:tc>
          <w:tcPr>
            <w:tcW w:w="992" w:type="dxa"/>
            <w:shd w:val="clear" w:color="auto" w:fill="auto"/>
          </w:tcPr>
          <w:p w:rsidR="00570119" w:rsidRPr="004761E0" w:rsidRDefault="00570119" w:rsidP="005C0EC7">
            <w:pPr>
              <w:ind w:firstLine="0"/>
              <w:jc w:val="left"/>
              <w:rPr>
                <w:sz w:val="20"/>
                <w:szCs w:val="20"/>
              </w:rPr>
            </w:pPr>
            <w:r w:rsidRPr="004761E0">
              <w:rPr>
                <w:sz w:val="20"/>
                <w:szCs w:val="20"/>
              </w:rPr>
              <w:t>2011</w:t>
            </w:r>
          </w:p>
        </w:tc>
        <w:tc>
          <w:tcPr>
            <w:tcW w:w="8080" w:type="dxa"/>
            <w:shd w:val="clear" w:color="auto" w:fill="auto"/>
          </w:tcPr>
          <w:p w:rsidR="00570119" w:rsidRPr="004761E0" w:rsidRDefault="00570119" w:rsidP="005C0EC7">
            <w:pPr>
              <w:ind w:firstLine="0"/>
              <w:jc w:val="left"/>
              <w:rPr>
                <w:sz w:val="20"/>
                <w:szCs w:val="20"/>
              </w:rPr>
            </w:pPr>
            <w:r w:rsidRPr="004761E0">
              <w:rPr>
                <w:sz w:val="20"/>
                <w:szCs w:val="20"/>
              </w:rPr>
              <w:t xml:space="preserve">Минэнерго России </w:t>
            </w:r>
          </w:p>
        </w:tc>
        <w:tc>
          <w:tcPr>
            <w:tcW w:w="4394" w:type="dxa"/>
            <w:shd w:val="clear" w:color="auto" w:fill="auto"/>
          </w:tcPr>
          <w:p w:rsidR="00570119" w:rsidRPr="004761E0" w:rsidRDefault="00570119" w:rsidP="005C0EC7">
            <w:pPr>
              <w:ind w:firstLine="0"/>
              <w:jc w:val="left"/>
              <w:rPr>
                <w:sz w:val="20"/>
                <w:szCs w:val="20"/>
              </w:rPr>
            </w:pPr>
            <w:r w:rsidRPr="004761E0">
              <w:rPr>
                <w:sz w:val="20"/>
                <w:szCs w:val="20"/>
              </w:rPr>
              <w:t>Советник, заместитель начальника отдела, начальник отдела</w:t>
            </w:r>
          </w:p>
        </w:tc>
      </w:tr>
      <w:tr w:rsidR="00570119" w:rsidRPr="004761E0" w:rsidTr="009C5A19">
        <w:tc>
          <w:tcPr>
            <w:tcW w:w="851" w:type="dxa"/>
            <w:shd w:val="clear" w:color="auto" w:fill="auto"/>
          </w:tcPr>
          <w:p w:rsidR="00570119" w:rsidRPr="004761E0" w:rsidRDefault="00570119" w:rsidP="005C0EC7">
            <w:pPr>
              <w:ind w:firstLine="0"/>
              <w:jc w:val="left"/>
              <w:rPr>
                <w:sz w:val="20"/>
                <w:szCs w:val="20"/>
              </w:rPr>
            </w:pPr>
            <w:r w:rsidRPr="004761E0">
              <w:rPr>
                <w:sz w:val="20"/>
                <w:szCs w:val="20"/>
              </w:rPr>
              <w:t>2011</w:t>
            </w:r>
          </w:p>
        </w:tc>
        <w:tc>
          <w:tcPr>
            <w:tcW w:w="992" w:type="dxa"/>
            <w:shd w:val="clear" w:color="auto" w:fill="auto"/>
          </w:tcPr>
          <w:p w:rsidR="00570119" w:rsidRPr="004761E0" w:rsidRDefault="00570119" w:rsidP="005C0EC7">
            <w:pPr>
              <w:ind w:firstLine="0"/>
              <w:jc w:val="left"/>
              <w:rPr>
                <w:sz w:val="20"/>
                <w:szCs w:val="20"/>
              </w:rPr>
            </w:pPr>
            <w:r w:rsidRPr="004761E0">
              <w:rPr>
                <w:sz w:val="20"/>
                <w:szCs w:val="20"/>
              </w:rPr>
              <w:t>2013</w:t>
            </w:r>
          </w:p>
        </w:tc>
        <w:tc>
          <w:tcPr>
            <w:tcW w:w="8080" w:type="dxa"/>
            <w:shd w:val="clear" w:color="auto" w:fill="auto"/>
          </w:tcPr>
          <w:p w:rsidR="00570119" w:rsidRPr="004761E0" w:rsidRDefault="0008080E" w:rsidP="005C0EC7">
            <w:pPr>
              <w:ind w:firstLine="0"/>
              <w:jc w:val="left"/>
              <w:rPr>
                <w:sz w:val="20"/>
                <w:szCs w:val="20"/>
              </w:rPr>
            </w:pPr>
            <w:r>
              <w:rPr>
                <w:sz w:val="20"/>
                <w:szCs w:val="20"/>
              </w:rPr>
              <w:t>ОАО </w:t>
            </w:r>
            <w:r w:rsidR="00570119" w:rsidRPr="004761E0">
              <w:rPr>
                <w:sz w:val="20"/>
                <w:szCs w:val="20"/>
              </w:rPr>
              <w:t>«ФСК ЕЭС»</w:t>
            </w:r>
          </w:p>
        </w:tc>
        <w:tc>
          <w:tcPr>
            <w:tcW w:w="4394" w:type="dxa"/>
            <w:shd w:val="clear" w:color="auto" w:fill="auto"/>
          </w:tcPr>
          <w:p w:rsidR="00570119" w:rsidRPr="004761E0" w:rsidRDefault="00570119" w:rsidP="005C0EC7">
            <w:pPr>
              <w:ind w:firstLine="0"/>
              <w:jc w:val="left"/>
              <w:rPr>
                <w:sz w:val="20"/>
                <w:szCs w:val="20"/>
              </w:rPr>
            </w:pPr>
            <w:r w:rsidRPr="004761E0">
              <w:rPr>
                <w:sz w:val="20"/>
                <w:szCs w:val="20"/>
              </w:rPr>
              <w:t>Заместитель начальника Департамента – начальник отдела</w:t>
            </w:r>
          </w:p>
        </w:tc>
      </w:tr>
      <w:tr w:rsidR="009C5A19" w:rsidRPr="004761E0" w:rsidTr="009C5A19">
        <w:tc>
          <w:tcPr>
            <w:tcW w:w="851" w:type="dxa"/>
            <w:shd w:val="clear" w:color="auto" w:fill="auto"/>
          </w:tcPr>
          <w:p w:rsidR="009C5A19" w:rsidRPr="004761E0" w:rsidRDefault="009C5A19" w:rsidP="005C0EC7">
            <w:pPr>
              <w:ind w:firstLine="0"/>
              <w:jc w:val="left"/>
              <w:rPr>
                <w:sz w:val="20"/>
                <w:szCs w:val="20"/>
              </w:rPr>
            </w:pPr>
            <w:r w:rsidRPr="004761E0">
              <w:rPr>
                <w:sz w:val="20"/>
                <w:szCs w:val="20"/>
              </w:rPr>
              <w:t>2012</w:t>
            </w:r>
          </w:p>
        </w:tc>
        <w:tc>
          <w:tcPr>
            <w:tcW w:w="992" w:type="dxa"/>
            <w:shd w:val="clear" w:color="auto" w:fill="auto"/>
          </w:tcPr>
          <w:p w:rsidR="009C5A19" w:rsidRPr="004761E0" w:rsidRDefault="009C5A19" w:rsidP="009C5A19">
            <w:pPr>
              <w:ind w:firstLine="0"/>
              <w:jc w:val="left"/>
              <w:rPr>
                <w:sz w:val="20"/>
                <w:szCs w:val="22"/>
              </w:rPr>
            </w:pPr>
            <w:r w:rsidRPr="004761E0">
              <w:rPr>
                <w:sz w:val="20"/>
                <w:szCs w:val="20"/>
              </w:rPr>
              <w:t>наст.вр.</w:t>
            </w:r>
          </w:p>
        </w:tc>
        <w:tc>
          <w:tcPr>
            <w:tcW w:w="8080" w:type="dxa"/>
            <w:shd w:val="clear" w:color="auto" w:fill="auto"/>
          </w:tcPr>
          <w:p w:rsidR="009C5A19" w:rsidRPr="004761E0" w:rsidRDefault="0008080E" w:rsidP="005C0EC7">
            <w:pPr>
              <w:ind w:firstLine="0"/>
              <w:jc w:val="left"/>
              <w:rPr>
                <w:sz w:val="20"/>
                <w:szCs w:val="20"/>
              </w:rPr>
            </w:pPr>
            <w:r>
              <w:rPr>
                <w:sz w:val="20"/>
                <w:szCs w:val="20"/>
              </w:rPr>
              <w:t>ООО </w:t>
            </w:r>
            <w:r w:rsidR="009C5A19" w:rsidRPr="004761E0">
              <w:rPr>
                <w:sz w:val="20"/>
                <w:szCs w:val="20"/>
              </w:rPr>
              <w:t>«Индекс энергетики – ФСК ЕЭС»</w:t>
            </w:r>
          </w:p>
        </w:tc>
        <w:tc>
          <w:tcPr>
            <w:tcW w:w="4394" w:type="dxa"/>
            <w:shd w:val="clear" w:color="auto" w:fill="auto"/>
          </w:tcPr>
          <w:p w:rsidR="009C5A19" w:rsidRPr="004761E0" w:rsidRDefault="009C5A19" w:rsidP="005C0EC7">
            <w:pPr>
              <w:ind w:firstLine="0"/>
              <w:jc w:val="left"/>
              <w:rPr>
                <w:sz w:val="20"/>
                <w:szCs w:val="20"/>
              </w:rPr>
            </w:pPr>
            <w:r w:rsidRPr="004761E0">
              <w:rPr>
                <w:sz w:val="20"/>
                <w:szCs w:val="20"/>
              </w:rPr>
              <w:t>Член Совета директоров</w:t>
            </w:r>
          </w:p>
        </w:tc>
      </w:tr>
      <w:tr w:rsidR="009C5A19" w:rsidRPr="004761E0" w:rsidTr="009C5A19">
        <w:tc>
          <w:tcPr>
            <w:tcW w:w="851" w:type="dxa"/>
            <w:shd w:val="clear" w:color="auto" w:fill="auto"/>
          </w:tcPr>
          <w:p w:rsidR="009C5A19" w:rsidRPr="004761E0" w:rsidRDefault="009C5A19" w:rsidP="005C0EC7">
            <w:pPr>
              <w:ind w:firstLine="0"/>
              <w:jc w:val="left"/>
              <w:rPr>
                <w:sz w:val="20"/>
                <w:szCs w:val="20"/>
              </w:rPr>
            </w:pPr>
            <w:r w:rsidRPr="004761E0">
              <w:rPr>
                <w:sz w:val="20"/>
                <w:szCs w:val="20"/>
              </w:rPr>
              <w:t>2012</w:t>
            </w:r>
          </w:p>
        </w:tc>
        <w:tc>
          <w:tcPr>
            <w:tcW w:w="992" w:type="dxa"/>
            <w:shd w:val="clear" w:color="auto" w:fill="auto"/>
          </w:tcPr>
          <w:p w:rsidR="009C5A19" w:rsidRPr="004761E0" w:rsidRDefault="009C5A19" w:rsidP="009C5A19">
            <w:pPr>
              <w:ind w:firstLine="0"/>
              <w:jc w:val="left"/>
              <w:rPr>
                <w:sz w:val="20"/>
                <w:szCs w:val="22"/>
              </w:rPr>
            </w:pPr>
            <w:r w:rsidRPr="004761E0">
              <w:rPr>
                <w:sz w:val="20"/>
                <w:szCs w:val="20"/>
              </w:rPr>
              <w:t>наст.вр.</w:t>
            </w:r>
          </w:p>
        </w:tc>
        <w:tc>
          <w:tcPr>
            <w:tcW w:w="8080" w:type="dxa"/>
            <w:shd w:val="clear" w:color="auto" w:fill="auto"/>
          </w:tcPr>
          <w:p w:rsidR="009C5A19" w:rsidRPr="004761E0" w:rsidRDefault="0008080E" w:rsidP="005C0EC7">
            <w:pPr>
              <w:ind w:firstLine="0"/>
              <w:jc w:val="left"/>
              <w:rPr>
                <w:sz w:val="20"/>
                <w:szCs w:val="20"/>
              </w:rPr>
            </w:pPr>
            <w:r>
              <w:rPr>
                <w:sz w:val="20"/>
                <w:szCs w:val="20"/>
              </w:rPr>
              <w:t>ОАО </w:t>
            </w:r>
            <w:r w:rsidR="009C5A19" w:rsidRPr="004761E0">
              <w:rPr>
                <w:sz w:val="20"/>
                <w:szCs w:val="20"/>
              </w:rPr>
              <w:t>«Нурэнерго»</w:t>
            </w:r>
          </w:p>
        </w:tc>
        <w:tc>
          <w:tcPr>
            <w:tcW w:w="4394" w:type="dxa"/>
            <w:shd w:val="clear" w:color="auto" w:fill="auto"/>
          </w:tcPr>
          <w:p w:rsidR="009C5A19" w:rsidRPr="004761E0" w:rsidRDefault="009C5A19" w:rsidP="005C0EC7">
            <w:pPr>
              <w:ind w:firstLine="0"/>
              <w:jc w:val="left"/>
              <w:rPr>
                <w:sz w:val="20"/>
                <w:szCs w:val="20"/>
              </w:rPr>
            </w:pPr>
            <w:r w:rsidRPr="004761E0">
              <w:rPr>
                <w:sz w:val="20"/>
                <w:szCs w:val="20"/>
              </w:rPr>
              <w:t>Член Совета директоров</w:t>
            </w:r>
          </w:p>
        </w:tc>
      </w:tr>
      <w:tr w:rsidR="009C5A19" w:rsidRPr="004761E0" w:rsidTr="009C5A19">
        <w:tc>
          <w:tcPr>
            <w:tcW w:w="851" w:type="dxa"/>
            <w:shd w:val="clear" w:color="auto" w:fill="auto"/>
          </w:tcPr>
          <w:p w:rsidR="009C5A19" w:rsidRPr="004761E0" w:rsidRDefault="009C5A19" w:rsidP="005C0EC7">
            <w:pPr>
              <w:ind w:firstLine="0"/>
              <w:jc w:val="left"/>
              <w:rPr>
                <w:sz w:val="20"/>
                <w:szCs w:val="20"/>
              </w:rPr>
            </w:pPr>
            <w:r w:rsidRPr="004761E0">
              <w:rPr>
                <w:sz w:val="20"/>
                <w:szCs w:val="20"/>
              </w:rPr>
              <w:t>2012</w:t>
            </w:r>
          </w:p>
        </w:tc>
        <w:tc>
          <w:tcPr>
            <w:tcW w:w="992" w:type="dxa"/>
            <w:shd w:val="clear" w:color="auto" w:fill="auto"/>
          </w:tcPr>
          <w:p w:rsidR="009C5A19" w:rsidRPr="004761E0" w:rsidRDefault="009C5A19" w:rsidP="009C5A19">
            <w:pPr>
              <w:ind w:firstLine="0"/>
              <w:jc w:val="left"/>
              <w:rPr>
                <w:sz w:val="20"/>
                <w:szCs w:val="22"/>
              </w:rPr>
            </w:pPr>
            <w:r w:rsidRPr="004761E0">
              <w:rPr>
                <w:sz w:val="20"/>
                <w:szCs w:val="20"/>
              </w:rPr>
              <w:t>наст.вр.</w:t>
            </w:r>
          </w:p>
        </w:tc>
        <w:tc>
          <w:tcPr>
            <w:tcW w:w="8080" w:type="dxa"/>
            <w:shd w:val="clear" w:color="auto" w:fill="auto"/>
          </w:tcPr>
          <w:p w:rsidR="009C5A19" w:rsidRPr="004761E0" w:rsidRDefault="0008080E" w:rsidP="005C0EC7">
            <w:pPr>
              <w:ind w:firstLine="0"/>
              <w:jc w:val="left"/>
              <w:rPr>
                <w:sz w:val="20"/>
                <w:szCs w:val="20"/>
              </w:rPr>
            </w:pPr>
            <w:r>
              <w:rPr>
                <w:sz w:val="20"/>
                <w:szCs w:val="20"/>
              </w:rPr>
              <w:t>ОАО </w:t>
            </w:r>
            <w:r w:rsidR="009C5A19" w:rsidRPr="004761E0">
              <w:rPr>
                <w:sz w:val="20"/>
                <w:szCs w:val="20"/>
              </w:rPr>
              <w:t>«НИЦ Юга»</w:t>
            </w:r>
          </w:p>
        </w:tc>
        <w:tc>
          <w:tcPr>
            <w:tcW w:w="4394" w:type="dxa"/>
            <w:shd w:val="clear" w:color="auto" w:fill="auto"/>
          </w:tcPr>
          <w:p w:rsidR="009C5A19" w:rsidRPr="004761E0" w:rsidRDefault="009C5A19" w:rsidP="005C0EC7">
            <w:pPr>
              <w:ind w:firstLine="0"/>
              <w:jc w:val="left"/>
              <w:rPr>
                <w:sz w:val="20"/>
                <w:szCs w:val="20"/>
              </w:rPr>
            </w:pPr>
            <w:r w:rsidRPr="004761E0">
              <w:rPr>
                <w:sz w:val="20"/>
                <w:szCs w:val="20"/>
              </w:rPr>
              <w:t>Член Совета директоров</w:t>
            </w:r>
          </w:p>
        </w:tc>
      </w:tr>
      <w:tr w:rsidR="009C5A19" w:rsidRPr="004761E0" w:rsidTr="009C5A19">
        <w:tc>
          <w:tcPr>
            <w:tcW w:w="851" w:type="dxa"/>
            <w:shd w:val="clear" w:color="auto" w:fill="auto"/>
          </w:tcPr>
          <w:p w:rsidR="009C5A19" w:rsidRPr="004761E0" w:rsidRDefault="009C5A19" w:rsidP="005C0EC7">
            <w:pPr>
              <w:ind w:firstLine="0"/>
              <w:jc w:val="left"/>
              <w:rPr>
                <w:sz w:val="20"/>
                <w:szCs w:val="20"/>
              </w:rPr>
            </w:pPr>
            <w:r w:rsidRPr="004761E0">
              <w:rPr>
                <w:sz w:val="20"/>
                <w:szCs w:val="20"/>
              </w:rPr>
              <w:t>2013</w:t>
            </w:r>
          </w:p>
        </w:tc>
        <w:tc>
          <w:tcPr>
            <w:tcW w:w="992" w:type="dxa"/>
            <w:shd w:val="clear" w:color="auto" w:fill="auto"/>
          </w:tcPr>
          <w:p w:rsidR="009C5A19" w:rsidRPr="004761E0" w:rsidRDefault="009C5A19" w:rsidP="009C5A19">
            <w:pPr>
              <w:ind w:firstLine="0"/>
              <w:jc w:val="left"/>
              <w:rPr>
                <w:sz w:val="20"/>
                <w:szCs w:val="22"/>
              </w:rPr>
            </w:pPr>
            <w:r w:rsidRPr="004761E0">
              <w:rPr>
                <w:sz w:val="20"/>
                <w:szCs w:val="20"/>
              </w:rPr>
              <w:t>наст.вр.</w:t>
            </w:r>
          </w:p>
        </w:tc>
        <w:tc>
          <w:tcPr>
            <w:tcW w:w="8080" w:type="dxa"/>
            <w:shd w:val="clear" w:color="auto" w:fill="auto"/>
          </w:tcPr>
          <w:p w:rsidR="009C5A19" w:rsidRPr="004761E0" w:rsidRDefault="0008080E" w:rsidP="005C0EC7">
            <w:pPr>
              <w:ind w:firstLine="0"/>
              <w:jc w:val="left"/>
              <w:rPr>
                <w:sz w:val="20"/>
                <w:szCs w:val="20"/>
              </w:rPr>
            </w:pPr>
            <w:r>
              <w:rPr>
                <w:sz w:val="20"/>
                <w:szCs w:val="20"/>
              </w:rPr>
              <w:t>ОАО </w:t>
            </w:r>
            <w:r w:rsidR="009C5A19" w:rsidRPr="004761E0">
              <w:rPr>
                <w:sz w:val="20"/>
                <w:szCs w:val="20"/>
              </w:rPr>
              <w:t>«Россети»</w:t>
            </w:r>
            <w:r w:rsidR="006D3155">
              <w:rPr>
                <w:sz w:val="20"/>
                <w:szCs w:val="20"/>
              </w:rPr>
              <w:t xml:space="preserve"> </w:t>
            </w:r>
            <w:r w:rsidR="006D3155" w:rsidRPr="006D3155">
              <w:rPr>
                <w:sz w:val="20"/>
                <w:szCs w:val="22"/>
              </w:rPr>
              <w:t>(до 04.04.2013 – ОАО «Холдинг МРСК»)</w:t>
            </w:r>
          </w:p>
        </w:tc>
        <w:tc>
          <w:tcPr>
            <w:tcW w:w="4394" w:type="dxa"/>
            <w:shd w:val="clear" w:color="auto" w:fill="auto"/>
          </w:tcPr>
          <w:p w:rsidR="009C5A19" w:rsidRPr="004761E0" w:rsidRDefault="009C5A19" w:rsidP="005C0EC7">
            <w:pPr>
              <w:ind w:firstLine="0"/>
              <w:jc w:val="left"/>
              <w:rPr>
                <w:sz w:val="20"/>
                <w:szCs w:val="20"/>
              </w:rPr>
            </w:pPr>
            <w:r w:rsidRPr="004761E0">
              <w:rPr>
                <w:sz w:val="20"/>
                <w:szCs w:val="20"/>
              </w:rPr>
              <w:t>Руководитель Дирекции организации деятельности органов управления</w:t>
            </w:r>
          </w:p>
        </w:tc>
      </w:tr>
      <w:tr w:rsidR="009C5A19" w:rsidRPr="004761E0" w:rsidTr="009C5A19">
        <w:tc>
          <w:tcPr>
            <w:tcW w:w="851" w:type="dxa"/>
            <w:shd w:val="clear" w:color="auto" w:fill="auto"/>
          </w:tcPr>
          <w:p w:rsidR="009C5A19" w:rsidRPr="004761E0" w:rsidRDefault="009C5A19" w:rsidP="005C0EC7">
            <w:pPr>
              <w:ind w:firstLine="0"/>
              <w:jc w:val="left"/>
              <w:rPr>
                <w:sz w:val="20"/>
                <w:szCs w:val="20"/>
              </w:rPr>
            </w:pPr>
            <w:r w:rsidRPr="004761E0">
              <w:rPr>
                <w:sz w:val="20"/>
                <w:szCs w:val="20"/>
              </w:rPr>
              <w:t>2013</w:t>
            </w:r>
          </w:p>
        </w:tc>
        <w:tc>
          <w:tcPr>
            <w:tcW w:w="992" w:type="dxa"/>
            <w:shd w:val="clear" w:color="auto" w:fill="auto"/>
          </w:tcPr>
          <w:p w:rsidR="009C5A19" w:rsidRPr="004761E0" w:rsidRDefault="009C5A19" w:rsidP="009C5A19">
            <w:pPr>
              <w:ind w:firstLine="0"/>
              <w:jc w:val="left"/>
              <w:rPr>
                <w:sz w:val="20"/>
                <w:szCs w:val="22"/>
              </w:rPr>
            </w:pPr>
            <w:r w:rsidRPr="004761E0">
              <w:rPr>
                <w:sz w:val="20"/>
                <w:szCs w:val="20"/>
              </w:rPr>
              <w:t>наст.вр.</w:t>
            </w:r>
          </w:p>
        </w:tc>
        <w:tc>
          <w:tcPr>
            <w:tcW w:w="8080" w:type="dxa"/>
            <w:shd w:val="clear" w:color="auto" w:fill="auto"/>
          </w:tcPr>
          <w:p w:rsidR="009C5A19" w:rsidRPr="004761E0" w:rsidRDefault="0008080E" w:rsidP="005C0EC7">
            <w:pPr>
              <w:ind w:firstLine="0"/>
              <w:jc w:val="left"/>
              <w:rPr>
                <w:sz w:val="20"/>
                <w:szCs w:val="20"/>
              </w:rPr>
            </w:pPr>
            <w:r>
              <w:rPr>
                <w:sz w:val="20"/>
                <w:szCs w:val="20"/>
              </w:rPr>
              <w:t>ООО </w:t>
            </w:r>
            <w:r w:rsidR="009C5A19" w:rsidRPr="004761E0">
              <w:rPr>
                <w:sz w:val="20"/>
                <w:szCs w:val="20"/>
              </w:rPr>
              <w:t>«Айти Энерджи Сервис»</w:t>
            </w:r>
          </w:p>
        </w:tc>
        <w:tc>
          <w:tcPr>
            <w:tcW w:w="4394" w:type="dxa"/>
            <w:shd w:val="clear" w:color="auto" w:fill="auto"/>
          </w:tcPr>
          <w:p w:rsidR="009C5A19" w:rsidRPr="004761E0" w:rsidRDefault="009C5A19" w:rsidP="005C0EC7">
            <w:pPr>
              <w:ind w:firstLine="0"/>
              <w:jc w:val="left"/>
              <w:rPr>
                <w:sz w:val="20"/>
                <w:szCs w:val="20"/>
              </w:rPr>
            </w:pPr>
            <w:r w:rsidRPr="004761E0">
              <w:rPr>
                <w:sz w:val="20"/>
                <w:szCs w:val="20"/>
              </w:rPr>
              <w:t>Член Совета директоров</w:t>
            </w:r>
          </w:p>
        </w:tc>
      </w:tr>
      <w:tr w:rsidR="009C5A19" w:rsidRPr="004761E0" w:rsidTr="009C5A19">
        <w:tc>
          <w:tcPr>
            <w:tcW w:w="851" w:type="dxa"/>
            <w:shd w:val="clear" w:color="auto" w:fill="auto"/>
          </w:tcPr>
          <w:p w:rsidR="009C5A19" w:rsidRPr="004761E0" w:rsidRDefault="009C5A19" w:rsidP="005C0EC7">
            <w:pPr>
              <w:ind w:firstLine="0"/>
              <w:jc w:val="left"/>
              <w:rPr>
                <w:sz w:val="20"/>
                <w:szCs w:val="20"/>
              </w:rPr>
            </w:pPr>
            <w:r w:rsidRPr="004761E0">
              <w:rPr>
                <w:sz w:val="20"/>
                <w:szCs w:val="20"/>
              </w:rPr>
              <w:t>2013</w:t>
            </w:r>
          </w:p>
        </w:tc>
        <w:tc>
          <w:tcPr>
            <w:tcW w:w="992" w:type="dxa"/>
            <w:shd w:val="clear" w:color="auto" w:fill="auto"/>
          </w:tcPr>
          <w:p w:rsidR="009C5A19" w:rsidRPr="004761E0" w:rsidRDefault="009C5A19" w:rsidP="009C5A19">
            <w:pPr>
              <w:ind w:firstLine="0"/>
              <w:jc w:val="left"/>
              <w:rPr>
                <w:sz w:val="20"/>
                <w:szCs w:val="22"/>
              </w:rPr>
            </w:pPr>
            <w:r w:rsidRPr="004761E0">
              <w:rPr>
                <w:sz w:val="20"/>
                <w:szCs w:val="20"/>
              </w:rPr>
              <w:t>наст.вр.</w:t>
            </w:r>
          </w:p>
        </w:tc>
        <w:tc>
          <w:tcPr>
            <w:tcW w:w="8080" w:type="dxa"/>
            <w:shd w:val="clear" w:color="auto" w:fill="auto"/>
          </w:tcPr>
          <w:p w:rsidR="009C5A19" w:rsidRPr="004761E0" w:rsidRDefault="0008080E" w:rsidP="005C0EC7">
            <w:pPr>
              <w:ind w:firstLine="0"/>
              <w:jc w:val="left"/>
              <w:rPr>
                <w:sz w:val="20"/>
                <w:szCs w:val="20"/>
              </w:rPr>
            </w:pPr>
            <w:r>
              <w:rPr>
                <w:sz w:val="20"/>
                <w:szCs w:val="20"/>
              </w:rPr>
              <w:t>ОАО </w:t>
            </w:r>
            <w:r w:rsidR="009C5A19" w:rsidRPr="004761E0">
              <w:rPr>
                <w:sz w:val="20"/>
                <w:szCs w:val="20"/>
              </w:rPr>
              <w:t>«Московская объединенная электросетевая компания»</w:t>
            </w:r>
          </w:p>
        </w:tc>
        <w:tc>
          <w:tcPr>
            <w:tcW w:w="4394" w:type="dxa"/>
            <w:shd w:val="clear" w:color="auto" w:fill="auto"/>
          </w:tcPr>
          <w:p w:rsidR="009C5A19" w:rsidRPr="004761E0" w:rsidRDefault="009C5A19" w:rsidP="005C0EC7">
            <w:pPr>
              <w:ind w:firstLine="0"/>
              <w:jc w:val="left"/>
              <w:rPr>
                <w:sz w:val="20"/>
                <w:szCs w:val="20"/>
              </w:rPr>
            </w:pPr>
            <w:r w:rsidRPr="004761E0">
              <w:rPr>
                <w:sz w:val="20"/>
                <w:szCs w:val="20"/>
              </w:rPr>
              <w:t>Член Ревизионной комиссии</w:t>
            </w:r>
          </w:p>
        </w:tc>
      </w:tr>
    </w:tbl>
    <w:tbl>
      <w:tblPr>
        <w:tblStyle w:val="ae"/>
        <w:tblW w:w="14317" w:type="dxa"/>
        <w:tblInd w:w="108" w:type="dxa"/>
        <w:tblLook w:val="04A0"/>
      </w:tblPr>
      <w:tblGrid>
        <w:gridCol w:w="9923"/>
        <w:gridCol w:w="4394"/>
      </w:tblGrid>
      <w:tr w:rsidR="00A82997" w:rsidRPr="004761E0" w:rsidTr="00A82997">
        <w:tc>
          <w:tcPr>
            <w:tcW w:w="14317" w:type="dxa"/>
            <w:gridSpan w:val="2"/>
          </w:tcPr>
          <w:p w:rsidR="00A82997" w:rsidRPr="004761E0" w:rsidRDefault="00A82997" w:rsidP="00A82997">
            <w:pPr>
              <w:ind w:firstLine="0"/>
              <w:jc w:val="left"/>
              <w:rPr>
                <w:bCs/>
                <w:iCs/>
                <w:sz w:val="20"/>
                <w:szCs w:val="26"/>
              </w:rPr>
            </w:pPr>
            <w:r w:rsidRPr="004761E0">
              <w:rPr>
                <w:sz w:val="20"/>
                <w:szCs w:val="26"/>
              </w:rPr>
              <w:t>Иная информация</w:t>
            </w:r>
          </w:p>
        </w:tc>
      </w:tr>
      <w:tr w:rsidR="005C0EC7" w:rsidRPr="004761E0" w:rsidTr="005E75AB">
        <w:tc>
          <w:tcPr>
            <w:tcW w:w="9923" w:type="dxa"/>
          </w:tcPr>
          <w:p w:rsidR="005C0EC7" w:rsidRPr="004761E0" w:rsidRDefault="005C0EC7" w:rsidP="00A82997">
            <w:pPr>
              <w:ind w:firstLine="0"/>
              <w:jc w:val="left"/>
              <w:rPr>
                <w:sz w:val="20"/>
                <w:szCs w:val="26"/>
              </w:rPr>
            </w:pPr>
            <w:r w:rsidRPr="004761E0">
              <w:rPr>
                <w:sz w:val="20"/>
                <w:szCs w:val="26"/>
              </w:rPr>
              <w:t>Доли участия в уставном капитале Общества/обыкновенных акций:</w:t>
            </w:r>
          </w:p>
        </w:tc>
        <w:tc>
          <w:tcPr>
            <w:tcW w:w="4394" w:type="dxa"/>
          </w:tcPr>
          <w:p w:rsidR="005C0EC7" w:rsidRPr="004761E0" w:rsidRDefault="005C0EC7" w:rsidP="00A82997">
            <w:pPr>
              <w:ind w:firstLine="0"/>
              <w:jc w:val="left"/>
              <w:rPr>
                <w:sz w:val="20"/>
                <w:szCs w:val="26"/>
              </w:rPr>
            </w:pPr>
            <w:r w:rsidRPr="004761E0">
              <w:rPr>
                <w:bCs/>
                <w:iCs/>
                <w:sz w:val="20"/>
                <w:szCs w:val="26"/>
              </w:rPr>
              <w:t>Лицо указанных долей не имеет</w:t>
            </w:r>
            <w:r w:rsidRPr="004761E0">
              <w:rPr>
                <w:sz w:val="20"/>
                <w:szCs w:val="26"/>
              </w:rPr>
              <w:t>.</w:t>
            </w:r>
          </w:p>
        </w:tc>
      </w:tr>
      <w:tr w:rsidR="005C0EC7" w:rsidRPr="004761E0" w:rsidTr="005E75AB">
        <w:tc>
          <w:tcPr>
            <w:tcW w:w="9923" w:type="dxa"/>
          </w:tcPr>
          <w:p w:rsidR="005C0EC7" w:rsidRPr="004761E0" w:rsidRDefault="005C0EC7" w:rsidP="00A82997">
            <w:pPr>
              <w:ind w:firstLine="0"/>
              <w:jc w:val="left"/>
              <w:rPr>
                <w:sz w:val="20"/>
                <w:szCs w:val="26"/>
              </w:rPr>
            </w:pPr>
            <w:r w:rsidRPr="004761E0">
              <w:rPr>
                <w:sz w:val="20"/>
                <w:szCs w:val="26"/>
              </w:rPr>
              <w:t>Доли участия лица в уставном (складочном) капитале (паевом фонде) дочерних и зависимых обществ Общества:</w:t>
            </w:r>
          </w:p>
        </w:tc>
        <w:tc>
          <w:tcPr>
            <w:tcW w:w="4394" w:type="dxa"/>
          </w:tcPr>
          <w:p w:rsidR="005C0EC7" w:rsidRPr="004761E0" w:rsidRDefault="005C0EC7" w:rsidP="00A82997">
            <w:pPr>
              <w:ind w:firstLine="0"/>
              <w:jc w:val="left"/>
              <w:rPr>
                <w:sz w:val="20"/>
                <w:szCs w:val="26"/>
              </w:rPr>
            </w:pPr>
            <w:r w:rsidRPr="004761E0">
              <w:rPr>
                <w:bCs/>
                <w:iCs/>
                <w:sz w:val="20"/>
                <w:szCs w:val="26"/>
              </w:rPr>
              <w:t>Лицо указанных долей не имеет</w:t>
            </w:r>
          </w:p>
        </w:tc>
      </w:tr>
      <w:tr w:rsidR="005C0EC7" w:rsidRPr="004761E0" w:rsidTr="005E75AB">
        <w:tc>
          <w:tcPr>
            <w:tcW w:w="9923" w:type="dxa"/>
          </w:tcPr>
          <w:p w:rsidR="005C0EC7" w:rsidRPr="004761E0" w:rsidRDefault="005C0EC7" w:rsidP="00A82997">
            <w:pPr>
              <w:ind w:firstLine="0"/>
              <w:jc w:val="left"/>
              <w:rPr>
                <w:sz w:val="20"/>
                <w:szCs w:val="26"/>
              </w:rPr>
            </w:pPr>
            <w:r w:rsidRPr="004761E0">
              <w:rPr>
                <w:sz w:val="20"/>
                <w:szCs w:val="26"/>
              </w:rPr>
              <w:t>Сведения о характере любых родственных связей с иными лицами, входящими в состав органов управления Общества и/или органов контроля за финансово-хозяйственной деятельностью Общества:</w:t>
            </w:r>
          </w:p>
        </w:tc>
        <w:tc>
          <w:tcPr>
            <w:tcW w:w="4394" w:type="dxa"/>
          </w:tcPr>
          <w:p w:rsidR="005C0EC7" w:rsidRPr="004761E0" w:rsidRDefault="005C0EC7" w:rsidP="00A82997">
            <w:pPr>
              <w:ind w:firstLine="0"/>
              <w:jc w:val="left"/>
              <w:rPr>
                <w:sz w:val="20"/>
                <w:szCs w:val="26"/>
              </w:rPr>
            </w:pPr>
            <w:r w:rsidRPr="004761E0">
              <w:rPr>
                <w:bCs/>
                <w:iCs/>
                <w:sz w:val="20"/>
                <w:szCs w:val="26"/>
              </w:rPr>
              <w:t>Указанных родственных связей у лица нет.</w:t>
            </w:r>
          </w:p>
        </w:tc>
      </w:tr>
      <w:tr w:rsidR="005C0EC7" w:rsidRPr="004761E0" w:rsidTr="005E75AB">
        <w:tc>
          <w:tcPr>
            <w:tcW w:w="9923" w:type="dxa"/>
          </w:tcPr>
          <w:p w:rsidR="005C0EC7" w:rsidRPr="004761E0" w:rsidRDefault="005C0EC7" w:rsidP="00A82997">
            <w:pPr>
              <w:ind w:firstLine="0"/>
              <w:jc w:val="left"/>
              <w:rPr>
                <w:sz w:val="20"/>
                <w:szCs w:val="26"/>
              </w:rPr>
            </w:pPr>
            <w:r w:rsidRPr="004761E0">
              <w:rPr>
                <w:sz w:val="20"/>
                <w:szCs w:val="26"/>
              </w:rP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c>
        <w:tc>
          <w:tcPr>
            <w:tcW w:w="4394" w:type="dxa"/>
          </w:tcPr>
          <w:p w:rsidR="005C0EC7" w:rsidRPr="004761E0" w:rsidRDefault="005C0EC7" w:rsidP="00A82997">
            <w:pPr>
              <w:ind w:firstLine="0"/>
              <w:jc w:val="left"/>
              <w:rPr>
                <w:sz w:val="20"/>
                <w:szCs w:val="26"/>
              </w:rPr>
            </w:pPr>
            <w:r w:rsidRPr="004761E0">
              <w:rPr>
                <w:bCs/>
                <w:iCs/>
                <w:sz w:val="20"/>
                <w:szCs w:val="26"/>
              </w:rPr>
              <w:t>Лицо к указанным видам ответственности не привлекалось</w:t>
            </w:r>
          </w:p>
        </w:tc>
      </w:tr>
      <w:tr w:rsidR="005C0EC7" w:rsidRPr="004761E0" w:rsidTr="005E75AB">
        <w:tc>
          <w:tcPr>
            <w:tcW w:w="9923" w:type="dxa"/>
          </w:tcPr>
          <w:p w:rsidR="005C0EC7" w:rsidRPr="004761E0" w:rsidRDefault="005C0EC7" w:rsidP="00A82997">
            <w:pPr>
              <w:ind w:firstLine="0"/>
              <w:jc w:val="left"/>
              <w:rPr>
                <w:sz w:val="20"/>
                <w:szCs w:val="26"/>
              </w:rPr>
            </w:pPr>
            <w:r w:rsidRPr="004761E0">
              <w:rPr>
                <w:sz w:val="20"/>
                <w:szCs w:val="26"/>
              </w:rP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tc>
        <w:tc>
          <w:tcPr>
            <w:tcW w:w="4394" w:type="dxa"/>
          </w:tcPr>
          <w:p w:rsidR="005C0EC7" w:rsidRPr="004761E0" w:rsidRDefault="005C0EC7" w:rsidP="00A82997">
            <w:pPr>
              <w:ind w:firstLine="0"/>
              <w:jc w:val="left"/>
              <w:rPr>
                <w:sz w:val="20"/>
                <w:szCs w:val="26"/>
              </w:rPr>
            </w:pPr>
            <w:r w:rsidRPr="004761E0">
              <w:rPr>
                <w:bCs/>
                <w:iCs/>
                <w:sz w:val="20"/>
                <w:szCs w:val="26"/>
              </w:rPr>
              <w:t>Лицо указанных должностей не занимало.</w:t>
            </w:r>
          </w:p>
        </w:tc>
      </w:tr>
      <w:tr w:rsidR="005C0EC7" w:rsidRPr="004761E0" w:rsidTr="005E75AB">
        <w:tc>
          <w:tcPr>
            <w:tcW w:w="9923" w:type="dxa"/>
          </w:tcPr>
          <w:p w:rsidR="005C0EC7" w:rsidRPr="004761E0" w:rsidRDefault="005C0EC7" w:rsidP="00A82997">
            <w:pPr>
              <w:ind w:firstLine="0"/>
              <w:jc w:val="left"/>
              <w:rPr>
                <w:sz w:val="20"/>
                <w:szCs w:val="26"/>
              </w:rPr>
            </w:pPr>
            <w:r w:rsidRPr="004761E0">
              <w:rPr>
                <w:sz w:val="20"/>
                <w:szCs w:val="26"/>
              </w:rPr>
              <w:t>Наличие  согласия на раскрытие данной информации в Годовом отчете.</w:t>
            </w:r>
          </w:p>
        </w:tc>
        <w:tc>
          <w:tcPr>
            <w:tcW w:w="4394" w:type="dxa"/>
          </w:tcPr>
          <w:p w:rsidR="005C0EC7" w:rsidRPr="004761E0" w:rsidRDefault="005C0EC7" w:rsidP="00A82997">
            <w:pPr>
              <w:ind w:firstLine="0"/>
              <w:jc w:val="left"/>
              <w:rPr>
                <w:bCs/>
                <w:iCs/>
                <w:sz w:val="20"/>
                <w:szCs w:val="26"/>
              </w:rPr>
            </w:pPr>
            <w:r w:rsidRPr="004761E0">
              <w:rPr>
                <w:bCs/>
                <w:iCs/>
                <w:sz w:val="20"/>
                <w:szCs w:val="26"/>
              </w:rPr>
              <w:t>Лицом дано подобное согласие.</w:t>
            </w:r>
          </w:p>
        </w:tc>
      </w:tr>
      <w:tr w:rsidR="00A82997" w:rsidRPr="004761E0" w:rsidTr="00A82997">
        <w:tc>
          <w:tcPr>
            <w:tcW w:w="14317" w:type="dxa"/>
            <w:gridSpan w:val="2"/>
            <w:shd w:val="clear" w:color="auto" w:fill="BFBFBF" w:themeFill="background1" w:themeFillShade="BF"/>
          </w:tcPr>
          <w:p w:rsidR="00A82997" w:rsidRPr="004761E0" w:rsidRDefault="00A82997" w:rsidP="007076A7">
            <w:pPr>
              <w:pStyle w:val="a5"/>
              <w:numPr>
                <w:ilvl w:val="0"/>
                <w:numId w:val="277"/>
              </w:numPr>
              <w:ind w:left="601" w:hanging="601"/>
              <w:contextualSpacing w:val="0"/>
              <w:jc w:val="left"/>
              <w:rPr>
                <w:b/>
                <w:bCs/>
                <w:iCs/>
                <w:sz w:val="20"/>
                <w:szCs w:val="20"/>
              </w:rPr>
            </w:pPr>
            <w:r w:rsidRPr="004761E0">
              <w:rPr>
                <w:b/>
                <w:bCs/>
                <w:iCs/>
                <w:sz w:val="20"/>
                <w:szCs w:val="20"/>
              </w:rPr>
              <w:t>Филиппова Ирина Александровна</w:t>
            </w:r>
          </w:p>
        </w:tc>
      </w:tr>
      <w:tr w:rsidR="00A82997" w:rsidRPr="004761E0" w:rsidTr="00A82997">
        <w:tc>
          <w:tcPr>
            <w:tcW w:w="14317" w:type="dxa"/>
            <w:gridSpan w:val="2"/>
          </w:tcPr>
          <w:p w:rsidR="00A82997" w:rsidRPr="004761E0" w:rsidRDefault="00A82997" w:rsidP="00A82997">
            <w:pPr>
              <w:ind w:firstLine="0"/>
              <w:jc w:val="left"/>
              <w:rPr>
                <w:bCs/>
                <w:iCs/>
                <w:sz w:val="20"/>
                <w:szCs w:val="26"/>
              </w:rPr>
            </w:pPr>
            <w:r w:rsidRPr="004761E0">
              <w:rPr>
                <w:sz w:val="20"/>
                <w:szCs w:val="26"/>
              </w:rPr>
              <w:t>Все должности, занимаемые данным лицом в Обществе и других организациях за последние 5 лет и в настоящее время в хронологическом порядке, в т.ч. по совместительству:</w:t>
            </w:r>
          </w:p>
        </w:tc>
      </w:tr>
    </w:tbl>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992"/>
        <w:gridCol w:w="8080"/>
        <w:gridCol w:w="4394"/>
      </w:tblGrid>
      <w:tr w:rsidR="00570119" w:rsidRPr="004761E0" w:rsidTr="005E75AB">
        <w:tc>
          <w:tcPr>
            <w:tcW w:w="1843" w:type="dxa"/>
            <w:gridSpan w:val="2"/>
            <w:tcBorders>
              <w:bottom w:val="single" w:sz="4" w:space="0" w:color="FFFFFF" w:themeColor="background1"/>
              <w:right w:val="single" w:sz="4" w:space="0" w:color="FFFFFF" w:themeColor="background1"/>
            </w:tcBorders>
            <w:shd w:val="clear" w:color="auto" w:fill="0F243E" w:themeFill="text2" w:themeFillShade="80"/>
            <w:vAlign w:val="center"/>
          </w:tcPr>
          <w:p w:rsidR="00570119" w:rsidRPr="004761E0" w:rsidRDefault="00570119" w:rsidP="00F83ADF">
            <w:pPr>
              <w:ind w:firstLine="0"/>
              <w:jc w:val="center"/>
              <w:rPr>
                <w:b/>
                <w:sz w:val="20"/>
                <w:szCs w:val="22"/>
              </w:rPr>
            </w:pPr>
            <w:r w:rsidRPr="004761E0">
              <w:rPr>
                <w:b/>
                <w:sz w:val="20"/>
                <w:szCs w:val="22"/>
              </w:rPr>
              <w:t>Период</w:t>
            </w:r>
          </w:p>
        </w:tc>
        <w:tc>
          <w:tcPr>
            <w:tcW w:w="8080"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570119" w:rsidRPr="004761E0" w:rsidRDefault="00570119" w:rsidP="00F83ADF">
            <w:pPr>
              <w:ind w:firstLine="0"/>
              <w:jc w:val="left"/>
              <w:rPr>
                <w:b/>
                <w:sz w:val="20"/>
                <w:szCs w:val="22"/>
              </w:rPr>
            </w:pPr>
            <w:r w:rsidRPr="004761E0">
              <w:rPr>
                <w:b/>
                <w:sz w:val="20"/>
                <w:szCs w:val="22"/>
              </w:rPr>
              <w:t>Наименование организации</w:t>
            </w:r>
          </w:p>
        </w:tc>
        <w:tc>
          <w:tcPr>
            <w:tcW w:w="4394" w:type="dxa"/>
            <w:vMerge w:val="restart"/>
            <w:tcBorders>
              <w:left w:val="single" w:sz="4" w:space="0" w:color="FFFFFF" w:themeColor="background1"/>
              <w:bottom w:val="single" w:sz="4" w:space="0" w:color="FFFFFF" w:themeColor="background1"/>
            </w:tcBorders>
            <w:shd w:val="clear" w:color="auto" w:fill="0F243E" w:themeFill="text2" w:themeFillShade="80"/>
            <w:vAlign w:val="center"/>
          </w:tcPr>
          <w:p w:rsidR="00570119" w:rsidRPr="004761E0" w:rsidRDefault="00570119" w:rsidP="00F83ADF">
            <w:pPr>
              <w:ind w:firstLine="0"/>
              <w:jc w:val="left"/>
              <w:rPr>
                <w:b/>
                <w:sz w:val="20"/>
                <w:szCs w:val="22"/>
              </w:rPr>
            </w:pPr>
            <w:r w:rsidRPr="004761E0">
              <w:rPr>
                <w:b/>
                <w:sz w:val="20"/>
                <w:szCs w:val="22"/>
              </w:rPr>
              <w:t>Должность</w:t>
            </w:r>
          </w:p>
        </w:tc>
      </w:tr>
      <w:tr w:rsidR="00570119" w:rsidRPr="004761E0" w:rsidTr="005E75AB">
        <w:tc>
          <w:tcPr>
            <w:tcW w:w="851" w:type="dxa"/>
            <w:tcBorders>
              <w:top w:val="single" w:sz="4" w:space="0" w:color="FFFFFF" w:themeColor="background1"/>
              <w:right w:val="single" w:sz="4" w:space="0" w:color="FFFFFF" w:themeColor="background1"/>
            </w:tcBorders>
            <w:shd w:val="clear" w:color="auto" w:fill="0F243E" w:themeFill="text2" w:themeFillShade="80"/>
            <w:vAlign w:val="center"/>
          </w:tcPr>
          <w:p w:rsidR="00570119" w:rsidRPr="004761E0" w:rsidRDefault="00570119" w:rsidP="00F83ADF">
            <w:pPr>
              <w:ind w:firstLine="0"/>
              <w:jc w:val="center"/>
              <w:rPr>
                <w:b/>
                <w:sz w:val="20"/>
                <w:szCs w:val="22"/>
              </w:rPr>
            </w:pPr>
            <w:r w:rsidRPr="004761E0">
              <w:rPr>
                <w:b/>
                <w:sz w:val="20"/>
                <w:szCs w:val="22"/>
              </w:rPr>
              <w:t>с</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rsidR="00570119" w:rsidRPr="004761E0" w:rsidRDefault="00570119" w:rsidP="00F83ADF">
            <w:pPr>
              <w:ind w:firstLine="0"/>
              <w:jc w:val="center"/>
              <w:rPr>
                <w:b/>
                <w:sz w:val="20"/>
                <w:szCs w:val="22"/>
              </w:rPr>
            </w:pPr>
            <w:r w:rsidRPr="004761E0">
              <w:rPr>
                <w:b/>
                <w:sz w:val="20"/>
                <w:szCs w:val="22"/>
              </w:rPr>
              <w:t>по</w:t>
            </w:r>
          </w:p>
        </w:tc>
        <w:tc>
          <w:tcPr>
            <w:tcW w:w="8080" w:type="dxa"/>
            <w:vMerge/>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rsidR="00570119" w:rsidRPr="004761E0" w:rsidRDefault="00570119" w:rsidP="009B2B16">
            <w:pPr>
              <w:jc w:val="center"/>
              <w:rPr>
                <w:b/>
                <w:sz w:val="20"/>
                <w:szCs w:val="22"/>
              </w:rPr>
            </w:pPr>
          </w:p>
        </w:tc>
        <w:tc>
          <w:tcPr>
            <w:tcW w:w="4394" w:type="dxa"/>
            <w:vMerge/>
            <w:tcBorders>
              <w:top w:val="single" w:sz="4" w:space="0" w:color="FFFFFF" w:themeColor="background1"/>
              <w:left w:val="single" w:sz="4" w:space="0" w:color="FFFFFF" w:themeColor="background1"/>
            </w:tcBorders>
            <w:shd w:val="clear" w:color="auto" w:fill="0F243E" w:themeFill="text2" w:themeFillShade="80"/>
            <w:vAlign w:val="center"/>
          </w:tcPr>
          <w:p w:rsidR="00570119" w:rsidRPr="004761E0" w:rsidRDefault="00570119" w:rsidP="009B2B16">
            <w:pPr>
              <w:jc w:val="center"/>
              <w:rPr>
                <w:b/>
                <w:sz w:val="20"/>
                <w:szCs w:val="22"/>
              </w:rPr>
            </w:pPr>
          </w:p>
        </w:tc>
      </w:tr>
      <w:tr w:rsidR="00570119" w:rsidRPr="004761E0" w:rsidTr="005E75AB">
        <w:tc>
          <w:tcPr>
            <w:tcW w:w="851" w:type="dxa"/>
            <w:shd w:val="clear" w:color="auto" w:fill="auto"/>
          </w:tcPr>
          <w:p w:rsidR="00570119" w:rsidRPr="004761E0" w:rsidRDefault="00570119" w:rsidP="006D3155">
            <w:pPr>
              <w:ind w:firstLine="0"/>
              <w:jc w:val="left"/>
              <w:rPr>
                <w:sz w:val="20"/>
                <w:szCs w:val="22"/>
              </w:rPr>
            </w:pPr>
            <w:r w:rsidRPr="004761E0">
              <w:rPr>
                <w:sz w:val="20"/>
                <w:szCs w:val="22"/>
              </w:rPr>
              <w:t>201</w:t>
            </w:r>
            <w:r w:rsidR="006D3155">
              <w:rPr>
                <w:sz w:val="20"/>
                <w:szCs w:val="22"/>
              </w:rPr>
              <w:t>0</w:t>
            </w:r>
          </w:p>
        </w:tc>
        <w:tc>
          <w:tcPr>
            <w:tcW w:w="992" w:type="dxa"/>
            <w:shd w:val="clear" w:color="auto" w:fill="auto"/>
          </w:tcPr>
          <w:p w:rsidR="00570119" w:rsidRPr="004761E0" w:rsidRDefault="00570119" w:rsidP="005C0EC7">
            <w:pPr>
              <w:ind w:firstLine="0"/>
              <w:jc w:val="left"/>
              <w:rPr>
                <w:sz w:val="20"/>
                <w:szCs w:val="22"/>
              </w:rPr>
            </w:pPr>
            <w:r w:rsidRPr="004761E0">
              <w:rPr>
                <w:sz w:val="20"/>
                <w:szCs w:val="22"/>
              </w:rPr>
              <w:t>2013</w:t>
            </w:r>
          </w:p>
        </w:tc>
        <w:tc>
          <w:tcPr>
            <w:tcW w:w="8080" w:type="dxa"/>
            <w:shd w:val="clear" w:color="auto" w:fill="auto"/>
          </w:tcPr>
          <w:p w:rsidR="00570119" w:rsidRPr="004761E0" w:rsidRDefault="0008080E" w:rsidP="005C0EC7">
            <w:pPr>
              <w:ind w:firstLine="0"/>
              <w:jc w:val="left"/>
              <w:rPr>
                <w:sz w:val="20"/>
                <w:szCs w:val="22"/>
              </w:rPr>
            </w:pPr>
            <w:r>
              <w:rPr>
                <w:sz w:val="20"/>
                <w:szCs w:val="22"/>
              </w:rPr>
              <w:t>ОАО </w:t>
            </w:r>
            <w:r w:rsidR="00570119" w:rsidRPr="004761E0">
              <w:rPr>
                <w:sz w:val="20"/>
                <w:szCs w:val="22"/>
              </w:rPr>
              <w:t>«Россети»</w:t>
            </w:r>
            <w:r w:rsidR="006D3155">
              <w:rPr>
                <w:sz w:val="20"/>
                <w:szCs w:val="22"/>
              </w:rPr>
              <w:t xml:space="preserve"> </w:t>
            </w:r>
            <w:r w:rsidR="006D3155" w:rsidRPr="006D3155">
              <w:rPr>
                <w:sz w:val="20"/>
                <w:szCs w:val="22"/>
              </w:rPr>
              <w:t>(до 04.04.2013 – ОАО «Холдинг МРСК»)</w:t>
            </w:r>
          </w:p>
        </w:tc>
        <w:tc>
          <w:tcPr>
            <w:tcW w:w="4394" w:type="dxa"/>
            <w:shd w:val="clear" w:color="auto" w:fill="auto"/>
          </w:tcPr>
          <w:p w:rsidR="00570119" w:rsidRPr="004761E0" w:rsidRDefault="00570119" w:rsidP="005C0EC7">
            <w:pPr>
              <w:ind w:firstLine="0"/>
              <w:jc w:val="left"/>
              <w:rPr>
                <w:sz w:val="20"/>
                <w:szCs w:val="22"/>
              </w:rPr>
            </w:pPr>
            <w:r w:rsidRPr="004761E0">
              <w:rPr>
                <w:sz w:val="20"/>
                <w:szCs w:val="22"/>
              </w:rPr>
              <w:t>Ведущий эксперт отдела ревизионных проверок и экспертиз Департамента внутреннего аудита и управления рисками</w:t>
            </w:r>
          </w:p>
        </w:tc>
      </w:tr>
      <w:tr w:rsidR="009C5A19" w:rsidRPr="004761E0" w:rsidTr="005E75AB">
        <w:tc>
          <w:tcPr>
            <w:tcW w:w="851" w:type="dxa"/>
            <w:shd w:val="clear" w:color="auto" w:fill="auto"/>
          </w:tcPr>
          <w:p w:rsidR="009C5A19" w:rsidRPr="004761E0" w:rsidRDefault="009C5A19" w:rsidP="005C0EC7">
            <w:pPr>
              <w:ind w:firstLine="0"/>
              <w:jc w:val="left"/>
              <w:rPr>
                <w:sz w:val="20"/>
                <w:szCs w:val="22"/>
              </w:rPr>
            </w:pPr>
            <w:r w:rsidRPr="004761E0">
              <w:rPr>
                <w:sz w:val="20"/>
                <w:szCs w:val="22"/>
              </w:rPr>
              <w:t>2013</w:t>
            </w:r>
          </w:p>
        </w:tc>
        <w:tc>
          <w:tcPr>
            <w:tcW w:w="992" w:type="dxa"/>
            <w:shd w:val="clear" w:color="auto" w:fill="auto"/>
          </w:tcPr>
          <w:p w:rsidR="009C5A19" w:rsidRPr="004761E0" w:rsidRDefault="009C5A19" w:rsidP="009C5A19">
            <w:pPr>
              <w:ind w:firstLine="0"/>
              <w:jc w:val="left"/>
              <w:rPr>
                <w:sz w:val="20"/>
                <w:szCs w:val="22"/>
              </w:rPr>
            </w:pPr>
            <w:r w:rsidRPr="004761E0">
              <w:rPr>
                <w:sz w:val="20"/>
                <w:szCs w:val="20"/>
              </w:rPr>
              <w:t>наст.вр.</w:t>
            </w:r>
          </w:p>
        </w:tc>
        <w:tc>
          <w:tcPr>
            <w:tcW w:w="8080" w:type="dxa"/>
            <w:shd w:val="clear" w:color="auto" w:fill="auto"/>
          </w:tcPr>
          <w:p w:rsidR="009C5A19" w:rsidRPr="004761E0" w:rsidRDefault="0008080E" w:rsidP="005C0EC7">
            <w:pPr>
              <w:ind w:firstLine="0"/>
              <w:jc w:val="left"/>
              <w:rPr>
                <w:sz w:val="20"/>
                <w:szCs w:val="22"/>
              </w:rPr>
            </w:pPr>
            <w:r>
              <w:rPr>
                <w:sz w:val="20"/>
                <w:szCs w:val="22"/>
              </w:rPr>
              <w:t>ОАО </w:t>
            </w:r>
            <w:r w:rsidR="009C5A19" w:rsidRPr="004761E0">
              <w:rPr>
                <w:sz w:val="20"/>
                <w:szCs w:val="22"/>
              </w:rPr>
              <w:t>«ФСК ЕЭС»</w:t>
            </w:r>
          </w:p>
        </w:tc>
        <w:tc>
          <w:tcPr>
            <w:tcW w:w="4394" w:type="dxa"/>
            <w:shd w:val="clear" w:color="auto" w:fill="auto"/>
          </w:tcPr>
          <w:p w:rsidR="009C5A19" w:rsidRPr="004761E0" w:rsidRDefault="009C5A19" w:rsidP="005C0EC7">
            <w:pPr>
              <w:ind w:firstLine="0"/>
              <w:jc w:val="left"/>
              <w:rPr>
                <w:sz w:val="20"/>
                <w:szCs w:val="22"/>
              </w:rPr>
            </w:pPr>
            <w:r w:rsidRPr="004761E0">
              <w:rPr>
                <w:sz w:val="20"/>
                <w:szCs w:val="22"/>
              </w:rPr>
              <w:t>Главный эксперт контрольно-ревизионного отдела</w:t>
            </w:r>
          </w:p>
        </w:tc>
      </w:tr>
      <w:tr w:rsidR="009C5A19" w:rsidRPr="004761E0" w:rsidTr="005E75AB">
        <w:tc>
          <w:tcPr>
            <w:tcW w:w="851" w:type="dxa"/>
            <w:shd w:val="clear" w:color="auto" w:fill="auto"/>
          </w:tcPr>
          <w:p w:rsidR="009C5A19" w:rsidRPr="004761E0" w:rsidRDefault="009C5A19" w:rsidP="005C0EC7">
            <w:pPr>
              <w:ind w:firstLine="0"/>
              <w:jc w:val="left"/>
              <w:rPr>
                <w:sz w:val="20"/>
                <w:szCs w:val="22"/>
              </w:rPr>
            </w:pPr>
            <w:r w:rsidRPr="004761E0">
              <w:rPr>
                <w:sz w:val="20"/>
                <w:szCs w:val="22"/>
              </w:rPr>
              <w:t>2013</w:t>
            </w:r>
          </w:p>
        </w:tc>
        <w:tc>
          <w:tcPr>
            <w:tcW w:w="992" w:type="dxa"/>
            <w:shd w:val="clear" w:color="auto" w:fill="auto"/>
          </w:tcPr>
          <w:p w:rsidR="009C5A19" w:rsidRPr="004761E0" w:rsidRDefault="009C5A19" w:rsidP="009C5A19">
            <w:pPr>
              <w:ind w:firstLine="0"/>
              <w:jc w:val="left"/>
              <w:rPr>
                <w:sz w:val="20"/>
                <w:szCs w:val="22"/>
              </w:rPr>
            </w:pPr>
            <w:r w:rsidRPr="004761E0">
              <w:rPr>
                <w:sz w:val="20"/>
                <w:szCs w:val="20"/>
              </w:rPr>
              <w:t>наст.вр.</w:t>
            </w:r>
          </w:p>
        </w:tc>
        <w:tc>
          <w:tcPr>
            <w:tcW w:w="8080" w:type="dxa"/>
            <w:shd w:val="clear" w:color="auto" w:fill="auto"/>
          </w:tcPr>
          <w:p w:rsidR="009C5A19" w:rsidRPr="004761E0" w:rsidRDefault="0008080E" w:rsidP="006D3155">
            <w:pPr>
              <w:ind w:firstLine="0"/>
              <w:jc w:val="left"/>
              <w:rPr>
                <w:sz w:val="20"/>
                <w:szCs w:val="22"/>
              </w:rPr>
            </w:pPr>
            <w:r>
              <w:rPr>
                <w:sz w:val="20"/>
                <w:szCs w:val="22"/>
              </w:rPr>
              <w:t>ОАО </w:t>
            </w:r>
            <w:r w:rsidR="009C5A19" w:rsidRPr="004761E0">
              <w:rPr>
                <w:sz w:val="20"/>
                <w:szCs w:val="22"/>
              </w:rPr>
              <w:t>«</w:t>
            </w:r>
            <w:r w:rsidR="006D3155">
              <w:rPr>
                <w:sz w:val="20"/>
                <w:szCs w:val="22"/>
              </w:rPr>
              <w:t>МОЭСК</w:t>
            </w:r>
            <w:r w:rsidR="009C5A19" w:rsidRPr="004761E0">
              <w:rPr>
                <w:sz w:val="20"/>
                <w:szCs w:val="22"/>
              </w:rPr>
              <w:t>»</w:t>
            </w:r>
          </w:p>
        </w:tc>
        <w:tc>
          <w:tcPr>
            <w:tcW w:w="4394" w:type="dxa"/>
            <w:shd w:val="clear" w:color="auto" w:fill="auto"/>
          </w:tcPr>
          <w:p w:rsidR="009C5A19" w:rsidRPr="004761E0" w:rsidRDefault="009C5A19" w:rsidP="005C0EC7">
            <w:pPr>
              <w:ind w:firstLine="0"/>
              <w:jc w:val="left"/>
              <w:rPr>
                <w:sz w:val="20"/>
                <w:szCs w:val="22"/>
              </w:rPr>
            </w:pPr>
            <w:r w:rsidRPr="004761E0">
              <w:rPr>
                <w:sz w:val="20"/>
                <w:szCs w:val="22"/>
              </w:rPr>
              <w:t>Член Ревизионной комиссии</w:t>
            </w:r>
          </w:p>
        </w:tc>
      </w:tr>
      <w:tr w:rsidR="00A82997" w:rsidRPr="004761E0" w:rsidTr="00A82997">
        <w:tc>
          <w:tcPr>
            <w:tcW w:w="14317" w:type="dxa"/>
            <w:gridSpan w:val="4"/>
            <w:shd w:val="clear" w:color="auto" w:fill="auto"/>
          </w:tcPr>
          <w:p w:rsidR="00A82997" w:rsidRPr="004761E0" w:rsidRDefault="00A82997" w:rsidP="005C0EC7">
            <w:pPr>
              <w:ind w:firstLine="0"/>
              <w:jc w:val="left"/>
              <w:rPr>
                <w:sz w:val="20"/>
                <w:szCs w:val="22"/>
              </w:rPr>
            </w:pPr>
            <w:r w:rsidRPr="004761E0">
              <w:rPr>
                <w:sz w:val="20"/>
                <w:szCs w:val="26"/>
              </w:rPr>
              <w:t>Иная информация</w:t>
            </w:r>
          </w:p>
        </w:tc>
      </w:tr>
    </w:tbl>
    <w:tbl>
      <w:tblPr>
        <w:tblStyle w:val="ae"/>
        <w:tblW w:w="14317" w:type="dxa"/>
        <w:tblInd w:w="108" w:type="dxa"/>
        <w:tblLook w:val="04A0"/>
      </w:tblPr>
      <w:tblGrid>
        <w:gridCol w:w="9923"/>
        <w:gridCol w:w="4394"/>
      </w:tblGrid>
      <w:tr w:rsidR="005C0EC7" w:rsidRPr="004761E0" w:rsidTr="005E75AB">
        <w:tc>
          <w:tcPr>
            <w:tcW w:w="9923" w:type="dxa"/>
          </w:tcPr>
          <w:p w:rsidR="005C0EC7" w:rsidRPr="004761E0" w:rsidRDefault="005C0EC7" w:rsidP="00A82997">
            <w:pPr>
              <w:ind w:firstLine="0"/>
              <w:jc w:val="left"/>
              <w:rPr>
                <w:sz w:val="20"/>
                <w:szCs w:val="26"/>
              </w:rPr>
            </w:pPr>
            <w:r w:rsidRPr="004761E0">
              <w:rPr>
                <w:sz w:val="20"/>
                <w:szCs w:val="26"/>
              </w:rPr>
              <w:t>Доли участия в уставном капитале Общества/обыкновенных акций:</w:t>
            </w:r>
          </w:p>
        </w:tc>
        <w:tc>
          <w:tcPr>
            <w:tcW w:w="4394" w:type="dxa"/>
          </w:tcPr>
          <w:p w:rsidR="005C0EC7" w:rsidRPr="004761E0" w:rsidRDefault="005C0EC7" w:rsidP="00A82997">
            <w:pPr>
              <w:ind w:firstLine="0"/>
              <w:jc w:val="left"/>
              <w:rPr>
                <w:sz w:val="20"/>
                <w:szCs w:val="26"/>
              </w:rPr>
            </w:pPr>
            <w:r w:rsidRPr="004761E0">
              <w:rPr>
                <w:bCs/>
                <w:iCs/>
                <w:sz w:val="20"/>
                <w:szCs w:val="26"/>
              </w:rPr>
              <w:t>Лицо указанных долей не имеет</w:t>
            </w:r>
            <w:r w:rsidRPr="004761E0">
              <w:rPr>
                <w:sz w:val="20"/>
                <w:szCs w:val="26"/>
              </w:rPr>
              <w:t>.</w:t>
            </w:r>
          </w:p>
        </w:tc>
      </w:tr>
      <w:tr w:rsidR="005C0EC7" w:rsidRPr="004761E0" w:rsidTr="005E75AB">
        <w:tc>
          <w:tcPr>
            <w:tcW w:w="9923" w:type="dxa"/>
          </w:tcPr>
          <w:p w:rsidR="005C0EC7" w:rsidRPr="004761E0" w:rsidRDefault="005C0EC7" w:rsidP="00A82997">
            <w:pPr>
              <w:ind w:firstLine="0"/>
              <w:jc w:val="left"/>
              <w:rPr>
                <w:sz w:val="20"/>
                <w:szCs w:val="26"/>
              </w:rPr>
            </w:pPr>
            <w:r w:rsidRPr="004761E0">
              <w:rPr>
                <w:sz w:val="20"/>
                <w:szCs w:val="26"/>
              </w:rPr>
              <w:t>Доли участия лица в уставном (складочном) капитале (паевом фонде) дочерних и зависимых обществ Общества:</w:t>
            </w:r>
          </w:p>
        </w:tc>
        <w:tc>
          <w:tcPr>
            <w:tcW w:w="4394" w:type="dxa"/>
          </w:tcPr>
          <w:p w:rsidR="005C0EC7" w:rsidRPr="004761E0" w:rsidRDefault="005C0EC7" w:rsidP="00A82997">
            <w:pPr>
              <w:ind w:firstLine="0"/>
              <w:jc w:val="left"/>
              <w:rPr>
                <w:sz w:val="20"/>
                <w:szCs w:val="26"/>
              </w:rPr>
            </w:pPr>
            <w:r w:rsidRPr="004761E0">
              <w:rPr>
                <w:bCs/>
                <w:iCs/>
                <w:sz w:val="20"/>
                <w:szCs w:val="26"/>
              </w:rPr>
              <w:t>Лицо указанных долей не имеет</w:t>
            </w:r>
          </w:p>
        </w:tc>
      </w:tr>
      <w:tr w:rsidR="005C0EC7" w:rsidRPr="004761E0" w:rsidTr="005E75AB">
        <w:tc>
          <w:tcPr>
            <w:tcW w:w="9923" w:type="dxa"/>
          </w:tcPr>
          <w:p w:rsidR="005C0EC7" w:rsidRPr="004761E0" w:rsidRDefault="005C0EC7" w:rsidP="00A82997">
            <w:pPr>
              <w:ind w:firstLine="0"/>
              <w:jc w:val="left"/>
              <w:rPr>
                <w:sz w:val="20"/>
                <w:szCs w:val="26"/>
              </w:rPr>
            </w:pPr>
            <w:r w:rsidRPr="004761E0">
              <w:rPr>
                <w:sz w:val="20"/>
                <w:szCs w:val="26"/>
              </w:rPr>
              <w:lastRenderedPageBreak/>
              <w:t>Сведения о характере любых родственных связей с иными лицами, входящими в состав органов управления Общества и/или органов контроля за финансово-хозяйственной деятельностью Общества:</w:t>
            </w:r>
          </w:p>
        </w:tc>
        <w:tc>
          <w:tcPr>
            <w:tcW w:w="4394" w:type="dxa"/>
          </w:tcPr>
          <w:p w:rsidR="005C0EC7" w:rsidRPr="004761E0" w:rsidRDefault="005C0EC7" w:rsidP="00A82997">
            <w:pPr>
              <w:ind w:firstLine="0"/>
              <w:jc w:val="left"/>
              <w:rPr>
                <w:sz w:val="20"/>
                <w:szCs w:val="26"/>
              </w:rPr>
            </w:pPr>
            <w:r w:rsidRPr="004761E0">
              <w:rPr>
                <w:bCs/>
                <w:iCs/>
                <w:sz w:val="20"/>
                <w:szCs w:val="26"/>
              </w:rPr>
              <w:t>Указанных родственных связей у лица нет.</w:t>
            </w:r>
          </w:p>
        </w:tc>
      </w:tr>
      <w:tr w:rsidR="005C0EC7" w:rsidRPr="004761E0" w:rsidTr="005E75AB">
        <w:tc>
          <w:tcPr>
            <w:tcW w:w="9923" w:type="dxa"/>
          </w:tcPr>
          <w:p w:rsidR="005C0EC7" w:rsidRPr="004761E0" w:rsidRDefault="005C0EC7" w:rsidP="00A82997">
            <w:pPr>
              <w:ind w:firstLine="0"/>
              <w:jc w:val="left"/>
              <w:rPr>
                <w:sz w:val="20"/>
                <w:szCs w:val="26"/>
              </w:rPr>
            </w:pPr>
            <w:r w:rsidRPr="004761E0">
              <w:rPr>
                <w:sz w:val="20"/>
                <w:szCs w:val="26"/>
              </w:rP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c>
        <w:tc>
          <w:tcPr>
            <w:tcW w:w="4394" w:type="dxa"/>
          </w:tcPr>
          <w:p w:rsidR="005C0EC7" w:rsidRPr="004761E0" w:rsidRDefault="005C0EC7" w:rsidP="00A82997">
            <w:pPr>
              <w:ind w:firstLine="0"/>
              <w:jc w:val="left"/>
              <w:rPr>
                <w:sz w:val="20"/>
                <w:szCs w:val="26"/>
              </w:rPr>
            </w:pPr>
            <w:r w:rsidRPr="004761E0">
              <w:rPr>
                <w:bCs/>
                <w:iCs/>
                <w:sz w:val="20"/>
                <w:szCs w:val="26"/>
              </w:rPr>
              <w:t>Лицо к указанным видам ответственности не привлекалось</w:t>
            </w:r>
          </w:p>
        </w:tc>
      </w:tr>
      <w:tr w:rsidR="005C0EC7" w:rsidRPr="004761E0" w:rsidTr="005E75AB">
        <w:tc>
          <w:tcPr>
            <w:tcW w:w="9923" w:type="dxa"/>
          </w:tcPr>
          <w:p w:rsidR="005C0EC7" w:rsidRPr="004761E0" w:rsidRDefault="005C0EC7" w:rsidP="00A82997">
            <w:pPr>
              <w:ind w:firstLine="0"/>
              <w:jc w:val="left"/>
              <w:rPr>
                <w:sz w:val="20"/>
                <w:szCs w:val="26"/>
              </w:rPr>
            </w:pPr>
            <w:r w:rsidRPr="004761E0">
              <w:rPr>
                <w:sz w:val="20"/>
                <w:szCs w:val="26"/>
              </w:rP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tc>
        <w:tc>
          <w:tcPr>
            <w:tcW w:w="4394" w:type="dxa"/>
          </w:tcPr>
          <w:p w:rsidR="005C0EC7" w:rsidRPr="004761E0" w:rsidRDefault="005C0EC7" w:rsidP="00A82997">
            <w:pPr>
              <w:ind w:firstLine="0"/>
              <w:jc w:val="left"/>
              <w:rPr>
                <w:sz w:val="20"/>
                <w:szCs w:val="26"/>
              </w:rPr>
            </w:pPr>
            <w:r w:rsidRPr="004761E0">
              <w:rPr>
                <w:bCs/>
                <w:iCs/>
                <w:sz w:val="20"/>
                <w:szCs w:val="26"/>
              </w:rPr>
              <w:t>Лицо указанных должностей не занимало.</w:t>
            </w:r>
          </w:p>
        </w:tc>
      </w:tr>
      <w:tr w:rsidR="005C0EC7" w:rsidRPr="004761E0" w:rsidTr="005E75AB">
        <w:tc>
          <w:tcPr>
            <w:tcW w:w="9923" w:type="dxa"/>
          </w:tcPr>
          <w:p w:rsidR="005C0EC7" w:rsidRPr="004761E0" w:rsidRDefault="005C0EC7" w:rsidP="00A82997">
            <w:pPr>
              <w:ind w:firstLine="0"/>
              <w:jc w:val="left"/>
              <w:rPr>
                <w:sz w:val="20"/>
                <w:szCs w:val="26"/>
              </w:rPr>
            </w:pPr>
            <w:r w:rsidRPr="004761E0">
              <w:rPr>
                <w:sz w:val="20"/>
                <w:szCs w:val="26"/>
              </w:rPr>
              <w:t>Наличие  согласия на раскрытие данной информации в Годовом отчете.</w:t>
            </w:r>
          </w:p>
        </w:tc>
        <w:tc>
          <w:tcPr>
            <w:tcW w:w="4394" w:type="dxa"/>
          </w:tcPr>
          <w:p w:rsidR="005C0EC7" w:rsidRPr="004761E0" w:rsidRDefault="005C0EC7" w:rsidP="00A82997">
            <w:pPr>
              <w:ind w:firstLine="0"/>
              <w:jc w:val="left"/>
              <w:rPr>
                <w:bCs/>
                <w:iCs/>
                <w:sz w:val="20"/>
                <w:szCs w:val="26"/>
              </w:rPr>
            </w:pPr>
            <w:r w:rsidRPr="004761E0">
              <w:rPr>
                <w:bCs/>
                <w:iCs/>
                <w:sz w:val="20"/>
                <w:szCs w:val="26"/>
              </w:rPr>
              <w:t>Лицом дано подобное согласие.</w:t>
            </w:r>
          </w:p>
        </w:tc>
      </w:tr>
    </w:tbl>
    <w:p w:rsidR="006B79B0" w:rsidRPr="004761E0" w:rsidRDefault="006B79B0" w:rsidP="00455EDF">
      <w:pPr>
        <w:pStyle w:val="a8"/>
        <w:numPr>
          <w:ilvl w:val="1"/>
          <w:numId w:val="2"/>
        </w:numPr>
        <w:tabs>
          <w:tab w:val="left" w:pos="1134"/>
        </w:tabs>
        <w:jc w:val="both"/>
        <w:rPr>
          <w:rFonts w:ascii="Times New Roman" w:hAnsi="Times New Roman"/>
          <w:b/>
          <w:sz w:val="26"/>
          <w:szCs w:val="26"/>
          <w:lang w:eastAsia="ru-RU"/>
        </w:rPr>
        <w:sectPr w:rsidR="006B79B0" w:rsidRPr="004761E0" w:rsidSect="0050069D">
          <w:pgSz w:w="16838" w:h="11906" w:orient="landscape"/>
          <w:pgMar w:top="1701" w:right="1134" w:bottom="851" w:left="1134" w:header="709" w:footer="709" w:gutter="0"/>
          <w:cols w:space="708"/>
          <w:docGrid w:linePitch="360"/>
        </w:sectPr>
      </w:pPr>
    </w:p>
    <w:p w:rsidR="00136A10" w:rsidRPr="004761E0" w:rsidRDefault="00E34ACB" w:rsidP="00455EDF">
      <w:pPr>
        <w:pStyle w:val="a8"/>
        <w:numPr>
          <w:ilvl w:val="1"/>
          <w:numId w:val="2"/>
        </w:numPr>
        <w:tabs>
          <w:tab w:val="left" w:pos="1134"/>
        </w:tabs>
        <w:jc w:val="both"/>
        <w:rPr>
          <w:rFonts w:ascii="Times New Roman" w:hAnsi="Times New Roman"/>
          <w:b/>
          <w:sz w:val="26"/>
          <w:szCs w:val="26"/>
          <w:lang w:eastAsia="ru-RU"/>
        </w:rPr>
      </w:pPr>
      <w:bookmarkStart w:id="164" w:name="_Toc380576962"/>
      <w:bookmarkStart w:id="165" w:name="_Toc385339872"/>
      <w:bookmarkEnd w:id="146"/>
      <w:r w:rsidRPr="004761E0">
        <w:rPr>
          <w:rFonts w:ascii="Times New Roman" w:hAnsi="Times New Roman"/>
          <w:b/>
          <w:sz w:val="26"/>
          <w:szCs w:val="26"/>
          <w:lang w:eastAsia="ru-RU"/>
        </w:rPr>
        <w:lastRenderedPageBreak/>
        <w:t>Сведения о соблюдении Кодекса корпоративного поведения</w:t>
      </w:r>
      <w:bookmarkEnd w:id="164"/>
      <w:r w:rsidR="0086454D" w:rsidRPr="006F4AB8">
        <w:rPr>
          <w:rStyle w:val="af1"/>
        </w:rPr>
        <w:footnoteReference w:id="157"/>
      </w:r>
      <w:bookmarkEnd w:id="165"/>
    </w:p>
    <w:tbl>
      <w:tblPr>
        <w:tblW w:w="160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85"/>
        <w:gridCol w:w="6543"/>
        <w:gridCol w:w="43"/>
        <w:gridCol w:w="2083"/>
        <w:gridCol w:w="43"/>
        <w:gridCol w:w="6512"/>
        <w:gridCol w:w="43"/>
      </w:tblGrid>
      <w:tr w:rsidR="0086454D" w:rsidRPr="004761E0" w:rsidTr="006B79B0">
        <w:trPr>
          <w:trHeight w:val="329"/>
        </w:trPr>
        <w:tc>
          <w:tcPr>
            <w:tcW w:w="752" w:type="dxa"/>
            <w:gridSpan w:val="2"/>
            <w:tcBorders>
              <w:right w:val="single" w:sz="4" w:space="0" w:color="FFFFFF" w:themeColor="background1"/>
            </w:tcBorders>
            <w:shd w:val="clear" w:color="auto" w:fill="0F243E" w:themeFill="text2" w:themeFillShade="80"/>
            <w:vAlign w:val="center"/>
          </w:tcPr>
          <w:p w:rsidR="0086454D" w:rsidRPr="004761E0" w:rsidRDefault="0086454D" w:rsidP="002C5A29">
            <w:pPr>
              <w:ind w:left="-57" w:right="-57" w:firstLine="0"/>
              <w:jc w:val="center"/>
              <w:rPr>
                <w:rStyle w:val="SUBST"/>
                <w:b/>
                <w:sz w:val="20"/>
                <w:szCs w:val="20"/>
              </w:rPr>
            </w:pPr>
            <w:r w:rsidRPr="004761E0">
              <w:rPr>
                <w:rStyle w:val="SUBST"/>
                <w:b/>
                <w:sz w:val="20"/>
                <w:szCs w:val="20"/>
              </w:rPr>
              <w:t xml:space="preserve">№ </w:t>
            </w:r>
          </w:p>
          <w:p w:rsidR="0086454D" w:rsidRPr="004761E0" w:rsidRDefault="0086454D" w:rsidP="002C5A29">
            <w:pPr>
              <w:ind w:left="-57" w:right="-57" w:firstLine="0"/>
              <w:jc w:val="center"/>
              <w:rPr>
                <w:rStyle w:val="SUBST"/>
                <w:b/>
                <w:sz w:val="20"/>
                <w:szCs w:val="20"/>
              </w:rPr>
            </w:pPr>
            <w:r w:rsidRPr="004761E0">
              <w:rPr>
                <w:rStyle w:val="SUBST"/>
                <w:b/>
                <w:sz w:val="20"/>
                <w:szCs w:val="20"/>
              </w:rPr>
              <w:t>п/п</w:t>
            </w:r>
          </w:p>
        </w:tc>
        <w:tc>
          <w:tcPr>
            <w:tcW w:w="6586" w:type="dxa"/>
            <w:gridSpan w:val="2"/>
            <w:tcBorders>
              <w:left w:val="single" w:sz="4" w:space="0" w:color="FFFFFF" w:themeColor="background1"/>
              <w:right w:val="single" w:sz="4" w:space="0" w:color="FFFFFF" w:themeColor="background1"/>
            </w:tcBorders>
            <w:shd w:val="clear" w:color="auto" w:fill="0F243E" w:themeFill="text2" w:themeFillShade="80"/>
            <w:vAlign w:val="center"/>
          </w:tcPr>
          <w:p w:rsidR="0086454D" w:rsidRPr="004761E0" w:rsidRDefault="0086454D" w:rsidP="006B79B0">
            <w:pPr>
              <w:ind w:left="-57" w:right="-57" w:firstLine="0"/>
              <w:jc w:val="left"/>
              <w:rPr>
                <w:rStyle w:val="SUBST"/>
                <w:b/>
                <w:sz w:val="20"/>
                <w:szCs w:val="20"/>
              </w:rPr>
            </w:pPr>
            <w:r w:rsidRPr="004761E0">
              <w:rPr>
                <w:rStyle w:val="SUBST"/>
                <w:b/>
                <w:sz w:val="20"/>
                <w:szCs w:val="20"/>
              </w:rPr>
              <w:t>Положение Кодекса корпоративного поведения</w:t>
            </w:r>
          </w:p>
        </w:tc>
        <w:tc>
          <w:tcPr>
            <w:tcW w:w="2126" w:type="dxa"/>
            <w:gridSpan w:val="2"/>
            <w:tcBorders>
              <w:left w:val="single" w:sz="4" w:space="0" w:color="FFFFFF" w:themeColor="background1"/>
              <w:right w:val="single" w:sz="4" w:space="0" w:color="FFFFFF" w:themeColor="background1"/>
            </w:tcBorders>
            <w:shd w:val="clear" w:color="auto" w:fill="0F243E" w:themeFill="text2" w:themeFillShade="80"/>
            <w:vAlign w:val="center"/>
          </w:tcPr>
          <w:p w:rsidR="0086454D" w:rsidRPr="004761E0" w:rsidRDefault="0086454D" w:rsidP="006B79B0">
            <w:pPr>
              <w:ind w:left="-57" w:right="-57" w:firstLine="0"/>
              <w:jc w:val="left"/>
              <w:rPr>
                <w:rStyle w:val="SUBST"/>
                <w:b/>
                <w:sz w:val="20"/>
                <w:szCs w:val="20"/>
              </w:rPr>
            </w:pPr>
            <w:r w:rsidRPr="004761E0">
              <w:rPr>
                <w:rStyle w:val="SUBST"/>
                <w:b/>
                <w:sz w:val="20"/>
                <w:szCs w:val="20"/>
              </w:rPr>
              <w:t>Соблюдается или не соблюдается</w:t>
            </w:r>
          </w:p>
        </w:tc>
        <w:tc>
          <w:tcPr>
            <w:tcW w:w="6555" w:type="dxa"/>
            <w:gridSpan w:val="2"/>
            <w:tcBorders>
              <w:left w:val="single" w:sz="4" w:space="0" w:color="FFFFFF" w:themeColor="background1"/>
            </w:tcBorders>
            <w:shd w:val="clear" w:color="auto" w:fill="0F243E" w:themeFill="text2" w:themeFillShade="80"/>
            <w:vAlign w:val="center"/>
          </w:tcPr>
          <w:p w:rsidR="0086454D" w:rsidRPr="004761E0" w:rsidRDefault="0086454D" w:rsidP="006B79B0">
            <w:pPr>
              <w:ind w:left="-57" w:right="-57" w:firstLine="0"/>
              <w:jc w:val="left"/>
              <w:rPr>
                <w:rStyle w:val="SUBST"/>
                <w:b/>
                <w:sz w:val="20"/>
                <w:szCs w:val="20"/>
              </w:rPr>
            </w:pPr>
            <w:r w:rsidRPr="004761E0">
              <w:rPr>
                <w:rStyle w:val="SUBST"/>
                <w:b/>
                <w:sz w:val="20"/>
                <w:szCs w:val="20"/>
              </w:rPr>
              <w:t>Примечание</w:t>
            </w:r>
          </w:p>
        </w:tc>
      </w:tr>
      <w:tr w:rsidR="0086454D" w:rsidRPr="004761E0" w:rsidTr="006B79B0">
        <w:trPr>
          <w:trHeight w:val="550"/>
        </w:trPr>
        <w:tc>
          <w:tcPr>
            <w:tcW w:w="16019" w:type="dxa"/>
            <w:gridSpan w:val="8"/>
            <w:shd w:val="clear" w:color="auto" w:fill="BFBFBF" w:themeFill="background1" w:themeFillShade="BF"/>
            <w:vAlign w:val="center"/>
          </w:tcPr>
          <w:p w:rsidR="0086454D" w:rsidRPr="004761E0" w:rsidRDefault="0086454D" w:rsidP="002C5A29">
            <w:pPr>
              <w:ind w:right="-57" w:firstLine="0"/>
              <w:jc w:val="center"/>
              <w:rPr>
                <w:rStyle w:val="SUBST"/>
                <w:b/>
                <w:sz w:val="20"/>
                <w:szCs w:val="20"/>
              </w:rPr>
            </w:pPr>
            <w:r w:rsidRPr="004761E0">
              <w:rPr>
                <w:rStyle w:val="SUBST"/>
                <w:b/>
                <w:sz w:val="20"/>
                <w:szCs w:val="20"/>
              </w:rPr>
              <w:t>ОБЩЕЕ СОБРАНИЕ АКЦИОНЕРОВ</w:t>
            </w:r>
          </w:p>
        </w:tc>
      </w:tr>
      <w:tr w:rsidR="0086454D" w:rsidRPr="004761E0" w:rsidTr="006B79B0">
        <w:trPr>
          <w:gridAfter w:val="1"/>
          <w:wAfter w:w="43" w:type="dxa"/>
          <w:trHeight w:val="911"/>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28" w:type="dxa"/>
            <w:gridSpan w:val="2"/>
          </w:tcPr>
          <w:p w:rsidR="0086454D" w:rsidRPr="004761E0" w:rsidRDefault="0086454D" w:rsidP="002C5A29">
            <w:pPr>
              <w:ind w:left="-57" w:right="-57" w:firstLine="0"/>
              <w:jc w:val="left"/>
              <w:rPr>
                <w:rStyle w:val="SUBST"/>
                <w:sz w:val="20"/>
                <w:szCs w:val="20"/>
              </w:rPr>
            </w:pPr>
            <w:r w:rsidRPr="004761E0">
              <w:rPr>
                <w:rStyle w:val="SUBST"/>
                <w:sz w:val="20"/>
                <w:szCs w:val="20"/>
              </w:rPr>
              <w:t>Извещение акционеров о проведении общего собрания акционеров не менее чем за 30 дней до даты его проведения независимо от вопросов, включенных в его повестку дня, если законодательством не предусмотрен больший срок</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6B79B0">
            <w:pPr>
              <w:autoSpaceDE w:val="0"/>
              <w:autoSpaceDN w:val="0"/>
              <w:adjustRightInd w:val="0"/>
              <w:ind w:firstLine="0"/>
              <w:rPr>
                <w:rStyle w:val="SUBST"/>
                <w:sz w:val="20"/>
                <w:szCs w:val="20"/>
              </w:rPr>
            </w:pPr>
            <w:r w:rsidRPr="004761E0">
              <w:rPr>
                <w:rStyle w:val="SUBST"/>
                <w:sz w:val="20"/>
                <w:szCs w:val="20"/>
              </w:rPr>
              <w:t>П. 11.5. ст. 11 Устава предусмотрено, что сообщение о проведении Общего собрания акционеров направляется (либо вручается) каждому лицу, указанному в списке лиц, имеющих право на участие в Общем собрании акционеров, а также публикуется Обществом не позднее, чем за 30 дней до даты его проведения в общественно – политической газете «Известия», п. 12.4. ст. 12 Устава предусмотрено, что сообщение о проведении Общего собрания акционеров путем заочного голосования публикуется Обществом в общественно-политической газете «Известия» не позднее, чем за 30 дней до даты окончания приема Обществом бюллетеней.</w:t>
            </w:r>
          </w:p>
        </w:tc>
      </w:tr>
      <w:tr w:rsidR="0086454D" w:rsidRPr="004761E0" w:rsidTr="006B79B0">
        <w:trPr>
          <w:gridAfter w:val="1"/>
          <w:wAfter w:w="43" w:type="dxa"/>
          <w:trHeight w:val="1269"/>
        </w:trPr>
        <w:tc>
          <w:tcPr>
            <w:tcW w:w="567" w:type="dxa"/>
          </w:tcPr>
          <w:p w:rsidR="0086454D" w:rsidRPr="004761E0" w:rsidRDefault="0086454D" w:rsidP="007076A7">
            <w:pPr>
              <w:pStyle w:val="a5"/>
              <w:numPr>
                <w:ilvl w:val="0"/>
                <w:numId w:val="278"/>
              </w:numPr>
              <w:ind w:left="34" w:firstLine="0"/>
              <w:jc w:val="left"/>
              <w:rPr>
                <w:rStyle w:val="SUBST"/>
                <w:sz w:val="20"/>
                <w:szCs w:val="20"/>
              </w:rPr>
            </w:pPr>
          </w:p>
        </w:tc>
        <w:tc>
          <w:tcPr>
            <w:tcW w:w="6728" w:type="dxa"/>
            <w:gridSpan w:val="2"/>
          </w:tcPr>
          <w:p w:rsidR="0086454D" w:rsidRPr="004761E0" w:rsidRDefault="0086454D" w:rsidP="002C5A29">
            <w:pPr>
              <w:ind w:left="-57" w:firstLine="0"/>
              <w:jc w:val="left"/>
              <w:rPr>
                <w:rStyle w:val="SUBST"/>
                <w:sz w:val="20"/>
                <w:szCs w:val="20"/>
              </w:rPr>
            </w:pPr>
            <w:r w:rsidRPr="004761E0">
              <w:rPr>
                <w:rStyle w:val="SUBST"/>
                <w:sz w:val="20"/>
                <w:szCs w:val="20"/>
              </w:rPr>
              <w:t>Наличие у акционеров возможности знакомиться со списком лиц, имеющих право на участие в общем собрании акционеров, начиная со дня сообщения о проведении общего собрания акционеров и до закрытия очного общего собрания акционеров, а в случае заочного общего собрания акционеров – до даты окончания приема бюллетеней для голосования</w:t>
            </w:r>
          </w:p>
        </w:tc>
        <w:tc>
          <w:tcPr>
            <w:tcW w:w="2126" w:type="dxa"/>
            <w:gridSpan w:val="2"/>
            <w:shd w:val="clear" w:color="auto" w:fill="FFFFFF" w:themeFill="background1"/>
          </w:tcPr>
          <w:p w:rsidR="0086454D" w:rsidRPr="004761E0" w:rsidRDefault="0086454D" w:rsidP="002C5A29">
            <w:pPr>
              <w:ind w:lef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6B79B0">
            <w:pPr>
              <w:autoSpaceDE w:val="0"/>
              <w:autoSpaceDN w:val="0"/>
              <w:adjustRightInd w:val="0"/>
              <w:ind w:firstLine="0"/>
              <w:rPr>
                <w:rStyle w:val="SUBST"/>
                <w:sz w:val="20"/>
                <w:szCs w:val="20"/>
              </w:rPr>
            </w:pPr>
            <w:r w:rsidRPr="004761E0">
              <w:rPr>
                <w:rStyle w:val="SUBST"/>
                <w:sz w:val="20"/>
                <w:szCs w:val="20"/>
              </w:rPr>
              <w:t>Общество в соответствии с ч. 4 ст.51 Федерального закона «Об акционерных обществах» обеспечивает акционерам, владельцам не менее 1 % голосующих акций Общества, возможность ознакомления со списком лиц, имеющих право на участие в общем собрании акционеров.</w:t>
            </w:r>
          </w:p>
        </w:tc>
      </w:tr>
      <w:tr w:rsidR="0086454D" w:rsidRPr="004761E0" w:rsidTr="006B79B0">
        <w:trPr>
          <w:gridAfter w:val="1"/>
          <w:wAfter w:w="43" w:type="dxa"/>
          <w:trHeight w:val="1030"/>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28" w:type="dxa"/>
            <w:gridSpan w:val="2"/>
          </w:tcPr>
          <w:p w:rsidR="0086454D" w:rsidRPr="004761E0" w:rsidRDefault="0086454D" w:rsidP="00A26737">
            <w:pPr>
              <w:ind w:left="-57" w:right="-57" w:firstLine="0"/>
              <w:jc w:val="left"/>
              <w:rPr>
                <w:rStyle w:val="SUBST"/>
                <w:sz w:val="20"/>
                <w:szCs w:val="20"/>
              </w:rPr>
            </w:pPr>
            <w:r w:rsidRPr="004761E0">
              <w:rPr>
                <w:rStyle w:val="SUBST"/>
                <w:sz w:val="20"/>
                <w:szCs w:val="20"/>
              </w:rPr>
              <w:t>Наличие у акционеров возможности знакомиться с информацией (материалами), подлежащей предоставлению при подготовке к проведению общего собрания акционеров, посредством электронных средств связи, в т</w:t>
            </w:r>
            <w:r w:rsidR="00A26737" w:rsidRPr="004761E0">
              <w:rPr>
                <w:rStyle w:val="SUBST"/>
                <w:sz w:val="20"/>
                <w:szCs w:val="20"/>
              </w:rPr>
              <w:t>.ч.</w:t>
            </w:r>
            <w:r w:rsidRPr="004761E0">
              <w:rPr>
                <w:rStyle w:val="SUBST"/>
                <w:sz w:val="20"/>
                <w:szCs w:val="20"/>
              </w:rPr>
              <w:t xml:space="preserve"> посредством сети Интернет</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2C5A29">
            <w:pPr>
              <w:ind w:right="-57" w:firstLine="0"/>
              <w:rPr>
                <w:rStyle w:val="SUBST"/>
                <w:sz w:val="20"/>
                <w:szCs w:val="20"/>
              </w:rPr>
            </w:pPr>
            <w:r w:rsidRPr="004761E0">
              <w:rPr>
                <w:rStyle w:val="SUBST"/>
                <w:sz w:val="20"/>
                <w:szCs w:val="20"/>
              </w:rPr>
              <w:t xml:space="preserve">Предусмотрено Положением о порядке подготовки и проведения Общего собрания акционеров. </w:t>
            </w:r>
          </w:p>
          <w:p w:rsidR="0086454D" w:rsidRPr="004761E0" w:rsidRDefault="0086454D" w:rsidP="002C5A29">
            <w:pPr>
              <w:ind w:right="-57" w:firstLine="0"/>
              <w:rPr>
                <w:rStyle w:val="SUBST"/>
                <w:sz w:val="20"/>
                <w:szCs w:val="20"/>
              </w:rPr>
            </w:pPr>
            <w:r w:rsidRPr="004761E0">
              <w:rPr>
                <w:rStyle w:val="SUBST"/>
                <w:sz w:val="20"/>
                <w:szCs w:val="20"/>
              </w:rPr>
              <w:t xml:space="preserve">Веб-сайт Общества: </w:t>
            </w:r>
            <w:r w:rsidRPr="004761E0">
              <w:rPr>
                <w:sz w:val="20"/>
                <w:szCs w:val="20"/>
                <w:lang w:eastAsia="ru-RU"/>
              </w:rPr>
              <w:t>http://www.moesk.ru.</w:t>
            </w:r>
          </w:p>
        </w:tc>
      </w:tr>
      <w:tr w:rsidR="0086454D" w:rsidRPr="004761E0" w:rsidTr="006B79B0">
        <w:trPr>
          <w:gridAfter w:val="1"/>
          <w:wAfter w:w="43" w:type="dxa"/>
          <w:trHeight w:val="698"/>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28" w:type="dxa"/>
            <w:gridSpan w:val="2"/>
          </w:tcPr>
          <w:p w:rsidR="0086454D" w:rsidRPr="004761E0" w:rsidRDefault="0086454D" w:rsidP="002C5A29">
            <w:pPr>
              <w:ind w:left="-57" w:right="-57" w:firstLine="0"/>
              <w:jc w:val="left"/>
              <w:rPr>
                <w:rStyle w:val="SUBST"/>
                <w:sz w:val="20"/>
                <w:szCs w:val="20"/>
              </w:rPr>
            </w:pPr>
            <w:r w:rsidRPr="004761E0">
              <w:rPr>
                <w:rStyle w:val="SUBST"/>
                <w:sz w:val="20"/>
                <w:szCs w:val="20"/>
              </w:rPr>
              <w:t>Наличие у акционера возможности внести вопрос в повестку дня общего собрания акционеров или потребовать созыва общего собрания акционеров без предоставления выписки из реестра акционеров, если учет его прав на акции осуществляется в системе ведения реестра акционеров, а в случае, если его права на акции учитываются на счете депо, – достаточность выписки со счета депо для осуществления вышеуказанных прав</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 частично</w:t>
            </w:r>
          </w:p>
        </w:tc>
        <w:tc>
          <w:tcPr>
            <w:tcW w:w="6555" w:type="dxa"/>
            <w:gridSpan w:val="2"/>
          </w:tcPr>
          <w:p w:rsidR="0086454D" w:rsidRPr="004761E0" w:rsidRDefault="0086454D" w:rsidP="006B79B0">
            <w:pPr>
              <w:autoSpaceDE w:val="0"/>
              <w:autoSpaceDN w:val="0"/>
              <w:adjustRightInd w:val="0"/>
              <w:ind w:firstLine="0"/>
              <w:rPr>
                <w:rStyle w:val="SUBST"/>
                <w:sz w:val="20"/>
                <w:szCs w:val="20"/>
                <w:lang w:eastAsia="ru-RU"/>
              </w:rPr>
            </w:pPr>
            <w:r w:rsidRPr="004761E0">
              <w:rPr>
                <w:sz w:val="20"/>
                <w:szCs w:val="20"/>
              </w:rPr>
              <w:t>П. 6.2. с</w:t>
            </w:r>
            <w:r w:rsidR="000C553D">
              <w:rPr>
                <w:sz w:val="20"/>
                <w:szCs w:val="20"/>
              </w:rPr>
              <w:t>т. 6 Устава предусмотрено, что а</w:t>
            </w:r>
            <w:r w:rsidRPr="004761E0">
              <w:rPr>
                <w:sz w:val="20"/>
                <w:szCs w:val="20"/>
              </w:rPr>
              <w:t xml:space="preserve">кционер-владелец обыкновенных именных акций Общества вправе </w:t>
            </w:r>
            <w:r w:rsidRPr="004761E0">
              <w:rPr>
                <w:sz w:val="20"/>
                <w:szCs w:val="20"/>
                <w:lang w:eastAsia="ru-RU"/>
              </w:rPr>
              <w:t xml:space="preserve">вносить предложения в повестку дня общего собрания в порядке, предусмотренном законодательством </w:t>
            </w:r>
            <w:r w:rsidR="006B79B0" w:rsidRPr="004761E0">
              <w:rPr>
                <w:sz w:val="20"/>
                <w:szCs w:val="20"/>
                <w:lang w:eastAsia="ru-RU"/>
              </w:rPr>
              <w:t>РФ</w:t>
            </w:r>
            <w:r w:rsidRPr="004761E0">
              <w:rPr>
                <w:sz w:val="20"/>
                <w:szCs w:val="20"/>
                <w:lang w:eastAsia="ru-RU"/>
              </w:rPr>
              <w:t xml:space="preserve"> и Уставом</w:t>
            </w:r>
            <w:r w:rsidRPr="004761E0">
              <w:rPr>
                <w:sz w:val="20"/>
                <w:szCs w:val="20"/>
              </w:rPr>
              <w:t xml:space="preserve">, п. 14.2. ст. 14 Устава предусмотрено, что </w:t>
            </w:r>
            <w:r w:rsidRPr="004761E0">
              <w:rPr>
                <w:sz w:val="20"/>
                <w:szCs w:val="20"/>
                <w:lang w:eastAsia="ru-RU"/>
              </w:rPr>
              <w:t>внеочередное Общее собрание акционеров проводится по решению Совета директоров на основании требования акционера (акционеров), являющегося владельцем не менее чем 10</w:t>
            </w:r>
            <w:r w:rsidR="006B79B0" w:rsidRPr="004761E0">
              <w:rPr>
                <w:sz w:val="20"/>
                <w:szCs w:val="20"/>
                <w:lang w:eastAsia="ru-RU"/>
              </w:rPr>
              <w:t> %</w:t>
            </w:r>
            <w:r w:rsidRPr="004761E0">
              <w:rPr>
                <w:sz w:val="20"/>
                <w:szCs w:val="20"/>
                <w:lang w:eastAsia="ru-RU"/>
              </w:rPr>
              <w:t xml:space="preserve"> голосующих акций Общества на дату предъявления требования</w:t>
            </w:r>
            <w:r w:rsidRPr="004761E0">
              <w:rPr>
                <w:sz w:val="20"/>
                <w:szCs w:val="20"/>
              </w:rPr>
              <w:t>.</w:t>
            </w:r>
          </w:p>
        </w:tc>
      </w:tr>
      <w:tr w:rsidR="0086454D" w:rsidRPr="004761E0" w:rsidTr="006B79B0">
        <w:trPr>
          <w:gridAfter w:val="1"/>
          <w:wAfter w:w="43" w:type="dxa"/>
          <w:trHeight w:val="711"/>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28" w:type="dxa"/>
            <w:gridSpan w:val="2"/>
          </w:tcPr>
          <w:p w:rsidR="0086454D" w:rsidRPr="004761E0" w:rsidRDefault="0086454D" w:rsidP="002C5A29">
            <w:pPr>
              <w:ind w:left="-57" w:right="-57" w:firstLine="0"/>
              <w:jc w:val="left"/>
              <w:rPr>
                <w:rStyle w:val="SUBST"/>
                <w:sz w:val="20"/>
                <w:szCs w:val="20"/>
              </w:rPr>
            </w:pPr>
            <w:r w:rsidRPr="004761E0">
              <w:rPr>
                <w:rStyle w:val="SUBST"/>
                <w:sz w:val="20"/>
                <w:szCs w:val="20"/>
              </w:rPr>
              <w:t>Наличие в уставе или внутренних документах акционерного общества требования об обязательном присутствии на общем собрании акционеров генерального директора, членов правления, членов совета директоров, членов ревизионной комиссии и аудитора акционерного общества</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2C5A29">
            <w:pPr>
              <w:autoSpaceDE w:val="0"/>
              <w:autoSpaceDN w:val="0"/>
              <w:adjustRightInd w:val="0"/>
              <w:ind w:firstLine="0"/>
              <w:rPr>
                <w:sz w:val="20"/>
                <w:szCs w:val="20"/>
              </w:rPr>
            </w:pPr>
            <w:r w:rsidRPr="004761E0">
              <w:rPr>
                <w:sz w:val="20"/>
                <w:szCs w:val="20"/>
              </w:rPr>
              <w:t>В соответствии с п. 5.3.2. Кодекса корпоративного управления Общество обеспечивает присутствие на Общем собрании акционеров членов Совета директоров, исполнительных органов, ревизионной комиссии, аудитора и уполномочивает их отвечать на вопросы акционеров.</w:t>
            </w:r>
          </w:p>
          <w:p w:rsidR="0086454D" w:rsidRPr="004761E0" w:rsidRDefault="0086454D" w:rsidP="002C5A29">
            <w:pPr>
              <w:ind w:right="-57" w:firstLine="0"/>
              <w:rPr>
                <w:sz w:val="20"/>
                <w:szCs w:val="20"/>
              </w:rPr>
            </w:pPr>
            <w:r w:rsidRPr="004761E0">
              <w:rPr>
                <w:sz w:val="20"/>
                <w:szCs w:val="20"/>
              </w:rPr>
              <w:t xml:space="preserve">В Уставе и внутренних документах отсутствуют положения, предусматривающие обязательность их присутствия на Общем собрании акционеров, </w:t>
            </w:r>
            <w:r w:rsidR="000C553D">
              <w:rPr>
                <w:sz w:val="20"/>
                <w:szCs w:val="20"/>
              </w:rPr>
              <w:t>однако по сложившейся практике г</w:t>
            </w:r>
            <w:r w:rsidRPr="004761E0">
              <w:rPr>
                <w:sz w:val="20"/>
                <w:szCs w:val="20"/>
              </w:rPr>
              <w:t>енеральный директор Общества, Председатель Совета директоров и члены Совета директоров присутствуют на проводимых Общих собраниях акционеров.</w:t>
            </w:r>
          </w:p>
          <w:p w:rsidR="0086454D" w:rsidRPr="004761E0" w:rsidRDefault="0086454D" w:rsidP="002C5A29">
            <w:pPr>
              <w:ind w:right="-57" w:firstLine="0"/>
              <w:rPr>
                <w:sz w:val="20"/>
                <w:szCs w:val="20"/>
              </w:rPr>
            </w:pPr>
            <w:r w:rsidRPr="004761E0">
              <w:rPr>
                <w:sz w:val="20"/>
                <w:szCs w:val="20"/>
              </w:rPr>
              <w:t>В соответствии с п. 10.10 ст. 10 Устава функции Председательствующего на Общем собрании акционеров осуществляет Председатель Совета директоров.</w:t>
            </w:r>
          </w:p>
          <w:p w:rsidR="0086454D" w:rsidRPr="004761E0" w:rsidRDefault="0086454D" w:rsidP="0014598E">
            <w:pPr>
              <w:ind w:right="-57" w:firstLine="0"/>
            </w:pPr>
            <w:r w:rsidRPr="004761E0">
              <w:rPr>
                <w:sz w:val="20"/>
                <w:szCs w:val="20"/>
              </w:rPr>
              <w:t>В случае отсутствия Председателя Совета директоров и его заместителя функции Председательствующего на Общем собрании акционеров может осуществлять любой член Совета директоров по решению Совета директоров или по решению присутствующих на Общем собрании акционеров членов Совета директоров.</w:t>
            </w:r>
          </w:p>
        </w:tc>
      </w:tr>
      <w:tr w:rsidR="0086454D" w:rsidRPr="004761E0" w:rsidTr="006B79B0">
        <w:trPr>
          <w:gridAfter w:val="1"/>
          <w:wAfter w:w="43" w:type="dxa"/>
          <w:trHeight w:val="1150"/>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28" w:type="dxa"/>
            <w:gridSpan w:val="2"/>
          </w:tcPr>
          <w:p w:rsidR="0086454D" w:rsidRPr="004761E0" w:rsidRDefault="0086454D" w:rsidP="002C5A29">
            <w:pPr>
              <w:ind w:left="-57" w:right="-57" w:firstLine="0"/>
              <w:jc w:val="left"/>
              <w:rPr>
                <w:rStyle w:val="SUBST"/>
                <w:sz w:val="20"/>
                <w:szCs w:val="20"/>
              </w:rPr>
            </w:pPr>
            <w:r w:rsidRPr="004761E0">
              <w:rPr>
                <w:rStyle w:val="SUBST"/>
                <w:sz w:val="20"/>
                <w:szCs w:val="20"/>
              </w:rPr>
              <w:t xml:space="preserve">Обязательное присутствие кандидатов при рассмотрении на общем собрании акционеров вопросов об избрании членов совета директоров, генерального директора, членов правления, членов ревизионной комиссии, а также вопроса об утверждении аудитора акционерного общества </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 частично</w:t>
            </w:r>
          </w:p>
        </w:tc>
        <w:tc>
          <w:tcPr>
            <w:tcW w:w="6555" w:type="dxa"/>
            <w:gridSpan w:val="2"/>
          </w:tcPr>
          <w:p w:rsidR="0086454D" w:rsidRPr="004761E0" w:rsidRDefault="0086454D" w:rsidP="002C5A29">
            <w:pPr>
              <w:autoSpaceDE w:val="0"/>
              <w:autoSpaceDN w:val="0"/>
              <w:ind w:right="-57" w:firstLine="0"/>
              <w:rPr>
                <w:sz w:val="20"/>
                <w:szCs w:val="20"/>
                <w:lang w:eastAsia="ru-RU"/>
              </w:rPr>
            </w:pPr>
            <w:r w:rsidRPr="004761E0">
              <w:rPr>
                <w:sz w:val="20"/>
                <w:szCs w:val="20"/>
                <w:lang w:eastAsia="ru-RU"/>
              </w:rPr>
              <w:t xml:space="preserve">Законодательством РФ не установлено требование об обязательном присутствии на общем собрании акционеров указанных кандидатов. </w:t>
            </w:r>
          </w:p>
          <w:p w:rsidR="0086454D" w:rsidRPr="004761E0" w:rsidRDefault="0086454D" w:rsidP="000C553D">
            <w:pPr>
              <w:ind w:right="-57" w:firstLine="0"/>
              <w:rPr>
                <w:rStyle w:val="SUBST"/>
                <w:color w:val="0000FF"/>
                <w:sz w:val="20"/>
                <w:szCs w:val="20"/>
              </w:rPr>
            </w:pPr>
            <w:r w:rsidRPr="004761E0">
              <w:rPr>
                <w:sz w:val="20"/>
                <w:szCs w:val="20"/>
              </w:rPr>
              <w:t xml:space="preserve">На практике, при рассмотрении на Общем собрании акционеров вопросов об избрании членов Совета директоров, </w:t>
            </w:r>
            <w:r w:rsidR="000C553D">
              <w:rPr>
                <w:sz w:val="20"/>
                <w:szCs w:val="20"/>
              </w:rPr>
              <w:t>г</w:t>
            </w:r>
            <w:r w:rsidRPr="004761E0">
              <w:rPr>
                <w:sz w:val="20"/>
                <w:szCs w:val="20"/>
              </w:rPr>
              <w:t>енерального директора, членов Правления, Ревизионной комиссии, кандидатам рассылаются приглашения на Общее собрание акционеров.</w:t>
            </w:r>
          </w:p>
        </w:tc>
      </w:tr>
      <w:tr w:rsidR="0086454D" w:rsidRPr="004761E0" w:rsidTr="006B79B0">
        <w:trPr>
          <w:gridAfter w:val="1"/>
          <w:wAfter w:w="43" w:type="dxa"/>
          <w:trHeight w:val="404"/>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28" w:type="dxa"/>
            <w:gridSpan w:val="2"/>
          </w:tcPr>
          <w:p w:rsidR="0086454D" w:rsidRPr="004761E0" w:rsidRDefault="0086454D" w:rsidP="002C5A29">
            <w:pPr>
              <w:ind w:left="-57" w:right="-57" w:firstLine="0"/>
              <w:jc w:val="left"/>
              <w:rPr>
                <w:rStyle w:val="SUBST"/>
                <w:sz w:val="20"/>
                <w:szCs w:val="20"/>
              </w:rPr>
            </w:pPr>
            <w:r w:rsidRPr="004761E0">
              <w:rPr>
                <w:rStyle w:val="SUBST"/>
                <w:sz w:val="20"/>
                <w:szCs w:val="20"/>
              </w:rPr>
              <w:t>Наличие во внутренних документах акционерного общества процедуры регистрации участников общего собрания акционеров</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2C5A29">
            <w:pPr>
              <w:ind w:right="-57" w:firstLine="0"/>
              <w:rPr>
                <w:rStyle w:val="SUBST"/>
                <w:sz w:val="20"/>
                <w:szCs w:val="20"/>
              </w:rPr>
            </w:pPr>
            <w:r w:rsidRPr="004761E0">
              <w:rPr>
                <w:rStyle w:val="SUBST"/>
                <w:sz w:val="20"/>
                <w:szCs w:val="20"/>
              </w:rPr>
              <w:t>П. 5.1. Положения о порядке подготовки и проведения Общего собрания акционеров.</w:t>
            </w:r>
          </w:p>
        </w:tc>
      </w:tr>
      <w:tr w:rsidR="0086454D" w:rsidRPr="004761E0" w:rsidTr="006B79B0">
        <w:trPr>
          <w:trHeight w:val="475"/>
        </w:trPr>
        <w:tc>
          <w:tcPr>
            <w:tcW w:w="16019" w:type="dxa"/>
            <w:gridSpan w:val="8"/>
            <w:shd w:val="clear" w:color="auto" w:fill="BFBFBF" w:themeFill="background1" w:themeFillShade="BF"/>
            <w:vAlign w:val="center"/>
          </w:tcPr>
          <w:p w:rsidR="0086454D" w:rsidRPr="004761E0" w:rsidRDefault="0086454D" w:rsidP="002C5A29">
            <w:pPr>
              <w:ind w:right="-57" w:firstLine="0"/>
              <w:jc w:val="center"/>
              <w:rPr>
                <w:rStyle w:val="SUBST"/>
                <w:b/>
                <w:sz w:val="20"/>
                <w:szCs w:val="20"/>
              </w:rPr>
            </w:pPr>
            <w:r w:rsidRPr="004761E0">
              <w:rPr>
                <w:rStyle w:val="SUBST"/>
                <w:b/>
                <w:sz w:val="20"/>
                <w:szCs w:val="20"/>
              </w:rPr>
              <w:t>СОВЕТ ДИРЕКТОРОВ</w:t>
            </w:r>
          </w:p>
        </w:tc>
      </w:tr>
      <w:tr w:rsidR="0086454D" w:rsidRPr="004761E0" w:rsidTr="006B79B0">
        <w:trPr>
          <w:trHeight w:val="265"/>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6B79B0">
            <w:pPr>
              <w:ind w:left="34" w:right="-57" w:firstLine="0"/>
              <w:jc w:val="left"/>
              <w:rPr>
                <w:rStyle w:val="SUBST"/>
                <w:sz w:val="20"/>
                <w:szCs w:val="20"/>
              </w:rPr>
            </w:pPr>
            <w:r w:rsidRPr="004761E0">
              <w:rPr>
                <w:rStyle w:val="SUBST"/>
                <w:sz w:val="20"/>
                <w:szCs w:val="20"/>
              </w:rPr>
              <w:t>Наличие в уставе акционерного общества полномочия совета директоров по ежегодному утверждению финансово-хозяйственного плана акционерного общества</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14598E">
            <w:pPr>
              <w:autoSpaceDE w:val="0"/>
              <w:autoSpaceDN w:val="0"/>
              <w:adjustRightInd w:val="0"/>
              <w:ind w:firstLine="0"/>
              <w:rPr>
                <w:rStyle w:val="SUBST"/>
                <w:sz w:val="20"/>
                <w:szCs w:val="20"/>
                <w:lang w:eastAsia="ru-RU"/>
              </w:rPr>
            </w:pPr>
            <w:r w:rsidRPr="004761E0">
              <w:rPr>
                <w:rStyle w:val="SUBST"/>
                <w:sz w:val="20"/>
                <w:szCs w:val="20"/>
              </w:rPr>
              <w:t xml:space="preserve">Пп. 18 п. 15.1 ст. 15 Устава предусмотрено </w:t>
            </w:r>
            <w:r w:rsidRPr="004761E0">
              <w:rPr>
                <w:sz w:val="20"/>
                <w:szCs w:val="20"/>
                <w:lang w:eastAsia="ru-RU"/>
              </w:rPr>
              <w:t>утверждение бизнес-плана (скорректированного бизнес-плана), включающего инвестиционную программу, а также утверждение (корректировка) перечня и значений контрольных показателей движения потоков наличности Общества</w:t>
            </w:r>
            <w:r w:rsidR="000C553D">
              <w:rPr>
                <w:sz w:val="20"/>
                <w:szCs w:val="20"/>
                <w:lang w:eastAsia="ru-RU"/>
              </w:rPr>
              <w:t>.</w:t>
            </w:r>
          </w:p>
        </w:tc>
      </w:tr>
      <w:tr w:rsidR="0086454D" w:rsidRPr="004761E0" w:rsidTr="006B79B0">
        <w:trPr>
          <w:trHeight w:val="173"/>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6B79B0">
            <w:pPr>
              <w:ind w:left="34" w:right="-57" w:firstLine="0"/>
              <w:jc w:val="left"/>
              <w:rPr>
                <w:rStyle w:val="SUBST"/>
                <w:sz w:val="20"/>
                <w:szCs w:val="20"/>
              </w:rPr>
            </w:pPr>
            <w:r w:rsidRPr="004761E0">
              <w:rPr>
                <w:rStyle w:val="SUBST"/>
                <w:sz w:val="20"/>
                <w:szCs w:val="20"/>
              </w:rPr>
              <w:t xml:space="preserve">Наличие утвержденной советом директоров процедуры управления рисками в акционерном обществе </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14598E" w:rsidP="0014598E">
            <w:pPr>
              <w:ind w:right="-57" w:firstLine="0"/>
              <w:rPr>
                <w:rStyle w:val="SUBST"/>
                <w:sz w:val="20"/>
                <w:szCs w:val="20"/>
              </w:rPr>
            </w:pPr>
            <w:r w:rsidRPr="004761E0">
              <w:rPr>
                <w:rStyle w:val="SUBST"/>
                <w:sz w:val="20"/>
                <w:szCs w:val="20"/>
              </w:rPr>
              <w:t xml:space="preserve">Политика управления рисками </w:t>
            </w:r>
            <w:r w:rsidR="0086454D" w:rsidRPr="004761E0">
              <w:rPr>
                <w:rStyle w:val="SUBST"/>
                <w:sz w:val="20"/>
                <w:szCs w:val="20"/>
              </w:rPr>
              <w:t>утверждена решением Совета директоров 10.06.2010 (</w:t>
            </w:r>
            <w:r w:rsidRPr="004761E0">
              <w:rPr>
                <w:rStyle w:val="SUBST"/>
                <w:sz w:val="20"/>
                <w:szCs w:val="20"/>
              </w:rPr>
              <w:t>п</w:t>
            </w:r>
            <w:r w:rsidR="0086454D" w:rsidRPr="004761E0">
              <w:rPr>
                <w:rStyle w:val="SUBST"/>
                <w:sz w:val="20"/>
                <w:szCs w:val="20"/>
              </w:rPr>
              <w:t>ротокол от 11.06.2010 № 110).</w:t>
            </w:r>
          </w:p>
        </w:tc>
      </w:tr>
      <w:tr w:rsidR="0086454D" w:rsidRPr="004761E0" w:rsidTr="006B79B0">
        <w:trPr>
          <w:trHeight w:val="70"/>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6B79B0">
            <w:pPr>
              <w:ind w:left="34" w:right="-57" w:firstLine="0"/>
              <w:jc w:val="left"/>
              <w:rPr>
                <w:rStyle w:val="SUBST"/>
                <w:sz w:val="20"/>
                <w:szCs w:val="20"/>
              </w:rPr>
            </w:pPr>
            <w:r w:rsidRPr="004761E0">
              <w:rPr>
                <w:rStyle w:val="SUBST"/>
                <w:sz w:val="20"/>
                <w:szCs w:val="20"/>
              </w:rPr>
              <w:t>Наличие в уставе акционерного общества права совета директоров принять решение о приостановлении полномочий генерального директора, назначаемого общим собранием акционеров</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14598E">
            <w:pPr>
              <w:ind w:right="-57" w:firstLine="0"/>
              <w:rPr>
                <w:rStyle w:val="SUBST"/>
                <w:sz w:val="20"/>
                <w:szCs w:val="20"/>
              </w:rPr>
            </w:pPr>
            <w:r w:rsidRPr="004761E0">
              <w:rPr>
                <w:rStyle w:val="SUBST"/>
                <w:sz w:val="20"/>
                <w:szCs w:val="20"/>
              </w:rPr>
              <w:t>Пп. 31 п. 15.1 ст. 15 Устава предусматривает возможность приостановления</w:t>
            </w:r>
            <w:r w:rsidR="000C553D">
              <w:rPr>
                <w:rStyle w:val="SUBST"/>
                <w:sz w:val="20"/>
                <w:szCs w:val="20"/>
              </w:rPr>
              <w:t xml:space="preserve"> Советом директоров полномочий у</w:t>
            </w:r>
            <w:r w:rsidRPr="004761E0">
              <w:rPr>
                <w:rStyle w:val="SUBST"/>
                <w:sz w:val="20"/>
                <w:szCs w:val="20"/>
              </w:rPr>
              <w:t>правляющей организации (управляющего)</w:t>
            </w:r>
          </w:p>
        </w:tc>
      </w:tr>
      <w:tr w:rsidR="0086454D" w:rsidRPr="004761E0" w:rsidTr="006B79B0">
        <w:trPr>
          <w:trHeight w:val="1028"/>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6B79B0">
            <w:pPr>
              <w:ind w:left="34" w:right="-57" w:firstLine="0"/>
              <w:jc w:val="left"/>
              <w:rPr>
                <w:rStyle w:val="SUBST"/>
                <w:sz w:val="20"/>
                <w:szCs w:val="20"/>
              </w:rPr>
            </w:pPr>
            <w:r w:rsidRPr="004761E0">
              <w:rPr>
                <w:rStyle w:val="SUBST"/>
                <w:sz w:val="20"/>
                <w:szCs w:val="20"/>
              </w:rPr>
              <w:t>Наличие в уставе акционерного общества права совета директоров устанавливать требования к квалификации и размеру вознаграждения генерального директора, членов правления, руководителей основных структурных подразделений акционерного общества</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 xml:space="preserve">Соблюдается </w:t>
            </w:r>
          </w:p>
        </w:tc>
        <w:tc>
          <w:tcPr>
            <w:tcW w:w="6555" w:type="dxa"/>
            <w:gridSpan w:val="2"/>
          </w:tcPr>
          <w:p w:rsidR="0086454D" w:rsidRPr="004761E0" w:rsidRDefault="0086454D" w:rsidP="002C5A29">
            <w:pPr>
              <w:ind w:right="-57" w:firstLine="0"/>
              <w:rPr>
                <w:sz w:val="20"/>
                <w:szCs w:val="20"/>
              </w:rPr>
            </w:pPr>
            <w:r w:rsidRPr="004761E0">
              <w:rPr>
                <w:sz w:val="20"/>
                <w:szCs w:val="20"/>
              </w:rPr>
              <w:t>Согласно  п. 15.1. ст.</w:t>
            </w:r>
            <w:r w:rsidR="000C553D">
              <w:rPr>
                <w:sz w:val="20"/>
                <w:szCs w:val="20"/>
              </w:rPr>
              <w:t xml:space="preserve"> </w:t>
            </w:r>
            <w:r w:rsidRPr="004761E0">
              <w:rPr>
                <w:sz w:val="20"/>
                <w:szCs w:val="20"/>
              </w:rPr>
              <w:t>15 Устава к компетенции Совета директоров в т</w:t>
            </w:r>
            <w:r w:rsidR="00A26737" w:rsidRPr="004761E0">
              <w:rPr>
                <w:sz w:val="20"/>
                <w:szCs w:val="20"/>
              </w:rPr>
              <w:t>.ч.</w:t>
            </w:r>
            <w:r w:rsidRPr="004761E0">
              <w:rPr>
                <w:sz w:val="20"/>
                <w:szCs w:val="20"/>
              </w:rPr>
              <w:t xml:space="preserve"> относится:</w:t>
            </w:r>
          </w:p>
          <w:p w:rsidR="0086454D" w:rsidRPr="004761E0" w:rsidRDefault="0086454D" w:rsidP="007076A7">
            <w:pPr>
              <w:pStyle w:val="a5"/>
              <w:numPr>
                <w:ilvl w:val="0"/>
                <w:numId w:val="279"/>
              </w:numPr>
              <w:ind w:left="351" w:right="-57" w:hanging="283"/>
              <w:rPr>
                <w:sz w:val="20"/>
                <w:szCs w:val="20"/>
              </w:rPr>
            </w:pPr>
            <w:r w:rsidRPr="004761E0">
              <w:rPr>
                <w:sz w:val="20"/>
                <w:szCs w:val="20"/>
              </w:rPr>
              <w:t>определение количественного состава Правления, избрание членов Правления, установление выплачиваемых им вознаграждений и компенсации, досрочное прекращение их полномочий.</w:t>
            </w:r>
          </w:p>
          <w:p w:rsidR="0086454D" w:rsidRPr="004761E0" w:rsidRDefault="0086454D" w:rsidP="007076A7">
            <w:pPr>
              <w:pStyle w:val="a5"/>
              <w:numPr>
                <w:ilvl w:val="0"/>
                <w:numId w:val="279"/>
              </w:numPr>
              <w:ind w:left="351" w:right="-57" w:hanging="283"/>
              <w:rPr>
                <w:sz w:val="20"/>
                <w:szCs w:val="20"/>
              </w:rPr>
            </w:pPr>
            <w:r w:rsidRPr="004761E0">
              <w:rPr>
                <w:sz w:val="20"/>
                <w:szCs w:val="20"/>
              </w:rPr>
              <w:t>принятие решения о назначении исполняющего обязанности генерального директора в случаях, определяемых отдельными решениями Совета директоров, а также привлечение его к дисциплинарной ответственности;</w:t>
            </w:r>
          </w:p>
          <w:p w:rsidR="0086454D" w:rsidRPr="004761E0" w:rsidRDefault="0086454D" w:rsidP="007076A7">
            <w:pPr>
              <w:pStyle w:val="a5"/>
              <w:numPr>
                <w:ilvl w:val="0"/>
                <w:numId w:val="279"/>
              </w:numPr>
              <w:ind w:left="351" w:right="-57" w:hanging="283"/>
              <w:rPr>
                <w:sz w:val="20"/>
                <w:szCs w:val="20"/>
              </w:rPr>
            </w:pPr>
            <w:r w:rsidRPr="004761E0">
              <w:rPr>
                <w:sz w:val="20"/>
                <w:szCs w:val="20"/>
              </w:rPr>
              <w:t>привлечение к дисциплинарной ответственности генерального директора и членов Правления и их поощрение в соответствии с трудовым законодательством РФ;</w:t>
            </w:r>
          </w:p>
          <w:p w:rsidR="0086454D" w:rsidRPr="004761E0" w:rsidRDefault="0086454D" w:rsidP="007076A7">
            <w:pPr>
              <w:pStyle w:val="a5"/>
              <w:numPr>
                <w:ilvl w:val="0"/>
                <w:numId w:val="279"/>
              </w:numPr>
              <w:ind w:left="351" w:right="-57" w:hanging="283"/>
              <w:rPr>
                <w:sz w:val="20"/>
                <w:szCs w:val="20"/>
              </w:rPr>
            </w:pPr>
            <w:r w:rsidRPr="004761E0">
              <w:rPr>
                <w:sz w:val="20"/>
                <w:szCs w:val="20"/>
              </w:rPr>
              <w:t>утверждение положения о материальном стимулировании генерального директора, положения о материальном стимулировании высших менеджеров; утверждение перечня высших менеджеров;</w:t>
            </w:r>
          </w:p>
          <w:p w:rsidR="0086454D" w:rsidRPr="004761E0" w:rsidRDefault="0086454D" w:rsidP="007076A7">
            <w:pPr>
              <w:pStyle w:val="a5"/>
              <w:numPr>
                <w:ilvl w:val="0"/>
                <w:numId w:val="279"/>
              </w:numPr>
              <w:ind w:left="351" w:right="-57" w:hanging="283"/>
              <w:rPr>
                <w:sz w:val="20"/>
                <w:szCs w:val="20"/>
              </w:rPr>
            </w:pPr>
            <w:r w:rsidRPr="004761E0">
              <w:rPr>
                <w:sz w:val="20"/>
                <w:szCs w:val="20"/>
              </w:rPr>
              <w:t>согласование кандидатур на отдельные должности исполнительного аппарата Общества, определяемые Советом директоров.</w:t>
            </w:r>
          </w:p>
          <w:p w:rsidR="0086454D" w:rsidRPr="004761E0" w:rsidRDefault="0086454D" w:rsidP="0014598E">
            <w:pPr>
              <w:ind w:right="-57" w:firstLine="0"/>
              <w:rPr>
                <w:rStyle w:val="SUBST"/>
                <w:sz w:val="20"/>
                <w:szCs w:val="20"/>
              </w:rPr>
            </w:pPr>
            <w:r w:rsidRPr="004761E0">
              <w:rPr>
                <w:sz w:val="20"/>
                <w:szCs w:val="20"/>
              </w:rPr>
              <w:t>Кроме того, согласно п.</w:t>
            </w:r>
            <w:r w:rsidR="000C553D">
              <w:rPr>
                <w:sz w:val="20"/>
                <w:szCs w:val="20"/>
              </w:rPr>
              <w:t> </w:t>
            </w:r>
            <w:r w:rsidRPr="004761E0">
              <w:rPr>
                <w:sz w:val="20"/>
                <w:szCs w:val="20"/>
              </w:rPr>
              <w:t>21.4 ст.</w:t>
            </w:r>
            <w:r w:rsidR="000C553D">
              <w:rPr>
                <w:sz w:val="20"/>
                <w:szCs w:val="20"/>
              </w:rPr>
              <w:t> </w:t>
            </w:r>
            <w:r w:rsidRPr="004761E0">
              <w:rPr>
                <w:sz w:val="20"/>
                <w:szCs w:val="20"/>
              </w:rPr>
              <w:t>21 Устава образование исполнительных органов и досрочное прекращение их полномочий осуществляется по решению Совета директоров, за исключением случаев, предусмотренных федеральным законодательством и Уставом. Совет директоров вправе в любое время принять решение о прекращении полномочий генерального директора и членов Правления и об образовании новых исполнительных органов (п. 21.8 ст. 21 Устава).</w:t>
            </w:r>
            <w:r w:rsidRPr="004761E0">
              <w:rPr>
                <w:rStyle w:val="SUBST"/>
                <w:sz w:val="20"/>
                <w:szCs w:val="20"/>
              </w:rPr>
              <w:t xml:space="preserve"> </w:t>
            </w:r>
          </w:p>
        </w:tc>
      </w:tr>
      <w:tr w:rsidR="0086454D" w:rsidRPr="004761E0" w:rsidTr="006B79B0">
        <w:trPr>
          <w:trHeight w:val="257"/>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6B79B0">
            <w:pPr>
              <w:ind w:left="34" w:right="-57" w:firstLine="0"/>
              <w:jc w:val="left"/>
              <w:rPr>
                <w:rStyle w:val="SUBST"/>
                <w:sz w:val="20"/>
                <w:szCs w:val="20"/>
              </w:rPr>
            </w:pPr>
            <w:r w:rsidRPr="004761E0">
              <w:rPr>
                <w:rStyle w:val="SUBST"/>
                <w:sz w:val="20"/>
                <w:szCs w:val="20"/>
              </w:rPr>
              <w:t>Наличие в уставе акционерного общества права совета директоров утверждать условия договоров с генеральным директором и членами правления</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14598E">
            <w:pPr>
              <w:autoSpaceDE w:val="0"/>
              <w:autoSpaceDN w:val="0"/>
              <w:adjustRightInd w:val="0"/>
              <w:ind w:firstLine="0"/>
              <w:rPr>
                <w:rStyle w:val="SUBST"/>
                <w:sz w:val="20"/>
                <w:szCs w:val="20"/>
                <w:lang w:eastAsia="ru-RU"/>
              </w:rPr>
            </w:pPr>
            <w:r w:rsidRPr="004761E0">
              <w:rPr>
                <w:rStyle w:val="SUBST"/>
                <w:sz w:val="20"/>
                <w:szCs w:val="20"/>
              </w:rPr>
              <w:t>п. 21.6 ст. 2</w:t>
            </w:r>
            <w:r w:rsidR="000C553D">
              <w:rPr>
                <w:rStyle w:val="SUBST"/>
                <w:sz w:val="20"/>
                <w:szCs w:val="20"/>
              </w:rPr>
              <w:t>1 условия трудового договора с г</w:t>
            </w:r>
            <w:r w:rsidRPr="004761E0">
              <w:rPr>
                <w:rStyle w:val="SUBST"/>
                <w:sz w:val="20"/>
                <w:szCs w:val="20"/>
              </w:rPr>
              <w:t>енеральным директором и членами Правления, в т</w:t>
            </w:r>
            <w:r w:rsidR="00A26737" w:rsidRPr="004761E0">
              <w:rPr>
                <w:rStyle w:val="SUBST"/>
                <w:sz w:val="20"/>
                <w:szCs w:val="20"/>
              </w:rPr>
              <w:t>.ч.</w:t>
            </w:r>
            <w:r w:rsidRPr="004761E0">
              <w:rPr>
                <w:rStyle w:val="SUBST"/>
                <w:sz w:val="20"/>
                <w:szCs w:val="20"/>
              </w:rPr>
              <w:t xml:space="preserve"> в части срока полномочий, </w:t>
            </w:r>
            <w:r w:rsidR="0014598E" w:rsidRPr="004761E0">
              <w:rPr>
                <w:rStyle w:val="SUBST"/>
                <w:sz w:val="20"/>
                <w:szCs w:val="20"/>
              </w:rPr>
              <w:t>определяются Советом директоров</w:t>
            </w:r>
            <w:r w:rsidRPr="004761E0">
              <w:rPr>
                <w:rStyle w:val="SUBST"/>
                <w:sz w:val="20"/>
                <w:szCs w:val="20"/>
              </w:rPr>
              <w:t>.</w:t>
            </w:r>
          </w:p>
        </w:tc>
      </w:tr>
      <w:tr w:rsidR="0086454D" w:rsidRPr="004761E0" w:rsidTr="006B79B0">
        <w:trPr>
          <w:trHeight w:val="1150"/>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6B79B0">
            <w:pPr>
              <w:ind w:left="34" w:right="-57" w:firstLine="0"/>
              <w:jc w:val="left"/>
              <w:rPr>
                <w:rStyle w:val="SUBST"/>
                <w:sz w:val="20"/>
                <w:szCs w:val="20"/>
              </w:rPr>
            </w:pPr>
            <w:r w:rsidRPr="004761E0">
              <w:rPr>
                <w:rStyle w:val="SUBST"/>
                <w:sz w:val="20"/>
                <w:szCs w:val="20"/>
              </w:rPr>
              <w:t>Наличие в уставе или внутренних документах акционерного общества требования о том, что при утверждении условий договоров с генеральным директором (управляющей организацией, управляющим) и членами правления голоса членов совета директоров, являющихся генеральным директором и членами правления, при подсчете голосов не учитываются</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Не соблюдается</w:t>
            </w:r>
          </w:p>
        </w:tc>
        <w:tc>
          <w:tcPr>
            <w:tcW w:w="6555" w:type="dxa"/>
            <w:gridSpan w:val="2"/>
          </w:tcPr>
          <w:p w:rsidR="0086454D" w:rsidRPr="004761E0" w:rsidRDefault="0086454D" w:rsidP="0014598E">
            <w:pPr>
              <w:ind w:left="-57" w:firstLine="0"/>
              <w:jc w:val="left"/>
              <w:rPr>
                <w:rStyle w:val="SUBST"/>
                <w:sz w:val="20"/>
                <w:szCs w:val="20"/>
              </w:rPr>
            </w:pPr>
            <w:r w:rsidRPr="004761E0">
              <w:rPr>
                <w:sz w:val="20"/>
                <w:szCs w:val="20"/>
              </w:rPr>
              <w:t xml:space="preserve">Требование в Уставе и внутренних документах отсутствует. </w:t>
            </w:r>
          </w:p>
        </w:tc>
      </w:tr>
      <w:tr w:rsidR="0086454D" w:rsidRPr="004761E0" w:rsidTr="006B79B0">
        <w:trPr>
          <w:trHeight w:val="351"/>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6B79B0">
            <w:pPr>
              <w:ind w:left="34" w:right="-57" w:firstLine="0"/>
              <w:jc w:val="left"/>
              <w:rPr>
                <w:rStyle w:val="SUBST"/>
                <w:sz w:val="20"/>
                <w:szCs w:val="20"/>
              </w:rPr>
            </w:pPr>
            <w:r w:rsidRPr="004761E0">
              <w:rPr>
                <w:rStyle w:val="SUBST"/>
                <w:sz w:val="20"/>
                <w:szCs w:val="20"/>
              </w:rPr>
              <w:t>Наличие в составе совета директоров акционерного общества не менее 3 независимых директоров, отвечающих требованиям Кодекса корпоративного поведения</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14598E">
            <w:pPr>
              <w:ind w:left="-57" w:firstLine="0"/>
              <w:jc w:val="left"/>
              <w:rPr>
                <w:rStyle w:val="SUBST"/>
                <w:sz w:val="20"/>
                <w:szCs w:val="20"/>
              </w:rPr>
            </w:pPr>
            <w:r w:rsidRPr="004761E0">
              <w:rPr>
                <w:sz w:val="20"/>
                <w:szCs w:val="20"/>
              </w:rPr>
              <w:t>В состав Совета директоров входят не менее 3</w:t>
            </w:r>
            <w:r w:rsidR="0014598E" w:rsidRPr="004761E0">
              <w:rPr>
                <w:sz w:val="20"/>
                <w:szCs w:val="20"/>
              </w:rPr>
              <w:t>-х</w:t>
            </w:r>
            <w:r w:rsidRPr="004761E0">
              <w:rPr>
                <w:sz w:val="20"/>
                <w:szCs w:val="20"/>
              </w:rPr>
              <w:t xml:space="preserve"> независимых директоров</w:t>
            </w:r>
            <w:r w:rsidRPr="004761E0">
              <w:rPr>
                <w:rStyle w:val="SUBST"/>
                <w:sz w:val="20"/>
                <w:szCs w:val="20"/>
              </w:rPr>
              <w:t xml:space="preserve"> </w:t>
            </w:r>
          </w:p>
        </w:tc>
      </w:tr>
      <w:tr w:rsidR="0086454D" w:rsidRPr="004761E0" w:rsidTr="006B79B0">
        <w:trPr>
          <w:trHeight w:val="70"/>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6B79B0">
            <w:pPr>
              <w:ind w:left="34" w:right="-57" w:firstLine="0"/>
              <w:jc w:val="left"/>
              <w:rPr>
                <w:rStyle w:val="SUBST"/>
                <w:sz w:val="20"/>
                <w:szCs w:val="20"/>
              </w:rPr>
            </w:pPr>
            <w:r w:rsidRPr="004761E0">
              <w:rPr>
                <w:rStyle w:val="SUBST"/>
                <w:sz w:val="20"/>
                <w:szCs w:val="20"/>
              </w:rPr>
              <w:t xml:space="preserve">Отсутствие в составе совета директоров акционерного общества лиц, которые признавались виновными в совершении преступлений в сфере экономической деятельности или преступлений против государственной </w:t>
            </w:r>
            <w:r w:rsidRPr="004761E0">
              <w:rPr>
                <w:rStyle w:val="SUBST"/>
                <w:sz w:val="20"/>
                <w:szCs w:val="20"/>
              </w:rPr>
              <w:lastRenderedPageBreak/>
              <w:t>власти, интересов государственной службы и службы в органах местного самоуправления или к которым применялись административные наказания за правонарушения в области предпринимательской деятельности или в области финансов, налогов и сборов, рынка ценных бумаг</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lastRenderedPageBreak/>
              <w:t>Соблюдается</w:t>
            </w:r>
          </w:p>
        </w:tc>
        <w:tc>
          <w:tcPr>
            <w:tcW w:w="6555" w:type="dxa"/>
            <w:gridSpan w:val="2"/>
          </w:tcPr>
          <w:p w:rsidR="0086454D" w:rsidRPr="004761E0" w:rsidRDefault="0086454D" w:rsidP="0014598E">
            <w:pPr>
              <w:ind w:left="-57" w:firstLine="0"/>
              <w:jc w:val="left"/>
              <w:rPr>
                <w:rStyle w:val="SUBST"/>
                <w:sz w:val="20"/>
                <w:szCs w:val="20"/>
              </w:rPr>
            </w:pPr>
            <w:r w:rsidRPr="004761E0">
              <w:rPr>
                <w:sz w:val="20"/>
                <w:szCs w:val="20"/>
              </w:rPr>
              <w:t>В составе Совета директоров такие лица отсутствуют.</w:t>
            </w:r>
          </w:p>
        </w:tc>
      </w:tr>
      <w:tr w:rsidR="0086454D" w:rsidRPr="004761E0" w:rsidTr="006B79B0">
        <w:trPr>
          <w:trHeight w:val="1150"/>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6B79B0">
            <w:pPr>
              <w:ind w:left="34" w:right="-57" w:firstLine="0"/>
              <w:jc w:val="left"/>
              <w:rPr>
                <w:rStyle w:val="SUBST"/>
                <w:sz w:val="20"/>
                <w:szCs w:val="20"/>
              </w:rPr>
            </w:pPr>
            <w:r w:rsidRPr="004761E0">
              <w:rPr>
                <w:rStyle w:val="SUBST"/>
                <w:sz w:val="20"/>
                <w:szCs w:val="20"/>
              </w:rPr>
              <w:t>Отсутствие в составе совета директоров акционерного общества лиц, являющихся участником, генеральным директором (управляющим), членом органа управления или работником юридического лица, конкурирующего с акционерным обществом</w:t>
            </w:r>
          </w:p>
        </w:tc>
        <w:tc>
          <w:tcPr>
            <w:tcW w:w="2126" w:type="dxa"/>
            <w:gridSpan w:val="2"/>
            <w:shd w:val="clear" w:color="auto" w:fill="FFFFFF" w:themeFill="background1"/>
          </w:tcPr>
          <w:p w:rsidR="0086454D" w:rsidRPr="004761E0" w:rsidRDefault="0086454D" w:rsidP="002C5A29">
            <w:pPr>
              <w:ind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2C5A29">
            <w:pPr>
              <w:ind w:firstLine="0"/>
              <w:jc w:val="left"/>
              <w:rPr>
                <w:sz w:val="20"/>
                <w:szCs w:val="20"/>
              </w:rPr>
            </w:pPr>
            <w:r w:rsidRPr="004761E0">
              <w:rPr>
                <w:sz w:val="20"/>
                <w:szCs w:val="20"/>
              </w:rPr>
              <w:t xml:space="preserve">В состав Совета директоров входят следующие лица, </w:t>
            </w:r>
            <w:r w:rsidRPr="004761E0">
              <w:rPr>
                <w:rStyle w:val="SUBST"/>
                <w:sz w:val="20"/>
                <w:szCs w:val="20"/>
              </w:rPr>
              <w:t>являющихся участниками, генеральными директорами (управляющим), членами органов управления или работниками юридических лиц, конкурирующих с акционерным обществом:</w:t>
            </w:r>
          </w:p>
          <w:p w:rsidR="0086454D" w:rsidRPr="004761E0" w:rsidRDefault="0086454D" w:rsidP="007076A7">
            <w:pPr>
              <w:pStyle w:val="a5"/>
              <w:numPr>
                <w:ilvl w:val="0"/>
                <w:numId w:val="280"/>
              </w:numPr>
              <w:ind w:left="351" w:hanging="283"/>
              <w:jc w:val="left"/>
              <w:rPr>
                <w:sz w:val="20"/>
                <w:szCs w:val="20"/>
              </w:rPr>
            </w:pPr>
            <w:r w:rsidRPr="004761E0">
              <w:rPr>
                <w:sz w:val="20"/>
                <w:szCs w:val="20"/>
              </w:rPr>
              <w:t>Бударгин О.М.;</w:t>
            </w:r>
          </w:p>
          <w:p w:rsidR="0086454D" w:rsidRPr="004761E0" w:rsidRDefault="0086454D" w:rsidP="007076A7">
            <w:pPr>
              <w:pStyle w:val="a5"/>
              <w:numPr>
                <w:ilvl w:val="0"/>
                <w:numId w:val="280"/>
              </w:numPr>
              <w:ind w:left="351" w:hanging="283"/>
              <w:jc w:val="left"/>
              <w:rPr>
                <w:sz w:val="20"/>
                <w:szCs w:val="20"/>
              </w:rPr>
            </w:pPr>
            <w:r w:rsidRPr="004761E0">
              <w:rPr>
                <w:sz w:val="20"/>
                <w:szCs w:val="20"/>
              </w:rPr>
              <w:t>Гавриленко А.А.;</w:t>
            </w:r>
          </w:p>
          <w:p w:rsidR="0086454D" w:rsidRPr="004761E0" w:rsidRDefault="0086454D" w:rsidP="007076A7">
            <w:pPr>
              <w:pStyle w:val="a5"/>
              <w:numPr>
                <w:ilvl w:val="0"/>
                <w:numId w:val="280"/>
              </w:numPr>
              <w:ind w:left="351" w:hanging="283"/>
              <w:jc w:val="left"/>
              <w:rPr>
                <w:sz w:val="20"/>
                <w:szCs w:val="20"/>
              </w:rPr>
            </w:pPr>
            <w:r w:rsidRPr="004761E0">
              <w:rPr>
                <w:sz w:val="20"/>
                <w:szCs w:val="20"/>
              </w:rPr>
              <w:t>Казаченков А.В.;</w:t>
            </w:r>
          </w:p>
          <w:p w:rsidR="0086454D" w:rsidRPr="004761E0" w:rsidRDefault="0086454D" w:rsidP="007076A7">
            <w:pPr>
              <w:pStyle w:val="a5"/>
              <w:numPr>
                <w:ilvl w:val="0"/>
                <w:numId w:val="280"/>
              </w:numPr>
              <w:ind w:left="351" w:hanging="283"/>
              <w:jc w:val="left"/>
              <w:rPr>
                <w:sz w:val="20"/>
                <w:szCs w:val="20"/>
              </w:rPr>
            </w:pPr>
            <w:r w:rsidRPr="004761E0">
              <w:rPr>
                <w:sz w:val="20"/>
                <w:szCs w:val="20"/>
              </w:rPr>
              <w:t>Ливинский П.А.;</w:t>
            </w:r>
          </w:p>
          <w:p w:rsidR="0086454D" w:rsidRPr="004761E0" w:rsidRDefault="0086454D" w:rsidP="007076A7">
            <w:pPr>
              <w:pStyle w:val="a5"/>
              <w:numPr>
                <w:ilvl w:val="0"/>
                <w:numId w:val="280"/>
              </w:numPr>
              <w:ind w:left="351" w:hanging="283"/>
              <w:jc w:val="left"/>
              <w:rPr>
                <w:sz w:val="20"/>
                <w:szCs w:val="20"/>
              </w:rPr>
            </w:pPr>
            <w:r w:rsidRPr="004761E0">
              <w:rPr>
                <w:sz w:val="20"/>
                <w:szCs w:val="20"/>
              </w:rPr>
              <w:t>Демин С.А.</w:t>
            </w:r>
          </w:p>
        </w:tc>
      </w:tr>
      <w:tr w:rsidR="0086454D" w:rsidRPr="004761E0" w:rsidTr="006B79B0">
        <w:trPr>
          <w:trHeight w:val="70"/>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6B79B0">
            <w:pPr>
              <w:ind w:left="34" w:right="-57" w:firstLine="0"/>
              <w:jc w:val="left"/>
              <w:rPr>
                <w:rStyle w:val="SUBST"/>
                <w:sz w:val="20"/>
                <w:szCs w:val="20"/>
              </w:rPr>
            </w:pPr>
            <w:r w:rsidRPr="004761E0">
              <w:rPr>
                <w:rStyle w:val="SUBST"/>
                <w:sz w:val="20"/>
                <w:szCs w:val="20"/>
              </w:rPr>
              <w:t>Наличие в уставе акционерного общества требования об избрании совета директоров кумулятивным голосованием</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14598E">
            <w:pPr>
              <w:ind w:left="-57" w:firstLine="0"/>
              <w:rPr>
                <w:rStyle w:val="SUBST"/>
                <w:sz w:val="20"/>
                <w:szCs w:val="20"/>
              </w:rPr>
            </w:pPr>
            <w:r w:rsidRPr="004761E0">
              <w:rPr>
                <w:rStyle w:val="SUBST"/>
                <w:sz w:val="20"/>
                <w:szCs w:val="20"/>
              </w:rPr>
              <w:t>П. 10.8. ст. 10. Устава предусмотрено кумулятивное голосование</w:t>
            </w:r>
            <w:r w:rsidR="0014598E" w:rsidRPr="004761E0">
              <w:rPr>
                <w:rStyle w:val="SUBST"/>
                <w:sz w:val="20"/>
                <w:szCs w:val="20"/>
              </w:rPr>
              <w:t xml:space="preserve"> при избрании Совета директоров.</w:t>
            </w:r>
          </w:p>
        </w:tc>
      </w:tr>
      <w:tr w:rsidR="0086454D" w:rsidRPr="004761E0" w:rsidTr="006B79B0">
        <w:trPr>
          <w:trHeight w:val="1150"/>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6B79B0">
            <w:pPr>
              <w:ind w:left="34" w:right="-57" w:firstLine="0"/>
              <w:jc w:val="left"/>
              <w:rPr>
                <w:rStyle w:val="SUBST"/>
                <w:sz w:val="20"/>
                <w:szCs w:val="20"/>
              </w:rPr>
            </w:pPr>
            <w:r w:rsidRPr="004761E0">
              <w:rPr>
                <w:rStyle w:val="SUBST"/>
                <w:sz w:val="20"/>
                <w:szCs w:val="20"/>
              </w:rPr>
              <w:t>Наличие во внутренних документах акционерного общества обязанности членов совета директоров воздерживаться от действий, которые приведут или потенциально способны привести к возникновению конфликта между их интересами и интересами акционерного общества, а в случае возникновения такого конфликта – обязанности раскрывать совету директоров информацию об этом конфликте</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 xml:space="preserve">Соблюдается </w:t>
            </w:r>
          </w:p>
        </w:tc>
        <w:tc>
          <w:tcPr>
            <w:tcW w:w="6555" w:type="dxa"/>
            <w:gridSpan w:val="2"/>
          </w:tcPr>
          <w:p w:rsidR="0086454D" w:rsidRPr="004761E0" w:rsidRDefault="0086454D" w:rsidP="00D701B7">
            <w:pPr>
              <w:ind w:left="-57" w:firstLine="0"/>
              <w:rPr>
                <w:rStyle w:val="SUBST"/>
                <w:sz w:val="20"/>
                <w:szCs w:val="20"/>
              </w:rPr>
            </w:pPr>
            <w:r w:rsidRPr="004761E0">
              <w:rPr>
                <w:sz w:val="20"/>
                <w:szCs w:val="20"/>
              </w:rPr>
              <w:t>Согласно п. 4.1.6 Кодекса корпоративного управления, приложению № 5 к Положению об инсайдерской информации «Правила осуществления операций инсайдерами с ценными бумагами Общества» в части воздержания от сделок с акциями Общества, члены Совета директоров обязуются воздерживаться от действий, которые могут привести к возникновению конфликта между их интересами и интересами Общества. В случае возникновения такого конфликта член Совета директоров обязуется сообщить об этом другим членам Совета директоров, а также воздержаться от голосования по соответствующим вопросам.</w:t>
            </w:r>
          </w:p>
        </w:tc>
      </w:tr>
      <w:tr w:rsidR="0086454D" w:rsidRPr="004761E0" w:rsidTr="006B79B0">
        <w:trPr>
          <w:trHeight w:val="172"/>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6B79B0">
            <w:pPr>
              <w:ind w:left="34" w:right="-57" w:firstLine="0"/>
              <w:jc w:val="left"/>
              <w:rPr>
                <w:rStyle w:val="SUBST"/>
                <w:sz w:val="20"/>
                <w:szCs w:val="20"/>
              </w:rPr>
            </w:pPr>
            <w:r w:rsidRPr="004761E0">
              <w:rPr>
                <w:rStyle w:val="SUBST"/>
                <w:sz w:val="20"/>
                <w:szCs w:val="20"/>
              </w:rPr>
              <w:t>Наличие во внутренних документах акционерного общества обязанности членов совета директоров письменно уведомлять совет директоров о намерении совершить сделки с ценными бумагами акционерного общества, членами совета директоров которого они являются, или его дочерних (зависимых) обществ, а также раскрывать информацию о совершенных ими сделках с такими ценными бумагами</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 частично</w:t>
            </w:r>
          </w:p>
        </w:tc>
        <w:tc>
          <w:tcPr>
            <w:tcW w:w="6555" w:type="dxa"/>
            <w:gridSpan w:val="2"/>
          </w:tcPr>
          <w:p w:rsidR="0086454D" w:rsidRPr="004761E0" w:rsidRDefault="0086454D" w:rsidP="002C5A29">
            <w:pPr>
              <w:ind w:left="-57" w:right="-57" w:firstLine="0"/>
              <w:rPr>
                <w:rStyle w:val="SUBST"/>
                <w:sz w:val="20"/>
                <w:szCs w:val="20"/>
              </w:rPr>
            </w:pPr>
            <w:r w:rsidRPr="004761E0">
              <w:rPr>
                <w:rStyle w:val="SUBST"/>
                <w:sz w:val="20"/>
                <w:szCs w:val="20"/>
              </w:rPr>
              <w:t>П. 4.1 ст. 4 и Приложение № 2 к Положению об инсайдерской информации регулируется раскрытие информации о совершении членами Совета директоров сделок с ценными бумагами Общества или его дочерних (зависимых) Обществ. Порядок уведомления о намерении совершить сделку с ценными бумагами Общества внутренними документами Общества не урегулирован.</w:t>
            </w:r>
          </w:p>
        </w:tc>
      </w:tr>
      <w:tr w:rsidR="0086454D" w:rsidRPr="004761E0" w:rsidTr="006B79B0">
        <w:trPr>
          <w:trHeight w:val="179"/>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6B79B0">
            <w:pPr>
              <w:ind w:left="34" w:right="-57" w:firstLine="0"/>
              <w:jc w:val="left"/>
              <w:rPr>
                <w:rStyle w:val="SUBST"/>
                <w:sz w:val="20"/>
                <w:szCs w:val="20"/>
              </w:rPr>
            </w:pPr>
            <w:r w:rsidRPr="004761E0">
              <w:rPr>
                <w:rStyle w:val="SUBST"/>
                <w:sz w:val="20"/>
                <w:szCs w:val="20"/>
              </w:rPr>
              <w:t>Наличие во внутренних документах акционерного общества требования о проведении заседаний совета директоров не реже одного раза в шесть недель</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14598E">
            <w:pPr>
              <w:ind w:left="-57" w:right="-57" w:firstLine="0"/>
              <w:rPr>
                <w:rStyle w:val="SUBST"/>
                <w:sz w:val="20"/>
                <w:szCs w:val="20"/>
              </w:rPr>
            </w:pPr>
            <w:r w:rsidRPr="004761E0">
              <w:rPr>
                <w:rStyle w:val="SUBST"/>
                <w:sz w:val="20"/>
                <w:szCs w:val="20"/>
              </w:rPr>
              <w:t>П. 18.2 ст. 18 Устава предусмотрено, что заседания Совета директоров проводятся по мере необходимости, но не реже одного раза в шесть недель.</w:t>
            </w:r>
          </w:p>
        </w:tc>
      </w:tr>
      <w:tr w:rsidR="0086454D" w:rsidRPr="004761E0" w:rsidTr="006B79B0">
        <w:trPr>
          <w:trHeight w:val="1150"/>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6B79B0">
            <w:pPr>
              <w:ind w:left="34" w:right="-57" w:firstLine="0"/>
              <w:jc w:val="left"/>
              <w:rPr>
                <w:rStyle w:val="SUBST"/>
                <w:sz w:val="20"/>
                <w:szCs w:val="20"/>
              </w:rPr>
            </w:pPr>
            <w:r w:rsidRPr="004761E0">
              <w:rPr>
                <w:rStyle w:val="SUBST"/>
                <w:sz w:val="20"/>
                <w:szCs w:val="20"/>
              </w:rPr>
              <w:t>Проведение заседаний совета директоров акционерного общества в течение года, за который составляется годовой отчет акционерного общества, с периодичностью не реже одного раза в шесть недель</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14598E">
            <w:pPr>
              <w:ind w:left="-57" w:right="-57" w:firstLine="0"/>
              <w:rPr>
                <w:rStyle w:val="SUBST"/>
                <w:sz w:val="20"/>
                <w:szCs w:val="20"/>
              </w:rPr>
            </w:pPr>
            <w:r w:rsidRPr="004761E0">
              <w:rPr>
                <w:rStyle w:val="SUBST"/>
                <w:sz w:val="20"/>
                <w:szCs w:val="20"/>
              </w:rPr>
              <w:t>В 2013 г</w:t>
            </w:r>
            <w:r w:rsidR="0014598E" w:rsidRPr="004761E0">
              <w:rPr>
                <w:rStyle w:val="SUBST"/>
                <w:sz w:val="20"/>
                <w:szCs w:val="20"/>
              </w:rPr>
              <w:t>оду</w:t>
            </w:r>
            <w:r w:rsidRPr="004761E0">
              <w:rPr>
                <w:rStyle w:val="SUBST"/>
                <w:sz w:val="20"/>
                <w:szCs w:val="20"/>
              </w:rPr>
              <w:t xml:space="preserve"> проведено 28 заседаний Совета директоров с периодичностью не реже 1 раза в шесть недель. </w:t>
            </w:r>
          </w:p>
        </w:tc>
      </w:tr>
      <w:tr w:rsidR="0086454D" w:rsidRPr="004761E0" w:rsidTr="006B79B0">
        <w:trPr>
          <w:trHeight w:val="209"/>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6B79B0">
            <w:pPr>
              <w:ind w:left="34" w:right="-57" w:firstLine="0"/>
              <w:jc w:val="left"/>
              <w:rPr>
                <w:rStyle w:val="SUBST"/>
                <w:sz w:val="20"/>
                <w:szCs w:val="20"/>
              </w:rPr>
            </w:pPr>
            <w:r w:rsidRPr="004761E0">
              <w:rPr>
                <w:rStyle w:val="SUBST"/>
                <w:sz w:val="20"/>
                <w:szCs w:val="20"/>
              </w:rPr>
              <w:t>Наличие во внутренних документах акционерного общества порядка проведения заседаний совета директоров</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14598E">
            <w:pPr>
              <w:ind w:left="-57" w:right="-57" w:firstLine="0"/>
              <w:rPr>
                <w:rStyle w:val="SUBST"/>
                <w:sz w:val="20"/>
                <w:szCs w:val="20"/>
              </w:rPr>
            </w:pPr>
            <w:r w:rsidRPr="004761E0">
              <w:rPr>
                <w:rStyle w:val="SUBST"/>
                <w:sz w:val="20"/>
                <w:szCs w:val="20"/>
              </w:rPr>
              <w:t>Предусмотрено ст. 7. Положения о порядке созыва и проведения заседаний Совета директоров</w:t>
            </w:r>
            <w:r w:rsidR="0014598E" w:rsidRPr="004761E0">
              <w:rPr>
                <w:rStyle w:val="SUBST"/>
                <w:sz w:val="20"/>
                <w:szCs w:val="20"/>
              </w:rPr>
              <w:t>.</w:t>
            </w:r>
          </w:p>
        </w:tc>
      </w:tr>
      <w:tr w:rsidR="0086454D" w:rsidRPr="004761E0" w:rsidTr="006B79B0">
        <w:trPr>
          <w:trHeight w:val="1150"/>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6B79B0">
            <w:pPr>
              <w:ind w:left="34" w:right="-57" w:firstLine="0"/>
              <w:jc w:val="left"/>
              <w:rPr>
                <w:rStyle w:val="SUBST"/>
                <w:sz w:val="20"/>
                <w:szCs w:val="20"/>
              </w:rPr>
            </w:pPr>
            <w:r w:rsidRPr="004761E0">
              <w:rPr>
                <w:rStyle w:val="SUBST"/>
                <w:sz w:val="20"/>
                <w:szCs w:val="20"/>
              </w:rPr>
              <w:t>Наличие во внутренних документах акционерного общества положения о необходимости одобрения советом директоров сделок акционерного общества на сумму 10 и более процентов стоимости активов общества, за исключением сделок, совершаемых в процессе обычной хозяйственной деятельности</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14598E">
            <w:pPr>
              <w:autoSpaceDE w:val="0"/>
              <w:autoSpaceDN w:val="0"/>
              <w:adjustRightInd w:val="0"/>
              <w:ind w:right="-57" w:firstLine="0"/>
              <w:rPr>
                <w:rStyle w:val="SUBST"/>
                <w:sz w:val="20"/>
                <w:szCs w:val="20"/>
                <w:lang w:eastAsia="ru-RU"/>
              </w:rPr>
            </w:pPr>
            <w:r w:rsidRPr="004761E0">
              <w:rPr>
                <w:rStyle w:val="SUBST"/>
                <w:sz w:val="20"/>
                <w:szCs w:val="20"/>
              </w:rPr>
              <w:t xml:space="preserve">П. 23 п. 15.1 ст. 15 Устава предусмотрено, что к компетенции Совета директоров </w:t>
            </w:r>
            <w:r w:rsidR="0014598E" w:rsidRPr="004761E0">
              <w:rPr>
                <w:rStyle w:val="SUBST"/>
                <w:sz w:val="20"/>
                <w:szCs w:val="20"/>
              </w:rPr>
              <w:t>о</w:t>
            </w:r>
            <w:r w:rsidRPr="004761E0">
              <w:rPr>
                <w:rStyle w:val="SUBST"/>
                <w:sz w:val="20"/>
                <w:szCs w:val="20"/>
              </w:rPr>
              <w:t xml:space="preserve">тносится </w:t>
            </w:r>
            <w:r w:rsidRPr="004761E0">
              <w:rPr>
                <w:sz w:val="20"/>
                <w:szCs w:val="20"/>
                <w:lang w:eastAsia="ru-RU"/>
              </w:rPr>
              <w:t>принятие решений о заключении сделок, предметом которых является имущество, работы и услуги, стоимость которых составляет от 5 до 25 процентов балансовой стоимости активов Общества, определяемой по данным бухгалтерской отчетности на последнюю отчетную дату, за исключением сделок, совершаемых в процессе обычной хозяйственной деятельности Общества</w:t>
            </w:r>
            <w:r w:rsidRPr="004761E0">
              <w:rPr>
                <w:rStyle w:val="SUBST"/>
                <w:sz w:val="20"/>
                <w:szCs w:val="20"/>
              </w:rPr>
              <w:t xml:space="preserve"> </w:t>
            </w:r>
          </w:p>
        </w:tc>
      </w:tr>
      <w:tr w:rsidR="0086454D" w:rsidRPr="004761E0" w:rsidTr="006B79B0">
        <w:trPr>
          <w:trHeight w:val="125"/>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6B79B0">
            <w:pPr>
              <w:ind w:left="34" w:right="-57" w:firstLine="0"/>
              <w:jc w:val="left"/>
              <w:rPr>
                <w:rStyle w:val="SUBST"/>
                <w:sz w:val="20"/>
                <w:szCs w:val="20"/>
              </w:rPr>
            </w:pPr>
            <w:r w:rsidRPr="004761E0">
              <w:rPr>
                <w:rStyle w:val="SUBST"/>
                <w:sz w:val="20"/>
                <w:szCs w:val="20"/>
              </w:rPr>
              <w:t>Наличие во внутренних документах акционерного общества права членов совета директоров на получение от исполнительных органов и руководителей основных структурных подразделений акционерного общества информации, необходимой для осуществления своих функций, а также ответственности за непредоставление такой информации</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 xml:space="preserve">Соблюдается </w:t>
            </w:r>
          </w:p>
        </w:tc>
        <w:tc>
          <w:tcPr>
            <w:tcW w:w="6555" w:type="dxa"/>
            <w:gridSpan w:val="2"/>
          </w:tcPr>
          <w:p w:rsidR="0086454D" w:rsidRPr="004761E0" w:rsidRDefault="0086454D" w:rsidP="0014598E">
            <w:pPr>
              <w:tabs>
                <w:tab w:val="left" w:pos="1860"/>
              </w:tabs>
              <w:ind w:right="-57" w:firstLine="0"/>
              <w:rPr>
                <w:rStyle w:val="SUBST"/>
                <w:sz w:val="20"/>
                <w:szCs w:val="20"/>
              </w:rPr>
            </w:pPr>
            <w:r w:rsidRPr="004761E0">
              <w:rPr>
                <w:rStyle w:val="SUBST"/>
                <w:sz w:val="20"/>
                <w:szCs w:val="20"/>
              </w:rPr>
              <w:t xml:space="preserve">П. 3.1. и п 3.2 ст. 3  Положения о порядке созыва и проведения заседаний Совета директоров предусмотрено, что члены Совета директоров вправе </w:t>
            </w:r>
            <w:r w:rsidRPr="004761E0">
              <w:rPr>
                <w:sz w:val="20"/>
                <w:szCs w:val="20"/>
                <w:lang w:eastAsia="ru-RU"/>
              </w:rPr>
              <w:t>получать информацию о деятельности Общества, в т</w:t>
            </w:r>
            <w:r w:rsidR="00A26737" w:rsidRPr="004761E0">
              <w:rPr>
                <w:sz w:val="20"/>
                <w:szCs w:val="20"/>
                <w:lang w:eastAsia="ru-RU"/>
              </w:rPr>
              <w:t>.ч.</w:t>
            </w:r>
            <w:r w:rsidRPr="004761E0">
              <w:rPr>
                <w:sz w:val="20"/>
                <w:szCs w:val="20"/>
                <w:lang w:eastAsia="ru-RU"/>
              </w:rPr>
              <w:t xml:space="preserve"> составляющую коммерческую тайну Общества, знакомиться со всеми учредительными, нормативными, учетными, отчетными, договорными и прочими документами Общества в соответствии с законодательством </w:t>
            </w:r>
            <w:r w:rsidR="0014598E" w:rsidRPr="004761E0">
              <w:rPr>
                <w:sz w:val="20"/>
                <w:szCs w:val="20"/>
                <w:lang w:eastAsia="ru-RU"/>
              </w:rPr>
              <w:t>РФ</w:t>
            </w:r>
            <w:r w:rsidRPr="004761E0">
              <w:rPr>
                <w:sz w:val="20"/>
                <w:szCs w:val="20"/>
                <w:lang w:eastAsia="ru-RU"/>
              </w:rPr>
              <w:t xml:space="preserve"> и внутренними документами Общества, а также письменно запрашивать документы и информацию, необходимую для принятия решения по вопросам компетенции Совета директоров, как непосредст</w:t>
            </w:r>
            <w:r w:rsidR="0014598E" w:rsidRPr="004761E0">
              <w:rPr>
                <w:sz w:val="20"/>
                <w:szCs w:val="20"/>
                <w:lang w:eastAsia="ru-RU"/>
              </w:rPr>
              <w:t>венно у Генерального директора</w:t>
            </w:r>
            <w:r w:rsidRPr="004761E0">
              <w:rPr>
                <w:sz w:val="20"/>
                <w:szCs w:val="20"/>
                <w:lang w:eastAsia="ru-RU"/>
              </w:rPr>
              <w:t xml:space="preserve"> (иного лица, выполняющего функции единоличного исполнитель</w:t>
            </w:r>
            <w:r w:rsidR="0014598E" w:rsidRPr="004761E0">
              <w:rPr>
                <w:sz w:val="20"/>
                <w:szCs w:val="20"/>
                <w:lang w:eastAsia="ru-RU"/>
              </w:rPr>
              <w:t>ного органа</w:t>
            </w:r>
            <w:r w:rsidRPr="004761E0">
              <w:rPr>
                <w:sz w:val="20"/>
                <w:szCs w:val="20"/>
                <w:lang w:eastAsia="ru-RU"/>
              </w:rPr>
              <w:t>), так и через Секретаря Совета директоров</w:t>
            </w:r>
            <w:r w:rsidRPr="004761E0">
              <w:rPr>
                <w:rStyle w:val="SUBST"/>
                <w:sz w:val="20"/>
                <w:szCs w:val="20"/>
              </w:rPr>
              <w:t>.</w:t>
            </w:r>
          </w:p>
        </w:tc>
      </w:tr>
      <w:tr w:rsidR="0086454D" w:rsidRPr="004761E0" w:rsidTr="006B79B0">
        <w:trPr>
          <w:trHeight w:val="1150"/>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6B79B0">
            <w:pPr>
              <w:ind w:left="34" w:right="-57" w:firstLine="0"/>
              <w:jc w:val="left"/>
              <w:rPr>
                <w:rStyle w:val="SUBST"/>
                <w:sz w:val="20"/>
                <w:szCs w:val="20"/>
              </w:rPr>
            </w:pPr>
            <w:r w:rsidRPr="004761E0">
              <w:rPr>
                <w:rStyle w:val="SUBST"/>
                <w:sz w:val="20"/>
                <w:szCs w:val="20"/>
              </w:rPr>
              <w:t>Наличие комитета совета директоров по стратегическому планированию или возложение функций указанного комитета на другой комитет (кроме комитета по аудиту и комитета по кадрам и вознаграждениям)</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14598E">
            <w:pPr>
              <w:ind w:left="-57" w:right="-57" w:firstLine="0"/>
              <w:rPr>
                <w:rStyle w:val="SUBST"/>
                <w:sz w:val="20"/>
                <w:szCs w:val="20"/>
              </w:rPr>
            </w:pPr>
            <w:r w:rsidRPr="004761E0">
              <w:rPr>
                <w:rStyle w:val="SUBST"/>
                <w:sz w:val="20"/>
                <w:szCs w:val="20"/>
              </w:rPr>
              <w:t>Комитет по стратегии и развитию при Совете директоров создан решением Совета директоров от 26.09.2007 (</w:t>
            </w:r>
            <w:r w:rsidR="0014598E" w:rsidRPr="004761E0">
              <w:rPr>
                <w:rStyle w:val="SUBST"/>
                <w:sz w:val="20"/>
                <w:szCs w:val="20"/>
              </w:rPr>
              <w:t>п</w:t>
            </w:r>
            <w:r w:rsidRPr="004761E0">
              <w:rPr>
                <w:rStyle w:val="SUBST"/>
                <w:sz w:val="20"/>
                <w:szCs w:val="20"/>
              </w:rPr>
              <w:t>ротокол от 27.09.2007 № 49).</w:t>
            </w:r>
          </w:p>
        </w:tc>
      </w:tr>
      <w:tr w:rsidR="0086454D" w:rsidRPr="004761E0" w:rsidTr="006B79B0">
        <w:trPr>
          <w:trHeight w:val="531"/>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6B79B0">
            <w:pPr>
              <w:ind w:left="34" w:right="-57" w:firstLine="0"/>
              <w:jc w:val="left"/>
              <w:rPr>
                <w:rStyle w:val="SUBST"/>
                <w:sz w:val="20"/>
                <w:szCs w:val="20"/>
              </w:rPr>
            </w:pPr>
            <w:r w:rsidRPr="004761E0">
              <w:rPr>
                <w:rStyle w:val="SUBST"/>
                <w:sz w:val="20"/>
                <w:szCs w:val="20"/>
              </w:rPr>
              <w:t>Наличие комитета совета директоров (комитета по аудиту), который рекомендует совету директоров аудитора акционерного общества и взаимодействует с ним и ревизионной комиссией акционерного общества</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14598E">
            <w:pPr>
              <w:ind w:left="-57" w:right="-57" w:firstLine="0"/>
              <w:rPr>
                <w:rStyle w:val="SUBST"/>
                <w:sz w:val="20"/>
                <w:szCs w:val="20"/>
              </w:rPr>
            </w:pPr>
            <w:r w:rsidRPr="004761E0">
              <w:rPr>
                <w:rStyle w:val="SUBST"/>
                <w:sz w:val="20"/>
                <w:szCs w:val="20"/>
              </w:rPr>
              <w:t>Комитет по аудиту Совета директоров создан решением Совета директоров от 13.12.2006 (</w:t>
            </w:r>
            <w:r w:rsidR="0014598E" w:rsidRPr="004761E0">
              <w:rPr>
                <w:rStyle w:val="SUBST"/>
                <w:sz w:val="20"/>
                <w:szCs w:val="20"/>
              </w:rPr>
              <w:t>п</w:t>
            </w:r>
            <w:r w:rsidRPr="004761E0">
              <w:rPr>
                <w:rStyle w:val="SUBST"/>
                <w:sz w:val="20"/>
                <w:szCs w:val="20"/>
              </w:rPr>
              <w:t>ротокол от 15.12.2006 № 37).</w:t>
            </w:r>
          </w:p>
        </w:tc>
      </w:tr>
      <w:tr w:rsidR="0086454D" w:rsidRPr="004761E0" w:rsidTr="006B79B0">
        <w:trPr>
          <w:trHeight w:val="539"/>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6B79B0">
            <w:pPr>
              <w:ind w:left="34" w:right="-57" w:firstLine="0"/>
              <w:jc w:val="left"/>
              <w:rPr>
                <w:rStyle w:val="SUBST"/>
                <w:sz w:val="20"/>
                <w:szCs w:val="20"/>
              </w:rPr>
            </w:pPr>
            <w:r w:rsidRPr="004761E0">
              <w:rPr>
                <w:rStyle w:val="SUBST"/>
                <w:sz w:val="20"/>
                <w:szCs w:val="20"/>
              </w:rPr>
              <w:t>Наличие в составе комитета по аудиту только независимых и неисполнительных директоров</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 частично</w:t>
            </w:r>
          </w:p>
        </w:tc>
        <w:tc>
          <w:tcPr>
            <w:tcW w:w="6555" w:type="dxa"/>
            <w:gridSpan w:val="2"/>
          </w:tcPr>
          <w:p w:rsidR="0086454D" w:rsidRPr="004761E0" w:rsidRDefault="0086454D" w:rsidP="002C5A29">
            <w:pPr>
              <w:ind w:left="-57" w:right="-57" w:firstLine="0"/>
              <w:rPr>
                <w:rStyle w:val="SUBST"/>
                <w:sz w:val="20"/>
                <w:szCs w:val="20"/>
              </w:rPr>
            </w:pPr>
            <w:r w:rsidRPr="004761E0">
              <w:rPr>
                <w:sz w:val="20"/>
                <w:szCs w:val="20"/>
              </w:rPr>
              <w:t>В составе Комитета по аудиту 7 из 8 членов являются независимыми директорами.</w:t>
            </w:r>
          </w:p>
        </w:tc>
      </w:tr>
      <w:tr w:rsidR="0086454D" w:rsidRPr="004761E0" w:rsidTr="006B79B0">
        <w:trPr>
          <w:trHeight w:val="392"/>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6B79B0">
            <w:pPr>
              <w:ind w:left="34" w:right="-57" w:firstLine="0"/>
              <w:jc w:val="left"/>
              <w:rPr>
                <w:rStyle w:val="SUBST"/>
                <w:sz w:val="20"/>
                <w:szCs w:val="20"/>
              </w:rPr>
            </w:pPr>
            <w:r w:rsidRPr="004761E0">
              <w:rPr>
                <w:rStyle w:val="SUBST"/>
                <w:sz w:val="20"/>
                <w:szCs w:val="20"/>
              </w:rPr>
              <w:t xml:space="preserve">Осуществление руководства комитетом по аудиту независимым директором </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Не соблюдается</w:t>
            </w:r>
          </w:p>
        </w:tc>
        <w:tc>
          <w:tcPr>
            <w:tcW w:w="6555" w:type="dxa"/>
            <w:gridSpan w:val="2"/>
          </w:tcPr>
          <w:p w:rsidR="0086454D" w:rsidRPr="004761E0" w:rsidRDefault="0086454D" w:rsidP="0014598E">
            <w:pPr>
              <w:ind w:left="-57" w:right="-57" w:firstLine="0"/>
              <w:rPr>
                <w:rStyle w:val="SUBST"/>
                <w:sz w:val="20"/>
                <w:szCs w:val="20"/>
              </w:rPr>
            </w:pPr>
            <w:r w:rsidRPr="004761E0">
              <w:rPr>
                <w:rStyle w:val="SUBST"/>
                <w:sz w:val="20"/>
                <w:szCs w:val="20"/>
              </w:rPr>
              <w:t xml:space="preserve">С 11.10.2012 по 15.08.2013 руководство </w:t>
            </w:r>
            <w:r w:rsidR="0014598E" w:rsidRPr="004761E0">
              <w:rPr>
                <w:rStyle w:val="SUBST"/>
                <w:sz w:val="20"/>
                <w:szCs w:val="20"/>
              </w:rPr>
              <w:t>К</w:t>
            </w:r>
            <w:r w:rsidRPr="004761E0">
              <w:rPr>
                <w:rStyle w:val="SUBST"/>
                <w:sz w:val="20"/>
                <w:szCs w:val="20"/>
              </w:rPr>
              <w:t>омитетом по аудиту осуществлялось независимым директо</w:t>
            </w:r>
            <w:r w:rsidR="0014598E" w:rsidRPr="004761E0">
              <w:rPr>
                <w:rStyle w:val="SUBST"/>
                <w:sz w:val="20"/>
                <w:szCs w:val="20"/>
              </w:rPr>
              <w:t>ром. С 15.08.2013 руководитель К</w:t>
            </w:r>
            <w:r w:rsidRPr="004761E0">
              <w:rPr>
                <w:rStyle w:val="SUBST"/>
                <w:sz w:val="20"/>
                <w:szCs w:val="20"/>
              </w:rPr>
              <w:t xml:space="preserve">омитета по аудиту не избран. </w:t>
            </w:r>
          </w:p>
        </w:tc>
      </w:tr>
      <w:tr w:rsidR="0086454D" w:rsidRPr="004761E0" w:rsidTr="006B79B0">
        <w:trPr>
          <w:trHeight w:val="702"/>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6B79B0">
            <w:pPr>
              <w:ind w:left="34" w:right="-57" w:firstLine="0"/>
              <w:jc w:val="left"/>
              <w:rPr>
                <w:rStyle w:val="SUBST"/>
                <w:sz w:val="20"/>
                <w:szCs w:val="20"/>
              </w:rPr>
            </w:pPr>
            <w:r w:rsidRPr="004761E0">
              <w:rPr>
                <w:rStyle w:val="SUBST"/>
                <w:sz w:val="20"/>
                <w:szCs w:val="20"/>
              </w:rPr>
              <w:t>Наличие во внутренних документах акционерного общества права доступа всех членов комитета по аудиту к любым документам и информации акционерного общества при условии неразглашения ими конфиденциальной информации</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2C5A29">
            <w:pPr>
              <w:ind w:left="-57" w:right="-57" w:firstLine="0"/>
              <w:rPr>
                <w:rStyle w:val="SUBST"/>
                <w:sz w:val="20"/>
                <w:szCs w:val="20"/>
              </w:rPr>
            </w:pPr>
            <w:r w:rsidRPr="004761E0">
              <w:rPr>
                <w:rStyle w:val="SUBST"/>
                <w:sz w:val="20"/>
                <w:szCs w:val="20"/>
              </w:rPr>
              <w:t>Предусмотрено ст. 4 Положения о Комитете по аудиту Совета директоров.</w:t>
            </w:r>
          </w:p>
        </w:tc>
      </w:tr>
      <w:tr w:rsidR="0086454D" w:rsidRPr="004761E0" w:rsidTr="006B79B0">
        <w:trPr>
          <w:trHeight w:val="1150"/>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6B79B0">
            <w:pPr>
              <w:ind w:left="34" w:right="-57" w:firstLine="0"/>
              <w:jc w:val="left"/>
              <w:rPr>
                <w:rStyle w:val="SUBST"/>
                <w:sz w:val="20"/>
                <w:szCs w:val="20"/>
              </w:rPr>
            </w:pPr>
            <w:r w:rsidRPr="004761E0">
              <w:rPr>
                <w:rStyle w:val="SUBST"/>
                <w:sz w:val="20"/>
                <w:szCs w:val="20"/>
              </w:rPr>
              <w:t>Создание комитета совета директоров (комитета по кадрам и вознаграждениям), функцией которого является определение критериев подбора кандидатов в члены совета директоров и выработка политики акционерного общества в области вознаграждения</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14598E">
            <w:pPr>
              <w:ind w:left="-57" w:right="-57" w:firstLine="0"/>
              <w:rPr>
                <w:rStyle w:val="SUBST"/>
                <w:sz w:val="20"/>
                <w:szCs w:val="20"/>
              </w:rPr>
            </w:pPr>
            <w:r w:rsidRPr="004761E0">
              <w:rPr>
                <w:rStyle w:val="SUBST"/>
                <w:sz w:val="20"/>
                <w:szCs w:val="20"/>
              </w:rPr>
              <w:t>Комитет по кадрам и вознаграждениям Совета директоров создан решением Совета директоров от 26.09.2007 (</w:t>
            </w:r>
            <w:r w:rsidR="0014598E" w:rsidRPr="004761E0">
              <w:rPr>
                <w:rStyle w:val="SUBST"/>
                <w:sz w:val="20"/>
                <w:szCs w:val="20"/>
              </w:rPr>
              <w:t>п</w:t>
            </w:r>
            <w:r w:rsidRPr="004761E0">
              <w:rPr>
                <w:rStyle w:val="SUBST"/>
                <w:sz w:val="20"/>
                <w:szCs w:val="20"/>
              </w:rPr>
              <w:t>ротокол от 27.09.2007 № 49).</w:t>
            </w:r>
          </w:p>
        </w:tc>
      </w:tr>
      <w:tr w:rsidR="0086454D" w:rsidRPr="004761E0" w:rsidTr="006B79B0">
        <w:trPr>
          <w:trHeight w:val="538"/>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6B79B0">
            <w:pPr>
              <w:ind w:left="34" w:right="-57" w:firstLine="0"/>
              <w:jc w:val="left"/>
              <w:rPr>
                <w:rStyle w:val="SUBST"/>
                <w:sz w:val="20"/>
                <w:szCs w:val="20"/>
              </w:rPr>
            </w:pPr>
            <w:r w:rsidRPr="004761E0">
              <w:rPr>
                <w:rStyle w:val="SUBST"/>
                <w:sz w:val="20"/>
                <w:szCs w:val="20"/>
              </w:rPr>
              <w:t>Осуществление руководства комитетом по кадрам и вознаграждениям независимым директором</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14598E">
            <w:pPr>
              <w:ind w:left="-57" w:right="-57" w:firstLine="0"/>
              <w:rPr>
                <w:rStyle w:val="SUBST"/>
                <w:sz w:val="20"/>
                <w:szCs w:val="20"/>
              </w:rPr>
            </w:pPr>
            <w:r w:rsidRPr="004761E0">
              <w:rPr>
                <w:rStyle w:val="SUBST"/>
                <w:sz w:val="20"/>
                <w:szCs w:val="20"/>
              </w:rPr>
              <w:t xml:space="preserve">Руководство </w:t>
            </w:r>
            <w:r w:rsidR="0014598E" w:rsidRPr="004761E0">
              <w:rPr>
                <w:rStyle w:val="SUBST"/>
                <w:sz w:val="20"/>
                <w:szCs w:val="20"/>
              </w:rPr>
              <w:t>К</w:t>
            </w:r>
            <w:r w:rsidRPr="004761E0">
              <w:rPr>
                <w:rStyle w:val="SUBST"/>
                <w:sz w:val="20"/>
                <w:szCs w:val="20"/>
              </w:rPr>
              <w:t>омитетом по кадрам и вознаграждениям осуществляется независимым директором.</w:t>
            </w:r>
            <w:r w:rsidRPr="004761E0" w:rsidDel="00F215DF">
              <w:rPr>
                <w:rStyle w:val="SUBST"/>
                <w:sz w:val="20"/>
                <w:szCs w:val="20"/>
              </w:rPr>
              <w:t xml:space="preserve"> </w:t>
            </w:r>
          </w:p>
        </w:tc>
      </w:tr>
      <w:tr w:rsidR="0086454D" w:rsidRPr="004761E0" w:rsidTr="006B79B0">
        <w:trPr>
          <w:trHeight w:val="532"/>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6B79B0">
            <w:pPr>
              <w:ind w:left="34" w:right="-57" w:firstLine="0"/>
              <w:jc w:val="left"/>
              <w:rPr>
                <w:rStyle w:val="SUBST"/>
                <w:sz w:val="20"/>
                <w:szCs w:val="20"/>
              </w:rPr>
            </w:pPr>
            <w:r w:rsidRPr="004761E0">
              <w:rPr>
                <w:rStyle w:val="SUBST"/>
                <w:sz w:val="20"/>
                <w:szCs w:val="20"/>
              </w:rPr>
              <w:t>Отсутствие в составе комитета по кадрам и вознаграждениям должностных лиц акционерного общества</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2C5A29">
            <w:pPr>
              <w:ind w:left="-57" w:right="-57" w:firstLine="0"/>
              <w:rPr>
                <w:rStyle w:val="SUBST"/>
                <w:sz w:val="20"/>
                <w:szCs w:val="20"/>
              </w:rPr>
            </w:pPr>
            <w:r w:rsidRPr="004761E0">
              <w:rPr>
                <w:sz w:val="20"/>
                <w:szCs w:val="20"/>
              </w:rPr>
              <w:t>В составе Комитета по кадрам и вознаграждениям отсутствуют должностные лица Общества.</w:t>
            </w:r>
          </w:p>
        </w:tc>
      </w:tr>
      <w:tr w:rsidR="0086454D" w:rsidRPr="004761E0" w:rsidTr="006B79B0">
        <w:trPr>
          <w:trHeight w:val="628"/>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6B79B0">
            <w:pPr>
              <w:ind w:left="34" w:right="-57" w:firstLine="0"/>
              <w:jc w:val="left"/>
              <w:rPr>
                <w:rStyle w:val="SUBST"/>
                <w:sz w:val="20"/>
                <w:szCs w:val="20"/>
              </w:rPr>
            </w:pPr>
            <w:r w:rsidRPr="004761E0">
              <w:rPr>
                <w:rStyle w:val="SUBST"/>
                <w:sz w:val="20"/>
                <w:szCs w:val="20"/>
              </w:rPr>
              <w:t>Создание комитета совета директоров по рискам или возложение функций указанного комитета на другой комитет (кроме комитета по аудиту и комитета по кадрам и вознаграждениям)</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Не соблюдается</w:t>
            </w:r>
          </w:p>
        </w:tc>
        <w:tc>
          <w:tcPr>
            <w:tcW w:w="6555" w:type="dxa"/>
            <w:gridSpan w:val="2"/>
          </w:tcPr>
          <w:p w:rsidR="0086454D" w:rsidRPr="004761E0" w:rsidRDefault="0086454D" w:rsidP="0014598E">
            <w:pPr>
              <w:ind w:left="-57" w:right="-57" w:firstLine="0"/>
              <w:rPr>
                <w:rStyle w:val="SUBST"/>
                <w:sz w:val="20"/>
                <w:szCs w:val="20"/>
              </w:rPr>
            </w:pPr>
            <w:r w:rsidRPr="004761E0">
              <w:rPr>
                <w:rStyle w:val="SUBST"/>
                <w:sz w:val="20"/>
                <w:szCs w:val="20"/>
              </w:rPr>
              <w:t>В Обществе созданы следующие Комитеты:</w:t>
            </w:r>
          </w:p>
          <w:p w:rsidR="0086454D" w:rsidRPr="004761E0" w:rsidRDefault="0086454D" w:rsidP="007076A7">
            <w:pPr>
              <w:pStyle w:val="a5"/>
              <w:numPr>
                <w:ilvl w:val="0"/>
                <w:numId w:val="219"/>
              </w:numPr>
              <w:ind w:left="351" w:hanging="283"/>
              <w:jc w:val="left"/>
              <w:rPr>
                <w:rStyle w:val="SUBST"/>
                <w:sz w:val="20"/>
                <w:szCs w:val="20"/>
              </w:rPr>
            </w:pPr>
            <w:r w:rsidRPr="004761E0">
              <w:rPr>
                <w:rStyle w:val="SUBST"/>
                <w:sz w:val="20"/>
                <w:szCs w:val="20"/>
              </w:rPr>
              <w:t>Комитет по аудиту;</w:t>
            </w:r>
          </w:p>
          <w:p w:rsidR="0086454D" w:rsidRPr="004761E0" w:rsidRDefault="0086454D" w:rsidP="007076A7">
            <w:pPr>
              <w:pStyle w:val="a5"/>
              <w:numPr>
                <w:ilvl w:val="0"/>
                <w:numId w:val="219"/>
              </w:numPr>
              <w:ind w:left="351" w:hanging="283"/>
              <w:jc w:val="left"/>
              <w:rPr>
                <w:rStyle w:val="SUBST"/>
                <w:sz w:val="20"/>
                <w:szCs w:val="20"/>
              </w:rPr>
            </w:pPr>
            <w:r w:rsidRPr="004761E0">
              <w:rPr>
                <w:rStyle w:val="SUBST"/>
                <w:sz w:val="20"/>
                <w:szCs w:val="20"/>
              </w:rPr>
              <w:t>Комитет по надежности;</w:t>
            </w:r>
          </w:p>
          <w:p w:rsidR="0086454D" w:rsidRPr="004761E0" w:rsidRDefault="0086454D" w:rsidP="007076A7">
            <w:pPr>
              <w:pStyle w:val="a5"/>
              <w:numPr>
                <w:ilvl w:val="0"/>
                <w:numId w:val="219"/>
              </w:numPr>
              <w:ind w:left="351" w:hanging="283"/>
              <w:jc w:val="left"/>
              <w:rPr>
                <w:rStyle w:val="SUBST"/>
                <w:sz w:val="20"/>
                <w:szCs w:val="20"/>
              </w:rPr>
            </w:pPr>
            <w:r w:rsidRPr="004761E0">
              <w:rPr>
                <w:rStyle w:val="SUBST"/>
                <w:sz w:val="20"/>
                <w:szCs w:val="20"/>
              </w:rPr>
              <w:t>Комитет по стратегии и развитию;</w:t>
            </w:r>
          </w:p>
          <w:p w:rsidR="0086454D" w:rsidRPr="004761E0" w:rsidRDefault="0086454D" w:rsidP="007076A7">
            <w:pPr>
              <w:pStyle w:val="a5"/>
              <w:numPr>
                <w:ilvl w:val="0"/>
                <w:numId w:val="219"/>
              </w:numPr>
              <w:ind w:left="351" w:hanging="283"/>
              <w:jc w:val="left"/>
              <w:rPr>
                <w:rStyle w:val="SUBST"/>
                <w:sz w:val="20"/>
                <w:szCs w:val="20"/>
              </w:rPr>
            </w:pPr>
            <w:r w:rsidRPr="004761E0">
              <w:rPr>
                <w:rStyle w:val="SUBST"/>
                <w:sz w:val="20"/>
                <w:szCs w:val="20"/>
              </w:rPr>
              <w:t>Комитет по кадрам и вознаграждениям;</w:t>
            </w:r>
          </w:p>
          <w:p w:rsidR="0086454D" w:rsidRPr="004761E0" w:rsidRDefault="0086454D" w:rsidP="007076A7">
            <w:pPr>
              <w:pStyle w:val="a5"/>
              <w:numPr>
                <w:ilvl w:val="0"/>
                <w:numId w:val="219"/>
              </w:numPr>
              <w:ind w:left="351" w:hanging="283"/>
              <w:jc w:val="left"/>
              <w:rPr>
                <w:rStyle w:val="SUBST"/>
                <w:sz w:val="20"/>
                <w:szCs w:val="20"/>
              </w:rPr>
            </w:pPr>
            <w:r w:rsidRPr="004761E0">
              <w:rPr>
                <w:rStyle w:val="SUBST"/>
                <w:sz w:val="20"/>
                <w:szCs w:val="20"/>
              </w:rPr>
              <w:t>Комитет по технологическому присоединению к электрическим сетям.</w:t>
            </w:r>
          </w:p>
        </w:tc>
      </w:tr>
      <w:tr w:rsidR="0086454D" w:rsidRPr="004761E0" w:rsidTr="006B79B0">
        <w:trPr>
          <w:trHeight w:val="546"/>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6B79B0">
            <w:pPr>
              <w:ind w:left="34" w:right="-57" w:firstLine="0"/>
              <w:jc w:val="left"/>
              <w:rPr>
                <w:rStyle w:val="SUBST"/>
                <w:sz w:val="20"/>
                <w:szCs w:val="20"/>
              </w:rPr>
            </w:pPr>
            <w:r w:rsidRPr="004761E0">
              <w:rPr>
                <w:rStyle w:val="SUBST"/>
                <w:sz w:val="20"/>
                <w:szCs w:val="20"/>
              </w:rPr>
              <w:t>Создание комитета совета директоров по урегулированию корпоративных конфликтов или возложение функций указанного комитета на другой комитет (кроме комитета по аудиту и комитета по кадрам и вознаграждениям)</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Не соблюдается</w:t>
            </w:r>
          </w:p>
        </w:tc>
        <w:tc>
          <w:tcPr>
            <w:tcW w:w="6555" w:type="dxa"/>
            <w:gridSpan w:val="2"/>
          </w:tcPr>
          <w:p w:rsidR="0086454D" w:rsidRPr="004761E0" w:rsidRDefault="0086454D" w:rsidP="0014598E">
            <w:pPr>
              <w:ind w:left="-57" w:right="-57" w:firstLine="0"/>
              <w:rPr>
                <w:rStyle w:val="SUBST"/>
                <w:sz w:val="20"/>
                <w:szCs w:val="20"/>
              </w:rPr>
            </w:pPr>
            <w:r w:rsidRPr="004761E0">
              <w:rPr>
                <w:rStyle w:val="SUBST"/>
                <w:sz w:val="20"/>
                <w:szCs w:val="20"/>
              </w:rPr>
              <w:t>В Обществе созданы следующие Комитеты:</w:t>
            </w:r>
          </w:p>
          <w:p w:rsidR="0086454D" w:rsidRPr="004761E0" w:rsidRDefault="0086454D" w:rsidP="007076A7">
            <w:pPr>
              <w:pStyle w:val="a5"/>
              <w:numPr>
                <w:ilvl w:val="0"/>
                <w:numId w:val="220"/>
              </w:numPr>
              <w:ind w:left="351" w:hanging="283"/>
              <w:jc w:val="left"/>
              <w:rPr>
                <w:rStyle w:val="SUBST"/>
                <w:sz w:val="20"/>
                <w:szCs w:val="20"/>
              </w:rPr>
            </w:pPr>
            <w:r w:rsidRPr="004761E0">
              <w:rPr>
                <w:rStyle w:val="SUBST"/>
                <w:sz w:val="20"/>
                <w:szCs w:val="20"/>
              </w:rPr>
              <w:t>Комитет по аудиту;</w:t>
            </w:r>
          </w:p>
          <w:p w:rsidR="0086454D" w:rsidRPr="004761E0" w:rsidRDefault="0086454D" w:rsidP="007076A7">
            <w:pPr>
              <w:pStyle w:val="a5"/>
              <w:numPr>
                <w:ilvl w:val="0"/>
                <w:numId w:val="220"/>
              </w:numPr>
              <w:ind w:left="351" w:hanging="283"/>
              <w:jc w:val="left"/>
              <w:rPr>
                <w:rStyle w:val="SUBST"/>
                <w:sz w:val="20"/>
                <w:szCs w:val="20"/>
              </w:rPr>
            </w:pPr>
            <w:r w:rsidRPr="004761E0">
              <w:rPr>
                <w:rStyle w:val="SUBST"/>
                <w:sz w:val="20"/>
                <w:szCs w:val="20"/>
              </w:rPr>
              <w:t>Комитет по надежности;</w:t>
            </w:r>
          </w:p>
          <w:p w:rsidR="0086454D" w:rsidRPr="004761E0" w:rsidRDefault="0086454D" w:rsidP="007076A7">
            <w:pPr>
              <w:pStyle w:val="a5"/>
              <w:numPr>
                <w:ilvl w:val="0"/>
                <w:numId w:val="220"/>
              </w:numPr>
              <w:ind w:left="351" w:hanging="283"/>
              <w:jc w:val="left"/>
              <w:rPr>
                <w:rStyle w:val="SUBST"/>
                <w:sz w:val="20"/>
                <w:szCs w:val="20"/>
              </w:rPr>
            </w:pPr>
            <w:r w:rsidRPr="004761E0">
              <w:rPr>
                <w:rStyle w:val="SUBST"/>
                <w:sz w:val="20"/>
                <w:szCs w:val="20"/>
              </w:rPr>
              <w:t>Комитет по стратегии и развитию;</w:t>
            </w:r>
          </w:p>
          <w:p w:rsidR="0086454D" w:rsidRPr="004761E0" w:rsidRDefault="0086454D" w:rsidP="007076A7">
            <w:pPr>
              <w:pStyle w:val="a5"/>
              <w:numPr>
                <w:ilvl w:val="0"/>
                <w:numId w:val="220"/>
              </w:numPr>
              <w:ind w:left="351" w:hanging="283"/>
              <w:jc w:val="left"/>
              <w:rPr>
                <w:rStyle w:val="SUBST"/>
                <w:sz w:val="20"/>
                <w:szCs w:val="20"/>
              </w:rPr>
            </w:pPr>
            <w:r w:rsidRPr="004761E0">
              <w:rPr>
                <w:rStyle w:val="SUBST"/>
                <w:sz w:val="20"/>
                <w:szCs w:val="20"/>
              </w:rPr>
              <w:t>Комитет по кадрам и вознаграждениям;</w:t>
            </w:r>
          </w:p>
          <w:p w:rsidR="0086454D" w:rsidRPr="004761E0" w:rsidRDefault="0086454D" w:rsidP="007076A7">
            <w:pPr>
              <w:pStyle w:val="a5"/>
              <w:numPr>
                <w:ilvl w:val="0"/>
                <w:numId w:val="220"/>
              </w:numPr>
              <w:ind w:left="351" w:hanging="283"/>
              <w:jc w:val="left"/>
              <w:rPr>
                <w:rStyle w:val="SUBST"/>
                <w:sz w:val="20"/>
                <w:szCs w:val="20"/>
              </w:rPr>
            </w:pPr>
            <w:r w:rsidRPr="004761E0">
              <w:rPr>
                <w:rStyle w:val="SUBST"/>
                <w:sz w:val="20"/>
                <w:szCs w:val="20"/>
              </w:rPr>
              <w:t>Комитет по технологическому присоединению к электрическим сетям.</w:t>
            </w:r>
          </w:p>
        </w:tc>
      </w:tr>
      <w:tr w:rsidR="0086454D" w:rsidRPr="004761E0" w:rsidTr="006B79B0">
        <w:trPr>
          <w:trHeight w:val="465"/>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6B79B0">
            <w:pPr>
              <w:ind w:left="34" w:right="-57" w:firstLine="0"/>
              <w:jc w:val="left"/>
              <w:rPr>
                <w:rStyle w:val="SUBST"/>
                <w:sz w:val="20"/>
                <w:szCs w:val="20"/>
              </w:rPr>
            </w:pPr>
            <w:r w:rsidRPr="004761E0">
              <w:rPr>
                <w:rStyle w:val="SUBST"/>
                <w:sz w:val="20"/>
                <w:szCs w:val="20"/>
              </w:rPr>
              <w:t>Отсутствие в составе комитета по урегулированию корпоративных конфликтов должностных лиц акционерного общества</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Не соблюдается</w:t>
            </w:r>
          </w:p>
        </w:tc>
        <w:tc>
          <w:tcPr>
            <w:tcW w:w="6555" w:type="dxa"/>
            <w:gridSpan w:val="2"/>
          </w:tcPr>
          <w:p w:rsidR="0086454D" w:rsidRPr="004761E0" w:rsidRDefault="0086454D" w:rsidP="0014598E">
            <w:pPr>
              <w:ind w:left="-57" w:right="-57" w:firstLine="0"/>
              <w:rPr>
                <w:rStyle w:val="SUBST"/>
                <w:sz w:val="20"/>
                <w:szCs w:val="20"/>
              </w:rPr>
            </w:pPr>
            <w:r w:rsidRPr="004761E0">
              <w:rPr>
                <w:rStyle w:val="SUBST"/>
                <w:sz w:val="20"/>
                <w:szCs w:val="20"/>
              </w:rPr>
              <w:t>В Обществе созданы следующие Комитеты:</w:t>
            </w:r>
          </w:p>
          <w:p w:rsidR="0086454D" w:rsidRPr="004761E0" w:rsidRDefault="0086454D" w:rsidP="007076A7">
            <w:pPr>
              <w:pStyle w:val="a5"/>
              <w:numPr>
                <w:ilvl w:val="0"/>
                <w:numId w:val="221"/>
              </w:numPr>
              <w:ind w:left="351" w:hanging="283"/>
              <w:jc w:val="left"/>
              <w:rPr>
                <w:rStyle w:val="SUBST"/>
                <w:sz w:val="20"/>
                <w:szCs w:val="20"/>
              </w:rPr>
            </w:pPr>
            <w:r w:rsidRPr="004761E0">
              <w:rPr>
                <w:rStyle w:val="SUBST"/>
                <w:sz w:val="20"/>
                <w:szCs w:val="20"/>
              </w:rPr>
              <w:t>Комитет по аудиту;</w:t>
            </w:r>
          </w:p>
          <w:p w:rsidR="0086454D" w:rsidRPr="004761E0" w:rsidRDefault="0086454D" w:rsidP="007076A7">
            <w:pPr>
              <w:pStyle w:val="a5"/>
              <w:numPr>
                <w:ilvl w:val="0"/>
                <w:numId w:val="221"/>
              </w:numPr>
              <w:ind w:left="351" w:hanging="283"/>
              <w:jc w:val="left"/>
              <w:rPr>
                <w:rStyle w:val="SUBST"/>
                <w:sz w:val="20"/>
                <w:szCs w:val="20"/>
              </w:rPr>
            </w:pPr>
            <w:r w:rsidRPr="004761E0">
              <w:rPr>
                <w:rStyle w:val="SUBST"/>
                <w:sz w:val="20"/>
                <w:szCs w:val="20"/>
              </w:rPr>
              <w:t>Комитет по надежности;</w:t>
            </w:r>
          </w:p>
          <w:p w:rsidR="0086454D" w:rsidRPr="004761E0" w:rsidRDefault="0086454D" w:rsidP="007076A7">
            <w:pPr>
              <w:pStyle w:val="a5"/>
              <w:numPr>
                <w:ilvl w:val="0"/>
                <w:numId w:val="221"/>
              </w:numPr>
              <w:ind w:left="351" w:hanging="283"/>
              <w:jc w:val="left"/>
              <w:rPr>
                <w:rStyle w:val="SUBST"/>
                <w:sz w:val="20"/>
                <w:szCs w:val="20"/>
              </w:rPr>
            </w:pPr>
            <w:r w:rsidRPr="004761E0">
              <w:rPr>
                <w:rStyle w:val="SUBST"/>
                <w:sz w:val="20"/>
                <w:szCs w:val="20"/>
              </w:rPr>
              <w:t>Комитет по стратегии и развитию;</w:t>
            </w:r>
          </w:p>
          <w:p w:rsidR="0086454D" w:rsidRPr="004761E0" w:rsidRDefault="0086454D" w:rsidP="007076A7">
            <w:pPr>
              <w:pStyle w:val="a5"/>
              <w:numPr>
                <w:ilvl w:val="0"/>
                <w:numId w:val="221"/>
              </w:numPr>
              <w:ind w:left="351" w:hanging="283"/>
              <w:jc w:val="left"/>
              <w:rPr>
                <w:rStyle w:val="SUBST"/>
                <w:sz w:val="20"/>
                <w:szCs w:val="20"/>
              </w:rPr>
            </w:pPr>
            <w:r w:rsidRPr="004761E0">
              <w:rPr>
                <w:rStyle w:val="SUBST"/>
                <w:sz w:val="20"/>
                <w:szCs w:val="20"/>
              </w:rPr>
              <w:t>Комитет по кадрам и вознаграждениям;</w:t>
            </w:r>
          </w:p>
          <w:p w:rsidR="0086454D" w:rsidRPr="004761E0" w:rsidRDefault="0086454D" w:rsidP="007076A7">
            <w:pPr>
              <w:pStyle w:val="a5"/>
              <w:numPr>
                <w:ilvl w:val="0"/>
                <w:numId w:val="221"/>
              </w:numPr>
              <w:ind w:left="351" w:hanging="283"/>
              <w:jc w:val="left"/>
              <w:rPr>
                <w:rStyle w:val="SUBST"/>
                <w:sz w:val="20"/>
                <w:szCs w:val="20"/>
              </w:rPr>
            </w:pPr>
            <w:r w:rsidRPr="004761E0">
              <w:rPr>
                <w:rStyle w:val="SUBST"/>
                <w:sz w:val="20"/>
                <w:szCs w:val="20"/>
              </w:rPr>
              <w:t>Комитет по технологическому присоединению к электрическим сетям.</w:t>
            </w:r>
          </w:p>
        </w:tc>
      </w:tr>
      <w:tr w:rsidR="0086454D" w:rsidRPr="004761E0" w:rsidTr="006B79B0">
        <w:trPr>
          <w:trHeight w:val="203"/>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6B79B0">
            <w:pPr>
              <w:ind w:left="34" w:right="-57" w:firstLine="0"/>
              <w:jc w:val="left"/>
              <w:rPr>
                <w:rStyle w:val="SUBST"/>
                <w:sz w:val="20"/>
                <w:szCs w:val="20"/>
              </w:rPr>
            </w:pPr>
            <w:r w:rsidRPr="004761E0">
              <w:rPr>
                <w:rStyle w:val="SUBST"/>
                <w:sz w:val="20"/>
                <w:szCs w:val="20"/>
              </w:rPr>
              <w:t>Осуществление руководства комитетом по урегулированию корпоративных конфликтов независимым директором</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Не соблюдается</w:t>
            </w:r>
          </w:p>
        </w:tc>
        <w:tc>
          <w:tcPr>
            <w:tcW w:w="6555" w:type="dxa"/>
            <w:gridSpan w:val="2"/>
          </w:tcPr>
          <w:p w:rsidR="0086454D" w:rsidRPr="004761E0" w:rsidRDefault="0086454D" w:rsidP="0014598E">
            <w:pPr>
              <w:ind w:left="-57" w:firstLine="0"/>
              <w:rPr>
                <w:rStyle w:val="SUBST"/>
                <w:sz w:val="20"/>
                <w:szCs w:val="20"/>
              </w:rPr>
            </w:pPr>
            <w:r w:rsidRPr="004761E0">
              <w:rPr>
                <w:rStyle w:val="SUBST"/>
                <w:sz w:val="20"/>
                <w:szCs w:val="20"/>
              </w:rPr>
              <w:t>Положение не выполняется в связи с отсутствием комитета по урегулированию корпоративных конфликтов в Обществе.</w:t>
            </w:r>
          </w:p>
        </w:tc>
      </w:tr>
      <w:tr w:rsidR="0086454D" w:rsidRPr="004761E0" w:rsidTr="006B79B0">
        <w:trPr>
          <w:trHeight w:val="70"/>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6B79B0">
            <w:pPr>
              <w:ind w:left="34" w:right="-57" w:firstLine="0"/>
              <w:jc w:val="left"/>
              <w:rPr>
                <w:rStyle w:val="SUBST"/>
                <w:sz w:val="20"/>
                <w:szCs w:val="20"/>
              </w:rPr>
            </w:pPr>
            <w:r w:rsidRPr="004761E0">
              <w:rPr>
                <w:rStyle w:val="SUBST"/>
                <w:sz w:val="20"/>
                <w:szCs w:val="20"/>
              </w:rPr>
              <w:t>Наличие утвержденных советом директоров внутренних документов акционерного общества, предусматривающих порядок формирования и работы комитетов совета директоров</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2C5A29">
            <w:pPr>
              <w:ind w:left="-57" w:firstLine="0"/>
              <w:rPr>
                <w:rStyle w:val="SUBST"/>
                <w:sz w:val="20"/>
                <w:szCs w:val="20"/>
              </w:rPr>
            </w:pPr>
            <w:r w:rsidRPr="004761E0">
              <w:rPr>
                <w:rStyle w:val="SUBST"/>
                <w:sz w:val="20"/>
                <w:szCs w:val="20"/>
              </w:rPr>
              <w:t>Положение о Комитете по надежности Совета директоров утверждено Советом директоров от 10.12.2009 (</w:t>
            </w:r>
            <w:r w:rsidR="005333A3" w:rsidRPr="004761E0">
              <w:rPr>
                <w:rStyle w:val="SUBST"/>
                <w:sz w:val="20"/>
                <w:szCs w:val="20"/>
              </w:rPr>
              <w:t>п</w:t>
            </w:r>
            <w:r w:rsidRPr="004761E0">
              <w:rPr>
                <w:rStyle w:val="SUBST"/>
                <w:sz w:val="20"/>
                <w:szCs w:val="20"/>
              </w:rPr>
              <w:t>ротокол от 11.12.2009 № 98);</w:t>
            </w:r>
          </w:p>
          <w:p w:rsidR="0086454D" w:rsidRPr="004761E0" w:rsidRDefault="0086454D" w:rsidP="002C5A29">
            <w:pPr>
              <w:ind w:left="-57" w:firstLine="0"/>
              <w:rPr>
                <w:rStyle w:val="SUBST"/>
                <w:sz w:val="20"/>
                <w:szCs w:val="20"/>
              </w:rPr>
            </w:pPr>
            <w:r w:rsidRPr="004761E0">
              <w:rPr>
                <w:rStyle w:val="SUBST"/>
                <w:sz w:val="20"/>
                <w:szCs w:val="20"/>
              </w:rPr>
              <w:t>Положение о Комитете по аудиту Совета директоров в новой редакции, утверждено Советом директоров от 24.08.2012 (</w:t>
            </w:r>
            <w:r w:rsidR="005333A3" w:rsidRPr="004761E0">
              <w:rPr>
                <w:rStyle w:val="SUBST"/>
                <w:sz w:val="20"/>
                <w:szCs w:val="20"/>
              </w:rPr>
              <w:t>п</w:t>
            </w:r>
            <w:r w:rsidRPr="004761E0">
              <w:rPr>
                <w:rStyle w:val="SUBST"/>
                <w:sz w:val="20"/>
                <w:szCs w:val="20"/>
              </w:rPr>
              <w:t>ротокол от 27.08.2012 № 180);</w:t>
            </w:r>
          </w:p>
          <w:p w:rsidR="0086454D" w:rsidRPr="004761E0" w:rsidRDefault="0086454D" w:rsidP="002C5A29">
            <w:pPr>
              <w:ind w:left="-57" w:firstLine="0"/>
              <w:rPr>
                <w:rStyle w:val="SUBST"/>
                <w:sz w:val="20"/>
                <w:szCs w:val="20"/>
              </w:rPr>
            </w:pPr>
            <w:r w:rsidRPr="004761E0">
              <w:rPr>
                <w:rStyle w:val="SUBST"/>
                <w:sz w:val="20"/>
                <w:szCs w:val="20"/>
              </w:rPr>
              <w:t xml:space="preserve">Положение о Комитете по кадрам и вознаграждениям Совета директоров </w:t>
            </w:r>
            <w:r w:rsidRPr="004761E0">
              <w:rPr>
                <w:rStyle w:val="SUBST"/>
                <w:sz w:val="20"/>
                <w:szCs w:val="20"/>
              </w:rPr>
              <w:lastRenderedPageBreak/>
              <w:t>утверждено Советом директоров в новой редакции от 24.06.2013 (</w:t>
            </w:r>
            <w:r w:rsidR="005333A3" w:rsidRPr="004761E0">
              <w:rPr>
                <w:rStyle w:val="SUBST"/>
                <w:sz w:val="20"/>
                <w:szCs w:val="20"/>
              </w:rPr>
              <w:t>п</w:t>
            </w:r>
            <w:r w:rsidRPr="004761E0">
              <w:rPr>
                <w:rStyle w:val="SUBST"/>
                <w:sz w:val="20"/>
                <w:szCs w:val="20"/>
              </w:rPr>
              <w:t>ротокол от 27.06.2013 № 204);</w:t>
            </w:r>
          </w:p>
          <w:p w:rsidR="0086454D" w:rsidRPr="004761E0" w:rsidRDefault="0086454D" w:rsidP="002C5A29">
            <w:pPr>
              <w:ind w:left="-57" w:firstLine="0"/>
              <w:rPr>
                <w:rStyle w:val="SUBST"/>
                <w:sz w:val="20"/>
                <w:szCs w:val="20"/>
              </w:rPr>
            </w:pPr>
            <w:r w:rsidRPr="004761E0">
              <w:rPr>
                <w:rStyle w:val="SUBST"/>
                <w:sz w:val="20"/>
                <w:szCs w:val="20"/>
              </w:rPr>
              <w:t>Положение о Комитете по стратегии и развитию при Совете директоров утверждено Советом директоров 25.12.2007 (</w:t>
            </w:r>
            <w:r w:rsidR="005333A3" w:rsidRPr="004761E0">
              <w:rPr>
                <w:rStyle w:val="SUBST"/>
                <w:sz w:val="20"/>
                <w:szCs w:val="20"/>
              </w:rPr>
              <w:t>п</w:t>
            </w:r>
            <w:r w:rsidRPr="004761E0">
              <w:rPr>
                <w:rStyle w:val="SUBST"/>
                <w:sz w:val="20"/>
                <w:szCs w:val="20"/>
              </w:rPr>
              <w:t>ротокол от 28.12.2007 № 54);</w:t>
            </w:r>
          </w:p>
          <w:p w:rsidR="0086454D" w:rsidRPr="004761E0" w:rsidRDefault="0086454D" w:rsidP="005333A3">
            <w:pPr>
              <w:ind w:left="-57" w:firstLine="0"/>
              <w:rPr>
                <w:rStyle w:val="SUBST"/>
                <w:sz w:val="20"/>
                <w:szCs w:val="20"/>
              </w:rPr>
            </w:pPr>
            <w:r w:rsidRPr="004761E0">
              <w:rPr>
                <w:rStyle w:val="SUBST"/>
                <w:sz w:val="20"/>
                <w:szCs w:val="20"/>
              </w:rPr>
              <w:t>Положение о Комитете по технологическому присоединению к электрическим сетям при Совете директоров утверждено Советом директоров от 30.08.2013 (</w:t>
            </w:r>
            <w:r w:rsidR="005333A3" w:rsidRPr="004761E0">
              <w:rPr>
                <w:rStyle w:val="SUBST"/>
                <w:sz w:val="20"/>
                <w:szCs w:val="20"/>
              </w:rPr>
              <w:t>п</w:t>
            </w:r>
            <w:r w:rsidRPr="004761E0">
              <w:rPr>
                <w:rStyle w:val="SUBST"/>
                <w:sz w:val="20"/>
                <w:szCs w:val="20"/>
              </w:rPr>
              <w:t>ротокол от 02.09.2013 № 206).</w:t>
            </w:r>
          </w:p>
        </w:tc>
      </w:tr>
      <w:tr w:rsidR="0086454D" w:rsidRPr="004761E0" w:rsidTr="006B79B0">
        <w:trPr>
          <w:trHeight w:val="449"/>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6B79B0">
            <w:pPr>
              <w:ind w:left="34" w:right="-57" w:firstLine="0"/>
              <w:jc w:val="left"/>
              <w:rPr>
                <w:rStyle w:val="SUBST"/>
                <w:sz w:val="20"/>
                <w:szCs w:val="20"/>
              </w:rPr>
            </w:pPr>
            <w:r w:rsidRPr="004761E0">
              <w:rPr>
                <w:rStyle w:val="SUBST"/>
                <w:sz w:val="20"/>
                <w:szCs w:val="20"/>
              </w:rPr>
              <w:t>Наличие в уставе акционерного общества порядка определения кворума совета директоров, позволяющего обеспечивать обязательное участие независимых директоров в заседаниях совета директоров</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Не соблюдается</w:t>
            </w:r>
          </w:p>
        </w:tc>
        <w:tc>
          <w:tcPr>
            <w:tcW w:w="6555" w:type="dxa"/>
            <w:gridSpan w:val="2"/>
          </w:tcPr>
          <w:p w:rsidR="0086454D" w:rsidRPr="004761E0" w:rsidRDefault="0086454D" w:rsidP="002C5A29">
            <w:pPr>
              <w:autoSpaceDE w:val="0"/>
              <w:autoSpaceDN w:val="0"/>
              <w:ind w:left="-57" w:hanging="14"/>
              <w:rPr>
                <w:sz w:val="20"/>
                <w:szCs w:val="20"/>
                <w:lang w:eastAsia="ru-RU"/>
              </w:rPr>
            </w:pPr>
            <w:r w:rsidRPr="004761E0">
              <w:rPr>
                <w:sz w:val="20"/>
                <w:szCs w:val="20"/>
                <w:lang w:eastAsia="ru-RU"/>
              </w:rPr>
              <w:t xml:space="preserve">Требования по порядку определения кворума Совета директоров, позволяющего обеспечивать обязательное участие независимых директоров в заседаниях </w:t>
            </w:r>
            <w:r w:rsidR="005333A3" w:rsidRPr="004761E0">
              <w:rPr>
                <w:sz w:val="20"/>
                <w:szCs w:val="20"/>
                <w:lang w:eastAsia="ru-RU"/>
              </w:rPr>
              <w:t>С</w:t>
            </w:r>
            <w:r w:rsidRPr="004761E0">
              <w:rPr>
                <w:sz w:val="20"/>
                <w:szCs w:val="20"/>
                <w:lang w:eastAsia="ru-RU"/>
              </w:rPr>
              <w:t>овета директоров</w:t>
            </w:r>
            <w:r w:rsidR="005333A3" w:rsidRPr="004761E0">
              <w:rPr>
                <w:sz w:val="20"/>
                <w:szCs w:val="20"/>
                <w:lang w:eastAsia="ru-RU"/>
              </w:rPr>
              <w:t xml:space="preserve">, </w:t>
            </w:r>
            <w:r w:rsidRPr="004761E0">
              <w:rPr>
                <w:sz w:val="20"/>
                <w:szCs w:val="20"/>
                <w:lang w:eastAsia="ru-RU"/>
              </w:rPr>
              <w:t xml:space="preserve">в Уставе отсутствуют. Устав разработан на основании законодательства РФ, в соответствии с которым кворум для проведения заседания </w:t>
            </w:r>
            <w:r w:rsidR="005333A3" w:rsidRPr="004761E0">
              <w:rPr>
                <w:sz w:val="20"/>
                <w:szCs w:val="20"/>
                <w:lang w:eastAsia="ru-RU"/>
              </w:rPr>
              <w:t>Совета директоров определяется У</w:t>
            </w:r>
            <w:r w:rsidRPr="004761E0">
              <w:rPr>
                <w:sz w:val="20"/>
                <w:szCs w:val="20"/>
                <w:lang w:eastAsia="ru-RU"/>
              </w:rPr>
              <w:t>ставом, но не должен быть менее половины от числа изб</w:t>
            </w:r>
            <w:r w:rsidR="005333A3" w:rsidRPr="004761E0">
              <w:rPr>
                <w:sz w:val="20"/>
                <w:szCs w:val="20"/>
                <w:lang w:eastAsia="ru-RU"/>
              </w:rPr>
              <w:t>ранных членов Совета директоров</w:t>
            </w:r>
            <w:r w:rsidRPr="004761E0">
              <w:rPr>
                <w:sz w:val="20"/>
                <w:szCs w:val="20"/>
                <w:lang w:eastAsia="ru-RU"/>
              </w:rPr>
              <w:t>.</w:t>
            </w:r>
          </w:p>
          <w:p w:rsidR="0086454D" w:rsidRPr="004761E0" w:rsidRDefault="0086454D" w:rsidP="005333A3">
            <w:pPr>
              <w:autoSpaceDE w:val="0"/>
              <w:autoSpaceDN w:val="0"/>
              <w:ind w:left="-57" w:hanging="14"/>
              <w:rPr>
                <w:rStyle w:val="SUBST"/>
                <w:sz w:val="20"/>
                <w:szCs w:val="20"/>
                <w:lang w:eastAsia="ru-RU"/>
              </w:rPr>
            </w:pPr>
            <w:r w:rsidRPr="004761E0">
              <w:rPr>
                <w:sz w:val="20"/>
                <w:szCs w:val="20"/>
                <w:lang w:eastAsia="ru-RU"/>
              </w:rPr>
              <w:t>Согласно п. 18.12. Устава решения Совета директоров являются правомочными, если в их рассмотрении приняли участие не менее половины членов Совета директоров.</w:t>
            </w:r>
          </w:p>
        </w:tc>
      </w:tr>
      <w:tr w:rsidR="0086454D" w:rsidRPr="004761E0" w:rsidTr="006B79B0">
        <w:trPr>
          <w:trHeight w:val="551"/>
        </w:trPr>
        <w:tc>
          <w:tcPr>
            <w:tcW w:w="16019" w:type="dxa"/>
            <w:gridSpan w:val="8"/>
            <w:shd w:val="clear" w:color="auto" w:fill="BFBFBF" w:themeFill="background1" w:themeFillShade="BF"/>
            <w:vAlign w:val="center"/>
          </w:tcPr>
          <w:p w:rsidR="0086454D" w:rsidRPr="004761E0" w:rsidRDefault="0086454D" w:rsidP="006B79B0">
            <w:pPr>
              <w:pStyle w:val="a5"/>
              <w:ind w:left="34" w:right="-57" w:firstLine="0"/>
              <w:jc w:val="center"/>
              <w:rPr>
                <w:rStyle w:val="SUBST"/>
                <w:b/>
                <w:sz w:val="20"/>
                <w:szCs w:val="26"/>
              </w:rPr>
            </w:pPr>
            <w:r w:rsidRPr="004761E0">
              <w:rPr>
                <w:rStyle w:val="SUBST"/>
                <w:b/>
                <w:sz w:val="20"/>
                <w:szCs w:val="26"/>
              </w:rPr>
              <w:t>ИСПОЛНИТЕЛЬНЫЕ ОРГАНЫ</w:t>
            </w:r>
          </w:p>
        </w:tc>
      </w:tr>
      <w:tr w:rsidR="0086454D" w:rsidRPr="004761E0" w:rsidTr="006B79B0">
        <w:trPr>
          <w:trHeight w:val="70"/>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rStyle w:val="SUBST"/>
                <w:sz w:val="20"/>
                <w:szCs w:val="20"/>
              </w:rPr>
              <w:t>Наличие коллегиального исполнительного органа (правления) акционерного общества</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5333A3">
            <w:pPr>
              <w:ind w:left="-57" w:right="-57" w:firstLine="0"/>
              <w:rPr>
                <w:rStyle w:val="SUBST"/>
                <w:sz w:val="20"/>
                <w:szCs w:val="20"/>
              </w:rPr>
            </w:pPr>
            <w:r w:rsidRPr="004761E0">
              <w:rPr>
                <w:rStyle w:val="SUBST"/>
                <w:sz w:val="20"/>
                <w:szCs w:val="20"/>
              </w:rPr>
              <w:t xml:space="preserve">В соответствии с п. 9.1ст. 9.1.Устава </w:t>
            </w:r>
            <w:r w:rsidRPr="004761E0">
              <w:rPr>
                <w:sz w:val="20"/>
                <w:szCs w:val="20"/>
              </w:rPr>
              <w:t>в Общества образован коллегиальный исполнительный орган – Правление.</w:t>
            </w:r>
          </w:p>
        </w:tc>
      </w:tr>
      <w:tr w:rsidR="0086454D" w:rsidRPr="004761E0" w:rsidTr="005333A3">
        <w:trPr>
          <w:trHeight w:val="1330"/>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rStyle w:val="SUBST"/>
                <w:sz w:val="20"/>
                <w:szCs w:val="20"/>
              </w:rPr>
              <w:t>Наличие в уставе или внутренних документах акционерного общества положения о необходимости одобрения правлением сделок с недвижимостью, получения акционерным обществом кредитов, если указанные сделки не относятся к крупным сделкам и их совершение не относится к обычной хозяйственной деятельности акционерного общества</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5333A3">
            <w:pPr>
              <w:ind w:left="-57" w:right="-57" w:firstLine="0"/>
              <w:rPr>
                <w:rStyle w:val="SUBST"/>
                <w:sz w:val="20"/>
                <w:szCs w:val="20"/>
              </w:rPr>
            </w:pPr>
            <w:r w:rsidRPr="004761E0">
              <w:rPr>
                <w:rStyle w:val="SUBST"/>
                <w:sz w:val="20"/>
                <w:szCs w:val="20"/>
              </w:rPr>
              <w:t>В соответствии с п. 22.2. ст. 21 Устава и пп. 10-11 Положения о Правлении ст. 5, п. 5.9., пп. 14-16 предусмотрены положения о необходимости рассмотрения правлением сделок с недвижимостью, получения акционерным обществом кредитов, если указанные сделки не относятся к крупным сделкам и их совершение не относится к обычной хозяйственной деятельности акционерного общества.</w:t>
            </w:r>
          </w:p>
        </w:tc>
      </w:tr>
      <w:tr w:rsidR="0086454D" w:rsidRPr="004761E0" w:rsidTr="006B79B0">
        <w:trPr>
          <w:trHeight w:val="425"/>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rStyle w:val="SUBST"/>
                <w:sz w:val="20"/>
                <w:szCs w:val="20"/>
              </w:rPr>
              <w:t>Наличие во внутренних документах акционерного общества процедуры согласования операций, которые выходят за рамки финансово-хозяйственного плана акционерного общества</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4E121E">
            <w:pPr>
              <w:ind w:left="-57" w:right="-57" w:firstLine="0"/>
              <w:rPr>
                <w:rStyle w:val="SUBST"/>
                <w:sz w:val="20"/>
                <w:szCs w:val="20"/>
              </w:rPr>
            </w:pPr>
            <w:r w:rsidRPr="004761E0">
              <w:rPr>
                <w:rStyle w:val="SUBST"/>
                <w:sz w:val="20"/>
                <w:szCs w:val="20"/>
              </w:rPr>
              <w:t xml:space="preserve">Предусмотрено Положением о кредитной политике </w:t>
            </w:r>
            <w:r w:rsidR="004E121E" w:rsidRPr="004761E0">
              <w:rPr>
                <w:rStyle w:val="SUBST"/>
                <w:sz w:val="20"/>
                <w:szCs w:val="20"/>
              </w:rPr>
              <w:t>(</w:t>
            </w:r>
            <w:r w:rsidRPr="004761E0">
              <w:rPr>
                <w:rStyle w:val="SUBST"/>
                <w:sz w:val="20"/>
                <w:szCs w:val="20"/>
              </w:rPr>
              <w:t xml:space="preserve">утверждено решением </w:t>
            </w:r>
            <w:r w:rsidR="004E121E" w:rsidRPr="004761E0">
              <w:rPr>
                <w:rStyle w:val="SUBST"/>
                <w:sz w:val="20"/>
                <w:szCs w:val="20"/>
              </w:rPr>
              <w:t xml:space="preserve">Совета директоров от 07.11.2013, </w:t>
            </w:r>
            <w:r w:rsidR="005333A3" w:rsidRPr="004761E0">
              <w:rPr>
                <w:rStyle w:val="SUBST"/>
                <w:sz w:val="20"/>
                <w:szCs w:val="20"/>
              </w:rPr>
              <w:t>п</w:t>
            </w:r>
            <w:r w:rsidRPr="004761E0">
              <w:rPr>
                <w:rStyle w:val="SUBST"/>
                <w:sz w:val="20"/>
                <w:szCs w:val="20"/>
              </w:rPr>
              <w:t>ротокол от 08.11.2013 № 209).</w:t>
            </w:r>
          </w:p>
        </w:tc>
      </w:tr>
      <w:tr w:rsidR="0086454D" w:rsidRPr="004761E0" w:rsidTr="006B79B0">
        <w:trPr>
          <w:trHeight w:val="70"/>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rStyle w:val="SUBST"/>
                <w:sz w:val="20"/>
                <w:szCs w:val="20"/>
              </w:rPr>
              <w:t>Отсутствие в составе исполнительных органов лиц, являющихся участником, генеральным директором (управляющим), членом органа управления или работником юридического лица, конкурирующего с акционерным обществом</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sz w:val="20"/>
                <w:szCs w:val="20"/>
              </w:rPr>
              <w:t>Соблюдается</w:t>
            </w:r>
          </w:p>
        </w:tc>
        <w:tc>
          <w:tcPr>
            <w:tcW w:w="6555" w:type="dxa"/>
            <w:gridSpan w:val="2"/>
          </w:tcPr>
          <w:p w:rsidR="0086454D" w:rsidRPr="004761E0" w:rsidRDefault="0086454D" w:rsidP="005333A3">
            <w:pPr>
              <w:ind w:left="-57" w:right="-57" w:firstLine="0"/>
              <w:rPr>
                <w:rStyle w:val="SUBST"/>
                <w:sz w:val="20"/>
                <w:szCs w:val="20"/>
              </w:rPr>
            </w:pPr>
            <w:r w:rsidRPr="004761E0">
              <w:rPr>
                <w:sz w:val="20"/>
                <w:szCs w:val="20"/>
                <w:lang w:eastAsia="ru-RU"/>
              </w:rPr>
              <w:t>Указанные лица в составе исполнительных органов отсутствуют.</w:t>
            </w:r>
          </w:p>
        </w:tc>
      </w:tr>
      <w:tr w:rsidR="0086454D" w:rsidRPr="004761E0" w:rsidTr="006B79B0">
        <w:trPr>
          <w:trHeight w:val="172"/>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rStyle w:val="SUBST"/>
                <w:sz w:val="20"/>
                <w:szCs w:val="20"/>
              </w:rPr>
              <w:t xml:space="preserve">Отсутствие в составе исполнительных органов акционерного общества лиц, которые признавались виновными в совершении преступлений в сфере экономической деятельности или преступлений против государственной власти, интересов государственной службы и службы в органах местного </w:t>
            </w:r>
            <w:r w:rsidRPr="004761E0">
              <w:rPr>
                <w:rStyle w:val="SUBST"/>
                <w:sz w:val="20"/>
                <w:szCs w:val="20"/>
              </w:rPr>
              <w:lastRenderedPageBreak/>
              <w:t>самоуправления или к которым применялись административные наказания за правонарушения в области предпринимательской деятельности или в области финансов, налогов и сборов, рынка ценных бумаг. Если функции единоличного исполнительного органа выполняются управляющей организацией или управляющим – соответствие генерального директора и членов правления управляющей организации либо управляющего требованиям, предъявляемым к генеральному директору и членам правления акционерного общества</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lastRenderedPageBreak/>
              <w:t>Соблюдается</w:t>
            </w:r>
          </w:p>
        </w:tc>
        <w:tc>
          <w:tcPr>
            <w:tcW w:w="6555" w:type="dxa"/>
            <w:gridSpan w:val="2"/>
          </w:tcPr>
          <w:p w:rsidR="0086454D" w:rsidRPr="004761E0" w:rsidRDefault="0086454D" w:rsidP="005333A3">
            <w:pPr>
              <w:ind w:left="-57" w:right="-57" w:firstLine="0"/>
              <w:rPr>
                <w:rStyle w:val="SUBST"/>
                <w:sz w:val="20"/>
                <w:szCs w:val="20"/>
              </w:rPr>
            </w:pPr>
            <w:r w:rsidRPr="004761E0">
              <w:rPr>
                <w:sz w:val="20"/>
                <w:szCs w:val="20"/>
                <w:lang w:eastAsia="ru-RU"/>
              </w:rPr>
              <w:t>Указанные лица в составе исполнительных органов отсутствуют</w:t>
            </w:r>
          </w:p>
        </w:tc>
      </w:tr>
      <w:tr w:rsidR="0086454D" w:rsidRPr="004761E0" w:rsidTr="006B79B0">
        <w:trPr>
          <w:trHeight w:val="1389"/>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rStyle w:val="SUBST"/>
                <w:sz w:val="20"/>
                <w:szCs w:val="20"/>
              </w:rPr>
              <w:t>Наличие в уставе или внутренних документах акционерного общества запрета управляющей организации (управляющему) осуществлять аналогичные функции в конкурирующем обществе, а также находиться в каких-либо иных имущественных отношениях с акционерным обществом, помимо оказания услуг управляющей организации (управляющего)</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Не соблюдается</w:t>
            </w:r>
          </w:p>
        </w:tc>
        <w:tc>
          <w:tcPr>
            <w:tcW w:w="6555" w:type="dxa"/>
            <w:gridSpan w:val="2"/>
          </w:tcPr>
          <w:p w:rsidR="0086454D" w:rsidRPr="004761E0" w:rsidRDefault="0086454D" w:rsidP="005333A3">
            <w:pPr>
              <w:ind w:left="-57" w:right="-57" w:firstLine="0"/>
              <w:rPr>
                <w:rStyle w:val="SUBST"/>
                <w:sz w:val="20"/>
                <w:szCs w:val="20"/>
              </w:rPr>
            </w:pPr>
            <w:r w:rsidRPr="004761E0">
              <w:rPr>
                <w:sz w:val="20"/>
                <w:szCs w:val="20"/>
              </w:rPr>
              <w:t>Данное положение Уставом и внутренними документами не предусмотрено</w:t>
            </w:r>
            <w:r w:rsidRPr="004761E0">
              <w:rPr>
                <w:rStyle w:val="SUBST"/>
                <w:sz w:val="20"/>
                <w:szCs w:val="20"/>
              </w:rPr>
              <w:t>.</w:t>
            </w:r>
          </w:p>
        </w:tc>
      </w:tr>
      <w:tr w:rsidR="0086454D" w:rsidRPr="004761E0" w:rsidTr="006B79B0">
        <w:trPr>
          <w:trHeight w:val="70"/>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rStyle w:val="SUBST"/>
                <w:sz w:val="20"/>
                <w:szCs w:val="20"/>
              </w:rPr>
              <w:t>Наличие во внутренних документах акционерного общества обязанности исполнительных органов воздерживаться от действий, которые приведут или потенциально способны привести к возникновению конфликта между их интересами и интересами акционерного общества, а в случае возникновения такого конфликта – обязанности информировать об этом совет директоров</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2C5A29">
            <w:pPr>
              <w:ind w:left="-57" w:right="-57" w:firstLine="0"/>
              <w:rPr>
                <w:sz w:val="20"/>
                <w:szCs w:val="20"/>
              </w:rPr>
            </w:pPr>
            <w:r w:rsidRPr="004761E0">
              <w:rPr>
                <w:sz w:val="20"/>
                <w:szCs w:val="20"/>
              </w:rPr>
              <w:t xml:space="preserve">Согласно п. 4.2.7. Кодекса корпоративного управления </w:t>
            </w:r>
            <w:r w:rsidR="005333A3" w:rsidRPr="004761E0">
              <w:rPr>
                <w:sz w:val="20"/>
                <w:szCs w:val="20"/>
              </w:rPr>
              <w:t>ч</w:t>
            </w:r>
            <w:r w:rsidRPr="004761E0">
              <w:rPr>
                <w:sz w:val="20"/>
                <w:szCs w:val="20"/>
              </w:rPr>
              <w:t xml:space="preserve">лены Правления и Генеральный директор действуют разумно, добросовестно и с должной тщательностью в интересах Общества и всех его акционеров. </w:t>
            </w:r>
          </w:p>
          <w:p w:rsidR="0086454D" w:rsidRPr="004761E0" w:rsidRDefault="000C553D" w:rsidP="002C5A29">
            <w:pPr>
              <w:ind w:left="-57" w:right="-57" w:firstLine="0"/>
              <w:rPr>
                <w:rStyle w:val="SUBST"/>
                <w:sz w:val="20"/>
                <w:szCs w:val="20"/>
              </w:rPr>
            </w:pPr>
            <w:r>
              <w:rPr>
                <w:sz w:val="20"/>
                <w:szCs w:val="20"/>
              </w:rPr>
              <w:t>Члены Правления и г</w:t>
            </w:r>
            <w:r w:rsidR="0086454D" w:rsidRPr="004761E0">
              <w:rPr>
                <w:sz w:val="20"/>
                <w:szCs w:val="20"/>
              </w:rPr>
              <w:t>енеральный директор обязуются воздерживаться от действий, которые могут привести к возникновению конфликта между их интересами и интересами Общества. В случае возникновения такого конфликта члены Правления и Генеральный директор обязуются сообщать об этом Совету директоров, а также воздерживаться от обсуждения и голосования по соответствующим вопросам.</w:t>
            </w:r>
          </w:p>
        </w:tc>
      </w:tr>
      <w:tr w:rsidR="0086454D" w:rsidRPr="004761E0" w:rsidTr="006B79B0">
        <w:trPr>
          <w:trHeight w:val="352"/>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rStyle w:val="SUBST"/>
                <w:sz w:val="20"/>
                <w:szCs w:val="20"/>
              </w:rPr>
              <w:t>Наличие в уставе или внутренних документах акционерного общества критериев отбора управляющей организации (управляющего)</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 частично</w:t>
            </w:r>
          </w:p>
        </w:tc>
        <w:tc>
          <w:tcPr>
            <w:tcW w:w="6555" w:type="dxa"/>
            <w:gridSpan w:val="2"/>
          </w:tcPr>
          <w:p w:rsidR="0086454D" w:rsidRPr="004761E0" w:rsidRDefault="0086454D" w:rsidP="002C5A29">
            <w:pPr>
              <w:ind w:left="-57" w:right="-57" w:firstLine="0"/>
              <w:rPr>
                <w:rStyle w:val="SUBST"/>
                <w:sz w:val="20"/>
                <w:szCs w:val="20"/>
              </w:rPr>
            </w:pPr>
            <w:r w:rsidRPr="004761E0">
              <w:rPr>
                <w:rStyle w:val="SUBST"/>
                <w:sz w:val="20"/>
                <w:szCs w:val="20"/>
              </w:rPr>
              <w:t xml:space="preserve">Устав Общества, п. 21.3 ст. 20, предусмотрено, что права и обязанности управляющей организации (управляющего) по осуществлению руководства текущей деятельностью Общества определяется законодательством </w:t>
            </w:r>
            <w:r w:rsidR="005333A3" w:rsidRPr="004761E0">
              <w:rPr>
                <w:rStyle w:val="SUBST"/>
                <w:sz w:val="20"/>
                <w:szCs w:val="20"/>
              </w:rPr>
              <w:t>РФ</w:t>
            </w:r>
            <w:r w:rsidRPr="004761E0">
              <w:rPr>
                <w:rStyle w:val="SUBST"/>
                <w:sz w:val="20"/>
                <w:szCs w:val="20"/>
              </w:rPr>
              <w:t xml:space="preserve"> и договором, заключаемым управляющей организацией (управляющим) с Обществом.</w:t>
            </w:r>
          </w:p>
          <w:p w:rsidR="0086454D" w:rsidRPr="004761E0" w:rsidRDefault="0086454D" w:rsidP="002C5A29">
            <w:pPr>
              <w:ind w:left="-57" w:right="-57" w:firstLine="0"/>
              <w:rPr>
                <w:rStyle w:val="SUBST"/>
                <w:sz w:val="20"/>
                <w:szCs w:val="20"/>
              </w:rPr>
            </w:pPr>
            <w:r w:rsidRPr="004761E0">
              <w:rPr>
                <w:rStyle w:val="SUBST"/>
                <w:sz w:val="20"/>
                <w:szCs w:val="20"/>
              </w:rPr>
              <w:t>Договор от имени Общества подписывается Председателем Совета директоров или лицом, уполномоченным Советом директоров.</w:t>
            </w:r>
          </w:p>
          <w:p w:rsidR="0086454D" w:rsidRPr="004761E0" w:rsidRDefault="0086454D" w:rsidP="004E121E">
            <w:pPr>
              <w:ind w:left="-57" w:right="-57" w:firstLine="0"/>
              <w:rPr>
                <w:rStyle w:val="SUBST"/>
                <w:sz w:val="20"/>
                <w:szCs w:val="20"/>
              </w:rPr>
            </w:pPr>
            <w:r w:rsidRPr="004761E0">
              <w:rPr>
                <w:rStyle w:val="SUBST"/>
                <w:sz w:val="20"/>
                <w:szCs w:val="20"/>
              </w:rPr>
              <w:t>Условия договора, в т.ч. в части срока полномочий, определяются Советом директоров или лицом, уп</w:t>
            </w:r>
            <w:r w:rsidR="004E121E" w:rsidRPr="004761E0">
              <w:rPr>
                <w:rStyle w:val="SUBST"/>
                <w:sz w:val="20"/>
                <w:szCs w:val="20"/>
              </w:rPr>
              <w:t>олномоченным Советом директоров</w:t>
            </w:r>
            <w:r w:rsidRPr="004761E0">
              <w:rPr>
                <w:rStyle w:val="SUBST"/>
                <w:sz w:val="20"/>
                <w:szCs w:val="20"/>
              </w:rPr>
              <w:t>.</w:t>
            </w:r>
          </w:p>
        </w:tc>
      </w:tr>
      <w:tr w:rsidR="0086454D" w:rsidRPr="004761E0" w:rsidTr="006B79B0">
        <w:trPr>
          <w:trHeight w:val="172"/>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rStyle w:val="SUBST"/>
                <w:sz w:val="20"/>
                <w:szCs w:val="20"/>
              </w:rPr>
              <w:t>Представление исполнительными органами акционерного общества ежемесячных отчетов о своей работе совету директоров</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 частично</w:t>
            </w:r>
          </w:p>
        </w:tc>
        <w:tc>
          <w:tcPr>
            <w:tcW w:w="6555" w:type="dxa"/>
            <w:gridSpan w:val="2"/>
          </w:tcPr>
          <w:p w:rsidR="0086454D" w:rsidRPr="004761E0" w:rsidRDefault="0086454D" w:rsidP="002C5A29">
            <w:pPr>
              <w:ind w:left="-57" w:right="-57" w:firstLine="0"/>
              <w:rPr>
                <w:rStyle w:val="SUBST"/>
                <w:sz w:val="20"/>
                <w:szCs w:val="20"/>
              </w:rPr>
            </w:pPr>
            <w:r w:rsidRPr="004761E0">
              <w:rPr>
                <w:rStyle w:val="SUBST"/>
                <w:sz w:val="20"/>
                <w:szCs w:val="20"/>
              </w:rPr>
              <w:t>Предусмотрено пп. 34 п. 15.1 ст. 15. Устава.</w:t>
            </w:r>
          </w:p>
          <w:p w:rsidR="0086454D" w:rsidRPr="004761E0" w:rsidRDefault="0086454D" w:rsidP="002C5A29">
            <w:pPr>
              <w:ind w:left="-57" w:right="-57" w:firstLine="0"/>
              <w:rPr>
                <w:rStyle w:val="SUBST"/>
                <w:sz w:val="20"/>
                <w:szCs w:val="20"/>
              </w:rPr>
            </w:pPr>
            <w:r w:rsidRPr="004761E0">
              <w:rPr>
                <w:rStyle w:val="SUBST"/>
                <w:sz w:val="20"/>
                <w:szCs w:val="20"/>
              </w:rPr>
              <w:t>Периодичность представления отчетов не определена.</w:t>
            </w:r>
          </w:p>
        </w:tc>
      </w:tr>
      <w:tr w:rsidR="0086454D" w:rsidRPr="004761E0" w:rsidTr="006B79B0">
        <w:trPr>
          <w:trHeight w:val="828"/>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rStyle w:val="SUBST"/>
                <w:sz w:val="20"/>
                <w:szCs w:val="20"/>
              </w:rPr>
              <w:t>Установление в договорах, заключаемых акционерным обществом с генеральным директором (управляющей организацией, управляющим) и членами правления, ответственности за нарушение положений об использовании конфиденциальной и служебной информации</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Не соблюдается</w:t>
            </w:r>
          </w:p>
        </w:tc>
        <w:tc>
          <w:tcPr>
            <w:tcW w:w="6555" w:type="dxa"/>
            <w:gridSpan w:val="2"/>
          </w:tcPr>
          <w:p w:rsidR="0086454D" w:rsidRPr="004761E0" w:rsidRDefault="0086454D" w:rsidP="004E121E">
            <w:pPr>
              <w:ind w:left="-57" w:right="-57" w:firstLine="0"/>
              <w:rPr>
                <w:rStyle w:val="SUBST"/>
                <w:sz w:val="20"/>
                <w:szCs w:val="20"/>
              </w:rPr>
            </w:pPr>
            <w:r w:rsidRPr="004761E0">
              <w:rPr>
                <w:rStyle w:val="SUBST"/>
                <w:sz w:val="20"/>
                <w:szCs w:val="20"/>
              </w:rPr>
              <w:t xml:space="preserve">В договорах, заключаемых акционерным обществом с генеральным директором, ответственность за нарушение положений об использовании конфиденциальной и служебной информации не предусмотрена. Генеральный директор несет ответственность в порядке и на условиях, </w:t>
            </w:r>
            <w:r w:rsidRPr="004761E0">
              <w:rPr>
                <w:rStyle w:val="SUBST"/>
                <w:sz w:val="20"/>
                <w:szCs w:val="20"/>
              </w:rPr>
              <w:lastRenderedPageBreak/>
              <w:t xml:space="preserve">установленных законодательством </w:t>
            </w:r>
            <w:r w:rsidR="004E121E" w:rsidRPr="004761E0">
              <w:rPr>
                <w:rStyle w:val="SUBST"/>
                <w:sz w:val="20"/>
                <w:szCs w:val="20"/>
              </w:rPr>
              <w:t>РФ</w:t>
            </w:r>
            <w:r w:rsidRPr="004761E0">
              <w:rPr>
                <w:rStyle w:val="SUBST"/>
                <w:sz w:val="20"/>
                <w:szCs w:val="20"/>
              </w:rPr>
              <w:t xml:space="preserve"> и трудовым договором. Генеральный директор несет материальную ответственность в полном размере ущерба, причиненного Обществу. Генеральный директор возмещает Обществу убытки, причиненные его виновными действиями, в т</w:t>
            </w:r>
            <w:r w:rsidR="00A26737" w:rsidRPr="004761E0">
              <w:rPr>
                <w:rStyle w:val="SUBST"/>
                <w:sz w:val="20"/>
                <w:szCs w:val="20"/>
              </w:rPr>
              <w:t>.ч.</w:t>
            </w:r>
            <w:r w:rsidRPr="004761E0">
              <w:rPr>
                <w:rStyle w:val="SUBST"/>
                <w:sz w:val="20"/>
                <w:szCs w:val="20"/>
              </w:rPr>
              <w:t xml:space="preserve"> в связи с нарушением законодательства </w:t>
            </w:r>
            <w:r w:rsidR="004E121E" w:rsidRPr="004761E0">
              <w:rPr>
                <w:rStyle w:val="SUBST"/>
                <w:sz w:val="20"/>
                <w:szCs w:val="20"/>
              </w:rPr>
              <w:t>РФ</w:t>
            </w:r>
            <w:r w:rsidRPr="004761E0">
              <w:rPr>
                <w:rStyle w:val="SUBST"/>
                <w:sz w:val="20"/>
                <w:szCs w:val="20"/>
              </w:rPr>
              <w:t xml:space="preserve"> о коммерческой тайне</w:t>
            </w:r>
            <w:r w:rsidRPr="004761E0">
              <w:rPr>
                <w:spacing w:val="7"/>
                <w:sz w:val="20"/>
                <w:szCs w:val="20"/>
              </w:rPr>
              <w:t>.</w:t>
            </w:r>
          </w:p>
        </w:tc>
      </w:tr>
      <w:tr w:rsidR="0086454D" w:rsidRPr="004761E0" w:rsidTr="006B79B0">
        <w:trPr>
          <w:trHeight w:val="609"/>
        </w:trPr>
        <w:tc>
          <w:tcPr>
            <w:tcW w:w="16019" w:type="dxa"/>
            <w:gridSpan w:val="8"/>
            <w:shd w:val="clear" w:color="auto" w:fill="BFBFBF" w:themeFill="background1" w:themeFillShade="BF"/>
            <w:vAlign w:val="center"/>
          </w:tcPr>
          <w:p w:rsidR="0086454D" w:rsidRPr="004761E0" w:rsidRDefault="0086454D" w:rsidP="006B79B0">
            <w:pPr>
              <w:pStyle w:val="a5"/>
              <w:ind w:left="34" w:right="-57" w:firstLine="0"/>
              <w:jc w:val="center"/>
              <w:rPr>
                <w:rStyle w:val="SUBST"/>
                <w:b/>
                <w:sz w:val="20"/>
                <w:szCs w:val="26"/>
              </w:rPr>
            </w:pPr>
            <w:r w:rsidRPr="004761E0">
              <w:rPr>
                <w:rStyle w:val="SUBST"/>
                <w:b/>
                <w:sz w:val="20"/>
                <w:szCs w:val="26"/>
              </w:rPr>
              <w:lastRenderedPageBreak/>
              <w:t>СЕКРЕТАРЬ ОБЩЕСТВА</w:t>
            </w:r>
          </w:p>
        </w:tc>
      </w:tr>
      <w:tr w:rsidR="0086454D" w:rsidRPr="004761E0" w:rsidTr="006B79B0">
        <w:trPr>
          <w:trHeight w:val="1269"/>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rStyle w:val="SUBST"/>
                <w:sz w:val="20"/>
                <w:szCs w:val="20"/>
              </w:rPr>
              <w:t>Наличие в акционерном обществе специального должностного лица (секретаря общества), задачей которого является обеспечение соблюдения органами и должностными лицами акционерного общества процедурных требований, гарантирующих реализацию прав и законных интересов акционеров общества</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p w:rsidR="0086454D" w:rsidRPr="004761E0" w:rsidRDefault="0086454D" w:rsidP="002C5A29">
            <w:pPr>
              <w:ind w:left="-57" w:right="-57" w:firstLine="0"/>
              <w:jc w:val="center"/>
              <w:rPr>
                <w:rStyle w:val="SUBST"/>
                <w:sz w:val="20"/>
                <w:szCs w:val="20"/>
              </w:rPr>
            </w:pPr>
            <w:r w:rsidRPr="004761E0">
              <w:rPr>
                <w:rStyle w:val="SUBST"/>
                <w:sz w:val="20"/>
                <w:szCs w:val="20"/>
              </w:rPr>
              <w:t>частично</w:t>
            </w:r>
          </w:p>
        </w:tc>
        <w:tc>
          <w:tcPr>
            <w:tcW w:w="6555" w:type="dxa"/>
            <w:gridSpan w:val="2"/>
          </w:tcPr>
          <w:p w:rsidR="0086454D" w:rsidRPr="004761E0" w:rsidRDefault="0086454D" w:rsidP="002C5A29">
            <w:pPr>
              <w:ind w:left="-57" w:right="-57" w:firstLine="0"/>
              <w:rPr>
                <w:rStyle w:val="SUBST"/>
                <w:sz w:val="20"/>
                <w:szCs w:val="20"/>
              </w:rPr>
            </w:pPr>
            <w:r w:rsidRPr="004761E0">
              <w:rPr>
                <w:rStyle w:val="SUBST"/>
                <w:sz w:val="20"/>
                <w:szCs w:val="20"/>
              </w:rPr>
              <w:t>Секретарь Совета директоров действует на основании Положения о порядке созыва и проведения заседаний Совета директоров.</w:t>
            </w:r>
          </w:p>
          <w:p w:rsidR="0086454D" w:rsidRPr="004761E0" w:rsidRDefault="0086454D" w:rsidP="002C5A29">
            <w:pPr>
              <w:ind w:left="-57" w:right="-57" w:firstLine="0"/>
              <w:rPr>
                <w:rStyle w:val="SUBST"/>
                <w:sz w:val="20"/>
                <w:szCs w:val="20"/>
              </w:rPr>
            </w:pPr>
            <w:r w:rsidRPr="004761E0">
              <w:rPr>
                <w:sz w:val="20"/>
                <w:szCs w:val="20"/>
              </w:rPr>
              <w:t>Вопрос по обеспечению соблюдения органами и должностными лицами акционерного общества процедурных требований, гарантирующих реализацию прав и законных интересов акционеров общества осуществляется Департаментом корпоративного управления и взаимодействия с акционерами</w:t>
            </w:r>
            <w:r w:rsidR="000C553D">
              <w:rPr>
                <w:sz w:val="20"/>
                <w:szCs w:val="20"/>
              </w:rPr>
              <w:t>.</w:t>
            </w:r>
          </w:p>
        </w:tc>
      </w:tr>
      <w:tr w:rsidR="0086454D" w:rsidRPr="004761E0" w:rsidTr="006B79B0">
        <w:trPr>
          <w:trHeight w:val="672"/>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rStyle w:val="SUBST"/>
                <w:sz w:val="20"/>
                <w:szCs w:val="20"/>
              </w:rPr>
              <w:t>Наличие в уставе или внутренних документах акционерного общества порядка назначения (избрания) секретаря общества и обязанностей секретаря общества</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2C5A29">
            <w:pPr>
              <w:ind w:left="-57" w:right="-57" w:firstLine="0"/>
              <w:rPr>
                <w:rStyle w:val="SUBST"/>
                <w:sz w:val="20"/>
                <w:szCs w:val="20"/>
              </w:rPr>
            </w:pPr>
            <w:r w:rsidRPr="004761E0">
              <w:rPr>
                <w:sz w:val="20"/>
                <w:szCs w:val="20"/>
              </w:rPr>
              <w:t xml:space="preserve">Предусмотрено п. 4.2. </w:t>
            </w:r>
            <w:r w:rsidRPr="004761E0">
              <w:rPr>
                <w:rStyle w:val="SUBST"/>
                <w:sz w:val="20"/>
                <w:szCs w:val="20"/>
              </w:rPr>
              <w:t>Положения о порядке созыва и проведения заседаний Совета директоров.</w:t>
            </w:r>
          </w:p>
        </w:tc>
      </w:tr>
      <w:tr w:rsidR="0086454D" w:rsidRPr="004761E0" w:rsidTr="006B79B0">
        <w:trPr>
          <w:trHeight w:val="448"/>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rStyle w:val="SUBST"/>
                <w:sz w:val="20"/>
                <w:szCs w:val="20"/>
              </w:rPr>
              <w:t>Наличие в уставе акционерного общества требований к кандидатуре секретаря общества</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Не соблюдается</w:t>
            </w:r>
          </w:p>
        </w:tc>
        <w:tc>
          <w:tcPr>
            <w:tcW w:w="6555" w:type="dxa"/>
            <w:gridSpan w:val="2"/>
          </w:tcPr>
          <w:p w:rsidR="0086454D" w:rsidRPr="004761E0" w:rsidRDefault="0086454D" w:rsidP="002C5A29">
            <w:pPr>
              <w:ind w:left="-57" w:right="-57" w:hanging="22"/>
              <w:rPr>
                <w:sz w:val="20"/>
                <w:szCs w:val="20"/>
              </w:rPr>
            </w:pPr>
            <w:r w:rsidRPr="004761E0">
              <w:rPr>
                <w:sz w:val="20"/>
                <w:szCs w:val="20"/>
              </w:rPr>
              <w:t>Устав Общества не содержит требований к кандидатуре секретаря Общества.</w:t>
            </w:r>
          </w:p>
        </w:tc>
      </w:tr>
      <w:tr w:rsidR="0086454D" w:rsidRPr="004761E0" w:rsidTr="006B79B0">
        <w:trPr>
          <w:trHeight w:val="607"/>
        </w:trPr>
        <w:tc>
          <w:tcPr>
            <w:tcW w:w="16019" w:type="dxa"/>
            <w:gridSpan w:val="8"/>
            <w:shd w:val="clear" w:color="auto" w:fill="BFBFBF" w:themeFill="background1" w:themeFillShade="BF"/>
            <w:vAlign w:val="center"/>
          </w:tcPr>
          <w:p w:rsidR="0086454D" w:rsidRPr="004761E0" w:rsidRDefault="0086454D" w:rsidP="006B79B0">
            <w:pPr>
              <w:pStyle w:val="a5"/>
              <w:ind w:left="34" w:right="-57" w:firstLine="0"/>
              <w:jc w:val="center"/>
              <w:rPr>
                <w:rStyle w:val="SUBST"/>
                <w:b/>
                <w:sz w:val="20"/>
                <w:szCs w:val="26"/>
              </w:rPr>
            </w:pPr>
            <w:r w:rsidRPr="004761E0">
              <w:rPr>
                <w:rStyle w:val="SUBST"/>
                <w:b/>
                <w:sz w:val="20"/>
                <w:szCs w:val="26"/>
              </w:rPr>
              <w:t>СУЩЕСТВЕННЫЕ КОРПОРАТИВНЫЕ ДЕЙСТВИЯ</w:t>
            </w:r>
          </w:p>
        </w:tc>
      </w:tr>
      <w:tr w:rsidR="0086454D" w:rsidRPr="004761E0" w:rsidTr="006B79B0">
        <w:trPr>
          <w:trHeight w:val="189"/>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rStyle w:val="SUBST"/>
                <w:sz w:val="20"/>
                <w:szCs w:val="20"/>
              </w:rPr>
              <w:t>Наличие в уставе или внутренних документах акционерного общества требования об одобрении крупной сделки до ее совершения</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Не соблюдается</w:t>
            </w:r>
          </w:p>
        </w:tc>
        <w:tc>
          <w:tcPr>
            <w:tcW w:w="6555" w:type="dxa"/>
            <w:gridSpan w:val="2"/>
          </w:tcPr>
          <w:p w:rsidR="0086454D" w:rsidRPr="004761E0" w:rsidRDefault="0086454D" w:rsidP="004E121E">
            <w:pPr>
              <w:ind w:left="-74" w:right="57" w:firstLine="0"/>
              <w:rPr>
                <w:b/>
                <w:sz w:val="20"/>
                <w:szCs w:val="20"/>
              </w:rPr>
            </w:pPr>
            <w:r w:rsidRPr="004761E0">
              <w:rPr>
                <w:sz w:val="20"/>
                <w:szCs w:val="20"/>
              </w:rPr>
              <w:t>Согласно пп. 17 п. 10.1 ст. 10 Устава принятие решений об одобрении крупных сделок в случаях, предусмотренных ст. 79 Федерального закона «Об акционерных обществах», относится к компетенции Общего собрания акционеров.</w:t>
            </w:r>
          </w:p>
          <w:p w:rsidR="0086454D" w:rsidRPr="004761E0" w:rsidRDefault="0086454D" w:rsidP="004E121E">
            <w:pPr>
              <w:ind w:left="-74" w:right="-57" w:firstLine="0"/>
              <w:rPr>
                <w:rStyle w:val="SUBST"/>
                <w:sz w:val="20"/>
                <w:szCs w:val="20"/>
              </w:rPr>
            </w:pPr>
            <w:r w:rsidRPr="004761E0">
              <w:rPr>
                <w:sz w:val="20"/>
                <w:szCs w:val="20"/>
              </w:rPr>
              <w:t>Согласно пп. 24 п. 15.1 ст. 15 Устава одобрение крупных сделок в случаях, предусмотренных главой X Федерального закона «Об акционерных обществах», относится к компетенции Советом директоров. Требование о предварительном одобрении крупной сделки в Уставе</w:t>
            </w:r>
            <w:r w:rsidR="004E121E" w:rsidRPr="004761E0">
              <w:rPr>
                <w:sz w:val="20"/>
                <w:szCs w:val="20"/>
              </w:rPr>
              <w:t xml:space="preserve"> или иных внутренних документах</w:t>
            </w:r>
            <w:r w:rsidRPr="004761E0">
              <w:rPr>
                <w:sz w:val="20"/>
                <w:szCs w:val="20"/>
              </w:rPr>
              <w:t xml:space="preserve"> не содержится.</w:t>
            </w:r>
          </w:p>
        </w:tc>
      </w:tr>
      <w:tr w:rsidR="0086454D" w:rsidRPr="004761E0" w:rsidTr="006B79B0">
        <w:trPr>
          <w:trHeight w:val="672"/>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rStyle w:val="SUBST"/>
                <w:sz w:val="20"/>
                <w:szCs w:val="20"/>
              </w:rPr>
              <w:t>Обязательное привлечение независимого оценщика для оценки рыночной стоимости имущества, являющегося предметом крупной сделки</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2C5A29">
            <w:pPr>
              <w:ind w:left="-57" w:right="-57" w:firstLine="0"/>
              <w:rPr>
                <w:rStyle w:val="SUBST"/>
                <w:sz w:val="20"/>
                <w:szCs w:val="20"/>
              </w:rPr>
            </w:pPr>
            <w:r w:rsidRPr="004761E0">
              <w:rPr>
                <w:sz w:val="20"/>
                <w:szCs w:val="20"/>
              </w:rPr>
              <w:t>Пп. 41 п. 15.1 ст. 15 Устава устанавливает полномочия Совета директоров по утверждению кандидатуры независимого оценщика (оценщиков) для определения стоимости акций, имущества и иных активов Общества в случаях, предусмотренных Федеральным законом «Об акционерных обществах», Уставом, а также отдельными решениями Совета директоров.</w:t>
            </w:r>
            <w:r w:rsidRPr="004761E0">
              <w:rPr>
                <w:rFonts w:ascii="Arial" w:hAnsi="Arial" w:cs="Arial"/>
              </w:rPr>
              <w:t xml:space="preserve"> </w:t>
            </w:r>
          </w:p>
        </w:tc>
      </w:tr>
      <w:tr w:rsidR="0086454D" w:rsidRPr="004761E0" w:rsidTr="006B79B0">
        <w:trPr>
          <w:trHeight w:val="2591"/>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rStyle w:val="SUBST"/>
                <w:sz w:val="20"/>
                <w:szCs w:val="20"/>
              </w:rPr>
              <w:t>Наличие в уставе акционерного общества запрета на принятие при приобретении крупных пакетов акций акционерного общества (поглощении) каких-либо действий, направленных на защиту интересов исполнительных органов (членов этих органов) и членов совета директоров акционерного общества, а также ухудшающих положение акционеров по сравнению с существующим (в частности, запрета на принятие советом директоров до окончания предполагаемого срока приобретения акций решения о выпуске дополнительных акций, о выпуске ценных бумаг, конвертируемых в акции, или ценных бумаг, предоставляющих право приобретения акций общества, даже если право принятия такого решения предоставлено ему уставом)</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Не соблюдается</w:t>
            </w:r>
          </w:p>
        </w:tc>
        <w:tc>
          <w:tcPr>
            <w:tcW w:w="6555" w:type="dxa"/>
            <w:gridSpan w:val="2"/>
          </w:tcPr>
          <w:p w:rsidR="0086454D" w:rsidRPr="004761E0" w:rsidRDefault="0086454D" w:rsidP="004E121E">
            <w:pPr>
              <w:ind w:left="-57" w:right="-57" w:firstLine="0"/>
              <w:rPr>
                <w:rStyle w:val="SUBST"/>
                <w:sz w:val="20"/>
                <w:szCs w:val="20"/>
              </w:rPr>
            </w:pPr>
            <w:r w:rsidRPr="004761E0">
              <w:rPr>
                <w:rStyle w:val="SUBST"/>
                <w:sz w:val="20"/>
                <w:szCs w:val="20"/>
              </w:rPr>
              <w:t>Данные требования Уставом не определены.</w:t>
            </w:r>
          </w:p>
        </w:tc>
      </w:tr>
      <w:tr w:rsidR="0086454D" w:rsidRPr="004761E0" w:rsidTr="006B79B0">
        <w:trPr>
          <w:trHeight w:val="705"/>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sz w:val="20"/>
                <w:szCs w:val="20"/>
              </w:rPr>
              <w:t>Наличие в уставе акционерного общества требования об обязательном привлечении независимого оценщика для оценки текущей рыночной стоимости акций и возможных изменений их рыночной стоимости в результате поглощения</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sz w:val="20"/>
                <w:szCs w:val="20"/>
              </w:rPr>
              <w:t>Не соблюдается</w:t>
            </w:r>
          </w:p>
        </w:tc>
        <w:tc>
          <w:tcPr>
            <w:tcW w:w="6555" w:type="dxa"/>
            <w:gridSpan w:val="2"/>
          </w:tcPr>
          <w:p w:rsidR="0086454D" w:rsidRPr="004761E0" w:rsidRDefault="0086454D" w:rsidP="004E121E">
            <w:pPr>
              <w:ind w:left="-57" w:right="-57" w:firstLine="0"/>
              <w:rPr>
                <w:rStyle w:val="SUBST"/>
                <w:sz w:val="20"/>
                <w:szCs w:val="20"/>
              </w:rPr>
            </w:pPr>
            <w:r w:rsidRPr="004761E0">
              <w:rPr>
                <w:sz w:val="20"/>
                <w:szCs w:val="20"/>
              </w:rPr>
              <w:t>Исполняется на практике в соответствии с требованиями Федеральным законом «Об акционерных обществах». В Уставе такое положение отсутствует.</w:t>
            </w:r>
          </w:p>
        </w:tc>
      </w:tr>
      <w:tr w:rsidR="0086454D" w:rsidRPr="004761E0" w:rsidTr="006B79B0">
        <w:trPr>
          <w:trHeight w:val="139"/>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rStyle w:val="SUBST"/>
                <w:sz w:val="20"/>
                <w:szCs w:val="20"/>
              </w:rPr>
              <w:t>Отсутствие в уставе акционерного общества освобождения приобретателя от обязанности предложить акционерам продать принадлежащие им обыкновенные акции общества (эмиссионные ценные бумаги, конвертируемые в обыкновенные акции) при поглощении</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4E121E">
            <w:pPr>
              <w:ind w:left="-57" w:right="-57" w:firstLine="0"/>
              <w:rPr>
                <w:rStyle w:val="SUBST"/>
                <w:sz w:val="20"/>
                <w:szCs w:val="20"/>
              </w:rPr>
            </w:pPr>
            <w:r w:rsidRPr="004761E0">
              <w:rPr>
                <w:sz w:val="20"/>
                <w:szCs w:val="20"/>
              </w:rPr>
              <w:t>Требование в Уставе отсутствует.</w:t>
            </w:r>
          </w:p>
        </w:tc>
      </w:tr>
      <w:tr w:rsidR="0086454D" w:rsidRPr="004761E0" w:rsidTr="006B79B0">
        <w:trPr>
          <w:trHeight w:val="482"/>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rStyle w:val="SUBST"/>
                <w:sz w:val="20"/>
                <w:szCs w:val="20"/>
              </w:rPr>
              <w:t>Наличие в уставе или внутренних документах акционерного общества требования об обязательном привлечении независимого оценщика для определения соотношения конвертации акций при реорганизации</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Не соблюдается</w:t>
            </w:r>
          </w:p>
        </w:tc>
        <w:tc>
          <w:tcPr>
            <w:tcW w:w="6555" w:type="dxa"/>
            <w:gridSpan w:val="2"/>
          </w:tcPr>
          <w:p w:rsidR="0086454D" w:rsidRPr="004761E0" w:rsidRDefault="0086454D" w:rsidP="004E121E">
            <w:pPr>
              <w:ind w:left="-57" w:right="-57" w:firstLine="0"/>
              <w:rPr>
                <w:rStyle w:val="SUBST"/>
                <w:sz w:val="20"/>
                <w:szCs w:val="20"/>
              </w:rPr>
            </w:pPr>
            <w:r w:rsidRPr="004761E0">
              <w:rPr>
                <w:sz w:val="20"/>
                <w:szCs w:val="20"/>
              </w:rPr>
              <w:t>Исполняется на практике в соответствии с требованиями Федерального закона «Об акционерных обществах». Подобное требование в Уставе отсутствует.</w:t>
            </w:r>
          </w:p>
        </w:tc>
      </w:tr>
      <w:tr w:rsidR="0086454D" w:rsidRPr="004761E0" w:rsidTr="006B79B0">
        <w:trPr>
          <w:trHeight w:val="646"/>
        </w:trPr>
        <w:tc>
          <w:tcPr>
            <w:tcW w:w="16019" w:type="dxa"/>
            <w:gridSpan w:val="8"/>
            <w:shd w:val="clear" w:color="auto" w:fill="BFBFBF" w:themeFill="background1" w:themeFillShade="BF"/>
            <w:vAlign w:val="center"/>
          </w:tcPr>
          <w:p w:rsidR="0086454D" w:rsidRPr="004761E0" w:rsidRDefault="0086454D" w:rsidP="006B79B0">
            <w:pPr>
              <w:pStyle w:val="a5"/>
              <w:ind w:left="34" w:right="-57" w:firstLine="0"/>
              <w:jc w:val="center"/>
              <w:rPr>
                <w:rStyle w:val="SUBST"/>
                <w:b/>
                <w:sz w:val="20"/>
                <w:szCs w:val="26"/>
              </w:rPr>
            </w:pPr>
            <w:r w:rsidRPr="004761E0">
              <w:rPr>
                <w:rStyle w:val="SUBST"/>
                <w:b/>
                <w:sz w:val="20"/>
                <w:szCs w:val="26"/>
              </w:rPr>
              <w:t>РАСКРЫТИЕ ИНФОРМАЦИИ</w:t>
            </w:r>
          </w:p>
        </w:tc>
      </w:tr>
      <w:tr w:rsidR="0086454D" w:rsidRPr="004761E0" w:rsidTr="006B79B0">
        <w:trPr>
          <w:trHeight w:val="419"/>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rStyle w:val="SUBST"/>
                <w:sz w:val="20"/>
                <w:szCs w:val="20"/>
              </w:rPr>
              <w:t>Наличие утвержденного советом директоров внутреннего документа, определяющего правила и подходы акционерного общества к раскрытию информации (Положения об информационной политике)</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4E121E">
            <w:pPr>
              <w:ind w:left="-57" w:right="-57" w:firstLine="0"/>
              <w:rPr>
                <w:rStyle w:val="SUBST"/>
                <w:sz w:val="20"/>
                <w:szCs w:val="20"/>
              </w:rPr>
            </w:pPr>
            <w:r w:rsidRPr="004761E0">
              <w:rPr>
                <w:rStyle w:val="SUBST"/>
                <w:sz w:val="20"/>
                <w:szCs w:val="20"/>
              </w:rPr>
              <w:t>Положение об информационной политике утверждено решением Совета директоров от 30.08.2013 (</w:t>
            </w:r>
            <w:r w:rsidR="004E121E" w:rsidRPr="004761E0">
              <w:rPr>
                <w:rStyle w:val="SUBST"/>
                <w:sz w:val="20"/>
                <w:szCs w:val="20"/>
              </w:rPr>
              <w:t>п</w:t>
            </w:r>
            <w:r w:rsidRPr="004761E0">
              <w:rPr>
                <w:rStyle w:val="SUBST"/>
                <w:sz w:val="20"/>
                <w:szCs w:val="20"/>
              </w:rPr>
              <w:t>ротокол от 02.09.2013 №</w:t>
            </w:r>
            <w:r w:rsidRPr="004761E0">
              <w:rPr>
                <w:rStyle w:val="SUBST"/>
                <w:sz w:val="20"/>
                <w:szCs w:val="20"/>
                <w:lang w:val="en-US"/>
              </w:rPr>
              <w:t> </w:t>
            </w:r>
            <w:r w:rsidRPr="004761E0">
              <w:rPr>
                <w:rStyle w:val="SUBST"/>
                <w:sz w:val="20"/>
                <w:szCs w:val="20"/>
              </w:rPr>
              <w:t>206).</w:t>
            </w:r>
          </w:p>
        </w:tc>
      </w:tr>
      <w:tr w:rsidR="0086454D" w:rsidRPr="004761E0" w:rsidTr="006B79B0">
        <w:trPr>
          <w:trHeight w:val="996"/>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A26737">
            <w:pPr>
              <w:ind w:left="-57" w:right="-57" w:firstLine="0"/>
              <w:jc w:val="left"/>
              <w:rPr>
                <w:rStyle w:val="SUBST"/>
                <w:sz w:val="20"/>
                <w:szCs w:val="20"/>
              </w:rPr>
            </w:pPr>
            <w:r w:rsidRPr="004761E0">
              <w:rPr>
                <w:rStyle w:val="SUBST"/>
                <w:sz w:val="20"/>
                <w:szCs w:val="20"/>
              </w:rPr>
              <w:t>Наличие во внутренних документах акционерного общества требования о раскрытии информации о целях размещения акций, о лицах, которые собираются приобрести размещаемые акции, в т</w:t>
            </w:r>
            <w:r w:rsidR="00A26737" w:rsidRPr="004761E0">
              <w:rPr>
                <w:rStyle w:val="SUBST"/>
                <w:sz w:val="20"/>
                <w:szCs w:val="20"/>
              </w:rPr>
              <w:t>.ч.</w:t>
            </w:r>
            <w:r w:rsidRPr="004761E0">
              <w:rPr>
                <w:rStyle w:val="SUBST"/>
                <w:sz w:val="20"/>
                <w:szCs w:val="20"/>
              </w:rPr>
              <w:t xml:space="preserve"> крупный пакет акций, а также о том, будут ли высшие должностные лица акционерного общества участвовать в приобретении размещаемых акций общества</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Не соблюдается</w:t>
            </w:r>
          </w:p>
        </w:tc>
        <w:tc>
          <w:tcPr>
            <w:tcW w:w="6555" w:type="dxa"/>
            <w:gridSpan w:val="2"/>
          </w:tcPr>
          <w:p w:rsidR="0086454D" w:rsidRPr="004761E0" w:rsidRDefault="0086454D" w:rsidP="004E121E">
            <w:pPr>
              <w:ind w:left="-57" w:right="-57" w:firstLine="0"/>
              <w:rPr>
                <w:rStyle w:val="SUBST"/>
                <w:sz w:val="20"/>
                <w:szCs w:val="20"/>
              </w:rPr>
            </w:pPr>
            <w:r w:rsidRPr="004761E0">
              <w:rPr>
                <w:rStyle w:val="SUBST"/>
                <w:sz w:val="20"/>
                <w:szCs w:val="20"/>
              </w:rPr>
              <w:t>Требования о раскрытии информации о целях размещения акций, о лицах, которые собираются приобрести размещаемые акции, в т</w:t>
            </w:r>
            <w:r w:rsidR="00A26737" w:rsidRPr="004761E0">
              <w:rPr>
                <w:rStyle w:val="SUBST"/>
                <w:sz w:val="20"/>
                <w:szCs w:val="20"/>
              </w:rPr>
              <w:t>.ч.</w:t>
            </w:r>
            <w:r w:rsidRPr="004761E0">
              <w:rPr>
                <w:rStyle w:val="SUBST"/>
                <w:sz w:val="20"/>
                <w:szCs w:val="20"/>
              </w:rPr>
              <w:t xml:space="preserve"> крупный пакет акций, а также о том, будут ли высшие должностные лица акционерного общества участвовать в приобретении размещаемых акций </w:t>
            </w:r>
            <w:r w:rsidR="004E121E" w:rsidRPr="004761E0">
              <w:rPr>
                <w:rStyle w:val="SUBST"/>
                <w:sz w:val="20"/>
                <w:szCs w:val="20"/>
              </w:rPr>
              <w:t>О</w:t>
            </w:r>
            <w:r w:rsidRPr="004761E0">
              <w:rPr>
                <w:rStyle w:val="SUBST"/>
                <w:sz w:val="20"/>
                <w:szCs w:val="20"/>
              </w:rPr>
              <w:t>бщества внутренними документами не предусмотрены.</w:t>
            </w:r>
          </w:p>
        </w:tc>
      </w:tr>
      <w:tr w:rsidR="0086454D" w:rsidRPr="004761E0" w:rsidTr="006B79B0">
        <w:trPr>
          <w:trHeight w:val="911"/>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rStyle w:val="SUBST"/>
                <w:sz w:val="20"/>
                <w:szCs w:val="20"/>
              </w:rPr>
              <w:t>Наличие во внутренних документах акционерного общества перечня информации, документов и материалов, которые должны предоставляться акционерам для решения вопросов, выносимых на общее собрание акционеров</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4E121E">
            <w:pPr>
              <w:ind w:left="-57" w:right="-57" w:firstLine="0"/>
              <w:rPr>
                <w:rStyle w:val="SUBST"/>
                <w:sz w:val="20"/>
                <w:szCs w:val="20"/>
              </w:rPr>
            </w:pPr>
            <w:r w:rsidRPr="004761E0">
              <w:rPr>
                <w:rStyle w:val="SUBST"/>
                <w:sz w:val="20"/>
                <w:szCs w:val="20"/>
              </w:rPr>
              <w:t xml:space="preserve">Предусмотрено п. 9.2 Положения об информационной политике </w:t>
            </w:r>
            <w:r w:rsidR="004E121E" w:rsidRPr="004761E0">
              <w:rPr>
                <w:rStyle w:val="SUBST"/>
                <w:sz w:val="20"/>
                <w:szCs w:val="20"/>
              </w:rPr>
              <w:t>(</w:t>
            </w:r>
            <w:r w:rsidRPr="004761E0">
              <w:rPr>
                <w:rStyle w:val="SUBST"/>
                <w:sz w:val="20"/>
                <w:szCs w:val="20"/>
              </w:rPr>
              <w:t>утверждено решением Совета директоров от 30.08.2013</w:t>
            </w:r>
            <w:r w:rsidR="004E121E" w:rsidRPr="004761E0">
              <w:rPr>
                <w:rStyle w:val="SUBST"/>
                <w:sz w:val="20"/>
                <w:szCs w:val="20"/>
              </w:rPr>
              <w:t>, п</w:t>
            </w:r>
            <w:r w:rsidRPr="004761E0">
              <w:rPr>
                <w:rStyle w:val="SUBST"/>
                <w:sz w:val="20"/>
                <w:szCs w:val="20"/>
              </w:rPr>
              <w:t>ротокол от 02.09.2013 №</w:t>
            </w:r>
            <w:r w:rsidRPr="004761E0">
              <w:rPr>
                <w:rStyle w:val="SUBST"/>
                <w:sz w:val="20"/>
                <w:szCs w:val="20"/>
                <w:lang w:val="en-US"/>
              </w:rPr>
              <w:t> </w:t>
            </w:r>
            <w:r w:rsidRPr="004761E0">
              <w:rPr>
                <w:rStyle w:val="SUBST"/>
                <w:sz w:val="20"/>
                <w:szCs w:val="20"/>
              </w:rPr>
              <w:t>206).</w:t>
            </w:r>
          </w:p>
        </w:tc>
      </w:tr>
      <w:tr w:rsidR="0086454D" w:rsidRPr="004761E0" w:rsidTr="006B79B0">
        <w:trPr>
          <w:trHeight w:val="672"/>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rStyle w:val="SUBST"/>
                <w:sz w:val="20"/>
                <w:szCs w:val="20"/>
              </w:rPr>
              <w:t>Наличие у акционерного общества веб-сайта в сети Интернет и регулярное раскрытие информации об акционерном обществе на этом веб-сайте</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2C5A29">
            <w:pPr>
              <w:ind w:left="-57" w:right="-57" w:firstLine="0"/>
              <w:rPr>
                <w:sz w:val="20"/>
                <w:szCs w:val="20"/>
                <w:lang w:eastAsia="ru-RU"/>
              </w:rPr>
            </w:pPr>
            <w:r w:rsidRPr="004761E0">
              <w:rPr>
                <w:sz w:val="20"/>
                <w:szCs w:val="20"/>
                <w:lang w:eastAsia="ru-RU"/>
              </w:rPr>
              <w:t>Общество имеет веб-сайт, на котором раскрывает информацию об Обществе. Адрес веб-сайта: http://www.moesk.ru.</w:t>
            </w:r>
          </w:p>
          <w:p w:rsidR="0086454D" w:rsidRPr="004761E0" w:rsidRDefault="0086454D" w:rsidP="004E121E">
            <w:pPr>
              <w:ind w:left="-57" w:right="-57" w:firstLine="0"/>
              <w:rPr>
                <w:rStyle w:val="SUBST"/>
                <w:sz w:val="20"/>
                <w:szCs w:val="20"/>
              </w:rPr>
            </w:pPr>
            <w:r w:rsidRPr="004761E0">
              <w:rPr>
                <w:sz w:val="20"/>
                <w:szCs w:val="20"/>
                <w:lang w:eastAsia="ru-RU"/>
              </w:rPr>
              <w:t>Общество обеспечивает своевременное обновление корпоративного сайта, в т.ч. раскрытие информации в соответствии с требованиями действующего законодательства РФ и Положением об информационной</w:t>
            </w:r>
            <w:r w:rsidRPr="004761E0">
              <w:rPr>
                <w:sz w:val="24"/>
                <w:szCs w:val="24"/>
                <w:lang w:eastAsia="ru-RU"/>
              </w:rPr>
              <w:t xml:space="preserve"> </w:t>
            </w:r>
            <w:r w:rsidRPr="004761E0">
              <w:rPr>
                <w:sz w:val="20"/>
                <w:szCs w:val="20"/>
                <w:lang w:eastAsia="ru-RU"/>
              </w:rPr>
              <w:t>политике.</w:t>
            </w:r>
          </w:p>
        </w:tc>
      </w:tr>
      <w:tr w:rsidR="0086454D" w:rsidRPr="004761E0" w:rsidTr="006B79B0">
        <w:trPr>
          <w:trHeight w:val="672"/>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rStyle w:val="SUBST"/>
                <w:sz w:val="20"/>
                <w:szCs w:val="20"/>
              </w:rPr>
              <w:t>Наличие во внутренних документах акционерного общества требования о раскрытии информации о сделках акционерного общества с лицами, относящимися в соответствии с уставом к высшим должностным лицам акционерного общества, а также о сделках акционерного общества с организациями, в которых высшим должностным лицам акционерного общества прямо или косвенно принадлежит 20 и более процентов уставного капитала акционерного общества или на которые такие лица могут иным образом оказать существенное влияние</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4E121E">
            <w:pPr>
              <w:ind w:left="-57" w:right="-57" w:firstLine="0"/>
              <w:rPr>
                <w:rStyle w:val="SUBST"/>
                <w:sz w:val="20"/>
                <w:szCs w:val="20"/>
              </w:rPr>
            </w:pPr>
            <w:r w:rsidRPr="004761E0">
              <w:rPr>
                <w:rStyle w:val="SUBST"/>
                <w:sz w:val="20"/>
                <w:szCs w:val="20"/>
              </w:rPr>
              <w:t xml:space="preserve">Предусмотрено п. 6.7.3 Положения об информационной политике </w:t>
            </w:r>
            <w:r w:rsidR="004E121E" w:rsidRPr="004761E0">
              <w:rPr>
                <w:rStyle w:val="SUBST"/>
                <w:sz w:val="20"/>
                <w:szCs w:val="20"/>
              </w:rPr>
              <w:t>(</w:t>
            </w:r>
            <w:r w:rsidRPr="004761E0">
              <w:rPr>
                <w:rStyle w:val="SUBST"/>
                <w:sz w:val="20"/>
                <w:szCs w:val="20"/>
              </w:rPr>
              <w:t>утверждено решением Совета директоров от 30.08.2013</w:t>
            </w:r>
            <w:r w:rsidR="004E121E" w:rsidRPr="004761E0">
              <w:rPr>
                <w:rStyle w:val="SUBST"/>
                <w:sz w:val="20"/>
                <w:szCs w:val="20"/>
              </w:rPr>
              <w:t>, п</w:t>
            </w:r>
            <w:r w:rsidRPr="004761E0">
              <w:rPr>
                <w:rStyle w:val="SUBST"/>
                <w:sz w:val="20"/>
                <w:szCs w:val="20"/>
              </w:rPr>
              <w:t>ротокол от 02.09.2013 №</w:t>
            </w:r>
            <w:r w:rsidRPr="004761E0">
              <w:rPr>
                <w:rStyle w:val="SUBST"/>
                <w:sz w:val="20"/>
                <w:szCs w:val="20"/>
                <w:lang w:val="en-US"/>
              </w:rPr>
              <w:t> </w:t>
            </w:r>
            <w:r w:rsidRPr="004761E0">
              <w:rPr>
                <w:rStyle w:val="SUBST"/>
                <w:sz w:val="20"/>
                <w:szCs w:val="20"/>
              </w:rPr>
              <w:t>206).</w:t>
            </w:r>
          </w:p>
        </w:tc>
      </w:tr>
      <w:tr w:rsidR="0086454D" w:rsidRPr="004761E0" w:rsidTr="006B79B0">
        <w:trPr>
          <w:trHeight w:val="672"/>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rStyle w:val="SUBST"/>
                <w:sz w:val="20"/>
                <w:szCs w:val="20"/>
              </w:rPr>
              <w:t>Наличие во внутренних документах акционерного общества требования о раскрытии информации обо всех сделках, которые могут оказать влияние на рыночную стоимость акций акционерного общества</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4E121E">
            <w:pPr>
              <w:ind w:left="-57" w:right="-57" w:firstLine="0"/>
              <w:rPr>
                <w:rStyle w:val="SUBST"/>
                <w:sz w:val="20"/>
                <w:szCs w:val="20"/>
              </w:rPr>
            </w:pPr>
            <w:r w:rsidRPr="004761E0">
              <w:rPr>
                <w:rStyle w:val="SUBST"/>
                <w:sz w:val="20"/>
                <w:szCs w:val="20"/>
              </w:rPr>
              <w:t xml:space="preserve">Предусмотрено п. 5 Положения об информационной политике </w:t>
            </w:r>
            <w:r w:rsidR="004E121E" w:rsidRPr="004761E0">
              <w:rPr>
                <w:rStyle w:val="SUBST"/>
                <w:sz w:val="20"/>
                <w:szCs w:val="20"/>
              </w:rPr>
              <w:t>(</w:t>
            </w:r>
            <w:r w:rsidRPr="004761E0">
              <w:rPr>
                <w:rStyle w:val="SUBST"/>
                <w:sz w:val="20"/>
                <w:szCs w:val="20"/>
              </w:rPr>
              <w:t xml:space="preserve">утверждено решением Совета директоров от 30.08.2013 </w:t>
            </w:r>
            <w:r w:rsidR="004E121E" w:rsidRPr="004761E0">
              <w:rPr>
                <w:rStyle w:val="SUBST"/>
                <w:sz w:val="20"/>
                <w:szCs w:val="20"/>
              </w:rPr>
              <w:t>, п</w:t>
            </w:r>
            <w:r w:rsidRPr="004761E0">
              <w:rPr>
                <w:rStyle w:val="SUBST"/>
                <w:sz w:val="20"/>
                <w:szCs w:val="20"/>
              </w:rPr>
              <w:t>ротокол от 02.09.2013 №</w:t>
            </w:r>
            <w:r w:rsidRPr="004761E0">
              <w:rPr>
                <w:rStyle w:val="SUBST"/>
                <w:sz w:val="20"/>
                <w:szCs w:val="20"/>
                <w:lang w:val="en-US"/>
              </w:rPr>
              <w:t> </w:t>
            </w:r>
            <w:r w:rsidRPr="004761E0">
              <w:rPr>
                <w:rStyle w:val="SUBST"/>
                <w:sz w:val="20"/>
                <w:szCs w:val="20"/>
              </w:rPr>
              <w:t>206).</w:t>
            </w:r>
          </w:p>
        </w:tc>
      </w:tr>
      <w:tr w:rsidR="0086454D" w:rsidRPr="004761E0" w:rsidTr="006B79B0">
        <w:trPr>
          <w:trHeight w:val="139"/>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rStyle w:val="SUBST"/>
                <w:sz w:val="20"/>
                <w:szCs w:val="20"/>
              </w:rPr>
              <w:t>Наличие утвержденного советом директоров внутреннего документа по использованию существенной информации о деятельности акционерного общества, акциях и других ценных бумагах общества и сделках с ними, которая не является общедоступной и раскрытие которой может оказать существенное влияние на рыночную стоимость акций и других ценных бумаг акционерного общества</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454CE1">
            <w:pPr>
              <w:ind w:left="-57" w:right="-57" w:firstLine="0"/>
              <w:rPr>
                <w:rStyle w:val="SUBST"/>
                <w:sz w:val="20"/>
                <w:szCs w:val="20"/>
              </w:rPr>
            </w:pPr>
            <w:r w:rsidRPr="004761E0">
              <w:rPr>
                <w:rStyle w:val="SUBST"/>
                <w:sz w:val="20"/>
                <w:szCs w:val="20"/>
              </w:rPr>
              <w:t>Положени</w:t>
            </w:r>
            <w:r w:rsidR="00454CE1" w:rsidRPr="004761E0">
              <w:rPr>
                <w:rStyle w:val="SUBST"/>
                <w:sz w:val="20"/>
                <w:szCs w:val="20"/>
              </w:rPr>
              <w:t>е</w:t>
            </w:r>
            <w:r w:rsidRPr="004761E0">
              <w:rPr>
                <w:rStyle w:val="SUBST"/>
                <w:sz w:val="20"/>
                <w:szCs w:val="20"/>
              </w:rPr>
              <w:t xml:space="preserve"> об инсайдерской информации Общества</w:t>
            </w:r>
            <w:r w:rsidR="004E121E" w:rsidRPr="004761E0">
              <w:rPr>
                <w:rStyle w:val="SUBST"/>
                <w:sz w:val="20"/>
                <w:szCs w:val="20"/>
              </w:rPr>
              <w:t xml:space="preserve"> (</w:t>
            </w:r>
            <w:r w:rsidRPr="004761E0">
              <w:rPr>
                <w:rStyle w:val="SUBST"/>
                <w:sz w:val="20"/>
                <w:szCs w:val="20"/>
              </w:rPr>
              <w:t>утверждено решением С</w:t>
            </w:r>
            <w:r w:rsidR="004E121E" w:rsidRPr="004761E0">
              <w:rPr>
                <w:rStyle w:val="SUBST"/>
                <w:sz w:val="20"/>
                <w:szCs w:val="20"/>
              </w:rPr>
              <w:t>овета директоров от 30.12.2011, п</w:t>
            </w:r>
            <w:r w:rsidRPr="004761E0">
              <w:rPr>
                <w:rStyle w:val="SUBST"/>
                <w:sz w:val="20"/>
                <w:szCs w:val="20"/>
              </w:rPr>
              <w:t>ротокол от 30.12.2011 № 155</w:t>
            </w:r>
            <w:r w:rsidR="004E121E" w:rsidRPr="004761E0">
              <w:rPr>
                <w:rStyle w:val="SUBST"/>
                <w:sz w:val="20"/>
                <w:szCs w:val="20"/>
              </w:rPr>
              <w:t>)</w:t>
            </w:r>
            <w:r w:rsidRPr="004761E0">
              <w:rPr>
                <w:rStyle w:val="SUBST"/>
                <w:sz w:val="20"/>
                <w:szCs w:val="20"/>
              </w:rPr>
              <w:t>.</w:t>
            </w:r>
          </w:p>
        </w:tc>
      </w:tr>
      <w:tr w:rsidR="0086454D" w:rsidRPr="004761E0" w:rsidTr="006B79B0">
        <w:trPr>
          <w:trHeight w:val="614"/>
        </w:trPr>
        <w:tc>
          <w:tcPr>
            <w:tcW w:w="16019" w:type="dxa"/>
            <w:gridSpan w:val="8"/>
            <w:shd w:val="clear" w:color="auto" w:fill="BFBFBF" w:themeFill="background1" w:themeFillShade="BF"/>
            <w:vAlign w:val="center"/>
          </w:tcPr>
          <w:p w:rsidR="0086454D" w:rsidRPr="004761E0" w:rsidRDefault="0086454D" w:rsidP="006B79B0">
            <w:pPr>
              <w:pStyle w:val="a5"/>
              <w:ind w:left="34" w:right="-57" w:firstLine="0"/>
              <w:jc w:val="center"/>
              <w:rPr>
                <w:rStyle w:val="SUBST"/>
                <w:b/>
                <w:sz w:val="20"/>
                <w:szCs w:val="26"/>
              </w:rPr>
            </w:pPr>
            <w:r w:rsidRPr="004761E0">
              <w:rPr>
                <w:rStyle w:val="SUBST"/>
                <w:b/>
                <w:sz w:val="20"/>
                <w:szCs w:val="26"/>
              </w:rPr>
              <w:t>КОНТРОЛЬ ЗА ФИНАНСОВО-ХОЗЯЙСТВЕННОЙ ДЕЯТЕЛЬНОСТЬЮ</w:t>
            </w:r>
          </w:p>
        </w:tc>
      </w:tr>
      <w:tr w:rsidR="0086454D" w:rsidRPr="004761E0" w:rsidTr="006B79B0">
        <w:trPr>
          <w:trHeight w:val="687"/>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rStyle w:val="SUBST"/>
                <w:sz w:val="20"/>
                <w:szCs w:val="20"/>
              </w:rPr>
              <w:t>Наличие утвержденных советом директоров процедур внутреннего контроля за финансово-хозяйственной деятельностью акционерного общества</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4E121E">
            <w:pPr>
              <w:ind w:left="-57" w:right="-57" w:firstLine="0"/>
              <w:rPr>
                <w:rStyle w:val="SUBST"/>
                <w:sz w:val="20"/>
                <w:szCs w:val="20"/>
              </w:rPr>
            </w:pPr>
            <w:r w:rsidRPr="004761E0">
              <w:rPr>
                <w:rStyle w:val="SUBST"/>
                <w:sz w:val="20"/>
                <w:szCs w:val="20"/>
              </w:rPr>
              <w:t xml:space="preserve">Предусмотрено п. 5 Положения о процедурах внутреннего контроля </w:t>
            </w:r>
            <w:r w:rsidR="004E121E" w:rsidRPr="004761E0">
              <w:rPr>
                <w:rStyle w:val="SUBST"/>
                <w:sz w:val="20"/>
                <w:szCs w:val="20"/>
              </w:rPr>
              <w:t>(</w:t>
            </w:r>
            <w:r w:rsidRPr="004761E0">
              <w:rPr>
                <w:rStyle w:val="SUBST"/>
                <w:sz w:val="20"/>
                <w:szCs w:val="20"/>
              </w:rPr>
              <w:t>утверждено решением Совета директоров от 26.12.2008</w:t>
            </w:r>
            <w:r w:rsidR="004E121E" w:rsidRPr="004761E0">
              <w:rPr>
                <w:rStyle w:val="SUBST"/>
                <w:sz w:val="20"/>
                <w:szCs w:val="20"/>
              </w:rPr>
              <w:t>, п</w:t>
            </w:r>
            <w:r w:rsidRPr="004761E0">
              <w:rPr>
                <w:rStyle w:val="SUBST"/>
                <w:sz w:val="20"/>
                <w:szCs w:val="20"/>
              </w:rPr>
              <w:t>ротокол от 26.12.2008 № 78</w:t>
            </w:r>
            <w:r w:rsidR="004E121E" w:rsidRPr="004761E0">
              <w:rPr>
                <w:rStyle w:val="SUBST"/>
                <w:sz w:val="20"/>
                <w:szCs w:val="20"/>
              </w:rPr>
              <w:t>)</w:t>
            </w:r>
            <w:r w:rsidRPr="004761E0">
              <w:rPr>
                <w:rStyle w:val="SUBST"/>
                <w:sz w:val="20"/>
                <w:szCs w:val="20"/>
              </w:rPr>
              <w:t xml:space="preserve">, и п. 4.2.3 Политики внутреннего контроля </w:t>
            </w:r>
            <w:r w:rsidR="004E121E" w:rsidRPr="004761E0">
              <w:rPr>
                <w:rStyle w:val="SUBST"/>
                <w:sz w:val="20"/>
                <w:szCs w:val="20"/>
              </w:rPr>
              <w:t>(</w:t>
            </w:r>
            <w:r w:rsidRPr="004761E0">
              <w:rPr>
                <w:rStyle w:val="SUBST"/>
                <w:sz w:val="20"/>
                <w:szCs w:val="20"/>
              </w:rPr>
              <w:t>утверждена решением Совета директоров от 10.06.2010</w:t>
            </w:r>
            <w:r w:rsidR="004E121E" w:rsidRPr="004761E0">
              <w:rPr>
                <w:rStyle w:val="SUBST"/>
                <w:sz w:val="20"/>
                <w:szCs w:val="20"/>
              </w:rPr>
              <w:t>, п</w:t>
            </w:r>
            <w:r w:rsidRPr="004761E0">
              <w:rPr>
                <w:rStyle w:val="SUBST"/>
                <w:sz w:val="20"/>
                <w:szCs w:val="20"/>
              </w:rPr>
              <w:t xml:space="preserve">ротокол от 11.06.2010 № 110). </w:t>
            </w:r>
          </w:p>
        </w:tc>
      </w:tr>
      <w:tr w:rsidR="0086454D" w:rsidRPr="004761E0" w:rsidTr="006B79B0">
        <w:trPr>
          <w:trHeight w:val="394"/>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rStyle w:val="SUBST"/>
                <w:sz w:val="20"/>
                <w:szCs w:val="20"/>
              </w:rPr>
              <w:t>Наличие специального подразделения акционерного общества, обеспечивающего соблюдение процедур внутреннего контроля (контрольно-ревизионной службы)</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2C5A29">
            <w:pPr>
              <w:ind w:left="-57" w:right="-57" w:firstLine="0"/>
              <w:rPr>
                <w:rStyle w:val="SUBST"/>
                <w:sz w:val="20"/>
                <w:szCs w:val="20"/>
              </w:rPr>
            </w:pPr>
            <w:r w:rsidRPr="004761E0">
              <w:rPr>
                <w:rStyle w:val="SUBST"/>
                <w:sz w:val="20"/>
                <w:szCs w:val="20"/>
              </w:rPr>
              <w:t>В Обществе создано специальное подразделение акционерного общества, обеспечивающее соблюдение процедур внутреннего контроля –</w:t>
            </w:r>
            <w:r w:rsidRPr="004761E0" w:rsidDel="00A95BA5">
              <w:rPr>
                <w:rStyle w:val="SUBST"/>
                <w:sz w:val="20"/>
                <w:szCs w:val="20"/>
              </w:rPr>
              <w:t xml:space="preserve"> </w:t>
            </w:r>
            <w:r w:rsidRPr="004761E0">
              <w:rPr>
                <w:rStyle w:val="SUBST"/>
                <w:sz w:val="20"/>
                <w:szCs w:val="20"/>
              </w:rPr>
              <w:t>Департамент внутреннего аудита.</w:t>
            </w:r>
          </w:p>
        </w:tc>
      </w:tr>
      <w:tr w:rsidR="0086454D" w:rsidRPr="004761E0" w:rsidTr="006B79B0">
        <w:trPr>
          <w:trHeight w:val="791"/>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rStyle w:val="SUBST"/>
                <w:sz w:val="20"/>
                <w:szCs w:val="20"/>
              </w:rPr>
              <w:t>Наличие во внутренних документах акционерного общества требования об определении структуры и состава контрольно-ревизионной службы акционерного общества советом директоров</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Не соблюдается</w:t>
            </w:r>
          </w:p>
        </w:tc>
        <w:tc>
          <w:tcPr>
            <w:tcW w:w="6555" w:type="dxa"/>
            <w:gridSpan w:val="2"/>
          </w:tcPr>
          <w:p w:rsidR="0086454D" w:rsidRPr="004761E0" w:rsidRDefault="0086454D" w:rsidP="002C5A29">
            <w:pPr>
              <w:autoSpaceDE w:val="0"/>
              <w:autoSpaceDN w:val="0"/>
              <w:adjustRightInd w:val="0"/>
              <w:ind w:firstLine="0"/>
              <w:rPr>
                <w:rStyle w:val="SUBST"/>
                <w:sz w:val="20"/>
                <w:szCs w:val="20"/>
              </w:rPr>
            </w:pPr>
            <w:r w:rsidRPr="004761E0">
              <w:rPr>
                <w:rStyle w:val="SUBST"/>
                <w:sz w:val="20"/>
                <w:szCs w:val="20"/>
              </w:rPr>
              <w:t>В соответствии с п. 4 пп. 3.2.1 п. 3.2 ст. 3 Положения о Комитете по аудиту Совета директоров к компетенции Комитета относится предварительное одобрение назначения и освобождения от должности руководителя подразделения, осуществляющего функции внутреннего контроля/аудита Общества и его заместителей.</w:t>
            </w:r>
          </w:p>
          <w:p w:rsidR="0086454D" w:rsidRPr="004761E0" w:rsidRDefault="0086454D" w:rsidP="002C5A29">
            <w:pPr>
              <w:autoSpaceDE w:val="0"/>
              <w:autoSpaceDN w:val="0"/>
              <w:adjustRightInd w:val="0"/>
              <w:ind w:firstLine="0"/>
              <w:rPr>
                <w:rStyle w:val="SUBST"/>
                <w:sz w:val="20"/>
                <w:szCs w:val="20"/>
              </w:rPr>
            </w:pPr>
            <w:r w:rsidRPr="004761E0">
              <w:rPr>
                <w:rStyle w:val="SUBST"/>
                <w:sz w:val="20"/>
                <w:szCs w:val="20"/>
              </w:rPr>
              <w:lastRenderedPageBreak/>
              <w:t>В соответствии с п. 5 пп. 3.2.1 п. 3.2 ст. 3 Положения о Комитете по аудиту Совета директоров к компетенции Комитета относится определение организационной структуры подразделения, осуществляющего функции внутреннего контроля/аудита.</w:t>
            </w:r>
          </w:p>
          <w:p w:rsidR="0086454D" w:rsidRPr="004761E0" w:rsidRDefault="0086454D" w:rsidP="002C5A29">
            <w:pPr>
              <w:ind w:right="-57" w:firstLine="0"/>
              <w:rPr>
                <w:rStyle w:val="SUBST"/>
                <w:sz w:val="20"/>
                <w:szCs w:val="20"/>
              </w:rPr>
            </w:pPr>
            <w:r w:rsidRPr="004761E0">
              <w:rPr>
                <w:rStyle w:val="SUBST"/>
                <w:sz w:val="20"/>
                <w:szCs w:val="20"/>
              </w:rPr>
              <w:t>Определение персонального состава, за исключением руководителя и его заместителей, не относится к компетенции Совета директоров.</w:t>
            </w:r>
          </w:p>
        </w:tc>
      </w:tr>
      <w:tr w:rsidR="0086454D" w:rsidRPr="004761E0" w:rsidTr="006B79B0">
        <w:trPr>
          <w:trHeight w:val="791"/>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rStyle w:val="SUBST"/>
                <w:sz w:val="20"/>
                <w:szCs w:val="20"/>
              </w:rPr>
              <w:t>Отсутствие в составе контрольно-ревизионной службы лиц, которые признавались виновными в совершении преступлений в сфере экономической деятельности или преступлений против государственной власти, интересов государственной службы и службы в органах местного самоуправления или к которым применялись административные наказания за правонарушения в области предпринимательской деятельности или в области финансов, налогов и сборов, рынка ценных бумаг</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4E121E">
            <w:pPr>
              <w:ind w:left="-57" w:right="-57" w:firstLine="0"/>
              <w:rPr>
                <w:rStyle w:val="SUBST"/>
                <w:sz w:val="20"/>
                <w:szCs w:val="20"/>
              </w:rPr>
            </w:pPr>
            <w:r w:rsidRPr="004761E0">
              <w:rPr>
                <w:rStyle w:val="SUBST"/>
                <w:sz w:val="20"/>
                <w:szCs w:val="20"/>
              </w:rPr>
              <w:t>Указанные лица в составе Департамент</w:t>
            </w:r>
            <w:r w:rsidR="00D701B7">
              <w:rPr>
                <w:rStyle w:val="SUBST"/>
                <w:sz w:val="20"/>
                <w:szCs w:val="20"/>
              </w:rPr>
              <w:t>а</w:t>
            </w:r>
            <w:r w:rsidRPr="004761E0">
              <w:rPr>
                <w:rStyle w:val="SUBST"/>
                <w:sz w:val="20"/>
                <w:szCs w:val="20"/>
              </w:rPr>
              <w:t xml:space="preserve"> внутреннего аудита отсутствуют.</w:t>
            </w:r>
          </w:p>
        </w:tc>
      </w:tr>
      <w:tr w:rsidR="0086454D" w:rsidRPr="004761E0" w:rsidTr="006B79B0">
        <w:trPr>
          <w:trHeight w:val="1065"/>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rStyle w:val="SUBST"/>
                <w:sz w:val="20"/>
                <w:szCs w:val="20"/>
              </w:rPr>
              <w:t>Отсутствие в составе контрольно-ревизионной службы лиц, входящих в состав исполнительных органов акционерного общества, а также лиц, являющихся участниками, генеральным директором (управляющим), членами органов управления или работниками юридического лица, конкурирующего с акционерным обществом</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4E121E">
            <w:pPr>
              <w:ind w:left="-57" w:right="-57" w:firstLine="0"/>
              <w:rPr>
                <w:rStyle w:val="SUBST"/>
                <w:sz w:val="20"/>
                <w:szCs w:val="20"/>
              </w:rPr>
            </w:pPr>
            <w:r w:rsidRPr="004761E0">
              <w:rPr>
                <w:rStyle w:val="SUBST"/>
                <w:sz w:val="20"/>
                <w:szCs w:val="20"/>
              </w:rPr>
              <w:t>Указанные лица в составе Департамент</w:t>
            </w:r>
            <w:r w:rsidR="00D701B7">
              <w:rPr>
                <w:rStyle w:val="SUBST"/>
                <w:sz w:val="20"/>
                <w:szCs w:val="20"/>
              </w:rPr>
              <w:t>а</w:t>
            </w:r>
            <w:r w:rsidRPr="004761E0">
              <w:rPr>
                <w:rStyle w:val="SUBST"/>
                <w:sz w:val="20"/>
                <w:szCs w:val="20"/>
              </w:rPr>
              <w:t xml:space="preserve"> внутреннего аудита отсутствуют.</w:t>
            </w:r>
          </w:p>
        </w:tc>
      </w:tr>
      <w:tr w:rsidR="0086454D" w:rsidRPr="004761E0" w:rsidTr="006B79B0">
        <w:trPr>
          <w:trHeight w:val="352"/>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rStyle w:val="SUBST"/>
                <w:sz w:val="20"/>
                <w:szCs w:val="20"/>
              </w:rPr>
              <w:t>Наличие во внутренних документах акционерного общества срока представления в контрольно-ревизионную службу документов и материалов для оценки проведенной финансово-хозяйственной операции, а также ответственности должностных лиц и работников акционерного общества за их непредставление в указанный срок</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 частично</w:t>
            </w:r>
          </w:p>
        </w:tc>
        <w:tc>
          <w:tcPr>
            <w:tcW w:w="6555" w:type="dxa"/>
            <w:gridSpan w:val="2"/>
          </w:tcPr>
          <w:p w:rsidR="0086454D" w:rsidRPr="004761E0" w:rsidRDefault="0086454D" w:rsidP="004E121E">
            <w:pPr>
              <w:ind w:left="-57" w:right="-57" w:firstLine="0"/>
              <w:rPr>
                <w:rStyle w:val="SUBST"/>
                <w:sz w:val="20"/>
                <w:szCs w:val="20"/>
              </w:rPr>
            </w:pPr>
            <w:r w:rsidRPr="004761E0">
              <w:rPr>
                <w:rStyle w:val="SUBST"/>
                <w:sz w:val="20"/>
                <w:szCs w:val="20"/>
              </w:rPr>
              <w:t>Предусмотрено п.</w:t>
            </w:r>
            <w:r w:rsidRPr="004761E0">
              <w:rPr>
                <w:rStyle w:val="SUBST"/>
                <w:sz w:val="20"/>
                <w:szCs w:val="20"/>
                <w:lang w:val="en-US"/>
              </w:rPr>
              <w:t> </w:t>
            </w:r>
            <w:r w:rsidRPr="004761E0">
              <w:rPr>
                <w:rStyle w:val="SUBST"/>
                <w:sz w:val="20"/>
                <w:szCs w:val="20"/>
              </w:rPr>
              <w:t>6.1.2 Положения о п</w:t>
            </w:r>
            <w:r w:rsidR="004E121E" w:rsidRPr="004761E0">
              <w:rPr>
                <w:rStyle w:val="SUBST"/>
                <w:sz w:val="20"/>
                <w:szCs w:val="20"/>
              </w:rPr>
              <w:t>роцедурах внутреннего контроля</w:t>
            </w:r>
            <w:r w:rsidRPr="004761E0">
              <w:rPr>
                <w:rStyle w:val="SUBST"/>
                <w:sz w:val="20"/>
                <w:szCs w:val="20"/>
              </w:rPr>
              <w:t>.</w:t>
            </w:r>
          </w:p>
        </w:tc>
      </w:tr>
      <w:tr w:rsidR="0086454D" w:rsidRPr="004761E0" w:rsidTr="006B79B0">
        <w:trPr>
          <w:trHeight w:val="352"/>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rStyle w:val="SUBST"/>
                <w:sz w:val="20"/>
                <w:szCs w:val="20"/>
              </w:rPr>
              <w:t>Наличие во внутренних документах акционерного общества обязанности контрольно-ревизионной службы сообщать о выявленных нарушениях комитету по аудиту, а в случае его отсутствия – совету директоров акционерного общества</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Соблюдается</w:t>
            </w:r>
          </w:p>
        </w:tc>
        <w:tc>
          <w:tcPr>
            <w:tcW w:w="6555" w:type="dxa"/>
            <w:gridSpan w:val="2"/>
          </w:tcPr>
          <w:p w:rsidR="0086454D" w:rsidRPr="004761E0" w:rsidRDefault="0086454D" w:rsidP="004E121E">
            <w:pPr>
              <w:ind w:left="-57" w:right="-57" w:firstLine="0"/>
              <w:rPr>
                <w:rStyle w:val="SUBST"/>
                <w:sz w:val="20"/>
                <w:szCs w:val="20"/>
              </w:rPr>
            </w:pPr>
            <w:r w:rsidRPr="004761E0">
              <w:rPr>
                <w:rStyle w:val="SUBST"/>
                <w:sz w:val="20"/>
                <w:szCs w:val="20"/>
              </w:rPr>
              <w:t>Предусмотрено п.</w:t>
            </w:r>
            <w:r w:rsidRPr="004761E0">
              <w:rPr>
                <w:rStyle w:val="SUBST"/>
                <w:sz w:val="20"/>
                <w:szCs w:val="20"/>
                <w:lang w:val="en-US"/>
              </w:rPr>
              <w:t> </w:t>
            </w:r>
            <w:r w:rsidRPr="004761E0">
              <w:rPr>
                <w:rStyle w:val="SUBST"/>
                <w:sz w:val="20"/>
                <w:szCs w:val="20"/>
              </w:rPr>
              <w:t>6.2. и п.</w:t>
            </w:r>
            <w:r w:rsidRPr="004761E0">
              <w:rPr>
                <w:rStyle w:val="SUBST"/>
                <w:sz w:val="20"/>
                <w:szCs w:val="20"/>
                <w:lang w:val="en-US"/>
              </w:rPr>
              <w:t> </w:t>
            </w:r>
            <w:r w:rsidRPr="004761E0">
              <w:rPr>
                <w:rStyle w:val="SUBST"/>
                <w:sz w:val="20"/>
                <w:szCs w:val="20"/>
              </w:rPr>
              <w:t>4.2. Положения о п</w:t>
            </w:r>
            <w:r w:rsidR="004E121E" w:rsidRPr="004761E0">
              <w:rPr>
                <w:rStyle w:val="SUBST"/>
                <w:sz w:val="20"/>
                <w:szCs w:val="20"/>
              </w:rPr>
              <w:t>роцедурах внутреннего контроля</w:t>
            </w:r>
            <w:r w:rsidRPr="004761E0">
              <w:rPr>
                <w:rStyle w:val="SUBST"/>
                <w:sz w:val="20"/>
                <w:szCs w:val="20"/>
              </w:rPr>
              <w:t>.</w:t>
            </w:r>
          </w:p>
        </w:tc>
      </w:tr>
      <w:tr w:rsidR="0086454D" w:rsidRPr="004761E0" w:rsidTr="006B79B0">
        <w:trPr>
          <w:trHeight w:val="1125"/>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rStyle w:val="SUBST"/>
                <w:sz w:val="20"/>
                <w:szCs w:val="20"/>
              </w:rPr>
              <w:t>Наличие в уставе акционерного общества требования о предварительной оценке контрольно-ревизионной службой целесообразности совершения операций, не предусмотренных финансово-хозяйственным планом акционерного общества (нестандартных операций)</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rStyle w:val="SUBST"/>
                <w:sz w:val="20"/>
                <w:szCs w:val="20"/>
              </w:rPr>
              <w:t>Не соблюдается</w:t>
            </w:r>
          </w:p>
        </w:tc>
        <w:tc>
          <w:tcPr>
            <w:tcW w:w="6555" w:type="dxa"/>
            <w:gridSpan w:val="2"/>
          </w:tcPr>
          <w:p w:rsidR="0086454D" w:rsidRPr="004761E0" w:rsidRDefault="0086454D" w:rsidP="004E121E">
            <w:pPr>
              <w:ind w:left="-57" w:right="-57" w:firstLine="0"/>
              <w:rPr>
                <w:rStyle w:val="SUBST"/>
                <w:sz w:val="20"/>
                <w:szCs w:val="20"/>
              </w:rPr>
            </w:pPr>
            <w:r w:rsidRPr="004761E0">
              <w:rPr>
                <w:rStyle w:val="SUBST"/>
                <w:sz w:val="20"/>
                <w:szCs w:val="20"/>
              </w:rPr>
              <w:t>Указанный порядок Уставом не предусмотрен.</w:t>
            </w:r>
          </w:p>
        </w:tc>
      </w:tr>
      <w:tr w:rsidR="0086454D" w:rsidRPr="004761E0" w:rsidTr="006B79B0">
        <w:trPr>
          <w:trHeight w:val="180"/>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sz w:val="20"/>
                <w:szCs w:val="20"/>
              </w:rPr>
              <w:t>Наличие во внутренних документах акционерного общества порядка согласования нестандартной операции с советом директоров</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sz w:val="20"/>
                <w:szCs w:val="20"/>
              </w:rPr>
              <w:t>Соблюдается</w:t>
            </w:r>
          </w:p>
        </w:tc>
        <w:tc>
          <w:tcPr>
            <w:tcW w:w="6555" w:type="dxa"/>
            <w:gridSpan w:val="2"/>
          </w:tcPr>
          <w:p w:rsidR="0086454D" w:rsidRPr="004761E0" w:rsidRDefault="0086454D" w:rsidP="002C5A29">
            <w:pPr>
              <w:ind w:left="34" w:right="-57" w:firstLine="0"/>
              <w:rPr>
                <w:b/>
                <w:sz w:val="20"/>
                <w:szCs w:val="20"/>
              </w:rPr>
            </w:pPr>
            <w:r w:rsidRPr="004761E0">
              <w:rPr>
                <w:sz w:val="20"/>
                <w:szCs w:val="20"/>
              </w:rPr>
              <w:t xml:space="preserve">Нестандартные операции (операции, выходящие за рамки финансово-хозяйственного плана) подлежат включению в корректировки бизнес-плана и ДПН. </w:t>
            </w:r>
          </w:p>
          <w:p w:rsidR="0086454D" w:rsidRPr="004761E0" w:rsidRDefault="0086454D" w:rsidP="002C5A29">
            <w:pPr>
              <w:adjustRightInd w:val="0"/>
              <w:ind w:left="34" w:right="-57" w:firstLine="0"/>
              <w:rPr>
                <w:b/>
                <w:sz w:val="20"/>
                <w:szCs w:val="20"/>
              </w:rPr>
            </w:pPr>
            <w:r w:rsidRPr="004761E0">
              <w:rPr>
                <w:sz w:val="20"/>
                <w:szCs w:val="20"/>
              </w:rPr>
              <w:t>Согласно пп. 18 п. 15.1 ст. 15 Устава утверждение скорректированного бизнес-плана, а также корректировка контрольных показателей движения потоков наличности Общества относится к компетенции Совета директоров.</w:t>
            </w:r>
          </w:p>
          <w:p w:rsidR="0086454D" w:rsidRPr="004761E0" w:rsidRDefault="0086454D" w:rsidP="002C5A29">
            <w:pPr>
              <w:ind w:left="34" w:right="-57" w:firstLine="0"/>
              <w:rPr>
                <w:b/>
                <w:sz w:val="20"/>
                <w:szCs w:val="20"/>
              </w:rPr>
            </w:pPr>
            <w:r w:rsidRPr="004761E0">
              <w:rPr>
                <w:sz w:val="20"/>
                <w:szCs w:val="20"/>
              </w:rPr>
              <w:lastRenderedPageBreak/>
              <w:t>Согласно пп. 7 п. 22.2 ст. 22 Устава утверждение квартального бюджета движения денежных средств Общества, относится к компетенции Правления.</w:t>
            </w:r>
          </w:p>
          <w:p w:rsidR="0086454D" w:rsidRPr="004761E0" w:rsidRDefault="0086454D" w:rsidP="002C5A29">
            <w:pPr>
              <w:ind w:left="34" w:right="-57" w:firstLine="0"/>
              <w:rPr>
                <w:rStyle w:val="SUBST"/>
                <w:sz w:val="20"/>
                <w:szCs w:val="20"/>
              </w:rPr>
            </w:pPr>
            <w:r w:rsidRPr="004761E0">
              <w:rPr>
                <w:sz w:val="20"/>
                <w:szCs w:val="20"/>
              </w:rPr>
              <w:t xml:space="preserve">В соответствии с пп. 4.2.5 Положения по управлению ДПН, не позднее 1 дня с даты утверждения окончательной корректировки ДПН скорректированный ДПН направляется членам Совета директоров.  </w:t>
            </w:r>
          </w:p>
        </w:tc>
      </w:tr>
      <w:tr w:rsidR="0086454D" w:rsidRPr="004761E0" w:rsidTr="006B79B0">
        <w:trPr>
          <w:trHeight w:val="285"/>
        </w:trPr>
        <w:tc>
          <w:tcPr>
            <w:tcW w:w="567" w:type="dxa"/>
          </w:tcPr>
          <w:p w:rsidR="0086454D" w:rsidRPr="004761E0" w:rsidRDefault="0086454D" w:rsidP="007076A7">
            <w:pPr>
              <w:pStyle w:val="a5"/>
              <w:numPr>
                <w:ilvl w:val="0"/>
                <w:numId w:val="278"/>
              </w:numPr>
              <w:ind w:left="34" w:right="-57" w:firstLine="0"/>
              <w:jc w:val="left"/>
              <w:rPr>
                <w:rStyle w:val="SUBST"/>
              </w:rPr>
            </w:pPr>
          </w:p>
        </w:tc>
        <w:tc>
          <w:tcPr>
            <w:tcW w:w="6771" w:type="dxa"/>
            <w:gridSpan w:val="3"/>
          </w:tcPr>
          <w:p w:rsidR="0086454D" w:rsidRPr="004761E0" w:rsidRDefault="0086454D" w:rsidP="002C5A29">
            <w:pPr>
              <w:ind w:left="-57" w:right="-57" w:firstLine="0"/>
              <w:jc w:val="left"/>
              <w:rPr>
                <w:rStyle w:val="SUBST"/>
                <w:sz w:val="20"/>
                <w:szCs w:val="20"/>
              </w:rPr>
            </w:pPr>
            <w:r w:rsidRPr="004761E0">
              <w:rPr>
                <w:sz w:val="20"/>
                <w:szCs w:val="20"/>
              </w:rPr>
              <w:t>Наличие утвержденного советом директоров внутреннего документа, определяющего порядок проведения проверок финансово-хозяйственной деятельности акционерного общества ревизионной комиссией</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sz w:val="20"/>
                <w:szCs w:val="20"/>
              </w:rPr>
              <w:t>Соблюдается</w:t>
            </w:r>
          </w:p>
        </w:tc>
        <w:tc>
          <w:tcPr>
            <w:tcW w:w="6555" w:type="dxa"/>
            <w:gridSpan w:val="2"/>
          </w:tcPr>
          <w:p w:rsidR="0086454D" w:rsidRPr="004761E0" w:rsidRDefault="0086454D" w:rsidP="002C5A29">
            <w:pPr>
              <w:ind w:left="-57" w:right="-57" w:firstLine="0"/>
              <w:rPr>
                <w:rStyle w:val="SUBST"/>
                <w:sz w:val="20"/>
                <w:szCs w:val="20"/>
              </w:rPr>
            </w:pPr>
            <w:r w:rsidRPr="004761E0">
              <w:rPr>
                <w:sz w:val="20"/>
                <w:szCs w:val="20"/>
              </w:rPr>
              <w:t xml:space="preserve">Порядок проведения проверок финансово-хозяйственной деятельности Общества определен Положением о Ревизионной комиссии, утвержденным Общим собранием акционеров Общества. </w:t>
            </w:r>
          </w:p>
        </w:tc>
      </w:tr>
      <w:tr w:rsidR="0086454D" w:rsidRPr="004761E0" w:rsidTr="006B79B0">
        <w:trPr>
          <w:trHeight w:val="165"/>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sz w:val="20"/>
                <w:szCs w:val="20"/>
              </w:rPr>
              <w:t>Осуществление комитетом по аудиту оценки аудиторского заключения до представления его акционерам на общем собрании акционеров</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sz w:val="20"/>
                <w:szCs w:val="20"/>
              </w:rPr>
              <w:t>Соблюдается</w:t>
            </w:r>
          </w:p>
        </w:tc>
        <w:tc>
          <w:tcPr>
            <w:tcW w:w="6555" w:type="dxa"/>
            <w:gridSpan w:val="2"/>
          </w:tcPr>
          <w:p w:rsidR="0086454D" w:rsidRPr="004761E0" w:rsidRDefault="0086454D" w:rsidP="004E121E">
            <w:pPr>
              <w:ind w:left="-57" w:right="-57" w:firstLine="0"/>
              <w:rPr>
                <w:rStyle w:val="SUBST"/>
                <w:sz w:val="20"/>
                <w:szCs w:val="20"/>
              </w:rPr>
            </w:pPr>
            <w:r w:rsidRPr="004761E0">
              <w:rPr>
                <w:sz w:val="20"/>
                <w:szCs w:val="20"/>
              </w:rPr>
              <w:t>Предусмотрено п. 5 пп. 3.1.1. пп. 3.1. ст. 3 Положения о комитете по аудиту Совета директоров.</w:t>
            </w:r>
          </w:p>
        </w:tc>
      </w:tr>
      <w:tr w:rsidR="0086454D" w:rsidRPr="004761E0" w:rsidTr="006B79B0">
        <w:trPr>
          <w:trHeight w:val="572"/>
        </w:trPr>
        <w:tc>
          <w:tcPr>
            <w:tcW w:w="16019" w:type="dxa"/>
            <w:gridSpan w:val="8"/>
            <w:shd w:val="clear" w:color="auto" w:fill="BFBFBF" w:themeFill="background1" w:themeFillShade="BF"/>
            <w:vAlign w:val="center"/>
          </w:tcPr>
          <w:p w:rsidR="0086454D" w:rsidRPr="004761E0" w:rsidRDefault="0086454D" w:rsidP="006B79B0">
            <w:pPr>
              <w:pStyle w:val="a5"/>
              <w:ind w:left="34" w:right="-57" w:firstLine="0"/>
              <w:jc w:val="center"/>
              <w:rPr>
                <w:rStyle w:val="SUBST"/>
                <w:b/>
                <w:sz w:val="20"/>
                <w:szCs w:val="26"/>
              </w:rPr>
            </w:pPr>
            <w:r w:rsidRPr="004761E0">
              <w:rPr>
                <w:rStyle w:val="SUBST"/>
                <w:b/>
                <w:sz w:val="20"/>
                <w:szCs w:val="26"/>
              </w:rPr>
              <w:t>ДИВИДЕНДЫ</w:t>
            </w:r>
          </w:p>
        </w:tc>
      </w:tr>
      <w:tr w:rsidR="0086454D" w:rsidRPr="004761E0" w:rsidTr="006B79B0">
        <w:trPr>
          <w:trHeight w:val="240"/>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sz w:val="20"/>
                <w:szCs w:val="20"/>
              </w:rPr>
              <w:t>Наличие утвержденного советом директоров внутреннего документа, которым руководствуется совет директоров при принятии рекомендаций о размере дивидендов (Положения о дивидендной политике)</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sz w:val="20"/>
                <w:szCs w:val="20"/>
              </w:rPr>
              <w:t>Соблюдается</w:t>
            </w:r>
          </w:p>
        </w:tc>
        <w:tc>
          <w:tcPr>
            <w:tcW w:w="6555" w:type="dxa"/>
            <w:gridSpan w:val="2"/>
          </w:tcPr>
          <w:p w:rsidR="0086454D" w:rsidRPr="004761E0" w:rsidRDefault="0086454D" w:rsidP="004E121E">
            <w:pPr>
              <w:ind w:left="-57" w:right="-57" w:firstLine="0"/>
              <w:rPr>
                <w:rStyle w:val="SUBST"/>
                <w:sz w:val="20"/>
                <w:szCs w:val="20"/>
              </w:rPr>
            </w:pPr>
            <w:r w:rsidRPr="004761E0">
              <w:rPr>
                <w:sz w:val="20"/>
                <w:szCs w:val="20"/>
              </w:rPr>
              <w:t>П</w:t>
            </w:r>
            <w:r w:rsidR="004E121E" w:rsidRPr="004761E0">
              <w:rPr>
                <w:sz w:val="20"/>
                <w:szCs w:val="20"/>
              </w:rPr>
              <w:t>оложение о дивидендной политике (</w:t>
            </w:r>
            <w:r w:rsidRPr="004761E0">
              <w:rPr>
                <w:sz w:val="20"/>
                <w:szCs w:val="20"/>
              </w:rPr>
              <w:t>утверждено решением Совета директоров от</w:t>
            </w:r>
            <w:r w:rsidR="004E121E" w:rsidRPr="004761E0">
              <w:rPr>
                <w:sz w:val="20"/>
                <w:szCs w:val="20"/>
              </w:rPr>
              <w:t xml:space="preserve"> 02.09.2010, п</w:t>
            </w:r>
            <w:r w:rsidRPr="004761E0">
              <w:rPr>
                <w:sz w:val="20"/>
                <w:szCs w:val="20"/>
              </w:rPr>
              <w:t>ротокол от 03.09.2010 № 114).</w:t>
            </w:r>
          </w:p>
        </w:tc>
      </w:tr>
      <w:tr w:rsidR="0086454D" w:rsidRPr="004761E0" w:rsidTr="006B79B0">
        <w:trPr>
          <w:trHeight w:val="210"/>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sz w:val="20"/>
                <w:szCs w:val="20"/>
              </w:rPr>
              <w:t>Наличие в Положении о дивидендной политике порядка определения минимальной доли чистой прибыли акционерного общества, направляемой на выплату дивидендов, и условий, при которых не выплачиваются или не полностью выплачиваются дивиденды по привилегированным акциям, размер дивидендов по которым определен в уставе акционерного общества</w:t>
            </w:r>
          </w:p>
        </w:tc>
        <w:tc>
          <w:tcPr>
            <w:tcW w:w="2126" w:type="dxa"/>
            <w:gridSpan w:val="2"/>
            <w:shd w:val="clear" w:color="auto" w:fill="FFFFFF" w:themeFill="background1"/>
          </w:tcPr>
          <w:p w:rsidR="0086454D" w:rsidRPr="004761E0" w:rsidRDefault="0086454D" w:rsidP="002C5A29">
            <w:pPr>
              <w:ind w:left="-57" w:right="-57" w:firstLine="0"/>
              <w:jc w:val="center"/>
              <w:rPr>
                <w:rStyle w:val="SUBST"/>
                <w:sz w:val="20"/>
                <w:szCs w:val="20"/>
              </w:rPr>
            </w:pPr>
            <w:r w:rsidRPr="004761E0">
              <w:rPr>
                <w:sz w:val="20"/>
                <w:szCs w:val="20"/>
              </w:rPr>
              <w:t>Соблюдается частично</w:t>
            </w:r>
          </w:p>
        </w:tc>
        <w:tc>
          <w:tcPr>
            <w:tcW w:w="6555" w:type="dxa"/>
            <w:gridSpan w:val="2"/>
          </w:tcPr>
          <w:p w:rsidR="0086454D" w:rsidRPr="004761E0" w:rsidRDefault="0086454D" w:rsidP="002C5A29">
            <w:pPr>
              <w:ind w:firstLine="0"/>
              <w:rPr>
                <w:b/>
                <w:sz w:val="20"/>
                <w:szCs w:val="20"/>
              </w:rPr>
            </w:pPr>
            <w:r w:rsidRPr="004761E0">
              <w:rPr>
                <w:sz w:val="20"/>
                <w:szCs w:val="20"/>
              </w:rPr>
              <w:t>П. 4.1. Положения дивидендной политике установлен порядок  определения (расчета) размера дивидендов по итогам финансового периода, п. 3.5. определяет условия, при которых не выплачиваются или не полностью выплачиваются дивиденды по привилегированным акциям, размер по которым установлен Уставом (в случае их размещения).</w:t>
            </w:r>
          </w:p>
          <w:p w:rsidR="0086454D" w:rsidRPr="004761E0" w:rsidRDefault="0086454D" w:rsidP="00D701B7">
            <w:pPr>
              <w:ind w:right="-57" w:firstLine="0"/>
              <w:rPr>
                <w:rStyle w:val="SUBST"/>
                <w:sz w:val="20"/>
                <w:szCs w:val="20"/>
              </w:rPr>
            </w:pPr>
            <w:r w:rsidRPr="004761E0">
              <w:rPr>
                <w:sz w:val="20"/>
                <w:szCs w:val="20"/>
              </w:rPr>
              <w:t>В отчетном периоде привилегированные акции Обществом не размещались. Размер минимальной чистой прибыли Общества, направляемой на выплату дивидендов</w:t>
            </w:r>
            <w:r w:rsidR="00D701B7">
              <w:rPr>
                <w:sz w:val="20"/>
                <w:szCs w:val="20"/>
              </w:rPr>
              <w:t>,</w:t>
            </w:r>
            <w:r w:rsidRPr="004761E0">
              <w:rPr>
                <w:sz w:val="20"/>
                <w:szCs w:val="20"/>
              </w:rPr>
              <w:t xml:space="preserve"> Положением не определен. </w:t>
            </w:r>
          </w:p>
        </w:tc>
      </w:tr>
      <w:tr w:rsidR="0086454D" w:rsidRPr="004761E0" w:rsidTr="006B79B0">
        <w:trPr>
          <w:trHeight w:val="555"/>
        </w:trPr>
        <w:tc>
          <w:tcPr>
            <w:tcW w:w="567" w:type="dxa"/>
          </w:tcPr>
          <w:p w:rsidR="0086454D" w:rsidRPr="004761E0" w:rsidRDefault="0086454D" w:rsidP="007076A7">
            <w:pPr>
              <w:pStyle w:val="a5"/>
              <w:numPr>
                <w:ilvl w:val="0"/>
                <w:numId w:val="278"/>
              </w:numPr>
              <w:ind w:left="34" w:right="-57" w:firstLine="0"/>
              <w:jc w:val="left"/>
              <w:rPr>
                <w:rStyle w:val="SUBST"/>
                <w:sz w:val="20"/>
                <w:szCs w:val="20"/>
              </w:rPr>
            </w:pPr>
          </w:p>
        </w:tc>
        <w:tc>
          <w:tcPr>
            <w:tcW w:w="6771" w:type="dxa"/>
            <w:gridSpan w:val="3"/>
          </w:tcPr>
          <w:p w:rsidR="0086454D" w:rsidRPr="004761E0" w:rsidRDefault="0086454D" w:rsidP="002C5A29">
            <w:pPr>
              <w:ind w:left="-57" w:right="-57" w:firstLine="0"/>
              <w:jc w:val="left"/>
              <w:rPr>
                <w:rStyle w:val="SUBST"/>
                <w:sz w:val="20"/>
                <w:szCs w:val="20"/>
              </w:rPr>
            </w:pPr>
            <w:r w:rsidRPr="004761E0">
              <w:rPr>
                <w:sz w:val="20"/>
                <w:szCs w:val="20"/>
              </w:rPr>
              <w:t>Опубликование сведений о дивидендной политике акционерного общества и вносимых в нее изменениях в периодическом издании, предусмотренном уставом акционерного общества для опубликования сообщений о проведении общих собраний акционеров, а также размещение указанных сведений на веб-сайте акционерного общества в сети Интернет</w:t>
            </w:r>
          </w:p>
        </w:tc>
        <w:tc>
          <w:tcPr>
            <w:tcW w:w="2126" w:type="dxa"/>
            <w:gridSpan w:val="2"/>
            <w:shd w:val="clear" w:color="auto" w:fill="FFFFFF" w:themeFill="background1"/>
          </w:tcPr>
          <w:p w:rsidR="0086454D" w:rsidRPr="004761E0" w:rsidRDefault="0086454D" w:rsidP="002C5A29">
            <w:pPr>
              <w:ind w:right="-57" w:firstLine="0"/>
              <w:jc w:val="center"/>
              <w:rPr>
                <w:rStyle w:val="SUBST"/>
                <w:sz w:val="20"/>
                <w:szCs w:val="20"/>
              </w:rPr>
            </w:pPr>
            <w:r w:rsidRPr="004761E0">
              <w:rPr>
                <w:sz w:val="20"/>
                <w:szCs w:val="20"/>
              </w:rPr>
              <w:t>Соблюдается частично</w:t>
            </w:r>
          </w:p>
        </w:tc>
        <w:tc>
          <w:tcPr>
            <w:tcW w:w="6555" w:type="dxa"/>
            <w:gridSpan w:val="2"/>
          </w:tcPr>
          <w:p w:rsidR="0086454D" w:rsidRPr="004761E0" w:rsidRDefault="0086454D" w:rsidP="002C5A29">
            <w:pPr>
              <w:ind w:left="-57" w:right="-57" w:firstLine="0"/>
              <w:rPr>
                <w:rStyle w:val="SUBST"/>
                <w:sz w:val="20"/>
                <w:szCs w:val="20"/>
              </w:rPr>
            </w:pPr>
            <w:r w:rsidRPr="004761E0">
              <w:rPr>
                <w:rStyle w:val="SUBST"/>
                <w:sz w:val="20"/>
                <w:szCs w:val="20"/>
              </w:rPr>
              <w:t xml:space="preserve">Сведения о дивидендной политике Общества и вносимых в нее изменениях размещаются на веб-сайте Общества </w:t>
            </w:r>
            <w:hyperlink r:id="rId223" w:history="1">
              <w:r w:rsidRPr="004761E0">
                <w:rPr>
                  <w:rStyle w:val="SUBST"/>
                  <w:sz w:val="20"/>
                  <w:szCs w:val="20"/>
                </w:rPr>
                <w:t>http://www.moesk.ru</w:t>
              </w:r>
            </w:hyperlink>
            <w:r w:rsidRPr="004761E0">
              <w:rPr>
                <w:rStyle w:val="SUBST"/>
                <w:sz w:val="20"/>
                <w:szCs w:val="20"/>
              </w:rPr>
              <w:t xml:space="preserve">. в соответствии с Положением об информационной политике Общества. </w:t>
            </w:r>
          </w:p>
        </w:tc>
      </w:tr>
    </w:tbl>
    <w:p w:rsidR="00CA38EF" w:rsidRDefault="00CA38EF">
      <w:pPr>
        <w:ind w:firstLine="0"/>
        <w:jc w:val="left"/>
        <w:rPr>
          <w:lang w:eastAsia="ru-RU"/>
        </w:rPr>
      </w:pPr>
      <w:r>
        <w:rPr>
          <w:lang w:eastAsia="ru-RU"/>
        </w:rPr>
        <w:br w:type="page"/>
      </w:r>
    </w:p>
    <w:p w:rsidR="00136A10" w:rsidRPr="004761E0" w:rsidRDefault="00E34ACB" w:rsidP="00CA38EF">
      <w:pPr>
        <w:pStyle w:val="a8"/>
        <w:numPr>
          <w:ilvl w:val="1"/>
          <w:numId w:val="2"/>
        </w:numPr>
        <w:tabs>
          <w:tab w:val="left" w:pos="1134"/>
        </w:tabs>
        <w:ind w:hanging="578"/>
        <w:jc w:val="both"/>
        <w:rPr>
          <w:rFonts w:ascii="Times New Roman" w:hAnsi="Times New Roman"/>
          <w:b/>
          <w:sz w:val="26"/>
          <w:szCs w:val="26"/>
          <w:lang w:eastAsia="ru-RU"/>
        </w:rPr>
      </w:pPr>
      <w:bookmarkStart w:id="166" w:name="_Toc380576963"/>
      <w:bookmarkStart w:id="167" w:name="_Toc385339873"/>
      <w:r w:rsidRPr="004761E0">
        <w:rPr>
          <w:rFonts w:ascii="Times New Roman" w:hAnsi="Times New Roman"/>
          <w:b/>
          <w:sz w:val="26"/>
          <w:szCs w:val="26"/>
          <w:lang w:eastAsia="ru-RU"/>
        </w:rPr>
        <w:lastRenderedPageBreak/>
        <w:t xml:space="preserve">Хроника совершенных за </w:t>
      </w:r>
      <w:r w:rsidR="00F162E4">
        <w:rPr>
          <w:rFonts w:ascii="Times New Roman" w:hAnsi="Times New Roman"/>
          <w:b/>
          <w:sz w:val="26"/>
          <w:szCs w:val="26"/>
          <w:lang w:eastAsia="ru-RU"/>
        </w:rPr>
        <w:t>2013</w:t>
      </w:r>
      <w:r w:rsidRPr="004761E0">
        <w:rPr>
          <w:rFonts w:ascii="Times New Roman" w:hAnsi="Times New Roman"/>
          <w:b/>
          <w:sz w:val="26"/>
          <w:szCs w:val="26"/>
          <w:lang w:eastAsia="ru-RU"/>
        </w:rPr>
        <w:t xml:space="preserve"> год</w:t>
      </w:r>
      <w:bookmarkEnd w:id="166"/>
      <w:r w:rsidR="00E20318">
        <w:rPr>
          <w:rFonts w:ascii="Times New Roman" w:hAnsi="Times New Roman"/>
          <w:b/>
          <w:sz w:val="26"/>
          <w:szCs w:val="26"/>
          <w:lang w:eastAsia="ru-RU"/>
        </w:rPr>
        <w:t>у</w:t>
      </w:r>
      <w:r w:rsidR="00E20318" w:rsidRPr="00E20318">
        <w:rPr>
          <w:rFonts w:ascii="Times New Roman" w:hAnsi="Times New Roman"/>
          <w:b/>
          <w:sz w:val="26"/>
          <w:szCs w:val="26"/>
          <w:lang w:eastAsia="ru-RU"/>
        </w:rPr>
        <w:t xml:space="preserve"> </w:t>
      </w:r>
      <w:r w:rsidR="00E20318" w:rsidRPr="004761E0">
        <w:rPr>
          <w:rFonts w:ascii="Times New Roman" w:hAnsi="Times New Roman"/>
          <w:b/>
          <w:sz w:val="26"/>
          <w:szCs w:val="26"/>
          <w:lang w:eastAsia="ru-RU"/>
        </w:rPr>
        <w:t>сделок</w:t>
      </w:r>
      <w:bookmarkEnd w:id="167"/>
    </w:p>
    <w:p w:rsidR="00DB376A" w:rsidRPr="004761E0" w:rsidRDefault="00DB376A" w:rsidP="00CA38EF">
      <w:pPr>
        <w:ind w:firstLine="567"/>
        <w:rPr>
          <w:sz w:val="26"/>
          <w:szCs w:val="26"/>
        </w:rPr>
      </w:pPr>
      <w:r w:rsidRPr="004761E0">
        <w:rPr>
          <w:sz w:val="26"/>
          <w:szCs w:val="26"/>
        </w:rPr>
        <w:t xml:space="preserve">Перечень совершенных Обществом в 2013 году сделок, признаваемых в соответствии с Федеральным законом «Об акционерных обществах» сделками, в совершении которых имелась заинтересованность </w:t>
      </w:r>
    </w:p>
    <w:tbl>
      <w:tblPr>
        <w:tblW w:w="1560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44061"/>
        <w:tblLayout w:type="fixed"/>
        <w:tblLook w:val="04A0"/>
      </w:tblPr>
      <w:tblGrid>
        <w:gridCol w:w="582"/>
        <w:gridCol w:w="2410"/>
        <w:gridCol w:w="2410"/>
        <w:gridCol w:w="6095"/>
        <w:gridCol w:w="1985"/>
        <w:gridCol w:w="2126"/>
      </w:tblGrid>
      <w:tr w:rsidR="00DB376A" w:rsidRPr="00CA38EF" w:rsidTr="00F162E4">
        <w:trPr>
          <w:trHeight w:val="553"/>
        </w:trPr>
        <w:tc>
          <w:tcPr>
            <w:tcW w:w="582" w:type="dxa"/>
            <w:tcBorders>
              <w:right w:val="single" w:sz="4" w:space="0" w:color="FFFFFF" w:themeColor="background1"/>
            </w:tcBorders>
            <w:shd w:val="clear" w:color="auto" w:fill="0F243E" w:themeFill="text2" w:themeFillShade="80"/>
            <w:vAlign w:val="center"/>
          </w:tcPr>
          <w:p w:rsidR="00DB376A" w:rsidRPr="00CA38EF" w:rsidRDefault="00DB376A" w:rsidP="00CA38EF">
            <w:pPr>
              <w:ind w:firstLine="0"/>
              <w:jc w:val="center"/>
              <w:rPr>
                <w:b/>
                <w:color w:val="FFFFFF"/>
                <w:sz w:val="20"/>
                <w:szCs w:val="20"/>
              </w:rPr>
            </w:pPr>
            <w:r w:rsidRPr="00CA38EF">
              <w:rPr>
                <w:b/>
                <w:color w:val="FFFFFF"/>
                <w:sz w:val="20"/>
                <w:szCs w:val="20"/>
              </w:rPr>
              <w:t>№ п/п</w:t>
            </w:r>
          </w:p>
        </w:tc>
        <w:tc>
          <w:tcPr>
            <w:tcW w:w="2410" w:type="dxa"/>
            <w:tcBorders>
              <w:left w:val="single" w:sz="4" w:space="0" w:color="FFFFFF" w:themeColor="background1"/>
              <w:right w:val="single" w:sz="4" w:space="0" w:color="FFFFFF" w:themeColor="background1"/>
            </w:tcBorders>
            <w:shd w:val="clear" w:color="auto" w:fill="0F243E" w:themeFill="text2" w:themeFillShade="80"/>
            <w:noWrap/>
            <w:vAlign w:val="center"/>
            <w:hideMark/>
          </w:tcPr>
          <w:p w:rsidR="00DB376A" w:rsidRPr="00CA38EF" w:rsidRDefault="00DB376A" w:rsidP="00CA38EF">
            <w:pPr>
              <w:ind w:firstLine="0"/>
              <w:jc w:val="left"/>
              <w:rPr>
                <w:b/>
                <w:color w:val="FFFFFF"/>
                <w:sz w:val="20"/>
                <w:szCs w:val="20"/>
              </w:rPr>
            </w:pPr>
            <w:r w:rsidRPr="00CA38EF">
              <w:rPr>
                <w:b/>
                <w:color w:val="FFFFFF"/>
                <w:sz w:val="20"/>
                <w:szCs w:val="20"/>
              </w:rPr>
              <w:t>Заинтересованные лица</w:t>
            </w:r>
          </w:p>
        </w:tc>
        <w:tc>
          <w:tcPr>
            <w:tcW w:w="2410" w:type="dxa"/>
            <w:tcBorders>
              <w:left w:val="single" w:sz="4" w:space="0" w:color="FFFFFF" w:themeColor="background1"/>
              <w:right w:val="single" w:sz="4" w:space="0" w:color="FFFFFF" w:themeColor="background1"/>
            </w:tcBorders>
            <w:shd w:val="clear" w:color="auto" w:fill="0F243E" w:themeFill="text2" w:themeFillShade="80"/>
            <w:noWrap/>
            <w:vAlign w:val="center"/>
            <w:hideMark/>
          </w:tcPr>
          <w:p w:rsidR="00DB376A" w:rsidRPr="00CA38EF" w:rsidRDefault="00DB376A" w:rsidP="00CA38EF">
            <w:pPr>
              <w:ind w:firstLine="0"/>
              <w:jc w:val="left"/>
              <w:rPr>
                <w:b/>
                <w:color w:val="FFFFFF"/>
                <w:sz w:val="20"/>
                <w:szCs w:val="20"/>
              </w:rPr>
            </w:pPr>
            <w:r w:rsidRPr="00CA38EF">
              <w:rPr>
                <w:b/>
                <w:color w:val="FFFFFF"/>
                <w:sz w:val="20"/>
                <w:szCs w:val="20"/>
              </w:rPr>
              <w:t>Наименования сторон</w:t>
            </w:r>
          </w:p>
        </w:tc>
        <w:tc>
          <w:tcPr>
            <w:tcW w:w="6095" w:type="dxa"/>
            <w:tcBorders>
              <w:left w:val="single" w:sz="4" w:space="0" w:color="FFFFFF" w:themeColor="background1"/>
              <w:right w:val="single" w:sz="4" w:space="0" w:color="FFFFFF" w:themeColor="background1"/>
            </w:tcBorders>
            <w:shd w:val="clear" w:color="auto" w:fill="0F243E" w:themeFill="text2" w:themeFillShade="80"/>
            <w:noWrap/>
            <w:vAlign w:val="center"/>
            <w:hideMark/>
          </w:tcPr>
          <w:p w:rsidR="00DB376A" w:rsidRPr="00CA38EF" w:rsidRDefault="00DB376A" w:rsidP="00CA38EF">
            <w:pPr>
              <w:ind w:firstLine="0"/>
              <w:jc w:val="left"/>
              <w:rPr>
                <w:b/>
                <w:color w:val="FFFFFF"/>
                <w:sz w:val="20"/>
                <w:szCs w:val="20"/>
              </w:rPr>
            </w:pPr>
            <w:r w:rsidRPr="00CA38EF">
              <w:rPr>
                <w:b/>
                <w:color w:val="FFFFFF"/>
                <w:sz w:val="20"/>
                <w:szCs w:val="20"/>
              </w:rPr>
              <w:t>Предмет сделки</w:t>
            </w:r>
          </w:p>
        </w:tc>
        <w:tc>
          <w:tcPr>
            <w:tcW w:w="1985" w:type="dxa"/>
            <w:tcBorders>
              <w:left w:val="single" w:sz="4" w:space="0" w:color="FFFFFF" w:themeColor="background1"/>
              <w:right w:val="single" w:sz="4" w:space="0" w:color="FFFFFF" w:themeColor="background1"/>
            </w:tcBorders>
            <w:shd w:val="clear" w:color="auto" w:fill="0F243E" w:themeFill="text2" w:themeFillShade="80"/>
            <w:vAlign w:val="center"/>
          </w:tcPr>
          <w:p w:rsidR="00DB376A" w:rsidRPr="00CA38EF" w:rsidRDefault="00DB376A" w:rsidP="00CA38EF">
            <w:pPr>
              <w:ind w:firstLine="0"/>
              <w:jc w:val="left"/>
              <w:rPr>
                <w:b/>
                <w:color w:val="FFFFFF"/>
                <w:sz w:val="20"/>
                <w:szCs w:val="20"/>
              </w:rPr>
            </w:pPr>
            <w:r w:rsidRPr="00CA38EF">
              <w:rPr>
                <w:b/>
                <w:color w:val="FFFFFF"/>
                <w:sz w:val="20"/>
                <w:szCs w:val="20"/>
              </w:rPr>
              <w:t>Цена сделки, руб.</w:t>
            </w:r>
          </w:p>
        </w:tc>
        <w:tc>
          <w:tcPr>
            <w:tcW w:w="2126" w:type="dxa"/>
            <w:tcBorders>
              <w:left w:val="single" w:sz="4" w:space="0" w:color="FFFFFF" w:themeColor="background1"/>
            </w:tcBorders>
            <w:shd w:val="clear" w:color="auto" w:fill="0F243E" w:themeFill="text2" w:themeFillShade="80"/>
            <w:vAlign w:val="center"/>
          </w:tcPr>
          <w:p w:rsidR="00DB376A" w:rsidRPr="00CA38EF" w:rsidRDefault="00DB376A" w:rsidP="00E020B0">
            <w:pPr>
              <w:ind w:firstLine="0"/>
              <w:jc w:val="left"/>
              <w:rPr>
                <w:b/>
                <w:color w:val="FFFFFF"/>
                <w:sz w:val="20"/>
                <w:szCs w:val="20"/>
              </w:rPr>
            </w:pPr>
            <w:r w:rsidRPr="00CA38EF">
              <w:rPr>
                <w:b/>
                <w:color w:val="FFFFFF"/>
                <w:sz w:val="20"/>
                <w:szCs w:val="20"/>
              </w:rPr>
              <w:t>Реквизиты протокола заседания Совета директоров, на котором одобрена указанная сделка</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Аффилированное лицо </w:t>
            </w:r>
            <w:r w:rsidR="0008080E">
              <w:rPr>
                <w:color w:val="000000"/>
                <w:sz w:val="20"/>
                <w:szCs w:val="20"/>
              </w:rPr>
              <w:t>ОАО </w:t>
            </w:r>
            <w:r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«МКЭР»</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Ремонт кабельных линий.</w:t>
            </w:r>
          </w:p>
        </w:tc>
        <w:tc>
          <w:tcPr>
            <w:tcW w:w="1985" w:type="dxa"/>
            <w:shd w:val="clear" w:color="auto" w:fill="FFFFFF"/>
          </w:tcPr>
          <w:p w:rsidR="00DB376A" w:rsidRPr="00CA38EF" w:rsidRDefault="00F162E4" w:rsidP="00CA38EF">
            <w:pPr>
              <w:ind w:firstLine="0"/>
              <w:jc w:val="left"/>
              <w:rPr>
                <w:rStyle w:val="FontStyle12"/>
                <w:sz w:val="20"/>
                <w:szCs w:val="20"/>
              </w:rPr>
            </w:pPr>
            <w:r>
              <w:rPr>
                <w:rStyle w:val="FontStyle12"/>
                <w:sz w:val="20"/>
                <w:szCs w:val="20"/>
              </w:rPr>
              <w:t>46 313 830,</w:t>
            </w:r>
            <w:r w:rsidR="00DB376A" w:rsidRPr="00CA38EF">
              <w:rPr>
                <w:rStyle w:val="FontStyle12"/>
                <w:sz w:val="20"/>
                <w:szCs w:val="20"/>
              </w:rPr>
              <w:t xml:space="preserve">22 </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198 от 18.04.2013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Аффилированное лицо </w:t>
            </w:r>
            <w:r w:rsidR="0008080E">
              <w:rPr>
                <w:color w:val="000000"/>
                <w:sz w:val="20"/>
                <w:szCs w:val="20"/>
              </w:rPr>
              <w:t>ОАО </w:t>
            </w:r>
            <w:r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«Завод РЭТО»</w:t>
            </w:r>
          </w:p>
        </w:tc>
        <w:tc>
          <w:tcPr>
            <w:tcW w:w="6095" w:type="dxa"/>
            <w:shd w:val="clear" w:color="auto" w:fill="FFFFFF"/>
            <w:noWrap/>
            <w:hideMark/>
          </w:tcPr>
          <w:p w:rsidR="00DB376A" w:rsidRPr="00CA38EF" w:rsidRDefault="00DB376A" w:rsidP="00F162E4">
            <w:pPr>
              <w:ind w:firstLine="0"/>
              <w:jc w:val="left"/>
              <w:rPr>
                <w:color w:val="000000"/>
                <w:sz w:val="20"/>
                <w:szCs w:val="20"/>
              </w:rPr>
            </w:pPr>
            <w:r w:rsidRPr="00CA38EF">
              <w:rPr>
                <w:color w:val="000000"/>
                <w:sz w:val="20"/>
                <w:szCs w:val="20"/>
              </w:rPr>
              <w:t>Проведение хроматографических анализов газов, растворенных в трансформат</w:t>
            </w:r>
            <w:r w:rsidR="00F162E4">
              <w:rPr>
                <w:color w:val="000000"/>
                <w:sz w:val="20"/>
                <w:szCs w:val="20"/>
              </w:rPr>
              <w:t>орном масле электрооборудования.</w:t>
            </w:r>
          </w:p>
        </w:tc>
        <w:tc>
          <w:tcPr>
            <w:tcW w:w="1985"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xml:space="preserve">1 583 828,56 </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204 от 24.06.2013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Аффилированное лицо </w:t>
            </w:r>
            <w:r w:rsidR="0008080E">
              <w:rPr>
                <w:color w:val="000000"/>
                <w:sz w:val="20"/>
                <w:szCs w:val="20"/>
              </w:rPr>
              <w:t>ОАО </w:t>
            </w:r>
            <w:r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«Завод РЭТО»</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Ремонт силовых масляных трансформаторов.</w:t>
            </w:r>
          </w:p>
        </w:tc>
        <w:tc>
          <w:tcPr>
            <w:tcW w:w="1985"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xml:space="preserve">1 510 590,40  </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204 от 24.06.2013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Аффилированное лицо </w:t>
            </w:r>
            <w:r w:rsidR="0008080E">
              <w:rPr>
                <w:color w:val="000000"/>
                <w:sz w:val="20"/>
                <w:szCs w:val="20"/>
              </w:rPr>
              <w:t>ЗАО </w:t>
            </w:r>
            <w:r w:rsidRPr="00CA38EF">
              <w:rPr>
                <w:color w:val="000000"/>
                <w:sz w:val="20"/>
                <w:szCs w:val="20"/>
              </w:rPr>
              <w:t>«Лидер»</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ООО </w:t>
            </w:r>
            <w:r w:rsidR="00DB376A" w:rsidRPr="00CA38EF">
              <w:rPr>
                <w:color w:val="000000"/>
                <w:sz w:val="20"/>
                <w:szCs w:val="20"/>
              </w:rPr>
              <w:t>«СОГАЗ-Медсервис»</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Проведение предварительных и периодических медицинских осмотров работников Общества, занятых на работах с вредными и (или) опасными производственными факторами</w:t>
            </w:r>
            <w:r w:rsidR="00F162E4">
              <w:rPr>
                <w:color w:val="000000"/>
                <w:sz w:val="20"/>
                <w:szCs w:val="20"/>
              </w:rPr>
              <w:t>.</w:t>
            </w:r>
          </w:p>
        </w:tc>
        <w:tc>
          <w:tcPr>
            <w:tcW w:w="1985"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xml:space="preserve">49 518 040 </w:t>
            </w:r>
          </w:p>
          <w:p w:rsidR="00DB376A" w:rsidRPr="00CA38EF" w:rsidRDefault="00DB376A" w:rsidP="00CA38EF">
            <w:pPr>
              <w:ind w:firstLine="0"/>
              <w:jc w:val="left"/>
              <w:rPr>
                <w:color w:val="000000"/>
                <w:sz w:val="20"/>
                <w:szCs w:val="20"/>
              </w:rPr>
            </w:pPr>
            <w:r w:rsidRPr="00CA38EF">
              <w:rPr>
                <w:rStyle w:val="FontStyle12"/>
                <w:sz w:val="20"/>
                <w:szCs w:val="20"/>
              </w:rPr>
              <w:t>(НДС не облагается)</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202 от 04.06.2013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Аффилированное лицо </w:t>
            </w:r>
            <w:r w:rsidR="0008080E">
              <w:rPr>
                <w:color w:val="000000"/>
                <w:sz w:val="20"/>
                <w:szCs w:val="20"/>
              </w:rPr>
              <w:t>ОАО </w:t>
            </w:r>
            <w:r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«Завод РЭТО»</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Ремонт силовых трансформаторов.</w:t>
            </w:r>
          </w:p>
        </w:tc>
        <w:tc>
          <w:tcPr>
            <w:tcW w:w="1985"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xml:space="preserve">14 166 372,00 </w:t>
            </w:r>
          </w:p>
        </w:tc>
        <w:tc>
          <w:tcPr>
            <w:tcW w:w="2126" w:type="dxa"/>
            <w:shd w:val="clear" w:color="auto" w:fill="FFFFFF"/>
          </w:tcPr>
          <w:p w:rsidR="00DB376A" w:rsidRPr="00CA38EF" w:rsidRDefault="00DB376A" w:rsidP="00CA38EF">
            <w:pPr>
              <w:ind w:firstLine="0"/>
              <w:jc w:val="left"/>
              <w:rPr>
                <w:sz w:val="20"/>
                <w:szCs w:val="20"/>
              </w:rPr>
            </w:pPr>
            <w:r w:rsidRPr="00CA38EF">
              <w:rPr>
                <w:rStyle w:val="FontStyle12"/>
                <w:sz w:val="20"/>
                <w:szCs w:val="20"/>
              </w:rPr>
              <w:t>№ 202 от 04.06.2013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sz w:val="20"/>
                <w:szCs w:val="20"/>
              </w:rPr>
            </w:pPr>
            <w:r w:rsidRPr="00CA38EF">
              <w:rPr>
                <w:color w:val="000000"/>
                <w:sz w:val="20"/>
                <w:szCs w:val="20"/>
              </w:rPr>
              <w:t xml:space="preserve">Аффилированное лицо </w:t>
            </w:r>
            <w:r w:rsidR="0008080E">
              <w:rPr>
                <w:color w:val="000000"/>
                <w:sz w:val="20"/>
                <w:szCs w:val="20"/>
              </w:rPr>
              <w:t>ОАО </w:t>
            </w:r>
            <w:r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«Завод РЭТО»</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Техническое освидетельствование трансформаторов на подстанциях.</w:t>
            </w:r>
          </w:p>
        </w:tc>
        <w:tc>
          <w:tcPr>
            <w:tcW w:w="1985"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3 434 366,35 </w:t>
            </w:r>
          </w:p>
        </w:tc>
        <w:tc>
          <w:tcPr>
            <w:tcW w:w="2126" w:type="dxa"/>
            <w:shd w:val="clear" w:color="auto" w:fill="FFFFFF"/>
          </w:tcPr>
          <w:p w:rsidR="00DB376A" w:rsidRPr="00CA38EF" w:rsidRDefault="00DB376A" w:rsidP="00CA38EF">
            <w:pPr>
              <w:ind w:firstLine="0"/>
              <w:jc w:val="left"/>
              <w:rPr>
                <w:sz w:val="20"/>
                <w:szCs w:val="20"/>
              </w:rPr>
            </w:pPr>
            <w:r w:rsidRPr="00CA38EF">
              <w:rPr>
                <w:rStyle w:val="FontStyle12"/>
                <w:sz w:val="20"/>
                <w:szCs w:val="20"/>
              </w:rPr>
              <w:t>№ 202 от 04.06.2013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Аффилированное лицо </w:t>
            </w:r>
            <w:r w:rsidR="0008080E">
              <w:rPr>
                <w:color w:val="000000"/>
                <w:sz w:val="20"/>
                <w:szCs w:val="20"/>
              </w:rPr>
              <w:t>ОАО </w:t>
            </w:r>
            <w:r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«МКЭР»</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Ремонт кабельных линий.</w:t>
            </w:r>
          </w:p>
        </w:tc>
        <w:tc>
          <w:tcPr>
            <w:tcW w:w="1985"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xml:space="preserve">59 928 333,88 </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200 от 29.05.2013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Аффилированное лицо </w:t>
            </w:r>
            <w:r w:rsidR="0008080E">
              <w:rPr>
                <w:color w:val="000000"/>
                <w:sz w:val="20"/>
                <w:szCs w:val="20"/>
              </w:rPr>
              <w:t>ОАО </w:t>
            </w:r>
            <w:r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«МКЭР»</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Выполнение ремонтно-восстановительных работ. </w:t>
            </w:r>
          </w:p>
        </w:tc>
        <w:tc>
          <w:tcPr>
            <w:tcW w:w="1985"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xml:space="preserve">не более 100 000 000 </w:t>
            </w:r>
          </w:p>
        </w:tc>
        <w:tc>
          <w:tcPr>
            <w:tcW w:w="2126" w:type="dxa"/>
            <w:shd w:val="clear" w:color="auto" w:fill="FFFFFF"/>
          </w:tcPr>
          <w:p w:rsidR="00DB376A" w:rsidRPr="00CA38EF" w:rsidRDefault="00DB376A" w:rsidP="00CA38EF">
            <w:pPr>
              <w:ind w:firstLine="0"/>
              <w:jc w:val="left"/>
              <w:rPr>
                <w:sz w:val="20"/>
                <w:szCs w:val="20"/>
              </w:rPr>
            </w:pPr>
            <w:r w:rsidRPr="00CA38EF">
              <w:rPr>
                <w:rStyle w:val="FontStyle12"/>
                <w:sz w:val="20"/>
                <w:szCs w:val="20"/>
              </w:rPr>
              <w:t>№ 200 от 29.05.2013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Аффилированное лицо </w:t>
            </w:r>
            <w:r w:rsidR="0008080E">
              <w:rPr>
                <w:color w:val="000000"/>
                <w:sz w:val="20"/>
                <w:szCs w:val="20"/>
              </w:rPr>
              <w:t>ОАО </w:t>
            </w:r>
            <w:r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«ФСК ЕЭС»</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Осуществление технического надзора на объектах электросетевого хозяйства, относящихся к территориальным распределительным сетям.</w:t>
            </w:r>
          </w:p>
        </w:tc>
        <w:tc>
          <w:tcPr>
            <w:tcW w:w="1985"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xml:space="preserve">23 284 927,04 </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195 от 29.03.2013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Аффилированное лицо </w:t>
            </w:r>
            <w:r w:rsidR="0008080E">
              <w:rPr>
                <w:color w:val="000000"/>
                <w:sz w:val="20"/>
                <w:szCs w:val="20"/>
              </w:rPr>
              <w:t>ОАО </w:t>
            </w:r>
            <w:r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ООО </w:t>
            </w:r>
            <w:r w:rsidR="00DB376A" w:rsidRPr="00CA38EF">
              <w:rPr>
                <w:color w:val="000000"/>
                <w:sz w:val="20"/>
                <w:szCs w:val="20"/>
              </w:rPr>
              <w:t>«АйТи Энерджи Сервис»</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Оказание услуг по сопровождению ведения нормативно-справочной информации </w:t>
            </w:r>
            <w:r w:rsidR="0008080E">
              <w:rPr>
                <w:color w:val="000000"/>
                <w:sz w:val="20"/>
                <w:szCs w:val="20"/>
              </w:rPr>
              <w:t>ОАО </w:t>
            </w:r>
            <w:r w:rsidRPr="00CA38EF">
              <w:rPr>
                <w:color w:val="000000"/>
                <w:sz w:val="20"/>
                <w:szCs w:val="20"/>
              </w:rPr>
              <w:t>«МОЭСК».</w:t>
            </w:r>
          </w:p>
        </w:tc>
        <w:tc>
          <w:tcPr>
            <w:tcW w:w="1985" w:type="dxa"/>
            <w:shd w:val="clear" w:color="auto" w:fill="FFFFFF"/>
          </w:tcPr>
          <w:p w:rsidR="00DB376A" w:rsidRPr="00CA38EF" w:rsidRDefault="00DB376A" w:rsidP="00F162E4">
            <w:pPr>
              <w:ind w:firstLine="0"/>
              <w:jc w:val="left"/>
              <w:rPr>
                <w:rStyle w:val="FontStyle12"/>
                <w:sz w:val="20"/>
                <w:szCs w:val="20"/>
              </w:rPr>
            </w:pPr>
            <w:r w:rsidRPr="00CA38EF">
              <w:rPr>
                <w:rStyle w:val="FontStyle12"/>
                <w:sz w:val="20"/>
                <w:szCs w:val="20"/>
              </w:rPr>
              <w:t>17 030 762,25 </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197 от 03.04.2013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Аффилированное лицо </w:t>
            </w:r>
            <w:r w:rsidR="0008080E">
              <w:rPr>
                <w:color w:val="000000"/>
                <w:sz w:val="20"/>
                <w:szCs w:val="20"/>
              </w:rPr>
              <w:t>ОАО </w:t>
            </w:r>
            <w:r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«Завод РЭТО»</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Обработка трансформаторного масла (сушка) и отпуск в транспортные средства </w:t>
            </w:r>
            <w:r w:rsidR="0008080E">
              <w:rPr>
                <w:color w:val="000000"/>
                <w:sz w:val="20"/>
                <w:szCs w:val="20"/>
              </w:rPr>
              <w:t>ОАО </w:t>
            </w:r>
            <w:r w:rsidRPr="00CA38EF">
              <w:rPr>
                <w:color w:val="000000"/>
                <w:sz w:val="20"/>
                <w:szCs w:val="20"/>
              </w:rPr>
              <w:t>«МОЭСК».</w:t>
            </w:r>
          </w:p>
        </w:tc>
        <w:tc>
          <w:tcPr>
            <w:tcW w:w="1985" w:type="dxa"/>
            <w:shd w:val="clear" w:color="auto" w:fill="FFFFFF"/>
          </w:tcPr>
          <w:p w:rsidR="00DB376A" w:rsidRPr="00CA38EF" w:rsidRDefault="00F162E4" w:rsidP="00CA38EF">
            <w:pPr>
              <w:ind w:firstLine="0"/>
              <w:jc w:val="left"/>
              <w:rPr>
                <w:color w:val="000000"/>
                <w:sz w:val="20"/>
                <w:szCs w:val="20"/>
              </w:rPr>
            </w:pPr>
            <w:r>
              <w:rPr>
                <w:rStyle w:val="FontStyle12"/>
                <w:sz w:val="20"/>
                <w:szCs w:val="20"/>
              </w:rPr>
              <w:t>499 836,39</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197 от 03.04.2013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Аффилированное лицо </w:t>
            </w:r>
            <w:r w:rsidR="0008080E">
              <w:rPr>
                <w:color w:val="000000"/>
                <w:sz w:val="20"/>
                <w:szCs w:val="20"/>
              </w:rPr>
              <w:t>ОАО </w:t>
            </w:r>
            <w:r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«Завод РЭТО»</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Прием с транспортных средства трансформаторного масла и его временное хранение.</w:t>
            </w:r>
          </w:p>
        </w:tc>
        <w:tc>
          <w:tcPr>
            <w:tcW w:w="1985"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xml:space="preserve">499 896,53 </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197 от 03.04.2013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Аффилированное лицо </w:t>
            </w:r>
            <w:r w:rsidR="0008080E">
              <w:rPr>
                <w:color w:val="000000"/>
                <w:sz w:val="20"/>
                <w:szCs w:val="20"/>
              </w:rPr>
              <w:t>ОАО </w:t>
            </w:r>
            <w:r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«Завод РЭТО»</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Подрядные работы.</w:t>
            </w:r>
          </w:p>
        </w:tc>
        <w:tc>
          <w:tcPr>
            <w:tcW w:w="1985"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xml:space="preserve">8 800 003,40 </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198 от 18.04.2013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Аффилированное лицо </w:t>
            </w:r>
            <w:r w:rsidR="0008080E">
              <w:rPr>
                <w:color w:val="000000"/>
                <w:sz w:val="20"/>
                <w:szCs w:val="20"/>
              </w:rPr>
              <w:t>ОАО </w:t>
            </w:r>
            <w:r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«МРСК Центра»</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Соглашение о конфиденциальности.</w:t>
            </w:r>
          </w:p>
        </w:tc>
        <w:tc>
          <w:tcPr>
            <w:tcW w:w="1985" w:type="dxa"/>
            <w:shd w:val="clear" w:color="auto" w:fill="FFFFFF"/>
          </w:tcPr>
          <w:p w:rsidR="00DB376A" w:rsidRPr="00CA38EF" w:rsidRDefault="00DB376A" w:rsidP="00CA38EF">
            <w:pPr>
              <w:ind w:firstLine="0"/>
              <w:jc w:val="left"/>
              <w:rPr>
                <w:color w:val="000000"/>
                <w:sz w:val="20"/>
                <w:szCs w:val="20"/>
              </w:rPr>
            </w:pPr>
            <w:r w:rsidRPr="00CA38EF">
              <w:rPr>
                <w:color w:val="000000"/>
                <w:sz w:val="20"/>
                <w:szCs w:val="20"/>
                <w:lang w:val="en-US"/>
              </w:rPr>
              <w:t>-</w:t>
            </w:r>
          </w:p>
        </w:tc>
        <w:tc>
          <w:tcPr>
            <w:tcW w:w="2126" w:type="dxa"/>
            <w:shd w:val="clear" w:color="auto" w:fill="FFFFFF"/>
          </w:tcPr>
          <w:p w:rsidR="00DB376A" w:rsidRPr="00CA38EF" w:rsidRDefault="00DB376A" w:rsidP="00CA38EF">
            <w:pPr>
              <w:ind w:firstLine="0"/>
              <w:jc w:val="left"/>
              <w:rPr>
                <w:sz w:val="20"/>
                <w:szCs w:val="20"/>
              </w:rPr>
            </w:pPr>
            <w:r w:rsidRPr="00CA38EF">
              <w:rPr>
                <w:rStyle w:val="FontStyle12"/>
                <w:sz w:val="20"/>
                <w:szCs w:val="20"/>
              </w:rPr>
              <w:t>№ 200 от 29.05.2013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Аффилированное лицо </w:t>
            </w:r>
            <w:r w:rsidR="0008080E">
              <w:rPr>
                <w:color w:val="000000"/>
                <w:sz w:val="20"/>
                <w:szCs w:val="20"/>
              </w:rPr>
              <w:t>ОАО </w:t>
            </w:r>
            <w:r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«Завод РЭТО»</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Ремонт оборудования.</w:t>
            </w:r>
          </w:p>
        </w:tc>
        <w:tc>
          <w:tcPr>
            <w:tcW w:w="1985" w:type="dxa"/>
            <w:shd w:val="clear" w:color="auto" w:fill="FFFFFF"/>
          </w:tcPr>
          <w:p w:rsidR="00DB376A" w:rsidRPr="00CA38EF" w:rsidRDefault="00DB376A" w:rsidP="00CA38EF">
            <w:pPr>
              <w:ind w:firstLine="0"/>
              <w:jc w:val="left"/>
              <w:rPr>
                <w:color w:val="000000"/>
                <w:sz w:val="20"/>
                <w:szCs w:val="20"/>
              </w:rPr>
            </w:pPr>
            <w:r w:rsidRPr="00CA38EF">
              <w:rPr>
                <w:rStyle w:val="FontStyle12"/>
                <w:sz w:val="20"/>
                <w:szCs w:val="20"/>
              </w:rPr>
              <w:t>3 787 779,63</w:t>
            </w:r>
            <w:r w:rsidRPr="00CA38EF">
              <w:rPr>
                <w:bCs/>
                <w:sz w:val="20"/>
                <w:szCs w:val="20"/>
              </w:rPr>
              <w:t xml:space="preserve"> </w:t>
            </w:r>
          </w:p>
        </w:tc>
        <w:tc>
          <w:tcPr>
            <w:tcW w:w="2126" w:type="dxa"/>
            <w:shd w:val="clear" w:color="auto" w:fill="FFFFFF"/>
          </w:tcPr>
          <w:p w:rsidR="00DB376A" w:rsidRPr="00CA38EF" w:rsidRDefault="00DB376A" w:rsidP="00CA38EF">
            <w:pPr>
              <w:ind w:firstLine="0"/>
              <w:jc w:val="left"/>
              <w:rPr>
                <w:sz w:val="20"/>
                <w:szCs w:val="20"/>
              </w:rPr>
            </w:pPr>
            <w:r w:rsidRPr="00CA38EF">
              <w:rPr>
                <w:rStyle w:val="FontStyle12"/>
                <w:sz w:val="20"/>
                <w:szCs w:val="20"/>
              </w:rPr>
              <w:t>№ 200 от 29.05.2013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sz w:val="20"/>
                <w:szCs w:val="20"/>
              </w:rPr>
            </w:pPr>
            <w:r w:rsidRPr="00CA38EF">
              <w:rPr>
                <w:color w:val="000000"/>
                <w:sz w:val="20"/>
                <w:szCs w:val="20"/>
              </w:rPr>
              <w:t xml:space="preserve">Аффилированное лицо </w:t>
            </w:r>
            <w:r w:rsidR="0008080E">
              <w:rPr>
                <w:color w:val="000000"/>
                <w:sz w:val="20"/>
                <w:szCs w:val="20"/>
              </w:rPr>
              <w:t>ОАО </w:t>
            </w:r>
            <w:r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«Завод РЭТО»</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Хроматографический анализ газов, растворенных в трансформаторном масле электрооборудования.</w:t>
            </w:r>
          </w:p>
        </w:tc>
        <w:tc>
          <w:tcPr>
            <w:tcW w:w="1985" w:type="dxa"/>
            <w:shd w:val="clear" w:color="auto" w:fill="FFFFFF"/>
          </w:tcPr>
          <w:p w:rsidR="00DB376A" w:rsidRPr="00CA38EF" w:rsidRDefault="00DB376A" w:rsidP="00CA38EF">
            <w:pPr>
              <w:ind w:firstLine="0"/>
              <w:jc w:val="left"/>
              <w:rPr>
                <w:sz w:val="20"/>
                <w:szCs w:val="20"/>
              </w:rPr>
            </w:pPr>
            <w:r w:rsidRPr="00CA38EF">
              <w:rPr>
                <w:sz w:val="20"/>
                <w:szCs w:val="20"/>
              </w:rPr>
              <w:t xml:space="preserve">1 517 423,17  </w:t>
            </w:r>
          </w:p>
        </w:tc>
        <w:tc>
          <w:tcPr>
            <w:tcW w:w="2126" w:type="dxa"/>
            <w:shd w:val="clear" w:color="auto" w:fill="FFFFFF"/>
          </w:tcPr>
          <w:p w:rsidR="00DB376A" w:rsidRPr="00CA38EF" w:rsidRDefault="00DB376A" w:rsidP="00CA38EF">
            <w:pPr>
              <w:ind w:firstLine="0"/>
              <w:jc w:val="left"/>
              <w:rPr>
                <w:sz w:val="20"/>
                <w:szCs w:val="20"/>
              </w:rPr>
            </w:pPr>
            <w:r w:rsidRPr="00CA38EF">
              <w:rPr>
                <w:rStyle w:val="FontStyle12"/>
                <w:sz w:val="20"/>
                <w:szCs w:val="20"/>
              </w:rPr>
              <w:t>№ 202 от 04.06.2013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sz w:val="20"/>
                <w:szCs w:val="20"/>
              </w:rPr>
            </w:pPr>
            <w:r w:rsidRPr="00CA38EF">
              <w:rPr>
                <w:color w:val="000000"/>
                <w:sz w:val="20"/>
                <w:szCs w:val="20"/>
              </w:rPr>
              <w:t xml:space="preserve">Аффилированное лицо </w:t>
            </w:r>
            <w:r w:rsidR="0008080E">
              <w:rPr>
                <w:color w:val="000000"/>
                <w:sz w:val="20"/>
                <w:szCs w:val="20"/>
              </w:rPr>
              <w:t>ОАО </w:t>
            </w:r>
            <w:r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«Завод РЭТО»</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Ремонт трансформаторов 35-220 кВ.</w:t>
            </w:r>
          </w:p>
        </w:tc>
        <w:tc>
          <w:tcPr>
            <w:tcW w:w="1985" w:type="dxa"/>
            <w:shd w:val="clear" w:color="auto" w:fill="FFFFFF"/>
          </w:tcPr>
          <w:p w:rsidR="00DB376A" w:rsidRPr="00CA38EF" w:rsidRDefault="00DB376A" w:rsidP="00CA38EF">
            <w:pPr>
              <w:ind w:firstLine="0"/>
              <w:jc w:val="left"/>
              <w:rPr>
                <w:sz w:val="20"/>
                <w:szCs w:val="20"/>
              </w:rPr>
            </w:pPr>
            <w:r w:rsidRPr="00CA38EF">
              <w:rPr>
                <w:sz w:val="20"/>
                <w:szCs w:val="20"/>
              </w:rPr>
              <w:t xml:space="preserve">32 263 217,80 </w:t>
            </w:r>
          </w:p>
        </w:tc>
        <w:tc>
          <w:tcPr>
            <w:tcW w:w="2126" w:type="dxa"/>
            <w:shd w:val="clear" w:color="auto" w:fill="FFFFFF"/>
          </w:tcPr>
          <w:p w:rsidR="00DB376A" w:rsidRPr="00CA38EF" w:rsidRDefault="00DB376A" w:rsidP="00CA38EF">
            <w:pPr>
              <w:ind w:firstLine="0"/>
              <w:jc w:val="left"/>
              <w:rPr>
                <w:sz w:val="20"/>
                <w:szCs w:val="20"/>
              </w:rPr>
            </w:pPr>
            <w:r w:rsidRPr="00CA38EF">
              <w:rPr>
                <w:rStyle w:val="FontStyle12"/>
                <w:sz w:val="20"/>
                <w:szCs w:val="20"/>
              </w:rPr>
              <w:t>№ 202 от 04.06.2013</w:t>
            </w:r>
          </w:p>
        </w:tc>
      </w:tr>
      <w:tr w:rsidR="00DB376A" w:rsidRPr="00CA38EF" w:rsidTr="00F162E4">
        <w:trPr>
          <w:trHeight w:val="766"/>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sz w:val="20"/>
                <w:szCs w:val="20"/>
              </w:rPr>
            </w:pPr>
            <w:r w:rsidRPr="00CA38EF">
              <w:rPr>
                <w:color w:val="000000"/>
                <w:sz w:val="20"/>
                <w:szCs w:val="20"/>
              </w:rPr>
              <w:t xml:space="preserve">Аффилированное лицо </w:t>
            </w:r>
            <w:r w:rsidR="0008080E">
              <w:rPr>
                <w:color w:val="000000"/>
                <w:sz w:val="20"/>
                <w:szCs w:val="20"/>
              </w:rPr>
              <w:t>ОАО </w:t>
            </w:r>
            <w:r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«Завод РЭТО»</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Ремонт трансформаторов 6-20 кВ.</w:t>
            </w:r>
          </w:p>
        </w:tc>
        <w:tc>
          <w:tcPr>
            <w:tcW w:w="1985" w:type="dxa"/>
            <w:shd w:val="clear" w:color="auto" w:fill="FFFFFF"/>
          </w:tcPr>
          <w:p w:rsidR="00DB376A" w:rsidRPr="00CA38EF" w:rsidRDefault="00DB376A" w:rsidP="00CA38EF">
            <w:pPr>
              <w:ind w:firstLine="0"/>
              <w:jc w:val="left"/>
              <w:rPr>
                <w:sz w:val="20"/>
                <w:szCs w:val="20"/>
              </w:rPr>
            </w:pPr>
            <w:r w:rsidRPr="00CA38EF">
              <w:rPr>
                <w:sz w:val="20"/>
                <w:szCs w:val="20"/>
              </w:rPr>
              <w:t>51 530 337</w:t>
            </w:r>
            <w:r w:rsidRPr="00CA38EF">
              <w:rPr>
                <w:sz w:val="20"/>
                <w:szCs w:val="20"/>
                <w:lang w:val="en-US"/>
              </w:rPr>
              <w:t>,12</w:t>
            </w:r>
            <w:r w:rsidRPr="00CA38EF">
              <w:rPr>
                <w:bCs/>
                <w:sz w:val="20"/>
                <w:szCs w:val="20"/>
              </w:rPr>
              <w:t xml:space="preserve"> </w:t>
            </w:r>
          </w:p>
        </w:tc>
        <w:tc>
          <w:tcPr>
            <w:tcW w:w="2126" w:type="dxa"/>
            <w:shd w:val="clear" w:color="auto" w:fill="FFFFFF"/>
          </w:tcPr>
          <w:p w:rsidR="00DB376A" w:rsidRPr="00CA38EF" w:rsidRDefault="00DB376A" w:rsidP="00CA38EF">
            <w:pPr>
              <w:tabs>
                <w:tab w:val="left" w:pos="2160"/>
              </w:tabs>
              <w:ind w:firstLine="0"/>
              <w:jc w:val="left"/>
              <w:rPr>
                <w:sz w:val="20"/>
                <w:szCs w:val="20"/>
              </w:rPr>
            </w:pPr>
            <w:r w:rsidRPr="00CA38EF">
              <w:rPr>
                <w:rStyle w:val="FontStyle12"/>
                <w:sz w:val="20"/>
                <w:szCs w:val="20"/>
              </w:rPr>
              <w:t>№ 202 от 04.06.2013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Аффилированное лицо </w:t>
            </w:r>
            <w:r w:rsidR="0008080E">
              <w:rPr>
                <w:color w:val="000000"/>
                <w:sz w:val="20"/>
                <w:szCs w:val="20"/>
              </w:rPr>
              <w:t>ОАО </w:t>
            </w:r>
            <w:r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«ИЦЭ Поволжья»</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Дополнительное соглашение о расторжение договора на реконструкцию подстанции.</w:t>
            </w:r>
          </w:p>
        </w:tc>
        <w:tc>
          <w:tcPr>
            <w:tcW w:w="1985" w:type="dxa"/>
            <w:shd w:val="clear" w:color="auto" w:fill="FFFFFF"/>
          </w:tcPr>
          <w:p w:rsidR="00DB376A" w:rsidRPr="00CA38EF" w:rsidRDefault="00DB376A" w:rsidP="00CA38EF">
            <w:pPr>
              <w:ind w:firstLine="0"/>
              <w:jc w:val="left"/>
              <w:rPr>
                <w:color w:val="000000"/>
                <w:sz w:val="20"/>
                <w:szCs w:val="20"/>
              </w:rPr>
            </w:pPr>
            <w:r w:rsidRPr="00CA38EF">
              <w:rPr>
                <w:color w:val="000000"/>
                <w:sz w:val="20"/>
                <w:szCs w:val="20"/>
              </w:rPr>
              <w:t xml:space="preserve">35 676 635,66 </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202 от 04.06.2013</w:t>
            </w:r>
          </w:p>
        </w:tc>
      </w:tr>
      <w:tr w:rsidR="00DB376A" w:rsidRPr="00CA38EF" w:rsidTr="00F162E4">
        <w:trPr>
          <w:trHeight w:val="6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Стороной сделки является член Правления </w:t>
            </w:r>
            <w:r w:rsidR="0008080E">
              <w:rPr>
                <w:color w:val="000000"/>
                <w:sz w:val="20"/>
                <w:szCs w:val="20"/>
              </w:rPr>
              <w:t>ОАО </w:t>
            </w:r>
            <w:r w:rsidRPr="00CA38EF">
              <w:rPr>
                <w:color w:val="000000"/>
                <w:sz w:val="20"/>
                <w:szCs w:val="20"/>
              </w:rPr>
              <w:t xml:space="preserve">«МОЭСК» </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F162E4" w:rsidP="00CA38EF">
            <w:pPr>
              <w:ind w:firstLine="0"/>
              <w:jc w:val="left"/>
              <w:rPr>
                <w:color w:val="000000"/>
                <w:sz w:val="20"/>
                <w:szCs w:val="20"/>
              </w:rPr>
            </w:pPr>
            <w:r>
              <w:rPr>
                <w:color w:val="000000"/>
                <w:sz w:val="20"/>
                <w:szCs w:val="20"/>
              </w:rPr>
              <w:t xml:space="preserve">Член Правления </w:t>
            </w:r>
            <w:r w:rsidR="0008080E">
              <w:rPr>
                <w:color w:val="000000"/>
                <w:sz w:val="20"/>
                <w:szCs w:val="20"/>
              </w:rPr>
              <w:t>ОАО </w:t>
            </w:r>
            <w:r w:rsidR="00DB376A" w:rsidRPr="00CA38EF">
              <w:rPr>
                <w:color w:val="000000"/>
                <w:sz w:val="20"/>
                <w:szCs w:val="20"/>
              </w:rPr>
              <w:t>«МОЭСК»</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Компенсация расходов по найму жилого помещения.</w:t>
            </w:r>
          </w:p>
        </w:tc>
        <w:tc>
          <w:tcPr>
            <w:tcW w:w="1985" w:type="dxa"/>
            <w:shd w:val="clear" w:color="auto" w:fill="FFFFFF"/>
          </w:tcPr>
          <w:p w:rsidR="00DB376A" w:rsidRPr="00CA38EF" w:rsidRDefault="00DB376A" w:rsidP="00CA38EF">
            <w:pPr>
              <w:ind w:firstLine="0"/>
              <w:jc w:val="left"/>
              <w:rPr>
                <w:color w:val="000000"/>
                <w:sz w:val="20"/>
                <w:szCs w:val="20"/>
              </w:rPr>
            </w:pPr>
            <w:r w:rsidRPr="00CA38EF">
              <w:rPr>
                <w:color w:val="000000"/>
                <w:sz w:val="20"/>
                <w:szCs w:val="20"/>
              </w:rPr>
              <w:t>150 000 (в месяц)</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204 от 24.06.2013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Аффилированное лицо </w:t>
            </w:r>
            <w:r w:rsidR="0008080E">
              <w:rPr>
                <w:color w:val="000000"/>
                <w:sz w:val="20"/>
                <w:szCs w:val="20"/>
              </w:rPr>
              <w:t>ЗАО </w:t>
            </w:r>
            <w:r w:rsidRPr="00CA38EF">
              <w:rPr>
                <w:color w:val="000000"/>
                <w:sz w:val="20"/>
                <w:szCs w:val="20"/>
              </w:rPr>
              <w:t>«Лидер»</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«Мосэнерго»</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Компенсация потерь.</w:t>
            </w:r>
          </w:p>
        </w:tc>
        <w:tc>
          <w:tcPr>
            <w:tcW w:w="1985" w:type="dxa"/>
            <w:shd w:val="clear" w:color="auto" w:fill="FFFFFF"/>
          </w:tcPr>
          <w:p w:rsidR="00DB376A" w:rsidRPr="00CA38EF" w:rsidRDefault="00DB376A" w:rsidP="00CA38EF">
            <w:pPr>
              <w:ind w:firstLine="0"/>
              <w:jc w:val="left"/>
              <w:rPr>
                <w:color w:val="000000"/>
                <w:sz w:val="20"/>
                <w:szCs w:val="20"/>
              </w:rPr>
            </w:pPr>
            <w:r w:rsidRPr="00CA38EF">
              <w:rPr>
                <w:bCs/>
                <w:sz w:val="20"/>
                <w:szCs w:val="20"/>
              </w:rPr>
              <w:t xml:space="preserve">750 480,00 </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200 от 29.05.2013</w:t>
            </w:r>
          </w:p>
        </w:tc>
      </w:tr>
      <w:tr w:rsidR="00DB376A" w:rsidRPr="00CA38EF" w:rsidTr="00F162E4">
        <w:trPr>
          <w:trHeight w:val="230"/>
        </w:trPr>
        <w:tc>
          <w:tcPr>
            <w:tcW w:w="582" w:type="dxa"/>
            <w:shd w:val="clear" w:color="auto" w:fill="FFFFFF"/>
            <w:vAlign w:val="center"/>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Аффилированное лицо </w:t>
            </w:r>
          </w:p>
          <w:p w:rsidR="00DB376A" w:rsidRPr="00CA38EF" w:rsidRDefault="0008080E" w:rsidP="00CA38EF">
            <w:pPr>
              <w:ind w:firstLine="0"/>
              <w:jc w:val="left"/>
              <w:rPr>
                <w:color w:val="000000"/>
                <w:sz w:val="20"/>
                <w:szCs w:val="20"/>
              </w:rPr>
            </w:pPr>
            <w:r>
              <w:rPr>
                <w:color w:val="000000"/>
                <w:sz w:val="20"/>
                <w:szCs w:val="20"/>
              </w:rPr>
              <w:t>ЗАО </w:t>
            </w:r>
            <w:r w:rsidR="00DB376A" w:rsidRPr="00CA38EF">
              <w:rPr>
                <w:color w:val="000000"/>
                <w:sz w:val="20"/>
                <w:szCs w:val="20"/>
              </w:rPr>
              <w:t xml:space="preserve">«Лидер» </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«СОГАЗ»,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Страхование гражданской ответственности</w:t>
            </w:r>
            <w:r w:rsidR="00F162E4">
              <w:rPr>
                <w:color w:val="000000"/>
                <w:sz w:val="20"/>
                <w:szCs w:val="20"/>
              </w:rPr>
              <w:t>.</w:t>
            </w:r>
            <w:r w:rsidRPr="00CA38EF">
              <w:rPr>
                <w:color w:val="000000"/>
                <w:sz w:val="20"/>
                <w:szCs w:val="20"/>
              </w:rPr>
              <w:t xml:space="preserve"> </w:t>
            </w:r>
          </w:p>
        </w:tc>
        <w:tc>
          <w:tcPr>
            <w:tcW w:w="1985" w:type="dxa"/>
            <w:shd w:val="clear" w:color="auto" w:fill="FFFFFF"/>
            <w:vAlign w:val="center"/>
          </w:tcPr>
          <w:p w:rsidR="00DB376A" w:rsidRPr="00CA38EF" w:rsidRDefault="00DB376A" w:rsidP="00CA38EF">
            <w:pPr>
              <w:ind w:firstLine="0"/>
              <w:jc w:val="left"/>
              <w:rPr>
                <w:color w:val="000000"/>
                <w:sz w:val="20"/>
                <w:szCs w:val="20"/>
              </w:rPr>
            </w:pPr>
            <w:r w:rsidRPr="00CA38EF">
              <w:rPr>
                <w:sz w:val="20"/>
                <w:szCs w:val="20"/>
              </w:rPr>
              <w:t xml:space="preserve">2 579 000,00 </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xml:space="preserve">№ 205 от 16.08.2013 </w:t>
            </w:r>
          </w:p>
        </w:tc>
      </w:tr>
      <w:tr w:rsidR="00DB376A" w:rsidRPr="00CA38EF" w:rsidTr="00F162E4">
        <w:trPr>
          <w:trHeight w:val="230"/>
        </w:trPr>
        <w:tc>
          <w:tcPr>
            <w:tcW w:w="582" w:type="dxa"/>
            <w:shd w:val="clear" w:color="auto" w:fill="FFFFFF"/>
            <w:vAlign w:val="center"/>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Аффилированное лицо </w:t>
            </w:r>
          </w:p>
          <w:p w:rsidR="00DB376A" w:rsidRPr="00CA38EF" w:rsidRDefault="0008080E" w:rsidP="00CA38EF">
            <w:pPr>
              <w:ind w:firstLine="0"/>
              <w:jc w:val="left"/>
              <w:rPr>
                <w:color w:val="000000"/>
                <w:sz w:val="20"/>
                <w:szCs w:val="20"/>
              </w:rPr>
            </w:pPr>
            <w:r>
              <w:rPr>
                <w:color w:val="000000"/>
                <w:sz w:val="20"/>
                <w:szCs w:val="20"/>
              </w:rPr>
              <w:t>ЗАО </w:t>
            </w:r>
            <w:r w:rsidR="00DB376A" w:rsidRPr="00CA38EF">
              <w:rPr>
                <w:color w:val="000000"/>
                <w:sz w:val="20"/>
                <w:szCs w:val="20"/>
              </w:rPr>
              <w:t xml:space="preserve">«Лидер» </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«СОГАЗ»,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Страхование тра</w:t>
            </w:r>
            <w:r w:rsidR="00F162E4">
              <w:rPr>
                <w:color w:val="000000"/>
                <w:sz w:val="20"/>
                <w:szCs w:val="20"/>
              </w:rPr>
              <w:t>нспортных средств.</w:t>
            </w:r>
          </w:p>
        </w:tc>
        <w:tc>
          <w:tcPr>
            <w:tcW w:w="1985" w:type="dxa"/>
            <w:shd w:val="clear" w:color="auto" w:fill="FFFFFF"/>
            <w:vAlign w:val="center"/>
          </w:tcPr>
          <w:p w:rsidR="00DB376A" w:rsidRPr="00CA38EF" w:rsidRDefault="00DB376A" w:rsidP="00CA38EF">
            <w:pPr>
              <w:ind w:firstLine="0"/>
              <w:jc w:val="left"/>
              <w:rPr>
                <w:color w:val="000000"/>
                <w:sz w:val="20"/>
                <w:szCs w:val="20"/>
              </w:rPr>
            </w:pPr>
            <w:r w:rsidRPr="00CA38EF">
              <w:rPr>
                <w:sz w:val="20"/>
                <w:szCs w:val="20"/>
              </w:rPr>
              <w:t xml:space="preserve">24 193 272,90 </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xml:space="preserve">№ 205 от 16.08.2013 </w:t>
            </w:r>
          </w:p>
        </w:tc>
      </w:tr>
      <w:tr w:rsidR="00DB376A" w:rsidRPr="00CA38EF" w:rsidTr="00F162E4">
        <w:trPr>
          <w:trHeight w:val="230"/>
        </w:trPr>
        <w:tc>
          <w:tcPr>
            <w:tcW w:w="582" w:type="dxa"/>
            <w:shd w:val="clear" w:color="auto" w:fill="FFFFFF"/>
            <w:vAlign w:val="center"/>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Аффилированное лицо </w:t>
            </w:r>
          </w:p>
          <w:p w:rsidR="00DB376A" w:rsidRPr="00CA38EF" w:rsidRDefault="0008080E" w:rsidP="00CA38EF">
            <w:pPr>
              <w:ind w:firstLine="0"/>
              <w:jc w:val="left"/>
              <w:rPr>
                <w:color w:val="000000"/>
                <w:sz w:val="20"/>
                <w:szCs w:val="20"/>
              </w:rPr>
            </w:pPr>
            <w:r>
              <w:rPr>
                <w:color w:val="000000"/>
                <w:sz w:val="20"/>
                <w:szCs w:val="20"/>
              </w:rPr>
              <w:t>ЗАО </w:t>
            </w:r>
            <w:r w:rsidR="00DB376A" w:rsidRPr="00CA38EF">
              <w:rPr>
                <w:color w:val="000000"/>
                <w:sz w:val="20"/>
                <w:szCs w:val="20"/>
              </w:rPr>
              <w:t xml:space="preserve">«Лидер» </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«СОГАЗ»,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Страхова</w:t>
            </w:r>
            <w:r w:rsidR="00F162E4">
              <w:rPr>
                <w:color w:val="000000"/>
                <w:sz w:val="20"/>
                <w:szCs w:val="20"/>
              </w:rPr>
              <w:t>ние гражданской ответственности.</w:t>
            </w:r>
          </w:p>
        </w:tc>
        <w:tc>
          <w:tcPr>
            <w:tcW w:w="1985" w:type="dxa"/>
            <w:shd w:val="clear" w:color="auto" w:fill="FFFFFF"/>
            <w:vAlign w:val="center"/>
          </w:tcPr>
          <w:p w:rsidR="00DB376A" w:rsidRPr="00CA38EF" w:rsidRDefault="00F162E4" w:rsidP="00CA38EF">
            <w:pPr>
              <w:ind w:firstLine="0"/>
              <w:jc w:val="left"/>
              <w:rPr>
                <w:color w:val="000000"/>
                <w:sz w:val="20"/>
                <w:szCs w:val="20"/>
              </w:rPr>
            </w:pPr>
            <w:r>
              <w:rPr>
                <w:sz w:val="20"/>
                <w:szCs w:val="20"/>
              </w:rPr>
              <w:t>18 450,00</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xml:space="preserve">№ 205 от 16.08.2013 </w:t>
            </w:r>
          </w:p>
        </w:tc>
      </w:tr>
      <w:tr w:rsidR="00DB376A" w:rsidRPr="00CA38EF" w:rsidTr="00F162E4">
        <w:trPr>
          <w:trHeight w:val="230"/>
        </w:trPr>
        <w:tc>
          <w:tcPr>
            <w:tcW w:w="582" w:type="dxa"/>
            <w:shd w:val="clear" w:color="auto" w:fill="FFFFFF"/>
            <w:vAlign w:val="center"/>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Аффилированное лицо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«Россети» </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«Завод РЭТО» </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Техническое освидетельст</w:t>
            </w:r>
            <w:r w:rsidR="00F162E4">
              <w:rPr>
                <w:color w:val="000000"/>
                <w:sz w:val="20"/>
                <w:szCs w:val="20"/>
              </w:rPr>
              <w:t>вование силовых трансформаторов.</w:t>
            </w:r>
          </w:p>
        </w:tc>
        <w:tc>
          <w:tcPr>
            <w:tcW w:w="1985" w:type="dxa"/>
            <w:shd w:val="clear" w:color="auto" w:fill="FFFFFF"/>
            <w:vAlign w:val="center"/>
          </w:tcPr>
          <w:p w:rsidR="00DB376A" w:rsidRPr="00CA38EF" w:rsidRDefault="00DB376A" w:rsidP="00CA38EF">
            <w:pPr>
              <w:ind w:firstLine="0"/>
              <w:jc w:val="left"/>
              <w:rPr>
                <w:color w:val="000000"/>
                <w:sz w:val="20"/>
                <w:szCs w:val="20"/>
              </w:rPr>
            </w:pPr>
            <w:r w:rsidRPr="00CA38EF">
              <w:rPr>
                <w:sz w:val="20"/>
                <w:szCs w:val="20"/>
              </w:rPr>
              <w:t xml:space="preserve">32 263 217,80 </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xml:space="preserve">№ 202 от 05.06.2013 </w:t>
            </w:r>
          </w:p>
        </w:tc>
      </w:tr>
      <w:tr w:rsidR="00DB376A" w:rsidRPr="00CA38EF" w:rsidTr="00F162E4">
        <w:trPr>
          <w:trHeight w:val="230"/>
        </w:trPr>
        <w:tc>
          <w:tcPr>
            <w:tcW w:w="582" w:type="dxa"/>
            <w:shd w:val="clear" w:color="auto" w:fill="FFFFFF"/>
            <w:vAlign w:val="center"/>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Аффилированное лицо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«Россети» </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«Завод РЭТО» </w:t>
            </w:r>
          </w:p>
        </w:tc>
        <w:tc>
          <w:tcPr>
            <w:tcW w:w="6095" w:type="dxa"/>
            <w:shd w:val="clear" w:color="auto" w:fill="FFFFFF"/>
            <w:noWrap/>
            <w:hideMark/>
          </w:tcPr>
          <w:p w:rsidR="00DB376A" w:rsidRPr="00CA38EF" w:rsidRDefault="00F162E4" w:rsidP="00CA38EF">
            <w:pPr>
              <w:ind w:firstLine="0"/>
              <w:jc w:val="left"/>
              <w:rPr>
                <w:color w:val="000000"/>
                <w:sz w:val="20"/>
                <w:szCs w:val="20"/>
              </w:rPr>
            </w:pPr>
            <w:r>
              <w:rPr>
                <w:color w:val="000000"/>
                <w:sz w:val="20"/>
                <w:szCs w:val="20"/>
              </w:rPr>
              <w:t>Поставка скобяных изделий.</w:t>
            </w:r>
          </w:p>
        </w:tc>
        <w:tc>
          <w:tcPr>
            <w:tcW w:w="1985" w:type="dxa"/>
            <w:shd w:val="clear" w:color="auto" w:fill="FFFFFF"/>
            <w:vAlign w:val="center"/>
          </w:tcPr>
          <w:p w:rsidR="00DB376A" w:rsidRPr="00CA38EF" w:rsidRDefault="00DB376A" w:rsidP="00CA38EF">
            <w:pPr>
              <w:ind w:firstLine="0"/>
              <w:jc w:val="left"/>
              <w:rPr>
                <w:bCs/>
                <w:sz w:val="20"/>
                <w:szCs w:val="20"/>
              </w:rPr>
            </w:pPr>
            <w:r w:rsidRPr="00CA38EF">
              <w:rPr>
                <w:bCs/>
                <w:sz w:val="20"/>
                <w:szCs w:val="20"/>
              </w:rPr>
              <w:t xml:space="preserve"> 8 410 267,10</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xml:space="preserve">№ 204 от 27.06.2013 </w:t>
            </w:r>
          </w:p>
        </w:tc>
      </w:tr>
      <w:tr w:rsidR="00DB376A" w:rsidRPr="00CA38EF" w:rsidTr="00F162E4">
        <w:trPr>
          <w:trHeight w:val="230"/>
        </w:trPr>
        <w:tc>
          <w:tcPr>
            <w:tcW w:w="582" w:type="dxa"/>
            <w:shd w:val="clear" w:color="auto" w:fill="FFFFFF"/>
            <w:vAlign w:val="center"/>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Аффилированное лицо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«Россети» </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«Завод РЭТО» </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Субаренда нежилого помещения</w:t>
            </w:r>
            <w:r w:rsidR="00F162E4">
              <w:rPr>
                <w:color w:val="000000"/>
                <w:sz w:val="20"/>
                <w:szCs w:val="20"/>
              </w:rPr>
              <w:t>.</w:t>
            </w:r>
            <w:r w:rsidRPr="00CA38EF">
              <w:rPr>
                <w:color w:val="000000"/>
                <w:sz w:val="20"/>
                <w:szCs w:val="20"/>
              </w:rPr>
              <w:t xml:space="preserve"> </w:t>
            </w:r>
          </w:p>
        </w:tc>
        <w:tc>
          <w:tcPr>
            <w:tcW w:w="1985" w:type="dxa"/>
            <w:shd w:val="clear" w:color="auto" w:fill="FFFFFF"/>
            <w:vAlign w:val="center"/>
          </w:tcPr>
          <w:p w:rsidR="00DB376A" w:rsidRPr="00CA38EF" w:rsidRDefault="00DB376A" w:rsidP="00F162E4">
            <w:pPr>
              <w:ind w:firstLine="0"/>
              <w:jc w:val="left"/>
              <w:rPr>
                <w:color w:val="000000"/>
                <w:sz w:val="20"/>
                <w:szCs w:val="20"/>
              </w:rPr>
            </w:pPr>
            <w:r w:rsidRPr="00CA38EF">
              <w:rPr>
                <w:bCs/>
                <w:sz w:val="20"/>
                <w:szCs w:val="20"/>
              </w:rPr>
              <w:t>6</w:t>
            </w:r>
            <w:r w:rsidRPr="00CA38EF">
              <w:rPr>
                <w:bCs/>
                <w:sz w:val="20"/>
                <w:szCs w:val="20"/>
                <w:lang w:val="en-US"/>
              </w:rPr>
              <w:t> </w:t>
            </w:r>
            <w:r w:rsidRPr="00CA38EF">
              <w:rPr>
                <w:bCs/>
                <w:sz w:val="20"/>
                <w:szCs w:val="20"/>
              </w:rPr>
              <w:t>684</w:t>
            </w:r>
            <w:r w:rsidRPr="00CA38EF">
              <w:rPr>
                <w:bCs/>
                <w:sz w:val="20"/>
                <w:szCs w:val="20"/>
                <w:lang w:val="en-US"/>
              </w:rPr>
              <w:t> </w:t>
            </w:r>
            <w:r w:rsidRPr="00CA38EF">
              <w:rPr>
                <w:bCs/>
                <w:sz w:val="20"/>
                <w:szCs w:val="20"/>
              </w:rPr>
              <w:t>294,63</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xml:space="preserve">№ 204 от 27.06.2013 </w:t>
            </w:r>
          </w:p>
        </w:tc>
      </w:tr>
      <w:tr w:rsidR="00DB376A" w:rsidRPr="00CA38EF" w:rsidTr="00F162E4">
        <w:trPr>
          <w:trHeight w:val="230"/>
        </w:trPr>
        <w:tc>
          <w:tcPr>
            <w:tcW w:w="582" w:type="dxa"/>
            <w:shd w:val="clear" w:color="auto" w:fill="FFFFFF"/>
            <w:vAlign w:val="center"/>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Аффилированное лицо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«Россети» </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«Завод РЭТО» </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Техническое освидетельст</w:t>
            </w:r>
            <w:r w:rsidR="00F162E4">
              <w:rPr>
                <w:color w:val="000000"/>
                <w:sz w:val="20"/>
                <w:szCs w:val="20"/>
              </w:rPr>
              <w:t>вование силовых трансформаторов.</w:t>
            </w:r>
          </w:p>
        </w:tc>
        <w:tc>
          <w:tcPr>
            <w:tcW w:w="1985" w:type="dxa"/>
            <w:shd w:val="clear" w:color="auto" w:fill="FFFFFF"/>
            <w:vAlign w:val="center"/>
          </w:tcPr>
          <w:p w:rsidR="00DB376A" w:rsidRPr="00CA38EF" w:rsidRDefault="00F162E4" w:rsidP="00CA38EF">
            <w:pPr>
              <w:ind w:firstLine="0"/>
              <w:jc w:val="left"/>
              <w:rPr>
                <w:color w:val="000000"/>
                <w:sz w:val="20"/>
                <w:szCs w:val="20"/>
              </w:rPr>
            </w:pPr>
            <w:r>
              <w:rPr>
                <w:sz w:val="20"/>
                <w:szCs w:val="20"/>
              </w:rPr>
              <w:t>1 852 134,</w:t>
            </w:r>
            <w:r w:rsidR="00DB376A" w:rsidRPr="00CA38EF">
              <w:rPr>
                <w:sz w:val="20"/>
                <w:szCs w:val="20"/>
              </w:rPr>
              <w:t xml:space="preserve">76 </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xml:space="preserve">№ 206 от 02.09.2013 </w:t>
            </w:r>
          </w:p>
        </w:tc>
      </w:tr>
      <w:tr w:rsidR="00DB376A" w:rsidRPr="00CA38EF" w:rsidTr="00F162E4">
        <w:trPr>
          <w:trHeight w:val="230"/>
        </w:trPr>
        <w:tc>
          <w:tcPr>
            <w:tcW w:w="582" w:type="dxa"/>
            <w:shd w:val="clear" w:color="auto" w:fill="FFFFFF"/>
            <w:vAlign w:val="center"/>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Аффилированное лицо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«Россети» </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«Завод РЭТО» </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Ремонт электрооборудования</w:t>
            </w:r>
            <w:r w:rsidR="00F162E4">
              <w:rPr>
                <w:color w:val="000000"/>
                <w:sz w:val="20"/>
                <w:szCs w:val="20"/>
              </w:rPr>
              <w:t>.</w:t>
            </w:r>
            <w:r w:rsidRPr="00CA38EF">
              <w:rPr>
                <w:color w:val="000000"/>
                <w:sz w:val="20"/>
                <w:szCs w:val="20"/>
              </w:rPr>
              <w:t xml:space="preserve"> </w:t>
            </w:r>
          </w:p>
        </w:tc>
        <w:tc>
          <w:tcPr>
            <w:tcW w:w="1985" w:type="dxa"/>
            <w:shd w:val="clear" w:color="auto" w:fill="FFFFFF"/>
            <w:vAlign w:val="center"/>
          </w:tcPr>
          <w:p w:rsidR="00DB376A" w:rsidRPr="00CA38EF" w:rsidRDefault="00DB376A" w:rsidP="00CA38EF">
            <w:pPr>
              <w:ind w:firstLine="0"/>
              <w:jc w:val="left"/>
              <w:rPr>
                <w:color w:val="000000"/>
                <w:sz w:val="20"/>
                <w:szCs w:val="20"/>
              </w:rPr>
            </w:pPr>
            <w:r w:rsidRPr="00CA38EF">
              <w:rPr>
                <w:sz w:val="20"/>
                <w:szCs w:val="20"/>
              </w:rPr>
              <w:t>106 853 802,60</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xml:space="preserve">№ 205 от 16.08.2013 </w:t>
            </w:r>
          </w:p>
        </w:tc>
      </w:tr>
      <w:tr w:rsidR="00DB376A" w:rsidRPr="00CA38EF" w:rsidTr="00F162E4">
        <w:trPr>
          <w:trHeight w:val="230"/>
        </w:trPr>
        <w:tc>
          <w:tcPr>
            <w:tcW w:w="582" w:type="dxa"/>
            <w:shd w:val="clear" w:color="auto" w:fill="FFFFFF"/>
            <w:vAlign w:val="center"/>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Аффилированное лицо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«Россети» </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«Завод РЭТО» </w:t>
            </w:r>
          </w:p>
        </w:tc>
        <w:tc>
          <w:tcPr>
            <w:tcW w:w="6095" w:type="dxa"/>
            <w:shd w:val="clear" w:color="auto" w:fill="FFFFFF"/>
            <w:noWrap/>
            <w:hideMark/>
          </w:tcPr>
          <w:p w:rsidR="00DB376A" w:rsidRPr="00CA38EF" w:rsidRDefault="00DB376A" w:rsidP="00F162E4">
            <w:pPr>
              <w:ind w:firstLine="0"/>
              <w:jc w:val="left"/>
              <w:rPr>
                <w:color w:val="000000"/>
                <w:sz w:val="20"/>
                <w:szCs w:val="20"/>
              </w:rPr>
            </w:pPr>
            <w:r w:rsidRPr="00CA38EF">
              <w:rPr>
                <w:color w:val="000000"/>
                <w:sz w:val="20"/>
                <w:szCs w:val="20"/>
              </w:rPr>
              <w:t>Ремонт трансформаторов</w:t>
            </w:r>
            <w:r w:rsidR="00F162E4">
              <w:rPr>
                <w:color w:val="000000"/>
                <w:sz w:val="20"/>
                <w:szCs w:val="20"/>
              </w:rPr>
              <w:t>.</w:t>
            </w:r>
          </w:p>
        </w:tc>
        <w:tc>
          <w:tcPr>
            <w:tcW w:w="1985" w:type="dxa"/>
            <w:shd w:val="clear" w:color="auto" w:fill="FFFFFF"/>
            <w:vAlign w:val="center"/>
          </w:tcPr>
          <w:p w:rsidR="00DB376A" w:rsidRPr="00CA38EF" w:rsidRDefault="00DB376A" w:rsidP="00CA38EF">
            <w:pPr>
              <w:ind w:firstLine="0"/>
              <w:jc w:val="left"/>
              <w:rPr>
                <w:color w:val="000000"/>
                <w:sz w:val="20"/>
                <w:szCs w:val="20"/>
              </w:rPr>
            </w:pPr>
            <w:r w:rsidRPr="00CA38EF">
              <w:rPr>
                <w:sz w:val="20"/>
                <w:szCs w:val="20"/>
              </w:rPr>
              <w:t xml:space="preserve">106 853 802,60 </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xml:space="preserve">№ 205 от 16.08.2013 </w:t>
            </w:r>
          </w:p>
        </w:tc>
      </w:tr>
      <w:tr w:rsidR="00DB376A" w:rsidRPr="00CA38EF" w:rsidTr="00F162E4">
        <w:trPr>
          <w:trHeight w:val="230"/>
        </w:trPr>
        <w:tc>
          <w:tcPr>
            <w:tcW w:w="582" w:type="dxa"/>
            <w:shd w:val="clear" w:color="auto" w:fill="FFFFFF"/>
            <w:vAlign w:val="center"/>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Аффилированное лицо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«Россети» </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«Завод РЭТО» </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Техническое освидетельствование силовых трансформаторов</w:t>
            </w:r>
            <w:r w:rsidR="00F162E4">
              <w:rPr>
                <w:color w:val="000000"/>
                <w:sz w:val="20"/>
                <w:szCs w:val="20"/>
              </w:rPr>
              <w:t>.</w:t>
            </w:r>
            <w:r w:rsidRPr="00CA38EF">
              <w:rPr>
                <w:color w:val="000000"/>
                <w:sz w:val="20"/>
                <w:szCs w:val="20"/>
              </w:rPr>
              <w:t xml:space="preserve"> </w:t>
            </w:r>
          </w:p>
        </w:tc>
        <w:tc>
          <w:tcPr>
            <w:tcW w:w="1985" w:type="dxa"/>
            <w:shd w:val="clear" w:color="auto" w:fill="FFFFFF"/>
            <w:vAlign w:val="center"/>
          </w:tcPr>
          <w:p w:rsidR="00DB376A" w:rsidRPr="00CA38EF" w:rsidRDefault="00DB376A" w:rsidP="00CA38EF">
            <w:pPr>
              <w:ind w:firstLine="0"/>
              <w:jc w:val="left"/>
              <w:rPr>
                <w:color w:val="000000"/>
                <w:sz w:val="20"/>
                <w:szCs w:val="20"/>
              </w:rPr>
            </w:pPr>
            <w:r w:rsidRPr="00CA38EF">
              <w:rPr>
                <w:color w:val="000000"/>
                <w:sz w:val="20"/>
                <w:szCs w:val="20"/>
              </w:rPr>
              <w:t xml:space="preserve">1 309 960,95 </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xml:space="preserve">- </w:t>
            </w:r>
          </w:p>
        </w:tc>
      </w:tr>
      <w:tr w:rsidR="00DB376A" w:rsidRPr="00CA38EF" w:rsidTr="00F162E4">
        <w:trPr>
          <w:trHeight w:val="230"/>
        </w:trPr>
        <w:tc>
          <w:tcPr>
            <w:tcW w:w="582" w:type="dxa"/>
            <w:shd w:val="clear" w:color="auto" w:fill="FFFFFF"/>
            <w:vAlign w:val="center"/>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Аффилированное лицо </w:t>
            </w:r>
          </w:p>
          <w:p w:rsidR="00DB376A" w:rsidRPr="00CA38EF" w:rsidRDefault="0008080E" w:rsidP="00CA38EF">
            <w:pPr>
              <w:ind w:firstLine="0"/>
              <w:jc w:val="left"/>
              <w:rPr>
                <w:color w:val="000000"/>
                <w:sz w:val="20"/>
                <w:szCs w:val="20"/>
              </w:rPr>
            </w:pPr>
            <w:r>
              <w:rPr>
                <w:color w:val="000000"/>
                <w:sz w:val="20"/>
                <w:szCs w:val="20"/>
              </w:rPr>
              <w:t>ЗАО </w:t>
            </w:r>
            <w:r w:rsidR="00DB376A" w:rsidRPr="00CA38EF">
              <w:rPr>
                <w:color w:val="000000"/>
                <w:sz w:val="20"/>
                <w:szCs w:val="20"/>
              </w:rPr>
              <w:t>«Лидер»</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«Мосэнерго» </w:t>
            </w:r>
          </w:p>
        </w:tc>
        <w:tc>
          <w:tcPr>
            <w:tcW w:w="6095" w:type="dxa"/>
            <w:shd w:val="clear" w:color="auto" w:fill="FFFFFF"/>
            <w:noWrap/>
            <w:hideMark/>
          </w:tcPr>
          <w:p w:rsidR="00DB376A" w:rsidRPr="00CA38EF" w:rsidRDefault="00F162E4" w:rsidP="00CA38EF">
            <w:pPr>
              <w:ind w:firstLine="0"/>
              <w:jc w:val="left"/>
              <w:rPr>
                <w:color w:val="000000"/>
                <w:sz w:val="20"/>
                <w:szCs w:val="20"/>
              </w:rPr>
            </w:pPr>
            <w:r>
              <w:rPr>
                <w:color w:val="000000"/>
                <w:sz w:val="20"/>
                <w:szCs w:val="20"/>
              </w:rPr>
              <w:t>Оказание услуг.</w:t>
            </w:r>
          </w:p>
        </w:tc>
        <w:tc>
          <w:tcPr>
            <w:tcW w:w="1985" w:type="dxa"/>
            <w:shd w:val="clear" w:color="auto" w:fill="FFFFFF"/>
            <w:vAlign w:val="center"/>
          </w:tcPr>
          <w:p w:rsidR="00DB376A" w:rsidRPr="00CA38EF" w:rsidRDefault="00DB376A" w:rsidP="00CA38EF">
            <w:pPr>
              <w:ind w:firstLine="0"/>
              <w:jc w:val="left"/>
              <w:rPr>
                <w:color w:val="000000"/>
                <w:sz w:val="20"/>
                <w:szCs w:val="20"/>
              </w:rPr>
            </w:pPr>
            <w:r w:rsidRPr="00CA38EF">
              <w:rPr>
                <w:color w:val="000000"/>
                <w:sz w:val="20"/>
                <w:szCs w:val="20"/>
              </w:rPr>
              <w:t xml:space="preserve">56 000 </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xml:space="preserve">№ 220 от 27.02.2013 </w:t>
            </w:r>
          </w:p>
        </w:tc>
      </w:tr>
      <w:tr w:rsidR="00DB376A" w:rsidRPr="00CA38EF" w:rsidTr="00F162E4">
        <w:trPr>
          <w:trHeight w:val="230"/>
        </w:trPr>
        <w:tc>
          <w:tcPr>
            <w:tcW w:w="582" w:type="dxa"/>
            <w:shd w:val="clear" w:color="auto" w:fill="FFFFFF"/>
            <w:vAlign w:val="center"/>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Аффилированное лицо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«Россети» </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«Завод РЭТО» </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Ремонт трансформаторов, ТСН, ДГР, насосных пожаротушения, другого электрос</w:t>
            </w:r>
            <w:r w:rsidR="00F162E4">
              <w:rPr>
                <w:color w:val="000000"/>
                <w:sz w:val="20"/>
                <w:szCs w:val="20"/>
              </w:rPr>
              <w:t>етевого оборудования подстанций.</w:t>
            </w:r>
          </w:p>
        </w:tc>
        <w:tc>
          <w:tcPr>
            <w:tcW w:w="1985" w:type="dxa"/>
            <w:shd w:val="clear" w:color="auto" w:fill="FFFFFF"/>
            <w:vAlign w:val="center"/>
          </w:tcPr>
          <w:p w:rsidR="00DB376A" w:rsidRPr="00CA38EF" w:rsidRDefault="00DB376A" w:rsidP="00CA38EF">
            <w:pPr>
              <w:ind w:firstLine="0"/>
              <w:jc w:val="left"/>
              <w:rPr>
                <w:color w:val="000000"/>
                <w:sz w:val="20"/>
                <w:szCs w:val="20"/>
              </w:rPr>
            </w:pPr>
            <w:r w:rsidRPr="00CA38EF">
              <w:rPr>
                <w:color w:val="000000"/>
                <w:sz w:val="20"/>
                <w:szCs w:val="20"/>
              </w:rPr>
              <w:t>106 853 802,60</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xml:space="preserve">№ 205 от 16.08.2013 </w:t>
            </w:r>
          </w:p>
        </w:tc>
      </w:tr>
      <w:tr w:rsidR="00DB376A" w:rsidRPr="00CA38EF" w:rsidTr="00F162E4">
        <w:trPr>
          <w:trHeight w:val="230"/>
        </w:trPr>
        <w:tc>
          <w:tcPr>
            <w:tcW w:w="582" w:type="dxa"/>
            <w:shd w:val="clear" w:color="auto" w:fill="FFFFFF"/>
            <w:vAlign w:val="center"/>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Аффилированное лицо </w:t>
            </w:r>
          </w:p>
          <w:p w:rsidR="00DB376A" w:rsidRPr="00CA38EF" w:rsidRDefault="0008080E" w:rsidP="00CA38EF">
            <w:pPr>
              <w:ind w:firstLine="0"/>
              <w:jc w:val="left"/>
              <w:rPr>
                <w:color w:val="000000"/>
                <w:sz w:val="20"/>
                <w:szCs w:val="20"/>
              </w:rPr>
            </w:pPr>
            <w:r>
              <w:rPr>
                <w:color w:val="000000"/>
                <w:sz w:val="20"/>
                <w:szCs w:val="20"/>
              </w:rPr>
              <w:t>ЗАО </w:t>
            </w:r>
            <w:r w:rsidR="00DB376A" w:rsidRPr="00CA38EF">
              <w:rPr>
                <w:color w:val="000000"/>
                <w:sz w:val="20"/>
                <w:szCs w:val="20"/>
              </w:rPr>
              <w:t xml:space="preserve">«Лидер» </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«СОГАЗ» </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Добро</w:t>
            </w:r>
            <w:r w:rsidR="00F162E4">
              <w:rPr>
                <w:color w:val="000000"/>
                <w:sz w:val="20"/>
                <w:szCs w:val="20"/>
              </w:rPr>
              <w:t>вольное медицинское страхование.</w:t>
            </w:r>
          </w:p>
        </w:tc>
        <w:tc>
          <w:tcPr>
            <w:tcW w:w="1985" w:type="dxa"/>
            <w:shd w:val="clear" w:color="auto" w:fill="FFFFFF"/>
            <w:vAlign w:val="center"/>
          </w:tcPr>
          <w:p w:rsidR="00DB376A" w:rsidRPr="00CA38EF" w:rsidRDefault="00DB376A" w:rsidP="00CA38EF">
            <w:pPr>
              <w:ind w:firstLine="0"/>
              <w:jc w:val="left"/>
              <w:rPr>
                <w:color w:val="000000"/>
                <w:sz w:val="20"/>
                <w:szCs w:val="20"/>
              </w:rPr>
            </w:pPr>
            <w:r w:rsidRPr="00CA38EF">
              <w:rPr>
                <w:color w:val="000000"/>
                <w:sz w:val="20"/>
                <w:szCs w:val="20"/>
              </w:rPr>
              <w:t>362 198 712,35</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xml:space="preserve">№ 206 от 02.09.2013 </w:t>
            </w:r>
          </w:p>
        </w:tc>
      </w:tr>
      <w:tr w:rsidR="00DB376A" w:rsidRPr="00CA38EF" w:rsidTr="00F162E4">
        <w:trPr>
          <w:trHeight w:val="230"/>
        </w:trPr>
        <w:tc>
          <w:tcPr>
            <w:tcW w:w="582" w:type="dxa"/>
            <w:shd w:val="clear" w:color="auto" w:fill="FFFFFF"/>
            <w:vAlign w:val="center"/>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Аффилированное лицо </w:t>
            </w:r>
          </w:p>
          <w:p w:rsidR="00DB376A" w:rsidRPr="00CA38EF" w:rsidRDefault="0008080E" w:rsidP="00CA38EF">
            <w:pPr>
              <w:ind w:firstLine="0"/>
              <w:jc w:val="left"/>
              <w:rPr>
                <w:color w:val="000000"/>
                <w:sz w:val="20"/>
                <w:szCs w:val="20"/>
              </w:rPr>
            </w:pPr>
            <w:r>
              <w:rPr>
                <w:color w:val="000000"/>
                <w:sz w:val="20"/>
                <w:szCs w:val="20"/>
              </w:rPr>
              <w:t>ЗАО </w:t>
            </w:r>
            <w:r w:rsidR="00DB376A" w:rsidRPr="00CA38EF">
              <w:rPr>
                <w:color w:val="000000"/>
                <w:sz w:val="20"/>
                <w:szCs w:val="20"/>
              </w:rPr>
              <w:t>«Лидер»</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«Мосэнерго» </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Снижен</w:t>
            </w:r>
            <w:r w:rsidR="00F162E4">
              <w:rPr>
                <w:color w:val="000000"/>
                <w:sz w:val="20"/>
                <w:szCs w:val="20"/>
              </w:rPr>
              <w:t>ие стоимости оказания услуг по д</w:t>
            </w:r>
            <w:r w:rsidRPr="00CA38EF">
              <w:rPr>
                <w:color w:val="000000"/>
                <w:sz w:val="20"/>
                <w:szCs w:val="20"/>
              </w:rPr>
              <w:t xml:space="preserve">оговору. </w:t>
            </w:r>
          </w:p>
        </w:tc>
        <w:tc>
          <w:tcPr>
            <w:tcW w:w="1985" w:type="dxa"/>
            <w:shd w:val="clear" w:color="auto" w:fill="FFFFFF"/>
            <w:vAlign w:val="center"/>
          </w:tcPr>
          <w:p w:rsidR="00DB376A" w:rsidRPr="00CA38EF" w:rsidRDefault="00DB376A" w:rsidP="00CA38EF">
            <w:pPr>
              <w:ind w:firstLine="0"/>
              <w:jc w:val="left"/>
              <w:rPr>
                <w:color w:val="000000"/>
                <w:sz w:val="20"/>
                <w:szCs w:val="20"/>
              </w:rPr>
            </w:pPr>
            <w:r w:rsidRPr="00CA38EF">
              <w:rPr>
                <w:color w:val="000000"/>
                <w:sz w:val="20"/>
                <w:szCs w:val="20"/>
              </w:rPr>
              <w:t>-</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xml:space="preserve">№ 206 от 02.09.2013 </w:t>
            </w:r>
          </w:p>
        </w:tc>
      </w:tr>
      <w:tr w:rsidR="00DB376A" w:rsidRPr="00CA38EF" w:rsidTr="00F162E4">
        <w:trPr>
          <w:trHeight w:val="230"/>
        </w:trPr>
        <w:tc>
          <w:tcPr>
            <w:tcW w:w="582" w:type="dxa"/>
            <w:shd w:val="clear" w:color="auto" w:fill="FFFFFF"/>
            <w:vAlign w:val="center"/>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Аффилированное лицо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«Россети» </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«МУС Энергетики»</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Раскрытие цепочки бенефициаров. </w:t>
            </w:r>
          </w:p>
        </w:tc>
        <w:tc>
          <w:tcPr>
            <w:tcW w:w="1985" w:type="dxa"/>
            <w:shd w:val="clear" w:color="auto" w:fill="FFFFFF"/>
            <w:vAlign w:val="center"/>
          </w:tcPr>
          <w:p w:rsidR="00DB376A" w:rsidRPr="00CA38EF" w:rsidRDefault="00DB376A" w:rsidP="00CA38EF">
            <w:pPr>
              <w:ind w:firstLine="0"/>
              <w:jc w:val="left"/>
              <w:rPr>
                <w:color w:val="000000"/>
                <w:sz w:val="20"/>
                <w:szCs w:val="20"/>
              </w:rPr>
            </w:pPr>
            <w:r w:rsidRPr="00CA38EF">
              <w:rPr>
                <w:color w:val="000000"/>
                <w:sz w:val="20"/>
                <w:szCs w:val="20"/>
              </w:rPr>
              <w:t>-</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xml:space="preserve">№ 206 от 02.09.2013 </w:t>
            </w:r>
          </w:p>
        </w:tc>
      </w:tr>
      <w:tr w:rsidR="00DB376A" w:rsidRPr="00CA38EF" w:rsidTr="00F162E4">
        <w:trPr>
          <w:trHeight w:val="230"/>
        </w:trPr>
        <w:tc>
          <w:tcPr>
            <w:tcW w:w="582" w:type="dxa"/>
            <w:shd w:val="clear" w:color="auto" w:fill="FFFFFF"/>
            <w:vAlign w:val="center"/>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Аффилированное лицо </w:t>
            </w:r>
          </w:p>
          <w:p w:rsidR="00DB376A" w:rsidRPr="00CA38EF" w:rsidRDefault="0008080E" w:rsidP="00CA38EF">
            <w:pPr>
              <w:ind w:firstLine="0"/>
              <w:jc w:val="left"/>
              <w:rPr>
                <w:color w:val="000000"/>
                <w:sz w:val="20"/>
                <w:szCs w:val="20"/>
              </w:rPr>
            </w:pPr>
            <w:r>
              <w:rPr>
                <w:color w:val="000000"/>
                <w:sz w:val="20"/>
                <w:szCs w:val="20"/>
              </w:rPr>
              <w:t>ЗАО </w:t>
            </w:r>
            <w:r w:rsidR="00DB376A" w:rsidRPr="00CA38EF">
              <w:rPr>
                <w:color w:val="000000"/>
                <w:sz w:val="20"/>
                <w:szCs w:val="20"/>
              </w:rPr>
              <w:t>«Лидер»</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«Мосэнерго» </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Аренда </w:t>
            </w:r>
          </w:p>
        </w:tc>
        <w:tc>
          <w:tcPr>
            <w:tcW w:w="1985" w:type="dxa"/>
            <w:shd w:val="clear" w:color="auto" w:fill="FFFFFF"/>
            <w:vAlign w:val="center"/>
          </w:tcPr>
          <w:p w:rsidR="00DB376A" w:rsidRPr="00CA38EF" w:rsidRDefault="00DB376A" w:rsidP="00CA38EF">
            <w:pPr>
              <w:ind w:firstLine="0"/>
              <w:jc w:val="left"/>
              <w:rPr>
                <w:color w:val="000000"/>
                <w:sz w:val="20"/>
                <w:szCs w:val="20"/>
              </w:rPr>
            </w:pPr>
            <w:r w:rsidRPr="00CA38EF">
              <w:rPr>
                <w:color w:val="000000"/>
                <w:sz w:val="20"/>
                <w:szCs w:val="20"/>
              </w:rPr>
              <w:t>1 021 095,23</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xml:space="preserve">№ 206 от 02.09.2013 </w:t>
            </w:r>
          </w:p>
        </w:tc>
      </w:tr>
      <w:tr w:rsidR="00DB376A" w:rsidRPr="00CA38EF" w:rsidTr="00F162E4">
        <w:trPr>
          <w:trHeight w:val="230"/>
        </w:trPr>
        <w:tc>
          <w:tcPr>
            <w:tcW w:w="582" w:type="dxa"/>
            <w:shd w:val="clear" w:color="auto" w:fill="FFFFFF"/>
            <w:vAlign w:val="center"/>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Аффилированное лицо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«Россети» </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«МОЭСК», </w:t>
            </w:r>
          </w:p>
          <w:p w:rsidR="00DB376A" w:rsidRPr="00CA38EF" w:rsidRDefault="0008080E" w:rsidP="00CA38EF">
            <w:pPr>
              <w:ind w:firstLine="0"/>
              <w:jc w:val="left"/>
              <w:rPr>
                <w:color w:val="000000"/>
                <w:sz w:val="20"/>
                <w:szCs w:val="20"/>
              </w:rPr>
            </w:pPr>
            <w:r>
              <w:rPr>
                <w:color w:val="000000"/>
                <w:sz w:val="20"/>
                <w:szCs w:val="20"/>
              </w:rPr>
              <w:t>ЗАО </w:t>
            </w:r>
            <w:r w:rsidR="00DB376A" w:rsidRPr="00CA38EF">
              <w:rPr>
                <w:color w:val="000000"/>
                <w:sz w:val="20"/>
                <w:szCs w:val="20"/>
              </w:rPr>
              <w:t xml:space="preserve">«АПБЭ» </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Оказание услуг </w:t>
            </w:r>
          </w:p>
        </w:tc>
        <w:tc>
          <w:tcPr>
            <w:tcW w:w="1985" w:type="dxa"/>
            <w:shd w:val="clear" w:color="auto" w:fill="FFFFFF"/>
            <w:vAlign w:val="center"/>
          </w:tcPr>
          <w:p w:rsidR="00DB376A" w:rsidRPr="00CA38EF" w:rsidRDefault="00DB376A" w:rsidP="00CA38EF">
            <w:pPr>
              <w:ind w:firstLine="0"/>
              <w:jc w:val="left"/>
              <w:rPr>
                <w:color w:val="000000"/>
                <w:sz w:val="20"/>
                <w:szCs w:val="20"/>
              </w:rPr>
            </w:pPr>
            <w:r w:rsidRPr="00CA38EF">
              <w:rPr>
                <w:color w:val="000000"/>
                <w:sz w:val="20"/>
                <w:szCs w:val="20"/>
              </w:rPr>
              <w:t xml:space="preserve">495 000,00 </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xml:space="preserve">№ 206 от 02.09.2013 </w:t>
            </w:r>
          </w:p>
        </w:tc>
      </w:tr>
      <w:tr w:rsidR="00DB376A" w:rsidRPr="00CA38EF" w:rsidTr="00F162E4">
        <w:trPr>
          <w:trHeight w:val="230"/>
        </w:trPr>
        <w:tc>
          <w:tcPr>
            <w:tcW w:w="582" w:type="dxa"/>
            <w:shd w:val="clear" w:color="auto" w:fill="FFFFFF"/>
            <w:vAlign w:val="center"/>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Аффилированное лицо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«Завод РЭТО» </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Поставка оборудования </w:t>
            </w:r>
          </w:p>
        </w:tc>
        <w:tc>
          <w:tcPr>
            <w:tcW w:w="1985" w:type="dxa"/>
            <w:shd w:val="clear" w:color="auto" w:fill="FFFFFF"/>
            <w:vAlign w:val="center"/>
          </w:tcPr>
          <w:p w:rsidR="00DB376A" w:rsidRPr="00CA38EF" w:rsidRDefault="00DB376A" w:rsidP="00CA38EF">
            <w:pPr>
              <w:ind w:firstLine="0"/>
              <w:jc w:val="left"/>
              <w:rPr>
                <w:color w:val="000000"/>
                <w:sz w:val="20"/>
                <w:szCs w:val="20"/>
              </w:rPr>
            </w:pPr>
            <w:r w:rsidRPr="00CA38EF">
              <w:rPr>
                <w:color w:val="000000"/>
                <w:sz w:val="20"/>
                <w:szCs w:val="20"/>
              </w:rPr>
              <w:t>2 789 311,23</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xml:space="preserve">№ 206 от 02.09.2013 </w:t>
            </w:r>
          </w:p>
        </w:tc>
      </w:tr>
      <w:tr w:rsidR="00DB376A" w:rsidRPr="00CA38EF" w:rsidTr="00F162E4">
        <w:trPr>
          <w:trHeight w:val="230"/>
        </w:trPr>
        <w:tc>
          <w:tcPr>
            <w:tcW w:w="582" w:type="dxa"/>
            <w:shd w:val="clear" w:color="auto" w:fill="FFFFFF"/>
            <w:vAlign w:val="center"/>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Аффилированное лицо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«Мобильные ГТЭС»</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Субаренда земельного участка </w:t>
            </w:r>
          </w:p>
        </w:tc>
        <w:tc>
          <w:tcPr>
            <w:tcW w:w="1985" w:type="dxa"/>
            <w:shd w:val="clear" w:color="auto" w:fill="FFFFFF"/>
            <w:vAlign w:val="center"/>
          </w:tcPr>
          <w:p w:rsidR="00DB376A" w:rsidRPr="00CA38EF" w:rsidRDefault="00DB376A" w:rsidP="00CA38EF">
            <w:pPr>
              <w:ind w:firstLine="0"/>
              <w:jc w:val="left"/>
              <w:rPr>
                <w:color w:val="000000"/>
                <w:sz w:val="20"/>
                <w:szCs w:val="20"/>
              </w:rPr>
            </w:pPr>
            <w:r w:rsidRPr="00CA38EF">
              <w:rPr>
                <w:color w:val="000000"/>
                <w:sz w:val="20"/>
                <w:szCs w:val="20"/>
              </w:rPr>
              <w:t>161 530,63</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xml:space="preserve">№ 206 от 02.09.2013 </w:t>
            </w:r>
          </w:p>
        </w:tc>
      </w:tr>
      <w:tr w:rsidR="00DB376A" w:rsidRPr="00CA38EF" w:rsidTr="00F162E4">
        <w:trPr>
          <w:trHeight w:val="230"/>
        </w:trPr>
        <w:tc>
          <w:tcPr>
            <w:tcW w:w="582" w:type="dxa"/>
            <w:shd w:val="clear" w:color="auto" w:fill="FFFFFF"/>
            <w:vAlign w:val="center"/>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Аффилированное лицо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«Россети» </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«Энергоцентр»</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Аренда нежилого помещения </w:t>
            </w:r>
          </w:p>
        </w:tc>
        <w:tc>
          <w:tcPr>
            <w:tcW w:w="1985" w:type="dxa"/>
            <w:shd w:val="clear" w:color="auto" w:fill="FFFFFF"/>
            <w:vAlign w:val="center"/>
          </w:tcPr>
          <w:p w:rsidR="00DB376A" w:rsidRPr="00CA38EF" w:rsidRDefault="00DB376A" w:rsidP="00CA38EF">
            <w:pPr>
              <w:ind w:firstLine="0"/>
              <w:jc w:val="left"/>
              <w:rPr>
                <w:color w:val="000000"/>
                <w:sz w:val="20"/>
                <w:szCs w:val="20"/>
              </w:rPr>
            </w:pPr>
            <w:r w:rsidRPr="00CA38EF">
              <w:rPr>
                <w:color w:val="000000"/>
                <w:sz w:val="20"/>
                <w:szCs w:val="20"/>
              </w:rPr>
              <w:t>14 377 781,15</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206 от 02.09.2013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Аффилированное лицо </w:t>
            </w:r>
            <w:r w:rsidR="0008080E">
              <w:rPr>
                <w:color w:val="000000"/>
                <w:sz w:val="20"/>
                <w:szCs w:val="20"/>
              </w:rPr>
              <w:t>ОАО </w:t>
            </w:r>
            <w:r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«Завод РЭТО»</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Продление срока аренды.</w:t>
            </w:r>
          </w:p>
        </w:tc>
        <w:tc>
          <w:tcPr>
            <w:tcW w:w="1985" w:type="dxa"/>
            <w:shd w:val="clear" w:color="auto" w:fill="FFFFFF"/>
          </w:tcPr>
          <w:p w:rsidR="00DB376A" w:rsidRPr="00CA38EF" w:rsidRDefault="00DB376A" w:rsidP="00CA38EF">
            <w:pPr>
              <w:ind w:firstLine="0"/>
              <w:jc w:val="left"/>
              <w:rPr>
                <w:color w:val="000000"/>
                <w:sz w:val="20"/>
                <w:szCs w:val="20"/>
              </w:rPr>
            </w:pPr>
            <w:r w:rsidRPr="00CA38EF">
              <w:rPr>
                <w:color w:val="000000"/>
                <w:sz w:val="20"/>
                <w:szCs w:val="20"/>
              </w:rPr>
              <w:t>-</w:t>
            </w:r>
          </w:p>
        </w:tc>
        <w:tc>
          <w:tcPr>
            <w:tcW w:w="2126" w:type="dxa"/>
            <w:shd w:val="clear" w:color="auto" w:fill="FFFFFF"/>
          </w:tcPr>
          <w:p w:rsidR="00DB376A" w:rsidRPr="00CA38EF" w:rsidRDefault="00DB376A" w:rsidP="00CA38EF">
            <w:pPr>
              <w:ind w:firstLine="0"/>
              <w:jc w:val="left"/>
              <w:rPr>
                <w:rStyle w:val="FontStyle12"/>
                <w:sz w:val="20"/>
                <w:szCs w:val="20"/>
              </w:rPr>
            </w:pPr>
            <w:r w:rsidRPr="00CA38EF">
              <w:rPr>
                <w:rStyle w:val="FontStyle12"/>
                <w:sz w:val="20"/>
                <w:szCs w:val="20"/>
              </w:rPr>
              <w:t>№ 197 от 03.04.2013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Аффилированное лицо </w:t>
            </w:r>
            <w:r w:rsidR="0008080E">
              <w:rPr>
                <w:color w:val="000000"/>
                <w:sz w:val="20"/>
                <w:szCs w:val="20"/>
              </w:rPr>
              <w:t>ОАО </w:t>
            </w:r>
            <w:r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«Московский узел связи энергетики»</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Оказание услуг технического обслуживания оборудования цифровых систем коммутации УПАТС AVAYA</w:t>
            </w:r>
          </w:p>
        </w:tc>
        <w:tc>
          <w:tcPr>
            <w:tcW w:w="1985" w:type="dxa"/>
            <w:shd w:val="clear" w:color="auto" w:fill="FFFFFF"/>
          </w:tcPr>
          <w:p w:rsidR="00DB376A" w:rsidRPr="00CA38EF" w:rsidRDefault="00DB376A" w:rsidP="00CA38EF">
            <w:pPr>
              <w:ind w:firstLine="0"/>
              <w:jc w:val="left"/>
              <w:rPr>
                <w:color w:val="000000"/>
                <w:sz w:val="20"/>
                <w:szCs w:val="20"/>
              </w:rPr>
            </w:pPr>
            <w:r w:rsidRPr="00CA38EF">
              <w:rPr>
                <w:color w:val="000000"/>
                <w:sz w:val="20"/>
                <w:szCs w:val="20"/>
              </w:rPr>
              <w:t>18 997 908,00</w:t>
            </w:r>
          </w:p>
        </w:tc>
        <w:tc>
          <w:tcPr>
            <w:tcW w:w="2126" w:type="dxa"/>
            <w:shd w:val="clear" w:color="auto" w:fill="FFFFFF"/>
          </w:tcPr>
          <w:p w:rsidR="00DB376A" w:rsidRPr="00CA38EF" w:rsidRDefault="00DB376A" w:rsidP="00CA38EF">
            <w:pPr>
              <w:ind w:firstLine="0"/>
              <w:jc w:val="left"/>
              <w:rPr>
                <w:color w:val="000000"/>
                <w:sz w:val="20"/>
                <w:szCs w:val="20"/>
              </w:rPr>
            </w:pPr>
            <w:r w:rsidRPr="00CA38EF">
              <w:rPr>
                <w:rStyle w:val="FontStyle12"/>
                <w:sz w:val="20"/>
                <w:szCs w:val="20"/>
              </w:rPr>
              <w:t>№ 209 от 07.11.2013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sz w:val="20"/>
                <w:szCs w:val="20"/>
              </w:rPr>
            </w:pPr>
            <w:r w:rsidRPr="00CA38EF">
              <w:rPr>
                <w:color w:val="000000"/>
                <w:sz w:val="20"/>
                <w:szCs w:val="20"/>
              </w:rPr>
              <w:t xml:space="preserve">Аффилированное лицо </w:t>
            </w:r>
            <w:r w:rsidR="0008080E">
              <w:rPr>
                <w:color w:val="000000"/>
                <w:sz w:val="20"/>
                <w:szCs w:val="20"/>
              </w:rPr>
              <w:t>ОАО </w:t>
            </w:r>
            <w:r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«МКСМ»,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«МОЭСК»</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Изыскательские работы, разработка и согласование проектно-сметной документации, комплекс строительно-монтажных и пусконаладочных работ.</w:t>
            </w:r>
          </w:p>
        </w:tc>
        <w:tc>
          <w:tcPr>
            <w:tcW w:w="1985" w:type="dxa"/>
            <w:shd w:val="clear" w:color="auto" w:fill="FFFFFF"/>
          </w:tcPr>
          <w:p w:rsidR="00DB376A" w:rsidRPr="00CA38EF" w:rsidRDefault="00DB376A" w:rsidP="00CA38EF">
            <w:pPr>
              <w:ind w:firstLine="0"/>
              <w:jc w:val="left"/>
              <w:rPr>
                <w:color w:val="000000"/>
                <w:sz w:val="20"/>
                <w:szCs w:val="20"/>
              </w:rPr>
            </w:pPr>
            <w:r w:rsidRPr="00CA38EF">
              <w:rPr>
                <w:color w:val="000000"/>
                <w:sz w:val="20"/>
                <w:szCs w:val="20"/>
              </w:rPr>
              <w:t>321 481 038,44</w:t>
            </w:r>
          </w:p>
        </w:tc>
        <w:tc>
          <w:tcPr>
            <w:tcW w:w="2126" w:type="dxa"/>
            <w:shd w:val="clear" w:color="auto" w:fill="FFFFFF"/>
          </w:tcPr>
          <w:p w:rsidR="00DB376A" w:rsidRPr="00CA38EF" w:rsidRDefault="00DB376A" w:rsidP="00CA38EF">
            <w:pPr>
              <w:ind w:firstLine="0"/>
              <w:jc w:val="left"/>
              <w:rPr>
                <w:color w:val="000000"/>
                <w:sz w:val="20"/>
                <w:szCs w:val="20"/>
              </w:rPr>
            </w:pPr>
            <w:r w:rsidRPr="00CA38EF">
              <w:rPr>
                <w:rStyle w:val="FontStyle12"/>
                <w:sz w:val="20"/>
                <w:szCs w:val="20"/>
              </w:rPr>
              <w:t>№ 209 от 07.11.2013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sz w:val="20"/>
                <w:szCs w:val="20"/>
              </w:rPr>
            </w:pPr>
            <w:r w:rsidRPr="00CA38EF">
              <w:rPr>
                <w:color w:val="000000"/>
                <w:sz w:val="20"/>
                <w:szCs w:val="20"/>
              </w:rPr>
              <w:t xml:space="preserve">Аффилированное лицо </w:t>
            </w:r>
            <w:r w:rsidR="0008080E">
              <w:rPr>
                <w:color w:val="000000"/>
                <w:sz w:val="20"/>
                <w:szCs w:val="20"/>
              </w:rPr>
              <w:t>ОАО </w:t>
            </w:r>
            <w:r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ООО </w:t>
            </w:r>
            <w:r w:rsidR="00DB376A" w:rsidRPr="00CA38EF">
              <w:rPr>
                <w:color w:val="000000"/>
                <w:sz w:val="20"/>
                <w:szCs w:val="20"/>
              </w:rPr>
              <w:t>«АйТи Энерджи Сервис»</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услуги по сопровождению типовых справочников в области технического обслуживания и ремонтов оборудования для нужд </w:t>
            </w:r>
            <w:r w:rsidR="0008080E">
              <w:rPr>
                <w:color w:val="000000"/>
                <w:sz w:val="20"/>
                <w:szCs w:val="20"/>
              </w:rPr>
              <w:t>ОАО </w:t>
            </w:r>
            <w:r w:rsidRPr="00CA38EF">
              <w:rPr>
                <w:color w:val="000000"/>
                <w:sz w:val="20"/>
                <w:szCs w:val="20"/>
              </w:rPr>
              <w:t>«МОЭСК»</w:t>
            </w:r>
          </w:p>
        </w:tc>
        <w:tc>
          <w:tcPr>
            <w:tcW w:w="1985" w:type="dxa"/>
            <w:shd w:val="clear" w:color="auto" w:fill="FFFFFF"/>
          </w:tcPr>
          <w:p w:rsidR="00DB376A" w:rsidRPr="00CA38EF" w:rsidRDefault="00DB376A" w:rsidP="00CA38EF">
            <w:pPr>
              <w:ind w:firstLine="0"/>
              <w:jc w:val="left"/>
              <w:rPr>
                <w:color w:val="000000"/>
                <w:sz w:val="20"/>
                <w:szCs w:val="20"/>
              </w:rPr>
            </w:pPr>
            <w:r w:rsidRPr="00CA38EF">
              <w:rPr>
                <w:color w:val="000000"/>
                <w:sz w:val="20"/>
                <w:szCs w:val="20"/>
              </w:rPr>
              <w:t>2 407 200,00</w:t>
            </w:r>
          </w:p>
        </w:tc>
        <w:tc>
          <w:tcPr>
            <w:tcW w:w="2126" w:type="dxa"/>
            <w:shd w:val="clear" w:color="auto" w:fill="FFFFFF"/>
          </w:tcPr>
          <w:p w:rsidR="00DB376A" w:rsidRPr="00CA38EF" w:rsidRDefault="00DB376A" w:rsidP="00CA38EF">
            <w:pPr>
              <w:ind w:firstLine="0"/>
              <w:jc w:val="left"/>
              <w:rPr>
                <w:color w:val="000000"/>
                <w:sz w:val="20"/>
                <w:szCs w:val="20"/>
              </w:rPr>
            </w:pPr>
            <w:r w:rsidRPr="00CA38EF">
              <w:rPr>
                <w:rStyle w:val="FontStyle12"/>
                <w:sz w:val="20"/>
                <w:szCs w:val="20"/>
              </w:rPr>
              <w:t>№ 209 от 07.11.2013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Аффилированное лицо </w:t>
            </w:r>
            <w:r w:rsidR="0008080E">
              <w:rPr>
                <w:color w:val="000000"/>
                <w:sz w:val="20"/>
                <w:szCs w:val="20"/>
              </w:rPr>
              <w:t>ОАО </w:t>
            </w:r>
            <w:r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«ФСК ЕЭС»</w:t>
            </w:r>
          </w:p>
        </w:tc>
        <w:tc>
          <w:tcPr>
            <w:tcW w:w="6095" w:type="dxa"/>
            <w:shd w:val="clear" w:color="auto" w:fill="FFFFFF"/>
            <w:noWrap/>
            <w:hideMark/>
          </w:tcPr>
          <w:p w:rsidR="00DB376A" w:rsidRPr="00CA38EF" w:rsidRDefault="00DB376A" w:rsidP="0008080E">
            <w:pPr>
              <w:ind w:firstLine="0"/>
              <w:jc w:val="left"/>
              <w:rPr>
                <w:color w:val="000000"/>
                <w:sz w:val="20"/>
                <w:szCs w:val="20"/>
              </w:rPr>
            </w:pPr>
            <w:r w:rsidRPr="00CA38EF">
              <w:rPr>
                <w:color w:val="000000"/>
                <w:sz w:val="20"/>
                <w:szCs w:val="20"/>
              </w:rPr>
              <w:t xml:space="preserve">Соглашение о компенсации ущерба, возникшего в результате ликвидации имущества </w:t>
            </w:r>
            <w:r w:rsidR="0008080E">
              <w:rPr>
                <w:color w:val="000000"/>
                <w:sz w:val="20"/>
                <w:szCs w:val="20"/>
              </w:rPr>
              <w:t>ОАО </w:t>
            </w:r>
            <w:r w:rsidRPr="00CA38EF">
              <w:rPr>
                <w:color w:val="000000"/>
                <w:sz w:val="20"/>
                <w:szCs w:val="20"/>
              </w:rPr>
              <w:t xml:space="preserve">«МОЭСК» в ходе проведения </w:t>
            </w:r>
            <w:r w:rsidR="0008080E">
              <w:rPr>
                <w:color w:val="000000"/>
                <w:sz w:val="20"/>
                <w:szCs w:val="20"/>
              </w:rPr>
              <w:t>ОАО </w:t>
            </w:r>
            <w:r w:rsidRPr="00CA38EF">
              <w:rPr>
                <w:color w:val="000000"/>
                <w:sz w:val="20"/>
                <w:szCs w:val="20"/>
              </w:rPr>
              <w:t>«ФСК ЕЭС» реконструкции на ПС 500 кВ «Очаково»</w:t>
            </w:r>
          </w:p>
        </w:tc>
        <w:tc>
          <w:tcPr>
            <w:tcW w:w="1985" w:type="dxa"/>
            <w:shd w:val="clear" w:color="auto" w:fill="FFFFFF"/>
          </w:tcPr>
          <w:p w:rsidR="00DB376A" w:rsidRPr="00CA38EF" w:rsidRDefault="00DB376A" w:rsidP="00CA38EF">
            <w:pPr>
              <w:ind w:firstLine="0"/>
              <w:jc w:val="left"/>
              <w:rPr>
                <w:color w:val="000000"/>
                <w:sz w:val="20"/>
                <w:szCs w:val="20"/>
              </w:rPr>
            </w:pPr>
            <w:r w:rsidRPr="00CA38EF">
              <w:rPr>
                <w:color w:val="000000"/>
                <w:sz w:val="20"/>
                <w:szCs w:val="20"/>
              </w:rPr>
              <w:t>87 241 073,34</w:t>
            </w:r>
          </w:p>
        </w:tc>
        <w:tc>
          <w:tcPr>
            <w:tcW w:w="2126" w:type="dxa"/>
            <w:shd w:val="clear" w:color="auto" w:fill="FFFFFF"/>
          </w:tcPr>
          <w:p w:rsidR="00DB376A" w:rsidRPr="00CA38EF" w:rsidRDefault="00DB376A" w:rsidP="00CA38EF">
            <w:pPr>
              <w:ind w:firstLine="0"/>
              <w:jc w:val="left"/>
              <w:rPr>
                <w:color w:val="000000"/>
                <w:sz w:val="20"/>
                <w:szCs w:val="20"/>
              </w:rPr>
            </w:pPr>
            <w:r w:rsidRPr="00CA38EF">
              <w:rPr>
                <w:rStyle w:val="FontStyle12"/>
                <w:sz w:val="20"/>
                <w:szCs w:val="20"/>
              </w:rPr>
              <w:t>№ 209 от 07.11.2013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Аффилированное лицо </w:t>
            </w:r>
            <w:r w:rsidR="0008080E">
              <w:rPr>
                <w:color w:val="000000"/>
                <w:sz w:val="20"/>
                <w:szCs w:val="20"/>
              </w:rPr>
              <w:t>ОАО </w:t>
            </w:r>
            <w:r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«МКЭР»</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Измерение значений наведенного напряжения на ВЛ 110-220</w:t>
            </w:r>
            <w:r w:rsidR="00F162E4">
              <w:rPr>
                <w:color w:val="000000"/>
                <w:sz w:val="20"/>
                <w:szCs w:val="20"/>
              </w:rPr>
              <w:t xml:space="preserve"> </w:t>
            </w:r>
            <w:r w:rsidRPr="00CA38EF">
              <w:rPr>
                <w:color w:val="000000"/>
                <w:sz w:val="20"/>
                <w:szCs w:val="20"/>
              </w:rPr>
              <w:t>кВ</w:t>
            </w:r>
          </w:p>
        </w:tc>
        <w:tc>
          <w:tcPr>
            <w:tcW w:w="1985" w:type="dxa"/>
            <w:shd w:val="clear" w:color="auto" w:fill="FFFFFF"/>
          </w:tcPr>
          <w:p w:rsidR="00DB376A" w:rsidRPr="00CA38EF" w:rsidRDefault="00DB376A" w:rsidP="00CA38EF">
            <w:pPr>
              <w:ind w:firstLine="0"/>
              <w:jc w:val="left"/>
              <w:rPr>
                <w:color w:val="000000"/>
                <w:sz w:val="20"/>
                <w:szCs w:val="20"/>
              </w:rPr>
            </w:pPr>
            <w:r w:rsidRPr="00CA38EF">
              <w:rPr>
                <w:color w:val="000000"/>
                <w:sz w:val="20"/>
                <w:szCs w:val="20"/>
              </w:rPr>
              <w:t>1 530 861,99</w:t>
            </w:r>
          </w:p>
        </w:tc>
        <w:tc>
          <w:tcPr>
            <w:tcW w:w="2126" w:type="dxa"/>
            <w:shd w:val="clear" w:color="auto" w:fill="FFFFFF"/>
          </w:tcPr>
          <w:p w:rsidR="00DB376A" w:rsidRPr="00CA38EF" w:rsidRDefault="00DB376A" w:rsidP="00CA38EF">
            <w:pPr>
              <w:ind w:firstLine="0"/>
              <w:jc w:val="left"/>
              <w:rPr>
                <w:color w:val="000000"/>
                <w:sz w:val="20"/>
                <w:szCs w:val="20"/>
              </w:rPr>
            </w:pPr>
            <w:r w:rsidRPr="00CA38EF">
              <w:rPr>
                <w:color w:val="000000"/>
                <w:sz w:val="20"/>
                <w:szCs w:val="20"/>
              </w:rPr>
              <w:t>№ 208 от 08.10.2013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Аффилированное лицо </w:t>
            </w:r>
            <w:r w:rsidR="0008080E">
              <w:rPr>
                <w:color w:val="000000"/>
                <w:sz w:val="20"/>
                <w:szCs w:val="20"/>
              </w:rPr>
              <w:lastRenderedPageBreak/>
              <w:t>ОАО </w:t>
            </w:r>
            <w:r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lastRenderedPageBreak/>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lastRenderedPageBreak/>
              <w:t>ООО </w:t>
            </w:r>
            <w:r w:rsidR="00DB376A" w:rsidRPr="00CA38EF">
              <w:rPr>
                <w:color w:val="000000"/>
                <w:sz w:val="20"/>
                <w:szCs w:val="20"/>
              </w:rPr>
              <w:t>«АйТи Энерджи Сервис»</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lastRenderedPageBreak/>
              <w:t>Дополнительное соглашение. Продление срока аренды ИТ-</w:t>
            </w:r>
            <w:r w:rsidRPr="00CA38EF">
              <w:rPr>
                <w:color w:val="000000"/>
                <w:sz w:val="20"/>
                <w:szCs w:val="20"/>
              </w:rPr>
              <w:lastRenderedPageBreak/>
              <w:t>оборудования.</w:t>
            </w:r>
          </w:p>
        </w:tc>
        <w:tc>
          <w:tcPr>
            <w:tcW w:w="1985" w:type="dxa"/>
            <w:shd w:val="clear" w:color="auto" w:fill="FFFFFF"/>
          </w:tcPr>
          <w:p w:rsidR="00DB376A" w:rsidRPr="00CA38EF" w:rsidRDefault="00DB376A" w:rsidP="00CA38EF">
            <w:pPr>
              <w:ind w:firstLine="0"/>
              <w:jc w:val="left"/>
              <w:rPr>
                <w:color w:val="000000"/>
                <w:sz w:val="20"/>
                <w:szCs w:val="20"/>
              </w:rPr>
            </w:pPr>
            <w:r w:rsidRPr="00CA38EF">
              <w:rPr>
                <w:color w:val="000000"/>
                <w:sz w:val="20"/>
                <w:szCs w:val="20"/>
              </w:rPr>
              <w:lastRenderedPageBreak/>
              <w:t>-</w:t>
            </w:r>
          </w:p>
        </w:tc>
        <w:tc>
          <w:tcPr>
            <w:tcW w:w="2126" w:type="dxa"/>
            <w:shd w:val="clear" w:color="auto" w:fill="FFFFFF"/>
          </w:tcPr>
          <w:p w:rsidR="00DB376A" w:rsidRPr="00CA38EF" w:rsidRDefault="00DB376A" w:rsidP="00CA38EF">
            <w:pPr>
              <w:ind w:firstLine="0"/>
              <w:jc w:val="left"/>
              <w:rPr>
                <w:color w:val="000000"/>
                <w:sz w:val="20"/>
                <w:szCs w:val="20"/>
              </w:rPr>
            </w:pPr>
            <w:r w:rsidRPr="00CA38EF">
              <w:rPr>
                <w:color w:val="000000"/>
                <w:sz w:val="20"/>
                <w:szCs w:val="20"/>
              </w:rPr>
              <w:t>№ 208 от 08.10.2013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Аффилированное лицо </w:t>
            </w:r>
            <w:r w:rsidR="0008080E">
              <w:rPr>
                <w:color w:val="000000"/>
                <w:sz w:val="20"/>
                <w:szCs w:val="20"/>
              </w:rPr>
              <w:t>ОАО </w:t>
            </w:r>
            <w:r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ООО </w:t>
            </w:r>
            <w:r w:rsidR="00DB376A" w:rsidRPr="00CA38EF">
              <w:rPr>
                <w:color w:val="000000"/>
                <w:sz w:val="20"/>
                <w:szCs w:val="20"/>
              </w:rPr>
              <w:t>«АйТи Энерджи Сервис»</w:t>
            </w:r>
          </w:p>
        </w:tc>
        <w:tc>
          <w:tcPr>
            <w:tcW w:w="6095" w:type="dxa"/>
            <w:shd w:val="clear" w:color="auto" w:fill="FFFFFF"/>
            <w:noWrap/>
            <w:hideMark/>
          </w:tcPr>
          <w:p w:rsidR="00DB376A" w:rsidRPr="00CA38EF" w:rsidRDefault="00DB376A" w:rsidP="00F162E4">
            <w:pPr>
              <w:ind w:firstLine="0"/>
              <w:jc w:val="left"/>
              <w:rPr>
                <w:color w:val="000000"/>
                <w:sz w:val="20"/>
                <w:szCs w:val="20"/>
              </w:rPr>
            </w:pPr>
            <w:r w:rsidRPr="00CA38EF">
              <w:rPr>
                <w:color w:val="000000"/>
                <w:sz w:val="20"/>
                <w:szCs w:val="20"/>
              </w:rPr>
              <w:t>Услуги по разработке единого каталога ИТТ</w:t>
            </w:r>
            <w:r w:rsidR="00F162E4">
              <w:rPr>
                <w:color w:val="000000"/>
                <w:sz w:val="20"/>
                <w:szCs w:val="20"/>
              </w:rPr>
              <w:t>-</w:t>
            </w:r>
            <w:r w:rsidRPr="00CA38EF">
              <w:rPr>
                <w:color w:val="000000"/>
                <w:sz w:val="20"/>
                <w:szCs w:val="20"/>
              </w:rPr>
              <w:t>услуг</w:t>
            </w:r>
          </w:p>
        </w:tc>
        <w:tc>
          <w:tcPr>
            <w:tcW w:w="1985" w:type="dxa"/>
            <w:shd w:val="clear" w:color="auto" w:fill="FFFFFF"/>
          </w:tcPr>
          <w:p w:rsidR="00DB376A" w:rsidRPr="00CA38EF" w:rsidRDefault="00DB376A" w:rsidP="00CA38EF">
            <w:pPr>
              <w:ind w:firstLine="0"/>
              <w:jc w:val="left"/>
              <w:rPr>
                <w:color w:val="000000"/>
                <w:sz w:val="20"/>
                <w:szCs w:val="20"/>
              </w:rPr>
            </w:pPr>
            <w:r w:rsidRPr="00CA38EF">
              <w:rPr>
                <w:color w:val="000000"/>
                <w:sz w:val="20"/>
                <w:szCs w:val="20"/>
              </w:rPr>
              <w:t>1 890 784</w:t>
            </w:r>
          </w:p>
        </w:tc>
        <w:tc>
          <w:tcPr>
            <w:tcW w:w="2126" w:type="dxa"/>
            <w:shd w:val="clear" w:color="auto" w:fill="FFFFFF"/>
          </w:tcPr>
          <w:p w:rsidR="00DB376A" w:rsidRPr="00CA38EF" w:rsidRDefault="00DB376A" w:rsidP="00CA38EF">
            <w:pPr>
              <w:ind w:firstLine="0"/>
              <w:jc w:val="left"/>
              <w:rPr>
                <w:color w:val="000000"/>
                <w:sz w:val="20"/>
                <w:szCs w:val="20"/>
              </w:rPr>
            </w:pPr>
            <w:r w:rsidRPr="00CA38EF">
              <w:rPr>
                <w:color w:val="000000"/>
                <w:sz w:val="20"/>
                <w:szCs w:val="20"/>
              </w:rPr>
              <w:t>№ 208 от 08.10.2013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Аффилированное лицо </w:t>
            </w:r>
            <w:r w:rsidR="0008080E">
              <w:rPr>
                <w:color w:val="000000"/>
                <w:sz w:val="20"/>
                <w:szCs w:val="20"/>
              </w:rPr>
              <w:t>ЗАО </w:t>
            </w:r>
            <w:r w:rsidRPr="00CA38EF">
              <w:rPr>
                <w:color w:val="000000"/>
                <w:sz w:val="20"/>
                <w:szCs w:val="20"/>
              </w:rPr>
              <w:t>«Лидер»</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ООО </w:t>
            </w:r>
            <w:r w:rsidR="00DB376A" w:rsidRPr="00CA38EF">
              <w:rPr>
                <w:color w:val="000000"/>
                <w:sz w:val="20"/>
                <w:szCs w:val="20"/>
              </w:rPr>
              <w:t>«СОГАЗ-Медсервис»</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Услуги по организации санаторно-курортного лечения и оздоровительного отдыха в детских оздоровительных лагерях и санаторно-оздоровительных учреждениях для детей работников, пенсионеров, участников ВОВ, бывших несовершеннолетних узников нацистских концлагерей, участников трудового фронта в годы ВОВ и участников трудового фронта.</w:t>
            </w:r>
          </w:p>
        </w:tc>
        <w:tc>
          <w:tcPr>
            <w:tcW w:w="1985" w:type="dxa"/>
            <w:shd w:val="clear" w:color="auto" w:fill="FFFFFF"/>
          </w:tcPr>
          <w:p w:rsidR="00DB376A" w:rsidRPr="00CA38EF" w:rsidRDefault="00DB376A" w:rsidP="00CA38EF">
            <w:pPr>
              <w:ind w:firstLine="0"/>
              <w:jc w:val="left"/>
              <w:rPr>
                <w:color w:val="000000"/>
                <w:sz w:val="20"/>
                <w:szCs w:val="20"/>
              </w:rPr>
            </w:pPr>
            <w:r w:rsidRPr="00CA38EF">
              <w:rPr>
                <w:color w:val="000000"/>
                <w:sz w:val="20"/>
                <w:szCs w:val="20"/>
              </w:rPr>
              <w:t>Не более 35 380 000, 00 (НДС не облагается)</w:t>
            </w:r>
          </w:p>
        </w:tc>
        <w:tc>
          <w:tcPr>
            <w:tcW w:w="2126" w:type="dxa"/>
            <w:shd w:val="clear" w:color="auto" w:fill="FFFFFF"/>
          </w:tcPr>
          <w:p w:rsidR="00DB376A" w:rsidRPr="00CA38EF" w:rsidRDefault="00DB376A" w:rsidP="00CA38EF">
            <w:pPr>
              <w:ind w:firstLine="0"/>
              <w:jc w:val="left"/>
              <w:rPr>
                <w:sz w:val="20"/>
                <w:szCs w:val="20"/>
              </w:rPr>
            </w:pPr>
            <w:r w:rsidRPr="00CA38EF">
              <w:rPr>
                <w:color w:val="000000"/>
                <w:sz w:val="20"/>
                <w:szCs w:val="20"/>
              </w:rPr>
              <w:t>№ 208 от 08.10.2013</w:t>
            </w:r>
          </w:p>
        </w:tc>
      </w:tr>
      <w:tr w:rsidR="00DB376A" w:rsidRPr="00CA38EF" w:rsidTr="00F162E4">
        <w:trPr>
          <w:trHeight w:val="691"/>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Аффилированное лицо </w:t>
            </w:r>
            <w:r w:rsidR="0008080E">
              <w:rPr>
                <w:color w:val="000000"/>
                <w:sz w:val="20"/>
                <w:szCs w:val="20"/>
              </w:rPr>
              <w:t>ЗАО </w:t>
            </w:r>
            <w:r w:rsidRPr="00CA38EF">
              <w:rPr>
                <w:color w:val="000000"/>
                <w:sz w:val="20"/>
                <w:szCs w:val="20"/>
              </w:rPr>
              <w:t>«Лидер»</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ООО </w:t>
            </w:r>
            <w:r w:rsidR="00DB376A" w:rsidRPr="00CA38EF">
              <w:rPr>
                <w:color w:val="000000"/>
                <w:sz w:val="20"/>
                <w:szCs w:val="20"/>
              </w:rPr>
              <w:t>«СОГАЗ-Медсервис»</w:t>
            </w:r>
          </w:p>
        </w:tc>
        <w:tc>
          <w:tcPr>
            <w:tcW w:w="6095" w:type="dxa"/>
            <w:shd w:val="clear" w:color="auto" w:fill="FFFFFF"/>
            <w:noWrap/>
            <w:hideMark/>
          </w:tcPr>
          <w:p w:rsidR="00DB376A" w:rsidRPr="00CA38EF" w:rsidRDefault="00DB376A" w:rsidP="00F162E4">
            <w:pPr>
              <w:ind w:firstLine="0"/>
              <w:jc w:val="left"/>
              <w:rPr>
                <w:color w:val="000000"/>
                <w:sz w:val="20"/>
                <w:szCs w:val="20"/>
              </w:rPr>
            </w:pPr>
            <w:r w:rsidRPr="00CA38EF">
              <w:rPr>
                <w:color w:val="000000"/>
                <w:sz w:val="20"/>
                <w:szCs w:val="20"/>
              </w:rPr>
              <w:t>Медицинское обслуживани</w:t>
            </w:r>
            <w:r w:rsidR="00F162E4">
              <w:rPr>
                <w:color w:val="000000"/>
                <w:sz w:val="20"/>
                <w:szCs w:val="20"/>
              </w:rPr>
              <w:t xml:space="preserve">е неработающих пенсионеров </w:t>
            </w:r>
            <w:r w:rsidR="0008080E">
              <w:rPr>
                <w:color w:val="000000"/>
                <w:sz w:val="20"/>
                <w:szCs w:val="20"/>
              </w:rPr>
              <w:t>ОАО </w:t>
            </w:r>
            <w:r w:rsidR="00F162E4">
              <w:rPr>
                <w:color w:val="000000"/>
                <w:sz w:val="20"/>
                <w:szCs w:val="20"/>
              </w:rPr>
              <w:t>«</w:t>
            </w:r>
            <w:r w:rsidRPr="00CA38EF">
              <w:rPr>
                <w:color w:val="000000"/>
                <w:sz w:val="20"/>
                <w:szCs w:val="20"/>
              </w:rPr>
              <w:t>МОЭСК</w:t>
            </w:r>
            <w:r w:rsidR="00F162E4">
              <w:rPr>
                <w:color w:val="000000"/>
                <w:sz w:val="20"/>
                <w:szCs w:val="20"/>
              </w:rPr>
              <w:t>»</w:t>
            </w:r>
            <w:r w:rsidRPr="00CA38EF">
              <w:rPr>
                <w:color w:val="000000"/>
                <w:sz w:val="20"/>
                <w:szCs w:val="20"/>
              </w:rPr>
              <w:t>.</w:t>
            </w:r>
          </w:p>
        </w:tc>
        <w:tc>
          <w:tcPr>
            <w:tcW w:w="1985" w:type="dxa"/>
            <w:shd w:val="clear" w:color="auto" w:fill="FFFFFF"/>
          </w:tcPr>
          <w:p w:rsidR="00DB376A" w:rsidRPr="00CA38EF" w:rsidRDefault="00DB376A" w:rsidP="00CA38EF">
            <w:pPr>
              <w:ind w:firstLine="0"/>
              <w:jc w:val="left"/>
              <w:rPr>
                <w:color w:val="000000"/>
                <w:sz w:val="20"/>
                <w:szCs w:val="20"/>
              </w:rPr>
            </w:pPr>
            <w:r w:rsidRPr="00CA38EF">
              <w:rPr>
                <w:color w:val="000000"/>
                <w:sz w:val="20"/>
                <w:szCs w:val="20"/>
              </w:rPr>
              <w:t>15 850 000,00 (НДС не облагается)</w:t>
            </w:r>
          </w:p>
        </w:tc>
        <w:tc>
          <w:tcPr>
            <w:tcW w:w="2126" w:type="dxa"/>
            <w:shd w:val="clear" w:color="auto" w:fill="FFFFFF"/>
          </w:tcPr>
          <w:p w:rsidR="00DB376A" w:rsidRPr="00CA38EF" w:rsidRDefault="00DB376A" w:rsidP="00CA38EF">
            <w:pPr>
              <w:ind w:firstLine="0"/>
              <w:jc w:val="left"/>
              <w:rPr>
                <w:sz w:val="20"/>
                <w:szCs w:val="20"/>
              </w:rPr>
            </w:pPr>
            <w:r w:rsidRPr="00CA38EF">
              <w:rPr>
                <w:color w:val="000000"/>
                <w:sz w:val="20"/>
                <w:szCs w:val="20"/>
              </w:rPr>
              <w:t>№ 208 от 08.10.2013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Аффилированное лицо </w:t>
            </w:r>
            <w:r w:rsidR="0008080E">
              <w:rPr>
                <w:color w:val="000000"/>
                <w:sz w:val="20"/>
                <w:szCs w:val="20"/>
              </w:rPr>
              <w:t>ОАО </w:t>
            </w:r>
            <w:r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«Московский узел связи энергетики»</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Оказание услуг по техническому обслуживанию оборудования систем селекторной и видеоконференцсвязи.</w:t>
            </w:r>
          </w:p>
        </w:tc>
        <w:tc>
          <w:tcPr>
            <w:tcW w:w="1985" w:type="dxa"/>
            <w:shd w:val="clear" w:color="auto" w:fill="FFFFFF"/>
          </w:tcPr>
          <w:p w:rsidR="00DB376A" w:rsidRPr="00CA38EF" w:rsidRDefault="00DB376A" w:rsidP="00CA38EF">
            <w:pPr>
              <w:ind w:firstLine="0"/>
              <w:jc w:val="left"/>
              <w:rPr>
                <w:color w:val="000000"/>
                <w:sz w:val="20"/>
                <w:szCs w:val="20"/>
              </w:rPr>
            </w:pPr>
            <w:r w:rsidRPr="00CA38EF">
              <w:rPr>
                <w:color w:val="000000"/>
                <w:sz w:val="20"/>
                <w:szCs w:val="20"/>
              </w:rPr>
              <w:t>19 100 000</w:t>
            </w:r>
          </w:p>
        </w:tc>
        <w:tc>
          <w:tcPr>
            <w:tcW w:w="2126" w:type="dxa"/>
            <w:shd w:val="clear" w:color="auto" w:fill="FFFFFF"/>
          </w:tcPr>
          <w:p w:rsidR="00DB376A" w:rsidRPr="00CA38EF" w:rsidRDefault="00DB376A" w:rsidP="00CA38EF">
            <w:pPr>
              <w:ind w:firstLine="0"/>
              <w:jc w:val="left"/>
              <w:rPr>
                <w:sz w:val="20"/>
                <w:szCs w:val="20"/>
              </w:rPr>
            </w:pPr>
            <w:r w:rsidRPr="00CA38EF">
              <w:rPr>
                <w:color w:val="000000"/>
                <w:sz w:val="20"/>
                <w:szCs w:val="20"/>
              </w:rPr>
              <w:t>№ 208 от 08.10.2013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Аффилированное лицо </w:t>
            </w:r>
            <w:r w:rsidR="0008080E">
              <w:rPr>
                <w:color w:val="000000"/>
                <w:sz w:val="20"/>
                <w:szCs w:val="20"/>
              </w:rPr>
              <w:t>ОАО </w:t>
            </w:r>
            <w:r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«Завод РЭТО»</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Техническое освидетельствование силовых трансформаторов 35-220 кВ</w:t>
            </w:r>
          </w:p>
        </w:tc>
        <w:tc>
          <w:tcPr>
            <w:tcW w:w="1985" w:type="dxa"/>
            <w:shd w:val="clear" w:color="auto" w:fill="FFFFFF"/>
          </w:tcPr>
          <w:p w:rsidR="00DB376A" w:rsidRPr="00CA38EF" w:rsidRDefault="00DB376A" w:rsidP="00CA38EF">
            <w:pPr>
              <w:ind w:firstLine="0"/>
              <w:jc w:val="left"/>
              <w:rPr>
                <w:color w:val="000000"/>
                <w:sz w:val="20"/>
                <w:szCs w:val="20"/>
              </w:rPr>
            </w:pPr>
            <w:r w:rsidRPr="00CA38EF">
              <w:rPr>
                <w:color w:val="000000"/>
                <w:sz w:val="20"/>
                <w:szCs w:val="20"/>
              </w:rPr>
              <w:t>3 413 240</w:t>
            </w:r>
          </w:p>
        </w:tc>
        <w:tc>
          <w:tcPr>
            <w:tcW w:w="2126" w:type="dxa"/>
            <w:shd w:val="clear" w:color="auto" w:fill="FFFFFF"/>
          </w:tcPr>
          <w:p w:rsidR="00DB376A" w:rsidRPr="00CA38EF" w:rsidRDefault="00DB376A" w:rsidP="00CA38EF">
            <w:pPr>
              <w:ind w:firstLine="0"/>
              <w:jc w:val="left"/>
              <w:rPr>
                <w:sz w:val="20"/>
                <w:szCs w:val="20"/>
              </w:rPr>
            </w:pPr>
            <w:r w:rsidRPr="00CA38EF">
              <w:rPr>
                <w:color w:val="000000"/>
                <w:sz w:val="20"/>
                <w:szCs w:val="20"/>
              </w:rPr>
              <w:t>№ 208 от 08.10.2013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Аффилированное лицо </w:t>
            </w:r>
            <w:r w:rsidR="0008080E">
              <w:rPr>
                <w:color w:val="000000"/>
                <w:sz w:val="20"/>
                <w:szCs w:val="20"/>
              </w:rPr>
              <w:t>ОАО </w:t>
            </w:r>
            <w:r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«МКЭР»</w:t>
            </w:r>
          </w:p>
        </w:tc>
        <w:tc>
          <w:tcPr>
            <w:tcW w:w="6095" w:type="dxa"/>
            <w:shd w:val="clear" w:color="auto" w:fill="FFFFFF"/>
            <w:noWrap/>
            <w:hideMark/>
          </w:tcPr>
          <w:p w:rsidR="00DB376A" w:rsidRPr="00CA38EF" w:rsidRDefault="00DB376A" w:rsidP="00F162E4">
            <w:pPr>
              <w:ind w:firstLine="0"/>
              <w:jc w:val="left"/>
              <w:rPr>
                <w:color w:val="000000"/>
                <w:sz w:val="20"/>
                <w:szCs w:val="20"/>
              </w:rPr>
            </w:pPr>
            <w:r w:rsidRPr="00CA38EF">
              <w:rPr>
                <w:color w:val="000000"/>
                <w:sz w:val="20"/>
                <w:szCs w:val="20"/>
              </w:rPr>
              <w:t>Выполнение неотложных работ по приведению к нормативному состоянию в соответствии с НТД оборудования ВЛ 0,4-10 кВ Московского РЭС в 2013 и 2014</w:t>
            </w:r>
            <w:r w:rsidR="00F162E4">
              <w:rPr>
                <w:color w:val="000000"/>
                <w:sz w:val="20"/>
                <w:szCs w:val="20"/>
              </w:rPr>
              <w:t xml:space="preserve"> </w:t>
            </w:r>
            <w:r w:rsidRPr="00CA38EF">
              <w:rPr>
                <w:color w:val="000000"/>
                <w:sz w:val="20"/>
                <w:szCs w:val="20"/>
              </w:rPr>
              <w:t>гг.</w:t>
            </w:r>
          </w:p>
        </w:tc>
        <w:tc>
          <w:tcPr>
            <w:tcW w:w="1985" w:type="dxa"/>
            <w:shd w:val="clear" w:color="auto" w:fill="FFFFFF"/>
          </w:tcPr>
          <w:p w:rsidR="00DB376A" w:rsidRPr="00CA38EF" w:rsidRDefault="00DB376A" w:rsidP="00CA38EF">
            <w:pPr>
              <w:ind w:firstLine="0"/>
              <w:jc w:val="left"/>
              <w:rPr>
                <w:color w:val="000000"/>
                <w:sz w:val="20"/>
                <w:szCs w:val="20"/>
              </w:rPr>
            </w:pPr>
            <w:r w:rsidRPr="00CA38EF">
              <w:rPr>
                <w:color w:val="000000"/>
                <w:sz w:val="20"/>
                <w:szCs w:val="20"/>
              </w:rPr>
              <w:t>Не более 100 000 000,00</w:t>
            </w:r>
          </w:p>
        </w:tc>
        <w:tc>
          <w:tcPr>
            <w:tcW w:w="2126" w:type="dxa"/>
            <w:shd w:val="clear" w:color="auto" w:fill="FFFFFF"/>
          </w:tcPr>
          <w:p w:rsidR="00DB376A" w:rsidRPr="00CA38EF" w:rsidRDefault="00DB376A" w:rsidP="00CA38EF">
            <w:pPr>
              <w:ind w:firstLine="0"/>
              <w:jc w:val="left"/>
              <w:rPr>
                <w:sz w:val="20"/>
                <w:szCs w:val="20"/>
              </w:rPr>
            </w:pPr>
            <w:r w:rsidRPr="00CA38EF">
              <w:rPr>
                <w:rStyle w:val="FontStyle12"/>
                <w:sz w:val="20"/>
                <w:szCs w:val="20"/>
              </w:rPr>
              <w:t>№ 209 от 07.11.2013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О.М. Бударгин член СД </w:t>
            </w:r>
            <w:r w:rsidR="0008080E">
              <w:rPr>
                <w:color w:val="000000"/>
                <w:sz w:val="20"/>
                <w:szCs w:val="20"/>
              </w:rPr>
              <w:t>ОАО </w:t>
            </w:r>
            <w:r w:rsidRPr="00CA38EF">
              <w:rPr>
                <w:color w:val="000000"/>
                <w:sz w:val="20"/>
                <w:szCs w:val="20"/>
              </w:rPr>
              <w:t xml:space="preserve">«МОЭСК»/член СД </w:t>
            </w:r>
            <w:r w:rsidR="0008080E">
              <w:rPr>
                <w:color w:val="000000"/>
                <w:sz w:val="20"/>
                <w:szCs w:val="20"/>
              </w:rPr>
              <w:t>ОАО </w:t>
            </w:r>
            <w:r w:rsidRPr="00CA38EF">
              <w:rPr>
                <w:color w:val="000000"/>
                <w:sz w:val="20"/>
                <w:szCs w:val="20"/>
              </w:rPr>
              <w:t xml:space="preserve">«Россети» /Генеральный директор </w:t>
            </w:r>
            <w:r w:rsidR="0008080E">
              <w:rPr>
                <w:color w:val="000000"/>
                <w:sz w:val="20"/>
                <w:szCs w:val="20"/>
              </w:rPr>
              <w:t>ОАО </w:t>
            </w:r>
            <w:r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«Россети»</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Оказание услуг по организации функционирования и развитию распределительного электросетевого комплекса.</w:t>
            </w:r>
          </w:p>
        </w:tc>
        <w:tc>
          <w:tcPr>
            <w:tcW w:w="1985" w:type="dxa"/>
            <w:shd w:val="clear" w:color="auto" w:fill="FFFFFF"/>
          </w:tcPr>
          <w:p w:rsidR="00DB376A" w:rsidRPr="00CA38EF" w:rsidRDefault="00DB376A" w:rsidP="00CA38EF">
            <w:pPr>
              <w:ind w:firstLine="0"/>
              <w:jc w:val="left"/>
              <w:rPr>
                <w:color w:val="000000"/>
                <w:sz w:val="20"/>
                <w:szCs w:val="20"/>
              </w:rPr>
            </w:pPr>
            <w:r w:rsidRPr="00CA38EF">
              <w:rPr>
                <w:color w:val="000000"/>
                <w:sz w:val="20"/>
                <w:szCs w:val="20"/>
              </w:rPr>
              <w:t>850 741 019,04</w:t>
            </w:r>
          </w:p>
        </w:tc>
        <w:tc>
          <w:tcPr>
            <w:tcW w:w="2126" w:type="dxa"/>
            <w:shd w:val="clear" w:color="auto" w:fill="FFFFFF"/>
          </w:tcPr>
          <w:p w:rsidR="00DB376A" w:rsidRPr="00CA38EF" w:rsidRDefault="00DB376A" w:rsidP="00CA38EF">
            <w:pPr>
              <w:ind w:firstLine="0"/>
              <w:jc w:val="left"/>
              <w:rPr>
                <w:sz w:val="20"/>
                <w:szCs w:val="20"/>
              </w:rPr>
            </w:pPr>
            <w:r w:rsidRPr="00CA38EF">
              <w:rPr>
                <w:rStyle w:val="FontStyle12"/>
                <w:sz w:val="20"/>
                <w:szCs w:val="20"/>
              </w:rPr>
              <w:t>№ 211 от 22.11.2013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Аффилированное лицо </w:t>
            </w:r>
            <w:r w:rsidR="0008080E">
              <w:rPr>
                <w:color w:val="000000"/>
                <w:sz w:val="20"/>
                <w:szCs w:val="20"/>
              </w:rPr>
              <w:t>ОАО </w:t>
            </w:r>
            <w:r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«МРСК Северо-запада»</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Аварийно-восстановительные и ремонтные работы.</w:t>
            </w:r>
          </w:p>
        </w:tc>
        <w:tc>
          <w:tcPr>
            <w:tcW w:w="1985" w:type="dxa"/>
            <w:shd w:val="clear" w:color="auto" w:fill="FFFFFF"/>
            <w:vAlign w:val="center"/>
          </w:tcPr>
          <w:p w:rsidR="00DB376A" w:rsidRPr="00CA38EF" w:rsidRDefault="00DB376A" w:rsidP="00CA38EF">
            <w:pPr>
              <w:ind w:firstLine="0"/>
              <w:jc w:val="left"/>
              <w:rPr>
                <w:color w:val="000000"/>
                <w:sz w:val="20"/>
                <w:szCs w:val="20"/>
              </w:rPr>
            </w:pPr>
            <w:r w:rsidRPr="00CA38EF">
              <w:rPr>
                <w:color w:val="000000"/>
                <w:sz w:val="20"/>
                <w:szCs w:val="20"/>
              </w:rPr>
              <w:t>1 621 592,58</w:t>
            </w:r>
          </w:p>
        </w:tc>
        <w:tc>
          <w:tcPr>
            <w:tcW w:w="2126" w:type="dxa"/>
            <w:shd w:val="clear" w:color="auto" w:fill="FFFFFF"/>
          </w:tcPr>
          <w:p w:rsidR="00DB376A" w:rsidRPr="00CA38EF" w:rsidRDefault="00DB376A" w:rsidP="00CA38EF">
            <w:pPr>
              <w:ind w:firstLine="0"/>
              <w:jc w:val="left"/>
              <w:rPr>
                <w:sz w:val="20"/>
                <w:szCs w:val="20"/>
              </w:rPr>
            </w:pPr>
            <w:r w:rsidRPr="00CA38EF">
              <w:rPr>
                <w:rStyle w:val="FontStyle12"/>
                <w:sz w:val="20"/>
                <w:szCs w:val="20"/>
              </w:rPr>
              <w:t>№ 209 от 07.11.2013</w:t>
            </w:r>
          </w:p>
        </w:tc>
      </w:tr>
      <w:tr w:rsidR="00BB14A9" w:rsidRPr="00CA38EF" w:rsidTr="00F162E4">
        <w:trPr>
          <w:trHeight w:val="230"/>
        </w:trPr>
        <w:tc>
          <w:tcPr>
            <w:tcW w:w="582" w:type="dxa"/>
            <w:shd w:val="clear" w:color="auto" w:fill="FFFFFF"/>
          </w:tcPr>
          <w:p w:rsidR="00BB14A9" w:rsidRPr="00CA38EF" w:rsidRDefault="00BB14A9" w:rsidP="007076A7">
            <w:pPr>
              <w:pStyle w:val="a5"/>
              <w:numPr>
                <w:ilvl w:val="0"/>
                <w:numId w:val="329"/>
              </w:numPr>
              <w:jc w:val="center"/>
              <w:rPr>
                <w:color w:val="000000"/>
                <w:sz w:val="20"/>
                <w:szCs w:val="20"/>
              </w:rPr>
            </w:pPr>
          </w:p>
        </w:tc>
        <w:tc>
          <w:tcPr>
            <w:tcW w:w="2410" w:type="dxa"/>
            <w:shd w:val="clear" w:color="auto" w:fill="FFFFFF"/>
            <w:noWrap/>
            <w:hideMark/>
          </w:tcPr>
          <w:p w:rsidR="00BB14A9" w:rsidRPr="00CA38EF" w:rsidRDefault="00BB14A9" w:rsidP="00CA38EF">
            <w:pPr>
              <w:ind w:firstLine="0"/>
              <w:jc w:val="left"/>
              <w:rPr>
                <w:color w:val="000000"/>
                <w:sz w:val="20"/>
                <w:szCs w:val="20"/>
              </w:rPr>
            </w:pPr>
            <w:r w:rsidRPr="00CA38EF">
              <w:rPr>
                <w:color w:val="000000"/>
                <w:sz w:val="20"/>
                <w:szCs w:val="20"/>
              </w:rPr>
              <w:t xml:space="preserve">Аффилированное лицо </w:t>
            </w:r>
            <w:r w:rsidR="0008080E">
              <w:rPr>
                <w:color w:val="000000"/>
                <w:sz w:val="20"/>
                <w:szCs w:val="20"/>
              </w:rPr>
              <w:t>ОАО </w:t>
            </w:r>
            <w:r w:rsidRPr="00CA38EF">
              <w:rPr>
                <w:color w:val="000000"/>
                <w:sz w:val="20"/>
                <w:szCs w:val="20"/>
              </w:rPr>
              <w:t>«Россети»</w:t>
            </w:r>
          </w:p>
        </w:tc>
        <w:tc>
          <w:tcPr>
            <w:tcW w:w="2410" w:type="dxa"/>
            <w:shd w:val="clear" w:color="auto" w:fill="FFFFFF"/>
            <w:noWrap/>
            <w:hideMark/>
          </w:tcPr>
          <w:p w:rsidR="00BB14A9" w:rsidRPr="00CA38EF" w:rsidRDefault="0008080E" w:rsidP="00CA38EF">
            <w:pPr>
              <w:ind w:firstLine="0"/>
              <w:jc w:val="left"/>
              <w:rPr>
                <w:color w:val="000000"/>
                <w:sz w:val="20"/>
                <w:szCs w:val="20"/>
              </w:rPr>
            </w:pPr>
            <w:r>
              <w:rPr>
                <w:color w:val="000000"/>
                <w:sz w:val="20"/>
                <w:szCs w:val="20"/>
              </w:rPr>
              <w:t>ОАО </w:t>
            </w:r>
            <w:r w:rsidR="00BB14A9" w:rsidRPr="00CA38EF">
              <w:rPr>
                <w:color w:val="000000"/>
                <w:sz w:val="20"/>
                <w:szCs w:val="20"/>
              </w:rPr>
              <w:t xml:space="preserve">«МОЭСК», </w:t>
            </w:r>
          </w:p>
          <w:p w:rsidR="00BB14A9" w:rsidRPr="00CA38EF" w:rsidRDefault="0008080E" w:rsidP="00CA38EF">
            <w:pPr>
              <w:ind w:firstLine="0"/>
              <w:jc w:val="left"/>
              <w:rPr>
                <w:color w:val="000000"/>
                <w:sz w:val="20"/>
                <w:szCs w:val="20"/>
              </w:rPr>
            </w:pPr>
            <w:r>
              <w:rPr>
                <w:color w:val="000000"/>
                <w:sz w:val="20"/>
                <w:szCs w:val="20"/>
              </w:rPr>
              <w:t>ОАО </w:t>
            </w:r>
            <w:r w:rsidR="00BB14A9" w:rsidRPr="00CA38EF">
              <w:rPr>
                <w:color w:val="000000"/>
                <w:sz w:val="20"/>
                <w:szCs w:val="20"/>
              </w:rPr>
              <w:t>«Завод РЭТО»</w:t>
            </w:r>
          </w:p>
        </w:tc>
        <w:tc>
          <w:tcPr>
            <w:tcW w:w="6095" w:type="dxa"/>
            <w:shd w:val="clear" w:color="auto" w:fill="FFFFFF"/>
            <w:noWrap/>
            <w:hideMark/>
          </w:tcPr>
          <w:p w:rsidR="00BB14A9" w:rsidRPr="00CA38EF" w:rsidRDefault="00BB14A9" w:rsidP="00CA38EF">
            <w:pPr>
              <w:ind w:firstLine="0"/>
              <w:jc w:val="left"/>
              <w:rPr>
                <w:color w:val="000000"/>
                <w:sz w:val="20"/>
                <w:szCs w:val="20"/>
              </w:rPr>
            </w:pPr>
            <w:r w:rsidRPr="00CA38EF">
              <w:rPr>
                <w:color w:val="000000"/>
                <w:sz w:val="20"/>
                <w:szCs w:val="20"/>
              </w:rPr>
              <w:t>Поставка скобяных изделий.</w:t>
            </w:r>
          </w:p>
        </w:tc>
        <w:tc>
          <w:tcPr>
            <w:tcW w:w="1985" w:type="dxa"/>
            <w:shd w:val="clear" w:color="auto" w:fill="FFFFFF"/>
          </w:tcPr>
          <w:p w:rsidR="00BB14A9" w:rsidRPr="00CA38EF" w:rsidRDefault="00CA38EF" w:rsidP="00CA38EF">
            <w:pPr>
              <w:ind w:firstLine="0"/>
              <w:jc w:val="left"/>
              <w:rPr>
                <w:color w:val="000000"/>
                <w:sz w:val="20"/>
                <w:szCs w:val="20"/>
              </w:rPr>
            </w:pPr>
            <w:r w:rsidRPr="00CA38EF">
              <w:rPr>
                <w:color w:val="000000"/>
                <w:sz w:val="20"/>
                <w:szCs w:val="20"/>
              </w:rPr>
              <w:t>1 128 582,68</w:t>
            </w:r>
          </w:p>
        </w:tc>
        <w:tc>
          <w:tcPr>
            <w:tcW w:w="2126" w:type="dxa"/>
            <w:shd w:val="clear" w:color="auto" w:fill="FFFFFF"/>
          </w:tcPr>
          <w:p w:rsidR="00BB14A9" w:rsidRPr="00CA38EF" w:rsidRDefault="00BB14A9" w:rsidP="00CA38EF">
            <w:pPr>
              <w:ind w:firstLine="0"/>
              <w:jc w:val="left"/>
              <w:rPr>
                <w:sz w:val="20"/>
                <w:szCs w:val="20"/>
              </w:rPr>
            </w:pPr>
            <w:r w:rsidRPr="00CA38EF">
              <w:rPr>
                <w:rStyle w:val="FontStyle12"/>
                <w:sz w:val="20"/>
                <w:szCs w:val="20"/>
              </w:rPr>
              <w:t>№ 211 от 22.11.2013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Аффилированное лицо </w:t>
            </w:r>
            <w:r w:rsidR="0008080E">
              <w:rPr>
                <w:color w:val="000000"/>
                <w:sz w:val="20"/>
                <w:szCs w:val="20"/>
              </w:rPr>
              <w:t>ОАО </w:t>
            </w:r>
            <w:r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«Завод РЭТО»</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Ремонт устройств блокировок в ячейках КРУ.</w:t>
            </w:r>
          </w:p>
        </w:tc>
        <w:tc>
          <w:tcPr>
            <w:tcW w:w="1985" w:type="dxa"/>
            <w:shd w:val="clear" w:color="auto" w:fill="FFFFFF"/>
          </w:tcPr>
          <w:p w:rsidR="00DB376A" w:rsidRPr="00CA38EF" w:rsidRDefault="00DB376A" w:rsidP="00CA38EF">
            <w:pPr>
              <w:ind w:firstLine="0"/>
              <w:jc w:val="left"/>
              <w:rPr>
                <w:color w:val="000000"/>
                <w:sz w:val="20"/>
                <w:szCs w:val="20"/>
              </w:rPr>
            </w:pPr>
            <w:r w:rsidRPr="00CA38EF">
              <w:rPr>
                <w:color w:val="000000"/>
                <w:sz w:val="20"/>
                <w:szCs w:val="20"/>
              </w:rPr>
              <w:t>1 711 273,24</w:t>
            </w:r>
          </w:p>
        </w:tc>
        <w:tc>
          <w:tcPr>
            <w:tcW w:w="2126" w:type="dxa"/>
            <w:shd w:val="clear" w:color="auto" w:fill="FFFFFF"/>
          </w:tcPr>
          <w:p w:rsidR="00DB376A" w:rsidRPr="00CA38EF" w:rsidRDefault="00DB376A" w:rsidP="00CA38EF">
            <w:pPr>
              <w:ind w:firstLine="0"/>
              <w:jc w:val="left"/>
              <w:rPr>
                <w:sz w:val="20"/>
                <w:szCs w:val="20"/>
              </w:rPr>
            </w:pPr>
            <w:r w:rsidRPr="00CA38EF">
              <w:rPr>
                <w:color w:val="000000"/>
                <w:sz w:val="20"/>
                <w:szCs w:val="20"/>
              </w:rPr>
              <w:t>№ 208 от 08.10.2013</w:t>
            </w:r>
          </w:p>
        </w:tc>
      </w:tr>
      <w:tr w:rsidR="00DB376A" w:rsidRPr="00CA38EF" w:rsidTr="00F162E4">
        <w:trPr>
          <w:trHeight w:val="230"/>
        </w:trPr>
        <w:tc>
          <w:tcPr>
            <w:tcW w:w="582" w:type="dxa"/>
            <w:shd w:val="clear" w:color="auto" w:fill="FFFFFF"/>
          </w:tcPr>
          <w:p w:rsidR="00DB376A" w:rsidRPr="00CA38EF" w:rsidRDefault="00DB376A" w:rsidP="007076A7">
            <w:pPr>
              <w:pStyle w:val="a5"/>
              <w:numPr>
                <w:ilvl w:val="0"/>
                <w:numId w:val="329"/>
              </w:numPr>
              <w:jc w:val="center"/>
              <w:rPr>
                <w:color w:val="000000"/>
                <w:sz w:val="20"/>
                <w:szCs w:val="20"/>
              </w:rPr>
            </w:pPr>
          </w:p>
        </w:tc>
        <w:tc>
          <w:tcPr>
            <w:tcW w:w="2410"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 xml:space="preserve">Аффилированное лицо </w:t>
            </w:r>
            <w:r w:rsidR="0008080E">
              <w:rPr>
                <w:color w:val="000000"/>
                <w:sz w:val="20"/>
                <w:szCs w:val="20"/>
              </w:rPr>
              <w:t>ОАО </w:t>
            </w:r>
            <w:r w:rsidRPr="00CA38EF">
              <w:rPr>
                <w:color w:val="000000"/>
                <w:sz w:val="20"/>
                <w:szCs w:val="20"/>
              </w:rPr>
              <w:t>«Россети»</w:t>
            </w:r>
          </w:p>
        </w:tc>
        <w:tc>
          <w:tcPr>
            <w:tcW w:w="2410" w:type="dxa"/>
            <w:shd w:val="clear" w:color="auto" w:fill="FFFFFF"/>
            <w:noWrap/>
            <w:hideMark/>
          </w:tcPr>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 xml:space="preserve">«МОЭСК», </w:t>
            </w:r>
          </w:p>
          <w:p w:rsidR="00DB376A" w:rsidRPr="00CA38EF" w:rsidRDefault="0008080E" w:rsidP="00CA38EF">
            <w:pPr>
              <w:ind w:firstLine="0"/>
              <w:jc w:val="left"/>
              <w:rPr>
                <w:color w:val="000000"/>
                <w:sz w:val="20"/>
                <w:szCs w:val="20"/>
              </w:rPr>
            </w:pPr>
            <w:r>
              <w:rPr>
                <w:color w:val="000000"/>
                <w:sz w:val="20"/>
                <w:szCs w:val="20"/>
              </w:rPr>
              <w:t>ОАО </w:t>
            </w:r>
            <w:r w:rsidR="00DB376A" w:rsidRPr="00CA38EF">
              <w:rPr>
                <w:color w:val="000000"/>
                <w:sz w:val="20"/>
                <w:szCs w:val="20"/>
              </w:rPr>
              <w:t>«Завод РЭТО»</w:t>
            </w:r>
          </w:p>
        </w:tc>
        <w:tc>
          <w:tcPr>
            <w:tcW w:w="6095" w:type="dxa"/>
            <w:shd w:val="clear" w:color="auto" w:fill="FFFFFF"/>
            <w:noWrap/>
            <w:hideMark/>
          </w:tcPr>
          <w:p w:rsidR="00DB376A" w:rsidRPr="00CA38EF" w:rsidRDefault="00DB376A" w:rsidP="00CA38EF">
            <w:pPr>
              <w:ind w:firstLine="0"/>
              <w:jc w:val="left"/>
              <w:rPr>
                <w:color w:val="000000"/>
                <w:sz w:val="20"/>
                <w:szCs w:val="20"/>
              </w:rPr>
            </w:pPr>
            <w:r w:rsidRPr="00CA38EF">
              <w:rPr>
                <w:color w:val="000000"/>
                <w:sz w:val="20"/>
                <w:szCs w:val="20"/>
              </w:rPr>
              <w:t>Техническое освидетельствование силовых трансформаторов.</w:t>
            </w:r>
          </w:p>
        </w:tc>
        <w:tc>
          <w:tcPr>
            <w:tcW w:w="1985" w:type="dxa"/>
            <w:shd w:val="clear" w:color="auto" w:fill="FFFFFF"/>
          </w:tcPr>
          <w:p w:rsidR="00DB376A" w:rsidRPr="00CA38EF" w:rsidRDefault="00DB376A" w:rsidP="00CA38EF">
            <w:pPr>
              <w:ind w:firstLine="0"/>
              <w:jc w:val="left"/>
              <w:rPr>
                <w:color w:val="000000"/>
                <w:sz w:val="20"/>
                <w:szCs w:val="20"/>
              </w:rPr>
            </w:pPr>
            <w:r w:rsidRPr="00CA38EF">
              <w:rPr>
                <w:color w:val="000000"/>
                <w:sz w:val="20"/>
                <w:szCs w:val="20"/>
              </w:rPr>
              <w:t>2 878 633, 33</w:t>
            </w:r>
          </w:p>
        </w:tc>
        <w:tc>
          <w:tcPr>
            <w:tcW w:w="2126" w:type="dxa"/>
            <w:shd w:val="clear" w:color="auto" w:fill="FFFFFF"/>
          </w:tcPr>
          <w:p w:rsidR="00DB376A" w:rsidRPr="00CA38EF" w:rsidRDefault="00DB376A" w:rsidP="00CA38EF">
            <w:pPr>
              <w:ind w:firstLine="0"/>
              <w:jc w:val="left"/>
              <w:rPr>
                <w:sz w:val="20"/>
                <w:szCs w:val="20"/>
              </w:rPr>
            </w:pPr>
            <w:r w:rsidRPr="00CA38EF">
              <w:rPr>
                <w:color w:val="000000"/>
                <w:sz w:val="20"/>
                <w:szCs w:val="20"/>
              </w:rPr>
              <w:t>№ 208 от 08.10.2013</w:t>
            </w:r>
          </w:p>
        </w:tc>
      </w:tr>
    </w:tbl>
    <w:p w:rsidR="00CA38EF" w:rsidRDefault="00CA38EF" w:rsidP="00CA38EF">
      <w:pPr>
        <w:rPr>
          <w:rFonts w:eastAsia="Times New Roman"/>
          <w:lang w:val="en-US" w:eastAsia="ru-RU"/>
        </w:rPr>
      </w:pPr>
      <w:r>
        <w:rPr>
          <w:lang w:val="en-US" w:eastAsia="ru-RU"/>
        </w:rPr>
        <w:br w:type="page"/>
      </w:r>
    </w:p>
    <w:p w:rsidR="005123D7" w:rsidRPr="004761E0" w:rsidRDefault="005123D7" w:rsidP="00CA38EF">
      <w:pPr>
        <w:pStyle w:val="a8"/>
        <w:numPr>
          <w:ilvl w:val="1"/>
          <w:numId w:val="2"/>
        </w:numPr>
        <w:tabs>
          <w:tab w:val="left" w:pos="1134"/>
        </w:tabs>
        <w:ind w:hanging="578"/>
        <w:jc w:val="both"/>
        <w:rPr>
          <w:rFonts w:ascii="Times New Roman" w:hAnsi="Times New Roman"/>
          <w:b/>
          <w:sz w:val="26"/>
          <w:szCs w:val="26"/>
          <w:lang w:eastAsia="ru-RU"/>
        </w:rPr>
      </w:pPr>
      <w:bookmarkStart w:id="168" w:name="_Toc385339874"/>
      <w:r w:rsidRPr="004761E0">
        <w:rPr>
          <w:rFonts w:ascii="Times New Roman" w:hAnsi="Times New Roman"/>
          <w:b/>
          <w:sz w:val="26"/>
          <w:szCs w:val="26"/>
          <w:lang w:eastAsia="ru-RU"/>
        </w:rPr>
        <w:lastRenderedPageBreak/>
        <w:t>У</w:t>
      </w:r>
      <w:r w:rsidR="004344DD">
        <w:rPr>
          <w:rFonts w:ascii="Times New Roman" w:hAnsi="Times New Roman"/>
          <w:b/>
          <w:sz w:val="26"/>
          <w:szCs w:val="26"/>
          <w:lang w:eastAsia="ru-RU"/>
        </w:rPr>
        <w:t>становленные</w:t>
      </w:r>
      <w:r w:rsidRPr="004761E0">
        <w:rPr>
          <w:rFonts w:ascii="Times New Roman" w:hAnsi="Times New Roman"/>
          <w:b/>
          <w:sz w:val="26"/>
          <w:szCs w:val="26"/>
          <w:lang w:eastAsia="ru-RU"/>
        </w:rPr>
        <w:t xml:space="preserve"> тарифы на услуги по передаче электроэнергии</w:t>
      </w:r>
      <w:bookmarkEnd w:id="168"/>
      <w:r w:rsidRPr="004761E0">
        <w:rPr>
          <w:rFonts w:ascii="Times New Roman" w:hAnsi="Times New Roman"/>
          <w:b/>
          <w:sz w:val="26"/>
          <w:szCs w:val="26"/>
          <w:lang w:eastAsia="ru-RU"/>
        </w:rPr>
        <w:t xml:space="preserve"> </w:t>
      </w:r>
    </w:p>
    <w:p w:rsidR="005123D7" w:rsidRPr="004761E0" w:rsidRDefault="005123D7" w:rsidP="005123D7">
      <w:pPr>
        <w:spacing w:after="120"/>
        <w:ind w:firstLine="567"/>
        <w:rPr>
          <w:sz w:val="26"/>
          <w:szCs w:val="26"/>
        </w:rPr>
      </w:pPr>
      <w:r w:rsidRPr="004761E0">
        <w:rPr>
          <w:sz w:val="26"/>
          <w:szCs w:val="26"/>
        </w:rPr>
        <w:t>Единые (котловые) тарифы на услуги по передаче электроэнергии по сетям г. Москвы на 2013 год</w:t>
      </w:r>
      <w:r w:rsidRPr="006F4AB8">
        <w:rPr>
          <w:rStyle w:val="af1"/>
        </w:rPr>
        <w:footnoteReference w:id="158"/>
      </w:r>
      <w:r w:rsidRPr="004761E0">
        <w:rPr>
          <w:sz w:val="26"/>
          <w:szCs w:val="26"/>
        </w:rPr>
        <w:t xml:space="preserve"> </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401"/>
        <w:gridCol w:w="1560"/>
        <w:gridCol w:w="1134"/>
        <w:gridCol w:w="1134"/>
        <w:gridCol w:w="1134"/>
        <w:gridCol w:w="1134"/>
        <w:gridCol w:w="1134"/>
        <w:gridCol w:w="1134"/>
        <w:gridCol w:w="1134"/>
        <w:gridCol w:w="1134"/>
      </w:tblGrid>
      <w:tr w:rsidR="005123D7" w:rsidRPr="004761E0" w:rsidTr="005123D7">
        <w:trPr>
          <w:trHeight w:val="268"/>
        </w:trPr>
        <w:tc>
          <w:tcPr>
            <w:tcW w:w="568" w:type="dxa"/>
            <w:vMerge w:val="restart"/>
            <w:tcBorders>
              <w:top w:val="single" w:sz="4" w:space="0" w:color="auto"/>
              <w:left w:val="single" w:sz="4" w:space="0" w:color="auto"/>
              <w:right w:val="single" w:sz="4" w:space="0" w:color="FFFFFF" w:themeColor="background1"/>
            </w:tcBorders>
            <w:shd w:val="clear" w:color="auto" w:fill="0F243E" w:themeFill="text2" w:themeFillShade="80"/>
            <w:vAlign w:val="center"/>
          </w:tcPr>
          <w:p w:rsidR="005123D7" w:rsidRPr="004761E0" w:rsidRDefault="005123D7" w:rsidP="005123D7">
            <w:pPr>
              <w:ind w:left="33" w:firstLine="0"/>
              <w:jc w:val="left"/>
              <w:rPr>
                <w:b/>
                <w:sz w:val="20"/>
                <w:szCs w:val="20"/>
              </w:rPr>
            </w:pPr>
            <w:r w:rsidRPr="004761E0">
              <w:rPr>
                <w:b/>
                <w:sz w:val="20"/>
                <w:szCs w:val="20"/>
              </w:rPr>
              <w:t>№ п/п</w:t>
            </w:r>
          </w:p>
        </w:tc>
        <w:tc>
          <w:tcPr>
            <w:tcW w:w="3401" w:type="dxa"/>
            <w:vMerge w:val="restart"/>
            <w:tcBorders>
              <w:top w:val="single" w:sz="4" w:space="0" w:color="auto"/>
              <w:left w:val="single" w:sz="4" w:space="0" w:color="FFFFFF" w:themeColor="background1"/>
              <w:right w:val="single" w:sz="4" w:space="0" w:color="FFFFFF" w:themeColor="background1"/>
            </w:tcBorders>
            <w:shd w:val="clear" w:color="auto" w:fill="0F243E" w:themeFill="text2" w:themeFillShade="80"/>
            <w:vAlign w:val="center"/>
          </w:tcPr>
          <w:p w:rsidR="005123D7" w:rsidRPr="004761E0" w:rsidRDefault="005123D7" w:rsidP="005123D7">
            <w:pPr>
              <w:ind w:left="33" w:firstLine="0"/>
              <w:jc w:val="left"/>
              <w:rPr>
                <w:b/>
                <w:sz w:val="20"/>
                <w:szCs w:val="20"/>
              </w:rPr>
            </w:pPr>
            <w:r w:rsidRPr="004761E0">
              <w:rPr>
                <w:b/>
                <w:sz w:val="20"/>
                <w:szCs w:val="20"/>
              </w:rPr>
              <w:t>Наименование показателя</w:t>
            </w:r>
          </w:p>
        </w:tc>
        <w:tc>
          <w:tcPr>
            <w:tcW w:w="1560" w:type="dxa"/>
            <w:vMerge w:val="restart"/>
            <w:tcBorders>
              <w:top w:val="single" w:sz="4" w:space="0" w:color="auto"/>
              <w:left w:val="single" w:sz="4" w:space="0" w:color="FFFFFF" w:themeColor="background1"/>
              <w:right w:val="single" w:sz="4" w:space="0" w:color="FFFFFF" w:themeColor="background1"/>
            </w:tcBorders>
            <w:shd w:val="clear" w:color="auto" w:fill="0F243E" w:themeFill="text2" w:themeFillShade="80"/>
            <w:vAlign w:val="center"/>
          </w:tcPr>
          <w:p w:rsidR="005123D7" w:rsidRPr="004761E0" w:rsidRDefault="005123D7" w:rsidP="005123D7">
            <w:pPr>
              <w:ind w:left="33" w:firstLine="0"/>
              <w:jc w:val="center"/>
              <w:rPr>
                <w:b/>
                <w:sz w:val="20"/>
                <w:szCs w:val="20"/>
              </w:rPr>
            </w:pPr>
            <w:r w:rsidRPr="004761E0">
              <w:rPr>
                <w:b/>
                <w:sz w:val="20"/>
                <w:szCs w:val="20"/>
              </w:rPr>
              <w:t>Ед. изм.</w:t>
            </w:r>
          </w:p>
        </w:tc>
        <w:tc>
          <w:tcPr>
            <w:tcW w:w="9072" w:type="dxa"/>
            <w:gridSpan w:val="8"/>
            <w:tcBorders>
              <w:top w:val="single" w:sz="4" w:space="0" w:color="auto"/>
              <w:left w:val="single" w:sz="4" w:space="0" w:color="FFFFFF" w:themeColor="background1"/>
              <w:bottom w:val="single" w:sz="4" w:space="0" w:color="FFFFFF" w:themeColor="background1"/>
              <w:right w:val="single" w:sz="4" w:space="0" w:color="auto"/>
            </w:tcBorders>
            <w:shd w:val="clear" w:color="auto" w:fill="0F243E" w:themeFill="text2" w:themeFillShade="80"/>
            <w:vAlign w:val="center"/>
          </w:tcPr>
          <w:p w:rsidR="005123D7" w:rsidRPr="004761E0" w:rsidRDefault="005123D7" w:rsidP="005123D7">
            <w:pPr>
              <w:ind w:firstLine="0"/>
              <w:jc w:val="center"/>
              <w:rPr>
                <w:b/>
                <w:sz w:val="20"/>
                <w:szCs w:val="20"/>
              </w:rPr>
            </w:pPr>
            <w:r w:rsidRPr="004761E0">
              <w:rPr>
                <w:b/>
                <w:sz w:val="20"/>
                <w:szCs w:val="20"/>
              </w:rPr>
              <w:t>Диапазоны напряжения</w:t>
            </w:r>
          </w:p>
        </w:tc>
      </w:tr>
      <w:tr w:rsidR="005123D7" w:rsidRPr="004761E0" w:rsidTr="005123D7">
        <w:trPr>
          <w:trHeight w:val="70"/>
        </w:trPr>
        <w:tc>
          <w:tcPr>
            <w:tcW w:w="568" w:type="dxa"/>
            <w:vMerge/>
            <w:tcBorders>
              <w:left w:val="single" w:sz="4" w:space="0" w:color="auto"/>
              <w:bottom w:val="single" w:sz="4" w:space="0" w:color="auto"/>
              <w:right w:val="single" w:sz="4" w:space="0" w:color="FFFFFF" w:themeColor="background1"/>
            </w:tcBorders>
            <w:shd w:val="clear" w:color="auto" w:fill="0F243E" w:themeFill="text2" w:themeFillShade="80"/>
            <w:vAlign w:val="center"/>
          </w:tcPr>
          <w:p w:rsidR="005123D7" w:rsidRPr="004761E0" w:rsidRDefault="005123D7" w:rsidP="005123D7">
            <w:pPr>
              <w:ind w:left="33"/>
              <w:jc w:val="left"/>
              <w:rPr>
                <w:b/>
                <w:sz w:val="20"/>
                <w:szCs w:val="20"/>
              </w:rPr>
            </w:pPr>
          </w:p>
        </w:tc>
        <w:tc>
          <w:tcPr>
            <w:tcW w:w="3401" w:type="dxa"/>
            <w:vMerge/>
            <w:tcBorders>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5123D7" w:rsidRPr="004761E0" w:rsidRDefault="005123D7" w:rsidP="005123D7">
            <w:pPr>
              <w:ind w:left="33"/>
              <w:jc w:val="left"/>
              <w:rPr>
                <w:b/>
                <w:sz w:val="20"/>
                <w:szCs w:val="20"/>
              </w:rPr>
            </w:pPr>
          </w:p>
        </w:tc>
        <w:tc>
          <w:tcPr>
            <w:tcW w:w="1560" w:type="dxa"/>
            <w:vMerge/>
            <w:tcBorders>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5123D7" w:rsidRPr="004761E0" w:rsidRDefault="005123D7" w:rsidP="005123D7">
            <w:pPr>
              <w:jc w:val="center"/>
              <w:rPr>
                <w:b/>
                <w:sz w:val="20"/>
                <w:szCs w:val="20"/>
              </w:rPr>
            </w:pPr>
          </w:p>
        </w:tc>
        <w:tc>
          <w:tcPr>
            <w:tcW w:w="453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5123D7" w:rsidRPr="004761E0" w:rsidRDefault="005123D7" w:rsidP="005123D7">
            <w:pPr>
              <w:ind w:firstLine="0"/>
              <w:jc w:val="center"/>
              <w:rPr>
                <w:b/>
                <w:sz w:val="20"/>
                <w:szCs w:val="20"/>
              </w:rPr>
            </w:pPr>
            <w:r w:rsidRPr="004761E0">
              <w:rPr>
                <w:b/>
                <w:sz w:val="20"/>
                <w:szCs w:val="20"/>
              </w:rPr>
              <w:t>с 01.01.2013</w:t>
            </w:r>
          </w:p>
        </w:tc>
        <w:tc>
          <w:tcPr>
            <w:tcW w:w="4536" w:type="dxa"/>
            <w:gridSpan w:val="4"/>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F243E" w:themeFill="text2" w:themeFillShade="80"/>
            <w:vAlign w:val="center"/>
          </w:tcPr>
          <w:p w:rsidR="005123D7" w:rsidRPr="004761E0" w:rsidRDefault="005123D7" w:rsidP="005123D7">
            <w:pPr>
              <w:ind w:firstLine="0"/>
              <w:jc w:val="center"/>
              <w:rPr>
                <w:b/>
                <w:sz w:val="20"/>
                <w:szCs w:val="20"/>
              </w:rPr>
            </w:pPr>
            <w:r w:rsidRPr="004761E0">
              <w:rPr>
                <w:b/>
                <w:sz w:val="20"/>
                <w:szCs w:val="20"/>
              </w:rPr>
              <w:t>С 01.07.2013</w:t>
            </w:r>
          </w:p>
        </w:tc>
      </w:tr>
      <w:tr w:rsidR="005123D7" w:rsidRPr="004761E0" w:rsidTr="005123D7">
        <w:tc>
          <w:tcPr>
            <w:tcW w:w="568" w:type="dxa"/>
            <w:vMerge/>
            <w:tcBorders>
              <w:left w:val="single" w:sz="4" w:space="0" w:color="auto"/>
              <w:bottom w:val="single" w:sz="4" w:space="0" w:color="auto"/>
              <w:right w:val="single" w:sz="4" w:space="0" w:color="FFFFFF" w:themeColor="background1"/>
            </w:tcBorders>
            <w:shd w:val="clear" w:color="auto" w:fill="0F243E" w:themeFill="text2" w:themeFillShade="80"/>
            <w:vAlign w:val="center"/>
          </w:tcPr>
          <w:p w:rsidR="005123D7" w:rsidRPr="004761E0" w:rsidRDefault="005123D7" w:rsidP="005123D7">
            <w:pPr>
              <w:ind w:right="-399" w:firstLine="0"/>
              <w:jc w:val="center"/>
              <w:rPr>
                <w:b/>
                <w:sz w:val="20"/>
                <w:szCs w:val="20"/>
              </w:rPr>
            </w:pPr>
          </w:p>
        </w:tc>
        <w:tc>
          <w:tcPr>
            <w:tcW w:w="3401" w:type="dxa"/>
            <w:vMerge/>
            <w:tcBorders>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5123D7" w:rsidRPr="004761E0" w:rsidRDefault="005123D7" w:rsidP="005123D7">
            <w:pPr>
              <w:jc w:val="center"/>
              <w:rPr>
                <w:b/>
                <w:sz w:val="20"/>
                <w:szCs w:val="20"/>
              </w:rPr>
            </w:pPr>
          </w:p>
        </w:tc>
        <w:tc>
          <w:tcPr>
            <w:tcW w:w="1560" w:type="dxa"/>
            <w:vMerge/>
            <w:tcBorders>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5123D7" w:rsidRPr="004761E0" w:rsidRDefault="005123D7" w:rsidP="005123D7">
            <w:pPr>
              <w:jc w:val="center"/>
              <w:rPr>
                <w:b/>
                <w:sz w:val="20"/>
                <w:szCs w:val="20"/>
              </w:rPr>
            </w:pP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5123D7" w:rsidRPr="004761E0" w:rsidRDefault="005123D7" w:rsidP="005123D7">
            <w:pPr>
              <w:ind w:firstLine="0"/>
              <w:jc w:val="center"/>
              <w:rPr>
                <w:b/>
                <w:sz w:val="20"/>
                <w:szCs w:val="20"/>
              </w:rPr>
            </w:pPr>
            <w:r w:rsidRPr="004761E0">
              <w:rPr>
                <w:b/>
                <w:sz w:val="20"/>
                <w:szCs w:val="20"/>
              </w:rPr>
              <w:t>ВН</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5123D7" w:rsidRPr="004761E0" w:rsidRDefault="005123D7" w:rsidP="005123D7">
            <w:pPr>
              <w:ind w:firstLine="0"/>
              <w:jc w:val="center"/>
              <w:rPr>
                <w:b/>
                <w:sz w:val="20"/>
                <w:szCs w:val="20"/>
              </w:rPr>
            </w:pPr>
            <w:r w:rsidRPr="004761E0">
              <w:rPr>
                <w:b/>
                <w:sz w:val="20"/>
                <w:szCs w:val="20"/>
              </w:rPr>
              <w:t>СН-1</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5123D7" w:rsidRPr="004761E0" w:rsidRDefault="005123D7" w:rsidP="005123D7">
            <w:pPr>
              <w:ind w:firstLine="0"/>
              <w:jc w:val="center"/>
              <w:rPr>
                <w:b/>
                <w:sz w:val="20"/>
                <w:szCs w:val="20"/>
              </w:rPr>
            </w:pPr>
            <w:r w:rsidRPr="004761E0">
              <w:rPr>
                <w:b/>
                <w:sz w:val="20"/>
                <w:szCs w:val="20"/>
              </w:rPr>
              <w:t>СН-2</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5123D7" w:rsidRPr="004761E0" w:rsidRDefault="005123D7" w:rsidP="005123D7">
            <w:pPr>
              <w:ind w:firstLine="0"/>
              <w:jc w:val="center"/>
              <w:rPr>
                <w:b/>
                <w:sz w:val="20"/>
                <w:szCs w:val="20"/>
              </w:rPr>
            </w:pPr>
            <w:r w:rsidRPr="004761E0">
              <w:rPr>
                <w:b/>
                <w:sz w:val="20"/>
                <w:szCs w:val="20"/>
              </w:rPr>
              <w:t>НН</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5123D7" w:rsidRPr="004761E0" w:rsidRDefault="005123D7" w:rsidP="005123D7">
            <w:pPr>
              <w:ind w:firstLine="0"/>
              <w:jc w:val="center"/>
              <w:rPr>
                <w:b/>
                <w:sz w:val="20"/>
                <w:szCs w:val="20"/>
              </w:rPr>
            </w:pPr>
            <w:r w:rsidRPr="004761E0">
              <w:rPr>
                <w:b/>
                <w:sz w:val="20"/>
                <w:szCs w:val="20"/>
              </w:rPr>
              <w:t>ВН</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5123D7" w:rsidRPr="004761E0" w:rsidRDefault="005123D7" w:rsidP="005123D7">
            <w:pPr>
              <w:ind w:firstLine="0"/>
              <w:jc w:val="center"/>
              <w:rPr>
                <w:b/>
                <w:sz w:val="20"/>
                <w:szCs w:val="20"/>
              </w:rPr>
            </w:pPr>
            <w:r w:rsidRPr="004761E0">
              <w:rPr>
                <w:b/>
                <w:sz w:val="20"/>
                <w:szCs w:val="20"/>
              </w:rPr>
              <w:t>СН-1</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5123D7" w:rsidRPr="004761E0" w:rsidRDefault="005123D7" w:rsidP="005123D7">
            <w:pPr>
              <w:ind w:firstLine="0"/>
              <w:jc w:val="center"/>
              <w:rPr>
                <w:b/>
                <w:sz w:val="20"/>
                <w:szCs w:val="20"/>
              </w:rPr>
            </w:pPr>
            <w:r w:rsidRPr="004761E0">
              <w:rPr>
                <w:b/>
                <w:sz w:val="20"/>
                <w:szCs w:val="20"/>
              </w:rPr>
              <w:t>СН-2</w:t>
            </w:r>
          </w:p>
        </w:tc>
        <w:tc>
          <w:tcPr>
            <w:tcW w:w="1134"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F243E" w:themeFill="text2" w:themeFillShade="80"/>
            <w:vAlign w:val="center"/>
          </w:tcPr>
          <w:p w:rsidR="005123D7" w:rsidRPr="004761E0" w:rsidRDefault="005123D7" w:rsidP="005123D7">
            <w:pPr>
              <w:ind w:firstLine="0"/>
              <w:jc w:val="center"/>
              <w:rPr>
                <w:b/>
                <w:sz w:val="20"/>
                <w:szCs w:val="20"/>
              </w:rPr>
            </w:pPr>
            <w:r w:rsidRPr="004761E0">
              <w:rPr>
                <w:b/>
                <w:sz w:val="20"/>
                <w:szCs w:val="20"/>
              </w:rPr>
              <w:t>НН</w:t>
            </w:r>
          </w:p>
        </w:tc>
      </w:tr>
      <w:tr w:rsidR="005123D7" w:rsidRPr="004761E0" w:rsidTr="005123D7">
        <w:tc>
          <w:tcPr>
            <w:tcW w:w="568" w:type="dxa"/>
            <w:tcBorders>
              <w:top w:val="single" w:sz="4" w:space="0" w:color="auto"/>
            </w:tcBorders>
            <w:shd w:val="clear" w:color="auto" w:fill="auto"/>
            <w:vAlign w:val="center"/>
          </w:tcPr>
          <w:p w:rsidR="005123D7" w:rsidRPr="004761E0" w:rsidRDefault="005123D7" w:rsidP="005123D7">
            <w:pPr>
              <w:ind w:right="-399" w:firstLine="0"/>
              <w:jc w:val="left"/>
              <w:rPr>
                <w:b/>
                <w:sz w:val="20"/>
                <w:szCs w:val="20"/>
              </w:rPr>
            </w:pPr>
            <w:r w:rsidRPr="004761E0">
              <w:rPr>
                <w:b/>
                <w:sz w:val="20"/>
                <w:szCs w:val="20"/>
                <w:lang w:val="en-US"/>
              </w:rPr>
              <w:t>I</w:t>
            </w:r>
          </w:p>
        </w:tc>
        <w:tc>
          <w:tcPr>
            <w:tcW w:w="14033" w:type="dxa"/>
            <w:gridSpan w:val="10"/>
            <w:tcBorders>
              <w:top w:val="single" w:sz="4" w:space="0" w:color="auto"/>
            </w:tcBorders>
            <w:shd w:val="clear" w:color="auto" w:fill="auto"/>
          </w:tcPr>
          <w:p w:rsidR="005123D7" w:rsidRPr="004761E0" w:rsidRDefault="005123D7" w:rsidP="005123D7">
            <w:pPr>
              <w:ind w:firstLine="0"/>
              <w:rPr>
                <w:b/>
                <w:sz w:val="20"/>
                <w:szCs w:val="20"/>
              </w:rPr>
            </w:pPr>
            <w:r w:rsidRPr="004761E0">
              <w:rPr>
                <w:b/>
                <w:sz w:val="20"/>
                <w:szCs w:val="20"/>
              </w:rPr>
              <w:t>Население и приравненные к нему категории потребителей</w:t>
            </w:r>
            <w:r w:rsidRPr="004761E0">
              <w:rPr>
                <w:b/>
                <w:sz w:val="20"/>
                <w:szCs w:val="20"/>
                <w:vertAlign w:val="superscript"/>
              </w:rPr>
              <w:t xml:space="preserve">* </w:t>
            </w:r>
          </w:p>
        </w:tc>
      </w:tr>
      <w:tr w:rsidR="005123D7" w:rsidRPr="004761E0" w:rsidTr="005123D7">
        <w:tc>
          <w:tcPr>
            <w:tcW w:w="568" w:type="dxa"/>
            <w:tcBorders>
              <w:top w:val="single" w:sz="4" w:space="0" w:color="auto"/>
              <w:bottom w:val="single" w:sz="4" w:space="0" w:color="auto"/>
              <w:right w:val="single" w:sz="4" w:space="0" w:color="auto"/>
            </w:tcBorders>
            <w:shd w:val="clear" w:color="auto" w:fill="auto"/>
            <w:vAlign w:val="center"/>
          </w:tcPr>
          <w:p w:rsidR="005123D7" w:rsidRPr="004761E0" w:rsidRDefault="005123D7" w:rsidP="007076A7">
            <w:pPr>
              <w:pStyle w:val="a5"/>
              <w:numPr>
                <w:ilvl w:val="0"/>
                <w:numId w:val="136"/>
              </w:numPr>
              <w:ind w:left="0" w:right="-399" w:firstLine="0"/>
              <w:jc w:val="left"/>
              <w:rPr>
                <w:sz w:val="20"/>
                <w:szCs w:val="20"/>
              </w:rPr>
            </w:pP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rPr>
                <w:sz w:val="20"/>
                <w:szCs w:val="20"/>
              </w:rPr>
            </w:pPr>
            <w:r w:rsidRPr="004761E0">
              <w:rPr>
                <w:sz w:val="20"/>
                <w:szCs w:val="20"/>
              </w:rPr>
              <w:t>Одноставочный тариф</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center"/>
              <w:rPr>
                <w:sz w:val="20"/>
                <w:szCs w:val="20"/>
              </w:rPr>
            </w:pPr>
            <w:r w:rsidRPr="004761E0">
              <w:rPr>
                <w:sz w:val="20"/>
                <w:szCs w:val="20"/>
              </w:rPr>
              <w:t>руб./МВтч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sz w:val="20"/>
                <w:szCs w:val="20"/>
              </w:rPr>
            </w:pPr>
            <w:r w:rsidRPr="004761E0">
              <w:rPr>
                <w:sz w:val="20"/>
                <w:szCs w:val="20"/>
              </w:rPr>
              <w:t>913,46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sz w:val="20"/>
                <w:szCs w:val="20"/>
              </w:rPr>
            </w:pPr>
            <w:r w:rsidRPr="004761E0">
              <w:rPr>
                <w:sz w:val="20"/>
                <w:szCs w:val="20"/>
              </w:rPr>
              <w:t>1 150,50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sz w:val="20"/>
                <w:szCs w:val="20"/>
              </w:rPr>
            </w:pPr>
            <w:r w:rsidRPr="004761E0">
              <w:rPr>
                <w:sz w:val="20"/>
                <w:szCs w:val="20"/>
              </w:rPr>
              <w:t>1 150,50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sz w:val="20"/>
                <w:szCs w:val="20"/>
              </w:rPr>
            </w:pPr>
            <w:r w:rsidRPr="004761E0">
              <w:rPr>
                <w:sz w:val="20"/>
                <w:szCs w:val="20"/>
              </w:rPr>
              <w:t>1 150,50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sz w:val="20"/>
                <w:szCs w:val="20"/>
              </w:rPr>
            </w:pPr>
            <w:r w:rsidRPr="004761E0">
              <w:rPr>
                <w:sz w:val="20"/>
                <w:szCs w:val="20"/>
              </w:rPr>
              <w:t>1 001,48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sz w:val="20"/>
                <w:szCs w:val="20"/>
              </w:rPr>
            </w:pPr>
            <w:r w:rsidRPr="004761E0">
              <w:rPr>
                <w:sz w:val="20"/>
                <w:szCs w:val="20"/>
              </w:rPr>
              <w:t>1 385,18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sz w:val="20"/>
                <w:szCs w:val="20"/>
              </w:rPr>
            </w:pPr>
            <w:r w:rsidRPr="004761E0">
              <w:rPr>
                <w:sz w:val="20"/>
                <w:szCs w:val="20"/>
              </w:rPr>
              <w:t>1 385,18</w:t>
            </w:r>
          </w:p>
        </w:tc>
        <w:tc>
          <w:tcPr>
            <w:tcW w:w="1134" w:type="dxa"/>
            <w:tcBorders>
              <w:top w:val="single" w:sz="4" w:space="0" w:color="auto"/>
              <w:left w:val="single" w:sz="4" w:space="0" w:color="auto"/>
              <w:bottom w:val="single" w:sz="4" w:space="0" w:color="auto"/>
            </w:tcBorders>
            <w:shd w:val="clear" w:color="auto" w:fill="auto"/>
            <w:vAlign w:val="center"/>
          </w:tcPr>
          <w:p w:rsidR="005123D7" w:rsidRPr="004761E0" w:rsidRDefault="005123D7" w:rsidP="005123D7">
            <w:pPr>
              <w:ind w:firstLine="0"/>
              <w:jc w:val="right"/>
              <w:rPr>
                <w:sz w:val="20"/>
                <w:szCs w:val="20"/>
              </w:rPr>
            </w:pPr>
            <w:r w:rsidRPr="004761E0">
              <w:rPr>
                <w:sz w:val="20"/>
                <w:szCs w:val="20"/>
              </w:rPr>
              <w:t>1 385,18</w:t>
            </w:r>
          </w:p>
        </w:tc>
      </w:tr>
      <w:tr w:rsidR="005123D7" w:rsidRPr="004761E0" w:rsidTr="005123D7">
        <w:tc>
          <w:tcPr>
            <w:tcW w:w="568" w:type="dxa"/>
            <w:shd w:val="clear" w:color="auto" w:fill="auto"/>
            <w:vAlign w:val="center"/>
          </w:tcPr>
          <w:p w:rsidR="005123D7" w:rsidRPr="004761E0" w:rsidRDefault="005123D7" w:rsidP="005123D7">
            <w:pPr>
              <w:ind w:right="-399" w:firstLine="0"/>
              <w:jc w:val="left"/>
              <w:rPr>
                <w:b/>
                <w:sz w:val="20"/>
                <w:szCs w:val="20"/>
                <w:lang w:val="en-US"/>
              </w:rPr>
            </w:pPr>
            <w:r w:rsidRPr="004761E0">
              <w:rPr>
                <w:b/>
                <w:sz w:val="20"/>
                <w:szCs w:val="20"/>
                <w:lang w:val="en-US"/>
              </w:rPr>
              <w:t>II</w:t>
            </w:r>
          </w:p>
        </w:tc>
        <w:tc>
          <w:tcPr>
            <w:tcW w:w="14033" w:type="dxa"/>
            <w:gridSpan w:val="10"/>
            <w:shd w:val="clear" w:color="auto" w:fill="auto"/>
            <w:vAlign w:val="center"/>
          </w:tcPr>
          <w:p w:rsidR="005123D7" w:rsidRPr="004761E0" w:rsidRDefault="005123D7" w:rsidP="005123D7">
            <w:pPr>
              <w:ind w:firstLine="0"/>
              <w:jc w:val="left"/>
              <w:rPr>
                <w:b/>
                <w:sz w:val="20"/>
                <w:szCs w:val="20"/>
              </w:rPr>
            </w:pPr>
            <w:r w:rsidRPr="004761E0">
              <w:rPr>
                <w:b/>
                <w:sz w:val="20"/>
                <w:szCs w:val="20"/>
              </w:rPr>
              <w:t>Прочие потребители</w:t>
            </w:r>
            <w:r w:rsidRPr="004761E0">
              <w:rPr>
                <w:b/>
                <w:sz w:val="20"/>
                <w:szCs w:val="20"/>
                <w:vertAlign w:val="superscript"/>
              </w:rPr>
              <w:t>*</w:t>
            </w:r>
          </w:p>
        </w:tc>
      </w:tr>
      <w:tr w:rsidR="005123D7" w:rsidRPr="004761E0" w:rsidTr="005123D7">
        <w:tc>
          <w:tcPr>
            <w:tcW w:w="568" w:type="dxa"/>
            <w:shd w:val="clear" w:color="auto" w:fill="auto"/>
            <w:vAlign w:val="center"/>
          </w:tcPr>
          <w:p w:rsidR="005123D7" w:rsidRPr="004761E0" w:rsidRDefault="005123D7" w:rsidP="007076A7">
            <w:pPr>
              <w:pStyle w:val="a5"/>
              <w:numPr>
                <w:ilvl w:val="0"/>
                <w:numId w:val="137"/>
              </w:numPr>
              <w:ind w:right="-399"/>
              <w:jc w:val="left"/>
              <w:rPr>
                <w:rFonts w:eastAsia="Times New Roman"/>
                <w:sz w:val="20"/>
                <w:szCs w:val="20"/>
                <w:lang w:eastAsia="ru-RU"/>
              </w:rPr>
            </w:pPr>
          </w:p>
        </w:tc>
        <w:tc>
          <w:tcPr>
            <w:tcW w:w="3401" w:type="dxa"/>
            <w:shd w:val="clear" w:color="auto" w:fill="auto"/>
            <w:vAlign w:val="center"/>
          </w:tcPr>
          <w:p w:rsidR="005123D7" w:rsidRPr="004761E0" w:rsidRDefault="005123D7" w:rsidP="005123D7">
            <w:pPr>
              <w:ind w:firstLine="0"/>
              <w:rPr>
                <w:sz w:val="20"/>
                <w:szCs w:val="20"/>
              </w:rPr>
            </w:pPr>
            <w:r w:rsidRPr="004761E0">
              <w:rPr>
                <w:sz w:val="20"/>
                <w:szCs w:val="20"/>
              </w:rPr>
              <w:t>Одноставочный тариф</w:t>
            </w:r>
          </w:p>
        </w:tc>
        <w:tc>
          <w:tcPr>
            <w:tcW w:w="1560" w:type="dxa"/>
            <w:shd w:val="clear" w:color="auto" w:fill="auto"/>
            <w:vAlign w:val="center"/>
          </w:tcPr>
          <w:p w:rsidR="005123D7" w:rsidRPr="004761E0" w:rsidRDefault="005123D7" w:rsidP="005123D7">
            <w:pPr>
              <w:ind w:firstLine="0"/>
              <w:jc w:val="center"/>
              <w:rPr>
                <w:sz w:val="20"/>
                <w:szCs w:val="20"/>
              </w:rPr>
            </w:pPr>
            <w:r w:rsidRPr="004761E0">
              <w:rPr>
                <w:sz w:val="20"/>
                <w:szCs w:val="20"/>
              </w:rPr>
              <w:t>руб./МВтч</w:t>
            </w:r>
          </w:p>
        </w:tc>
        <w:tc>
          <w:tcPr>
            <w:tcW w:w="1134" w:type="dxa"/>
            <w:shd w:val="clear" w:color="auto" w:fill="auto"/>
            <w:vAlign w:val="center"/>
          </w:tcPr>
          <w:p w:rsidR="005123D7" w:rsidRPr="004761E0" w:rsidRDefault="005123D7" w:rsidP="005123D7">
            <w:pPr>
              <w:ind w:firstLine="0"/>
              <w:jc w:val="right"/>
              <w:rPr>
                <w:sz w:val="20"/>
                <w:szCs w:val="20"/>
              </w:rPr>
            </w:pPr>
            <w:r w:rsidRPr="004761E0">
              <w:rPr>
                <w:sz w:val="20"/>
                <w:szCs w:val="20"/>
              </w:rPr>
              <w:t>913,46</w:t>
            </w:r>
          </w:p>
        </w:tc>
        <w:tc>
          <w:tcPr>
            <w:tcW w:w="1134" w:type="dxa"/>
            <w:shd w:val="clear" w:color="auto" w:fill="auto"/>
            <w:vAlign w:val="center"/>
          </w:tcPr>
          <w:p w:rsidR="005123D7" w:rsidRPr="004761E0" w:rsidRDefault="005123D7" w:rsidP="005123D7">
            <w:pPr>
              <w:ind w:firstLine="0"/>
              <w:jc w:val="right"/>
              <w:rPr>
                <w:sz w:val="20"/>
                <w:szCs w:val="20"/>
              </w:rPr>
            </w:pPr>
            <w:r w:rsidRPr="004761E0">
              <w:rPr>
                <w:sz w:val="20"/>
                <w:szCs w:val="20"/>
              </w:rPr>
              <w:t>1 650,85</w:t>
            </w:r>
          </w:p>
        </w:tc>
        <w:tc>
          <w:tcPr>
            <w:tcW w:w="1134" w:type="dxa"/>
            <w:shd w:val="clear" w:color="auto" w:fill="auto"/>
            <w:vAlign w:val="center"/>
          </w:tcPr>
          <w:p w:rsidR="005123D7" w:rsidRPr="004761E0" w:rsidRDefault="005123D7" w:rsidP="005123D7">
            <w:pPr>
              <w:ind w:firstLine="0"/>
              <w:jc w:val="right"/>
              <w:rPr>
                <w:sz w:val="20"/>
                <w:szCs w:val="20"/>
              </w:rPr>
            </w:pPr>
            <w:r w:rsidRPr="004761E0">
              <w:rPr>
                <w:sz w:val="20"/>
                <w:szCs w:val="20"/>
              </w:rPr>
              <w:t>1 665,55</w:t>
            </w:r>
          </w:p>
        </w:tc>
        <w:tc>
          <w:tcPr>
            <w:tcW w:w="1134" w:type="dxa"/>
            <w:shd w:val="clear" w:color="auto" w:fill="auto"/>
            <w:vAlign w:val="center"/>
          </w:tcPr>
          <w:p w:rsidR="005123D7" w:rsidRPr="004761E0" w:rsidRDefault="005123D7" w:rsidP="005123D7">
            <w:pPr>
              <w:ind w:firstLine="0"/>
              <w:jc w:val="right"/>
              <w:rPr>
                <w:sz w:val="20"/>
                <w:szCs w:val="20"/>
              </w:rPr>
            </w:pPr>
            <w:r w:rsidRPr="004761E0">
              <w:rPr>
                <w:sz w:val="20"/>
                <w:szCs w:val="20"/>
              </w:rPr>
              <w:t>2 377,99</w:t>
            </w:r>
          </w:p>
        </w:tc>
        <w:tc>
          <w:tcPr>
            <w:tcW w:w="1134" w:type="dxa"/>
            <w:shd w:val="clear" w:color="auto" w:fill="auto"/>
            <w:vAlign w:val="center"/>
          </w:tcPr>
          <w:p w:rsidR="005123D7" w:rsidRPr="004761E0" w:rsidRDefault="005123D7" w:rsidP="005123D7">
            <w:pPr>
              <w:ind w:firstLine="0"/>
              <w:jc w:val="right"/>
              <w:rPr>
                <w:sz w:val="20"/>
                <w:szCs w:val="20"/>
              </w:rPr>
            </w:pPr>
            <w:r w:rsidRPr="004761E0">
              <w:rPr>
                <w:sz w:val="20"/>
                <w:szCs w:val="20"/>
              </w:rPr>
              <w:t>1001,48</w:t>
            </w:r>
          </w:p>
        </w:tc>
        <w:tc>
          <w:tcPr>
            <w:tcW w:w="1134" w:type="dxa"/>
            <w:shd w:val="clear" w:color="auto" w:fill="auto"/>
            <w:vAlign w:val="center"/>
          </w:tcPr>
          <w:p w:rsidR="005123D7" w:rsidRPr="004761E0" w:rsidRDefault="005123D7" w:rsidP="005123D7">
            <w:pPr>
              <w:ind w:firstLine="0"/>
              <w:jc w:val="right"/>
              <w:rPr>
                <w:sz w:val="20"/>
                <w:szCs w:val="20"/>
              </w:rPr>
            </w:pPr>
            <w:r w:rsidRPr="004761E0">
              <w:rPr>
                <w:sz w:val="20"/>
                <w:szCs w:val="20"/>
              </w:rPr>
              <w:t>1 778,94</w:t>
            </w:r>
          </w:p>
        </w:tc>
        <w:tc>
          <w:tcPr>
            <w:tcW w:w="1134" w:type="dxa"/>
            <w:shd w:val="clear" w:color="auto" w:fill="auto"/>
            <w:vAlign w:val="center"/>
          </w:tcPr>
          <w:p w:rsidR="005123D7" w:rsidRPr="004761E0" w:rsidRDefault="005123D7" w:rsidP="005123D7">
            <w:pPr>
              <w:ind w:firstLine="0"/>
              <w:jc w:val="right"/>
              <w:rPr>
                <w:sz w:val="20"/>
                <w:szCs w:val="20"/>
              </w:rPr>
            </w:pPr>
            <w:r w:rsidRPr="004761E0">
              <w:rPr>
                <w:sz w:val="20"/>
                <w:szCs w:val="20"/>
              </w:rPr>
              <w:t>1 782,05</w:t>
            </w:r>
          </w:p>
        </w:tc>
        <w:tc>
          <w:tcPr>
            <w:tcW w:w="1134" w:type="dxa"/>
            <w:shd w:val="clear" w:color="auto" w:fill="auto"/>
            <w:vAlign w:val="center"/>
          </w:tcPr>
          <w:p w:rsidR="005123D7" w:rsidRPr="004761E0" w:rsidRDefault="005123D7" w:rsidP="005123D7">
            <w:pPr>
              <w:ind w:firstLine="0"/>
              <w:jc w:val="right"/>
              <w:rPr>
                <w:sz w:val="20"/>
                <w:szCs w:val="20"/>
              </w:rPr>
            </w:pPr>
            <w:r w:rsidRPr="004761E0">
              <w:rPr>
                <w:sz w:val="20"/>
                <w:szCs w:val="20"/>
              </w:rPr>
              <w:t>2 577,66</w:t>
            </w:r>
          </w:p>
        </w:tc>
      </w:tr>
      <w:tr w:rsidR="005123D7" w:rsidRPr="004761E0" w:rsidTr="005123D7">
        <w:tc>
          <w:tcPr>
            <w:tcW w:w="568" w:type="dxa"/>
            <w:shd w:val="clear" w:color="auto" w:fill="auto"/>
            <w:vAlign w:val="center"/>
          </w:tcPr>
          <w:p w:rsidR="005123D7" w:rsidRPr="004761E0" w:rsidRDefault="005123D7" w:rsidP="007076A7">
            <w:pPr>
              <w:pStyle w:val="a5"/>
              <w:numPr>
                <w:ilvl w:val="0"/>
                <w:numId w:val="137"/>
              </w:numPr>
              <w:ind w:right="-399"/>
              <w:jc w:val="left"/>
              <w:rPr>
                <w:rFonts w:eastAsia="Times New Roman"/>
                <w:sz w:val="20"/>
                <w:szCs w:val="20"/>
                <w:lang w:eastAsia="ru-RU"/>
              </w:rPr>
            </w:pPr>
          </w:p>
        </w:tc>
        <w:tc>
          <w:tcPr>
            <w:tcW w:w="14033" w:type="dxa"/>
            <w:gridSpan w:val="10"/>
            <w:shd w:val="clear" w:color="auto" w:fill="auto"/>
            <w:vAlign w:val="center"/>
          </w:tcPr>
          <w:p w:rsidR="005123D7" w:rsidRPr="004761E0" w:rsidRDefault="005123D7" w:rsidP="005123D7">
            <w:pPr>
              <w:ind w:firstLine="0"/>
              <w:jc w:val="left"/>
              <w:rPr>
                <w:sz w:val="20"/>
                <w:szCs w:val="20"/>
              </w:rPr>
            </w:pPr>
            <w:r w:rsidRPr="004761E0">
              <w:rPr>
                <w:sz w:val="20"/>
                <w:szCs w:val="20"/>
              </w:rPr>
              <w:t>Двухставочный тариф</w:t>
            </w:r>
          </w:p>
        </w:tc>
      </w:tr>
      <w:tr w:rsidR="005123D7" w:rsidRPr="004761E0" w:rsidTr="005123D7">
        <w:tc>
          <w:tcPr>
            <w:tcW w:w="568" w:type="dxa"/>
            <w:tcBorders>
              <w:top w:val="single" w:sz="4" w:space="0" w:color="auto"/>
              <w:bottom w:val="single" w:sz="4" w:space="0" w:color="auto"/>
              <w:right w:val="single" w:sz="4" w:space="0" w:color="auto"/>
            </w:tcBorders>
            <w:shd w:val="clear" w:color="auto" w:fill="auto"/>
            <w:vAlign w:val="center"/>
          </w:tcPr>
          <w:p w:rsidR="005123D7" w:rsidRPr="004761E0" w:rsidRDefault="005123D7" w:rsidP="007076A7">
            <w:pPr>
              <w:pStyle w:val="a5"/>
              <w:numPr>
                <w:ilvl w:val="1"/>
                <w:numId w:val="137"/>
              </w:numPr>
              <w:ind w:right="-399"/>
              <w:jc w:val="left"/>
              <w:rPr>
                <w:rFonts w:eastAsia="Times New Roman"/>
                <w:sz w:val="20"/>
                <w:szCs w:val="20"/>
                <w:lang w:eastAsia="ru-RU"/>
              </w:rPr>
            </w:pPr>
          </w:p>
        </w:tc>
        <w:tc>
          <w:tcPr>
            <w:tcW w:w="3401" w:type="dxa"/>
            <w:tcBorders>
              <w:top w:val="single" w:sz="4" w:space="0" w:color="auto"/>
              <w:left w:val="single" w:sz="4" w:space="0" w:color="auto"/>
              <w:bottom w:val="single" w:sz="4" w:space="0" w:color="auto"/>
              <w:right w:val="single" w:sz="4" w:space="0" w:color="auto"/>
            </w:tcBorders>
            <w:shd w:val="clear" w:color="auto" w:fill="auto"/>
            <w:vAlign w:val="bottom"/>
          </w:tcPr>
          <w:p w:rsidR="005123D7" w:rsidRPr="004761E0" w:rsidRDefault="005123D7" w:rsidP="005123D7">
            <w:pPr>
              <w:ind w:left="175" w:firstLine="0"/>
              <w:jc w:val="left"/>
              <w:rPr>
                <w:rFonts w:eastAsia="Times New Roman"/>
                <w:sz w:val="20"/>
                <w:szCs w:val="20"/>
                <w:lang w:eastAsia="ru-RU"/>
              </w:rPr>
            </w:pPr>
            <w:r w:rsidRPr="004761E0">
              <w:rPr>
                <w:rFonts w:eastAsia="Times New Roman"/>
                <w:sz w:val="20"/>
                <w:szCs w:val="20"/>
                <w:lang w:eastAsia="ru-RU"/>
              </w:rPr>
              <w:t>ставка на содержание электрических сетей</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center"/>
              <w:rPr>
                <w:rFonts w:eastAsia="Times New Roman"/>
                <w:sz w:val="20"/>
                <w:szCs w:val="20"/>
                <w:lang w:eastAsia="ru-RU"/>
              </w:rPr>
            </w:pPr>
            <w:r w:rsidRPr="004761E0">
              <w:rPr>
                <w:rFonts w:eastAsia="Times New Roman"/>
                <w:sz w:val="20"/>
                <w:szCs w:val="20"/>
                <w:lang w:eastAsia="ru-RU"/>
              </w:rPr>
              <w:t>руб./МВт.мес.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sz w:val="20"/>
                <w:szCs w:val="20"/>
              </w:rPr>
            </w:pPr>
            <w:r w:rsidRPr="004761E0">
              <w:rPr>
                <w:sz w:val="20"/>
                <w:szCs w:val="20"/>
              </w:rPr>
              <w:t>435 748,18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sz w:val="20"/>
                <w:szCs w:val="20"/>
              </w:rPr>
            </w:pPr>
            <w:r w:rsidRPr="004761E0">
              <w:rPr>
                <w:sz w:val="20"/>
                <w:szCs w:val="20"/>
              </w:rPr>
              <w:t>677 621,87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sz w:val="20"/>
                <w:szCs w:val="20"/>
              </w:rPr>
            </w:pPr>
            <w:r w:rsidRPr="004761E0">
              <w:rPr>
                <w:sz w:val="20"/>
                <w:szCs w:val="20"/>
              </w:rPr>
              <w:t>714 184,74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sz w:val="20"/>
                <w:szCs w:val="20"/>
              </w:rPr>
            </w:pPr>
            <w:r w:rsidRPr="004761E0">
              <w:rPr>
                <w:sz w:val="20"/>
                <w:szCs w:val="20"/>
              </w:rPr>
              <w:t>878 654,63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sz w:val="20"/>
                <w:szCs w:val="20"/>
              </w:rPr>
            </w:pPr>
            <w:r w:rsidRPr="004761E0">
              <w:rPr>
                <w:sz w:val="20"/>
                <w:szCs w:val="20"/>
              </w:rPr>
              <w:t>479 323,00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sz w:val="20"/>
                <w:szCs w:val="20"/>
              </w:rPr>
            </w:pPr>
            <w:r w:rsidRPr="004761E0">
              <w:rPr>
                <w:sz w:val="20"/>
                <w:szCs w:val="20"/>
              </w:rPr>
              <w:t>745 384,06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sz w:val="20"/>
                <w:szCs w:val="20"/>
              </w:rPr>
            </w:pPr>
            <w:r w:rsidRPr="004761E0">
              <w:rPr>
                <w:sz w:val="20"/>
                <w:szCs w:val="20"/>
              </w:rPr>
              <w:t>785 603,21</w:t>
            </w:r>
          </w:p>
        </w:tc>
        <w:tc>
          <w:tcPr>
            <w:tcW w:w="1134" w:type="dxa"/>
            <w:tcBorders>
              <w:top w:val="single" w:sz="4" w:space="0" w:color="auto"/>
              <w:left w:val="single" w:sz="4" w:space="0" w:color="auto"/>
              <w:bottom w:val="single" w:sz="4" w:space="0" w:color="auto"/>
            </w:tcBorders>
            <w:shd w:val="clear" w:color="auto" w:fill="auto"/>
            <w:vAlign w:val="center"/>
          </w:tcPr>
          <w:p w:rsidR="005123D7" w:rsidRPr="004761E0" w:rsidRDefault="005123D7" w:rsidP="005123D7">
            <w:pPr>
              <w:ind w:firstLine="0"/>
              <w:jc w:val="right"/>
              <w:rPr>
                <w:sz w:val="20"/>
                <w:szCs w:val="20"/>
              </w:rPr>
            </w:pPr>
            <w:r w:rsidRPr="004761E0">
              <w:rPr>
                <w:sz w:val="20"/>
                <w:szCs w:val="20"/>
              </w:rPr>
              <w:t>966 520,09</w:t>
            </w:r>
          </w:p>
        </w:tc>
      </w:tr>
      <w:tr w:rsidR="005123D7" w:rsidRPr="004761E0" w:rsidTr="005123D7">
        <w:tc>
          <w:tcPr>
            <w:tcW w:w="568" w:type="dxa"/>
            <w:tcBorders>
              <w:top w:val="single" w:sz="4" w:space="0" w:color="auto"/>
              <w:bottom w:val="single" w:sz="4" w:space="0" w:color="auto"/>
              <w:right w:val="single" w:sz="4" w:space="0" w:color="auto"/>
            </w:tcBorders>
            <w:shd w:val="clear" w:color="auto" w:fill="auto"/>
            <w:vAlign w:val="center"/>
          </w:tcPr>
          <w:p w:rsidR="005123D7" w:rsidRPr="004761E0" w:rsidRDefault="005123D7" w:rsidP="007076A7">
            <w:pPr>
              <w:pStyle w:val="a5"/>
              <w:numPr>
                <w:ilvl w:val="1"/>
                <w:numId w:val="137"/>
              </w:numPr>
              <w:ind w:right="-399"/>
              <w:jc w:val="left"/>
              <w:rPr>
                <w:rFonts w:eastAsia="Times New Roman"/>
                <w:sz w:val="20"/>
                <w:szCs w:val="20"/>
                <w:lang w:eastAsia="ru-RU"/>
              </w:rPr>
            </w:pPr>
          </w:p>
        </w:tc>
        <w:tc>
          <w:tcPr>
            <w:tcW w:w="3401" w:type="dxa"/>
            <w:tcBorders>
              <w:top w:val="single" w:sz="4" w:space="0" w:color="auto"/>
              <w:left w:val="single" w:sz="4" w:space="0" w:color="auto"/>
              <w:bottom w:val="single" w:sz="4" w:space="0" w:color="auto"/>
              <w:right w:val="single" w:sz="4" w:space="0" w:color="auto"/>
            </w:tcBorders>
            <w:shd w:val="clear" w:color="auto" w:fill="auto"/>
            <w:vAlign w:val="bottom"/>
          </w:tcPr>
          <w:p w:rsidR="005123D7" w:rsidRPr="004761E0" w:rsidRDefault="005123D7" w:rsidP="005123D7">
            <w:pPr>
              <w:ind w:left="175" w:firstLine="0"/>
              <w:jc w:val="left"/>
              <w:rPr>
                <w:rFonts w:eastAsia="Times New Roman"/>
                <w:sz w:val="20"/>
                <w:szCs w:val="20"/>
                <w:lang w:eastAsia="ru-RU"/>
              </w:rPr>
            </w:pPr>
            <w:r w:rsidRPr="004761E0">
              <w:rPr>
                <w:rFonts w:eastAsia="Times New Roman"/>
                <w:sz w:val="20"/>
                <w:szCs w:val="20"/>
                <w:lang w:eastAsia="ru-RU"/>
              </w:rPr>
              <w:t>ставка за оплату технологического расхода (потерь) в электрических сетях</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center"/>
              <w:rPr>
                <w:rFonts w:eastAsia="Times New Roman"/>
                <w:sz w:val="20"/>
                <w:szCs w:val="20"/>
                <w:lang w:eastAsia="ru-RU"/>
              </w:rPr>
            </w:pPr>
            <w:r w:rsidRPr="004761E0">
              <w:rPr>
                <w:rFonts w:eastAsia="Times New Roman"/>
                <w:sz w:val="20"/>
                <w:szCs w:val="20"/>
                <w:lang w:eastAsia="ru-RU"/>
              </w:rPr>
              <w:t>руб./МВтч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sz w:val="20"/>
                <w:szCs w:val="20"/>
              </w:rPr>
            </w:pPr>
            <w:r w:rsidRPr="004761E0">
              <w:rPr>
                <w:sz w:val="20"/>
                <w:szCs w:val="20"/>
              </w:rPr>
              <w:t>57,46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sz w:val="20"/>
                <w:szCs w:val="20"/>
              </w:rPr>
            </w:pPr>
            <w:r w:rsidRPr="004761E0">
              <w:rPr>
                <w:sz w:val="20"/>
                <w:szCs w:val="20"/>
              </w:rPr>
              <w:t>78,50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sz w:val="20"/>
                <w:szCs w:val="20"/>
              </w:rPr>
            </w:pPr>
            <w:r w:rsidRPr="004761E0">
              <w:rPr>
                <w:sz w:val="20"/>
                <w:szCs w:val="20"/>
              </w:rPr>
              <w:t>148,57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sz w:val="20"/>
                <w:szCs w:val="20"/>
              </w:rPr>
            </w:pPr>
            <w:r w:rsidRPr="004761E0">
              <w:rPr>
                <w:sz w:val="20"/>
                <w:szCs w:val="20"/>
              </w:rPr>
              <w:t>361,22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sz w:val="20"/>
                <w:szCs w:val="20"/>
              </w:rPr>
            </w:pPr>
            <w:r w:rsidRPr="004761E0">
              <w:rPr>
                <w:sz w:val="20"/>
                <w:szCs w:val="20"/>
              </w:rPr>
              <w:t>63,21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sz w:val="20"/>
                <w:szCs w:val="20"/>
              </w:rPr>
            </w:pPr>
            <w:r w:rsidRPr="004761E0">
              <w:rPr>
                <w:sz w:val="20"/>
                <w:szCs w:val="20"/>
              </w:rPr>
              <w:t>86,35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sz w:val="20"/>
                <w:szCs w:val="20"/>
              </w:rPr>
            </w:pPr>
            <w:r w:rsidRPr="004761E0">
              <w:rPr>
                <w:sz w:val="20"/>
                <w:szCs w:val="20"/>
              </w:rPr>
              <w:t>163,43</w:t>
            </w:r>
          </w:p>
        </w:tc>
        <w:tc>
          <w:tcPr>
            <w:tcW w:w="1134" w:type="dxa"/>
            <w:tcBorders>
              <w:top w:val="single" w:sz="4" w:space="0" w:color="auto"/>
              <w:left w:val="single" w:sz="4" w:space="0" w:color="auto"/>
              <w:bottom w:val="single" w:sz="4" w:space="0" w:color="auto"/>
            </w:tcBorders>
            <w:shd w:val="clear" w:color="auto" w:fill="auto"/>
            <w:vAlign w:val="center"/>
          </w:tcPr>
          <w:p w:rsidR="005123D7" w:rsidRPr="004761E0" w:rsidRDefault="005123D7" w:rsidP="005123D7">
            <w:pPr>
              <w:ind w:firstLine="0"/>
              <w:jc w:val="right"/>
              <w:rPr>
                <w:sz w:val="20"/>
                <w:szCs w:val="20"/>
              </w:rPr>
            </w:pPr>
            <w:r w:rsidRPr="004761E0">
              <w:rPr>
                <w:sz w:val="20"/>
                <w:szCs w:val="20"/>
              </w:rPr>
              <w:t>397,34</w:t>
            </w:r>
          </w:p>
        </w:tc>
      </w:tr>
    </w:tbl>
    <w:p w:rsidR="005123D7" w:rsidRPr="004761E0" w:rsidRDefault="005123D7" w:rsidP="005123D7">
      <w:pPr>
        <w:ind w:firstLine="0"/>
        <w:jc w:val="left"/>
      </w:pPr>
      <w:r w:rsidRPr="004761E0">
        <w:rPr>
          <w:sz w:val="20"/>
          <w:szCs w:val="20"/>
        </w:rPr>
        <w:t>*тарифы указываются без НДС.</w:t>
      </w:r>
    </w:p>
    <w:p w:rsidR="005123D7" w:rsidRPr="004761E0" w:rsidRDefault="005123D7" w:rsidP="005123D7">
      <w:pPr>
        <w:spacing w:before="120" w:after="120"/>
        <w:ind w:left="-284" w:right="142" w:firstLine="851"/>
        <w:rPr>
          <w:sz w:val="26"/>
          <w:szCs w:val="26"/>
        </w:rPr>
      </w:pPr>
      <w:r w:rsidRPr="004761E0">
        <w:rPr>
          <w:sz w:val="26"/>
          <w:szCs w:val="26"/>
        </w:rPr>
        <w:t xml:space="preserve">Индивидуальные тарифы на услуги по передаче электроэнергии для взаиморасчетов между сетевыми организациями г. Москвы на 2013 год в разбивке по полугодиям и НВВ </w:t>
      </w:r>
      <w:r w:rsidR="0008080E">
        <w:rPr>
          <w:sz w:val="26"/>
          <w:szCs w:val="26"/>
        </w:rPr>
        <w:t>ОАО </w:t>
      </w:r>
      <w:r w:rsidRPr="004761E0">
        <w:rPr>
          <w:sz w:val="26"/>
          <w:szCs w:val="26"/>
        </w:rPr>
        <w:t>«МОЭСК» также установлены Постановлением РЭК г. Москвы от 21.12.2012 № 391.</w:t>
      </w:r>
    </w:p>
    <w:p w:rsidR="005123D7" w:rsidRPr="004761E0" w:rsidRDefault="005123D7" w:rsidP="005123D7">
      <w:pPr>
        <w:spacing w:after="120"/>
        <w:ind w:right="-31" w:firstLine="567"/>
        <w:rPr>
          <w:sz w:val="26"/>
          <w:szCs w:val="26"/>
        </w:rPr>
      </w:pPr>
      <w:r w:rsidRPr="004761E0">
        <w:rPr>
          <w:sz w:val="26"/>
          <w:szCs w:val="26"/>
        </w:rPr>
        <w:t>Единые (котловые) тарифы на услуги по передаче электроэнергии по сетям на территории Московской области на 2013 год</w:t>
      </w:r>
      <w:r w:rsidRPr="006F4AB8">
        <w:rPr>
          <w:rStyle w:val="af1"/>
        </w:rPr>
        <w:footnoteReference w:id="159"/>
      </w:r>
      <w:r w:rsidRPr="004761E0">
        <w:rPr>
          <w:sz w:val="26"/>
          <w:szCs w:val="26"/>
          <w:vertAlign w:val="superscript"/>
        </w:rPr>
        <w:t xml:space="preserve"> </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402"/>
        <w:gridCol w:w="1560"/>
        <w:gridCol w:w="1134"/>
        <w:gridCol w:w="1134"/>
        <w:gridCol w:w="1134"/>
        <w:gridCol w:w="1134"/>
        <w:gridCol w:w="1134"/>
        <w:gridCol w:w="1134"/>
        <w:gridCol w:w="1134"/>
        <w:gridCol w:w="1134"/>
      </w:tblGrid>
      <w:tr w:rsidR="005123D7" w:rsidRPr="004761E0" w:rsidTr="005123D7">
        <w:trPr>
          <w:trHeight w:val="268"/>
        </w:trPr>
        <w:tc>
          <w:tcPr>
            <w:tcW w:w="567" w:type="dxa"/>
            <w:vMerge w:val="restart"/>
            <w:tcBorders>
              <w:top w:val="single" w:sz="4" w:space="0" w:color="auto"/>
              <w:left w:val="single" w:sz="4" w:space="0" w:color="auto"/>
              <w:right w:val="single" w:sz="4" w:space="0" w:color="FFFFFF" w:themeColor="background1"/>
            </w:tcBorders>
            <w:shd w:val="clear" w:color="auto" w:fill="0F243E" w:themeFill="text2" w:themeFillShade="80"/>
            <w:vAlign w:val="center"/>
          </w:tcPr>
          <w:p w:rsidR="005123D7" w:rsidRPr="004761E0" w:rsidRDefault="005123D7" w:rsidP="005123D7">
            <w:pPr>
              <w:ind w:left="33" w:firstLine="0"/>
              <w:jc w:val="left"/>
              <w:rPr>
                <w:b/>
                <w:sz w:val="20"/>
                <w:szCs w:val="20"/>
              </w:rPr>
            </w:pPr>
            <w:r w:rsidRPr="004761E0">
              <w:rPr>
                <w:b/>
                <w:sz w:val="20"/>
                <w:szCs w:val="20"/>
              </w:rPr>
              <w:t>№ п/п</w:t>
            </w:r>
          </w:p>
        </w:tc>
        <w:tc>
          <w:tcPr>
            <w:tcW w:w="3402" w:type="dxa"/>
            <w:vMerge w:val="restart"/>
            <w:tcBorders>
              <w:top w:val="single" w:sz="4" w:space="0" w:color="auto"/>
              <w:left w:val="single" w:sz="4" w:space="0" w:color="FFFFFF" w:themeColor="background1"/>
              <w:right w:val="single" w:sz="4" w:space="0" w:color="FFFFFF" w:themeColor="background1"/>
            </w:tcBorders>
            <w:shd w:val="clear" w:color="auto" w:fill="0F243E" w:themeFill="text2" w:themeFillShade="80"/>
            <w:vAlign w:val="center"/>
          </w:tcPr>
          <w:p w:rsidR="005123D7" w:rsidRPr="004761E0" w:rsidRDefault="005123D7" w:rsidP="005123D7">
            <w:pPr>
              <w:ind w:left="33" w:firstLine="0"/>
              <w:jc w:val="left"/>
              <w:rPr>
                <w:b/>
                <w:sz w:val="20"/>
                <w:szCs w:val="20"/>
              </w:rPr>
            </w:pPr>
            <w:r w:rsidRPr="004761E0">
              <w:rPr>
                <w:b/>
                <w:sz w:val="20"/>
                <w:szCs w:val="20"/>
              </w:rPr>
              <w:t>Наименование показателя</w:t>
            </w:r>
          </w:p>
        </w:tc>
        <w:tc>
          <w:tcPr>
            <w:tcW w:w="1560" w:type="dxa"/>
            <w:vMerge w:val="restart"/>
            <w:tcBorders>
              <w:top w:val="single" w:sz="4" w:space="0" w:color="auto"/>
              <w:left w:val="single" w:sz="4" w:space="0" w:color="FFFFFF" w:themeColor="background1"/>
              <w:right w:val="single" w:sz="4" w:space="0" w:color="FFFFFF" w:themeColor="background1"/>
            </w:tcBorders>
            <w:shd w:val="clear" w:color="auto" w:fill="0F243E" w:themeFill="text2" w:themeFillShade="80"/>
            <w:vAlign w:val="center"/>
          </w:tcPr>
          <w:p w:rsidR="005123D7" w:rsidRPr="004761E0" w:rsidRDefault="005123D7" w:rsidP="005123D7">
            <w:pPr>
              <w:ind w:left="33" w:firstLine="0"/>
              <w:jc w:val="center"/>
              <w:rPr>
                <w:b/>
                <w:sz w:val="20"/>
                <w:szCs w:val="20"/>
              </w:rPr>
            </w:pPr>
            <w:r w:rsidRPr="004761E0">
              <w:rPr>
                <w:b/>
                <w:sz w:val="20"/>
                <w:szCs w:val="20"/>
              </w:rPr>
              <w:t>Ед. изм.</w:t>
            </w:r>
          </w:p>
        </w:tc>
        <w:tc>
          <w:tcPr>
            <w:tcW w:w="9072" w:type="dxa"/>
            <w:gridSpan w:val="8"/>
            <w:tcBorders>
              <w:top w:val="single" w:sz="4" w:space="0" w:color="auto"/>
              <w:left w:val="single" w:sz="4" w:space="0" w:color="FFFFFF" w:themeColor="background1"/>
              <w:bottom w:val="single" w:sz="4" w:space="0" w:color="FFFFFF" w:themeColor="background1"/>
              <w:right w:val="single" w:sz="4" w:space="0" w:color="auto"/>
            </w:tcBorders>
            <w:shd w:val="clear" w:color="auto" w:fill="0F243E" w:themeFill="text2" w:themeFillShade="80"/>
            <w:vAlign w:val="center"/>
          </w:tcPr>
          <w:p w:rsidR="005123D7" w:rsidRPr="004761E0" w:rsidRDefault="005123D7" w:rsidP="005123D7">
            <w:pPr>
              <w:ind w:firstLine="0"/>
              <w:jc w:val="center"/>
              <w:rPr>
                <w:b/>
                <w:sz w:val="20"/>
                <w:szCs w:val="20"/>
              </w:rPr>
            </w:pPr>
            <w:r w:rsidRPr="004761E0">
              <w:rPr>
                <w:b/>
                <w:sz w:val="20"/>
                <w:szCs w:val="20"/>
              </w:rPr>
              <w:t>Диапазоны напряжения</w:t>
            </w:r>
          </w:p>
        </w:tc>
      </w:tr>
      <w:tr w:rsidR="005123D7" w:rsidRPr="004761E0" w:rsidTr="005123D7">
        <w:trPr>
          <w:trHeight w:val="70"/>
        </w:trPr>
        <w:tc>
          <w:tcPr>
            <w:tcW w:w="567" w:type="dxa"/>
            <w:vMerge/>
            <w:tcBorders>
              <w:left w:val="single" w:sz="4" w:space="0" w:color="auto"/>
              <w:bottom w:val="single" w:sz="4" w:space="0" w:color="auto"/>
              <w:right w:val="single" w:sz="4" w:space="0" w:color="FFFFFF" w:themeColor="background1"/>
            </w:tcBorders>
            <w:shd w:val="clear" w:color="auto" w:fill="0F243E" w:themeFill="text2" w:themeFillShade="80"/>
            <w:vAlign w:val="center"/>
          </w:tcPr>
          <w:p w:rsidR="005123D7" w:rsidRPr="004761E0" w:rsidRDefault="005123D7" w:rsidP="005123D7">
            <w:pPr>
              <w:ind w:left="33"/>
              <w:jc w:val="left"/>
              <w:rPr>
                <w:b/>
                <w:sz w:val="20"/>
                <w:szCs w:val="20"/>
              </w:rPr>
            </w:pPr>
          </w:p>
        </w:tc>
        <w:tc>
          <w:tcPr>
            <w:tcW w:w="3402" w:type="dxa"/>
            <w:vMerge/>
            <w:tcBorders>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5123D7" w:rsidRPr="004761E0" w:rsidRDefault="005123D7" w:rsidP="005123D7">
            <w:pPr>
              <w:ind w:left="33"/>
              <w:jc w:val="left"/>
              <w:rPr>
                <w:b/>
                <w:sz w:val="20"/>
                <w:szCs w:val="20"/>
              </w:rPr>
            </w:pPr>
          </w:p>
        </w:tc>
        <w:tc>
          <w:tcPr>
            <w:tcW w:w="1560" w:type="dxa"/>
            <w:vMerge/>
            <w:tcBorders>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5123D7" w:rsidRPr="004761E0" w:rsidRDefault="005123D7" w:rsidP="005123D7">
            <w:pPr>
              <w:jc w:val="center"/>
              <w:rPr>
                <w:b/>
                <w:sz w:val="20"/>
                <w:szCs w:val="20"/>
              </w:rPr>
            </w:pPr>
          </w:p>
        </w:tc>
        <w:tc>
          <w:tcPr>
            <w:tcW w:w="453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5123D7" w:rsidRPr="004761E0" w:rsidRDefault="005123D7" w:rsidP="005123D7">
            <w:pPr>
              <w:ind w:firstLine="0"/>
              <w:jc w:val="center"/>
              <w:rPr>
                <w:b/>
                <w:sz w:val="20"/>
                <w:szCs w:val="20"/>
              </w:rPr>
            </w:pPr>
            <w:r w:rsidRPr="004761E0">
              <w:rPr>
                <w:b/>
                <w:sz w:val="20"/>
                <w:szCs w:val="20"/>
              </w:rPr>
              <w:t>с 01.01.2013</w:t>
            </w:r>
          </w:p>
        </w:tc>
        <w:tc>
          <w:tcPr>
            <w:tcW w:w="4536" w:type="dxa"/>
            <w:gridSpan w:val="4"/>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F243E" w:themeFill="text2" w:themeFillShade="80"/>
            <w:vAlign w:val="center"/>
          </w:tcPr>
          <w:p w:rsidR="005123D7" w:rsidRPr="004761E0" w:rsidRDefault="005123D7" w:rsidP="005123D7">
            <w:pPr>
              <w:ind w:firstLine="0"/>
              <w:jc w:val="center"/>
              <w:rPr>
                <w:b/>
                <w:sz w:val="20"/>
                <w:szCs w:val="20"/>
              </w:rPr>
            </w:pPr>
            <w:r w:rsidRPr="004761E0">
              <w:rPr>
                <w:b/>
                <w:sz w:val="20"/>
                <w:szCs w:val="20"/>
              </w:rPr>
              <w:t>С 01.07.2013</w:t>
            </w:r>
          </w:p>
        </w:tc>
      </w:tr>
      <w:tr w:rsidR="005123D7" w:rsidRPr="004761E0" w:rsidTr="005123D7">
        <w:tc>
          <w:tcPr>
            <w:tcW w:w="567" w:type="dxa"/>
            <w:vMerge/>
            <w:tcBorders>
              <w:left w:val="single" w:sz="4" w:space="0" w:color="auto"/>
              <w:bottom w:val="single" w:sz="4" w:space="0" w:color="auto"/>
              <w:right w:val="single" w:sz="4" w:space="0" w:color="FFFFFF" w:themeColor="background1"/>
            </w:tcBorders>
            <w:shd w:val="clear" w:color="auto" w:fill="0F243E" w:themeFill="text2" w:themeFillShade="80"/>
            <w:vAlign w:val="center"/>
          </w:tcPr>
          <w:p w:rsidR="005123D7" w:rsidRPr="004761E0" w:rsidRDefault="005123D7" w:rsidP="005123D7">
            <w:pPr>
              <w:ind w:right="-399" w:firstLine="0"/>
              <w:jc w:val="center"/>
              <w:rPr>
                <w:b/>
                <w:sz w:val="20"/>
                <w:szCs w:val="20"/>
              </w:rPr>
            </w:pPr>
          </w:p>
        </w:tc>
        <w:tc>
          <w:tcPr>
            <w:tcW w:w="3402" w:type="dxa"/>
            <w:vMerge/>
            <w:tcBorders>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5123D7" w:rsidRPr="004761E0" w:rsidRDefault="005123D7" w:rsidP="005123D7">
            <w:pPr>
              <w:jc w:val="center"/>
              <w:rPr>
                <w:b/>
                <w:sz w:val="20"/>
                <w:szCs w:val="20"/>
              </w:rPr>
            </w:pPr>
          </w:p>
        </w:tc>
        <w:tc>
          <w:tcPr>
            <w:tcW w:w="1560" w:type="dxa"/>
            <w:vMerge/>
            <w:tcBorders>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5123D7" w:rsidRPr="004761E0" w:rsidRDefault="005123D7" w:rsidP="005123D7">
            <w:pPr>
              <w:jc w:val="center"/>
              <w:rPr>
                <w:b/>
                <w:sz w:val="20"/>
                <w:szCs w:val="20"/>
              </w:rPr>
            </w:pP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5123D7" w:rsidRPr="004761E0" w:rsidRDefault="005123D7" w:rsidP="005123D7">
            <w:pPr>
              <w:ind w:firstLine="0"/>
              <w:jc w:val="center"/>
              <w:rPr>
                <w:b/>
                <w:sz w:val="20"/>
                <w:szCs w:val="20"/>
              </w:rPr>
            </w:pPr>
            <w:r w:rsidRPr="004761E0">
              <w:rPr>
                <w:b/>
                <w:sz w:val="20"/>
                <w:szCs w:val="20"/>
              </w:rPr>
              <w:t>ВН</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5123D7" w:rsidRPr="004761E0" w:rsidRDefault="005123D7" w:rsidP="005123D7">
            <w:pPr>
              <w:ind w:firstLine="0"/>
              <w:jc w:val="center"/>
              <w:rPr>
                <w:b/>
                <w:sz w:val="20"/>
                <w:szCs w:val="20"/>
              </w:rPr>
            </w:pPr>
            <w:r w:rsidRPr="004761E0">
              <w:rPr>
                <w:b/>
                <w:sz w:val="20"/>
                <w:szCs w:val="20"/>
              </w:rPr>
              <w:t>СН-1</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5123D7" w:rsidRPr="004761E0" w:rsidRDefault="005123D7" w:rsidP="005123D7">
            <w:pPr>
              <w:ind w:firstLine="0"/>
              <w:jc w:val="center"/>
              <w:rPr>
                <w:b/>
                <w:sz w:val="20"/>
                <w:szCs w:val="20"/>
              </w:rPr>
            </w:pPr>
            <w:r w:rsidRPr="004761E0">
              <w:rPr>
                <w:b/>
                <w:sz w:val="20"/>
                <w:szCs w:val="20"/>
              </w:rPr>
              <w:t>СН-2</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5123D7" w:rsidRPr="004761E0" w:rsidRDefault="005123D7" w:rsidP="005123D7">
            <w:pPr>
              <w:ind w:firstLine="0"/>
              <w:jc w:val="center"/>
              <w:rPr>
                <w:b/>
                <w:sz w:val="20"/>
                <w:szCs w:val="20"/>
              </w:rPr>
            </w:pPr>
            <w:r w:rsidRPr="004761E0">
              <w:rPr>
                <w:b/>
                <w:sz w:val="20"/>
                <w:szCs w:val="20"/>
              </w:rPr>
              <w:t>НН</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5123D7" w:rsidRPr="004761E0" w:rsidRDefault="005123D7" w:rsidP="005123D7">
            <w:pPr>
              <w:ind w:firstLine="0"/>
              <w:jc w:val="center"/>
              <w:rPr>
                <w:b/>
                <w:sz w:val="20"/>
                <w:szCs w:val="20"/>
              </w:rPr>
            </w:pPr>
            <w:r w:rsidRPr="004761E0">
              <w:rPr>
                <w:b/>
                <w:sz w:val="20"/>
                <w:szCs w:val="20"/>
              </w:rPr>
              <w:t>ВН</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5123D7" w:rsidRPr="004761E0" w:rsidRDefault="005123D7" w:rsidP="005123D7">
            <w:pPr>
              <w:ind w:firstLine="0"/>
              <w:jc w:val="center"/>
              <w:rPr>
                <w:b/>
                <w:sz w:val="20"/>
                <w:szCs w:val="20"/>
              </w:rPr>
            </w:pPr>
            <w:r w:rsidRPr="004761E0">
              <w:rPr>
                <w:b/>
                <w:sz w:val="20"/>
                <w:szCs w:val="20"/>
              </w:rPr>
              <w:t>СН-1</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5123D7" w:rsidRPr="004761E0" w:rsidRDefault="005123D7" w:rsidP="005123D7">
            <w:pPr>
              <w:ind w:firstLine="0"/>
              <w:jc w:val="center"/>
              <w:rPr>
                <w:b/>
                <w:sz w:val="20"/>
                <w:szCs w:val="20"/>
              </w:rPr>
            </w:pPr>
            <w:r w:rsidRPr="004761E0">
              <w:rPr>
                <w:b/>
                <w:sz w:val="20"/>
                <w:szCs w:val="20"/>
              </w:rPr>
              <w:t>СН-2</w:t>
            </w:r>
          </w:p>
        </w:tc>
        <w:tc>
          <w:tcPr>
            <w:tcW w:w="1134"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F243E" w:themeFill="text2" w:themeFillShade="80"/>
            <w:vAlign w:val="center"/>
          </w:tcPr>
          <w:p w:rsidR="005123D7" w:rsidRPr="004761E0" w:rsidRDefault="005123D7" w:rsidP="005123D7">
            <w:pPr>
              <w:ind w:firstLine="0"/>
              <w:jc w:val="center"/>
              <w:rPr>
                <w:b/>
                <w:sz w:val="20"/>
                <w:szCs w:val="20"/>
              </w:rPr>
            </w:pPr>
            <w:r w:rsidRPr="004761E0">
              <w:rPr>
                <w:b/>
                <w:sz w:val="20"/>
                <w:szCs w:val="20"/>
              </w:rPr>
              <w:t>НН</w:t>
            </w:r>
          </w:p>
        </w:tc>
      </w:tr>
      <w:tr w:rsidR="005123D7" w:rsidRPr="004761E0" w:rsidTr="005123D7">
        <w:tc>
          <w:tcPr>
            <w:tcW w:w="567" w:type="dxa"/>
            <w:tcBorders>
              <w:top w:val="single" w:sz="4" w:space="0" w:color="auto"/>
            </w:tcBorders>
            <w:shd w:val="clear" w:color="auto" w:fill="auto"/>
            <w:vAlign w:val="center"/>
          </w:tcPr>
          <w:p w:rsidR="005123D7" w:rsidRPr="004761E0" w:rsidRDefault="005123D7" w:rsidP="005123D7">
            <w:pPr>
              <w:ind w:right="-399" w:firstLine="0"/>
              <w:jc w:val="left"/>
              <w:rPr>
                <w:b/>
                <w:sz w:val="20"/>
                <w:szCs w:val="20"/>
              </w:rPr>
            </w:pPr>
            <w:r w:rsidRPr="004761E0">
              <w:rPr>
                <w:b/>
                <w:sz w:val="20"/>
                <w:szCs w:val="20"/>
                <w:lang w:val="en-US"/>
              </w:rPr>
              <w:t>I</w:t>
            </w:r>
          </w:p>
        </w:tc>
        <w:tc>
          <w:tcPr>
            <w:tcW w:w="14034" w:type="dxa"/>
            <w:gridSpan w:val="10"/>
            <w:tcBorders>
              <w:top w:val="single" w:sz="4" w:space="0" w:color="auto"/>
            </w:tcBorders>
            <w:shd w:val="clear" w:color="auto" w:fill="auto"/>
          </w:tcPr>
          <w:p w:rsidR="005123D7" w:rsidRPr="004761E0" w:rsidRDefault="005123D7" w:rsidP="005123D7">
            <w:pPr>
              <w:ind w:firstLine="0"/>
              <w:rPr>
                <w:b/>
                <w:sz w:val="20"/>
                <w:szCs w:val="20"/>
              </w:rPr>
            </w:pPr>
            <w:r w:rsidRPr="004761E0">
              <w:rPr>
                <w:b/>
                <w:sz w:val="20"/>
                <w:szCs w:val="20"/>
              </w:rPr>
              <w:t>Население</w:t>
            </w:r>
          </w:p>
        </w:tc>
      </w:tr>
      <w:tr w:rsidR="005123D7" w:rsidRPr="004761E0" w:rsidTr="005123D7">
        <w:tc>
          <w:tcPr>
            <w:tcW w:w="567" w:type="dxa"/>
            <w:tcBorders>
              <w:top w:val="single" w:sz="4" w:space="0" w:color="auto"/>
              <w:bottom w:val="single" w:sz="4" w:space="0" w:color="auto"/>
              <w:right w:val="single" w:sz="4" w:space="0" w:color="auto"/>
            </w:tcBorders>
            <w:shd w:val="clear" w:color="auto" w:fill="auto"/>
            <w:vAlign w:val="center"/>
          </w:tcPr>
          <w:p w:rsidR="005123D7" w:rsidRPr="004761E0" w:rsidRDefault="005123D7" w:rsidP="007076A7">
            <w:pPr>
              <w:pStyle w:val="a5"/>
              <w:numPr>
                <w:ilvl w:val="0"/>
                <w:numId w:val="138"/>
              </w:numPr>
              <w:ind w:right="-399"/>
              <w:jc w:val="left"/>
              <w:rPr>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rPr>
                <w:rFonts w:eastAsia="Times New Roman"/>
                <w:color w:val="000000"/>
                <w:sz w:val="20"/>
                <w:szCs w:val="20"/>
                <w:lang w:eastAsia="ru-RU"/>
              </w:rPr>
            </w:pPr>
            <w:r w:rsidRPr="004761E0">
              <w:rPr>
                <w:rFonts w:eastAsia="Times New Roman"/>
                <w:color w:val="000000"/>
                <w:sz w:val="20"/>
                <w:szCs w:val="20"/>
                <w:lang w:eastAsia="ru-RU"/>
              </w:rPr>
              <w:t>Одноставочный тариф</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center"/>
              <w:rPr>
                <w:rFonts w:eastAsia="Times New Roman"/>
                <w:color w:val="000000"/>
                <w:sz w:val="20"/>
                <w:szCs w:val="20"/>
                <w:lang w:eastAsia="ru-RU"/>
              </w:rPr>
            </w:pPr>
            <w:r w:rsidRPr="004761E0">
              <w:rPr>
                <w:rFonts w:eastAsia="Times New Roman"/>
                <w:color w:val="000000"/>
                <w:sz w:val="20"/>
                <w:szCs w:val="20"/>
                <w:lang w:eastAsia="ru-RU"/>
              </w:rPr>
              <w:t>руб./МВтч</w:t>
            </w:r>
          </w:p>
        </w:tc>
        <w:tc>
          <w:tcPr>
            <w:tcW w:w="45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sz w:val="20"/>
                <w:szCs w:val="20"/>
              </w:rPr>
            </w:pPr>
            <w:r w:rsidRPr="004761E0">
              <w:rPr>
                <w:rFonts w:eastAsia="Times New Roman"/>
                <w:color w:val="000000"/>
                <w:sz w:val="20"/>
                <w:szCs w:val="20"/>
                <w:lang w:eastAsia="ru-RU"/>
              </w:rPr>
              <w:t>1 479,16</w:t>
            </w:r>
          </w:p>
        </w:tc>
        <w:tc>
          <w:tcPr>
            <w:tcW w:w="4536" w:type="dxa"/>
            <w:gridSpan w:val="4"/>
            <w:tcBorders>
              <w:top w:val="single" w:sz="4" w:space="0" w:color="auto"/>
              <w:left w:val="single" w:sz="4" w:space="0" w:color="auto"/>
              <w:bottom w:val="single" w:sz="4" w:space="0" w:color="auto"/>
            </w:tcBorders>
            <w:shd w:val="clear" w:color="auto" w:fill="auto"/>
            <w:vAlign w:val="center"/>
          </w:tcPr>
          <w:p w:rsidR="005123D7" w:rsidRPr="004761E0" w:rsidRDefault="005123D7" w:rsidP="005123D7">
            <w:pPr>
              <w:ind w:firstLine="0"/>
              <w:jc w:val="right"/>
              <w:rPr>
                <w:sz w:val="20"/>
                <w:szCs w:val="20"/>
              </w:rPr>
            </w:pPr>
            <w:r w:rsidRPr="004761E0">
              <w:rPr>
                <w:rFonts w:eastAsia="Times New Roman"/>
                <w:color w:val="000000"/>
                <w:sz w:val="20"/>
                <w:szCs w:val="20"/>
                <w:lang w:eastAsia="ru-RU"/>
              </w:rPr>
              <w:t>1 295,86</w:t>
            </w:r>
          </w:p>
        </w:tc>
      </w:tr>
      <w:tr w:rsidR="005123D7" w:rsidRPr="004761E0" w:rsidTr="005123D7">
        <w:tc>
          <w:tcPr>
            <w:tcW w:w="567" w:type="dxa"/>
            <w:shd w:val="clear" w:color="auto" w:fill="auto"/>
            <w:vAlign w:val="center"/>
          </w:tcPr>
          <w:p w:rsidR="005123D7" w:rsidRPr="004761E0" w:rsidRDefault="005123D7" w:rsidP="005123D7">
            <w:pPr>
              <w:ind w:right="-399" w:firstLine="0"/>
              <w:jc w:val="left"/>
              <w:rPr>
                <w:b/>
                <w:sz w:val="20"/>
                <w:szCs w:val="20"/>
                <w:lang w:val="en-US"/>
              </w:rPr>
            </w:pPr>
            <w:r w:rsidRPr="004761E0">
              <w:rPr>
                <w:b/>
                <w:sz w:val="20"/>
                <w:szCs w:val="20"/>
                <w:lang w:val="en-US"/>
              </w:rPr>
              <w:lastRenderedPageBreak/>
              <w:t>II</w:t>
            </w:r>
          </w:p>
        </w:tc>
        <w:tc>
          <w:tcPr>
            <w:tcW w:w="14034" w:type="dxa"/>
            <w:gridSpan w:val="10"/>
            <w:shd w:val="clear" w:color="auto" w:fill="auto"/>
            <w:vAlign w:val="center"/>
          </w:tcPr>
          <w:p w:rsidR="005123D7" w:rsidRPr="004761E0" w:rsidRDefault="005123D7" w:rsidP="005123D7">
            <w:pPr>
              <w:ind w:firstLine="0"/>
              <w:jc w:val="left"/>
              <w:rPr>
                <w:b/>
                <w:sz w:val="20"/>
                <w:szCs w:val="20"/>
              </w:rPr>
            </w:pPr>
            <w:r w:rsidRPr="004761E0">
              <w:rPr>
                <w:rFonts w:eastAsia="Times New Roman"/>
                <w:b/>
                <w:bCs/>
                <w:iCs/>
                <w:color w:val="000000"/>
                <w:sz w:val="20"/>
                <w:szCs w:val="20"/>
                <w:lang w:eastAsia="ru-RU"/>
              </w:rPr>
              <w:t>Прочие потребители</w:t>
            </w:r>
          </w:p>
        </w:tc>
      </w:tr>
      <w:tr w:rsidR="005123D7" w:rsidRPr="004761E0" w:rsidTr="005123D7">
        <w:tc>
          <w:tcPr>
            <w:tcW w:w="567" w:type="dxa"/>
            <w:shd w:val="clear" w:color="auto" w:fill="auto"/>
            <w:vAlign w:val="center"/>
          </w:tcPr>
          <w:p w:rsidR="005123D7" w:rsidRPr="004761E0" w:rsidRDefault="005123D7" w:rsidP="007076A7">
            <w:pPr>
              <w:pStyle w:val="a5"/>
              <w:numPr>
                <w:ilvl w:val="0"/>
                <w:numId w:val="139"/>
              </w:numPr>
              <w:ind w:right="-399"/>
              <w:jc w:val="left"/>
              <w:rPr>
                <w:sz w:val="20"/>
                <w:szCs w:val="20"/>
              </w:rPr>
            </w:pPr>
          </w:p>
        </w:tc>
        <w:tc>
          <w:tcPr>
            <w:tcW w:w="3402" w:type="dxa"/>
            <w:shd w:val="clear" w:color="auto" w:fill="auto"/>
            <w:vAlign w:val="center"/>
          </w:tcPr>
          <w:p w:rsidR="005123D7" w:rsidRPr="004761E0" w:rsidRDefault="005123D7" w:rsidP="005123D7">
            <w:pPr>
              <w:ind w:firstLine="0"/>
              <w:rPr>
                <w:rFonts w:eastAsia="Times New Roman"/>
                <w:color w:val="000000"/>
                <w:sz w:val="20"/>
                <w:szCs w:val="20"/>
                <w:lang w:eastAsia="ru-RU"/>
              </w:rPr>
            </w:pPr>
            <w:r w:rsidRPr="004761E0">
              <w:rPr>
                <w:rFonts w:eastAsia="Times New Roman"/>
                <w:color w:val="000000"/>
                <w:sz w:val="20"/>
                <w:szCs w:val="20"/>
                <w:lang w:eastAsia="ru-RU"/>
              </w:rPr>
              <w:t>Одноставочный тариф</w:t>
            </w:r>
          </w:p>
        </w:tc>
        <w:tc>
          <w:tcPr>
            <w:tcW w:w="1560" w:type="dxa"/>
            <w:shd w:val="clear" w:color="auto" w:fill="auto"/>
            <w:vAlign w:val="center"/>
          </w:tcPr>
          <w:p w:rsidR="005123D7" w:rsidRPr="004761E0" w:rsidRDefault="005123D7" w:rsidP="005123D7">
            <w:pPr>
              <w:ind w:firstLine="0"/>
              <w:jc w:val="center"/>
              <w:rPr>
                <w:rFonts w:eastAsia="Times New Roman"/>
                <w:color w:val="000000"/>
                <w:sz w:val="20"/>
                <w:szCs w:val="20"/>
                <w:lang w:eastAsia="ru-RU"/>
              </w:rPr>
            </w:pPr>
            <w:r w:rsidRPr="004761E0">
              <w:rPr>
                <w:rFonts w:eastAsia="Times New Roman"/>
                <w:color w:val="000000"/>
                <w:sz w:val="20"/>
                <w:szCs w:val="20"/>
                <w:lang w:eastAsia="ru-RU"/>
              </w:rPr>
              <w:t>руб./МВт.ч.</w:t>
            </w:r>
          </w:p>
        </w:tc>
        <w:tc>
          <w:tcPr>
            <w:tcW w:w="1134" w:type="dxa"/>
            <w:shd w:val="clear" w:color="auto" w:fill="auto"/>
            <w:vAlign w:val="center"/>
          </w:tcPr>
          <w:p w:rsidR="005123D7" w:rsidRPr="004761E0" w:rsidRDefault="005123D7"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1 074,66</w:t>
            </w:r>
          </w:p>
        </w:tc>
        <w:tc>
          <w:tcPr>
            <w:tcW w:w="1134" w:type="dxa"/>
            <w:shd w:val="clear" w:color="auto" w:fill="auto"/>
            <w:vAlign w:val="center"/>
          </w:tcPr>
          <w:p w:rsidR="005123D7" w:rsidRPr="004761E0" w:rsidRDefault="005123D7"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1 603,34</w:t>
            </w:r>
          </w:p>
        </w:tc>
        <w:tc>
          <w:tcPr>
            <w:tcW w:w="1134" w:type="dxa"/>
            <w:shd w:val="clear" w:color="auto" w:fill="auto"/>
            <w:vAlign w:val="center"/>
          </w:tcPr>
          <w:p w:rsidR="005123D7" w:rsidRPr="004761E0" w:rsidRDefault="005123D7"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1 907,19</w:t>
            </w:r>
          </w:p>
        </w:tc>
        <w:tc>
          <w:tcPr>
            <w:tcW w:w="1134" w:type="dxa"/>
            <w:shd w:val="clear" w:color="auto" w:fill="auto"/>
            <w:vAlign w:val="center"/>
          </w:tcPr>
          <w:p w:rsidR="005123D7" w:rsidRPr="004761E0" w:rsidRDefault="005123D7"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2 067,96</w:t>
            </w:r>
          </w:p>
        </w:tc>
        <w:tc>
          <w:tcPr>
            <w:tcW w:w="1134" w:type="dxa"/>
            <w:shd w:val="clear" w:color="auto" w:fill="auto"/>
            <w:vAlign w:val="center"/>
          </w:tcPr>
          <w:p w:rsidR="005123D7" w:rsidRPr="004761E0" w:rsidRDefault="005123D7"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1 234,54</w:t>
            </w:r>
          </w:p>
        </w:tc>
        <w:tc>
          <w:tcPr>
            <w:tcW w:w="1134" w:type="dxa"/>
            <w:shd w:val="clear" w:color="auto" w:fill="auto"/>
            <w:vAlign w:val="center"/>
          </w:tcPr>
          <w:p w:rsidR="005123D7" w:rsidRPr="004761E0" w:rsidRDefault="005123D7"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1 839,56</w:t>
            </w:r>
          </w:p>
        </w:tc>
        <w:tc>
          <w:tcPr>
            <w:tcW w:w="1134" w:type="dxa"/>
            <w:shd w:val="clear" w:color="auto" w:fill="auto"/>
            <w:vAlign w:val="center"/>
          </w:tcPr>
          <w:p w:rsidR="005123D7" w:rsidRPr="004761E0" w:rsidRDefault="005123D7"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2 180,49</w:t>
            </w:r>
          </w:p>
        </w:tc>
        <w:tc>
          <w:tcPr>
            <w:tcW w:w="1134" w:type="dxa"/>
            <w:shd w:val="clear" w:color="auto" w:fill="auto"/>
            <w:vAlign w:val="center"/>
          </w:tcPr>
          <w:p w:rsidR="005123D7" w:rsidRPr="004761E0" w:rsidRDefault="005123D7"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2 350,70</w:t>
            </w:r>
          </w:p>
        </w:tc>
      </w:tr>
      <w:tr w:rsidR="005123D7" w:rsidRPr="004761E0" w:rsidTr="005123D7">
        <w:tc>
          <w:tcPr>
            <w:tcW w:w="567" w:type="dxa"/>
            <w:shd w:val="clear" w:color="auto" w:fill="auto"/>
            <w:vAlign w:val="center"/>
          </w:tcPr>
          <w:p w:rsidR="005123D7" w:rsidRPr="004761E0" w:rsidRDefault="005123D7" w:rsidP="007076A7">
            <w:pPr>
              <w:pStyle w:val="a5"/>
              <w:numPr>
                <w:ilvl w:val="0"/>
                <w:numId w:val="139"/>
              </w:numPr>
              <w:ind w:right="-399"/>
              <w:jc w:val="left"/>
              <w:rPr>
                <w:sz w:val="20"/>
                <w:szCs w:val="20"/>
              </w:rPr>
            </w:pPr>
          </w:p>
        </w:tc>
        <w:tc>
          <w:tcPr>
            <w:tcW w:w="14034" w:type="dxa"/>
            <w:gridSpan w:val="10"/>
            <w:shd w:val="clear" w:color="auto" w:fill="auto"/>
            <w:vAlign w:val="center"/>
          </w:tcPr>
          <w:p w:rsidR="005123D7" w:rsidRPr="004761E0" w:rsidRDefault="005123D7" w:rsidP="005123D7">
            <w:pPr>
              <w:ind w:firstLine="0"/>
              <w:jc w:val="left"/>
              <w:rPr>
                <w:sz w:val="20"/>
                <w:szCs w:val="20"/>
              </w:rPr>
            </w:pPr>
            <w:r w:rsidRPr="004761E0">
              <w:rPr>
                <w:sz w:val="20"/>
                <w:szCs w:val="20"/>
              </w:rPr>
              <w:t>Двухставочный тариф</w:t>
            </w:r>
          </w:p>
        </w:tc>
      </w:tr>
      <w:tr w:rsidR="005123D7" w:rsidRPr="004761E0" w:rsidTr="005123D7">
        <w:tc>
          <w:tcPr>
            <w:tcW w:w="567" w:type="dxa"/>
            <w:tcBorders>
              <w:top w:val="single" w:sz="4" w:space="0" w:color="auto"/>
              <w:bottom w:val="single" w:sz="4" w:space="0" w:color="auto"/>
              <w:right w:val="single" w:sz="4" w:space="0" w:color="auto"/>
            </w:tcBorders>
            <w:shd w:val="clear" w:color="auto" w:fill="auto"/>
            <w:vAlign w:val="center"/>
          </w:tcPr>
          <w:p w:rsidR="005123D7" w:rsidRPr="004761E0" w:rsidRDefault="005123D7" w:rsidP="007076A7">
            <w:pPr>
              <w:pStyle w:val="a5"/>
              <w:numPr>
                <w:ilvl w:val="1"/>
                <w:numId w:val="139"/>
              </w:numPr>
              <w:ind w:right="-399"/>
              <w:jc w:val="left"/>
              <w:rPr>
                <w:rFonts w:eastAsia="Times New Roman"/>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left="175" w:firstLine="0"/>
              <w:jc w:val="left"/>
              <w:rPr>
                <w:rFonts w:eastAsia="Times New Roman"/>
                <w:sz w:val="20"/>
                <w:szCs w:val="20"/>
                <w:lang w:eastAsia="ru-RU"/>
              </w:rPr>
            </w:pPr>
            <w:r w:rsidRPr="004761E0">
              <w:rPr>
                <w:rFonts w:eastAsia="Times New Roman"/>
                <w:sz w:val="20"/>
                <w:szCs w:val="20"/>
                <w:lang w:eastAsia="ru-RU"/>
              </w:rPr>
              <w:t>ставка на содержание электрических сетей</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center"/>
              <w:rPr>
                <w:rFonts w:eastAsia="Times New Roman"/>
                <w:color w:val="000000"/>
                <w:sz w:val="20"/>
                <w:szCs w:val="20"/>
                <w:lang w:eastAsia="ru-RU"/>
              </w:rPr>
            </w:pPr>
            <w:r w:rsidRPr="004761E0">
              <w:rPr>
                <w:rFonts w:eastAsia="Times New Roman"/>
                <w:color w:val="000000"/>
                <w:sz w:val="20"/>
                <w:szCs w:val="20"/>
                <w:lang w:eastAsia="ru-RU"/>
              </w:rPr>
              <w:t>руб./МВт.мес.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551 811,05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823 605,60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846 569,21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778 056,86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635 350,06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948 291,76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974 731,84</w:t>
            </w:r>
          </w:p>
        </w:tc>
        <w:tc>
          <w:tcPr>
            <w:tcW w:w="1134" w:type="dxa"/>
            <w:tcBorders>
              <w:top w:val="single" w:sz="4" w:space="0" w:color="auto"/>
              <w:left w:val="single" w:sz="4" w:space="0" w:color="auto"/>
              <w:bottom w:val="single" w:sz="4" w:space="0" w:color="auto"/>
            </w:tcBorders>
            <w:shd w:val="clear" w:color="auto" w:fill="auto"/>
            <w:vAlign w:val="center"/>
          </w:tcPr>
          <w:p w:rsidR="005123D7" w:rsidRPr="004761E0" w:rsidRDefault="005123D7"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895 847,36</w:t>
            </w:r>
          </w:p>
        </w:tc>
      </w:tr>
      <w:tr w:rsidR="005123D7" w:rsidRPr="004761E0" w:rsidTr="005123D7">
        <w:tc>
          <w:tcPr>
            <w:tcW w:w="567" w:type="dxa"/>
            <w:tcBorders>
              <w:top w:val="single" w:sz="4" w:space="0" w:color="auto"/>
              <w:bottom w:val="single" w:sz="4" w:space="0" w:color="auto"/>
              <w:right w:val="single" w:sz="4" w:space="0" w:color="auto"/>
            </w:tcBorders>
            <w:shd w:val="clear" w:color="auto" w:fill="auto"/>
            <w:vAlign w:val="center"/>
          </w:tcPr>
          <w:p w:rsidR="005123D7" w:rsidRPr="004761E0" w:rsidRDefault="005123D7" w:rsidP="007076A7">
            <w:pPr>
              <w:pStyle w:val="a5"/>
              <w:numPr>
                <w:ilvl w:val="1"/>
                <w:numId w:val="139"/>
              </w:numPr>
              <w:ind w:right="-399"/>
              <w:jc w:val="left"/>
              <w:rPr>
                <w:rFonts w:eastAsia="Times New Roman"/>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left="175" w:firstLine="0"/>
              <w:jc w:val="left"/>
              <w:rPr>
                <w:rFonts w:eastAsia="Times New Roman"/>
                <w:sz w:val="20"/>
                <w:szCs w:val="20"/>
                <w:lang w:eastAsia="ru-RU"/>
              </w:rPr>
            </w:pPr>
            <w:r w:rsidRPr="004761E0">
              <w:rPr>
                <w:rFonts w:eastAsia="Times New Roman"/>
                <w:sz w:val="20"/>
                <w:szCs w:val="20"/>
                <w:lang w:eastAsia="ru-RU"/>
              </w:rPr>
              <w:t>ставка на оплату технологического расхода (потерь) в  электрических сетях</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center"/>
              <w:rPr>
                <w:rFonts w:eastAsia="Times New Roman"/>
                <w:color w:val="000000"/>
                <w:sz w:val="20"/>
                <w:szCs w:val="20"/>
                <w:lang w:eastAsia="ru-RU"/>
              </w:rPr>
            </w:pPr>
            <w:r w:rsidRPr="004761E0">
              <w:rPr>
                <w:rFonts w:eastAsia="Times New Roman"/>
                <w:color w:val="000000"/>
                <w:sz w:val="20"/>
                <w:szCs w:val="20"/>
                <w:lang w:eastAsia="ru-RU"/>
              </w:rPr>
              <w:t>руб./МВтч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54,95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126,73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300,29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590,45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60,44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139,41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23D7" w:rsidRPr="004761E0" w:rsidRDefault="005123D7"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330,32</w:t>
            </w:r>
          </w:p>
        </w:tc>
        <w:tc>
          <w:tcPr>
            <w:tcW w:w="1134" w:type="dxa"/>
            <w:tcBorders>
              <w:top w:val="single" w:sz="4" w:space="0" w:color="auto"/>
              <w:left w:val="single" w:sz="4" w:space="0" w:color="auto"/>
              <w:bottom w:val="single" w:sz="4" w:space="0" w:color="auto"/>
            </w:tcBorders>
            <w:shd w:val="clear" w:color="auto" w:fill="auto"/>
            <w:vAlign w:val="center"/>
          </w:tcPr>
          <w:p w:rsidR="005123D7" w:rsidRPr="004761E0" w:rsidRDefault="005123D7" w:rsidP="005123D7">
            <w:pPr>
              <w:ind w:firstLine="0"/>
              <w:jc w:val="right"/>
              <w:rPr>
                <w:rFonts w:eastAsia="Times New Roman"/>
                <w:color w:val="000000"/>
                <w:sz w:val="20"/>
                <w:szCs w:val="20"/>
                <w:lang w:eastAsia="ru-RU"/>
              </w:rPr>
            </w:pPr>
            <w:r w:rsidRPr="004761E0">
              <w:rPr>
                <w:rFonts w:eastAsia="Times New Roman"/>
                <w:color w:val="000000"/>
                <w:sz w:val="20"/>
                <w:szCs w:val="20"/>
                <w:lang w:eastAsia="ru-RU"/>
              </w:rPr>
              <w:t>649,50</w:t>
            </w:r>
          </w:p>
        </w:tc>
      </w:tr>
    </w:tbl>
    <w:p w:rsidR="005123D7" w:rsidRPr="004761E0" w:rsidRDefault="005123D7" w:rsidP="005123D7">
      <w:pPr>
        <w:ind w:firstLine="567"/>
        <w:rPr>
          <w:sz w:val="26"/>
          <w:szCs w:val="26"/>
        </w:rPr>
      </w:pPr>
      <w:r w:rsidRPr="004761E0">
        <w:rPr>
          <w:sz w:val="26"/>
          <w:szCs w:val="26"/>
        </w:rPr>
        <w:t>Индивидуальные тарифы на услуги по передаче электроэнергии для взаиморасчетов между сетевыми организациями на территории Московской области на 2013-2014 гг., долгосрочные параметры регулирования, НВВ для ТСО Московской области на 2013-2014 гг., в отношении которых тарифы на услуги по передаче электроэнергии устанавливаются на основе долгосрочных параметров регулирования, утверждены распоряжением Мособлкомцен от 25.12.2012 № 164-Р</w:t>
      </w:r>
      <w:r w:rsidRPr="006F4AB8">
        <w:rPr>
          <w:rStyle w:val="af1"/>
        </w:rPr>
        <w:footnoteReference w:id="160"/>
      </w:r>
      <w:r w:rsidRPr="004761E0">
        <w:rPr>
          <w:sz w:val="26"/>
          <w:szCs w:val="26"/>
        </w:rPr>
        <w:t>.</w:t>
      </w:r>
    </w:p>
    <w:p w:rsidR="005123D7" w:rsidRPr="004761E0" w:rsidRDefault="005123D7" w:rsidP="005123D7">
      <w:pPr>
        <w:ind w:firstLine="567"/>
        <w:rPr>
          <w:sz w:val="26"/>
          <w:szCs w:val="26"/>
        </w:rPr>
      </w:pPr>
      <w:r w:rsidRPr="004761E0">
        <w:rPr>
          <w:sz w:val="26"/>
          <w:szCs w:val="26"/>
        </w:rPr>
        <w:t>Выпадающие доходы от осуществления технологического присоединения энергопринимающих устройств заявителей с максимальной мощностью, не превышающей 15 кВт включительно (с учетом ранее присоединенной в данной точке присоединения мощности) на территории Московской области, для включения в тариф на оказание услуги по передаче электрической энергии утверждены распоряжением Мособлкомцен от 25.12.2012 № 158-Р</w:t>
      </w:r>
      <w:r w:rsidRPr="006F4AB8">
        <w:rPr>
          <w:rStyle w:val="af1"/>
        </w:rPr>
        <w:footnoteReference w:id="161"/>
      </w:r>
      <w:r w:rsidRPr="004761E0">
        <w:rPr>
          <w:sz w:val="26"/>
          <w:szCs w:val="26"/>
        </w:rPr>
        <w:t>.</w:t>
      </w:r>
    </w:p>
    <w:p w:rsidR="005123D7" w:rsidRPr="004761E0" w:rsidRDefault="005123D7" w:rsidP="005123D7">
      <w:pPr>
        <w:ind w:firstLine="567"/>
        <w:rPr>
          <w:b/>
          <w:sz w:val="26"/>
          <w:szCs w:val="26"/>
          <w:lang w:eastAsia="ru-RU"/>
        </w:rPr>
      </w:pPr>
      <w:r w:rsidRPr="004761E0">
        <w:rPr>
          <w:sz w:val="26"/>
          <w:szCs w:val="26"/>
        </w:rPr>
        <w:t>Индивидуальные тарифы на услуги по передаче электроэнергии для взаиморасчетов между сетевыми организациями на территории Московской области на 2013 год установлены также распоряжениями Мособлкомцен от 16.08.2013 № 88-Р</w:t>
      </w:r>
      <w:r w:rsidRPr="006F4AB8">
        <w:rPr>
          <w:rStyle w:val="af1"/>
        </w:rPr>
        <w:footnoteReference w:id="162"/>
      </w:r>
      <w:r w:rsidRPr="004761E0">
        <w:rPr>
          <w:sz w:val="26"/>
          <w:szCs w:val="26"/>
        </w:rPr>
        <w:t>, от 04.09.2013 № 95-Р</w:t>
      </w:r>
      <w:r w:rsidRPr="006F4AB8">
        <w:rPr>
          <w:rStyle w:val="af1"/>
        </w:rPr>
        <w:footnoteReference w:id="163"/>
      </w:r>
      <w:r w:rsidRPr="004761E0">
        <w:t>,</w:t>
      </w:r>
      <w:r w:rsidRPr="004761E0">
        <w:rPr>
          <w:vertAlign w:val="superscript"/>
        </w:rPr>
        <w:t xml:space="preserve"> </w:t>
      </w:r>
      <w:r w:rsidRPr="004761E0">
        <w:rPr>
          <w:sz w:val="26"/>
          <w:szCs w:val="26"/>
        </w:rPr>
        <w:t>от 24.09.2013 № 106-Р</w:t>
      </w:r>
      <w:r w:rsidRPr="006F4AB8">
        <w:rPr>
          <w:rStyle w:val="af1"/>
        </w:rPr>
        <w:footnoteReference w:id="164"/>
      </w:r>
      <w:r w:rsidRPr="004761E0">
        <w:rPr>
          <w:sz w:val="26"/>
          <w:szCs w:val="26"/>
        </w:rPr>
        <w:t>, от 24.09.2013 № 107-Р</w:t>
      </w:r>
      <w:r w:rsidRPr="006F4AB8">
        <w:rPr>
          <w:rStyle w:val="af1"/>
        </w:rPr>
        <w:footnoteReference w:id="165"/>
      </w:r>
      <w:r w:rsidRPr="004761E0">
        <w:rPr>
          <w:sz w:val="26"/>
          <w:szCs w:val="26"/>
        </w:rPr>
        <w:t>, от 24.09.2013 № 108-Р</w:t>
      </w:r>
      <w:r w:rsidRPr="006F4AB8">
        <w:rPr>
          <w:rStyle w:val="af1"/>
        </w:rPr>
        <w:footnoteReference w:id="166"/>
      </w:r>
      <w:r w:rsidRPr="004761E0">
        <w:rPr>
          <w:sz w:val="26"/>
          <w:szCs w:val="26"/>
        </w:rPr>
        <w:t>, от 11.10.2013 № 118-Р</w:t>
      </w:r>
      <w:r w:rsidRPr="006F4AB8">
        <w:rPr>
          <w:rStyle w:val="af1"/>
        </w:rPr>
        <w:footnoteReference w:id="167"/>
      </w:r>
      <w:r w:rsidRPr="004761E0">
        <w:rPr>
          <w:sz w:val="26"/>
          <w:szCs w:val="26"/>
        </w:rPr>
        <w:t>, от 29.10.2013 № 127-Р</w:t>
      </w:r>
      <w:r w:rsidRPr="006F4AB8">
        <w:rPr>
          <w:rStyle w:val="af1"/>
        </w:rPr>
        <w:footnoteReference w:id="168"/>
      </w:r>
      <w:r w:rsidRPr="004761E0">
        <w:rPr>
          <w:sz w:val="26"/>
          <w:szCs w:val="26"/>
        </w:rPr>
        <w:t>.</w:t>
      </w:r>
    </w:p>
    <w:p w:rsidR="005123D7" w:rsidRPr="00CA38EF" w:rsidRDefault="005123D7" w:rsidP="00CA38EF">
      <w:pPr>
        <w:pStyle w:val="a8"/>
        <w:numPr>
          <w:ilvl w:val="1"/>
          <w:numId w:val="2"/>
        </w:numPr>
        <w:tabs>
          <w:tab w:val="left" w:pos="1134"/>
        </w:tabs>
        <w:ind w:hanging="578"/>
        <w:jc w:val="both"/>
        <w:rPr>
          <w:rFonts w:ascii="Times New Roman" w:hAnsi="Times New Roman"/>
          <w:b/>
          <w:sz w:val="26"/>
          <w:szCs w:val="26"/>
          <w:lang w:eastAsia="ru-RU"/>
        </w:rPr>
      </w:pPr>
      <w:bookmarkStart w:id="169" w:name="_Toc385339875"/>
      <w:r w:rsidRPr="004761E0">
        <w:rPr>
          <w:rFonts w:ascii="Times New Roman" w:hAnsi="Times New Roman"/>
          <w:b/>
          <w:sz w:val="26"/>
          <w:szCs w:val="26"/>
          <w:lang w:eastAsia="ru-RU"/>
        </w:rPr>
        <w:lastRenderedPageBreak/>
        <w:t>У</w:t>
      </w:r>
      <w:r w:rsidR="004344DD">
        <w:rPr>
          <w:rFonts w:ascii="Times New Roman" w:hAnsi="Times New Roman"/>
          <w:b/>
          <w:sz w:val="26"/>
          <w:szCs w:val="26"/>
          <w:lang w:eastAsia="ru-RU"/>
        </w:rPr>
        <w:t>становленные</w:t>
      </w:r>
      <w:r w:rsidRPr="004761E0">
        <w:rPr>
          <w:rFonts w:ascii="Times New Roman" w:hAnsi="Times New Roman"/>
          <w:b/>
          <w:sz w:val="26"/>
          <w:szCs w:val="26"/>
          <w:lang w:eastAsia="ru-RU"/>
        </w:rPr>
        <w:t xml:space="preserve"> ставки платы за технологическое присоединение</w:t>
      </w:r>
      <w:bookmarkEnd w:id="169"/>
    </w:p>
    <w:p w:rsidR="005123D7" w:rsidRPr="004761E0" w:rsidRDefault="005123D7" w:rsidP="005123D7">
      <w:pPr>
        <w:pStyle w:val="a5"/>
        <w:ind w:left="0" w:firstLine="567"/>
        <w:contextualSpacing w:val="0"/>
        <w:rPr>
          <w:sz w:val="26"/>
          <w:szCs w:val="26"/>
        </w:rPr>
      </w:pPr>
      <w:r w:rsidRPr="004761E0">
        <w:rPr>
          <w:sz w:val="26"/>
          <w:szCs w:val="26"/>
        </w:rPr>
        <w:t xml:space="preserve">Стандартизированные тарифные ставки и ставки за 1 кВт максимальной мощности на уровне напряжения ниже 35 кВ с присоединяемой мощностью менее 8 900 кВт для определения платы за технологическое присоединение к электрическим сетям </w:t>
      </w:r>
      <w:r w:rsidR="0008080E">
        <w:rPr>
          <w:sz w:val="26"/>
          <w:szCs w:val="26"/>
        </w:rPr>
        <w:t>ОАО </w:t>
      </w:r>
      <w:r w:rsidRPr="004761E0">
        <w:rPr>
          <w:sz w:val="26"/>
          <w:szCs w:val="26"/>
        </w:rPr>
        <w:t>«МОЭСК» на территории г. Москвы на 2013 год</w:t>
      </w:r>
      <w:r w:rsidRPr="006F4AB8">
        <w:rPr>
          <w:rStyle w:val="af1"/>
        </w:rPr>
        <w:footnoteReference w:id="169"/>
      </w:r>
    </w:p>
    <w:p w:rsidR="005123D7" w:rsidRPr="00CA38EF" w:rsidRDefault="005123D7" w:rsidP="00CA38EF">
      <w:pPr>
        <w:spacing w:before="120" w:after="120"/>
        <w:ind w:firstLine="567"/>
        <w:rPr>
          <w:b/>
          <w:sz w:val="26"/>
          <w:szCs w:val="26"/>
        </w:rPr>
      </w:pPr>
      <w:r w:rsidRPr="00CA38EF">
        <w:rPr>
          <w:b/>
          <w:sz w:val="26"/>
          <w:szCs w:val="26"/>
        </w:rPr>
        <w:t xml:space="preserve">Ставки за 1 кВт максимальной мощности </w:t>
      </w:r>
    </w:p>
    <w:tbl>
      <w:tblPr>
        <w:tblW w:w="14601" w:type="dxa"/>
        <w:tblInd w:w="108" w:type="dxa"/>
        <w:tblLayout w:type="fixed"/>
        <w:tblLook w:val="04A0"/>
      </w:tblPr>
      <w:tblGrid>
        <w:gridCol w:w="709"/>
        <w:gridCol w:w="12758"/>
        <w:gridCol w:w="1134"/>
      </w:tblGrid>
      <w:tr w:rsidR="005123D7" w:rsidRPr="004761E0" w:rsidTr="005123D7">
        <w:trPr>
          <w:cantSplit/>
          <w:trHeight w:val="270"/>
        </w:trPr>
        <w:tc>
          <w:tcPr>
            <w:tcW w:w="709" w:type="dxa"/>
            <w:vMerge w:val="restart"/>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noWrap/>
            <w:vAlign w:val="center"/>
          </w:tcPr>
          <w:p w:rsidR="005123D7" w:rsidRPr="004761E0" w:rsidRDefault="005123D7" w:rsidP="005123D7">
            <w:pPr>
              <w:ind w:firstLine="0"/>
              <w:jc w:val="left"/>
              <w:rPr>
                <w:b/>
                <w:color w:val="FFFFFF" w:themeColor="background1"/>
                <w:sz w:val="20"/>
                <w:szCs w:val="20"/>
              </w:rPr>
            </w:pPr>
            <w:r w:rsidRPr="004761E0">
              <w:rPr>
                <w:b/>
                <w:color w:val="FFFFFF" w:themeColor="background1"/>
                <w:sz w:val="20"/>
                <w:szCs w:val="20"/>
              </w:rPr>
              <w:t>№ п/п</w:t>
            </w:r>
          </w:p>
        </w:tc>
        <w:tc>
          <w:tcPr>
            <w:tcW w:w="12758" w:type="dxa"/>
            <w:vMerge w:val="restart"/>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noWrap/>
            <w:vAlign w:val="center"/>
          </w:tcPr>
          <w:p w:rsidR="005123D7" w:rsidRPr="004761E0" w:rsidRDefault="005123D7" w:rsidP="005123D7">
            <w:pPr>
              <w:ind w:firstLine="0"/>
              <w:jc w:val="left"/>
              <w:rPr>
                <w:b/>
                <w:color w:val="FFFFFF" w:themeColor="background1"/>
                <w:sz w:val="20"/>
                <w:szCs w:val="20"/>
              </w:rPr>
            </w:pPr>
            <w:r w:rsidRPr="004761E0">
              <w:rPr>
                <w:b/>
                <w:color w:val="FFFFFF" w:themeColor="background1"/>
                <w:sz w:val="20"/>
                <w:szCs w:val="20"/>
              </w:rPr>
              <w:t>Наименование мероприятий</w:t>
            </w:r>
          </w:p>
        </w:tc>
        <w:tc>
          <w:tcPr>
            <w:tcW w:w="1134" w:type="dxa"/>
            <w:vMerge w:val="restart"/>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tcPr>
          <w:p w:rsidR="005123D7" w:rsidRPr="004761E0" w:rsidRDefault="005123D7" w:rsidP="005123D7">
            <w:pPr>
              <w:ind w:firstLine="0"/>
              <w:jc w:val="center"/>
              <w:rPr>
                <w:b/>
                <w:color w:val="FFFFFF" w:themeColor="background1"/>
                <w:sz w:val="20"/>
                <w:szCs w:val="20"/>
              </w:rPr>
            </w:pPr>
            <w:r w:rsidRPr="004761E0">
              <w:rPr>
                <w:b/>
                <w:color w:val="FFFFFF" w:themeColor="background1"/>
                <w:sz w:val="20"/>
                <w:szCs w:val="20"/>
              </w:rPr>
              <w:t>руб./кВт без НДС</w:t>
            </w:r>
          </w:p>
        </w:tc>
      </w:tr>
      <w:tr w:rsidR="005123D7" w:rsidRPr="004761E0" w:rsidTr="005123D7">
        <w:trPr>
          <w:cantSplit/>
          <w:trHeight w:val="230"/>
        </w:trPr>
        <w:tc>
          <w:tcPr>
            <w:tcW w:w="709" w:type="dxa"/>
            <w:vMerge/>
            <w:tcBorders>
              <w:top w:val="single" w:sz="4" w:space="0" w:color="FFFFFF" w:themeColor="background1"/>
              <w:left w:val="single" w:sz="4" w:space="0" w:color="auto"/>
              <w:bottom w:val="single" w:sz="4" w:space="0" w:color="auto"/>
              <w:right w:val="single" w:sz="4" w:space="0" w:color="FFFFFF" w:themeColor="background1"/>
            </w:tcBorders>
            <w:shd w:val="clear" w:color="auto" w:fill="0F243E" w:themeFill="text2" w:themeFillShade="80"/>
            <w:noWrap/>
            <w:vAlign w:val="center"/>
          </w:tcPr>
          <w:p w:rsidR="005123D7" w:rsidRPr="004761E0" w:rsidRDefault="005123D7" w:rsidP="005123D7">
            <w:pPr>
              <w:ind w:firstLine="0"/>
              <w:jc w:val="center"/>
              <w:rPr>
                <w:b/>
                <w:color w:val="FFFFFF" w:themeColor="background1"/>
                <w:sz w:val="20"/>
                <w:szCs w:val="20"/>
              </w:rPr>
            </w:pPr>
          </w:p>
        </w:tc>
        <w:tc>
          <w:tcPr>
            <w:tcW w:w="12758"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noWrap/>
            <w:vAlign w:val="center"/>
          </w:tcPr>
          <w:p w:rsidR="005123D7" w:rsidRPr="004761E0" w:rsidRDefault="005123D7" w:rsidP="005123D7">
            <w:pPr>
              <w:ind w:firstLine="0"/>
              <w:jc w:val="left"/>
              <w:rPr>
                <w:b/>
                <w:color w:val="FFFFFF" w:themeColor="background1"/>
                <w:sz w:val="20"/>
                <w:szCs w:val="20"/>
              </w:rPr>
            </w:pPr>
          </w:p>
        </w:tc>
        <w:tc>
          <w:tcPr>
            <w:tcW w:w="1134" w:type="dxa"/>
            <w:vMerge/>
            <w:tcBorders>
              <w:top w:val="single" w:sz="4" w:space="0" w:color="FFFFFF" w:themeColor="background1"/>
              <w:left w:val="single" w:sz="4" w:space="0" w:color="FFFFFF" w:themeColor="background1"/>
              <w:bottom w:val="single" w:sz="4" w:space="0" w:color="auto"/>
              <w:right w:val="single" w:sz="4" w:space="0" w:color="auto"/>
            </w:tcBorders>
            <w:shd w:val="clear" w:color="auto" w:fill="0F243E" w:themeFill="text2" w:themeFillShade="80"/>
            <w:vAlign w:val="center"/>
          </w:tcPr>
          <w:p w:rsidR="005123D7" w:rsidRPr="004761E0" w:rsidRDefault="005123D7" w:rsidP="005123D7">
            <w:pPr>
              <w:jc w:val="center"/>
              <w:rPr>
                <w:b/>
                <w:color w:val="FFFFFF" w:themeColor="background1"/>
                <w:sz w:val="20"/>
                <w:szCs w:val="20"/>
              </w:rPr>
            </w:pPr>
          </w:p>
        </w:tc>
      </w:tr>
      <w:tr w:rsidR="005123D7" w:rsidRPr="004761E0" w:rsidTr="005123D7">
        <w:trPr>
          <w:cantSplit/>
        </w:trPr>
        <w:tc>
          <w:tcPr>
            <w:tcW w:w="709" w:type="dxa"/>
            <w:tcBorders>
              <w:top w:val="single" w:sz="4" w:space="0" w:color="auto"/>
              <w:left w:val="single" w:sz="4" w:space="0" w:color="auto"/>
              <w:bottom w:val="single" w:sz="4" w:space="0" w:color="auto"/>
              <w:right w:val="single" w:sz="4" w:space="0" w:color="auto"/>
            </w:tcBorders>
            <w:vAlign w:val="center"/>
          </w:tcPr>
          <w:p w:rsidR="005123D7" w:rsidRPr="004761E0" w:rsidRDefault="005123D7" w:rsidP="007076A7">
            <w:pPr>
              <w:pStyle w:val="a5"/>
              <w:numPr>
                <w:ilvl w:val="0"/>
                <w:numId w:val="264"/>
              </w:numPr>
              <w:tabs>
                <w:tab w:val="left" w:pos="310"/>
              </w:tabs>
              <w:jc w:val="left"/>
              <w:rPr>
                <w:color w:val="000000"/>
                <w:sz w:val="20"/>
                <w:szCs w:val="20"/>
              </w:rPr>
            </w:pPr>
          </w:p>
        </w:tc>
        <w:tc>
          <w:tcPr>
            <w:tcW w:w="12758" w:type="dxa"/>
            <w:tcBorders>
              <w:top w:val="single" w:sz="4" w:space="0" w:color="auto"/>
              <w:left w:val="nil"/>
              <w:bottom w:val="single" w:sz="4" w:space="0" w:color="auto"/>
              <w:right w:val="single" w:sz="4" w:space="0" w:color="auto"/>
            </w:tcBorders>
            <w:vAlign w:val="center"/>
            <w:hideMark/>
          </w:tcPr>
          <w:p w:rsidR="005123D7" w:rsidRPr="004761E0" w:rsidRDefault="005123D7" w:rsidP="005123D7">
            <w:pPr>
              <w:ind w:firstLine="0"/>
              <w:jc w:val="left"/>
              <w:rPr>
                <w:color w:val="000000"/>
                <w:sz w:val="20"/>
                <w:szCs w:val="20"/>
              </w:rPr>
            </w:pPr>
            <w:r w:rsidRPr="004761E0">
              <w:rPr>
                <w:color w:val="000000"/>
                <w:sz w:val="20"/>
                <w:szCs w:val="20"/>
              </w:rPr>
              <w:t xml:space="preserve">Подготовка и выдача сетевой организацией технических условий заявителю </w:t>
            </w:r>
          </w:p>
        </w:tc>
        <w:tc>
          <w:tcPr>
            <w:tcW w:w="1134" w:type="dxa"/>
            <w:tcBorders>
              <w:top w:val="single" w:sz="4" w:space="0" w:color="auto"/>
              <w:left w:val="nil"/>
              <w:bottom w:val="single" w:sz="4" w:space="0" w:color="auto"/>
              <w:right w:val="single" w:sz="4" w:space="0" w:color="auto"/>
            </w:tcBorders>
            <w:vAlign w:val="center"/>
            <w:hideMark/>
          </w:tcPr>
          <w:p w:rsidR="005123D7" w:rsidRPr="004761E0" w:rsidRDefault="005123D7" w:rsidP="005123D7">
            <w:pPr>
              <w:ind w:firstLine="0"/>
              <w:jc w:val="right"/>
              <w:rPr>
                <w:color w:val="000000"/>
                <w:sz w:val="20"/>
                <w:szCs w:val="20"/>
              </w:rPr>
            </w:pPr>
            <w:r w:rsidRPr="004761E0">
              <w:rPr>
                <w:color w:val="000000"/>
                <w:sz w:val="20"/>
                <w:szCs w:val="20"/>
              </w:rPr>
              <w:t>112,95</w:t>
            </w:r>
          </w:p>
        </w:tc>
      </w:tr>
      <w:tr w:rsidR="005123D7" w:rsidRPr="004761E0" w:rsidTr="005123D7">
        <w:trPr>
          <w:cantSplit/>
        </w:trPr>
        <w:tc>
          <w:tcPr>
            <w:tcW w:w="709" w:type="dxa"/>
            <w:tcBorders>
              <w:top w:val="nil"/>
              <w:left w:val="single" w:sz="4" w:space="0" w:color="auto"/>
              <w:bottom w:val="single" w:sz="4" w:space="0" w:color="auto"/>
              <w:right w:val="single" w:sz="4" w:space="0" w:color="auto"/>
            </w:tcBorders>
            <w:vAlign w:val="center"/>
          </w:tcPr>
          <w:p w:rsidR="005123D7" w:rsidRPr="004761E0" w:rsidRDefault="005123D7" w:rsidP="007076A7">
            <w:pPr>
              <w:pStyle w:val="a5"/>
              <w:numPr>
                <w:ilvl w:val="0"/>
                <w:numId w:val="264"/>
              </w:numPr>
              <w:tabs>
                <w:tab w:val="left" w:pos="310"/>
              </w:tabs>
              <w:jc w:val="left"/>
              <w:rPr>
                <w:color w:val="000000"/>
                <w:sz w:val="20"/>
                <w:szCs w:val="20"/>
              </w:rPr>
            </w:pPr>
          </w:p>
        </w:tc>
        <w:tc>
          <w:tcPr>
            <w:tcW w:w="12758" w:type="dxa"/>
            <w:tcBorders>
              <w:top w:val="nil"/>
              <w:left w:val="nil"/>
              <w:bottom w:val="single" w:sz="4" w:space="0" w:color="auto"/>
              <w:right w:val="single" w:sz="4" w:space="0" w:color="auto"/>
            </w:tcBorders>
            <w:vAlign w:val="center"/>
            <w:hideMark/>
          </w:tcPr>
          <w:p w:rsidR="005123D7" w:rsidRPr="004761E0" w:rsidRDefault="005123D7" w:rsidP="005123D7">
            <w:pPr>
              <w:ind w:firstLine="0"/>
              <w:jc w:val="left"/>
              <w:rPr>
                <w:color w:val="000000"/>
                <w:sz w:val="20"/>
                <w:szCs w:val="20"/>
              </w:rPr>
            </w:pPr>
            <w:r w:rsidRPr="004761E0">
              <w:rPr>
                <w:color w:val="000000"/>
                <w:sz w:val="20"/>
                <w:szCs w:val="20"/>
              </w:rPr>
              <w:t>Разработка сетевой организацией проектной документации по строительству «последней мили»</w:t>
            </w:r>
          </w:p>
        </w:tc>
        <w:tc>
          <w:tcPr>
            <w:tcW w:w="1134" w:type="dxa"/>
            <w:tcBorders>
              <w:top w:val="single" w:sz="4" w:space="0" w:color="auto"/>
              <w:left w:val="nil"/>
              <w:bottom w:val="single" w:sz="4" w:space="0" w:color="auto"/>
              <w:right w:val="single" w:sz="4" w:space="0" w:color="auto"/>
            </w:tcBorders>
            <w:vAlign w:val="center"/>
            <w:hideMark/>
          </w:tcPr>
          <w:p w:rsidR="005123D7" w:rsidRPr="004761E0" w:rsidRDefault="005123D7" w:rsidP="005123D7">
            <w:pPr>
              <w:ind w:firstLine="0"/>
              <w:jc w:val="right"/>
              <w:rPr>
                <w:color w:val="000000"/>
                <w:sz w:val="20"/>
                <w:szCs w:val="20"/>
              </w:rPr>
            </w:pPr>
            <w:r w:rsidRPr="004761E0">
              <w:rPr>
                <w:color w:val="000000"/>
                <w:sz w:val="20"/>
                <w:szCs w:val="20"/>
              </w:rPr>
              <w:t>-</w:t>
            </w:r>
          </w:p>
        </w:tc>
      </w:tr>
      <w:tr w:rsidR="005123D7" w:rsidRPr="004761E0" w:rsidTr="005123D7">
        <w:trPr>
          <w:cantSplit/>
        </w:trPr>
        <w:tc>
          <w:tcPr>
            <w:tcW w:w="709" w:type="dxa"/>
            <w:tcBorders>
              <w:top w:val="nil"/>
              <w:left w:val="single" w:sz="4" w:space="0" w:color="auto"/>
              <w:bottom w:val="single" w:sz="4" w:space="0" w:color="auto"/>
              <w:right w:val="single" w:sz="4" w:space="0" w:color="auto"/>
            </w:tcBorders>
            <w:vAlign w:val="center"/>
          </w:tcPr>
          <w:p w:rsidR="005123D7" w:rsidRPr="004761E0" w:rsidRDefault="005123D7" w:rsidP="007076A7">
            <w:pPr>
              <w:pStyle w:val="a5"/>
              <w:numPr>
                <w:ilvl w:val="0"/>
                <w:numId w:val="264"/>
              </w:numPr>
              <w:tabs>
                <w:tab w:val="left" w:pos="310"/>
              </w:tabs>
              <w:jc w:val="left"/>
              <w:rPr>
                <w:color w:val="000000"/>
                <w:sz w:val="20"/>
                <w:szCs w:val="20"/>
              </w:rPr>
            </w:pPr>
          </w:p>
        </w:tc>
        <w:tc>
          <w:tcPr>
            <w:tcW w:w="12758" w:type="dxa"/>
            <w:tcBorders>
              <w:top w:val="nil"/>
              <w:left w:val="nil"/>
              <w:bottom w:val="single" w:sz="4" w:space="0" w:color="auto"/>
              <w:right w:val="single" w:sz="4" w:space="0" w:color="auto"/>
            </w:tcBorders>
            <w:vAlign w:val="center"/>
            <w:hideMark/>
          </w:tcPr>
          <w:p w:rsidR="005123D7" w:rsidRPr="004761E0" w:rsidRDefault="005123D7" w:rsidP="005123D7">
            <w:pPr>
              <w:ind w:firstLine="0"/>
              <w:jc w:val="left"/>
              <w:rPr>
                <w:color w:val="000000"/>
                <w:sz w:val="20"/>
                <w:szCs w:val="20"/>
              </w:rPr>
            </w:pPr>
            <w:r w:rsidRPr="004761E0">
              <w:rPr>
                <w:color w:val="000000"/>
                <w:sz w:val="20"/>
                <w:szCs w:val="20"/>
              </w:rPr>
              <w:t>Выполнение сетевой организацией, мероприятий, связанных со строительством «последней мили»</w:t>
            </w:r>
          </w:p>
        </w:tc>
        <w:tc>
          <w:tcPr>
            <w:tcW w:w="1134" w:type="dxa"/>
            <w:tcBorders>
              <w:top w:val="nil"/>
              <w:left w:val="nil"/>
              <w:bottom w:val="single" w:sz="4" w:space="0" w:color="auto"/>
              <w:right w:val="single" w:sz="4" w:space="0" w:color="auto"/>
            </w:tcBorders>
            <w:vAlign w:val="center"/>
            <w:hideMark/>
          </w:tcPr>
          <w:p w:rsidR="005123D7" w:rsidRPr="004761E0" w:rsidRDefault="005123D7" w:rsidP="005123D7">
            <w:pPr>
              <w:ind w:firstLine="0"/>
              <w:jc w:val="right"/>
              <w:rPr>
                <w:color w:val="000000"/>
                <w:sz w:val="20"/>
                <w:szCs w:val="20"/>
              </w:rPr>
            </w:pPr>
            <w:r w:rsidRPr="004761E0">
              <w:rPr>
                <w:color w:val="000000"/>
                <w:sz w:val="20"/>
                <w:szCs w:val="20"/>
              </w:rPr>
              <w:t>-</w:t>
            </w:r>
          </w:p>
        </w:tc>
      </w:tr>
      <w:tr w:rsidR="005123D7" w:rsidRPr="004761E0" w:rsidTr="005123D7">
        <w:trPr>
          <w:cantSplit/>
        </w:trPr>
        <w:tc>
          <w:tcPr>
            <w:tcW w:w="709" w:type="dxa"/>
            <w:tcBorders>
              <w:top w:val="nil"/>
              <w:left w:val="single" w:sz="4" w:space="0" w:color="auto"/>
              <w:bottom w:val="single" w:sz="4" w:space="0" w:color="auto"/>
              <w:right w:val="single" w:sz="4" w:space="0" w:color="auto"/>
            </w:tcBorders>
            <w:vAlign w:val="center"/>
          </w:tcPr>
          <w:p w:rsidR="005123D7" w:rsidRPr="004761E0" w:rsidRDefault="005123D7" w:rsidP="007076A7">
            <w:pPr>
              <w:pStyle w:val="a5"/>
              <w:numPr>
                <w:ilvl w:val="1"/>
                <w:numId w:val="198"/>
              </w:numPr>
              <w:tabs>
                <w:tab w:val="left" w:pos="318"/>
              </w:tabs>
              <w:ind w:left="0" w:firstLine="0"/>
              <w:jc w:val="left"/>
              <w:rPr>
                <w:color w:val="000000"/>
                <w:sz w:val="20"/>
                <w:szCs w:val="20"/>
              </w:rPr>
            </w:pPr>
          </w:p>
        </w:tc>
        <w:tc>
          <w:tcPr>
            <w:tcW w:w="12758" w:type="dxa"/>
            <w:tcBorders>
              <w:top w:val="nil"/>
              <w:left w:val="nil"/>
              <w:bottom w:val="single" w:sz="4" w:space="0" w:color="auto"/>
              <w:right w:val="single" w:sz="4" w:space="0" w:color="auto"/>
            </w:tcBorders>
            <w:vAlign w:val="center"/>
            <w:hideMark/>
          </w:tcPr>
          <w:p w:rsidR="005123D7" w:rsidRPr="004761E0" w:rsidRDefault="005123D7" w:rsidP="005123D7">
            <w:pPr>
              <w:ind w:left="284" w:firstLine="0"/>
              <w:jc w:val="left"/>
              <w:rPr>
                <w:color w:val="000000"/>
                <w:sz w:val="20"/>
                <w:szCs w:val="20"/>
              </w:rPr>
            </w:pPr>
            <w:r w:rsidRPr="004761E0">
              <w:rPr>
                <w:color w:val="000000"/>
                <w:sz w:val="20"/>
                <w:szCs w:val="20"/>
              </w:rPr>
              <w:t xml:space="preserve">строительство воздушных линий </w:t>
            </w:r>
          </w:p>
        </w:tc>
        <w:tc>
          <w:tcPr>
            <w:tcW w:w="1134" w:type="dxa"/>
            <w:tcBorders>
              <w:top w:val="nil"/>
              <w:left w:val="nil"/>
              <w:bottom w:val="single" w:sz="4" w:space="0" w:color="auto"/>
              <w:right w:val="single" w:sz="4" w:space="0" w:color="auto"/>
            </w:tcBorders>
            <w:vAlign w:val="center"/>
            <w:hideMark/>
          </w:tcPr>
          <w:p w:rsidR="005123D7" w:rsidRPr="004761E0" w:rsidRDefault="005123D7" w:rsidP="005123D7">
            <w:pPr>
              <w:ind w:firstLine="0"/>
              <w:jc w:val="right"/>
              <w:rPr>
                <w:color w:val="000000"/>
                <w:sz w:val="20"/>
                <w:szCs w:val="20"/>
              </w:rPr>
            </w:pPr>
            <w:r w:rsidRPr="004761E0">
              <w:rPr>
                <w:color w:val="000000"/>
                <w:sz w:val="20"/>
                <w:szCs w:val="20"/>
              </w:rPr>
              <w:t>-</w:t>
            </w:r>
          </w:p>
        </w:tc>
      </w:tr>
      <w:tr w:rsidR="005123D7" w:rsidRPr="004761E0" w:rsidTr="005123D7">
        <w:trPr>
          <w:cantSplit/>
        </w:trPr>
        <w:tc>
          <w:tcPr>
            <w:tcW w:w="709" w:type="dxa"/>
            <w:tcBorders>
              <w:top w:val="nil"/>
              <w:left w:val="single" w:sz="4" w:space="0" w:color="auto"/>
              <w:bottom w:val="single" w:sz="4" w:space="0" w:color="auto"/>
              <w:right w:val="single" w:sz="4" w:space="0" w:color="auto"/>
            </w:tcBorders>
            <w:vAlign w:val="center"/>
          </w:tcPr>
          <w:p w:rsidR="005123D7" w:rsidRPr="004761E0" w:rsidRDefault="005123D7" w:rsidP="007076A7">
            <w:pPr>
              <w:pStyle w:val="a5"/>
              <w:numPr>
                <w:ilvl w:val="1"/>
                <w:numId w:val="198"/>
              </w:numPr>
              <w:tabs>
                <w:tab w:val="left" w:pos="318"/>
              </w:tabs>
              <w:ind w:left="0" w:firstLine="0"/>
              <w:jc w:val="left"/>
              <w:rPr>
                <w:color w:val="000000"/>
                <w:sz w:val="20"/>
                <w:szCs w:val="20"/>
              </w:rPr>
            </w:pPr>
          </w:p>
        </w:tc>
        <w:tc>
          <w:tcPr>
            <w:tcW w:w="12758" w:type="dxa"/>
            <w:tcBorders>
              <w:top w:val="nil"/>
              <w:left w:val="nil"/>
              <w:bottom w:val="single" w:sz="4" w:space="0" w:color="auto"/>
              <w:right w:val="single" w:sz="4" w:space="0" w:color="auto"/>
            </w:tcBorders>
            <w:vAlign w:val="center"/>
            <w:hideMark/>
          </w:tcPr>
          <w:p w:rsidR="005123D7" w:rsidRPr="004761E0" w:rsidRDefault="005123D7" w:rsidP="005123D7">
            <w:pPr>
              <w:ind w:left="284" w:firstLine="0"/>
              <w:jc w:val="left"/>
              <w:rPr>
                <w:color w:val="000000"/>
                <w:sz w:val="20"/>
                <w:szCs w:val="20"/>
              </w:rPr>
            </w:pPr>
            <w:r w:rsidRPr="004761E0">
              <w:rPr>
                <w:color w:val="000000"/>
                <w:sz w:val="20"/>
                <w:szCs w:val="20"/>
              </w:rPr>
              <w:t xml:space="preserve">строительство кабельных линий </w:t>
            </w:r>
          </w:p>
        </w:tc>
        <w:tc>
          <w:tcPr>
            <w:tcW w:w="1134" w:type="dxa"/>
            <w:tcBorders>
              <w:top w:val="nil"/>
              <w:left w:val="nil"/>
              <w:bottom w:val="single" w:sz="4" w:space="0" w:color="auto"/>
              <w:right w:val="single" w:sz="4" w:space="0" w:color="auto"/>
            </w:tcBorders>
            <w:vAlign w:val="center"/>
            <w:hideMark/>
          </w:tcPr>
          <w:p w:rsidR="005123D7" w:rsidRPr="004761E0" w:rsidRDefault="005123D7" w:rsidP="005123D7">
            <w:pPr>
              <w:ind w:firstLine="0"/>
              <w:jc w:val="right"/>
              <w:rPr>
                <w:color w:val="000000"/>
                <w:sz w:val="20"/>
                <w:szCs w:val="20"/>
              </w:rPr>
            </w:pPr>
            <w:r w:rsidRPr="004761E0">
              <w:rPr>
                <w:color w:val="000000"/>
                <w:sz w:val="20"/>
                <w:szCs w:val="20"/>
              </w:rPr>
              <w:t>5 395,26</w:t>
            </w:r>
          </w:p>
        </w:tc>
      </w:tr>
      <w:tr w:rsidR="005123D7" w:rsidRPr="004761E0" w:rsidTr="005123D7">
        <w:trPr>
          <w:cantSplit/>
        </w:trPr>
        <w:tc>
          <w:tcPr>
            <w:tcW w:w="709" w:type="dxa"/>
            <w:tcBorders>
              <w:top w:val="nil"/>
              <w:left w:val="single" w:sz="4" w:space="0" w:color="auto"/>
              <w:bottom w:val="single" w:sz="4" w:space="0" w:color="auto"/>
              <w:right w:val="single" w:sz="4" w:space="0" w:color="auto"/>
            </w:tcBorders>
            <w:vAlign w:val="center"/>
          </w:tcPr>
          <w:p w:rsidR="005123D7" w:rsidRPr="004761E0" w:rsidRDefault="005123D7" w:rsidP="007076A7">
            <w:pPr>
              <w:pStyle w:val="a5"/>
              <w:numPr>
                <w:ilvl w:val="1"/>
                <w:numId w:val="198"/>
              </w:numPr>
              <w:tabs>
                <w:tab w:val="left" w:pos="318"/>
              </w:tabs>
              <w:ind w:left="0" w:firstLine="0"/>
              <w:jc w:val="left"/>
              <w:rPr>
                <w:color w:val="000000"/>
                <w:sz w:val="20"/>
                <w:szCs w:val="20"/>
              </w:rPr>
            </w:pPr>
          </w:p>
        </w:tc>
        <w:tc>
          <w:tcPr>
            <w:tcW w:w="12758" w:type="dxa"/>
            <w:tcBorders>
              <w:top w:val="nil"/>
              <w:left w:val="nil"/>
              <w:bottom w:val="single" w:sz="4" w:space="0" w:color="auto"/>
              <w:right w:val="single" w:sz="4" w:space="0" w:color="auto"/>
            </w:tcBorders>
            <w:vAlign w:val="center"/>
            <w:hideMark/>
          </w:tcPr>
          <w:p w:rsidR="005123D7" w:rsidRPr="004761E0" w:rsidRDefault="005123D7" w:rsidP="005123D7">
            <w:pPr>
              <w:ind w:left="284" w:firstLine="0"/>
              <w:jc w:val="left"/>
              <w:rPr>
                <w:color w:val="000000"/>
                <w:sz w:val="20"/>
                <w:szCs w:val="20"/>
              </w:rPr>
            </w:pPr>
            <w:r w:rsidRPr="004761E0">
              <w:rPr>
                <w:color w:val="000000"/>
                <w:sz w:val="20"/>
                <w:szCs w:val="20"/>
              </w:rPr>
              <w:t>строительство пунктов секционирования</w:t>
            </w:r>
          </w:p>
        </w:tc>
        <w:tc>
          <w:tcPr>
            <w:tcW w:w="1134" w:type="dxa"/>
            <w:tcBorders>
              <w:top w:val="nil"/>
              <w:left w:val="nil"/>
              <w:bottom w:val="single" w:sz="4" w:space="0" w:color="auto"/>
              <w:right w:val="single" w:sz="4" w:space="0" w:color="auto"/>
            </w:tcBorders>
            <w:vAlign w:val="center"/>
            <w:hideMark/>
          </w:tcPr>
          <w:p w:rsidR="005123D7" w:rsidRPr="004761E0" w:rsidRDefault="005123D7" w:rsidP="005123D7">
            <w:pPr>
              <w:ind w:firstLine="0"/>
              <w:jc w:val="right"/>
              <w:rPr>
                <w:color w:val="000000"/>
                <w:sz w:val="20"/>
                <w:szCs w:val="20"/>
              </w:rPr>
            </w:pPr>
            <w:r w:rsidRPr="004761E0">
              <w:rPr>
                <w:color w:val="000000"/>
                <w:sz w:val="20"/>
                <w:szCs w:val="20"/>
              </w:rPr>
              <w:t>-</w:t>
            </w:r>
          </w:p>
        </w:tc>
      </w:tr>
      <w:tr w:rsidR="005123D7" w:rsidRPr="004761E0" w:rsidTr="005123D7">
        <w:trPr>
          <w:cantSplit/>
        </w:trPr>
        <w:tc>
          <w:tcPr>
            <w:tcW w:w="709" w:type="dxa"/>
            <w:tcBorders>
              <w:top w:val="nil"/>
              <w:left w:val="single" w:sz="4" w:space="0" w:color="auto"/>
              <w:bottom w:val="single" w:sz="4" w:space="0" w:color="auto"/>
              <w:right w:val="single" w:sz="4" w:space="0" w:color="auto"/>
            </w:tcBorders>
            <w:vAlign w:val="center"/>
          </w:tcPr>
          <w:p w:rsidR="005123D7" w:rsidRPr="004761E0" w:rsidRDefault="005123D7" w:rsidP="007076A7">
            <w:pPr>
              <w:pStyle w:val="a5"/>
              <w:numPr>
                <w:ilvl w:val="1"/>
                <w:numId w:val="198"/>
              </w:numPr>
              <w:tabs>
                <w:tab w:val="left" w:pos="318"/>
              </w:tabs>
              <w:ind w:left="0" w:firstLine="0"/>
              <w:jc w:val="left"/>
              <w:rPr>
                <w:color w:val="000000"/>
                <w:sz w:val="20"/>
                <w:szCs w:val="20"/>
              </w:rPr>
            </w:pPr>
          </w:p>
        </w:tc>
        <w:tc>
          <w:tcPr>
            <w:tcW w:w="12758" w:type="dxa"/>
            <w:tcBorders>
              <w:top w:val="nil"/>
              <w:left w:val="nil"/>
              <w:bottom w:val="single" w:sz="4" w:space="0" w:color="auto"/>
              <w:right w:val="single" w:sz="4" w:space="0" w:color="auto"/>
            </w:tcBorders>
            <w:vAlign w:val="center"/>
            <w:hideMark/>
          </w:tcPr>
          <w:p w:rsidR="005123D7" w:rsidRPr="004761E0" w:rsidRDefault="005123D7" w:rsidP="005123D7">
            <w:pPr>
              <w:ind w:left="284" w:firstLine="0"/>
              <w:jc w:val="left"/>
              <w:rPr>
                <w:color w:val="000000"/>
                <w:sz w:val="20"/>
                <w:szCs w:val="20"/>
              </w:rPr>
            </w:pPr>
            <w:r w:rsidRPr="004761E0">
              <w:rPr>
                <w:color w:val="000000"/>
                <w:sz w:val="20"/>
                <w:szCs w:val="20"/>
              </w:rPr>
              <w:t>строительство комплектных трансформаторных подстанций, распределительных трансформаторных подстанций, распределительных пунктов с уровнем напряжения до 35 кВ</w:t>
            </w:r>
          </w:p>
        </w:tc>
        <w:tc>
          <w:tcPr>
            <w:tcW w:w="1134" w:type="dxa"/>
            <w:tcBorders>
              <w:top w:val="nil"/>
              <w:left w:val="nil"/>
              <w:bottom w:val="single" w:sz="4" w:space="0" w:color="auto"/>
              <w:right w:val="single" w:sz="4" w:space="0" w:color="auto"/>
            </w:tcBorders>
            <w:vAlign w:val="center"/>
            <w:hideMark/>
          </w:tcPr>
          <w:p w:rsidR="005123D7" w:rsidRPr="004761E0" w:rsidRDefault="005123D7" w:rsidP="005123D7">
            <w:pPr>
              <w:ind w:firstLine="0"/>
              <w:jc w:val="right"/>
              <w:rPr>
                <w:color w:val="000000"/>
                <w:sz w:val="20"/>
                <w:szCs w:val="20"/>
              </w:rPr>
            </w:pPr>
            <w:r w:rsidRPr="004761E0">
              <w:rPr>
                <w:color w:val="000000"/>
                <w:sz w:val="20"/>
                <w:szCs w:val="20"/>
              </w:rPr>
              <w:t>3 152,83</w:t>
            </w:r>
          </w:p>
        </w:tc>
      </w:tr>
      <w:tr w:rsidR="005123D7" w:rsidRPr="004761E0" w:rsidTr="005123D7">
        <w:trPr>
          <w:cantSplit/>
        </w:trPr>
        <w:tc>
          <w:tcPr>
            <w:tcW w:w="709" w:type="dxa"/>
            <w:tcBorders>
              <w:top w:val="nil"/>
              <w:left w:val="single" w:sz="4" w:space="0" w:color="auto"/>
              <w:bottom w:val="single" w:sz="4" w:space="0" w:color="auto"/>
              <w:right w:val="single" w:sz="4" w:space="0" w:color="auto"/>
            </w:tcBorders>
            <w:vAlign w:val="center"/>
          </w:tcPr>
          <w:p w:rsidR="005123D7" w:rsidRPr="004761E0" w:rsidRDefault="005123D7" w:rsidP="007076A7">
            <w:pPr>
              <w:pStyle w:val="a5"/>
              <w:numPr>
                <w:ilvl w:val="1"/>
                <w:numId w:val="198"/>
              </w:numPr>
              <w:tabs>
                <w:tab w:val="left" w:pos="318"/>
              </w:tabs>
              <w:ind w:left="0" w:firstLine="0"/>
              <w:jc w:val="left"/>
              <w:rPr>
                <w:color w:val="000000"/>
                <w:sz w:val="20"/>
                <w:szCs w:val="20"/>
              </w:rPr>
            </w:pPr>
          </w:p>
        </w:tc>
        <w:tc>
          <w:tcPr>
            <w:tcW w:w="12758" w:type="dxa"/>
            <w:tcBorders>
              <w:top w:val="nil"/>
              <w:left w:val="nil"/>
              <w:bottom w:val="single" w:sz="4" w:space="0" w:color="auto"/>
              <w:right w:val="single" w:sz="4" w:space="0" w:color="auto"/>
            </w:tcBorders>
            <w:vAlign w:val="center"/>
            <w:hideMark/>
          </w:tcPr>
          <w:p w:rsidR="005123D7" w:rsidRPr="004761E0" w:rsidRDefault="005123D7" w:rsidP="005123D7">
            <w:pPr>
              <w:ind w:left="284" w:firstLine="0"/>
              <w:jc w:val="left"/>
              <w:rPr>
                <w:color w:val="000000"/>
                <w:sz w:val="20"/>
                <w:szCs w:val="20"/>
              </w:rPr>
            </w:pPr>
            <w:r w:rsidRPr="004761E0">
              <w:rPr>
                <w:color w:val="000000"/>
                <w:sz w:val="20"/>
                <w:szCs w:val="20"/>
              </w:rPr>
              <w:t>строительство центров питания, подстанций уровнем напряжения 35 кВ и выше</w:t>
            </w:r>
          </w:p>
        </w:tc>
        <w:tc>
          <w:tcPr>
            <w:tcW w:w="1134" w:type="dxa"/>
            <w:tcBorders>
              <w:top w:val="nil"/>
              <w:left w:val="nil"/>
              <w:bottom w:val="single" w:sz="4" w:space="0" w:color="auto"/>
              <w:right w:val="single" w:sz="4" w:space="0" w:color="auto"/>
            </w:tcBorders>
            <w:vAlign w:val="center"/>
            <w:hideMark/>
          </w:tcPr>
          <w:p w:rsidR="005123D7" w:rsidRPr="004761E0" w:rsidRDefault="005123D7" w:rsidP="005123D7">
            <w:pPr>
              <w:ind w:firstLine="0"/>
              <w:jc w:val="right"/>
              <w:rPr>
                <w:color w:val="000000"/>
                <w:sz w:val="20"/>
                <w:szCs w:val="20"/>
              </w:rPr>
            </w:pPr>
            <w:r w:rsidRPr="004761E0">
              <w:rPr>
                <w:color w:val="000000"/>
                <w:sz w:val="20"/>
                <w:szCs w:val="20"/>
              </w:rPr>
              <w:t>-</w:t>
            </w:r>
          </w:p>
        </w:tc>
      </w:tr>
      <w:tr w:rsidR="005123D7" w:rsidRPr="004761E0" w:rsidTr="005123D7">
        <w:trPr>
          <w:cantSplit/>
        </w:trPr>
        <w:tc>
          <w:tcPr>
            <w:tcW w:w="709" w:type="dxa"/>
            <w:tcBorders>
              <w:top w:val="nil"/>
              <w:left w:val="single" w:sz="4" w:space="0" w:color="auto"/>
              <w:bottom w:val="single" w:sz="4" w:space="0" w:color="auto"/>
              <w:right w:val="single" w:sz="4" w:space="0" w:color="auto"/>
            </w:tcBorders>
            <w:vAlign w:val="center"/>
            <w:hideMark/>
          </w:tcPr>
          <w:p w:rsidR="005123D7" w:rsidRPr="004761E0" w:rsidRDefault="005123D7" w:rsidP="007076A7">
            <w:pPr>
              <w:pStyle w:val="a5"/>
              <w:numPr>
                <w:ilvl w:val="0"/>
                <w:numId w:val="264"/>
              </w:numPr>
              <w:tabs>
                <w:tab w:val="left" w:pos="310"/>
              </w:tabs>
              <w:jc w:val="left"/>
              <w:rPr>
                <w:color w:val="000000"/>
                <w:sz w:val="20"/>
                <w:szCs w:val="20"/>
              </w:rPr>
            </w:pPr>
          </w:p>
        </w:tc>
        <w:tc>
          <w:tcPr>
            <w:tcW w:w="12758" w:type="dxa"/>
            <w:tcBorders>
              <w:top w:val="nil"/>
              <w:left w:val="nil"/>
              <w:bottom w:val="single" w:sz="4" w:space="0" w:color="auto"/>
              <w:right w:val="single" w:sz="4" w:space="0" w:color="auto"/>
            </w:tcBorders>
            <w:vAlign w:val="center"/>
            <w:hideMark/>
          </w:tcPr>
          <w:p w:rsidR="005123D7" w:rsidRPr="004761E0" w:rsidRDefault="005123D7" w:rsidP="005123D7">
            <w:pPr>
              <w:ind w:firstLine="0"/>
              <w:jc w:val="left"/>
              <w:rPr>
                <w:color w:val="000000"/>
                <w:sz w:val="20"/>
                <w:szCs w:val="20"/>
              </w:rPr>
            </w:pPr>
            <w:r w:rsidRPr="004761E0">
              <w:rPr>
                <w:color w:val="000000"/>
                <w:sz w:val="20"/>
                <w:szCs w:val="20"/>
              </w:rPr>
              <w:t>Проверка сетевой организацией выполнения заявителем технических условий</w:t>
            </w:r>
          </w:p>
        </w:tc>
        <w:tc>
          <w:tcPr>
            <w:tcW w:w="1134" w:type="dxa"/>
            <w:tcBorders>
              <w:top w:val="nil"/>
              <w:left w:val="nil"/>
              <w:bottom w:val="single" w:sz="4" w:space="0" w:color="auto"/>
              <w:right w:val="single" w:sz="4" w:space="0" w:color="auto"/>
            </w:tcBorders>
            <w:vAlign w:val="center"/>
            <w:hideMark/>
          </w:tcPr>
          <w:p w:rsidR="005123D7" w:rsidRPr="004761E0" w:rsidRDefault="005123D7" w:rsidP="005123D7">
            <w:pPr>
              <w:ind w:firstLine="0"/>
              <w:jc w:val="right"/>
              <w:rPr>
                <w:color w:val="000000"/>
                <w:sz w:val="20"/>
                <w:szCs w:val="20"/>
              </w:rPr>
            </w:pPr>
            <w:r w:rsidRPr="004761E0">
              <w:rPr>
                <w:color w:val="000000"/>
                <w:sz w:val="20"/>
                <w:szCs w:val="20"/>
              </w:rPr>
              <w:t>380,47</w:t>
            </w:r>
          </w:p>
        </w:tc>
      </w:tr>
      <w:tr w:rsidR="005123D7" w:rsidRPr="004761E0" w:rsidTr="005123D7">
        <w:trPr>
          <w:cantSplit/>
        </w:trPr>
        <w:tc>
          <w:tcPr>
            <w:tcW w:w="709" w:type="dxa"/>
            <w:tcBorders>
              <w:top w:val="nil"/>
              <w:left w:val="single" w:sz="4" w:space="0" w:color="auto"/>
              <w:bottom w:val="single" w:sz="4" w:space="0" w:color="auto"/>
              <w:right w:val="single" w:sz="4" w:space="0" w:color="auto"/>
            </w:tcBorders>
            <w:vAlign w:val="center"/>
            <w:hideMark/>
          </w:tcPr>
          <w:p w:rsidR="005123D7" w:rsidRPr="004761E0" w:rsidRDefault="005123D7" w:rsidP="007076A7">
            <w:pPr>
              <w:pStyle w:val="a5"/>
              <w:numPr>
                <w:ilvl w:val="0"/>
                <w:numId w:val="264"/>
              </w:numPr>
              <w:tabs>
                <w:tab w:val="left" w:pos="310"/>
              </w:tabs>
              <w:jc w:val="left"/>
              <w:rPr>
                <w:color w:val="000000"/>
                <w:sz w:val="20"/>
                <w:szCs w:val="20"/>
              </w:rPr>
            </w:pPr>
          </w:p>
        </w:tc>
        <w:tc>
          <w:tcPr>
            <w:tcW w:w="12758" w:type="dxa"/>
            <w:tcBorders>
              <w:top w:val="nil"/>
              <w:left w:val="nil"/>
              <w:bottom w:val="single" w:sz="4" w:space="0" w:color="auto"/>
              <w:right w:val="single" w:sz="4" w:space="0" w:color="auto"/>
            </w:tcBorders>
            <w:vAlign w:val="center"/>
            <w:hideMark/>
          </w:tcPr>
          <w:p w:rsidR="005123D7" w:rsidRPr="004761E0" w:rsidRDefault="005123D7" w:rsidP="005123D7">
            <w:pPr>
              <w:ind w:firstLine="0"/>
              <w:jc w:val="left"/>
              <w:rPr>
                <w:color w:val="000000"/>
                <w:sz w:val="20"/>
                <w:szCs w:val="20"/>
              </w:rPr>
            </w:pPr>
            <w:r w:rsidRPr="004761E0">
              <w:rPr>
                <w:color w:val="000000"/>
                <w:sz w:val="20"/>
                <w:szCs w:val="20"/>
              </w:rPr>
              <w:t>Участие в осмотре должностным лицом Ростехнадзора присоединяемых устройств заявителя</w:t>
            </w:r>
          </w:p>
        </w:tc>
        <w:tc>
          <w:tcPr>
            <w:tcW w:w="1134" w:type="dxa"/>
            <w:tcBorders>
              <w:top w:val="nil"/>
              <w:left w:val="nil"/>
              <w:bottom w:val="single" w:sz="4" w:space="0" w:color="auto"/>
              <w:right w:val="single" w:sz="4" w:space="0" w:color="auto"/>
            </w:tcBorders>
            <w:vAlign w:val="center"/>
            <w:hideMark/>
          </w:tcPr>
          <w:p w:rsidR="005123D7" w:rsidRPr="004761E0" w:rsidRDefault="005123D7" w:rsidP="005123D7">
            <w:pPr>
              <w:ind w:firstLine="0"/>
              <w:jc w:val="right"/>
              <w:rPr>
                <w:color w:val="000000"/>
                <w:sz w:val="20"/>
                <w:szCs w:val="20"/>
              </w:rPr>
            </w:pPr>
            <w:r w:rsidRPr="004761E0">
              <w:rPr>
                <w:color w:val="000000"/>
                <w:sz w:val="20"/>
                <w:szCs w:val="20"/>
              </w:rPr>
              <w:t>47,56</w:t>
            </w:r>
          </w:p>
        </w:tc>
      </w:tr>
      <w:tr w:rsidR="005123D7" w:rsidRPr="004761E0" w:rsidTr="005123D7">
        <w:trPr>
          <w:cantSplit/>
        </w:trPr>
        <w:tc>
          <w:tcPr>
            <w:tcW w:w="709" w:type="dxa"/>
            <w:tcBorders>
              <w:top w:val="nil"/>
              <w:left w:val="single" w:sz="4" w:space="0" w:color="auto"/>
              <w:bottom w:val="single" w:sz="4" w:space="0" w:color="auto"/>
              <w:right w:val="single" w:sz="4" w:space="0" w:color="auto"/>
            </w:tcBorders>
            <w:vAlign w:val="center"/>
            <w:hideMark/>
          </w:tcPr>
          <w:p w:rsidR="005123D7" w:rsidRPr="004761E0" w:rsidRDefault="005123D7" w:rsidP="007076A7">
            <w:pPr>
              <w:pStyle w:val="a5"/>
              <w:numPr>
                <w:ilvl w:val="0"/>
                <w:numId w:val="264"/>
              </w:numPr>
              <w:tabs>
                <w:tab w:val="left" w:pos="310"/>
              </w:tabs>
              <w:jc w:val="left"/>
              <w:rPr>
                <w:color w:val="000000"/>
                <w:sz w:val="20"/>
                <w:szCs w:val="20"/>
              </w:rPr>
            </w:pPr>
          </w:p>
        </w:tc>
        <w:tc>
          <w:tcPr>
            <w:tcW w:w="12758" w:type="dxa"/>
            <w:tcBorders>
              <w:top w:val="nil"/>
              <w:left w:val="nil"/>
              <w:bottom w:val="single" w:sz="4" w:space="0" w:color="auto"/>
              <w:right w:val="single" w:sz="4" w:space="0" w:color="auto"/>
            </w:tcBorders>
            <w:vAlign w:val="center"/>
            <w:hideMark/>
          </w:tcPr>
          <w:p w:rsidR="005123D7" w:rsidRPr="004761E0" w:rsidRDefault="005123D7" w:rsidP="005123D7">
            <w:pPr>
              <w:ind w:firstLine="0"/>
              <w:jc w:val="left"/>
              <w:rPr>
                <w:color w:val="000000"/>
                <w:sz w:val="20"/>
                <w:szCs w:val="20"/>
              </w:rPr>
            </w:pPr>
            <w:r w:rsidRPr="004761E0">
              <w:rPr>
                <w:color w:val="000000"/>
                <w:sz w:val="20"/>
                <w:szCs w:val="20"/>
              </w:rPr>
              <w:t>Фактические действия по присоединению и обеспечению работы устройств в электрической сети</w:t>
            </w:r>
          </w:p>
        </w:tc>
        <w:tc>
          <w:tcPr>
            <w:tcW w:w="1134" w:type="dxa"/>
            <w:tcBorders>
              <w:top w:val="nil"/>
              <w:left w:val="nil"/>
              <w:bottom w:val="single" w:sz="4" w:space="0" w:color="auto"/>
              <w:right w:val="single" w:sz="4" w:space="0" w:color="auto"/>
            </w:tcBorders>
            <w:vAlign w:val="center"/>
            <w:hideMark/>
          </w:tcPr>
          <w:p w:rsidR="005123D7" w:rsidRPr="004761E0" w:rsidRDefault="005123D7" w:rsidP="005123D7">
            <w:pPr>
              <w:ind w:firstLine="0"/>
              <w:jc w:val="right"/>
              <w:rPr>
                <w:color w:val="000000"/>
                <w:sz w:val="20"/>
                <w:szCs w:val="20"/>
              </w:rPr>
            </w:pPr>
            <w:r w:rsidRPr="004761E0">
              <w:rPr>
                <w:color w:val="000000"/>
                <w:sz w:val="20"/>
                <w:szCs w:val="20"/>
              </w:rPr>
              <w:t>101,06</w:t>
            </w:r>
          </w:p>
        </w:tc>
      </w:tr>
    </w:tbl>
    <w:p w:rsidR="005123D7" w:rsidRPr="004761E0" w:rsidRDefault="005123D7" w:rsidP="005123D7">
      <w:pPr>
        <w:spacing w:before="120" w:after="120"/>
        <w:ind w:firstLine="567"/>
        <w:jc w:val="left"/>
        <w:rPr>
          <w:b/>
          <w:iCs/>
          <w:sz w:val="26"/>
          <w:szCs w:val="26"/>
        </w:rPr>
      </w:pPr>
      <w:r w:rsidRPr="004761E0">
        <w:rPr>
          <w:b/>
          <w:iCs/>
          <w:sz w:val="26"/>
          <w:szCs w:val="26"/>
        </w:rPr>
        <w:t xml:space="preserve">Стандартизированные тарифные ставки </w:t>
      </w:r>
    </w:p>
    <w:tbl>
      <w:tblPr>
        <w:tblW w:w="14601" w:type="dxa"/>
        <w:tblInd w:w="108" w:type="dxa"/>
        <w:tblLayout w:type="fixed"/>
        <w:tblLook w:val="04A0"/>
      </w:tblPr>
      <w:tblGrid>
        <w:gridCol w:w="709"/>
        <w:gridCol w:w="11624"/>
        <w:gridCol w:w="1134"/>
        <w:gridCol w:w="1134"/>
      </w:tblGrid>
      <w:tr w:rsidR="005123D7" w:rsidRPr="004761E0" w:rsidTr="005123D7">
        <w:trPr>
          <w:cantSplit/>
        </w:trPr>
        <w:tc>
          <w:tcPr>
            <w:tcW w:w="709" w:type="dxa"/>
            <w:tcBorders>
              <w:left w:val="single" w:sz="4" w:space="0" w:color="auto"/>
              <w:bottom w:val="single" w:sz="4" w:space="0" w:color="auto"/>
              <w:right w:val="single" w:sz="4" w:space="0" w:color="FFFFFF" w:themeColor="background1"/>
            </w:tcBorders>
            <w:shd w:val="clear" w:color="auto" w:fill="0F243E" w:themeFill="text2" w:themeFillShade="80"/>
            <w:noWrap/>
            <w:vAlign w:val="center"/>
            <w:hideMark/>
          </w:tcPr>
          <w:p w:rsidR="005123D7" w:rsidRPr="004761E0" w:rsidRDefault="005123D7" w:rsidP="005123D7">
            <w:pPr>
              <w:ind w:firstLine="0"/>
              <w:jc w:val="left"/>
              <w:rPr>
                <w:b/>
                <w:color w:val="FFFFFF" w:themeColor="background1"/>
                <w:sz w:val="20"/>
                <w:szCs w:val="20"/>
              </w:rPr>
            </w:pPr>
            <w:r w:rsidRPr="004761E0">
              <w:rPr>
                <w:b/>
                <w:color w:val="FFFFFF" w:themeColor="background1"/>
                <w:sz w:val="20"/>
                <w:szCs w:val="20"/>
              </w:rPr>
              <w:t>№ п/п</w:t>
            </w:r>
          </w:p>
        </w:tc>
        <w:tc>
          <w:tcPr>
            <w:tcW w:w="1162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noWrap/>
            <w:vAlign w:val="center"/>
            <w:hideMark/>
          </w:tcPr>
          <w:p w:rsidR="005123D7" w:rsidRPr="004761E0" w:rsidRDefault="005123D7" w:rsidP="005123D7">
            <w:pPr>
              <w:ind w:firstLine="0"/>
              <w:jc w:val="left"/>
              <w:rPr>
                <w:b/>
                <w:color w:val="FFFFFF" w:themeColor="background1"/>
                <w:sz w:val="20"/>
                <w:szCs w:val="20"/>
              </w:rPr>
            </w:pPr>
            <w:r w:rsidRPr="004761E0">
              <w:rPr>
                <w:b/>
                <w:color w:val="FFFFFF" w:themeColor="background1"/>
                <w:sz w:val="20"/>
                <w:szCs w:val="20"/>
              </w:rPr>
              <w:t>Наименование мероприятий</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5123D7" w:rsidRPr="004761E0" w:rsidRDefault="005123D7" w:rsidP="005123D7">
            <w:pPr>
              <w:ind w:firstLine="0"/>
              <w:jc w:val="center"/>
              <w:rPr>
                <w:b/>
                <w:color w:val="FFFFFF" w:themeColor="background1"/>
                <w:sz w:val="20"/>
                <w:szCs w:val="20"/>
              </w:rPr>
            </w:pPr>
            <w:r w:rsidRPr="004761E0">
              <w:rPr>
                <w:b/>
                <w:color w:val="FFFFFF" w:themeColor="background1"/>
                <w:sz w:val="20"/>
                <w:szCs w:val="20"/>
              </w:rPr>
              <w:t>0,4 кВ</w:t>
            </w:r>
          </w:p>
        </w:tc>
        <w:tc>
          <w:tcPr>
            <w:tcW w:w="1134"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F243E" w:themeFill="text2" w:themeFillShade="80"/>
            <w:vAlign w:val="center"/>
          </w:tcPr>
          <w:p w:rsidR="005123D7" w:rsidRPr="004761E0" w:rsidRDefault="005123D7" w:rsidP="005123D7">
            <w:pPr>
              <w:ind w:firstLine="0"/>
              <w:jc w:val="center"/>
              <w:rPr>
                <w:b/>
                <w:color w:val="FFFFFF" w:themeColor="background1"/>
                <w:sz w:val="20"/>
                <w:szCs w:val="20"/>
              </w:rPr>
            </w:pPr>
            <w:r w:rsidRPr="004761E0">
              <w:rPr>
                <w:b/>
                <w:color w:val="FFFFFF" w:themeColor="background1"/>
                <w:sz w:val="20"/>
                <w:szCs w:val="20"/>
              </w:rPr>
              <w:t>1-20 кВ</w:t>
            </w:r>
          </w:p>
        </w:tc>
      </w:tr>
      <w:tr w:rsidR="005123D7" w:rsidRPr="004761E0" w:rsidTr="005123D7">
        <w:trPr>
          <w:cantSplit/>
        </w:trPr>
        <w:tc>
          <w:tcPr>
            <w:tcW w:w="709" w:type="dxa"/>
            <w:tcBorders>
              <w:top w:val="single" w:sz="4" w:space="0" w:color="auto"/>
              <w:left w:val="single" w:sz="4" w:space="0" w:color="auto"/>
              <w:bottom w:val="single" w:sz="4" w:space="0" w:color="auto"/>
              <w:right w:val="single" w:sz="4" w:space="0" w:color="auto"/>
            </w:tcBorders>
            <w:vAlign w:val="center"/>
          </w:tcPr>
          <w:p w:rsidR="005123D7" w:rsidRPr="004761E0" w:rsidRDefault="005123D7" w:rsidP="007076A7">
            <w:pPr>
              <w:pStyle w:val="a5"/>
              <w:numPr>
                <w:ilvl w:val="0"/>
                <w:numId w:val="135"/>
              </w:numPr>
              <w:tabs>
                <w:tab w:val="left" w:pos="310"/>
              </w:tabs>
              <w:jc w:val="left"/>
              <w:rPr>
                <w:color w:val="000000"/>
                <w:sz w:val="20"/>
                <w:szCs w:val="20"/>
              </w:rPr>
            </w:pPr>
          </w:p>
        </w:tc>
        <w:tc>
          <w:tcPr>
            <w:tcW w:w="11624" w:type="dxa"/>
            <w:tcBorders>
              <w:top w:val="single" w:sz="4" w:space="0" w:color="auto"/>
              <w:left w:val="nil"/>
              <w:bottom w:val="single" w:sz="4" w:space="0" w:color="auto"/>
              <w:right w:val="single" w:sz="4" w:space="0" w:color="auto"/>
            </w:tcBorders>
            <w:vAlign w:val="center"/>
          </w:tcPr>
          <w:p w:rsidR="005123D7" w:rsidRPr="004761E0" w:rsidRDefault="005123D7" w:rsidP="005123D7">
            <w:pPr>
              <w:ind w:firstLine="0"/>
              <w:jc w:val="left"/>
              <w:rPr>
                <w:color w:val="000000"/>
                <w:sz w:val="20"/>
                <w:szCs w:val="20"/>
              </w:rPr>
            </w:pPr>
            <w:r w:rsidRPr="004761E0">
              <w:rPr>
                <w:color w:val="000000"/>
                <w:sz w:val="20"/>
                <w:szCs w:val="20"/>
              </w:rPr>
              <w:t>Ставка на покрытие расходов на технологическое присоединение по мероприятиям, в т.ч.</w:t>
            </w:r>
            <w:r w:rsidRPr="004761E0">
              <w:rPr>
                <w:color w:val="000000"/>
                <w:sz w:val="20"/>
                <w:szCs w:val="20"/>
                <w:vertAlign w:val="superscript"/>
              </w:rPr>
              <w:t>1</w:t>
            </w:r>
            <w:r w:rsidRPr="004761E0">
              <w:rPr>
                <w:color w:val="000000"/>
                <w:sz w:val="20"/>
                <w:szCs w:val="20"/>
              </w:rPr>
              <w:t>:</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5123D7" w:rsidRPr="004761E0" w:rsidRDefault="005123D7" w:rsidP="005123D7">
            <w:pPr>
              <w:ind w:firstLine="0"/>
              <w:jc w:val="center"/>
              <w:rPr>
                <w:color w:val="000000"/>
                <w:sz w:val="20"/>
                <w:szCs w:val="20"/>
              </w:rPr>
            </w:pPr>
            <w:r w:rsidRPr="004761E0">
              <w:rPr>
                <w:color w:val="000000"/>
                <w:sz w:val="20"/>
                <w:szCs w:val="20"/>
              </w:rPr>
              <w:t>642,04</w:t>
            </w:r>
          </w:p>
        </w:tc>
      </w:tr>
      <w:tr w:rsidR="005123D7" w:rsidRPr="004761E0" w:rsidTr="005123D7">
        <w:trPr>
          <w:cantSplit/>
        </w:trPr>
        <w:tc>
          <w:tcPr>
            <w:tcW w:w="709" w:type="dxa"/>
            <w:tcBorders>
              <w:top w:val="nil"/>
              <w:left w:val="single" w:sz="4" w:space="0" w:color="auto"/>
              <w:bottom w:val="single" w:sz="4" w:space="0" w:color="auto"/>
              <w:right w:val="single" w:sz="4" w:space="0" w:color="auto"/>
            </w:tcBorders>
            <w:vAlign w:val="center"/>
          </w:tcPr>
          <w:p w:rsidR="005123D7" w:rsidRPr="004761E0" w:rsidRDefault="005123D7" w:rsidP="007076A7">
            <w:pPr>
              <w:pStyle w:val="a5"/>
              <w:numPr>
                <w:ilvl w:val="1"/>
                <w:numId w:val="90"/>
              </w:numPr>
              <w:tabs>
                <w:tab w:val="left" w:pos="310"/>
              </w:tabs>
              <w:jc w:val="left"/>
              <w:rPr>
                <w:color w:val="000000"/>
                <w:sz w:val="20"/>
                <w:szCs w:val="20"/>
              </w:rPr>
            </w:pPr>
          </w:p>
        </w:tc>
        <w:tc>
          <w:tcPr>
            <w:tcW w:w="11624" w:type="dxa"/>
            <w:tcBorders>
              <w:top w:val="nil"/>
              <w:left w:val="nil"/>
              <w:bottom w:val="single" w:sz="4" w:space="0" w:color="auto"/>
              <w:right w:val="single" w:sz="4" w:space="0" w:color="auto"/>
            </w:tcBorders>
            <w:vAlign w:val="center"/>
          </w:tcPr>
          <w:p w:rsidR="005123D7" w:rsidRPr="004761E0" w:rsidRDefault="005123D7" w:rsidP="005123D7">
            <w:pPr>
              <w:ind w:left="284" w:firstLine="0"/>
              <w:jc w:val="left"/>
              <w:rPr>
                <w:color w:val="000000"/>
                <w:sz w:val="20"/>
                <w:szCs w:val="20"/>
              </w:rPr>
            </w:pPr>
            <w:r w:rsidRPr="004761E0">
              <w:rPr>
                <w:color w:val="000000"/>
                <w:sz w:val="20"/>
                <w:szCs w:val="20"/>
              </w:rPr>
              <w:t>подготовка и выдача сетевой организацией технических условий заявителю, руб./кВт (без НДС)</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5123D7" w:rsidRPr="004761E0" w:rsidRDefault="005123D7" w:rsidP="005123D7">
            <w:pPr>
              <w:ind w:firstLine="0"/>
              <w:jc w:val="center"/>
              <w:rPr>
                <w:color w:val="000000"/>
                <w:sz w:val="20"/>
                <w:szCs w:val="20"/>
              </w:rPr>
            </w:pPr>
            <w:r w:rsidRPr="004761E0">
              <w:rPr>
                <w:color w:val="000000"/>
                <w:sz w:val="20"/>
                <w:szCs w:val="20"/>
              </w:rPr>
              <w:t>112,95</w:t>
            </w:r>
          </w:p>
        </w:tc>
      </w:tr>
      <w:tr w:rsidR="005123D7" w:rsidRPr="004761E0" w:rsidTr="005123D7">
        <w:trPr>
          <w:cantSplit/>
        </w:trPr>
        <w:tc>
          <w:tcPr>
            <w:tcW w:w="709" w:type="dxa"/>
            <w:tcBorders>
              <w:top w:val="single" w:sz="4" w:space="0" w:color="auto"/>
              <w:left w:val="single" w:sz="4" w:space="0" w:color="auto"/>
              <w:bottom w:val="single" w:sz="4" w:space="0" w:color="auto"/>
              <w:right w:val="single" w:sz="4" w:space="0" w:color="auto"/>
            </w:tcBorders>
            <w:vAlign w:val="center"/>
          </w:tcPr>
          <w:p w:rsidR="005123D7" w:rsidRPr="004761E0" w:rsidRDefault="005123D7" w:rsidP="007076A7">
            <w:pPr>
              <w:pStyle w:val="a5"/>
              <w:numPr>
                <w:ilvl w:val="1"/>
                <w:numId w:val="90"/>
              </w:numPr>
              <w:tabs>
                <w:tab w:val="left" w:pos="310"/>
              </w:tabs>
              <w:jc w:val="left"/>
              <w:rPr>
                <w:color w:val="000000"/>
                <w:sz w:val="20"/>
                <w:szCs w:val="20"/>
              </w:rPr>
            </w:pPr>
          </w:p>
        </w:tc>
        <w:tc>
          <w:tcPr>
            <w:tcW w:w="11624" w:type="dxa"/>
            <w:tcBorders>
              <w:top w:val="single" w:sz="4" w:space="0" w:color="auto"/>
              <w:left w:val="single" w:sz="4" w:space="0" w:color="auto"/>
              <w:bottom w:val="single" w:sz="4" w:space="0" w:color="auto"/>
              <w:right w:val="single" w:sz="4" w:space="0" w:color="auto"/>
            </w:tcBorders>
            <w:vAlign w:val="center"/>
          </w:tcPr>
          <w:p w:rsidR="005123D7" w:rsidRPr="004761E0" w:rsidRDefault="005123D7" w:rsidP="005123D7">
            <w:pPr>
              <w:ind w:left="284" w:firstLine="0"/>
              <w:jc w:val="left"/>
              <w:rPr>
                <w:color w:val="000000"/>
                <w:sz w:val="20"/>
                <w:szCs w:val="20"/>
              </w:rPr>
            </w:pPr>
            <w:r w:rsidRPr="004761E0">
              <w:rPr>
                <w:color w:val="000000"/>
                <w:sz w:val="20"/>
                <w:szCs w:val="20"/>
              </w:rPr>
              <w:t>проверка сетевой организацией выполнения заявителем технических условий, руб./кВт (без НДС)</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5123D7" w:rsidRPr="004761E0" w:rsidRDefault="005123D7" w:rsidP="005123D7">
            <w:pPr>
              <w:ind w:firstLine="0"/>
              <w:jc w:val="center"/>
              <w:rPr>
                <w:color w:val="000000"/>
                <w:sz w:val="20"/>
                <w:szCs w:val="20"/>
              </w:rPr>
            </w:pPr>
            <w:r w:rsidRPr="004761E0">
              <w:rPr>
                <w:color w:val="000000"/>
                <w:sz w:val="20"/>
                <w:szCs w:val="20"/>
              </w:rPr>
              <w:t>380,47</w:t>
            </w:r>
          </w:p>
        </w:tc>
      </w:tr>
      <w:tr w:rsidR="005123D7" w:rsidRPr="004761E0" w:rsidTr="005123D7">
        <w:trPr>
          <w:cantSplit/>
        </w:trPr>
        <w:tc>
          <w:tcPr>
            <w:tcW w:w="709" w:type="dxa"/>
            <w:tcBorders>
              <w:top w:val="single" w:sz="4" w:space="0" w:color="auto"/>
              <w:left w:val="single" w:sz="4" w:space="0" w:color="auto"/>
              <w:bottom w:val="single" w:sz="4" w:space="0" w:color="auto"/>
              <w:right w:val="single" w:sz="4" w:space="0" w:color="auto"/>
            </w:tcBorders>
            <w:vAlign w:val="center"/>
          </w:tcPr>
          <w:p w:rsidR="005123D7" w:rsidRPr="004761E0" w:rsidRDefault="005123D7" w:rsidP="007076A7">
            <w:pPr>
              <w:pStyle w:val="a5"/>
              <w:numPr>
                <w:ilvl w:val="1"/>
                <w:numId w:val="90"/>
              </w:numPr>
              <w:tabs>
                <w:tab w:val="left" w:pos="310"/>
              </w:tabs>
              <w:jc w:val="left"/>
              <w:rPr>
                <w:color w:val="000000"/>
                <w:sz w:val="20"/>
                <w:szCs w:val="20"/>
              </w:rPr>
            </w:pPr>
          </w:p>
        </w:tc>
        <w:tc>
          <w:tcPr>
            <w:tcW w:w="11624" w:type="dxa"/>
            <w:tcBorders>
              <w:top w:val="single" w:sz="4" w:space="0" w:color="auto"/>
              <w:left w:val="nil"/>
              <w:bottom w:val="single" w:sz="4" w:space="0" w:color="auto"/>
              <w:right w:val="single" w:sz="4" w:space="0" w:color="auto"/>
            </w:tcBorders>
            <w:vAlign w:val="center"/>
          </w:tcPr>
          <w:p w:rsidR="005123D7" w:rsidRPr="004761E0" w:rsidRDefault="005123D7" w:rsidP="005123D7">
            <w:pPr>
              <w:ind w:left="284" w:firstLine="0"/>
              <w:jc w:val="left"/>
              <w:rPr>
                <w:color w:val="000000"/>
                <w:sz w:val="20"/>
                <w:szCs w:val="20"/>
              </w:rPr>
            </w:pPr>
            <w:r w:rsidRPr="004761E0">
              <w:rPr>
                <w:color w:val="000000"/>
                <w:sz w:val="20"/>
                <w:szCs w:val="20"/>
              </w:rPr>
              <w:t>участие в осмотре должностным лицом Ростехнадзора присоединяемых устройств заявителя, руб./кВт (без НДС)</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5123D7" w:rsidRPr="004761E0" w:rsidRDefault="005123D7" w:rsidP="005123D7">
            <w:pPr>
              <w:ind w:firstLine="0"/>
              <w:jc w:val="center"/>
              <w:rPr>
                <w:color w:val="000000"/>
                <w:sz w:val="20"/>
                <w:szCs w:val="20"/>
              </w:rPr>
            </w:pPr>
            <w:r w:rsidRPr="004761E0">
              <w:rPr>
                <w:color w:val="000000"/>
                <w:sz w:val="20"/>
                <w:szCs w:val="20"/>
              </w:rPr>
              <w:t>47,56</w:t>
            </w:r>
          </w:p>
        </w:tc>
      </w:tr>
      <w:tr w:rsidR="005123D7" w:rsidRPr="004761E0" w:rsidTr="005123D7">
        <w:trPr>
          <w:cantSplit/>
        </w:trPr>
        <w:tc>
          <w:tcPr>
            <w:tcW w:w="709" w:type="dxa"/>
            <w:tcBorders>
              <w:top w:val="single" w:sz="4" w:space="0" w:color="auto"/>
              <w:left w:val="single" w:sz="4" w:space="0" w:color="auto"/>
              <w:bottom w:val="single" w:sz="4" w:space="0" w:color="auto"/>
              <w:right w:val="single" w:sz="4" w:space="0" w:color="auto"/>
            </w:tcBorders>
            <w:vAlign w:val="center"/>
          </w:tcPr>
          <w:p w:rsidR="005123D7" w:rsidRPr="004761E0" w:rsidRDefault="005123D7" w:rsidP="007076A7">
            <w:pPr>
              <w:pStyle w:val="a5"/>
              <w:numPr>
                <w:ilvl w:val="1"/>
                <w:numId w:val="90"/>
              </w:numPr>
              <w:tabs>
                <w:tab w:val="left" w:pos="310"/>
              </w:tabs>
              <w:jc w:val="left"/>
              <w:rPr>
                <w:color w:val="000000"/>
                <w:sz w:val="20"/>
                <w:szCs w:val="20"/>
              </w:rPr>
            </w:pPr>
          </w:p>
        </w:tc>
        <w:tc>
          <w:tcPr>
            <w:tcW w:w="11624" w:type="dxa"/>
            <w:tcBorders>
              <w:top w:val="single" w:sz="4" w:space="0" w:color="auto"/>
              <w:left w:val="single" w:sz="4" w:space="0" w:color="auto"/>
              <w:bottom w:val="single" w:sz="4" w:space="0" w:color="auto"/>
              <w:right w:val="single" w:sz="4" w:space="0" w:color="auto"/>
            </w:tcBorders>
            <w:vAlign w:val="center"/>
          </w:tcPr>
          <w:p w:rsidR="005123D7" w:rsidRPr="004761E0" w:rsidRDefault="005123D7" w:rsidP="005123D7">
            <w:pPr>
              <w:ind w:left="284" w:firstLine="0"/>
              <w:jc w:val="left"/>
              <w:rPr>
                <w:color w:val="000000"/>
                <w:sz w:val="20"/>
                <w:szCs w:val="20"/>
              </w:rPr>
            </w:pPr>
            <w:r w:rsidRPr="004761E0">
              <w:rPr>
                <w:color w:val="000000"/>
                <w:sz w:val="20"/>
                <w:szCs w:val="20"/>
              </w:rPr>
              <w:t>фактические действия по присоединению и обеспечению работы устройств в электрической сети, руб./кВт (без НДС)</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5123D7" w:rsidRPr="004761E0" w:rsidRDefault="005123D7" w:rsidP="005123D7">
            <w:pPr>
              <w:ind w:firstLine="0"/>
              <w:jc w:val="center"/>
              <w:rPr>
                <w:color w:val="000000"/>
                <w:sz w:val="20"/>
                <w:szCs w:val="20"/>
              </w:rPr>
            </w:pPr>
            <w:r w:rsidRPr="004761E0">
              <w:rPr>
                <w:color w:val="000000"/>
                <w:sz w:val="20"/>
                <w:szCs w:val="20"/>
              </w:rPr>
              <w:t>101,06</w:t>
            </w:r>
          </w:p>
        </w:tc>
      </w:tr>
      <w:tr w:rsidR="005123D7" w:rsidRPr="004761E0" w:rsidTr="005123D7">
        <w:trPr>
          <w:cantSplit/>
        </w:trPr>
        <w:tc>
          <w:tcPr>
            <w:tcW w:w="709" w:type="dxa"/>
            <w:tcBorders>
              <w:top w:val="single" w:sz="4" w:space="0" w:color="auto"/>
              <w:left w:val="single" w:sz="4" w:space="0" w:color="auto"/>
              <w:bottom w:val="single" w:sz="4" w:space="0" w:color="auto"/>
              <w:right w:val="single" w:sz="4" w:space="0" w:color="auto"/>
            </w:tcBorders>
            <w:vAlign w:val="center"/>
          </w:tcPr>
          <w:p w:rsidR="005123D7" w:rsidRPr="004761E0" w:rsidRDefault="005123D7" w:rsidP="007076A7">
            <w:pPr>
              <w:pStyle w:val="a5"/>
              <w:numPr>
                <w:ilvl w:val="0"/>
                <w:numId w:val="135"/>
              </w:numPr>
              <w:tabs>
                <w:tab w:val="left" w:pos="310"/>
              </w:tabs>
              <w:jc w:val="left"/>
              <w:rPr>
                <w:color w:val="000000"/>
                <w:sz w:val="20"/>
                <w:szCs w:val="20"/>
              </w:rPr>
            </w:pPr>
          </w:p>
        </w:tc>
        <w:tc>
          <w:tcPr>
            <w:tcW w:w="11624" w:type="dxa"/>
            <w:tcBorders>
              <w:top w:val="single" w:sz="4" w:space="0" w:color="auto"/>
              <w:left w:val="single" w:sz="4" w:space="0" w:color="auto"/>
              <w:bottom w:val="single" w:sz="4" w:space="0" w:color="auto"/>
              <w:right w:val="single" w:sz="4" w:space="0" w:color="auto"/>
            </w:tcBorders>
            <w:vAlign w:val="center"/>
          </w:tcPr>
          <w:p w:rsidR="005123D7" w:rsidRPr="004761E0" w:rsidRDefault="005123D7" w:rsidP="005123D7">
            <w:pPr>
              <w:ind w:firstLine="0"/>
              <w:jc w:val="left"/>
              <w:rPr>
                <w:color w:val="000000"/>
                <w:sz w:val="20"/>
                <w:szCs w:val="20"/>
              </w:rPr>
            </w:pPr>
            <w:r w:rsidRPr="004761E0">
              <w:rPr>
                <w:color w:val="000000"/>
                <w:sz w:val="20"/>
                <w:szCs w:val="20"/>
              </w:rPr>
              <w:t>Ставка на покрытие расходов сетевой организации на строительство  кабельных линий, руб./км (без НДС)</w:t>
            </w:r>
            <w:r w:rsidRPr="004761E0">
              <w:rPr>
                <w:color w:val="000000"/>
                <w:sz w:val="20"/>
                <w:szCs w:val="20"/>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tcPr>
          <w:p w:rsidR="005123D7" w:rsidRPr="004761E0" w:rsidRDefault="005123D7" w:rsidP="005123D7">
            <w:pPr>
              <w:ind w:firstLine="0"/>
              <w:jc w:val="right"/>
              <w:rPr>
                <w:color w:val="000000"/>
                <w:sz w:val="20"/>
                <w:szCs w:val="20"/>
              </w:rPr>
            </w:pPr>
            <w:r w:rsidRPr="004761E0">
              <w:rPr>
                <w:color w:val="000000"/>
                <w:sz w:val="20"/>
                <w:szCs w:val="20"/>
              </w:rPr>
              <w:t>418 449,90</w:t>
            </w:r>
          </w:p>
        </w:tc>
        <w:tc>
          <w:tcPr>
            <w:tcW w:w="1134" w:type="dxa"/>
            <w:tcBorders>
              <w:top w:val="single" w:sz="4" w:space="0" w:color="auto"/>
              <w:left w:val="single" w:sz="4" w:space="0" w:color="auto"/>
              <w:bottom w:val="single" w:sz="4" w:space="0" w:color="auto"/>
              <w:right w:val="single" w:sz="4" w:space="0" w:color="auto"/>
            </w:tcBorders>
            <w:vAlign w:val="center"/>
          </w:tcPr>
          <w:p w:rsidR="005123D7" w:rsidRPr="004761E0" w:rsidRDefault="005123D7" w:rsidP="005123D7">
            <w:pPr>
              <w:ind w:firstLine="0"/>
              <w:jc w:val="right"/>
              <w:rPr>
                <w:color w:val="000000"/>
                <w:sz w:val="20"/>
                <w:szCs w:val="20"/>
              </w:rPr>
            </w:pPr>
            <w:r w:rsidRPr="004761E0">
              <w:rPr>
                <w:color w:val="000000"/>
                <w:sz w:val="20"/>
                <w:szCs w:val="20"/>
              </w:rPr>
              <w:t>867 260,80</w:t>
            </w:r>
          </w:p>
        </w:tc>
      </w:tr>
      <w:tr w:rsidR="005123D7" w:rsidRPr="004761E0" w:rsidTr="005123D7">
        <w:trPr>
          <w:cantSplit/>
        </w:trPr>
        <w:tc>
          <w:tcPr>
            <w:tcW w:w="709" w:type="dxa"/>
            <w:tcBorders>
              <w:top w:val="single" w:sz="4" w:space="0" w:color="auto"/>
              <w:left w:val="single" w:sz="4" w:space="0" w:color="auto"/>
              <w:bottom w:val="single" w:sz="4" w:space="0" w:color="auto"/>
              <w:right w:val="single" w:sz="4" w:space="0" w:color="auto"/>
            </w:tcBorders>
            <w:vAlign w:val="center"/>
          </w:tcPr>
          <w:p w:rsidR="005123D7" w:rsidRPr="004761E0" w:rsidRDefault="005123D7" w:rsidP="007076A7">
            <w:pPr>
              <w:pStyle w:val="a5"/>
              <w:numPr>
                <w:ilvl w:val="0"/>
                <w:numId w:val="135"/>
              </w:numPr>
              <w:tabs>
                <w:tab w:val="left" w:pos="310"/>
              </w:tabs>
              <w:jc w:val="left"/>
              <w:rPr>
                <w:color w:val="000000"/>
                <w:sz w:val="20"/>
                <w:szCs w:val="20"/>
              </w:rPr>
            </w:pPr>
          </w:p>
        </w:tc>
        <w:tc>
          <w:tcPr>
            <w:tcW w:w="11624" w:type="dxa"/>
            <w:tcBorders>
              <w:top w:val="single" w:sz="4" w:space="0" w:color="auto"/>
              <w:left w:val="single" w:sz="4" w:space="0" w:color="auto"/>
              <w:bottom w:val="single" w:sz="4" w:space="0" w:color="auto"/>
              <w:right w:val="single" w:sz="4" w:space="0" w:color="auto"/>
            </w:tcBorders>
            <w:vAlign w:val="center"/>
          </w:tcPr>
          <w:p w:rsidR="005123D7" w:rsidRPr="004761E0" w:rsidRDefault="005123D7" w:rsidP="005123D7">
            <w:pPr>
              <w:ind w:firstLine="0"/>
              <w:jc w:val="left"/>
              <w:rPr>
                <w:color w:val="000000"/>
                <w:sz w:val="20"/>
                <w:szCs w:val="20"/>
              </w:rPr>
            </w:pPr>
            <w:r w:rsidRPr="004761E0">
              <w:rPr>
                <w:color w:val="000000"/>
                <w:sz w:val="20"/>
                <w:szCs w:val="20"/>
              </w:rPr>
              <w:t>Ставка на покрытие расходов сетевой организации на строительство пунктов секционирования, руб./кВт (без НДС)</w:t>
            </w:r>
            <w:r w:rsidRPr="004761E0">
              <w:rPr>
                <w:color w:val="000000"/>
                <w:sz w:val="20"/>
                <w:szCs w:val="20"/>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tcPr>
          <w:p w:rsidR="005123D7" w:rsidRPr="004761E0" w:rsidRDefault="005123D7" w:rsidP="005123D7">
            <w:pPr>
              <w:ind w:firstLine="0"/>
              <w:jc w:val="center"/>
              <w:rPr>
                <w:color w:val="000000"/>
                <w:sz w:val="20"/>
                <w:szCs w:val="20"/>
              </w:rPr>
            </w:pPr>
            <w:r w:rsidRPr="004761E0">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5123D7" w:rsidRPr="004761E0" w:rsidRDefault="005123D7" w:rsidP="005123D7">
            <w:pPr>
              <w:ind w:firstLine="0"/>
              <w:jc w:val="center"/>
              <w:rPr>
                <w:color w:val="000000"/>
                <w:sz w:val="20"/>
                <w:szCs w:val="20"/>
              </w:rPr>
            </w:pPr>
            <w:r w:rsidRPr="004761E0">
              <w:rPr>
                <w:sz w:val="20"/>
                <w:szCs w:val="20"/>
              </w:rPr>
              <w:t>-</w:t>
            </w:r>
          </w:p>
        </w:tc>
      </w:tr>
      <w:tr w:rsidR="005123D7" w:rsidRPr="004761E0" w:rsidTr="005123D7">
        <w:trPr>
          <w:cantSplit/>
        </w:trPr>
        <w:tc>
          <w:tcPr>
            <w:tcW w:w="709" w:type="dxa"/>
            <w:tcBorders>
              <w:top w:val="single" w:sz="4" w:space="0" w:color="auto"/>
              <w:left w:val="single" w:sz="4" w:space="0" w:color="auto"/>
              <w:bottom w:val="single" w:sz="4" w:space="0" w:color="auto"/>
              <w:right w:val="single" w:sz="4" w:space="0" w:color="auto"/>
            </w:tcBorders>
            <w:vAlign w:val="center"/>
          </w:tcPr>
          <w:p w:rsidR="005123D7" w:rsidRPr="004761E0" w:rsidRDefault="005123D7" w:rsidP="007076A7">
            <w:pPr>
              <w:pStyle w:val="a5"/>
              <w:numPr>
                <w:ilvl w:val="0"/>
                <w:numId w:val="135"/>
              </w:numPr>
              <w:tabs>
                <w:tab w:val="left" w:pos="310"/>
              </w:tabs>
              <w:jc w:val="left"/>
              <w:rPr>
                <w:color w:val="000000"/>
                <w:sz w:val="20"/>
                <w:szCs w:val="20"/>
              </w:rPr>
            </w:pPr>
          </w:p>
        </w:tc>
        <w:tc>
          <w:tcPr>
            <w:tcW w:w="11624" w:type="dxa"/>
            <w:tcBorders>
              <w:top w:val="single" w:sz="4" w:space="0" w:color="auto"/>
              <w:left w:val="nil"/>
              <w:bottom w:val="single" w:sz="4" w:space="0" w:color="auto"/>
              <w:right w:val="single" w:sz="4" w:space="0" w:color="auto"/>
            </w:tcBorders>
            <w:vAlign w:val="center"/>
          </w:tcPr>
          <w:p w:rsidR="005123D7" w:rsidRPr="004761E0" w:rsidRDefault="005123D7" w:rsidP="005123D7">
            <w:pPr>
              <w:ind w:firstLine="0"/>
              <w:jc w:val="left"/>
              <w:rPr>
                <w:color w:val="000000"/>
                <w:sz w:val="20"/>
                <w:szCs w:val="20"/>
              </w:rPr>
            </w:pPr>
            <w:r w:rsidRPr="004761E0">
              <w:rPr>
                <w:color w:val="000000"/>
                <w:sz w:val="20"/>
                <w:szCs w:val="20"/>
              </w:rPr>
              <w:t>Ставка на покрытие расходов сетевой организации на строительство комплектных трансформаторных подстанций, распределительных трансформаторных подстанций, распределительных пунктов с уровнем напряжения до 35 кВ, руб./кВт (без НДС)</w:t>
            </w:r>
            <w:r w:rsidRPr="004761E0">
              <w:rPr>
                <w:color w:val="000000"/>
                <w:sz w:val="20"/>
                <w:szCs w:val="20"/>
                <w:vertAlign w:val="superscript"/>
              </w:rPr>
              <w:t>2</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5123D7" w:rsidRPr="004761E0" w:rsidRDefault="005123D7" w:rsidP="005123D7">
            <w:pPr>
              <w:ind w:firstLine="0"/>
              <w:jc w:val="center"/>
              <w:rPr>
                <w:color w:val="000000"/>
                <w:sz w:val="20"/>
                <w:szCs w:val="20"/>
              </w:rPr>
            </w:pPr>
            <w:r w:rsidRPr="004761E0">
              <w:rPr>
                <w:sz w:val="20"/>
                <w:szCs w:val="20"/>
              </w:rPr>
              <w:t>487,30</w:t>
            </w:r>
          </w:p>
        </w:tc>
      </w:tr>
      <w:tr w:rsidR="005123D7" w:rsidRPr="004761E0" w:rsidTr="005123D7">
        <w:trPr>
          <w:cantSplit/>
        </w:trPr>
        <w:tc>
          <w:tcPr>
            <w:tcW w:w="709" w:type="dxa"/>
            <w:tcBorders>
              <w:top w:val="nil"/>
              <w:left w:val="single" w:sz="4" w:space="0" w:color="auto"/>
              <w:bottom w:val="single" w:sz="4" w:space="0" w:color="auto"/>
              <w:right w:val="single" w:sz="4" w:space="0" w:color="auto"/>
            </w:tcBorders>
            <w:vAlign w:val="center"/>
            <w:hideMark/>
          </w:tcPr>
          <w:p w:rsidR="005123D7" w:rsidRPr="004761E0" w:rsidRDefault="005123D7" w:rsidP="007076A7">
            <w:pPr>
              <w:pStyle w:val="a5"/>
              <w:numPr>
                <w:ilvl w:val="0"/>
                <w:numId w:val="135"/>
              </w:numPr>
              <w:tabs>
                <w:tab w:val="left" w:pos="310"/>
              </w:tabs>
              <w:jc w:val="left"/>
              <w:rPr>
                <w:color w:val="000000"/>
                <w:sz w:val="20"/>
                <w:szCs w:val="20"/>
              </w:rPr>
            </w:pPr>
          </w:p>
        </w:tc>
        <w:tc>
          <w:tcPr>
            <w:tcW w:w="11624" w:type="dxa"/>
            <w:tcBorders>
              <w:top w:val="nil"/>
              <w:left w:val="nil"/>
              <w:bottom w:val="single" w:sz="4" w:space="0" w:color="auto"/>
              <w:right w:val="single" w:sz="4" w:space="0" w:color="auto"/>
            </w:tcBorders>
            <w:vAlign w:val="center"/>
          </w:tcPr>
          <w:p w:rsidR="005123D7" w:rsidRPr="004761E0" w:rsidRDefault="005123D7" w:rsidP="005123D7">
            <w:pPr>
              <w:ind w:firstLine="0"/>
              <w:rPr>
                <w:color w:val="000000"/>
                <w:sz w:val="20"/>
                <w:szCs w:val="20"/>
              </w:rPr>
            </w:pPr>
            <w:r w:rsidRPr="004761E0">
              <w:rPr>
                <w:color w:val="000000"/>
                <w:sz w:val="20"/>
                <w:szCs w:val="20"/>
              </w:rPr>
              <w:t>Ставка на покрытие расходов сетевой организации на строительство центров питания, подстанций уровнем напряжения 35 кВ и выше, руб./кВт (без НДС)</w:t>
            </w:r>
            <w:r w:rsidRPr="004761E0">
              <w:rPr>
                <w:color w:val="000000"/>
                <w:sz w:val="20"/>
                <w:szCs w:val="20"/>
                <w:vertAlign w:val="superscript"/>
              </w:rPr>
              <w:t>2</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5123D7" w:rsidRPr="004761E0" w:rsidRDefault="005123D7" w:rsidP="005123D7">
            <w:pPr>
              <w:ind w:firstLine="0"/>
              <w:jc w:val="center"/>
              <w:rPr>
                <w:color w:val="000000"/>
                <w:sz w:val="20"/>
                <w:szCs w:val="20"/>
              </w:rPr>
            </w:pPr>
            <w:r w:rsidRPr="004761E0">
              <w:rPr>
                <w:sz w:val="20"/>
                <w:szCs w:val="20"/>
              </w:rPr>
              <w:t>-</w:t>
            </w:r>
          </w:p>
        </w:tc>
      </w:tr>
    </w:tbl>
    <w:p w:rsidR="005123D7" w:rsidRPr="004761E0" w:rsidRDefault="005123D7" w:rsidP="005123D7">
      <w:pPr>
        <w:ind w:firstLine="567"/>
        <w:rPr>
          <w:rFonts w:eastAsia="Times New Roman"/>
          <w:color w:val="000000"/>
          <w:sz w:val="20"/>
          <w:szCs w:val="26"/>
          <w:lang w:eastAsia="ru-RU"/>
        </w:rPr>
      </w:pPr>
      <w:r w:rsidRPr="004761E0">
        <w:rPr>
          <w:rFonts w:eastAsia="Times New Roman"/>
          <w:color w:val="000000"/>
          <w:sz w:val="20"/>
          <w:szCs w:val="26"/>
          <w:vertAlign w:val="superscript"/>
          <w:lang w:eastAsia="ru-RU"/>
        </w:rPr>
        <w:t>1 </w:t>
      </w:r>
      <w:r w:rsidRPr="004761E0">
        <w:rPr>
          <w:rFonts w:eastAsia="Times New Roman"/>
          <w:color w:val="000000"/>
          <w:sz w:val="20"/>
          <w:szCs w:val="26"/>
          <w:lang w:eastAsia="ru-RU"/>
        </w:rPr>
        <w:t>Н</w:t>
      </w:r>
      <w:r w:rsidRPr="004761E0">
        <w:rPr>
          <w:rFonts w:eastAsia="Times New Roman"/>
          <w:iCs/>
          <w:color w:val="000000"/>
          <w:sz w:val="20"/>
          <w:szCs w:val="26"/>
          <w:lang w:eastAsia="ru-RU"/>
        </w:rPr>
        <w:t xml:space="preserve">а выполнение организационных мероприятий со стороны </w:t>
      </w:r>
      <w:r w:rsidR="0008080E">
        <w:rPr>
          <w:rFonts w:eastAsia="Times New Roman"/>
          <w:iCs/>
          <w:color w:val="000000"/>
          <w:sz w:val="20"/>
          <w:szCs w:val="26"/>
          <w:lang w:eastAsia="ru-RU"/>
        </w:rPr>
        <w:t>ОАО </w:t>
      </w:r>
      <w:r w:rsidRPr="004761E0">
        <w:rPr>
          <w:rFonts w:eastAsia="Times New Roman"/>
          <w:iCs/>
          <w:color w:val="000000"/>
          <w:sz w:val="20"/>
          <w:szCs w:val="26"/>
          <w:lang w:eastAsia="ru-RU"/>
        </w:rPr>
        <w:t>«МОЭСК» установлены стандартизированные тарифные ставки на покрытие расходов за технологическое присоединение в ценах периода регулирования</w:t>
      </w:r>
      <w:r w:rsidRPr="004761E0">
        <w:rPr>
          <w:rFonts w:eastAsia="Times New Roman"/>
          <w:color w:val="000000"/>
          <w:sz w:val="20"/>
          <w:szCs w:val="26"/>
          <w:lang w:eastAsia="ru-RU"/>
        </w:rPr>
        <w:t>.</w:t>
      </w:r>
    </w:p>
    <w:p w:rsidR="005123D7" w:rsidRPr="004761E0" w:rsidRDefault="005123D7" w:rsidP="005123D7">
      <w:pPr>
        <w:ind w:firstLine="567"/>
        <w:rPr>
          <w:rFonts w:eastAsia="Times New Roman"/>
          <w:iCs/>
          <w:color w:val="000000"/>
          <w:sz w:val="20"/>
          <w:szCs w:val="26"/>
          <w:lang w:eastAsia="ru-RU"/>
        </w:rPr>
      </w:pPr>
      <w:r w:rsidRPr="004761E0">
        <w:rPr>
          <w:rFonts w:eastAsia="Times New Roman"/>
          <w:color w:val="000000"/>
          <w:sz w:val="20"/>
          <w:szCs w:val="26"/>
          <w:vertAlign w:val="superscript"/>
          <w:lang w:eastAsia="ru-RU"/>
        </w:rPr>
        <w:t>2 </w:t>
      </w:r>
      <w:r w:rsidRPr="004761E0">
        <w:rPr>
          <w:rFonts w:eastAsia="Times New Roman"/>
          <w:iCs/>
          <w:color w:val="000000"/>
          <w:sz w:val="20"/>
          <w:szCs w:val="26"/>
          <w:lang w:eastAsia="ru-RU"/>
        </w:rPr>
        <w:t xml:space="preserve">На выполнение мероприятий «последней мили» (расходы капитального характера) со стороны </w:t>
      </w:r>
      <w:r w:rsidR="0008080E">
        <w:rPr>
          <w:rFonts w:eastAsia="Times New Roman"/>
          <w:iCs/>
          <w:color w:val="000000"/>
          <w:sz w:val="20"/>
          <w:szCs w:val="26"/>
          <w:lang w:eastAsia="ru-RU"/>
        </w:rPr>
        <w:t>ОАО </w:t>
      </w:r>
      <w:r w:rsidRPr="004761E0">
        <w:rPr>
          <w:rFonts w:eastAsia="Times New Roman"/>
          <w:iCs/>
          <w:color w:val="000000"/>
          <w:sz w:val="20"/>
          <w:szCs w:val="26"/>
          <w:lang w:eastAsia="ru-RU"/>
        </w:rPr>
        <w:t>«МОЭСК» установлены стандартизированные тарифные ставки в ценах 2001 года.</w:t>
      </w:r>
    </w:p>
    <w:p w:rsidR="005123D7" w:rsidRPr="004761E0" w:rsidRDefault="005123D7" w:rsidP="005123D7">
      <w:pPr>
        <w:ind w:firstLine="567"/>
        <w:rPr>
          <w:rFonts w:eastAsia="Times New Roman"/>
          <w:iCs/>
          <w:color w:val="000000"/>
          <w:sz w:val="20"/>
          <w:szCs w:val="26"/>
          <w:lang w:eastAsia="ru-RU"/>
        </w:rPr>
      </w:pPr>
      <w:r w:rsidRPr="004761E0">
        <w:rPr>
          <w:rFonts w:eastAsia="Times New Roman"/>
          <w:iCs/>
          <w:color w:val="000000"/>
          <w:sz w:val="20"/>
          <w:szCs w:val="26"/>
          <w:vertAlign w:val="superscript"/>
          <w:lang w:eastAsia="ru-RU"/>
        </w:rPr>
        <w:t>3</w:t>
      </w:r>
      <w:r w:rsidRPr="004761E0">
        <w:rPr>
          <w:rFonts w:eastAsia="Times New Roman"/>
          <w:iCs/>
          <w:color w:val="000000"/>
          <w:sz w:val="20"/>
          <w:szCs w:val="26"/>
          <w:lang w:eastAsia="ru-RU"/>
        </w:rPr>
        <w:t xml:space="preserve"> Размер платы за технологическое присоединение объектов заявителей к электрическим сетям </w:t>
      </w:r>
      <w:r w:rsidR="0008080E">
        <w:rPr>
          <w:rFonts w:eastAsia="Times New Roman"/>
          <w:iCs/>
          <w:color w:val="000000"/>
          <w:sz w:val="20"/>
          <w:szCs w:val="26"/>
          <w:lang w:eastAsia="ru-RU"/>
        </w:rPr>
        <w:t>ОАО </w:t>
      </w:r>
      <w:r w:rsidRPr="004761E0">
        <w:rPr>
          <w:rFonts w:eastAsia="Times New Roman"/>
          <w:iCs/>
          <w:color w:val="000000"/>
          <w:sz w:val="20"/>
          <w:szCs w:val="26"/>
          <w:lang w:eastAsia="ru-RU"/>
        </w:rPr>
        <w:t>«МОЭСК» на основе стандартизированных тарифных ставок рассчитывается в соответствии с формулой расчета размера платы, утвержденной постановлением РЭК г. Москвы от 27.12.2012 № 421.</w:t>
      </w:r>
    </w:p>
    <w:p w:rsidR="005123D7" w:rsidRPr="004761E0" w:rsidRDefault="005123D7" w:rsidP="005123D7">
      <w:pPr>
        <w:spacing w:before="120" w:after="120"/>
        <w:ind w:firstLine="567"/>
        <w:rPr>
          <w:iCs/>
          <w:sz w:val="26"/>
          <w:szCs w:val="26"/>
        </w:rPr>
      </w:pPr>
      <w:r w:rsidRPr="004761E0">
        <w:rPr>
          <w:sz w:val="26"/>
          <w:szCs w:val="26"/>
        </w:rPr>
        <w:t xml:space="preserve">Стандартизированные тарифные ставки и ставки за 1 мВт максимальной мощности на уровне напряжения ниже 35 кВ с присоединяемой мощностью менее 8 900 кВт для определения платы за технологическое присоединение к электрическим сетям </w:t>
      </w:r>
      <w:r w:rsidR="0008080E">
        <w:rPr>
          <w:sz w:val="26"/>
          <w:szCs w:val="26"/>
        </w:rPr>
        <w:t>ОАО </w:t>
      </w:r>
      <w:r w:rsidRPr="004761E0">
        <w:rPr>
          <w:sz w:val="26"/>
          <w:szCs w:val="26"/>
        </w:rPr>
        <w:t xml:space="preserve">«МОЭСК» на территории </w:t>
      </w:r>
      <w:r w:rsidRPr="004761E0">
        <w:rPr>
          <w:iCs/>
          <w:sz w:val="26"/>
          <w:szCs w:val="26"/>
        </w:rPr>
        <w:t>Московской области на 2013 год</w:t>
      </w:r>
      <w:r w:rsidRPr="006F4AB8">
        <w:rPr>
          <w:rStyle w:val="af1"/>
        </w:rPr>
        <w:footnoteReference w:id="170"/>
      </w:r>
    </w:p>
    <w:p w:rsidR="005123D7" w:rsidRPr="00CA38EF" w:rsidRDefault="005123D7" w:rsidP="00CA38EF">
      <w:pPr>
        <w:spacing w:before="120" w:after="120"/>
        <w:ind w:firstLine="567"/>
        <w:rPr>
          <w:b/>
          <w:sz w:val="26"/>
          <w:szCs w:val="26"/>
        </w:rPr>
      </w:pPr>
      <w:r w:rsidRPr="00CA38EF">
        <w:rPr>
          <w:b/>
          <w:sz w:val="26"/>
          <w:szCs w:val="26"/>
        </w:rPr>
        <w:t xml:space="preserve">Ставки за 1 кВт максимальной мощности </w:t>
      </w:r>
    </w:p>
    <w:tbl>
      <w:tblPr>
        <w:tblW w:w="14601" w:type="dxa"/>
        <w:tblInd w:w="108" w:type="dxa"/>
        <w:tblLayout w:type="fixed"/>
        <w:tblLook w:val="04A0"/>
      </w:tblPr>
      <w:tblGrid>
        <w:gridCol w:w="709"/>
        <w:gridCol w:w="11624"/>
        <w:gridCol w:w="1239"/>
        <w:gridCol w:w="1029"/>
      </w:tblGrid>
      <w:tr w:rsidR="005123D7" w:rsidRPr="004761E0" w:rsidTr="00C50A49">
        <w:trPr>
          <w:cantSplit/>
          <w:trHeight w:val="108"/>
        </w:trPr>
        <w:tc>
          <w:tcPr>
            <w:tcW w:w="709" w:type="dxa"/>
            <w:vMerge w:val="restart"/>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noWrap/>
            <w:vAlign w:val="center"/>
          </w:tcPr>
          <w:p w:rsidR="005123D7" w:rsidRPr="004761E0" w:rsidRDefault="005123D7" w:rsidP="005123D7">
            <w:pPr>
              <w:ind w:firstLine="0"/>
              <w:jc w:val="left"/>
              <w:rPr>
                <w:b/>
                <w:color w:val="FFFFFF" w:themeColor="background1"/>
                <w:sz w:val="20"/>
                <w:szCs w:val="20"/>
              </w:rPr>
            </w:pPr>
            <w:r w:rsidRPr="004761E0">
              <w:rPr>
                <w:b/>
                <w:color w:val="FFFFFF" w:themeColor="background1"/>
                <w:sz w:val="20"/>
                <w:szCs w:val="20"/>
              </w:rPr>
              <w:lastRenderedPageBreak/>
              <w:t>№ п/п</w:t>
            </w:r>
          </w:p>
        </w:tc>
        <w:tc>
          <w:tcPr>
            <w:tcW w:w="11624" w:type="dxa"/>
            <w:vMerge w:val="restart"/>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noWrap/>
            <w:vAlign w:val="center"/>
          </w:tcPr>
          <w:p w:rsidR="005123D7" w:rsidRPr="004761E0" w:rsidRDefault="005123D7" w:rsidP="005123D7">
            <w:pPr>
              <w:ind w:firstLine="0"/>
              <w:jc w:val="left"/>
              <w:rPr>
                <w:b/>
                <w:color w:val="FFFFFF" w:themeColor="background1"/>
                <w:sz w:val="20"/>
                <w:szCs w:val="20"/>
              </w:rPr>
            </w:pPr>
            <w:r w:rsidRPr="004761E0">
              <w:rPr>
                <w:b/>
                <w:color w:val="FFFFFF" w:themeColor="background1"/>
                <w:sz w:val="20"/>
                <w:szCs w:val="20"/>
              </w:rPr>
              <w:t>Наименование мероприятий</w:t>
            </w:r>
          </w:p>
        </w:tc>
        <w:tc>
          <w:tcPr>
            <w:tcW w:w="2268" w:type="dxa"/>
            <w:gridSpan w:val="2"/>
            <w:tcBorders>
              <w:top w:val="single" w:sz="4" w:space="0" w:color="auto"/>
              <w:left w:val="single" w:sz="4" w:space="0" w:color="FFFFFF" w:themeColor="background1"/>
              <w:bottom w:val="single" w:sz="4" w:space="0" w:color="FFFFFF" w:themeColor="background1"/>
              <w:right w:val="single" w:sz="4" w:space="0" w:color="auto"/>
            </w:tcBorders>
            <w:shd w:val="clear" w:color="auto" w:fill="0F243E" w:themeFill="text2" w:themeFillShade="80"/>
            <w:vAlign w:val="center"/>
          </w:tcPr>
          <w:p w:rsidR="005123D7" w:rsidRPr="004761E0" w:rsidRDefault="005123D7" w:rsidP="005123D7">
            <w:pPr>
              <w:ind w:firstLine="0"/>
              <w:jc w:val="center"/>
              <w:rPr>
                <w:b/>
                <w:color w:val="FFFFFF" w:themeColor="background1"/>
                <w:sz w:val="20"/>
                <w:szCs w:val="20"/>
              </w:rPr>
            </w:pPr>
            <w:r w:rsidRPr="004761E0">
              <w:rPr>
                <w:b/>
                <w:color w:val="FFFFFF" w:themeColor="background1"/>
                <w:sz w:val="20"/>
                <w:szCs w:val="20"/>
              </w:rPr>
              <w:t>руб./кВт (без НДС)</w:t>
            </w:r>
          </w:p>
        </w:tc>
      </w:tr>
      <w:tr w:rsidR="005123D7" w:rsidRPr="004761E0" w:rsidTr="00C50A49">
        <w:trPr>
          <w:cantSplit/>
          <w:trHeight w:val="230"/>
        </w:trPr>
        <w:tc>
          <w:tcPr>
            <w:tcW w:w="709" w:type="dxa"/>
            <w:vMerge/>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noWrap/>
            <w:vAlign w:val="center"/>
          </w:tcPr>
          <w:p w:rsidR="005123D7" w:rsidRPr="004761E0" w:rsidRDefault="005123D7" w:rsidP="005123D7">
            <w:pPr>
              <w:ind w:firstLine="0"/>
              <w:jc w:val="left"/>
              <w:rPr>
                <w:b/>
                <w:color w:val="FFFFFF" w:themeColor="background1"/>
                <w:sz w:val="20"/>
                <w:szCs w:val="20"/>
              </w:rPr>
            </w:pPr>
          </w:p>
        </w:tc>
        <w:tc>
          <w:tcPr>
            <w:tcW w:w="11624" w:type="dxa"/>
            <w:vMerge/>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noWrap/>
            <w:vAlign w:val="center"/>
          </w:tcPr>
          <w:p w:rsidR="005123D7" w:rsidRPr="004761E0" w:rsidRDefault="005123D7" w:rsidP="005123D7">
            <w:pPr>
              <w:ind w:firstLine="0"/>
              <w:jc w:val="left"/>
              <w:rPr>
                <w:b/>
                <w:color w:val="FFFFFF" w:themeColor="background1"/>
                <w:sz w:val="20"/>
                <w:szCs w:val="20"/>
              </w:rPr>
            </w:pPr>
          </w:p>
        </w:tc>
        <w:tc>
          <w:tcPr>
            <w:tcW w:w="1239" w:type="dxa"/>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5123D7" w:rsidRPr="004761E0" w:rsidRDefault="005123D7" w:rsidP="005123D7">
            <w:pPr>
              <w:ind w:firstLine="0"/>
              <w:jc w:val="center"/>
              <w:rPr>
                <w:b/>
                <w:color w:val="FFFFFF" w:themeColor="background1"/>
                <w:sz w:val="20"/>
                <w:szCs w:val="20"/>
              </w:rPr>
            </w:pPr>
            <w:r w:rsidRPr="004761E0">
              <w:rPr>
                <w:b/>
                <w:color w:val="FFFFFF" w:themeColor="background1"/>
                <w:sz w:val="20"/>
                <w:szCs w:val="20"/>
              </w:rPr>
              <w:t>0,4 кВ</w:t>
            </w:r>
          </w:p>
        </w:tc>
        <w:tc>
          <w:tcPr>
            <w:tcW w:w="1029" w:type="dxa"/>
            <w:vMerge w:val="restart"/>
            <w:tcBorders>
              <w:top w:val="single" w:sz="4" w:space="0" w:color="FFFFFF" w:themeColor="background1"/>
              <w:left w:val="single" w:sz="4" w:space="0" w:color="FFFFFF" w:themeColor="background1"/>
              <w:bottom w:val="single" w:sz="4" w:space="0" w:color="auto"/>
              <w:right w:val="single" w:sz="4" w:space="0" w:color="auto"/>
            </w:tcBorders>
            <w:shd w:val="clear" w:color="auto" w:fill="0F243E" w:themeFill="text2" w:themeFillShade="80"/>
            <w:vAlign w:val="center"/>
          </w:tcPr>
          <w:p w:rsidR="005123D7" w:rsidRPr="004761E0" w:rsidRDefault="005123D7" w:rsidP="005123D7">
            <w:pPr>
              <w:ind w:firstLine="0"/>
              <w:jc w:val="center"/>
              <w:rPr>
                <w:b/>
                <w:color w:val="FFFFFF" w:themeColor="background1"/>
                <w:sz w:val="20"/>
                <w:szCs w:val="20"/>
              </w:rPr>
            </w:pPr>
            <w:r w:rsidRPr="004761E0">
              <w:rPr>
                <w:b/>
                <w:color w:val="FFFFFF" w:themeColor="background1"/>
                <w:sz w:val="20"/>
                <w:szCs w:val="20"/>
              </w:rPr>
              <w:t>6, 10 кВ</w:t>
            </w:r>
          </w:p>
        </w:tc>
      </w:tr>
      <w:tr w:rsidR="005123D7" w:rsidRPr="004761E0" w:rsidTr="005123D7">
        <w:trPr>
          <w:cantSplit/>
          <w:trHeight w:val="230"/>
        </w:trPr>
        <w:tc>
          <w:tcPr>
            <w:tcW w:w="709" w:type="dxa"/>
            <w:vMerge/>
            <w:tcBorders>
              <w:top w:val="single" w:sz="4" w:space="0" w:color="FFFFFF" w:themeColor="background1"/>
              <w:left w:val="single" w:sz="4" w:space="0" w:color="auto"/>
              <w:bottom w:val="single" w:sz="4" w:space="0" w:color="auto"/>
              <w:right w:val="single" w:sz="4" w:space="0" w:color="FFFFFF" w:themeColor="background1"/>
            </w:tcBorders>
            <w:shd w:val="clear" w:color="auto" w:fill="0F243E" w:themeFill="text2" w:themeFillShade="80"/>
            <w:noWrap/>
            <w:vAlign w:val="center"/>
          </w:tcPr>
          <w:p w:rsidR="005123D7" w:rsidRPr="004761E0" w:rsidRDefault="005123D7" w:rsidP="005123D7">
            <w:pPr>
              <w:ind w:firstLine="0"/>
              <w:jc w:val="center"/>
              <w:rPr>
                <w:b/>
                <w:color w:val="FFFFFF" w:themeColor="background1"/>
                <w:sz w:val="20"/>
                <w:szCs w:val="20"/>
              </w:rPr>
            </w:pPr>
          </w:p>
        </w:tc>
        <w:tc>
          <w:tcPr>
            <w:tcW w:w="11624"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noWrap/>
            <w:vAlign w:val="center"/>
          </w:tcPr>
          <w:p w:rsidR="005123D7" w:rsidRPr="004761E0" w:rsidRDefault="005123D7" w:rsidP="005123D7">
            <w:pPr>
              <w:ind w:firstLine="0"/>
              <w:jc w:val="left"/>
              <w:rPr>
                <w:b/>
                <w:color w:val="FFFFFF" w:themeColor="background1"/>
                <w:sz w:val="20"/>
                <w:szCs w:val="20"/>
              </w:rPr>
            </w:pPr>
          </w:p>
        </w:tc>
        <w:tc>
          <w:tcPr>
            <w:tcW w:w="1239"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5123D7" w:rsidRPr="004761E0" w:rsidRDefault="005123D7" w:rsidP="005123D7">
            <w:pPr>
              <w:jc w:val="center"/>
              <w:rPr>
                <w:b/>
                <w:color w:val="FFFFFF" w:themeColor="background1"/>
                <w:sz w:val="20"/>
                <w:szCs w:val="20"/>
              </w:rPr>
            </w:pPr>
          </w:p>
        </w:tc>
        <w:tc>
          <w:tcPr>
            <w:tcW w:w="1029" w:type="dxa"/>
            <w:vMerge/>
            <w:tcBorders>
              <w:top w:val="single" w:sz="4" w:space="0" w:color="FFFFFF" w:themeColor="background1"/>
              <w:left w:val="single" w:sz="4" w:space="0" w:color="FFFFFF" w:themeColor="background1"/>
              <w:bottom w:val="single" w:sz="4" w:space="0" w:color="auto"/>
              <w:right w:val="single" w:sz="4" w:space="0" w:color="auto"/>
            </w:tcBorders>
            <w:shd w:val="clear" w:color="auto" w:fill="0F243E" w:themeFill="text2" w:themeFillShade="80"/>
            <w:vAlign w:val="center"/>
          </w:tcPr>
          <w:p w:rsidR="005123D7" w:rsidRPr="004761E0" w:rsidRDefault="005123D7" w:rsidP="005123D7">
            <w:pPr>
              <w:jc w:val="center"/>
              <w:rPr>
                <w:b/>
                <w:color w:val="FFFFFF" w:themeColor="background1"/>
                <w:sz w:val="20"/>
                <w:szCs w:val="20"/>
              </w:rPr>
            </w:pPr>
          </w:p>
        </w:tc>
      </w:tr>
      <w:tr w:rsidR="005123D7" w:rsidRPr="004761E0" w:rsidTr="005123D7">
        <w:trPr>
          <w:cantSplit/>
        </w:trPr>
        <w:tc>
          <w:tcPr>
            <w:tcW w:w="709" w:type="dxa"/>
            <w:tcBorders>
              <w:top w:val="single" w:sz="4" w:space="0" w:color="auto"/>
              <w:left w:val="single" w:sz="4" w:space="0" w:color="auto"/>
              <w:bottom w:val="single" w:sz="4" w:space="0" w:color="auto"/>
              <w:right w:val="single" w:sz="4" w:space="0" w:color="auto"/>
            </w:tcBorders>
            <w:vAlign w:val="center"/>
          </w:tcPr>
          <w:p w:rsidR="005123D7" w:rsidRPr="004761E0" w:rsidRDefault="005123D7" w:rsidP="007076A7">
            <w:pPr>
              <w:pStyle w:val="a5"/>
              <w:numPr>
                <w:ilvl w:val="0"/>
                <w:numId w:val="144"/>
              </w:numPr>
              <w:tabs>
                <w:tab w:val="left" w:pos="310"/>
              </w:tabs>
              <w:jc w:val="left"/>
              <w:rPr>
                <w:color w:val="000000"/>
                <w:sz w:val="20"/>
                <w:szCs w:val="20"/>
              </w:rPr>
            </w:pPr>
          </w:p>
        </w:tc>
        <w:tc>
          <w:tcPr>
            <w:tcW w:w="11624" w:type="dxa"/>
            <w:tcBorders>
              <w:top w:val="single" w:sz="4" w:space="0" w:color="auto"/>
              <w:left w:val="nil"/>
              <w:bottom w:val="single" w:sz="4" w:space="0" w:color="auto"/>
              <w:right w:val="single" w:sz="4" w:space="0" w:color="auto"/>
            </w:tcBorders>
          </w:tcPr>
          <w:p w:rsidR="005123D7" w:rsidRPr="004761E0" w:rsidRDefault="005123D7" w:rsidP="005123D7">
            <w:pPr>
              <w:ind w:firstLine="0"/>
              <w:jc w:val="left"/>
              <w:rPr>
                <w:color w:val="000000"/>
                <w:sz w:val="20"/>
                <w:szCs w:val="20"/>
              </w:rPr>
            </w:pPr>
            <w:r w:rsidRPr="004761E0">
              <w:rPr>
                <w:color w:val="000000"/>
                <w:sz w:val="20"/>
                <w:szCs w:val="20"/>
              </w:rPr>
              <w:t xml:space="preserve">Подготовка и выдача сетевой организацией технических условий заявителю </w:t>
            </w:r>
          </w:p>
        </w:tc>
        <w:tc>
          <w:tcPr>
            <w:tcW w:w="2268" w:type="dxa"/>
            <w:gridSpan w:val="2"/>
            <w:tcBorders>
              <w:top w:val="single" w:sz="4" w:space="0" w:color="auto"/>
              <w:left w:val="nil"/>
              <w:bottom w:val="single" w:sz="4" w:space="0" w:color="auto"/>
              <w:right w:val="single" w:sz="4" w:space="0" w:color="auto"/>
            </w:tcBorders>
            <w:vAlign w:val="center"/>
          </w:tcPr>
          <w:p w:rsidR="005123D7" w:rsidRPr="004761E0" w:rsidRDefault="005123D7" w:rsidP="005123D7">
            <w:pPr>
              <w:ind w:firstLine="0"/>
              <w:jc w:val="center"/>
              <w:rPr>
                <w:color w:val="000000"/>
                <w:sz w:val="18"/>
                <w:szCs w:val="18"/>
              </w:rPr>
            </w:pPr>
            <w:r w:rsidRPr="004761E0">
              <w:rPr>
                <w:color w:val="000000"/>
                <w:sz w:val="18"/>
                <w:szCs w:val="18"/>
              </w:rPr>
              <w:t>307,00</w:t>
            </w:r>
          </w:p>
        </w:tc>
      </w:tr>
      <w:tr w:rsidR="005123D7" w:rsidRPr="004761E0" w:rsidTr="005123D7">
        <w:trPr>
          <w:cantSplit/>
        </w:trPr>
        <w:tc>
          <w:tcPr>
            <w:tcW w:w="709" w:type="dxa"/>
            <w:tcBorders>
              <w:top w:val="nil"/>
              <w:left w:val="single" w:sz="4" w:space="0" w:color="auto"/>
              <w:bottom w:val="single" w:sz="4" w:space="0" w:color="auto"/>
              <w:right w:val="single" w:sz="4" w:space="0" w:color="auto"/>
            </w:tcBorders>
            <w:vAlign w:val="center"/>
          </w:tcPr>
          <w:p w:rsidR="005123D7" w:rsidRPr="004761E0" w:rsidRDefault="005123D7" w:rsidP="007076A7">
            <w:pPr>
              <w:pStyle w:val="a5"/>
              <w:numPr>
                <w:ilvl w:val="0"/>
                <w:numId w:val="144"/>
              </w:numPr>
              <w:tabs>
                <w:tab w:val="left" w:pos="310"/>
              </w:tabs>
              <w:jc w:val="left"/>
              <w:rPr>
                <w:color w:val="000000"/>
                <w:sz w:val="20"/>
                <w:szCs w:val="20"/>
              </w:rPr>
            </w:pPr>
          </w:p>
        </w:tc>
        <w:tc>
          <w:tcPr>
            <w:tcW w:w="11624" w:type="dxa"/>
            <w:tcBorders>
              <w:top w:val="nil"/>
              <w:left w:val="nil"/>
              <w:bottom w:val="single" w:sz="4" w:space="0" w:color="auto"/>
              <w:right w:val="single" w:sz="4" w:space="0" w:color="auto"/>
            </w:tcBorders>
          </w:tcPr>
          <w:p w:rsidR="005123D7" w:rsidRPr="004761E0" w:rsidRDefault="005123D7" w:rsidP="005123D7">
            <w:pPr>
              <w:ind w:firstLine="0"/>
              <w:jc w:val="left"/>
              <w:rPr>
                <w:color w:val="000000"/>
                <w:sz w:val="20"/>
                <w:szCs w:val="20"/>
              </w:rPr>
            </w:pPr>
            <w:r w:rsidRPr="004761E0">
              <w:rPr>
                <w:color w:val="000000"/>
                <w:sz w:val="20"/>
                <w:szCs w:val="20"/>
              </w:rPr>
              <w:t xml:space="preserve">Разработка сетевой организацией проектной документации по строительству «последней мили» </w:t>
            </w:r>
          </w:p>
        </w:tc>
        <w:tc>
          <w:tcPr>
            <w:tcW w:w="2268" w:type="dxa"/>
            <w:gridSpan w:val="2"/>
            <w:tcBorders>
              <w:top w:val="single" w:sz="4" w:space="0" w:color="auto"/>
              <w:left w:val="nil"/>
              <w:bottom w:val="single" w:sz="4" w:space="0" w:color="auto"/>
              <w:right w:val="single" w:sz="4" w:space="0" w:color="auto"/>
            </w:tcBorders>
            <w:vAlign w:val="center"/>
          </w:tcPr>
          <w:p w:rsidR="005123D7" w:rsidRPr="004761E0" w:rsidRDefault="005123D7" w:rsidP="005123D7">
            <w:pPr>
              <w:ind w:firstLine="0"/>
              <w:jc w:val="center"/>
              <w:rPr>
                <w:color w:val="000000"/>
                <w:sz w:val="18"/>
                <w:szCs w:val="18"/>
              </w:rPr>
            </w:pPr>
            <w:r w:rsidRPr="004761E0">
              <w:rPr>
                <w:color w:val="000000"/>
                <w:sz w:val="18"/>
                <w:szCs w:val="18"/>
              </w:rPr>
              <w:t>-</w:t>
            </w:r>
          </w:p>
        </w:tc>
      </w:tr>
      <w:tr w:rsidR="005123D7" w:rsidRPr="004761E0" w:rsidTr="005123D7">
        <w:trPr>
          <w:cantSplit/>
        </w:trPr>
        <w:tc>
          <w:tcPr>
            <w:tcW w:w="709" w:type="dxa"/>
            <w:tcBorders>
              <w:top w:val="nil"/>
              <w:left w:val="single" w:sz="4" w:space="0" w:color="auto"/>
              <w:bottom w:val="single" w:sz="4" w:space="0" w:color="auto"/>
              <w:right w:val="single" w:sz="4" w:space="0" w:color="auto"/>
            </w:tcBorders>
            <w:vAlign w:val="center"/>
          </w:tcPr>
          <w:p w:rsidR="005123D7" w:rsidRPr="004761E0" w:rsidRDefault="005123D7" w:rsidP="007076A7">
            <w:pPr>
              <w:pStyle w:val="a5"/>
              <w:numPr>
                <w:ilvl w:val="0"/>
                <w:numId w:val="144"/>
              </w:numPr>
              <w:tabs>
                <w:tab w:val="left" w:pos="310"/>
              </w:tabs>
              <w:jc w:val="left"/>
              <w:rPr>
                <w:color w:val="000000"/>
                <w:sz w:val="20"/>
                <w:szCs w:val="20"/>
              </w:rPr>
            </w:pPr>
          </w:p>
        </w:tc>
        <w:tc>
          <w:tcPr>
            <w:tcW w:w="11624" w:type="dxa"/>
            <w:tcBorders>
              <w:top w:val="nil"/>
              <w:left w:val="nil"/>
              <w:bottom w:val="single" w:sz="4" w:space="0" w:color="auto"/>
              <w:right w:val="single" w:sz="4" w:space="0" w:color="auto"/>
            </w:tcBorders>
          </w:tcPr>
          <w:p w:rsidR="005123D7" w:rsidRPr="004761E0" w:rsidRDefault="005123D7" w:rsidP="005123D7">
            <w:pPr>
              <w:ind w:firstLine="0"/>
              <w:jc w:val="left"/>
              <w:rPr>
                <w:color w:val="000000"/>
                <w:sz w:val="20"/>
                <w:szCs w:val="20"/>
              </w:rPr>
            </w:pPr>
            <w:r w:rsidRPr="004761E0">
              <w:rPr>
                <w:color w:val="000000"/>
                <w:sz w:val="20"/>
                <w:szCs w:val="20"/>
              </w:rPr>
              <w:t xml:space="preserve">Выполнение сетевой организацией, мероприятий, связанных со строительством «последней мили» </w:t>
            </w:r>
          </w:p>
        </w:tc>
        <w:tc>
          <w:tcPr>
            <w:tcW w:w="2268" w:type="dxa"/>
            <w:gridSpan w:val="2"/>
            <w:tcBorders>
              <w:top w:val="nil"/>
              <w:left w:val="nil"/>
              <w:bottom w:val="single" w:sz="4" w:space="0" w:color="auto"/>
              <w:right w:val="single" w:sz="4" w:space="0" w:color="auto"/>
            </w:tcBorders>
            <w:vAlign w:val="center"/>
          </w:tcPr>
          <w:p w:rsidR="005123D7" w:rsidRPr="004761E0" w:rsidRDefault="005123D7" w:rsidP="005123D7">
            <w:pPr>
              <w:ind w:firstLine="0"/>
              <w:jc w:val="center"/>
              <w:rPr>
                <w:color w:val="000000"/>
                <w:sz w:val="18"/>
                <w:szCs w:val="18"/>
              </w:rPr>
            </w:pPr>
            <w:r w:rsidRPr="004761E0">
              <w:rPr>
                <w:color w:val="000000"/>
                <w:sz w:val="18"/>
                <w:szCs w:val="18"/>
              </w:rPr>
              <w:t>-</w:t>
            </w:r>
          </w:p>
        </w:tc>
      </w:tr>
      <w:tr w:rsidR="005123D7" w:rsidRPr="004761E0" w:rsidTr="005123D7">
        <w:trPr>
          <w:cantSplit/>
        </w:trPr>
        <w:tc>
          <w:tcPr>
            <w:tcW w:w="709" w:type="dxa"/>
            <w:tcBorders>
              <w:top w:val="nil"/>
              <w:left w:val="single" w:sz="4" w:space="0" w:color="auto"/>
              <w:bottom w:val="single" w:sz="4" w:space="0" w:color="auto"/>
              <w:right w:val="single" w:sz="4" w:space="0" w:color="auto"/>
            </w:tcBorders>
            <w:vAlign w:val="center"/>
          </w:tcPr>
          <w:p w:rsidR="005123D7" w:rsidRPr="004761E0" w:rsidRDefault="005123D7" w:rsidP="007076A7">
            <w:pPr>
              <w:pStyle w:val="a5"/>
              <w:numPr>
                <w:ilvl w:val="1"/>
                <w:numId w:val="49"/>
              </w:numPr>
              <w:tabs>
                <w:tab w:val="left" w:pos="318"/>
              </w:tabs>
              <w:jc w:val="left"/>
              <w:rPr>
                <w:color w:val="000000"/>
                <w:sz w:val="20"/>
                <w:szCs w:val="20"/>
              </w:rPr>
            </w:pPr>
          </w:p>
        </w:tc>
        <w:tc>
          <w:tcPr>
            <w:tcW w:w="11624" w:type="dxa"/>
            <w:tcBorders>
              <w:top w:val="nil"/>
              <w:left w:val="nil"/>
              <w:bottom w:val="single" w:sz="4" w:space="0" w:color="auto"/>
              <w:right w:val="single" w:sz="4" w:space="0" w:color="auto"/>
            </w:tcBorders>
          </w:tcPr>
          <w:p w:rsidR="005123D7" w:rsidRPr="004761E0" w:rsidRDefault="005123D7" w:rsidP="005123D7">
            <w:pPr>
              <w:ind w:left="284" w:firstLine="0"/>
              <w:jc w:val="left"/>
              <w:rPr>
                <w:color w:val="000000"/>
                <w:sz w:val="20"/>
                <w:szCs w:val="20"/>
              </w:rPr>
            </w:pPr>
            <w:r w:rsidRPr="004761E0">
              <w:rPr>
                <w:color w:val="000000"/>
                <w:sz w:val="20"/>
                <w:szCs w:val="20"/>
              </w:rPr>
              <w:t>строительство воздушных и (или) кабельных линий на уровне напряжения 0,4 кВ</w:t>
            </w:r>
          </w:p>
        </w:tc>
        <w:tc>
          <w:tcPr>
            <w:tcW w:w="1239" w:type="dxa"/>
            <w:tcBorders>
              <w:top w:val="nil"/>
              <w:left w:val="nil"/>
              <w:bottom w:val="single" w:sz="4" w:space="0" w:color="auto"/>
              <w:right w:val="single" w:sz="4" w:space="0" w:color="auto"/>
            </w:tcBorders>
            <w:vAlign w:val="center"/>
          </w:tcPr>
          <w:p w:rsidR="005123D7" w:rsidRPr="004761E0" w:rsidRDefault="005123D7" w:rsidP="005123D7">
            <w:pPr>
              <w:ind w:firstLine="0"/>
              <w:jc w:val="center"/>
              <w:rPr>
                <w:color w:val="000000"/>
                <w:sz w:val="18"/>
                <w:szCs w:val="18"/>
              </w:rPr>
            </w:pPr>
            <w:r w:rsidRPr="004761E0">
              <w:rPr>
                <w:color w:val="000000"/>
                <w:sz w:val="18"/>
                <w:szCs w:val="18"/>
              </w:rPr>
              <w:t>2 836,00</w:t>
            </w:r>
          </w:p>
        </w:tc>
        <w:tc>
          <w:tcPr>
            <w:tcW w:w="1029" w:type="dxa"/>
            <w:tcBorders>
              <w:top w:val="nil"/>
              <w:left w:val="nil"/>
              <w:bottom w:val="single" w:sz="4" w:space="0" w:color="auto"/>
              <w:right w:val="single" w:sz="4" w:space="0" w:color="auto"/>
            </w:tcBorders>
            <w:vAlign w:val="center"/>
          </w:tcPr>
          <w:p w:rsidR="005123D7" w:rsidRPr="004761E0" w:rsidRDefault="005123D7" w:rsidP="005123D7">
            <w:pPr>
              <w:ind w:firstLine="0"/>
              <w:jc w:val="center"/>
              <w:rPr>
                <w:color w:val="000000"/>
                <w:sz w:val="18"/>
                <w:szCs w:val="18"/>
              </w:rPr>
            </w:pPr>
            <w:r w:rsidRPr="004761E0">
              <w:rPr>
                <w:color w:val="000000"/>
                <w:sz w:val="18"/>
                <w:szCs w:val="18"/>
              </w:rPr>
              <w:t>-</w:t>
            </w:r>
          </w:p>
        </w:tc>
      </w:tr>
      <w:tr w:rsidR="005123D7" w:rsidRPr="004761E0" w:rsidTr="005123D7">
        <w:trPr>
          <w:cantSplit/>
        </w:trPr>
        <w:tc>
          <w:tcPr>
            <w:tcW w:w="709" w:type="dxa"/>
            <w:tcBorders>
              <w:top w:val="nil"/>
              <w:left w:val="single" w:sz="4" w:space="0" w:color="auto"/>
              <w:bottom w:val="single" w:sz="4" w:space="0" w:color="auto"/>
              <w:right w:val="single" w:sz="4" w:space="0" w:color="auto"/>
            </w:tcBorders>
            <w:vAlign w:val="center"/>
          </w:tcPr>
          <w:p w:rsidR="005123D7" w:rsidRPr="004761E0" w:rsidRDefault="005123D7" w:rsidP="007076A7">
            <w:pPr>
              <w:pStyle w:val="a5"/>
              <w:numPr>
                <w:ilvl w:val="1"/>
                <w:numId w:val="49"/>
              </w:numPr>
              <w:tabs>
                <w:tab w:val="left" w:pos="318"/>
              </w:tabs>
              <w:jc w:val="left"/>
              <w:rPr>
                <w:color w:val="000000"/>
                <w:sz w:val="20"/>
                <w:szCs w:val="20"/>
              </w:rPr>
            </w:pPr>
          </w:p>
        </w:tc>
        <w:tc>
          <w:tcPr>
            <w:tcW w:w="11624" w:type="dxa"/>
            <w:tcBorders>
              <w:top w:val="nil"/>
              <w:left w:val="nil"/>
              <w:bottom w:val="single" w:sz="4" w:space="0" w:color="auto"/>
              <w:right w:val="single" w:sz="4" w:space="0" w:color="auto"/>
            </w:tcBorders>
          </w:tcPr>
          <w:p w:rsidR="005123D7" w:rsidRPr="004761E0" w:rsidRDefault="005123D7" w:rsidP="005123D7">
            <w:pPr>
              <w:ind w:left="284" w:firstLine="0"/>
              <w:jc w:val="left"/>
              <w:rPr>
                <w:color w:val="000000"/>
                <w:sz w:val="20"/>
                <w:szCs w:val="20"/>
              </w:rPr>
            </w:pPr>
            <w:r w:rsidRPr="004761E0">
              <w:rPr>
                <w:color w:val="000000"/>
                <w:sz w:val="20"/>
                <w:szCs w:val="20"/>
              </w:rPr>
              <w:t>строительство воздушных и (или) кабельных линий на уровне напряжения 6/10 кВ</w:t>
            </w:r>
          </w:p>
        </w:tc>
        <w:tc>
          <w:tcPr>
            <w:tcW w:w="2268" w:type="dxa"/>
            <w:gridSpan w:val="2"/>
            <w:tcBorders>
              <w:top w:val="nil"/>
              <w:left w:val="nil"/>
              <w:bottom w:val="single" w:sz="4" w:space="0" w:color="auto"/>
              <w:right w:val="single" w:sz="4" w:space="0" w:color="auto"/>
            </w:tcBorders>
            <w:vAlign w:val="center"/>
          </w:tcPr>
          <w:p w:rsidR="005123D7" w:rsidRPr="004761E0" w:rsidRDefault="005123D7" w:rsidP="005123D7">
            <w:pPr>
              <w:ind w:firstLine="0"/>
              <w:jc w:val="center"/>
              <w:rPr>
                <w:color w:val="000000"/>
                <w:sz w:val="18"/>
                <w:szCs w:val="18"/>
              </w:rPr>
            </w:pPr>
            <w:r w:rsidRPr="004761E0">
              <w:rPr>
                <w:color w:val="000000"/>
                <w:sz w:val="18"/>
                <w:szCs w:val="18"/>
              </w:rPr>
              <w:t>955,00</w:t>
            </w:r>
          </w:p>
        </w:tc>
      </w:tr>
      <w:tr w:rsidR="005123D7" w:rsidRPr="004761E0" w:rsidTr="005123D7">
        <w:trPr>
          <w:cantSplit/>
        </w:trPr>
        <w:tc>
          <w:tcPr>
            <w:tcW w:w="709" w:type="dxa"/>
            <w:tcBorders>
              <w:top w:val="nil"/>
              <w:left w:val="single" w:sz="4" w:space="0" w:color="auto"/>
              <w:bottom w:val="single" w:sz="4" w:space="0" w:color="auto"/>
              <w:right w:val="single" w:sz="4" w:space="0" w:color="auto"/>
            </w:tcBorders>
            <w:vAlign w:val="center"/>
          </w:tcPr>
          <w:p w:rsidR="005123D7" w:rsidRPr="004761E0" w:rsidRDefault="005123D7" w:rsidP="007076A7">
            <w:pPr>
              <w:pStyle w:val="a5"/>
              <w:numPr>
                <w:ilvl w:val="1"/>
                <w:numId w:val="49"/>
              </w:numPr>
              <w:tabs>
                <w:tab w:val="left" w:pos="318"/>
              </w:tabs>
              <w:jc w:val="left"/>
              <w:rPr>
                <w:color w:val="000000"/>
                <w:sz w:val="20"/>
                <w:szCs w:val="20"/>
              </w:rPr>
            </w:pPr>
          </w:p>
        </w:tc>
        <w:tc>
          <w:tcPr>
            <w:tcW w:w="11624" w:type="dxa"/>
            <w:tcBorders>
              <w:top w:val="nil"/>
              <w:left w:val="nil"/>
              <w:bottom w:val="single" w:sz="4" w:space="0" w:color="auto"/>
              <w:right w:val="single" w:sz="4" w:space="0" w:color="auto"/>
            </w:tcBorders>
          </w:tcPr>
          <w:p w:rsidR="005123D7" w:rsidRPr="004761E0" w:rsidRDefault="005123D7" w:rsidP="005123D7">
            <w:pPr>
              <w:ind w:left="284" w:firstLine="0"/>
              <w:jc w:val="left"/>
              <w:rPr>
                <w:color w:val="000000"/>
                <w:sz w:val="20"/>
                <w:szCs w:val="20"/>
              </w:rPr>
            </w:pPr>
            <w:r w:rsidRPr="004761E0">
              <w:rPr>
                <w:color w:val="000000"/>
                <w:sz w:val="20"/>
                <w:szCs w:val="20"/>
              </w:rPr>
              <w:t>строительство пунктов секционирования (реклоузеров, переключательных пунктов)</w:t>
            </w:r>
          </w:p>
        </w:tc>
        <w:tc>
          <w:tcPr>
            <w:tcW w:w="2268" w:type="dxa"/>
            <w:gridSpan w:val="2"/>
            <w:tcBorders>
              <w:top w:val="nil"/>
              <w:left w:val="nil"/>
              <w:bottom w:val="single" w:sz="4" w:space="0" w:color="auto"/>
              <w:right w:val="single" w:sz="4" w:space="0" w:color="auto"/>
            </w:tcBorders>
            <w:vAlign w:val="center"/>
          </w:tcPr>
          <w:p w:rsidR="005123D7" w:rsidRPr="004761E0" w:rsidRDefault="005123D7" w:rsidP="005123D7">
            <w:pPr>
              <w:ind w:firstLine="0"/>
              <w:jc w:val="center"/>
              <w:rPr>
                <w:color w:val="000000"/>
                <w:sz w:val="18"/>
                <w:szCs w:val="18"/>
              </w:rPr>
            </w:pPr>
            <w:r w:rsidRPr="004761E0">
              <w:rPr>
                <w:color w:val="000000"/>
                <w:sz w:val="18"/>
                <w:szCs w:val="18"/>
              </w:rPr>
              <w:t>870,00</w:t>
            </w:r>
          </w:p>
        </w:tc>
      </w:tr>
      <w:tr w:rsidR="005123D7" w:rsidRPr="004761E0" w:rsidTr="005123D7">
        <w:trPr>
          <w:cantSplit/>
        </w:trPr>
        <w:tc>
          <w:tcPr>
            <w:tcW w:w="709" w:type="dxa"/>
            <w:tcBorders>
              <w:top w:val="nil"/>
              <w:left w:val="single" w:sz="4" w:space="0" w:color="auto"/>
              <w:bottom w:val="single" w:sz="4" w:space="0" w:color="auto"/>
              <w:right w:val="single" w:sz="4" w:space="0" w:color="auto"/>
            </w:tcBorders>
            <w:vAlign w:val="center"/>
          </w:tcPr>
          <w:p w:rsidR="005123D7" w:rsidRPr="004761E0" w:rsidRDefault="005123D7" w:rsidP="007076A7">
            <w:pPr>
              <w:pStyle w:val="a5"/>
              <w:numPr>
                <w:ilvl w:val="1"/>
                <w:numId w:val="49"/>
              </w:numPr>
              <w:tabs>
                <w:tab w:val="left" w:pos="318"/>
              </w:tabs>
              <w:jc w:val="left"/>
              <w:rPr>
                <w:color w:val="000000"/>
                <w:sz w:val="20"/>
                <w:szCs w:val="20"/>
              </w:rPr>
            </w:pPr>
          </w:p>
        </w:tc>
        <w:tc>
          <w:tcPr>
            <w:tcW w:w="11624" w:type="dxa"/>
            <w:tcBorders>
              <w:top w:val="nil"/>
              <w:left w:val="nil"/>
              <w:bottom w:val="single" w:sz="4" w:space="0" w:color="auto"/>
              <w:right w:val="single" w:sz="4" w:space="0" w:color="auto"/>
            </w:tcBorders>
          </w:tcPr>
          <w:p w:rsidR="005123D7" w:rsidRPr="004761E0" w:rsidRDefault="005123D7" w:rsidP="005123D7">
            <w:pPr>
              <w:ind w:left="284" w:firstLine="0"/>
              <w:jc w:val="left"/>
              <w:rPr>
                <w:color w:val="000000"/>
                <w:sz w:val="20"/>
                <w:szCs w:val="20"/>
              </w:rPr>
            </w:pPr>
            <w:r w:rsidRPr="004761E0">
              <w:rPr>
                <w:color w:val="000000"/>
                <w:sz w:val="20"/>
                <w:szCs w:val="20"/>
              </w:rPr>
              <w:t xml:space="preserve">строительство комплектных трансформаторных подстанций, распределительных трансформаторных подстанций, распределительных пунктов с уровнем напряжения до 35 кВ    </w:t>
            </w:r>
          </w:p>
        </w:tc>
        <w:tc>
          <w:tcPr>
            <w:tcW w:w="1239" w:type="dxa"/>
            <w:tcBorders>
              <w:top w:val="nil"/>
              <w:left w:val="nil"/>
              <w:bottom w:val="single" w:sz="4" w:space="0" w:color="auto"/>
              <w:right w:val="single" w:sz="4" w:space="0" w:color="auto"/>
            </w:tcBorders>
            <w:vAlign w:val="center"/>
          </w:tcPr>
          <w:p w:rsidR="005123D7" w:rsidRPr="004761E0" w:rsidRDefault="005123D7" w:rsidP="005123D7">
            <w:pPr>
              <w:ind w:firstLine="0"/>
              <w:jc w:val="center"/>
              <w:rPr>
                <w:color w:val="000000"/>
                <w:sz w:val="18"/>
                <w:szCs w:val="18"/>
              </w:rPr>
            </w:pPr>
            <w:r w:rsidRPr="004761E0">
              <w:rPr>
                <w:color w:val="000000"/>
                <w:sz w:val="18"/>
                <w:szCs w:val="18"/>
              </w:rPr>
              <w:t>5 779,00</w:t>
            </w:r>
          </w:p>
        </w:tc>
        <w:tc>
          <w:tcPr>
            <w:tcW w:w="1029" w:type="dxa"/>
            <w:tcBorders>
              <w:top w:val="nil"/>
              <w:left w:val="nil"/>
              <w:bottom w:val="single" w:sz="4" w:space="0" w:color="auto"/>
              <w:right w:val="single" w:sz="4" w:space="0" w:color="auto"/>
            </w:tcBorders>
            <w:vAlign w:val="center"/>
          </w:tcPr>
          <w:p w:rsidR="005123D7" w:rsidRPr="004761E0" w:rsidRDefault="005123D7" w:rsidP="005123D7">
            <w:pPr>
              <w:ind w:firstLine="0"/>
              <w:jc w:val="center"/>
              <w:rPr>
                <w:color w:val="000000"/>
                <w:sz w:val="18"/>
                <w:szCs w:val="18"/>
              </w:rPr>
            </w:pPr>
            <w:r w:rsidRPr="004761E0">
              <w:rPr>
                <w:color w:val="000000"/>
                <w:sz w:val="18"/>
                <w:szCs w:val="18"/>
              </w:rPr>
              <w:t>3 641,00</w:t>
            </w:r>
          </w:p>
        </w:tc>
      </w:tr>
      <w:tr w:rsidR="005123D7" w:rsidRPr="004761E0" w:rsidTr="005123D7">
        <w:trPr>
          <w:cantSplit/>
        </w:trPr>
        <w:tc>
          <w:tcPr>
            <w:tcW w:w="709" w:type="dxa"/>
            <w:tcBorders>
              <w:top w:val="nil"/>
              <w:left w:val="single" w:sz="4" w:space="0" w:color="auto"/>
              <w:bottom w:val="single" w:sz="4" w:space="0" w:color="auto"/>
              <w:right w:val="single" w:sz="4" w:space="0" w:color="auto"/>
            </w:tcBorders>
            <w:vAlign w:val="center"/>
          </w:tcPr>
          <w:p w:rsidR="005123D7" w:rsidRPr="004761E0" w:rsidRDefault="005123D7" w:rsidP="007076A7">
            <w:pPr>
              <w:pStyle w:val="a5"/>
              <w:numPr>
                <w:ilvl w:val="1"/>
                <w:numId w:val="49"/>
              </w:numPr>
              <w:tabs>
                <w:tab w:val="left" w:pos="318"/>
              </w:tabs>
              <w:jc w:val="left"/>
              <w:rPr>
                <w:color w:val="000000"/>
                <w:sz w:val="20"/>
                <w:szCs w:val="20"/>
              </w:rPr>
            </w:pPr>
          </w:p>
        </w:tc>
        <w:tc>
          <w:tcPr>
            <w:tcW w:w="11624" w:type="dxa"/>
            <w:tcBorders>
              <w:top w:val="nil"/>
              <w:left w:val="nil"/>
              <w:bottom w:val="single" w:sz="4" w:space="0" w:color="auto"/>
              <w:right w:val="single" w:sz="4" w:space="0" w:color="auto"/>
            </w:tcBorders>
          </w:tcPr>
          <w:p w:rsidR="005123D7" w:rsidRPr="004761E0" w:rsidRDefault="005123D7" w:rsidP="005123D7">
            <w:pPr>
              <w:ind w:left="284" w:firstLine="0"/>
              <w:jc w:val="left"/>
              <w:rPr>
                <w:color w:val="000000"/>
                <w:sz w:val="20"/>
                <w:szCs w:val="20"/>
              </w:rPr>
            </w:pPr>
            <w:r w:rsidRPr="004761E0">
              <w:rPr>
                <w:color w:val="000000"/>
                <w:sz w:val="20"/>
                <w:szCs w:val="20"/>
              </w:rPr>
              <w:t>строительство центров питания, подстанций уровнем напряжения 35 кВ и выше</w:t>
            </w:r>
          </w:p>
        </w:tc>
        <w:tc>
          <w:tcPr>
            <w:tcW w:w="1239" w:type="dxa"/>
            <w:tcBorders>
              <w:top w:val="nil"/>
              <w:left w:val="nil"/>
              <w:bottom w:val="single" w:sz="4" w:space="0" w:color="auto"/>
              <w:right w:val="single" w:sz="4" w:space="0" w:color="auto"/>
            </w:tcBorders>
            <w:vAlign w:val="center"/>
          </w:tcPr>
          <w:p w:rsidR="005123D7" w:rsidRPr="004761E0" w:rsidRDefault="005123D7" w:rsidP="005123D7">
            <w:pPr>
              <w:ind w:firstLine="0"/>
              <w:jc w:val="center"/>
              <w:rPr>
                <w:color w:val="000000"/>
                <w:sz w:val="18"/>
                <w:szCs w:val="18"/>
              </w:rPr>
            </w:pPr>
            <w:r w:rsidRPr="004761E0">
              <w:rPr>
                <w:color w:val="000000"/>
                <w:sz w:val="18"/>
                <w:szCs w:val="18"/>
              </w:rPr>
              <w:t>-</w:t>
            </w:r>
          </w:p>
        </w:tc>
        <w:tc>
          <w:tcPr>
            <w:tcW w:w="1029" w:type="dxa"/>
            <w:tcBorders>
              <w:top w:val="nil"/>
              <w:left w:val="nil"/>
              <w:bottom w:val="single" w:sz="4" w:space="0" w:color="auto"/>
              <w:right w:val="single" w:sz="4" w:space="0" w:color="auto"/>
            </w:tcBorders>
            <w:vAlign w:val="center"/>
          </w:tcPr>
          <w:p w:rsidR="005123D7" w:rsidRPr="004761E0" w:rsidRDefault="005123D7" w:rsidP="005123D7">
            <w:pPr>
              <w:ind w:firstLine="0"/>
              <w:jc w:val="center"/>
              <w:rPr>
                <w:color w:val="000000"/>
                <w:sz w:val="18"/>
                <w:szCs w:val="18"/>
              </w:rPr>
            </w:pPr>
            <w:r w:rsidRPr="004761E0">
              <w:rPr>
                <w:color w:val="000000"/>
                <w:sz w:val="18"/>
                <w:szCs w:val="18"/>
              </w:rPr>
              <w:t>-</w:t>
            </w:r>
          </w:p>
        </w:tc>
      </w:tr>
      <w:tr w:rsidR="005123D7" w:rsidRPr="004761E0" w:rsidTr="005123D7">
        <w:trPr>
          <w:cantSplit/>
        </w:trPr>
        <w:tc>
          <w:tcPr>
            <w:tcW w:w="709" w:type="dxa"/>
            <w:tcBorders>
              <w:top w:val="nil"/>
              <w:left w:val="single" w:sz="4" w:space="0" w:color="auto"/>
              <w:bottom w:val="single" w:sz="4" w:space="0" w:color="auto"/>
              <w:right w:val="single" w:sz="4" w:space="0" w:color="auto"/>
            </w:tcBorders>
            <w:vAlign w:val="center"/>
            <w:hideMark/>
          </w:tcPr>
          <w:p w:rsidR="005123D7" w:rsidRPr="004761E0" w:rsidRDefault="005123D7" w:rsidP="007076A7">
            <w:pPr>
              <w:pStyle w:val="a5"/>
              <w:numPr>
                <w:ilvl w:val="0"/>
                <w:numId w:val="144"/>
              </w:numPr>
              <w:tabs>
                <w:tab w:val="left" w:pos="310"/>
              </w:tabs>
              <w:jc w:val="left"/>
              <w:rPr>
                <w:color w:val="000000"/>
                <w:sz w:val="20"/>
                <w:szCs w:val="20"/>
              </w:rPr>
            </w:pPr>
          </w:p>
        </w:tc>
        <w:tc>
          <w:tcPr>
            <w:tcW w:w="11624" w:type="dxa"/>
            <w:tcBorders>
              <w:top w:val="nil"/>
              <w:left w:val="nil"/>
              <w:bottom w:val="single" w:sz="4" w:space="0" w:color="auto"/>
              <w:right w:val="single" w:sz="4" w:space="0" w:color="auto"/>
            </w:tcBorders>
          </w:tcPr>
          <w:p w:rsidR="005123D7" w:rsidRPr="004761E0" w:rsidRDefault="005123D7" w:rsidP="005123D7">
            <w:pPr>
              <w:ind w:firstLine="0"/>
              <w:jc w:val="left"/>
              <w:rPr>
                <w:color w:val="000000"/>
                <w:sz w:val="20"/>
                <w:szCs w:val="20"/>
              </w:rPr>
            </w:pPr>
            <w:r w:rsidRPr="004761E0">
              <w:rPr>
                <w:color w:val="000000"/>
                <w:sz w:val="20"/>
                <w:szCs w:val="20"/>
              </w:rPr>
              <w:t>Проверка сетевой организацией выполнения заявителем технических условий</w:t>
            </w:r>
          </w:p>
        </w:tc>
        <w:tc>
          <w:tcPr>
            <w:tcW w:w="2268" w:type="dxa"/>
            <w:gridSpan w:val="2"/>
            <w:tcBorders>
              <w:top w:val="nil"/>
              <w:left w:val="nil"/>
              <w:bottom w:val="single" w:sz="4" w:space="0" w:color="auto"/>
              <w:right w:val="single" w:sz="4" w:space="0" w:color="auto"/>
            </w:tcBorders>
            <w:vAlign w:val="center"/>
          </w:tcPr>
          <w:p w:rsidR="005123D7" w:rsidRPr="004761E0" w:rsidRDefault="005123D7" w:rsidP="005123D7">
            <w:pPr>
              <w:ind w:firstLine="0"/>
              <w:jc w:val="center"/>
              <w:rPr>
                <w:color w:val="000000"/>
                <w:sz w:val="18"/>
                <w:szCs w:val="18"/>
              </w:rPr>
            </w:pPr>
            <w:r w:rsidRPr="004761E0">
              <w:rPr>
                <w:color w:val="000000"/>
                <w:sz w:val="18"/>
                <w:szCs w:val="18"/>
              </w:rPr>
              <w:t>104,00</w:t>
            </w:r>
          </w:p>
        </w:tc>
      </w:tr>
      <w:tr w:rsidR="005123D7" w:rsidRPr="004761E0" w:rsidTr="005123D7">
        <w:trPr>
          <w:cantSplit/>
        </w:trPr>
        <w:tc>
          <w:tcPr>
            <w:tcW w:w="709" w:type="dxa"/>
            <w:tcBorders>
              <w:top w:val="nil"/>
              <w:left w:val="single" w:sz="4" w:space="0" w:color="auto"/>
              <w:bottom w:val="single" w:sz="4" w:space="0" w:color="auto"/>
              <w:right w:val="single" w:sz="4" w:space="0" w:color="auto"/>
            </w:tcBorders>
            <w:vAlign w:val="center"/>
            <w:hideMark/>
          </w:tcPr>
          <w:p w:rsidR="005123D7" w:rsidRPr="004761E0" w:rsidRDefault="005123D7" w:rsidP="007076A7">
            <w:pPr>
              <w:pStyle w:val="a5"/>
              <w:numPr>
                <w:ilvl w:val="0"/>
                <w:numId w:val="144"/>
              </w:numPr>
              <w:tabs>
                <w:tab w:val="left" w:pos="310"/>
              </w:tabs>
              <w:jc w:val="left"/>
              <w:rPr>
                <w:color w:val="000000"/>
                <w:sz w:val="20"/>
                <w:szCs w:val="20"/>
              </w:rPr>
            </w:pPr>
          </w:p>
        </w:tc>
        <w:tc>
          <w:tcPr>
            <w:tcW w:w="11624" w:type="dxa"/>
            <w:tcBorders>
              <w:top w:val="nil"/>
              <w:left w:val="nil"/>
              <w:bottom w:val="single" w:sz="4" w:space="0" w:color="auto"/>
              <w:right w:val="single" w:sz="4" w:space="0" w:color="auto"/>
            </w:tcBorders>
          </w:tcPr>
          <w:p w:rsidR="005123D7" w:rsidRPr="004761E0" w:rsidRDefault="005123D7" w:rsidP="005123D7">
            <w:pPr>
              <w:ind w:firstLine="0"/>
              <w:jc w:val="left"/>
              <w:rPr>
                <w:color w:val="000000"/>
                <w:sz w:val="20"/>
                <w:szCs w:val="20"/>
              </w:rPr>
            </w:pPr>
            <w:r w:rsidRPr="004761E0">
              <w:rPr>
                <w:color w:val="000000"/>
                <w:sz w:val="20"/>
                <w:szCs w:val="20"/>
              </w:rPr>
              <w:t>Участие в осмотре должностным лицом Ростехнадзора присоединяемых устройств заявителя</w:t>
            </w:r>
          </w:p>
        </w:tc>
        <w:tc>
          <w:tcPr>
            <w:tcW w:w="2268" w:type="dxa"/>
            <w:gridSpan w:val="2"/>
            <w:tcBorders>
              <w:top w:val="nil"/>
              <w:left w:val="nil"/>
              <w:bottom w:val="single" w:sz="4" w:space="0" w:color="auto"/>
              <w:right w:val="single" w:sz="4" w:space="0" w:color="auto"/>
            </w:tcBorders>
            <w:vAlign w:val="center"/>
          </w:tcPr>
          <w:p w:rsidR="005123D7" w:rsidRPr="004761E0" w:rsidRDefault="005123D7" w:rsidP="005123D7">
            <w:pPr>
              <w:ind w:firstLine="0"/>
              <w:jc w:val="center"/>
              <w:rPr>
                <w:color w:val="000000"/>
                <w:sz w:val="18"/>
                <w:szCs w:val="18"/>
              </w:rPr>
            </w:pPr>
            <w:r w:rsidRPr="004761E0">
              <w:rPr>
                <w:color w:val="000000"/>
                <w:sz w:val="18"/>
                <w:szCs w:val="18"/>
              </w:rPr>
              <w:t>-</w:t>
            </w:r>
          </w:p>
        </w:tc>
      </w:tr>
      <w:tr w:rsidR="005123D7" w:rsidRPr="004761E0" w:rsidTr="005123D7">
        <w:trPr>
          <w:cantSplit/>
        </w:trPr>
        <w:tc>
          <w:tcPr>
            <w:tcW w:w="709" w:type="dxa"/>
            <w:tcBorders>
              <w:top w:val="nil"/>
              <w:left w:val="single" w:sz="4" w:space="0" w:color="auto"/>
              <w:bottom w:val="single" w:sz="4" w:space="0" w:color="auto"/>
              <w:right w:val="single" w:sz="4" w:space="0" w:color="auto"/>
            </w:tcBorders>
            <w:vAlign w:val="center"/>
            <w:hideMark/>
          </w:tcPr>
          <w:p w:rsidR="005123D7" w:rsidRPr="004761E0" w:rsidRDefault="005123D7" w:rsidP="007076A7">
            <w:pPr>
              <w:pStyle w:val="a5"/>
              <w:numPr>
                <w:ilvl w:val="0"/>
                <w:numId w:val="144"/>
              </w:numPr>
              <w:tabs>
                <w:tab w:val="left" w:pos="310"/>
              </w:tabs>
              <w:jc w:val="left"/>
              <w:rPr>
                <w:color w:val="000000"/>
                <w:sz w:val="20"/>
                <w:szCs w:val="20"/>
              </w:rPr>
            </w:pPr>
          </w:p>
        </w:tc>
        <w:tc>
          <w:tcPr>
            <w:tcW w:w="11624" w:type="dxa"/>
            <w:tcBorders>
              <w:top w:val="nil"/>
              <w:left w:val="nil"/>
              <w:bottom w:val="single" w:sz="4" w:space="0" w:color="auto"/>
              <w:right w:val="single" w:sz="4" w:space="0" w:color="auto"/>
            </w:tcBorders>
          </w:tcPr>
          <w:p w:rsidR="005123D7" w:rsidRPr="004761E0" w:rsidRDefault="005123D7" w:rsidP="005123D7">
            <w:pPr>
              <w:ind w:firstLine="0"/>
              <w:jc w:val="left"/>
              <w:rPr>
                <w:color w:val="000000"/>
                <w:sz w:val="20"/>
                <w:szCs w:val="20"/>
              </w:rPr>
            </w:pPr>
            <w:r w:rsidRPr="004761E0">
              <w:rPr>
                <w:color w:val="000000"/>
                <w:sz w:val="20"/>
                <w:szCs w:val="20"/>
              </w:rPr>
              <w:t>Фактические действия по присоединению и обеспечению работы устройств в электрической сети</w:t>
            </w:r>
          </w:p>
        </w:tc>
        <w:tc>
          <w:tcPr>
            <w:tcW w:w="2268" w:type="dxa"/>
            <w:gridSpan w:val="2"/>
            <w:tcBorders>
              <w:top w:val="nil"/>
              <w:left w:val="nil"/>
              <w:bottom w:val="single" w:sz="4" w:space="0" w:color="auto"/>
              <w:right w:val="single" w:sz="4" w:space="0" w:color="auto"/>
            </w:tcBorders>
            <w:vAlign w:val="center"/>
          </w:tcPr>
          <w:p w:rsidR="005123D7" w:rsidRPr="004761E0" w:rsidRDefault="005123D7" w:rsidP="005123D7">
            <w:pPr>
              <w:ind w:firstLine="0"/>
              <w:jc w:val="center"/>
              <w:rPr>
                <w:color w:val="000000"/>
                <w:sz w:val="18"/>
                <w:szCs w:val="18"/>
              </w:rPr>
            </w:pPr>
            <w:r w:rsidRPr="004761E0">
              <w:rPr>
                <w:color w:val="000000"/>
                <w:sz w:val="18"/>
                <w:szCs w:val="18"/>
              </w:rPr>
              <w:t>138,00</w:t>
            </w:r>
          </w:p>
        </w:tc>
      </w:tr>
    </w:tbl>
    <w:p w:rsidR="005123D7" w:rsidRPr="004761E0" w:rsidRDefault="005123D7" w:rsidP="005123D7">
      <w:pPr>
        <w:spacing w:before="120" w:after="120"/>
        <w:ind w:firstLine="567"/>
        <w:jc w:val="left"/>
        <w:rPr>
          <w:b/>
          <w:iCs/>
          <w:sz w:val="26"/>
          <w:szCs w:val="26"/>
        </w:rPr>
      </w:pPr>
      <w:r w:rsidRPr="004761E0">
        <w:rPr>
          <w:b/>
          <w:iCs/>
          <w:sz w:val="26"/>
          <w:szCs w:val="26"/>
        </w:rPr>
        <w:t xml:space="preserve">Стандартизированные тарифные ставки </w:t>
      </w:r>
    </w:p>
    <w:tbl>
      <w:tblPr>
        <w:tblW w:w="14601" w:type="dxa"/>
        <w:tblInd w:w="108" w:type="dxa"/>
        <w:tblLayout w:type="fixed"/>
        <w:tblLook w:val="04A0"/>
      </w:tblPr>
      <w:tblGrid>
        <w:gridCol w:w="709"/>
        <w:gridCol w:w="11624"/>
        <w:gridCol w:w="1134"/>
        <w:gridCol w:w="21"/>
        <w:gridCol w:w="1113"/>
      </w:tblGrid>
      <w:tr w:rsidR="005123D7" w:rsidRPr="004761E0" w:rsidTr="005123D7">
        <w:trPr>
          <w:cantSplit/>
        </w:trPr>
        <w:tc>
          <w:tcPr>
            <w:tcW w:w="709" w:type="dxa"/>
            <w:tcBorders>
              <w:right w:val="single" w:sz="4" w:space="0" w:color="FFFFFF" w:themeColor="background1"/>
            </w:tcBorders>
            <w:shd w:val="clear" w:color="auto" w:fill="0F243E" w:themeFill="text2" w:themeFillShade="80"/>
            <w:noWrap/>
            <w:vAlign w:val="center"/>
            <w:hideMark/>
          </w:tcPr>
          <w:p w:rsidR="005123D7" w:rsidRPr="004761E0" w:rsidRDefault="005123D7" w:rsidP="005123D7">
            <w:pPr>
              <w:ind w:firstLine="0"/>
              <w:jc w:val="left"/>
              <w:rPr>
                <w:b/>
                <w:color w:val="FFFFFF" w:themeColor="background1"/>
                <w:sz w:val="20"/>
                <w:szCs w:val="20"/>
              </w:rPr>
            </w:pPr>
            <w:r w:rsidRPr="004761E0">
              <w:rPr>
                <w:b/>
                <w:color w:val="FFFFFF" w:themeColor="background1"/>
                <w:sz w:val="20"/>
                <w:szCs w:val="20"/>
              </w:rPr>
              <w:t>№ п/п</w:t>
            </w:r>
          </w:p>
        </w:tc>
        <w:tc>
          <w:tcPr>
            <w:tcW w:w="11624" w:type="dxa"/>
            <w:tcBorders>
              <w:left w:val="single" w:sz="4" w:space="0" w:color="FFFFFF" w:themeColor="background1"/>
              <w:right w:val="single" w:sz="4" w:space="0" w:color="FFFFFF" w:themeColor="background1"/>
            </w:tcBorders>
            <w:shd w:val="clear" w:color="auto" w:fill="0F243E" w:themeFill="text2" w:themeFillShade="80"/>
            <w:noWrap/>
            <w:vAlign w:val="center"/>
            <w:hideMark/>
          </w:tcPr>
          <w:p w:rsidR="005123D7" w:rsidRPr="004761E0" w:rsidRDefault="005123D7" w:rsidP="005123D7">
            <w:pPr>
              <w:ind w:firstLine="0"/>
              <w:jc w:val="left"/>
              <w:rPr>
                <w:b/>
                <w:color w:val="FFFFFF" w:themeColor="background1"/>
                <w:sz w:val="20"/>
                <w:szCs w:val="20"/>
              </w:rPr>
            </w:pPr>
            <w:r w:rsidRPr="004761E0">
              <w:rPr>
                <w:b/>
                <w:color w:val="FFFFFF" w:themeColor="background1"/>
                <w:sz w:val="20"/>
                <w:szCs w:val="20"/>
              </w:rPr>
              <w:t>Наименование мероприятий</w:t>
            </w:r>
          </w:p>
        </w:tc>
        <w:tc>
          <w:tcPr>
            <w:tcW w:w="1134" w:type="dxa"/>
            <w:tcBorders>
              <w:left w:val="single" w:sz="4" w:space="0" w:color="FFFFFF" w:themeColor="background1"/>
              <w:right w:val="single" w:sz="4" w:space="0" w:color="FFFFFF" w:themeColor="background1"/>
            </w:tcBorders>
            <w:shd w:val="clear" w:color="auto" w:fill="0F243E" w:themeFill="text2" w:themeFillShade="80"/>
            <w:vAlign w:val="center"/>
          </w:tcPr>
          <w:p w:rsidR="005123D7" w:rsidRPr="004761E0" w:rsidRDefault="005123D7" w:rsidP="005123D7">
            <w:pPr>
              <w:ind w:firstLine="0"/>
              <w:jc w:val="center"/>
              <w:rPr>
                <w:b/>
                <w:color w:val="FFFFFF" w:themeColor="background1"/>
                <w:sz w:val="20"/>
                <w:szCs w:val="20"/>
              </w:rPr>
            </w:pPr>
            <w:r w:rsidRPr="004761E0">
              <w:rPr>
                <w:b/>
                <w:color w:val="FFFFFF" w:themeColor="background1"/>
                <w:sz w:val="20"/>
                <w:szCs w:val="20"/>
              </w:rPr>
              <w:t>0,4 кВ</w:t>
            </w:r>
          </w:p>
        </w:tc>
        <w:tc>
          <w:tcPr>
            <w:tcW w:w="1134" w:type="dxa"/>
            <w:gridSpan w:val="2"/>
            <w:tcBorders>
              <w:left w:val="single" w:sz="4" w:space="0" w:color="FFFFFF" w:themeColor="background1"/>
            </w:tcBorders>
            <w:shd w:val="clear" w:color="auto" w:fill="0F243E" w:themeFill="text2" w:themeFillShade="80"/>
            <w:vAlign w:val="center"/>
          </w:tcPr>
          <w:p w:rsidR="005123D7" w:rsidRPr="004761E0" w:rsidRDefault="005123D7" w:rsidP="005123D7">
            <w:pPr>
              <w:ind w:firstLine="0"/>
              <w:jc w:val="center"/>
              <w:rPr>
                <w:b/>
                <w:color w:val="FFFFFF" w:themeColor="background1"/>
                <w:sz w:val="20"/>
                <w:szCs w:val="20"/>
              </w:rPr>
            </w:pPr>
            <w:r w:rsidRPr="004761E0">
              <w:rPr>
                <w:b/>
                <w:color w:val="FFFFFF" w:themeColor="background1"/>
                <w:sz w:val="20"/>
                <w:szCs w:val="20"/>
              </w:rPr>
              <w:t>6, 10 кВ</w:t>
            </w:r>
          </w:p>
        </w:tc>
      </w:tr>
      <w:tr w:rsidR="005123D7" w:rsidRPr="004761E0" w:rsidTr="005123D7">
        <w:trPr>
          <w:cantSplit/>
        </w:trPr>
        <w:tc>
          <w:tcPr>
            <w:tcW w:w="709" w:type="dxa"/>
            <w:tcBorders>
              <w:left w:val="single" w:sz="4" w:space="0" w:color="auto"/>
              <w:bottom w:val="single" w:sz="4" w:space="0" w:color="auto"/>
              <w:right w:val="single" w:sz="4" w:space="0" w:color="auto"/>
            </w:tcBorders>
            <w:vAlign w:val="center"/>
          </w:tcPr>
          <w:p w:rsidR="005123D7" w:rsidRPr="004761E0" w:rsidRDefault="005123D7" w:rsidP="007076A7">
            <w:pPr>
              <w:pStyle w:val="a5"/>
              <w:numPr>
                <w:ilvl w:val="0"/>
                <w:numId w:val="145"/>
              </w:numPr>
              <w:tabs>
                <w:tab w:val="left" w:pos="310"/>
              </w:tabs>
              <w:jc w:val="left"/>
              <w:rPr>
                <w:color w:val="000000"/>
                <w:sz w:val="20"/>
                <w:szCs w:val="20"/>
              </w:rPr>
            </w:pPr>
          </w:p>
        </w:tc>
        <w:tc>
          <w:tcPr>
            <w:tcW w:w="11624" w:type="dxa"/>
            <w:tcBorders>
              <w:left w:val="nil"/>
              <w:bottom w:val="single" w:sz="4" w:space="0" w:color="auto"/>
              <w:right w:val="single" w:sz="4" w:space="0" w:color="auto"/>
            </w:tcBorders>
            <w:vAlign w:val="center"/>
          </w:tcPr>
          <w:p w:rsidR="005123D7" w:rsidRPr="004761E0" w:rsidRDefault="005123D7" w:rsidP="005123D7">
            <w:pPr>
              <w:ind w:firstLine="0"/>
              <w:rPr>
                <w:color w:val="000000"/>
                <w:sz w:val="20"/>
                <w:szCs w:val="20"/>
              </w:rPr>
            </w:pPr>
            <w:r w:rsidRPr="004761E0">
              <w:rPr>
                <w:color w:val="000000"/>
                <w:sz w:val="20"/>
                <w:szCs w:val="20"/>
              </w:rPr>
              <w:t>Ставка на покрытие расходов на технологическое присоединение по мероприятиям, в т.ч.</w:t>
            </w:r>
            <w:r w:rsidRPr="004761E0">
              <w:rPr>
                <w:color w:val="000000"/>
                <w:sz w:val="20"/>
                <w:szCs w:val="20"/>
                <w:vertAlign w:val="superscript"/>
              </w:rPr>
              <w:t>1</w:t>
            </w:r>
            <w:r w:rsidRPr="004761E0">
              <w:rPr>
                <w:color w:val="000000"/>
                <w:sz w:val="20"/>
                <w:szCs w:val="20"/>
              </w:rPr>
              <w:t>:</w:t>
            </w:r>
          </w:p>
        </w:tc>
        <w:tc>
          <w:tcPr>
            <w:tcW w:w="2268" w:type="dxa"/>
            <w:gridSpan w:val="3"/>
            <w:tcBorders>
              <w:left w:val="single" w:sz="4" w:space="0" w:color="auto"/>
              <w:bottom w:val="single" w:sz="4" w:space="0" w:color="auto"/>
              <w:right w:val="single" w:sz="4" w:space="0" w:color="auto"/>
            </w:tcBorders>
            <w:vAlign w:val="center"/>
          </w:tcPr>
          <w:p w:rsidR="005123D7" w:rsidRPr="004761E0" w:rsidRDefault="005123D7" w:rsidP="005123D7">
            <w:pPr>
              <w:ind w:firstLine="0"/>
              <w:jc w:val="center"/>
              <w:rPr>
                <w:color w:val="000000"/>
                <w:sz w:val="20"/>
                <w:szCs w:val="20"/>
              </w:rPr>
            </w:pPr>
            <w:r w:rsidRPr="004761E0">
              <w:rPr>
                <w:color w:val="000000"/>
                <w:sz w:val="20"/>
                <w:szCs w:val="20"/>
              </w:rPr>
              <w:t>549,00</w:t>
            </w:r>
          </w:p>
        </w:tc>
      </w:tr>
      <w:tr w:rsidR="005123D7" w:rsidRPr="004761E0" w:rsidTr="005123D7">
        <w:trPr>
          <w:cantSplit/>
        </w:trPr>
        <w:tc>
          <w:tcPr>
            <w:tcW w:w="709" w:type="dxa"/>
            <w:tcBorders>
              <w:top w:val="nil"/>
              <w:left w:val="single" w:sz="4" w:space="0" w:color="auto"/>
              <w:bottom w:val="single" w:sz="4" w:space="0" w:color="auto"/>
              <w:right w:val="single" w:sz="4" w:space="0" w:color="auto"/>
            </w:tcBorders>
            <w:vAlign w:val="center"/>
          </w:tcPr>
          <w:p w:rsidR="005123D7" w:rsidRPr="004761E0" w:rsidRDefault="005123D7" w:rsidP="007076A7">
            <w:pPr>
              <w:pStyle w:val="a5"/>
              <w:numPr>
                <w:ilvl w:val="1"/>
                <w:numId w:val="145"/>
              </w:numPr>
              <w:tabs>
                <w:tab w:val="left" w:pos="310"/>
              </w:tabs>
              <w:jc w:val="left"/>
              <w:rPr>
                <w:color w:val="000000"/>
                <w:sz w:val="20"/>
                <w:szCs w:val="20"/>
              </w:rPr>
            </w:pPr>
          </w:p>
        </w:tc>
        <w:tc>
          <w:tcPr>
            <w:tcW w:w="11624" w:type="dxa"/>
            <w:tcBorders>
              <w:top w:val="nil"/>
              <w:left w:val="nil"/>
              <w:bottom w:val="single" w:sz="4" w:space="0" w:color="auto"/>
              <w:right w:val="single" w:sz="4" w:space="0" w:color="auto"/>
            </w:tcBorders>
            <w:vAlign w:val="center"/>
          </w:tcPr>
          <w:p w:rsidR="005123D7" w:rsidRPr="004761E0" w:rsidRDefault="005123D7" w:rsidP="005123D7">
            <w:pPr>
              <w:ind w:left="284" w:firstLine="0"/>
              <w:jc w:val="left"/>
              <w:rPr>
                <w:color w:val="000000"/>
                <w:sz w:val="20"/>
                <w:szCs w:val="20"/>
              </w:rPr>
            </w:pPr>
            <w:r w:rsidRPr="004761E0">
              <w:rPr>
                <w:color w:val="000000"/>
                <w:sz w:val="20"/>
                <w:szCs w:val="20"/>
              </w:rPr>
              <w:t>подготовка и выдача сетевой организацией технических условий заявителю, руб./кВт (без НДС)</w:t>
            </w: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5123D7" w:rsidRPr="004761E0" w:rsidRDefault="005123D7" w:rsidP="005123D7">
            <w:pPr>
              <w:ind w:firstLine="0"/>
              <w:jc w:val="center"/>
              <w:rPr>
                <w:color w:val="000000"/>
                <w:sz w:val="20"/>
                <w:szCs w:val="20"/>
              </w:rPr>
            </w:pPr>
            <w:r w:rsidRPr="004761E0">
              <w:rPr>
                <w:color w:val="000000"/>
                <w:sz w:val="20"/>
                <w:szCs w:val="20"/>
              </w:rPr>
              <w:t>307,00</w:t>
            </w:r>
          </w:p>
        </w:tc>
      </w:tr>
      <w:tr w:rsidR="005123D7" w:rsidRPr="004761E0" w:rsidTr="005123D7">
        <w:trPr>
          <w:cantSplit/>
        </w:trPr>
        <w:tc>
          <w:tcPr>
            <w:tcW w:w="709" w:type="dxa"/>
            <w:tcBorders>
              <w:top w:val="single" w:sz="4" w:space="0" w:color="auto"/>
              <w:left w:val="single" w:sz="4" w:space="0" w:color="auto"/>
              <w:bottom w:val="single" w:sz="4" w:space="0" w:color="auto"/>
              <w:right w:val="single" w:sz="4" w:space="0" w:color="auto"/>
            </w:tcBorders>
            <w:vAlign w:val="center"/>
          </w:tcPr>
          <w:p w:rsidR="005123D7" w:rsidRPr="004761E0" w:rsidRDefault="005123D7" w:rsidP="007076A7">
            <w:pPr>
              <w:pStyle w:val="a5"/>
              <w:numPr>
                <w:ilvl w:val="1"/>
                <w:numId w:val="145"/>
              </w:numPr>
              <w:tabs>
                <w:tab w:val="left" w:pos="310"/>
              </w:tabs>
              <w:jc w:val="left"/>
              <w:rPr>
                <w:color w:val="000000"/>
                <w:sz w:val="20"/>
                <w:szCs w:val="20"/>
              </w:rPr>
            </w:pPr>
          </w:p>
        </w:tc>
        <w:tc>
          <w:tcPr>
            <w:tcW w:w="11624" w:type="dxa"/>
            <w:tcBorders>
              <w:top w:val="single" w:sz="4" w:space="0" w:color="auto"/>
              <w:left w:val="single" w:sz="4" w:space="0" w:color="auto"/>
              <w:bottom w:val="single" w:sz="4" w:space="0" w:color="auto"/>
              <w:right w:val="single" w:sz="4" w:space="0" w:color="auto"/>
            </w:tcBorders>
            <w:vAlign w:val="center"/>
          </w:tcPr>
          <w:p w:rsidR="005123D7" w:rsidRPr="004761E0" w:rsidRDefault="005123D7" w:rsidP="005123D7">
            <w:pPr>
              <w:ind w:left="284" w:firstLine="0"/>
              <w:jc w:val="left"/>
              <w:rPr>
                <w:color w:val="000000"/>
                <w:sz w:val="20"/>
                <w:szCs w:val="20"/>
              </w:rPr>
            </w:pPr>
            <w:r w:rsidRPr="004761E0">
              <w:rPr>
                <w:color w:val="000000"/>
                <w:sz w:val="20"/>
                <w:szCs w:val="20"/>
              </w:rPr>
              <w:t>проверка сетевой организацией выполнения заявителем технических условий, руб./кВт (без НДС)</w:t>
            </w: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5123D7" w:rsidRPr="004761E0" w:rsidRDefault="005123D7" w:rsidP="005123D7">
            <w:pPr>
              <w:ind w:firstLine="0"/>
              <w:jc w:val="center"/>
              <w:rPr>
                <w:color w:val="000000"/>
                <w:sz w:val="20"/>
                <w:szCs w:val="20"/>
              </w:rPr>
            </w:pPr>
            <w:r w:rsidRPr="004761E0">
              <w:rPr>
                <w:color w:val="000000"/>
                <w:sz w:val="20"/>
                <w:szCs w:val="20"/>
              </w:rPr>
              <w:t>104,00</w:t>
            </w:r>
          </w:p>
        </w:tc>
      </w:tr>
      <w:tr w:rsidR="005123D7" w:rsidRPr="004761E0" w:rsidTr="005123D7">
        <w:trPr>
          <w:cantSplit/>
        </w:trPr>
        <w:tc>
          <w:tcPr>
            <w:tcW w:w="709" w:type="dxa"/>
            <w:tcBorders>
              <w:top w:val="single" w:sz="4" w:space="0" w:color="auto"/>
              <w:left w:val="single" w:sz="4" w:space="0" w:color="auto"/>
              <w:bottom w:val="single" w:sz="4" w:space="0" w:color="auto"/>
              <w:right w:val="single" w:sz="4" w:space="0" w:color="auto"/>
            </w:tcBorders>
            <w:vAlign w:val="center"/>
          </w:tcPr>
          <w:p w:rsidR="005123D7" w:rsidRPr="004761E0" w:rsidRDefault="005123D7" w:rsidP="007076A7">
            <w:pPr>
              <w:pStyle w:val="a5"/>
              <w:numPr>
                <w:ilvl w:val="1"/>
                <w:numId w:val="145"/>
              </w:numPr>
              <w:tabs>
                <w:tab w:val="left" w:pos="310"/>
              </w:tabs>
              <w:jc w:val="left"/>
              <w:rPr>
                <w:color w:val="000000"/>
                <w:sz w:val="20"/>
                <w:szCs w:val="20"/>
              </w:rPr>
            </w:pPr>
          </w:p>
        </w:tc>
        <w:tc>
          <w:tcPr>
            <w:tcW w:w="11624" w:type="dxa"/>
            <w:tcBorders>
              <w:top w:val="single" w:sz="4" w:space="0" w:color="auto"/>
              <w:left w:val="nil"/>
              <w:bottom w:val="single" w:sz="4" w:space="0" w:color="auto"/>
              <w:right w:val="single" w:sz="4" w:space="0" w:color="auto"/>
            </w:tcBorders>
            <w:vAlign w:val="center"/>
          </w:tcPr>
          <w:p w:rsidR="005123D7" w:rsidRPr="004761E0" w:rsidRDefault="005123D7" w:rsidP="005123D7">
            <w:pPr>
              <w:ind w:left="284" w:firstLine="0"/>
              <w:jc w:val="left"/>
              <w:rPr>
                <w:color w:val="000000"/>
                <w:sz w:val="20"/>
                <w:szCs w:val="20"/>
              </w:rPr>
            </w:pPr>
            <w:r w:rsidRPr="004761E0">
              <w:rPr>
                <w:color w:val="000000"/>
                <w:sz w:val="20"/>
                <w:szCs w:val="20"/>
              </w:rPr>
              <w:t>участие в осмотре должностным лицом Ростехнадзора присоединяемых устройств заявителя, руб./кВт (без НДС)</w:t>
            </w: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5123D7" w:rsidRPr="004761E0" w:rsidRDefault="005123D7" w:rsidP="005123D7">
            <w:pPr>
              <w:ind w:firstLine="0"/>
              <w:jc w:val="center"/>
              <w:rPr>
                <w:color w:val="000000"/>
                <w:sz w:val="20"/>
                <w:szCs w:val="20"/>
              </w:rPr>
            </w:pPr>
            <w:r w:rsidRPr="004761E0">
              <w:rPr>
                <w:color w:val="000000"/>
                <w:sz w:val="20"/>
                <w:szCs w:val="20"/>
              </w:rPr>
              <w:t>-</w:t>
            </w:r>
          </w:p>
        </w:tc>
      </w:tr>
      <w:tr w:rsidR="005123D7" w:rsidRPr="004761E0" w:rsidTr="005123D7">
        <w:trPr>
          <w:cantSplit/>
        </w:trPr>
        <w:tc>
          <w:tcPr>
            <w:tcW w:w="709" w:type="dxa"/>
            <w:tcBorders>
              <w:top w:val="single" w:sz="4" w:space="0" w:color="auto"/>
              <w:left w:val="single" w:sz="4" w:space="0" w:color="auto"/>
              <w:bottom w:val="single" w:sz="4" w:space="0" w:color="auto"/>
              <w:right w:val="single" w:sz="4" w:space="0" w:color="auto"/>
            </w:tcBorders>
            <w:vAlign w:val="center"/>
          </w:tcPr>
          <w:p w:rsidR="005123D7" w:rsidRPr="004761E0" w:rsidRDefault="005123D7" w:rsidP="007076A7">
            <w:pPr>
              <w:pStyle w:val="a5"/>
              <w:numPr>
                <w:ilvl w:val="1"/>
                <w:numId w:val="145"/>
              </w:numPr>
              <w:tabs>
                <w:tab w:val="left" w:pos="310"/>
              </w:tabs>
              <w:jc w:val="left"/>
              <w:rPr>
                <w:color w:val="000000"/>
                <w:sz w:val="20"/>
                <w:szCs w:val="20"/>
              </w:rPr>
            </w:pPr>
          </w:p>
        </w:tc>
        <w:tc>
          <w:tcPr>
            <w:tcW w:w="11624" w:type="dxa"/>
            <w:tcBorders>
              <w:top w:val="single" w:sz="4" w:space="0" w:color="auto"/>
              <w:left w:val="single" w:sz="4" w:space="0" w:color="auto"/>
              <w:bottom w:val="single" w:sz="4" w:space="0" w:color="auto"/>
              <w:right w:val="single" w:sz="4" w:space="0" w:color="auto"/>
            </w:tcBorders>
            <w:vAlign w:val="center"/>
          </w:tcPr>
          <w:p w:rsidR="005123D7" w:rsidRPr="004761E0" w:rsidRDefault="005123D7" w:rsidP="005123D7">
            <w:pPr>
              <w:ind w:left="284" w:firstLine="0"/>
              <w:jc w:val="left"/>
              <w:rPr>
                <w:color w:val="000000"/>
                <w:sz w:val="20"/>
                <w:szCs w:val="20"/>
              </w:rPr>
            </w:pPr>
            <w:r w:rsidRPr="004761E0">
              <w:rPr>
                <w:color w:val="000000"/>
                <w:sz w:val="20"/>
                <w:szCs w:val="20"/>
              </w:rPr>
              <w:t>фактические действия по присоединению и обеспечению работы устройств в электрической сети, руб./кВт (без НДС)</w:t>
            </w: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5123D7" w:rsidRPr="004761E0" w:rsidRDefault="005123D7" w:rsidP="005123D7">
            <w:pPr>
              <w:ind w:firstLine="0"/>
              <w:jc w:val="center"/>
              <w:rPr>
                <w:color w:val="000000"/>
                <w:sz w:val="20"/>
                <w:szCs w:val="20"/>
              </w:rPr>
            </w:pPr>
            <w:r w:rsidRPr="004761E0">
              <w:rPr>
                <w:color w:val="000000"/>
                <w:sz w:val="20"/>
                <w:szCs w:val="20"/>
              </w:rPr>
              <w:t>138,00</w:t>
            </w:r>
          </w:p>
        </w:tc>
      </w:tr>
      <w:tr w:rsidR="005123D7" w:rsidRPr="004761E0" w:rsidTr="005123D7">
        <w:trPr>
          <w:cantSplit/>
        </w:trPr>
        <w:tc>
          <w:tcPr>
            <w:tcW w:w="709" w:type="dxa"/>
            <w:tcBorders>
              <w:top w:val="single" w:sz="4" w:space="0" w:color="auto"/>
              <w:left w:val="single" w:sz="4" w:space="0" w:color="auto"/>
              <w:bottom w:val="single" w:sz="4" w:space="0" w:color="auto"/>
              <w:right w:val="single" w:sz="4" w:space="0" w:color="auto"/>
            </w:tcBorders>
            <w:vAlign w:val="center"/>
          </w:tcPr>
          <w:p w:rsidR="005123D7" w:rsidRPr="004761E0" w:rsidRDefault="005123D7" w:rsidP="007076A7">
            <w:pPr>
              <w:pStyle w:val="a5"/>
              <w:numPr>
                <w:ilvl w:val="0"/>
                <w:numId w:val="145"/>
              </w:numPr>
              <w:tabs>
                <w:tab w:val="left" w:pos="310"/>
              </w:tabs>
              <w:jc w:val="left"/>
              <w:rPr>
                <w:color w:val="000000"/>
                <w:sz w:val="20"/>
                <w:szCs w:val="20"/>
              </w:rPr>
            </w:pPr>
          </w:p>
        </w:tc>
        <w:tc>
          <w:tcPr>
            <w:tcW w:w="11624" w:type="dxa"/>
            <w:tcBorders>
              <w:top w:val="single" w:sz="4" w:space="0" w:color="auto"/>
              <w:left w:val="single" w:sz="4" w:space="0" w:color="auto"/>
              <w:bottom w:val="single" w:sz="4" w:space="0" w:color="auto"/>
              <w:right w:val="single" w:sz="4" w:space="0" w:color="auto"/>
            </w:tcBorders>
            <w:vAlign w:val="center"/>
          </w:tcPr>
          <w:p w:rsidR="005123D7" w:rsidRPr="004761E0" w:rsidRDefault="005123D7" w:rsidP="005123D7">
            <w:pPr>
              <w:ind w:firstLine="0"/>
              <w:rPr>
                <w:sz w:val="20"/>
                <w:szCs w:val="20"/>
              </w:rPr>
            </w:pPr>
            <w:r w:rsidRPr="004761E0">
              <w:rPr>
                <w:sz w:val="20"/>
                <w:szCs w:val="20"/>
              </w:rPr>
              <w:t xml:space="preserve">Ставка на покрытие расходов сетевой организации на строительство воздушных линий/кабельных линий, руб./км </w:t>
            </w:r>
          </w:p>
          <w:p w:rsidR="005123D7" w:rsidRPr="004761E0" w:rsidRDefault="005123D7" w:rsidP="005123D7">
            <w:pPr>
              <w:ind w:firstLine="0"/>
              <w:rPr>
                <w:sz w:val="20"/>
                <w:szCs w:val="20"/>
              </w:rPr>
            </w:pPr>
            <w:r w:rsidRPr="004761E0">
              <w:rPr>
                <w:sz w:val="20"/>
                <w:szCs w:val="20"/>
              </w:rPr>
              <w:t>(без НДС)</w:t>
            </w:r>
            <w:r w:rsidRPr="004761E0">
              <w:rPr>
                <w:sz w:val="20"/>
                <w:szCs w:val="20"/>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tcPr>
          <w:p w:rsidR="005123D7" w:rsidRPr="004761E0" w:rsidRDefault="005123D7" w:rsidP="005123D7">
            <w:pPr>
              <w:ind w:firstLine="0"/>
              <w:jc w:val="center"/>
              <w:rPr>
                <w:color w:val="000000"/>
                <w:sz w:val="20"/>
                <w:szCs w:val="20"/>
              </w:rPr>
            </w:pPr>
            <w:r w:rsidRPr="004761E0">
              <w:rPr>
                <w:color w:val="000000"/>
                <w:sz w:val="20"/>
                <w:szCs w:val="20"/>
              </w:rPr>
              <w:t>313 142,00</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123D7" w:rsidRPr="004761E0" w:rsidRDefault="005123D7" w:rsidP="005123D7">
            <w:pPr>
              <w:ind w:firstLine="0"/>
              <w:jc w:val="center"/>
              <w:rPr>
                <w:color w:val="000000"/>
                <w:sz w:val="20"/>
                <w:szCs w:val="20"/>
              </w:rPr>
            </w:pPr>
            <w:r w:rsidRPr="004761E0">
              <w:rPr>
                <w:color w:val="000000"/>
                <w:sz w:val="20"/>
                <w:szCs w:val="20"/>
              </w:rPr>
              <w:t>556 468,00</w:t>
            </w:r>
          </w:p>
        </w:tc>
      </w:tr>
      <w:tr w:rsidR="005123D7" w:rsidRPr="004761E0" w:rsidTr="005123D7">
        <w:trPr>
          <w:cantSplit/>
        </w:trPr>
        <w:tc>
          <w:tcPr>
            <w:tcW w:w="709" w:type="dxa"/>
            <w:tcBorders>
              <w:top w:val="single" w:sz="4" w:space="0" w:color="auto"/>
              <w:left w:val="single" w:sz="4" w:space="0" w:color="auto"/>
              <w:bottom w:val="single" w:sz="4" w:space="0" w:color="auto"/>
              <w:right w:val="single" w:sz="4" w:space="0" w:color="auto"/>
            </w:tcBorders>
            <w:vAlign w:val="center"/>
          </w:tcPr>
          <w:p w:rsidR="005123D7" w:rsidRPr="004761E0" w:rsidRDefault="005123D7" w:rsidP="007076A7">
            <w:pPr>
              <w:pStyle w:val="a5"/>
              <w:numPr>
                <w:ilvl w:val="0"/>
                <w:numId w:val="145"/>
              </w:numPr>
              <w:tabs>
                <w:tab w:val="left" w:pos="310"/>
              </w:tabs>
              <w:jc w:val="left"/>
              <w:rPr>
                <w:color w:val="000000"/>
                <w:sz w:val="20"/>
                <w:szCs w:val="20"/>
              </w:rPr>
            </w:pPr>
          </w:p>
        </w:tc>
        <w:tc>
          <w:tcPr>
            <w:tcW w:w="11624" w:type="dxa"/>
            <w:tcBorders>
              <w:top w:val="single" w:sz="4" w:space="0" w:color="auto"/>
              <w:left w:val="single" w:sz="4" w:space="0" w:color="auto"/>
              <w:bottom w:val="single" w:sz="4" w:space="0" w:color="auto"/>
              <w:right w:val="single" w:sz="4" w:space="0" w:color="auto"/>
            </w:tcBorders>
            <w:vAlign w:val="center"/>
          </w:tcPr>
          <w:p w:rsidR="005123D7" w:rsidRPr="004761E0" w:rsidRDefault="005123D7" w:rsidP="005123D7">
            <w:pPr>
              <w:ind w:firstLine="0"/>
              <w:rPr>
                <w:sz w:val="20"/>
                <w:szCs w:val="20"/>
              </w:rPr>
            </w:pPr>
            <w:r w:rsidRPr="004761E0">
              <w:rPr>
                <w:sz w:val="20"/>
                <w:szCs w:val="20"/>
              </w:rPr>
              <w:t>Ставка на покрытие расходов сетевой организации на строительство пунктов секционирования (реклоузеров, переключательных пунктов), руб./кВт (без НДС)</w:t>
            </w:r>
            <w:r w:rsidRPr="004761E0">
              <w:rPr>
                <w:sz w:val="20"/>
                <w:szCs w:val="20"/>
                <w:vertAlign w:val="superscript"/>
              </w:rPr>
              <w:t>2</w:t>
            </w: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5123D7" w:rsidRPr="004761E0" w:rsidRDefault="005123D7" w:rsidP="005123D7">
            <w:pPr>
              <w:ind w:firstLine="0"/>
              <w:jc w:val="center"/>
              <w:rPr>
                <w:color w:val="000000"/>
                <w:sz w:val="20"/>
                <w:szCs w:val="20"/>
              </w:rPr>
            </w:pPr>
            <w:r w:rsidRPr="004761E0">
              <w:rPr>
                <w:color w:val="000000"/>
                <w:sz w:val="20"/>
                <w:szCs w:val="20"/>
              </w:rPr>
              <w:t>101,00</w:t>
            </w:r>
          </w:p>
        </w:tc>
      </w:tr>
      <w:tr w:rsidR="005123D7" w:rsidRPr="004761E0" w:rsidTr="005123D7">
        <w:trPr>
          <w:cantSplit/>
        </w:trPr>
        <w:tc>
          <w:tcPr>
            <w:tcW w:w="709" w:type="dxa"/>
            <w:tcBorders>
              <w:top w:val="single" w:sz="4" w:space="0" w:color="auto"/>
              <w:left w:val="single" w:sz="4" w:space="0" w:color="auto"/>
              <w:bottom w:val="single" w:sz="4" w:space="0" w:color="auto"/>
              <w:right w:val="single" w:sz="4" w:space="0" w:color="auto"/>
            </w:tcBorders>
            <w:vAlign w:val="center"/>
          </w:tcPr>
          <w:p w:rsidR="005123D7" w:rsidRPr="004761E0" w:rsidRDefault="005123D7" w:rsidP="007076A7">
            <w:pPr>
              <w:pStyle w:val="a5"/>
              <w:numPr>
                <w:ilvl w:val="0"/>
                <w:numId w:val="145"/>
              </w:numPr>
              <w:tabs>
                <w:tab w:val="left" w:pos="310"/>
              </w:tabs>
              <w:jc w:val="left"/>
              <w:rPr>
                <w:color w:val="000000"/>
                <w:sz w:val="20"/>
                <w:szCs w:val="20"/>
              </w:rPr>
            </w:pPr>
          </w:p>
        </w:tc>
        <w:tc>
          <w:tcPr>
            <w:tcW w:w="11624" w:type="dxa"/>
            <w:tcBorders>
              <w:top w:val="single" w:sz="4" w:space="0" w:color="auto"/>
              <w:left w:val="nil"/>
              <w:bottom w:val="single" w:sz="4" w:space="0" w:color="auto"/>
              <w:right w:val="single" w:sz="4" w:space="0" w:color="auto"/>
            </w:tcBorders>
            <w:vAlign w:val="center"/>
          </w:tcPr>
          <w:p w:rsidR="005123D7" w:rsidRPr="004761E0" w:rsidRDefault="005123D7" w:rsidP="00733C41">
            <w:pPr>
              <w:ind w:firstLine="0"/>
              <w:rPr>
                <w:sz w:val="20"/>
                <w:szCs w:val="20"/>
                <w:vertAlign w:val="superscript"/>
              </w:rPr>
            </w:pPr>
            <w:r w:rsidRPr="004761E0">
              <w:rPr>
                <w:sz w:val="20"/>
                <w:szCs w:val="20"/>
              </w:rPr>
              <w:t>Ставка на покрытие расходов сетевой организации на строительство комплектных трансформаторных подстанций, распределительных трансформаторных подстанций, распределительных пунктов с уровнем напряжения до 35 кВ, руб./кВт (без НДС)</w:t>
            </w:r>
            <w:r w:rsidRPr="004761E0">
              <w:rPr>
                <w:sz w:val="20"/>
                <w:szCs w:val="20"/>
                <w:vertAlign w:val="superscript"/>
              </w:rPr>
              <w:t>2</w:t>
            </w:r>
          </w:p>
        </w:tc>
        <w:tc>
          <w:tcPr>
            <w:tcW w:w="1155" w:type="dxa"/>
            <w:gridSpan w:val="2"/>
            <w:tcBorders>
              <w:top w:val="single" w:sz="4" w:space="0" w:color="auto"/>
              <w:left w:val="single" w:sz="4" w:space="0" w:color="auto"/>
              <w:bottom w:val="single" w:sz="4" w:space="0" w:color="auto"/>
              <w:right w:val="single" w:sz="4" w:space="0" w:color="auto"/>
            </w:tcBorders>
            <w:vAlign w:val="center"/>
          </w:tcPr>
          <w:p w:rsidR="005123D7" w:rsidRPr="004761E0" w:rsidRDefault="005123D7" w:rsidP="005123D7">
            <w:pPr>
              <w:ind w:firstLine="0"/>
              <w:jc w:val="center"/>
              <w:rPr>
                <w:color w:val="000000"/>
                <w:sz w:val="20"/>
                <w:szCs w:val="20"/>
              </w:rPr>
            </w:pPr>
            <w:r w:rsidRPr="004761E0">
              <w:rPr>
                <w:color w:val="000000"/>
                <w:sz w:val="20"/>
                <w:szCs w:val="20"/>
              </w:rPr>
              <w:t>671,00</w:t>
            </w:r>
          </w:p>
        </w:tc>
        <w:tc>
          <w:tcPr>
            <w:tcW w:w="1113" w:type="dxa"/>
            <w:tcBorders>
              <w:top w:val="single" w:sz="4" w:space="0" w:color="auto"/>
              <w:left w:val="single" w:sz="4" w:space="0" w:color="auto"/>
              <w:bottom w:val="single" w:sz="4" w:space="0" w:color="auto"/>
              <w:right w:val="single" w:sz="4" w:space="0" w:color="auto"/>
            </w:tcBorders>
            <w:vAlign w:val="center"/>
          </w:tcPr>
          <w:p w:rsidR="005123D7" w:rsidRPr="004761E0" w:rsidRDefault="005123D7" w:rsidP="005123D7">
            <w:pPr>
              <w:ind w:firstLine="0"/>
              <w:jc w:val="center"/>
              <w:rPr>
                <w:color w:val="000000"/>
                <w:sz w:val="20"/>
                <w:szCs w:val="20"/>
              </w:rPr>
            </w:pPr>
            <w:r w:rsidRPr="004761E0">
              <w:rPr>
                <w:color w:val="000000"/>
                <w:sz w:val="20"/>
                <w:szCs w:val="20"/>
              </w:rPr>
              <w:t>428,00</w:t>
            </w:r>
          </w:p>
        </w:tc>
      </w:tr>
      <w:tr w:rsidR="005123D7" w:rsidRPr="004761E0" w:rsidTr="005123D7">
        <w:trPr>
          <w:cantSplit/>
        </w:trPr>
        <w:tc>
          <w:tcPr>
            <w:tcW w:w="709" w:type="dxa"/>
            <w:tcBorders>
              <w:top w:val="nil"/>
              <w:left w:val="single" w:sz="4" w:space="0" w:color="auto"/>
              <w:bottom w:val="single" w:sz="4" w:space="0" w:color="auto"/>
              <w:right w:val="single" w:sz="4" w:space="0" w:color="auto"/>
            </w:tcBorders>
            <w:vAlign w:val="center"/>
            <w:hideMark/>
          </w:tcPr>
          <w:p w:rsidR="005123D7" w:rsidRPr="004761E0" w:rsidRDefault="005123D7" w:rsidP="007076A7">
            <w:pPr>
              <w:pStyle w:val="a5"/>
              <w:numPr>
                <w:ilvl w:val="0"/>
                <w:numId w:val="145"/>
              </w:numPr>
              <w:tabs>
                <w:tab w:val="left" w:pos="310"/>
              </w:tabs>
              <w:jc w:val="left"/>
              <w:rPr>
                <w:color w:val="000000"/>
                <w:sz w:val="20"/>
                <w:szCs w:val="20"/>
              </w:rPr>
            </w:pPr>
          </w:p>
        </w:tc>
        <w:tc>
          <w:tcPr>
            <w:tcW w:w="11624" w:type="dxa"/>
            <w:tcBorders>
              <w:top w:val="nil"/>
              <w:left w:val="nil"/>
              <w:bottom w:val="single" w:sz="4" w:space="0" w:color="auto"/>
              <w:right w:val="single" w:sz="4" w:space="0" w:color="auto"/>
            </w:tcBorders>
            <w:vAlign w:val="center"/>
          </w:tcPr>
          <w:p w:rsidR="005123D7" w:rsidRPr="004761E0" w:rsidRDefault="005123D7" w:rsidP="005123D7">
            <w:pPr>
              <w:ind w:firstLine="0"/>
              <w:rPr>
                <w:sz w:val="20"/>
                <w:szCs w:val="20"/>
                <w:vertAlign w:val="superscript"/>
              </w:rPr>
            </w:pPr>
            <w:r w:rsidRPr="004761E0">
              <w:rPr>
                <w:sz w:val="20"/>
                <w:szCs w:val="20"/>
              </w:rPr>
              <w:t>Ставка на покрытие расходов сетевой организации на строительство центров питания, подстанций уровнем напряжения 35 кВ и выше, руб./кВт (без НДС)</w:t>
            </w:r>
            <w:r w:rsidRPr="004761E0">
              <w:rPr>
                <w:sz w:val="20"/>
                <w:szCs w:val="20"/>
                <w:vertAlign w:val="superscript"/>
              </w:rPr>
              <w:t>2</w:t>
            </w:r>
          </w:p>
        </w:tc>
        <w:tc>
          <w:tcPr>
            <w:tcW w:w="1155" w:type="dxa"/>
            <w:gridSpan w:val="2"/>
            <w:tcBorders>
              <w:top w:val="single" w:sz="4" w:space="0" w:color="auto"/>
              <w:left w:val="single" w:sz="4" w:space="0" w:color="auto"/>
              <w:bottom w:val="single" w:sz="4" w:space="0" w:color="auto"/>
              <w:right w:val="single" w:sz="4" w:space="0" w:color="auto"/>
            </w:tcBorders>
            <w:vAlign w:val="center"/>
          </w:tcPr>
          <w:p w:rsidR="005123D7" w:rsidRPr="004761E0" w:rsidRDefault="005123D7" w:rsidP="005123D7">
            <w:pPr>
              <w:ind w:firstLine="0"/>
              <w:jc w:val="center"/>
              <w:rPr>
                <w:color w:val="000000"/>
                <w:sz w:val="20"/>
                <w:szCs w:val="20"/>
              </w:rPr>
            </w:pPr>
            <w:r w:rsidRPr="004761E0">
              <w:rPr>
                <w:color w:val="000000"/>
                <w:sz w:val="20"/>
                <w:szCs w:val="20"/>
              </w:rPr>
              <w:t>-</w:t>
            </w:r>
          </w:p>
        </w:tc>
        <w:tc>
          <w:tcPr>
            <w:tcW w:w="1113" w:type="dxa"/>
            <w:tcBorders>
              <w:top w:val="single" w:sz="4" w:space="0" w:color="auto"/>
              <w:left w:val="single" w:sz="4" w:space="0" w:color="auto"/>
              <w:bottom w:val="single" w:sz="4" w:space="0" w:color="auto"/>
              <w:right w:val="single" w:sz="4" w:space="0" w:color="auto"/>
            </w:tcBorders>
            <w:vAlign w:val="center"/>
          </w:tcPr>
          <w:p w:rsidR="005123D7" w:rsidRPr="004761E0" w:rsidRDefault="005123D7" w:rsidP="005123D7">
            <w:pPr>
              <w:ind w:firstLine="0"/>
              <w:jc w:val="center"/>
              <w:rPr>
                <w:color w:val="000000"/>
                <w:sz w:val="20"/>
                <w:szCs w:val="20"/>
              </w:rPr>
            </w:pPr>
            <w:r w:rsidRPr="004761E0">
              <w:rPr>
                <w:color w:val="000000"/>
                <w:sz w:val="20"/>
                <w:szCs w:val="20"/>
              </w:rPr>
              <w:t>-</w:t>
            </w:r>
          </w:p>
        </w:tc>
      </w:tr>
    </w:tbl>
    <w:p w:rsidR="005123D7" w:rsidRPr="004761E0" w:rsidRDefault="005123D7" w:rsidP="005123D7">
      <w:pPr>
        <w:ind w:firstLine="567"/>
        <w:rPr>
          <w:rFonts w:eastAsia="Times New Roman"/>
          <w:color w:val="000000"/>
          <w:sz w:val="20"/>
          <w:szCs w:val="26"/>
          <w:lang w:eastAsia="ru-RU"/>
        </w:rPr>
      </w:pPr>
      <w:r w:rsidRPr="004761E0">
        <w:rPr>
          <w:rFonts w:eastAsia="Times New Roman"/>
          <w:color w:val="000000"/>
          <w:sz w:val="20"/>
          <w:szCs w:val="26"/>
          <w:vertAlign w:val="superscript"/>
          <w:lang w:eastAsia="ru-RU"/>
        </w:rPr>
        <w:t>1 </w:t>
      </w:r>
      <w:r w:rsidRPr="004761E0">
        <w:rPr>
          <w:rFonts w:eastAsia="Times New Roman"/>
          <w:color w:val="000000"/>
          <w:sz w:val="20"/>
          <w:szCs w:val="26"/>
          <w:lang w:eastAsia="ru-RU"/>
        </w:rPr>
        <w:t>Н</w:t>
      </w:r>
      <w:r w:rsidRPr="004761E0">
        <w:rPr>
          <w:rFonts w:eastAsia="Times New Roman"/>
          <w:iCs/>
          <w:color w:val="000000"/>
          <w:sz w:val="20"/>
          <w:szCs w:val="26"/>
          <w:lang w:eastAsia="ru-RU"/>
        </w:rPr>
        <w:t xml:space="preserve">а выполнение организационных мероприятий со стороны </w:t>
      </w:r>
      <w:r w:rsidR="0008080E">
        <w:rPr>
          <w:rFonts w:eastAsia="Times New Roman"/>
          <w:iCs/>
          <w:color w:val="000000"/>
          <w:sz w:val="20"/>
          <w:szCs w:val="26"/>
          <w:lang w:eastAsia="ru-RU"/>
        </w:rPr>
        <w:t>ОАО </w:t>
      </w:r>
      <w:r w:rsidRPr="004761E0">
        <w:rPr>
          <w:rFonts w:eastAsia="Times New Roman"/>
          <w:iCs/>
          <w:color w:val="000000"/>
          <w:sz w:val="20"/>
          <w:szCs w:val="26"/>
          <w:lang w:eastAsia="ru-RU"/>
        </w:rPr>
        <w:t>«МОЭСК» установлены стандартизированные тарифные ставки на покрытие расходов за технологическое присоединение в ценах периода регулирования</w:t>
      </w:r>
      <w:r w:rsidRPr="004761E0">
        <w:rPr>
          <w:rFonts w:eastAsia="Times New Roman"/>
          <w:color w:val="000000"/>
          <w:sz w:val="20"/>
          <w:szCs w:val="26"/>
          <w:lang w:eastAsia="ru-RU"/>
        </w:rPr>
        <w:t>.</w:t>
      </w:r>
    </w:p>
    <w:p w:rsidR="005123D7" w:rsidRPr="004761E0" w:rsidRDefault="005123D7" w:rsidP="005123D7">
      <w:pPr>
        <w:ind w:firstLine="567"/>
        <w:rPr>
          <w:rFonts w:eastAsia="Times New Roman"/>
          <w:iCs/>
          <w:color w:val="000000"/>
          <w:sz w:val="20"/>
          <w:szCs w:val="26"/>
          <w:lang w:eastAsia="ru-RU"/>
        </w:rPr>
      </w:pPr>
      <w:r w:rsidRPr="004761E0">
        <w:rPr>
          <w:rFonts w:eastAsia="Times New Roman"/>
          <w:color w:val="000000"/>
          <w:sz w:val="20"/>
          <w:szCs w:val="26"/>
          <w:vertAlign w:val="superscript"/>
          <w:lang w:eastAsia="ru-RU"/>
        </w:rPr>
        <w:t>2 </w:t>
      </w:r>
      <w:r w:rsidRPr="004761E0">
        <w:rPr>
          <w:rFonts w:eastAsia="Times New Roman"/>
          <w:iCs/>
          <w:color w:val="000000"/>
          <w:sz w:val="20"/>
          <w:szCs w:val="26"/>
          <w:lang w:eastAsia="ru-RU"/>
        </w:rPr>
        <w:t xml:space="preserve">На выполнение мероприятий «последней мили» (расходы капитального характера) со стороны </w:t>
      </w:r>
      <w:r w:rsidR="0008080E">
        <w:rPr>
          <w:rFonts w:eastAsia="Times New Roman"/>
          <w:iCs/>
          <w:color w:val="000000"/>
          <w:sz w:val="20"/>
          <w:szCs w:val="26"/>
          <w:lang w:eastAsia="ru-RU"/>
        </w:rPr>
        <w:t>ОАО </w:t>
      </w:r>
      <w:r w:rsidRPr="004761E0">
        <w:rPr>
          <w:rFonts w:eastAsia="Times New Roman"/>
          <w:iCs/>
          <w:color w:val="000000"/>
          <w:sz w:val="20"/>
          <w:szCs w:val="26"/>
          <w:lang w:eastAsia="ru-RU"/>
        </w:rPr>
        <w:t>«МОЭСК» установлены стандартизированные тарифные ставки в ценах 2001 года.</w:t>
      </w:r>
    </w:p>
    <w:p w:rsidR="007623B1" w:rsidRPr="004761E0" w:rsidRDefault="005123D7" w:rsidP="005123D7">
      <w:pPr>
        <w:ind w:firstLine="567"/>
        <w:rPr>
          <w:rFonts w:eastAsia="Times New Roman"/>
          <w:iCs/>
          <w:color w:val="000000"/>
          <w:sz w:val="20"/>
          <w:szCs w:val="26"/>
          <w:lang w:eastAsia="ru-RU"/>
        </w:rPr>
      </w:pPr>
      <w:r w:rsidRPr="004761E0">
        <w:rPr>
          <w:rFonts w:eastAsia="Times New Roman"/>
          <w:iCs/>
          <w:color w:val="000000"/>
          <w:sz w:val="20"/>
          <w:szCs w:val="26"/>
          <w:vertAlign w:val="superscript"/>
          <w:lang w:eastAsia="ru-RU"/>
        </w:rPr>
        <w:lastRenderedPageBreak/>
        <w:t>3</w:t>
      </w:r>
      <w:r w:rsidRPr="004761E0">
        <w:rPr>
          <w:rFonts w:eastAsia="Times New Roman"/>
          <w:iCs/>
          <w:color w:val="000000"/>
          <w:sz w:val="20"/>
          <w:szCs w:val="26"/>
          <w:lang w:eastAsia="ru-RU"/>
        </w:rPr>
        <w:t xml:space="preserve"> Размер платы за технологическое присоединение объектов заявителей к электрическим сетям </w:t>
      </w:r>
      <w:r w:rsidR="0008080E">
        <w:rPr>
          <w:rFonts w:eastAsia="Times New Roman"/>
          <w:iCs/>
          <w:color w:val="000000"/>
          <w:sz w:val="20"/>
          <w:szCs w:val="26"/>
          <w:lang w:eastAsia="ru-RU"/>
        </w:rPr>
        <w:t>ОАО </w:t>
      </w:r>
      <w:r w:rsidRPr="004761E0">
        <w:rPr>
          <w:rFonts w:eastAsia="Times New Roman"/>
          <w:iCs/>
          <w:color w:val="000000"/>
          <w:sz w:val="20"/>
          <w:szCs w:val="26"/>
          <w:lang w:eastAsia="ru-RU"/>
        </w:rPr>
        <w:t>«МОЭСК» на основе стандартизированных тарифных ставок рассчитывается в соответствии с формулой расчета размера платы, утвержденной распоряжением Комитета по ценам и тарифам Московской области от 21.12.2012 № 150-Р.</w:t>
      </w:r>
    </w:p>
    <w:p w:rsidR="007F7D78" w:rsidRPr="004761E0" w:rsidRDefault="007F7D78" w:rsidP="007F7D78">
      <w:pPr>
        <w:sectPr w:rsidR="007F7D78" w:rsidRPr="004761E0" w:rsidSect="000539F2">
          <w:pgSz w:w="16838" w:h="11906" w:orient="landscape"/>
          <w:pgMar w:top="1701" w:right="1134" w:bottom="851" w:left="1134" w:header="709" w:footer="709" w:gutter="0"/>
          <w:cols w:space="708"/>
          <w:docGrid w:linePitch="381"/>
        </w:sectPr>
      </w:pPr>
    </w:p>
    <w:p w:rsidR="00A66ECA" w:rsidRPr="00CA38EF" w:rsidRDefault="00A66ECA" w:rsidP="00CA38EF">
      <w:pPr>
        <w:pStyle w:val="a8"/>
        <w:numPr>
          <w:ilvl w:val="1"/>
          <w:numId w:val="2"/>
        </w:numPr>
        <w:tabs>
          <w:tab w:val="left" w:pos="1134"/>
        </w:tabs>
        <w:ind w:hanging="578"/>
        <w:jc w:val="both"/>
        <w:rPr>
          <w:rFonts w:ascii="Times New Roman" w:hAnsi="Times New Roman"/>
          <w:b/>
          <w:sz w:val="26"/>
          <w:szCs w:val="26"/>
          <w:lang w:eastAsia="ru-RU"/>
        </w:rPr>
      </w:pPr>
      <w:bookmarkStart w:id="170" w:name="_Toc385339876"/>
      <w:r w:rsidRPr="00CA38EF">
        <w:rPr>
          <w:rFonts w:ascii="Times New Roman" w:hAnsi="Times New Roman"/>
          <w:b/>
          <w:sz w:val="26"/>
          <w:szCs w:val="26"/>
          <w:lang w:eastAsia="ru-RU"/>
        </w:rPr>
        <w:lastRenderedPageBreak/>
        <w:t>Значимые объекты инвестиционной программы, введенные в эксплуатацию в 2013 году</w:t>
      </w:r>
      <w:bookmarkEnd w:id="170"/>
    </w:p>
    <w:tbl>
      <w:tblPr>
        <w:tblW w:w="162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567"/>
        <w:gridCol w:w="709"/>
        <w:gridCol w:w="1843"/>
        <w:gridCol w:w="2410"/>
        <w:gridCol w:w="692"/>
        <w:gridCol w:w="709"/>
        <w:gridCol w:w="1134"/>
        <w:gridCol w:w="1275"/>
        <w:gridCol w:w="709"/>
        <w:gridCol w:w="709"/>
        <w:gridCol w:w="1150"/>
        <w:gridCol w:w="851"/>
        <w:gridCol w:w="1117"/>
        <w:gridCol w:w="851"/>
        <w:gridCol w:w="992"/>
      </w:tblGrid>
      <w:tr w:rsidR="009642EF" w:rsidRPr="004761E0" w:rsidTr="00EC58E0">
        <w:trPr>
          <w:trHeight w:val="206"/>
        </w:trPr>
        <w:tc>
          <w:tcPr>
            <w:tcW w:w="567" w:type="dxa"/>
            <w:vMerge w:val="restart"/>
            <w:tcBorders>
              <w:bottom w:val="single" w:sz="4" w:space="0" w:color="FFFFFF" w:themeColor="background1"/>
              <w:right w:val="single" w:sz="4" w:space="0" w:color="FFFFFF" w:themeColor="background1"/>
            </w:tcBorders>
            <w:shd w:val="clear" w:color="auto" w:fill="0F243E" w:themeFill="text2" w:themeFillShade="80"/>
            <w:vAlign w:val="center"/>
            <w:hideMark/>
          </w:tcPr>
          <w:p w:rsidR="00A66ECA" w:rsidRPr="004761E0" w:rsidRDefault="00A66ECA" w:rsidP="009642EF">
            <w:pPr>
              <w:ind w:firstLine="0"/>
              <w:jc w:val="center"/>
              <w:rPr>
                <w:rFonts w:eastAsia="Times New Roman"/>
                <w:b/>
                <w:bCs/>
                <w:color w:val="FFFFFF" w:themeColor="background1"/>
                <w:sz w:val="16"/>
                <w:szCs w:val="16"/>
                <w:lang w:eastAsia="ru-RU"/>
              </w:rPr>
            </w:pPr>
            <w:bookmarkStart w:id="171" w:name="RANGE!A3:N25"/>
            <w:r w:rsidRPr="004761E0">
              <w:rPr>
                <w:rFonts w:eastAsia="Times New Roman"/>
                <w:b/>
                <w:bCs/>
                <w:color w:val="FFFFFF" w:themeColor="background1"/>
                <w:sz w:val="16"/>
                <w:szCs w:val="16"/>
                <w:lang w:eastAsia="ru-RU"/>
              </w:rPr>
              <w:t>№ п/п</w:t>
            </w:r>
            <w:bookmarkEnd w:id="171"/>
          </w:p>
        </w:tc>
        <w:tc>
          <w:tcPr>
            <w:tcW w:w="567"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9642EF" w:rsidRPr="004761E0" w:rsidRDefault="00A66ECA" w:rsidP="009642EF">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М/</w:t>
            </w:r>
          </w:p>
          <w:p w:rsidR="00A66ECA" w:rsidRPr="004761E0" w:rsidRDefault="00A66ECA" w:rsidP="009642EF">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МО</w:t>
            </w:r>
          </w:p>
        </w:tc>
        <w:tc>
          <w:tcPr>
            <w:tcW w:w="709"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A66ECA" w:rsidRPr="004761E0" w:rsidRDefault="00A66ECA" w:rsidP="009642EF">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ТПиР/НС</w:t>
            </w:r>
          </w:p>
        </w:tc>
        <w:tc>
          <w:tcPr>
            <w:tcW w:w="1843"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A66ECA" w:rsidRPr="004761E0" w:rsidRDefault="00A66ECA" w:rsidP="009642EF">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Наименование объекта</w:t>
            </w:r>
          </w:p>
        </w:tc>
        <w:tc>
          <w:tcPr>
            <w:tcW w:w="2410"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A66ECA" w:rsidRPr="004761E0" w:rsidRDefault="00A66ECA" w:rsidP="009642EF">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Назначение инвестиционного проекта</w:t>
            </w:r>
          </w:p>
        </w:tc>
        <w:tc>
          <w:tcPr>
            <w:tcW w:w="140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A66ECA" w:rsidRPr="004761E0" w:rsidRDefault="00A66ECA" w:rsidP="009642EF">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Сроки строительства</w:t>
            </w:r>
          </w:p>
        </w:tc>
        <w:tc>
          <w:tcPr>
            <w:tcW w:w="1134"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A66ECA" w:rsidRPr="004761E0" w:rsidRDefault="00A66ECA" w:rsidP="009642EF">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Сметная стоимость, млн</w:t>
            </w:r>
            <w:r w:rsidR="00940182" w:rsidRPr="004761E0">
              <w:rPr>
                <w:rFonts w:eastAsia="Times New Roman"/>
                <w:b/>
                <w:bCs/>
                <w:color w:val="FFFFFF" w:themeColor="background1"/>
                <w:sz w:val="16"/>
                <w:szCs w:val="16"/>
                <w:lang w:eastAsia="ru-RU"/>
              </w:rPr>
              <w:t xml:space="preserve"> </w:t>
            </w:r>
            <w:r w:rsidRPr="004761E0">
              <w:rPr>
                <w:rFonts w:eastAsia="Times New Roman"/>
                <w:b/>
                <w:bCs/>
                <w:color w:val="FFFFFF" w:themeColor="background1"/>
                <w:sz w:val="16"/>
                <w:szCs w:val="16"/>
                <w:lang w:eastAsia="ru-RU"/>
              </w:rPr>
              <w:t>руб. без НДС</w:t>
            </w:r>
          </w:p>
        </w:tc>
        <w:tc>
          <w:tcPr>
            <w:tcW w:w="1275"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A66ECA" w:rsidRPr="004761E0" w:rsidRDefault="00A66ECA" w:rsidP="009642EF">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Стоимость введенных основных фондов в 2013г., млн</w:t>
            </w:r>
            <w:r w:rsidR="00940182" w:rsidRPr="004761E0">
              <w:rPr>
                <w:rFonts w:eastAsia="Times New Roman"/>
                <w:b/>
                <w:bCs/>
                <w:color w:val="FFFFFF" w:themeColor="background1"/>
                <w:sz w:val="16"/>
                <w:szCs w:val="16"/>
                <w:lang w:eastAsia="ru-RU"/>
              </w:rPr>
              <w:t xml:space="preserve"> </w:t>
            </w:r>
            <w:r w:rsidRPr="004761E0">
              <w:rPr>
                <w:rFonts w:eastAsia="Times New Roman"/>
                <w:b/>
                <w:bCs/>
                <w:color w:val="FFFFFF" w:themeColor="background1"/>
                <w:sz w:val="16"/>
                <w:szCs w:val="16"/>
                <w:lang w:eastAsia="ru-RU"/>
              </w:rPr>
              <w:t>руб. без НДС</w:t>
            </w:r>
          </w:p>
        </w:tc>
        <w:tc>
          <w:tcPr>
            <w:tcW w:w="1418"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A66ECA" w:rsidRPr="004761E0" w:rsidRDefault="00A66ECA" w:rsidP="009642EF">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Ввод в основные фонды</w:t>
            </w:r>
          </w:p>
        </w:tc>
        <w:tc>
          <w:tcPr>
            <w:tcW w:w="200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A66ECA" w:rsidRPr="004761E0" w:rsidRDefault="00A66ECA" w:rsidP="009642EF">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Состав основного оборудования</w:t>
            </w:r>
          </w:p>
        </w:tc>
        <w:tc>
          <w:tcPr>
            <w:tcW w:w="1117"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A66ECA" w:rsidRPr="004761E0" w:rsidRDefault="00A66ECA" w:rsidP="009642EF">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Причины отклонения</w:t>
            </w:r>
          </w:p>
        </w:tc>
        <w:tc>
          <w:tcPr>
            <w:tcW w:w="1843" w:type="dxa"/>
            <w:gridSpan w:val="2"/>
            <w:tcBorders>
              <w:left w:val="single" w:sz="4" w:space="0" w:color="FFFFFF" w:themeColor="background1"/>
              <w:bottom w:val="single" w:sz="4" w:space="0" w:color="FFFFFF" w:themeColor="background1"/>
            </w:tcBorders>
            <w:shd w:val="clear" w:color="auto" w:fill="0F243E" w:themeFill="text2" w:themeFillShade="80"/>
          </w:tcPr>
          <w:p w:rsidR="00A66ECA" w:rsidRPr="004761E0" w:rsidRDefault="00A66ECA" w:rsidP="009642EF">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Срок окупаемости, кол-во лет</w:t>
            </w:r>
          </w:p>
        </w:tc>
      </w:tr>
      <w:tr w:rsidR="009642EF" w:rsidRPr="004761E0" w:rsidTr="00EC58E0">
        <w:trPr>
          <w:trHeight w:val="206"/>
        </w:trPr>
        <w:tc>
          <w:tcPr>
            <w:tcW w:w="567" w:type="dxa"/>
            <w:vMerge/>
            <w:tcBorders>
              <w:top w:val="single" w:sz="4" w:space="0" w:color="FFFFFF" w:themeColor="background1"/>
              <w:right w:val="single" w:sz="4" w:space="0" w:color="FFFFFF" w:themeColor="background1"/>
            </w:tcBorders>
            <w:shd w:val="clear" w:color="auto" w:fill="0F243E" w:themeFill="text2" w:themeFillShade="80"/>
            <w:vAlign w:val="center"/>
            <w:hideMark/>
          </w:tcPr>
          <w:p w:rsidR="00A66ECA" w:rsidRPr="004761E0" w:rsidRDefault="00A66ECA" w:rsidP="009642EF">
            <w:pPr>
              <w:ind w:firstLine="0"/>
              <w:jc w:val="left"/>
              <w:rPr>
                <w:rFonts w:eastAsia="Times New Roman"/>
                <w:b/>
                <w:bCs/>
                <w:color w:val="000000"/>
                <w:sz w:val="16"/>
                <w:szCs w:val="16"/>
                <w:lang w:eastAsia="ru-RU"/>
              </w:rPr>
            </w:pPr>
          </w:p>
        </w:tc>
        <w:tc>
          <w:tcPr>
            <w:tcW w:w="567" w:type="dxa"/>
            <w:vMerge/>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hideMark/>
          </w:tcPr>
          <w:p w:rsidR="00A66ECA" w:rsidRPr="004761E0" w:rsidRDefault="00A66ECA" w:rsidP="009642EF">
            <w:pPr>
              <w:ind w:firstLine="0"/>
              <w:jc w:val="left"/>
              <w:rPr>
                <w:rFonts w:eastAsia="Times New Roman"/>
                <w:b/>
                <w:bCs/>
                <w:color w:val="000000"/>
                <w:sz w:val="16"/>
                <w:szCs w:val="16"/>
                <w:lang w:eastAsia="ru-RU"/>
              </w:rPr>
            </w:pPr>
          </w:p>
        </w:tc>
        <w:tc>
          <w:tcPr>
            <w:tcW w:w="709" w:type="dxa"/>
            <w:vMerge/>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hideMark/>
          </w:tcPr>
          <w:p w:rsidR="00A66ECA" w:rsidRPr="004761E0" w:rsidRDefault="00A66ECA" w:rsidP="009642EF">
            <w:pPr>
              <w:ind w:firstLine="0"/>
              <w:jc w:val="left"/>
              <w:rPr>
                <w:rFonts w:eastAsia="Times New Roman"/>
                <w:b/>
                <w:bCs/>
                <w:color w:val="000000"/>
                <w:sz w:val="16"/>
                <w:szCs w:val="16"/>
                <w:lang w:eastAsia="ru-RU"/>
              </w:rPr>
            </w:pPr>
          </w:p>
        </w:tc>
        <w:tc>
          <w:tcPr>
            <w:tcW w:w="1843" w:type="dxa"/>
            <w:vMerge/>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hideMark/>
          </w:tcPr>
          <w:p w:rsidR="00A66ECA" w:rsidRPr="004761E0" w:rsidRDefault="00A66ECA" w:rsidP="009642EF">
            <w:pPr>
              <w:ind w:firstLine="0"/>
              <w:jc w:val="left"/>
              <w:rPr>
                <w:rFonts w:eastAsia="Times New Roman"/>
                <w:b/>
                <w:bCs/>
                <w:color w:val="000000"/>
                <w:sz w:val="16"/>
                <w:szCs w:val="16"/>
                <w:lang w:eastAsia="ru-RU"/>
              </w:rPr>
            </w:pPr>
          </w:p>
        </w:tc>
        <w:tc>
          <w:tcPr>
            <w:tcW w:w="2410" w:type="dxa"/>
            <w:vMerge/>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hideMark/>
          </w:tcPr>
          <w:p w:rsidR="00A66ECA" w:rsidRPr="004761E0" w:rsidRDefault="00A66ECA" w:rsidP="009642EF">
            <w:pPr>
              <w:ind w:firstLine="0"/>
              <w:jc w:val="left"/>
              <w:rPr>
                <w:rFonts w:eastAsia="Times New Roman"/>
                <w:b/>
                <w:bCs/>
                <w:color w:val="000000"/>
                <w:sz w:val="16"/>
                <w:szCs w:val="16"/>
                <w:lang w:eastAsia="ru-RU"/>
              </w:rPr>
            </w:pPr>
          </w:p>
        </w:tc>
        <w:tc>
          <w:tcPr>
            <w:tcW w:w="692"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hideMark/>
          </w:tcPr>
          <w:p w:rsidR="00A66ECA" w:rsidRPr="004761E0" w:rsidRDefault="009642EF" w:rsidP="009642EF">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н</w:t>
            </w:r>
            <w:r w:rsidR="00A66ECA" w:rsidRPr="004761E0">
              <w:rPr>
                <w:rFonts w:eastAsia="Times New Roman"/>
                <w:b/>
                <w:bCs/>
                <w:color w:val="FFFFFF" w:themeColor="background1"/>
                <w:sz w:val="16"/>
                <w:szCs w:val="16"/>
                <w:lang w:eastAsia="ru-RU"/>
              </w:rPr>
              <w:t>ача</w:t>
            </w:r>
            <w:r w:rsidRPr="004761E0">
              <w:rPr>
                <w:rFonts w:eastAsia="Times New Roman"/>
                <w:b/>
                <w:bCs/>
                <w:color w:val="FFFFFF" w:themeColor="background1"/>
                <w:sz w:val="16"/>
                <w:szCs w:val="16"/>
                <w:lang w:eastAsia="ru-RU"/>
              </w:rPr>
              <w:t>-</w:t>
            </w:r>
            <w:r w:rsidR="00A66ECA" w:rsidRPr="004761E0">
              <w:rPr>
                <w:rFonts w:eastAsia="Times New Roman"/>
                <w:b/>
                <w:bCs/>
                <w:color w:val="FFFFFF" w:themeColor="background1"/>
                <w:sz w:val="16"/>
                <w:szCs w:val="16"/>
                <w:lang w:eastAsia="ru-RU"/>
              </w:rPr>
              <w:t>ло</w:t>
            </w:r>
          </w:p>
        </w:tc>
        <w:tc>
          <w:tcPr>
            <w:tcW w:w="709"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hideMark/>
          </w:tcPr>
          <w:p w:rsidR="00A66ECA" w:rsidRPr="004761E0" w:rsidRDefault="009642EF" w:rsidP="009642EF">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о</w:t>
            </w:r>
            <w:r w:rsidR="00A66ECA" w:rsidRPr="004761E0">
              <w:rPr>
                <w:rFonts w:eastAsia="Times New Roman"/>
                <w:b/>
                <w:bCs/>
                <w:color w:val="FFFFFF" w:themeColor="background1"/>
                <w:sz w:val="16"/>
                <w:szCs w:val="16"/>
                <w:lang w:eastAsia="ru-RU"/>
              </w:rPr>
              <w:t>кон</w:t>
            </w:r>
            <w:r w:rsidRPr="004761E0">
              <w:rPr>
                <w:rFonts w:eastAsia="Times New Roman"/>
                <w:b/>
                <w:bCs/>
                <w:color w:val="FFFFFF" w:themeColor="background1"/>
                <w:sz w:val="16"/>
                <w:szCs w:val="16"/>
                <w:lang w:eastAsia="ru-RU"/>
              </w:rPr>
              <w:t>-</w:t>
            </w:r>
            <w:r w:rsidR="00A66ECA" w:rsidRPr="004761E0">
              <w:rPr>
                <w:rFonts w:eastAsia="Times New Roman"/>
                <w:b/>
                <w:bCs/>
                <w:color w:val="FFFFFF" w:themeColor="background1"/>
                <w:sz w:val="16"/>
                <w:szCs w:val="16"/>
                <w:lang w:eastAsia="ru-RU"/>
              </w:rPr>
              <w:t>чание</w:t>
            </w:r>
          </w:p>
        </w:tc>
        <w:tc>
          <w:tcPr>
            <w:tcW w:w="1134" w:type="dxa"/>
            <w:vMerge/>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hideMark/>
          </w:tcPr>
          <w:p w:rsidR="00A66ECA" w:rsidRPr="004761E0" w:rsidRDefault="00A66ECA" w:rsidP="009642EF">
            <w:pPr>
              <w:ind w:firstLine="0"/>
              <w:jc w:val="left"/>
              <w:rPr>
                <w:rFonts w:eastAsia="Times New Roman"/>
                <w:b/>
                <w:bCs/>
                <w:color w:val="000000"/>
                <w:sz w:val="16"/>
                <w:szCs w:val="16"/>
                <w:lang w:eastAsia="ru-RU"/>
              </w:rPr>
            </w:pPr>
          </w:p>
        </w:tc>
        <w:tc>
          <w:tcPr>
            <w:tcW w:w="1275" w:type="dxa"/>
            <w:vMerge/>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hideMark/>
          </w:tcPr>
          <w:p w:rsidR="00A66ECA" w:rsidRPr="004761E0" w:rsidRDefault="00A66ECA" w:rsidP="009642EF">
            <w:pPr>
              <w:ind w:firstLine="0"/>
              <w:jc w:val="left"/>
              <w:rPr>
                <w:rFonts w:eastAsia="Times New Roman"/>
                <w:b/>
                <w:bCs/>
                <w:color w:val="000000"/>
                <w:sz w:val="16"/>
                <w:szCs w:val="16"/>
                <w:lang w:eastAsia="ru-RU"/>
              </w:rPr>
            </w:pPr>
          </w:p>
        </w:tc>
        <w:tc>
          <w:tcPr>
            <w:tcW w:w="709"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hideMark/>
          </w:tcPr>
          <w:p w:rsidR="00A66ECA" w:rsidRPr="004761E0" w:rsidRDefault="00A66ECA" w:rsidP="009642EF">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МВА</w:t>
            </w:r>
          </w:p>
        </w:tc>
        <w:tc>
          <w:tcPr>
            <w:tcW w:w="709"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hideMark/>
          </w:tcPr>
          <w:p w:rsidR="00A66ECA" w:rsidRPr="004761E0" w:rsidRDefault="00A66ECA" w:rsidP="009642EF">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км</w:t>
            </w:r>
          </w:p>
        </w:tc>
        <w:tc>
          <w:tcPr>
            <w:tcW w:w="1150"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hideMark/>
          </w:tcPr>
          <w:p w:rsidR="00A66ECA" w:rsidRPr="004761E0" w:rsidRDefault="00A66ECA" w:rsidP="009642EF">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Марка силовых трансформаторов</w:t>
            </w:r>
          </w:p>
        </w:tc>
        <w:tc>
          <w:tcPr>
            <w:tcW w:w="851"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hideMark/>
          </w:tcPr>
          <w:p w:rsidR="00A66ECA" w:rsidRPr="004761E0" w:rsidRDefault="00A66ECA" w:rsidP="009642EF">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Марка кабеля</w:t>
            </w:r>
          </w:p>
        </w:tc>
        <w:tc>
          <w:tcPr>
            <w:tcW w:w="1117" w:type="dxa"/>
            <w:vMerge/>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hideMark/>
          </w:tcPr>
          <w:p w:rsidR="00A66ECA" w:rsidRPr="004761E0" w:rsidRDefault="00A66ECA" w:rsidP="009642EF">
            <w:pPr>
              <w:ind w:firstLine="0"/>
              <w:jc w:val="left"/>
              <w:rPr>
                <w:rFonts w:eastAsia="Times New Roman"/>
                <w:b/>
                <w:bCs/>
                <w:color w:val="000000"/>
                <w:sz w:val="16"/>
                <w:szCs w:val="16"/>
                <w:lang w:eastAsia="ru-RU"/>
              </w:rPr>
            </w:pPr>
          </w:p>
        </w:tc>
        <w:tc>
          <w:tcPr>
            <w:tcW w:w="851" w:type="dxa"/>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tcPr>
          <w:p w:rsidR="00A66ECA" w:rsidRPr="004761E0" w:rsidRDefault="00A66ECA" w:rsidP="009642EF">
            <w:pPr>
              <w:ind w:firstLine="0"/>
              <w:jc w:val="left"/>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простой</w:t>
            </w:r>
          </w:p>
        </w:tc>
        <w:tc>
          <w:tcPr>
            <w:tcW w:w="992" w:type="dxa"/>
            <w:tcBorders>
              <w:top w:val="single" w:sz="4" w:space="0" w:color="FFFFFF" w:themeColor="background1"/>
              <w:left w:val="single" w:sz="4" w:space="0" w:color="FFFFFF" w:themeColor="background1"/>
            </w:tcBorders>
            <w:shd w:val="clear" w:color="auto" w:fill="0F243E" w:themeFill="text2" w:themeFillShade="80"/>
          </w:tcPr>
          <w:p w:rsidR="00A66ECA" w:rsidRPr="004761E0" w:rsidRDefault="009642EF" w:rsidP="009642EF">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д</w:t>
            </w:r>
            <w:r w:rsidR="00A66ECA" w:rsidRPr="004761E0">
              <w:rPr>
                <w:rFonts w:eastAsia="Times New Roman"/>
                <w:b/>
                <w:bCs/>
                <w:color w:val="FFFFFF" w:themeColor="background1"/>
                <w:sz w:val="16"/>
                <w:szCs w:val="16"/>
                <w:lang w:eastAsia="ru-RU"/>
              </w:rPr>
              <w:t>исконти</w:t>
            </w:r>
            <w:r w:rsidRPr="004761E0">
              <w:rPr>
                <w:rFonts w:eastAsia="Times New Roman"/>
                <w:b/>
                <w:bCs/>
                <w:color w:val="FFFFFF" w:themeColor="background1"/>
                <w:sz w:val="16"/>
                <w:szCs w:val="16"/>
                <w:lang w:eastAsia="ru-RU"/>
              </w:rPr>
              <w:t>-</w:t>
            </w:r>
            <w:r w:rsidR="00A66ECA" w:rsidRPr="004761E0">
              <w:rPr>
                <w:rFonts w:eastAsia="Times New Roman"/>
                <w:b/>
                <w:bCs/>
                <w:color w:val="FFFFFF" w:themeColor="background1"/>
                <w:sz w:val="16"/>
                <w:szCs w:val="16"/>
                <w:lang w:eastAsia="ru-RU"/>
              </w:rPr>
              <w:t>рованный</w:t>
            </w:r>
          </w:p>
        </w:tc>
      </w:tr>
      <w:tr w:rsidR="009642EF" w:rsidRPr="004761E0" w:rsidTr="00EC58E0">
        <w:trPr>
          <w:trHeight w:val="296"/>
        </w:trPr>
        <w:tc>
          <w:tcPr>
            <w:tcW w:w="567" w:type="dxa"/>
            <w:shd w:val="clear" w:color="auto" w:fill="auto"/>
            <w:noWrap/>
            <w:hideMark/>
          </w:tcPr>
          <w:p w:rsidR="00A66ECA" w:rsidRPr="004761E0" w:rsidRDefault="00A66ECA" w:rsidP="007076A7">
            <w:pPr>
              <w:pStyle w:val="a5"/>
              <w:numPr>
                <w:ilvl w:val="0"/>
                <w:numId w:val="266"/>
              </w:numPr>
              <w:tabs>
                <w:tab w:val="left" w:pos="146"/>
              </w:tabs>
              <w:ind w:left="0" w:firstLine="0"/>
              <w:contextualSpacing w:val="0"/>
              <w:jc w:val="left"/>
              <w:rPr>
                <w:rFonts w:eastAsia="Times New Roman"/>
                <w:color w:val="000000"/>
                <w:sz w:val="16"/>
                <w:szCs w:val="16"/>
                <w:lang w:eastAsia="ru-RU"/>
              </w:rPr>
            </w:pPr>
          </w:p>
        </w:tc>
        <w:tc>
          <w:tcPr>
            <w:tcW w:w="567" w:type="dxa"/>
            <w:shd w:val="clear" w:color="auto" w:fill="auto"/>
            <w:noWrap/>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М</w:t>
            </w:r>
          </w:p>
        </w:tc>
        <w:tc>
          <w:tcPr>
            <w:tcW w:w="709" w:type="dxa"/>
            <w:shd w:val="clear" w:color="auto" w:fill="auto"/>
            <w:noWrap/>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ТПиР</w:t>
            </w:r>
          </w:p>
        </w:tc>
        <w:tc>
          <w:tcPr>
            <w:tcW w:w="1843" w:type="dxa"/>
            <w:shd w:val="clear" w:color="auto" w:fill="auto"/>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Реконструкция ПС №</w:t>
            </w:r>
            <w:r w:rsidR="009642EF" w:rsidRPr="004761E0">
              <w:rPr>
                <w:rFonts w:eastAsia="Times New Roman"/>
                <w:color w:val="000000"/>
                <w:sz w:val="16"/>
                <w:szCs w:val="16"/>
                <w:lang w:eastAsia="ru-RU"/>
              </w:rPr>
              <w:t xml:space="preserve"> </w:t>
            </w:r>
            <w:r w:rsidRPr="004761E0">
              <w:rPr>
                <w:rFonts w:eastAsia="Times New Roman"/>
                <w:color w:val="000000"/>
                <w:sz w:val="16"/>
                <w:szCs w:val="16"/>
                <w:lang w:eastAsia="ru-RU"/>
              </w:rPr>
              <w:t xml:space="preserve">370 </w:t>
            </w:r>
            <w:r w:rsidR="009642EF" w:rsidRPr="004761E0">
              <w:rPr>
                <w:rFonts w:eastAsia="Times New Roman"/>
                <w:color w:val="000000"/>
                <w:sz w:val="16"/>
                <w:szCs w:val="16"/>
                <w:lang w:eastAsia="ru-RU"/>
              </w:rPr>
              <w:t>«</w:t>
            </w:r>
            <w:r w:rsidRPr="004761E0">
              <w:rPr>
                <w:rFonts w:eastAsia="Times New Roman"/>
                <w:color w:val="000000"/>
                <w:sz w:val="16"/>
                <w:szCs w:val="16"/>
                <w:lang w:eastAsia="ru-RU"/>
              </w:rPr>
              <w:t>Чертаново</w:t>
            </w:r>
            <w:r w:rsidR="009642EF" w:rsidRPr="004761E0">
              <w:rPr>
                <w:rFonts w:eastAsia="Times New Roman"/>
                <w:color w:val="000000"/>
                <w:sz w:val="16"/>
                <w:szCs w:val="16"/>
                <w:lang w:eastAsia="ru-RU"/>
              </w:rPr>
              <w:t>»</w:t>
            </w:r>
            <w:r w:rsidRPr="004761E0">
              <w:rPr>
                <w:rFonts w:eastAsia="Times New Roman"/>
                <w:color w:val="000000"/>
                <w:sz w:val="16"/>
                <w:szCs w:val="16"/>
                <w:lang w:eastAsia="ru-RU"/>
              </w:rPr>
              <w:t xml:space="preserve"> 220/110/10 кВ</w:t>
            </w:r>
          </w:p>
        </w:tc>
        <w:tc>
          <w:tcPr>
            <w:tcW w:w="2410" w:type="dxa"/>
            <w:shd w:val="clear" w:color="auto" w:fill="auto"/>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Увеличение мощности, замена устаревшего оборудования, обеспечение бесперебойного электроснабжения ЮАО, ЮЗАО.</w:t>
            </w:r>
          </w:p>
        </w:tc>
        <w:tc>
          <w:tcPr>
            <w:tcW w:w="692"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2006</w:t>
            </w:r>
          </w:p>
        </w:tc>
        <w:tc>
          <w:tcPr>
            <w:tcW w:w="709"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2015</w:t>
            </w:r>
          </w:p>
        </w:tc>
        <w:tc>
          <w:tcPr>
            <w:tcW w:w="1134"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3 584</w:t>
            </w:r>
          </w:p>
        </w:tc>
        <w:tc>
          <w:tcPr>
            <w:tcW w:w="1275" w:type="dxa"/>
            <w:shd w:val="clear" w:color="auto" w:fill="auto"/>
            <w:noWrap/>
            <w:hideMark/>
          </w:tcPr>
          <w:p w:rsidR="00A66ECA" w:rsidRPr="004761E0" w:rsidRDefault="00A66ECA" w:rsidP="009642EF">
            <w:pPr>
              <w:ind w:firstLine="0"/>
              <w:jc w:val="right"/>
              <w:rPr>
                <w:rFonts w:eastAsia="Times New Roman"/>
                <w:sz w:val="16"/>
                <w:szCs w:val="16"/>
                <w:lang w:eastAsia="ru-RU"/>
              </w:rPr>
            </w:pPr>
            <w:r w:rsidRPr="004761E0">
              <w:rPr>
                <w:rFonts w:eastAsia="Times New Roman"/>
                <w:sz w:val="16"/>
                <w:szCs w:val="16"/>
                <w:lang w:eastAsia="ru-RU"/>
              </w:rPr>
              <w:t>479</w:t>
            </w:r>
          </w:p>
        </w:tc>
        <w:tc>
          <w:tcPr>
            <w:tcW w:w="709" w:type="dxa"/>
            <w:shd w:val="clear" w:color="auto" w:fill="auto"/>
            <w:noWrap/>
            <w:hideMark/>
          </w:tcPr>
          <w:p w:rsidR="00A66ECA" w:rsidRPr="004761E0" w:rsidRDefault="00A66ECA" w:rsidP="009642EF">
            <w:pPr>
              <w:ind w:firstLine="0"/>
              <w:jc w:val="right"/>
              <w:rPr>
                <w:rFonts w:eastAsia="Times New Roman"/>
                <w:sz w:val="16"/>
                <w:szCs w:val="16"/>
                <w:lang w:eastAsia="ru-RU"/>
              </w:rPr>
            </w:pPr>
            <w:r w:rsidRPr="004761E0">
              <w:rPr>
                <w:rFonts w:eastAsia="Times New Roman"/>
                <w:sz w:val="16"/>
                <w:szCs w:val="16"/>
                <w:lang w:eastAsia="ru-RU"/>
              </w:rPr>
              <w:t>-</w:t>
            </w:r>
          </w:p>
        </w:tc>
        <w:tc>
          <w:tcPr>
            <w:tcW w:w="709" w:type="dxa"/>
            <w:shd w:val="clear" w:color="auto" w:fill="auto"/>
            <w:noWrap/>
            <w:hideMark/>
          </w:tcPr>
          <w:p w:rsidR="00A66ECA" w:rsidRPr="004761E0" w:rsidRDefault="00A66ECA" w:rsidP="009642EF">
            <w:pPr>
              <w:ind w:firstLine="0"/>
              <w:jc w:val="right"/>
              <w:rPr>
                <w:rFonts w:eastAsia="Times New Roman"/>
                <w:sz w:val="16"/>
                <w:szCs w:val="16"/>
                <w:lang w:eastAsia="ru-RU"/>
              </w:rPr>
            </w:pPr>
            <w:r w:rsidRPr="004761E0">
              <w:rPr>
                <w:rFonts w:eastAsia="Times New Roman"/>
                <w:sz w:val="16"/>
                <w:szCs w:val="16"/>
                <w:lang w:eastAsia="ru-RU"/>
              </w:rPr>
              <w:t>-</w:t>
            </w:r>
          </w:p>
        </w:tc>
        <w:tc>
          <w:tcPr>
            <w:tcW w:w="1150" w:type="dxa"/>
            <w:shd w:val="clear" w:color="auto" w:fill="auto"/>
            <w:noWrap/>
            <w:hideMark/>
          </w:tcPr>
          <w:p w:rsidR="00A66ECA" w:rsidRPr="004761E0" w:rsidRDefault="00A66ECA" w:rsidP="009642EF">
            <w:pPr>
              <w:ind w:firstLine="0"/>
              <w:jc w:val="right"/>
              <w:rPr>
                <w:rFonts w:eastAsia="Times New Roman"/>
                <w:sz w:val="16"/>
                <w:szCs w:val="16"/>
                <w:lang w:eastAsia="ru-RU"/>
              </w:rPr>
            </w:pPr>
            <w:r w:rsidRPr="004761E0">
              <w:rPr>
                <w:rFonts w:eastAsia="Times New Roman"/>
                <w:sz w:val="16"/>
                <w:szCs w:val="16"/>
                <w:lang w:eastAsia="ru-RU"/>
              </w:rPr>
              <w:t>АТ 2х250   АТ 2х100</w:t>
            </w:r>
          </w:p>
        </w:tc>
        <w:tc>
          <w:tcPr>
            <w:tcW w:w="851" w:type="dxa"/>
            <w:shd w:val="clear" w:color="auto" w:fill="auto"/>
            <w:noWrap/>
            <w:hideMark/>
          </w:tcPr>
          <w:p w:rsidR="00A66ECA" w:rsidRPr="004761E0" w:rsidRDefault="00A66ECA" w:rsidP="009642EF">
            <w:pPr>
              <w:ind w:firstLine="0"/>
              <w:jc w:val="right"/>
              <w:rPr>
                <w:rFonts w:eastAsia="Times New Roman"/>
                <w:sz w:val="16"/>
                <w:szCs w:val="16"/>
                <w:lang w:eastAsia="ru-RU"/>
              </w:rPr>
            </w:pPr>
            <w:r w:rsidRPr="004761E0">
              <w:rPr>
                <w:rFonts w:eastAsia="Times New Roman"/>
                <w:sz w:val="16"/>
                <w:szCs w:val="16"/>
                <w:lang w:eastAsia="ru-RU"/>
              </w:rPr>
              <w:t> </w:t>
            </w:r>
          </w:p>
        </w:tc>
        <w:tc>
          <w:tcPr>
            <w:tcW w:w="1117" w:type="dxa"/>
            <w:shd w:val="clear" w:color="auto" w:fill="auto"/>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 </w:t>
            </w:r>
          </w:p>
        </w:tc>
        <w:tc>
          <w:tcPr>
            <w:tcW w:w="851" w:type="dxa"/>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 xml:space="preserve"> 13</w:t>
            </w:r>
          </w:p>
        </w:tc>
        <w:tc>
          <w:tcPr>
            <w:tcW w:w="992" w:type="dxa"/>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20,5</w:t>
            </w:r>
          </w:p>
        </w:tc>
      </w:tr>
      <w:tr w:rsidR="009642EF" w:rsidRPr="004761E0" w:rsidTr="00EC58E0">
        <w:trPr>
          <w:trHeight w:val="395"/>
        </w:trPr>
        <w:tc>
          <w:tcPr>
            <w:tcW w:w="567" w:type="dxa"/>
            <w:shd w:val="clear" w:color="auto" w:fill="auto"/>
            <w:noWrap/>
            <w:hideMark/>
          </w:tcPr>
          <w:p w:rsidR="00A66ECA" w:rsidRPr="004761E0" w:rsidRDefault="00A66ECA" w:rsidP="007076A7">
            <w:pPr>
              <w:pStyle w:val="a5"/>
              <w:numPr>
                <w:ilvl w:val="0"/>
                <w:numId w:val="266"/>
              </w:numPr>
              <w:tabs>
                <w:tab w:val="left" w:pos="146"/>
              </w:tabs>
              <w:ind w:left="0" w:firstLine="0"/>
              <w:contextualSpacing w:val="0"/>
              <w:jc w:val="left"/>
              <w:rPr>
                <w:rFonts w:eastAsia="Times New Roman"/>
                <w:color w:val="000000"/>
                <w:sz w:val="16"/>
                <w:szCs w:val="16"/>
                <w:lang w:eastAsia="ru-RU"/>
              </w:rPr>
            </w:pPr>
          </w:p>
        </w:tc>
        <w:tc>
          <w:tcPr>
            <w:tcW w:w="567" w:type="dxa"/>
            <w:shd w:val="clear" w:color="auto" w:fill="auto"/>
            <w:noWrap/>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М</w:t>
            </w:r>
          </w:p>
        </w:tc>
        <w:tc>
          <w:tcPr>
            <w:tcW w:w="709" w:type="dxa"/>
            <w:shd w:val="clear" w:color="auto" w:fill="auto"/>
            <w:noWrap/>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ТПиР</w:t>
            </w:r>
          </w:p>
        </w:tc>
        <w:tc>
          <w:tcPr>
            <w:tcW w:w="1843" w:type="dxa"/>
            <w:shd w:val="clear" w:color="auto" w:fill="auto"/>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 xml:space="preserve">Реконструкция ПС 220 кВ </w:t>
            </w:r>
            <w:r w:rsidR="009642EF" w:rsidRPr="004761E0">
              <w:rPr>
                <w:rFonts w:eastAsia="Times New Roman"/>
                <w:color w:val="000000"/>
                <w:sz w:val="16"/>
                <w:szCs w:val="16"/>
                <w:lang w:eastAsia="ru-RU"/>
              </w:rPr>
              <w:t>«</w:t>
            </w:r>
            <w:r w:rsidRPr="004761E0">
              <w:rPr>
                <w:rFonts w:eastAsia="Times New Roman"/>
                <w:color w:val="000000"/>
                <w:sz w:val="16"/>
                <w:szCs w:val="16"/>
                <w:lang w:eastAsia="ru-RU"/>
              </w:rPr>
              <w:t>Пресня</w:t>
            </w:r>
            <w:r w:rsidR="009642EF" w:rsidRPr="004761E0">
              <w:rPr>
                <w:rFonts w:eastAsia="Times New Roman"/>
                <w:color w:val="000000"/>
                <w:sz w:val="16"/>
                <w:szCs w:val="16"/>
                <w:lang w:eastAsia="ru-RU"/>
              </w:rPr>
              <w:t>»</w:t>
            </w:r>
          </w:p>
        </w:tc>
        <w:tc>
          <w:tcPr>
            <w:tcW w:w="2410" w:type="dxa"/>
            <w:shd w:val="clear" w:color="auto" w:fill="auto"/>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 xml:space="preserve">Выдача мощности с ТЭЦ-12. Повышение надежности  системы электроснабжения Центрального административного района г. Москвы, а также для  улучшения качества поставляемой электроэнергии. </w:t>
            </w:r>
          </w:p>
        </w:tc>
        <w:tc>
          <w:tcPr>
            <w:tcW w:w="692"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2007</w:t>
            </w:r>
          </w:p>
        </w:tc>
        <w:tc>
          <w:tcPr>
            <w:tcW w:w="709"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2018</w:t>
            </w:r>
          </w:p>
        </w:tc>
        <w:tc>
          <w:tcPr>
            <w:tcW w:w="1134"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3 405</w:t>
            </w:r>
          </w:p>
        </w:tc>
        <w:tc>
          <w:tcPr>
            <w:tcW w:w="1275"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1 635</w:t>
            </w:r>
          </w:p>
        </w:tc>
        <w:tc>
          <w:tcPr>
            <w:tcW w:w="709"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500</w:t>
            </w:r>
          </w:p>
        </w:tc>
        <w:tc>
          <w:tcPr>
            <w:tcW w:w="709"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w:t>
            </w:r>
          </w:p>
        </w:tc>
        <w:tc>
          <w:tcPr>
            <w:tcW w:w="1150" w:type="dxa"/>
            <w:shd w:val="clear" w:color="000000" w:fill="FFFFFF" w:themeFill="background1"/>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2xАТДЦТН-250000/220/110-У1; 2хТРДЦН – 100000/220/20-20кВ У1</w:t>
            </w:r>
          </w:p>
        </w:tc>
        <w:tc>
          <w:tcPr>
            <w:tcW w:w="851" w:type="dxa"/>
            <w:shd w:val="clear" w:color="auto" w:fill="auto"/>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 </w:t>
            </w:r>
          </w:p>
        </w:tc>
        <w:tc>
          <w:tcPr>
            <w:tcW w:w="1117" w:type="dxa"/>
            <w:shd w:val="clear" w:color="000000" w:fill="FFFFFF" w:themeFill="background1"/>
            <w:hideMark/>
          </w:tcPr>
          <w:p w:rsidR="00A66ECA" w:rsidRPr="004761E0" w:rsidRDefault="00A66ECA" w:rsidP="009642EF">
            <w:pPr>
              <w:ind w:firstLine="0"/>
              <w:jc w:val="right"/>
              <w:rPr>
                <w:rFonts w:eastAsia="Times New Roman"/>
                <w:b/>
                <w:bCs/>
                <w:color w:val="000000"/>
                <w:sz w:val="16"/>
                <w:szCs w:val="16"/>
                <w:u w:val="single"/>
                <w:lang w:eastAsia="ru-RU"/>
              </w:rPr>
            </w:pPr>
          </w:p>
        </w:tc>
        <w:tc>
          <w:tcPr>
            <w:tcW w:w="851" w:type="dxa"/>
            <w:shd w:val="clear" w:color="000000" w:fill="FFFFFF" w:themeFill="background1"/>
          </w:tcPr>
          <w:p w:rsidR="00A66ECA" w:rsidRPr="004761E0" w:rsidRDefault="00A66ECA" w:rsidP="009642EF">
            <w:pPr>
              <w:ind w:firstLine="0"/>
              <w:jc w:val="right"/>
              <w:rPr>
                <w:rFonts w:eastAsia="Times New Roman"/>
                <w:bCs/>
                <w:color w:val="000000"/>
                <w:sz w:val="16"/>
                <w:szCs w:val="16"/>
                <w:lang w:eastAsia="ru-RU"/>
              </w:rPr>
            </w:pPr>
            <w:r w:rsidRPr="004761E0">
              <w:rPr>
                <w:rFonts w:eastAsia="Times New Roman"/>
                <w:bCs/>
                <w:color w:val="000000"/>
                <w:sz w:val="16"/>
                <w:szCs w:val="16"/>
                <w:lang w:eastAsia="ru-RU"/>
              </w:rPr>
              <w:t>13,5</w:t>
            </w:r>
          </w:p>
        </w:tc>
        <w:tc>
          <w:tcPr>
            <w:tcW w:w="992" w:type="dxa"/>
            <w:shd w:val="clear" w:color="000000" w:fill="FFFFFF" w:themeFill="background1"/>
          </w:tcPr>
          <w:p w:rsidR="00A66ECA" w:rsidRPr="004761E0" w:rsidRDefault="00A66ECA" w:rsidP="009642EF">
            <w:pPr>
              <w:ind w:firstLine="0"/>
              <w:jc w:val="right"/>
              <w:rPr>
                <w:rFonts w:eastAsia="Times New Roman"/>
                <w:bCs/>
                <w:color w:val="000000"/>
                <w:sz w:val="16"/>
                <w:szCs w:val="16"/>
                <w:lang w:eastAsia="ru-RU"/>
              </w:rPr>
            </w:pPr>
            <w:r w:rsidRPr="004761E0">
              <w:rPr>
                <w:rFonts w:eastAsia="Times New Roman"/>
                <w:bCs/>
                <w:color w:val="000000"/>
                <w:sz w:val="16"/>
                <w:szCs w:val="16"/>
                <w:lang w:eastAsia="ru-RU"/>
              </w:rPr>
              <w:t>24,2</w:t>
            </w:r>
          </w:p>
        </w:tc>
      </w:tr>
      <w:tr w:rsidR="009642EF" w:rsidRPr="004761E0" w:rsidTr="00EC58E0">
        <w:trPr>
          <w:trHeight w:val="296"/>
        </w:trPr>
        <w:tc>
          <w:tcPr>
            <w:tcW w:w="567" w:type="dxa"/>
            <w:shd w:val="clear" w:color="auto" w:fill="auto"/>
            <w:noWrap/>
            <w:hideMark/>
          </w:tcPr>
          <w:p w:rsidR="00A66ECA" w:rsidRPr="004761E0" w:rsidRDefault="00A66ECA" w:rsidP="007076A7">
            <w:pPr>
              <w:pStyle w:val="a5"/>
              <w:numPr>
                <w:ilvl w:val="0"/>
                <w:numId w:val="266"/>
              </w:numPr>
              <w:tabs>
                <w:tab w:val="left" w:pos="146"/>
              </w:tabs>
              <w:ind w:left="0" w:firstLine="0"/>
              <w:contextualSpacing w:val="0"/>
              <w:jc w:val="left"/>
              <w:rPr>
                <w:rFonts w:eastAsia="Times New Roman"/>
                <w:color w:val="000000"/>
                <w:sz w:val="16"/>
                <w:szCs w:val="16"/>
                <w:lang w:eastAsia="ru-RU"/>
              </w:rPr>
            </w:pPr>
          </w:p>
        </w:tc>
        <w:tc>
          <w:tcPr>
            <w:tcW w:w="567" w:type="dxa"/>
            <w:shd w:val="clear" w:color="auto" w:fill="auto"/>
            <w:noWrap/>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М</w:t>
            </w:r>
          </w:p>
        </w:tc>
        <w:tc>
          <w:tcPr>
            <w:tcW w:w="709" w:type="dxa"/>
            <w:shd w:val="clear" w:color="auto" w:fill="auto"/>
            <w:noWrap/>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ТПиР</w:t>
            </w:r>
          </w:p>
        </w:tc>
        <w:tc>
          <w:tcPr>
            <w:tcW w:w="1843" w:type="dxa"/>
            <w:shd w:val="clear" w:color="auto" w:fill="auto"/>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 xml:space="preserve">Реконструкция ПС  №835 </w:t>
            </w:r>
            <w:r w:rsidR="009642EF" w:rsidRPr="004761E0">
              <w:rPr>
                <w:rFonts w:eastAsia="Times New Roman"/>
                <w:color w:val="000000"/>
                <w:sz w:val="16"/>
                <w:szCs w:val="16"/>
                <w:lang w:eastAsia="ru-RU"/>
              </w:rPr>
              <w:t>«</w:t>
            </w:r>
            <w:r w:rsidRPr="004761E0">
              <w:rPr>
                <w:rFonts w:eastAsia="Times New Roman"/>
                <w:color w:val="000000"/>
                <w:sz w:val="16"/>
                <w:szCs w:val="16"/>
                <w:lang w:eastAsia="ru-RU"/>
              </w:rPr>
              <w:t>Гражданская</w:t>
            </w:r>
            <w:r w:rsidR="009642EF" w:rsidRPr="004761E0">
              <w:rPr>
                <w:rFonts w:eastAsia="Times New Roman"/>
                <w:color w:val="000000"/>
                <w:sz w:val="16"/>
                <w:szCs w:val="16"/>
                <w:lang w:eastAsia="ru-RU"/>
              </w:rPr>
              <w:t>»</w:t>
            </w:r>
            <w:r w:rsidRPr="004761E0">
              <w:rPr>
                <w:rFonts w:eastAsia="Times New Roman"/>
                <w:color w:val="000000"/>
                <w:sz w:val="16"/>
                <w:szCs w:val="16"/>
                <w:lang w:eastAsia="ru-RU"/>
              </w:rPr>
              <w:t xml:space="preserve"> </w:t>
            </w:r>
          </w:p>
        </w:tc>
        <w:tc>
          <w:tcPr>
            <w:tcW w:w="2410" w:type="dxa"/>
            <w:shd w:val="clear" w:color="auto" w:fill="auto"/>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Выдача мощности с ТЭЦ-12. Повышения надёжности и обеспечения бесперебойного электроснабжения потребителей г. Москвы.</w:t>
            </w:r>
          </w:p>
        </w:tc>
        <w:tc>
          <w:tcPr>
            <w:tcW w:w="692"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2012</w:t>
            </w:r>
          </w:p>
        </w:tc>
        <w:tc>
          <w:tcPr>
            <w:tcW w:w="709"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2018</w:t>
            </w:r>
          </w:p>
        </w:tc>
        <w:tc>
          <w:tcPr>
            <w:tcW w:w="1134"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1 705</w:t>
            </w:r>
          </w:p>
        </w:tc>
        <w:tc>
          <w:tcPr>
            <w:tcW w:w="1275"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735</w:t>
            </w:r>
          </w:p>
        </w:tc>
        <w:tc>
          <w:tcPr>
            <w:tcW w:w="709"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w:t>
            </w:r>
          </w:p>
        </w:tc>
        <w:tc>
          <w:tcPr>
            <w:tcW w:w="709"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1,55</w:t>
            </w:r>
          </w:p>
        </w:tc>
        <w:tc>
          <w:tcPr>
            <w:tcW w:w="1150" w:type="dxa"/>
            <w:shd w:val="clear" w:color="auto" w:fill="auto"/>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КРУЭ-220 кВ типа 8DN9-6, 7 яч.</w:t>
            </w:r>
          </w:p>
        </w:tc>
        <w:tc>
          <w:tcPr>
            <w:tcW w:w="851" w:type="dxa"/>
            <w:shd w:val="clear" w:color="auto" w:fill="auto"/>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ПвПу2Г 1х800(гж)/265-127/220 кВ</w:t>
            </w:r>
          </w:p>
        </w:tc>
        <w:tc>
          <w:tcPr>
            <w:tcW w:w="1117" w:type="dxa"/>
            <w:shd w:val="clear" w:color="auto" w:fill="auto"/>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 </w:t>
            </w:r>
          </w:p>
        </w:tc>
        <w:tc>
          <w:tcPr>
            <w:tcW w:w="851" w:type="dxa"/>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12</w:t>
            </w:r>
          </w:p>
        </w:tc>
        <w:tc>
          <w:tcPr>
            <w:tcW w:w="992" w:type="dxa"/>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15,8</w:t>
            </w:r>
          </w:p>
        </w:tc>
      </w:tr>
      <w:tr w:rsidR="009642EF" w:rsidRPr="004761E0" w:rsidTr="00EC58E0">
        <w:trPr>
          <w:trHeight w:val="395"/>
        </w:trPr>
        <w:tc>
          <w:tcPr>
            <w:tcW w:w="567" w:type="dxa"/>
            <w:shd w:val="clear" w:color="auto" w:fill="auto"/>
            <w:noWrap/>
            <w:hideMark/>
          </w:tcPr>
          <w:p w:rsidR="00A66ECA" w:rsidRPr="004761E0" w:rsidRDefault="00A66ECA" w:rsidP="007076A7">
            <w:pPr>
              <w:pStyle w:val="a5"/>
              <w:numPr>
                <w:ilvl w:val="0"/>
                <w:numId w:val="266"/>
              </w:numPr>
              <w:tabs>
                <w:tab w:val="left" w:pos="146"/>
              </w:tabs>
              <w:ind w:left="0" w:firstLine="0"/>
              <w:contextualSpacing w:val="0"/>
              <w:jc w:val="left"/>
              <w:rPr>
                <w:rFonts w:eastAsia="Times New Roman"/>
                <w:color w:val="000000"/>
                <w:sz w:val="16"/>
                <w:szCs w:val="16"/>
                <w:lang w:eastAsia="ru-RU"/>
              </w:rPr>
            </w:pPr>
          </w:p>
        </w:tc>
        <w:tc>
          <w:tcPr>
            <w:tcW w:w="567" w:type="dxa"/>
            <w:shd w:val="clear" w:color="auto" w:fill="auto"/>
            <w:noWrap/>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МО</w:t>
            </w:r>
          </w:p>
        </w:tc>
        <w:tc>
          <w:tcPr>
            <w:tcW w:w="709" w:type="dxa"/>
            <w:shd w:val="clear" w:color="auto" w:fill="auto"/>
            <w:noWrap/>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ТПИР</w:t>
            </w:r>
          </w:p>
        </w:tc>
        <w:tc>
          <w:tcPr>
            <w:tcW w:w="1843" w:type="dxa"/>
            <w:shd w:val="clear" w:color="auto" w:fill="auto"/>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 xml:space="preserve">ПС 220 кВ № 676 </w:t>
            </w:r>
            <w:r w:rsidR="009642EF" w:rsidRPr="004761E0">
              <w:rPr>
                <w:rFonts w:eastAsia="Times New Roman"/>
                <w:color w:val="000000"/>
                <w:sz w:val="16"/>
                <w:szCs w:val="16"/>
                <w:lang w:eastAsia="ru-RU"/>
              </w:rPr>
              <w:t>«</w:t>
            </w:r>
            <w:r w:rsidRPr="004761E0">
              <w:rPr>
                <w:rFonts w:eastAsia="Times New Roman"/>
                <w:color w:val="000000"/>
                <w:sz w:val="16"/>
                <w:szCs w:val="16"/>
                <w:lang w:eastAsia="ru-RU"/>
              </w:rPr>
              <w:t>Уча</w:t>
            </w:r>
            <w:r w:rsidR="009642EF" w:rsidRPr="004761E0">
              <w:rPr>
                <w:rFonts w:eastAsia="Times New Roman"/>
                <w:color w:val="000000"/>
                <w:sz w:val="16"/>
                <w:szCs w:val="16"/>
                <w:lang w:eastAsia="ru-RU"/>
              </w:rPr>
              <w:t>»</w:t>
            </w:r>
          </w:p>
        </w:tc>
        <w:tc>
          <w:tcPr>
            <w:tcW w:w="2410" w:type="dxa"/>
            <w:shd w:val="clear" w:color="auto" w:fill="auto"/>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Повышение надежности электроснабжения производственных и бытовых потребителей  «Мытищинского» и «Пушкинского» районов Московской области.</w:t>
            </w:r>
          </w:p>
        </w:tc>
        <w:tc>
          <w:tcPr>
            <w:tcW w:w="692"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2007</w:t>
            </w:r>
          </w:p>
        </w:tc>
        <w:tc>
          <w:tcPr>
            <w:tcW w:w="709"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2014</w:t>
            </w:r>
          </w:p>
        </w:tc>
        <w:tc>
          <w:tcPr>
            <w:tcW w:w="1134"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1 882</w:t>
            </w:r>
          </w:p>
        </w:tc>
        <w:tc>
          <w:tcPr>
            <w:tcW w:w="1275"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206</w:t>
            </w:r>
          </w:p>
        </w:tc>
        <w:tc>
          <w:tcPr>
            <w:tcW w:w="709"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500</w:t>
            </w:r>
          </w:p>
        </w:tc>
        <w:tc>
          <w:tcPr>
            <w:tcW w:w="709"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6,42</w:t>
            </w:r>
          </w:p>
        </w:tc>
        <w:tc>
          <w:tcPr>
            <w:tcW w:w="1150" w:type="dxa"/>
            <w:shd w:val="clear" w:color="auto" w:fill="auto"/>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2*АТДЦТН*250000</w:t>
            </w:r>
          </w:p>
        </w:tc>
        <w:tc>
          <w:tcPr>
            <w:tcW w:w="851" w:type="dxa"/>
            <w:shd w:val="clear" w:color="auto" w:fill="auto"/>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АСБ-3*240</w:t>
            </w:r>
          </w:p>
        </w:tc>
        <w:tc>
          <w:tcPr>
            <w:tcW w:w="1117" w:type="dxa"/>
            <w:shd w:val="clear" w:color="auto" w:fill="auto"/>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 </w:t>
            </w:r>
          </w:p>
        </w:tc>
        <w:tc>
          <w:tcPr>
            <w:tcW w:w="851" w:type="dxa"/>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15,2</w:t>
            </w:r>
          </w:p>
        </w:tc>
        <w:tc>
          <w:tcPr>
            <w:tcW w:w="992" w:type="dxa"/>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w:t>
            </w:r>
          </w:p>
        </w:tc>
      </w:tr>
      <w:tr w:rsidR="009642EF" w:rsidRPr="004761E0" w:rsidTr="00EC58E0">
        <w:trPr>
          <w:trHeight w:val="510"/>
        </w:trPr>
        <w:tc>
          <w:tcPr>
            <w:tcW w:w="567" w:type="dxa"/>
            <w:shd w:val="clear" w:color="auto" w:fill="auto"/>
            <w:noWrap/>
            <w:hideMark/>
          </w:tcPr>
          <w:p w:rsidR="00A66ECA" w:rsidRPr="004761E0" w:rsidRDefault="00A66ECA" w:rsidP="007076A7">
            <w:pPr>
              <w:pStyle w:val="a5"/>
              <w:numPr>
                <w:ilvl w:val="0"/>
                <w:numId w:val="266"/>
              </w:numPr>
              <w:tabs>
                <w:tab w:val="left" w:pos="146"/>
              </w:tabs>
              <w:ind w:left="0" w:firstLine="0"/>
              <w:contextualSpacing w:val="0"/>
              <w:jc w:val="left"/>
              <w:rPr>
                <w:rFonts w:eastAsia="Times New Roman"/>
                <w:color w:val="000000"/>
                <w:sz w:val="16"/>
                <w:szCs w:val="16"/>
                <w:lang w:eastAsia="ru-RU"/>
              </w:rPr>
            </w:pPr>
          </w:p>
        </w:tc>
        <w:tc>
          <w:tcPr>
            <w:tcW w:w="567" w:type="dxa"/>
            <w:shd w:val="clear" w:color="auto" w:fill="auto"/>
            <w:noWrap/>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М</w:t>
            </w:r>
          </w:p>
        </w:tc>
        <w:tc>
          <w:tcPr>
            <w:tcW w:w="709" w:type="dxa"/>
            <w:shd w:val="clear" w:color="auto" w:fill="auto"/>
            <w:noWrap/>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ТПиР</w:t>
            </w:r>
          </w:p>
        </w:tc>
        <w:tc>
          <w:tcPr>
            <w:tcW w:w="1843" w:type="dxa"/>
            <w:shd w:val="clear" w:color="auto" w:fill="auto"/>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 xml:space="preserve">ВЛ-220кВ  </w:t>
            </w:r>
            <w:r w:rsidR="009642EF" w:rsidRPr="004761E0">
              <w:rPr>
                <w:rFonts w:eastAsia="Times New Roman"/>
                <w:color w:val="000000"/>
                <w:sz w:val="16"/>
                <w:szCs w:val="16"/>
                <w:lang w:eastAsia="ru-RU"/>
              </w:rPr>
              <w:t>«</w:t>
            </w:r>
            <w:r w:rsidRPr="004761E0">
              <w:rPr>
                <w:rFonts w:eastAsia="Times New Roman"/>
                <w:color w:val="000000"/>
                <w:sz w:val="16"/>
                <w:szCs w:val="16"/>
                <w:lang w:eastAsia="ru-RU"/>
              </w:rPr>
              <w:t>Красногорская-Герцево 1,2</w:t>
            </w:r>
            <w:r w:rsidR="009642EF" w:rsidRPr="004761E0">
              <w:rPr>
                <w:rFonts w:eastAsia="Times New Roman"/>
                <w:color w:val="000000"/>
                <w:sz w:val="16"/>
                <w:szCs w:val="16"/>
                <w:lang w:eastAsia="ru-RU"/>
              </w:rPr>
              <w:t>»</w:t>
            </w:r>
            <w:r w:rsidRPr="004761E0">
              <w:rPr>
                <w:rFonts w:eastAsia="Times New Roman"/>
                <w:color w:val="000000"/>
                <w:sz w:val="16"/>
                <w:szCs w:val="16"/>
                <w:lang w:eastAsia="ru-RU"/>
              </w:rPr>
              <w:t xml:space="preserve"> (</w:t>
            </w:r>
            <w:r w:rsidR="009642EF" w:rsidRPr="004761E0">
              <w:rPr>
                <w:rFonts w:eastAsia="Times New Roman"/>
                <w:color w:val="000000"/>
                <w:sz w:val="16"/>
                <w:szCs w:val="16"/>
                <w:lang w:eastAsia="ru-RU"/>
              </w:rPr>
              <w:t>д</w:t>
            </w:r>
            <w:r w:rsidRPr="004761E0">
              <w:rPr>
                <w:rFonts w:eastAsia="Times New Roman"/>
                <w:color w:val="000000"/>
                <w:sz w:val="16"/>
                <w:szCs w:val="16"/>
                <w:lang w:eastAsia="ru-RU"/>
              </w:rPr>
              <w:t xml:space="preserve">ля включения ПС </w:t>
            </w:r>
            <w:r w:rsidR="009642EF" w:rsidRPr="004761E0">
              <w:rPr>
                <w:rFonts w:eastAsia="Times New Roman"/>
                <w:color w:val="000000"/>
                <w:sz w:val="16"/>
                <w:szCs w:val="16"/>
                <w:lang w:eastAsia="ru-RU"/>
              </w:rPr>
              <w:t>«</w:t>
            </w:r>
            <w:r w:rsidRPr="004761E0">
              <w:rPr>
                <w:rFonts w:eastAsia="Times New Roman"/>
                <w:color w:val="000000"/>
                <w:sz w:val="16"/>
                <w:szCs w:val="16"/>
                <w:lang w:eastAsia="ru-RU"/>
              </w:rPr>
              <w:t>Герцево</w:t>
            </w:r>
            <w:r w:rsidR="009642EF" w:rsidRPr="004761E0">
              <w:rPr>
                <w:rFonts w:eastAsia="Times New Roman"/>
                <w:color w:val="000000"/>
                <w:sz w:val="16"/>
                <w:szCs w:val="16"/>
                <w:lang w:eastAsia="ru-RU"/>
              </w:rPr>
              <w:t>»</w:t>
            </w:r>
            <w:r w:rsidRPr="004761E0">
              <w:rPr>
                <w:rFonts w:eastAsia="Times New Roman"/>
                <w:color w:val="000000"/>
                <w:sz w:val="16"/>
                <w:szCs w:val="16"/>
                <w:lang w:eastAsia="ru-RU"/>
              </w:rPr>
              <w:t>)</w:t>
            </w:r>
          </w:p>
        </w:tc>
        <w:tc>
          <w:tcPr>
            <w:tcW w:w="2410" w:type="dxa"/>
            <w:shd w:val="clear" w:color="auto" w:fill="auto"/>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Обеспечение надежного электроснабжения микрорайона Павшинская пойма и потребителей МО.</w:t>
            </w:r>
          </w:p>
        </w:tc>
        <w:tc>
          <w:tcPr>
            <w:tcW w:w="692"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2007</w:t>
            </w:r>
          </w:p>
        </w:tc>
        <w:tc>
          <w:tcPr>
            <w:tcW w:w="709"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2014</w:t>
            </w:r>
          </w:p>
        </w:tc>
        <w:tc>
          <w:tcPr>
            <w:tcW w:w="1134"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1 784</w:t>
            </w:r>
          </w:p>
        </w:tc>
        <w:tc>
          <w:tcPr>
            <w:tcW w:w="1275"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503</w:t>
            </w:r>
          </w:p>
        </w:tc>
        <w:tc>
          <w:tcPr>
            <w:tcW w:w="709"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w:t>
            </w:r>
          </w:p>
        </w:tc>
        <w:tc>
          <w:tcPr>
            <w:tcW w:w="709"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5,88</w:t>
            </w:r>
          </w:p>
        </w:tc>
        <w:tc>
          <w:tcPr>
            <w:tcW w:w="1150" w:type="dxa"/>
            <w:shd w:val="clear" w:color="auto" w:fill="auto"/>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 </w:t>
            </w:r>
          </w:p>
        </w:tc>
        <w:tc>
          <w:tcPr>
            <w:tcW w:w="851" w:type="dxa"/>
            <w:shd w:val="clear" w:color="auto" w:fill="auto"/>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АС-240/32; АС-400/51</w:t>
            </w:r>
          </w:p>
        </w:tc>
        <w:tc>
          <w:tcPr>
            <w:tcW w:w="1117" w:type="dxa"/>
            <w:shd w:val="clear" w:color="auto" w:fill="auto"/>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Воздушная линия введена в полном объеме. Досрочное выполнение работ подрядчиком.</w:t>
            </w:r>
          </w:p>
        </w:tc>
        <w:tc>
          <w:tcPr>
            <w:tcW w:w="851" w:type="dxa"/>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w:t>
            </w:r>
          </w:p>
        </w:tc>
        <w:tc>
          <w:tcPr>
            <w:tcW w:w="992" w:type="dxa"/>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w:t>
            </w:r>
          </w:p>
        </w:tc>
      </w:tr>
      <w:tr w:rsidR="009642EF" w:rsidRPr="004761E0" w:rsidTr="00EC58E0">
        <w:trPr>
          <w:trHeight w:val="395"/>
        </w:trPr>
        <w:tc>
          <w:tcPr>
            <w:tcW w:w="567" w:type="dxa"/>
            <w:shd w:val="clear" w:color="auto" w:fill="auto"/>
            <w:noWrap/>
            <w:hideMark/>
          </w:tcPr>
          <w:p w:rsidR="00A66ECA" w:rsidRPr="004761E0" w:rsidRDefault="00A66ECA" w:rsidP="007076A7">
            <w:pPr>
              <w:pStyle w:val="a5"/>
              <w:numPr>
                <w:ilvl w:val="0"/>
                <w:numId w:val="266"/>
              </w:numPr>
              <w:tabs>
                <w:tab w:val="left" w:pos="146"/>
              </w:tabs>
              <w:ind w:left="0" w:firstLine="0"/>
              <w:contextualSpacing w:val="0"/>
              <w:jc w:val="left"/>
              <w:rPr>
                <w:rFonts w:eastAsia="Times New Roman"/>
                <w:color w:val="000000"/>
                <w:sz w:val="16"/>
                <w:szCs w:val="16"/>
                <w:lang w:eastAsia="ru-RU"/>
              </w:rPr>
            </w:pPr>
          </w:p>
        </w:tc>
        <w:tc>
          <w:tcPr>
            <w:tcW w:w="567" w:type="dxa"/>
            <w:shd w:val="clear" w:color="auto" w:fill="auto"/>
            <w:noWrap/>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МО</w:t>
            </w:r>
          </w:p>
        </w:tc>
        <w:tc>
          <w:tcPr>
            <w:tcW w:w="709" w:type="dxa"/>
            <w:shd w:val="clear" w:color="auto" w:fill="auto"/>
            <w:noWrap/>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ТПИР</w:t>
            </w:r>
          </w:p>
        </w:tc>
        <w:tc>
          <w:tcPr>
            <w:tcW w:w="1843" w:type="dxa"/>
            <w:shd w:val="clear" w:color="auto" w:fill="auto"/>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 xml:space="preserve">ПС 110 кВ </w:t>
            </w:r>
            <w:r w:rsidR="009642EF" w:rsidRPr="004761E0">
              <w:rPr>
                <w:rFonts w:eastAsia="Times New Roman"/>
                <w:color w:val="000000"/>
                <w:sz w:val="16"/>
                <w:szCs w:val="16"/>
                <w:lang w:eastAsia="ru-RU"/>
              </w:rPr>
              <w:t>«</w:t>
            </w:r>
            <w:r w:rsidRPr="004761E0">
              <w:rPr>
                <w:rFonts w:eastAsia="Times New Roman"/>
                <w:color w:val="000000"/>
                <w:sz w:val="16"/>
                <w:szCs w:val="16"/>
                <w:lang w:eastAsia="ru-RU"/>
              </w:rPr>
              <w:t>Одинцово</w:t>
            </w:r>
            <w:r w:rsidR="009642EF" w:rsidRPr="004761E0">
              <w:rPr>
                <w:rFonts w:eastAsia="Times New Roman"/>
                <w:color w:val="000000"/>
                <w:sz w:val="16"/>
                <w:szCs w:val="16"/>
                <w:lang w:eastAsia="ru-RU"/>
              </w:rPr>
              <w:t>»</w:t>
            </w:r>
          </w:p>
        </w:tc>
        <w:tc>
          <w:tcPr>
            <w:tcW w:w="2410" w:type="dxa"/>
            <w:shd w:val="clear" w:color="auto" w:fill="auto"/>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Обеспечение надежного электроснабжения и увеличение количества присоединяемых абонентов Одинцовского района путем реконструкции ПС.</w:t>
            </w:r>
          </w:p>
        </w:tc>
        <w:tc>
          <w:tcPr>
            <w:tcW w:w="692"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2007</w:t>
            </w:r>
          </w:p>
        </w:tc>
        <w:tc>
          <w:tcPr>
            <w:tcW w:w="709"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2014</w:t>
            </w:r>
          </w:p>
        </w:tc>
        <w:tc>
          <w:tcPr>
            <w:tcW w:w="1134"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2 612</w:t>
            </w:r>
          </w:p>
        </w:tc>
        <w:tc>
          <w:tcPr>
            <w:tcW w:w="1275"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995</w:t>
            </w:r>
          </w:p>
        </w:tc>
        <w:tc>
          <w:tcPr>
            <w:tcW w:w="709"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126</w:t>
            </w:r>
          </w:p>
        </w:tc>
        <w:tc>
          <w:tcPr>
            <w:tcW w:w="709"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w:t>
            </w:r>
          </w:p>
        </w:tc>
        <w:tc>
          <w:tcPr>
            <w:tcW w:w="1150" w:type="dxa"/>
            <w:shd w:val="clear" w:color="000000" w:fill="FFFFFF" w:themeFill="background1"/>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2шт./ТРДН-63000/110/10 /10 2шт. /ТДТН-80000/110/35/6  1шт./ТДТН-40000/110/6</w:t>
            </w:r>
          </w:p>
        </w:tc>
        <w:tc>
          <w:tcPr>
            <w:tcW w:w="851" w:type="dxa"/>
            <w:shd w:val="clear" w:color="000000" w:fill="FFFFFF" w:themeFill="background1"/>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 ПвПу2г1х1200(гж)265-64/110</w:t>
            </w:r>
          </w:p>
        </w:tc>
        <w:tc>
          <w:tcPr>
            <w:tcW w:w="1117" w:type="dxa"/>
            <w:shd w:val="clear" w:color="000000" w:fill="FFFFFF" w:themeFill="background1"/>
            <w:hideMark/>
          </w:tcPr>
          <w:p w:rsidR="00A66ECA" w:rsidRPr="004761E0" w:rsidRDefault="00A66ECA" w:rsidP="009642EF">
            <w:pPr>
              <w:ind w:firstLine="0"/>
              <w:jc w:val="right"/>
              <w:rPr>
                <w:rFonts w:eastAsia="Times New Roman"/>
                <w:b/>
                <w:bCs/>
                <w:color w:val="000000"/>
                <w:sz w:val="16"/>
                <w:szCs w:val="16"/>
                <w:u w:val="single"/>
                <w:lang w:eastAsia="ru-RU"/>
              </w:rPr>
            </w:pPr>
          </w:p>
        </w:tc>
        <w:tc>
          <w:tcPr>
            <w:tcW w:w="851" w:type="dxa"/>
            <w:shd w:val="clear" w:color="000000" w:fill="FFFFFF" w:themeFill="background1"/>
          </w:tcPr>
          <w:p w:rsidR="00A66ECA" w:rsidRPr="004761E0" w:rsidRDefault="00A66ECA" w:rsidP="009642EF">
            <w:pPr>
              <w:ind w:firstLine="0"/>
              <w:jc w:val="right"/>
              <w:rPr>
                <w:rFonts w:eastAsia="Times New Roman"/>
                <w:bCs/>
                <w:color w:val="000000"/>
                <w:sz w:val="16"/>
                <w:szCs w:val="16"/>
                <w:lang w:eastAsia="ru-RU"/>
              </w:rPr>
            </w:pPr>
            <w:r w:rsidRPr="004761E0">
              <w:rPr>
                <w:rFonts w:eastAsia="Times New Roman"/>
                <w:bCs/>
                <w:color w:val="000000"/>
                <w:sz w:val="16"/>
                <w:szCs w:val="16"/>
                <w:lang w:eastAsia="ru-RU"/>
              </w:rPr>
              <w:t>12,3</w:t>
            </w:r>
          </w:p>
        </w:tc>
        <w:tc>
          <w:tcPr>
            <w:tcW w:w="992" w:type="dxa"/>
            <w:shd w:val="clear" w:color="000000" w:fill="FFFFFF" w:themeFill="background1"/>
          </w:tcPr>
          <w:p w:rsidR="00A66ECA" w:rsidRPr="004761E0" w:rsidRDefault="00A66ECA" w:rsidP="009642EF">
            <w:pPr>
              <w:ind w:firstLine="0"/>
              <w:jc w:val="right"/>
              <w:rPr>
                <w:rFonts w:eastAsia="Times New Roman"/>
                <w:bCs/>
                <w:color w:val="000000"/>
                <w:sz w:val="16"/>
                <w:szCs w:val="16"/>
                <w:lang w:eastAsia="ru-RU"/>
              </w:rPr>
            </w:pPr>
            <w:r w:rsidRPr="004761E0">
              <w:rPr>
                <w:rFonts w:eastAsia="Times New Roman"/>
                <w:bCs/>
                <w:color w:val="000000"/>
                <w:sz w:val="16"/>
                <w:szCs w:val="16"/>
                <w:lang w:eastAsia="ru-RU"/>
              </w:rPr>
              <w:t>22,3</w:t>
            </w:r>
          </w:p>
        </w:tc>
      </w:tr>
      <w:tr w:rsidR="009642EF" w:rsidRPr="004761E0" w:rsidTr="00EC58E0">
        <w:trPr>
          <w:trHeight w:val="197"/>
        </w:trPr>
        <w:tc>
          <w:tcPr>
            <w:tcW w:w="567" w:type="dxa"/>
            <w:shd w:val="clear" w:color="auto" w:fill="auto"/>
            <w:noWrap/>
            <w:hideMark/>
          </w:tcPr>
          <w:p w:rsidR="00A66ECA" w:rsidRPr="004761E0" w:rsidRDefault="00A66ECA" w:rsidP="007076A7">
            <w:pPr>
              <w:pStyle w:val="a5"/>
              <w:numPr>
                <w:ilvl w:val="0"/>
                <w:numId w:val="266"/>
              </w:numPr>
              <w:tabs>
                <w:tab w:val="left" w:pos="146"/>
              </w:tabs>
              <w:ind w:left="0" w:firstLine="0"/>
              <w:contextualSpacing w:val="0"/>
              <w:jc w:val="left"/>
              <w:rPr>
                <w:rFonts w:eastAsia="Times New Roman"/>
                <w:color w:val="000000"/>
                <w:sz w:val="16"/>
                <w:szCs w:val="16"/>
                <w:lang w:eastAsia="ru-RU"/>
              </w:rPr>
            </w:pPr>
          </w:p>
        </w:tc>
        <w:tc>
          <w:tcPr>
            <w:tcW w:w="567" w:type="dxa"/>
            <w:shd w:val="clear" w:color="auto" w:fill="auto"/>
            <w:noWrap/>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М</w:t>
            </w:r>
          </w:p>
        </w:tc>
        <w:tc>
          <w:tcPr>
            <w:tcW w:w="709" w:type="dxa"/>
            <w:shd w:val="clear" w:color="auto" w:fill="auto"/>
            <w:noWrap/>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ТПиР</w:t>
            </w:r>
          </w:p>
        </w:tc>
        <w:tc>
          <w:tcPr>
            <w:tcW w:w="1843" w:type="dxa"/>
            <w:shd w:val="clear" w:color="auto" w:fill="auto"/>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 xml:space="preserve">Реконструкция ПС 110 кВ </w:t>
            </w:r>
            <w:r w:rsidR="009642EF" w:rsidRPr="004761E0">
              <w:rPr>
                <w:rFonts w:eastAsia="Times New Roman"/>
                <w:color w:val="000000"/>
                <w:sz w:val="16"/>
                <w:szCs w:val="16"/>
                <w:lang w:eastAsia="ru-RU"/>
              </w:rPr>
              <w:t>«</w:t>
            </w:r>
            <w:r w:rsidRPr="004761E0">
              <w:rPr>
                <w:rFonts w:eastAsia="Times New Roman"/>
                <w:color w:val="000000"/>
                <w:sz w:val="16"/>
                <w:szCs w:val="16"/>
                <w:lang w:eastAsia="ru-RU"/>
              </w:rPr>
              <w:t>Ткацкая</w:t>
            </w:r>
            <w:r w:rsidR="009642EF" w:rsidRPr="004761E0">
              <w:rPr>
                <w:rFonts w:eastAsia="Times New Roman"/>
                <w:color w:val="000000"/>
                <w:sz w:val="16"/>
                <w:szCs w:val="16"/>
                <w:lang w:eastAsia="ru-RU"/>
              </w:rPr>
              <w:t>»</w:t>
            </w:r>
            <w:r w:rsidRPr="004761E0">
              <w:rPr>
                <w:rFonts w:eastAsia="Times New Roman"/>
                <w:color w:val="000000"/>
                <w:sz w:val="16"/>
                <w:szCs w:val="16"/>
                <w:lang w:eastAsia="ru-RU"/>
              </w:rPr>
              <w:t>. Замена трансформаторов, ОД КЗ, реакторов.</w:t>
            </w:r>
          </w:p>
        </w:tc>
        <w:tc>
          <w:tcPr>
            <w:tcW w:w="2410" w:type="dxa"/>
            <w:shd w:val="clear" w:color="auto" w:fill="auto"/>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Снятия перегрузки и обеспечения бесперебойного электроснабжения потребителей ЦАО г. Москвы</w:t>
            </w:r>
          </w:p>
        </w:tc>
        <w:tc>
          <w:tcPr>
            <w:tcW w:w="692"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2010</w:t>
            </w:r>
          </w:p>
        </w:tc>
        <w:tc>
          <w:tcPr>
            <w:tcW w:w="709"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2014</w:t>
            </w:r>
          </w:p>
        </w:tc>
        <w:tc>
          <w:tcPr>
            <w:tcW w:w="1134"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342</w:t>
            </w:r>
          </w:p>
        </w:tc>
        <w:tc>
          <w:tcPr>
            <w:tcW w:w="1275" w:type="dxa"/>
            <w:shd w:val="clear" w:color="auto" w:fill="auto"/>
            <w:noWrap/>
            <w:hideMark/>
          </w:tcPr>
          <w:p w:rsidR="00A66ECA" w:rsidRPr="004761E0" w:rsidRDefault="00A66ECA" w:rsidP="009642EF">
            <w:pPr>
              <w:ind w:firstLine="0"/>
              <w:jc w:val="right"/>
              <w:rPr>
                <w:rFonts w:eastAsia="Times New Roman"/>
                <w:sz w:val="16"/>
                <w:szCs w:val="16"/>
                <w:lang w:eastAsia="ru-RU"/>
              </w:rPr>
            </w:pPr>
            <w:r w:rsidRPr="004761E0">
              <w:rPr>
                <w:rFonts w:eastAsia="Times New Roman"/>
                <w:sz w:val="16"/>
                <w:szCs w:val="16"/>
                <w:lang w:eastAsia="ru-RU"/>
              </w:rPr>
              <w:t>122</w:t>
            </w:r>
          </w:p>
        </w:tc>
        <w:tc>
          <w:tcPr>
            <w:tcW w:w="709" w:type="dxa"/>
            <w:shd w:val="clear" w:color="auto" w:fill="auto"/>
            <w:noWrap/>
            <w:hideMark/>
          </w:tcPr>
          <w:p w:rsidR="00A66ECA" w:rsidRPr="004761E0" w:rsidRDefault="00A66ECA" w:rsidP="009642EF">
            <w:pPr>
              <w:ind w:firstLine="0"/>
              <w:jc w:val="right"/>
              <w:rPr>
                <w:rFonts w:eastAsia="Times New Roman"/>
                <w:sz w:val="16"/>
                <w:szCs w:val="16"/>
                <w:lang w:eastAsia="ru-RU"/>
              </w:rPr>
            </w:pPr>
            <w:r w:rsidRPr="004761E0">
              <w:rPr>
                <w:rFonts w:eastAsia="Times New Roman"/>
                <w:sz w:val="16"/>
                <w:szCs w:val="16"/>
                <w:lang w:eastAsia="ru-RU"/>
              </w:rPr>
              <w:t>80</w:t>
            </w:r>
          </w:p>
        </w:tc>
        <w:tc>
          <w:tcPr>
            <w:tcW w:w="709" w:type="dxa"/>
            <w:shd w:val="clear" w:color="auto" w:fill="auto"/>
            <w:noWrap/>
            <w:hideMark/>
          </w:tcPr>
          <w:p w:rsidR="00A66ECA" w:rsidRPr="004761E0" w:rsidRDefault="00A66ECA" w:rsidP="009642EF">
            <w:pPr>
              <w:ind w:firstLine="0"/>
              <w:jc w:val="right"/>
              <w:rPr>
                <w:rFonts w:eastAsia="Times New Roman"/>
                <w:sz w:val="16"/>
                <w:szCs w:val="16"/>
                <w:lang w:eastAsia="ru-RU"/>
              </w:rPr>
            </w:pPr>
            <w:r w:rsidRPr="004761E0">
              <w:rPr>
                <w:rFonts w:eastAsia="Times New Roman"/>
                <w:sz w:val="16"/>
                <w:szCs w:val="16"/>
                <w:lang w:eastAsia="ru-RU"/>
              </w:rPr>
              <w:t>-</w:t>
            </w:r>
          </w:p>
        </w:tc>
        <w:tc>
          <w:tcPr>
            <w:tcW w:w="1150" w:type="dxa"/>
            <w:shd w:val="clear" w:color="auto" w:fill="auto"/>
            <w:hideMark/>
          </w:tcPr>
          <w:p w:rsidR="00A66ECA" w:rsidRPr="004761E0" w:rsidRDefault="00A66ECA" w:rsidP="009642EF">
            <w:pPr>
              <w:ind w:firstLine="0"/>
              <w:jc w:val="right"/>
              <w:rPr>
                <w:rFonts w:eastAsia="Times New Roman"/>
                <w:sz w:val="16"/>
                <w:szCs w:val="16"/>
                <w:lang w:eastAsia="ru-RU"/>
              </w:rPr>
            </w:pPr>
            <w:r w:rsidRPr="004761E0">
              <w:rPr>
                <w:rFonts w:eastAsia="Times New Roman"/>
                <w:sz w:val="16"/>
                <w:szCs w:val="16"/>
                <w:lang w:eastAsia="ru-RU"/>
              </w:rPr>
              <w:t>АТ 2х80</w:t>
            </w:r>
          </w:p>
        </w:tc>
        <w:tc>
          <w:tcPr>
            <w:tcW w:w="851" w:type="dxa"/>
            <w:shd w:val="clear" w:color="auto" w:fill="auto"/>
            <w:hideMark/>
          </w:tcPr>
          <w:p w:rsidR="00A66ECA" w:rsidRPr="004761E0" w:rsidRDefault="00A66ECA" w:rsidP="009642EF">
            <w:pPr>
              <w:ind w:firstLine="0"/>
              <w:jc w:val="right"/>
              <w:rPr>
                <w:rFonts w:eastAsia="Times New Roman"/>
                <w:sz w:val="16"/>
                <w:szCs w:val="16"/>
                <w:lang w:eastAsia="ru-RU"/>
              </w:rPr>
            </w:pPr>
            <w:r w:rsidRPr="004761E0">
              <w:rPr>
                <w:rFonts w:eastAsia="Times New Roman"/>
                <w:sz w:val="16"/>
                <w:szCs w:val="16"/>
                <w:lang w:eastAsia="ru-RU"/>
              </w:rPr>
              <w:t> </w:t>
            </w:r>
          </w:p>
        </w:tc>
        <w:tc>
          <w:tcPr>
            <w:tcW w:w="1117" w:type="dxa"/>
            <w:shd w:val="clear" w:color="auto" w:fill="auto"/>
            <w:hideMark/>
          </w:tcPr>
          <w:p w:rsidR="00A66ECA" w:rsidRPr="004761E0" w:rsidRDefault="00A66ECA" w:rsidP="009642EF">
            <w:pPr>
              <w:ind w:firstLine="0"/>
              <w:jc w:val="right"/>
              <w:rPr>
                <w:rFonts w:eastAsia="Times New Roman"/>
                <w:b/>
                <w:bCs/>
                <w:color w:val="000000"/>
                <w:sz w:val="16"/>
                <w:szCs w:val="16"/>
                <w:u w:val="single"/>
                <w:lang w:eastAsia="ru-RU"/>
              </w:rPr>
            </w:pPr>
          </w:p>
        </w:tc>
        <w:tc>
          <w:tcPr>
            <w:tcW w:w="851" w:type="dxa"/>
          </w:tcPr>
          <w:p w:rsidR="00A66ECA" w:rsidRPr="004761E0" w:rsidRDefault="00A66ECA" w:rsidP="009642EF">
            <w:pPr>
              <w:ind w:firstLine="0"/>
              <w:jc w:val="right"/>
              <w:rPr>
                <w:rFonts w:eastAsia="Times New Roman"/>
                <w:bCs/>
                <w:color w:val="000000"/>
                <w:sz w:val="16"/>
                <w:szCs w:val="16"/>
                <w:lang w:eastAsia="ru-RU"/>
              </w:rPr>
            </w:pPr>
            <w:r w:rsidRPr="004761E0">
              <w:rPr>
                <w:rFonts w:eastAsia="Times New Roman"/>
                <w:bCs/>
                <w:color w:val="000000"/>
                <w:sz w:val="16"/>
                <w:szCs w:val="16"/>
                <w:lang w:eastAsia="ru-RU"/>
              </w:rPr>
              <w:t>0</w:t>
            </w:r>
          </w:p>
        </w:tc>
        <w:tc>
          <w:tcPr>
            <w:tcW w:w="992" w:type="dxa"/>
          </w:tcPr>
          <w:p w:rsidR="00A66ECA" w:rsidRPr="004761E0" w:rsidRDefault="00A66ECA" w:rsidP="009642EF">
            <w:pPr>
              <w:ind w:firstLine="0"/>
              <w:jc w:val="right"/>
              <w:rPr>
                <w:rFonts w:eastAsia="Times New Roman"/>
                <w:bCs/>
                <w:color w:val="000000"/>
                <w:sz w:val="16"/>
                <w:szCs w:val="16"/>
                <w:lang w:eastAsia="ru-RU"/>
              </w:rPr>
            </w:pPr>
            <w:r w:rsidRPr="004761E0">
              <w:rPr>
                <w:rFonts w:eastAsia="Times New Roman"/>
                <w:bCs/>
                <w:color w:val="000000"/>
                <w:sz w:val="16"/>
                <w:szCs w:val="16"/>
                <w:lang w:eastAsia="ru-RU"/>
              </w:rPr>
              <w:t>0</w:t>
            </w:r>
          </w:p>
        </w:tc>
      </w:tr>
      <w:tr w:rsidR="009642EF" w:rsidRPr="004761E0" w:rsidTr="00EC58E0">
        <w:trPr>
          <w:trHeight w:val="197"/>
        </w:trPr>
        <w:tc>
          <w:tcPr>
            <w:tcW w:w="567" w:type="dxa"/>
            <w:shd w:val="clear" w:color="auto" w:fill="auto"/>
            <w:noWrap/>
            <w:hideMark/>
          </w:tcPr>
          <w:p w:rsidR="00A66ECA" w:rsidRPr="004761E0" w:rsidRDefault="00A66ECA" w:rsidP="007076A7">
            <w:pPr>
              <w:pStyle w:val="a5"/>
              <w:numPr>
                <w:ilvl w:val="0"/>
                <w:numId w:val="266"/>
              </w:numPr>
              <w:tabs>
                <w:tab w:val="left" w:pos="146"/>
              </w:tabs>
              <w:ind w:left="0" w:firstLine="0"/>
              <w:contextualSpacing w:val="0"/>
              <w:jc w:val="left"/>
              <w:rPr>
                <w:rFonts w:eastAsia="Times New Roman"/>
                <w:color w:val="000000"/>
                <w:sz w:val="16"/>
                <w:szCs w:val="16"/>
                <w:lang w:eastAsia="ru-RU"/>
              </w:rPr>
            </w:pPr>
          </w:p>
        </w:tc>
        <w:tc>
          <w:tcPr>
            <w:tcW w:w="567" w:type="dxa"/>
            <w:shd w:val="clear" w:color="auto" w:fill="auto"/>
            <w:noWrap/>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М</w:t>
            </w:r>
          </w:p>
        </w:tc>
        <w:tc>
          <w:tcPr>
            <w:tcW w:w="709" w:type="dxa"/>
            <w:shd w:val="clear" w:color="auto" w:fill="auto"/>
            <w:noWrap/>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ТПиР</w:t>
            </w:r>
          </w:p>
        </w:tc>
        <w:tc>
          <w:tcPr>
            <w:tcW w:w="1843" w:type="dxa"/>
            <w:shd w:val="clear" w:color="auto" w:fill="auto"/>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 xml:space="preserve">Реконструкция ПС 110 кВ </w:t>
            </w:r>
            <w:r w:rsidR="009642EF" w:rsidRPr="004761E0">
              <w:rPr>
                <w:rFonts w:eastAsia="Times New Roman"/>
                <w:color w:val="000000"/>
                <w:sz w:val="16"/>
                <w:szCs w:val="16"/>
                <w:lang w:eastAsia="ru-RU"/>
              </w:rPr>
              <w:t>«</w:t>
            </w:r>
            <w:r w:rsidRPr="004761E0">
              <w:rPr>
                <w:rFonts w:eastAsia="Times New Roman"/>
                <w:color w:val="000000"/>
                <w:sz w:val="16"/>
                <w:szCs w:val="16"/>
                <w:lang w:eastAsia="ru-RU"/>
              </w:rPr>
              <w:t>Маяковская</w:t>
            </w:r>
            <w:r w:rsidR="009642EF" w:rsidRPr="004761E0">
              <w:rPr>
                <w:rFonts w:eastAsia="Times New Roman"/>
                <w:color w:val="000000"/>
                <w:sz w:val="16"/>
                <w:szCs w:val="16"/>
                <w:lang w:eastAsia="ru-RU"/>
              </w:rPr>
              <w:t>»</w:t>
            </w:r>
            <w:r w:rsidRPr="004761E0">
              <w:rPr>
                <w:rFonts w:eastAsia="Times New Roman"/>
                <w:color w:val="000000"/>
                <w:sz w:val="16"/>
                <w:szCs w:val="16"/>
                <w:lang w:eastAsia="ru-RU"/>
              </w:rPr>
              <w:t>. Замена трансформаторов,  реакторов.</w:t>
            </w:r>
          </w:p>
        </w:tc>
        <w:tc>
          <w:tcPr>
            <w:tcW w:w="2410" w:type="dxa"/>
            <w:shd w:val="clear" w:color="auto" w:fill="auto"/>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Снятия перегрузки и обеспечения бесперебойного электроснабжения потребителей ЦАО г. Москвы</w:t>
            </w:r>
          </w:p>
        </w:tc>
        <w:tc>
          <w:tcPr>
            <w:tcW w:w="692"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2010</w:t>
            </w:r>
          </w:p>
        </w:tc>
        <w:tc>
          <w:tcPr>
            <w:tcW w:w="709"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2014</w:t>
            </w:r>
          </w:p>
        </w:tc>
        <w:tc>
          <w:tcPr>
            <w:tcW w:w="1134"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432</w:t>
            </w:r>
          </w:p>
        </w:tc>
        <w:tc>
          <w:tcPr>
            <w:tcW w:w="1275" w:type="dxa"/>
            <w:shd w:val="clear" w:color="auto" w:fill="auto"/>
            <w:noWrap/>
            <w:hideMark/>
          </w:tcPr>
          <w:p w:rsidR="00A66ECA" w:rsidRPr="004761E0" w:rsidRDefault="00A66ECA" w:rsidP="009642EF">
            <w:pPr>
              <w:ind w:firstLine="0"/>
              <w:jc w:val="right"/>
              <w:rPr>
                <w:rFonts w:eastAsia="Times New Roman"/>
                <w:sz w:val="16"/>
                <w:szCs w:val="16"/>
                <w:lang w:eastAsia="ru-RU"/>
              </w:rPr>
            </w:pPr>
            <w:r w:rsidRPr="004761E0">
              <w:rPr>
                <w:rFonts w:eastAsia="Times New Roman"/>
                <w:sz w:val="16"/>
                <w:szCs w:val="16"/>
                <w:lang w:eastAsia="ru-RU"/>
              </w:rPr>
              <w:t>249</w:t>
            </w:r>
          </w:p>
        </w:tc>
        <w:tc>
          <w:tcPr>
            <w:tcW w:w="709" w:type="dxa"/>
            <w:shd w:val="clear" w:color="auto" w:fill="auto"/>
            <w:noWrap/>
            <w:hideMark/>
          </w:tcPr>
          <w:p w:rsidR="00A66ECA" w:rsidRPr="004761E0" w:rsidRDefault="00A66ECA" w:rsidP="009642EF">
            <w:pPr>
              <w:ind w:firstLine="0"/>
              <w:jc w:val="right"/>
              <w:rPr>
                <w:rFonts w:eastAsia="Times New Roman"/>
                <w:sz w:val="16"/>
                <w:szCs w:val="16"/>
                <w:lang w:eastAsia="ru-RU"/>
              </w:rPr>
            </w:pPr>
            <w:r w:rsidRPr="004761E0">
              <w:rPr>
                <w:rFonts w:eastAsia="Times New Roman"/>
                <w:sz w:val="16"/>
                <w:szCs w:val="16"/>
                <w:lang w:eastAsia="ru-RU"/>
              </w:rPr>
              <w:t>250</w:t>
            </w:r>
          </w:p>
        </w:tc>
        <w:tc>
          <w:tcPr>
            <w:tcW w:w="709" w:type="dxa"/>
            <w:shd w:val="clear" w:color="auto" w:fill="auto"/>
            <w:noWrap/>
            <w:hideMark/>
          </w:tcPr>
          <w:p w:rsidR="00A66ECA" w:rsidRPr="004761E0" w:rsidRDefault="00A66ECA" w:rsidP="009642EF">
            <w:pPr>
              <w:ind w:firstLine="0"/>
              <w:jc w:val="right"/>
              <w:rPr>
                <w:rFonts w:eastAsia="Times New Roman"/>
                <w:sz w:val="16"/>
                <w:szCs w:val="16"/>
                <w:lang w:eastAsia="ru-RU"/>
              </w:rPr>
            </w:pPr>
            <w:r w:rsidRPr="004761E0">
              <w:rPr>
                <w:rFonts w:eastAsia="Times New Roman"/>
                <w:sz w:val="16"/>
                <w:szCs w:val="16"/>
                <w:lang w:eastAsia="ru-RU"/>
              </w:rPr>
              <w:t>-</w:t>
            </w:r>
          </w:p>
        </w:tc>
        <w:tc>
          <w:tcPr>
            <w:tcW w:w="1150" w:type="dxa"/>
            <w:shd w:val="clear" w:color="auto" w:fill="auto"/>
            <w:hideMark/>
          </w:tcPr>
          <w:p w:rsidR="00A66ECA" w:rsidRPr="004761E0" w:rsidRDefault="00A66ECA" w:rsidP="009642EF">
            <w:pPr>
              <w:ind w:firstLine="0"/>
              <w:jc w:val="right"/>
              <w:rPr>
                <w:rFonts w:eastAsia="Times New Roman"/>
                <w:sz w:val="16"/>
                <w:szCs w:val="16"/>
                <w:lang w:eastAsia="ru-RU"/>
              </w:rPr>
            </w:pPr>
            <w:r w:rsidRPr="004761E0">
              <w:rPr>
                <w:rFonts w:eastAsia="Times New Roman"/>
                <w:sz w:val="16"/>
                <w:szCs w:val="16"/>
                <w:lang w:eastAsia="ru-RU"/>
              </w:rPr>
              <w:t>АТ 2х125</w:t>
            </w:r>
          </w:p>
        </w:tc>
        <w:tc>
          <w:tcPr>
            <w:tcW w:w="851" w:type="dxa"/>
            <w:shd w:val="clear" w:color="auto" w:fill="auto"/>
            <w:hideMark/>
          </w:tcPr>
          <w:p w:rsidR="00A66ECA" w:rsidRPr="004761E0" w:rsidRDefault="00A66ECA" w:rsidP="009642EF">
            <w:pPr>
              <w:ind w:firstLine="0"/>
              <w:jc w:val="right"/>
              <w:rPr>
                <w:rFonts w:eastAsia="Times New Roman"/>
                <w:sz w:val="16"/>
                <w:szCs w:val="16"/>
                <w:lang w:eastAsia="ru-RU"/>
              </w:rPr>
            </w:pPr>
            <w:r w:rsidRPr="004761E0">
              <w:rPr>
                <w:rFonts w:eastAsia="Times New Roman"/>
                <w:sz w:val="16"/>
                <w:szCs w:val="16"/>
                <w:lang w:eastAsia="ru-RU"/>
              </w:rPr>
              <w:t> </w:t>
            </w:r>
          </w:p>
        </w:tc>
        <w:tc>
          <w:tcPr>
            <w:tcW w:w="1117"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 </w:t>
            </w:r>
          </w:p>
        </w:tc>
        <w:tc>
          <w:tcPr>
            <w:tcW w:w="851" w:type="dxa"/>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10</w:t>
            </w:r>
          </w:p>
        </w:tc>
        <w:tc>
          <w:tcPr>
            <w:tcW w:w="992" w:type="dxa"/>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15,2</w:t>
            </w:r>
          </w:p>
        </w:tc>
      </w:tr>
      <w:tr w:rsidR="009642EF" w:rsidRPr="004761E0" w:rsidTr="00EC58E0">
        <w:trPr>
          <w:trHeight w:val="395"/>
        </w:trPr>
        <w:tc>
          <w:tcPr>
            <w:tcW w:w="567" w:type="dxa"/>
            <w:shd w:val="clear" w:color="auto" w:fill="auto"/>
            <w:noWrap/>
            <w:hideMark/>
          </w:tcPr>
          <w:p w:rsidR="00A66ECA" w:rsidRPr="004761E0" w:rsidRDefault="00A66ECA" w:rsidP="007076A7">
            <w:pPr>
              <w:pStyle w:val="a5"/>
              <w:numPr>
                <w:ilvl w:val="0"/>
                <w:numId w:val="266"/>
              </w:numPr>
              <w:tabs>
                <w:tab w:val="left" w:pos="146"/>
              </w:tabs>
              <w:ind w:left="0" w:firstLine="0"/>
              <w:contextualSpacing w:val="0"/>
              <w:jc w:val="left"/>
              <w:rPr>
                <w:rFonts w:eastAsia="Times New Roman"/>
                <w:color w:val="000000"/>
                <w:sz w:val="16"/>
                <w:szCs w:val="16"/>
                <w:lang w:eastAsia="ru-RU"/>
              </w:rPr>
            </w:pPr>
          </w:p>
        </w:tc>
        <w:tc>
          <w:tcPr>
            <w:tcW w:w="567" w:type="dxa"/>
            <w:shd w:val="clear" w:color="auto" w:fill="auto"/>
            <w:noWrap/>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МО</w:t>
            </w:r>
          </w:p>
        </w:tc>
        <w:tc>
          <w:tcPr>
            <w:tcW w:w="709" w:type="dxa"/>
            <w:shd w:val="clear" w:color="auto" w:fill="auto"/>
            <w:noWrap/>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ТПИР</w:t>
            </w:r>
          </w:p>
        </w:tc>
        <w:tc>
          <w:tcPr>
            <w:tcW w:w="1843" w:type="dxa"/>
            <w:shd w:val="clear" w:color="auto" w:fill="auto"/>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ПС 110/10/6 кВ Шереметьево</w:t>
            </w:r>
          </w:p>
        </w:tc>
        <w:tc>
          <w:tcPr>
            <w:tcW w:w="2410" w:type="dxa"/>
            <w:shd w:val="clear" w:color="auto" w:fill="auto"/>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Повышения надежности электроснабжения, замена изношенного оборудования,  существующих потребителей и создание технической возможности присоединения дополнительных потребителей</w:t>
            </w:r>
          </w:p>
        </w:tc>
        <w:tc>
          <w:tcPr>
            <w:tcW w:w="692"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2008</w:t>
            </w:r>
          </w:p>
        </w:tc>
        <w:tc>
          <w:tcPr>
            <w:tcW w:w="709"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2013</w:t>
            </w:r>
          </w:p>
        </w:tc>
        <w:tc>
          <w:tcPr>
            <w:tcW w:w="1134"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993</w:t>
            </w:r>
          </w:p>
        </w:tc>
        <w:tc>
          <w:tcPr>
            <w:tcW w:w="1275"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280</w:t>
            </w:r>
          </w:p>
        </w:tc>
        <w:tc>
          <w:tcPr>
            <w:tcW w:w="709"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63</w:t>
            </w:r>
          </w:p>
        </w:tc>
        <w:tc>
          <w:tcPr>
            <w:tcW w:w="709"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w:t>
            </w:r>
          </w:p>
        </w:tc>
        <w:tc>
          <w:tcPr>
            <w:tcW w:w="1150" w:type="dxa"/>
            <w:shd w:val="clear" w:color="auto" w:fill="auto"/>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1*ТДТН*63000</w:t>
            </w:r>
          </w:p>
        </w:tc>
        <w:tc>
          <w:tcPr>
            <w:tcW w:w="851" w:type="dxa"/>
            <w:shd w:val="clear" w:color="auto" w:fill="auto"/>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 </w:t>
            </w:r>
          </w:p>
        </w:tc>
        <w:tc>
          <w:tcPr>
            <w:tcW w:w="1117" w:type="dxa"/>
            <w:shd w:val="clear" w:color="auto" w:fill="auto"/>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Объект введен в эксплуатацию</w:t>
            </w:r>
          </w:p>
        </w:tc>
        <w:tc>
          <w:tcPr>
            <w:tcW w:w="851" w:type="dxa"/>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12,3</w:t>
            </w:r>
          </w:p>
        </w:tc>
        <w:tc>
          <w:tcPr>
            <w:tcW w:w="992" w:type="dxa"/>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20,1</w:t>
            </w:r>
          </w:p>
        </w:tc>
      </w:tr>
      <w:tr w:rsidR="009642EF" w:rsidRPr="004761E0" w:rsidTr="00EC58E0">
        <w:trPr>
          <w:trHeight w:val="395"/>
        </w:trPr>
        <w:tc>
          <w:tcPr>
            <w:tcW w:w="567" w:type="dxa"/>
            <w:shd w:val="clear" w:color="auto" w:fill="auto"/>
            <w:noWrap/>
          </w:tcPr>
          <w:p w:rsidR="00A66ECA" w:rsidRPr="004761E0" w:rsidRDefault="00A66ECA" w:rsidP="007076A7">
            <w:pPr>
              <w:pStyle w:val="a5"/>
              <w:numPr>
                <w:ilvl w:val="0"/>
                <w:numId w:val="266"/>
              </w:numPr>
              <w:tabs>
                <w:tab w:val="left" w:pos="146"/>
              </w:tabs>
              <w:ind w:left="0" w:firstLine="0"/>
              <w:contextualSpacing w:val="0"/>
              <w:jc w:val="left"/>
              <w:rPr>
                <w:rFonts w:eastAsia="Times New Roman"/>
                <w:color w:val="000000"/>
                <w:sz w:val="16"/>
                <w:szCs w:val="16"/>
                <w:lang w:eastAsia="ru-RU"/>
              </w:rPr>
            </w:pPr>
          </w:p>
        </w:tc>
        <w:tc>
          <w:tcPr>
            <w:tcW w:w="567" w:type="dxa"/>
            <w:shd w:val="clear" w:color="auto" w:fill="auto"/>
            <w:noWrap/>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М</w:t>
            </w:r>
          </w:p>
        </w:tc>
        <w:tc>
          <w:tcPr>
            <w:tcW w:w="709" w:type="dxa"/>
            <w:shd w:val="clear" w:color="auto" w:fill="auto"/>
            <w:noWrap/>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ТПиР</w:t>
            </w:r>
          </w:p>
        </w:tc>
        <w:tc>
          <w:tcPr>
            <w:tcW w:w="1843" w:type="dxa"/>
            <w:shd w:val="clear" w:color="auto" w:fill="auto"/>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 xml:space="preserve">Реконструкция КЛ 110 кВ </w:t>
            </w:r>
            <w:r w:rsidR="009642EF" w:rsidRPr="004761E0">
              <w:rPr>
                <w:rFonts w:eastAsia="Times New Roman"/>
                <w:color w:val="000000"/>
                <w:sz w:val="16"/>
                <w:szCs w:val="16"/>
                <w:lang w:eastAsia="ru-RU"/>
              </w:rPr>
              <w:t>«</w:t>
            </w:r>
            <w:r w:rsidRPr="004761E0">
              <w:rPr>
                <w:rFonts w:eastAsia="Times New Roman"/>
                <w:color w:val="000000"/>
                <w:sz w:val="16"/>
                <w:szCs w:val="16"/>
                <w:lang w:eastAsia="ru-RU"/>
              </w:rPr>
              <w:t>Чоботы - Полет №1,2</w:t>
            </w:r>
            <w:r w:rsidR="009642EF" w:rsidRPr="004761E0">
              <w:rPr>
                <w:rFonts w:eastAsia="Times New Roman"/>
                <w:color w:val="000000"/>
                <w:sz w:val="16"/>
                <w:szCs w:val="16"/>
                <w:lang w:eastAsia="ru-RU"/>
              </w:rPr>
              <w:t>»</w:t>
            </w:r>
            <w:r w:rsidRPr="004761E0">
              <w:rPr>
                <w:rFonts w:eastAsia="Times New Roman"/>
                <w:color w:val="000000"/>
                <w:sz w:val="16"/>
                <w:szCs w:val="16"/>
                <w:lang w:eastAsia="ru-RU"/>
              </w:rPr>
              <w:t xml:space="preserve"> от ПС №554 </w:t>
            </w:r>
            <w:r w:rsidR="009642EF" w:rsidRPr="004761E0">
              <w:rPr>
                <w:rFonts w:eastAsia="Times New Roman"/>
                <w:color w:val="000000"/>
                <w:sz w:val="16"/>
                <w:szCs w:val="16"/>
                <w:lang w:eastAsia="ru-RU"/>
              </w:rPr>
              <w:t>«</w:t>
            </w:r>
            <w:r w:rsidRPr="004761E0">
              <w:rPr>
                <w:rFonts w:eastAsia="Times New Roman"/>
                <w:color w:val="000000"/>
                <w:sz w:val="16"/>
                <w:szCs w:val="16"/>
                <w:lang w:eastAsia="ru-RU"/>
              </w:rPr>
              <w:t>Чоботы</w:t>
            </w:r>
            <w:r w:rsidR="009642EF" w:rsidRPr="004761E0">
              <w:rPr>
                <w:rFonts w:eastAsia="Times New Roman"/>
                <w:color w:val="000000"/>
                <w:sz w:val="16"/>
                <w:szCs w:val="16"/>
                <w:lang w:eastAsia="ru-RU"/>
              </w:rPr>
              <w:t>»</w:t>
            </w:r>
            <w:r w:rsidRPr="004761E0">
              <w:rPr>
                <w:rFonts w:eastAsia="Times New Roman"/>
                <w:color w:val="000000"/>
                <w:sz w:val="16"/>
                <w:szCs w:val="16"/>
                <w:lang w:eastAsia="ru-RU"/>
              </w:rPr>
              <w:t xml:space="preserve"> до ПС № 813</w:t>
            </w:r>
            <w:r w:rsidR="009642EF" w:rsidRPr="004761E0">
              <w:rPr>
                <w:rFonts w:eastAsia="Times New Roman"/>
                <w:color w:val="000000"/>
                <w:sz w:val="16"/>
                <w:szCs w:val="16"/>
                <w:lang w:eastAsia="ru-RU"/>
              </w:rPr>
              <w:t xml:space="preserve"> «</w:t>
            </w:r>
            <w:r w:rsidRPr="004761E0">
              <w:rPr>
                <w:rFonts w:eastAsia="Times New Roman"/>
                <w:color w:val="000000"/>
                <w:sz w:val="16"/>
                <w:szCs w:val="16"/>
                <w:lang w:eastAsia="ru-RU"/>
              </w:rPr>
              <w:t>Полет</w:t>
            </w:r>
            <w:r w:rsidR="009642EF" w:rsidRPr="004761E0">
              <w:rPr>
                <w:rFonts w:eastAsia="Times New Roman"/>
                <w:color w:val="000000"/>
                <w:sz w:val="16"/>
                <w:szCs w:val="16"/>
                <w:lang w:eastAsia="ru-RU"/>
              </w:rPr>
              <w:t>»</w:t>
            </w:r>
          </w:p>
        </w:tc>
        <w:tc>
          <w:tcPr>
            <w:tcW w:w="2410" w:type="dxa"/>
            <w:shd w:val="clear" w:color="auto" w:fill="auto"/>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Повышение надежности электроснабжения потребителей, повышение безопасности и снижение трудоемкости эксплуатации кабельной линии.</w:t>
            </w:r>
          </w:p>
        </w:tc>
        <w:tc>
          <w:tcPr>
            <w:tcW w:w="692" w:type="dxa"/>
            <w:shd w:val="clear" w:color="auto" w:fill="auto"/>
            <w:noWrap/>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2012</w:t>
            </w:r>
          </w:p>
        </w:tc>
        <w:tc>
          <w:tcPr>
            <w:tcW w:w="709" w:type="dxa"/>
            <w:shd w:val="clear" w:color="auto" w:fill="auto"/>
            <w:noWrap/>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2014</w:t>
            </w:r>
          </w:p>
        </w:tc>
        <w:tc>
          <w:tcPr>
            <w:tcW w:w="1134" w:type="dxa"/>
            <w:shd w:val="clear" w:color="auto" w:fill="auto"/>
            <w:noWrap/>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799</w:t>
            </w:r>
          </w:p>
        </w:tc>
        <w:tc>
          <w:tcPr>
            <w:tcW w:w="1275" w:type="dxa"/>
            <w:shd w:val="clear" w:color="auto" w:fill="auto"/>
            <w:noWrap/>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673</w:t>
            </w:r>
          </w:p>
        </w:tc>
        <w:tc>
          <w:tcPr>
            <w:tcW w:w="709" w:type="dxa"/>
            <w:shd w:val="clear" w:color="auto" w:fill="auto"/>
            <w:noWrap/>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w:t>
            </w:r>
          </w:p>
        </w:tc>
        <w:tc>
          <w:tcPr>
            <w:tcW w:w="709" w:type="dxa"/>
            <w:shd w:val="clear" w:color="auto" w:fill="auto"/>
            <w:noWrap/>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14,21</w:t>
            </w:r>
          </w:p>
        </w:tc>
        <w:tc>
          <w:tcPr>
            <w:tcW w:w="1150" w:type="dxa"/>
            <w:shd w:val="clear" w:color="auto" w:fill="auto"/>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 </w:t>
            </w:r>
          </w:p>
        </w:tc>
        <w:tc>
          <w:tcPr>
            <w:tcW w:w="851" w:type="dxa"/>
            <w:shd w:val="clear" w:color="auto" w:fill="auto"/>
          </w:tcPr>
          <w:p w:rsidR="00A66ECA" w:rsidRPr="004761E0" w:rsidRDefault="00A66ECA" w:rsidP="009642EF">
            <w:pPr>
              <w:ind w:firstLine="0"/>
              <w:jc w:val="right"/>
              <w:rPr>
                <w:rFonts w:eastAsia="Times New Roman"/>
                <w:color w:val="000000"/>
                <w:sz w:val="16"/>
                <w:szCs w:val="16"/>
                <w:lang w:val="en-US" w:eastAsia="ru-RU"/>
              </w:rPr>
            </w:pPr>
            <w:r w:rsidRPr="004761E0">
              <w:rPr>
                <w:rFonts w:eastAsia="Times New Roman"/>
                <w:color w:val="000000"/>
                <w:sz w:val="16"/>
                <w:szCs w:val="16"/>
                <w:lang w:val="en-US" w:eastAsia="ru-RU"/>
              </w:rPr>
              <w:t>2XS (FL) 2YVF ST2Y 3x630 RM + (2FO) 64/110 kV</w:t>
            </w:r>
          </w:p>
        </w:tc>
        <w:tc>
          <w:tcPr>
            <w:tcW w:w="1117" w:type="dxa"/>
            <w:shd w:val="clear" w:color="auto" w:fill="auto"/>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Объект введен в эксплуатацию</w:t>
            </w:r>
          </w:p>
        </w:tc>
        <w:tc>
          <w:tcPr>
            <w:tcW w:w="851" w:type="dxa"/>
          </w:tcPr>
          <w:p w:rsidR="00A66ECA" w:rsidRPr="004761E0" w:rsidRDefault="00A66ECA" w:rsidP="009642EF">
            <w:pPr>
              <w:ind w:firstLine="0"/>
              <w:jc w:val="right"/>
              <w:rPr>
                <w:rFonts w:eastAsia="Times New Roman"/>
                <w:bCs/>
                <w:color w:val="000000"/>
                <w:sz w:val="16"/>
                <w:szCs w:val="16"/>
                <w:lang w:eastAsia="ru-RU"/>
              </w:rPr>
            </w:pPr>
            <w:r w:rsidRPr="004761E0">
              <w:rPr>
                <w:rFonts w:eastAsia="Times New Roman"/>
                <w:bCs/>
                <w:color w:val="000000"/>
                <w:sz w:val="16"/>
                <w:szCs w:val="16"/>
                <w:lang w:eastAsia="ru-RU"/>
              </w:rPr>
              <w:t>0</w:t>
            </w:r>
          </w:p>
        </w:tc>
        <w:tc>
          <w:tcPr>
            <w:tcW w:w="992" w:type="dxa"/>
          </w:tcPr>
          <w:p w:rsidR="00A66ECA" w:rsidRPr="004761E0" w:rsidRDefault="00A66ECA" w:rsidP="009642EF">
            <w:pPr>
              <w:ind w:firstLine="0"/>
              <w:jc w:val="right"/>
              <w:rPr>
                <w:rFonts w:eastAsia="Times New Roman"/>
                <w:bCs/>
                <w:color w:val="000000"/>
                <w:sz w:val="16"/>
                <w:szCs w:val="16"/>
                <w:lang w:eastAsia="ru-RU"/>
              </w:rPr>
            </w:pPr>
            <w:r w:rsidRPr="004761E0">
              <w:rPr>
                <w:rFonts w:eastAsia="Times New Roman"/>
                <w:bCs/>
                <w:color w:val="000000"/>
                <w:sz w:val="16"/>
                <w:szCs w:val="16"/>
                <w:lang w:eastAsia="ru-RU"/>
              </w:rPr>
              <w:t>0</w:t>
            </w:r>
          </w:p>
        </w:tc>
      </w:tr>
      <w:tr w:rsidR="009642EF" w:rsidRPr="004761E0" w:rsidTr="00EC58E0">
        <w:trPr>
          <w:trHeight w:val="395"/>
        </w:trPr>
        <w:tc>
          <w:tcPr>
            <w:tcW w:w="567" w:type="dxa"/>
            <w:shd w:val="clear" w:color="auto" w:fill="auto"/>
            <w:noWrap/>
          </w:tcPr>
          <w:p w:rsidR="00A66ECA" w:rsidRPr="004761E0" w:rsidRDefault="00A66ECA" w:rsidP="007076A7">
            <w:pPr>
              <w:pStyle w:val="a5"/>
              <w:numPr>
                <w:ilvl w:val="0"/>
                <w:numId w:val="266"/>
              </w:numPr>
              <w:tabs>
                <w:tab w:val="left" w:pos="146"/>
              </w:tabs>
              <w:ind w:left="0" w:firstLine="0"/>
              <w:contextualSpacing w:val="0"/>
              <w:jc w:val="left"/>
              <w:rPr>
                <w:rFonts w:eastAsia="Times New Roman"/>
                <w:color w:val="000000"/>
                <w:sz w:val="16"/>
                <w:szCs w:val="16"/>
                <w:lang w:eastAsia="ru-RU"/>
              </w:rPr>
            </w:pPr>
          </w:p>
        </w:tc>
        <w:tc>
          <w:tcPr>
            <w:tcW w:w="567" w:type="dxa"/>
            <w:shd w:val="clear" w:color="auto" w:fill="auto"/>
            <w:noWrap/>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М</w:t>
            </w:r>
          </w:p>
        </w:tc>
        <w:tc>
          <w:tcPr>
            <w:tcW w:w="709" w:type="dxa"/>
            <w:shd w:val="clear" w:color="auto" w:fill="auto"/>
            <w:noWrap/>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ТПиР</w:t>
            </w:r>
          </w:p>
        </w:tc>
        <w:tc>
          <w:tcPr>
            <w:tcW w:w="1843" w:type="dxa"/>
            <w:shd w:val="clear" w:color="auto" w:fill="auto"/>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 xml:space="preserve">Реконструкция ПС 110 кВ </w:t>
            </w:r>
            <w:r w:rsidR="009642EF" w:rsidRPr="004761E0">
              <w:rPr>
                <w:rFonts w:eastAsia="Times New Roman"/>
                <w:color w:val="000000"/>
                <w:sz w:val="16"/>
                <w:szCs w:val="16"/>
                <w:lang w:eastAsia="ru-RU"/>
              </w:rPr>
              <w:t>«</w:t>
            </w:r>
            <w:r w:rsidRPr="004761E0">
              <w:rPr>
                <w:rFonts w:eastAsia="Times New Roman"/>
                <w:color w:val="000000"/>
                <w:sz w:val="16"/>
                <w:szCs w:val="16"/>
                <w:lang w:eastAsia="ru-RU"/>
              </w:rPr>
              <w:t>Никитская</w:t>
            </w:r>
            <w:r w:rsidR="009642EF" w:rsidRPr="004761E0">
              <w:rPr>
                <w:rFonts w:eastAsia="Times New Roman"/>
                <w:color w:val="000000"/>
                <w:sz w:val="16"/>
                <w:szCs w:val="16"/>
                <w:lang w:eastAsia="ru-RU"/>
              </w:rPr>
              <w:t>»</w:t>
            </w:r>
            <w:r w:rsidRPr="004761E0">
              <w:rPr>
                <w:rFonts w:eastAsia="Times New Roman"/>
                <w:color w:val="000000"/>
                <w:sz w:val="16"/>
                <w:szCs w:val="16"/>
                <w:lang w:eastAsia="ru-RU"/>
              </w:rPr>
              <w:t>. Замена трансформаторов, реакторов.</w:t>
            </w:r>
          </w:p>
        </w:tc>
        <w:tc>
          <w:tcPr>
            <w:tcW w:w="2410" w:type="dxa"/>
            <w:shd w:val="clear" w:color="auto" w:fill="auto"/>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Снятия перегрузки, повышение надежности энергосистемы, обеспечение требуемой пропускной способности для старых и новых потребителей.</w:t>
            </w:r>
          </w:p>
        </w:tc>
        <w:tc>
          <w:tcPr>
            <w:tcW w:w="692" w:type="dxa"/>
            <w:shd w:val="clear" w:color="auto" w:fill="auto"/>
            <w:noWrap/>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2010</w:t>
            </w:r>
          </w:p>
        </w:tc>
        <w:tc>
          <w:tcPr>
            <w:tcW w:w="709" w:type="dxa"/>
            <w:shd w:val="clear" w:color="auto" w:fill="auto"/>
            <w:noWrap/>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2015</w:t>
            </w:r>
          </w:p>
        </w:tc>
        <w:tc>
          <w:tcPr>
            <w:tcW w:w="1134" w:type="dxa"/>
            <w:shd w:val="clear" w:color="auto" w:fill="auto"/>
            <w:noWrap/>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458</w:t>
            </w:r>
          </w:p>
        </w:tc>
        <w:tc>
          <w:tcPr>
            <w:tcW w:w="1275" w:type="dxa"/>
            <w:shd w:val="clear" w:color="auto" w:fill="auto"/>
            <w:noWrap/>
          </w:tcPr>
          <w:p w:rsidR="00A66ECA" w:rsidRPr="004761E0" w:rsidRDefault="00A66ECA" w:rsidP="009642EF">
            <w:pPr>
              <w:ind w:firstLine="0"/>
              <w:jc w:val="right"/>
              <w:rPr>
                <w:rFonts w:eastAsia="Times New Roman"/>
                <w:sz w:val="16"/>
                <w:szCs w:val="16"/>
                <w:lang w:eastAsia="ru-RU"/>
              </w:rPr>
            </w:pPr>
            <w:r w:rsidRPr="004761E0">
              <w:rPr>
                <w:rFonts w:eastAsia="Times New Roman"/>
                <w:sz w:val="16"/>
                <w:szCs w:val="16"/>
                <w:lang w:eastAsia="ru-RU"/>
              </w:rPr>
              <w:t>270</w:t>
            </w:r>
          </w:p>
        </w:tc>
        <w:tc>
          <w:tcPr>
            <w:tcW w:w="709" w:type="dxa"/>
            <w:shd w:val="clear" w:color="auto" w:fill="auto"/>
            <w:noWrap/>
          </w:tcPr>
          <w:p w:rsidR="00A66ECA" w:rsidRPr="004761E0" w:rsidRDefault="00A66ECA" w:rsidP="009642EF">
            <w:pPr>
              <w:ind w:firstLine="0"/>
              <w:jc w:val="right"/>
              <w:rPr>
                <w:rFonts w:eastAsia="Times New Roman"/>
                <w:sz w:val="16"/>
                <w:szCs w:val="16"/>
                <w:lang w:eastAsia="ru-RU"/>
              </w:rPr>
            </w:pPr>
            <w:r w:rsidRPr="004761E0">
              <w:rPr>
                <w:rFonts w:eastAsia="Times New Roman"/>
                <w:sz w:val="16"/>
                <w:szCs w:val="16"/>
                <w:lang w:eastAsia="ru-RU"/>
              </w:rPr>
              <w:t>250</w:t>
            </w:r>
          </w:p>
        </w:tc>
        <w:tc>
          <w:tcPr>
            <w:tcW w:w="709" w:type="dxa"/>
            <w:shd w:val="clear" w:color="auto" w:fill="auto"/>
            <w:noWrap/>
          </w:tcPr>
          <w:p w:rsidR="00A66ECA" w:rsidRPr="004761E0" w:rsidRDefault="00A66ECA" w:rsidP="009642EF">
            <w:pPr>
              <w:ind w:firstLine="0"/>
              <w:jc w:val="right"/>
              <w:rPr>
                <w:rFonts w:eastAsia="Times New Roman"/>
                <w:sz w:val="16"/>
                <w:szCs w:val="16"/>
                <w:lang w:eastAsia="ru-RU"/>
              </w:rPr>
            </w:pPr>
            <w:r w:rsidRPr="004761E0">
              <w:rPr>
                <w:rFonts w:eastAsia="Times New Roman"/>
                <w:sz w:val="16"/>
                <w:szCs w:val="16"/>
                <w:lang w:eastAsia="ru-RU"/>
              </w:rPr>
              <w:t>-</w:t>
            </w:r>
          </w:p>
        </w:tc>
        <w:tc>
          <w:tcPr>
            <w:tcW w:w="1150" w:type="dxa"/>
            <w:shd w:val="clear" w:color="auto" w:fill="auto"/>
          </w:tcPr>
          <w:p w:rsidR="00A66ECA" w:rsidRPr="004761E0" w:rsidRDefault="00A66ECA" w:rsidP="009642EF">
            <w:pPr>
              <w:ind w:firstLine="0"/>
              <w:jc w:val="right"/>
              <w:rPr>
                <w:rFonts w:eastAsia="Times New Roman"/>
                <w:sz w:val="16"/>
                <w:szCs w:val="16"/>
                <w:lang w:eastAsia="ru-RU"/>
              </w:rPr>
            </w:pPr>
            <w:r w:rsidRPr="004761E0">
              <w:rPr>
                <w:rFonts w:eastAsia="Times New Roman"/>
                <w:sz w:val="16"/>
                <w:szCs w:val="16"/>
                <w:lang w:eastAsia="ru-RU"/>
              </w:rPr>
              <w:t>АТ 2х125</w:t>
            </w:r>
          </w:p>
        </w:tc>
        <w:tc>
          <w:tcPr>
            <w:tcW w:w="851" w:type="dxa"/>
            <w:shd w:val="clear" w:color="auto" w:fill="auto"/>
          </w:tcPr>
          <w:p w:rsidR="00A66ECA" w:rsidRPr="004761E0" w:rsidRDefault="00A66ECA" w:rsidP="009642EF">
            <w:pPr>
              <w:ind w:firstLine="0"/>
              <w:jc w:val="right"/>
              <w:rPr>
                <w:rFonts w:eastAsia="Times New Roman"/>
                <w:sz w:val="16"/>
                <w:szCs w:val="16"/>
                <w:lang w:eastAsia="ru-RU"/>
              </w:rPr>
            </w:pPr>
            <w:r w:rsidRPr="004761E0">
              <w:rPr>
                <w:rFonts w:eastAsia="Times New Roman"/>
                <w:sz w:val="16"/>
                <w:szCs w:val="16"/>
                <w:lang w:eastAsia="ru-RU"/>
              </w:rPr>
              <w:t> </w:t>
            </w:r>
          </w:p>
        </w:tc>
        <w:tc>
          <w:tcPr>
            <w:tcW w:w="1117" w:type="dxa"/>
            <w:shd w:val="clear" w:color="auto" w:fill="auto"/>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Досрочное выполнение работ подрядчиком.</w:t>
            </w:r>
          </w:p>
        </w:tc>
        <w:tc>
          <w:tcPr>
            <w:tcW w:w="851" w:type="dxa"/>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9,2</w:t>
            </w:r>
          </w:p>
        </w:tc>
        <w:tc>
          <w:tcPr>
            <w:tcW w:w="992" w:type="dxa"/>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12,9</w:t>
            </w:r>
          </w:p>
        </w:tc>
      </w:tr>
      <w:tr w:rsidR="009642EF" w:rsidRPr="004761E0" w:rsidTr="00EC58E0">
        <w:trPr>
          <w:trHeight w:val="304"/>
        </w:trPr>
        <w:tc>
          <w:tcPr>
            <w:tcW w:w="567" w:type="dxa"/>
            <w:shd w:val="clear" w:color="auto" w:fill="auto"/>
            <w:noWrap/>
          </w:tcPr>
          <w:p w:rsidR="00A66ECA" w:rsidRPr="004761E0" w:rsidRDefault="00A66ECA" w:rsidP="007076A7">
            <w:pPr>
              <w:pStyle w:val="a5"/>
              <w:numPr>
                <w:ilvl w:val="0"/>
                <w:numId w:val="266"/>
              </w:numPr>
              <w:tabs>
                <w:tab w:val="left" w:pos="146"/>
              </w:tabs>
              <w:ind w:left="0" w:firstLine="0"/>
              <w:contextualSpacing w:val="0"/>
              <w:jc w:val="left"/>
              <w:rPr>
                <w:rFonts w:eastAsia="Times New Roman"/>
                <w:color w:val="000000"/>
                <w:sz w:val="16"/>
                <w:szCs w:val="16"/>
                <w:lang w:eastAsia="ru-RU"/>
              </w:rPr>
            </w:pPr>
          </w:p>
        </w:tc>
        <w:tc>
          <w:tcPr>
            <w:tcW w:w="567" w:type="dxa"/>
            <w:shd w:val="clear" w:color="auto" w:fill="auto"/>
            <w:noWrap/>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МО</w:t>
            </w:r>
          </w:p>
        </w:tc>
        <w:tc>
          <w:tcPr>
            <w:tcW w:w="709" w:type="dxa"/>
            <w:shd w:val="clear" w:color="auto" w:fill="auto"/>
            <w:noWrap/>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ТПИР</w:t>
            </w:r>
          </w:p>
        </w:tc>
        <w:tc>
          <w:tcPr>
            <w:tcW w:w="1843" w:type="dxa"/>
            <w:shd w:val="clear" w:color="auto" w:fill="auto"/>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 xml:space="preserve">Реконструкция ПС110 кВ </w:t>
            </w:r>
            <w:r w:rsidR="009642EF" w:rsidRPr="004761E0">
              <w:rPr>
                <w:rFonts w:eastAsia="Times New Roman"/>
                <w:color w:val="000000"/>
                <w:sz w:val="16"/>
                <w:szCs w:val="16"/>
                <w:lang w:eastAsia="ru-RU"/>
              </w:rPr>
              <w:t>«</w:t>
            </w:r>
            <w:r w:rsidRPr="004761E0">
              <w:rPr>
                <w:rFonts w:eastAsia="Times New Roman"/>
                <w:color w:val="000000"/>
                <w:sz w:val="16"/>
                <w:szCs w:val="16"/>
                <w:lang w:eastAsia="ru-RU"/>
              </w:rPr>
              <w:t>Болятино</w:t>
            </w:r>
            <w:r w:rsidR="009642EF" w:rsidRPr="004761E0">
              <w:rPr>
                <w:rFonts w:eastAsia="Times New Roman"/>
                <w:color w:val="000000"/>
                <w:sz w:val="16"/>
                <w:szCs w:val="16"/>
                <w:lang w:eastAsia="ru-RU"/>
              </w:rPr>
              <w:t>»</w:t>
            </w:r>
            <w:r w:rsidRPr="004761E0">
              <w:rPr>
                <w:rFonts w:eastAsia="Times New Roman"/>
                <w:color w:val="000000"/>
                <w:sz w:val="16"/>
                <w:szCs w:val="16"/>
                <w:lang w:eastAsia="ru-RU"/>
              </w:rPr>
              <w:t xml:space="preserve"> № 309 </w:t>
            </w:r>
          </w:p>
        </w:tc>
        <w:tc>
          <w:tcPr>
            <w:tcW w:w="2410" w:type="dxa"/>
            <w:shd w:val="clear" w:color="auto" w:fill="auto"/>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Обеспечение питания  вновь сооружаемых объектов жилья и соцкультбыта, а также для повышения надежности электроснабжения существующих потребителей</w:t>
            </w:r>
          </w:p>
        </w:tc>
        <w:tc>
          <w:tcPr>
            <w:tcW w:w="692" w:type="dxa"/>
            <w:shd w:val="clear" w:color="auto" w:fill="auto"/>
            <w:noWrap/>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2011</w:t>
            </w:r>
          </w:p>
        </w:tc>
        <w:tc>
          <w:tcPr>
            <w:tcW w:w="709" w:type="dxa"/>
            <w:shd w:val="clear" w:color="auto" w:fill="auto"/>
            <w:noWrap/>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2015</w:t>
            </w:r>
          </w:p>
        </w:tc>
        <w:tc>
          <w:tcPr>
            <w:tcW w:w="1134" w:type="dxa"/>
            <w:shd w:val="clear" w:color="auto" w:fill="auto"/>
            <w:noWrap/>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652</w:t>
            </w:r>
          </w:p>
        </w:tc>
        <w:tc>
          <w:tcPr>
            <w:tcW w:w="1275" w:type="dxa"/>
            <w:shd w:val="clear" w:color="auto" w:fill="auto"/>
            <w:noWrap/>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152</w:t>
            </w:r>
          </w:p>
        </w:tc>
        <w:tc>
          <w:tcPr>
            <w:tcW w:w="709" w:type="dxa"/>
            <w:shd w:val="clear" w:color="auto" w:fill="auto"/>
            <w:noWrap/>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126</w:t>
            </w:r>
          </w:p>
        </w:tc>
        <w:tc>
          <w:tcPr>
            <w:tcW w:w="709" w:type="dxa"/>
            <w:shd w:val="clear" w:color="auto" w:fill="auto"/>
            <w:noWrap/>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w:t>
            </w:r>
          </w:p>
        </w:tc>
        <w:tc>
          <w:tcPr>
            <w:tcW w:w="1150" w:type="dxa"/>
            <w:shd w:val="clear" w:color="auto" w:fill="auto"/>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2хТМГ-63</w:t>
            </w:r>
          </w:p>
        </w:tc>
        <w:tc>
          <w:tcPr>
            <w:tcW w:w="851" w:type="dxa"/>
            <w:shd w:val="clear" w:color="auto" w:fill="auto"/>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 </w:t>
            </w:r>
          </w:p>
        </w:tc>
        <w:tc>
          <w:tcPr>
            <w:tcW w:w="1117" w:type="dxa"/>
            <w:shd w:val="clear" w:color="auto" w:fill="auto"/>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Досрочное выполнение работ подрядчиком.</w:t>
            </w:r>
          </w:p>
        </w:tc>
        <w:tc>
          <w:tcPr>
            <w:tcW w:w="851" w:type="dxa"/>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10,5</w:t>
            </w:r>
          </w:p>
        </w:tc>
        <w:tc>
          <w:tcPr>
            <w:tcW w:w="992" w:type="dxa"/>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16,8</w:t>
            </w:r>
          </w:p>
        </w:tc>
      </w:tr>
      <w:tr w:rsidR="009642EF" w:rsidRPr="004761E0" w:rsidTr="00EC58E0">
        <w:trPr>
          <w:trHeight w:val="592"/>
        </w:trPr>
        <w:tc>
          <w:tcPr>
            <w:tcW w:w="567" w:type="dxa"/>
            <w:shd w:val="clear" w:color="auto" w:fill="auto"/>
            <w:noWrap/>
            <w:hideMark/>
          </w:tcPr>
          <w:p w:rsidR="00A66ECA" w:rsidRPr="004761E0" w:rsidRDefault="00A66ECA" w:rsidP="007076A7">
            <w:pPr>
              <w:pStyle w:val="a5"/>
              <w:numPr>
                <w:ilvl w:val="0"/>
                <w:numId w:val="266"/>
              </w:numPr>
              <w:tabs>
                <w:tab w:val="left" w:pos="146"/>
              </w:tabs>
              <w:ind w:left="0" w:firstLine="0"/>
              <w:contextualSpacing w:val="0"/>
              <w:jc w:val="left"/>
              <w:rPr>
                <w:rFonts w:eastAsia="Times New Roman"/>
                <w:color w:val="000000"/>
                <w:sz w:val="16"/>
                <w:szCs w:val="16"/>
                <w:lang w:eastAsia="ru-RU"/>
              </w:rPr>
            </w:pPr>
          </w:p>
        </w:tc>
        <w:tc>
          <w:tcPr>
            <w:tcW w:w="567" w:type="dxa"/>
            <w:shd w:val="clear" w:color="auto" w:fill="auto"/>
            <w:noWrap/>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МО</w:t>
            </w:r>
          </w:p>
        </w:tc>
        <w:tc>
          <w:tcPr>
            <w:tcW w:w="709" w:type="dxa"/>
            <w:shd w:val="clear" w:color="auto" w:fill="auto"/>
            <w:noWrap/>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ТПИР</w:t>
            </w:r>
          </w:p>
        </w:tc>
        <w:tc>
          <w:tcPr>
            <w:tcW w:w="1843" w:type="dxa"/>
            <w:shd w:val="clear" w:color="auto" w:fill="auto"/>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 xml:space="preserve">ПС № 255 </w:t>
            </w:r>
            <w:r w:rsidR="009642EF" w:rsidRPr="004761E0">
              <w:rPr>
                <w:rFonts w:eastAsia="Times New Roman"/>
                <w:color w:val="000000"/>
                <w:sz w:val="16"/>
                <w:szCs w:val="16"/>
                <w:lang w:eastAsia="ru-RU"/>
              </w:rPr>
              <w:t>«</w:t>
            </w:r>
            <w:r w:rsidRPr="004761E0">
              <w:rPr>
                <w:rFonts w:eastAsia="Times New Roman"/>
                <w:color w:val="000000"/>
                <w:sz w:val="16"/>
                <w:szCs w:val="16"/>
                <w:lang w:eastAsia="ru-RU"/>
              </w:rPr>
              <w:t>Костино</w:t>
            </w:r>
            <w:r w:rsidR="009642EF" w:rsidRPr="004761E0">
              <w:rPr>
                <w:rFonts w:eastAsia="Times New Roman"/>
                <w:color w:val="000000"/>
                <w:sz w:val="16"/>
                <w:szCs w:val="16"/>
                <w:lang w:eastAsia="ru-RU"/>
              </w:rPr>
              <w:t>»</w:t>
            </w:r>
          </w:p>
        </w:tc>
        <w:tc>
          <w:tcPr>
            <w:tcW w:w="2410" w:type="dxa"/>
            <w:shd w:val="clear" w:color="auto" w:fill="auto"/>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Повышение надежности электроснабжения производственных и бытовых потребителей г. Королева Московской области, замена морально устаревшего и изношенного оборудования,  создание технической возможности присоединения дополнительных потребителей</w:t>
            </w:r>
          </w:p>
        </w:tc>
        <w:tc>
          <w:tcPr>
            <w:tcW w:w="692"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2011</w:t>
            </w:r>
          </w:p>
        </w:tc>
        <w:tc>
          <w:tcPr>
            <w:tcW w:w="709"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2015</w:t>
            </w:r>
          </w:p>
        </w:tc>
        <w:tc>
          <w:tcPr>
            <w:tcW w:w="1134"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512</w:t>
            </w:r>
          </w:p>
        </w:tc>
        <w:tc>
          <w:tcPr>
            <w:tcW w:w="1275"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102</w:t>
            </w:r>
          </w:p>
        </w:tc>
        <w:tc>
          <w:tcPr>
            <w:tcW w:w="709"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126</w:t>
            </w:r>
          </w:p>
        </w:tc>
        <w:tc>
          <w:tcPr>
            <w:tcW w:w="709"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w:t>
            </w:r>
          </w:p>
        </w:tc>
        <w:tc>
          <w:tcPr>
            <w:tcW w:w="1150" w:type="dxa"/>
            <w:shd w:val="clear" w:color="auto" w:fill="auto"/>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2*ТДТН*63000</w:t>
            </w:r>
          </w:p>
        </w:tc>
        <w:tc>
          <w:tcPr>
            <w:tcW w:w="851" w:type="dxa"/>
            <w:shd w:val="clear" w:color="auto" w:fill="auto"/>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 </w:t>
            </w:r>
          </w:p>
        </w:tc>
        <w:tc>
          <w:tcPr>
            <w:tcW w:w="1117" w:type="dxa"/>
            <w:shd w:val="clear" w:color="auto" w:fill="auto"/>
            <w:noWrap/>
            <w:hideMark/>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 </w:t>
            </w:r>
          </w:p>
        </w:tc>
        <w:tc>
          <w:tcPr>
            <w:tcW w:w="851" w:type="dxa"/>
          </w:tcPr>
          <w:p w:rsidR="00A66ECA" w:rsidRPr="004761E0" w:rsidRDefault="00A66ECA"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14,6</w:t>
            </w:r>
          </w:p>
        </w:tc>
        <w:tc>
          <w:tcPr>
            <w:tcW w:w="992" w:type="dxa"/>
          </w:tcPr>
          <w:p w:rsidR="00A66ECA" w:rsidRPr="004761E0" w:rsidRDefault="009642EF" w:rsidP="009642EF">
            <w:pPr>
              <w:ind w:firstLine="0"/>
              <w:jc w:val="right"/>
              <w:rPr>
                <w:rFonts w:eastAsia="Times New Roman"/>
                <w:color w:val="000000"/>
                <w:sz w:val="16"/>
                <w:szCs w:val="16"/>
                <w:lang w:eastAsia="ru-RU"/>
              </w:rPr>
            </w:pPr>
            <w:r w:rsidRPr="004761E0">
              <w:rPr>
                <w:rFonts w:eastAsia="Times New Roman"/>
                <w:color w:val="000000"/>
                <w:sz w:val="16"/>
                <w:szCs w:val="16"/>
                <w:lang w:eastAsia="ru-RU"/>
              </w:rPr>
              <w:t>–</w:t>
            </w:r>
          </w:p>
        </w:tc>
      </w:tr>
      <w:tr w:rsidR="009642EF" w:rsidRPr="004761E0" w:rsidTr="00EC58E0">
        <w:trPr>
          <w:trHeight w:val="173"/>
        </w:trPr>
        <w:tc>
          <w:tcPr>
            <w:tcW w:w="6096" w:type="dxa"/>
            <w:gridSpan w:val="5"/>
            <w:shd w:val="clear" w:color="auto" w:fill="DBE5F1" w:themeFill="accent1" w:themeFillTint="33"/>
            <w:noWrap/>
            <w:vAlign w:val="center"/>
            <w:hideMark/>
          </w:tcPr>
          <w:p w:rsidR="00A66ECA" w:rsidRPr="004761E0" w:rsidRDefault="00A66ECA" w:rsidP="009642EF">
            <w:pPr>
              <w:ind w:firstLine="0"/>
              <w:jc w:val="left"/>
              <w:rPr>
                <w:rFonts w:eastAsia="Times New Roman"/>
                <w:b/>
                <w:bCs/>
                <w:iCs/>
                <w:color w:val="000000"/>
                <w:sz w:val="16"/>
                <w:szCs w:val="16"/>
                <w:lang w:eastAsia="ru-RU"/>
              </w:rPr>
            </w:pPr>
            <w:r w:rsidRPr="004761E0">
              <w:rPr>
                <w:rFonts w:eastAsia="Times New Roman"/>
                <w:b/>
                <w:bCs/>
                <w:iCs/>
                <w:color w:val="000000"/>
                <w:sz w:val="16"/>
                <w:szCs w:val="16"/>
                <w:lang w:eastAsia="ru-RU"/>
              </w:rPr>
              <w:t>Итого:</w:t>
            </w:r>
          </w:p>
        </w:tc>
        <w:tc>
          <w:tcPr>
            <w:tcW w:w="692" w:type="dxa"/>
            <w:shd w:val="clear" w:color="auto" w:fill="DBE5F1" w:themeFill="accent1" w:themeFillTint="33"/>
            <w:noWrap/>
            <w:vAlign w:val="center"/>
            <w:hideMark/>
          </w:tcPr>
          <w:p w:rsidR="00A66ECA" w:rsidRPr="004761E0" w:rsidRDefault="00A66ECA" w:rsidP="009642EF">
            <w:pPr>
              <w:ind w:firstLine="0"/>
              <w:jc w:val="center"/>
              <w:rPr>
                <w:rFonts w:eastAsia="Times New Roman"/>
                <w:color w:val="000000"/>
                <w:sz w:val="16"/>
                <w:szCs w:val="16"/>
                <w:lang w:eastAsia="ru-RU"/>
              </w:rPr>
            </w:pPr>
            <w:r w:rsidRPr="004761E0">
              <w:rPr>
                <w:rFonts w:eastAsia="Times New Roman"/>
                <w:color w:val="000000"/>
                <w:sz w:val="16"/>
                <w:szCs w:val="16"/>
                <w:lang w:eastAsia="ru-RU"/>
              </w:rPr>
              <w:t> </w:t>
            </w:r>
          </w:p>
        </w:tc>
        <w:tc>
          <w:tcPr>
            <w:tcW w:w="709" w:type="dxa"/>
            <w:shd w:val="clear" w:color="auto" w:fill="DBE5F1" w:themeFill="accent1" w:themeFillTint="33"/>
            <w:noWrap/>
            <w:vAlign w:val="center"/>
            <w:hideMark/>
          </w:tcPr>
          <w:p w:rsidR="00A66ECA" w:rsidRPr="004761E0" w:rsidRDefault="00A66ECA" w:rsidP="009642EF">
            <w:pPr>
              <w:ind w:firstLine="0"/>
              <w:jc w:val="center"/>
              <w:rPr>
                <w:rFonts w:eastAsia="Times New Roman"/>
                <w:color w:val="000000"/>
                <w:sz w:val="16"/>
                <w:szCs w:val="16"/>
                <w:lang w:eastAsia="ru-RU"/>
              </w:rPr>
            </w:pPr>
            <w:r w:rsidRPr="004761E0">
              <w:rPr>
                <w:rFonts w:eastAsia="Times New Roman"/>
                <w:color w:val="000000"/>
                <w:sz w:val="16"/>
                <w:szCs w:val="16"/>
                <w:lang w:eastAsia="ru-RU"/>
              </w:rPr>
              <w:t> </w:t>
            </w:r>
          </w:p>
        </w:tc>
        <w:tc>
          <w:tcPr>
            <w:tcW w:w="1134" w:type="dxa"/>
            <w:shd w:val="clear" w:color="auto" w:fill="DBE5F1" w:themeFill="accent1" w:themeFillTint="33"/>
            <w:noWrap/>
            <w:vAlign w:val="center"/>
            <w:hideMark/>
          </w:tcPr>
          <w:p w:rsidR="00A66ECA" w:rsidRPr="004761E0" w:rsidRDefault="00A66ECA" w:rsidP="009642EF">
            <w:pPr>
              <w:ind w:firstLine="0"/>
              <w:jc w:val="center"/>
              <w:rPr>
                <w:rFonts w:eastAsia="Times New Roman"/>
                <w:color w:val="000000"/>
                <w:sz w:val="16"/>
                <w:szCs w:val="16"/>
                <w:lang w:eastAsia="ru-RU"/>
              </w:rPr>
            </w:pPr>
            <w:r w:rsidRPr="004761E0">
              <w:rPr>
                <w:rFonts w:eastAsia="Times New Roman"/>
                <w:color w:val="000000"/>
                <w:sz w:val="16"/>
                <w:szCs w:val="16"/>
                <w:lang w:eastAsia="ru-RU"/>
              </w:rPr>
              <w:t> </w:t>
            </w:r>
          </w:p>
        </w:tc>
        <w:tc>
          <w:tcPr>
            <w:tcW w:w="1275" w:type="dxa"/>
            <w:shd w:val="clear" w:color="auto" w:fill="DBE5F1" w:themeFill="accent1" w:themeFillTint="33"/>
            <w:noWrap/>
            <w:vAlign w:val="center"/>
            <w:hideMark/>
          </w:tcPr>
          <w:p w:rsidR="00A66ECA" w:rsidRPr="004761E0" w:rsidRDefault="00A66ECA" w:rsidP="009642EF">
            <w:pPr>
              <w:ind w:firstLine="0"/>
              <w:jc w:val="center"/>
              <w:rPr>
                <w:rFonts w:eastAsia="Times New Roman"/>
                <w:b/>
                <w:bCs/>
                <w:iCs/>
                <w:color w:val="000000"/>
                <w:sz w:val="16"/>
                <w:szCs w:val="16"/>
                <w:lang w:eastAsia="ru-RU"/>
              </w:rPr>
            </w:pPr>
            <w:r w:rsidRPr="004761E0">
              <w:rPr>
                <w:rFonts w:eastAsia="Times New Roman"/>
                <w:b/>
                <w:bCs/>
                <w:iCs/>
                <w:color w:val="000000"/>
                <w:sz w:val="16"/>
                <w:szCs w:val="16"/>
                <w:lang w:eastAsia="ru-RU"/>
              </w:rPr>
              <w:t>7 006</w:t>
            </w:r>
          </w:p>
        </w:tc>
        <w:tc>
          <w:tcPr>
            <w:tcW w:w="709" w:type="dxa"/>
            <w:shd w:val="clear" w:color="auto" w:fill="DBE5F1" w:themeFill="accent1" w:themeFillTint="33"/>
            <w:noWrap/>
            <w:vAlign w:val="center"/>
            <w:hideMark/>
          </w:tcPr>
          <w:p w:rsidR="00A66ECA" w:rsidRPr="004761E0" w:rsidRDefault="00A66ECA" w:rsidP="009642EF">
            <w:pPr>
              <w:ind w:firstLine="0"/>
              <w:jc w:val="center"/>
              <w:rPr>
                <w:rFonts w:eastAsia="Times New Roman"/>
                <w:b/>
                <w:bCs/>
                <w:iCs/>
                <w:color w:val="000000"/>
                <w:sz w:val="16"/>
                <w:szCs w:val="16"/>
                <w:lang w:eastAsia="ru-RU"/>
              </w:rPr>
            </w:pPr>
            <w:r w:rsidRPr="004761E0">
              <w:rPr>
                <w:rFonts w:eastAsia="Times New Roman"/>
                <w:b/>
                <w:bCs/>
                <w:iCs/>
                <w:color w:val="000000"/>
                <w:sz w:val="16"/>
                <w:szCs w:val="16"/>
                <w:lang w:eastAsia="ru-RU"/>
              </w:rPr>
              <w:t>2 084</w:t>
            </w:r>
          </w:p>
        </w:tc>
        <w:tc>
          <w:tcPr>
            <w:tcW w:w="709" w:type="dxa"/>
            <w:shd w:val="clear" w:color="auto" w:fill="DBE5F1" w:themeFill="accent1" w:themeFillTint="33"/>
            <w:noWrap/>
            <w:vAlign w:val="center"/>
            <w:hideMark/>
          </w:tcPr>
          <w:p w:rsidR="00A66ECA" w:rsidRPr="004761E0" w:rsidRDefault="00A66ECA" w:rsidP="009642EF">
            <w:pPr>
              <w:ind w:firstLine="0"/>
              <w:jc w:val="center"/>
              <w:rPr>
                <w:rFonts w:eastAsia="Times New Roman"/>
                <w:b/>
                <w:bCs/>
                <w:iCs/>
                <w:color w:val="000000"/>
                <w:sz w:val="16"/>
                <w:szCs w:val="16"/>
                <w:lang w:eastAsia="ru-RU"/>
              </w:rPr>
            </w:pPr>
            <w:r w:rsidRPr="004761E0">
              <w:rPr>
                <w:rFonts w:eastAsia="Times New Roman"/>
                <w:b/>
                <w:bCs/>
                <w:iCs/>
                <w:color w:val="000000"/>
                <w:sz w:val="16"/>
                <w:szCs w:val="16"/>
                <w:lang w:eastAsia="ru-RU"/>
              </w:rPr>
              <w:t>29,31</w:t>
            </w:r>
          </w:p>
        </w:tc>
        <w:tc>
          <w:tcPr>
            <w:tcW w:w="1150" w:type="dxa"/>
            <w:shd w:val="clear" w:color="auto" w:fill="DBE5F1" w:themeFill="accent1" w:themeFillTint="33"/>
            <w:noWrap/>
            <w:vAlign w:val="center"/>
            <w:hideMark/>
          </w:tcPr>
          <w:p w:rsidR="00A66ECA" w:rsidRPr="004761E0" w:rsidRDefault="00A66ECA" w:rsidP="009642EF">
            <w:pPr>
              <w:ind w:firstLine="0"/>
              <w:jc w:val="center"/>
              <w:rPr>
                <w:rFonts w:eastAsia="Times New Roman"/>
                <w:b/>
                <w:bCs/>
                <w:color w:val="FF0000"/>
                <w:sz w:val="16"/>
                <w:szCs w:val="16"/>
                <w:lang w:eastAsia="ru-RU"/>
              </w:rPr>
            </w:pPr>
            <w:r w:rsidRPr="004761E0">
              <w:rPr>
                <w:rFonts w:eastAsia="Times New Roman"/>
                <w:b/>
                <w:bCs/>
                <w:color w:val="FF0000"/>
                <w:sz w:val="16"/>
                <w:szCs w:val="16"/>
                <w:lang w:eastAsia="ru-RU"/>
              </w:rPr>
              <w:t> </w:t>
            </w:r>
          </w:p>
        </w:tc>
        <w:tc>
          <w:tcPr>
            <w:tcW w:w="851" w:type="dxa"/>
            <w:shd w:val="clear" w:color="auto" w:fill="DBE5F1" w:themeFill="accent1" w:themeFillTint="33"/>
            <w:noWrap/>
            <w:vAlign w:val="center"/>
            <w:hideMark/>
          </w:tcPr>
          <w:p w:rsidR="00A66ECA" w:rsidRPr="004761E0" w:rsidRDefault="00A66ECA" w:rsidP="009642EF">
            <w:pPr>
              <w:ind w:firstLine="0"/>
              <w:jc w:val="center"/>
              <w:rPr>
                <w:rFonts w:eastAsia="Times New Roman"/>
                <w:b/>
                <w:bCs/>
                <w:color w:val="FF0000"/>
                <w:sz w:val="16"/>
                <w:szCs w:val="16"/>
                <w:lang w:eastAsia="ru-RU"/>
              </w:rPr>
            </w:pPr>
            <w:r w:rsidRPr="004761E0">
              <w:rPr>
                <w:rFonts w:eastAsia="Times New Roman"/>
                <w:b/>
                <w:bCs/>
                <w:color w:val="FF0000"/>
                <w:sz w:val="16"/>
                <w:szCs w:val="16"/>
                <w:lang w:eastAsia="ru-RU"/>
              </w:rPr>
              <w:t> </w:t>
            </w:r>
          </w:p>
        </w:tc>
        <w:tc>
          <w:tcPr>
            <w:tcW w:w="1117" w:type="dxa"/>
            <w:shd w:val="clear" w:color="auto" w:fill="DBE5F1" w:themeFill="accent1" w:themeFillTint="33"/>
            <w:noWrap/>
            <w:vAlign w:val="bottom"/>
            <w:hideMark/>
          </w:tcPr>
          <w:p w:rsidR="00A66ECA" w:rsidRPr="004761E0" w:rsidRDefault="00A66ECA" w:rsidP="009642EF">
            <w:pPr>
              <w:ind w:firstLine="0"/>
              <w:jc w:val="left"/>
              <w:rPr>
                <w:rFonts w:eastAsia="Times New Roman"/>
                <w:color w:val="000000"/>
                <w:sz w:val="16"/>
                <w:szCs w:val="16"/>
                <w:lang w:eastAsia="ru-RU"/>
              </w:rPr>
            </w:pPr>
            <w:r w:rsidRPr="004761E0">
              <w:rPr>
                <w:rFonts w:eastAsia="Times New Roman"/>
                <w:color w:val="000000"/>
                <w:sz w:val="16"/>
                <w:szCs w:val="16"/>
                <w:lang w:eastAsia="ru-RU"/>
              </w:rPr>
              <w:t> </w:t>
            </w:r>
          </w:p>
        </w:tc>
        <w:tc>
          <w:tcPr>
            <w:tcW w:w="851" w:type="dxa"/>
            <w:shd w:val="clear" w:color="auto" w:fill="DBE5F1" w:themeFill="accent1" w:themeFillTint="33"/>
          </w:tcPr>
          <w:p w:rsidR="00A66ECA" w:rsidRPr="004761E0" w:rsidRDefault="00A66ECA" w:rsidP="009642EF">
            <w:pPr>
              <w:ind w:firstLine="0"/>
              <w:jc w:val="left"/>
              <w:rPr>
                <w:rFonts w:eastAsia="Times New Roman"/>
                <w:color w:val="000000"/>
                <w:sz w:val="16"/>
                <w:szCs w:val="16"/>
                <w:lang w:eastAsia="ru-RU"/>
              </w:rPr>
            </w:pPr>
          </w:p>
        </w:tc>
        <w:tc>
          <w:tcPr>
            <w:tcW w:w="992" w:type="dxa"/>
            <w:shd w:val="clear" w:color="auto" w:fill="DBE5F1" w:themeFill="accent1" w:themeFillTint="33"/>
          </w:tcPr>
          <w:p w:rsidR="00A66ECA" w:rsidRPr="004761E0" w:rsidRDefault="00A66ECA" w:rsidP="009642EF">
            <w:pPr>
              <w:ind w:firstLine="0"/>
              <w:jc w:val="left"/>
              <w:rPr>
                <w:rFonts w:eastAsia="Times New Roman"/>
                <w:color w:val="000000"/>
                <w:sz w:val="16"/>
                <w:szCs w:val="16"/>
                <w:lang w:eastAsia="ru-RU"/>
              </w:rPr>
            </w:pPr>
          </w:p>
        </w:tc>
      </w:tr>
    </w:tbl>
    <w:p w:rsidR="00A66ECA" w:rsidRPr="004761E0" w:rsidRDefault="00A66ECA" w:rsidP="00A66ECA">
      <w:pPr>
        <w:pStyle w:val="a5"/>
        <w:ind w:left="0"/>
        <w:sectPr w:rsidR="00A66ECA" w:rsidRPr="004761E0" w:rsidSect="00A66ECA">
          <w:pgSz w:w="16838" w:h="11906" w:orient="landscape"/>
          <w:pgMar w:top="567" w:right="720" w:bottom="284" w:left="720" w:header="709" w:footer="709" w:gutter="0"/>
          <w:cols w:space="708"/>
          <w:docGrid w:linePitch="360"/>
        </w:sectPr>
      </w:pPr>
    </w:p>
    <w:p w:rsidR="00A66ECA" w:rsidRPr="00CA38EF" w:rsidRDefault="00A66ECA" w:rsidP="00CA38EF">
      <w:pPr>
        <w:pStyle w:val="a8"/>
        <w:numPr>
          <w:ilvl w:val="1"/>
          <w:numId w:val="2"/>
        </w:numPr>
        <w:tabs>
          <w:tab w:val="left" w:pos="1134"/>
        </w:tabs>
        <w:ind w:hanging="578"/>
        <w:jc w:val="both"/>
        <w:rPr>
          <w:rFonts w:ascii="Times New Roman" w:hAnsi="Times New Roman"/>
          <w:b/>
          <w:sz w:val="26"/>
          <w:szCs w:val="26"/>
          <w:lang w:eastAsia="ru-RU"/>
        </w:rPr>
      </w:pPr>
      <w:bookmarkStart w:id="172" w:name="_Toc385339877"/>
      <w:r w:rsidRPr="00CA38EF">
        <w:rPr>
          <w:rFonts w:ascii="Times New Roman" w:hAnsi="Times New Roman"/>
          <w:b/>
          <w:sz w:val="26"/>
          <w:szCs w:val="26"/>
          <w:lang w:eastAsia="ru-RU"/>
        </w:rPr>
        <w:lastRenderedPageBreak/>
        <w:t>Значимые проекты инвестиционной программы, начатые в 2013 году</w:t>
      </w:r>
      <w:bookmarkEnd w:id="172"/>
    </w:p>
    <w:p w:rsidR="00A66ECA" w:rsidRPr="004761E0" w:rsidRDefault="00A66ECA" w:rsidP="00CA38EF">
      <w:pPr>
        <w:pStyle w:val="a5"/>
        <w:ind w:left="0" w:firstLine="567"/>
        <w:rPr>
          <w:sz w:val="26"/>
          <w:szCs w:val="26"/>
        </w:rPr>
      </w:pPr>
      <w:r w:rsidRPr="004761E0">
        <w:rPr>
          <w:sz w:val="26"/>
          <w:szCs w:val="26"/>
        </w:rPr>
        <w:t>В 2013 году начато строительство девяти значимых объектов, капитальные вложения по которым в разрезе регионов распределились в следующем порядке:</w:t>
      </w:r>
    </w:p>
    <w:p w:rsidR="00A66ECA" w:rsidRPr="004761E0" w:rsidRDefault="00A66ECA" w:rsidP="007076A7">
      <w:pPr>
        <w:pStyle w:val="a5"/>
        <w:numPr>
          <w:ilvl w:val="0"/>
          <w:numId w:val="328"/>
        </w:numPr>
        <w:ind w:left="1134" w:hanging="567"/>
        <w:rPr>
          <w:sz w:val="26"/>
          <w:szCs w:val="26"/>
        </w:rPr>
      </w:pPr>
      <w:r w:rsidRPr="004761E0">
        <w:rPr>
          <w:sz w:val="26"/>
          <w:szCs w:val="26"/>
        </w:rPr>
        <w:t>по объектам г. Москвы –80</w:t>
      </w:r>
      <w:r w:rsidR="00B819FD" w:rsidRPr="004761E0">
        <w:rPr>
          <w:sz w:val="26"/>
          <w:szCs w:val="26"/>
        </w:rPr>
        <w:t xml:space="preserve"> </w:t>
      </w:r>
      <w:r w:rsidRPr="004761E0">
        <w:rPr>
          <w:sz w:val="26"/>
          <w:szCs w:val="26"/>
        </w:rPr>
        <w:t>млн руб.;</w:t>
      </w:r>
    </w:p>
    <w:p w:rsidR="00A66ECA" w:rsidRPr="004761E0" w:rsidRDefault="00A66ECA" w:rsidP="007076A7">
      <w:pPr>
        <w:pStyle w:val="a5"/>
        <w:numPr>
          <w:ilvl w:val="0"/>
          <w:numId w:val="328"/>
        </w:numPr>
        <w:ind w:left="1134" w:hanging="567"/>
        <w:rPr>
          <w:sz w:val="26"/>
          <w:szCs w:val="26"/>
        </w:rPr>
      </w:pPr>
      <w:r w:rsidRPr="004761E0">
        <w:rPr>
          <w:sz w:val="26"/>
          <w:szCs w:val="26"/>
        </w:rPr>
        <w:t>по объектам Московской области – 145млн руб.</w:t>
      </w:r>
    </w:p>
    <w:tbl>
      <w:tblPr>
        <w:tblW w:w="15414" w:type="dxa"/>
        <w:tblInd w:w="-601" w:type="dxa"/>
        <w:tblBorders>
          <w:top w:val="single" w:sz="12" w:space="0" w:color="auto"/>
          <w:bottom w:val="single" w:sz="12" w:space="0" w:color="auto"/>
          <w:insideH w:val="dotted" w:sz="4" w:space="0" w:color="auto"/>
        </w:tblBorders>
        <w:tblLayout w:type="fixed"/>
        <w:tblLook w:val="04A0"/>
      </w:tblPr>
      <w:tblGrid>
        <w:gridCol w:w="566"/>
        <w:gridCol w:w="708"/>
        <w:gridCol w:w="566"/>
        <w:gridCol w:w="1555"/>
        <w:gridCol w:w="3977"/>
        <w:gridCol w:w="709"/>
        <w:gridCol w:w="567"/>
        <w:gridCol w:w="709"/>
        <w:gridCol w:w="684"/>
        <w:gridCol w:w="1300"/>
        <w:gridCol w:w="1954"/>
        <w:gridCol w:w="989"/>
        <w:gridCol w:w="1130"/>
      </w:tblGrid>
      <w:tr w:rsidR="00940182" w:rsidRPr="004761E0" w:rsidTr="00EC58E0">
        <w:trPr>
          <w:trHeight w:val="156"/>
        </w:trPr>
        <w:tc>
          <w:tcPr>
            <w:tcW w:w="566" w:type="dxa"/>
            <w:vMerge w:val="restart"/>
            <w:tcBorders>
              <w:top w:val="single" w:sz="12" w:space="0" w:color="auto"/>
              <w:bottom w:val="single" w:sz="4" w:space="0" w:color="FFFFFF" w:themeColor="background1"/>
              <w:right w:val="single" w:sz="4" w:space="0" w:color="FFFFFF" w:themeColor="background1"/>
            </w:tcBorders>
            <w:shd w:val="clear" w:color="auto" w:fill="0F243E" w:themeFill="text2" w:themeFillShade="80"/>
            <w:vAlign w:val="center"/>
            <w:hideMark/>
          </w:tcPr>
          <w:p w:rsidR="00A66ECA" w:rsidRPr="004761E0" w:rsidRDefault="00A66ECA" w:rsidP="00940182">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 п/п</w:t>
            </w:r>
          </w:p>
        </w:tc>
        <w:tc>
          <w:tcPr>
            <w:tcW w:w="708" w:type="dxa"/>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A66ECA" w:rsidRPr="004761E0" w:rsidRDefault="00A66ECA" w:rsidP="00940182">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ТПиР/НС</w:t>
            </w:r>
          </w:p>
        </w:tc>
        <w:tc>
          <w:tcPr>
            <w:tcW w:w="566" w:type="dxa"/>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940182" w:rsidRPr="004761E0" w:rsidRDefault="00A66ECA" w:rsidP="00940182">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М/</w:t>
            </w:r>
          </w:p>
          <w:p w:rsidR="00A66ECA" w:rsidRPr="004761E0" w:rsidRDefault="00A66ECA" w:rsidP="00940182">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МО</w:t>
            </w:r>
          </w:p>
        </w:tc>
        <w:tc>
          <w:tcPr>
            <w:tcW w:w="1555" w:type="dxa"/>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A66ECA" w:rsidRPr="004761E0" w:rsidRDefault="00A66ECA" w:rsidP="00940182">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Наименование объекта</w:t>
            </w:r>
          </w:p>
        </w:tc>
        <w:tc>
          <w:tcPr>
            <w:tcW w:w="3977" w:type="dxa"/>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A66ECA" w:rsidRPr="004761E0" w:rsidRDefault="00A66ECA" w:rsidP="00940182">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Назначение инвестиционного проекта</w:t>
            </w:r>
          </w:p>
        </w:tc>
        <w:tc>
          <w:tcPr>
            <w:tcW w:w="1276" w:type="dxa"/>
            <w:gridSpan w:val="2"/>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A66ECA" w:rsidRPr="004761E0" w:rsidRDefault="00A66ECA" w:rsidP="00940182">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Проектная мощность</w:t>
            </w:r>
          </w:p>
        </w:tc>
        <w:tc>
          <w:tcPr>
            <w:tcW w:w="1393" w:type="dxa"/>
            <w:gridSpan w:val="2"/>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A66ECA" w:rsidRPr="004761E0" w:rsidRDefault="00A66ECA" w:rsidP="00940182">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Сроки строительства</w:t>
            </w:r>
          </w:p>
        </w:tc>
        <w:tc>
          <w:tcPr>
            <w:tcW w:w="1300" w:type="dxa"/>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940182" w:rsidRPr="004761E0" w:rsidRDefault="00A66ECA" w:rsidP="00940182">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 xml:space="preserve">Сметная стоимость, </w:t>
            </w:r>
          </w:p>
          <w:p w:rsidR="00A66ECA" w:rsidRPr="004761E0" w:rsidRDefault="00A66ECA" w:rsidP="00940182">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млн</w:t>
            </w:r>
            <w:r w:rsidR="009B08C1" w:rsidRPr="004761E0">
              <w:rPr>
                <w:rFonts w:eastAsia="Times New Roman"/>
                <w:b/>
                <w:bCs/>
                <w:color w:val="FFFFFF" w:themeColor="background1"/>
                <w:sz w:val="16"/>
                <w:szCs w:val="16"/>
                <w:lang w:eastAsia="ru-RU"/>
              </w:rPr>
              <w:t xml:space="preserve"> </w:t>
            </w:r>
            <w:r w:rsidRPr="004761E0">
              <w:rPr>
                <w:rFonts w:eastAsia="Times New Roman"/>
                <w:b/>
                <w:bCs/>
                <w:color w:val="FFFFFF" w:themeColor="background1"/>
                <w:sz w:val="16"/>
                <w:szCs w:val="16"/>
                <w:lang w:eastAsia="ru-RU"/>
              </w:rPr>
              <w:t>руб. без НДС</w:t>
            </w:r>
          </w:p>
        </w:tc>
        <w:tc>
          <w:tcPr>
            <w:tcW w:w="1954" w:type="dxa"/>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hideMark/>
          </w:tcPr>
          <w:p w:rsidR="00A66ECA" w:rsidRPr="004761E0" w:rsidRDefault="00A66ECA" w:rsidP="00940182">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Состав основного оборудования</w:t>
            </w:r>
          </w:p>
        </w:tc>
        <w:tc>
          <w:tcPr>
            <w:tcW w:w="2119" w:type="dxa"/>
            <w:gridSpan w:val="2"/>
            <w:tcBorders>
              <w:top w:val="single" w:sz="12" w:space="0" w:color="auto"/>
              <w:left w:val="single" w:sz="4" w:space="0" w:color="FFFFFF" w:themeColor="background1"/>
              <w:bottom w:val="single" w:sz="4" w:space="0" w:color="FFFFFF" w:themeColor="background1"/>
            </w:tcBorders>
            <w:shd w:val="clear" w:color="auto" w:fill="0F243E" w:themeFill="text2" w:themeFillShade="80"/>
            <w:vAlign w:val="center"/>
            <w:hideMark/>
          </w:tcPr>
          <w:p w:rsidR="00A66ECA" w:rsidRPr="004761E0" w:rsidRDefault="00A66ECA" w:rsidP="00940182">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Срок окупаемости, лет</w:t>
            </w:r>
          </w:p>
        </w:tc>
      </w:tr>
      <w:tr w:rsidR="00940182" w:rsidRPr="004761E0" w:rsidTr="00EC58E0">
        <w:trPr>
          <w:trHeight w:val="164"/>
        </w:trPr>
        <w:tc>
          <w:tcPr>
            <w:tcW w:w="566" w:type="dxa"/>
            <w:vMerge/>
            <w:tcBorders>
              <w:top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A66ECA" w:rsidRPr="004761E0" w:rsidRDefault="00A66ECA" w:rsidP="00940182">
            <w:pPr>
              <w:ind w:firstLine="0"/>
              <w:jc w:val="left"/>
              <w:rPr>
                <w:rFonts w:eastAsia="Times New Roman"/>
                <w:b/>
                <w:bCs/>
                <w:color w:val="FFFFFF" w:themeColor="background1"/>
                <w:sz w:val="16"/>
                <w:szCs w:val="16"/>
                <w:lang w:eastAsia="ru-RU"/>
              </w:rPr>
            </w:pPr>
          </w:p>
        </w:tc>
        <w:tc>
          <w:tcPr>
            <w:tcW w:w="708"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A66ECA" w:rsidRPr="004761E0" w:rsidRDefault="00A66ECA" w:rsidP="00940182">
            <w:pPr>
              <w:ind w:firstLine="0"/>
              <w:jc w:val="left"/>
              <w:rPr>
                <w:rFonts w:eastAsia="Times New Roman"/>
                <w:b/>
                <w:bCs/>
                <w:color w:val="FFFFFF" w:themeColor="background1"/>
                <w:sz w:val="16"/>
                <w:szCs w:val="16"/>
                <w:lang w:eastAsia="ru-RU"/>
              </w:rPr>
            </w:pPr>
          </w:p>
        </w:tc>
        <w:tc>
          <w:tcPr>
            <w:tcW w:w="566"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A66ECA" w:rsidRPr="004761E0" w:rsidRDefault="00A66ECA" w:rsidP="00940182">
            <w:pPr>
              <w:ind w:firstLine="0"/>
              <w:jc w:val="left"/>
              <w:rPr>
                <w:rFonts w:eastAsia="Times New Roman"/>
                <w:b/>
                <w:bCs/>
                <w:color w:val="FFFFFF" w:themeColor="background1"/>
                <w:sz w:val="16"/>
                <w:szCs w:val="16"/>
                <w:lang w:eastAsia="ru-RU"/>
              </w:rPr>
            </w:pPr>
          </w:p>
        </w:tc>
        <w:tc>
          <w:tcPr>
            <w:tcW w:w="1555"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A66ECA" w:rsidRPr="004761E0" w:rsidRDefault="00A66ECA" w:rsidP="00940182">
            <w:pPr>
              <w:ind w:firstLine="0"/>
              <w:jc w:val="left"/>
              <w:rPr>
                <w:rFonts w:eastAsia="Times New Roman"/>
                <w:b/>
                <w:bCs/>
                <w:color w:val="FFFFFF" w:themeColor="background1"/>
                <w:sz w:val="16"/>
                <w:szCs w:val="16"/>
                <w:lang w:eastAsia="ru-RU"/>
              </w:rPr>
            </w:pPr>
          </w:p>
        </w:tc>
        <w:tc>
          <w:tcPr>
            <w:tcW w:w="3977"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A66ECA" w:rsidRPr="004761E0" w:rsidRDefault="00A66ECA" w:rsidP="00940182">
            <w:pPr>
              <w:ind w:firstLine="0"/>
              <w:jc w:val="left"/>
              <w:rPr>
                <w:rFonts w:eastAsia="Times New Roman"/>
                <w:b/>
                <w:bCs/>
                <w:color w:val="FFFFFF" w:themeColor="background1"/>
                <w:sz w:val="16"/>
                <w:szCs w:val="16"/>
                <w:lang w:eastAsia="ru-RU"/>
              </w:rPr>
            </w:pP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A66ECA" w:rsidRPr="004761E0" w:rsidRDefault="00A66ECA" w:rsidP="00940182">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МВА</w:t>
            </w:r>
          </w:p>
        </w:tc>
        <w:tc>
          <w:tcPr>
            <w:tcW w:w="56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A66ECA" w:rsidRPr="004761E0" w:rsidRDefault="00A66ECA" w:rsidP="00940182">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км</w:t>
            </w: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A66ECA" w:rsidRPr="004761E0" w:rsidRDefault="00940182" w:rsidP="00940182">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н</w:t>
            </w:r>
            <w:r w:rsidR="00A66ECA" w:rsidRPr="004761E0">
              <w:rPr>
                <w:rFonts w:eastAsia="Times New Roman"/>
                <w:b/>
                <w:bCs/>
                <w:color w:val="FFFFFF" w:themeColor="background1"/>
                <w:sz w:val="16"/>
                <w:szCs w:val="16"/>
                <w:lang w:eastAsia="ru-RU"/>
              </w:rPr>
              <w:t>ача</w:t>
            </w:r>
            <w:r w:rsidRPr="004761E0">
              <w:rPr>
                <w:rFonts w:eastAsia="Times New Roman"/>
                <w:b/>
                <w:bCs/>
                <w:color w:val="FFFFFF" w:themeColor="background1"/>
                <w:sz w:val="16"/>
                <w:szCs w:val="16"/>
                <w:lang w:eastAsia="ru-RU"/>
              </w:rPr>
              <w:t>-</w:t>
            </w:r>
            <w:r w:rsidR="00A66ECA" w:rsidRPr="004761E0">
              <w:rPr>
                <w:rFonts w:eastAsia="Times New Roman"/>
                <w:b/>
                <w:bCs/>
                <w:color w:val="FFFFFF" w:themeColor="background1"/>
                <w:sz w:val="16"/>
                <w:szCs w:val="16"/>
                <w:lang w:eastAsia="ru-RU"/>
              </w:rPr>
              <w:t>ло</w:t>
            </w:r>
          </w:p>
        </w:tc>
        <w:tc>
          <w:tcPr>
            <w:tcW w:w="68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A66ECA" w:rsidRPr="004761E0" w:rsidRDefault="00940182" w:rsidP="00940182">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о</w:t>
            </w:r>
            <w:r w:rsidR="00A66ECA" w:rsidRPr="004761E0">
              <w:rPr>
                <w:rFonts w:eastAsia="Times New Roman"/>
                <w:b/>
                <w:bCs/>
                <w:color w:val="FFFFFF" w:themeColor="background1"/>
                <w:sz w:val="16"/>
                <w:szCs w:val="16"/>
                <w:lang w:eastAsia="ru-RU"/>
              </w:rPr>
              <w:t>кон</w:t>
            </w:r>
            <w:r w:rsidRPr="004761E0">
              <w:rPr>
                <w:rFonts w:eastAsia="Times New Roman"/>
                <w:b/>
                <w:bCs/>
                <w:color w:val="FFFFFF" w:themeColor="background1"/>
                <w:sz w:val="16"/>
                <w:szCs w:val="16"/>
                <w:lang w:eastAsia="ru-RU"/>
              </w:rPr>
              <w:t>-</w:t>
            </w:r>
            <w:r w:rsidR="00A66ECA" w:rsidRPr="004761E0">
              <w:rPr>
                <w:rFonts w:eastAsia="Times New Roman"/>
                <w:b/>
                <w:bCs/>
                <w:color w:val="FFFFFF" w:themeColor="background1"/>
                <w:sz w:val="16"/>
                <w:szCs w:val="16"/>
                <w:lang w:eastAsia="ru-RU"/>
              </w:rPr>
              <w:t>чание</w:t>
            </w:r>
          </w:p>
        </w:tc>
        <w:tc>
          <w:tcPr>
            <w:tcW w:w="1300"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A66ECA" w:rsidRPr="004761E0" w:rsidRDefault="00A66ECA" w:rsidP="00940182">
            <w:pPr>
              <w:ind w:firstLine="0"/>
              <w:jc w:val="left"/>
              <w:rPr>
                <w:rFonts w:eastAsia="Times New Roman"/>
                <w:b/>
                <w:bCs/>
                <w:color w:val="000000"/>
                <w:sz w:val="16"/>
                <w:szCs w:val="16"/>
                <w:lang w:eastAsia="ru-RU"/>
              </w:rPr>
            </w:pPr>
          </w:p>
        </w:tc>
        <w:tc>
          <w:tcPr>
            <w:tcW w:w="1954"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A66ECA" w:rsidRPr="004761E0" w:rsidRDefault="00A66ECA" w:rsidP="00940182">
            <w:pPr>
              <w:ind w:firstLine="0"/>
              <w:jc w:val="left"/>
              <w:rPr>
                <w:rFonts w:eastAsia="Times New Roman"/>
                <w:b/>
                <w:bCs/>
                <w:color w:val="000000"/>
                <w:sz w:val="16"/>
                <w:szCs w:val="16"/>
                <w:lang w:eastAsia="ru-RU"/>
              </w:rPr>
            </w:pPr>
          </w:p>
        </w:tc>
        <w:tc>
          <w:tcPr>
            <w:tcW w:w="98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hideMark/>
          </w:tcPr>
          <w:p w:rsidR="00A66ECA" w:rsidRPr="004761E0" w:rsidRDefault="00A66ECA" w:rsidP="00940182">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простой</w:t>
            </w:r>
          </w:p>
        </w:tc>
        <w:tc>
          <w:tcPr>
            <w:tcW w:w="1130" w:type="dxa"/>
            <w:tcBorders>
              <w:top w:val="single" w:sz="4" w:space="0" w:color="FFFFFF" w:themeColor="background1"/>
              <w:left w:val="single" w:sz="4" w:space="0" w:color="FFFFFF" w:themeColor="background1"/>
              <w:bottom w:val="single" w:sz="4" w:space="0" w:color="auto"/>
            </w:tcBorders>
            <w:shd w:val="clear" w:color="auto" w:fill="0F243E" w:themeFill="text2" w:themeFillShade="80"/>
            <w:vAlign w:val="center"/>
          </w:tcPr>
          <w:p w:rsidR="00A66ECA" w:rsidRPr="004761E0" w:rsidRDefault="00940182" w:rsidP="00940182">
            <w:pPr>
              <w:ind w:firstLine="0"/>
              <w:jc w:val="center"/>
              <w:rPr>
                <w:rFonts w:eastAsia="Times New Roman"/>
                <w:b/>
                <w:bCs/>
                <w:color w:val="FFFFFF" w:themeColor="background1"/>
                <w:sz w:val="16"/>
                <w:szCs w:val="16"/>
                <w:lang w:eastAsia="ru-RU"/>
              </w:rPr>
            </w:pPr>
            <w:r w:rsidRPr="004761E0">
              <w:rPr>
                <w:rFonts w:eastAsia="Times New Roman"/>
                <w:b/>
                <w:bCs/>
                <w:color w:val="FFFFFF" w:themeColor="background1"/>
                <w:sz w:val="16"/>
                <w:szCs w:val="16"/>
                <w:lang w:eastAsia="ru-RU"/>
              </w:rPr>
              <w:t>д</w:t>
            </w:r>
            <w:r w:rsidR="00A66ECA" w:rsidRPr="004761E0">
              <w:rPr>
                <w:rFonts w:eastAsia="Times New Roman"/>
                <w:b/>
                <w:bCs/>
                <w:color w:val="FFFFFF" w:themeColor="background1"/>
                <w:sz w:val="16"/>
                <w:szCs w:val="16"/>
                <w:lang w:eastAsia="ru-RU"/>
              </w:rPr>
              <w:t>исконтиро</w:t>
            </w:r>
            <w:r w:rsidRPr="004761E0">
              <w:rPr>
                <w:rFonts w:eastAsia="Times New Roman"/>
                <w:b/>
                <w:bCs/>
                <w:color w:val="FFFFFF" w:themeColor="background1"/>
                <w:sz w:val="16"/>
                <w:szCs w:val="16"/>
                <w:lang w:eastAsia="ru-RU"/>
              </w:rPr>
              <w:t>-</w:t>
            </w:r>
            <w:r w:rsidR="00A66ECA" w:rsidRPr="004761E0">
              <w:rPr>
                <w:rFonts w:eastAsia="Times New Roman"/>
                <w:b/>
                <w:bCs/>
                <w:color w:val="FFFFFF" w:themeColor="background1"/>
                <w:sz w:val="16"/>
                <w:szCs w:val="16"/>
                <w:lang w:eastAsia="ru-RU"/>
              </w:rPr>
              <w:t>ванный</w:t>
            </w:r>
          </w:p>
        </w:tc>
      </w:tr>
      <w:tr w:rsidR="00940182" w:rsidRPr="004761E0" w:rsidTr="00EC58E0">
        <w:trPr>
          <w:trHeight w:val="655"/>
        </w:trPr>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7076A7">
            <w:pPr>
              <w:pStyle w:val="a5"/>
              <w:numPr>
                <w:ilvl w:val="0"/>
                <w:numId w:val="265"/>
              </w:numPr>
              <w:tabs>
                <w:tab w:val="left" w:pos="205"/>
              </w:tabs>
              <w:ind w:left="34" w:firstLine="0"/>
              <w:contextualSpacing w:val="0"/>
              <w:jc w:val="left"/>
              <w:rPr>
                <w:rFonts w:eastAsia="Times New Roman"/>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ТПиР</w:t>
            </w:r>
          </w:p>
        </w:tc>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М</w:t>
            </w:r>
          </w:p>
        </w:tc>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Реконструкция КВЛ 110 кВ ТЭЦ 16-Ходынка 1,2</w:t>
            </w:r>
          </w:p>
        </w:tc>
        <w:tc>
          <w:tcPr>
            <w:tcW w:w="3977"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Увеличение пропускной способности, замена  морально устаревшего оборудования с целью повышения надежности электроснабжения, улучшения качества поставляемой электроэнергии.</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2013</w:t>
            </w:r>
          </w:p>
        </w:tc>
        <w:tc>
          <w:tcPr>
            <w:tcW w:w="684" w:type="dxa"/>
            <w:tcBorders>
              <w:top w:val="single" w:sz="4" w:space="0" w:color="auto"/>
              <w:left w:val="single" w:sz="4" w:space="0" w:color="auto"/>
              <w:bottom w:val="single" w:sz="4" w:space="0" w:color="auto"/>
              <w:right w:val="single" w:sz="4" w:space="0" w:color="auto"/>
            </w:tcBorders>
            <w:shd w:val="clear" w:color="auto" w:fill="auto"/>
            <w:noWrap/>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2016</w:t>
            </w:r>
          </w:p>
        </w:tc>
        <w:tc>
          <w:tcPr>
            <w:tcW w:w="1300" w:type="dxa"/>
            <w:tcBorders>
              <w:top w:val="single" w:sz="4" w:space="0" w:color="auto"/>
              <w:left w:val="single" w:sz="4" w:space="0" w:color="auto"/>
              <w:bottom w:val="single" w:sz="4" w:space="0" w:color="auto"/>
              <w:right w:val="single" w:sz="4" w:space="0" w:color="auto"/>
            </w:tcBorders>
            <w:shd w:val="clear" w:color="auto" w:fill="auto"/>
            <w:noWrap/>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486</w:t>
            </w:r>
          </w:p>
        </w:tc>
        <w:tc>
          <w:tcPr>
            <w:tcW w:w="1954" w:type="dxa"/>
            <w:tcBorders>
              <w:top w:val="single" w:sz="4" w:space="0" w:color="auto"/>
              <w:left w:val="single" w:sz="4" w:space="0" w:color="auto"/>
              <w:bottom w:val="single" w:sz="4" w:space="0" w:color="auto"/>
              <w:right w:val="single" w:sz="4" w:space="0" w:color="auto"/>
            </w:tcBorders>
            <w:shd w:val="clear" w:color="auto" w:fill="auto"/>
            <w:noWrap/>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Кабель на номинальное напряжение 110кВ с полиэтиленовой изоляцией и медной жилой.</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0</w:t>
            </w:r>
          </w:p>
        </w:tc>
        <w:tc>
          <w:tcPr>
            <w:tcW w:w="1130" w:type="dxa"/>
            <w:tcBorders>
              <w:top w:val="single" w:sz="4" w:space="0" w:color="auto"/>
              <w:left w:val="single" w:sz="4" w:space="0" w:color="auto"/>
              <w:bottom w:val="single" w:sz="4" w:space="0" w:color="auto"/>
              <w:right w:val="single" w:sz="4" w:space="0" w:color="auto"/>
            </w:tcBorders>
          </w:tcPr>
          <w:p w:rsidR="00A66ECA" w:rsidRPr="004761E0" w:rsidRDefault="009B08C1"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0</w:t>
            </w:r>
          </w:p>
        </w:tc>
      </w:tr>
      <w:tr w:rsidR="00940182" w:rsidRPr="004761E0" w:rsidTr="00EC58E0">
        <w:trPr>
          <w:trHeight w:val="375"/>
        </w:trPr>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7076A7">
            <w:pPr>
              <w:pStyle w:val="a5"/>
              <w:numPr>
                <w:ilvl w:val="0"/>
                <w:numId w:val="265"/>
              </w:numPr>
              <w:tabs>
                <w:tab w:val="left" w:pos="205"/>
              </w:tabs>
              <w:ind w:left="34" w:firstLine="0"/>
              <w:contextualSpacing w:val="0"/>
              <w:jc w:val="left"/>
              <w:rPr>
                <w:rFonts w:eastAsia="Times New Roman"/>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ТПИР</w:t>
            </w:r>
          </w:p>
        </w:tc>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НМ</w:t>
            </w:r>
          </w:p>
        </w:tc>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 xml:space="preserve">ПС 220 кВ №  </w:t>
            </w:r>
            <w:r w:rsidR="00940182" w:rsidRPr="004761E0">
              <w:rPr>
                <w:rFonts w:eastAsia="Times New Roman"/>
                <w:color w:val="000000"/>
                <w:sz w:val="16"/>
                <w:szCs w:val="16"/>
                <w:lang w:eastAsia="ru-RU"/>
              </w:rPr>
              <w:t>«</w:t>
            </w:r>
            <w:r w:rsidRPr="004761E0">
              <w:rPr>
                <w:rFonts w:eastAsia="Times New Roman"/>
                <w:color w:val="000000"/>
                <w:sz w:val="16"/>
                <w:szCs w:val="16"/>
                <w:lang w:eastAsia="ru-RU"/>
              </w:rPr>
              <w:t>Лесная</w:t>
            </w:r>
            <w:r w:rsidR="00940182" w:rsidRPr="004761E0">
              <w:rPr>
                <w:rFonts w:eastAsia="Times New Roman"/>
                <w:color w:val="000000"/>
                <w:sz w:val="16"/>
                <w:szCs w:val="16"/>
                <w:lang w:eastAsia="ru-RU"/>
              </w:rPr>
              <w:t>»</w:t>
            </w:r>
          </w:p>
        </w:tc>
        <w:tc>
          <w:tcPr>
            <w:tcW w:w="3977"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 xml:space="preserve">Повышение надежности системы электроснабжения ТиНАО г. Москва,  для улучшения качества поставляемой электроэнергии.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400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2013</w:t>
            </w:r>
          </w:p>
        </w:tc>
        <w:tc>
          <w:tcPr>
            <w:tcW w:w="684" w:type="dxa"/>
            <w:tcBorders>
              <w:top w:val="single" w:sz="4" w:space="0" w:color="auto"/>
              <w:left w:val="single" w:sz="4" w:space="0" w:color="auto"/>
              <w:bottom w:val="single" w:sz="4" w:space="0" w:color="auto"/>
              <w:right w:val="single" w:sz="4" w:space="0" w:color="auto"/>
            </w:tcBorders>
            <w:shd w:val="clear" w:color="auto" w:fill="auto"/>
            <w:noWrap/>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2017</w:t>
            </w:r>
          </w:p>
        </w:tc>
        <w:tc>
          <w:tcPr>
            <w:tcW w:w="1300" w:type="dxa"/>
            <w:tcBorders>
              <w:top w:val="single" w:sz="4" w:space="0" w:color="auto"/>
              <w:left w:val="single" w:sz="4" w:space="0" w:color="auto"/>
              <w:bottom w:val="single" w:sz="4" w:space="0" w:color="auto"/>
              <w:right w:val="single" w:sz="4" w:space="0" w:color="auto"/>
            </w:tcBorders>
            <w:shd w:val="clear" w:color="auto" w:fill="auto"/>
            <w:noWrap/>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765</w:t>
            </w:r>
          </w:p>
        </w:tc>
        <w:tc>
          <w:tcPr>
            <w:tcW w:w="1954" w:type="dxa"/>
            <w:tcBorders>
              <w:top w:val="single" w:sz="4" w:space="0" w:color="auto"/>
              <w:left w:val="single" w:sz="4" w:space="0" w:color="auto"/>
              <w:bottom w:val="single" w:sz="4" w:space="0" w:color="auto"/>
              <w:right w:val="single" w:sz="4" w:space="0" w:color="auto"/>
            </w:tcBorders>
            <w:shd w:val="clear" w:color="auto" w:fill="auto"/>
            <w:noWrap/>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АТДЦТН-200000/200/100-2шт.</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12,3</w:t>
            </w:r>
          </w:p>
        </w:tc>
        <w:tc>
          <w:tcPr>
            <w:tcW w:w="1130" w:type="dxa"/>
            <w:tcBorders>
              <w:top w:val="single" w:sz="4" w:space="0" w:color="auto"/>
              <w:left w:val="single" w:sz="4" w:space="0" w:color="auto"/>
              <w:bottom w:val="single" w:sz="4" w:space="0" w:color="auto"/>
              <w:right w:val="single" w:sz="4" w:space="0" w:color="auto"/>
            </w:tcBorders>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18,2</w:t>
            </w:r>
          </w:p>
        </w:tc>
      </w:tr>
      <w:tr w:rsidR="00940182" w:rsidRPr="004761E0" w:rsidTr="00EC58E0">
        <w:trPr>
          <w:trHeight w:val="375"/>
        </w:trPr>
        <w:tc>
          <w:tcPr>
            <w:tcW w:w="566" w:type="dxa"/>
            <w:tcBorders>
              <w:top w:val="single" w:sz="4" w:space="0" w:color="auto"/>
              <w:left w:val="single" w:sz="4" w:space="0" w:color="auto"/>
              <w:bottom w:val="single" w:sz="4" w:space="0" w:color="auto"/>
              <w:right w:val="single" w:sz="4" w:space="0" w:color="auto"/>
            </w:tcBorders>
            <w:shd w:val="clear" w:color="auto" w:fill="auto"/>
          </w:tcPr>
          <w:p w:rsidR="00A66ECA" w:rsidRPr="004761E0" w:rsidRDefault="00A66ECA" w:rsidP="007076A7">
            <w:pPr>
              <w:pStyle w:val="a5"/>
              <w:numPr>
                <w:ilvl w:val="0"/>
                <w:numId w:val="265"/>
              </w:numPr>
              <w:tabs>
                <w:tab w:val="left" w:pos="205"/>
              </w:tabs>
              <w:ind w:left="34" w:firstLine="0"/>
              <w:contextualSpacing w:val="0"/>
              <w:jc w:val="left"/>
              <w:rPr>
                <w:rFonts w:eastAsia="Times New Roman"/>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66ECA" w:rsidRPr="004761E0" w:rsidRDefault="00A66ECA"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ТПиР</w:t>
            </w:r>
          </w:p>
        </w:tc>
        <w:tc>
          <w:tcPr>
            <w:tcW w:w="566" w:type="dxa"/>
            <w:tcBorders>
              <w:top w:val="single" w:sz="4" w:space="0" w:color="auto"/>
              <w:left w:val="single" w:sz="4" w:space="0" w:color="auto"/>
              <w:bottom w:val="single" w:sz="4" w:space="0" w:color="auto"/>
              <w:right w:val="single" w:sz="4" w:space="0" w:color="auto"/>
            </w:tcBorders>
            <w:shd w:val="clear" w:color="auto" w:fill="auto"/>
          </w:tcPr>
          <w:p w:rsidR="00A66ECA" w:rsidRPr="004761E0" w:rsidRDefault="00A66ECA"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М</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A66ECA" w:rsidRPr="004761E0" w:rsidRDefault="00A66ECA"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 xml:space="preserve">Реконструкция ПС-299 </w:t>
            </w:r>
            <w:r w:rsidR="00940182" w:rsidRPr="004761E0">
              <w:rPr>
                <w:rFonts w:eastAsia="Times New Roman"/>
                <w:color w:val="000000"/>
                <w:sz w:val="16"/>
                <w:szCs w:val="16"/>
                <w:lang w:eastAsia="ru-RU"/>
              </w:rPr>
              <w:t>«</w:t>
            </w:r>
            <w:r w:rsidRPr="004761E0">
              <w:rPr>
                <w:rFonts w:eastAsia="Times New Roman"/>
                <w:color w:val="000000"/>
                <w:sz w:val="16"/>
                <w:szCs w:val="16"/>
                <w:lang w:eastAsia="ru-RU"/>
              </w:rPr>
              <w:t>Коптево</w:t>
            </w:r>
            <w:r w:rsidR="00940182" w:rsidRPr="004761E0">
              <w:rPr>
                <w:rFonts w:eastAsia="Times New Roman"/>
                <w:color w:val="000000"/>
                <w:sz w:val="16"/>
                <w:szCs w:val="16"/>
                <w:lang w:eastAsia="ru-RU"/>
              </w:rPr>
              <w:t>»</w:t>
            </w:r>
          </w:p>
        </w:tc>
        <w:tc>
          <w:tcPr>
            <w:tcW w:w="3977" w:type="dxa"/>
            <w:tcBorders>
              <w:top w:val="single" w:sz="4" w:space="0" w:color="auto"/>
              <w:left w:val="single" w:sz="4" w:space="0" w:color="auto"/>
              <w:bottom w:val="single" w:sz="4" w:space="0" w:color="auto"/>
              <w:right w:val="single" w:sz="4" w:space="0" w:color="auto"/>
            </w:tcBorders>
            <w:shd w:val="clear" w:color="auto" w:fill="auto"/>
          </w:tcPr>
          <w:p w:rsidR="00A66ECA" w:rsidRPr="004761E0" w:rsidRDefault="00A66ECA"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Повышение мощности и увеличение пропускной способности, а также замену  морально устаревшего оборудования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166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2013</w:t>
            </w:r>
          </w:p>
        </w:tc>
        <w:tc>
          <w:tcPr>
            <w:tcW w:w="684" w:type="dxa"/>
            <w:tcBorders>
              <w:top w:val="single" w:sz="4" w:space="0" w:color="auto"/>
              <w:left w:val="single" w:sz="4" w:space="0" w:color="auto"/>
              <w:bottom w:val="single" w:sz="4" w:space="0" w:color="auto"/>
              <w:right w:val="single" w:sz="4" w:space="0" w:color="auto"/>
            </w:tcBorders>
            <w:shd w:val="clear" w:color="auto" w:fill="auto"/>
            <w:noWrap/>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2016</w:t>
            </w:r>
          </w:p>
        </w:tc>
        <w:tc>
          <w:tcPr>
            <w:tcW w:w="1300" w:type="dxa"/>
            <w:tcBorders>
              <w:top w:val="single" w:sz="4" w:space="0" w:color="auto"/>
              <w:left w:val="single" w:sz="4" w:space="0" w:color="auto"/>
              <w:bottom w:val="single" w:sz="4" w:space="0" w:color="auto"/>
              <w:right w:val="single" w:sz="4" w:space="0" w:color="auto"/>
            </w:tcBorders>
            <w:shd w:val="clear" w:color="auto" w:fill="auto"/>
            <w:noWrap/>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999</w:t>
            </w:r>
          </w:p>
        </w:tc>
        <w:tc>
          <w:tcPr>
            <w:tcW w:w="1954" w:type="dxa"/>
            <w:tcBorders>
              <w:top w:val="single" w:sz="4" w:space="0" w:color="auto"/>
              <w:left w:val="single" w:sz="4" w:space="0" w:color="auto"/>
              <w:bottom w:val="single" w:sz="4" w:space="0" w:color="auto"/>
              <w:right w:val="single" w:sz="4" w:space="0" w:color="auto"/>
            </w:tcBorders>
            <w:shd w:val="clear" w:color="auto" w:fill="auto"/>
            <w:noWrap/>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sz w:val="16"/>
                <w:szCs w:val="16"/>
                <w:lang w:eastAsia="ru-RU"/>
              </w:rPr>
              <w:t>ТДТНГУ-40500/110</w:t>
            </w:r>
          </w:p>
        </w:tc>
        <w:tc>
          <w:tcPr>
            <w:tcW w:w="989" w:type="dxa"/>
            <w:tcBorders>
              <w:top w:val="single" w:sz="4" w:space="0" w:color="auto"/>
              <w:left w:val="single" w:sz="4" w:space="0" w:color="auto"/>
              <w:bottom w:val="single" w:sz="4" w:space="0" w:color="auto"/>
              <w:right w:val="single" w:sz="4" w:space="0" w:color="auto"/>
            </w:tcBorders>
            <w:shd w:val="clear" w:color="auto" w:fill="auto"/>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12,2</w:t>
            </w:r>
          </w:p>
        </w:tc>
        <w:tc>
          <w:tcPr>
            <w:tcW w:w="1130" w:type="dxa"/>
            <w:tcBorders>
              <w:top w:val="single" w:sz="4" w:space="0" w:color="auto"/>
              <w:left w:val="single" w:sz="4" w:space="0" w:color="auto"/>
              <w:bottom w:val="single" w:sz="4" w:space="0" w:color="auto"/>
              <w:right w:val="single" w:sz="4" w:space="0" w:color="auto"/>
            </w:tcBorders>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17,4</w:t>
            </w:r>
          </w:p>
        </w:tc>
      </w:tr>
      <w:tr w:rsidR="00940182" w:rsidRPr="004761E0" w:rsidTr="00EC58E0">
        <w:trPr>
          <w:trHeight w:val="468"/>
        </w:trPr>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7076A7">
            <w:pPr>
              <w:pStyle w:val="a5"/>
              <w:numPr>
                <w:ilvl w:val="0"/>
                <w:numId w:val="265"/>
              </w:numPr>
              <w:tabs>
                <w:tab w:val="left" w:pos="205"/>
              </w:tabs>
              <w:ind w:left="34" w:firstLine="0"/>
              <w:contextualSpacing w:val="0"/>
              <w:jc w:val="left"/>
              <w:rPr>
                <w:rFonts w:eastAsia="Times New Roman"/>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ТПИР</w:t>
            </w:r>
          </w:p>
        </w:tc>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МО</w:t>
            </w:r>
          </w:p>
        </w:tc>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 xml:space="preserve">ПС </w:t>
            </w:r>
            <w:r w:rsidR="00940182" w:rsidRPr="004761E0">
              <w:rPr>
                <w:rFonts w:eastAsia="Times New Roman"/>
                <w:color w:val="000000"/>
                <w:sz w:val="16"/>
                <w:szCs w:val="16"/>
                <w:lang w:eastAsia="ru-RU"/>
              </w:rPr>
              <w:t>«</w:t>
            </w:r>
            <w:r w:rsidRPr="004761E0">
              <w:rPr>
                <w:rFonts w:eastAsia="Times New Roman"/>
                <w:color w:val="000000"/>
                <w:sz w:val="16"/>
                <w:szCs w:val="16"/>
                <w:lang w:eastAsia="ru-RU"/>
              </w:rPr>
              <w:t>Пущино</w:t>
            </w:r>
            <w:r w:rsidR="00940182" w:rsidRPr="004761E0">
              <w:rPr>
                <w:rFonts w:eastAsia="Times New Roman"/>
                <w:color w:val="000000"/>
                <w:sz w:val="16"/>
                <w:szCs w:val="16"/>
                <w:lang w:eastAsia="ru-RU"/>
              </w:rPr>
              <w:t>»</w:t>
            </w:r>
          </w:p>
        </w:tc>
        <w:tc>
          <w:tcPr>
            <w:tcW w:w="3977"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 xml:space="preserve">Повышение надежности системы электроснабжения Московской области, в частности Серпуховского района,  улучшение качества поставляемой электроэнергии.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126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2013</w:t>
            </w:r>
          </w:p>
        </w:tc>
        <w:tc>
          <w:tcPr>
            <w:tcW w:w="684" w:type="dxa"/>
            <w:tcBorders>
              <w:top w:val="single" w:sz="4" w:space="0" w:color="auto"/>
              <w:left w:val="single" w:sz="4" w:space="0" w:color="auto"/>
              <w:bottom w:val="single" w:sz="4" w:space="0" w:color="auto"/>
              <w:right w:val="single" w:sz="4" w:space="0" w:color="auto"/>
            </w:tcBorders>
            <w:shd w:val="clear" w:color="auto" w:fill="auto"/>
            <w:noWrap/>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2015</w:t>
            </w:r>
          </w:p>
        </w:tc>
        <w:tc>
          <w:tcPr>
            <w:tcW w:w="1300" w:type="dxa"/>
            <w:tcBorders>
              <w:top w:val="single" w:sz="4" w:space="0" w:color="auto"/>
              <w:left w:val="single" w:sz="4" w:space="0" w:color="auto"/>
              <w:bottom w:val="single" w:sz="4" w:space="0" w:color="auto"/>
              <w:right w:val="single" w:sz="4" w:space="0" w:color="auto"/>
            </w:tcBorders>
            <w:shd w:val="clear" w:color="auto" w:fill="auto"/>
            <w:noWrap/>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1 161</w:t>
            </w:r>
          </w:p>
        </w:tc>
        <w:tc>
          <w:tcPr>
            <w:tcW w:w="1954" w:type="dxa"/>
            <w:tcBorders>
              <w:top w:val="single" w:sz="4" w:space="0" w:color="auto"/>
              <w:left w:val="single" w:sz="4" w:space="0" w:color="auto"/>
              <w:bottom w:val="single" w:sz="4" w:space="0" w:color="auto"/>
              <w:right w:val="single" w:sz="4" w:space="0" w:color="auto"/>
            </w:tcBorders>
            <w:shd w:val="clear" w:color="auto" w:fill="auto"/>
            <w:noWrap/>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ТРДН-63000/110 - 2шт.</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16,5</w:t>
            </w:r>
          </w:p>
        </w:tc>
        <w:tc>
          <w:tcPr>
            <w:tcW w:w="1130" w:type="dxa"/>
            <w:tcBorders>
              <w:top w:val="single" w:sz="4" w:space="0" w:color="auto"/>
              <w:left w:val="single" w:sz="4" w:space="0" w:color="auto"/>
              <w:bottom w:val="single" w:sz="4" w:space="0" w:color="auto"/>
              <w:right w:val="single" w:sz="4" w:space="0" w:color="auto"/>
            </w:tcBorders>
          </w:tcPr>
          <w:p w:rsidR="00A66ECA" w:rsidRPr="004761E0" w:rsidRDefault="00940182"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w:t>
            </w:r>
          </w:p>
        </w:tc>
      </w:tr>
      <w:tr w:rsidR="00940182" w:rsidRPr="004761E0" w:rsidTr="00EC58E0">
        <w:trPr>
          <w:trHeight w:val="496"/>
        </w:trPr>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940182" w:rsidRPr="004761E0" w:rsidRDefault="00940182" w:rsidP="007076A7">
            <w:pPr>
              <w:pStyle w:val="a5"/>
              <w:numPr>
                <w:ilvl w:val="0"/>
                <w:numId w:val="265"/>
              </w:numPr>
              <w:tabs>
                <w:tab w:val="left" w:pos="205"/>
              </w:tabs>
              <w:ind w:left="34" w:firstLine="0"/>
              <w:contextualSpacing w:val="0"/>
              <w:jc w:val="left"/>
              <w:rPr>
                <w:rFonts w:eastAsia="Times New Roman"/>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940182" w:rsidRPr="004761E0" w:rsidRDefault="00940182"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ТПИР</w:t>
            </w:r>
          </w:p>
        </w:tc>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940182" w:rsidRPr="004761E0" w:rsidRDefault="00940182"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МО</w:t>
            </w:r>
          </w:p>
        </w:tc>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940182" w:rsidRPr="004761E0" w:rsidRDefault="00940182"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ПС «Лыткарино»</w:t>
            </w:r>
          </w:p>
        </w:tc>
        <w:tc>
          <w:tcPr>
            <w:tcW w:w="3977" w:type="dxa"/>
            <w:tcBorders>
              <w:top w:val="single" w:sz="4" w:space="0" w:color="auto"/>
              <w:left w:val="single" w:sz="4" w:space="0" w:color="auto"/>
              <w:bottom w:val="single" w:sz="4" w:space="0" w:color="auto"/>
              <w:right w:val="single" w:sz="4" w:space="0" w:color="auto"/>
            </w:tcBorders>
            <w:shd w:val="clear" w:color="auto" w:fill="auto"/>
            <w:hideMark/>
          </w:tcPr>
          <w:p w:rsidR="00940182" w:rsidRPr="004761E0" w:rsidRDefault="00940182"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 xml:space="preserve">Повышение надежности системы электроснабжения Московской области, в частности Раменского района, улучшение качества поставляемой электроэнергии.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40182" w:rsidRPr="004761E0" w:rsidRDefault="00940182"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126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940182" w:rsidRPr="004761E0" w:rsidRDefault="00940182"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940182" w:rsidRPr="004761E0" w:rsidRDefault="00940182"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2013</w:t>
            </w:r>
          </w:p>
        </w:tc>
        <w:tc>
          <w:tcPr>
            <w:tcW w:w="684" w:type="dxa"/>
            <w:tcBorders>
              <w:top w:val="single" w:sz="4" w:space="0" w:color="auto"/>
              <w:left w:val="single" w:sz="4" w:space="0" w:color="auto"/>
              <w:bottom w:val="single" w:sz="4" w:space="0" w:color="auto"/>
              <w:right w:val="single" w:sz="4" w:space="0" w:color="auto"/>
            </w:tcBorders>
            <w:shd w:val="clear" w:color="auto" w:fill="auto"/>
            <w:noWrap/>
            <w:hideMark/>
          </w:tcPr>
          <w:p w:rsidR="00940182" w:rsidRPr="004761E0" w:rsidRDefault="00940182"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2016</w:t>
            </w:r>
          </w:p>
        </w:tc>
        <w:tc>
          <w:tcPr>
            <w:tcW w:w="1300" w:type="dxa"/>
            <w:tcBorders>
              <w:top w:val="single" w:sz="4" w:space="0" w:color="auto"/>
              <w:left w:val="single" w:sz="4" w:space="0" w:color="auto"/>
              <w:bottom w:val="single" w:sz="4" w:space="0" w:color="auto"/>
              <w:right w:val="single" w:sz="4" w:space="0" w:color="auto"/>
            </w:tcBorders>
            <w:shd w:val="clear" w:color="auto" w:fill="auto"/>
            <w:noWrap/>
            <w:hideMark/>
          </w:tcPr>
          <w:p w:rsidR="00940182" w:rsidRPr="004761E0" w:rsidRDefault="00940182"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700</w:t>
            </w:r>
          </w:p>
        </w:tc>
        <w:tc>
          <w:tcPr>
            <w:tcW w:w="1954" w:type="dxa"/>
            <w:tcBorders>
              <w:top w:val="single" w:sz="4" w:space="0" w:color="auto"/>
              <w:left w:val="single" w:sz="4" w:space="0" w:color="auto"/>
              <w:bottom w:val="single" w:sz="4" w:space="0" w:color="auto"/>
              <w:right w:val="single" w:sz="4" w:space="0" w:color="auto"/>
            </w:tcBorders>
            <w:shd w:val="clear" w:color="auto" w:fill="auto"/>
            <w:noWrap/>
            <w:hideMark/>
          </w:tcPr>
          <w:p w:rsidR="00940182" w:rsidRPr="004761E0" w:rsidRDefault="00940182"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ТДТН-63000/110 - 2шт.</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940182" w:rsidRPr="004761E0" w:rsidRDefault="00940182"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0</w:t>
            </w:r>
          </w:p>
        </w:tc>
        <w:tc>
          <w:tcPr>
            <w:tcW w:w="1130" w:type="dxa"/>
            <w:tcBorders>
              <w:top w:val="single" w:sz="4" w:space="0" w:color="auto"/>
              <w:left w:val="single" w:sz="4" w:space="0" w:color="auto"/>
              <w:bottom w:val="single" w:sz="4" w:space="0" w:color="auto"/>
              <w:right w:val="single" w:sz="4" w:space="0" w:color="auto"/>
            </w:tcBorders>
          </w:tcPr>
          <w:p w:rsidR="00940182" w:rsidRPr="004761E0" w:rsidRDefault="00940182"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0</w:t>
            </w:r>
          </w:p>
        </w:tc>
      </w:tr>
      <w:tr w:rsidR="00940182" w:rsidRPr="004761E0" w:rsidTr="00EC58E0">
        <w:trPr>
          <w:trHeight w:val="468"/>
        </w:trPr>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7076A7">
            <w:pPr>
              <w:pStyle w:val="a5"/>
              <w:numPr>
                <w:ilvl w:val="0"/>
                <w:numId w:val="265"/>
              </w:numPr>
              <w:tabs>
                <w:tab w:val="left" w:pos="205"/>
              </w:tabs>
              <w:ind w:left="34" w:firstLine="0"/>
              <w:contextualSpacing w:val="0"/>
              <w:jc w:val="left"/>
              <w:rPr>
                <w:rFonts w:eastAsia="Times New Roman"/>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ТПИР</w:t>
            </w:r>
          </w:p>
        </w:tc>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МО</w:t>
            </w:r>
          </w:p>
        </w:tc>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 xml:space="preserve">ПС 110 кВ № 319 </w:t>
            </w:r>
            <w:r w:rsidR="00940182" w:rsidRPr="004761E0">
              <w:rPr>
                <w:rFonts w:eastAsia="Times New Roman"/>
                <w:color w:val="000000"/>
                <w:sz w:val="16"/>
                <w:szCs w:val="16"/>
                <w:lang w:eastAsia="ru-RU"/>
              </w:rPr>
              <w:t>«</w:t>
            </w:r>
            <w:r w:rsidRPr="004761E0">
              <w:rPr>
                <w:rFonts w:eastAsia="Times New Roman"/>
                <w:color w:val="000000"/>
                <w:sz w:val="16"/>
                <w:szCs w:val="16"/>
                <w:lang w:eastAsia="ru-RU"/>
              </w:rPr>
              <w:t>Лаговская</w:t>
            </w:r>
            <w:r w:rsidR="00940182" w:rsidRPr="004761E0">
              <w:rPr>
                <w:rFonts w:eastAsia="Times New Roman"/>
                <w:color w:val="000000"/>
                <w:sz w:val="16"/>
                <w:szCs w:val="16"/>
                <w:lang w:eastAsia="ru-RU"/>
              </w:rPr>
              <w:t>»</w:t>
            </w:r>
          </w:p>
        </w:tc>
        <w:tc>
          <w:tcPr>
            <w:tcW w:w="3977"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 xml:space="preserve">Повышение надежности системы электроснабжения Московской области, в частности Подольского  района, улучшение качества поставляемой электроэнергии.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126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2013</w:t>
            </w:r>
          </w:p>
        </w:tc>
        <w:tc>
          <w:tcPr>
            <w:tcW w:w="684" w:type="dxa"/>
            <w:tcBorders>
              <w:top w:val="single" w:sz="4" w:space="0" w:color="auto"/>
              <w:left w:val="single" w:sz="4" w:space="0" w:color="auto"/>
              <w:bottom w:val="single" w:sz="4" w:space="0" w:color="auto"/>
              <w:right w:val="single" w:sz="4" w:space="0" w:color="auto"/>
            </w:tcBorders>
            <w:shd w:val="clear" w:color="auto" w:fill="auto"/>
            <w:noWrap/>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2017</w:t>
            </w:r>
          </w:p>
        </w:tc>
        <w:tc>
          <w:tcPr>
            <w:tcW w:w="1300" w:type="dxa"/>
            <w:tcBorders>
              <w:top w:val="single" w:sz="4" w:space="0" w:color="auto"/>
              <w:left w:val="single" w:sz="4" w:space="0" w:color="auto"/>
              <w:bottom w:val="single" w:sz="4" w:space="0" w:color="auto"/>
              <w:right w:val="single" w:sz="4" w:space="0" w:color="auto"/>
            </w:tcBorders>
            <w:shd w:val="clear" w:color="auto" w:fill="auto"/>
            <w:noWrap/>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793</w:t>
            </w:r>
          </w:p>
        </w:tc>
        <w:tc>
          <w:tcPr>
            <w:tcW w:w="1954" w:type="dxa"/>
            <w:tcBorders>
              <w:top w:val="single" w:sz="4" w:space="0" w:color="auto"/>
              <w:left w:val="single" w:sz="4" w:space="0" w:color="auto"/>
              <w:bottom w:val="single" w:sz="4" w:space="0" w:color="auto"/>
              <w:right w:val="single" w:sz="4" w:space="0" w:color="auto"/>
            </w:tcBorders>
            <w:shd w:val="clear" w:color="auto" w:fill="auto"/>
            <w:noWrap/>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ТДТН-63000/110- 2шт.</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13,3</w:t>
            </w:r>
          </w:p>
        </w:tc>
        <w:tc>
          <w:tcPr>
            <w:tcW w:w="1130" w:type="dxa"/>
            <w:tcBorders>
              <w:top w:val="single" w:sz="4" w:space="0" w:color="auto"/>
              <w:left w:val="single" w:sz="4" w:space="0" w:color="auto"/>
              <w:bottom w:val="single" w:sz="4" w:space="0" w:color="auto"/>
              <w:right w:val="single" w:sz="4" w:space="0" w:color="auto"/>
            </w:tcBorders>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20,2</w:t>
            </w:r>
          </w:p>
        </w:tc>
      </w:tr>
      <w:tr w:rsidR="00940182" w:rsidRPr="004761E0" w:rsidTr="00EC58E0">
        <w:trPr>
          <w:trHeight w:val="468"/>
        </w:trPr>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7076A7">
            <w:pPr>
              <w:pStyle w:val="a5"/>
              <w:numPr>
                <w:ilvl w:val="0"/>
                <w:numId w:val="265"/>
              </w:numPr>
              <w:tabs>
                <w:tab w:val="left" w:pos="205"/>
              </w:tabs>
              <w:ind w:left="34" w:firstLine="0"/>
              <w:contextualSpacing w:val="0"/>
              <w:jc w:val="left"/>
              <w:rPr>
                <w:rFonts w:eastAsia="Times New Roman"/>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ТПИР</w:t>
            </w:r>
          </w:p>
        </w:tc>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МО</w:t>
            </w:r>
          </w:p>
        </w:tc>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 xml:space="preserve">Реконструкция ПС № 38 </w:t>
            </w:r>
            <w:r w:rsidR="00940182" w:rsidRPr="004761E0">
              <w:rPr>
                <w:rFonts w:eastAsia="Times New Roman"/>
                <w:color w:val="000000"/>
                <w:sz w:val="16"/>
                <w:szCs w:val="16"/>
                <w:lang w:eastAsia="ru-RU"/>
              </w:rPr>
              <w:t>«</w:t>
            </w:r>
            <w:r w:rsidRPr="004761E0">
              <w:rPr>
                <w:rFonts w:eastAsia="Times New Roman"/>
                <w:color w:val="000000"/>
                <w:sz w:val="16"/>
                <w:szCs w:val="16"/>
                <w:lang w:eastAsia="ru-RU"/>
              </w:rPr>
              <w:t>Бережки</w:t>
            </w:r>
            <w:r w:rsidR="00940182" w:rsidRPr="004761E0">
              <w:rPr>
                <w:rFonts w:eastAsia="Times New Roman"/>
                <w:color w:val="000000"/>
                <w:sz w:val="16"/>
                <w:szCs w:val="16"/>
                <w:lang w:eastAsia="ru-RU"/>
              </w:rPr>
              <w:t>»</w:t>
            </w:r>
          </w:p>
        </w:tc>
        <w:tc>
          <w:tcPr>
            <w:tcW w:w="3977"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Повышение мощности и увеличение пропускной способности, а также замену  морально устаревшего оборудования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80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2013</w:t>
            </w:r>
          </w:p>
        </w:tc>
        <w:tc>
          <w:tcPr>
            <w:tcW w:w="684" w:type="dxa"/>
            <w:tcBorders>
              <w:top w:val="single" w:sz="4" w:space="0" w:color="auto"/>
              <w:left w:val="single" w:sz="4" w:space="0" w:color="auto"/>
              <w:bottom w:val="single" w:sz="4" w:space="0" w:color="auto"/>
              <w:right w:val="single" w:sz="4" w:space="0" w:color="auto"/>
            </w:tcBorders>
            <w:shd w:val="clear" w:color="auto" w:fill="auto"/>
            <w:noWrap/>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2017</w:t>
            </w:r>
          </w:p>
        </w:tc>
        <w:tc>
          <w:tcPr>
            <w:tcW w:w="1300" w:type="dxa"/>
            <w:tcBorders>
              <w:top w:val="single" w:sz="4" w:space="0" w:color="auto"/>
              <w:left w:val="single" w:sz="4" w:space="0" w:color="auto"/>
              <w:bottom w:val="single" w:sz="4" w:space="0" w:color="auto"/>
              <w:right w:val="single" w:sz="4" w:space="0" w:color="auto"/>
            </w:tcBorders>
            <w:shd w:val="clear" w:color="auto" w:fill="auto"/>
            <w:noWrap/>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499</w:t>
            </w:r>
          </w:p>
        </w:tc>
        <w:tc>
          <w:tcPr>
            <w:tcW w:w="1954" w:type="dxa"/>
            <w:tcBorders>
              <w:top w:val="single" w:sz="4" w:space="0" w:color="auto"/>
              <w:left w:val="single" w:sz="4" w:space="0" w:color="auto"/>
              <w:bottom w:val="single" w:sz="4" w:space="0" w:color="auto"/>
              <w:right w:val="single" w:sz="4" w:space="0" w:color="auto"/>
            </w:tcBorders>
            <w:shd w:val="clear" w:color="auto" w:fill="auto"/>
            <w:noWrap/>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Тр-р 40 МВА (110/10/6 кВ) - 2 шт.,</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15,8</w:t>
            </w:r>
          </w:p>
        </w:tc>
        <w:tc>
          <w:tcPr>
            <w:tcW w:w="1130" w:type="dxa"/>
            <w:tcBorders>
              <w:top w:val="single" w:sz="4" w:space="0" w:color="auto"/>
              <w:left w:val="single" w:sz="4" w:space="0" w:color="auto"/>
              <w:bottom w:val="single" w:sz="4" w:space="0" w:color="auto"/>
              <w:right w:val="single" w:sz="4" w:space="0" w:color="auto"/>
            </w:tcBorders>
          </w:tcPr>
          <w:p w:rsidR="00A66ECA" w:rsidRPr="004761E0" w:rsidRDefault="00940182"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w:t>
            </w:r>
          </w:p>
        </w:tc>
      </w:tr>
      <w:tr w:rsidR="00940182" w:rsidRPr="004761E0" w:rsidTr="00EC58E0">
        <w:trPr>
          <w:trHeight w:val="655"/>
        </w:trPr>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7076A7">
            <w:pPr>
              <w:pStyle w:val="a5"/>
              <w:numPr>
                <w:ilvl w:val="0"/>
                <w:numId w:val="265"/>
              </w:numPr>
              <w:tabs>
                <w:tab w:val="left" w:pos="205"/>
              </w:tabs>
              <w:ind w:left="34" w:firstLine="0"/>
              <w:contextualSpacing w:val="0"/>
              <w:jc w:val="left"/>
              <w:rPr>
                <w:rFonts w:eastAsia="Times New Roman"/>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ТПИР</w:t>
            </w:r>
          </w:p>
        </w:tc>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МО</w:t>
            </w:r>
          </w:p>
        </w:tc>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 xml:space="preserve">Реконструкция ВЛ 110 кВ </w:t>
            </w:r>
            <w:r w:rsidR="00940182" w:rsidRPr="004761E0">
              <w:rPr>
                <w:rFonts w:eastAsia="Times New Roman"/>
                <w:color w:val="000000"/>
                <w:sz w:val="16"/>
                <w:szCs w:val="16"/>
                <w:lang w:eastAsia="ru-RU"/>
              </w:rPr>
              <w:t>«</w:t>
            </w:r>
            <w:r w:rsidRPr="004761E0">
              <w:rPr>
                <w:rFonts w:eastAsia="Times New Roman"/>
                <w:color w:val="000000"/>
                <w:sz w:val="16"/>
                <w:szCs w:val="16"/>
                <w:lang w:eastAsia="ru-RU"/>
              </w:rPr>
              <w:t>Н.Софрино-Яхрома</w:t>
            </w:r>
            <w:r w:rsidR="00940182" w:rsidRPr="004761E0">
              <w:rPr>
                <w:rFonts w:eastAsia="Times New Roman"/>
                <w:color w:val="000000"/>
                <w:sz w:val="16"/>
                <w:szCs w:val="16"/>
                <w:lang w:eastAsia="ru-RU"/>
              </w:rPr>
              <w:t>»</w:t>
            </w:r>
          </w:p>
        </w:tc>
        <w:tc>
          <w:tcPr>
            <w:tcW w:w="3977"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Увеличение пропускной способности, замена  морально устаревшего оборудования с целью повышения надежности электроснабжения, улучшения качества поставляемой электроэнергии.</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85,6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2013</w:t>
            </w:r>
          </w:p>
        </w:tc>
        <w:tc>
          <w:tcPr>
            <w:tcW w:w="684" w:type="dxa"/>
            <w:tcBorders>
              <w:top w:val="single" w:sz="4" w:space="0" w:color="auto"/>
              <w:left w:val="single" w:sz="4" w:space="0" w:color="auto"/>
              <w:bottom w:val="single" w:sz="4" w:space="0" w:color="auto"/>
              <w:right w:val="single" w:sz="4" w:space="0" w:color="auto"/>
            </w:tcBorders>
            <w:shd w:val="clear" w:color="auto" w:fill="auto"/>
            <w:noWrap/>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2017</w:t>
            </w:r>
          </w:p>
        </w:tc>
        <w:tc>
          <w:tcPr>
            <w:tcW w:w="1300" w:type="dxa"/>
            <w:tcBorders>
              <w:top w:val="single" w:sz="4" w:space="0" w:color="auto"/>
              <w:left w:val="single" w:sz="4" w:space="0" w:color="auto"/>
              <w:bottom w:val="single" w:sz="4" w:space="0" w:color="auto"/>
              <w:right w:val="single" w:sz="4" w:space="0" w:color="auto"/>
            </w:tcBorders>
            <w:shd w:val="clear" w:color="auto" w:fill="auto"/>
            <w:noWrap/>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745</w:t>
            </w:r>
          </w:p>
        </w:tc>
        <w:tc>
          <w:tcPr>
            <w:tcW w:w="1954" w:type="dxa"/>
            <w:tcBorders>
              <w:top w:val="single" w:sz="4" w:space="0" w:color="auto"/>
              <w:left w:val="single" w:sz="4" w:space="0" w:color="auto"/>
              <w:bottom w:val="single" w:sz="4" w:space="0" w:color="auto"/>
              <w:right w:val="single" w:sz="4" w:space="0" w:color="auto"/>
            </w:tcBorders>
            <w:shd w:val="clear" w:color="auto" w:fill="auto"/>
            <w:noWrap/>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АС 150/24</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0</w:t>
            </w:r>
          </w:p>
        </w:tc>
        <w:tc>
          <w:tcPr>
            <w:tcW w:w="1130" w:type="dxa"/>
            <w:tcBorders>
              <w:top w:val="single" w:sz="4" w:space="0" w:color="auto"/>
              <w:left w:val="single" w:sz="4" w:space="0" w:color="auto"/>
              <w:bottom w:val="single" w:sz="4" w:space="0" w:color="auto"/>
              <w:right w:val="single" w:sz="4" w:space="0" w:color="auto"/>
            </w:tcBorders>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0</w:t>
            </w:r>
          </w:p>
        </w:tc>
      </w:tr>
      <w:tr w:rsidR="00940182" w:rsidRPr="004761E0" w:rsidTr="00EC58E0">
        <w:trPr>
          <w:trHeight w:val="663"/>
        </w:trPr>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7076A7">
            <w:pPr>
              <w:pStyle w:val="a5"/>
              <w:numPr>
                <w:ilvl w:val="0"/>
                <w:numId w:val="265"/>
              </w:numPr>
              <w:tabs>
                <w:tab w:val="left" w:pos="205"/>
              </w:tabs>
              <w:ind w:left="34" w:firstLine="0"/>
              <w:contextualSpacing w:val="0"/>
              <w:jc w:val="left"/>
              <w:rPr>
                <w:rFonts w:eastAsia="Times New Roman"/>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ТПИР</w:t>
            </w:r>
          </w:p>
        </w:tc>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МО</w:t>
            </w:r>
          </w:p>
        </w:tc>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 xml:space="preserve">ПС № 257 </w:t>
            </w:r>
            <w:r w:rsidR="00940182" w:rsidRPr="004761E0">
              <w:rPr>
                <w:rFonts w:eastAsia="Times New Roman"/>
                <w:color w:val="000000"/>
                <w:sz w:val="16"/>
                <w:szCs w:val="16"/>
                <w:lang w:eastAsia="ru-RU"/>
              </w:rPr>
              <w:t>«</w:t>
            </w:r>
            <w:r w:rsidRPr="004761E0">
              <w:rPr>
                <w:rFonts w:eastAsia="Times New Roman"/>
                <w:color w:val="000000"/>
                <w:sz w:val="16"/>
                <w:szCs w:val="16"/>
                <w:lang w:eastAsia="ru-RU"/>
              </w:rPr>
              <w:t>Хвойная</w:t>
            </w:r>
            <w:r w:rsidR="00940182" w:rsidRPr="004761E0">
              <w:rPr>
                <w:rFonts w:eastAsia="Times New Roman"/>
                <w:color w:val="000000"/>
                <w:sz w:val="16"/>
                <w:szCs w:val="16"/>
                <w:lang w:eastAsia="ru-RU"/>
              </w:rPr>
              <w:t>»</w:t>
            </w:r>
          </w:p>
        </w:tc>
        <w:tc>
          <w:tcPr>
            <w:tcW w:w="3977"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left"/>
              <w:rPr>
                <w:rFonts w:eastAsia="Times New Roman"/>
                <w:color w:val="000000"/>
                <w:sz w:val="16"/>
                <w:szCs w:val="16"/>
                <w:lang w:eastAsia="ru-RU"/>
              </w:rPr>
            </w:pPr>
            <w:r w:rsidRPr="004761E0">
              <w:rPr>
                <w:rFonts w:eastAsia="Times New Roman"/>
                <w:color w:val="000000"/>
                <w:sz w:val="16"/>
                <w:szCs w:val="16"/>
                <w:lang w:eastAsia="ru-RU"/>
              </w:rPr>
              <w:t>Увеличение пропускной способности, замена  морально устаревшего оборудования с целью повышения надежности электроснабжения, улучшения качества поставляемой электроэнергии.</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500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2013</w:t>
            </w:r>
          </w:p>
        </w:tc>
        <w:tc>
          <w:tcPr>
            <w:tcW w:w="684" w:type="dxa"/>
            <w:tcBorders>
              <w:top w:val="single" w:sz="4" w:space="0" w:color="auto"/>
              <w:left w:val="single" w:sz="4" w:space="0" w:color="auto"/>
              <w:bottom w:val="single" w:sz="4" w:space="0" w:color="auto"/>
              <w:right w:val="single" w:sz="4" w:space="0" w:color="auto"/>
            </w:tcBorders>
            <w:shd w:val="clear" w:color="auto" w:fill="auto"/>
            <w:noWrap/>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2015</w:t>
            </w:r>
          </w:p>
        </w:tc>
        <w:tc>
          <w:tcPr>
            <w:tcW w:w="1300" w:type="dxa"/>
            <w:tcBorders>
              <w:top w:val="single" w:sz="4" w:space="0" w:color="auto"/>
              <w:left w:val="single" w:sz="4" w:space="0" w:color="auto"/>
              <w:bottom w:val="single" w:sz="4" w:space="0" w:color="auto"/>
              <w:right w:val="single" w:sz="4" w:space="0" w:color="auto"/>
            </w:tcBorders>
            <w:shd w:val="clear" w:color="auto" w:fill="auto"/>
            <w:noWrap/>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517</w:t>
            </w:r>
          </w:p>
        </w:tc>
        <w:tc>
          <w:tcPr>
            <w:tcW w:w="1954" w:type="dxa"/>
            <w:tcBorders>
              <w:top w:val="single" w:sz="4" w:space="0" w:color="auto"/>
              <w:left w:val="single" w:sz="4" w:space="0" w:color="auto"/>
              <w:bottom w:val="single" w:sz="4" w:space="0" w:color="auto"/>
              <w:right w:val="single" w:sz="4" w:space="0" w:color="auto"/>
            </w:tcBorders>
            <w:shd w:val="clear" w:color="auto" w:fill="auto"/>
            <w:noWrap/>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2 АТДЦТН-250000/220/110У1</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0</w:t>
            </w:r>
          </w:p>
        </w:tc>
        <w:tc>
          <w:tcPr>
            <w:tcW w:w="1130" w:type="dxa"/>
            <w:tcBorders>
              <w:top w:val="single" w:sz="4" w:space="0" w:color="auto"/>
              <w:left w:val="single" w:sz="4" w:space="0" w:color="auto"/>
              <w:bottom w:val="single" w:sz="4" w:space="0" w:color="auto"/>
              <w:right w:val="single" w:sz="4" w:space="0" w:color="auto"/>
            </w:tcBorders>
          </w:tcPr>
          <w:p w:rsidR="00A66ECA" w:rsidRPr="004761E0" w:rsidRDefault="00A66ECA" w:rsidP="00940182">
            <w:pPr>
              <w:ind w:firstLine="0"/>
              <w:jc w:val="right"/>
              <w:rPr>
                <w:rFonts w:eastAsia="Times New Roman"/>
                <w:color w:val="000000"/>
                <w:sz w:val="16"/>
                <w:szCs w:val="16"/>
                <w:lang w:eastAsia="ru-RU"/>
              </w:rPr>
            </w:pPr>
            <w:r w:rsidRPr="004761E0">
              <w:rPr>
                <w:rFonts w:eastAsia="Times New Roman"/>
                <w:color w:val="000000"/>
                <w:sz w:val="16"/>
                <w:szCs w:val="16"/>
                <w:lang w:eastAsia="ru-RU"/>
              </w:rPr>
              <w:t>0</w:t>
            </w:r>
          </w:p>
        </w:tc>
      </w:tr>
    </w:tbl>
    <w:p w:rsidR="00FD1FFE" w:rsidRPr="004761E0" w:rsidRDefault="00FD1FFE" w:rsidP="007076A7">
      <w:pPr>
        <w:pStyle w:val="11"/>
        <w:numPr>
          <w:ilvl w:val="0"/>
          <w:numId w:val="321"/>
        </w:numPr>
        <w:ind w:left="567" w:hanging="567"/>
        <w:rPr>
          <w:rFonts w:ascii="Times New Roman" w:hAnsi="Times New Roman"/>
          <w:sz w:val="26"/>
          <w:szCs w:val="26"/>
          <w:lang w:eastAsia="ru-RU"/>
        </w:rPr>
        <w:sectPr w:rsidR="00FD1FFE" w:rsidRPr="004761E0" w:rsidSect="0050069D">
          <w:pgSz w:w="16838" w:h="11906" w:orient="landscape"/>
          <w:pgMar w:top="1701" w:right="1134" w:bottom="851" w:left="1134" w:header="709" w:footer="709" w:gutter="0"/>
          <w:cols w:space="708"/>
          <w:docGrid w:linePitch="360"/>
        </w:sectPr>
      </w:pPr>
      <w:bookmarkStart w:id="173" w:name="_Toc380576965"/>
    </w:p>
    <w:p w:rsidR="00BF2AC5" w:rsidRPr="004761E0" w:rsidRDefault="00BF2AC5" w:rsidP="00BF2AC5">
      <w:pPr>
        <w:pStyle w:val="a8"/>
        <w:numPr>
          <w:ilvl w:val="1"/>
          <w:numId w:val="2"/>
        </w:numPr>
        <w:tabs>
          <w:tab w:val="left" w:pos="1134"/>
        </w:tabs>
        <w:ind w:hanging="578"/>
        <w:jc w:val="both"/>
        <w:rPr>
          <w:rFonts w:ascii="Times New Roman" w:hAnsi="Times New Roman"/>
          <w:b/>
          <w:sz w:val="26"/>
          <w:szCs w:val="26"/>
          <w:lang w:eastAsia="ru-RU"/>
        </w:rPr>
      </w:pPr>
      <w:bookmarkStart w:id="174" w:name="_Toc385339878"/>
      <w:r w:rsidRPr="004761E0">
        <w:rPr>
          <w:rFonts w:ascii="Times New Roman" w:hAnsi="Times New Roman"/>
          <w:b/>
          <w:sz w:val="26"/>
          <w:szCs w:val="26"/>
          <w:lang w:eastAsia="ru-RU"/>
        </w:rPr>
        <w:lastRenderedPageBreak/>
        <w:t>Бухгалтерская отчетность за 2013 г</w:t>
      </w:r>
      <w:r>
        <w:rPr>
          <w:rFonts w:ascii="Times New Roman" w:hAnsi="Times New Roman"/>
          <w:b/>
          <w:sz w:val="26"/>
          <w:szCs w:val="26"/>
          <w:lang w:eastAsia="ru-RU"/>
        </w:rPr>
        <w:t>од</w:t>
      </w:r>
      <w:r w:rsidRPr="004761E0">
        <w:rPr>
          <w:rFonts w:ascii="Times New Roman" w:hAnsi="Times New Roman"/>
          <w:b/>
          <w:sz w:val="26"/>
          <w:szCs w:val="26"/>
          <w:lang w:eastAsia="ru-RU"/>
        </w:rPr>
        <w:t xml:space="preserve">, подготовленная в соответствии с </w:t>
      </w:r>
      <w:r w:rsidR="00EF47AF">
        <w:rPr>
          <w:rFonts w:ascii="Times New Roman" w:hAnsi="Times New Roman"/>
          <w:b/>
          <w:sz w:val="26"/>
          <w:szCs w:val="26"/>
          <w:lang w:eastAsia="ru-RU"/>
        </w:rPr>
        <w:t>РСБУ</w:t>
      </w:r>
      <w:bookmarkEnd w:id="174"/>
    </w:p>
    <w:p w:rsidR="00BF2AC5" w:rsidRDefault="00BF2AC5">
      <w:pPr>
        <w:ind w:firstLine="0"/>
        <w:jc w:val="left"/>
        <w:rPr>
          <w:rFonts w:eastAsia="Times New Roman"/>
          <w:b/>
          <w:bCs/>
          <w:kern w:val="32"/>
          <w:sz w:val="26"/>
          <w:szCs w:val="26"/>
          <w:lang w:eastAsia="ru-RU"/>
        </w:rPr>
      </w:pPr>
      <w:r>
        <w:rPr>
          <w:sz w:val="26"/>
          <w:szCs w:val="26"/>
          <w:lang w:eastAsia="ru-RU"/>
        </w:rPr>
        <w:br w:type="page"/>
      </w:r>
    </w:p>
    <w:p w:rsidR="00BF2AC5" w:rsidRPr="00CD5334" w:rsidRDefault="00BF2AC5" w:rsidP="00CD5334">
      <w:pPr>
        <w:pStyle w:val="a8"/>
        <w:numPr>
          <w:ilvl w:val="1"/>
          <w:numId w:val="2"/>
        </w:numPr>
        <w:tabs>
          <w:tab w:val="left" w:pos="1134"/>
        </w:tabs>
        <w:ind w:firstLine="0"/>
        <w:jc w:val="left"/>
        <w:rPr>
          <w:b/>
          <w:bCs/>
          <w:kern w:val="32"/>
          <w:sz w:val="26"/>
          <w:szCs w:val="26"/>
          <w:lang w:eastAsia="ru-RU"/>
        </w:rPr>
      </w:pPr>
      <w:bookmarkStart w:id="175" w:name="_Toc385339879"/>
      <w:r w:rsidRPr="00CD5334">
        <w:rPr>
          <w:rFonts w:ascii="Times New Roman" w:hAnsi="Times New Roman"/>
          <w:b/>
          <w:sz w:val="26"/>
          <w:szCs w:val="26"/>
          <w:lang w:eastAsia="ru-RU"/>
        </w:rPr>
        <w:lastRenderedPageBreak/>
        <w:t>Аудиторское заключение</w:t>
      </w:r>
      <w:bookmarkEnd w:id="175"/>
      <w:r w:rsidRPr="00CD5334">
        <w:rPr>
          <w:sz w:val="26"/>
          <w:szCs w:val="26"/>
          <w:lang w:eastAsia="ru-RU"/>
        </w:rPr>
        <w:br w:type="page"/>
      </w:r>
    </w:p>
    <w:p w:rsidR="008505CC" w:rsidRPr="004761E0" w:rsidRDefault="00E34ACB" w:rsidP="007076A7">
      <w:pPr>
        <w:pStyle w:val="11"/>
        <w:numPr>
          <w:ilvl w:val="0"/>
          <w:numId w:val="321"/>
        </w:numPr>
        <w:ind w:left="567" w:hanging="567"/>
        <w:rPr>
          <w:rFonts w:ascii="Times New Roman" w:hAnsi="Times New Roman"/>
          <w:sz w:val="26"/>
          <w:szCs w:val="26"/>
          <w:lang w:eastAsia="ru-RU"/>
        </w:rPr>
      </w:pPr>
      <w:bookmarkStart w:id="176" w:name="_Toc385339880"/>
      <w:r w:rsidRPr="004761E0">
        <w:rPr>
          <w:rFonts w:ascii="Times New Roman" w:hAnsi="Times New Roman"/>
          <w:sz w:val="26"/>
          <w:szCs w:val="26"/>
          <w:lang w:eastAsia="ru-RU"/>
        </w:rPr>
        <w:lastRenderedPageBreak/>
        <w:t>Контактная информация</w:t>
      </w:r>
      <w:bookmarkEnd w:id="173"/>
      <w:bookmarkEnd w:id="176"/>
    </w:p>
    <w:p w:rsidR="007674C6" w:rsidRPr="004761E0" w:rsidRDefault="00E34ACB" w:rsidP="007076A7">
      <w:pPr>
        <w:pStyle w:val="a8"/>
        <w:numPr>
          <w:ilvl w:val="1"/>
          <w:numId w:val="321"/>
        </w:numPr>
        <w:tabs>
          <w:tab w:val="left" w:pos="1134"/>
        </w:tabs>
        <w:ind w:left="1134" w:hanging="567"/>
        <w:jc w:val="both"/>
        <w:rPr>
          <w:rFonts w:ascii="Times New Roman" w:hAnsi="Times New Roman"/>
          <w:b/>
          <w:sz w:val="26"/>
          <w:szCs w:val="26"/>
          <w:lang w:eastAsia="ru-RU"/>
        </w:rPr>
      </w:pPr>
      <w:bookmarkStart w:id="177" w:name="_Toc380576966"/>
      <w:bookmarkStart w:id="178" w:name="_Toc385339881"/>
      <w:r w:rsidRPr="004761E0">
        <w:rPr>
          <w:rFonts w:ascii="Times New Roman" w:hAnsi="Times New Roman"/>
          <w:b/>
          <w:sz w:val="26"/>
          <w:szCs w:val="26"/>
          <w:lang w:eastAsia="ru-RU"/>
        </w:rPr>
        <w:t>Общая информация</w:t>
      </w:r>
      <w:bookmarkEnd w:id="177"/>
      <w:bookmarkEnd w:id="178"/>
    </w:p>
    <w:p w:rsidR="00FD1FFE" w:rsidRPr="004761E0" w:rsidRDefault="00FD1FFE" w:rsidP="00FD1FFE">
      <w:pPr>
        <w:spacing w:before="60"/>
        <w:ind w:firstLine="0"/>
        <w:rPr>
          <w:sz w:val="26"/>
          <w:szCs w:val="26"/>
        </w:rPr>
      </w:pPr>
      <w:r w:rsidRPr="004761E0">
        <w:rPr>
          <w:sz w:val="26"/>
          <w:szCs w:val="26"/>
        </w:rPr>
        <w:t xml:space="preserve">Юридический адрес (совпадает с фактическим): </w:t>
      </w:r>
    </w:p>
    <w:p w:rsidR="00FD1FFE" w:rsidRPr="004761E0" w:rsidRDefault="00FD1FFE" w:rsidP="00FD1FFE">
      <w:pPr>
        <w:spacing w:before="60"/>
        <w:ind w:firstLine="0"/>
        <w:rPr>
          <w:sz w:val="26"/>
          <w:szCs w:val="26"/>
        </w:rPr>
      </w:pPr>
      <w:r w:rsidRPr="004761E0">
        <w:rPr>
          <w:sz w:val="26"/>
          <w:szCs w:val="26"/>
        </w:rPr>
        <w:t>115114, г. Москва, 2-й Павелецкий пр-д, д. 3, стр. 2</w:t>
      </w:r>
    </w:p>
    <w:p w:rsidR="00FD1FFE" w:rsidRPr="004761E0" w:rsidRDefault="00FD1FFE" w:rsidP="00FD1FFE">
      <w:pPr>
        <w:spacing w:before="60"/>
        <w:ind w:firstLine="0"/>
        <w:rPr>
          <w:sz w:val="26"/>
          <w:szCs w:val="26"/>
        </w:rPr>
      </w:pPr>
    </w:p>
    <w:p w:rsidR="00FD1FFE" w:rsidRPr="00CA38EF" w:rsidRDefault="00FD1FFE" w:rsidP="00CA38EF">
      <w:pPr>
        <w:ind w:firstLine="0"/>
        <w:rPr>
          <w:sz w:val="26"/>
          <w:szCs w:val="26"/>
        </w:rPr>
      </w:pPr>
      <w:r w:rsidRPr="00CA38EF">
        <w:rPr>
          <w:sz w:val="26"/>
          <w:szCs w:val="26"/>
        </w:rPr>
        <w:t>Единый контактный центр «Светлая линия»: 8 (800) 700-40-70</w:t>
      </w:r>
    </w:p>
    <w:p w:rsidR="00FD1FFE" w:rsidRPr="004761E0" w:rsidRDefault="00FD1FFE" w:rsidP="00FD1FFE">
      <w:pPr>
        <w:spacing w:before="60"/>
        <w:ind w:firstLine="0"/>
        <w:rPr>
          <w:sz w:val="26"/>
          <w:szCs w:val="26"/>
        </w:rPr>
      </w:pPr>
      <w:r w:rsidRPr="004761E0">
        <w:rPr>
          <w:sz w:val="26"/>
          <w:szCs w:val="26"/>
        </w:rPr>
        <w:t>Справочная: +7 (495) 980-12-88</w:t>
      </w:r>
    </w:p>
    <w:p w:rsidR="00FD1FFE" w:rsidRPr="004761E0" w:rsidRDefault="00FD1FFE" w:rsidP="00FD1FFE">
      <w:pPr>
        <w:spacing w:before="60"/>
        <w:ind w:firstLine="0"/>
        <w:rPr>
          <w:sz w:val="26"/>
          <w:szCs w:val="26"/>
        </w:rPr>
      </w:pPr>
      <w:r w:rsidRPr="004761E0">
        <w:rPr>
          <w:sz w:val="26"/>
          <w:szCs w:val="26"/>
        </w:rPr>
        <w:t>Справки по письмам: +7 (495) 982-35-74</w:t>
      </w:r>
    </w:p>
    <w:p w:rsidR="00FD1FFE" w:rsidRPr="004761E0" w:rsidRDefault="00FD1FFE" w:rsidP="00FD1FFE">
      <w:pPr>
        <w:spacing w:before="60"/>
        <w:ind w:firstLine="0"/>
        <w:rPr>
          <w:sz w:val="26"/>
          <w:szCs w:val="26"/>
        </w:rPr>
      </w:pPr>
      <w:r w:rsidRPr="004761E0">
        <w:rPr>
          <w:sz w:val="26"/>
          <w:szCs w:val="26"/>
        </w:rPr>
        <w:t>Отдел ценных бумаг: +7 (495) 984-57-71, +7 (495) 984-57-73</w:t>
      </w:r>
    </w:p>
    <w:p w:rsidR="00FD1FFE" w:rsidRPr="004761E0" w:rsidRDefault="00FD1FFE" w:rsidP="00CA38EF">
      <w:pPr>
        <w:ind w:firstLine="0"/>
      </w:pPr>
      <w:r w:rsidRPr="00CA38EF">
        <w:rPr>
          <w:sz w:val="26"/>
          <w:szCs w:val="26"/>
        </w:rPr>
        <w:t xml:space="preserve">Отдел </w:t>
      </w:r>
      <w:r w:rsidRPr="00CA38EF">
        <w:rPr>
          <w:sz w:val="26"/>
          <w:szCs w:val="26"/>
          <w:lang w:val="en-US"/>
        </w:rPr>
        <w:t>IR</w:t>
      </w:r>
      <w:r w:rsidRPr="00CA38EF">
        <w:rPr>
          <w:sz w:val="26"/>
          <w:szCs w:val="26"/>
        </w:rPr>
        <w:t>: +7 (495) 984-57-72, +7 (495) 984-57-74,</w:t>
      </w:r>
      <w:r w:rsidRPr="004761E0">
        <w:t xml:space="preserve"> </w:t>
      </w:r>
      <w:hyperlink r:id="rId224" w:history="1">
        <w:r w:rsidRPr="004761E0">
          <w:rPr>
            <w:rStyle w:val="a4"/>
            <w:sz w:val="26"/>
            <w:szCs w:val="26"/>
            <w:lang w:val="en-US"/>
          </w:rPr>
          <w:t>ir</w:t>
        </w:r>
        <w:r w:rsidRPr="004761E0">
          <w:rPr>
            <w:rStyle w:val="a4"/>
            <w:sz w:val="26"/>
            <w:szCs w:val="26"/>
          </w:rPr>
          <w:t>@</w:t>
        </w:r>
        <w:r w:rsidRPr="004761E0">
          <w:rPr>
            <w:rStyle w:val="a4"/>
            <w:sz w:val="26"/>
            <w:szCs w:val="26"/>
            <w:lang w:val="en-US"/>
          </w:rPr>
          <w:t>moesk</w:t>
        </w:r>
        <w:r w:rsidRPr="004761E0">
          <w:rPr>
            <w:rStyle w:val="a4"/>
            <w:sz w:val="26"/>
            <w:szCs w:val="26"/>
          </w:rPr>
          <w:t>.</w:t>
        </w:r>
        <w:r w:rsidRPr="004761E0">
          <w:rPr>
            <w:rStyle w:val="a4"/>
            <w:sz w:val="26"/>
            <w:szCs w:val="26"/>
            <w:lang w:val="en-US"/>
          </w:rPr>
          <w:t>ru</w:t>
        </w:r>
      </w:hyperlink>
      <w:r w:rsidRPr="004761E0">
        <w:t xml:space="preserve"> </w:t>
      </w:r>
    </w:p>
    <w:p w:rsidR="00FD1FFE" w:rsidRPr="004761E0" w:rsidRDefault="00FD1FFE" w:rsidP="00133659">
      <w:pPr>
        <w:ind w:firstLine="0"/>
      </w:pPr>
      <w:r w:rsidRPr="00133659">
        <w:rPr>
          <w:sz w:val="26"/>
          <w:szCs w:val="26"/>
        </w:rPr>
        <w:t>Департамент по связям с общественностью: +7 (495) 984-57-43,</w:t>
      </w:r>
      <w:r w:rsidRPr="004761E0">
        <w:t xml:space="preserve"> </w:t>
      </w:r>
      <w:hyperlink r:id="rId225" w:history="1">
        <w:r w:rsidRPr="004761E0">
          <w:rPr>
            <w:rStyle w:val="a4"/>
            <w:sz w:val="26"/>
            <w:szCs w:val="26"/>
            <w:lang w:val="en-US"/>
          </w:rPr>
          <w:t>smi</w:t>
        </w:r>
        <w:r w:rsidRPr="004761E0">
          <w:rPr>
            <w:rStyle w:val="a4"/>
            <w:sz w:val="26"/>
            <w:szCs w:val="26"/>
          </w:rPr>
          <w:t>@</w:t>
        </w:r>
        <w:r w:rsidRPr="004761E0">
          <w:rPr>
            <w:rStyle w:val="a4"/>
            <w:sz w:val="26"/>
            <w:szCs w:val="26"/>
            <w:lang w:val="en-US"/>
          </w:rPr>
          <w:t>moesk</w:t>
        </w:r>
        <w:r w:rsidRPr="004761E0">
          <w:rPr>
            <w:rStyle w:val="a4"/>
            <w:sz w:val="26"/>
            <w:szCs w:val="26"/>
          </w:rPr>
          <w:t>.</w:t>
        </w:r>
        <w:r w:rsidRPr="004761E0">
          <w:rPr>
            <w:rStyle w:val="a4"/>
            <w:sz w:val="26"/>
            <w:szCs w:val="26"/>
            <w:lang w:val="en-US"/>
          </w:rPr>
          <w:t>ru</w:t>
        </w:r>
      </w:hyperlink>
      <w:r w:rsidRPr="004761E0">
        <w:t xml:space="preserve"> </w:t>
      </w:r>
    </w:p>
    <w:p w:rsidR="00FD1FFE" w:rsidRPr="004761E0" w:rsidRDefault="00FD1FFE" w:rsidP="00FD1FFE">
      <w:pPr>
        <w:spacing w:before="60"/>
        <w:ind w:firstLine="0"/>
        <w:jc w:val="left"/>
        <w:rPr>
          <w:sz w:val="26"/>
          <w:szCs w:val="26"/>
        </w:rPr>
      </w:pPr>
    </w:p>
    <w:p w:rsidR="00FD1FFE" w:rsidRPr="004761E0" w:rsidRDefault="00FD1FFE" w:rsidP="00FD1FFE">
      <w:pPr>
        <w:spacing w:before="60"/>
        <w:ind w:firstLine="0"/>
        <w:jc w:val="left"/>
        <w:rPr>
          <w:sz w:val="26"/>
          <w:szCs w:val="26"/>
        </w:rPr>
      </w:pPr>
      <w:r w:rsidRPr="004761E0">
        <w:rPr>
          <w:sz w:val="26"/>
          <w:szCs w:val="26"/>
        </w:rPr>
        <w:t>Время работы сотрудников исполнительного аппарата:</w:t>
      </w:r>
    </w:p>
    <w:p w:rsidR="00FD1FFE" w:rsidRPr="004761E0" w:rsidRDefault="00FD1FFE" w:rsidP="00FD1FFE">
      <w:pPr>
        <w:spacing w:before="60"/>
        <w:ind w:firstLine="0"/>
        <w:rPr>
          <w:sz w:val="26"/>
          <w:szCs w:val="26"/>
        </w:rPr>
      </w:pPr>
      <w:r w:rsidRPr="004761E0">
        <w:rPr>
          <w:sz w:val="26"/>
          <w:szCs w:val="26"/>
        </w:rPr>
        <w:t>Понедельник – четверг с 8.30 до 17.30</w:t>
      </w:r>
    </w:p>
    <w:p w:rsidR="00FD1FFE" w:rsidRPr="004761E0" w:rsidRDefault="00FD1FFE" w:rsidP="00FD1FFE">
      <w:pPr>
        <w:spacing w:before="60"/>
        <w:ind w:firstLine="0"/>
        <w:rPr>
          <w:sz w:val="26"/>
          <w:szCs w:val="26"/>
        </w:rPr>
      </w:pPr>
      <w:r w:rsidRPr="004761E0">
        <w:rPr>
          <w:sz w:val="26"/>
          <w:szCs w:val="26"/>
        </w:rPr>
        <w:t>Пятница с 8.30 до 16.40</w:t>
      </w:r>
    </w:p>
    <w:p w:rsidR="00FD1FFE" w:rsidRPr="004761E0" w:rsidRDefault="001D0548" w:rsidP="00FD1FFE">
      <w:pPr>
        <w:spacing w:before="60"/>
        <w:ind w:firstLine="0"/>
        <w:rPr>
          <w:sz w:val="26"/>
          <w:szCs w:val="26"/>
        </w:rPr>
      </w:pPr>
      <w:r w:rsidRPr="004761E0">
        <w:rPr>
          <w:sz w:val="26"/>
          <w:szCs w:val="26"/>
        </w:rPr>
        <w:t>Перерыв на о</w:t>
      </w:r>
      <w:r w:rsidR="00FD1FFE" w:rsidRPr="004761E0">
        <w:rPr>
          <w:sz w:val="26"/>
          <w:szCs w:val="26"/>
        </w:rPr>
        <w:t>бед с 12.00 до 12.50</w:t>
      </w:r>
    </w:p>
    <w:p w:rsidR="00FD1FFE" w:rsidRPr="004761E0" w:rsidRDefault="00FD1FFE" w:rsidP="00FD1FFE">
      <w:pPr>
        <w:spacing w:before="60"/>
        <w:ind w:firstLine="0"/>
        <w:rPr>
          <w:sz w:val="26"/>
          <w:szCs w:val="26"/>
        </w:rPr>
      </w:pPr>
    </w:p>
    <w:p w:rsidR="00FD1FFE" w:rsidRPr="00CA38EF" w:rsidRDefault="00FD1FFE" w:rsidP="00CA38EF">
      <w:pPr>
        <w:ind w:firstLine="0"/>
        <w:rPr>
          <w:sz w:val="26"/>
          <w:szCs w:val="26"/>
        </w:rPr>
      </w:pPr>
      <w:r w:rsidRPr="00CA38EF">
        <w:rPr>
          <w:sz w:val="26"/>
          <w:szCs w:val="26"/>
        </w:rPr>
        <w:t xml:space="preserve">Сайт: </w:t>
      </w:r>
      <w:hyperlink r:id="rId226" w:history="1">
        <w:r w:rsidRPr="00CA38EF">
          <w:rPr>
            <w:rStyle w:val="a4"/>
            <w:sz w:val="26"/>
            <w:szCs w:val="26"/>
            <w:lang w:val="en-US"/>
          </w:rPr>
          <w:t>www</w:t>
        </w:r>
        <w:r w:rsidRPr="00CA38EF">
          <w:rPr>
            <w:rStyle w:val="a4"/>
            <w:sz w:val="26"/>
            <w:szCs w:val="26"/>
          </w:rPr>
          <w:t>.</w:t>
        </w:r>
        <w:r w:rsidRPr="00CA38EF">
          <w:rPr>
            <w:rStyle w:val="a4"/>
            <w:sz w:val="26"/>
            <w:szCs w:val="26"/>
            <w:lang w:val="en-US"/>
          </w:rPr>
          <w:t>moesk</w:t>
        </w:r>
        <w:r w:rsidRPr="00CA38EF">
          <w:rPr>
            <w:rStyle w:val="a4"/>
            <w:sz w:val="26"/>
            <w:szCs w:val="26"/>
          </w:rPr>
          <w:t>.</w:t>
        </w:r>
        <w:r w:rsidRPr="00CA38EF">
          <w:rPr>
            <w:rStyle w:val="a4"/>
            <w:sz w:val="26"/>
            <w:szCs w:val="26"/>
            <w:lang w:val="en-US"/>
          </w:rPr>
          <w:t>ru</w:t>
        </w:r>
      </w:hyperlink>
    </w:p>
    <w:p w:rsidR="0024237C" w:rsidRPr="004761E0" w:rsidRDefault="0024237C" w:rsidP="00FD1FFE">
      <w:pPr>
        <w:spacing w:before="60"/>
        <w:ind w:firstLine="0"/>
        <w:rPr>
          <w:sz w:val="26"/>
          <w:szCs w:val="26"/>
        </w:rPr>
      </w:pPr>
    </w:p>
    <w:p w:rsidR="0024237C" w:rsidRPr="004761E0" w:rsidRDefault="0024237C" w:rsidP="0024237C">
      <w:pPr>
        <w:spacing w:before="60"/>
        <w:ind w:firstLine="0"/>
        <w:rPr>
          <w:sz w:val="26"/>
          <w:szCs w:val="26"/>
        </w:rPr>
      </w:pPr>
      <w:r w:rsidRPr="004761E0">
        <w:rPr>
          <w:sz w:val="26"/>
          <w:szCs w:val="26"/>
        </w:rPr>
        <w:t>Центральный клиентский офис:</w:t>
      </w:r>
    </w:p>
    <w:p w:rsidR="0024237C" w:rsidRPr="004761E0" w:rsidRDefault="0024237C" w:rsidP="0024237C">
      <w:pPr>
        <w:spacing w:before="60"/>
        <w:ind w:firstLine="0"/>
        <w:rPr>
          <w:sz w:val="26"/>
          <w:szCs w:val="26"/>
        </w:rPr>
      </w:pPr>
      <w:r w:rsidRPr="004761E0">
        <w:rPr>
          <w:sz w:val="26"/>
          <w:szCs w:val="26"/>
        </w:rPr>
        <w:t>109004, г. Москва, ул. А. Солженицына, д. 7</w:t>
      </w:r>
    </w:p>
    <w:p w:rsidR="0024237C" w:rsidRPr="004761E0" w:rsidRDefault="0024237C" w:rsidP="0024237C">
      <w:pPr>
        <w:spacing w:before="60"/>
        <w:ind w:firstLine="0"/>
        <w:rPr>
          <w:sz w:val="26"/>
          <w:szCs w:val="26"/>
        </w:rPr>
      </w:pPr>
      <w:r w:rsidRPr="004761E0">
        <w:rPr>
          <w:sz w:val="26"/>
          <w:szCs w:val="26"/>
        </w:rPr>
        <w:t>Время работы:</w:t>
      </w:r>
    </w:p>
    <w:p w:rsidR="0024237C" w:rsidRPr="004761E0" w:rsidRDefault="0024237C" w:rsidP="0024237C">
      <w:pPr>
        <w:spacing w:before="60"/>
        <w:ind w:firstLine="0"/>
        <w:rPr>
          <w:sz w:val="26"/>
          <w:szCs w:val="26"/>
        </w:rPr>
      </w:pPr>
      <w:r w:rsidRPr="004761E0">
        <w:rPr>
          <w:sz w:val="26"/>
          <w:szCs w:val="26"/>
        </w:rPr>
        <w:t>Понедельник – суббота с 09.00 до 20.00 (без перерыва на обед)</w:t>
      </w:r>
    </w:p>
    <w:p w:rsidR="0024237C" w:rsidRPr="004761E0" w:rsidRDefault="0024237C" w:rsidP="0024237C">
      <w:pPr>
        <w:spacing w:before="60"/>
        <w:ind w:firstLine="0"/>
        <w:rPr>
          <w:sz w:val="26"/>
          <w:szCs w:val="26"/>
        </w:rPr>
      </w:pPr>
      <w:r w:rsidRPr="004761E0">
        <w:rPr>
          <w:sz w:val="26"/>
          <w:szCs w:val="26"/>
        </w:rPr>
        <w:t>Адреса и время работы иных центров обсл</w:t>
      </w:r>
      <w:r w:rsidR="004546A6">
        <w:rPr>
          <w:sz w:val="26"/>
          <w:szCs w:val="26"/>
        </w:rPr>
        <w:t>уживания клиентов размещены на п</w:t>
      </w:r>
      <w:r w:rsidRPr="004761E0">
        <w:rPr>
          <w:sz w:val="26"/>
          <w:szCs w:val="26"/>
        </w:rPr>
        <w:t xml:space="preserve">ортале по технологическому присоединению </w:t>
      </w:r>
      <w:hyperlink r:id="rId227" w:history="1">
        <w:r w:rsidRPr="004761E0">
          <w:rPr>
            <w:rStyle w:val="a4"/>
            <w:sz w:val="26"/>
            <w:szCs w:val="26"/>
          </w:rPr>
          <w:t>http://utp.moesk.ru/</w:t>
        </w:r>
      </w:hyperlink>
      <w:r w:rsidRPr="004761E0">
        <w:rPr>
          <w:sz w:val="26"/>
          <w:szCs w:val="26"/>
        </w:rPr>
        <w:t xml:space="preserve"> </w:t>
      </w:r>
    </w:p>
    <w:p w:rsidR="00CA38EF" w:rsidRDefault="00CA38EF">
      <w:pPr>
        <w:ind w:firstLine="0"/>
        <w:jc w:val="left"/>
        <w:rPr>
          <w:lang w:eastAsia="ru-RU"/>
        </w:rPr>
      </w:pPr>
      <w:r>
        <w:rPr>
          <w:lang w:eastAsia="ru-RU"/>
        </w:rPr>
        <w:br w:type="page"/>
      </w:r>
    </w:p>
    <w:p w:rsidR="007674C6" w:rsidRPr="004761E0" w:rsidRDefault="00E34ACB" w:rsidP="007076A7">
      <w:pPr>
        <w:pStyle w:val="a8"/>
        <w:numPr>
          <w:ilvl w:val="1"/>
          <w:numId w:val="321"/>
        </w:numPr>
        <w:tabs>
          <w:tab w:val="left" w:pos="1134"/>
        </w:tabs>
        <w:ind w:left="1134" w:hanging="567"/>
        <w:jc w:val="both"/>
        <w:rPr>
          <w:rFonts w:ascii="Times New Roman" w:hAnsi="Times New Roman"/>
          <w:b/>
          <w:sz w:val="26"/>
          <w:szCs w:val="26"/>
          <w:lang w:eastAsia="ru-RU"/>
        </w:rPr>
      </w:pPr>
      <w:bookmarkStart w:id="179" w:name="_Toc380576967"/>
      <w:bookmarkStart w:id="180" w:name="_Toc385339882"/>
      <w:r w:rsidRPr="004761E0">
        <w:rPr>
          <w:rFonts w:ascii="Times New Roman" w:hAnsi="Times New Roman"/>
          <w:b/>
          <w:sz w:val="26"/>
          <w:szCs w:val="26"/>
          <w:lang w:eastAsia="ru-RU"/>
        </w:rPr>
        <w:lastRenderedPageBreak/>
        <w:t>Информация об аудитор</w:t>
      </w:r>
      <w:bookmarkEnd w:id="179"/>
      <w:r w:rsidR="00454CE1" w:rsidRPr="004761E0">
        <w:rPr>
          <w:rFonts w:ascii="Times New Roman" w:hAnsi="Times New Roman"/>
          <w:b/>
          <w:sz w:val="26"/>
          <w:szCs w:val="26"/>
          <w:lang w:eastAsia="ru-RU"/>
        </w:rPr>
        <w:t>е</w:t>
      </w:r>
      <w:bookmarkEnd w:id="180"/>
    </w:p>
    <w:tbl>
      <w:tblPr>
        <w:tblStyle w:val="16"/>
        <w:tblW w:w="9589" w:type="dxa"/>
        <w:tblLook w:val="04A0"/>
      </w:tblPr>
      <w:tblGrid>
        <w:gridCol w:w="3646"/>
        <w:gridCol w:w="5943"/>
      </w:tblGrid>
      <w:tr w:rsidR="00FD1FFE" w:rsidRPr="004761E0" w:rsidTr="00FD1FFE">
        <w:trPr>
          <w:trHeight w:val="264"/>
        </w:trPr>
        <w:tc>
          <w:tcPr>
            <w:tcW w:w="3646" w:type="dxa"/>
            <w:hideMark/>
          </w:tcPr>
          <w:p w:rsidR="00FD1FFE" w:rsidRPr="004761E0" w:rsidRDefault="00FD1FFE" w:rsidP="00FD1FFE">
            <w:pPr>
              <w:ind w:firstLine="0"/>
              <w:jc w:val="left"/>
              <w:rPr>
                <w:rFonts w:eastAsia="Times New Roman"/>
                <w:sz w:val="20"/>
                <w:szCs w:val="26"/>
                <w:lang w:eastAsia="ru-RU"/>
              </w:rPr>
            </w:pPr>
            <w:r w:rsidRPr="004761E0">
              <w:rPr>
                <w:rFonts w:eastAsia="Times New Roman"/>
                <w:sz w:val="20"/>
                <w:szCs w:val="26"/>
                <w:lang w:eastAsia="ru-RU"/>
              </w:rPr>
              <w:t xml:space="preserve">Полное фирменное наименование </w:t>
            </w:r>
          </w:p>
        </w:tc>
        <w:tc>
          <w:tcPr>
            <w:tcW w:w="5943" w:type="dxa"/>
            <w:hideMark/>
          </w:tcPr>
          <w:p w:rsidR="00FD1FFE" w:rsidRPr="004761E0" w:rsidRDefault="00FD1FFE" w:rsidP="00FD1FFE">
            <w:pPr>
              <w:ind w:firstLine="0"/>
              <w:jc w:val="left"/>
              <w:rPr>
                <w:rFonts w:eastAsia="Times New Roman"/>
                <w:sz w:val="20"/>
                <w:szCs w:val="26"/>
                <w:lang w:eastAsia="ru-RU"/>
              </w:rPr>
            </w:pPr>
            <w:r w:rsidRPr="004761E0">
              <w:rPr>
                <w:rFonts w:eastAsia="Times New Roman"/>
                <w:sz w:val="20"/>
                <w:szCs w:val="26"/>
                <w:lang w:eastAsia="ru-RU"/>
              </w:rPr>
              <w:t xml:space="preserve">Закрытое акционерное общество «КПМГ» </w:t>
            </w:r>
          </w:p>
        </w:tc>
      </w:tr>
      <w:tr w:rsidR="00FD1FFE" w:rsidRPr="004761E0" w:rsidTr="00FD1FFE">
        <w:trPr>
          <w:trHeight w:val="264"/>
        </w:trPr>
        <w:tc>
          <w:tcPr>
            <w:tcW w:w="3646" w:type="dxa"/>
            <w:hideMark/>
          </w:tcPr>
          <w:p w:rsidR="00FD1FFE" w:rsidRPr="004761E0" w:rsidRDefault="00FD1FFE" w:rsidP="00FD1FFE">
            <w:pPr>
              <w:ind w:firstLine="0"/>
              <w:jc w:val="left"/>
              <w:rPr>
                <w:rFonts w:eastAsia="Times New Roman"/>
                <w:sz w:val="20"/>
                <w:szCs w:val="26"/>
                <w:lang w:eastAsia="ru-RU"/>
              </w:rPr>
            </w:pPr>
            <w:r w:rsidRPr="004761E0">
              <w:rPr>
                <w:rFonts w:eastAsia="Times New Roman"/>
                <w:sz w:val="20"/>
                <w:szCs w:val="26"/>
                <w:lang w:eastAsia="ru-RU"/>
              </w:rPr>
              <w:t xml:space="preserve">Сокращенное фирменное наименование </w:t>
            </w:r>
          </w:p>
        </w:tc>
        <w:tc>
          <w:tcPr>
            <w:tcW w:w="5943" w:type="dxa"/>
            <w:hideMark/>
          </w:tcPr>
          <w:p w:rsidR="00FD1FFE" w:rsidRPr="004761E0" w:rsidRDefault="0008080E" w:rsidP="00FD1FFE">
            <w:pPr>
              <w:ind w:firstLine="0"/>
              <w:jc w:val="left"/>
              <w:rPr>
                <w:rFonts w:eastAsia="Times New Roman"/>
                <w:sz w:val="20"/>
                <w:szCs w:val="26"/>
                <w:lang w:eastAsia="ru-RU"/>
              </w:rPr>
            </w:pPr>
            <w:r>
              <w:rPr>
                <w:rFonts w:eastAsia="Times New Roman"/>
                <w:sz w:val="20"/>
                <w:szCs w:val="26"/>
                <w:lang w:eastAsia="ru-RU"/>
              </w:rPr>
              <w:t>ЗАО </w:t>
            </w:r>
            <w:r w:rsidR="00FD1FFE" w:rsidRPr="004761E0">
              <w:rPr>
                <w:rFonts w:eastAsia="Times New Roman"/>
                <w:sz w:val="20"/>
                <w:szCs w:val="26"/>
                <w:lang w:eastAsia="ru-RU"/>
              </w:rPr>
              <w:t xml:space="preserve">«КПМГ» </w:t>
            </w:r>
          </w:p>
        </w:tc>
      </w:tr>
      <w:tr w:rsidR="00FD1FFE" w:rsidRPr="004761E0" w:rsidTr="00FD1FFE">
        <w:trPr>
          <w:trHeight w:val="349"/>
        </w:trPr>
        <w:tc>
          <w:tcPr>
            <w:tcW w:w="3646" w:type="dxa"/>
            <w:hideMark/>
          </w:tcPr>
          <w:p w:rsidR="00FD1FFE" w:rsidRPr="004761E0" w:rsidRDefault="00FD1FFE" w:rsidP="00FD1FFE">
            <w:pPr>
              <w:ind w:firstLine="0"/>
              <w:jc w:val="left"/>
              <w:rPr>
                <w:rFonts w:eastAsia="Times New Roman"/>
                <w:sz w:val="20"/>
                <w:szCs w:val="26"/>
                <w:lang w:eastAsia="ru-RU"/>
              </w:rPr>
            </w:pPr>
            <w:r w:rsidRPr="004761E0">
              <w:rPr>
                <w:rFonts w:eastAsia="Times New Roman"/>
                <w:sz w:val="20"/>
                <w:szCs w:val="26"/>
                <w:lang w:eastAsia="ru-RU"/>
              </w:rPr>
              <w:t xml:space="preserve">Место нахождения </w:t>
            </w:r>
          </w:p>
        </w:tc>
        <w:tc>
          <w:tcPr>
            <w:tcW w:w="5943" w:type="dxa"/>
            <w:hideMark/>
          </w:tcPr>
          <w:p w:rsidR="00FD1FFE" w:rsidRPr="004761E0" w:rsidRDefault="00FD1FFE" w:rsidP="00FD1FFE">
            <w:pPr>
              <w:ind w:firstLine="0"/>
              <w:jc w:val="left"/>
              <w:rPr>
                <w:rFonts w:eastAsia="Times New Roman"/>
                <w:sz w:val="20"/>
                <w:szCs w:val="26"/>
                <w:lang w:eastAsia="ru-RU"/>
              </w:rPr>
            </w:pPr>
            <w:r w:rsidRPr="004761E0">
              <w:rPr>
                <w:rFonts w:eastAsia="Times New Roman"/>
                <w:sz w:val="20"/>
                <w:szCs w:val="26"/>
                <w:lang w:eastAsia="ru-RU"/>
              </w:rPr>
              <w:t xml:space="preserve">123317, г. Москва, Пресненская набережная, д. 10 </w:t>
            </w:r>
            <w:r w:rsidRPr="004761E0">
              <w:rPr>
                <w:rFonts w:eastAsia="Times New Roman"/>
                <w:sz w:val="20"/>
                <w:szCs w:val="26"/>
                <w:lang w:eastAsia="ru-RU"/>
              </w:rPr>
              <w:br/>
              <w:t xml:space="preserve"> (Краснопресненская набережная, д. 18), </w:t>
            </w:r>
            <w:r w:rsidRPr="004761E0">
              <w:rPr>
                <w:rFonts w:eastAsia="Times New Roman"/>
                <w:sz w:val="20"/>
                <w:szCs w:val="26"/>
                <w:lang w:eastAsia="ru-RU"/>
              </w:rPr>
              <w:br/>
              <w:t>Комплекс «Башня на набережной», Блок «С»</w:t>
            </w:r>
          </w:p>
        </w:tc>
      </w:tr>
      <w:tr w:rsidR="00FD1FFE" w:rsidRPr="004761E0" w:rsidTr="00FD1FFE">
        <w:trPr>
          <w:trHeight w:val="349"/>
        </w:trPr>
        <w:tc>
          <w:tcPr>
            <w:tcW w:w="3646" w:type="dxa"/>
            <w:hideMark/>
          </w:tcPr>
          <w:p w:rsidR="00FD1FFE" w:rsidRPr="004761E0" w:rsidRDefault="00FD1FFE" w:rsidP="00FD1FFE">
            <w:pPr>
              <w:ind w:firstLine="0"/>
              <w:jc w:val="left"/>
              <w:rPr>
                <w:rFonts w:eastAsia="Times New Roman"/>
                <w:sz w:val="20"/>
                <w:szCs w:val="26"/>
                <w:lang w:eastAsia="ru-RU"/>
              </w:rPr>
            </w:pPr>
            <w:r w:rsidRPr="004761E0">
              <w:rPr>
                <w:rFonts w:eastAsia="Times New Roman"/>
                <w:sz w:val="20"/>
                <w:szCs w:val="26"/>
                <w:lang w:eastAsia="ru-RU"/>
              </w:rPr>
              <w:t xml:space="preserve">Данные о членстве аудитора в саморегулируемых организациях аудиторов </w:t>
            </w:r>
          </w:p>
        </w:tc>
        <w:tc>
          <w:tcPr>
            <w:tcW w:w="5943" w:type="dxa"/>
            <w:hideMark/>
          </w:tcPr>
          <w:p w:rsidR="00FD1FFE" w:rsidRPr="004761E0" w:rsidRDefault="00FD1FFE" w:rsidP="00FD1FFE">
            <w:pPr>
              <w:ind w:firstLine="0"/>
              <w:jc w:val="left"/>
              <w:rPr>
                <w:rFonts w:eastAsia="Times New Roman"/>
                <w:sz w:val="20"/>
                <w:szCs w:val="26"/>
                <w:lang w:eastAsia="ru-RU"/>
              </w:rPr>
            </w:pPr>
            <w:r w:rsidRPr="004761E0">
              <w:rPr>
                <w:rFonts w:eastAsia="Times New Roman"/>
                <w:sz w:val="20"/>
                <w:szCs w:val="26"/>
                <w:lang w:eastAsia="ru-RU"/>
              </w:rPr>
              <w:t xml:space="preserve">Саморегулируемая организация аудиторов Некоммерческое партнерство «Аудиторская Палата России» </w:t>
            </w:r>
          </w:p>
        </w:tc>
      </w:tr>
      <w:tr w:rsidR="00FD1FFE" w:rsidRPr="004761E0" w:rsidTr="00FD1FFE">
        <w:trPr>
          <w:trHeight w:val="179"/>
        </w:trPr>
        <w:tc>
          <w:tcPr>
            <w:tcW w:w="3646" w:type="dxa"/>
            <w:hideMark/>
          </w:tcPr>
          <w:p w:rsidR="00FD1FFE" w:rsidRPr="004761E0" w:rsidRDefault="00FD1FFE" w:rsidP="00FD1FFE">
            <w:pPr>
              <w:ind w:firstLine="0"/>
              <w:jc w:val="left"/>
              <w:rPr>
                <w:rFonts w:eastAsia="Times New Roman"/>
                <w:sz w:val="20"/>
                <w:szCs w:val="26"/>
                <w:lang w:eastAsia="ru-RU"/>
              </w:rPr>
            </w:pPr>
            <w:r w:rsidRPr="004761E0">
              <w:rPr>
                <w:rFonts w:eastAsia="Times New Roman"/>
                <w:sz w:val="20"/>
                <w:szCs w:val="26"/>
                <w:lang w:eastAsia="ru-RU"/>
              </w:rPr>
              <w:t xml:space="preserve">ИНН </w:t>
            </w:r>
          </w:p>
        </w:tc>
        <w:tc>
          <w:tcPr>
            <w:tcW w:w="5943" w:type="dxa"/>
            <w:hideMark/>
          </w:tcPr>
          <w:p w:rsidR="00FD1FFE" w:rsidRPr="004761E0" w:rsidRDefault="00FD1FFE" w:rsidP="00FD1FFE">
            <w:pPr>
              <w:ind w:firstLine="0"/>
              <w:jc w:val="left"/>
              <w:rPr>
                <w:rFonts w:eastAsia="Times New Roman"/>
                <w:sz w:val="20"/>
                <w:szCs w:val="26"/>
                <w:lang w:eastAsia="ru-RU"/>
              </w:rPr>
            </w:pPr>
            <w:r w:rsidRPr="004761E0">
              <w:rPr>
                <w:rFonts w:eastAsia="Times New Roman"/>
                <w:sz w:val="20"/>
                <w:szCs w:val="26"/>
                <w:lang w:eastAsia="ru-RU"/>
              </w:rPr>
              <w:t xml:space="preserve">7702019950 </w:t>
            </w:r>
          </w:p>
        </w:tc>
      </w:tr>
      <w:tr w:rsidR="00FD1FFE" w:rsidRPr="004761E0" w:rsidTr="00FD1FFE">
        <w:trPr>
          <w:trHeight w:val="179"/>
        </w:trPr>
        <w:tc>
          <w:tcPr>
            <w:tcW w:w="3646" w:type="dxa"/>
            <w:hideMark/>
          </w:tcPr>
          <w:p w:rsidR="00FD1FFE" w:rsidRPr="004761E0" w:rsidRDefault="00FD1FFE" w:rsidP="00FD1FFE">
            <w:pPr>
              <w:ind w:firstLine="0"/>
              <w:jc w:val="left"/>
              <w:rPr>
                <w:rFonts w:eastAsia="Times New Roman"/>
                <w:sz w:val="20"/>
                <w:szCs w:val="26"/>
                <w:lang w:eastAsia="ru-RU"/>
              </w:rPr>
            </w:pPr>
            <w:r w:rsidRPr="004761E0">
              <w:rPr>
                <w:rFonts w:eastAsia="Times New Roman"/>
                <w:sz w:val="20"/>
                <w:szCs w:val="26"/>
                <w:lang w:eastAsia="ru-RU"/>
              </w:rPr>
              <w:t xml:space="preserve">ОГРН </w:t>
            </w:r>
          </w:p>
        </w:tc>
        <w:tc>
          <w:tcPr>
            <w:tcW w:w="5943" w:type="dxa"/>
            <w:hideMark/>
          </w:tcPr>
          <w:p w:rsidR="00FD1FFE" w:rsidRPr="004761E0" w:rsidRDefault="00FD1FFE" w:rsidP="00FD1FFE">
            <w:pPr>
              <w:ind w:firstLine="0"/>
              <w:jc w:val="left"/>
              <w:rPr>
                <w:rFonts w:eastAsia="Times New Roman"/>
                <w:sz w:val="20"/>
                <w:szCs w:val="26"/>
                <w:lang w:eastAsia="ru-RU"/>
              </w:rPr>
            </w:pPr>
            <w:r w:rsidRPr="004761E0">
              <w:rPr>
                <w:rFonts w:eastAsia="Times New Roman"/>
                <w:sz w:val="20"/>
                <w:szCs w:val="26"/>
                <w:lang w:eastAsia="ru-RU"/>
              </w:rPr>
              <w:t xml:space="preserve">1027700125628 </w:t>
            </w:r>
          </w:p>
        </w:tc>
      </w:tr>
      <w:tr w:rsidR="00FD1FFE" w:rsidRPr="004761E0" w:rsidTr="00FD1FFE">
        <w:trPr>
          <w:trHeight w:val="179"/>
        </w:trPr>
        <w:tc>
          <w:tcPr>
            <w:tcW w:w="3646" w:type="dxa"/>
            <w:hideMark/>
          </w:tcPr>
          <w:p w:rsidR="00FD1FFE" w:rsidRPr="004761E0" w:rsidRDefault="00FD1FFE" w:rsidP="00FD1FFE">
            <w:pPr>
              <w:ind w:firstLine="0"/>
              <w:jc w:val="left"/>
              <w:rPr>
                <w:rFonts w:eastAsia="Times New Roman"/>
                <w:sz w:val="20"/>
                <w:szCs w:val="26"/>
                <w:lang w:eastAsia="ru-RU"/>
              </w:rPr>
            </w:pPr>
            <w:r w:rsidRPr="004761E0">
              <w:rPr>
                <w:rFonts w:eastAsia="Times New Roman"/>
                <w:sz w:val="20"/>
                <w:szCs w:val="26"/>
                <w:lang w:eastAsia="ru-RU"/>
              </w:rPr>
              <w:t xml:space="preserve">Контактный телефон </w:t>
            </w:r>
          </w:p>
        </w:tc>
        <w:tc>
          <w:tcPr>
            <w:tcW w:w="5943" w:type="dxa"/>
            <w:hideMark/>
          </w:tcPr>
          <w:p w:rsidR="00FD1FFE" w:rsidRPr="004761E0" w:rsidRDefault="00FD1FFE" w:rsidP="00FD1FFE">
            <w:pPr>
              <w:ind w:firstLine="0"/>
              <w:jc w:val="left"/>
              <w:rPr>
                <w:rFonts w:eastAsia="Times New Roman"/>
                <w:sz w:val="20"/>
                <w:szCs w:val="26"/>
                <w:lang w:eastAsia="ru-RU"/>
              </w:rPr>
            </w:pPr>
            <w:r w:rsidRPr="004761E0">
              <w:rPr>
                <w:rFonts w:eastAsia="Times New Roman"/>
                <w:sz w:val="20"/>
                <w:szCs w:val="26"/>
                <w:lang w:eastAsia="ru-RU"/>
              </w:rPr>
              <w:t xml:space="preserve">+7 (495) 937-44-77 </w:t>
            </w:r>
          </w:p>
        </w:tc>
      </w:tr>
      <w:tr w:rsidR="00FD1FFE" w:rsidRPr="004761E0" w:rsidTr="00FD1FFE">
        <w:trPr>
          <w:trHeight w:val="179"/>
        </w:trPr>
        <w:tc>
          <w:tcPr>
            <w:tcW w:w="3646" w:type="dxa"/>
            <w:hideMark/>
          </w:tcPr>
          <w:p w:rsidR="00FD1FFE" w:rsidRPr="004761E0" w:rsidRDefault="00FD1FFE" w:rsidP="00FD1FFE">
            <w:pPr>
              <w:ind w:firstLine="0"/>
              <w:jc w:val="left"/>
              <w:rPr>
                <w:rFonts w:eastAsia="Times New Roman"/>
                <w:sz w:val="20"/>
                <w:szCs w:val="26"/>
                <w:lang w:eastAsia="ru-RU"/>
              </w:rPr>
            </w:pPr>
            <w:r w:rsidRPr="004761E0">
              <w:rPr>
                <w:rFonts w:eastAsia="Times New Roman"/>
                <w:sz w:val="20"/>
                <w:szCs w:val="26"/>
                <w:lang w:eastAsia="ru-RU"/>
              </w:rPr>
              <w:t xml:space="preserve">Факс </w:t>
            </w:r>
          </w:p>
        </w:tc>
        <w:tc>
          <w:tcPr>
            <w:tcW w:w="5943" w:type="dxa"/>
            <w:hideMark/>
          </w:tcPr>
          <w:p w:rsidR="00FD1FFE" w:rsidRPr="004761E0" w:rsidRDefault="00FD1FFE" w:rsidP="00FD1FFE">
            <w:pPr>
              <w:ind w:firstLine="0"/>
              <w:jc w:val="left"/>
              <w:rPr>
                <w:rFonts w:eastAsia="Times New Roman"/>
                <w:sz w:val="20"/>
                <w:szCs w:val="26"/>
                <w:lang w:eastAsia="ru-RU"/>
              </w:rPr>
            </w:pPr>
            <w:r w:rsidRPr="004761E0">
              <w:rPr>
                <w:rFonts w:eastAsia="Times New Roman"/>
                <w:sz w:val="20"/>
                <w:szCs w:val="26"/>
                <w:lang w:eastAsia="ru-RU"/>
              </w:rPr>
              <w:t xml:space="preserve">+7 (495) 937-44-00, +7 (495) 937-44-99 </w:t>
            </w:r>
          </w:p>
        </w:tc>
      </w:tr>
      <w:tr w:rsidR="00FD1FFE" w:rsidRPr="004761E0" w:rsidTr="00FD1FFE">
        <w:trPr>
          <w:trHeight w:val="179"/>
        </w:trPr>
        <w:tc>
          <w:tcPr>
            <w:tcW w:w="3646" w:type="dxa"/>
            <w:hideMark/>
          </w:tcPr>
          <w:p w:rsidR="00FD1FFE" w:rsidRPr="004761E0" w:rsidRDefault="00FD1FFE" w:rsidP="00FD1FFE">
            <w:pPr>
              <w:ind w:firstLine="0"/>
              <w:jc w:val="left"/>
              <w:rPr>
                <w:rFonts w:eastAsia="Times New Roman"/>
                <w:sz w:val="20"/>
                <w:szCs w:val="26"/>
                <w:lang w:eastAsia="ru-RU"/>
              </w:rPr>
            </w:pPr>
            <w:r w:rsidRPr="004761E0">
              <w:rPr>
                <w:rFonts w:eastAsia="Times New Roman"/>
                <w:sz w:val="20"/>
                <w:szCs w:val="26"/>
                <w:lang w:eastAsia="ru-RU"/>
              </w:rPr>
              <w:t xml:space="preserve">Адрес электронной почты </w:t>
            </w:r>
          </w:p>
        </w:tc>
        <w:tc>
          <w:tcPr>
            <w:tcW w:w="5943" w:type="dxa"/>
            <w:hideMark/>
          </w:tcPr>
          <w:p w:rsidR="00FD1FFE" w:rsidRPr="004761E0" w:rsidRDefault="00FD1FFE" w:rsidP="00FD1FFE">
            <w:pPr>
              <w:ind w:firstLine="0"/>
              <w:jc w:val="left"/>
              <w:rPr>
                <w:rFonts w:eastAsia="Times New Roman"/>
                <w:sz w:val="20"/>
                <w:szCs w:val="26"/>
                <w:lang w:eastAsia="ru-RU"/>
              </w:rPr>
            </w:pPr>
            <w:r w:rsidRPr="004761E0">
              <w:rPr>
                <w:rFonts w:eastAsia="Times New Roman"/>
                <w:sz w:val="20"/>
                <w:szCs w:val="26"/>
                <w:lang w:eastAsia="ru-RU"/>
              </w:rPr>
              <w:t xml:space="preserve">moscow@kpmg.ru </w:t>
            </w:r>
          </w:p>
        </w:tc>
      </w:tr>
      <w:tr w:rsidR="00FD1FFE" w:rsidRPr="004761E0" w:rsidTr="00FD1FFE">
        <w:trPr>
          <w:trHeight w:val="184"/>
        </w:trPr>
        <w:tc>
          <w:tcPr>
            <w:tcW w:w="3646" w:type="dxa"/>
            <w:hideMark/>
          </w:tcPr>
          <w:p w:rsidR="00FD1FFE" w:rsidRPr="004761E0" w:rsidRDefault="00FD1FFE" w:rsidP="00FD1FFE">
            <w:pPr>
              <w:ind w:firstLine="0"/>
              <w:jc w:val="left"/>
              <w:rPr>
                <w:rFonts w:eastAsia="Times New Roman"/>
                <w:sz w:val="20"/>
                <w:szCs w:val="26"/>
                <w:lang w:eastAsia="ru-RU"/>
              </w:rPr>
            </w:pPr>
            <w:r w:rsidRPr="004761E0">
              <w:rPr>
                <w:rFonts w:eastAsia="Times New Roman"/>
                <w:sz w:val="20"/>
                <w:szCs w:val="26"/>
                <w:lang w:val="en-US" w:eastAsia="ru-RU"/>
              </w:rPr>
              <w:t>C</w:t>
            </w:r>
            <w:r w:rsidRPr="004761E0">
              <w:rPr>
                <w:rFonts w:eastAsia="Times New Roman"/>
                <w:sz w:val="20"/>
                <w:szCs w:val="26"/>
                <w:lang w:eastAsia="ru-RU"/>
              </w:rPr>
              <w:t xml:space="preserve">айт </w:t>
            </w:r>
          </w:p>
        </w:tc>
        <w:tc>
          <w:tcPr>
            <w:tcW w:w="5943" w:type="dxa"/>
            <w:hideMark/>
          </w:tcPr>
          <w:p w:rsidR="00FD1FFE" w:rsidRPr="004761E0" w:rsidRDefault="00FD1FFE" w:rsidP="00FD1FFE">
            <w:pPr>
              <w:ind w:firstLine="0"/>
              <w:jc w:val="left"/>
              <w:rPr>
                <w:rFonts w:eastAsia="Times New Roman"/>
                <w:sz w:val="20"/>
                <w:szCs w:val="26"/>
                <w:lang w:eastAsia="ru-RU"/>
              </w:rPr>
            </w:pPr>
            <w:r w:rsidRPr="004761E0">
              <w:rPr>
                <w:rFonts w:eastAsia="Times New Roman"/>
                <w:sz w:val="20"/>
                <w:szCs w:val="26"/>
                <w:lang w:eastAsia="ru-RU"/>
              </w:rPr>
              <w:t xml:space="preserve">www.kpmg.ru </w:t>
            </w:r>
          </w:p>
        </w:tc>
      </w:tr>
    </w:tbl>
    <w:p w:rsidR="00CA38EF" w:rsidRDefault="00CA38EF">
      <w:pPr>
        <w:ind w:firstLine="0"/>
        <w:jc w:val="left"/>
        <w:rPr>
          <w:sz w:val="26"/>
          <w:szCs w:val="26"/>
          <w:lang w:eastAsia="ru-RU"/>
        </w:rPr>
      </w:pPr>
      <w:r>
        <w:rPr>
          <w:sz w:val="26"/>
          <w:szCs w:val="26"/>
          <w:lang w:eastAsia="ru-RU"/>
        </w:rPr>
        <w:br w:type="page"/>
      </w:r>
    </w:p>
    <w:p w:rsidR="007674C6" w:rsidRPr="00CA38EF" w:rsidRDefault="00283695" w:rsidP="007076A7">
      <w:pPr>
        <w:pStyle w:val="a8"/>
        <w:numPr>
          <w:ilvl w:val="1"/>
          <w:numId w:val="321"/>
        </w:numPr>
        <w:tabs>
          <w:tab w:val="left" w:pos="1134"/>
        </w:tabs>
        <w:ind w:left="1134" w:hanging="567"/>
        <w:jc w:val="both"/>
        <w:rPr>
          <w:rFonts w:ascii="Times New Roman" w:hAnsi="Times New Roman"/>
          <w:b/>
          <w:sz w:val="26"/>
          <w:szCs w:val="26"/>
          <w:lang w:eastAsia="ru-RU"/>
        </w:rPr>
      </w:pPr>
      <w:bookmarkStart w:id="181" w:name="_Toc385339883"/>
      <w:bookmarkStart w:id="182" w:name="_Toc380576968"/>
      <w:r>
        <w:rPr>
          <w:rFonts w:ascii="Times New Roman" w:hAnsi="Times New Roman"/>
          <w:b/>
          <w:sz w:val="26"/>
          <w:szCs w:val="26"/>
          <w:lang w:eastAsia="ru-RU"/>
        </w:rPr>
        <w:lastRenderedPageBreak/>
        <w:t>Информация о р</w:t>
      </w:r>
      <w:r w:rsidR="00E34ACB" w:rsidRPr="004761E0">
        <w:rPr>
          <w:rFonts w:ascii="Times New Roman" w:hAnsi="Times New Roman"/>
          <w:b/>
          <w:sz w:val="26"/>
          <w:szCs w:val="26"/>
          <w:lang w:eastAsia="ru-RU"/>
        </w:rPr>
        <w:t>егистраторе</w:t>
      </w:r>
      <w:bookmarkEnd w:id="181"/>
      <w:r w:rsidR="00E34ACB" w:rsidRPr="004761E0">
        <w:rPr>
          <w:rFonts w:ascii="Times New Roman" w:hAnsi="Times New Roman"/>
          <w:b/>
          <w:sz w:val="26"/>
          <w:szCs w:val="26"/>
          <w:lang w:eastAsia="ru-RU"/>
        </w:rPr>
        <w:t xml:space="preserve"> </w:t>
      </w:r>
      <w:bookmarkEnd w:id="182"/>
    </w:p>
    <w:tbl>
      <w:tblPr>
        <w:tblStyle w:val="16"/>
        <w:tblW w:w="9619" w:type="dxa"/>
        <w:tblLook w:val="04A0"/>
      </w:tblPr>
      <w:tblGrid>
        <w:gridCol w:w="3657"/>
        <w:gridCol w:w="5962"/>
      </w:tblGrid>
      <w:tr w:rsidR="00FD1FFE" w:rsidRPr="004761E0" w:rsidTr="0024237C">
        <w:trPr>
          <w:cantSplit/>
          <w:trHeight w:val="489"/>
        </w:trPr>
        <w:tc>
          <w:tcPr>
            <w:tcW w:w="3657" w:type="dxa"/>
            <w:hideMark/>
          </w:tcPr>
          <w:p w:rsidR="00FD1FFE" w:rsidRPr="004761E0" w:rsidRDefault="00FD1FFE" w:rsidP="0024237C">
            <w:pPr>
              <w:ind w:firstLine="0"/>
              <w:jc w:val="left"/>
              <w:rPr>
                <w:rFonts w:eastAsia="Times New Roman"/>
                <w:sz w:val="20"/>
                <w:szCs w:val="26"/>
                <w:lang w:eastAsia="ru-RU"/>
              </w:rPr>
            </w:pPr>
            <w:r w:rsidRPr="004761E0">
              <w:rPr>
                <w:rFonts w:eastAsia="Times New Roman"/>
                <w:sz w:val="20"/>
                <w:szCs w:val="26"/>
                <w:lang w:eastAsia="ru-RU"/>
              </w:rPr>
              <w:t xml:space="preserve">Полное фирменное наименование </w:t>
            </w:r>
          </w:p>
        </w:tc>
        <w:tc>
          <w:tcPr>
            <w:tcW w:w="5962" w:type="dxa"/>
            <w:hideMark/>
          </w:tcPr>
          <w:p w:rsidR="00FD1FFE" w:rsidRPr="004761E0" w:rsidRDefault="00FD1FFE" w:rsidP="0024237C">
            <w:pPr>
              <w:ind w:firstLine="0"/>
              <w:jc w:val="left"/>
              <w:rPr>
                <w:rFonts w:eastAsia="Times New Roman"/>
                <w:sz w:val="20"/>
                <w:szCs w:val="26"/>
                <w:lang w:eastAsia="ru-RU"/>
              </w:rPr>
            </w:pPr>
            <w:r w:rsidRPr="004761E0">
              <w:rPr>
                <w:rFonts w:eastAsia="Times New Roman"/>
                <w:sz w:val="20"/>
                <w:szCs w:val="26"/>
                <w:lang w:eastAsia="ru-RU"/>
              </w:rPr>
              <w:t xml:space="preserve">Закрытое акционерное общество «Регистраторское общество «СТАТУС» </w:t>
            </w:r>
          </w:p>
        </w:tc>
      </w:tr>
      <w:tr w:rsidR="00FD1FFE" w:rsidRPr="004761E0" w:rsidTr="0024237C">
        <w:trPr>
          <w:cantSplit/>
          <w:trHeight w:val="363"/>
        </w:trPr>
        <w:tc>
          <w:tcPr>
            <w:tcW w:w="3657" w:type="dxa"/>
            <w:hideMark/>
          </w:tcPr>
          <w:p w:rsidR="00FD1FFE" w:rsidRPr="004761E0" w:rsidRDefault="00FD1FFE" w:rsidP="0024237C">
            <w:pPr>
              <w:ind w:firstLine="0"/>
              <w:jc w:val="left"/>
              <w:rPr>
                <w:rFonts w:eastAsia="Times New Roman"/>
                <w:sz w:val="20"/>
                <w:szCs w:val="26"/>
                <w:lang w:eastAsia="ru-RU"/>
              </w:rPr>
            </w:pPr>
            <w:r w:rsidRPr="004761E0">
              <w:rPr>
                <w:rFonts w:eastAsia="Times New Roman"/>
                <w:sz w:val="20"/>
                <w:szCs w:val="26"/>
                <w:lang w:eastAsia="ru-RU"/>
              </w:rPr>
              <w:t xml:space="preserve">Сокращенное фирменное наименование </w:t>
            </w:r>
          </w:p>
        </w:tc>
        <w:tc>
          <w:tcPr>
            <w:tcW w:w="5962" w:type="dxa"/>
            <w:hideMark/>
          </w:tcPr>
          <w:p w:rsidR="00FD1FFE" w:rsidRPr="004761E0" w:rsidRDefault="0008080E" w:rsidP="0024237C">
            <w:pPr>
              <w:ind w:firstLine="0"/>
              <w:jc w:val="left"/>
              <w:rPr>
                <w:rFonts w:eastAsia="Times New Roman"/>
                <w:sz w:val="20"/>
                <w:szCs w:val="26"/>
                <w:lang w:eastAsia="ru-RU"/>
              </w:rPr>
            </w:pPr>
            <w:r>
              <w:rPr>
                <w:rFonts w:eastAsia="Times New Roman"/>
                <w:sz w:val="20"/>
                <w:szCs w:val="26"/>
                <w:lang w:eastAsia="ru-RU"/>
              </w:rPr>
              <w:t>ЗАО </w:t>
            </w:r>
            <w:r w:rsidR="00FD1FFE" w:rsidRPr="004761E0">
              <w:rPr>
                <w:rFonts w:eastAsia="Times New Roman"/>
                <w:sz w:val="20"/>
                <w:szCs w:val="26"/>
                <w:lang w:eastAsia="ru-RU"/>
              </w:rPr>
              <w:t xml:space="preserve">«СТАТУС» </w:t>
            </w:r>
          </w:p>
        </w:tc>
      </w:tr>
      <w:tr w:rsidR="00FD1FFE" w:rsidRPr="004761E0" w:rsidTr="0024237C">
        <w:trPr>
          <w:cantSplit/>
          <w:trHeight w:val="356"/>
        </w:trPr>
        <w:tc>
          <w:tcPr>
            <w:tcW w:w="3657" w:type="dxa"/>
            <w:hideMark/>
          </w:tcPr>
          <w:p w:rsidR="00FD1FFE" w:rsidRPr="004761E0" w:rsidRDefault="00FD1FFE" w:rsidP="0024237C">
            <w:pPr>
              <w:ind w:firstLine="0"/>
              <w:jc w:val="left"/>
              <w:rPr>
                <w:rFonts w:eastAsia="Times New Roman"/>
                <w:sz w:val="20"/>
                <w:szCs w:val="26"/>
                <w:lang w:eastAsia="ru-RU"/>
              </w:rPr>
            </w:pPr>
            <w:r w:rsidRPr="004761E0">
              <w:rPr>
                <w:rFonts w:eastAsia="Times New Roman"/>
                <w:sz w:val="20"/>
                <w:szCs w:val="26"/>
                <w:lang w:eastAsia="ru-RU"/>
              </w:rPr>
              <w:t xml:space="preserve">Место нахождения </w:t>
            </w:r>
          </w:p>
        </w:tc>
        <w:tc>
          <w:tcPr>
            <w:tcW w:w="5962" w:type="dxa"/>
            <w:hideMark/>
          </w:tcPr>
          <w:p w:rsidR="00FD1FFE" w:rsidRPr="004761E0" w:rsidRDefault="00FD1FFE" w:rsidP="0024237C">
            <w:pPr>
              <w:ind w:firstLine="0"/>
              <w:jc w:val="left"/>
              <w:rPr>
                <w:rFonts w:eastAsia="Times New Roman"/>
                <w:sz w:val="20"/>
                <w:szCs w:val="26"/>
                <w:lang w:eastAsia="ru-RU"/>
              </w:rPr>
            </w:pPr>
            <w:r w:rsidRPr="004761E0">
              <w:rPr>
                <w:rFonts w:eastAsia="Times New Roman"/>
                <w:sz w:val="20"/>
                <w:szCs w:val="26"/>
                <w:lang w:eastAsia="ru-RU"/>
              </w:rPr>
              <w:t xml:space="preserve">109544, г. Москва, ул. Новорогожская, д. 32, стр. 1 </w:t>
            </w:r>
          </w:p>
        </w:tc>
      </w:tr>
      <w:tr w:rsidR="00FD1FFE" w:rsidRPr="004761E0" w:rsidTr="0024237C">
        <w:trPr>
          <w:cantSplit/>
          <w:trHeight w:val="630"/>
        </w:trPr>
        <w:tc>
          <w:tcPr>
            <w:tcW w:w="3657" w:type="dxa"/>
            <w:hideMark/>
          </w:tcPr>
          <w:p w:rsidR="00FD1FFE" w:rsidRPr="004761E0" w:rsidRDefault="00FD1FFE" w:rsidP="0024237C">
            <w:pPr>
              <w:ind w:firstLine="0"/>
              <w:jc w:val="left"/>
              <w:rPr>
                <w:rFonts w:eastAsia="Times New Roman"/>
                <w:sz w:val="20"/>
                <w:szCs w:val="26"/>
                <w:lang w:eastAsia="ru-RU"/>
              </w:rPr>
            </w:pPr>
            <w:r w:rsidRPr="004761E0">
              <w:rPr>
                <w:rFonts w:eastAsia="Times New Roman"/>
                <w:sz w:val="20"/>
                <w:szCs w:val="26"/>
                <w:lang w:eastAsia="ru-RU"/>
              </w:rPr>
              <w:t xml:space="preserve">Лицензия на осуществление деятельности по ведению реестра владельцев ценных бумаг </w:t>
            </w:r>
          </w:p>
        </w:tc>
        <w:tc>
          <w:tcPr>
            <w:tcW w:w="5962" w:type="dxa"/>
            <w:hideMark/>
          </w:tcPr>
          <w:p w:rsidR="00FD1FFE" w:rsidRPr="004761E0" w:rsidRDefault="00FD1FFE" w:rsidP="0024237C">
            <w:pPr>
              <w:ind w:firstLine="0"/>
              <w:jc w:val="left"/>
              <w:rPr>
                <w:rFonts w:eastAsia="Times New Roman"/>
                <w:sz w:val="20"/>
                <w:szCs w:val="26"/>
                <w:lang w:eastAsia="ru-RU"/>
              </w:rPr>
            </w:pPr>
            <w:r w:rsidRPr="004761E0">
              <w:rPr>
                <w:rFonts w:eastAsia="Times New Roman"/>
                <w:sz w:val="20"/>
                <w:szCs w:val="26"/>
                <w:lang w:eastAsia="ru-RU"/>
              </w:rPr>
              <w:t>№ 10-000-1-00304 от 12. 03. 2004 без ограничения срока действия, выдана Федеральной комиссией по рынку ценных бумаг (с конца 2004 года – Федеральная служба по финансовым рынкам России)</w:t>
            </w:r>
          </w:p>
        </w:tc>
      </w:tr>
      <w:tr w:rsidR="00FD1FFE" w:rsidRPr="004761E0" w:rsidTr="00283695">
        <w:trPr>
          <w:cantSplit/>
          <w:trHeight w:val="70"/>
        </w:trPr>
        <w:tc>
          <w:tcPr>
            <w:tcW w:w="3657" w:type="dxa"/>
            <w:hideMark/>
          </w:tcPr>
          <w:p w:rsidR="00FD1FFE" w:rsidRPr="004761E0" w:rsidRDefault="00FD1FFE" w:rsidP="0024237C">
            <w:pPr>
              <w:ind w:firstLine="0"/>
              <w:jc w:val="left"/>
              <w:rPr>
                <w:rFonts w:eastAsia="Times New Roman"/>
                <w:sz w:val="20"/>
                <w:szCs w:val="26"/>
                <w:lang w:eastAsia="ru-RU"/>
              </w:rPr>
            </w:pPr>
            <w:r w:rsidRPr="004761E0">
              <w:rPr>
                <w:rFonts w:eastAsia="Times New Roman"/>
                <w:sz w:val="20"/>
                <w:szCs w:val="26"/>
                <w:lang w:eastAsia="ru-RU"/>
              </w:rPr>
              <w:t>ИНН</w:t>
            </w:r>
          </w:p>
        </w:tc>
        <w:tc>
          <w:tcPr>
            <w:tcW w:w="5962" w:type="dxa"/>
            <w:hideMark/>
          </w:tcPr>
          <w:p w:rsidR="00FD1FFE" w:rsidRPr="004761E0" w:rsidRDefault="00FD1FFE" w:rsidP="0024237C">
            <w:pPr>
              <w:ind w:firstLine="0"/>
              <w:jc w:val="left"/>
              <w:rPr>
                <w:rFonts w:eastAsia="Times New Roman"/>
                <w:sz w:val="20"/>
                <w:szCs w:val="26"/>
                <w:lang w:eastAsia="ru-RU"/>
              </w:rPr>
            </w:pPr>
            <w:r w:rsidRPr="004761E0">
              <w:rPr>
                <w:rFonts w:eastAsia="Times New Roman"/>
                <w:sz w:val="20"/>
                <w:szCs w:val="26"/>
                <w:lang w:eastAsia="ru-RU"/>
              </w:rPr>
              <w:t>7707179242</w:t>
            </w:r>
          </w:p>
        </w:tc>
      </w:tr>
      <w:tr w:rsidR="00FD1FFE" w:rsidRPr="004761E0" w:rsidTr="00283695">
        <w:trPr>
          <w:cantSplit/>
          <w:trHeight w:val="70"/>
        </w:trPr>
        <w:tc>
          <w:tcPr>
            <w:tcW w:w="3657" w:type="dxa"/>
            <w:hideMark/>
          </w:tcPr>
          <w:p w:rsidR="00FD1FFE" w:rsidRPr="004761E0" w:rsidRDefault="00FD1FFE" w:rsidP="0024237C">
            <w:pPr>
              <w:ind w:firstLine="0"/>
              <w:jc w:val="left"/>
              <w:rPr>
                <w:rFonts w:eastAsia="Times New Roman"/>
                <w:sz w:val="20"/>
                <w:szCs w:val="26"/>
                <w:lang w:eastAsia="ru-RU"/>
              </w:rPr>
            </w:pPr>
            <w:r w:rsidRPr="004761E0">
              <w:rPr>
                <w:rFonts w:eastAsia="Times New Roman"/>
                <w:sz w:val="20"/>
                <w:szCs w:val="26"/>
                <w:lang w:eastAsia="ru-RU"/>
              </w:rPr>
              <w:t xml:space="preserve">ОГРН </w:t>
            </w:r>
          </w:p>
        </w:tc>
        <w:tc>
          <w:tcPr>
            <w:tcW w:w="5962" w:type="dxa"/>
            <w:hideMark/>
          </w:tcPr>
          <w:p w:rsidR="00FD1FFE" w:rsidRPr="004761E0" w:rsidRDefault="00FD1FFE" w:rsidP="0024237C">
            <w:pPr>
              <w:ind w:firstLine="0"/>
              <w:jc w:val="left"/>
              <w:rPr>
                <w:rFonts w:eastAsia="Times New Roman"/>
                <w:sz w:val="20"/>
                <w:szCs w:val="26"/>
                <w:lang w:eastAsia="ru-RU"/>
              </w:rPr>
            </w:pPr>
            <w:r w:rsidRPr="004761E0">
              <w:rPr>
                <w:rFonts w:eastAsia="Times New Roman"/>
                <w:sz w:val="20"/>
                <w:szCs w:val="26"/>
                <w:lang w:eastAsia="ru-RU"/>
              </w:rPr>
              <w:t xml:space="preserve">1027700003924 </w:t>
            </w:r>
          </w:p>
        </w:tc>
      </w:tr>
      <w:tr w:rsidR="00FD1FFE" w:rsidRPr="004761E0" w:rsidTr="00283695">
        <w:trPr>
          <w:cantSplit/>
          <w:trHeight w:val="70"/>
        </w:trPr>
        <w:tc>
          <w:tcPr>
            <w:tcW w:w="3657" w:type="dxa"/>
            <w:hideMark/>
          </w:tcPr>
          <w:p w:rsidR="00FD1FFE" w:rsidRPr="004761E0" w:rsidRDefault="00FD1FFE" w:rsidP="0024237C">
            <w:pPr>
              <w:ind w:firstLine="0"/>
              <w:jc w:val="left"/>
              <w:rPr>
                <w:rFonts w:eastAsia="Times New Roman"/>
                <w:sz w:val="20"/>
                <w:szCs w:val="26"/>
                <w:lang w:eastAsia="ru-RU"/>
              </w:rPr>
            </w:pPr>
            <w:r w:rsidRPr="004761E0">
              <w:rPr>
                <w:rFonts w:eastAsia="Times New Roman"/>
                <w:sz w:val="20"/>
                <w:szCs w:val="26"/>
                <w:lang w:eastAsia="ru-RU"/>
              </w:rPr>
              <w:t xml:space="preserve">Контактные телефоны </w:t>
            </w:r>
          </w:p>
        </w:tc>
        <w:tc>
          <w:tcPr>
            <w:tcW w:w="5962" w:type="dxa"/>
            <w:hideMark/>
          </w:tcPr>
          <w:p w:rsidR="00FD1FFE" w:rsidRPr="004761E0" w:rsidRDefault="00283695" w:rsidP="00283695">
            <w:pPr>
              <w:ind w:firstLine="0"/>
              <w:jc w:val="left"/>
              <w:rPr>
                <w:rFonts w:eastAsia="Times New Roman"/>
                <w:sz w:val="20"/>
                <w:szCs w:val="26"/>
                <w:lang w:eastAsia="ru-RU"/>
              </w:rPr>
            </w:pPr>
            <w:r>
              <w:rPr>
                <w:rFonts w:eastAsia="Times New Roman"/>
                <w:sz w:val="20"/>
                <w:szCs w:val="26"/>
                <w:lang w:eastAsia="ru-RU"/>
              </w:rPr>
              <w:t xml:space="preserve">Общие вопросы: </w:t>
            </w:r>
            <w:r w:rsidR="00FD1FFE" w:rsidRPr="004761E0">
              <w:rPr>
                <w:rFonts w:eastAsia="Times New Roman"/>
                <w:sz w:val="20"/>
                <w:szCs w:val="26"/>
                <w:lang w:eastAsia="ru-RU"/>
              </w:rPr>
              <w:t>+7 (495) 974-83-50</w:t>
            </w:r>
          </w:p>
        </w:tc>
      </w:tr>
      <w:tr w:rsidR="00FD1FFE" w:rsidRPr="004761E0" w:rsidTr="00283695">
        <w:trPr>
          <w:cantSplit/>
          <w:trHeight w:val="70"/>
        </w:trPr>
        <w:tc>
          <w:tcPr>
            <w:tcW w:w="3657" w:type="dxa"/>
            <w:hideMark/>
          </w:tcPr>
          <w:p w:rsidR="00FD1FFE" w:rsidRPr="004761E0" w:rsidRDefault="00FD1FFE" w:rsidP="0024237C">
            <w:pPr>
              <w:ind w:firstLine="0"/>
              <w:jc w:val="left"/>
              <w:rPr>
                <w:rFonts w:eastAsia="Times New Roman"/>
                <w:sz w:val="20"/>
                <w:szCs w:val="26"/>
                <w:lang w:eastAsia="ru-RU"/>
              </w:rPr>
            </w:pPr>
          </w:p>
        </w:tc>
        <w:tc>
          <w:tcPr>
            <w:tcW w:w="5962" w:type="dxa"/>
            <w:hideMark/>
          </w:tcPr>
          <w:p w:rsidR="00FD1FFE" w:rsidRPr="004761E0" w:rsidRDefault="00283695" w:rsidP="00283695">
            <w:pPr>
              <w:ind w:firstLine="0"/>
              <w:jc w:val="left"/>
              <w:rPr>
                <w:rFonts w:eastAsia="Times New Roman"/>
                <w:sz w:val="20"/>
                <w:szCs w:val="26"/>
                <w:lang w:eastAsia="ru-RU"/>
              </w:rPr>
            </w:pPr>
            <w:r>
              <w:rPr>
                <w:rFonts w:eastAsia="Times New Roman"/>
                <w:sz w:val="20"/>
                <w:szCs w:val="26"/>
                <w:lang w:eastAsia="ru-RU"/>
              </w:rPr>
              <w:t xml:space="preserve">Обслуживание акционеров: </w:t>
            </w:r>
            <w:r w:rsidR="00FD1FFE" w:rsidRPr="004761E0">
              <w:rPr>
                <w:rFonts w:eastAsia="Times New Roman"/>
                <w:sz w:val="20"/>
                <w:szCs w:val="26"/>
                <w:lang w:eastAsia="ru-RU"/>
              </w:rPr>
              <w:t>+7 (495) 974-83-47</w:t>
            </w:r>
          </w:p>
        </w:tc>
      </w:tr>
      <w:tr w:rsidR="00FD1FFE" w:rsidRPr="004761E0" w:rsidTr="0024237C">
        <w:trPr>
          <w:cantSplit/>
          <w:trHeight w:val="85"/>
        </w:trPr>
        <w:tc>
          <w:tcPr>
            <w:tcW w:w="3657" w:type="dxa"/>
            <w:hideMark/>
          </w:tcPr>
          <w:p w:rsidR="00FD1FFE" w:rsidRPr="004761E0" w:rsidRDefault="00FD1FFE" w:rsidP="0024237C">
            <w:pPr>
              <w:ind w:firstLine="0"/>
              <w:jc w:val="left"/>
              <w:rPr>
                <w:rFonts w:eastAsia="Times New Roman"/>
                <w:sz w:val="20"/>
                <w:szCs w:val="26"/>
                <w:lang w:eastAsia="ru-RU"/>
              </w:rPr>
            </w:pPr>
            <w:r w:rsidRPr="004761E0">
              <w:rPr>
                <w:rFonts w:eastAsia="Times New Roman"/>
                <w:sz w:val="20"/>
                <w:szCs w:val="26"/>
                <w:lang w:eastAsia="ru-RU"/>
              </w:rPr>
              <w:t xml:space="preserve">Факс </w:t>
            </w:r>
          </w:p>
        </w:tc>
        <w:tc>
          <w:tcPr>
            <w:tcW w:w="5962" w:type="dxa"/>
            <w:hideMark/>
          </w:tcPr>
          <w:p w:rsidR="00FD1FFE" w:rsidRPr="004761E0" w:rsidRDefault="00FD1FFE" w:rsidP="0024237C">
            <w:pPr>
              <w:ind w:firstLine="0"/>
              <w:jc w:val="left"/>
              <w:rPr>
                <w:rFonts w:eastAsia="Times New Roman"/>
                <w:sz w:val="20"/>
                <w:szCs w:val="26"/>
                <w:lang w:eastAsia="ru-RU"/>
              </w:rPr>
            </w:pPr>
            <w:r w:rsidRPr="004761E0">
              <w:rPr>
                <w:rFonts w:eastAsia="Times New Roman"/>
                <w:sz w:val="20"/>
                <w:szCs w:val="26"/>
                <w:lang w:eastAsia="ru-RU"/>
              </w:rPr>
              <w:t xml:space="preserve">+7 (495) 678-71-10 </w:t>
            </w:r>
          </w:p>
        </w:tc>
      </w:tr>
      <w:tr w:rsidR="00FD1FFE" w:rsidRPr="004761E0" w:rsidTr="0024237C">
        <w:trPr>
          <w:cantSplit/>
          <w:trHeight w:val="85"/>
        </w:trPr>
        <w:tc>
          <w:tcPr>
            <w:tcW w:w="3657" w:type="dxa"/>
            <w:hideMark/>
          </w:tcPr>
          <w:p w:rsidR="00FD1FFE" w:rsidRPr="004761E0" w:rsidRDefault="00FD1FFE" w:rsidP="0024237C">
            <w:pPr>
              <w:ind w:firstLine="0"/>
              <w:jc w:val="left"/>
              <w:rPr>
                <w:rFonts w:eastAsia="Times New Roman"/>
                <w:sz w:val="20"/>
                <w:szCs w:val="26"/>
                <w:lang w:eastAsia="ru-RU"/>
              </w:rPr>
            </w:pPr>
            <w:r w:rsidRPr="004761E0">
              <w:rPr>
                <w:rFonts w:eastAsia="Times New Roman"/>
                <w:sz w:val="20"/>
                <w:szCs w:val="26"/>
                <w:lang w:eastAsia="ru-RU"/>
              </w:rPr>
              <w:t xml:space="preserve">Адрес электронной почты </w:t>
            </w:r>
          </w:p>
        </w:tc>
        <w:tc>
          <w:tcPr>
            <w:tcW w:w="5962" w:type="dxa"/>
            <w:hideMark/>
          </w:tcPr>
          <w:p w:rsidR="00FD1FFE" w:rsidRPr="004761E0" w:rsidRDefault="00FD1FFE" w:rsidP="0024237C">
            <w:pPr>
              <w:ind w:firstLine="0"/>
              <w:jc w:val="left"/>
              <w:rPr>
                <w:rFonts w:eastAsia="Times New Roman"/>
                <w:sz w:val="20"/>
                <w:szCs w:val="26"/>
                <w:lang w:eastAsia="ru-RU"/>
              </w:rPr>
            </w:pPr>
            <w:r w:rsidRPr="004761E0">
              <w:rPr>
                <w:rFonts w:eastAsia="Times New Roman"/>
                <w:sz w:val="20"/>
                <w:szCs w:val="26"/>
                <w:lang w:eastAsia="ru-RU"/>
              </w:rPr>
              <w:t xml:space="preserve">info@rostatus.ru </w:t>
            </w:r>
          </w:p>
        </w:tc>
      </w:tr>
      <w:tr w:rsidR="00FD1FFE" w:rsidRPr="0024237C" w:rsidTr="0024237C">
        <w:trPr>
          <w:cantSplit/>
          <w:trHeight w:val="85"/>
        </w:trPr>
        <w:tc>
          <w:tcPr>
            <w:tcW w:w="3657" w:type="dxa"/>
            <w:hideMark/>
          </w:tcPr>
          <w:p w:rsidR="00FD1FFE" w:rsidRPr="004761E0" w:rsidRDefault="0024237C" w:rsidP="0024237C">
            <w:pPr>
              <w:ind w:firstLine="0"/>
              <w:jc w:val="left"/>
              <w:rPr>
                <w:rFonts w:eastAsia="Times New Roman"/>
                <w:sz w:val="20"/>
                <w:szCs w:val="26"/>
                <w:lang w:eastAsia="ru-RU"/>
              </w:rPr>
            </w:pPr>
            <w:r w:rsidRPr="004761E0">
              <w:rPr>
                <w:rFonts w:eastAsia="Times New Roman"/>
                <w:sz w:val="20"/>
                <w:szCs w:val="26"/>
                <w:lang w:val="en-US" w:eastAsia="ru-RU"/>
              </w:rPr>
              <w:t>C</w:t>
            </w:r>
            <w:r w:rsidR="00FD1FFE" w:rsidRPr="004761E0">
              <w:rPr>
                <w:rFonts w:eastAsia="Times New Roman"/>
                <w:sz w:val="20"/>
                <w:szCs w:val="26"/>
                <w:lang w:eastAsia="ru-RU"/>
              </w:rPr>
              <w:t xml:space="preserve">айт </w:t>
            </w:r>
          </w:p>
        </w:tc>
        <w:tc>
          <w:tcPr>
            <w:tcW w:w="5962" w:type="dxa"/>
            <w:hideMark/>
          </w:tcPr>
          <w:p w:rsidR="00FD1FFE" w:rsidRPr="0024237C" w:rsidRDefault="00FD1FFE" w:rsidP="0024237C">
            <w:pPr>
              <w:ind w:firstLine="0"/>
              <w:jc w:val="left"/>
              <w:rPr>
                <w:rFonts w:eastAsia="Times New Roman"/>
                <w:sz w:val="20"/>
                <w:szCs w:val="26"/>
                <w:lang w:eastAsia="ru-RU"/>
              </w:rPr>
            </w:pPr>
            <w:r w:rsidRPr="004761E0">
              <w:rPr>
                <w:rFonts w:eastAsia="Times New Roman"/>
                <w:sz w:val="20"/>
                <w:szCs w:val="26"/>
                <w:lang w:eastAsia="ru-RU"/>
              </w:rPr>
              <w:t>www.rostatus.ru</w:t>
            </w:r>
            <w:r w:rsidRPr="0024237C">
              <w:rPr>
                <w:rFonts w:eastAsia="Times New Roman"/>
                <w:sz w:val="20"/>
                <w:szCs w:val="26"/>
                <w:lang w:eastAsia="ru-RU"/>
              </w:rPr>
              <w:t xml:space="preserve"> </w:t>
            </w:r>
          </w:p>
        </w:tc>
      </w:tr>
    </w:tbl>
    <w:p w:rsidR="00DE7EAB" w:rsidRDefault="00DE7EAB" w:rsidP="005F3058">
      <w:pPr>
        <w:pStyle w:val="a8"/>
        <w:tabs>
          <w:tab w:val="left" w:pos="1134"/>
        </w:tabs>
        <w:ind w:left="1134" w:firstLine="0"/>
        <w:jc w:val="both"/>
        <w:rPr>
          <w:rFonts w:ascii="Times New Roman" w:hAnsi="Times New Roman"/>
          <w:b/>
          <w:sz w:val="26"/>
          <w:szCs w:val="26"/>
          <w:lang w:eastAsia="ru-RU"/>
        </w:rPr>
      </w:pPr>
    </w:p>
    <w:sectPr w:rsidR="00DE7EAB" w:rsidSect="00FD1FFE">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58E0" w:rsidRDefault="00EC58E0" w:rsidP="004E0231">
      <w:r>
        <w:separator/>
      </w:r>
    </w:p>
  </w:endnote>
  <w:endnote w:type="continuationSeparator" w:id="0">
    <w:p w:rsidR="00EC58E0" w:rsidRDefault="00EC58E0" w:rsidP="004E02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00000000" w:usb2="00000000" w:usb3="00000000" w:csb0="000001FF" w:csb1="00000000"/>
  </w:font>
  <w:font w:name="PT Sans">
    <w:altName w:val="Arial"/>
    <w:panose1 w:val="00000000000000000000"/>
    <w:charset w:val="CC"/>
    <w:family w:val="swiss"/>
    <w:notTrueType/>
    <w:pitch w:val="default"/>
    <w:sig w:usb0="00000001"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Fontin Sans CR">
    <w:altName w:val="Arial"/>
    <w:panose1 w:val="00000000000000000000"/>
    <w:charset w:val="00"/>
    <w:family w:val="swiss"/>
    <w:notTrueType/>
    <w:pitch w:val="default"/>
    <w:sig w:usb0="00000001" w:usb1="00000000" w:usb2="00000000" w:usb3="00000000" w:csb0="00000005" w:csb1="00000000"/>
  </w:font>
  <w:font w:name="Consolas">
    <w:panose1 w:val="020B0609020204030204"/>
    <w:charset w:val="CC"/>
    <w:family w:val="modern"/>
    <w:pitch w:val="fixed"/>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4140754"/>
      <w:docPartObj>
        <w:docPartGallery w:val="Page Numbers (Bottom of Page)"/>
        <w:docPartUnique/>
      </w:docPartObj>
    </w:sdtPr>
    <w:sdtContent>
      <w:p w:rsidR="00EC58E0" w:rsidRDefault="00EA456F">
        <w:pPr>
          <w:pStyle w:val="af9"/>
          <w:jc w:val="right"/>
        </w:pPr>
        <w:fldSimple w:instr="PAGE   \* MERGEFORMAT">
          <w:r w:rsidR="00535215">
            <w:rPr>
              <w:noProof/>
            </w:rPr>
            <w:t>4</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8E0" w:rsidRDefault="00EA456F">
    <w:pPr>
      <w:pStyle w:val="af9"/>
      <w:jc w:val="right"/>
    </w:pPr>
    <w:fldSimple w:instr=" PAGE   \* MERGEFORMAT ">
      <w:r w:rsidR="00535215">
        <w:rPr>
          <w:noProof/>
        </w:rPr>
        <w:t>30</w:t>
      </w:r>
    </w:fldSimple>
  </w:p>
  <w:p w:rsidR="00EC58E0" w:rsidRDefault="00EC58E0">
    <w:pPr>
      <w:pStyle w:val="af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726285"/>
      <w:docPartObj>
        <w:docPartGallery w:val="Page Numbers (Bottom of Page)"/>
        <w:docPartUnique/>
      </w:docPartObj>
    </w:sdtPr>
    <w:sdtContent>
      <w:p w:rsidR="00EC58E0" w:rsidRDefault="00EA456F">
        <w:pPr>
          <w:pStyle w:val="af9"/>
          <w:jc w:val="right"/>
        </w:pPr>
        <w:fldSimple w:instr=" PAGE   \* MERGEFORMAT ">
          <w:r w:rsidR="00535215">
            <w:rPr>
              <w:noProof/>
            </w:rPr>
            <w:t>36</w:t>
          </w:r>
        </w:fldSimple>
      </w:p>
    </w:sdtContent>
  </w:sdt>
  <w:p w:rsidR="00EC58E0" w:rsidRDefault="00EC58E0">
    <w:pPr>
      <w:pStyle w:val="af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04876"/>
    </w:sdtPr>
    <w:sdtContent>
      <w:p w:rsidR="00EC58E0" w:rsidRDefault="00EA456F">
        <w:pPr>
          <w:pStyle w:val="af9"/>
          <w:jc w:val="right"/>
        </w:pPr>
        <w:fldSimple w:instr=" PAGE   \* MERGEFORMAT ">
          <w:r w:rsidR="00535215">
            <w:rPr>
              <w:noProof/>
            </w:rPr>
            <w:t>220</w:t>
          </w:r>
        </w:fldSimple>
      </w:p>
    </w:sdtContent>
  </w:sdt>
  <w:p w:rsidR="00EC58E0" w:rsidRDefault="00EC58E0">
    <w:pPr>
      <w:pStyle w:val="af9"/>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8E0" w:rsidRDefault="00EC58E0" w:rsidP="00763174">
    <w:pPr>
      <w:pStyle w:val="af9"/>
      <w:jc w:val="center"/>
    </w:pPr>
  </w:p>
  <w:p w:rsidR="00EC58E0" w:rsidRPr="00302C92" w:rsidRDefault="00EC58E0" w:rsidP="00763174">
    <w:pPr>
      <w:pStyle w:val="af9"/>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58E0" w:rsidRDefault="00EC58E0" w:rsidP="004E0231">
      <w:r>
        <w:separator/>
      </w:r>
    </w:p>
  </w:footnote>
  <w:footnote w:type="continuationSeparator" w:id="0">
    <w:p w:rsidR="00EC58E0" w:rsidRDefault="00EC58E0" w:rsidP="004E0231">
      <w:r>
        <w:continuationSeparator/>
      </w:r>
    </w:p>
  </w:footnote>
  <w:footnote w:id="1">
    <w:p w:rsidR="00EC58E0" w:rsidRDefault="00EC58E0" w:rsidP="007F0DB4">
      <w:pPr>
        <w:pStyle w:val="af"/>
        <w:ind w:firstLine="567"/>
      </w:pPr>
      <w:r w:rsidRPr="006F4AB8">
        <w:rPr>
          <w:rStyle w:val="af1"/>
        </w:rPr>
        <w:footnoteRef/>
      </w:r>
      <w:r>
        <w:t xml:space="preserve"> С</w:t>
      </w:r>
      <w:r w:rsidRPr="00BB2AFF">
        <w:t>видетельство о государственной регистрации серия 77 № 005900296, ОГРН 1057746555811 от 01.04.2005</w:t>
      </w:r>
      <w:r>
        <w:t>.</w:t>
      </w:r>
    </w:p>
  </w:footnote>
  <w:footnote w:id="2">
    <w:p w:rsidR="00EC58E0" w:rsidRDefault="00EC58E0" w:rsidP="00C7702C">
      <w:pPr>
        <w:pStyle w:val="af"/>
        <w:ind w:firstLine="567"/>
      </w:pPr>
      <w:r w:rsidRPr="006F4AB8">
        <w:rPr>
          <w:rStyle w:val="af1"/>
        </w:rPr>
        <w:footnoteRef/>
      </w:r>
      <w:r>
        <w:t xml:space="preserve"> Согласно по</w:t>
      </w:r>
      <w:r w:rsidRPr="0045755A">
        <w:t>становлени</w:t>
      </w:r>
      <w:r>
        <w:t>ю</w:t>
      </w:r>
      <w:r w:rsidRPr="0045755A">
        <w:t xml:space="preserve"> Правительства РФ от 11.07.2001 № 526 «О реформировании электроэнергетики Российской Федерации».</w:t>
      </w:r>
    </w:p>
  </w:footnote>
  <w:footnote w:id="3">
    <w:p w:rsidR="00EC58E0" w:rsidRPr="005D0FEB" w:rsidRDefault="00EC58E0" w:rsidP="00C7702C">
      <w:pPr>
        <w:pStyle w:val="af"/>
        <w:ind w:firstLine="567"/>
      </w:pPr>
      <w:r w:rsidRPr="006F4AB8">
        <w:rPr>
          <w:rStyle w:val="af1"/>
        </w:rPr>
        <w:footnoteRef/>
      </w:r>
      <w:r w:rsidRPr="005D0FEB">
        <w:t xml:space="preserve"> Согласно решению Совета директоров от 18.04.2013 (протокол от 19.04.2013 № 198).</w:t>
      </w:r>
    </w:p>
  </w:footnote>
  <w:footnote w:id="4">
    <w:p w:rsidR="00EC58E0" w:rsidRDefault="00EC58E0" w:rsidP="00C7702C">
      <w:pPr>
        <w:pStyle w:val="af"/>
        <w:ind w:firstLine="567"/>
      </w:pPr>
      <w:r w:rsidRPr="006F4AB8">
        <w:rPr>
          <w:rStyle w:val="af1"/>
        </w:rPr>
        <w:footnoteRef/>
      </w:r>
      <w:r w:rsidRPr="005D0FEB">
        <w:t xml:space="preserve"> Согласно Постановлению Совета Федерации Федерального Собрания РФ от 27.12.</w:t>
      </w:r>
      <w:r>
        <w:t>20</w:t>
      </w:r>
      <w:r w:rsidRPr="005D0FEB">
        <w:t>11 № 560-СФ «Об утверждении</w:t>
      </w:r>
      <w:r w:rsidRPr="0054516F">
        <w:t xml:space="preserve"> изменения границы между субъектами Р</w:t>
      </w:r>
      <w:r>
        <w:t>оссийской Федерации</w:t>
      </w:r>
      <w:r w:rsidRPr="0054516F">
        <w:t xml:space="preserve"> городом федерального значения Москвой и Московской областью»</w:t>
      </w:r>
      <w:r>
        <w:t>.</w:t>
      </w:r>
    </w:p>
  </w:footnote>
  <w:footnote w:id="5">
    <w:p w:rsidR="00EC58E0" w:rsidRDefault="00EC58E0" w:rsidP="00C7702C">
      <w:pPr>
        <w:pStyle w:val="af"/>
        <w:ind w:firstLine="567"/>
      </w:pPr>
      <w:r w:rsidRPr="006F4AB8">
        <w:rPr>
          <w:rStyle w:val="af1"/>
        </w:rPr>
        <w:footnoteRef/>
      </w:r>
      <w:r>
        <w:t xml:space="preserve"> Согласно з</w:t>
      </w:r>
      <w:r w:rsidRPr="007220FB">
        <w:t>акон</w:t>
      </w:r>
      <w:r>
        <w:t>у</w:t>
      </w:r>
      <w:r w:rsidRPr="007220FB">
        <w:t xml:space="preserve"> </w:t>
      </w:r>
      <w:proofErr w:type="gramStart"/>
      <w:r w:rsidRPr="007220FB">
        <w:t>г</w:t>
      </w:r>
      <w:proofErr w:type="gramEnd"/>
      <w:r w:rsidRPr="007220FB">
        <w:t>. Москвы от 11.04.2012 № 11</w:t>
      </w:r>
      <w:r>
        <w:t xml:space="preserve"> «</w:t>
      </w:r>
      <w:r w:rsidRPr="007220FB">
        <w:t xml:space="preserve">О внесении изменений в Закон города Москвы от 15 октября 2003 года </w:t>
      </w:r>
      <w:r>
        <w:t>№</w:t>
      </w:r>
      <w:r w:rsidRPr="007220FB">
        <w:t xml:space="preserve"> 59 “О наименованиях и границах внутригородских муниципаль</w:t>
      </w:r>
      <w:r>
        <w:t>ных образований в городе Москве</w:t>
      </w:r>
      <w:r w:rsidRPr="007220FB">
        <w:t>”</w:t>
      </w:r>
      <w:r>
        <w:t>».</w:t>
      </w:r>
    </w:p>
  </w:footnote>
  <w:footnote w:id="6">
    <w:p w:rsidR="00EC58E0" w:rsidRDefault="00EC58E0" w:rsidP="00C7702C">
      <w:pPr>
        <w:pStyle w:val="af"/>
        <w:ind w:firstLine="567"/>
      </w:pPr>
      <w:r w:rsidRPr="006F4AB8">
        <w:rPr>
          <w:rStyle w:val="af1"/>
        </w:rPr>
        <w:footnoteRef/>
      </w:r>
      <w:r>
        <w:t xml:space="preserve"> Согласно решению Совета директоров от 08.10.2013 (протокол от 11.10.2013 № 208).</w:t>
      </w:r>
    </w:p>
  </w:footnote>
  <w:footnote w:id="7">
    <w:p w:rsidR="00EC58E0" w:rsidRDefault="00EC58E0" w:rsidP="00A93A50">
      <w:pPr>
        <w:pStyle w:val="af"/>
      </w:pPr>
      <w:r w:rsidRPr="006F4AB8">
        <w:rPr>
          <w:rStyle w:val="af1"/>
        </w:rPr>
        <w:footnoteRef/>
      </w:r>
      <w:r>
        <w:t xml:space="preserve"> </w:t>
      </w:r>
      <w:r w:rsidRPr="006C61DC">
        <w:t>П</w:t>
      </w:r>
      <w:r>
        <w:t>олитика в области качества, утверждена п</w:t>
      </w:r>
      <w:r w:rsidRPr="006C61DC">
        <w:t>риказом от 1</w:t>
      </w:r>
      <w:r>
        <w:t>1</w:t>
      </w:r>
      <w:r w:rsidRPr="006C61DC">
        <w:t>.11.20</w:t>
      </w:r>
      <w:r>
        <w:t>11</w:t>
      </w:r>
      <w:r w:rsidRPr="006C61DC">
        <w:t xml:space="preserve"> №</w:t>
      </w:r>
      <w:r>
        <w:t> 831.</w:t>
      </w:r>
    </w:p>
  </w:footnote>
  <w:footnote w:id="8">
    <w:p w:rsidR="00EC58E0" w:rsidRDefault="00EC58E0" w:rsidP="00A93A50">
      <w:pPr>
        <w:pStyle w:val="af"/>
      </w:pPr>
      <w:r w:rsidRPr="006F4AB8">
        <w:rPr>
          <w:rStyle w:val="af1"/>
        </w:rPr>
        <w:footnoteRef/>
      </w:r>
      <w:r>
        <w:t xml:space="preserve"> </w:t>
      </w:r>
      <w:proofErr w:type="gramStart"/>
      <w:r>
        <w:t>Утверждена</w:t>
      </w:r>
      <w:proofErr w:type="gramEnd"/>
      <w:r>
        <w:t xml:space="preserve"> решением Совета директоров от 29.05.2013 (</w:t>
      </w:r>
      <w:r w:rsidRPr="00A95114">
        <w:t>протокол от 31.05.2013 № 200</w:t>
      </w:r>
      <w:r>
        <w:t>).</w:t>
      </w:r>
    </w:p>
  </w:footnote>
  <w:footnote w:id="9">
    <w:p w:rsidR="00EC58E0" w:rsidRDefault="00EC58E0" w:rsidP="00A93A50">
      <w:pPr>
        <w:pStyle w:val="af"/>
      </w:pPr>
      <w:r w:rsidRPr="006F4AB8">
        <w:rPr>
          <w:rStyle w:val="af1"/>
        </w:rPr>
        <w:footnoteRef/>
      </w:r>
      <w:r>
        <w:t xml:space="preserve"> Утверждена р</w:t>
      </w:r>
      <w:r w:rsidRPr="00F84146">
        <w:t>аспоряжение</w:t>
      </w:r>
      <w:r>
        <w:t>м</w:t>
      </w:r>
      <w:r w:rsidRPr="00F84146">
        <w:t xml:space="preserve"> Правительства РФ от 13.11.2009 </w:t>
      </w:r>
      <w:r>
        <w:t>№</w:t>
      </w:r>
      <w:r w:rsidRPr="00F84146">
        <w:t xml:space="preserve"> 1715-р </w:t>
      </w:r>
      <w:r>
        <w:t xml:space="preserve"> «</w:t>
      </w:r>
      <w:r w:rsidRPr="00F84146">
        <w:t>Об Энергетической стратегии России на период до 2030 года</w:t>
      </w:r>
      <w:r>
        <w:t>».</w:t>
      </w:r>
    </w:p>
  </w:footnote>
  <w:footnote w:id="10">
    <w:p w:rsidR="00EC58E0" w:rsidRPr="00AE36B5" w:rsidRDefault="00EC58E0" w:rsidP="00A93A50">
      <w:pPr>
        <w:pStyle w:val="af"/>
      </w:pPr>
      <w:r w:rsidRPr="006F4AB8">
        <w:rPr>
          <w:rStyle w:val="af1"/>
        </w:rPr>
        <w:footnoteRef/>
      </w:r>
      <w:r>
        <w:t xml:space="preserve"> Энергетическая стратегия </w:t>
      </w:r>
      <w:proofErr w:type="gramStart"/>
      <w:r>
        <w:t>г</w:t>
      </w:r>
      <w:proofErr w:type="gramEnd"/>
      <w:r>
        <w:t>. Москвы на период до 2025 года, Стратегия развития электроэнергетики в Московской области на период до 2020 года, Схема и Программа перспективного развития электроэнергетики Московской области на период 2013-2017 гг.</w:t>
      </w:r>
    </w:p>
  </w:footnote>
  <w:footnote w:id="11">
    <w:p w:rsidR="00EC58E0" w:rsidRDefault="00EC58E0">
      <w:pPr>
        <w:pStyle w:val="af"/>
      </w:pPr>
      <w:r w:rsidRPr="006F4AB8">
        <w:rPr>
          <w:rStyle w:val="af1"/>
        </w:rPr>
        <w:footnoteRef/>
      </w:r>
      <w:r>
        <w:t xml:space="preserve"> В</w:t>
      </w:r>
      <w:r w:rsidRPr="00112A97">
        <w:t xml:space="preserve"> соответствии с приказом Минэнерго Р</w:t>
      </w:r>
      <w:r>
        <w:t>оссии</w:t>
      </w:r>
      <w:r w:rsidRPr="00112A97">
        <w:t xml:space="preserve"> от 14.10.2013  №</w:t>
      </w:r>
      <w:r>
        <w:t xml:space="preserve"> </w:t>
      </w:r>
      <w:r w:rsidRPr="00112A97">
        <w:t>718 «Об утверждении методических указаний по расчету уровня надежности и качества поставляемых товаров и оказываемых услуг для организации по управлению единой национальной (общероссийской) электрической сетью и территориальных сетевых организаций»</w:t>
      </w:r>
      <w:r>
        <w:t>.</w:t>
      </w:r>
    </w:p>
  </w:footnote>
  <w:footnote w:id="12">
    <w:p w:rsidR="00EC58E0" w:rsidRDefault="00EC58E0" w:rsidP="006D3155">
      <w:pPr>
        <w:pStyle w:val="af"/>
      </w:pPr>
      <w:r w:rsidRPr="006F4AB8">
        <w:rPr>
          <w:rStyle w:val="af1"/>
        </w:rPr>
        <w:footnoteRef/>
      </w:r>
      <w:r>
        <w:t xml:space="preserve"> По методике Минэнерго России.</w:t>
      </w:r>
    </w:p>
  </w:footnote>
  <w:footnote w:id="13">
    <w:p w:rsidR="00EC58E0" w:rsidRDefault="00EC58E0" w:rsidP="006D3155">
      <w:pPr>
        <w:pStyle w:val="af"/>
      </w:pPr>
      <w:r w:rsidRPr="006F4AB8">
        <w:rPr>
          <w:rStyle w:val="af1"/>
        </w:rPr>
        <w:footnoteRef/>
      </w:r>
      <w:r>
        <w:t xml:space="preserve"> По методике Минэнерго России.</w:t>
      </w:r>
    </w:p>
  </w:footnote>
  <w:footnote w:id="14">
    <w:p w:rsidR="00EC58E0" w:rsidRDefault="00EC58E0" w:rsidP="00E7117F">
      <w:pPr>
        <w:pStyle w:val="af"/>
        <w:ind w:firstLine="567"/>
      </w:pPr>
      <w:r w:rsidRPr="006F4AB8">
        <w:rPr>
          <w:rStyle w:val="af1"/>
        </w:rPr>
        <w:footnoteRef/>
      </w:r>
      <w:r>
        <w:t> Утвержден решением Совета директоров от 13.01.2012 (протокол от 16.01.2012 № 158).</w:t>
      </w:r>
    </w:p>
  </w:footnote>
  <w:footnote w:id="15">
    <w:p w:rsidR="00EC58E0" w:rsidRDefault="00EC58E0" w:rsidP="00E7117F">
      <w:pPr>
        <w:pStyle w:val="af"/>
        <w:ind w:firstLine="567"/>
      </w:pPr>
      <w:r w:rsidRPr="006F4AB8">
        <w:rPr>
          <w:rStyle w:val="af1"/>
        </w:rPr>
        <w:footnoteRef/>
      </w:r>
      <w:r>
        <w:t> </w:t>
      </w:r>
      <w:r w:rsidRPr="008A0FF4">
        <w:t xml:space="preserve">Доля своевременно выданных оферт договоров технологического присоединения приведена по итогам оценки деятельности </w:t>
      </w:r>
      <w:r>
        <w:t xml:space="preserve">Компании </w:t>
      </w:r>
      <w:r w:rsidRPr="008A0FF4">
        <w:t xml:space="preserve">в </w:t>
      </w:r>
      <w:r>
        <w:rPr>
          <w:lang w:val="en-US"/>
        </w:rPr>
        <w:t>IV</w:t>
      </w:r>
      <w:r w:rsidRPr="008A0FF4">
        <w:t xml:space="preserve"> квартале 2013 года. Оценка проводилась с учетом изменений актов Правительства РФ по вопросам технологического присоединения к электрическим сетям, направленных на сокращение сроков выдачи оферт договоров об осуществлении технологического присоединения</w:t>
      </w:r>
      <w:r>
        <w:t>,</w:t>
      </w:r>
      <w:r w:rsidRPr="00E7117F">
        <w:t xml:space="preserve"> </w:t>
      </w:r>
      <w:r w:rsidRPr="008A0FF4">
        <w:t>вступивших в силу во второй половине 2013 года</w:t>
      </w:r>
      <w:r>
        <w:t>.</w:t>
      </w:r>
    </w:p>
  </w:footnote>
  <w:footnote w:id="16">
    <w:p w:rsidR="00EC58E0" w:rsidRDefault="00EC58E0" w:rsidP="00E7117F">
      <w:pPr>
        <w:pStyle w:val="af"/>
        <w:ind w:firstLine="567"/>
      </w:pPr>
      <w:r w:rsidRPr="006F4AB8">
        <w:rPr>
          <w:rStyle w:val="af1"/>
        </w:rPr>
        <w:footnoteRef/>
      </w:r>
      <w:r>
        <w:t xml:space="preserve"> После вступления в силу </w:t>
      </w:r>
      <w:r w:rsidRPr="00E340E7">
        <w:t xml:space="preserve">Постановления Правительства от 12.08.2013 № 691 </w:t>
      </w:r>
      <w:r>
        <w:t>«</w:t>
      </w:r>
      <w:r w:rsidRPr="00573789">
        <w:t>О внесении изменений в некоторые акты Правительства Российской Федерации по вопросам технологического присоединения к электрическим сетям</w:t>
      </w:r>
      <w:r>
        <w:t>»</w:t>
      </w:r>
      <w:r w:rsidRPr="00573789">
        <w:t xml:space="preserve"> </w:t>
      </w:r>
      <w:r w:rsidRPr="00E340E7">
        <w:t>срок направления проекта договора об осуществлении технологического п</w:t>
      </w:r>
      <w:r>
        <w:t xml:space="preserve">рисоединения в адрес заявителей </w:t>
      </w:r>
      <w:r w:rsidRPr="00E340E7">
        <w:t>сокращен</w:t>
      </w:r>
      <w:r>
        <w:t xml:space="preserve"> </w:t>
      </w:r>
      <w:r w:rsidRPr="00E340E7">
        <w:t xml:space="preserve">в два раза </w:t>
      </w:r>
      <w:r>
        <w:t xml:space="preserve">- </w:t>
      </w:r>
      <w:r w:rsidRPr="00E340E7">
        <w:t>до 15 дней</w:t>
      </w:r>
      <w:r>
        <w:t>.</w:t>
      </w:r>
    </w:p>
  </w:footnote>
  <w:footnote w:id="17">
    <w:p w:rsidR="00EC58E0" w:rsidRDefault="00EC58E0" w:rsidP="00E7117F">
      <w:pPr>
        <w:pStyle w:val="af"/>
        <w:ind w:firstLine="567"/>
      </w:pPr>
      <w:r w:rsidRPr="006F4AB8">
        <w:rPr>
          <w:rStyle w:val="af1"/>
        </w:rPr>
        <w:footnoteRef/>
      </w:r>
      <w:r>
        <w:t xml:space="preserve"> Схема синхронизирована и учитывает следующие документы: </w:t>
      </w:r>
      <w:proofErr w:type="gramStart"/>
      <w:r w:rsidRPr="00374EDF">
        <w:t>Генеральную схему размещения объектов электроэнергетики до 2030 г.</w:t>
      </w:r>
      <w:r>
        <w:t xml:space="preserve">, </w:t>
      </w:r>
      <w:r w:rsidRPr="00112A97">
        <w:rPr>
          <w:color w:val="000000"/>
        </w:rPr>
        <w:t>Схему и программу развития ЕЭС России на 2013-2019 гг</w:t>
      </w:r>
      <w:r>
        <w:rPr>
          <w:color w:val="000000"/>
        </w:rPr>
        <w:t xml:space="preserve">. </w:t>
      </w:r>
      <w:r>
        <w:t xml:space="preserve">(утверждена </w:t>
      </w:r>
      <w:r w:rsidRPr="00112A97">
        <w:t>приказом Минэнерго Р</w:t>
      </w:r>
      <w:r>
        <w:t xml:space="preserve">оссии </w:t>
      </w:r>
      <w:r w:rsidRPr="00112A97">
        <w:t xml:space="preserve">от 19.06.2013 </w:t>
      </w:r>
      <w:r>
        <w:t xml:space="preserve">№ 309), </w:t>
      </w:r>
      <w:r w:rsidRPr="00112A97">
        <w:rPr>
          <w:color w:val="000000"/>
        </w:rPr>
        <w:t xml:space="preserve">Схему и программу перспективного развития электроэнергетики энергетики Московской области на 2014-2018 гг. </w:t>
      </w:r>
      <w:r>
        <w:rPr>
          <w:color w:val="000000"/>
        </w:rPr>
        <w:t>(</w:t>
      </w:r>
      <w:r w:rsidRPr="003213D5">
        <w:rPr>
          <w:color w:val="000000"/>
        </w:rPr>
        <w:t>у</w:t>
      </w:r>
      <w:r w:rsidRPr="003213D5">
        <w:t>тверждены распоряжением</w:t>
      </w:r>
      <w:r w:rsidRPr="00112A97">
        <w:t xml:space="preserve"> Минэнерго М</w:t>
      </w:r>
      <w:r>
        <w:t xml:space="preserve">осковской области </w:t>
      </w:r>
      <w:r w:rsidRPr="00112A97">
        <w:t>от 30.04.2013 № 07-р</w:t>
      </w:r>
      <w:r>
        <w:t xml:space="preserve">), </w:t>
      </w:r>
      <w:r w:rsidRPr="00374EDF">
        <w:t xml:space="preserve">Проекты инвестиционных программ </w:t>
      </w:r>
      <w:r>
        <w:t>ОАО «МОЭСК», ОАО «ФСК ЕЭС» и других</w:t>
      </w:r>
      <w:r w:rsidRPr="00374EDF">
        <w:t xml:space="preserve"> энергокомпаний Московского региона.</w:t>
      </w:r>
      <w:proofErr w:type="gramEnd"/>
    </w:p>
  </w:footnote>
  <w:footnote w:id="18">
    <w:p w:rsidR="00EC58E0" w:rsidRDefault="00EC58E0" w:rsidP="00E7117F">
      <w:pPr>
        <w:pStyle w:val="af"/>
        <w:ind w:firstLine="567"/>
      </w:pPr>
      <w:r w:rsidRPr="006F4AB8">
        <w:rPr>
          <w:rStyle w:val="af1"/>
        </w:rPr>
        <w:footnoteRef/>
      </w:r>
      <w:r>
        <w:t xml:space="preserve"> Производительность труда (план) = плановый полезный отпуск «собственный» / </w:t>
      </w:r>
      <w:r w:rsidRPr="00E91CF5">
        <w:t>утвержденн</w:t>
      </w:r>
      <w:r>
        <w:t>ая</w:t>
      </w:r>
      <w:r w:rsidRPr="00E91CF5">
        <w:t xml:space="preserve"> штатн</w:t>
      </w:r>
      <w:r>
        <w:t>ая</w:t>
      </w:r>
      <w:r w:rsidRPr="00E91CF5">
        <w:t xml:space="preserve"> численность персонала, занятого на передаче э</w:t>
      </w:r>
      <w:r>
        <w:t>лектроэнергии,</w:t>
      </w:r>
      <w:r w:rsidRPr="00E91CF5">
        <w:t xml:space="preserve"> по состоянию на </w:t>
      </w:r>
      <w:r>
        <w:t>0</w:t>
      </w:r>
      <w:r w:rsidRPr="00E91CF5">
        <w:t>1.01.2013</w:t>
      </w:r>
      <w:r>
        <w:t>.</w:t>
      </w:r>
    </w:p>
  </w:footnote>
  <w:footnote w:id="19">
    <w:p w:rsidR="00EC58E0" w:rsidRDefault="00EC58E0" w:rsidP="00E7117F">
      <w:pPr>
        <w:pStyle w:val="af"/>
        <w:ind w:firstLine="567"/>
      </w:pPr>
      <w:r w:rsidRPr="006F4AB8">
        <w:rPr>
          <w:rStyle w:val="af1"/>
        </w:rPr>
        <w:footnoteRef/>
      </w:r>
      <w:r>
        <w:t> </w:t>
      </w:r>
      <w:r w:rsidRPr="00E91CF5">
        <w:rPr>
          <w:color w:val="000000"/>
        </w:rPr>
        <w:t>Производительность труда</w:t>
      </w:r>
      <w:r w:rsidRPr="004761E0">
        <w:rPr>
          <w:rFonts w:eastAsia="Times New Roman"/>
          <w:color w:val="000000"/>
          <w:lang w:eastAsia="ru-RU"/>
        </w:rPr>
        <w:t xml:space="preserve"> </w:t>
      </w:r>
      <w:r>
        <w:rPr>
          <w:rFonts w:eastAsia="Times New Roman"/>
          <w:color w:val="000000"/>
          <w:lang w:eastAsia="ru-RU"/>
        </w:rPr>
        <w:t>(факт) = п</w:t>
      </w:r>
      <w:r w:rsidRPr="004761E0">
        <w:rPr>
          <w:rFonts w:eastAsia="Times New Roman"/>
          <w:color w:val="000000"/>
          <w:lang w:eastAsia="ru-RU"/>
        </w:rPr>
        <w:t>олезный отпуск «собственный»</w:t>
      </w:r>
      <w:r>
        <w:rPr>
          <w:rFonts w:eastAsia="Times New Roman"/>
          <w:color w:val="000000"/>
          <w:lang w:eastAsia="ru-RU"/>
        </w:rPr>
        <w:t xml:space="preserve"> за год / среднесписочная численность </w:t>
      </w:r>
      <w:r w:rsidRPr="00E91CF5">
        <w:rPr>
          <w:rFonts w:eastAsia="Times New Roman"/>
          <w:color w:val="000000"/>
          <w:lang w:eastAsia="ru-RU"/>
        </w:rPr>
        <w:t>персонала, занятого на передаче э</w:t>
      </w:r>
      <w:r>
        <w:rPr>
          <w:rFonts w:eastAsia="Times New Roman"/>
          <w:color w:val="000000"/>
          <w:lang w:eastAsia="ru-RU"/>
        </w:rPr>
        <w:t>лектроэнергии, за год</w:t>
      </w:r>
      <w:r w:rsidRPr="00E91CF5">
        <w:rPr>
          <w:rFonts w:eastAsia="Times New Roman"/>
          <w:color w:val="000000"/>
          <w:lang w:eastAsia="ru-RU"/>
        </w:rPr>
        <w:t>.</w:t>
      </w:r>
    </w:p>
  </w:footnote>
  <w:footnote w:id="20">
    <w:p w:rsidR="00EC58E0" w:rsidRDefault="00EC58E0">
      <w:pPr>
        <w:pStyle w:val="af"/>
      </w:pPr>
      <w:r w:rsidRPr="006F4AB8">
        <w:rPr>
          <w:rStyle w:val="af1"/>
        </w:rPr>
        <w:footnoteRef/>
      </w:r>
      <w:r>
        <w:t xml:space="preserve"> </w:t>
      </w:r>
      <w:proofErr w:type="gramStart"/>
      <w:r>
        <w:t>Утверждена</w:t>
      </w:r>
      <w:proofErr w:type="gramEnd"/>
      <w:r>
        <w:t xml:space="preserve"> решением Совета директоров от </w:t>
      </w:r>
      <w:r w:rsidRPr="00A26B2D">
        <w:t>23</w:t>
      </w:r>
      <w:r>
        <w:t>.11.</w:t>
      </w:r>
      <w:r w:rsidRPr="00A26B2D">
        <w:t xml:space="preserve">2011 </w:t>
      </w:r>
      <w:r>
        <w:t xml:space="preserve">(протокол от 25.11.2011 № </w:t>
      </w:r>
      <w:r w:rsidRPr="00A26B2D">
        <w:t>152</w:t>
      </w:r>
      <w:r>
        <w:t>).</w:t>
      </w:r>
    </w:p>
  </w:footnote>
  <w:footnote w:id="21">
    <w:p w:rsidR="00EC58E0" w:rsidRDefault="00EC58E0" w:rsidP="00C713E2">
      <w:pPr>
        <w:pStyle w:val="af"/>
      </w:pPr>
      <w:r w:rsidRPr="006F4AB8">
        <w:rPr>
          <w:rStyle w:val="af1"/>
        </w:rPr>
        <w:footnoteRef/>
      </w:r>
      <w:r>
        <w:t xml:space="preserve"> </w:t>
      </w:r>
      <w:r w:rsidRPr="001512E9">
        <w:t>Показатель уровня надежности оказываемых услуг определяется как частное от деления средней продолжительности прекращений передачи электрической энергии на количество точек присоединения потребителей к электрической сети.</w:t>
      </w:r>
    </w:p>
  </w:footnote>
  <w:footnote w:id="22">
    <w:p w:rsidR="00EC58E0" w:rsidRDefault="00EC58E0" w:rsidP="00C713E2">
      <w:pPr>
        <w:pStyle w:val="af"/>
      </w:pPr>
      <w:r w:rsidRPr="006F4AB8">
        <w:rPr>
          <w:rStyle w:val="af1"/>
        </w:rPr>
        <w:footnoteRef/>
      </w:r>
      <w:r>
        <w:t xml:space="preserve"> </w:t>
      </w:r>
      <w:r w:rsidRPr="001512E9">
        <w:t>Показатель уровня качества оказываемых услуг определяется исходя из фактических значений индикаторов информативности, исполнительности и обратной связи с учетом весовых коэффициентов.</w:t>
      </w:r>
    </w:p>
  </w:footnote>
  <w:footnote w:id="23">
    <w:p w:rsidR="00EC58E0" w:rsidRDefault="00EC58E0">
      <w:pPr>
        <w:pStyle w:val="af"/>
      </w:pPr>
      <w:r w:rsidRPr="006F4AB8">
        <w:rPr>
          <w:rStyle w:val="af1"/>
        </w:rPr>
        <w:footnoteRef/>
      </w:r>
      <w:r>
        <w:t xml:space="preserve"> Заседание от 01.07.2013 (протокол от 02.07.2013 №36/13).</w:t>
      </w:r>
    </w:p>
  </w:footnote>
  <w:footnote w:id="24">
    <w:p w:rsidR="00EC58E0" w:rsidRDefault="00EC58E0" w:rsidP="00950820">
      <w:pPr>
        <w:pStyle w:val="af"/>
      </w:pPr>
      <w:r w:rsidRPr="006F4AB8">
        <w:rPr>
          <w:rStyle w:val="af1"/>
        </w:rPr>
        <w:footnoteRef/>
      </w:r>
      <w:r>
        <w:t xml:space="preserve"> </w:t>
      </w:r>
      <w:r w:rsidRPr="00F3675C">
        <w:t xml:space="preserve">В соответствии с Постановлениями РЭК </w:t>
      </w:r>
      <w:r>
        <w:t xml:space="preserve">г. </w:t>
      </w:r>
      <w:r w:rsidRPr="00F3675C">
        <w:t>Москвы от 25.09.2006</w:t>
      </w:r>
      <w:r>
        <w:t xml:space="preserve"> </w:t>
      </w:r>
      <w:r w:rsidRPr="00F3675C">
        <w:t xml:space="preserve"> № 40 и от 13.11.2006 № 46</w:t>
      </w:r>
    </w:p>
  </w:footnote>
  <w:footnote w:id="25">
    <w:p w:rsidR="00EC58E0" w:rsidRDefault="00EC58E0" w:rsidP="00C94651">
      <w:pPr>
        <w:pStyle w:val="af"/>
      </w:pPr>
      <w:r w:rsidRPr="006F4AB8">
        <w:rPr>
          <w:rStyle w:val="af1"/>
        </w:rPr>
        <w:footnoteRef/>
      </w:r>
      <w:r>
        <w:t xml:space="preserve"> Утверждены </w:t>
      </w:r>
      <w:r w:rsidRPr="00E71430">
        <w:t>Постановлением Правительства РФ от 04.05.2012 №</w:t>
      </w:r>
      <w:r>
        <w:t xml:space="preserve"> </w:t>
      </w:r>
      <w:r w:rsidRPr="00E71430">
        <w:t>442</w:t>
      </w:r>
      <w:r>
        <w:t xml:space="preserve"> «О функционировании розничных рынков электрической энергии, полном и (или) частичном ограничении режима потребления электрической энергии».</w:t>
      </w:r>
    </w:p>
  </w:footnote>
  <w:footnote w:id="26">
    <w:p w:rsidR="00EC58E0" w:rsidRDefault="00EC58E0">
      <w:pPr>
        <w:pStyle w:val="af"/>
      </w:pPr>
      <w:r w:rsidRPr="006F4AB8">
        <w:rPr>
          <w:rStyle w:val="af1"/>
        </w:rPr>
        <w:footnoteRef/>
      </w:r>
      <w:r w:rsidRPr="00C94651">
        <w:t xml:space="preserve"> </w:t>
      </w:r>
      <w:proofErr w:type="gramStart"/>
      <w:r>
        <w:t>Утверждены</w:t>
      </w:r>
      <w:r w:rsidRPr="00E71430">
        <w:t xml:space="preserve"> Постановлением Правительства РФ</w:t>
      </w:r>
      <w:r w:rsidRPr="00C94651">
        <w:t xml:space="preserve"> №861 от 27.12.2004</w:t>
      </w:r>
      <w:r>
        <w:t xml:space="preserve"> «</w:t>
      </w:r>
      <w:r w:rsidRPr="00C94651">
        <w: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w:t>
      </w:r>
      <w:proofErr w:type="gramEnd"/>
      <w:r w:rsidRPr="00C94651">
        <w:t xml:space="preserve"> по производству электрической энергии, а также объектов электросетевого хозяйства, принадлежащих сетевым организациям и ин</w:t>
      </w:r>
      <w:r>
        <w:t>ым лицам, к электрическим сетям».</w:t>
      </w:r>
    </w:p>
  </w:footnote>
  <w:footnote w:id="27">
    <w:p w:rsidR="00EC58E0" w:rsidRDefault="00EC58E0">
      <w:pPr>
        <w:pStyle w:val="af"/>
      </w:pPr>
      <w:r w:rsidRPr="006F4AB8">
        <w:rPr>
          <w:rStyle w:val="af1"/>
        </w:rPr>
        <w:footnoteRef/>
      </w:r>
      <w:r>
        <w:t xml:space="preserve"> </w:t>
      </w:r>
      <w:r w:rsidRPr="00CA110D">
        <w:t>с учетом положений 13(1) Правил недискриминационного доступа к услугам по передаче электроэнергии, утв. Постановлением Правительства РФ №861 от 27.12.2004</w:t>
      </w:r>
    </w:p>
  </w:footnote>
  <w:footnote w:id="28">
    <w:p w:rsidR="00EC58E0" w:rsidRDefault="00EC58E0" w:rsidP="0050032D">
      <w:pPr>
        <w:pStyle w:val="af"/>
      </w:pPr>
      <w:r w:rsidRPr="006F4AB8">
        <w:rPr>
          <w:rStyle w:val="af1"/>
        </w:rPr>
        <w:footnoteRef/>
      </w:r>
      <w:r>
        <w:t xml:space="preserve"> </w:t>
      </w:r>
      <w:proofErr w:type="gramStart"/>
      <w:r>
        <w:t>Утверждены</w:t>
      </w:r>
      <w:proofErr w:type="gramEnd"/>
      <w:r>
        <w:t xml:space="preserve"> решением Совета директоров 30.05.2013 (протокол от 01.06.2013 № 201), скорректированы  решением Совета директоров от 15.11.2013 (протокол от 18.11.2013 № 210). </w:t>
      </w:r>
    </w:p>
  </w:footnote>
  <w:footnote w:id="29">
    <w:p w:rsidR="00EC58E0" w:rsidRDefault="00EC58E0" w:rsidP="00C23B97">
      <w:pPr>
        <w:pStyle w:val="af"/>
      </w:pPr>
      <w:r w:rsidRPr="006F4AB8">
        <w:rPr>
          <w:rStyle w:val="af1"/>
        </w:rPr>
        <w:footnoteRef/>
      </w:r>
      <w:r>
        <w:t xml:space="preserve"> </w:t>
      </w:r>
      <w:r w:rsidRPr="00B85192">
        <w:t>Приказ</w:t>
      </w:r>
      <w:r>
        <w:t xml:space="preserve"> ОАО «МОЭСК» </w:t>
      </w:r>
      <w:r w:rsidRPr="00B85192">
        <w:t>от 09.08.2013 № 811.</w:t>
      </w:r>
    </w:p>
  </w:footnote>
  <w:footnote w:id="30">
    <w:p w:rsidR="00EC58E0" w:rsidRDefault="00EC58E0" w:rsidP="00C23B97">
      <w:pPr>
        <w:pStyle w:val="af"/>
      </w:pPr>
      <w:r w:rsidRPr="006F4AB8">
        <w:rPr>
          <w:rStyle w:val="af1"/>
        </w:rPr>
        <w:footnoteRef/>
      </w:r>
      <w:r>
        <w:t xml:space="preserve"> </w:t>
      </w:r>
      <w:r w:rsidRPr="00B85192">
        <w:t>Приказ</w:t>
      </w:r>
      <w:r>
        <w:t xml:space="preserve"> ОАО «МОЭСК» </w:t>
      </w:r>
      <w:r w:rsidRPr="0002307F">
        <w:t>от 09.12.2013 № 1318</w:t>
      </w:r>
      <w:r>
        <w:t>.</w:t>
      </w:r>
    </w:p>
  </w:footnote>
  <w:footnote w:id="31">
    <w:p w:rsidR="00EC58E0" w:rsidRDefault="00EC58E0" w:rsidP="00C23B97">
      <w:pPr>
        <w:pStyle w:val="af"/>
      </w:pPr>
      <w:r w:rsidRPr="006F4AB8">
        <w:rPr>
          <w:rStyle w:val="af1"/>
        </w:rPr>
        <w:footnoteRef/>
      </w:r>
      <w:r>
        <w:t xml:space="preserve"> Приказ ОАО «МОЭСК» </w:t>
      </w:r>
      <w:r w:rsidRPr="0002307F">
        <w:t>от 20.09.</w:t>
      </w:r>
      <w:r>
        <w:t>20</w:t>
      </w:r>
      <w:r w:rsidRPr="0002307F">
        <w:t xml:space="preserve">13 </w:t>
      </w:r>
      <w:r>
        <w:t>№ 975.</w:t>
      </w:r>
    </w:p>
  </w:footnote>
  <w:footnote w:id="32">
    <w:p w:rsidR="00EC58E0" w:rsidRDefault="00EC58E0" w:rsidP="00C23B97">
      <w:pPr>
        <w:pStyle w:val="af"/>
      </w:pPr>
      <w:r w:rsidRPr="006F4AB8">
        <w:rPr>
          <w:rStyle w:val="af1"/>
        </w:rPr>
        <w:footnoteRef/>
      </w:r>
      <w:r>
        <w:t xml:space="preserve"> </w:t>
      </w:r>
      <w:r w:rsidRPr="00B85192">
        <w:t>Приказ</w:t>
      </w:r>
      <w:r>
        <w:t xml:space="preserve"> ОАО «МОЭСК» </w:t>
      </w:r>
      <w:r w:rsidRPr="0002307F">
        <w:t>от 09.12.2013 № 1318</w:t>
      </w:r>
      <w:r>
        <w:t>.</w:t>
      </w:r>
    </w:p>
  </w:footnote>
  <w:footnote w:id="33">
    <w:p w:rsidR="00EC58E0" w:rsidRDefault="00EC58E0" w:rsidP="00DC64F2">
      <w:pPr>
        <w:pStyle w:val="af"/>
      </w:pPr>
      <w:r w:rsidRPr="006F4AB8">
        <w:rPr>
          <w:rStyle w:val="af1"/>
        </w:rPr>
        <w:footnoteRef/>
      </w:r>
      <w:r>
        <w:t xml:space="preserve"> </w:t>
      </w:r>
      <w:r w:rsidRPr="0049025E">
        <w:rPr>
          <w:rFonts w:eastAsia="Times New Roman"/>
          <w:color w:val="000000"/>
          <w:lang w:eastAsia="ru-RU"/>
        </w:rPr>
        <w:t xml:space="preserve">Отпуск из сети потребителям и смежным </w:t>
      </w:r>
      <w:r>
        <w:rPr>
          <w:rFonts w:eastAsia="Times New Roman"/>
          <w:color w:val="000000"/>
          <w:lang w:eastAsia="ru-RU"/>
        </w:rPr>
        <w:t>территориальным сетевым организациям</w:t>
      </w:r>
      <w:r w:rsidRPr="0049025E">
        <w:rPr>
          <w:rFonts w:eastAsia="Times New Roman"/>
          <w:color w:val="000000"/>
          <w:lang w:eastAsia="ru-RU"/>
        </w:rPr>
        <w:t xml:space="preserve"> в границах балансовой и эксплуатационной ответственности</w:t>
      </w:r>
      <w:r>
        <w:rPr>
          <w:rFonts w:eastAsia="Times New Roman"/>
          <w:color w:val="000000"/>
          <w:lang w:eastAsia="ru-RU"/>
        </w:rPr>
        <w:t>.</w:t>
      </w:r>
    </w:p>
  </w:footnote>
  <w:footnote w:id="34">
    <w:p w:rsidR="00EC58E0" w:rsidRDefault="00EC58E0" w:rsidP="00DA4470">
      <w:pPr>
        <w:pStyle w:val="af"/>
      </w:pPr>
      <w:r w:rsidRPr="006F4AB8">
        <w:rPr>
          <w:rStyle w:val="af1"/>
        </w:rPr>
        <w:footnoteRef/>
      </w:r>
      <w:r>
        <w:t xml:space="preserve"> </w:t>
      </w:r>
      <w:proofErr w:type="gramStart"/>
      <w:r w:rsidRPr="00C11B48">
        <w:t>Федеральным законом Р</w:t>
      </w:r>
      <w:r>
        <w:t>Ф</w:t>
      </w:r>
      <w:r w:rsidRPr="00C11B48">
        <w:t xml:space="preserve"> от 23.11.2009 № 261-ФЗ «Об энергосбережении и о повышении энергетической эффективности и о внесении изменений в отдельные законодательные акты Р</w:t>
      </w:r>
      <w:r>
        <w:t>Ф</w:t>
      </w:r>
      <w:r w:rsidRPr="00C11B48">
        <w:t>», постановлением Правительства Р</w:t>
      </w:r>
      <w:r>
        <w:t>Ф</w:t>
      </w:r>
      <w:r w:rsidRPr="00C11B48">
        <w:t xml:space="preserve"> от 15</w:t>
      </w:r>
      <w:r>
        <w:t>.05.</w:t>
      </w:r>
      <w:r w:rsidRPr="00C11B48">
        <w:t xml:space="preserve">2010 № 340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w:t>
      </w:r>
      <w:r>
        <w:t>П</w:t>
      </w:r>
      <w:r w:rsidRPr="00C11B48">
        <w:t>остановлением РЭК г. Москвы от 24.12.2012 №</w:t>
      </w:r>
      <w:r>
        <w:t> </w:t>
      </w:r>
      <w:r w:rsidRPr="00C11B48">
        <w:t>398 «Об установлении Требований к программам в области</w:t>
      </w:r>
      <w:proofErr w:type="gramEnd"/>
      <w:r w:rsidRPr="00C11B48">
        <w:t xml:space="preserve"> энергосбережения и повышения энергетической эффективности организаций, осуществляющих регулируемые виды деятельности на территории </w:t>
      </w:r>
      <w:proofErr w:type="gramStart"/>
      <w:r w:rsidRPr="00C11B48">
        <w:t>г</w:t>
      </w:r>
      <w:proofErr w:type="gramEnd"/>
      <w:r>
        <w:t>. </w:t>
      </w:r>
      <w:r w:rsidRPr="00C11B48">
        <w:t xml:space="preserve">Москвы», </w:t>
      </w:r>
      <w:r>
        <w:t>Р</w:t>
      </w:r>
      <w:r w:rsidRPr="00C11B48">
        <w:t>аспоряжением Комитета по ценам и тарифам Московской области от 20.04.2012 № 35-р «Об</w:t>
      </w:r>
      <w:r>
        <w:t> </w:t>
      </w:r>
      <w:r w:rsidRPr="00C11B48">
        <w:t>утверждении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на территории Московской области»</w:t>
      </w:r>
      <w:r>
        <w:t>.</w:t>
      </w:r>
    </w:p>
  </w:footnote>
  <w:footnote w:id="35">
    <w:p w:rsidR="00EC58E0" w:rsidRDefault="00EC58E0" w:rsidP="00DA4470">
      <w:pPr>
        <w:pStyle w:val="af"/>
      </w:pPr>
      <w:r w:rsidRPr="006F4AB8">
        <w:rPr>
          <w:rStyle w:val="af1"/>
        </w:rPr>
        <w:footnoteRef/>
      </w:r>
      <w:r>
        <w:t> </w:t>
      </w:r>
      <w:proofErr w:type="gramStart"/>
      <w:r>
        <w:t>У</w:t>
      </w:r>
      <w:r w:rsidRPr="00162369">
        <w:t>твержден</w:t>
      </w:r>
      <w:r>
        <w:t>а</w:t>
      </w:r>
      <w:proofErr w:type="gramEnd"/>
      <w:r w:rsidRPr="00162369">
        <w:t xml:space="preserve"> решением Совета директоров от 05.02.2013</w:t>
      </w:r>
      <w:r>
        <w:t xml:space="preserve"> (п</w:t>
      </w:r>
      <w:r w:rsidRPr="00F566BF">
        <w:t>ротокол от 07.02.2013 № 191</w:t>
      </w:r>
      <w:r>
        <w:t>).</w:t>
      </w:r>
    </w:p>
  </w:footnote>
  <w:footnote w:id="36">
    <w:p w:rsidR="00EC58E0" w:rsidRDefault="00EC58E0" w:rsidP="00DA4470">
      <w:pPr>
        <w:pStyle w:val="af"/>
      </w:pPr>
      <w:r w:rsidRPr="006F4AB8">
        <w:rPr>
          <w:rStyle w:val="af1"/>
        </w:rPr>
        <w:footnoteRef/>
      </w:r>
      <w:r>
        <w:t> </w:t>
      </w:r>
      <w:proofErr w:type="gramStart"/>
      <w:r>
        <w:t>К целевым относятся мероприятия, реализация которых обеспечивает сокращение потребления энергетических ресурсов (в т.ч. электроэнергии) и (или) воды не менее чем на 15 % от годового потребления соответствующего ресурса, с окупаемостью 80 % вложенных средств за 5 лет для потребления энергетических ресурсов и (или) воды на производственные и хозяйственные нужды и окупаемостью не более 10 лет для мероприятий обеспечивающих снижение потерь при</w:t>
      </w:r>
      <w:proofErr w:type="gramEnd"/>
      <w:r>
        <w:t xml:space="preserve"> передаче и распределении электроэнергии. </w:t>
      </w:r>
    </w:p>
    <w:p w:rsidR="00EC58E0" w:rsidRDefault="00EC58E0" w:rsidP="00DA4470">
      <w:pPr>
        <w:pStyle w:val="af"/>
      </w:pPr>
      <w:r>
        <w:t>К сопутствующим мероприятиям по оптимизации расхода на производственные и хозяйственные нужды и мероприятиям по снижению потерь электрической энергии отнесены мероприятия, имеющие положительную энергетическую эффективность и не соответствующие критериям отнесения к целевым.</w:t>
      </w:r>
    </w:p>
    <w:p w:rsidR="00EC58E0" w:rsidRDefault="00EC58E0" w:rsidP="00DA4470">
      <w:pPr>
        <w:pStyle w:val="af"/>
      </w:pPr>
      <w:r>
        <w:t>При этом мероприятия по выявлению бездоговорного потребления выполняются ежегодно, относятся к «поддерживающим»  имеющийся уровень потерь электроэнергии (или мероприятия по недопущению потерь) и не влияют на показатели баланса электроэнергии Компании.</w:t>
      </w:r>
    </w:p>
  </w:footnote>
  <w:footnote w:id="37">
    <w:p w:rsidR="00EC58E0" w:rsidRDefault="00EC58E0" w:rsidP="00DA4470">
      <w:pPr>
        <w:pStyle w:val="af"/>
        <w:ind w:firstLine="567"/>
      </w:pPr>
      <w:r w:rsidRPr="006F4AB8">
        <w:rPr>
          <w:rStyle w:val="af1"/>
        </w:rPr>
        <w:footnoteRef/>
      </w:r>
      <w:r>
        <w:t xml:space="preserve"> С</w:t>
      </w:r>
      <w:r w:rsidRPr="009B5829">
        <w:t xml:space="preserve"> учетом точек поставки арендаторов</w:t>
      </w:r>
      <w:r>
        <w:t>.</w:t>
      </w:r>
    </w:p>
  </w:footnote>
  <w:footnote w:id="38">
    <w:p w:rsidR="00EC58E0" w:rsidRDefault="00EC58E0" w:rsidP="00DA4470">
      <w:pPr>
        <w:pStyle w:val="af"/>
        <w:ind w:firstLine="567"/>
      </w:pPr>
      <w:r w:rsidRPr="006F4AB8">
        <w:rPr>
          <w:rStyle w:val="af1"/>
        </w:rPr>
        <w:footnoteRef/>
      </w:r>
      <w:r>
        <w:t xml:space="preserve"> </w:t>
      </w:r>
      <w:r w:rsidRPr="00DA4470">
        <w:t xml:space="preserve">т у.т. – тонн условного топлива. Условное топливо - </w:t>
      </w:r>
      <w:r w:rsidRPr="00DA4470">
        <w:rPr>
          <w:color w:val="272B2B"/>
          <w:shd w:val="clear" w:color="auto" w:fill="FFFFFF"/>
        </w:rPr>
        <w:t>единица учёта органического топлива, применяемая для сопоставления эффективности различных видов топлива и их суммарного учёта. В России за условное топливо принимается теплотворная способность каменного угля (29,3 МДж на 1 кг угля).</w:t>
      </w:r>
    </w:p>
  </w:footnote>
  <w:footnote w:id="39">
    <w:p w:rsidR="00EC58E0" w:rsidRDefault="00EC58E0" w:rsidP="00DA4470">
      <w:pPr>
        <w:pStyle w:val="af"/>
      </w:pPr>
      <w:r w:rsidRPr="006F4AB8">
        <w:rPr>
          <w:rStyle w:val="af1"/>
        </w:rPr>
        <w:footnoteRef/>
      </w:r>
      <w:r>
        <w:t xml:space="preserve"> Приказ ОАО «Россети» </w:t>
      </w:r>
      <w:r w:rsidRPr="00F25B9C">
        <w:t xml:space="preserve">от 09.09.2013 </w:t>
      </w:r>
      <w:r>
        <w:t xml:space="preserve">№ 561 </w:t>
      </w:r>
      <w:r w:rsidRPr="00F25B9C">
        <w:t xml:space="preserve">«Об организации работы по энергосбережению и повышению энергетической эффективности в </w:t>
      </w:r>
      <w:r>
        <w:t>ОАО </w:t>
      </w:r>
      <w:r w:rsidRPr="00F25B9C">
        <w:t>«Россети»</w:t>
      </w:r>
      <w:r>
        <w:t>.</w:t>
      </w:r>
    </w:p>
  </w:footnote>
  <w:footnote w:id="40">
    <w:p w:rsidR="00EC58E0" w:rsidRDefault="00EC58E0" w:rsidP="00DA4470">
      <w:pPr>
        <w:pStyle w:val="af"/>
      </w:pPr>
      <w:r w:rsidRPr="006F4AB8">
        <w:rPr>
          <w:rStyle w:val="af1"/>
        </w:rPr>
        <w:footnoteRef/>
      </w:r>
      <w:r>
        <w:t xml:space="preserve"> Согласно п</w:t>
      </w:r>
      <w:r w:rsidRPr="00F25B9C">
        <w:t>риказ</w:t>
      </w:r>
      <w:r>
        <w:t>у</w:t>
      </w:r>
      <w:r w:rsidRPr="00F25B9C">
        <w:t xml:space="preserve"> от 28.06.2013 № 638 «О введении в действие системы энергетического менеджмента»</w:t>
      </w:r>
      <w:r>
        <w:t>.</w:t>
      </w:r>
    </w:p>
  </w:footnote>
  <w:footnote w:id="41">
    <w:p w:rsidR="00EC58E0" w:rsidRDefault="00EC58E0" w:rsidP="00DA4470">
      <w:pPr>
        <w:pStyle w:val="af"/>
      </w:pPr>
      <w:r w:rsidRPr="006F4AB8">
        <w:rPr>
          <w:rStyle w:val="af1"/>
        </w:rPr>
        <w:footnoteRef/>
      </w:r>
      <w:r>
        <w:t xml:space="preserve"> Согласно п</w:t>
      </w:r>
      <w:r w:rsidRPr="00F25B9C">
        <w:t>риказ</w:t>
      </w:r>
      <w:r>
        <w:t>у</w:t>
      </w:r>
      <w:r w:rsidRPr="00F25B9C">
        <w:t xml:space="preserve"> от 18.10.2013 № 1104 «О внесении дополнений в приказ </w:t>
      </w:r>
      <w:r>
        <w:t>ОАО </w:t>
      </w:r>
      <w:r w:rsidRPr="00F25B9C">
        <w:t>«МОЭСК» от 28.06.2013 № 638»</w:t>
      </w:r>
      <w:r>
        <w:t>.</w:t>
      </w:r>
    </w:p>
  </w:footnote>
  <w:footnote w:id="42">
    <w:p w:rsidR="00EC58E0" w:rsidRPr="007877E1" w:rsidRDefault="00EC58E0">
      <w:pPr>
        <w:pStyle w:val="af"/>
      </w:pPr>
      <w:r w:rsidRPr="006F4AB8">
        <w:rPr>
          <w:rStyle w:val="af1"/>
        </w:rPr>
        <w:footnoteRef/>
      </w:r>
      <w:r>
        <w:t xml:space="preserve"> О</w:t>
      </w:r>
      <w:r w:rsidRPr="007877E1">
        <w:t>т англ. Interactive Voice Response, функция голосового</w:t>
      </w:r>
      <w:r>
        <w:t xml:space="preserve"> меню для распределения звонков.</w:t>
      </w:r>
    </w:p>
  </w:footnote>
  <w:footnote w:id="43">
    <w:p w:rsidR="00EC58E0" w:rsidRDefault="00EC58E0">
      <w:pPr>
        <w:pStyle w:val="af"/>
      </w:pPr>
      <w:r w:rsidRPr="006F4AB8">
        <w:rPr>
          <w:rStyle w:val="af1"/>
        </w:rPr>
        <w:footnoteRef/>
      </w:r>
      <w:r>
        <w:t xml:space="preserve"> </w:t>
      </w:r>
      <w:proofErr w:type="gramStart"/>
      <w:r>
        <w:t>Утверждена</w:t>
      </w:r>
      <w:proofErr w:type="gramEnd"/>
      <w:r>
        <w:t xml:space="preserve"> приказом от 29.12.2012 № 1145.</w:t>
      </w:r>
    </w:p>
  </w:footnote>
  <w:footnote w:id="44">
    <w:p w:rsidR="00EC58E0" w:rsidRDefault="00EC58E0">
      <w:pPr>
        <w:pStyle w:val="af"/>
      </w:pPr>
      <w:r w:rsidRPr="006F4AB8">
        <w:rPr>
          <w:rStyle w:val="af1"/>
        </w:rPr>
        <w:footnoteRef/>
      </w:r>
      <w:r>
        <w:t xml:space="preserve"> Приказ от 21.03.2013 № 237, в дальнейшем изменен приказами от 13.05.2013 № 456 и 06.08.2013 № 782, от 24.10.2013 № 1122.</w:t>
      </w:r>
    </w:p>
  </w:footnote>
  <w:footnote w:id="45">
    <w:p w:rsidR="00EC58E0" w:rsidRDefault="00EC58E0" w:rsidP="00474A33">
      <w:pPr>
        <w:autoSpaceDE w:val="0"/>
        <w:autoSpaceDN w:val="0"/>
        <w:adjustRightInd w:val="0"/>
        <w:ind w:firstLine="567"/>
      </w:pPr>
      <w:r w:rsidRPr="006F4AB8">
        <w:rPr>
          <w:rStyle w:val="af1"/>
        </w:rPr>
        <w:footnoteRef/>
      </w:r>
      <w:r>
        <w:t xml:space="preserve"> </w:t>
      </w:r>
      <w:proofErr w:type="gramStart"/>
      <w:r w:rsidRPr="00474A33">
        <w:rPr>
          <w:sz w:val="20"/>
          <w:szCs w:val="20"/>
        </w:rPr>
        <w:t>Постановление Правительства от 27.12.2004 № 861</w:t>
      </w:r>
      <w:r>
        <w:rPr>
          <w:sz w:val="20"/>
          <w:szCs w:val="20"/>
        </w:rPr>
        <w:t xml:space="preserve">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w:t>
      </w:r>
      <w:proofErr w:type="gramEnd"/>
      <w:r>
        <w:rPr>
          <w:sz w:val="20"/>
          <w:szCs w:val="20"/>
        </w:rPr>
        <w:t xml:space="preserve"> электрической энергии, а также объектов электросетевого хозяйства, принадлежащих сетевым организациям и иным лицам, к электрическим сетям».</w:t>
      </w:r>
    </w:p>
  </w:footnote>
  <w:footnote w:id="46">
    <w:p w:rsidR="00EC58E0" w:rsidRDefault="00EC58E0" w:rsidP="004F48EE">
      <w:pPr>
        <w:pStyle w:val="af"/>
      </w:pPr>
      <w:r w:rsidRPr="006F4AB8">
        <w:rPr>
          <w:rStyle w:val="af1"/>
        </w:rPr>
        <w:footnoteRef/>
      </w:r>
      <w:r>
        <w:t xml:space="preserve"> Согласно приложению</w:t>
      </w:r>
      <w:r w:rsidRPr="004F48EE">
        <w:t xml:space="preserve"> №</w:t>
      </w:r>
      <w:r>
        <w:t xml:space="preserve"> </w:t>
      </w:r>
      <w:r w:rsidRPr="004F48EE">
        <w:t xml:space="preserve">8 </w:t>
      </w:r>
      <w:r>
        <w:t xml:space="preserve">к </w:t>
      </w:r>
      <w:r w:rsidRPr="004F48EE">
        <w:t>приказ</w:t>
      </w:r>
      <w:r>
        <w:t>у</w:t>
      </w:r>
      <w:r w:rsidRPr="004F48EE">
        <w:t xml:space="preserve"> от 07.06.2013</w:t>
      </w:r>
      <w:r>
        <w:t xml:space="preserve"> </w:t>
      </w:r>
      <w:r w:rsidRPr="004F48EE">
        <w:t xml:space="preserve">№ 556 «Об итогах прохождения осенне-зимнего периода 2012-2013 годов и организации подготовки к осенне-зимнему периоду </w:t>
      </w:r>
      <w:r>
        <w:t>2013-2014 годов».</w:t>
      </w:r>
    </w:p>
  </w:footnote>
  <w:footnote w:id="47">
    <w:p w:rsidR="00EC58E0" w:rsidRDefault="00EC58E0">
      <w:pPr>
        <w:pStyle w:val="af"/>
      </w:pPr>
      <w:r w:rsidRPr="006F4AB8">
        <w:rPr>
          <w:rStyle w:val="af1"/>
        </w:rPr>
        <w:footnoteRef/>
      </w:r>
      <w:r>
        <w:t xml:space="preserve"> </w:t>
      </w:r>
      <w:r w:rsidRPr="00253C5F">
        <w:t>Повреждение оборудования абонентов, проведение несанкционированных работ в охранных зонах воздушных и кабельных линий, наезд автотранспорта на опоры, расстрел изоляторов и т.д.</w:t>
      </w:r>
    </w:p>
  </w:footnote>
  <w:footnote w:id="48">
    <w:p w:rsidR="00EC58E0" w:rsidRDefault="00EC58E0">
      <w:pPr>
        <w:pStyle w:val="af"/>
      </w:pPr>
      <w:r w:rsidRPr="006F4AB8">
        <w:rPr>
          <w:rStyle w:val="af1"/>
        </w:rPr>
        <w:footnoteRef/>
      </w:r>
      <w:r>
        <w:t xml:space="preserve"> Разрытие грунта </w:t>
      </w:r>
      <w:r w:rsidRPr="00B85C36">
        <w:t>приводит к механическому повреждению оболочки кабельных линий вследствие подвижки грунтов, попадания влаги в изоляцию, ускорения процесса старения и, в дальнейшем, к ее пробою</w:t>
      </w:r>
      <w:r>
        <w:t>.</w:t>
      </w:r>
    </w:p>
  </w:footnote>
  <w:footnote w:id="49">
    <w:p w:rsidR="00EC58E0" w:rsidRDefault="00EC58E0" w:rsidP="00B83BD2">
      <w:pPr>
        <w:pStyle w:val="ConsPlusTitle"/>
        <w:spacing w:line="276" w:lineRule="auto"/>
        <w:ind w:firstLine="567"/>
        <w:jc w:val="both"/>
      </w:pPr>
      <w:r w:rsidRPr="006F4AB8">
        <w:rPr>
          <w:rStyle w:val="af1"/>
        </w:rPr>
        <w:footnoteRef/>
      </w:r>
      <w:r w:rsidRPr="003B0EA7">
        <w:rPr>
          <w:rFonts w:ascii="Times New Roman" w:eastAsia="Times New Roman" w:hAnsi="Times New Roman"/>
          <w:b w:val="0"/>
          <w:color w:val="000000"/>
          <w:sz w:val="28"/>
          <w:szCs w:val="28"/>
        </w:rPr>
        <w:t xml:space="preserve"> </w:t>
      </w:r>
      <w:proofErr w:type="gramStart"/>
      <w:r w:rsidRPr="003B0EA7">
        <w:rPr>
          <w:rFonts w:ascii="Times New Roman" w:eastAsia="Times New Roman" w:hAnsi="Times New Roman" w:cs="Calibri"/>
          <w:b w:val="0"/>
          <w:color w:val="000000"/>
          <w:sz w:val="18"/>
          <w:szCs w:val="18"/>
        </w:rPr>
        <w:t>В соответствии</w:t>
      </w:r>
      <w:r w:rsidRPr="004732CE">
        <w:rPr>
          <w:rFonts w:ascii="Times New Roman" w:eastAsia="Times New Roman" w:hAnsi="Times New Roman" w:cs="Calibri"/>
          <w:b w:val="0"/>
          <w:color w:val="000000"/>
          <w:sz w:val="18"/>
          <w:szCs w:val="18"/>
        </w:rPr>
        <w:t xml:space="preserve"> с Федеральным законом  от 26.03.2003 №</w:t>
      </w:r>
      <w:r>
        <w:rPr>
          <w:rFonts w:ascii="Times New Roman" w:eastAsia="Times New Roman" w:hAnsi="Times New Roman" w:cs="Calibri"/>
          <w:b w:val="0"/>
          <w:color w:val="000000"/>
          <w:sz w:val="18"/>
          <w:szCs w:val="18"/>
        </w:rPr>
        <w:t> </w:t>
      </w:r>
      <w:r w:rsidRPr="004732CE">
        <w:rPr>
          <w:rFonts w:ascii="Times New Roman" w:eastAsia="Times New Roman" w:hAnsi="Times New Roman" w:cs="Calibri"/>
          <w:b w:val="0"/>
          <w:color w:val="000000"/>
          <w:sz w:val="18"/>
          <w:szCs w:val="18"/>
        </w:rPr>
        <w:t xml:space="preserve">35-ФЗ «Об электроэнергетике» решение о превышении предельных уровней цен (тарифов) принимается органом исполнительной власти субъекта Российской Федерации в области государственного регулирования тарифов самостоятельно, если такое превышение обусловлено размером инвестиционных программ субъектов </w:t>
      </w:r>
      <w:r w:rsidRPr="004732CE">
        <w:rPr>
          <w:rFonts w:ascii="Times New Roman" w:eastAsia="Times New Roman" w:hAnsi="Times New Roman" w:cs="Calibri"/>
          <w:b w:val="0"/>
          <w:bCs w:val="0"/>
          <w:color w:val="000000"/>
          <w:sz w:val="18"/>
          <w:szCs w:val="18"/>
          <w:lang w:eastAsia="en-US"/>
        </w:rPr>
        <w:t xml:space="preserve">электроэнергетики, утвержденных в </w:t>
      </w:r>
      <w:hyperlink r:id="rId1" w:history="1">
        <w:r w:rsidRPr="004732CE">
          <w:rPr>
            <w:rFonts w:ascii="Times New Roman" w:eastAsia="Times New Roman" w:hAnsi="Times New Roman" w:cs="Calibri"/>
            <w:b w:val="0"/>
            <w:bCs w:val="0"/>
            <w:color w:val="000000"/>
            <w:sz w:val="18"/>
            <w:szCs w:val="18"/>
            <w:lang w:eastAsia="en-US"/>
          </w:rPr>
          <w:t>порядке</w:t>
        </w:r>
      </w:hyperlink>
      <w:r w:rsidRPr="004732CE">
        <w:rPr>
          <w:rFonts w:ascii="Times New Roman" w:eastAsia="Times New Roman" w:hAnsi="Times New Roman" w:cs="Calibri"/>
          <w:b w:val="0"/>
          <w:bCs w:val="0"/>
          <w:color w:val="000000"/>
          <w:sz w:val="18"/>
          <w:szCs w:val="18"/>
          <w:lang w:eastAsia="en-US"/>
        </w:rPr>
        <w:t>, установленном Правительством Российской Федерации)</w:t>
      </w:r>
      <w:r>
        <w:rPr>
          <w:rFonts w:ascii="Times New Roman" w:eastAsia="Times New Roman" w:hAnsi="Times New Roman" w:cs="Calibri"/>
          <w:b w:val="0"/>
          <w:bCs w:val="0"/>
          <w:color w:val="000000"/>
          <w:sz w:val="18"/>
          <w:szCs w:val="18"/>
          <w:lang w:eastAsia="en-US"/>
        </w:rPr>
        <w:t>.</w:t>
      </w:r>
      <w:proofErr w:type="gramEnd"/>
    </w:p>
  </w:footnote>
  <w:footnote w:id="50">
    <w:p w:rsidR="00EC58E0" w:rsidRDefault="00EC58E0">
      <w:pPr>
        <w:pStyle w:val="af"/>
      </w:pPr>
      <w:r w:rsidRPr="006F4AB8">
        <w:rPr>
          <w:rStyle w:val="af1"/>
        </w:rPr>
        <w:footnoteRef/>
      </w:r>
      <w:r>
        <w:t xml:space="preserve"> Согласно решению Совета директоров от 15.08.2013 (п</w:t>
      </w:r>
      <w:r w:rsidRPr="00F10456">
        <w:t>ротокола от 16.08.2013 № 205</w:t>
      </w:r>
      <w:r>
        <w:t>).</w:t>
      </w:r>
    </w:p>
  </w:footnote>
  <w:footnote w:id="51">
    <w:p w:rsidR="00EC58E0" w:rsidRDefault="00EC58E0" w:rsidP="003429ED">
      <w:pPr>
        <w:pStyle w:val="af"/>
      </w:pPr>
      <w:r w:rsidRPr="006F4AB8">
        <w:rPr>
          <w:rStyle w:val="af1"/>
        </w:rPr>
        <w:footnoteRef/>
      </w:r>
      <w:r>
        <w:t xml:space="preserve"> № </w:t>
      </w:r>
      <w:r w:rsidRPr="007027E9">
        <w:t>А40-81159/2012</w:t>
      </w:r>
    </w:p>
  </w:footnote>
  <w:footnote w:id="52">
    <w:p w:rsidR="00EC58E0" w:rsidRDefault="00EC58E0" w:rsidP="003429ED">
      <w:pPr>
        <w:pStyle w:val="af"/>
      </w:pPr>
      <w:r w:rsidRPr="006F4AB8">
        <w:rPr>
          <w:rStyle w:val="af1"/>
        </w:rPr>
        <w:footnoteRef/>
      </w:r>
      <w:r>
        <w:t xml:space="preserve"> </w:t>
      </w:r>
      <w:proofErr w:type="gramStart"/>
      <w:r>
        <w:t>Нагрузочные потери – стоимость потерь, учтенных в ценах на электроэнергию на оптовом рынке электроэнергии, отнесенная на субъекта оптового рынка и рассчитанная ОАО «АТС».</w:t>
      </w:r>
      <w:proofErr w:type="gramEnd"/>
    </w:p>
  </w:footnote>
  <w:footnote w:id="53">
    <w:p w:rsidR="00EC58E0" w:rsidRDefault="00EC58E0">
      <w:pPr>
        <w:pStyle w:val="af"/>
      </w:pPr>
      <w:r w:rsidRPr="006F4AB8">
        <w:rPr>
          <w:rStyle w:val="af1"/>
        </w:rPr>
        <w:footnoteRef/>
      </w:r>
      <w:r>
        <w:t xml:space="preserve"> Сведения по индексам потребительских цен представлены согласно данным Росстата. </w:t>
      </w:r>
    </w:p>
  </w:footnote>
  <w:footnote w:id="54">
    <w:p w:rsidR="00EC58E0" w:rsidRDefault="00EC58E0">
      <w:pPr>
        <w:pStyle w:val="af"/>
      </w:pPr>
      <w:r w:rsidRPr="006F4AB8">
        <w:rPr>
          <w:rStyle w:val="af1"/>
        </w:rPr>
        <w:footnoteRef/>
      </w:r>
      <w:r>
        <w:t xml:space="preserve"> Рост у.е. с учетом эластичности = (объем у.е. отчетного года / объем у.е. предыдущего года – 1) *0,75+1.</w:t>
      </w:r>
    </w:p>
  </w:footnote>
  <w:footnote w:id="55">
    <w:p w:rsidR="00EC58E0" w:rsidRDefault="00EC58E0">
      <w:pPr>
        <w:pStyle w:val="af"/>
      </w:pPr>
      <w:r w:rsidRPr="006F4AB8">
        <w:rPr>
          <w:rStyle w:val="af1"/>
        </w:rPr>
        <w:footnoteRef/>
      </w:r>
      <w:r>
        <w:t xml:space="preserve"> Коэффициент приведения = </w:t>
      </w:r>
      <w:r>
        <w:rPr>
          <w:rFonts w:eastAsia="Times New Roman"/>
          <w:lang w:eastAsia="ru-RU"/>
        </w:rPr>
        <w:t>и</w:t>
      </w:r>
      <w:r w:rsidRPr="00AA7AA7">
        <w:rPr>
          <w:rFonts w:eastAsia="Times New Roman"/>
          <w:lang w:eastAsia="ru-RU"/>
        </w:rPr>
        <w:t>ндекс</w:t>
      </w:r>
      <w:proofErr w:type="gramStart"/>
      <w:r>
        <w:rPr>
          <w:rFonts w:eastAsia="Times New Roman"/>
          <w:lang w:eastAsia="ru-RU"/>
        </w:rPr>
        <w:t xml:space="preserve"> (-</w:t>
      </w:r>
      <w:proofErr w:type="gramEnd"/>
      <w:r>
        <w:rPr>
          <w:rFonts w:eastAsia="Times New Roman"/>
          <w:lang w:eastAsia="ru-RU"/>
        </w:rPr>
        <w:t>ы)</w:t>
      </w:r>
      <w:r w:rsidRPr="00AA7AA7">
        <w:rPr>
          <w:rFonts w:eastAsia="Times New Roman"/>
          <w:lang w:eastAsia="ru-RU"/>
        </w:rPr>
        <w:t xml:space="preserve"> потребительских цен</w:t>
      </w:r>
      <w:r>
        <w:rPr>
          <w:rFonts w:eastAsia="Times New Roman"/>
          <w:lang w:eastAsia="ru-RU"/>
        </w:rPr>
        <w:t xml:space="preserve"> каждого года, начиная с 2011 года * р</w:t>
      </w:r>
      <w:r w:rsidRPr="00AA7AA7">
        <w:rPr>
          <w:rFonts w:eastAsia="Times New Roman"/>
          <w:lang w:eastAsia="ru-RU"/>
        </w:rPr>
        <w:t>ост у.е. с учетом эластичности</w:t>
      </w:r>
      <w:r>
        <w:rPr>
          <w:rFonts w:eastAsia="Times New Roman"/>
          <w:lang w:eastAsia="ru-RU"/>
        </w:rPr>
        <w:t xml:space="preserve">. </w:t>
      </w:r>
    </w:p>
  </w:footnote>
  <w:footnote w:id="56">
    <w:p w:rsidR="00EC58E0" w:rsidRDefault="00EC58E0">
      <w:pPr>
        <w:pStyle w:val="af"/>
      </w:pPr>
      <w:r w:rsidRPr="006F4AB8">
        <w:rPr>
          <w:rStyle w:val="af1"/>
        </w:rPr>
        <w:footnoteRef/>
      </w:r>
      <w:r>
        <w:t xml:space="preserve"> </w:t>
      </w:r>
      <w:r w:rsidRPr="00AA7AA7">
        <w:rPr>
          <w:rFonts w:eastAsia="Times New Roman"/>
          <w:lang w:eastAsia="ru-RU"/>
        </w:rPr>
        <w:t>Подконтрольные затраты с учетом коэффициента приведения</w:t>
      </w:r>
      <w:r>
        <w:rPr>
          <w:rFonts w:eastAsia="Times New Roman"/>
          <w:lang w:eastAsia="ru-RU"/>
        </w:rPr>
        <w:t xml:space="preserve"> = </w:t>
      </w:r>
      <w:r w:rsidRPr="00AA7AA7">
        <w:rPr>
          <w:rFonts w:eastAsia="Times New Roman"/>
          <w:lang w:eastAsia="ru-RU"/>
        </w:rPr>
        <w:t xml:space="preserve">Подконтрольные затраты </w:t>
      </w:r>
      <w:r>
        <w:rPr>
          <w:rFonts w:eastAsia="Times New Roman"/>
          <w:lang w:eastAsia="ru-RU"/>
        </w:rPr>
        <w:t>*</w:t>
      </w:r>
      <w:r w:rsidRPr="00AA7AA7">
        <w:rPr>
          <w:rFonts w:eastAsia="Times New Roman"/>
          <w:lang w:eastAsia="ru-RU"/>
        </w:rPr>
        <w:t xml:space="preserve"> коэффициент приведения</w:t>
      </w:r>
      <w:r>
        <w:rPr>
          <w:rFonts w:eastAsia="Times New Roman"/>
          <w:lang w:eastAsia="ru-RU"/>
        </w:rPr>
        <w:t>.</w:t>
      </w:r>
    </w:p>
  </w:footnote>
  <w:footnote w:id="57">
    <w:p w:rsidR="00EC58E0" w:rsidRDefault="00EC58E0">
      <w:pPr>
        <w:pStyle w:val="af"/>
      </w:pPr>
      <w:r w:rsidRPr="006F4AB8">
        <w:rPr>
          <w:rStyle w:val="af1"/>
        </w:rPr>
        <w:footnoteRef/>
      </w:r>
      <w:r>
        <w:t xml:space="preserve"> </w:t>
      </w:r>
      <w:r w:rsidRPr="00AA7AA7">
        <w:rPr>
          <w:rFonts w:eastAsia="Times New Roman"/>
          <w:lang w:eastAsia="ru-RU"/>
        </w:rPr>
        <w:t>Снижение затрат</w:t>
      </w:r>
      <w:r>
        <w:rPr>
          <w:rFonts w:eastAsia="Times New Roman"/>
          <w:lang w:eastAsia="ru-RU"/>
        </w:rPr>
        <w:t xml:space="preserve"> = 1 – п</w:t>
      </w:r>
      <w:r w:rsidRPr="00AA7AA7">
        <w:rPr>
          <w:rFonts w:eastAsia="Times New Roman"/>
          <w:lang w:eastAsia="ru-RU"/>
        </w:rPr>
        <w:t>одконтрольные затраты с учетом коэффициента приведения</w:t>
      </w:r>
      <w:r>
        <w:rPr>
          <w:rFonts w:eastAsia="Times New Roman"/>
          <w:lang w:eastAsia="ru-RU"/>
        </w:rPr>
        <w:t xml:space="preserve"> отчетного года / подконтрольные затраты 2010 года, в процентном выражении.</w:t>
      </w:r>
    </w:p>
  </w:footnote>
  <w:footnote w:id="58">
    <w:p w:rsidR="00EC58E0" w:rsidRPr="00B208F5" w:rsidRDefault="00EC58E0" w:rsidP="003429ED">
      <w:pPr>
        <w:pStyle w:val="af"/>
      </w:pPr>
      <w:r w:rsidRPr="006F4AB8">
        <w:rPr>
          <w:rStyle w:val="af1"/>
        </w:rPr>
        <w:footnoteRef/>
      </w:r>
      <w:r>
        <w:t xml:space="preserve"> </w:t>
      </w:r>
      <w:r>
        <w:rPr>
          <w:lang w:val="en-US"/>
        </w:rPr>
        <w:t>EBITDA</w:t>
      </w:r>
      <w:r w:rsidRPr="00B208F5">
        <w:t>=</w:t>
      </w:r>
      <w:r>
        <w:t>чистая прибыль+налог наприбыль+проценты к уплате+амортизация-проценты к получению.</w:t>
      </w:r>
    </w:p>
  </w:footnote>
  <w:footnote w:id="59">
    <w:p w:rsidR="00EC58E0" w:rsidRDefault="00EC58E0" w:rsidP="003429ED">
      <w:pPr>
        <w:pStyle w:val="af"/>
      </w:pPr>
      <w:r w:rsidRPr="006F4AB8">
        <w:rPr>
          <w:rStyle w:val="af1"/>
        </w:rPr>
        <w:footnoteRef/>
      </w:r>
      <w:r>
        <w:t xml:space="preserve"> </w:t>
      </w:r>
      <w:r>
        <w:rPr>
          <w:rFonts w:eastAsia="Times New Roman"/>
          <w:lang w:eastAsia="ru-RU"/>
        </w:rPr>
        <w:t>П</w:t>
      </w:r>
      <w:r w:rsidRPr="004761E0">
        <w:rPr>
          <w:rFonts w:eastAsia="Times New Roman"/>
          <w:lang w:eastAsia="ru-RU"/>
        </w:rPr>
        <w:t>роценты (нетто-величина)</w:t>
      </w:r>
      <w:r>
        <w:rPr>
          <w:rFonts w:eastAsia="Times New Roman"/>
          <w:lang w:eastAsia="ru-RU"/>
        </w:rPr>
        <w:t xml:space="preserve"> = с</w:t>
      </w:r>
      <w:r w:rsidRPr="009B5AE4">
        <w:t xml:space="preserve">альдо проценты к уплате </w:t>
      </w:r>
      <w:r>
        <w:t>–</w:t>
      </w:r>
      <w:r w:rsidRPr="009B5AE4">
        <w:t xml:space="preserve"> проценты к получению</w:t>
      </w:r>
      <w:r>
        <w:t>.</w:t>
      </w:r>
    </w:p>
  </w:footnote>
  <w:footnote w:id="60">
    <w:p w:rsidR="00EC58E0" w:rsidRDefault="00EC58E0" w:rsidP="00196C95">
      <w:pPr>
        <w:pStyle w:val="af"/>
      </w:pPr>
      <w:r w:rsidRPr="006F4AB8">
        <w:rPr>
          <w:rStyle w:val="af1"/>
        </w:rPr>
        <w:footnoteRef/>
      </w:r>
      <w:r>
        <w:t xml:space="preserve"> Согласно Федеральному закону от 29.11.2012 № 202-ФЗ «О внесении изменений в часть вторую Налогового кодекса Российской Федерации».</w:t>
      </w:r>
    </w:p>
  </w:footnote>
  <w:footnote w:id="61">
    <w:p w:rsidR="00EC58E0" w:rsidRDefault="00EC58E0" w:rsidP="00196C95">
      <w:pPr>
        <w:pStyle w:val="af"/>
      </w:pPr>
      <w:r w:rsidRPr="006F4AB8">
        <w:rPr>
          <w:rStyle w:val="af1"/>
        </w:rPr>
        <w:footnoteRef/>
      </w:r>
      <w:r>
        <w:t xml:space="preserve"> Закон </w:t>
      </w:r>
      <w:proofErr w:type="gramStart"/>
      <w:r>
        <w:t>г</w:t>
      </w:r>
      <w:proofErr w:type="gramEnd"/>
      <w:r>
        <w:t>. Москвы от 14.11.2012 № 55.</w:t>
      </w:r>
    </w:p>
  </w:footnote>
  <w:footnote w:id="62">
    <w:p w:rsidR="00EC58E0" w:rsidRDefault="00EC58E0" w:rsidP="007C11BF">
      <w:pPr>
        <w:pStyle w:val="af"/>
      </w:pPr>
      <w:r w:rsidRPr="006F4AB8">
        <w:rPr>
          <w:rStyle w:val="af1"/>
        </w:rPr>
        <w:footnoteRef/>
      </w:r>
      <w:r>
        <w:t xml:space="preserve"> </w:t>
      </w:r>
      <w:r w:rsidRPr="00951E09">
        <w:t>Показатели за 2011-2012 гг. приведены в сопоставимые условия по формулам расчета с показателями 2013 года.</w:t>
      </w:r>
    </w:p>
  </w:footnote>
  <w:footnote w:id="63">
    <w:p w:rsidR="00EC58E0" w:rsidRDefault="00EC58E0" w:rsidP="00F97D9D">
      <w:pPr>
        <w:pStyle w:val="af"/>
      </w:pPr>
      <w:r>
        <w:rPr>
          <w:rStyle w:val="af1"/>
        </w:rPr>
        <w:footnoteRef/>
      </w:r>
      <w:r>
        <w:t xml:space="preserve"> </w:t>
      </w:r>
      <w:r w:rsidRPr="006E6BE2">
        <w:t>С учетом специфики деятельности Компании значительная доля краткосрочных обязатель</w:t>
      </w:r>
      <w:proofErr w:type="gramStart"/>
      <w:r w:rsidRPr="006E6BE2">
        <w:t>ств пр</w:t>
      </w:r>
      <w:proofErr w:type="gramEnd"/>
      <w:r w:rsidRPr="006E6BE2">
        <w:t>иходится на авансы</w:t>
      </w:r>
      <w:r>
        <w:t>,</w:t>
      </w:r>
      <w:r w:rsidRPr="006E6BE2">
        <w:t xml:space="preserve"> полученные по</w:t>
      </w:r>
      <w:r>
        <w:t xml:space="preserve"> технологическому присоединению, являющихся источником финансирования внеоборотных активов Общества в рамках реализации долгосрочной Инвестиционной программы</w:t>
      </w:r>
      <w:r w:rsidRPr="006E6BE2">
        <w:t>.</w:t>
      </w:r>
    </w:p>
  </w:footnote>
  <w:footnote w:id="64">
    <w:p w:rsidR="00EC58E0" w:rsidRDefault="00EC58E0" w:rsidP="00F97D9D">
      <w:pPr>
        <w:pStyle w:val="af"/>
      </w:pPr>
      <w:r>
        <w:rPr>
          <w:rStyle w:val="af1"/>
        </w:rPr>
        <w:footnoteRef/>
      </w:r>
      <w:r>
        <w:t xml:space="preserve"> </w:t>
      </w:r>
      <w:r w:rsidRPr="00951E09">
        <w:t>Показатели за 2011-2012 гг. приведены в сопоставимые условия по формулам расчета с показателями 2013 года.</w:t>
      </w:r>
    </w:p>
  </w:footnote>
  <w:footnote w:id="65">
    <w:p w:rsidR="00EC58E0" w:rsidRDefault="00EC58E0" w:rsidP="0049679D">
      <w:pPr>
        <w:pStyle w:val="af"/>
      </w:pPr>
      <w:r w:rsidRPr="006F4AB8">
        <w:rPr>
          <w:rStyle w:val="af1"/>
        </w:rPr>
        <w:footnoteRef/>
      </w:r>
      <w:r>
        <w:t xml:space="preserve"> Согласно решению Совета директоров от 15.08.2013 (п</w:t>
      </w:r>
      <w:r w:rsidRPr="00F10456">
        <w:t>ротокол от 16.08.2013 № 205</w:t>
      </w:r>
      <w:r>
        <w:t>).</w:t>
      </w:r>
    </w:p>
  </w:footnote>
  <w:footnote w:id="66">
    <w:p w:rsidR="00EC58E0" w:rsidRDefault="00EC58E0" w:rsidP="000F7D98">
      <w:pPr>
        <w:pStyle w:val="af"/>
        <w:ind w:firstLine="567"/>
      </w:pPr>
      <w:r w:rsidRPr="006F4AB8">
        <w:rPr>
          <w:rStyle w:val="af1"/>
        </w:rPr>
        <w:footnoteRef/>
      </w:r>
      <w:r>
        <w:t xml:space="preserve"> Утверждено решением Совета директоров от 07.11.2013 (протокол от 08.11.2013 № 209).</w:t>
      </w:r>
    </w:p>
  </w:footnote>
  <w:footnote w:id="67">
    <w:p w:rsidR="00EC58E0" w:rsidRDefault="00EC58E0" w:rsidP="000F7D98">
      <w:pPr>
        <w:pStyle w:val="af"/>
        <w:ind w:firstLine="567"/>
      </w:pPr>
      <w:r w:rsidRPr="006F4AB8">
        <w:rPr>
          <w:rStyle w:val="af1"/>
        </w:rPr>
        <w:footnoteRef/>
      </w:r>
      <w:r>
        <w:t xml:space="preserve"> С</w:t>
      </w:r>
      <w:r w:rsidRPr="000F7D98">
        <w:t xml:space="preserve"> </w:t>
      </w:r>
      <w:r>
        <w:t>к</w:t>
      </w:r>
      <w:r w:rsidRPr="000F7D98">
        <w:t>редитором заключено несколько договоров по привлечению денежных средств, указан срок действия наиболее долгосрочного</w:t>
      </w:r>
      <w:r>
        <w:t>.</w:t>
      </w:r>
    </w:p>
  </w:footnote>
  <w:footnote w:id="68">
    <w:p w:rsidR="00EC58E0" w:rsidRDefault="00EC58E0">
      <w:pPr>
        <w:pStyle w:val="af"/>
      </w:pPr>
      <w:r w:rsidRPr="006F4AB8">
        <w:rPr>
          <w:rStyle w:val="af1"/>
        </w:rPr>
        <w:footnoteRef/>
      </w:r>
      <w:r>
        <w:t xml:space="preserve"> Решение Совета директоров от 30.05.2013 (протокол от 01.06.2013 № 210).</w:t>
      </w:r>
    </w:p>
  </w:footnote>
  <w:footnote w:id="69">
    <w:p w:rsidR="00EC58E0" w:rsidRDefault="00EC58E0">
      <w:pPr>
        <w:pStyle w:val="af"/>
      </w:pPr>
      <w:r w:rsidRPr="006F4AB8">
        <w:rPr>
          <w:rStyle w:val="af1"/>
        </w:rPr>
        <w:footnoteRef/>
      </w:r>
      <w:r w:rsidRPr="00DF693F">
        <w:rPr>
          <w:sz w:val="14"/>
        </w:rPr>
        <w:t xml:space="preserve"> </w:t>
      </w:r>
      <w:r w:rsidRPr="00DF693F">
        <w:rPr>
          <w:szCs w:val="26"/>
        </w:rPr>
        <w:t xml:space="preserve"> Согласно приказу Минэнерго России от 24.03.10 № 114.</w:t>
      </w:r>
    </w:p>
  </w:footnote>
  <w:footnote w:id="70">
    <w:p w:rsidR="00EC58E0" w:rsidRPr="007E3348" w:rsidRDefault="00EC58E0" w:rsidP="00583944">
      <w:pPr>
        <w:pStyle w:val="af"/>
        <w:ind w:firstLine="567"/>
        <w:rPr>
          <w:sz w:val="18"/>
        </w:rPr>
      </w:pPr>
      <w:r w:rsidRPr="006F4AB8">
        <w:rPr>
          <w:rStyle w:val="af1"/>
        </w:rPr>
        <w:footnoteRef/>
      </w:r>
      <w:proofErr w:type="gramStart"/>
      <w:r>
        <w:t></w:t>
      </w:r>
      <w:r w:rsidRPr="007E3348">
        <w:rPr>
          <w:sz w:val="18"/>
        </w:rPr>
        <w:t>Постановление Правительства РФ от 08.05.2013 № 403 «О внесении изменений в некоторые акты Правительства Российской Федерации по вопросам функционирования территориальных сетевых организаций», Постановление Правительства РФ от 27.06.2013 № 543 «О государственном контроле (надзоре) в области регулируемых государством цен (тарифов), а также изменении и признании утратившими силу некоторых актов Правительства Российской Федерации», Постановление Правительства РФ от 24.10.2013 № 953 «О внесении изменений в Основы</w:t>
      </w:r>
      <w:proofErr w:type="gramEnd"/>
      <w:r w:rsidRPr="007E3348">
        <w:rPr>
          <w:sz w:val="18"/>
        </w:rPr>
        <w:t xml:space="preserve"> ценообразования в области регулируемых цен (тарифов) в электроэнергетике и принятии тарифных решений», Постановление Правительства РФ от 13.11.2013 № 1019 «О внесении изменений в некоторые акты Правительства Российской Федерации в целях </w:t>
      </w:r>
      <w:proofErr w:type="gramStart"/>
      <w:r w:rsidRPr="007E3348">
        <w:rPr>
          <w:sz w:val="18"/>
        </w:rPr>
        <w:t>изменения порядка нормирования потерь электрической энергии</w:t>
      </w:r>
      <w:proofErr w:type="gramEnd"/>
      <w:r w:rsidRPr="007E3348">
        <w:rPr>
          <w:sz w:val="18"/>
        </w:rPr>
        <w:t xml:space="preserve"> на основе сравнительного анализа».</w:t>
      </w:r>
    </w:p>
  </w:footnote>
  <w:footnote w:id="71">
    <w:p w:rsidR="00EC58E0" w:rsidRDefault="00EC58E0" w:rsidP="00583944">
      <w:pPr>
        <w:pStyle w:val="af"/>
        <w:ind w:firstLine="567"/>
      </w:pPr>
      <w:r w:rsidRPr="006F4AB8">
        <w:rPr>
          <w:rStyle w:val="af1"/>
        </w:rPr>
        <w:footnoteRef/>
      </w:r>
      <w:r w:rsidRPr="007E3348">
        <w:rPr>
          <w:sz w:val="18"/>
        </w:rPr>
        <w:t xml:space="preserve"> </w:t>
      </w:r>
      <w:proofErr w:type="gramStart"/>
      <w:r w:rsidRPr="007E3348">
        <w:rPr>
          <w:sz w:val="18"/>
        </w:rPr>
        <w:t>Расходы на выполнение мероприятий, связанных со строительством объектов электросетевого хозяйства, от существующих объектов электросетевого хозяйства до присоединяемых энергопринимающих устройств и (или) объектов электроэнергетики («последней мили»), на очередной период регулирования при расчете ставок платы за технологическое присоединение определяются исходя из фактических средних данных (о присоединенных объемах максимальной мощности, длине линий, объемах максимальной мощности построенных объектов) за три предыдущих года по каждому</w:t>
      </w:r>
      <w:proofErr w:type="gramEnd"/>
      <w:r w:rsidRPr="007E3348">
        <w:rPr>
          <w:sz w:val="18"/>
        </w:rPr>
        <w:t xml:space="preserve"> мероприятию и сметно-нормативной базы ценообразования 2001 года.</w:t>
      </w:r>
    </w:p>
  </w:footnote>
  <w:footnote w:id="72">
    <w:p w:rsidR="00EC58E0" w:rsidRPr="001C2871" w:rsidRDefault="00EC58E0" w:rsidP="00583944">
      <w:pPr>
        <w:pStyle w:val="af"/>
        <w:ind w:firstLine="540"/>
      </w:pPr>
      <w:r w:rsidRPr="006F4AB8">
        <w:rPr>
          <w:rStyle w:val="af1"/>
        </w:rPr>
        <w:footnoteRef/>
      </w:r>
      <w:r w:rsidRPr="00E31E84">
        <w:t xml:space="preserve">  Постановление Правительства Р</w:t>
      </w:r>
      <w:r>
        <w:t>Ф о</w:t>
      </w:r>
      <w:r w:rsidRPr="00E31E84">
        <w:t xml:space="preserve">т 21.01.2004 № 24 «Об утверждении стандартов раскрытия информации субъектами оптового и розничных рынков электрической энергии». </w:t>
      </w:r>
    </w:p>
  </w:footnote>
  <w:footnote w:id="73">
    <w:p w:rsidR="00EC58E0" w:rsidRDefault="00EC58E0" w:rsidP="00583944">
      <w:pPr>
        <w:pStyle w:val="af"/>
        <w:ind w:firstLine="567"/>
      </w:pPr>
      <w:r w:rsidRPr="006F4AB8">
        <w:rPr>
          <w:rStyle w:val="af1"/>
        </w:rPr>
        <w:footnoteRef/>
      </w:r>
      <w:r>
        <w:t xml:space="preserve"> Приказ ФСТ России от 30.12.2010 № 500-э/5 «О согласовании ФСТ России </w:t>
      </w:r>
      <w:proofErr w:type="gramStart"/>
      <w:r>
        <w:t>предложений органов исполнительной власти субъектов Российской Федерации</w:t>
      </w:r>
      <w:proofErr w:type="gramEnd"/>
      <w:r>
        <w:t xml:space="preserve"> в области государственного регулирования тарифов о переходе к регулированию тарифов на услуги по передаче электрической энергии с применением метода доходности инвестированного капитала по распределительным сетевым организациям».</w:t>
      </w:r>
    </w:p>
  </w:footnote>
  <w:footnote w:id="74">
    <w:p w:rsidR="00EC58E0" w:rsidRDefault="00EC58E0" w:rsidP="00583944">
      <w:pPr>
        <w:autoSpaceDE w:val="0"/>
        <w:autoSpaceDN w:val="0"/>
        <w:adjustRightInd w:val="0"/>
        <w:ind w:firstLine="567"/>
      </w:pPr>
      <w:r w:rsidRPr="006F4AB8">
        <w:rPr>
          <w:rStyle w:val="af1"/>
        </w:rPr>
        <w:footnoteRef/>
      </w:r>
      <w:r>
        <w:rPr>
          <w:sz w:val="20"/>
          <w:szCs w:val="20"/>
        </w:rPr>
        <w:t> </w:t>
      </w:r>
      <w:r w:rsidRPr="00D72CF2">
        <w:rPr>
          <w:sz w:val="20"/>
          <w:szCs w:val="20"/>
        </w:rPr>
        <w:t xml:space="preserve">Постановление Правительства РФ от 30.06.2012 </w:t>
      </w:r>
      <w:r>
        <w:rPr>
          <w:sz w:val="20"/>
          <w:szCs w:val="20"/>
        </w:rPr>
        <w:t>№</w:t>
      </w:r>
      <w:r w:rsidRPr="00D72CF2">
        <w:rPr>
          <w:sz w:val="20"/>
          <w:szCs w:val="20"/>
        </w:rPr>
        <w:t xml:space="preserve"> 663 </w:t>
      </w:r>
      <w:r>
        <w:rPr>
          <w:sz w:val="20"/>
          <w:szCs w:val="20"/>
        </w:rPr>
        <w:t>«</w:t>
      </w:r>
      <w:r w:rsidRPr="00D72CF2">
        <w:rPr>
          <w:sz w:val="20"/>
          <w:szCs w:val="20"/>
        </w:rPr>
        <w:t xml:space="preserve">О внесении изменений в постановление Правительства Российской Федерации от 29 декабря 2011 г. </w:t>
      </w:r>
      <w:r>
        <w:rPr>
          <w:sz w:val="20"/>
          <w:szCs w:val="20"/>
        </w:rPr>
        <w:t>№</w:t>
      </w:r>
      <w:r w:rsidRPr="00D72CF2">
        <w:rPr>
          <w:sz w:val="20"/>
          <w:szCs w:val="20"/>
        </w:rPr>
        <w:t xml:space="preserve"> 1178</w:t>
      </w:r>
      <w:r>
        <w:rPr>
          <w:sz w:val="20"/>
          <w:szCs w:val="20"/>
        </w:rPr>
        <w:t>»</w:t>
      </w:r>
      <w:r w:rsidRPr="00D72CF2">
        <w:rPr>
          <w:sz w:val="20"/>
          <w:szCs w:val="20"/>
        </w:rPr>
        <w:t>.</w:t>
      </w:r>
    </w:p>
  </w:footnote>
  <w:footnote w:id="75">
    <w:p w:rsidR="00EC58E0" w:rsidRDefault="00EC58E0" w:rsidP="00583944">
      <w:pPr>
        <w:pStyle w:val="af"/>
        <w:ind w:firstLine="567"/>
      </w:pPr>
      <w:r w:rsidRPr="006F4AB8">
        <w:rPr>
          <w:rStyle w:val="af1"/>
        </w:rPr>
        <w:footnoteRef/>
      </w:r>
      <w:r>
        <w:t> </w:t>
      </w:r>
      <w:r w:rsidRPr="00D72CF2">
        <w:t xml:space="preserve">Приказ ФСТ России от 12.10.2012 № 234-э/2 «О согласовании (об отказе в согласовании) Федеральной службой по тарифам долгосрочных параметров регулирования деятельности территориальных сетевых </w:t>
      </w:r>
      <w:proofErr w:type="gramStart"/>
      <w:r w:rsidRPr="00D72CF2">
        <w:t>организаций</w:t>
      </w:r>
      <w:proofErr w:type="gramEnd"/>
      <w:r w:rsidRPr="00D72CF2">
        <w:t xml:space="preserve"> с применением метода доходнос</w:t>
      </w:r>
      <w:r>
        <w:t>ти инвестированного капитала».</w:t>
      </w:r>
    </w:p>
  </w:footnote>
  <w:footnote w:id="76">
    <w:p w:rsidR="00EC58E0" w:rsidRDefault="00EC58E0" w:rsidP="00583944">
      <w:pPr>
        <w:pStyle w:val="af"/>
        <w:ind w:firstLine="540"/>
      </w:pPr>
      <w:r w:rsidRPr="006F4AB8">
        <w:rPr>
          <w:rStyle w:val="af1"/>
        </w:rPr>
        <w:footnoteRef/>
      </w:r>
      <w:r>
        <w:t xml:space="preserve"> </w:t>
      </w:r>
      <w:r w:rsidRPr="000D1482">
        <w:t>Приказ ФСТ России от 29.11.2012 № 313-э/2</w:t>
      </w:r>
      <w:r>
        <w:t xml:space="preserve"> «</w:t>
      </w:r>
      <w:r>
        <w:rPr>
          <w:lang w:eastAsia="ru-RU"/>
        </w:rPr>
        <w:t>Об утверждении предельных уровней тарифов на услуги по передаче электрической энергии по субъектам Российской Федерации на 2013 год».</w:t>
      </w:r>
    </w:p>
  </w:footnote>
  <w:footnote w:id="77">
    <w:p w:rsidR="00EC58E0" w:rsidRDefault="00EC58E0" w:rsidP="008A4282">
      <w:pPr>
        <w:pStyle w:val="af"/>
        <w:ind w:firstLine="567"/>
      </w:pPr>
      <w:r w:rsidRPr="006F4AB8">
        <w:rPr>
          <w:rStyle w:val="af1"/>
        </w:rPr>
        <w:footnoteRef/>
      </w:r>
      <w:r w:rsidRPr="00AE321F">
        <w:t xml:space="preserve"> </w:t>
      </w:r>
      <w:r w:rsidRPr="000925A5">
        <w:t>В соответствии п.</w:t>
      </w:r>
      <w:r>
        <w:t> </w:t>
      </w:r>
      <w:r w:rsidRPr="000925A5">
        <w:t>7 ст.</w:t>
      </w:r>
      <w:r>
        <w:t> </w:t>
      </w:r>
      <w:r w:rsidRPr="000925A5">
        <w:t>23.1. Федерального закона от 26.03.2003 №</w:t>
      </w:r>
      <w:r>
        <w:t> </w:t>
      </w:r>
      <w:r w:rsidRPr="000925A5">
        <w:t xml:space="preserve">35-ФЗ «Об электроэнергетике» решение о превышении предельных уровней цен (тарифов) принимается органом исполнительной власти субъекта </w:t>
      </w:r>
      <w:r>
        <w:t>РФ</w:t>
      </w:r>
      <w:r w:rsidRPr="000925A5">
        <w:t xml:space="preserve"> в области государственного регулирования тарифов самостоятельно, если такое превышение обусловлено размером инвестиционных программ субъектов электроэнергетики, утвержденных в </w:t>
      </w:r>
      <w:hyperlink r:id="rId2" w:history="1">
        <w:r w:rsidRPr="000925A5">
          <w:t>порядке</w:t>
        </w:r>
      </w:hyperlink>
      <w:r w:rsidRPr="000925A5">
        <w:t xml:space="preserve">, установленном Правительством </w:t>
      </w:r>
      <w:r>
        <w:t>РФ</w:t>
      </w:r>
      <w:r w:rsidRPr="000925A5">
        <w:t>.</w:t>
      </w:r>
    </w:p>
  </w:footnote>
  <w:footnote w:id="78">
    <w:p w:rsidR="00EC58E0" w:rsidRPr="001103A6" w:rsidRDefault="00EC58E0" w:rsidP="00A9213E">
      <w:pPr>
        <w:pStyle w:val="af"/>
      </w:pPr>
      <w:r w:rsidRPr="006F4AB8">
        <w:rPr>
          <w:rStyle w:val="af1"/>
        </w:rPr>
        <w:footnoteRef/>
      </w:r>
      <w:r>
        <w:t>Официальный сайт П</w:t>
      </w:r>
      <w:r w:rsidRPr="008C526F">
        <w:t xml:space="preserve">равительства: </w:t>
      </w:r>
      <w:hyperlink r:id="rId3" w:history="1">
        <w:r w:rsidRPr="008C526F">
          <w:rPr>
            <w:rStyle w:val="a4"/>
          </w:rPr>
          <w:t>http://government.ru/orders/4318</w:t>
        </w:r>
      </w:hyperlink>
    </w:p>
  </w:footnote>
  <w:footnote w:id="79">
    <w:p w:rsidR="00EC58E0" w:rsidRDefault="00EC58E0">
      <w:pPr>
        <w:pStyle w:val="af"/>
      </w:pPr>
      <w:r w:rsidRPr="006F4AB8">
        <w:rPr>
          <w:rStyle w:val="af1"/>
        </w:rPr>
        <w:footnoteRef/>
      </w:r>
      <w:r>
        <w:t xml:space="preserve"> У</w:t>
      </w:r>
      <w:r w:rsidRPr="0092613F">
        <w:t>тверждены приказом ФСТ России от 30.11.2010 № 365-э/5</w:t>
      </w:r>
      <w:r>
        <w:t xml:space="preserve"> «</w:t>
      </w:r>
      <w:r w:rsidRPr="0092613F">
        <w:t>Об утверждении Методических указаний по определению размера платы за технологическое присоединение к электрическим сетям</w:t>
      </w:r>
      <w:r>
        <w:t>».</w:t>
      </w:r>
    </w:p>
  </w:footnote>
  <w:footnote w:id="80">
    <w:p w:rsidR="00EC58E0" w:rsidRDefault="00EC58E0">
      <w:pPr>
        <w:pStyle w:val="af"/>
      </w:pPr>
      <w:r w:rsidRPr="006F4AB8">
        <w:rPr>
          <w:rStyle w:val="af1"/>
        </w:rPr>
        <w:footnoteRef/>
      </w:r>
      <w:r>
        <w:t xml:space="preserve"> У</w:t>
      </w:r>
      <w:r w:rsidRPr="0092613F">
        <w:t>тверждены приказом ФСТ России от 11.09.2012 № 209-э/1</w:t>
      </w:r>
      <w:r>
        <w:t xml:space="preserve"> «</w:t>
      </w:r>
      <w:r w:rsidRPr="0092613F">
        <w:t>Об утверждении Методических указаний по определению размера платы за технологическое присоединение к электрическим сетям</w:t>
      </w:r>
      <w:r>
        <w:t>».</w:t>
      </w:r>
    </w:p>
  </w:footnote>
  <w:footnote w:id="81">
    <w:p w:rsidR="00EC58E0" w:rsidRDefault="00EC58E0" w:rsidP="00A9213E">
      <w:pPr>
        <w:pStyle w:val="af"/>
      </w:pPr>
      <w:r w:rsidRPr="006F4AB8">
        <w:rPr>
          <w:rStyle w:val="af1"/>
        </w:rPr>
        <w:footnoteRef/>
      </w:r>
      <w:r>
        <w:t xml:space="preserve"> </w:t>
      </w:r>
      <w:r w:rsidRPr="00AD513F">
        <w:t>Постановление РЭК г. Москвы от 27.12.2012 № 421</w:t>
      </w:r>
      <w:r>
        <w:t xml:space="preserve"> «Об установлении стандартизированных тарифных ставок и ставок за 1 кВт максимальной мощности на уровне напряжения ниже 35 кВ и присоединяемой мощностью менее 8 900 кВт для определения платы за технологическое присоединение к электрическим сетям ОАО «МОЭСК» на территории г. Москвы на 2013 год»</w:t>
      </w:r>
    </w:p>
  </w:footnote>
  <w:footnote w:id="82">
    <w:p w:rsidR="00EC58E0" w:rsidRDefault="00EC58E0" w:rsidP="00A9213E">
      <w:pPr>
        <w:pStyle w:val="af"/>
      </w:pPr>
      <w:r w:rsidRPr="006F4AB8">
        <w:rPr>
          <w:rStyle w:val="af1"/>
        </w:rPr>
        <w:footnoteRef/>
      </w:r>
      <w:r>
        <w:t xml:space="preserve"> </w:t>
      </w:r>
      <w:proofErr w:type="gramStart"/>
      <w:r>
        <w:t>Распоряжение</w:t>
      </w:r>
      <w:r w:rsidRPr="00AD513F">
        <w:t xml:space="preserve"> Комитета по ценам и тарифам Московской области от 25.12.2012 № 158-Р</w:t>
      </w:r>
      <w:r>
        <w:t xml:space="preserve"> «Об утверждении для сетевых организаций на территории Московской области на 2013 год выпадающих доходов от осуществления технологического присоединения энергопринимающих устройств заявителей с максимальной мощностью, не превышающей 15 кВт включительно (с учетом ранее присоединенной в данной точке присоединения мощности), для включения в тарифы на оказание услуги по передаче электрической энергии».</w:t>
      </w:r>
      <w:proofErr w:type="gramEnd"/>
    </w:p>
  </w:footnote>
  <w:footnote w:id="83">
    <w:p w:rsidR="00EC58E0" w:rsidRDefault="00EC58E0" w:rsidP="00A9213E">
      <w:pPr>
        <w:pStyle w:val="af"/>
      </w:pPr>
      <w:r w:rsidRPr="006F4AB8">
        <w:rPr>
          <w:rStyle w:val="af1"/>
        </w:rPr>
        <w:footnoteRef/>
      </w:r>
      <w:r>
        <w:t xml:space="preserve"> Средняя стоимость 1 Мвт = выручка </w:t>
      </w:r>
      <w:r w:rsidRPr="00686CA1">
        <w:t xml:space="preserve">от оказания услуг по технологическому присоединению </w:t>
      </w:r>
      <w:r>
        <w:t xml:space="preserve">/ фактически присоединенная мощность. Средняя стоимость 1 МВт для определенной категории потребителей = выручка от </w:t>
      </w:r>
      <w:r w:rsidRPr="00686CA1">
        <w:t>оказания услуг по технологическому присоединению</w:t>
      </w:r>
      <w:r>
        <w:t xml:space="preserve"> по данной категории потребителей / фактически присоединенная мощность по данной категории потребителей.</w:t>
      </w:r>
    </w:p>
  </w:footnote>
  <w:footnote w:id="84">
    <w:p w:rsidR="00EC58E0" w:rsidRDefault="00EC58E0">
      <w:pPr>
        <w:pStyle w:val="af"/>
      </w:pPr>
      <w:r w:rsidRPr="006F4AB8">
        <w:rPr>
          <w:rStyle w:val="af1"/>
        </w:rPr>
        <w:footnoteRef/>
      </w:r>
      <w:r>
        <w:t xml:space="preserve"> Утверждено </w:t>
      </w:r>
      <w:r w:rsidRPr="004B5B33">
        <w:t>решением Совета директоров от 30.08.2013 (протокол от 02.09.2013 № 206)</w:t>
      </w:r>
      <w:r>
        <w:t>.</w:t>
      </w:r>
    </w:p>
  </w:footnote>
  <w:footnote w:id="85">
    <w:p w:rsidR="00EC58E0" w:rsidRDefault="00EC58E0" w:rsidP="004B5B33">
      <w:pPr>
        <w:pStyle w:val="af"/>
      </w:pPr>
      <w:r w:rsidRPr="006F4AB8">
        <w:rPr>
          <w:rStyle w:val="af1"/>
        </w:rPr>
        <w:footnoteRef/>
      </w:r>
      <w:r>
        <w:t xml:space="preserve"> «</w:t>
      </w:r>
      <w:r w:rsidRPr="00C033DC">
        <w:t>О ведении реестра недобросовестных поставщиков, предусмотренного Федеральным законом “О закупках товаров, работ, услуг отдельными видами юридических лиц”</w:t>
      </w:r>
      <w:r>
        <w:t>»</w:t>
      </w:r>
    </w:p>
  </w:footnote>
  <w:footnote w:id="86">
    <w:p w:rsidR="00EC58E0" w:rsidRDefault="00EC58E0" w:rsidP="00AD6CF6">
      <w:pPr>
        <w:pStyle w:val="af"/>
      </w:pPr>
      <w:r w:rsidRPr="006F4AB8">
        <w:rPr>
          <w:rStyle w:val="af1"/>
        </w:rPr>
        <w:footnoteRef/>
      </w:r>
      <w:r>
        <w:t xml:space="preserve"> У</w:t>
      </w:r>
      <w:r w:rsidRPr="002708D7">
        <w:t>твержден в новой редакции решением Совета директоров от 14.03.2013, протокол от 15.03.2013 № 194</w:t>
      </w:r>
      <w:r>
        <w:t>.</w:t>
      </w:r>
    </w:p>
  </w:footnote>
  <w:footnote w:id="87">
    <w:p w:rsidR="00EC58E0" w:rsidRDefault="00EC58E0">
      <w:pPr>
        <w:pStyle w:val="af"/>
      </w:pPr>
      <w:r w:rsidRPr="006F4AB8">
        <w:rPr>
          <w:rStyle w:val="af1"/>
        </w:rPr>
        <w:footnoteRef/>
      </w:r>
      <w:r>
        <w:t xml:space="preserve"> У</w:t>
      </w:r>
      <w:r>
        <w:rPr>
          <w:lang w:eastAsia="ru-RU"/>
        </w:rPr>
        <w:t>твержден решением Совета директоров от 14.03.2013 (протокол от 15.03.2013 № 194).</w:t>
      </w:r>
    </w:p>
  </w:footnote>
  <w:footnote w:id="88">
    <w:p w:rsidR="00EC58E0" w:rsidRDefault="00EC58E0">
      <w:pPr>
        <w:pStyle w:val="af"/>
      </w:pPr>
      <w:r w:rsidRPr="006F4AB8">
        <w:rPr>
          <w:rStyle w:val="af1"/>
        </w:rPr>
        <w:footnoteRef/>
      </w:r>
      <w:r>
        <w:t xml:space="preserve"> </w:t>
      </w:r>
      <w:r>
        <w:rPr>
          <w:lang w:eastAsia="ru-RU"/>
        </w:rPr>
        <w:t>Утверждено решением Совета директоров от 30.08.2013 (протокол от 02.09.2013 № 206).</w:t>
      </w:r>
    </w:p>
  </w:footnote>
  <w:footnote w:id="89">
    <w:p w:rsidR="00EC58E0" w:rsidRDefault="00EC58E0">
      <w:pPr>
        <w:pStyle w:val="af"/>
      </w:pPr>
      <w:r w:rsidRPr="006F4AB8">
        <w:rPr>
          <w:rStyle w:val="af1"/>
        </w:rPr>
        <w:footnoteRef/>
      </w:r>
      <w:r>
        <w:t xml:space="preserve"> У</w:t>
      </w:r>
      <w:r w:rsidRPr="00F80C74">
        <w:t xml:space="preserve">тверждено решением Совета директоров от 30.12.2011, </w:t>
      </w:r>
      <w:r>
        <w:t>(</w:t>
      </w:r>
      <w:r w:rsidRPr="00F80C74">
        <w:t>протокол от 30.12.2011 № 150)</w:t>
      </w:r>
      <w:r>
        <w:t>.</w:t>
      </w:r>
    </w:p>
  </w:footnote>
  <w:footnote w:id="90">
    <w:p w:rsidR="00EC58E0" w:rsidRDefault="00EC58E0" w:rsidP="00605A52">
      <w:pPr>
        <w:pStyle w:val="af"/>
      </w:pPr>
      <w:r w:rsidRPr="006F4AB8">
        <w:rPr>
          <w:rStyle w:val="af1"/>
        </w:rPr>
        <w:footnoteRef/>
      </w:r>
      <w:r>
        <w:t xml:space="preserve"> </w:t>
      </w:r>
      <w:r w:rsidRPr="00AD75E4">
        <w:t>В соответствии с Федеральным законом от 27.07.2006 № 152-ФЗ «О персональных данных»</w:t>
      </w:r>
      <w:r>
        <w:t>.</w:t>
      </w:r>
    </w:p>
  </w:footnote>
  <w:footnote w:id="91">
    <w:p w:rsidR="00EC58E0" w:rsidRDefault="00EC58E0">
      <w:pPr>
        <w:pStyle w:val="af"/>
      </w:pPr>
      <w:r w:rsidRPr="006F4AB8">
        <w:rPr>
          <w:rStyle w:val="af1"/>
        </w:rPr>
        <w:footnoteRef/>
      </w:r>
      <w:r>
        <w:t xml:space="preserve"> </w:t>
      </w:r>
      <w:r w:rsidRPr="00551AA6">
        <w:t>В соответствии с Приказом ФСФР России от 28.12.2010 № 10-78/пз-н «Об утверждении Положения о деятельности по организации торговли на рынке ценных бумаг»</w:t>
      </w:r>
      <w:r>
        <w:t>.</w:t>
      </w:r>
    </w:p>
  </w:footnote>
  <w:footnote w:id="92">
    <w:p w:rsidR="00EC58E0" w:rsidRDefault="00EC58E0" w:rsidP="00D50342">
      <w:pPr>
        <w:pStyle w:val="af"/>
        <w:ind w:firstLine="567"/>
      </w:pPr>
      <w:r w:rsidRPr="006F4AB8">
        <w:rPr>
          <w:rStyle w:val="af1"/>
        </w:rPr>
        <w:footnoteRef/>
      </w:r>
      <w:r>
        <w:t xml:space="preserve"> У</w:t>
      </w:r>
      <w:r w:rsidRPr="00D50342">
        <w:t>тверждено решением годового Общего собрания акционеров от 28</w:t>
      </w:r>
      <w:r>
        <w:t>.05.</w:t>
      </w:r>
      <w:r w:rsidRPr="00D50342">
        <w:t>2008 (</w:t>
      </w:r>
      <w:r>
        <w:t>п</w:t>
      </w:r>
      <w:r w:rsidRPr="00D50342">
        <w:t>ротокол №</w:t>
      </w:r>
      <w:r>
        <w:t> </w:t>
      </w:r>
      <w:r w:rsidRPr="00D50342">
        <w:t>7 от 05.06.2008)</w:t>
      </w:r>
      <w:r>
        <w:t>.</w:t>
      </w:r>
    </w:p>
  </w:footnote>
  <w:footnote w:id="93">
    <w:p w:rsidR="00EC58E0" w:rsidRDefault="00EC58E0">
      <w:pPr>
        <w:pStyle w:val="af"/>
      </w:pPr>
      <w:r w:rsidRPr="006F4AB8">
        <w:rPr>
          <w:rStyle w:val="af1"/>
        </w:rPr>
        <w:footnoteRef/>
      </w:r>
      <w:r>
        <w:t xml:space="preserve"> У</w:t>
      </w:r>
      <w:r w:rsidRPr="00A3456D">
        <w:t>твержден</w:t>
      </w:r>
      <w:r>
        <w:t>о</w:t>
      </w:r>
      <w:r w:rsidRPr="00A3456D">
        <w:t xml:space="preserve"> решением Совета директоров от 06.12.2012 (</w:t>
      </w:r>
      <w:r>
        <w:t>п</w:t>
      </w:r>
      <w:r w:rsidRPr="00A3456D">
        <w:t>ротокол от 07.12.2012 № 186)</w:t>
      </w:r>
      <w:r>
        <w:t>.</w:t>
      </w:r>
    </w:p>
  </w:footnote>
  <w:footnote w:id="94">
    <w:p w:rsidR="00EC58E0" w:rsidRDefault="00EC58E0">
      <w:pPr>
        <w:pStyle w:val="af"/>
      </w:pPr>
      <w:r w:rsidRPr="006F4AB8">
        <w:rPr>
          <w:rStyle w:val="af1"/>
        </w:rPr>
        <w:footnoteRef/>
      </w:r>
      <w:r>
        <w:t xml:space="preserve"> У</w:t>
      </w:r>
      <w:r w:rsidRPr="00A3456D">
        <w:t>твержден</w:t>
      </w:r>
      <w:r>
        <w:t>о</w:t>
      </w:r>
      <w:r w:rsidRPr="00A3456D">
        <w:t xml:space="preserve"> приказом от </w:t>
      </w:r>
      <w:r w:rsidRPr="00B95B3A">
        <w:t>26.04.2012 № 301</w:t>
      </w:r>
      <w:r>
        <w:t xml:space="preserve">» </w:t>
      </w:r>
      <w:r w:rsidRPr="00A3456D">
        <w:t>с учетом изменений и дополнений к нему, утвержденных приказом от 07.12.2012 № 1014</w:t>
      </w:r>
      <w:r>
        <w:t xml:space="preserve"> «</w:t>
      </w:r>
      <w:r w:rsidRPr="00B95B3A">
        <w:t>О внесении измен</w:t>
      </w:r>
      <w:r>
        <w:t>ений и дополнений в приказ ОАО «</w:t>
      </w:r>
      <w:r w:rsidRPr="00B95B3A">
        <w:t>МОЭСК</w:t>
      </w:r>
      <w:r>
        <w:t>»</w:t>
      </w:r>
      <w:r w:rsidRPr="00B95B3A">
        <w:t xml:space="preserve"> от 26.04.2012 № 301</w:t>
      </w:r>
      <w:r>
        <w:t>»</w:t>
      </w:r>
      <w:r w:rsidRPr="00A3456D">
        <w:t>.</w:t>
      </w:r>
    </w:p>
  </w:footnote>
  <w:footnote w:id="95">
    <w:p w:rsidR="00EC58E0" w:rsidRDefault="00EC58E0">
      <w:pPr>
        <w:pStyle w:val="af"/>
      </w:pPr>
      <w:r w:rsidRPr="006F4AB8">
        <w:rPr>
          <w:rStyle w:val="af1"/>
        </w:rPr>
        <w:footnoteRef/>
      </w:r>
      <w:r>
        <w:t xml:space="preserve"> Утверждено </w:t>
      </w:r>
      <w:r w:rsidRPr="006B4677">
        <w:t>от 06.12.2012 (</w:t>
      </w:r>
      <w:r>
        <w:t>п</w:t>
      </w:r>
      <w:r w:rsidRPr="006B4677">
        <w:t>ротокол от 07.12.2012 № 186)</w:t>
      </w:r>
      <w:r>
        <w:t>.</w:t>
      </w:r>
    </w:p>
  </w:footnote>
  <w:footnote w:id="96">
    <w:p w:rsidR="00EC58E0" w:rsidRDefault="00EC58E0">
      <w:pPr>
        <w:pStyle w:val="af"/>
      </w:pPr>
      <w:r w:rsidRPr="006F4AB8">
        <w:rPr>
          <w:rStyle w:val="af1"/>
        </w:rPr>
        <w:footnoteRef/>
      </w:r>
      <w:r>
        <w:t xml:space="preserve"> </w:t>
      </w:r>
      <w:r w:rsidRPr="005A5A1B">
        <w:t>Размер вознаграждения включает выплаты Коновалову А.П., исполня</w:t>
      </w:r>
      <w:r>
        <w:t>вшему</w:t>
      </w:r>
      <w:r w:rsidRPr="005A5A1B">
        <w:t xml:space="preserve"> функции Генерального директора до 11.07.2012 (включительно).</w:t>
      </w:r>
    </w:p>
  </w:footnote>
  <w:footnote w:id="97">
    <w:p w:rsidR="00EC58E0" w:rsidRDefault="00EC58E0" w:rsidP="00D50342">
      <w:pPr>
        <w:pStyle w:val="af"/>
      </w:pPr>
      <w:r w:rsidRPr="006F4AB8">
        <w:rPr>
          <w:rStyle w:val="af1"/>
        </w:rPr>
        <w:footnoteRef/>
      </w:r>
      <w:r>
        <w:t xml:space="preserve"> У</w:t>
      </w:r>
      <w:r w:rsidRPr="001C3B53">
        <w:t>тверждено решением годового Общего собрания акционеров от 28.05.2008 (протокол от 05.06.2008 № 7)</w:t>
      </w:r>
      <w:r>
        <w:t>.</w:t>
      </w:r>
    </w:p>
  </w:footnote>
  <w:footnote w:id="98">
    <w:p w:rsidR="00EC58E0" w:rsidRDefault="00EC58E0" w:rsidP="00D50342">
      <w:pPr>
        <w:pStyle w:val="af"/>
      </w:pPr>
      <w:r w:rsidRPr="006F4AB8">
        <w:rPr>
          <w:rStyle w:val="af1"/>
        </w:rPr>
        <w:footnoteRef/>
      </w:r>
      <w:r>
        <w:t xml:space="preserve"> Минимальная</w:t>
      </w:r>
      <w:r w:rsidRPr="00E031D6">
        <w:t xml:space="preserve"> месячн</w:t>
      </w:r>
      <w:r>
        <w:t>ая</w:t>
      </w:r>
      <w:r w:rsidRPr="00E031D6">
        <w:t xml:space="preserve"> тарифн</w:t>
      </w:r>
      <w:r>
        <w:t>ая</w:t>
      </w:r>
      <w:r w:rsidRPr="00E031D6">
        <w:t xml:space="preserve"> ставка рабочего первого разряда</w:t>
      </w:r>
      <w:r>
        <w:t>.</w:t>
      </w:r>
    </w:p>
  </w:footnote>
  <w:footnote w:id="99">
    <w:p w:rsidR="00EC58E0" w:rsidRDefault="00EC58E0" w:rsidP="00DE44D6">
      <w:pPr>
        <w:pStyle w:val="af"/>
      </w:pPr>
      <w:r w:rsidRPr="006F4AB8">
        <w:rPr>
          <w:rStyle w:val="af1"/>
        </w:rPr>
        <w:footnoteRef/>
      </w:r>
      <w:r>
        <w:t xml:space="preserve"> У</w:t>
      </w:r>
      <w:r w:rsidRPr="002C2217">
        <w:t>тверждена распоряжением Правительства Р</w:t>
      </w:r>
      <w:r>
        <w:t>Ф</w:t>
      </w:r>
      <w:r w:rsidRPr="002C2217">
        <w:t xml:space="preserve"> от </w:t>
      </w:r>
      <w:r>
        <w:t>03.04.</w:t>
      </w:r>
      <w:r w:rsidRPr="002C2217">
        <w:t>2013 №</w:t>
      </w:r>
      <w:r>
        <w:t xml:space="preserve"> </w:t>
      </w:r>
      <w:r w:rsidRPr="002C2217">
        <w:t>511-р</w:t>
      </w:r>
      <w:r>
        <w:t xml:space="preserve"> «</w:t>
      </w:r>
      <w:r w:rsidRPr="00FA2C61">
        <w:t>Об утверждении Стратегии развития электросетевого комплекса Российской Федерации</w:t>
      </w:r>
      <w:r>
        <w:t>».</w:t>
      </w:r>
    </w:p>
  </w:footnote>
  <w:footnote w:id="100">
    <w:p w:rsidR="00EC58E0" w:rsidRDefault="00EC58E0" w:rsidP="00DE44D6">
      <w:pPr>
        <w:pStyle w:val="af"/>
      </w:pPr>
      <w:r w:rsidRPr="006F4AB8">
        <w:rPr>
          <w:rStyle w:val="af1"/>
        </w:rPr>
        <w:footnoteRef/>
      </w:r>
      <w:r>
        <w:t xml:space="preserve"> </w:t>
      </w:r>
      <w:proofErr w:type="gramStart"/>
      <w:r>
        <w:t>Утверждена</w:t>
      </w:r>
      <w:proofErr w:type="gramEnd"/>
      <w:r>
        <w:t xml:space="preserve"> решением Совета директоров от 29.05.2013 (</w:t>
      </w:r>
      <w:r w:rsidRPr="00A95114">
        <w:t>протокол от 31.05.2013 № 200</w:t>
      </w:r>
      <w:r>
        <w:t>).</w:t>
      </w:r>
    </w:p>
  </w:footnote>
  <w:footnote w:id="101">
    <w:p w:rsidR="00EC58E0" w:rsidRDefault="00EC58E0" w:rsidP="00DE44D6">
      <w:pPr>
        <w:pStyle w:val="af"/>
      </w:pPr>
      <w:r w:rsidRPr="006F4AB8">
        <w:rPr>
          <w:rStyle w:val="af1"/>
        </w:rPr>
        <w:footnoteRef/>
      </w:r>
      <w:r>
        <w:t xml:space="preserve"> </w:t>
      </w:r>
      <w:proofErr w:type="gramStart"/>
      <w:r>
        <w:t>Утверждена</w:t>
      </w:r>
      <w:proofErr w:type="gramEnd"/>
      <w:r>
        <w:t xml:space="preserve"> р</w:t>
      </w:r>
      <w:r w:rsidRPr="00E64E3D">
        <w:t>ешением Совета директоров</w:t>
      </w:r>
      <w:r>
        <w:t xml:space="preserve"> от </w:t>
      </w:r>
      <w:r w:rsidRPr="00E64E3D">
        <w:t>10</w:t>
      </w:r>
      <w:r>
        <w:t>.06.</w:t>
      </w:r>
      <w:r w:rsidRPr="00E64E3D">
        <w:t>2010 (протокол от 11</w:t>
      </w:r>
      <w:r>
        <w:t>.06.</w:t>
      </w:r>
      <w:r w:rsidRPr="00E64E3D">
        <w:t xml:space="preserve">2010 </w:t>
      </w:r>
      <w:r>
        <w:t>№ 110).</w:t>
      </w:r>
    </w:p>
  </w:footnote>
  <w:footnote w:id="102">
    <w:p w:rsidR="00EC58E0" w:rsidRDefault="00EC58E0" w:rsidP="00BF53E8">
      <w:pPr>
        <w:pStyle w:val="af"/>
      </w:pPr>
      <w:r w:rsidRPr="006F4AB8">
        <w:rPr>
          <w:rStyle w:val="af1"/>
        </w:rPr>
        <w:footnoteRef/>
      </w:r>
      <w:r>
        <w:t xml:space="preserve"> Название документа «Об утверждении Правил технологического присоединения потребителей к распределительным электрическим сетям в </w:t>
      </w:r>
      <w:proofErr w:type="gramStart"/>
      <w:r>
        <w:t>г</w:t>
      </w:r>
      <w:proofErr w:type="gramEnd"/>
      <w:r>
        <w:t>. Москве»</w:t>
      </w:r>
    </w:p>
  </w:footnote>
  <w:footnote w:id="103">
    <w:p w:rsidR="00EC58E0" w:rsidRDefault="00EC58E0" w:rsidP="00BF53E8">
      <w:pPr>
        <w:pStyle w:val="af"/>
      </w:pPr>
      <w:r w:rsidRPr="006F4AB8">
        <w:rPr>
          <w:rStyle w:val="af1"/>
        </w:rPr>
        <w:footnoteRef/>
      </w:r>
      <w:r>
        <w:t xml:space="preserve"> Степень влияния на бизнес несущественное, тем не </w:t>
      </w:r>
      <w:proofErr w:type="gramStart"/>
      <w:r>
        <w:t>менее</w:t>
      </w:r>
      <w:proofErr w:type="gramEnd"/>
      <w:r>
        <w:t xml:space="preserve"> риск для Общества значителен.</w:t>
      </w:r>
    </w:p>
  </w:footnote>
  <w:footnote w:id="104">
    <w:p w:rsidR="00EC58E0" w:rsidRDefault="00EC58E0">
      <w:pPr>
        <w:pStyle w:val="af"/>
      </w:pPr>
      <w:r w:rsidRPr="006F4AB8">
        <w:rPr>
          <w:rStyle w:val="af1"/>
        </w:rPr>
        <w:footnoteRef/>
      </w:r>
      <w:r>
        <w:t xml:space="preserve"> П</w:t>
      </w:r>
      <w:r w:rsidRPr="000F6A5D">
        <w:t xml:space="preserve">о состоянию на 31.12.2013, </w:t>
      </w:r>
      <w:r>
        <w:t xml:space="preserve">единица измерения в таблице – </w:t>
      </w:r>
      <w:r w:rsidRPr="000F6A5D">
        <w:t>шт.</w:t>
      </w:r>
    </w:p>
  </w:footnote>
  <w:footnote w:id="105">
    <w:p w:rsidR="00EC58E0" w:rsidRDefault="00EC58E0">
      <w:pPr>
        <w:pStyle w:val="af"/>
      </w:pPr>
      <w:r w:rsidRPr="006F4AB8">
        <w:rPr>
          <w:rStyle w:val="af1"/>
        </w:rPr>
        <w:footnoteRef/>
      </w:r>
      <w:r>
        <w:t xml:space="preserve"> П</w:t>
      </w:r>
      <w:r w:rsidRPr="000F6A5D">
        <w:t>о состоянию на 31.12.2013</w:t>
      </w:r>
      <w:r>
        <w:t>.</w:t>
      </w:r>
    </w:p>
  </w:footnote>
  <w:footnote w:id="106">
    <w:p w:rsidR="00EC58E0" w:rsidRDefault="00EC58E0" w:rsidP="004C1494">
      <w:pPr>
        <w:pStyle w:val="af"/>
      </w:pPr>
      <w:r w:rsidRPr="006F4AB8">
        <w:rPr>
          <w:rStyle w:val="af1"/>
        </w:rPr>
        <w:footnoteRef/>
      </w:r>
      <w:r>
        <w:t xml:space="preserve"> И</w:t>
      </w:r>
      <w:r w:rsidRPr="00ED73B9">
        <w:t>ндивидуальный код 001D государственного регистрационного номера 1-01-65116-D-001D, присвоенный дополнительному выпуску акций, аннулирован 18.11.2008 (Приказ ФСФР России № 08-2788/пз-н)</w:t>
      </w:r>
      <w:r>
        <w:t xml:space="preserve">. </w:t>
      </w:r>
    </w:p>
  </w:footnote>
  <w:footnote w:id="107">
    <w:p w:rsidR="00EC58E0" w:rsidRDefault="00EC58E0" w:rsidP="004C1494">
      <w:pPr>
        <w:pStyle w:val="af"/>
      </w:pPr>
      <w:r w:rsidRPr="006F4AB8">
        <w:rPr>
          <w:rStyle w:val="af1"/>
        </w:rPr>
        <w:footnoteRef/>
      </w:r>
      <w:r>
        <w:t xml:space="preserve"> </w:t>
      </w:r>
      <w:r w:rsidRPr="00AF43A1">
        <w:t>До 04.04.2013 наз</w:t>
      </w:r>
      <w:r>
        <w:t>вание компании –</w:t>
      </w:r>
      <w:r w:rsidRPr="00AF43A1">
        <w:t xml:space="preserve"> </w:t>
      </w:r>
      <w:r>
        <w:t>ОАО «</w:t>
      </w:r>
      <w:r w:rsidRPr="00AF43A1">
        <w:t>Холдинг МРСК</w:t>
      </w:r>
      <w:r>
        <w:t>».</w:t>
      </w:r>
    </w:p>
  </w:footnote>
  <w:footnote w:id="108">
    <w:p w:rsidR="00EC58E0" w:rsidRPr="00997AF3" w:rsidRDefault="00EC58E0" w:rsidP="004C1494">
      <w:pPr>
        <w:pStyle w:val="af"/>
      </w:pPr>
      <w:r w:rsidRPr="006F4AB8">
        <w:rPr>
          <w:rStyle w:val="af1"/>
        </w:rPr>
        <w:footnoteRef/>
      </w:r>
      <w:r>
        <w:t xml:space="preserve"> Д</w:t>
      </w:r>
      <w:r w:rsidRPr="00F63E89">
        <w:t>анные с сайта moex.com</w:t>
      </w:r>
    </w:p>
  </w:footnote>
  <w:footnote w:id="109">
    <w:p w:rsidR="00EC58E0" w:rsidRPr="006F4301" w:rsidRDefault="00EC58E0" w:rsidP="004C1494">
      <w:pPr>
        <w:pStyle w:val="af"/>
      </w:pPr>
      <w:r w:rsidRPr="006F4AB8">
        <w:rPr>
          <w:rStyle w:val="af1"/>
        </w:rPr>
        <w:footnoteRef/>
      </w:r>
      <w:r>
        <w:t xml:space="preserve"> Д</w:t>
      </w:r>
      <w:r w:rsidRPr="00F63E89">
        <w:t>анные с сайта moex.com</w:t>
      </w:r>
    </w:p>
  </w:footnote>
  <w:footnote w:id="110">
    <w:p w:rsidR="00EC58E0" w:rsidRDefault="00EC58E0">
      <w:pPr>
        <w:pStyle w:val="af"/>
      </w:pPr>
      <w:r w:rsidRPr="006F4AB8">
        <w:rPr>
          <w:rStyle w:val="af1"/>
        </w:rPr>
        <w:footnoteRef/>
      </w:r>
      <w:r>
        <w:t xml:space="preserve"> Средневзвешенная цена за год = объем торгов за год в руб. / объем торгов за год в шт.</w:t>
      </w:r>
    </w:p>
  </w:footnote>
  <w:footnote w:id="111">
    <w:p w:rsidR="00EC58E0" w:rsidRDefault="00EC58E0" w:rsidP="004C1494">
      <w:pPr>
        <w:pStyle w:val="af"/>
      </w:pPr>
      <w:r w:rsidRPr="006F4AB8">
        <w:rPr>
          <w:rStyle w:val="af1"/>
        </w:rPr>
        <w:footnoteRef/>
      </w:r>
      <w:r>
        <w:t xml:space="preserve"> Данные с сайта moex</w:t>
      </w:r>
      <w:r w:rsidRPr="00F63E89">
        <w:t>.com</w:t>
      </w:r>
      <w:r>
        <w:t>, расчеты ОАО «</w:t>
      </w:r>
      <w:r w:rsidRPr="006F4301">
        <w:t>МОЭСК</w:t>
      </w:r>
      <w:r>
        <w:t>».</w:t>
      </w:r>
    </w:p>
  </w:footnote>
  <w:footnote w:id="112">
    <w:p w:rsidR="00EC58E0" w:rsidRDefault="00EC58E0" w:rsidP="004C1494">
      <w:pPr>
        <w:pStyle w:val="af"/>
      </w:pPr>
      <w:r w:rsidRPr="006F4AB8">
        <w:rPr>
          <w:rStyle w:val="af1"/>
        </w:rPr>
        <w:footnoteRef/>
      </w:r>
      <w:r>
        <w:t xml:space="preserve"> Е</w:t>
      </w:r>
      <w:r w:rsidRPr="00AF56BE">
        <w:t xml:space="preserve">жедневная капитализация </w:t>
      </w:r>
      <w:r w:rsidRPr="00F63E89">
        <w:t>с сайта moex.com</w:t>
      </w:r>
    </w:p>
  </w:footnote>
  <w:footnote w:id="113">
    <w:p w:rsidR="00EC58E0" w:rsidRDefault="00EC58E0" w:rsidP="004C1494">
      <w:pPr>
        <w:pStyle w:val="af"/>
      </w:pPr>
      <w:r w:rsidRPr="006F4AB8">
        <w:rPr>
          <w:rStyle w:val="af1"/>
        </w:rPr>
        <w:footnoteRef/>
      </w:r>
      <w:r>
        <w:t xml:space="preserve"> </w:t>
      </w:r>
      <w:r w:rsidRPr="0079373E">
        <w:t>Д</w:t>
      </w:r>
      <w:r w:rsidRPr="00AF56BE">
        <w:t xml:space="preserve">анные Bloomberg, расчеты </w:t>
      </w:r>
      <w:r>
        <w:t>ОАО </w:t>
      </w:r>
      <w:r w:rsidRPr="00AF56BE">
        <w:t>«МОЭСК»</w:t>
      </w:r>
      <w:r>
        <w:t>.</w:t>
      </w:r>
    </w:p>
  </w:footnote>
  <w:footnote w:id="114">
    <w:p w:rsidR="00EC58E0" w:rsidRDefault="00EC58E0" w:rsidP="004C1494">
      <w:pPr>
        <w:pStyle w:val="af"/>
      </w:pPr>
      <w:r w:rsidRPr="006F4AB8">
        <w:rPr>
          <w:rStyle w:val="af1"/>
        </w:rPr>
        <w:footnoteRef/>
      </w:r>
      <w:r>
        <w:t xml:space="preserve"> С</w:t>
      </w:r>
      <w:r w:rsidRPr="00AF43A1">
        <w:t xml:space="preserve"> 04.04.2013 наз</w:t>
      </w:r>
      <w:r>
        <w:t>вание компании –</w:t>
      </w:r>
      <w:r w:rsidRPr="00AF43A1">
        <w:t xml:space="preserve"> </w:t>
      </w:r>
      <w:r>
        <w:t>ОАО «Россети».</w:t>
      </w:r>
    </w:p>
  </w:footnote>
  <w:footnote w:id="115">
    <w:p w:rsidR="00EC58E0" w:rsidRPr="00C9034C" w:rsidRDefault="00EC58E0" w:rsidP="004C1494">
      <w:pPr>
        <w:pStyle w:val="af"/>
      </w:pPr>
      <w:r w:rsidRPr="006F4AB8">
        <w:rPr>
          <w:rStyle w:val="af1"/>
        </w:rPr>
        <w:footnoteRef/>
      </w:r>
      <w:r>
        <w:t xml:space="preserve"> </w:t>
      </w:r>
      <w:r w:rsidRPr="00E138A4">
        <w:t>Дивидендная доходность</w:t>
      </w:r>
      <w:r>
        <w:t xml:space="preserve"> рассчитывается как отношение </w:t>
      </w:r>
      <w:r w:rsidRPr="00E138A4">
        <w:t>дивиденд</w:t>
      </w:r>
      <w:r>
        <w:t>а</w:t>
      </w:r>
      <w:r w:rsidRPr="00E138A4">
        <w:t xml:space="preserve"> на акцию </w:t>
      </w:r>
      <w:r>
        <w:t xml:space="preserve">к </w:t>
      </w:r>
      <w:r w:rsidRPr="00E138A4">
        <w:t>рыночн</w:t>
      </w:r>
      <w:r>
        <w:t>ой</w:t>
      </w:r>
      <w:r w:rsidRPr="00E138A4">
        <w:t xml:space="preserve"> стоимост</w:t>
      </w:r>
      <w:r>
        <w:t>и</w:t>
      </w:r>
      <w:r w:rsidRPr="00E138A4">
        <w:t xml:space="preserve"> акци</w:t>
      </w:r>
      <w:r>
        <w:t>й.</w:t>
      </w:r>
      <w:r w:rsidRPr="00E138A4">
        <w:t xml:space="preserve"> Рыночная стоимость акции</w:t>
      </w:r>
      <w:r>
        <w:t xml:space="preserve"> –</w:t>
      </w:r>
      <w:r w:rsidRPr="00E138A4">
        <w:t xml:space="preserve"> </w:t>
      </w:r>
      <w:r>
        <w:t>р</w:t>
      </w:r>
      <w:r w:rsidRPr="00E138A4">
        <w:t xml:space="preserve">ыночная цена (3) на последнюю торговую сессию года, </w:t>
      </w:r>
      <w:r>
        <w:t xml:space="preserve">данные с сайта </w:t>
      </w:r>
      <w:r w:rsidRPr="00E138A4">
        <w:t>moex.</w:t>
      </w:r>
      <w:r>
        <w:rPr>
          <w:lang w:val="en-US"/>
        </w:rPr>
        <w:t>com</w:t>
      </w:r>
    </w:p>
  </w:footnote>
  <w:footnote w:id="116">
    <w:p w:rsidR="00EC58E0" w:rsidRDefault="00EC58E0">
      <w:pPr>
        <w:pStyle w:val="af"/>
      </w:pPr>
      <w:r w:rsidRPr="006F4AB8">
        <w:rPr>
          <w:rStyle w:val="af1"/>
        </w:rPr>
        <w:footnoteRef/>
      </w:r>
      <w:r>
        <w:t xml:space="preserve"> Использованы данные по рыночной цене (2), в связи с тем, что рыночная цена (3) </w:t>
      </w:r>
      <w:proofErr w:type="gramStart"/>
      <w:r>
        <w:t>на конец</w:t>
      </w:r>
      <w:proofErr w:type="gramEnd"/>
      <w:r>
        <w:t xml:space="preserve"> 2010 года на сайте </w:t>
      </w:r>
      <w:r>
        <w:rPr>
          <w:lang w:val="en-US"/>
        </w:rPr>
        <w:t>moex</w:t>
      </w:r>
      <w:r w:rsidRPr="006B1B1E">
        <w:t>.</w:t>
      </w:r>
      <w:r>
        <w:rPr>
          <w:lang w:val="en-US"/>
        </w:rPr>
        <w:t>com</w:t>
      </w:r>
      <w:r w:rsidRPr="006B1B1E">
        <w:t xml:space="preserve"> </w:t>
      </w:r>
      <w:r>
        <w:t>не представлена.</w:t>
      </w:r>
    </w:p>
  </w:footnote>
  <w:footnote w:id="117">
    <w:p w:rsidR="00EC58E0" w:rsidRDefault="00EC58E0">
      <w:pPr>
        <w:pStyle w:val="af"/>
      </w:pPr>
      <w:r w:rsidRPr="006F4AB8">
        <w:rPr>
          <w:rStyle w:val="af1"/>
        </w:rPr>
        <w:footnoteRef/>
      </w:r>
      <w:r>
        <w:t xml:space="preserve"> </w:t>
      </w:r>
      <w:proofErr w:type="gramStart"/>
      <w:r>
        <w:t>Утверждена</w:t>
      </w:r>
      <w:proofErr w:type="gramEnd"/>
      <w:r>
        <w:t xml:space="preserve"> </w:t>
      </w:r>
      <w:r w:rsidRPr="001B3AA0">
        <w:t>решением Совета директоров от 12</w:t>
      </w:r>
      <w:r w:rsidRPr="009F385A">
        <w:rPr>
          <w:sz w:val="26"/>
          <w:szCs w:val="26"/>
        </w:rPr>
        <w:t>.</w:t>
      </w:r>
      <w:r w:rsidRPr="001B3AA0">
        <w:t>05.2012</w:t>
      </w:r>
      <w:r>
        <w:t xml:space="preserve"> (п</w:t>
      </w:r>
      <w:r w:rsidRPr="006C365D">
        <w:t>ротокол от 15.05.2012 № 168</w:t>
      </w:r>
      <w:r>
        <w:t>).</w:t>
      </w:r>
    </w:p>
  </w:footnote>
  <w:footnote w:id="118">
    <w:p w:rsidR="00EC58E0" w:rsidRDefault="00EC58E0">
      <w:pPr>
        <w:pStyle w:val="af"/>
      </w:pPr>
      <w:r w:rsidRPr="006F4AB8">
        <w:rPr>
          <w:rStyle w:val="af1"/>
        </w:rPr>
        <w:footnoteRef/>
      </w:r>
      <w:r>
        <w:t xml:space="preserve"> </w:t>
      </w:r>
      <w:proofErr w:type="gramStart"/>
      <w:r>
        <w:t>Утверждена</w:t>
      </w:r>
      <w:proofErr w:type="gramEnd"/>
      <w:r>
        <w:t xml:space="preserve"> </w:t>
      </w:r>
      <w:r w:rsidRPr="001B3AA0">
        <w:t>решением Совета директоров от 30.12.2013</w:t>
      </w:r>
      <w:r>
        <w:t xml:space="preserve"> (п</w:t>
      </w:r>
      <w:r w:rsidRPr="006C365D">
        <w:t xml:space="preserve">ротокол </w:t>
      </w:r>
      <w:r w:rsidRPr="00B0496B">
        <w:t>от 31.12.2013 № 217</w:t>
      </w:r>
      <w:r>
        <w:t>).</w:t>
      </w:r>
    </w:p>
  </w:footnote>
  <w:footnote w:id="119">
    <w:p w:rsidR="00EC58E0" w:rsidRDefault="00EC58E0" w:rsidP="00A232BD">
      <w:pPr>
        <w:pStyle w:val="af"/>
      </w:pPr>
      <w:r w:rsidRPr="006F4AB8">
        <w:rPr>
          <w:rStyle w:val="af1"/>
        </w:rPr>
        <w:footnoteRef/>
      </w:r>
      <w:r>
        <w:t xml:space="preserve"> В составе выручки не учтены </w:t>
      </w:r>
      <w:r w:rsidRPr="00B51E22">
        <w:t>расход</w:t>
      </w:r>
      <w:r>
        <w:t>ы</w:t>
      </w:r>
      <w:r w:rsidRPr="00B51E22">
        <w:t xml:space="preserve"> на покупную электроэнергию на компенсацию потерь, услуг</w:t>
      </w:r>
      <w:r>
        <w:t>и</w:t>
      </w:r>
      <w:r w:rsidRPr="00B51E22">
        <w:t xml:space="preserve"> </w:t>
      </w:r>
      <w:r>
        <w:t>ОАО «</w:t>
      </w:r>
      <w:r w:rsidRPr="00B51E22">
        <w:t>ФСК</w:t>
      </w:r>
      <w:r>
        <w:t> </w:t>
      </w:r>
      <w:r w:rsidRPr="00B51E22">
        <w:t>ЕЭС</w:t>
      </w:r>
      <w:r>
        <w:t>» и</w:t>
      </w:r>
      <w:r w:rsidRPr="00B51E22">
        <w:t xml:space="preserve"> прочих рас</w:t>
      </w:r>
      <w:r>
        <w:t xml:space="preserve">пределительных сетевых компаний, </w:t>
      </w:r>
      <w:r w:rsidRPr="00B51E22">
        <w:t>амортизации</w:t>
      </w:r>
      <w:r>
        <w:t>.</w:t>
      </w:r>
    </w:p>
  </w:footnote>
  <w:footnote w:id="120">
    <w:p w:rsidR="00EC58E0" w:rsidRDefault="00EC58E0" w:rsidP="001F1931">
      <w:pPr>
        <w:pStyle w:val="af"/>
      </w:pPr>
      <w:r w:rsidRPr="006F4AB8">
        <w:rPr>
          <w:rStyle w:val="af1"/>
        </w:rPr>
        <w:footnoteRef/>
      </w:r>
      <w:r w:rsidRPr="006D37B1">
        <w:t xml:space="preserve"> </w:t>
      </w:r>
      <w:proofErr w:type="gramStart"/>
      <w:r w:rsidRPr="006D37B1">
        <w:t>У</w:t>
      </w:r>
      <w:r w:rsidRPr="0031195F">
        <w:rPr>
          <w:bCs/>
        </w:rPr>
        <w:t>тверждена</w:t>
      </w:r>
      <w:proofErr w:type="gramEnd"/>
      <w:r w:rsidRPr="0031195F">
        <w:rPr>
          <w:bCs/>
        </w:rPr>
        <w:t xml:space="preserve"> решением Совета директоров от 19.06.2012 (протокол от 21.06.2012 № 173).</w:t>
      </w:r>
    </w:p>
  </w:footnote>
  <w:footnote w:id="121">
    <w:p w:rsidR="00EC58E0" w:rsidRDefault="00EC58E0" w:rsidP="001F1931">
      <w:pPr>
        <w:pStyle w:val="af"/>
      </w:pPr>
      <w:r w:rsidRPr="006F4AB8">
        <w:rPr>
          <w:rStyle w:val="af1"/>
        </w:rPr>
        <w:footnoteRef/>
      </w:r>
      <w:r w:rsidRPr="006D37B1">
        <w:t xml:space="preserve"> В</w:t>
      </w:r>
      <w:r w:rsidRPr="0031195F">
        <w:rPr>
          <w:bCs/>
        </w:rPr>
        <w:t xml:space="preserve"> рамках Программы перспективного развития систем учета на </w:t>
      </w:r>
      <w:r>
        <w:rPr>
          <w:bCs/>
        </w:rPr>
        <w:t>розничном рынке электроэнергии</w:t>
      </w:r>
      <w:r w:rsidRPr="0031195F">
        <w:rPr>
          <w:bCs/>
        </w:rPr>
        <w:t xml:space="preserve"> на 2011-2016 гг. </w:t>
      </w:r>
      <w:proofErr w:type="gramStart"/>
      <w:r w:rsidRPr="0031195F">
        <w:t>у</w:t>
      </w:r>
      <w:r w:rsidRPr="0031195F">
        <w:rPr>
          <w:bCs/>
        </w:rPr>
        <w:t>тверждена</w:t>
      </w:r>
      <w:proofErr w:type="gramEnd"/>
      <w:r w:rsidRPr="0031195F">
        <w:rPr>
          <w:bCs/>
        </w:rPr>
        <w:t xml:space="preserve"> решением Совета директоров 21.02.2011 (протокол от 22.02.2011 № 127).</w:t>
      </w:r>
    </w:p>
  </w:footnote>
  <w:footnote w:id="122">
    <w:p w:rsidR="00EC58E0" w:rsidRDefault="00EC58E0" w:rsidP="001F1931">
      <w:pPr>
        <w:pStyle w:val="af"/>
      </w:pPr>
      <w:r w:rsidRPr="006F4AB8">
        <w:rPr>
          <w:rStyle w:val="af1"/>
        </w:rPr>
        <w:footnoteRef/>
      </w:r>
      <w:r>
        <w:t xml:space="preserve"> </w:t>
      </w:r>
      <w:r w:rsidRPr="009A41D5">
        <w:t xml:space="preserve">Концептуально </w:t>
      </w:r>
      <w:proofErr w:type="gramStart"/>
      <w:r w:rsidRPr="009A41D5">
        <w:t>одобрена</w:t>
      </w:r>
      <w:proofErr w:type="gramEnd"/>
      <w:r w:rsidRPr="009A41D5">
        <w:t xml:space="preserve"> </w:t>
      </w:r>
      <w:r>
        <w:t xml:space="preserve">решением </w:t>
      </w:r>
      <w:r w:rsidRPr="009A41D5">
        <w:t>Совет</w:t>
      </w:r>
      <w:r>
        <w:t>а</w:t>
      </w:r>
      <w:r w:rsidRPr="009A41D5">
        <w:t xml:space="preserve"> директоров</w:t>
      </w:r>
      <w:r>
        <w:t xml:space="preserve"> от 03.10.2011</w:t>
      </w:r>
      <w:r w:rsidRPr="009A41D5">
        <w:t xml:space="preserve"> </w:t>
      </w:r>
      <w:r>
        <w:t xml:space="preserve">(протокол от </w:t>
      </w:r>
      <w:r w:rsidRPr="009A41D5">
        <w:t>06.10.2011</w:t>
      </w:r>
      <w:r>
        <w:t xml:space="preserve"> № 149).</w:t>
      </w:r>
    </w:p>
  </w:footnote>
  <w:footnote w:id="123">
    <w:p w:rsidR="00EC58E0" w:rsidRDefault="00EC58E0">
      <w:pPr>
        <w:pStyle w:val="af"/>
      </w:pPr>
      <w:r w:rsidRPr="006F4AB8">
        <w:rPr>
          <w:rStyle w:val="af1"/>
        </w:rPr>
        <w:footnoteRef/>
      </w:r>
      <w:r>
        <w:t xml:space="preserve"> </w:t>
      </w:r>
      <w:r w:rsidRPr="004830D0">
        <w:t>Ед. изм. в таблице – чел.</w:t>
      </w:r>
    </w:p>
  </w:footnote>
  <w:footnote w:id="124">
    <w:p w:rsidR="00EC58E0" w:rsidRDefault="00EC58E0">
      <w:pPr>
        <w:pStyle w:val="af"/>
      </w:pPr>
      <w:r w:rsidRPr="006F4AB8">
        <w:rPr>
          <w:rStyle w:val="af1"/>
        </w:rPr>
        <w:footnoteRef/>
      </w:r>
      <w:r>
        <w:t>Мероприятия по оптимизации численности административно-управленческого персонала проводились в рамках реализации программы повышения эффективности деятельности, сокращения издержек Общества.</w:t>
      </w:r>
    </w:p>
  </w:footnote>
  <w:footnote w:id="125">
    <w:p w:rsidR="00EC58E0" w:rsidRDefault="00EC58E0" w:rsidP="001E3BC4">
      <w:pPr>
        <w:pStyle w:val="af"/>
        <w:ind w:firstLine="567"/>
      </w:pPr>
      <w:r w:rsidRPr="006F4AB8">
        <w:rPr>
          <w:rStyle w:val="af1"/>
        </w:rPr>
        <w:footnoteRef/>
      </w:r>
      <w:r>
        <w:t xml:space="preserve"> </w:t>
      </w:r>
      <w:r>
        <w:rPr>
          <w:rFonts w:eastAsia="Times New Roman"/>
          <w:color w:val="000000"/>
          <w:lang w:eastAsia="ru-RU"/>
        </w:rPr>
        <w:t>Нормативное значение соотношения затрат на обучение к фонду оплаты труда для предприятий ТЭК – 1,5 %.</w:t>
      </w:r>
    </w:p>
  </w:footnote>
  <w:footnote w:id="126">
    <w:p w:rsidR="00EC58E0" w:rsidRDefault="00EC58E0" w:rsidP="00252B8E">
      <w:pPr>
        <w:pStyle w:val="af"/>
      </w:pPr>
      <w:r w:rsidRPr="006F4AB8">
        <w:rPr>
          <w:rStyle w:val="af1"/>
        </w:rPr>
        <w:footnoteRef/>
      </w:r>
      <w:r>
        <w:t xml:space="preserve"> У</w:t>
      </w:r>
      <w:r w:rsidRPr="002870A7">
        <w:t xml:space="preserve">твержден </w:t>
      </w:r>
      <w:r>
        <w:t xml:space="preserve"> решением </w:t>
      </w:r>
      <w:r w:rsidRPr="002870A7">
        <w:t xml:space="preserve">Правления </w:t>
      </w:r>
      <w:r>
        <w:t>от 14.03.2013 (</w:t>
      </w:r>
      <w:r w:rsidRPr="002870A7">
        <w:t>протокол от 15.03.2013 № 13/13).</w:t>
      </w:r>
    </w:p>
  </w:footnote>
  <w:footnote w:id="127">
    <w:p w:rsidR="00EC58E0" w:rsidRDefault="00EC58E0" w:rsidP="00DE6F99">
      <w:pPr>
        <w:pStyle w:val="af"/>
      </w:pPr>
      <w:r w:rsidRPr="006F4AB8">
        <w:rPr>
          <w:rStyle w:val="af1"/>
        </w:rPr>
        <w:footnoteRef/>
      </w:r>
      <w:r>
        <w:t xml:space="preserve"> Согласно </w:t>
      </w:r>
      <w:r w:rsidRPr="00A67239">
        <w:t xml:space="preserve">приказу от 27.02.2013 № 158 «О кадровом резерве </w:t>
      </w:r>
      <w:r>
        <w:t>ОАО </w:t>
      </w:r>
      <w:r w:rsidRPr="00A67239">
        <w:t>«МОЭСК»</w:t>
      </w:r>
      <w:r>
        <w:t>.</w:t>
      </w:r>
    </w:p>
  </w:footnote>
  <w:footnote w:id="128">
    <w:p w:rsidR="00EC58E0" w:rsidRDefault="00EC58E0" w:rsidP="003D0EA5">
      <w:pPr>
        <w:pStyle w:val="af"/>
      </w:pPr>
      <w:r w:rsidRPr="006F4AB8">
        <w:rPr>
          <w:rStyle w:val="af1"/>
        </w:rPr>
        <w:footnoteRef/>
      </w:r>
      <w:r>
        <w:t xml:space="preserve"> </w:t>
      </w:r>
      <w:proofErr w:type="gramStart"/>
      <w:r>
        <w:t>Утверждена</w:t>
      </w:r>
      <w:proofErr w:type="gramEnd"/>
      <w:r>
        <w:t xml:space="preserve"> приказом ОАО «МОЭСК» </w:t>
      </w:r>
      <w:r w:rsidRPr="00175F39">
        <w:t>от 04.02.2013 № 77</w:t>
      </w:r>
      <w:r>
        <w:t>.</w:t>
      </w:r>
    </w:p>
  </w:footnote>
  <w:footnote w:id="129">
    <w:p w:rsidR="00EC58E0" w:rsidRPr="006904E6" w:rsidRDefault="00EC58E0" w:rsidP="00F2772C">
      <w:pPr>
        <w:pStyle w:val="af"/>
      </w:pPr>
      <w:r w:rsidRPr="006F4AB8">
        <w:rPr>
          <w:rStyle w:val="af1"/>
        </w:rPr>
        <w:footnoteRef/>
      </w:r>
      <w:r>
        <w:t> </w:t>
      </w:r>
      <w:r w:rsidRPr="00D46934">
        <w:t xml:space="preserve">Международный показатель травматизма LTIFR </w:t>
      </w:r>
      <w:r>
        <w:t>(от</w:t>
      </w:r>
      <w:r w:rsidRPr="006904E6">
        <w:t xml:space="preserve"> </w:t>
      </w:r>
      <w:r>
        <w:t xml:space="preserve">англ. </w:t>
      </w:r>
      <w:r w:rsidRPr="006904E6">
        <w:rPr>
          <w:lang w:val="en-US"/>
        </w:rPr>
        <w:t>Lost</w:t>
      </w:r>
      <w:r w:rsidRPr="006904E6">
        <w:t xml:space="preserve"> </w:t>
      </w:r>
      <w:r w:rsidRPr="006904E6">
        <w:rPr>
          <w:lang w:val="en-US"/>
        </w:rPr>
        <w:t>Time</w:t>
      </w:r>
      <w:r w:rsidRPr="006904E6">
        <w:t xml:space="preserve"> </w:t>
      </w:r>
      <w:r w:rsidRPr="006904E6">
        <w:rPr>
          <w:lang w:val="en-US"/>
        </w:rPr>
        <w:t>Injury</w:t>
      </w:r>
      <w:r w:rsidRPr="006904E6">
        <w:t xml:space="preserve"> </w:t>
      </w:r>
      <w:r w:rsidRPr="006904E6">
        <w:rPr>
          <w:lang w:val="en-US"/>
        </w:rPr>
        <w:t>Frequency</w:t>
      </w:r>
      <w:r w:rsidRPr="006904E6">
        <w:t xml:space="preserve"> </w:t>
      </w:r>
      <w:r w:rsidRPr="006904E6">
        <w:rPr>
          <w:lang w:val="en-US"/>
        </w:rPr>
        <w:t>Rate</w:t>
      </w:r>
      <w:r>
        <w:t>) = (ч</w:t>
      </w:r>
      <w:r w:rsidRPr="006904E6">
        <w:t>исло потерянных рабочих часов по причине травматизма*200</w:t>
      </w:r>
      <w:r>
        <w:t> </w:t>
      </w:r>
      <w:r w:rsidRPr="006904E6">
        <w:t>000</w:t>
      </w:r>
      <w:r>
        <w:t>)</w:t>
      </w:r>
      <w:r w:rsidRPr="006904E6">
        <w:t xml:space="preserve"> / </w:t>
      </w:r>
      <w:r>
        <w:t>о</w:t>
      </w:r>
      <w:r w:rsidRPr="006904E6">
        <w:t>бщий фонд рабочего времени всех работников Общества</w:t>
      </w:r>
      <w:r>
        <w:t>. Показатель измеряется в относительных единицах – о.е.</w:t>
      </w:r>
    </w:p>
  </w:footnote>
  <w:footnote w:id="130">
    <w:p w:rsidR="00EC58E0" w:rsidRDefault="00EC58E0" w:rsidP="00F2772C">
      <w:pPr>
        <w:pStyle w:val="af"/>
      </w:pPr>
      <w:r w:rsidRPr="006F4AB8">
        <w:rPr>
          <w:rStyle w:val="af1"/>
        </w:rPr>
        <w:footnoteRef/>
      </w:r>
      <w:r>
        <w:t> </w:t>
      </w:r>
      <w:proofErr w:type="gramStart"/>
      <w:r>
        <w:t>Утверждена</w:t>
      </w:r>
      <w:proofErr w:type="gramEnd"/>
      <w:r>
        <w:t xml:space="preserve"> решением Совета директоров от 12.04.2012 (</w:t>
      </w:r>
      <w:r w:rsidRPr="00987CBA">
        <w:t xml:space="preserve">протокол </w:t>
      </w:r>
      <w:r>
        <w:t xml:space="preserve">от 13.04.2012 </w:t>
      </w:r>
      <w:r w:rsidRPr="00987CBA">
        <w:t>№ 165).</w:t>
      </w:r>
    </w:p>
  </w:footnote>
  <w:footnote w:id="131">
    <w:p w:rsidR="00EC58E0" w:rsidRDefault="00EC58E0" w:rsidP="00F2772C">
      <w:pPr>
        <w:pStyle w:val="af"/>
      </w:pPr>
      <w:r w:rsidRPr="006F4AB8">
        <w:rPr>
          <w:rStyle w:val="af1"/>
        </w:rPr>
        <w:footnoteRef/>
      </w:r>
      <w:r>
        <w:t xml:space="preserve"> </w:t>
      </w:r>
      <w:proofErr w:type="gramStart"/>
      <w:r>
        <w:t>Утверждена</w:t>
      </w:r>
      <w:proofErr w:type="gramEnd"/>
      <w:r>
        <w:t xml:space="preserve"> приказом ОАО «МОЭСК» от 18.10.2012 № 831.</w:t>
      </w:r>
    </w:p>
  </w:footnote>
  <w:footnote w:id="132">
    <w:p w:rsidR="00EC58E0" w:rsidRDefault="00EC58E0" w:rsidP="00F2772C">
      <w:pPr>
        <w:pStyle w:val="af"/>
      </w:pPr>
      <w:r w:rsidRPr="006F4AB8">
        <w:rPr>
          <w:rStyle w:val="af1"/>
        </w:rPr>
        <w:footnoteRef/>
      </w:r>
      <w:r>
        <w:t xml:space="preserve"> </w:t>
      </w:r>
      <w:proofErr w:type="gramStart"/>
      <w:r>
        <w:t>Утверждена</w:t>
      </w:r>
      <w:proofErr w:type="gramEnd"/>
      <w:r>
        <w:t xml:space="preserve"> приказом ОАО «МОЭСК» от 05.07.2013 № 669.</w:t>
      </w:r>
    </w:p>
  </w:footnote>
  <w:footnote w:id="133">
    <w:p w:rsidR="00EC58E0" w:rsidRDefault="00EC58E0" w:rsidP="00F2772C">
      <w:pPr>
        <w:pStyle w:val="af"/>
        <w:ind w:firstLine="567"/>
      </w:pPr>
      <w:r w:rsidRPr="006F4AB8">
        <w:rPr>
          <w:rStyle w:val="af1"/>
        </w:rPr>
        <w:footnoteRef/>
      </w:r>
      <w:r>
        <w:t xml:space="preserve"> </w:t>
      </w:r>
      <w:r w:rsidRPr="00B418EE">
        <w:t>Федеральн</w:t>
      </w:r>
      <w:r>
        <w:t xml:space="preserve">ый </w:t>
      </w:r>
      <w:r w:rsidRPr="00B418EE">
        <w:t>закон от 28.12.2013 № 426-ФЗ</w:t>
      </w:r>
      <w:r>
        <w:t>.</w:t>
      </w:r>
    </w:p>
    <w:p w:rsidR="00EC58E0" w:rsidRDefault="00EC58E0" w:rsidP="00F2772C">
      <w:pPr>
        <w:pStyle w:val="af"/>
        <w:ind w:firstLine="567"/>
      </w:pPr>
      <w:proofErr w:type="gramStart"/>
      <w:r w:rsidRPr="00904E2D">
        <w:t>Специальная оценка условий труда является единым комплексом последовательно осуществляемых мероприятий по идентификации вредных и (или) опасных факторов производственной среды и трудового процесса и оценке уровня их воздействия на работника с учетом отклонения их фактических значений от установленных уполномоченным Правительством РФ, федеральным органом исполнительной власти нормативов условий труда и применения средств индивидуальной и коллективной защиты работников.</w:t>
      </w:r>
      <w:proofErr w:type="gramEnd"/>
      <w:r w:rsidRPr="00904E2D">
        <w:t xml:space="preserve"> По результатам проведения специальной оценки условий труда устанавливаются классы (подклассы) условий труда на рабочих местах.</w:t>
      </w:r>
    </w:p>
  </w:footnote>
  <w:footnote w:id="134">
    <w:p w:rsidR="00EC58E0" w:rsidRDefault="00EC58E0" w:rsidP="00E14217">
      <w:pPr>
        <w:pStyle w:val="af"/>
      </w:pPr>
      <w:r w:rsidRPr="006F4AB8">
        <w:rPr>
          <w:rStyle w:val="af1"/>
        </w:rPr>
        <w:footnoteRef/>
      </w:r>
      <w:r>
        <w:t xml:space="preserve"> </w:t>
      </w:r>
      <w:proofErr w:type="gramStart"/>
      <w:r>
        <w:t>У</w:t>
      </w:r>
      <w:r w:rsidRPr="00263D20">
        <w:t>тверждена</w:t>
      </w:r>
      <w:proofErr w:type="gramEnd"/>
      <w:r w:rsidRPr="00263D20">
        <w:t xml:space="preserve"> </w:t>
      </w:r>
      <w:r>
        <w:t xml:space="preserve">решением </w:t>
      </w:r>
      <w:r w:rsidRPr="00263D20">
        <w:t>Совет</w:t>
      </w:r>
      <w:r>
        <w:t>а</w:t>
      </w:r>
      <w:r w:rsidRPr="00263D20">
        <w:t xml:space="preserve"> директоров </w:t>
      </w:r>
      <w:r>
        <w:t xml:space="preserve">от 02.12.2008, </w:t>
      </w:r>
      <w:r w:rsidRPr="00263D20">
        <w:t>протокол от 03.12.2008 № 75</w:t>
      </w:r>
      <w:r>
        <w:t>.</w:t>
      </w:r>
    </w:p>
  </w:footnote>
  <w:footnote w:id="135">
    <w:p w:rsidR="00EC58E0" w:rsidRDefault="00EC58E0" w:rsidP="00A224C0">
      <w:pPr>
        <w:pStyle w:val="af"/>
      </w:pPr>
      <w:r w:rsidRPr="006F4AB8">
        <w:rPr>
          <w:rStyle w:val="af1"/>
        </w:rPr>
        <w:footnoteRef/>
      </w:r>
      <w:r>
        <w:t xml:space="preserve"> </w:t>
      </w:r>
      <w:r w:rsidRPr="00024BE6">
        <w:t xml:space="preserve">Поверка средств измерений </w:t>
      </w:r>
      <w:r>
        <w:t>–</w:t>
      </w:r>
      <w:r w:rsidRPr="00024BE6">
        <w:t xml:space="preserve"> совокупность операций, выполняемых в целях подтверждения соответствия средств измере</w:t>
      </w:r>
      <w:r>
        <w:t>ний метрологическим требованиям.</w:t>
      </w:r>
    </w:p>
  </w:footnote>
  <w:footnote w:id="136">
    <w:p w:rsidR="00EC58E0" w:rsidRDefault="00EC58E0" w:rsidP="00A224C0">
      <w:pPr>
        <w:pStyle w:val="af"/>
      </w:pPr>
      <w:r w:rsidRPr="006F4AB8">
        <w:rPr>
          <w:rStyle w:val="af1"/>
        </w:rPr>
        <w:footnoteRef/>
      </w:r>
      <w:r>
        <w:t xml:space="preserve"> </w:t>
      </w:r>
      <w:r w:rsidRPr="00614AAA">
        <w:t>СН 2.2.4/2.1.8.562-96 «Шум на рабочих местах, в помещениях жилых, общественных зданий и на территории жилой застройки»</w:t>
      </w:r>
      <w:r>
        <w:t xml:space="preserve">, </w:t>
      </w:r>
      <w:r w:rsidRPr="00614AAA">
        <w:t>утв</w:t>
      </w:r>
      <w:r>
        <w:t xml:space="preserve">ерждены </w:t>
      </w:r>
      <w:r w:rsidRPr="00614AAA">
        <w:t>Постановлением Госкомсанэпиднадзора Р</w:t>
      </w:r>
      <w:r>
        <w:t>оссии</w:t>
      </w:r>
      <w:r w:rsidRPr="00614AAA">
        <w:t xml:space="preserve"> от 31.10.1996 </w:t>
      </w:r>
      <w:r>
        <w:t>№</w:t>
      </w:r>
      <w:r w:rsidRPr="00614AAA">
        <w:t xml:space="preserve"> 36</w:t>
      </w:r>
      <w:r>
        <w:t>.</w:t>
      </w:r>
    </w:p>
  </w:footnote>
  <w:footnote w:id="137">
    <w:p w:rsidR="00EC58E0" w:rsidRDefault="00EC58E0">
      <w:pPr>
        <w:pStyle w:val="af"/>
      </w:pPr>
      <w:r w:rsidRPr="006F4AB8">
        <w:rPr>
          <w:rStyle w:val="af1"/>
        </w:rPr>
        <w:footnoteRef/>
      </w:r>
      <w:r>
        <w:t xml:space="preserve"> В соответствии со ст. 16 Федерального</w:t>
      </w:r>
      <w:r w:rsidRPr="00B857F6">
        <w:t xml:space="preserve"> закон</w:t>
      </w:r>
      <w:r>
        <w:t>а</w:t>
      </w:r>
      <w:r w:rsidRPr="00B857F6">
        <w:t xml:space="preserve"> от 10.01.2002 </w:t>
      </w:r>
      <w:r>
        <w:t>№</w:t>
      </w:r>
      <w:r w:rsidRPr="00B857F6">
        <w:t xml:space="preserve"> 7-ФЗ </w:t>
      </w:r>
      <w:r>
        <w:t>«</w:t>
      </w:r>
      <w:r w:rsidRPr="00B857F6">
        <w:t>Об охране окружающей ср</w:t>
      </w:r>
      <w:r>
        <w:t>еды».</w:t>
      </w:r>
    </w:p>
  </w:footnote>
  <w:footnote w:id="138">
    <w:p w:rsidR="00EC58E0" w:rsidRDefault="00EC58E0">
      <w:pPr>
        <w:pStyle w:val="af"/>
      </w:pPr>
      <w:r w:rsidRPr="006F4AB8">
        <w:rPr>
          <w:rStyle w:val="af1"/>
        </w:rPr>
        <w:footnoteRef/>
      </w:r>
      <w:r>
        <w:t xml:space="preserve"> В</w:t>
      </w:r>
      <w:r w:rsidRPr="00024BE6">
        <w:t xml:space="preserve"> соответствии с п.</w:t>
      </w:r>
      <w:r>
        <w:t xml:space="preserve"> </w:t>
      </w:r>
      <w:r w:rsidRPr="00024BE6">
        <w:t>3 ст.</w:t>
      </w:r>
      <w:r>
        <w:t xml:space="preserve"> </w:t>
      </w:r>
      <w:r w:rsidRPr="00024BE6">
        <w:t>3 Федерального закона от 03.12.2012 № 216-ФЗ «О федеральном бюджете на 2013 год и пла</w:t>
      </w:r>
      <w:r>
        <w:t>новый период 2014 и 2015 годов».</w:t>
      </w:r>
    </w:p>
  </w:footnote>
  <w:footnote w:id="139">
    <w:p w:rsidR="00EC58E0" w:rsidRDefault="00EC58E0">
      <w:pPr>
        <w:pStyle w:val="af"/>
      </w:pPr>
      <w:r w:rsidRPr="006F4AB8">
        <w:rPr>
          <w:rStyle w:val="af1"/>
        </w:rPr>
        <w:footnoteRef/>
      </w:r>
      <w:r>
        <w:t xml:space="preserve"> П</w:t>
      </w:r>
      <w:r w:rsidRPr="00024BE6">
        <w:t>редусмотрены ст. 23  Ф</w:t>
      </w:r>
      <w:r>
        <w:t xml:space="preserve">едерального закона </w:t>
      </w:r>
      <w:r w:rsidRPr="00024BE6">
        <w:t>от 10.01.2002 № 7-ФЗ «Об охране окружающей среды»</w:t>
      </w:r>
      <w:r>
        <w:t>.</w:t>
      </w:r>
    </w:p>
  </w:footnote>
  <w:footnote w:id="140">
    <w:p w:rsidR="00EC58E0" w:rsidRDefault="00EC58E0" w:rsidP="00E14217">
      <w:pPr>
        <w:pStyle w:val="af"/>
      </w:pPr>
      <w:r w:rsidRPr="006F4AB8">
        <w:rPr>
          <w:rStyle w:val="af1"/>
        </w:rPr>
        <w:footnoteRef/>
      </w:r>
      <w:r>
        <w:t xml:space="preserve"> Проходила в </w:t>
      </w:r>
      <w:proofErr w:type="gramStart"/>
      <w:r>
        <w:t>г</w:t>
      </w:r>
      <w:proofErr w:type="gramEnd"/>
      <w:r>
        <w:t xml:space="preserve">. Санкт-Петербург </w:t>
      </w:r>
      <w:r w:rsidRPr="007F6B21">
        <w:rPr>
          <w:bCs/>
        </w:rPr>
        <w:t>29</w:t>
      </w:r>
      <w:r>
        <w:rPr>
          <w:bCs/>
        </w:rPr>
        <w:t xml:space="preserve"> марта-</w:t>
      </w:r>
      <w:r w:rsidRPr="007F6B21">
        <w:rPr>
          <w:bCs/>
        </w:rPr>
        <w:t>1 апреля 2013 года</w:t>
      </w:r>
      <w:r>
        <w:rPr>
          <w:bCs/>
        </w:rPr>
        <w:t>.</w:t>
      </w:r>
    </w:p>
  </w:footnote>
  <w:footnote w:id="141">
    <w:p w:rsidR="00EC58E0" w:rsidRDefault="00EC58E0" w:rsidP="00E14217">
      <w:pPr>
        <w:pStyle w:val="af"/>
      </w:pPr>
      <w:r w:rsidRPr="006F4AB8">
        <w:rPr>
          <w:rStyle w:val="af1"/>
        </w:rPr>
        <w:footnoteRef/>
      </w:r>
      <w:r>
        <w:t xml:space="preserve"> Проходил в </w:t>
      </w:r>
      <w:proofErr w:type="gramStart"/>
      <w:r>
        <w:t>г</w:t>
      </w:r>
      <w:proofErr w:type="gramEnd"/>
      <w:r>
        <w:t xml:space="preserve">. Москве </w:t>
      </w:r>
      <w:r w:rsidRPr="00401A51">
        <w:t>14</w:t>
      </w:r>
      <w:r>
        <w:t>-</w:t>
      </w:r>
      <w:r w:rsidRPr="00401A51">
        <w:t>15 ноября 2013 г</w:t>
      </w:r>
      <w:r>
        <w:t>.</w:t>
      </w:r>
    </w:p>
  </w:footnote>
  <w:footnote w:id="142">
    <w:p w:rsidR="00EC58E0" w:rsidRDefault="00EC58E0" w:rsidP="007B08DA">
      <w:pPr>
        <w:autoSpaceDE w:val="0"/>
        <w:autoSpaceDN w:val="0"/>
        <w:adjustRightInd w:val="0"/>
        <w:ind w:left="540" w:firstLine="0"/>
      </w:pPr>
      <w:r w:rsidRPr="006F4AB8">
        <w:rPr>
          <w:rStyle w:val="af1"/>
        </w:rPr>
        <w:footnoteRef/>
      </w:r>
      <w:r>
        <w:t xml:space="preserve"> </w:t>
      </w:r>
      <w:r w:rsidRPr="007B08DA">
        <w:rPr>
          <w:sz w:val="20"/>
          <w:szCs w:val="20"/>
        </w:rPr>
        <w:t xml:space="preserve">В соответствии с </w:t>
      </w:r>
      <w:r w:rsidRPr="007B08DA">
        <w:rPr>
          <w:sz w:val="20"/>
          <w:szCs w:val="20"/>
          <w:lang w:eastAsia="ru-RU"/>
        </w:rPr>
        <w:t>Приказом Минприроды России от 01.09.2011 № 721 «Об утверждении Порядка учета в области обращения с отходами».</w:t>
      </w:r>
    </w:p>
  </w:footnote>
  <w:footnote w:id="143">
    <w:p w:rsidR="00EC58E0" w:rsidRDefault="00EC58E0">
      <w:pPr>
        <w:pStyle w:val="af"/>
      </w:pPr>
      <w:r w:rsidRPr="006F4AB8">
        <w:rPr>
          <w:rStyle w:val="af1"/>
        </w:rPr>
        <w:footnoteRef/>
      </w:r>
      <w:r>
        <w:t xml:space="preserve"> </w:t>
      </w:r>
      <w:r w:rsidRPr="002E7A5C">
        <w:t xml:space="preserve">Распределение электропотребления между г. Москвой и Московской областью оценено с учетом расширения с 01.07.2012 границ г. Москвы в соответствии с Постановление Совета Федерации Федерального собрания РФ от 27.11.2011 № 560-СФ и оценкой уровня электропотребления на присоединенной территории в объеме 1,97 </w:t>
      </w:r>
      <w:proofErr w:type="gramStart"/>
      <w:r w:rsidRPr="002E7A5C">
        <w:t>млрд</w:t>
      </w:r>
      <w:proofErr w:type="gramEnd"/>
      <w:r w:rsidRPr="002E7A5C">
        <w:t xml:space="preserve"> кВтч в 2012 году.</w:t>
      </w:r>
    </w:p>
  </w:footnote>
  <w:footnote w:id="144">
    <w:p w:rsidR="00EC58E0" w:rsidRDefault="00EC58E0">
      <w:pPr>
        <w:pStyle w:val="af"/>
      </w:pPr>
      <w:r w:rsidRPr="006F4AB8">
        <w:rPr>
          <w:rStyle w:val="af1"/>
        </w:rPr>
        <w:footnoteRef/>
      </w:r>
      <w:r>
        <w:t xml:space="preserve"> По состоянию на 31.12.2013.</w:t>
      </w:r>
    </w:p>
  </w:footnote>
  <w:footnote w:id="145">
    <w:p w:rsidR="00EC58E0" w:rsidRDefault="00EC58E0">
      <w:pPr>
        <w:pStyle w:val="af"/>
      </w:pPr>
      <w:r w:rsidRPr="006F4AB8">
        <w:rPr>
          <w:rStyle w:val="af1"/>
        </w:rPr>
        <w:footnoteRef/>
      </w:r>
      <w:r>
        <w:t xml:space="preserve"> </w:t>
      </w:r>
      <w:r w:rsidRPr="0049025E">
        <w:rPr>
          <w:rFonts w:eastAsia="Times New Roman"/>
          <w:color w:val="000000"/>
          <w:lang w:eastAsia="ru-RU"/>
        </w:rPr>
        <w:t xml:space="preserve">Отпуск из сети потребителям и смежным </w:t>
      </w:r>
      <w:r>
        <w:rPr>
          <w:rFonts w:eastAsia="Times New Roman"/>
          <w:color w:val="000000"/>
          <w:lang w:eastAsia="ru-RU"/>
        </w:rPr>
        <w:t>территориальным сетевым организациям</w:t>
      </w:r>
      <w:r w:rsidRPr="0049025E">
        <w:rPr>
          <w:rFonts w:eastAsia="Times New Roman"/>
          <w:color w:val="000000"/>
          <w:lang w:eastAsia="ru-RU"/>
        </w:rPr>
        <w:t xml:space="preserve"> в границах балансовой и эксплуатационной ответственности</w:t>
      </w:r>
      <w:r>
        <w:rPr>
          <w:rFonts w:eastAsia="Times New Roman"/>
          <w:color w:val="000000"/>
          <w:lang w:eastAsia="ru-RU"/>
        </w:rPr>
        <w:t>.</w:t>
      </w:r>
    </w:p>
  </w:footnote>
  <w:footnote w:id="146">
    <w:p w:rsidR="00EC58E0" w:rsidRDefault="00EC58E0" w:rsidP="006D32CC">
      <w:pPr>
        <w:pStyle w:val="af"/>
      </w:pPr>
      <w:r w:rsidRPr="006F4AB8">
        <w:rPr>
          <w:rStyle w:val="af1"/>
        </w:rPr>
        <w:footnoteRef/>
      </w:r>
      <w:r>
        <w:t xml:space="preserve"> С</w:t>
      </w:r>
      <w:r w:rsidRPr="009B5829">
        <w:t xml:space="preserve"> учетом точек поставки арендаторов</w:t>
      </w:r>
      <w:r>
        <w:t>.</w:t>
      </w:r>
    </w:p>
  </w:footnote>
  <w:footnote w:id="147">
    <w:p w:rsidR="00EC58E0" w:rsidRDefault="00EC58E0" w:rsidP="004A4CF1">
      <w:pPr>
        <w:pStyle w:val="af"/>
      </w:pPr>
      <w:r w:rsidRPr="006F4AB8">
        <w:rPr>
          <w:rStyle w:val="af1"/>
        </w:rPr>
        <w:footnoteRef/>
      </w:r>
      <w:r>
        <w:t xml:space="preserve"> </w:t>
      </w:r>
      <w:proofErr w:type="gramStart"/>
      <w:r>
        <w:t>Нагрузочные потери – стоимость потерь, учтенных в ценах на электроэнергию на оптовом рынке электроэнергии, отнесенная на субъекта оптового рынка и рассчитанная ОАО «АТС».</w:t>
      </w:r>
      <w:proofErr w:type="gramEnd"/>
    </w:p>
  </w:footnote>
  <w:footnote w:id="148">
    <w:p w:rsidR="00EC58E0" w:rsidRDefault="00EC58E0" w:rsidP="004A4CF1">
      <w:pPr>
        <w:pStyle w:val="af"/>
      </w:pPr>
      <w:r w:rsidRPr="006F4AB8">
        <w:rPr>
          <w:rStyle w:val="af1"/>
        </w:rPr>
        <w:footnoteRef/>
      </w:r>
      <w:r>
        <w:t xml:space="preserve"> </w:t>
      </w:r>
      <w:r w:rsidRPr="00AE1E94">
        <w:t>Выручка при утверждении регулирующим органом не включает нагрузочные потери, в связи с этим сравнение с фактической выручкой произведено в сопоставимых условиях – без учета нагрузочных потерь, которые уменьшают объем оказанных услуг.</w:t>
      </w:r>
    </w:p>
  </w:footnote>
  <w:footnote w:id="149">
    <w:p w:rsidR="00EC58E0" w:rsidRDefault="00EC58E0" w:rsidP="00A9213E">
      <w:pPr>
        <w:pStyle w:val="af"/>
        <w:ind w:firstLine="567"/>
      </w:pPr>
      <w:r w:rsidRPr="006F4AB8">
        <w:rPr>
          <w:rStyle w:val="af1"/>
        </w:rPr>
        <w:footnoteRef/>
      </w:r>
      <w:r>
        <w:t xml:space="preserve"> Приказ ФСТ России от 12.10.2012 № 234-э/2 «О согласовании (об отказе в согласовании) Федеральной службой по тарифам долгосрочных параметров регулирования деятельности территориальных сетевых </w:t>
      </w:r>
      <w:proofErr w:type="gramStart"/>
      <w:r>
        <w:t>организаций</w:t>
      </w:r>
      <w:proofErr w:type="gramEnd"/>
      <w:r>
        <w:t xml:space="preserve"> с применением метода доходности инвестированного капитала».</w:t>
      </w:r>
    </w:p>
  </w:footnote>
  <w:footnote w:id="150">
    <w:p w:rsidR="00EC58E0" w:rsidRPr="002D2DD3" w:rsidRDefault="00EC58E0" w:rsidP="005123D7">
      <w:pPr>
        <w:pStyle w:val="af"/>
        <w:ind w:firstLine="567"/>
      </w:pPr>
      <w:r w:rsidRPr="006F4AB8">
        <w:rPr>
          <w:rStyle w:val="af1"/>
        </w:rPr>
        <w:footnoteRef/>
      </w:r>
      <w:r>
        <w:t xml:space="preserve"> </w:t>
      </w:r>
      <w:proofErr w:type="gramStart"/>
      <w:r>
        <w:t>Утверждена</w:t>
      </w:r>
      <w:proofErr w:type="gramEnd"/>
      <w:r>
        <w:t xml:space="preserve"> Постановлением РЭК г. Москвы от 12.10.2012 № 214 «Об установлении долгосрочных параметров регулирования для сетевых организаций г. Москвы, применяющих метод доходности инвестированного капитала (</w:t>
      </w:r>
      <w:r>
        <w:rPr>
          <w:lang w:val="en-US"/>
        </w:rPr>
        <w:t>RAB</w:t>
      </w:r>
      <w:r>
        <w:t>) при расчете тарифов на услуги по передаче электрической энергии».</w:t>
      </w:r>
    </w:p>
  </w:footnote>
  <w:footnote w:id="151">
    <w:p w:rsidR="00EC58E0" w:rsidRDefault="00EC58E0" w:rsidP="005123D7">
      <w:pPr>
        <w:pStyle w:val="af"/>
        <w:ind w:firstLine="567"/>
      </w:pPr>
      <w:r w:rsidRPr="006F4AB8">
        <w:rPr>
          <w:rStyle w:val="af1"/>
        </w:rPr>
        <w:footnoteRef/>
      </w:r>
      <w:r>
        <w:t xml:space="preserve"> </w:t>
      </w:r>
      <w:proofErr w:type="gramStart"/>
      <w:r>
        <w:t>Утверждена</w:t>
      </w:r>
      <w:proofErr w:type="gramEnd"/>
      <w:r>
        <w:t xml:space="preserve"> Постановлением РЭК г. Москвы от 21.12.2012 № 391 «Об установлении единых (котловых) тарифов на услуги по передаче электрической энергии по сетям города Москвы в 2013 году».</w:t>
      </w:r>
    </w:p>
  </w:footnote>
  <w:footnote w:id="152">
    <w:p w:rsidR="00EC58E0" w:rsidRDefault="00EC58E0" w:rsidP="005123D7">
      <w:pPr>
        <w:pStyle w:val="af"/>
        <w:ind w:firstLine="567"/>
      </w:pPr>
      <w:r w:rsidRPr="006F4AB8">
        <w:rPr>
          <w:rStyle w:val="af1"/>
        </w:rPr>
        <w:footnoteRef/>
      </w:r>
      <w:r>
        <w:t xml:space="preserve"> Утверждена Распоряжением Мособлкомцен от 12.10.2012 № 93-Р «Об установлении долгосрочных параметров регулирования и необходимой валовой выручки без учета оплаты потерь, рассчитанных с применением метода доходности инвестированного капитала для ОАО «Московская объединенная электросетевая компания» на 2012-2017 годы на территории Московской области».</w:t>
      </w:r>
    </w:p>
  </w:footnote>
  <w:footnote w:id="153">
    <w:p w:rsidR="00EC58E0" w:rsidRDefault="00EC58E0" w:rsidP="005123D7">
      <w:pPr>
        <w:pStyle w:val="af"/>
        <w:ind w:firstLine="567"/>
      </w:pPr>
      <w:r w:rsidRPr="006F4AB8">
        <w:rPr>
          <w:rStyle w:val="af1"/>
        </w:rPr>
        <w:footnoteRef/>
      </w:r>
      <w:r>
        <w:t xml:space="preserve"> Утверждена Распоряжением Мособлкомцен от 25.12.2012 № 160-Р «Об установлении долгосрочных параметров регулирования и необходимой валовой выручки без учета оплаты потерь, рассчитанных с применением метода доходности инвестированного капитала для ОАО «Московская объединенная электросетевая компания» на 2013-2017 годы на территории Московской области».</w:t>
      </w:r>
    </w:p>
  </w:footnote>
  <w:footnote w:id="154">
    <w:p w:rsidR="00EC58E0" w:rsidRDefault="00EC58E0" w:rsidP="005123D7">
      <w:pPr>
        <w:pStyle w:val="af"/>
        <w:ind w:firstLine="567"/>
      </w:pPr>
      <w:r w:rsidRPr="006F4AB8">
        <w:rPr>
          <w:rStyle w:val="af1"/>
        </w:rPr>
        <w:footnoteRef/>
      </w:r>
      <w:r>
        <w:t xml:space="preserve"> </w:t>
      </w:r>
      <w:proofErr w:type="gramStart"/>
      <w:r>
        <w:t>Утверждена</w:t>
      </w:r>
      <w:proofErr w:type="gramEnd"/>
      <w:r>
        <w:t xml:space="preserve"> Распоряжением Мособлкомцен от 20.12.2013 № 156-Р «Об установлении единых (котловых) тарифов на услуги по передаче электрической энергии по Московской области на 2014 год».</w:t>
      </w:r>
    </w:p>
  </w:footnote>
  <w:footnote w:id="155">
    <w:p w:rsidR="00EC58E0" w:rsidRDefault="00EC58E0" w:rsidP="00E93459">
      <w:pPr>
        <w:pStyle w:val="af"/>
      </w:pPr>
      <w:r w:rsidRPr="006F4AB8">
        <w:rPr>
          <w:rStyle w:val="af1"/>
        </w:rPr>
        <w:footnoteRef/>
      </w:r>
      <w:r>
        <w:t xml:space="preserve"> Средняя стоимость 1 МВт = выручка </w:t>
      </w:r>
      <w:r w:rsidRPr="00686CA1">
        <w:t xml:space="preserve">от оказания услуг по технологическому присоединению </w:t>
      </w:r>
      <w:r>
        <w:t xml:space="preserve">/ фактически присоединенная мощность. Средняя стоимость 1 МВт для определенной категории потребителей = выручка от </w:t>
      </w:r>
      <w:r w:rsidRPr="00686CA1">
        <w:t>оказания услуг по технологическому присоединению</w:t>
      </w:r>
      <w:r>
        <w:t xml:space="preserve"> по данной категории потребителей / фактически присоединенная мощность по данной категории потребителей.</w:t>
      </w:r>
    </w:p>
  </w:footnote>
  <w:footnote w:id="156">
    <w:p w:rsidR="00EC58E0" w:rsidRDefault="00EC58E0">
      <w:pPr>
        <w:pStyle w:val="af"/>
      </w:pPr>
      <w:r w:rsidRPr="006F4AB8">
        <w:rPr>
          <w:rStyle w:val="af1"/>
        </w:rPr>
        <w:footnoteRef/>
      </w:r>
      <w:r>
        <w:t xml:space="preserve"> В 2013 году не созывался.</w:t>
      </w:r>
    </w:p>
  </w:footnote>
  <w:footnote w:id="157">
    <w:p w:rsidR="00EC58E0" w:rsidRDefault="00EC58E0" w:rsidP="0086454D">
      <w:pPr>
        <w:pStyle w:val="af"/>
      </w:pPr>
      <w:r w:rsidRPr="006F4AB8">
        <w:rPr>
          <w:rStyle w:val="af1"/>
        </w:rPr>
        <w:footnoteRef/>
      </w:r>
      <w:r>
        <w:t xml:space="preserve"> Подготовлены в соответствии с Распоряжением ФКЦБ России от 30.04.2003 № 03-849/</w:t>
      </w:r>
      <w:proofErr w:type="gramStart"/>
      <w:r>
        <w:t>р</w:t>
      </w:r>
      <w:proofErr w:type="gramEnd"/>
      <w:r>
        <w:t xml:space="preserve"> «О методических рекомендациях по составу и форме представления сведений о соблюдении Кодекса корпоративного поведения в годовых отчетах акционерных обществ».</w:t>
      </w:r>
    </w:p>
  </w:footnote>
  <w:footnote w:id="158">
    <w:p w:rsidR="00EC58E0" w:rsidRPr="009B08C1" w:rsidRDefault="00EC58E0" w:rsidP="005123D7">
      <w:pPr>
        <w:pStyle w:val="af"/>
        <w:ind w:firstLine="567"/>
      </w:pPr>
      <w:r w:rsidRPr="006F4AB8">
        <w:rPr>
          <w:rStyle w:val="af1"/>
        </w:rPr>
        <w:footnoteRef/>
      </w:r>
      <w:r w:rsidRPr="009B08C1">
        <w:t xml:space="preserve"> Установлены постановлением РЭК г. Москвы от 21.12.2012 № 391 «Об установлении (единых) котловых тарифов на услуги по передаче электрической энергии по сетям города Москвы в 2013 году» (в ред. Постановлений РЭК Москвы от 28.12.2012 № 434, от 28.12.2012 № 435). Официальный источник опубликования постановления – издание «Вестник Мэра и Правительства Москвы» от 21.01.2013 № 4). </w:t>
      </w:r>
    </w:p>
  </w:footnote>
  <w:footnote w:id="159">
    <w:p w:rsidR="00EC58E0" w:rsidRPr="006A60A7" w:rsidRDefault="00EC58E0" w:rsidP="005123D7">
      <w:pPr>
        <w:pStyle w:val="af"/>
        <w:ind w:firstLine="567"/>
      </w:pPr>
      <w:r w:rsidRPr="006F4AB8">
        <w:rPr>
          <w:rStyle w:val="af1"/>
        </w:rPr>
        <w:footnoteRef/>
      </w:r>
      <w:r w:rsidRPr="009B08C1">
        <w:t xml:space="preserve"> Установлены распоряжением Мособлкомцен от 25.12.2012 № 162-Р «Об установлении единых (котловых) тарифов на услуги по передаче электрической энергии по сетям на территории Московской области на 2013 год». Официальный источник опубликования распоряжения – издание «Ежедневные новости Подмосковья» от 15.01.2013 № 4).</w:t>
      </w:r>
    </w:p>
  </w:footnote>
  <w:footnote w:id="160">
    <w:p w:rsidR="00EC58E0" w:rsidRPr="004240DE" w:rsidRDefault="00EC58E0" w:rsidP="005123D7">
      <w:pPr>
        <w:pStyle w:val="af"/>
        <w:ind w:firstLine="567"/>
      </w:pPr>
      <w:r w:rsidRPr="006F4AB8">
        <w:rPr>
          <w:rStyle w:val="af1"/>
        </w:rPr>
        <w:footnoteRef/>
      </w:r>
      <w:r w:rsidRPr="00D72CF2">
        <w:t xml:space="preserve"> </w:t>
      </w:r>
      <w:r w:rsidRPr="004240DE">
        <w:t xml:space="preserve">Распоряжение Мособлкомцен от 25.12.2012 № 164-Р «Об установлении индивидуальных тарифов на услуги по передаче электрической энергии на территории Московской области на 2013-2014 гг. (в ред. от 29.03.2013 № 30-Р, от 16.08.2013 № 89-Р). Официальный источник опубликования распоряжения – издание </w:t>
      </w:r>
      <w:r>
        <w:t>«</w:t>
      </w:r>
      <w:r w:rsidRPr="004240DE">
        <w:t>Ежедневные Новости. Подмосковье</w:t>
      </w:r>
      <w:r>
        <w:t>»</w:t>
      </w:r>
      <w:r w:rsidRPr="004240DE">
        <w:t xml:space="preserve"> </w:t>
      </w:r>
      <w:r>
        <w:t xml:space="preserve">от </w:t>
      </w:r>
      <w:r w:rsidRPr="004240DE">
        <w:t xml:space="preserve">15.01.2013 </w:t>
      </w:r>
      <w:r>
        <w:t xml:space="preserve">№ </w:t>
      </w:r>
      <w:r w:rsidRPr="004240DE">
        <w:t>4.</w:t>
      </w:r>
    </w:p>
  </w:footnote>
  <w:footnote w:id="161">
    <w:p w:rsidR="00EC58E0" w:rsidRPr="004240DE" w:rsidRDefault="00EC58E0" w:rsidP="005123D7">
      <w:pPr>
        <w:pStyle w:val="af"/>
        <w:ind w:firstLine="567"/>
      </w:pPr>
      <w:r w:rsidRPr="006F4AB8">
        <w:rPr>
          <w:rStyle w:val="af1"/>
        </w:rPr>
        <w:footnoteRef/>
      </w:r>
      <w:r w:rsidRPr="004240DE">
        <w:rPr>
          <w:rStyle w:val="af1"/>
        </w:rPr>
        <w:t xml:space="preserve"> </w:t>
      </w:r>
      <w:proofErr w:type="gramStart"/>
      <w:r w:rsidRPr="004240DE">
        <w:t>Распоряжение Мособлкомцен от 25.12.2012 № 158-Р «Об утверждении для сетевых организаций на территории Московской области на 2013 год выпадающих доходов от осуществления технологического присоединения энергопринимающих устройств заявителей с максимальной мощностью, не привыкающей 15 кВт включительно (с учетом ранее присоединенной в данной точке присоединения мощности), для включения в тарифы на оказание услуги по передаче электрической энергии».</w:t>
      </w:r>
      <w:proofErr w:type="gramEnd"/>
      <w:r w:rsidRPr="00213DD4">
        <w:t xml:space="preserve"> </w:t>
      </w:r>
      <w:r w:rsidRPr="004240DE">
        <w:t xml:space="preserve">Официальный источник опубликования распоряжения – издание </w:t>
      </w:r>
      <w:r>
        <w:t>«</w:t>
      </w:r>
      <w:r w:rsidRPr="004240DE">
        <w:t>Ежедневные Новости. Подмосковье</w:t>
      </w:r>
      <w:r>
        <w:t>»</w:t>
      </w:r>
      <w:r w:rsidRPr="004240DE">
        <w:t xml:space="preserve"> </w:t>
      </w:r>
      <w:r>
        <w:t xml:space="preserve">от </w:t>
      </w:r>
      <w:r w:rsidRPr="004240DE">
        <w:t xml:space="preserve">15.01.2013 </w:t>
      </w:r>
      <w:r>
        <w:t xml:space="preserve">№ </w:t>
      </w:r>
      <w:r w:rsidRPr="004240DE">
        <w:t>4.</w:t>
      </w:r>
    </w:p>
  </w:footnote>
  <w:footnote w:id="162">
    <w:p w:rsidR="00EC58E0" w:rsidRPr="004240DE" w:rsidRDefault="00EC58E0" w:rsidP="005123D7">
      <w:pPr>
        <w:pStyle w:val="af"/>
        <w:ind w:firstLine="567"/>
      </w:pPr>
      <w:r w:rsidRPr="006F4AB8">
        <w:rPr>
          <w:rStyle w:val="af1"/>
        </w:rPr>
        <w:footnoteRef/>
      </w:r>
      <w:r w:rsidRPr="004240DE">
        <w:rPr>
          <w:rStyle w:val="af1"/>
        </w:rPr>
        <w:t xml:space="preserve"> </w:t>
      </w:r>
      <w:r w:rsidRPr="004240DE">
        <w:t xml:space="preserve">Распоряжение Мособлкомцен от 16.08.2013 № 88-Р «Об установлении индивидуальных тарифов на услуги по передаче электрической энергии на территории Московской области  (для взаиморасчетов </w:t>
      </w:r>
      <w:r>
        <w:t>ОАО </w:t>
      </w:r>
      <w:r w:rsidRPr="004240DE">
        <w:t>«МОЭСК» с МУП «Клинская электросетевая компания»).</w:t>
      </w:r>
      <w:r w:rsidRPr="00213DD4">
        <w:t xml:space="preserve"> </w:t>
      </w:r>
      <w:r w:rsidRPr="004240DE">
        <w:t xml:space="preserve">Официальный источник опубликования распоряжения – издание </w:t>
      </w:r>
      <w:r>
        <w:t>«</w:t>
      </w:r>
      <w:r w:rsidRPr="004240DE">
        <w:t>Ежедневные Новости. Подмосковье</w:t>
      </w:r>
      <w:r>
        <w:t>»</w:t>
      </w:r>
      <w:r w:rsidRPr="004240DE">
        <w:t xml:space="preserve"> </w:t>
      </w:r>
      <w:r>
        <w:t>от 26</w:t>
      </w:r>
      <w:r w:rsidRPr="004240DE">
        <w:t>.0</w:t>
      </w:r>
      <w:r>
        <w:t>8</w:t>
      </w:r>
      <w:r w:rsidRPr="004240DE">
        <w:t xml:space="preserve">.2013 </w:t>
      </w:r>
      <w:r>
        <w:t>№ 156</w:t>
      </w:r>
      <w:r w:rsidRPr="004240DE">
        <w:t>.</w:t>
      </w:r>
    </w:p>
  </w:footnote>
  <w:footnote w:id="163">
    <w:p w:rsidR="00EC58E0" w:rsidRPr="006A60A7" w:rsidRDefault="00EC58E0" w:rsidP="005123D7">
      <w:pPr>
        <w:pStyle w:val="af"/>
      </w:pPr>
      <w:r w:rsidRPr="006F4AB8">
        <w:rPr>
          <w:rStyle w:val="af1"/>
        </w:rPr>
        <w:footnoteRef/>
      </w:r>
      <w:r>
        <w:rPr>
          <w:rStyle w:val="af1"/>
        </w:rPr>
        <w:t xml:space="preserve"> </w:t>
      </w:r>
      <w:r>
        <w:t>Р</w:t>
      </w:r>
      <w:r w:rsidRPr="004240DE">
        <w:t>аспоряжени</w:t>
      </w:r>
      <w:r>
        <w:t>е</w:t>
      </w:r>
      <w:r w:rsidRPr="004240DE">
        <w:t xml:space="preserve"> Мособлкомцен </w:t>
      </w:r>
      <w:r>
        <w:t xml:space="preserve">от </w:t>
      </w:r>
      <w:r w:rsidRPr="004240DE">
        <w:t xml:space="preserve">04.09.2013 № 95-Р </w:t>
      </w:r>
      <w:r w:rsidRPr="00D72CF2">
        <w:t xml:space="preserve">«Об установлении индивидуальных тарифов на услуги по передаче электрической энергии на территории Московской области (для взаиморасчетов </w:t>
      </w:r>
      <w:r>
        <w:t>ОАО </w:t>
      </w:r>
      <w:r w:rsidRPr="00D72CF2">
        <w:t xml:space="preserve">«МОЭСК» с </w:t>
      </w:r>
      <w:r>
        <w:t>ООО </w:t>
      </w:r>
      <w:r w:rsidRPr="00D72CF2">
        <w:t>«Предприятие специализированного транспорта»).</w:t>
      </w:r>
      <w:r>
        <w:t xml:space="preserve"> </w:t>
      </w:r>
      <w:r w:rsidRPr="004240DE">
        <w:t xml:space="preserve">Официальный источник опубликования распоряжения – издание </w:t>
      </w:r>
      <w:r>
        <w:t>«</w:t>
      </w:r>
      <w:r w:rsidRPr="004240DE">
        <w:t>Ежедневные Новости. Подмосковье</w:t>
      </w:r>
      <w:r>
        <w:t>»</w:t>
      </w:r>
      <w:r w:rsidRPr="004240DE">
        <w:t xml:space="preserve"> </w:t>
      </w:r>
      <w:r>
        <w:t>от 16</w:t>
      </w:r>
      <w:r w:rsidRPr="004240DE">
        <w:t>.0</w:t>
      </w:r>
      <w:r>
        <w:t>9</w:t>
      </w:r>
      <w:r w:rsidRPr="004240DE">
        <w:t xml:space="preserve">.2013 </w:t>
      </w:r>
      <w:r>
        <w:t>№ 171</w:t>
      </w:r>
      <w:r w:rsidRPr="004240DE">
        <w:t>.</w:t>
      </w:r>
    </w:p>
  </w:footnote>
  <w:footnote w:id="164">
    <w:p w:rsidR="00EC58E0" w:rsidRPr="006A60A7" w:rsidRDefault="00EC58E0" w:rsidP="005123D7">
      <w:pPr>
        <w:pStyle w:val="af"/>
      </w:pPr>
      <w:r w:rsidRPr="006F4AB8">
        <w:rPr>
          <w:rStyle w:val="af1"/>
        </w:rPr>
        <w:footnoteRef/>
      </w:r>
      <w:r>
        <w:rPr>
          <w:rStyle w:val="af1"/>
        </w:rPr>
        <w:t xml:space="preserve"> </w:t>
      </w:r>
      <w:r>
        <w:t>Р</w:t>
      </w:r>
      <w:r w:rsidRPr="004240DE">
        <w:t>аспоряжени</w:t>
      </w:r>
      <w:r>
        <w:t>е</w:t>
      </w:r>
      <w:r w:rsidRPr="004240DE">
        <w:t xml:space="preserve"> Мособлкомцен от 24.09.2013 № 106-Р </w:t>
      </w:r>
      <w:r>
        <w:t>«</w:t>
      </w:r>
      <w:r w:rsidRPr="00D72CF2">
        <w:t xml:space="preserve">Об установлении индивидуальных тарифов на услуги по передаче электрической энергии на территории Московской области (для взаиморасчетов </w:t>
      </w:r>
      <w:r>
        <w:t>ОАО </w:t>
      </w:r>
      <w:r w:rsidRPr="00D72CF2">
        <w:t>«МОЭСК» с НП «Разгуляй-2»).</w:t>
      </w:r>
      <w:r>
        <w:t xml:space="preserve"> </w:t>
      </w:r>
      <w:r w:rsidRPr="004240DE">
        <w:t xml:space="preserve">Официальный источник опубликования распоряжения – издание </w:t>
      </w:r>
      <w:r>
        <w:t>«</w:t>
      </w:r>
      <w:r w:rsidRPr="004240DE">
        <w:t>Ежедневные Новости. Подмосковье</w:t>
      </w:r>
      <w:r>
        <w:t>»</w:t>
      </w:r>
      <w:r w:rsidRPr="004240DE">
        <w:t xml:space="preserve"> </w:t>
      </w:r>
      <w:r>
        <w:t>от 28</w:t>
      </w:r>
      <w:r w:rsidRPr="004240DE">
        <w:t>.</w:t>
      </w:r>
      <w:r>
        <w:t>10</w:t>
      </w:r>
      <w:r w:rsidRPr="004240DE">
        <w:t xml:space="preserve">.2013 </w:t>
      </w:r>
      <w:r>
        <w:t>№ 201</w:t>
      </w:r>
      <w:r w:rsidRPr="004240DE">
        <w:t>.</w:t>
      </w:r>
    </w:p>
  </w:footnote>
  <w:footnote w:id="165">
    <w:p w:rsidR="00EC58E0" w:rsidRPr="006A60A7" w:rsidRDefault="00EC58E0" w:rsidP="005123D7">
      <w:pPr>
        <w:pStyle w:val="af"/>
      </w:pPr>
      <w:r w:rsidRPr="006F4AB8">
        <w:rPr>
          <w:rStyle w:val="af1"/>
        </w:rPr>
        <w:footnoteRef/>
      </w:r>
      <w:r>
        <w:rPr>
          <w:rStyle w:val="af1"/>
        </w:rPr>
        <w:t xml:space="preserve"> </w:t>
      </w:r>
      <w:r>
        <w:t>Р</w:t>
      </w:r>
      <w:r w:rsidRPr="004240DE">
        <w:t>аспоряжени</w:t>
      </w:r>
      <w:r>
        <w:t>е</w:t>
      </w:r>
      <w:r w:rsidRPr="004240DE">
        <w:t xml:space="preserve"> Мособлкомцен</w:t>
      </w:r>
      <w:r>
        <w:t xml:space="preserve"> </w:t>
      </w:r>
      <w:r w:rsidRPr="004240DE">
        <w:t xml:space="preserve">от 24.09.2013 № 107-Р </w:t>
      </w:r>
      <w:r w:rsidRPr="00D72CF2">
        <w:t xml:space="preserve">«Об установлении индивидуальных тарифов на услуги по передаче электрической энергии на территории Московской области (для взаиморасчетов </w:t>
      </w:r>
      <w:r>
        <w:t>ОАО </w:t>
      </w:r>
      <w:r w:rsidRPr="00D72CF2">
        <w:t xml:space="preserve">«МОЭСК» с </w:t>
      </w:r>
      <w:r>
        <w:t>ЗАО </w:t>
      </w:r>
      <w:r w:rsidRPr="00D72CF2">
        <w:t>«КОТТОН ВЭЙ»).</w:t>
      </w:r>
      <w:r>
        <w:t xml:space="preserve"> </w:t>
      </w:r>
      <w:r w:rsidRPr="004240DE">
        <w:t xml:space="preserve">Официальный источник опубликования распоряжения – издание </w:t>
      </w:r>
      <w:r>
        <w:t>«</w:t>
      </w:r>
      <w:r w:rsidRPr="004240DE">
        <w:t>Ежедневные Новости. Подмосковье</w:t>
      </w:r>
      <w:r>
        <w:t>»</w:t>
      </w:r>
      <w:r w:rsidRPr="004240DE">
        <w:t xml:space="preserve"> </w:t>
      </w:r>
      <w:r>
        <w:t>от 28</w:t>
      </w:r>
      <w:r w:rsidRPr="004240DE">
        <w:t>.</w:t>
      </w:r>
      <w:r>
        <w:t>10</w:t>
      </w:r>
      <w:r w:rsidRPr="004240DE">
        <w:t xml:space="preserve">.2013 </w:t>
      </w:r>
      <w:r>
        <w:t>№ 201</w:t>
      </w:r>
      <w:r w:rsidRPr="004240DE">
        <w:t>.</w:t>
      </w:r>
    </w:p>
  </w:footnote>
  <w:footnote w:id="166">
    <w:p w:rsidR="00EC58E0" w:rsidRPr="006A60A7" w:rsidRDefault="00EC58E0" w:rsidP="005123D7">
      <w:pPr>
        <w:pStyle w:val="af"/>
      </w:pPr>
      <w:r w:rsidRPr="006F4AB8">
        <w:rPr>
          <w:rStyle w:val="af1"/>
        </w:rPr>
        <w:footnoteRef/>
      </w:r>
      <w:r>
        <w:rPr>
          <w:rStyle w:val="af1"/>
        </w:rPr>
        <w:t xml:space="preserve"> </w:t>
      </w:r>
      <w:r>
        <w:t>Р</w:t>
      </w:r>
      <w:r w:rsidRPr="004240DE">
        <w:t>аспоряжени</w:t>
      </w:r>
      <w:r>
        <w:t>е</w:t>
      </w:r>
      <w:r w:rsidRPr="004240DE">
        <w:t xml:space="preserve"> Мособлкомцен от 24.09.2013 № 108-Р </w:t>
      </w:r>
      <w:r w:rsidRPr="00D72CF2">
        <w:t xml:space="preserve">«Об установлении индивидуальных тарифов на услуги по передаче электрической энергии на территории Московской области (для взаиморасчетов </w:t>
      </w:r>
      <w:r>
        <w:t>ОАО </w:t>
      </w:r>
      <w:r w:rsidRPr="00D72CF2">
        <w:t xml:space="preserve">«МОЭСК» с </w:t>
      </w:r>
      <w:r>
        <w:t>ООО </w:t>
      </w:r>
      <w:r w:rsidRPr="00D72CF2">
        <w:t>«Вертиаль»).</w:t>
      </w:r>
      <w:r w:rsidRPr="0077333B">
        <w:t xml:space="preserve"> </w:t>
      </w:r>
      <w:r w:rsidRPr="004240DE">
        <w:t xml:space="preserve">Официальный источник опубликования распоряжения – издание </w:t>
      </w:r>
      <w:r>
        <w:t>«</w:t>
      </w:r>
      <w:r w:rsidRPr="004240DE">
        <w:t>Ежедневные Новости. Подмосковье</w:t>
      </w:r>
      <w:r>
        <w:t>»</w:t>
      </w:r>
      <w:r w:rsidRPr="004240DE">
        <w:t xml:space="preserve"> </w:t>
      </w:r>
      <w:r>
        <w:t>от 28</w:t>
      </w:r>
      <w:r w:rsidRPr="004240DE">
        <w:t>.</w:t>
      </w:r>
      <w:r>
        <w:t>10</w:t>
      </w:r>
      <w:r w:rsidRPr="004240DE">
        <w:t xml:space="preserve">.2013 </w:t>
      </w:r>
      <w:r>
        <w:t>№ 201</w:t>
      </w:r>
      <w:r w:rsidRPr="004240DE">
        <w:t>.</w:t>
      </w:r>
    </w:p>
  </w:footnote>
  <w:footnote w:id="167">
    <w:p w:rsidR="00EC58E0" w:rsidRPr="006A60A7" w:rsidRDefault="00EC58E0" w:rsidP="005123D7">
      <w:pPr>
        <w:pStyle w:val="af"/>
      </w:pPr>
      <w:r w:rsidRPr="006F4AB8">
        <w:rPr>
          <w:rStyle w:val="af1"/>
        </w:rPr>
        <w:footnoteRef/>
      </w:r>
      <w:r>
        <w:rPr>
          <w:rStyle w:val="af1"/>
        </w:rPr>
        <w:t xml:space="preserve"> </w:t>
      </w:r>
      <w:r>
        <w:t>Р</w:t>
      </w:r>
      <w:r w:rsidRPr="004240DE">
        <w:t>аспоряжени</w:t>
      </w:r>
      <w:r>
        <w:t>е</w:t>
      </w:r>
      <w:r w:rsidRPr="004240DE">
        <w:t xml:space="preserve"> Мособлкомцен от 11.10.2013 № 118-Р </w:t>
      </w:r>
      <w:r w:rsidRPr="00D72CF2">
        <w:t xml:space="preserve">«Об установлении индивидуальных тарифов на услуги по передаче электрической энергии на территории Московской области (для взаиморасчетов </w:t>
      </w:r>
      <w:r>
        <w:t>ОАО </w:t>
      </w:r>
      <w:r w:rsidRPr="00D72CF2">
        <w:t>«МОЭСК» с МП «Звенигородская электросеть».).</w:t>
      </w:r>
      <w:r>
        <w:t xml:space="preserve"> </w:t>
      </w:r>
      <w:r w:rsidRPr="004240DE">
        <w:t xml:space="preserve">Официальный источник опубликования распоряжения – издание </w:t>
      </w:r>
      <w:r>
        <w:t>«</w:t>
      </w:r>
      <w:r w:rsidRPr="004240DE">
        <w:t>Ежедневные Новости. Подмосковье</w:t>
      </w:r>
      <w:r>
        <w:t>»</w:t>
      </w:r>
      <w:r w:rsidRPr="004240DE">
        <w:t xml:space="preserve"> </w:t>
      </w:r>
      <w:r>
        <w:t>от 22</w:t>
      </w:r>
      <w:r w:rsidRPr="004240DE">
        <w:t>.</w:t>
      </w:r>
      <w:r>
        <w:t>11</w:t>
      </w:r>
      <w:r w:rsidRPr="004240DE">
        <w:t xml:space="preserve">.2013 </w:t>
      </w:r>
      <w:r>
        <w:t>№ 220</w:t>
      </w:r>
      <w:r w:rsidRPr="004240DE">
        <w:t>.</w:t>
      </w:r>
    </w:p>
  </w:footnote>
  <w:footnote w:id="168">
    <w:p w:rsidR="00EC58E0" w:rsidRPr="006A60A7" w:rsidRDefault="00EC58E0" w:rsidP="005123D7">
      <w:pPr>
        <w:pStyle w:val="af"/>
      </w:pPr>
      <w:r w:rsidRPr="006F4AB8">
        <w:rPr>
          <w:rStyle w:val="af1"/>
        </w:rPr>
        <w:footnoteRef/>
      </w:r>
      <w:r>
        <w:rPr>
          <w:rStyle w:val="af1"/>
        </w:rPr>
        <w:t xml:space="preserve"> </w:t>
      </w:r>
      <w:r>
        <w:t>Р</w:t>
      </w:r>
      <w:r w:rsidRPr="004240DE">
        <w:t>аспоряжени</w:t>
      </w:r>
      <w:r>
        <w:t>е</w:t>
      </w:r>
      <w:r w:rsidRPr="004240DE">
        <w:t xml:space="preserve"> Мособлкомцен от 29.10.2013 № 127-Р </w:t>
      </w:r>
      <w:r w:rsidRPr="00D72CF2">
        <w:t xml:space="preserve">«Об установлении индивидуальных тарифов на услуги по передаче электрической энергии на территории Московской области (для взаиморасчетов </w:t>
      </w:r>
      <w:r>
        <w:t>ОАО </w:t>
      </w:r>
      <w:r w:rsidRPr="00D72CF2">
        <w:t xml:space="preserve">«МОЭСК» с </w:t>
      </w:r>
      <w:r>
        <w:t>ООО </w:t>
      </w:r>
      <w:r w:rsidRPr="00D72CF2">
        <w:t>«Объединенные энергетические системы»).</w:t>
      </w:r>
      <w:r>
        <w:t xml:space="preserve"> </w:t>
      </w:r>
      <w:r w:rsidRPr="004240DE">
        <w:t xml:space="preserve">Официальный источник опубликования распоряжения – издание </w:t>
      </w:r>
      <w:r>
        <w:t>«</w:t>
      </w:r>
      <w:r w:rsidRPr="004240DE">
        <w:t>Ежедневные Новости. Подмосковье</w:t>
      </w:r>
      <w:r>
        <w:t>»</w:t>
      </w:r>
      <w:r w:rsidRPr="004240DE">
        <w:t xml:space="preserve"> </w:t>
      </w:r>
      <w:r>
        <w:t>от 30</w:t>
      </w:r>
      <w:r w:rsidRPr="004240DE">
        <w:t>.</w:t>
      </w:r>
      <w:r>
        <w:t>11</w:t>
      </w:r>
      <w:r w:rsidRPr="004240DE">
        <w:t xml:space="preserve">.2013 </w:t>
      </w:r>
      <w:r>
        <w:t>№ 226</w:t>
      </w:r>
      <w:r w:rsidRPr="004240DE">
        <w:t>.</w:t>
      </w:r>
    </w:p>
  </w:footnote>
  <w:footnote w:id="169">
    <w:p w:rsidR="00EC58E0" w:rsidRDefault="00EC58E0" w:rsidP="005123D7">
      <w:pPr>
        <w:pStyle w:val="af"/>
      </w:pPr>
      <w:r w:rsidRPr="006F4AB8">
        <w:rPr>
          <w:rStyle w:val="af1"/>
        </w:rPr>
        <w:footnoteRef/>
      </w:r>
      <w:r>
        <w:t xml:space="preserve"> </w:t>
      </w:r>
      <w:proofErr w:type="gramStart"/>
      <w:r>
        <w:t>У</w:t>
      </w:r>
      <w:r w:rsidRPr="00CC140A">
        <w:t>становлены постановлением РЭК г. Москвы от 27.12.2012 № 421</w:t>
      </w:r>
      <w:r>
        <w:t xml:space="preserve"> </w:t>
      </w:r>
      <w:r w:rsidRPr="007F7D78">
        <w:t xml:space="preserve">«Об установлении стандартизированных тарифных ставок и ставок за 1 кВт максимальной мощности на уровне напряжения ниже 35 кВ и присоединяемой мощности менее 8 900 кВт для определения платы за технологическое присоединение к электрическим сетям </w:t>
      </w:r>
      <w:r>
        <w:t>ОАО </w:t>
      </w:r>
      <w:r w:rsidRPr="007F7D78">
        <w:t>«МОЭСК» на территории г. Москвы на 2013 год»</w:t>
      </w:r>
      <w:r>
        <w:t>.</w:t>
      </w:r>
      <w:proofErr w:type="gramEnd"/>
      <w:r>
        <w:t xml:space="preserve"> О</w:t>
      </w:r>
      <w:r w:rsidRPr="00CC140A">
        <w:t xml:space="preserve">фициальный источник опубликования постановления – </w:t>
      </w:r>
      <w:r>
        <w:t xml:space="preserve">издание </w:t>
      </w:r>
      <w:r w:rsidRPr="00CC140A">
        <w:t>«Вестник Мэра и Правител</w:t>
      </w:r>
      <w:r>
        <w:t>ьства Москвы» от 15.01.2013 № 2.</w:t>
      </w:r>
    </w:p>
  </w:footnote>
  <w:footnote w:id="170">
    <w:p w:rsidR="00EC58E0" w:rsidRDefault="00EC58E0" w:rsidP="005123D7">
      <w:pPr>
        <w:pStyle w:val="af"/>
      </w:pPr>
      <w:r w:rsidRPr="006F4AB8">
        <w:rPr>
          <w:rStyle w:val="af1"/>
        </w:rPr>
        <w:footnoteRef/>
      </w:r>
      <w:r>
        <w:t xml:space="preserve"> У</w:t>
      </w:r>
      <w:r w:rsidRPr="009B08C1">
        <w:t xml:space="preserve">становлены распоряжением Комитета по ценам и тарифам Московской области от 21.12.2012 № 150-Р </w:t>
      </w:r>
      <w:r w:rsidRPr="007F7D78">
        <w:t>«Об установлении ставок платы за единицу максимальной мощности, стандартизированных тарифных ставок и формулы расчета платы за технологическое присоединение»</w:t>
      </w:r>
      <w:r>
        <w:t>. О</w:t>
      </w:r>
      <w:r w:rsidRPr="009B08C1">
        <w:t>фициальный источник опубликования</w:t>
      </w:r>
      <w:r>
        <w:t xml:space="preserve"> распоряжения </w:t>
      </w:r>
      <w:r w:rsidRPr="009B08C1">
        <w:t xml:space="preserve">– </w:t>
      </w:r>
      <w:r>
        <w:t xml:space="preserve">издание </w:t>
      </w:r>
      <w:r w:rsidRPr="009B08C1">
        <w:t xml:space="preserve"> «Ежедневные Новости. Подмосковье» от 15.01.2013 № 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8E0" w:rsidRPr="000830E8" w:rsidRDefault="00EC58E0" w:rsidP="000830E8">
    <w:pPr>
      <w:pStyle w:val="afe"/>
      <w:ind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36438"/>
    <w:multiLevelType w:val="multilevel"/>
    <w:tmpl w:val="DCB826D8"/>
    <w:lvl w:ilvl="0">
      <w:start w:val="1"/>
      <w:numFmt w:val="decimal"/>
      <w:lvlText w:val="%1."/>
      <w:lvlJc w:val="left"/>
      <w:pPr>
        <w:ind w:left="1200" w:hanging="120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2130" w:hanging="720"/>
      </w:pPr>
      <w:rPr>
        <w:rFonts w:hint="default"/>
      </w:rPr>
    </w:lvl>
    <w:lvl w:ilvl="3">
      <w:start w:val="1"/>
      <w:numFmt w:val="decimal"/>
      <w:isLgl/>
      <w:lvlText w:val="%1.%2.%3.%4."/>
      <w:lvlJc w:val="left"/>
      <w:pPr>
        <w:ind w:left="2835" w:hanging="720"/>
      </w:pPr>
      <w:rPr>
        <w:rFonts w:hint="default"/>
      </w:rPr>
    </w:lvl>
    <w:lvl w:ilvl="4">
      <w:start w:val="1"/>
      <w:numFmt w:val="decimal"/>
      <w:isLgl/>
      <w:lvlText w:val="%1.%2.%3.%4.%5."/>
      <w:lvlJc w:val="left"/>
      <w:pPr>
        <w:ind w:left="3900"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310" w:hanging="1080"/>
      </w:pPr>
      <w:rPr>
        <w:rFonts w:hint="default"/>
      </w:rPr>
    </w:lvl>
    <w:lvl w:ilvl="7">
      <w:start w:val="1"/>
      <w:numFmt w:val="decimal"/>
      <w:isLgl/>
      <w:lvlText w:val="%1.%2.%3.%4.%5.%6.%7.%8."/>
      <w:lvlJc w:val="left"/>
      <w:pPr>
        <w:ind w:left="6375" w:hanging="1440"/>
      </w:pPr>
      <w:rPr>
        <w:rFonts w:hint="default"/>
      </w:rPr>
    </w:lvl>
    <w:lvl w:ilvl="8">
      <w:start w:val="1"/>
      <w:numFmt w:val="decimal"/>
      <w:isLgl/>
      <w:lvlText w:val="%1.%2.%3.%4.%5.%6.%7.%8.%9."/>
      <w:lvlJc w:val="left"/>
      <w:pPr>
        <w:ind w:left="7080" w:hanging="1440"/>
      </w:pPr>
      <w:rPr>
        <w:rFonts w:hint="default"/>
      </w:rPr>
    </w:lvl>
  </w:abstractNum>
  <w:abstractNum w:abstractNumId="1">
    <w:nsid w:val="00B602EC"/>
    <w:multiLevelType w:val="hybridMultilevel"/>
    <w:tmpl w:val="759ED1EA"/>
    <w:lvl w:ilvl="0" w:tplc="D7428274">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
    <w:nsid w:val="00FA2F0A"/>
    <w:multiLevelType w:val="hybridMultilevel"/>
    <w:tmpl w:val="7FB60BA2"/>
    <w:lvl w:ilvl="0" w:tplc="D7428274">
      <w:start w:val="1"/>
      <w:numFmt w:val="bullet"/>
      <w:lvlText w:val=""/>
      <w:lvlJc w:val="left"/>
      <w:pPr>
        <w:ind w:left="1429" w:hanging="360"/>
      </w:pPr>
      <w:rPr>
        <w:rFonts w:ascii="Symbol" w:hAnsi="Symbol" w:hint="default"/>
      </w:rPr>
    </w:lvl>
    <w:lvl w:ilvl="1" w:tplc="91C0035E" w:tentative="1">
      <w:start w:val="1"/>
      <w:numFmt w:val="bullet"/>
      <w:lvlText w:val="o"/>
      <w:lvlJc w:val="left"/>
      <w:pPr>
        <w:ind w:left="2149" w:hanging="360"/>
      </w:pPr>
      <w:rPr>
        <w:rFonts w:ascii="Courier New" w:hAnsi="Courier New" w:cs="Courier New" w:hint="default"/>
      </w:rPr>
    </w:lvl>
    <w:lvl w:ilvl="2" w:tplc="7E82B050" w:tentative="1">
      <w:start w:val="1"/>
      <w:numFmt w:val="bullet"/>
      <w:lvlText w:val=""/>
      <w:lvlJc w:val="left"/>
      <w:pPr>
        <w:ind w:left="2869" w:hanging="360"/>
      </w:pPr>
      <w:rPr>
        <w:rFonts w:ascii="Wingdings" w:hAnsi="Wingdings" w:hint="default"/>
      </w:rPr>
    </w:lvl>
    <w:lvl w:ilvl="3" w:tplc="9C9EFDA2" w:tentative="1">
      <w:start w:val="1"/>
      <w:numFmt w:val="bullet"/>
      <w:lvlText w:val=""/>
      <w:lvlJc w:val="left"/>
      <w:pPr>
        <w:ind w:left="3589" w:hanging="360"/>
      </w:pPr>
      <w:rPr>
        <w:rFonts w:ascii="Symbol" w:hAnsi="Symbol" w:hint="default"/>
      </w:rPr>
    </w:lvl>
    <w:lvl w:ilvl="4" w:tplc="D4322D66" w:tentative="1">
      <w:start w:val="1"/>
      <w:numFmt w:val="bullet"/>
      <w:lvlText w:val="o"/>
      <w:lvlJc w:val="left"/>
      <w:pPr>
        <w:ind w:left="4309" w:hanging="360"/>
      </w:pPr>
      <w:rPr>
        <w:rFonts w:ascii="Courier New" w:hAnsi="Courier New" w:cs="Courier New" w:hint="default"/>
      </w:rPr>
    </w:lvl>
    <w:lvl w:ilvl="5" w:tplc="180E46AE" w:tentative="1">
      <w:start w:val="1"/>
      <w:numFmt w:val="bullet"/>
      <w:lvlText w:val=""/>
      <w:lvlJc w:val="left"/>
      <w:pPr>
        <w:ind w:left="5029" w:hanging="360"/>
      </w:pPr>
      <w:rPr>
        <w:rFonts w:ascii="Wingdings" w:hAnsi="Wingdings" w:hint="default"/>
      </w:rPr>
    </w:lvl>
    <w:lvl w:ilvl="6" w:tplc="D586F9F8" w:tentative="1">
      <w:start w:val="1"/>
      <w:numFmt w:val="bullet"/>
      <w:lvlText w:val=""/>
      <w:lvlJc w:val="left"/>
      <w:pPr>
        <w:ind w:left="5749" w:hanging="360"/>
      </w:pPr>
      <w:rPr>
        <w:rFonts w:ascii="Symbol" w:hAnsi="Symbol" w:hint="default"/>
      </w:rPr>
    </w:lvl>
    <w:lvl w:ilvl="7" w:tplc="39501628" w:tentative="1">
      <w:start w:val="1"/>
      <w:numFmt w:val="bullet"/>
      <w:lvlText w:val="o"/>
      <w:lvlJc w:val="left"/>
      <w:pPr>
        <w:ind w:left="6469" w:hanging="360"/>
      </w:pPr>
      <w:rPr>
        <w:rFonts w:ascii="Courier New" w:hAnsi="Courier New" w:cs="Courier New" w:hint="default"/>
      </w:rPr>
    </w:lvl>
    <w:lvl w:ilvl="8" w:tplc="5EA6978E" w:tentative="1">
      <w:start w:val="1"/>
      <w:numFmt w:val="bullet"/>
      <w:lvlText w:val=""/>
      <w:lvlJc w:val="left"/>
      <w:pPr>
        <w:ind w:left="7189" w:hanging="360"/>
      </w:pPr>
      <w:rPr>
        <w:rFonts w:ascii="Wingdings" w:hAnsi="Wingdings" w:hint="default"/>
      </w:rPr>
    </w:lvl>
  </w:abstractNum>
  <w:abstractNum w:abstractNumId="3">
    <w:nsid w:val="00FD0952"/>
    <w:multiLevelType w:val="hybridMultilevel"/>
    <w:tmpl w:val="76AC434A"/>
    <w:lvl w:ilvl="0" w:tplc="D74282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0E33F2"/>
    <w:multiLevelType w:val="multilevel"/>
    <w:tmpl w:val="78803DE4"/>
    <w:lvl w:ilvl="0">
      <w:start w:val="12"/>
      <w:numFmt w:val="decimal"/>
      <w:lvlText w:val="%1."/>
      <w:lvlJc w:val="left"/>
      <w:pPr>
        <w:ind w:left="241" w:hanging="525"/>
      </w:pPr>
      <w:rPr>
        <w:rFonts w:hint="default"/>
      </w:rPr>
    </w:lvl>
    <w:lvl w:ilvl="1">
      <w:start w:val="1"/>
      <w:numFmt w:val="decimal"/>
      <w:lvlText w:val="%1.%2."/>
      <w:lvlJc w:val="left"/>
      <w:pPr>
        <w:ind w:left="1145" w:hanging="720"/>
      </w:pPr>
      <w:rPr>
        <w:rFonts w:ascii="Times New Roman" w:hAnsi="Times New Roman" w:cs="Times New Roman" w:hint="default"/>
      </w:rPr>
    </w:lvl>
    <w:lvl w:ilvl="2">
      <w:start w:val="1"/>
      <w:numFmt w:val="decimal"/>
      <w:lvlText w:val="%1.%2.%3."/>
      <w:lvlJc w:val="left"/>
      <w:pPr>
        <w:ind w:left="1854" w:hanging="720"/>
      </w:pPr>
      <w:rPr>
        <w:rFonts w:hint="default"/>
      </w:rPr>
    </w:lvl>
    <w:lvl w:ilvl="3">
      <w:start w:val="1"/>
      <w:numFmt w:val="decimal"/>
      <w:lvlText w:val="%1.%2.%3.%4."/>
      <w:lvlJc w:val="left"/>
      <w:pPr>
        <w:ind w:left="2923"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701" w:hanging="1440"/>
      </w:pPr>
      <w:rPr>
        <w:rFonts w:hint="default"/>
      </w:rPr>
    </w:lvl>
    <w:lvl w:ilvl="6">
      <w:start w:val="1"/>
      <w:numFmt w:val="decimal"/>
      <w:lvlText w:val="%1.%2.%3.%4.%5.%6.%7."/>
      <w:lvlJc w:val="left"/>
      <w:pPr>
        <w:ind w:left="5410" w:hanging="1440"/>
      </w:pPr>
      <w:rPr>
        <w:rFonts w:hint="default"/>
      </w:rPr>
    </w:lvl>
    <w:lvl w:ilvl="7">
      <w:start w:val="1"/>
      <w:numFmt w:val="decimal"/>
      <w:lvlText w:val="%1.%2.%3.%4.%5.%6.%7.%8."/>
      <w:lvlJc w:val="left"/>
      <w:pPr>
        <w:ind w:left="6479" w:hanging="1800"/>
      </w:pPr>
      <w:rPr>
        <w:rFonts w:hint="default"/>
      </w:rPr>
    </w:lvl>
    <w:lvl w:ilvl="8">
      <w:start w:val="1"/>
      <w:numFmt w:val="decimal"/>
      <w:lvlText w:val="%1.%2.%3.%4.%5.%6.%7.%8.%9."/>
      <w:lvlJc w:val="left"/>
      <w:pPr>
        <w:ind w:left="7188" w:hanging="1800"/>
      </w:pPr>
      <w:rPr>
        <w:rFonts w:hint="default"/>
      </w:rPr>
    </w:lvl>
  </w:abstractNum>
  <w:abstractNum w:abstractNumId="5">
    <w:nsid w:val="015F3FA5"/>
    <w:multiLevelType w:val="hybridMultilevel"/>
    <w:tmpl w:val="D0FA9F48"/>
    <w:lvl w:ilvl="0" w:tplc="D7428274">
      <w:start w:val="1"/>
      <w:numFmt w:val="bullet"/>
      <w:lvlText w:val=""/>
      <w:lvlJc w:val="left"/>
      <w:pPr>
        <w:ind w:left="1346" w:hanging="360"/>
      </w:pPr>
      <w:rPr>
        <w:rFonts w:ascii="Symbol" w:hAnsi="Symbol"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6">
    <w:nsid w:val="01D27AFE"/>
    <w:multiLevelType w:val="multilevel"/>
    <w:tmpl w:val="6180C0D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020B15D4"/>
    <w:multiLevelType w:val="hybridMultilevel"/>
    <w:tmpl w:val="33E8B2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2F35633"/>
    <w:multiLevelType w:val="hybridMultilevel"/>
    <w:tmpl w:val="65DC0624"/>
    <w:lvl w:ilvl="0" w:tplc="D742827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3CE3297"/>
    <w:multiLevelType w:val="hybridMultilevel"/>
    <w:tmpl w:val="0E3688A8"/>
    <w:lvl w:ilvl="0" w:tplc="D742827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040C6D0C"/>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047A6B03"/>
    <w:multiLevelType w:val="hybridMultilevel"/>
    <w:tmpl w:val="4AB8F04A"/>
    <w:lvl w:ilvl="0" w:tplc="D7428274">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
    <w:nsid w:val="048F1785"/>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nsid w:val="04CA5C99"/>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nsid w:val="0500076C"/>
    <w:multiLevelType w:val="hybridMultilevel"/>
    <w:tmpl w:val="DC02F15A"/>
    <w:lvl w:ilvl="0" w:tplc="D742827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55E2444"/>
    <w:multiLevelType w:val="hybridMultilevel"/>
    <w:tmpl w:val="09D6BF84"/>
    <w:lvl w:ilvl="0" w:tplc="D742827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58E4529"/>
    <w:multiLevelType w:val="hybridMultilevel"/>
    <w:tmpl w:val="EDCC3E70"/>
    <w:lvl w:ilvl="0" w:tplc="A77E3C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5E26EEE"/>
    <w:multiLevelType w:val="hybridMultilevel"/>
    <w:tmpl w:val="DF066482"/>
    <w:lvl w:ilvl="0" w:tplc="D7428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5E60626"/>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069F35CC"/>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nsid w:val="06D602D6"/>
    <w:multiLevelType w:val="hybridMultilevel"/>
    <w:tmpl w:val="F31279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06FC29D1"/>
    <w:multiLevelType w:val="hybridMultilevel"/>
    <w:tmpl w:val="079E7B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72F4977"/>
    <w:multiLevelType w:val="hybridMultilevel"/>
    <w:tmpl w:val="33E8B2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77553D5"/>
    <w:multiLevelType w:val="hybridMultilevel"/>
    <w:tmpl w:val="43380A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79A4408"/>
    <w:multiLevelType w:val="hybridMultilevel"/>
    <w:tmpl w:val="337685C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0865458B"/>
    <w:multiLevelType w:val="hybridMultilevel"/>
    <w:tmpl w:val="2794D3D2"/>
    <w:lvl w:ilvl="0" w:tplc="EC2CF17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0866591F"/>
    <w:multiLevelType w:val="hybridMultilevel"/>
    <w:tmpl w:val="A72CB60C"/>
    <w:lvl w:ilvl="0" w:tplc="D742827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08CE7BBB"/>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08DE6D46"/>
    <w:multiLevelType w:val="hybridMultilevel"/>
    <w:tmpl w:val="E7BCCC22"/>
    <w:lvl w:ilvl="0" w:tplc="D7428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9344B6D"/>
    <w:multiLevelType w:val="multilevel"/>
    <w:tmpl w:val="B47A55DC"/>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nsid w:val="0A690B69"/>
    <w:multiLevelType w:val="hybridMultilevel"/>
    <w:tmpl w:val="E1342FCE"/>
    <w:lvl w:ilvl="0" w:tplc="D74282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A8E2BF6"/>
    <w:multiLevelType w:val="hybridMultilevel"/>
    <w:tmpl w:val="7B9C8272"/>
    <w:lvl w:ilvl="0" w:tplc="D7428274">
      <w:start w:val="1"/>
      <w:numFmt w:val="bullet"/>
      <w:lvlText w:val=""/>
      <w:lvlJc w:val="left"/>
      <w:pPr>
        <w:ind w:left="720" w:hanging="360"/>
      </w:pPr>
      <w:rPr>
        <w:rFonts w:ascii="Symbol" w:hAnsi="Symbol" w:hint="default"/>
      </w:rPr>
    </w:lvl>
    <w:lvl w:ilvl="1" w:tplc="895CF00E" w:tentative="1">
      <w:start w:val="1"/>
      <w:numFmt w:val="bullet"/>
      <w:lvlText w:val="o"/>
      <w:lvlJc w:val="left"/>
      <w:pPr>
        <w:ind w:left="1440" w:hanging="360"/>
      </w:pPr>
      <w:rPr>
        <w:rFonts w:ascii="Courier New" w:hAnsi="Courier New" w:hint="default"/>
      </w:rPr>
    </w:lvl>
    <w:lvl w:ilvl="2" w:tplc="F38A8B16" w:tentative="1">
      <w:start w:val="1"/>
      <w:numFmt w:val="bullet"/>
      <w:lvlText w:val=""/>
      <w:lvlJc w:val="left"/>
      <w:pPr>
        <w:ind w:left="2160" w:hanging="360"/>
      </w:pPr>
      <w:rPr>
        <w:rFonts w:ascii="Wingdings" w:hAnsi="Wingdings" w:hint="default"/>
      </w:rPr>
    </w:lvl>
    <w:lvl w:ilvl="3" w:tplc="676C22C8" w:tentative="1">
      <w:start w:val="1"/>
      <w:numFmt w:val="bullet"/>
      <w:lvlText w:val=""/>
      <w:lvlJc w:val="left"/>
      <w:pPr>
        <w:ind w:left="2880" w:hanging="360"/>
      </w:pPr>
      <w:rPr>
        <w:rFonts w:ascii="Symbol" w:hAnsi="Symbol" w:hint="default"/>
      </w:rPr>
    </w:lvl>
    <w:lvl w:ilvl="4" w:tplc="95EAB5D6" w:tentative="1">
      <w:start w:val="1"/>
      <w:numFmt w:val="bullet"/>
      <w:lvlText w:val="o"/>
      <w:lvlJc w:val="left"/>
      <w:pPr>
        <w:ind w:left="3600" w:hanging="360"/>
      </w:pPr>
      <w:rPr>
        <w:rFonts w:ascii="Courier New" w:hAnsi="Courier New" w:hint="default"/>
      </w:rPr>
    </w:lvl>
    <w:lvl w:ilvl="5" w:tplc="7ED8A010" w:tentative="1">
      <w:start w:val="1"/>
      <w:numFmt w:val="bullet"/>
      <w:lvlText w:val=""/>
      <w:lvlJc w:val="left"/>
      <w:pPr>
        <w:ind w:left="4320" w:hanging="360"/>
      </w:pPr>
      <w:rPr>
        <w:rFonts w:ascii="Wingdings" w:hAnsi="Wingdings" w:hint="default"/>
      </w:rPr>
    </w:lvl>
    <w:lvl w:ilvl="6" w:tplc="37E82CA2" w:tentative="1">
      <w:start w:val="1"/>
      <w:numFmt w:val="bullet"/>
      <w:lvlText w:val=""/>
      <w:lvlJc w:val="left"/>
      <w:pPr>
        <w:ind w:left="5040" w:hanging="360"/>
      </w:pPr>
      <w:rPr>
        <w:rFonts w:ascii="Symbol" w:hAnsi="Symbol" w:hint="default"/>
      </w:rPr>
    </w:lvl>
    <w:lvl w:ilvl="7" w:tplc="BA0610E0" w:tentative="1">
      <w:start w:val="1"/>
      <w:numFmt w:val="bullet"/>
      <w:lvlText w:val="o"/>
      <w:lvlJc w:val="left"/>
      <w:pPr>
        <w:ind w:left="5760" w:hanging="360"/>
      </w:pPr>
      <w:rPr>
        <w:rFonts w:ascii="Courier New" w:hAnsi="Courier New" w:hint="default"/>
      </w:rPr>
    </w:lvl>
    <w:lvl w:ilvl="8" w:tplc="9D9AC91E" w:tentative="1">
      <w:start w:val="1"/>
      <w:numFmt w:val="bullet"/>
      <w:lvlText w:val=""/>
      <w:lvlJc w:val="left"/>
      <w:pPr>
        <w:ind w:left="6480" w:hanging="360"/>
      </w:pPr>
      <w:rPr>
        <w:rFonts w:ascii="Wingdings" w:hAnsi="Wingdings" w:hint="default"/>
      </w:rPr>
    </w:lvl>
  </w:abstractNum>
  <w:abstractNum w:abstractNumId="32">
    <w:nsid w:val="0AA9295C"/>
    <w:multiLevelType w:val="hybridMultilevel"/>
    <w:tmpl w:val="E43C7E04"/>
    <w:lvl w:ilvl="0" w:tplc="FF8AFE72">
      <w:start w:val="1"/>
      <w:numFmt w:val="decimal"/>
      <w:lvlText w:val="%1."/>
      <w:lvlJc w:val="left"/>
      <w:pPr>
        <w:ind w:left="1501" w:hanging="705"/>
      </w:pPr>
      <w:rPr>
        <w:rFonts w:hint="default"/>
      </w:rPr>
    </w:lvl>
    <w:lvl w:ilvl="1" w:tplc="04190019" w:tentative="1">
      <w:start w:val="1"/>
      <w:numFmt w:val="lowerLetter"/>
      <w:lvlText w:val="%2."/>
      <w:lvlJc w:val="left"/>
      <w:pPr>
        <w:ind w:left="1876" w:hanging="360"/>
      </w:pPr>
    </w:lvl>
    <w:lvl w:ilvl="2" w:tplc="0419001B" w:tentative="1">
      <w:start w:val="1"/>
      <w:numFmt w:val="lowerRoman"/>
      <w:lvlText w:val="%3."/>
      <w:lvlJc w:val="right"/>
      <w:pPr>
        <w:ind w:left="2596" w:hanging="180"/>
      </w:pPr>
    </w:lvl>
    <w:lvl w:ilvl="3" w:tplc="0419000F" w:tentative="1">
      <w:start w:val="1"/>
      <w:numFmt w:val="decimal"/>
      <w:lvlText w:val="%4."/>
      <w:lvlJc w:val="left"/>
      <w:pPr>
        <w:ind w:left="3316" w:hanging="360"/>
      </w:pPr>
    </w:lvl>
    <w:lvl w:ilvl="4" w:tplc="04190019" w:tentative="1">
      <w:start w:val="1"/>
      <w:numFmt w:val="lowerLetter"/>
      <w:lvlText w:val="%5."/>
      <w:lvlJc w:val="left"/>
      <w:pPr>
        <w:ind w:left="4036" w:hanging="360"/>
      </w:pPr>
    </w:lvl>
    <w:lvl w:ilvl="5" w:tplc="0419001B" w:tentative="1">
      <w:start w:val="1"/>
      <w:numFmt w:val="lowerRoman"/>
      <w:lvlText w:val="%6."/>
      <w:lvlJc w:val="right"/>
      <w:pPr>
        <w:ind w:left="4756" w:hanging="180"/>
      </w:pPr>
    </w:lvl>
    <w:lvl w:ilvl="6" w:tplc="0419000F" w:tentative="1">
      <w:start w:val="1"/>
      <w:numFmt w:val="decimal"/>
      <w:lvlText w:val="%7."/>
      <w:lvlJc w:val="left"/>
      <w:pPr>
        <w:ind w:left="5476" w:hanging="360"/>
      </w:pPr>
    </w:lvl>
    <w:lvl w:ilvl="7" w:tplc="04190019" w:tentative="1">
      <w:start w:val="1"/>
      <w:numFmt w:val="lowerLetter"/>
      <w:lvlText w:val="%8."/>
      <w:lvlJc w:val="left"/>
      <w:pPr>
        <w:ind w:left="6196" w:hanging="360"/>
      </w:pPr>
    </w:lvl>
    <w:lvl w:ilvl="8" w:tplc="0419001B" w:tentative="1">
      <w:start w:val="1"/>
      <w:numFmt w:val="lowerRoman"/>
      <w:lvlText w:val="%9."/>
      <w:lvlJc w:val="right"/>
      <w:pPr>
        <w:ind w:left="6916" w:hanging="180"/>
      </w:pPr>
    </w:lvl>
  </w:abstractNum>
  <w:abstractNum w:abstractNumId="33">
    <w:nsid w:val="0AD304F7"/>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nsid w:val="0B3B14D3"/>
    <w:multiLevelType w:val="hybridMultilevel"/>
    <w:tmpl w:val="4BBCEC48"/>
    <w:lvl w:ilvl="0" w:tplc="D742827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0BF84D3B"/>
    <w:multiLevelType w:val="hybridMultilevel"/>
    <w:tmpl w:val="12745088"/>
    <w:lvl w:ilvl="0" w:tplc="EC2CF17E">
      <w:start w:val="1"/>
      <w:numFmt w:val="decimal"/>
      <w:lvlText w:val="%1."/>
      <w:lvlJc w:val="left"/>
      <w:pPr>
        <w:ind w:left="644"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0C0A1E1F"/>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0C3F0C3A"/>
    <w:multiLevelType w:val="hybridMultilevel"/>
    <w:tmpl w:val="62B41F7C"/>
    <w:lvl w:ilvl="0" w:tplc="A77E3C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CAC45E5"/>
    <w:multiLevelType w:val="multilevel"/>
    <w:tmpl w:val="6174149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nsid w:val="0CBA6DDD"/>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nsid w:val="0CDD3765"/>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nsid w:val="0CE37FF4"/>
    <w:multiLevelType w:val="hybridMultilevel"/>
    <w:tmpl w:val="EF8C6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0D2169F0"/>
    <w:multiLevelType w:val="hybridMultilevel"/>
    <w:tmpl w:val="D72C5D1A"/>
    <w:lvl w:ilvl="0" w:tplc="262CDB16">
      <w:start w:val="1"/>
      <w:numFmt w:val="decimal"/>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0D412D6A"/>
    <w:multiLevelType w:val="hybridMultilevel"/>
    <w:tmpl w:val="EF8C6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0D8C595B"/>
    <w:multiLevelType w:val="hybridMultilevel"/>
    <w:tmpl w:val="E5AEC844"/>
    <w:lvl w:ilvl="0" w:tplc="B8B6ADEC">
      <w:start w:val="1"/>
      <w:numFmt w:val="decimal"/>
      <w:lvlText w:val="%1."/>
      <w:lvlJc w:val="left"/>
      <w:pPr>
        <w:ind w:left="1527" w:hanging="9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0DAF2475"/>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6">
    <w:nsid w:val="0E796CCE"/>
    <w:multiLevelType w:val="hybridMultilevel"/>
    <w:tmpl w:val="E986412C"/>
    <w:lvl w:ilvl="0" w:tplc="D7428274">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0F573DB6"/>
    <w:multiLevelType w:val="hybridMultilevel"/>
    <w:tmpl w:val="3B407348"/>
    <w:lvl w:ilvl="0" w:tplc="A77E3C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10437B34"/>
    <w:multiLevelType w:val="hybridMultilevel"/>
    <w:tmpl w:val="8958991A"/>
    <w:lvl w:ilvl="0" w:tplc="D742827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118C5861"/>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0">
    <w:nsid w:val="11A471D7"/>
    <w:multiLevelType w:val="multilevel"/>
    <w:tmpl w:val="A650BFA6"/>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1">
    <w:nsid w:val="1295040B"/>
    <w:multiLevelType w:val="hybridMultilevel"/>
    <w:tmpl w:val="86DA004A"/>
    <w:lvl w:ilvl="0" w:tplc="D742827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12F86198"/>
    <w:multiLevelType w:val="multilevel"/>
    <w:tmpl w:val="F66C311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3">
    <w:nsid w:val="13240D7A"/>
    <w:multiLevelType w:val="hybridMultilevel"/>
    <w:tmpl w:val="33965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3E868AA"/>
    <w:multiLevelType w:val="multilevel"/>
    <w:tmpl w:val="FBB4B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13F26E29"/>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6">
    <w:nsid w:val="14372EBC"/>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7">
    <w:nsid w:val="145B102A"/>
    <w:multiLevelType w:val="multilevel"/>
    <w:tmpl w:val="1F8A3B1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8">
    <w:nsid w:val="14B17C2B"/>
    <w:multiLevelType w:val="multilevel"/>
    <w:tmpl w:val="0E48384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9">
    <w:nsid w:val="1514676D"/>
    <w:multiLevelType w:val="hybridMultilevel"/>
    <w:tmpl w:val="FC16647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nsid w:val="1523152C"/>
    <w:multiLevelType w:val="hybridMultilevel"/>
    <w:tmpl w:val="E3FCC02C"/>
    <w:lvl w:ilvl="0" w:tplc="D7428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56733F0"/>
    <w:multiLevelType w:val="hybridMultilevel"/>
    <w:tmpl w:val="5332FB66"/>
    <w:lvl w:ilvl="0" w:tplc="D7428274">
      <w:start w:val="1"/>
      <w:numFmt w:val="bullet"/>
      <w:lvlText w:val=""/>
      <w:lvlJc w:val="left"/>
      <w:pPr>
        <w:tabs>
          <w:tab w:val="num" w:pos="720"/>
        </w:tabs>
        <w:ind w:left="720" w:hanging="360"/>
      </w:pPr>
      <w:rPr>
        <w:rFonts w:ascii="Symbol" w:hAnsi="Symbol" w:hint="default"/>
      </w:rPr>
    </w:lvl>
    <w:lvl w:ilvl="1" w:tplc="EDFEBA06" w:tentative="1">
      <w:start w:val="1"/>
      <w:numFmt w:val="bullet"/>
      <w:lvlText w:val=""/>
      <w:lvlJc w:val="left"/>
      <w:pPr>
        <w:tabs>
          <w:tab w:val="num" w:pos="1440"/>
        </w:tabs>
        <w:ind w:left="1440" w:hanging="360"/>
      </w:pPr>
      <w:rPr>
        <w:rFonts w:ascii="Wingdings" w:hAnsi="Wingdings" w:hint="default"/>
      </w:rPr>
    </w:lvl>
    <w:lvl w:ilvl="2" w:tplc="0E98246C" w:tentative="1">
      <w:start w:val="1"/>
      <w:numFmt w:val="bullet"/>
      <w:lvlText w:val=""/>
      <w:lvlJc w:val="left"/>
      <w:pPr>
        <w:tabs>
          <w:tab w:val="num" w:pos="2160"/>
        </w:tabs>
        <w:ind w:left="2160" w:hanging="360"/>
      </w:pPr>
      <w:rPr>
        <w:rFonts w:ascii="Wingdings" w:hAnsi="Wingdings" w:hint="default"/>
      </w:rPr>
    </w:lvl>
    <w:lvl w:ilvl="3" w:tplc="8572D6F0" w:tentative="1">
      <w:start w:val="1"/>
      <w:numFmt w:val="bullet"/>
      <w:lvlText w:val=""/>
      <w:lvlJc w:val="left"/>
      <w:pPr>
        <w:tabs>
          <w:tab w:val="num" w:pos="2880"/>
        </w:tabs>
        <w:ind w:left="2880" w:hanging="360"/>
      </w:pPr>
      <w:rPr>
        <w:rFonts w:ascii="Wingdings" w:hAnsi="Wingdings" w:hint="default"/>
      </w:rPr>
    </w:lvl>
    <w:lvl w:ilvl="4" w:tplc="71FC50AA" w:tentative="1">
      <w:start w:val="1"/>
      <w:numFmt w:val="bullet"/>
      <w:lvlText w:val=""/>
      <w:lvlJc w:val="left"/>
      <w:pPr>
        <w:tabs>
          <w:tab w:val="num" w:pos="3600"/>
        </w:tabs>
        <w:ind w:left="3600" w:hanging="360"/>
      </w:pPr>
      <w:rPr>
        <w:rFonts w:ascii="Wingdings" w:hAnsi="Wingdings" w:hint="default"/>
      </w:rPr>
    </w:lvl>
    <w:lvl w:ilvl="5" w:tplc="EB083FD6" w:tentative="1">
      <w:start w:val="1"/>
      <w:numFmt w:val="bullet"/>
      <w:lvlText w:val=""/>
      <w:lvlJc w:val="left"/>
      <w:pPr>
        <w:tabs>
          <w:tab w:val="num" w:pos="4320"/>
        </w:tabs>
        <w:ind w:left="4320" w:hanging="360"/>
      </w:pPr>
      <w:rPr>
        <w:rFonts w:ascii="Wingdings" w:hAnsi="Wingdings" w:hint="default"/>
      </w:rPr>
    </w:lvl>
    <w:lvl w:ilvl="6" w:tplc="5FF0F1B0" w:tentative="1">
      <w:start w:val="1"/>
      <w:numFmt w:val="bullet"/>
      <w:lvlText w:val=""/>
      <w:lvlJc w:val="left"/>
      <w:pPr>
        <w:tabs>
          <w:tab w:val="num" w:pos="5040"/>
        </w:tabs>
        <w:ind w:left="5040" w:hanging="360"/>
      </w:pPr>
      <w:rPr>
        <w:rFonts w:ascii="Wingdings" w:hAnsi="Wingdings" w:hint="default"/>
      </w:rPr>
    </w:lvl>
    <w:lvl w:ilvl="7" w:tplc="9836FC40" w:tentative="1">
      <w:start w:val="1"/>
      <w:numFmt w:val="bullet"/>
      <w:lvlText w:val=""/>
      <w:lvlJc w:val="left"/>
      <w:pPr>
        <w:tabs>
          <w:tab w:val="num" w:pos="5760"/>
        </w:tabs>
        <w:ind w:left="5760" w:hanging="360"/>
      </w:pPr>
      <w:rPr>
        <w:rFonts w:ascii="Wingdings" w:hAnsi="Wingdings" w:hint="default"/>
      </w:rPr>
    </w:lvl>
    <w:lvl w:ilvl="8" w:tplc="CA085356" w:tentative="1">
      <w:start w:val="1"/>
      <w:numFmt w:val="bullet"/>
      <w:lvlText w:val=""/>
      <w:lvlJc w:val="left"/>
      <w:pPr>
        <w:tabs>
          <w:tab w:val="num" w:pos="6480"/>
        </w:tabs>
        <w:ind w:left="6480" w:hanging="360"/>
      </w:pPr>
      <w:rPr>
        <w:rFonts w:ascii="Wingdings" w:hAnsi="Wingdings" w:hint="default"/>
      </w:rPr>
    </w:lvl>
  </w:abstractNum>
  <w:abstractNum w:abstractNumId="62">
    <w:nsid w:val="15E51752"/>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3">
    <w:nsid w:val="15EE7798"/>
    <w:multiLevelType w:val="hybridMultilevel"/>
    <w:tmpl w:val="2AFC7A38"/>
    <w:lvl w:ilvl="0" w:tplc="4F4EDDE6">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16073A51"/>
    <w:multiLevelType w:val="hybridMultilevel"/>
    <w:tmpl w:val="06C4E350"/>
    <w:lvl w:ilvl="0" w:tplc="A77E3C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16237B92"/>
    <w:multiLevelType w:val="multilevel"/>
    <w:tmpl w:val="16D4424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6">
    <w:nsid w:val="16602827"/>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7">
    <w:nsid w:val="16A03049"/>
    <w:multiLevelType w:val="multilevel"/>
    <w:tmpl w:val="D4C06A3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8">
    <w:nsid w:val="17E431BF"/>
    <w:multiLevelType w:val="hybridMultilevel"/>
    <w:tmpl w:val="53B0E0DE"/>
    <w:lvl w:ilvl="0" w:tplc="D74282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18D01BC8"/>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0">
    <w:nsid w:val="19795AFB"/>
    <w:multiLevelType w:val="hybridMultilevel"/>
    <w:tmpl w:val="F468BD7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1">
    <w:nsid w:val="19877A31"/>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2">
    <w:nsid w:val="198B24BF"/>
    <w:multiLevelType w:val="hybridMultilevel"/>
    <w:tmpl w:val="2794D3D2"/>
    <w:lvl w:ilvl="0" w:tplc="EC2CF17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nsid w:val="19A75D17"/>
    <w:multiLevelType w:val="multilevel"/>
    <w:tmpl w:val="A19EA266"/>
    <w:lvl w:ilvl="0">
      <w:start w:val="1"/>
      <w:numFmt w:val="decimal"/>
      <w:lvlText w:val="%1."/>
      <w:lvlJc w:val="left"/>
      <w:pPr>
        <w:ind w:left="360" w:hanging="360"/>
      </w:pPr>
      <w:rPr>
        <w:b w:val="0"/>
        <w:sz w:val="20"/>
        <w:szCs w:val="2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4">
    <w:nsid w:val="19E922AB"/>
    <w:multiLevelType w:val="hybridMultilevel"/>
    <w:tmpl w:val="CCAA45E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5">
    <w:nsid w:val="1A585F40"/>
    <w:multiLevelType w:val="hybridMultilevel"/>
    <w:tmpl w:val="D0062A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1A6018BA"/>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7">
    <w:nsid w:val="1A985EF8"/>
    <w:multiLevelType w:val="hybridMultilevel"/>
    <w:tmpl w:val="4712DFB6"/>
    <w:lvl w:ilvl="0" w:tplc="E15AF39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1B07249E"/>
    <w:multiLevelType w:val="hybridMultilevel"/>
    <w:tmpl w:val="D9A4F11A"/>
    <w:lvl w:ilvl="0" w:tplc="63B82576">
      <w:start w:val="1"/>
      <w:numFmt w:val="bullet"/>
      <w:lvlText w:val=""/>
      <w:lvlJc w:val="left"/>
      <w:pPr>
        <w:ind w:left="1429" w:hanging="360"/>
      </w:pPr>
      <w:rPr>
        <w:rFonts w:ascii="Symbol" w:hAnsi="Symbol" w:hint="default"/>
      </w:rPr>
    </w:lvl>
    <w:lvl w:ilvl="1" w:tplc="9230A552">
      <w:start w:val="1"/>
      <w:numFmt w:val="bullet"/>
      <w:lvlText w:val="o"/>
      <w:lvlJc w:val="left"/>
      <w:pPr>
        <w:ind w:left="2149" w:hanging="360"/>
      </w:pPr>
      <w:rPr>
        <w:rFonts w:ascii="Courier New" w:hAnsi="Courier New" w:cs="Courier New" w:hint="default"/>
      </w:rPr>
    </w:lvl>
    <w:lvl w:ilvl="2" w:tplc="C55ABBEA" w:tentative="1">
      <w:start w:val="1"/>
      <w:numFmt w:val="bullet"/>
      <w:lvlText w:val=""/>
      <w:lvlJc w:val="left"/>
      <w:pPr>
        <w:ind w:left="2869" w:hanging="360"/>
      </w:pPr>
      <w:rPr>
        <w:rFonts w:ascii="Wingdings" w:hAnsi="Wingdings" w:hint="default"/>
      </w:rPr>
    </w:lvl>
    <w:lvl w:ilvl="3" w:tplc="AD0AEF58" w:tentative="1">
      <w:start w:val="1"/>
      <w:numFmt w:val="bullet"/>
      <w:lvlText w:val=""/>
      <w:lvlJc w:val="left"/>
      <w:pPr>
        <w:ind w:left="3589" w:hanging="360"/>
      </w:pPr>
      <w:rPr>
        <w:rFonts w:ascii="Symbol" w:hAnsi="Symbol" w:hint="default"/>
      </w:rPr>
    </w:lvl>
    <w:lvl w:ilvl="4" w:tplc="BE624834" w:tentative="1">
      <w:start w:val="1"/>
      <w:numFmt w:val="bullet"/>
      <w:lvlText w:val="o"/>
      <w:lvlJc w:val="left"/>
      <w:pPr>
        <w:ind w:left="4309" w:hanging="360"/>
      </w:pPr>
      <w:rPr>
        <w:rFonts w:ascii="Courier New" w:hAnsi="Courier New" w:cs="Courier New" w:hint="default"/>
      </w:rPr>
    </w:lvl>
    <w:lvl w:ilvl="5" w:tplc="77767186" w:tentative="1">
      <w:start w:val="1"/>
      <w:numFmt w:val="bullet"/>
      <w:lvlText w:val=""/>
      <w:lvlJc w:val="left"/>
      <w:pPr>
        <w:ind w:left="5029" w:hanging="360"/>
      </w:pPr>
      <w:rPr>
        <w:rFonts w:ascii="Wingdings" w:hAnsi="Wingdings" w:hint="default"/>
      </w:rPr>
    </w:lvl>
    <w:lvl w:ilvl="6" w:tplc="7E9EE8B6" w:tentative="1">
      <w:start w:val="1"/>
      <w:numFmt w:val="bullet"/>
      <w:lvlText w:val=""/>
      <w:lvlJc w:val="left"/>
      <w:pPr>
        <w:ind w:left="5749" w:hanging="360"/>
      </w:pPr>
      <w:rPr>
        <w:rFonts w:ascii="Symbol" w:hAnsi="Symbol" w:hint="default"/>
      </w:rPr>
    </w:lvl>
    <w:lvl w:ilvl="7" w:tplc="4244C0A2" w:tentative="1">
      <w:start w:val="1"/>
      <w:numFmt w:val="bullet"/>
      <w:lvlText w:val="o"/>
      <w:lvlJc w:val="left"/>
      <w:pPr>
        <w:ind w:left="6469" w:hanging="360"/>
      </w:pPr>
      <w:rPr>
        <w:rFonts w:ascii="Courier New" w:hAnsi="Courier New" w:cs="Courier New" w:hint="default"/>
      </w:rPr>
    </w:lvl>
    <w:lvl w:ilvl="8" w:tplc="A66041B6" w:tentative="1">
      <w:start w:val="1"/>
      <w:numFmt w:val="bullet"/>
      <w:lvlText w:val=""/>
      <w:lvlJc w:val="left"/>
      <w:pPr>
        <w:ind w:left="7189" w:hanging="360"/>
      </w:pPr>
      <w:rPr>
        <w:rFonts w:ascii="Wingdings" w:hAnsi="Wingdings" w:hint="default"/>
      </w:rPr>
    </w:lvl>
  </w:abstractNum>
  <w:abstractNum w:abstractNumId="79">
    <w:nsid w:val="1B6A6A1B"/>
    <w:multiLevelType w:val="multilevel"/>
    <w:tmpl w:val="DCB826D8"/>
    <w:lvl w:ilvl="0">
      <w:start w:val="1"/>
      <w:numFmt w:val="decimal"/>
      <w:lvlText w:val="%1."/>
      <w:lvlJc w:val="left"/>
      <w:pPr>
        <w:ind w:left="1200" w:hanging="120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2130" w:hanging="720"/>
      </w:pPr>
      <w:rPr>
        <w:rFonts w:hint="default"/>
      </w:rPr>
    </w:lvl>
    <w:lvl w:ilvl="3">
      <w:start w:val="1"/>
      <w:numFmt w:val="decimal"/>
      <w:isLgl/>
      <w:lvlText w:val="%1.%2.%3.%4."/>
      <w:lvlJc w:val="left"/>
      <w:pPr>
        <w:ind w:left="2835" w:hanging="720"/>
      </w:pPr>
      <w:rPr>
        <w:rFonts w:hint="default"/>
      </w:rPr>
    </w:lvl>
    <w:lvl w:ilvl="4">
      <w:start w:val="1"/>
      <w:numFmt w:val="decimal"/>
      <w:isLgl/>
      <w:lvlText w:val="%1.%2.%3.%4.%5."/>
      <w:lvlJc w:val="left"/>
      <w:pPr>
        <w:ind w:left="3900"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310" w:hanging="1080"/>
      </w:pPr>
      <w:rPr>
        <w:rFonts w:hint="default"/>
      </w:rPr>
    </w:lvl>
    <w:lvl w:ilvl="7">
      <w:start w:val="1"/>
      <w:numFmt w:val="decimal"/>
      <w:isLgl/>
      <w:lvlText w:val="%1.%2.%3.%4.%5.%6.%7.%8."/>
      <w:lvlJc w:val="left"/>
      <w:pPr>
        <w:ind w:left="6375" w:hanging="1440"/>
      </w:pPr>
      <w:rPr>
        <w:rFonts w:hint="default"/>
      </w:rPr>
    </w:lvl>
    <w:lvl w:ilvl="8">
      <w:start w:val="1"/>
      <w:numFmt w:val="decimal"/>
      <w:isLgl/>
      <w:lvlText w:val="%1.%2.%3.%4.%5.%6.%7.%8.%9."/>
      <w:lvlJc w:val="left"/>
      <w:pPr>
        <w:ind w:left="7080" w:hanging="1440"/>
      </w:pPr>
      <w:rPr>
        <w:rFonts w:hint="default"/>
      </w:rPr>
    </w:lvl>
  </w:abstractNum>
  <w:abstractNum w:abstractNumId="80">
    <w:nsid w:val="1BC164F0"/>
    <w:multiLevelType w:val="hybridMultilevel"/>
    <w:tmpl w:val="FA4A8FF8"/>
    <w:lvl w:ilvl="0" w:tplc="D7428274">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81">
    <w:nsid w:val="1CA35234"/>
    <w:multiLevelType w:val="hybridMultilevel"/>
    <w:tmpl w:val="9F70372A"/>
    <w:lvl w:ilvl="0" w:tplc="D742827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1D2E18CE"/>
    <w:multiLevelType w:val="hybridMultilevel"/>
    <w:tmpl w:val="B22496A8"/>
    <w:lvl w:ilvl="0" w:tplc="A77E3C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1D7C4B97"/>
    <w:multiLevelType w:val="hybridMultilevel"/>
    <w:tmpl w:val="3612BAD6"/>
    <w:lvl w:ilvl="0" w:tplc="A77E3CE2">
      <w:start w:val="1"/>
      <w:numFmt w:val="bullet"/>
      <w:lvlText w:val=""/>
      <w:lvlJc w:val="left"/>
      <w:pPr>
        <w:ind w:left="1429" w:hanging="360"/>
      </w:pPr>
      <w:rPr>
        <w:rFonts w:ascii="Symbol" w:hAnsi="Symbol" w:hint="default"/>
      </w:rPr>
    </w:lvl>
    <w:lvl w:ilvl="1" w:tplc="91C0035E" w:tentative="1">
      <w:start w:val="1"/>
      <w:numFmt w:val="bullet"/>
      <w:lvlText w:val="o"/>
      <w:lvlJc w:val="left"/>
      <w:pPr>
        <w:ind w:left="2149" w:hanging="360"/>
      </w:pPr>
      <w:rPr>
        <w:rFonts w:ascii="Courier New" w:hAnsi="Courier New" w:cs="Courier New" w:hint="default"/>
      </w:rPr>
    </w:lvl>
    <w:lvl w:ilvl="2" w:tplc="7E82B050" w:tentative="1">
      <w:start w:val="1"/>
      <w:numFmt w:val="bullet"/>
      <w:lvlText w:val=""/>
      <w:lvlJc w:val="left"/>
      <w:pPr>
        <w:ind w:left="2869" w:hanging="360"/>
      </w:pPr>
      <w:rPr>
        <w:rFonts w:ascii="Wingdings" w:hAnsi="Wingdings" w:hint="default"/>
      </w:rPr>
    </w:lvl>
    <w:lvl w:ilvl="3" w:tplc="9C9EFDA2" w:tentative="1">
      <w:start w:val="1"/>
      <w:numFmt w:val="bullet"/>
      <w:lvlText w:val=""/>
      <w:lvlJc w:val="left"/>
      <w:pPr>
        <w:ind w:left="3589" w:hanging="360"/>
      </w:pPr>
      <w:rPr>
        <w:rFonts w:ascii="Symbol" w:hAnsi="Symbol" w:hint="default"/>
      </w:rPr>
    </w:lvl>
    <w:lvl w:ilvl="4" w:tplc="D4322D66" w:tentative="1">
      <w:start w:val="1"/>
      <w:numFmt w:val="bullet"/>
      <w:lvlText w:val="o"/>
      <w:lvlJc w:val="left"/>
      <w:pPr>
        <w:ind w:left="4309" w:hanging="360"/>
      </w:pPr>
      <w:rPr>
        <w:rFonts w:ascii="Courier New" w:hAnsi="Courier New" w:cs="Courier New" w:hint="default"/>
      </w:rPr>
    </w:lvl>
    <w:lvl w:ilvl="5" w:tplc="180E46AE" w:tentative="1">
      <w:start w:val="1"/>
      <w:numFmt w:val="bullet"/>
      <w:lvlText w:val=""/>
      <w:lvlJc w:val="left"/>
      <w:pPr>
        <w:ind w:left="5029" w:hanging="360"/>
      </w:pPr>
      <w:rPr>
        <w:rFonts w:ascii="Wingdings" w:hAnsi="Wingdings" w:hint="default"/>
      </w:rPr>
    </w:lvl>
    <w:lvl w:ilvl="6" w:tplc="D586F9F8" w:tentative="1">
      <w:start w:val="1"/>
      <w:numFmt w:val="bullet"/>
      <w:lvlText w:val=""/>
      <w:lvlJc w:val="left"/>
      <w:pPr>
        <w:ind w:left="5749" w:hanging="360"/>
      </w:pPr>
      <w:rPr>
        <w:rFonts w:ascii="Symbol" w:hAnsi="Symbol" w:hint="default"/>
      </w:rPr>
    </w:lvl>
    <w:lvl w:ilvl="7" w:tplc="39501628" w:tentative="1">
      <w:start w:val="1"/>
      <w:numFmt w:val="bullet"/>
      <w:lvlText w:val="o"/>
      <w:lvlJc w:val="left"/>
      <w:pPr>
        <w:ind w:left="6469" w:hanging="360"/>
      </w:pPr>
      <w:rPr>
        <w:rFonts w:ascii="Courier New" w:hAnsi="Courier New" w:cs="Courier New" w:hint="default"/>
      </w:rPr>
    </w:lvl>
    <w:lvl w:ilvl="8" w:tplc="5EA6978E" w:tentative="1">
      <w:start w:val="1"/>
      <w:numFmt w:val="bullet"/>
      <w:lvlText w:val=""/>
      <w:lvlJc w:val="left"/>
      <w:pPr>
        <w:ind w:left="7189" w:hanging="360"/>
      </w:pPr>
      <w:rPr>
        <w:rFonts w:ascii="Wingdings" w:hAnsi="Wingdings" w:hint="default"/>
      </w:rPr>
    </w:lvl>
  </w:abstractNum>
  <w:abstractNum w:abstractNumId="84">
    <w:nsid w:val="1D7F5B4B"/>
    <w:multiLevelType w:val="hybridMultilevel"/>
    <w:tmpl w:val="2AFC7A38"/>
    <w:lvl w:ilvl="0" w:tplc="4F4EDDE6">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nsid w:val="1DB96CCF"/>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6">
    <w:nsid w:val="1DBA2263"/>
    <w:multiLevelType w:val="hybridMultilevel"/>
    <w:tmpl w:val="AD2E6906"/>
    <w:lvl w:ilvl="0" w:tplc="D7428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E7A7552"/>
    <w:multiLevelType w:val="multilevel"/>
    <w:tmpl w:val="A1720872"/>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8">
    <w:nsid w:val="1F320861"/>
    <w:multiLevelType w:val="multilevel"/>
    <w:tmpl w:val="3F0C086A"/>
    <w:lvl w:ilvl="0">
      <w:start w:val="1"/>
      <w:numFmt w:val="decimal"/>
      <w:lvlText w:val="%1."/>
      <w:lvlJc w:val="left"/>
      <w:pPr>
        <w:ind w:left="720" w:hanging="360"/>
      </w:pPr>
    </w:lvl>
    <w:lvl w:ilvl="1">
      <w:start w:val="2"/>
      <w:numFmt w:val="decimal"/>
      <w:isLgl/>
      <w:lvlText w:val="%1.%2."/>
      <w:lvlJc w:val="left"/>
      <w:pPr>
        <w:ind w:left="1854" w:hanging="72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762" w:hanging="108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670" w:hanging="144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578" w:hanging="1800"/>
      </w:pPr>
      <w:rPr>
        <w:rFonts w:hint="default"/>
      </w:rPr>
    </w:lvl>
    <w:lvl w:ilvl="8">
      <w:start w:val="1"/>
      <w:numFmt w:val="decimal"/>
      <w:isLgl/>
      <w:lvlText w:val="%1.%2.%3.%4.%5.%6.%7.%8.%9."/>
      <w:lvlJc w:val="left"/>
      <w:pPr>
        <w:ind w:left="8352" w:hanging="1800"/>
      </w:pPr>
      <w:rPr>
        <w:rFonts w:hint="default"/>
      </w:rPr>
    </w:lvl>
  </w:abstractNum>
  <w:abstractNum w:abstractNumId="89">
    <w:nsid w:val="1F5B303B"/>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0">
    <w:nsid w:val="1F6F22AF"/>
    <w:multiLevelType w:val="multilevel"/>
    <w:tmpl w:val="6464E794"/>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1">
    <w:nsid w:val="1F80205B"/>
    <w:multiLevelType w:val="hybridMultilevel"/>
    <w:tmpl w:val="12A6D024"/>
    <w:lvl w:ilvl="0" w:tplc="D7428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FE8487E"/>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3">
    <w:nsid w:val="203134F1"/>
    <w:multiLevelType w:val="hybridMultilevel"/>
    <w:tmpl w:val="5B40260E"/>
    <w:lvl w:ilvl="0" w:tplc="A77E3C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2051751E"/>
    <w:multiLevelType w:val="hybridMultilevel"/>
    <w:tmpl w:val="AA167E08"/>
    <w:lvl w:ilvl="0" w:tplc="D742827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207B3CFF"/>
    <w:multiLevelType w:val="hybridMultilevel"/>
    <w:tmpl w:val="F468BD7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09C492D"/>
    <w:multiLevelType w:val="multilevel"/>
    <w:tmpl w:val="7786AE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7">
    <w:nsid w:val="20D94F79"/>
    <w:multiLevelType w:val="hybridMultilevel"/>
    <w:tmpl w:val="1AAA39B8"/>
    <w:lvl w:ilvl="0" w:tplc="D7428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19D4331"/>
    <w:multiLevelType w:val="hybridMultilevel"/>
    <w:tmpl w:val="C56E8F5A"/>
    <w:lvl w:ilvl="0" w:tplc="A77E3CE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21D52D92"/>
    <w:multiLevelType w:val="multilevel"/>
    <w:tmpl w:val="D6AAE22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0">
    <w:nsid w:val="23825930"/>
    <w:multiLevelType w:val="multilevel"/>
    <w:tmpl w:val="16D4424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1">
    <w:nsid w:val="24BA289F"/>
    <w:multiLevelType w:val="hybridMultilevel"/>
    <w:tmpl w:val="65F6078A"/>
    <w:lvl w:ilvl="0" w:tplc="B42443AE">
      <w:start w:val="1"/>
      <w:numFmt w:val="decimal"/>
      <w:lvlText w:val="%1."/>
      <w:lvlJc w:val="left"/>
      <w:pPr>
        <w:ind w:left="502" w:hanging="360"/>
      </w:pPr>
      <w:rPr>
        <w:rFonts w:ascii="Times New Roman" w:hAnsi="Times New Roman" w:cs="Times New Roman" w:hint="default"/>
        <w:b/>
        <w:i w:val="0"/>
        <w:sz w:val="2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2">
    <w:nsid w:val="24FC06BD"/>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3">
    <w:nsid w:val="250A1BFB"/>
    <w:multiLevelType w:val="hybridMultilevel"/>
    <w:tmpl w:val="4C665DAE"/>
    <w:lvl w:ilvl="0" w:tplc="D742827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25141F85"/>
    <w:multiLevelType w:val="multilevel"/>
    <w:tmpl w:val="7A7AF5A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5">
    <w:nsid w:val="2581124E"/>
    <w:multiLevelType w:val="hybridMultilevel"/>
    <w:tmpl w:val="F65A6B28"/>
    <w:lvl w:ilvl="0" w:tplc="D7428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5C70FD2"/>
    <w:multiLevelType w:val="multilevel"/>
    <w:tmpl w:val="7F52E230"/>
    <w:lvl w:ilvl="0">
      <w:start w:val="1"/>
      <w:numFmt w:val="decimal"/>
      <w:lvlText w:val="%1."/>
      <w:lvlJc w:val="left"/>
      <w:pPr>
        <w:ind w:left="360" w:hanging="360"/>
      </w:pPr>
      <w:rPr>
        <w:rFonts w:hint="default"/>
        <w:b w:val="0"/>
        <w:sz w:val="20"/>
        <w:szCs w:val="20"/>
      </w:rPr>
    </w:lvl>
    <w:lvl w:ilvl="1">
      <w:start w:val="1"/>
      <w:numFmt w:val="decimal"/>
      <w:isLgl/>
      <w:lvlText w:val="%1.%2."/>
      <w:lvlJc w:val="left"/>
      <w:pPr>
        <w:ind w:left="579" w:hanging="720"/>
      </w:pPr>
      <w:rPr>
        <w:rFonts w:ascii="Times New Roman" w:hAnsi="Times New Roman" w:cs="Times New Roman" w:hint="default"/>
        <w:sz w:val="20"/>
        <w:szCs w:val="20"/>
      </w:rPr>
    </w:lvl>
    <w:lvl w:ilvl="2">
      <w:start w:val="1"/>
      <w:numFmt w:val="decimal"/>
      <w:isLgl/>
      <w:lvlText w:val="%1.%2.%3."/>
      <w:lvlJc w:val="left"/>
      <w:pPr>
        <w:ind w:left="1004" w:hanging="720"/>
      </w:pPr>
      <w:rPr>
        <w:rFonts w:ascii="Times New Roman" w:hAnsi="Times New Roman" w:cs="Times New Roman" w:hint="default"/>
        <w:b/>
        <w:sz w:val="26"/>
        <w:szCs w:val="26"/>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7">
    <w:nsid w:val="26A96201"/>
    <w:multiLevelType w:val="multilevel"/>
    <w:tmpl w:val="16D4424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8">
    <w:nsid w:val="26EE250E"/>
    <w:multiLevelType w:val="multilevel"/>
    <w:tmpl w:val="4EE61D06"/>
    <w:lvl w:ilvl="0">
      <w:numFmt w:val="decimal"/>
      <w:lvlText w:val="%1."/>
      <w:lvlJc w:val="left"/>
      <w:pPr>
        <w:ind w:left="360" w:hanging="360"/>
      </w:pPr>
      <w:rPr>
        <w:rFonts w:hint="default"/>
      </w:rPr>
    </w:lvl>
    <w:lvl w:ilvl="1">
      <w:start w:val="1"/>
      <w:numFmt w:val="decimal"/>
      <w:lvlText w:val="%1.%2."/>
      <w:lvlJc w:val="left"/>
      <w:pPr>
        <w:ind w:left="1429" w:hanging="720"/>
      </w:pPr>
      <w:rPr>
        <w:rFonts w:ascii="Times New Roman" w:hAnsi="Times New Roman" w:cs="Times New Roman"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9">
    <w:nsid w:val="271211BA"/>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0">
    <w:nsid w:val="280F7D97"/>
    <w:multiLevelType w:val="hybridMultilevel"/>
    <w:tmpl w:val="E9285FD2"/>
    <w:lvl w:ilvl="0" w:tplc="D7428274">
      <w:start w:val="1"/>
      <w:numFmt w:val="bullet"/>
      <w:lvlText w:val=""/>
      <w:lvlJc w:val="left"/>
      <w:pPr>
        <w:ind w:left="720" w:hanging="360"/>
      </w:pPr>
      <w:rPr>
        <w:rFonts w:ascii="Symbol" w:hAnsi="Symbol" w:hint="default"/>
      </w:rPr>
    </w:lvl>
    <w:lvl w:ilvl="1" w:tplc="D742827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84E6EFB"/>
    <w:multiLevelType w:val="hybridMultilevel"/>
    <w:tmpl w:val="D15EBCD8"/>
    <w:lvl w:ilvl="0" w:tplc="5A2240C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284E7BC8"/>
    <w:multiLevelType w:val="hybridMultilevel"/>
    <w:tmpl w:val="33E8B2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28AF7916"/>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4">
    <w:nsid w:val="2918360C"/>
    <w:multiLevelType w:val="hybridMultilevel"/>
    <w:tmpl w:val="6AE8D578"/>
    <w:lvl w:ilvl="0" w:tplc="A77E3C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9961E9B"/>
    <w:multiLevelType w:val="multilevel"/>
    <w:tmpl w:val="A11073F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6">
    <w:nsid w:val="29A00A1B"/>
    <w:multiLevelType w:val="hybridMultilevel"/>
    <w:tmpl w:val="C98C95B4"/>
    <w:lvl w:ilvl="0" w:tplc="D7428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A0F4337"/>
    <w:multiLevelType w:val="hybridMultilevel"/>
    <w:tmpl w:val="A0CE7BA0"/>
    <w:lvl w:ilvl="0" w:tplc="0419000F">
      <w:start w:val="1"/>
      <w:numFmt w:val="decimal"/>
      <w:lvlText w:val="%1."/>
      <w:lvlJc w:val="left"/>
      <w:pPr>
        <w:ind w:left="1287" w:hanging="360"/>
      </w:pPr>
    </w:lvl>
    <w:lvl w:ilvl="1" w:tplc="0419000F">
      <w:start w:val="1"/>
      <w:numFmt w:val="decimal"/>
      <w:lvlText w:val="%2."/>
      <w:lvlJc w:val="left"/>
      <w:pPr>
        <w:ind w:left="2007" w:hanging="360"/>
      </w:pPr>
    </w:lvl>
    <w:lvl w:ilvl="2" w:tplc="17B266F4">
      <w:start w:val="77"/>
      <w:numFmt w:val="decimal"/>
      <w:lvlText w:val="%3"/>
      <w:lvlJc w:val="left"/>
      <w:pPr>
        <w:ind w:left="2907" w:hanging="360"/>
      </w:pPr>
      <w:rPr>
        <w:rFonts w:hint="default"/>
      </w:r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8">
    <w:nsid w:val="2AAE0F6E"/>
    <w:multiLevelType w:val="multilevel"/>
    <w:tmpl w:val="8FEE2F3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9">
    <w:nsid w:val="2ADD1733"/>
    <w:multiLevelType w:val="hybridMultilevel"/>
    <w:tmpl w:val="4D9EFC2C"/>
    <w:lvl w:ilvl="0" w:tplc="D7428274">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0">
    <w:nsid w:val="2BE22F62"/>
    <w:multiLevelType w:val="multilevel"/>
    <w:tmpl w:val="7786AE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1">
    <w:nsid w:val="2BF5164C"/>
    <w:multiLevelType w:val="multilevel"/>
    <w:tmpl w:val="7616A4B4"/>
    <w:lvl w:ilvl="0">
      <w:start w:val="1"/>
      <w:numFmt w:val="decimal"/>
      <w:pStyle w:val="1"/>
      <w:lvlText w:val="%1."/>
      <w:lvlJc w:val="center"/>
      <w:pPr>
        <w:tabs>
          <w:tab w:val="num" w:pos="0"/>
        </w:tabs>
      </w:pPr>
      <w:rPr>
        <w:rFonts w:cs="Times New Roman" w:hint="default"/>
        <w:bCs w:val="0"/>
        <w:iCs w:val="0"/>
        <w:caps w:val="0"/>
        <w:strike w:val="0"/>
        <w:dstrike w:val="0"/>
        <w:snapToGrid w:val="0"/>
        <w:vanish w:val="0"/>
        <w:color w:val="000000"/>
        <w:spacing w:val="0"/>
        <w:kern w:val="0"/>
        <w:position w:val="0"/>
        <w:u w:val="none"/>
        <w:vertAlign w:val="baseline"/>
      </w:rPr>
    </w:lvl>
    <w:lvl w:ilvl="1">
      <w:start w:val="1"/>
      <w:numFmt w:val="decimal"/>
      <w:pStyle w:val="2"/>
      <w:lvlText w:val="%1.%2"/>
      <w:lvlJc w:val="left"/>
      <w:pPr>
        <w:tabs>
          <w:tab w:val="num" w:pos="1701"/>
        </w:tabs>
        <w:ind w:firstLine="567"/>
      </w:pPr>
      <w:rPr>
        <w:rFonts w:cs="Times New Roman" w:hint="default"/>
        <w:bCs/>
        <w:iCs w:val="0"/>
        <w:caps w:val="0"/>
        <w:strike w:val="0"/>
        <w:dstrike w:val="0"/>
        <w:vanish w:val="0"/>
        <w:color w:val="auto"/>
        <w:spacing w:val="0"/>
        <w:w w:val="100"/>
        <w:kern w:val="0"/>
        <w:position w:val="0"/>
        <w:sz w:val="28"/>
        <w:szCs w:val="28"/>
        <w:u w:val="none"/>
        <w:vertAlign w:val="baseline"/>
      </w:rPr>
    </w:lvl>
    <w:lvl w:ilvl="2">
      <w:start w:val="1"/>
      <w:numFmt w:val="decimal"/>
      <w:pStyle w:val="3"/>
      <w:lvlText w:val="%1.%2.%3"/>
      <w:lvlJc w:val="left"/>
      <w:pPr>
        <w:tabs>
          <w:tab w:val="num" w:pos="1701"/>
        </w:tabs>
        <w:ind w:firstLine="567"/>
      </w:pPr>
      <w:rPr>
        <w:rFonts w:cs="Times New Roman" w:hint="default"/>
        <w:b w:val="0"/>
        <w:bCs w:val="0"/>
        <w:i w:val="0"/>
        <w:iCs w:val="0"/>
        <w:color w:val="auto"/>
      </w:rPr>
    </w:lvl>
    <w:lvl w:ilvl="3">
      <w:start w:val="1"/>
      <w:numFmt w:val="decimal"/>
      <w:pStyle w:val="4"/>
      <w:lvlText w:val="%1.%2.%3.%4"/>
      <w:lvlJc w:val="left"/>
      <w:pPr>
        <w:tabs>
          <w:tab w:val="num" w:pos="1701"/>
        </w:tabs>
        <w:ind w:firstLine="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russianLower"/>
      <w:pStyle w:val="5"/>
      <w:lvlText w:val="%5)"/>
      <w:lvlJc w:val="left"/>
      <w:pPr>
        <w:tabs>
          <w:tab w:val="num" w:pos="1701"/>
        </w:tabs>
        <w:ind w:firstLine="567"/>
      </w:pPr>
      <w:rPr>
        <w:rFonts w:cs="Times New Roman" w:hint="default"/>
        <w:b w:val="0"/>
        <w:bCs w:val="0"/>
        <w:i w:val="0"/>
        <w:iCs w:val="0"/>
      </w:rPr>
    </w:lvl>
    <w:lvl w:ilvl="5">
      <w:start w:val="1"/>
      <w:numFmt w:val="lowerLetter"/>
      <w:lvlText w:val="%6)"/>
      <w:lvlJc w:val="left"/>
      <w:pPr>
        <w:tabs>
          <w:tab w:val="num" w:pos="2551"/>
        </w:tabs>
        <w:ind w:left="2551" w:hanging="567"/>
      </w:pPr>
      <w:rPr>
        <w:rFonts w:cs="Times New Roman" w:hint="default"/>
      </w:rPr>
    </w:lvl>
    <w:lvl w:ilvl="6">
      <w:start w:val="1"/>
      <w:numFmt w:val="lowerRoman"/>
      <w:lvlText w:val="%7)"/>
      <w:lvlJc w:val="left"/>
      <w:pPr>
        <w:tabs>
          <w:tab w:val="num" w:pos="2268"/>
        </w:tabs>
        <w:ind w:left="2268" w:hanging="567"/>
      </w:pPr>
      <w:rPr>
        <w:rFonts w:cs="Times New Roman" w:hint="default"/>
      </w:rPr>
    </w:lvl>
    <w:lvl w:ilvl="7">
      <w:start w:val="1"/>
      <w:numFmt w:val="decimal"/>
      <w:lvlText w:val="%5.%6.%7.%8)"/>
      <w:lvlJc w:val="left"/>
      <w:pPr>
        <w:tabs>
          <w:tab w:val="num" w:pos="1448"/>
        </w:tabs>
        <w:ind w:left="1448" w:hanging="567"/>
      </w:pPr>
      <w:rPr>
        <w:rFonts w:cs="Times New Roman" w:hint="default"/>
      </w:rPr>
    </w:lvl>
    <w:lvl w:ilvl="8">
      <w:start w:val="1"/>
      <w:numFmt w:val="decimal"/>
      <w:lvlText w:val="%1.%2.%3.%4.%5.%6.%7.%8.%9."/>
      <w:lvlJc w:val="left"/>
      <w:pPr>
        <w:tabs>
          <w:tab w:val="num" w:pos="4166"/>
        </w:tabs>
        <w:ind w:left="2366" w:hanging="1440"/>
      </w:pPr>
      <w:rPr>
        <w:rFonts w:cs="Times New Roman" w:hint="default"/>
      </w:rPr>
    </w:lvl>
  </w:abstractNum>
  <w:abstractNum w:abstractNumId="122">
    <w:nsid w:val="2CAE493E"/>
    <w:multiLevelType w:val="hybridMultilevel"/>
    <w:tmpl w:val="3FEE1754"/>
    <w:lvl w:ilvl="0" w:tplc="A77E3C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nsid w:val="2D1249AF"/>
    <w:multiLevelType w:val="multilevel"/>
    <w:tmpl w:val="57FE34DC"/>
    <w:styleLink w:val="10"/>
    <w:lvl w:ilvl="0">
      <w:start w:val="2"/>
      <w:numFmt w:val="decimal"/>
      <w:lvlText w:val="%1."/>
      <w:lvlJc w:val="left"/>
      <w:pPr>
        <w:ind w:left="720" w:hanging="360"/>
      </w:pPr>
      <w:rPr>
        <w:rFonts w:ascii="Times New Roman" w:hAnsi="Times New Roman" w:cs="Times New Roman" w:hint="default"/>
        <w:color w:val="auto"/>
        <w:sz w:val="24"/>
        <w:szCs w:val="24"/>
      </w:rPr>
    </w:lvl>
    <w:lvl w:ilvl="1">
      <w:start w:val="2"/>
      <w:numFmt w:val="decimal"/>
      <w:isLgl/>
      <w:lvlText w:val="%1.%2."/>
      <w:lvlJc w:val="left"/>
      <w:pPr>
        <w:ind w:left="720" w:hanging="360"/>
      </w:pPr>
      <w:rPr>
        <w:rFonts w:ascii="Times New Roman" w:hAnsi="Times New Roman" w:cs="Times New Roman"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4">
    <w:nsid w:val="2D7D61A9"/>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5">
    <w:nsid w:val="2DD338C3"/>
    <w:multiLevelType w:val="hybridMultilevel"/>
    <w:tmpl w:val="9362AE7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6">
    <w:nsid w:val="2E077FE2"/>
    <w:multiLevelType w:val="hybridMultilevel"/>
    <w:tmpl w:val="20C0C6DC"/>
    <w:lvl w:ilvl="0" w:tplc="553A1D44">
      <w:start w:val="1"/>
      <w:numFmt w:val="russianLower"/>
      <w:lvlText w:val="%1)"/>
      <w:lvlJc w:val="left"/>
      <w:pPr>
        <w:ind w:left="2421" w:hanging="360"/>
      </w:pPr>
      <w:rPr>
        <w:rFonts w:hint="default"/>
      </w:r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127">
    <w:nsid w:val="2E0A7740"/>
    <w:multiLevelType w:val="multilevel"/>
    <w:tmpl w:val="0B783480"/>
    <w:lvl w:ilvl="0">
      <w:start w:val="1"/>
      <w:numFmt w:val="decimal"/>
      <w:lvlText w:val="%1."/>
      <w:lvlJc w:val="left"/>
      <w:pPr>
        <w:ind w:left="360" w:hanging="360"/>
      </w:pPr>
      <w:rPr>
        <w:rFonts w:hint="default"/>
        <w:b/>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8">
    <w:nsid w:val="2F1C7A80"/>
    <w:multiLevelType w:val="hybridMultilevel"/>
    <w:tmpl w:val="A82AF696"/>
    <w:lvl w:ilvl="0" w:tplc="D742827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2FE81C67"/>
    <w:multiLevelType w:val="hybridMultilevel"/>
    <w:tmpl w:val="C9A66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30212ED3"/>
    <w:multiLevelType w:val="hybridMultilevel"/>
    <w:tmpl w:val="C9A66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30392DB4"/>
    <w:multiLevelType w:val="hybridMultilevel"/>
    <w:tmpl w:val="35F434D6"/>
    <w:lvl w:ilvl="0" w:tplc="A77E3C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nsid w:val="30A1429E"/>
    <w:multiLevelType w:val="hybridMultilevel"/>
    <w:tmpl w:val="318E67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30E0324D"/>
    <w:multiLevelType w:val="hybridMultilevel"/>
    <w:tmpl w:val="E5BC00D4"/>
    <w:lvl w:ilvl="0" w:tplc="D74282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30E91C54"/>
    <w:multiLevelType w:val="hybridMultilevel"/>
    <w:tmpl w:val="29B09580"/>
    <w:lvl w:ilvl="0" w:tplc="C2A85384">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5">
    <w:nsid w:val="31FE1B24"/>
    <w:multiLevelType w:val="multilevel"/>
    <w:tmpl w:val="B47A55DC"/>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6">
    <w:nsid w:val="32017B9D"/>
    <w:multiLevelType w:val="hybridMultilevel"/>
    <w:tmpl w:val="02328B0A"/>
    <w:lvl w:ilvl="0" w:tplc="D7428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2076400"/>
    <w:multiLevelType w:val="hybridMultilevel"/>
    <w:tmpl w:val="2794D3D2"/>
    <w:lvl w:ilvl="0" w:tplc="EC2CF17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8">
    <w:nsid w:val="32C90EB3"/>
    <w:multiLevelType w:val="hybridMultilevel"/>
    <w:tmpl w:val="2E3AB11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9">
    <w:nsid w:val="3302221D"/>
    <w:multiLevelType w:val="multilevel"/>
    <w:tmpl w:val="DCB826D8"/>
    <w:lvl w:ilvl="0">
      <w:start w:val="1"/>
      <w:numFmt w:val="decimal"/>
      <w:lvlText w:val="%1."/>
      <w:lvlJc w:val="left"/>
      <w:pPr>
        <w:ind w:left="1200" w:hanging="120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2130" w:hanging="720"/>
      </w:pPr>
      <w:rPr>
        <w:rFonts w:hint="default"/>
      </w:rPr>
    </w:lvl>
    <w:lvl w:ilvl="3">
      <w:start w:val="1"/>
      <w:numFmt w:val="decimal"/>
      <w:isLgl/>
      <w:lvlText w:val="%1.%2.%3.%4."/>
      <w:lvlJc w:val="left"/>
      <w:pPr>
        <w:ind w:left="2835" w:hanging="720"/>
      </w:pPr>
      <w:rPr>
        <w:rFonts w:hint="default"/>
      </w:rPr>
    </w:lvl>
    <w:lvl w:ilvl="4">
      <w:start w:val="1"/>
      <w:numFmt w:val="decimal"/>
      <w:isLgl/>
      <w:lvlText w:val="%1.%2.%3.%4.%5."/>
      <w:lvlJc w:val="left"/>
      <w:pPr>
        <w:ind w:left="3900"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310" w:hanging="1080"/>
      </w:pPr>
      <w:rPr>
        <w:rFonts w:hint="default"/>
      </w:rPr>
    </w:lvl>
    <w:lvl w:ilvl="7">
      <w:start w:val="1"/>
      <w:numFmt w:val="decimal"/>
      <w:isLgl/>
      <w:lvlText w:val="%1.%2.%3.%4.%5.%6.%7.%8."/>
      <w:lvlJc w:val="left"/>
      <w:pPr>
        <w:ind w:left="6375" w:hanging="1440"/>
      </w:pPr>
      <w:rPr>
        <w:rFonts w:hint="default"/>
      </w:rPr>
    </w:lvl>
    <w:lvl w:ilvl="8">
      <w:start w:val="1"/>
      <w:numFmt w:val="decimal"/>
      <w:isLgl/>
      <w:lvlText w:val="%1.%2.%3.%4.%5.%6.%7.%8.%9."/>
      <w:lvlJc w:val="left"/>
      <w:pPr>
        <w:ind w:left="7080" w:hanging="1440"/>
      </w:pPr>
      <w:rPr>
        <w:rFonts w:hint="default"/>
      </w:rPr>
    </w:lvl>
  </w:abstractNum>
  <w:abstractNum w:abstractNumId="140">
    <w:nsid w:val="3314438E"/>
    <w:multiLevelType w:val="hybridMultilevel"/>
    <w:tmpl w:val="75FCCF7A"/>
    <w:lvl w:ilvl="0" w:tplc="33328504">
      <w:start w:val="1"/>
      <w:numFmt w:val="decimal"/>
      <w:lvlText w:val="%1."/>
      <w:lvlJc w:val="left"/>
      <w:pPr>
        <w:ind w:left="360" w:hanging="360"/>
      </w:pPr>
      <w:rPr>
        <w:rFonts w:ascii="Times New Roman" w:hAnsi="Times New Roman" w:cs="Times New Roman" w:hint="default"/>
        <w:sz w:val="20"/>
        <w:szCs w:val="26"/>
      </w:rPr>
    </w:lvl>
    <w:lvl w:ilvl="1" w:tplc="04190019">
      <w:start w:val="1"/>
      <w:numFmt w:val="lowerLetter"/>
      <w:lvlText w:val="%2."/>
      <w:lvlJc w:val="left"/>
      <w:pPr>
        <w:ind w:left="1080" w:hanging="360"/>
      </w:pPr>
    </w:lvl>
    <w:lvl w:ilvl="2" w:tplc="9616605E">
      <w:start w:val="66"/>
      <w:numFmt w:val="decimal"/>
      <w:lvlText w:val="%3"/>
      <w:lvlJc w:val="left"/>
      <w:pPr>
        <w:ind w:left="1980" w:hanging="360"/>
      </w:pPr>
      <w:rPr>
        <w:rFonts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1">
    <w:nsid w:val="33684F63"/>
    <w:multiLevelType w:val="hybridMultilevel"/>
    <w:tmpl w:val="A99C5ED0"/>
    <w:lvl w:ilvl="0" w:tplc="D7428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4182EB1"/>
    <w:multiLevelType w:val="multilevel"/>
    <w:tmpl w:val="CC207D3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3">
    <w:nsid w:val="347E12DB"/>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4">
    <w:nsid w:val="35372B79"/>
    <w:multiLevelType w:val="hybridMultilevel"/>
    <w:tmpl w:val="13C6EDD2"/>
    <w:lvl w:ilvl="0" w:tplc="CCE4DA22">
      <w:start w:val="1"/>
      <w:numFmt w:val="decimal"/>
      <w:lvlText w:val="%1."/>
      <w:lvlJc w:val="left"/>
      <w:pPr>
        <w:ind w:left="840" w:hanging="8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3586038E"/>
    <w:multiLevelType w:val="multilevel"/>
    <w:tmpl w:val="B9A467BC"/>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ascii="Times New Roman" w:hAnsi="Times New Roman" w:cs="Times New Roman"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6">
    <w:nsid w:val="35CB715D"/>
    <w:multiLevelType w:val="hybridMultilevel"/>
    <w:tmpl w:val="A17C93D0"/>
    <w:lvl w:ilvl="0" w:tplc="4816E40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7">
    <w:nsid w:val="35CC045D"/>
    <w:multiLevelType w:val="hybridMultilevel"/>
    <w:tmpl w:val="02C0D7B2"/>
    <w:lvl w:ilvl="0" w:tplc="A77E3CE2">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48">
    <w:nsid w:val="361216FB"/>
    <w:multiLevelType w:val="hybridMultilevel"/>
    <w:tmpl w:val="93164068"/>
    <w:lvl w:ilvl="0" w:tplc="D7428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61A4484"/>
    <w:multiLevelType w:val="hybridMultilevel"/>
    <w:tmpl w:val="855819B4"/>
    <w:lvl w:ilvl="0" w:tplc="D7428274">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50">
    <w:nsid w:val="36837483"/>
    <w:multiLevelType w:val="hybridMultilevel"/>
    <w:tmpl w:val="1B863202"/>
    <w:lvl w:ilvl="0" w:tplc="D7428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74E64C5"/>
    <w:multiLevelType w:val="multilevel"/>
    <w:tmpl w:val="F5A2DC8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2">
    <w:nsid w:val="38084FF0"/>
    <w:multiLevelType w:val="hybridMultilevel"/>
    <w:tmpl w:val="C546B904"/>
    <w:lvl w:ilvl="0" w:tplc="A4328FAA">
      <w:start w:val="1"/>
      <w:numFmt w:val="bullet"/>
      <w:pStyle w:val="a"/>
      <w:lvlText w:val=""/>
      <w:lvlJc w:val="left"/>
      <w:pPr>
        <w:ind w:left="1429" w:hanging="360"/>
      </w:pPr>
      <w:rPr>
        <w:rFonts w:ascii="Symbol" w:hAnsi="Symbol" w:cs="Symbol" w:hint="default"/>
      </w:rPr>
    </w:lvl>
    <w:lvl w:ilvl="1" w:tplc="F8EE531E">
      <w:start w:val="1"/>
      <w:numFmt w:val="bullet"/>
      <w:lvlText w:val="o"/>
      <w:lvlJc w:val="left"/>
      <w:pPr>
        <w:ind w:left="2149" w:hanging="360"/>
      </w:pPr>
      <w:rPr>
        <w:rFonts w:ascii="Courier New" w:hAnsi="Courier New" w:cs="Courier New" w:hint="default"/>
      </w:rPr>
    </w:lvl>
    <w:lvl w:ilvl="2" w:tplc="1840A1D6">
      <w:start w:val="1"/>
      <w:numFmt w:val="bullet"/>
      <w:lvlText w:val=""/>
      <w:lvlJc w:val="left"/>
      <w:pPr>
        <w:ind w:left="2869" w:hanging="360"/>
      </w:pPr>
      <w:rPr>
        <w:rFonts w:ascii="Wingdings" w:hAnsi="Wingdings" w:cs="Wingdings" w:hint="default"/>
      </w:rPr>
    </w:lvl>
    <w:lvl w:ilvl="3" w:tplc="18F00176">
      <w:start w:val="1"/>
      <w:numFmt w:val="bullet"/>
      <w:lvlText w:val=""/>
      <w:lvlJc w:val="left"/>
      <w:pPr>
        <w:ind w:left="3589" w:hanging="360"/>
      </w:pPr>
      <w:rPr>
        <w:rFonts w:ascii="Symbol" w:hAnsi="Symbol" w:cs="Symbol" w:hint="default"/>
      </w:rPr>
    </w:lvl>
    <w:lvl w:ilvl="4" w:tplc="4AD41E48">
      <w:start w:val="1"/>
      <w:numFmt w:val="bullet"/>
      <w:lvlText w:val="o"/>
      <w:lvlJc w:val="left"/>
      <w:pPr>
        <w:ind w:left="4309" w:hanging="360"/>
      </w:pPr>
      <w:rPr>
        <w:rFonts w:ascii="Courier New" w:hAnsi="Courier New" w:cs="Courier New" w:hint="default"/>
      </w:rPr>
    </w:lvl>
    <w:lvl w:ilvl="5" w:tplc="02829AEA">
      <w:start w:val="1"/>
      <w:numFmt w:val="bullet"/>
      <w:lvlText w:val=""/>
      <w:lvlJc w:val="left"/>
      <w:pPr>
        <w:ind w:left="5029" w:hanging="360"/>
      </w:pPr>
      <w:rPr>
        <w:rFonts w:ascii="Wingdings" w:hAnsi="Wingdings" w:cs="Wingdings" w:hint="default"/>
      </w:rPr>
    </w:lvl>
    <w:lvl w:ilvl="6" w:tplc="7E980C2E">
      <w:start w:val="1"/>
      <w:numFmt w:val="bullet"/>
      <w:lvlText w:val=""/>
      <w:lvlJc w:val="left"/>
      <w:pPr>
        <w:ind w:left="5749" w:hanging="360"/>
      </w:pPr>
      <w:rPr>
        <w:rFonts w:ascii="Symbol" w:hAnsi="Symbol" w:cs="Symbol" w:hint="default"/>
      </w:rPr>
    </w:lvl>
    <w:lvl w:ilvl="7" w:tplc="B666EDB6">
      <w:start w:val="1"/>
      <w:numFmt w:val="bullet"/>
      <w:lvlText w:val="o"/>
      <w:lvlJc w:val="left"/>
      <w:pPr>
        <w:ind w:left="6469" w:hanging="360"/>
      </w:pPr>
      <w:rPr>
        <w:rFonts w:ascii="Courier New" w:hAnsi="Courier New" w:cs="Courier New" w:hint="default"/>
      </w:rPr>
    </w:lvl>
    <w:lvl w:ilvl="8" w:tplc="E5C0919E">
      <w:start w:val="1"/>
      <w:numFmt w:val="bullet"/>
      <w:lvlText w:val=""/>
      <w:lvlJc w:val="left"/>
      <w:pPr>
        <w:ind w:left="7189" w:hanging="360"/>
      </w:pPr>
      <w:rPr>
        <w:rFonts w:ascii="Wingdings" w:hAnsi="Wingdings" w:cs="Wingdings" w:hint="default"/>
      </w:rPr>
    </w:lvl>
  </w:abstractNum>
  <w:abstractNum w:abstractNumId="153">
    <w:nsid w:val="3822321D"/>
    <w:multiLevelType w:val="hybridMultilevel"/>
    <w:tmpl w:val="6F5C9B6A"/>
    <w:lvl w:ilvl="0" w:tplc="D742827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4">
    <w:nsid w:val="3869481C"/>
    <w:multiLevelType w:val="multilevel"/>
    <w:tmpl w:val="B47A55DC"/>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5">
    <w:nsid w:val="38A95771"/>
    <w:multiLevelType w:val="hybridMultilevel"/>
    <w:tmpl w:val="AD726D5E"/>
    <w:lvl w:ilvl="0" w:tplc="A77E3C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nsid w:val="38D7498B"/>
    <w:multiLevelType w:val="hybridMultilevel"/>
    <w:tmpl w:val="2E7E0A08"/>
    <w:lvl w:ilvl="0" w:tplc="A77E3CE2">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7">
    <w:nsid w:val="395821D6"/>
    <w:multiLevelType w:val="hybridMultilevel"/>
    <w:tmpl w:val="A0A41E76"/>
    <w:lvl w:ilvl="0" w:tplc="D7428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95957EA"/>
    <w:multiLevelType w:val="hybridMultilevel"/>
    <w:tmpl w:val="D422BF2A"/>
    <w:lvl w:ilvl="0" w:tplc="D742827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nsid w:val="39B479D0"/>
    <w:multiLevelType w:val="hybridMultilevel"/>
    <w:tmpl w:val="C07CE856"/>
    <w:lvl w:ilvl="0" w:tplc="88860A5C">
      <w:start w:val="1"/>
      <w:numFmt w:val="bullet"/>
      <w:lvlText w:val="–"/>
      <w:lvlJc w:val="left"/>
      <w:pPr>
        <w:ind w:left="1440" w:hanging="360"/>
      </w:pPr>
      <w:rPr>
        <w:rFonts w:ascii="Calibri" w:hAnsi="Calibri"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0">
    <w:nsid w:val="3A3A0A14"/>
    <w:multiLevelType w:val="hybridMultilevel"/>
    <w:tmpl w:val="BF1E60A0"/>
    <w:lvl w:ilvl="0" w:tplc="D742827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1">
    <w:nsid w:val="3B433735"/>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2">
    <w:nsid w:val="3B4916B3"/>
    <w:multiLevelType w:val="hybridMultilevel"/>
    <w:tmpl w:val="84BE01B2"/>
    <w:lvl w:ilvl="0" w:tplc="67B883C8">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3">
    <w:nsid w:val="3B6979A4"/>
    <w:multiLevelType w:val="multilevel"/>
    <w:tmpl w:val="B47A55DC"/>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4">
    <w:nsid w:val="3BB55256"/>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5">
    <w:nsid w:val="3CF71993"/>
    <w:multiLevelType w:val="hybridMultilevel"/>
    <w:tmpl w:val="C8E80374"/>
    <w:lvl w:ilvl="0" w:tplc="D7428274">
      <w:start w:val="1"/>
      <w:numFmt w:val="bullet"/>
      <w:lvlText w:val=""/>
      <w:lvlJc w:val="left"/>
      <w:pPr>
        <w:tabs>
          <w:tab w:val="num" w:pos="720"/>
        </w:tabs>
        <w:ind w:left="720" w:hanging="360"/>
      </w:pPr>
      <w:rPr>
        <w:rFonts w:ascii="Symbol" w:hAnsi="Symbol" w:hint="default"/>
      </w:rPr>
    </w:lvl>
    <w:lvl w:ilvl="1" w:tplc="EB08434E" w:tentative="1">
      <w:start w:val="1"/>
      <w:numFmt w:val="bullet"/>
      <w:lvlText w:val=""/>
      <w:lvlJc w:val="left"/>
      <w:pPr>
        <w:tabs>
          <w:tab w:val="num" w:pos="1440"/>
        </w:tabs>
        <w:ind w:left="1440" w:hanging="360"/>
      </w:pPr>
      <w:rPr>
        <w:rFonts w:ascii="Wingdings" w:hAnsi="Wingdings" w:hint="default"/>
      </w:rPr>
    </w:lvl>
    <w:lvl w:ilvl="2" w:tplc="6B1C7B42" w:tentative="1">
      <w:start w:val="1"/>
      <w:numFmt w:val="bullet"/>
      <w:lvlText w:val=""/>
      <w:lvlJc w:val="left"/>
      <w:pPr>
        <w:tabs>
          <w:tab w:val="num" w:pos="2160"/>
        </w:tabs>
        <w:ind w:left="2160" w:hanging="360"/>
      </w:pPr>
      <w:rPr>
        <w:rFonts w:ascii="Wingdings" w:hAnsi="Wingdings" w:hint="default"/>
      </w:rPr>
    </w:lvl>
    <w:lvl w:ilvl="3" w:tplc="F154E46E" w:tentative="1">
      <w:start w:val="1"/>
      <w:numFmt w:val="bullet"/>
      <w:lvlText w:val=""/>
      <w:lvlJc w:val="left"/>
      <w:pPr>
        <w:tabs>
          <w:tab w:val="num" w:pos="2880"/>
        </w:tabs>
        <w:ind w:left="2880" w:hanging="360"/>
      </w:pPr>
      <w:rPr>
        <w:rFonts w:ascii="Wingdings" w:hAnsi="Wingdings" w:hint="default"/>
      </w:rPr>
    </w:lvl>
    <w:lvl w:ilvl="4" w:tplc="DF38238A" w:tentative="1">
      <w:start w:val="1"/>
      <w:numFmt w:val="bullet"/>
      <w:lvlText w:val=""/>
      <w:lvlJc w:val="left"/>
      <w:pPr>
        <w:tabs>
          <w:tab w:val="num" w:pos="3600"/>
        </w:tabs>
        <w:ind w:left="3600" w:hanging="360"/>
      </w:pPr>
      <w:rPr>
        <w:rFonts w:ascii="Wingdings" w:hAnsi="Wingdings" w:hint="default"/>
      </w:rPr>
    </w:lvl>
    <w:lvl w:ilvl="5" w:tplc="EADCBD0A" w:tentative="1">
      <w:start w:val="1"/>
      <w:numFmt w:val="bullet"/>
      <w:lvlText w:val=""/>
      <w:lvlJc w:val="left"/>
      <w:pPr>
        <w:tabs>
          <w:tab w:val="num" w:pos="4320"/>
        </w:tabs>
        <w:ind w:left="4320" w:hanging="360"/>
      </w:pPr>
      <w:rPr>
        <w:rFonts w:ascii="Wingdings" w:hAnsi="Wingdings" w:hint="default"/>
      </w:rPr>
    </w:lvl>
    <w:lvl w:ilvl="6" w:tplc="D930C430" w:tentative="1">
      <w:start w:val="1"/>
      <w:numFmt w:val="bullet"/>
      <w:lvlText w:val=""/>
      <w:lvlJc w:val="left"/>
      <w:pPr>
        <w:tabs>
          <w:tab w:val="num" w:pos="5040"/>
        </w:tabs>
        <w:ind w:left="5040" w:hanging="360"/>
      </w:pPr>
      <w:rPr>
        <w:rFonts w:ascii="Wingdings" w:hAnsi="Wingdings" w:hint="default"/>
      </w:rPr>
    </w:lvl>
    <w:lvl w:ilvl="7" w:tplc="0018F6AE" w:tentative="1">
      <w:start w:val="1"/>
      <w:numFmt w:val="bullet"/>
      <w:lvlText w:val=""/>
      <w:lvlJc w:val="left"/>
      <w:pPr>
        <w:tabs>
          <w:tab w:val="num" w:pos="5760"/>
        </w:tabs>
        <w:ind w:left="5760" w:hanging="360"/>
      </w:pPr>
      <w:rPr>
        <w:rFonts w:ascii="Wingdings" w:hAnsi="Wingdings" w:hint="default"/>
      </w:rPr>
    </w:lvl>
    <w:lvl w:ilvl="8" w:tplc="3B6857E6" w:tentative="1">
      <w:start w:val="1"/>
      <w:numFmt w:val="bullet"/>
      <w:lvlText w:val=""/>
      <w:lvlJc w:val="left"/>
      <w:pPr>
        <w:tabs>
          <w:tab w:val="num" w:pos="6480"/>
        </w:tabs>
        <w:ind w:left="6480" w:hanging="360"/>
      </w:pPr>
      <w:rPr>
        <w:rFonts w:ascii="Wingdings" w:hAnsi="Wingdings" w:hint="default"/>
      </w:rPr>
    </w:lvl>
  </w:abstractNum>
  <w:abstractNum w:abstractNumId="166">
    <w:nsid w:val="3DD7233D"/>
    <w:multiLevelType w:val="hybridMultilevel"/>
    <w:tmpl w:val="2F460BA4"/>
    <w:lvl w:ilvl="0" w:tplc="D74282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3DF82355"/>
    <w:multiLevelType w:val="hybridMultilevel"/>
    <w:tmpl w:val="535A2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3E8D7645"/>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9">
    <w:nsid w:val="3F5E3B4B"/>
    <w:multiLevelType w:val="multilevel"/>
    <w:tmpl w:val="B47A55DC"/>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0">
    <w:nsid w:val="3FEF0198"/>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1">
    <w:nsid w:val="40360A86"/>
    <w:multiLevelType w:val="hybridMultilevel"/>
    <w:tmpl w:val="DBA281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2">
    <w:nsid w:val="406055C9"/>
    <w:multiLevelType w:val="hybridMultilevel"/>
    <w:tmpl w:val="7B3AE70C"/>
    <w:lvl w:ilvl="0" w:tplc="D7428274">
      <w:start w:val="1"/>
      <w:numFmt w:val="bullet"/>
      <w:lvlText w:val=""/>
      <w:lvlJc w:val="left"/>
      <w:pPr>
        <w:ind w:left="1338" w:hanging="360"/>
      </w:pPr>
      <w:rPr>
        <w:rFonts w:ascii="Symbol" w:hAnsi="Symbol" w:hint="default"/>
      </w:rPr>
    </w:lvl>
    <w:lvl w:ilvl="1" w:tplc="04190003" w:tentative="1">
      <w:start w:val="1"/>
      <w:numFmt w:val="bullet"/>
      <w:lvlText w:val="o"/>
      <w:lvlJc w:val="left"/>
      <w:pPr>
        <w:ind w:left="2058" w:hanging="360"/>
      </w:pPr>
      <w:rPr>
        <w:rFonts w:ascii="Courier New" w:hAnsi="Courier New" w:cs="Courier New" w:hint="default"/>
      </w:rPr>
    </w:lvl>
    <w:lvl w:ilvl="2" w:tplc="04190005" w:tentative="1">
      <w:start w:val="1"/>
      <w:numFmt w:val="bullet"/>
      <w:lvlText w:val=""/>
      <w:lvlJc w:val="left"/>
      <w:pPr>
        <w:ind w:left="2778" w:hanging="360"/>
      </w:pPr>
      <w:rPr>
        <w:rFonts w:ascii="Wingdings" w:hAnsi="Wingdings" w:hint="default"/>
      </w:rPr>
    </w:lvl>
    <w:lvl w:ilvl="3" w:tplc="04190001" w:tentative="1">
      <w:start w:val="1"/>
      <w:numFmt w:val="bullet"/>
      <w:lvlText w:val=""/>
      <w:lvlJc w:val="left"/>
      <w:pPr>
        <w:ind w:left="3498" w:hanging="360"/>
      </w:pPr>
      <w:rPr>
        <w:rFonts w:ascii="Symbol" w:hAnsi="Symbol" w:hint="default"/>
      </w:rPr>
    </w:lvl>
    <w:lvl w:ilvl="4" w:tplc="04190003" w:tentative="1">
      <w:start w:val="1"/>
      <w:numFmt w:val="bullet"/>
      <w:lvlText w:val="o"/>
      <w:lvlJc w:val="left"/>
      <w:pPr>
        <w:ind w:left="4218" w:hanging="360"/>
      </w:pPr>
      <w:rPr>
        <w:rFonts w:ascii="Courier New" w:hAnsi="Courier New" w:cs="Courier New" w:hint="default"/>
      </w:rPr>
    </w:lvl>
    <w:lvl w:ilvl="5" w:tplc="04190005" w:tentative="1">
      <w:start w:val="1"/>
      <w:numFmt w:val="bullet"/>
      <w:lvlText w:val=""/>
      <w:lvlJc w:val="left"/>
      <w:pPr>
        <w:ind w:left="4938" w:hanging="360"/>
      </w:pPr>
      <w:rPr>
        <w:rFonts w:ascii="Wingdings" w:hAnsi="Wingdings" w:hint="default"/>
      </w:rPr>
    </w:lvl>
    <w:lvl w:ilvl="6" w:tplc="04190001" w:tentative="1">
      <w:start w:val="1"/>
      <w:numFmt w:val="bullet"/>
      <w:lvlText w:val=""/>
      <w:lvlJc w:val="left"/>
      <w:pPr>
        <w:ind w:left="5658" w:hanging="360"/>
      </w:pPr>
      <w:rPr>
        <w:rFonts w:ascii="Symbol" w:hAnsi="Symbol" w:hint="default"/>
      </w:rPr>
    </w:lvl>
    <w:lvl w:ilvl="7" w:tplc="04190003" w:tentative="1">
      <w:start w:val="1"/>
      <w:numFmt w:val="bullet"/>
      <w:lvlText w:val="o"/>
      <w:lvlJc w:val="left"/>
      <w:pPr>
        <w:ind w:left="6378" w:hanging="360"/>
      </w:pPr>
      <w:rPr>
        <w:rFonts w:ascii="Courier New" w:hAnsi="Courier New" w:cs="Courier New" w:hint="default"/>
      </w:rPr>
    </w:lvl>
    <w:lvl w:ilvl="8" w:tplc="04190005" w:tentative="1">
      <w:start w:val="1"/>
      <w:numFmt w:val="bullet"/>
      <w:lvlText w:val=""/>
      <w:lvlJc w:val="left"/>
      <w:pPr>
        <w:ind w:left="7098" w:hanging="360"/>
      </w:pPr>
      <w:rPr>
        <w:rFonts w:ascii="Wingdings" w:hAnsi="Wingdings" w:hint="default"/>
      </w:rPr>
    </w:lvl>
  </w:abstractNum>
  <w:abstractNum w:abstractNumId="173">
    <w:nsid w:val="406D4834"/>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4">
    <w:nsid w:val="40887260"/>
    <w:multiLevelType w:val="multilevel"/>
    <w:tmpl w:val="1B10BEB6"/>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5">
    <w:nsid w:val="408F022A"/>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6">
    <w:nsid w:val="41260015"/>
    <w:multiLevelType w:val="multilevel"/>
    <w:tmpl w:val="16D4424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7">
    <w:nsid w:val="413678F3"/>
    <w:multiLevelType w:val="hybridMultilevel"/>
    <w:tmpl w:val="8798338E"/>
    <w:lvl w:ilvl="0" w:tplc="D742827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8">
    <w:nsid w:val="42211FD6"/>
    <w:multiLevelType w:val="multilevel"/>
    <w:tmpl w:val="16D4424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9">
    <w:nsid w:val="43223ECD"/>
    <w:multiLevelType w:val="hybridMultilevel"/>
    <w:tmpl w:val="F9F2635E"/>
    <w:lvl w:ilvl="0" w:tplc="A77E3CE2">
      <w:start w:val="1"/>
      <w:numFmt w:val="bullet"/>
      <w:lvlText w:val=""/>
      <w:lvlJc w:val="left"/>
      <w:pPr>
        <w:ind w:left="1287" w:hanging="360"/>
      </w:pPr>
      <w:rPr>
        <w:rFonts w:ascii="Symbol" w:hAnsi="Symbol" w:hint="default"/>
      </w:rPr>
    </w:lvl>
    <w:lvl w:ilvl="1" w:tplc="A77E3CE2">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0">
    <w:nsid w:val="445F3669"/>
    <w:multiLevelType w:val="hybridMultilevel"/>
    <w:tmpl w:val="33965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447457AA"/>
    <w:multiLevelType w:val="hybridMultilevel"/>
    <w:tmpl w:val="96E078A2"/>
    <w:lvl w:ilvl="0" w:tplc="A77E3C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52D121E"/>
    <w:multiLevelType w:val="hybridMultilevel"/>
    <w:tmpl w:val="76343746"/>
    <w:lvl w:ilvl="0" w:tplc="A77E3CE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453B3573"/>
    <w:multiLevelType w:val="hybridMultilevel"/>
    <w:tmpl w:val="2794D3D2"/>
    <w:lvl w:ilvl="0" w:tplc="EC2CF17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4">
    <w:nsid w:val="46515163"/>
    <w:multiLevelType w:val="hybridMultilevel"/>
    <w:tmpl w:val="03CC1E04"/>
    <w:lvl w:ilvl="0" w:tplc="D742827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5">
    <w:nsid w:val="46DC24A4"/>
    <w:multiLevelType w:val="hybridMultilevel"/>
    <w:tmpl w:val="D6E6D24C"/>
    <w:lvl w:ilvl="0" w:tplc="A77E3C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6FE5191"/>
    <w:multiLevelType w:val="hybridMultilevel"/>
    <w:tmpl w:val="F2E0FFC6"/>
    <w:lvl w:ilvl="0" w:tplc="D7428274">
      <w:start w:val="1"/>
      <w:numFmt w:val="bullet"/>
      <w:lvlText w:val=""/>
      <w:lvlJc w:val="left"/>
      <w:pPr>
        <w:ind w:left="927" w:hanging="36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7">
    <w:nsid w:val="4710725F"/>
    <w:multiLevelType w:val="multilevel"/>
    <w:tmpl w:val="29201D00"/>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8">
    <w:nsid w:val="477A4493"/>
    <w:multiLevelType w:val="hybridMultilevel"/>
    <w:tmpl w:val="150A9704"/>
    <w:lvl w:ilvl="0" w:tplc="A77E3C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48EA6A52"/>
    <w:multiLevelType w:val="hybridMultilevel"/>
    <w:tmpl w:val="1D1C34AE"/>
    <w:lvl w:ilvl="0" w:tplc="A77E3CE2">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90">
    <w:nsid w:val="491D18E8"/>
    <w:multiLevelType w:val="hybridMultilevel"/>
    <w:tmpl w:val="6CDCA7B8"/>
    <w:lvl w:ilvl="0" w:tplc="179C3C6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91">
    <w:nsid w:val="491E581D"/>
    <w:multiLevelType w:val="hybridMultilevel"/>
    <w:tmpl w:val="4A3E83E6"/>
    <w:lvl w:ilvl="0" w:tplc="D7428274">
      <w:start w:val="1"/>
      <w:numFmt w:val="bullet"/>
      <w:lvlText w:val=""/>
      <w:lvlJc w:val="left"/>
      <w:pPr>
        <w:ind w:left="720" w:hanging="360"/>
      </w:pPr>
      <w:rPr>
        <w:rFonts w:ascii="Symbol" w:hAnsi="Symbol" w:hint="default"/>
      </w:rPr>
    </w:lvl>
    <w:lvl w:ilvl="1" w:tplc="895CF00E" w:tentative="1">
      <w:start w:val="1"/>
      <w:numFmt w:val="bullet"/>
      <w:lvlText w:val="o"/>
      <w:lvlJc w:val="left"/>
      <w:pPr>
        <w:ind w:left="1440" w:hanging="360"/>
      </w:pPr>
      <w:rPr>
        <w:rFonts w:ascii="Courier New" w:hAnsi="Courier New" w:hint="default"/>
      </w:rPr>
    </w:lvl>
    <w:lvl w:ilvl="2" w:tplc="F38A8B16" w:tentative="1">
      <w:start w:val="1"/>
      <w:numFmt w:val="bullet"/>
      <w:lvlText w:val=""/>
      <w:lvlJc w:val="left"/>
      <w:pPr>
        <w:ind w:left="2160" w:hanging="360"/>
      </w:pPr>
      <w:rPr>
        <w:rFonts w:ascii="Wingdings" w:hAnsi="Wingdings" w:hint="default"/>
      </w:rPr>
    </w:lvl>
    <w:lvl w:ilvl="3" w:tplc="676C22C8" w:tentative="1">
      <w:start w:val="1"/>
      <w:numFmt w:val="bullet"/>
      <w:lvlText w:val=""/>
      <w:lvlJc w:val="left"/>
      <w:pPr>
        <w:ind w:left="2880" w:hanging="360"/>
      </w:pPr>
      <w:rPr>
        <w:rFonts w:ascii="Symbol" w:hAnsi="Symbol" w:hint="default"/>
      </w:rPr>
    </w:lvl>
    <w:lvl w:ilvl="4" w:tplc="95EAB5D6" w:tentative="1">
      <w:start w:val="1"/>
      <w:numFmt w:val="bullet"/>
      <w:lvlText w:val="o"/>
      <w:lvlJc w:val="left"/>
      <w:pPr>
        <w:ind w:left="3600" w:hanging="360"/>
      </w:pPr>
      <w:rPr>
        <w:rFonts w:ascii="Courier New" w:hAnsi="Courier New" w:hint="default"/>
      </w:rPr>
    </w:lvl>
    <w:lvl w:ilvl="5" w:tplc="7ED8A010" w:tentative="1">
      <w:start w:val="1"/>
      <w:numFmt w:val="bullet"/>
      <w:lvlText w:val=""/>
      <w:lvlJc w:val="left"/>
      <w:pPr>
        <w:ind w:left="4320" w:hanging="360"/>
      </w:pPr>
      <w:rPr>
        <w:rFonts w:ascii="Wingdings" w:hAnsi="Wingdings" w:hint="default"/>
      </w:rPr>
    </w:lvl>
    <w:lvl w:ilvl="6" w:tplc="37E82CA2" w:tentative="1">
      <w:start w:val="1"/>
      <w:numFmt w:val="bullet"/>
      <w:lvlText w:val=""/>
      <w:lvlJc w:val="left"/>
      <w:pPr>
        <w:ind w:left="5040" w:hanging="360"/>
      </w:pPr>
      <w:rPr>
        <w:rFonts w:ascii="Symbol" w:hAnsi="Symbol" w:hint="default"/>
      </w:rPr>
    </w:lvl>
    <w:lvl w:ilvl="7" w:tplc="BA0610E0" w:tentative="1">
      <w:start w:val="1"/>
      <w:numFmt w:val="bullet"/>
      <w:lvlText w:val="o"/>
      <w:lvlJc w:val="left"/>
      <w:pPr>
        <w:ind w:left="5760" w:hanging="360"/>
      </w:pPr>
      <w:rPr>
        <w:rFonts w:ascii="Courier New" w:hAnsi="Courier New" w:hint="default"/>
      </w:rPr>
    </w:lvl>
    <w:lvl w:ilvl="8" w:tplc="9D9AC91E" w:tentative="1">
      <w:start w:val="1"/>
      <w:numFmt w:val="bullet"/>
      <w:lvlText w:val=""/>
      <w:lvlJc w:val="left"/>
      <w:pPr>
        <w:ind w:left="6480" w:hanging="360"/>
      </w:pPr>
      <w:rPr>
        <w:rFonts w:ascii="Wingdings" w:hAnsi="Wingdings" w:hint="default"/>
      </w:rPr>
    </w:lvl>
  </w:abstractNum>
  <w:abstractNum w:abstractNumId="192">
    <w:nsid w:val="4A125B62"/>
    <w:multiLevelType w:val="multilevel"/>
    <w:tmpl w:val="16D4424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3">
    <w:nsid w:val="4AE87D3A"/>
    <w:multiLevelType w:val="hybridMultilevel"/>
    <w:tmpl w:val="C122B604"/>
    <w:lvl w:ilvl="0" w:tplc="A77E3C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4B1C2AD9"/>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5">
    <w:nsid w:val="4B63614E"/>
    <w:multiLevelType w:val="hybridMultilevel"/>
    <w:tmpl w:val="E4E494EE"/>
    <w:lvl w:ilvl="0" w:tplc="D7428274">
      <w:start w:val="1"/>
      <w:numFmt w:val="bullet"/>
      <w:lvlText w:val=""/>
      <w:lvlJc w:val="left"/>
      <w:pPr>
        <w:ind w:left="1287" w:hanging="360"/>
      </w:pPr>
      <w:rPr>
        <w:rFonts w:ascii="Symbol" w:hAnsi="Symbol" w:hint="default"/>
      </w:rPr>
    </w:lvl>
    <w:lvl w:ilvl="1" w:tplc="D7428274">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6">
    <w:nsid w:val="4B99787E"/>
    <w:multiLevelType w:val="multilevel"/>
    <w:tmpl w:val="16D4424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7">
    <w:nsid w:val="4BAA10C9"/>
    <w:multiLevelType w:val="hybridMultilevel"/>
    <w:tmpl w:val="5602EE68"/>
    <w:lvl w:ilvl="0" w:tplc="A77E3C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4BE12B00"/>
    <w:multiLevelType w:val="multilevel"/>
    <w:tmpl w:val="A9467164"/>
    <w:lvl w:ilvl="0">
      <w:start w:val="1"/>
      <w:numFmt w:val="decimal"/>
      <w:lvlText w:val="%1."/>
      <w:lvlJc w:val="left"/>
      <w:pPr>
        <w:ind w:left="360" w:hanging="360"/>
      </w:pPr>
      <w:rPr>
        <w:rFonts w:hint="default"/>
        <w:b/>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9">
    <w:nsid w:val="4BED11E3"/>
    <w:multiLevelType w:val="hybridMultilevel"/>
    <w:tmpl w:val="C9A66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4BF54A37"/>
    <w:multiLevelType w:val="multilevel"/>
    <w:tmpl w:val="39B6822A"/>
    <w:lvl w:ilvl="0">
      <w:start w:val="1"/>
      <w:numFmt w:val="decimal"/>
      <w:lvlText w:val="%1."/>
      <w:lvlJc w:val="left"/>
      <w:pPr>
        <w:ind w:left="360" w:hanging="360"/>
      </w:pPr>
      <w:rPr>
        <w:rFonts w:hint="default"/>
        <w:b/>
        <w:i w:val="0"/>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1">
    <w:nsid w:val="4C2F6AB7"/>
    <w:multiLevelType w:val="multilevel"/>
    <w:tmpl w:val="F914264C"/>
    <w:lvl w:ilvl="0">
      <w:start w:val="1"/>
      <w:numFmt w:val="decimal"/>
      <w:lvlText w:val="%1."/>
      <w:lvlJc w:val="left"/>
      <w:pPr>
        <w:ind w:left="1200" w:hanging="120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2130" w:hanging="720"/>
      </w:pPr>
      <w:rPr>
        <w:rFonts w:hint="default"/>
      </w:rPr>
    </w:lvl>
    <w:lvl w:ilvl="3">
      <w:start w:val="1"/>
      <w:numFmt w:val="decimal"/>
      <w:isLgl/>
      <w:lvlText w:val="%1.%2.%3.%4."/>
      <w:lvlJc w:val="left"/>
      <w:pPr>
        <w:ind w:left="2835" w:hanging="720"/>
      </w:pPr>
      <w:rPr>
        <w:rFonts w:hint="default"/>
      </w:rPr>
    </w:lvl>
    <w:lvl w:ilvl="4">
      <w:start w:val="1"/>
      <w:numFmt w:val="decimal"/>
      <w:isLgl/>
      <w:lvlText w:val="%1.%2.%3.%4.%5."/>
      <w:lvlJc w:val="left"/>
      <w:pPr>
        <w:ind w:left="3900"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310" w:hanging="1080"/>
      </w:pPr>
      <w:rPr>
        <w:rFonts w:hint="default"/>
      </w:rPr>
    </w:lvl>
    <w:lvl w:ilvl="7">
      <w:start w:val="1"/>
      <w:numFmt w:val="decimal"/>
      <w:isLgl/>
      <w:lvlText w:val="%1.%2.%3.%4.%5.%6.%7.%8."/>
      <w:lvlJc w:val="left"/>
      <w:pPr>
        <w:ind w:left="6375" w:hanging="1440"/>
      </w:pPr>
      <w:rPr>
        <w:rFonts w:hint="default"/>
      </w:rPr>
    </w:lvl>
    <w:lvl w:ilvl="8">
      <w:start w:val="1"/>
      <w:numFmt w:val="decimal"/>
      <w:isLgl/>
      <w:lvlText w:val="%1.%2.%3.%4.%5.%6.%7.%8.%9."/>
      <w:lvlJc w:val="left"/>
      <w:pPr>
        <w:ind w:left="7080" w:hanging="1440"/>
      </w:pPr>
      <w:rPr>
        <w:rFonts w:hint="default"/>
      </w:rPr>
    </w:lvl>
  </w:abstractNum>
  <w:abstractNum w:abstractNumId="202">
    <w:nsid w:val="4C510D68"/>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3">
    <w:nsid w:val="4C7271D6"/>
    <w:multiLevelType w:val="hybridMultilevel"/>
    <w:tmpl w:val="C9404C38"/>
    <w:lvl w:ilvl="0" w:tplc="D74282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4">
    <w:nsid w:val="4CB03F40"/>
    <w:multiLevelType w:val="hybridMultilevel"/>
    <w:tmpl w:val="13C6EDD2"/>
    <w:lvl w:ilvl="0" w:tplc="CCE4DA22">
      <w:start w:val="1"/>
      <w:numFmt w:val="decimal"/>
      <w:lvlText w:val="%1."/>
      <w:lvlJc w:val="left"/>
      <w:pPr>
        <w:ind w:left="840" w:hanging="8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4D3C4805"/>
    <w:multiLevelType w:val="hybridMultilevel"/>
    <w:tmpl w:val="318059E4"/>
    <w:lvl w:ilvl="0" w:tplc="A77E3C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6">
    <w:nsid w:val="4DAA2D1D"/>
    <w:multiLevelType w:val="multilevel"/>
    <w:tmpl w:val="FD9036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7">
    <w:nsid w:val="4DB54B79"/>
    <w:multiLevelType w:val="hybridMultilevel"/>
    <w:tmpl w:val="50CE7FD4"/>
    <w:lvl w:ilvl="0" w:tplc="D742827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8">
    <w:nsid w:val="4E5C70EA"/>
    <w:multiLevelType w:val="multilevel"/>
    <w:tmpl w:val="B9A467BC"/>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ascii="Times New Roman" w:hAnsi="Times New Roman" w:cs="Times New Roman"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9">
    <w:nsid w:val="4F2E70D1"/>
    <w:multiLevelType w:val="multilevel"/>
    <w:tmpl w:val="706071FC"/>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0">
    <w:nsid w:val="4FBD3D85"/>
    <w:multiLevelType w:val="multilevel"/>
    <w:tmpl w:val="7F52E230"/>
    <w:lvl w:ilvl="0">
      <w:start w:val="1"/>
      <w:numFmt w:val="decimal"/>
      <w:lvlText w:val="%1."/>
      <w:lvlJc w:val="left"/>
      <w:pPr>
        <w:ind w:left="360" w:hanging="360"/>
      </w:pPr>
      <w:rPr>
        <w:rFonts w:hint="default"/>
        <w:b w:val="0"/>
        <w:sz w:val="20"/>
        <w:szCs w:val="20"/>
      </w:rPr>
    </w:lvl>
    <w:lvl w:ilvl="1">
      <w:start w:val="1"/>
      <w:numFmt w:val="decimal"/>
      <w:isLgl/>
      <w:lvlText w:val="%1.%2."/>
      <w:lvlJc w:val="left"/>
      <w:pPr>
        <w:ind w:left="579" w:hanging="720"/>
      </w:pPr>
      <w:rPr>
        <w:rFonts w:ascii="Times New Roman" w:hAnsi="Times New Roman" w:cs="Times New Roman" w:hint="default"/>
        <w:sz w:val="20"/>
        <w:szCs w:val="20"/>
      </w:rPr>
    </w:lvl>
    <w:lvl w:ilvl="2">
      <w:start w:val="1"/>
      <w:numFmt w:val="decimal"/>
      <w:isLgl/>
      <w:lvlText w:val="%1.%2.%3."/>
      <w:lvlJc w:val="left"/>
      <w:pPr>
        <w:ind w:left="1004" w:hanging="720"/>
      </w:pPr>
      <w:rPr>
        <w:rFonts w:ascii="Times New Roman" w:hAnsi="Times New Roman" w:cs="Times New Roman" w:hint="default"/>
        <w:b/>
        <w:sz w:val="26"/>
        <w:szCs w:val="26"/>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1">
    <w:nsid w:val="500337BC"/>
    <w:multiLevelType w:val="hybridMultilevel"/>
    <w:tmpl w:val="DE34071E"/>
    <w:lvl w:ilvl="0" w:tplc="D742827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2">
    <w:nsid w:val="501735E7"/>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3">
    <w:nsid w:val="50B0376D"/>
    <w:multiLevelType w:val="hybridMultilevel"/>
    <w:tmpl w:val="00BA4FD4"/>
    <w:lvl w:ilvl="0" w:tplc="D7428274">
      <w:start w:val="1"/>
      <w:numFmt w:val="bullet"/>
      <w:lvlText w:val=""/>
      <w:lvlJc w:val="left"/>
      <w:pPr>
        <w:ind w:left="1287" w:hanging="360"/>
      </w:pPr>
      <w:rPr>
        <w:rFonts w:ascii="Symbol" w:hAnsi="Symbol" w:hint="default"/>
      </w:rPr>
    </w:lvl>
    <w:lvl w:ilvl="1" w:tplc="D7428274">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4">
    <w:nsid w:val="510E536D"/>
    <w:multiLevelType w:val="hybridMultilevel"/>
    <w:tmpl w:val="8A541CC0"/>
    <w:lvl w:ilvl="0" w:tplc="A77E3C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513F2111"/>
    <w:multiLevelType w:val="multilevel"/>
    <w:tmpl w:val="8612DC6E"/>
    <w:lvl w:ilvl="0">
      <w:start w:val="1"/>
      <w:numFmt w:val="decimal"/>
      <w:lvlText w:val="%1."/>
      <w:lvlJc w:val="left"/>
      <w:pPr>
        <w:ind w:left="360" w:hanging="360"/>
      </w:pPr>
    </w:lvl>
    <w:lvl w:ilvl="1">
      <w:start w:val="3"/>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472" w:hanging="1800"/>
      </w:pPr>
      <w:rPr>
        <w:rFonts w:hint="default"/>
      </w:rPr>
    </w:lvl>
  </w:abstractNum>
  <w:abstractNum w:abstractNumId="216">
    <w:nsid w:val="515336E7"/>
    <w:multiLevelType w:val="hybridMultilevel"/>
    <w:tmpl w:val="1D827FD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17">
    <w:nsid w:val="52C343B3"/>
    <w:multiLevelType w:val="hybridMultilevel"/>
    <w:tmpl w:val="E8CC92A2"/>
    <w:lvl w:ilvl="0" w:tplc="D74282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53082A60"/>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9">
    <w:nsid w:val="535933F5"/>
    <w:multiLevelType w:val="hybridMultilevel"/>
    <w:tmpl w:val="142074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0">
    <w:nsid w:val="535E09E2"/>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1">
    <w:nsid w:val="53CF6646"/>
    <w:multiLevelType w:val="hybridMultilevel"/>
    <w:tmpl w:val="A252B0A4"/>
    <w:lvl w:ilvl="0" w:tplc="04190011">
      <w:start w:val="1"/>
      <w:numFmt w:val="decimal"/>
      <w:lvlText w:val="%1)"/>
      <w:lvlJc w:val="left"/>
      <w:pPr>
        <w:ind w:left="1037" w:hanging="360"/>
      </w:pPr>
    </w:lvl>
    <w:lvl w:ilvl="1" w:tplc="F4E0D170">
      <w:start w:val="1"/>
      <w:numFmt w:val="decimal"/>
      <w:lvlText w:val="%2."/>
      <w:lvlJc w:val="left"/>
      <w:pPr>
        <w:ind w:left="1757" w:hanging="360"/>
      </w:pPr>
      <w:rPr>
        <w:rFonts w:hint="default"/>
      </w:r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222">
    <w:nsid w:val="53D83DD3"/>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3">
    <w:nsid w:val="545F06BF"/>
    <w:multiLevelType w:val="multilevel"/>
    <w:tmpl w:val="1712937C"/>
    <w:lvl w:ilvl="0">
      <w:start w:val="1"/>
      <w:numFmt w:val="decimal"/>
      <w:lvlText w:val="%1."/>
      <w:lvlJc w:val="left"/>
      <w:pPr>
        <w:ind w:left="360" w:hanging="360"/>
      </w:pPr>
      <w:rPr>
        <w:rFonts w:hint="default"/>
        <w:b/>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4">
    <w:nsid w:val="54796333"/>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5">
    <w:nsid w:val="55445018"/>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6">
    <w:nsid w:val="56B07600"/>
    <w:multiLevelType w:val="hybridMultilevel"/>
    <w:tmpl w:val="4D0631CA"/>
    <w:lvl w:ilvl="0" w:tplc="D7428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56C51D9D"/>
    <w:multiLevelType w:val="multilevel"/>
    <w:tmpl w:val="F90A878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8">
    <w:nsid w:val="5772751D"/>
    <w:multiLevelType w:val="hybridMultilevel"/>
    <w:tmpl w:val="5AA6F1E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9">
    <w:nsid w:val="57C60F62"/>
    <w:multiLevelType w:val="hybridMultilevel"/>
    <w:tmpl w:val="29B09580"/>
    <w:lvl w:ilvl="0" w:tplc="C2A85384">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0">
    <w:nsid w:val="57CA32DE"/>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1">
    <w:nsid w:val="58550CD4"/>
    <w:multiLevelType w:val="multilevel"/>
    <w:tmpl w:val="DCB826D8"/>
    <w:lvl w:ilvl="0">
      <w:start w:val="1"/>
      <w:numFmt w:val="decimal"/>
      <w:lvlText w:val="%1."/>
      <w:lvlJc w:val="left"/>
      <w:pPr>
        <w:ind w:left="1200" w:hanging="120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2130" w:hanging="720"/>
      </w:pPr>
      <w:rPr>
        <w:rFonts w:hint="default"/>
      </w:rPr>
    </w:lvl>
    <w:lvl w:ilvl="3">
      <w:start w:val="1"/>
      <w:numFmt w:val="decimal"/>
      <w:isLgl/>
      <w:lvlText w:val="%1.%2.%3.%4."/>
      <w:lvlJc w:val="left"/>
      <w:pPr>
        <w:ind w:left="2835" w:hanging="720"/>
      </w:pPr>
      <w:rPr>
        <w:rFonts w:hint="default"/>
      </w:rPr>
    </w:lvl>
    <w:lvl w:ilvl="4">
      <w:start w:val="1"/>
      <w:numFmt w:val="decimal"/>
      <w:isLgl/>
      <w:lvlText w:val="%1.%2.%3.%4.%5."/>
      <w:lvlJc w:val="left"/>
      <w:pPr>
        <w:ind w:left="3900"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310" w:hanging="1080"/>
      </w:pPr>
      <w:rPr>
        <w:rFonts w:hint="default"/>
      </w:rPr>
    </w:lvl>
    <w:lvl w:ilvl="7">
      <w:start w:val="1"/>
      <w:numFmt w:val="decimal"/>
      <w:isLgl/>
      <w:lvlText w:val="%1.%2.%3.%4.%5.%6.%7.%8."/>
      <w:lvlJc w:val="left"/>
      <w:pPr>
        <w:ind w:left="6375" w:hanging="1440"/>
      </w:pPr>
      <w:rPr>
        <w:rFonts w:hint="default"/>
      </w:rPr>
    </w:lvl>
    <w:lvl w:ilvl="8">
      <w:start w:val="1"/>
      <w:numFmt w:val="decimal"/>
      <w:isLgl/>
      <w:lvlText w:val="%1.%2.%3.%4.%5.%6.%7.%8.%9."/>
      <w:lvlJc w:val="left"/>
      <w:pPr>
        <w:ind w:left="7080" w:hanging="1440"/>
      </w:pPr>
      <w:rPr>
        <w:rFonts w:hint="default"/>
      </w:rPr>
    </w:lvl>
  </w:abstractNum>
  <w:abstractNum w:abstractNumId="232">
    <w:nsid w:val="585F6C52"/>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3">
    <w:nsid w:val="595A21CE"/>
    <w:multiLevelType w:val="hybridMultilevel"/>
    <w:tmpl w:val="179066E0"/>
    <w:lvl w:ilvl="0" w:tplc="D7428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597B09C1"/>
    <w:multiLevelType w:val="multilevel"/>
    <w:tmpl w:val="3076A320"/>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5">
    <w:nsid w:val="5A97222C"/>
    <w:multiLevelType w:val="hybridMultilevel"/>
    <w:tmpl w:val="061A57C6"/>
    <w:lvl w:ilvl="0" w:tplc="67B883C8">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36">
    <w:nsid w:val="5AD016B7"/>
    <w:multiLevelType w:val="hybridMultilevel"/>
    <w:tmpl w:val="2794D3D2"/>
    <w:lvl w:ilvl="0" w:tplc="EC2CF17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7">
    <w:nsid w:val="5B1F0F34"/>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8">
    <w:nsid w:val="5C032501"/>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9">
    <w:nsid w:val="5C5C00B5"/>
    <w:multiLevelType w:val="multilevel"/>
    <w:tmpl w:val="963609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0">
    <w:nsid w:val="5CF86A01"/>
    <w:multiLevelType w:val="hybridMultilevel"/>
    <w:tmpl w:val="43380A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5D0318BF"/>
    <w:multiLevelType w:val="multilevel"/>
    <w:tmpl w:val="6206067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2">
    <w:nsid w:val="5D361917"/>
    <w:multiLevelType w:val="hybridMultilevel"/>
    <w:tmpl w:val="8DA0DE74"/>
    <w:lvl w:ilvl="0" w:tplc="D7428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5E0B1EA6"/>
    <w:multiLevelType w:val="hybridMultilevel"/>
    <w:tmpl w:val="0F06B218"/>
    <w:lvl w:ilvl="0" w:tplc="A77E3C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4">
    <w:nsid w:val="5E1808B0"/>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5">
    <w:nsid w:val="5E191F16"/>
    <w:multiLevelType w:val="hybridMultilevel"/>
    <w:tmpl w:val="6848F7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5E61028A"/>
    <w:multiLevelType w:val="multilevel"/>
    <w:tmpl w:val="F4A89070"/>
    <w:lvl w:ilvl="0">
      <w:numFmt w:val="decimal"/>
      <w:lvlText w:val="%1."/>
      <w:lvlJc w:val="left"/>
      <w:pPr>
        <w:ind w:left="510" w:hanging="510"/>
      </w:pPr>
      <w:rPr>
        <w:rFonts w:hint="default"/>
      </w:rPr>
    </w:lvl>
    <w:lvl w:ilvl="1">
      <w:start w:val="1"/>
      <w:numFmt w:val="decimal"/>
      <w:lvlText w:val="%2."/>
      <w:lvlJc w:val="left"/>
      <w:pPr>
        <w:ind w:left="1429" w:hanging="720"/>
      </w:pPr>
      <w:rPr>
        <w:rFonts w:hint="default"/>
        <w:b/>
      </w:rPr>
    </w:lvl>
    <w:lvl w:ilvl="2">
      <w:start w:val="1"/>
      <w:numFmt w:val="decimal"/>
      <w:lvlText w:val="%1.%2.%3."/>
      <w:lvlJc w:val="left"/>
      <w:pPr>
        <w:ind w:left="2498" w:hanging="1080"/>
      </w:pPr>
      <w:rPr>
        <w:rFonts w:hint="default"/>
      </w:rPr>
    </w:lvl>
    <w:lvl w:ilvl="3">
      <w:start w:val="1"/>
      <w:numFmt w:val="decimal"/>
      <w:lvlText w:val="%1.%2.%3.%4."/>
      <w:lvlJc w:val="left"/>
      <w:pPr>
        <w:ind w:left="3567" w:hanging="144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414" w:hanging="2160"/>
      </w:pPr>
      <w:rPr>
        <w:rFonts w:hint="default"/>
      </w:rPr>
    </w:lvl>
    <w:lvl w:ilvl="7">
      <w:start w:val="1"/>
      <w:numFmt w:val="decimal"/>
      <w:lvlText w:val="%1.%2.%3.%4.%5.%6.%7.%8."/>
      <w:lvlJc w:val="left"/>
      <w:pPr>
        <w:ind w:left="7483" w:hanging="2520"/>
      </w:pPr>
      <w:rPr>
        <w:rFonts w:hint="default"/>
      </w:rPr>
    </w:lvl>
    <w:lvl w:ilvl="8">
      <w:start w:val="1"/>
      <w:numFmt w:val="decimal"/>
      <w:lvlText w:val="%1.%2.%3.%4.%5.%6.%7.%8.%9."/>
      <w:lvlJc w:val="left"/>
      <w:pPr>
        <w:ind w:left="8192" w:hanging="2520"/>
      </w:pPr>
      <w:rPr>
        <w:rFonts w:hint="default"/>
      </w:rPr>
    </w:lvl>
  </w:abstractNum>
  <w:abstractNum w:abstractNumId="247">
    <w:nsid w:val="5F1D2C48"/>
    <w:multiLevelType w:val="multilevel"/>
    <w:tmpl w:val="1CB80C76"/>
    <w:lvl w:ilvl="0">
      <w:start w:val="1"/>
      <w:numFmt w:val="decimal"/>
      <w:lvlText w:val="%1."/>
      <w:lvlJc w:val="left"/>
      <w:pPr>
        <w:ind w:left="360" w:hanging="360"/>
      </w:pPr>
      <w:rPr>
        <w:rFonts w:hint="default"/>
        <w:b/>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8">
    <w:nsid w:val="5F825212"/>
    <w:multiLevelType w:val="multilevel"/>
    <w:tmpl w:val="1B10BEB6"/>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9">
    <w:nsid w:val="5F95186C"/>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0">
    <w:nsid w:val="5FC257C6"/>
    <w:multiLevelType w:val="hybridMultilevel"/>
    <w:tmpl w:val="FFF4E1AA"/>
    <w:lvl w:ilvl="0" w:tplc="D7428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600A2ADB"/>
    <w:multiLevelType w:val="hybridMultilevel"/>
    <w:tmpl w:val="BF70D902"/>
    <w:lvl w:ilvl="0" w:tplc="A77E3CE2">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52">
    <w:nsid w:val="60363006"/>
    <w:multiLevelType w:val="hybridMultilevel"/>
    <w:tmpl w:val="0D1EAE6E"/>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3">
    <w:nsid w:val="60573F8C"/>
    <w:multiLevelType w:val="multilevel"/>
    <w:tmpl w:val="39B6822A"/>
    <w:lvl w:ilvl="0">
      <w:start w:val="1"/>
      <w:numFmt w:val="decimal"/>
      <w:lvlText w:val="%1."/>
      <w:lvlJc w:val="left"/>
      <w:pPr>
        <w:ind w:left="360" w:hanging="360"/>
      </w:pPr>
      <w:rPr>
        <w:rFonts w:hint="default"/>
        <w:b/>
        <w:i w:val="0"/>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4">
    <w:nsid w:val="60BF3B42"/>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5">
    <w:nsid w:val="60F26293"/>
    <w:multiLevelType w:val="hybridMultilevel"/>
    <w:tmpl w:val="EA763474"/>
    <w:lvl w:ilvl="0" w:tplc="D7428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61DB6450"/>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7">
    <w:nsid w:val="62C32BD9"/>
    <w:multiLevelType w:val="multilevel"/>
    <w:tmpl w:val="936C3F54"/>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8">
    <w:nsid w:val="63131CFB"/>
    <w:multiLevelType w:val="hybridMultilevel"/>
    <w:tmpl w:val="2794D3D2"/>
    <w:lvl w:ilvl="0" w:tplc="EC2CF17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9">
    <w:nsid w:val="637F48D9"/>
    <w:multiLevelType w:val="hybridMultilevel"/>
    <w:tmpl w:val="0E9A9522"/>
    <w:lvl w:ilvl="0" w:tplc="E1925B6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0">
    <w:nsid w:val="639F21D6"/>
    <w:multiLevelType w:val="hybridMultilevel"/>
    <w:tmpl w:val="72E66F10"/>
    <w:lvl w:ilvl="0" w:tplc="A77E3CE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63CC5296"/>
    <w:multiLevelType w:val="hybridMultilevel"/>
    <w:tmpl w:val="2DD4874E"/>
    <w:lvl w:ilvl="0" w:tplc="D7428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64C77A58"/>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3">
    <w:nsid w:val="65890A96"/>
    <w:multiLevelType w:val="hybridMultilevel"/>
    <w:tmpl w:val="C0E22FC2"/>
    <w:lvl w:ilvl="0" w:tplc="A77E3CE2">
      <w:start w:val="1"/>
      <w:numFmt w:val="bullet"/>
      <w:lvlText w:val=""/>
      <w:lvlJc w:val="left"/>
      <w:pPr>
        <w:ind w:left="1289" w:hanging="360"/>
      </w:pPr>
      <w:rPr>
        <w:rFonts w:ascii="Symbol" w:hAnsi="Symbol" w:hint="default"/>
      </w:rPr>
    </w:lvl>
    <w:lvl w:ilvl="1" w:tplc="04190003" w:tentative="1">
      <w:start w:val="1"/>
      <w:numFmt w:val="bullet"/>
      <w:lvlText w:val="o"/>
      <w:lvlJc w:val="left"/>
      <w:pPr>
        <w:ind w:left="2009" w:hanging="360"/>
      </w:pPr>
      <w:rPr>
        <w:rFonts w:ascii="Courier New" w:hAnsi="Courier New" w:cs="Courier New" w:hint="default"/>
      </w:rPr>
    </w:lvl>
    <w:lvl w:ilvl="2" w:tplc="04190005" w:tentative="1">
      <w:start w:val="1"/>
      <w:numFmt w:val="bullet"/>
      <w:lvlText w:val=""/>
      <w:lvlJc w:val="left"/>
      <w:pPr>
        <w:ind w:left="2729" w:hanging="360"/>
      </w:pPr>
      <w:rPr>
        <w:rFonts w:ascii="Wingdings" w:hAnsi="Wingdings" w:hint="default"/>
      </w:rPr>
    </w:lvl>
    <w:lvl w:ilvl="3" w:tplc="04190001" w:tentative="1">
      <w:start w:val="1"/>
      <w:numFmt w:val="bullet"/>
      <w:lvlText w:val=""/>
      <w:lvlJc w:val="left"/>
      <w:pPr>
        <w:ind w:left="3449" w:hanging="360"/>
      </w:pPr>
      <w:rPr>
        <w:rFonts w:ascii="Symbol" w:hAnsi="Symbol" w:hint="default"/>
      </w:rPr>
    </w:lvl>
    <w:lvl w:ilvl="4" w:tplc="04190003" w:tentative="1">
      <w:start w:val="1"/>
      <w:numFmt w:val="bullet"/>
      <w:lvlText w:val="o"/>
      <w:lvlJc w:val="left"/>
      <w:pPr>
        <w:ind w:left="4169" w:hanging="360"/>
      </w:pPr>
      <w:rPr>
        <w:rFonts w:ascii="Courier New" w:hAnsi="Courier New" w:cs="Courier New" w:hint="default"/>
      </w:rPr>
    </w:lvl>
    <w:lvl w:ilvl="5" w:tplc="04190005" w:tentative="1">
      <w:start w:val="1"/>
      <w:numFmt w:val="bullet"/>
      <w:lvlText w:val=""/>
      <w:lvlJc w:val="left"/>
      <w:pPr>
        <w:ind w:left="4889" w:hanging="360"/>
      </w:pPr>
      <w:rPr>
        <w:rFonts w:ascii="Wingdings" w:hAnsi="Wingdings" w:hint="default"/>
      </w:rPr>
    </w:lvl>
    <w:lvl w:ilvl="6" w:tplc="04190001" w:tentative="1">
      <w:start w:val="1"/>
      <w:numFmt w:val="bullet"/>
      <w:lvlText w:val=""/>
      <w:lvlJc w:val="left"/>
      <w:pPr>
        <w:ind w:left="5609" w:hanging="360"/>
      </w:pPr>
      <w:rPr>
        <w:rFonts w:ascii="Symbol" w:hAnsi="Symbol" w:hint="default"/>
      </w:rPr>
    </w:lvl>
    <w:lvl w:ilvl="7" w:tplc="04190003" w:tentative="1">
      <w:start w:val="1"/>
      <w:numFmt w:val="bullet"/>
      <w:lvlText w:val="o"/>
      <w:lvlJc w:val="left"/>
      <w:pPr>
        <w:ind w:left="6329" w:hanging="360"/>
      </w:pPr>
      <w:rPr>
        <w:rFonts w:ascii="Courier New" w:hAnsi="Courier New" w:cs="Courier New" w:hint="default"/>
      </w:rPr>
    </w:lvl>
    <w:lvl w:ilvl="8" w:tplc="04190005" w:tentative="1">
      <w:start w:val="1"/>
      <w:numFmt w:val="bullet"/>
      <w:lvlText w:val=""/>
      <w:lvlJc w:val="left"/>
      <w:pPr>
        <w:ind w:left="7049" w:hanging="360"/>
      </w:pPr>
      <w:rPr>
        <w:rFonts w:ascii="Wingdings" w:hAnsi="Wingdings" w:hint="default"/>
      </w:rPr>
    </w:lvl>
  </w:abstractNum>
  <w:abstractNum w:abstractNumId="264">
    <w:nsid w:val="65BB75C6"/>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5">
    <w:nsid w:val="6673177E"/>
    <w:multiLevelType w:val="multilevel"/>
    <w:tmpl w:val="5364BCC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6">
    <w:nsid w:val="672E2A1E"/>
    <w:multiLevelType w:val="hybridMultilevel"/>
    <w:tmpl w:val="941ED4C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nsid w:val="675E43EB"/>
    <w:multiLevelType w:val="hybridMultilevel"/>
    <w:tmpl w:val="AD809FA6"/>
    <w:lvl w:ilvl="0" w:tplc="D7428274">
      <w:start w:val="1"/>
      <w:numFmt w:val="bullet"/>
      <w:lvlText w:val=""/>
      <w:lvlJc w:val="left"/>
      <w:pPr>
        <w:ind w:left="928" w:hanging="360"/>
      </w:pPr>
      <w:rPr>
        <w:rFonts w:ascii="Symbol" w:hAnsi="Symbol" w:hint="default"/>
      </w:rPr>
    </w:lvl>
    <w:lvl w:ilvl="1" w:tplc="C61230AC" w:tentative="1">
      <w:start w:val="1"/>
      <w:numFmt w:val="bullet"/>
      <w:lvlText w:val="o"/>
      <w:lvlJc w:val="left"/>
      <w:pPr>
        <w:ind w:left="1648" w:hanging="360"/>
      </w:pPr>
      <w:rPr>
        <w:rFonts w:ascii="Courier New" w:hAnsi="Courier New" w:cs="Courier New" w:hint="default"/>
      </w:rPr>
    </w:lvl>
    <w:lvl w:ilvl="2" w:tplc="9D067428" w:tentative="1">
      <w:start w:val="1"/>
      <w:numFmt w:val="bullet"/>
      <w:lvlText w:val=""/>
      <w:lvlJc w:val="left"/>
      <w:pPr>
        <w:ind w:left="2368" w:hanging="360"/>
      </w:pPr>
      <w:rPr>
        <w:rFonts w:ascii="Wingdings" w:hAnsi="Wingdings" w:hint="default"/>
      </w:rPr>
    </w:lvl>
    <w:lvl w:ilvl="3" w:tplc="8BD6351A" w:tentative="1">
      <w:start w:val="1"/>
      <w:numFmt w:val="bullet"/>
      <w:lvlText w:val=""/>
      <w:lvlJc w:val="left"/>
      <w:pPr>
        <w:ind w:left="3088" w:hanging="360"/>
      </w:pPr>
      <w:rPr>
        <w:rFonts w:ascii="Symbol" w:hAnsi="Symbol" w:hint="default"/>
      </w:rPr>
    </w:lvl>
    <w:lvl w:ilvl="4" w:tplc="92F40D80" w:tentative="1">
      <w:start w:val="1"/>
      <w:numFmt w:val="bullet"/>
      <w:lvlText w:val="o"/>
      <w:lvlJc w:val="left"/>
      <w:pPr>
        <w:ind w:left="3808" w:hanging="360"/>
      </w:pPr>
      <w:rPr>
        <w:rFonts w:ascii="Courier New" w:hAnsi="Courier New" w:cs="Courier New" w:hint="default"/>
      </w:rPr>
    </w:lvl>
    <w:lvl w:ilvl="5" w:tplc="63C4E036" w:tentative="1">
      <w:start w:val="1"/>
      <w:numFmt w:val="bullet"/>
      <w:lvlText w:val=""/>
      <w:lvlJc w:val="left"/>
      <w:pPr>
        <w:ind w:left="4528" w:hanging="360"/>
      </w:pPr>
      <w:rPr>
        <w:rFonts w:ascii="Wingdings" w:hAnsi="Wingdings" w:hint="default"/>
      </w:rPr>
    </w:lvl>
    <w:lvl w:ilvl="6" w:tplc="38ACAE84" w:tentative="1">
      <w:start w:val="1"/>
      <w:numFmt w:val="bullet"/>
      <w:lvlText w:val=""/>
      <w:lvlJc w:val="left"/>
      <w:pPr>
        <w:ind w:left="5248" w:hanging="360"/>
      </w:pPr>
      <w:rPr>
        <w:rFonts w:ascii="Symbol" w:hAnsi="Symbol" w:hint="default"/>
      </w:rPr>
    </w:lvl>
    <w:lvl w:ilvl="7" w:tplc="83A27EA0" w:tentative="1">
      <w:start w:val="1"/>
      <w:numFmt w:val="bullet"/>
      <w:lvlText w:val="o"/>
      <w:lvlJc w:val="left"/>
      <w:pPr>
        <w:ind w:left="5968" w:hanging="360"/>
      </w:pPr>
      <w:rPr>
        <w:rFonts w:ascii="Courier New" w:hAnsi="Courier New" w:cs="Courier New" w:hint="default"/>
      </w:rPr>
    </w:lvl>
    <w:lvl w:ilvl="8" w:tplc="5DC8349C" w:tentative="1">
      <w:start w:val="1"/>
      <w:numFmt w:val="bullet"/>
      <w:lvlText w:val=""/>
      <w:lvlJc w:val="left"/>
      <w:pPr>
        <w:ind w:left="6688" w:hanging="360"/>
      </w:pPr>
      <w:rPr>
        <w:rFonts w:ascii="Wingdings" w:hAnsi="Wingdings" w:hint="default"/>
      </w:rPr>
    </w:lvl>
  </w:abstractNum>
  <w:abstractNum w:abstractNumId="268">
    <w:nsid w:val="677844E6"/>
    <w:multiLevelType w:val="multilevel"/>
    <w:tmpl w:val="CA6ADFF4"/>
    <w:lvl w:ilvl="0">
      <w:start w:val="1"/>
      <w:numFmt w:val="decimal"/>
      <w:lvlText w:val="%1."/>
      <w:lvlJc w:val="left"/>
      <w:pPr>
        <w:ind w:left="360" w:hanging="360"/>
      </w:pPr>
      <w:rPr>
        <w:rFonts w:ascii="Times New Roman" w:hAnsi="Times New Roman" w:cs="Times New Roman" w:hint="default"/>
        <w:sz w:val="26"/>
        <w:szCs w:val="26"/>
      </w:rPr>
    </w:lvl>
    <w:lvl w:ilvl="1">
      <w:start w:val="1"/>
      <w:numFmt w:val="decimal"/>
      <w:lvlText w:val="%1.%2."/>
      <w:lvlJc w:val="left"/>
      <w:pPr>
        <w:ind w:left="1429" w:hanging="720"/>
      </w:pPr>
      <w:rPr>
        <w:rFonts w:ascii="Times New Roman" w:hAnsi="Times New Roman" w:cs="Times New Roman" w:hint="default"/>
        <w:b/>
        <w:sz w:val="26"/>
        <w:szCs w:val="26"/>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69">
    <w:nsid w:val="67F91BF0"/>
    <w:multiLevelType w:val="hybridMultilevel"/>
    <w:tmpl w:val="DD7A44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nsid w:val="68240635"/>
    <w:multiLevelType w:val="hybridMultilevel"/>
    <w:tmpl w:val="C3CE4720"/>
    <w:lvl w:ilvl="0" w:tplc="D7428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685A1137"/>
    <w:multiLevelType w:val="hybridMultilevel"/>
    <w:tmpl w:val="1846806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nsid w:val="685E3304"/>
    <w:multiLevelType w:val="hybridMultilevel"/>
    <w:tmpl w:val="AF0C0A1C"/>
    <w:lvl w:ilvl="0" w:tplc="CCE4DA22">
      <w:start w:val="1"/>
      <w:numFmt w:val="decimal"/>
      <w:lvlText w:val="%1."/>
      <w:lvlJc w:val="left"/>
      <w:pPr>
        <w:ind w:left="840" w:hanging="8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69006F44"/>
    <w:multiLevelType w:val="hybridMultilevel"/>
    <w:tmpl w:val="C034260E"/>
    <w:lvl w:ilvl="0" w:tplc="D7428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69261961"/>
    <w:multiLevelType w:val="hybridMultilevel"/>
    <w:tmpl w:val="C2D85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69704A16"/>
    <w:multiLevelType w:val="multilevel"/>
    <w:tmpl w:val="A1720872"/>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6">
    <w:nsid w:val="69D306C4"/>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7">
    <w:nsid w:val="6A336E56"/>
    <w:multiLevelType w:val="hybridMultilevel"/>
    <w:tmpl w:val="41ACCD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6A522163"/>
    <w:multiLevelType w:val="hybridMultilevel"/>
    <w:tmpl w:val="9466A42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9">
    <w:nsid w:val="6B113EB0"/>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0">
    <w:nsid w:val="6B735CFE"/>
    <w:multiLevelType w:val="hybridMultilevel"/>
    <w:tmpl w:val="6BB6C76A"/>
    <w:lvl w:ilvl="0" w:tplc="D742827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1">
    <w:nsid w:val="6C9B575B"/>
    <w:multiLevelType w:val="multilevel"/>
    <w:tmpl w:val="DCB826D8"/>
    <w:lvl w:ilvl="0">
      <w:start w:val="1"/>
      <w:numFmt w:val="decimal"/>
      <w:lvlText w:val="%1."/>
      <w:lvlJc w:val="left"/>
      <w:pPr>
        <w:ind w:left="1200" w:hanging="120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2130" w:hanging="720"/>
      </w:pPr>
      <w:rPr>
        <w:rFonts w:hint="default"/>
      </w:rPr>
    </w:lvl>
    <w:lvl w:ilvl="3">
      <w:start w:val="1"/>
      <w:numFmt w:val="decimal"/>
      <w:isLgl/>
      <w:lvlText w:val="%1.%2.%3.%4."/>
      <w:lvlJc w:val="left"/>
      <w:pPr>
        <w:ind w:left="2835" w:hanging="720"/>
      </w:pPr>
      <w:rPr>
        <w:rFonts w:hint="default"/>
      </w:rPr>
    </w:lvl>
    <w:lvl w:ilvl="4">
      <w:start w:val="1"/>
      <w:numFmt w:val="decimal"/>
      <w:isLgl/>
      <w:lvlText w:val="%1.%2.%3.%4.%5."/>
      <w:lvlJc w:val="left"/>
      <w:pPr>
        <w:ind w:left="3900"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310" w:hanging="1080"/>
      </w:pPr>
      <w:rPr>
        <w:rFonts w:hint="default"/>
      </w:rPr>
    </w:lvl>
    <w:lvl w:ilvl="7">
      <w:start w:val="1"/>
      <w:numFmt w:val="decimal"/>
      <w:isLgl/>
      <w:lvlText w:val="%1.%2.%3.%4.%5.%6.%7.%8."/>
      <w:lvlJc w:val="left"/>
      <w:pPr>
        <w:ind w:left="6375" w:hanging="1440"/>
      </w:pPr>
      <w:rPr>
        <w:rFonts w:hint="default"/>
      </w:rPr>
    </w:lvl>
    <w:lvl w:ilvl="8">
      <w:start w:val="1"/>
      <w:numFmt w:val="decimal"/>
      <w:isLgl/>
      <w:lvlText w:val="%1.%2.%3.%4.%5.%6.%7.%8.%9."/>
      <w:lvlJc w:val="left"/>
      <w:pPr>
        <w:ind w:left="7080" w:hanging="1440"/>
      </w:pPr>
      <w:rPr>
        <w:rFonts w:hint="default"/>
      </w:rPr>
    </w:lvl>
  </w:abstractNum>
  <w:abstractNum w:abstractNumId="282">
    <w:nsid w:val="6CAA7225"/>
    <w:multiLevelType w:val="multilevel"/>
    <w:tmpl w:val="5364BCC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3">
    <w:nsid w:val="6D256177"/>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4">
    <w:nsid w:val="6D8F5FBC"/>
    <w:multiLevelType w:val="hybridMultilevel"/>
    <w:tmpl w:val="20C0C6DC"/>
    <w:lvl w:ilvl="0" w:tplc="553A1D44">
      <w:start w:val="1"/>
      <w:numFmt w:val="russianLower"/>
      <w:lvlText w:val="%1)"/>
      <w:lvlJc w:val="left"/>
      <w:pPr>
        <w:ind w:left="2421" w:hanging="360"/>
      </w:pPr>
      <w:rPr>
        <w:rFonts w:hint="default"/>
      </w:r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285">
    <w:nsid w:val="6DE65BF5"/>
    <w:multiLevelType w:val="hybridMultilevel"/>
    <w:tmpl w:val="1790778E"/>
    <w:lvl w:ilvl="0" w:tplc="A77E3CE2">
      <w:start w:val="1"/>
      <w:numFmt w:val="bullet"/>
      <w:lvlText w:val=""/>
      <w:lvlJc w:val="left"/>
      <w:pPr>
        <w:ind w:left="1287" w:hanging="360"/>
      </w:pPr>
      <w:rPr>
        <w:rFonts w:ascii="Symbol" w:hAnsi="Symbol" w:hint="default"/>
      </w:rPr>
    </w:lvl>
    <w:lvl w:ilvl="1" w:tplc="A77E3CE2">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6">
    <w:nsid w:val="6DF93A8B"/>
    <w:multiLevelType w:val="hybridMultilevel"/>
    <w:tmpl w:val="39806BBE"/>
    <w:lvl w:ilvl="0" w:tplc="A77E3C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6DFF3102"/>
    <w:multiLevelType w:val="multilevel"/>
    <w:tmpl w:val="A1720872"/>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8">
    <w:nsid w:val="6E157509"/>
    <w:multiLevelType w:val="multilevel"/>
    <w:tmpl w:val="1CB80C76"/>
    <w:lvl w:ilvl="0">
      <w:start w:val="1"/>
      <w:numFmt w:val="decimal"/>
      <w:lvlText w:val="%1."/>
      <w:lvlJc w:val="left"/>
      <w:pPr>
        <w:ind w:left="360" w:hanging="360"/>
      </w:pPr>
      <w:rPr>
        <w:rFonts w:hint="default"/>
        <w:b/>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9">
    <w:nsid w:val="6E336462"/>
    <w:multiLevelType w:val="hybridMultilevel"/>
    <w:tmpl w:val="C99884A2"/>
    <w:lvl w:ilvl="0" w:tplc="0419000F">
      <w:start w:val="1"/>
      <w:numFmt w:val="decimal"/>
      <w:lvlText w:val="%1."/>
      <w:lvlJc w:val="left"/>
      <w:pPr>
        <w:ind w:left="360" w:hanging="360"/>
      </w:pPr>
    </w:lvl>
    <w:lvl w:ilvl="1" w:tplc="E3EC5B5C">
      <w:start w:val="1"/>
      <w:numFmt w:val="decimal"/>
      <w:lvlText w:val="%2."/>
      <w:lvlJc w:val="left"/>
      <w:pPr>
        <w:ind w:left="1200" w:hanging="120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0">
    <w:nsid w:val="6E516034"/>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1">
    <w:nsid w:val="6EA44929"/>
    <w:multiLevelType w:val="multilevel"/>
    <w:tmpl w:val="C31EE54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2">
    <w:nsid w:val="6FC520A1"/>
    <w:multiLevelType w:val="hybridMultilevel"/>
    <w:tmpl w:val="D1E03A08"/>
    <w:lvl w:ilvl="0" w:tplc="A77E3C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704553AC"/>
    <w:multiLevelType w:val="hybridMultilevel"/>
    <w:tmpl w:val="727A1432"/>
    <w:lvl w:ilvl="0" w:tplc="D742827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4">
    <w:nsid w:val="7107611E"/>
    <w:multiLevelType w:val="multilevel"/>
    <w:tmpl w:val="BD6C8AE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5">
    <w:nsid w:val="71DC5CB0"/>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6">
    <w:nsid w:val="71E76EDB"/>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7">
    <w:nsid w:val="71F21EEB"/>
    <w:multiLevelType w:val="hybridMultilevel"/>
    <w:tmpl w:val="85440992"/>
    <w:lvl w:ilvl="0" w:tplc="D742827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8">
    <w:nsid w:val="722672C2"/>
    <w:multiLevelType w:val="hybridMultilevel"/>
    <w:tmpl w:val="8CC4D08C"/>
    <w:lvl w:ilvl="0" w:tplc="A77E3CE2">
      <w:start w:val="1"/>
      <w:numFmt w:val="bullet"/>
      <w:lvlText w:val=""/>
      <w:lvlJc w:val="left"/>
      <w:pPr>
        <w:ind w:left="1790" w:hanging="360"/>
      </w:pPr>
      <w:rPr>
        <w:rFonts w:ascii="Symbol" w:hAnsi="Symbol" w:hint="default"/>
      </w:rPr>
    </w:lvl>
    <w:lvl w:ilvl="1" w:tplc="04190003" w:tentative="1">
      <w:start w:val="1"/>
      <w:numFmt w:val="bullet"/>
      <w:lvlText w:val="o"/>
      <w:lvlJc w:val="left"/>
      <w:pPr>
        <w:ind w:left="2510" w:hanging="360"/>
      </w:pPr>
      <w:rPr>
        <w:rFonts w:ascii="Courier New" w:hAnsi="Courier New" w:cs="Courier New" w:hint="default"/>
      </w:rPr>
    </w:lvl>
    <w:lvl w:ilvl="2" w:tplc="04190005" w:tentative="1">
      <w:start w:val="1"/>
      <w:numFmt w:val="bullet"/>
      <w:lvlText w:val=""/>
      <w:lvlJc w:val="left"/>
      <w:pPr>
        <w:ind w:left="3230" w:hanging="360"/>
      </w:pPr>
      <w:rPr>
        <w:rFonts w:ascii="Wingdings" w:hAnsi="Wingdings" w:hint="default"/>
      </w:rPr>
    </w:lvl>
    <w:lvl w:ilvl="3" w:tplc="04190001" w:tentative="1">
      <w:start w:val="1"/>
      <w:numFmt w:val="bullet"/>
      <w:lvlText w:val=""/>
      <w:lvlJc w:val="left"/>
      <w:pPr>
        <w:ind w:left="3950" w:hanging="360"/>
      </w:pPr>
      <w:rPr>
        <w:rFonts w:ascii="Symbol" w:hAnsi="Symbol" w:hint="default"/>
      </w:rPr>
    </w:lvl>
    <w:lvl w:ilvl="4" w:tplc="04190003" w:tentative="1">
      <w:start w:val="1"/>
      <w:numFmt w:val="bullet"/>
      <w:lvlText w:val="o"/>
      <w:lvlJc w:val="left"/>
      <w:pPr>
        <w:ind w:left="4670" w:hanging="360"/>
      </w:pPr>
      <w:rPr>
        <w:rFonts w:ascii="Courier New" w:hAnsi="Courier New" w:cs="Courier New" w:hint="default"/>
      </w:rPr>
    </w:lvl>
    <w:lvl w:ilvl="5" w:tplc="04190005" w:tentative="1">
      <w:start w:val="1"/>
      <w:numFmt w:val="bullet"/>
      <w:lvlText w:val=""/>
      <w:lvlJc w:val="left"/>
      <w:pPr>
        <w:ind w:left="5390" w:hanging="360"/>
      </w:pPr>
      <w:rPr>
        <w:rFonts w:ascii="Wingdings" w:hAnsi="Wingdings" w:hint="default"/>
      </w:rPr>
    </w:lvl>
    <w:lvl w:ilvl="6" w:tplc="04190001" w:tentative="1">
      <w:start w:val="1"/>
      <w:numFmt w:val="bullet"/>
      <w:lvlText w:val=""/>
      <w:lvlJc w:val="left"/>
      <w:pPr>
        <w:ind w:left="6110" w:hanging="360"/>
      </w:pPr>
      <w:rPr>
        <w:rFonts w:ascii="Symbol" w:hAnsi="Symbol" w:hint="default"/>
      </w:rPr>
    </w:lvl>
    <w:lvl w:ilvl="7" w:tplc="04190003" w:tentative="1">
      <w:start w:val="1"/>
      <w:numFmt w:val="bullet"/>
      <w:lvlText w:val="o"/>
      <w:lvlJc w:val="left"/>
      <w:pPr>
        <w:ind w:left="6830" w:hanging="360"/>
      </w:pPr>
      <w:rPr>
        <w:rFonts w:ascii="Courier New" w:hAnsi="Courier New" w:cs="Courier New" w:hint="default"/>
      </w:rPr>
    </w:lvl>
    <w:lvl w:ilvl="8" w:tplc="04190005" w:tentative="1">
      <w:start w:val="1"/>
      <w:numFmt w:val="bullet"/>
      <w:lvlText w:val=""/>
      <w:lvlJc w:val="left"/>
      <w:pPr>
        <w:ind w:left="7550" w:hanging="360"/>
      </w:pPr>
      <w:rPr>
        <w:rFonts w:ascii="Wingdings" w:hAnsi="Wingdings" w:hint="default"/>
      </w:rPr>
    </w:lvl>
  </w:abstractNum>
  <w:abstractNum w:abstractNumId="299">
    <w:nsid w:val="72574ECB"/>
    <w:multiLevelType w:val="hybridMultilevel"/>
    <w:tmpl w:val="F5CE6D82"/>
    <w:lvl w:ilvl="0" w:tplc="D742827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0">
    <w:nsid w:val="729B72C9"/>
    <w:multiLevelType w:val="hybridMultilevel"/>
    <w:tmpl w:val="B0DA2042"/>
    <w:lvl w:ilvl="0" w:tplc="A77E3C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1">
    <w:nsid w:val="73275FBA"/>
    <w:multiLevelType w:val="hybridMultilevel"/>
    <w:tmpl w:val="3D94BBF4"/>
    <w:lvl w:ilvl="0" w:tplc="D7428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736A036D"/>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3">
    <w:nsid w:val="73F426BA"/>
    <w:multiLevelType w:val="hybridMultilevel"/>
    <w:tmpl w:val="AF96790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4">
    <w:nsid w:val="740E0669"/>
    <w:multiLevelType w:val="hybridMultilevel"/>
    <w:tmpl w:val="2E62CE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nsid w:val="751E50AB"/>
    <w:multiLevelType w:val="multilevel"/>
    <w:tmpl w:val="82127C52"/>
    <w:lvl w:ilvl="0">
      <w:start w:val="1"/>
      <w:numFmt w:val="decimal"/>
      <w:lvlText w:val="%1."/>
      <w:lvlJc w:val="left"/>
      <w:pPr>
        <w:ind w:left="840" w:hanging="84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6">
    <w:nsid w:val="75700D73"/>
    <w:multiLevelType w:val="multilevel"/>
    <w:tmpl w:val="82127C52"/>
    <w:lvl w:ilvl="0">
      <w:start w:val="1"/>
      <w:numFmt w:val="decimal"/>
      <w:lvlText w:val="%1."/>
      <w:lvlJc w:val="left"/>
      <w:pPr>
        <w:ind w:left="840" w:hanging="84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7">
    <w:nsid w:val="75702CE3"/>
    <w:multiLevelType w:val="hybridMultilevel"/>
    <w:tmpl w:val="6CDCA7B8"/>
    <w:lvl w:ilvl="0" w:tplc="179C3C6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08">
    <w:nsid w:val="75EC3FC3"/>
    <w:multiLevelType w:val="hybridMultilevel"/>
    <w:tmpl w:val="81AC2A4C"/>
    <w:lvl w:ilvl="0" w:tplc="0419000F">
      <w:start w:val="1"/>
      <w:numFmt w:val="decimal"/>
      <w:lvlText w:val="%1."/>
      <w:lvlJc w:val="left"/>
      <w:pPr>
        <w:ind w:left="1287" w:hanging="360"/>
      </w:pPr>
    </w:lvl>
    <w:lvl w:ilvl="1" w:tplc="EC54FA42">
      <w:numFmt w:val="bullet"/>
      <w:lvlText w:val="•"/>
      <w:lvlJc w:val="left"/>
      <w:pPr>
        <w:ind w:left="2007" w:hanging="360"/>
      </w:pPr>
      <w:rPr>
        <w:rFonts w:ascii="Times New Roman" w:eastAsiaTheme="minorEastAsia" w:hAnsi="Times New Roman"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9">
    <w:nsid w:val="75F63085"/>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0">
    <w:nsid w:val="76183CAD"/>
    <w:multiLevelType w:val="hybridMultilevel"/>
    <w:tmpl w:val="E376E70E"/>
    <w:lvl w:ilvl="0" w:tplc="D742827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1">
    <w:nsid w:val="761B3F54"/>
    <w:multiLevelType w:val="multilevel"/>
    <w:tmpl w:val="16D4424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2">
    <w:nsid w:val="76420330"/>
    <w:multiLevelType w:val="multilevel"/>
    <w:tmpl w:val="16368D1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3">
    <w:nsid w:val="768D5AB0"/>
    <w:multiLevelType w:val="multilevel"/>
    <w:tmpl w:val="16D4424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4">
    <w:nsid w:val="76AB513E"/>
    <w:multiLevelType w:val="hybridMultilevel"/>
    <w:tmpl w:val="EF8C6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nsid w:val="772B7796"/>
    <w:multiLevelType w:val="hybridMultilevel"/>
    <w:tmpl w:val="CF66295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6">
    <w:nsid w:val="7747279D"/>
    <w:multiLevelType w:val="hybridMultilevel"/>
    <w:tmpl w:val="E8BAB2BC"/>
    <w:lvl w:ilvl="0" w:tplc="D7428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77677A52"/>
    <w:multiLevelType w:val="hybridMultilevel"/>
    <w:tmpl w:val="7BA600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8">
    <w:nsid w:val="77833BDC"/>
    <w:multiLevelType w:val="hybridMultilevel"/>
    <w:tmpl w:val="4EAEE454"/>
    <w:lvl w:ilvl="0" w:tplc="D742827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9">
    <w:nsid w:val="77DC156E"/>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0">
    <w:nsid w:val="7820362D"/>
    <w:multiLevelType w:val="hybridMultilevel"/>
    <w:tmpl w:val="1F1029D0"/>
    <w:lvl w:ilvl="0" w:tplc="63621DE2">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1">
    <w:nsid w:val="785C3B02"/>
    <w:multiLevelType w:val="multilevel"/>
    <w:tmpl w:val="0E5C1D48"/>
    <w:lvl w:ilvl="0">
      <w:start w:val="1"/>
      <w:numFmt w:val="bullet"/>
      <w:lvlText w:val=""/>
      <w:lvlJc w:val="left"/>
      <w:pPr>
        <w:ind w:left="360" w:hanging="360"/>
      </w:pPr>
      <w:rPr>
        <w:rFonts w:ascii="Symbol" w:hAnsi="Symbol"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2">
    <w:nsid w:val="78732938"/>
    <w:multiLevelType w:val="hybridMultilevel"/>
    <w:tmpl w:val="C79C25CC"/>
    <w:lvl w:ilvl="0" w:tplc="D79275A6">
      <w:start w:val="1"/>
      <w:numFmt w:val="bullet"/>
      <w:pStyle w:val="1-"/>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nsid w:val="78D13F55"/>
    <w:multiLevelType w:val="hybridMultilevel"/>
    <w:tmpl w:val="E83E5A12"/>
    <w:lvl w:ilvl="0" w:tplc="D742827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4">
    <w:nsid w:val="7910201A"/>
    <w:multiLevelType w:val="hybridMultilevel"/>
    <w:tmpl w:val="685024B0"/>
    <w:lvl w:ilvl="0" w:tplc="D7428274">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325">
    <w:nsid w:val="7A282A01"/>
    <w:multiLevelType w:val="hybridMultilevel"/>
    <w:tmpl w:val="6096C56E"/>
    <w:lvl w:ilvl="0" w:tplc="A77E3CE2">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326">
    <w:nsid w:val="7A5F53CE"/>
    <w:multiLevelType w:val="multilevel"/>
    <w:tmpl w:val="7F52E230"/>
    <w:lvl w:ilvl="0">
      <w:start w:val="1"/>
      <w:numFmt w:val="decimal"/>
      <w:lvlText w:val="%1."/>
      <w:lvlJc w:val="left"/>
      <w:pPr>
        <w:ind w:left="360" w:hanging="360"/>
      </w:pPr>
      <w:rPr>
        <w:rFonts w:hint="default"/>
        <w:b w:val="0"/>
        <w:sz w:val="20"/>
        <w:szCs w:val="20"/>
      </w:rPr>
    </w:lvl>
    <w:lvl w:ilvl="1">
      <w:start w:val="1"/>
      <w:numFmt w:val="decimal"/>
      <w:isLgl/>
      <w:lvlText w:val="%1.%2."/>
      <w:lvlJc w:val="left"/>
      <w:pPr>
        <w:ind w:left="579" w:hanging="720"/>
      </w:pPr>
      <w:rPr>
        <w:rFonts w:ascii="Times New Roman" w:hAnsi="Times New Roman" w:cs="Times New Roman" w:hint="default"/>
        <w:sz w:val="20"/>
        <w:szCs w:val="20"/>
      </w:rPr>
    </w:lvl>
    <w:lvl w:ilvl="2">
      <w:start w:val="1"/>
      <w:numFmt w:val="decimal"/>
      <w:isLgl/>
      <w:lvlText w:val="%1.%2.%3."/>
      <w:lvlJc w:val="left"/>
      <w:pPr>
        <w:ind w:left="1004" w:hanging="720"/>
      </w:pPr>
      <w:rPr>
        <w:rFonts w:ascii="Times New Roman" w:hAnsi="Times New Roman" w:cs="Times New Roman" w:hint="default"/>
        <w:b/>
        <w:sz w:val="26"/>
        <w:szCs w:val="26"/>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27">
    <w:nsid w:val="7AB9606B"/>
    <w:multiLevelType w:val="multilevel"/>
    <w:tmpl w:val="7F52E230"/>
    <w:lvl w:ilvl="0">
      <w:start w:val="1"/>
      <w:numFmt w:val="decimal"/>
      <w:lvlText w:val="%1."/>
      <w:lvlJc w:val="left"/>
      <w:pPr>
        <w:ind w:left="360" w:hanging="360"/>
      </w:pPr>
      <w:rPr>
        <w:rFonts w:hint="default"/>
        <w:b w:val="0"/>
        <w:sz w:val="20"/>
        <w:szCs w:val="20"/>
      </w:rPr>
    </w:lvl>
    <w:lvl w:ilvl="1">
      <w:start w:val="1"/>
      <w:numFmt w:val="decimal"/>
      <w:isLgl/>
      <w:lvlText w:val="%1.%2."/>
      <w:lvlJc w:val="left"/>
      <w:pPr>
        <w:ind w:left="579" w:hanging="720"/>
      </w:pPr>
      <w:rPr>
        <w:rFonts w:ascii="Times New Roman" w:hAnsi="Times New Roman" w:cs="Times New Roman" w:hint="default"/>
        <w:sz w:val="20"/>
        <w:szCs w:val="20"/>
      </w:rPr>
    </w:lvl>
    <w:lvl w:ilvl="2">
      <w:start w:val="1"/>
      <w:numFmt w:val="decimal"/>
      <w:isLgl/>
      <w:lvlText w:val="%1.%2.%3."/>
      <w:lvlJc w:val="left"/>
      <w:pPr>
        <w:ind w:left="1004" w:hanging="720"/>
      </w:pPr>
      <w:rPr>
        <w:rFonts w:ascii="Times New Roman" w:hAnsi="Times New Roman" w:cs="Times New Roman" w:hint="default"/>
        <w:b/>
        <w:sz w:val="26"/>
        <w:szCs w:val="26"/>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28">
    <w:nsid w:val="7B1704CF"/>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9">
    <w:nsid w:val="7BE00397"/>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0">
    <w:nsid w:val="7CFE674D"/>
    <w:multiLevelType w:val="multilevel"/>
    <w:tmpl w:val="16D4424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1">
    <w:nsid w:val="7D1C73AB"/>
    <w:multiLevelType w:val="hybridMultilevel"/>
    <w:tmpl w:val="7FF8B708"/>
    <w:lvl w:ilvl="0" w:tplc="D742827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2">
    <w:nsid w:val="7D416815"/>
    <w:multiLevelType w:val="multilevel"/>
    <w:tmpl w:val="59A6A0E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3">
    <w:nsid w:val="7D587C39"/>
    <w:multiLevelType w:val="hybridMultilevel"/>
    <w:tmpl w:val="33E8B2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nsid w:val="7D7717E3"/>
    <w:multiLevelType w:val="multilevel"/>
    <w:tmpl w:val="DB7A94A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35">
    <w:nsid w:val="7DEC296D"/>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6">
    <w:nsid w:val="7E83345B"/>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7">
    <w:nsid w:val="7E943E7C"/>
    <w:multiLevelType w:val="multilevel"/>
    <w:tmpl w:val="10DC4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8">
    <w:nsid w:val="7EB7115B"/>
    <w:multiLevelType w:val="multilevel"/>
    <w:tmpl w:val="B462A51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9">
    <w:nsid w:val="7F077AC9"/>
    <w:multiLevelType w:val="multilevel"/>
    <w:tmpl w:val="16D4424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0">
    <w:nsid w:val="7F3435BC"/>
    <w:multiLevelType w:val="multilevel"/>
    <w:tmpl w:val="EB7A3BFA"/>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341">
    <w:nsid w:val="7F9551BB"/>
    <w:multiLevelType w:val="multilevel"/>
    <w:tmpl w:val="D65407FA"/>
    <w:lvl w:ilvl="0">
      <w:start w:val="1"/>
      <w:numFmt w:val="decimal"/>
      <w:lvlText w:val="%1."/>
      <w:lvlJc w:val="left"/>
      <w:pPr>
        <w:ind w:left="36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327"/>
  </w:num>
  <w:num w:numId="2">
    <w:abstractNumId w:val="4"/>
  </w:num>
  <w:num w:numId="3">
    <w:abstractNumId w:val="25"/>
  </w:num>
  <w:num w:numId="4">
    <w:abstractNumId w:val="174"/>
  </w:num>
  <w:num w:numId="5">
    <w:abstractNumId w:val="196"/>
  </w:num>
  <w:num w:numId="6">
    <w:abstractNumId w:val="100"/>
  </w:num>
  <w:num w:numId="7">
    <w:abstractNumId w:val="198"/>
  </w:num>
  <w:num w:numId="8">
    <w:abstractNumId w:val="236"/>
  </w:num>
  <w:num w:numId="9">
    <w:abstractNumId w:val="54"/>
  </w:num>
  <w:num w:numId="10">
    <w:abstractNumId w:val="254"/>
  </w:num>
  <w:num w:numId="11">
    <w:abstractNumId w:val="178"/>
  </w:num>
  <w:num w:numId="12">
    <w:abstractNumId w:val="176"/>
  </w:num>
  <w:num w:numId="13">
    <w:abstractNumId w:val="212"/>
  </w:num>
  <w:num w:numId="14">
    <w:abstractNumId w:val="27"/>
  </w:num>
  <w:num w:numId="15">
    <w:abstractNumId w:val="66"/>
  </w:num>
  <w:num w:numId="16">
    <w:abstractNumId w:val="249"/>
  </w:num>
  <w:num w:numId="17">
    <w:abstractNumId w:val="92"/>
  </w:num>
  <w:num w:numId="18">
    <w:abstractNumId w:val="302"/>
  </w:num>
  <w:num w:numId="19">
    <w:abstractNumId w:val="155"/>
  </w:num>
  <w:num w:numId="20">
    <w:abstractNumId w:val="263"/>
  </w:num>
  <w:num w:numId="21">
    <w:abstractNumId w:val="37"/>
  </w:num>
  <w:num w:numId="22">
    <w:abstractNumId w:val="74"/>
  </w:num>
  <w:num w:numId="23">
    <w:abstractNumId w:val="164"/>
  </w:num>
  <w:num w:numId="24">
    <w:abstractNumId w:val="304"/>
  </w:num>
  <w:num w:numId="25">
    <w:abstractNumId w:val="132"/>
  </w:num>
  <w:num w:numId="26">
    <w:abstractNumId w:val="113"/>
  </w:num>
  <w:num w:numId="27">
    <w:abstractNumId w:val="199"/>
  </w:num>
  <w:num w:numId="28">
    <w:abstractNumId w:val="99"/>
  </w:num>
  <w:num w:numId="29">
    <w:abstractNumId w:val="53"/>
  </w:num>
  <w:num w:numId="30">
    <w:abstractNumId w:val="221"/>
  </w:num>
  <w:num w:numId="31">
    <w:abstractNumId w:val="251"/>
  </w:num>
  <w:num w:numId="32">
    <w:abstractNumId w:val="180"/>
  </w:num>
  <w:num w:numId="33">
    <w:abstractNumId w:val="16"/>
  </w:num>
  <w:num w:numId="34">
    <w:abstractNumId w:val="167"/>
  </w:num>
  <w:num w:numId="35">
    <w:abstractNumId w:val="245"/>
  </w:num>
  <w:num w:numId="36">
    <w:abstractNumId w:val="21"/>
  </w:num>
  <w:num w:numId="37">
    <w:abstractNumId w:val="88"/>
  </w:num>
  <w:num w:numId="38">
    <w:abstractNumId w:val="112"/>
  </w:num>
  <w:num w:numId="39">
    <w:abstractNumId w:val="22"/>
  </w:num>
  <w:num w:numId="40">
    <w:abstractNumId w:val="7"/>
  </w:num>
  <w:num w:numId="41">
    <w:abstractNumId w:val="333"/>
  </w:num>
  <w:num w:numId="42">
    <w:abstractNumId w:val="50"/>
  </w:num>
  <w:num w:numId="43">
    <w:abstractNumId w:val="102"/>
  </w:num>
  <w:num w:numId="44">
    <w:abstractNumId w:val="325"/>
  </w:num>
  <w:num w:numId="45">
    <w:abstractNumId w:val="237"/>
  </w:num>
  <w:num w:numId="46">
    <w:abstractNumId w:val="124"/>
  </w:num>
  <w:num w:numId="47">
    <w:abstractNumId w:val="223"/>
  </w:num>
  <w:num w:numId="48">
    <w:abstractNumId w:val="225"/>
  </w:num>
  <w:num w:numId="49">
    <w:abstractNumId w:val="218"/>
  </w:num>
  <w:num w:numId="50">
    <w:abstractNumId w:val="321"/>
  </w:num>
  <w:num w:numId="51">
    <w:abstractNumId w:val="289"/>
  </w:num>
  <w:num w:numId="52">
    <w:abstractNumId w:val="280"/>
  </w:num>
  <w:num w:numId="53">
    <w:abstractNumId w:val="216"/>
  </w:num>
  <w:num w:numId="54">
    <w:abstractNumId w:val="125"/>
  </w:num>
  <w:num w:numId="55">
    <w:abstractNumId w:val="78"/>
  </w:num>
  <w:num w:numId="56">
    <w:abstractNumId w:val="17"/>
  </w:num>
  <w:num w:numId="57">
    <w:abstractNumId w:val="158"/>
  </w:num>
  <w:num w:numId="58">
    <w:abstractNumId w:val="15"/>
  </w:num>
  <w:num w:numId="59">
    <w:abstractNumId w:val="3"/>
  </w:num>
  <w:num w:numId="60">
    <w:abstractNumId w:val="171"/>
  </w:num>
  <w:num w:numId="61">
    <w:abstractNumId w:val="59"/>
  </w:num>
  <w:num w:numId="62">
    <w:abstractNumId w:val="77"/>
  </w:num>
  <w:num w:numId="63">
    <w:abstractNumId w:val="104"/>
  </w:num>
  <w:num w:numId="64">
    <w:abstractNumId w:val="291"/>
  </w:num>
  <w:num w:numId="65">
    <w:abstractNumId w:val="57"/>
  </w:num>
  <w:num w:numId="66">
    <w:abstractNumId w:val="282"/>
  </w:num>
  <w:num w:numId="67">
    <w:abstractNumId w:val="118"/>
  </w:num>
  <w:num w:numId="68">
    <w:abstractNumId w:val="52"/>
  </w:num>
  <w:num w:numId="69">
    <w:abstractNumId w:val="11"/>
  </w:num>
  <w:num w:numId="70">
    <w:abstractNumId w:val="94"/>
  </w:num>
  <w:num w:numId="71">
    <w:abstractNumId w:val="195"/>
  </w:num>
  <w:num w:numId="72">
    <w:abstractNumId w:val="312"/>
  </w:num>
  <w:num w:numId="73">
    <w:abstractNumId w:val="228"/>
  </w:num>
  <w:num w:numId="74">
    <w:abstractNumId w:val="51"/>
  </w:num>
  <w:num w:numId="75">
    <w:abstractNumId w:val="142"/>
  </w:num>
  <w:num w:numId="76">
    <w:abstractNumId w:val="310"/>
  </w:num>
  <w:num w:numId="77">
    <w:abstractNumId w:val="299"/>
  </w:num>
  <w:num w:numId="78">
    <w:abstractNumId w:val="157"/>
  </w:num>
  <w:num w:numId="79">
    <w:abstractNumId w:val="133"/>
  </w:num>
  <w:num w:numId="80">
    <w:abstractNumId w:val="215"/>
  </w:num>
  <w:num w:numId="81">
    <w:abstractNumId w:val="315"/>
  </w:num>
  <w:num w:numId="82">
    <w:abstractNumId w:val="166"/>
  </w:num>
  <w:num w:numId="83">
    <w:abstractNumId w:val="87"/>
  </w:num>
  <w:num w:numId="84">
    <w:abstractNumId w:val="275"/>
  </w:num>
  <w:num w:numId="85">
    <w:abstractNumId w:val="336"/>
  </w:num>
  <w:num w:numId="86">
    <w:abstractNumId w:val="35"/>
  </w:num>
  <w:num w:numId="87">
    <w:abstractNumId w:val="45"/>
  </w:num>
  <w:num w:numId="88">
    <w:abstractNumId w:val="36"/>
  </w:num>
  <w:num w:numId="89">
    <w:abstractNumId w:val="309"/>
  </w:num>
  <w:num w:numId="90">
    <w:abstractNumId w:val="67"/>
  </w:num>
  <w:num w:numId="91">
    <w:abstractNumId w:val="192"/>
  </w:num>
  <w:num w:numId="92">
    <w:abstractNumId w:val="123"/>
  </w:num>
  <w:num w:numId="93">
    <w:abstractNumId w:val="152"/>
  </w:num>
  <w:num w:numId="94">
    <w:abstractNumId w:val="322"/>
  </w:num>
  <w:num w:numId="95">
    <w:abstractNumId w:val="19"/>
  </w:num>
  <w:num w:numId="96">
    <w:abstractNumId w:val="262"/>
  </w:num>
  <w:num w:numId="97">
    <w:abstractNumId w:val="209"/>
  </w:num>
  <w:num w:numId="98">
    <w:abstractNumId w:val="320"/>
  </w:num>
  <w:num w:numId="99">
    <w:abstractNumId w:val="148"/>
  </w:num>
  <w:num w:numId="100">
    <w:abstractNumId w:val="288"/>
  </w:num>
  <w:num w:numId="101">
    <w:abstractNumId w:val="253"/>
  </w:num>
  <w:num w:numId="102">
    <w:abstractNumId w:val="296"/>
  </w:num>
  <w:num w:numId="103">
    <w:abstractNumId w:val="256"/>
  </w:num>
  <w:num w:numId="104">
    <w:abstractNumId w:val="311"/>
  </w:num>
  <w:num w:numId="105">
    <w:abstractNumId w:val="318"/>
  </w:num>
  <w:num w:numId="106">
    <w:abstractNumId w:val="339"/>
  </w:num>
  <w:num w:numId="107">
    <w:abstractNumId w:val="89"/>
  </w:num>
  <w:num w:numId="108">
    <w:abstractNumId w:val="65"/>
  </w:num>
  <w:num w:numId="109">
    <w:abstractNumId w:val="71"/>
  </w:num>
  <w:num w:numId="110">
    <w:abstractNumId w:val="49"/>
  </w:num>
  <w:num w:numId="111">
    <w:abstractNumId w:val="313"/>
  </w:num>
  <w:num w:numId="112">
    <w:abstractNumId w:val="90"/>
  </w:num>
  <w:num w:numId="113">
    <w:abstractNumId w:val="62"/>
  </w:num>
  <w:num w:numId="114">
    <w:abstractNumId w:val="34"/>
  </w:num>
  <w:num w:numId="115">
    <w:abstractNumId w:val="243"/>
  </w:num>
  <w:num w:numId="116">
    <w:abstractNumId w:val="168"/>
  </w:num>
  <w:num w:numId="117">
    <w:abstractNumId w:val="10"/>
  </w:num>
  <w:num w:numId="118">
    <w:abstractNumId w:val="281"/>
  </w:num>
  <w:num w:numId="119">
    <w:abstractNumId w:val="201"/>
  </w:num>
  <w:num w:numId="120">
    <w:abstractNumId w:val="40"/>
  </w:num>
  <w:num w:numId="121">
    <w:abstractNumId w:val="308"/>
  </w:num>
  <w:num w:numId="122">
    <w:abstractNumId w:val="278"/>
  </w:num>
  <w:num w:numId="123">
    <w:abstractNumId w:val="29"/>
  </w:num>
  <w:num w:numId="124">
    <w:abstractNumId w:val="224"/>
  </w:num>
  <w:num w:numId="125">
    <w:abstractNumId w:val="109"/>
  </w:num>
  <w:num w:numId="126">
    <w:abstractNumId w:val="105"/>
  </w:num>
  <w:num w:numId="127">
    <w:abstractNumId w:val="187"/>
  </w:num>
  <w:num w:numId="128">
    <w:abstractNumId w:val="279"/>
  </w:num>
  <w:num w:numId="129">
    <w:abstractNumId w:val="76"/>
  </w:num>
  <w:num w:numId="130">
    <w:abstractNumId w:val="317"/>
  </w:num>
  <w:num w:numId="131">
    <w:abstractNumId w:val="194"/>
  </w:num>
  <w:num w:numId="132">
    <w:abstractNumId w:val="169"/>
  </w:num>
  <w:num w:numId="133">
    <w:abstractNumId w:val="69"/>
  </w:num>
  <w:num w:numId="134">
    <w:abstractNumId w:val="193"/>
  </w:num>
  <w:num w:numId="135">
    <w:abstractNumId w:val="306"/>
  </w:num>
  <w:num w:numId="136">
    <w:abstractNumId w:val="95"/>
  </w:num>
  <w:num w:numId="137">
    <w:abstractNumId w:val="227"/>
  </w:num>
  <w:num w:numId="138">
    <w:abstractNumId w:val="146"/>
  </w:num>
  <w:num w:numId="139">
    <w:abstractNumId w:val="294"/>
  </w:num>
  <w:num w:numId="140">
    <w:abstractNumId w:val="292"/>
  </w:num>
  <w:num w:numId="141">
    <w:abstractNumId w:val="335"/>
  </w:num>
  <w:num w:numId="142">
    <w:abstractNumId w:val="154"/>
  </w:num>
  <w:num w:numId="143">
    <w:abstractNumId w:val="183"/>
  </w:num>
  <w:num w:numId="144">
    <w:abstractNumId w:val="305"/>
  </w:num>
  <w:num w:numId="145">
    <w:abstractNumId w:val="202"/>
  </w:num>
  <w:num w:numId="146">
    <w:abstractNumId w:val="18"/>
  </w:num>
  <w:num w:numId="147">
    <w:abstractNumId w:val="47"/>
  </w:num>
  <w:num w:numId="148">
    <w:abstractNumId w:val="182"/>
  </w:num>
  <w:num w:numId="149">
    <w:abstractNumId w:val="140"/>
  </w:num>
  <w:num w:numId="150">
    <w:abstractNumId w:val="181"/>
  </w:num>
  <w:num w:numId="151">
    <w:abstractNumId w:val="334"/>
  </w:num>
  <w:num w:numId="152">
    <w:abstractNumId w:val="20"/>
  </w:num>
  <w:num w:numId="153">
    <w:abstractNumId w:val="156"/>
  </w:num>
  <w:num w:numId="154">
    <w:abstractNumId w:val="205"/>
  </w:num>
  <w:num w:numId="155">
    <w:abstractNumId w:val="44"/>
  </w:num>
  <w:num w:numId="156">
    <w:abstractNumId w:val="24"/>
  </w:num>
  <w:num w:numId="157">
    <w:abstractNumId w:val="185"/>
  </w:num>
  <w:num w:numId="158">
    <w:abstractNumId w:val="55"/>
  </w:num>
  <w:num w:numId="159">
    <w:abstractNumId w:val="328"/>
  </w:num>
  <w:num w:numId="160">
    <w:abstractNumId w:val="276"/>
  </w:num>
  <w:num w:numId="161">
    <w:abstractNumId w:val="13"/>
  </w:num>
  <w:num w:numId="162">
    <w:abstractNumId w:val="12"/>
  </w:num>
  <w:num w:numId="163">
    <w:abstractNumId w:val="252"/>
  </w:num>
  <w:num w:numId="164">
    <w:abstractNumId w:val="127"/>
  </w:num>
  <w:num w:numId="165">
    <w:abstractNumId w:val="260"/>
  </w:num>
  <w:num w:numId="166">
    <w:abstractNumId w:val="214"/>
  </w:num>
  <w:num w:numId="167">
    <w:abstractNumId w:val="101"/>
  </w:num>
  <w:num w:numId="168">
    <w:abstractNumId w:val="114"/>
  </w:num>
  <w:num w:numId="169">
    <w:abstractNumId w:val="83"/>
  </w:num>
  <w:num w:numId="170">
    <w:abstractNumId w:val="161"/>
  </w:num>
  <w:num w:numId="171">
    <w:abstractNumId w:val="258"/>
  </w:num>
  <w:num w:numId="172">
    <w:abstractNumId w:val="39"/>
  </w:num>
  <w:num w:numId="173">
    <w:abstractNumId w:val="137"/>
  </w:num>
  <w:num w:numId="174">
    <w:abstractNumId w:val="72"/>
  </w:num>
  <w:num w:numId="175">
    <w:abstractNumId w:val="300"/>
  </w:num>
  <w:num w:numId="176">
    <w:abstractNumId w:val="163"/>
  </w:num>
  <w:num w:numId="177">
    <w:abstractNumId w:val="85"/>
  </w:num>
  <w:num w:numId="178">
    <w:abstractNumId w:val="131"/>
  </w:num>
  <w:num w:numId="179">
    <w:abstractNumId w:val="115"/>
  </w:num>
  <w:num w:numId="180">
    <w:abstractNumId w:val="189"/>
  </w:num>
  <w:num w:numId="181">
    <w:abstractNumId w:val="147"/>
  </w:num>
  <w:num w:numId="182">
    <w:abstractNumId w:val="298"/>
  </w:num>
  <w:num w:numId="183">
    <w:abstractNumId w:val="188"/>
  </w:num>
  <w:num w:numId="184">
    <w:abstractNumId w:val="121"/>
  </w:num>
  <w:num w:numId="185">
    <w:abstractNumId w:val="145"/>
  </w:num>
  <w:num w:numId="186">
    <w:abstractNumId w:val="208"/>
  </w:num>
  <w:num w:numId="187">
    <w:abstractNumId w:val="149"/>
  </w:num>
  <w:num w:numId="188">
    <w:abstractNumId w:val="81"/>
  </w:num>
  <w:num w:numId="189">
    <w:abstractNumId w:val="128"/>
  </w:num>
  <w:num w:numId="190">
    <w:abstractNumId w:val="197"/>
  </w:num>
  <w:num w:numId="191">
    <w:abstractNumId w:val="248"/>
  </w:num>
  <w:num w:numId="192">
    <w:abstractNumId w:val="285"/>
  </w:num>
  <w:num w:numId="193">
    <w:abstractNumId w:val="340"/>
  </w:num>
  <w:num w:numId="194">
    <w:abstractNumId w:val="232"/>
  </w:num>
  <w:num w:numId="195">
    <w:abstractNumId w:val="338"/>
  </w:num>
  <w:num w:numId="196">
    <w:abstractNumId w:val="286"/>
  </w:num>
  <w:num w:numId="197">
    <w:abstractNumId w:val="33"/>
  </w:num>
  <w:num w:numId="198">
    <w:abstractNumId w:val="330"/>
  </w:num>
  <w:num w:numId="199">
    <w:abstractNumId w:val="143"/>
  </w:num>
  <w:num w:numId="200">
    <w:abstractNumId w:val="230"/>
  </w:num>
  <w:num w:numId="201">
    <w:abstractNumId w:val="257"/>
  </w:num>
  <w:num w:numId="202">
    <w:abstractNumId w:val="170"/>
  </w:num>
  <w:num w:numId="203">
    <w:abstractNumId w:val="238"/>
  </w:num>
  <w:num w:numId="204">
    <w:abstractNumId w:val="93"/>
  </w:num>
  <w:num w:numId="205">
    <w:abstractNumId w:val="173"/>
  </w:num>
  <w:num w:numId="206">
    <w:abstractNumId w:val="293"/>
  </w:num>
  <w:num w:numId="207">
    <w:abstractNumId w:val="14"/>
  </w:num>
  <w:num w:numId="208">
    <w:abstractNumId w:val="323"/>
  </w:num>
  <w:num w:numId="209">
    <w:abstractNumId w:val="117"/>
  </w:num>
  <w:num w:numId="210">
    <w:abstractNumId w:val="144"/>
  </w:num>
  <w:num w:numId="211">
    <w:abstractNumId w:val="273"/>
  </w:num>
  <w:num w:numId="212">
    <w:abstractNumId w:val="186"/>
  </w:num>
  <w:num w:numId="213">
    <w:abstractNumId w:val="229"/>
  </w:num>
  <w:num w:numId="214">
    <w:abstractNumId w:val="307"/>
  </w:num>
  <w:num w:numId="215">
    <w:abstractNumId w:val="6"/>
  </w:num>
  <w:num w:numId="216">
    <w:abstractNumId w:val="190"/>
  </w:num>
  <w:num w:numId="217">
    <w:abstractNumId w:val="134"/>
  </w:num>
  <w:num w:numId="218">
    <w:abstractNumId w:val="177"/>
  </w:num>
  <w:num w:numId="219">
    <w:abstractNumId w:val="314"/>
  </w:num>
  <w:num w:numId="220">
    <w:abstractNumId w:val="43"/>
  </w:num>
  <w:num w:numId="221">
    <w:abstractNumId w:val="41"/>
  </w:num>
  <w:num w:numId="222">
    <w:abstractNumId w:val="38"/>
  </w:num>
  <w:num w:numId="223">
    <w:abstractNumId w:val="283"/>
  </w:num>
  <w:num w:numId="224">
    <w:abstractNumId w:val="244"/>
  </w:num>
  <w:num w:numId="225">
    <w:abstractNumId w:val="337"/>
  </w:num>
  <w:num w:numId="226">
    <w:abstractNumId w:val="84"/>
  </w:num>
  <w:num w:numId="227">
    <w:abstractNumId w:val="31"/>
  </w:num>
  <w:num w:numId="228">
    <w:abstractNumId w:val="191"/>
  </w:num>
  <w:num w:numId="229">
    <w:abstractNumId w:val="68"/>
  </w:num>
  <w:num w:numId="230">
    <w:abstractNumId w:val="331"/>
  </w:num>
  <w:num w:numId="231">
    <w:abstractNumId w:val="5"/>
  </w:num>
  <w:num w:numId="232">
    <w:abstractNumId w:val="272"/>
  </w:num>
  <w:num w:numId="233">
    <w:abstractNumId w:val="28"/>
  </w:num>
  <w:num w:numId="234">
    <w:abstractNumId w:val="297"/>
  </w:num>
  <w:num w:numId="235">
    <w:abstractNumId w:val="316"/>
  </w:num>
  <w:num w:numId="236">
    <w:abstractNumId w:val="119"/>
  </w:num>
  <w:num w:numId="237">
    <w:abstractNumId w:val="80"/>
  </w:num>
  <w:num w:numId="238">
    <w:abstractNumId w:val="153"/>
  </w:num>
  <w:num w:numId="239">
    <w:abstractNumId w:val="141"/>
  </w:num>
  <w:num w:numId="240">
    <w:abstractNumId w:val="250"/>
  </w:num>
  <w:num w:numId="241">
    <w:abstractNumId w:val="91"/>
  </w:num>
  <w:num w:numId="242">
    <w:abstractNumId w:val="341"/>
  </w:num>
  <w:num w:numId="243">
    <w:abstractNumId w:val="220"/>
  </w:num>
  <w:num w:numId="244">
    <w:abstractNumId w:val="329"/>
  </w:num>
  <w:num w:numId="245">
    <w:abstractNumId w:val="110"/>
  </w:num>
  <w:num w:numId="246">
    <w:abstractNumId w:val="97"/>
  </w:num>
  <w:num w:numId="247">
    <w:abstractNumId w:val="270"/>
  </w:num>
  <w:num w:numId="248">
    <w:abstractNumId w:val="231"/>
  </w:num>
  <w:num w:numId="249">
    <w:abstractNumId w:val="0"/>
  </w:num>
  <w:num w:numId="250">
    <w:abstractNumId w:val="79"/>
  </w:num>
  <w:num w:numId="251">
    <w:abstractNumId w:val="139"/>
  </w:num>
  <w:num w:numId="252">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56"/>
  </w:num>
  <w:num w:numId="254">
    <w:abstractNumId w:val="175"/>
  </w:num>
  <w:num w:numId="255">
    <w:abstractNumId w:val="213"/>
  </w:num>
  <w:num w:numId="256">
    <w:abstractNumId w:val="267"/>
  </w:num>
  <w:num w:numId="257">
    <w:abstractNumId w:val="138"/>
  </w:num>
  <w:num w:numId="258">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222"/>
  </w:num>
  <w:num w:numId="260">
    <w:abstractNumId w:val="255"/>
  </w:num>
  <w:num w:numId="261">
    <w:abstractNumId w:val="75"/>
  </w:num>
  <w:num w:numId="262">
    <w:abstractNumId w:val="301"/>
  </w:num>
  <w:num w:numId="263">
    <w:abstractNumId w:val="172"/>
  </w:num>
  <w:num w:numId="264">
    <w:abstractNumId w:val="204"/>
  </w:num>
  <w:num w:numId="265">
    <w:abstractNumId w:val="219"/>
  </w:num>
  <w:num w:numId="266">
    <w:abstractNumId w:val="70"/>
  </w:num>
  <w:num w:numId="267">
    <w:abstractNumId w:val="233"/>
  </w:num>
  <w:num w:numId="268">
    <w:abstractNumId w:val="60"/>
  </w:num>
  <w:num w:numId="269">
    <w:abstractNumId w:val="58"/>
  </w:num>
  <w:num w:numId="270">
    <w:abstractNumId w:val="324"/>
  </w:num>
  <w:num w:numId="271">
    <w:abstractNumId w:val="160"/>
  </w:num>
  <w:num w:numId="272">
    <w:abstractNumId w:val="46"/>
  </w:num>
  <w:num w:numId="273">
    <w:abstractNumId w:val="303"/>
  </w:num>
  <w:num w:numId="274">
    <w:abstractNumId w:val="26"/>
  </w:num>
  <w:num w:numId="275">
    <w:abstractNumId w:val="130"/>
  </w:num>
  <w:num w:numId="276">
    <w:abstractNumId w:val="129"/>
  </w:num>
  <w:num w:numId="277">
    <w:abstractNumId w:val="277"/>
  </w:num>
  <w:num w:numId="278">
    <w:abstractNumId w:val="42"/>
  </w:num>
  <w:num w:numId="279">
    <w:abstractNumId w:val="116"/>
  </w:num>
  <w:num w:numId="280">
    <w:abstractNumId w:val="242"/>
  </w:num>
  <w:num w:numId="281">
    <w:abstractNumId w:val="266"/>
  </w:num>
  <w:num w:numId="282">
    <w:abstractNumId w:val="319"/>
  </w:num>
  <w:num w:numId="283">
    <w:abstractNumId w:val="239"/>
  </w:num>
  <w:num w:numId="284">
    <w:abstractNumId w:val="247"/>
  </w:num>
  <w:num w:numId="285">
    <w:abstractNumId w:val="332"/>
  </w:num>
  <w:num w:numId="286">
    <w:abstractNumId w:val="120"/>
  </w:num>
  <w:num w:numId="287">
    <w:abstractNumId w:val="151"/>
  </w:num>
  <w:num w:numId="288">
    <w:abstractNumId w:val="96"/>
  </w:num>
  <w:num w:numId="289">
    <w:abstractNumId w:val="82"/>
  </w:num>
  <w:num w:numId="290">
    <w:abstractNumId w:val="64"/>
  </w:num>
  <w:num w:numId="291">
    <w:abstractNumId w:val="98"/>
  </w:num>
  <w:num w:numId="292">
    <w:abstractNumId w:val="179"/>
  </w:num>
  <w:num w:numId="293">
    <w:abstractNumId w:val="206"/>
  </w:num>
  <w:num w:numId="294">
    <w:abstractNumId w:val="30"/>
  </w:num>
  <w:num w:numId="295">
    <w:abstractNumId w:val="265"/>
  </w:num>
  <w:num w:numId="296">
    <w:abstractNumId w:val="217"/>
  </w:num>
  <w:num w:numId="297">
    <w:abstractNumId w:val="241"/>
  </w:num>
  <w:num w:numId="298">
    <w:abstractNumId w:val="207"/>
  </w:num>
  <w:num w:numId="299">
    <w:abstractNumId w:val="48"/>
  </w:num>
  <w:num w:numId="300">
    <w:abstractNumId w:val="61"/>
  </w:num>
  <w:num w:numId="301">
    <w:abstractNumId w:val="9"/>
  </w:num>
  <w:num w:numId="302">
    <w:abstractNumId w:val="162"/>
  </w:num>
  <w:num w:numId="303">
    <w:abstractNumId w:val="1"/>
  </w:num>
  <w:num w:numId="304">
    <w:abstractNumId w:val="226"/>
  </w:num>
  <w:num w:numId="305">
    <w:abstractNumId w:val="261"/>
  </w:num>
  <w:num w:numId="306">
    <w:abstractNumId w:val="235"/>
  </w:num>
  <w:num w:numId="307">
    <w:abstractNumId w:val="211"/>
  </w:num>
  <w:num w:numId="308">
    <w:abstractNumId w:val="150"/>
  </w:num>
  <w:num w:numId="309">
    <w:abstractNumId w:val="165"/>
  </w:num>
  <w:num w:numId="310">
    <w:abstractNumId w:val="269"/>
  </w:num>
  <w:num w:numId="311">
    <w:abstractNumId w:val="107"/>
  </w:num>
  <w:num w:numId="312">
    <w:abstractNumId w:val="264"/>
  </w:num>
  <w:num w:numId="313">
    <w:abstractNumId w:val="287"/>
  </w:num>
  <w:num w:numId="314">
    <w:abstractNumId w:val="200"/>
  </w:num>
  <w:num w:numId="315">
    <w:abstractNumId w:val="234"/>
  </w:num>
  <w:num w:numId="316">
    <w:abstractNumId w:val="122"/>
  </w:num>
  <w:num w:numId="317">
    <w:abstractNumId w:val="23"/>
  </w:num>
  <w:num w:numId="318">
    <w:abstractNumId w:val="240"/>
  </w:num>
  <w:num w:numId="319">
    <w:abstractNumId w:val="246"/>
  </w:num>
  <w:num w:numId="320">
    <w:abstractNumId w:val="108"/>
  </w:num>
  <w:num w:numId="321">
    <w:abstractNumId w:val="268"/>
  </w:num>
  <w:num w:numId="322">
    <w:abstractNumId w:val="259"/>
  </w:num>
  <w:num w:numId="323">
    <w:abstractNumId w:val="8"/>
  </w:num>
  <w:num w:numId="324">
    <w:abstractNumId w:val="63"/>
  </w:num>
  <w:num w:numId="325">
    <w:abstractNumId w:val="135"/>
  </w:num>
  <w:num w:numId="326">
    <w:abstractNumId w:val="290"/>
  </w:num>
  <w:num w:numId="327">
    <w:abstractNumId w:val="184"/>
  </w:num>
  <w:num w:numId="328">
    <w:abstractNumId w:val="2"/>
  </w:num>
  <w:num w:numId="329">
    <w:abstractNumId w:val="295"/>
  </w:num>
  <w:num w:numId="330">
    <w:abstractNumId w:val="126"/>
  </w:num>
  <w:num w:numId="331">
    <w:abstractNumId w:val="284"/>
  </w:num>
  <w:num w:numId="33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26"/>
  </w:num>
  <w:num w:numId="334">
    <w:abstractNumId w:val="210"/>
  </w:num>
  <w:num w:numId="335">
    <w:abstractNumId w:val="106"/>
  </w:num>
  <w:num w:numId="336">
    <w:abstractNumId w:val="32"/>
  </w:num>
  <w:num w:numId="337">
    <w:abstractNumId w:val="271"/>
  </w:num>
  <w:num w:numId="338">
    <w:abstractNumId w:val="159"/>
  </w:num>
  <w:num w:numId="339">
    <w:abstractNumId w:val="203"/>
  </w:num>
  <w:num w:numId="340">
    <w:abstractNumId w:val="274"/>
  </w:num>
  <w:num w:numId="341">
    <w:abstractNumId w:val="86"/>
  </w:num>
  <w:num w:numId="342">
    <w:abstractNumId w:val="136"/>
  </w:num>
  <w:num w:numId="343">
    <w:abstractNumId w:val="111"/>
  </w:num>
  <w:numIdMacAtCleanup w:val="3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drawingGridHorizontalSpacing w:val="140"/>
  <w:displayHorizontalDrawingGridEvery w:val="2"/>
  <w:characterSpacingControl w:val="doNotCompress"/>
  <w:hdrShapeDefaults>
    <o:shapedefaults v:ext="edit" spidmax="26625"/>
  </w:hdrShapeDefaults>
  <w:footnotePr>
    <w:footnote w:id="-1"/>
    <w:footnote w:id="0"/>
  </w:footnotePr>
  <w:endnotePr>
    <w:endnote w:id="-1"/>
    <w:endnote w:id="0"/>
  </w:endnotePr>
  <w:compat/>
  <w:rsids>
    <w:rsidRoot w:val="0095144D"/>
    <w:rsid w:val="000011F0"/>
    <w:rsid w:val="000016E6"/>
    <w:rsid w:val="00001C8A"/>
    <w:rsid w:val="0000440B"/>
    <w:rsid w:val="00006538"/>
    <w:rsid w:val="00006F19"/>
    <w:rsid w:val="00007CB1"/>
    <w:rsid w:val="00011191"/>
    <w:rsid w:val="00011508"/>
    <w:rsid w:val="000123D5"/>
    <w:rsid w:val="00012E78"/>
    <w:rsid w:val="00012E87"/>
    <w:rsid w:val="000138F8"/>
    <w:rsid w:val="00016420"/>
    <w:rsid w:val="0001645A"/>
    <w:rsid w:val="00017C39"/>
    <w:rsid w:val="000228D8"/>
    <w:rsid w:val="0002307F"/>
    <w:rsid w:val="00024BE6"/>
    <w:rsid w:val="000266F0"/>
    <w:rsid w:val="00027A32"/>
    <w:rsid w:val="00030B26"/>
    <w:rsid w:val="00030B6C"/>
    <w:rsid w:val="00033864"/>
    <w:rsid w:val="00036436"/>
    <w:rsid w:val="00037088"/>
    <w:rsid w:val="00037711"/>
    <w:rsid w:val="000414BD"/>
    <w:rsid w:val="00041561"/>
    <w:rsid w:val="0004272C"/>
    <w:rsid w:val="00046240"/>
    <w:rsid w:val="00047A41"/>
    <w:rsid w:val="00050AA7"/>
    <w:rsid w:val="00053190"/>
    <w:rsid w:val="000539F2"/>
    <w:rsid w:val="00054D13"/>
    <w:rsid w:val="000552E4"/>
    <w:rsid w:val="00056E8A"/>
    <w:rsid w:val="00057EAC"/>
    <w:rsid w:val="00063077"/>
    <w:rsid w:val="0006358B"/>
    <w:rsid w:val="000652E6"/>
    <w:rsid w:val="00066CB8"/>
    <w:rsid w:val="00070E0B"/>
    <w:rsid w:val="0007173A"/>
    <w:rsid w:val="0008080E"/>
    <w:rsid w:val="00081DF0"/>
    <w:rsid w:val="00081E91"/>
    <w:rsid w:val="000830E8"/>
    <w:rsid w:val="00086514"/>
    <w:rsid w:val="0009022B"/>
    <w:rsid w:val="000905B0"/>
    <w:rsid w:val="00091B98"/>
    <w:rsid w:val="00092FDE"/>
    <w:rsid w:val="000932D2"/>
    <w:rsid w:val="00095B3E"/>
    <w:rsid w:val="000A07A4"/>
    <w:rsid w:val="000A0D6E"/>
    <w:rsid w:val="000A3506"/>
    <w:rsid w:val="000A48CD"/>
    <w:rsid w:val="000A4E40"/>
    <w:rsid w:val="000A5DA3"/>
    <w:rsid w:val="000B0BA5"/>
    <w:rsid w:val="000B18C0"/>
    <w:rsid w:val="000B3F0E"/>
    <w:rsid w:val="000C00F4"/>
    <w:rsid w:val="000C0F2C"/>
    <w:rsid w:val="000C48C2"/>
    <w:rsid w:val="000C553D"/>
    <w:rsid w:val="000C5F54"/>
    <w:rsid w:val="000C61B7"/>
    <w:rsid w:val="000C7799"/>
    <w:rsid w:val="000C7C84"/>
    <w:rsid w:val="000D0359"/>
    <w:rsid w:val="000D0D72"/>
    <w:rsid w:val="000D1482"/>
    <w:rsid w:val="000D1DC1"/>
    <w:rsid w:val="000D32E7"/>
    <w:rsid w:val="000D35A4"/>
    <w:rsid w:val="000D5147"/>
    <w:rsid w:val="000E34AE"/>
    <w:rsid w:val="000E34EB"/>
    <w:rsid w:val="000F13E8"/>
    <w:rsid w:val="000F1509"/>
    <w:rsid w:val="000F1B8D"/>
    <w:rsid w:val="000F1C16"/>
    <w:rsid w:val="000F32FF"/>
    <w:rsid w:val="000F42F8"/>
    <w:rsid w:val="000F6A5D"/>
    <w:rsid w:val="000F6CD9"/>
    <w:rsid w:val="000F75FF"/>
    <w:rsid w:val="000F79F3"/>
    <w:rsid w:val="000F7D98"/>
    <w:rsid w:val="0010030B"/>
    <w:rsid w:val="001019D1"/>
    <w:rsid w:val="00101C8F"/>
    <w:rsid w:val="00102D14"/>
    <w:rsid w:val="00112A97"/>
    <w:rsid w:val="00112DCE"/>
    <w:rsid w:val="00115014"/>
    <w:rsid w:val="00116E47"/>
    <w:rsid w:val="00117F96"/>
    <w:rsid w:val="00122F38"/>
    <w:rsid w:val="001248C4"/>
    <w:rsid w:val="00127CF3"/>
    <w:rsid w:val="00130FDC"/>
    <w:rsid w:val="00131054"/>
    <w:rsid w:val="00131CBE"/>
    <w:rsid w:val="00132DC3"/>
    <w:rsid w:val="001332F2"/>
    <w:rsid w:val="00133659"/>
    <w:rsid w:val="001363A9"/>
    <w:rsid w:val="00136439"/>
    <w:rsid w:val="00136A10"/>
    <w:rsid w:val="00141063"/>
    <w:rsid w:val="0014204A"/>
    <w:rsid w:val="001434B7"/>
    <w:rsid w:val="00145896"/>
    <w:rsid w:val="0014598E"/>
    <w:rsid w:val="00145C24"/>
    <w:rsid w:val="00150812"/>
    <w:rsid w:val="001512E9"/>
    <w:rsid w:val="0015354B"/>
    <w:rsid w:val="0015531A"/>
    <w:rsid w:val="00156DED"/>
    <w:rsid w:val="001575E8"/>
    <w:rsid w:val="00160C65"/>
    <w:rsid w:val="00161683"/>
    <w:rsid w:val="00162369"/>
    <w:rsid w:val="00162AB5"/>
    <w:rsid w:val="00165045"/>
    <w:rsid w:val="001677A6"/>
    <w:rsid w:val="001735E7"/>
    <w:rsid w:val="00175921"/>
    <w:rsid w:val="00175F39"/>
    <w:rsid w:val="0017734E"/>
    <w:rsid w:val="00180B7F"/>
    <w:rsid w:val="00185EE3"/>
    <w:rsid w:val="0019221B"/>
    <w:rsid w:val="00193A23"/>
    <w:rsid w:val="00193F7B"/>
    <w:rsid w:val="00196533"/>
    <w:rsid w:val="00196C95"/>
    <w:rsid w:val="001971EA"/>
    <w:rsid w:val="001A25B0"/>
    <w:rsid w:val="001A31EC"/>
    <w:rsid w:val="001A420B"/>
    <w:rsid w:val="001A4D34"/>
    <w:rsid w:val="001B0B2D"/>
    <w:rsid w:val="001B0E89"/>
    <w:rsid w:val="001B10E4"/>
    <w:rsid w:val="001B1D85"/>
    <w:rsid w:val="001B2F8D"/>
    <w:rsid w:val="001B324F"/>
    <w:rsid w:val="001B3AA0"/>
    <w:rsid w:val="001B6063"/>
    <w:rsid w:val="001B6066"/>
    <w:rsid w:val="001C0484"/>
    <w:rsid w:val="001C0C39"/>
    <w:rsid w:val="001C1616"/>
    <w:rsid w:val="001C1F2C"/>
    <w:rsid w:val="001C1F9C"/>
    <w:rsid w:val="001C2551"/>
    <w:rsid w:val="001C3A2D"/>
    <w:rsid w:val="001C3B53"/>
    <w:rsid w:val="001C5CF7"/>
    <w:rsid w:val="001C618B"/>
    <w:rsid w:val="001D0548"/>
    <w:rsid w:val="001D05E0"/>
    <w:rsid w:val="001D2386"/>
    <w:rsid w:val="001D284C"/>
    <w:rsid w:val="001D3790"/>
    <w:rsid w:val="001D39E9"/>
    <w:rsid w:val="001D653C"/>
    <w:rsid w:val="001D6587"/>
    <w:rsid w:val="001D730F"/>
    <w:rsid w:val="001E05CA"/>
    <w:rsid w:val="001E0ACA"/>
    <w:rsid w:val="001E3537"/>
    <w:rsid w:val="001E3BC4"/>
    <w:rsid w:val="001E4658"/>
    <w:rsid w:val="001F1931"/>
    <w:rsid w:val="001F46F1"/>
    <w:rsid w:val="001F7D1C"/>
    <w:rsid w:val="00200B46"/>
    <w:rsid w:val="00201161"/>
    <w:rsid w:val="00202C1B"/>
    <w:rsid w:val="00205C9F"/>
    <w:rsid w:val="002069CD"/>
    <w:rsid w:val="00206F20"/>
    <w:rsid w:val="00207154"/>
    <w:rsid w:val="002103CF"/>
    <w:rsid w:val="00212313"/>
    <w:rsid w:val="00213DD4"/>
    <w:rsid w:val="00214BD5"/>
    <w:rsid w:val="00216F17"/>
    <w:rsid w:val="00217963"/>
    <w:rsid w:val="00220120"/>
    <w:rsid w:val="0022382E"/>
    <w:rsid w:val="00223FB3"/>
    <w:rsid w:val="00232996"/>
    <w:rsid w:val="00235A27"/>
    <w:rsid w:val="002401F4"/>
    <w:rsid w:val="00240BEE"/>
    <w:rsid w:val="00242291"/>
    <w:rsid w:val="0024237C"/>
    <w:rsid w:val="00246205"/>
    <w:rsid w:val="0024627D"/>
    <w:rsid w:val="00246B27"/>
    <w:rsid w:val="002473A8"/>
    <w:rsid w:val="00252B8E"/>
    <w:rsid w:val="00253C5F"/>
    <w:rsid w:val="00257CB7"/>
    <w:rsid w:val="0026069F"/>
    <w:rsid w:val="00260CD9"/>
    <w:rsid w:val="00262101"/>
    <w:rsid w:val="00263498"/>
    <w:rsid w:val="002648E5"/>
    <w:rsid w:val="00266643"/>
    <w:rsid w:val="002708D7"/>
    <w:rsid w:val="00271CEF"/>
    <w:rsid w:val="002722FB"/>
    <w:rsid w:val="00274A8A"/>
    <w:rsid w:val="00274B12"/>
    <w:rsid w:val="002763A1"/>
    <w:rsid w:val="00282FC7"/>
    <w:rsid w:val="00283695"/>
    <w:rsid w:val="002836AF"/>
    <w:rsid w:val="002870A7"/>
    <w:rsid w:val="00291242"/>
    <w:rsid w:val="00295298"/>
    <w:rsid w:val="002A16D3"/>
    <w:rsid w:val="002A25B4"/>
    <w:rsid w:val="002A28D5"/>
    <w:rsid w:val="002A3278"/>
    <w:rsid w:val="002A3F9C"/>
    <w:rsid w:val="002A4567"/>
    <w:rsid w:val="002A4C16"/>
    <w:rsid w:val="002A6EE0"/>
    <w:rsid w:val="002B0581"/>
    <w:rsid w:val="002B067C"/>
    <w:rsid w:val="002B068D"/>
    <w:rsid w:val="002B1CBF"/>
    <w:rsid w:val="002B423B"/>
    <w:rsid w:val="002B493F"/>
    <w:rsid w:val="002B4CB8"/>
    <w:rsid w:val="002B651E"/>
    <w:rsid w:val="002C2217"/>
    <w:rsid w:val="002C3096"/>
    <w:rsid w:val="002C5A29"/>
    <w:rsid w:val="002D048E"/>
    <w:rsid w:val="002D2AF9"/>
    <w:rsid w:val="002D5308"/>
    <w:rsid w:val="002D612D"/>
    <w:rsid w:val="002D6A3E"/>
    <w:rsid w:val="002D6A5C"/>
    <w:rsid w:val="002E2553"/>
    <w:rsid w:val="002E3D0F"/>
    <w:rsid w:val="002E6821"/>
    <w:rsid w:val="002E6D87"/>
    <w:rsid w:val="002E777C"/>
    <w:rsid w:val="002E7A5C"/>
    <w:rsid w:val="002E7F83"/>
    <w:rsid w:val="002F00BC"/>
    <w:rsid w:val="002F0180"/>
    <w:rsid w:val="002F0737"/>
    <w:rsid w:val="002F111B"/>
    <w:rsid w:val="002F4F0A"/>
    <w:rsid w:val="002F7EE5"/>
    <w:rsid w:val="00302464"/>
    <w:rsid w:val="003047B9"/>
    <w:rsid w:val="00305544"/>
    <w:rsid w:val="003076E7"/>
    <w:rsid w:val="003100DA"/>
    <w:rsid w:val="003105CD"/>
    <w:rsid w:val="00310C92"/>
    <w:rsid w:val="00310CC8"/>
    <w:rsid w:val="003130DE"/>
    <w:rsid w:val="003146BC"/>
    <w:rsid w:val="0031649F"/>
    <w:rsid w:val="00316AAD"/>
    <w:rsid w:val="00316B63"/>
    <w:rsid w:val="00316FF1"/>
    <w:rsid w:val="00320018"/>
    <w:rsid w:val="003213D5"/>
    <w:rsid w:val="0032278B"/>
    <w:rsid w:val="00325FE0"/>
    <w:rsid w:val="0033029E"/>
    <w:rsid w:val="0033038A"/>
    <w:rsid w:val="003303F9"/>
    <w:rsid w:val="00330D33"/>
    <w:rsid w:val="0033237D"/>
    <w:rsid w:val="003327B9"/>
    <w:rsid w:val="00333270"/>
    <w:rsid w:val="003379BE"/>
    <w:rsid w:val="00337FBA"/>
    <w:rsid w:val="0034026D"/>
    <w:rsid w:val="003429ED"/>
    <w:rsid w:val="00343EAB"/>
    <w:rsid w:val="00352CDB"/>
    <w:rsid w:val="0035343E"/>
    <w:rsid w:val="00353A36"/>
    <w:rsid w:val="00354902"/>
    <w:rsid w:val="00355221"/>
    <w:rsid w:val="00355607"/>
    <w:rsid w:val="0035713F"/>
    <w:rsid w:val="003619AB"/>
    <w:rsid w:val="00361ED9"/>
    <w:rsid w:val="0036244D"/>
    <w:rsid w:val="0036297B"/>
    <w:rsid w:val="00363C0A"/>
    <w:rsid w:val="00364823"/>
    <w:rsid w:val="00365C1A"/>
    <w:rsid w:val="0036674A"/>
    <w:rsid w:val="00367ED5"/>
    <w:rsid w:val="0037127D"/>
    <w:rsid w:val="00371A97"/>
    <w:rsid w:val="00373BEB"/>
    <w:rsid w:val="00374EDF"/>
    <w:rsid w:val="003775D5"/>
    <w:rsid w:val="00377A44"/>
    <w:rsid w:val="00381754"/>
    <w:rsid w:val="003819A6"/>
    <w:rsid w:val="00383E56"/>
    <w:rsid w:val="00384915"/>
    <w:rsid w:val="003902E7"/>
    <w:rsid w:val="00391B48"/>
    <w:rsid w:val="00391BC0"/>
    <w:rsid w:val="00392284"/>
    <w:rsid w:val="00392FE7"/>
    <w:rsid w:val="00393CF7"/>
    <w:rsid w:val="00393E1F"/>
    <w:rsid w:val="003949ED"/>
    <w:rsid w:val="003959AD"/>
    <w:rsid w:val="00397040"/>
    <w:rsid w:val="003A1C23"/>
    <w:rsid w:val="003A1C73"/>
    <w:rsid w:val="003A22BA"/>
    <w:rsid w:val="003A35F5"/>
    <w:rsid w:val="003A4314"/>
    <w:rsid w:val="003A4AD7"/>
    <w:rsid w:val="003B0EA7"/>
    <w:rsid w:val="003B2044"/>
    <w:rsid w:val="003B2247"/>
    <w:rsid w:val="003B4CFA"/>
    <w:rsid w:val="003B58E3"/>
    <w:rsid w:val="003B619C"/>
    <w:rsid w:val="003B7B34"/>
    <w:rsid w:val="003C5E6C"/>
    <w:rsid w:val="003C76FA"/>
    <w:rsid w:val="003D033C"/>
    <w:rsid w:val="003D08FE"/>
    <w:rsid w:val="003D0E6D"/>
    <w:rsid w:val="003D0EA5"/>
    <w:rsid w:val="003D25E1"/>
    <w:rsid w:val="003D6410"/>
    <w:rsid w:val="003E055A"/>
    <w:rsid w:val="003E17AA"/>
    <w:rsid w:val="003E43F1"/>
    <w:rsid w:val="003E4866"/>
    <w:rsid w:val="003E6EFB"/>
    <w:rsid w:val="003E720B"/>
    <w:rsid w:val="003E7511"/>
    <w:rsid w:val="003F0368"/>
    <w:rsid w:val="003F0594"/>
    <w:rsid w:val="003F0825"/>
    <w:rsid w:val="003F0C6E"/>
    <w:rsid w:val="003F24EB"/>
    <w:rsid w:val="003F4436"/>
    <w:rsid w:val="003F5529"/>
    <w:rsid w:val="003F6C45"/>
    <w:rsid w:val="003F6DDF"/>
    <w:rsid w:val="00403045"/>
    <w:rsid w:val="00407015"/>
    <w:rsid w:val="00410049"/>
    <w:rsid w:val="004148C0"/>
    <w:rsid w:val="00414E7E"/>
    <w:rsid w:val="00416FF2"/>
    <w:rsid w:val="00421338"/>
    <w:rsid w:val="004221B0"/>
    <w:rsid w:val="004240DE"/>
    <w:rsid w:val="004245B5"/>
    <w:rsid w:val="00425815"/>
    <w:rsid w:val="00431835"/>
    <w:rsid w:val="00431C44"/>
    <w:rsid w:val="00431F22"/>
    <w:rsid w:val="004344DD"/>
    <w:rsid w:val="00435C1F"/>
    <w:rsid w:val="00436F07"/>
    <w:rsid w:val="004376A5"/>
    <w:rsid w:val="0044079A"/>
    <w:rsid w:val="00440B45"/>
    <w:rsid w:val="00440F9D"/>
    <w:rsid w:val="00442E76"/>
    <w:rsid w:val="004435DE"/>
    <w:rsid w:val="004454E2"/>
    <w:rsid w:val="00446A65"/>
    <w:rsid w:val="00447B14"/>
    <w:rsid w:val="00447B7C"/>
    <w:rsid w:val="00452DAB"/>
    <w:rsid w:val="00453705"/>
    <w:rsid w:val="00453B91"/>
    <w:rsid w:val="00453C21"/>
    <w:rsid w:val="0045422E"/>
    <w:rsid w:val="004546A6"/>
    <w:rsid w:val="00454CE1"/>
    <w:rsid w:val="00455EDF"/>
    <w:rsid w:val="00456F8A"/>
    <w:rsid w:val="00457012"/>
    <w:rsid w:val="0045755A"/>
    <w:rsid w:val="0045761E"/>
    <w:rsid w:val="004576A8"/>
    <w:rsid w:val="00460434"/>
    <w:rsid w:val="004638D8"/>
    <w:rsid w:val="00466C74"/>
    <w:rsid w:val="004672A2"/>
    <w:rsid w:val="00467609"/>
    <w:rsid w:val="0047002D"/>
    <w:rsid w:val="0047410E"/>
    <w:rsid w:val="00474A33"/>
    <w:rsid w:val="004761E0"/>
    <w:rsid w:val="004779DA"/>
    <w:rsid w:val="0048107C"/>
    <w:rsid w:val="00481EA3"/>
    <w:rsid w:val="0048293E"/>
    <w:rsid w:val="004830D0"/>
    <w:rsid w:val="004866F9"/>
    <w:rsid w:val="00486E25"/>
    <w:rsid w:val="00490E7E"/>
    <w:rsid w:val="004920BC"/>
    <w:rsid w:val="00492C10"/>
    <w:rsid w:val="00495F9C"/>
    <w:rsid w:val="0049679D"/>
    <w:rsid w:val="004969B0"/>
    <w:rsid w:val="004A172C"/>
    <w:rsid w:val="004A3C65"/>
    <w:rsid w:val="004A4657"/>
    <w:rsid w:val="004A4CF1"/>
    <w:rsid w:val="004B00B9"/>
    <w:rsid w:val="004B0204"/>
    <w:rsid w:val="004B0332"/>
    <w:rsid w:val="004B08A8"/>
    <w:rsid w:val="004B1AD2"/>
    <w:rsid w:val="004B340E"/>
    <w:rsid w:val="004B5B33"/>
    <w:rsid w:val="004B726C"/>
    <w:rsid w:val="004C10DD"/>
    <w:rsid w:val="004C1494"/>
    <w:rsid w:val="004C6745"/>
    <w:rsid w:val="004D12F9"/>
    <w:rsid w:val="004D2A39"/>
    <w:rsid w:val="004D42CA"/>
    <w:rsid w:val="004D5027"/>
    <w:rsid w:val="004D5233"/>
    <w:rsid w:val="004D60AE"/>
    <w:rsid w:val="004D756E"/>
    <w:rsid w:val="004E0231"/>
    <w:rsid w:val="004E03CC"/>
    <w:rsid w:val="004E121E"/>
    <w:rsid w:val="004E1EBC"/>
    <w:rsid w:val="004E768B"/>
    <w:rsid w:val="004F18E6"/>
    <w:rsid w:val="004F27EA"/>
    <w:rsid w:val="004F2FE6"/>
    <w:rsid w:val="004F48EE"/>
    <w:rsid w:val="0050032D"/>
    <w:rsid w:val="0050069D"/>
    <w:rsid w:val="00501FDA"/>
    <w:rsid w:val="005026BA"/>
    <w:rsid w:val="00503B85"/>
    <w:rsid w:val="0050415A"/>
    <w:rsid w:val="00504DBE"/>
    <w:rsid w:val="0051195C"/>
    <w:rsid w:val="005123D7"/>
    <w:rsid w:val="00512DCC"/>
    <w:rsid w:val="005130F3"/>
    <w:rsid w:val="00513C6D"/>
    <w:rsid w:val="00513D8E"/>
    <w:rsid w:val="0051412C"/>
    <w:rsid w:val="0051515F"/>
    <w:rsid w:val="00515431"/>
    <w:rsid w:val="0051549A"/>
    <w:rsid w:val="00515F66"/>
    <w:rsid w:val="0052104A"/>
    <w:rsid w:val="00522125"/>
    <w:rsid w:val="00523797"/>
    <w:rsid w:val="00525213"/>
    <w:rsid w:val="0053179E"/>
    <w:rsid w:val="00532C3F"/>
    <w:rsid w:val="005333A3"/>
    <w:rsid w:val="00533F89"/>
    <w:rsid w:val="00535215"/>
    <w:rsid w:val="0053551F"/>
    <w:rsid w:val="00537FE9"/>
    <w:rsid w:val="005428E7"/>
    <w:rsid w:val="0054516F"/>
    <w:rsid w:val="005457CA"/>
    <w:rsid w:val="005464CF"/>
    <w:rsid w:val="005466CF"/>
    <w:rsid w:val="00547BB3"/>
    <w:rsid w:val="00551803"/>
    <w:rsid w:val="00551AA6"/>
    <w:rsid w:val="005549A6"/>
    <w:rsid w:val="0055503E"/>
    <w:rsid w:val="005567BB"/>
    <w:rsid w:val="00557328"/>
    <w:rsid w:val="00557EFD"/>
    <w:rsid w:val="00561AEE"/>
    <w:rsid w:val="00562DFF"/>
    <w:rsid w:val="00565287"/>
    <w:rsid w:val="0056696B"/>
    <w:rsid w:val="00566BE7"/>
    <w:rsid w:val="00567740"/>
    <w:rsid w:val="00570119"/>
    <w:rsid w:val="00570B6E"/>
    <w:rsid w:val="005711E9"/>
    <w:rsid w:val="00573765"/>
    <w:rsid w:val="00573789"/>
    <w:rsid w:val="00573C13"/>
    <w:rsid w:val="00575B24"/>
    <w:rsid w:val="00576C9E"/>
    <w:rsid w:val="0058192B"/>
    <w:rsid w:val="0058192E"/>
    <w:rsid w:val="005826C7"/>
    <w:rsid w:val="00582CCA"/>
    <w:rsid w:val="00583944"/>
    <w:rsid w:val="00585397"/>
    <w:rsid w:val="005858BE"/>
    <w:rsid w:val="00585BED"/>
    <w:rsid w:val="0058656A"/>
    <w:rsid w:val="00586C8E"/>
    <w:rsid w:val="005902EC"/>
    <w:rsid w:val="005917AA"/>
    <w:rsid w:val="005923CF"/>
    <w:rsid w:val="005926D0"/>
    <w:rsid w:val="00592776"/>
    <w:rsid w:val="005977D3"/>
    <w:rsid w:val="005A2DC2"/>
    <w:rsid w:val="005A4501"/>
    <w:rsid w:val="005A5A1B"/>
    <w:rsid w:val="005B0D85"/>
    <w:rsid w:val="005B171C"/>
    <w:rsid w:val="005B1BFF"/>
    <w:rsid w:val="005B3EDB"/>
    <w:rsid w:val="005B6264"/>
    <w:rsid w:val="005B75FC"/>
    <w:rsid w:val="005B7B41"/>
    <w:rsid w:val="005C0219"/>
    <w:rsid w:val="005C04F8"/>
    <w:rsid w:val="005C0AD7"/>
    <w:rsid w:val="005C0EC7"/>
    <w:rsid w:val="005C10E7"/>
    <w:rsid w:val="005C30DD"/>
    <w:rsid w:val="005C3266"/>
    <w:rsid w:val="005C4306"/>
    <w:rsid w:val="005C77A2"/>
    <w:rsid w:val="005D0E68"/>
    <w:rsid w:val="005D17AC"/>
    <w:rsid w:val="005D32E6"/>
    <w:rsid w:val="005D6781"/>
    <w:rsid w:val="005D6DA1"/>
    <w:rsid w:val="005D79E9"/>
    <w:rsid w:val="005D7D61"/>
    <w:rsid w:val="005E0409"/>
    <w:rsid w:val="005E2365"/>
    <w:rsid w:val="005E3A32"/>
    <w:rsid w:val="005E4F8A"/>
    <w:rsid w:val="005E74B6"/>
    <w:rsid w:val="005E75AB"/>
    <w:rsid w:val="005F138D"/>
    <w:rsid w:val="005F3058"/>
    <w:rsid w:val="00600DFE"/>
    <w:rsid w:val="00605A52"/>
    <w:rsid w:val="00605C86"/>
    <w:rsid w:val="00605D0C"/>
    <w:rsid w:val="0061088F"/>
    <w:rsid w:val="00611A22"/>
    <w:rsid w:val="00613E2A"/>
    <w:rsid w:val="00614AAA"/>
    <w:rsid w:val="00614B82"/>
    <w:rsid w:val="00615BEE"/>
    <w:rsid w:val="006170BE"/>
    <w:rsid w:val="006232E9"/>
    <w:rsid w:val="0062504C"/>
    <w:rsid w:val="0062609E"/>
    <w:rsid w:val="00626632"/>
    <w:rsid w:val="006279C6"/>
    <w:rsid w:val="00632292"/>
    <w:rsid w:val="006345C1"/>
    <w:rsid w:val="00634AE9"/>
    <w:rsid w:val="00635353"/>
    <w:rsid w:val="006366A2"/>
    <w:rsid w:val="00640D3C"/>
    <w:rsid w:val="00643DE0"/>
    <w:rsid w:val="00643F1F"/>
    <w:rsid w:val="00644A39"/>
    <w:rsid w:val="00646788"/>
    <w:rsid w:val="0064682E"/>
    <w:rsid w:val="00654E0B"/>
    <w:rsid w:val="0065761C"/>
    <w:rsid w:val="00661EF8"/>
    <w:rsid w:val="006621EE"/>
    <w:rsid w:val="00662B68"/>
    <w:rsid w:val="00663DEA"/>
    <w:rsid w:val="00664992"/>
    <w:rsid w:val="00667294"/>
    <w:rsid w:val="00670B18"/>
    <w:rsid w:val="00674759"/>
    <w:rsid w:val="00674FE7"/>
    <w:rsid w:val="006753D8"/>
    <w:rsid w:val="00676CF5"/>
    <w:rsid w:val="00681C09"/>
    <w:rsid w:val="00681D58"/>
    <w:rsid w:val="006836FF"/>
    <w:rsid w:val="006844FF"/>
    <w:rsid w:val="00684B03"/>
    <w:rsid w:val="0068579A"/>
    <w:rsid w:val="00686764"/>
    <w:rsid w:val="00686CA1"/>
    <w:rsid w:val="0069012E"/>
    <w:rsid w:val="00690405"/>
    <w:rsid w:val="006904E6"/>
    <w:rsid w:val="00692926"/>
    <w:rsid w:val="00694514"/>
    <w:rsid w:val="00695DBD"/>
    <w:rsid w:val="00695EB7"/>
    <w:rsid w:val="006A0727"/>
    <w:rsid w:val="006A3D99"/>
    <w:rsid w:val="006A49F5"/>
    <w:rsid w:val="006B12BE"/>
    <w:rsid w:val="006B17DA"/>
    <w:rsid w:val="006B1B1E"/>
    <w:rsid w:val="006B3E4D"/>
    <w:rsid w:val="006B4677"/>
    <w:rsid w:val="006B4FAE"/>
    <w:rsid w:val="006B717F"/>
    <w:rsid w:val="006B747D"/>
    <w:rsid w:val="006B79B0"/>
    <w:rsid w:val="006B7D1C"/>
    <w:rsid w:val="006C0CB2"/>
    <w:rsid w:val="006C1AA1"/>
    <w:rsid w:val="006C1D69"/>
    <w:rsid w:val="006C288C"/>
    <w:rsid w:val="006C365D"/>
    <w:rsid w:val="006C4125"/>
    <w:rsid w:val="006C42EA"/>
    <w:rsid w:val="006C43DA"/>
    <w:rsid w:val="006C43DB"/>
    <w:rsid w:val="006D3155"/>
    <w:rsid w:val="006D32CC"/>
    <w:rsid w:val="006D64F4"/>
    <w:rsid w:val="006E1B3B"/>
    <w:rsid w:val="006E25FC"/>
    <w:rsid w:val="006E4E50"/>
    <w:rsid w:val="006E5A56"/>
    <w:rsid w:val="006E6826"/>
    <w:rsid w:val="006E6BE2"/>
    <w:rsid w:val="006E6CC3"/>
    <w:rsid w:val="006E7283"/>
    <w:rsid w:val="006E796F"/>
    <w:rsid w:val="006F0A6A"/>
    <w:rsid w:val="006F1853"/>
    <w:rsid w:val="006F23E7"/>
    <w:rsid w:val="006F3786"/>
    <w:rsid w:val="006F4AB8"/>
    <w:rsid w:val="006F7658"/>
    <w:rsid w:val="0070161B"/>
    <w:rsid w:val="007027E9"/>
    <w:rsid w:val="0070361A"/>
    <w:rsid w:val="00706E5D"/>
    <w:rsid w:val="0070707B"/>
    <w:rsid w:val="007076A7"/>
    <w:rsid w:val="00710B10"/>
    <w:rsid w:val="00712893"/>
    <w:rsid w:val="00712ACA"/>
    <w:rsid w:val="00715E7F"/>
    <w:rsid w:val="00715EEC"/>
    <w:rsid w:val="0072057D"/>
    <w:rsid w:val="007207B9"/>
    <w:rsid w:val="007216D8"/>
    <w:rsid w:val="00722058"/>
    <w:rsid w:val="007248E9"/>
    <w:rsid w:val="007249A3"/>
    <w:rsid w:val="00726BE0"/>
    <w:rsid w:val="00727AAD"/>
    <w:rsid w:val="00730564"/>
    <w:rsid w:val="00731266"/>
    <w:rsid w:val="00731378"/>
    <w:rsid w:val="00732EEE"/>
    <w:rsid w:val="00733C41"/>
    <w:rsid w:val="007349AD"/>
    <w:rsid w:val="007355FF"/>
    <w:rsid w:val="007379BA"/>
    <w:rsid w:val="007406A3"/>
    <w:rsid w:val="00742BA2"/>
    <w:rsid w:val="00743B24"/>
    <w:rsid w:val="00744B6C"/>
    <w:rsid w:val="00745691"/>
    <w:rsid w:val="00747966"/>
    <w:rsid w:val="007529AC"/>
    <w:rsid w:val="00754644"/>
    <w:rsid w:val="00755B4D"/>
    <w:rsid w:val="007564CC"/>
    <w:rsid w:val="00760E5A"/>
    <w:rsid w:val="007615E0"/>
    <w:rsid w:val="007623B1"/>
    <w:rsid w:val="00763053"/>
    <w:rsid w:val="00763174"/>
    <w:rsid w:val="0076491C"/>
    <w:rsid w:val="00765913"/>
    <w:rsid w:val="0076597F"/>
    <w:rsid w:val="00765A06"/>
    <w:rsid w:val="007674C6"/>
    <w:rsid w:val="007678D0"/>
    <w:rsid w:val="00767A41"/>
    <w:rsid w:val="00772646"/>
    <w:rsid w:val="0077333B"/>
    <w:rsid w:val="0077444A"/>
    <w:rsid w:val="0077502B"/>
    <w:rsid w:val="00775E6A"/>
    <w:rsid w:val="007779AD"/>
    <w:rsid w:val="00780013"/>
    <w:rsid w:val="007812B8"/>
    <w:rsid w:val="0078334F"/>
    <w:rsid w:val="0078461D"/>
    <w:rsid w:val="00784CC1"/>
    <w:rsid w:val="007864C5"/>
    <w:rsid w:val="00787169"/>
    <w:rsid w:val="007877E1"/>
    <w:rsid w:val="00792548"/>
    <w:rsid w:val="00792C6B"/>
    <w:rsid w:val="00797D0A"/>
    <w:rsid w:val="007A2DB4"/>
    <w:rsid w:val="007A3B25"/>
    <w:rsid w:val="007A774D"/>
    <w:rsid w:val="007B08DA"/>
    <w:rsid w:val="007B24E3"/>
    <w:rsid w:val="007B4612"/>
    <w:rsid w:val="007B6F9C"/>
    <w:rsid w:val="007B79B9"/>
    <w:rsid w:val="007C0630"/>
    <w:rsid w:val="007C11BF"/>
    <w:rsid w:val="007C1701"/>
    <w:rsid w:val="007C1C0C"/>
    <w:rsid w:val="007C2993"/>
    <w:rsid w:val="007C2AD9"/>
    <w:rsid w:val="007C4503"/>
    <w:rsid w:val="007C458E"/>
    <w:rsid w:val="007C4D46"/>
    <w:rsid w:val="007C662F"/>
    <w:rsid w:val="007D242D"/>
    <w:rsid w:val="007D2D68"/>
    <w:rsid w:val="007D4692"/>
    <w:rsid w:val="007D66E0"/>
    <w:rsid w:val="007E3243"/>
    <w:rsid w:val="007E3348"/>
    <w:rsid w:val="007E4AB6"/>
    <w:rsid w:val="007F0436"/>
    <w:rsid w:val="007F0DB4"/>
    <w:rsid w:val="007F0FC1"/>
    <w:rsid w:val="007F2D2F"/>
    <w:rsid w:val="007F447C"/>
    <w:rsid w:val="007F4B23"/>
    <w:rsid w:val="007F5C47"/>
    <w:rsid w:val="007F635D"/>
    <w:rsid w:val="007F7860"/>
    <w:rsid w:val="007F7D78"/>
    <w:rsid w:val="00802A86"/>
    <w:rsid w:val="0080322C"/>
    <w:rsid w:val="008125E2"/>
    <w:rsid w:val="00813CF9"/>
    <w:rsid w:val="00814035"/>
    <w:rsid w:val="008152DE"/>
    <w:rsid w:val="008153DE"/>
    <w:rsid w:val="00816B4C"/>
    <w:rsid w:val="008176BD"/>
    <w:rsid w:val="008179CC"/>
    <w:rsid w:val="00825C6E"/>
    <w:rsid w:val="008274EE"/>
    <w:rsid w:val="00831EA8"/>
    <w:rsid w:val="00832383"/>
    <w:rsid w:val="00834F72"/>
    <w:rsid w:val="00835060"/>
    <w:rsid w:val="00835898"/>
    <w:rsid w:val="00840C3E"/>
    <w:rsid w:val="00840DE1"/>
    <w:rsid w:val="00842AC8"/>
    <w:rsid w:val="008438D6"/>
    <w:rsid w:val="008451BE"/>
    <w:rsid w:val="0084609A"/>
    <w:rsid w:val="00847CA4"/>
    <w:rsid w:val="008505CC"/>
    <w:rsid w:val="0085225E"/>
    <w:rsid w:val="0085244C"/>
    <w:rsid w:val="00853506"/>
    <w:rsid w:val="00854C42"/>
    <w:rsid w:val="008556DA"/>
    <w:rsid w:val="00862BFA"/>
    <w:rsid w:val="0086325B"/>
    <w:rsid w:val="00863961"/>
    <w:rsid w:val="0086454D"/>
    <w:rsid w:val="00865EB3"/>
    <w:rsid w:val="00866876"/>
    <w:rsid w:val="00867958"/>
    <w:rsid w:val="008763FF"/>
    <w:rsid w:val="00876634"/>
    <w:rsid w:val="0088049F"/>
    <w:rsid w:val="0088058E"/>
    <w:rsid w:val="0088064F"/>
    <w:rsid w:val="00881CD0"/>
    <w:rsid w:val="00882B25"/>
    <w:rsid w:val="008835A2"/>
    <w:rsid w:val="008835FF"/>
    <w:rsid w:val="00883D82"/>
    <w:rsid w:val="00884D85"/>
    <w:rsid w:val="00885147"/>
    <w:rsid w:val="00890059"/>
    <w:rsid w:val="008917FF"/>
    <w:rsid w:val="008930A5"/>
    <w:rsid w:val="0089456A"/>
    <w:rsid w:val="00894F72"/>
    <w:rsid w:val="00895EE2"/>
    <w:rsid w:val="008A009F"/>
    <w:rsid w:val="008A0C0C"/>
    <w:rsid w:val="008A0F0D"/>
    <w:rsid w:val="008A1AE8"/>
    <w:rsid w:val="008A2137"/>
    <w:rsid w:val="008A2267"/>
    <w:rsid w:val="008A4282"/>
    <w:rsid w:val="008A49DC"/>
    <w:rsid w:val="008A54E5"/>
    <w:rsid w:val="008A6242"/>
    <w:rsid w:val="008B2BD0"/>
    <w:rsid w:val="008B56DD"/>
    <w:rsid w:val="008B7AF3"/>
    <w:rsid w:val="008C0014"/>
    <w:rsid w:val="008C0C74"/>
    <w:rsid w:val="008C1F00"/>
    <w:rsid w:val="008C2416"/>
    <w:rsid w:val="008C65D2"/>
    <w:rsid w:val="008C6C8D"/>
    <w:rsid w:val="008D52B9"/>
    <w:rsid w:val="008D5C87"/>
    <w:rsid w:val="008E11BC"/>
    <w:rsid w:val="008E1B9F"/>
    <w:rsid w:val="008E3434"/>
    <w:rsid w:val="008E3C2C"/>
    <w:rsid w:val="008E47B6"/>
    <w:rsid w:val="008E679B"/>
    <w:rsid w:val="008F0ACD"/>
    <w:rsid w:val="008F0E32"/>
    <w:rsid w:val="008F1CBC"/>
    <w:rsid w:val="008F376A"/>
    <w:rsid w:val="008F55F8"/>
    <w:rsid w:val="008F63E2"/>
    <w:rsid w:val="008F7314"/>
    <w:rsid w:val="008F7B0F"/>
    <w:rsid w:val="00901C42"/>
    <w:rsid w:val="009022DF"/>
    <w:rsid w:val="009040A6"/>
    <w:rsid w:val="00904CA7"/>
    <w:rsid w:val="00904E2D"/>
    <w:rsid w:val="0090798D"/>
    <w:rsid w:val="00907990"/>
    <w:rsid w:val="009101EC"/>
    <w:rsid w:val="009121A9"/>
    <w:rsid w:val="0091292C"/>
    <w:rsid w:val="00913C6D"/>
    <w:rsid w:val="00916298"/>
    <w:rsid w:val="00922CD4"/>
    <w:rsid w:val="00922DF0"/>
    <w:rsid w:val="00923660"/>
    <w:rsid w:val="00923A7B"/>
    <w:rsid w:val="00924551"/>
    <w:rsid w:val="009247A0"/>
    <w:rsid w:val="0092613F"/>
    <w:rsid w:val="00930A3C"/>
    <w:rsid w:val="00930F91"/>
    <w:rsid w:val="00930FDE"/>
    <w:rsid w:val="00931EA0"/>
    <w:rsid w:val="0093223C"/>
    <w:rsid w:val="00935469"/>
    <w:rsid w:val="00936835"/>
    <w:rsid w:val="00937289"/>
    <w:rsid w:val="00940182"/>
    <w:rsid w:val="00942FF0"/>
    <w:rsid w:val="00943E49"/>
    <w:rsid w:val="00945CFD"/>
    <w:rsid w:val="009479EC"/>
    <w:rsid w:val="00947F43"/>
    <w:rsid w:val="00950820"/>
    <w:rsid w:val="00951091"/>
    <w:rsid w:val="0095144D"/>
    <w:rsid w:val="00951E09"/>
    <w:rsid w:val="00953038"/>
    <w:rsid w:val="009541D9"/>
    <w:rsid w:val="009543D6"/>
    <w:rsid w:val="009562FE"/>
    <w:rsid w:val="00957715"/>
    <w:rsid w:val="00961C61"/>
    <w:rsid w:val="0096283C"/>
    <w:rsid w:val="00963435"/>
    <w:rsid w:val="00963D32"/>
    <w:rsid w:val="009642EF"/>
    <w:rsid w:val="00966AE3"/>
    <w:rsid w:val="009719FB"/>
    <w:rsid w:val="00972245"/>
    <w:rsid w:val="00973D0F"/>
    <w:rsid w:val="00974E43"/>
    <w:rsid w:val="00975A29"/>
    <w:rsid w:val="009817EE"/>
    <w:rsid w:val="00981827"/>
    <w:rsid w:val="00982E55"/>
    <w:rsid w:val="00987780"/>
    <w:rsid w:val="00987CBA"/>
    <w:rsid w:val="00992BBB"/>
    <w:rsid w:val="00992FF8"/>
    <w:rsid w:val="00993CC8"/>
    <w:rsid w:val="00997BAC"/>
    <w:rsid w:val="00997D6E"/>
    <w:rsid w:val="009A3A39"/>
    <w:rsid w:val="009A6D31"/>
    <w:rsid w:val="009B08C1"/>
    <w:rsid w:val="009B1160"/>
    <w:rsid w:val="009B2B16"/>
    <w:rsid w:val="009B35D3"/>
    <w:rsid w:val="009B55CD"/>
    <w:rsid w:val="009B5829"/>
    <w:rsid w:val="009B5AE4"/>
    <w:rsid w:val="009B5D64"/>
    <w:rsid w:val="009C0CDF"/>
    <w:rsid w:val="009C2D5F"/>
    <w:rsid w:val="009C4C1B"/>
    <w:rsid w:val="009C5A19"/>
    <w:rsid w:val="009C5A63"/>
    <w:rsid w:val="009C5E1D"/>
    <w:rsid w:val="009C65F1"/>
    <w:rsid w:val="009D3AEB"/>
    <w:rsid w:val="009D451C"/>
    <w:rsid w:val="009D6121"/>
    <w:rsid w:val="009E1E68"/>
    <w:rsid w:val="009E2DF8"/>
    <w:rsid w:val="009E3EE5"/>
    <w:rsid w:val="009E4A6C"/>
    <w:rsid w:val="009E4C8D"/>
    <w:rsid w:val="009E54DE"/>
    <w:rsid w:val="009E567A"/>
    <w:rsid w:val="009E5A67"/>
    <w:rsid w:val="009F0DC3"/>
    <w:rsid w:val="009F2C3C"/>
    <w:rsid w:val="009F36CF"/>
    <w:rsid w:val="009F385A"/>
    <w:rsid w:val="009F5172"/>
    <w:rsid w:val="009F6B03"/>
    <w:rsid w:val="00A05067"/>
    <w:rsid w:val="00A053B4"/>
    <w:rsid w:val="00A05E17"/>
    <w:rsid w:val="00A101F4"/>
    <w:rsid w:val="00A10E26"/>
    <w:rsid w:val="00A1303A"/>
    <w:rsid w:val="00A1630A"/>
    <w:rsid w:val="00A20E78"/>
    <w:rsid w:val="00A21AA4"/>
    <w:rsid w:val="00A224C0"/>
    <w:rsid w:val="00A232BD"/>
    <w:rsid w:val="00A24F17"/>
    <w:rsid w:val="00A25239"/>
    <w:rsid w:val="00A25C02"/>
    <w:rsid w:val="00A25C21"/>
    <w:rsid w:val="00A26737"/>
    <w:rsid w:val="00A26B2D"/>
    <w:rsid w:val="00A30941"/>
    <w:rsid w:val="00A3296C"/>
    <w:rsid w:val="00A33515"/>
    <w:rsid w:val="00A3456D"/>
    <w:rsid w:val="00A368C9"/>
    <w:rsid w:val="00A41F8A"/>
    <w:rsid w:val="00A426F9"/>
    <w:rsid w:val="00A4505A"/>
    <w:rsid w:val="00A470FB"/>
    <w:rsid w:val="00A47373"/>
    <w:rsid w:val="00A478D5"/>
    <w:rsid w:val="00A50E80"/>
    <w:rsid w:val="00A53B0D"/>
    <w:rsid w:val="00A53D65"/>
    <w:rsid w:val="00A543F8"/>
    <w:rsid w:val="00A55821"/>
    <w:rsid w:val="00A57984"/>
    <w:rsid w:val="00A60507"/>
    <w:rsid w:val="00A609AB"/>
    <w:rsid w:val="00A6399B"/>
    <w:rsid w:val="00A6429B"/>
    <w:rsid w:val="00A648BC"/>
    <w:rsid w:val="00A64BDF"/>
    <w:rsid w:val="00A65BAF"/>
    <w:rsid w:val="00A665F2"/>
    <w:rsid w:val="00A66ECA"/>
    <w:rsid w:val="00A67239"/>
    <w:rsid w:val="00A67680"/>
    <w:rsid w:val="00A70184"/>
    <w:rsid w:val="00A70E73"/>
    <w:rsid w:val="00A747DA"/>
    <w:rsid w:val="00A76E37"/>
    <w:rsid w:val="00A82997"/>
    <w:rsid w:val="00A834FE"/>
    <w:rsid w:val="00A867DF"/>
    <w:rsid w:val="00A90198"/>
    <w:rsid w:val="00A911E9"/>
    <w:rsid w:val="00A9213E"/>
    <w:rsid w:val="00A93A50"/>
    <w:rsid w:val="00A95114"/>
    <w:rsid w:val="00A95752"/>
    <w:rsid w:val="00A95930"/>
    <w:rsid w:val="00A96D87"/>
    <w:rsid w:val="00A97656"/>
    <w:rsid w:val="00A977F1"/>
    <w:rsid w:val="00AA2CEF"/>
    <w:rsid w:val="00AA6D5B"/>
    <w:rsid w:val="00AA6F64"/>
    <w:rsid w:val="00AA7AA7"/>
    <w:rsid w:val="00AB051A"/>
    <w:rsid w:val="00AB3A9A"/>
    <w:rsid w:val="00AB4973"/>
    <w:rsid w:val="00AB5465"/>
    <w:rsid w:val="00AB6245"/>
    <w:rsid w:val="00AB64EC"/>
    <w:rsid w:val="00AC0894"/>
    <w:rsid w:val="00AC095B"/>
    <w:rsid w:val="00AC217D"/>
    <w:rsid w:val="00AC25A7"/>
    <w:rsid w:val="00AC2B2F"/>
    <w:rsid w:val="00AC5070"/>
    <w:rsid w:val="00AD45E2"/>
    <w:rsid w:val="00AD513F"/>
    <w:rsid w:val="00AD5146"/>
    <w:rsid w:val="00AD6CF6"/>
    <w:rsid w:val="00AD75E4"/>
    <w:rsid w:val="00AE0A82"/>
    <w:rsid w:val="00AE159C"/>
    <w:rsid w:val="00AE18F7"/>
    <w:rsid w:val="00AE1E94"/>
    <w:rsid w:val="00AE1F23"/>
    <w:rsid w:val="00AE3E25"/>
    <w:rsid w:val="00AE5269"/>
    <w:rsid w:val="00AE6ECC"/>
    <w:rsid w:val="00AE77FD"/>
    <w:rsid w:val="00AF01C4"/>
    <w:rsid w:val="00AF0FC2"/>
    <w:rsid w:val="00AF24B2"/>
    <w:rsid w:val="00AF531F"/>
    <w:rsid w:val="00AF765D"/>
    <w:rsid w:val="00AF7981"/>
    <w:rsid w:val="00B020D2"/>
    <w:rsid w:val="00B0496B"/>
    <w:rsid w:val="00B110F0"/>
    <w:rsid w:val="00B1166D"/>
    <w:rsid w:val="00B12DEF"/>
    <w:rsid w:val="00B13D17"/>
    <w:rsid w:val="00B16379"/>
    <w:rsid w:val="00B208F5"/>
    <w:rsid w:val="00B20C95"/>
    <w:rsid w:val="00B23121"/>
    <w:rsid w:val="00B23641"/>
    <w:rsid w:val="00B2724E"/>
    <w:rsid w:val="00B333D4"/>
    <w:rsid w:val="00B33FAB"/>
    <w:rsid w:val="00B356EA"/>
    <w:rsid w:val="00B3679C"/>
    <w:rsid w:val="00B40B0B"/>
    <w:rsid w:val="00B418EE"/>
    <w:rsid w:val="00B41AB0"/>
    <w:rsid w:val="00B443A6"/>
    <w:rsid w:val="00B47706"/>
    <w:rsid w:val="00B51CA6"/>
    <w:rsid w:val="00B6020E"/>
    <w:rsid w:val="00B603B0"/>
    <w:rsid w:val="00B60BD9"/>
    <w:rsid w:val="00B62428"/>
    <w:rsid w:val="00B62BC2"/>
    <w:rsid w:val="00B65D80"/>
    <w:rsid w:val="00B66CD7"/>
    <w:rsid w:val="00B676D3"/>
    <w:rsid w:val="00B70E35"/>
    <w:rsid w:val="00B72896"/>
    <w:rsid w:val="00B72B06"/>
    <w:rsid w:val="00B733DF"/>
    <w:rsid w:val="00B73C6E"/>
    <w:rsid w:val="00B743DC"/>
    <w:rsid w:val="00B7773B"/>
    <w:rsid w:val="00B819FD"/>
    <w:rsid w:val="00B82D97"/>
    <w:rsid w:val="00B83BD2"/>
    <w:rsid w:val="00B84781"/>
    <w:rsid w:val="00B85192"/>
    <w:rsid w:val="00B857F6"/>
    <w:rsid w:val="00B85C36"/>
    <w:rsid w:val="00B876F9"/>
    <w:rsid w:val="00B90F04"/>
    <w:rsid w:val="00B9102D"/>
    <w:rsid w:val="00B95B3A"/>
    <w:rsid w:val="00B9769A"/>
    <w:rsid w:val="00BA326D"/>
    <w:rsid w:val="00BA40C0"/>
    <w:rsid w:val="00BA4548"/>
    <w:rsid w:val="00BA6234"/>
    <w:rsid w:val="00BA6AA5"/>
    <w:rsid w:val="00BA6AAC"/>
    <w:rsid w:val="00BA6C66"/>
    <w:rsid w:val="00BA6EF4"/>
    <w:rsid w:val="00BA788C"/>
    <w:rsid w:val="00BB09B5"/>
    <w:rsid w:val="00BB0FAE"/>
    <w:rsid w:val="00BB1187"/>
    <w:rsid w:val="00BB14A9"/>
    <w:rsid w:val="00BB244F"/>
    <w:rsid w:val="00BB2AFF"/>
    <w:rsid w:val="00BC314B"/>
    <w:rsid w:val="00BC4980"/>
    <w:rsid w:val="00BC7585"/>
    <w:rsid w:val="00BC7606"/>
    <w:rsid w:val="00BD06C9"/>
    <w:rsid w:val="00BD35D0"/>
    <w:rsid w:val="00BD5525"/>
    <w:rsid w:val="00BD5626"/>
    <w:rsid w:val="00BE0174"/>
    <w:rsid w:val="00BE40B4"/>
    <w:rsid w:val="00BE6D99"/>
    <w:rsid w:val="00BF0399"/>
    <w:rsid w:val="00BF15F9"/>
    <w:rsid w:val="00BF2AC5"/>
    <w:rsid w:val="00BF325B"/>
    <w:rsid w:val="00BF4718"/>
    <w:rsid w:val="00BF50DA"/>
    <w:rsid w:val="00BF53E8"/>
    <w:rsid w:val="00C0283B"/>
    <w:rsid w:val="00C04EF4"/>
    <w:rsid w:val="00C0652D"/>
    <w:rsid w:val="00C074FA"/>
    <w:rsid w:val="00C07545"/>
    <w:rsid w:val="00C10E4F"/>
    <w:rsid w:val="00C11114"/>
    <w:rsid w:val="00C11190"/>
    <w:rsid w:val="00C23B97"/>
    <w:rsid w:val="00C24457"/>
    <w:rsid w:val="00C24827"/>
    <w:rsid w:val="00C253D8"/>
    <w:rsid w:val="00C25939"/>
    <w:rsid w:val="00C25B1A"/>
    <w:rsid w:val="00C261EF"/>
    <w:rsid w:val="00C2796C"/>
    <w:rsid w:val="00C304FF"/>
    <w:rsid w:val="00C32653"/>
    <w:rsid w:val="00C33070"/>
    <w:rsid w:val="00C34130"/>
    <w:rsid w:val="00C3457D"/>
    <w:rsid w:val="00C359B0"/>
    <w:rsid w:val="00C36C7D"/>
    <w:rsid w:val="00C40E81"/>
    <w:rsid w:val="00C41134"/>
    <w:rsid w:val="00C44D2A"/>
    <w:rsid w:val="00C450CE"/>
    <w:rsid w:val="00C50A49"/>
    <w:rsid w:val="00C50FA4"/>
    <w:rsid w:val="00C51CB5"/>
    <w:rsid w:val="00C5339A"/>
    <w:rsid w:val="00C53676"/>
    <w:rsid w:val="00C53B7E"/>
    <w:rsid w:val="00C55D08"/>
    <w:rsid w:val="00C55FC9"/>
    <w:rsid w:val="00C56F37"/>
    <w:rsid w:val="00C57109"/>
    <w:rsid w:val="00C575EC"/>
    <w:rsid w:val="00C579BE"/>
    <w:rsid w:val="00C6367E"/>
    <w:rsid w:val="00C648C9"/>
    <w:rsid w:val="00C64A02"/>
    <w:rsid w:val="00C64BC5"/>
    <w:rsid w:val="00C66D99"/>
    <w:rsid w:val="00C67D2C"/>
    <w:rsid w:val="00C713E2"/>
    <w:rsid w:val="00C73637"/>
    <w:rsid w:val="00C74949"/>
    <w:rsid w:val="00C750DB"/>
    <w:rsid w:val="00C75E41"/>
    <w:rsid w:val="00C76CC5"/>
    <w:rsid w:val="00C7702C"/>
    <w:rsid w:val="00C776EF"/>
    <w:rsid w:val="00C81394"/>
    <w:rsid w:val="00C82045"/>
    <w:rsid w:val="00C82372"/>
    <w:rsid w:val="00C82CFB"/>
    <w:rsid w:val="00C83360"/>
    <w:rsid w:val="00C83375"/>
    <w:rsid w:val="00C84342"/>
    <w:rsid w:val="00C849F1"/>
    <w:rsid w:val="00C9035F"/>
    <w:rsid w:val="00C914F1"/>
    <w:rsid w:val="00C91631"/>
    <w:rsid w:val="00C91BED"/>
    <w:rsid w:val="00C91E09"/>
    <w:rsid w:val="00C94651"/>
    <w:rsid w:val="00C95488"/>
    <w:rsid w:val="00CA110D"/>
    <w:rsid w:val="00CA270F"/>
    <w:rsid w:val="00CA38EF"/>
    <w:rsid w:val="00CA3B29"/>
    <w:rsid w:val="00CA59FD"/>
    <w:rsid w:val="00CA644E"/>
    <w:rsid w:val="00CB55EB"/>
    <w:rsid w:val="00CB5BC7"/>
    <w:rsid w:val="00CB6411"/>
    <w:rsid w:val="00CC0CB0"/>
    <w:rsid w:val="00CC140A"/>
    <w:rsid w:val="00CC181E"/>
    <w:rsid w:val="00CC2A9F"/>
    <w:rsid w:val="00CC42DC"/>
    <w:rsid w:val="00CC5744"/>
    <w:rsid w:val="00CC5A0A"/>
    <w:rsid w:val="00CC6FDF"/>
    <w:rsid w:val="00CC7036"/>
    <w:rsid w:val="00CD3B0A"/>
    <w:rsid w:val="00CD424D"/>
    <w:rsid w:val="00CD452E"/>
    <w:rsid w:val="00CD52D9"/>
    <w:rsid w:val="00CD5334"/>
    <w:rsid w:val="00CD6001"/>
    <w:rsid w:val="00CD64E3"/>
    <w:rsid w:val="00CE0B03"/>
    <w:rsid w:val="00CE1C52"/>
    <w:rsid w:val="00CE2EEC"/>
    <w:rsid w:val="00CE32FD"/>
    <w:rsid w:val="00CE34D8"/>
    <w:rsid w:val="00CF08B0"/>
    <w:rsid w:val="00CF3174"/>
    <w:rsid w:val="00CF58EB"/>
    <w:rsid w:val="00CF5945"/>
    <w:rsid w:val="00CF5D64"/>
    <w:rsid w:val="00CF70F8"/>
    <w:rsid w:val="00D005EB"/>
    <w:rsid w:val="00D01839"/>
    <w:rsid w:val="00D01CFB"/>
    <w:rsid w:val="00D06210"/>
    <w:rsid w:val="00D120ED"/>
    <w:rsid w:val="00D12ACE"/>
    <w:rsid w:val="00D14983"/>
    <w:rsid w:val="00D160FC"/>
    <w:rsid w:val="00D21056"/>
    <w:rsid w:val="00D21549"/>
    <w:rsid w:val="00D237C3"/>
    <w:rsid w:val="00D23DB1"/>
    <w:rsid w:val="00D25CB9"/>
    <w:rsid w:val="00D27896"/>
    <w:rsid w:val="00D27A39"/>
    <w:rsid w:val="00D31AD5"/>
    <w:rsid w:val="00D33BA6"/>
    <w:rsid w:val="00D341DC"/>
    <w:rsid w:val="00D35BAD"/>
    <w:rsid w:val="00D42214"/>
    <w:rsid w:val="00D4487B"/>
    <w:rsid w:val="00D46934"/>
    <w:rsid w:val="00D47674"/>
    <w:rsid w:val="00D50342"/>
    <w:rsid w:val="00D5240E"/>
    <w:rsid w:val="00D52C46"/>
    <w:rsid w:val="00D52FA5"/>
    <w:rsid w:val="00D536C8"/>
    <w:rsid w:val="00D56104"/>
    <w:rsid w:val="00D56A19"/>
    <w:rsid w:val="00D6070F"/>
    <w:rsid w:val="00D62A94"/>
    <w:rsid w:val="00D638EE"/>
    <w:rsid w:val="00D639D4"/>
    <w:rsid w:val="00D64744"/>
    <w:rsid w:val="00D668C0"/>
    <w:rsid w:val="00D66E05"/>
    <w:rsid w:val="00D67497"/>
    <w:rsid w:val="00D701B7"/>
    <w:rsid w:val="00D70A94"/>
    <w:rsid w:val="00D734F3"/>
    <w:rsid w:val="00D74115"/>
    <w:rsid w:val="00D75171"/>
    <w:rsid w:val="00D75DF3"/>
    <w:rsid w:val="00D826D8"/>
    <w:rsid w:val="00D8345D"/>
    <w:rsid w:val="00D83835"/>
    <w:rsid w:val="00D83ED7"/>
    <w:rsid w:val="00D85C00"/>
    <w:rsid w:val="00D85E4D"/>
    <w:rsid w:val="00D86FD3"/>
    <w:rsid w:val="00D901F5"/>
    <w:rsid w:val="00D910B0"/>
    <w:rsid w:val="00D915BA"/>
    <w:rsid w:val="00D92753"/>
    <w:rsid w:val="00D92EFE"/>
    <w:rsid w:val="00D94C93"/>
    <w:rsid w:val="00D95123"/>
    <w:rsid w:val="00D96C48"/>
    <w:rsid w:val="00DA038A"/>
    <w:rsid w:val="00DA4470"/>
    <w:rsid w:val="00DA46A3"/>
    <w:rsid w:val="00DA4BC5"/>
    <w:rsid w:val="00DA63F0"/>
    <w:rsid w:val="00DA691D"/>
    <w:rsid w:val="00DA75B6"/>
    <w:rsid w:val="00DB2276"/>
    <w:rsid w:val="00DB2B7F"/>
    <w:rsid w:val="00DB2C5C"/>
    <w:rsid w:val="00DB32B4"/>
    <w:rsid w:val="00DB376A"/>
    <w:rsid w:val="00DC30C9"/>
    <w:rsid w:val="00DC6005"/>
    <w:rsid w:val="00DC64F2"/>
    <w:rsid w:val="00DC670E"/>
    <w:rsid w:val="00DC75B4"/>
    <w:rsid w:val="00DD0C0A"/>
    <w:rsid w:val="00DD16E2"/>
    <w:rsid w:val="00DD1D57"/>
    <w:rsid w:val="00DD4DB6"/>
    <w:rsid w:val="00DD5B70"/>
    <w:rsid w:val="00DD7FFC"/>
    <w:rsid w:val="00DE1E99"/>
    <w:rsid w:val="00DE3804"/>
    <w:rsid w:val="00DE44D6"/>
    <w:rsid w:val="00DE4CFB"/>
    <w:rsid w:val="00DE4DEC"/>
    <w:rsid w:val="00DE5327"/>
    <w:rsid w:val="00DE5A4E"/>
    <w:rsid w:val="00DE6E66"/>
    <w:rsid w:val="00DE6F99"/>
    <w:rsid w:val="00DE7EAB"/>
    <w:rsid w:val="00DF4361"/>
    <w:rsid w:val="00DF56C1"/>
    <w:rsid w:val="00DF693F"/>
    <w:rsid w:val="00DF6C1A"/>
    <w:rsid w:val="00DF771B"/>
    <w:rsid w:val="00E020B0"/>
    <w:rsid w:val="00E02B54"/>
    <w:rsid w:val="00E031D6"/>
    <w:rsid w:val="00E060C8"/>
    <w:rsid w:val="00E11653"/>
    <w:rsid w:val="00E14217"/>
    <w:rsid w:val="00E15981"/>
    <w:rsid w:val="00E17978"/>
    <w:rsid w:val="00E20318"/>
    <w:rsid w:val="00E20573"/>
    <w:rsid w:val="00E2776C"/>
    <w:rsid w:val="00E300DF"/>
    <w:rsid w:val="00E30CDF"/>
    <w:rsid w:val="00E31277"/>
    <w:rsid w:val="00E315A1"/>
    <w:rsid w:val="00E340E7"/>
    <w:rsid w:val="00E34ACB"/>
    <w:rsid w:val="00E35DCA"/>
    <w:rsid w:val="00E35E41"/>
    <w:rsid w:val="00E36A94"/>
    <w:rsid w:val="00E40163"/>
    <w:rsid w:val="00E40D1F"/>
    <w:rsid w:val="00E448A3"/>
    <w:rsid w:val="00E45A2B"/>
    <w:rsid w:val="00E462F3"/>
    <w:rsid w:val="00E507E7"/>
    <w:rsid w:val="00E52127"/>
    <w:rsid w:val="00E5307D"/>
    <w:rsid w:val="00E53B8C"/>
    <w:rsid w:val="00E54669"/>
    <w:rsid w:val="00E55623"/>
    <w:rsid w:val="00E578D5"/>
    <w:rsid w:val="00E618E9"/>
    <w:rsid w:val="00E63D65"/>
    <w:rsid w:val="00E64CF3"/>
    <w:rsid w:val="00E64E3D"/>
    <w:rsid w:val="00E64F4B"/>
    <w:rsid w:val="00E6634D"/>
    <w:rsid w:val="00E671B7"/>
    <w:rsid w:val="00E6749A"/>
    <w:rsid w:val="00E7117F"/>
    <w:rsid w:val="00E71430"/>
    <w:rsid w:val="00E71C68"/>
    <w:rsid w:val="00E72172"/>
    <w:rsid w:val="00E72774"/>
    <w:rsid w:val="00E73C21"/>
    <w:rsid w:val="00E75C03"/>
    <w:rsid w:val="00E831F8"/>
    <w:rsid w:val="00E879E3"/>
    <w:rsid w:val="00E90D4E"/>
    <w:rsid w:val="00E91CF5"/>
    <w:rsid w:val="00E93459"/>
    <w:rsid w:val="00E9672A"/>
    <w:rsid w:val="00EA456F"/>
    <w:rsid w:val="00EB18B7"/>
    <w:rsid w:val="00EB2034"/>
    <w:rsid w:val="00EB4DBD"/>
    <w:rsid w:val="00EC2119"/>
    <w:rsid w:val="00EC4BC4"/>
    <w:rsid w:val="00EC58E0"/>
    <w:rsid w:val="00ED0E9C"/>
    <w:rsid w:val="00ED32AB"/>
    <w:rsid w:val="00ED49A7"/>
    <w:rsid w:val="00ED6D23"/>
    <w:rsid w:val="00ED76CD"/>
    <w:rsid w:val="00ED7BAE"/>
    <w:rsid w:val="00EE2B45"/>
    <w:rsid w:val="00EF20EF"/>
    <w:rsid w:val="00EF23D8"/>
    <w:rsid w:val="00EF30BF"/>
    <w:rsid w:val="00EF42B2"/>
    <w:rsid w:val="00EF47AF"/>
    <w:rsid w:val="00EF5C38"/>
    <w:rsid w:val="00F04021"/>
    <w:rsid w:val="00F04A61"/>
    <w:rsid w:val="00F050AA"/>
    <w:rsid w:val="00F05BE8"/>
    <w:rsid w:val="00F06C9A"/>
    <w:rsid w:val="00F10456"/>
    <w:rsid w:val="00F12F88"/>
    <w:rsid w:val="00F14CAD"/>
    <w:rsid w:val="00F162E4"/>
    <w:rsid w:val="00F1776C"/>
    <w:rsid w:val="00F23C98"/>
    <w:rsid w:val="00F2406F"/>
    <w:rsid w:val="00F25B9C"/>
    <w:rsid w:val="00F2772C"/>
    <w:rsid w:val="00F304F7"/>
    <w:rsid w:val="00F30D13"/>
    <w:rsid w:val="00F313C5"/>
    <w:rsid w:val="00F31899"/>
    <w:rsid w:val="00F357FF"/>
    <w:rsid w:val="00F36AB4"/>
    <w:rsid w:val="00F403C7"/>
    <w:rsid w:val="00F40969"/>
    <w:rsid w:val="00F42A2B"/>
    <w:rsid w:val="00F4646B"/>
    <w:rsid w:val="00F46966"/>
    <w:rsid w:val="00F47F42"/>
    <w:rsid w:val="00F50CF0"/>
    <w:rsid w:val="00F5106C"/>
    <w:rsid w:val="00F557F3"/>
    <w:rsid w:val="00F55BF9"/>
    <w:rsid w:val="00F5641F"/>
    <w:rsid w:val="00F566BF"/>
    <w:rsid w:val="00F56C4E"/>
    <w:rsid w:val="00F61869"/>
    <w:rsid w:val="00F61E12"/>
    <w:rsid w:val="00F63770"/>
    <w:rsid w:val="00F64487"/>
    <w:rsid w:val="00F64CF9"/>
    <w:rsid w:val="00F658E6"/>
    <w:rsid w:val="00F702EE"/>
    <w:rsid w:val="00F72363"/>
    <w:rsid w:val="00F749E9"/>
    <w:rsid w:val="00F75234"/>
    <w:rsid w:val="00F757B7"/>
    <w:rsid w:val="00F77AF1"/>
    <w:rsid w:val="00F80B6C"/>
    <w:rsid w:val="00F80C74"/>
    <w:rsid w:val="00F80F68"/>
    <w:rsid w:val="00F820D9"/>
    <w:rsid w:val="00F83974"/>
    <w:rsid w:val="00F83ADF"/>
    <w:rsid w:val="00F84146"/>
    <w:rsid w:val="00F842E0"/>
    <w:rsid w:val="00F8442D"/>
    <w:rsid w:val="00F90502"/>
    <w:rsid w:val="00F90DCC"/>
    <w:rsid w:val="00F918AC"/>
    <w:rsid w:val="00F93020"/>
    <w:rsid w:val="00F93FD8"/>
    <w:rsid w:val="00F94BB3"/>
    <w:rsid w:val="00F95EC2"/>
    <w:rsid w:val="00F97D9D"/>
    <w:rsid w:val="00FA08F8"/>
    <w:rsid w:val="00FA0D3C"/>
    <w:rsid w:val="00FA2C61"/>
    <w:rsid w:val="00FA5BF7"/>
    <w:rsid w:val="00FA60D0"/>
    <w:rsid w:val="00FA66FF"/>
    <w:rsid w:val="00FA78FB"/>
    <w:rsid w:val="00FA7E9B"/>
    <w:rsid w:val="00FB17D6"/>
    <w:rsid w:val="00FB3DDA"/>
    <w:rsid w:val="00FB505D"/>
    <w:rsid w:val="00FB573A"/>
    <w:rsid w:val="00FB59AD"/>
    <w:rsid w:val="00FB5EDE"/>
    <w:rsid w:val="00FC1211"/>
    <w:rsid w:val="00FC1F77"/>
    <w:rsid w:val="00FC403C"/>
    <w:rsid w:val="00FC4463"/>
    <w:rsid w:val="00FC4525"/>
    <w:rsid w:val="00FC7F7D"/>
    <w:rsid w:val="00FD1FFE"/>
    <w:rsid w:val="00FD7B09"/>
    <w:rsid w:val="00FE08B0"/>
    <w:rsid w:val="00FE3A06"/>
    <w:rsid w:val="00FE7985"/>
    <w:rsid w:val="00FE7E9B"/>
    <w:rsid w:val="00FF0180"/>
    <w:rsid w:val="00FF7F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rules v:ext="edit">
        <o:r id="V:Rule14" type="connector" idref="#_x0000_s1160"/>
        <o:r id="V:Rule15" type="connector" idref="#_x0000_s1229"/>
        <o:r id="V:Rule16" type="connector" idref="#_x0000_s1231"/>
        <o:r id="V:Rule17" type="connector" idref="#_x0000_s1162"/>
        <o:r id="V:Rule18" type="connector" idref="#AutoShape 27"/>
        <o:r id="V:Rule19" type="connector" idref="#AutoShape 35"/>
        <o:r id="V:Rule20" type="connector" idref="#AutoShape 83"/>
        <o:r id="V:Rule21" type="connector" idref="#AutoShape 26"/>
        <o:r id="V:Rule22" type="connector" idref="#_x0000_s1230"/>
        <o:r id="V:Rule23" type="connector" idref="#AutoShape 101"/>
        <o:r id="V:Rule24" type="connector" idref="#AutoShape 85"/>
        <o:r id="V:Rule25" type="connector" idref="#_x0000_s1159"/>
        <o:r id="V:Rule26" type="connector" idref="#AutoShape 1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5144D"/>
    <w:pPr>
      <w:ind w:firstLine="709"/>
      <w:jc w:val="both"/>
    </w:pPr>
    <w:rPr>
      <w:rFonts w:ascii="Times New Roman" w:hAnsi="Times New Roman"/>
      <w:sz w:val="28"/>
      <w:szCs w:val="28"/>
      <w:lang w:eastAsia="en-US"/>
    </w:rPr>
  </w:style>
  <w:style w:type="paragraph" w:styleId="11">
    <w:name w:val="heading 1"/>
    <w:basedOn w:val="a0"/>
    <w:next w:val="a0"/>
    <w:link w:val="12"/>
    <w:uiPriority w:val="9"/>
    <w:qFormat/>
    <w:rsid w:val="00EC4BC4"/>
    <w:pPr>
      <w:keepNext/>
      <w:spacing w:before="240" w:after="60"/>
      <w:outlineLvl w:val="0"/>
    </w:pPr>
    <w:rPr>
      <w:rFonts w:ascii="Cambria" w:eastAsia="Times New Roman" w:hAnsi="Cambria"/>
      <w:b/>
      <w:bCs/>
      <w:kern w:val="32"/>
      <w:sz w:val="32"/>
      <w:szCs w:val="32"/>
    </w:rPr>
  </w:style>
  <w:style w:type="paragraph" w:styleId="20">
    <w:name w:val="heading 2"/>
    <w:basedOn w:val="a0"/>
    <w:next w:val="a0"/>
    <w:link w:val="21"/>
    <w:uiPriority w:val="9"/>
    <w:unhideWhenUsed/>
    <w:qFormat/>
    <w:rsid w:val="0073126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next w:val="a0"/>
    <w:link w:val="31"/>
    <w:uiPriority w:val="9"/>
    <w:unhideWhenUsed/>
    <w:qFormat/>
    <w:rsid w:val="00731266"/>
    <w:pPr>
      <w:keepNext/>
      <w:keepLines/>
      <w:spacing w:before="200"/>
      <w:outlineLvl w:val="2"/>
    </w:pPr>
    <w:rPr>
      <w:rFonts w:ascii="Cambria" w:eastAsia="Times New Roman" w:hAnsi="Cambria"/>
      <w:b/>
      <w:bCs/>
      <w:color w:val="4F81BD"/>
    </w:rPr>
  </w:style>
  <w:style w:type="paragraph" w:styleId="40">
    <w:name w:val="heading 4"/>
    <w:basedOn w:val="a0"/>
    <w:next w:val="a0"/>
    <w:link w:val="41"/>
    <w:uiPriority w:val="9"/>
    <w:unhideWhenUsed/>
    <w:qFormat/>
    <w:rsid w:val="00AE3E2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uiPriority w:val="9"/>
    <w:rsid w:val="00EC4BC4"/>
    <w:rPr>
      <w:rFonts w:ascii="Cambria" w:eastAsia="Times New Roman" w:hAnsi="Cambria" w:cs="Times New Roman"/>
      <w:b/>
      <w:bCs/>
      <w:kern w:val="32"/>
      <w:sz w:val="32"/>
      <w:szCs w:val="32"/>
      <w:lang w:eastAsia="en-US"/>
    </w:rPr>
  </w:style>
  <w:style w:type="character" w:styleId="a4">
    <w:name w:val="Hyperlink"/>
    <w:basedOn w:val="a1"/>
    <w:uiPriority w:val="99"/>
    <w:unhideWhenUsed/>
    <w:rsid w:val="0095144D"/>
    <w:rPr>
      <w:color w:val="0000FF"/>
      <w:u w:val="single"/>
    </w:rPr>
  </w:style>
  <w:style w:type="paragraph" w:styleId="a5">
    <w:name w:val="List Paragraph"/>
    <w:aliases w:val="Нумерованый список,List Paragraph1"/>
    <w:basedOn w:val="a0"/>
    <w:link w:val="a6"/>
    <w:uiPriority w:val="99"/>
    <w:qFormat/>
    <w:rsid w:val="00E34ACB"/>
    <w:pPr>
      <w:ind w:left="720"/>
      <w:contextualSpacing/>
    </w:pPr>
  </w:style>
  <w:style w:type="character" w:customStyle="1" w:styleId="a6">
    <w:name w:val="Абзац списка Знак"/>
    <w:aliases w:val="Нумерованый список Знак,List Paragraph1 Знак"/>
    <w:basedOn w:val="a1"/>
    <w:link w:val="a5"/>
    <w:uiPriority w:val="99"/>
    <w:rsid w:val="00B23641"/>
    <w:rPr>
      <w:rFonts w:ascii="Times New Roman" w:hAnsi="Times New Roman"/>
      <w:sz w:val="28"/>
      <w:szCs w:val="28"/>
      <w:lang w:eastAsia="en-US"/>
    </w:rPr>
  </w:style>
  <w:style w:type="paragraph" w:styleId="a7">
    <w:name w:val="TOC Heading"/>
    <w:basedOn w:val="11"/>
    <w:next w:val="a0"/>
    <w:uiPriority w:val="39"/>
    <w:unhideWhenUsed/>
    <w:qFormat/>
    <w:rsid w:val="00EC4BC4"/>
    <w:pPr>
      <w:keepLines/>
      <w:spacing w:before="480" w:after="0" w:line="276" w:lineRule="auto"/>
      <w:ind w:firstLine="0"/>
      <w:jc w:val="left"/>
      <w:outlineLvl w:val="9"/>
    </w:pPr>
    <w:rPr>
      <w:color w:val="365F91"/>
      <w:kern w:val="0"/>
      <w:sz w:val="28"/>
      <w:szCs w:val="28"/>
    </w:rPr>
  </w:style>
  <w:style w:type="paragraph" w:styleId="13">
    <w:name w:val="toc 1"/>
    <w:basedOn w:val="a0"/>
    <w:next w:val="a0"/>
    <w:autoRedefine/>
    <w:uiPriority w:val="39"/>
    <w:unhideWhenUsed/>
    <w:qFormat/>
    <w:rsid w:val="005711E9"/>
    <w:pPr>
      <w:tabs>
        <w:tab w:val="left" w:pos="567"/>
        <w:tab w:val="right" w:leader="hyphen" w:pos="9345"/>
      </w:tabs>
      <w:ind w:firstLine="0"/>
    </w:pPr>
  </w:style>
  <w:style w:type="paragraph" w:styleId="a8">
    <w:name w:val="Subtitle"/>
    <w:basedOn w:val="a0"/>
    <w:next w:val="a0"/>
    <w:link w:val="a9"/>
    <w:qFormat/>
    <w:rsid w:val="002B0581"/>
    <w:pPr>
      <w:spacing w:after="60"/>
      <w:jc w:val="center"/>
      <w:outlineLvl w:val="1"/>
    </w:pPr>
    <w:rPr>
      <w:rFonts w:ascii="Cambria" w:eastAsia="Times New Roman" w:hAnsi="Cambria"/>
      <w:sz w:val="24"/>
      <w:szCs w:val="24"/>
    </w:rPr>
  </w:style>
  <w:style w:type="character" w:customStyle="1" w:styleId="a9">
    <w:name w:val="Подзаголовок Знак"/>
    <w:basedOn w:val="a1"/>
    <w:link w:val="a8"/>
    <w:rsid w:val="002B0581"/>
    <w:rPr>
      <w:rFonts w:ascii="Cambria" w:eastAsia="Times New Roman" w:hAnsi="Cambria" w:cs="Times New Roman"/>
      <w:sz w:val="24"/>
      <w:szCs w:val="24"/>
      <w:lang w:eastAsia="en-US"/>
    </w:rPr>
  </w:style>
  <w:style w:type="paragraph" w:styleId="22">
    <w:name w:val="toc 2"/>
    <w:basedOn w:val="a0"/>
    <w:next w:val="a0"/>
    <w:autoRedefine/>
    <w:uiPriority w:val="39"/>
    <w:unhideWhenUsed/>
    <w:qFormat/>
    <w:rsid w:val="00733C41"/>
    <w:pPr>
      <w:tabs>
        <w:tab w:val="left" w:pos="1134"/>
        <w:tab w:val="right" w:leader="hyphen" w:pos="9345"/>
      </w:tabs>
      <w:ind w:left="280" w:firstLine="287"/>
    </w:pPr>
    <w:rPr>
      <w:noProof/>
      <w:lang w:eastAsia="ru-RU"/>
    </w:rPr>
  </w:style>
  <w:style w:type="paragraph" w:styleId="aa">
    <w:name w:val="Document Map"/>
    <w:basedOn w:val="a0"/>
    <w:link w:val="ab"/>
    <w:uiPriority w:val="99"/>
    <w:semiHidden/>
    <w:unhideWhenUsed/>
    <w:rsid w:val="005711E9"/>
    <w:rPr>
      <w:rFonts w:ascii="Tahoma" w:hAnsi="Tahoma" w:cs="Tahoma"/>
      <w:sz w:val="16"/>
      <w:szCs w:val="16"/>
    </w:rPr>
  </w:style>
  <w:style w:type="character" w:customStyle="1" w:styleId="ab">
    <w:name w:val="Схема документа Знак"/>
    <w:basedOn w:val="a1"/>
    <w:link w:val="aa"/>
    <w:uiPriority w:val="99"/>
    <w:semiHidden/>
    <w:rsid w:val="005711E9"/>
    <w:rPr>
      <w:rFonts w:ascii="Tahoma" w:hAnsi="Tahoma" w:cs="Tahoma"/>
      <w:sz w:val="16"/>
      <w:szCs w:val="16"/>
      <w:lang w:eastAsia="en-US"/>
    </w:rPr>
  </w:style>
  <w:style w:type="paragraph" w:styleId="ac">
    <w:name w:val="No Spacing"/>
    <w:link w:val="ad"/>
    <w:uiPriority w:val="1"/>
    <w:qFormat/>
    <w:rsid w:val="0050069D"/>
    <w:pPr>
      <w:ind w:firstLine="709"/>
      <w:jc w:val="both"/>
    </w:pPr>
    <w:rPr>
      <w:rFonts w:ascii="Times New Roman" w:hAnsi="Times New Roman"/>
      <w:sz w:val="28"/>
      <w:szCs w:val="28"/>
      <w:lang w:eastAsia="en-US"/>
    </w:rPr>
  </w:style>
  <w:style w:type="table" w:styleId="ae">
    <w:name w:val="Table Grid"/>
    <w:basedOn w:val="a2"/>
    <w:rsid w:val="005006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note text"/>
    <w:aliases w:val="single space,Текст сноски-FN,ft,Used by Word for text of Help footnotes,Style 7,Footnote Text Char,Char,Char Знак Знак,Table_Footnote_last,Текст сноски Знак Знак,Текст сноски Знак Знак Знак,fn,o,footnote text, Char, Char Знак Знак"/>
    <w:basedOn w:val="a0"/>
    <w:link w:val="af0"/>
    <w:uiPriority w:val="99"/>
    <w:unhideWhenUsed/>
    <w:rsid w:val="004E0231"/>
    <w:rPr>
      <w:sz w:val="20"/>
      <w:szCs w:val="20"/>
    </w:rPr>
  </w:style>
  <w:style w:type="character" w:customStyle="1" w:styleId="af0">
    <w:name w:val="Текст сноски Знак"/>
    <w:aliases w:val="single space Знак,Текст сноски-FN Знак,ft Знак,Used by Word for text of Help footnotes Знак,Style 7 Знак,Footnote Text Char Знак,Char Знак,Char Знак Знак Знак,Table_Footnote_last Знак,Текст сноски Знак Знак Знак1,fn Знак,o Знак"/>
    <w:basedOn w:val="a1"/>
    <w:link w:val="af"/>
    <w:uiPriority w:val="99"/>
    <w:rsid w:val="004E0231"/>
    <w:rPr>
      <w:rFonts w:ascii="Times New Roman" w:hAnsi="Times New Roman"/>
      <w:lang w:eastAsia="en-US"/>
    </w:rPr>
  </w:style>
  <w:style w:type="character" w:styleId="af1">
    <w:name w:val="footnote reference"/>
    <w:aliases w:val="fr,Used by Word for Help footnote symbols,Знак сноски-FN,Ciae niinee-FN,Знак сноски 1,Ссылка на сноску 45,Footnote Reference Number"/>
    <w:basedOn w:val="a1"/>
    <w:uiPriority w:val="99"/>
    <w:unhideWhenUsed/>
    <w:rsid w:val="004E0231"/>
    <w:rPr>
      <w:vertAlign w:val="superscript"/>
    </w:rPr>
  </w:style>
  <w:style w:type="character" w:styleId="af2">
    <w:name w:val="annotation reference"/>
    <w:basedOn w:val="a1"/>
    <w:uiPriority w:val="99"/>
    <w:unhideWhenUsed/>
    <w:rsid w:val="00B743DC"/>
    <w:rPr>
      <w:sz w:val="16"/>
      <w:szCs w:val="16"/>
    </w:rPr>
  </w:style>
  <w:style w:type="paragraph" w:styleId="af3">
    <w:name w:val="annotation text"/>
    <w:basedOn w:val="a0"/>
    <w:link w:val="af4"/>
    <w:uiPriority w:val="99"/>
    <w:unhideWhenUsed/>
    <w:rsid w:val="00B743DC"/>
    <w:rPr>
      <w:sz w:val="20"/>
      <w:szCs w:val="20"/>
    </w:rPr>
  </w:style>
  <w:style w:type="character" w:customStyle="1" w:styleId="af4">
    <w:name w:val="Текст примечания Знак"/>
    <w:basedOn w:val="a1"/>
    <w:link w:val="af3"/>
    <w:uiPriority w:val="99"/>
    <w:rsid w:val="00B743DC"/>
    <w:rPr>
      <w:rFonts w:ascii="Times New Roman" w:hAnsi="Times New Roman"/>
      <w:lang w:eastAsia="en-US"/>
    </w:rPr>
  </w:style>
  <w:style w:type="paragraph" w:styleId="af5">
    <w:name w:val="annotation subject"/>
    <w:basedOn w:val="af3"/>
    <w:next w:val="af3"/>
    <w:link w:val="af6"/>
    <w:uiPriority w:val="99"/>
    <w:semiHidden/>
    <w:unhideWhenUsed/>
    <w:rsid w:val="00B743DC"/>
    <w:rPr>
      <w:b/>
      <w:bCs/>
    </w:rPr>
  </w:style>
  <w:style w:type="character" w:customStyle="1" w:styleId="af6">
    <w:name w:val="Тема примечания Знак"/>
    <w:basedOn w:val="af4"/>
    <w:link w:val="af5"/>
    <w:uiPriority w:val="99"/>
    <w:semiHidden/>
    <w:rsid w:val="00B743DC"/>
    <w:rPr>
      <w:rFonts w:ascii="Times New Roman" w:hAnsi="Times New Roman"/>
      <w:b/>
      <w:bCs/>
      <w:lang w:eastAsia="en-US"/>
    </w:rPr>
  </w:style>
  <w:style w:type="paragraph" w:styleId="af7">
    <w:name w:val="Balloon Text"/>
    <w:basedOn w:val="a0"/>
    <w:link w:val="af8"/>
    <w:uiPriority w:val="99"/>
    <w:semiHidden/>
    <w:unhideWhenUsed/>
    <w:rsid w:val="00B743DC"/>
    <w:rPr>
      <w:rFonts w:ascii="Tahoma" w:hAnsi="Tahoma" w:cs="Tahoma"/>
      <w:sz w:val="16"/>
      <w:szCs w:val="16"/>
    </w:rPr>
  </w:style>
  <w:style w:type="character" w:customStyle="1" w:styleId="af8">
    <w:name w:val="Текст выноски Знак"/>
    <w:basedOn w:val="a1"/>
    <w:link w:val="af7"/>
    <w:uiPriority w:val="99"/>
    <w:semiHidden/>
    <w:rsid w:val="00B743DC"/>
    <w:rPr>
      <w:rFonts w:ascii="Tahoma" w:hAnsi="Tahoma" w:cs="Tahoma"/>
      <w:sz w:val="16"/>
      <w:szCs w:val="16"/>
      <w:lang w:eastAsia="en-US"/>
    </w:rPr>
  </w:style>
  <w:style w:type="paragraph" w:styleId="af9">
    <w:name w:val="footer"/>
    <w:basedOn w:val="a0"/>
    <w:link w:val="afa"/>
    <w:uiPriority w:val="99"/>
    <w:rsid w:val="00A232BD"/>
    <w:pPr>
      <w:tabs>
        <w:tab w:val="center" w:pos="4153"/>
        <w:tab w:val="right" w:pos="8306"/>
      </w:tabs>
      <w:ind w:firstLine="0"/>
      <w:jc w:val="left"/>
    </w:pPr>
    <w:rPr>
      <w:rFonts w:eastAsia="Times New Roman"/>
      <w:sz w:val="20"/>
      <w:szCs w:val="20"/>
      <w:lang w:eastAsia="ru-RU"/>
    </w:rPr>
  </w:style>
  <w:style w:type="character" w:customStyle="1" w:styleId="afa">
    <w:name w:val="Нижний колонтитул Знак"/>
    <w:basedOn w:val="a1"/>
    <w:link w:val="af9"/>
    <w:uiPriority w:val="99"/>
    <w:rsid w:val="00A232BD"/>
    <w:rPr>
      <w:rFonts w:ascii="Times New Roman" w:eastAsia="Times New Roman" w:hAnsi="Times New Roman"/>
    </w:rPr>
  </w:style>
  <w:style w:type="paragraph" w:styleId="afb">
    <w:name w:val="Revision"/>
    <w:hidden/>
    <w:uiPriority w:val="99"/>
    <w:semiHidden/>
    <w:rsid w:val="00127CF3"/>
    <w:rPr>
      <w:rFonts w:ascii="Times New Roman" w:hAnsi="Times New Roman"/>
      <w:sz w:val="28"/>
      <w:szCs w:val="28"/>
      <w:lang w:eastAsia="en-US"/>
    </w:rPr>
  </w:style>
  <w:style w:type="paragraph" w:customStyle="1" w:styleId="ConsPlusNormal">
    <w:name w:val="ConsPlusNormal"/>
    <w:rsid w:val="00B23641"/>
    <w:pPr>
      <w:autoSpaceDE w:val="0"/>
      <w:autoSpaceDN w:val="0"/>
      <w:adjustRightInd w:val="0"/>
    </w:pPr>
    <w:rPr>
      <w:rFonts w:ascii="Arial" w:eastAsiaTheme="minorHAnsi" w:hAnsi="Arial" w:cs="Arial"/>
      <w:lang w:eastAsia="en-US"/>
    </w:rPr>
  </w:style>
  <w:style w:type="paragraph" w:customStyle="1" w:styleId="ConsPlusTitle">
    <w:name w:val="ConsPlusTitle"/>
    <w:basedOn w:val="a0"/>
    <w:uiPriority w:val="99"/>
    <w:rsid w:val="00B23641"/>
    <w:pPr>
      <w:autoSpaceDE w:val="0"/>
      <w:autoSpaceDN w:val="0"/>
      <w:ind w:firstLine="0"/>
      <w:jc w:val="left"/>
    </w:pPr>
    <w:rPr>
      <w:rFonts w:ascii="Calibri" w:eastAsiaTheme="minorHAnsi" w:hAnsi="Calibri"/>
      <w:b/>
      <w:bCs/>
      <w:sz w:val="22"/>
      <w:szCs w:val="22"/>
      <w:lang w:eastAsia="ru-RU"/>
    </w:rPr>
  </w:style>
  <w:style w:type="paragraph" w:styleId="afc">
    <w:name w:val="Normal (Web)"/>
    <w:aliases w:val="Обычный (Web)"/>
    <w:basedOn w:val="a0"/>
    <w:uiPriority w:val="99"/>
    <w:unhideWhenUsed/>
    <w:rsid w:val="00A25C02"/>
    <w:pPr>
      <w:spacing w:before="100" w:beforeAutospacing="1" w:after="100" w:afterAutospacing="1"/>
      <w:ind w:firstLine="0"/>
      <w:jc w:val="left"/>
    </w:pPr>
    <w:rPr>
      <w:rFonts w:eastAsia="Times New Roman"/>
      <w:sz w:val="24"/>
      <w:szCs w:val="24"/>
      <w:lang w:eastAsia="ru-RU"/>
    </w:rPr>
  </w:style>
  <w:style w:type="paragraph" w:customStyle="1" w:styleId="FR2">
    <w:name w:val="FR2"/>
    <w:rsid w:val="00095B3E"/>
    <w:pPr>
      <w:widowControl w:val="0"/>
      <w:spacing w:line="300" w:lineRule="auto"/>
      <w:ind w:firstLine="480"/>
      <w:jc w:val="both"/>
    </w:pPr>
    <w:rPr>
      <w:rFonts w:ascii="Arial" w:eastAsia="Times New Roman" w:hAnsi="Arial" w:cs="Arial"/>
      <w:sz w:val="16"/>
      <w:szCs w:val="16"/>
    </w:rPr>
  </w:style>
  <w:style w:type="paragraph" w:customStyle="1" w:styleId="ConsPlusNonformat">
    <w:name w:val="ConsPlusNonformat"/>
    <w:uiPriority w:val="99"/>
    <w:rsid w:val="00095B3E"/>
    <w:pPr>
      <w:autoSpaceDE w:val="0"/>
      <w:autoSpaceDN w:val="0"/>
      <w:adjustRightInd w:val="0"/>
    </w:pPr>
    <w:rPr>
      <w:rFonts w:ascii="Courier New" w:eastAsiaTheme="minorHAnsi" w:hAnsi="Courier New" w:cs="Courier New"/>
      <w:lang w:eastAsia="en-US"/>
    </w:rPr>
  </w:style>
  <w:style w:type="character" w:customStyle="1" w:styleId="A50">
    <w:name w:val="A5"/>
    <w:uiPriority w:val="99"/>
    <w:rsid w:val="00D85E4D"/>
    <w:rPr>
      <w:rFonts w:cs="PT Sans"/>
      <w:color w:val="221E1F"/>
      <w:sz w:val="17"/>
      <w:szCs w:val="17"/>
    </w:rPr>
  </w:style>
  <w:style w:type="character" w:styleId="afd">
    <w:name w:val="FollowedHyperlink"/>
    <w:basedOn w:val="a1"/>
    <w:uiPriority w:val="99"/>
    <w:semiHidden/>
    <w:unhideWhenUsed/>
    <w:rsid w:val="00DA038A"/>
    <w:rPr>
      <w:color w:val="800080" w:themeColor="followedHyperlink"/>
      <w:u w:val="single"/>
    </w:rPr>
  </w:style>
  <w:style w:type="paragraph" w:styleId="afe">
    <w:name w:val="header"/>
    <w:basedOn w:val="a0"/>
    <w:link w:val="aff"/>
    <w:uiPriority w:val="99"/>
    <w:unhideWhenUsed/>
    <w:rsid w:val="00F30D13"/>
    <w:pPr>
      <w:tabs>
        <w:tab w:val="center" w:pos="4677"/>
        <w:tab w:val="right" w:pos="9355"/>
      </w:tabs>
    </w:pPr>
  </w:style>
  <w:style w:type="character" w:customStyle="1" w:styleId="aff">
    <w:name w:val="Верхний колонтитул Знак"/>
    <w:basedOn w:val="a1"/>
    <w:link w:val="afe"/>
    <w:uiPriority w:val="99"/>
    <w:rsid w:val="00F30D13"/>
    <w:rPr>
      <w:rFonts w:ascii="Times New Roman" w:hAnsi="Times New Roman"/>
      <w:sz w:val="28"/>
      <w:szCs w:val="28"/>
      <w:lang w:eastAsia="en-US"/>
    </w:rPr>
  </w:style>
  <w:style w:type="character" w:customStyle="1" w:styleId="SUBST">
    <w:name w:val="__SUBST"/>
    <w:uiPriority w:val="99"/>
    <w:rsid w:val="001C3B53"/>
  </w:style>
  <w:style w:type="paragraph" w:customStyle="1" w:styleId="14">
    <w:name w:val="Абзац списка1"/>
    <w:basedOn w:val="a0"/>
    <w:rsid w:val="00950820"/>
    <w:pPr>
      <w:ind w:left="720"/>
      <w:contextualSpacing/>
    </w:pPr>
    <w:rPr>
      <w:rFonts w:eastAsia="Times New Roman"/>
      <w:sz w:val="24"/>
      <w:szCs w:val="24"/>
      <w:lang w:eastAsia="ru-RU"/>
    </w:rPr>
  </w:style>
  <w:style w:type="character" w:customStyle="1" w:styleId="Subst0">
    <w:name w:val="Subst"/>
    <w:rsid w:val="00DC6005"/>
    <w:rPr>
      <w:b/>
      <w:bCs/>
      <w:i/>
      <w:iCs/>
    </w:rPr>
  </w:style>
  <w:style w:type="character" w:customStyle="1" w:styleId="21">
    <w:name w:val="Заголовок 2 Знак"/>
    <w:basedOn w:val="a1"/>
    <w:link w:val="20"/>
    <w:uiPriority w:val="9"/>
    <w:rsid w:val="00731266"/>
    <w:rPr>
      <w:rFonts w:asciiTheme="majorHAnsi" w:eastAsiaTheme="majorEastAsia" w:hAnsiTheme="majorHAnsi" w:cstheme="majorBidi"/>
      <w:b/>
      <w:bCs/>
      <w:color w:val="4F81BD" w:themeColor="accent1"/>
      <w:sz w:val="26"/>
      <w:szCs w:val="26"/>
      <w:lang w:eastAsia="en-US"/>
    </w:rPr>
  </w:style>
  <w:style w:type="character" w:customStyle="1" w:styleId="31">
    <w:name w:val="Заголовок 3 Знак"/>
    <w:basedOn w:val="a1"/>
    <w:link w:val="30"/>
    <w:uiPriority w:val="9"/>
    <w:rsid w:val="00731266"/>
    <w:rPr>
      <w:rFonts w:ascii="Cambria" w:eastAsia="Times New Roman" w:hAnsi="Cambria"/>
      <w:b/>
      <w:bCs/>
      <w:color w:val="4F81BD"/>
      <w:sz w:val="28"/>
      <w:szCs w:val="28"/>
      <w:lang w:eastAsia="en-US"/>
    </w:rPr>
  </w:style>
  <w:style w:type="numbering" w:customStyle="1" w:styleId="10">
    <w:name w:val="Стиль1"/>
    <w:uiPriority w:val="99"/>
    <w:rsid w:val="00731266"/>
    <w:pPr>
      <w:numPr>
        <w:numId w:val="92"/>
      </w:numPr>
    </w:pPr>
  </w:style>
  <w:style w:type="paragraph" w:styleId="32">
    <w:name w:val="toc 3"/>
    <w:basedOn w:val="a0"/>
    <w:next w:val="a0"/>
    <w:autoRedefine/>
    <w:uiPriority w:val="39"/>
    <w:unhideWhenUsed/>
    <w:qFormat/>
    <w:rsid w:val="00731266"/>
    <w:pPr>
      <w:spacing w:after="100" w:line="276" w:lineRule="auto"/>
      <w:ind w:left="440" w:firstLine="0"/>
      <w:jc w:val="left"/>
    </w:pPr>
    <w:rPr>
      <w:rFonts w:ascii="Calibri" w:eastAsia="Times New Roman" w:hAnsi="Calibri"/>
      <w:sz w:val="22"/>
      <w:szCs w:val="22"/>
    </w:rPr>
  </w:style>
  <w:style w:type="paragraph" w:customStyle="1" w:styleId="Pa1">
    <w:name w:val="Pa1"/>
    <w:basedOn w:val="a0"/>
    <w:next w:val="a0"/>
    <w:rsid w:val="00731266"/>
    <w:pPr>
      <w:autoSpaceDE w:val="0"/>
      <w:autoSpaceDN w:val="0"/>
      <w:adjustRightInd w:val="0"/>
      <w:spacing w:line="181" w:lineRule="atLeast"/>
      <w:ind w:firstLine="0"/>
      <w:jc w:val="left"/>
    </w:pPr>
    <w:rPr>
      <w:rFonts w:ascii="PT Sans" w:eastAsia="Times New Roman" w:hAnsi="PT Sans"/>
      <w:sz w:val="24"/>
      <w:szCs w:val="24"/>
      <w:lang w:eastAsia="ru-RU"/>
    </w:rPr>
  </w:style>
  <w:style w:type="character" w:customStyle="1" w:styleId="apple-converted-space">
    <w:name w:val="apple-converted-space"/>
    <w:rsid w:val="00731266"/>
    <w:rPr>
      <w:rFonts w:cs="Times New Roman"/>
    </w:rPr>
  </w:style>
  <w:style w:type="paragraph" w:styleId="42">
    <w:name w:val="toc 4"/>
    <w:basedOn w:val="a0"/>
    <w:next w:val="a0"/>
    <w:autoRedefine/>
    <w:uiPriority w:val="39"/>
    <w:unhideWhenUsed/>
    <w:rsid w:val="00731266"/>
    <w:pPr>
      <w:spacing w:after="100" w:line="276" w:lineRule="auto"/>
      <w:ind w:left="660" w:firstLine="0"/>
      <w:jc w:val="left"/>
    </w:pPr>
    <w:rPr>
      <w:rFonts w:ascii="Calibri" w:eastAsia="Times New Roman" w:hAnsi="Calibri"/>
      <w:sz w:val="22"/>
      <w:szCs w:val="22"/>
      <w:lang w:eastAsia="ru-RU"/>
    </w:rPr>
  </w:style>
  <w:style w:type="paragraph" w:styleId="50">
    <w:name w:val="toc 5"/>
    <w:basedOn w:val="a0"/>
    <w:next w:val="a0"/>
    <w:autoRedefine/>
    <w:uiPriority w:val="39"/>
    <w:unhideWhenUsed/>
    <w:rsid w:val="00731266"/>
    <w:pPr>
      <w:spacing w:after="100" w:line="276" w:lineRule="auto"/>
      <w:ind w:left="880" w:firstLine="0"/>
      <w:jc w:val="left"/>
    </w:pPr>
    <w:rPr>
      <w:rFonts w:ascii="Calibri" w:eastAsia="Times New Roman" w:hAnsi="Calibri"/>
      <w:sz w:val="22"/>
      <w:szCs w:val="22"/>
      <w:lang w:eastAsia="ru-RU"/>
    </w:rPr>
  </w:style>
  <w:style w:type="paragraph" w:styleId="6">
    <w:name w:val="toc 6"/>
    <w:basedOn w:val="a0"/>
    <w:next w:val="a0"/>
    <w:autoRedefine/>
    <w:uiPriority w:val="39"/>
    <w:unhideWhenUsed/>
    <w:rsid w:val="00731266"/>
    <w:pPr>
      <w:spacing w:after="100" w:line="276" w:lineRule="auto"/>
      <w:ind w:left="1100" w:firstLine="0"/>
      <w:jc w:val="left"/>
    </w:pPr>
    <w:rPr>
      <w:rFonts w:ascii="Calibri" w:eastAsia="Times New Roman" w:hAnsi="Calibri"/>
      <w:sz w:val="22"/>
      <w:szCs w:val="22"/>
      <w:lang w:eastAsia="ru-RU"/>
    </w:rPr>
  </w:style>
  <w:style w:type="paragraph" w:styleId="7">
    <w:name w:val="toc 7"/>
    <w:basedOn w:val="a0"/>
    <w:next w:val="a0"/>
    <w:autoRedefine/>
    <w:uiPriority w:val="39"/>
    <w:unhideWhenUsed/>
    <w:rsid w:val="00731266"/>
    <w:pPr>
      <w:spacing w:after="100" w:line="276" w:lineRule="auto"/>
      <w:ind w:left="1320" w:firstLine="0"/>
      <w:jc w:val="left"/>
    </w:pPr>
    <w:rPr>
      <w:rFonts w:ascii="Calibri" w:eastAsia="Times New Roman" w:hAnsi="Calibri"/>
      <w:sz w:val="22"/>
      <w:szCs w:val="22"/>
      <w:lang w:eastAsia="ru-RU"/>
    </w:rPr>
  </w:style>
  <w:style w:type="paragraph" w:styleId="8">
    <w:name w:val="toc 8"/>
    <w:basedOn w:val="a0"/>
    <w:next w:val="a0"/>
    <w:autoRedefine/>
    <w:uiPriority w:val="39"/>
    <w:unhideWhenUsed/>
    <w:rsid w:val="00731266"/>
    <w:pPr>
      <w:spacing w:after="100" w:line="276" w:lineRule="auto"/>
      <w:ind w:left="1540" w:firstLine="0"/>
      <w:jc w:val="left"/>
    </w:pPr>
    <w:rPr>
      <w:rFonts w:ascii="Calibri" w:eastAsia="Times New Roman" w:hAnsi="Calibri"/>
      <w:sz w:val="22"/>
      <w:szCs w:val="22"/>
      <w:lang w:eastAsia="ru-RU"/>
    </w:rPr>
  </w:style>
  <w:style w:type="paragraph" w:styleId="9">
    <w:name w:val="toc 9"/>
    <w:basedOn w:val="a0"/>
    <w:next w:val="a0"/>
    <w:autoRedefine/>
    <w:uiPriority w:val="39"/>
    <w:unhideWhenUsed/>
    <w:rsid w:val="00731266"/>
    <w:pPr>
      <w:spacing w:after="100" w:line="276" w:lineRule="auto"/>
      <w:ind w:left="1760" w:firstLine="0"/>
      <w:jc w:val="left"/>
    </w:pPr>
    <w:rPr>
      <w:rFonts w:ascii="Calibri" w:eastAsia="Times New Roman" w:hAnsi="Calibri"/>
      <w:sz w:val="22"/>
      <w:szCs w:val="22"/>
      <w:lang w:eastAsia="ru-RU"/>
    </w:rPr>
  </w:style>
  <w:style w:type="paragraph" w:customStyle="1" w:styleId="23">
    <w:name w:val="Абзац списка2"/>
    <w:basedOn w:val="a0"/>
    <w:rsid w:val="00731266"/>
    <w:pPr>
      <w:ind w:left="720" w:firstLine="0"/>
      <w:contextualSpacing/>
      <w:jc w:val="left"/>
    </w:pPr>
    <w:rPr>
      <w:sz w:val="24"/>
      <w:szCs w:val="24"/>
      <w:lang w:eastAsia="ru-RU"/>
    </w:rPr>
  </w:style>
  <w:style w:type="paragraph" w:customStyle="1" w:styleId="TableContents">
    <w:name w:val="Table Contents"/>
    <w:basedOn w:val="a0"/>
    <w:rsid w:val="00731266"/>
    <w:pPr>
      <w:widowControl w:val="0"/>
      <w:suppressLineNumbers/>
      <w:suppressAutoHyphens/>
      <w:autoSpaceDN w:val="0"/>
      <w:ind w:firstLine="0"/>
      <w:jc w:val="left"/>
      <w:textAlignment w:val="baseline"/>
    </w:pPr>
    <w:rPr>
      <w:rFonts w:eastAsia="SimSun" w:cs="Mangal"/>
      <w:kern w:val="3"/>
      <w:sz w:val="24"/>
      <w:szCs w:val="24"/>
      <w:lang w:eastAsia="zh-CN" w:bidi="hi-IN"/>
    </w:rPr>
  </w:style>
  <w:style w:type="paragraph" w:customStyle="1" w:styleId="aff0">
    <w:name w:val="Имя отчета"/>
    <w:basedOn w:val="a0"/>
    <w:autoRedefine/>
    <w:rsid w:val="00731266"/>
    <w:pPr>
      <w:spacing w:before="120"/>
      <w:ind w:firstLine="720"/>
      <w:jc w:val="center"/>
    </w:pPr>
    <w:rPr>
      <w:rFonts w:ascii="Tahoma" w:eastAsia="SimSun" w:hAnsi="Tahoma" w:cs="Tahoma"/>
      <w:b/>
      <w:caps/>
      <w:sz w:val="48"/>
      <w:szCs w:val="48"/>
      <w:lang w:eastAsia="ru-RU"/>
    </w:rPr>
  </w:style>
  <w:style w:type="paragraph" w:styleId="a">
    <w:name w:val="List Bullet"/>
    <w:basedOn w:val="a0"/>
    <w:autoRedefine/>
    <w:rsid w:val="00731266"/>
    <w:pPr>
      <w:numPr>
        <w:numId w:val="93"/>
      </w:numPr>
      <w:jc w:val="left"/>
    </w:pPr>
    <w:rPr>
      <w:rFonts w:eastAsia="Times New Roman"/>
      <w:sz w:val="24"/>
      <w:szCs w:val="24"/>
      <w:lang w:eastAsia="ru-RU"/>
    </w:rPr>
  </w:style>
  <w:style w:type="paragraph" w:customStyle="1" w:styleId="Default">
    <w:name w:val="Default"/>
    <w:rsid w:val="00731266"/>
    <w:pPr>
      <w:autoSpaceDE w:val="0"/>
      <w:autoSpaceDN w:val="0"/>
      <w:adjustRightInd w:val="0"/>
    </w:pPr>
    <w:rPr>
      <w:rFonts w:ascii="Arial" w:hAnsi="Arial" w:cs="Arial"/>
      <w:color w:val="000000"/>
      <w:sz w:val="24"/>
      <w:szCs w:val="24"/>
      <w:lang w:eastAsia="en-US"/>
    </w:rPr>
  </w:style>
  <w:style w:type="character" w:customStyle="1" w:styleId="ad">
    <w:name w:val="Без интервала Знак"/>
    <w:link w:val="ac"/>
    <w:uiPriority w:val="1"/>
    <w:rsid w:val="00731266"/>
    <w:rPr>
      <w:rFonts w:ascii="Times New Roman" w:hAnsi="Times New Roman"/>
      <w:sz w:val="28"/>
      <w:szCs w:val="28"/>
      <w:lang w:eastAsia="en-US"/>
    </w:rPr>
  </w:style>
  <w:style w:type="paragraph" w:customStyle="1" w:styleId="quote3">
    <w:name w:val="quote3"/>
    <w:basedOn w:val="a0"/>
    <w:rsid w:val="00731266"/>
    <w:pPr>
      <w:spacing w:after="270" w:line="300" w:lineRule="atLeast"/>
      <w:ind w:firstLine="0"/>
      <w:jc w:val="left"/>
    </w:pPr>
    <w:rPr>
      <w:rFonts w:eastAsia="Times New Roman"/>
      <w:b/>
      <w:bCs/>
      <w:caps/>
      <w:color w:val="F39325"/>
      <w:sz w:val="21"/>
      <w:szCs w:val="21"/>
      <w:lang w:eastAsia="ru-RU"/>
    </w:rPr>
  </w:style>
  <w:style w:type="paragraph" w:styleId="aff1">
    <w:name w:val="Body Text Indent"/>
    <w:basedOn w:val="a0"/>
    <w:link w:val="aff2"/>
    <w:uiPriority w:val="99"/>
    <w:rsid w:val="00731266"/>
    <w:pPr>
      <w:spacing w:before="120"/>
      <w:ind w:firstLine="720"/>
    </w:pPr>
    <w:rPr>
      <w:rFonts w:eastAsia="Times New Roman"/>
      <w:sz w:val="24"/>
      <w:szCs w:val="24"/>
    </w:rPr>
  </w:style>
  <w:style w:type="character" w:customStyle="1" w:styleId="aff2">
    <w:name w:val="Основной текст с отступом Знак"/>
    <w:basedOn w:val="a1"/>
    <w:link w:val="aff1"/>
    <w:uiPriority w:val="99"/>
    <w:rsid w:val="00731266"/>
    <w:rPr>
      <w:rFonts w:ascii="Times New Roman" w:eastAsia="Times New Roman" w:hAnsi="Times New Roman"/>
      <w:sz w:val="24"/>
      <w:szCs w:val="24"/>
      <w:lang w:eastAsia="en-US"/>
    </w:rPr>
  </w:style>
  <w:style w:type="paragraph" w:styleId="33">
    <w:name w:val="Body Text 3"/>
    <w:basedOn w:val="a0"/>
    <w:link w:val="34"/>
    <w:uiPriority w:val="99"/>
    <w:rsid w:val="00731266"/>
    <w:pPr>
      <w:spacing w:after="120"/>
      <w:ind w:firstLine="0"/>
      <w:jc w:val="left"/>
    </w:pPr>
    <w:rPr>
      <w:rFonts w:eastAsia="Times New Roman"/>
      <w:sz w:val="16"/>
      <w:szCs w:val="16"/>
      <w:lang w:eastAsia="ru-RU"/>
    </w:rPr>
  </w:style>
  <w:style w:type="character" w:customStyle="1" w:styleId="34">
    <w:name w:val="Основной текст 3 Знак"/>
    <w:basedOn w:val="a1"/>
    <w:link w:val="33"/>
    <w:uiPriority w:val="99"/>
    <w:rsid w:val="00731266"/>
    <w:rPr>
      <w:rFonts w:ascii="Times New Roman" w:eastAsia="Times New Roman" w:hAnsi="Times New Roman"/>
      <w:sz w:val="16"/>
      <w:szCs w:val="16"/>
    </w:rPr>
  </w:style>
  <w:style w:type="paragraph" w:customStyle="1" w:styleId="aff3">
    <w:name w:val="Знак"/>
    <w:basedOn w:val="a0"/>
    <w:rsid w:val="00731266"/>
    <w:pPr>
      <w:spacing w:after="160" w:line="240" w:lineRule="exact"/>
      <w:ind w:firstLine="0"/>
      <w:jc w:val="left"/>
    </w:pPr>
    <w:rPr>
      <w:rFonts w:ascii="Verdana" w:eastAsia="Times New Roman" w:hAnsi="Verdana" w:cs="Verdana"/>
      <w:sz w:val="20"/>
      <w:szCs w:val="20"/>
      <w:lang w:val="en-US"/>
    </w:rPr>
  </w:style>
  <w:style w:type="paragraph" w:customStyle="1" w:styleId="ThinDelim">
    <w:name w:val="Thin Delim"/>
    <w:uiPriority w:val="99"/>
    <w:rsid w:val="00731266"/>
    <w:pPr>
      <w:widowControl w:val="0"/>
      <w:autoSpaceDE w:val="0"/>
      <w:autoSpaceDN w:val="0"/>
      <w:adjustRightInd w:val="0"/>
    </w:pPr>
    <w:rPr>
      <w:rFonts w:ascii="Times New Roman" w:eastAsia="Times New Roman" w:hAnsi="Times New Roman"/>
      <w:sz w:val="16"/>
      <w:szCs w:val="16"/>
    </w:rPr>
  </w:style>
  <w:style w:type="paragraph" w:customStyle="1" w:styleId="SubHeading">
    <w:name w:val="Sub Heading"/>
    <w:uiPriority w:val="99"/>
    <w:rsid w:val="00731266"/>
    <w:pPr>
      <w:widowControl w:val="0"/>
      <w:autoSpaceDE w:val="0"/>
      <w:autoSpaceDN w:val="0"/>
      <w:adjustRightInd w:val="0"/>
      <w:spacing w:before="240" w:after="40"/>
    </w:pPr>
    <w:rPr>
      <w:rFonts w:ascii="Times New Roman" w:eastAsia="Times New Roman" w:hAnsi="Times New Roman"/>
    </w:rPr>
  </w:style>
  <w:style w:type="paragraph" w:customStyle="1" w:styleId="70">
    <w:name w:val="Знак Знак7"/>
    <w:basedOn w:val="a0"/>
    <w:rsid w:val="00731266"/>
    <w:pPr>
      <w:spacing w:after="160" w:line="240" w:lineRule="exact"/>
      <w:ind w:firstLine="0"/>
      <w:jc w:val="left"/>
    </w:pPr>
    <w:rPr>
      <w:rFonts w:ascii="Verdana" w:eastAsia="Times New Roman" w:hAnsi="Verdana" w:cs="Verdana"/>
      <w:sz w:val="20"/>
      <w:szCs w:val="20"/>
      <w:lang w:val="en-US"/>
    </w:rPr>
  </w:style>
  <w:style w:type="paragraph" w:styleId="aff4">
    <w:name w:val="Body Text"/>
    <w:basedOn w:val="a0"/>
    <w:link w:val="aff5"/>
    <w:uiPriority w:val="99"/>
    <w:semiHidden/>
    <w:unhideWhenUsed/>
    <w:rsid w:val="00731266"/>
    <w:pPr>
      <w:spacing w:after="120"/>
    </w:pPr>
  </w:style>
  <w:style w:type="character" w:customStyle="1" w:styleId="aff5">
    <w:name w:val="Основной текст Знак"/>
    <w:basedOn w:val="a1"/>
    <w:link w:val="aff4"/>
    <w:uiPriority w:val="99"/>
    <w:semiHidden/>
    <w:rsid w:val="00731266"/>
    <w:rPr>
      <w:rFonts w:ascii="Times New Roman" w:hAnsi="Times New Roman"/>
      <w:sz w:val="28"/>
      <w:szCs w:val="28"/>
      <w:lang w:eastAsia="en-US"/>
    </w:rPr>
  </w:style>
  <w:style w:type="paragraph" w:customStyle="1" w:styleId="Pa8">
    <w:name w:val="Pa8"/>
    <w:basedOn w:val="a0"/>
    <w:next w:val="a0"/>
    <w:uiPriority w:val="99"/>
    <w:rsid w:val="00731266"/>
    <w:pPr>
      <w:autoSpaceDE w:val="0"/>
      <w:autoSpaceDN w:val="0"/>
      <w:adjustRightInd w:val="0"/>
      <w:spacing w:line="161" w:lineRule="atLeast"/>
      <w:ind w:firstLine="0"/>
      <w:jc w:val="left"/>
    </w:pPr>
    <w:rPr>
      <w:rFonts w:ascii="Fontin Sans CR" w:hAnsi="Fontin Sans CR"/>
      <w:sz w:val="24"/>
      <w:szCs w:val="24"/>
      <w:lang w:eastAsia="ru-RU"/>
    </w:rPr>
  </w:style>
  <w:style w:type="paragraph" w:styleId="aff6">
    <w:name w:val="Normal Indent"/>
    <w:basedOn w:val="a0"/>
    <w:uiPriority w:val="99"/>
    <w:rsid w:val="00731266"/>
    <w:pPr>
      <w:ind w:left="708"/>
    </w:pPr>
  </w:style>
  <w:style w:type="paragraph" w:customStyle="1" w:styleId="1-">
    <w:name w:val="Ненум. список 1-го уровня"/>
    <w:basedOn w:val="a0"/>
    <w:link w:val="1-Char"/>
    <w:qFormat/>
    <w:rsid w:val="00731266"/>
    <w:pPr>
      <w:numPr>
        <w:numId w:val="94"/>
      </w:numPr>
      <w:suppressLineNumbers/>
      <w:spacing w:before="120" w:after="120"/>
    </w:pPr>
    <w:rPr>
      <w:rFonts w:ascii="Verdana" w:eastAsia="Times New Roman" w:hAnsi="Verdana"/>
      <w:sz w:val="20"/>
      <w:szCs w:val="20"/>
      <w:lang w:eastAsia="en-AU"/>
    </w:rPr>
  </w:style>
  <w:style w:type="character" w:customStyle="1" w:styleId="1-Char">
    <w:name w:val="Ненум. список 1-го уровня Char"/>
    <w:basedOn w:val="a1"/>
    <w:link w:val="1-"/>
    <w:rsid w:val="00731266"/>
    <w:rPr>
      <w:rFonts w:ascii="Verdana" w:eastAsia="Times New Roman" w:hAnsi="Verdana"/>
      <w:lang w:eastAsia="en-AU"/>
    </w:rPr>
  </w:style>
  <w:style w:type="paragraph" w:customStyle="1" w:styleId="aff7">
    <w:name w:val="Простой текст"/>
    <w:basedOn w:val="a0"/>
    <w:link w:val="aff8"/>
    <w:qFormat/>
    <w:rsid w:val="00731266"/>
    <w:pPr>
      <w:suppressLineNumbers/>
      <w:spacing w:before="120" w:after="120"/>
      <w:ind w:firstLine="0"/>
    </w:pPr>
    <w:rPr>
      <w:rFonts w:ascii="Verdana" w:eastAsia="Times New Roman" w:hAnsi="Verdana"/>
      <w:sz w:val="20"/>
      <w:szCs w:val="20"/>
      <w:lang w:eastAsia="ru-RU"/>
    </w:rPr>
  </w:style>
  <w:style w:type="character" w:customStyle="1" w:styleId="aff8">
    <w:name w:val="Простой текст Знак"/>
    <w:basedOn w:val="a1"/>
    <w:link w:val="aff7"/>
    <w:rsid w:val="00731266"/>
    <w:rPr>
      <w:rFonts w:ascii="Verdana" w:eastAsia="Times New Roman" w:hAnsi="Verdana"/>
    </w:rPr>
  </w:style>
  <w:style w:type="paragraph" w:customStyle="1" w:styleId="15">
    <w:name w:val="Список 1"/>
    <w:basedOn w:val="a"/>
    <w:rsid w:val="00731266"/>
    <w:pPr>
      <w:widowControl w:val="0"/>
      <w:overflowPunct w:val="0"/>
      <w:autoSpaceDE w:val="0"/>
      <w:autoSpaceDN w:val="0"/>
      <w:adjustRightInd w:val="0"/>
      <w:spacing w:before="60"/>
      <w:jc w:val="both"/>
      <w:textAlignment w:val="baseline"/>
    </w:pPr>
    <w:rPr>
      <w:szCs w:val="20"/>
    </w:rPr>
  </w:style>
  <w:style w:type="paragraph" w:customStyle="1" w:styleId="Verdana">
    <w:name w:val="Обычный Verdana"/>
    <w:basedOn w:val="a0"/>
    <w:uiPriority w:val="99"/>
    <w:rsid w:val="00731266"/>
    <w:pPr>
      <w:ind w:firstLine="851"/>
    </w:pPr>
    <w:rPr>
      <w:rFonts w:ascii="Verdana" w:eastAsia="Times New Roman" w:hAnsi="Verdana"/>
      <w:sz w:val="16"/>
      <w:szCs w:val="16"/>
      <w:lang w:eastAsia="ru-RU"/>
    </w:rPr>
  </w:style>
  <w:style w:type="paragraph" w:styleId="aff9">
    <w:name w:val="Block Text"/>
    <w:basedOn w:val="a0"/>
    <w:rsid w:val="00731266"/>
    <w:pPr>
      <w:ind w:left="360" w:right="1795" w:firstLine="0"/>
      <w:jc w:val="left"/>
    </w:pPr>
    <w:rPr>
      <w:rFonts w:eastAsia="Times New Roman"/>
      <w:sz w:val="24"/>
      <w:szCs w:val="24"/>
      <w:lang w:eastAsia="ru-RU"/>
    </w:rPr>
  </w:style>
  <w:style w:type="paragraph" w:styleId="affa">
    <w:name w:val="E-mail Signature"/>
    <w:basedOn w:val="a0"/>
    <w:link w:val="affb"/>
    <w:uiPriority w:val="99"/>
    <w:unhideWhenUsed/>
    <w:rsid w:val="00731266"/>
    <w:pPr>
      <w:ind w:firstLine="0"/>
      <w:jc w:val="left"/>
    </w:pPr>
    <w:rPr>
      <w:rFonts w:ascii="Calibri" w:hAnsi="Calibri"/>
      <w:sz w:val="20"/>
      <w:szCs w:val="20"/>
      <w:lang w:eastAsia="ru-RU"/>
    </w:rPr>
  </w:style>
  <w:style w:type="character" w:customStyle="1" w:styleId="affb">
    <w:name w:val="Электронная подпись Знак"/>
    <w:basedOn w:val="a1"/>
    <w:link w:val="affa"/>
    <w:uiPriority w:val="99"/>
    <w:rsid w:val="00731266"/>
  </w:style>
  <w:style w:type="paragraph" w:customStyle="1" w:styleId="affc">
    <w:name w:val="МРСК_маркированный"/>
    <w:basedOn w:val="a"/>
    <w:rsid w:val="00731266"/>
    <w:pPr>
      <w:keepNext/>
      <w:numPr>
        <w:numId w:val="0"/>
      </w:numPr>
      <w:spacing w:line="300" w:lineRule="auto"/>
      <w:jc w:val="both"/>
    </w:pPr>
  </w:style>
  <w:style w:type="paragraph" w:customStyle="1" w:styleId="35">
    <w:name w:val="Абзац списка3"/>
    <w:basedOn w:val="a0"/>
    <w:rsid w:val="00731266"/>
    <w:pPr>
      <w:ind w:left="720" w:firstLine="0"/>
      <w:jc w:val="left"/>
    </w:pPr>
    <w:rPr>
      <w:rFonts w:ascii="Calibri" w:eastAsia="Times New Roman" w:hAnsi="Calibri" w:cs="Calibri"/>
      <w:sz w:val="22"/>
      <w:szCs w:val="22"/>
    </w:rPr>
  </w:style>
  <w:style w:type="table" w:customStyle="1" w:styleId="16">
    <w:name w:val="Сетка таблицы1"/>
    <w:basedOn w:val="a2"/>
    <w:next w:val="ae"/>
    <w:uiPriority w:val="59"/>
    <w:rsid w:val="007312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3">
    <w:name w:val="Абзац списка4"/>
    <w:basedOn w:val="a0"/>
    <w:rsid w:val="00731266"/>
    <w:pPr>
      <w:ind w:left="720" w:firstLine="0"/>
      <w:jc w:val="left"/>
    </w:pPr>
    <w:rPr>
      <w:rFonts w:ascii="Calibri" w:eastAsia="Times New Roman" w:hAnsi="Calibri" w:cs="Calibri"/>
      <w:sz w:val="22"/>
      <w:szCs w:val="22"/>
    </w:rPr>
  </w:style>
  <w:style w:type="paragraph" w:customStyle="1" w:styleId="Pa01">
    <w:name w:val="Pa0+1"/>
    <w:basedOn w:val="a0"/>
    <w:next w:val="a0"/>
    <w:rsid w:val="00731266"/>
    <w:pPr>
      <w:autoSpaceDE w:val="0"/>
      <w:autoSpaceDN w:val="0"/>
      <w:adjustRightInd w:val="0"/>
      <w:spacing w:line="181" w:lineRule="atLeast"/>
      <w:ind w:firstLine="0"/>
      <w:jc w:val="left"/>
    </w:pPr>
    <w:rPr>
      <w:rFonts w:ascii="PT Sans" w:eastAsia="Times New Roman" w:hAnsi="PT Sans"/>
      <w:sz w:val="24"/>
      <w:szCs w:val="24"/>
      <w:lang w:eastAsia="ru-RU"/>
    </w:rPr>
  </w:style>
  <w:style w:type="paragraph" w:styleId="affd">
    <w:name w:val="caption"/>
    <w:basedOn w:val="a0"/>
    <w:next w:val="a0"/>
    <w:uiPriority w:val="35"/>
    <w:unhideWhenUsed/>
    <w:qFormat/>
    <w:rsid w:val="00731266"/>
    <w:pPr>
      <w:spacing w:after="200"/>
    </w:pPr>
    <w:rPr>
      <w:b/>
      <w:bCs/>
      <w:color w:val="4F81BD" w:themeColor="accent1"/>
      <w:sz w:val="18"/>
      <w:szCs w:val="18"/>
    </w:rPr>
  </w:style>
  <w:style w:type="paragraph" w:styleId="affe">
    <w:name w:val="Plain Text"/>
    <w:basedOn w:val="a0"/>
    <w:link w:val="afff"/>
    <w:uiPriority w:val="99"/>
    <w:semiHidden/>
    <w:unhideWhenUsed/>
    <w:rsid w:val="00F80B6C"/>
    <w:pPr>
      <w:ind w:firstLine="0"/>
      <w:jc w:val="left"/>
    </w:pPr>
    <w:rPr>
      <w:rFonts w:ascii="Consolas" w:hAnsi="Consolas"/>
      <w:sz w:val="21"/>
      <w:szCs w:val="21"/>
    </w:rPr>
  </w:style>
  <w:style w:type="character" w:customStyle="1" w:styleId="afff">
    <w:name w:val="Текст Знак"/>
    <w:basedOn w:val="a1"/>
    <w:link w:val="affe"/>
    <w:uiPriority w:val="99"/>
    <w:semiHidden/>
    <w:rsid w:val="00F80B6C"/>
    <w:rPr>
      <w:rFonts w:ascii="Consolas" w:hAnsi="Consolas"/>
      <w:sz w:val="21"/>
      <w:szCs w:val="21"/>
      <w:lang w:eastAsia="en-US"/>
    </w:rPr>
  </w:style>
  <w:style w:type="paragraph" w:styleId="24">
    <w:name w:val="Body Text Indent 2"/>
    <w:basedOn w:val="a0"/>
    <w:link w:val="25"/>
    <w:uiPriority w:val="99"/>
    <w:semiHidden/>
    <w:unhideWhenUsed/>
    <w:rsid w:val="00AE3E25"/>
    <w:pPr>
      <w:spacing w:after="120" w:line="480" w:lineRule="auto"/>
      <w:ind w:left="283"/>
    </w:pPr>
  </w:style>
  <w:style w:type="character" w:customStyle="1" w:styleId="25">
    <w:name w:val="Основной текст с отступом 2 Знак"/>
    <w:basedOn w:val="a1"/>
    <w:link w:val="24"/>
    <w:uiPriority w:val="99"/>
    <w:semiHidden/>
    <w:rsid w:val="00AE3E25"/>
    <w:rPr>
      <w:rFonts w:ascii="Times New Roman" w:hAnsi="Times New Roman"/>
      <w:sz w:val="28"/>
      <w:szCs w:val="28"/>
      <w:lang w:eastAsia="en-US"/>
    </w:rPr>
  </w:style>
  <w:style w:type="character" w:customStyle="1" w:styleId="41">
    <w:name w:val="Заголовок 4 Знак"/>
    <w:basedOn w:val="a1"/>
    <w:link w:val="40"/>
    <w:uiPriority w:val="9"/>
    <w:rsid w:val="00AE3E25"/>
    <w:rPr>
      <w:rFonts w:asciiTheme="majorHAnsi" w:eastAsiaTheme="majorEastAsia" w:hAnsiTheme="majorHAnsi" w:cstheme="majorBidi"/>
      <w:b/>
      <w:bCs/>
      <w:i/>
      <w:iCs/>
      <w:color w:val="4F81BD" w:themeColor="accent1"/>
      <w:sz w:val="28"/>
      <w:szCs w:val="28"/>
      <w:lang w:eastAsia="en-US"/>
    </w:rPr>
  </w:style>
  <w:style w:type="paragraph" w:customStyle="1" w:styleId="1">
    <w:name w:val="Заголовок_1"/>
    <w:basedOn w:val="a0"/>
    <w:uiPriority w:val="99"/>
    <w:locked/>
    <w:rsid w:val="004B5B33"/>
    <w:pPr>
      <w:keepNext/>
      <w:keepLines/>
      <w:numPr>
        <w:numId w:val="184"/>
      </w:numPr>
      <w:suppressAutoHyphens/>
      <w:spacing w:before="360" w:after="120"/>
      <w:ind w:firstLine="0"/>
      <w:jc w:val="center"/>
      <w:outlineLvl w:val="0"/>
    </w:pPr>
    <w:rPr>
      <w:rFonts w:ascii="Arial" w:eastAsia="Times New Roman" w:hAnsi="Arial" w:cs="Arial"/>
      <w:b/>
      <w:bCs/>
      <w:caps/>
      <w:sz w:val="36"/>
      <w:lang w:eastAsia="ru-RU"/>
    </w:rPr>
  </w:style>
  <w:style w:type="paragraph" w:customStyle="1" w:styleId="4">
    <w:name w:val="Пункт_4"/>
    <w:basedOn w:val="a0"/>
    <w:uiPriority w:val="99"/>
    <w:rsid w:val="004B5B33"/>
    <w:pPr>
      <w:numPr>
        <w:ilvl w:val="3"/>
        <w:numId w:val="184"/>
      </w:numPr>
    </w:pPr>
    <w:rPr>
      <w:rFonts w:eastAsia="Times New Roman"/>
      <w:szCs w:val="20"/>
      <w:lang w:eastAsia="ko-KR"/>
    </w:rPr>
  </w:style>
  <w:style w:type="paragraph" w:customStyle="1" w:styleId="3">
    <w:name w:val="Пункт_3"/>
    <w:basedOn w:val="a0"/>
    <w:uiPriority w:val="99"/>
    <w:rsid w:val="004B5B33"/>
    <w:pPr>
      <w:numPr>
        <w:ilvl w:val="2"/>
        <w:numId w:val="184"/>
      </w:numPr>
    </w:pPr>
    <w:rPr>
      <w:rFonts w:eastAsia="Times New Roman"/>
      <w:lang w:eastAsia="ru-RU"/>
    </w:rPr>
  </w:style>
  <w:style w:type="paragraph" w:customStyle="1" w:styleId="2">
    <w:name w:val="Пункт_2"/>
    <w:basedOn w:val="a0"/>
    <w:uiPriority w:val="99"/>
    <w:rsid w:val="004B5B33"/>
    <w:pPr>
      <w:numPr>
        <w:ilvl w:val="1"/>
        <w:numId w:val="184"/>
      </w:numPr>
    </w:pPr>
    <w:rPr>
      <w:rFonts w:eastAsia="Times New Roman"/>
      <w:szCs w:val="20"/>
      <w:lang w:eastAsia="ru-RU"/>
    </w:rPr>
  </w:style>
  <w:style w:type="paragraph" w:customStyle="1" w:styleId="5">
    <w:name w:val="Пункт_5"/>
    <w:basedOn w:val="3"/>
    <w:uiPriority w:val="99"/>
    <w:rsid w:val="004B5B33"/>
    <w:pPr>
      <w:numPr>
        <w:ilvl w:val="4"/>
      </w:numPr>
    </w:pPr>
  </w:style>
  <w:style w:type="paragraph" w:customStyle="1" w:styleId="Pa11">
    <w:name w:val="Pa11"/>
    <w:basedOn w:val="Default"/>
    <w:next w:val="Default"/>
    <w:uiPriority w:val="99"/>
    <w:rsid w:val="00570119"/>
    <w:pPr>
      <w:spacing w:line="141" w:lineRule="atLeast"/>
    </w:pPr>
    <w:rPr>
      <w:rFonts w:ascii="Fontin Sans CR" w:hAnsi="Fontin Sans CR" w:cs="Times New Roman"/>
      <w:color w:val="auto"/>
    </w:rPr>
  </w:style>
  <w:style w:type="paragraph" w:customStyle="1" w:styleId="Pa12">
    <w:name w:val="Pa12"/>
    <w:basedOn w:val="Default"/>
    <w:next w:val="Default"/>
    <w:uiPriority w:val="99"/>
    <w:rsid w:val="00570119"/>
    <w:pPr>
      <w:spacing w:line="161" w:lineRule="atLeast"/>
    </w:pPr>
    <w:rPr>
      <w:rFonts w:ascii="Fontin Sans CR" w:hAnsi="Fontin Sans CR" w:cs="Times New Roman"/>
      <w:color w:val="auto"/>
    </w:rPr>
  </w:style>
  <w:style w:type="character" w:styleId="afff0">
    <w:name w:val="Strong"/>
    <w:basedOn w:val="a1"/>
    <w:uiPriority w:val="22"/>
    <w:qFormat/>
    <w:rsid w:val="00847CA4"/>
    <w:rPr>
      <w:b/>
      <w:bCs/>
    </w:rPr>
  </w:style>
  <w:style w:type="character" w:customStyle="1" w:styleId="webofficeattributevalue1">
    <w:name w:val="webofficeattributevalue1"/>
    <w:basedOn w:val="a1"/>
    <w:rsid w:val="00CE0B03"/>
    <w:rPr>
      <w:rFonts w:ascii="Verdana" w:hAnsi="Verdana" w:hint="default"/>
      <w:strike w:val="0"/>
      <w:dstrike w:val="0"/>
      <w:color w:val="000000"/>
      <w:sz w:val="18"/>
      <w:szCs w:val="18"/>
      <w:u w:val="none"/>
      <w:effect w:val="none"/>
    </w:rPr>
  </w:style>
  <w:style w:type="character" w:customStyle="1" w:styleId="FontStyle12">
    <w:name w:val="Font Style12"/>
    <w:basedOn w:val="a1"/>
    <w:uiPriority w:val="99"/>
    <w:rsid w:val="00DB376A"/>
    <w:rPr>
      <w:rFonts w:ascii="Times New Roman" w:hAnsi="Times New Roman" w:cs="Times New Roman"/>
      <w:sz w:val="22"/>
      <w:szCs w:val="22"/>
    </w:rPr>
  </w:style>
  <w:style w:type="paragraph" w:customStyle="1" w:styleId="Afff1">
    <w:name w:val="Текстовый блок A"/>
    <w:rsid w:val="002F00BC"/>
    <w:pPr>
      <w:pBdr>
        <w:top w:val="nil"/>
        <w:left w:val="nil"/>
        <w:bottom w:val="nil"/>
        <w:right w:val="nil"/>
        <w:between w:val="nil"/>
        <w:bar w:val="nil"/>
      </w:pBdr>
    </w:pPr>
    <w:rPr>
      <w:rFonts w:ascii="Arial Unicode MS" w:eastAsia="Arial Unicode MS" w:hAnsi="Arial Unicode MS" w:cs="Arial Unicode MS"/>
      <w:color w:val="000000"/>
      <w:sz w:val="22"/>
      <w:szCs w:val="22"/>
      <w:u w:color="000000"/>
      <w:bdr w:val="nil"/>
    </w:rPr>
  </w:style>
  <w:style w:type="character" w:styleId="afff2">
    <w:name w:val="endnote reference"/>
    <w:basedOn w:val="a1"/>
    <w:uiPriority w:val="99"/>
    <w:semiHidden/>
    <w:unhideWhenUsed/>
    <w:rsid w:val="006F4AB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915928">
      <w:bodyDiv w:val="1"/>
      <w:marLeft w:val="0"/>
      <w:marRight w:val="0"/>
      <w:marTop w:val="0"/>
      <w:marBottom w:val="0"/>
      <w:divBdr>
        <w:top w:val="none" w:sz="0" w:space="0" w:color="auto"/>
        <w:left w:val="none" w:sz="0" w:space="0" w:color="auto"/>
        <w:bottom w:val="none" w:sz="0" w:space="0" w:color="auto"/>
        <w:right w:val="none" w:sz="0" w:space="0" w:color="auto"/>
      </w:divBdr>
    </w:div>
    <w:div w:id="31001676">
      <w:bodyDiv w:val="1"/>
      <w:marLeft w:val="0"/>
      <w:marRight w:val="0"/>
      <w:marTop w:val="0"/>
      <w:marBottom w:val="0"/>
      <w:divBdr>
        <w:top w:val="none" w:sz="0" w:space="0" w:color="auto"/>
        <w:left w:val="none" w:sz="0" w:space="0" w:color="auto"/>
        <w:bottom w:val="none" w:sz="0" w:space="0" w:color="auto"/>
        <w:right w:val="none" w:sz="0" w:space="0" w:color="auto"/>
      </w:divBdr>
    </w:div>
    <w:div w:id="32926746">
      <w:bodyDiv w:val="1"/>
      <w:marLeft w:val="0"/>
      <w:marRight w:val="0"/>
      <w:marTop w:val="0"/>
      <w:marBottom w:val="0"/>
      <w:divBdr>
        <w:top w:val="none" w:sz="0" w:space="0" w:color="auto"/>
        <w:left w:val="none" w:sz="0" w:space="0" w:color="auto"/>
        <w:bottom w:val="none" w:sz="0" w:space="0" w:color="auto"/>
        <w:right w:val="none" w:sz="0" w:space="0" w:color="auto"/>
      </w:divBdr>
    </w:div>
    <w:div w:id="38285439">
      <w:bodyDiv w:val="1"/>
      <w:marLeft w:val="0"/>
      <w:marRight w:val="0"/>
      <w:marTop w:val="0"/>
      <w:marBottom w:val="0"/>
      <w:divBdr>
        <w:top w:val="none" w:sz="0" w:space="0" w:color="auto"/>
        <w:left w:val="none" w:sz="0" w:space="0" w:color="auto"/>
        <w:bottom w:val="none" w:sz="0" w:space="0" w:color="auto"/>
        <w:right w:val="none" w:sz="0" w:space="0" w:color="auto"/>
      </w:divBdr>
    </w:div>
    <w:div w:id="58359669">
      <w:bodyDiv w:val="1"/>
      <w:marLeft w:val="0"/>
      <w:marRight w:val="0"/>
      <w:marTop w:val="0"/>
      <w:marBottom w:val="0"/>
      <w:divBdr>
        <w:top w:val="none" w:sz="0" w:space="0" w:color="auto"/>
        <w:left w:val="none" w:sz="0" w:space="0" w:color="auto"/>
        <w:bottom w:val="none" w:sz="0" w:space="0" w:color="auto"/>
        <w:right w:val="none" w:sz="0" w:space="0" w:color="auto"/>
      </w:divBdr>
    </w:div>
    <w:div w:id="63988457">
      <w:bodyDiv w:val="1"/>
      <w:marLeft w:val="0"/>
      <w:marRight w:val="0"/>
      <w:marTop w:val="0"/>
      <w:marBottom w:val="0"/>
      <w:divBdr>
        <w:top w:val="none" w:sz="0" w:space="0" w:color="auto"/>
        <w:left w:val="none" w:sz="0" w:space="0" w:color="auto"/>
        <w:bottom w:val="none" w:sz="0" w:space="0" w:color="auto"/>
        <w:right w:val="none" w:sz="0" w:space="0" w:color="auto"/>
      </w:divBdr>
    </w:div>
    <w:div w:id="64644376">
      <w:bodyDiv w:val="1"/>
      <w:marLeft w:val="0"/>
      <w:marRight w:val="0"/>
      <w:marTop w:val="0"/>
      <w:marBottom w:val="0"/>
      <w:divBdr>
        <w:top w:val="none" w:sz="0" w:space="0" w:color="auto"/>
        <w:left w:val="none" w:sz="0" w:space="0" w:color="auto"/>
        <w:bottom w:val="none" w:sz="0" w:space="0" w:color="auto"/>
        <w:right w:val="none" w:sz="0" w:space="0" w:color="auto"/>
      </w:divBdr>
    </w:div>
    <w:div w:id="66150789">
      <w:bodyDiv w:val="1"/>
      <w:marLeft w:val="0"/>
      <w:marRight w:val="0"/>
      <w:marTop w:val="0"/>
      <w:marBottom w:val="0"/>
      <w:divBdr>
        <w:top w:val="none" w:sz="0" w:space="0" w:color="auto"/>
        <w:left w:val="none" w:sz="0" w:space="0" w:color="auto"/>
        <w:bottom w:val="none" w:sz="0" w:space="0" w:color="auto"/>
        <w:right w:val="none" w:sz="0" w:space="0" w:color="auto"/>
      </w:divBdr>
      <w:divsChild>
        <w:div w:id="504631009">
          <w:marLeft w:val="1166"/>
          <w:marRight w:val="0"/>
          <w:marTop w:val="0"/>
          <w:marBottom w:val="0"/>
          <w:divBdr>
            <w:top w:val="none" w:sz="0" w:space="0" w:color="auto"/>
            <w:left w:val="none" w:sz="0" w:space="0" w:color="auto"/>
            <w:bottom w:val="none" w:sz="0" w:space="0" w:color="auto"/>
            <w:right w:val="none" w:sz="0" w:space="0" w:color="auto"/>
          </w:divBdr>
        </w:div>
        <w:div w:id="1158303464">
          <w:marLeft w:val="1166"/>
          <w:marRight w:val="0"/>
          <w:marTop w:val="0"/>
          <w:marBottom w:val="0"/>
          <w:divBdr>
            <w:top w:val="none" w:sz="0" w:space="0" w:color="auto"/>
            <w:left w:val="none" w:sz="0" w:space="0" w:color="auto"/>
            <w:bottom w:val="none" w:sz="0" w:space="0" w:color="auto"/>
            <w:right w:val="none" w:sz="0" w:space="0" w:color="auto"/>
          </w:divBdr>
        </w:div>
        <w:div w:id="1158493078">
          <w:marLeft w:val="547"/>
          <w:marRight w:val="0"/>
          <w:marTop w:val="0"/>
          <w:marBottom w:val="0"/>
          <w:divBdr>
            <w:top w:val="none" w:sz="0" w:space="0" w:color="auto"/>
            <w:left w:val="none" w:sz="0" w:space="0" w:color="auto"/>
            <w:bottom w:val="none" w:sz="0" w:space="0" w:color="auto"/>
            <w:right w:val="none" w:sz="0" w:space="0" w:color="auto"/>
          </w:divBdr>
        </w:div>
        <w:div w:id="1416583955">
          <w:marLeft w:val="1166"/>
          <w:marRight w:val="0"/>
          <w:marTop w:val="0"/>
          <w:marBottom w:val="0"/>
          <w:divBdr>
            <w:top w:val="none" w:sz="0" w:space="0" w:color="auto"/>
            <w:left w:val="none" w:sz="0" w:space="0" w:color="auto"/>
            <w:bottom w:val="none" w:sz="0" w:space="0" w:color="auto"/>
            <w:right w:val="none" w:sz="0" w:space="0" w:color="auto"/>
          </w:divBdr>
        </w:div>
        <w:div w:id="1720935170">
          <w:marLeft w:val="1166"/>
          <w:marRight w:val="0"/>
          <w:marTop w:val="0"/>
          <w:marBottom w:val="0"/>
          <w:divBdr>
            <w:top w:val="none" w:sz="0" w:space="0" w:color="auto"/>
            <w:left w:val="none" w:sz="0" w:space="0" w:color="auto"/>
            <w:bottom w:val="none" w:sz="0" w:space="0" w:color="auto"/>
            <w:right w:val="none" w:sz="0" w:space="0" w:color="auto"/>
          </w:divBdr>
        </w:div>
        <w:div w:id="1762950552">
          <w:marLeft w:val="1166"/>
          <w:marRight w:val="0"/>
          <w:marTop w:val="0"/>
          <w:marBottom w:val="0"/>
          <w:divBdr>
            <w:top w:val="none" w:sz="0" w:space="0" w:color="auto"/>
            <w:left w:val="none" w:sz="0" w:space="0" w:color="auto"/>
            <w:bottom w:val="none" w:sz="0" w:space="0" w:color="auto"/>
            <w:right w:val="none" w:sz="0" w:space="0" w:color="auto"/>
          </w:divBdr>
        </w:div>
        <w:div w:id="2056007717">
          <w:marLeft w:val="1166"/>
          <w:marRight w:val="0"/>
          <w:marTop w:val="0"/>
          <w:marBottom w:val="0"/>
          <w:divBdr>
            <w:top w:val="none" w:sz="0" w:space="0" w:color="auto"/>
            <w:left w:val="none" w:sz="0" w:space="0" w:color="auto"/>
            <w:bottom w:val="none" w:sz="0" w:space="0" w:color="auto"/>
            <w:right w:val="none" w:sz="0" w:space="0" w:color="auto"/>
          </w:divBdr>
        </w:div>
      </w:divsChild>
    </w:div>
    <w:div w:id="66927630">
      <w:bodyDiv w:val="1"/>
      <w:marLeft w:val="0"/>
      <w:marRight w:val="0"/>
      <w:marTop w:val="0"/>
      <w:marBottom w:val="0"/>
      <w:divBdr>
        <w:top w:val="none" w:sz="0" w:space="0" w:color="auto"/>
        <w:left w:val="none" w:sz="0" w:space="0" w:color="auto"/>
        <w:bottom w:val="none" w:sz="0" w:space="0" w:color="auto"/>
        <w:right w:val="none" w:sz="0" w:space="0" w:color="auto"/>
      </w:divBdr>
    </w:div>
    <w:div w:id="68159081">
      <w:bodyDiv w:val="1"/>
      <w:marLeft w:val="0"/>
      <w:marRight w:val="0"/>
      <w:marTop w:val="0"/>
      <w:marBottom w:val="0"/>
      <w:divBdr>
        <w:top w:val="none" w:sz="0" w:space="0" w:color="auto"/>
        <w:left w:val="none" w:sz="0" w:space="0" w:color="auto"/>
        <w:bottom w:val="none" w:sz="0" w:space="0" w:color="auto"/>
        <w:right w:val="none" w:sz="0" w:space="0" w:color="auto"/>
      </w:divBdr>
    </w:div>
    <w:div w:id="75589546">
      <w:bodyDiv w:val="1"/>
      <w:marLeft w:val="0"/>
      <w:marRight w:val="0"/>
      <w:marTop w:val="0"/>
      <w:marBottom w:val="0"/>
      <w:divBdr>
        <w:top w:val="none" w:sz="0" w:space="0" w:color="auto"/>
        <w:left w:val="none" w:sz="0" w:space="0" w:color="auto"/>
        <w:bottom w:val="none" w:sz="0" w:space="0" w:color="auto"/>
        <w:right w:val="none" w:sz="0" w:space="0" w:color="auto"/>
      </w:divBdr>
    </w:div>
    <w:div w:id="82342222">
      <w:bodyDiv w:val="1"/>
      <w:marLeft w:val="0"/>
      <w:marRight w:val="0"/>
      <w:marTop w:val="0"/>
      <w:marBottom w:val="0"/>
      <w:divBdr>
        <w:top w:val="none" w:sz="0" w:space="0" w:color="auto"/>
        <w:left w:val="none" w:sz="0" w:space="0" w:color="auto"/>
        <w:bottom w:val="none" w:sz="0" w:space="0" w:color="auto"/>
        <w:right w:val="none" w:sz="0" w:space="0" w:color="auto"/>
      </w:divBdr>
    </w:div>
    <w:div w:id="83262192">
      <w:bodyDiv w:val="1"/>
      <w:marLeft w:val="0"/>
      <w:marRight w:val="0"/>
      <w:marTop w:val="0"/>
      <w:marBottom w:val="0"/>
      <w:divBdr>
        <w:top w:val="none" w:sz="0" w:space="0" w:color="auto"/>
        <w:left w:val="none" w:sz="0" w:space="0" w:color="auto"/>
        <w:bottom w:val="none" w:sz="0" w:space="0" w:color="auto"/>
        <w:right w:val="none" w:sz="0" w:space="0" w:color="auto"/>
      </w:divBdr>
    </w:div>
    <w:div w:id="83771705">
      <w:bodyDiv w:val="1"/>
      <w:marLeft w:val="0"/>
      <w:marRight w:val="0"/>
      <w:marTop w:val="0"/>
      <w:marBottom w:val="0"/>
      <w:divBdr>
        <w:top w:val="none" w:sz="0" w:space="0" w:color="auto"/>
        <w:left w:val="none" w:sz="0" w:space="0" w:color="auto"/>
        <w:bottom w:val="none" w:sz="0" w:space="0" w:color="auto"/>
        <w:right w:val="none" w:sz="0" w:space="0" w:color="auto"/>
      </w:divBdr>
    </w:div>
    <w:div w:id="87162946">
      <w:bodyDiv w:val="1"/>
      <w:marLeft w:val="0"/>
      <w:marRight w:val="0"/>
      <w:marTop w:val="0"/>
      <w:marBottom w:val="0"/>
      <w:divBdr>
        <w:top w:val="none" w:sz="0" w:space="0" w:color="auto"/>
        <w:left w:val="none" w:sz="0" w:space="0" w:color="auto"/>
        <w:bottom w:val="none" w:sz="0" w:space="0" w:color="auto"/>
        <w:right w:val="none" w:sz="0" w:space="0" w:color="auto"/>
      </w:divBdr>
    </w:div>
    <w:div w:id="97726828">
      <w:bodyDiv w:val="1"/>
      <w:marLeft w:val="0"/>
      <w:marRight w:val="0"/>
      <w:marTop w:val="0"/>
      <w:marBottom w:val="0"/>
      <w:divBdr>
        <w:top w:val="none" w:sz="0" w:space="0" w:color="auto"/>
        <w:left w:val="none" w:sz="0" w:space="0" w:color="auto"/>
        <w:bottom w:val="none" w:sz="0" w:space="0" w:color="auto"/>
        <w:right w:val="none" w:sz="0" w:space="0" w:color="auto"/>
      </w:divBdr>
    </w:div>
    <w:div w:id="102305287">
      <w:bodyDiv w:val="1"/>
      <w:marLeft w:val="0"/>
      <w:marRight w:val="0"/>
      <w:marTop w:val="0"/>
      <w:marBottom w:val="0"/>
      <w:divBdr>
        <w:top w:val="none" w:sz="0" w:space="0" w:color="auto"/>
        <w:left w:val="none" w:sz="0" w:space="0" w:color="auto"/>
        <w:bottom w:val="none" w:sz="0" w:space="0" w:color="auto"/>
        <w:right w:val="none" w:sz="0" w:space="0" w:color="auto"/>
      </w:divBdr>
    </w:div>
    <w:div w:id="124783250">
      <w:bodyDiv w:val="1"/>
      <w:marLeft w:val="0"/>
      <w:marRight w:val="0"/>
      <w:marTop w:val="0"/>
      <w:marBottom w:val="0"/>
      <w:divBdr>
        <w:top w:val="none" w:sz="0" w:space="0" w:color="auto"/>
        <w:left w:val="none" w:sz="0" w:space="0" w:color="auto"/>
        <w:bottom w:val="none" w:sz="0" w:space="0" w:color="auto"/>
        <w:right w:val="none" w:sz="0" w:space="0" w:color="auto"/>
      </w:divBdr>
    </w:div>
    <w:div w:id="135801302">
      <w:bodyDiv w:val="1"/>
      <w:marLeft w:val="0"/>
      <w:marRight w:val="0"/>
      <w:marTop w:val="0"/>
      <w:marBottom w:val="0"/>
      <w:divBdr>
        <w:top w:val="none" w:sz="0" w:space="0" w:color="auto"/>
        <w:left w:val="none" w:sz="0" w:space="0" w:color="auto"/>
        <w:bottom w:val="none" w:sz="0" w:space="0" w:color="auto"/>
        <w:right w:val="none" w:sz="0" w:space="0" w:color="auto"/>
      </w:divBdr>
    </w:div>
    <w:div w:id="137308026">
      <w:bodyDiv w:val="1"/>
      <w:marLeft w:val="0"/>
      <w:marRight w:val="0"/>
      <w:marTop w:val="0"/>
      <w:marBottom w:val="0"/>
      <w:divBdr>
        <w:top w:val="none" w:sz="0" w:space="0" w:color="auto"/>
        <w:left w:val="none" w:sz="0" w:space="0" w:color="auto"/>
        <w:bottom w:val="none" w:sz="0" w:space="0" w:color="auto"/>
        <w:right w:val="none" w:sz="0" w:space="0" w:color="auto"/>
      </w:divBdr>
    </w:div>
    <w:div w:id="153374668">
      <w:bodyDiv w:val="1"/>
      <w:marLeft w:val="0"/>
      <w:marRight w:val="0"/>
      <w:marTop w:val="0"/>
      <w:marBottom w:val="0"/>
      <w:divBdr>
        <w:top w:val="none" w:sz="0" w:space="0" w:color="auto"/>
        <w:left w:val="none" w:sz="0" w:space="0" w:color="auto"/>
        <w:bottom w:val="none" w:sz="0" w:space="0" w:color="auto"/>
        <w:right w:val="none" w:sz="0" w:space="0" w:color="auto"/>
      </w:divBdr>
    </w:div>
    <w:div w:id="158351262">
      <w:bodyDiv w:val="1"/>
      <w:marLeft w:val="0"/>
      <w:marRight w:val="0"/>
      <w:marTop w:val="0"/>
      <w:marBottom w:val="0"/>
      <w:divBdr>
        <w:top w:val="none" w:sz="0" w:space="0" w:color="auto"/>
        <w:left w:val="none" w:sz="0" w:space="0" w:color="auto"/>
        <w:bottom w:val="none" w:sz="0" w:space="0" w:color="auto"/>
        <w:right w:val="none" w:sz="0" w:space="0" w:color="auto"/>
      </w:divBdr>
      <w:divsChild>
        <w:div w:id="541870419">
          <w:marLeft w:val="0"/>
          <w:marRight w:val="0"/>
          <w:marTop w:val="0"/>
          <w:marBottom w:val="0"/>
          <w:divBdr>
            <w:top w:val="none" w:sz="0" w:space="0" w:color="auto"/>
            <w:left w:val="none" w:sz="0" w:space="0" w:color="auto"/>
            <w:bottom w:val="none" w:sz="0" w:space="0" w:color="auto"/>
            <w:right w:val="none" w:sz="0" w:space="0" w:color="auto"/>
          </w:divBdr>
          <w:divsChild>
            <w:div w:id="80179242">
              <w:marLeft w:val="0"/>
              <w:marRight w:val="0"/>
              <w:marTop w:val="0"/>
              <w:marBottom w:val="0"/>
              <w:divBdr>
                <w:top w:val="none" w:sz="0" w:space="0" w:color="auto"/>
                <w:left w:val="none" w:sz="0" w:space="0" w:color="auto"/>
                <w:bottom w:val="none" w:sz="0" w:space="0" w:color="auto"/>
                <w:right w:val="none" w:sz="0" w:space="0" w:color="auto"/>
              </w:divBdr>
              <w:divsChild>
                <w:div w:id="906037696">
                  <w:marLeft w:val="0"/>
                  <w:marRight w:val="0"/>
                  <w:marTop w:val="0"/>
                  <w:marBottom w:val="0"/>
                  <w:divBdr>
                    <w:top w:val="none" w:sz="0" w:space="0" w:color="auto"/>
                    <w:left w:val="none" w:sz="0" w:space="0" w:color="auto"/>
                    <w:bottom w:val="none" w:sz="0" w:space="0" w:color="auto"/>
                    <w:right w:val="none" w:sz="0" w:space="0" w:color="auto"/>
                  </w:divBdr>
                  <w:divsChild>
                    <w:div w:id="1085223264">
                      <w:marLeft w:val="0"/>
                      <w:marRight w:val="0"/>
                      <w:marTop w:val="0"/>
                      <w:marBottom w:val="0"/>
                      <w:divBdr>
                        <w:top w:val="none" w:sz="0" w:space="0" w:color="auto"/>
                        <w:left w:val="none" w:sz="0" w:space="0" w:color="auto"/>
                        <w:bottom w:val="none" w:sz="0" w:space="0" w:color="auto"/>
                        <w:right w:val="none" w:sz="0" w:space="0" w:color="auto"/>
                      </w:divBdr>
                      <w:divsChild>
                        <w:div w:id="1547259434">
                          <w:marLeft w:val="0"/>
                          <w:marRight w:val="0"/>
                          <w:marTop w:val="0"/>
                          <w:marBottom w:val="0"/>
                          <w:divBdr>
                            <w:top w:val="none" w:sz="0" w:space="0" w:color="auto"/>
                            <w:left w:val="none" w:sz="0" w:space="0" w:color="auto"/>
                            <w:bottom w:val="none" w:sz="0" w:space="0" w:color="auto"/>
                            <w:right w:val="none" w:sz="0" w:space="0" w:color="auto"/>
                          </w:divBdr>
                          <w:divsChild>
                            <w:div w:id="152256669">
                              <w:marLeft w:val="0"/>
                              <w:marRight w:val="0"/>
                              <w:marTop w:val="0"/>
                              <w:marBottom w:val="0"/>
                              <w:divBdr>
                                <w:top w:val="none" w:sz="0" w:space="0" w:color="auto"/>
                                <w:left w:val="none" w:sz="0" w:space="0" w:color="auto"/>
                                <w:bottom w:val="none" w:sz="0" w:space="0" w:color="auto"/>
                                <w:right w:val="none" w:sz="0" w:space="0" w:color="auto"/>
                              </w:divBdr>
                              <w:divsChild>
                                <w:div w:id="65511334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46619">
      <w:bodyDiv w:val="1"/>
      <w:marLeft w:val="0"/>
      <w:marRight w:val="0"/>
      <w:marTop w:val="0"/>
      <w:marBottom w:val="0"/>
      <w:divBdr>
        <w:top w:val="none" w:sz="0" w:space="0" w:color="auto"/>
        <w:left w:val="none" w:sz="0" w:space="0" w:color="auto"/>
        <w:bottom w:val="none" w:sz="0" w:space="0" w:color="auto"/>
        <w:right w:val="none" w:sz="0" w:space="0" w:color="auto"/>
      </w:divBdr>
    </w:div>
    <w:div w:id="170527812">
      <w:bodyDiv w:val="1"/>
      <w:marLeft w:val="0"/>
      <w:marRight w:val="0"/>
      <w:marTop w:val="0"/>
      <w:marBottom w:val="0"/>
      <w:divBdr>
        <w:top w:val="none" w:sz="0" w:space="0" w:color="auto"/>
        <w:left w:val="none" w:sz="0" w:space="0" w:color="auto"/>
        <w:bottom w:val="none" w:sz="0" w:space="0" w:color="auto"/>
        <w:right w:val="none" w:sz="0" w:space="0" w:color="auto"/>
      </w:divBdr>
    </w:div>
    <w:div w:id="171842626">
      <w:bodyDiv w:val="1"/>
      <w:marLeft w:val="0"/>
      <w:marRight w:val="0"/>
      <w:marTop w:val="0"/>
      <w:marBottom w:val="0"/>
      <w:divBdr>
        <w:top w:val="none" w:sz="0" w:space="0" w:color="auto"/>
        <w:left w:val="none" w:sz="0" w:space="0" w:color="auto"/>
        <w:bottom w:val="none" w:sz="0" w:space="0" w:color="auto"/>
        <w:right w:val="none" w:sz="0" w:space="0" w:color="auto"/>
      </w:divBdr>
    </w:div>
    <w:div w:id="177474988">
      <w:bodyDiv w:val="1"/>
      <w:marLeft w:val="0"/>
      <w:marRight w:val="0"/>
      <w:marTop w:val="0"/>
      <w:marBottom w:val="0"/>
      <w:divBdr>
        <w:top w:val="none" w:sz="0" w:space="0" w:color="auto"/>
        <w:left w:val="none" w:sz="0" w:space="0" w:color="auto"/>
        <w:bottom w:val="none" w:sz="0" w:space="0" w:color="auto"/>
        <w:right w:val="none" w:sz="0" w:space="0" w:color="auto"/>
      </w:divBdr>
    </w:div>
    <w:div w:id="189924652">
      <w:bodyDiv w:val="1"/>
      <w:marLeft w:val="0"/>
      <w:marRight w:val="0"/>
      <w:marTop w:val="0"/>
      <w:marBottom w:val="0"/>
      <w:divBdr>
        <w:top w:val="none" w:sz="0" w:space="0" w:color="auto"/>
        <w:left w:val="none" w:sz="0" w:space="0" w:color="auto"/>
        <w:bottom w:val="none" w:sz="0" w:space="0" w:color="auto"/>
        <w:right w:val="none" w:sz="0" w:space="0" w:color="auto"/>
      </w:divBdr>
    </w:div>
    <w:div w:id="190726014">
      <w:bodyDiv w:val="1"/>
      <w:marLeft w:val="0"/>
      <w:marRight w:val="0"/>
      <w:marTop w:val="0"/>
      <w:marBottom w:val="0"/>
      <w:divBdr>
        <w:top w:val="none" w:sz="0" w:space="0" w:color="auto"/>
        <w:left w:val="none" w:sz="0" w:space="0" w:color="auto"/>
        <w:bottom w:val="none" w:sz="0" w:space="0" w:color="auto"/>
        <w:right w:val="none" w:sz="0" w:space="0" w:color="auto"/>
      </w:divBdr>
    </w:div>
    <w:div w:id="191695936">
      <w:bodyDiv w:val="1"/>
      <w:marLeft w:val="0"/>
      <w:marRight w:val="0"/>
      <w:marTop w:val="0"/>
      <w:marBottom w:val="0"/>
      <w:divBdr>
        <w:top w:val="none" w:sz="0" w:space="0" w:color="auto"/>
        <w:left w:val="none" w:sz="0" w:space="0" w:color="auto"/>
        <w:bottom w:val="none" w:sz="0" w:space="0" w:color="auto"/>
        <w:right w:val="none" w:sz="0" w:space="0" w:color="auto"/>
      </w:divBdr>
    </w:div>
    <w:div w:id="192117516">
      <w:bodyDiv w:val="1"/>
      <w:marLeft w:val="0"/>
      <w:marRight w:val="0"/>
      <w:marTop w:val="0"/>
      <w:marBottom w:val="0"/>
      <w:divBdr>
        <w:top w:val="none" w:sz="0" w:space="0" w:color="auto"/>
        <w:left w:val="none" w:sz="0" w:space="0" w:color="auto"/>
        <w:bottom w:val="none" w:sz="0" w:space="0" w:color="auto"/>
        <w:right w:val="none" w:sz="0" w:space="0" w:color="auto"/>
      </w:divBdr>
    </w:div>
    <w:div w:id="193736181">
      <w:bodyDiv w:val="1"/>
      <w:marLeft w:val="0"/>
      <w:marRight w:val="0"/>
      <w:marTop w:val="0"/>
      <w:marBottom w:val="0"/>
      <w:divBdr>
        <w:top w:val="none" w:sz="0" w:space="0" w:color="auto"/>
        <w:left w:val="none" w:sz="0" w:space="0" w:color="auto"/>
        <w:bottom w:val="none" w:sz="0" w:space="0" w:color="auto"/>
        <w:right w:val="none" w:sz="0" w:space="0" w:color="auto"/>
      </w:divBdr>
    </w:div>
    <w:div w:id="203254268">
      <w:bodyDiv w:val="1"/>
      <w:marLeft w:val="0"/>
      <w:marRight w:val="0"/>
      <w:marTop w:val="0"/>
      <w:marBottom w:val="0"/>
      <w:divBdr>
        <w:top w:val="none" w:sz="0" w:space="0" w:color="auto"/>
        <w:left w:val="none" w:sz="0" w:space="0" w:color="auto"/>
        <w:bottom w:val="none" w:sz="0" w:space="0" w:color="auto"/>
        <w:right w:val="none" w:sz="0" w:space="0" w:color="auto"/>
      </w:divBdr>
    </w:div>
    <w:div w:id="205456736">
      <w:bodyDiv w:val="1"/>
      <w:marLeft w:val="0"/>
      <w:marRight w:val="0"/>
      <w:marTop w:val="0"/>
      <w:marBottom w:val="0"/>
      <w:divBdr>
        <w:top w:val="none" w:sz="0" w:space="0" w:color="auto"/>
        <w:left w:val="none" w:sz="0" w:space="0" w:color="auto"/>
        <w:bottom w:val="none" w:sz="0" w:space="0" w:color="auto"/>
        <w:right w:val="none" w:sz="0" w:space="0" w:color="auto"/>
      </w:divBdr>
    </w:div>
    <w:div w:id="216550391">
      <w:bodyDiv w:val="1"/>
      <w:marLeft w:val="0"/>
      <w:marRight w:val="0"/>
      <w:marTop w:val="0"/>
      <w:marBottom w:val="0"/>
      <w:divBdr>
        <w:top w:val="none" w:sz="0" w:space="0" w:color="auto"/>
        <w:left w:val="none" w:sz="0" w:space="0" w:color="auto"/>
        <w:bottom w:val="none" w:sz="0" w:space="0" w:color="auto"/>
        <w:right w:val="none" w:sz="0" w:space="0" w:color="auto"/>
      </w:divBdr>
    </w:div>
    <w:div w:id="234240056">
      <w:bodyDiv w:val="1"/>
      <w:marLeft w:val="0"/>
      <w:marRight w:val="0"/>
      <w:marTop w:val="0"/>
      <w:marBottom w:val="0"/>
      <w:divBdr>
        <w:top w:val="none" w:sz="0" w:space="0" w:color="auto"/>
        <w:left w:val="none" w:sz="0" w:space="0" w:color="auto"/>
        <w:bottom w:val="none" w:sz="0" w:space="0" w:color="auto"/>
        <w:right w:val="none" w:sz="0" w:space="0" w:color="auto"/>
      </w:divBdr>
    </w:div>
    <w:div w:id="271210395">
      <w:bodyDiv w:val="1"/>
      <w:marLeft w:val="0"/>
      <w:marRight w:val="0"/>
      <w:marTop w:val="0"/>
      <w:marBottom w:val="0"/>
      <w:divBdr>
        <w:top w:val="none" w:sz="0" w:space="0" w:color="auto"/>
        <w:left w:val="none" w:sz="0" w:space="0" w:color="auto"/>
        <w:bottom w:val="none" w:sz="0" w:space="0" w:color="auto"/>
        <w:right w:val="none" w:sz="0" w:space="0" w:color="auto"/>
      </w:divBdr>
    </w:div>
    <w:div w:id="305085401">
      <w:bodyDiv w:val="1"/>
      <w:marLeft w:val="0"/>
      <w:marRight w:val="0"/>
      <w:marTop w:val="0"/>
      <w:marBottom w:val="0"/>
      <w:divBdr>
        <w:top w:val="none" w:sz="0" w:space="0" w:color="auto"/>
        <w:left w:val="none" w:sz="0" w:space="0" w:color="auto"/>
        <w:bottom w:val="none" w:sz="0" w:space="0" w:color="auto"/>
        <w:right w:val="none" w:sz="0" w:space="0" w:color="auto"/>
      </w:divBdr>
    </w:div>
    <w:div w:id="329796764">
      <w:bodyDiv w:val="1"/>
      <w:marLeft w:val="0"/>
      <w:marRight w:val="0"/>
      <w:marTop w:val="0"/>
      <w:marBottom w:val="0"/>
      <w:divBdr>
        <w:top w:val="none" w:sz="0" w:space="0" w:color="auto"/>
        <w:left w:val="none" w:sz="0" w:space="0" w:color="auto"/>
        <w:bottom w:val="none" w:sz="0" w:space="0" w:color="auto"/>
        <w:right w:val="none" w:sz="0" w:space="0" w:color="auto"/>
      </w:divBdr>
    </w:div>
    <w:div w:id="341013005">
      <w:bodyDiv w:val="1"/>
      <w:marLeft w:val="0"/>
      <w:marRight w:val="0"/>
      <w:marTop w:val="0"/>
      <w:marBottom w:val="0"/>
      <w:divBdr>
        <w:top w:val="none" w:sz="0" w:space="0" w:color="auto"/>
        <w:left w:val="none" w:sz="0" w:space="0" w:color="auto"/>
        <w:bottom w:val="none" w:sz="0" w:space="0" w:color="auto"/>
        <w:right w:val="none" w:sz="0" w:space="0" w:color="auto"/>
      </w:divBdr>
    </w:div>
    <w:div w:id="345180097">
      <w:bodyDiv w:val="1"/>
      <w:marLeft w:val="0"/>
      <w:marRight w:val="0"/>
      <w:marTop w:val="0"/>
      <w:marBottom w:val="0"/>
      <w:divBdr>
        <w:top w:val="none" w:sz="0" w:space="0" w:color="auto"/>
        <w:left w:val="none" w:sz="0" w:space="0" w:color="auto"/>
        <w:bottom w:val="none" w:sz="0" w:space="0" w:color="auto"/>
        <w:right w:val="none" w:sz="0" w:space="0" w:color="auto"/>
      </w:divBdr>
    </w:div>
    <w:div w:id="347368387">
      <w:bodyDiv w:val="1"/>
      <w:marLeft w:val="0"/>
      <w:marRight w:val="0"/>
      <w:marTop w:val="0"/>
      <w:marBottom w:val="0"/>
      <w:divBdr>
        <w:top w:val="none" w:sz="0" w:space="0" w:color="auto"/>
        <w:left w:val="none" w:sz="0" w:space="0" w:color="auto"/>
        <w:bottom w:val="none" w:sz="0" w:space="0" w:color="auto"/>
        <w:right w:val="none" w:sz="0" w:space="0" w:color="auto"/>
      </w:divBdr>
    </w:div>
    <w:div w:id="349599913">
      <w:bodyDiv w:val="1"/>
      <w:marLeft w:val="0"/>
      <w:marRight w:val="0"/>
      <w:marTop w:val="0"/>
      <w:marBottom w:val="0"/>
      <w:divBdr>
        <w:top w:val="none" w:sz="0" w:space="0" w:color="auto"/>
        <w:left w:val="none" w:sz="0" w:space="0" w:color="auto"/>
        <w:bottom w:val="none" w:sz="0" w:space="0" w:color="auto"/>
        <w:right w:val="none" w:sz="0" w:space="0" w:color="auto"/>
      </w:divBdr>
      <w:divsChild>
        <w:div w:id="1771656812">
          <w:marLeft w:val="547"/>
          <w:marRight w:val="0"/>
          <w:marTop w:val="0"/>
          <w:marBottom w:val="0"/>
          <w:divBdr>
            <w:top w:val="none" w:sz="0" w:space="0" w:color="auto"/>
            <w:left w:val="none" w:sz="0" w:space="0" w:color="auto"/>
            <w:bottom w:val="none" w:sz="0" w:space="0" w:color="auto"/>
            <w:right w:val="none" w:sz="0" w:space="0" w:color="auto"/>
          </w:divBdr>
        </w:div>
      </w:divsChild>
    </w:div>
    <w:div w:id="361253185">
      <w:bodyDiv w:val="1"/>
      <w:marLeft w:val="0"/>
      <w:marRight w:val="0"/>
      <w:marTop w:val="0"/>
      <w:marBottom w:val="0"/>
      <w:divBdr>
        <w:top w:val="none" w:sz="0" w:space="0" w:color="auto"/>
        <w:left w:val="none" w:sz="0" w:space="0" w:color="auto"/>
        <w:bottom w:val="none" w:sz="0" w:space="0" w:color="auto"/>
        <w:right w:val="none" w:sz="0" w:space="0" w:color="auto"/>
      </w:divBdr>
    </w:div>
    <w:div w:id="376979120">
      <w:bodyDiv w:val="1"/>
      <w:marLeft w:val="0"/>
      <w:marRight w:val="0"/>
      <w:marTop w:val="0"/>
      <w:marBottom w:val="0"/>
      <w:divBdr>
        <w:top w:val="none" w:sz="0" w:space="0" w:color="auto"/>
        <w:left w:val="none" w:sz="0" w:space="0" w:color="auto"/>
        <w:bottom w:val="none" w:sz="0" w:space="0" w:color="auto"/>
        <w:right w:val="none" w:sz="0" w:space="0" w:color="auto"/>
      </w:divBdr>
    </w:div>
    <w:div w:id="377969382">
      <w:bodyDiv w:val="1"/>
      <w:marLeft w:val="0"/>
      <w:marRight w:val="0"/>
      <w:marTop w:val="0"/>
      <w:marBottom w:val="0"/>
      <w:divBdr>
        <w:top w:val="none" w:sz="0" w:space="0" w:color="auto"/>
        <w:left w:val="none" w:sz="0" w:space="0" w:color="auto"/>
        <w:bottom w:val="none" w:sz="0" w:space="0" w:color="auto"/>
        <w:right w:val="none" w:sz="0" w:space="0" w:color="auto"/>
      </w:divBdr>
    </w:div>
    <w:div w:id="378092330">
      <w:bodyDiv w:val="1"/>
      <w:marLeft w:val="0"/>
      <w:marRight w:val="0"/>
      <w:marTop w:val="0"/>
      <w:marBottom w:val="0"/>
      <w:divBdr>
        <w:top w:val="none" w:sz="0" w:space="0" w:color="auto"/>
        <w:left w:val="none" w:sz="0" w:space="0" w:color="auto"/>
        <w:bottom w:val="none" w:sz="0" w:space="0" w:color="auto"/>
        <w:right w:val="none" w:sz="0" w:space="0" w:color="auto"/>
      </w:divBdr>
    </w:div>
    <w:div w:id="381947506">
      <w:bodyDiv w:val="1"/>
      <w:marLeft w:val="0"/>
      <w:marRight w:val="0"/>
      <w:marTop w:val="0"/>
      <w:marBottom w:val="0"/>
      <w:divBdr>
        <w:top w:val="none" w:sz="0" w:space="0" w:color="auto"/>
        <w:left w:val="none" w:sz="0" w:space="0" w:color="auto"/>
        <w:bottom w:val="none" w:sz="0" w:space="0" w:color="auto"/>
        <w:right w:val="none" w:sz="0" w:space="0" w:color="auto"/>
      </w:divBdr>
    </w:div>
    <w:div w:id="390812199">
      <w:bodyDiv w:val="1"/>
      <w:marLeft w:val="0"/>
      <w:marRight w:val="0"/>
      <w:marTop w:val="0"/>
      <w:marBottom w:val="0"/>
      <w:divBdr>
        <w:top w:val="none" w:sz="0" w:space="0" w:color="auto"/>
        <w:left w:val="none" w:sz="0" w:space="0" w:color="auto"/>
        <w:bottom w:val="none" w:sz="0" w:space="0" w:color="auto"/>
        <w:right w:val="none" w:sz="0" w:space="0" w:color="auto"/>
      </w:divBdr>
    </w:div>
    <w:div w:id="394864113">
      <w:bodyDiv w:val="1"/>
      <w:marLeft w:val="0"/>
      <w:marRight w:val="0"/>
      <w:marTop w:val="0"/>
      <w:marBottom w:val="0"/>
      <w:divBdr>
        <w:top w:val="none" w:sz="0" w:space="0" w:color="auto"/>
        <w:left w:val="none" w:sz="0" w:space="0" w:color="auto"/>
        <w:bottom w:val="none" w:sz="0" w:space="0" w:color="auto"/>
        <w:right w:val="none" w:sz="0" w:space="0" w:color="auto"/>
      </w:divBdr>
    </w:div>
    <w:div w:id="395201303">
      <w:bodyDiv w:val="1"/>
      <w:marLeft w:val="0"/>
      <w:marRight w:val="0"/>
      <w:marTop w:val="0"/>
      <w:marBottom w:val="0"/>
      <w:divBdr>
        <w:top w:val="none" w:sz="0" w:space="0" w:color="auto"/>
        <w:left w:val="none" w:sz="0" w:space="0" w:color="auto"/>
        <w:bottom w:val="none" w:sz="0" w:space="0" w:color="auto"/>
        <w:right w:val="none" w:sz="0" w:space="0" w:color="auto"/>
      </w:divBdr>
      <w:divsChild>
        <w:div w:id="1820070367">
          <w:marLeft w:val="0"/>
          <w:marRight w:val="0"/>
          <w:marTop w:val="0"/>
          <w:marBottom w:val="0"/>
          <w:divBdr>
            <w:top w:val="none" w:sz="0" w:space="0" w:color="auto"/>
            <w:left w:val="none" w:sz="0" w:space="0" w:color="auto"/>
            <w:bottom w:val="none" w:sz="0" w:space="0" w:color="auto"/>
            <w:right w:val="none" w:sz="0" w:space="0" w:color="auto"/>
          </w:divBdr>
          <w:divsChild>
            <w:div w:id="173425138">
              <w:marLeft w:val="0"/>
              <w:marRight w:val="0"/>
              <w:marTop w:val="0"/>
              <w:marBottom w:val="0"/>
              <w:divBdr>
                <w:top w:val="none" w:sz="0" w:space="0" w:color="auto"/>
                <w:left w:val="none" w:sz="0" w:space="0" w:color="auto"/>
                <w:bottom w:val="none" w:sz="0" w:space="0" w:color="auto"/>
                <w:right w:val="none" w:sz="0" w:space="0" w:color="auto"/>
              </w:divBdr>
              <w:divsChild>
                <w:div w:id="2054575691">
                  <w:marLeft w:val="0"/>
                  <w:marRight w:val="0"/>
                  <w:marTop w:val="0"/>
                  <w:marBottom w:val="0"/>
                  <w:divBdr>
                    <w:top w:val="none" w:sz="0" w:space="0" w:color="auto"/>
                    <w:left w:val="none" w:sz="0" w:space="0" w:color="auto"/>
                    <w:bottom w:val="none" w:sz="0" w:space="0" w:color="auto"/>
                    <w:right w:val="none" w:sz="0" w:space="0" w:color="auto"/>
                  </w:divBdr>
                  <w:divsChild>
                    <w:div w:id="1715542111">
                      <w:marLeft w:val="0"/>
                      <w:marRight w:val="0"/>
                      <w:marTop w:val="0"/>
                      <w:marBottom w:val="0"/>
                      <w:divBdr>
                        <w:top w:val="none" w:sz="0" w:space="0" w:color="auto"/>
                        <w:left w:val="none" w:sz="0" w:space="0" w:color="auto"/>
                        <w:bottom w:val="none" w:sz="0" w:space="0" w:color="auto"/>
                        <w:right w:val="none" w:sz="0" w:space="0" w:color="auto"/>
                      </w:divBdr>
                      <w:divsChild>
                        <w:div w:id="946231011">
                          <w:marLeft w:val="0"/>
                          <w:marRight w:val="0"/>
                          <w:marTop w:val="0"/>
                          <w:marBottom w:val="0"/>
                          <w:divBdr>
                            <w:top w:val="none" w:sz="0" w:space="0" w:color="auto"/>
                            <w:left w:val="none" w:sz="0" w:space="0" w:color="auto"/>
                            <w:bottom w:val="none" w:sz="0" w:space="0" w:color="auto"/>
                            <w:right w:val="none" w:sz="0" w:space="0" w:color="auto"/>
                          </w:divBdr>
                          <w:divsChild>
                            <w:div w:id="384069541">
                              <w:marLeft w:val="0"/>
                              <w:marRight w:val="0"/>
                              <w:marTop w:val="0"/>
                              <w:marBottom w:val="0"/>
                              <w:divBdr>
                                <w:top w:val="none" w:sz="0" w:space="0" w:color="auto"/>
                                <w:left w:val="none" w:sz="0" w:space="0" w:color="auto"/>
                                <w:bottom w:val="none" w:sz="0" w:space="0" w:color="auto"/>
                                <w:right w:val="none" w:sz="0" w:space="0" w:color="auto"/>
                              </w:divBdr>
                              <w:divsChild>
                                <w:div w:id="150204046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1004191">
      <w:bodyDiv w:val="1"/>
      <w:marLeft w:val="0"/>
      <w:marRight w:val="0"/>
      <w:marTop w:val="0"/>
      <w:marBottom w:val="0"/>
      <w:divBdr>
        <w:top w:val="none" w:sz="0" w:space="0" w:color="auto"/>
        <w:left w:val="none" w:sz="0" w:space="0" w:color="auto"/>
        <w:bottom w:val="none" w:sz="0" w:space="0" w:color="auto"/>
        <w:right w:val="none" w:sz="0" w:space="0" w:color="auto"/>
      </w:divBdr>
    </w:div>
    <w:div w:id="413207711">
      <w:bodyDiv w:val="1"/>
      <w:marLeft w:val="0"/>
      <w:marRight w:val="0"/>
      <w:marTop w:val="0"/>
      <w:marBottom w:val="0"/>
      <w:divBdr>
        <w:top w:val="none" w:sz="0" w:space="0" w:color="auto"/>
        <w:left w:val="none" w:sz="0" w:space="0" w:color="auto"/>
        <w:bottom w:val="none" w:sz="0" w:space="0" w:color="auto"/>
        <w:right w:val="none" w:sz="0" w:space="0" w:color="auto"/>
      </w:divBdr>
    </w:div>
    <w:div w:id="427165073">
      <w:bodyDiv w:val="1"/>
      <w:marLeft w:val="0"/>
      <w:marRight w:val="0"/>
      <w:marTop w:val="0"/>
      <w:marBottom w:val="0"/>
      <w:divBdr>
        <w:top w:val="none" w:sz="0" w:space="0" w:color="auto"/>
        <w:left w:val="none" w:sz="0" w:space="0" w:color="auto"/>
        <w:bottom w:val="none" w:sz="0" w:space="0" w:color="auto"/>
        <w:right w:val="none" w:sz="0" w:space="0" w:color="auto"/>
      </w:divBdr>
    </w:div>
    <w:div w:id="428162470">
      <w:bodyDiv w:val="1"/>
      <w:marLeft w:val="0"/>
      <w:marRight w:val="0"/>
      <w:marTop w:val="0"/>
      <w:marBottom w:val="0"/>
      <w:divBdr>
        <w:top w:val="none" w:sz="0" w:space="0" w:color="auto"/>
        <w:left w:val="none" w:sz="0" w:space="0" w:color="auto"/>
        <w:bottom w:val="none" w:sz="0" w:space="0" w:color="auto"/>
        <w:right w:val="none" w:sz="0" w:space="0" w:color="auto"/>
      </w:divBdr>
      <w:divsChild>
        <w:div w:id="1562014645">
          <w:marLeft w:val="547"/>
          <w:marRight w:val="0"/>
          <w:marTop w:val="0"/>
          <w:marBottom w:val="0"/>
          <w:divBdr>
            <w:top w:val="none" w:sz="0" w:space="0" w:color="auto"/>
            <w:left w:val="none" w:sz="0" w:space="0" w:color="auto"/>
            <w:bottom w:val="none" w:sz="0" w:space="0" w:color="auto"/>
            <w:right w:val="none" w:sz="0" w:space="0" w:color="auto"/>
          </w:divBdr>
        </w:div>
      </w:divsChild>
    </w:div>
    <w:div w:id="450248126">
      <w:bodyDiv w:val="1"/>
      <w:marLeft w:val="0"/>
      <w:marRight w:val="0"/>
      <w:marTop w:val="0"/>
      <w:marBottom w:val="0"/>
      <w:divBdr>
        <w:top w:val="none" w:sz="0" w:space="0" w:color="auto"/>
        <w:left w:val="none" w:sz="0" w:space="0" w:color="auto"/>
        <w:bottom w:val="none" w:sz="0" w:space="0" w:color="auto"/>
        <w:right w:val="none" w:sz="0" w:space="0" w:color="auto"/>
      </w:divBdr>
    </w:div>
    <w:div w:id="457845020">
      <w:bodyDiv w:val="1"/>
      <w:marLeft w:val="0"/>
      <w:marRight w:val="0"/>
      <w:marTop w:val="0"/>
      <w:marBottom w:val="0"/>
      <w:divBdr>
        <w:top w:val="none" w:sz="0" w:space="0" w:color="auto"/>
        <w:left w:val="none" w:sz="0" w:space="0" w:color="auto"/>
        <w:bottom w:val="none" w:sz="0" w:space="0" w:color="auto"/>
        <w:right w:val="none" w:sz="0" w:space="0" w:color="auto"/>
      </w:divBdr>
    </w:div>
    <w:div w:id="457917736">
      <w:bodyDiv w:val="1"/>
      <w:marLeft w:val="0"/>
      <w:marRight w:val="0"/>
      <w:marTop w:val="0"/>
      <w:marBottom w:val="0"/>
      <w:divBdr>
        <w:top w:val="none" w:sz="0" w:space="0" w:color="auto"/>
        <w:left w:val="none" w:sz="0" w:space="0" w:color="auto"/>
        <w:bottom w:val="none" w:sz="0" w:space="0" w:color="auto"/>
        <w:right w:val="none" w:sz="0" w:space="0" w:color="auto"/>
      </w:divBdr>
    </w:div>
    <w:div w:id="459373731">
      <w:bodyDiv w:val="1"/>
      <w:marLeft w:val="0"/>
      <w:marRight w:val="0"/>
      <w:marTop w:val="0"/>
      <w:marBottom w:val="0"/>
      <w:divBdr>
        <w:top w:val="none" w:sz="0" w:space="0" w:color="auto"/>
        <w:left w:val="none" w:sz="0" w:space="0" w:color="auto"/>
        <w:bottom w:val="none" w:sz="0" w:space="0" w:color="auto"/>
        <w:right w:val="none" w:sz="0" w:space="0" w:color="auto"/>
      </w:divBdr>
      <w:divsChild>
        <w:div w:id="1836917142">
          <w:marLeft w:val="547"/>
          <w:marRight w:val="0"/>
          <w:marTop w:val="0"/>
          <w:marBottom w:val="0"/>
          <w:divBdr>
            <w:top w:val="none" w:sz="0" w:space="0" w:color="auto"/>
            <w:left w:val="none" w:sz="0" w:space="0" w:color="auto"/>
            <w:bottom w:val="none" w:sz="0" w:space="0" w:color="auto"/>
            <w:right w:val="none" w:sz="0" w:space="0" w:color="auto"/>
          </w:divBdr>
        </w:div>
      </w:divsChild>
    </w:div>
    <w:div w:id="463237147">
      <w:bodyDiv w:val="1"/>
      <w:marLeft w:val="0"/>
      <w:marRight w:val="0"/>
      <w:marTop w:val="0"/>
      <w:marBottom w:val="0"/>
      <w:divBdr>
        <w:top w:val="none" w:sz="0" w:space="0" w:color="auto"/>
        <w:left w:val="none" w:sz="0" w:space="0" w:color="auto"/>
        <w:bottom w:val="none" w:sz="0" w:space="0" w:color="auto"/>
        <w:right w:val="none" w:sz="0" w:space="0" w:color="auto"/>
      </w:divBdr>
    </w:div>
    <w:div w:id="464661331">
      <w:bodyDiv w:val="1"/>
      <w:marLeft w:val="0"/>
      <w:marRight w:val="0"/>
      <w:marTop w:val="0"/>
      <w:marBottom w:val="0"/>
      <w:divBdr>
        <w:top w:val="none" w:sz="0" w:space="0" w:color="auto"/>
        <w:left w:val="none" w:sz="0" w:space="0" w:color="auto"/>
        <w:bottom w:val="none" w:sz="0" w:space="0" w:color="auto"/>
        <w:right w:val="none" w:sz="0" w:space="0" w:color="auto"/>
      </w:divBdr>
    </w:div>
    <w:div w:id="466552316">
      <w:bodyDiv w:val="1"/>
      <w:marLeft w:val="0"/>
      <w:marRight w:val="0"/>
      <w:marTop w:val="0"/>
      <w:marBottom w:val="0"/>
      <w:divBdr>
        <w:top w:val="none" w:sz="0" w:space="0" w:color="auto"/>
        <w:left w:val="none" w:sz="0" w:space="0" w:color="auto"/>
        <w:bottom w:val="none" w:sz="0" w:space="0" w:color="auto"/>
        <w:right w:val="none" w:sz="0" w:space="0" w:color="auto"/>
      </w:divBdr>
    </w:div>
    <w:div w:id="466973503">
      <w:bodyDiv w:val="1"/>
      <w:marLeft w:val="0"/>
      <w:marRight w:val="0"/>
      <w:marTop w:val="0"/>
      <w:marBottom w:val="0"/>
      <w:divBdr>
        <w:top w:val="none" w:sz="0" w:space="0" w:color="auto"/>
        <w:left w:val="none" w:sz="0" w:space="0" w:color="auto"/>
        <w:bottom w:val="none" w:sz="0" w:space="0" w:color="auto"/>
        <w:right w:val="none" w:sz="0" w:space="0" w:color="auto"/>
      </w:divBdr>
    </w:div>
    <w:div w:id="470294782">
      <w:bodyDiv w:val="1"/>
      <w:marLeft w:val="0"/>
      <w:marRight w:val="0"/>
      <w:marTop w:val="0"/>
      <w:marBottom w:val="0"/>
      <w:divBdr>
        <w:top w:val="none" w:sz="0" w:space="0" w:color="auto"/>
        <w:left w:val="none" w:sz="0" w:space="0" w:color="auto"/>
        <w:bottom w:val="none" w:sz="0" w:space="0" w:color="auto"/>
        <w:right w:val="none" w:sz="0" w:space="0" w:color="auto"/>
      </w:divBdr>
      <w:divsChild>
        <w:div w:id="1129085648">
          <w:marLeft w:val="0"/>
          <w:marRight w:val="0"/>
          <w:marTop w:val="0"/>
          <w:marBottom w:val="0"/>
          <w:divBdr>
            <w:top w:val="none" w:sz="0" w:space="0" w:color="auto"/>
            <w:left w:val="none" w:sz="0" w:space="0" w:color="auto"/>
            <w:bottom w:val="none" w:sz="0" w:space="0" w:color="auto"/>
            <w:right w:val="none" w:sz="0" w:space="0" w:color="auto"/>
          </w:divBdr>
          <w:divsChild>
            <w:div w:id="1414468337">
              <w:marLeft w:val="0"/>
              <w:marRight w:val="0"/>
              <w:marTop w:val="0"/>
              <w:marBottom w:val="0"/>
              <w:divBdr>
                <w:top w:val="none" w:sz="0" w:space="0" w:color="auto"/>
                <w:left w:val="none" w:sz="0" w:space="0" w:color="auto"/>
                <w:bottom w:val="none" w:sz="0" w:space="0" w:color="auto"/>
                <w:right w:val="none" w:sz="0" w:space="0" w:color="auto"/>
              </w:divBdr>
              <w:divsChild>
                <w:div w:id="530647169">
                  <w:marLeft w:val="0"/>
                  <w:marRight w:val="0"/>
                  <w:marTop w:val="0"/>
                  <w:marBottom w:val="0"/>
                  <w:divBdr>
                    <w:top w:val="none" w:sz="0" w:space="0" w:color="auto"/>
                    <w:left w:val="none" w:sz="0" w:space="0" w:color="auto"/>
                    <w:bottom w:val="none" w:sz="0" w:space="0" w:color="auto"/>
                    <w:right w:val="none" w:sz="0" w:space="0" w:color="auto"/>
                  </w:divBdr>
                  <w:divsChild>
                    <w:div w:id="651519771">
                      <w:marLeft w:val="0"/>
                      <w:marRight w:val="0"/>
                      <w:marTop w:val="0"/>
                      <w:marBottom w:val="0"/>
                      <w:divBdr>
                        <w:top w:val="none" w:sz="0" w:space="0" w:color="auto"/>
                        <w:left w:val="none" w:sz="0" w:space="0" w:color="auto"/>
                        <w:bottom w:val="none" w:sz="0" w:space="0" w:color="auto"/>
                        <w:right w:val="none" w:sz="0" w:space="0" w:color="auto"/>
                      </w:divBdr>
                      <w:divsChild>
                        <w:div w:id="393241354">
                          <w:marLeft w:val="0"/>
                          <w:marRight w:val="0"/>
                          <w:marTop w:val="0"/>
                          <w:marBottom w:val="0"/>
                          <w:divBdr>
                            <w:top w:val="none" w:sz="0" w:space="0" w:color="auto"/>
                            <w:left w:val="none" w:sz="0" w:space="0" w:color="auto"/>
                            <w:bottom w:val="none" w:sz="0" w:space="0" w:color="auto"/>
                            <w:right w:val="none" w:sz="0" w:space="0" w:color="auto"/>
                          </w:divBdr>
                          <w:divsChild>
                            <w:div w:id="70004339">
                              <w:marLeft w:val="0"/>
                              <w:marRight w:val="0"/>
                              <w:marTop w:val="0"/>
                              <w:marBottom w:val="0"/>
                              <w:divBdr>
                                <w:top w:val="none" w:sz="0" w:space="0" w:color="auto"/>
                                <w:left w:val="none" w:sz="0" w:space="0" w:color="auto"/>
                                <w:bottom w:val="none" w:sz="0" w:space="0" w:color="auto"/>
                                <w:right w:val="none" w:sz="0" w:space="0" w:color="auto"/>
                              </w:divBdr>
                              <w:divsChild>
                                <w:div w:id="1544632180">
                                  <w:marLeft w:val="0"/>
                                  <w:marRight w:val="0"/>
                                  <w:marTop w:val="0"/>
                                  <w:marBottom w:val="0"/>
                                  <w:divBdr>
                                    <w:top w:val="none" w:sz="0" w:space="0" w:color="auto"/>
                                    <w:left w:val="none" w:sz="0" w:space="0" w:color="auto"/>
                                    <w:bottom w:val="none" w:sz="0" w:space="0" w:color="auto"/>
                                    <w:right w:val="none" w:sz="0" w:space="0" w:color="auto"/>
                                  </w:divBdr>
                                  <w:divsChild>
                                    <w:div w:id="647396476">
                                      <w:marLeft w:val="0"/>
                                      <w:marRight w:val="0"/>
                                      <w:marTop w:val="0"/>
                                      <w:marBottom w:val="0"/>
                                      <w:divBdr>
                                        <w:top w:val="none" w:sz="0" w:space="0" w:color="auto"/>
                                        <w:left w:val="none" w:sz="0" w:space="0" w:color="auto"/>
                                        <w:bottom w:val="none" w:sz="0" w:space="0" w:color="auto"/>
                                        <w:right w:val="none" w:sz="0" w:space="0" w:color="auto"/>
                                      </w:divBdr>
                                      <w:divsChild>
                                        <w:div w:id="154077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9422747">
      <w:bodyDiv w:val="1"/>
      <w:marLeft w:val="0"/>
      <w:marRight w:val="0"/>
      <w:marTop w:val="0"/>
      <w:marBottom w:val="0"/>
      <w:divBdr>
        <w:top w:val="none" w:sz="0" w:space="0" w:color="auto"/>
        <w:left w:val="none" w:sz="0" w:space="0" w:color="auto"/>
        <w:bottom w:val="none" w:sz="0" w:space="0" w:color="auto"/>
        <w:right w:val="none" w:sz="0" w:space="0" w:color="auto"/>
      </w:divBdr>
    </w:div>
    <w:div w:id="496309424">
      <w:bodyDiv w:val="1"/>
      <w:marLeft w:val="0"/>
      <w:marRight w:val="0"/>
      <w:marTop w:val="0"/>
      <w:marBottom w:val="0"/>
      <w:divBdr>
        <w:top w:val="none" w:sz="0" w:space="0" w:color="auto"/>
        <w:left w:val="none" w:sz="0" w:space="0" w:color="auto"/>
        <w:bottom w:val="none" w:sz="0" w:space="0" w:color="auto"/>
        <w:right w:val="none" w:sz="0" w:space="0" w:color="auto"/>
      </w:divBdr>
      <w:divsChild>
        <w:div w:id="921764231">
          <w:marLeft w:val="360"/>
          <w:marRight w:val="0"/>
          <w:marTop w:val="0"/>
          <w:marBottom w:val="0"/>
          <w:divBdr>
            <w:top w:val="none" w:sz="0" w:space="0" w:color="auto"/>
            <w:left w:val="none" w:sz="0" w:space="0" w:color="auto"/>
            <w:bottom w:val="none" w:sz="0" w:space="0" w:color="auto"/>
            <w:right w:val="none" w:sz="0" w:space="0" w:color="auto"/>
          </w:divBdr>
        </w:div>
        <w:div w:id="1555123443">
          <w:marLeft w:val="360"/>
          <w:marRight w:val="0"/>
          <w:marTop w:val="0"/>
          <w:marBottom w:val="0"/>
          <w:divBdr>
            <w:top w:val="none" w:sz="0" w:space="0" w:color="auto"/>
            <w:left w:val="none" w:sz="0" w:space="0" w:color="auto"/>
            <w:bottom w:val="none" w:sz="0" w:space="0" w:color="auto"/>
            <w:right w:val="none" w:sz="0" w:space="0" w:color="auto"/>
          </w:divBdr>
        </w:div>
      </w:divsChild>
    </w:div>
    <w:div w:id="500242004">
      <w:bodyDiv w:val="1"/>
      <w:marLeft w:val="0"/>
      <w:marRight w:val="0"/>
      <w:marTop w:val="0"/>
      <w:marBottom w:val="0"/>
      <w:divBdr>
        <w:top w:val="none" w:sz="0" w:space="0" w:color="auto"/>
        <w:left w:val="none" w:sz="0" w:space="0" w:color="auto"/>
        <w:bottom w:val="none" w:sz="0" w:space="0" w:color="auto"/>
        <w:right w:val="none" w:sz="0" w:space="0" w:color="auto"/>
      </w:divBdr>
      <w:divsChild>
        <w:div w:id="1418937836">
          <w:marLeft w:val="0"/>
          <w:marRight w:val="0"/>
          <w:marTop w:val="0"/>
          <w:marBottom w:val="0"/>
          <w:divBdr>
            <w:top w:val="none" w:sz="0" w:space="0" w:color="auto"/>
            <w:left w:val="none" w:sz="0" w:space="0" w:color="auto"/>
            <w:bottom w:val="none" w:sz="0" w:space="0" w:color="auto"/>
            <w:right w:val="none" w:sz="0" w:space="0" w:color="auto"/>
          </w:divBdr>
          <w:divsChild>
            <w:div w:id="1072846402">
              <w:marLeft w:val="0"/>
              <w:marRight w:val="0"/>
              <w:marTop w:val="0"/>
              <w:marBottom w:val="0"/>
              <w:divBdr>
                <w:top w:val="none" w:sz="0" w:space="0" w:color="auto"/>
                <w:left w:val="none" w:sz="0" w:space="0" w:color="auto"/>
                <w:bottom w:val="none" w:sz="0" w:space="0" w:color="auto"/>
                <w:right w:val="none" w:sz="0" w:space="0" w:color="auto"/>
              </w:divBdr>
              <w:divsChild>
                <w:div w:id="23405839">
                  <w:marLeft w:val="0"/>
                  <w:marRight w:val="0"/>
                  <w:marTop w:val="0"/>
                  <w:marBottom w:val="0"/>
                  <w:divBdr>
                    <w:top w:val="none" w:sz="0" w:space="0" w:color="auto"/>
                    <w:left w:val="none" w:sz="0" w:space="0" w:color="auto"/>
                    <w:bottom w:val="none" w:sz="0" w:space="0" w:color="auto"/>
                    <w:right w:val="none" w:sz="0" w:space="0" w:color="auto"/>
                  </w:divBdr>
                  <w:divsChild>
                    <w:div w:id="53623792">
                      <w:marLeft w:val="0"/>
                      <w:marRight w:val="0"/>
                      <w:marTop w:val="0"/>
                      <w:marBottom w:val="0"/>
                      <w:divBdr>
                        <w:top w:val="none" w:sz="0" w:space="0" w:color="auto"/>
                        <w:left w:val="none" w:sz="0" w:space="0" w:color="auto"/>
                        <w:bottom w:val="none" w:sz="0" w:space="0" w:color="auto"/>
                        <w:right w:val="none" w:sz="0" w:space="0" w:color="auto"/>
                      </w:divBdr>
                      <w:divsChild>
                        <w:div w:id="2023967609">
                          <w:marLeft w:val="0"/>
                          <w:marRight w:val="0"/>
                          <w:marTop w:val="0"/>
                          <w:marBottom w:val="0"/>
                          <w:divBdr>
                            <w:top w:val="none" w:sz="0" w:space="0" w:color="auto"/>
                            <w:left w:val="none" w:sz="0" w:space="0" w:color="auto"/>
                            <w:bottom w:val="none" w:sz="0" w:space="0" w:color="auto"/>
                            <w:right w:val="none" w:sz="0" w:space="0" w:color="auto"/>
                          </w:divBdr>
                          <w:divsChild>
                            <w:div w:id="1439789394">
                              <w:marLeft w:val="0"/>
                              <w:marRight w:val="0"/>
                              <w:marTop w:val="0"/>
                              <w:marBottom w:val="0"/>
                              <w:divBdr>
                                <w:top w:val="none" w:sz="0" w:space="0" w:color="auto"/>
                                <w:left w:val="none" w:sz="0" w:space="0" w:color="auto"/>
                                <w:bottom w:val="none" w:sz="0" w:space="0" w:color="auto"/>
                                <w:right w:val="none" w:sz="0" w:space="0" w:color="auto"/>
                              </w:divBdr>
                              <w:divsChild>
                                <w:div w:id="19381696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1625801">
      <w:bodyDiv w:val="1"/>
      <w:marLeft w:val="0"/>
      <w:marRight w:val="0"/>
      <w:marTop w:val="0"/>
      <w:marBottom w:val="0"/>
      <w:divBdr>
        <w:top w:val="none" w:sz="0" w:space="0" w:color="auto"/>
        <w:left w:val="none" w:sz="0" w:space="0" w:color="auto"/>
        <w:bottom w:val="none" w:sz="0" w:space="0" w:color="auto"/>
        <w:right w:val="none" w:sz="0" w:space="0" w:color="auto"/>
      </w:divBdr>
    </w:div>
    <w:div w:id="526455126">
      <w:bodyDiv w:val="1"/>
      <w:marLeft w:val="0"/>
      <w:marRight w:val="0"/>
      <w:marTop w:val="0"/>
      <w:marBottom w:val="0"/>
      <w:divBdr>
        <w:top w:val="none" w:sz="0" w:space="0" w:color="auto"/>
        <w:left w:val="none" w:sz="0" w:space="0" w:color="auto"/>
        <w:bottom w:val="none" w:sz="0" w:space="0" w:color="auto"/>
        <w:right w:val="none" w:sz="0" w:space="0" w:color="auto"/>
      </w:divBdr>
    </w:div>
    <w:div w:id="528880931">
      <w:bodyDiv w:val="1"/>
      <w:marLeft w:val="0"/>
      <w:marRight w:val="0"/>
      <w:marTop w:val="0"/>
      <w:marBottom w:val="0"/>
      <w:divBdr>
        <w:top w:val="none" w:sz="0" w:space="0" w:color="auto"/>
        <w:left w:val="none" w:sz="0" w:space="0" w:color="auto"/>
        <w:bottom w:val="none" w:sz="0" w:space="0" w:color="auto"/>
        <w:right w:val="none" w:sz="0" w:space="0" w:color="auto"/>
      </w:divBdr>
    </w:div>
    <w:div w:id="584998522">
      <w:bodyDiv w:val="1"/>
      <w:marLeft w:val="0"/>
      <w:marRight w:val="0"/>
      <w:marTop w:val="0"/>
      <w:marBottom w:val="0"/>
      <w:divBdr>
        <w:top w:val="none" w:sz="0" w:space="0" w:color="auto"/>
        <w:left w:val="none" w:sz="0" w:space="0" w:color="auto"/>
        <w:bottom w:val="none" w:sz="0" w:space="0" w:color="auto"/>
        <w:right w:val="none" w:sz="0" w:space="0" w:color="auto"/>
      </w:divBdr>
    </w:div>
    <w:div w:id="585915795">
      <w:bodyDiv w:val="1"/>
      <w:marLeft w:val="0"/>
      <w:marRight w:val="0"/>
      <w:marTop w:val="0"/>
      <w:marBottom w:val="0"/>
      <w:divBdr>
        <w:top w:val="none" w:sz="0" w:space="0" w:color="auto"/>
        <w:left w:val="none" w:sz="0" w:space="0" w:color="auto"/>
        <w:bottom w:val="none" w:sz="0" w:space="0" w:color="auto"/>
        <w:right w:val="none" w:sz="0" w:space="0" w:color="auto"/>
      </w:divBdr>
    </w:div>
    <w:div w:id="587547055">
      <w:bodyDiv w:val="1"/>
      <w:marLeft w:val="0"/>
      <w:marRight w:val="0"/>
      <w:marTop w:val="0"/>
      <w:marBottom w:val="0"/>
      <w:divBdr>
        <w:top w:val="none" w:sz="0" w:space="0" w:color="auto"/>
        <w:left w:val="none" w:sz="0" w:space="0" w:color="auto"/>
        <w:bottom w:val="none" w:sz="0" w:space="0" w:color="auto"/>
        <w:right w:val="none" w:sz="0" w:space="0" w:color="auto"/>
      </w:divBdr>
    </w:div>
    <w:div w:id="593780333">
      <w:bodyDiv w:val="1"/>
      <w:marLeft w:val="0"/>
      <w:marRight w:val="0"/>
      <w:marTop w:val="0"/>
      <w:marBottom w:val="0"/>
      <w:divBdr>
        <w:top w:val="none" w:sz="0" w:space="0" w:color="auto"/>
        <w:left w:val="none" w:sz="0" w:space="0" w:color="auto"/>
        <w:bottom w:val="none" w:sz="0" w:space="0" w:color="auto"/>
        <w:right w:val="none" w:sz="0" w:space="0" w:color="auto"/>
      </w:divBdr>
    </w:div>
    <w:div w:id="594092197">
      <w:bodyDiv w:val="1"/>
      <w:marLeft w:val="0"/>
      <w:marRight w:val="0"/>
      <w:marTop w:val="0"/>
      <w:marBottom w:val="0"/>
      <w:divBdr>
        <w:top w:val="none" w:sz="0" w:space="0" w:color="auto"/>
        <w:left w:val="none" w:sz="0" w:space="0" w:color="auto"/>
        <w:bottom w:val="none" w:sz="0" w:space="0" w:color="auto"/>
        <w:right w:val="none" w:sz="0" w:space="0" w:color="auto"/>
      </w:divBdr>
    </w:div>
    <w:div w:id="596332366">
      <w:bodyDiv w:val="1"/>
      <w:marLeft w:val="0"/>
      <w:marRight w:val="0"/>
      <w:marTop w:val="0"/>
      <w:marBottom w:val="0"/>
      <w:divBdr>
        <w:top w:val="none" w:sz="0" w:space="0" w:color="auto"/>
        <w:left w:val="none" w:sz="0" w:space="0" w:color="auto"/>
        <w:bottom w:val="none" w:sz="0" w:space="0" w:color="auto"/>
        <w:right w:val="none" w:sz="0" w:space="0" w:color="auto"/>
      </w:divBdr>
    </w:div>
    <w:div w:id="600724062">
      <w:bodyDiv w:val="1"/>
      <w:marLeft w:val="0"/>
      <w:marRight w:val="0"/>
      <w:marTop w:val="0"/>
      <w:marBottom w:val="0"/>
      <w:divBdr>
        <w:top w:val="none" w:sz="0" w:space="0" w:color="auto"/>
        <w:left w:val="none" w:sz="0" w:space="0" w:color="auto"/>
        <w:bottom w:val="none" w:sz="0" w:space="0" w:color="auto"/>
        <w:right w:val="none" w:sz="0" w:space="0" w:color="auto"/>
      </w:divBdr>
    </w:div>
    <w:div w:id="602567319">
      <w:bodyDiv w:val="1"/>
      <w:marLeft w:val="0"/>
      <w:marRight w:val="0"/>
      <w:marTop w:val="0"/>
      <w:marBottom w:val="0"/>
      <w:divBdr>
        <w:top w:val="none" w:sz="0" w:space="0" w:color="auto"/>
        <w:left w:val="none" w:sz="0" w:space="0" w:color="auto"/>
        <w:bottom w:val="none" w:sz="0" w:space="0" w:color="auto"/>
        <w:right w:val="none" w:sz="0" w:space="0" w:color="auto"/>
      </w:divBdr>
    </w:div>
    <w:div w:id="608316930">
      <w:bodyDiv w:val="1"/>
      <w:marLeft w:val="0"/>
      <w:marRight w:val="0"/>
      <w:marTop w:val="0"/>
      <w:marBottom w:val="0"/>
      <w:divBdr>
        <w:top w:val="none" w:sz="0" w:space="0" w:color="auto"/>
        <w:left w:val="none" w:sz="0" w:space="0" w:color="auto"/>
        <w:bottom w:val="none" w:sz="0" w:space="0" w:color="auto"/>
        <w:right w:val="none" w:sz="0" w:space="0" w:color="auto"/>
      </w:divBdr>
    </w:div>
    <w:div w:id="608925698">
      <w:bodyDiv w:val="1"/>
      <w:marLeft w:val="0"/>
      <w:marRight w:val="0"/>
      <w:marTop w:val="0"/>
      <w:marBottom w:val="0"/>
      <w:divBdr>
        <w:top w:val="none" w:sz="0" w:space="0" w:color="auto"/>
        <w:left w:val="none" w:sz="0" w:space="0" w:color="auto"/>
        <w:bottom w:val="none" w:sz="0" w:space="0" w:color="auto"/>
        <w:right w:val="none" w:sz="0" w:space="0" w:color="auto"/>
      </w:divBdr>
    </w:div>
    <w:div w:id="610743897">
      <w:bodyDiv w:val="1"/>
      <w:marLeft w:val="0"/>
      <w:marRight w:val="0"/>
      <w:marTop w:val="0"/>
      <w:marBottom w:val="0"/>
      <w:divBdr>
        <w:top w:val="none" w:sz="0" w:space="0" w:color="auto"/>
        <w:left w:val="none" w:sz="0" w:space="0" w:color="auto"/>
        <w:bottom w:val="none" w:sz="0" w:space="0" w:color="auto"/>
        <w:right w:val="none" w:sz="0" w:space="0" w:color="auto"/>
      </w:divBdr>
    </w:div>
    <w:div w:id="627055775">
      <w:bodyDiv w:val="1"/>
      <w:marLeft w:val="0"/>
      <w:marRight w:val="0"/>
      <w:marTop w:val="0"/>
      <w:marBottom w:val="0"/>
      <w:divBdr>
        <w:top w:val="none" w:sz="0" w:space="0" w:color="auto"/>
        <w:left w:val="none" w:sz="0" w:space="0" w:color="auto"/>
        <w:bottom w:val="none" w:sz="0" w:space="0" w:color="auto"/>
        <w:right w:val="none" w:sz="0" w:space="0" w:color="auto"/>
      </w:divBdr>
    </w:div>
    <w:div w:id="632445177">
      <w:bodyDiv w:val="1"/>
      <w:marLeft w:val="0"/>
      <w:marRight w:val="0"/>
      <w:marTop w:val="0"/>
      <w:marBottom w:val="0"/>
      <w:divBdr>
        <w:top w:val="none" w:sz="0" w:space="0" w:color="auto"/>
        <w:left w:val="none" w:sz="0" w:space="0" w:color="auto"/>
        <w:bottom w:val="none" w:sz="0" w:space="0" w:color="auto"/>
        <w:right w:val="none" w:sz="0" w:space="0" w:color="auto"/>
      </w:divBdr>
    </w:div>
    <w:div w:id="634024010">
      <w:bodyDiv w:val="1"/>
      <w:marLeft w:val="0"/>
      <w:marRight w:val="0"/>
      <w:marTop w:val="0"/>
      <w:marBottom w:val="0"/>
      <w:divBdr>
        <w:top w:val="none" w:sz="0" w:space="0" w:color="auto"/>
        <w:left w:val="none" w:sz="0" w:space="0" w:color="auto"/>
        <w:bottom w:val="none" w:sz="0" w:space="0" w:color="auto"/>
        <w:right w:val="none" w:sz="0" w:space="0" w:color="auto"/>
      </w:divBdr>
    </w:div>
    <w:div w:id="642933488">
      <w:bodyDiv w:val="1"/>
      <w:marLeft w:val="0"/>
      <w:marRight w:val="0"/>
      <w:marTop w:val="0"/>
      <w:marBottom w:val="0"/>
      <w:divBdr>
        <w:top w:val="none" w:sz="0" w:space="0" w:color="auto"/>
        <w:left w:val="none" w:sz="0" w:space="0" w:color="auto"/>
        <w:bottom w:val="none" w:sz="0" w:space="0" w:color="auto"/>
        <w:right w:val="none" w:sz="0" w:space="0" w:color="auto"/>
      </w:divBdr>
    </w:div>
    <w:div w:id="650405877">
      <w:bodyDiv w:val="1"/>
      <w:marLeft w:val="0"/>
      <w:marRight w:val="0"/>
      <w:marTop w:val="0"/>
      <w:marBottom w:val="0"/>
      <w:divBdr>
        <w:top w:val="none" w:sz="0" w:space="0" w:color="auto"/>
        <w:left w:val="none" w:sz="0" w:space="0" w:color="auto"/>
        <w:bottom w:val="none" w:sz="0" w:space="0" w:color="auto"/>
        <w:right w:val="none" w:sz="0" w:space="0" w:color="auto"/>
      </w:divBdr>
    </w:div>
    <w:div w:id="659620835">
      <w:bodyDiv w:val="1"/>
      <w:marLeft w:val="0"/>
      <w:marRight w:val="0"/>
      <w:marTop w:val="0"/>
      <w:marBottom w:val="0"/>
      <w:divBdr>
        <w:top w:val="none" w:sz="0" w:space="0" w:color="auto"/>
        <w:left w:val="none" w:sz="0" w:space="0" w:color="auto"/>
        <w:bottom w:val="none" w:sz="0" w:space="0" w:color="auto"/>
        <w:right w:val="none" w:sz="0" w:space="0" w:color="auto"/>
      </w:divBdr>
    </w:div>
    <w:div w:id="671221377">
      <w:bodyDiv w:val="1"/>
      <w:marLeft w:val="0"/>
      <w:marRight w:val="0"/>
      <w:marTop w:val="0"/>
      <w:marBottom w:val="0"/>
      <w:divBdr>
        <w:top w:val="none" w:sz="0" w:space="0" w:color="auto"/>
        <w:left w:val="none" w:sz="0" w:space="0" w:color="auto"/>
        <w:bottom w:val="none" w:sz="0" w:space="0" w:color="auto"/>
        <w:right w:val="none" w:sz="0" w:space="0" w:color="auto"/>
      </w:divBdr>
    </w:div>
    <w:div w:id="673338793">
      <w:bodyDiv w:val="1"/>
      <w:marLeft w:val="0"/>
      <w:marRight w:val="0"/>
      <w:marTop w:val="0"/>
      <w:marBottom w:val="0"/>
      <w:divBdr>
        <w:top w:val="none" w:sz="0" w:space="0" w:color="auto"/>
        <w:left w:val="none" w:sz="0" w:space="0" w:color="auto"/>
        <w:bottom w:val="none" w:sz="0" w:space="0" w:color="auto"/>
        <w:right w:val="none" w:sz="0" w:space="0" w:color="auto"/>
      </w:divBdr>
    </w:div>
    <w:div w:id="679739664">
      <w:bodyDiv w:val="1"/>
      <w:marLeft w:val="0"/>
      <w:marRight w:val="0"/>
      <w:marTop w:val="0"/>
      <w:marBottom w:val="0"/>
      <w:divBdr>
        <w:top w:val="none" w:sz="0" w:space="0" w:color="auto"/>
        <w:left w:val="none" w:sz="0" w:space="0" w:color="auto"/>
        <w:bottom w:val="none" w:sz="0" w:space="0" w:color="auto"/>
        <w:right w:val="none" w:sz="0" w:space="0" w:color="auto"/>
      </w:divBdr>
    </w:div>
    <w:div w:id="689648536">
      <w:bodyDiv w:val="1"/>
      <w:marLeft w:val="0"/>
      <w:marRight w:val="0"/>
      <w:marTop w:val="0"/>
      <w:marBottom w:val="0"/>
      <w:divBdr>
        <w:top w:val="none" w:sz="0" w:space="0" w:color="auto"/>
        <w:left w:val="none" w:sz="0" w:space="0" w:color="auto"/>
        <w:bottom w:val="none" w:sz="0" w:space="0" w:color="auto"/>
        <w:right w:val="none" w:sz="0" w:space="0" w:color="auto"/>
      </w:divBdr>
    </w:div>
    <w:div w:id="700209435">
      <w:bodyDiv w:val="1"/>
      <w:marLeft w:val="0"/>
      <w:marRight w:val="0"/>
      <w:marTop w:val="0"/>
      <w:marBottom w:val="0"/>
      <w:divBdr>
        <w:top w:val="none" w:sz="0" w:space="0" w:color="auto"/>
        <w:left w:val="none" w:sz="0" w:space="0" w:color="auto"/>
        <w:bottom w:val="none" w:sz="0" w:space="0" w:color="auto"/>
        <w:right w:val="none" w:sz="0" w:space="0" w:color="auto"/>
      </w:divBdr>
    </w:div>
    <w:div w:id="704137050">
      <w:bodyDiv w:val="1"/>
      <w:marLeft w:val="0"/>
      <w:marRight w:val="0"/>
      <w:marTop w:val="0"/>
      <w:marBottom w:val="0"/>
      <w:divBdr>
        <w:top w:val="none" w:sz="0" w:space="0" w:color="auto"/>
        <w:left w:val="none" w:sz="0" w:space="0" w:color="auto"/>
        <w:bottom w:val="none" w:sz="0" w:space="0" w:color="auto"/>
        <w:right w:val="none" w:sz="0" w:space="0" w:color="auto"/>
      </w:divBdr>
    </w:div>
    <w:div w:id="714895012">
      <w:bodyDiv w:val="1"/>
      <w:marLeft w:val="0"/>
      <w:marRight w:val="0"/>
      <w:marTop w:val="0"/>
      <w:marBottom w:val="0"/>
      <w:divBdr>
        <w:top w:val="none" w:sz="0" w:space="0" w:color="auto"/>
        <w:left w:val="none" w:sz="0" w:space="0" w:color="auto"/>
        <w:bottom w:val="none" w:sz="0" w:space="0" w:color="auto"/>
        <w:right w:val="none" w:sz="0" w:space="0" w:color="auto"/>
      </w:divBdr>
      <w:divsChild>
        <w:div w:id="557284278">
          <w:marLeft w:val="360"/>
          <w:marRight w:val="0"/>
          <w:marTop w:val="0"/>
          <w:marBottom w:val="0"/>
          <w:divBdr>
            <w:top w:val="none" w:sz="0" w:space="0" w:color="auto"/>
            <w:left w:val="none" w:sz="0" w:space="0" w:color="auto"/>
            <w:bottom w:val="none" w:sz="0" w:space="0" w:color="auto"/>
            <w:right w:val="none" w:sz="0" w:space="0" w:color="auto"/>
          </w:divBdr>
        </w:div>
        <w:div w:id="1090471018">
          <w:marLeft w:val="360"/>
          <w:marRight w:val="0"/>
          <w:marTop w:val="0"/>
          <w:marBottom w:val="0"/>
          <w:divBdr>
            <w:top w:val="none" w:sz="0" w:space="0" w:color="auto"/>
            <w:left w:val="none" w:sz="0" w:space="0" w:color="auto"/>
            <w:bottom w:val="none" w:sz="0" w:space="0" w:color="auto"/>
            <w:right w:val="none" w:sz="0" w:space="0" w:color="auto"/>
          </w:divBdr>
        </w:div>
      </w:divsChild>
    </w:div>
    <w:div w:id="716316406">
      <w:bodyDiv w:val="1"/>
      <w:marLeft w:val="0"/>
      <w:marRight w:val="0"/>
      <w:marTop w:val="0"/>
      <w:marBottom w:val="0"/>
      <w:divBdr>
        <w:top w:val="none" w:sz="0" w:space="0" w:color="auto"/>
        <w:left w:val="none" w:sz="0" w:space="0" w:color="auto"/>
        <w:bottom w:val="none" w:sz="0" w:space="0" w:color="auto"/>
        <w:right w:val="none" w:sz="0" w:space="0" w:color="auto"/>
      </w:divBdr>
    </w:div>
    <w:div w:id="721907564">
      <w:bodyDiv w:val="1"/>
      <w:marLeft w:val="0"/>
      <w:marRight w:val="0"/>
      <w:marTop w:val="0"/>
      <w:marBottom w:val="0"/>
      <w:divBdr>
        <w:top w:val="none" w:sz="0" w:space="0" w:color="auto"/>
        <w:left w:val="none" w:sz="0" w:space="0" w:color="auto"/>
        <w:bottom w:val="none" w:sz="0" w:space="0" w:color="auto"/>
        <w:right w:val="none" w:sz="0" w:space="0" w:color="auto"/>
      </w:divBdr>
    </w:div>
    <w:div w:id="723987707">
      <w:bodyDiv w:val="1"/>
      <w:marLeft w:val="0"/>
      <w:marRight w:val="0"/>
      <w:marTop w:val="0"/>
      <w:marBottom w:val="0"/>
      <w:divBdr>
        <w:top w:val="none" w:sz="0" w:space="0" w:color="auto"/>
        <w:left w:val="none" w:sz="0" w:space="0" w:color="auto"/>
        <w:bottom w:val="none" w:sz="0" w:space="0" w:color="auto"/>
        <w:right w:val="none" w:sz="0" w:space="0" w:color="auto"/>
      </w:divBdr>
    </w:div>
    <w:div w:id="745690241">
      <w:bodyDiv w:val="1"/>
      <w:marLeft w:val="0"/>
      <w:marRight w:val="0"/>
      <w:marTop w:val="0"/>
      <w:marBottom w:val="0"/>
      <w:divBdr>
        <w:top w:val="none" w:sz="0" w:space="0" w:color="auto"/>
        <w:left w:val="none" w:sz="0" w:space="0" w:color="auto"/>
        <w:bottom w:val="none" w:sz="0" w:space="0" w:color="auto"/>
        <w:right w:val="none" w:sz="0" w:space="0" w:color="auto"/>
      </w:divBdr>
    </w:div>
    <w:div w:id="750278140">
      <w:bodyDiv w:val="1"/>
      <w:marLeft w:val="0"/>
      <w:marRight w:val="0"/>
      <w:marTop w:val="0"/>
      <w:marBottom w:val="0"/>
      <w:divBdr>
        <w:top w:val="none" w:sz="0" w:space="0" w:color="auto"/>
        <w:left w:val="none" w:sz="0" w:space="0" w:color="auto"/>
        <w:bottom w:val="none" w:sz="0" w:space="0" w:color="auto"/>
        <w:right w:val="none" w:sz="0" w:space="0" w:color="auto"/>
      </w:divBdr>
    </w:div>
    <w:div w:id="755050561">
      <w:bodyDiv w:val="1"/>
      <w:marLeft w:val="0"/>
      <w:marRight w:val="0"/>
      <w:marTop w:val="0"/>
      <w:marBottom w:val="0"/>
      <w:divBdr>
        <w:top w:val="none" w:sz="0" w:space="0" w:color="auto"/>
        <w:left w:val="none" w:sz="0" w:space="0" w:color="auto"/>
        <w:bottom w:val="none" w:sz="0" w:space="0" w:color="auto"/>
        <w:right w:val="none" w:sz="0" w:space="0" w:color="auto"/>
      </w:divBdr>
    </w:div>
    <w:div w:id="765230104">
      <w:bodyDiv w:val="1"/>
      <w:marLeft w:val="0"/>
      <w:marRight w:val="0"/>
      <w:marTop w:val="0"/>
      <w:marBottom w:val="0"/>
      <w:divBdr>
        <w:top w:val="none" w:sz="0" w:space="0" w:color="auto"/>
        <w:left w:val="none" w:sz="0" w:space="0" w:color="auto"/>
        <w:bottom w:val="none" w:sz="0" w:space="0" w:color="auto"/>
        <w:right w:val="none" w:sz="0" w:space="0" w:color="auto"/>
      </w:divBdr>
    </w:div>
    <w:div w:id="772019022">
      <w:bodyDiv w:val="1"/>
      <w:marLeft w:val="0"/>
      <w:marRight w:val="0"/>
      <w:marTop w:val="0"/>
      <w:marBottom w:val="0"/>
      <w:divBdr>
        <w:top w:val="none" w:sz="0" w:space="0" w:color="auto"/>
        <w:left w:val="none" w:sz="0" w:space="0" w:color="auto"/>
        <w:bottom w:val="none" w:sz="0" w:space="0" w:color="auto"/>
        <w:right w:val="none" w:sz="0" w:space="0" w:color="auto"/>
      </w:divBdr>
    </w:div>
    <w:div w:id="775373212">
      <w:bodyDiv w:val="1"/>
      <w:marLeft w:val="0"/>
      <w:marRight w:val="0"/>
      <w:marTop w:val="0"/>
      <w:marBottom w:val="0"/>
      <w:divBdr>
        <w:top w:val="none" w:sz="0" w:space="0" w:color="auto"/>
        <w:left w:val="none" w:sz="0" w:space="0" w:color="auto"/>
        <w:bottom w:val="none" w:sz="0" w:space="0" w:color="auto"/>
        <w:right w:val="none" w:sz="0" w:space="0" w:color="auto"/>
      </w:divBdr>
    </w:div>
    <w:div w:id="777794033">
      <w:bodyDiv w:val="1"/>
      <w:marLeft w:val="0"/>
      <w:marRight w:val="0"/>
      <w:marTop w:val="0"/>
      <w:marBottom w:val="0"/>
      <w:divBdr>
        <w:top w:val="none" w:sz="0" w:space="0" w:color="auto"/>
        <w:left w:val="none" w:sz="0" w:space="0" w:color="auto"/>
        <w:bottom w:val="none" w:sz="0" w:space="0" w:color="auto"/>
        <w:right w:val="none" w:sz="0" w:space="0" w:color="auto"/>
      </w:divBdr>
    </w:div>
    <w:div w:id="780343004">
      <w:bodyDiv w:val="1"/>
      <w:marLeft w:val="0"/>
      <w:marRight w:val="0"/>
      <w:marTop w:val="0"/>
      <w:marBottom w:val="0"/>
      <w:divBdr>
        <w:top w:val="none" w:sz="0" w:space="0" w:color="auto"/>
        <w:left w:val="none" w:sz="0" w:space="0" w:color="auto"/>
        <w:bottom w:val="none" w:sz="0" w:space="0" w:color="auto"/>
        <w:right w:val="none" w:sz="0" w:space="0" w:color="auto"/>
      </w:divBdr>
    </w:div>
    <w:div w:id="790511264">
      <w:bodyDiv w:val="1"/>
      <w:marLeft w:val="0"/>
      <w:marRight w:val="0"/>
      <w:marTop w:val="0"/>
      <w:marBottom w:val="0"/>
      <w:divBdr>
        <w:top w:val="none" w:sz="0" w:space="0" w:color="auto"/>
        <w:left w:val="none" w:sz="0" w:space="0" w:color="auto"/>
        <w:bottom w:val="none" w:sz="0" w:space="0" w:color="auto"/>
        <w:right w:val="none" w:sz="0" w:space="0" w:color="auto"/>
      </w:divBdr>
    </w:div>
    <w:div w:id="820511542">
      <w:bodyDiv w:val="1"/>
      <w:marLeft w:val="0"/>
      <w:marRight w:val="0"/>
      <w:marTop w:val="0"/>
      <w:marBottom w:val="0"/>
      <w:divBdr>
        <w:top w:val="none" w:sz="0" w:space="0" w:color="auto"/>
        <w:left w:val="none" w:sz="0" w:space="0" w:color="auto"/>
        <w:bottom w:val="none" w:sz="0" w:space="0" w:color="auto"/>
        <w:right w:val="none" w:sz="0" w:space="0" w:color="auto"/>
      </w:divBdr>
    </w:div>
    <w:div w:id="835077221">
      <w:bodyDiv w:val="1"/>
      <w:marLeft w:val="0"/>
      <w:marRight w:val="0"/>
      <w:marTop w:val="0"/>
      <w:marBottom w:val="0"/>
      <w:divBdr>
        <w:top w:val="none" w:sz="0" w:space="0" w:color="auto"/>
        <w:left w:val="none" w:sz="0" w:space="0" w:color="auto"/>
        <w:bottom w:val="none" w:sz="0" w:space="0" w:color="auto"/>
        <w:right w:val="none" w:sz="0" w:space="0" w:color="auto"/>
      </w:divBdr>
    </w:div>
    <w:div w:id="842354846">
      <w:bodyDiv w:val="1"/>
      <w:marLeft w:val="0"/>
      <w:marRight w:val="0"/>
      <w:marTop w:val="0"/>
      <w:marBottom w:val="0"/>
      <w:divBdr>
        <w:top w:val="none" w:sz="0" w:space="0" w:color="auto"/>
        <w:left w:val="none" w:sz="0" w:space="0" w:color="auto"/>
        <w:bottom w:val="none" w:sz="0" w:space="0" w:color="auto"/>
        <w:right w:val="none" w:sz="0" w:space="0" w:color="auto"/>
      </w:divBdr>
    </w:div>
    <w:div w:id="866530638">
      <w:bodyDiv w:val="1"/>
      <w:marLeft w:val="0"/>
      <w:marRight w:val="0"/>
      <w:marTop w:val="0"/>
      <w:marBottom w:val="0"/>
      <w:divBdr>
        <w:top w:val="none" w:sz="0" w:space="0" w:color="auto"/>
        <w:left w:val="none" w:sz="0" w:space="0" w:color="auto"/>
        <w:bottom w:val="none" w:sz="0" w:space="0" w:color="auto"/>
        <w:right w:val="none" w:sz="0" w:space="0" w:color="auto"/>
      </w:divBdr>
    </w:div>
    <w:div w:id="874931180">
      <w:bodyDiv w:val="1"/>
      <w:marLeft w:val="0"/>
      <w:marRight w:val="0"/>
      <w:marTop w:val="0"/>
      <w:marBottom w:val="0"/>
      <w:divBdr>
        <w:top w:val="none" w:sz="0" w:space="0" w:color="auto"/>
        <w:left w:val="none" w:sz="0" w:space="0" w:color="auto"/>
        <w:bottom w:val="none" w:sz="0" w:space="0" w:color="auto"/>
        <w:right w:val="none" w:sz="0" w:space="0" w:color="auto"/>
      </w:divBdr>
      <w:divsChild>
        <w:div w:id="324826138">
          <w:marLeft w:val="0"/>
          <w:marRight w:val="0"/>
          <w:marTop w:val="0"/>
          <w:marBottom w:val="0"/>
          <w:divBdr>
            <w:top w:val="none" w:sz="0" w:space="0" w:color="auto"/>
            <w:left w:val="none" w:sz="0" w:space="0" w:color="auto"/>
            <w:bottom w:val="none" w:sz="0" w:space="0" w:color="auto"/>
            <w:right w:val="none" w:sz="0" w:space="0" w:color="auto"/>
          </w:divBdr>
          <w:divsChild>
            <w:div w:id="1397582742">
              <w:marLeft w:val="0"/>
              <w:marRight w:val="0"/>
              <w:marTop w:val="0"/>
              <w:marBottom w:val="0"/>
              <w:divBdr>
                <w:top w:val="none" w:sz="0" w:space="0" w:color="auto"/>
                <w:left w:val="none" w:sz="0" w:space="0" w:color="auto"/>
                <w:bottom w:val="none" w:sz="0" w:space="0" w:color="auto"/>
                <w:right w:val="none" w:sz="0" w:space="0" w:color="auto"/>
              </w:divBdr>
              <w:divsChild>
                <w:div w:id="475026600">
                  <w:marLeft w:val="0"/>
                  <w:marRight w:val="0"/>
                  <w:marTop w:val="0"/>
                  <w:marBottom w:val="0"/>
                  <w:divBdr>
                    <w:top w:val="none" w:sz="0" w:space="0" w:color="auto"/>
                    <w:left w:val="none" w:sz="0" w:space="0" w:color="auto"/>
                    <w:bottom w:val="none" w:sz="0" w:space="0" w:color="auto"/>
                    <w:right w:val="none" w:sz="0" w:space="0" w:color="auto"/>
                  </w:divBdr>
                  <w:divsChild>
                    <w:div w:id="2068261995">
                      <w:marLeft w:val="0"/>
                      <w:marRight w:val="0"/>
                      <w:marTop w:val="0"/>
                      <w:marBottom w:val="0"/>
                      <w:divBdr>
                        <w:top w:val="none" w:sz="0" w:space="0" w:color="auto"/>
                        <w:left w:val="none" w:sz="0" w:space="0" w:color="auto"/>
                        <w:bottom w:val="none" w:sz="0" w:space="0" w:color="auto"/>
                        <w:right w:val="none" w:sz="0" w:space="0" w:color="auto"/>
                      </w:divBdr>
                      <w:divsChild>
                        <w:div w:id="128118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815980">
      <w:bodyDiv w:val="1"/>
      <w:marLeft w:val="0"/>
      <w:marRight w:val="0"/>
      <w:marTop w:val="0"/>
      <w:marBottom w:val="0"/>
      <w:divBdr>
        <w:top w:val="none" w:sz="0" w:space="0" w:color="auto"/>
        <w:left w:val="none" w:sz="0" w:space="0" w:color="auto"/>
        <w:bottom w:val="none" w:sz="0" w:space="0" w:color="auto"/>
        <w:right w:val="none" w:sz="0" w:space="0" w:color="auto"/>
      </w:divBdr>
    </w:div>
    <w:div w:id="886717850">
      <w:bodyDiv w:val="1"/>
      <w:marLeft w:val="0"/>
      <w:marRight w:val="0"/>
      <w:marTop w:val="0"/>
      <w:marBottom w:val="0"/>
      <w:divBdr>
        <w:top w:val="none" w:sz="0" w:space="0" w:color="auto"/>
        <w:left w:val="none" w:sz="0" w:space="0" w:color="auto"/>
        <w:bottom w:val="none" w:sz="0" w:space="0" w:color="auto"/>
        <w:right w:val="none" w:sz="0" w:space="0" w:color="auto"/>
      </w:divBdr>
    </w:div>
    <w:div w:id="887837059">
      <w:bodyDiv w:val="1"/>
      <w:marLeft w:val="0"/>
      <w:marRight w:val="0"/>
      <w:marTop w:val="0"/>
      <w:marBottom w:val="0"/>
      <w:divBdr>
        <w:top w:val="none" w:sz="0" w:space="0" w:color="auto"/>
        <w:left w:val="none" w:sz="0" w:space="0" w:color="auto"/>
        <w:bottom w:val="none" w:sz="0" w:space="0" w:color="auto"/>
        <w:right w:val="none" w:sz="0" w:space="0" w:color="auto"/>
      </w:divBdr>
    </w:div>
    <w:div w:id="888566558">
      <w:bodyDiv w:val="1"/>
      <w:marLeft w:val="0"/>
      <w:marRight w:val="0"/>
      <w:marTop w:val="0"/>
      <w:marBottom w:val="0"/>
      <w:divBdr>
        <w:top w:val="none" w:sz="0" w:space="0" w:color="auto"/>
        <w:left w:val="none" w:sz="0" w:space="0" w:color="auto"/>
        <w:bottom w:val="none" w:sz="0" w:space="0" w:color="auto"/>
        <w:right w:val="none" w:sz="0" w:space="0" w:color="auto"/>
      </w:divBdr>
    </w:div>
    <w:div w:id="893588021">
      <w:bodyDiv w:val="1"/>
      <w:marLeft w:val="0"/>
      <w:marRight w:val="0"/>
      <w:marTop w:val="0"/>
      <w:marBottom w:val="0"/>
      <w:divBdr>
        <w:top w:val="none" w:sz="0" w:space="0" w:color="auto"/>
        <w:left w:val="none" w:sz="0" w:space="0" w:color="auto"/>
        <w:bottom w:val="none" w:sz="0" w:space="0" w:color="auto"/>
        <w:right w:val="none" w:sz="0" w:space="0" w:color="auto"/>
      </w:divBdr>
    </w:div>
    <w:div w:id="908344172">
      <w:bodyDiv w:val="1"/>
      <w:marLeft w:val="0"/>
      <w:marRight w:val="0"/>
      <w:marTop w:val="0"/>
      <w:marBottom w:val="0"/>
      <w:divBdr>
        <w:top w:val="none" w:sz="0" w:space="0" w:color="auto"/>
        <w:left w:val="none" w:sz="0" w:space="0" w:color="auto"/>
        <w:bottom w:val="none" w:sz="0" w:space="0" w:color="auto"/>
        <w:right w:val="none" w:sz="0" w:space="0" w:color="auto"/>
      </w:divBdr>
    </w:div>
    <w:div w:id="913397699">
      <w:bodyDiv w:val="1"/>
      <w:marLeft w:val="0"/>
      <w:marRight w:val="0"/>
      <w:marTop w:val="0"/>
      <w:marBottom w:val="0"/>
      <w:divBdr>
        <w:top w:val="none" w:sz="0" w:space="0" w:color="auto"/>
        <w:left w:val="none" w:sz="0" w:space="0" w:color="auto"/>
        <w:bottom w:val="none" w:sz="0" w:space="0" w:color="auto"/>
        <w:right w:val="none" w:sz="0" w:space="0" w:color="auto"/>
      </w:divBdr>
    </w:div>
    <w:div w:id="932321552">
      <w:bodyDiv w:val="1"/>
      <w:marLeft w:val="0"/>
      <w:marRight w:val="0"/>
      <w:marTop w:val="0"/>
      <w:marBottom w:val="0"/>
      <w:divBdr>
        <w:top w:val="none" w:sz="0" w:space="0" w:color="auto"/>
        <w:left w:val="none" w:sz="0" w:space="0" w:color="auto"/>
        <w:bottom w:val="none" w:sz="0" w:space="0" w:color="auto"/>
        <w:right w:val="none" w:sz="0" w:space="0" w:color="auto"/>
      </w:divBdr>
    </w:div>
    <w:div w:id="933364285">
      <w:bodyDiv w:val="1"/>
      <w:marLeft w:val="0"/>
      <w:marRight w:val="0"/>
      <w:marTop w:val="0"/>
      <w:marBottom w:val="0"/>
      <w:divBdr>
        <w:top w:val="none" w:sz="0" w:space="0" w:color="auto"/>
        <w:left w:val="none" w:sz="0" w:space="0" w:color="auto"/>
        <w:bottom w:val="none" w:sz="0" w:space="0" w:color="auto"/>
        <w:right w:val="none" w:sz="0" w:space="0" w:color="auto"/>
      </w:divBdr>
    </w:div>
    <w:div w:id="946699277">
      <w:bodyDiv w:val="1"/>
      <w:marLeft w:val="0"/>
      <w:marRight w:val="0"/>
      <w:marTop w:val="0"/>
      <w:marBottom w:val="0"/>
      <w:divBdr>
        <w:top w:val="none" w:sz="0" w:space="0" w:color="auto"/>
        <w:left w:val="none" w:sz="0" w:space="0" w:color="auto"/>
        <w:bottom w:val="none" w:sz="0" w:space="0" w:color="auto"/>
        <w:right w:val="none" w:sz="0" w:space="0" w:color="auto"/>
      </w:divBdr>
    </w:div>
    <w:div w:id="963076819">
      <w:bodyDiv w:val="1"/>
      <w:marLeft w:val="0"/>
      <w:marRight w:val="0"/>
      <w:marTop w:val="0"/>
      <w:marBottom w:val="0"/>
      <w:divBdr>
        <w:top w:val="none" w:sz="0" w:space="0" w:color="auto"/>
        <w:left w:val="none" w:sz="0" w:space="0" w:color="auto"/>
        <w:bottom w:val="none" w:sz="0" w:space="0" w:color="auto"/>
        <w:right w:val="none" w:sz="0" w:space="0" w:color="auto"/>
      </w:divBdr>
    </w:div>
    <w:div w:id="968169447">
      <w:bodyDiv w:val="1"/>
      <w:marLeft w:val="0"/>
      <w:marRight w:val="0"/>
      <w:marTop w:val="0"/>
      <w:marBottom w:val="0"/>
      <w:divBdr>
        <w:top w:val="none" w:sz="0" w:space="0" w:color="auto"/>
        <w:left w:val="none" w:sz="0" w:space="0" w:color="auto"/>
        <w:bottom w:val="none" w:sz="0" w:space="0" w:color="auto"/>
        <w:right w:val="none" w:sz="0" w:space="0" w:color="auto"/>
      </w:divBdr>
      <w:divsChild>
        <w:div w:id="67118818">
          <w:marLeft w:val="0"/>
          <w:marRight w:val="0"/>
          <w:marTop w:val="0"/>
          <w:marBottom w:val="0"/>
          <w:divBdr>
            <w:top w:val="none" w:sz="0" w:space="0" w:color="auto"/>
            <w:left w:val="none" w:sz="0" w:space="0" w:color="auto"/>
            <w:bottom w:val="none" w:sz="0" w:space="0" w:color="auto"/>
            <w:right w:val="none" w:sz="0" w:space="0" w:color="auto"/>
          </w:divBdr>
        </w:div>
        <w:div w:id="1722434768">
          <w:marLeft w:val="0"/>
          <w:marRight w:val="0"/>
          <w:marTop w:val="0"/>
          <w:marBottom w:val="0"/>
          <w:divBdr>
            <w:top w:val="none" w:sz="0" w:space="0" w:color="auto"/>
            <w:left w:val="none" w:sz="0" w:space="0" w:color="auto"/>
            <w:bottom w:val="none" w:sz="0" w:space="0" w:color="auto"/>
            <w:right w:val="none" w:sz="0" w:space="0" w:color="auto"/>
          </w:divBdr>
        </w:div>
        <w:div w:id="2027559130">
          <w:marLeft w:val="0"/>
          <w:marRight w:val="0"/>
          <w:marTop w:val="0"/>
          <w:marBottom w:val="0"/>
          <w:divBdr>
            <w:top w:val="none" w:sz="0" w:space="0" w:color="auto"/>
            <w:left w:val="none" w:sz="0" w:space="0" w:color="auto"/>
            <w:bottom w:val="none" w:sz="0" w:space="0" w:color="auto"/>
            <w:right w:val="none" w:sz="0" w:space="0" w:color="auto"/>
          </w:divBdr>
        </w:div>
      </w:divsChild>
    </w:div>
    <w:div w:id="977339509">
      <w:bodyDiv w:val="1"/>
      <w:marLeft w:val="0"/>
      <w:marRight w:val="0"/>
      <w:marTop w:val="0"/>
      <w:marBottom w:val="0"/>
      <w:divBdr>
        <w:top w:val="none" w:sz="0" w:space="0" w:color="auto"/>
        <w:left w:val="none" w:sz="0" w:space="0" w:color="auto"/>
        <w:bottom w:val="none" w:sz="0" w:space="0" w:color="auto"/>
        <w:right w:val="none" w:sz="0" w:space="0" w:color="auto"/>
      </w:divBdr>
    </w:div>
    <w:div w:id="985088907">
      <w:bodyDiv w:val="1"/>
      <w:marLeft w:val="0"/>
      <w:marRight w:val="0"/>
      <w:marTop w:val="0"/>
      <w:marBottom w:val="0"/>
      <w:divBdr>
        <w:top w:val="none" w:sz="0" w:space="0" w:color="auto"/>
        <w:left w:val="none" w:sz="0" w:space="0" w:color="auto"/>
        <w:bottom w:val="none" w:sz="0" w:space="0" w:color="auto"/>
        <w:right w:val="none" w:sz="0" w:space="0" w:color="auto"/>
      </w:divBdr>
    </w:div>
    <w:div w:id="987126160">
      <w:bodyDiv w:val="1"/>
      <w:marLeft w:val="0"/>
      <w:marRight w:val="0"/>
      <w:marTop w:val="0"/>
      <w:marBottom w:val="0"/>
      <w:divBdr>
        <w:top w:val="none" w:sz="0" w:space="0" w:color="auto"/>
        <w:left w:val="none" w:sz="0" w:space="0" w:color="auto"/>
        <w:bottom w:val="none" w:sz="0" w:space="0" w:color="auto"/>
        <w:right w:val="none" w:sz="0" w:space="0" w:color="auto"/>
      </w:divBdr>
    </w:div>
    <w:div w:id="1032609582">
      <w:bodyDiv w:val="1"/>
      <w:marLeft w:val="0"/>
      <w:marRight w:val="0"/>
      <w:marTop w:val="0"/>
      <w:marBottom w:val="0"/>
      <w:divBdr>
        <w:top w:val="none" w:sz="0" w:space="0" w:color="auto"/>
        <w:left w:val="none" w:sz="0" w:space="0" w:color="auto"/>
        <w:bottom w:val="none" w:sz="0" w:space="0" w:color="auto"/>
        <w:right w:val="none" w:sz="0" w:space="0" w:color="auto"/>
      </w:divBdr>
    </w:div>
    <w:div w:id="1036656243">
      <w:bodyDiv w:val="1"/>
      <w:marLeft w:val="0"/>
      <w:marRight w:val="0"/>
      <w:marTop w:val="0"/>
      <w:marBottom w:val="0"/>
      <w:divBdr>
        <w:top w:val="none" w:sz="0" w:space="0" w:color="auto"/>
        <w:left w:val="none" w:sz="0" w:space="0" w:color="auto"/>
        <w:bottom w:val="none" w:sz="0" w:space="0" w:color="auto"/>
        <w:right w:val="none" w:sz="0" w:space="0" w:color="auto"/>
      </w:divBdr>
    </w:div>
    <w:div w:id="1036658635">
      <w:bodyDiv w:val="1"/>
      <w:marLeft w:val="0"/>
      <w:marRight w:val="0"/>
      <w:marTop w:val="0"/>
      <w:marBottom w:val="0"/>
      <w:divBdr>
        <w:top w:val="none" w:sz="0" w:space="0" w:color="auto"/>
        <w:left w:val="none" w:sz="0" w:space="0" w:color="auto"/>
        <w:bottom w:val="none" w:sz="0" w:space="0" w:color="auto"/>
        <w:right w:val="none" w:sz="0" w:space="0" w:color="auto"/>
      </w:divBdr>
    </w:div>
    <w:div w:id="1042100826">
      <w:bodyDiv w:val="1"/>
      <w:marLeft w:val="0"/>
      <w:marRight w:val="0"/>
      <w:marTop w:val="0"/>
      <w:marBottom w:val="0"/>
      <w:divBdr>
        <w:top w:val="none" w:sz="0" w:space="0" w:color="auto"/>
        <w:left w:val="none" w:sz="0" w:space="0" w:color="auto"/>
        <w:bottom w:val="none" w:sz="0" w:space="0" w:color="auto"/>
        <w:right w:val="none" w:sz="0" w:space="0" w:color="auto"/>
      </w:divBdr>
    </w:div>
    <w:div w:id="1054431394">
      <w:bodyDiv w:val="1"/>
      <w:marLeft w:val="0"/>
      <w:marRight w:val="0"/>
      <w:marTop w:val="0"/>
      <w:marBottom w:val="0"/>
      <w:divBdr>
        <w:top w:val="none" w:sz="0" w:space="0" w:color="auto"/>
        <w:left w:val="none" w:sz="0" w:space="0" w:color="auto"/>
        <w:bottom w:val="none" w:sz="0" w:space="0" w:color="auto"/>
        <w:right w:val="none" w:sz="0" w:space="0" w:color="auto"/>
      </w:divBdr>
    </w:div>
    <w:div w:id="1055590987">
      <w:bodyDiv w:val="1"/>
      <w:marLeft w:val="0"/>
      <w:marRight w:val="0"/>
      <w:marTop w:val="0"/>
      <w:marBottom w:val="0"/>
      <w:divBdr>
        <w:top w:val="none" w:sz="0" w:space="0" w:color="auto"/>
        <w:left w:val="none" w:sz="0" w:space="0" w:color="auto"/>
        <w:bottom w:val="none" w:sz="0" w:space="0" w:color="auto"/>
        <w:right w:val="none" w:sz="0" w:space="0" w:color="auto"/>
      </w:divBdr>
    </w:div>
    <w:div w:id="1056585315">
      <w:bodyDiv w:val="1"/>
      <w:marLeft w:val="0"/>
      <w:marRight w:val="0"/>
      <w:marTop w:val="0"/>
      <w:marBottom w:val="0"/>
      <w:divBdr>
        <w:top w:val="none" w:sz="0" w:space="0" w:color="auto"/>
        <w:left w:val="none" w:sz="0" w:space="0" w:color="auto"/>
        <w:bottom w:val="none" w:sz="0" w:space="0" w:color="auto"/>
        <w:right w:val="none" w:sz="0" w:space="0" w:color="auto"/>
      </w:divBdr>
    </w:div>
    <w:div w:id="1057319440">
      <w:bodyDiv w:val="1"/>
      <w:marLeft w:val="0"/>
      <w:marRight w:val="0"/>
      <w:marTop w:val="0"/>
      <w:marBottom w:val="0"/>
      <w:divBdr>
        <w:top w:val="none" w:sz="0" w:space="0" w:color="auto"/>
        <w:left w:val="none" w:sz="0" w:space="0" w:color="auto"/>
        <w:bottom w:val="none" w:sz="0" w:space="0" w:color="auto"/>
        <w:right w:val="none" w:sz="0" w:space="0" w:color="auto"/>
      </w:divBdr>
      <w:divsChild>
        <w:div w:id="817307732">
          <w:marLeft w:val="0"/>
          <w:marRight w:val="0"/>
          <w:marTop w:val="0"/>
          <w:marBottom w:val="0"/>
          <w:divBdr>
            <w:top w:val="none" w:sz="0" w:space="0" w:color="auto"/>
            <w:left w:val="none" w:sz="0" w:space="0" w:color="auto"/>
            <w:bottom w:val="none" w:sz="0" w:space="0" w:color="auto"/>
            <w:right w:val="none" w:sz="0" w:space="0" w:color="auto"/>
          </w:divBdr>
          <w:divsChild>
            <w:div w:id="703362504">
              <w:marLeft w:val="0"/>
              <w:marRight w:val="0"/>
              <w:marTop w:val="0"/>
              <w:marBottom w:val="0"/>
              <w:divBdr>
                <w:top w:val="none" w:sz="0" w:space="0" w:color="auto"/>
                <w:left w:val="none" w:sz="0" w:space="0" w:color="auto"/>
                <w:bottom w:val="none" w:sz="0" w:space="0" w:color="auto"/>
                <w:right w:val="none" w:sz="0" w:space="0" w:color="auto"/>
              </w:divBdr>
              <w:divsChild>
                <w:div w:id="64770321">
                  <w:marLeft w:val="0"/>
                  <w:marRight w:val="0"/>
                  <w:marTop w:val="0"/>
                  <w:marBottom w:val="0"/>
                  <w:divBdr>
                    <w:top w:val="none" w:sz="0" w:space="0" w:color="auto"/>
                    <w:left w:val="none" w:sz="0" w:space="0" w:color="auto"/>
                    <w:bottom w:val="none" w:sz="0" w:space="0" w:color="auto"/>
                    <w:right w:val="none" w:sz="0" w:space="0" w:color="auto"/>
                  </w:divBdr>
                  <w:divsChild>
                    <w:div w:id="1317684589">
                      <w:marLeft w:val="0"/>
                      <w:marRight w:val="0"/>
                      <w:marTop w:val="0"/>
                      <w:marBottom w:val="0"/>
                      <w:divBdr>
                        <w:top w:val="none" w:sz="0" w:space="0" w:color="auto"/>
                        <w:left w:val="none" w:sz="0" w:space="0" w:color="auto"/>
                        <w:bottom w:val="none" w:sz="0" w:space="0" w:color="auto"/>
                        <w:right w:val="none" w:sz="0" w:space="0" w:color="auto"/>
                      </w:divBdr>
                      <w:divsChild>
                        <w:div w:id="1411152316">
                          <w:marLeft w:val="0"/>
                          <w:marRight w:val="0"/>
                          <w:marTop w:val="0"/>
                          <w:marBottom w:val="0"/>
                          <w:divBdr>
                            <w:top w:val="none" w:sz="0" w:space="0" w:color="auto"/>
                            <w:left w:val="none" w:sz="0" w:space="0" w:color="auto"/>
                            <w:bottom w:val="none" w:sz="0" w:space="0" w:color="auto"/>
                            <w:right w:val="none" w:sz="0" w:space="0" w:color="auto"/>
                          </w:divBdr>
                          <w:divsChild>
                            <w:div w:id="724521732">
                              <w:marLeft w:val="0"/>
                              <w:marRight w:val="0"/>
                              <w:marTop w:val="0"/>
                              <w:marBottom w:val="0"/>
                              <w:divBdr>
                                <w:top w:val="none" w:sz="0" w:space="0" w:color="auto"/>
                                <w:left w:val="none" w:sz="0" w:space="0" w:color="auto"/>
                                <w:bottom w:val="none" w:sz="0" w:space="0" w:color="auto"/>
                                <w:right w:val="none" w:sz="0" w:space="0" w:color="auto"/>
                              </w:divBdr>
                              <w:divsChild>
                                <w:div w:id="59100774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5030633">
      <w:bodyDiv w:val="1"/>
      <w:marLeft w:val="0"/>
      <w:marRight w:val="0"/>
      <w:marTop w:val="0"/>
      <w:marBottom w:val="0"/>
      <w:divBdr>
        <w:top w:val="none" w:sz="0" w:space="0" w:color="auto"/>
        <w:left w:val="none" w:sz="0" w:space="0" w:color="auto"/>
        <w:bottom w:val="none" w:sz="0" w:space="0" w:color="auto"/>
        <w:right w:val="none" w:sz="0" w:space="0" w:color="auto"/>
      </w:divBdr>
    </w:div>
    <w:div w:id="1074471881">
      <w:bodyDiv w:val="1"/>
      <w:marLeft w:val="0"/>
      <w:marRight w:val="0"/>
      <w:marTop w:val="0"/>
      <w:marBottom w:val="0"/>
      <w:divBdr>
        <w:top w:val="none" w:sz="0" w:space="0" w:color="auto"/>
        <w:left w:val="none" w:sz="0" w:space="0" w:color="auto"/>
        <w:bottom w:val="none" w:sz="0" w:space="0" w:color="auto"/>
        <w:right w:val="none" w:sz="0" w:space="0" w:color="auto"/>
      </w:divBdr>
    </w:div>
    <w:div w:id="1088505327">
      <w:bodyDiv w:val="1"/>
      <w:marLeft w:val="0"/>
      <w:marRight w:val="0"/>
      <w:marTop w:val="0"/>
      <w:marBottom w:val="0"/>
      <w:divBdr>
        <w:top w:val="none" w:sz="0" w:space="0" w:color="auto"/>
        <w:left w:val="none" w:sz="0" w:space="0" w:color="auto"/>
        <w:bottom w:val="none" w:sz="0" w:space="0" w:color="auto"/>
        <w:right w:val="none" w:sz="0" w:space="0" w:color="auto"/>
      </w:divBdr>
    </w:div>
    <w:div w:id="1092042638">
      <w:bodyDiv w:val="1"/>
      <w:marLeft w:val="0"/>
      <w:marRight w:val="0"/>
      <w:marTop w:val="0"/>
      <w:marBottom w:val="0"/>
      <w:divBdr>
        <w:top w:val="none" w:sz="0" w:space="0" w:color="auto"/>
        <w:left w:val="none" w:sz="0" w:space="0" w:color="auto"/>
        <w:bottom w:val="none" w:sz="0" w:space="0" w:color="auto"/>
        <w:right w:val="none" w:sz="0" w:space="0" w:color="auto"/>
      </w:divBdr>
      <w:divsChild>
        <w:div w:id="194198732">
          <w:marLeft w:val="547"/>
          <w:marRight w:val="0"/>
          <w:marTop w:val="0"/>
          <w:marBottom w:val="0"/>
          <w:divBdr>
            <w:top w:val="none" w:sz="0" w:space="0" w:color="auto"/>
            <w:left w:val="none" w:sz="0" w:space="0" w:color="auto"/>
            <w:bottom w:val="none" w:sz="0" w:space="0" w:color="auto"/>
            <w:right w:val="none" w:sz="0" w:space="0" w:color="auto"/>
          </w:divBdr>
        </w:div>
        <w:div w:id="254678296">
          <w:marLeft w:val="547"/>
          <w:marRight w:val="0"/>
          <w:marTop w:val="0"/>
          <w:marBottom w:val="0"/>
          <w:divBdr>
            <w:top w:val="none" w:sz="0" w:space="0" w:color="auto"/>
            <w:left w:val="none" w:sz="0" w:space="0" w:color="auto"/>
            <w:bottom w:val="none" w:sz="0" w:space="0" w:color="auto"/>
            <w:right w:val="none" w:sz="0" w:space="0" w:color="auto"/>
          </w:divBdr>
        </w:div>
        <w:div w:id="254751668">
          <w:marLeft w:val="1166"/>
          <w:marRight w:val="0"/>
          <w:marTop w:val="0"/>
          <w:marBottom w:val="0"/>
          <w:divBdr>
            <w:top w:val="none" w:sz="0" w:space="0" w:color="auto"/>
            <w:left w:val="none" w:sz="0" w:space="0" w:color="auto"/>
            <w:bottom w:val="none" w:sz="0" w:space="0" w:color="auto"/>
            <w:right w:val="none" w:sz="0" w:space="0" w:color="auto"/>
          </w:divBdr>
        </w:div>
        <w:div w:id="257254529">
          <w:marLeft w:val="1166"/>
          <w:marRight w:val="0"/>
          <w:marTop w:val="0"/>
          <w:marBottom w:val="0"/>
          <w:divBdr>
            <w:top w:val="none" w:sz="0" w:space="0" w:color="auto"/>
            <w:left w:val="none" w:sz="0" w:space="0" w:color="auto"/>
            <w:bottom w:val="none" w:sz="0" w:space="0" w:color="auto"/>
            <w:right w:val="none" w:sz="0" w:space="0" w:color="auto"/>
          </w:divBdr>
        </w:div>
        <w:div w:id="804156905">
          <w:marLeft w:val="1166"/>
          <w:marRight w:val="0"/>
          <w:marTop w:val="0"/>
          <w:marBottom w:val="0"/>
          <w:divBdr>
            <w:top w:val="none" w:sz="0" w:space="0" w:color="auto"/>
            <w:left w:val="none" w:sz="0" w:space="0" w:color="auto"/>
            <w:bottom w:val="none" w:sz="0" w:space="0" w:color="auto"/>
            <w:right w:val="none" w:sz="0" w:space="0" w:color="auto"/>
          </w:divBdr>
        </w:div>
        <w:div w:id="835195924">
          <w:marLeft w:val="1166"/>
          <w:marRight w:val="0"/>
          <w:marTop w:val="0"/>
          <w:marBottom w:val="0"/>
          <w:divBdr>
            <w:top w:val="none" w:sz="0" w:space="0" w:color="auto"/>
            <w:left w:val="none" w:sz="0" w:space="0" w:color="auto"/>
            <w:bottom w:val="none" w:sz="0" w:space="0" w:color="auto"/>
            <w:right w:val="none" w:sz="0" w:space="0" w:color="auto"/>
          </w:divBdr>
        </w:div>
        <w:div w:id="1034429841">
          <w:marLeft w:val="547"/>
          <w:marRight w:val="0"/>
          <w:marTop w:val="0"/>
          <w:marBottom w:val="0"/>
          <w:divBdr>
            <w:top w:val="none" w:sz="0" w:space="0" w:color="auto"/>
            <w:left w:val="none" w:sz="0" w:space="0" w:color="auto"/>
            <w:bottom w:val="none" w:sz="0" w:space="0" w:color="auto"/>
            <w:right w:val="none" w:sz="0" w:space="0" w:color="auto"/>
          </w:divBdr>
        </w:div>
        <w:div w:id="1664965194">
          <w:marLeft w:val="547"/>
          <w:marRight w:val="0"/>
          <w:marTop w:val="0"/>
          <w:marBottom w:val="0"/>
          <w:divBdr>
            <w:top w:val="none" w:sz="0" w:space="0" w:color="auto"/>
            <w:left w:val="none" w:sz="0" w:space="0" w:color="auto"/>
            <w:bottom w:val="none" w:sz="0" w:space="0" w:color="auto"/>
            <w:right w:val="none" w:sz="0" w:space="0" w:color="auto"/>
          </w:divBdr>
        </w:div>
        <w:div w:id="1938715077">
          <w:marLeft w:val="547"/>
          <w:marRight w:val="0"/>
          <w:marTop w:val="0"/>
          <w:marBottom w:val="0"/>
          <w:divBdr>
            <w:top w:val="none" w:sz="0" w:space="0" w:color="auto"/>
            <w:left w:val="none" w:sz="0" w:space="0" w:color="auto"/>
            <w:bottom w:val="none" w:sz="0" w:space="0" w:color="auto"/>
            <w:right w:val="none" w:sz="0" w:space="0" w:color="auto"/>
          </w:divBdr>
        </w:div>
        <w:div w:id="2030980844">
          <w:marLeft w:val="1166"/>
          <w:marRight w:val="0"/>
          <w:marTop w:val="0"/>
          <w:marBottom w:val="0"/>
          <w:divBdr>
            <w:top w:val="none" w:sz="0" w:space="0" w:color="auto"/>
            <w:left w:val="none" w:sz="0" w:space="0" w:color="auto"/>
            <w:bottom w:val="none" w:sz="0" w:space="0" w:color="auto"/>
            <w:right w:val="none" w:sz="0" w:space="0" w:color="auto"/>
          </w:divBdr>
        </w:div>
      </w:divsChild>
    </w:div>
    <w:div w:id="1109009767">
      <w:bodyDiv w:val="1"/>
      <w:marLeft w:val="0"/>
      <w:marRight w:val="0"/>
      <w:marTop w:val="0"/>
      <w:marBottom w:val="0"/>
      <w:divBdr>
        <w:top w:val="none" w:sz="0" w:space="0" w:color="auto"/>
        <w:left w:val="none" w:sz="0" w:space="0" w:color="auto"/>
        <w:bottom w:val="none" w:sz="0" w:space="0" w:color="auto"/>
        <w:right w:val="none" w:sz="0" w:space="0" w:color="auto"/>
      </w:divBdr>
    </w:div>
    <w:div w:id="1111977639">
      <w:bodyDiv w:val="1"/>
      <w:marLeft w:val="0"/>
      <w:marRight w:val="0"/>
      <w:marTop w:val="0"/>
      <w:marBottom w:val="0"/>
      <w:divBdr>
        <w:top w:val="none" w:sz="0" w:space="0" w:color="auto"/>
        <w:left w:val="none" w:sz="0" w:space="0" w:color="auto"/>
        <w:bottom w:val="none" w:sz="0" w:space="0" w:color="auto"/>
        <w:right w:val="none" w:sz="0" w:space="0" w:color="auto"/>
      </w:divBdr>
    </w:div>
    <w:div w:id="1129933529">
      <w:bodyDiv w:val="1"/>
      <w:marLeft w:val="0"/>
      <w:marRight w:val="0"/>
      <w:marTop w:val="0"/>
      <w:marBottom w:val="0"/>
      <w:divBdr>
        <w:top w:val="none" w:sz="0" w:space="0" w:color="auto"/>
        <w:left w:val="none" w:sz="0" w:space="0" w:color="auto"/>
        <w:bottom w:val="none" w:sz="0" w:space="0" w:color="auto"/>
        <w:right w:val="none" w:sz="0" w:space="0" w:color="auto"/>
      </w:divBdr>
    </w:div>
    <w:div w:id="1131485227">
      <w:bodyDiv w:val="1"/>
      <w:marLeft w:val="0"/>
      <w:marRight w:val="0"/>
      <w:marTop w:val="0"/>
      <w:marBottom w:val="0"/>
      <w:divBdr>
        <w:top w:val="none" w:sz="0" w:space="0" w:color="auto"/>
        <w:left w:val="none" w:sz="0" w:space="0" w:color="auto"/>
        <w:bottom w:val="none" w:sz="0" w:space="0" w:color="auto"/>
        <w:right w:val="none" w:sz="0" w:space="0" w:color="auto"/>
      </w:divBdr>
    </w:div>
    <w:div w:id="1140883091">
      <w:bodyDiv w:val="1"/>
      <w:marLeft w:val="0"/>
      <w:marRight w:val="0"/>
      <w:marTop w:val="0"/>
      <w:marBottom w:val="0"/>
      <w:divBdr>
        <w:top w:val="none" w:sz="0" w:space="0" w:color="auto"/>
        <w:left w:val="none" w:sz="0" w:space="0" w:color="auto"/>
        <w:bottom w:val="none" w:sz="0" w:space="0" w:color="auto"/>
        <w:right w:val="none" w:sz="0" w:space="0" w:color="auto"/>
      </w:divBdr>
    </w:div>
    <w:div w:id="1153988381">
      <w:bodyDiv w:val="1"/>
      <w:marLeft w:val="0"/>
      <w:marRight w:val="0"/>
      <w:marTop w:val="0"/>
      <w:marBottom w:val="0"/>
      <w:divBdr>
        <w:top w:val="none" w:sz="0" w:space="0" w:color="auto"/>
        <w:left w:val="none" w:sz="0" w:space="0" w:color="auto"/>
        <w:bottom w:val="none" w:sz="0" w:space="0" w:color="auto"/>
        <w:right w:val="none" w:sz="0" w:space="0" w:color="auto"/>
      </w:divBdr>
    </w:div>
    <w:div w:id="1160467517">
      <w:bodyDiv w:val="1"/>
      <w:marLeft w:val="0"/>
      <w:marRight w:val="0"/>
      <w:marTop w:val="0"/>
      <w:marBottom w:val="0"/>
      <w:divBdr>
        <w:top w:val="none" w:sz="0" w:space="0" w:color="auto"/>
        <w:left w:val="none" w:sz="0" w:space="0" w:color="auto"/>
        <w:bottom w:val="none" w:sz="0" w:space="0" w:color="auto"/>
        <w:right w:val="none" w:sz="0" w:space="0" w:color="auto"/>
      </w:divBdr>
    </w:div>
    <w:div w:id="1169833623">
      <w:bodyDiv w:val="1"/>
      <w:marLeft w:val="0"/>
      <w:marRight w:val="0"/>
      <w:marTop w:val="0"/>
      <w:marBottom w:val="0"/>
      <w:divBdr>
        <w:top w:val="none" w:sz="0" w:space="0" w:color="auto"/>
        <w:left w:val="none" w:sz="0" w:space="0" w:color="auto"/>
        <w:bottom w:val="none" w:sz="0" w:space="0" w:color="auto"/>
        <w:right w:val="none" w:sz="0" w:space="0" w:color="auto"/>
      </w:divBdr>
    </w:div>
    <w:div w:id="1197697183">
      <w:bodyDiv w:val="1"/>
      <w:marLeft w:val="0"/>
      <w:marRight w:val="0"/>
      <w:marTop w:val="0"/>
      <w:marBottom w:val="0"/>
      <w:divBdr>
        <w:top w:val="none" w:sz="0" w:space="0" w:color="auto"/>
        <w:left w:val="none" w:sz="0" w:space="0" w:color="auto"/>
        <w:bottom w:val="none" w:sz="0" w:space="0" w:color="auto"/>
        <w:right w:val="none" w:sz="0" w:space="0" w:color="auto"/>
      </w:divBdr>
    </w:div>
    <w:div w:id="1200554959">
      <w:bodyDiv w:val="1"/>
      <w:marLeft w:val="0"/>
      <w:marRight w:val="0"/>
      <w:marTop w:val="0"/>
      <w:marBottom w:val="0"/>
      <w:divBdr>
        <w:top w:val="none" w:sz="0" w:space="0" w:color="auto"/>
        <w:left w:val="none" w:sz="0" w:space="0" w:color="auto"/>
        <w:bottom w:val="none" w:sz="0" w:space="0" w:color="auto"/>
        <w:right w:val="none" w:sz="0" w:space="0" w:color="auto"/>
      </w:divBdr>
    </w:div>
    <w:div w:id="1215968155">
      <w:bodyDiv w:val="1"/>
      <w:marLeft w:val="0"/>
      <w:marRight w:val="0"/>
      <w:marTop w:val="0"/>
      <w:marBottom w:val="0"/>
      <w:divBdr>
        <w:top w:val="none" w:sz="0" w:space="0" w:color="auto"/>
        <w:left w:val="none" w:sz="0" w:space="0" w:color="auto"/>
        <w:bottom w:val="none" w:sz="0" w:space="0" w:color="auto"/>
        <w:right w:val="none" w:sz="0" w:space="0" w:color="auto"/>
      </w:divBdr>
    </w:div>
    <w:div w:id="1228802799">
      <w:bodyDiv w:val="1"/>
      <w:marLeft w:val="0"/>
      <w:marRight w:val="0"/>
      <w:marTop w:val="0"/>
      <w:marBottom w:val="0"/>
      <w:divBdr>
        <w:top w:val="none" w:sz="0" w:space="0" w:color="auto"/>
        <w:left w:val="none" w:sz="0" w:space="0" w:color="auto"/>
        <w:bottom w:val="none" w:sz="0" w:space="0" w:color="auto"/>
        <w:right w:val="none" w:sz="0" w:space="0" w:color="auto"/>
      </w:divBdr>
    </w:div>
    <w:div w:id="1238637219">
      <w:bodyDiv w:val="1"/>
      <w:marLeft w:val="0"/>
      <w:marRight w:val="0"/>
      <w:marTop w:val="0"/>
      <w:marBottom w:val="0"/>
      <w:divBdr>
        <w:top w:val="none" w:sz="0" w:space="0" w:color="auto"/>
        <w:left w:val="none" w:sz="0" w:space="0" w:color="auto"/>
        <w:bottom w:val="none" w:sz="0" w:space="0" w:color="auto"/>
        <w:right w:val="none" w:sz="0" w:space="0" w:color="auto"/>
      </w:divBdr>
    </w:div>
    <w:div w:id="1243292650">
      <w:bodyDiv w:val="1"/>
      <w:marLeft w:val="0"/>
      <w:marRight w:val="0"/>
      <w:marTop w:val="0"/>
      <w:marBottom w:val="0"/>
      <w:divBdr>
        <w:top w:val="none" w:sz="0" w:space="0" w:color="auto"/>
        <w:left w:val="none" w:sz="0" w:space="0" w:color="auto"/>
        <w:bottom w:val="none" w:sz="0" w:space="0" w:color="auto"/>
        <w:right w:val="none" w:sz="0" w:space="0" w:color="auto"/>
      </w:divBdr>
    </w:div>
    <w:div w:id="1245065654">
      <w:bodyDiv w:val="1"/>
      <w:marLeft w:val="0"/>
      <w:marRight w:val="0"/>
      <w:marTop w:val="0"/>
      <w:marBottom w:val="0"/>
      <w:divBdr>
        <w:top w:val="none" w:sz="0" w:space="0" w:color="auto"/>
        <w:left w:val="none" w:sz="0" w:space="0" w:color="auto"/>
        <w:bottom w:val="none" w:sz="0" w:space="0" w:color="auto"/>
        <w:right w:val="none" w:sz="0" w:space="0" w:color="auto"/>
      </w:divBdr>
    </w:div>
    <w:div w:id="1284341124">
      <w:bodyDiv w:val="1"/>
      <w:marLeft w:val="0"/>
      <w:marRight w:val="0"/>
      <w:marTop w:val="0"/>
      <w:marBottom w:val="0"/>
      <w:divBdr>
        <w:top w:val="none" w:sz="0" w:space="0" w:color="auto"/>
        <w:left w:val="none" w:sz="0" w:space="0" w:color="auto"/>
        <w:bottom w:val="none" w:sz="0" w:space="0" w:color="auto"/>
        <w:right w:val="none" w:sz="0" w:space="0" w:color="auto"/>
      </w:divBdr>
      <w:divsChild>
        <w:div w:id="1416513319">
          <w:marLeft w:val="0"/>
          <w:marRight w:val="0"/>
          <w:marTop w:val="0"/>
          <w:marBottom w:val="0"/>
          <w:divBdr>
            <w:top w:val="none" w:sz="0" w:space="0" w:color="auto"/>
            <w:left w:val="none" w:sz="0" w:space="0" w:color="auto"/>
            <w:bottom w:val="none" w:sz="0" w:space="0" w:color="auto"/>
            <w:right w:val="none" w:sz="0" w:space="0" w:color="auto"/>
          </w:divBdr>
          <w:divsChild>
            <w:div w:id="893076844">
              <w:marLeft w:val="0"/>
              <w:marRight w:val="0"/>
              <w:marTop w:val="0"/>
              <w:marBottom w:val="0"/>
              <w:divBdr>
                <w:top w:val="none" w:sz="0" w:space="0" w:color="auto"/>
                <w:left w:val="none" w:sz="0" w:space="0" w:color="auto"/>
                <w:bottom w:val="none" w:sz="0" w:space="0" w:color="auto"/>
                <w:right w:val="none" w:sz="0" w:space="0" w:color="auto"/>
              </w:divBdr>
              <w:divsChild>
                <w:div w:id="718555372">
                  <w:marLeft w:val="0"/>
                  <w:marRight w:val="0"/>
                  <w:marTop w:val="0"/>
                  <w:marBottom w:val="0"/>
                  <w:divBdr>
                    <w:top w:val="none" w:sz="0" w:space="0" w:color="auto"/>
                    <w:left w:val="none" w:sz="0" w:space="0" w:color="auto"/>
                    <w:bottom w:val="none" w:sz="0" w:space="0" w:color="auto"/>
                    <w:right w:val="none" w:sz="0" w:space="0" w:color="auto"/>
                  </w:divBdr>
                  <w:divsChild>
                    <w:div w:id="1595895443">
                      <w:marLeft w:val="0"/>
                      <w:marRight w:val="0"/>
                      <w:marTop w:val="0"/>
                      <w:marBottom w:val="0"/>
                      <w:divBdr>
                        <w:top w:val="none" w:sz="0" w:space="0" w:color="auto"/>
                        <w:left w:val="none" w:sz="0" w:space="0" w:color="auto"/>
                        <w:bottom w:val="none" w:sz="0" w:space="0" w:color="auto"/>
                        <w:right w:val="none" w:sz="0" w:space="0" w:color="auto"/>
                      </w:divBdr>
                      <w:divsChild>
                        <w:div w:id="323898352">
                          <w:marLeft w:val="0"/>
                          <w:marRight w:val="0"/>
                          <w:marTop w:val="0"/>
                          <w:marBottom w:val="0"/>
                          <w:divBdr>
                            <w:top w:val="none" w:sz="0" w:space="0" w:color="auto"/>
                            <w:left w:val="none" w:sz="0" w:space="0" w:color="auto"/>
                            <w:bottom w:val="none" w:sz="0" w:space="0" w:color="auto"/>
                            <w:right w:val="none" w:sz="0" w:space="0" w:color="auto"/>
                          </w:divBdr>
                          <w:divsChild>
                            <w:div w:id="1476875130">
                              <w:marLeft w:val="0"/>
                              <w:marRight w:val="0"/>
                              <w:marTop w:val="0"/>
                              <w:marBottom w:val="0"/>
                              <w:divBdr>
                                <w:top w:val="none" w:sz="0" w:space="0" w:color="auto"/>
                                <w:left w:val="none" w:sz="0" w:space="0" w:color="auto"/>
                                <w:bottom w:val="none" w:sz="0" w:space="0" w:color="auto"/>
                                <w:right w:val="none" w:sz="0" w:space="0" w:color="auto"/>
                              </w:divBdr>
                              <w:divsChild>
                                <w:div w:id="53895761">
                                  <w:marLeft w:val="0"/>
                                  <w:marRight w:val="0"/>
                                  <w:marTop w:val="0"/>
                                  <w:marBottom w:val="0"/>
                                  <w:divBdr>
                                    <w:top w:val="none" w:sz="0" w:space="0" w:color="auto"/>
                                    <w:left w:val="none" w:sz="0" w:space="0" w:color="auto"/>
                                    <w:bottom w:val="none" w:sz="0" w:space="0" w:color="auto"/>
                                    <w:right w:val="none" w:sz="0" w:space="0" w:color="auto"/>
                                  </w:divBdr>
                                  <w:divsChild>
                                    <w:div w:id="1216773342">
                                      <w:marLeft w:val="0"/>
                                      <w:marRight w:val="0"/>
                                      <w:marTop w:val="0"/>
                                      <w:marBottom w:val="0"/>
                                      <w:divBdr>
                                        <w:top w:val="none" w:sz="0" w:space="0" w:color="auto"/>
                                        <w:left w:val="none" w:sz="0" w:space="0" w:color="auto"/>
                                        <w:bottom w:val="none" w:sz="0" w:space="0" w:color="auto"/>
                                        <w:right w:val="none" w:sz="0" w:space="0" w:color="auto"/>
                                      </w:divBdr>
                                      <w:divsChild>
                                        <w:div w:id="44372304">
                                          <w:marLeft w:val="0"/>
                                          <w:marRight w:val="0"/>
                                          <w:marTop w:val="0"/>
                                          <w:marBottom w:val="0"/>
                                          <w:divBdr>
                                            <w:top w:val="none" w:sz="0" w:space="0" w:color="auto"/>
                                            <w:left w:val="none" w:sz="0" w:space="0" w:color="auto"/>
                                            <w:bottom w:val="none" w:sz="0" w:space="0" w:color="auto"/>
                                            <w:right w:val="none" w:sz="0" w:space="0" w:color="auto"/>
                                          </w:divBdr>
                                          <w:divsChild>
                                            <w:div w:id="1564245851">
                                              <w:marLeft w:val="0"/>
                                              <w:marRight w:val="0"/>
                                              <w:marTop w:val="0"/>
                                              <w:marBottom w:val="450"/>
                                              <w:divBdr>
                                                <w:top w:val="none" w:sz="0" w:space="0" w:color="auto"/>
                                                <w:left w:val="none" w:sz="0" w:space="0" w:color="auto"/>
                                                <w:bottom w:val="none" w:sz="0" w:space="0" w:color="auto"/>
                                                <w:right w:val="none" w:sz="0" w:space="0" w:color="auto"/>
                                              </w:divBdr>
                                              <w:divsChild>
                                                <w:div w:id="2103911993">
                                                  <w:marLeft w:val="0"/>
                                                  <w:marRight w:val="0"/>
                                                  <w:marTop w:val="0"/>
                                                  <w:marBottom w:val="450"/>
                                                  <w:divBdr>
                                                    <w:top w:val="single" w:sz="6" w:space="8" w:color="E1E1E1"/>
                                                    <w:left w:val="single" w:sz="6" w:space="11" w:color="E1E1E1"/>
                                                    <w:bottom w:val="single" w:sz="6" w:space="8" w:color="E1E1E1"/>
                                                    <w:right w:val="single" w:sz="6" w:space="11" w:color="E1E1E1"/>
                                                  </w:divBdr>
                                                  <w:divsChild>
                                                    <w:div w:id="454179484">
                                                      <w:marLeft w:val="0"/>
                                                      <w:marRight w:val="0"/>
                                                      <w:marTop w:val="0"/>
                                                      <w:marBottom w:val="0"/>
                                                      <w:divBdr>
                                                        <w:top w:val="none" w:sz="0" w:space="0" w:color="auto"/>
                                                        <w:left w:val="none" w:sz="0" w:space="0" w:color="auto"/>
                                                        <w:bottom w:val="none" w:sz="0" w:space="0" w:color="auto"/>
                                                        <w:right w:val="none" w:sz="0" w:space="0" w:color="auto"/>
                                                      </w:divBdr>
                                                      <w:divsChild>
                                                        <w:div w:id="802817789">
                                                          <w:marLeft w:val="0"/>
                                                          <w:marRight w:val="0"/>
                                                          <w:marTop w:val="0"/>
                                                          <w:marBottom w:val="0"/>
                                                          <w:divBdr>
                                                            <w:top w:val="none" w:sz="0" w:space="0" w:color="auto"/>
                                                            <w:left w:val="none" w:sz="0" w:space="0" w:color="auto"/>
                                                            <w:bottom w:val="none" w:sz="0" w:space="0" w:color="auto"/>
                                                            <w:right w:val="none" w:sz="0" w:space="0" w:color="auto"/>
                                                          </w:divBdr>
                                                          <w:divsChild>
                                                            <w:div w:id="623729098">
                                                              <w:marLeft w:val="0"/>
                                                              <w:marRight w:val="0"/>
                                                              <w:marTop w:val="150"/>
                                                              <w:marBottom w:val="150"/>
                                                              <w:divBdr>
                                                                <w:top w:val="none" w:sz="0" w:space="0" w:color="auto"/>
                                                                <w:left w:val="none" w:sz="0" w:space="0" w:color="auto"/>
                                                                <w:bottom w:val="none" w:sz="0" w:space="0" w:color="auto"/>
                                                                <w:right w:val="none" w:sz="0" w:space="0" w:color="auto"/>
                                                              </w:divBdr>
                                                              <w:divsChild>
                                                                <w:div w:id="174760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26787290">
      <w:bodyDiv w:val="1"/>
      <w:marLeft w:val="0"/>
      <w:marRight w:val="0"/>
      <w:marTop w:val="0"/>
      <w:marBottom w:val="0"/>
      <w:divBdr>
        <w:top w:val="none" w:sz="0" w:space="0" w:color="auto"/>
        <w:left w:val="none" w:sz="0" w:space="0" w:color="auto"/>
        <w:bottom w:val="none" w:sz="0" w:space="0" w:color="auto"/>
        <w:right w:val="none" w:sz="0" w:space="0" w:color="auto"/>
      </w:divBdr>
    </w:div>
    <w:div w:id="1329403007">
      <w:bodyDiv w:val="1"/>
      <w:marLeft w:val="0"/>
      <w:marRight w:val="0"/>
      <w:marTop w:val="0"/>
      <w:marBottom w:val="0"/>
      <w:divBdr>
        <w:top w:val="none" w:sz="0" w:space="0" w:color="auto"/>
        <w:left w:val="none" w:sz="0" w:space="0" w:color="auto"/>
        <w:bottom w:val="none" w:sz="0" w:space="0" w:color="auto"/>
        <w:right w:val="none" w:sz="0" w:space="0" w:color="auto"/>
      </w:divBdr>
    </w:div>
    <w:div w:id="1331564831">
      <w:bodyDiv w:val="1"/>
      <w:marLeft w:val="0"/>
      <w:marRight w:val="0"/>
      <w:marTop w:val="0"/>
      <w:marBottom w:val="0"/>
      <w:divBdr>
        <w:top w:val="none" w:sz="0" w:space="0" w:color="auto"/>
        <w:left w:val="none" w:sz="0" w:space="0" w:color="auto"/>
        <w:bottom w:val="none" w:sz="0" w:space="0" w:color="auto"/>
        <w:right w:val="none" w:sz="0" w:space="0" w:color="auto"/>
      </w:divBdr>
    </w:div>
    <w:div w:id="1332105468">
      <w:bodyDiv w:val="1"/>
      <w:marLeft w:val="0"/>
      <w:marRight w:val="0"/>
      <w:marTop w:val="0"/>
      <w:marBottom w:val="0"/>
      <w:divBdr>
        <w:top w:val="none" w:sz="0" w:space="0" w:color="auto"/>
        <w:left w:val="none" w:sz="0" w:space="0" w:color="auto"/>
        <w:bottom w:val="none" w:sz="0" w:space="0" w:color="auto"/>
        <w:right w:val="none" w:sz="0" w:space="0" w:color="auto"/>
      </w:divBdr>
    </w:div>
    <w:div w:id="1348408086">
      <w:bodyDiv w:val="1"/>
      <w:marLeft w:val="0"/>
      <w:marRight w:val="0"/>
      <w:marTop w:val="0"/>
      <w:marBottom w:val="0"/>
      <w:divBdr>
        <w:top w:val="none" w:sz="0" w:space="0" w:color="auto"/>
        <w:left w:val="none" w:sz="0" w:space="0" w:color="auto"/>
        <w:bottom w:val="none" w:sz="0" w:space="0" w:color="auto"/>
        <w:right w:val="none" w:sz="0" w:space="0" w:color="auto"/>
      </w:divBdr>
    </w:div>
    <w:div w:id="1350793570">
      <w:bodyDiv w:val="1"/>
      <w:marLeft w:val="0"/>
      <w:marRight w:val="0"/>
      <w:marTop w:val="0"/>
      <w:marBottom w:val="0"/>
      <w:divBdr>
        <w:top w:val="none" w:sz="0" w:space="0" w:color="auto"/>
        <w:left w:val="none" w:sz="0" w:space="0" w:color="auto"/>
        <w:bottom w:val="none" w:sz="0" w:space="0" w:color="auto"/>
        <w:right w:val="none" w:sz="0" w:space="0" w:color="auto"/>
      </w:divBdr>
    </w:div>
    <w:div w:id="1353069930">
      <w:bodyDiv w:val="1"/>
      <w:marLeft w:val="0"/>
      <w:marRight w:val="0"/>
      <w:marTop w:val="0"/>
      <w:marBottom w:val="0"/>
      <w:divBdr>
        <w:top w:val="none" w:sz="0" w:space="0" w:color="auto"/>
        <w:left w:val="none" w:sz="0" w:space="0" w:color="auto"/>
        <w:bottom w:val="none" w:sz="0" w:space="0" w:color="auto"/>
        <w:right w:val="none" w:sz="0" w:space="0" w:color="auto"/>
      </w:divBdr>
    </w:div>
    <w:div w:id="1359741563">
      <w:bodyDiv w:val="1"/>
      <w:marLeft w:val="0"/>
      <w:marRight w:val="0"/>
      <w:marTop w:val="0"/>
      <w:marBottom w:val="0"/>
      <w:divBdr>
        <w:top w:val="none" w:sz="0" w:space="0" w:color="auto"/>
        <w:left w:val="none" w:sz="0" w:space="0" w:color="auto"/>
        <w:bottom w:val="none" w:sz="0" w:space="0" w:color="auto"/>
        <w:right w:val="none" w:sz="0" w:space="0" w:color="auto"/>
      </w:divBdr>
    </w:div>
    <w:div w:id="1376079077">
      <w:bodyDiv w:val="1"/>
      <w:marLeft w:val="0"/>
      <w:marRight w:val="0"/>
      <w:marTop w:val="0"/>
      <w:marBottom w:val="0"/>
      <w:divBdr>
        <w:top w:val="none" w:sz="0" w:space="0" w:color="auto"/>
        <w:left w:val="none" w:sz="0" w:space="0" w:color="auto"/>
        <w:bottom w:val="none" w:sz="0" w:space="0" w:color="auto"/>
        <w:right w:val="none" w:sz="0" w:space="0" w:color="auto"/>
      </w:divBdr>
    </w:div>
    <w:div w:id="1387755161">
      <w:bodyDiv w:val="1"/>
      <w:marLeft w:val="0"/>
      <w:marRight w:val="0"/>
      <w:marTop w:val="0"/>
      <w:marBottom w:val="0"/>
      <w:divBdr>
        <w:top w:val="none" w:sz="0" w:space="0" w:color="auto"/>
        <w:left w:val="none" w:sz="0" w:space="0" w:color="auto"/>
        <w:bottom w:val="none" w:sz="0" w:space="0" w:color="auto"/>
        <w:right w:val="none" w:sz="0" w:space="0" w:color="auto"/>
      </w:divBdr>
    </w:div>
    <w:div w:id="1394498226">
      <w:bodyDiv w:val="1"/>
      <w:marLeft w:val="0"/>
      <w:marRight w:val="0"/>
      <w:marTop w:val="0"/>
      <w:marBottom w:val="0"/>
      <w:divBdr>
        <w:top w:val="none" w:sz="0" w:space="0" w:color="auto"/>
        <w:left w:val="none" w:sz="0" w:space="0" w:color="auto"/>
        <w:bottom w:val="none" w:sz="0" w:space="0" w:color="auto"/>
        <w:right w:val="none" w:sz="0" w:space="0" w:color="auto"/>
      </w:divBdr>
    </w:div>
    <w:div w:id="1405449801">
      <w:bodyDiv w:val="1"/>
      <w:marLeft w:val="0"/>
      <w:marRight w:val="0"/>
      <w:marTop w:val="0"/>
      <w:marBottom w:val="0"/>
      <w:divBdr>
        <w:top w:val="none" w:sz="0" w:space="0" w:color="auto"/>
        <w:left w:val="none" w:sz="0" w:space="0" w:color="auto"/>
        <w:bottom w:val="none" w:sz="0" w:space="0" w:color="auto"/>
        <w:right w:val="none" w:sz="0" w:space="0" w:color="auto"/>
      </w:divBdr>
    </w:div>
    <w:div w:id="1421633620">
      <w:bodyDiv w:val="1"/>
      <w:marLeft w:val="0"/>
      <w:marRight w:val="0"/>
      <w:marTop w:val="0"/>
      <w:marBottom w:val="0"/>
      <w:divBdr>
        <w:top w:val="none" w:sz="0" w:space="0" w:color="auto"/>
        <w:left w:val="none" w:sz="0" w:space="0" w:color="auto"/>
        <w:bottom w:val="none" w:sz="0" w:space="0" w:color="auto"/>
        <w:right w:val="none" w:sz="0" w:space="0" w:color="auto"/>
      </w:divBdr>
    </w:div>
    <w:div w:id="1430007406">
      <w:bodyDiv w:val="1"/>
      <w:marLeft w:val="0"/>
      <w:marRight w:val="0"/>
      <w:marTop w:val="0"/>
      <w:marBottom w:val="0"/>
      <w:divBdr>
        <w:top w:val="none" w:sz="0" w:space="0" w:color="auto"/>
        <w:left w:val="none" w:sz="0" w:space="0" w:color="auto"/>
        <w:bottom w:val="none" w:sz="0" w:space="0" w:color="auto"/>
        <w:right w:val="none" w:sz="0" w:space="0" w:color="auto"/>
      </w:divBdr>
    </w:div>
    <w:div w:id="1436366437">
      <w:bodyDiv w:val="1"/>
      <w:marLeft w:val="0"/>
      <w:marRight w:val="0"/>
      <w:marTop w:val="0"/>
      <w:marBottom w:val="0"/>
      <w:divBdr>
        <w:top w:val="none" w:sz="0" w:space="0" w:color="auto"/>
        <w:left w:val="none" w:sz="0" w:space="0" w:color="auto"/>
        <w:bottom w:val="none" w:sz="0" w:space="0" w:color="auto"/>
        <w:right w:val="none" w:sz="0" w:space="0" w:color="auto"/>
      </w:divBdr>
    </w:div>
    <w:div w:id="1456296063">
      <w:bodyDiv w:val="1"/>
      <w:marLeft w:val="0"/>
      <w:marRight w:val="0"/>
      <w:marTop w:val="0"/>
      <w:marBottom w:val="0"/>
      <w:divBdr>
        <w:top w:val="none" w:sz="0" w:space="0" w:color="auto"/>
        <w:left w:val="none" w:sz="0" w:space="0" w:color="auto"/>
        <w:bottom w:val="none" w:sz="0" w:space="0" w:color="auto"/>
        <w:right w:val="none" w:sz="0" w:space="0" w:color="auto"/>
      </w:divBdr>
    </w:div>
    <w:div w:id="1464887015">
      <w:bodyDiv w:val="1"/>
      <w:marLeft w:val="0"/>
      <w:marRight w:val="0"/>
      <w:marTop w:val="0"/>
      <w:marBottom w:val="0"/>
      <w:divBdr>
        <w:top w:val="none" w:sz="0" w:space="0" w:color="auto"/>
        <w:left w:val="none" w:sz="0" w:space="0" w:color="auto"/>
        <w:bottom w:val="none" w:sz="0" w:space="0" w:color="auto"/>
        <w:right w:val="none" w:sz="0" w:space="0" w:color="auto"/>
      </w:divBdr>
    </w:div>
    <w:div w:id="1476022776">
      <w:bodyDiv w:val="1"/>
      <w:marLeft w:val="0"/>
      <w:marRight w:val="0"/>
      <w:marTop w:val="0"/>
      <w:marBottom w:val="0"/>
      <w:divBdr>
        <w:top w:val="none" w:sz="0" w:space="0" w:color="auto"/>
        <w:left w:val="none" w:sz="0" w:space="0" w:color="auto"/>
        <w:bottom w:val="none" w:sz="0" w:space="0" w:color="auto"/>
        <w:right w:val="none" w:sz="0" w:space="0" w:color="auto"/>
      </w:divBdr>
    </w:div>
    <w:div w:id="1485008566">
      <w:bodyDiv w:val="1"/>
      <w:marLeft w:val="0"/>
      <w:marRight w:val="0"/>
      <w:marTop w:val="0"/>
      <w:marBottom w:val="0"/>
      <w:divBdr>
        <w:top w:val="none" w:sz="0" w:space="0" w:color="auto"/>
        <w:left w:val="none" w:sz="0" w:space="0" w:color="auto"/>
        <w:bottom w:val="none" w:sz="0" w:space="0" w:color="auto"/>
        <w:right w:val="none" w:sz="0" w:space="0" w:color="auto"/>
      </w:divBdr>
    </w:div>
    <w:div w:id="1493132479">
      <w:bodyDiv w:val="1"/>
      <w:marLeft w:val="0"/>
      <w:marRight w:val="0"/>
      <w:marTop w:val="0"/>
      <w:marBottom w:val="0"/>
      <w:divBdr>
        <w:top w:val="none" w:sz="0" w:space="0" w:color="auto"/>
        <w:left w:val="none" w:sz="0" w:space="0" w:color="auto"/>
        <w:bottom w:val="none" w:sz="0" w:space="0" w:color="auto"/>
        <w:right w:val="none" w:sz="0" w:space="0" w:color="auto"/>
      </w:divBdr>
    </w:div>
    <w:div w:id="1498379855">
      <w:bodyDiv w:val="1"/>
      <w:marLeft w:val="0"/>
      <w:marRight w:val="0"/>
      <w:marTop w:val="0"/>
      <w:marBottom w:val="0"/>
      <w:divBdr>
        <w:top w:val="none" w:sz="0" w:space="0" w:color="auto"/>
        <w:left w:val="none" w:sz="0" w:space="0" w:color="auto"/>
        <w:bottom w:val="none" w:sz="0" w:space="0" w:color="auto"/>
        <w:right w:val="none" w:sz="0" w:space="0" w:color="auto"/>
      </w:divBdr>
      <w:divsChild>
        <w:div w:id="647826478">
          <w:marLeft w:val="0"/>
          <w:marRight w:val="0"/>
          <w:marTop w:val="0"/>
          <w:marBottom w:val="0"/>
          <w:divBdr>
            <w:top w:val="none" w:sz="0" w:space="0" w:color="auto"/>
            <w:left w:val="none" w:sz="0" w:space="0" w:color="auto"/>
            <w:bottom w:val="none" w:sz="0" w:space="0" w:color="auto"/>
            <w:right w:val="none" w:sz="0" w:space="0" w:color="auto"/>
          </w:divBdr>
        </w:div>
      </w:divsChild>
    </w:div>
    <w:div w:id="1526403351">
      <w:bodyDiv w:val="1"/>
      <w:marLeft w:val="0"/>
      <w:marRight w:val="0"/>
      <w:marTop w:val="0"/>
      <w:marBottom w:val="0"/>
      <w:divBdr>
        <w:top w:val="none" w:sz="0" w:space="0" w:color="auto"/>
        <w:left w:val="none" w:sz="0" w:space="0" w:color="auto"/>
        <w:bottom w:val="none" w:sz="0" w:space="0" w:color="auto"/>
        <w:right w:val="none" w:sz="0" w:space="0" w:color="auto"/>
      </w:divBdr>
    </w:div>
    <w:div w:id="1535734602">
      <w:bodyDiv w:val="1"/>
      <w:marLeft w:val="0"/>
      <w:marRight w:val="0"/>
      <w:marTop w:val="0"/>
      <w:marBottom w:val="0"/>
      <w:divBdr>
        <w:top w:val="none" w:sz="0" w:space="0" w:color="auto"/>
        <w:left w:val="none" w:sz="0" w:space="0" w:color="auto"/>
        <w:bottom w:val="none" w:sz="0" w:space="0" w:color="auto"/>
        <w:right w:val="none" w:sz="0" w:space="0" w:color="auto"/>
      </w:divBdr>
      <w:divsChild>
        <w:div w:id="1332948657">
          <w:marLeft w:val="547"/>
          <w:marRight w:val="0"/>
          <w:marTop w:val="0"/>
          <w:marBottom w:val="0"/>
          <w:divBdr>
            <w:top w:val="none" w:sz="0" w:space="0" w:color="auto"/>
            <w:left w:val="none" w:sz="0" w:space="0" w:color="auto"/>
            <w:bottom w:val="none" w:sz="0" w:space="0" w:color="auto"/>
            <w:right w:val="none" w:sz="0" w:space="0" w:color="auto"/>
          </w:divBdr>
        </w:div>
      </w:divsChild>
    </w:div>
    <w:div w:id="1540821199">
      <w:bodyDiv w:val="1"/>
      <w:marLeft w:val="0"/>
      <w:marRight w:val="0"/>
      <w:marTop w:val="0"/>
      <w:marBottom w:val="0"/>
      <w:divBdr>
        <w:top w:val="none" w:sz="0" w:space="0" w:color="auto"/>
        <w:left w:val="none" w:sz="0" w:space="0" w:color="auto"/>
        <w:bottom w:val="none" w:sz="0" w:space="0" w:color="auto"/>
        <w:right w:val="none" w:sz="0" w:space="0" w:color="auto"/>
      </w:divBdr>
    </w:div>
    <w:div w:id="1558197652">
      <w:bodyDiv w:val="1"/>
      <w:marLeft w:val="0"/>
      <w:marRight w:val="0"/>
      <w:marTop w:val="0"/>
      <w:marBottom w:val="0"/>
      <w:divBdr>
        <w:top w:val="none" w:sz="0" w:space="0" w:color="auto"/>
        <w:left w:val="none" w:sz="0" w:space="0" w:color="auto"/>
        <w:bottom w:val="none" w:sz="0" w:space="0" w:color="auto"/>
        <w:right w:val="none" w:sz="0" w:space="0" w:color="auto"/>
      </w:divBdr>
    </w:div>
    <w:div w:id="1580602783">
      <w:bodyDiv w:val="1"/>
      <w:marLeft w:val="0"/>
      <w:marRight w:val="0"/>
      <w:marTop w:val="0"/>
      <w:marBottom w:val="0"/>
      <w:divBdr>
        <w:top w:val="none" w:sz="0" w:space="0" w:color="auto"/>
        <w:left w:val="none" w:sz="0" w:space="0" w:color="auto"/>
        <w:bottom w:val="none" w:sz="0" w:space="0" w:color="auto"/>
        <w:right w:val="none" w:sz="0" w:space="0" w:color="auto"/>
      </w:divBdr>
    </w:div>
    <w:div w:id="1583178391">
      <w:bodyDiv w:val="1"/>
      <w:marLeft w:val="0"/>
      <w:marRight w:val="0"/>
      <w:marTop w:val="0"/>
      <w:marBottom w:val="0"/>
      <w:divBdr>
        <w:top w:val="none" w:sz="0" w:space="0" w:color="auto"/>
        <w:left w:val="none" w:sz="0" w:space="0" w:color="auto"/>
        <w:bottom w:val="none" w:sz="0" w:space="0" w:color="auto"/>
        <w:right w:val="none" w:sz="0" w:space="0" w:color="auto"/>
      </w:divBdr>
    </w:div>
    <w:div w:id="1587495168">
      <w:bodyDiv w:val="1"/>
      <w:marLeft w:val="0"/>
      <w:marRight w:val="0"/>
      <w:marTop w:val="0"/>
      <w:marBottom w:val="0"/>
      <w:divBdr>
        <w:top w:val="none" w:sz="0" w:space="0" w:color="auto"/>
        <w:left w:val="none" w:sz="0" w:space="0" w:color="auto"/>
        <w:bottom w:val="none" w:sz="0" w:space="0" w:color="auto"/>
        <w:right w:val="none" w:sz="0" w:space="0" w:color="auto"/>
      </w:divBdr>
    </w:div>
    <w:div w:id="1608612432">
      <w:bodyDiv w:val="1"/>
      <w:marLeft w:val="0"/>
      <w:marRight w:val="0"/>
      <w:marTop w:val="0"/>
      <w:marBottom w:val="0"/>
      <w:divBdr>
        <w:top w:val="none" w:sz="0" w:space="0" w:color="auto"/>
        <w:left w:val="none" w:sz="0" w:space="0" w:color="auto"/>
        <w:bottom w:val="none" w:sz="0" w:space="0" w:color="auto"/>
        <w:right w:val="none" w:sz="0" w:space="0" w:color="auto"/>
      </w:divBdr>
    </w:div>
    <w:div w:id="1639842748">
      <w:bodyDiv w:val="1"/>
      <w:marLeft w:val="0"/>
      <w:marRight w:val="0"/>
      <w:marTop w:val="0"/>
      <w:marBottom w:val="0"/>
      <w:divBdr>
        <w:top w:val="none" w:sz="0" w:space="0" w:color="auto"/>
        <w:left w:val="none" w:sz="0" w:space="0" w:color="auto"/>
        <w:bottom w:val="none" w:sz="0" w:space="0" w:color="auto"/>
        <w:right w:val="none" w:sz="0" w:space="0" w:color="auto"/>
      </w:divBdr>
      <w:divsChild>
        <w:div w:id="1621112395">
          <w:marLeft w:val="0"/>
          <w:marRight w:val="0"/>
          <w:marTop w:val="0"/>
          <w:marBottom w:val="0"/>
          <w:divBdr>
            <w:top w:val="none" w:sz="0" w:space="0" w:color="auto"/>
            <w:left w:val="none" w:sz="0" w:space="0" w:color="auto"/>
            <w:bottom w:val="none" w:sz="0" w:space="0" w:color="auto"/>
            <w:right w:val="none" w:sz="0" w:space="0" w:color="auto"/>
          </w:divBdr>
          <w:divsChild>
            <w:div w:id="338891166">
              <w:marLeft w:val="0"/>
              <w:marRight w:val="0"/>
              <w:marTop w:val="0"/>
              <w:marBottom w:val="0"/>
              <w:divBdr>
                <w:top w:val="none" w:sz="0" w:space="0" w:color="auto"/>
                <w:left w:val="none" w:sz="0" w:space="0" w:color="auto"/>
                <w:bottom w:val="none" w:sz="0" w:space="0" w:color="auto"/>
                <w:right w:val="none" w:sz="0" w:space="0" w:color="auto"/>
              </w:divBdr>
              <w:divsChild>
                <w:div w:id="1700276341">
                  <w:marLeft w:val="0"/>
                  <w:marRight w:val="0"/>
                  <w:marTop w:val="0"/>
                  <w:marBottom w:val="0"/>
                  <w:divBdr>
                    <w:top w:val="none" w:sz="0" w:space="0" w:color="auto"/>
                    <w:left w:val="none" w:sz="0" w:space="0" w:color="auto"/>
                    <w:bottom w:val="none" w:sz="0" w:space="0" w:color="auto"/>
                    <w:right w:val="none" w:sz="0" w:space="0" w:color="auto"/>
                  </w:divBdr>
                  <w:divsChild>
                    <w:div w:id="1527132539">
                      <w:marLeft w:val="0"/>
                      <w:marRight w:val="0"/>
                      <w:marTop w:val="0"/>
                      <w:marBottom w:val="0"/>
                      <w:divBdr>
                        <w:top w:val="none" w:sz="0" w:space="0" w:color="auto"/>
                        <w:left w:val="none" w:sz="0" w:space="0" w:color="auto"/>
                        <w:bottom w:val="none" w:sz="0" w:space="0" w:color="auto"/>
                        <w:right w:val="none" w:sz="0" w:space="0" w:color="auto"/>
                      </w:divBdr>
                      <w:divsChild>
                        <w:div w:id="825439608">
                          <w:marLeft w:val="0"/>
                          <w:marRight w:val="0"/>
                          <w:marTop w:val="0"/>
                          <w:marBottom w:val="0"/>
                          <w:divBdr>
                            <w:top w:val="none" w:sz="0" w:space="0" w:color="auto"/>
                            <w:left w:val="none" w:sz="0" w:space="0" w:color="auto"/>
                            <w:bottom w:val="none" w:sz="0" w:space="0" w:color="auto"/>
                            <w:right w:val="none" w:sz="0" w:space="0" w:color="auto"/>
                          </w:divBdr>
                          <w:divsChild>
                            <w:div w:id="1408378290">
                              <w:marLeft w:val="0"/>
                              <w:marRight w:val="0"/>
                              <w:marTop w:val="0"/>
                              <w:marBottom w:val="0"/>
                              <w:divBdr>
                                <w:top w:val="none" w:sz="0" w:space="0" w:color="auto"/>
                                <w:left w:val="none" w:sz="0" w:space="0" w:color="auto"/>
                                <w:bottom w:val="none" w:sz="0" w:space="0" w:color="auto"/>
                                <w:right w:val="none" w:sz="0" w:space="0" w:color="auto"/>
                              </w:divBdr>
                              <w:divsChild>
                                <w:div w:id="5736605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9577622">
      <w:bodyDiv w:val="1"/>
      <w:marLeft w:val="0"/>
      <w:marRight w:val="0"/>
      <w:marTop w:val="0"/>
      <w:marBottom w:val="0"/>
      <w:divBdr>
        <w:top w:val="none" w:sz="0" w:space="0" w:color="auto"/>
        <w:left w:val="none" w:sz="0" w:space="0" w:color="auto"/>
        <w:bottom w:val="none" w:sz="0" w:space="0" w:color="auto"/>
        <w:right w:val="none" w:sz="0" w:space="0" w:color="auto"/>
      </w:divBdr>
    </w:div>
    <w:div w:id="1680615962">
      <w:bodyDiv w:val="1"/>
      <w:marLeft w:val="0"/>
      <w:marRight w:val="0"/>
      <w:marTop w:val="0"/>
      <w:marBottom w:val="0"/>
      <w:divBdr>
        <w:top w:val="none" w:sz="0" w:space="0" w:color="auto"/>
        <w:left w:val="none" w:sz="0" w:space="0" w:color="auto"/>
        <w:bottom w:val="none" w:sz="0" w:space="0" w:color="auto"/>
        <w:right w:val="none" w:sz="0" w:space="0" w:color="auto"/>
      </w:divBdr>
    </w:div>
    <w:div w:id="1698509653">
      <w:bodyDiv w:val="1"/>
      <w:marLeft w:val="0"/>
      <w:marRight w:val="0"/>
      <w:marTop w:val="0"/>
      <w:marBottom w:val="0"/>
      <w:divBdr>
        <w:top w:val="none" w:sz="0" w:space="0" w:color="auto"/>
        <w:left w:val="none" w:sz="0" w:space="0" w:color="auto"/>
        <w:bottom w:val="none" w:sz="0" w:space="0" w:color="auto"/>
        <w:right w:val="none" w:sz="0" w:space="0" w:color="auto"/>
      </w:divBdr>
    </w:div>
    <w:div w:id="1710690292">
      <w:bodyDiv w:val="1"/>
      <w:marLeft w:val="0"/>
      <w:marRight w:val="0"/>
      <w:marTop w:val="0"/>
      <w:marBottom w:val="0"/>
      <w:divBdr>
        <w:top w:val="none" w:sz="0" w:space="0" w:color="auto"/>
        <w:left w:val="none" w:sz="0" w:space="0" w:color="auto"/>
        <w:bottom w:val="none" w:sz="0" w:space="0" w:color="auto"/>
        <w:right w:val="none" w:sz="0" w:space="0" w:color="auto"/>
      </w:divBdr>
    </w:div>
    <w:div w:id="1725525783">
      <w:bodyDiv w:val="1"/>
      <w:marLeft w:val="0"/>
      <w:marRight w:val="0"/>
      <w:marTop w:val="0"/>
      <w:marBottom w:val="0"/>
      <w:divBdr>
        <w:top w:val="none" w:sz="0" w:space="0" w:color="auto"/>
        <w:left w:val="none" w:sz="0" w:space="0" w:color="auto"/>
        <w:bottom w:val="none" w:sz="0" w:space="0" w:color="auto"/>
        <w:right w:val="none" w:sz="0" w:space="0" w:color="auto"/>
      </w:divBdr>
    </w:div>
    <w:div w:id="1739551647">
      <w:bodyDiv w:val="1"/>
      <w:marLeft w:val="0"/>
      <w:marRight w:val="0"/>
      <w:marTop w:val="0"/>
      <w:marBottom w:val="0"/>
      <w:divBdr>
        <w:top w:val="none" w:sz="0" w:space="0" w:color="auto"/>
        <w:left w:val="none" w:sz="0" w:space="0" w:color="auto"/>
        <w:bottom w:val="none" w:sz="0" w:space="0" w:color="auto"/>
        <w:right w:val="none" w:sz="0" w:space="0" w:color="auto"/>
      </w:divBdr>
    </w:div>
    <w:div w:id="1749383837">
      <w:bodyDiv w:val="1"/>
      <w:marLeft w:val="0"/>
      <w:marRight w:val="0"/>
      <w:marTop w:val="0"/>
      <w:marBottom w:val="0"/>
      <w:divBdr>
        <w:top w:val="none" w:sz="0" w:space="0" w:color="auto"/>
        <w:left w:val="none" w:sz="0" w:space="0" w:color="auto"/>
        <w:bottom w:val="none" w:sz="0" w:space="0" w:color="auto"/>
        <w:right w:val="none" w:sz="0" w:space="0" w:color="auto"/>
      </w:divBdr>
    </w:div>
    <w:div w:id="1754163529">
      <w:bodyDiv w:val="1"/>
      <w:marLeft w:val="0"/>
      <w:marRight w:val="0"/>
      <w:marTop w:val="0"/>
      <w:marBottom w:val="0"/>
      <w:divBdr>
        <w:top w:val="none" w:sz="0" w:space="0" w:color="auto"/>
        <w:left w:val="none" w:sz="0" w:space="0" w:color="auto"/>
        <w:bottom w:val="none" w:sz="0" w:space="0" w:color="auto"/>
        <w:right w:val="none" w:sz="0" w:space="0" w:color="auto"/>
      </w:divBdr>
    </w:div>
    <w:div w:id="1763796305">
      <w:bodyDiv w:val="1"/>
      <w:marLeft w:val="0"/>
      <w:marRight w:val="0"/>
      <w:marTop w:val="0"/>
      <w:marBottom w:val="0"/>
      <w:divBdr>
        <w:top w:val="none" w:sz="0" w:space="0" w:color="auto"/>
        <w:left w:val="none" w:sz="0" w:space="0" w:color="auto"/>
        <w:bottom w:val="none" w:sz="0" w:space="0" w:color="auto"/>
        <w:right w:val="none" w:sz="0" w:space="0" w:color="auto"/>
      </w:divBdr>
    </w:div>
    <w:div w:id="1771586053">
      <w:bodyDiv w:val="1"/>
      <w:marLeft w:val="0"/>
      <w:marRight w:val="0"/>
      <w:marTop w:val="0"/>
      <w:marBottom w:val="0"/>
      <w:divBdr>
        <w:top w:val="none" w:sz="0" w:space="0" w:color="auto"/>
        <w:left w:val="none" w:sz="0" w:space="0" w:color="auto"/>
        <w:bottom w:val="none" w:sz="0" w:space="0" w:color="auto"/>
        <w:right w:val="none" w:sz="0" w:space="0" w:color="auto"/>
      </w:divBdr>
    </w:div>
    <w:div w:id="1801915783">
      <w:bodyDiv w:val="1"/>
      <w:marLeft w:val="0"/>
      <w:marRight w:val="0"/>
      <w:marTop w:val="0"/>
      <w:marBottom w:val="0"/>
      <w:divBdr>
        <w:top w:val="none" w:sz="0" w:space="0" w:color="auto"/>
        <w:left w:val="none" w:sz="0" w:space="0" w:color="auto"/>
        <w:bottom w:val="none" w:sz="0" w:space="0" w:color="auto"/>
        <w:right w:val="none" w:sz="0" w:space="0" w:color="auto"/>
      </w:divBdr>
    </w:div>
    <w:div w:id="1818262082">
      <w:bodyDiv w:val="1"/>
      <w:marLeft w:val="0"/>
      <w:marRight w:val="0"/>
      <w:marTop w:val="0"/>
      <w:marBottom w:val="0"/>
      <w:divBdr>
        <w:top w:val="none" w:sz="0" w:space="0" w:color="auto"/>
        <w:left w:val="none" w:sz="0" w:space="0" w:color="auto"/>
        <w:bottom w:val="none" w:sz="0" w:space="0" w:color="auto"/>
        <w:right w:val="none" w:sz="0" w:space="0" w:color="auto"/>
      </w:divBdr>
    </w:div>
    <w:div w:id="1834295064">
      <w:bodyDiv w:val="1"/>
      <w:marLeft w:val="0"/>
      <w:marRight w:val="0"/>
      <w:marTop w:val="0"/>
      <w:marBottom w:val="0"/>
      <w:divBdr>
        <w:top w:val="none" w:sz="0" w:space="0" w:color="auto"/>
        <w:left w:val="none" w:sz="0" w:space="0" w:color="auto"/>
        <w:bottom w:val="none" w:sz="0" w:space="0" w:color="auto"/>
        <w:right w:val="none" w:sz="0" w:space="0" w:color="auto"/>
      </w:divBdr>
    </w:div>
    <w:div w:id="1850757100">
      <w:bodyDiv w:val="1"/>
      <w:marLeft w:val="0"/>
      <w:marRight w:val="0"/>
      <w:marTop w:val="0"/>
      <w:marBottom w:val="0"/>
      <w:divBdr>
        <w:top w:val="none" w:sz="0" w:space="0" w:color="auto"/>
        <w:left w:val="none" w:sz="0" w:space="0" w:color="auto"/>
        <w:bottom w:val="none" w:sz="0" w:space="0" w:color="auto"/>
        <w:right w:val="none" w:sz="0" w:space="0" w:color="auto"/>
      </w:divBdr>
    </w:div>
    <w:div w:id="1854684660">
      <w:bodyDiv w:val="1"/>
      <w:marLeft w:val="0"/>
      <w:marRight w:val="0"/>
      <w:marTop w:val="0"/>
      <w:marBottom w:val="0"/>
      <w:divBdr>
        <w:top w:val="none" w:sz="0" w:space="0" w:color="auto"/>
        <w:left w:val="none" w:sz="0" w:space="0" w:color="auto"/>
        <w:bottom w:val="none" w:sz="0" w:space="0" w:color="auto"/>
        <w:right w:val="none" w:sz="0" w:space="0" w:color="auto"/>
      </w:divBdr>
    </w:div>
    <w:div w:id="1854874535">
      <w:bodyDiv w:val="1"/>
      <w:marLeft w:val="0"/>
      <w:marRight w:val="0"/>
      <w:marTop w:val="0"/>
      <w:marBottom w:val="0"/>
      <w:divBdr>
        <w:top w:val="none" w:sz="0" w:space="0" w:color="auto"/>
        <w:left w:val="none" w:sz="0" w:space="0" w:color="auto"/>
        <w:bottom w:val="none" w:sz="0" w:space="0" w:color="auto"/>
        <w:right w:val="none" w:sz="0" w:space="0" w:color="auto"/>
      </w:divBdr>
    </w:div>
    <w:div w:id="1856721660">
      <w:bodyDiv w:val="1"/>
      <w:marLeft w:val="0"/>
      <w:marRight w:val="0"/>
      <w:marTop w:val="0"/>
      <w:marBottom w:val="0"/>
      <w:divBdr>
        <w:top w:val="none" w:sz="0" w:space="0" w:color="auto"/>
        <w:left w:val="none" w:sz="0" w:space="0" w:color="auto"/>
        <w:bottom w:val="none" w:sz="0" w:space="0" w:color="auto"/>
        <w:right w:val="none" w:sz="0" w:space="0" w:color="auto"/>
      </w:divBdr>
    </w:div>
    <w:div w:id="1861238348">
      <w:bodyDiv w:val="1"/>
      <w:marLeft w:val="0"/>
      <w:marRight w:val="0"/>
      <w:marTop w:val="0"/>
      <w:marBottom w:val="0"/>
      <w:divBdr>
        <w:top w:val="none" w:sz="0" w:space="0" w:color="auto"/>
        <w:left w:val="none" w:sz="0" w:space="0" w:color="auto"/>
        <w:bottom w:val="none" w:sz="0" w:space="0" w:color="auto"/>
        <w:right w:val="none" w:sz="0" w:space="0" w:color="auto"/>
      </w:divBdr>
    </w:div>
    <w:div w:id="1876304884">
      <w:bodyDiv w:val="1"/>
      <w:marLeft w:val="0"/>
      <w:marRight w:val="0"/>
      <w:marTop w:val="0"/>
      <w:marBottom w:val="0"/>
      <w:divBdr>
        <w:top w:val="none" w:sz="0" w:space="0" w:color="auto"/>
        <w:left w:val="none" w:sz="0" w:space="0" w:color="auto"/>
        <w:bottom w:val="none" w:sz="0" w:space="0" w:color="auto"/>
        <w:right w:val="none" w:sz="0" w:space="0" w:color="auto"/>
      </w:divBdr>
    </w:div>
    <w:div w:id="1878271833">
      <w:bodyDiv w:val="1"/>
      <w:marLeft w:val="0"/>
      <w:marRight w:val="0"/>
      <w:marTop w:val="0"/>
      <w:marBottom w:val="0"/>
      <w:divBdr>
        <w:top w:val="none" w:sz="0" w:space="0" w:color="auto"/>
        <w:left w:val="none" w:sz="0" w:space="0" w:color="auto"/>
        <w:bottom w:val="none" w:sz="0" w:space="0" w:color="auto"/>
        <w:right w:val="none" w:sz="0" w:space="0" w:color="auto"/>
      </w:divBdr>
      <w:divsChild>
        <w:div w:id="2077821555">
          <w:marLeft w:val="547"/>
          <w:marRight w:val="0"/>
          <w:marTop w:val="0"/>
          <w:marBottom w:val="0"/>
          <w:divBdr>
            <w:top w:val="none" w:sz="0" w:space="0" w:color="auto"/>
            <w:left w:val="none" w:sz="0" w:space="0" w:color="auto"/>
            <w:bottom w:val="none" w:sz="0" w:space="0" w:color="auto"/>
            <w:right w:val="none" w:sz="0" w:space="0" w:color="auto"/>
          </w:divBdr>
        </w:div>
      </w:divsChild>
    </w:div>
    <w:div w:id="1888183525">
      <w:bodyDiv w:val="1"/>
      <w:marLeft w:val="0"/>
      <w:marRight w:val="0"/>
      <w:marTop w:val="0"/>
      <w:marBottom w:val="0"/>
      <w:divBdr>
        <w:top w:val="none" w:sz="0" w:space="0" w:color="auto"/>
        <w:left w:val="none" w:sz="0" w:space="0" w:color="auto"/>
        <w:bottom w:val="none" w:sz="0" w:space="0" w:color="auto"/>
        <w:right w:val="none" w:sz="0" w:space="0" w:color="auto"/>
      </w:divBdr>
    </w:div>
    <w:div w:id="1891304234">
      <w:bodyDiv w:val="1"/>
      <w:marLeft w:val="0"/>
      <w:marRight w:val="0"/>
      <w:marTop w:val="0"/>
      <w:marBottom w:val="0"/>
      <w:divBdr>
        <w:top w:val="none" w:sz="0" w:space="0" w:color="auto"/>
        <w:left w:val="none" w:sz="0" w:space="0" w:color="auto"/>
        <w:bottom w:val="none" w:sz="0" w:space="0" w:color="auto"/>
        <w:right w:val="none" w:sz="0" w:space="0" w:color="auto"/>
      </w:divBdr>
    </w:div>
    <w:div w:id="1892494811">
      <w:bodyDiv w:val="1"/>
      <w:marLeft w:val="0"/>
      <w:marRight w:val="0"/>
      <w:marTop w:val="0"/>
      <w:marBottom w:val="0"/>
      <w:divBdr>
        <w:top w:val="none" w:sz="0" w:space="0" w:color="auto"/>
        <w:left w:val="none" w:sz="0" w:space="0" w:color="auto"/>
        <w:bottom w:val="none" w:sz="0" w:space="0" w:color="auto"/>
        <w:right w:val="none" w:sz="0" w:space="0" w:color="auto"/>
      </w:divBdr>
    </w:div>
    <w:div w:id="1902860468">
      <w:bodyDiv w:val="1"/>
      <w:marLeft w:val="0"/>
      <w:marRight w:val="0"/>
      <w:marTop w:val="0"/>
      <w:marBottom w:val="0"/>
      <w:divBdr>
        <w:top w:val="none" w:sz="0" w:space="0" w:color="auto"/>
        <w:left w:val="none" w:sz="0" w:space="0" w:color="auto"/>
        <w:bottom w:val="none" w:sz="0" w:space="0" w:color="auto"/>
        <w:right w:val="none" w:sz="0" w:space="0" w:color="auto"/>
      </w:divBdr>
    </w:div>
    <w:div w:id="1903175809">
      <w:bodyDiv w:val="1"/>
      <w:marLeft w:val="0"/>
      <w:marRight w:val="0"/>
      <w:marTop w:val="0"/>
      <w:marBottom w:val="0"/>
      <w:divBdr>
        <w:top w:val="none" w:sz="0" w:space="0" w:color="auto"/>
        <w:left w:val="none" w:sz="0" w:space="0" w:color="auto"/>
        <w:bottom w:val="none" w:sz="0" w:space="0" w:color="auto"/>
        <w:right w:val="none" w:sz="0" w:space="0" w:color="auto"/>
      </w:divBdr>
      <w:divsChild>
        <w:div w:id="108353508">
          <w:marLeft w:val="547"/>
          <w:marRight w:val="0"/>
          <w:marTop w:val="0"/>
          <w:marBottom w:val="0"/>
          <w:divBdr>
            <w:top w:val="none" w:sz="0" w:space="0" w:color="auto"/>
            <w:left w:val="none" w:sz="0" w:space="0" w:color="auto"/>
            <w:bottom w:val="none" w:sz="0" w:space="0" w:color="auto"/>
            <w:right w:val="none" w:sz="0" w:space="0" w:color="auto"/>
          </w:divBdr>
        </w:div>
        <w:div w:id="371341747">
          <w:marLeft w:val="0"/>
          <w:marRight w:val="0"/>
          <w:marTop w:val="0"/>
          <w:marBottom w:val="0"/>
          <w:divBdr>
            <w:top w:val="none" w:sz="0" w:space="0" w:color="auto"/>
            <w:left w:val="none" w:sz="0" w:space="0" w:color="auto"/>
            <w:bottom w:val="none" w:sz="0" w:space="0" w:color="auto"/>
            <w:right w:val="none" w:sz="0" w:space="0" w:color="auto"/>
          </w:divBdr>
        </w:div>
        <w:div w:id="589124780">
          <w:marLeft w:val="547"/>
          <w:marRight w:val="0"/>
          <w:marTop w:val="0"/>
          <w:marBottom w:val="0"/>
          <w:divBdr>
            <w:top w:val="none" w:sz="0" w:space="0" w:color="auto"/>
            <w:left w:val="none" w:sz="0" w:space="0" w:color="auto"/>
            <w:bottom w:val="none" w:sz="0" w:space="0" w:color="auto"/>
            <w:right w:val="none" w:sz="0" w:space="0" w:color="auto"/>
          </w:divBdr>
        </w:div>
        <w:div w:id="1507675244">
          <w:marLeft w:val="0"/>
          <w:marRight w:val="0"/>
          <w:marTop w:val="0"/>
          <w:marBottom w:val="0"/>
          <w:divBdr>
            <w:top w:val="none" w:sz="0" w:space="0" w:color="auto"/>
            <w:left w:val="none" w:sz="0" w:space="0" w:color="auto"/>
            <w:bottom w:val="none" w:sz="0" w:space="0" w:color="auto"/>
            <w:right w:val="none" w:sz="0" w:space="0" w:color="auto"/>
          </w:divBdr>
        </w:div>
        <w:div w:id="1622177927">
          <w:marLeft w:val="547"/>
          <w:marRight w:val="0"/>
          <w:marTop w:val="0"/>
          <w:marBottom w:val="0"/>
          <w:divBdr>
            <w:top w:val="none" w:sz="0" w:space="0" w:color="auto"/>
            <w:left w:val="none" w:sz="0" w:space="0" w:color="auto"/>
            <w:bottom w:val="none" w:sz="0" w:space="0" w:color="auto"/>
            <w:right w:val="none" w:sz="0" w:space="0" w:color="auto"/>
          </w:divBdr>
        </w:div>
        <w:div w:id="1654483686">
          <w:marLeft w:val="0"/>
          <w:marRight w:val="0"/>
          <w:marTop w:val="0"/>
          <w:marBottom w:val="0"/>
          <w:divBdr>
            <w:top w:val="none" w:sz="0" w:space="0" w:color="auto"/>
            <w:left w:val="none" w:sz="0" w:space="0" w:color="auto"/>
            <w:bottom w:val="none" w:sz="0" w:space="0" w:color="auto"/>
            <w:right w:val="none" w:sz="0" w:space="0" w:color="auto"/>
          </w:divBdr>
        </w:div>
      </w:divsChild>
    </w:div>
    <w:div w:id="1909798931">
      <w:bodyDiv w:val="1"/>
      <w:marLeft w:val="0"/>
      <w:marRight w:val="0"/>
      <w:marTop w:val="0"/>
      <w:marBottom w:val="0"/>
      <w:divBdr>
        <w:top w:val="none" w:sz="0" w:space="0" w:color="auto"/>
        <w:left w:val="none" w:sz="0" w:space="0" w:color="auto"/>
        <w:bottom w:val="none" w:sz="0" w:space="0" w:color="auto"/>
        <w:right w:val="none" w:sz="0" w:space="0" w:color="auto"/>
      </w:divBdr>
      <w:divsChild>
        <w:div w:id="1427799482">
          <w:marLeft w:val="0"/>
          <w:marRight w:val="0"/>
          <w:marTop w:val="0"/>
          <w:marBottom w:val="0"/>
          <w:divBdr>
            <w:top w:val="none" w:sz="0" w:space="0" w:color="auto"/>
            <w:left w:val="none" w:sz="0" w:space="0" w:color="auto"/>
            <w:bottom w:val="none" w:sz="0" w:space="0" w:color="auto"/>
            <w:right w:val="none" w:sz="0" w:space="0" w:color="auto"/>
          </w:divBdr>
          <w:divsChild>
            <w:div w:id="574781744">
              <w:marLeft w:val="0"/>
              <w:marRight w:val="0"/>
              <w:marTop w:val="0"/>
              <w:marBottom w:val="0"/>
              <w:divBdr>
                <w:top w:val="none" w:sz="0" w:space="0" w:color="auto"/>
                <w:left w:val="none" w:sz="0" w:space="0" w:color="auto"/>
                <w:bottom w:val="none" w:sz="0" w:space="0" w:color="auto"/>
                <w:right w:val="none" w:sz="0" w:space="0" w:color="auto"/>
              </w:divBdr>
              <w:divsChild>
                <w:div w:id="666515067">
                  <w:marLeft w:val="0"/>
                  <w:marRight w:val="0"/>
                  <w:marTop w:val="0"/>
                  <w:marBottom w:val="0"/>
                  <w:divBdr>
                    <w:top w:val="none" w:sz="0" w:space="0" w:color="auto"/>
                    <w:left w:val="none" w:sz="0" w:space="0" w:color="auto"/>
                    <w:bottom w:val="none" w:sz="0" w:space="0" w:color="auto"/>
                    <w:right w:val="none" w:sz="0" w:space="0" w:color="auto"/>
                  </w:divBdr>
                  <w:divsChild>
                    <w:div w:id="342366060">
                      <w:marLeft w:val="0"/>
                      <w:marRight w:val="0"/>
                      <w:marTop w:val="0"/>
                      <w:marBottom w:val="0"/>
                      <w:divBdr>
                        <w:top w:val="none" w:sz="0" w:space="0" w:color="auto"/>
                        <w:left w:val="none" w:sz="0" w:space="0" w:color="auto"/>
                        <w:bottom w:val="none" w:sz="0" w:space="0" w:color="auto"/>
                        <w:right w:val="none" w:sz="0" w:space="0" w:color="auto"/>
                      </w:divBdr>
                      <w:divsChild>
                        <w:div w:id="205974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185596">
      <w:bodyDiv w:val="1"/>
      <w:marLeft w:val="0"/>
      <w:marRight w:val="0"/>
      <w:marTop w:val="0"/>
      <w:marBottom w:val="0"/>
      <w:divBdr>
        <w:top w:val="none" w:sz="0" w:space="0" w:color="auto"/>
        <w:left w:val="none" w:sz="0" w:space="0" w:color="auto"/>
        <w:bottom w:val="none" w:sz="0" w:space="0" w:color="auto"/>
        <w:right w:val="none" w:sz="0" w:space="0" w:color="auto"/>
      </w:divBdr>
    </w:div>
    <w:div w:id="1914580464">
      <w:bodyDiv w:val="1"/>
      <w:marLeft w:val="0"/>
      <w:marRight w:val="0"/>
      <w:marTop w:val="0"/>
      <w:marBottom w:val="0"/>
      <w:divBdr>
        <w:top w:val="none" w:sz="0" w:space="0" w:color="auto"/>
        <w:left w:val="none" w:sz="0" w:space="0" w:color="auto"/>
        <w:bottom w:val="none" w:sz="0" w:space="0" w:color="auto"/>
        <w:right w:val="none" w:sz="0" w:space="0" w:color="auto"/>
      </w:divBdr>
    </w:div>
    <w:div w:id="1944872774">
      <w:bodyDiv w:val="1"/>
      <w:marLeft w:val="0"/>
      <w:marRight w:val="0"/>
      <w:marTop w:val="0"/>
      <w:marBottom w:val="0"/>
      <w:divBdr>
        <w:top w:val="none" w:sz="0" w:space="0" w:color="auto"/>
        <w:left w:val="none" w:sz="0" w:space="0" w:color="auto"/>
        <w:bottom w:val="none" w:sz="0" w:space="0" w:color="auto"/>
        <w:right w:val="none" w:sz="0" w:space="0" w:color="auto"/>
      </w:divBdr>
    </w:div>
    <w:div w:id="1956984224">
      <w:bodyDiv w:val="1"/>
      <w:marLeft w:val="0"/>
      <w:marRight w:val="0"/>
      <w:marTop w:val="0"/>
      <w:marBottom w:val="0"/>
      <w:divBdr>
        <w:top w:val="none" w:sz="0" w:space="0" w:color="auto"/>
        <w:left w:val="none" w:sz="0" w:space="0" w:color="auto"/>
        <w:bottom w:val="none" w:sz="0" w:space="0" w:color="auto"/>
        <w:right w:val="none" w:sz="0" w:space="0" w:color="auto"/>
      </w:divBdr>
    </w:div>
    <w:div w:id="1959021276">
      <w:bodyDiv w:val="1"/>
      <w:marLeft w:val="0"/>
      <w:marRight w:val="0"/>
      <w:marTop w:val="0"/>
      <w:marBottom w:val="0"/>
      <w:divBdr>
        <w:top w:val="none" w:sz="0" w:space="0" w:color="auto"/>
        <w:left w:val="none" w:sz="0" w:space="0" w:color="auto"/>
        <w:bottom w:val="none" w:sz="0" w:space="0" w:color="auto"/>
        <w:right w:val="none" w:sz="0" w:space="0" w:color="auto"/>
      </w:divBdr>
      <w:divsChild>
        <w:div w:id="1145392780">
          <w:marLeft w:val="547"/>
          <w:marRight w:val="0"/>
          <w:marTop w:val="0"/>
          <w:marBottom w:val="0"/>
          <w:divBdr>
            <w:top w:val="none" w:sz="0" w:space="0" w:color="auto"/>
            <w:left w:val="none" w:sz="0" w:space="0" w:color="auto"/>
            <w:bottom w:val="none" w:sz="0" w:space="0" w:color="auto"/>
            <w:right w:val="none" w:sz="0" w:space="0" w:color="auto"/>
          </w:divBdr>
        </w:div>
      </w:divsChild>
    </w:div>
    <w:div w:id="1961110784">
      <w:bodyDiv w:val="1"/>
      <w:marLeft w:val="0"/>
      <w:marRight w:val="0"/>
      <w:marTop w:val="0"/>
      <w:marBottom w:val="0"/>
      <w:divBdr>
        <w:top w:val="none" w:sz="0" w:space="0" w:color="auto"/>
        <w:left w:val="none" w:sz="0" w:space="0" w:color="auto"/>
        <w:bottom w:val="none" w:sz="0" w:space="0" w:color="auto"/>
        <w:right w:val="none" w:sz="0" w:space="0" w:color="auto"/>
      </w:divBdr>
    </w:div>
    <w:div w:id="1980573277">
      <w:bodyDiv w:val="1"/>
      <w:marLeft w:val="0"/>
      <w:marRight w:val="0"/>
      <w:marTop w:val="0"/>
      <w:marBottom w:val="0"/>
      <w:divBdr>
        <w:top w:val="none" w:sz="0" w:space="0" w:color="auto"/>
        <w:left w:val="none" w:sz="0" w:space="0" w:color="auto"/>
        <w:bottom w:val="none" w:sz="0" w:space="0" w:color="auto"/>
        <w:right w:val="none" w:sz="0" w:space="0" w:color="auto"/>
      </w:divBdr>
    </w:div>
    <w:div w:id="1985424364">
      <w:bodyDiv w:val="1"/>
      <w:marLeft w:val="0"/>
      <w:marRight w:val="0"/>
      <w:marTop w:val="0"/>
      <w:marBottom w:val="0"/>
      <w:divBdr>
        <w:top w:val="none" w:sz="0" w:space="0" w:color="auto"/>
        <w:left w:val="none" w:sz="0" w:space="0" w:color="auto"/>
        <w:bottom w:val="none" w:sz="0" w:space="0" w:color="auto"/>
        <w:right w:val="none" w:sz="0" w:space="0" w:color="auto"/>
      </w:divBdr>
    </w:div>
    <w:div w:id="2006779130">
      <w:bodyDiv w:val="1"/>
      <w:marLeft w:val="0"/>
      <w:marRight w:val="0"/>
      <w:marTop w:val="0"/>
      <w:marBottom w:val="0"/>
      <w:divBdr>
        <w:top w:val="none" w:sz="0" w:space="0" w:color="auto"/>
        <w:left w:val="none" w:sz="0" w:space="0" w:color="auto"/>
        <w:bottom w:val="none" w:sz="0" w:space="0" w:color="auto"/>
        <w:right w:val="none" w:sz="0" w:space="0" w:color="auto"/>
      </w:divBdr>
    </w:div>
    <w:div w:id="2010526109">
      <w:bodyDiv w:val="1"/>
      <w:marLeft w:val="0"/>
      <w:marRight w:val="0"/>
      <w:marTop w:val="0"/>
      <w:marBottom w:val="0"/>
      <w:divBdr>
        <w:top w:val="none" w:sz="0" w:space="0" w:color="auto"/>
        <w:left w:val="none" w:sz="0" w:space="0" w:color="auto"/>
        <w:bottom w:val="none" w:sz="0" w:space="0" w:color="auto"/>
        <w:right w:val="none" w:sz="0" w:space="0" w:color="auto"/>
      </w:divBdr>
    </w:div>
    <w:div w:id="2012248105">
      <w:bodyDiv w:val="1"/>
      <w:marLeft w:val="0"/>
      <w:marRight w:val="0"/>
      <w:marTop w:val="0"/>
      <w:marBottom w:val="0"/>
      <w:divBdr>
        <w:top w:val="none" w:sz="0" w:space="0" w:color="auto"/>
        <w:left w:val="none" w:sz="0" w:space="0" w:color="auto"/>
        <w:bottom w:val="none" w:sz="0" w:space="0" w:color="auto"/>
        <w:right w:val="none" w:sz="0" w:space="0" w:color="auto"/>
      </w:divBdr>
    </w:div>
    <w:div w:id="2013993410">
      <w:bodyDiv w:val="1"/>
      <w:marLeft w:val="0"/>
      <w:marRight w:val="0"/>
      <w:marTop w:val="0"/>
      <w:marBottom w:val="0"/>
      <w:divBdr>
        <w:top w:val="none" w:sz="0" w:space="0" w:color="auto"/>
        <w:left w:val="none" w:sz="0" w:space="0" w:color="auto"/>
        <w:bottom w:val="none" w:sz="0" w:space="0" w:color="auto"/>
        <w:right w:val="none" w:sz="0" w:space="0" w:color="auto"/>
      </w:divBdr>
    </w:div>
    <w:div w:id="2015954212">
      <w:bodyDiv w:val="1"/>
      <w:marLeft w:val="0"/>
      <w:marRight w:val="0"/>
      <w:marTop w:val="0"/>
      <w:marBottom w:val="0"/>
      <w:divBdr>
        <w:top w:val="none" w:sz="0" w:space="0" w:color="auto"/>
        <w:left w:val="none" w:sz="0" w:space="0" w:color="auto"/>
        <w:bottom w:val="none" w:sz="0" w:space="0" w:color="auto"/>
        <w:right w:val="none" w:sz="0" w:space="0" w:color="auto"/>
      </w:divBdr>
    </w:div>
    <w:div w:id="2032297464">
      <w:bodyDiv w:val="1"/>
      <w:marLeft w:val="0"/>
      <w:marRight w:val="0"/>
      <w:marTop w:val="0"/>
      <w:marBottom w:val="0"/>
      <w:divBdr>
        <w:top w:val="none" w:sz="0" w:space="0" w:color="auto"/>
        <w:left w:val="none" w:sz="0" w:space="0" w:color="auto"/>
        <w:bottom w:val="none" w:sz="0" w:space="0" w:color="auto"/>
        <w:right w:val="none" w:sz="0" w:space="0" w:color="auto"/>
      </w:divBdr>
    </w:div>
    <w:div w:id="2043356615">
      <w:bodyDiv w:val="1"/>
      <w:marLeft w:val="0"/>
      <w:marRight w:val="0"/>
      <w:marTop w:val="0"/>
      <w:marBottom w:val="0"/>
      <w:divBdr>
        <w:top w:val="none" w:sz="0" w:space="0" w:color="auto"/>
        <w:left w:val="none" w:sz="0" w:space="0" w:color="auto"/>
        <w:bottom w:val="none" w:sz="0" w:space="0" w:color="auto"/>
        <w:right w:val="none" w:sz="0" w:space="0" w:color="auto"/>
      </w:divBdr>
    </w:div>
    <w:div w:id="2054235005">
      <w:bodyDiv w:val="1"/>
      <w:marLeft w:val="0"/>
      <w:marRight w:val="0"/>
      <w:marTop w:val="0"/>
      <w:marBottom w:val="0"/>
      <w:divBdr>
        <w:top w:val="none" w:sz="0" w:space="0" w:color="auto"/>
        <w:left w:val="none" w:sz="0" w:space="0" w:color="auto"/>
        <w:bottom w:val="none" w:sz="0" w:space="0" w:color="auto"/>
        <w:right w:val="none" w:sz="0" w:space="0" w:color="auto"/>
      </w:divBdr>
    </w:div>
    <w:div w:id="2061204679">
      <w:bodyDiv w:val="1"/>
      <w:marLeft w:val="0"/>
      <w:marRight w:val="0"/>
      <w:marTop w:val="0"/>
      <w:marBottom w:val="0"/>
      <w:divBdr>
        <w:top w:val="none" w:sz="0" w:space="0" w:color="auto"/>
        <w:left w:val="none" w:sz="0" w:space="0" w:color="auto"/>
        <w:bottom w:val="none" w:sz="0" w:space="0" w:color="auto"/>
        <w:right w:val="none" w:sz="0" w:space="0" w:color="auto"/>
      </w:divBdr>
      <w:divsChild>
        <w:div w:id="537013571">
          <w:marLeft w:val="360"/>
          <w:marRight w:val="0"/>
          <w:marTop w:val="0"/>
          <w:marBottom w:val="0"/>
          <w:divBdr>
            <w:top w:val="none" w:sz="0" w:space="0" w:color="auto"/>
            <w:left w:val="none" w:sz="0" w:space="0" w:color="auto"/>
            <w:bottom w:val="none" w:sz="0" w:space="0" w:color="auto"/>
            <w:right w:val="none" w:sz="0" w:space="0" w:color="auto"/>
          </w:divBdr>
        </w:div>
        <w:div w:id="1273633130">
          <w:marLeft w:val="360"/>
          <w:marRight w:val="0"/>
          <w:marTop w:val="0"/>
          <w:marBottom w:val="0"/>
          <w:divBdr>
            <w:top w:val="none" w:sz="0" w:space="0" w:color="auto"/>
            <w:left w:val="none" w:sz="0" w:space="0" w:color="auto"/>
            <w:bottom w:val="none" w:sz="0" w:space="0" w:color="auto"/>
            <w:right w:val="none" w:sz="0" w:space="0" w:color="auto"/>
          </w:divBdr>
        </w:div>
      </w:divsChild>
    </w:div>
    <w:div w:id="2067486243">
      <w:bodyDiv w:val="1"/>
      <w:marLeft w:val="0"/>
      <w:marRight w:val="0"/>
      <w:marTop w:val="0"/>
      <w:marBottom w:val="0"/>
      <w:divBdr>
        <w:top w:val="none" w:sz="0" w:space="0" w:color="auto"/>
        <w:left w:val="none" w:sz="0" w:space="0" w:color="auto"/>
        <w:bottom w:val="none" w:sz="0" w:space="0" w:color="auto"/>
        <w:right w:val="none" w:sz="0" w:space="0" w:color="auto"/>
      </w:divBdr>
    </w:div>
    <w:div w:id="2068524649">
      <w:bodyDiv w:val="1"/>
      <w:marLeft w:val="0"/>
      <w:marRight w:val="0"/>
      <w:marTop w:val="0"/>
      <w:marBottom w:val="0"/>
      <w:divBdr>
        <w:top w:val="none" w:sz="0" w:space="0" w:color="auto"/>
        <w:left w:val="none" w:sz="0" w:space="0" w:color="auto"/>
        <w:bottom w:val="none" w:sz="0" w:space="0" w:color="auto"/>
        <w:right w:val="none" w:sz="0" w:space="0" w:color="auto"/>
      </w:divBdr>
    </w:div>
    <w:div w:id="2081049864">
      <w:bodyDiv w:val="1"/>
      <w:marLeft w:val="0"/>
      <w:marRight w:val="0"/>
      <w:marTop w:val="0"/>
      <w:marBottom w:val="0"/>
      <w:divBdr>
        <w:top w:val="none" w:sz="0" w:space="0" w:color="auto"/>
        <w:left w:val="none" w:sz="0" w:space="0" w:color="auto"/>
        <w:bottom w:val="none" w:sz="0" w:space="0" w:color="auto"/>
        <w:right w:val="none" w:sz="0" w:space="0" w:color="auto"/>
      </w:divBdr>
    </w:div>
    <w:div w:id="2100132248">
      <w:bodyDiv w:val="1"/>
      <w:marLeft w:val="0"/>
      <w:marRight w:val="0"/>
      <w:marTop w:val="0"/>
      <w:marBottom w:val="0"/>
      <w:divBdr>
        <w:top w:val="none" w:sz="0" w:space="0" w:color="auto"/>
        <w:left w:val="none" w:sz="0" w:space="0" w:color="auto"/>
        <w:bottom w:val="none" w:sz="0" w:space="0" w:color="auto"/>
        <w:right w:val="none" w:sz="0" w:space="0" w:color="auto"/>
      </w:divBdr>
      <w:divsChild>
        <w:div w:id="600256934">
          <w:marLeft w:val="360"/>
          <w:marRight w:val="0"/>
          <w:marTop w:val="0"/>
          <w:marBottom w:val="0"/>
          <w:divBdr>
            <w:top w:val="none" w:sz="0" w:space="0" w:color="auto"/>
            <w:left w:val="none" w:sz="0" w:space="0" w:color="auto"/>
            <w:bottom w:val="none" w:sz="0" w:space="0" w:color="auto"/>
            <w:right w:val="none" w:sz="0" w:space="0" w:color="auto"/>
          </w:divBdr>
        </w:div>
        <w:div w:id="1660034016">
          <w:marLeft w:val="360"/>
          <w:marRight w:val="0"/>
          <w:marTop w:val="0"/>
          <w:marBottom w:val="0"/>
          <w:divBdr>
            <w:top w:val="none" w:sz="0" w:space="0" w:color="auto"/>
            <w:left w:val="none" w:sz="0" w:space="0" w:color="auto"/>
            <w:bottom w:val="none" w:sz="0" w:space="0" w:color="auto"/>
            <w:right w:val="none" w:sz="0" w:space="0" w:color="auto"/>
          </w:divBdr>
        </w:div>
      </w:divsChild>
    </w:div>
    <w:div w:id="2121492326">
      <w:bodyDiv w:val="1"/>
      <w:marLeft w:val="0"/>
      <w:marRight w:val="0"/>
      <w:marTop w:val="0"/>
      <w:marBottom w:val="0"/>
      <w:divBdr>
        <w:top w:val="none" w:sz="0" w:space="0" w:color="auto"/>
        <w:left w:val="none" w:sz="0" w:space="0" w:color="auto"/>
        <w:bottom w:val="none" w:sz="0" w:space="0" w:color="auto"/>
        <w:right w:val="none" w:sz="0" w:space="0" w:color="auto"/>
      </w:divBdr>
    </w:div>
    <w:div w:id="213582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87.xml"/><Relationship Id="rId21" Type="http://schemas.openxmlformats.org/officeDocument/2006/relationships/hyperlink" Target="http://ru.wikipedia.org/wiki/%D0%A0%D0%BE%D1%81%D1%81%D0%B8%D1%8F" TargetMode="External"/><Relationship Id="rId42" Type="http://schemas.openxmlformats.org/officeDocument/2006/relationships/chart" Target="charts/chart19.xml"/><Relationship Id="rId63" Type="http://schemas.openxmlformats.org/officeDocument/2006/relationships/chart" Target="charts/chart36.xml"/><Relationship Id="rId84" Type="http://schemas.openxmlformats.org/officeDocument/2006/relationships/chart" Target="charts/chart54.xml"/><Relationship Id="rId138" Type="http://schemas.openxmlformats.org/officeDocument/2006/relationships/chart" Target="charts/chart107.xml"/><Relationship Id="rId159" Type="http://schemas.openxmlformats.org/officeDocument/2006/relationships/chart" Target="charts/chart126.xml"/><Relationship Id="rId170" Type="http://schemas.openxmlformats.org/officeDocument/2006/relationships/chart" Target="charts/chart127.xml"/><Relationship Id="rId191" Type="http://schemas.openxmlformats.org/officeDocument/2006/relationships/chart" Target="charts/chart148.xml"/><Relationship Id="rId205" Type="http://schemas.openxmlformats.org/officeDocument/2006/relationships/footer" Target="footer5.xml"/><Relationship Id="rId226" Type="http://schemas.openxmlformats.org/officeDocument/2006/relationships/hyperlink" Target="http://www.moesk.ru" TargetMode="External"/><Relationship Id="rId107" Type="http://schemas.openxmlformats.org/officeDocument/2006/relationships/chart" Target="charts/chart77.xml"/><Relationship Id="rId11" Type="http://schemas.openxmlformats.org/officeDocument/2006/relationships/chart" Target="charts/chart4.xml"/><Relationship Id="rId32" Type="http://schemas.openxmlformats.org/officeDocument/2006/relationships/chart" Target="charts/chart15.xml"/><Relationship Id="rId53" Type="http://schemas.openxmlformats.org/officeDocument/2006/relationships/chart" Target="charts/chart29.xml"/><Relationship Id="rId74" Type="http://schemas.openxmlformats.org/officeDocument/2006/relationships/chart" Target="charts/chart44.xml"/><Relationship Id="rId128" Type="http://schemas.openxmlformats.org/officeDocument/2006/relationships/chart" Target="charts/chart98.xml"/><Relationship Id="rId149" Type="http://schemas.openxmlformats.org/officeDocument/2006/relationships/image" Target="media/image4.emf"/><Relationship Id="rId5" Type="http://schemas.openxmlformats.org/officeDocument/2006/relationships/webSettings" Target="webSettings.xml"/><Relationship Id="rId95" Type="http://schemas.openxmlformats.org/officeDocument/2006/relationships/chart" Target="charts/chart65.xml"/><Relationship Id="rId160" Type="http://schemas.openxmlformats.org/officeDocument/2006/relationships/hyperlink" Target="http://www.moesk.ru/invest_news/korporativnoe-upravlenie/commits_soveta_directorov/komitet_po_nadezhnosti/" TargetMode="External"/><Relationship Id="rId181" Type="http://schemas.openxmlformats.org/officeDocument/2006/relationships/chart" Target="charts/chart138.xml"/><Relationship Id="rId216" Type="http://schemas.openxmlformats.org/officeDocument/2006/relationships/hyperlink" Target="http://utp.moesk.ru/ai/portal/feedback/feedback.jsp" TargetMode="External"/><Relationship Id="rId22" Type="http://schemas.openxmlformats.org/officeDocument/2006/relationships/hyperlink" Target="http://ru.wikipedia.org/wiki/%D0%9D%D0%B0%D1%81%D0%B5%D0%BB%D0%B5%D0%BD%D0%B8%D0%B5_%D0%9C%D0%BE%D1%81%D0%BA%D0%B2%D1%8B" TargetMode="External"/><Relationship Id="rId27" Type="http://schemas.openxmlformats.org/officeDocument/2006/relationships/chart" Target="charts/chart11.xml"/><Relationship Id="rId43" Type="http://schemas.openxmlformats.org/officeDocument/2006/relationships/chart" Target="charts/chart20.xml"/><Relationship Id="rId48" Type="http://schemas.openxmlformats.org/officeDocument/2006/relationships/chart" Target="charts/chart24.xml"/><Relationship Id="rId64" Type="http://schemas.openxmlformats.org/officeDocument/2006/relationships/chart" Target="charts/chart37.xml"/><Relationship Id="rId69" Type="http://schemas.openxmlformats.org/officeDocument/2006/relationships/chart" Target="charts/chart40.xml"/><Relationship Id="rId113" Type="http://schemas.openxmlformats.org/officeDocument/2006/relationships/chart" Target="charts/chart83.xml"/><Relationship Id="rId118" Type="http://schemas.openxmlformats.org/officeDocument/2006/relationships/chart" Target="charts/chart88.xml"/><Relationship Id="rId134" Type="http://schemas.openxmlformats.org/officeDocument/2006/relationships/chart" Target="charts/chart103.xml"/><Relationship Id="rId139" Type="http://schemas.openxmlformats.org/officeDocument/2006/relationships/chart" Target="charts/chart108.xml"/><Relationship Id="rId80" Type="http://schemas.openxmlformats.org/officeDocument/2006/relationships/chart" Target="charts/chart50.xml"/><Relationship Id="rId85" Type="http://schemas.openxmlformats.org/officeDocument/2006/relationships/chart" Target="charts/chart55.xml"/><Relationship Id="rId150" Type="http://schemas.openxmlformats.org/officeDocument/2006/relationships/oleObject" Target="embeddings/oleObject2.bin"/><Relationship Id="rId155" Type="http://schemas.openxmlformats.org/officeDocument/2006/relationships/chart" Target="charts/chart122.xml"/><Relationship Id="rId171" Type="http://schemas.openxmlformats.org/officeDocument/2006/relationships/chart" Target="charts/chart128.xml"/><Relationship Id="rId176" Type="http://schemas.openxmlformats.org/officeDocument/2006/relationships/chart" Target="charts/chart133.xml"/><Relationship Id="rId192" Type="http://schemas.openxmlformats.org/officeDocument/2006/relationships/chart" Target="charts/chart149.xml"/><Relationship Id="rId197" Type="http://schemas.openxmlformats.org/officeDocument/2006/relationships/chart" Target="charts/chart154.xml"/><Relationship Id="rId206" Type="http://schemas.openxmlformats.org/officeDocument/2006/relationships/chart" Target="charts/chart162.xml"/><Relationship Id="rId227" Type="http://schemas.openxmlformats.org/officeDocument/2006/relationships/hyperlink" Target="http://utp.moesk.ru/" TargetMode="External"/><Relationship Id="rId201" Type="http://schemas.openxmlformats.org/officeDocument/2006/relationships/chart" Target="charts/chart158.xml"/><Relationship Id="rId222" Type="http://schemas.openxmlformats.org/officeDocument/2006/relationships/hyperlink" Target="https://twitter.com/oaomoesk" TargetMode="External"/><Relationship Id="rId12" Type="http://schemas.openxmlformats.org/officeDocument/2006/relationships/chart" Target="charts/chart5.xml"/><Relationship Id="rId17" Type="http://schemas.openxmlformats.org/officeDocument/2006/relationships/hyperlink" Target="file:///C:\Documents%20and%20Settings\BaranovaDS\Local%20Settings\Temporary%20Internet%20Files\Content.MSO\4CDF6CE3.xlsx" TargetMode="External"/><Relationship Id="rId33" Type="http://schemas.openxmlformats.org/officeDocument/2006/relationships/chart" Target="charts/chart16.xml"/><Relationship Id="rId38" Type="http://schemas.openxmlformats.org/officeDocument/2006/relationships/chart" Target="charts/chart17.xml"/><Relationship Id="rId59" Type="http://schemas.openxmlformats.org/officeDocument/2006/relationships/chart" Target="charts/chart32.xml"/><Relationship Id="rId103" Type="http://schemas.openxmlformats.org/officeDocument/2006/relationships/chart" Target="charts/chart73.xml"/><Relationship Id="rId108" Type="http://schemas.openxmlformats.org/officeDocument/2006/relationships/chart" Target="charts/chart78.xml"/><Relationship Id="rId124" Type="http://schemas.openxmlformats.org/officeDocument/2006/relationships/chart" Target="charts/chart94.xml"/><Relationship Id="rId129" Type="http://schemas.openxmlformats.org/officeDocument/2006/relationships/chart" Target="charts/chart99.xml"/><Relationship Id="rId54" Type="http://schemas.openxmlformats.org/officeDocument/2006/relationships/chart" Target="charts/chart30.xml"/><Relationship Id="rId70" Type="http://schemas.openxmlformats.org/officeDocument/2006/relationships/chart" Target="charts/chart41.xml"/><Relationship Id="rId75" Type="http://schemas.openxmlformats.org/officeDocument/2006/relationships/chart" Target="charts/chart45.xml"/><Relationship Id="rId91" Type="http://schemas.openxmlformats.org/officeDocument/2006/relationships/chart" Target="charts/chart61.xml"/><Relationship Id="rId96" Type="http://schemas.openxmlformats.org/officeDocument/2006/relationships/chart" Target="charts/chart66.xml"/><Relationship Id="rId140" Type="http://schemas.openxmlformats.org/officeDocument/2006/relationships/chart" Target="charts/chart109.xml"/><Relationship Id="rId145" Type="http://schemas.openxmlformats.org/officeDocument/2006/relationships/chart" Target="charts/chart114.xml"/><Relationship Id="rId161" Type="http://schemas.openxmlformats.org/officeDocument/2006/relationships/hyperlink" Target="http://www.moesk.ru/invest_news/korporativnoe-upravlenie/commits_soveta_directorov/komitet_po_tekhnologicheskomu_prisoyedineniyu/" TargetMode="External"/><Relationship Id="rId166" Type="http://schemas.openxmlformats.org/officeDocument/2006/relationships/hyperlink" Target="http://www.moesk.ru/invest_news/raskritie/ystav/" TargetMode="External"/><Relationship Id="rId182" Type="http://schemas.openxmlformats.org/officeDocument/2006/relationships/chart" Target="charts/chart139.xml"/><Relationship Id="rId187" Type="http://schemas.openxmlformats.org/officeDocument/2006/relationships/chart" Target="charts/chart144.xml"/><Relationship Id="rId217" Type="http://schemas.openxmlformats.org/officeDocument/2006/relationships/chart" Target="charts/chart17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chart" Target="charts/chart168.xml"/><Relationship Id="rId23" Type="http://schemas.openxmlformats.org/officeDocument/2006/relationships/hyperlink" Target="http://ru.wikipedia.org/wiki/%D0%A6%D0%B5%D0%BD%D1%82%D1%80%D0%B0%D0%BB%D1%8C%D0%BD%D1%8B%D0%B9_%D1%84%D0%B5%D0%B4%D0%B5%D1%80%D0%B0%D0%BB%D1%8C%D0%BD%D1%8B%D0%B9_%D0%BE%D0%BA%D1%80%D1%83%D0%B3_%D0%A0%D0%BE%D1%81%D1%81%D0%B8%D0%B9%D1%81%D0%BA%D0%BE%D0%B9_%D0%A4%D0%B5%D0%B4%D0%B5%D1%80%D0%B0%D1%86%D0%B8%D0%B8" TargetMode="External"/><Relationship Id="rId28" Type="http://schemas.openxmlformats.org/officeDocument/2006/relationships/chart" Target="charts/chart12.xml"/><Relationship Id="rId49" Type="http://schemas.openxmlformats.org/officeDocument/2006/relationships/chart" Target="charts/chart25.xml"/><Relationship Id="rId114" Type="http://schemas.openxmlformats.org/officeDocument/2006/relationships/chart" Target="charts/chart84.xml"/><Relationship Id="rId119" Type="http://schemas.openxmlformats.org/officeDocument/2006/relationships/chart" Target="charts/chart89.xml"/><Relationship Id="rId44" Type="http://schemas.openxmlformats.org/officeDocument/2006/relationships/chart" Target="charts/chart21.xml"/><Relationship Id="rId60" Type="http://schemas.openxmlformats.org/officeDocument/2006/relationships/chart" Target="charts/chart33.xml"/><Relationship Id="rId65" Type="http://schemas.openxmlformats.org/officeDocument/2006/relationships/chart" Target="charts/chart38.xml"/><Relationship Id="rId81" Type="http://schemas.openxmlformats.org/officeDocument/2006/relationships/chart" Target="charts/chart51.xml"/><Relationship Id="rId86" Type="http://schemas.openxmlformats.org/officeDocument/2006/relationships/chart" Target="charts/chart56.xml"/><Relationship Id="rId130" Type="http://schemas.openxmlformats.org/officeDocument/2006/relationships/chart" Target="charts/chart100.xml"/><Relationship Id="rId135" Type="http://schemas.openxmlformats.org/officeDocument/2006/relationships/chart" Target="charts/chart104.xml"/><Relationship Id="rId151" Type="http://schemas.openxmlformats.org/officeDocument/2006/relationships/chart" Target="charts/chart118.xml"/><Relationship Id="rId156" Type="http://schemas.openxmlformats.org/officeDocument/2006/relationships/chart" Target="charts/chart123.xml"/><Relationship Id="rId177" Type="http://schemas.openxmlformats.org/officeDocument/2006/relationships/chart" Target="charts/chart134.xml"/><Relationship Id="rId198" Type="http://schemas.openxmlformats.org/officeDocument/2006/relationships/chart" Target="charts/chart155.xml"/><Relationship Id="rId172" Type="http://schemas.openxmlformats.org/officeDocument/2006/relationships/chart" Target="charts/chart129.xml"/><Relationship Id="rId193" Type="http://schemas.openxmlformats.org/officeDocument/2006/relationships/chart" Target="charts/chart150.xml"/><Relationship Id="rId202" Type="http://schemas.openxmlformats.org/officeDocument/2006/relationships/chart" Target="charts/chart159.xml"/><Relationship Id="rId207" Type="http://schemas.openxmlformats.org/officeDocument/2006/relationships/chart" Target="charts/chart163.xml"/><Relationship Id="rId223" Type="http://schemas.openxmlformats.org/officeDocument/2006/relationships/hyperlink" Target="http://www.moesk.ru" TargetMode="External"/><Relationship Id="rId228" Type="http://schemas.openxmlformats.org/officeDocument/2006/relationships/fontTable" Target="fontTable.xml"/><Relationship Id="rId13" Type="http://schemas.openxmlformats.org/officeDocument/2006/relationships/chart" Target="charts/chart6.xml"/><Relationship Id="rId18" Type="http://schemas.openxmlformats.org/officeDocument/2006/relationships/hyperlink" Target="http://ru.wikipedia.org/wiki/%D0%90%D0%B4%D0%BC%D0%B8%D0%BD%D0%B8%D1%81%D1%82%D1%80%D0%B0%D1%82%D0%B8%D0%B2%D0%BD%D1%8B%D0%B9_%D1%86%D0%B5%D0%BD%D1%82%D1%80" TargetMode="External"/><Relationship Id="rId39" Type="http://schemas.openxmlformats.org/officeDocument/2006/relationships/chart" Target="charts/chart18.xml"/><Relationship Id="rId109" Type="http://schemas.openxmlformats.org/officeDocument/2006/relationships/chart" Target="charts/chart79.xml"/><Relationship Id="rId34" Type="http://schemas.openxmlformats.org/officeDocument/2006/relationships/footer" Target="footer1.xml"/><Relationship Id="rId50" Type="http://schemas.openxmlformats.org/officeDocument/2006/relationships/chart" Target="charts/chart26.xml"/><Relationship Id="rId55" Type="http://schemas.openxmlformats.org/officeDocument/2006/relationships/header" Target="header1.xml"/><Relationship Id="rId76" Type="http://schemas.openxmlformats.org/officeDocument/2006/relationships/chart" Target="charts/chart46.xml"/><Relationship Id="rId97" Type="http://schemas.openxmlformats.org/officeDocument/2006/relationships/chart" Target="charts/chart67.xml"/><Relationship Id="rId104" Type="http://schemas.openxmlformats.org/officeDocument/2006/relationships/chart" Target="charts/chart74.xml"/><Relationship Id="rId120" Type="http://schemas.openxmlformats.org/officeDocument/2006/relationships/chart" Target="charts/chart90.xml"/><Relationship Id="rId125" Type="http://schemas.openxmlformats.org/officeDocument/2006/relationships/chart" Target="charts/chart95.xml"/><Relationship Id="rId141" Type="http://schemas.openxmlformats.org/officeDocument/2006/relationships/chart" Target="charts/chart110.xml"/><Relationship Id="rId146" Type="http://schemas.openxmlformats.org/officeDocument/2006/relationships/chart" Target="charts/chart115.xml"/><Relationship Id="rId167" Type="http://schemas.openxmlformats.org/officeDocument/2006/relationships/hyperlink" Target="http://www.moesk.ru/invest_news/raskritie/ystav/" TargetMode="External"/><Relationship Id="rId188" Type="http://schemas.openxmlformats.org/officeDocument/2006/relationships/chart" Target="charts/chart145.xml"/><Relationship Id="rId7" Type="http://schemas.openxmlformats.org/officeDocument/2006/relationships/endnotes" Target="endnotes.xml"/><Relationship Id="rId71" Type="http://schemas.openxmlformats.org/officeDocument/2006/relationships/hyperlink" Target="http://utp.moesk.ru/" TargetMode="External"/><Relationship Id="rId92" Type="http://schemas.openxmlformats.org/officeDocument/2006/relationships/chart" Target="charts/chart62.xml"/><Relationship Id="rId162" Type="http://schemas.openxmlformats.org/officeDocument/2006/relationships/hyperlink" Target="http://www.moesk.ru/invest_news/korporativnoe-upravlenie/commits_soveta_directorov/komitet_po_strategii_razvitiyu/" TargetMode="External"/><Relationship Id="rId183" Type="http://schemas.openxmlformats.org/officeDocument/2006/relationships/chart" Target="charts/chart140.xml"/><Relationship Id="rId213" Type="http://schemas.openxmlformats.org/officeDocument/2006/relationships/chart" Target="charts/chart169.xml"/><Relationship Id="rId218" Type="http://schemas.openxmlformats.org/officeDocument/2006/relationships/hyperlink" Target="http://www.moesk.ru" TargetMode="External"/><Relationship Id="rId2" Type="http://schemas.openxmlformats.org/officeDocument/2006/relationships/numbering" Target="numbering.xml"/><Relationship Id="rId29" Type="http://schemas.openxmlformats.org/officeDocument/2006/relationships/hyperlink" Target="http://ru.wikipedia.org/wiki/%D0%90%D0%B4%D0%BC%D0%B8%D0%BD%D0%B8%D1%81%D1%82%D1%80%D0%B0%D1%82%D0%B8%D0%B2%D0%BD%D1%8B%D0%B5_%D0%BE%D0%BA%D1%80%D1%83%D0%B3%D0%B0_%D0%9C%D0%BE%D1%81%D0%BA%D0%B2%D1%8B" TargetMode="External"/><Relationship Id="rId24" Type="http://schemas.openxmlformats.org/officeDocument/2006/relationships/hyperlink" Target="http://ru.wikipedia.org/wiki/%D0%9A%D0%B2%D0%B0%D0%B4%D1%80%D0%B0%D1%82%D0%BD%D1%8B%D0%B9_%D0%BA%D0%B8%D0%BB%D0%BE%D0%BC%D0%B5%D1%82%D1%80" TargetMode="External"/><Relationship Id="rId40" Type="http://schemas.openxmlformats.org/officeDocument/2006/relationships/image" Target="media/image2.emf"/><Relationship Id="rId45" Type="http://schemas.openxmlformats.org/officeDocument/2006/relationships/chart" Target="charts/chart22.xml"/><Relationship Id="rId66" Type="http://schemas.openxmlformats.org/officeDocument/2006/relationships/chart" Target="charts/chart39.xml"/><Relationship Id="rId87" Type="http://schemas.openxmlformats.org/officeDocument/2006/relationships/chart" Target="charts/chart57.xml"/><Relationship Id="rId110" Type="http://schemas.openxmlformats.org/officeDocument/2006/relationships/chart" Target="charts/chart80.xml"/><Relationship Id="rId115" Type="http://schemas.openxmlformats.org/officeDocument/2006/relationships/chart" Target="charts/chart85.xml"/><Relationship Id="rId131" Type="http://schemas.openxmlformats.org/officeDocument/2006/relationships/chart" Target="charts/chart101.xml"/><Relationship Id="rId136" Type="http://schemas.openxmlformats.org/officeDocument/2006/relationships/chart" Target="charts/chart105.xml"/><Relationship Id="rId157" Type="http://schemas.openxmlformats.org/officeDocument/2006/relationships/chart" Target="charts/chart124.xml"/><Relationship Id="rId178" Type="http://schemas.openxmlformats.org/officeDocument/2006/relationships/chart" Target="charts/chart135.xml"/><Relationship Id="rId61" Type="http://schemas.openxmlformats.org/officeDocument/2006/relationships/chart" Target="charts/chart34.xml"/><Relationship Id="rId82" Type="http://schemas.openxmlformats.org/officeDocument/2006/relationships/chart" Target="charts/chart52.xml"/><Relationship Id="rId152" Type="http://schemas.openxmlformats.org/officeDocument/2006/relationships/chart" Target="charts/chart119.xml"/><Relationship Id="rId173" Type="http://schemas.openxmlformats.org/officeDocument/2006/relationships/chart" Target="charts/chart130.xml"/><Relationship Id="rId194" Type="http://schemas.openxmlformats.org/officeDocument/2006/relationships/chart" Target="charts/chart151.xml"/><Relationship Id="rId199" Type="http://schemas.openxmlformats.org/officeDocument/2006/relationships/chart" Target="charts/chart156.xml"/><Relationship Id="rId203" Type="http://schemas.openxmlformats.org/officeDocument/2006/relationships/chart" Target="charts/chart160.xml"/><Relationship Id="rId208" Type="http://schemas.openxmlformats.org/officeDocument/2006/relationships/chart" Target="charts/chart164.xml"/><Relationship Id="rId229" Type="http://schemas.openxmlformats.org/officeDocument/2006/relationships/theme" Target="theme/theme1.xml"/><Relationship Id="rId19" Type="http://schemas.openxmlformats.org/officeDocument/2006/relationships/hyperlink" Target="http://ru.wikipedia.org/wiki/%D0%A6%D0%B5%D0%BD%D1%82%D1%80%D0%B0%D0%BB%D1%8C%D0%BD%D1%8B%D0%B9_%D1%84%D0%B5%D0%B4%D0%B5%D1%80%D0%B0%D0%BB%D1%8C%D0%BD%D1%8B%D0%B9_%D0%BE%D0%BA%D1%80%D1%83%D0%B3" TargetMode="External"/><Relationship Id="rId224" Type="http://schemas.openxmlformats.org/officeDocument/2006/relationships/hyperlink" Target="mailto:ir@moesk.ru" TargetMode="External"/><Relationship Id="rId14" Type="http://schemas.openxmlformats.org/officeDocument/2006/relationships/chart" Target="charts/chart7.xml"/><Relationship Id="rId30" Type="http://schemas.openxmlformats.org/officeDocument/2006/relationships/chart" Target="charts/chart13.xml"/><Relationship Id="rId35" Type="http://schemas.openxmlformats.org/officeDocument/2006/relationships/image" Target="media/image1.jpeg"/><Relationship Id="rId56" Type="http://schemas.openxmlformats.org/officeDocument/2006/relationships/footer" Target="footer4.xml"/><Relationship Id="rId77" Type="http://schemas.openxmlformats.org/officeDocument/2006/relationships/chart" Target="charts/chart47.xml"/><Relationship Id="rId100" Type="http://schemas.openxmlformats.org/officeDocument/2006/relationships/chart" Target="charts/chart70.xml"/><Relationship Id="rId105" Type="http://schemas.openxmlformats.org/officeDocument/2006/relationships/chart" Target="charts/chart75.xml"/><Relationship Id="rId126" Type="http://schemas.openxmlformats.org/officeDocument/2006/relationships/chart" Target="charts/chart96.xml"/><Relationship Id="rId147" Type="http://schemas.openxmlformats.org/officeDocument/2006/relationships/chart" Target="charts/chart116.xml"/><Relationship Id="rId168" Type="http://schemas.openxmlformats.org/officeDocument/2006/relationships/hyperlink" Target="http://www.moesk.ru/invest_news/raskritie/ystav/" TargetMode="External"/><Relationship Id="rId8" Type="http://schemas.openxmlformats.org/officeDocument/2006/relationships/chart" Target="charts/chart1.xml"/><Relationship Id="rId51" Type="http://schemas.openxmlformats.org/officeDocument/2006/relationships/chart" Target="charts/chart27.xml"/><Relationship Id="rId72" Type="http://schemas.openxmlformats.org/officeDocument/2006/relationships/chart" Target="charts/chart42.xml"/><Relationship Id="rId93" Type="http://schemas.openxmlformats.org/officeDocument/2006/relationships/chart" Target="charts/chart63.xml"/><Relationship Id="rId98" Type="http://schemas.openxmlformats.org/officeDocument/2006/relationships/chart" Target="charts/chart68.xml"/><Relationship Id="rId121" Type="http://schemas.openxmlformats.org/officeDocument/2006/relationships/chart" Target="charts/chart91.xml"/><Relationship Id="rId142" Type="http://schemas.openxmlformats.org/officeDocument/2006/relationships/chart" Target="charts/chart111.xml"/><Relationship Id="rId163" Type="http://schemas.openxmlformats.org/officeDocument/2006/relationships/hyperlink" Target="http://www.moesk.ru/invest_news/korporativnoe-upravlenie/commits_soveta_directorov/komitet_po_auditu/" TargetMode="External"/><Relationship Id="rId184" Type="http://schemas.openxmlformats.org/officeDocument/2006/relationships/chart" Target="charts/chart141.xml"/><Relationship Id="rId189" Type="http://schemas.openxmlformats.org/officeDocument/2006/relationships/chart" Target="charts/chart146.xml"/><Relationship Id="rId219" Type="http://schemas.openxmlformats.org/officeDocument/2006/relationships/chart" Target="charts/chart172.xml"/><Relationship Id="rId3" Type="http://schemas.openxmlformats.org/officeDocument/2006/relationships/styles" Target="styles.xml"/><Relationship Id="rId214" Type="http://schemas.openxmlformats.org/officeDocument/2006/relationships/chart" Target="charts/chart170.xml"/><Relationship Id="rId230" Type="http://schemas.microsoft.com/office/2007/relationships/stylesWithEffects" Target="stylesWithEffects.xml"/><Relationship Id="rId25" Type="http://schemas.openxmlformats.org/officeDocument/2006/relationships/chart" Target="charts/chart10.xml"/><Relationship Id="rId46" Type="http://schemas.openxmlformats.org/officeDocument/2006/relationships/image" Target="media/image3.png"/><Relationship Id="rId67" Type="http://schemas.openxmlformats.org/officeDocument/2006/relationships/hyperlink" Target="http://utp.moesk.ru/" TargetMode="External"/><Relationship Id="rId116" Type="http://schemas.openxmlformats.org/officeDocument/2006/relationships/chart" Target="charts/chart86.xml"/><Relationship Id="rId137" Type="http://schemas.openxmlformats.org/officeDocument/2006/relationships/chart" Target="charts/chart106.xml"/><Relationship Id="rId158" Type="http://schemas.openxmlformats.org/officeDocument/2006/relationships/chart" Target="charts/chart125.xml"/><Relationship Id="rId20" Type="http://schemas.openxmlformats.org/officeDocument/2006/relationships/hyperlink" Target="http://ru.wikipedia.org/wiki/%D0%A1%D1%82%D0%BE%D0%BB%D0%B8%D1%86%D0%B0" TargetMode="External"/><Relationship Id="rId41" Type="http://schemas.openxmlformats.org/officeDocument/2006/relationships/oleObject" Target="embeddings/oleObject1.bin"/><Relationship Id="rId62" Type="http://schemas.openxmlformats.org/officeDocument/2006/relationships/chart" Target="charts/chart35.xml"/><Relationship Id="rId83" Type="http://schemas.openxmlformats.org/officeDocument/2006/relationships/chart" Target="charts/chart53.xml"/><Relationship Id="rId88" Type="http://schemas.openxmlformats.org/officeDocument/2006/relationships/chart" Target="charts/chart58.xml"/><Relationship Id="rId111" Type="http://schemas.openxmlformats.org/officeDocument/2006/relationships/chart" Target="charts/chart81.xml"/><Relationship Id="rId132" Type="http://schemas.openxmlformats.org/officeDocument/2006/relationships/hyperlink" Target="http://www.moesk.ru" TargetMode="External"/><Relationship Id="rId153" Type="http://schemas.openxmlformats.org/officeDocument/2006/relationships/chart" Target="charts/chart120.xml"/><Relationship Id="rId174" Type="http://schemas.openxmlformats.org/officeDocument/2006/relationships/chart" Target="charts/chart131.xml"/><Relationship Id="rId179" Type="http://schemas.openxmlformats.org/officeDocument/2006/relationships/chart" Target="charts/chart136.xml"/><Relationship Id="rId195" Type="http://schemas.openxmlformats.org/officeDocument/2006/relationships/chart" Target="charts/chart152.xml"/><Relationship Id="rId209" Type="http://schemas.openxmlformats.org/officeDocument/2006/relationships/chart" Target="charts/chart165.xml"/><Relationship Id="rId190" Type="http://schemas.openxmlformats.org/officeDocument/2006/relationships/chart" Target="charts/chart147.xml"/><Relationship Id="rId204" Type="http://schemas.openxmlformats.org/officeDocument/2006/relationships/chart" Target="charts/chart161.xml"/><Relationship Id="rId220" Type="http://schemas.openxmlformats.org/officeDocument/2006/relationships/chart" Target="charts/chart173.xml"/><Relationship Id="rId225" Type="http://schemas.openxmlformats.org/officeDocument/2006/relationships/hyperlink" Target="mailto:smi@moesk.ru" TargetMode="External"/><Relationship Id="rId15" Type="http://schemas.openxmlformats.org/officeDocument/2006/relationships/chart" Target="charts/chart8.xml"/><Relationship Id="rId36" Type="http://schemas.openxmlformats.org/officeDocument/2006/relationships/footer" Target="footer2.xml"/><Relationship Id="rId57" Type="http://schemas.openxmlformats.org/officeDocument/2006/relationships/hyperlink" Target="file:///C:\Documents%20and%20Settings\BaranovaDS\Local%20Settings\Temporary%20Internet%20Files\Content.MSO\4CDF6CE3.xlsx" TargetMode="External"/><Relationship Id="rId106" Type="http://schemas.openxmlformats.org/officeDocument/2006/relationships/chart" Target="charts/chart76.xml"/><Relationship Id="rId127" Type="http://schemas.openxmlformats.org/officeDocument/2006/relationships/chart" Target="charts/chart97.xml"/><Relationship Id="rId10" Type="http://schemas.openxmlformats.org/officeDocument/2006/relationships/chart" Target="charts/chart3.xml"/><Relationship Id="rId31" Type="http://schemas.openxmlformats.org/officeDocument/2006/relationships/chart" Target="charts/chart14.xml"/><Relationship Id="rId52" Type="http://schemas.openxmlformats.org/officeDocument/2006/relationships/chart" Target="charts/chart28.xml"/><Relationship Id="rId73" Type="http://schemas.openxmlformats.org/officeDocument/2006/relationships/chart" Target="charts/chart43.xml"/><Relationship Id="rId78" Type="http://schemas.openxmlformats.org/officeDocument/2006/relationships/chart" Target="charts/chart48.xml"/><Relationship Id="rId94" Type="http://schemas.openxmlformats.org/officeDocument/2006/relationships/chart" Target="charts/chart64.xml"/><Relationship Id="rId99" Type="http://schemas.openxmlformats.org/officeDocument/2006/relationships/chart" Target="charts/chart69.xml"/><Relationship Id="rId101" Type="http://schemas.openxmlformats.org/officeDocument/2006/relationships/chart" Target="charts/chart71.xml"/><Relationship Id="rId122" Type="http://schemas.openxmlformats.org/officeDocument/2006/relationships/chart" Target="charts/chart92.xml"/><Relationship Id="rId143" Type="http://schemas.openxmlformats.org/officeDocument/2006/relationships/chart" Target="charts/chart112.xml"/><Relationship Id="rId148" Type="http://schemas.openxmlformats.org/officeDocument/2006/relationships/chart" Target="charts/chart117.xml"/><Relationship Id="rId164" Type="http://schemas.openxmlformats.org/officeDocument/2006/relationships/hyperlink" Target="http://www.moesk.ru/invest_news/korporativnoe-upravlenie/commits_soveta_directorov/komitet_po_kadram_voznagrazhdeniyam/" TargetMode="External"/><Relationship Id="rId169" Type="http://schemas.openxmlformats.org/officeDocument/2006/relationships/hyperlink" Target="http://www.moesk.ru/invest_news/raskritie/ystav/" TargetMode="External"/><Relationship Id="rId185" Type="http://schemas.openxmlformats.org/officeDocument/2006/relationships/chart" Target="charts/chart142.xml"/><Relationship Id="rId4" Type="http://schemas.openxmlformats.org/officeDocument/2006/relationships/settings" Target="settings.xml"/><Relationship Id="rId9" Type="http://schemas.openxmlformats.org/officeDocument/2006/relationships/chart" Target="charts/chart2.xml"/><Relationship Id="rId180" Type="http://schemas.openxmlformats.org/officeDocument/2006/relationships/chart" Target="charts/chart137.xml"/><Relationship Id="rId210" Type="http://schemas.openxmlformats.org/officeDocument/2006/relationships/chart" Target="charts/chart166.xml"/><Relationship Id="rId215" Type="http://schemas.openxmlformats.org/officeDocument/2006/relationships/hyperlink" Target="http://utp.moesk.ru/" TargetMode="External"/><Relationship Id="rId26" Type="http://schemas.openxmlformats.org/officeDocument/2006/relationships/hyperlink" Target="http://so-ups.ru/index.php?id=ups_reports" TargetMode="External"/><Relationship Id="rId47" Type="http://schemas.openxmlformats.org/officeDocument/2006/relationships/chart" Target="charts/chart23.xml"/><Relationship Id="rId68" Type="http://schemas.openxmlformats.org/officeDocument/2006/relationships/hyperlink" Target="file:///C:\Documents%20and%20Settings\BaranovaDS\Local%20Settings\Temporary%20Internet%20Files\Content.MSO\4CDF6CE3.xlsx" TargetMode="External"/><Relationship Id="rId89" Type="http://schemas.openxmlformats.org/officeDocument/2006/relationships/chart" Target="charts/chart59.xml"/><Relationship Id="rId112" Type="http://schemas.openxmlformats.org/officeDocument/2006/relationships/chart" Target="charts/chart82.xml"/><Relationship Id="rId133" Type="http://schemas.openxmlformats.org/officeDocument/2006/relationships/chart" Target="charts/chart102.xml"/><Relationship Id="rId154" Type="http://schemas.openxmlformats.org/officeDocument/2006/relationships/chart" Target="charts/chart121.xml"/><Relationship Id="rId175" Type="http://schemas.openxmlformats.org/officeDocument/2006/relationships/chart" Target="charts/chart132.xml"/><Relationship Id="rId196" Type="http://schemas.openxmlformats.org/officeDocument/2006/relationships/chart" Target="charts/chart153.xml"/><Relationship Id="rId200" Type="http://schemas.openxmlformats.org/officeDocument/2006/relationships/chart" Target="charts/chart157.xml"/><Relationship Id="rId16" Type="http://schemas.openxmlformats.org/officeDocument/2006/relationships/chart" Target="charts/chart9.xml"/><Relationship Id="rId221" Type="http://schemas.openxmlformats.org/officeDocument/2006/relationships/hyperlink" Target="https://www.facebook.com/MOESK" TargetMode="External"/><Relationship Id="rId37" Type="http://schemas.openxmlformats.org/officeDocument/2006/relationships/footer" Target="footer3.xml"/><Relationship Id="rId58" Type="http://schemas.openxmlformats.org/officeDocument/2006/relationships/chart" Target="charts/chart31.xml"/><Relationship Id="rId79" Type="http://schemas.openxmlformats.org/officeDocument/2006/relationships/chart" Target="charts/chart49.xml"/><Relationship Id="rId102" Type="http://schemas.openxmlformats.org/officeDocument/2006/relationships/chart" Target="charts/chart72.xml"/><Relationship Id="rId123" Type="http://schemas.openxmlformats.org/officeDocument/2006/relationships/chart" Target="charts/chart93.xml"/><Relationship Id="rId144" Type="http://schemas.openxmlformats.org/officeDocument/2006/relationships/chart" Target="charts/chart113.xml"/><Relationship Id="rId90" Type="http://schemas.openxmlformats.org/officeDocument/2006/relationships/chart" Target="charts/chart60.xml"/><Relationship Id="rId165" Type="http://schemas.openxmlformats.org/officeDocument/2006/relationships/hyperlink" Target="http://www.moesk.ru/invest_news/raskritie/ystav/" TargetMode="External"/><Relationship Id="rId186" Type="http://schemas.openxmlformats.org/officeDocument/2006/relationships/chart" Target="charts/chart143.xml"/><Relationship Id="rId211" Type="http://schemas.openxmlformats.org/officeDocument/2006/relationships/chart" Target="charts/chart167.xml"/></Relationships>
</file>

<file path=word/_rels/footnotes.xml.rels><?xml version="1.0" encoding="UTF-8" standalone="yes"?>
<Relationships xmlns="http://schemas.openxmlformats.org/package/2006/relationships"><Relationship Id="rId3" Type="http://schemas.openxmlformats.org/officeDocument/2006/relationships/hyperlink" Target="http://government.ru/orders/4318" TargetMode="External"/><Relationship Id="rId2" Type="http://schemas.openxmlformats.org/officeDocument/2006/relationships/hyperlink" Target="consultantplus://offline/ref=41BEFE452C9AF9825AF2E0950D18EE164CCC0ED0DCF24C15061C3E4951338DC5507FFA844DE777C9s9fCG" TargetMode="External"/><Relationship Id="rId1" Type="http://schemas.openxmlformats.org/officeDocument/2006/relationships/hyperlink" Target="consultantplus://offline/ref=41BEFE452C9AF9825AF2E0950D18EE164CCC0ED0DCF24C15061C3E4951338DC5507FFA844DE777C9s9fC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00.xml.rels><?xml version="1.0" encoding="UTF-8" standalone="yes"?>
<Relationships xmlns="http://schemas.openxmlformats.org/package/2006/relationships"><Relationship Id="rId1" Type="http://schemas.openxmlformats.org/officeDocument/2006/relationships/package" Target="../embeddings/_____Microsoft_Office_Excel97.xlsx"/></Relationships>
</file>

<file path=word/charts/_rels/chart101.xml.rels><?xml version="1.0" encoding="UTF-8" standalone="yes"?>
<Relationships xmlns="http://schemas.openxmlformats.org/package/2006/relationships"><Relationship Id="rId1" Type="http://schemas.openxmlformats.org/officeDocument/2006/relationships/package" Target="../embeddings/_____Microsoft_Office_Excel98.xlsx"/></Relationships>
</file>

<file path=word/charts/_rels/chart102.xml.rels><?xml version="1.0" encoding="UTF-8" standalone="yes"?>
<Relationships xmlns="http://schemas.openxmlformats.org/package/2006/relationships"><Relationship Id="rId1" Type="http://schemas.openxmlformats.org/officeDocument/2006/relationships/package" Target="../embeddings/_____Microsoft_Office_Excel99.xlsx"/></Relationships>
</file>

<file path=word/charts/_rels/chart103.xml.rels><?xml version="1.0" encoding="UTF-8" standalone="yes"?>
<Relationships xmlns="http://schemas.openxmlformats.org/package/2006/relationships"><Relationship Id="rId1" Type="http://schemas.openxmlformats.org/officeDocument/2006/relationships/package" Target="../embeddings/_____Microsoft_Office_Excel100.xlsx"/></Relationships>
</file>

<file path=word/charts/_rels/chart104.xml.rels><?xml version="1.0" encoding="UTF-8" standalone="yes"?>
<Relationships xmlns="http://schemas.openxmlformats.org/package/2006/relationships"><Relationship Id="rId1" Type="http://schemas.openxmlformats.org/officeDocument/2006/relationships/package" Target="../embeddings/_____Microsoft_Office_Excel101.xlsx"/></Relationships>
</file>

<file path=word/charts/_rels/chart105.xml.rels><?xml version="1.0" encoding="UTF-8" standalone="yes"?>
<Relationships xmlns="http://schemas.openxmlformats.org/package/2006/relationships"><Relationship Id="rId1" Type="http://schemas.openxmlformats.org/officeDocument/2006/relationships/package" Target="../embeddings/_____Microsoft_Office_Excel102.xlsx"/></Relationships>
</file>

<file path=word/charts/_rels/chart106.xml.rels><?xml version="1.0" encoding="UTF-8" standalone="yes"?>
<Relationships xmlns="http://schemas.openxmlformats.org/package/2006/relationships"><Relationship Id="rId1" Type="http://schemas.openxmlformats.org/officeDocument/2006/relationships/package" Target="../embeddings/_____Microsoft_Office_Excel103.xlsx"/></Relationships>
</file>

<file path=word/charts/_rels/chart107.xml.rels><?xml version="1.0" encoding="UTF-8" standalone="yes"?>
<Relationships xmlns="http://schemas.openxmlformats.org/package/2006/relationships"><Relationship Id="rId1" Type="http://schemas.openxmlformats.org/officeDocument/2006/relationships/package" Target="../embeddings/_____Microsoft_Office_Excel104.xlsx"/></Relationships>
</file>

<file path=word/charts/_rels/chart108.xml.rels><?xml version="1.0" encoding="UTF-8" standalone="yes"?>
<Relationships xmlns="http://schemas.openxmlformats.org/package/2006/relationships"><Relationship Id="rId1" Type="http://schemas.openxmlformats.org/officeDocument/2006/relationships/package" Target="../embeddings/_____Microsoft_Office_Excel105.xlsx"/></Relationships>
</file>

<file path=word/charts/_rels/chart109.xml.rels><?xml version="1.0" encoding="UTF-8" standalone="yes"?>
<Relationships xmlns="http://schemas.openxmlformats.org/package/2006/relationships"><Relationship Id="rId1" Type="http://schemas.openxmlformats.org/officeDocument/2006/relationships/package" Target="../embeddings/_____Microsoft_Office_Excel10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10.xml.rels><?xml version="1.0" encoding="UTF-8" standalone="yes"?>
<Relationships xmlns="http://schemas.openxmlformats.org/package/2006/relationships"><Relationship Id="rId1" Type="http://schemas.openxmlformats.org/officeDocument/2006/relationships/package" Target="../embeddings/_____Microsoft_Office_Excel107.xlsx"/></Relationships>
</file>

<file path=word/charts/_rels/chart111.xml.rels><?xml version="1.0" encoding="UTF-8" standalone="yes"?>
<Relationships xmlns="http://schemas.openxmlformats.org/package/2006/relationships"><Relationship Id="rId1" Type="http://schemas.openxmlformats.org/officeDocument/2006/relationships/package" Target="../embeddings/_____Microsoft_Office_Excel108.xlsx"/></Relationships>
</file>

<file path=word/charts/_rels/chart112.xml.rels><?xml version="1.0" encoding="UTF-8" standalone="yes"?>
<Relationships xmlns="http://schemas.openxmlformats.org/package/2006/relationships"><Relationship Id="rId1" Type="http://schemas.openxmlformats.org/officeDocument/2006/relationships/package" Target="../embeddings/_____Microsoft_Office_Excel109.xlsx"/></Relationships>
</file>

<file path=word/charts/_rels/chart113.xml.rels><?xml version="1.0" encoding="UTF-8" standalone="yes"?>
<Relationships xmlns="http://schemas.openxmlformats.org/package/2006/relationships"><Relationship Id="rId1" Type="http://schemas.openxmlformats.org/officeDocument/2006/relationships/package" Target="../embeddings/_____Microsoft_Office_Excel110.xlsx"/></Relationships>
</file>

<file path=word/charts/_rels/chart114.xml.rels><?xml version="1.0" encoding="UTF-8" standalone="yes"?>
<Relationships xmlns="http://schemas.openxmlformats.org/package/2006/relationships"><Relationship Id="rId1" Type="http://schemas.openxmlformats.org/officeDocument/2006/relationships/package" Target="../embeddings/_____Microsoft_Office_Excel111.xlsx"/></Relationships>
</file>

<file path=word/charts/_rels/chart115.xml.rels><?xml version="1.0" encoding="UTF-8" standalone="yes"?>
<Relationships xmlns="http://schemas.openxmlformats.org/package/2006/relationships"><Relationship Id="rId1" Type="http://schemas.openxmlformats.org/officeDocument/2006/relationships/package" Target="../embeddings/_____Microsoft_Office_Excel112.xlsx"/></Relationships>
</file>

<file path=word/charts/_rels/chart116.xml.rels><?xml version="1.0" encoding="UTF-8" standalone="yes"?>
<Relationships xmlns="http://schemas.openxmlformats.org/package/2006/relationships"><Relationship Id="rId1" Type="http://schemas.openxmlformats.org/officeDocument/2006/relationships/package" Target="../embeddings/_____Microsoft_Office_Excel113.xlsx"/></Relationships>
</file>

<file path=word/charts/_rels/chart117.xml.rels><?xml version="1.0" encoding="UTF-8" standalone="yes"?>
<Relationships xmlns="http://schemas.openxmlformats.org/package/2006/relationships"><Relationship Id="rId1" Type="http://schemas.openxmlformats.org/officeDocument/2006/relationships/package" Target="../embeddings/_____Microsoft_Office_Excel114.xlsx"/></Relationships>
</file>

<file path=word/charts/_rels/chart118.xml.rels><?xml version="1.0" encoding="UTF-8" standalone="yes"?>
<Relationships xmlns="http://schemas.openxmlformats.org/package/2006/relationships"><Relationship Id="rId1" Type="http://schemas.openxmlformats.org/officeDocument/2006/relationships/package" Target="../embeddings/_____Microsoft_Office_Excel115.xlsx"/></Relationships>
</file>

<file path=word/charts/_rels/chart119.xml.rels><?xml version="1.0" encoding="UTF-8" standalone="yes"?>
<Relationships xmlns="http://schemas.openxmlformats.org/package/2006/relationships"><Relationship Id="rId1" Type="http://schemas.openxmlformats.org/officeDocument/2006/relationships/package" Target="../embeddings/_____Microsoft_Office_Excel116.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20.xml.rels><?xml version="1.0" encoding="UTF-8" standalone="yes"?>
<Relationships xmlns="http://schemas.openxmlformats.org/package/2006/relationships"><Relationship Id="rId1" Type="http://schemas.openxmlformats.org/officeDocument/2006/relationships/package" Target="../embeddings/_____Microsoft_Office_Excel117.xlsx"/></Relationships>
</file>

<file path=word/charts/_rels/chart121.xml.rels><?xml version="1.0" encoding="UTF-8" standalone="yes"?>
<Relationships xmlns="http://schemas.openxmlformats.org/package/2006/relationships"><Relationship Id="rId1" Type="http://schemas.openxmlformats.org/officeDocument/2006/relationships/package" Target="../embeddings/_____Microsoft_Office_Excel118.xlsx"/></Relationships>
</file>

<file path=word/charts/_rels/chart122.xml.rels><?xml version="1.0" encoding="UTF-8" standalone="yes"?>
<Relationships xmlns="http://schemas.openxmlformats.org/package/2006/relationships"><Relationship Id="rId1" Type="http://schemas.openxmlformats.org/officeDocument/2006/relationships/package" Target="../embeddings/_____Microsoft_Office_Excel119.xlsx"/></Relationships>
</file>

<file path=word/charts/_rels/chart123.xml.rels><?xml version="1.0" encoding="UTF-8" standalone="yes"?>
<Relationships xmlns="http://schemas.openxmlformats.org/package/2006/relationships"><Relationship Id="rId1" Type="http://schemas.openxmlformats.org/officeDocument/2006/relationships/package" Target="../embeddings/_____Microsoft_Office_Excel120.xlsx"/></Relationships>
</file>

<file path=word/charts/_rels/chart124.xml.rels><?xml version="1.0" encoding="UTF-8" standalone="yes"?>
<Relationships xmlns="http://schemas.openxmlformats.org/package/2006/relationships"><Relationship Id="rId1" Type="http://schemas.openxmlformats.org/officeDocument/2006/relationships/package" Target="../embeddings/_____Microsoft_Office_Excel121.xlsx"/></Relationships>
</file>

<file path=word/charts/_rels/chart125.xml.rels><?xml version="1.0" encoding="UTF-8" standalone="yes"?>
<Relationships xmlns="http://schemas.openxmlformats.org/package/2006/relationships"><Relationship Id="rId1" Type="http://schemas.openxmlformats.org/officeDocument/2006/relationships/package" Target="../embeddings/_____Microsoft_Office_Excel122.xlsx"/></Relationships>
</file>

<file path=word/charts/_rels/chart126.xml.rels><?xml version="1.0" encoding="UTF-8" standalone="yes"?>
<Relationships xmlns="http://schemas.openxmlformats.org/package/2006/relationships"><Relationship Id="rId1" Type="http://schemas.openxmlformats.org/officeDocument/2006/relationships/package" Target="../embeddings/_____Microsoft_Office_Excel123.xlsx"/></Relationships>
</file>

<file path=word/charts/_rels/chart127.xml.rels><?xml version="1.0" encoding="UTF-8" standalone="yes"?>
<Relationships xmlns="http://schemas.openxmlformats.org/package/2006/relationships"><Relationship Id="rId1" Type="http://schemas.openxmlformats.org/officeDocument/2006/relationships/package" Target="../embeddings/_____Microsoft_Office_Excel124.xlsx"/></Relationships>
</file>

<file path=word/charts/_rels/chart128.xml.rels><?xml version="1.0" encoding="UTF-8" standalone="yes"?>
<Relationships xmlns="http://schemas.openxmlformats.org/package/2006/relationships"><Relationship Id="rId1" Type="http://schemas.openxmlformats.org/officeDocument/2006/relationships/package" Target="../embeddings/_____Microsoft_Office_Excel125.xlsx"/></Relationships>
</file>

<file path=word/charts/_rels/chart129.xml.rels><?xml version="1.0" encoding="UTF-8" standalone="yes"?>
<Relationships xmlns="http://schemas.openxmlformats.org/package/2006/relationships"><Relationship Id="rId1" Type="http://schemas.openxmlformats.org/officeDocument/2006/relationships/package" Target="../embeddings/_____Microsoft_Office_Excel126.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30.xml.rels><?xml version="1.0" encoding="UTF-8" standalone="yes"?>
<Relationships xmlns="http://schemas.openxmlformats.org/package/2006/relationships"><Relationship Id="rId1" Type="http://schemas.openxmlformats.org/officeDocument/2006/relationships/package" Target="../embeddings/_____Microsoft_Office_Excel127.xlsx"/></Relationships>
</file>

<file path=word/charts/_rels/chart131.xml.rels><?xml version="1.0" encoding="UTF-8" standalone="yes"?>
<Relationships xmlns="http://schemas.openxmlformats.org/package/2006/relationships"><Relationship Id="rId1" Type="http://schemas.openxmlformats.org/officeDocument/2006/relationships/package" Target="../embeddings/_____Microsoft_Office_Excel128.xlsx"/></Relationships>
</file>

<file path=word/charts/_rels/chart132.xml.rels><?xml version="1.0" encoding="UTF-8" standalone="yes"?>
<Relationships xmlns="http://schemas.openxmlformats.org/package/2006/relationships"><Relationship Id="rId1" Type="http://schemas.openxmlformats.org/officeDocument/2006/relationships/package" Target="../embeddings/_____Microsoft_Office_Excel129.xlsx"/></Relationships>
</file>

<file path=word/charts/_rels/chart133.xml.rels><?xml version="1.0" encoding="UTF-8" standalone="yes"?>
<Relationships xmlns="http://schemas.openxmlformats.org/package/2006/relationships"><Relationship Id="rId1" Type="http://schemas.openxmlformats.org/officeDocument/2006/relationships/package" Target="../embeddings/_____Microsoft_Office_Excel130.xlsx"/></Relationships>
</file>

<file path=word/charts/_rels/chart134.xml.rels><?xml version="1.0" encoding="UTF-8" standalone="yes"?>
<Relationships xmlns="http://schemas.openxmlformats.org/package/2006/relationships"><Relationship Id="rId1" Type="http://schemas.openxmlformats.org/officeDocument/2006/relationships/package" Target="../embeddings/_____Microsoft_Office_Excel131.xlsx"/></Relationships>
</file>

<file path=word/charts/_rels/chart135.xml.rels><?xml version="1.0" encoding="UTF-8" standalone="yes"?>
<Relationships xmlns="http://schemas.openxmlformats.org/package/2006/relationships"><Relationship Id="rId1" Type="http://schemas.openxmlformats.org/officeDocument/2006/relationships/package" Target="../embeddings/_____Microsoft_Office_Excel132.xlsx"/></Relationships>
</file>

<file path=word/charts/_rels/chart136.xml.rels><?xml version="1.0" encoding="UTF-8" standalone="yes"?>
<Relationships xmlns="http://schemas.openxmlformats.org/package/2006/relationships"><Relationship Id="rId1" Type="http://schemas.openxmlformats.org/officeDocument/2006/relationships/package" Target="../embeddings/_____Microsoft_Office_Excel133.xlsx"/></Relationships>
</file>

<file path=word/charts/_rels/chart137.xml.rels><?xml version="1.0" encoding="UTF-8" standalone="yes"?>
<Relationships xmlns="http://schemas.openxmlformats.org/package/2006/relationships"><Relationship Id="rId1" Type="http://schemas.openxmlformats.org/officeDocument/2006/relationships/package" Target="../embeddings/_____Microsoft_Office_Excel134.xlsx"/></Relationships>
</file>

<file path=word/charts/_rels/chart138.xml.rels><?xml version="1.0" encoding="UTF-8" standalone="yes"?>
<Relationships xmlns="http://schemas.openxmlformats.org/package/2006/relationships"><Relationship Id="rId1" Type="http://schemas.openxmlformats.org/officeDocument/2006/relationships/package" Target="../embeddings/_____Microsoft_Office_Excel135.xlsx"/></Relationships>
</file>

<file path=word/charts/_rels/chart139.xml.rels><?xml version="1.0" encoding="UTF-8" standalone="yes"?>
<Relationships xmlns="http://schemas.openxmlformats.org/package/2006/relationships"><Relationship Id="rId1" Type="http://schemas.openxmlformats.org/officeDocument/2006/relationships/package" Target="../embeddings/_____Microsoft_Office_Excel136.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40.xml.rels><?xml version="1.0" encoding="UTF-8" standalone="yes"?>
<Relationships xmlns="http://schemas.openxmlformats.org/package/2006/relationships"><Relationship Id="rId1" Type="http://schemas.openxmlformats.org/officeDocument/2006/relationships/package" Target="../embeddings/_____Microsoft_Office_Excel137.xlsx"/></Relationships>
</file>

<file path=word/charts/_rels/chart141.xml.rels><?xml version="1.0" encoding="UTF-8" standalone="yes"?>
<Relationships xmlns="http://schemas.openxmlformats.org/package/2006/relationships"><Relationship Id="rId1" Type="http://schemas.openxmlformats.org/officeDocument/2006/relationships/package" Target="../embeddings/_____Microsoft_Office_Excel138.xlsx"/></Relationships>
</file>

<file path=word/charts/_rels/chart142.xml.rels><?xml version="1.0" encoding="UTF-8" standalone="yes"?>
<Relationships xmlns="http://schemas.openxmlformats.org/package/2006/relationships"><Relationship Id="rId1" Type="http://schemas.openxmlformats.org/officeDocument/2006/relationships/package" Target="../embeddings/_____Microsoft_Office_Excel139.xlsx"/></Relationships>
</file>

<file path=word/charts/_rels/chart143.xml.rels><?xml version="1.0" encoding="UTF-8" standalone="yes"?>
<Relationships xmlns="http://schemas.openxmlformats.org/package/2006/relationships"><Relationship Id="rId1" Type="http://schemas.openxmlformats.org/officeDocument/2006/relationships/oleObject" Target="file:///\\msk_tsod-fs01\work$\&#1044;&#1050;&#1059;&#1080;&#1042;&#1040;\&#1054;&#1090;&#1076;&#1077;&#1083;%20IR\&#1048;&#1085;&#1089;&#1072;&#1081;&#1076;&#1077;&#1088;&#1099;\&#1050;&#1086;&#1087;&#1080;&#1103;%20&#1044;&#1080;&#1085;&#1072;&#1084;&#1080;&#1082;&#1072;%20+%20&#1085;&#1086;&#1074;&#1086;&#1089;&#1090;&#1080;_&#1075;&#1086;&#1076;2013%20(&#1040;&#1074;&#1090;&#1086;&#1089;&#1086;&#1093;&#1088;&#1072;&#1085;&#1077;&#1085;&#1085;&#1099;&#1081;)_1.xlsx" TargetMode="External"/></Relationships>
</file>

<file path=word/charts/_rels/chart144.xml.rels><?xml version="1.0" encoding="UTF-8" standalone="yes"?>
<Relationships xmlns="http://schemas.openxmlformats.org/package/2006/relationships"><Relationship Id="rId1" Type="http://schemas.openxmlformats.org/officeDocument/2006/relationships/package" Target="../embeddings/_____Microsoft_Office_Excel140.xlsx"/></Relationships>
</file>

<file path=word/charts/_rels/chart145.xml.rels><?xml version="1.0" encoding="UTF-8" standalone="yes"?>
<Relationships xmlns="http://schemas.openxmlformats.org/package/2006/relationships"><Relationship Id="rId1" Type="http://schemas.openxmlformats.org/officeDocument/2006/relationships/package" Target="../embeddings/_____Microsoft_Office_Excel141.xlsx"/></Relationships>
</file>

<file path=word/charts/_rels/chart146.xml.rels><?xml version="1.0" encoding="UTF-8" standalone="yes"?>
<Relationships xmlns="http://schemas.openxmlformats.org/package/2006/relationships"><Relationship Id="rId1" Type="http://schemas.openxmlformats.org/officeDocument/2006/relationships/package" Target="../embeddings/_____Microsoft_Office_Excel142.xlsx"/></Relationships>
</file>

<file path=word/charts/_rels/chart147.xml.rels><?xml version="1.0" encoding="UTF-8" standalone="yes"?>
<Relationships xmlns="http://schemas.openxmlformats.org/package/2006/relationships"><Relationship Id="rId1" Type="http://schemas.openxmlformats.org/officeDocument/2006/relationships/package" Target="../embeddings/_____Microsoft_Office_Excel143.xlsx"/></Relationships>
</file>

<file path=word/charts/_rels/chart148.xml.rels><?xml version="1.0" encoding="UTF-8" standalone="yes"?>
<Relationships xmlns="http://schemas.openxmlformats.org/package/2006/relationships"><Relationship Id="rId1" Type="http://schemas.openxmlformats.org/officeDocument/2006/relationships/package" Target="../embeddings/_____Microsoft_Office_Excel144.xlsx"/></Relationships>
</file>

<file path=word/charts/_rels/chart149.xml.rels><?xml version="1.0" encoding="UTF-8" standalone="yes"?>
<Relationships xmlns="http://schemas.openxmlformats.org/package/2006/relationships"><Relationship Id="rId1" Type="http://schemas.openxmlformats.org/officeDocument/2006/relationships/package" Target="../embeddings/_____Microsoft_Office_Excel145.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50.xml.rels><?xml version="1.0" encoding="UTF-8" standalone="yes"?>
<Relationships xmlns="http://schemas.openxmlformats.org/package/2006/relationships"><Relationship Id="rId1" Type="http://schemas.openxmlformats.org/officeDocument/2006/relationships/package" Target="../embeddings/_____Microsoft_Office_Excel146.xlsx"/></Relationships>
</file>

<file path=word/charts/_rels/chart151.xml.rels><?xml version="1.0" encoding="UTF-8" standalone="yes"?>
<Relationships xmlns="http://schemas.openxmlformats.org/package/2006/relationships"><Relationship Id="rId1" Type="http://schemas.openxmlformats.org/officeDocument/2006/relationships/package" Target="../embeddings/_____Microsoft_Office_Excel147.xlsx"/></Relationships>
</file>

<file path=word/charts/_rels/chart152.xml.rels><?xml version="1.0" encoding="UTF-8" standalone="yes"?>
<Relationships xmlns="http://schemas.openxmlformats.org/package/2006/relationships"><Relationship Id="rId1" Type="http://schemas.openxmlformats.org/officeDocument/2006/relationships/package" Target="../embeddings/_____Microsoft_Office_Excel148.xlsx"/></Relationships>
</file>

<file path=word/charts/_rels/chart153.xml.rels><?xml version="1.0" encoding="UTF-8" standalone="yes"?>
<Relationships xmlns="http://schemas.openxmlformats.org/package/2006/relationships"><Relationship Id="rId1" Type="http://schemas.openxmlformats.org/officeDocument/2006/relationships/package" Target="../embeddings/_____Microsoft_Office_Excel149.xlsx"/></Relationships>
</file>

<file path=word/charts/_rels/chart154.xml.rels><?xml version="1.0" encoding="UTF-8" standalone="yes"?>
<Relationships xmlns="http://schemas.openxmlformats.org/package/2006/relationships"><Relationship Id="rId2" Type="http://schemas.openxmlformats.org/officeDocument/2006/relationships/package" Target="../embeddings/_____Microsoft_Office_Excel150.xlsx"/><Relationship Id="rId1" Type="http://schemas.openxmlformats.org/officeDocument/2006/relationships/themeOverride" Target="../theme/themeOverride11.xml"/></Relationships>
</file>

<file path=word/charts/_rels/chart155.xml.rels><?xml version="1.0" encoding="UTF-8" standalone="yes"?>
<Relationships xmlns="http://schemas.openxmlformats.org/package/2006/relationships"><Relationship Id="rId2" Type="http://schemas.openxmlformats.org/officeDocument/2006/relationships/package" Target="../embeddings/_____Microsoft_Office_Excel151.xlsx"/><Relationship Id="rId1" Type="http://schemas.openxmlformats.org/officeDocument/2006/relationships/themeOverride" Target="../theme/themeOverride12.xml"/></Relationships>
</file>

<file path=word/charts/_rels/chart156.xml.rels><?xml version="1.0" encoding="UTF-8" standalone="yes"?>
<Relationships xmlns="http://schemas.openxmlformats.org/package/2006/relationships"><Relationship Id="rId1" Type="http://schemas.openxmlformats.org/officeDocument/2006/relationships/package" Target="../embeddings/_____Microsoft_Office_Excel152.xlsx"/></Relationships>
</file>

<file path=word/charts/_rels/chart157.xml.rels><?xml version="1.0" encoding="UTF-8" standalone="yes"?>
<Relationships xmlns="http://schemas.openxmlformats.org/package/2006/relationships"><Relationship Id="rId1" Type="http://schemas.openxmlformats.org/officeDocument/2006/relationships/package" Target="../embeddings/_____Microsoft_Office_Excel153.xlsx"/></Relationships>
</file>

<file path=word/charts/_rels/chart158.xml.rels><?xml version="1.0" encoding="UTF-8" standalone="yes"?>
<Relationships xmlns="http://schemas.openxmlformats.org/package/2006/relationships"><Relationship Id="rId2" Type="http://schemas.openxmlformats.org/officeDocument/2006/relationships/package" Target="../embeddings/_____Microsoft_Office_Excel154.xlsx"/><Relationship Id="rId1" Type="http://schemas.openxmlformats.org/officeDocument/2006/relationships/themeOverride" Target="../theme/themeOverride13.xml"/></Relationships>
</file>

<file path=word/charts/_rels/chart159.xml.rels><?xml version="1.0" encoding="UTF-8" standalone="yes"?>
<Relationships xmlns="http://schemas.openxmlformats.org/package/2006/relationships"><Relationship Id="rId2" Type="http://schemas.openxmlformats.org/officeDocument/2006/relationships/package" Target="../embeddings/_____Microsoft_Office_Excel15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60.xml.rels><?xml version="1.0" encoding="UTF-8" standalone="yes"?>
<Relationships xmlns="http://schemas.openxmlformats.org/package/2006/relationships"><Relationship Id="rId1" Type="http://schemas.openxmlformats.org/officeDocument/2006/relationships/package" Target="../embeddings/_____Microsoft_Office_Excel156.xlsx"/></Relationships>
</file>

<file path=word/charts/_rels/chart161.xml.rels><?xml version="1.0" encoding="UTF-8" standalone="yes"?>
<Relationships xmlns="http://schemas.openxmlformats.org/package/2006/relationships"><Relationship Id="rId1" Type="http://schemas.openxmlformats.org/officeDocument/2006/relationships/package" Target="../embeddings/_____Microsoft_Office_Excel157.xlsx"/></Relationships>
</file>

<file path=word/charts/_rels/chart162.xml.rels><?xml version="1.0" encoding="UTF-8" standalone="yes"?>
<Relationships xmlns="http://schemas.openxmlformats.org/package/2006/relationships"><Relationship Id="rId1" Type="http://schemas.openxmlformats.org/officeDocument/2006/relationships/package" Target="../embeddings/_____Microsoft_Office_Excel158.xlsx"/></Relationships>
</file>

<file path=word/charts/_rels/chart163.xml.rels><?xml version="1.0" encoding="UTF-8" standalone="yes"?>
<Relationships xmlns="http://schemas.openxmlformats.org/package/2006/relationships"><Relationship Id="rId1" Type="http://schemas.openxmlformats.org/officeDocument/2006/relationships/package" Target="../embeddings/_____Microsoft_Office_Excel159.xlsx"/></Relationships>
</file>

<file path=word/charts/_rels/chart164.xml.rels><?xml version="1.0" encoding="UTF-8" standalone="yes"?>
<Relationships xmlns="http://schemas.openxmlformats.org/package/2006/relationships"><Relationship Id="rId1" Type="http://schemas.openxmlformats.org/officeDocument/2006/relationships/package" Target="../embeddings/_____Microsoft_Office_Excel160.xlsx"/></Relationships>
</file>

<file path=word/charts/_rels/chart165.xml.rels><?xml version="1.0" encoding="UTF-8" standalone="yes"?>
<Relationships xmlns="http://schemas.openxmlformats.org/package/2006/relationships"><Relationship Id="rId1" Type="http://schemas.openxmlformats.org/officeDocument/2006/relationships/package" Target="../embeddings/_____Microsoft_Office_Excel161.xlsx"/></Relationships>
</file>

<file path=word/charts/_rels/chart166.xml.rels><?xml version="1.0" encoding="UTF-8" standalone="yes"?>
<Relationships xmlns="http://schemas.openxmlformats.org/package/2006/relationships"><Relationship Id="rId1" Type="http://schemas.openxmlformats.org/officeDocument/2006/relationships/package" Target="../embeddings/_____Microsoft_Office_Excel162.xlsx"/></Relationships>
</file>

<file path=word/charts/_rels/chart167.xml.rels><?xml version="1.0" encoding="UTF-8" standalone="yes"?>
<Relationships xmlns="http://schemas.openxmlformats.org/package/2006/relationships"><Relationship Id="rId1" Type="http://schemas.openxmlformats.org/officeDocument/2006/relationships/package" Target="../embeddings/_____Microsoft_Office_Excel163.xlsx"/></Relationships>
</file>

<file path=word/charts/_rels/chart168.xml.rels><?xml version="1.0" encoding="UTF-8" standalone="yes"?>
<Relationships xmlns="http://schemas.openxmlformats.org/package/2006/relationships"><Relationship Id="rId1" Type="http://schemas.openxmlformats.org/officeDocument/2006/relationships/package" Target="../embeddings/_____Microsoft_Office_Excel164.xlsx"/></Relationships>
</file>

<file path=word/charts/_rels/chart169.xml.rels><?xml version="1.0" encoding="UTF-8" standalone="yes"?>
<Relationships xmlns="http://schemas.openxmlformats.org/package/2006/relationships"><Relationship Id="rId1" Type="http://schemas.openxmlformats.org/officeDocument/2006/relationships/package" Target="../embeddings/_____Microsoft_Office_Excel165.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xml"/></Relationships>
</file>

<file path=word/charts/_rels/chart170.xml.rels><?xml version="1.0" encoding="UTF-8" standalone="yes"?>
<Relationships xmlns="http://schemas.openxmlformats.org/package/2006/relationships"><Relationship Id="rId2" Type="http://schemas.openxmlformats.org/officeDocument/2006/relationships/package" Target="../embeddings/_____Microsoft_Office_Excel166.xlsx"/><Relationship Id="rId1" Type="http://schemas.openxmlformats.org/officeDocument/2006/relationships/themeOverride" Target="../theme/themeOverride15.xml"/></Relationships>
</file>

<file path=word/charts/_rels/chart171.xml.rels><?xml version="1.0" encoding="UTF-8" standalone="yes"?>
<Relationships xmlns="http://schemas.openxmlformats.org/package/2006/relationships"><Relationship Id="rId1" Type="http://schemas.openxmlformats.org/officeDocument/2006/relationships/package" Target="../embeddings/_____Microsoft_Office_Excel167.xlsx"/></Relationships>
</file>

<file path=word/charts/_rels/chart172.xml.rels><?xml version="1.0" encoding="UTF-8" standalone="yes"?>
<Relationships xmlns="http://schemas.openxmlformats.org/package/2006/relationships"><Relationship Id="rId2" Type="http://schemas.openxmlformats.org/officeDocument/2006/relationships/package" Target="../embeddings/_____Microsoft_Office_Excel168.xlsx"/><Relationship Id="rId1" Type="http://schemas.openxmlformats.org/officeDocument/2006/relationships/themeOverride" Target="../theme/themeOverride16.xml"/></Relationships>
</file>

<file path=word/charts/_rels/chart173.xml.rels><?xml version="1.0" encoding="UTF-8" standalone="yes"?>
<Relationships xmlns="http://schemas.openxmlformats.org/package/2006/relationships"><Relationship Id="rId2" Type="http://schemas.openxmlformats.org/officeDocument/2006/relationships/package" Target="../embeddings/_____Microsoft_Office_Excel169.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2.xml"/></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9.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10.xml"/></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Office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Office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Office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Office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Office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Office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Office_Excel51.xlsx"/></Relationships>
</file>

<file path=word/charts/_rels/chart5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Office_Excel52.xlsx"/></Relationships>
</file>

<file path=word/charts/_rels/chart5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Office_Excel53.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Office_Excel54.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Office_Excel55.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Office_Excel56.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Office_Excel57.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Office_Excel58.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Office_Excel59.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Office_Excel60.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Office_Excel61.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Office_Excel62.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Office_Excel63.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Office_Excel64.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Office_Excel65.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Office_Excel66.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Office_Excel6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Office_Excel68.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_____Microsoft_Office_Excel69.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_____Microsoft_Office_Excel70.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_____Microsoft_Office_Excel71.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_____Microsoft_Office_Excel72.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_____Microsoft_Office_Excel73.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_____Microsoft_Office_Excel74.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_____Microsoft_Office_Excel75.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_____Microsoft_Office_Excel76.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_____Microsoft_Office_Excel7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_____Microsoft_Office_Excel78.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_____Microsoft_Office_Excel79.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_____Microsoft_Office_Excel80.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_____Microsoft_Office_Excel81.xlsx"/></Relationships>
</file>

<file path=word/charts/_rels/chart8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5.xml.rels><?xml version="1.0" encoding="UTF-8" standalone="yes"?>
<Relationships xmlns="http://schemas.openxmlformats.org/package/2006/relationships"><Relationship Id="rId1" Type="http://schemas.openxmlformats.org/officeDocument/2006/relationships/package" Target="../embeddings/_____Microsoft_Office_Excel82.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_____Microsoft_Office_Excel83.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_____Microsoft_Office_Excel84.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_____Microsoft_Office_Excel85.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_____Microsoft_Office_Excel8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_____Microsoft_Office_Excel87.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_____Microsoft_Office_Excel88.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_____Microsoft_Office_Excel89.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_____Microsoft_Office_Excel90.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_____Microsoft_Office_Excel91.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_____Microsoft_Office_Excel92.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_____Microsoft_Office_Excel93.xlsx"/></Relationships>
</file>

<file path=word/charts/_rels/chart97.xml.rels><?xml version="1.0" encoding="UTF-8" standalone="yes"?>
<Relationships xmlns="http://schemas.openxmlformats.org/package/2006/relationships"><Relationship Id="rId1" Type="http://schemas.openxmlformats.org/officeDocument/2006/relationships/package" Target="../embeddings/_____Microsoft_Office_Excel94.xlsx"/></Relationships>
</file>

<file path=word/charts/_rels/chart98.xml.rels><?xml version="1.0" encoding="UTF-8" standalone="yes"?>
<Relationships xmlns="http://schemas.openxmlformats.org/package/2006/relationships"><Relationship Id="rId1" Type="http://schemas.openxmlformats.org/officeDocument/2006/relationships/package" Target="../embeddings/_____Microsoft_Office_Excel95.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_____Microsoft_Office_Excel9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9931262355191435E-2"/>
          <c:y val="5.9284647225422087E-2"/>
          <c:w val="0.85139846947231967"/>
          <c:h val="0.64711639602408355"/>
        </c:manualLayout>
      </c:layout>
      <c:barChart>
        <c:barDir val="col"/>
        <c:grouping val="clustered"/>
        <c:ser>
          <c:idx val="0"/>
          <c:order val="0"/>
          <c:tx>
            <c:strRef>
              <c:f>Лист1!$B$1</c:f>
              <c:strCache>
                <c:ptCount val="1"/>
                <c:pt idx="0">
                  <c:v>EBITDA (по РСБУ)</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39578</c:v>
                </c:pt>
                <c:pt idx="1">
                  <c:v>41212</c:v>
                </c:pt>
                <c:pt idx="2">
                  <c:v>36430</c:v>
                </c:pt>
              </c:numCache>
            </c:numRef>
          </c:val>
        </c:ser>
        <c:axId val="306835840"/>
        <c:axId val="306837376"/>
      </c:barChart>
      <c:lineChart>
        <c:grouping val="standard"/>
        <c:ser>
          <c:idx val="1"/>
          <c:order val="1"/>
          <c:tx>
            <c:strRef>
              <c:f>Лист1!$C$1</c:f>
              <c:strCache>
                <c:ptCount val="1"/>
                <c:pt idx="0">
                  <c:v>Рентабельность по EBITDA</c:v>
                </c:pt>
              </c:strCache>
            </c:strRef>
          </c:tx>
          <c:marker>
            <c:symbol val="circle"/>
            <c:size val="7"/>
          </c:marker>
          <c:dLbls>
            <c:dLblPos val="t"/>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0.31280000000000191</c:v>
                </c:pt>
                <c:pt idx="1">
                  <c:v>0.34920000000000051</c:v>
                </c:pt>
                <c:pt idx="2">
                  <c:v>0.29210000000000008</c:v>
                </c:pt>
              </c:numCache>
            </c:numRef>
          </c:val>
        </c:ser>
        <c:marker val="1"/>
        <c:axId val="307779072"/>
        <c:axId val="307777536"/>
      </c:lineChart>
      <c:catAx>
        <c:axId val="306835840"/>
        <c:scaling>
          <c:orientation val="minMax"/>
        </c:scaling>
        <c:axPos val="b"/>
        <c:numFmt formatCode="General" sourceLinked="1"/>
        <c:tickLblPos val="nextTo"/>
        <c:crossAx val="306837376"/>
        <c:crosses val="autoZero"/>
        <c:auto val="1"/>
        <c:lblAlgn val="ctr"/>
        <c:lblOffset val="100"/>
      </c:catAx>
      <c:valAx>
        <c:axId val="306837376"/>
        <c:scaling>
          <c:orientation val="minMax"/>
          <c:max val="95000"/>
          <c:min val="0"/>
        </c:scaling>
        <c:axPos val="l"/>
        <c:majorGridlines/>
        <c:title>
          <c:tx>
            <c:rich>
              <a:bodyPr rot="-5400000" vert="horz"/>
              <a:lstStyle/>
              <a:p>
                <a:pPr>
                  <a:defRPr/>
                </a:pPr>
                <a:r>
                  <a:rPr lang="ru-RU"/>
                  <a:t>млн руб.</a:t>
                </a:r>
              </a:p>
            </c:rich>
          </c:tx>
        </c:title>
        <c:numFmt formatCode="#,##0" sourceLinked="1"/>
        <c:tickLblPos val="nextTo"/>
        <c:txPr>
          <a:bodyPr/>
          <a:lstStyle/>
          <a:p>
            <a:pPr>
              <a:defRPr sz="100">
                <a:solidFill>
                  <a:schemeClr val="bg1"/>
                </a:solidFill>
              </a:defRPr>
            </a:pPr>
            <a:endParaRPr lang="ru-RU"/>
          </a:p>
        </c:txPr>
        <c:crossAx val="306835840"/>
        <c:crosses val="autoZero"/>
        <c:crossBetween val="between"/>
      </c:valAx>
      <c:valAx>
        <c:axId val="307777536"/>
        <c:scaling>
          <c:orientation val="minMax"/>
          <c:max val="0.5"/>
        </c:scaling>
        <c:axPos val="r"/>
        <c:numFmt formatCode="0%" sourceLinked="0"/>
        <c:tickLblPos val="nextTo"/>
        <c:txPr>
          <a:bodyPr/>
          <a:lstStyle/>
          <a:p>
            <a:pPr>
              <a:defRPr sz="100">
                <a:solidFill>
                  <a:schemeClr val="bg1"/>
                </a:solidFill>
              </a:defRPr>
            </a:pPr>
            <a:endParaRPr lang="ru-RU"/>
          </a:p>
        </c:txPr>
        <c:crossAx val="307779072"/>
        <c:crosses val="max"/>
        <c:crossBetween val="between"/>
      </c:valAx>
      <c:catAx>
        <c:axId val="307779072"/>
        <c:scaling>
          <c:orientation val="minMax"/>
        </c:scaling>
        <c:delete val="1"/>
        <c:axPos val="b"/>
        <c:numFmt formatCode="General" sourceLinked="1"/>
        <c:tickLblPos val="none"/>
        <c:crossAx val="307777536"/>
        <c:crosses val="autoZero"/>
        <c:auto val="1"/>
        <c:lblAlgn val="ctr"/>
        <c:lblOffset val="100"/>
      </c:catAx>
    </c:plotArea>
    <c:legend>
      <c:legendPos val="b"/>
      <c:layout>
        <c:manualLayout>
          <c:xMode val="edge"/>
          <c:yMode val="edge"/>
          <c:x val="1.0005976010081619E-2"/>
          <c:y val="0.84037295694739034"/>
          <c:w val="0.94997011994959513"/>
          <c:h val="0.12474481380744021"/>
        </c:manualLayout>
      </c:layout>
    </c:legend>
    <c:plotVisOnly val="1"/>
    <c:dispBlanksAs val="gap"/>
  </c:chart>
  <c:txPr>
    <a:bodyPr/>
    <a:lstStyle/>
    <a:p>
      <a:pPr>
        <a:defRPr sz="800"/>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Динамика энергопотребления в Московском регионе</a:t>
            </a:r>
          </a:p>
        </c:rich>
      </c:tx>
    </c:title>
    <c:plotArea>
      <c:layout/>
      <c:barChart>
        <c:barDir val="col"/>
        <c:grouping val="clustered"/>
        <c:ser>
          <c:idx val="0"/>
          <c:order val="0"/>
          <c:tx>
            <c:strRef>
              <c:f>Лист1!$B$1</c:f>
              <c:strCache>
                <c:ptCount val="1"/>
                <c:pt idx="0">
                  <c:v>Электропотребление</c:v>
                </c:pt>
              </c:strCache>
            </c:strRef>
          </c:tx>
          <c:dLbls>
            <c:showVal val="1"/>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Лист1!$B$2:$B$9</c:f>
              <c:numCache>
                <c:formatCode>0.00</c:formatCode>
                <c:ptCount val="8"/>
                <c:pt idx="0">
                  <c:v>98.22</c:v>
                </c:pt>
                <c:pt idx="1">
                  <c:v>100.92</c:v>
                </c:pt>
                <c:pt idx="2">
                  <c:v>103.4</c:v>
                </c:pt>
                <c:pt idx="3">
                  <c:v>106.26</c:v>
                </c:pt>
                <c:pt idx="4">
                  <c:v>109.02</c:v>
                </c:pt>
                <c:pt idx="5">
                  <c:v>111.26</c:v>
                </c:pt>
                <c:pt idx="6">
                  <c:v>113.48</c:v>
                </c:pt>
                <c:pt idx="7">
                  <c:v>115.77</c:v>
                </c:pt>
              </c:numCache>
            </c:numRef>
          </c:val>
        </c:ser>
        <c:axId val="69214592"/>
        <c:axId val="69216128"/>
      </c:barChart>
      <c:lineChart>
        <c:grouping val="standard"/>
        <c:ser>
          <c:idx val="1"/>
          <c:order val="1"/>
          <c:tx>
            <c:strRef>
              <c:f>Лист1!$C$1</c:f>
              <c:strCache>
                <c:ptCount val="1"/>
                <c:pt idx="0">
                  <c:v>Годовой темп прироста</c:v>
                </c:pt>
              </c:strCache>
            </c:strRef>
          </c:tx>
          <c:marker>
            <c:symbol val="circle"/>
            <c:size val="7"/>
          </c:marker>
          <c:dLbls>
            <c:spPr>
              <a:solidFill>
                <a:srgbClr val="C0504D"/>
              </a:solidFill>
            </c:spPr>
            <c:dLblPos val="ctr"/>
            <c:showVal val="1"/>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Лист1!$C$2:$C$9</c:f>
              <c:numCache>
                <c:formatCode>0.0%</c:formatCode>
                <c:ptCount val="8"/>
                <c:pt idx="0">
                  <c:v>5.0000000000000114E-3</c:v>
                </c:pt>
                <c:pt idx="1">
                  <c:v>2.7000000000000246E-2</c:v>
                </c:pt>
                <c:pt idx="2">
                  <c:v>2.5000000000000001E-2</c:v>
                </c:pt>
                <c:pt idx="3">
                  <c:v>2.8000000000000001E-2</c:v>
                </c:pt>
                <c:pt idx="4">
                  <c:v>2.5999999999999999E-2</c:v>
                </c:pt>
                <c:pt idx="5">
                  <c:v>2.1000000000000012E-2</c:v>
                </c:pt>
                <c:pt idx="6">
                  <c:v>2.0000000000000011E-2</c:v>
                </c:pt>
                <c:pt idx="7">
                  <c:v>2.0000000000000011E-2</c:v>
                </c:pt>
              </c:numCache>
            </c:numRef>
          </c:val>
        </c:ser>
        <c:marker val="1"/>
        <c:axId val="69223936"/>
        <c:axId val="69222400"/>
      </c:lineChart>
      <c:catAx>
        <c:axId val="69214592"/>
        <c:scaling>
          <c:orientation val="minMax"/>
        </c:scaling>
        <c:axPos val="b"/>
        <c:numFmt formatCode="General" sourceLinked="1"/>
        <c:tickLblPos val="nextTo"/>
        <c:crossAx val="69216128"/>
        <c:crosses val="autoZero"/>
        <c:auto val="1"/>
        <c:lblAlgn val="ctr"/>
        <c:lblOffset val="100"/>
      </c:catAx>
      <c:valAx>
        <c:axId val="69216128"/>
        <c:scaling>
          <c:orientation val="minMax"/>
        </c:scaling>
        <c:axPos val="l"/>
        <c:majorGridlines/>
        <c:title>
          <c:tx>
            <c:rich>
              <a:bodyPr rot="-5400000" vert="horz"/>
              <a:lstStyle/>
              <a:p>
                <a:pPr>
                  <a:defRPr/>
                </a:pPr>
                <a:r>
                  <a:rPr lang="ru-RU"/>
                  <a:t>млрд кВтч</a:t>
                </a:r>
              </a:p>
            </c:rich>
          </c:tx>
        </c:title>
        <c:numFmt formatCode="0.00" sourceLinked="1"/>
        <c:tickLblPos val="nextTo"/>
        <c:crossAx val="69214592"/>
        <c:crosses val="autoZero"/>
        <c:crossBetween val="between"/>
      </c:valAx>
      <c:valAx>
        <c:axId val="69222400"/>
        <c:scaling>
          <c:orientation val="minMax"/>
        </c:scaling>
        <c:axPos val="r"/>
        <c:numFmt formatCode="0.0%" sourceLinked="1"/>
        <c:tickLblPos val="nextTo"/>
        <c:crossAx val="69223936"/>
        <c:crosses val="max"/>
        <c:crossBetween val="between"/>
      </c:valAx>
      <c:catAx>
        <c:axId val="69223936"/>
        <c:scaling>
          <c:orientation val="minMax"/>
        </c:scaling>
        <c:delete val="1"/>
        <c:axPos val="b"/>
        <c:numFmt formatCode="General" sourceLinked="1"/>
        <c:tickLblPos val="none"/>
        <c:crossAx val="69222400"/>
        <c:crosses val="autoZero"/>
        <c:auto val="1"/>
        <c:lblAlgn val="ctr"/>
        <c:lblOffset val="100"/>
      </c:catAx>
    </c:plotArea>
    <c:legend>
      <c:legendPos val="b"/>
    </c:legend>
    <c:plotVisOnly val="1"/>
    <c:dispBlanksAs val="gap"/>
  </c:chart>
  <c:txPr>
    <a:bodyPr/>
    <a:lstStyle/>
    <a:p>
      <a:pPr>
        <a:defRPr sz="900"/>
      </a:pPr>
      <a:endParaRPr lang="ru-RU"/>
    </a:p>
  </c:txPr>
  <c:externalData r:id="rId1"/>
</c:chartSpace>
</file>

<file path=word/charts/chart10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ru-RU" sz="1100"/>
              <a:t>Основные параметры инвестиционной программы</a:t>
            </a:r>
          </a:p>
        </c:rich>
      </c:tx>
      <c:layout>
        <c:manualLayout>
          <c:xMode val="edge"/>
          <c:yMode val="edge"/>
          <c:x val="0.25381598620548901"/>
          <c:y val="2.6079571030073859E-2"/>
        </c:manualLayout>
      </c:layout>
    </c:title>
    <c:plotArea>
      <c:layout>
        <c:manualLayout>
          <c:layoutTarget val="inner"/>
          <c:xMode val="edge"/>
          <c:yMode val="edge"/>
          <c:x val="6.2952505792359975E-2"/>
          <c:y val="0.1571246606180266"/>
          <c:w val="0.93417761064937654"/>
          <c:h val="0.50095629669697961"/>
        </c:manualLayout>
      </c:layout>
      <c:barChart>
        <c:barDir val="col"/>
        <c:grouping val="clustered"/>
        <c:ser>
          <c:idx val="1"/>
          <c:order val="0"/>
          <c:tx>
            <c:strRef>
              <c:f>Лист1!$C$2</c:f>
              <c:strCache>
                <c:ptCount val="1"/>
                <c:pt idx="0">
                  <c:v>Столбец1</c:v>
                </c:pt>
              </c:strCache>
            </c:strRef>
          </c:tx>
          <c:dPt>
            <c:idx val="3"/>
            <c:spPr>
              <a:solidFill>
                <a:schemeClr val="accent2"/>
              </a:solidFill>
            </c:spPr>
          </c:dPt>
          <c:dPt>
            <c:idx val="4"/>
            <c:spPr>
              <a:solidFill>
                <a:srgbClr val="4F81BD"/>
              </a:solidFill>
            </c:spPr>
          </c:dPt>
          <c:dPt>
            <c:idx val="5"/>
            <c:spPr>
              <a:solidFill>
                <a:srgbClr val="4F81BD"/>
              </a:solidFill>
            </c:spPr>
          </c:dPt>
          <c:dPt>
            <c:idx val="6"/>
            <c:spPr>
              <a:solidFill>
                <a:schemeClr val="accent1"/>
              </a:solidFill>
            </c:spPr>
          </c:dPt>
          <c:dPt>
            <c:idx val="7"/>
            <c:spPr>
              <a:solidFill>
                <a:schemeClr val="accent1"/>
              </a:solidFill>
            </c:spPr>
          </c:dPt>
          <c:dPt>
            <c:idx val="8"/>
            <c:spPr>
              <a:solidFill>
                <a:srgbClr val="9BBB59"/>
              </a:solidFill>
            </c:spPr>
          </c:dPt>
          <c:dPt>
            <c:idx val="9"/>
            <c:spPr>
              <a:solidFill>
                <a:schemeClr val="accent3"/>
              </a:solidFill>
            </c:spPr>
          </c:dPt>
          <c:dPt>
            <c:idx val="10"/>
            <c:spPr>
              <a:solidFill>
                <a:schemeClr val="accent3"/>
              </a:solidFill>
            </c:spPr>
          </c:dPt>
          <c:dPt>
            <c:idx val="11"/>
            <c:spPr>
              <a:solidFill>
                <a:schemeClr val="accent3"/>
              </a:solidFill>
            </c:spPr>
          </c:dPt>
          <c:dPt>
            <c:idx val="12"/>
            <c:spPr>
              <a:solidFill>
                <a:srgbClr val="FFFF00"/>
              </a:solidFill>
            </c:spPr>
          </c:dPt>
          <c:dPt>
            <c:idx val="13"/>
            <c:spPr>
              <a:solidFill>
                <a:srgbClr val="FFFF00"/>
              </a:solidFill>
            </c:spPr>
          </c:dPt>
          <c:dPt>
            <c:idx val="14"/>
            <c:spPr>
              <a:solidFill>
                <a:srgbClr val="FFFF00"/>
              </a:solidFill>
            </c:spPr>
          </c:dPt>
          <c:dPt>
            <c:idx val="15"/>
            <c:spPr>
              <a:solidFill>
                <a:srgbClr val="FFFF00"/>
              </a:solidFill>
            </c:spPr>
          </c:dPt>
          <c:dPt>
            <c:idx val="16"/>
            <c:spPr>
              <a:solidFill>
                <a:srgbClr val="00B0F0"/>
              </a:solidFill>
            </c:spPr>
          </c:dPt>
          <c:dPt>
            <c:idx val="17"/>
            <c:spPr>
              <a:solidFill>
                <a:srgbClr val="00B0F0"/>
              </a:solidFill>
            </c:spPr>
          </c:dPt>
          <c:dPt>
            <c:idx val="18"/>
            <c:spPr>
              <a:solidFill>
                <a:srgbClr val="00B0F0"/>
              </a:solidFill>
            </c:spPr>
          </c:dPt>
          <c:dPt>
            <c:idx val="19"/>
            <c:spPr>
              <a:solidFill>
                <a:srgbClr val="00B0F0"/>
              </a:solidFill>
            </c:spPr>
          </c:dPt>
          <c:dLbls>
            <c:showVal val="1"/>
          </c:dLbls>
          <c:cat>
            <c:multiLvlStrRef>
              <c:f>Лист1!$A$3:$B$22</c:f>
              <c:multiLvlStrCache>
                <c:ptCount val="20"/>
                <c:lvl>
                  <c:pt idx="0">
                    <c:v>2014</c:v>
                  </c:pt>
                  <c:pt idx="1">
                    <c:v>2015</c:v>
                  </c:pt>
                  <c:pt idx="2">
                    <c:v>2016</c:v>
                  </c:pt>
                  <c:pt idx="3">
                    <c:v>2017</c:v>
                  </c:pt>
                  <c:pt idx="4">
                    <c:v>2014</c:v>
                  </c:pt>
                  <c:pt idx="5">
                    <c:v>2015</c:v>
                  </c:pt>
                  <c:pt idx="6">
                    <c:v>2016</c:v>
                  </c:pt>
                  <c:pt idx="7">
                    <c:v>2017</c:v>
                  </c:pt>
                  <c:pt idx="8">
                    <c:v>2014</c:v>
                  </c:pt>
                  <c:pt idx="9">
                    <c:v>2015</c:v>
                  </c:pt>
                  <c:pt idx="10">
                    <c:v>2016</c:v>
                  </c:pt>
                  <c:pt idx="11">
                    <c:v>2017</c:v>
                  </c:pt>
                  <c:pt idx="12">
                    <c:v>2014</c:v>
                  </c:pt>
                  <c:pt idx="13">
                    <c:v>2015</c:v>
                  </c:pt>
                  <c:pt idx="14">
                    <c:v>2016</c:v>
                  </c:pt>
                  <c:pt idx="15">
                    <c:v>2017</c:v>
                  </c:pt>
                  <c:pt idx="16">
                    <c:v>2014</c:v>
                  </c:pt>
                  <c:pt idx="17">
                    <c:v>2015</c:v>
                  </c:pt>
                  <c:pt idx="18">
                    <c:v>2016</c:v>
                  </c:pt>
                  <c:pt idx="19">
                    <c:v>2017</c:v>
                  </c:pt>
                </c:lvl>
                <c:lvl>
                  <c:pt idx="0">
                    <c:v>Капитальные вложения, 
млн руб. без НДС</c:v>
                  </c:pt>
                  <c:pt idx="4">
                    <c:v>Ввод основных фондов, 
млн руб. без НДС</c:v>
                  </c:pt>
                  <c:pt idx="8">
                    <c:v>Финансирование, 
млн руб. с НДС</c:v>
                  </c:pt>
                  <c:pt idx="12">
                    <c:v>Ввод трансформаторной мощности, 
МВА</c:v>
                  </c:pt>
                  <c:pt idx="16">
                    <c:v>Ввод линий электропередач, 
км</c:v>
                  </c:pt>
                </c:lvl>
              </c:multiLvlStrCache>
            </c:multiLvlStrRef>
          </c:cat>
          <c:val>
            <c:numRef>
              <c:f>Лист1!$C$3:$C$22</c:f>
              <c:numCache>
                <c:formatCode>#,##0</c:formatCode>
                <c:ptCount val="20"/>
                <c:pt idx="0">
                  <c:v>54794</c:v>
                </c:pt>
                <c:pt idx="1">
                  <c:v>41066</c:v>
                </c:pt>
                <c:pt idx="2">
                  <c:v>32794</c:v>
                </c:pt>
                <c:pt idx="3">
                  <c:v>32440</c:v>
                </c:pt>
                <c:pt idx="4">
                  <c:v>55764</c:v>
                </c:pt>
                <c:pt idx="5">
                  <c:v>44915</c:v>
                </c:pt>
                <c:pt idx="6">
                  <c:v>35164</c:v>
                </c:pt>
                <c:pt idx="7">
                  <c:v>37769</c:v>
                </c:pt>
                <c:pt idx="8">
                  <c:v>56760</c:v>
                </c:pt>
                <c:pt idx="9">
                  <c:v>47261</c:v>
                </c:pt>
                <c:pt idx="10">
                  <c:v>38697</c:v>
                </c:pt>
                <c:pt idx="11">
                  <c:v>41528</c:v>
                </c:pt>
                <c:pt idx="12">
                  <c:v>5884</c:v>
                </c:pt>
                <c:pt idx="13">
                  <c:v>4233</c:v>
                </c:pt>
                <c:pt idx="14">
                  <c:v>3980</c:v>
                </c:pt>
                <c:pt idx="15">
                  <c:v>2485</c:v>
                </c:pt>
                <c:pt idx="16">
                  <c:v>2362</c:v>
                </c:pt>
                <c:pt idx="17">
                  <c:v>1704</c:v>
                </c:pt>
                <c:pt idx="18">
                  <c:v>1310</c:v>
                </c:pt>
                <c:pt idx="19">
                  <c:v>1235</c:v>
                </c:pt>
              </c:numCache>
            </c:numRef>
          </c:val>
        </c:ser>
        <c:axId val="292636160"/>
        <c:axId val="292637696"/>
      </c:barChart>
      <c:catAx>
        <c:axId val="292636160"/>
        <c:scaling>
          <c:orientation val="minMax"/>
        </c:scaling>
        <c:axPos val="b"/>
        <c:tickLblPos val="nextTo"/>
        <c:crossAx val="292637696"/>
        <c:crossesAt val="-50"/>
        <c:auto val="1"/>
        <c:lblAlgn val="ctr"/>
        <c:lblOffset val="100"/>
      </c:catAx>
      <c:valAx>
        <c:axId val="292637696"/>
        <c:scaling>
          <c:orientation val="minMax"/>
          <c:min val="0"/>
        </c:scaling>
        <c:axPos val="l"/>
        <c:majorGridlines/>
        <c:numFmt formatCode="#,##0" sourceLinked="1"/>
        <c:tickLblPos val="nextTo"/>
        <c:crossAx val="292636160"/>
        <c:crosses val="autoZero"/>
        <c:crossBetween val="between"/>
      </c:valAx>
    </c:plotArea>
    <c:plotVisOnly val="1"/>
    <c:dispBlanksAs val="gap"/>
  </c:chart>
  <c:txPr>
    <a:bodyPr/>
    <a:lstStyle/>
    <a:p>
      <a:pPr>
        <a:defRPr sz="900"/>
      </a:pPr>
      <a:endParaRPr lang="ru-RU"/>
    </a:p>
  </c:txPr>
  <c:externalData r:id="rId1"/>
</c:chartSpace>
</file>

<file path=word/charts/chart10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Сравнение финансирования капитальных вложений согласно проекту инвестиционной программы 2014-2018 гг. и утвержденной инвестиционной программы 2012-2017 гг.</a:t>
            </a:r>
          </a:p>
        </c:rich>
      </c:tx>
    </c:title>
    <c:plotArea>
      <c:layout/>
      <c:barChart>
        <c:barDir val="col"/>
        <c:grouping val="clustered"/>
        <c:ser>
          <c:idx val="0"/>
          <c:order val="0"/>
          <c:tx>
            <c:strRef>
              <c:f>Лист1!$B$1</c:f>
              <c:strCache>
                <c:ptCount val="1"/>
                <c:pt idx="0">
                  <c:v>Проект инвестиционной программы 2014-2018 гг.</c:v>
                </c:pt>
              </c:strCache>
            </c:strRef>
          </c:tx>
          <c:dLbls>
            <c:showVal val="1"/>
          </c:dLbls>
          <c:cat>
            <c:numRef>
              <c:f>Лист1!$A$2:$A$5</c:f>
              <c:numCache>
                <c:formatCode>General</c:formatCode>
                <c:ptCount val="4"/>
                <c:pt idx="0">
                  <c:v>2014</c:v>
                </c:pt>
                <c:pt idx="1">
                  <c:v>2015</c:v>
                </c:pt>
                <c:pt idx="2">
                  <c:v>2016</c:v>
                </c:pt>
                <c:pt idx="3">
                  <c:v>2017</c:v>
                </c:pt>
              </c:numCache>
            </c:numRef>
          </c:cat>
          <c:val>
            <c:numRef>
              <c:f>Лист1!$B$2:$B$5</c:f>
              <c:numCache>
                <c:formatCode>#,##0</c:formatCode>
                <c:ptCount val="4"/>
                <c:pt idx="0">
                  <c:v>42906</c:v>
                </c:pt>
                <c:pt idx="1">
                  <c:v>40877</c:v>
                </c:pt>
                <c:pt idx="2">
                  <c:v>36315</c:v>
                </c:pt>
                <c:pt idx="3">
                  <c:v>34085</c:v>
                </c:pt>
              </c:numCache>
            </c:numRef>
          </c:val>
        </c:ser>
        <c:ser>
          <c:idx val="1"/>
          <c:order val="1"/>
          <c:tx>
            <c:strRef>
              <c:f>Лист1!$C$1</c:f>
              <c:strCache>
                <c:ptCount val="1"/>
                <c:pt idx="0">
                  <c:v>Утвержденная инвестиционная программа 2012-2017 гг.</c:v>
                </c:pt>
              </c:strCache>
            </c:strRef>
          </c:tx>
          <c:dLbls>
            <c:showVal val="1"/>
          </c:dLbls>
          <c:cat>
            <c:numRef>
              <c:f>Лист1!$A$2:$A$5</c:f>
              <c:numCache>
                <c:formatCode>General</c:formatCode>
                <c:ptCount val="4"/>
                <c:pt idx="0">
                  <c:v>2014</c:v>
                </c:pt>
                <c:pt idx="1">
                  <c:v>2015</c:v>
                </c:pt>
                <c:pt idx="2">
                  <c:v>2016</c:v>
                </c:pt>
                <c:pt idx="3">
                  <c:v>2017</c:v>
                </c:pt>
              </c:numCache>
            </c:numRef>
          </c:cat>
          <c:val>
            <c:numRef>
              <c:f>Лист1!$C$2:$C$5</c:f>
              <c:numCache>
                <c:formatCode>#,##0</c:formatCode>
                <c:ptCount val="4"/>
                <c:pt idx="0">
                  <c:v>56760</c:v>
                </c:pt>
                <c:pt idx="1">
                  <c:v>47261</c:v>
                </c:pt>
                <c:pt idx="2">
                  <c:v>38698</c:v>
                </c:pt>
                <c:pt idx="3" formatCode="General">
                  <c:v>41527</c:v>
                </c:pt>
              </c:numCache>
            </c:numRef>
          </c:val>
        </c:ser>
        <c:axId val="292651008"/>
        <c:axId val="292652544"/>
      </c:barChart>
      <c:catAx>
        <c:axId val="292651008"/>
        <c:scaling>
          <c:orientation val="minMax"/>
        </c:scaling>
        <c:axPos val="b"/>
        <c:numFmt formatCode="General" sourceLinked="1"/>
        <c:tickLblPos val="nextTo"/>
        <c:crossAx val="292652544"/>
        <c:crosses val="autoZero"/>
        <c:auto val="1"/>
        <c:lblAlgn val="ctr"/>
        <c:lblOffset val="100"/>
      </c:catAx>
      <c:valAx>
        <c:axId val="292652544"/>
        <c:scaling>
          <c:orientation val="minMax"/>
          <c:max val="65000"/>
          <c:min val="0"/>
        </c:scaling>
        <c:axPos val="l"/>
        <c:majorGridlines/>
        <c:title>
          <c:tx>
            <c:rich>
              <a:bodyPr rot="-5400000" vert="horz"/>
              <a:lstStyle/>
              <a:p>
                <a:pPr>
                  <a:defRPr/>
                </a:pPr>
                <a:r>
                  <a:rPr lang="ru-RU"/>
                  <a:t>млн руб. с НДС</a:t>
                </a:r>
              </a:p>
            </c:rich>
          </c:tx>
        </c:title>
        <c:numFmt formatCode="#,##0" sourceLinked="1"/>
        <c:tickLblPos val="nextTo"/>
        <c:crossAx val="292651008"/>
        <c:crosses val="autoZero"/>
        <c:crossBetween val="between"/>
      </c:valAx>
    </c:plotArea>
    <c:legend>
      <c:legendPos val="b"/>
    </c:legend>
    <c:plotVisOnly val="1"/>
    <c:dispBlanksAs val="gap"/>
  </c:chart>
  <c:txPr>
    <a:bodyPr/>
    <a:lstStyle/>
    <a:p>
      <a:pPr>
        <a:defRPr sz="900"/>
      </a:pPr>
      <a:endParaRPr lang="ru-RU"/>
    </a:p>
  </c:txPr>
  <c:externalData r:id="rId1"/>
</c:chartSpace>
</file>

<file path=word/charts/chart10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Средний  тариф "котловой" </a:t>
            </a:r>
            <a:r>
              <a:rPr lang="ru-RU" sz="1080" b="1" i="0" u="none" strike="noStrike" baseline="0"/>
              <a:t>на услуги по передаче электроэнергии</a:t>
            </a:r>
            <a:r>
              <a:rPr lang="ru-RU"/>
              <a:t> </a:t>
            </a:r>
          </a:p>
        </c:rich>
      </c:tx>
    </c:title>
    <c:plotArea>
      <c:layout>
        <c:manualLayout>
          <c:layoutTarget val="inner"/>
          <c:xMode val="edge"/>
          <c:yMode val="edge"/>
          <c:x val="0.18251826013438527"/>
          <c:y val="0.1883890231937384"/>
          <c:w val="0.71817346147276151"/>
          <c:h val="0.5066057832233356"/>
        </c:manualLayout>
      </c:layout>
      <c:barChart>
        <c:barDir val="col"/>
        <c:grouping val="clustered"/>
        <c:ser>
          <c:idx val="0"/>
          <c:order val="0"/>
          <c:tx>
            <c:strRef>
              <c:f>Лист1!$B$1</c:f>
              <c:strCache>
                <c:ptCount val="1"/>
                <c:pt idx="0">
                  <c:v>НВВ "котловая", млн руб. </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108099</c:v>
                </c:pt>
                <c:pt idx="1">
                  <c:v>99555</c:v>
                </c:pt>
                <c:pt idx="2">
                  <c:v>111460</c:v>
                </c:pt>
              </c:numCache>
            </c:numRef>
          </c:val>
        </c:ser>
        <c:ser>
          <c:idx val="1"/>
          <c:order val="1"/>
          <c:tx>
            <c:strRef>
              <c:f>Лист1!$C$1</c:f>
              <c:strCache>
                <c:ptCount val="1"/>
                <c:pt idx="0">
                  <c:v>Полезный отпуск "котловой" с учетом потребителей ГН, млн кВтч</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72457</c:v>
                </c:pt>
                <c:pt idx="1">
                  <c:v>66315</c:v>
                </c:pt>
                <c:pt idx="2">
                  <c:v>69627</c:v>
                </c:pt>
              </c:numCache>
            </c:numRef>
          </c:val>
        </c:ser>
        <c:axId val="292734464"/>
        <c:axId val="292736000"/>
      </c:barChart>
      <c:lineChart>
        <c:grouping val="standard"/>
        <c:ser>
          <c:idx val="2"/>
          <c:order val="2"/>
          <c:tx>
            <c:strRef>
              <c:f>Лист1!$D$1</c:f>
              <c:strCache>
                <c:ptCount val="1"/>
                <c:pt idx="0">
                  <c:v>Средний тариф "котловой", коп/кВтч</c:v>
                </c:pt>
              </c:strCache>
            </c:strRef>
          </c:tx>
          <c:marker>
            <c:symbol val="circle"/>
            <c:size val="7"/>
          </c:marker>
          <c:dLbls>
            <c:numFmt formatCode="#,##0.00" sourceLinked="0"/>
            <c:dLblPos val="b"/>
            <c:showVal val="1"/>
          </c:dLbls>
          <c:cat>
            <c:numRef>
              <c:f>Лист1!$A$2:$A$4</c:f>
              <c:numCache>
                <c:formatCode>General</c:formatCode>
                <c:ptCount val="3"/>
                <c:pt idx="0">
                  <c:v>2011</c:v>
                </c:pt>
                <c:pt idx="1">
                  <c:v>2012</c:v>
                </c:pt>
                <c:pt idx="2">
                  <c:v>2013</c:v>
                </c:pt>
              </c:numCache>
            </c:numRef>
          </c:cat>
          <c:val>
            <c:numRef>
              <c:f>Лист1!$D$2:$D$4</c:f>
              <c:numCache>
                <c:formatCode>0</c:formatCode>
                <c:ptCount val="3"/>
                <c:pt idx="0">
                  <c:v>149.19055439778072</c:v>
                </c:pt>
                <c:pt idx="1">
                  <c:v>150.1244062429322</c:v>
                </c:pt>
                <c:pt idx="2">
                  <c:v>160.08157754894003</c:v>
                </c:pt>
              </c:numCache>
            </c:numRef>
          </c:val>
        </c:ser>
        <c:marker val="1"/>
        <c:axId val="292747520"/>
        <c:axId val="292745984"/>
      </c:lineChart>
      <c:catAx>
        <c:axId val="292734464"/>
        <c:scaling>
          <c:orientation val="minMax"/>
        </c:scaling>
        <c:axPos val="b"/>
        <c:numFmt formatCode="General" sourceLinked="1"/>
        <c:tickLblPos val="nextTo"/>
        <c:crossAx val="292736000"/>
        <c:crosses val="autoZero"/>
        <c:auto val="1"/>
        <c:lblAlgn val="ctr"/>
        <c:lblOffset val="100"/>
      </c:catAx>
      <c:valAx>
        <c:axId val="292736000"/>
        <c:scaling>
          <c:orientation val="minMax"/>
          <c:max val="120000"/>
        </c:scaling>
        <c:axPos val="l"/>
        <c:majorGridlines/>
        <c:numFmt formatCode="#,##0" sourceLinked="1"/>
        <c:tickLblPos val="nextTo"/>
        <c:crossAx val="292734464"/>
        <c:crosses val="autoZero"/>
        <c:crossBetween val="between"/>
      </c:valAx>
      <c:valAx>
        <c:axId val="292745984"/>
        <c:scaling>
          <c:orientation val="minMax"/>
          <c:max val="310"/>
          <c:min val="0"/>
        </c:scaling>
        <c:axPos val="r"/>
        <c:numFmt formatCode="0" sourceLinked="0"/>
        <c:tickLblPos val="nextTo"/>
        <c:crossAx val="292747520"/>
        <c:crosses val="max"/>
        <c:crossBetween val="between"/>
      </c:valAx>
      <c:catAx>
        <c:axId val="292747520"/>
        <c:scaling>
          <c:orientation val="minMax"/>
        </c:scaling>
        <c:delete val="1"/>
        <c:axPos val="b"/>
        <c:numFmt formatCode="General" sourceLinked="1"/>
        <c:tickLblPos val="none"/>
        <c:crossAx val="292745984"/>
        <c:crosses val="autoZero"/>
        <c:auto val="1"/>
        <c:lblAlgn val="ctr"/>
        <c:lblOffset val="100"/>
      </c:catAx>
    </c:plotArea>
    <c:legend>
      <c:legendPos val="b"/>
      <c:layout>
        <c:manualLayout>
          <c:xMode val="edge"/>
          <c:yMode val="edge"/>
          <c:x val="0"/>
          <c:y val="0.76024265084823195"/>
          <c:w val="0.99664351851853106"/>
          <c:h val="0.23626147762632851"/>
        </c:manualLayout>
      </c:layout>
    </c:legend>
    <c:plotVisOnly val="1"/>
    <c:dispBlanksAs val="gap"/>
  </c:chart>
  <c:txPr>
    <a:bodyPr/>
    <a:lstStyle/>
    <a:p>
      <a:pPr>
        <a:defRPr sz="900"/>
      </a:pPr>
      <a:endParaRPr lang="ru-RU"/>
    </a:p>
  </c:txPr>
  <c:externalData r:id="rId1"/>
</c:chartSpace>
</file>

<file path=word/charts/chart10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Средний  тариф </a:t>
            </a:r>
            <a:r>
              <a:rPr lang="ru-RU" sz="1080" b="1" i="0" u="none" strike="noStrike" kern="1200" baseline="0">
                <a:solidFill>
                  <a:sysClr val="windowText" lastClr="000000"/>
                </a:solidFill>
                <a:latin typeface="+mn-lt"/>
                <a:ea typeface="+mn-ea"/>
                <a:cs typeface="+mn-cs"/>
              </a:rPr>
              <a:t>ОАО </a:t>
            </a:r>
            <a:r>
              <a:rPr lang="ru-RU" baseline="0"/>
              <a:t>"МОЭСК" на услуги по передачи электроэнергии</a:t>
            </a:r>
            <a:endParaRPr lang="ru-RU"/>
          </a:p>
        </c:rich>
      </c:tx>
    </c:title>
    <c:plotArea>
      <c:layout/>
      <c:barChart>
        <c:barDir val="col"/>
        <c:grouping val="clustered"/>
        <c:ser>
          <c:idx val="0"/>
          <c:order val="0"/>
          <c:tx>
            <c:strRef>
              <c:f>Лист1!$B$1</c:f>
              <c:strCache>
                <c:ptCount val="1"/>
                <c:pt idx="0">
                  <c:v>НВВ ОАО "МОЭСК", млн руб. </c:v>
                </c:pt>
              </c:strCache>
            </c:strRef>
          </c:tx>
          <c:dLbls>
            <c:dLbl>
              <c:idx val="0"/>
              <c:layout>
                <c:manualLayout>
                  <c:x val="-1.2661955045739408E-2"/>
                  <c:y val="-2.8439154285451056E-2"/>
                </c:manualLayout>
              </c:layout>
              <c:showVal val="1"/>
            </c:dLbl>
            <c:dLbl>
              <c:idx val="1"/>
              <c:layout>
                <c:manualLayout>
                  <c:x val="-2.5323910091478472E-2"/>
                  <c:y val="-3.2501890611944542E-2"/>
                </c:manualLayout>
              </c:layout>
              <c:showVal val="1"/>
            </c:dLbl>
            <c:dLbl>
              <c:idx val="2"/>
              <c:layout>
                <c:manualLayout>
                  <c:x val="-2.5323910091478552E-2"/>
                  <c:y val="-1.2188208979478978E-2"/>
                </c:manualLayout>
              </c:layout>
              <c:showVal val="1"/>
            </c:dLbl>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76576</c:v>
                </c:pt>
                <c:pt idx="1">
                  <c:v>76040</c:v>
                </c:pt>
                <c:pt idx="2">
                  <c:v>81910</c:v>
                </c:pt>
              </c:numCache>
            </c:numRef>
          </c:val>
        </c:ser>
        <c:ser>
          <c:idx val="1"/>
          <c:order val="1"/>
          <c:tx>
            <c:strRef>
              <c:f>Лист1!$C$1</c:f>
              <c:strCache>
                <c:ptCount val="1"/>
                <c:pt idx="0">
                  <c:v>Полезный отпуск ОАО "МОЭСК", млн кВтч</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73133</c:v>
                </c:pt>
                <c:pt idx="1">
                  <c:v>77644</c:v>
                </c:pt>
                <c:pt idx="2">
                  <c:v>78172</c:v>
                </c:pt>
              </c:numCache>
            </c:numRef>
          </c:val>
        </c:ser>
        <c:axId val="292775808"/>
        <c:axId val="292777344"/>
      </c:barChart>
      <c:lineChart>
        <c:grouping val="standard"/>
        <c:ser>
          <c:idx val="2"/>
          <c:order val="2"/>
          <c:tx>
            <c:strRef>
              <c:f>Лист1!$D$1</c:f>
              <c:strCache>
                <c:ptCount val="1"/>
                <c:pt idx="0">
                  <c:v>Средний тариф ОАО "МОЭСК", коп/кВтч</c:v>
                </c:pt>
              </c:strCache>
            </c:strRef>
          </c:tx>
          <c:marker>
            <c:symbol val="circle"/>
            <c:size val="7"/>
          </c:marker>
          <c:dLbls>
            <c:dLblPos val="b"/>
            <c:showVal val="1"/>
          </c:dLbls>
          <c:cat>
            <c:numRef>
              <c:f>Лист1!$A$2:$A$4</c:f>
              <c:numCache>
                <c:formatCode>General</c:formatCode>
                <c:ptCount val="3"/>
                <c:pt idx="0">
                  <c:v>2011</c:v>
                </c:pt>
                <c:pt idx="1">
                  <c:v>2012</c:v>
                </c:pt>
                <c:pt idx="2">
                  <c:v>2013</c:v>
                </c:pt>
              </c:numCache>
            </c:numRef>
          </c:cat>
          <c:val>
            <c:numRef>
              <c:f>Лист1!$D$2:$D$4</c:f>
              <c:numCache>
                <c:formatCode>#,##0.00</c:formatCode>
                <c:ptCount val="3"/>
                <c:pt idx="0">
                  <c:v>104.70786102033352</c:v>
                </c:pt>
                <c:pt idx="1">
                  <c:v>97.934161042707927</c:v>
                </c:pt>
                <c:pt idx="2">
                  <c:v>104.78176329120477</c:v>
                </c:pt>
              </c:numCache>
            </c:numRef>
          </c:val>
        </c:ser>
        <c:marker val="1"/>
        <c:axId val="292792960"/>
        <c:axId val="292791424"/>
      </c:lineChart>
      <c:catAx>
        <c:axId val="292775808"/>
        <c:scaling>
          <c:orientation val="minMax"/>
        </c:scaling>
        <c:axPos val="b"/>
        <c:numFmt formatCode="General" sourceLinked="1"/>
        <c:tickLblPos val="nextTo"/>
        <c:crossAx val="292777344"/>
        <c:crosses val="autoZero"/>
        <c:auto val="1"/>
        <c:lblAlgn val="ctr"/>
        <c:lblOffset val="100"/>
      </c:catAx>
      <c:valAx>
        <c:axId val="292777344"/>
        <c:scaling>
          <c:orientation val="minMax"/>
          <c:max val="120000"/>
        </c:scaling>
        <c:axPos val="l"/>
        <c:majorGridlines/>
        <c:numFmt formatCode="#,##0" sourceLinked="1"/>
        <c:tickLblPos val="nextTo"/>
        <c:crossAx val="292775808"/>
        <c:crosses val="autoZero"/>
        <c:crossBetween val="between"/>
      </c:valAx>
      <c:valAx>
        <c:axId val="292791424"/>
        <c:scaling>
          <c:orientation val="minMax"/>
          <c:max val="310"/>
          <c:min val="0"/>
        </c:scaling>
        <c:axPos val="r"/>
        <c:numFmt formatCode="0" sourceLinked="0"/>
        <c:tickLblPos val="nextTo"/>
        <c:crossAx val="292792960"/>
        <c:crosses val="max"/>
        <c:crossBetween val="between"/>
      </c:valAx>
      <c:catAx>
        <c:axId val="292792960"/>
        <c:scaling>
          <c:orientation val="minMax"/>
        </c:scaling>
        <c:delete val="1"/>
        <c:axPos val="b"/>
        <c:numFmt formatCode="General" sourceLinked="1"/>
        <c:tickLblPos val="none"/>
        <c:crossAx val="292791424"/>
        <c:crosses val="autoZero"/>
        <c:auto val="1"/>
        <c:lblAlgn val="ctr"/>
        <c:lblOffset val="100"/>
      </c:catAx>
    </c:plotArea>
    <c:legend>
      <c:legendPos val="b"/>
      <c:layout>
        <c:manualLayout>
          <c:xMode val="edge"/>
          <c:yMode val="edge"/>
          <c:x val="0"/>
          <c:y val="0.78868170227197865"/>
          <c:w val="0.99664351851853106"/>
          <c:h val="0.18750875868269676"/>
        </c:manualLayout>
      </c:layout>
    </c:legend>
    <c:plotVisOnly val="1"/>
    <c:dispBlanksAs val="gap"/>
  </c:chart>
  <c:txPr>
    <a:bodyPr/>
    <a:lstStyle/>
    <a:p>
      <a:pPr>
        <a:defRPr sz="900"/>
      </a:pPr>
      <a:endParaRPr lang="ru-RU"/>
    </a:p>
  </c:txPr>
  <c:externalData r:id="rId1"/>
</c:chartSpace>
</file>

<file path=word/charts/chart10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НВВ "котловой" </a:t>
            </a:r>
            <a:r>
              <a:rPr lang="ru-RU" sz="1080" b="1" i="0" u="none" strike="noStrike" baseline="0"/>
              <a:t>на услуги по передаче электроэнергии </a:t>
            </a:r>
            <a:endParaRPr lang="ru-RU"/>
          </a:p>
        </c:rich>
      </c:tx>
    </c:title>
    <c:plotArea>
      <c:layout/>
      <c:barChart>
        <c:barDir val="col"/>
        <c:grouping val="stacked"/>
        <c:ser>
          <c:idx val="3"/>
          <c:order val="0"/>
          <c:tx>
            <c:strRef>
              <c:f>Лист1!$E$1</c:f>
              <c:strCache>
                <c:ptCount val="1"/>
                <c:pt idx="0">
                  <c:v>НВВ ОАО "МОЭСК"</c:v>
                </c:pt>
              </c:strCache>
            </c:strRef>
          </c:tx>
          <c:dLbls>
            <c:showVal val="1"/>
          </c:dLbls>
          <c:cat>
            <c:numRef>
              <c:f>Лист1!$A$2:$A$4</c:f>
              <c:numCache>
                <c:formatCode>General</c:formatCode>
                <c:ptCount val="3"/>
                <c:pt idx="0">
                  <c:v>2011</c:v>
                </c:pt>
                <c:pt idx="1">
                  <c:v>2012</c:v>
                </c:pt>
                <c:pt idx="2">
                  <c:v>2013</c:v>
                </c:pt>
              </c:numCache>
            </c:numRef>
          </c:cat>
          <c:val>
            <c:numRef>
              <c:f>Лист1!$E$2:$E$4</c:f>
              <c:numCache>
                <c:formatCode>0.0%</c:formatCode>
                <c:ptCount val="3"/>
                <c:pt idx="0">
                  <c:v>0.46032803263674982</c:v>
                </c:pt>
                <c:pt idx="1">
                  <c:v>0.49259203455376427</c:v>
                </c:pt>
                <c:pt idx="2">
                  <c:v>0.47265386685806582</c:v>
                </c:pt>
              </c:numCache>
            </c:numRef>
          </c:val>
        </c:ser>
        <c:ser>
          <c:idx val="1"/>
          <c:order val="1"/>
          <c:tx>
            <c:strRef>
              <c:f>Лист1!$C$1</c:f>
              <c:strCache>
                <c:ptCount val="1"/>
                <c:pt idx="0">
                  <c:v>Расходы на ТСО</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0.0%</c:formatCode>
                <c:ptCount val="3"/>
                <c:pt idx="0">
                  <c:v>0.29161231833782336</c:v>
                </c:pt>
                <c:pt idx="1">
                  <c:v>0.23620109487218324</c:v>
                </c:pt>
                <c:pt idx="2">
                  <c:v>0.26511753095280832</c:v>
                </c:pt>
              </c:numCache>
            </c:numRef>
          </c:val>
        </c:ser>
        <c:ser>
          <c:idx val="0"/>
          <c:order val="2"/>
          <c:tx>
            <c:strRef>
              <c:f>Лист1!$B$1</c:f>
              <c:strCache>
                <c:ptCount val="1"/>
                <c:pt idx="0">
                  <c:v>Расходы на ОАО «ФСК ЕЭС»</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0.0%</c:formatCode>
                <c:ptCount val="3"/>
                <c:pt idx="0">
                  <c:v>0.11347005985254258</c:v>
                </c:pt>
                <c:pt idx="1">
                  <c:v>0.13584450806087089</c:v>
                </c:pt>
                <c:pt idx="2">
                  <c:v>0.13821998923380591</c:v>
                </c:pt>
              </c:numCache>
            </c:numRef>
          </c:val>
        </c:ser>
        <c:ser>
          <c:idx val="2"/>
          <c:order val="3"/>
          <c:tx>
            <c:strRef>
              <c:f>Лист1!$D$1</c:f>
              <c:strCache>
                <c:ptCount val="1"/>
                <c:pt idx="0">
                  <c:v>Расходы на оплату потерь</c:v>
                </c:pt>
              </c:strCache>
            </c:strRef>
          </c:tx>
          <c:dLbls>
            <c:showVal val="1"/>
          </c:dLbls>
          <c:cat>
            <c:numRef>
              <c:f>Лист1!$A$2:$A$4</c:f>
              <c:numCache>
                <c:formatCode>General</c:formatCode>
                <c:ptCount val="3"/>
                <c:pt idx="0">
                  <c:v>2011</c:v>
                </c:pt>
                <c:pt idx="1">
                  <c:v>2012</c:v>
                </c:pt>
                <c:pt idx="2">
                  <c:v>2013</c:v>
                </c:pt>
              </c:numCache>
            </c:numRef>
          </c:cat>
          <c:val>
            <c:numRef>
              <c:f>Лист1!$D$2:$D$4</c:f>
              <c:numCache>
                <c:formatCode>0.0%</c:formatCode>
                <c:ptCount val="3"/>
                <c:pt idx="0">
                  <c:v>0.13458958917288791</c:v>
                </c:pt>
                <c:pt idx="1">
                  <c:v>0.1353623625131837</c:v>
                </c:pt>
                <c:pt idx="2">
                  <c:v>0.12400861295532042</c:v>
                </c:pt>
              </c:numCache>
            </c:numRef>
          </c:val>
        </c:ser>
        <c:overlap val="100"/>
        <c:axId val="293054720"/>
        <c:axId val="293068800"/>
      </c:barChart>
      <c:catAx>
        <c:axId val="293054720"/>
        <c:scaling>
          <c:orientation val="minMax"/>
        </c:scaling>
        <c:axPos val="b"/>
        <c:numFmt formatCode="General" sourceLinked="1"/>
        <c:tickLblPos val="nextTo"/>
        <c:crossAx val="293068800"/>
        <c:crosses val="autoZero"/>
        <c:auto val="1"/>
        <c:lblAlgn val="ctr"/>
        <c:lblOffset val="100"/>
      </c:catAx>
      <c:valAx>
        <c:axId val="293068800"/>
        <c:scaling>
          <c:orientation val="minMax"/>
          <c:max val="1"/>
        </c:scaling>
        <c:axPos val="l"/>
        <c:majorGridlines/>
        <c:numFmt formatCode="0%" sourceLinked="0"/>
        <c:tickLblPos val="nextTo"/>
        <c:crossAx val="293054720"/>
        <c:crosses val="autoZero"/>
        <c:crossBetween val="between"/>
      </c:valAx>
    </c:plotArea>
    <c:legend>
      <c:legendPos val="b"/>
    </c:legend>
    <c:plotVisOnly val="1"/>
    <c:dispBlanksAs val="gap"/>
  </c:chart>
  <c:txPr>
    <a:bodyPr/>
    <a:lstStyle/>
    <a:p>
      <a:pPr>
        <a:defRPr sz="900"/>
      </a:pPr>
      <a:endParaRPr lang="ru-RU"/>
    </a:p>
  </c:txPr>
  <c:externalData r:id="rId1"/>
</c:chartSpace>
</file>

<file path=word/charts/chart10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НВВ "котловой" </a:t>
            </a:r>
            <a:r>
              <a:rPr lang="ru-RU" sz="1080" b="1" i="0" u="none" strike="noStrike" baseline="0"/>
              <a:t>на услуги по передаче электроэнергии </a:t>
            </a:r>
            <a:endParaRPr lang="ru-RU"/>
          </a:p>
        </c:rich>
      </c:tx>
    </c:title>
    <c:plotArea>
      <c:layout>
        <c:manualLayout>
          <c:layoutTarget val="inner"/>
          <c:xMode val="edge"/>
          <c:yMode val="edge"/>
          <c:x val="0.26686815016480803"/>
          <c:y val="0.18400793650793901"/>
          <c:w val="0.6824840296522332"/>
          <c:h val="0.43821928508936703"/>
        </c:manualLayout>
      </c:layout>
      <c:barChart>
        <c:barDir val="col"/>
        <c:grouping val="stacked"/>
        <c:ser>
          <c:idx val="3"/>
          <c:order val="0"/>
          <c:tx>
            <c:strRef>
              <c:f>Лист1!$E$1</c:f>
              <c:strCache>
                <c:ptCount val="1"/>
                <c:pt idx="0">
                  <c:v>НВВ ОАО "МОЭСК"</c:v>
                </c:pt>
              </c:strCache>
            </c:strRef>
          </c:tx>
          <c:dLbls>
            <c:showVal val="1"/>
          </c:dLbls>
          <c:cat>
            <c:numRef>
              <c:f>Лист1!$A$2:$A$4</c:f>
              <c:numCache>
                <c:formatCode>General</c:formatCode>
                <c:ptCount val="3"/>
                <c:pt idx="0">
                  <c:v>2011</c:v>
                </c:pt>
                <c:pt idx="1">
                  <c:v>2012</c:v>
                </c:pt>
                <c:pt idx="2">
                  <c:v>2013</c:v>
                </c:pt>
              </c:numCache>
            </c:numRef>
          </c:cat>
          <c:val>
            <c:numRef>
              <c:f>Лист1!$E$2:$E$4</c:f>
              <c:numCache>
                <c:formatCode>#,##0</c:formatCode>
                <c:ptCount val="3"/>
                <c:pt idx="0">
                  <c:v>49761</c:v>
                </c:pt>
                <c:pt idx="1">
                  <c:v>49040</c:v>
                </c:pt>
                <c:pt idx="2">
                  <c:v>52682</c:v>
                </c:pt>
              </c:numCache>
            </c:numRef>
          </c:val>
        </c:ser>
        <c:ser>
          <c:idx val="1"/>
          <c:order val="1"/>
          <c:tx>
            <c:strRef>
              <c:f>Лист1!$C$1</c:f>
              <c:strCache>
                <c:ptCount val="1"/>
                <c:pt idx="0">
                  <c:v>Расходы на ТСО</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31523</c:v>
                </c:pt>
                <c:pt idx="1">
                  <c:v>23515</c:v>
                </c:pt>
                <c:pt idx="2">
                  <c:v>29550</c:v>
                </c:pt>
              </c:numCache>
            </c:numRef>
          </c:val>
        </c:ser>
        <c:ser>
          <c:idx val="0"/>
          <c:order val="2"/>
          <c:tx>
            <c:strRef>
              <c:f>Лист1!$B$1</c:f>
              <c:strCache>
                <c:ptCount val="1"/>
                <c:pt idx="0">
                  <c:v>Расходы на ОАО «ФСК ЕЭС»</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12266</c:v>
                </c:pt>
                <c:pt idx="1">
                  <c:v>13524</c:v>
                </c:pt>
                <c:pt idx="2">
                  <c:v>15406</c:v>
                </c:pt>
              </c:numCache>
            </c:numRef>
          </c:val>
        </c:ser>
        <c:ser>
          <c:idx val="2"/>
          <c:order val="3"/>
          <c:tx>
            <c:strRef>
              <c:f>Лист1!$D$1</c:f>
              <c:strCache>
                <c:ptCount val="1"/>
                <c:pt idx="0">
                  <c:v>Расходы на оплату потерь</c:v>
                </c:pt>
              </c:strCache>
            </c:strRef>
          </c:tx>
          <c:dLbls>
            <c:showVal val="1"/>
          </c:dLbls>
          <c:cat>
            <c:numRef>
              <c:f>Лист1!$A$2:$A$4</c:f>
              <c:numCache>
                <c:formatCode>General</c:formatCode>
                <c:ptCount val="3"/>
                <c:pt idx="0">
                  <c:v>2011</c:v>
                </c:pt>
                <c:pt idx="1">
                  <c:v>2012</c:v>
                </c:pt>
                <c:pt idx="2">
                  <c:v>2013</c:v>
                </c:pt>
              </c:numCache>
            </c:numRef>
          </c:cat>
          <c:val>
            <c:numRef>
              <c:f>Лист1!$D$2:$D$4</c:f>
              <c:numCache>
                <c:formatCode>#,##0</c:formatCode>
                <c:ptCount val="3"/>
                <c:pt idx="0">
                  <c:v>14549</c:v>
                </c:pt>
                <c:pt idx="1">
                  <c:v>13476</c:v>
                </c:pt>
                <c:pt idx="2">
                  <c:v>13822</c:v>
                </c:pt>
              </c:numCache>
            </c:numRef>
          </c:val>
        </c:ser>
        <c:overlap val="100"/>
        <c:serLines/>
        <c:axId val="293298176"/>
        <c:axId val="293299712"/>
      </c:barChart>
      <c:catAx>
        <c:axId val="293298176"/>
        <c:scaling>
          <c:orientation val="minMax"/>
        </c:scaling>
        <c:axPos val="b"/>
        <c:numFmt formatCode="General" sourceLinked="1"/>
        <c:tickLblPos val="nextTo"/>
        <c:crossAx val="293299712"/>
        <c:crosses val="autoZero"/>
        <c:auto val="1"/>
        <c:lblAlgn val="ctr"/>
        <c:lblOffset val="100"/>
      </c:catAx>
      <c:valAx>
        <c:axId val="293299712"/>
        <c:scaling>
          <c:orientation val="minMax"/>
          <c:max val="120000"/>
          <c:min val="0"/>
        </c:scaling>
        <c:axPos val="l"/>
        <c:majorGridlines/>
        <c:title>
          <c:tx>
            <c:rich>
              <a:bodyPr rot="-5400000" vert="horz"/>
              <a:lstStyle/>
              <a:p>
                <a:pPr>
                  <a:defRPr/>
                </a:pPr>
                <a:r>
                  <a:rPr lang="ru-RU"/>
                  <a:t>млн</a:t>
                </a:r>
                <a:r>
                  <a:rPr lang="ru-RU" baseline="0"/>
                  <a:t> руб.</a:t>
                </a:r>
                <a:endParaRPr lang="ru-RU"/>
              </a:p>
            </c:rich>
          </c:tx>
        </c:title>
        <c:numFmt formatCode="#,##0" sourceLinked="0"/>
        <c:tickLblPos val="nextTo"/>
        <c:crossAx val="293298176"/>
        <c:crosses val="autoZero"/>
        <c:crossBetween val="between"/>
      </c:valAx>
      <c:spPr>
        <a:noFill/>
        <a:ln w="25400">
          <a:noFill/>
        </a:ln>
      </c:spPr>
    </c:plotArea>
    <c:legend>
      <c:legendPos val="b"/>
    </c:legend>
    <c:plotVisOnly val="1"/>
    <c:dispBlanksAs val="gap"/>
  </c:chart>
  <c:txPr>
    <a:bodyPr/>
    <a:lstStyle/>
    <a:p>
      <a:pPr>
        <a:defRPr sz="900"/>
      </a:pPr>
      <a:endParaRPr lang="ru-RU"/>
    </a:p>
  </c:txPr>
  <c:externalData r:id="rId1"/>
</c:chartSpace>
</file>

<file path=word/charts/chart10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Темп прироста средних тарифов на услуги по передаче электроэнергии</a:t>
            </a:r>
          </a:p>
        </c:rich>
      </c:tx>
    </c:title>
    <c:plotArea>
      <c:layout>
        <c:manualLayout>
          <c:layoutTarget val="inner"/>
          <c:xMode val="edge"/>
          <c:yMode val="edge"/>
          <c:x val="0.11883766895776195"/>
          <c:y val="0.18801683566074903"/>
          <c:w val="0.85159872421010663"/>
          <c:h val="0.55125124949581761"/>
        </c:manualLayout>
      </c:layout>
      <c:lineChart>
        <c:grouping val="standard"/>
        <c:ser>
          <c:idx val="0"/>
          <c:order val="0"/>
          <c:tx>
            <c:strRef>
              <c:f>Лист1!$B$1</c:f>
              <c:strCache>
                <c:ptCount val="1"/>
                <c:pt idx="0">
                  <c:v>Темп прироста среднего тарифа ОАО "МОЭСК"</c:v>
                </c:pt>
              </c:strCache>
            </c:strRef>
          </c:tx>
          <c:spPr>
            <a:ln>
              <a:solidFill>
                <a:srgbClr val="C0504D"/>
              </a:solidFill>
            </a:ln>
          </c:spPr>
          <c:marker>
            <c:symbol val="triangle"/>
            <c:size val="7"/>
            <c:spPr>
              <a:solidFill>
                <a:schemeClr val="accent2"/>
              </a:solidFill>
              <a:ln>
                <a:solidFill>
                  <a:schemeClr val="accent2"/>
                </a:solidFill>
              </a:ln>
            </c:spPr>
          </c:marker>
          <c:dLbls>
            <c:dLbl>
              <c:idx val="0"/>
              <c:layout>
                <c:manualLayout>
                  <c:x val="-0.11421305459151752"/>
                  <c:y val="-3.9937282917449635E-3"/>
                </c:manualLayout>
              </c:layout>
              <c:dLblPos val="r"/>
              <c:showVal val="1"/>
            </c:dLbl>
            <c:dLbl>
              <c:idx val="1"/>
              <c:layout>
                <c:manualLayout>
                  <c:x val="-8.8866898035845882E-2"/>
                  <c:y val="1.9970237800674999E-3"/>
                </c:manualLayout>
              </c:layout>
              <c:dLblPos val="r"/>
              <c:showVal val="1"/>
            </c:dLbl>
            <c:dLbl>
              <c:idx val="2"/>
              <c:layout>
                <c:manualLayout>
                  <c:x val="-4.8115429173809086E-2"/>
                  <c:y val="-0.13162160998914224"/>
                </c:manualLayout>
              </c:layout>
              <c:dLblPos val="r"/>
              <c:showVal val="1"/>
            </c:dLbl>
            <c:dLbl>
              <c:idx val="3"/>
              <c:layout>
                <c:manualLayout>
                  <c:x val="-1.1406386701662486E-2"/>
                  <c:y val="-1.1497937757780279E-2"/>
                </c:manualLayout>
              </c:layout>
              <c:dLblPos val="r"/>
              <c:showVal val="1"/>
            </c:dLbl>
            <c:spPr>
              <a:solidFill>
                <a:schemeClr val="accent2"/>
              </a:solidFill>
            </c:spPr>
            <c:dLblPos val="b"/>
            <c:showVal val="1"/>
          </c:dLbls>
          <c:cat>
            <c:numRef>
              <c:f>Лист1!$A$2:$A$4</c:f>
              <c:numCache>
                <c:formatCode>General</c:formatCode>
                <c:ptCount val="3"/>
                <c:pt idx="0">
                  <c:v>2011</c:v>
                </c:pt>
                <c:pt idx="1">
                  <c:v>2012</c:v>
                </c:pt>
                <c:pt idx="2">
                  <c:v>2013</c:v>
                </c:pt>
              </c:numCache>
            </c:numRef>
          </c:cat>
          <c:val>
            <c:numRef>
              <c:f>Лист1!$B$2:$B$4</c:f>
              <c:numCache>
                <c:formatCode>0.0%</c:formatCode>
                <c:ptCount val="3"/>
                <c:pt idx="0">
                  <c:v>0.12100000000000002</c:v>
                </c:pt>
                <c:pt idx="1">
                  <c:v>-6.5000000000000002E-2</c:v>
                </c:pt>
                <c:pt idx="2">
                  <c:v>7.0000000000000021E-2</c:v>
                </c:pt>
              </c:numCache>
            </c:numRef>
          </c:val>
        </c:ser>
        <c:ser>
          <c:idx val="1"/>
          <c:order val="1"/>
          <c:tx>
            <c:strRef>
              <c:f>Лист1!$C$1</c:f>
              <c:strCache>
                <c:ptCount val="1"/>
                <c:pt idx="0">
                  <c:v>Темп прироста среднего тарифа "котлового" </c:v>
                </c:pt>
              </c:strCache>
            </c:strRef>
          </c:tx>
          <c:spPr>
            <a:ln>
              <a:solidFill>
                <a:schemeClr val="accent1"/>
              </a:solidFill>
            </a:ln>
          </c:spPr>
          <c:marker>
            <c:symbol val="circle"/>
            <c:size val="7"/>
            <c:spPr>
              <a:solidFill>
                <a:schemeClr val="accent1"/>
              </a:solidFill>
              <a:ln>
                <a:solidFill>
                  <a:srgbClr val="4F81BD"/>
                </a:solidFill>
              </a:ln>
            </c:spPr>
          </c:marker>
          <c:dLbls>
            <c:dLbl>
              <c:idx val="2"/>
              <c:layout>
                <c:manualLayout>
                  <c:x val="-1.4350215718504464E-2"/>
                  <c:y val="-6.2728650882084333E-2"/>
                </c:manualLayout>
              </c:layout>
              <c:dLblPos val="r"/>
              <c:showVal val="1"/>
            </c:dLbl>
            <c:spPr>
              <a:solidFill>
                <a:schemeClr val="accent1"/>
              </a:solidFill>
            </c:spPr>
            <c:dLblPos val="t"/>
            <c:showVal val="1"/>
          </c:dLbls>
          <c:cat>
            <c:numRef>
              <c:f>Лист1!$A$2:$A$4</c:f>
              <c:numCache>
                <c:formatCode>General</c:formatCode>
                <c:ptCount val="3"/>
                <c:pt idx="0">
                  <c:v>2011</c:v>
                </c:pt>
                <c:pt idx="1">
                  <c:v>2012</c:v>
                </c:pt>
                <c:pt idx="2">
                  <c:v>2013</c:v>
                </c:pt>
              </c:numCache>
            </c:numRef>
          </c:cat>
          <c:val>
            <c:numRef>
              <c:f>Лист1!$C$2:$C$4</c:f>
              <c:numCache>
                <c:formatCode>0.0%</c:formatCode>
                <c:ptCount val="3"/>
                <c:pt idx="0">
                  <c:v>0.18100000000000024</c:v>
                </c:pt>
                <c:pt idx="1">
                  <c:v>6.0000000000000114E-3</c:v>
                </c:pt>
                <c:pt idx="2">
                  <c:v>6.6000000000000003E-2</c:v>
                </c:pt>
              </c:numCache>
            </c:numRef>
          </c:val>
        </c:ser>
        <c:ser>
          <c:idx val="2"/>
          <c:order val="2"/>
          <c:tx>
            <c:strRef>
              <c:f>Лист1!$D$1</c:f>
              <c:strCache>
                <c:ptCount val="1"/>
                <c:pt idx="0">
                  <c:v>Индекс потребительских цен</c:v>
                </c:pt>
              </c:strCache>
            </c:strRef>
          </c:tx>
          <c:marker>
            <c:symbol val="circle"/>
            <c:size val="7"/>
          </c:marker>
          <c:dLbls>
            <c:dLbl>
              <c:idx val="0"/>
              <c:layout>
                <c:manualLayout>
                  <c:x val="-5.0758238553514183E-2"/>
                  <c:y val="4.3243969503811985E-2"/>
                </c:manualLayout>
              </c:layout>
              <c:dLblPos val="r"/>
              <c:showVal val="1"/>
            </c:dLbl>
            <c:dLbl>
              <c:idx val="2"/>
              <c:layout>
                <c:manualLayout>
                  <c:x val="-0.12408715944824462"/>
                  <c:y val="-3.0336940736879984E-2"/>
                </c:manualLayout>
              </c:layout>
              <c:dLblPos val="r"/>
              <c:showVal val="1"/>
            </c:dLbl>
            <c:dLbl>
              <c:idx val="3"/>
              <c:layout>
                <c:manualLayout>
                  <c:x val="-7.1591571886847533E-2"/>
                  <c:y val="-6.7867141607299092E-2"/>
                </c:manualLayout>
              </c:layout>
              <c:dLblPos val="r"/>
              <c:showVal val="1"/>
            </c:dLbl>
            <c:spPr>
              <a:solidFill>
                <a:schemeClr val="accent3"/>
              </a:solidFill>
            </c:spPr>
            <c:dLblPos val="t"/>
            <c:showVal val="1"/>
          </c:dLbls>
          <c:cat>
            <c:numRef>
              <c:f>Лист1!$A$2:$A$4</c:f>
              <c:numCache>
                <c:formatCode>General</c:formatCode>
                <c:ptCount val="3"/>
                <c:pt idx="0">
                  <c:v>2011</c:v>
                </c:pt>
                <c:pt idx="1">
                  <c:v>2012</c:v>
                </c:pt>
                <c:pt idx="2">
                  <c:v>2013</c:v>
                </c:pt>
              </c:numCache>
            </c:numRef>
          </c:cat>
          <c:val>
            <c:numRef>
              <c:f>Лист1!$D$2:$D$4</c:f>
              <c:numCache>
                <c:formatCode>0.0%</c:formatCode>
                <c:ptCount val="3"/>
                <c:pt idx="0">
                  <c:v>8.4000000000000047E-2</c:v>
                </c:pt>
                <c:pt idx="1">
                  <c:v>5.1000000000000004E-2</c:v>
                </c:pt>
                <c:pt idx="2">
                  <c:v>6.5000000000000002E-2</c:v>
                </c:pt>
              </c:numCache>
            </c:numRef>
          </c:val>
        </c:ser>
        <c:marker val="1"/>
        <c:axId val="293364096"/>
        <c:axId val="293365632"/>
      </c:lineChart>
      <c:catAx>
        <c:axId val="293364096"/>
        <c:scaling>
          <c:orientation val="minMax"/>
        </c:scaling>
        <c:axPos val="b"/>
        <c:numFmt formatCode="General" sourceLinked="1"/>
        <c:tickLblPos val="nextTo"/>
        <c:crossAx val="293365632"/>
        <c:crosses val="autoZero"/>
        <c:auto val="1"/>
        <c:lblAlgn val="ctr"/>
        <c:lblOffset val="100"/>
      </c:catAx>
      <c:valAx>
        <c:axId val="293365632"/>
        <c:scaling>
          <c:orientation val="minMax"/>
          <c:max val="0.25"/>
          <c:min val="-0.1"/>
        </c:scaling>
        <c:axPos val="l"/>
        <c:majorGridlines/>
        <c:numFmt formatCode="0%" sourceLinked="0"/>
        <c:tickLblPos val="nextTo"/>
        <c:crossAx val="293364096"/>
        <c:crosses val="autoZero"/>
        <c:crossBetween val="between"/>
        <c:majorUnit val="5.0000000000000024E-2"/>
      </c:valAx>
    </c:plotArea>
    <c:legend>
      <c:legendPos val="b"/>
      <c:txPr>
        <a:bodyPr/>
        <a:lstStyle/>
        <a:p>
          <a:pPr rtl="0">
            <a:defRPr/>
          </a:pPr>
          <a:endParaRPr lang="ru-RU"/>
        </a:p>
      </c:txPr>
    </c:legend>
    <c:plotVisOnly val="1"/>
    <c:dispBlanksAs val="gap"/>
  </c:chart>
  <c:txPr>
    <a:bodyPr/>
    <a:lstStyle/>
    <a:p>
      <a:pPr>
        <a:defRPr sz="900"/>
      </a:pPr>
      <a:endParaRPr lang="ru-RU"/>
    </a:p>
  </c:txPr>
  <c:externalData r:id="rId1"/>
</c:chartSpace>
</file>

<file path=word/charts/chart10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rtl="0">
              <a:defRPr/>
            </a:pPr>
            <a:r>
              <a:rPr lang="ru-RU"/>
              <a:t>Эффективность закупочных процедур</a:t>
            </a:r>
          </a:p>
        </c:rich>
      </c:tx>
    </c:title>
    <c:plotArea>
      <c:layout/>
      <c:barChart>
        <c:barDir val="col"/>
        <c:grouping val="clustered"/>
        <c:ser>
          <c:idx val="0"/>
          <c:order val="0"/>
          <c:tx>
            <c:strRef>
              <c:f>Лист1!$B$1</c:f>
              <c:strCache>
                <c:ptCount val="1"/>
                <c:pt idx="0">
                  <c:v>Абсолютное значение</c:v>
                </c:pt>
              </c:strCache>
            </c:strRef>
          </c:tx>
          <c:dLbls>
            <c:dLblPos val="inBase"/>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7886</c:v>
                </c:pt>
                <c:pt idx="1">
                  <c:v>5236</c:v>
                </c:pt>
                <c:pt idx="2">
                  <c:v>8709</c:v>
                </c:pt>
              </c:numCache>
            </c:numRef>
          </c:val>
        </c:ser>
        <c:axId val="293396864"/>
        <c:axId val="293398400"/>
      </c:barChart>
      <c:lineChart>
        <c:grouping val="standard"/>
        <c:ser>
          <c:idx val="1"/>
          <c:order val="1"/>
          <c:tx>
            <c:strRef>
              <c:f>Лист1!$C$1</c:f>
              <c:strCache>
                <c:ptCount val="1"/>
                <c:pt idx="0">
                  <c:v>Относительное значение</c:v>
                </c:pt>
              </c:strCache>
            </c:strRef>
          </c:tx>
          <c:marker>
            <c:symbol val="circle"/>
            <c:size val="7"/>
          </c:marker>
          <c:dLbls>
            <c:dLblPos val="t"/>
            <c:showVal val="1"/>
          </c:dLbls>
          <c:cat>
            <c:numRef>
              <c:f>Лист1!$A$2:$A$4</c:f>
              <c:numCache>
                <c:formatCode>General</c:formatCode>
                <c:ptCount val="3"/>
                <c:pt idx="0">
                  <c:v>2011</c:v>
                </c:pt>
                <c:pt idx="1">
                  <c:v>2012</c:v>
                </c:pt>
                <c:pt idx="2">
                  <c:v>2013</c:v>
                </c:pt>
              </c:numCache>
            </c:numRef>
          </c:cat>
          <c:val>
            <c:numRef>
              <c:f>Лист1!$C$2:$C$4</c:f>
              <c:numCache>
                <c:formatCode>0.0%</c:formatCode>
                <c:ptCount val="3"/>
                <c:pt idx="0">
                  <c:v>8.8000000000000064E-2</c:v>
                </c:pt>
                <c:pt idx="1">
                  <c:v>9.4000000000000028E-2</c:v>
                </c:pt>
                <c:pt idx="2">
                  <c:v>9.2000000000000026E-2</c:v>
                </c:pt>
              </c:numCache>
            </c:numRef>
          </c:val>
        </c:ser>
        <c:marker val="1"/>
        <c:axId val="293454976"/>
        <c:axId val="293399936"/>
      </c:lineChart>
      <c:catAx>
        <c:axId val="293396864"/>
        <c:scaling>
          <c:orientation val="minMax"/>
        </c:scaling>
        <c:axPos val="b"/>
        <c:numFmt formatCode="General" sourceLinked="1"/>
        <c:tickLblPos val="nextTo"/>
        <c:crossAx val="293398400"/>
        <c:crosses val="autoZero"/>
        <c:auto val="1"/>
        <c:lblAlgn val="ctr"/>
        <c:lblOffset val="100"/>
      </c:catAx>
      <c:valAx>
        <c:axId val="293398400"/>
        <c:scaling>
          <c:orientation val="minMax"/>
        </c:scaling>
        <c:axPos val="l"/>
        <c:majorGridlines/>
        <c:numFmt formatCode="#,##0" sourceLinked="1"/>
        <c:tickLblPos val="nextTo"/>
        <c:crossAx val="293396864"/>
        <c:crosses val="autoZero"/>
        <c:crossBetween val="between"/>
      </c:valAx>
      <c:valAx>
        <c:axId val="293399936"/>
        <c:scaling>
          <c:orientation val="minMax"/>
          <c:max val="0.2"/>
          <c:min val="0"/>
        </c:scaling>
        <c:axPos val="r"/>
        <c:numFmt formatCode="0.0%" sourceLinked="1"/>
        <c:tickLblPos val="nextTo"/>
        <c:crossAx val="293454976"/>
        <c:crosses val="max"/>
        <c:crossBetween val="between"/>
      </c:valAx>
      <c:catAx>
        <c:axId val="293454976"/>
        <c:scaling>
          <c:orientation val="minMax"/>
        </c:scaling>
        <c:delete val="1"/>
        <c:axPos val="b"/>
        <c:numFmt formatCode="General" sourceLinked="1"/>
        <c:tickLblPos val="none"/>
        <c:crossAx val="293399936"/>
        <c:crosses val="autoZero"/>
        <c:auto val="1"/>
        <c:lblAlgn val="ctr"/>
        <c:lblOffset val="100"/>
      </c:catAx>
    </c:plotArea>
    <c:legend>
      <c:legendPos val="b"/>
      <c:layout>
        <c:manualLayout>
          <c:xMode val="edge"/>
          <c:yMode val="edge"/>
          <c:x val="0"/>
          <c:y val="0.78487988730702862"/>
          <c:w val="1"/>
          <c:h val="0.18137598968368637"/>
        </c:manualLayout>
      </c:layout>
    </c:legend>
    <c:plotVisOnly val="1"/>
    <c:dispBlanksAs val="gap"/>
  </c:chart>
  <c:txPr>
    <a:bodyPr/>
    <a:lstStyle/>
    <a:p>
      <a:pPr>
        <a:defRPr sz="900"/>
      </a:pPr>
      <a:endParaRPr lang="ru-RU"/>
    </a:p>
  </c:txPr>
  <c:externalData r:id="rId1"/>
</c:chartSpace>
</file>

<file path=word/charts/chart10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Количество закупок</a:t>
            </a:r>
          </a:p>
        </c:rich>
      </c:tx>
    </c:title>
    <c:plotArea>
      <c:layout>
        <c:manualLayout>
          <c:layoutTarget val="inner"/>
          <c:xMode val="edge"/>
          <c:yMode val="edge"/>
          <c:x val="0.19369044493599041"/>
          <c:y val="0.10601342181769259"/>
          <c:w val="0.76297407247584592"/>
          <c:h val="0.52159584798160896"/>
        </c:manualLayout>
      </c:layout>
      <c:barChart>
        <c:barDir val="col"/>
        <c:grouping val="stacked"/>
        <c:ser>
          <c:idx val="1"/>
          <c:order val="0"/>
          <c:tx>
            <c:strRef>
              <c:f>Лист1!$C$1</c:f>
              <c:strCache>
                <c:ptCount val="1"/>
                <c:pt idx="0">
                  <c:v>Техперевооружение и реконструкция</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1285</c:v>
                </c:pt>
                <c:pt idx="1">
                  <c:v>1019</c:v>
                </c:pt>
                <c:pt idx="2">
                  <c:v>1572</c:v>
                </c:pt>
              </c:numCache>
            </c:numRef>
          </c:val>
        </c:ser>
        <c:ser>
          <c:idx val="0"/>
          <c:order val="1"/>
          <c:tx>
            <c:strRef>
              <c:f>Лист1!$B$1</c:f>
              <c:strCache>
                <c:ptCount val="1"/>
                <c:pt idx="0">
                  <c:v>Новое строительство</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374</c:v>
                </c:pt>
                <c:pt idx="1">
                  <c:v>483</c:v>
                </c:pt>
                <c:pt idx="2">
                  <c:v>990</c:v>
                </c:pt>
              </c:numCache>
            </c:numRef>
          </c:val>
        </c:ser>
        <c:ser>
          <c:idx val="2"/>
          <c:order val="2"/>
          <c:tx>
            <c:strRef>
              <c:f>Лист1!$D$1</c:f>
              <c:strCache>
                <c:ptCount val="1"/>
                <c:pt idx="0">
                  <c:v>Энергоремонтное производство, техническое обслуживание</c:v>
                </c:pt>
              </c:strCache>
            </c:strRef>
          </c:tx>
          <c:dLbls>
            <c:showVal val="1"/>
          </c:dLbls>
          <c:cat>
            <c:numRef>
              <c:f>Лист1!$A$2:$A$4</c:f>
              <c:numCache>
                <c:formatCode>General</c:formatCode>
                <c:ptCount val="3"/>
                <c:pt idx="0">
                  <c:v>2011</c:v>
                </c:pt>
                <c:pt idx="1">
                  <c:v>2012</c:v>
                </c:pt>
                <c:pt idx="2">
                  <c:v>2013</c:v>
                </c:pt>
              </c:numCache>
            </c:numRef>
          </c:cat>
          <c:val>
            <c:numRef>
              <c:f>Лист1!$D$2:$D$4</c:f>
              <c:numCache>
                <c:formatCode>#,##0</c:formatCode>
                <c:ptCount val="3"/>
                <c:pt idx="0">
                  <c:v>797</c:v>
                </c:pt>
                <c:pt idx="1">
                  <c:v>535</c:v>
                </c:pt>
                <c:pt idx="2">
                  <c:v>607</c:v>
                </c:pt>
              </c:numCache>
            </c:numRef>
          </c:val>
        </c:ser>
        <c:ser>
          <c:idx val="3"/>
          <c:order val="3"/>
          <c:tx>
            <c:strRef>
              <c:f>Лист1!$E$1</c:f>
              <c:strCache>
                <c:ptCount val="1"/>
                <c:pt idx="0">
                  <c:v>Прочие закупки</c:v>
                </c:pt>
              </c:strCache>
            </c:strRef>
          </c:tx>
          <c:dLbls>
            <c:showVal val="1"/>
          </c:dLbls>
          <c:cat>
            <c:numRef>
              <c:f>Лист1!$A$2:$A$4</c:f>
              <c:numCache>
                <c:formatCode>General</c:formatCode>
                <c:ptCount val="3"/>
                <c:pt idx="0">
                  <c:v>2011</c:v>
                </c:pt>
                <c:pt idx="1">
                  <c:v>2012</c:v>
                </c:pt>
                <c:pt idx="2">
                  <c:v>2013</c:v>
                </c:pt>
              </c:numCache>
            </c:numRef>
          </c:cat>
          <c:val>
            <c:numRef>
              <c:f>Лист1!$E$2:$E$4</c:f>
              <c:numCache>
                <c:formatCode>#,##0</c:formatCode>
                <c:ptCount val="3"/>
                <c:pt idx="0">
                  <c:v>551</c:v>
                </c:pt>
                <c:pt idx="1">
                  <c:v>286</c:v>
                </c:pt>
                <c:pt idx="2">
                  <c:v>327</c:v>
                </c:pt>
              </c:numCache>
            </c:numRef>
          </c:val>
        </c:ser>
        <c:overlap val="100"/>
        <c:axId val="293933824"/>
        <c:axId val="293935360"/>
      </c:barChart>
      <c:catAx>
        <c:axId val="293933824"/>
        <c:scaling>
          <c:orientation val="minMax"/>
        </c:scaling>
        <c:axPos val="b"/>
        <c:numFmt formatCode="General" sourceLinked="1"/>
        <c:tickLblPos val="nextTo"/>
        <c:crossAx val="293935360"/>
        <c:crosses val="autoZero"/>
        <c:auto val="1"/>
        <c:lblAlgn val="ctr"/>
        <c:lblOffset val="100"/>
      </c:catAx>
      <c:valAx>
        <c:axId val="293935360"/>
        <c:scaling>
          <c:orientation val="minMax"/>
        </c:scaling>
        <c:axPos val="l"/>
        <c:majorGridlines/>
        <c:title>
          <c:tx>
            <c:rich>
              <a:bodyPr rot="-5400000" vert="horz"/>
              <a:lstStyle/>
              <a:p>
                <a:pPr>
                  <a:defRPr/>
                </a:pPr>
                <a:r>
                  <a:rPr lang="ru-RU"/>
                  <a:t>шт.</a:t>
                </a:r>
              </a:p>
            </c:rich>
          </c:tx>
        </c:title>
        <c:numFmt formatCode="#,##0" sourceLinked="1"/>
        <c:tickLblPos val="nextTo"/>
        <c:crossAx val="293933824"/>
        <c:crosses val="autoZero"/>
        <c:crossBetween val="between"/>
      </c:valAx>
    </c:plotArea>
    <c:legend>
      <c:legendPos val="b"/>
      <c:layout>
        <c:manualLayout>
          <c:xMode val="edge"/>
          <c:yMode val="edge"/>
          <c:x val="0"/>
          <c:y val="0.69672651204031832"/>
          <c:w val="1"/>
          <c:h val="0.26534472368746675"/>
        </c:manualLayout>
      </c:layout>
      <c:spPr>
        <a:ln w="3175"/>
      </c:spPr>
      <c:txPr>
        <a:bodyPr/>
        <a:lstStyle/>
        <a:p>
          <a:pPr>
            <a:defRPr sz="700"/>
          </a:pPr>
          <a:endParaRPr lang="ru-RU"/>
        </a:p>
      </c:txPr>
    </c:legend>
    <c:plotVisOnly val="1"/>
    <c:dispBlanksAs val="gap"/>
  </c:chart>
  <c:txPr>
    <a:bodyPr/>
    <a:lstStyle/>
    <a:p>
      <a:pPr>
        <a:defRPr sz="800"/>
      </a:pPr>
      <a:endParaRPr lang="ru-RU"/>
    </a:p>
  </c:txPr>
  <c:externalData r:id="rId1"/>
</c:chartSpace>
</file>

<file path=word/charts/chart10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Сумма</a:t>
            </a:r>
            <a:r>
              <a:rPr lang="ru-RU" baseline="0"/>
              <a:t> по</a:t>
            </a:r>
            <a:r>
              <a:rPr lang="ru-RU"/>
              <a:t> закупкам</a:t>
            </a:r>
          </a:p>
        </c:rich>
      </c:tx>
    </c:title>
    <c:plotArea>
      <c:layout>
        <c:manualLayout>
          <c:layoutTarget val="inner"/>
          <c:xMode val="edge"/>
          <c:yMode val="edge"/>
          <c:x val="0.19794871898040434"/>
          <c:y val="0.11529947424115952"/>
          <c:w val="0.75871579843142345"/>
          <c:h val="0.51230966990927329"/>
        </c:manualLayout>
      </c:layout>
      <c:barChart>
        <c:barDir val="col"/>
        <c:grouping val="stacked"/>
        <c:ser>
          <c:idx val="1"/>
          <c:order val="0"/>
          <c:tx>
            <c:strRef>
              <c:f>Лист1!$C$1</c:f>
              <c:strCache>
                <c:ptCount val="1"/>
                <c:pt idx="0">
                  <c:v>Техперевооружение и реконструкция</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31956</c:v>
                </c:pt>
                <c:pt idx="1">
                  <c:v>27186</c:v>
                </c:pt>
                <c:pt idx="2">
                  <c:v>35192</c:v>
                </c:pt>
              </c:numCache>
            </c:numRef>
          </c:val>
        </c:ser>
        <c:ser>
          <c:idx val="0"/>
          <c:order val="1"/>
          <c:tx>
            <c:strRef>
              <c:f>Лист1!$B$1</c:f>
              <c:strCache>
                <c:ptCount val="1"/>
                <c:pt idx="0">
                  <c:v>Новое строительство</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11590</c:v>
                </c:pt>
                <c:pt idx="1">
                  <c:v>12737</c:v>
                </c:pt>
                <c:pt idx="2">
                  <c:v>17489</c:v>
                </c:pt>
              </c:numCache>
            </c:numRef>
          </c:val>
        </c:ser>
        <c:ser>
          <c:idx val="2"/>
          <c:order val="2"/>
          <c:tx>
            <c:strRef>
              <c:f>Лист1!$D$1</c:f>
              <c:strCache>
                <c:ptCount val="1"/>
                <c:pt idx="0">
                  <c:v>Энергоремонтное производство, техническое обслуживание</c:v>
                </c:pt>
              </c:strCache>
            </c:strRef>
          </c:tx>
          <c:dLbls>
            <c:showVal val="1"/>
          </c:dLbls>
          <c:cat>
            <c:numRef>
              <c:f>Лист1!$A$2:$A$4</c:f>
              <c:numCache>
                <c:formatCode>General</c:formatCode>
                <c:ptCount val="3"/>
                <c:pt idx="0">
                  <c:v>2011</c:v>
                </c:pt>
                <c:pt idx="1">
                  <c:v>2012</c:v>
                </c:pt>
                <c:pt idx="2">
                  <c:v>2013</c:v>
                </c:pt>
              </c:numCache>
            </c:numRef>
          </c:cat>
          <c:val>
            <c:numRef>
              <c:f>Лист1!$D$2:$D$4</c:f>
              <c:numCache>
                <c:formatCode>#,##0</c:formatCode>
                <c:ptCount val="3"/>
                <c:pt idx="0">
                  <c:v>7168</c:v>
                </c:pt>
                <c:pt idx="1">
                  <c:v>5927</c:v>
                </c:pt>
                <c:pt idx="2">
                  <c:v>5749</c:v>
                </c:pt>
              </c:numCache>
            </c:numRef>
          </c:val>
        </c:ser>
        <c:ser>
          <c:idx val="3"/>
          <c:order val="3"/>
          <c:tx>
            <c:strRef>
              <c:f>Лист1!$E$1</c:f>
              <c:strCache>
                <c:ptCount val="1"/>
                <c:pt idx="0">
                  <c:v>Прочие закупки</c:v>
                </c:pt>
              </c:strCache>
            </c:strRef>
          </c:tx>
          <c:dLbls>
            <c:showVal val="1"/>
          </c:dLbls>
          <c:cat>
            <c:numRef>
              <c:f>Лист1!$A$2:$A$4</c:f>
              <c:numCache>
                <c:formatCode>General</c:formatCode>
                <c:ptCount val="3"/>
                <c:pt idx="0">
                  <c:v>2011</c:v>
                </c:pt>
                <c:pt idx="1">
                  <c:v>2012</c:v>
                </c:pt>
                <c:pt idx="2">
                  <c:v>2013</c:v>
                </c:pt>
              </c:numCache>
            </c:numRef>
          </c:cat>
          <c:val>
            <c:numRef>
              <c:f>Лист1!$E$2:$E$4</c:f>
              <c:numCache>
                <c:formatCode>#,##0</c:formatCode>
                <c:ptCount val="3"/>
                <c:pt idx="0">
                  <c:v>30564</c:v>
                </c:pt>
                <c:pt idx="1">
                  <c:v>4790</c:v>
                </c:pt>
                <c:pt idx="2">
                  <c:v>27402</c:v>
                </c:pt>
              </c:numCache>
            </c:numRef>
          </c:val>
        </c:ser>
        <c:overlap val="100"/>
        <c:axId val="293972224"/>
        <c:axId val="293986304"/>
      </c:barChart>
      <c:catAx>
        <c:axId val="293972224"/>
        <c:scaling>
          <c:orientation val="minMax"/>
        </c:scaling>
        <c:axPos val="b"/>
        <c:numFmt formatCode="General" sourceLinked="1"/>
        <c:tickLblPos val="nextTo"/>
        <c:crossAx val="293986304"/>
        <c:crosses val="autoZero"/>
        <c:auto val="1"/>
        <c:lblAlgn val="ctr"/>
        <c:lblOffset val="100"/>
      </c:catAx>
      <c:valAx>
        <c:axId val="293986304"/>
        <c:scaling>
          <c:orientation val="minMax"/>
        </c:scaling>
        <c:axPos val="l"/>
        <c:majorGridlines/>
        <c:title>
          <c:tx>
            <c:rich>
              <a:bodyPr rot="-5400000" vert="horz"/>
              <a:lstStyle/>
              <a:p>
                <a:pPr>
                  <a:defRPr/>
                </a:pPr>
                <a:r>
                  <a:rPr lang="ru-RU"/>
                  <a:t>млн</a:t>
                </a:r>
                <a:r>
                  <a:rPr lang="ru-RU" baseline="0"/>
                  <a:t> руб. с НДС</a:t>
                </a:r>
                <a:endParaRPr lang="ru-RU"/>
              </a:p>
            </c:rich>
          </c:tx>
        </c:title>
        <c:numFmt formatCode="#,##0" sourceLinked="1"/>
        <c:tickLblPos val="nextTo"/>
        <c:crossAx val="293972224"/>
        <c:crosses val="autoZero"/>
        <c:crossBetween val="between"/>
      </c:valAx>
    </c:plotArea>
    <c:legend>
      <c:legendPos val="b"/>
      <c:layout>
        <c:manualLayout>
          <c:xMode val="edge"/>
          <c:yMode val="edge"/>
          <c:x val="0"/>
          <c:y val="0.69672651204031844"/>
          <c:w val="1"/>
          <c:h val="0.26534472368746692"/>
        </c:manualLayout>
      </c:layout>
      <c:spPr>
        <a:ln w="3175"/>
      </c:spPr>
      <c:txPr>
        <a:bodyPr/>
        <a:lstStyle/>
        <a:p>
          <a:pPr>
            <a:defRPr sz="700"/>
          </a:pPr>
          <a:endParaRPr lang="ru-RU"/>
        </a:p>
      </c:txPr>
    </c:legend>
    <c:plotVisOnly val="1"/>
    <c:dispBlanksAs val="gap"/>
  </c:chart>
  <c:txPr>
    <a:bodyPr/>
    <a:lstStyle/>
    <a:p>
      <a:pPr>
        <a:defRPr sz="800"/>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80" b="1" i="0" u="none" strike="noStrike" baseline="0"/>
              <a:t>Доля полезного отпуска </a:t>
            </a:r>
          </a:p>
          <a:p>
            <a:pPr>
              <a:defRPr/>
            </a:pPr>
            <a:r>
              <a:rPr lang="ru-RU" sz="1080" b="1" i="0" u="none" strike="noStrike" kern="1200" baseline="0">
                <a:solidFill>
                  <a:sysClr val="windowText" lastClr="000000"/>
                </a:solidFill>
                <a:latin typeface="+mn-lt"/>
                <a:ea typeface="+mn-ea"/>
                <a:cs typeface="+mn-cs"/>
              </a:rPr>
              <a:t>ОАО </a:t>
            </a:r>
            <a:r>
              <a:rPr lang="ru-RU" sz="1080" b="1" i="0" u="none" strike="noStrike" baseline="0"/>
              <a:t>«МОЭСК» в полезном отпуске «котловом» Московского региона</a:t>
            </a:r>
            <a:endParaRPr lang="ru-RU"/>
          </a:p>
        </c:rich>
      </c:tx>
    </c:title>
    <c:plotArea>
      <c:layout/>
      <c:barChart>
        <c:barDir val="col"/>
        <c:grouping val="percentStacked"/>
        <c:ser>
          <c:idx val="0"/>
          <c:order val="0"/>
          <c:tx>
            <c:strRef>
              <c:f>Лист1!$B$1</c:f>
              <c:strCache>
                <c:ptCount val="1"/>
                <c:pt idx="0">
                  <c:v>Полезный отпуск ОАО "МОЭСК"</c:v>
                </c:pt>
              </c:strCache>
            </c:strRef>
          </c:tx>
          <c:dLbls>
            <c:numFmt formatCode="0.00%" sourceLinked="0"/>
            <c:showVal val="1"/>
          </c:dLbls>
          <c:cat>
            <c:numRef>
              <c:f>Лист1!$A$2:$A$4</c:f>
              <c:numCache>
                <c:formatCode>General</c:formatCode>
                <c:ptCount val="3"/>
                <c:pt idx="0">
                  <c:v>2011</c:v>
                </c:pt>
                <c:pt idx="1">
                  <c:v>2012</c:v>
                </c:pt>
                <c:pt idx="2">
                  <c:v>2013</c:v>
                </c:pt>
              </c:numCache>
            </c:numRef>
          </c:cat>
          <c:val>
            <c:numRef>
              <c:f>Лист1!$B$2:$B$4</c:f>
              <c:numCache>
                <c:formatCode>General</c:formatCode>
                <c:ptCount val="3"/>
                <c:pt idx="0">
                  <c:v>0.78299999999999992</c:v>
                </c:pt>
                <c:pt idx="1">
                  <c:v>0.75020000000000064</c:v>
                </c:pt>
                <c:pt idx="2">
                  <c:v>0.72300000000000064</c:v>
                </c:pt>
              </c:numCache>
            </c:numRef>
          </c:val>
        </c:ser>
        <c:ser>
          <c:idx val="1"/>
          <c:order val="1"/>
          <c:tx>
            <c:strRef>
              <c:f>Лист1!$C$1</c:f>
              <c:strCache>
                <c:ptCount val="1"/>
                <c:pt idx="0">
                  <c:v> "Котловой" полезный отпуск ТСО</c:v>
                </c:pt>
              </c:strCache>
            </c:strRef>
          </c:tx>
          <c:spPr>
            <a:noFill/>
            <a:ln>
              <a:solidFill>
                <a:schemeClr val="accent1"/>
              </a:solidFill>
            </a:ln>
          </c:spPr>
          <c:dLbls>
            <c:numFmt formatCode="0.00%" sourceLinked="0"/>
            <c:showVal val="1"/>
          </c:dLbls>
          <c:cat>
            <c:numRef>
              <c:f>Лист1!$A$2:$A$4</c:f>
              <c:numCache>
                <c:formatCode>General</c:formatCode>
                <c:ptCount val="3"/>
                <c:pt idx="0">
                  <c:v>2011</c:v>
                </c:pt>
                <c:pt idx="1">
                  <c:v>2012</c:v>
                </c:pt>
                <c:pt idx="2">
                  <c:v>2013</c:v>
                </c:pt>
              </c:numCache>
            </c:numRef>
          </c:cat>
          <c:val>
            <c:numRef>
              <c:f>Лист1!$C$2:$C$4</c:f>
              <c:numCache>
                <c:formatCode>General</c:formatCode>
                <c:ptCount val="3"/>
                <c:pt idx="0">
                  <c:v>0.21700000000000041</c:v>
                </c:pt>
                <c:pt idx="1">
                  <c:v>0.24980000000000024</c:v>
                </c:pt>
                <c:pt idx="2">
                  <c:v>0.27700000000000002</c:v>
                </c:pt>
              </c:numCache>
            </c:numRef>
          </c:val>
        </c:ser>
        <c:overlap val="100"/>
        <c:axId val="70638208"/>
        <c:axId val="70640000"/>
      </c:barChart>
      <c:catAx>
        <c:axId val="70638208"/>
        <c:scaling>
          <c:orientation val="minMax"/>
        </c:scaling>
        <c:axPos val="b"/>
        <c:numFmt formatCode="General" sourceLinked="1"/>
        <c:tickLblPos val="nextTo"/>
        <c:crossAx val="70640000"/>
        <c:crosses val="autoZero"/>
        <c:auto val="1"/>
        <c:lblAlgn val="ctr"/>
        <c:lblOffset val="100"/>
      </c:catAx>
      <c:valAx>
        <c:axId val="70640000"/>
        <c:scaling>
          <c:orientation val="minMax"/>
          <c:min val="0.30000000000000032"/>
        </c:scaling>
        <c:delete val="1"/>
        <c:axPos val="l"/>
        <c:majorGridlines/>
        <c:numFmt formatCode="0%" sourceLinked="1"/>
        <c:tickLblPos val="none"/>
        <c:crossAx val="70638208"/>
        <c:crosses val="autoZero"/>
        <c:crossBetween val="between"/>
      </c:valAx>
    </c:plotArea>
    <c:legend>
      <c:legendPos val="b"/>
      <c:txPr>
        <a:bodyPr/>
        <a:lstStyle/>
        <a:p>
          <a:pPr>
            <a:defRPr sz="800"/>
          </a:pPr>
          <a:endParaRPr lang="ru-RU"/>
        </a:p>
      </c:txPr>
    </c:legend>
    <c:plotVisOnly val="1"/>
    <c:dispBlanksAs val="gap"/>
  </c:chart>
  <c:txPr>
    <a:bodyPr/>
    <a:lstStyle/>
    <a:p>
      <a:pPr>
        <a:defRPr sz="900"/>
      </a:pPr>
      <a:endParaRPr lang="ru-RU"/>
    </a:p>
  </c:txPr>
  <c:externalData r:id="rId1"/>
</c:chartSpace>
</file>

<file path=word/charts/chart110.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Структура закупок в 2013 г. по количеству </c:v>
                </c:pt>
              </c:strCache>
            </c:strRef>
          </c:tx>
          <c:dLbls>
            <c:showPercent val="1"/>
            <c:showLeaderLines val="1"/>
          </c:dLbls>
          <c:cat>
            <c:strRef>
              <c:f>Лист1!$A$2:$A$5</c:f>
              <c:strCache>
                <c:ptCount val="4"/>
                <c:pt idx="0">
                  <c:v>Техперевооружение и реконструкция</c:v>
                </c:pt>
                <c:pt idx="1">
                  <c:v>Новое строительство</c:v>
                </c:pt>
                <c:pt idx="2">
                  <c:v>Энергоремонтное производство, техническое обслуживание</c:v>
                </c:pt>
                <c:pt idx="3">
                  <c:v>Прочие закупки</c:v>
                </c:pt>
              </c:strCache>
            </c:strRef>
          </c:cat>
          <c:val>
            <c:numRef>
              <c:f>Лист1!$B$2:$B$5</c:f>
              <c:numCache>
                <c:formatCode>General</c:formatCode>
                <c:ptCount val="4"/>
                <c:pt idx="0" formatCode="#,##0">
                  <c:v>1572</c:v>
                </c:pt>
                <c:pt idx="1">
                  <c:v>990</c:v>
                </c:pt>
                <c:pt idx="2">
                  <c:v>607</c:v>
                </c:pt>
                <c:pt idx="3">
                  <c:v>327</c:v>
                </c:pt>
              </c:numCache>
            </c:numRef>
          </c:val>
        </c:ser>
        <c:firstSliceAng val="0"/>
      </c:pieChart>
    </c:plotArea>
    <c:legend>
      <c:legendPos val="b"/>
      <c:txPr>
        <a:bodyPr/>
        <a:lstStyle/>
        <a:p>
          <a:pPr>
            <a:defRPr sz="700"/>
          </a:pPr>
          <a:endParaRPr lang="ru-RU"/>
        </a:p>
      </c:txPr>
    </c:legend>
    <c:plotVisOnly val="1"/>
    <c:dispBlanksAs val="zero"/>
  </c:chart>
  <c:txPr>
    <a:bodyPr/>
    <a:lstStyle/>
    <a:p>
      <a:pPr>
        <a:defRPr sz="800"/>
      </a:pPr>
      <a:endParaRPr lang="ru-RU"/>
    </a:p>
  </c:txPr>
  <c:externalData r:id="rId1"/>
</c:chartSpace>
</file>

<file path=word/charts/chart1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закупок в 2013 г. по стоимости</a:t>
            </a:r>
          </a:p>
        </c:rich>
      </c:tx>
    </c:title>
    <c:plotArea>
      <c:layout/>
      <c:pieChart>
        <c:varyColors val="1"/>
        <c:ser>
          <c:idx val="0"/>
          <c:order val="0"/>
          <c:tx>
            <c:strRef>
              <c:f>Лист1!$B$1</c:f>
              <c:strCache>
                <c:ptCount val="1"/>
                <c:pt idx="0">
                  <c:v>Структура закупок в 2013 г. по количеству </c:v>
                </c:pt>
              </c:strCache>
            </c:strRef>
          </c:tx>
          <c:dLbls>
            <c:showPercent val="1"/>
            <c:showLeaderLines val="1"/>
          </c:dLbls>
          <c:cat>
            <c:strRef>
              <c:f>Лист1!$A$2:$A$5</c:f>
              <c:strCache>
                <c:ptCount val="4"/>
                <c:pt idx="0">
                  <c:v>Техперевооружение и реконструкция</c:v>
                </c:pt>
                <c:pt idx="1">
                  <c:v>Новое строительство</c:v>
                </c:pt>
                <c:pt idx="2">
                  <c:v>Энергоремонтное производство, техническое обслуживание</c:v>
                </c:pt>
                <c:pt idx="3">
                  <c:v>Прочие закупки</c:v>
                </c:pt>
              </c:strCache>
            </c:strRef>
          </c:cat>
          <c:val>
            <c:numRef>
              <c:f>Лист1!$B$2:$B$5</c:f>
              <c:numCache>
                <c:formatCode>#,##0</c:formatCode>
                <c:ptCount val="4"/>
                <c:pt idx="0">
                  <c:v>17489</c:v>
                </c:pt>
                <c:pt idx="1">
                  <c:v>35192</c:v>
                </c:pt>
                <c:pt idx="2">
                  <c:v>5749</c:v>
                </c:pt>
                <c:pt idx="3" formatCode="General">
                  <c:v>27402</c:v>
                </c:pt>
              </c:numCache>
            </c:numRef>
          </c:val>
        </c:ser>
        <c:firstSliceAng val="0"/>
      </c:pieChart>
    </c:plotArea>
    <c:legend>
      <c:legendPos val="b"/>
      <c:txPr>
        <a:bodyPr/>
        <a:lstStyle/>
        <a:p>
          <a:pPr>
            <a:defRPr sz="700"/>
          </a:pPr>
          <a:endParaRPr lang="ru-RU"/>
        </a:p>
      </c:txPr>
    </c:legend>
    <c:plotVisOnly val="1"/>
    <c:dispBlanksAs val="zero"/>
  </c:chart>
  <c:txPr>
    <a:bodyPr/>
    <a:lstStyle/>
    <a:p>
      <a:pPr>
        <a:defRPr sz="800"/>
      </a:pPr>
      <a:endParaRPr lang="ru-RU"/>
    </a:p>
  </c:txPr>
  <c:externalData r:id="rId1"/>
</c:chartSpace>
</file>

<file path=word/charts/chart1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Количество закупок по видам процедур</a:t>
            </a:r>
          </a:p>
        </c:rich>
      </c:tx>
    </c:title>
    <c:plotArea>
      <c:layout>
        <c:manualLayout>
          <c:layoutTarget val="inner"/>
          <c:xMode val="edge"/>
          <c:yMode val="edge"/>
          <c:x val="0.19369044493599041"/>
          <c:y val="0.10601342181769259"/>
          <c:w val="0.77292435460494013"/>
          <c:h val="0.48177492621785684"/>
        </c:manualLayout>
      </c:layout>
      <c:barChart>
        <c:barDir val="col"/>
        <c:grouping val="stacked"/>
        <c:ser>
          <c:idx val="0"/>
          <c:order val="0"/>
          <c:tx>
            <c:strRef>
              <c:f>Лист1!$B$1</c:f>
              <c:strCache>
                <c:ptCount val="1"/>
                <c:pt idx="0">
                  <c:v>Закрытый запрос цен, по результатам открытых конкурентных переговоров </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765</c:v>
                </c:pt>
                <c:pt idx="1">
                  <c:v>1055</c:v>
                </c:pt>
                <c:pt idx="2">
                  <c:v>2029</c:v>
                </c:pt>
              </c:numCache>
            </c:numRef>
          </c:val>
        </c:ser>
        <c:ser>
          <c:idx val="3"/>
          <c:order val="1"/>
          <c:tx>
            <c:strRef>
              <c:f>Лист1!$C$1</c:f>
              <c:strCache>
                <c:ptCount val="1"/>
                <c:pt idx="0">
                  <c:v>Закупка у единственного поставщика</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1037</c:v>
                </c:pt>
                <c:pt idx="1">
                  <c:v>206</c:v>
                </c:pt>
                <c:pt idx="2">
                  <c:v>184</c:v>
                </c:pt>
              </c:numCache>
            </c:numRef>
          </c:val>
        </c:ser>
        <c:ser>
          <c:idx val="4"/>
          <c:order val="2"/>
          <c:tx>
            <c:strRef>
              <c:f>Лист1!$D$1</c:f>
              <c:strCache>
                <c:ptCount val="1"/>
                <c:pt idx="0">
                  <c:v>Открытый запрос предложений</c:v>
                </c:pt>
              </c:strCache>
            </c:strRef>
          </c:tx>
          <c:dLbls>
            <c:showVal val="1"/>
          </c:dLbls>
          <c:cat>
            <c:numRef>
              <c:f>Лист1!$A$2:$A$4</c:f>
              <c:numCache>
                <c:formatCode>General</c:formatCode>
                <c:ptCount val="3"/>
                <c:pt idx="0">
                  <c:v>2011</c:v>
                </c:pt>
                <c:pt idx="1">
                  <c:v>2012</c:v>
                </c:pt>
                <c:pt idx="2">
                  <c:v>2013</c:v>
                </c:pt>
              </c:numCache>
            </c:numRef>
          </c:cat>
          <c:val>
            <c:numRef>
              <c:f>Лист1!$D$2:$D$4</c:f>
              <c:numCache>
                <c:formatCode>#,##0</c:formatCode>
                <c:ptCount val="3"/>
                <c:pt idx="0">
                  <c:v>690</c:v>
                </c:pt>
                <c:pt idx="1">
                  <c:v>710</c:v>
                </c:pt>
                <c:pt idx="2">
                  <c:v>820</c:v>
                </c:pt>
              </c:numCache>
            </c:numRef>
          </c:val>
        </c:ser>
        <c:ser>
          <c:idx val="2"/>
          <c:order val="3"/>
          <c:tx>
            <c:strRef>
              <c:f>Лист1!$E$1</c:f>
              <c:strCache>
                <c:ptCount val="1"/>
                <c:pt idx="0">
                  <c:v>Открытый конкурс/аукцион</c:v>
                </c:pt>
              </c:strCache>
            </c:strRef>
          </c:tx>
          <c:dLbls>
            <c:showVal val="1"/>
          </c:dLbls>
          <c:cat>
            <c:numRef>
              <c:f>Лист1!$A$2:$A$4</c:f>
              <c:numCache>
                <c:formatCode>General</c:formatCode>
                <c:ptCount val="3"/>
                <c:pt idx="0">
                  <c:v>2011</c:v>
                </c:pt>
                <c:pt idx="1">
                  <c:v>2012</c:v>
                </c:pt>
                <c:pt idx="2">
                  <c:v>2013</c:v>
                </c:pt>
              </c:numCache>
            </c:numRef>
          </c:cat>
          <c:val>
            <c:numRef>
              <c:f>Лист1!$E$2:$E$4</c:f>
              <c:numCache>
                <c:formatCode>#,##0</c:formatCode>
                <c:ptCount val="3"/>
                <c:pt idx="0">
                  <c:v>474</c:v>
                </c:pt>
                <c:pt idx="1">
                  <c:v>308</c:v>
                </c:pt>
                <c:pt idx="2">
                  <c:v>442</c:v>
                </c:pt>
              </c:numCache>
            </c:numRef>
          </c:val>
        </c:ser>
        <c:ser>
          <c:idx val="5"/>
          <c:order val="4"/>
          <c:tx>
            <c:strRef>
              <c:f>Лист1!$F$1</c:f>
              <c:strCache>
                <c:ptCount val="1"/>
                <c:pt idx="0">
                  <c:v>Прочие </c:v>
                </c:pt>
              </c:strCache>
            </c:strRef>
          </c:tx>
          <c:dLbls>
            <c:dLblPos val="inBase"/>
            <c:showVal val="1"/>
          </c:dLbls>
          <c:cat>
            <c:numRef>
              <c:f>Лист1!$A$2:$A$4</c:f>
              <c:numCache>
                <c:formatCode>General</c:formatCode>
                <c:ptCount val="3"/>
                <c:pt idx="0">
                  <c:v>2011</c:v>
                </c:pt>
                <c:pt idx="1">
                  <c:v>2012</c:v>
                </c:pt>
                <c:pt idx="2">
                  <c:v>2013</c:v>
                </c:pt>
              </c:numCache>
            </c:numRef>
          </c:cat>
          <c:val>
            <c:numRef>
              <c:f>Лист1!$F$2:$F$4</c:f>
              <c:numCache>
                <c:formatCode>#,##0</c:formatCode>
                <c:ptCount val="3"/>
                <c:pt idx="0">
                  <c:v>41</c:v>
                </c:pt>
                <c:pt idx="1">
                  <c:v>44</c:v>
                </c:pt>
                <c:pt idx="2">
                  <c:v>21</c:v>
                </c:pt>
              </c:numCache>
            </c:numRef>
          </c:val>
        </c:ser>
        <c:overlap val="100"/>
        <c:axId val="294528896"/>
        <c:axId val="294530432"/>
      </c:barChart>
      <c:catAx>
        <c:axId val="294528896"/>
        <c:scaling>
          <c:orientation val="minMax"/>
        </c:scaling>
        <c:axPos val="b"/>
        <c:numFmt formatCode="General" sourceLinked="1"/>
        <c:tickLblPos val="nextTo"/>
        <c:crossAx val="294530432"/>
        <c:crosses val="autoZero"/>
        <c:auto val="1"/>
        <c:lblAlgn val="ctr"/>
        <c:lblOffset val="100"/>
      </c:catAx>
      <c:valAx>
        <c:axId val="294530432"/>
        <c:scaling>
          <c:orientation val="minMax"/>
        </c:scaling>
        <c:axPos val="l"/>
        <c:majorGridlines/>
        <c:title>
          <c:tx>
            <c:rich>
              <a:bodyPr rot="-5400000" vert="horz"/>
              <a:lstStyle/>
              <a:p>
                <a:pPr>
                  <a:defRPr/>
                </a:pPr>
                <a:r>
                  <a:rPr lang="ru-RU"/>
                  <a:t>шт.</a:t>
                </a:r>
              </a:p>
            </c:rich>
          </c:tx>
        </c:title>
        <c:numFmt formatCode="#,##0" sourceLinked="1"/>
        <c:tickLblPos val="nextTo"/>
        <c:crossAx val="294528896"/>
        <c:crosses val="autoZero"/>
        <c:crossBetween val="between"/>
      </c:valAx>
    </c:plotArea>
    <c:legend>
      <c:legendPos val="b"/>
      <c:layout>
        <c:manualLayout>
          <c:xMode val="edge"/>
          <c:yMode val="edge"/>
          <c:x val="0"/>
          <c:y val="0.64695053362233212"/>
          <c:w val="0.96722637823063018"/>
          <c:h val="0.35304946637768542"/>
        </c:manualLayout>
      </c:layout>
      <c:spPr>
        <a:ln w="3175"/>
      </c:spPr>
      <c:txPr>
        <a:bodyPr/>
        <a:lstStyle/>
        <a:p>
          <a:pPr>
            <a:defRPr sz="600"/>
          </a:pPr>
          <a:endParaRPr lang="ru-RU"/>
        </a:p>
      </c:txPr>
    </c:legend>
    <c:plotVisOnly val="1"/>
    <c:dispBlanksAs val="gap"/>
  </c:chart>
  <c:txPr>
    <a:bodyPr/>
    <a:lstStyle/>
    <a:p>
      <a:pPr>
        <a:defRPr sz="600"/>
      </a:pPr>
      <a:endParaRPr lang="ru-RU"/>
    </a:p>
  </c:txPr>
  <c:externalData r:id="rId1"/>
</c:chartSpace>
</file>

<file path=word/charts/chart1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Стоимость</a:t>
            </a:r>
            <a:r>
              <a:rPr lang="ru-RU" baseline="0"/>
              <a:t> </a:t>
            </a:r>
            <a:r>
              <a:rPr lang="ru-RU"/>
              <a:t>закупок по видам процедуд</a:t>
            </a:r>
          </a:p>
        </c:rich>
      </c:tx>
    </c:title>
    <c:plotArea>
      <c:layout>
        <c:manualLayout>
          <c:layoutTarget val="inner"/>
          <c:xMode val="edge"/>
          <c:yMode val="edge"/>
          <c:x val="0.16353974597396431"/>
          <c:y val="0.10601342181769259"/>
          <c:w val="0.79814980413882086"/>
          <c:h val="0.48685645063597832"/>
        </c:manualLayout>
      </c:layout>
      <c:barChart>
        <c:barDir val="col"/>
        <c:grouping val="stacked"/>
        <c:ser>
          <c:idx val="0"/>
          <c:order val="0"/>
          <c:tx>
            <c:strRef>
              <c:f>Лист1!$B$1</c:f>
              <c:strCache>
                <c:ptCount val="1"/>
                <c:pt idx="0">
                  <c:v>Закрытый запрос цен, по результатам открытых конкурентных переговоров </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18663</c:v>
                </c:pt>
                <c:pt idx="1">
                  <c:v>18445</c:v>
                </c:pt>
                <c:pt idx="2">
                  <c:v>30644</c:v>
                </c:pt>
              </c:numCache>
            </c:numRef>
          </c:val>
        </c:ser>
        <c:ser>
          <c:idx val="3"/>
          <c:order val="1"/>
          <c:tx>
            <c:strRef>
              <c:f>Лист1!$D$1</c:f>
              <c:strCache>
                <c:ptCount val="1"/>
                <c:pt idx="0">
                  <c:v>Открытый запрос предложений</c:v>
                </c:pt>
              </c:strCache>
            </c:strRef>
          </c:tx>
          <c:dLbls>
            <c:showVal val="1"/>
          </c:dLbls>
          <c:cat>
            <c:numRef>
              <c:f>Лист1!$A$2:$A$4</c:f>
              <c:numCache>
                <c:formatCode>General</c:formatCode>
                <c:ptCount val="3"/>
                <c:pt idx="0">
                  <c:v>2011</c:v>
                </c:pt>
                <c:pt idx="1">
                  <c:v>2012</c:v>
                </c:pt>
                <c:pt idx="2">
                  <c:v>2013</c:v>
                </c:pt>
              </c:numCache>
            </c:numRef>
          </c:cat>
          <c:val>
            <c:numRef>
              <c:f>Лист1!$D$2:$D$4</c:f>
              <c:numCache>
                <c:formatCode>#,##0</c:formatCode>
                <c:ptCount val="3"/>
                <c:pt idx="0">
                  <c:v>6020</c:v>
                </c:pt>
                <c:pt idx="1">
                  <c:v>8612</c:v>
                </c:pt>
                <c:pt idx="2">
                  <c:v>5204</c:v>
                </c:pt>
              </c:numCache>
            </c:numRef>
          </c:val>
        </c:ser>
        <c:ser>
          <c:idx val="4"/>
          <c:order val="2"/>
          <c:tx>
            <c:strRef>
              <c:f>Лист1!$E$1</c:f>
              <c:strCache>
                <c:ptCount val="1"/>
                <c:pt idx="0">
                  <c:v>Открытый конкурс/аукцион</c:v>
                </c:pt>
              </c:strCache>
            </c:strRef>
          </c:tx>
          <c:dLbls>
            <c:showVal val="1"/>
          </c:dLbls>
          <c:cat>
            <c:numRef>
              <c:f>Лист1!$A$2:$A$4</c:f>
              <c:numCache>
                <c:formatCode>General</c:formatCode>
                <c:ptCount val="3"/>
                <c:pt idx="0">
                  <c:v>2011</c:v>
                </c:pt>
                <c:pt idx="1">
                  <c:v>2012</c:v>
                </c:pt>
                <c:pt idx="2">
                  <c:v>2013</c:v>
                </c:pt>
              </c:numCache>
            </c:numRef>
          </c:cat>
          <c:val>
            <c:numRef>
              <c:f>Лист1!$E$2:$E$4</c:f>
              <c:numCache>
                <c:formatCode>#,##0</c:formatCode>
                <c:ptCount val="3"/>
                <c:pt idx="0">
                  <c:v>18466</c:v>
                </c:pt>
                <c:pt idx="1">
                  <c:v>20146</c:v>
                </c:pt>
                <c:pt idx="2">
                  <c:v>47420</c:v>
                </c:pt>
              </c:numCache>
            </c:numRef>
          </c:val>
        </c:ser>
        <c:ser>
          <c:idx val="2"/>
          <c:order val="3"/>
          <c:tx>
            <c:strRef>
              <c:f>Лист1!$C$1</c:f>
              <c:strCache>
                <c:ptCount val="1"/>
                <c:pt idx="0">
                  <c:v>Закупка у единственного поставщика</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33065</c:v>
                </c:pt>
                <c:pt idx="1">
                  <c:v>2141</c:v>
                </c:pt>
                <c:pt idx="2">
                  <c:v>1169</c:v>
                </c:pt>
              </c:numCache>
            </c:numRef>
          </c:val>
        </c:ser>
        <c:ser>
          <c:idx val="5"/>
          <c:order val="4"/>
          <c:tx>
            <c:strRef>
              <c:f>Лист1!$F$1</c:f>
              <c:strCache>
                <c:ptCount val="1"/>
                <c:pt idx="0">
                  <c:v>Прочие </c:v>
                </c:pt>
              </c:strCache>
            </c:strRef>
          </c:tx>
          <c:dLbls>
            <c:dLblPos val="inBase"/>
            <c:showVal val="1"/>
          </c:dLbls>
          <c:cat>
            <c:numRef>
              <c:f>Лист1!$A$2:$A$4</c:f>
              <c:numCache>
                <c:formatCode>General</c:formatCode>
                <c:ptCount val="3"/>
                <c:pt idx="0">
                  <c:v>2011</c:v>
                </c:pt>
                <c:pt idx="1">
                  <c:v>2012</c:v>
                </c:pt>
                <c:pt idx="2">
                  <c:v>2013</c:v>
                </c:pt>
              </c:numCache>
            </c:numRef>
          </c:cat>
          <c:val>
            <c:numRef>
              <c:f>Лист1!$F$2:$F$4</c:f>
              <c:numCache>
                <c:formatCode>#,##0</c:formatCode>
                <c:ptCount val="3"/>
                <c:pt idx="0">
                  <c:v>5064</c:v>
                </c:pt>
                <c:pt idx="1">
                  <c:v>1296</c:v>
                </c:pt>
                <c:pt idx="2">
                  <c:v>1395</c:v>
                </c:pt>
              </c:numCache>
            </c:numRef>
          </c:val>
        </c:ser>
        <c:overlap val="100"/>
        <c:axId val="294597376"/>
        <c:axId val="294598912"/>
      </c:barChart>
      <c:catAx>
        <c:axId val="294597376"/>
        <c:scaling>
          <c:orientation val="minMax"/>
        </c:scaling>
        <c:axPos val="b"/>
        <c:numFmt formatCode="General" sourceLinked="1"/>
        <c:tickLblPos val="nextTo"/>
        <c:crossAx val="294598912"/>
        <c:crosses val="autoZero"/>
        <c:auto val="1"/>
        <c:lblAlgn val="ctr"/>
        <c:lblOffset val="100"/>
      </c:catAx>
      <c:valAx>
        <c:axId val="294598912"/>
        <c:scaling>
          <c:orientation val="minMax"/>
        </c:scaling>
        <c:axPos val="l"/>
        <c:majorGridlines/>
        <c:title>
          <c:tx>
            <c:rich>
              <a:bodyPr rot="-5400000" vert="horz"/>
              <a:lstStyle/>
              <a:p>
                <a:pPr>
                  <a:defRPr/>
                </a:pPr>
                <a:r>
                  <a:rPr lang="ru-RU"/>
                  <a:t>млн руб. с НДС</a:t>
                </a:r>
              </a:p>
            </c:rich>
          </c:tx>
        </c:title>
        <c:numFmt formatCode="#,##0" sourceLinked="1"/>
        <c:tickLblPos val="nextTo"/>
        <c:crossAx val="294597376"/>
        <c:crosses val="autoZero"/>
        <c:crossBetween val="between"/>
      </c:valAx>
    </c:plotArea>
    <c:legend>
      <c:legendPos val="b"/>
      <c:layout>
        <c:manualLayout>
          <c:xMode val="edge"/>
          <c:yMode val="edge"/>
          <c:x val="0"/>
          <c:y val="0.64213594888728243"/>
          <c:w val="1"/>
          <c:h val="0.35786405111272357"/>
        </c:manualLayout>
      </c:layout>
      <c:spPr>
        <a:ln w="3175"/>
      </c:spPr>
      <c:txPr>
        <a:bodyPr/>
        <a:lstStyle/>
        <a:p>
          <a:pPr>
            <a:defRPr sz="600"/>
          </a:pPr>
          <a:endParaRPr lang="ru-RU"/>
        </a:p>
      </c:txPr>
    </c:legend>
    <c:plotVisOnly val="1"/>
    <c:dispBlanksAs val="gap"/>
  </c:chart>
  <c:txPr>
    <a:bodyPr/>
    <a:lstStyle/>
    <a:p>
      <a:pPr>
        <a:defRPr sz="600"/>
      </a:pPr>
      <a:endParaRPr lang="ru-RU"/>
    </a:p>
  </c:txPr>
  <c:externalData r:id="rId1"/>
</c:chartSpace>
</file>

<file path=word/charts/chart1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закупок в 2013 году по количеству закупок </a:t>
            </a:r>
          </a:p>
        </c:rich>
      </c:tx>
    </c:title>
    <c:plotArea>
      <c:layout/>
      <c:pieChart>
        <c:varyColors val="1"/>
        <c:ser>
          <c:idx val="0"/>
          <c:order val="0"/>
          <c:tx>
            <c:strRef>
              <c:f>Лист1!$B$1</c:f>
              <c:strCache>
                <c:ptCount val="1"/>
                <c:pt idx="0">
                  <c:v>Продажи</c:v>
                </c:pt>
              </c:strCache>
            </c:strRef>
          </c:tx>
          <c:dLbls>
            <c:showPercent val="1"/>
            <c:showLeaderLines val="1"/>
          </c:dLbls>
          <c:cat>
            <c:strRef>
              <c:f>Лист1!$A$2:$A$6</c:f>
              <c:strCache>
                <c:ptCount val="5"/>
                <c:pt idx="0">
                  <c:v>Закрытый запрос цен, по результатам открытых конкурентных переговоров </c:v>
                </c:pt>
                <c:pt idx="1">
                  <c:v>Открытый запрос предложений</c:v>
                </c:pt>
                <c:pt idx="2">
                  <c:v>Открытый конкурс/аукцион</c:v>
                </c:pt>
                <c:pt idx="3">
                  <c:v>Закупка у единственного поставщика</c:v>
                </c:pt>
                <c:pt idx="4">
                  <c:v>Прочие </c:v>
                </c:pt>
              </c:strCache>
            </c:strRef>
          </c:cat>
          <c:val>
            <c:numRef>
              <c:f>Лист1!$B$2:$B$6</c:f>
              <c:numCache>
                <c:formatCode>#,##0</c:formatCode>
                <c:ptCount val="5"/>
                <c:pt idx="0">
                  <c:v>2029</c:v>
                </c:pt>
                <c:pt idx="1">
                  <c:v>820</c:v>
                </c:pt>
                <c:pt idx="2">
                  <c:v>442</c:v>
                </c:pt>
                <c:pt idx="3">
                  <c:v>184</c:v>
                </c:pt>
                <c:pt idx="4">
                  <c:v>21</c:v>
                </c:pt>
              </c:numCache>
            </c:numRef>
          </c:val>
        </c:ser>
        <c:firstSliceAng val="0"/>
      </c:pieChart>
    </c:plotArea>
    <c:legend>
      <c:legendPos val="r"/>
      <c:layout>
        <c:manualLayout>
          <c:xMode val="edge"/>
          <c:yMode val="edge"/>
          <c:x val="0.58309358126060129"/>
          <c:y val="0.13765030824635288"/>
          <c:w val="0.41264838169447265"/>
          <c:h val="0.66079930415676003"/>
        </c:manualLayout>
      </c:layout>
      <c:txPr>
        <a:bodyPr/>
        <a:lstStyle/>
        <a:p>
          <a:pPr>
            <a:defRPr sz="600"/>
          </a:pPr>
          <a:endParaRPr lang="ru-RU"/>
        </a:p>
      </c:txPr>
    </c:legend>
    <c:plotVisOnly val="1"/>
    <c:dispBlanksAs val="zero"/>
  </c:chart>
  <c:txPr>
    <a:bodyPr/>
    <a:lstStyle/>
    <a:p>
      <a:pPr>
        <a:defRPr sz="700"/>
      </a:pPr>
      <a:endParaRPr lang="ru-RU"/>
    </a:p>
  </c:txPr>
  <c:externalData r:id="rId1"/>
</c:chartSpace>
</file>

<file path=word/charts/chart1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закупок в 2013 году по стоимости закупок </a:t>
            </a:r>
          </a:p>
        </c:rich>
      </c:tx>
    </c:title>
    <c:plotArea>
      <c:layout/>
      <c:pieChart>
        <c:varyColors val="1"/>
        <c:ser>
          <c:idx val="0"/>
          <c:order val="0"/>
          <c:tx>
            <c:strRef>
              <c:f>Лист1!$B$1</c:f>
              <c:strCache>
                <c:ptCount val="1"/>
                <c:pt idx="0">
                  <c:v>Продажи</c:v>
                </c:pt>
              </c:strCache>
            </c:strRef>
          </c:tx>
          <c:dLbls>
            <c:showPercent val="1"/>
            <c:showLeaderLines val="1"/>
          </c:dLbls>
          <c:cat>
            <c:strRef>
              <c:f>Лист1!$A$2:$A$6</c:f>
              <c:strCache>
                <c:ptCount val="5"/>
                <c:pt idx="0">
                  <c:v>Открытый конкурс/аукцион</c:v>
                </c:pt>
                <c:pt idx="1">
                  <c:v>Закрытый запрос цен, по результатам открытых конкурентных переговоров </c:v>
                </c:pt>
                <c:pt idx="2">
                  <c:v>Открытый запрос предложений</c:v>
                </c:pt>
                <c:pt idx="3">
                  <c:v>Закупка у единственного источника</c:v>
                </c:pt>
                <c:pt idx="4">
                  <c:v>Прочие </c:v>
                </c:pt>
              </c:strCache>
            </c:strRef>
          </c:cat>
          <c:val>
            <c:numRef>
              <c:f>Лист1!$B$2:$B$6</c:f>
              <c:numCache>
                <c:formatCode>#,##0</c:formatCode>
                <c:ptCount val="5"/>
                <c:pt idx="0">
                  <c:v>47420</c:v>
                </c:pt>
                <c:pt idx="1">
                  <c:v>30644</c:v>
                </c:pt>
                <c:pt idx="2">
                  <c:v>5204</c:v>
                </c:pt>
                <c:pt idx="3">
                  <c:v>1169</c:v>
                </c:pt>
                <c:pt idx="4">
                  <c:v>1395</c:v>
                </c:pt>
              </c:numCache>
            </c:numRef>
          </c:val>
        </c:ser>
        <c:firstSliceAng val="0"/>
      </c:pieChart>
    </c:plotArea>
    <c:legend>
      <c:legendPos val="r"/>
      <c:layout>
        <c:manualLayout>
          <c:xMode val="edge"/>
          <c:yMode val="edge"/>
          <c:x val="0.58309358126060107"/>
          <c:y val="0.13765030824635288"/>
          <c:w val="0.41264838169447288"/>
          <c:h val="0.66079930415676025"/>
        </c:manualLayout>
      </c:layout>
      <c:txPr>
        <a:bodyPr/>
        <a:lstStyle/>
        <a:p>
          <a:pPr>
            <a:defRPr sz="600"/>
          </a:pPr>
          <a:endParaRPr lang="ru-RU"/>
        </a:p>
      </c:txPr>
    </c:legend>
    <c:plotVisOnly val="1"/>
    <c:dispBlanksAs val="zero"/>
  </c:chart>
  <c:txPr>
    <a:bodyPr/>
    <a:lstStyle/>
    <a:p>
      <a:pPr>
        <a:defRPr sz="700"/>
      </a:pPr>
      <a:endParaRPr lang="ru-RU"/>
    </a:p>
  </c:txPr>
  <c:externalData r:id="rId1"/>
</c:chartSpace>
</file>

<file path=word/charts/chart11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Соотношение количества открытых и</a:t>
            </a:r>
            <a:r>
              <a:rPr lang="ru-RU" sz="1000" baseline="0"/>
              <a:t> закрытых закупочных</a:t>
            </a:r>
            <a:endParaRPr lang="ru-RU" sz="1000"/>
          </a:p>
        </c:rich>
      </c:tx>
    </c:title>
    <c:plotArea>
      <c:layout/>
      <c:barChart>
        <c:barDir val="col"/>
        <c:grouping val="percentStacked"/>
        <c:ser>
          <c:idx val="0"/>
          <c:order val="0"/>
          <c:tx>
            <c:strRef>
              <c:f>Лист1!$B$1</c:f>
              <c:strCache>
                <c:ptCount val="1"/>
                <c:pt idx="0">
                  <c:v>Открытые закупочные процедуры</c:v>
                </c:pt>
              </c:strCache>
            </c:strRef>
          </c:tx>
          <c:dLbls>
            <c:showVal val="1"/>
          </c:dLbls>
          <c:cat>
            <c:strRef>
              <c:f>Лист1!$A$2:$A$4</c:f>
              <c:strCache>
                <c:ptCount val="3"/>
                <c:pt idx="0">
                  <c:v>2011</c:v>
                </c:pt>
                <c:pt idx="1">
                  <c:v>2012</c:v>
                </c:pt>
                <c:pt idx="2">
                  <c:v>2013</c:v>
                </c:pt>
              </c:strCache>
            </c:strRef>
          </c:cat>
          <c:val>
            <c:numRef>
              <c:f>Лист1!$B$2:$B$4</c:f>
              <c:numCache>
                <c:formatCode>0.00%</c:formatCode>
                <c:ptCount val="3"/>
                <c:pt idx="0">
                  <c:v>0.65280000000001193</c:v>
                </c:pt>
                <c:pt idx="1">
                  <c:v>0.90439999999999998</c:v>
                </c:pt>
                <c:pt idx="2">
                  <c:v>0.94710000000000005</c:v>
                </c:pt>
              </c:numCache>
            </c:numRef>
          </c:val>
        </c:ser>
        <c:ser>
          <c:idx val="1"/>
          <c:order val="1"/>
          <c:tx>
            <c:strRef>
              <c:f>Лист1!$C$1</c:f>
              <c:strCache>
                <c:ptCount val="1"/>
                <c:pt idx="0">
                  <c:v>Закрытые закупочные процедуры</c:v>
                </c:pt>
              </c:strCache>
            </c:strRef>
          </c:tx>
          <c:dLbls>
            <c:showVal val="1"/>
          </c:dLbls>
          <c:cat>
            <c:strRef>
              <c:f>Лист1!$A$2:$A$4</c:f>
              <c:strCache>
                <c:ptCount val="3"/>
                <c:pt idx="0">
                  <c:v>2011</c:v>
                </c:pt>
                <c:pt idx="1">
                  <c:v>2012</c:v>
                </c:pt>
                <c:pt idx="2">
                  <c:v>2013</c:v>
                </c:pt>
              </c:strCache>
            </c:strRef>
          </c:cat>
          <c:val>
            <c:numRef>
              <c:f>Лист1!$C$2:$C$4</c:f>
              <c:numCache>
                <c:formatCode>0.00%</c:formatCode>
                <c:ptCount val="3"/>
                <c:pt idx="0">
                  <c:v>0.34720000000000001</c:v>
                </c:pt>
                <c:pt idx="1">
                  <c:v>9.5600000000000046E-2</c:v>
                </c:pt>
                <c:pt idx="2">
                  <c:v>5.2900000000000023E-2</c:v>
                </c:pt>
              </c:numCache>
            </c:numRef>
          </c:val>
        </c:ser>
        <c:overlap val="100"/>
        <c:axId val="295076608"/>
        <c:axId val="295078144"/>
      </c:barChart>
      <c:catAx>
        <c:axId val="295076608"/>
        <c:scaling>
          <c:orientation val="minMax"/>
        </c:scaling>
        <c:axPos val="b"/>
        <c:tickLblPos val="nextTo"/>
        <c:crossAx val="295078144"/>
        <c:crosses val="autoZero"/>
        <c:auto val="1"/>
        <c:lblAlgn val="ctr"/>
        <c:lblOffset val="100"/>
      </c:catAx>
      <c:valAx>
        <c:axId val="295078144"/>
        <c:scaling>
          <c:orientation val="minMax"/>
        </c:scaling>
        <c:axPos val="l"/>
        <c:majorGridlines/>
        <c:numFmt formatCode="0%" sourceLinked="1"/>
        <c:tickLblPos val="nextTo"/>
        <c:crossAx val="295076608"/>
        <c:crosses val="autoZero"/>
        <c:crossBetween val="between"/>
      </c:valAx>
    </c:plotArea>
    <c:legend>
      <c:legendPos val="b"/>
    </c:legend>
    <c:plotVisOnly val="1"/>
    <c:dispBlanksAs val="gap"/>
  </c:chart>
  <c:txPr>
    <a:bodyPr/>
    <a:lstStyle/>
    <a:p>
      <a:pPr>
        <a:defRPr sz="900"/>
      </a:pPr>
      <a:endParaRPr lang="ru-RU"/>
    </a:p>
  </c:txPr>
  <c:externalData r:id="rId1"/>
</c:chartSpace>
</file>

<file path=word/charts/chart11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Соотношение количества</a:t>
            </a:r>
            <a:r>
              <a:rPr lang="ru-RU" sz="1000" baseline="0"/>
              <a:t> </a:t>
            </a:r>
            <a:r>
              <a:rPr lang="ru-RU" sz="1000"/>
              <a:t>открытых и</a:t>
            </a:r>
            <a:r>
              <a:rPr lang="ru-RU" sz="1000" baseline="0"/>
              <a:t> закрытых закупочных (по стоимости закупок)</a:t>
            </a:r>
            <a:endParaRPr lang="ru-RU" sz="1000"/>
          </a:p>
        </c:rich>
      </c:tx>
    </c:title>
    <c:plotArea>
      <c:layout/>
      <c:barChart>
        <c:barDir val="col"/>
        <c:grouping val="percentStacked"/>
        <c:ser>
          <c:idx val="0"/>
          <c:order val="0"/>
          <c:tx>
            <c:strRef>
              <c:f>Лист1!$B$1</c:f>
              <c:strCache>
                <c:ptCount val="1"/>
                <c:pt idx="0">
                  <c:v>Открытые закупочные процедуры</c:v>
                </c:pt>
              </c:strCache>
            </c:strRef>
          </c:tx>
          <c:dLbls>
            <c:showVal val="1"/>
          </c:dLbls>
          <c:cat>
            <c:strRef>
              <c:f>Лист1!$A$2:$A$4</c:f>
              <c:strCache>
                <c:ptCount val="3"/>
                <c:pt idx="0">
                  <c:v>2011</c:v>
                </c:pt>
                <c:pt idx="1">
                  <c:v>2012</c:v>
                </c:pt>
                <c:pt idx="2">
                  <c:v>2013</c:v>
                </c:pt>
              </c:strCache>
            </c:strRef>
          </c:cat>
          <c:val>
            <c:numRef>
              <c:f>Лист1!$B$2:$B$4</c:f>
              <c:numCache>
                <c:formatCode>0.00%</c:formatCode>
                <c:ptCount val="3"/>
                <c:pt idx="0">
                  <c:v>0.57820000000000005</c:v>
                </c:pt>
                <c:pt idx="1">
                  <c:v>0.94460000000000865</c:v>
                </c:pt>
                <c:pt idx="2">
                  <c:v>0.9863999999999995</c:v>
                </c:pt>
              </c:numCache>
            </c:numRef>
          </c:val>
        </c:ser>
        <c:ser>
          <c:idx val="1"/>
          <c:order val="1"/>
          <c:tx>
            <c:strRef>
              <c:f>Лист1!$C$1</c:f>
              <c:strCache>
                <c:ptCount val="1"/>
                <c:pt idx="0">
                  <c:v>Закрытые закупочные процедуры</c:v>
                </c:pt>
              </c:strCache>
            </c:strRef>
          </c:tx>
          <c:dLbls>
            <c:showVal val="1"/>
          </c:dLbls>
          <c:cat>
            <c:strRef>
              <c:f>Лист1!$A$2:$A$4</c:f>
              <c:strCache>
                <c:ptCount val="3"/>
                <c:pt idx="0">
                  <c:v>2011</c:v>
                </c:pt>
                <c:pt idx="1">
                  <c:v>2012</c:v>
                </c:pt>
                <c:pt idx="2">
                  <c:v>2013</c:v>
                </c:pt>
              </c:strCache>
            </c:strRef>
          </c:cat>
          <c:val>
            <c:numRef>
              <c:f>Лист1!$C$2:$C$4</c:f>
              <c:numCache>
                <c:formatCode>0.00%</c:formatCode>
                <c:ptCount val="3"/>
                <c:pt idx="0">
                  <c:v>0.42180000000000517</c:v>
                </c:pt>
                <c:pt idx="1">
                  <c:v>5.5400000000000033E-2</c:v>
                </c:pt>
                <c:pt idx="2">
                  <c:v>1.3599999999999998E-2</c:v>
                </c:pt>
              </c:numCache>
            </c:numRef>
          </c:val>
        </c:ser>
        <c:overlap val="100"/>
        <c:axId val="295107968"/>
        <c:axId val="295109760"/>
      </c:barChart>
      <c:catAx>
        <c:axId val="295107968"/>
        <c:scaling>
          <c:orientation val="minMax"/>
        </c:scaling>
        <c:axPos val="b"/>
        <c:tickLblPos val="nextTo"/>
        <c:crossAx val="295109760"/>
        <c:crosses val="autoZero"/>
        <c:auto val="1"/>
        <c:lblAlgn val="ctr"/>
        <c:lblOffset val="100"/>
      </c:catAx>
      <c:valAx>
        <c:axId val="295109760"/>
        <c:scaling>
          <c:orientation val="minMax"/>
        </c:scaling>
        <c:axPos val="l"/>
        <c:majorGridlines/>
        <c:numFmt formatCode="0%" sourceLinked="1"/>
        <c:tickLblPos val="nextTo"/>
        <c:crossAx val="295107968"/>
        <c:crosses val="autoZero"/>
        <c:crossBetween val="between"/>
      </c:valAx>
    </c:plotArea>
    <c:legend>
      <c:legendPos val="b"/>
    </c:legend>
    <c:plotVisOnly val="1"/>
    <c:dispBlanksAs val="gap"/>
  </c:chart>
  <c:txPr>
    <a:bodyPr/>
    <a:lstStyle/>
    <a:p>
      <a:pPr>
        <a:defRPr sz="900"/>
      </a:pPr>
      <a:endParaRPr lang="ru-RU"/>
    </a:p>
  </c:txPr>
  <c:externalData r:id="rId1"/>
</c:chartSpace>
</file>

<file path=word/charts/chart11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rtl="0">
              <a:defRPr/>
            </a:pPr>
            <a:r>
              <a:rPr lang="ru-RU"/>
              <a:t>Представители акционеров Общества в составе Совета директоров, действовавшем до</a:t>
            </a:r>
            <a:r>
              <a:rPr lang="ru-RU" baseline="0"/>
              <a:t> 26.06.2013</a:t>
            </a:r>
            <a:endParaRPr lang="ru-RU"/>
          </a:p>
        </c:rich>
      </c:tx>
    </c:title>
    <c:plotArea>
      <c:layout>
        <c:manualLayout>
          <c:layoutTarget val="inner"/>
          <c:xMode val="edge"/>
          <c:yMode val="edge"/>
          <c:x val="0.24658504389518643"/>
          <c:y val="0.18184523239894329"/>
          <c:w val="0.54983066013761017"/>
          <c:h val="0.42651748016185254"/>
        </c:manualLayout>
      </c:layout>
      <c:pieChart>
        <c:varyColors val="1"/>
        <c:ser>
          <c:idx val="0"/>
          <c:order val="0"/>
          <c:tx>
            <c:strRef>
              <c:f>Лист1!$B$1</c:f>
              <c:strCache>
                <c:ptCount val="1"/>
                <c:pt idx="0">
                  <c:v>Продажи</c:v>
                </c:pt>
              </c:strCache>
            </c:strRef>
          </c:tx>
          <c:dPt>
            <c:idx val="2"/>
            <c:explosion val="6"/>
          </c:dPt>
          <c:dPt>
            <c:idx val="4"/>
            <c:spPr>
              <a:solidFill>
                <a:srgbClr val="00B0F0"/>
              </a:solidFill>
            </c:spPr>
          </c:dPt>
          <c:dLbls>
            <c:showVal val="1"/>
            <c:showPercent val="1"/>
            <c:showLeaderLines val="1"/>
          </c:dLbls>
          <c:cat>
            <c:strRef>
              <c:f>Лист1!$A$2:$A$6</c:f>
              <c:strCache>
                <c:ptCount val="5"/>
                <c:pt idx="0">
                  <c:v>ОАО "Холдинг МРСК"</c:v>
                </c:pt>
                <c:pt idx="1">
                  <c:v>ЗАО "Лидер" (Компания по управлению активами пенсионного фонда)</c:v>
                </c:pt>
                <c:pt idx="2">
                  <c:v>ООО "УК "АГАНА"</c:v>
                </c:pt>
                <c:pt idx="3">
                  <c:v>Группа акционеров* </c:v>
                </c:pt>
                <c:pt idx="4">
                  <c:v>ГПБ-ДИ ХОЛДИНГС ЛИМИТЕД (GPB-DI HOLDINGS LIMITED)</c:v>
                </c:pt>
              </c:strCache>
            </c:strRef>
          </c:cat>
          <c:val>
            <c:numRef>
              <c:f>Лист1!$B$2:$B$6</c:f>
              <c:numCache>
                <c:formatCode>General</c:formatCode>
                <c:ptCount val="5"/>
                <c:pt idx="0">
                  <c:v>7</c:v>
                </c:pt>
                <c:pt idx="1">
                  <c:v>3</c:v>
                </c:pt>
                <c:pt idx="2">
                  <c:v>1</c:v>
                </c:pt>
                <c:pt idx="3">
                  <c:v>1</c:v>
                </c:pt>
                <c:pt idx="4">
                  <c:v>1</c:v>
                </c:pt>
              </c:numCache>
            </c:numRef>
          </c:val>
        </c:ser>
        <c:firstSliceAng val="0"/>
      </c:pieChart>
    </c:plotArea>
    <c:legend>
      <c:legendPos val="b"/>
      <c:layout>
        <c:manualLayout>
          <c:xMode val="edge"/>
          <c:yMode val="edge"/>
          <c:x val="3.611512102653839E-2"/>
          <c:y val="0.64342689717946799"/>
          <c:w val="0.96271516271101809"/>
          <c:h val="0.33277190618552382"/>
        </c:manualLayout>
      </c:layout>
    </c:legend>
    <c:plotVisOnly val="1"/>
    <c:dispBlanksAs val="zero"/>
  </c:chart>
  <c:txPr>
    <a:bodyPr/>
    <a:lstStyle/>
    <a:p>
      <a:pPr>
        <a:defRPr sz="900"/>
      </a:pPr>
      <a:endParaRPr lang="ru-RU"/>
    </a:p>
  </c:txPr>
  <c:externalData r:id="rId1"/>
</c:chartSpace>
</file>

<file path=word/charts/chart11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rtl="0">
              <a:defRPr/>
            </a:pPr>
            <a:r>
              <a:rPr lang="ru-RU"/>
              <a:t>Представители акционеров Общества в действующем  составе</a:t>
            </a:r>
            <a:r>
              <a:rPr lang="ru-RU" baseline="0"/>
              <a:t> С</a:t>
            </a:r>
            <a:r>
              <a:rPr lang="ru-RU"/>
              <a:t>овета директоров</a:t>
            </a:r>
          </a:p>
        </c:rich>
      </c:tx>
    </c:title>
    <c:plotArea>
      <c:layout>
        <c:manualLayout>
          <c:layoutTarget val="inner"/>
          <c:xMode val="edge"/>
          <c:yMode val="edge"/>
          <c:x val="0.24658504389518643"/>
          <c:y val="0.18184523239894329"/>
          <c:w val="0.54983066013761017"/>
          <c:h val="0.42651748016185254"/>
        </c:manualLayout>
      </c:layout>
      <c:pieChart>
        <c:varyColors val="1"/>
        <c:ser>
          <c:idx val="0"/>
          <c:order val="0"/>
          <c:tx>
            <c:strRef>
              <c:f>Лист1!$B$1</c:f>
              <c:strCache>
                <c:ptCount val="1"/>
                <c:pt idx="0">
                  <c:v>Продажи</c:v>
                </c:pt>
              </c:strCache>
            </c:strRef>
          </c:tx>
          <c:dPt>
            <c:idx val="2"/>
            <c:spPr>
              <a:solidFill>
                <a:schemeClr val="accent4"/>
              </a:solidFill>
            </c:spPr>
          </c:dPt>
          <c:dPt>
            <c:idx val="3"/>
            <c:spPr>
              <a:solidFill>
                <a:srgbClr val="00B0F0"/>
              </a:solidFill>
            </c:spPr>
          </c:dPt>
          <c:dLbls>
            <c:showVal val="1"/>
            <c:showPercent val="1"/>
            <c:showLeaderLines val="1"/>
          </c:dLbls>
          <c:cat>
            <c:strRef>
              <c:f>Лист1!$A$2:$A$5</c:f>
              <c:strCache>
                <c:ptCount val="4"/>
                <c:pt idx="0">
                  <c:v>ОАО "Холдинг МРСК"</c:v>
                </c:pt>
                <c:pt idx="1">
                  <c:v>ЗАО "Лидер" (Компания по управлению активами пенсионного фонда)</c:v>
                </c:pt>
                <c:pt idx="2">
                  <c:v>Группа акционеров* </c:v>
                </c:pt>
                <c:pt idx="3">
                  <c:v>ГПБ-ДИ ХОЛДИНГС ЛИМИТЕД (GPB-DI HOLDINGS LIMITED)</c:v>
                </c:pt>
              </c:strCache>
            </c:strRef>
          </c:cat>
          <c:val>
            <c:numRef>
              <c:f>Лист1!$B$2:$B$5</c:f>
              <c:numCache>
                <c:formatCode>General</c:formatCode>
                <c:ptCount val="4"/>
                <c:pt idx="0">
                  <c:v>7</c:v>
                </c:pt>
                <c:pt idx="1">
                  <c:v>4</c:v>
                </c:pt>
                <c:pt idx="2">
                  <c:v>1</c:v>
                </c:pt>
                <c:pt idx="3">
                  <c:v>1</c:v>
                </c:pt>
              </c:numCache>
            </c:numRef>
          </c:val>
        </c:ser>
        <c:firstSliceAng val="0"/>
      </c:pieChart>
    </c:plotArea>
    <c:legend>
      <c:legendPos val="b"/>
      <c:layout>
        <c:manualLayout>
          <c:xMode val="edge"/>
          <c:yMode val="edge"/>
          <c:x val="3.6115121026538362E-2"/>
          <c:y val="0.62398143132042183"/>
          <c:w val="0.92511740294004929"/>
          <c:h val="0.35221770103238798"/>
        </c:manualLayout>
      </c:layout>
    </c:legend>
    <c:plotVisOnly val="1"/>
    <c:dispBlanksAs val="zero"/>
  </c:chart>
  <c:txPr>
    <a:bodyPr/>
    <a:lstStyle/>
    <a:p>
      <a:pPr>
        <a:defRPr sz="900"/>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rtl="0">
              <a:defRPr sz="1100"/>
            </a:pPr>
            <a:r>
              <a:rPr lang="ru-RU" sz="1100"/>
              <a:t>Доля НВВ </a:t>
            </a:r>
            <a:r>
              <a:rPr lang="ru-RU" sz="1100" b="1" i="0" u="none" strike="noStrike" kern="1200" baseline="0">
                <a:solidFill>
                  <a:sysClr val="windowText" lastClr="000000"/>
                </a:solidFill>
                <a:latin typeface="+mn-lt"/>
                <a:ea typeface="+mn-ea"/>
                <a:cs typeface="+mn-cs"/>
              </a:rPr>
              <a:t>ОАО </a:t>
            </a:r>
            <a:r>
              <a:rPr lang="ru-RU" sz="1100"/>
              <a:t>"МОЭСК" </a:t>
            </a:r>
          </a:p>
          <a:p>
            <a:pPr algn="ctr" rtl="0">
              <a:defRPr sz="1100"/>
            </a:pPr>
            <a:r>
              <a:rPr lang="ru-RU" sz="1100"/>
              <a:t>в НВВ Московского региона </a:t>
            </a:r>
          </a:p>
        </c:rich>
      </c:tx>
    </c:title>
    <c:plotArea>
      <c:layout>
        <c:manualLayout>
          <c:layoutTarget val="inner"/>
          <c:xMode val="edge"/>
          <c:yMode val="edge"/>
          <c:x val="5.7635460792848724E-2"/>
          <c:y val="0.18417151321431166"/>
          <c:w val="0.8973511726722857"/>
          <c:h val="0.58881248293348942"/>
        </c:manualLayout>
      </c:layout>
      <c:barChart>
        <c:barDir val="col"/>
        <c:grouping val="percentStacked"/>
        <c:ser>
          <c:idx val="0"/>
          <c:order val="0"/>
          <c:tx>
            <c:strRef>
              <c:f>Лист1!$B$1</c:f>
              <c:strCache>
                <c:ptCount val="1"/>
                <c:pt idx="0">
                  <c:v>НВВ ОАО "МОЭСК"</c:v>
                </c:pt>
              </c:strCache>
            </c:strRef>
          </c:tx>
          <c:dLbls>
            <c:numFmt formatCode="0.00%" sourceLinked="0"/>
            <c:showVal val="1"/>
          </c:dLbls>
          <c:cat>
            <c:numRef>
              <c:f>Лист1!$A$2:$A$4</c:f>
              <c:numCache>
                <c:formatCode>General</c:formatCode>
                <c:ptCount val="3"/>
                <c:pt idx="0">
                  <c:v>2011</c:v>
                </c:pt>
                <c:pt idx="1">
                  <c:v>2012</c:v>
                </c:pt>
                <c:pt idx="2">
                  <c:v>2013</c:v>
                </c:pt>
              </c:numCache>
            </c:numRef>
          </c:cat>
          <c:val>
            <c:numRef>
              <c:f>Лист1!$B$2:$B$4</c:f>
              <c:numCache>
                <c:formatCode>0.00%</c:formatCode>
                <c:ptCount val="3"/>
                <c:pt idx="0">
                  <c:v>0.68670000000000064</c:v>
                </c:pt>
                <c:pt idx="1">
                  <c:v>0.75220000000000065</c:v>
                </c:pt>
                <c:pt idx="2">
                  <c:v>0.70960000000000578</c:v>
                </c:pt>
              </c:numCache>
            </c:numRef>
          </c:val>
        </c:ser>
        <c:ser>
          <c:idx val="1"/>
          <c:order val="1"/>
          <c:tx>
            <c:strRef>
              <c:f>Лист1!$C$1</c:f>
              <c:strCache>
                <c:ptCount val="1"/>
                <c:pt idx="0">
                  <c:v>НВВ ТСО</c:v>
                </c:pt>
              </c:strCache>
            </c:strRef>
          </c:tx>
          <c:spPr>
            <a:noFill/>
            <a:ln>
              <a:solidFill>
                <a:schemeClr val="accent1"/>
              </a:solidFill>
            </a:ln>
          </c:spPr>
          <c:dLbls>
            <c:numFmt formatCode="0.00%" sourceLinked="0"/>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0.31330000000000335</c:v>
                </c:pt>
                <c:pt idx="1">
                  <c:v>0.24780000000000021</c:v>
                </c:pt>
                <c:pt idx="2">
                  <c:v>0.29040000000000032</c:v>
                </c:pt>
              </c:numCache>
            </c:numRef>
          </c:val>
        </c:ser>
        <c:overlap val="100"/>
        <c:axId val="74737152"/>
        <c:axId val="74738688"/>
      </c:barChart>
      <c:catAx>
        <c:axId val="74737152"/>
        <c:scaling>
          <c:orientation val="minMax"/>
        </c:scaling>
        <c:axPos val="b"/>
        <c:numFmt formatCode="General" sourceLinked="1"/>
        <c:tickLblPos val="nextTo"/>
        <c:crossAx val="74738688"/>
        <c:crosses val="autoZero"/>
        <c:auto val="1"/>
        <c:lblAlgn val="ctr"/>
        <c:lblOffset val="100"/>
      </c:catAx>
      <c:valAx>
        <c:axId val="74738688"/>
        <c:scaling>
          <c:orientation val="minMax"/>
          <c:min val="0.30000000000000032"/>
        </c:scaling>
        <c:delete val="1"/>
        <c:axPos val="l"/>
        <c:majorGridlines/>
        <c:numFmt formatCode="0%" sourceLinked="1"/>
        <c:tickLblPos val="none"/>
        <c:crossAx val="74737152"/>
        <c:crosses val="autoZero"/>
        <c:crossBetween val="between"/>
      </c:valAx>
    </c:plotArea>
    <c:legend>
      <c:legendPos val="b"/>
      <c:layout>
        <c:manualLayout>
          <c:xMode val="edge"/>
          <c:yMode val="edge"/>
          <c:x val="0.32587276463383652"/>
          <c:y val="0.87460339533503162"/>
          <c:w val="0.43472202319158981"/>
          <c:h val="0.10163774030127108"/>
        </c:manualLayout>
      </c:layout>
    </c:legend>
    <c:plotVisOnly val="1"/>
    <c:dispBlanksAs val="gap"/>
  </c:chart>
  <c:txPr>
    <a:bodyPr/>
    <a:lstStyle/>
    <a:p>
      <a:pPr>
        <a:defRPr sz="800"/>
      </a:pPr>
      <a:endParaRPr lang="ru-RU"/>
    </a:p>
  </c:txPr>
  <c:externalData r:id="rId1"/>
</c:chartSpace>
</file>

<file path=word/charts/chart12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rtl="0">
              <a:defRPr/>
            </a:pPr>
            <a:r>
              <a:rPr lang="ru-RU"/>
              <a:t>Классификация вопросов, рассмотренных Советом директоров</a:t>
            </a:r>
          </a:p>
        </c:rich>
      </c:tx>
      <c:layout>
        <c:manualLayout>
          <c:xMode val="edge"/>
          <c:yMode val="edge"/>
          <c:x val="0.11446759259259139"/>
          <c:y val="0"/>
        </c:manualLayout>
      </c:layout>
    </c:title>
    <c:plotArea>
      <c:layout/>
      <c:barChart>
        <c:barDir val="col"/>
        <c:grouping val="percentStacked"/>
        <c:ser>
          <c:idx val="4"/>
          <c:order val="0"/>
          <c:tx>
            <c:strRef>
              <c:f>Лист1!$F$1</c:f>
              <c:strCache>
                <c:ptCount val="1"/>
                <c:pt idx="0">
                  <c:v>Одобрение сделок</c:v>
                </c:pt>
              </c:strCache>
            </c:strRef>
          </c:tx>
          <c:dLbls>
            <c:showVal val="1"/>
          </c:dLbls>
          <c:cat>
            <c:numRef>
              <c:f>Лист1!$A$2:$A$4</c:f>
              <c:numCache>
                <c:formatCode>General</c:formatCode>
                <c:ptCount val="3"/>
                <c:pt idx="0">
                  <c:v>2011</c:v>
                </c:pt>
                <c:pt idx="1">
                  <c:v>2012</c:v>
                </c:pt>
                <c:pt idx="2">
                  <c:v>2013</c:v>
                </c:pt>
              </c:numCache>
            </c:numRef>
          </c:cat>
          <c:val>
            <c:numRef>
              <c:f>Лист1!$F$2:$F$4</c:f>
              <c:numCache>
                <c:formatCode>0.00%</c:formatCode>
                <c:ptCount val="3"/>
                <c:pt idx="0">
                  <c:v>0.37628865979382092</c:v>
                </c:pt>
                <c:pt idx="1">
                  <c:v>0.29268292682927538</c:v>
                </c:pt>
                <c:pt idx="2">
                  <c:v>0.37659033078880438</c:v>
                </c:pt>
              </c:numCache>
            </c:numRef>
          </c:val>
        </c:ser>
        <c:ser>
          <c:idx val="2"/>
          <c:order val="1"/>
          <c:tx>
            <c:strRef>
              <c:f>Лист1!$D$1</c:f>
              <c:strCache>
                <c:ptCount val="1"/>
                <c:pt idx="0">
                  <c:v>Корпоративное управление</c:v>
                </c:pt>
              </c:strCache>
            </c:strRef>
          </c:tx>
          <c:dLbls>
            <c:showVal val="1"/>
          </c:dLbls>
          <c:cat>
            <c:numRef>
              <c:f>Лист1!$A$2:$A$4</c:f>
              <c:numCache>
                <c:formatCode>General</c:formatCode>
                <c:ptCount val="3"/>
                <c:pt idx="0">
                  <c:v>2011</c:v>
                </c:pt>
                <c:pt idx="1">
                  <c:v>2012</c:v>
                </c:pt>
                <c:pt idx="2">
                  <c:v>2013</c:v>
                </c:pt>
              </c:numCache>
            </c:numRef>
          </c:cat>
          <c:val>
            <c:numRef>
              <c:f>Лист1!$D$2:$D$4</c:f>
              <c:numCache>
                <c:formatCode>0.00%</c:formatCode>
                <c:ptCount val="3"/>
                <c:pt idx="0">
                  <c:v>0.33247422680412936</c:v>
                </c:pt>
                <c:pt idx="1">
                  <c:v>0.36829268292682932</c:v>
                </c:pt>
                <c:pt idx="2">
                  <c:v>0.2951653944020356</c:v>
                </c:pt>
              </c:numCache>
            </c:numRef>
          </c:val>
        </c:ser>
        <c:ser>
          <c:idx val="3"/>
          <c:order val="2"/>
          <c:tx>
            <c:strRef>
              <c:f>Лист1!$E$1</c:f>
              <c:strCache>
                <c:ptCount val="1"/>
                <c:pt idx="0">
                  <c:v>Контроль работы менеджмента</c:v>
                </c:pt>
              </c:strCache>
            </c:strRef>
          </c:tx>
          <c:dLbls>
            <c:showVal val="1"/>
          </c:dLbls>
          <c:cat>
            <c:numRef>
              <c:f>Лист1!$A$2:$A$4</c:f>
              <c:numCache>
                <c:formatCode>General</c:formatCode>
                <c:ptCount val="3"/>
                <c:pt idx="0">
                  <c:v>2011</c:v>
                </c:pt>
                <c:pt idx="1">
                  <c:v>2012</c:v>
                </c:pt>
                <c:pt idx="2">
                  <c:v>2013</c:v>
                </c:pt>
              </c:numCache>
            </c:numRef>
          </c:cat>
          <c:val>
            <c:numRef>
              <c:f>Лист1!$E$2:$E$4</c:f>
              <c:numCache>
                <c:formatCode>0.00%</c:formatCode>
                <c:ptCount val="3"/>
                <c:pt idx="0">
                  <c:v>0.15721649484536768</c:v>
                </c:pt>
                <c:pt idx="1">
                  <c:v>0.23170731707317074</c:v>
                </c:pt>
                <c:pt idx="2">
                  <c:v>0.21882951653944024</c:v>
                </c:pt>
              </c:numCache>
            </c:numRef>
          </c:val>
        </c:ser>
        <c:ser>
          <c:idx val="1"/>
          <c:order val="3"/>
          <c:tx>
            <c:strRef>
              <c:f>Лист1!$C$1</c:f>
              <c:strCache>
                <c:ptCount val="1"/>
                <c:pt idx="0">
                  <c:v>Утверждение/корректировка финансовых документов</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9.0206185567010544E-2</c:v>
                </c:pt>
                <c:pt idx="1">
                  <c:v>5.1219512195121948E-2</c:v>
                </c:pt>
                <c:pt idx="2">
                  <c:v>7.6335877862595422E-2</c:v>
                </c:pt>
              </c:numCache>
            </c:numRef>
          </c:val>
        </c:ser>
        <c:ser>
          <c:idx val="0"/>
          <c:order val="4"/>
          <c:tx>
            <c:strRef>
              <c:f>Лист1!$B$1</c:f>
              <c:strCache>
                <c:ptCount val="1"/>
                <c:pt idx="0">
                  <c:v>Вопросы стратегии</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0.00%</c:formatCode>
                <c:ptCount val="3"/>
                <c:pt idx="0">
                  <c:v>4.3814432989690934E-2</c:v>
                </c:pt>
                <c:pt idx="1">
                  <c:v>5.6097560975609764E-2</c:v>
                </c:pt>
                <c:pt idx="2">
                  <c:v>3.3078880407125012E-2</c:v>
                </c:pt>
              </c:numCache>
            </c:numRef>
          </c:val>
        </c:ser>
        <c:overlap val="100"/>
        <c:axId val="295473152"/>
        <c:axId val="295474688"/>
      </c:barChart>
      <c:catAx>
        <c:axId val="295473152"/>
        <c:scaling>
          <c:orientation val="minMax"/>
        </c:scaling>
        <c:axPos val="b"/>
        <c:numFmt formatCode="General" sourceLinked="1"/>
        <c:tickLblPos val="nextTo"/>
        <c:crossAx val="295474688"/>
        <c:crosses val="autoZero"/>
        <c:auto val="1"/>
        <c:lblAlgn val="ctr"/>
        <c:lblOffset val="100"/>
      </c:catAx>
      <c:valAx>
        <c:axId val="295474688"/>
        <c:scaling>
          <c:orientation val="minMax"/>
        </c:scaling>
        <c:axPos val="l"/>
        <c:majorGridlines/>
        <c:numFmt formatCode="0%" sourceLinked="1"/>
        <c:tickLblPos val="nextTo"/>
        <c:crossAx val="295473152"/>
        <c:crosses val="autoZero"/>
        <c:crossBetween val="between"/>
      </c:valAx>
    </c:plotArea>
    <c:legend>
      <c:legendPos val="r"/>
      <c:layout>
        <c:manualLayout>
          <c:xMode val="edge"/>
          <c:yMode val="edge"/>
          <c:x val="0.67073035141441795"/>
          <c:y val="0.20166322959630276"/>
          <c:w val="0.3292698544514257"/>
          <c:h val="0.74566321101754174"/>
        </c:manualLayout>
      </c:layout>
    </c:legend>
    <c:plotVisOnly val="1"/>
    <c:dispBlanksAs val="gap"/>
  </c:chart>
  <c:txPr>
    <a:bodyPr/>
    <a:lstStyle/>
    <a:p>
      <a:pPr>
        <a:defRPr sz="900"/>
      </a:pPr>
      <a:endParaRPr lang="ru-RU"/>
    </a:p>
  </c:txPr>
  <c:externalData r:id="rId1"/>
</c:chartSpace>
</file>

<file path=word/charts/chart12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Количество заседаний </a:t>
            </a:r>
          </a:p>
          <a:p>
            <a:pPr>
              <a:defRPr/>
            </a:pPr>
            <a:r>
              <a:rPr lang="ru-RU"/>
              <a:t>Совета директоров</a:t>
            </a:r>
          </a:p>
        </c:rich>
      </c:tx>
    </c:title>
    <c:plotArea>
      <c:layout/>
      <c:barChart>
        <c:barDir val="col"/>
        <c:grouping val="stacked"/>
        <c:ser>
          <c:idx val="0"/>
          <c:order val="0"/>
          <c:tx>
            <c:strRef>
              <c:f>Лист1!$B$1</c:f>
              <c:strCache>
                <c:ptCount val="1"/>
                <c:pt idx="0">
                  <c:v>Количество заседаний</c:v>
                </c:pt>
              </c:strCache>
            </c:strRef>
          </c:tx>
          <c:dLbls>
            <c:dLblPos val="inBase"/>
            <c:showVal val="1"/>
          </c:dLbls>
          <c:cat>
            <c:numRef>
              <c:f>Лист1!$A$2:$A$4</c:f>
              <c:numCache>
                <c:formatCode>General</c:formatCode>
                <c:ptCount val="3"/>
                <c:pt idx="0">
                  <c:v>2011</c:v>
                </c:pt>
                <c:pt idx="1">
                  <c:v>2012</c:v>
                </c:pt>
                <c:pt idx="2">
                  <c:v>2013</c:v>
                </c:pt>
              </c:numCache>
            </c:numRef>
          </c:cat>
          <c:val>
            <c:numRef>
              <c:f>Лист1!$B$2:$B$4</c:f>
              <c:numCache>
                <c:formatCode>General</c:formatCode>
                <c:ptCount val="3"/>
                <c:pt idx="0">
                  <c:v>32</c:v>
                </c:pt>
                <c:pt idx="1">
                  <c:v>34</c:v>
                </c:pt>
                <c:pt idx="2">
                  <c:v>28</c:v>
                </c:pt>
              </c:numCache>
            </c:numRef>
          </c:val>
        </c:ser>
        <c:overlap val="100"/>
        <c:axId val="295641088"/>
        <c:axId val="295642624"/>
      </c:barChart>
      <c:lineChart>
        <c:grouping val="standard"/>
        <c:ser>
          <c:idx val="1"/>
          <c:order val="1"/>
          <c:tx>
            <c:strRef>
              <c:f>Лист1!$C$1</c:f>
              <c:strCache>
                <c:ptCount val="1"/>
                <c:pt idx="0">
                  <c:v>Средний процент участия</c:v>
                </c:pt>
              </c:strCache>
            </c:strRef>
          </c:tx>
          <c:marker>
            <c:symbol val="circle"/>
            <c:size val="7"/>
          </c:marker>
          <c:dLbls>
            <c:dLblPos val="b"/>
            <c:showVal val="1"/>
          </c:dLbls>
          <c:cat>
            <c:numRef>
              <c:f>Лист1!$A$2:$A$4</c:f>
              <c:numCache>
                <c:formatCode>General</c:formatCode>
                <c:ptCount val="3"/>
                <c:pt idx="0">
                  <c:v>2011</c:v>
                </c:pt>
                <c:pt idx="1">
                  <c:v>2012</c:v>
                </c:pt>
                <c:pt idx="2">
                  <c:v>2013</c:v>
                </c:pt>
              </c:numCache>
            </c:numRef>
          </c:cat>
          <c:val>
            <c:numRef>
              <c:f>Лист1!$C$2:$C$4</c:f>
              <c:numCache>
                <c:formatCode>0.0%</c:formatCode>
                <c:ptCount val="3"/>
                <c:pt idx="0">
                  <c:v>0.86900000000000865</c:v>
                </c:pt>
                <c:pt idx="1">
                  <c:v>0.82299999999999995</c:v>
                </c:pt>
                <c:pt idx="2">
                  <c:v>0.92600000000000005</c:v>
                </c:pt>
              </c:numCache>
            </c:numRef>
          </c:val>
        </c:ser>
        <c:marker val="1"/>
        <c:axId val="295650048"/>
        <c:axId val="295644160"/>
      </c:lineChart>
      <c:catAx>
        <c:axId val="295641088"/>
        <c:scaling>
          <c:orientation val="minMax"/>
        </c:scaling>
        <c:axPos val="b"/>
        <c:numFmt formatCode="General" sourceLinked="1"/>
        <c:tickLblPos val="nextTo"/>
        <c:crossAx val="295642624"/>
        <c:crosses val="autoZero"/>
        <c:auto val="1"/>
        <c:lblAlgn val="ctr"/>
        <c:lblOffset val="100"/>
      </c:catAx>
      <c:valAx>
        <c:axId val="295642624"/>
        <c:scaling>
          <c:orientation val="minMax"/>
          <c:max val="70"/>
        </c:scaling>
        <c:axPos val="l"/>
        <c:majorGridlines/>
        <c:numFmt formatCode="General" sourceLinked="1"/>
        <c:tickLblPos val="nextTo"/>
        <c:crossAx val="295641088"/>
        <c:crosses val="autoZero"/>
        <c:crossBetween val="between"/>
      </c:valAx>
      <c:valAx>
        <c:axId val="295644160"/>
        <c:scaling>
          <c:orientation val="minMax"/>
          <c:min val="0"/>
        </c:scaling>
        <c:axPos val="r"/>
        <c:numFmt formatCode="0%" sourceLinked="0"/>
        <c:tickLblPos val="nextTo"/>
        <c:crossAx val="295650048"/>
        <c:crosses val="max"/>
        <c:crossBetween val="between"/>
      </c:valAx>
      <c:catAx>
        <c:axId val="295650048"/>
        <c:scaling>
          <c:orientation val="minMax"/>
        </c:scaling>
        <c:delete val="1"/>
        <c:axPos val="b"/>
        <c:numFmt formatCode="General" sourceLinked="1"/>
        <c:tickLblPos val="none"/>
        <c:crossAx val="295644160"/>
        <c:crosses val="autoZero"/>
        <c:auto val="1"/>
        <c:lblAlgn val="ctr"/>
        <c:lblOffset val="100"/>
      </c:catAx>
    </c:plotArea>
    <c:legend>
      <c:legendPos val="b"/>
      <c:layout>
        <c:manualLayout>
          <c:xMode val="edge"/>
          <c:yMode val="edge"/>
          <c:x val="0"/>
          <c:y val="0.85327875948515963"/>
          <c:w val="1"/>
          <c:h val="0.10940330739017638"/>
        </c:manualLayout>
      </c:layout>
    </c:legend>
    <c:plotVisOnly val="1"/>
    <c:dispBlanksAs val="gap"/>
  </c:chart>
  <c:txPr>
    <a:bodyPr/>
    <a:lstStyle/>
    <a:p>
      <a:pPr>
        <a:defRPr sz="800"/>
      </a:pPr>
      <a:endParaRPr lang="ru-RU"/>
    </a:p>
  </c:txPr>
  <c:externalData r:id="rId1"/>
</c:chartSpace>
</file>

<file path=word/charts/chart12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Соотношение очных и заочных заседаний</a:t>
            </a:r>
            <a:r>
              <a:rPr lang="ru-RU" baseline="0"/>
              <a:t> Совета директоров</a:t>
            </a:r>
            <a:endParaRPr lang="ru-RU"/>
          </a:p>
        </c:rich>
      </c:tx>
    </c:title>
    <c:plotArea>
      <c:layout>
        <c:manualLayout>
          <c:layoutTarget val="inner"/>
          <c:xMode val="edge"/>
          <c:yMode val="edge"/>
          <c:x val="0.14615931451022462"/>
          <c:y val="0.17238095238095238"/>
          <c:w val="0.80301321742088816"/>
          <c:h val="0.56976584959600263"/>
        </c:manualLayout>
      </c:layout>
      <c:barChart>
        <c:barDir val="col"/>
        <c:grouping val="percentStacked"/>
        <c:ser>
          <c:idx val="1"/>
          <c:order val="0"/>
          <c:tx>
            <c:strRef>
              <c:f>Лист1!$C$1</c:f>
              <c:strCache>
                <c:ptCount val="1"/>
                <c:pt idx="0">
                  <c:v>Заседания в иной форме</c:v>
                </c:pt>
              </c:strCache>
            </c:strRef>
          </c:tx>
          <c:dLbls>
            <c:numFmt formatCode="0.0%" sourceLinked="0"/>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0.96875000000000955</c:v>
                </c:pt>
                <c:pt idx="1">
                  <c:v>0.79411764705882371</c:v>
                </c:pt>
                <c:pt idx="2">
                  <c:v>0.92105263157894735</c:v>
                </c:pt>
              </c:numCache>
            </c:numRef>
          </c:val>
        </c:ser>
        <c:ser>
          <c:idx val="0"/>
          <c:order val="1"/>
          <c:tx>
            <c:strRef>
              <c:f>Лист1!$B$1</c:f>
              <c:strCache>
                <c:ptCount val="1"/>
                <c:pt idx="0">
                  <c:v>Заседания в очной форме</c:v>
                </c:pt>
              </c:strCache>
            </c:strRef>
          </c:tx>
          <c:dLbls>
            <c:numFmt formatCode="0.0%" sourceLinked="0"/>
            <c:showVal val="1"/>
          </c:dLbls>
          <c:cat>
            <c:numRef>
              <c:f>Лист1!$A$2:$A$4</c:f>
              <c:numCache>
                <c:formatCode>General</c:formatCode>
                <c:ptCount val="3"/>
                <c:pt idx="0">
                  <c:v>2011</c:v>
                </c:pt>
                <c:pt idx="1">
                  <c:v>2012</c:v>
                </c:pt>
                <c:pt idx="2">
                  <c:v>2013</c:v>
                </c:pt>
              </c:numCache>
            </c:numRef>
          </c:cat>
          <c:val>
            <c:numRef>
              <c:f>Лист1!$B$2:$B$4</c:f>
              <c:numCache>
                <c:formatCode>0.00%</c:formatCode>
                <c:ptCount val="3"/>
                <c:pt idx="0">
                  <c:v>3.125E-2</c:v>
                </c:pt>
                <c:pt idx="1">
                  <c:v>0.20588235294117646</c:v>
                </c:pt>
                <c:pt idx="2">
                  <c:v>7.8947368421052475E-2</c:v>
                </c:pt>
              </c:numCache>
            </c:numRef>
          </c:val>
        </c:ser>
        <c:overlap val="100"/>
        <c:axId val="295708544"/>
        <c:axId val="295710080"/>
      </c:barChart>
      <c:catAx>
        <c:axId val="295708544"/>
        <c:scaling>
          <c:orientation val="minMax"/>
        </c:scaling>
        <c:axPos val="b"/>
        <c:numFmt formatCode="General" sourceLinked="1"/>
        <c:tickLblPos val="nextTo"/>
        <c:crossAx val="295710080"/>
        <c:crosses val="autoZero"/>
        <c:auto val="1"/>
        <c:lblAlgn val="ctr"/>
        <c:lblOffset val="100"/>
      </c:catAx>
      <c:valAx>
        <c:axId val="295710080"/>
        <c:scaling>
          <c:orientation val="minMax"/>
          <c:max val="1"/>
          <c:min val="0"/>
        </c:scaling>
        <c:axPos val="l"/>
        <c:majorGridlines/>
        <c:numFmt formatCode="0%" sourceLinked="1"/>
        <c:tickLblPos val="nextTo"/>
        <c:crossAx val="295708544"/>
        <c:crosses val="autoZero"/>
        <c:crossBetween val="between"/>
      </c:valAx>
    </c:plotArea>
    <c:legend>
      <c:legendPos val="b"/>
      <c:layout>
        <c:manualLayout>
          <c:xMode val="edge"/>
          <c:yMode val="edge"/>
          <c:x val="0"/>
          <c:y val="0.86862626153424183"/>
          <c:w val="1"/>
          <c:h val="0.1008644506194095"/>
        </c:manualLayout>
      </c:layout>
    </c:legend>
    <c:plotVisOnly val="1"/>
    <c:dispBlanksAs val="gap"/>
  </c:chart>
  <c:txPr>
    <a:bodyPr/>
    <a:lstStyle/>
    <a:p>
      <a:pPr>
        <a:defRPr sz="800"/>
      </a:pPr>
      <a:endParaRPr lang="ru-RU"/>
    </a:p>
  </c:txPr>
  <c:externalData r:id="rId1"/>
</c:chartSpace>
</file>

<file path=word/charts/chart12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Особенности принятия решений Советом директоров</a:t>
            </a:r>
          </a:p>
        </c:rich>
      </c:tx>
    </c:title>
    <c:plotArea>
      <c:layout>
        <c:manualLayout>
          <c:layoutTarget val="inner"/>
          <c:xMode val="edge"/>
          <c:yMode val="edge"/>
          <c:x val="4.7159699892819033E-2"/>
          <c:y val="0.1840079365079412"/>
          <c:w val="0.90568060021436225"/>
          <c:h val="0.54089832520934877"/>
        </c:manualLayout>
      </c:layout>
      <c:barChart>
        <c:barDir val="col"/>
        <c:grouping val="percentStacked"/>
        <c:ser>
          <c:idx val="0"/>
          <c:order val="0"/>
          <c:tx>
            <c:strRef>
              <c:f>Лист1!$B$1</c:f>
              <c:strCache>
                <c:ptCount val="1"/>
                <c:pt idx="0">
                  <c:v>Принято положительных решений </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0.00%</c:formatCode>
                <c:ptCount val="3"/>
                <c:pt idx="0">
                  <c:v>0.85309278350515461</c:v>
                </c:pt>
                <c:pt idx="1">
                  <c:v>0.89024390243902463</c:v>
                </c:pt>
                <c:pt idx="2">
                  <c:v>0.9338422391857506</c:v>
                </c:pt>
              </c:numCache>
            </c:numRef>
          </c:val>
        </c:ser>
        <c:ser>
          <c:idx val="2"/>
          <c:order val="1"/>
          <c:tx>
            <c:strRef>
              <c:f>Лист1!$C$1</c:f>
              <c:strCache>
                <c:ptCount val="1"/>
                <c:pt idx="0">
                  <c:v>Не принято решений</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5.6701030927836377E-2</c:v>
                </c:pt>
                <c:pt idx="1">
                  <c:v>4.1463414634147558E-2</c:v>
                </c:pt>
                <c:pt idx="2">
                  <c:v>1.2722646310432569E-2</c:v>
                </c:pt>
              </c:numCache>
            </c:numRef>
          </c:val>
        </c:ser>
        <c:ser>
          <c:idx val="1"/>
          <c:order val="2"/>
          <c:tx>
            <c:strRef>
              <c:f>Лист1!$D$1</c:f>
              <c:strCache>
                <c:ptCount val="1"/>
                <c:pt idx="0">
                  <c:v>Перенесено на более поздний срок</c:v>
                </c:pt>
              </c:strCache>
            </c:strRef>
          </c:tx>
          <c:dLbls>
            <c:showVal val="1"/>
          </c:dLbls>
          <c:cat>
            <c:numRef>
              <c:f>Лист1!$A$2:$A$4</c:f>
              <c:numCache>
                <c:formatCode>General</c:formatCode>
                <c:ptCount val="3"/>
                <c:pt idx="0">
                  <c:v>2011</c:v>
                </c:pt>
                <c:pt idx="1">
                  <c:v>2012</c:v>
                </c:pt>
                <c:pt idx="2">
                  <c:v>2013</c:v>
                </c:pt>
              </c:numCache>
            </c:numRef>
          </c:cat>
          <c:val>
            <c:numRef>
              <c:f>Лист1!$D$2:$D$4</c:f>
              <c:numCache>
                <c:formatCode>0.00%</c:formatCode>
                <c:ptCount val="3"/>
                <c:pt idx="0">
                  <c:v>9.0206185567010544E-2</c:v>
                </c:pt>
                <c:pt idx="1">
                  <c:v>6.8292682926830703E-2</c:v>
                </c:pt>
                <c:pt idx="2">
                  <c:v>5.3435114503816793E-2</c:v>
                </c:pt>
              </c:numCache>
            </c:numRef>
          </c:val>
        </c:ser>
        <c:overlap val="100"/>
        <c:axId val="295737216"/>
        <c:axId val="295738752"/>
      </c:barChart>
      <c:catAx>
        <c:axId val="295737216"/>
        <c:scaling>
          <c:orientation val="minMax"/>
        </c:scaling>
        <c:axPos val="b"/>
        <c:numFmt formatCode="General" sourceLinked="1"/>
        <c:tickLblPos val="nextTo"/>
        <c:crossAx val="295738752"/>
        <c:crosses val="autoZero"/>
        <c:auto val="1"/>
        <c:lblAlgn val="ctr"/>
        <c:lblOffset val="100"/>
      </c:catAx>
      <c:valAx>
        <c:axId val="295738752"/>
        <c:scaling>
          <c:orientation val="minMax"/>
          <c:min val="0.4"/>
        </c:scaling>
        <c:delete val="1"/>
        <c:axPos val="l"/>
        <c:majorGridlines/>
        <c:numFmt formatCode="0%" sourceLinked="1"/>
        <c:tickLblPos val="none"/>
        <c:crossAx val="295737216"/>
        <c:crosses val="autoZero"/>
        <c:crossBetween val="between"/>
      </c:valAx>
    </c:plotArea>
    <c:legend>
      <c:legendPos val="b"/>
    </c:legend>
    <c:plotVisOnly val="1"/>
    <c:dispBlanksAs val="gap"/>
  </c:chart>
  <c:txPr>
    <a:bodyPr/>
    <a:lstStyle/>
    <a:p>
      <a:pPr>
        <a:defRPr sz="900"/>
      </a:pPr>
      <a:endParaRPr lang="ru-RU"/>
    </a:p>
  </c:txPr>
  <c:externalData r:id="rId1"/>
</c:chartSpace>
</file>

<file path=word/charts/chart12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Особенности принятия решений Советом директоров</a:t>
            </a:r>
          </a:p>
        </c:rich>
      </c:tx>
    </c:title>
    <c:plotArea>
      <c:layout>
        <c:manualLayout>
          <c:layoutTarget val="inner"/>
          <c:xMode val="edge"/>
          <c:yMode val="edge"/>
          <c:x val="3.8585209003215451E-2"/>
          <c:y val="0.1840079365079412"/>
          <c:w val="0.91425509110396552"/>
          <c:h val="0.54982783402074764"/>
        </c:manualLayout>
      </c:layout>
      <c:barChart>
        <c:barDir val="col"/>
        <c:grouping val="percentStacked"/>
        <c:ser>
          <c:idx val="0"/>
          <c:order val="0"/>
          <c:tx>
            <c:strRef>
              <c:f>Лист1!$B$1</c:f>
              <c:strCache>
                <c:ptCount val="1"/>
                <c:pt idx="0">
                  <c:v>Единогласно</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0.00%</c:formatCode>
                <c:ptCount val="3"/>
                <c:pt idx="0">
                  <c:v>0.76804123711342709</c:v>
                </c:pt>
                <c:pt idx="1">
                  <c:v>0.72682926829269223</c:v>
                </c:pt>
                <c:pt idx="2">
                  <c:v>0.72264631043258565</c:v>
                </c:pt>
              </c:numCache>
            </c:numRef>
          </c:val>
        </c:ser>
        <c:ser>
          <c:idx val="1"/>
          <c:order val="1"/>
          <c:tx>
            <c:strRef>
              <c:f>Лист1!$C$1</c:f>
              <c:strCache>
                <c:ptCount val="1"/>
                <c:pt idx="0">
                  <c:v>Иное</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0.23195876288660014</c:v>
                </c:pt>
                <c:pt idx="1">
                  <c:v>0.27317073170731732</c:v>
                </c:pt>
                <c:pt idx="2">
                  <c:v>0.27735368956743467</c:v>
                </c:pt>
              </c:numCache>
            </c:numRef>
          </c:val>
        </c:ser>
        <c:overlap val="100"/>
        <c:axId val="296002304"/>
        <c:axId val="296003840"/>
      </c:barChart>
      <c:catAx>
        <c:axId val="296002304"/>
        <c:scaling>
          <c:orientation val="minMax"/>
        </c:scaling>
        <c:axPos val="b"/>
        <c:numFmt formatCode="General" sourceLinked="1"/>
        <c:tickLblPos val="nextTo"/>
        <c:crossAx val="296003840"/>
        <c:crosses val="autoZero"/>
        <c:auto val="1"/>
        <c:lblAlgn val="ctr"/>
        <c:lblOffset val="100"/>
      </c:catAx>
      <c:valAx>
        <c:axId val="296003840"/>
        <c:scaling>
          <c:orientation val="minMax"/>
          <c:min val="0"/>
        </c:scaling>
        <c:delete val="1"/>
        <c:axPos val="l"/>
        <c:majorGridlines/>
        <c:numFmt formatCode="0%" sourceLinked="1"/>
        <c:tickLblPos val="none"/>
        <c:crossAx val="296002304"/>
        <c:crosses val="autoZero"/>
        <c:crossBetween val="between"/>
      </c:valAx>
    </c:plotArea>
    <c:legend>
      <c:legendPos val="b"/>
    </c:legend>
    <c:plotVisOnly val="1"/>
    <c:dispBlanksAs val="gap"/>
  </c:chart>
  <c:txPr>
    <a:bodyPr/>
    <a:lstStyle/>
    <a:p>
      <a:pPr>
        <a:defRPr sz="900"/>
      </a:pPr>
      <a:endParaRPr lang="ru-RU"/>
    </a:p>
  </c:txPr>
  <c:externalData r:id="rId1"/>
</c:chartSpace>
</file>

<file path=word/charts/chart12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Вознаграждение, выплаченное членам Совета директоров</a:t>
            </a:r>
          </a:p>
        </c:rich>
      </c:tx>
    </c:title>
    <c:plotArea>
      <c:layout>
        <c:manualLayout>
          <c:layoutTarget val="inner"/>
          <c:xMode val="edge"/>
          <c:yMode val="edge"/>
          <c:x val="7.3239551395014826E-2"/>
          <c:y val="0.23229675315498521"/>
          <c:w val="0.88369104250068753"/>
          <c:h val="0.50455323779237959"/>
        </c:manualLayout>
      </c:layout>
      <c:barChart>
        <c:barDir val="col"/>
        <c:grouping val="clustered"/>
        <c:ser>
          <c:idx val="0"/>
          <c:order val="0"/>
          <c:tx>
            <c:strRef>
              <c:f>Лист1!$B$1</c:f>
              <c:strCache>
                <c:ptCount val="1"/>
                <c:pt idx="0">
                  <c:v>Вознаграждение, выплаченнное членам Совета директоров</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0.0</c:formatCode>
                <c:ptCount val="3"/>
                <c:pt idx="0">
                  <c:v>32.829746</c:v>
                </c:pt>
                <c:pt idx="1">
                  <c:v>46.574041999999999</c:v>
                </c:pt>
                <c:pt idx="2">
                  <c:v>32.269337000000213</c:v>
                </c:pt>
              </c:numCache>
            </c:numRef>
          </c:val>
        </c:ser>
        <c:axId val="296032512"/>
        <c:axId val="296046592"/>
      </c:barChart>
      <c:catAx>
        <c:axId val="296032512"/>
        <c:scaling>
          <c:orientation val="minMax"/>
        </c:scaling>
        <c:axPos val="b"/>
        <c:numFmt formatCode="General" sourceLinked="1"/>
        <c:tickLblPos val="nextTo"/>
        <c:crossAx val="296046592"/>
        <c:crosses val="autoZero"/>
        <c:auto val="1"/>
        <c:lblAlgn val="ctr"/>
        <c:lblOffset val="100"/>
      </c:catAx>
      <c:valAx>
        <c:axId val="296046592"/>
        <c:scaling>
          <c:orientation val="minMax"/>
          <c:max val="60"/>
        </c:scaling>
        <c:delete val="1"/>
        <c:axPos val="l"/>
        <c:majorGridlines/>
        <c:title>
          <c:tx>
            <c:rich>
              <a:bodyPr rot="-5400000" vert="horz"/>
              <a:lstStyle/>
              <a:p>
                <a:pPr>
                  <a:defRPr/>
                </a:pPr>
                <a:r>
                  <a:rPr lang="ru-RU"/>
                  <a:t>млн руб. без НДФЛ</a:t>
                </a:r>
              </a:p>
            </c:rich>
          </c:tx>
        </c:title>
        <c:numFmt formatCode="0.0" sourceLinked="1"/>
        <c:tickLblPos val="none"/>
        <c:crossAx val="296032512"/>
        <c:crosses val="autoZero"/>
        <c:crossBetween val="between"/>
      </c:valAx>
    </c:plotArea>
    <c:plotVisOnly val="1"/>
    <c:dispBlanksAs val="gap"/>
  </c:chart>
  <c:txPr>
    <a:bodyPr/>
    <a:lstStyle/>
    <a:p>
      <a:pPr>
        <a:defRPr sz="900"/>
      </a:pPr>
      <a:endParaRPr lang="ru-RU"/>
    </a:p>
  </c:txPr>
  <c:externalData r:id="rId1"/>
</c:chartSpace>
</file>

<file path=word/charts/chart12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вознаграждения членам Совета директоров </a:t>
            </a:r>
          </a:p>
        </c:rich>
      </c:tx>
    </c:title>
    <c:plotArea>
      <c:layout>
        <c:manualLayout>
          <c:layoutTarget val="inner"/>
          <c:xMode val="edge"/>
          <c:yMode val="edge"/>
          <c:x val="0.13800964334964019"/>
          <c:y val="0.2429227839188062"/>
          <c:w val="0.81745369496427733"/>
          <c:h val="0.50335445035574378"/>
        </c:manualLayout>
      </c:layout>
      <c:barChart>
        <c:barDir val="col"/>
        <c:grouping val="percentStacked"/>
        <c:ser>
          <c:idx val="1"/>
          <c:order val="0"/>
          <c:tx>
            <c:strRef>
              <c:f>Лист1!$C$1</c:f>
              <c:strCache>
                <c:ptCount val="1"/>
                <c:pt idx="0">
                  <c:v>Дополнительное вознаграждение</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0.62472719100538165</c:v>
                </c:pt>
                <c:pt idx="1">
                  <c:v>0.73067181929369995</c:v>
                </c:pt>
                <c:pt idx="2">
                  <c:v>0.68757263280618375</c:v>
                </c:pt>
              </c:numCache>
            </c:numRef>
          </c:val>
        </c:ser>
        <c:ser>
          <c:idx val="0"/>
          <c:order val="1"/>
          <c:tx>
            <c:strRef>
              <c:f>Лист1!$B$1</c:f>
              <c:strCache>
                <c:ptCount val="1"/>
                <c:pt idx="0">
                  <c:v>Вознаграждение за участие в заседаниях</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0.00%</c:formatCode>
                <c:ptCount val="3"/>
                <c:pt idx="0">
                  <c:v>0.37527280899463344</c:v>
                </c:pt>
                <c:pt idx="1">
                  <c:v>0.2693281807063258</c:v>
                </c:pt>
                <c:pt idx="2">
                  <c:v>0.31242736719382697</c:v>
                </c:pt>
              </c:numCache>
            </c:numRef>
          </c:val>
        </c:ser>
        <c:overlap val="100"/>
        <c:axId val="296100992"/>
        <c:axId val="296102528"/>
      </c:barChart>
      <c:catAx>
        <c:axId val="296100992"/>
        <c:scaling>
          <c:orientation val="minMax"/>
        </c:scaling>
        <c:axPos val="b"/>
        <c:numFmt formatCode="General" sourceLinked="1"/>
        <c:tickLblPos val="nextTo"/>
        <c:crossAx val="296102528"/>
        <c:crosses val="autoZero"/>
        <c:auto val="1"/>
        <c:lblAlgn val="ctr"/>
        <c:lblOffset val="100"/>
      </c:catAx>
      <c:valAx>
        <c:axId val="296102528"/>
        <c:scaling>
          <c:orientation val="minMax"/>
        </c:scaling>
        <c:axPos val="l"/>
        <c:majorGridlines/>
        <c:numFmt formatCode="0%" sourceLinked="1"/>
        <c:tickLblPos val="nextTo"/>
        <c:crossAx val="296100992"/>
        <c:crosses val="autoZero"/>
        <c:crossBetween val="between"/>
      </c:valAx>
    </c:plotArea>
    <c:legend>
      <c:legendPos val="b"/>
      <c:layout>
        <c:manualLayout>
          <c:xMode val="edge"/>
          <c:yMode val="edge"/>
          <c:x val="3.3107142354442072E-2"/>
          <c:y val="0.8415328028979242"/>
          <c:w val="0.94610380387284343"/>
          <c:h val="0.12704194292356766"/>
        </c:manualLayout>
      </c:layout>
    </c:legend>
    <c:plotVisOnly val="1"/>
    <c:dispBlanksAs val="gap"/>
  </c:chart>
  <c:txPr>
    <a:bodyPr/>
    <a:lstStyle/>
    <a:p>
      <a:pPr>
        <a:defRPr sz="900"/>
      </a:pPr>
      <a:endParaRPr lang="ru-RU"/>
    </a:p>
  </c:txPr>
  <c:externalData r:id="rId1"/>
</c:chartSpace>
</file>

<file path=word/charts/chart12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Количество заседаний Правления</a:t>
            </a:r>
          </a:p>
        </c:rich>
      </c:tx>
    </c:title>
    <c:plotArea>
      <c:layout/>
      <c:barChart>
        <c:barDir val="col"/>
        <c:grouping val="stacked"/>
        <c:ser>
          <c:idx val="0"/>
          <c:order val="0"/>
          <c:tx>
            <c:strRef>
              <c:f>Лист1!$B$1</c:f>
              <c:strCache>
                <c:ptCount val="1"/>
                <c:pt idx="0">
                  <c:v>Количество заседаний</c:v>
                </c:pt>
              </c:strCache>
            </c:strRef>
          </c:tx>
          <c:dLbls>
            <c:dLblPos val="inBase"/>
            <c:showVal val="1"/>
          </c:dLbls>
          <c:cat>
            <c:numRef>
              <c:f>Лист1!$A$2:$A$4</c:f>
              <c:numCache>
                <c:formatCode>General</c:formatCode>
                <c:ptCount val="3"/>
                <c:pt idx="0">
                  <c:v>2011</c:v>
                </c:pt>
                <c:pt idx="1">
                  <c:v>2012</c:v>
                </c:pt>
                <c:pt idx="2">
                  <c:v>2013</c:v>
                </c:pt>
              </c:numCache>
            </c:numRef>
          </c:cat>
          <c:val>
            <c:numRef>
              <c:f>Лист1!$B$2:$B$4</c:f>
              <c:numCache>
                <c:formatCode>General</c:formatCode>
                <c:ptCount val="3"/>
                <c:pt idx="0">
                  <c:v>67</c:v>
                </c:pt>
                <c:pt idx="1">
                  <c:v>56</c:v>
                </c:pt>
                <c:pt idx="2">
                  <c:v>62</c:v>
                </c:pt>
              </c:numCache>
            </c:numRef>
          </c:val>
        </c:ser>
        <c:overlap val="100"/>
        <c:axId val="296129664"/>
        <c:axId val="296131200"/>
      </c:barChart>
      <c:lineChart>
        <c:grouping val="standard"/>
        <c:ser>
          <c:idx val="1"/>
          <c:order val="1"/>
          <c:tx>
            <c:strRef>
              <c:f>Лист1!$C$1</c:f>
              <c:strCache>
                <c:ptCount val="1"/>
                <c:pt idx="0">
                  <c:v>Средний процент участия</c:v>
                </c:pt>
              </c:strCache>
            </c:strRef>
          </c:tx>
          <c:marker>
            <c:symbol val="circle"/>
            <c:size val="7"/>
          </c:marker>
          <c:dLbls>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0.73000000000000065</c:v>
                </c:pt>
                <c:pt idx="1">
                  <c:v>0.64000000000001056</c:v>
                </c:pt>
                <c:pt idx="2">
                  <c:v>0.75000000000000955</c:v>
                </c:pt>
              </c:numCache>
            </c:numRef>
          </c:val>
        </c:ser>
        <c:marker val="1"/>
        <c:axId val="296146816"/>
        <c:axId val="296145280"/>
      </c:lineChart>
      <c:catAx>
        <c:axId val="296129664"/>
        <c:scaling>
          <c:orientation val="minMax"/>
        </c:scaling>
        <c:axPos val="b"/>
        <c:numFmt formatCode="General" sourceLinked="1"/>
        <c:tickLblPos val="nextTo"/>
        <c:crossAx val="296131200"/>
        <c:crosses val="autoZero"/>
        <c:auto val="1"/>
        <c:lblAlgn val="ctr"/>
        <c:lblOffset val="100"/>
      </c:catAx>
      <c:valAx>
        <c:axId val="296131200"/>
        <c:scaling>
          <c:orientation val="minMax"/>
          <c:max val="70"/>
        </c:scaling>
        <c:axPos val="l"/>
        <c:majorGridlines/>
        <c:numFmt formatCode="General" sourceLinked="1"/>
        <c:tickLblPos val="nextTo"/>
        <c:crossAx val="296129664"/>
        <c:crosses val="autoZero"/>
        <c:crossBetween val="between"/>
      </c:valAx>
      <c:valAx>
        <c:axId val="296145280"/>
        <c:scaling>
          <c:orientation val="minMax"/>
          <c:min val="0"/>
        </c:scaling>
        <c:axPos val="r"/>
        <c:numFmt formatCode="0%" sourceLinked="1"/>
        <c:tickLblPos val="nextTo"/>
        <c:crossAx val="296146816"/>
        <c:crosses val="max"/>
        <c:crossBetween val="between"/>
      </c:valAx>
      <c:catAx>
        <c:axId val="296146816"/>
        <c:scaling>
          <c:orientation val="minMax"/>
        </c:scaling>
        <c:delete val="1"/>
        <c:axPos val="b"/>
        <c:numFmt formatCode="General" sourceLinked="1"/>
        <c:tickLblPos val="none"/>
        <c:crossAx val="296145280"/>
        <c:crosses val="autoZero"/>
        <c:auto val="1"/>
        <c:lblAlgn val="ctr"/>
        <c:lblOffset val="100"/>
      </c:catAx>
    </c:plotArea>
    <c:legend>
      <c:legendPos val="b"/>
      <c:layout>
        <c:manualLayout>
          <c:xMode val="edge"/>
          <c:yMode val="edge"/>
          <c:x val="0"/>
          <c:y val="0.85327875948515963"/>
          <c:w val="1"/>
          <c:h val="0.10940330739017638"/>
        </c:manualLayout>
      </c:layout>
    </c:legend>
    <c:plotVisOnly val="1"/>
    <c:dispBlanksAs val="gap"/>
  </c:chart>
  <c:txPr>
    <a:bodyPr/>
    <a:lstStyle/>
    <a:p>
      <a:pPr>
        <a:defRPr sz="800"/>
      </a:pPr>
      <a:endParaRPr lang="ru-RU"/>
    </a:p>
  </c:txPr>
  <c:externalData r:id="rId1"/>
</c:chartSpace>
</file>

<file path=word/charts/chart12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Соотношение очных и заочных заседаний Правления</a:t>
            </a:r>
          </a:p>
        </c:rich>
      </c:tx>
    </c:title>
    <c:plotArea>
      <c:layout>
        <c:manualLayout>
          <c:layoutTarget val="inner"/>
          <c:xMode val="edge"/>
          <c:yMode val="edge"/>
          <c:x val="0.14615931451022462"/>
          <c:y val="0.17238095238095238"/>
          <c:w val="0.80301321742088816"/>
          <c:h val="0.56976584959600263"/>
        </c:manualLayout>
      </c:layout>
      <c:barChart>
        <c:barDir val="col"/>
        <c:grouping val="percentStacked"/>
        <c:ser>
          <c:idx val="0"/>
          <c:order val="0"/>
          <c:tx>
            <c:strRef>
              <c:f>Лист1!$B$1</c:f>
              <c:strCache>
                <c:ptCount val="1"/>
                <c:pt idx="0">
                  <c:v>Заседания в очной форме</c:v>
                </c:pt>
              </c:strCache>
            </c:strRef>
          </c:tx>
          <c:dLbls>
            <c:numFmt formatCode="0.0%" sourceLinked="0"/>
            <c:showVal val="1"/>
          </c:dLbls>
          <c:cat>
            <c:numRef>
              <c:f>Лист1!$A$2:$A$4</c:f>
              <c:numCache>
                <c:formatCode>General</c:formatCode>
                <c:ptCount val="3"/>
                <c:pt idx="0">
                  <c:v>2011</c:v>
                </c:pt>
                <c:pt idx="1">
                  <c:v>2012</c:v>
                </c:pt>
                <c:pt idx="2">
                  <c:v>2013</c:v>
                </c:pt>
              </c:numCache>
            </c:numRef>
          </c:cat>
          <c:val>
            <c:numRef>
              <c:f>Лист1!$B$2:$B$4</c:f>
              <c:numCache>
                <c:formatCode>0.00%</c:formatCode>
                <c:ptCount val="3"/>
                <c:pt idx="0">
                  <c:v>0.40300000000000002</c:v>
                </c:pt>
                <c:pt idx="1">
                  <c:v>0.58929999999999949</c:v>
                </c:pt>
                <c:pt idx="2">
                  <c:v>0.5484</c:v>
                </c:pt>
              </c:numCache>
            </c:numRef>
          </c:val>
        </c:ser>
        <c:ser>
          <c:idx val="1"/>
          <c:order val="1"/>
          <c:tx>
            <c:strRef>
              <c:f>Лист1!$C$1</c:f>
              <c:strCache>
                <c:ptCount val="1"/>
                <c:pt idx="0">
                  <c:v>Заседания в иной форме</c:v>
                </c:pt>
              </c:strCache>
            </c:strRef>
          </c:tx>
          <c:dLbls>
            <c:numFmt formatCode="0.0%" sourceLinked="0"/>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0.59699999999999998</c:v>
                </c:pt>
                <c:pt idx="1">
                  <c:v>0.41070000000000001</c:v>
                </c:pt>
                <c:pt idx="2">
                  <c:v>0.4516</c:v>
                </c:pt>
              </c:numCache>
            </c:numRef>
          </c:val>
        </c:ser>
        <c:overlap val="100"/>
        <c:axId val="296197120"/>
        <c:axId val="296203008"/>
      </c:barChart>
      <c:catAx>
        <c:axId val="296197120"/>
        <c:scaling>
          <c:orientation val="minMax"/>
        </c:scaling>
        <c:axPos val="b"/>
        <c:numFmt formatCode="General" sourceLinked="1"/>
        <c:tickLblPos val="nextTo"/>
        <c:crossAx val="296203008"/>
        <c:crosses val="autoZero"/>
        <c:auto val="1"/>
        <c:lblAlgn val="ctr"/>
        <c:lblOffset val="100"/>
      </c:catAx>
      <c:valAx>
        <c:axId val="296203008"/>
        <c:scaling>
          <c:orientation val="minMax"/>
          <c:max val="1"/>
        </c:scaling>
        <c:axPos val="l"/>
        <c:majorGridlines/>
        <c:numFmt formatCode="0%" sourceLinked="1"/>
        <c:tickLblPos val="nextTo"/>
        <c:crossAx val="296197120"/>
        <c:crosses val="autoZero"/>
        <c:crossBetween val="between"/>
      </c:valAx>
    </c:plotArea>
    <c:legend>
      <c:legendPos val="b"/>
      <c:layout>
        <c:manualLayout>
          <c:xMode val="edge"/>
          <c:yMode val="edge"/>
          <c:x val="0"/>
          <c:y val="0.86862626153424183"/>
          <c:w val="1"/>
          <c:h val="0.1008644506194095"/>
        </c:manualLayout>
      </c:layout>
    </c:legend>
    <c:plotVisOnly val="1"/>
    <c:dispBlanksAs val="gap"/>
  </c:chart>
  <c:txPr>
    <a:bodyPr/>
    <a:lstStyle/>
    <a:p>
      <a:pPr>
        <a:defRPr sz="800"/>
      </a:pPr>
      <a:endParaRPr lang="ru-RU"/>
    </a:p>
  </c:txPr>
  <c:externalData r:id="rId1"/>
</c:chartSpace>
</file>

<file path=word/charts/chart12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Вознаграждение, выплаченное членам Правления</a:t>
            </a:r>
          </a:p>
        </c:rich>
      </c:tx>
    </c:title>
    <c:plotArea>
      <c:layout/>
      <c:barChart>
        <c:barDir val="col"/>
        <c:grouping val="clustered"/>
        <c:ser>
          <c:idx val="0"/>
          <c:order val="0"/>
          <c:tx>
            <c:strRef>
              <c:f>Лист1!$B$1</c:f>
              <c:strCache>
                <c:ptCount val="1"/>
                <c:pt idx="0">
                  <c:v>Ряд 1</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278.91899999999669</c:v>
                </c:pt>
                <c:pt idx="1">
                  <c:v>1702.4060000000011</c:v>
                </c:pt>
                <c:pt idx="2">
                  <c:v>4427.7979999999998</c:v>
                </c:pt>
              </c:numCache>
            </c:numRef>
          </c:val>
        </c:ser>
        <c:axId val="296223488"/>
        <c:axId val="296225024"/>
      </c:barChart>
      <c:catAx>
        <c:axId val="296223488"/>
        <c:scaling>
          <c:orientation val="minMax"/>
        </c:scaling>
        <c:axPos val="b"/>
        <c:numFmt formatCode="General" sourceLinked="1"/>
        <c:tickLblPos val="nextTo"/>
        <c:crossAx val="296225024"/>
        <c:crosses val="autoZero"/>
        <c:auto val="1"/>
        <c:lblAlgn val="ctr"/>
        <c:lblOffset val="100"/>
      </c:catAx>
      <c:valAx>
        <c:axId val="296225024"/>
        <c:scaling>
          <c:orientation val="minMax"/>
        </c:scaling>
        <c:delete val="1"/>
        <c:axPos val="l"/>
        <c:majorGridlines/>
        <c:title>
          <c:tx>
            <c:rich>
              <a:bodyPr rot="-5400000" vert="horz"/>
              <a:lstStyle/>
              <a:p>
                <a:pPr>
                  <a:defRPr/>
                </a:pPr>
                <a:r>
                  <a:rPr lang="ru-RU"/>
                  <a:t>тыс.</a:t>
                </a:r>
                <a:r>
                  <a:rPr lang="ru-RU" baseline="0"/>
                  <a:t> </a:t>
                </a:r>
                <a:r>
                  <a:rPr lang="ru-RU"/>
                  <a:t>руб.без</a:t>
                </a:r>
                <a:r>
                  <a:rPr lang="ru-RU" baseline="0"/>
                  <a:t> НДФЛ</a:t>
                </a:r>
                <a:endParaRPr lang="ru-RU"/>
              </a:p>
            </c:rich>
          </c:tx>
        </c:title>
        <c:numFmt formatCode="#,##0" sourceLinked="1"/>
        <c:tickLblPos val="none"/>
        <c:crossAx val="296223488"/>
        <c:crosses val="autoZero"/>
        <c:crossBetween val="between"/>
      </c:valAx>
    </c:plotArea>
    <c:plotVisOnly val="1"/>
    <c:dispBlanksAs val="gap"/>
  </c:chart>
  <c:txPr>
    <a:bodyPr/>
    <a:lstStyle/>
    <a:p>
      <a:pPr>
        <a:defRPr sz="900"/>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Протяженность линий электропередач</a:t>
            </a:r>
          </a:p>
        </c:rich>
      </c:tx>
    </c:title>
    <c:plotArea>
      <c:layout>
        <c:manualLayout>
          <c:layoutTarget val="inner"/>
          <c:xMode val="edge"/>
          <c:yMode val="edge"/>
          <c:x val="4.5909849749582267E-2"/>
          <c:y val="0.12923502839745243"/>
          <c:w val="0.90818030050083476"/>
          <c:h val="0.68259521204967732"/>
        </c:manualLayout>
      </c:layout>
      <c:barChart>
        <c:barDir val="col"/>
        <c:grouping val="stacked"/>
        <c:ser>
          <c:idx val="1"/>
          <c:order val="0"/>
          <c:tx>
            <c:strRef>
              <c:f>Лист1!$C$1</c:f>
              <c:strCache>
                <c:ptCount val="1"/>
                <c:pt idx="0">
                  <c:v>Кабельные линии</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71920</c:v>
                </c:pt>
                <c:pt idx="1">
                  <c:v>72303</c:v>
                </c:pt>
                <c:pt idx="2">
                  <c:v>72693</c:v>
                </c:pt>
              </c:numCache>
            </c:numRef>
          </c:val>
        </c:ser>
        <c:ser>
          <c:idx val="0"/>
          <c:order val="1"/>
          <c:tx>
            <c:strRef>
              <c:f>Лист1!$B$1</c:f>
              <c:strCache>
                <c:ptCount val="1"/>
                <c:pt idx="0">
                  <c:v>Воздушные линии по цепям</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66086</c:v>
                </c:pt>
                <c:pt idx="1">
                  <c:v>66725</c:v>
                </c:pt>
                <c:pt idx="2">
                  <c:v>66563</c:v>
                </c:pt>
              </c:numCache>
            </c:numRef>
          </c:val>
        </c:ser>
        <c:overlap val="100"/>
        <c:axId val="103920000"/>
        <c:axId val="103921536"/>
      </c:barChart>
      <c:catAx>
        <c:axId val="103920000"/>
        <c:scaling>
          <c:orientation val="minMax"/>
        </c:scaling>
        <c:axPos val="b"/>
        <c:numFmt formatCode="General" sourceLinked="1"/>
        <c:tickLblPos val="nextTo"/>
        <c:crossAx val="103921536"/>
        <c:crosses val="autoZero"/>
        <c:auto val="1"/>
        <c:lblAlgn val="ctr"/>
        <c:lblOffset val="100"/>
      </c:catAx>
      <c:valAx>
        <c:axId val="103921536"/>
        <c:scaling>
          <c:orientation val="minMax"/>
          <c:max val="140000"/>
        </c:scaling>
        <c:delete val="1"/>
        <c:axPos val="l"/>
        <c:majorGridlines/>
        <c:title>
          <c:tx>
            <c:rich>
              <a:bodyPr rot="-5400000" vert="horz"/>
              <a:lstStyle/>
              <a:p>
                <a:pPr>
                  <a:defRPr/>
                </a:pPr>
                <a:r>
                  <a:rPr lang="ru-RU"/>
                  <a:t>км</a:t>
                </a:r>
              </a:p>
            </c:rich>
          </c:tx>
        </c:title>
        <c:numFmt formatCode="#,##0" sourceLinked="1"/>
        <c:tickLblPos val="none"/>
        <c:crossAx val="103920000"/>
        <c:crosses val="autoZero"/>
        <c:crossBetween val="between"/>
      </c:valAx>
    </c:plotArea>
    <c:legend>
      <c:legendPos val="b"/>
      <c:layout>
        <c:manualLayout>
          <c:xMode val="edge"/>
          <c:yMode val="edge"/>
          <c:x val="0.14594953060334845"/>
          <c:y val="0.89826201229660607"/>
          <c:w val="0.77479131886479735"/>
          <c:h val="0.10110869853928289"/>
        </c:manualLayout>
      </c:layout>
    </c:legend>
    <c:plotVisOnly val="1"/>
    <c:dispBlanksAs val="gap"/>
  </c:chart>
  <c:txPr>
    <a:bodyPr/>
    <a:lstStyle/>
    <a:p>
      <a:pPr>
        <a:defRPr sz="900"/>
      </a:pPr>
      <a:endParaRPr lang="ru-RU"/>
    </a:p>
  </c:txPr>
  <c:externalData r:id="rId1"/>
</c:chartSpace>
</file>

<file path=word/charts/chart13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Вознаграждение, выплаченнное членам Ревизионной</a:t>
            </a:r>
            <a:r>
              <a:rPr lang="ru-RU" baseline="0"/>
              <a:t> комиссии</a:t>
            </a:r>
            <a:endParaRPr lang="ru-RU"/>
          </a:p>
        </c:rich>
      </c:tx>
    </c:title>
    <c:plotArea>
      <c:layout>
        <c:manualLayout>
          <c:layoutTarget val="inner"/>
          <c:xMode val="edge"/>
          <c:yMode val="edge"/>
          <c:x val="0.14322627524082129"/>
          <c:y val="0.23229675315498521"/>
          <c:w val="0.8319462831117147"/>
          <c:h val="0.50455323779237959"/>
        </c:manualLayout>
      </c:layout>
      <c:barChart>
        <c:barDir val="col"/>
        <c:grouping val="clustered"/>
        <c:ser>
          <c:idx val="0"/>
          <c:order val="0"/>
          <c:tx>
            <c:strRef>
              <c:f>Лист1!$B$1</c:f>
              <c:strCache>
                <c:ptCount val="1"/>
                <c:pt idx="0">
                  <c:v>Вознаграждение, выплаченнное членам Ревизионной комиссии</c:v>
                </c:pt>
              </c:strCache>
            </c:strRef>
          </c:tx>
          <c:dLbls>
            <c:numFmt formatCode="#,##0.00" sourceLinked="0"/>
            <c:showVal val="1"/>
          </c:dLbls>
          <c:cat>
            <c:numRef>
              <c:f>Лист1!$A$2:$A$4</c:f>
              <c:numCache>
                <c:formatCode>General</c:formatCode>
                <c:ptCount val="3"/>
                <c:pt idx="0">
                  <c:v>2011</c:v>
                </c:pt>
                <c:pt idx="1">
                  <c:v>2012</c:v>
                </c:pt>
                <c:pt idx="2">
                  <c:v>2013</c:v>
                </c:pt>
              </c:numCache>
            </c:numRef>
          </c:cat>
          <c:val>
            <c:numRef>
              <c:f>Лист1!$B$2:$B$4</c:f>
              <c:numCache>
                <c:formatCode>0.0</c:formatCode>
                <c:ptCount val="3"/>
                <c:pt idx="0">
                  <c:v>1.165171</c:v>
                </c:pt>
                <c:pt idx="1">
                  <c:v>0.61380000000001056</c:v>
                </c:pt>
                <c:pt idx="2">
                  <c:v>1.21204</c:v>
                </c:pt>
              </c:numCache>
            </c:numRef>
          </c:val>
        </c:ser>
        <c:axId val="296286464"/>
        <c:axId val="296357888"/>
      </c:barChart>
      <c:catAx>
        <c:axId val="296286464"/>
        <c:scaling>
          <c:orientation val="minMax"/>
        </c:scaling>
        <c:axPos val="b"/>
        <c:numFmt formatCode="General" sourceLinked="1"/>
        <c:tickLblPos val="nextTo"/>
        <c:crossAx val="296357888"/>
        <c:crosses val="autoZero"/>
        <c:auto val="1"/>
        <c:lblAlgn val="ctr"/>
        <c:lblOffset val="100"/>
      </c:catAx>
      <c:valAx>
        <c:axId val="296357888"/>
        <c:scaling>
          <c:orientation val="minMax"/>
          <c:max val="2"/>
        </c:scaling>
        <c:axPos val="l"/>
        <c:majorGridlines/>
        <c:title>
          <c:tx>
            <c:rich>
              <a:bodyPr rot="-5400000" vert="horz"/>
              <a:lstStyle/>
              <a:p>
                <a:pPr>
                  <a:defRPr/>
                </a:pPr>
                <a:r>
                  <a:rPr lang="ru-RU"/>
                  <a:t>млн руб. без НДФЛ</a:t>
                </a:r>
              </a:p>
            </c:rich>
          </c:tx>
        </c:title>
        <c:numFmt formatCode="0.0" sourceLinked="1"/>
        <c:tickLblPos val="nextTo"/>
        <c:crossAx val="296286464"/>
        <c:crosses val="autoZero"/>
        <c:crossBetween val="between"/>
      </c:valAx>
    </c:plotArea>
    <c:plotVisOnly val="1"/>
    <c:dispBlanksAs val="gap"/>
  </c:chart>
  <c:txPr>
    <a:bodyPr/>
    <a:lstStyle/>
    <a:p>
      <a:pPr>
        <a:defRPr sz="900"/>
      </a:pPr>
      <a:endParaRPr lang="ru-RU"/>
    </a:p>
  </c:txPr>
  <c:externalData r:id="rId1"/>
</c:chartSpace>
</file>

<file path=word/charts/chart13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Оценка вероятности наступления риска</a:t>
            </a:r>
          </a:p>
        </c:rich>
      </c:tx>
    </c:title>
    <c:plotArea>
      <c:layout>
        <c:manualLayout>
          <c:layoutTarget val="inner"/>
          <c:xMode val="edge"/>
          <c:yMode val="edge"/>
          <c:x val="0.23790363362978645"/>
          <c:y val="0.10960640256459529"/>
          <c:w val="0.53466304073988069"/>
          <c:h val="0.6504389048339897"/>
        </c:manualLayout>
      </c:layout>
      <c:radarChart>
        <c:radarStyle val="marker"/>
        <c:ser>
          <c:idx val="0"/>
          <c:order val="0"/>
          <c:tx>
            <c:strRef>
              <c:f>Лист1!$B$1</c:f>
              <c:strCache>
                <c:ptCount val="1"/>
                <c:pt idx="0">
                  <c:v>Оценка вероятности наступления риска</c:v>
                </c:pt>
              </c:strCache>
            </c:strRef>
          </c:tx>
          <c:spPr>
            <a:ln>
              <a:solidFill>
                <a:schemeClr val="accent2"/>
              </a:solidFill>
            </a:ln>
          </c:spPr>
          <c:marker>
            <c:symbol val="circle"/>
            <c:size val="7"/>
          </c:marker>
          <c:cat>
            <c:strRef>
              <c:f>Лист1!$A$2:$A$20</c:f>
              <c:strCache>
                <c:ptCount val="19"/>
                <c:pt idx="0">
                  <c:v>Страновые риски</c:v>
                </c:pt>
                <c:pt idx="1">
                  <c:v>Региональные риски</c:v>
                </c:pt>
                <c:pt idx="2">
                  <c:v>Регуляторный риск</c:v>
                </c:pt>
                <c:pt idx="3">
                  <c:v>Отклонения объёма полезного отпуска от плановых значений</c:v>
                </c:pt>
                <c:pt idx="4">
                  <c:v>Неопределённость объёма технологических присоединений</c:v>
                </c:pt>
                <c:pt idx="5">
                  <c:v>Инфляционный риск</c:v>
                </c:pt>
                <c:pt idx="6">
                  <c:v>Процентный риск</c:v>
                </c:pt>
                <c:pt idx="7">
                  <c:v>Валютный риск</c:v>
                </c:pt>
                <c:pt idx="8">
                  <c:v>Неопределённость нерегулируемой цены покупки потерь</c:v>
                </c:pt>
                <c:pt idx="9">
                  <c:v>Неопределённость ставки ТСО</c:v>
                </c:pt>
                <c:pt idx="10">
                  <c:v>Технический (эксплуатационный) риск</c:v>
                </c:pt>
                <c:pt idx="11">
                  <c:v>Нарушение Обществом антимонопольного законодательства при осуществлении технологических присоединений </c:v>
                </c:pt>
                <c:pt idx="12">
                  <c:v>Рост дебиторской задолженности за услуги по передаче электроэнергии</c:v>
                </c:pt>
                <c:pt idx="13">
                  <c:v>Признание безнадежной и списание на убытки ДЗ за выданные авансы по технологическим присоединениям</c:v>
                </c:pt>
                <c:pt idx="14">
                  <c:v>Инвестиционный риск</c:v>
                </c:pt>
                <c:pt idx="15">
                  <c:v>Производственный травматизм</c:v>
                </c:pt>
                <c:pt idx="16">
                  <c:v>Риски корпоративного управления</c:v>
                </c:pt>
                <c:pt idx="17">
                  <c:v>Изменение налогового законодательства</c:v>
                </c:pt>
                <c:pt idx="18">
                  <c:v>Изменение требований по лицензированию основной деятельности</c:v>
                </c:pt>
              </c:strCache>
            </c:strRef>
          </c:cat>
          <c:val>
            <c:numRef>
              <c:f>Лист1!$B$2:$B$20</c:f>
              <c:numCache>
                <c:formatCode>General</c:formatCode>
                <c:ptCount val="19"/>
                <c:pt idx="0">
                  <c:v>5</c:v>
                </c:pt>
                <c:pt idx="1">
                  <c:v>0</c:v>
                </c:pt>
                <c:pt idx="2">
                  <c:v>5</c:v>
                </c:pt>
                <c:pt idx="3">
                  <c:v>5</c:v>
                </c:pt>
                <c:pt idx="4">
                  <c:v>0</c:v>
                </c:pt>
                <c:pt idx="5">
                  <c:v>0</c:v>
                </c:pt>
                <c:pt idx="6">
                  <c:v>5</c:v>
                </c:pt>
                <c:pt idx="7">
                  <c:v>10</c:v>
                </c:pt>
                <c:pt idx="8">
                  <c:v>5</c:v>
                </c:pt>
                <c:pt idx="9">
                  <c:v>10</c:v>
                </c:pt>
                <c:pt idx="10">
                  <c:v>10</c:v>
                </c:pt>
                <c:pt idx="11">
                  <c:v>10</c:v>
                </c:pt>
                <c:pt idx="12">
                  <c:v>10</c:v>
                </c:pt>
                <c:pt idx="13">
                  <c:v>10</c:v>
                </c:pt>
                <c:pt idx="14">
                  <c:v>0</c:v>
                </c:pt>
                <c:pt idx="15">
                  <c:v>5</c:v>
                </c:pt>
                <c:pt idx="16">
                  <c:v>0</c:v>
                </c:pt>
                <c:pt idx="17">
                  <c:v>0</c:v>
                </c:pt>
                <c:pt idx="18">
                  <c:v>0</c:v>
                </c:pt>
              </c:numCache>
            </c:numRef>
          </c:val>
        </c:ser>
        <c:axId val="296382464"/>
        <c:axId val="296384000"/>
      </c:radarChart>
      <c:catAx>
        <c:axId val="296382464"/>
        <c:scaling>
          <c:orientation val="minMax"/>
        </c:scaling>
        <c:axPos val="b"/>
        <c:majorGridlines/>
        <c:numFmt formatCode="m/d/yyyy" sourceLinked="1"/>
        <c:tickLblPos val="nextTo"/>
        <c:txPr>
          <a:bodyPr/>
          <a:lstStyle/>
          <a:p>
            <a:pPr>
              <a:defRPr sz="700"/>
            </a:pPr>
            <a:endParaRPr lang="ru-RU"/>
          </a:p>
        </c:txPr>
        <c:crossAx val="296384000"/>
        <c:crosses val="autoZero"/>
        <c:auto val="1"/>
        <c:lblAlgn val="ctr"/>
        <c:lblOffset val="100"/>
      </c:catAx>
      <c:valAx>
        <c:axId val="296384000"/>
        <c:scaling>
          <c:orientation val="minMax"/>
        </c:scaling>
        <c:axPos val="l"/>
        <c:majorGridlines/>
        <c:numFmt formatCode="General" sourceLinked="1"/>
        <c:majorTickMark val="cross"/>
        <c:tickLblPos val="nextTo"/>
        <c:txPr>
          <a:bodyPr/>
          <a:lstStyle/>
          <a:p>
            <a:pPr>
              <a:defRPr sz="100">
                <a:solidFill>
                  <a:schemeClr val="bg1"/>
                </a:solidFill>
              </a:defRPr>
            </a:pPr>
            <a:endParaRPr lang="ru-RU"/>
          </a:p>
        </c:txPr>
        <c:crossAx val="296382464"/>
        <c:crosses val="autoZero"/>
        <c:crossBetween val="between"/>
        <c:majorUnit val="5"/>
      </c:valAx>
    </c:plotArea>
    <c:legend>
      <c:legendPos val="b"/>
    </c:legend>
    <c:plotVisOnly val="1"/>
    <c:dispBlanksAs val="gap"/>
  </c:chart>
  <c:txPr>
    <a:bodyPr/>
    <a:lstStyle/>
    <a:p>
      <a:pPr>
        <a:defRPr sz="900"/>
      </a:pPr>
      <a:endParaRPr lang="ru-RU"/>
    </a:p>
  </c:txPr>
  <c:externalData r:id="rId1"/>
</c:chartSpace>
</file>

<file path=word/charts/chart13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акционерного капитала</a:t>
            </a:r>
          </a:p>
        </c:rich>
      </c:tx>
    </c:title>
    <c:plotArea>
      <c:layout>
        <c:manualLayout>
          <c:layoutTarget val="inner"/>
          <c:xMode val="edge"/>
          <c:yMode val="edge"/>
          <c:x val="0.14238912874127921"/>
          <c:y val="0.19814639090236594"/>
          <c:w val="0.37610979768756836"/>
          <c:h val="0.68880713555872464"/>
        </c:manualLayout>
      </c:layout>
      <c:pieChart>
        <c:varyColors val="1"/>
        <c:ser>
          <c:idx val="0"/>
          <c:order val="0"/>
          <c:tx>
            <c:strRef>
              <c:f>Лист1!$B$1</c:f>
              <c:strCache>
                <c:ptCount val="1"/>
                <c:pt idx="0">
                  <c:v>Продажи</c:v>
                </c:pt>
              </c:strCache>
            </c:strRef>
          </c:tx>
          <c:dLbls>
            <c:showVal val="1"/>
            <c:showLeaderLines val="1"/>
          </c:dLbls>
          <c:cat>
            <c:strRef>
              <c:f>Лист1!$A$2:$A$8</c:f>
              <c:strCache>
                <c:ptCount val="7"/>
                <c:pt idx="0">
                  <c:v>ОАО «Россети»</c:v>
                </c:pt>
                <c:pt idx="1">
                  <c:v>(Д.У.) ЗАО «Лидер» (Компания по управлению активами пенсионного фонда)</c:v>
                </c:pt>
                <c:pt idx="2">
                  <c:v>«Газпромбанк» (Открытое акционерное общество)</c:v>
                </c:pt>
                <c:pt idx="3">
                  <c:v>(Д.У.) ООО «Управляющая компания» «АГАНА»</c:v>
                </c:pt>
                <c:pt idx="4">
                  <c:v>(Д.У.) ООО «Управляющая компания «Перспектива Финанс»</c:v>
                </c:pt>
                <c:pt idx="5">
                  <c:v>ОАО «ОЭК-Финанс»</c:v>
                </c:pt>
                <c:pt idx="6">
                  <c:v>Прочие акционеры </c:v>
                </c:pt>
              </c:strCache>
            </c:strRef>
          </c:cat>
          <c:val>
            <c:numRef>
              <c:f>Лист1!$B$2:$B$8</c:f>
              <c:numCache>
                <c:formatCode>0.00%</c:formatCode>
                <c:ptCount val="7"/>
                <c:pt idx="0">
                  <c:v>0.50900000000000001</c:v>
                </c:pt>
                <c:pt idx="1">
                  <c:v>0.10620000000000022</c:v>
                </c:pt>
                <c:pt idx="2">
                  <c:v>9.7700000000000023E-2</c:v>
                </c:pt>
                <c:pt idx="3">
                  <c:v>7.6200000000000004E-2</c:v>
                </c:pt>
                <c:pt idx="4">
                  <c:v>6.2300000000000133E-2</c:v>
                </c:pt>
                <c:pt idx="5">
                  <c:v>5.0500000000000003E-2</c:v>
                </c:pt>
                <c:pt idx="6">
                  <c:v>9.8100000000000048E-2</c:v>
                </c:pt>
              </c:numCache>
            </c:numRef>
          </c:val>
        </c:ser>
        <c:firstSliceAng val="0"/>
      </c:pieChart>
    </c:plotArea>
    <c:legend>
      <c:legendPos val="r"/>
      <c:layout>
        <c:manualLayout>
          <c:xMode val="edge"/>
          <c:yMode val="edge"/>
          <c:x val="0.55807505832604265"/>
          <c:y val="0.1171791026121735"/>
          <c:w val="0.42803605278506851"/>
          <c:h val="0.81002687164104492"/>
        </c:manualLayout>
      </c:layout>
      <c:txPr>
        <a:bodyPr/>
        <a:lstStyle/>
        <a:p>
          <a:pPr>
            <a:defRPr sz="700"/>
          </a:pPr>
          <a:endParaRPr lang="ru-RU"/>
        </a:p>
      </c:txPr>
    </c:legend>
    <c:plotVisOnly val="1"/>
    <c:dispBlanksAs val="zero"/>
  </c:chart>
  <c:txPr>
    <a:bodyPr/>
    <a:lstStyle/>
    <a:p>
      <a:pPr>
        <a:defRPr sz="900"/>
      </a:pPr>
      <a:endParaRPr lang="ru-RU"/>
    </a:p>
  </c:txPr>
  <c:externalData r:id="rId1"/>
</c:chartSpace>
</file>

<file path=word/charts/chart13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акционеров по количеству</a:t>
            </a:r>
            <a:r>
              <a:rPr lang="ru-RU" baseline="0"/>
              <a:t> держателей</a:t>
            </a:r>
            <a:endParaRPr lang="ru-RU"/>
          </a:p>
        </c:rich>
      </c:tx>
    </c:title>
    <c:plotArea>
      <c:layout/>
      <c:pieChart>
        <c:varyColors val="1"/>
        <c:ser>
          <c:idx val="1"/>
          <c:order val="0"/>
          <c:tx>
            <c:strRef>
              <c:f>Лист1!$B$1</c:f>
              <c:strCache>
                <c:ptCount val="1"/>
                <c:pt idx="0">
                  <c:v>Столбец1</c:v>
                </c:pt>
              </c:strCache>
            </c:strRef>
          </c:tx>
          <c:dLbls>
            <c:numFmt formatCode="0.00%" sourceLinked="0"/>
            <c:showPercent val="1"/>
            <c:showLeaderLines val="1"/>
          </c:dLbls>
          <c:cat>
            <c:strRef>
              <c:f>Лист1!$A$2:$A$6</c:f>
              <c:strCache>
                <c:ptCount val="5"/>
                <c:pt idx="0">
                  <c:v>Физические лица</c:v>
                </c:pt>
                <c:pt idx="1">
                  <c:v>Юридические лица</c:v>
                </c:pt>
                <c:pt idx="2">
                  <c:v>НД: физические лица</c:v>
                </c:pt>
                <c:pt idx="3">
                  <c:v>НД: юридические лица</c:v>
                </c:pt>
                <c:pt idx="4">
                  <c:v>НД: доверительные управляющие – юридические лица</c:v>
                </c:pt>
              </c:strCache>
            </c:strRef>
          </c:cat>
          <c:val>
            <c:numRef>
              <c:f>Лист1!$B$2:$B$6</c:f>
              <c:numCache>
                <c:formatCode>General</c:formatCode>
                <c:ptCount val="5"/>
                <c:pt idx="0" formatCode="#,##0">
                  <c:v>15824</c:v>
                </c:pt>
                <c:pt idx="1">
                  <c:v>68</c:v>
                </c:pt>
                <c:pt idx="2" formatCode="#,##0">
                  <c:v>2494</c:v>
                </c:pt>
                <c:pt idx="3">
                  <c:v>247</c:v>
                </c:pt>
                <c:pt idx="4">
                  <c:v>64</c:v>
                </c:pt>
              </c:numCache>
            </c:numRef>
          </c:val>
        </c:ser>
        <c:firstSliceAng val="0"/>
      </c:pieChart>
    </c:plotArea>
    <c:legend>
      <c:legendPos val="l"/>
      <c:layout>
        <c:manualLayout>
          <c:xMode val="edge"/>
          <c:yMode val="edge"/>
          <c:x val="2.7027027027027754E-2"/>
          <c:y val="0.24954898305556808"/>
          <c:w val="0.40487195857274638"/>
          <c:h val="0.72321044675069324"/>
        </c:manualLayout>
      </c:layout>
    </c:legend>
    <c:plotVisOnly val="1"/>
    <c:dispBlanksAs val="zero"/>
  </c:chart>
  <c:txPr>
    <a:bodyPr/>
    <a:lstStyle/>
    <a:p>
      <a:pPr>
        <a:defRPr sz="700"/>
      </a:pPr>
      <a:endParaRPr lang="ru-RU"/>
    </a:p>
  </c:txPr>
  <c:externalData r:id="rId1"/>
</c:chartSpace>
</file>

<file path=word/charts/chart13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акционеров по доле владения</a:t>
            </a:r>
          </a:p>
        </c:rich>
      </c:tx>
    </c:title>
    <c:plotArea>
      <c:layout/>
      <c:pieChart>
        <c:varyColors val="1"/>
        <c:ser>
          <c:idx val="1"/>
          <c:order val="0"/>
          <c:tx>
            <c:strRef>
              <c:f>Лист1!$B$1</c:f>
              <c:strCache>
                <c:ptCount val="1"/>
                <c:pt idx="0">
                  <c:v>Столбец1</c:v>
                </c:pt>
              </c:strCache>
            </c:strRef>
          </c:tx>
          <c:dLbls>
            <c:numFmt formatCode="0.00%" sourceLinked="0"/>
            <c:showVal val="1"/>
            <c:showLeaderLines val="1"/>
          </c:dLbls>
          <c:cat>
            <c:strRef>
              <c:f>Лист1!$A$2:$A$6</c:f>
              <c:strCache>
                <c:ptCount val="5"/>
                <c:pt idx="0">
                  <c:v>Физические лица</c:v>
                </c:pt>
                <c:pt idx="1">
                  <c:v>Юридические лица</c:v>
                </c:pt>
                <c:pt idx="2">
                  <c:v>НД: физические лица</c:v>
                </c:pt>
                <c:pt idx="3">
                  <c:v>НД: юридические лица</c:v>
                </c:pt>
                <c:pt idx="4">
                  <c:v>НД: доверительные управляющие – юридические лица</c:v>
                </c:pt>
              </c:strCache>
            </c:strRef>
          </c:cat>
          <c:val>
            <c:numRef>
              <c:f>Лист1!$B$2:$B$6</c:f>
              <c:numCache>
                <c:formatCode>General</c:formatCode>
                <c:ptCount val="5"/>
                <c:pt idx="0">
                  <c:v>3.5900000000000001E-2</c:v>
                </c:pt>
                <c:pt idx="1">
                  <c:v>3.0000000000000675E-4</c:v>
                </c:pt>
                <c:pt idx="2">
                  <c:v>6.3000000000000113E-3</c:v>
                </c:pt>
                <c:pt idx="3">
                  <c:v>0.69730000000000003</c:v>
                </c:pt>
                <c:pt idx="4">
                  <c:v>0.26020000000000004</c:v>
                </c:pt>
              </c:numCache>
            </c:numRef>
          </c:val>
        </c:ser>
        <c:firstSliceAng val="0"/>
      </c:pieChart>
    </c:plotArea>
    <c:legend>
      <c:legendPos val="l"/>
      <c:layout>
        <c:manualLayout>
          <c:xMode val="edge"/>
          <c:yMode val="edge"/>
          <c:x val="2.7027027027027771E-2"/>
          <c:y val="0.24954898305556819"/>
          <c:w val="0.40487195857274638"/>
          <c:h val="0.72321044675069324"/>
        </c:manualLayout>
      </c:layout>
    </c:legend>
    <c:plotVisOnly val="1"/>
    <c:dispBlanksAs val="zero"/>
  </c:chart>
  <c:txPr>
    <a:bodyPr/>
    <a:lstStyle/>
    <a:p>
      <a:pPr>
        <a:defRPr sz="700"/>
      </a:pPr>
      <a:endParaRPr lang="ru-RU"/>
    </a:p>
  </c:txPr>
  <c:externalData r:id="rId1"/>
</c:chartSpace>
</file>

<file path=word/charts/chart13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акционеров по количеству  держателей</a:t>
            </a:r>
          </a:p>
        </c:rich>
      </c:tx>
    </c:title>
    <c:plotArea>
      <c:layout/>
      <c:pieChart>
        <c:varyColors val="1"/>
        <c:ser>
          <c:idx val="0"/>
          <c:order val="0"/>
          <c:tx>
            <c:strRef>
              <c:f>Лист1!$B$1</c:f>
              <c:strCache>
                <c:ptCount val="1"/>
                <c:pt idx="0">
                  <c:v>Столбец1</c:v>
                </c:pt>
              </c:strCache>
            </c:strRef>
          </c:tx>
          <c:dLbls>
            <c:numFmt formatCode="0.00%" sourceLinked="0"/>
            <c:showPercent val="1"/>
            <c:showLeaderLines val="1"/>
          </c:dLbls>
          <c:cat>
            <c:strRef>
              <c:f>Лист1!$A$2:$A$3</c:f>
              <c:strCache>
                <c:ptCount val="2"/>
                <c:pt idx="0">
                  <c:v>Резиденты</c:v>
                </c:pt>
                <c:pt idx="1">
                  <c:v>Нерезиденты</c:v>
                </c:pt>
              </c:strCache>
            </c:strRef>
          </c:cat>
          <c:val>
            <c:numRef>
              <c:f>Лист1!$B$2:$B$3</c:f>
              <c:numCache>
                <c:formatCode>General</c:formatCode>
                <c:ptCount val="2"/>
                <c:pt idx="0" formatCode="#,##0">
                  <c:v>18574</c:v>
                </c:pt>
                <c:pt idx="1">
                  <c:v>131</c:v>
                </c:pt>
              </c:numCache>
            </c:numRef>
          </c:val>
        </c:ser>
        <c:firstSliceAng val="0"/>
      </c:pieChart>
    </c:plotArea>
    <c:legend>
      <c:legendPos val="r"/>
      <c:txPr>
        <a:bodyPr/>
        <a:lstStyle/>
        <a:p>
          <a:pPr>
            <a:defRPr sz="700"/>
          </a:pPr>
          <a:endParaRPr lang="ru-RU"/>
        </a:p>
      </c:txPr>
    </c:legend>
    <c:plotVisOnly val="1"/>
    <c:dispBlanksAs val="zero"/>
  </c:chart>
  <c:txPr>
    <a:bodyPr/>
    <a:lstStyle/>
    <a:p>
      <a:pPr>
        <a:defRPr sz="800"/>
      </a:pPr>
      <a:endParaRPr lang="ru-RU"/>
    </a:p>
  </c:txPr>
  <c:externalData r:id="rId1"/>
</c:chartSpace>
</file>

<file path=word/charts/chart13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акционеров по доле владения</a:t>
            </a:r>
          </a:p>
        </c:rich>
      </c:tx>
    </c:title>
    <c:plotArea>
      <c:layout/>
      <c:pieChart>
        <c:varyColors val="1"/>
        <c:ser>
          <c:idx val="0"/>
          <c:order val="0"/>
          <c:tx>
            <c:strRef>
              <c:f>'Лист1'!$B$1</c:f>
              <c:strCache>
                <c:ptCount val="1"/>
                <c:pt idx="0">
                  <c:v>Столбец1</c:v>
                </c:pt>
              </c:strCache>
            </c:strRef>
          </c:tx>
          <c:dLbls>
            <c:numFmt formatCode="0.00%" sourceLinked="0"/>
            <c:showVal val="1"/>
            <c:showLeaderLines val="1"/>
          </c:dLbls>
          <c:cat>
            <c:strRef>
              <c:f>'Лист1'!$A$2:$A$3</c:f>
              <c:strCache>
                <c:ptCount val="2"/>
                <c:pt idx="0">
                  <c:v>Резиденты</c:v>
                </c:pt>
                <c:pt idx="1">
                  <c:v>Нерезиденты</c:v>
                </c:pt>
              </c:strCache>
            </c:strRef>
          </c:cat>
          <c:val>
            <c:numRef>
              <c:f>'Лист1'!$B$2:$B$3</c:f>
              <c:numCache>
                <c:formatCode>General</c:formatCode>
                <c:ptCount val="2"/>
                <c:pt idx="0">
                  <c:v>0.99129999999999996</c:v>
                </c:pt>
                <c:pt idx="1">
                  <c:v>8.7000000000000046E-3</c:v>
                </c:pt>
              </c:numCache>
            </c:numRef>
          </c:val>
        </c:ser>
        <c:firstSliceAng val="0"/>
      </c:pieChart>
    </c:plotArea>
    <c:legend>
      <c:legendPos val="r"/>
      <c:txPr>
        <a:bodyPr/>
        <a:lstStyle/>
        <a:p>
          <a:pPr>
            <a:defRPr sz="700"/>
          </a:pPr>
          <a:endParaRPr lang="ru-RU"/>
        </a:p>
      </c:txPr>
    </c:legend>
    <c:plotVisOnly val="1"/>
    <c:dispBlanksAs val="zero"/>
  </c:chart>
  <c:txPr>
    <a:bodyPr/>
    <a:lstStyle/>
    <a:p>
      <a:pPr>
        <a:defRPr sz="800"/>
      </a:pPr>
      <a:endParaRPr lang="ru-RU"/>
    </a:p>
  </c:txPr>
  <c:externalData r:id="rId1"/>
</c:chartSpace>
</file>

<file path=word/charts/chart13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Струкутра акционеров: доля от общего количества акционеров в зависимости от размера принадлежащего им пакета акций</a:t>
            </a:r>
          </a:p>
        </c:rich>
      </c:tx>
    </c:title>
    <c:plotArea>
      <c:layout>
        <c:manualLayout>
          <c:layoutTarget val="inner"/>
          <c:xMode val="edge"/>
          <c:yMode val="edge"/>
          <c:x val="0.10575352397662315"/>
          <c:y val="0.39080924831027813"/>
          <c:w val="0.33970093461013839"/>
          <c:h val="0.46478153201740191"/>
        </c:manualLayout>
      </c:layout>
      <c:pieChart>
        <c:varyColors val="1"/>
        <c:ser>
          <c:idx val="0"/>
          <c:order val="0"/>
          <c:tx>
            <c:strRef>
              <c:f>Лист1!$B$1</c:f>
              <c:strCache>
                <c:ptCount val="1"/>
                <c:pt idx="0">
                  <c:v>Продажи</c:v>
                </c:pt>
              </c:strCache>
            </c:strRef>
          </c:tx>
          <c:dLbls>
            <c:txPr>
              <a:bodyPr/>
              <a:lstStyle/>
              <a:p>
                <a:pPr>
                  <a:defRPr sz="800"/>
                </a:pPr>
                <a:endParaRPr lang="ru-RU"/>
              </a:p>
            </c:txPr>
            <c:showVal val="1"/>
            <c:showPercent val="1"/>
            <c:showLeaderLines val="1"/>
          </c:dLbls>
          <c:cat>
            <c:strRef>
              <c:f>Лист1!$A$2:$A$10</c:f>
              <c:strCache>
                <c:ptCount val="9"/>
                <c:pt idx="0">
                  <c:v>1-100 акций</c:v>
                </c:pt>
                <c:pt idx="1">
                  <c:v>101-500 акций</c:v>
                </c:pt>
                <c:pt idx="2">
                  <c:v>501-1 000 акций</c:v>
                </c:pt>
                <c:pt idx="3">
                  <c:v>1 001-10 000 акций</c:v>
                </c:pt>
                <c:pt idx="4">
                  <c:v>10 001-100 000 акций</c:v>
                </c:pt>
                <c:pt idx="5">
                  <c:v>100 001-1 000 000 акций</c:v>
                </c:pt>
                <c:pt idx="6">
                  <c:v>1 000 001-10 000 001 акций</c:v>
                </c:pt>
                <c:pt idx="7">
                  <c:v>10 000 001-100 000 001 акций</c:v>
                </c:pt>
                <c:pt idx="8">
                  <c:v>свыше 100 000 001 акций</c:v>
                </c:pt>
              </c:strCache>
            </c:strRef>
          </c:cat>
          <c:val>
            <c:numRef>
              <c:f>Лист1!$B$2:$B$10</c:f>
              <c:numCache>
                <c:formatCode>General</c:formatCode>
                <c:ptCount val="9"/>
                <c:pt idx="0">
                  <c:v>937</c:v>
                </c:pt>
                <c:pt idx="1">
                  <c:v>942</c:v>
                </c:pt>
                <c:pt idx="2">
                  <c:v>917</c:v>
                </c:pt>
                <c:pt idx="3" formatCode="#,##0">
                  <c:v>6034</c:v>
                </c:pt>
                <c:pt idx="4" formatCode="#,##0">
                  <c:v>5213</c:v>
                </c:pt>
                <c:pt idx="5" formatCode="#,##0">
                  <c:v>4155</c:v>
                </c:pt>
                <c:pt idx="6">
                  <c:v>353</c:v>
                </c:pt>
                <c:pt idx="7">
                  <c:v>18</c:v>
                </c:pt>
                <c:pt idx="8">
                  <c:v>12</c:v>
                </c:pt>
              </c:numCache>
            </c:numRef>
          </c:val>
        </c:ser>
        <c:firstSliceAng val="0"/>
      </c:pieChart>
    </c:plotArea>
    <c:legend>
      <c:legendPos val="r"/>
      <c:layout>
        <c:manualLayout>
          <c:xMode val="edge"/>
          <c:yMode val="edge"/>
          <c:x val="0.50876825510518664"/>
          <c:y val="0.31971847080383492"/>
          <c:w val="0.44393124706688925"/>
          <c:h val="0.67686525789209384"/>
        </c:manualLayout>
      </c:layout>
      <c:txPr>
        <a:bodyPr/>
        <a:lstStyle/>
        <a:p>
          <a:pPr>
            <a:defRPr sz="800"/>
          </a:pPr>
          <a:endParaRPr lang="ru-RU"/>
        </a:p>
      </c:txPr>
    </c:legend>
    <c:plotVisOnly val="1"/>
    <c:dispBlanksAs val="zero"/>
  </c:chart>
  <c:txPr>
    <a:bodyPr/>
    <a:lstStyle/>
    <a:p>
      <a:pPr>
        <a:defRPr sz="900"/>
      </a:pPr>
      <a:endParaRPr lang="ru-RU"/>
    </a:p>
  </c:txPr>
  <c:externalData r:id="rId1"/>
</c:chartSpace>
</file>

<file path=word/charts/chart13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a:t>
            </a:r>
            <a:r>
              <a:rPr lang="ru-RU" baseline="0"/>
              <a:t> акционерного капитала: количество акций, входящие в определенные пакеты акций</a:t>
            </a:r>
            <a:endParaRPr lang="ru-RU"/>
          </a:p>
        </c:rich>
      </c:tx>
    </c:title>
    <c:plotArea>
      <c:layout>
        <c:manualLayout>
          <c:layoutTarget val="inner"/>
          <c:xMode val="edge"/>
          <c:yMode val="edge"/>
          <c:x val="0.17745729882620395"/>
          <c:y val="0.33223747288438282"/>
          <c:w val="0.52654311590614844"/>
          <c:h val="0.45209973753280841"/>
        </c:manualLayout>
      </c:layout>
      <c:pieChart>
        <c:varyColors val="1"/>
        <c:ser>
          <c:idx val="0"/>
          <c:order val="0"/>
          <c:tx>
            <c:strRef>
              <c:f>Лист1!$B$1</c:f>
              <c:strCache>
                <c:ptCount val="1"/>
                <c:pt idx="0">
                  <c:v>Продажи</c:v>
                </c:pt>
              </c:strCache>
            </c:strRef>
          </c:tx>
          <c:dLbls>
            <c:numFmt formatCode="0.00%" sourceLinked="0"/>
            <c:showPercent val="1"/>
            <c:showLeaderLines val="1"/>
          </c:dLbls>
          <c:cat>
            <c:strRef>
              <c:f>Лист1!$A$2:$A$3</c:f>
              <c:strCache>
                <c:ptCount val="2"/>
                <c:pt idx="0">
                  <c:v>до 100 000 000</c:v>
                </c:pt>
                <c:pt idx="1">
                  <c:v>свыше 100 000 001</c:v>
                </c:pt>
              </c:strCache>
            </c:strRef>
          </c:cat>
          <c:val>
            <c:numRef>
              <c:f>Лист1!$B$2:$B$3</c:f>
              <c:numCache>
                <c:formatCode>#,##0</c:formatCode>
                <c:ptCount val="2"/>
                <c:pt idx="0">
                  <c:v>2768964215</c:v>
                </c:pt>
                <c:pt idx="1">
                  <c:v>45938127359</c:v>
                </c:pt>
              </c:numCache>
            </c:numRef>
          </c:val>
        </c:ser>
        <c:firstSliceAng val="78"/>
      </c:pieChart>
    </c:plotArea>
    <c:legend>
      <c:legendPos val="b"/>
      <c:layout>
        <c:manualLayout>
          <c:xMode val="edge"/>
          <c:yMode val="edge"/>
          <c:x val="5.0000127485218093E-2"/>
          <c:y val="0.87747969003875181"/>
          <c:w val="0.89999995767750118"/>
          <c:h val="9.0703018863133283E-2"/>
        </c:manualLayout>
      </c:layout>
    </c:legend>
    <c:plotVisOnly val="1"/>
    <c:dispBlanksAs val="zero"/>
  </c:chart>
  <c:txPr>
    <a:bodyPr/>
    <a:lstStyle/>
    <a:p>
      <a:pPr>
        <a:defRPr sz="900"/>
      </a:pPr>
      <a:endParaRPr lang="ru-RU"/>
    </a:p>
  </c:txPr>
  <c:externalData r:id="rId1"/>
</c:chartSpace>
</file>

<file path=word/charts/chart13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590831609069357"/>
          <c:y val="0.38289810742808755"/>
          <c:w val="0.31350193842241481"/>
          <c:h val="0.34245413050879353"/>
        </c:manualLayout>
      </c:layout>
      <c:pieChart>
        <c:varyColors val="1"/>
        <c:ser>
          <c:idx val="0"/>
          <c:order val="0"/>
          <c:tx>
            <c:strRef>
              <c:f>Лист1!$B$1</c:f>
              <c:strCache>
                <c:ptCount val="1"/>
                <c:pt idx="0">
                  <c:v>Продажи</c:v>
                </c:pt>
              </c:strCache>
            </c:strRef>
          </c:tx>
          <c:dLbls>
            <c:numFmt formatCode="0.00%" sourceLinked="0"/>
            <c:txPr>
              <a:bodyPr/>
              <a:lstStyle/>
              <a:p>
                <a:pPr>
                  <a:defRPr sz="800"/>
                </a:pPr>
                <a:endParaRPr lang="ru-RU"/>
              </a:p>
            </c:txPr>
            <c:showPercent val="1"/>
            <c:showLeaderLines val="1"/>
          </c:dLbls>
          <c:cat>
            <c:strRef>
              <c:f>Лист1!$A$2:$A$9</c:f>
              <c:strCache>
                <c:ptCount val="8"/>
                <c:pt idx="0">
                  <c:v>1-100 акций</c:v>
                </c:pt>
                <c:pt idx="1">
                  <c:v>101-500 акций</c:v>
                </c:pt>
                <c:pt idx="2">
                  <c:v>501-1 000 акций</c:v>
                </c:pt>
                <c:pt idx="3">
                  <c:v>1 001-10 000 акций</c:v>
                </c:pt>
                <c:pt idx="4">
                  <c:v>10 001-100 000 акций</c:v>
                </c:pt>
                <c:pt idx="5">
                  <c:v>100 001-1 000 000 акций</c:v>
                </c:pt>
                <c:pt idx="6">
                  <c:v>1 000 001-10 000 001 акций</c:v>
                </c:pt>
                <c:pt idx="7">
                  <c:v>10 000 001-100 000 001 акций</c:v>
                </c:pt>
              </c:strCache>
            </c:strRef>
          </c:cat>
          <c:val>
            <c:numRef>
              <c:f>Лист1!$B$2:$B$9</c:f>
              <c:numCache>
                <c:formatCode>#,##0</c:formatCode>
                <c:ptCount val="8"/>
                <c:pt idx="0">
                  <c:v>34833</c:v>
                </c:pt>
                <c:pt idx="1">
                  <c:v>251224</c:v>
                </c:pt>
                <c:pt idx="2">
                  <c:v>674288</c:v>
                </c:pt>
                <c:pt idx="3">
                  <c:v>25907587</c:v>
                </c:pt>
                <c:pt idx="4">
                  <c:v>189378355</c:v>
                </c:pt>
                <c:pt idx="5">
                  <c:v>1283009735</c:v>
                </c:pt>
                <c:pt idx="6">
                  <c:v>692928028</c:v>
                </c:pt>
                <c:pt idx="7">
                  <c:v>576780165</c:v>
                </c:pt>
              </c:numCache>
            </c:numRef>
          </c:val>
        </c:ser>
        <c:firstSliceAng val="0"/>
      </c:pieChart>
    </c:plotArea>
    <c:legend>
      <c:legendPos val="r"/>
      <c:layout>
        <c:manualLayout>
          <c:xMode val="edge"/>
          <c:yMode val="edge"/>
          <c:x val="0.55588061905798369"/>
          <c:y val="0.26988966527143987"/>
          <c:w val="0.44411941401966082"/>
          <c:h val="0.69622206460064517"/>
        </c:manualLayout>
      </c:layout>
      <c:txPr>
        <a:bodyPr/>
        <a:lstStyle/>
        <a:p>
          <a:pPr>
            <a:defRPr sz="800"/>
          </a:pPr>
          <a:endParaRPr lang="ru-RU"/>
        </a:p>
      </c:txPr>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Протяженность линий электропередач</a:t>
            </a:r>
          </a:p>
        </c:rich>
      </c:tx>
    </c:title>
    <c:plotArea>
      <c:layout>
        <c:manualLayout>
          <c:layoutTarget val="inner"/>
          <c:xMode val="edge"/>
          <c:yMode val="edge"/>
          <c:x val="4.4121162966900287E-2"/>
          <c:y val="0.12760547397054217"/>
          <c:w val="0.91175767406620001"/>
          <c:h val="0.68451998265508462"/>
        </c:manualLayout>
      </c:layout>
      <c:barChart>
        <c:barDir val="col"/>
        <c:grouping val="stacked"/>
        <c:ser>
          <c:idx val="0"/>
          <c:order val="0"/>
          <c:tx>
            <c:strRef>
              <c:f>Лист1!$B$1</c:f>
              <c:strCache>
                <c:ptCount val="1"/>
                <c:pt idx="0">
                  <c:v>Высоковольтные (35-220 кВ)</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17000</c:v>
                </c:pt>
                <c:pt idx="1">
                  <c:v>16997</c:v>
                </c:pt>
                <c:pt idx="2">
                  <c:v>17016</c:v>
                </c:pt>
              </c:numCache>
            </c:numRef>
          </c:val>
        </c:ser>
        <c:ser>
          <c:idx val="1"/>
          <c:order val="1"/>
          <c:tx>
            <c:strRef>
              <c:f>Лист1!$C$1</c:f>
              <c:strCache>
                <c:ptCount val="1"/>
                <c:pt idx="0">
                  <c:v>Распределительные (0,4-20 кВ)</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121005</c:v>
                </c:pt>
                <c:pt idx="1">
                  <c:v>122030</c:v>
                </c:pt>
                <c:pt idx="2">
                  <c:v>122240</c:v>
                </c:pt>
              </c:numCache>
            </c:numRef>
          </c:val>
        </c:ser>
        <c:overlap val="100"/>
        <c:axId val="103972224"/>
        <c:axId val="103974016"/>
      </c:barChart>
      <c:catAx>
        <c:axId val="103972224"/>
        <c:scaling>
          <c:orientation val="minMax"/>
        </c:scaling>
        <c:axPos val="b"/>
        <c:numFmt formatCode="General" sourceLinked="1"/>
        <c:tickLblPos val="nextTo"/>
        <c:crossAx val="103974016"/>
        <c:crosses val="autoZero"/>
        <c:auto val="1"/>
        <c:lblAlgn val="ctr"/>
        <c:lblOffset val="100"/>
      </c:catAx>
      <c:valAx>
        <c:axId val="103974016"/>
        <c:scaling>
          <c:orientation val="minMax"/>
          <c:max val="140000"/>
        </c:scaling>
        <c:delete val="1"/>
        <c:axPos val="l"/>
        <c:majorGridlines/>
        <c:title>
          <c:tx>
            <c:rich>
              <a:bodyPr rot="-5400000" vert="horz"/>
              <a:lstStyle/>
              <a:p>
                <a:pPr>
                  <a:defRPr/>
                </a:pPr>
                <a:r>
                  <a:rPr lang="ru-RU"/>
                  <a:t>км</a:t>
                </a:r>
              </a:p>
            </c:rich>
          </c:tx>
        </c:title>
        <c:numFmt formatCode="#,##0" sourceLinked="1"/>
        <c:tickLblPos val="none"/>
        <c:crossAx val="103972224"/>
        <c:crosses val="autoZero"/>
        <c:crossBetween val="between"/>
      </c:valAx>
    </c:plotArea>
    <c:legend>
      <c:legendPos val="b"/>
      <c:layout>
        <c:manualLayout>
          <c:xMode val="edge"/>
          <c:yMode val="edge"/>
          <c:x val="9.6446408148824728E-2"/>
          <c:y val="0.88842797676425156"/>
          <c:w val="0.87818532317425191"/>
          <c:h val="0.11079653557748378"/>
        </c:manualLayout>
      </c:layout>
    </c:legend>
    <c:plotVisOnly val="1"/>
    <c:dispBlanksAs val="gap"/>
  </c:chart>
  <c:txPr>
    <a:bodyPr/>
    <a:lstStyle/>
    <a:p>
      <a:pPr>
        <a:defRPr sz="900"/>
      </a:pPr>
      <a:endParaRPr lang="ru-RU"/>
    </a:p>
  </c:txPr>
  <c:externalData r:id="rId1"/>
</c:chartSpace>
</file>

<file path=word/charts/chart14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8225642026494088E-2"/>
          <c:y val="4.1772234613802132E-2"/>
          <c:w val="0.92093126877617382"/>
          <c:h val="0.6513047760387829"/>
        </c:manualLayout>
      </c:layout>
      <c:barChart>
        <c:barDir val="col"/>
        <c:grouping val="clustered"/>
        <c:ser>
          <c:idx val="0"/>
          <c:order val="0"/>
          <c:tx>
            <c:strRef>
              <c:f>Лист1!$B$1</c:f>
              <c:strCache>
                <c:ptCount val="1"/>
                <c:pt idx="0">
                  <c:v>млн шт.</c:v>
                </c:pt>
              </c:strCache>
            </c:strRef>
          </c:tx>
          <c:dLbls>
            <c:showVal val="1"/>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#,##0.0</c:formatCode>
                <c:ptCount val="12"/>
                <c:pt idx="0">
                  <c:v>229.1</c:v>
                </c:pt>
                <c:pt idx="1">
                  <c:v>55.9</c:v>
                </c:pt>
                <c:pt idx="2">
                  <c:v>38.5</c:v>
                </c:pt>
                <c:pt idx="3">
                  <c:v>108.9</c:v>
                </c:pt>
                <c:pt idx="4">
                  <c:v>21</c:v>
                </c:pt>
                <c:pt idx="5">
                  <c:v>31</c:v>
                </c:pt>
                <c:pt idx="6">
                  <c:v>22.6</c:v>
                </c:pt>
                <c:pt idx="7">
                  <c:v>17</c:v>
                </c:pt>
                <c:pt idx="8">
                  <c:v>87.8</c:v>
                </c:pt>
                <c:pt idx="9">
                  <c:v>44.4</c:v>
                </c:pt>
                <c:pt idx="10">
                  <c:v>67.599999999999994</c:v>
                </c:pt>
                <c:pt idx="11">
                  <c:v>4665.9000000000005</c:v>
                </c:pt>
              </c:numCache>
            </c:numRef>
          </c:val>
        </c:ser>
        <c:ser>
          <c:idx val="1"/>
          <c:order val="1"/>
          <c:tx>
            <c:strRef>
              <c:f>Лист1!$C$1</c:f>
              <c:strCache>
                <c:ptCount val="1"/>
                <c:pt idx="0">
                  <c:v>млн руб.</c:v>
                </c:pt>
              </c:strCache>
            </c:strRef>
          </c:tx>
          <c:dLbls>
            <c:showVal val="1"/>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#,##0.0</c:formatCode>
                <c:ptCount val="12"/>
                <c:pt idx="0">
                  <c:v>388</c:v>
                </c:pt>
                <c:pt idx="1">
                  <c:v>95.3</c:v>
                </c:pt>
                <c:pt idx="2">
                  <c:v>60.1</c:v>
                </c:pt>
                <c:pt idx="3">
                  <c:v>148.80000000000001</c:v>
                </c:pt>
                <c:pt idx="4">
                  <c:v>28.9</c:v>
                </c:pt>
                <c:pt idx="5">
                  <c:v>39.6</c:v>
                </c:pt>
                <c:pt idx="6">
                  <c:v>28.4</c:v>
                </c:pt>
                <c:pt idx="7">
                  <c:v>20.399999999999999</c:v>
                </c:pt>
                <c:pt idx="8">
                  <c:v>103.5</c:v>
                </c:pt>
                <c:pt idx="9">
                  <c:v>55.2</c:v>
                </c:pt>
                <c:pt idx="10">
                  <c:v>81.400000000000006</c:v>
                </c:pt>
                <c:pt idx="11">
                  <c:v>5397.3</c:v>
                </c:pt>
              </c:numCache>
            </c:numRef>
          </c:val>
        </c:ser>
        <c:axId val="302614400"/>
        <c:axId val="302615936"/>
      </c:barChart>
      <c:catAx>
        <c:axId val="302614400"/>
        <c:scaling>
          <c:orientation val="minMax"/>
        </c:scaling>
        <c:axPos val="b"/>
        <c:tickLblPos val="nextTo"/>
        <c:crossAx val="302615936"/>
        <c:crosses val="autoZero"/>
        <c:auto val="1"/>
        <c:lblAlgn val="ctr"/>
        <c:lblOffset val="100"/>
      </c:catAx>
      <c:valAx>
        <c:axId val="302615936"/>
        <c:scaling>
          <c:orientation val="minMax"/>
          <c:max val="500"/>
          <c:min val="0"/>
        </c:scaling>
        <c:axPos val="l"/>
        <c:majorGridlines/>
        <c:numFmt formatCode="#,##0" sourceLinked="0"/>
        <c:tickLblPos val="nextTo"/>
        <c:crossAx val="302614400"/>
        <c:crosses val="autoZero"/>
        <c:crossBetween val="between"/>
        <c:majorUnit val="100"/>
      </c:valAx>
    </c:plotArea>
    <c:legend>
      <c:legendPos val="b"/>
    </c:legend>
    <c:plotVisOnly val="1"/>
    <c:dispBlanksAs val="gap"/>
  </c:chart>
  <c:txPr>
    <a:bodyPr/>
    <a:lstStyle/>
    <a:p>
      <a:pPr>
        <a:defRPr sz="800"/>
      </a:pPr>
      <a:endParaRPr lang="ru-RU"/>
    </a:p>
  </c:txPr>
  <c:externalData r:id="rId1"/>
</c:chartSpace>
</file>

<file path=word/charts/chart14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Изменение рыночной капитализации</a:t>
            </a:r>
          </a:p>
        </c:rich>
      </c:tx>
    </c:title>
    <c:plotArea>
      <c:layout>
        <c:manualLayout>
          <c:layoutTarget val="inner"/>
          <c:xMode val="edge"/>
          <c:yMode val="edge"/>
          <c:x val="7.0403762373031614E-2"/>
          <c:y val="0.13082974944397011"/>
          <c:w val="0.88530773459860179"/>
          <c:h val="0.41472286784936169"/>
        </c:manualLayout>
      </c:layout>
      <c:barChart>
        <c:barDir val="col"/>
        <c:grouping val="clustered"/>
        <c:ser>
          <c:idx val="0"/>
          <c:order val="0"/>
          <c:tx>
            <c:strRef>
              <c:f>Лист1!$B$1</c:f>
              <c:strCache>
                <c:ptCount val="1"/>
                <c:pt idx="0">
                  <c:v>28.12.2012</c:v>
                </c:pt>
              </c:strCache>
            </c:strRef>
          </c:tx>
          <c:cat>
            <c:strRef>
              <c:f>Лист1!$A$2:$A$12</c:f>
              <c:strCache>
                <c:ptCount val="11"/>
                <c:pt idx="0">
                  <c:v>ОАО «Россети»</c:v>
                </c:pt>
                <c:pt idx="1">
                  <c:v>ОАО «ФСК ЕЭС»</c:v>
                </c:pt>
                <c:pt idx="2">
                  <c:v>ОАО «МОЭСК»</c:v>
                </c:pt>
                <c:pt idx="3">
                  <c:v>ОАО «МРСК Центра»</c:v>
                </c:pt>
                <c:pt idx="4">
                  <c:v>ОАО «МРСК Центра и Приволжья»</c:v>
                </c:pt>
                <c:pt idx="5">
                  <c:v>ОАО «МРСК Сибири»</c:v>
                </c:pt>
                <c:pt idx="6">
                  <c:v>ОАО «МРСК Урала»</c:v>
                </c:pt>
                <c:pt idx="7">
                  <c:v>ОАО «МРСК Волги»</c:v>
                </c:pt>
                <c:pt idx="8">
                  <c:v>ОАО «МРСК Северо-Запада»</c:v>
                </c:pt>
                <c:pt idx="9">
                  <c:v>ОАО «Ленэнерго»</c:v>
                </c:pt>
                <c:pt idx="10">
                  <c:v>ОАО «МРСК Северного Кавказа»</c:v>
                </c:pt>
              </c:strCache>
            </c:strRef>
          </c:cat>
          <c:val>
            <c:numRef>
              <c:f>Лист1!$B$2:$B$12</c:f>
              <c:numCache>
                <c:formatCode>#,##0</c:formatCode>
                <c:ptCount val="11"/>
                <c:pt idx="0">
                  <c:v>94020</c:v>
                </c:pt>
                <c:pt idx="1">
                  <c:v>253904.9</c:v>
                </c:pt>
                <c:pt idx="2">
                  <c:v>73469.8</c:v>
                </c:pt>
                <c:pt idx="3">
                  <c:v>24625.7</c:v>
                </c:pt>
                <c:pt idx="4">
                  <c:v>19362.599999999897</c:v>
                </c:pt>
                <c:pt idx="5">
                  <c:v>8440.4</c:v>
                </c:pt>
                <c:pt idx="6">
                  <c:v>18420.7</c:v>
                </c:pt>
                <c:pt idx="7">
                  <c:v>13361.2</c:v>
                </c:pt>
                <c:pt idx="8">
                  <c:v>6115.9</c:v>
                </c:pt>
                <c:pt idx="9">
                  <c:v>6114.5</c:v>
                </c:pt>
                <c:pt idx="10">
                  <c:v>1477.5</c:v>
                </c:pt>
              </c:numCache>
            </c:numRef>
          </c:val>
        </c:ser>
        <c:ser>
          <c:idx val="1"/>
          <c:order val="1"/>
          <c:tx>
            <c:strRef>
              <c:f>Лист1!$C$1</c:f>
              <c:strCache>
                <c:ptCount val="1"/>
                <c:pt idx="0">
                  <c:v>30.12.2013</c:v>
                </c:pt>
              </c:strCache>
            </c:strRef>
          </c:tx>
          <c:cat>
            <c:strRef>
              <c:f>Лист1!$A$2:$A$12</c:f>
              <c:strCache>
                <c:ptCount val="11"/>
                <c:pt idx="0">
                  <c:v>ОАО «Россети»</c:v>
                </c:pt>
                <c:pt idx="1">
                  <c:v>ОАО «ФСК ЕЭС»</c:v>
                </c:pt>
                <c:pt idx="2">
                  <c:v>ОАО «МОЭСК»</c:v>
                </c:pt>
                <c:pt idx="3">
                  <c:v>ОАО «МРСК Центра»</c:v>
                </c:pt>
                <c:pt idx="4">
                  <c:v>ОАО «МРСК Центра и Приволжья»</c:v>
                </c:pt>
                <c:pt idx="5">
                  <c:v>ОАО «МРСК Сибири»</c:v>
                </c:pt>
                <c:pt idx="6">
                  <c:v>ОАО «МРСК Урала»</c:v>
                </c:pt>
                <c:pt idx="7">
                  <c:v>ОАО «МРСК Волги»</c:v>
                </c:pt>
                <c:pt idx="8">
                  <c:v>ОАО «МРСК Северо-Запада»</c:v>
                </c:pt>
                <c:pt idx="9">
                  <c:v>ОАО «Ленэнерго»</c:v>
                </c:pt>
                <c:pt idx="10">
                  <c:v>ОАО «МРСК Северного Кавказа»</c:v>
                </c:pt>
              </c:strCache>
            </c:strRef>
          </c:cat>
          <c:val>
            <c:numRef>
              <c:f>Лист1!$C$2:$C$12</c:f>
              <c:numCache>
                <c:formatCode>#,##0</c:formatCode>
                <c:ptCount val="11"/>
                <c:pt idx="0">
                  <c:v>125158.3</c:v>
                </c:pt>
                <c:pt idx="1">
                  <c:v>115453.2</c:v>
                </c:pt>
                <c:pt idx="2">
                  <c:v>70771.399999999994</c:v>
                </c:pt>
                <c:pt idx="3">
                  <c:v>9283.7000000000007</c:v>
                </c:pt>
                <c:pt idx="4">
                  <c:v>7580.1</c:v>
                </c:pt>
                <c:pt idx="5">
                  <c:v>6630.4</c:v>
                </c:pt>
                <c:pt idx="6">
                  <c:v>5551</c:v>
                </c:pt>
                <c:pt idx="7">
                  <c:v>4050.1</c:v>
                </c:pt>
                <c:pt idx="8">
                  <c:v>2711.7</c:v>
                </c:pt>
                <c:pt idx="9">
                  <c:v>2691.2</c:v>
                </c:pt>
                <c:pt idx="10">
                  <c:v>2375.6</c:v>
                </c:pt>
              </c:numCache>
            </c:numRef>
          </c:val>
        </c:ser>
        <c:axId val="302720896"/>
        <c:axId val="302722432"/>
      </c:barChart>
      <c:lineChart>
        <c:grouping val="standard"/>
        <c:ser>
          <c:idx val="2"/>
          <c:order val="2"/>
          <c:tx>
            <c:strRef>
              <c:f>Лист1!$D$1</c:f>
              <c:strCache>
                <c:ptCount val="1"/>
                <c:pt idx="0">
                  <c:v>Изменение за год</c:v>
                </c:pt>
              </c:strCache>
            </c:strRef>
          </c:tx>
          <c:spPr>
            <a:ln>
              <a:noFill/>
            </a:ln>
          </c:spPr>
          <c:marker>
            <c:symbol val="diamond"/>
            <c:size val="8"/>
          </c:marker>
          <c:dLbls>
            <c:numFmt formatCode="0.0%" sourceLinked="0"/>
            <c:dLblPos val="t"/>
            <c:showVal val="1"/>
          </c:dLbls>
          <c:cat>
            <c:strRef>
              <c:f>Лист1!$A$2:$A$12</c:f>
              <c:strCache>
                <c:ptCount val="11"/>
                <c:pt idx="0">
                  <c:v>ОАО «Россети»</c:v>
                </c:pt>
                <c:pt idx="1">
                  <c:v>ОАО «ФСК ЕЭС»</c:v>
                </c:pt>
                <c:pt idx="2">
                  <c:v>ОАО «МОЭСК»</c:v>
                </c:pt>
                <c:pt idx="3">
                  <c:v>ОАО «МРСК Центра»</c:v>
                </c:pt>
                <c:pt idx="4">
                  <c:v>ОАО «МРСК Центра и Приволжья»</c:v>
                </c:pt>
                <c:pt idx="5">
                  <c:v>ОАО «МРСК Сибири»</c:v>
                </c:pt>
                <c:pt idx="6">
                  <c:v>ОАО «МРСК Урала»</c:v>
                </c:pt>
                <c:pt idx="7">
                  <c:v>ОАО «МРСК Волги»</c:v>
                </c:pt>
                <c:pt idx="8">
                  <c:v>ОАО «МРСК Северо-Запада»</c:v>
                </c:pt>
                <c:pt idx="9">
                  <c:v>ОАО «Ленэнерго»</c:v>
                </c:pt>
                <c:pt idx="10">
                  <c:v>ОАО «МРСК Северного Кавказа»</c:v>
                </c:pt>
              </c:strCache>
            </c:strRef>
          </c:cat>
          <c:val>
            <c:numRef>
              <c:f>Лист1!$D$2:$D$12</c:f>
              <c:numCache>
                <c:formatCode>0.0%</c:formatCode>
                <c:ptCount val="11"/>
                <c:pt idx="0">
                  <c:v>0.33118804509679001</c:v>
                </c:pt>
                <c:pt idx="1">
                  <c:v>-0.54528959464744453</c:v>
                </c:pt>
                <c:pt idx="2">
                  <c:v>-3.6728016137242837E-2</c:v>
                </c:pt>
                <c:pt idx="3">
                  <c:v>-0.62300767084793529</c:v>
                </c:pt>
                <c:pt idx="4">
                  <c:v>-0.60851848408788078</c:v>
                </c:pt>
                <c:pt idx="5">
                  <c:v>-0.21444481304203758</c:v>
                </c:pt>
                <c:pt idx="6">
                  <c:v>-0.69865423138100513</c:v>
                </c:pt>
                <c:pt idx="7">
                  <c:v>-0.69687602909918689</c:v>
                </c:pt>
                <c:pt idx="8">
                  <c:v>-0.55661472555143154</c:v>
                </c:pt>
                <c:pt idx="9">
                  <c:v>-0.55986589255050312</c:v>
                </c:pt>
                <c:pt idx="10">
                  <c:v>0.60785109983079888</c:v>
                </c:pt>
              </c:numCache>
            </c:numRef>
          </c:val>
        </c:ser>
        <c:marker val="1"/>
        <c:axId val="302738048"/>
        <c:axId val="302736512"/>
      </c:lineChart>
      <c:catAx>
        <c:axId val="302720896"/>
        <c:scaling>
          <c:orientation val="minMax"/>
        </c:scaling>
        <c:axPos val="b"/>
        <c:numFmt formatCode="General" sourceLinked="1"/>
        <c:tickLblPos val="nextTo"/>
        <c:txPr>
          <a:bodyPr/>
          <a:lstStyle/>
          <a:p>
            <a:pPr>
              <a:defRPr sz="700"/>
            </a:pPr>
            <a:endParaRPr lang="ru-RU"/>
          </a:p>
        </c:txPr>
        <c:crossAx val="302722432"/>
        <c:crosses val="autoZero"/>
        <c:auto val="1"/>
        <c:lblAlgn val="ctr"/>
        <c:lblOffset val="100"/>
      </c:catAx>
      <c:valAx>
        <c:axId val="302722432"/>
        <c:scaling>
          <c:orientation val="minMax"/>
        </c:scaling>
        <c:axPos val="l"/>
        <c:majorGridlines/>
        <c:numFmt formatCode="#,##0" sourceLinked="0"/>
        <c:tickLblPos val="nextTo"/>
        <c:crossAx val="302720896"/>
        <c:crosses val="autoZero"/>
        <c:crossBetween val="between"/>
      </c:valAx>
      <c:valAx>
        <c:axId val="302736512"/>
        <c:scaling>
          <c:orientation val="minMax"/>
        </c:scaling>
        <c:axPos val="r"/>
        <c:numFmt formatCode="0%" sourceLinked="0"/>
        <c:tickLblPos val="nextTo"/>
        <c:crossAx val="302738048"/>
        <c:crosses val="max"/>
        <c:crossBetween val="between"/>
      </c:valAx>
      <c:catAx>
        <c:axId val="302738048"/>
        <c:scaling>
          <c:orientation val="minMax"/>
        </c:scaling>
        <c:delete val="1"/>
        <c:axPos val="b"/>
        <c:tickLblPos val="none"/>
        <c:crossAx val="302736512"/>
        <c:crossesAt val="0"/>
        <c:auto val="1"/>
        <c:lblAlgn val="ctr"/>
        <c:lblOffset val="100"/>
      </c:catAx>
    </c:plotArea>
    <c:legend>
      <c:legendPos val="t"/>
      <c:layout>
        <c:manualLayout>
          <c:xMode val="edge"/>
          <c:yMode val="edge"/>
          <c:x val="0.35024437130933694"/>
          <c:y val="0.90662650602410688"/>
          <c:w val="0.33817435625502984"/>
          <c:h val="6.5542682541188432E-2"/>
        </c:manualLayout>
      </c:layout>
    </c:legend>
    <c:plotVisOnly val="1"/>
    <c:dispBlanksAs val="gap"/>
  </c:chart>
  <c:txPr>
    <a:bodyPr/>
    <a:lstStyle/>
    <a:p>
      <a:pPr>
        <a:defRPr sz="800"/>
      </a:pPr>
      <a:endParaRPr lang="ru-RU"/>
    </a:p>
  </c:txPr>
  <c:externalData r:id="rId1"/>
</c:chartSpace>
</file>

<file path=word/charts/chart142.xml><?xml version="1.0" encoding="utf-8"?>
<c:chartSpace xmlns:c="http://schemas.openxmlformats.org/drawingml/2006/chart" xmlns:a="http://schemas.openxmlformats.org/drawingml/2006/main" xmlns:r="http://schemas.openxmlformats.org/officeDocument/2006/relationships">
  <c:date1904 val="1"/>
  <c:lang val="ru-RU"/>
  <c:chart>
    <c:title/>
    <c:plotArea>
      <c:layout/>
      <c:lineChart>
        <c:grouping val="standard"/>
        <c:ser>
          <c:idx val="0"/>
          <c:order val="0"/>
          <c:tx>
            <c:strRef>
              <c:f>Лист1!$B$1</c:f>
              <c:strCache>
                <c:ptCount val="1"/>
                <c:pt idx="0">
                  <c:v>Среднемесячный спрэд</c:v>
                </c:pt>
              </c:strCache>
            </c:strRef>
          </c:tx>
          <c:marker>
            <c:symbol val="circle"/>
            <c:size val="7"/>
          </c:marker>
          <c:dLbls>
            <c:dLblPos val="t"/>
            <c:showVal val="1"/>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0.70000000000000062</c:v>
                </c:pt>
                <c:pt idx="1">
                  <c:v>0.69000000000000061</c:v>
                </c:pt>
                <c:pt idx="2">
                  <c:v>0.84000000000000064</c:v>
                </c:pt>
                <c:pt idx="3">
                  <c:v>1.52</c:v>
                </c:pt>
                <c:pt idx="4">
                  <c:v>1.08</c:v>
                </c:pt>
                <c:pt idx="5">
                  <c:v>0.85000000000000064</c:v>
                </c:pt>
                <c:pt idx="6">
                  <c:v>0.49000000000000032</c:v>
                </c:pt>
                <c:pt idx="7">
                  <c:v>0.5</c:v>
                </c:pt>
                <c:pt idx="8">
                  <c:v>0.55000000000000004</c:v>
                </c:pt>
                <c:pt idx="9">
                  <c:v>0.44</c:v>
                </c:pt>
                <c:pt idx="10">
                  <c:v>0.79</c:v>
                </c:pt>
                <c:pt idx="11">
                  <c:v>0.76000000000001144</c:v>
                </c:pt>
              </c:numCache>
            </c:numRef>
          </c:val>
        </c:ser>
        <c:marker val="1"/>
        <c:axId val="302934656"/>
        <c:axId val="302940544"/>
      </c:lineChart>
      <c:catAx>
        <c:axId val="302934656"/>
        <c:scaling>
          <c:orientation val="minMax"/>
        </c:scaling>
        <c:axPos val="b"/>
        <c:tickLblPos val="nextTo"/>
        <c:crossAx val="302940544"/>
        <c:crosses val="autoZero"/>
        <c:auto val="1"/>
        <c:lblAlgn val="ctr"/>
        <c:lblOffset val="100"/>
      </c:catAx>
      <c:valAx>
        <c:axId val="302940544"/>
        <c:scaling>
          <c:orientation val="minMax"/>
        </c:scaling>
        <c:axPos val="l"/>
        <c:majorGridlines/>
        <c:numFmt formatCode="General" sourceLinked="1"/>
        <c:tickLblPos val="nextTo"/>
        <c:crossAx val="302934656"/>
        <c:crosses val="autoZero"/>
        <c:crossBetween val="between"/>
      </c:valAx>
    </c:plotArea>
    <c:plotVisOnly val="1"/>
    <c:dispBlanksAs val="gap"/>
  </c:chart>
  <c:txPr>
    <a:bodyPr/>
    <a:lstStyle/>
    <a:p>
      <a:pPr>
        <a:defRPr sz="900"/>
      </a:pPr>
      <a:endParaRPr lang="ru-RU"/>
    </a:p>
  </c:txPr>
  <c:externalData r:id="rId1"/>
</c:chartSpace>
</file>

<file path=word/charts/chart14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Arial Narrow" pitchFamily="34" charset="0"/>
              </a:defRPr>
            </a:pPr>
            <a:r>
              <a:rPr lang="ru-RU" sz="1200">
                <a:latin typeface="Arial Narrow" pitchFamily="34" charset="0"/>
              </a:rPr>
              <a:t>Влияние новостных</a:t>
            </a:r>
            <a:r>
              <a:rPr lang="ru-RU" sz="1200" baseline="0">
                <a:latin typeface="Arial Narrow" pitchFamily="34" charset="0"/>
              </a:rPr>
              <a:t> событий на д</a:t>
            </a:r>
            <a:r>
              <a:rPr lang="ru-RU" sz="1200">
                <a:latin typeface="Arial Narrow" pitchFamily="34" charset="0"/>
              </a:rPr>
              <a:t>инамику акций</a:t>
            </a:r>
            <a:r>
              <a:rPr lang="ru-RU" sz="1200" baseline="0">
                <a:latin typeface="Arial Narrow" pitchFamily="34" charset="0"/>
              </a:rPr>
              <a:t> </a:t>
            </a:r>
            <a:r>
              <a:rPr lang="ru-RU" sz="1200" b="1" i="0" u="none" strike="noStrike" kern="1200" baseline="0">
                <a:solidFill>
                  <a:sysClr val="windowText" lastClr="000000"/>
                </a:solidFill>
                <a:latin typeface="Arial Narrow" pitchFamily="34" charset="0"/>
                <a:ea typeface="+mn-ea"/>
                <a:cs typeface="+mn-cs"/>
              </a:rPr>
              <a:t>ОАО </a:t>
            </a:r>
            <a:r>
              <a:rPr lang="ru-RU" sz="1200" baseline="0">
                <a:latin typeface="Arial Narrow" pitchFamily="34" charset="0"/>
              </a:rPr>
              <a:t>"МОЭСК"</a:t>
            </a:r>
          </a:p>
          <a:p>
            <a:pPr>
              <a:defRPr sz="1200">
                <a:latin typeface="Arial Narrow" pitchFamily="34" charset="0"/>
              </a:defRPr>
            </a:pPr>
            <a:r>
              <a:rPr lang="ru-RU" sz="1200" baseline="0">
                <a:latin typeface="Arial Narrow" pitchFamily="34" charset="0"/>
              </a:rPr>
              <a:t>в 2013 году </a:t>
            </a:r>
            <a:endParaRPr lang="ru-RU" sz="1200">
              <a:latin typeface="Arial Narrow" pitchFamily="34" charset="0"/>
            </a:endParaRPr>
          </a:p>
        </c:rich>
      </c:tx>
    </c:title>
    <c:plotArea>
      <c:layout/>
      <c:lineChart>
        <c:grouping val="standard"/>
        <c:ser>
          <c:idx val="0"/>
          <c:order val="0"/>
          <c:tx>
            <c:strRef>
              <c:f>'год 2013'!$AE$3</c:f>
              <c:strCache>
                <c:ptCount val="1"/>
                <c:pt idx="0">
                  <c:v>Акции ОАО "МОЭСК"</c:v>
                </c:pt>
              </c:strCache>
            </c:strRef>
          </c:tx>
          <c:spPr>
            <a:ln w="22225">
              <a:solidFill>
                <a:srgbClr val="0070C0"/>
              </a:solidFill>
            </a:ln>
          </c:spPr>
          <c:marker>
            <c:symbol val="none"/>
          </c:marker>
          <c:cat>
            <c:numRef>
              <c:f>'год 2013'!$AD$7:$AD$363</c:f>
              <c:numCache>
                <c:formatCode>dd/mm/yyyy</c:formatCode>
                <c:ptCount val="357"/>
                <c:pt idx="0">
                  <c:v>41282</c:v>
                </c:pt>
                <c:pt idx="1">
                  <c:v>41283</c:v>
                </c:pt>
                <c:pt idx="2">
                  <c:v>41284</c:v>
                </c:pt>
                <c:pt idx="3">
                  <c:v>41285</c:v>
                </c:pt>
                <c:pt idx="4">
                  <c:v>41286</c:v>
                </c:pt>
                <c:pt idx="5">
                  <c:v>41287</c:v>
                </c:pt>
                <c:pt idx="6">
                  <c:v>41288</c:v>
                </c:pt>
                <c:pt idx="7">
                  <c:v>41289</c:v>
                </c:pt>
                <c:pt idx="8">
                  <c:v>41290</c:v>
                </c:pt>
                <c:pt idx="9">
                  <c:v>41291</c:v>
                </c:pt>
                <c:pt idx="10">
                  <c:v>41292</c:v>
                </c:pt>
                <c:pt idx="11">
                  <c:v>41293</c:v>
                </c:pt>
                <c:pt idx="12">
                  <c:v>41294</c:v>
                </c:pt>
                <c:pt idx="13">
                  <c:v>41295</c:v>
                </c:pt>
                <c:pt idx="14">
                  <c:v>41296</c:v>
                </c:pt>
                <c:pt idx="15">
                  <c:v>41297</c:v>
                </c:pt>
                <c:pt idx="16">
                  <c:v>41298</c:v>
                </c:pt>
                <c:pt idx="17">
                  <c:v>41299</c:v>
                </c:pt>
                <c:pt idx="18">
                  <c:v>41300</c:v>
                </c:pt>
                <c:pt idx="19">
                  <c:v>41301</c:v>
                </c:pt>
                <c:pt idx="20">
                  <c:v>41302</c:v>
                </c:pt>
                <c:pt idx="21">
                  <c:v>41303</c:v>
                </c:pt>
                <c:pt idx="22">
                  <c:v>41304</c:v>
                </c:pt>
                <c:pt idx="23">
                  <c:v>41305</c:v>
                </c:pt>
                <c:pt idx="24">
                  <c:v>41306</c:v>
                </c:pt>
                <c:pt idx="25">
                  <c:v>41307</c:v>
                </c:pt>
                <c:pt idx="26">
                  <c:v>41308</c:v>
                </c:pt>
                <c:pt idx="27">
                  <c:v>41309</c:v>
                </c:pt>
                <c:pt idx="28">
                  <c:v>41310</c:v>
                </c:pt>
                <c:pt idx="29">
                  <c:v>41311</c:v>
                </c:pt>
                <c:pt idx="30">
                  <c:v>41312</c:v>
                </c:pt>
                <c:pt idx="31">
                  <c:v>41313</c:v>
                </c:pt>
                <c:pt idx="32">
                  <c:v>41314</c:v>
                </c:pt>
                <c:pt idx="33">
                  <c:v>41315</c:v>
                </c:pt>
                <c:pt idx="34">
                  <c:v>41316</c:v>
                </c:pt>
                <c:pt idx="35">
                  <c:v>41317</c:v>
                </c:pt>
                <c:pt idx="36">
                  <c:v>41318</c:v>
                </c:pt>
                <c:pt idx="37">
                  <c:v>41319</c:v>
                </c:pt>
                <c:pt idx="38">
                  <c:v>41320</c:v>
                </c:pt>
                <c:pt idx="39">
                  <c:v>41321</c:v>
                </c:pt>
                <c:pt idx="40">
                  <c:v>41322</c:v>
                </c:pt>
                <c:pt idx="41">
                  <c:v>41323</c:v>
                </c:pt>
                <c:pt idx="42">
                  <c:v>41324</c:v>
                </c:pt>
                <c:pt idx="43">
                  <c:v>41325</c:v>
                </c:pt>
                <c:pt idx="44">
                  <c:v>41326</c:v>
                </c:pt>
                <c:pt idx="45">
                  <c:v>41327</c:v>
                </c:pt>
                <c:pt idx="46">
                  <c:v>41328</c:v>
                </c:pt>
                <c:pt idx="47">
                  <c:v>41329</c:v>
                </c:pt>
                <c:pt idx="48">
                  <c:v>41330</c:v>
                </c:pt>
                <c:pt idx="49">
                  <c:v>41331</c:v>
                </c:pt>
                <c:pt idx="50">
                  <c:v>41332</c:v>
                </c:pt>
                <c:pt idx="51">
                  <c:v>41333</c:v>
                </c:pt>
                <c:pt idx="52">
                  <c:v>41334</c:v>
                </c:pt>
                <c:pt idx="53">
                  <c:v>41335</c:v>
                </c:pt>
                <c:pt idx="54">
                  <c:v>41336</c:v>
                </c:pt>
                <c:pt idx="55">
                  <c:v>41337</c:v>
                </c:pt>
                <c:pt idx="56">
                  <c:v>41338</c:v>
                </c:pt>
                <c:pt idx="57">
                  <c:v>41339</c:v>
                </c:pt>
                <c:pt idx="58">
                  <c:v>41340</c:v>
                </c:pt>
                <c:pt idx="59">
                  <c:v>41341</c:v>
                </c:pt>
                <c:pt idx="60">
                  <c:v>41342</c:v>
                </c:pt>
                <c:pt idx="61">
                  <c:v>41343</c:v>
                </c:pt>
                <c:pt idx="62">
                  <c:v>41344</c:v>
                </c:pt>
                <c:pt idx="63">
                  <c:v>41345</c:v>
                </c:pt>
                <c:pt idx="64">
                  <c:v>41346</c:v>
                </c:pt>
                <c:pt idx="65">
                  <c:v>41347</c:v>
                </c:pt>
                <c:pt idx="66">
                  <c:v>41348</c:v>
                </c:pt>
                <c:pt idx="67">
                  <c:v>41349</c:v>
                </c:pt>
                <c:pt idx="68">
                  <c:v>41350</c:v>
                </c:pt>
                <c:pt idx="69">
                  <c:v>41351</c:v>
                </c:pt>
                <c:pt idx="70">
                  <c:v>41352</c:v>
                </c:pt>
                <c:pt idx="71">
                  <c:v>41353</c:v>
                </c:pt>
                <c:pt idx="72">
                  <c:v>41354</c:v>
                </c:pt>
                <c:pt idx="73">
                  <c:v>41355</c:v>
                </c:pt>
                <c:pt idx="74">
                  <c:v>41356</c:v>
                </c:pt>
                <c:pt idx="75">
                  <c:v>41357</c:v>
                </c:pt>
                <c:pt idx="76">
                  <c:v>41358</c:v>
                </c:pt>
                <c:pt idx="77">
                  <c:v>41359</c:v>
                </c:pt>
                <c:pt idx="78">
                  <c:v>41360</c:v>
                </c:pt>
                <c:pt idx="79">
                  <c:v>41361</c:v>
                </c:pt>
                <c:pt idx="80">
                  <c:v>41362</c:v>
                </c:pt>
                <c:pt idx="81">
                  <c:v>41363</c:v>
                </c:pt>
                <c:pt idx="82">
                  <c:v>41364</c:v>
                </c:pt>
                <c:pt idx="83">
                  <c:v>41365</c:v>
                </c:pt>
                <c:pt idx="84">
                  <c:v>41366</c:v>
                </c:pt>
                <c:pt idx="85">
                  <c:v>41367</c:v>
                </c:pt>
                <c:pt idx="86">
                  <c:v>41368</c:v>
                </c:pt>
                <c:pt idx="87">
                  <c:v>41369</c:v>
                </c:pt>
                <c:pt idx="88">
                  <c:v>41370</c:v>
                </c:pt>
                <c:pt idx="89">
                  <c:v>41371</c:v>
                </c:pt>
                <c:pt idx="90">
                  <c:v>41372</c:v>
                </c:pt>
                <c:pt idx="91">
                  <c:v>41373</c:v>
                </c:pt>
                <c:pt idx="92">
                  <c:v>41374</c:v>
                </c:pt>
                <c:pt idx="93">
                  <c:v>41375</c:v>
                </c:pt>
                <c:pt idx="94">
                  <c:v>41376</c:v>
                </c:pt>
                <c:pt idx="95">
                  <c:v>41377</c:v>
                </c:pt>
                <c:pt idx="96">
                  <c:v>41378</c:v>
                </c:pt>
                <c:pt idx="97">
                  <c:v>41379</c:v>
                </c:pt>
                <c:pt idx="98">
                  <c:v>41380</c:v>
                </c:pt>
                <c:pt idx="99">
                  <c:v>41381</c:v>
                </c:pt>
                <c:pt idx="100">
                  <c:v>41382</c:v>
                </c:pt>
                <c:pt idx="101">
                  <c:v>41383</c:v>
                </c:pt>
                <c:pt idx="102">
                  <c:v>41384</c:v>
                </c:pt>
                <c:pt idx="103">
                  <c:v>41385</c:v>
                </c:pt>
                <c:pt idx="104">
                  <c:v>41386</c:v>
                </c:pt>
                <c:pt idx="105">
                  <c:v>41387</c:v>
                </c:pt>
                <c:pt idx="106">
                  <c:v>41388</c:v>
                </c:pt>
                <c:pt idx="107">
                  <c:v>41389</c:v>
                </c:pt>
                <c:pt idx="108">
                  <c:v>41390</c:v>
                </c:pt>
                <c:pt idx="109">
                  <c:v>41391</c:v>
                </c:pt>
                <c:pt idx="110">
                  <c:v>41392</c:v>
                </c:pt>
                <c:pt idx="111">
                  <c:v>41393</c:v>
                </c:pt>
                <c:pt idx="112">
                  <c:v>41394</c:v>
                </c:pt>
                <c:pt idx="113">
                  <c:v>41395</c:v>
                </c:pt>
                <c:pt idx="114">
                  <c:v>41396</c:v>
                </c:pt>
                <c:pt idx="115">
                  <c:v>41397</c:v>
                </c:pt>
                <c:pt idx="116">
                  <c:v>41398</c:v>
                </c:pt>
                <c:pt idx="117">
                  <c:v>41399</c:v>
                </c:pt>
                <c:pt idx="118">
                  <c:v>41400</c:v>
                </c:pt>
                <c:pt idx="119">
                  <c:v>41401</c:v>
                </c:pt>
                <c:pt idx="120">
                  <c:v>41402</c:v>
                </c:pt>
                <c:pt idx="121">
                  <c:v>41403</c:v>
                </c:pt>
                <c:pt idx="122">
                  <c:v>41404</c:v>
                </c:pt>
                <c:pt idx="123">
                  <c:v>41405</c:v>
                </c:pt>
                <c:pt idx="124">
                  <c:v>41406</c:v>
                </c:pt>
                <c:pt idx="125">
                  <c:v>41407</c:v>
                </c:pt>
                <c:pt idx="126">
                  <c:v>41408</c:v>
                </c:pt>
                <c:pt idx="127">
                  <c:v>41409</c:v>
                </c:pt>
                <c:pt idx="128">
                  <c:v>41410</c:v>
                </c:pt>
                <c:pt idx="129">
                  <c:v>41411</c:v>
                </c:pt>
                <c:pt idx="130">
                  <c:v>41412</c:v>
                </c:pt>
                <c:pt idx="131">
                  <c:v>41413</c:v>
                </c:pt>
                <c:pt idx="132">
                  <c:v>41414</c:v>
                </c:pt>
                <c:pt idx="133">
                  <c:v>41415</c:v>
                </c:pt>
                <c:pt idx="134">
                  <c:v>41416</c:v>
                </c:pt>
                <c:pt idx="135">
                  <c:v>41417</c:v>
                </c:pt>
                <c:pt idx="136">
                  <c:v>41418</c:v>
                </c:pt>
                <c:pt idx="137">
                  <c:v>41419</c:v>
                </c:pt>
                <c:pt idx="138">
                  <c:v>41420</c:v>
                </c:pt>
                <c:pt idx="139">
                  <c:v>41421</c:v>
                </c:pt>
                <c:pt idx="140">
                  <c:v>41422</c:v>
                </c:pt>
                <c:pt idx="141">
                  <c:v>41423</c:v>
                </c:pt>
                <c:pt idx="142">
                  <c:v>41424</c:v>
                </c:pt>
                <c:pt idx="143">
                  <c:v>41425</c:v>
                </c:pt>
                <c:pt idx="144">
                  <c:v>41426</c:v>
                </c:pt>
                <c:pt idx="145">
                  <c:v>41427</c:v>
                </c:pt>
                <c:pt idx="146">
                  <c:v>41428</c:v>
                </c:pt>
                <c:pt idx="147">
                  <c:v>41429</c:v>
                </c:pt>
                <c:pt idx="148">
                  <c:v>41430</c:v>
                </c:pt>
                <c:pt idx="149">
                  <c:v>41431</c:v>
                </c:pt>
                <c:pt idx="150">
                  <c:v>41432</c:v>
                </c:pt>
                <c:pt idx="151">
                  <c:v>41433</c:v>
                </c:pt>
                <c:pt idx="152">
                  <c:v>41434</c:v>
                </c:pt>
                <c:pt idx="153">
                  <c:v>41435</c:v>
                </c:pt>
                <c:pt idx="154">
                  <c:v>41436</c:v>
                </c:pt>
                <c:pt idx="155">
                  <c:v>41437</c:v>
                </c:pt>
                <c:pt idx="156">
                  <c:v>41438</c:v>
                </c:pt>
                <c:pt idx="157">
                  <c:v>41439</c:v>
                </c:pt>
                <c:pt idx="158">
                  <c:v>41440</c:v>
                </c:pt>
                <c:pt idx="159">
                  <c:v>41441</c:v>
                </c:pt>
                <c:pt idx="160">
                  <c:v>41442</c:v>
                </c:pt>
                <c:pt idx="161">
                  <c:v>41443</c:v>
                </c:pt>
                <c:pt idx="162">
                  <c:v>41444</c:v>
                </c:pt>
                <c:pt idx="163">
                  <c:v>41445</c:v>
                </c:pt>
                <c:pt idx="164">
                  <c:v>41446</c:v>
                </c:pt>
                <c:pt idx="165">
                  <c:v>41447</c:v>
                </c:pt>
                <c:pt idx="166">
                  <c:v>41448</c:v>
                </c:pt>
                <c:pt idx="167">
                  <c:v>41449</c:v>
                </c:pt>
                <c:pt idx="168">
                  <c:v>41450</c:v>
                </c:pt>
                <c:pt idx="169">
                  <c:v>41451</c:v>
                </c:pt>
                <c:pt idx="170">
                  <c:v>41452</c:v>
                </c:pt>
                <c:pt idx="171">
                  <c:v>41453</c:v>
                </c:pt>
                <c:pt idx="172">
                  <c:v>41454</c:v>
                </c:pt>
                <c:pt idx="173">
                  <c:v>41455</c:v>
                </c:pt>
                <c:pt idx="174">
                  <c:v>41456</c:v>
                </c:pt>
                <c:pt idx="175">
                  <c:v>41457</c:v>
                </c:pt>
                <c:pt idx="176">
                  <c:v>41458</c:v>
                </c:pt>
                <c:pt idx="177">
                  <c:v>41459</c:v>
                </c:pt>
                <c:pt idx="178">
                  <c:v>41460</c:v>
                </c:pt>
                <c:pt idx="179">
                  <c:v>41461</c:v>
                </c:pt>
                <c:pt idx="180">
                  <c:v>41462</c:v>
                </c:pt>
                <c:pt idx="181">
                  <c:v>41463</c:v>
                </c:pt>
                <c:pt idx="182">
                  <c:v>41464</c:v>
                </c:pt>
                <c:pt idx="183">
                  <c:v>41465</c:v>
                </c:pt>
                <c:pt idx="184">
                  <c:v>41466</c:v>
                </c:pt>
                <c:pt idx="185">
                  <c:v>41467</c:v>
                </c:pt>
                <c:pt idx="186">
                  <c:v>41468</c:v>
                </c:pt>
                <c:pt idx="187">
                  <c:v>41469</c:v>
                </c:pt>
                <c:pt idx="188">
                  <c:v>41470</c:v>
                </c:pt>
                <c:pt idx="189">
                  <c:v>41471</c:v>
                </c:pt>
                <c:pt idx="190">
                  <c:v>41472</c:v>
                </c:pt>
                <c:pt idx="191">
                  <c:v>41473</c:v>
                </c:pt>
                <c:pt idx="192">
                  <c:v>41474</c:v>
                </c:pt>
                <c:pt idx="193">
                  <c:v>41475</c:v>
                </c:pt>
                <c:pt idx="194">
                  <c:v>41476</c:v>
                </c:pt>
                <c:pt idx="195">
                  <c:v>41477</c:v>
                </c:pt>
                <c:pt idx="196">
                  <c:v>41478</c:v>
                </c:pt>
                <c:pt idx="197">
                  <c:v>41479</c:v>
                </c:pt>
                <c:pt idx="198">
                  <c:v>41480</c:v>
                </c:pt>
                <c:pt idx="199">
                  <c:v>41481</c:v>
                </c:pt>
                <c:pt idx="200">
                  <c:v>41482</c:v>
                </c:pt>
                <c:pt idx="201">
                  <c:v>41483</c:v>
                </c:pt>
                <c:pt idx="202">
                  <c:v>41484</c:v>
                </c:pt>
                <c:pt idx="203">
                  <c:v>41485</c:v>
                </c:pt>
                <c:pt idx="204">
                  <c:v>41486</c:v>
                </c:pt>
                <c:pt idx="205">
                  <c:v>41487</c:v>
                </c:pt>
                <c:pt idx="206">
                  <c:v>41488</c:v>
                </c:pt>
                <c:pt idx="207">
                  <c:v>41489</c:v>
                </c:pt>
                <c:pt idx="208">
                  <c:v>41490</c:v>
                </c:pt>
                <c:pt idx="209">
                  <c:v>41491</c:v>
                </c:pt>
                <c:pt idx="210">
                  <c:v>41492</c:v>
                </c:pt>
                <c:pt idx="211">
                  <c:v>41493</c:v>
                </c:pt>
                <c:pt idx="212">
                  <c:v>41494</c:v>
                </c:pt>
                <c:pt idx="213">
                  <c:v>41495</c:v>
                </c:pt>
                <c:pt idx="214">
                  <c:v>41496</c:v>
                </c:pt>
                <c:pt idx="215">
                  <c:v>41497</c:v>
                </c:pt>
                <c:pt idx="216">
                  <c:v>41498</c:v>
                </c:pt>
                <c:pt idx="217">
                  <c:v>41499</c:v>
                </c:pt>
                <c:pt idx="218">
                  <c:v>41500</c:v>
                </c:pt>
                <c:pt idx="219">
                  <c:v>41501</c:v>
                </c:pt>
                <c:pt idx="220">
                  <c:v>41502</c:v>
                </c:pt>
                <c:pt idx="221">
                  <c:v>41503</c:v>
                </c:pt>
                <c:pt idx="222">
                  <c:v>41504</c:v>
                </c:pt>
                <c:pt idx="223">
                  <c:v>41505</c:v>
                </c:pt>
                <c:pt idx="224">
                  <c:v>41506</c:v>
                </c:pt>
                <c:pt idx="225">
                  <c:v>41507</c:v>
                </c:pt>
                <c:pt idx="226">
                  <c:v>41508</c:v>
                </c:pt>
                <c:pt idx="227">
                  <c:v>41509</c:v>
                </c:pt>
                <c:pt idx="228">
                  <c:v>41510</c:v>
                </c:pt>
                <c:pt idx="229">
                  <c:v>41511</c:v>
                </c:pt>
                <c:pt idx="230">
                  <c:v>41512</c:v>
                </c:pt>
                <c:pt idx="231">
                  <c:v>41513</c:v>
                </c:pt>
                <c:pt idx="232">
                  <c:v>41514</c:v>
                </c:pt>
                <c:pt idx="233">
                  <c:v>41515</c:v>
                </c:pt>
                <c:pt idx="234">
                  <c:v>41516</c:v>
                </c:pt>
                <c:pt idx="235">
                  <c:v>41517</c:v>
                </c:pt>
                <c:pt idx="236">
                  <c:v>41518</c:v>
                </c:pt>
                <c:pt idx="237">
                  <c:v>41519</c:v>
                </c:pt>
                <c:pt idx="238">
                  <c:v>41520</c:v>
                </c:pt>
                <c:pt idx="239">
                  <c:v>41521</c:v>
                </c:pt>
                <c:pt idx="240">
                  <c:v>41522</c:v>
                </c:pt>
                <c:pt idx="241">
                  <c:v>41523</c:v>
                </c:pt>
                <c:pt idx="242">
                  <c:v>41524</c:v>
                </c:pt>
                <c:pt idx="243">
                  <c:v>41525</c:v>
                </c:pt>
                <c:pt idx="244">
                  <c:v>41526</c:v>
                </c:pt>
                <c:pt idx="245">
                  <c:v>41527</c:v>
                </c:pt>
                <c:pt idx="246">
                  <c:v>41528</c:v>
                </c:pt>
                <c:pt idx="247">
                  <c:v>41529</c:v>
                </c:pt>
                <c:pt idx="248">
                  <c:v>41530</c:v>
                </c:pt>
                <c:pt idx="249">
                  <c:v>41531</c:v>
                </c:pt>
                <c:pt idx="250">
                  <c:v>41532</c:v>
                </c:pt>
                <c:pt idx="251">
                  <c:v>41533</c:v>
                </c:pt>
                <c:pt idx="252">
                  <c:v>41534</c:v>
                </c:pt>
                <c:pt idx="253">
                  <c:v>41535</c:v>
                </c:pt>
                <c:pt idx="254">
                  <c:v>41536</c:v>
                </c:pt>
                <c:pt idx="255">
                  <c:v>41537</c:v>
                </c:pt>
                <c:pt idx="256">
                  <c:v>41538</c:v>
                </c:pt>
                <c:pt idx="257">
                  <c:v>41539</c:v>
                </c:pt>
                <c:pt idx="258">
                  <c:v>41540</c:v>
                </c:pt>
                <c:pt idx="259">
                  <c:v>41541</c:v>
                </c:pt>
                <c:pt idx="260">
                  <c:v>41542</c:v>
                </c:pt>
                <c:pt idx="261">
                  <c:v>41543</c:v>
                </c:pt>
                <c:pt idx="262">
                  <c:v>41544</c:v>
                </c:pt>
                <c:pt idx="263">
                  <c:v>41545</c:v>
                </c:pt>
                <c:pt idx="264">
                  <c:v>41546</c:v>
                </c:pt>
                <c:pt idx="265">
                  <c:v>41547</c:v>
                </c:pt>
                <c:pt idx="266">
                  <c:v>41548</c:v>
                </c:pt>
                <c:pt idx="267">
                  <c:v>41549</c:v>
                </c:pt>
                <c:pt idx="268">
                  <c:v>41550</c:v>
                </c:pt>
                <c:pt idx="269">
                  <c:v>41551</c:v>
                </c:pt>
                <c:pt idx="270">
                  <c:v>41552</c:v>
                </c:pt>
                <c:pt idx="271">
                  <c:v>41553</c:v>
                </c:pt>
                <c:pt idx="272">
                  <c:v>41554</c:v>
                </c:pt>
                <c:pt idx="273">
                  <c:v>41555</c:v>
                </c:pt>
                <c:pt idx="274">
                  <c:v>41556</c:v>
                </c:pt>
                <c:pt idx="275">
                  <c:v>41557</c:v>
                </c:pt>
                <c:pt idx="276">
                  <c:v>41558</c:v>
                </c:pt>
                <c:pt idx="277">
                  <c:v>41559</c:v>
                </c:pt>
                <c:pt idx="278">
                  <c:v>41560</c:v>
                </c:pt>
                <c:pt idx="279">
                  <c:v>41561</c:v>
                </c:pt>
                <c:pt idx="280">
                  <c:v>41562</c:v>
                </c:pt>
                <c:pt idx="281">
                  <c:v>41563</c:v>
                </c:pt>
                <c:pt idx="282">
                  <c:v>41564</c:v>
                </c:pt>
                <c:pt idx="283">
                  <c:v>41565</c:v>
                </c:pt>
                <c:pt idx="284">
                  <c:v>41566</c:v>
                </c:pt>
                <c:pt idx="285">
                  <c:v>41567</c:v>
                </c:pt>
                <c:pt idx="286">
                  <c:v>41568</c:v>
                </c:pt>
                <c:pt idx="287">
                  <c:v>41569</c:v>
                </c:pt>
                <c:pt idx="288">
                  <c:v>41570</c:v>
                </c:pt>
                <c:pt idx="289">
                  <c:v>41571</c:v>
                </c:pt>
                <c:pt idx="290">
                  <c:v>41572</c:v>
                </c:pt>
                <c:pt idx="291">
                  <c:v>41573</c:v>
                </c:pt>
                <c:pt idx="292">
                  <c:v>41574</c:v>
                </c:pt>
                <c:pt idx="293">
                  <c:v>41575</c:v>
                </c:pt>
                <c:pt idx="294">
                  <c:v>41576</c:v>
                </c:pt>
                <c:pt idx="295">
                  <c:v>41577</c:v>
                </c:pt>
                <c:pt idx="296">
                  <c:v>41578</c:v>
                </c:pt>
                <c:pt idx="297">
                  <c:v>41579</c:v>
                </c:pt>
                <c:pt idx="298">
                  <c:v>41580</c:v>
                </c:pt>
                <c:pt idx="299">
                  <c:v>41581</c:v>
                </c:pt>
                <c:pt idx="300">
                  <c:v>41582</c:v>
                </c:pt>
                <c:pt idx="301">
                  <c:v>41583</c:v>
                </c:pt>
                <c:pt idx="302">
                  <c:v>41584</c:v>
                </c:pt>
                <c:pt idx="303">
                  <c:v>41585</c:v>
                </c:pt>
                <c:pt idx="304">
                  <c:v>41586</c:v>
                </c:pt>
                <c:pt idx="305">
                  <c:v>41587</c:v>
                </c:pt>
                <c:pt idx="306">
                  <c:v>41588</c:v>
                </c:pt>
                <c:pt idx="307">
                  <c:v>41589</c:v>
                </c:pt>
                <c:pt idx="308">
                  <c:v>41590</c:v>
                </c:pt>
                <c:pt idx="309">
                  <c:v>41591</c:v>
                </c:pt>
                <c:pt idx="310">
                  <c:v>41592</c:v>
                </c:pt>
                <c:pt idx="311">
                  <c:v>41593</c:v>
                </c:pt>
                <c:pt idx="312">
                  <c:v>41594</c:v>
                </c:pt>
                <c:pt idx="313">
                  <c:v>41595</c:v>
                </c:pt>
                <c:pt idx="314">
                  <c:v>41596</c:v>
                </c:pt>
                <c:pt idx="315">
                  <c:v>41597</c:v>
                </c:pt>
                <c:pt idx="316">
                  <c:v>41598</c:v>
                </c:pt>
                <c:pt idx="317">
                  <c:v>41599</c:v>
                </c:pt>
                <c:pt idx="318">
                  <c:v>41600</c:v>
                </c:pt>
                <c:pt idx="319">
                  <c:v>41601</c:v>
                </c:pt>
                <c:pt idx="320">
                  <c:v>41602</c:v>
                </c:pt>
                <c:pt idx="321">
                  <c:v>41603</c:v>
                </c:pt>
                <c:pt idx="322">
                  <c:v>41604</c:v>
                </c:pt>
                <c:pt idx="323">
                  <c:v>41605</c:v>
                </c:pt>
                <c:pt idx="324">
                  <c:v>41606</c:v>
                </c:pt>
                <c:pt idx="325">
                  <c:v>41607</c:v>
                </c:pt>
                <c:pt idx="326">
                  <c:v>41608</c:v>
                </c:pt>
                <c:pt idx="327">
                  <c:v>41609</c:v>
                </c:pt>
                <c:pt idx="328">
                  <c:v>41610</c:v>
                </c:pt>
                <c:pt idx="329">
                  <c:v>41611</c:v>
                </c:pt>
                <c:pt idx="330">
                  <c:v>41612</c:v>
                </c:pt>
                <c:pt idx="331">
                  <c:v>41613</c:v>
                </c:pt>
                <c:pt idx="332">
                  <c:v>41614</c:v>
                </c:pt>
                <c:pt idx="333">
                  <c:v>41615</c:v>
                </c:pt>
                <c:pt idx="334">
                  <c:v>41616</c:v>
                </c:pt>
                <c:pt idx="335">
                  <c:v>41617</c:v>
                </c:pt>
                <c:pt idx="336">
                  <c:v>41618</c:v>
                </c:pt>
                <c:pt idx="337">
                  <c:v>41619</c:v>
                </c:pt>
                <c:pt idx="338">
                  <c:v>41620</c:v>
                </c:pt>
                <c:pt idx="339">
                  <c:v>41621</c:v>
                </c:pt>
                <c:pt idx="340">
                  <c:v>41622</c:v>
                </c:pt>
                <c:pt idx="341">
                  <c:v>41623</c:v>
                </c:pt>
                <c:pt idx="342">
                  <c:v>41624</c:v>
                </c:pt>
                <c:pt idx="343">
                  <c:v>41625</c:v>
                </c:pt>
                <c:pt idx="344">
                  <c:v>41626</c:v>
                </c:pt>
                <c:pt idx="345">
                  <c:v>41627</c:v>
                </c:pt>
                <c:pt idx="346">
                  <c:v>41628</c:v>
                </c:pt>
                <c:pt idx="347">
                  <c:v>41629</c:v>
                </c:pt>
                <c:pt idx="348">
                  <c:v>41630</c:v>
                </c:pt>
                <c:pt idx="349">
                  <c:v>41631</c:v>
                </c:pt>
                <c:pt idx="350">
                  <c:v>41632</c:v>
                </c:pt>
                <c:pt idx="351">
                  <c:v>41633</c:v>
                </c:pt>
                <c:pt idx="352">
                  <c:v>41634</c:v>
                </c:pt>
                <c:pt idx="353">
                  <c:v>41635</c:v>
                </c:pt>
                <c:pt idx="354">
                  <c:v>41636</c:v>
                </c:pt>
                <c:pt idx="355">
                  <c:v>41637</c:v>
                </c:pt>
                <c:pt idx="356">
                  <c:v>41638</c:v>
                </c:pt>
              </c:numCache>
            </c:numRef>
          </c:cat>
          <c:val>
            <c:numRef>
              <c:f>'год 2013'!$AE$7:$AE$363</c:f>
              <c:numCache>
                <c:formatCode>0.00%</c:formatCode>
                <c:ptCount val="357"/>
                <c:pt idx="0">
                  <c:v>0</c:v>
                </c:pt>
                <c:pt idx="1">
                  <c:v>-3.1522977592100411E-2</c:v>
                </c:pt>
                <c:pt idx="2">
                  <c:v>-5.0512723129511973E-2</c:v>
                </c:pt>
                <c:pt idx="3">
                  <c:v>-6.3109254335992016E-2</c:v>
                </c:pt>
                <c:pt idx="4">
                  <c:v>-6.3109254335992016E-2</c:v>
                </c:pt>
                <c:pt idx="5">
                  <c:v>-6.3109254335992016E-2</c:v>
                </c:pt>
                <c:pt idx="6">
                  <c:v>2.8991011520445482E-2</c:v>
                </c:pt>
                <c:pt idx="7">
                  <c:v>5.6969236612229412E-2</c:v>
                </c:pt>
                <c:pt idx="8">
                  <c:v>8.2415495632358379E-2</c:v>
                </c:pt>
                <c:pt idx="9">
                  <c:v>8.1719204962653391E-2</c:v>
                </c:pt>
                <c:pt idx="10">
                  <c:v>8.4061273578934198E-2</c:v>
                </c:pt>
                <c:pt idx="11">
                  <c:v>8.4061273578934198E-2</c:v>
                </c:pt>
                <c:pt idx="12">
                  <c:v>8.4061273578934198E-2</c:v>
                </c:pt>
                <c:pt idx="13">
                  <c:v>9.5075325990635423E-2</c:v>
                </c:pt>
                <c:pt idx="14">
                  <c:v>9.5075325990635423E-2</c:v>
                </c:pt>
                <c:pt idx="15">
                  <c:v>0.11400177237625299</c:v>
                </c:pt>
                <c:pt idx="16">
                  <c:v>9.1910368401064244E-2</c:v>
                </c:pt>
                <c:pt idx="17">
                  <c:v>9.5075325990635423E-2</c:v>
                </c:pt>
                <c:pt idx="18">
                  <c:v>9.5075325990635423E-2</c:v>
                </c:pt>
                <c:pt idx="19">
                  <c:v>9.5075325990635423E-2</c:v>
                </c:pt>
                <c:pt idx="20">
                  <c:v>0.10931763514368922</c:v>
                </c:pt>
                <c:pt idx="21">
                  <c:v>0.13007975693125687</c:v>
                </c:pt>
                <c:pt idx="22">
                  <c:v>0.10140524116976836</c:v>
                </c:pt>
                <c:pt idx="23">
                  <c:v>7.6085580453221904E-2</c:v>
                </c:pt>
                <c:pt idx="24">
                  <c:v>9.2796556526142548E-2</c:v>
                </c:pt>
                <c:pt idx="25">
                  <c:v>9.2796556526142548E-2</c:v>
                </c:pt>
                <c:pt idx="26">
                  <c:v>9.2796556526142548E-2</c:v>
                </c:pt>
                <c:pt idx="27">
                  <c:v>0.10127864286618816</c:v>
                </c:pt>
                <c:pt idx="28">
                  <c:v>0.10444360045575422</c:v>
                </c:pt>
                <c:pt idx="29">
                  <c:v>9.5075325990635423E-2</c:v>
                </c:pt>
                <c:pt idx="30">
                  <c:v>0.10950753259906285</c:v>
                </c:pt>
                <c:pt idx="31">
                  <c:v>0.1050132928218761</c:v>
                </c:pt>
                <c:pt idx="32">
                  <c:v>0.1050132928218761</c:v>
                </c:pt>
                <c:pt idx="33">
                  <c:v>0.1050132928218761</c:v>
                </c:pt>
                <c:pt idx="34">
                  <c:v>0.10140524116976836</c:v>
                </c:pt>
                <c:pt idx="35">
                  <c:v>9.7037599696163893E-2</c:v>
                </c:pt>
                <c:pt idx="36">
                  <c:v>9.5075325990635423E-2</c:v>
                </c:pt>
                <c:pt idx="37">
                  <c:v>8.4124572730725766E-2</c:v>
                </c:pt>
                <c:pt idx="38">
                  <c:v>6.0324091657172133E-2</c:v>
                </c:pt>
                <c:pt idx="39">
                  <c:v>6.0324091657172133E-2</c:v>
                </c:pt>
                <c:pt idx="40">
                  <c:v>6.0324091657172133E-2</c:v>
                </c:pt>
                <c:pt idx="41">
                  <c:v>5.7159134067603423E-2</c:v>
                </c:pt>
                <c:pt idx="42">
                  <c:v>6.975566527408518E-2</c:v>
                </c:pt>
                <c:pt idx="43">
                  <c:v>6.4058741612862402E-2</c:v>
                </c:pt>
                <c:pt idx="44">
                  <c:v>8.3111786302063645E-2</c:v>
                </c:pt>
                <c:pt idx="45">
                  <c:v>8.3301683757437628E-2</c:v>
                </c:pt>
                <c:pt idx="46">
                  <c:v>8.3301683757437628E-2</c:v>
                </c:pt>
                <c:pt idx="47">
                  <c:v>8.3301683757437628E-2</c:v>
                </c:pt>
                <c:pt idx="48">
                  <c:v>9.0707684517027376E-2</c:v>
                </c:pt>
                <c:pt idx="49">
                  <c:v>6.4691733130775933E-2</c:v>
                </c:pt>
                <c:pt idx="50">
                  <c:v>7.1781238131408923E-2</c:v>
                </c:pt>
                <c:pt idx="51">
                  <c:v>5.7032535764020904E-2</c:v>
                </c:pt>
                <c:pt idx="52">
                  <c:v>2.6395746296999711E-2</c:v>
                </c:pt>
                <c:pt idx="53">
                  <c:v>2.6395746296999711E-2</c:v>
                </c:pt>
                <c:pt idx="54">
                  <c:v>2.6395746296999711E-2</c:v>
                </c:pt>
                <c:pt idx="55">
                  <c:v>2.544625902012981E-2</c:v>
                </c:pt>
                <c:pt idx="56">
                  <c:v>1.9116343840992481E-2</c:v>
                </c:pt>
                <c:pt idx="57">
                  <c:v>2.4053677680720042E-2</c:v>
                </c:pt>
                <c:pt idx="58">
                  <c:v>2.544625902012981E-2</c:v>
                </c:pt>
                <c:pt idx="59">
                  <c:v>2.544625902012981E-2</c:v>
                </c:pt>
                <c:pt idx="60">
                  <c:v>2.544625902012981E-2</c:v>
                </c:pt>
                <c:pt idx="61">
                  <c:v>2.544625902012981E-2</c:v>
                </c:pt>
                <c:pt idx="62">
                  <c:v>3.0193695404481472E-2</c:v>
                </c:pt>
                <c:pt idx="63">
                  <c:v>1.2786428661856317E-2</c:v>
                </c:pt>
                <c:pt idx="64">
                  <c:v>6.0260792505380412E-2</c:v>
                </c:pt>
                <c:pt idx="65">
                  <c:v>5.0765919736675713E-2</c:v>
                </c:pt>
                <c:pt idx="66">
                  <c:v>1.3862514242309682E-2</c:v>
                </c:pt>
                <c:pt idx="67">
                  <c:v>1.3862514242309682E-2</c:v>
                </c:pt>
                <c:pt idx="68">
                  <c:v>1.3862514242309682E-2</c:v>
                </c:pt>
                <c:pt idx="69">
                  <c:v>2.5319660716549612E-4</c:v>
                </c:pt>
                <c:pt idx="70">
                  <c:v>2.7851626788200899E-3</c:v>
                </c:pt>
                <c:pt idx="71">
                  <c:v>2.7978225091783802E-2</c:v>
                </c:pt>
                <c:pt idx="72">
                  <c:v>1.538169388530175E-2</c:v>
                </c:pt>
                <c:pt idx="73">
                  <c:v>1.2659830358273227E-2</c:v>
                </c:pt>
                <c:pt idx="74">
                  <c:v>1.2659830358273227E-2</c:v>
                </c:pt>
                <c:pt idx="75">
                  <c:v>1.2659830358273227E-2</c:v>
                </c:pt>
                <c:pt idx="76">
                  <c:v>-2.4876566654006952E-2</c:v>
                </c:pt>
                <c:pt idx="77">
                  <c:v>-6.6527408532725762E-2</c:v>
                </c:pt>
                <c:pt idx="78">
                  <c:v>-6.3045955184200642E-2</c:v>
                </c:pt>
                <c:pt idx="79">
                  <c:v>-6.5831117863020733E-2</c:v>
                </c:pt>
                <c:pt idx="80">
                  <c:v>-5.0512723129511973E-2</c:v>
                </c:pt>
                <c:pt idx="81">
                  <c:v>-5.0512723129511973E-2</c:v>
                </c:pt>
                <c:pt idx="82">
                  <c:v>-5.0512723129511973E-2</c:v>
                </c:pt>
                <c:pt idx="83">
                  <c:v>-4.9183440941892836E-2</c:v>
                </c:pt>
                <c:pt idx="84">
                  <c:v>-6.9439169515128712E-2</c:v>
                </c:pt>
                <c:pt idx="85">
                  <c:v>-6.7476895809596524E-2</c:v>
                </c:pt>
                <c:pt idx="86">
                  <c:v>-9.6784403088998647E-2</c:v>
                </c:pt>
                <c:pt idx="87">
                  <c:v>-6.9502468666919892E-2</c:v>
                </c:pt>
                <c:pt idx="88">
                  <c:v>-6.9502468666919892E-2</c:v>
                </c:pt>
                <c:pt idx="89">
                  <c:v>-6.9502468666919892E-2</c:v>
                </c:pt>
                <c:pt idx="90">
                  <c:v>-0.10596278009874682</c:v>
                </c:pt>
                <c:pt idx="91">
                  <c:v>-5.8108621344474032E-2</c:v>
                </c:pt>
                <c:pt idx="92">
                  <c:v>-5.4817065451324351E-2</c:v>
                </c:pt>
                <c:pt idx="93">
                  <c:v>-0.13989112545891888</c:v>
                </c:pt>
                <c:pt idx="94">
                  <c:v>-8.9441701481200189E-2</c:v>
                </c:pt>
                <c:pt idx="95">
                  <c:v>-8.9441701481200189E-2</c:v>
                </c:pt>
                <c:pt idx="96">
                  <c:v>-8.9441701481200189E-2</c:v>
                </c:pt>
                <c:pt idx="97">
                  <c:v>-0.11381187492087615</c:v>
                </c:pt>
                <c:pt idx="98">
                  <c:v>-0.17730092416761611</c:v>
                </c:pt>
                <c:pt idx="99">
                  <c:v>-0.15141157108494754</c:v>
                </c:pt>
                <c:pt idx="100">
                  <c:v>-0.14482845929864538</c:v>
                </c:pt>
                <c:pt idx="101">
                  <c:v>-0.17059121407773453</c:v>
                </c:pt>
                <c:pt idx="102">
                  <c:v>-0.17059121407773453</c:v>
                </c:pt>
                <c:pt idx="103">
                  <c:v>-0.17059121407773453</c:v>
                </c:pt>
                <c:pt idx="104">
                  <c:v>-0.17711102671224221</c:v>
                </c:pt>
                <c:pt idx="105">
                  <c:v>-0.17641473604254132</c:v>
                </c:pt>
                <c:pt idx="106">
                  <c:v>-0.17052791492593997</c:v>
                </c:pt>
                <c:pt idx="107">
                  <c:v>-0.14546145081656403</c:v>
                </c:pt>
                <c:pt idx="108">
                  <c:v>-0.12381314090391481</c:v>
                </c:pt>
                <c:pt idx="109">
                  <c:v>-0.12381314090391481</c:v>
                </c:pt>
                <c:pt idx="110">
                  <c:v>-0.12381314090391481</c:v>
                </c:pt>
                <c:pt idx="111">
                  <c:v>-0.15818458032662391</c:v>
                </c:pt>
                <c:pt idx="112">
                  <c:v>-0.14508165590581087</c:v>
                </c:pt>
                <c:pt idx="113">
                  <c:v>-0.14508165590581087</c:v>
                </c:pt>
                <c:pt idx="114">
                  <c:v>-0.14615774148626731</c:v>
                </c:pt>
                <c:pt idx="115">
                  <c:v>-0.14546145081656403</c:v>
                </c:pt>
                <c:pt idx="116">
                  <c:v>-0.14546145081656403</c:v>
                </c:pt>
                <c:pt idx="117">
                  <c:v>-0.14546145081656403</c:v>
                </c:pt>
                <c:pt idx="118">
                  <c:v>-0.15153816938853026</c:v>
                </c:pt>
                <c:pt idx="119">
                  <c:v>-0.11387517407266756</c:v>
                </c:pt>
                <c:pt idx="120">
                  <c:v>-0.10539308773262462</c:v>
                </c:pt>
                <c:pt idx="121">
                  <c:v>-0.10539308773262462</c:v>
                </c:pt>
                <c:pt idx="122">
                  <c:v>-0.17128750474743962</c:v>
                </c:pt>
                <c:pt idx="123">
                  <c:v>-0.17128750474743962</c:v>
                </c:pt>
                <c:pt idx="124">
                  <c:v>-0.17128750474743962</c:v>
                </c:pt>
                <c:pt idx="125">
                  <c:v>-0.15793138371946505</c:v>
                </c:pt>
                <c:pt idx="126">
                  <c:v>-0.14438536523610579</c:v>
                </c:pt>
                <c:pt idx="127">
                  <c:v>-0.14223319407520374</c:v>
                </c:pt>
                <c:pt idx="128">
                  <c:v>-0.14153690340549868</c:v>
                </c:pt>
                <c:pt idx="129">
                  <c:v>-0.12140777313584006</c:v>
                </c:pt>
                <c:pt idx="130">
                  <c:v>-0.12140777313584006</c:v>
                </c:pt>
                <c:pt idx="131">
                  <c:v>-0.12140777313584006</c:v>
                </c:pt>
                <c:pt idx="132">
                  <c:v>-0.12919356880617805</c:v>
                </c:pt>
                <c:pt idx="133">
                  <c:v>-0.12299025193062699</c:v>
                </c:pt>
                <c:pt idx="134">
                  <c:v>-8.3364982909231736E-2</c:v>
                </c:pt>
                <c:pt idx="135">
                  <c:v>-0.14685403215597262</c:v>
                </c:pt>
                <c:pt idx="136">
                  <c:v>-0.14951259653121096</c:v>
                </c:pt>
                <c:pt idx="137">
                  <c:v>-0.14951259653121096</c:v>
                </c:pt>
                <c:pt idx="138">
                  <c:v>-0.14951259653121096</c:v>
                </c:pt>
                <c:pt idx="139">
                  <c:v>-0.14084061273578938</c:v>
                </c:pt>
                <c:pt idx="140">
                  <c:v>-0.12558551715407018</c:v>
                </c:pt>
                <c:pt idx="141">
                  <c:v>-0.15179136599569884</c:v>
                </c:pt>
                <c:pt idx="142">
                  <c:v>-0.15052538295987106</c:v>
                </c:pt>
                <c:pt idx="143">
                  <c:v>-0.15679199898721799</c:v>
                </c:pt>
                <c:pt idx="144">
                  <c:v>-0.15679199898721799</c:v>
                </c:pt>
                <c:pt idx="145">
                  <c:v>-0.15679199898721799</c:v>
                </c:pt>
                <c:pt idx="146">
                  <c:v>-0.15748828965692499</c:v>
                </c:pt>
                <c:pt idx="147">
                  <c:v>-0.17919989872135741</c:v>
                </c:pt>
                <c:pt idx="148">
                  <c:v>-0.17711102671224221</c:v>
                </c:pt>
                <c:pt idx="149">
                  <c:v>-0.18755538675782299</c:v>
                </c:pt>
                <c:pt idx="150">
                  <c:v>-0.17685783010507691</c:v>
                </c:pt>
                <c:pt idx="151">
                  <c:v>-0.17685783010507691</c:v>
                </c:pt>
                <c:pt idx="152">
                  <c:v>-0.17685783010507691</c:v>
                </c:pt>
                <c:pt idx="153">
                  <c:v>-0.18401063425750144</c:v>
                </c:pt>
                <c:pt idx="154">
                  <c:v>-0.20521585010761195</c:v>
                </c:pt>
                <c:pt idx="155">
                  <c:v>-0.20521585010761195</c:v>
                </c:pt>
                <c:pt idx="156">
                  <c:v>-0.22407899734143574</c:v>
                </c:pt>
                <c:pt idx="157">
                  <c:v>-0.21888846689454391</c:v>
                </c:pt>
                <c:pt idx="158">
                  <c:v>-0.21888846689454391</c:v>
                </c:pt>
                <c:pt idx="159">
                  <c:v>-0.21888846689454391</c:v>
                </c:pt>
                <c:pt idx="160">
                  <c:v>-0.20015191796429932</c:v>
                </c:pt>
                <c:pt idx="161">
                  <c:v>-0.20198759336624894</c:v>
                </c:pt>
                <c:pt idx="162">
                  <c:v>-0.24041017850360821</c:v>
                </c:pt>
                <c:pt idx="163">
                  <c:v>-0.23395366502088877</c:v>
                </c:pt>
                <c:pt idx="164">
                  <c:v>-0.23395366502088877</c:v>
                </c:pt>
                <c:pt idx="165">
                  <c:v>-0.23395366502088877</c:v>
                </c:pt>
                <c:pt idx="166">
                  <c:v>-0.24857576908469425</c:v>
                </c:pt>
                <c:pt idx="167">
                  <c:v>-0.22142043296620162</c:v>
                </c:pt>
                <c:pt idx="168">
                  <c:v>-0.23515634890492476</c:v>
                </c:pt>
                <c:pt idx="169">
                  <c:v>-0.22585137359159391</c:v>
                </c:pt>
                <c:pt idx="170">
                  <c:v>-0.22496518546651781</c:v>
                </c:pt>
                <c:pt idx="171">
                  <c:v>-0.22496518546651781</c:v>
                </c:pt>
                <c:pt idx="172">
                  <c:v>-0.22496518546651781</c:v>
                </c:pt>
                <c:pt idx="173">
                  <c:v>-0.23034561336878087</c:v>
                </c:pt>
                <c:pt idx="174">
                  <c:v>-0.22293961260919104</c:v>
                </c:pt>
                <c:pt idx="175">
                  <c:v>-0.21610330421572371</c:v>
                </c:pt>
                <c:pt idx="176">
                  <c:v>-0.21888846689454391</c:v>
                </c:pt>
                <c:pt idx="177">
                  <c:v>-0.21711609064438644</c:v>
                </c:pt>
                <c:pt idx="178">
                  <c:v>-0.21711609064438644</c:v>
                </c:pt>
                <c:pt idx="179">
                  <c:v>-0.21711609064438644</c:v>
                </c:pt>
                <c:pt idx="180">
                  <c:v>-0.22053424484111941</c:v>
                </c:pt>
                <c:pt idx="181">
                  <c:v>-0.22230662109127752</c:v>
                </c:pt>
                <c:pt idx="182">
                  <c:v>-0.25617166729967011</c:v>
                </c:pt>
                <c:pt idx="183">
                  <c:v>-0.23743511836941444</c:v>
                </c:pt>
                <c:pt idx="184">
                  <c:v>-0.21287504747436667</c:v>
                </c:pt>
                <c:pt idx="185">
                  <c:v>-0.21287504747436667</c:v>
                </c:pt>
                <c:pt idx="186">
                  <c:v>-0.21287504747436667</c:v>
                </c:pt>
                <c:pt idx="187">
                  <c:v>-0.19375870363337133</c:v>
                </c:pt>
                <c:pt idx="188">
                  <c:v>-0.17894670211419697</c:v>
                </c:pt>
                <c:pt idx="189">
                  <c:v>-0.16698316242562394</c:v>
                </c:pt>
                <c:pt idx="190">
                  <c:v>-0.19584757564248645</c:v>
                </c:pt>
                <c:pt idx="191">
                  <c:v>-0.19249272059754396</c:v>
                </c:pt>
                <c:pt idx="192">
                  <c:v>-0.19249272059754396</c:v>
                </c:pt>
                <c:pt idx="193">
                  <c:v>-0.19249272059754396</c:v>
                </c:pt>
                <c:pt idx="194">
                  <c:v>-0.1847702240789974</c:v>
                </c:pt>
                <c:pt idx="195">
                  <c:v>-0.18280795037346814</c:v>
                </c:pt>
                <c:pt idx="196">
                  <c:v>-0.18021268515002425</c:v>
                </c:pt>
                <c:pt idx="197">
                  <c:v>-0.19610077224964667</c:v>
                </c:pt>
                <c:pt idx="198">
                  <c:v>-0.20040511457147075</c:v>
                </c:pt>
                <c:pt idx="199">
                  <c:v>-0.20040511457147075</c:v>
                </c:pt>
                <c:pt idx="200">
                  <c:v>-0.20040511457147075</c:v>
                </c:pt>
                <c:pt idx="201">
                  <c:v>-0.22129383466261554</c:v>
                </c:pt>
                <c:pt idx="202">
                  <c:v>-0.20882390175971638</c:v>
                </c:pt>
                <c:pt idx="203">
                  <c:v>-0.22439549310039753</c:v>
                </c:pt>
                <c:pt idx="204">
                  <c:v>-0.20483605519686446</c:v>
                </c:pt>
                <c:pt idx="205">
                  <c:v>-0.22028104823395367</c:v>
                </c:pt>
                <c:pt idx="206">
                  <c:v>-0.22028104823395367</c:v>
                </c:pt>
                <c:pt idx="207">
                  <c:v>-0.22028104823395367</c:v>
                </c:pt>
                <c:pt idx="208">
                  <c:v>-0.22426889479681256</c:v>
                </c:pt>
                <c:pt idx="209">
                  <c:v>-0.22407899734143574</c:v>
                </c:pt>
                <c:pt idx="210">
                  <c:v>-0.22471198885935251</c:v>
                </c:pt>
                <c:pt idx="211">
                  <c:v>-0.22597797189517679</c:v>
                </c:pt>
                <c:pt idx="212">
                  <c:v>-0.21490062033168766</c:v>
                </c:pt>
                <c:pt idx="213">
                  <c:v>-0.21490062033168766</c:v>
                </c:pt>
                <c:pt idx="214">
                  <c:v>-0.21490062033168766</c:v>
                </c:pt>
                <c:pt idx="215">
                  <c:v>-0.21559691100139744</c:v>
                </c:pt>
                <c:pt idx="216">
                  <c:v>-0.21490062033168766</c:v>
                </c:pt>
                <c:pt idx="217">
                  <c:v>-0.21192556019749903</c:v>
                </c:pt>
                <c:pt idx="218">
                  <c:v>-0.22167362957336367</c:v>
                </c:pt>
                <c:pt idx="219">
                  <c:v>-0.22597797189517679</c:v>
                </c:pt>
                <c:pt idx="220">
                  <c:v>-0.22597797189517679</c:v>
                </c:pt>
                <c:pt idx="221">
                  <c:v>-0.22597797189517679</c:v>
                </c:pt>
                <c:pt idx="222">
                  <c:v>-0.23370046841372341</c:v>
                </c:pt>
                <c:pt idx="223">
                  <c:v>-0.23370046841372341</c:v>
                </c:pt>
                <c:pt idx="224">
                  <c:v>-0.23724522091403979</c:v>
                </c:pt>
                <c:pt idx="225">
                  <c:v>-0.21319154323332079</c:v>
                </c:pt>
                <c:pt idx="226">
                  <c:v>-0.22869983542220879</c:v>
                </c:pt>
                <c:pt idx="227">
                  <c:v>-0.22869983542220879</c:v>
                </c:pt>
                <c:pt idx="228">
                  <c:v>-0.22869983542220879</c:v>
                </c:pt>
                <c:pt idx="229">
                  <c:v>-0.24104317002152492</c:v>
                </c:pt>
                <c:pt idx="230">
                  <c:v>-0.25231041904038487</c:v>
                </c:pt>
                <c:pt idx="231">
                  <c:v>-0.27174325864032367</c:v>
                </c:pt>
                <c:pt idx="232">
                  <c:v>-0.26743891631852135</c:v>
                </c:pt>
                <c:pt idx="233">
                  <c:v>-0.29744271426763591</c:v>
                </c:pt>
                <c:pt idx="234">
                  <c:v>-0.29744271426763591</c:v>
                </c:pt>
                <c:pt idx="235">
                  <c:v>-0.29744271426763591</c:v>
                </c:pt>
                <c:pt idx="236">
                  <c:v>-0.30086086846437204</c:v>
                </c:pt>
                <c:pt idx="237">
                  <c:v>-0.30769717685783032</c:v>
                </c:pt>
                <c:pt idx="238">
                  <c:v>-0.3059880997594791</c:v>
                </c:pt>
                <c:pt idx="239">
                  <c:v>-0.28535257627548777</c:v>
                </c:pt>
                <c:pt idx="240">
                  <c:v>-0.29408785922269587</c:v>
                </c:pt>
                <c:pt idx="241">
                  <c:v>-0.29408785922269587</c:v>
                </c:pt>
                <c:pt idx="242">
                  <c:v>-0.29408785922269587</c:v>
                </c:pt>
                <c:pt idx="243">
                  <c:v>-0.27775667806051407</c:v>
                </c:pt>
                <c:pt idx="244">
                  <c:v>-0.25281681225472308</c:v>
                </c:pt>
                <c:pt idx="245">
                  <c:v>-0.25908342828206132</c:v>
                </c:pt>
                <c:pt idx="246">
                  <c:v>-0.26857830105077274</c:v>
                </c:pt>
                <c:pt idx="247">
                  <c:v>-0.27079377136346588</c:v>
                </c:pt>
                <c:pt idx="248">
                  <c:v>-0.27079377136346588</c:v>
                </c:pt>
                <c:pt idx="249">
                  <c:v>-0.27079377136346588</c:v>
                </c:pt>
                <c:pt idx="250">
                  <c:v>-0.21787568046588179</c:v>
                </c:pt>
                <c:pt idx="251">
                  <c:v>-0.23838460564628439</c:v>
                </c:pt>
                <c:pt idx="252">
                  <c:v>-0.26541334346119189</c:v>
                </c:pt>
                <c:pt idx="253">
                  <c:v>-0.25307000886188136</c:v>
                </c:pt>
                <c:pt idx="254">
                  <c:v>-0.24604380301303971</c:v>
                </c:pt>
                <c:pt idx="255">
                  <c:v>-0.24604380301303971</c:v>
                </c:pt>
                <c:pt idx="256">
                  <c:v>-0.24604380301303971</c:v>
                </c:pt>
                <c:pt idx="257">
                  <c:v>-0.25408279529055428</c:v>
                </c:pt>
                <c:pt idx="258">
                  <c:v>-0.24370173439675921</c:v>
                </c:pt>
                <c:pt idx="259">
                  <c:v>-0.24287884542347141</c:v>
                </c:pt>
                <c:pt idx="260">
                  <c:v>-0.24471452082542597</c:v>
                </c:pt>
                <c:pt idx="261">
                  <c:v>-0.25800734270160774</c:v>
                </c:pt>
                <c:pt idx="262">
                  <c:v>-0.25800734270160774</c:v>
                </c:pt>
                <c:pt idx="263">
                  <c:v>-0.25800734270160774</c:v>
                </c:pt>
                <c:pt idx="264">
                  <c:v>-0.25490568426383087</c:v>
                </c:pt>
                <c:pt idx="265">
                  <c:v>-0.23996708444107456</c:v>
                </c:pt>
                <c:pt idx="266">
                  <c:v>-0.25560197493353576</c:v>
                </c:pt>
                <c:pt idx="267">
                  <c:v>-0.25610836814787402</c:v>
                </c:pt>
                <c:pt idx="268">
                  <c:v>-0.24661349537916663</c:v>
                </c:pt>
                <c:pt idx="269">
                  <c:v>-0.24661349537916663</c:v>
                </c:pt>
                <c:pt idx="270">
                  <c:v>-0.24661349537916663</c:v>
                </c:pt>
                <c:pt idx="271">
                  <c:v>-0.25212052158501086</c:v>
                </c:pt>
                <c:pt idx="272">
                  <c:v>-0.24344853778959807</c:v>
                </c:pt>
                <c:pt idx="273">
                  <c:v>-0.24484111912900391</c:v>
                </c:pt>
                <c:pt idx="274">
                  <c:v>-0.24047347765540231</c:v>
                </c:pt>
                <c:pt idx="275">
                  <c:v>-0.24028358020002541</c:v>
                </c:pt>
                <c:pt idx="276">
                  <c:v>-0.24028358020002541</c:v>
                </c:pt>
                <c:pt idx="277">
                  <c:v>-0.24028358020002541</c:v>
                </c:pt>
                <c:pt idx="278">
                  <c:v>-0.24072667426256489</c:v>
                </c:pt>
                <c:pt idx="279">
                  <c:v>-0.23946069122673774</c:v>
                </c:pt>
                <c:pt idx="280">
                  <c:v>-0.19287251550829218</c:v>
                </c:pt>
                <c:pt idx="281">
                  <c:v>-0.19584757564248645</c:v>
                </c:pt>
                <c:pt idx="282">
                  <c:v>-0.18552981390049444</c:v>
                </c:pt>
                <c:pt idx="283">
                  <c:v>-0.18552981390049444</c:v>
                </c:pt>
                <c:pt idx="284">
                  <c:v>-0.18552981390049444</c:v>
                </c:pt>
                <c:pt idx="285">
                  <c:v>-0.20217749082162625</c:v>
                </c:pt>
                <c:pt idx="286">
                  <c:v>-0.19318901126724908</c:v>
                </c:pt>
                <c:pt idx="287">
                  <c:v>-0.20534244841119725</c:v>
                </c:pt>
                <c:pt idx="288">
                  <c:v>-0.19926572983922144</c:v>
                </c:pt>
                <c:pt idx="289">
                  <c:v>-0.19546778073174176</c:v>
                </c:pt>
                <c:pt idx="290">
                  <c:v>-0.19546778073174176</c:v>
                </c:pt>
                <c:pt idx="291">
                  <c:v>-0.19546778073174176</c:v>
                </c:pt>
                <c:pt idx="292">
                  <c:v>-0.19255601974933534</c:v>
                </c:pt>
                <c:pt idx="293">
                  <c:v>-0.19926572983922144</c:v>
                </c:pt>
                <c:pt idx="294">
                  <c:v>-0.2017976959108749</c:v>
                </c:pt>
                <c:pt idx="295">
                  <c:v>-0.18989745537410258</c:v>
                </c:pt>
                <c:pt idx="296">
                  <c:v>-0.1989492340802701</c:v>
                </c:pt>
                <c:pt idx="297">
                  <c:v>-0.1989492340802701</c:v>
                </c:pt>
                <c:pt idx="298">
                  <c:v>-0.1989492340802701</c:v>
                </c:pt>
                <c:pt idx="299">
                  <c:v>-0.1989492340802701</c:v>
                </c:pt>
                <c:pt idx="300">
                  <c:v>-0.22199012533232423</c:v>
                </c:pt>
                <c:pt idx="301">
                  <c:v>-0.23408026332447154</c:v>
                </c:pt>
                <c:pt idx="302">
                  <c:v>-0.22142043296620162</c:v>
                </c:pt>
                <c:pt idx="303">
                  <c:v>-0.23914419546778443</c:v>
                </c:pt>
                <c:pt idx="304">
                  <c:v>-0.23914419546778443</c:v>
                </c:pt>
                <c:pt idx="305">
                  <c:v>-0.23914419546778443</c:v>
                </c:pt>
                <c:pt idx="306">
                  <c:v>-0.21496391948348234</c:v>
                </c:pt>
                <c:pt idx="307">
                  <c:v>-0.23028231421698953</c:v>
                </c:pt>
                <c:pt idx="308">
                  <c:v>-0.30079756931257723</c:v>
                </c:pt>
                <c:pt idx="309">
                  <c:v>-0.24060007595898217</c:v>
                </c:pt>
                <c:pt idx="310">
                  <c:v>-0.22566147613621979</c:v>
                </c:pt>
                <c:pt idx="311">
                  <c:v>-0.22566147613621979</c:v>
                </c:pt>
                <c:pt idx="312">
                  <c:v>-0.22566147613621979</c:v>
                </c:pt>
                <c:pt idx="313">
                  <c:v>-0.21198885934928491</c:v>
                </c:pt>
                <c:pt idx="314">
                  <c:v>-0.20793771363463731</c:v>
                </c:pt>
                <c:pt idx="315">
                  <c:v>-0.21331814153690945</c:v>
                </c:pt>
                <c:pt idx="316">
                  <c:v>-0.2362324344853837</c:v>
                </c:pt>
                <c:pt idx="317">
                  <c:v>-0.20888720091150781</c:v>
                </c:pt>
                <c:pt idx="318">
                  <c:v>-0.20888720091150781</c:v>
                </c:pt>
                <c:pt idx="319">
                  <c:v>-0.20888720091150781</c:v>
                </c:pt>
                <c:pt idx="320">
                  <c:v>-0.22072414229649634</c:v>
                </c:pt>
                <c:pt idx="321">
                  <c:v>-0.25193062412963685</c:v>
                </c:pt>
                <c:pt idx="322">
                  <c:v>-0.2457273072540829</c:v>
                </c:pt>
                <c:pt idx="323">
                  <c:v>-0.24041017850360821</c:v>
                </c:pt>
                <c:pt idx="324">
                  <c:v>-0.24123306747690004</c:v>
                </c:pt>
                <c:pt idx="325">
                  <c:v>-0.24123306747690004</c:v>
                </c:pt>
                <c:pt idx="326">
                  <c:v>-0.24123306747690004</c:v>
                </c:pt>
                <c:pt idx="327">
                  <c:v>-0.26174199265729825</c:v>
                </c:pt>
                <c:pt idx="328">
                  <c:v>-0.27079377136346588</c:v>
                </c:pt>
                <c:pt idx="329">
                  <c:v>-0.26193189011267282</c:v>
                </c:pt>
                <c:pt idx="330">
                  <c:v>-0.26250158247879479</c:v>
                </c:pt>
                <c:pt idx="331">
                  <c:v>-0.23787821243195351</c:v>
                </c:pt>
                <c:pt idx="332">
                  <c:v>-0.23787821243195351</c:v>
                </c:pt>
                <c:pt idx="333">
                  <c:v>-0.23787821243195351</c:v>
                </c:pt>
                <c:pt idx="334">
                  <c:v>-0.20268388403595392</c:v>
                </c:pt>
                <c:pt idx="335">
                  <c:v>-0.20876060260792809</c:v>
                </c:pt>
                <c:pt idx="336">
                  <c:v>-0.20243068742878845</c:v>
                </c:pt>
                <c:pt idx="337">
                  <c:v>-0.20065831117863031</c:v>
                </c:pt>
                <c:pt idx="338">
                  <c:v>-0.19610077224964667</c:v>
                </c:pt>
                <c:pt idx="339">
                  <c:v>-0.19610077224964667</c:v>
                </c:pt>
                <c:pt idx="340">
                  <c:v>-0.19610077224964667</c:v>
                </c:pt>
                <c:pt idx="341">
                  <c:v>-0.18977085707051533</c:v>
                </c:pt>
                <c:pt idx="342">
                  <c:v>-0.17742752247119944</c:v>
                </c:pt>
                <c:pt idx="343">
                  <c:v>-0.16002025572857337</c:v>
                </c:pt>
                <c:pt idx="344">
                  <c:v>-0.15748828965692499</c:v>
                </c:pt>
                <c:pt idx="345">
                  <c:v>-0.13330801367261688</c:v>
                </c:pt>
                <c:pt idx="346">
                  <c:v>-0.13330801367261688</c:v>
                </c:pt>
                <c:pt idx="347">
                  <c:v>-0.13330801367261688</c:v>
                </c:pt>
                <c:pt idx="348">
                  <c:v>-0.1384985441195089</c:v>
                </c:pt>
                <c:pt idx="349">
                  <c:v>-0.13286491961007718</c:v>
                </c:pt>
                <c:pt idx="350">
                  <c:v>-0.14356247626281821</c:v>
                </c:pt>
                <c:pt idx="351">
                  <c:v>-0.11729332826940179</c:v>
                </c:pt>
                <c:pt idx="352">
                  <c:v>-9.7987086973034584E-2</c:v>
                </c:pt>
                <c:pt idx="353">
                  <c:v>-9.7987086973034584E-2</c:v>
                </c:pt>
                <c:pt idx="354">
                  <c:v>-9.7987086973034584E-2</c:v>
                </c:pt>
                <c:pt idx="355">
                  <c:v>-0.12058488416255232</c:v>
                </c:pt>
                <c:pt idx="356">
                  <c:v>-0.12058488416255232</c:v>
                </c:pt>
              </c:numCache>
            </c:numRef>
          </c:val>
        </c:ser>
        <c:ser>
          <c:idx val="1"/>
          <c:order val="1"/>
          <c:tx>
            <c:v>Новостные события</c:v>
          </c:tx>
          <c:spPr>
            <a:ln>
              <a:noFill/>
            </a:ln>
          </c:spPr>
          <c:marker>
            <c:symbol val="diamond"/>
            <c:size val="5"/>
            <c:spPr>
              <a:solidFill>
                <a:srgbClr val="FF0000"/>
              </a:solidFill>
              <a:ln>
                <a:solidFill>
                  <a:srgbClr val="FF0000"/>
                </a:solidFill>
              </a:ln>
            </c:spPr>
          </c:marker>
          <c:dLbls>
            <c:dLbl>
              <c:idx val="2"/>
              <c:tx>
                <c:rich>
                  <a:bodyPr/>
                  <a:lstStyle/>
                  <a:p>
                    <a:r>
                      <a:rPr lang="ru-RU" sz="800"/>
                      <a:t>1</a:t>
                    </a:r>
                    <a:r>
                      <a:rPr lang="ru-RU"/>
                      <a:t>.</a:t>
                    </a:r>
                    <a:endParaRPr lang="en-US"/>
                  </a:p>
                </c:rich>
              </c:tx>
              <c:dLblPos val="t"/>
              <c:showVal val="1"/>
            </c:dLbl>
            <c:dLbl>
              <c:idx val="17"/>
              <c:layout>
                <c:manualLayout>
                  <c:x val="-2.7709240641161308E-2"/>
                  <c:y val="3.3578932128702395E-2"/>
                </c:manualLayout>
              </c:layout>
              <c:tx>
                <c:rich>
                  <a:bodyPr/>
                  <a:lstStyle/>
                  <a:p>
                    <a:r>
                      <a:rPr lang="en-US"/>
                      <a:t>1.</a:t>
                    </a:r>
                  </a:p>
                </c:rich>
              </c:tx>
              <c:dLblPos val="r"/>
              <c:showVal val="1"/>
            </c:dLbl>
            <c:dLbl>
              <c:idx val="18"/>
              <c:tx>
                <c:rich>
                  <a:bodyPr/>
                  <a:lstStyle/>
                  <a:p>
                    <a:r>
                      <a:rPr lang="ru-RU" sz="800"/>
                      <a:t>2</a:t>
                    </a:r>
                    <a:r>
                      <a:rPr lang="ru-RU"/>
                      <a:t>.-4.</a:t>
                    </a:r>
                    <a:endParaRPr lang="en-US"/>
                  </a:p>
                </c:rich>
              </c:tx>
              <c:dLblPos val="t"/>
              <c:showVal val="1"/>
            </c:dLbl>
            <c:dLbl>
              <c:idx val="21"/>
              <c:tx>
                <c:rich>
                  <a:bodyPr/>
                  <a:lstStyle/>
                  <a:p>
                    <a:r>
                      <a:rPr lang="en-US"/>
                      <a:t>2.</a:t>
                    </a:r>
                  </a:p>
                </c:rich>
              </c:tx>
              <c:dLblPos val="t"/>
              <c:showVal val="1"/>
            </c:dLbl>
            <c:dLbl>
              <c:idx val="25"/>
              <c:tx>
                <c:rich>
                  <a:bodyPr/>
                  <a:lstStyle/>
                  <a:p>
                    <a:r>
                      <a:rPr lang="ru-RU" sz="800"/>
                      <a:t>5</a:t>
                    </a:r>
                    <a:r>
                      <a:rPr lang="ru-RU"/>
                      <a:t>.</a:t>
                    </a:r>
                    <a:endParaRPr lang="en-US"/>
                  </a:p>
                </c:rich>
              </c:tx>
              <c:dLblPos val="t"/>
              <c:showVal val="1"/>
            </c:dLbl>
            <c:dLbl>
              <c:idx val="28"/>
              <c:layout>
                <c:manualLayout>
                  <c:x val="-2.2931528873487241E-2"/>
                  <c:y val="-3.9436925953975452E-2"/>
                </c:manualLayout>
              </c:layout>
              <c:tx>
                <c:rich>
                  <a:bodyPr/>
                  <a:lstStyle/>
                  <a:p>
                    <a:r>
                      <a:rPr lang="en-US"/>
                      <a:t>3.</a:t>
                    </a:r>
                  </a:p>
                </c:rich>
              </c:tx>
              <c:dLblPos val="r"/>
              <c:showVal val="1"/>
            </c:dLbl>
            <c:dLbl>
              <c:idx val="31"/>
              <c:tx>
                <c:rich>
                  <a:bodyPr/>
                  <a:lstStyle/>
                  <a:p>
                    <a:r>
                      <a:rPr lang="ru-RU" sz="800"/>
                      <a:t>6</a:t>
                    </a:r>
                    <a:r>
                      <a:rPr lang="ru-RU"/>
                      <a:t>.</a:t>
                    </a:r>
                    <a:endParaRPr lang="en-US"/>
                  </a:p>
                </c:rich>
              </c:tx>
              <c:dLblPos val="t"/>
              <c:showVal val="1"/>
            </c:dLbl>
            <c:dLbl>
              <c:idx val="36"/>
              <c:delete val="1"/>
            </c:dLbl>
            <c:dLbl>
              <c:idx val="41"/>
              <c:layout>
                <c:manualLayout>
                  <c:x val="-3.4975649900206081E-2"/>
                  <c:y val="-8.5901562915681268E-2"/>
                </c:manualLayout>
              </c:layout>
              <c:tx>
                <c:rich>
                  <a:bodyPr/>
                  <a:lstStyle/>
                  <a:p>
                    <a:r>
                      <a:rPr lang="en-US"/>
                      <a:t>4.</a:t>
                    </a:r>
                  </a:p>
                </c:rich>
              </c:tx>
              <c:dLblPos val="r"/>
              <c:showVal val="1"/>
            </c:dLbl>
            <c:dLbl>
              <c:idx val="43"/>
              <c:delete val="1"/>
            </c:dLbl>
            <c:dLbl>
              <c:idx val="44"/>
              <c:tx>
                <c:rich>
                  <a:bodyPr/>
                  <a:lstStyle/>
                  <a:p>
                    <a:r>
                      <a:rPr lang="ru-RU" sz="800"/>
                      <a:t>7</a:t>
                    </a:r>
                    <a:r>
                      <a:rPr lang="ru-RU"/>
                      <a:t>.-8.</a:t>
                    </a:r>
                    <a:endParaRPr lang="en-US"/>
                  </a:p>
                </c:rich>
              </c:tx>
              <c:dLblPos val="t"/>
              <c:showVal val="1"/>
            </c:dLbl>
            <c:dLbl>
              <c:idx val="45"/>
              <c:tx>
                <c:rich>
                  <a:bodyPr/>
                  <a:lstStyle/>
                  <a:p>
                    <a:r>
                      <a:rPr lang="ru-RU" sz="800"/>
                      <a:t>9</a:t>
                    </a:r>
                    <a:r>
                      <a:rPr lang="ru-RU"/>
                      <a:t>.-10.</a:t>
                    </a:r>
                    <a:endParaRPr lang="en-US"/>
                  </a:p>
                </c:rich>
              </c:tx>
              <c:dLblPos val="t"/>
              <c:showVal val="1"/>
            </c:dLbl>
            <c:dLbl>
              <c:idx val="49"/>
              <c:layout>
                <c:manualLayout>
                  <c:x val="-5.9197014097026476E-2"/>
                  <c:y val="3.3578932128702346E-2"/>
                </c:manualLayout>
              </c:layout>
              <c:tx>
                <c:rich>
                  <a:bodyPr/>
                  <a:lstStyle/>
                  <a:p>
                    <a:r>
                      <a:rPr lang="en-US"/>
                      <a:t>5.-7.</a:t>
                    </a:r>
                  </a:p>
                </c:rich>
              </c:tx>
              <c:dLblPos val="r"/>
              <c:showVal val="1"/>
            </c:dLbl>
            <c:dLbl>
              <c:idx val="50"/>
              <c:tx>
                <c:rich>
                  <a:bodyPr/>
                  <a:lstStyle/>
                  <a:p>
                    <a:r>
                      <a:rPr lang="ru-RU" sz="800"/>
                      <a:t>1</a:t>
                    </a:r>
                    <a:r>
                      <a:rPr lang="ru-RU"/>
                      <a:t>1.-12.</a:t>
                    </a:r>
                    <a:endParaRPr lang="en-US"/>
                  </a:p>
                </c:rich>
              </c:tx>
              <c:dLblPos val="t"/>
              <c:showVal val="1"/>
            </c:dLbl>
            <c:dLbl>
              <c:idx val="51"/>
              <c:tx>
                <c:rich>
                  <a:bodyPr/>
                  <a:lstStyle/>
                  <a:p>
                    <a:r>
                      <a:rPr lang="ru-RU" sz="800"/>
                      <a:t>1</a:t>
                    </a:r>
                    <a:r>
                      <a:rPr lang="ru-RU"/>
                      <a:t>3.</a:t>
                    </a:r>
                    <a:endParaRPr lang="en-US"/>
                  </a:p>
                </c:rich>
              </c:tx>
              <c:dLblPos val="t"/>
              <c:showVal val="1"/>
            </c:dLbl>
            <c:dLbl>
              <c:idx val="52"/>
              <c:tx>
                <c:rich>
                  <a:bodyPr/>
                  <a:lstStyle/>
                  <a:p>
                    <a:r>
                      <a:rPr lang="ru-RU" sz="800"/>
                      <a:t>1</a:t>
                    </a:r>
                    <a:r>
                      <a:rPr lang="ru-RU"/>
                      <a:t>4.</a:t>
                    </a:r>
                    <a:endParaRPr lang="en-US"/>
                  </a:p>
                </c:rich>
              </c:tx>
              <c:dLblPos val="t"/>
              <c:showVal val="1"/>
            </c:dLbl>
            <c:dLbl>
              <c:idx val="57"/>
              <c:tx>
                <c:rich>
                  <a:bodyPr/>
                  <a:lstStyle/>
                  <a:p>
                    <a:r>
                      <a:rPr lang="ru-RU" sz="800"/>
                      <a:t>1</a:t>
                    </a:r>
                    <a:r>
                      <a:rPr lang="ru-RU"/>
                      <a:t>5.</a:t>
                    </a:r>
                    <a:endParaRPr lang="en-US"/>
                  </a:p>
                </c:rich>
              </c:tx>
              <c:dLblPos val="t"/>
              <c:showVal val="1"/>
            </c:dLbl>
            <c:dLbl>
              <c:idx val="58"/>
              <c:tx>
                <c:rich>
                  <a:bodyPr/>
                  <a:lstStyle/>
                  <a:p>
                    <a:r>
                      <a:rPr lang="ru-RU" sz="800"/>
                      <a:t>1</a:t>
                    </a:r>
                    <a:r>
                      <a:rPr lang="ru-RU"/>
                      <a:t>6.-17.</a:t>
                    </a:r>
                    <a:endParaRPr lang="en-US"/>
                  </a:p>
                </c:rich>
              </c:tx>
              <c:dLblPos val="t"/>
              <c:showVal val="1"/>
            </c:dLbl>
            <c:dLbl>
              <c:idx val="59"/>
              <c:tx>
                <c:rich>
                  <a:bodyPr/>
                  <a:lstStyle/>
                  <a:p>
                    <a:r>
                      <a:rPr lang="ru-RU" sz="800"/>
                      <a:t>1</a:t>
                    </a:r>
                    <a:r>
                      <a:rPr lang="ru-RU"/>
                      <a:t>8.-19.</a:t>
                    </a:r>
                    <a:endParaRPr lang="en-US"/>
                  </a:p>
                </c:rich>
              </c:tx>
              <c:dLblPos val="t"/>
              <c:showVal val="1"/>
            </c:dLbl>
            <c:dLbl>
              <c:idx val="62"/>
              <c:layout>
                <c:manualLayout>
                  <c:x val="-3.3734257305268335E-2"/>
                  <c:y val="-3.0210376614437082E-2"/>
                </c:manualLayout>
              </c:layout>
              <c:tx>
                <c:rich>
                  <a:bodyPr/>
                  <a:lstStyle/>
                  <a:p>
                    <a:r>
                      <a:rPr lang="en-US"/>
                      <a:t>8.</a:t>
                    </a:r>
                  </a:p>
                </c:rich>
              </c:tx>
              <c:dLblPos val="r"/>
              <c:showVal val="1"/>
            </c:dLbl>
            <c:dLbl>
              <c:idx val="65"/>
              <c:tx>
                <c:rich>
                  <a:bodyPr/>
                  <a:lstStyle/>
                  <a:p>
                    <a:r>
                      <a:rPr lang="ru-RU" sz="800"/>
                      <a:t>2</a:t>
                    </a:r>
                    <a:r>
                      <a:rPr lang="ru-RU"/>
                      <a:t>0.-22.</a:t>
                    </a:r>
                    <a:endParaRPr lang="en-US"/>
                  </a:p>
                </c:rich>
              </c:tx>
              <c:dLblPos val="t"/>
              <c:showVal val="1"/>
            </c:dLbl>
            <c:dLbl>
              <c:idx val="66"/>
              <c:tx>
                <c:rich>
                  <a:bodyPr/>
                  <a:lstStyle/>
                  <a:p>
                    <a:r>
                      <a:rPr lang="ru-RU" sz="800"/>
                      <a:t>2</a:t>
                    </a:r>
                    <a:r>
                      <a:rPr lang="ru-RU"/>
                      <a:t>3.-24.</a:t>
                    </a:r>
                    <a:endParaRPr lang="en-US"/>
                  </a:p>
                </c:rich>
              </c:tx>
              <c:dLblPos val="t"/>
              <c:showVal val="1"/>
            </c:dLbl>
            <c:dLbl>
              <c:idx val="71"/>
              <c:layout>
                <c:manualLayout>
                  <c:x val="-2.4045711626540896E-2"/>
                  <c:y val="-3.6848181894680504E-2"/>
                </c:manualLayout>
              </c:layout>
              <c:tx>
                <c:rich>
                  <a:bodyPr/>
                  <a:lstStyle/>
                  <a:p>
                    <a:r>
                      <a:rPr lang="en-US"/>
                      <a:t>9.</a:t>
                    </a:r>
                  </a:p>
                </c:rich>
              </c:tx>
              <c:dLblPos val="r"/>
              <c:showVal val="1"/>
            </c:dLbl>
            <c:dLbl>
              <c:idx val="72"/>
              <c:tx>
                <c:rich>
                  <a:bodyPr/>
                  <a:lstStyle/>
                  <a:p>
                    <a:pPr>
                      <a:defRPr sz="800"/>
                    </a:pPr>
                    <a:r>
                      <a:rPr lang="ru-RU" sz="800"/>
                      <a:t>2</a:t>
                    </a:r>
                    <a:r>
                      <a:rPr lang="ru-RU"/>
                      <a:t>5.-26.</a:t>
                    </a:r>
                    <a:endParaRPr lang="en-US"/>
                  </a:p>
                </c:rich>
              </c:tx>
              <c:spPr>
                <a:solidFill>
                  <a:sysClr val="window" lastClr="FFFFFF">
                    <a:alpha val="51000"/>
                  </a:sysClr>
                </a:solidFill>
              </c:spPr>
              <c:dLblPos val="t"/>
              <c:showVal val="1"/>
            </c:dLbl>
            <c:dLbl>
              <c:idx val="73"/>
              <c:tx>
                <c:rich>
                  <a:bodyPr/>
                  <a:lstStyle/>
                  <a:p>
                    <a:r>
                      <a:rPr lang="ru-RU" sz="800"/>
                      <a:t>2</a:t>
                    </a:r>
                    <a:r>
                      <a:rPr lang="ru-RU"/>
                      <a:t>7.-29.</a:t>
                    </a:r>
                    <a:endParaRPr lang="en-US"/>
                  </a:p>
                </c:rich>
              </c:tx>
              <c:dLblPos val="t"/>
              <c:showVal val="1"/>
            </c:dLbl>
            <c:dLbl>
              <c:idx val="76"/>
              <c:tx>
                <c:rich>
                  <a:bodyPr/>
                  <a:lstStyle/>
                  <a:p>
                    <a:r>
                      <a:rPr lang="ru-RU" sz="800"/>
                      <a:t>3</a:t>
                    </a:r>
                    <a:r>
                      <a:rPr lang="ru-RU"/>
                      <a:t>0.</a:t>
                    </a:r>
                    <a:endParaRPr lang="en-US"/>
                  </a:p>
                </c:rich>
              </c:tx>
              <c:dLblPos val="t"/>
              <c:showVal val="1"/>
            </c:dLbl>
            <c:dLbl>
              <c:idx val="77"/>
              <c:tx>
                <c:rich>
                  <a:bodyPr/>
                  <a:lstStyle/>
                  <a:p>
                    <a:pPr>
                      <a:defRPr sz="800"/>
                    </a:pPr>
                    <a:r>
                      <a:rPr lang="ru-RU" sz="800"/>
                      <a:t>3</a:t>
                    </a:r>
                    <a:r>
                      <a:rPr lang="ru-RU"/>
                      <a:t>1.</a:t>
                    </a:r>
                    <a:endParaRPr lang="en-US"/>
                  </a:p>
                </c:rich>
              </c:tx>
              <c:spPr>
                <a:solidFill>
                  <a:sysClr val="window" lastClr="FFFFFF">
                    <a:alpha val="51000"/>
                  </a:sysClr>
                </a:solidFill>
              </c:spPr>
              <c:dLblPos val="t"/>
              <c:showVal val="1"/>
            </c:dLbl>
            <c:dLbl>
              <c:idx val="78"/>
              <c:tx>
                <c:rich>
                  <a:bodyPr/>
                  <a:lstStyle/>
                  <a:p>
                    <a:r>
                      <a:rPr lang="ru-RU" sz="800"/>
                      <a:t>3</a:t>
                    </a:r>
                    <a:r>
                      <a:rPr lang="ru-RU"/>
                      <a:t>2.-33.</a:t>
                    </a:r>
                    <a:endParaRPr lang="en-US"/>
                  </a:p>
                </c:rich>
              </c:tx>
              <c:dLblPos val="t"/>
              <c:showVal val="1"/>
            </c:dLbl>
            <c:dLbl>
              <c:idx val="79"/>
              <c:tx>
                <c:rich>
                  <a:bodyPr/>
                  <a:lstStyle/>
                  <a:p>
                    <a:r>
                      <a:rPr lang="ru-RU" sz="800"/>
                      <a:t>3</a:t>
                    </a:r>
                    <a:r>
                      <a:rPr lang="ru-RU"/>
                      <a:t>4.</a:t>
                    </a:r>
                    <a:endParaRPr lang="en-US"/>
                  </a:p>
                </c:rich>
              </c:tx>
              <c:dLblPos val="t"/>
              <c:showVal val="1"/>
            </c:dLbl>
            <c:dLbl>
              <c:idx val="82"/>
              <c:tx>
                <c:rich>
                  <a:bodyPr/>
                  <a:lstStyle/>
                  <a:p>
                    <a:r>
                      <a:rPr lang="ru-RU" sz="800"/>
                      <a:t>3</a:t>
                    </a:r>
                    <a:r>
                      <a:rPr lang="ru-RU"/>
                      <a:t>6.</a:t>
                    </a:r>
                    <a:endParaRPr lang="en-US"/>
                  </a:p>
                </c:rich>
              </c:tx>
              <c:dLblPos val="t"/>
              <c:showVal val="1"/>
            </c:dLbl>
            <c:dLbl>
              <c:idx val="83"/>
              <c:tx>
                <c:rich>
                  <a:bodyPr/>
                  <a:lstStyle/>
                  <a:p>
                    <a:r>
                      <a:rPr lang="ru-RU" sz="800"/>
                      <a:t>3</a:t>
                    </a:r>
                    <a:r>
                      <a:rPr lang="ru-RU"/>
                      <a:t>5.</a:t>
                    </a:r>
                    <a:endParaRPr lang="en-US"/>
                  </a:p>
                </c:rich>
              </c:tx>
              <c:dLblPos val="t"/>
              <c:showVal val="1"/>
            </c:dLbl>
            <c:dLbl>
              <c:idx val="90"/>
              <c:layout>
                <c:manualLayout>
                  <c:x val="-4.4967057991096786E-2"/>
                  <c:y val="2.6941126848458972E-2"/>
                </c:manualLayout>
              </c:layout>
              <c:tx>
                <c:rich>
                  <a:bodyPr/>
                  <a:lstStyle/>
                  <a:p>
                    <a:r>
                      <a:rPr lang="en-US"/>
                      <a:t>10.</a:t>
                    </a:r>
                  </a:p>
                </c:rich>
              </c:tx>
              <c:dLblPos val="r"/>
              <c:showVal val="1"/>
            </c:dLbl>
            <c:dLbl>
              <c:idx val="104"/>
              <c:layout>
                <c:manualLayout>
                  <c:x val="-3.5587287026027439E-2"/>
                  <c:y val="2.694112684845891E-2"/>
                </c:manualLayout>
              </c:layout>
              <c:tx>
                <c:rich>
                  <a:bodyPr/>
                  <a:lstStyle/>
                  <a:p>
                    <a:r>
                      <a:rPr lang="en-US"/>
                      <a:t>11.</a:t>
                    </a:r>
                  </a:p>
                </c:rich>
              </c:tx>
              <c:dLblPos val="r"/>
              <c:showVal val="1"/>
            </c:dLbl>
            <c:dLbl>
              <c:idx val="107"/>
              <c:layout>
                <c:manualLayout>
                  <c:x val="-4.2544921571413409E-2"/>
                  <c:y val="-5.2712536514463885E-2"/>
                </c:manualLayout>
              </c:layout>
              <c:tx>
                <c:rich>
                  <a:bodyPr/>
                  <a:lstStyle/>
                  <a:p>
                    <a:r>
                      <a:rPr lang="en-US"/>
                      <a:t>12.-13.</a:t>
                    </a:r>
                  </a:p>
                </c:rich>
              </c:tx>
              <c:dLblPos val="r"/>
              <c:showVal val="1"/>
            </c:dLbl>
            <c:dLbl>
              <c:idx val="118"/>
              <c:layout>
                <c:manualLayout>
                  <c:x val="-3.2517276793930551E-2"/>
                  <c:y val="3.3578670797785794E-2"/>
                </c:manualLayout>
              </c:layout>
              <c:tx>
                <c:rich>
                  <a:bodyPr/>
                  <a:lstStyle/>
                  <a:p>
                    <a:r>
                      <a:rPr lang="en-US"/>
                      <a:t>14.</a:t>
                    </a:r>
                  </a:p>
                </c:rich>
              </c:tx>
              <c:dLblPos val="r"/>
              <c:showVal val="1"/>
            </c:dLbl>
            <c:dLbl>
              <c:idx val="128"/>
              <c:layout>
                <c:manualLayout>
                  <c:x val="-4.2544921571413409E-2"/>
                  <c:y val="-7.5944854995314337E-2"/>
                </c:manualLayout>
              </c:layout>
              <c:tx>
                <c:rich>
                  <a:bodyPr/>
                  <a:lstStyle/>
                  <a:p>
                    <a:pPr>
                      <a:defRPr sz="800"/>
                    </a:pPr>
                    <a:r>
                      <a:rPr lang="en-US"/>
                      <a:t>15.-16.</a:t>
                    </a:r>
                  </a:p>
                </c:rich>
              </c:tx>
              <c:spPr>
                <a:solidFill>
                  <a:sysClr val="window" lastClr="FFFFFF">
                    <a:alpha val="77000"/>
                  </a:sysClr>
                </a:solidFill>
              </c:spPr>
              <c:dLblPos val="r"/>
              <c:showVal val="1"/>
            </c:dLbl>
            <c:dLbl>
              <c:idx val="136"/>
              <c:layout>
                <c:manualLayout>
                  <c:x val="8.0111685282469747E-3"/>
                  <c:y val="-1.2885704833001705E-2"/>
                </c:manualLayout>
              </c:layout>
              <c:tx>
                <c:rich>
                  <a:bodyPr/>
                  <a:lstStyle/>
                  <a:p>
                    <a:r>
                      <a:rPr lang="en-US"/>
                      <a:t>18.</a:t>
                    </a:r>
                  </a:p>
                </c:rich>
              </c:tx>
              <c:dLblPos val="r"/>
              <c:showVal val="1"/>
            </c:dLbl>
            <c:dLbl>
              <c:idx val="146"/>
              <c:layout>
                <c:manualLayout>
                  <c:x val="-5.7386514803164937E-2"/>
                  <c:y val="1.3665254957055501E-2"/>
                </c:manualLayout>
              </c:layout>
              <c:tx>
                <c:rich>
                  <a:bodyPr/>
                  <a:lstStyle/>
                  <a:p>
                    <a:r>
                      <a:rPr lang="en-US"/>
                      <a:t>17.</a:t>
                    </a:r>
                  </a:p>
                </c:rich>
              </c:tx>
              <c:dLblPos val="r"/>
              <c:showVal val="1"/>
            </c:dLbl>
            <c:dLbl>
              <c:idx val="164"/>
              <c:layout>
                <c:manualLayout>
                  <c:x val="-5.2542241963799551E-2"/>
                  <c:y val="1.0346613647850321E-2"/>
                </c:manualLayout>
              </c:layout>
              <c:tx>
                <c:rich>
                  <a:bodyPr/>
                  <a:lstStyle/>
                  <a:p>
                    <a:r>
                      <a:rPr lang="en-US"/>
                      <a:t>19.</a:t>
                    </a:r>
                  </a:p>
                </c:rich>
              </c:tx>
              <c:dLblPos val="r"/>
              <c:showVal val="1"/>
            </c:dLbl>
            <c:dLbl>
              <c:idx val="169"/>
              <c:layout>
                <c:manualLayout>
                  <c:x val="-2.1054468507935381E-2"/>
                  <c:y val="2.694112684845891E-2"/>
                </c:manualLayout>
              </c:layout>
              <c:tx>
                <c:rich>
                  <a:bodyPr/>
                  <a:lstStyle/>
                  <a:p>
                    <a:r>
                      <a:rPr lang="en-US"/>
                      <a:t>20.</a:t>
                    </a:r>
                  </a:p>
                </c:rich>
              </c:tx>
              <c:dLblPos val="r"/>
              <c:showVal val="1"/>
            </c:dLbl>
            <c:dLbl>
              <c:idx val="192"/>
              <c:layout>
                <c:manualLayout>
                  <c:x val="-4.809161397248491E-2"/>
                  <c:y val="-5.6031439154584084E-2"/>
                </c:manualLayout>
              </c:layout>
              <c:tx>
                <c:rich>
                  <a:bodyPr/>
                  <a:lstStyle/>
                  <a:p>
                    <a:r>
                      <a:rPr lang="en-US"/>
                      <a:t>21.-22.</a:t>
                    </a:r>
                  </a:p>
                </c:rich>
              </c:tx>
              <c:dLblPos val="r"/>
              <c:showVal val="1"/>
            </c:dLbl>
            <c:dLbl>
              <c:idx val="225"/>
              <c:delete val="1"/>
            </c:dLbl>
            <c:dLbl>
              <c:idx val="226"/>
              <c:layout>
                <c:manualLayout>
                  <c:x val="-5.0513750392166774E-2"/>
                  <c:y val="-2.6161315393488576E-2"/>
                </c:manualLayout>
              </c:layout>
              <c:tx>
                <c:rich>
                  <a:bodyPr/>
                  <a:lstStyle/>
                  <a:p>
                    <a:r>
                      <a:rPr lang="en-US"/>
                      <a:t>23.-24.</a:t>
                    </a:r>
                  </a:p>
                </c:rich>
              </c:tx>
              <c:dLblPos val="r"/>
              <c:showVal val="1"/>
            </c:dLbl>
            <c:dLbl>
              <c:idx val="233"/>
              <c:layout>
                <c:manualLayout>
                  <c:x val="-7.918574258030002E-2"/>
                  <c:y val="5.6810989278637834E-2"/>
                </c:manualLayout>
              </c:layout>
              <c:tx>
                <c:rich>
                  <a:bodyPr/>
                  <a:lstStyle/>
                  <a:p>
                    <a:r>
                      <a:rPr lang="en-US"/>
                      <a:t>26.-27.</a:t>
                    </a:r>
                  </a:p>
                </c:rich>
              </c:tx>
              <c:dLblPos val="r"/>
              <c:showVal val="1"/>
            </c:dLbl>
            <c:dLbl>
              <c:idx val="234"/>
              <c:delete val="1"/>
            </c:dLbl>
            <c:dLbl>
              <c:idx val="240"/>
              <c:layout>
                <c:manualLayout>
                  <c:x val="-4.2853696285072122E-2"/>
                  <c:y val="-4.9393633874343749E-2"/>
                </c:manualLayout>
              </c:layout>
              <c:tx>
                <c:rich>
                  <a:bodyPr/>
                  <a:lstStyle/>
                  <a:p>
                    <a:r>
                      <a:rPr lang="en-US"/>
                      <a:t>25.</a:t>
                    </a:r>
                  </a:p>
                </c:rich>
              </c:tx>
              <c:dLblPos val="r"/>
              <c:showVal val="1"/>
            </c:dLbl>
            <c:dLbl>
              <c:idx val="241"/>
              <c:layout>
                <c:manualLayout>
                  <c:x val="-1.6773771504804977E-3"/>
                  <c:y val="-1.9523510113245542E-2"/>
                </c:manualLayout>
              </c:layout>
              <c:tx>
                <c:rich>
                  <a:bodyPr/>
                  <a:lstStyle/>
                  <a:p>
                    <a:r>
                      <a:rPr lang="en-US"/>
                      <a:t>32.-37.</a:t>
                    </a:r>
                  </a:p>
                </c:rich>
              </c:tx>
              <c:dLblPos val="r"/>
              <c:showVal val="1"/>
            </c:dLbl>
            <c:dLbl>
              <c:idx val="247"/>
              <c:layout>
                <c:manualLayout>
                  <c:x val="0.21631490062088701"/>
                  <c:y val="-8.2582660275557759E-2"/>
                </c:manualLayout>
              </c:layout>
              <c:tx>
                <c:rich>
                  <a:bodyPr/>
                  <a:lstStyle/>
                  <a:p>
                    <a:r>
                      <a:rPr lang="en-US"/>
                      <a:t>56.</a:t>
                    </a:r>
                  </a:p>
                </c:rich>
              </c:tx>
              <c:dLblPos val="r"/>
              <c:showVal val="1"/>
            </c:dLbl>
            <c:dLbl>
              <c:idx val="248"/>
              <c:delete val="1"/>
            </c:dLbl>
            <c:dLbl>
              <c:idx val="253"/>
              <c:layout>
                <c:manualLayout>
                  <c:x val="-5.2542241963799551E-2"/>
                  <c:y val="6.3449055889797795E-2"/>
                </c:manualLayout>
              </c:layout>
              <c:tx>
                <c:rich>
                  <a:bodyPr/>
                  <a:lstStyle/>
                  <a:p>
                    <a:r>
                      <a:rPr lang="en-US"/>
                      <a:t>28.-31.</a:t>
                    </a:r>
                  </a:p>
                </c:rich>
              </c:tx>
              <c:dLblPos val="r"/>
              <c:showVal val="1"/>
            </c:dLbl>
            <c:dLbl>
              <c:idx val="254"/>
              <c:delete val="1"/>
            </c:dLbl>
            <c:dLbl>
              <c:idx val="260"/>
              <c:layout>
                <c:manualLayout>
                  <c:x val="-2.8321068486384091E-2"/>
                  <c:y val="-4.2755828594097156E-2"/>
                </c:manualLayout>
              </c:layout>
              <c:tx>
                <c:rich>
                  <a:bodyPr/>
                  <a:lstStyle/>
                  <a:p>
                    <a:r>
                      <a:rPr lang="en-US"/>
                      <a:t>38.</a:t>
                    </a:r>
                  </a:p>
                </c:rich>
              </c:tx>
              <c:dLblPos val="r"/>
              <c:showVal val="1"/>
            </c:dLbl>
            <c:dLbl>
              <c:idx val="269"/>
              <c:layout>
                <c:manualLayout>
                  <c:x val="-8.9437864095263751E-3"/>
                  <c:y val="2.0303321568215616E-2"/>
                </c:manualLayout>
              </c:layout>
              <c:tx>
                <c:rich>
                  <a:bodyPr/>
                  <a:lstStyle/>
                  <a:p>
                    <a:r>
                      <a:rPr lang="en-US"/>
                      <a:t>39.-41.</a:t>
                    </a:r>
                  </a:p>
                </c:rich>
              </c:tx>
              <c:dLblPos val="r"/>
              <c:showVal val="1"/>
            </c:dLbl>
            <c:dLbl>
              <c:idx val="272"/>
              <c:layout>
                <c:manualLayout>
                  <c:x val="0.14607294445011304"/>
                  <c:y val="-2.2842412753367489E-2"/>
                </c:manualLayout>
              </c:layout>
              <c:tx>
                <c:rich>
                  <a:bodyPr/>
                  <a:lstStyle/>
                  <a:p>
                    <a:r>
                      <a:rPr lang="en-US"/>
                      <a:t>55.</a:t>
                    </a:r>
                  </a:p>
                </c:rich>
              </c:tx>
              <c:dLblPos val="r"/>
              <c:showVal val="1"/>
            </c:dLbl>
            <c:dLbl>
              <c:idx val="274"/>
              <c:delete val="1"/>
            </c:dLbl>
            <c:dLbl>
              <c:idx val="290"/>
              <c:layout>
                <c:manualLayout>
                  <c:x val="-4.2544921571413374E-2"/>
                  <c:y val="-3.6118284644770272E-2"/>
                </c:manualLayout>
              </c:layout>
              <c:tx>
                <c:rich>
                  <a:bodyPr/>
                  <a:lstStyle/>
                  <a:p>
                    <a:r>
                      <a:rPr lang="en-US"/>
                      <a:t>42.-43.</a:t>
                    </a:r>
                  </a:p>
                </c:rich>
              </c:tx>
              <c:dLblPos val="r"/>
              <c:showVal val="1"/>
            </c:dLbl>
            <c:dLbl>
              <c:idx val="294"/>
              <c:layout>
                <c:manualLayout>
                  <c:x val="1.5277577787292563E-2"/>
                  <c:y val="9.3319179650893258E-2"/>
                </c:manualLayout>
              </c:layout>
              <c:tx>
                <c:rich>
                  <a:bodyPr/>
                  <a:lstStyle/>
                  <a:p>
                    <a:pPr>
                      <a:defRPr sz="800"/>
                    </a:pPr>
                    <a:r>
                      <a:rPr lang="en-US"/>
                      <a:t>46.-50.</a:t>
                    </a:r>
                  </a:p>
                </c:rich>
              </c:tx>
              <c:spPr>
                <a:solidFill>
                  <a:sysClr val="window" lastClr="FFFFFF">
                    <a:alpha val="74000"/>
                  </a:sysClr>
                </a:solidFill>
              </c:spPr>
              <c:dLblPos val="r"/>
              <c:showVal val="1"/>
            </c:dLbl>
            <c:dLbl>
              <c:idx val="309"/>
              <c:delete val="1"/>
            </c:dLbl>
            <c:dLbl>
              <c:idx val="310"/>
              <c:delete val="1"/>
            </c:dLbl>
            <c:dLbl>
              <c:idx val="322"/>
              <c:delete val="1"/>
            </c:dLbl>
            <c:dLbl>
              <c:idx val="324"/>
              <c:delete val="1"/>
            </c:dLbl>
            <c:dLbl>
              <c:idx val="329"/>
              <c:layout>
                <c:manualLayout>
                  <c:x val="-7.6763606160618433E-2"/>
                  <c:y val="-0.10249607611629079"/>
                </c:manualLayout>
              </c:layout>
              <c:tx>
                <c:rich>
                  <a:bodyPr/>
                  <a:lstStyle/>
                  <a:p>
                    <a:r>
                      <a:rPr lang="en-US"/>
                      <a:t>45.</a:t>
                    </a:r>
                  </a:p>
                </c:rich>
              </c:tx>
              <c:dLblPos val="r"/>
              <c:showVal val="1"/>
            </c:dLbl>
            <c:dLbl>
              <c:idx val="331"/>
              <c:layout>
                <c:manualLayout>
                  <c:x val="-8.3452898505811932E-2"/>
                  <c:y val="7.0086861170041523E-2"/>
                </c:manualLayout>
              </c:layout>
              <c:tx>
                <c:rich>
                  <a:bodyPr/>
                  <a:lstStyle/>
                  <a:p>
                    <a:r>
                      <a:rPr lang="en-US"/>
                      <a:t>44.</a:t>
                    </a:r>
                  </a:p>
                </c:rich>
              </c:tx>
              <c:dLblPos val="r"/>
              <c:showVal val="1"/>
            </c:dLbl>
            <c:dLbl>
              <c:idx val="332"/>
              <c:delete val="1"/>
            </c:dLbl>
            <c:dLbl>
              <c:idx val="335"/>
              <c:layout>
                <c:manualLayout>
                  <c:x val="-2.0041748477345089E-2"/>
                  <c:y val="9.9956984931136708E-2"/>
                </c:manualLayout>
              </c:layout>
              <c:tx>
                <c:rich>
                  <a:bodyPr/>
                  <a:lstStyle/>
                  <a:p>
                    <a:r>
                      <a:rPr lang="en-US"/>
                      <a:t>51.-54.</a:t>
                    </a:r>
                  </a:p>
                </c:rich>
              </c:tx>
              <c:dLblPos val="r"/>
              <c:showVal val="1"/>
            </c:dLbl>
            <c:dLbl>
              <c:idx val="350"/>
              <c:layout>
                <c:manualLayout>
                  <c:x val="-3.5671775721612002E-2"/>
                  <c:y val="-2.9480479364526899E-2"/>
                </c:manualLayout>
              </c:layout>
              <c:tx>
                <c:rich>
                  <a:bodyPr/>
                  <a:lstStyle/>
                  <a:p>
                    <a:r>
                      <a:rPr lang="en-US"/>
                      <a:t>57.</a:t>
                    </a:r>
                  </a:p>
                </c:rich>
              </c:tx>
              <c:dLblPos val="r"/>
              <c:showVal val="1"/>
            </c:dLbl>
            <c:txPr>
              <a:bodyPr/>
              <a:lstStyle/>
              <a:p>
                <a:pPr>
                  <a:defRPr sz="800"/>
                </a:pPr>
                <a:endParaRPr lang="ru-RU"/>
              </a:p>
            </c:txPr>
            <c:dLblPos val="t"/>
            <c:showVal val="1"/>
          </c:dLbls>
          <c:cat>
            <c:numRef>
              <c:f>'год 2013'!$AD$7:$AD$363</c:f>
              <c:numCache>
                <c:formatCode>dd/mm/yyyy</c:formatCode>
                <c:ptCount val="357"/>
                <c:pt idx="0">
                  <c:v>41282</c:v>
                </c:pt>
                <c:pt idx="1">
                  <c:v>41283</c:v>
                </c:pt>
                <c:pt idx="2">
                  <c:v>41284</c:v>
                </c:pt>
                <c:pt idx="3">
                  <c:v>41285</c:v>
                </c:pt>
                <c:pt idx="4">
                  <c:v>41286</c:v>
                </c:pt>
                <c:pt idx="5">
                  <c:v>41287</c:v>
                </c:pt>
                <c:pt idx="6">
                  <c:v>41288</c:v>
                </c:pt>
                <c:pt idx="7">
                  <c:v>41289</c:v>
                </c:pt>
                <c:pt idx="8">
                  <c:v>41290</c:v>
                </c:pt>
                <c:pt idx="9">
                  <c:v>41291</c:v>
                </c:pt>
                <c:pt idx="10">
                  <c:v>41292</c:v>
                </c:pt>
                <c:pt idx="11">
                  <c:v>41293</c:v>
                </c:pt>
                <c:pt idx="12">
                  <c:v>41294</c:v>
                </c:pt>
                <c:pt idx="13">
                  <c:v>41295</c:v>
                </c:pt>
                <c:pt idx="14">
                  <c:v>41296</c:v>
                </c:pt>
                <c:pt idx="15">
                  <c:v>41297</c:v>
                </c:pt>
                <c:pt idx="16">
                  <c:v>41298</c:v>
                </c:pt>
                <c:pt idx="17">
                  <c:v>41299</c:v>
                </c:pt>
                <c:pt idx="18">
                  <c:v>41300</c:v>
                </c:pt>
                <c:pt idx="19">
                  <c:v>41301</c:v>
                </c:pt>
                <c:pt idx="20">
                  <c:v>41302</c:v>
                </c:pt>
                <c:pt idx="21">
                  <c:v>41303</c:v>
                </c:pt>
                <c:pt idx="22">
                  <c:v>41304</c:v>
                </c:pt>
                <c:pt idx="23">
                  <c:v>41305</c:v>
                </c:pt>
                <c:pt idx="24">
                  <c:v>41306</c:v>
                </c:pt>
                <c:pt idx="25">
                  <c:v>41307</c:v>
                </c:pt>
                <c:pt idx="26">
                  <c:v>41308</c:v>
                </c:pt>
                <c:pt idx="27">
                  <c:v>41309</c:v>
                </c:pt>
                <c:pt idx="28">
                  <c:v>41310</c:v>
                </c:pt>
                <c:pt idx="29">
                  <c:v>41311</c:v>
                </c:pt>
                <c:pt idx="30">
                  <c:v>41312</c:v>
                </c:pt>
                <c:pt idx="31">
                  <c:v>41313</c:v>
                </c:pt>
                <c:pt idx="32">
                  <c:v>41314</c:v>
                </c:pt>
                <c:pt idx="33">
                  <c:v>41315</c:v>
                </c:pt>
                <c:pt idx="34">
                  <c:v>41316</c:v>
                </c:pt>
                <c:pt idx="35">
                  <c:v>41317</c:v>
                </c:pt>
                <c:pt idx="36">
                  <c:v>41318</c:v>
                </c:pt>
                <c:pt idx="37">
                  <c:v>41319</c:v>
                </c:pt>
                <c:pt idx="38">
                  <c:v>41320</c:v>
                </c:pt>
                <c:pt idx="39">
                  <c:v>41321</c:v>
                </c:pt>
                <c:pt idx="40">
                  <c:v>41322</c:v>
                </c:pt>
                <c:pt idx="41">
                  <c:v>41323</c:v>
                </c:pt>
                <c:pt idx="42">
                  <c:v>41324</c:v>
                </c:pt>
                <c:pt idx="43">
                  <c:v>41325</c:v>
                </c:pt>
                <c:pt idx="44">
                  <c:v>41326</c:v>
                </c:pt>
                <c:pt idx="45">
                  <c:v>41327</c:v>
                </c:pt>
                <c:pt idx="46">
                  <c:v>41328</c:v>
                </c:pt>
                <c:pt idx="47">
                  <c:v>41329</c:v>
                </c:pt>
                <c:pt idx="48">
                  <c:v>41330</c:v>
                </c:pt>
                <c:pt idx="49">
                  <c:v>41331</c:v>
                </c:pt>
                <c:pt idx="50">
                  <c:v>41332</c:v>
                </c:pt>
                <c:pt idx="51">
                  <c:v>41333</c:v>
                </c:pt>
                <c:pt idx="52">
                  <c:v>41334</c:v>
                </c:pt>
                <c:pt idx="53">
                  <c:v>41335</c:v>
                </c:pt>
                <c:pt idx="54">
                  <c:v>41336</c:v>
                </c:pt>
                <c:pt idx="55">
                  <c:v>41337</c:v>
                </c:pt>
                <c:pt idx="56">
                  <c:v>41338</c:v>
                </c:pt>
                <c:pt idx="57">
                  <c:v>41339</c:v>
                </c:pt>
                <c:pt idx="58">
                  <c:v>41340</c:v>
                </c:pt>
                <c:pt idx="59">
                  <c:v>41341</c:v>
                </c:pt>
                <c:pt idx="60">
                  <c:v>41342</c:v>
                </c:pt>
                <c:pt idx="61">
                  <c:v>41343</c:v>
                </c:pt>
                <c:pt idx="62">
                  <c:v>41344</c:v>
                </c:pt>
                <c:pt idx="63">
                  <c:v>41345</c:v>
                </c:pt>
                <c:pt idx="64">
                  <c:v>41346</c:v>
                </c:pt>
                <c:pt idx="65">
                  <c:v>41347</c:v>
                </c:pt>
                <c:pt idx="66">
                  <c:v>41348</c:v>
                </c:pt>
                <c:pt idx="67">
                  <c:v>41349</c:v>
                </c:pt>
                <c:pt idx="68">
                  <c:v>41350</c:v>
                </c:pt>
                <c:pt idx="69">
                  <c:v>41351</c:v>
                </c:pt>
                <c:pt idx="70">
                  <c:v>41352</c:v>
                </c:pt>
                <c:pt idx="71">
                  <c:v>41353</c:v>
                </c:pt>
                <c:pt idx="72">
                  <c:v>41354</c:v>
                </c:pt>
                <c:pt idx="73">
                  <c:v>41355</c:v>
                </c:pt>
                <c:pt idx="74">
                  <c:v>41356</c:v>
                </c:pt>
                <c:pt idx="75">
                  <c:v>41357</c:v>
                </c:pt>
                <c:pt idx="76">
                  <c:v>41358</c:v>
                </c:pt>
                <c:pt idx="77">
                  <c:v>41359</c:v>
                </c:pt>
                <c:pt idx="78">
                  <c:v>41360</c:v>
                </c:pt>
                <c:pt idx="79">
                  <c:v>41361</c:v>
                </c:pt>
                <c:pt idx="80">
                  <c:v>41362</c:v>
                </c:pt>
                <c:pt idx="81">
                  <c:v>41363</c:v>
                </c:pt>
                <c:pt idx="82">
                  <c:v>41364</c:v>
                </c:pt>
                <c:pt idx="83">
                  <c:v>41365</c:v>
                </c:pt>
                <c:pt idx="84">
                  <c:v>41366</c:v>
                </c:pt>
                <c:pt idx="85">
                  <c:v>41367</c:v>
                </c:pt>
                <c:pt idx="86">
                  <c:v>41368</c:v>
                </c:pt>
                <c:pt idx="87">
                  <c:v>41369</c:v>
                </c:pt>
                <c:pt idx="88">
                  <c:v>41370</c:v>
                </c:pt>
                <c:pt idx="89">
                  <c:v>41371</c:v>
                </c:pt>
                <c:pt idx="90">
                  <c:v>41372</c:v>
                </c:pt>
                <c:pt idx="91">
                  <c:v>41373</c:v>
                </c:pt>
                <c:pt idx="92">
                  <c:v>41374</c:v>
                </c:pt>
                <c:pt idx="93">
                  <c:v>41375</c:v>
                </c:pt>
                <c:pt idx="94">
                  <c:v>41376</c:v>
                </c:pt>
                <c:pt idx="95">
                  <c:v>41377</c:v>
                </c:pt>
                <c:pt idx="96">
                  <c:v>41378</c:v>
                </c:pt>
                <c:pt idx="97">
                  <c:v>41379</c:v>
                </c:pt>
                <c:pt idx="98">
                  <c:v>41380</c:v>
                </c:pt>
                <c:pt idx="99">
                  <c:v>41381</c:v>
                </c:pt>
                <c:pt idx="100">
                  <c:v>41382</c:v>
                </c:pt>
                <c:pt idx="101">
                  <c:v>41383</c:v>
                </c:pt>
                <c:pt idx="102">
                  <c:v>41384</c:v>
                </c:pt>
                <c:pt idx="103">
                  <c:v>41385</c:v>
                </c:pt>
                <c:pt idx="104">
                  <c:v>41386</c:v>
                </c:pt>
                <c:pt idx="105">
                  <c:v>41387</c:v>
                </c:pt>
                <c:pt idx="106">
                  <c:v>41388</c:v>
                </c:pt>
                <c:pt idx="107">
                  <c:v>41389</c:v>
                </c:pt>
                <c:pt idx="108">
                  <c:v>41390</c:v>
                </c:pt>
                <c:pt idx="109">
                  <c:v>41391</c:v>
                </c:pt>
                <c:pt idx="110">
                  <c:v>41392</c:v>
                </c:pt>
                <c:pt idx="111">
                  <c:v>41393</c:v>
                </c:pt>
                <c:pt idx="112">
                  <c:v>41394</c:v>
                </c:pt>
                <c:pt idx="113">
                  <c:v>41395</c:v>
                </c:pt>
                <c:pt idx="114">
                  <c:v>41396</c:v>
                </c:pt>
                <c:pt idx="115">
                  <c:v>41397</c:v>
                </c:pt>
                <c:pt idx="116">
                  <c:v>41398</c:v>
                </c:pt>
                <c:pt idx="117">
                  <c:v>41399</c:v>
                </c:pt>
                <c:pt idx="118">
                  <c:v>41400</c:v>
                </c:pt>
                <c:pt idx="119">
                  <c:v>41401</c:v>
                </c:pt>
                <c:pt idx="120">
                  <c:v>41402</c:v>
                </c:pt>
                <c:pt idx="121">
                  <c:v>41403</c:v>
                </c:pt>
                <c:pt idx="122">
                  <c:v>41404</c:v>
                </c:pt>
                <c:pt idx="123">
                  <c:v>41405</c:v>
                </c:pt>
                <c:pt idx="124">
                  <c:v>41406</c:v>
                </c:pt>
                <c:pt idx="125">
                  <c:v>41407</c:v>
                </c:pt>
                <c:pt idx="126">
                  <c:v>41408</c:v>
                </c:pt>
                <c:pt idx="127">
                  <c:v>41409</c:v>
                </c:pt>
                <c:pt idx="128">
                  <c:v>41410</c:v>
                </c:pt>
                <c:pt idx="129">
                  <c:v>41411</c:v>
                </c:pt>
                <c:pt idx="130">
                  <c:v>41412</c:v>
                </c:pt>
                <c:pt idx="131">
                  <c:v>41413</c:v>
                </c:pt>
                <c:pt idx="132">
                  <c:v>41414</c:v>
                </c:pt>
                <c:pt idx="133">
                  <c:v>41415</c:v>
                </c:pt>
                <c:pt idx="134">
                  <c:v>41416</c:v>
                </c:pt>
                <c:pt idx="135">
                  <c:v>41417</c:v>
                </c:pt>
                <c:pt idx="136">
                  <c:v>41418</c:v>
                </c:pt>
                <c:pt idx="137">
                  <c:v>41419</c:v>
                </c:pt>
                <c:pt idx="138">
                  <c:v>41420</c:v>
                </c:pt>
                <c:pt idx="139">
                  <c:v>41421</c:v>
                </c:pt>
                <c:pt idx="140">
                  <c:v>41422</c:v>
                </c:pt>
                <c:pt idx="141">
                  <c:v>41423</c:v>
                </c:pt>
                <c:pt idx="142">
                  <c:v>41424</c:v>
                </c:pt>
                <c:pt idx="143">
                  <c:v>41425</c:v>
                </c:pt>
                <c:pt idx="144">
                  <c:v>41426</c:v>
                </c:pt>
                <c:pt idx="145">
                  <c:v>41427</c:v>
                </c:pt>
                <c:pt idx="146">
                  <c:v>41428</c:v>
                </c:pt>
                <c:pt idx="147">
                  <c:v>41429</c:v>
                </c:pt>
                <c:pt idx="148">
                  <c:v>41430</c:v>
                </c:pt>
                <c:pt idx="149">
                  <c:v>41431</c:v>
                </c:pt>
                <c:pt idx="150">
                  <c:v>41432</c:v>
                </c:pt>
                <c:pt idx="151">
                  <c:v>41433</c:v>
                </c:pt>
                <c:pt idx="152">
                  <c:v>41434</c:v>
                </c:pt>
                <c:pt idx="153">
                  <c:v>41435</c:v>
                </c:pt>
                <c:pt idx="154">
                  <c:v>41436</c:v>
                </c:pt>
                <c:pt idx="155">
                  <c:v>41437</c:v>
                </c:pt>
                <c:pt idx="156">
                  <c:v>41438</c:v>
                </c:pt>
                <c:pt idx="157">
                  <c:v>41439</c:v>
                </c:pt>
                <c:pt idx="158">
                  <c:v>41440</c:v>
                </c:pt>
                <c:pt idx="159">
                  <c:v>41441</c:v>
                </c:pt>
                <c:pt idx="160">
                  <c:v>41442</c:v>
                </c:pt>
                <c:pt idx="161">
                  <c:v>41443</c:v>
                </c:pt>
                <c:pt idx="162">
                  <c:v>41444</c:v>
                </c:pt>
                <c:pt idx="163">
                  <c:v>41445</c:v>
                </c:pt>
                <c:pt idx="164">
                  <c:v>41446</c:v>
                </c:pt>
                <c:pt idx="165">
                  <c:v>41447</c:v>
                </c:pt>
                <c:pt idx="166">
                  <c:v>41448</c:v>
                </c:pt>
                <c:pt idx="167">
                  <c:v>41449</c:v>
                </c:pt>
                <c:pt idx="168">
                  <c:v>41450</c:v>
                </c:pt>
                <c:pt idx="169">
                  <c:v>41451</c:v>
                </c:pt>
                <c:pt idx="170">
                  <c:v>41452</c:v>
                </c:pt>
                <c:pt idx="171">
                  <c:v>41453</c:v>
                </c:pt>
                <c:pt idx="172">
                  <c:v>41454</c:v>
                </c:pt>
                <c:pt idx="173">
                  <c:v>41455</c:v>
                </c:pt>
                <c:pt idx="174">
                  <c:v>41456</c:v>
                </c:pt>
                <c:pt idx="175">
                  <c:v>41457</c:v>
                </c:pt>
                <c:pt idx="176">
                  <c:v>41458</c:v>
                </c:pt>
                <c:pt idx="177">
                  <c:v>41459</c:v>
                </c:pt>
                <c:pt idx="178">
                  <c:v>41460</c:v>
                </c:pt>
                <c:pt idx="179">
                  <c:v>41461</c:v>
                </c:pt>
                <c:pt idx="180">
                  <c:v>41462</c:v>
                </c:pt>
                <c:pt idx="181">
                  <c:v>41463</c:v>
                </c:pt>
                <c:pt idx="182">
                  <c:v>41464</c:v>
                </c:pt>
                <c:pt idx="183">
                  <c:v>41465</c:v>
                </c:pt>
                <c:pt idx="184">
                  <c:v>41466</c:v>
                </c:pt>
                <c:pt idx="185">
                  <c:v>41467</c:v>
                </c:pt>
                <c:pt idx="186">
                  <c:v>41468</c:v>
                </c:pt>
                <c:pt idx="187">
                  <c:v>41469</c:v>
                </c:pt>
                <c:pt idx="188">
                  <c:v>41470</c:v>
                </c:pt>
                <c:pt idx="189">
                  <c:v>41471</c:v>
                </c:pt>
                <c:pt idx="190">
                  <c:v>41472</c:v>
                </c:pt>
                <c:pt idx="191">
                  <c:v>41473</c:v>
                </c:pt>
                <c:pt idx="192">
                  <c:v>41474</c:v>
                </c:pt>
                <c:pt idx="193">
                  <c:v>41475</c:v>
                </c:pt>
                <c:pt idx="194">
                  <c:v>41476</c:v>
                </c:pt>
                <c:pt idx="195">
                  <c:v>41477</c:v>
                </c:pt>
                <c:pt idx="196">
                  <c:v>41478</c:v>
                </c:pt>
                <c:pt idx="197">
                  <c:v>41479</c:v>
                </c:pt>
                <c:pt idx="198">
                  <c:v>41480</c:v>
                </c:pt>
                <c:pt idx="199">
                  <c:v>41481</c:v>
                </c:pt>
                <c:pt idx="200">
                  <c:v>41482</c:v>
                </c:pt>
                <c:pt idx="201">
                  <c:v>41483</c:v>
                </c:pt>
                <c:pt idx="202">
                  <c:v>41484</c:v>
                </c:pt>
                <c:pt idx="203">
                  <c:v>41485</c:v>
                </c:pt>
                <c:pt idx="204">
                  <c:v>41486</c:v>
                </c:pt>
                <c:pt idx="205">
                  <c:v>41487</c:v>
                </c:pt>
                <c:pt idx="206">
                  <c:v>41488</c:v>
                </c:pt>
                <c:pt idx="207">
                  <c:v>41489</c:v>
                </c:pt>
                <c:pt idx="208">
                  <c:v>41490</c:v>
                </c:pt>
                <c:pt idx="209">
                  <c:v>41491</c:v>
                </c:pt>
                <c:pt idx="210">
                  <c:v>41492</c:v>
                </c:pt>
                <c:pt idx="211">
                  <c:v>41493</c:v>
                </c:pt>
                <c:pt idx="212">
                  <c:v>41494</c:v>
                </c:pt>
                <c:pt idx="213">
                  <c:v>41495</c:v>
                </c:pt>
                <c:pt idx="214">
                  <c:v>41496</c:v>
                </c:pt>
                <c:pt idx="215">
                  <c:v>41497</c:v>
                </c:pt>
                <c:pt idx="216">
                  <c:v>41498</c:v>
                </c:pt>
                <c:pt idx="217">
                  <c:v>41499</c:v>
                </c:pt>
                <c:pt idx="218">
                  <c:v>41500</c:v>
                </c:pt>
                <c:pt idx="219">
                  <c:v>41501</c:v>
                </c:pt>
                <c:pt idx="220">
                  <c:v>41502</c:v>
                </c:pt>
                <c:pt idx="221">
                  <c:v>41503</c:v>
                </c:pt>
                <c:pt idx="222">
                  <c:v>41504</c:v>
                </c:pt>
                <c:pt idx="223">
                  <c:v>41505</c:v>
                </c:pt>
                <c:pt idx="224">
                  <c:v>41506</c:v>
                </c:pt>
                <c:pt idx="225">
                  <c:v>41507</c:v>
                </c:pt>
                <c:pt idx="226">
                  <c:v>41508</c:v>
                </c:pt>
                <c:pt idx="227">
                  <c:v>41509</c:v>
                </c:pt>
                <c:pt idx="228">
                  <c:v>41510</c:v>
                </c:pt>
                <c:pt idx="229">
                  <c:v>41511</c:v>
                </c:pt>
                <c:pt idx="230">
                  <c:v>41512</c:v>
                </c:pt>
                <c:pt idx="231">
                  <c:v>41513</c:v>
                </c:pt>
                <c:pt idx="232">
                  <c:v>41514</c:v>
                </c:pt>
                <c:pt idx="233">
                  <c:v>41515</c:v>
                </c:pt>
                <c:pt idx="234">
                  <c:v>41516</c:v>
                </c:pt>
                <c:pt idx="235">
                  <c:v>41517</c:v>
                </c:pt>
                <c:pt idx="236">
                  <c:v>41518</c:v>
                </c:pt>
                <c:pt idx="237">
                  <c:v>41519</c:v>
                </c:pt>
                <c:pt idx="238">
                  <c:v>41520</c:v>
                </c:pt>
                <c:pt idx="239">
                  <c:v>41521</c:v>
                </c:pt>
                <c:pt idx="240">
                  <c:v>41522</c:v>
                </c:pt>
                <c:pt idx="241">
                  <c:v>41523</c:v>
                </c:pt>
                <c:pt idx="242">
                  <c:v>41524</c:v>
                </c:pt>
                <c:pt idx="243">
                  <c:v>41525</c:v>
                </c:pt>
                <c:pt idx="244">
                  <c:v>41526</c:v>
                </c:pt>
                <c:pt idx="245">
                  <c:v>41527</c:v>
                </c:pt>
                <c:pt idx="246">
                  <c:v>41528</c:v>
                </c:pt>
                <c:pt idx="247">
                  <c:v>41529</c:v>
                </c:pt>
                <c:pt idx="248">
                  <c:v>41530</c:v>
                </c:pt>
                <c:pt idx="249">
                  <c:v>41531</c:v>
                </c:pt>
                <c:pt idx="250">
                  <c:v>41532</c:v>
                </c:pt>
                <c:pt idx="251">
                  <c:v>41533</c:v>
                </c:pt>
                <c:pt idx="252">
                  <c:v>41534</c:v>
                </c:pt>
                <c:pt idx="253">
                  <c:v>41535</c:v>
                </c:pt>
                <c:pt idx="254">
                  <c:v>41536</c:v>
                </c:pt>
                <c:pt idx="255">
                  <c:v>41537</c:v>
                </c:pt>
                <c:pt idx="256">
                  <c:v>41538</c:v>
                </c:pt>
                <c:pt idx="257">
                  <c:v>41539</c:v>
                </c:pt>
                <c:pt idx="258">
                  <c:v>41540</c:v>
                </c:pt>
                <c:pt idx="259">
                  <c:v>41541</c:v>
                </c:pt>
                <c:pt idx="260">
                  <c:v>41542</c:v>
                </c:pt>
                <c:pt idx="261">
                  <c:v>41543</c:v>
                </c:pt>
                <c:pt idx="262">
                  <c:v>41544</c:v>
                </c:pt>
                <c:pt idx="263">
                  <c:v>41545</c:v>
                </c:pt>
                <c:pt idx="264">
                  <c:v>41546</c:v>
                </c:pt>
                <c:pt idx="265">
                  <c:v>41547</c:v>
                </c:pt>
                <c:pt idx="266">
                  <c:v>41548</c:v>
                </c:pt>
                <c:pt idx="267">
                  <c:v>41549</c:v>
                </c:pt>
                <c:pt idx="268">
                  <c:v>41550</c:v>
                </c:pt>
                <c:pt idx="269">
                  <c:v>41551</c:v>
                </c:pt>
                <c:pt idx="270">
                  <c:v>41552</c:v>
                </c:pt>
                <c:pt idx="271">
                  <c:v>41553</c:v>
                </c:pt>
                <c:pt idx="272">
                  <c:v>41554</c:v>
                </c:pt>
                <c:pt idx="273">
                  <c:v>41555</c:v>
                </c:pt>
                <c:pt idx="274">
                  <c:v>41556</c:v>
                </c:pt>
                <c:pt idx="275">
                  <c:v>41557</c:v>
                </c:pt>
                <c:pt idx="276">
                  <c:v>41558</c:v>
                </c:pt>
                <c:pt idx="277">
                  <c:v>41559</c:v>
                </c:pt>
                <c:pt idx="278">
                  <c:v>41560</c:v>
                </c:pt>
                <c:pt idx="279">
                  <c:v>41561</c:v>
                </c:pt>
                <c:pt idx="280">
                  <c:v>41562</c:v>
                </c:pt>
                <c:pt idx="281">
                  <c:v>41563</c:v>
                </c:pt>
                <c:pt idx="282">
                  <c:v>41564</c:v>
                </c:pt>
                <c:pt idx="283">
                  <c:v>41565</c:v>
                </c:pt>
                <c:pt idx="284">
                  <c:v>41566</c:v>
                </c:pt>
                <c:pt idx="285">
                  <c:v>41567</c:v>
                </c:pt>
                <c:pt idx="286">
                  <c:v>41568</c:v>
                </c:pt>
                <c:pt idx="287">
                  <c:v>41569</c:v>
                </c:pt>
                <c:pt idx="288">
                  <c:v>41570</c:v>
                </c:pt>
                <c:pt idx="289">
                  <c:v>41571</c:v>
                </c:pt>
                <c:pt idx="290">
                  <c:v>41572</c:v>
                </c:pt>
                <c:pt idx="291">
                  <c:v>41573</c:v>
                </c:pt>
                <c:pt idx="292">
                  <c:v>41574</c:v>
                </c:pt>
                <c:pt idx="293">
                  <c:v>41575</c:v>
                </c:pt>
                <c:pt idx="294">
                  <c:v>41576</c:v>
                </c:pt>
                <c:pt idx="295">
                  <c:v>41577</c:v>
                </c:pt>
                <c:pt idx="296">
                  <c:v>41578</c:v>
                </c:pt>
                <c:pt idx="297">
                  <c:v>41579</c:v>
                </c:pt>
                <c:pt idx="298">
                  <c:v>41580</c:v>
                </c:pt>
                <c:pt idx="299">
                  <c:v>41581</c:v>
                </c:pt>
                <c:pt idx="300">
                  <c:v>41582</c:v>
                </c:pt>
                <c:pt idx="301">
                  <c:v>41583</c:v>
                </c:pt>
                <c:pt idx="302">
                  <c:v>41584</c:v>
                </c:pt>
                <c:pt idx="303">
                  <c:v>41585</c:v>
                </c:pt>
                <c:pt idx="304">
                  <c:v>41586</c:v>
                </c:pt>
                <c:pt idx="305">
                  <c:v>41587</c:v>
                </c:pt>
                <c:pt idx="306">
                  <c:v>41588</c:v>
                </c:pt>
                <c:pt idx="307">
                  <c:v>41589</c:v>
                </c:pt>
                <c:pt idx="308">
                  <c:v>41590</c:v>
                </c:pt>
                <c:pt idx="309">
                  <c:v>41591</c:v>
                </c:pt>
                <c:pt idx="310">
                  <c:v>41592</c:v>
                </c:pt>
                <c:pt idx="311">
                  <c:v>41593</c:v>
                </c:pt>
                <c:pt idx="312">
                  <c:v>41594</c:v>
                </c:pt>
                <c:pt idx="313">
                  <c:v>41595</c:v>
                </c:pt>
                <c:pt idx="314">
                  <c:v>41596</c:v>
                </c:pt>
                <c:pt idx="315">
                  <c:v>41597</c:v>
                </c:pt>
                <c:pt idx="316">
                  <c:v>41598</c:v>
                </c:pt>
                <c:pt idx="317">
                  <c:v>41599</c:v>
                </c:pt>
                <c:pt idx="318">
                  <c:v>41600</c:v>
                </c:pt>
                <c:pt idx="319">
                  <c:v>41601</c:v>
                </c:pt>
                <c:pt idx="320">
                  <c:v>41602</c:v>
                </c:pt>
                <c:pt idx="321">
                  <c:v>41603</c:v>
                </c:pt>
                <c:pt idx="322">
                  <c:v>41604</c:v>
                </c:pt>
                <c:pt idx="323">
                  <c:v>41605</c:v>
                </c:pt>
                <c:pt idx="324">
                  <c:v>41606</c:v>
                </c:pt>
                <c:pt idx="325">
                  <c:v>41607</c:v>
                </c:pt>
                <c:pt idx="326">
                  <c:v>41608</c:v>
                </c:pt>
                <c:pt idx="327">
                  <c:v>41609</c:v>
                </c:pt>
                <c:pt idx="328">
                  <c:v>41610</c:v>
                </c:pt>
                <c:pt idx="329">
                  <c:v>41611</c:v>
                </c:pt>
                <c:pt idx="330">
                  <c:v>41612</c:v>
                </c:pt>
                <c:pt idx="331">
                  <c:v>41613</c:v>
                </c:pt>
                <c:pt idx="332">
                  <c:v>41614</c:v>
                </c:pt>
                <c:pt idx="333">
                  <c:v>41615</c:v>
                </c:pt>
                <c:pt idx="334">
                  <c:v>41616</c:v>
                </c:pt>
                <c:pt idx="335">
                  <c:v>41617</c:v>
                </c:pt>
                <c:pt idx="336">
                  <c:v>41618</c:v>
                </c:pt>
                <c:pt idx="337">
                  <c:v>41619</c:v>
                </c:pt>
                <c:pt idx="338">
                  <c:v>41620</c:v>
                </c:pt>
                <c:pt idx="339">
                  <c:v>41621</c:v>
                </c:pt>
                <c:pt idx="340">
                  <c:v>41622</c:v>
                </c:pt>
                <c:pt idx="341">
                  <c:v>41623</c:v>
                </c:pt>
                <c:pt idx="342">
                  <c:v>41624</c:v>
                </c:pt>
                <c:pt idx="343">
                  <c:v>41625</c:v>
                </c:pt>
                <c:pt idx="344">
                  <c:v>41626</c:v>
                </c:pt>
                <c:pt idx="345">
                  <c:v>41627</c:v>
                </c:pt>
                <c:pt idx="346">
                  <c:v>41628</c:v>
                </c:pt>
                <c:pt idx="347">
                  <c:v>41629</c:v>
                </c:pt>
                <c:pt idx="348">
                  <c:v>41630</c:v>
                </c:pt>
                <c:pt idx="349">
                  <c:v>41631</c:v>
                </c:pt>
                <c:pt idx="350">
                  <c:v>41632</c:v>
                </c:pt>
                <c:pt idx="351">
                  <c:v>41633</c:v>
                </c:pt>
                <c:pt idx="352">
                  <c:v>41634</c:v>
                </c:pt>
                <c:pt idx="353">
                  <c:v>41635</c:v>
                </c:pt>
                <c:pt idx="354">
                  <c:v>41636</c:v>
                </c:pt>
                <c:pt idx="355">
                  <c:v>41637</c:v>
                </c:pt>
                <c:pt idx="356">
                  <c:v>41638</c:v>
                </c:pt>
              </c:numCache>
            </c:numRef>
          </c:cat>
          <c:val>
            <c:numRef>
              <c:f>'год 2013'!$AJ$7:$AJ$363</c:f>
              <c:numCache>
                <c:formatCode>General</c:formatCode>
                <c:ptCount val="357"/>
                <c:pt idx="17" formatCode="0.00%">
                  <c:v>9.5075325990635423E-2</c:v>
                </c:pt>
                <c:pt idx="21" formatCode="0.00%">
                  <c:v>0.13007975693125687</c:v>
                </c:pt>
                <c:pt idx="28" formatCode="0.00%">
                  <c:v>0.10444360045575422</c:v>
                </c:pt>
                <c:pt idx="36" formatCode="0.00%">
                  <c:v>9.5075325990635423E-2</c:v>
                </c:pt>
                <c:pt idx="41" formatCode="0.00%">
                  <c:v>5.7159134067603423E-2</c:v>
                </c:pt>
                <c:pt idx="43" formatCode="0.00%">
                  <c:v>6.4058741612862402E-2</c:v>
                </c:pt>
                <c:pt idx="49" formatCode="0.00%">
                  <c:v>6.4691733130775933E-2</c:v>
                </c:pt>
                <c:pt idx="62" formatCode="0.00%">
                  <c:v>3.0193695404481472E-2</c:v>
                </c:pt>
                <c:pt idx="71" formatCode="0.00%">
                  <c:v>2.7978225091783802E-2</c:v>
                </c:pt>
                <c:pt idx="90" formatCode="0.00%">
                  <c:v>-0.10596278009874682</c:v>
                </c:pt>
                <c:pt idx="104" formatCode="0.00%">
                  <c:v>-0.17711102671224221</c:v>
                </c:pt>
                <c:pt idx="107" formatCode="0.00%">
                  <c:v>-0.14546145081656403</c:v>
                </c:pt>
                <c:pt idx="118" formatCode="0.00%">
                  <c:v>-0.15153816938853026</c:v>
                </c:pt>
                <c:pt idx="128" formatCode="0.00%">
                  <c:v>-0.14153690340549868</c:v>
                </c:pt>
                <c:pt idx="136" formatCode="0.00%">
                  <c:v>-0.14951259653121096</c:v>
                </c:pt>
                <c:pt idx="146" formatCode="0.00%">
                  <c:v>-0.15748828965692499</c:v>
                </c:pt>
                <c:pt idx="164" formatCode="0.00%">
                  <c:v>-0.23395366502088877</c:v>
                </c:pt>
                <c:pt idx="169" formatCode="0.00%">
                  <c:v>-0.22585137359159391</c:v>
                </c:pt>
                <c:pt idx="192" formatCode="0.00%">
                  <c:v>-0.19249272059754396</c:v>
                </c:pt>
                <c:pt idx="225" formatCode="0.00%">
                  <c:v>-0.21319154323332079</c:v>
                </c:pt>
                <c:pt idx="226" formatCode="0.00%">
                  <c:v>-0.22869983542220879</c:v>
                </c:pt>
                <c:pt idx="233" formatCode="0.00%">
                  <c:v>-0.29744271426763591</c:v>
                </c:pt>
                <c:pt idx="234" formatCode="0.00%">
                  <c:v>-0.29744271426763591</c:v>
                </c:pt>
                <c:pt idx="240" formatCode="0.00%">
                  <c:v>-0.29408785922269587</c:v>
                </c:pt>
                <c:pt idx="241" formatCode="0.00%">
                  <c:v>-0.29408785922269587</c:v>
                </c:pt>
                <c:pt idx="247" formatCode="0.00%">
                  <c:v>-0.27079377136346588</c:v>
                </c:pt>
                <c:pt idx="248" formatCode="0.00%">
                  <c:v>-0.27079377136346588</c:v>
                </c:pt>
                <c:pt idx="253" formatCode="0.00%">
                  <c:v>-0.25307000886188136</c:v>
                </c:pt>
                <c:pt idx="254" formatCode="0.00%">
                  <c:v>-0.24604380301303971</c:v>
                </c:pt>
                <c:pt idx="260" formatCode="0.00%">
                  <c:v>-0.24471452082542597</c:v>
                </c:pt>
                <c:pt idx="269" formatCode="0.00%">
                  <c:v>-0.24661349537916663</c:v>
                </c:pt>
                <c:pt idx="272" formatCode="0.00%">
                  <c:v>-0.24344853778959807</c:v>
                </c:pt>
                <c:pt idx="274" formatCode="0.00%">
                  <c:v>-0.24047347765540231</c:v>
                </c:pt>
                <c:pt idx="290" formatCode="0.00%">
                  <c:v>-0.19546778073174176</c:v>
                </c:pt>
                <c:pt idx="294" formatCode="0.00%">
                  <c:v>-0.2017976959108749</c:v>
                </c:pt>
                <c:pt idx="309" formatCode="0.00%">
                  <c:v>-0.24060007595898217</c:v>
                </c:pt>
                <c:pt idx="310" formatCode="0.00%">
                  <c:v>-0.22566147613621979</c:v>
                </c:pt>
                <c:pt idx="322" formatCode="0.00%">
                  <c:v>-0.2457273072540829</c:v>
                </c:pt>
                <c:pt idx="324" formatCode="0.00%">
                  <c:v>-0.24123306747690004</c:v>
                </c:pt>
                <c:pt idx="329" formatCode="0.00%">
                  <c:v>-0.26193189011267282</c:v>
                </c:pt>
                <c:pt idx="331" formatCode="0.00%">
                  <c:v>-0.23787821243195351</c:v>
                </c:pt>
                <c:pt idx="332" formatCode="0.00%">
                  <c:v>-0.23787821243195351</c:v>
                </c:pt>
                <c:pt idx="335" formatCode="0.00%">
                  <c:v>-0.20876060260792809</c:v>
                </c:pt>
                <c:pt idx="350" formatCode="0.00%">
                  <c:v>-0.14356247626281821</c:v>
                </c:pt>
              </c:numCache>
            </c:numRef>
          </c:val>
        </c:ser>
        <c:ser>
          <c:idx val="2"/>
          <c:order val="2"/>
          <c:tx>
            <c:strRef>
              <c:f>'год 2013'!$AH$5</c:f>
              <c:strCache>
                <c:ptCount val="1"/>
                <c:pt idx="0">
                  <c:v>Индекс ММВБ</c:v>
                </c:pt>
              </c:strCache>
            </c:strRef>
          </c:tx>
          <c:marker>
            <c:symbol val="none"/>
          </c:marker>
          <c:val>
            <c:numRef>
              <c:f>'год 2013'!$AH$7:$AH$363</c:f>
              <c:numCache>
                <c:formatCode>0.00%</c:formatCode>
                <c:ptCount val="357"/>
                <c:pt idx="0">
                  <c:v>0</c:v>
                </c:pt>
                <c:pt idx="1">
                  <c:v>7.855718831280003E-4</c:v>
                </c:pt>
                <c:pt idx="2">
                  <c:v>-5.0567064073619014E-3</c:v>
                </c:pt>
                <c:pt idx="3">
                  <c:v>-2.6273748696216152E-3</c:v>
                </c:pt>
                <c:pt idx="4">
                  <c:v>-2.6273748696216152E-3</c:v>
                </c:pt>
                <c:pt idx="5">
                  <c:v>-2.6273748696216152E-3</c:v>
                </c:pt>
                <c:pt idx="6">
                  <c:v>9.0175730449821856E-3</c:v>
                </c:pt>
                <c:pt idx="7">
                  <c:v>2.8386210902953292E-4</c:v>
                </c:pt>
                <c:pt idx="8">
                  <c:v>2.6405777584061615E-5</c:v>
                </c:pt>
                <c:pt idx="9">
                  <c:v>5.8884884012622533E-3</c:v>
                </c:pt>
                <c:pt idx="10">
                  <c:v>1.6985516430995121E-2</c:v>
                </c:pt>
                <c:pt idx="11">
                  <c:v>1.6985516430995121E-2</c:v>
                </c:pt>
                <c:pt idx="12">
                  <c:v>1.6985516430995121E-2</c:v>
                </c:pt>
                <c:pt idx="13">
                  <c:v>1.5077699000541456E-2</c:v>
                </c:pt>
                <c:pt idx="14">
                  <c:v>6.9579223934199E-3</c:v>
                </c:pt>
                <c:pt idx="15">
                  <c:v>1.4965474445809123E-2</c:v>
                </c:pt>
                <c:pt idx="16">
                  <c:v>1.2509737130484089E-2</c:v>
                </c:pt>
                <c:pt idx="17">
                  <c:v>1.9276217636418961E-2</c:v>
                </c:pt>
                <c:pt idx="18">
                  <c:v>1.9276217636418961E-2</c:v>
                </c:pt>
                <c:pt idx="19">
                  <c:v>1.9276217636418961E-2</c:v>
                </c:pt>
                <c:pt idx="20">
                  <c:v>3.1759548989319798E-2</c:v>
                </c:pt>
                <c:pt idx="21">
                  <c:v>2.3058845275346192E-2</c:v>
                </c:pt>
                <c:pt idx="22">
                  <c:v>1.8886732417053003E-2</c:v>
                </c:pt>
                <c:pt idx="23">
                  <c:v>2.1085013400932252E-2</c:v>
                </c:pt>
                <c:pt idx="24">
                  <c:v>2.1388679843149742E-2</c:v>
                </c:pt>
                <c:pt idx="25">
                  <c:v>2.1388679843149742E-2</c:v>
                </c:pt>
                <c:pt idx="26">
                  <c:v>2.1388679843149742E-2</c:v>
                </c:pt>
                <c:pt idx="27">
                  <c:v>1.3552765345057977E-2</c:v>
                </c:pt>
                <c:pt idx="28">
                  <c:v>1.6860088987470385E-2</c:v>
                </c:pt>
                <c:pt idx="29">
                  <c:v>1.0271847480228798E-2</c:v>
                </c:pt>
                <c:pt idx="30">
                  <c:v>7.3011975020137124E-3</c:v>
                </c:pt>
                <c:pt idx="31">
                  <c:v>3.3601351975814648E-3</c:v>
                </c:pt>
                <c:pt idx="32">
                  <c:v>3.3601351975814648E-3</c:v>
                </c:pt>
                <c:pt idx="33">
                  <c:v>3.3601351975814648E-3</c:v>
                </c:pt>
                <c:pt idx="34">
                  <c:v>7.0635455037582073E-4</c:v>
                </c:pt>
                <c:pt idx="35">
                  <c:v>-1.8418029864934234E-3</c:v>
                </c:pt>
                <c:pt idx="36">
                  <c:v>1.5255937999234304E-2</c:v>
                </c:pt>
                <c:pt idx="37">
                  <c:v>2.9046355342550192E-3</c:v>
                </c:pt>
                <c:pt idx="38">
                  <c:v>-4.3899605233623934E-3</c:v>
                </c:pt>
                <c:pt idx="39">
                  <c:v>-4.3899605233623934E-3</c:v>
                </c:pt>
                <c:pt idx="40">
                  <c:v>-4.3899605233623934E-3</c:v>
                </c:pt>
                <c:pt idx="41">
                  <c:v>-2.9508456450271225E-3</c:v>
                </c:pt>
                <c:pt idx="42">
                  <c:v>5.1953367396786474E-3</c:v>
                </c:pt>
                <c:pt idx="43">
                  <c:v>-2.2576939834434442E-3</c:v>
                </c:pt>
                <c:pt idx="44">
                  <c:v>-1.3935649120027427E-2</c:v>
                </c:pt>
                <c:pt idx="45">
                  <c:v>-1.2021230245177861E-2</c:v>
                </c:pt>
                <c:pt idx="46">
                  <c:v>-1.2021230245177861E-2</c:v>
                </c:pt>
                <c:pt idx="47">
                  <c:v>-1.2021230245177861E-2</c:v>
                </c:pt>
                <c:pt idx="48">
                  <c:v>-7.3672119459737024E-3</c:v>
                </c:pt>
                <c:pt idx="49">
                  <c:v>-1.9903354854041943E-2</c:v>
                </c:pt>
                <c:pt idx="50">
                  <c:v>-1.8252993755033531E-2</c:v>
                </c:pt>
                <c:pt idx="51">
                  <c:v>-1.8998956971785438E-2</c:v>
                </c:pt>
                <c:pt idx="52">
                  <c:v>-2.7250762466828515E-2</c:v>
                </c:pt>
                <c:pt idx="53">
                  <c:v>-2.7250762466828515E-2</c:v>
                </c:pt>
                <c:pt idx="54">
                  <c:v>-2.7250762466828515E-2</c:v>
                </c:pt>
                <c:pt idx="55">
                  <c:v>-3.3251475422823307E-2</c:v>
                </c:pt>
                <c:pt idx="56">
                  <c:v>-2.0200419851863601E-2</c:v>
                </c:pt>
                <c:pt idx="57">
                  <c:v>-1.5401169775946967E-2</c:v>
                </c:pt>
                <c:pt idx="58">
                  <c:v>-1.549358999749152E-2</c:v>
                </c:pt>
                <c:pt idx="59">
                  <c:v>-1.549358999749152E-2</c:v>
                </c:pt>
                <c:pt idx="60">
                  <c:v>-1.549358999749152E-2</c:v>
                </c:pt>
                <c:pt idx="61">
                  <c:v>-1.549358999749152E-2</c:v>
                </c:pt>
                <c:pt idx="62">
                  <c:v>-7.1097556145284504E-3</c:v>
                </c:pt>
                <c:pt idx="63">
                  <c:v>-8.6214863812201798E-3</c:v>
                </c:pt>
                <c:pt idx="64">
                  <c:v>-1.2179664910682448E-2</c:v>
                </c:pt>
                <c:pt idx="65">
                  <c:v>-1.0463289367713881E-2</c:v>
                </c:pt>
                <c:pt idx="66">
                  <c:v>-1.301144690458278E-2</c:v>
                </c:pt>
                <c:pt idx="67">
                  <c:v>-1.301144690458278E-2</c:v>
                </c:pt>
                <c:pt idx="68">
                  <c:v>-1.301144690458278E-2</c:v>
                </c:pt>
                <c:pt idx="69">
                  <c:v>-3.4327510859376034E-2</c:v>
                </c:pt>
                <c:pt idx="70">
                  <c:v>-4.3318678126774084E-2</c:v>
                </c:pt>
                <c:pt idx="71">
                  <c:v>-3.6829458285472801E-2</c:v>
                </c:pt>
                <c:pt idx="72">
                  <c:v>-3.6704030841948176E-2</c:v>
                </c:pt>
                <c:pt idx="73">
                  <c:v>-4.8494210533264782E-2</c:v>
                </c:pt>
                <c:pt idx="74">
                  <c:v>-4.8494210533264782E-2</c:v>
                </c:pt>
                <c:pt idx="75">
                  <c:v>-4.8494210533264782E-2</c:v>
                </c:pt>
                <c:pt idx="76">
                  <c:v>-5.7010073804150081E-2</c:v>
                </c:pt>
                <c:pt idx="77">
                  <c:v>-6.4575329082003141E-2</c:v>
                </c:pt>
                <c:pt idx="78">
                  <c:v>-5.9294173565175967E-2</c:v>
                </c:pt>
                <c:pt idx="79">
                  <c:v>-5.3234047609616919E-2</c:v>
                </c:pt>
                <c:pt idx="80">
                  <c:v>-5.0336013519758194E-2</c:v>
                </c:pt>
                <c:pt idx="81">
                  <c:v>-5.0336013519758194E-2</c:v>
                </c:pt>
                <c:pt idx="82">
                  <c:v>-5.0336013519758194E-2</c:v>
                </c:pt>
                <c:pt idx="83">
                  <c:v>-5.7003472359752422E-2</c:v>
                </c:pt>
                <c:pt idx="84">
                  <c:v>-5.5795408035278514E-2</c:v>
                </c:pt>
                <c:pt idx="85">
                  <c:v>-5.7353348912742033E-2</c:v>
                </c:pt>
                <c:pt idx="86">
                  <c:v>-5.8059703463117715E-2</c:v>
                </c:pt>
                <c:pt idx="87">
                  <c:v>-6.4779973858281936E-2</c:v>
                </c:pt>
                <c:pt idx="88">
                  <c:v>-6.4779973858281936E-2</c:v>
                </c:pt>
                <c:pt idx="89">
                  <c:v>-6.4779973858281936E-2</c:v>
                </c:pt>
                <c:pt idx="90">
                  <c:v>-7.0153549596651765E-2</c:v>
                </c:pt>
                <c:pt idx="91">
                  <c:v>-5.8970702789770346E-2</c:v>
                </c:pt>
                <c:pt idx="92">
                  <c:v>-5.8964101345374331E-2</c:v>
                </c:pt>
                <c:pt idx="93">
                  <c:v>-7.4655734674746912E-2</c:v>
                </c:pt>
                <c:pt idx="94">
                  <c:v>-8.5145429820044707E-2</c:v>
                </c:pt>
                <c:pt idx="95">
                  <c:v>-8.5145429820044707E-2</c:v>
                </c:pt>
                <c:pt idx="96">
                  <c:v>-8.5145429820044707E-2</c:v>
                </c:pt>
                <c:pt idx="97">
                  <c:v>-0.10240820691567309</c:v>
                </c:pt>
                <c:pt idx="98">
                  <c:v>-0.10724046421357022</c:v>
                </c:pt>
                <c:pt idx="99">
                  <c:v>-0.11811964457823607</c:v>
                </c:pt>
                <c:pt idx="100">
                  <c:v>-0.118568542797164</c:v>
                </c:pt>
                <c:pt idx="101">
                  <c:v>-0.11644287770164109</c:v>
                </c:pt>
                <c:pt idx="102">
                  <c:v>-0.11644287770164109</c:v>
                </c:pt>
                <c:pt idx="103">
                  <c:v>-0.11644287770164109</c:v>
                </c:pt>
                <c:pt idx="104">
                  <c:v>-0.11749250736061267</c:v>
                </c:pt>
                <c:pt idx="105">
                  <c:v>-0.11546586393102799</c:v>
                </c:pt>
                <c:pt idx="106">
                  <c:v>-9.0974505221742566E-2</c:v>
                </c:pt>
                <c:pt idx="107">
                  <c:v>-9.4149799976234738E-2</c:v>
                </c:pt>
                <c:pt idx="108">
                  <c:v>-9.4255423086571768E-2</c:v>
                </c:pt>
                <c:pt idx="109">
                  <c:v>-9.4255423086571768E-2</c:v>
                </c:pt>
                <c:pt idx="110">
                  <c:v>-9.4255423086571768E-2</c:v>
                </c:pt>
                <c:pt idx="111">
                  <c:v>-0.10050699092961562</c:v>
                </c:pt>
                <c:pt idx="112">
                  <c:v>-8.5119024042460426E-2</c:v>
                </c:pt>
                <c:pt idx="113">
                  <c:v>-8.5119024042460426E-2</c:v>
                </c:pt>
                <c:pt idx="114">
                  <c:v>-9.1271570219563988E-2</c:v>
                </c:pt>
                <c:pt idx="115">
                  <c:v>-7.0496824705247124E-2</c:v>
                </c:pt>
                <c:pt idx="116">
                  <c:v>-7.0496824705247124E-2</c:v>
                </c:pt>
                <c:pt idx="117">
                  <c:v>-7.0496824705247124E-2</c:v>
                </c:pt>
                <c:pt idx="118">
                  <c:v>-6.6932044731387141E-2</c:v>
                </c:pt>
                <c:pt idx="119">
                  <c:v>-5.5874625368030464E-2</c:v>
                </c:pt>
                <c:pt idx="120">
                  <c:v>-5.4052626714727027E-2</c:v>
                </c:pt>
                <c:pt idx="121">
                  <c:v>-5.4052626714727027E-2</c:v>
                </c:pt>
                <c:pt idx="122">
                  <c:v>-5.8468993015672023E-2</c:v>
                </c:pt>
                <c:pt idx="123">
                  <c:v>-5.8468993015672023E-2</c:v>
                </c:pt>
                <c:pt idx="124">
                  <c:v>-5.8468993015672023E-2</c:v>
                </c:pt>
                <c:pt idx="125">
                  <c:v>-6.4905401301804791E-2</c:v>
                </c:pt>
                <c:pt idx="126">
                  <c:v>-7.1995352583145156E-2</c:v>
                </c:pt>
                <c:pt idx="127">
                  <c:v>-8.1092142960881727E-2</c:v>
                </c:pt>
                <c:pt idx="128">
                  <c:v>-9.3192590538811265E-2</c:v>
                </c:pt>
                <c:pt idx="129">
                  <c:v>-7.4616126008370823E-2</c:v>
                </c:pt>
                <c:pt idx="130">
                  <c:v>-7.4616126008370823E-2</c:v>
                </c:pt>
                <c:pt idx="131">
                  <c:v>-7.4616126008370823E-2</c:v>
                </c:pt>
                <c:pt idx="132">
                  <c:v>-7.1269193699581498E-2</c:v>
                </c:pt>
                <c:pt idx="133">
                  <c:v>-6.0621063888778859E-2</c:v>
                </c:pt>
                <c:pt idx="134">
                  <c:v>-4.3833590789664652E-2</c:v>
                </c:pt>
                <c:pt idx="135">
                  <c:v>-7.7837630873637709E-2</c:v>
                </c:pt>
                <c:pt idx="136">
                  <c:v>-8.8419746240477326E-2</c:v>
                </c:pt>
                <c:pt idx="137">
                  <c:v>-8.8419746240477326E-2</c:v>
                </c:pt>
                <c:pt idx="138">
                  <c:v>-8.8419746240477326E-2</c:v>
                </c:pt>
                <c:pt idx="139">
                  <c:v>-9.0129520339051764E-2</c:v>
                </c:pt>
                <c:pt idx="140">
                  <c:v>-7.7302913877558013E-2</c:v>
                </c:pt>
                <c:pt idx="141">
                  <c:v>-0.10125955559076143</c:v>
                </c:pt>
                <c:pt idx="142">
                  <c:v>-0.10137178014549575</c:v>
                </c:pt>
                <c:pt idx="143">
                  <c:v>-0.10869278198070105</c:v>
                </c:pt>
                <c:pt idx="144">
                  <c:v>-0.10869278198070105</c:v>
                </c:pt>
                <c:pt idx="145">
                  <c:v>-0.10869278198070105</c:v>
                </c:pt>
                <c:pt idx="146">
                  <c:v>-0.11712282647443427</c:v>
                </c:pt>
                <c:pt idx="147">
                  <c:v>-0.11433701693930441</c:v>
                </c:pt>
                <c:pt idx="148">
                  <c:v>-0.12413356042302272</c:v>
                </c:pt>
                <c:pt idx="149">
                  <c:v>-0.13064258459750991</c:v>
                </c:pt>
                <c:pt idx="150">
                  <c:v>-0.11283188761701045</c:v>
                </c:pt>
                <c:pt idx="151">
                  <c:v>-0.11283188761701045</c:v>
                </c:pt>
                <c:pt idx="152">
                  <c:v>-0.11283188761701045</c:v>
                </c:pt>
                <c:pt idx="153">
                  <c:v>-0.11854213701958002</c:v>
                </c:pt>
                <c:pt idx="154">
                  <c:v>-0.14094743929972353</c:v>
                </c:pt>
                <c:pt idx="155">
                  <c:v>-0.14094743929972353</c:v>
                </c:pt>
                <c:pt idx="156">
                  <c:v>-0.15376744431682118</c:v>
                </c:pt>
                <c:pt idx="157">
                  <c:v>-0.14206968484704888</c:v>
                </c:pt>
                <c:pt idx="158">
                  <c:v>-0.14206968484704888</c:v>
                </c:pt>
                <c:pt idx="159">
                  <c:v>-0.14206968484704888</c:v>
                </c:pt>
                <c:pt idx="160">
                  <c:v>-0.12513037852682171</c:v>
                </c:pt>
                <c:pt idx="161">
                  <c:v>-0.11861475290793801</c:v>
                </c:pt>
                <c:pt idx="162">
                  <c:v>-0.14378606039001329</c:v>
                </c:pt>
                <c:pt idx="163">
                  <c:v>-0.1425449888435589</c:v>
                </c:pt>
                <c:pt idx="164">
                  <c:v>-0.1425449888435589</c:v>
                </c:pt>
                <c:pt idx="165">
                  <c:v>-0.1425449888435589</c:v>
                </c:pt>
                <c:pt idx="166">
                  <c:v>-0.14824203535734246</c:v>
                </c:pt>
                <c:pt idx="167">
                  <c:v>-0.14340317661504343</c:v>
                </c:pt>
                <c:pt idx="168">
                  <c:v>-0.12835188339208603</c:v>
                </c:pt>
                <c:pt idx="169">
                  <c:v>-0.13307851757964637</c:v>
                </c:pt>
                <c:pt idx="170">
                  <c:v>-0.12170422888528362</c:v>
                </c:pt>
                <c:pt idx="171">
                  <c:v>-0.12170422888528362</c:v>
                </c:pt>
                <c:pt idx="172">
                  <c:v>-0.12170422888528362</c:v>
                </c:pt>
                <c:pt idx="173">
                  <c:v>-0.11793480413514468</c:v>
                </c:pt>
                <c:pt idx="174">
                  <c:v>-0.11677955136583873</c:v>
                </c:pt>
                <c:pt idx="175">
                  <c:v>-0.11979641145482672</c:v>
                </c:pt>
                <c:pt idx="176">
                  <c:v>-0.10932652064271672</c:v>
                </c:pt>
                <c:pt idx="177">
                  <c:v>-0.11361085805574248</c:v>
                </c:pt>
                <c:pt idx="178">
                  <c:v>-0.11361085805574248</c:v>
                </c:pt>
                <c:pt idx="179">
                  <c:v>-0.11361085805574248</c:v>
                </c:pt>
                <c:pt idx="180">
                  <c:v>-0.10954436830778568</c:v>
                </c:pt>
                <c:pt idx="181">
                  <c:v>-0.11162382329253639</c:v>
                </c:pt>
                <c:pt idx="182">
                  <c:v>-0.11955875945657064</c:v>
                </c:pt>
                <c:pt idx="183">
                  <c:v>-9.6849790734212626E-2</c:v>
                </c:pt>
                <c:pt idx="184">
                  <c:v>-7.6972841657754643E-2</c:v>
                </c:pt>
                <c:pt idx="185">
                  <c:v>-7.6972841657754643E-2</c:v>
                </c:pt>
                <c:pt idx="186">
                  <c:v>-7.6972841657754643E-2</c:v>
                </c:pt>
                <c:pt idx="187">
                  <c:v>-7.344767035027272E-2</c:v>
                </c:pt>
                <c:pt idx="188">
                  <c:v>-6.9130325715266561E-2</c:v>
                </c:pt>
                <c:pt idx="189">
                  <c:v>-5.480519137587303E-2</c:v>
                </c:pt>
                <c:pt idx="190">
                  <c:v>-6.4819582524656333E-2</c:v>
                </c:pt>
                <c:pt idx="191">
                  <c:v>-6.1492454549055532E-2</c:v>
                </c:pt>
                <c:pt idx="192">
                  <c:v>-6.1492454549055532E-2</c:v>
                </c:pt>
                <c:pt idx="193">
                  <c:v>-6.1492454549055532E-2</c:v>
                </c:pt>
                <c:pt idx="194">
                  <c:v>-6.5552342852616532E-2</c:v>
                </c:pt>
                <c:pt idx="195">
                  <c:v>-6.435087997253798E-2</c:v>
                </c:pt>
                <c:pt idx="196">
                  <c:v>-7.090611425779951E-2</c:v>
                </c:pt>
                <c:pt idx="197">
                  <c:v>-7.4556713008807132E-2</c:v>
                </c:pt>
                <c:pt idx="198">
                  <c:v>-7.3724931014907666E-2</c:v>
                </c:pt>
                <c:pt idx="199">
                  <c:v>-7.3724931014907666E-2</c:v>
                </c:pt>
                <c:pt idx="200">
                  <c:v>-7.3724931014907666E-2</c:v>
                </c:pt>
                <c:pt idx="201">
                  <c:v>-7.6920030102586412E-2</c:v>
                </c:pt>
                <c:pt idx="202">
                  <c:v>-8.4175017493827622E-2</c:v>
                </c:pt>
                <c:pt idx="203">
                  <c:v>-9.1779881438058583E-2</c:v>
                </c:pt>
                <c:pt idx="204">
                  <c:v>-7.6814406992249923E-2</c:v>
                </c:pt>
                <c:pt idx="205">
                  <c:v>-8.0979918406147156E-2</c:v>
                </c:pt>
                <c:pt idx="206">
                  <c:v>-8.0979918406147156E-2</c:v>
                </c:pt>
                <c:pt idx="207">
                  <c:v>-8.0979918406147156E-2</c:v>
                </c:pt>
                <c:pt idx="208">
                  <c:v>-8.1243976181988531E-2</c:v>
                </c:pt>
                <c:pt idx="209">
                  <c:v>-9.9133890495240268E-2</c:v>
                </c:pt>
                <c:pt idx="210">
                  <c:v>-0.10028254182015191</c:v>
                </c:pt>
                <c:pt idx="211">
                  <c:v>-0.10063241837314002</c:v>
                </c:pt>
                <c:pt idx="212">
                  <c:v>-8.7205080471607146E-2</c:v>
                </c:pt>
                <c:pt idx="213">
                  <c:v>-8.7205080471607146E-2</c:v>
                </c:pt>
                <c:pt idx="214">
                  <c:v>-8.7205080471607146E-2</c:v>
                </c:pt>
                <c:pt idx="215">
                  <c:v>-8.3481865832244206E-2</c:v>
                </c:pt>
                <c:pt idx="216">
                  <c:v>-7.0609049259978129E-2</c:v>
                </c:pt>
                <c:pt idx="217">
                  <c:v>-6.0040136781927878E-2</c:v>
                </c:pt>
                <c:pt idx="218">
                  <c:v>-8.1494831069038001E-2</c:v>
                </c:pt>
                <c:pt idx="219">
                  <c:v>-8.8796028571056104E-2</c:v>
                </c:pt>
                <c:pt idx="220">
                  <c:v>-8.8796028571056104E-2</c:v>
                </c:pt>
                <c:pt idx="221">
                  <c:v>-8.8796028571056104E-2</c:v>
                </c:pt>
                <c:pt idx="222">
                  <c:v>-8.746913824744848E-2</c:v>
                </c:pt>
                <c:pt idx="223">
                  <c:v>-9.0796266223051245E-2</c:v>
                </c:pt>
                <c:pt idx="224">
                  <c:v>-9.1245164441979942E-2</c:v>
                </c:pt>
                <c:pt idx="225">
                  <c:v>-7.8009268427931988E-2</c:v>
                </c:pt>
                <c:pt idx="226">
                  <c:v>-8.0280165300167572E-2</c:v>
                </c:pt>
                <c:pt idx="227">
                  <c:v>-8.0280165300167572E-2</c:v>
                </c:pt>
                <c:pt idx="228">
                  <c:v>-8.0280165300167572E-2</c:v>
                </c:pt>
                <c:pt idx="229">
                  <c:v>-8.4340053603728482E-2</c:v>
                </c:pt>
                <c:pt idx="230">
                  <c:v>-9.2822909652631957E-2</c:v>
                </c:pt>
                <c:pt idx="231">
                  <c:v>-9.5839769741620048E-2</c:v>
                </c:pt>
                <c:pt idx="232">
                  <c:v>-9.4354444752511868E-2</c:v>
                </c:pt>
                <c:pt idx="233">
                  <c:v>-9.9133890495240268E-2</c:v>
                </c:pt>
                <c:pt idx="234">
                  <c:v>-9.9133890495240268E-2</c:v>
                </c:pt>
                <c:pt idx="235">
                  <c:v>-9.9133890495240268E-2</c:v>
                </c:pt>
                <c:pt idx="236">
                  <c:v>-9.7232674509182604E-2</c:v>
                </c:pt>
                <c:pt idx="237">
                  <c:v>-9.3080365984081467E-2</c:v>
                </c:pt>
                <c:pt idx="238">
                  <c:v>-9.1865700215207027E-2</c:v>
                </c:pt>
                <c:pt idx="239">
                  <c:v>-6.1010549108144754E-2</c:v>
                </c:pt>
                <c:pt idx="240">
                  <c:v>-6.0350404668542024E-2</c:v>
                </c:pt>
                <c:pt idx="241">
                  <c:v>-6.0350404668542024E-2</c:v>
                </c:pt>
                <c:pt idx="242">
                  <c:v>-6.0350404668542024E-2</c:v>
                </c:pt>
                <c:pt idx="243">
                  <c:v>-4.1773940138102213E-2</c:v>
                </c:pt>
                <c:pt idx="244">
                  <c:v>-4.0433846925707402E-2</c:v>
                </c:pt>
                <c:pt idx="245">
                  <c:v>-4.0070767483925462E-2</c:v>
                </c:pt>
                <c:pt idx="246">
                  <c:v>-4.2638729353982614E-2</c:v>
                </c:pt>
                <c:pt idx="247">
                  <c:v>-4.8903500085818792E-2</c:v>
                </c:pt>
                <c:pt idx="248">
                  <c:v>-4.8903500085818792E-2</c:v>
                </c:pt>
                <c:pt idx="249">
                  <c:v>-4.8903500085818792E-2</c:v>
                </c:pt>
                <c:pt idx="250">
                  <c:v>-2.9270804452014694E-2</c:v>
                </c:pt>
                <c:pt idx="251">
                  <c:v>-2.758743613102544E-2</c:v>
                </c:pt>
                <c:pt idx="252">
                  <c:v>-3.2921403203020741E-2</c:v>
                </c:pt>
                <c:pt idx="253">
                  <c:v>-1.8239790866241497E-2</c:v>
                </c:pt>
                <c:pt idx="254">
                  <c:v>-2.5144901704492906E-2</c:v>
                </c:pt>
                <c:pt idx="255">
                  <c:v>-2.5144901704492906E-2</c:v>
                </c:pt>
                <c:pt idx="256">
                  <c:v>-2.5144901704492906E-2</c:v>
                </c:pt>
                <c:pt idx="257">
                  <c:v>-3.1158817549280012E-2</c:v>
                </c:pt>
                <c:pt idx="258">
                  <c:v>-3.307323642413048E-2</c:v>
                </c:pt>
                <c:pt idx="259">
                  <c:v>-2.3256888607227306E-2</c:v>
                </c:pt>
                <c:pt idx="260">
                  <c:v>-1.9593086967428341E-2</c:v>
                </c:pt>
                <c:pt idx="261">
                  <c:v>-2.8340000792173251E-2</c:v>
                </c:pt>
                <c:pt idx="262">
                  <c:v>-2.8340000792173251E-2</c:v>
                </c:pt>
                <c:pt idx="263">
                  <c:v>-2.8340000792173251E-2</c:v>
                </c:pt>
                <c:pt idx="264">
                  <c:v>-3.4327510859376034E-2</c:v>
                </c:pt>
                <c:pt idx="265">
                  <c:v>-2.844562390250983E-2</c:v>
                </c:pt>
                <c:pt idx="266">
                  <c:v>-3.9958542929192875E-2</c:v>
                </c:pt>
                <c:pt idx="267">
                  <c:v>-3.8506225162065394E-2</c:v>
                </c:pt>
                <c:pt idx="268">
                  <c:v>-2.6808465692293452E-2</c:v>
                </c:pt>
                <c:pt idx="269">
                  <c:v>-2.6808465692293452E-2</c:v>
                </c:pt>
                <c:pt idx="270">
                  <c:v>-2.6808465692293452E-2</c:v>
                </c:pt>
                <c:pt idx="271">
                  <c:v>-2.2854200499070065E-2</c:v>
                </c:pt>
                <c:pt idx="272">
                  <c:v>-6.3901981753607534E-3</c:v>
                </c:pt>
                <c:pt idx="273">
                  <c:v>-9.1165947109228228E-3</c:v>
                </c:pt>
                <c:pt idx="274">
                  <c:v>1.2608758796424121E-3</c:v>
                </c:pt>
                <c:pt idx="275">
                  <c:v>-1.1816585468900527E-3</c:v>
                </c:pt>
                <c:pt idx="276">
                  <c:v>-1.1816585468900527E-3</c:v>
                </c:pt>
                <c:pt idx="277">
                  <c:v>-1.1816585468900527E-3</c:v>
                </c:pt>
                <c:pt idx="278">
                  <c:v>-3.0498673109676092E-3</c:v>
                </c:pt>
                <c:pt idx="279">
                  <c:v>1.1123433807317539E-2</c:v>
                </c:pt>
                <c:pt idx="280">
                  <c:v>1.1057419363356805E-2</c:v>
                </c:pt>
                <c:pt idx="281">
                  <c:v>-1.6503610990085415E-3</c:v>
                </c:pt>
                <c:pt idx="282">
                  <c:v>1.22324764658508E-2</c:v>
                </c:pt>
                <c:pt idx="283">
                  <c:v>1.22324764658508E-2</c:v>
                </c:pt>
                <c:pt idx="284">
                  <c:v>1.22324764658508E-2</c:v>
                </c:pt>
                <c:pt idx="285">
                  <c:v>1.2404114020147627E-2</c:v>
                </c:pt>
                <c:pt idx="286">
                  <c:v>9.2024134880712705E-3</c:v>
                </c:pt>
                <c:pt idx="287">
                  <c:v>-4.9906919634016833E-3</c:v>
                </c:pt>
                <c:pt idx="288">
                  <c:v>-8.1593852734978267E-3</c:v>
                </c:pt>
                <c:pt idx="289">
                  <c:v>-6.8258935054990033E-3</c:v>
                </c:pt>
                <c:pt idx="290">
                  <c:v>-6.8258935054990033E-3</c:v>
                </c:pt>
                <c:pt idx="291">
                  <c:v>-6.8258935054990033E-3</c:v>
                </c:pt>
                <c:pt idx="292">
                  <c:v>-2.1850780950871682E-3</c:v>
                </c:pt>
                <c:pt idx="293">
                  <c:v>8.9119499346471402E-4</c:v>
                </c:pt>
                <c:pt idx="294">
                  <c:v>7.7897043873200453E-4</c:v>
                </c:pt>
                <c:pt idx="295">
                  <c:v>-3.0432658665716272E-3</c:v>
                </c:pt>
                <c:pt idx="296">
                  <c:v>2.1784766506916515E-4</c:v>
                </c:pt>
                <c:pt idx="297">
                  <c:v>2.1784766506916515E-4</c:v>
                </c:pt>
                <c:pt idx="298">
                  <c:v>2.1784766506916515E-4</c:v>
                </c:pt>
                <c:pt idx="299">
                  <c:v>2.1784766506916515E-4</c:v>
                </c:pt>
                <c:pt idx="300">
                  <c:v>-5.8620826236779316E-3</c:v>
                </c:pt>
                <c:pt idx="301">
                  <c:v>-9.8163478169025695E-3</c:v>
                </c:pt>
                <c:pt idx="302">
                  <c:v>-3.6770045285908506E-3</c:v>
                </c:pt>
                <c:pt idx="303">
                  <c:v>-1.6681849988777891E-2</c:v>
                </c:pt>
                <c:pt idx="304">
                  <c:v>-1.6681849988777891E-2</c:v>
                </c:pt>
                <c:pt idx="305">
                  <c:v>-1.6681849988777891E-2</c:v>
                </c:pt>
                <c:pt idx="306">
                  <c:v>-2.070212962596208E-2</c:v>
                </c:pt>
                <c:pt idx="307">
                  <c:v>-9.5126813746848268E-3</c:v>
                </c:pt>
                <c:pt idx="308">
                  <c:v>-3.1686933100962496E-2</c:v>
                </c:pt>
                <c:pt idx="309">
                  <c:v>-1.5797256439708862E-2</c:v>
                </c:pt>
                <c:pt idx="310">
                  <c:v>-1.3882837564859201E-2</c:v>
                </c:pt>
                <c:pt idx="311">
                  <c:v>-1.3882837564859201E-2</c:v>
                </c:pt>
                <c:pt idx="312">
                  <c:v>-1.3882837564859201E-2</c:v>
                </c:pt>
                <c:pt idx="313">
                  <c:v>-2.7792080907302888E-3</c:v>
                </c:pt>
                <c:pt idx="314">
                  <c:v>-2.396324315760201E-3</c:v>
                </c:pt>
                <c:pt idx="315">
                  <c:v>-4.158909969501301E-3</c:v>
                </c:pt>
                <c:pt idx="316">
                  <c:v>-1.3697997121770198E-2</c:v>
                </c:pt>
                <c:pt idx="317">
                  <c:v>-7.0767483925485968E-3</c:v>
                </c:pt>
                <c:pt idx="318">
                  <c:v>-7.0767483925485968E-3</c:v>
                </c:pt>
                <c:pt idx="319">
                  <c:v>-7.0767483925485968E-3</c:v>
                </c:pt>
                <c:pt idx="320">
                  <c:v>-8.1923924954778737E-3</c:v>
                </c:pt>
                <c:pt idx="321">
                  <c:v>-2.0101398185924151E-2</c:v>
                </c:pt>
                <c:pt idx="322">
                  <c:v>-2.6009690920374157E-2</c:v>
                </c:pt>
                <c:pt idx="323">
                  <c:v>-2.3342707384375612E-2</c:v>
                </c:pt>
                <c:pt idx="324">
                  <c:v>-2.3415323272732106E-2</c:v>
                </c:pt>
                <c:pt idx="325">
                  <c:v>-2.3415323272732106E-2</c:v>
                </c:pt>
                <c:pt idx="326">
                  <c:v>-2.3415323272732106E-2</c:v>
                </c:pt>
                <c:pt idx="327">
                  <c:v>-2.7435602909917544E-2</c:v>
                </c:pt>
                <c:pt idx="328">
                  <c:v>-4.3556330125032024E-2</c:v>
                </c:pt>
                <c:pt idx="329">
                  <c:v>-4.9880513856433828E-2</c:v>
                </c:pt>
                <c:pt idx="330">
                  <c:v>-5.6488559696861618E-2</c:v>
                </c:pt>
                <c:pt idx="331">
                  <c:v>-4.3668554679763785E-2</c:v>
                </c:pt>
                <c:pt idx="332">
                  <c:v>-4.3668554679763785E-2</c:v>
                </c:pt>
                <c:pt idx="333">
                  <c:v>-4.3668554679763785E-2</c:v>
                </c:pt>
                <c:pt idx="334">
                  <c:v>-3.2426294873318176E-2</c:v>
                </c:pt>
                <c:pt idx="335">
                  <c:v>-3.3456120199099493E-2</c:v>
                </c:pt>
                <c:pt idx="336">
                  <c:v>-3.3106243646109715E-2</c:v>
                </c:pt>
                <c:pt idx="337">
                  <c:v>-4.2962200129389123E-2</c:v>
                </c:pt>
                <c:pt idx="338">
                  <c:v>-4.0968563921786133E-2</c:v>
                </c:pt>
                <c:pt idx="339">
                  <c:v>-4.0968563921786133E-2</c:v>
                </c:pt>
                <c:pt idx="340">
                  <c:v>-4.0968563921786133E-2</c:v>
                </c:pt>
                <c:pt idx="341">
                  <c:v>-2.9442442006311006E-2</c:v>
                </c:pt>
                <c:pt idx="342">
                  <c:v>-2.3388917495147831E-2</c:v>
                </c:pt>
                <c:pt idx="343">
                  <c:v>-1.8424631309330728E-2</c:v>
                </c:pt>
                <c:pt idx="344">
                  <c:v>-1.1110230918524918E-2</c:v>
                </c:pt>
                <c:pt idx="345">
                  <c:v>-1.16119406926235E-2</c:v>
                </c:pt>
                <c:pt idx="346">
                  <c:v>-1.16119406926235E-2</c:v>
                </c:pt>
                <c:pt idx="347">
                  <c:v>-1.16119406926235E-2</c:v>
                </c:pt>
                <c:pt idx="348">
                  <c:v>-4.8388587422927834E-3</c:v>
                </c:pt>
                <c:pt idx="349">
                  <c:v>-5.5518147370643423E-3</c:v>
                </c:pt>
                <c:pt idx="350">
                  <c:v>-9.043978822566353E-3</c:v>
                </c:pt>
                <c:pt idx="351">
                  <c:v>-8.8129282687051703E-3</c:v>
                </c:pt>
                <c:pt idx="352">
                  <c:v>-1.3196287347671642E-2</c:v>
                </c:pt>
                <c:pt idx="353">
                  <c:v>-1.3196287347671642E-2</c:v>
                </c:pt>
                <c:pt idx="354">
                  <c:v>-1.3196287347671642E-2</c:v>
                </c:pt>
                <c:pt idx="355">
                  <c:v>-7.0899512813404134E-3</c:v>
                </c:pt>
                <c:pt idx="356">
                  <c:v>-7.0899512813404134E-3</c:v>
                </c:pt>
              </c:numCache>
            </c:numRef>
          </c:val>
        </c:ser>
        <c:ser>
          <c:idx val="3"/>
          <c:order val="3"/>
          <c:tx>
            <c:strRef>
              <c:f>'год 2013'!$AI$5</c:f>
              <c:strCache>
                <c:ptCount val="1"/>
                <c:pt idx="0">
                  <c:v>Индекс ММВБ Электроэнергетика</c:v>
                </c:pt>
              </c:strCache>
            </c:strRef>
          </c:tx>
          <c:marker>
            <c:symbol val="none"/>
          </c:marker>
          <c:val>
            <c:numRef>
              <c:f>'год 2013'!$AI$7:$AI$363</c:f>
              <c:numCache>
                <c:formatCode>0.00%</c:formatCode>
                <c:ptCount val="357"/>
                <c:pt idx="0">
                  <c:v>0</c:v>
                </c:pt>
                <c:pt idx="1">
                  <c:v>-8.8607884386715746E-4</c:v>
                </c:pt>
                <c:pt idx="2">
                  <c:v>-1.6806914844964829E-3</c:v>
                </c:pt>
                <c:pt idx="3">
                  <c:v>-2.1380225006859652E-3</c:v>
                </c:pt>
                <c:pt idx="4">
                  <c:v>-2.1380225006859652E-3</c:v>
                </c:pt>
                <c:pt idx="5">
                  <c:v>-2.1380225006859652E-3</c:v>
                </c:pt>
                <c:pt idx="6">
                  <c:v>2.5061739687185641E-2</c:v>
                </c:pt>
                <c:pt idx="7">
                  <c:v>2.0311213756517052E-2</c:v>
                </c:pt>
                <c:pt idx="8">
                  <c:v>3.8753086984359315E-2</c:v>
                </c:pt>
                <c:pt idx="9">
                  <c:v>3.9970730814964092E-2</c:v>
                </c:pt>
                <c:pt idx="10">
                  <c:v>4.6436248056343533E-2</c:v>
                </c:pt>
                <c:pt idx="11">
                  <c:v>4.6436248056343533E-2</c:v>
                </c:pt>
                <c:pt idx="12">
                  <c:v>4.6436248056343533E-2</c:v>
                </c:pt>
                <c:pt idx="13">
                  <c:v>4.1388456965151484E-2</c:v>
                </c:pt>
                <c:pt idx="14">
                  <c:v>3.7083828775268397E-2</c:v>
                </c:pt>
                <c:pt idx="15">
                  <c:v>5.3370529589316783E-2</c:v>
                </c:pt>
                <c:pt idx="16">
                  <c:v>5.0083462910454783E-2</c:v>
                </c:pt>
                <c:pt idx="17">
                  <c:v>4.8717186499588394E-2</c:v>
                </c:pt>
                <c:pt idx="18">
                  <c:v>4.8717186499588394E-2</c:v>
                </c:pt>
                <c:pt idx="19">
                  <c:v>4.8717186499588394E-2</c:v>
                </c:pt>
                <c:pt idx="20">
                  <c:v>5.7760907344738231E-2</c:v>
                </c:pt>
                <c:pt idx="21">
                  <c:v>5.6903411689380734E-2</c:v>
                </c:pt>
                <c:pt idx="22">
                  <c:v>3.9158968261227445E-2</c:v>
                </c:pt>
                <c:pt idx="23">
                  <c:v>3.6575048019757486E-2</c:v>
                </c:pt>
                <c:pt idx="24">
                  <c:v>3.6620781121375685E-2</c:v>
                </c:pt>
                <c:pt idx="25">
                  <c:v>3.6620781121375685E-2</c:v>
                </c:pt>
                <c:pt idx="26">
                  <c:v>3.6620781121375685E-2</c:v>
                </c:pt>
                <c:pt idx="27">
                  <c:v>2.6422299460349411E-2</c:v>
                </c:pt>
                <c:pt idx="28">
                  <c:v>2.7051129607610556E-2</c:v>
                </c:pt>
                <c:pt idx="29">
                  <c:v>2.7771425958108342E-2</c:v>
                </c:pt>
                <c:pt idx="30">
                  <c:v>2.9783682429342491E-2</c:v>
                </c:pt>
                <c:pt idx="31">
                  <c:v>2.1311625354431388E-2</c:v>
                </c:pt>
                <c:pt idx="32">
                  <c:v>2.1311625354431388E-2</c:v>
                </c:pt>
                <c:pt idx="33">
                  <c:v>2.1311625354431388E-2</c:v>
                </c:pt>
                <c:pt idx="34">
                  <c:v>1.5852236348669283E-2</c:v>
                </c:pt>
                <c:pt idx="35">
                  <c:v>1.2593752858318879E-2</c:v>
                </c:pt>
                <c:pt idx="36">
                  <c:v>3.2424769047836755E-2</c:v>
                </c:pt>
                <c:pt idx="37">
                  <c:v>1.8167474618129134E-2</c:v>
                </c:pt>
                <c:pt idx="38">
                  <c:v>5.7566541662854576E-3</c:v>
                </c:pt>
                <c:pt idx="39">
                  <c:v>5.7566541662854576E-3</c:v>
                </c:pt>
                <c:pt idx="40">
                  <c:v>5.7566541662854576E-3</c:v>
                </c:pt>
                <c:pt idx="41">
                  <c:v>-4.5733101618952174E-3</c:v>
                </c:pt>
                <c:pt idx="42">
                  <c:v>1.9493734565079453E-3</c:v>
                </c:pt>
                <c:pt idx="43">
                  <c:v>-1.3811396688923505E-2</c:v>
                </c:pt>
                <c:pt idx="44">
                  <c:v>-3.430554285191624E-2</c:v>
                </c:pt>
                <c:pt idx="45">
                  <c:v>-2.4421476264520292E-2</c:v>
                </c:pt>
                <c:pt idx="46">
                  <c:v>-2.4421476264520292E-2</c:v>
                </c:pt>
                <c:pt idx="47">
                  <c:v>-2.4421476264520292E-2</c:v>
                </c:pt>
                <c:pt idx="48">
                  <c:v>-2.2306320314643802E-2</c:v>
                </c:pt>
                <c:pt idx="49">
                  <c:v>-3.8787386810573615E-2</c:v>
                </c:pt>
                <c:pt idx="50">
                  <c:v>-3.6409265526388852E-2</c:v>
                </c:pt>
                <c:pt idx="51">
                  <c:v>-4.1039742065306785E-2</c:v>
                </c:pt>
                <c:pt idx="52">
                  <c:v>-5.417657550535071E-2</c:v>
                </c:pt>
                <c:pt idx="53">
                  <c:v>-5.417657550535071E-2</c:v>
                </c:pt>
                <c:pt idx="54">
                  <c:v>-5.417657550535071E-2</c:v>
                </c:pt>
                <c:pt idx="55">
                  <c:v>-6.2951614378487064E-2</c:v>
                </c:pt>
                <c:pt idx="56">
                  <c:v>-4.7345193451019854E-2</c:v>
                </c:pt>
                <c:pt idx="57">
                  <c:v>-4.2360285374554052E-2</c:v>
                </c:pt>
                <c:pt idx="58">
                  <c:v>-4.6361931766212304E-2</c:v>
                </c:pt>
                <c:pt idx="59">
                  <c:v>-4.6361931766212304E-2</c:v>
                </c:pt>
                <c:pt idx="60">
                  <c:v>-4.6361931766212304E-2</c:v>
                </c:pt>
                <c:pt idx="61">
                  <c:v>-4.6361931766212304E-2</c:v>
                </c:pt>
                <c:pt idx="62">
                  <c:v>-4.9163084240374133E-2</c:v>
                </c:pt>
                <c:pt idx="63">
                  <c:v>-5.6943428153297337E-2</c:v>
                </c:pt>
                <c:pt idx="64">
                  <c:v>-5.3856443794018112E-2</c:v>
                </c:pt>
                <c:pt idx="65">
                  <c:v>-6.3346062379950552E-2</c:v>
                </c:pt>
                <c:pt idx="66">
                  <c:v>-7.6522912283911074E-2</c:v>
                </c:pt>
                <c:pt idx="67">
                  <c:v>-7.6522912283911074E-2</c:v>
                </c:pt>
                <c:pt idx="68">
                  <c:v>-7.6522912283911074E-2</c:v>
                </c:pt>
                <c:pt idx="69">
                  <c:v>-0.10207056617579795</c:v>
                </c:pt>
                <c:pt idx="70">
                  <c:v>-0.10870758254824862</c:v>
                </c:pt>
                <c:pt idx="71">
                  <c:v>-0.11065123936705375</c:v>
                </c:pt>
                <c:pt idx="72">
                  <c:v>-0.11365819079849993</c:v>
                </c:pt>
                <c:pt idx="73">
                  <c:v>-0.1292531784505625</c:v>
                </c:pt>
                <c:pt idx="74">
                  <c:v>-0.1292531784505625</c:v>
                </c:pt>
                <c:pt idx="75">
                  <c:v>-0.1292531784505625</c:v>
                </c:pt>
                <c:pt idx="76">
                  <c:v>-0.14889554559590595</c:v>
                </c:pt>
                <c:pt idx="77">
                  <c:v>-0.17850201225647144</c:v>
                </c:pt>
                <c:pt idx="78">
                  <c:v>-0.16952689106375188</c:v>
                </c:pt>
                <c:pt idx="79">
                  <c:v>-0.15849949693588719</c:v>
                </c:pt>
                <c:pt idx="80">
                  <c:v>-0.1508106192261959</c:v>
                </c:pt>
                <c:pt idx="81">
                  <c:v>-0.1508106192261959</c:v>
                </c:pt>
                <c:pt idx="82">
                  <c:v>-0.1508106192261959</c:v>
                </c:pt>
                <c:pt idx="83">
                  <c:v>-0.16228962773255268</c:v>
                </c:pt>
                <c:pt idx="84">
                  <c:v>-0.16687437116985282</c:v>
                </c:pt>
                <c:pt idx="85">
                  <c:v>-0.18906064209274981</c:v>
                </c:pt>
                <c:pt idx="86">
                  <c:v>-0.20394676666971556</c:v>
                </c:pt>
                <c:pt idx="87">
                  <c:v>-0.21729511570474724</c:v>
                </c:pt>
                <c:pt idx="88">
                  <c:v>-0.21729511570474724</c:v>
                </c:pt>
                <c:pt idx="89">
                  <c:v>-0.21729511570474724</c:v>
                </c:pt>
                <c:pt idx="90">
                  <c:v>-0.23887542303118992</c:v>
                </c:pt>
                <c:pt idx="91">
                  <c:v>-0.24545527302661671</c:v>
                </c:pt>
                <c:pt idx="92">
                  <c:v>-0.2398701179914022</c:v>
                </c:pt>
                <c:pt idx="93">
                  <c:v>-0.26287386810573488</c:v>
                </c:pt>
                <c:pt idx="94">
                  <c:v>-0.29915165096496882</c:v>
                </c:pt>
                <c:pt idx="95">
                  <c:v>-0.29915165096496882</c:v>
                </c:pt>
                <c:pt idx="96">
                  <c:v>-0.29915165096496882</c:v>
                </c:pt>
                <c:pt idx="97">
                  <c:v>-0.3198801792737741</c:v>
                </c:pt>
                <c:pt idx="98">
                  <c:v>-0.31954861428702808</c:v>
                </c:pt>
                <c:pt idx="99">
                  <c:v>-0.34439312174151659</c:v>
                </c:pt>
                <c:pt idx="100">
                  <c:v>-0.34881779932315965</c:v>
                </c:pt>
                <c:pt idx="101">
                  <c:v>-0.35943359553644932</c:v>
                </c:pt>
                <c:pt idx="102">
                  <c:v>-0.35943359553644932</c:v>
                </c:pt>
                <c:pt idx="103">
                  <c:v>-0.35943359553644932</c:v>
                </c:pt>
                <c:pt idx="104">
                  <c:v>-0.35818165187963724</c:v>
                </c:pt>
                <c:pt idx="105">
                  <c:v>-0.34825756882831793</c:v>
                </c:pt>
                <c:pt idx="106">
                  <c:v>-0.31102510747279088</c:v>
                </c:pt>
                <c:pt idx="107">
                  <c:v>-0.30722926003841688</c:v>
                </c:pt>
                <c:pt idx="108">
                  <c:v>-0.31917703283636689</c:v>
                </c:pt>
                <c:pt idx="109">
                  <c:v>-0.31917703283636689</c:v>
                </c:pt>
                <c:pt idx="110">
                  <c:v>-0.31917703283636689</c:v>
                </c:pt>
                <c:pt idx="111">
                  <c:v>-0.31970868014269677</c:v>
                </c:pt>
                <c:pt idx="112">
                  <c:v>-0.28150439037776465</c:v>
                </c:pt>
                <c:pt idx="113">
                  <c:v>-0.28150439037776465</c:v>
                </c:pt>
                <c:pt idx="114">
                  <c:v>-0.25252103722674468</c:v>
                </c:pt>
                <c:pt idx="115">
                  <c:v>-0.24400324705021792</c:v>
                </c:pt>
                <c:pt idx="116">
                  <c:v>-0.24400324705021792</c:v>
                </c:pt>
                <c:pt idx="117">
                  <c:v>-0.24400324705021792</c:v>
                </c:pt>
                <c:pt idx="118">
                  <c:v>-0.24907962132991857</c:v>
                </c:pt>
                <c:pt idx="119">
                  <c:v>-0.24828500868928929</c:v>
                </c:pt>
                <c:pt idx="120">
                  <c:v>-0.26554925455044365</c:v>
                </c:pt>
                <c:pt idx="121">
                  <c:v>-0.26554925455044365</c:v>
                </c:pt>
                <c:pt idx="122">
                  <c:v>-0.28054399524376294</c:v>
                </c:pt>
                <c:pt idx="123">
                  <c:v>-0.28054399524376294</c:v>
                </c:pt>
                <c:pt idx="124">
                  <c:v>-0.28054399524376294</c:v>
                </c:pt>
                <c:pt idx="125">
                  <c:v>-0.27878898746913544</c:v>
                </c:pt>
                <c:pt idx="126">
                  <c:v>-0.25728871307052037</c:v>
                </c:pt>
                <c:pt idx="127">
                  <c:v>-0.26666399890240688</c:v>
                </c:pt>
                <c:pt idx="128">
                  <c:v>-0.2991859507911826</c:v>
                </c:pt>
                <c:pt idx="129">
                  <c:v>-0.26812174151650969</c:v>
                </c:pt>
                <c:pt idx="130">
                  <c:v>-0.26812174151650969</c:v>
                </c:pt>
                <c:pt idx="131">
                  <c:v>-0.26812174151650969</c:v>
                </c:pt>
                <c:pt idx="132">
                  <c:v>-0.27277508460623773</c:v>
                </c:pt>
                <c:pt idx="133">
                  <c:v>-0.26650964968444824</c:v>
                </c:pt>
                <c:pt idx="134">
                  <c:v>-0.24104202872038771</c:v>
                </c:pt>
                <c:pt idx="135">
                  <c:v>-0.26987674929113692</c:v>
                </c:pt>
                <c:pt idx="136">
                  <c:v>-0.27450150919235738</c:v>
                </c:pt>
                <c:pt idx="137">
                  <c:v>-0.27450150919235738</c:v>
                </c:pt>
                <c:pt idx="138">
                  <c:v>-0.27450150919235738</c:v>
                </c:pt>
                <c:pt idx="139">
                  <c:v>-0.27391269550901814</c:v>
                </c:pt>
                <c:pt idx="140">
                  <c:v>-0.25799185950791176</c:v>
                </c:pt>
                <c:pt idx="141">
                  <c:v>-0.27969221622610424</c:v>
                </c:pt>
                <c:pt idx="142">
                  <c:v>-0.28959343272660754</c:v>
                </c:pt>
                <c:pt idx="143">
                  <c:v>-0.31145957193817664</c:v>
                </c:pt>
                <c:pt idx="144">
                  <c:v>-0.31145957193817664</c:v>
                </c:pt>
                <c:pt idx="145">
                  <c:v>-0.31145957193817664</c:v>
                </c:pt>
                <c:pt idx="146">
                  <c:v>-0.32240121650050318</c:v>
                </c:pt>
                <c:pt idx="147">
                  <c:v>-0.32706027622794503</c:v>
                </c:pt>
                <c:pt idx="148">
                  <c:v>-0.34385004115979739</c:v>
                </c:pt>
                <c:pt idx="149">
                  <c:v>-0.35815878532883183</c:v>
                </c:pt>
                <c:pt idx="150">
                  <c:v>-0.33671567730724883</c:v>
                </c:pt>
                <c:pt idx="151">
                  <c:v>-0.33671567730724883</c:v>
                </c:pt>
                <c:pt idx="152">
                  <c:v>-0.33671567730724883</c:v>
                </c:pt>
                <c:pt idx="153">
                  <c:v>-0.34713139120095132</c:v>
                </c:pt>
                <c:pt idx="154">
                  <c:v>-0.36543034848623429</c:v>
                </c:pt>
                <c:pt idx="155">
                  <c:v>-0.36543034848623429</c:v>
                </c:pt>
                <c:pt idx="156">
                  <c:v>-0.35853036677948258</c:v>
                </c:pt>
                <c:pt idx="157">
                  <c:v>-0.35043560779292082</c:v>
                </c:pt>
                <c:pt idx="158">
                  <c:v>-0.35043560779292082</c:v>
                </c:pt>
                <c:pt idx="159">
                  <c:v>-0.35043560779292082</c:v>
                </c:pt>
                <c:pt idx="160">
                  <c:v>-0.33729305771517426</c:v>
                </c:pt>
                <c:pt idx="161">
                  <c:v>-0.33936819720114347</c:v>
                </c:pt>
                <c:pt idx="162">
                  <c:v>-0.35918206347755494</c:v>
                </c:pt>
                <c:pt idx="163">
                  <c:v>-0.35339682612275553</c:v>
                </c:pt>
                <c:pt idx="164">
                  <c:v>-0.35339682612275553</c:v>
                </c:pt>
                <c:pt idx="165">
                  <c:v>-0.35339682612275553</c:v>
                </c:pt>
                <c:pt idx="166">
                  <c:v>-0.35169898472514438</c:v>
                </c:pt>
                <c:pt idx="167">
                  <c:v>-0.34371284185493989</c:v>
                </c:pt>
                <c:pt idx="168">
                  <c:v>-0.34362137565169681</c:v>
                </c:pt>
                <c:pt idx="169">
                  <c:v>-0.34350132625995233</c:v>
                </c:pt>
                <c:pt idx="170">
                  <c:v>-0.34311831153389138</c:v>
                </c:pt>
                <c:pt idx="171">
                  <c:v>-0.34311831153389138</c:v>
                </c:pt>
                <c:pt idx="172">
                  <c:v>-0.34311831153389138</c:v>
                </c:pt>
                <c:pt idx="173">
                  <c:v>-0.33953969633221454</c:v>
                </c:pt>
                <c:pt idx="174">
                  <c:v>-0.33579529863715352</c:v>
                </c:pt>
                <c:pt idx="175">
                  <c:v>-0.33453192170493601</c:v>
                </c:pt>
                <c:pt idx="176">
                  <c:v>-0.32855231866825885</c:v>
                </c:pt>
                <c:pt idx="177">
                  <c:v>-0.33107335589500464</c:v>
                </c:pt>
                <c:pt idx="178">
                  <c:v>-0.33107335589500464</c:v>
                </c:pt>
                <c:pt idx="179">
                  <c:v>-0.33107335589500464</c:v>
                </c:pt>
                <c:pt idx="180">
                  <c:v>-0.33195371810116181</c:v>
                </c:pt>
                <c:pt idx="181">
                  <c:v>-0.33205090094211137</c:v>
                </c:pt>
                <c:pt idx="182">
                  <c:v>-0.33580101527487177</c:v>
                </c:pt>
                <c:pt idx="183">
                  <c:v>-0.32247553279063973</c:v>
                </c:pt>
                <c:pt idx="184">
                  <c:v>-0.31734770877161439</c:v>
                </c:pt>
                <c:pt idx="185">
                  <c:v>-0.31734770877161439</c:v>
                </c:pt>
                <c:pt idx="186">
                  <c:v>-0.31734770877161439</c:v>
                </c:pt>
                <c:pt idx="187">
                  <c:v>-0.31631871398519429</c:v>
                </c:pt>
                <c:pt idx="188">
                  <c:v>-0.30829827128876636</c:v>
                </c:pt>
                <c:pt idx="189">
                  <c:v>-0.28310504893441885</c:v>
                </c:pt>
                <c:pt idx="190">
                  <c:v>-0.2845799414616299</c:v>
                </c:pt>
                <c:pt idx="191">
                  <c:v>-0.2825391018018843</c:v>
                </c:pt>
                <c:pt idx="192">
                  <c:v>-0.2825391018018843</c:v>
                </c:pt>
                <c:pt idx="193">
                  <c:v>-0.2825391018018843</c:v>
                </c:pt>
                <c:pt idx="194">
                  <c:v>-0.28386536174884247</c:v>
                </c:pt>
                <c:pt idx="195">
                  <c:v>-0.27811442422025651</c:v>
                </c:pt>
                <c:pt idx="196">
                  <c:v>-0.28046396231593096</c:v>
                </c:pt>
                <c:pt idx="197">
                  <c:v>-0.29510427147169138</c:v>
                </c:pt>
                <c:pt idx="198">
                  <c:v>-0.30797813957743403</c:v>
                </c:pt>
                <c:pt idx="199">
                  <c:v>-0.30797813957743403</c:v>
                </c:pt>
                <c:pt idx="200">
                  <c:v>-0.30797813957743403</c:v>
                </c:pt>
                <c:pt idx="201">
                  <c:v>-0.30611451568646186</c:v>
                </c:pt>
                <c:pt idx="202">
                  <c:v>-0.30570291777189001</c:v>
                </c:pt>
                <c:pt idx="203">
                  <c:v>-0.31344324522089673</c:v>
                </c:pt>
                <c:pt idx="204">
                  <c:v>-0.29964899844507481</c:v>
                </c:pt>
                <c:pt idx="205">
                  <c:v>-0.29954038232872982</c:v>
                </c:pt>
                <c:pt idx="206">
                  <c:v>-0.29954038232872982</c:v>
                </c:pt>
                <c:pt idx="207">
                  <c:v>-0.29954038232872982</c:v>
                </c:pt>
                <c:pt idx="208">
                  <c:v>-0.29829987194731838</c:v>
                </c:pt>
                <c:pt idx="209">
                  <c:v>-0.31204266898382044</c:v>
                </c:pt>
                <c:pt idx="210">
                  <c:v>-0.31268293240647582</c:v>
                </c:pt>
                <c:pt idx="211">
                  <c:v>-0.30984176346839842</c:v>
                </c:pt>
                <c:pt idx="212">
                  <c:v>-0.3072921430531419</c:v>
                </c:pt>
                <c:pt idx="213">
                  <c:v>-0.3072921430531419</c:v>
                </c:pt>
                <c:pt idx="214">
                  <c:v>-0.3072921430531419</c:v>
                </c:pt>
                <c:pt idx="215">
                  <c:v>-0.29624759901216502</c:v>
                </c:pt>
                <c:pt idx="216">
                  <c:v>-0.29419532607701449</c:v>
                </c:pt>
                <c:pt idx="217">
                  <c:v>-0.28997644745267537</c:v>
                </c:pt>
                <c:pt idx="218">
                  <c:v>-0.30757225830056384</c:v>
                </c:pt>
                <c:pt idx="219">
                  <c:v>-0.31206553553462663</c:v>
                </c:pt>
                <c:pt idx="220">
                  <c:v>-0.31206553553462663</c:v>
                </c:pt>
                <c:pt idx="221">
                  <c:v>-0.31206553553462663</c:v>
                </c:pt>
                <c:pt idx="222">
                  <c:v>-0.30804102259215216</c:v>
                </c:pt>
                <c:pt idx="223">
                  <c:v>-0.31286586481296408</c:v>
                </c:pt>
                <c:pt idx="224">
                  <c:v>-0.31328317936523326</c:v>
                </c:pt>
                <c:pt idx="225">
                  <c:v>-0.30352487880729268</c:v>
                </c:pt>
                <c:pt idx="226">
                  <c:v>-0.30689769505168513</c:v>
                </c:pt>
                <c:pt idx="227">
                  <c:v>-0.30689769505168513</c:v>
                </c:pt>
                <c:pt idx="228">
                  <c:v>-0.30689769505168513</c:v>
                </c:pt>
                <c:pt idx="229">
                  <c:v>-0.31277439860971962</c:v>
                </c:pt>
                <c:pt idx="230">
                  <c:v>-0.32428199030459193</c:v>
                </c:pt>
                <c:pt idx="231">
                  <c:v>-0.33105048934419912</c:v>
                </c:pt>
                <c:pt idx="232">
                  <c:v>-0.33191941827495947</c:v>
                </c:pt>
                <c:pt idx="233">
                  <c:v>-0.34721142412878425</c:v>
                </c:pt>
                <c:pt idx="234">
                  <c:v>-0.34721142412878425</c:v>
                </c:pt>
                <c:pt idx="235">
                  <c:v>-0.34721142412878425</c:v>
                </c:pt>
                <c:pt idx="236">
                  <c:v>-0.34837190158237258</c:v>
                </c:pt>
                <c:pt idx="237">
                  <c:v>-0.34685699259123781</c:v>
                </c:pt>
                <c:pt idx="238">
                  <c:v>-0.35241356443794791</c:v>
                </c:pt>
                <c:pt idx="239">
                  <c:v>-0.34346130979603035</c:v>
                </c:pt>
                <c:pt idx="240">
                  <c:v>-0.35066998993872361</c:v>
                </c:pt>
                <c:pt idx="241">
                  <c:v>-0.35066998993872361</c:v>
                </c:pt>
                <c:pt idx="242">
                  <c:v>-0.35066998993872361</c:v>
                </c:pt>
                <c:pt idx="243">
                  <c:v>-0.34672550992408985</c:v>
                </c:pt>
                <c:pt idx="244">
                  <c:v>-0.34007706027622786</c:v>
                </c:pt>
                <c:pt idx="245">
                  <c:v>-0.33067890789354459</c:v>
                </c:pt>
                <c:pt idx="246">
                  <c:v>-0.3420493002835453</c:v>
                </c:pt>
                <c:pt idx="247">
                  <c:v>-0.34905218146895317</c:v>
                </c:pt>
                <c:pt idx="248">
                  <c:v>-0.34905218146895317</c:v>
                </c:pt>
                <c:pt idx="249">
                  <c:v>-0.34905218146895317</c:v>
                </c:pt>
                <c:pt idx="250">
                  <c:v>-0.34242659837190947</c:v>
                </c:pt>
                <c:pt idx="251">
                  <c:v>-0.3420321503704381</c:v>
                </c:pt>
                <c:pt idx="252">
                  <c:v>-0.34758300557944677</c:v>
                </c:pt>
                <c:pt idx="253">
                  <c:v>-0.34340414341900682</c:v>
                </c:pt>
                <c:pt idx="254">
                  <c:v>-0.34517630110674785</c:v>
                </c:pt>
                <c:pt idx="255">
                  <c:v>-0.34517630110674785</c:v>
                </c:pt>
                <c:pt idx="256">
                  <c:v>-0.34517630110674785</c:v>
                </c:pt>
                <c:pt idx="257">
                  <c:v>-0.35444297082229065</c:v>
                </c:pt>
                <c:pt idx="258">
                  <c:v>-0.35486600201226587</c:v>
                </c:pt>
                <c:pt idx="259">
                  <c:v>-0.35424860514040735</c:v>
                </c:pt>
                <c:pt idx="260">
                  <c:v>-0.35511753407116076</c:v>
                </c:pt>
                <c:pt idx="261">
                  <c:v>-0.3636867739870272</c:v>
                </c:pt>
                <c:pt idx="262">
                  <c:v>-0.3636867739870272</c:v>
                </c:pt>
                <c:pt idx="263">
                  <c:v>-0.3636867739870272</c:v>
                </c:pt>
                <c:pt idx="264">
                  <c:v>-0.37911026250800883</c:v>
                </c:pt>
                <c:pt idx="265">
                  <c:v>-0.37560596359646026</c:v>
                </c:pt>
                <c:pt idx="266">
                  <c:v>-0.38010495746821582</c:v>
                </c:pt>
                <c:pt idx="267">
                  <c:v>-0.37980769230770411</c:v>
                </c:pt>
                <c:pt idx="268">
                  <c:v>-0.38901719564621468</c:v>
                </c:pt>
                <c:pt idx="269">
                  <c:v>-0.38901719564621468</c:v>
                </c:pt>
                <c:pt idx="270">
                  <c:v>-0.38901719564621468</c:v>
                </c:pt>
                <c:pt idx="271">
                  <c:v>-0.39273301015274881</c:v>
                </c:pt>
                <c:pt idx="272">
                  <c:v>-0.38786815146803288</c:v>
                </c:pt>
                <c:pt idx="273">
                  <c:v>-0.39380202140309734</c:v>
                </c:pt>
                <c:pt idx="274">
                  <c:v>-0.38610171041800045</c:v>
                </c:pt>
                <c:pt idx="275">
                  <c:v>-0.38358067319127159</c:v>
                </c:pt>
                <c:pt idx="276">
                  <c:v>-0.38358067319127159</c:v>
                </c:pt>
                <c:pt idx="277">
                  <c:v>-0.38358067319127159</c:v>
                </c:pt>
                <c:pt idx="278">
                  <c:v>-0.3839522546419098</c:v>
                </c:pt>
                <c:pt idx="279">
                  <c:v>-0.38362068965518153</c:v>
                </c:pt>
                <c:pt idx="280">
                  <c:v>-0.37844713253452844</c:v>
                </c:pt>
                <c:pt idx="281">
                  <c:v>-0.38058515503522028</c:v>
                </c:pt>
                <c:pt idx="282">
                  <c:v>-0.37536014817525837</c:v>
                </c:pt>
                <c:pt idx="283">
                  <c:v>-0.37536014817525837</c:v>
                </c:pt>
                <c:pt idx="284">
                  <c:v>-0.37536014817525837</c:v>
                </c:pt>
                <c:pt idx="285">
                  <c:v>-0.36951774444342811</c:v>
                </c:pt>
                <c:pt idx="286">
                  <c:v>-0.37258757888961308</c:v>
                </c:pt>
                <c:pt idx="287">
                  <c:v>-0.38247736211471051</c:v>
                </c:pt>
                <c:pt idx="288">
                  <c:v>-0.38882854660203847</c:v>
                </c:pt>
                <c:pt idx="289">
                  <c:v>-0.39338470685083443</c:v>
                </c:pt>
                <c:pt idx="290">
                  <c:v>-0.39338470685083443</c:v>
                </c:pt>
                <c:pt idx="291">
                  <c:v>-0.39338470685083443</c:v>
                </c:pt>
                <c:pt idx="292">
                  <c:v>-0.39152679959756409</c:v>
                </c:pt>
                <c:pt idx="293">
                  <c:v>-0.39455661757981736</c:v>
                </c:pt>
                <c:pt idx="294">
                  <c:v>-0.39280732644288602</c:v>
                </c:pt>
                <c:pt idx="295">
                  <c:v>-0.39611154303486057</c:v>
                </c:pt>
                <c:pt idx="296">
                  <c:v>-0.39883837921889409</c:v>
                </c:pt>
                <c:pt idx="297">
                  <c:v>-0.39883837921889409</c:v>
                </c:pt>
                <c:pt idx="298">
                  <c:v>-0.39883837921889409</c:v>
                </c:pt>
                <c:pt idx="299">
                  <c:v>-0.39883837921889409</c:v>
                </c:pt>
                <c:pt idx="300">
                  <c:v>-0.40408625262966108</c:v>
                </c:pt>
                <c:pt idx="301">
                  <c:v>-0.41089476813317488</c:v>
                </c:pt>
                <c:pt idx="302">
                  <c:v>-0.40915691027166107</c:v>
                </c:pt>
                <c:pt idx="303">
                  <c:v>-0.42072738498125534</c:v>
                </c:pt>
                <c:pt idx="304">
                  <c:v>-0.42072738498125534</c:v>
                </c:pt>
                <c:pt idx="305">
                  <c:v>-0.42072738498125534</c:v>
                </c:pt>
                <c:pt idx="306">
                  <c:v>-0.42291114058355439</c:v>
                </c:pt>
                <c:pt idx="307">
                  <c:v>-0.42830192993689642</c:v>
                </c:pt>
                <c:pt idx="308">
                  <c:v>-0.45667931949144791</c:v>
                </c:pt>
                <c:pt idx="309">
                  <c:v>-0.44255350772889412</c:v>
                </c:pt>
                <c:pt idx="310">
                  <c:v>-0.44402840025610535</c:v>
                </c:pt>
                <c:pt idx="311">
                  <c:v>-0.44402840025610535</c:v>
                </c:pt>
                <c:pt idx="312">
                  <c:v>-0.44402840025610535</c:v>
                </c:pt>
                <c:pt idx="313">
                  <c:v>-0.43992385438581477</c:v>
                </c:pt>
                <c:pt idx="314">
                  <c:v>-0.44588630750938202</c:v>
                </c:pt>
                <c:pt idx="315">
                  <c:v>-0.44717255099240832</c:v>
                </c:pt>
                <c:pt idx="316">
                  <c:v>-0.44826442879356077</c:v>
                </c:pt>
                <c:pt idx="317">
                  <c:v>-0.44310230494832159</c:v>
                </c:pt>
                <c:pt idx="318">
                  <c:v>-0.44310230494832159</c:v>
                </c:pt>
                <c:pt idx="319">
                  <c:v>-0.44310230494832159</c:v>
                </c:pt>
                <c:pt idx="320">
                  <c:v>-0.45085978231043738</c:v>
                </c:pt>
                <c:pt idx="321">
                  <c:v>-0.46176141040885399</c:v>
                </c:pt>
                <c:pt idx="322">
                  <c:v>-0.45988063660478101</c:v>
                </c:pt>
                <c:pt idx="323">
                  <c:v>-0.45930325619683521</c:v>
                </c:pt>
                <c:pt idx="324">
                  <c:v>-0.45522157687734388</c:v>
                </c:pt>
                <c:pt idx="325">
                  <c:v>-0.45522157687734388</c:v>
                </c:pt>
                <c:pt idx="326">
                  <c:v>-0.45522157687734388</c:v>
                </c:pt>
                <c:pt idx="327">
                  <c:v>-0.45543880911003387</c:v>
                </c:pt>
                <c:pt idx="328">
                  <c:v>-0.46376223360468338</c:v>
                </c:pt>
                <c:pt idx="329">
                  <c:v>-0.45128281350041188</c:v>
                </c:pt>
                <c:pt idx="330">
                  <c:v>-0.43858044452575384</c:v>
                </c:pt>
                <c:pt idx="331">
                  <c:v>-0.42783888228300587</c:v>
                </c:pt>
                <c:pt idx="332">
                  <c:v>-0.42783888228300587</c:v>
                </c:pt>
                <c:pt idx="333">
                  <c:v>-0.42783888228300587</c:v>
                </c:pt>
                <c:pt idx="334">
                  <c:v>-0.42849629561877473</c:v>
                </c:pt>
                <c:pt idx="335">
                  <c:v>-0.4347960303667795</c:v>
                </c:pt>
                <c:pt idx="336">
                  <c:v>-0.43548774352877201</c:v>
                </c:pt>
                <c:pt idx="337">
                  <c:v>-0.44195326077014541</c:v>
                </c:pt>
                <c:pt idx="338">
                  <c:v>-0.43860331107655731</c:v>
                </c:pt>
                <c:pt idx="339">
                  <c:v>-0.43860331107655731</c:v>
                </c:pt>
                <c:pt idx="340">
                  <c:v>-0.43860331107655731</c:v>
                </c:pt>
                <c:pt idx="341">
                  <c:v>-0.42913655904143422</c:v>
                </c:pt>
                <c:pt idx="342">
                  <c:v>-0.42787318210922015</c:v>
                </c:pt>
                <c:pt idx="343">
                  <c:v>-0.43121741516509648</c:v>
                </c:pt>
                <c:pt idx="344">
                  <c:v>-0.42595810847891702</c:v>
                </c:pt>
                <c:pt idx="345">
                  <c:v>-0.41316998993872361</c:v>
                </c:pt>
                <c:pt idx="346">
                  <c:v>-0.41316998993872361</c:v>
                </c:pt>
                <c:pt idx="347">
                  <c:v>-0.41316998993872361</c:v>
                </c:pt>
                <c:pt idx="348">
                  <c:v>-0.40321160706119075</c:v>
                </c:pt>
                <c:pt idx="349">
                  <c:v>-0.40819651513766453</c:v>
                </c:pt>
                <c:pt idx="350">
                  <c:v>-0.41088905149547766</c:v>
                </c:pt>
                <c:pt idx="351">
                  <c:v>-0.41314712338790832</c:v>
                </c:pt>
                <c:pt idx="352">
                  <c:v>-0.41162078112138162</c:v>
                </c:pt>
                <c:pt idx="353">
                  <c:v>-0.41162078112138162</c:v>
                </c:pt>
                <c:pt idx="354">
                  <c:v>-0.41162078112138162</c:v>
                </c:pt>
                <c:pt idx="355">
                  <c:v>-0.40982004024512941</c:v>
                </c:pt>
                <c:pt idx="356">
                  <c:v>-0.40982004024512941</c:v>
                </c:pt>
              </c:numCache>
            </c:numRef>
          </c:val>
        </c:ser>
        <c:marker val="1"/>
        <c:axId val="303112192"/>
        <c:axId val="303113728"/>
      </c:lineChart>
      <c:dateAx>
        <c:axId val="303112192"/>
        <c:scaling>
          <c:orientation val="minMax"/>
        </c:scaling>
        <c:axPos val="b"/>
        <c:numFmt formatCode="[$-419]dd\ mmm;@" sourceLinked="0"/>
        <c:majorTickMark val="none"/>
        <c:tickLblPos val="low"/>
        <c:txPr>
          <a:bodyPr/>
          <a:lstStyle/>
          <a:p>
            <a:pPr>
              <a:defRPr sz="800">
                <a:latin typeface="Arial Narrow" pitchFamily="34" charset="0"/>
              </a:defRPr>
            </a:pPr>
            <a:endParaRPr lang="ru-RU"/>
          </a:p>
        </c:txPr>
        <c:crossAx val="303113728"/>
        <c:crosses val="autoZero"/>
        <c:auto val="1"/>
        <c:lblOffset val="100"/>
        <c:baseTimeUnit val="days"/>
      </c:dateAx>
      <c:valAx>
        <c:axId val="303113728"/>
        <c:scaling>
          <c:orientation val="minMax"/>
        </c:scaling>
        <c:axPos val="l"/>
        <c:numFmt formatCode="0%" sourceLinked="0"/>
        <c:majorTickMark val="none"/>
        <c:tickLblPos val="nextTo"/>
        <c:spPr>
          <a:ln w="9525">
            <a:noFill/>
          </a:ln>
        </c:spPr>
        <c:txPr>
          <a:bodyPr/>
          <a:lstStyle/>
          <a:p>
            <a:pPr>
              <a:defRPr sz="800">
                <a:latin typeface="Arial Narrow" pitchFamily="34" charset="0"/>
              </a:defRPr>
            </a:pPr>
            <a:endParaRPr lang="ru-RU"/>
          </a:p>
        </c:txPr>
        <c:crossAx val="303112192"/>
        <c:crosses val="autoZero"/>
        <c:crossBetween val="between"/>
      </c:valAx>
    </c:plotArea>
    <c:legend>
      <c:legendPos val="b"/>
      <c:txPr>
        <a:bodyPr/>
        <a:lstStyle/>
        <a:p>
          <a:pPr>
            <a:defRPr sz="800">
              <a:latin typeface="Arial Narrow" pitchFamily="34" charset="0"/>
            </a:defRPr>
          </a:pPr>
          <a:endParaRPr lang="ru-RU"/>
        </a:p>
      </c:txPr>
    </c:legend>
    <c:plotVisOnly val="1"/>
    <c:dispBlanksAs val="gap"/>
  </c:chart>
  <c:spPr>
    <a:ln>
      <a:noFill/>
    </a:ln>
  </c:spPr>
  <c:externalData r:id="rId1"/>
</c:chartSpace>
</file>

<file path=word/charts/chart14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Сведения о дивидендах</a:t>
            </a:r>
          </a:p>
        </c:rich>
      </c:tx>
      <c:layout/>
    </c:title>
    <c:plotArea>
      <c:layout/>
      <c:barChart>
        <c:barDir val="col"/>
        <c:grouping val="stacked"/>
        <c:ser>
          <c:idx val="1"/>
          <c:order val="2"/>
          <c:tx>
            <c:strRef>
              <c:f>Лист1!$C$1</c:f>
              <c:strCache>
                <c:ptCount val="1"/>
                <c:pt idx="0">
                  <c:v>Чистая прибыль</c:v>
                </c:pt>
              </c:strCache>
            </c:strRef>
          </c:tx>
          <c:dLbls>
            <c:dLblPos val="inEnd"/>
            <c:showVal val="1"/>
          </c:dLbls>
          <c:cat>
            <c:strRef>
              <c:f>Лист1!$A$2:$A$4</c:f>
              <c:strCache>
                <c:ptCount val="3"/>
                <c:pt idx="0">
                  <c:v>Решение ГОСА 20.06.2011 
по итогам 2010 г.</c:v>
                </c:pt>
                <c:pt idx="1">
                  <c:v>Решение ГОСА 25.06.2012 
по итогам 2011 г.</c:v>
                </c:pt>
                <c:pt idx="2">
                  <c:v>Решение ГОСА 26.06.2013 
по итогам 2012 г.</c:v>
                </c:pt>
              </c:strCache>
            </c:strRef>
          </c:cat>
          <c:val>
            <c:numRef>
              <c:f>Лист1!$C$2:$C$4</c:f>
              <c:numCache>
                <c:formatCode>#,##0</c:formatCode>
                <c:ptCount val="3"/>
                <c:pt idx="0">
                  <c:v>15622</c:v>
                </c:pt>
                <c:pt idx="1">
                  <c:v>17053</c:v>
                </c:pt>
                <c:pt idx="2">
                  <c:v>17184</c:v>
                </c:pt>
              </c:numCache>
            </c:numRef>
          </c:val>
        </c:ser>
        <c:ser>
          <c:idx val="0"/>
          <c:order val="3"/>
          <c:tx>
            <c:strRef>
              <c:f>Лист1!$B$1</c:f>
              <c:strCache>
                <c:ptCount val="1"/>
                <c:pt idx="0">
                  <c:v>Объем объявленных (начисленных) дивидендов </c:v>
                </c:pt>
              </c:strCache>
            </c:strRef>
          </c:tx>
          <c:dLbls>
            <c:showVal val="1"/>
          </c:dLbls>
          <c:cat>
            <c:strRef>
              <c:f>Лист1!$A$2:$A$4</c:f>
              <c:strCache>
                <c:ptCount val="3"/>
                <c:pt idx="0">
                  <c:v>Решение ГОСА 20.06.2011 
по итогам 2010 г.</c:v>
                </c:pt>
                <c:pt idx="1">
                  <c:v>Решение ГОСА 25.06.2012 
по итогам 2011 г.</c:v>
                </c:pt>
                <c:pt idx="2">
                  <c:v>Решение ГОСА 26.06.2013 
по итогам 2012 г.</c:v>
                </c:pt>
              </c:strCache>
            </c:strRef>
          </c:cat>
          <c:val>
            <c:numRef>
              <c:f>Лист1!$B$2:$B$4</c:f>
              <c:numCache>
                <c:formatCode>#,##0</c:formatCode>
                <c:ptCount val="3"/>
                <c:pt idx="0">
                  <c:v>1200</c:v>
                </c:pt>
                <c:pt idx="1">
                  <c:v>1218</c:v>
                </c:pt>
                <c:pt idx="2">
                  <c:v>4296</c:v>
                </c:pt>
              </c:numCache>
            </c:numRef>
          </c:val>
        </c:ser>
        <c:overlap val="100"/>
        <c:axId val="303155456"/>
        <c:axId val="303190016"/>
      </c:barChart>
      <c:lineChart>
        <c:grouping val="standard"/>
        <c:ser>
          <c:idx val="2"/>
          <c:order val="0"/>
          <c:tx>
            <c:strRef>
              <c:f>Лист1!$D$1</c:f>
              <c:strCache>
                <c:ptCount val="1"/>
                <c:pt idx="0">
                  <c:v>Доля дивидендных выплат в чистой прибыли</c:v>
                </c:pt>
              </c:strCache>
            </c:strRef>
          </c:tx>
          <c:marker>
            <c:symbol val="circle"/>
            <c:size val="7"/>
          </c:marker>
          <c:dLbls>
            <c:dLblPos val="t"/>
            <c:showVal val="1"/>
          </c:dLbls>
          <c:cat>
            <c:strRef>
              <c:f>Лист1!$A$2:$A$4</c:f>
              <c:strCache>
                <c:ptCount val="3"/>
                <c:pt idx="0">
                  <c:v>Решение ГОСА 20.06.2011 
по итогам 2010 г.</c:v>
                </c:pt>
                <c:pt idx="1">
                  <c:v>Решение ГОСА 25.06.2012 
по итогам 2011 г.</c:v>
                </c:pt>
                <c:pt idx="2">
                  <c:v>Решение ГОСА 26.06.2013 
по итогам 2012 г.</c:v>
                </c:pt>
              </c:strCache>
            </c:strRef>
          </c:cat>
          <c:val>
            <c:numRef>
              <c:f>Лист1!$D$2:$D$4</c:f>
              <c:numCache>
                <c:formatCode>0.00%</c:formatCode>
                <c:ptCount val="3"/>
                <c:pt idx="0">
                  <c:v>7.6799999999999993E-2</c:v>
                </c:pt>
                <c:pt idx="1">
                  <c:v>7.1400000000000019E-2</c:v>
                </c:pt>
                <c:pt idx="2">
                  <c:v>0.25</c:v>
                </c:pt>
              </c:numCache>
            </c:numRef>
          </c:val>
        </c:ser>
        <c:ser>
          <c:idx val="3"/>
          <c:order val="1"/>
          <c:tx>
            <c:strRef>
              <c:f>Лист1!$E$1</c:f>
              <c:strCache>
                <c:ptCount val="1"/>
                <c:pt idx="0">
                  <c:v>Дивидендная доходность</c:v>
                </c:pt>
              </c:strCache>
            </c:strRef>
          </c:tx>
          <c:marker>
            <c:symbol val="circle"/>
            <c:size val="7"/>
          </c:marker>
          <c:dLbls>
            <c:spPr>
              <a:solidFill>
                <a:schemeClr val="accent4"/>
              </a:solidFill>
            </c:spPr>
            <c:dLblPos val="t"/>
            <c:showVal val="1"/>
          </c:dLbls>
          <c:cat>
            <c:strRef>
              <c:f>Лист1!$A$2:$A$4</c:f>
              <c:strCache>
                <c:ptCount val="3"/>
                <c:pt idx="0">
                  <c:v>Решение ГОСА 20.06.2011 
по итогам 2010 г.</c:v>
                </c:pt>
                <c:pt idx="1">
                  <c:v>Решение ГОСА 25.06.2012 
по итогам 2011 г.</c:v>
                </c:pt>
                <c:pt idx="2">
                  <c:v>Решение ГОСА 26.06.2013 
по итогам 2012 г.</c:v>
                </c:pt>
              </c:strCache>
            </c:strRef>
          </c:cat>
          <c:val>
            <c:numRef>
              <c:f>Лист1!$E$2:$E$4</c:f>
              <c:numCache>
                <c:formatCode>0.00%</c:formatCode>
                <c:ptCount val="3"/>
                <c:pt idx="0">
                  <c:v>1.5100000000000021E-2</c:v>
                </c:pt>
                <c:pt idx="1">
                  <c:v>1.43E-2</c:v>
                </c:pt>
                <c:pt idx="2">
                  <c:v>5.8500000000000003E-2</c:v>
                </c:pt>
              </c:numCache>
            </c:numRef>
          </c:val>
        </c:ser>
        <c:marker val="1"/>
        <c:axId val="303193472"/>
        <c:axId val="303191936"/>
      </c:lineChart>
      <c:catAx>
        <c:axId val="303155456"/>
        <c:scaling>
          <c:orientation val="minMax"/>
        </c:scaling>
        <c:axPos val="b"/>
        <c:tickLblPos val="nextTo"/>
        <c:crossAx val="303190016"/>
        <c:crosses val="autoZero"/>
        <c:auto val="1"/>
        <c:lblAlgn val="ctr"/>
        <c:lblOffset val="100"/>
      </c:catAx>
      <c:valAx>
        <c:axId val="303190016"/>
        <c:scaling>
          <c:orientation val="minMax"/>
        </c:scaling>
        <c:axPos val="l"/>
        <c:majorGridlines/>
        <c:title>
          <c:tx>
            <c:rich>
              <a:bodyPr rot="-5400000" vert="horz"/>
              <a:lstStyle/>
              <a:p>
                <a:pPr>
                  <a:defRPr/>
                </a:pPr>
                <a:r>
                  <a:rPr lang="ru-RU"/>
                  <a:t>млн руб.</a:t>
                </a:r>
              </a:p>
            </c:rich>
          </c:tx>
          <c:layout/>
        </c:title>
        <c:numFmt formatCode="#,##0" sourceLinked="1"/>
        <c:tickLblPos val="nextTo"/>
        <c:crossAx val="303155456"/>
        <c:crosses val="autoZero"/>
        <c:crossBetween val="between"/>
      </c:valAx>
      <c:valAx>
        <c:axId val="303191936"/>
        <c:scaling>
          <c:orientation val="minMax"/>
        </c:scaling>
        <c:axPos val="r"/>
        <c:numFmt formatCode="0%" sourceLinked="0"/>
        <c:tickLblPos val="nextTo"/>
        <c:crossAx val="303193472"/>
        <c:crosses val="max"/>
        <c:crossBetween val="between"/>
      </c:valAx>
      <c:catAx>
        <c:axId val="303193472"/>
        <c:scaling>
          <c:orientation val="minMax"/>
        </c:scaling>
        <c:delete val="1"/>
        <c:axPos val="b"/>
        <c:tickLblPos val="none"/>
        <c:crossAx val="303191936"/>
        <c:crosses val="autoZero"/>
        <c:auto val="1"/>
        <c:lblAlgn val="ctr"/>
        <c:lblOffset val="100"/>
      </c:catAx>
    </c:plotArea>
    <c:legend>
      <c:legendPos val="r"/>
      <c:layout>
        <c:manualLayout>
          <c:xMode val="edge"/>
          <c:yMode val="edge"/>
          <c:x val="0.68277777777777771"/>
          <c:y val="0.33607424071991937"/>
          <c:w val="0.29668100590440805"/>
          <c:h val="0.45337111543385705"/>
        </c:manualLayout>
      </c:layout>
    </c:legend>
    <c:plotVisOnly val="1"/>
    <c:dispBlanksAs val="gap"/>
  </c:chart>
  <c:txPr>
    <a:bodyPr/>
    <a:lstStyle/>
    <a:p>
      <a:pPr>
        <a:defRPr sz="800"/>
      </a:pPr>
      <a:endParaRPr lang="ru-RU"/>
    </a:p>
  </c:txPr>
  <c:externalData r:id="rId1"/>
</c:chartSpace>
</file>

<file path=word/charts/chart14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Динамика среднесписочной численности персонала</a:t>
            </a:r>
          </a:p>
        </c:rich>
      </c:tx>
    </c:title>
    <c:plotArea>
      <c:layout>
        <c:manualLayout>
          <c:layoutTarget val="inner"/>
          <c:xMode val="edge"/>
          <c:yMode val="edge"/>
          <c:x val="6.0536494735912327E-2"/>
          <c:y val="0.11467017395796272"/>
          <c:w val="0.91632001534146612"/>
          <c:h val="0.72022262277456284"/>
        </c:manualLayout>
      </c:layout>
      <c:barChart>
        <c:barDir val="col"/>
        <c:grouping val="clustered"/>
        <c:ser>
          <c:idx val="0"/>
          <c:order val="0"/>
          <c:tx>
            <c:strRef>
              <c:f>Лист1!$B$1</c:f>
              <c:strCache>
                <c:ptCount val="1"/>
                <c:pt idx="0">
                  <c:v>Среднесписочная численность персонала</c:v>
                </c:pt>
              </c:strCache>
            </c:strRef>
          </c:tx>
          <c:spPr>
            <a:solidFill>
              <a:schemeClr val="accent4"/>
            </a:solidFill>
          </c:spPr>
          <c:dPt>
            <c:idx val="3"/>
            <c:spPr>
              <a:solidFill>
                <a:schemeClr val="accent3"/>
              </a:solidFill>
            </c:spPr>
          </c:dPt>
          <c:dPt>
            <c:idx val="4"/>
            <c:spPr>
              <a:solidFill>
                <a:schemeClr val="accent3"/>
              </a:solidFill>
            </c:spPr>
          </c:dPt>
          <c:dPt>
            <c:idx val="5"/>
            <c:spPr>
              <a:solidFill>
                <a:schemeClr val="accent3"/>
              </a:solidFill>
            </c:spPr>
          </c:dPt>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15232</c:v>
                </c:pt>
                <c:pt idx="1">
                  <c:v>15215</c:v>
                </c:pt>
                <c:pt idx="2">
                  <c:v>15160</c:v>
                </c:pt>
              </c:numCache>
            </c:numRef>
          </c:val>
        </c:ser>
        <c:axId val="303395584"/>
        <c:axId val="303397120"/>
      </c:barChart>
      <c:catAx>
        <c:axId val="303395584"/>
        <c:scaling>
          <c:orientation val="minMax"/>
        </c:scaling>
        <c:axPos val="b"/>
        <c:numFmt formatCode="General" sourceLinked="1"/>
        <c:tickLblPos val="nextTo"/>
        <c:crossAx val="303397120"/>
        <c:crosses val="autoZero"/>
        <c:auto val="1"/>
        <c:lblAlgn val="ctr"/>
        <c:lblOffset val="100"/>
      </c:catAx>
      <c:valAx>
        <c:axId val="303397120"/>
        <c:scaling>
          <c:orientation val="minMax"/>
          <c:max val="28000"/>
          <c:min val="0"/>
        </c:scaling>
        <c:delete val="1"/>
        <c:axPos val="l"/>
        <c:majorGridlines/>
        <c:title>
          <c:tx>
            <c:rich>
              <a:bodyPr rot="-5400000" vert="horz"/>
              <a:lstStyle/>
              <a:p>
                <a:pPr>
                  <a:defRPr/>
                </a:pPr>
                <a:r>
                  <a:rPr lang="ru-RU"/>
                  <a:t>человек</a:t>
                </a:r>
              </a:p>
            </c:rich>
          </c:tx>
        </c:title>
        <c:numFmt formatCode="#,##0" sourceLinked="1"/>
        <c:tickLblPos val="none"/>
        <c:crossAx val="303395584"/>
        <c:crosses val="autoZero"/>
        <c:crossBetween val="between"/>
      </c:valAx>
    </c:plotArea>
    <c:plotVisOnly val="1"/>
    <c:dispBlanksAs val="gap"/>
  </c:chart>
  <c:txPr>
    <a:bodyPr/>
    <a:lstStyle/>
    <a:p>
      <a:pPr>
        <a:defRPr sz="900"/>
      </a:pPr>
      <a:endParaRPr lang="ru-RU"/>
    </a:p>
  </c:txPr>
  <c:externalData r:id="rId1"/>
</c:chartSpace>
</file>

<file path=word/charts/chart14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Динамика штатной численности персонала</a:t>
            </a:r>
          </a:p>
        </c:rich>
      </c:tx>
    </c:title>
    <c:plotArea>
      <c:layout>
        <c:manualLayout>
          <c:layoutTarget val="inner"/>
          <c:xMode val="edge"/>
          <c:yMode val="edge"/>
          <c:x val="6.0536494735912369E-2"/>
          <c:y val="0.11467017395796272"/>
          <c:w val="0.91632001534146612"/>
          <c:h val="0.72022262277456284"/>
        </c:manualLayout>
      </c:layout>
      <c:barChart>
        <c:barDir val="col"/>
        <c:grouping val="clustered"/>
        <c:ser>
          <c:idx val="0"/>
          <c:order val="0"/>
          <c:tx>
            <c:strRef>
              <c:f>Лист1!$C$1</c:f>
              <c:strCache>
                <c:ptCount val="1"/>
                <c:pt idx="0">
                  <c:v>Штатная численность персонала</c:v>
                </c:pt>
              </c:strCache>
            </c:strRef>
          </c:tx>
          <c:spPr>
            <a:solidFill>
              <a:schemeClr val="accent3"/>
            </a:solidFill>
          </c:spPr>
          <c:dPt>
            <c:idx val="3"/>
            <c:spPr>
              <a:solidFill>
                <a:schemeClr val="accent3"/>
              </a:solidFill>
            </c:spPr>
          </c:dPt>
          <c:dPt>
            <c:idx val="4"/>
            <c:spPr>
              <a:solidFill>
                <a:schemeClr val="accent3"/>
              </a:solidFill>
            </c:spPr>
          </c:dPt>
          <c:dPt>
            <c:idx val="5"/>
            <c:spPr>
              <a:solidFill>
                <a:schemeClr val="accent3"/>
              </a:solidFill>
            </c:spPr>
          </c:dPt>
          <c:dLbls>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16562</c:v>
                </c:pt>
                <c:pt idx="1">
                  <c:v>16353</c:v>
                </c:pt>
                <c:pt idx="2">
                  <c:v>16251</c:v>
                </c:pt>
              </c:numCache>
            </c:numRef>
          </c:val>
        </c:ser>
        <c:axId val="303418752"/>
        <c:axId val="303432832"/>
      </c:barChart>
      <c:catAx>
        <c:axId val="303418752"/>
        <c:scaling>
          <c:orientation val="minMax"/>
        </c:scaling>
        <c:axPos val="b"/>
        <c:numFmt formatCode="General" sourceLinked="1"/>
        <c:tickLblPos val="nextTo"/>
        <c:crossAx val="303432832"/>
        <c:crosses val="autoZero"/>
        <c:auto val="1"/>
        <c:lblAlgn val="ctr"/>
        <c:lblOffset val="100"/>
      </c:catAx>
      <c:valAx>
        <c:axId val="303432832"/>
        <c:scaling>
          <c:orientation val="minMax"/>
          <c:max val="28000"/>
          <c:min val="0"/>
        </c:scaling>
        <c:delete val="1"/>
        <c:axPos val="l"/>
        <c:majorGridlines/>
        <c:title>
          <c:tx>
            <c:rich>
              <a:bodyPr rot="-5400000" vert="horz"/>
              <a:lstStyle/>
              <a:p>
                <a:pPr>
                  <a:defRPr/>
                </a:pPr>
                <a:r>
                  <a:rPr lang="ru-RU"/>
                  <a:t>человек</a:t>
                </a:r>
              </a:p>
            </c:rich>
          </c:tx>
        </c:title>
        <c:numFmt formatCode="#,##0" sourceLinked="1"/>
        <c:tickLblPos val="none"/>
        <c:crossAx val="303418752"/>
        <c:crosses val="autoZero"/>
        <c:crossBetween val="between"/>
      </c:valAx>
    </c:plotArea>
    <c:plotVisOnly val="1"/>
    <c:dispBlanksAs val="gap"/>
  </c:chart>
  <c:txPr>
    <a:bodyPr/>
    <a:lstStyle/>
    <a:p>
      <a:pPr>
        <a:defRPr sz="900"/>
      </a:pPr>
      <a:endParaRPr lang="ru-RU"/>
    </a:p>
  </c:txPr>
  <c:externalData r:id="rId1"/>
</c:chartSpace>
</file>

<file path=word/charts/chart14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ru-RU" sz="1000"/>
              <a:t>Доля среднесписочной численности исполнительного аппарата и филиалов в общей численности</a:t>
            </a:r>
          </a:p>
        </c:rich>
      </c:tx>
    </c:title>
    <c:plotArea>
      <c:layout>
        <c:manualLayout>
          <c:layoutTarget val="inner"/>
          <c:xMode val="edge"/>
          <c:yMode val="edge"/>
          <c:x val="8.8277376786235248E-2"/>
          <c:y val="0.24222906425463178"/>
          <c:w val="0.82744990320164913"/>
          <c:h val="0.56676089198021706"/>
        </c:manualLayout>
      </c:layout>
      <c:barChart>
        <c:barDir val="col"/>
        <c:grouping val="percentStacked"/>
        <c:ser>
          <c:idx val="1"/>
          <c:order val="0"/>
          <c:tx>
            <c:strRef>
              <c:f>Лист1!$C$1</c:f>
              <c:strCache>
                <c:ptCount val="1"/>
                <c:pt idx="0">
                  <c:v>Филиалы </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0.94210000000000005</c:v>
                </c:pt>
                <c:pt idx="1">
                  <c:v>0.93759999999999999</c:v>
                </c:pt>
                <c:pt idx="2">
                  <c:v>0.93320000000000003</c:v>
                </c:pt>
              </c:numCache>
            </c:numRef>
          </c:val>
        </c:ser>
        <c:ser>
          <c:idx val="0"/>
          <c:order val="1"/>
          <c:tx>
            <c:strRef>
              <c:f>Лист1!$B$1</c:f>
              <c:strCache>
                <c:ptCount val="1"/>
                <c:pt idx="0">
                  <c:v>Исполнительный аппарат </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0.00%</c:formatCode>
                <c:ptCount val="3"/>
                <c:pt idx="0">
                  <c:v>5.7900000000000014E-2</c:v>
                </c:pt>
                <c:pt idx="1">
                  <c:v>6.2400000000000122E-2</c:v>
                </c:pt>
                <c:pt idx="2">
                  <c:v>6.6799999999999998E-2</c:v>
                </c:pt>
              </c:numCache>
            </c:numRef>
          </c:val>
        </c:ser>
        <c:overlap val="100"/>
        <c:axId val="303580288"/>
        <c:axId val="303581824"/>
      </c:barChart>
      <c:catAx>
        <c:axId val="303580288"/>
        <c:scaling>
          <c:orientation val="minMax"/>
        </c:scaling>
        <c:axPos val="b"/>
        <c:numFmt formatCode="General" sourceLinked="1"/>
        <c:tickLblPos val="nextTo"/>
        <c:crossAx val="303581824"/>
        <c:crosses val="autoZero"/>
        <c:auto val="1"/>
        <c:lblAlgn val="ctr"/>
        <c:lblOffset val="100"/>
      </c:catAx>
      <c:valAx>
        <c:axId val="303581824"/>
        <c:scaling>
          <c:orientation val="minMax"/>
          <c:min val="0"/>
        </c:scaling>
        <c:axPos val="l"/>
        <c:majorGridlines/>
        <c:numFmt formatCode="0%" sourceLinked="1"/>
        <c:tickLblPos val="nextTo"/>
        <c:crossAx val="303580288"/>
        <c:crosses val="autoZero"/>
        <c:crossBetween val="between"/>
      </c:valAx>
    </c:plotArea>
    <c:legend>
      <c:legendPos val="b"/>
      <c:layout>
        <c:manualLayout>
          <c:xMode val="edge"/>
          <c:yMode val="edge"/>
          <c:x val="0"/>
          <c:y val="0.8846707984495108"/>
          <c:w val="0.96398817754424782"/>
          <c:h val="9.1189824207043635E-2"/>
        </c:manualLayout>
      </c:layout>
    </c:legend>
    <c:plotVisOnly val="1"/>
    <c:dispBlanksAs val="gap"/>
  </c:chart>
  <c:externalData r:id="rId1"/>
</c:chartSpace>
</file>

<file path=word/charts/chart14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rtl="0">
              <a:defRPr/>
            </a:pPr>
            <a:r>
              <a:rPr lang="ru-RU" sz="1000"/>
              <a:t>Доля штатной численности исполнительного аппарата и филиалов в общей численности</a:t>
            </a:r>
          </a:p>
        </c:rich>
      </c:tx>
    </c:title>
    <c:plotArea>
      <c:layout/>
      <c:barChart>
        <c:barDir val="col"/>
        <c:grouping val="percentStacked"/>
        <c:ser>
          <c:idx val="1"/>
          <c:order val="0"/>
          <c:tx>
            <c:strRef>
              <c:f>Лист1!$C$1</c:f>
              <c:strCache>
                <c:ptCount val="1"/>
                <c:pt idx="0">
                  <c:v>Филиалы </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0.94312281125468511</c:v>
                </c:pt>
                <c:pt idx="1">
                  <c:v>0.93646425732281535</c:v>
                </c:pt>
                <c:pt idx="2">
                  <c:v>0.93126576826041452</c:v>
                </c:pt>
              </c:numCache>
            </c:numRef>
          </c:val>
        </c:ser>
        <c:ser>
          <c:idx val="0"/>
          <c:order val="1"/>
          <c:tx>
            <c:strRef>
              <c:f>Лист1!$B$1</c:f>
              <c:strCache>
                <c:ptCount val="1"/>
                <c:pt idx="0">
                  <c:v>Исполнительный аппарат </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0.00%</c:formatCode>
                <c:ptCount val="3"/>
                <c:pt idx="0">
                  <c:v>5.6877188745320613E-2</c:v>
                </c:pt>
                <c:pt idx="1">
                  <c:v>6.3535742677184245E-2</c:v>
                </c:pt>
                <c:pt idx="2">
                  <c:v>6.8734231739585996E-2</c:v>
                </c:pt>
              </c:numCache>
            </c:numRef>
          </c:val>
        </c:ser>
        <c:overlap val="100"/>
        <c:axId val="303608960"/>
        <c:axId val="303610496"/>
      </c:barChart>
      <c:catAx>
        <c:axId val="303608960"/>
        <c:scaling>
          <c:orientation val="minMax"/>
        </c:scaling>
        <c:axPos val="b"/>
        <c:numFmt formatCode="General" sourceLinked="1"/>
        <c:tickLblPos val="nextTo"/>
        <c:crossAx val="303610496"/>
        <c:crosses val="autoZero"/>
        <c:auto val="1"/>
        <c:lblAlgn val="ctr"/>
        <c:lblOffset val="100"/>
      </c:catAx>
      <c:valAx>
        <c:axId val="303610496"/>
        <c:scaling>
          <c:orientation val="minMax"/>
          <c:min val="0"/>
        </c:scaling>
        <c:axPos val="l"/>
        <c:majorGridlines/>
        <c:numFmt formatCode="0%" sourceLinked="1"/>
        <c:tickLblPos val="nextTo"/>
        <c:crossAx val="303608960"/>
        <c:crosses val="autoZero"/>
        <c:crossBetween val="between"/>
      </c:valAx>
    </c:plotArea>
    <c:legend>
      <c:legendPos val="b"/>
    </c:legend>
    <c:plotVisOnly val="1"/>
    <c:dispBlanksAs val="gap"/>
  </c:chart>
  <c:txPr>
    <a:bodyPr/>
    <a:lstStyle/>
    <a:p>
      <a:pPr>
        <a:defRPr sz="900"/>
      </a:pPr>
      <a:endParaRPr lang="ru-RU"/>
    </a:p>
  </c:txPr>
  <c:externalData r:id="rId1"/>
</c:chartSpace>
</file>

<file path=word/charts/chart14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Уровень обеспеченности персоналом</a:t>
            </a:r>
          </a:p>
        </c:rich>
      </c:tx>
    </c:title>
    <c:plotArea>
      <c:layout/>
      <c:barChart>
        <c:barDir val="col"/>
        <c:grouping val="percentStacked"/>
        <c:ser>
          <c:idx val="0"/>
          <c:order val="0"/>
          <c:tx>
            <c:strRef>
              <c:f>Лист1!$B$1</c:f>
              <c:strCache>
                <c:ptCount val="1"/>
                <c:pt idx="0">
                  <c:v>Уровень обеспеченности персоналом</c:v>
                </c:pt>
              </c:strCache>
            </c:strRef>
          </c:tx>
          <c:spPr>
            <a:solidFill>
              <a:schemeClr val="accent1"/>
            </a:solidFill>
            <a:ln>
              <a:solidFill>
                <a:schemeClr val="accent1"/>
              </a:solidFill>
            </a:ln>
          </c:spPr>
          <c:dLbls>
            <c:dLblPos val="inEnd"/>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0.97000000000000064</c:v>
                </c:pt>
                <c:pt idx="1">
                  <c:v>0.95000000000000062</c:v>
                </c:pt>
                <c:pt idx="2">
                  <c:v>0.97000000000000064</c:v>
                </c:pt>
              </c:numCache>
            </c:numRef>
          </c:val>
        </c:ser>
        <c:ser>
          <c:idx val="1"/>
          <c:order val="1"/>
          <c:tx>
            <c:strRef>
              <c:f>Лист1!$C$1</c:f>
              <c:strCache>
                <c:ptCount val="1"/>
                <c:pt idx="0">
                  <c:v>Столбец1</c:v>
                </c:pt>
              </c:strCache>
            </c:strRef>
          </c:tx>
          <c:spPr>
            <a:noFill/>
            <a:ln>
              <a:solidFill>
                <a:schemeClr val="accent1"/>
              </a:solidFill>
            </a:ln>
          </c:spPr>
          <c:cat>
            <c:numRef>
              <c:f>Лист1!$A$2:$A$4</c:f>
              <c:numCache>
                <c:formatCode>General</c:formatCode>
                <c:ptCount val="3"/>
                <c:pt idx="0">
                  <c:v>2011</c:v>
                </c:pt>
                <c:pt idx="1">
                  <c:v>2012</c:v>
                </c:pt>
                <c:pt idx="2">
                  <c:v>2013</c:v>
                </c:pt>
              </c:numCache>
            </c:numRef>
          </c:cat>
          <c:val>
            <c:numRef>
              <c:f>Лист1!$C$2:$C$4</c:f>
              <c:numCache>
                <c:formatCode>0%</c:formatCode>
                <c:ptCount val="3"/>
                <c:pt idx="0">
                  <c:v>3.0000000000000051E-2</c:v>
                </c:pt>
                <c:pt idx="1">
                  <c:v>5.0000000000000093E-2</c:v>
                </c:pt>
                <c:pt idx="2">
                  <c:v>3.0000000000000051E-2</c:v>
                </c:pt>
              </c:numCache>
            </c:numRef>
          </c:val>
        </c:ser>
        <c:overlap val="100"/>
        <c:axId val="303959424"/>
        <c:axId val="303977600"/>
      </c:barChart>
      <c:catAx>
        <c:axId val="303959424"/>
        <c:scaling>
          <c:orientation val="minMax"/>
        </c:scaling>
        <c:axPos val="b"/>
        <c:numFmt formatCode="General" sourceLinked="1"/>
        <c:tickLblPos val="nextTo"/>
        <c:crossAx val="303977600"/>
        <c:crosses val="autoZero"/>
        <c:auto val="1"/>
        <c:lblAlgn val="ctr"/>
        <c:lblOffset val="100"/>
      </c:catAx>
      <c:valAx>
        <c:axId val="303977600"/>
        <c:scaling>
          <c:orientation val="minMax"/>
          <c:max val="1"/>
          <c:min val="0.60000000000000064"/>
        </c:scaling>
        <c:delete val="1"/>
        <c:axPos val="l"/>
        <c:majorGridlines/>
        <c:numFmt formatCode="0%" sourceLinked="1"/>
        <c:tickLblPos val="none"/>
        <c:crossAx val="303959424"/>
        <c:crosses val="autoZero"/>
        <c:crossBetween val="between"/>
      </c:valAx>
    </c:plotArea>
    <c:plotVisOnly val="1"/>
    <c:dispBlanksAs val="gap"/>
  </c:chart>
  <c:txPr>
    <a:bodyPr/>
    <a:lstStyle/>
    <a:p>
      <a:pPr>
        <a:defRPr sz="900"/>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Количество подстанций</a:t>
            </a:r>
          </a:p>
        </c:rich>
      </c:tx>
    </c:title>
    <c:plotArea>
      <c:layout>
        <c:manualLayout>
          <c:layoutTarget val="inner"/>
          <c:xMode val="edge"/>
          <c:yMode val="edge"/>
          <c:x val="4.5909849749582267E-2"/>
          <c:y val="0.12923502839745243"/>
          <c:w val="0.91235311493432947"/>
          <c:h val="0.6410937297091136"/>
        </c:manualLayout>
      </c:layout>
      <c:barChart>
        <c:barDir val="col"/>
        <c:grouping val="stacked"/>
        <c:ser>
          <c:idx val="1"/>
          <c:order val="0"/>
          <c:tx>
            <c:strRef>
              <c:f>Лист1!$C$1</c:f>
              <c:strCache>
                <c:ptCount val="1"/>
                <c:pt idx="0">
                  <c:v>Подстанции распределительных сетей (0,4-20 кВ)</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28082</c:v>
                </c:pt>
                <c:pt idx="1">
                  <c:v>28466</c:v>
                </c:pt>
                <c:pt idx="2">
                  <c:v>29664</c:v>
                </c:pt>
              </c:numCache>
            </c:numRef>
          </c:val>
        </c:ser>
        <c:ser>
          <c:idx val="0"/>
          <c:order val="1"/>
          <c:tx>
            <c:strRef>
              <c:f>Лист1!$B$1</c:f>
              <c:strCache>
                <c:ptCount val="1"/>
                <c:pt idx="0">
                  <c:v>Высоковольтные центры питания (35-220 кВ)</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607</c:v>
                </c:pt>
                <c:pt idx="1">
                  <c:v>607</c:v>
                </c:pt>
                <c:pt idx="2">
                  <c:v>608</c:v>
                </c:pt>
              </c:numCache>
            </c:numRef>
          </c:val>
        </c:ser>
        <c:overlap val="100"/>
        <c:axId val="103991936"/>
        <c:axId val="104001920"/>
      </c:barChart>
      <c:catAx>
        <c:axId val="103991936"/>
        <c:scaling>
          <c:orientation val="minMax"/>
        </c:scaling>
        <c:axPos val="b"/>
        <c:numFmt formatCode="General" sourceLinked="1"/>
        <c:tickLblPos val="nextTo"/>
        <c:crossAx val="104001920"/>
        <c:crosses val="autoZero"/>
        <c:auto val="1"/>
        <c:lblAlgn val="ctr"/>
        <c:lblOffset val="100"/>
      </c:catAx>
      <c:valAx>
        <c:axId val="104001920"/>
        <c:scaling>
          <c:orientation val="minMax"/>
          <c:max val="35000"/>
          <c:min val="0"/>
        </c:scaling>
        <c:delete val="1"/>
        <c:axPos val="l"/>
        <c:majorGridlines/>
        <c:title>
          <c:tx>
            <c:rich>
              <a:bodyPr rot="-5400000" vert="horz"/>
              <a:lstStyle/>
              <a:p>
                <a:pPr>
                  <a:defRPr/>
                </a:pPr>
                <a:r>
                  <a:rPr lang="ru-RU"/>
                  <a:t>шт.</a:t>
                </a:r>
              </a:p>
            </c:rich>
          </c:tx>
        </c:title>
        <c:numFmt formatCode="#,##0" sourceLinked="1"/>
        <c:tickLblPos val="none"/>
        <c:crossAx val="103991936"/>
        <c:crosses val="autoZero"/>
        <c:crossBetween val="between"/>
      </c:valAx>
    </c:plotArea>
    <c:legend>
      <c:legendPos val="b"/>
      <c:layout>
        <c:manualLayout>
          <c:xMode val="edge"/>
          <c:yMode val="edge"/>
          <c:x val="0.05"/>
          <c:y val="0.84960041087512028"/>
          <c:w val="0.87911354577418854"/>
          <c:h val="0.12605676165541255"/>
        </c:manualLayout>
      </c:layout>
    </c:legend>
    <c:plotVisOnly val="1"/>
    <c:dispBlanksAs val="gap"/>
  </c:chart>
  <c:txPr>
    <a:bodyPr/>
    <a:lstStyle/>
    <a:p>
      <a:pPr>
        <a:defRPr sz="900"/>
      </a:pPr>
      <a:endParaRPr lang="ru-RU"/>
    </a:p>
  </c:txPr>
  <c:externalData r:id="rId1"/>
</c:chartSpace>
</file>

<file path=word/charts/chart150.xml><?xml version="1.0" encoding="utf-8"?>
<c:chartSpace xmlns:c="http://schemas.openxmlformats.org/drawingml/2006/chart" xmlns:a="http://schemas.openxmlformats.org/drawingml/2006/main" xmlns:r="http://schemas.openxmlformats.org/officeDocument/2006/relationships">
  <c:date1904 val="1"/>
  <c:lang val="ru-RU"/>
  <c:chart>
    <c:title/>
    <c:plotArea>
      <c:layout/>
      <c:lineChart>
        <c:grouping val="standard"/>
        <c:ser>
          <c:idx val="0"/>
          <c:order val="0"/>
          <c:tx>
            <c:strRef>
              <c:f>Лист1!$B$1</c:f>
              <c:strCache>
                <c:ptCount val="1"/>
                <c:pt idx="0">
                  <c:v>Уровень активной текучести персонала</c:v>
                </c:pt>
              </c:strCache>
            </c:strRef>
          </c:tx>
          <c:marker>
            <c:symbol val="circle"/>
            <c:size val="7"/>
          </c:marker>
          <c:dLbls>
            <c:dLblPos val="t"/>
            <c:showVal val="1"/>
          </c:dLbls>
          <c:cat>
            <c:numRef>
              <c:f>Лист1!$A$2:$A$4</c:f>
              <c:numCache>
                <c:formatCode>General</c:formatCode>
                <c:ptCount val="3"/>
                <c:pt idx="0">
                  <c:v>2011</c:v>
                </c:pt>
                <c:pt idx="1">
                  <c:v>2012</c:v>
                </c:pt>
                <c:pt idx="2">
                  <c:v>2013</c:v>
                </c:pt>
              </c:numCache>
            </c:numRef>
          </c:cat>
          <c:val>
            <c:numRef>
              <c:f>Лист1!$B$2:$B$4</c:f>
              <c:numCache>
                <c:formatCode>0.0%</c:formatCode>
                <c:ptCount val="3"/>
                <c:pt idx="0">
                  <c:v>7.5000000000000011E-2</c:v>
                </c:pt>
                <c:pt idx="1">
                  <c:v>6.7000000000000004E-2</c:v>
                </c:pt>
                <c:pt idx="2">
                  <c:v>7.1999999999999995E-2</c:v>
                </c:pt>
              </c:numCache>
            </c:numRef>
          </c:val>
        </c:ser>
        <c:marker val="1"/>
        <c:axId val="304001792"/>
        <c:axId val="304003328"/>
      </c:lineChart>
      <c:catAx>
        <c:axId val="304001792"/>
        <c:scaling>
          <c:orientation val="minMax"/>
        </c:scaling>
        <c:axPos val="b"/>
        <c:numFmt formatCode="General" sourceLinked="1"/>
        <c:tickLblPos val="nextTo"/>
        <c:crossAx val="304003328"/>
        <c:crosses val="autoZero"/>
        <c:auto val="1"/>
        <c:lblAlgn val="ctr"/>
        <c:lblOffset val="100"/>
      </c:catAx>
      <c:valAx>
        <c:axId val="304003328"/>
        <c:scaling>
          <c:orientation val="minMax"/>
          <c:max val="9.0000000000000024E-2"/>
          <c:min val="4.0000000000000022E-2"/>
        </c:scaling>
        <c:delete val="1"/>
        <c:axPos val="l"/>
        <c:majorGridlines/>
        <c:numFmt formatCode="0.0%" sourceLinked="1"/>
        <c:tickLblPos val="none"/>
        <c:crossAx val="304001792"/>
        <c:crosses val="autoZero"/>
        <c:crossBetween val="between"/>
      </c:valAx>
    </c:plotArea>
    <c:plotVisOnly val="1"/>
    <c:dispBlanksAs val="gap"/>
  </c:chart>
  <c:txPr>
    <a:bodyPr/>
    <a:lstStyle/>
    <a:p>
      <a:pPr>
        <a:defRPr sz="900"/>
      </a:pPr>
      <a:endParaRPr lang="ru-RU"/>
    </a:p>
  </c:txPr>
  <c:externalData r:id="rId1"/>
</c:chartSpace>
</file>

<file path=word/charts/chart15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Категории работников</a:t>
            </a:r>
          </a:p>
        </c:rich>
      </c:tx>
    </c:title>
    <c:plotArea>
      <c:layout>
        <c:manualLayout>
          <c:layoutTarget val="inner"/>
          <c:xMode val="edge"/>
          <c:yMode val="edge"/>
          <c:x val="0.15591604561135888"/>
          <c:y val="0.12463864552142391"/>
          <c:w val="0.79503155751016075"/>
          <c:h val="0.56251441991989914"/>
        </c:manualLayout>
      </c:layout>
      <c:barChart>
        <c:barDir val="col"/>
        <c:grouping val="percentStacked"/>
        <c:ser>
          <c:idx val="1"/>
          <c:order val="0"/>
          <c:tx>
            <c:strRef>
              <c:f>Лист1!$C$1</c:f>
              <c:strCache>
                <c:ptCount val="1"/>
                <c:pt idx="0">
                  <c:v>Рабочие</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0.48259057390189841</c:v>
                </c:pt>
                <c:pt idx="1">
                  <c:v>0.47127549703072552</c:v>
                </c:pt>
                <c:pt idx="2">
                  <c:v>0.45488914520056895</c:v>
                </c:pt>
              </c:numCache>
            </c:numRef>
          </c:val>
        </c:ser>
        <c:ser>
          <c:idx val="2"/>
          <c:order val="1"/>
          <c:tx>
            <c:strRef>
              <c:f>Лист1!$D$1</c:f>
              <c:strCache>
                <c:ptCount val="1"/>
                <c:pt idx="0">
                  <c:v>Специалисты и служащие</c:v>
                </c:pt>
              </c:strCache>
            </c:strRef>
          </c:tx>
          <c:dLbls>
            <c:showVal val="1"/>
          </c:dLbls>
          <c:cat>
            <c:numRef>
              <c:f>Лист1!$A$2:$A$4</c:f>
              <c:numCache>
                <c:formatCode>General</c:formatCode>
                <c:ptCount val="3"/>
                <c:pt idx="0">
                  <c:v>2011</c:v>
                </c:pt>
                <c:pt idx="1">
                  <c:v>2012</c:v>
                </c:pt>
                <c:pt idx="2">
                  <c:v>2013</c:v>
                </c:pt>
              </c:numCache>
            </c:numRef>
          </c:cat>
          <c:val>
            <c:numRef>
              <c:f>Лист1!$D$2:$D$4</c:f>
              <c:numCache>
                <c:formatCode>0.00%</c:formatCode>
                <c:ptCount val="3"/>
                <c:pt idx="0">
                  <c:v>0.32593780057710808</c:v>
                </c:pt>
                <c:pt idx="1">
                  <c:v>0.33378517944746638</c:v>
                </c:pt>
                <c:pt idx="2">
                  <c:v>0.34851980007689348</c:v>
                </c:pt>
              </c:numCache>
            </c:numRef>
          </c:val>
        </c:ser>
        <c:ser>
          <c:idx val="0"/>
          <c:order val="2"/>
          <c:tx>
            <c:strRef>
              <c:f>Лист1!$B$1</c:f>
              <c:strCache>
                <c:ptCount val="1"/>
                <c:pt idx="0">
                  <c:v>Руководители</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0.00%</c:formatCode>
                <c:ptCount val="3"/>
                <c:pt idx="0">
                  <c:v>0.19147162552100033</c:v>
                </c:pt>
                <c:pt idx="1">
                  <c:v>0.19493932352182047</c:v>
                </c:pt>
                <c:pt idx="2">
                  <c:v>0.19659105472254271</c:v>
                </c:pt>
              </c:numCache>
            </c:numRef>
          </c:val>
        </c:ser>
        <c:overlap val="100"/>
        <c:axId val="304140672"/>
        <c:axId val="304142208"/>
      </c:barChart>
      <c:catAx>
        <c:axId val="304140672"/>
        <c:scaling>
          <c:orientation val="minMax"/>
        </c:scaling>
        <c:axPos val="b"/>
        <c:numFmt formatCode="General" sourceLinked="1"/>
        <c:tickLblPos val="nextTo"/>
        <c:crossAx val="304142208"/>
        <c:crosses val="autoZero"/>
        <c:auto val="1"/>
        <c:lblAlgn val="ctr"/>
        <c:lblOffset val="100"/>
      </c:catAx>
      <c:valAx>
        <c:axId val="304142208"/>
        <c:scaling>
          <c:orientation val="minMax"/>
        </c:scaling>
        <c:axPos val="l"/>
        <c:majorGridlines/>
        <c:numFmt formatCode="0%" sourceLinked="1"/>
        <c:tickLblPos val="nextTo"/>
        <c:crossAx val="304140672"/>
        <c:crosses val="autoZero"/>
        <c:crossBetween val="between"/>
      </c:valAx>
    </c:plotArea>
    <c:legend>
      <c:legendPos val="b"/>
    </c:legend>
    <c:plotVisOnly val="1"/>
    <c:dispBlanksAs val="gap"/>
  </c:chart>
  <c:txPr>
    <a:bodyPr/>
    <a:lstStyle/>
    <a:p>
      <a:pPr>
        <a:defRPr sz="900"/>
      </a:pPr>
      <a:endParaRPr lang="ru-RU"/>
    </a:p>
  </c:txPr>
  <c:externalData r:id="rId1"/>
</c:chartSpace>
</file>

<file path=word/charts/chart15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Возраст работников</a:t>
            </a:r>
          </a:p>
        </c:rich>
      </c:tx>
    </c:title>
    <c:plotArea>
      <c:layout>
        <c:manualLayout>
          <c:layoutTarget val="inner"/>
          <c:xMode val="edge"/>
          <c:yMode val="edge"/>
          <c:x val="0.14908297788500771"/>
          <c:y val="0.11713678070481744"/>
          <c:w val="0.80263319806709854"/>
          <c:h val="0.56237776344823909"/>
        </c:manualLayout>
      </c:layout>
      <c:barChart>
        <c:barDir val="col"/>
        <c:grouping val="percentStacked"/>
        <c:ser>
          <c:idx val="0"/>
          <c:order val="0"/>
          <c:tx>
            <c:strRef>
              <c:f>Лист1!$B$1</c:f>
              <c:strCache>
                <c:ptCount val="1"/>
                <c:pt idx="0">
                  <c:v>До 25 лет</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0.00%</c:formatCode>
                <c:ptCount val="3"/>
                <c:pt idx="0">
                  <c:v>7.0599551138185321E-2</c:v>
                </c:pt>
                <c:pt idx="1">
                  <c:v>6.2354763749032024E-2</c:v>
                </c:pt>
                <c:pt idx="2">
                  <c:v>5.9848776111751892E-2</c:v>
                </c:pt>
              </c:numCache>
            </c:numRef>
          </c:val>
        </c:ser>
        <c:ser>
          <c:idx val="1"/>
          <c:order val="1"/>
          <c:tx>
            <c:strRef>
              <c:f>Лист1!$C$1</c:f>
              <c:strCache>
                <c:ptCount val="1"/>
                <c:pt idx="0">
                  <c:v>25-35 лет</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0.24180827188201576</c:v>
                </c:pt>
                <c:pt idx="1">
                  <c:v>0.25729408727085384</c:v>
                </c:pt>
                <c:pt idx="2">
                  <c:v>0.26438549275919532</c:v>
                </c:pt>
              </c:numCache>
            </c:numRef>
          </c:val>
        </c:ser>
        <c:ser>
          <c:idx val="2"/>
          <c:order val="2"/>
          <c:tx>
            <c:strRef>
              <c:f>Лист1!$D$1</c:f>
              <c:strCache>
                <c:ptCount val="1"/>
                <c:pt idx="0">
                  <c:v>35-45 лет</c:v>
                </c:pt>
              </c:strCache>
            </c:strRef>
          </c:tx>
          <c:dLbls>
            <c:showVal val="1"/>
          </c:dLbls>
          <c:cat>
            <c:numRef>
              <c:f>Лист1!$A$2:$A$4</c:f>
              <c:numCache>
                <c:formatCode>General</c:formatCode>
                <c:ptCount val="3"/>
                <c:pt idx="0">
                  <c:v>2011</c:v>
                </c:pt>
                <c:pt idx="1">
                  <c:v>2012</c:v>
                </c:pt>
                <c:pt idx="2">
                  <c:v>2013</c:v>
                </c:pt>
              </c:numCache>
            </c:numRef>
          </c:cat>
          <c:val>
            <c:numRef>
              <c:f>Лист1!$D$2:$D$4</c:f>
              <c:numCache>
                <c:formatCode>0.00%</c:formatCode>
                <c:ptCount val="3"/>
                <c:pt idx="0">
                  <c:v>0.20423212568130841</c:v>
                </c:pt>
                <c:pt idx="1">
                  <c:v>0.21249677252775853</c:v>
                </c:pt>
                <c:pt idx="2">
                  <c:v>0.21619889785980018</c:v>
                </c:pt>
              </c:numCache>
            </c:numRef>
          </c:val>
        </c:ser>
        <c:ser>
          <c:idx val="3"/>
          <c:order val="3"/>
          <c:tx>
            <c:strRef>
              <c:f>Лист1!$E$1</c:f>
              <c:strCache>
                <c:ptCount val="1"/>
                <c:pt idx="0">
                  <c:v>45-пенсионный возраст</c:v>
                </c:pt>
              </c:strCache>
            </c:strRef>
          </c:tx>
          <c:dLbls>
            <c:showVal val="1"/>
          </c:dLbls>
          <c:cat>
            <c:numRef>
              <c:f>Лист1!$A$2:$A$4</c:f>
              <c:numCache>
                <c:formatCode>General</c:formatCode>
                <c:ptCount val="3"/>
                <c:pt idx="0">
                  <c:v>2011</c:v>
                </c:pt>
                <c:pt idx="1">
                  <c:v>2012</c:v>
                </c:pt>
                <c:pt idx="2">
                  <c:v>2013</c:v>
                </c:pt>
              </c:numCache>
            </c:numRef>
          </c:cat>
          <c:val>
            <c:numRef>
              <c:f>Лист1!$E$2:$E$4</c:f>
              <c:numCache>
                <c:formatCode>0.00%</c:formatCode>
                <c:ptCount val="3"/>
                <c:pt idx="0">
                  <c:v>0.39871753767233087</c:v>
                </c:pt>
                <c:pt idx="1">
                  <c:v>0.38264910921766754</c:v>
                </c:pt>
                <c:pt idx="2">
                  <c:v>0.37267717544534584</c:v>
                </c:pt>
              </c:numCache>
            </c:numRef>
          </c:val>
        </c:ser>
        <c:ser>
          <c:idx val="4"/>
          <c:order val="4"/>
          <c:tx>
            <c:strRef>
              <c:f>Лист1!$F$1</c:f>
              <c:strCache>
                <c:ptCount val="1"/>
                <c:pt idx="0">
                  <c:v>Работающие пенсионеры</c:v>
                </c:pt>
              </c:strCache>
            </c:strRef>
          </c:tx>
          <c:dLbls>
            <c:showVal val="1"/>
          </c:dLbls>
          <c:cat>
            <c:numRef>
              <c:f>Лист1!$A$2:$A$4</c:f>
              <c:numCache>
                <c:formatCode>General</c:formatCode>
                <c:ptCount val="3"/>
                <c:pt idx="0">
                  <c:v>2011</c:v>
                </c:pt>
                <c:pt idx="1">
                  <c:v>2012</c:v>
                </c:pt>
                <c:pt idx="2">
                  <c:v>2013</c:v>
                </c:pt>
              </c:numCache>
            </c:numRef>
          </c:cat>
          <c:val>
            <c:numRef>
              <c:f>Лист1!$F$2:$F$4</c:f>
              <c:numCache>
                <c:formatCode>0.00%</c:formatCode>
                <c:ptCount val="3"/>
                <c:pt idx="0">
                  <c:v>8.4642513626162236E-2</c:v>
                </c:pt>
                <c:pt idx="1">
                  <c:v>8.5205267234701759E-2</c:v>
                </c:pt>
                <c:pt idx="2">
                  <c:v>8.6889657823913419E-2</c:v>
                </c:pt>
              </c:numCache>
            </c:numRef>
          </c:val>
        </c:ser>
        <c:overlap val="100"/>
        <c:axId val="304253568"/>
        <c:axId val="304259456"/>
      </c:barChart>
      <c:catAx>
        <c:axId val="304253568"/>
        <c:scaling>
          <c:orientation val="minMax"/>
        </c:scaling>
        <c:axPos val="b"/>
        <c:numFmt formatCode="General" sourceLinked="1"/>
        <c:tickLblPos val="nextTo"/>
        <c:crossAx val="304259456"/>
        <c:crosses val="autoZero"/>
        <c:auto val="1"/>
        <c:lblAlgn val="ctr"/>
        <c:lblOffset val="100"/>
      </c:catAx>
      <c:valAx>
        <c:axId val="304259456"/>
        <c:scaling>
          <c:orientation val="minMax"/>
        </c:scaling>
        <c:axPos val="l"/>
        <c:majorGridlines/>
        <c:numFmt formatCode="0%" sourceLinked="1"/>
        <c:tickLblPos val="nextTo"/>
        <c:crossAx val="304253568"/>
        <c:crosses val="autoZero"/>
        <c:crossBetween val="between"/>
      </c:valAx>
    </c:plotArea>
    <c:legend>
      <c:legendPos val="b"/>
      <c:layout>
        <c:manualLayout>
          <c:xMode val="edge"/>
          <c:yMode val="edge"/>
          <c:x val="2.3236634894322407E-2"/>
          <c:y val="0.80044990150085482"/>
          <c:w val="0.97542394558011269"/>
          <c:h val="0.19955018298768992"/>
        </c:manualLayout>
      </c:layout>
    </c:legend>
    <c:plotVisOnly val="1"/>
    <c:dispBlanksAs val="gap"/>
  </c:chart>
  <c:txPr>
    <a:bodyPr/>
    <a:lstStyle/>
    <a:p>
      <a:pPr>
        <a:defRPr sz="900"/>
      </a:pPr>
      <a:endParaRPr lang="ru-RU"/>
    </a:p>
  </c:txPr>
  <c:externalData r:id="rId1"/>
</c:chartSpace>
</file>

<file path=word/charts/chart15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Уровень образования работников</a:t>
            </a:r>
          </a:p>
        </c:rich>
      </c:tx>
    </c:title>
    <c:plotArea>
      <c:layout>
        <c:manualLayout>
          <c:layoutTarget val="inner"/>
          <c:xMode val="edge"/>
          <c:yMode val="edge"/>
          <c:x val="0.11102546860587505"/>
          <c:y val="0.16862845913111146"/>
          <c:w val="0.5232398518753455"/>
          <c:h val="0.71987666086198432"/>
        </c:manualLayout>
      </c:layout>
      <c:barChart>
        <c:barDir val="col"/>
        <c:grouping val="percentStacked"/>
        <c:ser>
          <c:idx val="0"/>
          <c:order val="0"/>
          <c:tx>
            <c:strRef>
              <c:f>Лист1!$B$1</c:f>
              <c:strCache>
                <c:ptCount val="1"/>
                <c:pt idx="0">
                  <c:v>Неполное среднее</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0.00%</c:formatCode>
                <c:ptCount val="3"/>
                <c:pt idx="0">
                  <c:v>2.1500000000000002E-2</c:v>
                </c:pt>
                <c:pt idx="1">
                  <c:v>1.8499999999999999E-2</c:v>
                </c:pt>
                <c:pt idx="2">
                  <c:v>1.9000000000000187E-2</c:v>
                </c:pt>
              </c:numCache>
            </c:numRef>
          </c:val>
        </c:ser>
        <c:ser>
          <c:idx val="1"/>
          <c:order val="1"/>
          <c:tx>
            <c:strRef>
              <c:f>Лист1!$C$1</c:f>
              <c:strCache>
                <c:ptCount val="1"/>
                <c:pt idx="0">
                  <c:v>Среднее</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0.33500000000000363</c:v>
                </c:pt>
                <c:pt idx="1">
                  <c:v>0.33420000000000138</c:v>
                </c:pt>
                <c:pt idx="2">
                  <c:v>0.32210000000000188</c:v>
                </c:pt>
              </c:numCache>
            </c:numRef>
          </c:val>
        </c:ser>
        <c:ser>
          <c:idx val="2"/>
          <c:order val="2"/>
          <c:tx>
            <c:strRef>
              <c:f>Лист1!$D$1</c:f>
              <c:strCache>
                <c:ptCount val="1"/>
                <c:pt idx="0">
                  <c:v>Среднее специальное</c:v>
                </c:pt>
              </c:strCache>
            </c:strRef>
          </c:tx>
          <c:dLbls>
            <c:showVal val="1"/>
          </c:dLbls>
          <c:cat>
            <c:numRef>
              <c:f>Лист1!$A$2:$A$4</c:f>
              <c:numCache>
                <c:formatCode>General</c:formatCode>
                <c:ptCount val="3"/>
                <c:pt idx="0">
                  <c:v>2011</c:v>
                </c:pt>
                <c:pt idx="1">
                  <c:v>2012</c:v>
                </c:pt>
                <c:pt idx="2">
                  <c:v>2013</c:v>
                </c:pt>
              </c:numCache>
            </c:numRef>
          </c:cat>
          <c:val>
            <c:numRef>
              <c:f>Лист1!$D$2:$D$4</c:f>
              <c:numCache>
                <c:formatCode>0.00%</c:formatCode>
                <c:ptCount val="3"/>
                <c:pt idx="0">
                  <c:v>0.23600000000000004</c:v>
                </c:pt>
                <c:pt idx="1">
                  <c:v>0.21990000000000198</c:v>
                </c:pt>
                <c:pt idx="2">
                  <c:v>0.20880000000000001</c:v>
                </c:pt>
              </c:numCache>
            </c:numRef>
          </c:val>
        </c:ser>
        <c:ser>
          <c:idx val="3"/>
          <c:order val="3"/>
          <c:tx>
            <c:strRef>
              <c:f>Лист1!$E$1</c:f>
              <c:strCache>
                <c:ptCount val="1"/>
                <c:pt idx="0">
                  <c:v>Высшее </c:v>
                </c:pt>
              </c:strCache>
            </c:strRef>
          </c:tx>
          <c:dLbls>
            <c:showVal val="1"/>
          </c:dLbls>
          <c:cat>
            <c:numRef>
              <c:f>Лист1!$A$2:$A$4</c:f>
              <c:numCache>
                <c:formatCode>General</c:formatCode>
                <c:ptCount val="3"/>
                <c:pt idx="0">
                  <c:v>2011</c:v>
                </c:pt>
                <c:pt idx="1">
                  <c:v>2012</c:v>
                </c:pt>
                <c:pt idx="2">
                  <c:v>2013</c:v>
                </c:pt>
              </c:numCache>
            </c:numRef>
          </c:cat>
          <c:val>
            <c:numRef>
              <c:f>Лист1!$E$2:$E$4</c:f>
              <c:numCache>
                <c:formatCode>0.00%</c:formatCode>
                <c:ptCount val="3"/>
                <c:pt idx="0">
                  <c:v>0.35530000000000311</c:v>
                </c:pt>
                <c:pt idx="1">
                  <c:v>0.37280000000000363</c:v>
                </c:pt>
                <c:pt idx="2">
                  <c:v>0.42050000000000032</c:v>
                </c:pt>
              </c:numCache>
            </c:numRef>
          </c:val>
        </c:ser>
        <c:ser>
          <c:idx val="4"/>
          <c:order val="4"/>
          <c:tx>
            <c:strRef>
              <c:f>Лист1!$F$1</c:f>
              <c:strCache>
                <c:ptCount val="1"/>
                <c:pt idx="0">
                  <c:v>Высшее по 2-м и более специальностям</c:v>
                </c:pt>
              </c:strCache>
            </c:strRef>
          </c:tx>
          <c:dLbls>
            <c:dLblPos val="ctr"/>
            <c:showVal val="1"/>
          </c:dLbls>
          <c:cat>
            <c:numRef>
              <c:f>Лист1!$A$2:$A$4</c:f>
              <c:numCache>
                <c:formatCode>General</c:formatCode>
                <c:ptCount val="3"/>
                <c:pt idx="0">
                  <c:v>2011</c:v>
                </c:pt>
                <c:pt idx="1">
                  <c:v>2012</c:v>
                </c:pt>
                <c:pt idx="2">
                  <c:v>2013</c:v>
                </c:pt>
              </c:numCache>
            </c:numRef>
          </c:cat>
          <c:val>
            <c:numRef>
              <c:f>Лист1!$F$2:$F$4</c:f>
              <c:numCache>
                <c:formatCode>0.00%</c:formatCode>
                <c:ptCount val="3"/>
                <c:pt idx="0">
                  <c:v>5.0100000000000013E-2</c:v>
                </c:pt>
                <c:pt idx="1">
                  <c:v>5.2700000000000434E-2</c:v>
                </c:pt>
                <c:pt idx="2">
                  <c:v>2.7800000000000307E-2</c:v>
                </c:pt>
              </c:numCache>
            </c:numRef>
          </c:val>
        </c:ser>
        <c:ser>
          <c:idx val="5"/>
          <c:order val="5"/>
          <c:tx>
            <c:strRef>
              <c:f>Лист1!$G$1</c:f>
              <c:strCache>
                <c:ptCount val="1"/>
                <c:pt idx="0">
                  <c:v>Ученая степень </c:v>
                </c:pt>
              </c:strCache>
            </c:strRef>
          </c:tx>
          <c:dLbls>
            <c:dLblPos val="inBase"/>
            <c:showVal val="1"/>
          </c:dLbls>
          <c:cat>
            <c:numRef>
              <c:f>Лист1!$A$2:$A$4</c:f>
              <c:numCache>
                <c:formatCode>General</c:formatCode>
                <c:ptCount val="3"/>
                <c:pt idx="0">
                  <c:v>2011</c:v>
                </c:pt>
                <c:pt idx="1">
                  <c:v>2012</c:v>
                </c:pt>
                <c:pt idx="2">
                  <c:v>2013</c:v>
                </c:pt>
              </c:numCache>
            </c:numRef>
          </c:cat>
          <c:val>
            <c:numRef>
              <c:f>Лист1!$G$2:$G$4</c:f>
              <c:numCache>
                <c:formatCode>0.00%</c:formatCode>
                <c:ptCount val="3"/>
                <c:pt idx="0">
                  <c:v>2.0999999999999999E-3</c:v>
                </c:pt>
                <c:pt idx="1">
                  <c:v>1.9000000000000243E-3</c:v>
                </c:pt>
                <c:pt idx="2">
                  <c:v>1.9000000000000243E-3</c:v>
                </c:pt>
              </c:numCache>
            </c:numRef>
          </c:val>
        </c:ser>
        <c:overlap val="100"/>
        <c:axId val="304453888"/>
        <c:axId val="304463872"/>
      </c:barChart>
      <c:catAx>
        <c:axId val="304453888"/>
        <c:scaling>
          <c:orientation val="minMax"/>
        </c:scaling>
        <c:axPos val="b"/>
        <c:numFmt formatCode="General" sourceLinked="1"/>
        <c:tickLblPos val="nextTo"/>
        <c:crossAx val="304463872"/>
        <c:crosses val="autoZero"/>
        <c:auto val="1"/>
        <c:lblAlgn val="ctr"/>
        <c:lblOffset val="100"/>
      </c:catAx>
      <c:valAx>
        <c:axId val="304463872"/>
        <c:scaling>
          <c:orientation val="minMax"/>
        </c:scaling>
        <c:axPos val="l"/>
        <c:majorGridlines/>
        <c:numFmt formatCode="0%" sourceLinked="1"/>
        <c:tickLblPos val="nextTo"/>
        <c:crossAx val="304453888"/>
        <c:crosses val="autoZero"/>
        <c:crossBetween val="between"/>
      </c:valAx>
    </c:plotArea>
    <c:legend>
      <c:legendPos val="r"/>
      <c:layout>
        <c:manualLayout>
          <c:xMode val="edge"/>
          <c:yMode val="edge"/>
          <c:x val="0.64116978647152045"/>
          <c:y val="0.16513358204970865"/>
          <c:w val="0.35883021352848382"/>
          <c:h val="0.77271852946747865"/>
        </c:manualLayout>
      </c:layout>
    </c:legend>
    <c:plotVisOnly val="1"/>
    <c:dispBlanksAs val="gap"/>
  </c:chart>
  <c:txPr>
    <a:bodyPr/>
    <a:lstStyle/>
    <a:p>
      <a:pPr>
        <a:defRPr sz="899"/>
      </a:pPr>
      <a:endParaRPr lang="ru-RU"/>
    </a:p>
  </c:txPr>
  <c:externalData r:id="rId1"/>
</c:chartSpace>
</file>

<file path=word/charts/chart15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rtl="0">
              <a:defRPr/>
            </a:pPr>
            <a:r>
              <a:rPr lang="ru-RU"/>
              <a:t>Сведения о подготовке, переподготовке и повышении квалификации персонала</a:t>
            </a:r>
          </a:p>
        </c:rich>
      </c:tx>
    </c:title>
    <c:plotArea>
      <c:layout>
        <c:manualLayout>
          <c:layoutTarget val="inner"/>
          <c:xMode val="edge"/>
          <c:yMode val="edge"/>
          <c:x val="0.25748315904775781"/>
          <c:y val="0.18301419984047679"/>
          <c:w val="0.62481816822743608"/>
          <c:h val="0.50438794894488459"/>
        </c:manualLayout>
      </c:layout>
      <c:barChart>
        <c:barDir val="col"/>
        <c:grouping val="clustered"/>
        <c:ser>
          <c:idx val="0"/>
          <c:order val="0"/>
          <c:tx>
            <c:strRef>
              <c:f>Лист1!$B$1</c:f>
              <c:strCache>
                <c:ptCount val="1"/>
                <c:pt idx="0">
                  <c:v>Количество работников, прошедших обучение</c:v>
                </c:pt>
              </c:strCache>
            </c:strRef>
          </c:tx>
          <c:dLbls>
            <c:dLblPos val="inBase"/>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11912</c:v>
                </c:pt>
                <c:pt idx="1">
                  <c:v>10999</c:v>
                </c:pt>
                <c:pt idx="2">
                  <c:v>10900</c:v>
                </c:pt>
              </c:numCache>
            </c:numRef>
          </c:val>
        </c:ser>
        <c:axId val="304548096"/>
        <c:axId val="304558080"/>
      </c:barChart>
      <c:lineChart>
        <c:grouping val="standard"/>
        <c:ser>
          <c:idx val="1"/>
          <c:order val="1"/>
          <c:tx>
            <c:strRef>
              <c:f>Лист1!$C$1</c:f>
              <c:strCache>
                <c:ptCount val="1"/>
                <c:pt idx="0">
                  <c:v>%  обученных работников от списочной численности персонала</c:v>
                </c:pt>
              </c:strCache>
            </c:strRef>
          </c:tx>
          <c:marker>
            <c:symbol val="circle"/>
            <c:size val="6"/>
          </c:marker>
          <c:dLbls>
            <c:dLblPos val="t"/>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0.76383456235973468</c:v>
                </c:pt>
                <c:pt idx="1">
                  <c:v>0.70997934417764008</c:v>
                </c:pt>
                <c:pt idx="2">
                  <c:v>0.69844931436626934</c:v>
                </c:pt>
              </c:numCache>
            </c:numRef>
          </c:val>
        </c:ser>
        <c:marker val="1"/>
        <c:axId val="304560000"/>
        <c:axId val="304561536"/>
      </c:lineChart>
      <c:catAx>
        <c:axId val="304548096"/>
        <c:scaling>
          <c:orientation val="minMax"/>
        </c:scaling>
        <c:axPos val="b"/>
        <c:numFmt formatCode="General" sourceLinked="1"/>
        <c:tickLblPos val="nextTo"/>
        <c:crossAx val="304558080"/>
        <c:crosses val="autoZero"/>
        <c:auto val="1"/>
        <c:lblAlgn val="ctr"/>
        <c:lblOffset val="100"/>
      </c:catAx>
      <c:valAx>
        <c:axId val="304558080"/>
        <c:scaling>
          <c:orientation val="minMax"/>
          <c:min val="0"/>
        </c:scaling>
        <c:axPos val="l"/>
        <c:majorGridlines/>
        <c:title>
          <c:tx>
            <c:rich>
              <a:bodyPr/>
              <a:lstStyle/>
              <a:p>
                <a:pPr>
                  <a:defRPr sz="798" b="1" i="0" u="none" strike="noStrike" baseline="0">
                    <a:solidFill>
                      <a:srgbClr val="000000"/>
                    </a:solidFill>
                    <a:latin typeface="Calibri"/>
                    <a:ea typeface="Calibri"/>
                    <a:cs typeface="Calibri"/>
                  </a:defRPr>
                </a:pPr>
                <a:r>
                  <a:rPr lang="ru-RU"/>
                  <a:t>чел.</a:t>
                </a:r>
              </a:p>
            </c:rich>
          </c:tx>
        </c:title>
        <c:numFmt formatCode="#,##0" sourceLinked="1"/>
        <c:tickLblPos val="nextTo"/>
        <c:crossAx val="304548096"/>
        <c:crosses val="autoZero"/>
        <c:crossBetween val="between"/>
      </c:valAx>
      <c:catAx>
        <c:axId val="304560000"/>
        <c:scaling>
          <c:orientation val="minMax"/>
        </c:scaling>
        <c:delete val="1"/>
        <c:axPos val="b"/>
        <c:numFmt formatCode="General" sourceLinked="1"/>
        <c:tickLblPos val="none"/>
        <c:crossAx val="304561536"/>
        <c:crosses val="autoZero"/>
        <c:auto val="1"/>
        <c:lblAlgn val="ctr"/>
        <c:lblOffset val="100"/>
      </c:catAx>
      <c:valAx>
        <c:axId val="304561536"/>
        <c:scaling>
          <c:orientation val="minMax"/>
          <c:min val="0"/>
        </c:scaling>
        <c:axPos val="r"/>
        <c:numFmt formatCode="0%" sourceLinked="0"/>
        <c:tickLblPos val="nextTo"/>
        <c:crossAx val="304560000"/>
        <c:crosses val="max"/>
        <c:crossBetween val="between"/>
      </c:valAx>
    </c:plotArea>
    <c:legend>
      <c:legendPos val="b"/>
      <c:layout>
        <c:manualLayout>
          <c:xMode val="edge"/>
          <c:yMode val="edge"/>
          <c:x val="1.1791126915587421E-2"/>
          <c:y val="0.75922129365732105"/>
          <c:w val="0.97641732283464056"/>
          <c:h val="0.21699885673800226"/>
        </c:manualLayout>
      </c:layout>
    </c:legend>
    <c:plotVisOnly val="1"/>
    <c:dispBlanksAs val="gap"/>
  </c:chart>
  <c:txPr>
    <a:bodyPr/>
    <a:lstStyle/>
    <a:p>
      <a:pPr>
        <a:defRPr sz="798"/>
      </a:pPr>
      <a:endParaRPr lang="ru-RU"/>
    </a:p>
  </c:txPr>
  <c:externalData r:id="rId2"/>
</c:chartSpace>
</file>

<file path=word/charts/chart15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Распределение обученных работников по категориям</a:t>
            </a:r>
          </a:p>
        </c:rich>
      </c:tx>
    </c:title>
    <c:plotArea>
      <c:layout>
        <c:manualLayout>
          <c:layoutTarget val="inner"/>
          <c:xMode val="edge"/>
          <c:yMode val="edge"/>
          <c:x val="0.20617144584132688"/>
          <c:y val="0.18399839278428073"/>
          <c:w val="0.73708046732476062"/>
          <c:h val="0.51314579983664566"/>
        </c:manualLayout>
      </c:layout>
      <c:barChart>
        <c:barDir val="col"/>
        <c:grouping val="percentStacked"/>
        <c:ser>
          <c:idx val="2"/>
          <c:order val="0"/>
          <c:tx>
            <c:strRef>
              <c:f>Лист1!$D$1</c:f>
              <c:strCache>
                <c:ptCount val="1"/>
                <c:pt idx="0">
                  <c:v>Рабочие</c:v>
                </c:pt>
              </c:strCache>
            </c:strRef>
          </c:tx>
          <c:dLbls>
            <c:showVal val="1"/>
          </c:dLbls>
          <c:cat>
            <c:numRef>
              <c:f>Лист1!$A$2:$A$4</c:f>
              <c:numCache>
                <c:formatCode>General</c:formatCode>
                <c:ptCount val="3"/>
                <c:pt idx="0">
                  <c:v>2011</c:v>
                </c:pt>
                <c:pt idx="1">
                  <c:v>2012</c:v>
                </c:pt>
                <c:pt idx="2">
                  <c:v>2013</c:v>
                </c:pt>
              </c:numCache>
            </c:numRef>
          </c:cat>
          <c:val>
            <c:numRef>
              <c:f>Лист1!$D$2:$D$4</c:f>
              <c:numCache>
                <c:formatCode>0.00%</c:formatCode>
                <c:ptCount val="3"/>
                <c:pt idx="0">
                  <c:v>0.44081598388179988</c:v>
                </c:pt>
                <c:pt idx="1">
                  <c:v>0.49622692972088739</c:v>
                </c:pt>
                <c:pt idx="2">
                  <c:v>0.50431192660550461</c:v>
                </c:pt>
              </c:numCache>
            </c:numRef>
          </c:val>
        </c:ser>
        <c:ser>
          <c:idx val="1"/>
          <c:order val="1"/>
          <c:tx>
            <c:strRef>
              <c:f>Лист1!$C$1</c:f>
              <c:strCache>
                <c:ptCount val="1"/>
                <c:pt idx="0">
                  <c:v>Специалисты и служащие</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0.16722632639355267</c:v>
                </c:pt>
                <c:pt idx="1">
                  <c:v>0.18038003454859541</c:v>
                </c:pt>
                <c:pt idx="2">
                  <c:v>0.21458715596330274</c:v>
                </c:pt>
              </c:numCache>
            </c:numRef>
          </c:val>
        </c:ser>
        <c:ser>
          <c:idx val="0"/>
          <c:order val="2"/>
          <c:tx>
            <c:strRef>
              <c:f>Лист1!$B$1</c:f>
              <c:strCache>
                <c:ptCount val="1"/>
                <c:pt idx="0">
                  <c:v>Руководители</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0.00%</c:formatCode>
                <c:ptCount val="3"/>
                <c:pt idx="0">
                  <c:v>0.39195768972465295</c:v>
                </c:pt>
                <c:pt idx="1">
                  <c:v>0.32339303573052097</c:v>
                </c:pt>
                <c:pt idx="2">
                  <c:v>0.28110091743119264</c:v>
                </c:pt>
              </c:numCache>
            </c:numRef>
          </c:val>
        </c:ser>
        <c:overlap val="100"/>
        <c:axId val="304625536"/>
        <c:axId val="304627072"/>
      </c:barChart>
      <c:catAx>
        <c:axId val="304625536"/>
        <c:scaling>
          <c:orientation val="minMax"/>
        </c:scaling>
        <c:axPos val="b"/>
        <c:numFmt formatCode="General" sourceLinked="1"/>
        <c:tickLblPos val="nextTo"/>
        <c:crossAx val="304627072"/>
        <c:crosses val="autoZero"/>
        <c:auto val="1"/>
        <c:lblAlgn val="ctr"/>
        <c:lblOffset val="100"/>
      </c:catAx>
      <c:valAx>
        <c:axId val="304627072"/>
        <c:scaling>
          <c:orientation val="minMax"/>
        </c:scaling>
        <c:axPos val="l"/>
        <c:majorGridlines/>
        <c:numFmt formatCode="0%" sourceLinked="1"/>
        <c:tickLblPos val="nextTo"/>
        <c:crossAx val="304625536"/>
        <c:crosses val="autoZero"/>
        <c:crossBetween val="between"/>
      </c:valAx>
    </c:plotArea>
    <c:legend>
      <c:legendPos val="b"/>
    </c:legend>
    <c:plotVisOnly val="1"/>
    <c:dispBlanksAs val="gap"/>
  </c:chart>
  <c:txPr>
    <a:bodyPr/>
    <a:lstStyle/>
    <a:p>
      <a:pPr>
        <a:defRPr sz="800"/>
      </a:pPr>
      <a:endParaRPr lang="ru-RU"/>
    </a:p>
  </c:txPr>
  <c:externalData r:id="rId2"/>
</c:chartSpace>
</file>

<file path=word/charts/chart15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Индексация заработной платы работников филиалов в 2013 году</a:t>
            </a:r>
          </a:p>
        </c:rich>
      </c:tx>
    </c:title>
    <c:plotArea>
      <c:layout/>
      <c:barChart>
        <c:barDir val="col"/>
        <c:grouping val="clustered"/>
        <c:ser>
          <c:idx val="0"/>
          <c:order val="0"/>
          <c:tx>
            <c:strRef>
              <c:f>Лист1!$B$1</c:f>
              <c:strCache>
                <c:ptCount val="1"/>
                <c:pt idx="0">
                  <c:v>Столбец1</c:v>
                </c:pt>
              </c:strCache>
            </c:strRef>
          </c:tx>
          <c:dLbls>
            <c:showVal val="1"/>
          </c:dLbls>
          <c:cat>
            <c:strRef>
              <c:f>Лист1!$A$2:$A$4</c:f>
              <c:strCache>
                <c:ptCount val="3"/>
                <c:pt idx="0">
                  <c:v>с 01.01.2013</c:v>
                </c:pt>
                <c:pt idx="1">
                  <c:v>с 01.07.2013</c:v>
                </c:pt>
                <c:pt idx="2">
                  <c:v>с 01.10.2013  (дополнительная)</c:v>
                </c:pt>
              </c:strCache>
            </c:strRef>
          </c:cat>
          <c:val>
            <c:numRef>
              <c:f>Лист1!$B$2:$B$4</c:f>
              <c:numCache>
                <c:formatCode>0.00%</c:formatCode>
                <c:ptCount val="3"/>
                <c:pt idx="0">
                  <c:v>2.7000000000000256E-2</c:v>
                </c:pt>
                <c:pt idx="1">
                  <c:v>3.500000000000001E-2</c:v>
                </c:pt>
                <c:pt idx="2">
                  <c:v>3.0000000000000002E-2</c:v>
                </c:pt>
              </c:numCache>
            </c:numRef>
          </c:val>
        </c:ser>
        <c:axId val="304663936"/>
        <c:axId val="304669824"/>
      </c:barChart>
      <c:catAx>
        <c:axId val="304663936"/>
        <c:scaling>
          <c:orientation val="minMax"/>
        </c:scaling>
        <c:axPos val="b"/>
        <c:tickLblPos val="nextTo"/>
        <c:crossAx val="304669824"/>
        <c:crosses val="autoZero"/>
        <c:auto val="1"/>
        <c:lblAlgn val="ctr"/>
        <c:lblOffset val="100"/>
      </c:catAx>
      <c:valAx>
        <c:axId val="304669824"/>
        <c:scaling>
          <c:orientation val="minMax"/>
          <c:max val="0.05"/>
        </c:scaling>
        <c:delete val="1"/>
        <c:axPos val="l"/>
        <c:majorGridlines/>
        <c:numFmt formatCode="0%" sourceLinked="0"/>
        <c:tickLblPos val="none"/>
        <c:crossAx val="304663936"/>
        <c:crosses val="autoZero"/>
        <c:crossBetween val="between"/>
      </c:valAx>
    </c:plotArea>
    <c:plotVisOnly val="1"/>
    <c:dispBlanksAs val="gap"/>
  </c:chart>
  <c:txPr>
    <a:bodyPr/>
    <a:lstStyle/>
    <a:p>
      <a:pPr>
        <a:defRPr sz="900"/>
      </a:pPr>
      <a:endParaRPr lang="ru-RU"/>
    </a:p>
  </c:txPr>
  <c:externalData r:id="rId1"/>
</c:chartSpace>
</file>

<file path=word/charts/chart15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rtl="0">
              <a:defRPr/>
            </a:pPr>
            <a:r>
              <a:rPr lang="ru-RU"/>
              <a:t>Обеспеченность управленческих должностей кадровым резервом в 2013 году </a:t>
            </a:r>
          </a:p>
        </c:rich>
      </c:tx>
      <c:layout>
        <c:manualLayout>
          <c:xMode val="edge"/>
          <c:yMode val="edge"/>
          <c:x val="0.12982322573916669"/>
          <c:y val="3.333333333333334E-2"/>
        </c:manualLayout>
      </c:layout>
    </c:title>
    <c:plotArea>
      <c:layout/>
      <c:barChart>
        <c:barDir val="col"/>
        <c:grouping val="percentStacked"/>
        <c:ser>
          <c:idx val="0"/>
          <c:order val="0"/>
          <c:tx>
            <c:strRef>
              <c:f>Лист1!$B$1</c:f>
              <c:strCache>
                <c:ptCount val="1"/>
                <c:pt idx="0">
                  <c:v>Ряд 1</c:v>
                </c:pt>
              </c:strCache>
            </c:strRef>
          </c:tx>
          <c:spPr>
            <a:solidFill>
              <a:srgbClr val="9BBB59"/>
            </a:solidFill>
            <a:ln>
              <a:solidFill>
                <a:schemeClr val="accent3"/>
              </a:solidFill>
            </a:ln>
          </c:spPr>
          <c:dLbls>
            <c:dLblPos val="inEnd"/>
            <c:showVal val="1"/>
          </c:dLbls>
          <c:cat>
            <c:strRef>
              <c:f>Лист1!$A$2:$A$4</c:f>
              <c:strCache>
                <c:ptCount val="3"/>
                <c:pt idx="0">
                  <c:v>Исполнительный аппарат</c:v>
                </c:pt>
                <c:pt idx="1">
                  <c:v>Аппараты управления филиалов</c:v>
                </c:pt>
                <c:pt idx="2">
                  <c:v>ПО, РЭС</c:v>
                </c:pt>
              </c:strCache>
            </c:strRef>
          </c:cat>
          <c:val>
            <c:numRef>
              <c:f>Лист1!$B$2:$B$4</c:f>
              <c:numCache>
                <c:formatCode>0.00%</c:formatCode>
                <c:ptCount val="3"/>
                <c:pt idx="0">
                  <c:v>0.30760000000000032</c:v>
                </c:pt>
                <c:pt idx="1">
                  <c:v>0.35320000000000001</c:v>
                </c:pt>
                <c:pt idx="2">
                  <c:v>0.7954</c:v>
                </c:pt>
              </c:numCache>
            </c:numRef>
          </c:val>
        </c:ser>
        <c:ser>
          <c:idx val="1"/>
          <c:order val="1"/>
          <c:tx>
            <c:strRef>
              <c:f>Лист1!$C$1</c:f>
              <c:strCache>
                <c:ptCount val="1"/>
                <c:pt idx="0">
                  <c:v>Ряд 2</c:v>
                </c:pt>
              </c:strCache>
            </c:strRef>
          </c:tx>
          <c:spPr>
            <a:noFill/>
            <a:ln>
              <a:solidFill>
                <a:schemeClr val="accent3"/>
              </a:solidFill>
            </a:ln>
          </c:spPr>
          <c:cat>
            <c:strRef>
              <c:f>Лист1!$A$2:$A$4</c:f>
              <c:strCache>
                <c:ptCount val="3"/>
                <c:pt idx="0">
                  <c:v>Исполнительный аппарат</c:v>
                </c:pt>
                <c:pt idx="1">
                  <c:v>Аппараты управления филиалов</c:v>
                </c:pt>
                <c:pt idx="2">
                  <c:v>ПО, РЭС</c:v>
                </c:pt>
              </c:strCache>
            </c:strRef>
          </c:cat>
          <c:val>
            <c:numRef>
              <c:f>Лист1!$C$2:$C$4</c:f>
              <c:numCache>
                <c:formatCode>0.00%</c:formatCode>
                <c:ptCount val="3"/>
                <c:pt idx="0">
                  <c:v>0.69240000000000002</c:v>
                </c:pt>
                <c:pt idx="1">
                  <c:v>0.64680000000001048</c:v>
                </c:pt>
                <c:pt idx="2">
                  <c:v>0.2046</c:v>
                </c:pt>
              </c:numCache>
            </c:numRef>
          </c:val>
        </c:ser>
        <c:overlap val="100"/>
        <c:axId val="304731648"/>
        <c:axId val="304733184"/>
      </c:barChart>
      <c:catAx>
        <c:axId val="304731648"/>
        <c:scaling>
          <c:orientation val="minMax"/>
        </c:scaling>
        <c:axPos val="b"/>
        <c:tickLblPos val="nextTo"/>
        <c:crossAx val="304733184"/>
        <c:crosses val="autoZero"/>
        <c:auto val="1"/>
        <c:lblAlgn val="ctr"/>
        <c:lblOffset val="100"/>
      </c:catAx>
      <c:valAx>
        <c:axId val="304733184"/>
        <c:scaling>
          <c:orientation val="minMax"/>
        </c:scaling>
        <c:delete val="1"/>
        <c:axPos val="l"/>
        <c:numFmt formatCode="0%" sourceLinked="1"/>
        <c:tickLblPos val="none"/>
        <c:crossAx val="304731648"/>
        <c:crosses val="autoZero"/>
        <c:crossBetween val="between"/>
      </c:valAx>
    </c:plotArea>
    <c:plotVisOnly val="1"/>
    <c:dispBlanksAs val="gap"/>
  </c:chart>
  <c:txPr>
    <a:bodyPr/>
    <a:lstStyle/>
    <a:p>
      <a:pPr>
        <a:defRPr sz="900"/>
      </a:pPr>
      <a:endParaRPr lang="ru-RU"/>
    </a:p>
  </c:txPr>
  <c:externalData r:id="rId1"/>
</c:chartSpace>
</file>

<file path=word/charts/chart158.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18118322443737281"/>
          <c:y val="0"/>
        </c:manualLayout>
      </c:layout>
    </c:title>
    <c:plotArea>
      <c:layout>
        <c:manualLayout>
          <c:layoutTarget val="inner"/>
          <c:xMode val="edge"/>
          <c:yMode val="edge"/>
          <c:x val="0.19106749156355476"/>
          <c:y val="0.16772256508476968"/>
          <c:w val="0.79935020622422193"/>
          <c:h val="0.74022061431511721"/>
        </c:manualLayout>
      </c:layout>
      <c:barChart>
        <c:barDir val="col"/>
        <c:grouping val="clustered"/>
        <c:ser>
          <c:idx val="0"/>
          <c:order val="0"/>
          <c:tx>
            <c:strRef>
              <c:f>Лист1!$B$1</c:f>
              <c:strCache>
                <c:ptCount val="1"/>
                <c:pt idx="0">
                  <c:v>Затраты на мероприятия социального характера</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1498</c:v>
                </c:pt>
                <c:pt idx="1">
                  <c:v>1957</c:v>
                </c:pt>
                <c:pt idx="2">
                  <c:v>2371</c:v>
                </c:pt>
              </c:numCache>
            </c:numRef>
          </c:val>
        </c:ser>
        <c:axId val="304749184"/>
        <c:axId val="304755072"/>
      </c:barChart>
      <c:catAx>
        <c:axId val="304749184"/>
        <c:scaling>
          <c:orientation val="minMax"/>
        </c:scaling>
        <c:axPos val="b"/>
        <c:numFmt formatCode="General" sourceLinked="1"/>
        <c:tickLblPos val="nextTo"/>
        <c:crossAx val="304755072"/>
        <c:crosses val="autoZero"/>
        <c:auto val="1"/>
        <c:lblAlgn val="ctr"/>
        <c:lblOffset val="100"/>
      </c:catAx>
      <c:valAx>
        <c:axId val="304755072"/>
        <c:scaling>
          <c:orientation val="minMax"/>
          <c:max val="2600"/>
          <c:min val="0"/>
        </c:scaling>
        <c:axPos val="l"/>
        <c:majorGridlines/>
        <c:title>
          <c:tx>
            <c:rich>
              <a:bodyPr/>
              <a:lstStyle/>
              <a:p>
                <a:pPr>
                  <a:defRPr sz="900" b="1" i="0" u="none" strike="noStrike" baseline="0">
                    <a:solidFill>
                      <a:srgbClr val="000000"/>
                    </a:solidFill>
                    <a:latin typeface="Calibri"/>
                    <a:ea typeface="Calibri"/>
                    <a:cs typeface="Calibri"/>
                  </a:defRPr>
                </a:pPr>
                <a:r>
                  <a:rPr lang="ru-RU"/>
                  <a:t>млн руб. без НДС</a:t>
                </a:r>
              </a:p>
            </c:rich>
          </c:tx>
        </c:title>
        <c:numFmt formatCode="#,##0" sourceLinked="1"/>
        <c:tickLblPos val="nextTo"/>
        <c:crossAx val="304749184"/>
        <c:crosses val="autoZero"/>
        <c:crossBetween val="between"/>
      </c:valAx>
    </c:plotArea>
    <c:plotVisOnly val="1"/>
    <c:dispBlanksAs val="gap"/>
  </c:chart>
  <c:txPr>
    <a:bodyPr/>
    <a:lstStyle/>
    <a:p>
      <a:pPr>
        <a:defRPr sz="900"/>
      </a:pPr>
      <a:endParaRPr lang="ru-RU"/>
    </a:p>
  </c:txPr>
  <c:externalData r:id="rId2"/>
</c:chartSpace>
</file>

<file path=word/charts/chart15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rtl="0">
              <a:defRPr/>
            </a:pPr>
            <a:r>
              <a:rPr lang="ru-RU"/>
              <a:t>Структура затрат на реализацию социальных программ в 2013 году</a:t>
            </a:r>
          </a:p>
        </c:rich>
      </c:tx>
      <c:layout>
        <c:manualLayout>
          <c:xMode val="edge"/>
          <c:yMode val="edge"/>
          <c:x val="0.11717111950601559"/>
          <c:y val="3.9937575370646242E-3"/>
        </c:manualLayout>
      </c:layout>
    </c:title>
    <c:plotArea>
      <c:layout/>
      <c:pieChart>
        <c:varyColors val="1"/>
        <c:ser>
          <c:idx val="0"/>
          <c:order val="0"/>
          <c:tx>
            <c:strRef>
              <c:f>Лист1!$B$1</c:f>
              <c:strCache>
                <c:ptCount val="1"/>
                <c:pt idx="0">
                  <c:v>Продажи</c:v>
                </c:pt>
              </c:strCache>
            </c:strRef>
          </c:tx>
          <c:dLbls>
            <c:showPercent val="1"/>
            <c:showLeaderLines val="1"/>
          </c:dLbls>
          <c:cat>
            <c:strRef>
              <c:f>Лист1!$A$2:$A$10</c:f>
              <c:strCache>
                <c:ptCount val="9"/>
                <c:pt idx="0">
                  <c:v>Материальная помощь</c:v>
                </c:pt>
                <c:pt idx="1">
                  <c:v>Негосударственное пенсионное обеспечение</c:v>
                </c:pt>
                <c:pt idx="2">
                  <c:v>ДМС и страхование от несчастных случаев и болезней</c:v>
                </c:pt>
                <c:pt idx="3">
                  <c:v>Благотворительная деятельность</c:v>
                </c:pt>
                <c:pt idx="4">
                  <c:v>Путевки на лечение и оздоровление</c:v>
                </c:pt>
                <c:pt idx="5">
                  <c:v>Культурно-массовые мероприятия</c:v>
                </c:pt>
                <c:pt idx="6">
                  <c:v>Жилищная программа (компенсация найма жилья)</c:v>
                </c:pt>
                <c:pt idx="7">
                  <c:v>Спортивно-оздоровительные мероприятия </c:v>
                </c:pt>
                <c:pt idx="8">
                  <c:v>Прочие затраты социального характера</c:v>
                </c:pt>
              </c:strCache>
            </c:strRef>
          </c:cat>
          <c:val>
            <c:numRef>
              <c:f>Лист1!$B$2:$B$10</c:f>
              <c:numCache>
                <c:formatCode>General</c:formatCode>
                <c:ptCount val="9"/>
                <c:pt idx="0">
                  <c:v>650</c:v>
                </c:pt>
                <c:pt idx="1">
                  <c:v>650</c:v>
                </c:pt>
                <c:pt idx="2">
                  <c:v>324</c:v>
                </c:pt>
                <c:pt idx="3">
                  <c:v>143</c:v>
                </c:pt>
                <c:pt idx="4">
                  <c:v>30</c:v>
                </c:pt>
                <c:pt idx="5">
                  <c:v>31</c:v>
                </c:pt>
                <c:pt idx="6">
                  <c:v>96</c:v>
                </c:pt>
                <c:pt idx="7">
                  <c:v>9</c:v>
                </c:pt>
                <c:pt idx="8">
                  <c:v>439</c:v>
                </c:pt>
              </c:numCache>
            </c:numRef>
          </c:val>
        </c:ser>
        <c:firstSliceAng val="0"/>
      </c:pieChart>
      <c:spPr>
        <a:noFill/>
        <a:ln w="25407">
          <a:noFill/>
        </a:ln>
      </c:spPr>
    </c:plotArea>
    <c:legend>
      <c:legendPos val="r"/>
      <c:layout>
        <c:manualLayout>
          <c:xMode val="edge"/>
          <c:yMode val="edge"/>
          <c:x val="0.53948871997935888"/>
          <c:y val="0.11764701709583585"/>
          <c:w val="0.46051128002063357"/>
          <c:h val="0.88235298290415642"/>
        </c:manualLayout>
      </c:layout>
      <c:txPr>
        <a:bodyPr/>
        <a:lstStyle/>
        <a:p>
          <a:pPr>
            <a:defRPr sz="800"/>
          </a:pPr>
          <a:endParaRPr lang="ru-RU"/>
        </a:p>
      </c:txPr>
    </c:legend>
    <c:plotVisOnly val="1"/>
    <c:dispBlanksAs val="zero"/>
  </c:chart>
  <c:txPr>
    <a:bodyPr/>
    <a:lstStyle/>
    <a:p>
      <a:pPr>
        <a:defRPr sz="900"/>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Установленная мощность</a:t>
            </a:r>
            <a:r>
              <a:rPr lang="ru-RU" baseline="0"/>
              <a:t> по</a:t>
            </a:r>
            <a:r>
              <a:rPr lang="ru-RU"/>
              <a:t>дстанций</a:t>
            </a:r>
          </a:p>
        </c:rich>
      </c:tx>
    </c:title>
    <c:plotArea>
      <c:layout>
        <c:manualLayout>
          <c:layoutTarget val="inner"/>
          <c:xMode val="edge"/>
          <c:yMode val="edge"/>
          <c:x val="4.5909849749582267E-2"/>
          <c:y val="8.7692286052888688E-2"/>
          <c:w val="0.91235311493432947"/>
          <c:h val="0.68268305369183613"/>
        </c:manualLayout>
      </c:layout>
      <c:barChart>
        <c:barDir val="col"/>
        <c:grouping val="stacked"/>
        <c:ser>
          <c:idx val="1"/>
          <c:order val="0"/>
          <c:tx>
            <c:strRef>
              <c:f>Лист1!$C$1</c:f>
              <c:strCache>
                <c:ptCount val="1"/>
                <c:pt idx="0">
                  <c:v>Подстанции распределительных сетей (0,4-20 кВ)</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21209</c:v>
                </c:pt>
                <c:pt idx="1">
                  <c:v>21557</c:v>
                </c:pt>
                <c:pt idx="2">
                  <c:v>22093</c:v>
                </c:pt>
              </c:numCache>
            </c:numRef>
          </c:val>
        </c:ser>
        <c:ser>
          <c:idx val="0"/>
          <c:order val="1"/>
          <c:tx>
            <c:strRef>
              <c:f>Лист1!$B$1</c:f>
              <c:strCache>
                <c:ptCount val="1"/>
                <c:pt idx="0">
                  <c:v>Высоковольтные центры питания (35-220 кВ)</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44452</c:v>
                </c:pt>
                <c:pt idx="1">
                  <c:v>46073</c:v>
                </c:pt>
                <c:pt idx="2">
                  <c:v>47291</c:v>
                </c:pt>
              </c:numCache>
            </c:numRef>
          </c:val>
        </c:ser>
        <c:overlap val="100"/>
        <c:axId val="106669952"/>
        <c:axId val="106671488"/>
      </c:barChart>
      <c:catAx>
        <c:axId val="106669952"/>
        <c:scaling>
          <c:orientation val="minMax"/>
        </c:scaling>
        <c:axPos val="b"/>
        <c:numFmt formatCode="General" sourceLinked="1"/>
        <c:tickLblPos val="nextTo"/>
        <c:crossAx val="106671488"/>
        <c:crosses val="autoZero"/>
        <c:auto val="1"/>
        <c:lblAlgn val="ctr"/>
        <c:lblOffset val="100"/>
      </c:catAx>
      <c:valAx>
        <c:axId val="106671488"/>
        <c:scaling>
          <c:orientation val="minMax"/>
          <c:max val="75000"/>
          <c:min val="0"/>
        </c:scaling>
        <c:delete val="1"/>
        <c:axPos val="l"/>
        <c:majorGridlines/>
        <c:title>
          <c:tx>
            <c:rich>
              <a:bodyPr rot="-5400000" vert="horz"/>
              <a:lstStyle/>
              <a:p>
                <a:pPr>
                  <a:defRPr/>
                </a:pPr>
                <a:r>
                  <a:rPr lang="ru-RU"/>
                  <a:t>МВА</a:t>
                </a:r>
              </a:p>
            </c:rich>
          </c:tx>
        </c:title>
        <c:numFmt formatCode="#,##0" sourceLinked="1"/>
        <c:tickLblPos val="none"/>
        <c:crossAx val="106669952"/>
        <c:crosses val="autoZero"/>
        <c:crossBetween val="between"/>
      </c:valAx>
    </c:plotArea>
    <c:legend>
      <c:legendPos val="b"/>
      <c:layout>
        <c:manualLayout>
          <c:xMode val="edge"/>
          <c:yMode val="edge"/>
          <c:x val="0.05"/>
          <c:y val="0.84960041087512028"/>
          <c:w val="0.87911354577418854"/>
          <c:h val="0.12605676165541255"/>
        </c:manualLayout>
      </c:layout>
    </c:legend>
    <c:plotVisOnly val="1"/>
    <c:dispBlanksAs val="gap"/>
  </c:chart>
  <c:txPr>
    <a:bodyPr/>
    <a:lstStyle/>
    <a:p>
      <a:pPr>
        <a:defRPr sz="900"/>
      </a:pPr>
      <a:endParaRPr lang="ru-RU"/>
    </a:p>
  </c:txPr>
  <c:externalData r:id="rId1"/>
</c:chartSpace>
</file>

<file path=word/charts/chart16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50"/>
            </a:pPr>
            <a:r>
              <a:rPr lang="ru-RU" sz="1050" b="1">
                <a:effectLst/>
              </a:rPr>
              <a:t>Динамика затрат  на мероприятия по охране труда </a:t>
            </a:r>
            <a:endParaRPr lang="ru-RU" sz="1050">
              <a:effectLst/>
            </a:endParaRPr>
          </a:p>
        </c:rich>
      </c:tx>
      <c:overlay val="1"/>
    </c:title>
    <c:plotArea>
      <c:layout>
        <c:manualLayout>
          <c:layoutTarget val="inner"/>
          <c:xMode val="edge"/>
          <c:yMode val="edge"/>
          <c:x val="0.13902954138088308"/>
          <c:y val="0.19047619047619563"/>
          <c:w val="0.72110149054246464"/>
          <c:h val="0.50079208848893886"/>
        </c:manualLayout>
      </c:layout>
      <c:barChart>
        <c:barDir val="col"/>
        <c:grouping val="clustered"/>
        <c:ser>
          <c:idx val="0"/>
          <c:order val="0"/>
          <c:tx>
            <c:strRef>
              <c:f>Лист1!$B$1</c:f>
              <c:strCache>
                <c:ptCount val="1"/>
                <c:pt idx="0">
                  <c:v>Затраты на мероприятия по охране труда</c:v>
                </c:pt>
              </c:strCache>
            </c:strRef>
          </c:tx>
          <c:dLbls>
            <c:dLblPos val="inBase"/>
            <c:showVal val="1"/>
          </c:dLbls>
          <c:cat>
            <c:numRef>
              <c:f>Лист1!$A$2:$A$4</c:f>
              <c:numCache>
                <c:formatCode>General</c:formatCode>
                <c:ptCount val="3"/>
                <c:pt idx="0">
                  <c:v>2011</c:v>
                </c:pt>
                <c:pt idx="1">
                  <c:v>2012</c:v>
                </c:pt>
                <c:pt idx="2">
                  <c:v>2013</c:v>
                </c:pt>
              </c:numCache>
            </c:numRef>
          </c:cat>
          <c:val>
            <c:numRef>
              <c:f>Лист1!$B$2:$B$4</c:f>
              <c:numCache>
                <c:formatCode>General</c:formatCode>
                <c:ptCount val="3"/>
                <c:pt idx="0">
                  <c:v>414.4</c:v>
                </c:pt>
                <c:pt idx="1">
                  <c:v>383.3</c:v>
                </c:pt>
                <c:pt idx="2">
                  <c:v>395.2</c:v>
                </c:pt>
              </c:numCache>
            </c:numRef>
          </c:val>
        </c:ser>
        <c:overlap val="-59"/>
        <c:axId val="304915584"/>
        <c:axId val="304917120"/>
      </c:barChart>
      <c:lineChart>
        <c:grouping val="standard"/>
        <c:ser>
          <c:idx val="1"/>
          <c:order val="1"/>
          <c:tx>
            <c:strRef>
              <c:f>Лист1!$C$1</c:f>
              <c:strCache>
                <c:ptCount val="1"/>
                <c:pt idx="0">
                  <c:v>Затраты в пересчете на одного работника</c:v>
                </c:pt>
              </c:strCache>
            </c:strRef>
          </c:tx>
          <c:marker>
            <c:symbol val="circle"/>
            <c:size val="7"/>
          </c:marker>
          <c:dLbls>
            <c:dLblPos val="t"/>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27200</c:v>
                </c:pt>
                <c:pt idx="1">
                  <c:v>25300</c:v>
                </c:pt>
                <c:pt idx="2">
                  <c:v>26080</c:v>
                </c:pt>
              </c:numCache>
            </c:numRef>
          </c:val>
        </c:ser>
        <c:marker val="1"/>
        <c:axId val="304925312"/>
        <c:axId val="304923392"/>
      </c:lineChart>
      <c:catAx>
        <c:axId val="304915584"/>
        <c:scaling>
          <c:orientation val="minMax"/>
        </c:scaling>
        <c:axPos val="b"/>
        <c:numFmt formatCode="General" sourceLinked="1"/>
        <c:tickLblPos val="nextTo"/>
        <c:crossAx val="304917120"/>
        <c:crosses val="autoZero"/>
        <c:auto val="1"/>
        <c:lblAlgn val="ctr"/>
        <c:lblOffset val="100"/>
      </c:catAx>
      <c:valAx>
        <c:axId val="304917120"/>
        <c:scaling>
          <c:orientation val="minMax"/>
          <c:min val="300"/>
        </c:scaling>
        <c:axPos val="l"/>
        <c:majorGridlines/>
        <c:title>
          <c:tx>
            <c:rich>
              <a:bodyPr rot="-5400000" vert="horz"/>
              <a:lstStyle/>
              <a:p>
                <a:pPr>
                  <a:defRPr/>
                </a:pPr>
                <a:r>
                  <a:rPr lang="ru-RU"/>
                  <a:t>млн руб без НДС</a:t>
                </a:r>
              </a:p>
            </c:rich>
          </c:tx>
        </c:title>
        <c:numFmt formatCode="General" sourceLinked="1"/>
        <c:tickLblPos val="nextTo"/>
        <c:txPr>
          <a:bodyPr/>
          <a:lstStyle/>
          <a:p>
            <a:pPr>
              <a:defRPr sz="100">
                <a:solidFill>
                  <a:schemeClr val="bg1"/>
                </a:solidFill>
              </a:defRPr>
            </a:pPr>
            <a:endParaRPr lang="ru-RU"/>
          </a:p>
        </c:txPr>
        <c:crossAx val="304915584"/>
        <c:crosses val="autoZero"/>
        <c:crossBetween val="between"/>
      </c:valAx>
      <c:valAx>
        <c:axId val="304923392"/>
        <c:scaling>
          <c:orientation val="minMax"/>
          <c:min val="15000"/>
        </c:scaling>
        <c:axPos val="r"/>
        <c:title>
          <c:tx>
            <c:rich>
              <a:bodyPr rot="-5400000" vert="horz"/>
              <a:lstStyle/>
              <a:p>
                <a:pPr>
                  <a:defRPr/>
                </a:pPr>
                <a:r>
                  <a:rPr lang="ru-RU"/>
                  <a:t>руб.</a:t>
                </a:r>
              </a:p>
            </c:rich>
          </c:tx>
        </c:title>
        <c:numFmt formatCode="#,##0" sourceLinked="1"/>
        <c:tickLblPos val="nextTo"/>
        <c:txPr>
          <a:bodyPr/>
          <a:lstStyle/>
          <a:p>
            <a:pPr>
              <a:defRPr sz="100">
                <a:solidFill>
                  <a:schemeClr val="bg1"/>
                </a:solidFill>
              </a:defRPr>
            </a:pPr>
            <a:endParaRPr lang="ru-RU"/>
          </a:p>
        </c:txPr>
        <c:crossAx val="304925312"/>
        <c:crosses val="max"/>
        <c:crossBetween val="between"/>
      </c:valAx>
      <c:catAx>
        <c:axId val="304925312"/>
        <c:scaling>
          <c:orientation val="minMax"/>
        </c:scaling>
        <c:delete val="1"/>
        <c:axPos val="b"/>
        <c:numFmt formatCode="General" sourceLinked="1"/>
        <c:tickLblPos val="none"/>
        <c:crossAx val="304923392"/>
        <c:crosses val="autoZero"/>
        <c:auto val="1"/>
        <c:lblAlgn val="ctr"/>
        <c:lblOffset val="100"/>
      </c:catAx>
    </c:plotArea>
    <c:legend>
      <c:legendPos val="b"/>
      <c:layout>
        <c:manualLayout>
          <c:xMode val="edge"/>
          <c:yMode val="edge"/>
          <c:x val="2.8482492759180671E-2"/>
          <c:y val="0.79067960254970993"/>
          <c:w val="0.97087195281403271"/>
          <c:h val="0.18551087364079491"/>
        </c:manualLayout>
      </c:layout>
    </c:legend>
    <c:plotVisOnly val="1"/>
    <c:dispBlanksAs val="gap"/>
  </c:chart>
  <c:externalData r:id="rId1"/>
</c:chartSpace>
</file>

<file path=word/charts/chart16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50"/>
            </a:pPr>
            <a:r>
              <a:rPr lang="ru-RU" sz="1050" b="1">
                <a:effectLst/>
              </a:rPr>
              <a:t>Структура</a:t>
            </a:r>
            <a:r>
              <a:rPr lang="ru-RU" sz="1050" b="1" baseline="0">
                <a:effectLst/>
              </a:rPr>
              <a:t> </a:t>
            </a:r>
            <a:r>
              <a:rPr lang="ru-RU" sz="1050" b="1">
                <a:effectLst/>
              </a:rPr>
              <a:t> затрат на мероприятия по охране труда в 2013 году </a:t>
            </a:r>
            <a:endParaRPr lang="ru-RU" sz="1050">
              <a:effectLst/>
            </a:endParaRPr>
          </a:p>
        </c:rich>
      </c:tx>
    </c:title>
    <c:plotArea>
      <c:layout>
        <c:manualLayout>
          <c:layoutTarget val="inner"/>
          <c:xMode val="edge"/>
          <c:yMode val="edge"/>
          <c:x val="0.24118020794004572"/>
          <c:y val="0.16157335606720771"/>
          <c:w val="0.54089717083602629"/>
          <c:h val="0.50286365023390001"/>
        </c:manualLayout>
      </c:layout>
      <c:pieChart>
        <c:varyColors val="1"/>
        <c:ser>
          <c:idx val="0"/>
          <c:order val="0"/>
          <c:tx>
            <c:strRef>
              <c:f>Лист1!$B$1</c:f>
              <c:strCache>
                <c:ptCount val="1"/>
                <c:pt idx="0">
                  <c:v>Столбец1</c:v>
                </c:pt>
              </c:strCache>
            </c:strRef>
          </c:tx>
          <c:dLbls>
            <c:numFmt formatCode="0.00%" sourceLinked="0"/>
            <c:showPercent val="1"/>
            <c:showLeaderLines val="1"/>
          </c:dLbls>
          <c:cat>
            <c:strRef>
              <c:f>Лист1!$A$2:$A$5</c:f>
              <c:strCache>
                <c:ptCount val="4"/>
                <c:pt idx="0">
                  <c:v>Обеспечение работников средствами индивидуальной защиты </c:v>
                </c:pt>
                <c:pt idx="1">
                  <c:v>Предупреждение несчастных случаев</c:v>
                </c:pt>
                <c:pt idx="2">
                  <c:v>Общее улучшение условий труда</c:v>
                </c:pt>
                <c:pt idx="3">
                  <c:v>Предупреждение несчастных случаев</c:v>
                </c:pt>
              </c:strCache>
            </c:strRef>
          </c:cat>
          <c:val>
            <c:numRef>
              <c:f>Лист1!$B$2:$B$5</c:f>
              <c:numCache>
                <c:formatCode>General</c:formatCode>
                <c:ptCount val="4"/>
                <c:pt idx="0">
                  <c:v>224.8</c:v>
                </c:pt>
                <c:pt idx="1">
                  <c:v>95.8</c:v>
                </c:pt>
                <c:pt idx="2">
                  <c:v>38.300000000000004</c:v>
                </c:pt>
                <c:pt idx="3">
                  <c:v>36.300000000000004</c:v>
                </c:pt>
              </c:numCache>
            </c:numRef>
          </c:val>
        </c:ser>
        <c:firstSliceAng val="0"/>
      </c:pieChart>
    </c:plotArea>
    <c:legend>
      <c:legendPos val="b"/>
      <c:layout>
        <c:manualLayout>
          <c:xMode val="edge"/>
          <c:yMode val="edge"/>
          <c:x val="0"/>
          <c:y val="0.66242265339535422"/>
          <c:w val="1"/>
          <c:h val="0.31812156121316926"/>
        </c:manualLayout>
      </c:layout>
    </c:legend>
    <c:plotVisOnly val="1"/>
    <c:dispBlanksAs val="zero"/>
  </c:chart>
  <c:txPr>
    <a:bodyPr/>
    <a:lstStyle/>
    <a:p>
      <a:pPr>
        <a:defRPr sz="900"/>
      </a:pPr>
      <a:endParaRPr lang="ru-RU"/>
    </a:p>
  </c:txPr>
  <c:externalData r:id="rId1"/>
</c:chartSpace>
</file>

<file path=word/charts/chart16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Водопотребление</a:t>
            </a:r>
          </a:p>
        </c:rich>
      </c:tx>
    </c:title>
    <c:plotArea>
      <c:layout>
        <c:manualLayout>
          <c:layoutTarget val="inner"/>
          <c:xMode val="edge"/>
          <c:yMode val="edge"/>
          <c:x val="7.340307513659787E-2"/>
          <c:y val="0.18993007307910276"/>
          <c:w val="0.90417400276792759"/>
          <c:h val="0.49988500977819356"/>
        </c:manualLayout>
      </c:layout>
      <c:barChart>
        <c:barDir val="col"/>
        <c:grouping val="clustered"/>
        <c:ser>
          <c:idx val="0"/>
          <c:order val="0"/>
          <c:tx>
            <c:strRef>
              <c:f>Лист1!$B$1</c:f>
              <c:strCache>
                <c:ptCount val="1"/>
                <c:pt idx="0">
                  <c:v>Общее водопотребление</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General</c:formatCode>
                <c:ptCount val="3"/>
                <c:pt idx="0">
                  <c:v>413</c:v>
                </c:pt>
                <c:pt idx="1">
                  <c:v>350</c:v>
                </c:pt>
                <c:pt idx="2">
                  <c:v>298</c:v>
                </c:pt>
              </c:numCache>
            </c:numRef>
          </c:val>
        </c:ser>
        <c:axId val="305022080"/>
        <c:axId val="305023616"/>
      </c:barChart>
      <c:catAx>
        <c:axId val="305022080"/>
        <c:scaling>
          <c:orientation val="minMax"/>
        </c:scaling>
        <c:axPos val="b"/>
        <c:numFmt formatCode="General" sourceLinked="1"/>
        <c:tickLblPos val="nextTo"/>
        <c:crossAx val="305023616"/>
        <c:crosses val="autoZero"/>
        <c:auto val="1"/>
        <c:lblAlgn val="ctr"/>
        <c:lblOffset val="100"/>
      </c:catAx>
      <c:valAx>
        <c:axId val="305023616"/>
        <c:scaling>
          <c:orientation val="minMax"/>
        </c:scaling>
        <c:delete val="1"/>
        <c:axPos val="l"/>
        <c:majorGridlines/>
        <c:title>
          <c:tx>
            <c:rich>
              <a:bodyPr rot="-5400000" vert="horz"/>
              <a:lstStyle/>
              <a:p>
                <a:pPr>
                  <a:defRPr/>
                </a:pPr>
                <a:r>
                  <a:rPr lang="ru-RU"/>
                  <a:t>тыс. м3</a:t>
                </a:r>
              </a:p>
            </c:rich>
          </c:tx>
        </c:title>
        <c:numFmt formatCode="General" sourceLinked="1"/>
        <c:tickLblPos val="none"/>
        <c:crossAx val="305022080"/>
        <c:crosses val="autoZero"/>
        <c:crossBetween val="between"/>
      </c:valAx>
    </c:plotArea>
    <c:plotVisOnly val="1"/>
    <c:dispBlanksAs val="gap"/>
  </c:chart>
  <c:txPr>
    <a:bodyPr/>
    <a:lstStyle/>
    <a:p>
      <a:pPr>
        <a:defRPr sz="900"/>
      </a:pPr>
      <a:endParaRPr lang="ru-RU"/>
    </a:p>
  </c:txPr>
  <c:externalData r:id="rId1"/>
</c:chartSpace>
</file>

<file path=word/charts/chart16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Выбросы загрязняющих веществ</a:t>
            </a:r>
          </a:p>
        </c:rich>
      </c:tx>
    </c:title>
    <c:plotArea>
      <c:layout>
        <c:manualLayout>
          <c:layoutTarget val="inner"/>
          <c:xMode val="edge"/>
          <c:yMode val="edge"/>
          <c:x val="0.13609768299248232"/>
          <c:y val="0.18853125076418847"/>
          <c:w val="0.67516979244268305"/>
          <c:h val="0.49005465260737396"/>
        </c:manualLayout>
      </c:layout>
      <c:barChart>
        <c:barDir val="col"/>
        <c:grouping val="clustered"/>
        <c:ser>
          <c:idx val="0"/>
          <c:order val="0"/>
          <c:tx>
            <c:strRef>
              <c:f>Лист1!$B$1</c:f>
              <c:strCache>
                <c:ptCount val="1"/>
                <c:pt idx="0">
                  <c:v>Выбросы загрязняющих веществ</c:v>
                </c:pt>
              </c:strCache>
            </c:strRef>
          </c:tx>
          <c:dLbls>
            <c:dLblPos val="inBase"/>
            <c:showVal val="1"/>
          </c:dLbls>
          <c:cat>
            <c:numRef>
              <c:f>Лист1!$A$2:$A$4</c:f>
              <c:numCache>
                <c:formatCode>General</c:formatCode>
                <c:ptCount val="3"/>
                <c:pt idx="0">
                  <c:v>2011</c:v>
                </c:pt>
                <c:pt idx="1">
                  <c:v>2012</c:v>
                </c:pt>
                <c:pt idx="2">
                  <c:v>2013</c:v>
                </c:pt>
              </c:numCache>
            </c:numRef>
          </c:cat>
          <c:val>
            <c:numRef>
              <c:f>Лист1!$B$2:$B$4</c:f>
              <c:numCache>
                <c:formatCode>General</c:formatCode>
                <c:ptCount val="3"/>
                <c:pt idx="0">
                  <c:v>44.55</c:v>
                </c:pt>
                <c:pt idx="1">
                  <c:v>43.27</c:v>
                </c:pt>
                <c:pt idx="2">
                  <c:v>40.93</c:v>
                </c:pt>
              </c:numCache>
            </c:numRef>
          </c:val>
        </c:ser>
        <c:axId val="305038464"/>
        <c:axId val="305040000"/>
      </c:barChart>
      <c:lineChart>
        <c:grouping val="standard"/>
        <c:ser>
          <c:idx val="1"/>
          <c:order val="1"/>
          <c:tx>
            <c:strRef>
              <c:f>Лист1!$B$11</c:f>
              <c:strCache>
                <c:ptCount val="1"/>
                <c:pt idx="0">
                  <c:v>Выбросы элегаза</c:v>
                </c:pt>
              </c:strCache>
            </c:strRef>
          </c:tx>
          <c:marker>
            <c:symbol val="circle"/>
            <c:size val="7"/>
          </c:marker>
          <c:dLbls>
            <c:dLblPos val="t"/>
            <c:showVal val="1"/>
          </c:dLbls>
          <c:cat>
            <c:numRef>
              <c:f>Лист1!$A$2:$A$4</c:f>
              <c:numCache>
                <c:formatCode>General</c:formatCode>
                <c:ptCount val="3"/>
                <c:pt idx="0">
                  <c:v>2011</c:v>
                </c:pt>
                <c:pt idx="1">
                  <c:v>2012</c:v>
                </c:pt>
                <c:pt idx="2">
                  <c:v>2013</c:v>
                </c:pt>
              </c:numCache>
            </c:numRef>
          </c:cat>
          <c:val>
            <c:numRef>
              <c:f>Лист1!$B$12:$B$14</c:f>
              <c:numCache>
                <c:formatCode>#,##0</c:formatCode>
                <c:ptCount val="3"/>
                <c:pt idx="0">
                  <c:v>20773</c:v>
                </c:pt>
                <c:pt idx="1">
                  <c:v>20602</c:v>
                </c:pt>
                <c:pt idx="2">
                  <c:v>16930</c:v>
                </c:pt>
              </c:numCache>
            </c:numRef>
          </c:val>
        </c:ser>
        <c:marker val="1"/>
        <c:axId val="305056000"/>
        <c:axId val="305054464"/>
      </c:lineChart>
      <c:catAx>
        <c:axId val="305038464"/>
        <c:scaling>
          <c:orientation val="minMax"/>
        </c:scaling>
        <c:axPos val="b"/>
        <c:numFmt formatCode="General" sourceLinked="1"/>
        <c:tickLblPos val="nextTo"/>
        <c:crossAx val="305040000"/>
        <c:crosses val="autoZero"/>
        <c:auto val="1"/>
        <c:lblAlgn val="ctr"/>
        <c:lblOffset val="100"/>
      </c:catAx>
      <c:valAx>
        <c:axId val="305040000"/>
        <c:scaling>
          <c:orientation val="minMax"/>
          <c:max val="70"/>
          <c:min val="0"/>
        </c:scaling>
        <c:axPos val="l"/>
        <c:majorGridlines/>
        <c:title>
          <c:tx>
            <c:rich>
              <a:bodyPr rot="-5400000" vert="horz"/>
              <a:lstStyle/>
              <a:p>
                <a:pPr>
                  <a:defRPr/>
                </a:pPr>
                <a:r>
                  <a:rPr lang="ru-RU"/>
                  <a:t>тонн</a:t>
                </a:r>
              </a:p>
            </c:rich>
          </c:tx>
        </c:title>
        <c:numFmt formatCode="General" sourceLinked="1"/>
        <c:tickLblPos val="nextTo"/>
        <c:crossAx val="305038464"/>
        <c:crosses val="autoZero"/>
        <c:crossBetween val="between"/>
      </c:valAx>
      <c:valAx>
        <c:axId val="305054464"/>
        <c:scaling>
          <c:orientation val="minMax"/>
        </c:scaling>
        <c:axPos val="r"/>
        <c:numFmt formatCode="#,##0" sourceLinked="1"/>
        <c:tickLblPos val="nextTo"/>
        <c:crossAx val="305056000"/>
        <c:crosses val="max"/>
        <c:crossBetween val="between"/>
      </c:valAx>
      <c:catAx>
        <c:axId val="305056000"/>
        <c:scaling>
          <c:orientation val="minMax"/>
        </c:scaling>
        <c:delete val="1"/>
        <c:axPos val="b"/>
        <c:numFmt formatCode="General" sourceLinked="1"/>
        <c:tickLblPos val="none"/>
        <c:crossAx val="305054464"/>
        <c:crosses val="autoZero"/>
        <c:auto val="1"/>
        <c:lblAlgn val="ctr"/>
        <c:lblOffset val="100"/>
      </c:catAx>
    </c:plotArea>
    <c:legend>
      <c:legendPos val="b"/>
      <c:layout>
        <c:manualLayout>
          <c:xMode val="edge"/>
          <c:yMode val="edge"/>
          <c:x val="0"/>
          <c:y val="0.74530473849691503"/>
          <c:w val="0.84131027019972704"/>
          <c:h val="0.13959606058650373"/>
        </c:manualLayout>
      </c:layout>
    </c:legend>
    <c:plotVisOnly val="1"/>
    <c:dispBlanksAs val="gap"/>
  </c:chart>
  <c:txPr>
    <a:bodyPr/>
    <a:lstStyle/>
    <a:p>
      <a:pPr>
        <a:defRPr sz="700"/>
      </a:pPr>
      <a:endParaRPr lang="ru-RU"/>
    </a:p>
  </c:txPr>
  <c:externalData r:id="rId1"/>
</c:chartSpace>
</file>

<file path=word/charts/chart16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Отходы производства и потребления</a:t>
            </a:r>
            <a:endParaRPr lang="en-US"/>
          </a:p>
        </c:rich>
      </c:tx>
    </c:title>
    <c:plotArea>
      <c:layout>
        <c:manualLayout>
          <c:layoutTarget val="inner"/>
          <c:xMode val="edge"/>
          <c:yMode val="edge"/>
          <c:x val="5.2790780870612432E-2"/>
          <c:y val="0.19315210870911137"/>
          <c:w val="0.8958336821967996"/>
          <c:h val="0.48382499655151834"/>
        </c:manualLayout>
      </c:layout>
      <c:barChart>
        <c:barDir val="col"/>
        <c:grouping val="clustered"/>
        <c:ser>
          <c:idx val="0"/>
          <c:order val="0"/>
          <c:tx>
            <c:strRef>
              <c:f>Лист1!$B$11:$D$11</c:f>
              <c:strCache>
                <c:ptCount val="1"/>
                <c:pt idx="0">
                  <c:v>20 565 19 017 19 761</c:v>
                </c:pt>
              </c:strCache>
            </c:strRef>
          </c:tx>
          <c:dLbls>
            <c:showVal val="1"/>
          </c:dLbls>
          <c:cat>
            <c:numRef>
              <c:f>Лист1!$A$2:$A$4</c:f>
              <c:numCache>
                <c:formatCode>General</c:formatCode>
                <c:ptCount val="3"/>
                <c:pt idx="0">
                  <c:v>2011</c:v>
                </c:pt>
                <c:pt idx="1">
                  <c:v>2012</c:v>
                </c:pt>
                <c:pt idx="2">
                  <c:v>2013</c:v>
                </c:pt>
              </c:numCache>
            </c:numRef>
          </c:cat>
          <c:val>
            <c:numRef>
              <c:f>Лист1!$B$11:$D$11</c:f>
              <c:numCache>
                <c:formatCode>#,##0</c:formatCode>
                <c:ptCount val="3"/>
                <c:pt idx="0">
                  <c:v>20565</c:v>
                </c:pt>
                <c:pt idx="1">
                  <c:v>19017</c:v>
                </c:pt>
                <c:pt idx="2">
                  <c:v>19761</c:v>
                </c:pt>
              </c:numCache>
            </c:numRef>
          </c:val>
        </c:ser>
        <c:axId val="305121536"/>
        <c:axId val="305123328"/>
      </c:barChart>
      <c:catAx>
        <c:axId val="305121536"/>
        <c:scaling>
          <c:orientation val="minMax"/>
        </c:scaling>
        <c:axPos val="b"/>
        <c:numFmt formatCode="General" sourceLinked="1"/>
        <c:tickLblPos val="nextTo"/>
        <c:crossAx val="305123328"/>
        <c:crosses val="autoZero"/>
        <c:auto val="1"/>
        <c:lblAlgn val="ctr"/>
        <c:lblOffset val="100"/>
      </c:catAx>
      <c:valAx>
        <c:axId val="305123328"/>
        <c:scaling>
          <c:orientation val="minMax"/>
          <c:min val="0"/>
        </c:scaling>
        <c:delete val="1"/>
        <c:axPos val="l"/>
        <c:majorGridlines/>
        <c:title>
          <c:tx>
            <c:rich>
              <a:bodyPr rot="-5400000" vert="horz"/>
              <a:lstStyle/>
              <a:p>
                <a:pPr>
                  <a:defRPr/>
                </a:pPr>
                <a:r>
                  <a:rPr lang="ru-RU"/>
                  <a:t>тонн</a:t>
                </a:r>
              </a:p>
            </c:rich>
          </c:tx>
        </c:title>
        <c:numFmt formatCode="#,##0" sourceLinked="1"/>
        <c:tickLblPos val="none"/>
        <c:crossAx val="305121536"/>
        <c:crosses val="autoZero"/>
        <c:crossBetween val="between"/>
      </c:valAx>
    </c:plotArea>
    <c:plotVisOnly val="1"/>
    <c:dispBlanksAs val="gap"/>
  </c:chart>
  <c:txPr>
    <a:bodyPr/>
    <a:lstStyle/>
    <a:p>
      <a:pPr>
        <a:defRPr sz="800"/>
      </a:pPr>
      <a:endParaRPr lang="ru-RU"/>
    </a:p>
  </c:txPr>
  <c:externalData r:id="rId1"/>
</c:chartSpace>
</file>

<file path=word/charts/chart165.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strRef>
              <c:f>Лист1!$B$1</c:f>
              <c:strCache>
                <c:ptCount val="1"/>
                <c:pt idx="0">
                  <c:v>Затраты на охрану окружающей среды</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General</c:formatCode>
                <c:ptCount val="3"/>
                <c:pt idx="0">
                  <c:v>79.06</c:v>
                </c:pt>
                <c:pt idx="1">
                  <c:v>104.6</c:v>
                </c:pt>
                <c:pt idx="2">
                  <c:v>93.179999999999978</c:v>
                </c:pt>
              </c:numCache>
            </c:numRef>
          </c:val>
        </c:ser>
        <c:axId val="305217536"/>
        <c:axId val="305219072"/>
      </c:barChart>
      <c:catAx>
        <c:axId val="305217536"/>
        <c:scaling>
          <c:orientation val="minMax"/>
        </c:scaling>
        <c:axPos val="b"/>
        <c:numFmt formatCode="General" sourceLinked="1"/>
        <c:tickLblPos val="nextTo"/>
        <c:crossAx val="305219072"/>
        <c:crosses val="autoZero"/>
        <c:auto val="1"/>
        <c:lblAlgn val="ctr"/>
        <c:lblOffset val="100"/>
      </c:catAx>
      <c:valAx>
        <c:axId val="305219072"/>
        <c:scaling>
          <c:orientation val="minMax"/>
        </c:scaling>
        <c:delete val="1"/>
        <c:axPos val="l"/>
        <c:majorGridlines/>
        <c:title>
          <c:tx>
            <c:rich>
              <a:bodyPr rot="-5400000" vert="horz"/>
              <a:lstStyle/>
              <a:p>
                <a:pPr>
                  <a:defRPr/>
                </a:pPr>
                <a:r>
                  <a:rPr lang="ru-RU"/>
                  <a:t>млн руб. без НДС</a:t>
                </a:r>
              </a:p>
            </c:rich>
          </c:tx>
        </c:title>
        <c:numFmt formatCode="General" sourceLinked="1"/>
        <c:tickLblPos val="none"/>
        <c:crossAx val="305217536"/>
        <c:crosses val="autoZero"/>
        <c:crossBetween val="between"/>
      </c:valAx>
    </c:plotArea>
    <c:plotVisOnly val="1"/>
    <c:dispBlanksAs val="gap"/>
  </c:chart>
  <c:txPr>
    <a:bodyPr/>
    <a:lstStyle/>
    <a:p>
      <a:pPr>
        <a:defRPr sz="900"/>
      </a:pPr>
      <a:endParaRPr lang="ru-RU"/>
    </a:p>
  </c:txPr>
  <c:externalData r:id="rId1"/>
</c:chartSpace>
</file>

<file path=word/charts/chart16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затрат на охрану окружающей среды</a:t>
            </a:r>
          </a:p>
        </c:rich>
      </c:tx>
    </c:title>
    <c:plotArea>
      <c:layout/>
      <c:barChart>
        <c:barDir val="col"/>
        <c:grouping val="percentStacked"/>
        <c:ser>
          <c:idx val="2"/>
          <c:order val="0"/>
          <c:tx>
            <c:strRef>
              <c:f>Лист1!$D$1</c:f>
              <c:strCache>
                <c:ptCount val="1"/>
                <c:pt idx="0">
                  <c:v>Охрана земельных ресурсов от отходов производства и потребления </c:v>
                </c:pt>
              </c:strCache>
            </c:strRef>
          </c:tx>
          <c:dLbls>
            <c:showVal val="1"/>
          </c:dLbls>
          <c:cat>
            <c:numRef>
              <c:f>Лист1!$A$2:$A$4</c:f>
              <c:numCache>
                <c:formatCode>General</c:formatCode>
                <c:ptCount val="3"/>
                <c:pt idx="0">
                  <c:v>2011</c:v>
                </c:pt>
                <c:pt idx="1">
                  <c:v>2012</c:v>
                </c:pt>
                <c:pt idx="2">
                  <c:v>2013</c:v>
                </c:pt>
              </c:numCache>
            </c:numRef>
          </c:cat>
          <c:val>
            <c:numRef>
              <c:f>Лист1!$D$2:$D$4</c:f>
              <c:numCache>
                <c:formatCode>0.00%</c:formatCode>
                <c:ptCount val="3"/>
                <c:pt idx="0">
                  <c:v>0.49241082721984486</c:v>
                </c:pt>
                <c:pt idx="1">
                  <c:v>0.47915869980879588</c:v>
                </c:pt>
                <c:pt idx="2">
                  <c:v>0.45127709808971883</c:v>
                </c:pt>
              </c:numCache>
            </c:numRef>
          </c:val>
        </c:ser>
        <c:ser>
          <c:idx val="0"/>
          <c:order val="1"/>
          <c:tx>
            <c:strRef>
              <c:f>Лист1!$B$1</c:f>
              <c:strCache>
                <c:ptCount val="1"/>
                <c:pt idx="0">
                  <c:v>Охрана и рациональное использование  водных ресурсов</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0.00%</c:formatCode>
                <c:ptCount val="3"/>
                <c:pt idx="0">
                  <c:v>0.29306855552745414</c:v>
                </c:pt>
                <c:pt idx="1">
                  <c:v>0.37217973231357582</c:v>
                </c:pt>
                <c:pt idx="2">
                  <c:v>0.33869929169349688</c:v>
                </c:pt>
              </c:numCache>
            </c:numRef>
          </c:val>
        </c:ser>
        <c:ser>
          <c:idx val="1"/>
          <c:order val="2"/>
          <c:tx>
            <c:strRef>
              <c:f>Лист1!$C$1</c:f>
              <c:strCache>
                <c:ptCount val="1"/>
                <c:pt idx="0">
                  <c:v>Охрана атмосферного воздуха</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0.15216291424234771</c:v>
                </c:pt>
                <c:pt idx="1">
                  <c:v>9.82791586998088E-2</c:v>
                </c:pt>
                <c:pt idx="2">
                  <c:v>0.14552479072762611</c:v>
                </c:pt>
              </c:numCache>
            </c:numRef>
          </c:val>
        </c:ser>
        <c:ser>
          <c:idx val="3"/>
          <c:order val="3"/>
          <c:tx>
            <c:strRef>
              <c:f>Лист1!$E$1</c:f>
              <c:strCache>
                <c:ptCount val="1"/>
                <c:pt idx="0">
                  <c:v>Плата за негативное воздействие</c:v>
                </c:pt>
              </c:strCache>
            </c:strRef>
          </c:tx>
          <c:dLbls>
            <c:showVal val="1"/>
          </c:dLbls>
          <c:cat>
            <c:numRef>
              <c:f>Лист1!$A$2:$A$4</c:f>
              <c:numCache>
                <c:formatCode>General</c:formatCode>
                <c:ptCount val="3"/>
                <c:pt idx="0">
                  <c:v>2011</c:v>
                </c:pt>
                <c:pt idx="1">
                  <c:v>2012</c:v>
                </c:pt>
                <c:pt idx="2">
                  <c:v>2013</c:v>
                </c:pt>
              </c:numCache>
            </c:numRef>
          </c:cat>
          <c:val>
            <c:numRef>
              <c:f>Лист1!$E$2:$E$4</c:f>
              <c:numCache>
                <c:formatCode>0.00%</c:formatCode>
                <c:ptCount val="3"/>
                <c:pt idx="0">
                  <c:v>6.2357703010372023E-2</c:v>
                </c:pt>
                <c:pt idx="1">
                  <c:v>5.0382409177821226E-2</c:v>
                </c:pt>
                <c:pt idx="2">
                  <c:v>6.449881948916078E-2</c:v>
                </c:pt>
              </c:numCache>
            </c:numRef>
          </c:val>
        </c:ser>
        <c:overlap val="100"/>
        <c:axId val="305362048"/>
        <c:axId val="305363584"/>
      </c:barChart>
      <c:catAx>
        <c:axId val="305362048"/>
        <c:scaling>
          <c:orientation val="minMax"/>
        </c:scaling>
        <c:axPos val="b"/>
        <c:numFmt formatCode="General" sourceLinked="1"/>
        <c:tickLblPos val="nextTo"/>
        <c:crossAx val="305363584"/>
        <c:crosses val="autoZero"/>
        <c:auto val="1"/>
        <c:lblAlgn val="ctr"/>
        <c:lblOffset val="100"/>
      </c:catAx>
      <c:valAx>
        <c:axId val="305363584"/>
        <c:scaling>
          <c:orientation val="minMax"/>
        </c:scaling>
        <c:axPos val="l"/>
        <c:majorGridlines/>
        <c:numFmt formatCode="0%" sourceLinked="1"/>
        <c:tickLblPos val="nextTo"/>
        <c:crossAx val="305362048"/>
        <c:crosses val="autoZero"/>
        <c:crossBetween val="between"/>
      </c:valAx>
    </c:plotArea>
    <c:legend>
      <c:legendPos val="r"/>
      <c:layout>
        <c:manualLayout>
          <c:xMode val="edge"/>
          <c:yMode val="edge"/>
          <c:x val="0.59475418783660028"/>
          <c:y val="0.18029465066866646"/>
          <c:w val="0.38078098035911562"/>
          <c:h val="0.81970534933133354"/>
        </c:manualLayout>
      </c:layout>
    </c:legend>
    <c:plotVisOnly val="1"/>
    <c:dispBlanksAs val="gap"/>
  </c:chart>
  <c:txPr>
    <a:bodyPr/>
    <a:lstStyle/>
    <a:p>
      <a:pPr>
        <a:defRPr sz="900"/>
      </a:pPr>
      <a:endParaRPr lang="ru-RU"/>
    </a:p>
  </c:txPr>
  <c:externalData r:id="rId1"/>
</c:chartSpace>
</file>

<file path=word/charts/chart16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rtl="0">
              <a:defRPr/>
            </a:pPr>
            <a:r>
              <a:rPr lang="ru-RU"/>
              <a:t>Количество публикаций</a:t>
            </a:r>
          </a:p>
        </c:rich>
      </c:tx>
    </c:title>
    <c:plotArea>
      <c:layout/>
      <c:barChart>
        <c:barDir val="col"/>
        <c:grouping val="percentStacked"/>
        <c:ser>
          <c:idx val="0"/>
          <c:order val="0"/>
          <c:tx>
            <c:strRef>
              <c:f>Лист1!$B$1</c:f>
              <c:strCache>
                <c:ptCount val="1"/>
                <c:pt idx="0">
                  <c:v>Федеральные СМИ</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0.52</c:v>
                </c:pt>
                <c:pt idx="1">
                  <c:v>0.53996538683417761</c:v>
                </c:pt>
                <c:pt idx="2">
                  <c:v>0.63002477973568283</c:v>
                </c:pt>
              </c:numCache>
            </c:numRef>
          </c:val>
        </c:ser>
        <c:ser>
          <c:idx val="1"/>
          <c:order val="1"/>
          <c:tx>
            <c:strRef>
              <c:f>Лист1!$C$1</c:f>
              <c:strCache>
                <c:ptCount val="1"/>
                <c:pt idx="0">
                  <c:v>Региональные/ отраслевые СМИ</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0.4500133155792278</c:v>
                </c:pt>
                <c:pt idx="1">
                  <c:v>0.41003781808858403</c:v>
                </c:pt>
                <c:pt idx="2">
                  <c:v>0.33996420704846958</c:v>
                </c:pt>
              </c:numCache>
            </c:numRef>
          </c:val>
        </c:ser>
        <c:ser>
          <c:idx val="2"/>
          <c:order val="2"/>
          <c:tx>
            <c:strRef>
              <c:f>Лист1!$D$1</c:f>
              <c:strCache>
                <c:ptCount val="1"/>
                <c:pt idx="0">
                  <c:v>Другое</c:v>
                </c:pt>
              </c:strCache>
            </c:strRef>
          </c:tx>
          <c:dLbls>
            <c:showVal val="1"/>
          </c:dLbls>
          <c:cat>
            <c:numRef>
              <c:f>Лист1!$A$2:$A$4</c:f>
              <c:numCache>
                <c:formatCode>General</c:formatCode>
                <c:ptCount val="3"/>
                <c:pt idx="0">
                  <c:v>2011</c:v>
                </c:pt>
                <c:pt idx="1">
                  <c:v>2012</c:v>
                </c:pt>
                <c:pt idx="2">
                  <c:v>2013</c:v>
                </c:pt>
              </c:numCache>
            </c:numRef>
          </c:cat>
          <c:val>
            <c:numRef>
              <c:f>Лист1!$D$2:$D$4</c:f>
              <c:numCache>
                <c:formatCode>0%</c:formatCode>
                <c:ptCount val="3"/>
                <c:pt idx="0">
                  <c:v>2.9986684420772302E-2</c:v>
                </c:pt>
                <c:pt idx="1">
                  <c:v>4.9996795077239864E-2</c:v>
                </c:pt>
                <c:pt idx="2">
                  <c:v>3.0011013215859708E-2</c:v>
                </c:pt>
              </c:numCache>
            </c:numRef>
          </c:val>
        </c:ser>
        <c:overlap val="100"/>
        <c:axId val="305390720"/>
        <c:axId val="305392256"/>
      </c:barChart>
      <c:catAx>
        <c:axId val="305390720"/>
        <c:scaling>
          <c:orientation val="minMax"/>
        </c:scaling>
        <c:axPos val="b"/>
        <c:numFmt formatCode="General" sourceLinked="1"/>
        <c:tickLblPos val="nextTo"/>
        <c:crossAx val="305392256"/>
        <c:crosses val="autoZero"/>
        <c:auto val="1"/>
        <c:lblAlgn val="ctr"/>
        <c:lblOffset val="100"/>
      </c:catAx>
      <c:valAx>
        <c:axId val="305392256"/>
        <c:scaling>
          <c:orientation val="minMax"/>
        </c:scaling>
        <c:axPos val="l"/>
        <c:majorGridlines/>
        <c:numFmt formatCode="0%" sourceLinked="1"/>
        <c:tickLblPos val="nextTo"/>
        <c:crossAx val="305390720"/>
        <c:crosses val="autoZero"/>
        <c:crossBetween val="between"/>
      </c:valAx>
    </c:plotArea>
    <c:legend>
      <c:legendPos val="b"/>
    </c:legend>
    <c:plotVisOnly val="1"/>
    <c:dispBlanksAs val="gap"/>
  </c:chart>
  <c:txPr>
    <a:bodyPr/>
    <a:lstStyle/>
    <a:p>
      <a:pPr>
        <a:defRPr sz="900"/>
      </a:pPr>
      <a:endParaRPr lang="ru-RU"/>
    </a:p>
  </c:txPr>
  <c:externalData r:id="rId1"/>
</c:chartSpace>
</file>

<file path=word/charts/chart16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Характер публикаций</a:t>
            </a:r>
          </a:p>
        </c:rich>
      </c:tx>
    </c:title>
    <c:plotArea>
      <c:layout/>
      <c:barChart>
        <c:barDir val="col"/>
        <c:grouping val="percentStacked"/>
        <c:ser>
          <c:idx val="2"/>
          <c:order val="0"/>
          <c:tx>
            <c:strRef>
              <c:f>Лист1!$D$1</c:f>
              <c:strCache>
                <c:ptCount val="1"/>
                <c:pt idx="0">
                  <c:v>Нейтральный</c:v>
                </c:pt>
              </c:strCache>
            </c:strRef>
          </c:tx>
          <c:dLbls>
            <c:showVal val="1"/>
          </c:dLbls>
          <c:cat>
            <c:numRef>
              <c:f>Лист1!$A$2:$A$4</c:f>
              <c:numCache>
                <c:formatCode>General</c:formatCode>
                <c:ptCount val="3"/>
                <c:pt idx="0">
                  <c:v>2011</c:v>
                </c:pt>
                <c:pt idx="1">
                  <c:v>2012</c:v>
                </c:pt>
                <c:pt idx="2">
                  <c:v>2013</c:v>
                </c:pt>
              </c:numCache>
            </c:numRef>
          </c:cat>
          <c:val>
            <c:numRef>
              <c:f>Лист1!$D$2:$D$4</c:f>
              <c:numCache>
                <c:formatCode>0.0%</c:formatCode>
                <c:ptCount val="3"/>
                <c:pt idx="0">
                  <c:v>0.71700000000000064</c:v>
                </c:pt>
                <c:pt idx="1">
                  <c:v>0.72400000000000064</c:v>
                </c:pt>
                <c:pt idx="2">
                  <c:v>0.66300000000001436</c:v>
                </c:pt>
              </c:numCache>
            </c:numRef>
          </c:val>
        </c:ser>
        <c:ser>
          <c:idx val="0"/>
          <c:order val="1"/>
          <c:tx>
            <c:strRef>
              <c:f>Лист1!$B$1</c:f>
              <c:strCache>
                <c:ptCount val="1"/>
                <c:pt idx="0">
                  <c:v>Позитивный</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0.0%</c:formatCode>
                <c:ptCount val="3"/>
                <c:pt idx="0">
                  <c:v>0.21100000000000024</c:v>
                </c:pt>
                <c:pt idx="1">
                  <c:v>0.22700000000000006</c:v>
                </c:pt>
                <c:pt idx="2">
                  <c:v>0.31000000000000238</c:v>
                </c:pt>
              </c:numCache>
            </c:numRef>
          </c:val>
        </c:ser>
        <c:ser>
          <c:idx val="1"/>
          <c:order val="2"/>
          <c:tx>
            <c:strRef>
              <c:f>Лист1!$C$1</c:f>
              <c:strCache>
                <c:ptCount val="1"/>
                <c:pt idx="0">
                  <c:v>Негативный </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0.0%</c:formatCode>
                <c:ptCount val="3"/>
                <c:pt idx="0">
                  <c:v>7.2000000000000022E-2</c:v>
                </c:pt>
                <c:pt idx="1">
                  <c:v>4.9000000000000113E-2</c:v>
                </c:pt>
                <c:pt idx="2">
                  <c:v>2.7000000000000256E-2</c:v>
                </c:pt>
              </c:numCache>
            </c:numRef>
          </c:val>
        </c:ser>
        <c:overlap val="100"/>
        <c:axId val="305434624"/>
        <c:axId val="305436160"/>
      </c:barChart>
      <c:catAx>
        <c:axId val="305434624"/>
        <c:scaling>
          <c:orientation val="minMax"/>
        </c:scaling>
        <c:axPos val="b"/>
        <c:numFmt formatCode="General" sourceLinked="1"/>
        <c:tickLblPos val="nextTo"/>
        <c:crossAx val="305436160"/>
        <c:crosses val="autoZero"/>
        <c:auto val="1"/>
        <c:lblAlgn val="ctr"/>
        <c:lblOffset val="100"/>
      </c:catAx>
      <c:valAx>
        <c:axId val="305436160"/>
        <c:scaling>
          <c:orientation val="minMax"/>
        </c:scaling>
        <c:axPos val="l"/>
        <c:majorGridlines/>
        <c:numFmt formatCode="0%" sourceLinked="1"/>
        <c:tickLblPos val="nextTo"/>
        <c:crossAx val="305434624"/>
        <c:crosses val="autoZero"/>
        <c:crossBetween val="between"/>
      </c:valAx>
    </c:plotArea>
    <c:legend>
      <c:legendPos val="b"/>
    </c:legend>
    <c:plotVisOnly val="1"/>
    <c:dispBlanksAs val="gap"/>
  </c:chart>
  <c:externalData r:id="rId1"/>
</c:chartSpace>
</file>

<file path=word/charts/chart16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rtl="0">
              <a:defRPr/>
            </a:pPr>
            <a:r>
              <a:rPr lang="ru-RU"/>
              <a:t>Основные темы публикаций в 2013 году</a:t>
            </a:r>
          </a:p>
        </c:rich>
      </c:tx>
    </c:title>
    <c:plotArea>
      <c:layout>
        <c:manualLayout>
          <c:layoutTarget val="inner"/>
          <c:xMode val="edge"/>
          <c:yMode val="edge"/>
          <c:x val="0.29907369826195052"/>
          <c:y val="0.17771423587157875"/>
          <c:w val="0.46261078189969657"/>
          <c:h val="0.40670615568824292"/>
        </c:manualLayout>
      </c:layout>
      <c:pieChart>
        <c:varyColors val="1"/>
        <c:ser>
          <c:idx val="0"/>
          <c:order val="0"/>
          <c:tx>
            <c:strRef>
              <c:f>Лист1!$B$1</c:f>
              <c:strCache>
                <c:ptCount val="1"/>
                <c:pt idx="0">
                  <c:v>Продажи</c:v>
                </c:pt>
              </c:strCache>
            </c:strRef>
          </c:tx>
          <c:dLbls>
            <c:showPercent val="1"/>
            <c:showLeaderLines val="1"/>
          </c:dLbls>
          <c:cat>
            <c:strRef>
              <c:f>Лист1!$A$2:$A$6</c:f>
              <c:strCache>
                <c:ptCount val="5"/>
                <c:pt idx="0">
                  <c:v>Ход ремонтной кампании  </c:v>
                </c:pt>
                <c:pt idx="1">
                  <c:v>Реализация инвестиционной программы   </c:v>
                </c:pt>
                <c:pt idx="2">
                  <c:v>Прохождение сложных сезонных явлений </c:v>
                </c:pt>
                <c:pt idx="3">
                  <c:v>Оперативное восстановление электроснабжения потребителей при инцидентах на сетях </c:v>
                </c:pt>
                <c:pt idx="4">
                  <c:v>Другое  </c:v>
                </c:pt>
              </c:strCache>
            </c:strRef>
          </c:cat>
          <c:val>
            <c:numRef>
              <c:f>Лист1!$B$2:$B$6</c:f>
              <c:numCache>
                <c:formatCode>#,##0</c:formatCode>
                <c:ptCount val="5"/>
                <c:pt idx="0">
                  <c:v>1818</c:v>
                </c:pt>
                <c:pt idx="1">
                  <c:v>1129</c:v>
                </c:pt>
                <c:pt idx="2">
                  <c:v>1002</c:v>
                </c:pt>
                <c:pt idx="3">
                  <c:v>346</c:v>
                </c:pt>
                <c:pt idx="4">
                  <c:v>10233</c:v>
                </c:pt>
              </c:numCache>
            </c:numRef>
          </c:val>
        </c:ser>
        <c:firstSliceAng val="0"/>
      </c:pieChart>
    </c:plotArea>
    <c:legend>
      <c:legendPos val="b"/>
      <c:layout>
        <c:manualLayout>
          <c:xMode val="edge"/>
          <c:yMode val="edge"/>
          <c:x val="1.7737484540961321E-3"/>
          <c:y val="0.62144618629619963"/>
          <c:w val="0.98990072511318283"/>
          <c:h val="0.3728623197024955"/>
        </c:manualLayout>
      </c:layout>
      <c:txPr>
        <a:bodyPr/>
        <a:lstStyle/>
        <a:p>
          <a:pPr>
            <a:defRPr sz="800"/>
          </a:pPr>
          <a:endParaRPr lang="ru-RU"/>
        </a:p>
      </c:txPr>
    </c:legend>
    <c:plotVisOnly val="1"/>
    <c:dispBlanksAs val="zero"/>
  </c:chart>
  <c:txPr>
    <a:bodyPr/>
    <a:lstStyle/>
    <a:p>
      <a:pPr>
        <a:defRPr sz="900"/>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Сумма дебиторской задолженности участников "Одного окна"</a:t>
            </a:r>
          </a:p>
        </c:rich>
      </c:tx>
      <c:spPr>
        <a:noFill/>
        <a:ln w="25407">
          <a:noFill/>
        </a:ln>
      </c:spPr>
    </c:title>
    <c:plotArea>
      <c:layout/>
      <c:barChart>
        <c:barDir val="col"/>
        <c:grouping val="stacked"/>
        <c:ser>
          <c:idx val="3"/>
          <c:order val="0"/>
          <c:tx>
            <c:strRef>
              <c:f>Лист1!$E$1</c:f>
              <c:strCache>
                <c:ptCount val="1"/>
                <c:pt idx="0">
                  <c:v>ОАО "Энергокомплекс"</c:v>
                </c:pt>
              </c:strCache>
            </c:strRef>
          </c:tx>
          <c:dLbls>
            <c:spPr>
              <a:noFill/>
              <a:ln w="25407">
                <a:noFill/>
              </a:ln>
            </c:spPr>
            <c:showVal val="1"/>
          </c:dLbls>
          <c:cat>
            <c:strRef>
              <c:f>Лист1!$A$2:$A$4</c:f>
              <c:strCache>
                <c:ptCount val="3"/>
                <c:pt idx="0">
                  <c:v>31.12.2011</c:v>
                </c:pt>
                <c:pt idx="1">
                  <c:v>31.12.2012</c:v>
                </c:pt>
                <c:pt idx="2">
                  <c:v>31.12.2013</c:v>
                </c:pt>
              </c:strCache>
            </c:strRef>
          </c:cat>
          <c:val>
            <c:numRef>
              <c:f>Лист1!$E$2:$E$4</c:f>
              <c:numCache>
                <c:formatCode>0.00</c:formatCode>
                <c:ptCount val="3"/>
                <c:pt idx="0">
                  <c:v>12.7</c:v>
                </c:pt>
                <c:pt idx="1">
                  <c:v>12.573</c:v>
                </c:pt>
                <c:pt idx="2">
                  <c:v>12.48</c:v>
                </c:pt>
              </c:numCache>
            </c:numRef>
          </c:val>
        </c:ser>
        <c:ser>
          <c:idx val="2"/>
          <c:order val="1"/>
          <c:tx>
            <c:strRef>
              <c:f>Лист1!$D$1</c:f>
              <c:strCache>
                <c:ptCount val="1"/>
                <c:pt idx="0">
                  <c:v>ОАО "ОЭК"</c:v>
                </c:pt>
              </c:strCache>
            </c:strRef>
          </c:tx>
          <c:dLbls>
            <c:spPr>
              <a:noFill/>
              <a:ln w="25407">
                <a:noFill/>
              </a:ln>
            </c:spPr>
            <c:showVal val="1"/>
          </c:dLbls>
          <c:cat>
            <c:strRef>
              <c:f>Лист1!$A$2:$A$4</c:f>
              <c:strCache>
                <c:ptCount val="3"/>
                <c:pt idx="0">
                  <c:v>31.12.2011</c:v>
                </c:pt>
                <c:pt idx="1">
                  <c:v>31.12.2012</c:v>
                </c:pt>
                <c:pt idx="2">
                  <c:v>31.12.2013</c:v>
                </c:pt>
              </c:strCache>
            </c:strRef>
          </c:cat>
          <c:val>
            <c:numRef>
              <c:f>Лист1!$D$2:$D$4</c:f>
              <c:numCache>
                <c:formatCode>0.00</c:formatCode>
                <c:ptCount val="3"/>
                <c:pt idx="0">
                  <c:v>5.5</c:v>
                </c:pt>
                <c:pt idx="1">
                  <c:v>3.8699999999999997</c:v>
                </c:pt>
                <c:pt idx="2">
                  <c:v>3.84</c:v>
                </c:pt>
              </c:numCache>
            </c:numRef>
          </c:val>
        </c:ser>
        <c:ser>
          <c:idx val="1"/>
          <c:order val="2"/>
          <c:tx>
            <c:strRef>
              <c:f>Лист1!$C$1</c:f>
              <c:strCache>
                <c:ptCount val="1"/>
                <c:pt idx="0">
                  <c:v>ГУП "Москоллектор"</c:v>
                </c:pt>
              </c:strCache>
            </c:strRef>
          </c:tx>
          <c:dLbls>
            <c:spPr>
              <a:noFill/>
              <a:ln w="25407">
                <a:noFill/>
              </a:ln>
            </c:spPr>
            <c:showVal val="1"/>
          </c:dLbls>
          <c:cat>
            <c:strRef>
              <c:f>Лист1!$A$2:$A$4</c:f>
              <c:strCache>
                <c:ptCount val="3"/>
                <c:pt idx="0">
                  <c:v>31.12.2011</c:v>
                </c:pt>
                <c:pt idx="1">
                  <c:v>31.12.2012</c:v>
                </c:pt>
                <c:pt idx="2">
                  <c:v>31.12.2013</c:v>
                </c:pt>
              </c:strCache>
            </c:strRef>
          </c:cat>
          <c:val>
            <c:numRef>
              <c:f>Лист1!$C$2:$C$4</c:f>
              <c:numCache>
                <c:formatCode>0.00</c:formatCode>
                <c:ptCount val="3"/>
                <c:pt idx="0">
                  <c:v>4.63</c:v>
                </c:pt>
                <c:pt idx="1">
                  <c:v>4.63</c:v>
                </c:pt>
                <c:pt idx="2">
                  <c:v>4.601</c:v>
                </c:pt>
              </c:numCache>
            </c:numRef>
          </c:val>
        </c:ser>
        <c:ser>
          <c:idx val="0"/>
          <c:order val="3"/>
          <c:tx>
            <c:strRef>
              <c:f>Лист1!$B$1</c:f>
              <c:strCache>
                <c:ptCount val="1"/>
                <c:pt idx="0">
                  <c:v>ОАО "Мосэнерго"</c:v>
                </c:pt>
              </c:strCache>
            </c:strRef>
          </c:tx>
          <c:dLbls>
            <c:spPr>
              <a:noFill/>
              <a:ln w="25407">
                <a:noFill/>
              </a:ln>
            </c:spPr>
            <c:showVal val="1"/>
          </c:dLbls>
          <c:cat>
            <c:strRef>
              <c:f>Лист1!$A$2:$A$4</c:f>
              <c:strCache>
                <c:ptCount val="3"/>
                <c:pt idx="0">
                  <c:v>31.12.2011</c:v>
                </c:pt>
                <c:pt idx="1">
                  <c:v>31.12.2012</c:v>
                </c:pt>
                <c:pt idx="2">
                  <c:v>31.12.2013</c:v>
                </c:pt>
              </c:strCache>
            </c:strRef>
          </c:cat>
          <c:val>
            <c:numRef>
              <c:f>Лист1!$B$2:$B$4</c:f>
              <c:numCache>
                <c:formatCode>0.00</c:formatCode>
                <c:ptCount val="3"/>
                <c:pt idx="0">
                  <c:v>0.68</c:v>
                </c:pt>
                <c:pt idx="1">
                  <c:v>0.67900000000000671</c:v>
                </c:pt>
                <c:pt idx="2">
                  <c:v>0.67700000000000671</c:v>
                </c:pt>
              </c:numCache>
            </c:numRef>
          </c:val>
        </c:ser>
        <c:overlap val="100"/>
        <c:axId val="113238016"/>
        <c:axId val="113239552"/>
      </c:barChart>
      <c:catAx>
        <c:axId val="113238016"/>
        <c:scaling>
          <c:orientation val="minMax"/>
        </c:scaling>
        <c:axPos val="b"/>
        <c:numFmt formatCode="dd/mm/yyyy" sourceLinked="0"/>
        <c:tickLblPos val="nextTo"/>
        <c:crossAx val="113239552"/>
        <c:crosses val="autoZero"/>
        <c:auto val="1"/>
        <c:lblAlgn val="ctr"/>
        <c:lblOffset val="100"/>
        <c:tickLblSkip val="1"/>
        <c:tickMarkSkip val="1"/>
      </c:catAx>
      <c:valAx>
        <c:axId val="113239552"/>
        <c:scaling>
          <c:orientation val="minMax"/>
        </c:scaling>
        <c:delete val="1"/>
        <c:axPos val="l"/>
        <c:majorGridlines/>
        <c:numFmt formatCode="0.00" sourceLinked="1"/>
        <c:tickLblPos val="none"/>
        <c:crossAx val="113238016"/>
        <c:crosses val="autoZero"/>
        <c:crossBetween val="between"/>
      </c:valAx>
    </c:plotArea>
    <c:legend>
      <c:legendPos val="b"/>
    </c:legend>
    <c:plotVisOnly val="1"/>
    <c:dispBlanksAs val="gap"/>
  </c:chart>
  <c:txPr>
    <a:bodyPr/>
    <a:lstStyle/>
    <a:p>
      <a:pPr>
        <a:defRPr sz="900"/>
      </a:pPr>
      <a:endParaRPr lang="ru-RU"/>
    </a:p>
  </c:txPr>
  <c:externalData r:id="rId2"/>
</c:chartSpace>
</file>

<file path=word/charts/chart17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ru-RU" sz="1100"/>
              <a:t>Изменение позиции</a:t>
            </a:r>
            <a:r>
              <a:rPr lang="ru-RU" sz="1100" baseline="0"/>
              <a:t> </a:t>
            </a:r>
            <a:r>
              <a:rPr lang="ru-RU" sz="1100" b="1" i="0" u="none" strike="noStrike" kern="1200" baseline="0">
                <a:solidFill>
                  <a:sysClr val="windowText" lastClr="000000"/>
                </a:solidFill>
                <a:latin typeface="+mn-lt"/>
                <a:ea typeface="+mn-ea"/>
                <a:cs typeface="+mn-cs"/>
              </a:rPr>
              <a:t>ОАО </a:t>
            </a:r>
            <a:r>
              <a:rPr lang="ru-RU" sz="1100" baseline="0"/>
              <a:t>"МОЭСК" в 2013 году в Рейтинге информационной открытости российских компаний ТЭК</a:t>
            </a:r>
            <a:endParaRPr lang="ru-RU" sz="1100"/>
          </a:p>
        </c:rich>
      </c:tx>
    </c:title>
    <c:plotArea>
      <c:layout/>
      <c:lineChart>
        <c:grouping val="standard"/>
        <c:ser>
          <c:idx val="0"/>
          <c:order val="0"/>
          <c:tx>
            <c:strRef>
              <c:f>Лист1!$B$1</c:f>
              <c:strCache>
                <c:ptCount val="1"/>
                <c:pt idx="0">
                  <c:v>Позиция в рейтинге российских компаний ТЭК</c:v>
                </c:pt>
              </c:strCache>
            </c:strRef>
          </c:tx>
          <c:marker>
            <c:symbol val="none"/>
          </c:marker>
          <c:dLbls>
            <c:dLbl>
              <c:idx val="0"/>
              <c:layout>
                <c:manualLayout>
                  <c:x val="-2.5544072615923959E-2"/>
                  <c:y val="-2.0248093988251472E-2"/>
                </c:manualLayout>
              </c:layout>
              <c:spPr/>
              <c:txPr>
                <a:bodyPr/>
                <a:lstStyle/>
                <a:p>
                  <a:pPr>
                    <a:defRPr/>
                  </a:pPr>
                  <a:endParaRPr lang="ru-RU"/>
                </a:p>
              </c:txPr>
              <c:dLblPos val="r"/>
              <c:showVal val="1"/>
            </c:dLbl>
            <c:dLblPos val="t"/>
            <c:showVal val="1"/>
          </c:dLbls>
          <c:cat>
            <c:strRef>
              <c:f>Лист1!$A$2:$A$13</c:f>
              <c:strCache>
                <c:ptCount val="12"/>
                <c:pt idx="0">
                  <c:v>янв</c:v>
                </c:pt>
                <c:pt idx="1">
                  <c:v>фев</c:v>
                </c:pt>
                <c:pt idx="2">
                  <c:v>мар</c:v>
                </c:pt>
                <c:pt idx="3">
                  <c:v>апр</c:v>
                </c:pt>
                <c:pt idx="4">
                  <c:v>май</c:v>
                </c:pt>
                <c:pt idx="5">
                  <c:v>июн</c:v>
                </c:pt>
                <c:pt idx="6">
                  <c:v>июл</c:v>
                </c:pt>
                <c:pt idx="7">
                  <c:v>авг</c:v>
                </c:pt>
                <c:pt idx="8">
                  <c:v>сен</c:v>
                </c:pt>
                <c:pt idx="9">
                  <c:v>окт</c:v>
                </c:pt>
                <c:pt idx="10">
                  <c:v>ноя</c:v>
                </c:pt>
                <c:pt idx="11">
                  <c:v>дек</c:v>
                </c:pt>
              </c:strCache>
            </c:strRef>
          </c:cat>
          <c:val>
            <c:numRef>
              <c:f>Лист1!$B$2:$B$13</c:f>
              <c:numCache>
                <c:formatCode>General</c:formatCode>
                <c:ptCount val="12"/>
                <c:pt idx="0">
                  <c:v>2</c:v>
                </c:pt>
                <c:pt idx="1">
                  <c:v>32</c:v>
                </c:pt>
                <c:pt idx="2">
                  <c:v>34</c:v>
                </c:pt>
                <c:pt idx="3">
                  <c:v>17</c:v>
                </c:pt>
                <c:pt idx="4">
                  <c:v>35</c:v>
                </c:pt>
                <c:pt idx="5">
                  <c:v>39</c:v>
                </c:pt>
                <c:pt idx="6">
                  <c:v>9</c:v>
                </c:pt>
                <c:pt idx="7">
                  <c:v>13</c:v>
                </c:pt>
                <c:pt idx="8">
                  <c:v>18</c:v>
                </c:pt>
                <c:pt idx="9">
                  <c:v>34</c:v>
                </c:pt>
                <c:pt idx="10">
                  <c:v>40</c:v>
                </c:pt>
                <c:pt idx="11">
                  <c:v>12</c:v>
                </c:pt>
              </c:numCache>
            </c:numRef>
          </c:val>
        </c:ser>
        <c:ser>
          <c:idx val="1"/>
          <c:order val="1"/>
          <c:tx>
            <c:strRef>
              <c:f>Лист1!$C$1</c:f>
              <c:strCache>
                <c:ptCount val="1"/>
                <c:pt idx="0">
                  <c:v>Линия отсечения</c:v>
                </c:pt>
              </c:strCache>
            </c:strRef>
          </c:tx>
          <c:marker>
            <c:symbol val="none"/>
          </c:marker>
          <c:cat>
            <c:strRef>
              <c:f>Лист1!$A$2:$A$13</c:f>
              <c:strCache>
                <c:ptCount val="12"/>
                <c:pt idx="0">
                  <c:v>янв</c:v>
                </c:pt>
                <c:pt idx="1">
                  <c:v>фев</c:v>
                </c:pt>
                <c:pt idx="2">
                  <c:v>мар</c:v>
                </c:pt>
                <c:pt idx="3">
                  <c:v>апр</c:v>
                </c:pt>
                <c:pt idx="4">
                  <c:v>май</c:v>
                </c:pt>
                <c:pt idx="5">
                  <c:v>июн</c:v>
                </c:pt>
                <c:pt idx="6">
                  <c:v>июл</c:v>
                </c:pt>
                <c:pt idx="7">
                  <c:v>авг</c:v>
                </c:pt>
                <c:pt idx="8">
                  <c:v>сен</c:v>
                </c:pt>
                <c:pt idx="9">
                  <c:v>окт</c:v>
                </c:pt>
                <c:pt idx="10">
                  <c:v>ноя</c:v>
                </c:pt>
                <c:pt idx="11">
                  <c:v>дек</c:v>
                </c:pt>
              </c:strCache>
            </c:strRef>
          </c:cat>
          <c:val>
            <c:numRef>
              <c:f>Лист1!$C$2:$C$13</c:f>
              <c:numCache>
                <c:formatCode>General</c:formatCode>
                <c:ptCount val="12"/>
                <c:pt idx="0">
                  <c:v>51</c:v>
                </c:pt>
                <c:pt idx="1">
                  <c:v>51</c:v>
                </c:pt>
                <c:pt idx="2">
                  <c:v>51</c:v>
                </c:pt>
                <c:pt idx="3">
                  <c:v>51</c:v>
                </c:pt>
                <c:pt idx="4">
                  <c:v>51</c:v>
                </c:pt>
                <c:pt idx="5">
                  <c:v>51</c:v>
                </c:pt>
                <c:pt idx="6">
                  <c:v>51</c:v>
                </c:pt>
                <c:pt idx="7">
                  <c:v>51</c:v>
                </c:pt>
                <c:pt idx="8">
                  <c:v>51</c:v>
                </c:pt>
                <c:pt idx="9">
                  <c:v>51</c:v>
                </c:pt>
                <c:pt idx="10">
                  <c:v>51</c:v>
                </c:pt>
                <c:pt idx="11">
                  <c:v>51</c:v>
                </c:pt>
              </c:numCache>
            </c:numRef>
          </c:val>
        </c:ser>
        <c:marker val="1"/>
        <c:axId val="305723648"/>
        <c:axId val="305729536"/>
      </c:lineChart>
      <c:catAx>
        <c:axId val="305723648"/>
        <c:scaling>
          <c:orientation val="minMax"/>
        </c:scaling>
        <c:axPos val="t"/>
        <c:numFmt formatCode="General" sourceLinked="1"/>
        <c:tickLblPos val="nextTo"/>
        <c:crossAx val="305729536"/>
        <c:crosses val="autoZero"/>
        <c:auto val="1"/>
        <c:lblAlgn val="ctr"/>
        <c:lblOffset val="100"/>
      </c:catAx>
      <c:valAx>
        <c:axId val="305729536"/>
        <c:scaling>
          <c:orientation val="maxMin"/>
        </c:scaling>
        <c:axPos val="l"/>
        <c:majorGridlines/>
        <c:numFmt formatCode="General" sourceLinked="1"/>
        <c:tickLblPos val="nextTo"/>
        <c:crossAx val="305723648"/>
        <c:crosses val="autoZero"/>
        <c:crossBetween val="between"/>
      </c:valAx>
    </c:plotArea>
    <c:legend>
      <c:legendPos val="b"/>
    </c:legend>
    <c:plotVisOnly val="1"/>
    <c:dispBlanksAs val="gap"/>
  </c:chart>
  <c:externalData r:id="rId2"/>
</c:chartSpace>
</file>

<file path=word/charts/chart17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Посещаемость корпоративного сайта</a:t>
            </a:r>
          </a:p>
        </c:rich>
      </c:tx>
    </c:title>
    <c:plotArea>
      <c:layout/>
      <c:barChart>
        <c:barDir val="col"/>
        <c:grouping val="clustered"/>
        <c:ser>
          <c:idx val="1"/>
          <c:order val="1"/>
          <c:tx>
            <c:strRef>
              <c:f>Лист1!$C$1</c:f>
              <c:strCache>
                <c:ptCount val="1"/>
                <c:pt idx="0">
                  <c:v>Количество посещений корпоративного сайта</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General</c:formatCode>
                <c:ptCount val="3"/>
                <c:pt idx="0">
                  <c:v>5.2700000000000014</c:v>
                </c:pt>
                <c:pt idx="1">
                  <c:v>11.219999999999999</c:v>
                </c:pt>
                <c:pt idx="2">
                  <c:v>12.950000000000006</c:v>
                </c:pt>
              </c:numCache>
            </c:numRef>
          </c:val>
        </c:ser>
        <c:axId val="305785088"/>
        <c:axId val="305795072"/>
      </c:barChart>
      <c:lineChart>
        <c:grouping val="standard"/>
        <c:ser>
          <c:idx val="0"/>
          <c:order val="0"/>
          <c:tx>
            <c:strRef>
              <c:f>Лист1!$B$1</c:f>
              <c:strCache>
                <c:ptCount val="1"/>
                <c:pt idx="0">
                  <c:v>Количество посетителей корпоративного сайта</c:v>
                </c:pt>
              </c:strCache>
            </c:strRef>
          </c:tx>
          <c:marker>
            <c:symbol val="circle"/>
            <c:size val="6"/>
          </c:marker>
          <c:dLbls>
            <c:showVal val="1"/>
          </c:dLbls>
          <c:cat>
            <c:numRef>
              <c:f>Лист1!$A$2:$A$4</c:f>
              <c:numCache>
                <c:formatCode>General</c:formatCode>
                <c:ptCount val="3"/>
                <c:pt idx="0">
                  <c:v>2011</c:v>
                </c:pt>
                <c:pt idx="1">
                  <c:v>2012</c:v>
                </c:pt>
                <c:pt idx="2">
                  <c:v>2013</c:v>
                </c:pt>
              </c:numCache>
            </c:numRef>
          </c:cat>
          <c:val>
            <c:numRef>
              <c:f>Лист1!$B$2:$B$4</c:f>
              <c:numCache>
                <c:formatCode>General</c:formatCode>
                <c:ptCount val="3"/>
                <c:pt idx="0">
                  <c:v>1.1000000000000001</c:v>
                </c:pt>
                <c:pt idx="1">
                  <c:v>1.3</c:v>
                </c:pt>
                <c:pt idx="2">
                  <c:v>2.4499999999999997</c:v>
                </c:pt>
              </c:numCache>
            </c:numRef>
          </c:val>
        </c:ser>
        <c:marker val="1"/>
        <c:axId val="305803264"/>
        <c:axId val="305796992"/>
      </c:lineChart>
      <c:catAx>
        <c:axId val="305785088"/>
        <c:scaling>
          <c:orientation val="minMax"/>
        </c:scaling>
        <c:axPos val="b"/>
        <c:numFmt formatCode="General" sourceLinked="1"/>
        <c:tickLblPos val="nextTo"/>
        <c:crossAx val="305795072"/>
        <c:crosses val="autoZero"/>
        <c:auto val="1"/>
        <c:lblAlgn val="ctr"/>
        <c:lblOffset val="100"/>
      </c:catAx>
      <c:valAx>
        <c:axId val="305795072"/>
        <c:scaling>
          <c:orientation val="minMax"/>
        </c:scaling>
        <c:axPos val="l"/>
        <c:majorGridlines/>
        <c:title>
          <c:tx>
            <c:rich>
              <a:bodyPr/>
              <a:lstStyle/>
              <a:p>
                <a:pPr>
                  <a:defRPr sz="799" b="1" i="0" u="none" strike="noStrike" baseline="0">
                    <a:solidFill>
                      <a:srgbClr val="000000"/>
                    </a:solidFill>
                    <a:latin typeface="Calibri"/>
                    <a:ea typeface="Calibri"/>
                    <a:cs typeface="Calibri"/>
                  </a:defRPr>
                </a:pPr>
                <a:r>
                  <a:rPr lang="ru-RU"/>
                  <a:t>млн шт.</a:t>
                </a:r>
              </a:p>
            </c:rich>
          </c:tx>
        </c:title>
        <c:numFmt formatCode="General" sourceLinked="1"/>
        <c:tickLblPos val="nextTo"/>
        <c:crossAx val="305785088"/>
        <c:crosses val="autoZero"/>
        <c:crossBetween val="between"/>
      </c:valAx>
      <c:valAx>
        <c:axId val="305796992"/>
        <c:scaling>
          <c:orientation val="minMax"/>
        </c:scaling>
        <c:axPos val="r"/>
        <c:title>
          <c:tx>
            <c:rich>
              <a:bodyPr rot="-5400000" vert="horz"/>
              <a:lstStyle/>
              <a:p>
                <a:pPr>
                  <a:defRPr/>
                </a:pPr>
                <a:r>
                  <a:rPr lang="ru-RU"/>
                  <a:t>млн  чел.</a:t>
                </a:r>
              </a:p>
            </c:rich>
          </c:tx>
        </c:title>
        <c:numFmt formatCode="General" sourceLinked="1"/>
        <c:tickLblPos val="nextTo"/>
        <c:crossAx val="305803264"/>
        <c:crosses val="max"/>
        <c:crossBetween val="between"/>
      </c:valAx>
      <c:catAx>
        <c:axId val="305803264"/>
        <c:scaling>
          <c:orientation val="minMax"/>
        </c:scaling>
        <c:delete val="1"/>
        <c:axPos val="b"/>
        <c:numFmt formatCode="General" sourceLinked="1"/>
        <c:tickLblPos val="none"/>
        <c:crossAx val="305796992"/>
        <c:crosses val="autoZero"/>
        <c:auto val="1"/>
        <c:lblAlgn val="ctr"/>
        <c:lblOffset val="100"/>
      </c:catAx>
    </c:plotArea>
    <c:legend>
      <c:legendPos val="b"/>
    </c:legend>
    <c:plotVisOnly val="1"/>
    <c:dispBlanksAs val="gap"/>
  </c:chart>
  <c:txPr>
    <a:bodyPr/>
    <a:lstStyle/>
    <a:p>
      <a:pPr>
        <a:defRPr sz="799"/>
      </a:pPr>
      <a:endParaRPr lang="ru-RU"/>
    </a:p>
  </c:txPr>
  <c:externalData r:id="rId1"/>
</c:chartSpace>
</file>

<file path=word/charts/chart17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49"/>
            </a:pPr>
            <a:r>
              <a:rPr lang="ru-RU" sz="1049"/>
              <a:t>Основные вопросы по поступившим обращениям в 2013 году</a:t>
            </a:r>
          </a:p>
        </c:rich>
      </c:tx>
    </c:title>
    <c:plotArea>
      <c:layout>
        <c:manualLayout>
          <c:layoutTarget val="inner"/>
          <c:xMode val="edge"/>
          <c:yMode val="edge"/>
          <c:x val="0.31885781687416687"/>
          <c:y val="0.17248061814055418"/>
          <c:w val="0.35222974321192307"/>
          <c:h val="0.39756624481346403"/>
        </c:manualLayout>
      </c:layout>
      <c:pieChart>
        <c:varyColors val="1"/>
        <c:ser>
          <c:idx val="0"/>
          <c:order val="0"/>
          <c:tx>
            <c:strRef>
              <c:f>Лист1!$B$1</c:f>
              <c:strCache>
                <c:ptCount val="1"/>
                <c:pt idx="0">
                  <c:v>Продажи</c:v>
                </c:pt>
              </c:strCache>
            </c:strRef>
          </c:tx>
          <c:dLbls>
            <c:numFmt formatCode="0.00%" sourceLinked="0"/>
            <c:showPercent val="1"/>
            <c:showLeaderLines val="1"/>
          </c:dLbls>
          <c:cat>
            <c:strRef>
              <c:f>Лист1!$A$2:$A$6</c:f>
              <c:strCache>
                <c:ptCount val="5"/>
                <c:pt idx="0">
                  <c:v>Технологическое присоединение</c:v>
                </c:pt>
                <c:pt idx="1">
                  <c:v>Отключения и перебои в электроснабжении, скачки напряжения, техническое обслуживание электросетевых объектов</c:v>
                </c:pt>
                <c:pt idx="2">
                  <c:v>Финансовые и экономические вопросы</c:v>
                </c:pt>
                <c:pt idx="3">
                  <c:v>Благодарности</c:v>
                </c:pt>
                <c:pt idx="4">
                  <c:v>Другое</c:v>
                </c:pt>
              </c:strCache>
            </c:strRef>
          </c:cat>
          <c:val>
            <c:numRef>
              <c:f>Лист1!$B$2:$B$6</c:f>
              <c:numCache>
                <c:formatCode>General</c:formatCode>
                <c:ptCount val="5"/>
                <c:pt idx="0" formatCode="#,##0">
                  <c:v>7098</c:v>
                </c:pt>
                <c:pt idx="1">
                  <c:v>641</c:v>
                </c:pt>
                <c:pt idx="2">
                  <c:v>98</c:v>
                </c:pt>
                <c:pt idx="3">
                  <c:v>178</c:v>
                </c:pt>
                <c:pt idx="4">
                  <c:v>759</c:v>
                </c:pt>
              </c:numCache>
            </c:numRef>
          </c:val>
        </c:ser>
        <c:firstSliceAng val="311"/>
      </c:pieChart>
      <c:spPr>
        <a:noFill/>
        <a:ln w="25380">
          <a:noFill/>
        </a:ln>
      </c:spPr>
    </c:plotArea>
    <c:legend>
      <c:legendPos val="b"/>
      <c:layout>
        <c:manualLayout>
          <c:xMode val="edge"/>
          <c:yMode val="edge"/>
          <c:x val="0"/>
          <c:y val="0.57029619115474051"/>
          <c:w val="1"/>
          <c:h val="0.42970380884525938"/>
        </c:manualLayout>
      </c:layout>
      <c:txPr>
        <a:bodyPr/>
        <a:lstStyle/>
        <a:p>
          <a:pPr>
            <a:defRPr sz="800"/>
          </a:pPr>
          <a:endParaRPr lang="ru-RU"/>
        </a:p>
      </c:txPr>
    </c:legend>
    <c:plotVisOnly val="1"/>
    <c:dispBlanksAs val="zero"/>
  </c:chart>
  <c:txPr>
    <a:bodyPr/>
    <a:lstStyle/>
    <a:p>
      <a:pPr>
        <a:defRPr sz="999"/>
      </a:pPr>
      <a:endParaRPr lang="ru-RU"/>
    </a:p>
  </c:txPr>
  <c:externalData r:id="rId2"/>
</c:chartSpace>
</file>

<file path=word/charts/chart17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99"/>
            </a:pPr>
            <a:r>
              <a:rPr lang="ru-RU" sz="1099"/>
              <a:t>Количество обращений в интернет-приемную</a:t>
            </a:r>
          </a:p>
        </c:rich>
      </c:tx>
      <c:layout>
        <c:manualLayout>
          <c:xMode val="edge"/>
          <c:yMode val="edge"/>
          <c:x val="0.18574712643678498"/>
          <c:y val="2.6490066225165611E-2"/>
        </c:manualLayout>
      </c:layout>
    </c:title>
    <c:plotArea>
      <c:layout>
        <c:manualLayout>
          <c:layoutTarget val="inner"/>
          <c:xMode val="edge"/>
          <c:yMode val="edge"/>
          <c:x val="0.11417322834645779"/>
          <c:y val="0.17639742052111376"/>
          <c:w val="0.83470700372980711"/>
          <c:h val="0.71151448784132676"/>
        </c:manualLayout>
      </c:layout>
      <c:barChart>
        <c:barDir val="col"/>
        <c:grouping val="clustered"/>
        <c:ser>
          <c:idx val="0"/>
          <c:order val="0"/>
          <c:tx>
            <c:strRef>
              <c:f>'Лист1'!$B$1</c:f>
              <c:strCache>
                <c:ptCount val="1"/>
                <c:pt idx="0">
                  <c:v>Столбец1</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3059</c:v>
                </c:pt>
                <c:pt idx="1">
                  <c:v>4265</c:v>
                </c:pt>
                <c:pt idx="2">
                  <c:v>8774</c:v>
                </c:pt>
              </c:numCache>
            </c:numRef>
          </c:val>
        </c:ser>
        <c:axId val="305890432"/>
        <c:axId val="305891968"/>
      </c:barChart>
      <c:catAx>
        <c:axId val="305890432"/>
        <c:scaling>
          <c:orientation val="minMax"/>
        </c:scaling>
        <c:axPos val="b"/>
        <c:numFmt formatCode="General" sourceLinked="1"/>
        <c:tickLblPos val="nextTo"/>
        <c:crossAx val="305891968"/>
        <c:crosses val="autoZero"/>
        <c:auto val="1"/>
        <c:lblAlgn val="ctr"/>
        <c:lblOffset val="100"/>
      </c:catAx>
      <c:valAx>
        <c:axId val="305891968"/>
        <c:scaling>
          <c:orientation val="minMax"/>
        </c:scaling>
        <c:delete val="1"/>
        <c:axPos val="l"/>
        <c:majorGridlines/>
        <c:numFmt formatCode="#,##0" sourceLinked="1"/>
        <c:tickLblPos val="none"/>
        <c:crossAx val="305890432"/>
        <c:crosses val="autoZero"/>
        <c:crossBetween val="between"/>
      </c:valAx>
    </c:plotArea>
    <c:plotVisOnly val="1"/>
    <c:dispBlanksAs val="gap"/>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Сктруктура дебиторской задоженности в рамках </a:t>
            </a:r>
          </a:p>
          <a:p>
            <a:pPr>
              <a:defRPr/>
            </a:pPr>
            <a:r>
              <a:rPr lang="ru-RU"/>
              <a:t>"Одного окна"</a:t>
            </a:r>
          </a:p>
        </c:rich>
      </c:tx>
      <c:spPr>
        <a:noFill/>
        <a:ln w="25377">
          <a:noFill/>
        </a:ln>
      </c:spPr>
    </c:title>
    <c:plotArea>
      <c:layout>
        <c:manualLayout>
          <c:layoutTarget val="inner"/>
          <c:xMode val="edge"/>
          <c:yMode val="edge"/>
          <c:x val="4.8049107868031168E-2"/>
          <c:y val="0.33059298143288818"/>
          <c:w val="0.46856395393572547"/>
          <c:h val="0.44397880820453584"/>
        </c:manualLayout>
      </c:layout>
      <c:pieChart>
        <c:varyColors val="1"/>
        <c:ser>
          <c:idx val="0"/>
          <c:order val="0"/>
          <c:tx>
            <c:strRef>
              <c:f>Лист1!$B$1</c:f>
              <c:strCache>
                <c:ptCount val="1"/>
                <c:pt idx="0">
                  <c:v>Продажи</c:v>
                </c:pt>
              </c:strCache>
            </c:strRef>
          </c:tx>
          <c:dLbls>
            <c:numFmt formatCode="0.00%" sourceLinked="0"/>
            <c:spPr>
              <a:noFill/>
              <a:ln w="25377">
                <a:noFill/>
              </a:ln>
            </c:spPr>
            <c:showPercent val="1"/>
            <c:showLeaderLines val="1"/>
          </c:dLbls>
          <c:cat>
            <c:strRef>
              <c:f>Лист1!$A$2:$A$5</c:f>
              <c:strCache>
                <c:ptCount val="4"/>
                <c:pt idx="0">
                  <c:v>ОАО "Энергокомплекс"</c:v>
                </c:pt>
                <c:pt idx="1">
                  <c:v>ГУП "Москоллектор"</c:v>
                </c:pt>
                <c:pt idx="2">
                  <c:v>ОАО "ОЭК"</c:v>
                </c:pt>
                <c:pt idx="3">
                  <c:v>ОАО "Мосэнерго"</c:v>
                </c:pt>
              </c:strCache>
            </c:strRef>
          </c:cat>
          <c:val>
            <c:numRef>
              <c:f>Лист1!$B$2:$B$5</c:f>
              <c:numCache>
                <c:formatCode>0.00</c:formatCode>
                <c:ptCount val="4"/>
                <c:pt idx="0">
                  <c:v>12.48</c:v>
                </c:pt>
                <c:pt idx="1">
                  <c:v>4.601</c:v>
                </c:pt>
                <c:pt idx="2">
                  <c:v>3.84</c:v>
                </c:pt>
                <c:pt idx="3">
                  <c:v>0.67700000000001292</c:v>
                </c:pt>
              </c:numCache>
            </c:numRef>
          </c:val>
        </c:ser>
        <c:firstSliceAng val="0"/>
      </c:pieChart>
      <c:spPr>
        <a:noFill/>
        <a:ln w="25377">
          <a:noFill/>
        </a:ln>
      </c:spPr>
    </c:plotArea>
    <c:legend>
      <c:legendPos val="r"/>
      <c:layout>
        <c:manualLayout>
          <c:xMode val="edge"/>
          <c:yMode val="edge"/>
          <c:x val="0.52557420221462214"/>
          <c:y val="0.29023354564755827"/>
          <c:w val="0.47008280530591368"/>
          <c:h val="0.51235167260144165"/>
        </c:manualLayout>
      </c:layout>
    </c:legend>
    <c:plotVisOnly val="1"/>
    <c:dispBlanksAs val="zero"/>
  </c:chart>
  <c:txPr>
    <a:bodyPr/>
    <a:lstStyle/>
    <a:p>
      <a:pPr>
        <a:defRPr sz="899"/>
      </a:pPr>
      <a:endParaRPr lang="ru-RU"/>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Показатели</a:t>
            </a:r>
            <a:r>
              <a:rPr lang="ru-RU" baseline="0"/>
              <a:t> баланса электроэнергии</a:t>
            </a:r>
            <a:endParaRPr lang="ru-RU"/>
          </a:p>
        </c:rich>
      </c:tx>
    </c:title>
    <c:plotArea>
      <c:layout>
        <c:manualLayout>
          <c:layoutTarget val="inner"/>
          <c:xMode val="edge"/>
          <c:yMode val="edge"/>
          <c:x val="0.16001817958016673"/>
          <c:y val="0.17747252890222295"/>
          <c:w val="0.70993766921518764"/>
          <c:h val="0.57191794188590439"/>
        </c:manualLayout>
      </c:layout>
      <c:barChart>
        <c:barDir val="col"/>
        <c:grouping val="clustered"/>
        <c:ser>
          <c:idx val="0"/>
          <c:order val="0"/>
          <c:tx>
            <c:strRef>
              <c:f>Лист1!$B$1</c:f>
              <c:strCache>
                <c:ptCount val="1"/>
                <c:pt idx="0">
                  <c:v>Отпуск в сеть</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84165</c:v>
                </c:pt>
                <c:pt idx="1">
                  <c:v>86916</c:v>
                </c:pt>
                <c:pt idx="2">
                  <c:v>88215</c:v>
                </c:pt>
              </c:numCache>
            </c:numRef>
          </c:val>
        </c:ser>
        <c:ser>
          <c:idx val="1"/>
          <c:order val="1"/>
          <c:tx>
            <c:strRef>
              <c:f>Лист1!$C$1</c:f>
              <c:strCache>
                <c:ptCount val="1"/>
                <c:pt idx="0">
                  <c:v>Полезный отпуск "собственный"</c:v>
                </c:pt>
              </c:strCache>
            </c:strRef>
          </c:tx>
          <c:dLbls>
            <c:dLbl>
              <c:idx val="0"/>
              <c:layout>
                <c:manualLayout>
                  <c:x val="9.5353756806625199E-3"/>
                  <c:y val="2.7584912660085458E-2"/>
                </c:manualLayout>
              </c:layout>
              <c:showVal val="1"/>
            </c:dLbl>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75470</c:v>
                </c:pt>
                <c:pt idx="1">
                  <c:v>78546</c:v>
                </c:pt>
                <c:pt idx="2">
                  <c:v>80133</c:v>
                </c:pt>
              </c:numCache>
            </c:numRef>
          </c:val>
        </c:ser>
        <c:axId val="116730880"/>
        <c:axId val="116740864"/>
      </c:barChart>
      <c:lineChart>
        <c:grouping val="standard"/>
        <c:ser>
          <c:idx val="2"/>
          <c:order val="2"/>
          <c:tx>
            <c:strRef>
              <c:f>Лист1!$D$1</c:f>
              <c:strCache>
                <c:ptCount val="1"/>
                <c:pt idx="0">
                  <c:v>Потери</c:v>
                </c:pt>
              </c:strCache>
            </c:strRef>
          </c:tx>
          <c:marker>
            <c:symbol val="circle"/>
            <c:size val="7"/>
          </c:marker>
          <c:dLbls>
            <c:dLblPos val="b"/>
            <c:showVal val="1"/>
          </c:dLbls>
          <c:cat>
            <c:numRef>
              <c:f>Лист1!$A$2:$A$4</c:f>
              <c:numCache>
                <c:formatCode>General</c:formatCode>
                <c:ptCount val="3"/>
                <c:pt idx="0">
                  <c:v>2011</c:v>
                </c:pt>
                <c:pt idx="1">
                  <c:v>2012</c:v>
                </c:pt>
                <c:pt idx="2">
                  <c:v>2013</c:v>
                </c:pt>
              </c:numCache>
            </c:numRef>
          </c:cat>
          <c:val>
            <c:numRef>
              <c:f>Лист1!$D$2:$D$4</c:f>
              <c:numCache>
                <c:formatCode>0.00%</c:formatCode>
                <c:ptCount val="3"/>
                <c:pt idx="0">
                  <c:v>0.1033</c:v>
                </c:pt>
                <c:pt idx="1">
                  <c:v>9.6300000000000024E-2</c:v>
                </c:pt>
                <c:pt idx="2">
                  <c:v>9.1600000000000042E-2</c:v>
                </c:pt>
              </c:numCache>
            </c:numRef>
          </c:val>
        </c:ser>
        <c:marker val="1"/>
        <c:axId val="116744576"/>
        <c:axId val="116742784"/>
      </c:lineChart>
      <c:catAx>
        <c:axId val="116730880"/>
        <c:scaling>
          <c:orientation val="minMax"/>
        </c:scaling>
        <c:axPos val="b"/>
        <c:numFmt formatCode="General" sourceLinked="1"/>
        <c:tickLblPos val="nextTo"/>
        <c:crossAx val="116740864"/>
        <c:crosses val="autoZero"/>
        <c:auto val="1"/>
        <c:lblAlgn val="ctr"/>
        <c:lblOffset val="100"/>
      </c:catAx>
      <c:valAx>
        <c:axId val="116740864"/>
        <c:scaling>
          <c:orientation val="minMax"/>
          <c:min val="0"/>
        </c:scaling>
        <c:axPos val="l"/>
        <c:majorGridlines/>
        <c:title>
          <c:tx>
            <c:rich>
              <a:bodyPr rot="-5400000" vert="horz"/>
              <a:lstStyle/>
              <a:p>
                <a:pPr>
                  <a:defRPr/>
                </a:pPr>
                <a:r>
                  <a:rPr lang="ru-RU"/>
                  <a:t>млн кВтч</a:t>
                </a:r>
              </a:p>
            </c:rich>
          </c:tx>
        </c:title>
        <c:numFmt formatCode="#,##0" sourceLinked="1"/>
        <c:tickLblPos val="nextTo"/>
        <c:crossAx val="116730880"/>
        <c:crosses val="autoZero"/>
        <c:crossBetween val="between"/>
      </c:valAx>
      <c:valAx>
        <c:axId val="116742784"/>
        <c:scaling>
          <c:orientation val="minMax"/>
          <c:min val="0"/>
        </c:scaling>
        <c:axPos val="r"/>
        <c:numFmt formatCode="0.00%" sourceLinked="1"/>
        <c:tickLblPos val="nextTo"/>
        <c:crossAx val="116744576"/>
        <c:crosses val="max"/>
        <c:crossBetween val="between"/>
      </c:valAx>
      <c:catAx>
        <c:axId val="116744576"/>
        <c:scaling>
          <c:orientation val="minMax"/>
        </c:scaling>
        <c:delete val="1"/>
        <c:axPos val="b"/>
        <c:numFmt formatCode="General" sourceLinked="1"/>
        <c:tickLblPos val="none"/>
        <c:crossAx val="116742784"/>
        <c:crosses val="autoZero"/>
        <c:auto val="1"/>
        <c:lblAlgn val="ctr"/>
        <c:lblOffset val="100"/>
      </c:catAx>
    </c:plotArea>
    <c:legend>
      <c:legendPos val="b"/>
      <c:layout>
        <c:manualLayout>
          <c:xMode val="edge"/>
          <c:yMode val="edge"/>
          <c:x val="0"/>
          <c:y val="0.84424211647090064"/>
          <c:w val="0.98238207950024936"/>
          <c:h val="0.15575788352911568"/>
        </c:manualLayout>
      </c:layout>
    </c:legend>
    <c:plotVisOnly val="1"/>
    <c:dispBlanksAs val="gap"/>
  </c:chart>
  <c:txPr>
    <a:bodyPr/>
    <a:lstStyle/>
    <a:p>
      <a:pPr>
        <a:defRPr sz="90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9931262355190824E-2"/>
          <c:y val="5.9284647225422017E-2"/>
          <c:w val="0.85139846947231967"/>
          <c:h val="0.64711639602408355"/>
        </c:manualLayout>
      </c:layout>
      <c:barChart>
        <c:barDir val="col"/>
        <c:grouping val="clustered"/>
        <c:ser>
          <c:idx val="0"/>
          <c:order val="0"/>
          <c:tx>
            <c:strRef>
              <c:f>Лист1!$B$1</c:f>
              <c:strCache>
                <c:ptCount val="1"/>
                <c:pt idx="0">
                  <c:v>Чистая прибыль (по РСБУ)</c:v>
                </c:pt>
              </c:strCache>
            </c:strRef>
          </c:tx>
          <c:dLbls>
            <c:dLblPos val="inBase"/>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17053</c:v>
                </c:pt>
                <c:pt idx="1">
                  <c:v>17184</c:v>
                </c:pt>
                <c:pt idx="2">
                  <c:v>11641</c:v>
                </c:pt>
              </c:numCache>
            </c:numRef>
          </c:val>
        </c:ser>
        <c:axId val="365152128"/>
        <c:axId val="365153664"/>
      </c:barChart>
      <c:lineChart>
        <c:grouping val="standard"/>
        <c:ser>
          <c:idx val="1"/>
          <c:order val="1"/>
          <c:tx>
            <c:strRef>
              <c:f>Лист1!$C$1</c:f>
              <c:strCache>
                <c:ptCount val="1"/>
                <c:pt idx="0">
                  <c:v>Рентабельность по чистой прибыли</c:v>
                </c:pt>
              </c:strCache>
            </c:strRef>
          </c:tx>
          <c:marker>
            <c:symbol val="circle"/>
            <c:size val="7"/>
          </c:marker>
          <c:dLbls>
            <c:dLblPos val="t"/>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0.1348</c:v>
                </c:pt>
                <c:pt idx="1">
                  <c:v>0.14560000000000001</c:v>
                </c:pt>
                <c:pt idx="2">
                  <c:v>9.3300000000000063E-2</c:v>
                </c:pt>
              </c:numCache>
            </c:numRef>
          </c:val>
        </c:ser>
        <c:marker val="1"/>
        <c:axId val="365384832"/>
        <c:axId val="365200896"/>
      </c:lineChart>
      <c:catAx>
        <c:axId val="365152128"/>
        <c:scaling>
          <c:orientation val="minMax"/>
        </c:scaling>
        <c:axPos val="b"/>
        <c:numFmt formatCode="General" sourceLinked="1"/>
        <c:tickLblPos val="nextTo"/>
        <c:crossAx val="365153664"/>
        <c:crosses val="autoZero"/>
        <c:auto val="1"/>
        <c:lblAlgn val="ctr"/>
        <c:lblOffset val="100"/>
      </c:catAx>
      <c:valAx>
        <c:axId val="365153664"/>
        <c:scaling>
          <c:orientation val="minMax"/>
          <c:max val="95000"/>
          <c:min val="0"/>
        </c:scaling>
        <c:axPos val="l"/>
        <c:majorGridlines/>
        <c:title>
          <c:tx>
            <c:rich>
              <a:bodyPr rot="-5400000" vert="horz"/>
              <a:lstStyle/>
              <a:p>
                <a:pPr>
                  <a:defRPr/>
                </a:pPr>
                <a:r>
                  <a:rPr lang="ru-RU"/>
                  <a:t>млн руб.</a:t>
                </a:r>
              </a:p>
            </c:rich>
          </c:tx>
        </c:title>
        <c:numFmt formatCode="#,##0" sourceLinked="1"/>
        <c:tickLblPos val="nextTo"/>
        <c:txPr>
          <a:bodyPr/>
          <a:lstStyle/>
          <a:p>
            <a:pPr>
              <a:defRPr sz="100">
                <a:solidFill>
                  <a:schemeClr val="bg1"/>
                </a:solidFill>
              </a:defRPr>
            </a:pPr>
            <a:endParaRPr lang="ru-RU"/>
          </a:p>
        </c:txPr>
        <c:crossAx val="365152128"/>
        <c:crosses val="autoZero"/>
        <c:crossBetween val="between"/>
      </c:valAx>
      <c:valAx>
        <c:axId val="365200896"/>
        <c:scaling>
          <c:orientation val="minMax"/>
          <c:max val="0.5"/>
        </c:scaling>
        <c:axPos val="r"/>
        <c:numFmt formatCode="0%" sourceLinked="0"/>
        <c:tickLblPos val="nextTo"/>
        <c:txPr>
          <a:bodyPr/>
          <a:lstStyle/>
          <a:p>
            <a:pPr>
              <a:defRPr sz="100">
                <a:solidFill>
                  <a:schemeClr val="bg1"/>
                </a:solidFill>
              </a:defRPr>
            </a:pPr>
            <a:endParaRPr lang="ru-RU"/>
          </a:p>
        </c:txPr>
        <c:crossAx val="365384832"/>
        <c:crosses val="max"/>
        <c:crossBetween val="between"/>
      </c:valAx>
      <c:catAx>
        <c:axId val="365384832"/>
        <c:scaling>
          <c:orientation val="minMax"/>
        </c:scaling>
        <c:delete val="1"/>
        <c:axPos val="b"/>
        <c:numFmt formatCode="General" sourceLinked="1"/>
        <c:tickLblPos val="none"/>
        <c:crossAx val="365200896"/>
        <c:crosses val="autoZero"/>
        <c:auto val="1"/>
        <c:lblAlgn val="ctr"/>
        <c:lblOffset val="100"/>
      </c:catAx>
    </c:plotArea>
    <c:legend>
      <c:legendPos val="b"/>
      <c:layout>
        <c:manualLayout>
          <c:xMode val="edge"/>
          <c:yMode val="edge"/>
          <c:x val="0"/>
          <c:y val="0.84561560486758425"/>
          <c:w val="1"/>
          <c:h val="0.12474481380744021"/>
        </c:manualLayout>
      </c:layout>
    </c:legend>
    <c:plotVisOnly val="1"/>
    <c:dispBlanksAs val="gap"/>
  </c:chart>
  <c:txPr>
    <a:bodyPr/>
    <a:lstStyle/>
    <a:p>
      <a:pPr>
        <a:defRPr sz="800"/>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80" b="1" i="0" u="none" strike="noStrike" kern="1200" baseline="0">
                <a:solidFill>
                  <a:sysClr val="windowText" lastClr="000000"/>
                </a:solidFill>
                <a:latin typeface="+mn-lt"/>
                <a:ea typeface="+mn-ea"/>
                <a:cs typeface="+mn-cs"/>
              </a:defRPr>
            </a:pPr>
            <a:r>
              <a:rPr lang="ru-RU"/>
              <a:t>Структура полезного отпуска "котлового" в 2013 году  по категориям потребителей</a:t>
            </a:r>
          </a:p>
        </c:rich>
      </c:tx>
      <c:layout>
        <c:manualLayout>
          <c:xMode val="edge"/>
          <c:yMode val="edge"/>
          <c:x val="0.14970628883905895"/>
          <c:y val="0"/>
        </c:manualLayout>
      </c:layout>
    </c:title>
    <c:plotArea>
      <c:layout>
        <c:manualLayout>
          <c:layoutTarget val="inner"/>
          <c:xMode val="edge"/>
          <c:yMode val="edge"/>
          <c:x val="0.18128956739712648"/>
          <c:y val="0.23785730946962294"/>
          <c:w val="0.60057676021025175"/>
          <c:h val="0.37871487847533902"/>
        </c:manualLayout>
      </c:layout>
      <c:pieChart>
        <c:varyColors val="1"/>
        <c:ser>
          <c:idx val="0"/>
          <c:order val="0"/>
          <c:tx>
            <c:strRef>
              <c:f>Лист1!$B$1</c:f>
              <c:strCache>
                <c:ptCount val="1"/>
                <c:pt idx="0">
                  <c:v>Структура выручки от передачи электроэнергии по группам конечных потребителей-2</c:v>
                </c:pt>
              </c:strCache>
            </c:strRef>
          </c:tx>
          <c:dLbls>
            <c:dLbl>
              <c:idx val="1"/>
              <c:layout>
                <c:manualLayout>
                  <c:x val="-3.6524663224854141E-2"/>
                  <c:y val="-9.7186624875269575E-3"/>
                </c:manualLayout>
              </c:layout>
              <c:showPercent val="1"/>
            </c:dLbl>
            <c:dLbl>
              <c:idx val="2"/>
              <c:layout>
                <c:manualLayout>
                  <c:x val="7.784366576819407E-2"/>
                  <c:y val="-1.6409965147799147E-2"/>
                </c:manualLayout>
              </c:layout>
              <c:showPercent val="1"/>
            </c:dLbl>
            <c:dLbl>
              <c:idx val="3"/>
              <c:layout>
                <c:manualLayout>
                  <c:x val="8.1426378306485747E-2"/>
                  <c:y val="-2.0576050944451588E-2"/>
                </c:manualLayout>
              </c:layout>
              <c:showPercent val="1"/>
            </c:dLbl>
            <c:numFmt formatCode="0.00%" sourceLinked="0"/>
            <c:showPercent val="1"/>
            <c:showLeaderLines val="1"/>
          </c:dLbls>
          <c:cat>
            <c:strRef>
              <c:f>Лист1!$A$2:$A$4</c:f>
              <c:strCache>
                <c:ptCount val="3"/>
                <c:pt idx="0">
                  <c:v>Гарантирующие поставщики</c:v>
                </c:pt>
                <c:pt idx="1">
                  <c:v>Энергосбытовые организации</c:v>
                </c:pt>
                <c:pt idx="2">
                  <c:v>Прочие потребители</c:v>
                </c:pt>
              </c:strCache>
            </c:strRef>
          </c:cat>
          <c:val>
            <c:numRef>
              <c:f>Лист1!$B$2:$B$4</c:f>
              <c:numCache>
                <c:formatCode>#,##0</c:formatCode>
                <c:ptCount val="3"/>
                <c:pt idx="0">
                  <c:v>69059</c:v>
                </c:pt>
                <c:pt idx="1">
                  <c:v>1527</c:v>
                </c:pt>
                <c:pt idx="2">
                  <c:v>827</c:v>
                </c:pt>
              </c:numCache>
            </c:numRef>
          </c:val>
        </c:ser>
        <c:firstSliceAng val="43"/>
      </c:pieChart>
    </c:plotArea>
    <c:legend>
      <c:legendPos val="b"/>
      <c:layout>
        <c:manualLayout>
          <c:xMode val="edge"/>
          <c:yMode val="edge"/>
          <c:x val="0"/>
          <c:y val="0.76645938616539455"/>
          <c:w val="0.94766601840986064"/>
          <c:h val="0.19840988830591946"/>
        </c:manualLayout>
      </c:layout>
    </c:legend>
    <c:plotVisOnly val="1"/>
    <c:dispBlanksAs val="zero"/>
  </c:chart>
  <c:txPr>
    <a:bodyPr/>
    <a:lstStyle/>
    <a:p>
      <a:pPr>
        <a:defRPr sz="900"/>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полезного</a:t>
            </a:r>
            <a:r>
              <a:rPr lang="ru-RU" baseline="0"/>
              <a:t> отпуска "котлового" в 2013 году по группам конечных потребителей </a:t>
            </a:r>
            <a:endParaRPr lang="ru-RU"/>
          </a:p>
        </c:rich>
      </c:tx>
    </c:title>
    <c:plotArea>
      <c:layout>
        <c:manualLayout>
          <c:layoutTarget val="inner"/>
          <c:xMode val="edge"/>
          <c:yMode val="edge"/>
          <c:x val="0.27519971110107089"/>
          <c:y val="0.21870154842114098"/>
          <c:w val="0.41911364882921098"/>
          <c:h val="0.40034670868770988"/>
        </c:manualLayout>
      </c:layout>
      <c:pieChart>
        <c:varyColors val="1"/>
        <c:ser>
          <c:idx val="0"/>
          <c:order val="0"/>
          <c:tx>
            <c:strRef>
              <c:f>Лист1!$B$1</c:f>
              <c:strCache>
                <c:ptCount val="1"/>
                <c:pt idx="0">
                  <c:v>Продажи</c:v>
                </c:pt>
              </c:strCache>
            </c:strRef>
          </c:tx>
          <c:dLbls>
            <c:numFmt formatCode="0.00%" sourceLinked="0"/>
            <c:showPercent val="1"/>
          </c:dLbls>
          <c:cat>
            <c:strRef>
              <c:f>Лист1!$A$2:$A$7</c:f>
              <c:strCache>
                <c:ptCount val="6"/>
                <c:pt idx="0">
                  <c:v>Промышленные потребители</c:v>
                </c:pt>
                <c:pt idx="1">
                  <c:v>Непромышленные потребители</c:v>
                </c:pt>
                <c:pt idx="2">
                  <c:v>Население и приравненные к нему группы потребителей</c:v>
                </c:pt>
                <c:pt idx="3">
                  <c:v>Государственные и муниципальные организации, а также прочие бюджетные потребители</c:v>
                </c:pt>
                <c:pt idx="4">
                  <c:v>Транспорт</c:v>
                </c:pt>
                <c:pt idx="5">
                  <c:v>Сельское хозяйство</c:v>
                </c:pt>
              </c:strCache>
            </c:strRef>
          </c:cat>
          <c:val>
            <c:numRef>
              <c:f>Лист1!$B$2:$B$7</c:f>
              <c:numCache>
                <c:formatCode>#,##0</c:formatCode>
                <c:ptCount val="6"/>
                <c:pt idx="0">
                  <c:v>22856</c:v>
                </c:pt>
                <c:pt idx="1">
                  <c:v>21969</c:v>
                </c:pt>
                <c:pt idx="2">
                  <c:v>14576</c:v>
                </c:pt>
                <c:pt idx="3" formatCode="General">
                  <c:v>6049</c:v>
                </c:pt>
                <c:pt idx="4">
                  <c:v>5161</c:v>
                </c:pt>
                <c:pt idx="5" formatCode="General">
                  <c:v>802</c:v>
                </c:pt>
              </c:numCache>
            </c:numRef>
          </c:val>
        </c:ser>
        <c:firstSliceAng val="0"/>
      </c:pieChart>
    </c:plotArea>
    <c:legend>
      <c:legendPos val="b"/>
      <c:layout>
        <c:manualLayout>
          <c:xMode val="edge"/>
          <c:yMode val="edge"/>
          <c:x val="0"/>
          <c:y val="0.62746367399951364"/>
          <c:w val="1"/>
          <c:h val="0.37253632600048708"/>
        </c:manualLayout>
      </c:layout>
    </c:legend>
    <c:plotVisOnly val="1"/>
    <c:dispBlanksAs val="zero"/>
  </c:chart>
  <c:txPr>
    <a:bodyPr/>
    <a:lstStyle/>
    <a:p>
      <a:pPr>
        <a:defRPr sz="900"/>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полезного отпуска "котлового" по уровням напряжения</a:t>
            </a:r>
          </a:p>
        </c:rich>
      </c:tx>
    </c:title>
    <c:plotArea>
      <c:layout/>
      <c:pieChart>
        <c:varyColors val="1"/>
        <c:ser>
          <c:idx val="0"/>
          <c:order val="0"/>
          <c:tx>
            <c:strRef>
              <c:f>Лист1!$B$1</c:f>
              <c:strCache>
                <c:ptCount val="1"/>
                <c:pt idx="0">
                  <c:v>Структура полезного отпуска по группам конечных потребителей</c:v>
                </c:pt>
              </c:strCache>
            </c:strRef>
          </c:tx>
          <c:dLbls>
            <c:numFmt formatCode="0.00%" sourceLinked="0"/>
            <c:showPercent val="1"/>
            <c:showLeaderLines val="1"/>
          </c:dLbls>
          <c:cat>
            <c:strRef>
              <c:f>Лист1!$A$2:$A$5</c:f>
              <c:strCache>
                <c:ptCount val="4"/>
                <c:pt idx="0">
                  <c:v>Высокое напряжение (110-500 кВ)</c:v>
                </c:pt>
                <c:pt idx="1">
                  <c:v>Среднее напряжение-1 (35 кВ)</c:v>
                </c:pt>
                <c:pt idx="2">
                  <c:v>Среднее напряжение-2 (1-20 кВ)</c:v>
                </c:pt>
                <c:pt idx="3">
                  <c:v>Низкое напряжение (0,4 кВ и ниже)</c:v>
                </c:pt>
              </c:strCache>
            </c:strRef>
          </c:cat>
          <c:val>
            <c:numRef>
              <c:f>Лист1!$B$2:$B$5</c:f>
              <c:numCache>
                <c:formatCode>#,##0</c:formatCode>
                <c:ptCount val="4"/>
                <c:pt idx="0">
                  <c:v>13868</c:v>
                </c:pt>
                <c:pt idx="1">
                  <c:v>1174</c:v>
                </c:pt>
                <c:pt idx="2">
                  <c:v>26114</c:v>
                </c:pt>
                <c:pt idx="3">
                  <c:v>30256</c:v>
                </c:pt>
              </c:numCache>
            </c:numRef>
          </c:val>
        </c:ser>
        <c:firstSliceAng val="0"/>
      </c:pieChart>
    </c:plotArea>
    <c:legend>
      <c:legendPos val="r"/>
      <c:layout>
        <c:manualLayout>
          <c:xMode val="edge"/>
          <c:yMode val="edge"/>
          <c:x val="0.60761414958265347"/>
          <c:y val="0.3199707413622645"/>
          <c:w val="0.37436783239933585"/>
          <c:h val="0.52748986704530787"/>
        </c:manualLayout>
      </c:layout>
    </c:legend>
    <c:plotVisOnly val="1"/>
    <c:dispBlanksAs val="zero"/>
  </c:chart>
  <c:txPr>
    <a:bodyPr/>
    <a:lstStyle/>
    <a:p>
      <a:pPr>
        <a:defRPr sz="1000"/>
      </a:pPr>
      <a:endParaRPr lang="ru-RU"/>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79" b="1" i="0" u="none" strike="noStrike" kern="1200" baseline="0">
                <a:solidFill>
                  <a:sysClr val="windowText" lastClr="000000"/>
                </a:solidFill>
                <a:latin typeface="+mn-lt"/>
                <a:ea typeface="+mn-ea"/>
                <a:cs typeface="+mn-cs"/>
              </a:defRPr>
            </a:pPr>
            <a:r>
              <a:rPr lang="ru-RU" sz="999"/>
              <a:t>Мероприятия по </a:t>
            </a:r>
            <a:r>
              <a:rPr lang="ru-RU" sz="999">
                <a:solidFill>
                  <a:sysClr val="windowText" lastClr="000000"/>
                </a:solidFill>
              </a:rPr>
              <a:t>снижению и</a:t>
            </a:r>
            <a:r>
              <a:rPr lang="ru-RU" sz="999" baseline="0">
                <a:solidFill>
                  <a:sysClr val="windowText" lastClr="000000"/>
                </a:solidFill>
              </a:rPr>
              <a:t> недопущению потерь</a:t>
            </a:r>
            <a:r>
              <a:rPr lang="ru-RU" sz="999" b="1">
                <a:solidFill>
                  <a:sysClr val="windowText" lastClr="000000"/>
                </a:solidFill>
              </a:rPr>
              <a:t> электроэнергии при передаче и распределении по электрическим сетям</a:t>
            </a:r>
            <a:r>
              <a:rPr lang="ru-RU" sz="999">
                <a:solidFill>
                  <a:sysClr val="windowText" lastClr="000000"/>
                </a:solidFill>
              </a:rPr>
              <a:t>, проведенные в 2013 году (структура</a:t>
            </a:r>
            <a:r>
              <a:rPr lang="ru-RU" sz="999" baseline="0">
                <a:solidFill>
                  <a:sysClr val="windowText" lastClr="000000"/>
                </a:solidFill>
              </a:rPr>
              <a:t> эффекта в денежном выражении)</a:t>
            </a:r>
            <a:endParaRPr lang="ru-RU" sz="999">
              <a:solidFill>
                <a:sysClr val="windowText" lastClr="000000"/>
              </a:solidFill>
            </a:endParaRPr>
          </a:p>
        </c:rich>
      </c:tx>
      <c:layout>
        <c:manualLayout>
          <c:xMode val="edge"/>
          <c:yMode val="edge"/>
          <c:x val="0.13848390151515191"/>
          <c:y val="0"/>
        </c:manualLayout>
      </c:layout>
    </c:title>
    <c:plotArea>
      <c:layout>
        <c:manualLayout>
          <c:layoutTarget val="inner"/>
          <c:xMode val="edge"/>
          <c:yMode val="edge"/>
          <c:x val="4.7090199509894091E-2"/>
          <c:y val="0.34128808575381442"/>
          <c:w val="0.26224733517491539"/>
          <c:h val="0.54073644933479892"/>
        </c:manualLayout>
      </c:layout>
      <c:pieChart>
        <c:varyColors val="1"/>
        <c:ser>
          <c:idx val="0"/>
          <c:order val="0"/>
          <c:tx>
            <c:strRef>
              <c:f>Лист1!$B$1</c:f>
              <c:strCache>
                <c:ptCount val="1"/>
                <c:pt idx="0">
                  <c:v>Столбец1</c:v>
                </c:pt>
              </c:strCache>
            </c:strRef>
          </c:tx>
          <c:dLbls>
            <c:dLbl>
              <c:idx val="0"/>
              <c:tx>
                <c:rich>
                  <a:bodyPr/>
                  <a:lstStyle/>
                  <a:p>
                    <a:r>
                      <a:rPr lang="en-US"/>
                      <a:t>63,5</a:t>
                    </a:r>
                    <a:r>
                      <a:rPr lang="ru-RU"/>
                      <a:t>3</a:t>
                    </a:r>
                    <a:r>
                      <a:rPr lang="en-US"/>
                      <a:t>%</a:t>
                    </a:r>
                  </a:p>
                </c:rich>
              </c:tx>
              <c:showPercent val="1"/>
            </c:dLbl>
            <c:dLbl>
              <c:idx val="7"/>
              <c:tx>
                <c:rich>
                  <a:bodyPr/>
                  <a:lstStyle/>
                  <a:p>
                    <a:r>
                      <a:rPr lang="en-US"/>
                      <a:t>0,0</a:t>
                    </a:r>
                    <a:r>
                      <a:rPr lang="ru-RU"/>
                      <a:t>1</a:t>
                    </a:r>
                    <a:r>
                      <a:rPr lang="en-US"/>
                      <a:t>%</a:t>
                    </a:r>
                  </a:p>
                </c:rich>
              </c:tx>
              <c:showPercent val="1"/>
            </c:dLbl>
            <c:numFmt formatCode="0.00%" sourceLinked="0"/>
            <c:showPercent val="1"/>
            <c:showLeaderLines val="1"/>
          </c:dLbls>
          <c:cat>
            <c:strRef>
              <c:f>Лист1!$A$2:$A$10</c:f>
              <c:strCache>
                <c:ptCount val="9"/>
                <c:pt idx="0">
                  <c:v>Выявление безучетного электропотребления</c:v>
                </c:pt>
                <c:pt idx="1">
                  <c:v>Снятие показаний счетчиков электроэнергии у потребителей-юридических лиц и бытовых абонентов</c:v>
                </c:pt>
                <c:pt idx="2">
                  <c:v>Выявление бездоговорного электропотребления (недопущение потерь)</c:v>
                </c:pt>
                <c:pt idx="3">
                  <c:v>Технические мероприятия по коммерческому учету электроэнергии </c:v>
                </c:pt>
                <c:pt idx="4">
                  <c:v>Замена перегруженных и изношенных трансформаторов 35-220 кВ</c:v>
                </c:pt>
                <c:pt idx="5">
                  <c:v>Увеличение пропускной способности ЛЭП 35-220 кВ</c:v>
                </c:pt>
                <c:pt idx="6">
                  <c:v>Развитие распределительной электрической сети 20 кВ</c:v>
                </c:pt>
                <c:pt idx="7">
                  <c:v>Установка энергосберегающих ламп</c:v>
                </c:pt>
                <c:pt idx="8">
                  <c:v>Установка средств компенсации реактивной мощности в электрических сетях</c:v>
                </c:pt>
              </c:strCache>
            </c:strRef>
          </c:cat>
          <c:val>
            <c:numRef>
              <c:f>Лист1!$B$2:$B$10</c:f>
              <c:numCache>
                <c:formatCode>General</c:formatCode>
                <c:ptCount val="9"/>
                <c:pt idx="0">
                  <c:v>781.7</c:v>
                </c:pt>
                <c:pt idx="1">
                  <c:v>74.2</c:v>
                </c:pt>
                <c:pt idx="2">
                  <c:v>262.10000000000002</c:v>
                </c:pt>
                <c:pt idx="3">
                  <c:v>89</c:v>
                </c:pt>
                <c:pt idx="4">
                  <c:v>21.5</c:v>
                </c:pt>
                <c:pt idx="5">
                  <c:v>0.1</c:v>
                </c:pt>
                <c:pt idx="6">
                  <c:v>0.60000000000000064</c:v>
                </c:pt>
                <c:pt idx="7">
                  <c:v>0.2</c:v>
                </c:pt>
                <c:pt idx="8">
                  <c:v>1.2</c:v>
                </c:pt>
              </c:numCache>
            </c:numRef>
          </c:val>
        </c:ser>
        <c:firstSliceAng val="0"/>
      </c:pieChart>
      <c:spPr>
        <a:noFill/>
        <a:ln w="25383">
          <a:noFill/>
        </a:ln>
      </c:spPr>
    </c:plotArea>
    <c:legend>
      <c:legendPos val="r"/>
      <c:layout>
        <c:manualLayout>
          <c:xMode val="edge"/>
          <c:yMode val="edge"/>
          <c:x val="0.31972872852918732"/>
          <c:y val="0.16442183332981511"/>
          <c:w val="0.65499767484020488"/>
          <c:h val="0.83557823428496025"/>
        </c:manualLayout>
      </c:layout>
    </c:legend>
    <c:plotVisOnly val="1"/>
    <c:dispBlanksAs val="zero"/>
  </c:chart>
  <c:txPr>
    <a:bodyPr/>
    <a:lstStyle/>
    <a:p>
      <a:pPr algn="just">
        <a:defRPr sz="899"/>
      </a:pPr>
      <a:endParaRPr lang="ru-RU"/>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Потери э/э </a:t>
            </a:r>
            <a:r>
              <a:rPr lang="ru-RU" sz="960" b="1" i="0" u="none" strike="noStrike" baseline="0">
                <a:effectLst/>
              </a:rPr>
              <a:t>при передаче и распределении по эл. сетям</a:t>
            </a:r>
            <a:endParaRPr lang="ru-RU"/>
          </a:p>
        </c:rich>
      </c:tx>
      <c:layout>
        <c:manualLayout>
          <c:xMode val="edge"/>
          <c:yMode val="edge"/>
          <c:x val="0.28066560986807348"/>
          <c:y val="0"/>
        </c:manualLayout>
      </c:layout>
    </c:title>
    <c:plotArea>
      <c:layout>
        <c:manualLayout>
          <c:layoutTarget val="inner"/>
          <c:xMode val="edge"/>
          <c:yMode val="edge"/>
          <c:x val="0.20933188317672463"/>
          <c:y val="0.1436271685551502"/>
          <c:w val="0.66397165700823579"/>
          <c:h val="0.64758210101785196"/>
        </c:manualLayout>
      </c:layout>
      <c:barChart>
        <c:barDir val="col"/>
        <c:grouping val="clustered"/>
        <c:ser>
          <c:idx val="0"/>
          <c:order val="0"/>
          <c:tx>
            <c:strRef>
              <c:f>Лист1!$B$1</c:f>
              <c:strCache>
                <c:ptCount val="1"/>
                <c:pt idx="0">
                  <c:v>Потери (абс.)</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8695.588738507553</c:v>
                </c:pt>
                <c:pt idx="1">
                  <c:v>8369.545999999842</c:v>
                </c:pt>
                <c:pt idx="2">
                  <c:v>8081.9597179999373</c:v>
                </c:pt>
              </c:numCache>
            </c:numRef>
          </c:val>
        </c:ser>
        <c:axId val="117043584"/>
        <c:axId val="117045120"/>
      </c:barChart>
      <c:lineChart>
        <c:grouping val="standard"/>
        <c:ser>
          <c:idx val="1"/>
          <c:order val="1"/>
          <c:tx>
            <c:strRef>
              <c:f>Лист1!$C$1</c:f>
              <c:strCache>
                <c:ptCount val="1"/>
                <c:pt idx="0">
                  <c:v>Потери (отн.)</c:v>
                </c:pt>
              </c:strCache>
            </c:strRef>
          </c:tx>
          <c:marker>
            <c:symbol val="circle"/>
            <c:size val="7"/>
          </c:marker>
          <c:dLbls>
            <c:dLblPos val="t"/>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0.1033</c:v>
                </c:pt>
                <c:pt idx="1">
                  <c:v>9.6300000000000024E-2</c:v>
                </c:pt>
                <c:pt idx="2">
                  <c:v>9.1600000000000042E-2</c:v>
                </c:pt>
              </c:numCache>
            </c:numRef>
          </c:val>
        </c:ser>
        <c:marker val="1"/>
        <c:axId val="122302464"/>
        <c:axId val="122304000"/>
      </c:lineChart>
      <c:catAx>
        <c:axId val="117043584"/>
        <c:scaling>
          <c:orientation val="minMax"/>
        </c:scaling>
        <c:axPos val="b"/>
        <c:numFmt formatCode="General" sourceLinked="1"/>
        <c:tickLblPos val="nextTo"/>
        <c:crossAx val="117045120"/>
        <c:crosses val="autoZero"/>
        <c:auto val="1"/>
        <c:lblAlgn val="ctr"/>
        <c:lblOffset val="100"/>
      </c:catAx>
      <c:valAx>
        <c:axId val="117045120"/>
        <c:scaling>
          <c:orientation val="minMax"/>
          <c:min val="0"/>
        </c:scaling>
        <c:axPos val="l"/>
        <c:majorGridlines/>
        <c:title>
          <c:tx>
            <c:rich>
              <a:bodyPr/>
              <a:lstStyle/>
              <a:p>
                <a:pPr>
                  <a:defRPr sz="800" b="1" i="0" u="none" strike="noStrike" baseline="0">
                    <a:solidFill>
                      <a:srgbClr val="000000"/>
                    </a:solidFill>
                    <a:latin typeface="Calibri"/>
                    <a:ea typeface="Calibri"/>
                    <a:cs typeface="Calibri"/>
                  </a:defRPr>
                </a:pPr>
                <a:r>
                  <a:rPr lang="ru-RU"/>
                  <a:t>млн кВтч</a:t>
                </a:r>
              </a:p>
            </c:rich>
          </c:tx>
        </c:title>
        <c:numFmt formatCode="#,##0" sourceLinked="1"/>
        <c:tickLblPos val="nextTo"/>
        <c:crossAx val="117043584"/>
        <c:crosses val="autoZero"/>
        <c:crossBetween val="between"/>
      </c:valAx>
      <c:catAx>
        <c:axId val="122302464"/>
        <c:scaling>
          <c:orientation val="minMax"/>
        </c:scaling>
        <c:delete val="1"/>
        <c:axPos val="b"/>
        <c:numFmt formatCode="General" sourceLinked="1"/>
        <c:tickLblPos val="none"/>
        <c:crossAx val="122304000"/>
        <c:crosses val="autoZero"/>
        <c:auto val="1"/>
        <c:lblAlgn val="ctr"/>
        <c:lblOffset val="100"/>
      </c:catAx>
      <c:valAx>
        <c:axId val="122304000"/>
        <c:scaling>
          <c:orientation val="minMax"/>
          <c:max val="0.5"/>
          <c:min val="0"/>
        </c:scaling>
        <c:axPos val="r"/>
        <c:numFmt formatCode="0%" sourceLinked="0"/>
        <c:tickLblPos val="nextTo"/>
        <c:crossAx val="122302464"/>
        <c:crosses val="max"/>
        <c:crossBetween val="between"/>
      </c:valAx>
    </c:plotArea>
    <c:legend>
      <c:legendPos val="b"/>
      <c:layout>
        <c:manualLayout>
          <c:xMode val="edge"/>
          <c:yMode val="edge"/>
          <c:x val="3.8954099809688725E-2"/>
          <c:y val="0.87028757274905855"/>
          <c:w val="0.91555555555555568"/>
          <c:h val="9.705922629236563E-2"/>
        </c:manualLayout>
      </c:layout>
    </c:legend>
    <c:plotVisOnly val="1"/>
    <c:dispBlanksAs val="gap"/>
  </c:chart>
  <c:txPr>
    <a:bodyPr/>
    <a:lstStyle/>
    <a:p>
      <a:pPr>
        <a:defRPr sz="800"/>
      </a:pPr>
      <a:endParaRPr lang="ru-RU"/>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Потребление топливно-энергетических ресурсов</a:t>
            </a:r>
            <a:r>
              <a:rPr lang="ru-RU" sz="1000" baseline="0"/>
              <a:t> на хозяйственные нужды</a:t>
            </a:r>
            <a:endParaRPr lang="ru-RU" sz="1000"/>
          </a:p>
        </c:rich>
      </c:tx>
      <c:layout>
        <c:manualLayout>
          <c:xMode val="edge"/>
          <c:yMode val="edge"/>
          <c:x val="0.17544177709493641"/>
          <c:y val="0"/>
        </c:manualLayout>
      </c:layout>
    </c:title>
    <c:plotArea>
      <c:layout>
        <c:manualLayout>
          <c:layoutTarget val="inner"/>
          <c:xMode val="edge"/>
          <c:yMode val="edge"/>
          <c:x val="0.22805688823780748"/>
          <c:y val="0.237360758476619"/>
          <c:w val="0.6250650064091029"/>
          <c:h val="0.52762847501205201"/>
        </c:manualLayout>
      </c:layout>
      <c:barChart>
        <c:barDir val="col"/>
        <c:grouping val="clustered"/>
        <c:ser>
          <c:idx val="1"/>
          <c:order val="1"/>
          <c:tx>
            <c:strRef>
              <c:f>Лист1!$C$1</c:f>
              <c:strCache>
                <c:ptCount val="1"/>
                <c:pt idx="0">
                  <c:v>т у.т </c:v>
                </c:pt>
              </c:strCache>
            </c:strRef>
          </c:tx>
          <c:dLbls>
            <c:dLblPos val="inBase"/>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47505.9</c:v>
                </c:pt>
                <c:pt idx="1">
                  <c:v>40823</c:v>
                </c:pt>
                <c:pt idx="2">
                  <c:v>40862.400000000001</c:v>
                </c:pt>
              </c:numCache>
            </c:numRef>
          </c:val>
        </c:ser>
        <c:gapWidth val="103"/>
        <c:axId val="129523712"/>
        <c:axId val="129525248"/>
      </c:barChart>
      <c:lineChart>
        <c:grouping val="standard"/>
        <c:ser>
          <c:idx val="0"/>
          <c:order val="0"/>
          <c:tx>
            <c:strRef>
              <c:f>Лист1!$B$1</c:f>
              <c:strCache>
                <c:ptCount val="1"/>
                <c:pt idx="0">
                  <c:v>т у.т на м² площади помещений</c:v>
                </c:pt>
              </c:strCache>
            </c:strRef>
          </c:tx>
          <c:marker>
            <c:symbol val="circle"/>
            <c:size val="7"/>
          </c:marker>
          <c:dLbls>
            <c:numFmt formatCode="#,##0.00" sourceLinked="0"/>
            <c:dLblPos val="t"/>
            <c:showVal val="1"/>
          </c:dLbls>
          <c:cat>
            <c:numRef>
              <c:f>Лист1!$A$2:$A$4</c:f>
              <c:numCache>
                <c:formatCode>General</c:formatCode>
                <c:ptCount val="3"/>
                <c:pt idx="0">
                  <c:v>2011</c:v>
                </c:pt>
                <c:pt idx="1">
                  <c:v>2012</c:v>
                </c:pt>
                <c:pt idx="2">
                  <c:v>2013</c:v>
                </c:pt>
              </c:numCache>
            </c:numRef>
          </c:cat>
          <c:val>
            <c:numRef>
              <c:f>Лист1!$B$2:$B$4</c:f>
              <c:numCache>
                <c:formatCode>General</c:formatCode>
                <c:ptCount val="3"/>
                <c:pt idx="0">
                  <c:v>0.11894982819021258</c:v>
                </c:pt>
                <c:pt idx="1">
                  <c:v>8.6517347887103593E-2</c:v>
                </c:pt>
                <c:pt idx="2">
                  <c:v>8.3078472296407732E-2</c:v>
                </c:pt>
              </c:numCache>
            </c:numRef>
          </c:val>
        </c:ser>
        <c:marker val="1"/>
        <c:axId val="129526784"/>
        <c:axId val="129557248"/>
      </c:lineChart>
      <c:catAx>
        <c:axId val="129523712"/>
        <c:scaling>
          <c:orientation val="minMax"/>
        </c:scaling>
        <c:delete val="1"/>
        <c:axPos val="b"/>
        <c:numFmt formatCode="General" sourceLinked="1"/>
        <c:tickLblPos val="none"/>
        <c:crossAx val="129525248"/>
        <c:crosses val="autoZero"/>
        <c:auto val="1"/>
        <c:lblAlgn val="ctr"/>
        <c:lblOffset val="100"/>
      </c:catAx>
      <c:valAx>
        <c:axId val="129525248"/>
        <c:scaling>
          <c:orientation val="minMax"/>
          <c:max val="50000"/>
          <c:min val="0"/>
        </c:scaling>
        <c:axPos val="l"/>
        <c:numFmt formatCode="#,##0" sourceLinked="1"/>
        <c:tickLblPos val="nextTo"/>
        <c:crossAx val="129523712"/>
        <c:crosses val="autoZero"/>
        <c:crossBetween val="between"/>
        <c:majorUnit val="10000"/>
      </c:valAx>
      <c:catAx>
        <c:axId val="129526784"/>
        <c:scaling>
          <c:orientation val="minMax"/>
        </c:scaling>
        <c:delete val="1"/>
        <c:axPos val="b"/>
        <c:numFmt formatCode="General" sourceLinked="1"/>
        <c:tickLblPos val="none"/>
        <c:crossAx val="129557248"/>
        <c:crosses val="autoZero"/>
        <c:auto val="1"/>
        <c:lblAlgn val="ctr"/>
        <c:lblOffset val="100"/>
      </c:catAx>
      <c:valAx>
        <c:axId val="129557248"/>
        <c:scaling>
          <c:orientation val="minMax"/>
          <c:max val="0.14000000000000001"/>
        </c:scaling>
        <c:axPos val="r"/>
        <c:numFmt formatCode="General" sourceLinked="1"/>
        <c:tickLblPos val="nextTo"/>
        <c:crossAx val="129526784"/>
        <c:crosses val="max"/>
        <c:crossBetween val="between"/>
        <c:majorUnit val="2.0000000000000011E-2"/>
        <c:minorUnit val="1.0000000000000005E-2"/>
      </c:valAx>
      <c:spPr>
        <a:noFill/>
        <a:ln w="25402">
          <a:noFill/>
        </a:ln>
      </c:spPr>
    </c:plotArea>
    <c:legend>
      <c:legendPos val="b"/>
      <c:layout>
        <c:manualLayout>
          <c:xMode val="edge"/>
          <c:yMode val="edge"/>
          <c:x val="0"/>
          <c:y val="0.82516825822304163"/>
          <c:w val="1"/>
          <c:h val="0.14217858937845537"/>
        </c:manualLayout>
      </c:layout>
    </c:legend>
    <c:plotVisOnly val="1"/>
    <c:dispBlanksAs val="gap"/>
  </c:chart>
  <c:txPr>
    <a:bodyPr/>
    <a:lstStyle/>
    <a:p>
      <a:pPr>
        <a:defRPr sz="900"/>
      </a:pPr>
      <a:endParaRPr lang="ru-RU"/>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99"/>
            </a:pPr>
            <a:r>
              <a:rPr lang="ru-RU" sz="999"/>
              <a:t>Потребление ресурсов на хозяйственные нужды</a:t>
            </a:r>
          </a:p>
        </c:rich>
      </c:tx>
      <c:layout>
        <c:manualLayout>
          <c:xMode val="edge"/>
          <c:yMode val="edge"/>
          <c:x val="0.19173992846152704"/>
          <c:y val="0"/>
        </c:manualLayout>
      </c:layout>
    </c:title>
    <c:plotArea>
      <c:layout>
        <c:manualLayout>
          <c:layoutTarget val="inner"/>
          <c:xMode val="edge"/>
          <c:yMode val="edge"/>
          <c:x val="0.10561056105610572"/>
          <c:y val="0.18678008932221202"/>
          <c:w val="0.8416978663618917"/>
          <c:h val="0.48030898839708436"/>
        </c:manualLayout>
      </c:layout>
      <c:barChart>
        <c:barDir val="col"/>
        <c:grouping val="clustered"/>
        <c:ser>
          <c:idx val="0"/>
          <c:order val="0"/>
          <c:tx>
            <c:strRef>
              <c:f>Лист1!$B$1</c:f>
              <c:strCache>
                <c:ptCount val="1"/>
                <c:pt idx="0">
                  <c:v>млн руб. с НДС</c:v>
                </c:pt>
              </c:strCache>
            </c:strRef>
          </c:tx>
          <c:dLbls>
            <c:txPr>
              <a:bodyPr/>
              <a:lstStyle/>
              <a:p>
                <a:pPr>
                  <a:defRPr sz="800"/>
                </a:pPr>
                <a:endParaRPr lang="ru-RU"/>
              </a:p>
            </c:txPr>
            <c:dLblPos val="outEnd"/>
            <c:showVal val="1"/>
          </c:dLbls>
          <c:cat>
            <c:numRef>
              <c:f>Лист1!$A$2:$A$4</c:f>
              <c:numCache>
                <c:formatCode>General</c:formatCode>
                <c:ptCount val="3"/>
                <c:pt idx="0">
                  <c:v>2011</c:v>
                </c:pt>
                <c:pt idx="1">
                  <c:v>2012</c:v>
                </c:pt>
                <c:pt idx="2">
                  <c:v>2013</c:v>
                </c:pt>
              </c:numCache>
            </c:numRef>
          </c:cat>
          <c:val>
            <c:numRef>
              <c:f>Лист1!$B$2:$B$4</c:f>
              <c:numCache>
                <c:formatCode>0.0</c:formatCode>
                <c:ptCount val="3"/>
                <c:pt idx="0">
                  <c:v>675.58539999999994</c:v>
                </c:pt>
                <c:pt idx="1">
                  <c:v>620.21980000000053</c:v>
                </c:pt>
                <c:pt idx="2">
                  <c:v>636.12619999999947</c:v>
                </c:pt>
              </c:numCache>
            </c:numRef>
          </c:val>
        </c:ser>
        <c:axId val="129574016"/>
        <c:axId val="129575552"/>
      </c:barChart>
      <c:catAx>
        <c:axId val="129574016"/>
        <c:scaling>
          <c:orientation val="minMax"/>
        </c:scaling>
        <c:axPos val="b"/>
        <c:numFmt formatCode="General" sourceLinked="1"/>
        <c:tickLblPos val="nextTo"/>
        <c:crossAx val="129575552"/>
        <c:crosses val="autoZero"/>
        <c:auto val="1"/>
        <c:lblAlgn val="ctr"/>
        <c:lblOffset val="100"/>
      </c:catAx>
      <c:valAx>
        <c:axId val="129575552"/>
        <c:scaling>
          <c:orientation val="minMax"/>
        </c:scaling>
        <c:delete val="1"/>
        <c:axPos val="l"/>
        <c:majorGridlines/>
        <c:title>
          <c:tx>
            <c:rich>
              <a:bodyPr/>
              <a:lstStyle/>
              <a:p>
                <a:pPr>
                  <a:defRPr sz="899" b="1" i="0" u="none" strike="noStrike" baseline="0">
                    <a:solidFill>
                      <a:srgbClr val="000000"/>
                    </a:solidFill>
                    <a:latin typeface="Calibri"/>
                    <a:ea typeface="Calibri"/>
                    <a:cs typeface="Calibri"/>
                  </a:defRPr>
                </a:pPr>
                <a:r>
                  <a:rPr lang="ru-RU"/>
                  <a:t>млн руб. с НДС</a:t>
                </a:r>
              </a:p>
            </c:rich>
          </c:tx>
        </c:title>
        <c:numFmt formatCode="0.0" sourceLinked="1"/>
        <c:tickLblPos val="none"/>
        <c:crossAx val="129574016"/>
        <c:crosses val="autoZero"/>
        <c:crossBetween val="between"/>
      </c:valAx>
    </c:plotArea>
    <c:plotVisOnly val="1"/>
    <c:dispBlanksAs val="gap"/>
  </c:chart>
  <c:txPr>
    <a:bodyPr/>
    <a:lstStyle/>
    <a:p>
      <a:pPr>
        <a:defRPr sz="899"/>
      </a:pPr>
      <a:endParaRPr lang="ru-RU"/>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99"/>
            </a:pPr>
            <a:r>
              <a:rPr lang="ru-RU" sz="999"/>
              <a:t>Потребление ресурсов на хозяйственные нужды</a:t>
            </a:r>
          </a:p>
        </c:rich>
      </c:tx>
      <c:layout>
        <c:manualLayout>
          <c:xMode val="edge"/>
          <c:yMode val="edge"/>
          <c:x val="0.11145258825025725"/>
          <c:y val="0"/>
        </c:manualLayout>
      </c:layout>
    </c:title>
    <c:plotArea>
      <c:layout>
        <c:manualLayout>
          <c:layoutTarget val="inner"/>
          <c:xMode val="edge"/>
          <c:yMode val="edge"/>
          <c:x val="8.3955150767446321E-2"/>
          <c:y val="0.19153738761378231"/>
          <c:w val="0.8660648064153349"/>
          <c:h val="0.48398577837345558"/>
        </c:manualLayout>
      </c:layout>
      <c:barChart>
        <c:barDir val="col"/>
        <c:grouping val="clustered"/>
        <c:ser>
          <c:idx val="2"/>
          <c:order val="2"/>
          <c:tx>
            <c:strRef>
              <c:f>Лист1!$D$1</c:f>
              <c:strCache>
                <c:ptCount val="1"/>
                <c:pt idx="0">
                  <c:v>Тепловая энергия, Гкал</c:v>
                </c:pt>
              </c:strCache>
            </c:strRef>
          </c:tx>
          <c:dLbls>
            <c:showVal val="1"/>
          </c:dLbls>
          <c:cat>
            <c:numRef>
              <c:f>Лист1!$A$2:$A$4</c:f>
              <c:numCache>
                <c:formatCode>General</c:formatCode>
                <c:ptCount val="3"/>
                <c:pt idx="0">
                  <c:v>2011</c:v>
                </c:pt>
                <c:pt idx="1">
                  <c:v>2012</c:v>
                </c:pt>
                <c:pt idx="2">
                  <c:v>2013</c:v>
                </c:pt>
              </c:numCache>
            </c:numRef>
          </c:cat>
          <c:val>
            <c:numRef>
              <c:f>Лист1!$D$2:$D$4</c:f>
              <c:numCache>
                <c:formatCode>#,##0</c:formatCode>
                <c:ptCount val="3"/>
                <c:pt idx="0">
                  <c:v>52273.4</c:v>
                </c:pt>
                <c:pt idx="1">
                  <c:v>53069.15</c:v>
                </c:pt>
                <c:pt idx="2">
                  <c:v>54737.64990771217</c:v>
                </c:pt>
              </c:numCache>
            </c:numRef>
          </c:val>
        </c:ser>
        <c:axId val="131016960"/>
        <c:axId val="131022848"/>
      </c:barChart>
      <c:lineChart>
        <c:grouping val="standard"/>
        <c:ser>
          <c:idx val="0"/>
          <c:order val="0"/>
          <c:tx>
            <c:strRef>
              <c:f>Лист1!$B$1</c:f>
              <c:strCache>
                <c:ptCount val="1"/>
                <c:pt idx="0">
                  <c:v>Дизельное топливо, керосин, бензин и др., тыс. т.у.т.</c:v>
                </c:pt>
              </c:strCache>
            </c:strRef>
          </c:tx>
          <c:marker>
            <c:symbol val="circle"/>
            <c:size val="6"/>
          </c:marker>
          <c:dLbls>
            <c:dLblPos val="t"/>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19.59337</c:v>
                </c:pt>
                <c:pt idx="1">
                  <c:v>14.431389999999999</c:v>
                </c:pt>
                <c:pt idx="2">
                  <c:v>13.242288880188811</c:v>
                </c:pt>
              </c:numCache>
            </c:numRef>
          </c:val>
        </c:ser>
        <c:ser>
          <c:idx val="1"/>
          <c:order val="1"/>
          <c:tx>
            <c:strRef>
              <c:f>Лист1!$C$1</c:f>
              <c:strCache>
                <c:ptCount val="1"/>
                <c:pt idx="0">
                  <c:v>Электроэнергия, млн кВтч</c:v>
                </c:pt>
              </c:strCache>
            </c:strRef>
          </c:tx>
          <c:marker>
            <c:symbol val="circle"/>
            <c:size val="6"/>
          </c:marker>
          <c:dLbls>
            <c:spPr>
              <a:noFill/>
            </c:spPr>
            <c:dLblPos val="b"/>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55.4</c:v>
                </c:pt>
                <c:pt idx="1">
                  <c:v>52.8</c:v>
                </c:pt>
                <c:pt idx="2">
                  <c:v>56.1</c:v>
                </c:pt>
              </c:numCache>
            </c:numRef>
          </c:val>
        </c:ser>
        <c:marker val="1"/>
        <c:axId val="131024384"/>
        <c:axId val="131025920"/>
      </c:lineChart>
      <c:catAx>
        <c:axId val="131016960"/>
        <c:scaling>
          <c:orientation val="minMax"/>
        </c:scaling>
        <c:axPos val="b"/>
        <c:numFmt formatCode="General" sourceLinked="1"/>
        <c:tickLblPos val="nextTo"/>
        <c:crossAx val="131022848"/>
        <c:crosses val="autoZero"/>
        <c:auto val="1"/>
        <c:lblAlgn val="ctr"/>
        <c:lblOffset val="100"/>
      </c:catAx>
      <c:valAx>
        <c:axId val="131022848"/>
        <c:scaling>
          <c:orientation val="minMax"/>
          <c:min val="30000"/>
        </c:scaling>
        <c:axPos val="l"/>
        <c:majorGridlines/>
        <c:numFmt formatCode="#,##0" sourceLinked="1"/>
        <c:tickLblPos val="nextTo"/>
        <c:txPr>
          <a:bodyPr/>
          <a:lstStyle/>
          <a:p>
            <a:pPr>
              <a:defRPr sz="100"/>
            </a:pPr>
            <a:endParaRPr lang="ru-RU"/>
          </a:p>
        </c:txPr>
        <c:crossAx val="131016960"/>
        <c:crosses val="autoZero"/>
        <c:crossBetween val="between"/>
        <c:majorUnit val="10000"/>
      </c:valAx>
      <c:catAx>
        <c:axId val="131024384"/>
        <c:scaling>
          <c:orientation val="minMax"/>
        </c:scaling>
        <c:delete val="1"/>
        <c:axPos val="b"/>
        <c:numFmt formatCode="General" sourceLinked="1"/>
        <c:tickLblPos val="none"/>
        <c:crossAx val="131025920"/>
        <c:crosses val="autoZero"/>
        <c:auto val="1"/>
        <c:lblAlgn val="ctr"/>
        <c:lblOffset val="100"/>
      </c:catAx>
      <c:valAx>
        <c:axId val="131025920"/>
        <c:scaling>
          <c:orientation val="minMax"/>
          <c:max val="80"/>
          <c:min val="10"/>
        </c:scaling>
        <c:axPos val="r"/>
        <c:numFmt formatCode="#,##0" sourceLinked="1"/>
        <c:tickLblPos val="nextTo"/>
        <c:txPr>
          <a:bodyPr/>
          <a:lstStyle/>
          <a:p>
            <a:pPr>
              <a:defRPr sz="100"/>
            </a:pPr>
            <a:endParaRPr lang="ru-RU"/>
          </a:p>
        </c:txPr>
        <c:crossAx val="131024384"/>
        <c:crosses val="max"/>
        <c:crossBetween val="between"/>
      </c:valAx>
    </c:plotArea>
    <c:legend>
      <c:legendPos val="b"/>
      <c:layout>
        <c:manualLayout>
          <c:xMode val="edge"/>
          <c:yMode val="edge"/>
          <c:x val="0"/>
          <c:y val="0.7709562368533881"/>
          <c:w val="0.99834564732271902"/>
          <c:h val="0.22655276946470218"/>
        </c:manualLayout>
      </c:layout>
      <c:txPr>
        <a:bodyPr/>
        <a:lstStyle/>
        <a:p>
          <a:pPr>
            <a:defRPr sz="699"/>
          </a:pPr>
          <a:endParaRPr lang="ru-RU"/>
        </a:p>
      </c:txPr>
    </c:legend>
    <c:plotVisOnly val="1"/>
    <c:dispBlanksAs val="gap"/>
  </c:chart>
  <c:txPr>
    <a:bodyPr/>
    <a:lstStyle/>
    <a:p>
      <a:pPr>
        <a:defRPr sz="899"/>
      </a:pPr>
      <a:endParaRPr lang="ru-RU"/>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99"/>
            </a:pPr>
            <a:r>
              <a:rPr lang="ru-RU" sz="999"/>
              <a:t>Затраты на потребление ресурсов на хозяйственные нужды по видам ресурсов в 2013 году</a:t>
            </a:r>
          </a:p>
        </c:rich>
      </c:tx>
      <c:layout>
        <c:manualLayout>
          <c:xMode val="edge"/>
          <c:yMode val="edge"/>
          <c:x val="0.10441122395932392"/>
          <c:y val="0"/>
        </c:manualLayout>
      </c:layout>
    </c:title>
    <c:plotArea>
      <c:layout>
        <c:manualLayout>
          <c:layoutTarget val="inner"/>
          <c:xMode val="edge"/>
          <c:yMode val="edge"/>
          <c:x val="0.22869834120093521"/>
          <c:y val="0.28306853323828202"/>
          <c:w val="0.51360015481935728"/>
          <c:h val="0.39624757144750655"/>
        </c:manualLayout>
      </c:layout>
      <c:pieChart>
        <c:varyColors val="1"/>
        <c:ser>
          <c:idx val="0"/>
          <c:order val="0"/>
          <c:tx>
            <c:strRef>
              <c:f>Лист1!$B$1</c:f>
              <c:strCache>
                <c:ptCount val="1"/>
                <c:pt idx="0">
                  <c:v>Продажи</c:v>
                </c:pt>
              </c:strCache>
            </c:strRef>
          </c:tx>
          <c:dLbls>
            <c:dLbl>
              <c:idx val="0"/>
              <c:tx>
                <c:rich>
                  <a:bodyPr/>
                  <a:lstStyle/>
                  <a:p>
                    <a:r>
                      <a:rPr lang="en-US"/>
                      <a:t>50,0</a:t>
                    </a:r>
                    <a:r>
                      <a:rPr lang="ru-RU"/>
                      <a:t>6</a:t>
                    </a:r>
                    <a:r>
                      <a:rPr lang="en-US"/>
                      <a:t>%</a:t>
                    </a:r>
                  </a:p>
                </c:rich>
              </c:tx>
              <c:showPercent val="1"/>
            </c:dLbl>
            <c:dLbl>
              <c:idx val="4"/>
              <c:numFmt formatCode="0.00%" sourceLinked="0"/>
              <c:spPr/>
              <c:txPr>
                <a:bodyPr/>
                <a:lstStyle/>
                <a:p>
                  <a:pPr>
                    <a:defRPr/>
                  </a:pPr>
                  <a:endParaRPr lang="ru-RU"/>
                </a:p>
              </c:txPr>
            </c:dLbl>
            <c:dLbl>
              <c:idx val="5"/>
              <c:numFmt formatCode="0.00%" sourceLinked="0"/>
              <c:spPr/>
              <c:txPr>
                <a:bodyPr/>
                <a:lstStyle/>
                <a:p>
                  <a:pPr>
                    <a:defRPr/>
                  </a:pPr>
                  <a:endParaRPr lang="ru-RU"/>
                </a:p>
              </c:txPr>
            </c:dLbl>
            <c:numFmt formatCode="0.00%" sourceLinked="0"/>
            <c:showPercent val="1"/>
            <c:showLeaderLines val="1"/>
          </c:dLbls>
          <c:cat>
            <c:strRef>
              <c:f>Лист1!$A$2:$A$7</c:f>
              <c:strCache>
                <c:ptCount val="6"/>
                <c:pt idx="0">
                  <c:v>Дизельное топливо, керосин, бензин и др.</c:v>
                </c:pt>
                <c:pt idx="1">
                  <c:v>Электроэнергия</c:v>
                </c:pt>
                <c:pt idx="2">
                  <c:v>Тепловая энергия</c:v>
                </c:pt>
                <c:pt idx="3">
                  <c:v>Водоснабжение холодное</c:v>
                </c:pt>
                <c:pt idx="4">
                  <c:v>Газ</c:v>
                </c:pt>
                <c:pt idx="5">
                  <c:v>Водоснабжение горячее</c:v>
                </c:pt>
              </c:strCache>
            </c:strRef>
          </c:cat>
          <c:val>
            <c:numRef>
              <c:f>Лист1!$B$2:$B$7</c:f>
              <c:numCache>
                <c:formatCode>0.00%</c:formatCode>
                <c:ptCount val="6"/>
                <c:pt idx="0">
                  <c:v>0.50060000000000004</c:v>
                </c:pt>
                <c:pt idx="1">
                  <c:v>0.34750000000000031</c:v>
                </c:pt>
                <c:pt idx="2">
                  <c:v>0.12809999999999999</c:v>
                </c:pt>
                <c:pt idx="3">
                  <c:v>2.0500000000000001E-2</c:v>
                </c:pt>
                <c:pt idx="4">
                  <c:v>1.1999999999999999E-3</c:v>
                </c:pt>
                <c:pt idx="5">
                  <c:v>2.0000000000000052E-3</c:v>
                </c:pt>
              </c:numCache>
            </c:numRef>
          </c:val>
        </c:ser>
        <c:firstSliceAng val="55"/>
      </c:pieChart>
      <c:spPr>
        <a:noFill/>
        <a:ln w="25376">
          <a:noFill/>
        </a:ln>
      </c:spPr>
    </c:plotArea>
    <c:legend>
      <c:legendPos val="b"/>
      <c:layout>
        <c:manualLayout>
          <c:xMode val="edge"/>
          <c:yMode val="edge"/>
          <c:x val="0"/>
          <c:y val="0.69077258331638469"/>
          <c:w val="1"/>
          <c:h val="0.28007709368432282"/>
        </c:manualLayout>
      </c:layout>
    </c:legend>
    <c:plotVisOnly val="1"/>
    <c:dispBlanksAs val="zero"/>
  </c:chart>
  <c:txPr>
    <a:bodyPr/>
    <a:lstStyle/>
    <a:p>
      <a:pPr>
        <a:defRPr sz="799"/>
      </a:pPr>
      <a:endParaRPr lang="ru-RU"/>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999"/>
            </a:pPr>
            <a:r>
              <a:rPr lang="ru-RU" sz="999" b="1" i="0" u="none" strike="noStrike" baseline="0">
                <a:effectLst/>
              </a:rPr>
              <a:t>Оснащ-ть современными приборами учета э/э на розничном рынке</a:t>
            </a:r>
            <a:endParaRPr lang="ru-RU" sz="1000"/>
          </a:p>
        </c:rich>
      </c:tx>
      <c:layout>
        <c:manualLayout>
          <c:xMode val="edge"/>
          <c:yMode val="edge"/>
          <c:x val="0.17544197600300004"/>
          <c:y val="0"/>
        </c:manualLayout>
      </c:layout>
    </c:title>
    <c:plotArea>
      <c:layout>
        <c:manualLayout>
          <c:layoutTarget val="inner"/>
          <c:xMode val="edge"/>
          <c:yMode val="edge"/>
          <c:x val="0.13897137276445096"/>
          <c:y val="0.22647640473512598"/>
          <c:w val="0.75509881777600063"/>
          <c:h val="0.53851282875354856"/>
        </c:manualLayout>
      </c:layout>
      <c:barChart>
        <c:barDir val="col"/>
        <c:grouping val="percentStacked"/>
        <c:ser>
          <c:idx val="0"/>
          <c:order val="0"/>
          <c:tx>
            <c:strRef>
              <c:f>Лист1!$B$1</c:f>
              <c:strCache>
                <c:ptCount val="1"/>
                <c:pt idx="0">
                  <c:v>Потребление энергоресурсов на хозяйственные нужды</c:v>
                </c:pt>
              </c:strCache>
            </c:strRef>
          </c:tx>
          <c:spPr>
            <a:ln>
              <a:solidFill>
                <a:srgbClr val="4F81BD"/>
              </a:solidFill>
            </a:ln>
          </c:spPr>
          <c:dLbls>
            <c:numFmt formatCode="0.0%" sourceLinked="0"/>
            <c:txPr>
              <a:bodyPr/>
              <a:lstStyle/>
              <a:p>
                <a:pPr>
                  <a:defRPr sz="799"/>
                </a:pPr>
                <a:endParaRPr lang="ru-RU"/>
              </a:p>
            </c:txPr>
            <c:showVal val="1"/>
          </c:dLbls>
          <c:cat>
            <c:numRef>
              <c:f>Лист1!$A$2:$A$4</c:f>
              <c:numCache>
                <c:formatCode>General</c:formatCode>
                <c:ptCount val="3"/>
                <c:pt idx="0">
                  <c:v>2011</c:v>
                </c:pt>
                <c:pt idx="1">
                  <c:v>2012</c:v>
                </c:pt>
                <c:pt idx="2">
                  <c:v>2013</c:v>
                </c:pt>
              </c:numCache>
            </c:numRef>
          </c:cat>
          <c:val>
            <c:numRef>
              <c:f>Лист1!$B$2:$B$4</c:f>
              <c:numCache>
                <c:formatCode>0.00%</c:formatCode>
                <c:ptCount val="3"/>
                <c:pt idx="0">
                  <c:v>0.54700000000000004</c:v>
                </c:pt>
                <c:pt idx="1">
                  <c:v>0.56299999999999994</c:v>
                </c:pt>
                <c:pt idx="2">
                  <c:v>0.57700000000000062</c:v>
                </c:pt>
              </c:numCache>
            </c:numRef>
          </c:val>
        </c:ser>
        <c:ser>
          <c:idx val="1"/>
          <c:order val="1"/>
          <c:tx>
            <c:strRef>
              <c:f>Лист1!$C$1</c:f>
              <c:strCache>
                <c:ptCount val="1"/>
                <c:pt idx="0">
                  <c:v>Столбец1</c:v>
                </c:pt>
              </c:strCache>
            </c:strRef>
          </c:tx>
          <c:spPr>
            <a:noFill/>
            <a:ln>
              <a:solidFill>
                <a:schemeClr val="accent1"/>
              </a:solidFill>
            </a:ln>
          </c:spPr>
          <c:cat>
            <c:numRef>
              <c:f>Лист1!$A$2:$A$4</c:f>
              <c:numCache>
                <c:formatCode>General</c:formatCode>
                <c:ptCount val="3"/>
                <c:pt idx="0">
                  <c:v>2011</c:v>
                </c:pt>
                <c:pt idx="1">
                  <c:v>2012</c:v>
                </c:pt>
                <c:pt idx="2">
                  <c:v>2013</c:v>
                </c:pt>
              </c:numCache>
            </c:numRef>
          </c:cat>
          <c:val>
            <c:numRef>
              <c:f>Лист1!$C$2:$C$4</c:f>
              <c:numCache>
                <c:formatCode>0.00%</c:formatCode>
                <c:ptCount val="3"/>
                <c:pt idx="0">
                  <c:v>0.45300000000000001</c:v>
                </c:pt>
                <c:pt idx="1">
                  <c:v>0.43700000000000416</c:v>
                </c:pt>
                <c:pt idx="2">
                  <c:v>0.42300000000000032</c:v>
                </c:pt>
              </c:numCache>
            </c:numRef>
          </c:val>
        </c:ser>
        <c:overlap val="100"/>
        <c:axId val="131103744"/>
        <c:axId val="131109632"/>
      </c:barChart>
      <c:catAx>
        <c:axId val="131103744"/>
        <c:scaling>
          <c:orientation val="minMax"/>
        </c:scaling>
        <c:axPos val="b"/>
        <c:numFmt formatCode="General" sourceLinked="1"/>
        <c:tickLblPos val="nextTo"/>
        <c:txPr>
          <a:bodyPr/>
          <a:lstStyle/>
          <a:p>
            <a:pPr>
              <a:defRPr sz="899"/>
            </a:pPr>
            <a:endParaRPr lang="ru-RU"/>
          </a:p>
        </c:txPr>
        <c:crossAx val="131109632"/>
        <c:crosses val="autoZero"/>
        <c:auto val="1"/>
        <c:lblAlgn val="ctr"/>
        <c:lblOffset val="100"/>
      </c:catAx>
      <c:valAx>
        <c:axId val="131109632"/>
        <c:scaling>
          <c:orientation val="minMax"/>
          <c:max val="1"/>
          <c:min val="0"/>
        </c:scaling>
        <c:axPos val="l"/>
        <c:numFmt formatCode="0%" sourceLinked="0"/>
        <c:tickLblPos val="nextTo"/>
        <c:crossAx val="131103744"/>
        <c:crosses val="autoZero"/>
        <c:crossBetween val="between"/>
      </c:valAx>
    </c:plotArea>
    <c:plotVisOnly val="1"/>
    <c:dispBlanksAs val="gap"/>
  </c:chart>
  <c:txPr>
    <a:bodyPr/>
    <a:lstStyle/>
    <a:p>
      <a:pPr>
        <a:defRPr sz="899"/>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9931262355191435E-2"/>
          <c:y val="5.9284647225422024E-2"/>
          <c:w val="0.85139846947231967"/>
          <c:h val="0.64711639602408377"/>
        </c:manualLayout>
      </c:layout>
      <c:barChart>
        <c:barDir val="col"/>
        <c:grouping val="clustered"/>
        <c:ser>
          <c:idx val="0"/>
          <c:order val="0"/>
          <c:tx>
            <c:strRef>
              <c:f>Лист1!$B$1</c:f>
              <c:strCache>
                <c:ptCount val="1"/>
                <c:pt idx="0">
                  <c:v>EBITDA (по МСФО)</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41649</c:v>
                </c:pt>
                <c:pt idx="1">
                  <c:v>43521</c:v>
                </c:pt>
                <c:pt idx="2">
                  <c:v>44446</c:v>
                </c:pt>
              </c:numCache>
            </c:numRef>
          </c:val>
        </c:ser>
        <c:axId val="414788608"/>
        <c:axId val="416551680"/>
      </c:barChart>
      <c:lineChart>
        <c:grouping val="standard"/>
        <c:ser>
          <c:idx val="1"/>
          <c:order val="1"/>
          <c:tx>
            <c:strRef>
              <c:f>Лист1!$C$1</c:f>
              <c:strCache>
                <c:ptCount val="1"/>
                <c:pt idx="0">
                  <c:v>Рентабельность по EBITDA</c:v>
                </c:pt>
              </c:strCache>
            </c:strRef>
          </c:tx>
          <c:marker>
            <c:symbol val="circle"/>
            <c:size val="7"/>
          </c:marker>
          <c:dLbls>
            <c:dLblPos val="t"/>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0.32190000000000191</c:v>
                </c:pt>
                <c:pt idx="1">
                  <c:v>0.34730000000000144</c:v>
                </c:pt>
                <c:pt idx="2">
                  <c:v>0.34420000000000001</c:v>
                </c:pt>
              </c:numCache>
            </c:numRef>
          </c:val>
        </c:ser>
        <c:marker val="1"/>
        <c:axId val="417102464"/>
        <c:axId val="417100928"/>
      </c:lineChart>
      <c:catAx>
        <c:axId val="414788608"/>
        <c:scaling>
          <c:orientation val="minMax"/>
        </c:scaling>
        <c:axPos val="b"/>
        <c:numFmt formatCode="General" sourceLinked="1"/>
        <c:tickLblPos val="nextTo"/>
        <c:crossAx val="416551680"/>
        <c:crosses val="autoZero"/>
        <c:auto val="1"/>
        <c:lblAlgn val="ctr"/>
        <c:lblOffset val="100"/>
      </c:catAx>
      <c:valAx>
        <c:axId val="416551680"/>
        <c:scaling>
          <c:orientation val="minMax"/>
          <c:max val="95000"/>
          <c:min val="0"/>
        </c:scaling>
        <c:axPos val="l"/>
        <c:majorGridlines/>
        <c:title>
          <c:tx>
            <c:rich>
              <a:bodyPr rot="-5400000" vert="horz"/>
              <a:lstStyle/>
              <a:p>
                <a:pPr>
                  <a:defRPr/>
                </a:pPr>
                <a:r>
                  <a:rPr lang="ru-RU"/>
                  <a:t>млн руб.</a:t>
                </a:r>
              </a:p>
            </c:rich>
          </c:tx>
        </c:title>
        <c:numFmt formatCode="#,##0" sourceLinked="1"/>
        <c:tickLblPos val="nextTo"/>
        <c:txPr>
          <a:bodyPr/>
          <a:lstStyle/>
          <a:p>
            <a:pPr>
              <a:defRPr sz="100">
                <a:solidFill>
                  <a:schemeClr val="bg1"/>
                </a:solidFill>
              </a:defRPr>
            </a:pPr>
            <a:endParaRPr lang="ru-RU"/>
          </a:p>
        </c:txPr>
        <c:crossAx val="414788608"/>
        <c:crosses val="autoZero"/>
        <c:crossBetween val="between"/>
      </c:valAx>
      <c:valAx>
        <c:axId val="417100928"/>
        <c:scaling>
          <c:orientation val="minMax"/>
          <c:max val="0.5"/>
        </c:scaling>
        <c:axPos val="r"/>
        <c:numFmt formatCode="0%" sourceLinked="0"/>
        <c:tickLblPos val="nextTo"/>
        <c:txPr>
          <a:bodyPr/>
          <a:lstStyle/>
          <a:p>
            <a:pPr>
              <a:defRPr sz="100">
                <a:solidFill>
                  <a:schemeClr val="bg1"/>
                </a:solidFill>
              </a:defRPr>
            </a:pPr>
            <a:endParaRPr lang="ru-RU"/>
          </a:p>
        </c:txPr>
        <c:crossAx val="417102464"/>
        <c:crosses val="max"/>
        <c:crossBetween val="between"/>
      </c:valAx>
      <c:catAx>
        <c:axId val="417102464"/>
        <c:scaling>
          <c:orientation val="minMax"/>
        </c:scaling>
        <c:delete val="1"/>
        <c:axPos val="b"/>
        <c:numFmt formatCode="General" sourceLinked="1"/>
        <c:tickLblPos val="none"/>
        <c:crossAx val="417100928"/>
        <c:crosses val="autoZero"/>
        <c:auto val="1"/>
        <c:lblAlgn val="ctr"/>
        <c:lblOffset val="100"/>
      </c:catAx>
    </c:plotArea>
    <c:legend>
      <c:legendPos val="b"/>
      <c:layout>
        <c:manualLayout>
          <c:xMode val="edge"/>
          <c:yMode val="edge"/>
          <c:x val="0"/>
          <c:y val="0.84561560486758458"/>
          <c:w val="1"/>
          <c:h val="0.12474481380744021"/>
        </c:manualLayout>
      </c:layout>
    </c:legend>
    <c:plotVisOnly val="1"/>
    <c:dispBlanksAs val="gap"/>
  </c:chart>
  <c:txPr>
    <a:bodyPr/>
    <a:lstStyle/>
    <a:p>
      <a:pPr>
        <a:defRPr sz="800"/>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1" b="1" i="0" u="none" strike="noStrike" kern="1200" baseline="0">
                <a:solidFill>
                  <a:sysClr val="windowText" lastClr="000000"/>
                </a:solidFill>
                <a:latin typeface="+mn-lt"/>
                <a:ea typeface="+mn-ea"/>
                <a:cs typeface="+mn-cs"/>
              </a:defRPr>
            </a:pPr>
            <a:r>
              <a:rPr lang="ru-RU" sz="1001" b="1">
                <a:effectLst/>
              </a:rPr>
              <a:t>Эффект от реализации мероприятий Программы</a:t>
            </a:r>
            <a:endParaRPr lang="ru-RU" sz="1000">
              <a:effectLst/>
            </a:endParaRPr>
          </a:p>
        </c:rich>
      </c:tx>
      <c:layout>
        <c:manualLayout>
          <c:xMode val="edge"/>
          <c:yMode val="edge"/>
          <c:x val="0.20859066529727271"/>
          <c:y val="0"/>
        </c:manualLayout>
      </c:layout>
    </c:title>
    <c:plotArea>
      <c:layout>
        <c:manualLayout>
          <c:layoutTarget val="inner"/>
          <c:xMode val="edge"/>
          <c:yMode val="edge"/>
          <c:x val="0.15953653487660388"/>
          <c:y val="0.16445282712959489"/>
          <c:w val="0.78730079411380283"/>
          <c:h val="0.64415552044391688"/>
        </c:manualLayout>
      </c:layout>
      <c:barChart>
        <c:barDir val="col"/>
        <c:grouping val="clustered"/>
        <c:ser>
          <c:idx val="0"/>
          <c:order val="0"/>
          <c:tx>
            <c:strRef>
              <c:f>Лист1!$B$1</c:f>
              <c:strCache>
                <c:ptCount val="1"/>
                <c:pt idx="0">
                  <c:v>млн руб.</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760.8</c:v>
                </c:pt>
                <c:pt idx="1">
                  <c:v>1109.5999999999999</c:v>
                </c:pt>
                <c:pt idx="2">
                  <c:v>1230.8</c:v>
                </c:pt>
              </c:numCache>
            </c:numRef>
          </c:val>
        </c:ser>
        <c:axId val="131138304"/>
        <c:axId val="131139840"/>
      </c:barChart>
      <c:lineChart>
        <c:grouping val="standard"/>
        <c:ser>
          <c:idx val="1"/>
          <c:order val="1"/>
          <c:tx>
            <c:strRef>
              <c:f>Лист1!$C$1</c:f>
              <c:strCache>
                <c:ptCount val="1"/>
                <c:pt idx="0">
                  <c:v>млн кВтч</c:v>
                </c:pt>
              </c:strCache>
            </c:strRef>
          </c:tx>
          <c:marker>
            <c:symbol val="circle"/>
            <c:size val="7"/>
          </c:marker>
          <c:dLbls>
            <c:numFmt formatCode="#,##0.0" sourceLinked="0"/>
            <c:dLblPos val="t"/>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352.4</c:v>
                </c:pt>
                <c:pt idx="1">
                  <c:v>442.3</c:v>
                </c:pt>
                <c:pt idx="2">
                  <c:v>409.5</c:v>
                </c:pt>
              </c:numCache>
            </c:numRef>
          </c:val>
        </c:ser>
        <c:marker val="1"/>
        <c:axId val="131138304"/>
        <c:axId val="131139840"/>
      </c:lineChart>
      <c:catAx>
        <c:axId val="131138304"/>
        <c:scaling>
          <c:orientation val="minMax"/>
        </c:scaling>
        <c:axPos val="b"/>
        <c:numFmt formatCode="General" sourceLinked="1"/>
        <c:tickLblPos val="nextTo"/>
        <c:crossAx val="131139840"/>
        <c:crosses val="autoZero"/>
        <c:auto val="1"/>
        <c:lblAlgn val="ctr"/>
        <c:lblOffset val="100"/>
      </c:catAx>
      <c:valAx>
        <c:axId val="131139840"/>
        <c:scaling>
          <c:orientation val="minMax"/>
        </c:scaling>
        <c:axPos val="l"/>
        <c:majorGridlines/>
        <c:numFmt formatCode="#,##0" sourceLinked="1"/>
        <c:tickLblPos val="nextTo"/>
        <c:crossAx val="131138304"/>
        <c:crosses val="autoZero"/>
        <c:crossBetween val="between"/>
      </c:valAx>
    </c:plotArea>
    <c:legend>
      <c:legendPos val="b"/>
    </c:legend>
    <c:plotVisOnly val="1"/>
    <c:dispBlanksAs val="gap"/>
  </c:chart>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strRef>
              <c:f>Лист1!$C$10</c:f>
              <c:strCache>
                <c:ptCount val="1"/>
                <c:pt idx="0">
                  <c:v>Результаты деятельности по технологическому присоединению</c:v>
                </c:pt>
              </c:strCache>
            </c:strRef>
          </c:tx>
          <c:dPt>
            <c:idx val="3"/>
            <c:spPr>
              <a:solidFill>
                <a:schemeClr val="accent2"/>
              </a:solidFill>
            </c:spPr>
          </c:dPt>
          <c:dPt>
            <c:idx val="4"/>
            <c:spPr>
              <a:solidFill>
                <a:srgbClr val="C0504D"/>
              </a:solidFill>
            </c:spPr>
          </c:dPt>
          <c:dPt>
            <c:idx val="5"/>
            <c:spPr>
              <a:solidFill>
                <a:srgbClr val="C0504D"/>
              </a:solidFill>
            </c:spPr>
          </c:dPt>
          <c:dPt>
            <c:idx val="6"/>
            <c:spPr>
              <a:solidFill>
                <a:schemeClr val="accent3"/>
              </a:solidFill>
            </c:spPr>
          </c:dPt>
          <c:dPt>
            <c:idx val="7"/>
            <c:spPr>
              <a:solidFill>
                <a:srgbClr val="9BBB59"/>
              </a:solidFill>
            </c:spPr>
          </c:dPt>
          <c:dPt>
            <c:idx val="8"/>
            <c:spPr>
              <a:solidFill>
                <a:srgbClr val="9BBB59"/>
              </a:solidFill>
            </c:spPr>
          </c:dPt>
          <c:dLbls>
            <c:showVal val="1"/>
          </c:dLbls>
          <c:cat>
            <c:multiLvlStrRef>
              <c:f>Лист1!$A$11:$B$19</c:f>
              <c:multiLvlStrCache>
                <c:ptCount val="9"/>
                <c:lvl>
                  <c:pt idx="0">
                    <c:v>2011</c:v>
                  </c:pt>
                  <c:pt idx="1">
                    <c:v>2012</c:v>
                  </c:pt>
                  <c:pt idx="2">
                    <c:v>2013</c:v>
                  </c:pt>
                  <c:pt idx="3">
                    <c:v>2011</c:v>
                  </c:pt>
                  <c:pt idx="4">
                    <c:v>2012</c:v>
                  </c:pt>
                  <c:pt idx="5">
                    <c:v>2013</c:v>
                  </c:pt>
                  <c:pt idx="6">
                    <c:v>2011</c:v>
                  </c:pt>
                  <c:pt idx="7">
                    <c:v>2012</c:v>
                  </c:pt>
                  <c:pt idx="8">
                    <c:v>2013</c:v>
                  </c:pt>
                </c:lvl>
                <c:lvl>
                  <c:pt idx="0">
                    <c:v>Количество поданных заявок </c:v>
                  </c:pt>
                  <c:pt idx="3">
                    <c:v>Количество заключенных договоров </c:v>
                  </c:pt>
                  <c:pt idx="6">
                    <c:v>Фактическое присоединение</c:v>
                  </c:pt>
                </c:lvl>
              </c:multiLvlStrCache>
            </c:multiLvlStrRef>
          </c:cat>
          <c:val>
            <c:numRef>
              <c:f>Лист1!$C$11:$C$19</c:f>
              <c:numCache>
                <c:formatCode>#,##0</c:formatCode>
                <c:ptCount val="9"/>
                <c:pt idx="0">
                  <c:v>33543</c:v>
                </c:pt>
                <c:pt idx="1">
                  <c:v>53163</c:v>
                </c:pt>
                <c:pt idx="2">
                  <c:v>91610</c:v>
                </c:pt>
                <c:pt idx="3">
                  <c:v>22890</c:v>
                </c:pt>
                <c:pt idx="4">
                  <c:v>37505</c:v>
                </c:pt>
                <c:pt idx="5">
                  <c:v>70877</c:v>
                </c:pt>
                <c:pt idx="6">
                  <c:v>14700</c:v>
                </c:pt>
                <c:pt idx="7">
                  <c:v>16905</c:v>
                </c:pt>
                <c:pt idx="8">
                  <c:v>34859</c:v>
                </c:pt>
              </c:numCache>
            </c:numRef>
          </c:val>
        </c:ser>
        <c:axId val="133404544"/>
        <c:axId val="133406080"/>
      </c:barChart>
      <c:catAx>
        <c:axId val="133404544"/>
        <c:scaling>
          <c:orientation val="minMax"/>
        </c:scaling>
        <c:axPos val="b"/>
        <c:tickLblPos val="nextTo"/>
        <c:crossAx val="133406080"/>
        <c:crosses val="autoZero"/>
        <c:auto val="1"/>
        <c:lblAlgn val="ctr"/>
        <c:lblOffset val="100"/>
      </c:catAx>
      <c:valAx>
        <c:axId val="133406080"/>
        <c:scaling>
          <c:orientation val="minMax"/>
          <c:max val="110000"/>
          <c:min val="0"/>
        </c:scaling>
        <c:delete val="1"/>
        <c:axPos val="l"/>
        <c:majorGridlines/>
        <c:title>
          <c:tx>
            <c:rich>
              <a:bodyPr rot="-5400000" vert="horz"/>
              <a:lstStyle/>
              <a:p>
                <a:pPr>
                  <a:defRPr/>
                </a:pPr>
                <a:r>
                  <a:rPr lang="ru-RU"/>
                  <a:t>шт.</a:t>
                </a:r>
              </a:p>
            </c:rich>
          </c:tx>
        </c:title>
        <c:numFmt formatCode="#,##0" sourceLinked="1"/>
        <c:tickLblPos val="none"/>
        <c:crossAx val="133404544"/>
        <c:crosses val="autoZero"/>
        <c:crossBetween val="between"/>
      </c:valAx>
    </c:plotArea>
    <c:plotVisOnly val="1"/>
    <c:dispBlanksAs val="gap"/>
  </c:chart>
  <c:txPr>
    <a:bodyPr/>
    <a:lstStyle/>
    <a:p>
      <a:pPr>
        <a:defRPr sz="900"/>
      </a:pPr>
      <a:endParaRPr lang="ru-RU"/>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strRef>
              <c:f>Лист1!$C$10</c:f>
              <c:strCache>
                <c:ptCount val="1"/>
                <c:pt idx="0">
                  <c:v>Результаты деятельности по технологическому присоединению</c:v>
                </c:pt>
              </c:strCache>
            </c:strRef>
          </c:tx>
          <c:dPt>
            <c:idx val="3"/>
            <c:spPr>
              <a:solidFill>
                <a:schemeClr val="accent2"/>
              </a:solidFill>
            </c:spPr>
          </c:dPt>
          <c:dPt>
            <c:idx val="4"/>
            <c:spPr>
              <a:solidFill>
                <a:srgbClr val="C0504D"/>
              </a:solidFill>
            </c:spPr>
          </c:dPt>
          <c:dPt>
            <c:idx val="5"/>
            <c:spPr>
              <a:solidFill>
                <a:srgbClr val="C0504D"/>
              </a:solidFill>
            </c:spPr>
          </c:dPt>
          <c:dPt>
            <c:idx val="6"/>
            <c:spPr>
              <a:solidFill>
                <a:schemeClr val="accent3"/>
              </a:solidFill>
            </c:spPr>
          </c:dPt>
          <c:dPt>
            <c:idx val="7"/>
            <c:spPr>
              <a:solidFill>
                <a:srgbClr val="9BBB59"/>
              </a:solidFill>
            </c:spPr>
          </c:dPt>
          <c:dPt>
            <c:idx val="8"/>
            <c:spPr>
              <a:solidFill>
                <a:srgbClr val="9BBB59"/>
              </a:solidFill>
            </c:spPr>
          </c:dPt>
          <c:dLbls>
            <c:showVal val="1"/>
          </c:dLbls>
          <c:cat>
            <c:multiLvlStrRef>
              <c:f>Лист1!$A$24:$B$32</c:f>
              <c:multiLvlStrCache>
                <c:ptCount val="9"/>
                <c:lvl>
                  <c:pt idx="0">
                    <c:v>2011</c:v>
                  </c:pt>
                  <c:pt idx="1">
                    <c:v>2012</c:v>
                  </c:pt>
                  <c:pt idx="2">
                    <c:v>2013</c:v>
                  </c:pt>
                  <c:pt idx="3">
                    <c:v>2011</c:v>
                  </c:pt>
                  <c:pt idx="4">
                    <c:v>2012</c:v>
                  </c:pt>
                  <c:pt idx="5">
                    <c:v>2013</c:v>
                  </c:pt>
                  <c:pt idx="6">
                    <c:v>2011</c:v>
                  </c:pt>
                  <c:pt idx="7">
                    <c:v>2012</c:v>
                  </c:pt>
                  <c:pt idx="8">
                    <c:v>2013</c:v>
                  </c:pt>
                </c:lvl>
                <c:lvl>
                  <c:pt idx="0">
                    <c:v>Мощность по поданным заявкам </c:v>
                  </c:pt>
                  <c:pt idx="3">
                    <c:v>Мощность по заключенным договорам </c:v>
                  </c:pt>
                  <c:pt idx="6">
                    <c:v>Фактически присоединенная мощность</c:v>
                  </c:pt>
                </c:lvl>
              </c:multiLvlStrCache>
            </c:multiLvlStrRef>
          </c:cat>
          <c:val>
            <c:numRef>
              <c:f>Лист1!$C$24:$C$32</c:f>
              <c:numCache>
                <c:formatCode>#,##0</c:formatCode>
                <c:ptCount val="9"/>
                <c:pt idx="0">
                  <c:v>5660</c:v>
                </c:pt>
                <c:pt idx="1">
                  <c:v>8171</c:v>
                </c:pt>
                <c:pt idx="2">
                  <c:v>8841</c:v>
                </c:pt>
                <c:pt idx="3">
                  <c:v>1778</c:v>
                </c:pt>
                <c:pt idx="4">
                  <c:v>2594</c:v>
                </c:pt>
                <c:pt idx="5">
                  <c:v>4454</c:v>
                </c:pt>
                <c:pt idx="6">
                  <c:v>916</c:v>
                </c:pt>
                <c:pt idx="7">
                  <c:v>1421</c:v>
                </c:pt>
                <c:pt idx="8">
                  <c:v>1531</c:v>
                </c:pt>
              </c:numCache>
            </c:numRef>
          </c:val>
        </c:ser>
        <c:axId val="133973888"/>
        <c:axId val="133975424"/>
      </c:barChart>
      <c:catAx>
        <c:axId val="133973888"/>
        <c:scaling>
          <c:orientation val="minMax"/>
        </c:scaling>
        <c:axPos val="b"/>
        <c:tickLblPos val="nextTo"/>
        <c:crossAx val="133975424"/>
        <c:crosses val="autoZero"/>
        <c:auto val="1"/>
        <c:lblAlgn val="ctr"/>
        <c:lblOffset val="100"/>
      </c:catAx>
      <c:valAx>
        <c:axId val="133975424"/>
        <c:scaling>
          <c:orientation val="minMax"/>
          <c:max val="10000"/>
          <c:min val="0"/>
        </c:scaling>
        <c:delete val="1"/>
        <c:axPos val="l"/>
        <c:majorGridlines/>
        <c:title>
          <c:tx>
            <c:rich>
              <a:bodyPr rot="-5400000" vert="horz"/>
              <a:lstStyle/>
              <a:p>
                <a:pPr>
                  <a:defRPr/>
                </a:pPr>
                <a:r>
                  <a:rPr lang="ru-RU"/>
                  <a:t>МВт</a:t>
                </a:r>
              </a:p>
            </c:rich>
          </c:tx>
        </c:title>
        <c:numFmt formatCode="#,##0" sourceLinked="1"/>
        <c:tickLblPos val="none"/>
        <c:crossAx val="133973888"/>
        <c:crosses val="autoZero"/>
        <c:crossBetween val="between"/>
      </c:valAx>
    </c:plotArea>
    <c:plotVisOnly val="1"/>
    <c:dispBlanksAs val="gap"/>
  </c:chart>
  <c:txPr>
    <a:bodyPr/>
    <a:lstStyle/>
    <a:p>
      <a:pPr>
        <a:defRPr sz="900"/>
      </a:pPr>
      <a:endParaRPr lang="ru-RU"/>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Структура технологического присоединения по количеству поданных заявок</a:t>
            </a:r>
          </a:p>
        </c:rich>
      </c:tx>
    </c:title>
    <c:plotArea>
      <c:layout>
        <c:manualLayout>
          <c:layoutTarget val="inner"/>
          <c:xMode val="edge"/>
          <c:yMode val="edge"/>
          <c:x val="0.18191553382175257"/>
          <c:y val="0.27423743876945844"/>
          <c:w val="0.63755059375728418"/>
          <c:h val="0.45685237409375862"/>
        </c:manualLayout>
      </c:layout>
      <c:pieChart>
        <c:varyColors val="1"/>
        <c:ser>
          <c:idx val="0"/>
          <c:order val="0"/>
          <c:tx>
            <c:strRef>
              <c:f>Лист1!$B$1</c:f>
              <c:strCache>
                <c:ptCount val="1"/>
                <c:pt idx="0">
                  <c:v>Продажи</c:v>
                </c:pt>
              </c:strCache>
            </c:strRef>
          </c:tx>
          <c:dLbls>
            <c:dLbl>
              <c:idx val="3"/>
              <c:layout>
                <c:manualLayout>
                  <c:x val="2.4936020342225407E-2"/>
                  <c:y val="-1.1892514355568843E-2"/>
                </c:manualLayout>
              </c:layout>
              <c:showPercent val="1"/>
            </c:dLbl>
            <c:numFmt formatCode="0.00%" sourceLinked="0"/>
            <c:txPr>
              <a:bodyPr/>
              <a:lstStyle/>
              <a:p>
                <a:pPr>
                  <a:defRPr sz="800"/>
                </a:pPr>
                <a:endParaRPr lang="ru-RU"/>
              </a:p>
            </c:txPr>
            <c:showPercent val="1"/>
            <c:showLeaderLines val="1"/>
          </c:dLbls>
          <c:cat>
            <c:strRef>
              <c:f>Лист1!$A$2:$A$5</c:f>
              <c:strCache>
                <c:ptCount val="4"/>
                <c:pt idx="0">
                  <c:v>До 15 кВт</c:v>
                </c:pt>
                <c:pt idx="1">
                  <c:v>Свыше 15 кВт и до 150 кВт</c:v>
                </c:pt>
                <c:pt idx="2">
                  <c:v>Свыше 150 кВт и менее 670 кВт</c:v>
                </c:pt>
                <c:pt idx="3">
                  <c:v>Не менее 670 кВт</c:v>
                </c:pt>
              </c:strCache>
            </c:strRef>
          </c:cat>
          <c:val>
            <c:numRef>
              <c:f>Лист1!$B$2:$B$5</c:f>
              <c:numCache>
                <c:formatCode>#,##0</c:formatCode>
                <c:ptCount val="4"/>
                <c:pt idx="0">
                  <c:v>81947</c:v>
                </c:pt>
                <c:pt idx="1">
                  <c:v>5683</c:v>
                </c:pt>
                <c:pt idx="2">
                  <c:v>2734</c:v>
                </c:pt>
                <c:pt idx="3">
                  <c:v>1246</c:v>
                </c:pt>
              </c:numCache>
            </c:numRef>
          </c:val>
        </c:ser>
        <c:firstSliceAng val="326"/>
      </c:pieChart>
    </c:plotArea>
    <c:legend>
      <c:legendPos val="b"/>
      <c:layout>
        <c:manualLayout>
          <c:xMode val="edge"/>
          <c:yMode val="edge"/>
          <c:x val="2.5854430338990233E-2"/>
          <c:y val="0.79500690701556398"/>
          <c:w val="0.97414556966100974"/>
          <c:h val="0.17936920856497224"/>
        </c:manualLayout>
      </c:layout>
    </c:legend>
    <c:plotVisOnly val="1"/>
    <c:dispBlanksAs val="zero"/>
  </c:chart>
  <c:txPr>
    <a:bodyPr/>
    <a:lstStyle/>
    <a:p>
      <a:pPr>
        <a:defRPr sz="900"/>
      </a:pPr>
      <a:endParaRPr lang="ru-RU"/>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Структура технологического присоединения по количеству заключенных договоров</a:t>
            </a:r>
          </a:p>
        </c:rich>
      </c:tx>
    </c:title>
    <c:plotArea>
      <c:layout>
        <c:manualLayout>
          <c:layoutTarget val="inner"/>
          <c:xMode val="edge"/>
          <c:yMode val="edge"/>
          <c:x val="0.18191553382175268"/>
          <c:y val="0.27423743876945844"/>
          <c:w val="0.63755059375728418"/>
          <c:h val="0.45685237409375873"/>
        </c:manualLayout>
      </c:layout>
      <c:pieChart>
        <c:varyColors val="1"/>
        <c:ser>
          <c:idx val="0"/>
          <c:order val="0"/>
          <c:tx>
            <c:strRef>
              <c:f>Лист1!$B$1</c:f>
              <c:strCache>
                <c:ptCount val="1"/>
                <c:pt idx="0">
                  <c:v>Продажи</c:v>
                </c:pt>
              </c:strCache>
            </c:strRef>
          </c:tx>
          <c:dLbls>
            <c:dLbl>
              <c:idx val="3"/>
              <c:layout>
                <c:manualLayout>
                  <c:x val="9.4637773551343743E-2"/>
                  <c:y val="-1.2427833117488301E-2"/>
                </c:manualLayout>
              </c:layout>
              <c:showPercent val="1"/>
            </c:dLbl>
            <c:numFmt formatCode="0.00%" sourceLinked="0"/>
            <c:txPr>
              <a:bodyPr/>
              <a:lstStyle/>
              <a:p>
                <a:pPr>
                  <a:defRPr sz="800"/>
                </a:pPr>
                <a:endParaRPr lang="ru-RU"/>
              </a:p>
            </c:txPr>
            <c:showPercent val="1"/>
            <c:showLeaderLines val="1"/>
          </c:dLbls>
          <c:cat>
            <c:strRef>
              <c:f>Лист1!$A$2:$A$5</c:f>
              <c:strCache>
                <c:ptCount val="4"/>
                <c:pt idx="0">
                  <c:v>До 15 кВт</c:v>
                </c:pt>
                <c:pt idx="1">
                  <c:v>Свыше 15 кВт и до 150 кВт</c:v>
                </c:pt>
                <c:pt idx="2">
                  <c:v>Свыше 150 кВт и менее 670 кВт</c:v>
                </c:pt>
                <c:pt idx="3">
                  <c:v>Не менее 670 кВт</c:v>
                </c:pt>
              </c:strCache>
            </c:strRef>
          </c:cat>
          <c:val>
            <c:numRef>
              <c:f>Лист1!$B$2:$B$5</c:f>
              <c:numCache>
                <c:formatCode>#,##0</c:formatCode>
                <c:ptCount val="4"/>
                <c:pt idx="0">
                  <c:v>64773</c:v>
                </c:pt>
                <c:pt idx="1">
                  <c:v>3867</c:v>
                </c:pt>
                <c:pt idx="2">
                  <c:v>1720</c:v>
                </c:pt>
                <c:pt idx="3">
                  <c:v>517</c:v>
                </c:pt>
              </c:numCache>
            </c:numRef>
          </c:val>
        </c:ser>
        <c:firstSliceAng val="326"/>
      </c:pieChart>
    </c:plotArea>
    <c:legend>
      <c:legendPos val="b"/>
      <c:layout>
        <c:manualLayout>
          <c:xMode val="edge"/>
          <c:yMode val="edge"/>
          <c:x val="2.5854430338990233E-2"/>
          <c:y val="0.79500690701556398"/>
          <c:w val="0.97414556966100974"/>
          <c:h val="0.17936920856497232"/>
        </c:manualLayout>
      </c:layout>
    </c:legend>
    <c:plotVisOnly val="1"/>
    <c:dispBlanksAs val="zero"/>
  </c:chart>
  <c:txPr>
    <a:bodyPr/>
    <a:lstStyle/>
    <a:p>
      <a:pPr>
        <a:defRPr sz="900"/>
      </a:pPr>
      <a:endParaRPr lang="ru-RU"/>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Структура технологического присоединения по фактическому присоединению</a:t>
            </a:r>
          </a:p>
        </c:rich>
      </c:tx>
    </c:title>
    <c:plotArea>
      <c:layout>
        <c:manualLayout>
          <c:layoutTarget val="inner"/>
          <c:xMode val="edge"/>
          <c:yMode val="edge"/>
          <c:x val="0.18191553382175268"/>
          <c:y val="0.27423743876945844"/>
          <c:w val="0.63755059375728418"/>
          <c:h val="0.45685237409375873"/>
        </c:manualLayout>
      </c:layout>
      <c:pieChart>
        <c:varyColors val="1"/>
        <c:ser>
          <c:idx val="0"/>
          <c:order val="0"/>
          <c:tx>
            <c:strRef>
              <c:f>Лист1!$B$1</c:f>
              <c:strCache>
                <c:ptCount val="1"/>
                <c:pt idx="0">
                  <c:v>Продажи</c:v>
                </c:pt>
              </c:strCache>
            </c:strRef>
          </c:tx>
          <c:dLbls>
            <c:dLbl>
              <c:idx val="3"/>
              <c:layout>
                <c:manualLayout>
                  <c:x val="0.12339592392996072"/>
                  <c:y val="-1.2634975196551551E-2"/>
                </c:manualLayout>
              </c:layout>
              <c:showPercent val="1"/>
            </c:dLbl>
            <c:numFmt formatCode="0.00%" sourceLinked="0"/>
            <c:txPr>
              <a:bodyPr/>
              <a:lstStyle/>
              <a:p>
                <a:pPr>
                  <a:defRPr sz="800"/>
                </a:pPr>
                <a:endParaRPr lang="ru-RU"/>
              </a:p>
            </c:txPr>
            <c:showPercent val="1"/>
            <c:showLeaderLines val="1"/>
          </c:dLbls>
          <c:cat>
            <c:strRef>
              <c:f>Лист1!$A$2:$A$5</c:f>
              <c:strCache>
                <c:ptCount val="4"/>
                <c:pt idx="0">
                  <c:v>До 15 кВт</c:v>
                </c:pt>
                <c:pt idx="1">
                  <c:v>Свыше 15 кВт и до 150 кВт</c:v>
                </c:pt>
                <c:pt idx="2">
                  <c:v>Свыше 150 кВт и менее 670 кВт</c:v>
                </c:pt>
                <c:pt idx="3">
                  <c:v>Не менее 670 кВт</c:v>
                </c:pt>
              </c:strCache>
            </c:strRef>
          </c:cat>
          <c:val>
            <c:numRef>
              <c:f>Лист1!$B$2:$B$5</c:f>
              <c:numCache>
                <c:formatCode>#,##0</c:formatCode>
                <c:ptCount val="4"/>
                <c:pt idx="0">
                  <c:v>31818</c:v>
                </c:pt>
                <c:pt idx="1">
                  <c:v>2050</c:v>
                </c:pt>
                <c:pt idx="2">
                  <c:v>720</c:v>
                </c:pt>
                <c:pt idx="3">
                  <c:v>271</c:v>
                </c:pt>
              </c:numCache>
            </c:numRef>
          </c:val>
        </c:ser>
        <c:firstSliceAng val="326"/>
      </c:pieChart>
    </c:plotArea>
    <c:legend>
      <c:legendPos val="b"/>
      <c:layout>
        <c:manualLayout>
          <c:xMode val="edge"/>
          <c:yMode val="edge"/>
          <c:x val="2.5854430338990233E-2"/>
          <c:y val="0.79500690701556398"/>
          <c:w val="0.97414556966100974"/>
          <c:h val="0.17936920856497232"/>
        </c:manualLayout>
      </c:layout>
    </c:legend>
    <c:plotVisOnly val="1"/>
    <c:dispBlanksAs val="zero"/>
  </c:chart>
  <c:txPr>
    <a:bodyPr/>
    <a:lstStyle/>
    <a:p>
      <a:pPr>
        <a:defRPr sz="900"/>
      </a:pPr>
      <a:endParaRPr lang="ru-RU"/>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Структура технологического присоединения по мощности поданных заявок</a:t>
            </a:r>
          </a:p>
        </c:rich>
      </c:tx>
    </c:title>
    <c:plotArea>
      <c:layout>
        <c:manualLayout>
          <c:layoutTarget val="inner"/>
          <c:xMode val="edge"/>
          <c:yMode val="edge"/>
          <c:x val="0.18191553382175268"/>
          <c:y val="0.27423743876945844"/>
          <c:w val="0.63755059375728418"/>
          <c:h val="0.45685237409375873"/>
        </c:manualLayout>
      </c:layout>
      <c:pieChart>
        <c:varyColors val="1"/>
        <c:ser>
          <c:idx val="0"/>
          <c:order val="0"/>
          <c:tx>
            <c:strRef>
              <c:f>Лист1!$B$1</c:f>
              <c:strCache>
                <c:ptCount val="1"/>
                <c:pt idx="0">
                  <c:v>Продажи</c:v>
                </c:pt>
              </c:strCache>
            </c:strRef>
          </c:tx>
          <c:dLbls>
            <c:numFmt formatCode="0.00%" sourceLinked="0"/>
            <c:txPr>
              <a:bodyPr/>
              <a:lstStyle/>
              <a:p>
                <a:pPr>
                  <a:defRPr sz="800"/>
                </a:pPr>
                <a:endParaRPr lang="ru-RU"/>
              </a:p>
            </c:txPr>
            <c:showPercent val="1"/>
            <c:showLeaderLines val="1"/>
          </c:dLbls>
          <c:cat>
            <c:strRef>
              <c:f>Лист1!$A$2:$A$5</c:f>
              <c:strCache>
                <c:ptCount val="4"/>
                <c:pt idx="0">
                  <c:v>До 15 кВт</c:v>
                </c:pt>
                <c:pt idx="1">
                  <c:v>Свыше 15 кВт и до 150 кВт</c:v>
                </c:pt>
                <c:pt idx="2">
                  <c:v>Свыше 150 кВт и менее 670 кВт</c:v>
                </c:pt>
                <c:pt idx="3">
                  <c:v>Не менее 670 кВт</c:v>
                </c:pt>
              </c:strCache>
            </c:strRef>
          </c:cat>
          <c:val>
            <c:numRef>
              <c:f>Лист1!$B$2:$B$5</c:f>
              <c:numCache>
                <c:formatCode>#,##0</c:formatCode>
                <c:ptCount val="4"/>
                <c:pt idx="0">
                  <c:v>1084</c:v>
                </c:pt>
                <c:pt idx="1">
                  <c:v>378</c:v>
                </c:pt>
                <c:pt idx="2">
                  <c:v>979</c:v>
                </c:pt>
                <c:pt idx="3">
                  <c:v>6400</c:v>
                </c:pt>
              </c:numCache>
            </c:numRef>
          </c:val>
        </c:ser>
        <c:firstSliceAng val="326"/>
      </c:pieChart>
    </c:plotArea>
    <c:legend>
      <c:legendPos val="b"/>
      <c:layout>
        <c:manualLayout>
          <c:xMode val="edge"/>
          <c:yMode val="edge"/>
          <c:x val="2.5854430338990233E-2"/>
          <c:y val="0.79500690701556398"/>
          <c:w val="0.97414556966100974"/>
          <c:h val="0.17936920856497232"/>
        </c:manualLayout>
      </c:layout>
    </c:legend>
    <c:plotVisOnly val="1"/>
    <c:dispBlanksAs val="zero"/>
  </c:chart>
  <c:txPr>
    <a:bodyPr/>
    <a:lstStyle/>
    <a:p>
      <a:pPr>
        <a:defRPr sz="900"/>
      </a:pPr>
      <a:endParaRPr lang="ru-RU"/>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Структура технологического присоединения по мощности заключенных договоров</a:t>
            </a:r>
          </a:p>
        </c:rich>
      </c:tx>
    </c:title>
    <c:plotArea>
      <c:layout>
        <c:manualLayout>
          <c:layoutTarget val="inner"/>
          <c:xMode val="edge"/>
          <c:yMode val="edge"/>
          <c:x val="0.18191553382175268"/>
          <c:y val="0.27423743876945844"/>
          <c:w val="0.63755059375728418"/>
          <c:h val="0.45685237409375873"/>
        </c:manualLayout>
      </c:layout>
      <c:pieChart>
        <c:varyColors val="1"/>
        <c:ser>
          <c:idx val="0"/>
          <c:order val="0"/>
          <c:tx>
            <c:strRef>
              <c:f>Лист1!$B$1</c:f>
              <c:strCache>
                <c:ptCount val="1"/>
                <c:pt idx="0">
                  <c:v>Продажи</c:v>
                </c:pt>
              </c:strCache>
            </c:strRef>
          </c:tx>
          <c:dLbls>
            <c:numFmt formatCode="0.00%" sourceLinked="0"/>
            <c:txPr>
              <a:bodyPr/>
              <a:lstStyle/>
              <a:p>
                <a:pPr>
                  <a:defRPr sz="800"/>
                </a:pPr>
                <a:endParaRPr lang="ru-RU"/>
              </a:p>
            </c:txPr>
            <c:showPercent val="1"/>
            <c:showLeaderLines val="1"/>
          </c:dLbls>
          <c:cat>
            <c:strRef>
              <c:f>Лист1!$A$2:$A$5</c:f>
              <c:strCache>
                <c:ptCount val="4"/>
                <c:pt idx="0">
                  <c:v>До 15 кВт</c:v>
                </c:pt>
                <c:pt idx="1">
                  <c:v>Свыше 15 кВт и до 150 кВт</c:v>
                </c:pt>
                <c:pt idx="2">
                  <c:v>Свыше 150 кВт и менее 670 кВт</c:v>
                </c:pt>
                <c:pt idx="3">
                  <c:v>Не менее 670 кВт</c:v>
                </c:pt>
              </c:strCache>
            </c:strRef>
          </c:cat>
          <c:val>
            <c:numRef>
              <c:f>Лист1!$B$2:$B$5</c:f>
              <c:numCache>
                <c:formatCode>#,##0</c:formatCode>
                <c:ptCount val="4"/>
                <c:pt idx="0">
                  <c:v>884</c:v>
                </c:pt>
                <c:pt idx="1">
                  <c:v>262</c:v>
                </c:pt>
                <c:pt idx="2">
                  <c:v>599</c:v>
                </c:pt>
                <c:pt idx="3">
                  <c:v>2709</c:v>
                </c:pt>
              </c:numCache>
            </c:numRef>
          </c:val>
        </c:ser>
        <c:firstSliceAng val="326"/>
      </c:pieChart>
    </c:plotArea>
    <c:legend>
      <c:legendPos val="b"/>
      <c:layout>
        <c:manualLayout>
          <c:xMode val="edge"/>
          <c:yMode val="edge"/>
          <c:x val="2.5854430338990233E-2"/>
          <c:y val="0.79500690701556398"/>
          <c:w val="0.97414556966100974"/>
          <c:h val="0.17936920856497232"/>
        </c:manualLayout>
      </c:layout>
    </c:legend>
    <c:plotVisOnly val="1"/>
    <c:dispBlanksAs val="zero"/>
  </c:chart>
  <c:txPr>
    <a:bodyPr/>
    <a:lstStyle/>
    <a:p>
      <a:pPr>
        <a:defRPr sz="900"/>
      </a:pPr>
      <a:endParaRPr lang="ru-RU"/>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Структура технологического присоединения по присоединенной</a:t>
            </a:r>
            <a:r>
              <a:rPr lang="ru-RU" sz="1000" baseline="0"/>
              <a:t> мощности</a:t>
            </a:r>
            <a:endParaRPr lang="ru-RU" sz="1000"/>
          </a:p>
        </c:rich>
      </c:tx>
    </c:title>
    <c:plotArea>
      <c:layout>
        <c:manualLayout>
          <c:layoutTarget val="inner"/>
          <c:xMode val="edge"/>
          <c:yMode val="edge"/>
          <c:x val="0.18191553382175268"/>
          <c:y val="0.27423743876945844"/>
          <c:w val="0.63755059375728418"/>
          <c:h val="0.45685237409375873"/>
        </c:manualLayout>
      </c:layout>
      <c:pieChart>
        <c:varyColors val="1"/>
        <c:ser>
          <c:idx val="0"/>
          <c:order val="0"/>
          <c:tx>
            <c:strRef>
              <c:f>Лист1!$B$1</c:f>
              <c:strCache>
                <c:ptCount val="1"/>
                <c:pt idx="0">
                  <c:v>Продажи</c:v>
                </c:pt>
              </c:strCache>
            </c:strRef>
          </c:tx>
          <c:dLbls>
            <c:numFmt formatCode="0.00%" sourceLinked="0"/>
            <c:txPr>
              <a:bodyPr/>
              <a:lstStyle/>
              <a:p>
                <a:pPr>
                  <a:defRPr sz="800"/>
                </a:pPr>
                <a:endParaRPr lang="ru-RU"/>
              </a:p>
            </c:txPr>
            <c:showPercent val="1"/>
            <c:showLeaderLines val="1"/>
          </c:dLbls>
          <c:cat>
            <c:strRef>
              <c:f>Лист1!$A$2:$A$5</c:f>
              <c:strCache>
                <c:ptCount val="4"/>
                <c:pt idx="0">
                  <c:v>До 15 кВт</c:v>
                </c:pt>
                <c:pt idx="1">
                  <c:v>Свыше 15 кВт и до 150 кВт</c:v>
                </c:pt>
                <c:pt idx="2">
                  <c:v>Свыше 150 кВт и менее 670 кВт</c:v>
                </c:pt>
                <c:pt idx="3">
                  <c:v>Не менее 670 кВт</c:v>
                </c:pt>
              </c:strCache>
            </c:strRef>
          </c:cat>
          <c:val>
            <c:numRef>
              <c:f>Лист1!$B$2:$B$5</c:f>
              <c:numCache>
                <c:formatCode>#,##0</c:formatCode>
                <c:ptCount val="4"/>
                <c:pt idx="0">
                  <c:v>422</c:v>
                </c:pt>
                <c:pt idx="1">
                  <c:v>129</c:v>
                </c:pt>
                <c:pt idx="2">
                  <c:v>247</c:v>
                </c:pt>
                <c:pt idx="3">
                  <c:v>732</c:v>
                </c:pt>
              </c:numCache>
            </c:numRef>
          </c:val>
        </c:ser>
        <c:firstSliceAng val="326"/>
      </c:pieChart>
    </c:plotArea>
    <c:legend>
      <c:legendPos val="b"/>
      <c:layout>
        <c:manualLayout>
          <c:xMode val="edge"/>
          <c:yMode val="edge"/>
          <c:x val="2.5854430338990233E-2"/>
          <c:y val="0.79500690701556398"/>
          <c:w val="0.97414556966100974"/>
          <c:h val="0.17936920856497232"/>
        </c:manualLayout>
      </c:layout>
    </c:legend>
    <c:plotVisOnly val="1"/>
    <c:dispBlanksAs val="zero"/>
  </c:chart>
  <c:txPr>
    <a:bodyPr/>
    <a:lstStyle/>
    <a:p>
      <a:pPr>
        <a:defRPr sz="900"/>
      </a:pPr>
      <a:endParaRPr lang="ru-RU"/>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rtl="0">
              <a:defRPr/>
            </a:pPr>
            <a:r>
              <a:rPr lang="ru-RU"/>
              <a:t>Распределение заявляемой мощности по отраслям хозяйственной деятельности</a:t>
            </a:r>
          </a:p>
        </c:rich>
      </c:tx>
    </c:title>
    <c:plotArea>
      <c:layout/>
      <c:barChart>
        <c:barDir val="col"/>
        <c:grouping val="percentStacked"/>
        <c:ser>
          <c:idx val="4"/>
          <c:order val="0"/>
          <c:tx>
            <c:strRef>
              <c:f>Лист1!$F$1</c:f>
              <c:strCache>
                <c:ptCount val="1"/>
                <c:pt idx="0">
                  <c:v>Прочее</c:v>
                </c:pt>
              </c:strCache>
            </c:strRef>
          </c:tx>
          <c:dLbls>
            <c:showVal val="1"/>
          </c:dLbls>
          <c:cat>
            <c:numRef>
              <c:f>Лист1!$A$2:$A$4</c:f>
              <c:numCache>
                <c:formatCode>General</c:formatCode>
                <c:ptCount val="3"/>
                <c:pt idx="0">
                  <c:v>2011</c:v>
                </c:pt>
                <c:pt idx="1">
                  <c:v>2012</c:v>
                </c:pt>
                <c:pt idx="2">
                  <c:v>2013</c:v>
                </c:pt>
              </c:numCache>
            </c:numRef>
          </c:cat>
          <c:val>
            <c:numRef>
              <c:f>Лист1!$F$2:$F$4</c:f>
              <c:numCache>
                <c:formatCode>0.00%</c:formatCode>
                <c:ptCount val="3"/>
                <c:pt idx="0">
                  <c:v>0.46288209606987957</c:v>
                </c:pt>
                <c:pt idx="1">
                  <c:v>0.49824067558057838</c:v>
                </c:pt>
                <c:pt idx="2">
                  <c:v>0.52057478772043353</c:v>
                </c:pt>
              </c:numCache>
            </c:numRef>
          </c:val>
        </c:ser>
        <c:ser>
          <c:idx val="3"/>
          <c:order val="1"/>
          <c:tx>
            <c:strRef>
              <c:f>Лист1!$E$1</c:f>
              <c:strCache>
                <c:ptCount val="1"/>
                <c:pt idx="0">
                  <c:v>Физические лица</c:v>
                </c:pt>
              </c:strCache>
            </c:strRef>
          </c:tx>
          <c:dLbls>
            <c:showVal val="1"/>
          </c:dLbls>
          <c:cat>
            <c:numRef>
              <c:f>Лист1!$A$2:$A$4</c:f>
              <c:numCache>
                <c:formatCode>General</c:formatCode>
                <c:ptCount val="3"/>
                <c:pt idx="0">
                  <c:v>2011</c:v>
                </c:pt>
                <c:pt idx="1">
                  <c:v>2012</c:v>
                </c:pt>
                <c:pt idx="2">
                  <c:v>2013</c:v>
                </c:pt>
              </c:numCache>
            </c:numRef>
          </c:cat>
          <c:val>
            <c:numRef>
              <c:f>Лист1!$E$2:$E$4</c:f>
              <c:numCache>
                <c:formatCode>0.00%</c:formatCode>
                <c:ptCount val="3"/>
                <c:pt idx="0">
                  <c:v>0.12117903930131006</c:v>
                </c:pt>
                <c:pt idx="1">
                  <c:v>0.11963406052076003</c:v>
                </c:pt>
                <c:pt idx="2">
                  <c:v>0.25538863487916996</c:v>
                </c:pt>
              </c:numCache>
            </c:numRef>
          </c:val>
        </c:ser>
        <c:ser>
          <c:idx val="2"/>
          <c:order val="2"/>
          <c:tx>
            <c:strRef>
              <c:f>Лист1!$D$1</c:f>
              <c:strCache>
                <c:ptCount val="1"/>
                <c:pt idx="0">
                  <c:v>Коммунально-бытовая и социальная сферы</c:v>
                </c:pt>
              </c:strCache>
            </c:strRef>
          </c:tx>
          <c:dLbls>
            <c:showVal val="1"/>
          </c:dLbls>
          <c:cat>
            <c:numRef>
              <c:f>Лист1!$A$2:$A$4</c:f>
              <c:numCache>
                <c:formatCode>General</c:formatCode>
                <c:ptCount val="3"/>
                <c:pt idx="0">
                  <c:v>2011</c:v>
                </c:pt>
                <c:pt idx="1">
                  <c:v>2012</c:v>
                </c:pt>
                <c:pt idx="2">
                  <c:v>2013</c:v>
                </c:pt>
              </c:numCache>
            </c:numRef>
          </c:cat>
          <c:val>
            <c:numRef>
              <c:f>Лист1!$D$2:$D$4</c:f>
              <c:numCache>
                <c:formatCode>0.00%</c:formatCode>
                <c:ptCount val="3"/>
                <c:pt idx="0">
                  <c:v>0.39737991266376393</c:v>
                </c:pt>
                <c:pt idx="1">
                  <c:v>9.0077410274454608E-2</c:v>
                </c:pt>
                <c:pt idx="2">
                  <c:v>0.16133246244284791</c:v>
                </c:pt>
              </c:numCache>
            </c:numRef>
          </c:val>
        </c:ser>
        <c:ser>
          <c:idx val="1"/>
          <c:order val="3"/>
          <c:tx>
            <c:strRef>
              <c:f>Лист1!$C$1</c:f>
              <c:strCache>
                <c:ptCount val="1"/>
                <c:pt idx="0">
                  <c:v>Сельское хозяйство</c:v>
                </c:pt>
              </c:strCache>
            </c:strRef>
          </c:tx>
          <c:cat>
            <c:numRef>
              <c:f>Лист1!$A$2:$A$4</c:f>
              <c:numCache>
                <c:formatCode>General</c:formatCode>
                <c:ptCount val="3"/>
                <c:pt idx="0">
                  <c:v>2011</c:v>
                </c:pt>
                <c:pt idx="1">
                  <c:v>2012</c:v>
                </c:pt>
                <c:pt idx="2">
                  <c:v>2013</c:v>
                </c:pt>
              </c:numCache>
            </c:numRef>
          </c:cat>
          <c:val>
            <c:numRef>
              <c:f>Лист1!$C$2:$C$4</c:f>
              <c:numCache>
                <c:formatCode>0.00%</c:formatCode>
                <c:ptCount val="3"/>
                <c:pt idx="0">
                  <c:v>1.0917030567685621E-3</c:v>
                </c:pt>
                <c:pt idx="1">
                  <c:v>7.0372976776917923E-4</c:v>
                </c:pt>
                <c:pt idx="2">
                  <c:v>1.9595035924232541E-3</c:v>
                </c:pt>
              </c:numCache>
            </c:numRef>
          </c:val>
        </c:ser>
        <c:ser>
          <c:idx val="0"/>
          <c:order val="4"/>
          <c:tx>
            <c:strRef>
              <c:f>Лист1!$B$1</c:f>
              <c:strCache>
                <c:ptCount val="1"/>
                <c:pt idx="0">
                  <c:v>Промышленность</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0.00%</c:formatCode>
                <c:ptCount val="3"/>
                <c:pt idx="0">
                  <c:v>1.7467248908296932E-2</c:v>
                </c:pt>
                <c:pt idx="1">
                  <c:v>0.29134412385643932</c:v>
                </c:pt>
                <c:pt idx="2">
                  <c:v>6.0744611365120833E-2</c:v>
                </c:pt>
              </c:numCache>
            </c:numRef>
          </c:val>
        </c:ser>
        <c:overlap val="100"/>
        <c:axId val="135178880"/>
        <c:axId val="135332224"/>
      </c:barChart>
      <c:catAx>
        <c:axId val="135178880"/>
        <c:scaling>
          <c:orientation val="minMax"/>
        </c:scaling>
        <c:axPos val="b"/>
        <c:numFmt formatCode="General" sourceLinked="1"/>
        <c:tickLblPos val="nextTo"/>
        <c:crossAx val="135332224"/>
        <c:crosses val="autoZero"/>
        <c:auto val="1"/>
        <c:lblAlgn val="ctr"/>
        <c:lblOffset val="100"/>
      </c:catAx>
      <c:valAx>
        <c:axId val="135332224"/>
        <c:scaling>
          <c:orientation val="minMax"/>
        </c:scaling>
        <c:delete val="1"/>
        <c:axPos val="l"/>
        <c:majorGridlines/>
        <c:numFmt formatCode="0%" sourceLinked="1"/>
        <c:tickLblPos val="none"/>
        <c:crossAx val="135178880"/>
        <c:crosses val="autoZero"/>
        <c:crossBetween val="between"/>
      </c:valAx>
    </c:plotArea>
    <c:legend>
      <c:legendPos val="r"/>
    </c:legend>
    <c:plotVisOnly val="1"/>
    <c:dispBlanksAs val="gap"/>
  </c:chart>
  <c:txPr>
    <a:bodyPr/>
    <a:lstStyle/>
    <a:p>
      <a:pPr>
        <a:defRPr sz="900"/>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9931262355190824E-2"/>
          <c:y val="5.9284647225422024E-2"/>
          <c:w val="0.85139846947231967"/>
          <c:h val="0.64711639602408377"/>
        </c:manualLayout>
      </c:layout>
      <c:barChart>
        <c:barDir val="col"/>
        <c:grouping val="clustered"/>
        <c:ser>
          <c:idx val="0"/>
          <c:order val="0"/>
          <c:tx>
            <c:strRef>
              <c:f>Лист1!$B$1</c:f>
              <c:strCache>
                <c:ptCount val="1"/>
                <c:pt idx="0">
                  <c:v>Чистая прибыль (по МСФО)</c:v>
                </c:pt>
              </c:strCache>
            </c:strRef>
          </c:tx>
          <c:dLbls>
            <c:dLblPos val="inBase"/>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18043</c:v>
                </c:pt>
                <c:pt idx="1">
                  <c:v>18897</c:v>
                </c:pt>
                <c:pt idx="2">
                  <c:v>19473</c:v>
                </c:pt>
              </c:numCache>
            </c:numRef>
          </c:val>
        </c:ser>
        <c:axId val="466608512"/>
        <c:axId val="466610048"/>
      </c:barChart>
      <c:lineChart>
        <c:grouping val="standard"/>
        <c:ser>
          <c:idx val="1"/>
          <c:order val="1"/>
          <c:tx>
            <c:strRef>
              <c:f>Лист1!$C$1</c:f>
              <c:strCache>
                <c:ptCount val="1"/>
                <c:pt idx="0">
                  <c:v>Рентабельность по чистой прибыли</c:v>
                </c:pt>
              </c:strCache>
            </c:strRef>
          </c:tx>
          <c:marker>
            <c:symbol val="circle"/>
            <c:size val="7"/>
          </c:marker>
          <c:dLbls>
            <c:dLblPos val="t"/>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0.13950000000000001</c:v>
                </c:pt>
                <c:pt idx="1">
                  <c:v>0.15080000000000021</c:v>
                </c:pt>
                <c:pt idx="2">
                  <c:v>0.15080000000000021</c:v>
                </c:pt>
              </c:numCache>
            </c:numRef>
          </c:val>
        </c:ser>
        <c:marker val="1"/>
        <c:axId val="467736448"/>
        <c:axId val="467734912"/>
      </c:lineChart>
      <c:catAx>
        <c:axId val="466608512"/>
        <c:scaling>
          <c:orientation val="minMax"/>
        </c:scaling>
        <c:axPos val="b"/>
        <c:numFmt formatCode="General" sourceLinked="1"/>
        <c:tickLblPos val="nextTo"/>
        <c:crossAx val="466610048"/>
        <c:crosses val="autoZero"/>
        <c:auto val="1"/>
        <c:lblAlgn val="ctr"/>
        <c:lblOffset val="100"/>
      </c:catAx>
      <c:valAx>
        <c:axId val="466610048"/>
        <c:scaling>
          <c:orientation val="minMax"/>
          <c:max val="95000"/>
          <c:min val="0"/>
        </c:scaling>
        <c:axPos val="l"/>
        <c:majorGridlines/>
        <c:title>
          <c:tx>
            <c:rich>
              <a:bodyPr rot="-5400000" vert="horz"/>
              <a:lstStyle/>
              <a:p>
                <a:pPr>
                  <a:defRPr/>
                </a:pPr>
                <a:r>
                  <a:rPr lang="ru-RU"/>
                  <a:t>млн руб.</a:t>
                </a:r>
              </a:p>
            </c:rich>
          </c:tx>
        </c:title>
        <c:numFmt formatCode="#,##0" sourceLinked="1"/>
        <c:tickLblPos val="nextTo"/>
        <c:txPr>
          <a:bodyPr/>
          <a:lstStyle/>
          <a:p>
            <a:pPr>
              <a:defRPr sz="100">
                <a:solidFill>
                  <a:schemeClr val="bg1"/>
                </a:solidFill>
              </a:defRPr>
            </a:pPr>
            <a:endParaRPr lang="ru-RU"/>
          </a:p>
        </c:txPr>
        <c:crossAx val="466608512"/>
        <c:crosses val="autoZero"/>
        <c:crossBetween val="between"/>
      </c:valAx>
      <c:valAx>
        <c:axId val="467734912"/>
        <c:scaling>
          <c:orientation val="minMax"/>
          <c:max val="0.5"/>
        </c:scaling>
        <c:axPos val="r"/>
        <c:numFmt formatCode="0%" sourceLinked="0"/>
        <c:tickLblPos val="nextTo"/>
        <c:txPr>
          <a:bodyPr/>
          <a:lstStyle/>
          <a:p>
            <a:pPr>
              <a:defRPr sz="100">
                <a:solidFill>
                  <a:schemeClr val="bg1"/>
                </a:solidFill>
              </a:defRPr>
            </a:pPr>
            <a:endParaRPr lang="ru-RU"/>
          </a:p>
        </c:txPr>
        <c:crossAx val="467736448"/>
        <c:crosses val="max"/>
        <c:crossBetween val="between"/>
      </c:valAx>
      <c:catAx>
        <c:axId val="467736448"/>
        <c:scaling>
          <c:orientation val="minMax"/>
        </c:scaling>
        <c:delete val="1"/>
        <c:axPos val="b"/>
        <c:numFmt formatCode="General" sourceLinked="1"/>
        <c:tickLblPos val="none"/>
        <c:crossAx val="467734912"/>
        <c:crosses val="autoZero"/>
        <c:auto val="1"/>
        <c:lblAlgn val="ctr"/>
        <c:lblOffset val="100"/>
      </c:catAx>
    </c:plotArea>
    <c:legend>
      <c:legendPos val="b"/>
      <c:layout>
        <c:manualLayout>
          <c:xMode val="edge"/>
          <c:yMode val="edge"/>
          <c:x val="0"/>
          <c:y val="0.84561560486758458"/>
          <c:w val="1"/>
          <c:h val="0.12474481380744021"/>
        </c:manualLayout>
      </c:layout>
    </c:legend>
    <c:plotVisOnly val="1"/>
    <c:dispBlanksAs val="gap"/>
  </c:chart>
  <c:txPr>
    <a:bodyPr/>
    <a:lstStyle/>
    <a:p>
      <a:pPr>
        <a:defRPr sz="800"/>
      </a:pPr>
      <a:endParaRPr lang="ru-RU"/>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Статистика обращений клиентов</a:t>
            </a:r>
          </a:p>
        </c:rich>
      </c:tx>
    </c:title>
    <c:plotArea>
      <c:layout/>
      <c:barChart>
        <c:barDir val="col"/>
        <c:grouping val="clustered"/>
        <c:ser>
          <c:idx val="0"/>
          <c:order val="0"/>
          <c:tx>
            <c:strRef>
              <c:f>Лист1!$B$1</c:f>
              <c:strCache>
                <c:ptCount val="1"/>
                <c:pt idx="0">
                  <c:v>Количество обращений по каналам коммуникаций</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253455</c:v>
                </c:pt>
                <c:pt idx="1">
                  <c:v>487459</c:v>
                </c:pt>
                <c:pt idx="2">
                  <c:v>577815</c:v>
                </c:pt>
              </c:numCache>
            </c:numRef>
          </c:val>
        </c:ser>
        <c:axId val="135346432"/>
        <c:axId val="135364608"/>
      </c:barChart>
      <c:lineChart>
        <c:grouping val="standard"/>
        <c:ser>
          <c:idx val="1"/>
          <c:order val="1"/>
          <c:tx>
            <c:strRef>
              <c:f>Лист1!$C$1</c:f>
              <c:strCache>
                <c:ptCount val="1"/>
                <c:pt idx="0">
                  <c:v>Среднее время, затрачиваемое на заявку</c:v>
                </c:pt>
              </c:strCache>
            </c:strRef>
          </c:tx>
          <c:marker>
            <c:symbol val="circle"/>
            <c:size val="7"/>
          </c:marker>
          <c:dLbls>
            <c:showVal val="1"/>
          </c:dLbls>
          <c:cat>
            <c:numRef>
              <c:f>Лист1!$A$2:$A$4</c:f>
              <c:numCache>
                <c:formatCode>General</c:formatCode>
                <c:ptCount val="3"/>
                <c:pt idx="0">
                  <c:v>2011</c:v>
                </c:pt>
                <c:pt idx="1">
                  <c:v>2012</c:v>
                </c:pt>
                <c:pt idx="2">
                  <c:v>2013</c:v>
                </c:pt>
              </c:numCache>
            </c:numRef>
          </c:cat>
          <c:val>
            <c:numRef>
              <c:f>Лист1!$C$2:$C$4</c:f>
              <c:numCache>
                <c:formatCode>General</c:formatCode>
                <c:ptCount val="3"/>
                <c:pt idx="0">
                  <c:v>45</c:v>
                </c:pt>
                <c:pt idx="1">
                  <c:v>30</c:v>
                </c:pt>
                <c:pt idx="2">
                  <c:v>20</c:v>
                </c:pt>
              </c:numCache>
            </c:numRef>
          </c:val>
        </c:ser>
        <c:marker val="1"/>
        <c:axId val="135368704"/>
        <c:axId val="135366528"/>
      </c:lineChart>
      <c:catAx>
        <c:axId val="135346432"/>
        <c:scaling>
          <c:orientation val="minMax"/>
        </c:scaling>
        <c:axPos val="b"/>
        <c:numFmt formatCode="General" sourceLinked="1"/>
        <c:tickLblPos val="nextTo"/>
        <c:crossAx val="135364608"/>
        <c:crosses val="autoZero"/>
        <c:auto val="1"/>
        <c:lblAlgn val="ctr"/>
        <c:lblOffset val="100"/>
      </c:catAx>
      <c:valAx>
        <c:axId val="135364608"/>
        <c:scaling>
          <c:orientation val="minMax"/>
        </c:scaling>
        <c:axPos val="l"/>
        <c:majorGridlines/>
        <c:title>
          <c:tx>
            <c:rich>
              <a:bodyPr rot="-5400000" vert="horz"/>
              <a:lstStyle/>
              <a:p>
                <a:pPr>
                  <a:defRPr/>
                </a:pPr>
                <a:r>
                  <a:rPr lang="ru-RU"/>
                  <a:t>шт.</a:t>
                </a:r>
              </a:p>
            </c:rich>
          </c:tx>
        </c:title>
        <c:numFmt formatCode="#,##0" sourceLinked="1"/>
        <c:tickLblPos val="nextTo"/>
        <c:crossAx val="135346432"/>
        <c:crosses val="autoZero"/>
        <c:crossBetween val="between"/>
      </c:valAx>
      <c:valAx>
        <c:axId val="135366528"/>
        <c:scaling>
          <c:orientation val="minMax"/>
          <c:max val="80"/>
        </c:scaling>
        <c:axPos val="r"/>
        <c:title>
          <c:tx>
            <c:rich>
              <a:bodyPr rot="-5400000" vert="horz"/>
              <a:lstStyle/>
              <a:p>
                <a:pPr>
                  <a:defRPr/>
                </a:pPr>
                <a:r>
                  <a:rPr lang="ru-RU"/>
                  <a:t>мин.</a:t>
                </a:r>
              </a:p>
            </c:rich>
          </c:tx>
        </c:title>
        <c:numFmt formatCode="General" sourceLinked="1"/>
        <c:tickLblPos val="nextTo"/>
        <c:crossAx val="135368704"/>
        <c:crosses val="max"/>
        <c:crossBetween val="between"/>
      </c:valAx>
      <c:catAx>
        <c:axId val="135368704"/>
        <c:scaling>
          <c:orientation val="minMax"/>
        </c:scaling>
        <c:delete val="1"/>
        <c:axPos val="b"/>
        <c:numFmt formatCode="General" sourceLinked="1"/>
        <c:tickLblPos val="none"/>
        <c:crossAx val="135366528"/>
        <c:crosses val="autoZero"/>
        <c:auto val="1"/>
        <c:lblAlgn val="ctr"/>
        <c:lblOffset val="100"/>
      </c:catAx>
    </c:plotArea>
    <c:legend>
      <c:legendPos val="b"/>
    </c:legend>
    <c:plotVisOnly val="1"/>
    <c:dispBlanksAs val="gap"/>
  </c:chart>
  <c:txPr>
    <a:bodyPr/>
    <a:lstStyle/>
    <a:p>
      <a:pPr>
        <a:defRPr sz="900"/>
      </a:pPr>
      <a:endParaRPr lang="ru-RU"/>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Виды обращений в 2013 году</c:v>
                </c:pt>
              </c:strCache>
            </c:strRef>
          </c:tx>
          <c:dLbls>
            <c:numFmt formatCode="0.00%" sourceLinked="0"/>
            <c:showPercent val="1"/>
            <c:showLeaderLines val="1"/>
          </c:dLbls>
          <c:cat>
            <c:strRef>
              <c:f>Лист1!$A$2:$A$6</c:f>
              <c:strCache>
                <c:ptCount val="5"/>
                <c:pt idx="0">
                  <c:v>Очные обращения</c:v>
                </c:pt>
                <c:pt idx="1">
                  <c:v>Заочные обращения через call-центр</c:v>
                </c:pt>
                <c:pt idx="2">
                  <c:v>Письменные обращения через канцелярию</c:v>
                </c:pt>
                <c:pt idx="3">
                  <c:v>Заочные обращения через интернет-приемную/личный кабинет/on-line консультации/e-mail</c:v>
                </c:pt>
                <c:pt idx="4">
                  <c:v>Прочее</c:v>
                </c:pt>
              </c:strCache>
            </c:strRef>
          </c:cat>
          <c:val>
            <c:numRef>
              <c:f>Лист1!$B$2:$B$6</c:f>
              <c:numCache>
                <c:formatCode>#,##0</c:formatCode>
                <c:ptCount val="5"/>
                <c:pt idx="0">
                  <c:v>224298</c:v>
                </c:pt>
                <c:pt idx="1">
                  <c:v>304333</c:v>
                </c:pt>
                <c:pt idx="2">
                  <c:v>28581</c:v>
                </c:pt>
                <c:pt idx="3">
                  <c:v>12028</c:v>
                </c:pt>
                <c:pt idx="4">
                  <c:v>8575</c:v>
                </c:pt>
              </c:numCache>
            </c:numRef>
          </c:val>
        </c:ser>
        <c:firstSliceAng val="0"/>
      </c:pieChart>
    </c:plotArea>
    <c:legend>
      <c:legendPos val="r"/>
      <c:layout>
        <c:manualLayout>
          <c:xMode val="edge"/>
          <c:yMode val="edge"/>
          <c:x val="0.56228822822166347"/>
          <c:y val="0.11756203847403662"/>
          <c:w val="0.4334796685763338"/>
          <c:h val="0.88243796152594478"/>
        </c:manualLayout>
      </c:layout>
      <c:txPr>
        <a:bodyPr/>
        <a:lstStyle/>
        <a:p>
          <a:pPr>
            <a:defRPr sz="800"/>
          </a:pPr>
          <a:endParaRPr lang="ru-RU"/>
        </a:p>
      </c:txPr>
    </c:legend>
    <c:plotVisOnly val="1"/>
    <c:dispBlanksAs val="zero"/>
  </c:chart>
  <c:txPr>
    <a:bodyPr/>
    <a:lstStyle/>
    <a:p>
      <a:pPr>
        <a:defRPr sz="900"/>
      </a:pPr>
      <a:endParaRPr lang="ru-RU"/>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title/>
    <c:plotArea>
      <c:layout>
        <c:manualLayout>
          <c:layoutTarget val="inner"/>
          <c:xMode val="edge"/>
          <c:yMode val="edge"/>
          <c:x val="5.0925925925925923E-2"/>
          <c:y val="0.15917793256400473"/>
          <c:w val="0.90740740740740744"/>
          <c:h val="0.62890060306388096"/>
        </c:manualLayout>
      </c:layout>
      <c:barChart>
        <c:barDir val="col"/>
        <c:grouping val="clustered"/>
        <c:ser>
          <c:idx val="0"/>
          <c:order val="0"/>
          <c:tx>
            <c:strRef>
              <c:f>Лист1!$B$1</c:f>
              <c:strCache>
                <c:ptCount val="1"/>
                <c:pt idx="0">
                  <c:v>Затраты на ремонт</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5216</c:v>
                </c:pt>
                <c:pt idx="1">
                  <c:v>4945</c:v>
                </c:pt>
                <c:pt idx="2">
                  <c:v>5333</c:v>
                </c:pt>
              </c:numCache>
            </c:numRef>
          </c:val>
        </c:ser>
        <c:axId val="136046464"/>
        <c:axId val="136048000"/>
      </c:barChart>
      <c:catAx>
        <c:axId val="136046464"/>
        <c:scaling>
          <c:orientation val="minMax"/>
        </c:scaling>
        <c:axPos val="b"/>
        <c:numFmt formatCode="General" sourceLinked="1"/>
        <c:tickLblPos val="nextTo"/>
        <c:crossAx val="136048000"/>
        <c:crosses val="autoZero"/>
        <c:auto val="1"/>
        <c:lblAlgn val="ctr"/>
        <c:lblOffset val="100"/>
      </c:catAx>
      <c:valAx>
        <c:axId val="136048000"/>
        <c:scaling>
          <c:orientation val="minMax"/>
          <c:min val="0"/>
        </c:scaling>
        <c:delete val="1"/>
        <c:axPos val="l"/>
        <c:majorGridlines/>
        <c:title>
          <c:tx>
            <c:rich>
              <a:bodyPr rot="-5400000" vert="horz"/>
              <a:lstStyle/>
              <a:p>
                <a:pPr>
                  <a:defRPr/>
                </a:pPr>
                <a:r>
                  <a:rPr lang="ru-RU"/>
                  <a:t>млн руб. без НДС</a:t>
                </a:r>
              </a:p>
            </c:rich>
          </c:tx>
        </c:title>
        <c:numFmt formatCode="#,##0" sourceLinked="1"/>
        <c:tickLblPos val="none"/>
        <c:crossAx val="136046464"/>
        <c:crosses val="autoZero"/>
        <c:crossBetween val="between"/>
      </c:valAx>
    </c:plotArea>
    <c:plotVisOnly val="1"/>
    <c:dispBlanksAs val="gap"/>
  </c:chart>
  <c:txPr>
    <a:bodyPr/>
    <a:lstStyle/>
    <a:p>
      <a:pPr>
        <a:defRPr sz="900"/>
      </a:pPr>
      <a:endParaRPr lang="ru-RU"/>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Способы проведения ремонта</a:t>
            </a:r>
          </a:p>
        </c:rich>
      </c:tx>
    </c:title>
    <c:plotArea>
      <c:layout/>
      <c:barChart>
        <c:barDir val="col"/>
        <c:grouping val="stacked"/>
        <c:ser>
          <c:idx val="1"/>
          <c:order val="0"/>
          <c:tx>
            <c:strRef>
              <c:f>Лист1!$C$1</c:f>
              <c:strCache>
                <c:ptCount val="1"/>
                <c:pt idx="0">
                  <c:v>Подрядным способом</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3085</c:v>
                </c:pt>
                <c:pt idx="1">
                  <c:v>2859</c:v>
                </c:pt>
                <c:pt idx="2">
                  <c:v>3086</c:v>
                </c:pt>
              </c:numCache>
            </c:numRef>
          </c:val>
        </c:ser>
        <c:ser>
          <c:idx val="0"/>
          <c:order val="1"/>
          <c:tx>
            <c:strRef>
              <c:f>Лист1!$B$1</c:f>
              <c:strCache>
                <c:ptCount val="1"/>
                <c:pt idx="0">
                  <c:v>Хозяйственным способом</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2130</c:v>
                </c:pt>
                <c:pt idx="1">
                  <c:v>2087</c:v>
                </c:pt>
                <c:pt idx="2">
                  <c:v>2246</c:v>
                </c:pt>
              </c:numCache>
            </c:numRef>
          </c:val>
        </c:ser>
        <c:overlap val="100"/>
        <c:axId val="152716032"/>
        <c:axId val="152717568"/>
      </c:barChart>
      <c:catAx>
        <c:axId val="152716032"/>
        <c:scaling>
          <c:orientation val="minMax"/>
        </c:scaling>
        <c:axPos val="b"/>
        <c:numFmt formatCode="General" sourceLinked="1"/>
        <c:tickLblPos val="nextTo"/>
        <c:crossAx val="152717568"/>
        <c:crosses val="autoZero"/>
        <c:auto val="1"/>
        <c:lblAlgn val="ctr"/>
        <c:lblOffset val="100"/>
      </c:catAx>
      <c:valAx>
        <c:axId val="152717568"/>
        <c:scaling>
          <c:orientation val="minMax"/>
        </c:scaling>
        <c:delete val="1"/>
        <c:axPos val="l"/>
        <c:majorGridlines/>
        <c:title>
          <c:tx>
            <c:rich>
              <a:bodyPr rot="-5400000" vert="horz"/>
              <a:lstStyle/>
              <a:p>
                <a:pPr>
                  <a:defRPr/>
                </a:pPr>
                <a:r>
                  <a:rPr lang="ru-RU"/>
                  <a:t>млн руб. без НДС</a:t>
                </a:r>
              </a:p>
            </c:rich>
          </c:tx>
        </c:title>
        <c:numFmt formatCode="#,##0" sourceLinked="1"/>
        <c:tickLblPos val="none"/>
        <c:crossAx val="152716032"/>
        <c:crosses val="autoZero"/>
        <c:crossBetween val="between"/>
      </c:valAx>
    </c:plotArea>
    <c:legend>
      <c:legendPos val="b"/>
    </c:legend>
    <c:plotVisOnly val="1"/>
    <c:dispBlanksAs val="gap"/>
  </c:chart>
  <c:txPr>
    <a:bodyPr/>
    <a:lstStyle/>
    <a:p>
      <a:pPr>
        <a:defRPr sz="900"/>
      </a:pPr>
      <a:endParaRPr lang="ru-RU"/>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ru-RU" sz="1000" b="1"/>
              <a:t>Динамика показателей надежности</a:t>
            </a:r>
            <a:endParaRPr lang="ru-RU" sz="1000"/>
          </a:p>
        </c:rich>
      </c:tx>
    </c:title>
    <c:plotArea>
      <c:layout>
        <c:manualLayout>
          <c:layoutTarget val="inner"/>
          <c:xMode val="edge"/>
          <c:yMode val="edge"/>
          <c:x val="0.16317440743375597"/>
          <c:y val="0.12779777527809025"/>
          <c:w val="0.70222111818850208"/>
          <c:h val="0.62323459639674295"/>
        </c:manualLayout>
      </c:layout>
      <c:barChart>
        <c:barDir val="col"/>
        <c:grouping val="clustered"/>
        <c:ser>
          <c:idx val="0"/>
          <c:order val="0"/>
          <c:tx>
            <c:strRef>
              <c:f>Лист1!$B$1</c:f>
              <c:strCache>
                <c:ptCount val="1"/>
                <c:pt idx="0">
                  <c:v>Количество технологических нарушений (аварий)</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8570</c:v>
                </c:pt>
                <c:pt idx="1">
                  <c:v>7688</c:v>
                </c:pt>
                <c:pt idx="2">
                  <c:v>7357</c:v>
                </c:pt>
              </c:numCache>
            </c:numRef>
          </c:val>
        </c:ser>
        <c:axId val="152740992"/>
        <c:axId val="152742528"/>
      </c:barChart>
      <c:lineChart>
        <c:grouping val="standard"/>
        <c:ser>
          <c:idx val="1"/>
          <c:order val="1"/>
          <c:tx>
            <c:strRef>
              <c:f>Лист1!$C$1</c:f>
              <c:strCache>
                <c:ptCount val="1"/>
                <c:pt idx="0">
                  <c:v>Средняя длительность технологических нарушений</c:v>
                </c:pt>
              </c:strCache>
            </c:strRef>
          </c:tx>
          <c:marker>
            <c:symbol val="circle"/>
            <c:size val="7"/>
          </c:marker>
          <c:dLbls>
            <c:showVal val="1"/>
          </c:dLbls>
          <c:cat>
            <c:numRef>
              <c:f>Лист1!$A$2:$A$4</c:f>
              <c:numCache>
                <c:formatCode>General</c:formatCode>
                <c:ptCount val="3"/>
                <c:pt idx="0">
                  <c:v>2011</c:v>
                </c:pt>
                <c:pt idx="1">
                  <c:v>2012</c:v>
                </c:pt>
                <c:pt idx="2">
                  <c:v>2013</c:v>
                </c:pt>
              </c:numCache>
            </c:numRef>
          </c:cat>
          <c:val>
            <c:numRef>
              <c:f>Лист1!$C$2:$C$4</c:f>
              <c:numCache>
                <c:formatCode>General</c:formatCode>
                <c:ptCount val="3"/>
                <c:pt idx="0">
                  <c:v>1.06</c:v>
                </c:pt>
                <c:pt idx="1">
                  <c:v>0.78</c:v>
                </c:pt>
                <c:pt idx="2">
                  <c:v>0.28000000000000008</c:v>
                </c:pt>
              </c:numCache>
            </c:numRef>
          </c:val>
        </c:ser>
        <c:marker val="1"/>
        <c:axId val="167131776"/>
        <c:axId val="167129856"/>
      </c:lineChart>
      <c:catAx>
        <c:axId val="152740992"/>
        <c:scaling>
          <c:orientation val="minMax"/>
        </c:scaling>
        <c:axPos val="b"/>
        <c:numFmt formatCode="General" sourceLinked="1"/>
        <c:tickLblPos val="nextTo"/>
        <c:crossAx val="152742528"/>
        <c:crosses val="autoZero"/>
        <c:auto val="1"/>
        <c:lblAlgn val="ctr"/>
        <c:lblOffset val="100"/>
      </c:catAx>
      <c:valAx>
        <c:axId val="152742528"/>
        <c:scaling>
          <c:orientation val="minMax"/>
          <c:min val="0"/>
        </c:scaling>
        <c:axPos val="l"/>
        <c:majorGridlines/>
        <c:title>
          <c:tx>
            <c:rich>
              <a:bodyPr rot="-5400000" vert="horz"/>
              <a:lstStyle/>
              <a:p>
                <a:pPr>
                  <a:defRPr/>
                </a:pPr>
                <a:r>
                  <a:rPr lang="ru-RU"/>
                  <a:t>шт.</a:t>
                </a:r>
              </a:p>
            </c:rich>
          </c:tx>
        </c:title>
        <c:numFmt formatCode="#,##0" sourceLinked="1"/>
        <c:tickLblPos val="nextTo"/>
        <c:crossAx val="152740992"/>
        <c:crosses val="autoZero"/>
        <c:crossBetween val="between"/>
      </c:valAx>
      <c:valAx>
        <c:axId val="167129856"/>
        <c:scaling>
          <c:orientation val="minMax"/>
        </c:scaling>
        <c:axPos val="r"/>
        <c:title>
          <c:tx>
            <c:rich>
              <a:bodyPr rot="-5400000" vert="horz"/>
              <a:lstStyle/>
              <a:p>
                <a:pPr>
                  <a:defRPr/>
                </a:pPr>
                <a:r>
                  <a:rPr lang="ru-RU"/>
                  <a:t>часов</a:t>
                </a:r>
              </a:p>
            </c:rich>
          </c:tx>
        </c:title>
        <c:numFmt formatCode="General" sourceLinked="1"/>
        <c:tickLblPos val="nextTo"/>
        <c:crossAx val="167131776"/>
        <c:crosses val="max"/>
        <c:crossBetween val="between"/>
      </c:valAx>
      <c:catAx>
        <c:axId val="167131776"/>
        <c:scaling>
          <c:orientation val="minMax"/>
        </c:scaling>
        <c:delete val="1"/>
        <c:axPos val="b"/>
        <c:numFmt formatCode="General" sourceLinked="1"/>
        <c:tickLblPos val="none"/>
        <c:crossAx val="167129856"/>
        <c:crosses val="autoZero"/>
        <c:auto val="1"/>
        <c:lblAlgn val="ctr"/>
        <c:lblOffset val="100"/>
      </c:catAx>
    </c:plotArea>
    <c:legend>
      <c:legendPos val="b"/>
      <c:layout>
        <c:manualLayout>
          <c:xMode val="edge"/>
          <c:yMode val="edge"/>
          <c:x val="1.4480951261310824E-4"/>
          <c:y val="0.81943663292088564"/>
          <c:w val="0.98035125452672633"/>
          <c:h val="0.15675384326959141"/>
        </c:manualLayout>
      </c:layout>
    </c:legend>
    <c:plotVisOnly val="1"/>
    <c:dispBlanksAs val="gap"/>
  </c:chart>
  <c:txPr>
    <a:bodyPr/>
    <a:lstStyle/>
    <a:p>
      <a:pPr>
        <a:defRPr sz="800"/>
      </a:pPr>
      <a:endParaRPr lang="ru-RU"/>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rtl="0">
              <a:defRPr sz="1000"/>
            </a:pPr>
            <a:r>
              <a:rPr lang="ru-RU" sz="1000"/>
              <a:t>Среднее время восстановления электроснабжения</a:t>
            </a:r>
          </a:p>
        </c:rich>
      </c:tx>
    </c:title>
    <c:plotArea>
      <c:layout>
        <c:manualLayout>
          <c:layoutTarget val="inner"/>
          <c:xMode val="edge"/>
          <c:yMode val="edge"/>
          <c:x val="0.16641139820220932"/>
          <c:y val="0.13257936507936521"/>
          <c:w val="0.79046960846595959"/>
          <c:h val="0.61374296962880726"/>
        </c:manualLayout>
      </c:layout>
      <c:lineChart>
        <c:grouping val="standard"/>
        <c:ser>
          <c:idx val="0"/>
          <c:order val="0"/>
          <c:tx>
            <c:strRef>
              <c:f>Лист1!$B$1</c:f>
              <c:strCache>
                <c:ptCount val="1"/>
                <c:pt idx="0">
                  <c:v>по г. Москве</c:v>
                </c:pt>
              </c:strCache>
            </c:strRef>
          </c:tx>
          <c:marker>
            <c:symbol val="circle"/>
            <c:size val="7"/>
          </c:marker>
          <c:dLbls>
            <c:dLblPos val="t"/>
            <c:showVal val="1"/>
          </c:dLbls>
          <c:cat>
            <c:numRef>
              <c:f>Лист1!$A$2:$A$4</c:f>
              <c:numCache>
                <c:formatCode>General</c:formatCode>
                <c:ptCount val="3"/>
                <c:pt idx="0">
                  <c:v>2011</c:v>
                </c:pt>
                <c:pt idx="1">
                  <c:v>2012</c:v>
                </c:pt>
                <c:pt idx="2">
                  <c:v>2013</c:v>
                </c:pt>
              </c:numCache>
            </c:numRef>
          </c:cat>
          <c:val>
            <c:numRef>
              <c:f>Лист1!$B$2:$B$4</c:f>
              <c:numCache>
                <c:formatCode>General</c:formatCode>
                <c:ptCount val="3"/>
                <c:pt idx="0">
                  <c:v>50</c:v>
                </c:pt>
                <c:pt idx="1">
                  <c:v>48</c:v>
                </c:pt>
                <c:pt idx="2">
                  <c:v>46</c:v>
                </c:pt>
              </c:numCache>
            </c:numRef>
          </c:val>
        </c:ser>
        <c:ser>
          <c:idx val="1"/>
          <c:order val="1"/>
          <c:tx>
            <c:strRef>
              <c:f>Лист1!$C$1</c:f>
              <c:strCache>
                <c:ptCount val="1"/>
                <c:pt idx="0">
                  <c:v>по Московской области</c:v>
                </c:pt>
              </c:strCache>
            </c:strRef>
          </c:tx>
          <c:marker>
            <c:symbol val="circle"/>
            <c:size val="7"/>
          </c:marker>
          <c:dLbls>
            <c:dLblPos val="t"/>
            <c:showVal val="1"/>
          </c:dLbls>
          <c:cat>
            <c:numRef>
              <c:f>Лист1!$A$2:$A$4</c:f>
              <c:numCache>
                <c:formatCode>General</c:formatCode>
                <c:ptCount val="3"/>
                <c:pt idx="0">
                  <c:v>2011</c:v>
                </c:pt>
                <c:pt idx="1">
                  <c:v>2012</c:v>
                </c:pt>
                <c:pt idx="2">
                  <c:v>2013</c:v>
                </c:pt>
              </c:numCache>
            </c:numRef>
          </c:cat>
          <c:val>
            <c:numRef>
              <c:f>Лист1!$C$2:$C$4</c:f>
              <c:numCache>
                <c:formatCode>General</c:formatCode>
                <c:ptCount val="3"/>
                <c:pt idx="0">
                  <c:v>220</c:v>
                </c:pt>
                <c:pt idx="1">
                  <c:v>204</c:v>
                </c:pt>
                <c:pt idx="2">
                  <c:v>122</c:v>
                </c:pt>
              </c:numCache>
            </c:numRef>
          </c:val>
        </c:ser>
        <c:marker val="1"/>
        <c:axId val="167161856"/>
        <c:axId val="167163392"/>
      </c:lineChart>
      <c:catAx>
        <c:axId val="167161856"/>
        <c:scaling>
          <c:orientation val="minMax"/>
        </c:scaling>
        <c:axPos val="b"/>
        <c:numFmt formatCode="General" sourceLinked="1"/>
        <c:tickLblPos val="nextTo"/>
        <c:crossAx val="167163392"/>
        <c:crosses val="autoZero"/>
        <c:auto val="1"/>
        <c:lblAlgn val="ctr"/>
        <c:lblOffset val="100"/>
      </c:catAx>
      <c:valAx>
        <c:axId val="167163392"/>
        <c:scaling>
          <c:orientation val="minMax"/>
          <c:max val="260"/>
          <c:min val="0"/>
        </c:scaling>
        <c:axPos val="l"/>
        <c:majorGridlines/>
        <c:title>
          <c:tx>
            <c:rich>
              <a:bodyPr rot="-5400000" vert="horz"/>
              <a:lstStyle/>
              <a:p>
                <a:pPr>
                  <a:defRPr/>
                </a:pPr>
                <a:r>
                  <a:rPr lang="ru-RU"/>
                  <a:t>мин.</a:t>
                </a:r>
              </a:p>
            </c:rich>
          </c:tx>
        </c:title>
        <c:numFmt formatCode="General" sourceLinked="1"/>
        <c:tickLblPos val="nextTo"/>
        <c:txPr>
          <a:bodyPr/>
          <a:lstStyle/>
          <a:p>
            <a:pPr>
              <a:defRPr sz="900"/>
            </a:pPr>
            <a:endParaRPr lang="ru-RU"/>
          </a:p>
        </c:txPr>
        <c:crossAx val="167161856"/>
        <c:crosses val="autoZero"/>
        <c:crossBetween val="between"/>
      </c:valAx>
    </c:plotArea>
    <c:legend>
      <c:legendPos val="b"/>
      <c:layout>
        <c:manualLayout>
          <c:xMode val="edge"/>
          <c:yMode val="edge"/>
          <c:x val="2.7343779472190927E-2"/>
          <c:y val="0.85053243344581964"/>
          <c:w val="0.96926706010704256"/>
          <c:h val="8.2007249093863296E-2"/>
        </c:manualLayout>
      </c:layout>
      <c:txPr>
        <a:bodyPr/>
        <a:lstStyle/>
        <a:p>
          <a:pPr>
            <a:defRPr sz="900"/>
          </a:pPr>
          <a:endParaRPr lang="ru-RU"/>
        </a:p>
      </c:txPr>
    </c:legend>
    <c:plotVisOnly val="1"/>
    <c:dispBlanksAs val="gap"/>
  </c:chart>
  <c:txPr>
    <a:bodyPr/>
    <a:lstStyle/>
    <a:p>
      <a:pPr>
        <a:defRPr sz="1000"/>
      </a:pPr>
      <a:endParaRPr lang="ru-RU"/>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rtl="0">
              <a:defRPr sz="1000"/>
            </a:pPr>
            <a:r>
              <a:rPr lang="ru-RU" sz="1000"/>
              <a:t>Динамика показателей надежности</a:t>
            </a:r>
          </a:p>
        </c:rich>
      </c:tx>
      <c:layout>
        <c:manualLayout>
          <c:xMode val="edge"/>
          <c:yMode val="edge"/>
          <c:x val="0.10427553300809869"/>
          <c:y val="1.6516517004697129E-2"/>
        </c:manualLayout>
      </c:layout>
    </c:title>
    <c:plotArea>
      <c:layout>
        <c:manualLayout>
          <c:layoutTarget val="inner"/>
          <c:xMode val="edge"/>
          <c:yMode val="edge"/>
          <c:x val="0.15270727676188589"/>
          <c:y val="0.16151459556033956"/>
          <c:w val="0.66584255037379736"/>
          <c:h val="0.60192110040631264"/>
        </c:manualLayout>
      </c:layout>
      <c:barChart>
        <c:barDir val="col"/>
        <c:grouping val="clustered"/>
        <c:ser>
          <c:idx val="0"/>
          <c:order val="0"/>
          <c:tx>
            <c:strRef>
              <c:f>Лист1!$B$1</c:f>
              <c:strCache>
                <c:ptCount val="1"/>
                <c:pt idx="0">
                  <c:v>Общий экономический ущерб</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General</c:formatCode>
                <c:ptCount val="3"/>
                <c:pt idx="0">
                  <c:v>93.02</c:v>
                </c:pt>
                <c:pt idx="1">
                  <c:v>99.740000000000023</c:v>
                </c:pt>
                <c:pt idx="2">
                  <c:v>148.66</c:v>
                </c:pt>
              </c:numCache>
            </c:numRef>
          </c:val>
        </c:ser>
        <c:axId val="167391616"/>
        <c:axId val="167393152"/>
      </c:barChart>
      <c:lineChart>
        <c:grouping val="standard"/>
        <c:ser>
          <c:idx val="1"/>
          <c:order val="1"/>
          <c:tx>
            <c:strRef>
              <c:f>Лист1!$C$1</c:f>
              <c:strCache>
                <c:ptCount val="1"/>
                <c:pt idx="0">
                  <c:v>Объем недоотпущенной электроэнергии</c:v>
                </c:pt>
              </c:strCache>
            </c:strRef>
          </c:tx>
          <c:marker>
            <c:symbol val="circle"/>
            <c:size val="7"/>
          </c:marker>
          <c:dLbls>
            <c:showVal val="1"/>
          </c:dLbls>
          <c:cat>
            <c:numRef>
              <c:f>Лист1!$A$2:$A$4</c:f>
              <c:numCache>
                <c:formatCode>General</c:formatCode>
                <c:ptCount val="3"/>
                <c:pt idx="0">
                  <c:v>2011</c:v>
                </c:pt>
                <c:pt idx="1">
                  <c:v>2012</c:v>
                </c:pt>
                <c:pt idx="2">
                  <c:v>2013</c:v>
                </c:pt>
              </c:numCache>
            </c:numRef>
          </c:cat>
          <c:val>
            <c:numRef>
              <c:f>Лист1!$C$2:$C$4</c:f>
              <c:numCache>
                <c:formatCode>General</c:formatCode>
                <c:ptCount val="3"/>
                <c:pt idx="0" formatCode="0.00">
                  <c:v>2.9</c:v>
                </c:pt>
                <c:pt idx="1">
                  <c:v>2.0099999999999998</c:v>
                </c:pt>
                <c:pt idx="2">
                  <c:v>1.34</c:v>
                </c:pt>
              </c:numCache>
            </c:numRef>
          </c:val>
        </c:ser>
        <c:marker val="1"/>
        <c:axId val="167397248"/>
        <c:axId val="167395328"/>
      </c:lineChart>
      <c:catAx>
        <c:axId val="167391616"/>
        <c:scaling>
          <c:orientation val="minMax"/>
        </c:scaling>
        <c:axPos val="b"/>
        <c:numFmt formatCode="General" sourceLinked="1"/>
        <c:tickLblPos val="nextTo"/>
        <c:crossAx val="167393152"/>
        <c:crosses val="autoZero"/>
        <c:auto val="1"/>
        <c:lblAlgn val="ctr"/>
        <c:lblOffset val="100"/>
      </c:catAx>
      <c:valAx>
        <c:axId val="167393152"/>
        <c:scaling>
          <c:orientation val="minMax"/>
        </c:scaling>
        <c:axPos val="l"/>
        <c:majorGridlines/>
        <c:title>
          <c:tx>
            <c:rich>
              <a:bodyPr rot="-5400000" vert="horz"/>
              <a:lstStyle/>
              <a:p>
                <a:pPr>
                  <a:defRPr/>
                </a:pPr>
                <a:r>
                  <a:rPr lang="ru-RU"/>
                  <a:t>млн руб.</a:t>
                </a:r>
              </a:p>
            </c:rich>
          </c:tx>
        </c:title>
        <c:numFmt formatCode="General" sourceLinked="1"/>
        <c:tickLblPos val="nextTo"/>
        <c:crossAx val="167391616"/>
        <c:crosses val="autoZero"/>
        <c:crossBetween val="between"/>
      </c:valAx>
      <c:valAx>
        <c:axId val="167395328"/>
        <c:scaling>
          <c:orientation val="minMax"/>
        </c:scaling>
        <c:axPos val="r"/>
        <c:title>
          <c:tx>
            <c:rich>
              <a:bodyPr rot="-5400000" vert="horz"/>
              <a:lstStyle/>
              <a:p>
                <a:pPr>
                  <a:defRPr/>
                </a:pPr>
                <a:r>
                  <a:rPr lang="ru-RU"/>
                  <a:t>млн кВтч</a:t>
                </a:r>
              </a:p>
            </c:rich>
          </c:tx>
        </c:title>
        <c:numFmt formatCode="0.00" sourceLinked="1"/>
        <c:tickLblPos val="nextTo"/>
        <c:crossAx val="167397248"/>
        <c:crosses val="max"/>
        <c:crossBetween val="between"/>
      </c:valAx>
      <c:catAx>
        <c:axId val="167397248"/>
        <c:scaling>
          <c:orientation val="minMax"/>
        </c:scaling>
        <c:delete val="1"/>
        <c:axPos val="b"/>
        <c:numFmt formatCode="General" sourceLinked="1"/>
        <c:tickLblPos val="none"/>
        <c:crossAx val="167395328"/>
        <c:crosses val="autoZero"/>
        <c:auto val="1"/>
        <c:lblAlgn val="ctr"/>
        <c:lblOffset val="100"/>
      </c:catAx>
    </c:plotArea>
    <c:legend>
      <c:legendPos val="b"/>
    </c:legend>
    <c:plotVisOnly val="1"/>
    <c:dispBlanksAs val="gap"/>
  </c:chart>
  <c:txPr>
    <a:bodyPr/>
    <a:lstStyle/>
    <a:p>
      <a:pPr>
        <a:defRPr sz="800"/>
      </a:pPr>
      <a:endParaRPr lang="ru-RU"/>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Количество технологических нарушений (аварий) </a:t>
            </a:r>
          </a:p>
        </c:rich>
      </c:tx>
    </c:title>
    <c:plotArea>
      <c:layout>
        <c:manualLayout>
          <c:layoutTarget val="inner"/>
          <c:xMode val="edge"/>
          <c:yMode val="edge"/>
          <c:x val="4.5267489711934172E-2"/>
          <c:y val="0.1840079365079412"/>
          <c:w val="0.93415637860082301"/>
          <c:h val="0.56123703287089943"/>
        </c:manualLayout>
      </c:layout>
      <c:barChart>
        <c:barDir val="col"/>
        <c:grouping val="clustered"/>
        <c:ser>
          <c:idx val="0"/>
          <c:order val="0"/>
          <c:tx>
            <c:strRef>
              <c:f>Лист1!$B$1</c:f>
              <c:strCache>
                <c:ptCount val="1"/>
                <c:pt idx="0">
                  <c:v>Количество технологических нарушений (аварий), </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8570</c:v>
                </c:pt>
                <c:pt idx="1">
                  <c:v>7688</c:v>
                </c:pt>
                <c:pt idx="2">
                  <c:v>7357</c:v>
                </c:pt>
              </c:numCache>
            </c:numRef>
          </c:val>
        </c:ser>
        <c:axId val="167405440"/>
        <c:axId val="167406976"/>
      </c:barChart>
      <c:catAx>
        <c:axId val="167405440"/>
        <c:scaling>
          <c:orientation val="minMax"/>
        </c:scaling>
        <c:axPos val="b"/>
        <c:numFmt formatCode="General" sourceLinked="1"/>
        <c:tickLblPos val="nextTo"/>
        <c:crossAx val="167406976"/>
        <c:crosses val="autoZero"/>
        <c:auto val="1"/>
        <c:lblAlgn val="ctr"/>
        <c:lblOffset val="100"/>
      </c:catAx>
      <c:valAx>
        <c:axId val="167406976"/>
        <c:scaling>
          <c:orientation val="minMax"/>
          <c:min val="0"/>
        </c:scaling>
        <c:delete val="1"/>
        <c:axPos val="l"/>
        <c:majorGridlines/>
        <c:title>
          <c:tx>
            <c:rich>
              <a:bodyPr rot="-5400000" vert="horz"/>
              <a:lstStyle/>
              <a:p>
                <a:pPr>
                  <a:defRPr/>
                </a:pPr>
                <a:r>
                  <a:rPr lang="ru-RU"/>
                  <a:t>шт.</a:t>
                </a:r>
              </a:p>
            </c:rich>
          </c:tx>
        </c:title>
        <c:numFmt formatCode="#,##0" sourceLinked="1"/>
        <c:tickLblPos val="none"/>
        <c:crossAx val="167405440"/>
        <c:crosses val="autoZero"/>
        <c:crossBetween val="between"/>
      </c:valAx>
    </c:plotArea>
    <c:plotVisOnly val="1"/>
    <c:dispBlanksAs val="gap"/>
  </c:chart>
  <c:txPr>
    <a:bodyPr/>
    <a:lstStyle/>
    <a:p>
      <a:pPr>
        <a:defRPr sz="900"/>
      </a:pPr>
      <a:endParaRPr lang="ru-RU"/>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Соновные причины технологических нарушений (аварий)</a:t>
            </a:r>
          </a:p>
        </c:rich>
      </c:tx>
    </c:title>
    <c:plotArea>
      <c:layout>
        <c:manualLayout>
          <c:layoutTarget val="inner"/>
          <c:xMode val="edge"/>
          <c:yMode val="edge"/>
          <c:x val="5.4263565891472874E-2"/>
          <c:y val="0.1840079365079412"/>
          <c:w val="0.90310077519379861"/>
          <c:h val="0.55280308711411064"/>
        </c:manualLayout>
      </c:layout>
      <c:barChart>
        <c:barDir val="col"/>
        <c:grouping val="stacked"/>
        <c:ser>
          <c:idx val="0"/>
          <c:order val="0"/>
          <c:tx>
            <c:strRef>
              <c:f>Лист1!$B$1</c:f>
              <c:strCache>
                <c:ptCount val="1"/>
                <c:pt idx="0">
                  <c:v>Естественный износ</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2159</c:v>
                </c:pt>
                <c:pt idx="1">
                  <c:v>2999</c:v>
                </c:pt>
                <c:pt idx="2">
                  <c:v>2339</c:v>
                </c:pt>
              </c:numCache>
            </c:numRef>
          </c:val>
        </c:ser>
        <c:ser>
          <c:idx val="1"/>
          <c:order val="1"/>
          <c:tx>
            <c:strRef>
              <c:f>Лист1!$C$1</c:f>
              <c:strCache>
                <c:ptCount val="1"/>
                <c:pt idx="0">
                  <c:v>Пробои изоляции</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763</c:v>
                </c:pt>
                <c:pt idx="1">
                  <c:v>539</c:v>
                </c:pt>
                <c:pt idx="2">
                  <c:v>1150</c:v>
                </c:pt>
              </c:numCache>
            </c:numRef>
          </c:val>
        </c:ser>
        <c:ser>
          <c:idx val="2"/>
          <c:order val="2"/>
          <c:tx>
            <c:strRef>
              <c:f>Лист1!$D$1</c:f>
              <c:strCache>
                <c:ptCount val="1"/>
                <c:pt idx="0">
                  <c:v>Посторонние воздействия</c:v>
                </c:pt>
              </c:strCache>
            </c:strRef>
          </c:tx>
          <c:dLbls>
            <c:showVal val="1"/>
          </c:dLbls>
          <c:cat>
            <c:numRef>
              <c:f>Лист1!$A$2:$A$4</c:f>
              <c:numCache>
                <c:formatCode>General</c:formatCode>
                <c:ptCount val="3"/>
                <c:pt idx="0">
                  <c:v>2011</c:v>
                </c:pt>
                <c:pt idx="1">
                  <c:v>2012</c:v>
                </c:pt>
                <c:pt idx="2">
                  <c:v>2013</c:v>
                </c:pt>
              </c:numCache>
            </c:numRef>
          </c:cat>
          <c:val>
            <c:numRef>
              <c:f>Лист1!$D$2:$D$4</c:f>
              <c:numCache>
                <c:formatCode>#,##0</c:formatCode>
                <c:ptCount val="3"/>
                <c:pt idx="0">
                  <c:v>1430</c:v>
                </c:pt>
                <c:pt idx="1">
                  <c:v>1160</c:v>
                </c:pt>
                <c:pt idx="2">
                  <c:v>791</c:v>
                </c:pt>
              </c:numCache>
            </c:numRef>
          </c:val>
        </c:ser>
        <c:ser>
          <c:idx val="3"/>
          <c:order val="3"/>
          <c:tx>
            <c:strRef>
              <c:f>Лист1!$E$1</c:f>
              <c:strCache>
                <c:ptCount val="1"/>
                <c:pt idx="0">
                  <c:v>Падение деревьев </c:v>
                </c:pt>
              </c:strCache>
            </c:strRef>
          </c:tx>
          <c:dLbls>
            <c:showVal val="1"/>
          </c:dLbls>
          <c:cat>
            <c:numRef>
              <c:f>Лист1!$A$2:$A$4</c:f>
              <c:numCache>
                <c:formatCode>General</c:formatCode>
                <c:ptCount val="3"/>
                <c:pt idx="0">
                  <c:v>2011</c:v>
                </c:pt>
                <c:pt idx="1">
                  <c:v>2012</c:v>
                </c:pt>
                <c:pt idx="2">
                  <c:v>2013</c:v>
                </c:pt>
              </c:numCache>
            </c:numRef>
          </c:cat>
          <c:val>
            <c:numRef>
              <c:f>Лист1!$E$2:$E$4</c:f>
              <c:numCache>
                <c:formatCode>#,##0</c:formatCode>
                <c:ptCount val="3"/>
                <c:pt idx="0">
                  <c:v>1760</c:v>
                </c:pt>
                <c:pt idx="1">
                  <c:v>768</c:v>
                </c:pt>
                <c:pt idx="2">
                  <c:v>281</c:v>
                </c:pt>
              </c:numCache>
            </c:numRef>
          </c:val>
        </c:ser>
        <c:ser>
          <c:idx val="4"/>
          <c:order val="4"/>
          <c:tx>
            <c:strRef>
              <c:f>Лист1!$F$1</c:f>
              <c:strCache>
                <c:ptCount val="1"/>
                <c:pt idx="0">
                  <c:v>Прочие</c:v>
                </c:pt>
              </c:strCache>
            </c:strRef>
          </c:tx>
          <c:dLbls>
            <c:showVal val="1"/>
          </c:dLbls>
          <c:cat>
            <c:numRef>
              <c:f>Лист1!$A$2:$A$4</c:f>
              <c:numCache>
                <c:formatCode>General</c:formatCode>
                <c:ptCount val="3"/>
                <c:pt idx="0">
                  <c:v>2011</c:v>
                </c:pt>
                <c:pt idx="1">
                  <c:v>2012</c:v>
                </c:pt>
                <c:pt idx="2">
                  <c:v>2013</c:v>
                </c:pt>
              </c:numCache>
            </c:numRef>
          </c:cat>
          <c:val>
            <c:numRef>
              <c:f>Лист1!$F$2:$F$4</c:f>
              <c:numCache>
                <c:formatCode>#,##0</c:formatCode>
                <c:ptCount val="3"/>
                <c:pt idx="0">
                  <c:v>2458</c:v>
                </c:pt>
                <c:pt idx="1">
                  <c:v>2222</c:v>
                </c:pt>
                <c:pt idx="2">
                  <c:v>2796</c:v>
                </c:pt>
              </c:numCache>
            </c:numRef>
          </c:val>
        </c:ser>
        <c:overlap val="100"/>
        <c:axId val="167440768"/>
        <c:axId val="167442304"/>
      </c:barChart>
      <c:catAx>
        <c:axId val="167440768"/>
        <c:scaling>
          <c:orientation val="minMax"/>
        </c:scaling>
        <c:axPos val="b"/>
        <c:numFmt formatCode="General" sourceLinked="1"/>
        <c:tickLblPos val="nextTo"/>
        <c:crossAx val="167442304"/>
        <c:crosses val="autoZero"/>
        <c:auto val="1"/>
        <c:lblAlgn val="ctr"/>
        <c:lblOffset val="100"/>
      </c:catAx>
      <c:valAx>
        <c:axId val="167442304"/>
        <c:scaling>
          <c:orientation val="minMax"/>
          <c:max val="9000"/>
          <c:min val="0"/>
        </c:scaling>
        <c:axPos val="l"/>
        <c:majorGridlines/>
        <c:numFmt formatCode="#,##0" sourceLinked="1"/>
        <c:tickLblPos val="nextTo"/>
        <c:crossAx val="167440768"/>
        <c:crosses val="autoZero"/>
        <c:crossBetween val="between"/>
      </c:valAx>
    </c:plotArea>
    <c:legend>
      <c:legendPos val="b"/>
      <c:layout>
        <c:manualLayout>
          <c:xMode val="edge"/>
          <c:yMode val="edge"/>
          <c:x val="0"/>
          <c:y val="0.847538401962044"/>
          <c:w val="1"/>
          <c:h val="0.15246159803795195"/>
        </c:manualLayout>
      </c:layout>
    </c:legend>
    <c:plotVisOnly val="1"/>
    <c:dispBlanksAs val="gap"/>
  </c:chart>
  <c:txPr>
    <a:bodyPr/>
    <a:lstStyle/>
    <a:p>
      <a:pPr>
        <a:defRPr sz="900"/>
      </a:pPr>
      <a:endParaRPr lang="ru-RU"/>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2559978182123327"/>
          <c:y val="0"/>
        </c:manualLayout>
      </c:layout>
    </c:title>
    <c:plotArea>
      <c:layout/>
      <c:barChart>
        <c:barDir val="col"/>
        <c:grouping val="clustered"/>
        <c:ser>
          <c:idx val="0"/>
          <c:order val="0"/>
          <c:tx>
            <c:strRef>
              <c:f>Лист1!$B$1</c:f>
              <c:strCache>
                <c:ptCount val="1"/>
                <c:pt idx="0">
                  <c:v>Динамика показателей бухгалтерского баланса</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265575</c:v>
                </c:pt>
                <c:pt idx="1">
                  <c:v>286747</c:v>
                </c:pt>
                <c:pt idx="2">
                  <c:v>299675</c:v>
                </c:pt>
              </c:numCache>
            </c:numRef>
          </c:val>
        </c:ser>
        <c:axId val="167679872"/>
        <c:axId val="167681408"/>
      </c:barChart>
      <c:catAx>
        <c:axId val="167679872"/>
        <c:scaling>
          <c:orientation val="minMax"/>
        </c:scaling>
        <c:axPos val="b"/>
        <c:numFmt formatCode="General" sourceLinked="1"/>
        <c:tickLblPos val="nextTo"/>
        <c:crossAx val="167681408"/>
        <c:crosses val="autoZero"/>
        <c:auto val="1"/>
        <c:lblAlgn val="ctr"/>
        <c:lblOffset val="100"/>
      </c:catAx>
      <c:valAx>
        <c:axId val="167681408"/>
        <c:scaling>
          <c:orientation val="minMax"/>
          <c:max val="300000"/>
          <c:min val="240000"/>
        </c:scaling>
        <c:delete val="1"/>
        <c:axPos val="l"/>
        <c:majorGridlines/>
        <c:title>
          <c:tx>
            <c:rich>
              <a:bodyPr rot="-5400000" vert="horz"/>
              <a:lstStyle/>
              <a:p>
                <a:pPr>
                  <a:defRPr/>
                </a:pPr>
                <a:r>
                  <a:rPr lang="ru-RU"/>
                  <a:t>млн руб. </a:t>
                </a:r>
              </a:p>
            </c:rich>
          </c:tx>
        </c:title>
        <c:numFmt formatCode="#,##0" sourceLinked="1"/>
        <c:tickLblPos val="none"/>
        <c:crossAx val="167679872"/>
        <c:crosses val="autoZero"/>
        <c:crossBetween val="between"/>
      </c:valAx>
    </c:plotArea>
    <c:plotVisOnly val="1"/>
    <c:dispBlanksAs val="gap"/>
  </c:chart>
  <c:txPr>
    <a:bodyPr/>
    <a:lstStyle/>
    <a:p>
      <a:pPr>
        <a:defRPr sz="900"/>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4732139339857964"/>
          <c:y val="5.7668222373949383E-2"/>
          <c:w val="0.71036019923701799"/>
          <c:h val="0.59539777038222175"/>
        </c:manualLayout>
      </c:layout>
      <c:barChart>
        <c:barDir val="col"/>
        <c:grouping val="clustered"/>
        <c:ser>
          <c:idx val="1"/>
          <c:order val="1"/>
          <c:tx>
            <c:strRef>
              <c:f>Лист1!$C$1</c:f>
              <c:strCache>
                <c:ptCount val="1"/>
                <c:pt idx="0">
                  <c:v>Выручка от услуг по передаче э/э</c:v>
                </c:pt>
              </c:strCache>
            </c:strRef>
          </c:tx>
          <c:spPr>
            <a:solidFill>
              <a:schemeClr val="accent1"/>
            </a:solidFill>
          </c:spPr>
          <c:dLbls>
            <c:dLblPos val="inBase"/>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106994</c:v>
                </c:pt>
                <c:pt idx="1">
                  <c:v>100280</c:v>
                </c:pt>
                <c:pt idx="2">
                  <c:v>110980</c:v>
                </c:pt>
              </c:numCache>
            </c:numRef>
          </c:val>
        </c:ser>
        <c:axId val="24078976"/>
        <c:axId val="24084864"/>
      </c:barChart>
      <c:lineChart>
        <c:grouping val="standard"/>
        <c:ser>
          <c:idx val="0"/>
          <c:order val="0"/>
          <c:tx>
            <c:strRef>
              <c:f>Лист1!$B$1</c:f>
              <c:strCache>
                <c:ptCount val="1"/>
                <c:pt idx="0">
                  <c:v>Полезный отпуск "котловой"</c:v>
                </c:pt>
              </c:strCache>
            </c:strRef>
          </c:tx>
          <c:spPr>
            <a:ln>
              <a:solidFill>
                <a:schemeClr val="accent2"/>
              </a:solidFill>
            </a:ln>
          </c:spPr>
          <c:marker>
            <c:symbol val="circle"/>
            <c:size val="7"/>
            <c:spPr>
              <a:solidFill>
                <a:schemeClr val="accent2"/>
              </a:solidFill>
              <a:ln>
                <a:solidFill>
                  <a:schemeClr val="accent2"/>
                </a:solidFill>
              </a:ln>
            </c:spPr>
          </c:marker>
          <c:dLbls>
            <c:dLblPos val="b"/>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73540</c:v>
                </c:pt>
                <c:pt idx="1">
                  <c:v>69362</c:v>
                </c:pt>
                <c:pt idx="2">
                  <c:v>71412</c:v>
                </c:pt>
              </c:numCache>
            </c:numRef>
          </c:val>
        </c:ser>
        <c:marker val="1"/>
        <c:axId val="24109440"/>
        <c:axId val="24086784"/>
      </c:lineChart>
      <c:catAx>
        <c:axId val="24078976"/>
        <c:scaling>
          <c:orientation val="minMax"/>
        </c:scaling>
        <c:axPos val="b"/>
        <c:numFmt formatCode="General" sourceLinked="1"/>
        <c:tickLblPos val="nextTo"/>
        <c:crossAx val="24084864"/>
        <c:crosses val="autoZero"/>
        <c:auto val="1"/>
        <c:lblAlgn val="ctr"/>
        <c:lblOffset val="100"/>
      </c:catAx>
      <c:valAx>
        <c:axId val="24084864"/>
        <c:scaling>
          <c:orientation val="minMax"/>
          <c:max val="120000"/>
          <c:min val="0"/>
        </c:scaling>
        <c:axPos val="l"/>
        <c:majorGridlines/>
        <c:title>
          <c:tx>
            <c:rich>
              <a:bodyPr rot="-5400000" vert="horz"/>
              <a:lstStyle/>
              <a:p>
                <a:pPr>
                  <a:defRPr/>
                </a:pPr>
                <a:r>
                  <a:rPr lang="ru-RU"/>
                  <a:t>млн руб.</a:t>
                </a:r>
              </a:p>
            </c:rich>
          </c:tx>
        </c:title>
        <c:numFmt formatCode="#,##0" sourceLinked="1"/>
        <c:tickLblPos val="nextTo"/>
        <c:txPr>
          <a:bodyPr/>
          <a:lstStyle/>
          <a:p>
            <a:pPr>
              <a:defRPr sz="100"/>
            </a:pPr>
            <a:endParaRPr lang="ru-RU"/>
          </a:p>
        </c:txPr>
        <c:crossAx val="24078976"/>
        <c:crosses val="autoZero"/>
        <c:crossBetween val="between"/>
      </c:valAx>
      <c:valAx>
        <c:axId val="24086784"/>
        <c:scaling>
          <c:orientation val="minMax"/>
          <c:min val="0"/>
        </c:scaling>
        <c:axPos val="r"/>
        <c:title>
          <c:tx>
            <c:rich>
              <a:bodyPr rot="-5400000" vert="horz"/>
              <a:lstStyle/>
              <a:p>
                <a:pPr>
                  <a:defRPr/>
                </a:pPr>
                <a:r>
                  <a:rPr lang="ru-RU"/>
                  <a:t>млн кВтч</a:t>
                </a:r>
              </a:p>
            </c:rich>
          </c:tx>
        </c:title>
        <c:numFmt formatCode="#,##0" sourceLinked="1"/>
        <c:tickLblPos val="nextTo"/>
        <c:txPr>
          <a:bodyPr/>
          <a:lstStyle/>
          <a:p>
            <a:pPr>
              <a:defRPr sz="100">
                <a:solidFill>
                  <a:schemeClr val="bg1"/>
                </a:solidFill>
              </a:defRPr>
            </a:pPr>
            <a:endParaRPr lang="ru-RU"/>
          </a:p>
        </c:txPr>
        <c:crossAx val="24109440"/>
        <c:crosses val="max"/>
        <c:crossBetween val="between"/>
      </c:valAx>
      <c:catAx>
        <c:axId val="24109440"/>
        <c:scaling>
          <c:orientation val="minMax"/>
        </c:scaling>
        <c:delete val="1"/>
        <c:axPos val="b"/>
        <c:numFmt formatCode="General" sourceLinked="1"/>
        <c:tickLblPos val="none"/>
        <c:crossAx val="24086784"/>
        <c:crosses val="autoZero"/>
        <c:auto val="1"/>
        <c:lblAlgn val="ctr"/>
        <c:lblOffset val="100"/>
      </c:catAx>
    </c:plotArea>
    <c:legend>
      <c:legendPos val="b"/>
    </c:legend>
    <c:plotVisOnly val="1"/>
    <c:dispBlanksAs val="gap"/>
  </c:chart>
  <c:txPr>
    <a:bodyPr/>
    <a:lstStyle/>
    <a:p>
      <a:pPr>
        <a:defRPr sz="900"/>
      </a:pPr>
      <a:endParaRPr lang="ru-RU"/>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активов</a:t>
            </a:r>
          </a:p>
        </c:rich>
      </c:tx>
    </c:title>
    <c:plotArea>
      <c:layout>
        <c:manualLayout>
          <c:layoutTarget val="inner"/>
          <c:xMode val="edge"/>
          <c:yMode val="edge"/>
          <c:x val="0.27658262235862963"/>
          <c:y val="0.13998006578291641"/>
          <c:w val="0.6878701662292217"/>
          <c:h val="0.60650453503438662"/>
        </c:manualLayout>
      </c:layout>
      <c:barChart>
        <c:barDir val="col"/>
        <c:grouping val="percentStacked"/>
        <c:ser>
          <c:idx val="0"/>
          <c:order val="0"/>
          <c:tx>
            <c:strRef>
              <c:f>Лист1!$B$1</c:f>
              <c:strCache>
                <c:ptCount val="1"/>
                <c:pt idx="0">
                  <c:v>Внеоборотные активы</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0.00%</c:formatCode>
                <c:ptCount val="3"/>
                <c:pt idx="0">
                  <c:v>0.7663484891273652</c:v>
                </c:pt>
                <c:pt idx="1">
                  <c:v>0.78357227800116458</c:v>
                </c:pt>
                <c:pt idx="2">
                  <c:v>0.86812046383582264</c:v>
                </c:pt>
              </c:numCache>
            </c:numRef>
          </c:val>
        </c:ser>
        <c:ser>
          <c:idx val="1"/>
          <c:order val="1"/>
          <c:tx>
            <c:strRef>
              <c:f>Лист1!$C$1</c:f>
              <c:strCache>
                <c:ptCount val="1"/>
                <c:pt idx="0">
                  <c:v>Оборотные активы</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0.23365151087263486</c:v>
                </c:pt>
                <c:pt idx="1">
                  <c:v>0.2164277219988352</c:v>
                </c:pt>
                <c:pt idx="2">
                  <c:v>0.13187953616417786</c:v>
                </c:pt>
              </c:numCache>
            </c:numRef>
          </c:val>
        </c:ser>
        <c:overlap val="100"/>
        <c:axId val="168002304"/>
        <c:axId val="168003840"/>
      </c:barChart>
      <c:catAx>
        <c:axId val="168002304"/>
        <c:scaling>
          <c:orientation val="minMax"/>
        </c:scaling>
        <c:axPos val="b"/>
        <c:numFmt formatCode="General" sourceLinked="1"/>
        <c:tickLblPos val="nextTo"/>
        <c:crossAx val="168003840"/>
        <c:crosses val="autoZero"/>
        <c:auto val="1"/>
        <c:lblAlgn val="ctr"/>
        <c:lblOffset val="100"/>
      </c:catAx>
      <c:valAx>
        <c:axId val="168003840"/>
        <c:scaling>
          <c:orientation val="minMax"/>
        </c:scaling>
        <c:axPos val="l"/>
        <c:majorGridlines/>
        <c:title>
          <c:tx>
            <c:rich>
              <a:bodyPr rot="-5400000" vert="horz"/>
              <a:lstStyle/>
              <a:p>
                <a:pPr>
                  <a:defRPr/>
                </a:pPr>
                <a:r>
                  <a:rPr lang="ru-RU"/>
                  <a:t>млн руб.</a:t>
                </a:r>
              </a:p>
            </c:rich>
          </c:tx>
        </c:title>
        <c:numFmt formatCode="0%" sourceLinked="1"/>
        <c:tickLblPos val="nextTo"/>
        <c:crossAx val="168002304"/>
        <c:crosses val="autoZero"/>
        <c:crossBetween val="between"/>
      </c:valAx>
    </c:plotArea>
    <c:legend>
      <c:legendPos val="b"/>
    </c:legend>
    <c:plotVisOnly val="1"/>
    <c:dispBlanksAs val="gap"/>
  </c:chart>
  <c:txPr>
    <a:bodyPr/>
    <a:lstStyle/>
    <a:p>
      <a:pPr>
        <a:defRPr sz="900"/>
      </a:pPr>
      <a:endParaRPr lang="ru-RU"/>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пассивов</a:t>
            </a:r>
          </a:p>
        </c:rich>
      </c:tx>
    </c:title>
    <c:plotArea>
      <c:layout>
        <c:manualLayout>
          <c:layoutTarget val="inner"/>
          <c:xMode val="edge"/>
          <c:yMode val="edge"/>
          <c:x val="0.22773088363954505"/>
          <c:y val="0.13576065650021596"/>
          <c:w val="0.73808439953318372"/>
          <c:h val="0.61880461144890453"/>
        </c:manualLayout>
      </c:layout>
      <c:barChart>
        <c:barDir val="col"/>
        <c:grouping val="percentStacked"/>
        <c:ser>
          <c:idx val="0"/>
          <c:order val="0"/>
          <c:tx>
            <c:strRef>
              <c:f>Лист1!$B$1</c:f>
              <c:strCache>
                <c:ptCount val="1"/>
                <c:pt idx="0">
                  <c:v>Капитал и резервы</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0.00%</c:formatCode>
                <c:ptCount val="3"/>
                <c:pt idx="0">
                  <c:v>0.584309517085569</c:v>
                </c:pt>
                <c:pt idx="1">
                  <c:v>0.59684669761149178</c:v>
                </c:pt>
                <c:pt idx="2">
                  <c:v>0.59560857595728656</c:v>
                </c:pt>
              </c:numCache>
            </c:numRef>
          </c:val>
        </c:ser>
        <c:ser>
          <c:idx val="1"/>
          <c:order val="1"/>
          <c:tx>
            <c:strRef>
              <c:f>Лист1!$C$1</c:f>
              <c:strCache>
                <c:ptCount val="1"/>
                <c:pt idx="0">
                  <c:v>Долгосрочные обязательства</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0.19489786312717691</c:v>
                </c:pt>
                <c:pt idx="1">
                  <c:v>0.19314936163238094</c:v>
                </c:pt>
                <c:pt idx="2">
                  <c:v>0.210377909401852</c:v>
                </c:pt>
              </c:numCache>
            </c:numRef>
          </c:val>
        </c:ser>
        <c:ser>
          <c:idx val="2"/>
          <c:order val="2"/>
          <c:tx>
            <c:strRef>
              <c:f>Лист1!$D$1</c:f>
              <c:strCache>
                <c:ptCount val="1"/>
                <c:pt idx="0">
                  <c:v>Краткосрочные обязательства</c:v>
                </c:pt>
              </c:strCache>
            </c:strRef>
          </c:tx>
          <c:dLbls>
            <c:showVal val="1"/>
          </c:dLbls>
          <c:cat>
            <c:numRef>
              <c:f>Лист1!$A$2:$A$4</c:f>
              <c:numCache>
                <c:formatCode>General</c:formatCode>
                <c:ptCount val="3"/>
                <c:pt idx="0">
                  <c:v>2011</c:v>
                </c:pt>
                <c:pt idx="1">
                  <c:v>2012</c:v>
                </c:pt>
                <c:pt idx="2">
                  <c:v>2013</c:v>
                </c:pt>
              </c:numCache>
            </c:numRef>
          </c:cat>
          <c:val>
            <c:numRef>
              <c:f>Лист1!$D$2:$D$4</c:f>
              <c:numCache>
                <c:formatCode>0.00%</c:formatCode>
                <c:ptCount val="3"/>
                <c:pt idx="0">
                  <c:v>0.22079261978725406</c:v>
                </c:pt>
                <c:pt idx="1">
                  <c:v>0.21000394075613948</c:v>
                </c:pt>
                <c:pt idx="2">
                  <c:v>0.19401351464086095</c:v>
                </c:pt>
              </c:numCache>
            </c:numRef>
          </c:val>
        </c:ser>
        <c:overlap val="100"/>
        <c:axId val="169845888"/>
        <c:axId val="169847424"/>
      </c:barChart>
      <c:catAx>
        <c:axId val="169845888"/>
        <c:scaling>
          <c:orientation val="minMax"/>
        </c:scaling>
        <c:axPos val="b"/>
        <c:numFmt formatCode="General" sourceLinked="1"/>
        <c:tickLblPos val="nextTo"/>
        <c:crossAx val="169847424"/>
        <c:crosses val="autoZero"/>
        <c:auto val="1"/>
        <c:lblAlgn val="ctr"/>
        <c:lblOffset val="100"/>
      </c:catAx>
      <c:valAx>
        <c:axId val="169847424"/>
        <c:scaling>
          <c:orientation val="minMax"/>
        </c:scaling>
        <c:axPos val="l"/>
        <c:majorGridlines/>
        <c:title>
          <c:tx>
            <c:rich>
              <a:bodyPr rot="-5400000" vert="horz"/>
              <a:lstStyle/>
              <a:p>
                <a:pPr>
                  <a:defRPr/>
                </a:pPr>
                <a:r>
                  <a:rPr lang="ru-RU"/>
                  <a:t>млн руб.</a:t>
                </a:r>
              </a:p>
            </c:rich>
          </c:tx>
        </c:title>
        <c:numFmt formatCode="0%" sourceLinked="1"/>
        <c:tickLblPos val="nextTo"/>
        <c:crossAx val="169845888"/>
        <c:crosses val="autoZero"/>
        <c:crossBetween val="between"/>
      </c:valAx>
    </c:plotArea>
    <c:legend>
      <c:legendPos val="b"/>
      <c:layout>
        <c:manualLayout>
          <c:xMode val="edge"/>
          <c:yMode val="edge"/>
          <c:x val="3.4540399516390395E-2"/>
          <c:y val="0.8306262666533939"/>
          <c:w val="0.90871728065372614"/>
          <c:h val="0.16936378494749732"/>
        </c:manualLayout>
      </c:layout>
    </c:legend>
    <c:plotVisOnly val="1"/>
    <c:dispBlanksAs val="gap"/>
  </c:chart>
  <c:txPr>
    <a:bodyPr/>
    <a:lstStyle/>
    <a:p>
      <a:pPr>
        <a:defRPr sz="900"/>
      </a:pPr>
      <a:endParaRPr lang="ru-RU"/>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активов</a:t>
            </a:r>
          </a:p>
        </c:rich>
      </c:tx>
    </c:title>
    <c:plotArea>
      <c:layout>
        <c:manualLayout>
          <c:layoutTarget val="inner"/>
          <c:xMode val="edge"/>
          <c:yMode val="edge"/>
          <c:x val="0.27658262235862963"/>
          <c:y val="0.13998006578291641"/>
          <c:w val="0.6878701662292217"/>
          <c:h val="0.60650453503438662"/>
        </c:manualLayout>
      </c:layout>
      <c:barChart>
        <c:barDir val="col"/>
        <c:grouping val="stacked"/>
        <c:ser>
          <c:idx val="0"/>
          <c:order val="0"/>
          <c:tx>
            <c:strRef>
              <c:f>Лист1!$B$1</c:f>
              <c:strCache>
                <c:ptCount val="1"/>
                <c:pt idx="0">
                  <c:v>Внеоборотные активы</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203523</c:v>
                </c:pt>
                <c:pt idx="1">
                  <c:v>224687</c:v>
                </c:pt>
                <c:pt idx="2">
                  <c:v>260154</c:v>
                </c:pt>
              </c:numCache>
            </c:numRef>
          </c:val>
        </c:ser>
        <c:ser>
          <c:idx val="1"/>
          <c:order val="1"/>
          <c:tx>
            <c:strRef>
              <c:f>Лист1!$C$1</c:f>
              <c:strCache>
                <c:ptCount val="1"/>
                <c:pt idx="0">
                  <c:v>Оборотные активы</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62052</c:v>
                </c:pt>
                <c:pt idx="1">
                  <c:v>62060</c:v>
                </c:pt>
                <c:pt idx="2">
                  <c:v>39521</c:v>
                </c:pt>
              </c:numCache>
            </c:numRef>
          </c:val>
        </c:ser>
        <c:overlap val="100"/>
        <c:axId val="171528576"/>
        <c:axId val="171530112"/>
      </c:barChart>
      <c:catAx>
        <c:axId val="171528576"/>
        <c:scaling>
          <c:orientation val="minMax"/>
        </c:scaling>
        <c:axPos val="b"/>
        <c:numFmt formatCode="General" sourceLinked="1"/>
        <c:tickLblPos val="nextTo"/>
        <c:crossAx val="171530112"/>
        <c:crosses val="autoZero"/>
        <c:auto val="1"/>
        <c:lblAlgn val="ctr"/>
        <c:lblOffset val="100"/>
      </c:catAx>
      <c:valAx>
        <c:axId val="171530112"/>
        <c:scaling>
          <c:orientation val="minMax"/>
          <c:max val="300000"/>
          <c:min val="0"/>
        </c:scaling>
        <c:axPos val="l"/>
        <c:majorGridlines/>
        <c:title>
          <c:tx>
            <c:rich>
              <a:bodyPr rot="-5400000" vert="horz"/>
              <a:lstStyle/>
              <a:p>
                <a:pPr>
                  <a:defRPr/>
                </a:pPr>
                <a:r>
                  <a:rPr lang="ru-RU"/>
                  <a:t>млн руб.</a:t>
                </a:r>
              </a:p>
            </c:rich>
          </c:tx>
        </c:title>
        <c:numFmt formatCode="#,##0" sourceLinked="1"/>
        <c:tickLblPos val="nextTo"/>
        <c:crossAx val="171528576"/>
        <c:crosses val="autoZero"/>
        <c:crossBetween val="between"/>
      </c:valAx>
    </c:plotArea>
    <c:legend>
      <c:legendPos val="b"/>
    </c:legend>
    <c:plotVisOnly val="1"/>
    <c:dispBlanksAs val="gap"/>
  </c:chart>
  <c:txPr>
    <a:bodyPr/>
    <a:lstStyle/>
    <a:p>
      <a:pPr>
        <a:defRPr sz="900"/>
      </a:pPr>
      <a:endParaRPr lang="ru-RU"/>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пассивов</a:t>
            </a:r>
          </a:p>
        </c:rich>
      </c:tx>
    </c:title>
    <c:plotArea>
      <c:layout>
        <c:manualLayout>
          <c:layoutTarget val="inner"/>
          <c:xMode val="edge"/>
          <c:yMode val="edge"/>
          <c:x val="0.22773088363954505"/>
          <c:y val="0.13576065650021596"/>
          <c:w val="0.73808439953318372"/>
          <c:h val="0.61880461144890453"/>
        </c:manualLayout>
      </c:layout>
      <c:barChart>
        <c:barDir val="col"/>
        <c:grouping val="stacked"/>
        <c:ser>
          <c:idx val="0"/>
          <c:order val="0"/>
          <c:tx>
            <c:strRef>
              <c:f>Лист1!$B$1</c:f>
              <c:strCache>
                <c:ptCount val="1"/>
                <c:pt idx="0">
                  <c:v>Капитал и резервы</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155178</c:v>
                </c:pt>
                <c:pt idx="1">
                  <c:v>171144</c:v>
                </c:pt>
                <c:pt idx="2">
                  <c:v>178489</c:v>
                </c:pt>
              </c:numCache>
            </c:numRef>
          </c:val>
        </c:ser>
        <c:ser>
          <c:idx val="1"/>
          <c:order val="1"/>
          <c:tx>
            <c:strRef>
              <c:f>Лист1!$C$1</c:f>
              <c:strCache>
                <c:ptCount val="1"/>
                <c:pt idx="0">
                  <c:v>Долгосрочные обязательства</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51760</c:v>
                </c:pt>
                <c:pt idx="1">
                  <c:v>55385</c:v>
                </c:pt>
                <c:pt idx="2">
                  <c:v>63045</c:v>
                </c:pt>
              </c:numCache>
            </c:numRef>
          </c:val>
        </c:ser>
        <c:ser>
          <c:idx val="2"/>
          <c:order val="2"/>
          <c:tx>
            <c:strRef>
              <c:f>Лист1!$D$1</c:f>
              <c:strCache>
                <c:ptCount val="1"/>
                <c:pt idx="0">
                  <c:v>Краткосрочные обязательства</c:v>
                </c:pt>
              </c:strCache>
            </c:strRef>
          </c:tx>
          <c:dLbls>
            <c:showVal val="1"/>
          </c:dLbls>
          <c:cat>
            <c:numRef>
              <c:f>Лист1!$A$2:$A$4</c:f>
              <c:numCache>
                <c:formatCode>General</c:formatCode>
                <c:ptCount val="3"/>
                <c:pt idx="0">
                  <c:v>2011</c:v>
                </c:pt>
                <c:pt idx="1">
                  <c:v>2012</c:v>
                </c:pt>
                <c:pt idx="2">
                  <c:v>2013</c:v>
                </c:pt>
              </c:numCache>
            </c:numRef>
          </c:cat>
          <c:val>
            <c:numRef>
              <c:f>Лист1!$D$2:$D$4</c:f>
              <c:numCache>
                <c:formatCode>#,##0</c:formatCode>
                <c:ptCount val="3"/>
                <c:pt idx="0">
                  <c:v>58637</c:v>
                </c:pt>
                <c:pt idx="1">
                  <c:v>60218</c:v>
                </c:pt>
                <c:pt idx="2">
                  <c:v>58141</c:v>
                </c:pt>
              </c:numCache>
            </c:numRef>
          </c:val>
        </c:ser>
        <c:overlap val="100"/>
        <c:axId val="171553536"/>
        <c:axId val="171555072"/>
      </c:barChart>
      <c:catAx>
        <c:axId val="171553536"/>
        <c:scaling>
          <c:orientation val="minMax"/>
        </c:scaling>
        <c:axPos val="b"/>
        <c:numFmt formatCode="General" sourceLinked="1"/>
        <c:tickLblPos val="nextTo"/>
        <c:crossAx val="171555072"/>
        <c:crosses val="autoZero"/>
        <c:auto val="1"/>
        <c:lblAlgn val="ctr"/>
        <c:lblOffset val="100"/>
      </c:catAx>
      <c:valAx>
        <c:axId val="171555072"/>
        <c:scaling>
          <c:orientation val="minMax"/>
        </c:scaling>
        <c:axPos val="l"/>
        <c:majorGridlines/>
        <c:title>
          <c:tx>
            <c:rich>
              <a:bodyPr rot="-5400000" vert="horz"/>
              <a:lstStyle/>
              <a:p>
                <a:pPr>
                  <a:defRPr/>
                </a:pPr>
                <a:r>
                  <a:rPr lang="ru-RU"/>
                  <a:t>млн руб.</a:t>
                </a:r>
              </a:p>
            </c:rich>
          </c:tx>
        </c:title>
        <c:numFmt formatCode="#,##0" sourceLinked="1"/>
        <c:tickLblPos val="nextTo"/>
        <c:crossAx val="171553536"/>
        <c:crosses val="autoZero"/>
        <c:crossBetween val="between"/>
      </c:valAx>
    </c:plotArea>
    <c:legend>
      <c:legendPos val="b"/>
      <c:layout>
        <c:manualLayout>
          <c:xMode val="edge"/>
          <c:yMode val="edge"/>
          <c:x val="3.4540399516390395E-2"/>
          <c:y val="0.85148011561845904"/>
          <c:w val="0.96545966754155765"/>
          <c:h val="0.14825188583369844"/>
        </c:manualLayout>
      </c:layout>
    </c:legend>
    <c:plotVisOnly val="1"/>
    <c:dispBlanksAs val="gap"/>
  </c:chart>
  <c:txPr>
    <a:bodyPr/>
    <a:lstStyle/>
    <a:p>
      <a:pPr>
        <a:defRPr sz="900"/>
      </a:pPr>
      <a:endParaRPr lang="ru-RU"/>
    </a:p>
  </c:tx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внеоборотных активов </a:t>
            </a:r>
          </a:p>
          <a:p>
            <a:pPr>
              <a:defRPr/>
            </a:pPr>
            <a:r>
              <a:rPr lang="ru-RU"/>
              <a:t>в 2013 году</a:t>
            </a:r>
          </a:p>
        </c:rich>
      </c:tx>
    </c:title>
    <c:plotArea>
      <c:layout>
        <c:manualLayout>
          <c:layoutTarget val="inner"/>
          <c:xMode val="edge"/>
          <c:yMode val="edge"/>
          <c:x val="0.21283819361607509"/>
          <c:y val="0.15314869552977844"/>
          <c:w val="0.52823732995519956"/>
          <c:h val="0.52823732995519956"/>
        </c:manualLayout>
      </c:layout>
      <c:pieChart>
        <c:varyColors val="1"/>
        <c:ser>
          <c:idx val="0"/>
          <c:order val="0"/>
          <c:tx>
            <c:strRef>
              <c:f>Лист1!$B$1</c:f>
              <c:strCache>
                <c:ptCount val="1"/>
                <c:pt idx="0">
                  <c:v>Структура оборотных активов в 2013 году</c:v>
                </c:pt>
              </c:strCache>
            </c:strRef>
          </c:tx>
          <c:dLbls>
            <c:dLbl>
              <c:idx val="1"/>
              <c:layout>
                <c:manualLayout>
                  <c:x val="-9.0155627965765525E-2"/>
                  <c:y val="8.2385484921080152E-2"/>
                </c:manualLayout>
              </c:layout>
              <c:showPercent val="1"/>
            </c:dLbl>
            <c:dLbl>
              <c:idx val="2"/>
              <c:layout>
                <c:manualLayout>
                  <c:x val="-5.8928175418881575E-2"/>
                  <c:y val="2.8316233094872707E-2"/>
                </c:manualLayout>
              </c:layout>
              <c:showPercent val="1"/>
            </c:dLbl>
            <c:dLbl>
              <c:idx val="3"/>
              <c:layout>
                <c:manualLayout>
                  <c:x val="-7.0260076358105022E-2"/>
                  <c:y val="-9.9326874739623941E-2"/>
                </c:manualLayout>
              </c:layout>
              <c:showPercent val="1"/>
            </c:dLbl>
            <c:dLbl>
              <c:idx val="4"/>
              <c:layout>
                <c:manualLayout>
                  <c:x val="-6.3787927006899114E-2"/>
                  <c:y val="-3.469347069159763E-2"/>
                </c:manualLayout>
              </c:layout>
              <c:showPercent val="1"/>
            </c:dLbl>
            <c:dLbl>
              <c:idx val="5"/>
              <c:layout>
                <c:manualLayout>
                  <c:x val="7.9945568561089295E-2"/>
                  <c:y val="-0.10640684371611972"/>
                </c:manualLayout>
              </c:layout>
              <c:showPercent val="1"/>
            </c:dLbl>
            <c:numFmt formatCode="0.00%" sourceLinked="0"/>
            <c:showPercent val="1"/>
            <c:showLeaderLines val="1"/>
          </c:dLbls>
          <c:cat>
            <c:strRef>
              <c:f>Лист1!$A$2:$A$7</c:f>
              <c:strCache>
                <c:ptCount val="6"/>
                <c:pt idx="0">
                  <c:v>Основные средства</c:v>
                </c:pt>
                <c:pt idx="1">
                  <c:v>Финансовые вложения</c:v>
                </c:pt>
                <c:pt idx="2">
                  <c:v>Отложенные налоговые активы</c:v>
                </c:pt>
                <c:pt idx="3">
                  <c:v>Нематериальные активы</c:v>
                </c:pt>
                <c:pt idx="4">
                  <c:v>Результаты исследований и разработое</c:v>
                </c:pt>
                <c:pt idx="5">
                  <c:v>Прочие внеоборотные активы</c:v>
                </c:pt>
              </c:strCache>
            </c:strRef>
          </c:cat>
          <c:val>
            <c:numRef>
              <c:f>Лист1!$B$2:$B$7</c:f>
              <c:numCache>
                <c:formatCode>#,##0</c:formatCode>
                <c:ptCount val="6"/>
                <c:pt idx="0">
                  <c:v>250818.28099999999</c:v>
                </c:pt>
                <c:pt idx="1">
                  <c:v>4879.3240000000014</c:v>
                </c:pt>
                <c:pt idx="2">
                  <c:v>3759.3510000000369</c:v>
                </c:pt>
                <c:pt idx="3">
                  <c:v>415.36900000000031</c:v>
                </c:pt>
                <c:pt idx="4">
                  <c:v>105.245</c:v>
                </c:pt>
                <c:pt idx="5">
                  <c:v>176.65200000000004</c:v>
                </c:pt>
              </c:numCache>
            </c:numRef>
          </c:val>
        </c:ser>
        <c:firstSliceAng val="293"/>
      </c:pieChart>
    </c:plotArea>
    <c:legend>
      <c:legendPos val="b"/>
      <c:layout>
        <c:manualLayout>
          <c:xMode val="edge"/>
          <c:yMode val="edge"/>
          <c:x val="0"/>
          <c:y val="0.68987870207075863"/>
          <c:w val="0.9999952850205106"/>
          <c:h val="0.30597427645492775"/>
        </c:manualLayout>
      </c:layout>
    </c:legend>
    <c:plotVisOnly val="1"/>
    <c:dispBlanksAs val="zero"/>
  </c:chart>
  <c:txPr>
    <a:bodyPr/>
    <a:lstStyle/>
    <a:p>
      <a:pPr>
        <a:defRPr sz="900"/>
      </a:pPr>
      <a:endParaRPr lang="ru-RU"/>
    </a:p>
  </c:tx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Дебиторская и кредиторская задолженность</a:t>
            </a:r>
          </a:p>
        </c:rich>
      </c:tx>
      <c:layout>
        <c:manualLayout>
          <c:xMode val="edge"/>
          <c:yMode val="edge"/>
          <c:x val="0.23902359551141344"/>
          <c:y val="0"/>
        </c:manualLayout>
      </c:layout>
    </c:title>
    <c:plotArea>
      <c:layout>
        <c:manualLayout>
          <c:layoutTarget val="inner"/>
          <c:xMode val="edge"/>
          <c:yMode val="edge"/>
          <c:x val="0.20194988291144744"/>
          <c:y val="0.15886700368075293"/>
          <c:w val="0.72604565465843063"/>
          <c:h val="0.6685662055241961"/>
        </c:manualLayout>
      </c:layout>
      <c:barChart>
        <c:barDir val="col"/>
        <c:grouping val="clustered"/>
        <c:ser>
          <c:idx val="0"/>
          <c:order val="0"/>
          <c:tx>
            <c:strRef>
              <c:f>Лист1!$B$1</c:f>
              <c:strCache>
                <c:ptCount val="1"/>
                <c:pt idx="0">
                  <c:v>Дебиторская задолженность</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46607</c:v>
                </c:pt>
                <c:pt idx="1">
                  <c:v>42250</c:v>
                </c:pt>
                <c:pt idx="2">
                  <c:v>25014</c:v>
                </c:pt>
              </c:numCache>
            </c:numRef>
          </c:val>
        </c:ser>
        <c:ser>
          <c:idx val="1"/>
          <c:order val="1"/>
          <c:tx>
            <c:strRef>
              <c:f>Лист1!$C$1</c:f>
              <c:strCache>
                <c:ptCount val="1"/>
                <c:pt idx="0">
                  <c:v>Кредиторская задолженность</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62932</c:v>
                </c:pt>
                <c:pt idx="1">
                  <c:v>53159</c:v>
                </c:pt>
                <c:pt idx="2">
                  <c:v>55463</c:v>
                </c:pt>
              </c:numCache>
            </c:numRef>
          </c:val>
        </c:ser>
        <c:axId val="173402368"/>
        <c:axId val="173944832"/>
      </c:barChart>
      <c:catAx>
        <c:axId val="173402368"/>
        <c:scaling>
          <c:orientation val="minMax"/>
        </c:scaling>
        <c:axPos val="b"/>
        <c:numFmt formatCode="General" sourceLinked="1"/>
        <c:tickLblPos val="nextTo"/>
        <c:crossAx val="173944832"/>
        <c:crosses val="autoZero"/>
        <c:auto val="1"/>
        <c:lblAlgn val="ctr"/>
        <c:lblOffset val="100"/>
      </c:catAx>
      <c:valAx>
        <c:axId val="173944832"/>
        <c:scaling>
          <c:orientation val="minMax"/>
          <c:min val="0"/>
        </c:scaling>
        <c:axPos val="l"/>
        <c:majorGridlines/>
        <c:title>
          <c:tx>
            <c:rich>
              <a:bodyPr rot="-5400000" vert="horz"/>
              <a:lstStyle/>
              <a:p>
                <a:pPr>
                  <a:defRPr/>
                </a:pPr>
                <a:r>
                  <a:rPr lang="ru-RU"/>
                  <a:t>млн руб.</a:t>
                </a:r>
              </a:p>
            </c:rich>
          </c:tx>
        </c:title>
        <c:numFmt formatCode="#,##0" sourceLinked="1"/>
        <c:tickLblPos val="nextTo"/>
        <c:crossAx val="173402368"/>
        <c:crosses val="autoZero"/>
        <c:crossBetween val="between"/>
      </c:valAx>
    </c:plotArea>
    <c:legend>
      <c:legendPos val="b"/>
      <c:layout>
        <c:manualLayout>
          <c:xMode val="edge"/>
          <c:yMode val="edge"/>
          <c:x val="0"/>
          <c:y val="0.8663542450180427"/>
          <c:w val="1"/>
          <c:h val="0.12951978515670187"/>
        </c:manualLayout>
      </c:layout>
    </c:legend>
    <c:plotVisOnly val="1"/>
    <c:dispBlanksAs val="gap"/>
  </c:chart>
  <c:txPr>
    <a:bodyPr/>
    <a:lstStyle/>
    <a:p>
      <a:pPr>
        <a:defRPr sz="900"/>
      </a:pPr>
      <a:endParaRPr lang="ru-RU"/>
    </a:p>
  </c:tx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Дебиторская задолженность</a:t>
            </a:r>
          </a:p>
        </c:rich>
      </c:tx>
    </c:title>
    <c:plotArea>
      <c:layout/>
      <c:barChart>
        <c:barDir val="col"/>
        <c:grouping val="stacked"/>
        <c:ser>
          <c:idx val="1"/>
          <c:order val="0"/>
          <c:tx>
            <c:strRef>
              <c:f>Лист1!$C$1</c:f>
              <c:strCache>
                <c:ptCount val="1"/>
                <c:pt idx="0">
                  <c:v>Краткосрочная дебиторская задолженность</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16826</c:v>
                </c:pt>
                <c:pt idx="1">
                  <c:v>15501</c:v>
                </c:pt>
                <c:pt idx="2">
                  <c:v>17139</c:v>
                </c:pt>
              </c:numCache>
            </c:numRef>
          </c:val>
        </c:ser>
        <c:ser>
          <c:idx val="0"/>
          <c:order val="1"/>
          <c:tx>
            <c:strRef>
              <c:f>Лист1!$B$1</c:f>
              <c:strCache>
                <c:ptCount val="1"/>
                <c:pt idx="0">
                  <c:v>Долгосрочная дебиторская задолженность</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29781</c:v>
                </c:pt>
                <c:pt idx="1">
                  <c:v>26748</c:v>
                </c:pt>
                <c:pt idx="2">
                  <c:v>7875</c:v>
                </c:pt>
              </c:numCache>
            </c:numRef>
          </c:val>
        </c:ser>
        <c:overlap val="100"/>
        <c:axId val="173970944"/>
        <c:axId val="173972480"/>
      </c:barChart>
      <c:catAx>
        <c:axId val="173970944"/>
        <c:scaling>
          <c:orientation val="minMax"/>
        </c:scaling>
        <c:axPos val="b"/>
        <c:numFmt formatCode="General" sourceLinked="1"/>
        <c:tickLblPos val="nextTo"/>
        <c:crossAx val="173972480"/>
        <c:crosses val="autoZero"/>
        <c:auto val="1"/>
        <c:lblAlgn val="ctr"/>
        <c:lblOffset val="100"/>
      </c:catAx>
      <c:valAx>
        <c:axId val="173972480"/>
        <c:scaling>
          <c:orientation val="minMax"/>
          <c:min val="0"/>
        </c:scaling>
        <c:axPos val="l"/>
        <c:majorGridlines/>
        <c:title>
          <c:tx>
            <c:rich>
              <a:bodyPr rot="-5400000" vert="horz"/>
              <a:lstStyle/>
              <a:p>
                <a:pPr>
                  <a:defRPr/>
                </a:pPr>
                <a:r>
                  <a:rPr lang="ru-RU"/>
                  <a:t>млн руб. </a:t>
                </a:r>
              </a:p>
            </c:rich>
          </c:tx>
        </c:title>
        <c:numFmt formatCode="#,##0" sourceLinked="1"/>
        <c:tickLblPos val="nextTo"/>
        <c:crossAx val="173970944"/>
        <c:crosses val="autoZero"/>
        <c:crossBetween val="between"/>
      </c:valAx>
    </c:plotArea>
    <c:legend>
      <c:legendPos val="b"/>
      <c:layout>
        <c:manualLayout>
          <c:xMode val="edge"/>
          <c:yMode val="edge"/>
          <c:x val="6.0779551981847334E-2"/>
          <c:y val="0.83205518968437364"/>
          <c:w val="0.92719922018671863"/>
          <c:h val="0.15888470727860438"/>
        </c:manualLayout>
      </c:layout>
    </c:legend>
    <c:plotVisOnly val="1"/>
    <c:dispBlanksAs val="gap"/>
  </c:chart>
  <c:txPr>
    <a:bodyPr/>
    <a:lstStyle/>
    <a:p>
      <a:pPr>
        <a:defRPr sz="900"/>
      </a:pPr>
      <a:endParaRPr lang="ru-RU"/>
    </a:p>
  </c:tx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a:t>
            </a:r>
            <a:r>
              <a:rPr lang="ru-RU" baseline="0"/>
              <a:t> д</a:t>
            </a:r>
            <a:r>
              <a:rPr lang="ru-RU"/>
              <a:t>ебиторской задолженности по сроку погашения </a:t>
            </a:r>
          </a:p>
        </c:rich>
      </c:tx>
      <c:layout>
        <c:manualLayout>
          <c:xMode val="edge"/>
          <c:yMode val="edge"/>
          <c:x val="0.21259446283444025"/>
          <c:y val="2.7044024264381239E-2"/>
        </c:manualLayout>
      </c:layout>
    </c:title>
    <c:plotArea>
      <c:layout/>
      <c:barChart>
        <c:barDir val="col"/>
        <c:grouping val="percentStacked"/>
        <c:ser>
          <c:idx val="1"/>
          <c:order val="0"/>
          <c:tx>
            <c:strRef>
              <c:f>Лист1!$C$1</c:f>
              <c:strCache>
                <c:ptCount val="1"/>
                <c:pt idx="0">
                  <c:v>Краткосрочная дебиторская задолженность</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0.36101873109190258</c:v>
                </c:pt>
                <c:pt idx="1">
                  <c:v>0.3668875739645111</c:v>
                </c:pt>
                <c:pt idx="2">
                  <c:v>0.68517630127128759</c:v>
                </c:pt>
              </c:numCache>
            </c:numRef>
          </c:val>
        </c:ser>
        <c:ser>
          <c:idx val="0"/>
          <c:order val="1"/>
          <c:tx>
            <c:strRef>
              <c:f>Лист1!$B$1</c:f>
              <c:strCache>
                <c:ptCount val="1"/>
                <c:pt idx="0">
                  <c:v>Долгосрочная дебиторская задолженность</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0.00%</c:formatCode>
                <c:ptCount val="3"/>
                <c:pt idx="0">
                  <c:v>0.63898126890811535</c:v>
                </c:pt>
                <c:pt idx="1">
                  <c:v>0.63308875739644965</c:v>
                </c:pt>
                <c:pt idx="2">
                  <c:v>0.3148236987287179</c:v>
                </c:pt>
              </c:numCache>
            </c:numRef>
          </c:val>
        </c:ser>
        <c:overlap val="100"/>
        <c:axId val="174052096"/>
        <c:axId val="174053632"/>
      </c:barChart>
      <c:catAx>
        <c:axId val="174052096"/>
        <c:scaling>
          <c:orientation val="minMax"/>
        </c:scaling>
        <c:axPos val="b"/>
        <c:numFmt formatCode="General" sourceLinked="1"/>
        <c:tickLblPos val="nextTo"/>
        <c:crossAx val="174053632"/>
        <c:crosses val="autoZero"/>
        <c:auto val="1"/>
        <c:lblAlgn val="ctr"/>
        <c:lblOffset val="100"/>
      </c:catAx>
      <c:valAx>
        <c:axId val="174053632"/>
        <c:scaling>
          <c:orientation val="minMax"/>
          <c:min val="0"/>
        </c:scaling>
        <c:axPos val="l"/>
        <c:majorGridlines/>
        <c:numFmt formatCode="0%" sourceLinked="1"/>
        <c:tickLblPos val="nextTo"/>
        <c:crossAx val="174052096"/>
        <c:crosses val="autoZero"/>
        <c:crossBetween val="between"/>
      </c:valAx>
    </c:plotArea>
    <c:legend>
      <c:legendPos val="b"/>
      <c:layout>
        <c:manualLayout>
          <c:xMode val="edge"/>
          <c:yMode val="edge"/>
          <c:x val="6.0779551981847334E-2"/>
          <c:y val="0.84557711536058933"/>
          <c:w val="0.87844056603370035"/>
          <c:h val="0.13061336082989641"/>
        </c:manualLayout>
      </c:layout>
    </c:legend>
    <c:plotVisOnly val="1"/>
    <c:dispBlanksAs val="gap"/>
  </c:chart>
  <c:txPr>
    <a:bodyPr/>
    <a:lstStyle/>
    <a:p>
      <a:pPr>
        <a:defRPr sz="900"/>
      </a:pPr>
      <a:endParaRPr lang="ru-RU"/>
    </a:p>
  </c:tx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дебиторской задолженности по видам деятельности</a:t>
            </a:r>
          </a:p>
        </c:rich>
      </c:tx>
    </c:title>
    <c:plotArea>
      <c:layout>
        <c:manualLayout>
          <c:layoutTarget val="inner"/>
          <c:xMode val="edge"/>
          <c:yMode val="edge"/>
          <c:x val="0.14234775032835897"/>
          <c:y val="0.2131261366692852"/>
          <c:w val="0.81156945700313121"/>
          <c:h val="0.45324733389265032"/>
        </c:manualLayout>
      </c:layout>
      <c:barChart>
        <c:barDir val="col"/>
        <c:grouping val="percentStacked"/>
        <c:ser>
          <c:idx val="0"/>
          <c:order val="0"/>
          <c:tx>
            <c:strRef>
              <c:f>Лист1!$B$1</c:f>
              <c:strCache>
                <c:ptCount val="1"/>
                <c:pt idx="0">
                  <c:v>От оказания услуг по передаче э/э</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0.00%</c:formatCode>
                <c:ptCount val="3"/>
                <c:pt idx="0">
                  <c:v>0.18842663119274397</c:v>
                </c:pt>
                <c:pt idx="1">
                  <c:v>0.19985798816568048</c:v>
                </c:pt>
                <c:pt idx="2">
                  <c:v>0.35759974414327977</c:v>
                </c:pt>
              </c:numCache>
            </c:numRef>
          </c:val>
        </c:ser>
        <c:ser>
          <c:idx val="1"/>
          <c:order val="1"/>
          <c:tx>
            <c:strRef>
              <c:f>Лист1!$C$1</c:f>
              <c:strCache>
                <c:ptCount val="1"/>
                <c:pt idx="0">
                  <c:v>От оказания услуг по технологическому присоединению </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0.45694852704529382</c:v>
                </c:pt>
                <c:pt idx="1">
                  <c:v>0.40818934911242638</c:v>
                </c:pt>
                <c:pt idx="2">
                  <c:v>0.3431278484048933</c:v>
                </c:pt>
              </c:numCache>
            </c:numRef>
          </c:val>
        </c:ser>
        <c:ser>
          <c:idx val="2"/>
          <c:order val="2"/>
          <c:tx>
            <c:strRef>
              <c:f>Лист1!$D$1</c:f>
              <c:strCache>
                <c:ptCount val="1"/>
                <c:pt idx="0">
                  <c:v>От прочей деятельности</c:v>
                </c:pt>
              </c:strCache>
            </c:strRef>
          </c:tx>
          <c:dLbls>
            <c:showVal val="1"/>
          </c:dLbls>
          <c:cat>
            <c:numRef>
              <c:f>Лист1!$A$2:$A$4</c:f>
              <c:numCache>
                <c:formatCode>General</c:formatCode>
                <c:ptCount val="3"/>
                <c:pt idx="0">
                  <c:v>2011</c:v>
                </c:pt>
                <c:pt idx="1">
                  <c:v>2012</c:v>
                </c:pt>
                <c:pt idx="2">
                  <c:v>2013</c:v>
                </c:pt>
              </c:numCache>
            </c:numRef>
          </c:cat>
          <c:val>
            <c:numRef>
              <c:f>Лист1!$D$2:$D$4</c:f>
              <c:numCache>
                <c:formatCode>0.00%</c:formatCode>
                <c:ptCount val="3"/>
                <c:pt idx="0">
                  <c:v>0.35462484176197234</c:v>
                </c:pt>
                <c:pt idx="1">
                  <c:v>0.39195266272190193</c:v>
                </c:pt>
                <c:pt idx="2">
                  <c:v>0.29931238506437446</c:v>
                </c:pt>
              </c:numCache>
            </c:numRef>
          </c:val>
        </c:ser>
        <c:overlap val="100"/>
        <c:axId val="174146304"/>
        <c:axId val="174147840"/>
      </c:barChart>
      <c:catAx>
        <c:axId val="174146304"/>
        <c:scaling>
          <c:orientation val="minMax"/>
        </c:scaling>
        <c:axPos val="b"/>
        <c:numFmt formatCode="General" sourceLinked="1"/>
        <c:tickLblPos val="nextTo"/>
        <c:crossAx val="174147840"/>
        <c:crosses val="autoZero"/>
        <c:auto val="1"/>
        <c:lblAlgn val="ctr"/>
        <c:lblOffset val="100"/>
      </c:catAx>
      <c:valAx>
        <c:axId val="174147840"/>
        <c:scaling>
          <c:orientation val="minMax"/>
          <c:min val="0"/>
        </c:scaling>
        <c:axPos val="l"/>
        <c:majorGridlines/>
        <c:numFmt formatCode="0%" sourceLinked="1"/>
        <c:tickLblPos val="nextTo"/>
        <c:crossAx val="174146304"/>
        <c:crosses val="autoZero"/>
        <c:crossBetween val="between"/>
      </c:valAx>
    </c:plotArea>
    <c:legend>
      <c:legendPos val="b"/>
      <c:layout>
        <c:manualLayout>
          <c:xMode val="edge"/>
          <c:yMode val="edge"/>
          <c:x val="0"/>
          <c:y val="0.72652949631296093"/>
          <c:w val="0.99580797675724486"/>
          <c:h val="0.27347050368704873"/>
        </c:manualLayout>
      </c:layout>
    </c:legend>
    <c:plotVisOnly val="1"/>
    <c:dispBlanksAs val="gap"/>
  </c:chart>
  <c:txPr>
    <a:bodyPr/>
    <a:lstStyle/>
    <a:p>
      <a:pPr>
        <a:defRPr sz="900"/>
      </a:pPr>
      <a:endParaRPr lang="ru-RU"/>
    </a:p>
  </c:tx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дебиторской задолженности по статусу задолженности </a:t>
            </a:r>
          </a:p>
        </c:rich>
      </c:tx>
      <c:layout>
        <c:manualLayout>
          <c:xMode val="edge"/>
          <c:yMode val="edge"/>
          <c:x val="0.23314826988624349"/>
          <c:y val="0"/>
        </c:manualLayout>
      </c:layout>
    </c:title>
    <c:plotArea>
      <c:layout>
        <c:manualLayout>
          <c:layoutTarget val="inner"/>
          <c:xMode val="edge"/>
          <c:yMode val="edge"/>
          <c:x val="0.13517517680572605"/>
          <c:y val="0.22469709863924689"/>
          <c:w val="0.7326182243863596"/>
          <c:h val="0.43118449566156147"/>
        </c:manualLayout>
      </c:layout>
      <c:barChart>
        <c:barDir val="col"/>
        <c:grouping val="percentStacked"/>
        <c:ser>
          <c:idx val="0"/>
          <c:order val="0"/>
          <c:tx>
            <c:strRef>
              <c:f>Лист1!$B$1</c:f>
              <c:strCache>
                <c:ptCount val="1"/>
                <c:pt idx="0">
                  <c:v>Текущая дебиторская задолженность</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0.00%</c:formatCode>
                <c:ptCount val="3"/>
                <c:pt idx="0">
                  <c:v>0.96873860149762914</c:v>
                </c:pt>
                <c:pt idx="1">
                  <c:v>0.97822485207101995</c:v>
                </c:pt>
                <c:pt idx="2">
                  <c:v>0.97613336531542338</c:v>
                </c:pt>
              </c:numCache>
            </c:numRef>
          </c:val>
        </c:ser>
        <c:ser>
          <c:idx val="1"/>
          <c:order val="1"/>
          <c:tx>
            <c:strRef>
              <c:f>Лист1!$C$1</c:f>
              <c:strCache>
                <c:ptCount val="1"/>
                <c:pt idx="0">
                  <c:v>Просроченная дебиторская задолженность</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3.1261398502371668E-2</c:v>
                </c:pt>
                <c:pt idx="1">
                  <c:v>2.1775147928994983E-2</c:v>
                </c:pt>
                <c:pt idx="2">
                  <c:v>2.3866634684576636E-2</c:v>
                </c:pt>
              </c:numCache>
            </c:numRef>
          </c:val>
        </c:ser>
        <c:overlap val="100"/>
        <c:axId val="174233472"/>
        <c:axId val="174235008"/>
      </c:barChart>
      <c:lineChart>
        <c:grouping val="standard"/>
        <c:ser>
          <c:idx val="2"/>
          <c:order val="2"/>
          <c:tx>
            <c:strRef>
              <c:f>Лист1!$D$1</c:f>
              <c:strCache>
                <c:ptCount val="1"/>
                <c:pt idx="0">
                  <c:v>Отношение просроченной дебиторской задолженности к общей выручке</c:v>
                </c:pt>
              </c:strCache>
            </c:strRef>
          </c:tx>
          <c:marker>
            <c:symbol val="circle"/>
            <c:size val="7"/>
          </c:marker>
          <c:dLbls>
            <c:showVal val="1"/>
          </c:dLbls>
          <c:cat>
            <c:numRef>
              <c:f>Лист1!$A$2:$A$4</c:f>
              <c:numCache>
                <c:formatCode>General</c:formatCode>
                <c:ptCount val="3"/>
                <c:pt idx="0">
                  <c:v>2011</c:v>
                </c:pt>
                <c:pt idx="1">
                  <c:v>2012</c:v>
                </c:pt>
                <c:pt idx="2">
                  <c:v>2013</c:v>
                </c:pt>
              </c:numCache>
            </c:numRef>
          </c:cat>
          <c:val>
            <c:numRef>
              <c:f>Лист1!$D$2:$D$4</c:f>
              <c:numCache>
                <c:formatCode>0.00%</c:formatCode>
                <c:ptCount val="3"/>
                <c:pt idx="0">
                  <c:v>1.1500000000000243E-2</c:v>
                </c:pt>
                <c:pt idx="1">
                  <c:v>7.8000000000000534E-3</c:v>
                </c:pt>
                <c:pt idx="2">
                  <c:v>4.8000000000000004E-3</c:v>
                </c:pt>
              </c:numCache>
            </c:numRef>
          </c:val>
        </c:ser>
        <c:marker val="1"/>
        <c:axId val="174254720"/>
        <c:axId val="174253184"/>
      </c:lineChart>
      <c:catAx>
        <c:axId val="174233472"/>
        <c:scaling>
          <c:orientation val="minMax"/>
        </c:scaling>
        <c:axPos val="b"/>
        <c:numFmt formatCode="General" sourceLinked="1"/>
        <c:tickLblPos val="nextTo"/>
        <c:crossAx val="174235008"/>
        <c:crosses val="autoZero"/>
        <c:auto val="1"/>
        <c:lblAlgn val="ctr"/>
        <c:lblOffset val="100"/>
      </c:catAx>
      <c:valAx>
        <c:axId val="174235008"/>
        <c:scaling>
          <c:orientation val="minMax"/>
          <c:min val="0.70000000000000062"/>
        </c:scaling>
        <c:axPos val="l"/>
        <c:majorGridlines/>
        <c:numFmt formatCode="0%" sourceLinked="1"/>
        <c:tickLblPos val="nextTo"/>
        <c:crossAx val="174233472"/>
        <c:crosses val="autoZero"/>
        <c:crossBetween val="between"/>
      </c:valAx>
      <c:valAx>
        <c:axId val="174253184"/>
        <c:scaling>
          <c:orientation val="minMax"/>
        </c:scaling>
        <c:axPos val="r"/>
        <c:numFmt formatCode="0.00%" sourceLinked="1"/>
        <c:tickLblPos val="nextTo"/>
        <c:crossAx val="174254720"/>
        <c:crosses val="max"/>
        <c:crossBetween val="between"/>
      </c:valAx>
      <c:catAx>
        <c:axId val="174254720"/>
        <c:scaling>
          <c:orientation val="minMax"/>
        </c:scaling>
        <c:delete val="1"/>
        <c:axPos val="b"/>
        <c:numFmt formatCode="General" sourceLinked="1"/>
        <c:tickLblPos val="none"/>
        <c:crossAx val="174253184"/>
        <c:crosses val="autoZero"/>
        <c:auto val="1"/>
        <c:lblAlgn val="ctr"/>
        <c:lblOffset val="100"/>
      </c:catAx>
    </c:plotArea>
    <c:legend>
      <c:legendPos val="b"/>
      <c:layout>
        <c:manualLayout>
          <c:xMode val="edge"/>
          <c:yMode val="edge"/>
          <c:x val="0"/>
          <c:y val="0.72397224098753299"/>
          <c:w val="1"/>
          <c:h val="0.2760277590124699"/>
        </c:manualLayout>
      </c:layout>
    </c:legend>
    <c:plotVisOnly val="1"/>
    <c:dispBlanksAs val="gap"/>
  </c:chart>
  <c:txPr>
    <a:bodyPr/>
    <a:lstStyle/>
    <a:p>
      <a:pPr>
        <a:defRPr sz="900"/>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1"/>
          <c:order val="1"/>
          <c:tx>
            <c:strRef>
              <c:f>Лист1!$C$1</c:f>
              <c:strCache>
                <c:ptCount val="1"/>
                <c:pt idx="0">
                  <c:v>Выручка от услуг по технологическому присоединению</c:v>
                </c:pt>
              </c:strCache>
            </c:strRef>
          </c:tx>
          <c:spPr>
            <a:solidFill>
              <a:schemeClr val="accent1"/>
            </a:solidFill>
          </c:spPr>
          <c:dLbls>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18859.542401761424</c:v>
                </c:pt>
                <c:pt idx="1">
                  <c:v>17386.257159183733</c:v>
                </c:pt>
                <c:pt idx="2">
                  <c:v>13230.990097471187</c:v>
                </c:pt>
              </c:numCache>
            </c:numRef>
          </c:val>
        </c:ser>
        <c:axId val="55462144"/>
        <c:axId val="55468032"/>
      </c:barChart>
      <c:lineChart>
        <c:grouping val="standard"/>
        <c:ser>
          <c:idx val="0"/>
          <c:order val="0"/>
          <c:tx>
            <c:strRef>
              <c:f>Лист1!$B$1</c:f>
              <c:strCache>
                <c:ptCount val="1"/>
                <c:pt idx="0">
                  <c:v>Присоединенная мощность</c:v>
                </c:pt>
              </c:strCache>
            </c:strRef>
          </c:tx>
          <c:spPr>
            <a:ln>
              <a:solidFill>
                <a:schemeClr val="accent2"/>
              </a:solidFill>
            </a:ln>
          </c:spPr>
          <c:marker>
            <c:symbol val="circle"/>
            <c:size val="7"/>
            <c:spPr>
              <a:solidFill>
                <a:schemeClr val="accent2"/>
              </a:solidFill>
              <a:ln>
                <a:solidFill>
                  <a:schemeClr val="accent2"/>
                </a:solidFill>
              </a:ln>
            </c:spPr>
          </c:marker>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917</c:v>
                </c:pt>
                <c:pt idx="1">
                  <c:v>1421</c:v>
                </c:pt>
                <c:pt idx="2">
                  <c:v>1531</c:v>
                </c:pt>
              </c:numCache>
            </c:numRef>
          </c:val>
        </c:ser>
        <c:marker val="1"/>
        <c:axId val="55476224"/>
        <c:axId val="55469952"/>
      </c:lineChart>
      <c:catAx>
        <c:axId val="55462144"/>
        <c:scaling>
          <c:orientation val="minMax"/>
        </c:scaling>
        <c:axPos val="b"/>
        <c:numFmt formatCode="General" sourceLinked="1"/>
        <c:tickLblPos val="nextTo"/>
        <c:crossAx val="55468032"/>
        <c:crosses val="autoZero"/>
        <c:auto val="1"/>
        <c:lblAlgn val="ctr"/>
        <c:lblOffset val="100"/>
      </c:catAx>
      <c:valAx>
        <c:axId val="55468032"/>
        <c:scaling>
          <c:orientation val="minMax"/>
          <c:max val="120000"/>
          <c:min val="0"/>
        </c:scaling>
        <c:axPos val="l"/>
        <c:majorGridlines/>
        <c:title>
          <c:tx>
            <c:rich>
              <a:bodyPr rot="-5400000" vert="horz"/>
              <a:lstStyle/>
              <a:p>
                <a:pPr>
                  <a:defRPr/>
                </a:pPr>
                <a:r>
                  <a:rPr lang="ru-RU"/>
                  <a:t>млн руб.</a:t>
                </a:r>
              </a:p>
            </c:rich>
          </c:tx>
        </c:title>
        <c:numFmt formatCode="#,##0" sourceLinked="1"/>
        <c:tickLblPos val="nextTo"/>
        <c:txPr>
          <a:bodyPr/>
          <a:lstStyle/>
          <a:p>
            <a:pPr>
              <a:defRPr sz="100">
                <a:solidFill>
                  <a:schemeClr val="bg1"/>
                </a:solidFill>
              </a:defRPr>
            </a:pPr>
            <a:endParaRPr lang="ru-RU"/>
          </a:p>
        </c:txPr>
        <c:crossAx val="55462144"/>
        <c:crosses val="autoZero"/>
        <c:crossBetween val="between"/>
      </c:valAx>
      <c:valAx>
        <c:axId val="55469952"/>
        <c:scaling>
          <c:orientation val="minMax"/>
        </c:scaling>
        <c:axPos val="r"/>
        <c:title>
          <c:tx>
            <c:rich>
              <a:bodyPr rot="-5400000" vert="horz"/>
              <a:lstStyle/>
              <a:p>
                <a:pPr>
                  <a:defRPr/>
                </a:pPr>
                <a:r>
                  <a:rPr lang="ru-RU"/>
                  <a:t>МВт</a:t>
                </a:r>
              </a:p>
            </c:rich>
          </c:tx>
        </c:title>
        <c:numFmt formatCode="#,##0" sourceLinked="1"/>
        <c:tickLblPos val="nextTo"/>
        <c:txPr>
          <a:bodyPr/>
          <a:lstStyle/>
          <a:p>
            <a:pPr>
              <a:defRPr sz="100">
                <a:solidFill>
                  <a:schemeClr val="bg1"/>
                </a:solidFill>
              </a:defRPr>
            </a:pPr>
            <a:endParaRPr lang="ru-RU"/>
          </a:p>
        </c:txPr>
        <c:crossAx val="55476224"/>
        <c:crosses val="max"/>
        <c:crossBetween val="between"/>
      </c:valAx>
      <c:catAx>
        <c:axId val="55476224"/>
        <c:scaling>
          <c:orientation val="minMax"/>
        </c:scaling>
        <c:delete val="1"/>
        <c:axPos val="b"/>
        <c:numFmt formatCode="General" sourceLinked="1"/>
        <c:tickLblPos val="none"/>
        <c:crossAx val="55469952"/>
        <c:crosses val="autoZero"/>
        <c:auto val="1"/>
        <c:lblAlgn val="ctr"/>
        <c:lblOffset val="100"/>
      </c:catAx>
    </c:plotArea>
    <c:legend>
      <c:legendPos val="b"/>
      <c:layout>
        <c:manualLayout>
          <c:xMode val="edge"/>
          <c:yMode val="edge"/>
          <c:x val="0"/>
          <c:y val="0.77193807332822928"/>
          <c:w val="1"/>
          <c:h val="0.22806192667177988"/>
        </c:manualLayout>
      </c:layout>
    </c:legend>
    <c:plotVisOnly val="1"/>
    <c:dispBlanksAs val="gap"/>
  </c:chart>
  <c:txPr>
    <a:bodyPr/>
    <a:lstStyle/>
    <a:p>
      <a:pPr>
        <a:defRPr sz="800"/>
      </a:pPr>
      <a:endParaRPr lang="ru-RU"/>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Общая дебиторская задолженность и дебиторская задолженность участников системы "Одного окна"</a:t>
            </a:r>
          </a:p>
        </c:rich>
      </c:tx>
      <c:layout>
        <c:manualLayout>
          <c:xMode val="edge"/>
          <c:yMode val="edge"/>
          <c:x val="0.16889977360424885"/>
          <c:y val="0"/>
        </c:manualLayout>
      </c:layout>
    </c:title>
    <c:plotArea>
      <c:layout>
        <c:manualLayout>
          <c:layoutTarget val="inner"/>
          <c:xMode val="edge"/>
          <c:yMode val="edge"/>
          <c:x val="0.18515420548613443"/>
          <c:y val="0.21643056995063123"/>
          <c:w val="0.77514948586555865"/>
          <c:h val="0.45787574595525427"/>
        </c:manualLayout>
      </c:layout>
      <c:barChart>
        <c:barDir val="col"/>
        <c:grouping val="clustered"/>
        <c:ser>
          <c:idx val="2"/>
          <c:order val="0"/>
          <c:tx>
            <c:strRef>
              <c:f>Лист1!$C$1</c:f>
              <c:strCache>
                <c:ptCount val="1"/>
                <c:pt idx="0">
                  <c:v>Общая дебиторская задолженность</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46607</c:v>
                </c:pt>
                <c:pt idx="1">
                  <c:v>42250</c:v>
                </c:pt>
                <c:pt idx="2">
                  <c:v>25014</c:v>
                </c:pt>
              </c:numCache>
            </c:numRef>
          </c:val>
        </c:ser>
        <c:ser>
          <c:idx val="0"/>
          <c:order val="1"/>
          <c:tx>
            <c:strRef>
              <c:f>Лист1!$B$1</c:f>
              <c:strCache>
                <c:ptCount val="1"/>
                <c:pt idx="0">
                  <c:v>Дебиторская задолженность участников системы «Одного окна» (с учетом резерва)</c:v>
                </c:pt>
              </c:strCache>
            </c:strRef>
          </c:tx>
          <c:dLbls>
            <c:dLbl>
              <c:idx val="0"/>
              <c:tx>
                <c:rich>
                  <a:bodyPr/>
                  <a:lstStyle/>
                  <a:p>
                    <a:pPr>
                      <a:defRPr/>
                    </a:pPr>
                    <a:r>
                      <a:rPr lang="en-US"/>
                      <a:t>20 52</a:t>
                    </a:r>
                    <a:r>
                      <a:rPr lang="ru-RU"/>
                      <a:t>6</a:t>
                    </a:r>
                    <a:endParaRPr lang="en-US"/>
                  </a:p>
                </c:rich>
              </c:tx>
              <c:spPr>
                <a:noFill/>
              </c:spPr>
              <c:showVal val="1"/>
            </c:dLbl>
            <c:dLbl>
              <c:idx val="1"/>
              <c:tx>
                <c:rich>
                  <a:bodyPr/>
                  <a:lstStyle/>
                  <a:p>
                    <a:pPr>
                      <a:defRPr/>
                    </a:pPr>
                    <a:r>
                      <a:rPr lang="en-US"/>
                      <a:t>16 0</a:t>
                    </a:r>
                    <a:r>
                      <a:rPr lang="ru-RU"/>
                      <a:t>15</a:t>
                    </a:r>
                    <a:endParaRPr lang="en-US"/>
                  </a:p>
                </c:rich>
              </c:tx>
              <c:spPr>
                <a:noFill/>
              </c:spPr>
              <c:showVal val="1"/>
            </c:dLbl>
            <c:dLbl>
              <c:idx val="2"/>
              <c:tx>
                <c:rich>
                  <a:bodyPr/>
                  <a:lstStyle/>
                  <a:p>
                    <a:pPr>
                      <a:defRPr/>
                    </a:pPr>
                    <a:r>
                      <a:rPr lang="en-US"/>
                      <a:t>7 80</a:t>
                    </a:r>
                    <a:r>
                      <a:rPr lang="ru-RU"/>
                      <a:t>6</a:t>
                    </a:r>
                    <a:endParaRPr lang="en-US"/>
                  </a:p>
                </c:rich>
              </c:tx>
              <c:spPr>
                <a:noFill/>
              </c:spPr>
              <c:showVal val="1"/>
            </c:dLbl>
            <c:spPr>
              <a:noFill/>
            </c:spPr>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20524</c:v>
                </c:pt>
                <c:pt idx="1">
                  <c:v>16000</c:v>
                </c:pt>
                <c:pt idx="2">
                  <c:v>7805</c:v>
                </c:pt>
              </c:numCache>
            </c:numRef>
          </c:val>
        </c:ser>
        <c:axId val="174544000"/>
        <c:axId val="174545536"/>
      </c:barChart>
      <c:catAx>
        <c:axId val="174544000"/>
        <c:scaling>
          <c:orientation val="minMax"/>
        </c:scaling>
        <c:axPos val="b"/>
        <c:numFmt formatCode="General" sourceLinked="1"/>
        <c:tickLblPos val="nextTo"/>
        <c:crossAx val="174545536"/>
        <c:crosses val="autoZero"/>
        <c:auto val="1"/>
        <c:lblAlgn val="ctr"/>
        <c:lblOffset val="100"/>
      </c:catAx>
      <c:valAx>
        <c:axId val="174545536"/>
        <c:scaling>
          <c:orientation val="minMax"/>
          <c:max val="50000"/>
          <c:min val="0"/>
        </c:scaling>
        <c:axPos val="l"/>
        <c:majorGridlines/>
        <c:title>
          <c:tx>
            <c:rich>
              <a:bodyPr rot="-5400000" vert="horz"/>
              <a:lstStyle/>
              <a:p>
                <a:pPr>
                  <a:defRPr/>
                </a:pPr>
                <a:r>
                  <a:rPr lang="ru-RU"/>
                  <a:t>млн руб. </a:t>
                </a:r>
              </a:p>
            </c:rich>
          </c:tx>
        </c:title>
        <c:numFmt formatCode="#,##0" sourceLinked="1"/>
        <c:tickLblPos val="nextTo"/>
        <c:crossAx val="174544000"/>
        <c:crosses val="autoZero"/>
        <c:crossBetween val="between"/>
      </c:valAx>
    </c:plotArea>
    <c:legend>
      <c:legendPos val="b"/>
      <c:layout>
        <c:manualLayout>
          <c:xMode val="edge"/>
          <c:yMode val="edge"/>
          <c:x val="1.9329229415943321E-2"/>
          <c:y val="0.80032560108039164"/>
          <c:w val="0.98067063977373714"/>
          <c:h val="0.19546860790966888"/>
        </c:manualLayout>
      </c:layout>
      <c:txPr>
        <a:bodyPr/>
        <a:lstStyle/>
        <a:p>
          <a:pPr>
            <a:defRPr sz="800"/>
          </a:pPr>
          <a:endParaRPr lang="ru-RU"/>
        </a:p>
      </c:txPr>
    </c:legend>
    <c:plotVisOnly val="1"/>
    <c:dispBlanksAs val="gap"/>
  </c:chart>
  <c:txPr>
    <a:bodyPr/>
    <a:lstStyle/>
    <a:p>
      <a:pPr>
        <a:defRPr sz="900"/>
      </a:pPr>
      <a:endParaRPr lang="ru-RU"/>
    </a:p>
  </c:tx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50"/>
            </a:pPr>
            <a:r>
              <a:rPr lang="ru-RU" sz="1050"/>
              <a:t>Дебиторская задолженность участников системы "Одного окна"</a:t>
            </a:r>
          </a:p>
        </c:rich>
      </c:tx>
    </c:title>
    <c:plotArea>
      <c:layout>
        <c:manualLayout>
          <c:layoutTarget val="inner"/>
          <c:xMode val="edge"/>
          <c:yMode val="edge"/>
          <c:x val="0.24920320375173063"/>
          <c:y val="0.20797957297621616"/>
          <c:w val="0.62536749479103559"/>
          <c:h val="0.49318215396909654"/>
        </c:manualLayout>
      </c:layout>
      <c:barChart>
        <c:barDir val="col"/>
        <c:grouping val="stacked"/>
        <c:ser>
          <c:idx val="1"/>
          <c:order val="0"/>
          <c:tx>
            <c:strRef>
              <c:f>Лист1!$C$1</c:f>
              <c:strCache>
                <c:ptCount val="1"/>
                <c:pt idx="0">
                  <c:v>Резерв по сомнительным долгам</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2990</c:v>
                </c:pt>
                <c:pt idx="1">
                  <c:v>5736</c:v>
                </c:pt>
                <c:pt idx="2">
                  <c:v>13793</c:v>
                </c:pt>
              </c:numCache>
            </c:numRef>
          </c:val>
        </c:ser>
        <c:ser>
          <c:idx val="0"/>
          <c:order val="1"/>
          <c:tx>
            <c:strRef>
              <c:f>Лист1!$B$1</c:f>
              <c:strCache>
                <c:ptCount val="1"/>
                <c:pt idx="0">
                  <c:v>Дебеторская задолженность участников системы "Одного окна" (с учетом резерва)</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20256</c:v>
                </c:pt>
                <c:pt idx="1">
                  <c:v>16015</c:v>
                </c:pt>
                <c:pt idx="2">
                  <c:v>7806</c:v>
                </c:pt>
              </c:numCache>
            </c:numRef>
          </c:val>
        </c:ser>
        <c:gapWidth val="75"/>
        <c:overlap val="100"/>
        <c:axId val="175206784"/>
        <c:axId val="175208320"/>
      </c:barChart>
      <c:catAx>
        <c:axId val="175206784"/>
        <c:scaling>
          <c:orientation val="minMax"/>
        </c:scaling>
        <c:axPos val="b"/>
        <c:numFmt formatCode="General" sourceLinked="1"/>
        <c:majorTickMark val="none"/>
        <c:tickLblPos val="nextTo"/>
        <c:crossAx val="175208320"/>
        <c:crosses val="autoZero"/>
        <c:auto val="1"/>
        <c:lblAlgn val="ctr"/>
        <c:lblOffset val="100"/>
      </c:catAx>
      <c:valAx>
        <c:axId val="175208320"/>
        <c:scaling>
          <c:orientation val="minMax"/>
        </c:scaling>
        <c:axPos val="l"/>
        <c:majorGridlines/>
        <c:title>
          <c:tx>
            <c:rich>
              <a:bodyPr rot="-5400000" vert="horz"/>
              <a:lstStyle/>
              <a:p>
                <a:pPr>
                  <a:defRPr/>
                </a:pPr>
                <a:r>
                  <a:rPr lang="ru-RU"/>
                  <a:t>млн руб.</a:t>
                </a:r>
              </a:p>
            </c:rich>
          </c:tx>
        </c:title>
        <c:numFmt formatCode="#,##0" sourceLinked="1"/>
        <c:majorTickMark val="none"/>
        <c:tickLblPos val="nextTo"/>
        <c:spPr>
          <a:ln w="9525">
            <a:noFill/>
          </a:ln>
        </c:spPr>
        <c:crossAx val="175206784"/>
        <c:crosses val="autoZero"/>
        <c:crossBetween val="between"/>
      </c:valAx>
    </c:plotArea>
    <c:legend>
      <c:legendPos val="b"/>
      <c:layout>
        <c:manualLayout>
          <c:xMode val="edge"/>
          <c:yMode val="edge"/>
          <c:x val="8.0148590871728709E-2"/>
          <c:y val="0.80727099057791518"/>
          <c:w val="0.9198514091282769"/>
          <c:h val="0.16731529448726007"/>
        </c:manualLayout>
      </c:layout>
      <c:txPr>
        <a:bodyPr/>
        <a:lstStyle/>
        <a:p>
          <a:pPr>
            <a:defRPr sz="800"/>
          </a:pPr>
          <a:endParaRPr lang="ru-RU"/>
        </a:p>
      </c:txPr>
    </c:legend>
    <c:plotVisOnly val="1"/>
    <c:dispBlanksAs val="gap"/>
  </c:chart>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дебиторской задолженности участников системы "Одного окна"</a:t>
            </a:r>
            <a:r>
              <a:rPr lang="en-US"/>
              <a:t> </a:t>
            </a:r>
            <a:r>
              <a:rPr lang="ru-RU"/>
              <a:t>без учета резерва по сомнительным долгам</a:t>
            </a:r>
          </a:p>
        </c:rich>
      </c:tx>
    </c:title>
    <c:plotArea>
      <c:layout>
        <c:manualLayout>
          <c:layoutTarget val="inner"/>
          <c:xMode val="edge"/>
          <c:yMode val="edge"/>
          <c:x val="0.19988699728001075"/>
          <c:y val="0.24526675222938671"/>
          <c:w val="0.7783637097752063"/>
          <c:h val="0.45649641135621188"/>
        </c:manualLayout>
      </c:layout>
      <c:barChart>
        <c:barDir val="col"/>
        <c:grouping val="stacked"/>
        <c:ser>
          <c:idx val="0"/>
          <c:order val="0"/>
          <c:tx>
            <c:strRef>
              <c:f>Лист1!$B$1</c:f>
              <c:strCache>
                <c:ptCount val="1"/>
                <c:pt idx="0">
                  <c:v>ОАО «Энергокомплекс»</c:v>
                </c:pt>
              </c:strCache>
            </c:strRef>
          </c:tx>
          <c:dLbls>
            <c:showVal val="1"/>
          </c:dLbls>
          <c:cat>
            <c:strRef>
              <c:f>Лист1!$A$2:$A$4</c:f>
              <c:strCache>
                <c:ptCount val="3"/>
                <c:pt idx="0">
                  <c:v>31.12.2011</c:v>
                </c:pt>
                <c:pt idx="1">
                  <c:v>31.12.2012</c:v>
                </c:pt>
                <c:pt idx="2">
                  <c:v>31.12.2013</c:v>
                </c:pt>
              </c:strCache>
            </c:strRef>
          </c:cat>
          <c:val>
            <c:numRef>
              <c:f>Лист1!$B$2:$B$4</c:f>
              <c:numCache>
                <c:formatCode>#,##0</c:formatCode>
                <c:ptCount val="3"/>
                <c:pt idx="0">
                  <c:v>12700</c:v>
                </c:pt>
                <c:pt idx="1">
                  <c:v>12573</c:v>
                </c:pt>
                <c:pt idx="2">
                  <c:v>12480</c:v>
                </c:pt>
              </c:numCache>
            </c:numRef>
          </c:val>
        </c:ser>
        <c:ser>
          <c:idx val="1"/>
          <c:order val="1"/>
          <c:tx>
            <c:strRef>
              <c:f>Лист1!$C$1</c:f>
              <c:strCache>
                <c:ptCount val="1"/>
                <c:pt idx="0">
                  <c:v>ОАО «ОЭК»</c:v>
                </c:pt>
              </c:strCache>
            </c:strRef>
          </c:tx>
          <c:dLbls>
            <c:showVal val="1"/>
          </c:dLbls>
          <c:cat>
            <c:strRef>
              <c:f>Лист1!$A$2:$A$4</c:f>
              <c:strCache>
                <c:ptCount val="3"/>
                <c:pt idx="0">
                  <c:v>31.12.2011</c:v>
                </c:pt>
                <c:pt idx="1">
                  <c:v>31.12.2012</c:v>
                </c:pt>
                <c:pt idx="2">
                  <c:v>31.12.2013</c:v>
                </c:pt>
              </c:strCache>
            </c:strRef>
          </c:cat>
          <c:val>
            <c:numRef>
              <c:f>Лист1!$C$2:$C$4</c:f>
              <c:numCache>
                <c:formatCode>#,##0</c:formatCode>
                <c:ptCount val="3"/>
                <c:pt idx="0">
                  <c:v>5509</c:v>
                </c:pt>
                <c:pt idx="1">
                  <c:v>3871</c:v>
                </c:pt>
                <c:pt idx="2">
                  <c:v>3840</c:v>
                </c:pt>
              </c:numCache>
            </c:numRef>
          </c:val>
        </c:ser>
        <c:ser>
          <c:idx val="2"/>
          <c:order val="2"/>
          <c:tx>
            <c:strRef>
              <c:f>Лист1!$D$1</c:f>
              <c:strCache>
                <c:ptCount val="1"/>
                <c:pt idx="0">
                  <c:v>ГУП «Москоллектор»</c:v>
                </c:pt>
              </c:strCache>
            </c:strRef>
          </c:tx>
          <c:dLbls>
            <c:showVal val="1"/>
          </c:dLbls>
          <c:cat>
            <c:strRef>
              <c:f>Лист1!$A$2:$A$4</c:f>
              <c:strCache>
                <c:ptCount val="3"/>
                <c:pt idx="0">
                  <c:v>31.12.2011</c:v>
                </c:pt>
                <c:pt idx="1">
                  <c:v>31.12.2012</c:v>
                </c:pt>
                <c:pt idx="2">
                  <c:v>31.12.2013</c:v>
                </c:pt>
              </c:strCache>
            </c:strRef>
          </c:cat>
          <c:val>
            <c:numRef>
              <c:f>Лист1!$D$2:$D$4</c:f>
              <c:numCache>
                <c:formatCode>#,##0</c:formatCode>
                <c:ptCount val="3"/>
                <c:pt idx="0">
                  <c:v>4628</c:v>
                </c:pt>
                <c:pt idx="1">
                  <c:v>4628</c:v>
                </c:pt>
                <c:pt idx="2">
                  <c:v>4601</c:v>
                </c:pt>
              </c:numCache>
            </c:numRef>
          </c:val>
        </c:ser>
        <c:ser>
          <c:idx val="3"/>
          <c:order val="3"/>
          <c:tx>
            <c:strRef>
              <c:f>Лист1!$E$1</c:f>
              <c:strCache>
                <c:ptCount val="1"/>
                <c:pt idx="0">
                  <c:v>ОАО «Мосэнерго»</c:v>
                </c:pt>
              </c:strCache>
            </c:strRef>
          </c:tx>
          <c:dLbls>
            <c:showVal val="1"/>
          </c:dLbls>
          <c:cat>
            <c:strRef>
              <c:f>Лист1!$A$2:$A$4</c:f>
              <c:strCache>
                <c:ptCount val="3"/>
                <c:pt idx="0">
                  <c:v>31.12.2011</c:v>
                </c:pt>
                <c:pt idx="1">
                  <c:v>31.12.2012</c:v>
                </c:pt>
                <c:pt idx="2">
                  <c:v>31.12.2013</c:v>
                </c:pt>
              </c:strCache>
            </c:strRef>
          </c:cat>
          <c:val>
            <c:numRef>
              <c:f>Лист1!$E$2:$E$4</c:f>
              <c:numCache>
                <c:formatCode>General</c:formatCode>
                <c:ptCount val="3"/>
                <c:pt idx="0">
                  <c:v>680</c:v>
                </c:pt>
                <c:pt idx="1">
                  <c:v>680</c:v>
                </c:pt>
                <c:pt idx="2">
                  <c:v>677</c:v>
                </c:pt>
              </c:numCache>
            </c:numRef>
          </c:val>
        </c:ser>
        <c:overlap val="100"/>
        <c:axId val="175224704"/>
        <c:axId val="175226240"/>
      </c:barChart>
      <c:catAx>
        <c:axId val="175224704"/>
        <c:scaling>
          <c:orientation val="minMax"/>
        </c:scaling>
        <c:axPos val="b"/>
        <c:numFmt formatCode="@" sourceLinked="1"/>
        <c:tickLblPos val="nextTo"/>
        <c:crossAx val="175226240"/>
        <c:crosses val="autoZero"/>
        <c:auto val="1"/>
        <c:lblAlgn val="ctr"/>
        <c:lblOffset val="100"/>
      </c:catAx>
      <c:valAx>
        <c:axId val="175226240"/>
        <c:scaling>
          <c:orientation val="minMax"/>
          <c:max val="25000"/>
          <c:min val="0"/>
        </c:scaling>
        <c:axPos val="l"/>
        <c:majorGridlines/>
        <c:title>
          <c:tx>
            <c:rich>
              <a:bodyPr rot="-5400000" vert="horz"/>
              <a:lstStyle/>
              <a:p>
                <a:pPr>
                  <a:defRPr/>
                </a:pPr>
                <a:r>
                  <a:rPr lang="ru-RU"/>
                  <a:t>млн руб.</a:t>
                </a:r>
              </a:p>
            </c:rich>
          </c:tx>
          <c:layout>
            <c:manualLayout>
              <c:xMode val="edge"/>
              <c:yMode val="edge"/>
              <c:x val="0"/>
              <c:y val="0.29451698464551396"/>
            </c:manualLayout>
          </c:layout>
        </c:title>
        <c:numFmt formatCode="#,##0" sourceLinked="1"/>
        <c:tickLblPos val="nextTo"/>
        <c:crossAx val="175224704"/>
        <c:crosses val="autoZero"/>
        <c:crossBetween val="between"/>
      </c:valAx>
    </c:plotArea>
    <c:legend>
      <c:legendPos val="b"/>
      <c:layout>
        <c:manualLayout>
          <c:xMode val="edge"/>
          <c:yMode val="edge"/>
          <c:x val="7.4916766803737088E-3"/>
          <c:y val="0.81783155813365671"/>
          <c:w val="0.99250840199339552"/>
          <c:h val="0.15780883513992011"/>
        </c:manualLayout>
      </c:layout>
    </c:legend>
    <c:plotVisOnly val="1"/>
    <c:dispBlanksAs val="gap"/>
  </c:chart>
  <c:txPr>
    <a:bodyPr/>
    <a:lstStyle/>
    <a:p>
      <a:pPr>
        <a:defRPr sz="900"/>
      </a:pPr>
      <a:endParaRPr lang="ru-RU"/>
    </a:p>
  </c:tx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дебиторской задолженности участников системы "Одного окна" без учета </a:t>
            </a:r>
            <a:r>
              <a:rPr lang="ru-RU" sz="1080" b="1" i="0" u="none" strike="noStrike" baseline="0"/>
              <a:t>резерва по сомнительным долгам</a:t>
            </a:r>
            <a:endParaRPr lang="ru-RU"/>
          </a:p>
        </c:rich>
      </c:tx>
    </c:title>
    <c:plotArea>
      <c:layout>
        <c:manualLayout>
          <c:layoutTarget val="inner"/>
          <c:xMode val="edge"/>
          <c:yMode val="edge"/>
          <c:x val="0.19988699728001075"/>
          <c:y val="0.25745496120887129"/>
          <c:w val="0.7783637097752063"/>
          <c:h val="0.4443082023767328"/>
        </c:manualLayout>
      </c:layout>
      <c:barChart>
        <c:barDir val="col"/>
        <c:grouping val="stacked"/>
        <c:ser>
          <c:idx val="0"/>
          <c:order val="0"/>
          <c:tx>
            <c:strRef>
              <c:f>Лист1!$B$1</c:f>
              <c:strCache>
                <c:ptCount val="1"/>
                <c:pt idx="0">
                  <c:v>ОАО «Энергокомплекс»</c:v>
                </c:pt>
              </c:strCache>
            </c:strRef>
          </c:tx>
          <c:dLbls>
            <c:showVal val="1"/>
          </c:dLbls>
          <c:cat>
            <c:strRef>
              <c:f>Лист1!$A$2:$A$4</c:f>
              <c:strCache>
                <c:ptCount val="3"/>
                <c:pt idx="0">
                  <c:v>31.12.2011</c:v>
                </c:pt>
                <c:pt idx="1">
                  <c:v>31.12.2012</c:v>
                </c:pt>
                <c:pt idx="2">
                  <c:v>31.12.2013</c:v>
                </c:pt>
              </c:strCache>
            </c:strRef>
          </c:cat>
          <c:val>
            <c:numRef>
              <c:f>Лист1!$B$2:$B$4</c:f>
              <c:numCache>
                <c:formatCode>0.00%</c:formatCode>
                <c:ptCount val="3"/>
                <c:pt idx="0">
                  <c:v>0.54003486839308468</c:v>
                </c:pt>
                <c:pt idx="1">
                  <c:v>0.57801581463774065</c:v>
                </c:pt>
                <c:pt idx="2">
                  <c:v>0.57783128067414447</c:v>
                </c:pt>
              </c:numCache>
            </c:numRef>
          </c:val>
        </c:ser>
        <c:ser>
          <c:idx val="1"/>
          <c:order val="1"/>
          <c:tx>
            <c:strRef>
              <c:f>Лист1!$C$1</c:f>
              <c:strCache>
                <c:ptCount val="1"/>
                <c:pt idx="0">
                  <c:v>ОАО «ОЭК»</c:v>
                </c:pt>
              </c:strCache>
            </c:strRef>
          </c:tx>
          <c:dLbls>
            <c:showVal val="1"/>
          </c:dLbls>
          <c:cat>
            <c:strRef>
              <c:f>Лист1!$A$2:$A$4</c:f>
              <c:strCache>
                <c:ptCount val="3"/>
                <c:pt idx="0">
                  <c:v>31.12.2011</c:v>
                </c:pt>
                <c:pt idx="1">
                  <c:v>31.12.2012</c:v>
                </c:pt>
                <c:pt idx="2">
                  <c:v>31.12.2013</c:v>
                </c:pt>
              </c:strCache>
            </c:strRef>
          </c:cat>
          <c:val>
            <c:numRef>
              <c:f>Лист1!$C$2:$C$4</c:f>
              <c:numCache>
                <c:formatCode>0.00%</c:formatCode>
                <c:ptCount val="3"/>
                <c:pt idx="0">
                  <c:v>0.23425607007696594</c:v>
                </c:pt>
                <c:pt idx="1">
                  <c:v>0.17796064729680044</c:v>
                </c:pt>
                <c:pt idx="2">
                  <c:v>0.17779424020743034</c:v>
                </c:pt>
              </c:numCache>
            </c:numRef>
          </c:val>
        </c:ser>
        <c:ser>
          <c:idx val="2"/>
          <c:order val="2"/>
          <c:tx>
            <c:strRef>
              <c:f>Лист1!$D$1</c:f>
              <c:strCache>
                <c:ptCount val="1"/>
                <c:pt idx="0">
                  <c:v>ГУП «Москоллектор»</c:v>
                </c:pt>
              </c:strCache>
            </c:strRef>
          </c:tx>
          <c:dLbls>
            <c:showVal val="1"/>
          </c:dLbls>
          <c:cat>
            <c:strRef>
              <c:f>Лист1!$A$2:$A$4</c:f>
              <c:strCache>
                <c:ptCount val="3"/>
                <c:pt idx="0">
                  <c:v>31.12.2011</c:v>
                </c:pt>
                <c:pt idx="1">
                  <c:v>31.12.2012</c:v>
                </c:pt>
                <c:pt idx="2">
                  <c:v>31.12.2013</c:v>
                </c:pt>
              </c:strCache>
            </c:strRef>
          </c:cat>
          <c:val>
            <c:numRef>
              <c:f>Лист1!$D$2:$D$4</c:f>
              <c:numCache>
                <c:formatCode>0.00%</c:formatCode>
                <c:ptCount val="3"/>
                <c:pt idx="0">
                  <c:v>0.19679380873410723</c:v>
                </c:pt>
                <c:pt idx="1">
                  <c:v>0.21276204486944075</c:v>
                </c:pt>
                <c:pt idx="2">
                  <c:v>0.21302898416520338</c:v>
                </c:pt>
              </c:numCache>
            </c:numRef>
          </c:val>
        </c:ser>
        <c:ser>
          <c:idx val="3"/>
          <c:order val="3"/>
          <c:tx>
            <c:strRef>
              <c:f>Лист1!$E$1</c:f>
              <c:strCache>
                <c:ptCount val="1"/>
                <c:pt idx="0">
                  <c:v>ОАО «Мосэнерго»</c:v>
                </c:pt>
              </c:strCache>
            </c:strRef>
          </c:tx>
          <c:dLbls>
            <c:showVal val="1"/>
          </c:dLbls>
          <c:cat>
            <c:strRef>
              <c:f>Лист1!$A$2:$A$4</c:f>
              <c:strCache>
                <c:ptCount val="3"/>
                <c:pt idx="0">
                  <c:v>31.12.2011</c:v>
                </c:pt>
                <c:pt idx="1">
                  <c:v>31.12.2012</c:v>
                </c:pt>
                <c:pt idx="2">
                  <c:v>31.12.2013</c:v>
                </c:pt>
              </c:strCache>
            </c:strRef>
          </c:cat>
          <c:val>
            <c:numRef>
              <c:f>Лист1!$E$2:$E$4</c:f>
              <c:numCache>
                <c:formatCode>0.00%</c:formatCode>
                <c:ptCount val="3"/>
                <c:pt idx="0">
                  <c:v>2.8915252795849809E-2</c:v>
                </c:pt>
                <c:pt idx="1">
                  <c:v>3.1261493196027952E-2</c:v>
                </c:pt>
                <c:pt idx="2">
                  <c:v>3.1345494953236408E-2</c:v>
                </c:pt>
              </c:numCache>
            </c:numRef>
          </c:val>
        </c:ser>
        <c:overlap val="100"/>
        <c:axId val="180972928"/>
        <c:axId val="183112832"/>
      </c:barChart>
      <c:catAx>
        <c:axId val="180972928"/>
        <c:scaling>
          <c:orientation val="minMax"/>
        </c:scaling>
        <c:axPos val="b"/>
        <c:numFmt formatCode="@" sourceLinked="1"/>
        <c:tickLblPos val="nextTo"/>
        <c:crossAx val="183112832"/>
        <c:crosses val="autoZero"/>
        <c:auto val="1"/>
        <c:lblAlgn val="ctr"/>
        <c:lblOffset val="100"/>
      </c:catAx>
      <c:valAx>
        <c:axId val="183112832"/>
        <c:scaling>
          <c:orientation val="minMax"/>
          <c:max val="1"/>
          <c:min val="0"/>
        </c:scaling>
        <c:axPos val="l"/>
        <c:majorGridlines/>
        <c:title>
          <c:tx>
            <c:rich>
              <a:bodyPr rot="-5400000" vert="horz"/>
              <a:lstStyle/>
              <a:p>
                <a:pPr>
                  <a:defRPr/>
                </a:pPr>
                <a:r>
                  <a:rPr lang="ru-RU"/>
                  <a:t>млн руб.</a:t>
                </a:r>
              </a:p>
            </c:rich>
          </c:tx>
          <c:layout>
            <c:manualLayout>
              <c:xMode val="edge"/>
              <c:yMode val="edge"/>
              <c:x val="0"/>
              <c:y val="0.29451698464551396"/>
            </c:manualLayout>
          </c:layout>
        </c:title>
        <c:numFmt formatCode="0%" sourceLinked="0"/>
        <c:tickLblPos val="nextTo"/>
        <c:crossAx val="180972928"/>
        <c:crosses val="autoZero"/>
        <c:crossBetween val="between"/>
      </c:valAx>
    </c:plotArea>
    <c:legend>
      <c:legendPos val="b"/>
      <c:layout>
        <c:manualLayout>
          <c:xMode val="edge"/>
          <c:yMode val="edge"/>
          <c:x val="7.4916766803737088E-3"/>
          <c:y val="0.81783155813365671"/>
          <c:w val="0.99250840199339552"/>
          <c:h val="0.15780883513992011"/>
        </c:manualLayout>
      </c:layout>
    </c:legend>
    <c:plotVisOnly val="1"/>
    <c:dispBlanksAs val="gap"/>
  </c:chart>
  <c:txPr>
    <a:bodyPr/>
    <a:lstStyle/>
    <a:p>
      <a:pPr>
        <a:defRPr sz="900"/>
      </a:pPr>
      <a:endParaRPr lang="ru-RU"/>
    </a:p>
  </c:tx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резерва по сомнительным долгам</a:t>
            </a:r>
          </a:p>
        </c:rich>
      </c:tx>
    </c:title>
    <c:plotArea>
      <c:layout>
        <c:manualLayout>
          <c:layoutTarget val="inner"/>
          <c:xMode val="edge"/>
          <c:yMode val="edge"/>
          <c:x val="0.19988699728001075"/>
          <c:y val="0.18432555743616191"/>
          <c:w val="0.7783637097752063"/>
          <c:h val="0.51743737741843632"/>
        </c:manualLayout>
      </c:layout>
      <c:barChart>
        <c:barDir val="col"/>
        <c:grouping val="stacked"/>
        <c:ser>
          <c:idx val="0"/>
          <c:order val="0"/>
          <c:tx>
            <c:strRef>
              <c:f>Лист1!$B$1</c:f>
              <c:strCache>
                <c:ptCount val="1"/>
                <c:pt idx="0">
                  <c:v>ОАО «Энергокомплекс»</c:v>
                </c:pt>
              </c:strCache>
            </c:strRef>
          </c:tx>
          <c:dLbls>
            <c:showVal val="1"/>
          </c:dLbls>
          <c:cat>
            <c:strRef>
              <c:f>Лист1!$A$2:$A$4</c:f>
              <c:strCache>
                <c:ptCount val="3"/>
                <c:pt idx="0">
                  <c:v>31.12.2011</c:v>
                </c:pt>
                <c:pt idx="1">
                  <c:v>31.12.2012</c:v>
                </c:pt>
                <c:pt idx="2">
                  <c:v>31.12.2013</c:v>
                </c:pt>
              </c:strCache>
            </c:strRef>
          </c:cat>
          <c:val>
            <c:numRef>
              <c:f>Лист1!$B$2:$B$4</c:f>
              <c:numCache>
                <c:formatCode>#,##0</c:formatCode>
                <c:ptCount val="3"/>
                <c:pt idx="0">
                  <c:v>1575</c:v>
                </c:pt>
                <c:pt idx="1">
                  <c:v>4018</c:v>
                </c:pt>
                <c:pt idx="2">
                  <c:v>12480</c:v>
                </c:pt>
              </c:numCache>
            </c:numRef>
          </c:val>
        </c:ser>
        <c:ser>
          <c:idx val="1"/>
          <c:order val="1"/>
          <c:tx>
            <c:strRef>
              <c:f>Лист1!$C$1</c:f>
              <c:strCache>
                <c:ptCount val="1"/>
                <c:pt idx="0">
                  <c:v>ОАО «ОЭК»</c:v>
                </c:pt>
              </c:strCache>
            </c:strRef>
          </c:tx>
          <c:dLbls>
            <c:showVal val="1"/>
          </c:dLbls>
          <c:cat>
            <c:strRef>
              <c:f>Лист1!$A$2:$A$4</c:f>
              <c:strCache>
                <c:ptCount val="3"/>
                <c:pt idx="0">
                  <c:v>31.12.2011</c:v>
                </c:pt>
                <c:pt idx="1">
                  <c:v>31.12.2012</c:v>
                </c:pt>
                <c:pt idx="2">
                  <c:v>31.12.2013</c:v>
                </c:pt>
              </c:strCache>
            </c:strRef>
          </c:cat>
          <c:val>
            <c:numRef>
              <c:f>Лист1!$C$2:$C$4</c:f>
              <c:numCache>
                <c:formatCode>General</c:formatCode>
                <c:ptCount val="3"/>
                <c:pt idx="0">
                  <c:v>793</c:v>
                </c:pt>
                <c:pt idx="1">
                  <c:v>793</c:v>
                </c:pt>
                <c:pt idx="2">
                  <c:v>387</c:v>
                </c:pt>
              </c:numCache>
            </c:numRef>
          </c:val>
        </c:ser>
        <c:ser>
          <c:idx val="2"/>
          <c:order val="2"/>
          <c:tx>
            <c:strRef>
              <c:f>Лист1!$D$1</c:f>
              <c:strCache>
                <c:ptCount val="1"/>
                <c:pt idx="0">
                  <c:v>ГУП «Москоллектор»</c:v>
                </c:pt>
              </c:strCache>
            </c:strRef>
          </c:tx>
          <c:dLbls>
            <c:showVal val="1"/>
          </c:dLbls>
          <c:cat>
            <c:strRef>
              <c:f>Лист1!$A$2:$A$4</c:f>
              <c:strCache>
                <c:ptCount val="3"/>
                <c:pt idx="0">
                  <c:v>31.12.2011</c:v>
                </c:pt>
                <c:pt idx="1">
                  <c:v>31.12.2012</c:v>
                </c:pt>
                <c:pt idx="2">
                  <c:v>31.12.2013</c:v>
                </c:pt>
              </c:strCache>
            </c:strRef>
          </c:cat>
          <c:val>
            <c:numRef>
              <c:f>Лист1!$D$2:$D$4</c:f>
              <c:numCache>
                <c:formatCode>General</c:formatCode>
                <c:ptCount val="3"/>
                <c:pt idx="0">
                  <c:v>498</c:v>
                </c:pt>
                <c:pt idx="1">
                  <c:v>926</c:v>
                </c:pt>
                <c:pt idx="2">
                  <c:v>926</c:v>
                </c:pt>
              </c:numCache>
            </c:numRef>
          </c:val>
        </c:ser>
        <c:ser>
          <c:idx val="3"/>
          <c:order val="3"/>
          <c:tx>
            <c:strRef>
              <c:f>Лист1!$E$1</c:f>
              <c:strCache>
                <c:ptCount val="1"/>
                <c:pt idx="0">
                  <c:v>ОАО «Мосэнерго»</c:v>
                </c:pt>
              </c:strCache>
            </c:strRef>
          </c:tx>
          <c:dLbls>
            <c:showVal val="1"/>
          </c:dLbls>
          <c:cat>
            <c:strRef>
              <c:f>Лист1!$A$2:$A$4</c:f>
              <c:strCache>
                <c:ptCount val="3"/>
                <c:pt idx="0">
                  <c:v>31.12.2011</c:v>
                </c:pt>
                <c:pt idx="1">
                  <c:v>31.12.2012</c:v>
                </c:pt>
                <c:pt idx="2">
                  <c:v>31.12.2013</c:v>
                </c:pt>
              </c:strCache>
            </c:strRef>
          </c:cat>
          <c:val>
            <c:numRef>
              <c:f>Лист1!$E$2:$E$4</c:f>
              <c:numCache>
                <c:formatCode>General</c:formatCode>
                <c:ptCount val="3"/>
                <c:pt idx="0">
                  <c:v>125</c:v>
                </c:pt>
                <c:pt idx="1">
                  <c:v>0</c:v>
                </c:pt>
                <c:pt idx="2">
                  <c:v>0</c:v>
                </c:pt>
              </c:numCache>
            </c:numRef>
          </c:val>
        </c:ser>
        <c:overlap val="100"/>
        <c:axId val="183141504"/>
        <c:axId val="183143040"/>
      </c:barChart>
      <c:catAx>
        <c:axId val="183141504"/>
        <c:scaling>
          <c:orientation val="minMax"/>
        </c:scaling>
        <c:axPos val="b"/>
        <c:numFmt formatCode="@" sourceLinked="1"/>
        <c:tickLblPos val="nextTo"/>
        <c:crossAx val="183143040"/>
        <c:crosses val="autoZero"/>
        <c:auto val="1"/>
        <c:lblAlgn val="ctr"/>
        <c:lblOffset val="100"/>
      </c:catAx>
      <c:valAx>
        <c:axId val="183143040"/>
        <c:scaling>
          <c:orientation val="minMax"/>
          <c:max val="14000"/>
        </c:scaling>
        <c:axPos val="l"/>
        <c:majorGridlines/>
        <c:title>
          <c:tx>
            <c:rich>
              <a:bodyPr rot="-5400000" vert="horz"/>
              <a:lstStyle/>
              <a:p>
                <a:pPr>
                  <a:defRPr/>
                </a:pPr>
                <a:r>
                  <a:rPr lang="ru-RU"/>
                  <a:t>млн руб.</a:t>
                </a:r>
              </a:p>
            </c:rich>
          </c:tx>
          <c:layout>
            <c:manualLayout>
              <c:xMode val="edge"/>
              <c:yMode val="edge"/>
              <c:x val="0"/>
              <c:y val="0.29451698464551396"/>
            </c:manualLayout>
          </c:layout>
        </c:title>
        <c:numFmt formatCode="#,##0" sourceLinked="1"/>
        <c:tickLblPos val="nextTo"/>
        <c:crossAx val="183141504"/>
        <c:crosses val="autoZero"/>
        <c:crossBetween val="between"/>
      </c:valAx>
    </c:plotArea>
    <c:legend>
      <c:legendPos val="b"/>
      <c:layout>
        <c:manualLayout>
          <c:xMode val="edge"/>
          <c:yMode val="edge"/>
          <c:x val="7.4916766803737088E-3"/>
          <c:y val="0.81783155813365671"/>
          <c:w val="0.99250840199339552"/>
          <c:h val="0.15780883513992011"/>
        </c:manualLayout>
      </c:layout>
    </c:legend>
    <c:plotVisOnly val="1"/>
    <c:dispBlanksAs val="gap"/>
  </c:chart>
  <c:txPr>
    <a:bodyPr/>
    <a:lstStyle/>
    <a:p>
      <a:pPr>
        <a:defRPr sz="900"/>
      </a:pPr>
      <a:endParaRPr lang="ru-RU"/>
    </a:p>
  </c:tx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резерва по сомнительным долгам</a:t>
            </a:r>
          </a:p>
        </c:rich>
      </c:tx>
    </c:title>
    <c:plotArea>
      <c:layout>
        <c:manualLayout>
          <c:layoutTarget val="inner"/>
          <c:xMode val="edge"/>
          <c:yMode val="edge"/>
          <c:x val="0.14860167747025488"/>
          <c:y val="0.18838908345948396"/>
          <c:w val="0.80329912819090554"/>
          <c:h val="0.52141821869990768"/>
        </c:manualLayout>
      </c:layout>
      <c:barChart>
        <c:barDir val="col"/>
        <c:grouping val="percentStacked"/>
        <c:ser>
          <c:idx val="0"/>
          <c:order val="0"/>
          <c:tx>
            <c:strRef>
              <c:f>Лист1!$B$1</c:f>
              <c:strCache>
                <c:ptCount val="1"/>
                <c:pt idx="0">
                  <c:v>ОАО «Энергокомплекс»</c:v>
                </c:pt>
              </c:strCache>
            </c:strRef>
          </c:tx>
          <c:dLbls>
            <c:showVal val="1"/>
          </c:dLbls>
          <c:cat>
            <c:strRef>
              <c:f>Лист1!$A$2:$A$4</c:f>
              <c:strCache>
                <c:ptCount val="3"/>
                <c:pt idx="0">
                  <c:v>31.12.2011</c:v>
                </c:pt>
                <c:pt idx="1">
                  <c:v>31.12.2012</c:v>
                </c:pt>
                <c:pt idx="2">
                  <c:v>31.12.2013</c:v>
                </c:pt>
              </c:strCache>
            </c:strRef>
          </c:cat>
          <c:val>
            <c:numRef>
              <c:f>Лист1!$B$2:$B$4</c:f>
              <c:numCache>
                <c:formatCode>0.00%</c:formatCode>
                <c:ptCount val="3"/>
                <c:pt idx="0">
                  <c:v>0.52657973921765056</c:v>
                </c:pt>
                <c:pt idx="1">
                  <c:v>0.70036604497122579</c:v>
                </c:pt>
                <c:pt idx="2">
                  <c:v>0.9048067860508956</c:v>
                </c:pt>
              </c:numCache>
            </c:numRef>
          </c:val>
        </c:ser>
        <c:ser>
          <c:idx val="1"/>
          <c:order val="1"/>
          <c:tx>
            <c:strRef>
              <c:f>Лист1!$C$1</c:f>
              <c:strCache>
                <c:ptCount val="1"/>
                <c:pt idx="0">
                  <c:v>ОАО «ОЭК»</c:v>
                </c:pt>
              </c:strCache>
            </c:strRef>
          </c:tx>
          <c:dLbls>
            <c:showVal val="1"/>
          </c:dLbls>
          <c:cat>
            <c:strRef>
              <c:f>Лист1!$A$2:$A$4</c:f>
              <c:strCache>
                <c:ptCount val="3"/>
                <c:pt idx="0">
                  <c:v>31.12.2011</c:v>
                </c:pt>
                <c:pt idx="1">
                  <c:v>31.12.2012</c:v>
                </c:pt>
                <c:pt idx="2">
                  <c:v>31.12.2013</c:v>
                </c:pt>
              </c:strCache>
            </c:strRef>
          </c:cat>
          <c:val>
            <c:numRef>
              <c:f>Лист1!$C$2:$C$4</c:f>
              <c:numCache>
                <c:formatCode>0.00%</c:formatCode>
                <c:ptCount val="3"/>
                <c:pt idx="0">
                  <c:v>0.26512871949180888</c:v>
                </c:pt>
                <c:pt idx="1">
                  <c:v>0.13822555342513509</c:v>
                </c:pt>
                <c:pt idx="2">
                  <c:v>2.8057710432828252E-2</c:v>
                </c:pt>
              </c:numCache>
            </c:numRef>
          </c:val>
        </c:ser>
        <c:ser>
          <c:idx val="2"/>
          <c:order val="2"/>
          <c:tx>
            <c:strRef>
              <c:f>Лист1!$D$1</c:f>
              <c:strCache>
                <c:ptCount val="1"/>
                <c:pt idx="0">
                  <c:v>ГУП «Москоллектор»</c:v>
                </c:pt>
              </c:strCache>
            </c:strRef>
          </c:tx>
          <c:dLbls>
            <c:showVal val="1"/>
          </c:dLbls>
          <c:cat>
            <c:strRef>
              <c:f>Лист1!$A$2:$A$4</c:f>
              <c:strCache>
                <c:ptCount val="3"/>
                <c:pt idx="0">
                  <c:v>31.12.2011</c:v>
                </c:pt>
                <c:pt idx="1">
                  <c:v>31.12.2012</c:v>
                </c:pt>
                <c:pt idx="2">
                  <c:v>31.12.2013</c:v>
                </c:pt>
              </c:strCache>
            </c:strRef>
          </c:cat>
          <c:val>
            <c:numRef>
              <c:f>Лист1!$D$2:$D$4</c:f>
              <c:numCache>
                <c:formatCode>0.00%</c:formatCode>
                <c:ptCount val="3"/>
                <c:pt idx="0">
                  <c:v>0.16649949849549089</c:v>
                </c:pt>
                <c:pt idx="1">
                  <c:v>0.16140840160362571</c:v>
                </c:pt>
                <c:pt idx="2">
                  <c:v>6.7135503516276382E-2</c:v>
                </c:pt>
              </c:numCache>
            </c:numRef>
          </c:val>
        </c:ser>
        <c:ser>
          <c:idx val="3"/>
          <c:order val="3"/>
          <c:tx>
            <c:strRef>
              <c:f>Лист1!$E$1</c:f>
              <c:strCache>
                <c:ptCount val="1"/>
                <c:pt idx="0">
                  <c:v>ОАО «Мосэнерго»</c:v>
                </c:pt>
              </c:strCache>
            </c:strRef>
          </c:tx>
          <c:dLbls>
            <c:showVal val="1"/>
          </c:dLbls>
          <c:cat>
            <c:strRef>
              <c:f>Лист1!$A$2:$A$4</c:f>
              <c:strCache>
                <c:ptCount val="3"/>
                <c:pt idx="0">
                  <c:v>31.12.2011</c:v>
                </c:pt>
                <c:pt idx="1">
                  <c:v>31.12.2012</c:v>
                </c:pt>
                <c:pt idx="2">
                  <c:v>31.12.2013</c:v>
                </c:pt>
              </c:strCache>
            </c:strRef>
          </c:cat>
          <c:val>
            <c:numRef>
              <c:f>Лист1!$E$2:$E$4</c:f>
              <c:numCache>
                <c:formatCode>0.00%</c:formatCode>
                <c:ptCount val="3"/>
                <c:pt idx="0">
                  <c:v>4.1800000000000004E-2</c:v>
                </c:pt>
                <c:pt idx="1">
                  <c:v>0</c:v>
                </c:pt>
                <c:pt idx="2">
                  <c:v>0</c:v>
                </c:pt>
              </c:numCache>
            </c:numRef>
          </c:val>
        </c:ser>
        <c:overlap val="100"/>
        <c:axId val="183216768"/>
        <c:axId val="183226752"/>
      </c:barChart>
      <c:catAx>
        <c:axId val="183216768"/>
        <c:scaling>
          <c:orientation val="minMax"/>
        </c:scaling>
        <c:axPos val="b"/>
        <c:numFmt formatCode="@" sourceLinked="1"/>
        <c:tickLblPos val="nextTo"/>
        <c:crossAx val="183226752"/>
        <c:crosses val="autoZero"/>
        <c:auto val="1"/>
        <c:lblAlgn val="ctr"/>
        <c:lblOffset val="100"/>
      </c:catAx>
      <c:valAx>
        <c:axId val="183226752"/>
        <c:scaling>
          <c:orientation val="minMax"/>
          <c:max val="1"/>
        </c:scaling>
        <c:axPos val="l"/>
        <c:majorGridlines/>
        <c:numFmt formatCode="0%" sourceLinked="1"/>
        <c:tickLblPos val="nextTo"/>
        <c:crossAx val="183216768"/>
        <c:crosses val="autoZero"/>
        <c:crossBetween val="between"/>
      </c:valAx>
    </c:plotArea>
    <c:legend>
      <c:legendPos val="b"/>
    </c:legend>
    <c:plotVisOnly val="1"/>
    <c:dispBlanksAs val="gap"/>
  </c:chart>
  <c:txPr>
    <a:bodyPr/>
    <a:lstStyle/>
    <a:p>
      <a:pPr>
        <a:defRPr sz="900"/>
      </a:pPr>
      <a:endParaRPr lang="ru-RU"/>
    </a:p>
  </c:tx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00"/>
              <a:t>Дебиторская задолженность за услуги по передаче э/э</a:t>
            </a:r>
          </a:p>
        </c:rich>
      </c:tx>
      <c:layout>
        <c:manualLayout>
          <c:xMode val="edge"/>
          <c:yMode val="edge"/>
          <c:x val="0.13646430559816825"/>
          <c:y val="0"/>
        </c:manualLayout>
      </c:layout>
    </c:title>
    <c:plotArea>
      <c:layout>
        <c:manualLayout>
          <c:layoutTarget val="inner"/>
          <c:xMode val="edge"/>
          <c:yMode val="edge"/>
          <c:x val="0.20960561747963322"/>
          <c:y val="0.32619785532008388"/>
          <c:w val="0.67463800943953889"/>
          <c:h val="0.38047764861834232"/>
        </c:manualLayout>
      </c:layout>
      <c:barChart>
        <c:barDir val="col"/>
        <c:grouping val="clustered"/>
        <c:ser>
          <c:idx val="0"/>
          <c:order val="0"/>
          <c:tx>
            <c:strRef>
              <c:f>Лист1!$B$1</c:f>
              <c:strCache>
                <c:ptCount val="1"/>
                <c:pt idx="0">
                  <c:v>Д/з за услуги по передаче э/э</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9530</c:v>
                </c:pt>
                <c:pt idx="1">
                  <c:v>9307</c:v>
                </c:pt>
                <c:pt idx="2">
                  <c:v>9234</c:v>
                </c:pt>
              </c:numCache>
            </c:numRef>
          </c:val>
        </c:ser>
        <c:axId val="183240960"/>
        <c:axId val="183246848"/>
      </c:barChart>
      <c:lineChart>
        <c:grouping val="standard"/>
        <c:ser>
          <c:idx val="1"/>
          <c:order val="1"/>
          <c:tx>
            <c:strRef>
              <c:f>Лист1!$C$1</c:f>
              <c:strCache>
                <c:ptCount val="1"/>
                <c:pt idx="0">
                  <c:v>Оборачиваемость д/з по передаче э/э</c:v>
                </c:pt>
              </c:strCache>
            </c:strRef>
          </c:tx>
          <c:marker>
            <c:symbol val="circle"/>
            <c:size val="7"/>
          </c:marker>
          <c:dLbls>
            <c:dLblPos val="t"/>
            <c:showVal val="1"/>
          </c:dLbls>
          <c:cat>
            <c:numRef>
              <c:f>Лист1!$A$2:$A$4</c:f>
              <c:numCache>
                <c:formatCode>General</c:formatCode>
                <c:ptCount val="3"/>
                <c:pt idx="0">
                  <c:v>2011</c:v>
                </c:pt>
                <c:pt idx="1">
                  <c:v>2012</c:v>
                </c:pt>
                <c:pt idx="2">
                  <c:v>2013</c:v>
                </c:pt>
              </c:numCache>
            </c:numRef>
          </c:cat>
          <c:val>
            <c:numRef>
              <c:f>Лист1!$C$2:$C$4</c:f>
              <c:numCache>
                <c:formatCode>General</c:formatCode>
                <c:ptCount val="3"/>
                <c:pt idx="0">
                  <c:v>28</c:v>
                </c:pt>
                <c:pt idx="1">
                  <c:v>29</c:v>
                </c:pt>
                <c:pt idx="2">
                  <c:v>26</c:v>
                </c:pt>
              </c:numCache>
            </c:numRef>
          </c:val>
        </c:ser>
        <c:marker val="1"/>
        <c:axId val="183275520"/>
        <c:axId val="183248768"/>
      </c:lineChart>
      <c:catAx>
        <c:axId val="183240960"/>
        <c:scaling>
          <c:orientation val="minMax"/>
        </c:scaling>
        <c:axPos val="b"/>
        <c:numFmt formatCode="General" sourceLinked="1"/>
        <c:tickLblPos val="nextTo"/>
        <c:crossAx val="183246848"/>
        <c:crosses val="autoZero"/>
        <c:auto val="1"/>
        <c:lblAlgn val="ctr"/>
        <c:lblOffset val="100"/>
      </c:catAx>
      <c:valAx>
        <c:axId val="183246848"/>
        <c:scaling>
          <c:orientation val="minMax"/>
          <c:min val="0"/>
        </c:scaling>
        <c:axPos val="l"/>
        <c:majorGridlines/>
        <c:title>
          <c:tx>
            <c:rich>
              <a:bodyPr rot="-5400000" vert="horz"/>
              <a:lstStyle/>
              <a:p>
                <a:pPr>
                  <a:defRPr/>
                </a:pPr>
                <a:r>
                  <a:rPr lang="ru-RU"/>
                  <a:t>млн руб.</a:t>
                </a:r>
              </a:p>
            </c:rich>
          </c:tx>
        </c:title>
        <c:numFmt formatCode="#,##0" sourceLinked="1"/>
        <c:tickLblPos val="nextTo"/>
        <c:txPr>
          <a:bodyPr/>
          <a:lstStyle/>
          <a:p>
            <a:pPr>
              <a:defRPr sz="700"/>
            </a:pPr>
            <a:endParaRPr lang="ru-RU"/>
          </a:p>
        </c:txPr>
        <c:crossAx val="183240960"/>
        <c:crosses val="autoZero"/>
        <c:crossBetween val="between"/>
      </c:valAx>
      <c:valAx>
        <c:axId val="183248768"/>
        <c:scaling>
          <c:orientation val="minMax"/>
          <c:max val="70"/>
          <c:min val="0"/>
        </c:scaling>
        <c:axPos val="r"/>
        <c:title>
          <c:tx>
            <c:rich>
              <a:bodyPr rot="-5400000" vert="horz"/>
              <a:lstStyle/>
              <a:p>
                <a:pPr>
                  <a:defRPr/>
                </a:pPr>
                <a:r>
                  <a:rPr lang="ru-RU"/>
                  <a:t>дней</a:t>
                </a:r>
              </a:p>
            </c:rich>
          </c:tx>
        </c:title>
        <c:numFmt formatCode="General" sourceLinked="1"/>
        <c:tickLblPos val="nextTo"/>
        <c:txPr>
          <a:bodyPr/>
          <a:lstStyle/>
          <a:p>
            <a:pPr>
              <a:defRPr sz="700"/>
            </a:pPr>
            <a:endParaRPr lang="ru-RU"/>
          </a:p>
        </c:txPr>
        <c:crossAx val="183275520"/>
        <c:crosses val="max"/>
        <c:crossBetween val="between"/>
      </c:valAx>
      <c:catAx>
        <c:axId val="183275520"/>
        <c:scaling>
          <c:orientation val="minMax"/>
        </c:scaling>
        <c:delete val="1"/>
        <c:axPos val="b"/>
        <c:numFmt formatCode="General" sourceLinked="1"/>
        <c:tickLblPos val="none"/>
        <c:crossAx val="183248768"/>
        <c:crosses val="autoZero"/>
        <c:auto val="1"/>
        <c:lblAlgn val="ctr"/>
        <c:lblOffset val="100"/>
      </c:catAx>
    </c:plotArea>
    <c:legend>
      <c:legendPos val="b"/>
      <c:layout>
        <c:manualLayout>
          <c:xMode val="edge"/>
          <c:yMode val="edge"/>
          <c:x val="0"/>
          <c:y val="0.82819503331316535"/>
          <c:w val="1"/>
          <c:h val="0.12565112053301017"/>
        </c:manualLayout>
      </c:layout>
      <c:txPr>
        <a:bodyPr/>
        <a:lstStyle/>
        <a:p>
          <a:pPr>
            <a:defRPr sz="800"/>
          </a:pPr>
          <a:endParaRPr lang="ru-RU"/>
        </a:p>
      </c:txPr>
    </c:legend>
    <c:plotVisOnly val="1"/>
    <c:dispBlanksAs val="gap"/>
  </c:chart>
  <c:txPr>
    <a:bodyPr/>
    <a:lstStyle/>
    <a:p>
      <a:pPr>
        <a:defRPr sz="900"/>
      </a:pPr>
      <a:endParaRPr lang="ru-RU"/>
    </a:p>
  </c:tx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Структура дебиторской задолженности за услуги по передаче э/э по категориям потребителей</a:t>
            </a:r>
          </a:p>
        </c:rich>
      </c:tx>
      <c:layout>
        <c:manualLayout>
          <c:xMode val="edge"/>
          <c:yMode val="edge"/>
          <c:x val="0.10789940895107412"/>
          <c:y val="0"/>
        </c:manualLayout>
      </c:layout>
    </c:title>
    <c:plotArea>
      <c:layout>
        <c:manualLayout>
          <c:layoutTarget val="inner"/>
          <c:xMode val="edge"/>
          <c:yMode val="edge"/>
          <c:x val="0.18255021709211244"/>
          <c:y val="0.31596045186337818"/>
          <c:w val="0.75652679484159779"/>
          <c:h val="0.40031549383100073"/>
        </c:manualLayout>
      </c:layout>
      <c:barChart>
        <c:barDir val="col"/>
        <c:grouping val="percentStacked"/>
        <c:ser>
          <c:idx val="0"/>
          <c:order val="0"/>
          <c:tx>
            <c:strRef>
              <c:f>Лист1!$B$1</c:f>
              <c:strCache>
                <c:ptCount val="1"/>
                <c:pt idx="0">
                  <c:v>Гарантирующие поставщики</c:v>
                </c:pt>
              </c:strCache>
            </c:strRef>
          </c:tx>
          <c:dLbls>
            <c:txPr>
              <a:bodyPr/>
              <a:lstStyle/>
              <a:p>
                <a:pPr>
                  <a:defRPr sz="800"/>
                </a:pPr>
                <a:endParaRPr lang="ru-RU"/>
              </a:p>
            </c:txPr>
            <c:showVal val="1"/>
          </c:dLbls>
          <c:cat>
            <c:numRef>
              <c:f>Лист1!$A$2:$A$4</c:f>
              <c:numCache>
                <c:formatCode>General</c:formatCode>
                <c:ptCount val="3"/>
                <c:pt idx="0">
                  <c:v>2011</c:v>
                </c:pt>
                <c:pt idx="1">
                  <c:v>2012</c:v>
                </c:pt>
                <c:pt idx="2">
                  <c:v>2013</c:v>
                </c:pt>
              </c:numCache>
            </c:numRef>
          </c:cat>
          <c:val>
            <c:numRef>
              <c:f>Лист1!$B$2:$B$4</c:f>
              <c:numCache>
                <c:formatCode>0.00%</c:formatCode>
                <c:ptCount val="3"/>
                <c:pt idx="0">
                  <c:v>0.89863588667367578</c:v>
                </c:pt>
                <c:pt idx="1">
                  <c:v>0.88524766304931768</c:v>
                </c:pt>
                <c:pt idx="2">
                  <c:v>0.93730373578775017</c:v>
                </c:pt>
              </c:numCache>
            </c:numRef>
          </c:val>
        </c:ser>
        <c:ser>
          <c:idx val="1"/>
          <c:order val="1"/>
          <c:tx>
            <c:strRef>
              <c:f>Лист1!$C$1</c:f>
              <c:strCache>
                <c:ptCount val="1"/>
                <c:pt idx="0">
                  <c:v>Энергосбытовые организации</c:v>
                </c:pt>
              </c:strCache>
            </c:strRef>
          </c:tx>
          <c:dLbls>
            <c:txPr>
              <a:bodyPr/>
              <a:lstStyle/>
              <a:p>
                <a:pPr>
                  <a:defRPr sz="800"/>
                </a:pPr>
                <a:endParaRPr lang="ru-RU"/>
              </a:p>
            </c:txPr>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8.8982161594963277E-2</c:v>
                </c:pt>
                <c:pt idx="1">
                  <c:v>0.10615665628022194</c:v>
                </c:pt>
                <c:pt idx="2">
                  <c:v>5.6307525717379486E-2</c:v>
                </c:pt>
              </c:numCache>
            </c:numRef>
          </c:val>
        </c:ser>
        <c:ser>
          <c:idx val="2"/>
          <c:order val="2"/>
          <c:tx>
            <c:strRef>
              <c:f>Лист1!$D$1</c:f>
              <c:strCache>
                <c:ptCount val="1"/>
                <c:pt idx="0">
                  <c:v>Прочие потребители</c:v>
                </c:pt>
              </c:strCache>
            </c:strRef>
          </c:tx>
          <c:dLbls>
            <c:txPr>
              <a:bodyPr/>
              <a:lstStyle/>
              <a:p>
                <a:pPr>
                  <a:defRPr sz="800"/>
                </a:pPr>
                <a:endParaRPr lang="ru-RU"/>
              </a:p>
            </c:txPr>
            <c:dLblPos val="inBase"/>
            <c:showVal val="1"/>
          </c:dLbls>
          <c:cat>
            <c:numRef>
              <c:f>Лист1!$A$2:$A$4</c:f>
              <c:numCache>
                <c:formatCode>General</c:formatCode>
                <c:ptCount val="3"/>
                <c:pt idx="0">
                  <c:v>2011</c:v>
                </c:pt>
                <c:pt idx="1">
                  <c:v>2012</c:v>
                </c:pt>
                <c:pt idx="2">
                  <c:v>2013</c:v>
                </c:pt>
              </c:numCache>
            </c:numRef>
          </c:cat>
          <c:val>
            <c:numRef>
              <c:f>Лист1!$D$2:$D$4</c:f>
              <c:numCache>
                <c:formatCode>0.00%</c:formatCode>
                <c:ptCount val="3"/>
                <c:pt idx="0">
                  <c:v>1.2381951731374607E-2</c:v>
                </c:pt>
                <c:pt idx="1">
                  <c:v>8.5956806704634032E-3</c:v>
                </c:pt>
                <c:pt idx="2">
                  <c:v>6.3887384948566901E-3</c:v>
                </c:pt>
              </c:numCache>
            </c:numRef>
          </c:val>
        </c:ser>
        <c:overlap val="100"/>
        <c:axId val="185055488"/>
        <c:axId val="185061376"/>
      </c:barChart>
      <c:catAx>
        <c:axId val="185055488"/>
        <c:scaling>
          <c:orientation val="minMax"/>
        </c:scaling>
        <c:axPos val="b"/>
        <c:numFmt formatCode="General" sourceLinked="1"/>
        <c:tickLblPos val="nextTo"/>
        <c:crossAx val="185061376"/>
        <c:crosses val="autoZero"/>
        <c:auto val="1"/>
        <c:lblAlgn val="ctr"/>
        <c:lblOffset val="100"/>
      </c:catAx>
      <c:valAx>
        <c:axId val="185061376"/>
        <c:scaling>
          <c:orientation val="minMax"/>
          <c:min val="0"/>
        </c:scaling>
        <c:axPos val="l"/>
        <c:majorGridlines/>
        <c:numFmt formatCode="0%" sourceLinked="1"/>
        <c:tickLblPos val="nextTo"/>
        <c:txPr>
          <a:bodyPr/>
          <a:lstStyle/>
          <a:p>
            <a:pPr>
              <a:defRPr sz="800"/>
            </a:pPr>
            <a:endParaRPr lang="ru-RU"/>
          </a:p>
        </c:txPr>
        <c:crossAx val="185055488"/>
        <c:crosses val="autoZero"/>
        <c:crossBetween val="between"/>
      </c:valAx>
    </c:plotArea>
    <c:legend>
      <c:legendPos val="b"/>
      <c:layout>
        <c:manualLayout>
          <c:xMode val="edge"/>
          <c:yMode val="edge"/>
          <c:x val="0"/>
          <c:y val="0.82112823420286762"/>
          <c:w val="0.95484887021438714"/>
          <c:h val="0.14810108129477551"/>
        </c:manualLayout>
      </c:layout>
      <c:txPr>
        <a:bodyPr/>
        <a:lstStyle/>
        <a:p>
          <a:pPr>
            <a:defRPr sz="800"/>
          </a:pPr>
          <a:endParaRPr lang="ru-RU"/>
        </a:p>
      </c:txPr>
    </c:legend>
    <c:plotVisOnly val="1"/>
    <c:dispBlanksAs val="gap"/>
  </c:chart>
  <c:txPr>
    <a:bodyPr/>
    <a:lstStyle/>
    <a:p>
      <a:pPr>
        <a:defRPr sz="900"/>
      </a:pPr>
      <a:endParaRPr lang="ru-RU"/>
    </a:p>
  </c:tx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Структура дебиторской задолженности за услуги по передаче э/э по статусу</a:t>
            </a:r>
          </a:p>
        </c:rich>
      </c:tx>
      <c:layout>
        <c:manualLayout>
          <c:xMode val="edge"/>
          <c:yMode val="edge"/>
          <c:x val="0.10789940895107412"/>
          <c:y val="0"/>
        </c:manualLayout>
      </c:layout>
    </c:title>
    <c:plotArea>
      <c:layout>
        <c:manualLayout>
          <c:layoutTarget val="inner"/>
          <c:xMode val="edge"/>
          <c:yMode val="edge"/>
          <c:x val="0.18255021709211244"/>
          <c:y val="0.34163172659479563"/>
          <c:w val="0.75652679484159779"/>
          <c:h val="0.37464398681464606"/>
        </c:manualLayout>
      </c:layout>
      <c:barChart>
        <c:barDir val="col"/>
        <c:grouping val="percentStacked"/>
        <c:ser>
          <c:idx val="0"/>
          <c:order val="0"/>
          <c:tx>
            <c:strRef>
              <c:f>Лист1!$B$1</c:f>
              <c:strCache>
                <c:ptCount val="1"/>
                <c:pt idx="0">
                  <c:v>Текущая</c:v>
                </c:pt>
              </c:strCache>
            </c:strRef>
          </c:tx>
          <c:dLbls>
            <c:txPr>
              <a:bodyPr/>
              <a:lstStyle/>
              <a:p>
                <a:pPr>
                  <a:defRPr sz="800"/>
                </a:pPr>
                <a:endParaRPr lang="ru-RU"/>
              </a:p>
            </c:txPr>
            <c:showVal val="1"/>
          </c:dLbls>
          <c:cat>
            <c:numRef>
              <c:f>Лист1!$A$2:$A$4</c:f>
              <c:numCache>
                <c:formatCode>General</c:formatCode>
                <c:ptCount val="3"/>
                <c:pt idx="0">
                  <c:v>2011</c:v>
                </c:pt>
                <c:pt idx="1">
                  <c:v>2012</c:v>
                </c:pt>
                <c:pt idx="2">
                  <c:v>2013</c:v>
                </c:pt>
              </c:numCache>
            </c:numRef>
          </c:cat>
          <c:val>
            <c:numRef>
              <c:f>Лист1!$B$2:$B$4</c:f>
              <c:numCache>
                <c:formatCode>0.00%</c:formatCode>
                <c:ptCount val="3"/>
                <c:pt idx="0">
                  <c:v>0.89727177334732422</c:v>
                </c:pt>
                <c:pt idx="1">
                  <c:v>0.85022026431719133</c:v>
                </c:pt>
                <c:pt idx="2">
                  <c:v>0.90395235517054651</c:v>
                </c:pt>
              </c:numCache>
            </c:numRef>
          </c:val>
        </c:ser>
        <c:ser>
          <c:idx val="1"/>
          <c:order val="1"/>
          <c:tx>
            <c:strRef>
              <c:f>Лист1!$C$1</c:f>
              <c:strCache>
                <c:ptCount val="1"/>
                <c:pt idx="0">
                  <c:v>Просроченная (неоспариваемая )</c:v>
                </c:pt>
              </c:strCache>
            </c:strRef>
          </c:tx>
          <c:dLbls>
            <c:txPr>
              <a:bodyPr/>
              <a:lstStyle/>
              <a:p>
                <a:pPr>
                  <a:defRPr sz="800"/>
                </a:pPr>
                <a:endParaRPr lang="ru-RU"/>
              </a:p>
            </c:txPr>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3.3053515215110192E-2</c:v>
                </c:pt>
                <c:pt idx="1">
                  <c:v>6.6079295154185022E-2</c:v>
                </c:pt>
                <c:pt idx="2">
                  <c:v>8.240389821331888E-2</c:v>
                </c:pt>
              </c:numCache>
            </c:numRef>
          </c:val>
        </c:ser>
        <c:ser>
          <c:idx val="2"/>
          <c:order val="2"/>
          <c:tx>
            <c:strRef>
              <c:f>Лист1!$D$1</c:f>
              <c:strCache>
                <c:ptCount val="1"/>
                <c:pt idx="0">
                  <c:v>Cпорная</c:v>
                </c:pt>
              </c:strCache>
            </c:strRef>
          </c:tx>
          <c:dLbls>
            <c:txPr>
              <a:bodyPr/>
              <a:lstStyle/>
              <a:p>
                <a:pPr>
                  <a:defRPr sz="800"/>
                </a:pPr>
                <a:endParaRPr lang="ru-RU"/>
              </a:p>
            </c:txPr>
            <c:dLblPos val="inBase"/>
            <c:showVal val="1"/>
          </c:dLbls>
          <c:cat>
            <c:numRef>
              <c:f>Лист1!$A$2:$A$4</c:f>
              <c:numCache>
                <c:formatCode>General</c:formatCode>
                <c:ptCount val="3"/>
                <c:pt idx="0">
                  <c:v>2011</c:v>
                </c:pt>
                <c:pt idx="1">
                  <c:v>2012</c:v>
                </c:pt>
                <c:pt idx="2">
                  <c:v>2013</c:v>
                </c:pt>
              </c:numCache>
            </c:numRef>
          </c:cat>
          <c:val>
            <c:numRef>
              <c:f>Лист1!$D$2:$D$4</c:f>
              <c:numCache>
                <c:formatCode>0.00%</c:formatCode>
                <c:ptCount val="3"/>
                <c:pt idx="0">
                  <c:v>6.9674711437565581E-2</c:v>
                </c:pt>
                <c:pt idx="1">
                  <c:v>8.3700440528637468E-2</c:v>
                </c:pt>
                <c:pt idx="2">
                  <c:v>1.3643746616134303E-2</c:v>
                </c:pt>
              </c:numCache>
            </c:numRef>
          </c:val>
        </c:ser>
        <c:overlap val="100"/>
        <c:axId val="185075968"/>
        <c:axId val="185098240"/>
      </c:barChart>
      <c:catAx>
        <c:axId val="185075968"/>
        <c:scaling>
          <c:orientation val="minMax"/>
        </c:scaling>
        <c:axPos val="b"/>
        <c:numFmt formatCode="General" sourceLinked="1"/>
        <c:tickLblPos val="nextTo"/>
        <c:crossAx val="185098240"/>
        <c:crosses val="autoZero"/>
        <c:auto val="1"/>
        <c:lblAlgn val="ctr"/>
        <c:lblOffset val="100"/>
      </c:catAx>
      <c:valAx>
        <c:axId val="185098240"/>
        <c:scaling>
          <c:orientation val="minMax"/>
          <c:min val="0"/>
        </c:scaling>
        <c:axPos val="l"/>
        <c:majorGridlines/>
        <c:numFmt formatCode="0%" sourceLinked="1"/>
        <c:tickLblPos val="nextTo"/>
        <c:txPr>
          <a:bodyPr/>
          <a:lstStyle/>
          <a:p>
            <a:pPr>
              <a:defRPr sz="800"/>
            </a:pPr>
            <a:endParaRPr lang="ru-RU"/>
          </a:p>
        </c:txPr>
        <c:crossAx val="185075968"/>
        <c:crosses val="autoZero"/>
        <c:crossBetween val="between"/>
      </c:valAx>
    </c:plotArea>
    <c:legend>
      <c:legendPos val="b"/>
      <c:layout>
        <c:manualLayout>
          <c:xMode val="edge"/>
          <c:yMode val="edge"/>
          <c:x val="0"/>
          <c:y val="0.82112823420286762"/>
          <c:w val="0.95484887021438769"/>
          <c:h val="0.14810108129477551"/>
        </c:manualLayout>
      </c:layout>
      <c:txPr>
        <a:bodyPr/>
        <a:lstStyle/>
        <a:p>
          <a:pPr>
            <a:defRPr sz="800"/>
          </a:pPr>
          <a:endParaRPr lang="ru-RU"/>
        </a:p>
      </c:txPr>
    </c:legend>
    <c:plotVisOnly val="1"/>
    <c:dispBlanksAs val="gap"/>
  </c:chart>
  <c:txPr>
    <a:bodyPr/>
    <a:lstStyle/>
    <a:p>
      <a:pPr>
        <a:defRPr sz="900"/>
      </a:pPr>
      <a:endParaRPr lang="ru-RU"/>
    </a:p>
  </c:txPr>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Кредиторсая задолженность</a:t>
            </a:r>
          </a:p>
        </c:rich>
      </c:tx>
    </c:title>
    <c:plotArea>
      <c:layout/>
      <c:barChart>
        <c:barDir val="col"/>
        <c:grouping val="percentStacked"/>
        <c:ser>
          <c:idx val="1"/>
          <c:order val="0"/>
          <c:tx>
            <c:strRef>
              <c:f>Лист1!$C$1</c:f>
              <c:strCache>
                <c:ptCount val="1"/>
                <c:pt idx="0">
                  <c:v>Краткосрочная кредиторская задолженность</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1.1512004634496964</c:v>
                </c:pt>
                <c:pt idx="1">
                  <c:v>1.2031005917159758</c:v>
                </c:pt>
                <c:pt idx="2">
                  <c:v>1.955984648596786</c:v>
                </c:pt>
              </c:numCache>
            </c:numRef>
          </c:val>
        </c:ser>
        <c:ser>
          <c:idx val="0"/>
          <c:order val="1"/>
          <c:tx>
            <c:strRef>
              <c:f>Лист1!$B$1</c:f>
              <c:strCache>
                <c:ptCount val="1"/>
                <c:pt idx="0">
                  <c:v>Долгосрочная кредиторская задолженность</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0.00%</c:formatCode>
                <c:ptCount val="3"/>
                <c:pt idx="0">
                  <c:v>0.19906880940631241</c:v>
                </c:pt>
                <c:pt idx="1">
                  <c:v>5.5076923076923134E-2</c:v>
                </c:pt>
                <c:pt idx="2">
                  <c:v>0.26129367554169664</c:v>
                </c:pt>
              </c:numCache>
            </c:numRef>
          </c:val>
        </c:ser>
        <c:overlap val="100"/>
        <c:axId val="188105856"/>
        <c:axId val="188107392"/>
      </c:barChart>
      <c:catAx>
        <c:axId val="188105856"/>
        <c:scaling>
          <c:orientation val="minMax"/>
        </c:scaling>
        <c:axPos val="b"/>
        <c:numFmt formatCode="General" sourceLinked="1"/>
        <c:tickLblPos val="nextTo"/>
        <c:crossAx val="188107392"/>
        <c:crosses val="autoZero"/>
        <c:auto val="1"/>
        <c:lblAlgn val="ctr"/>
        <c:lblOffset val="100"/>
      </c:catAx>
      <c:valAx>
        <c:axId val="188107392"/>
        <c:scaling>
          <c:orientation val="minMax"/>
          <c:min val="0"/>
        </c:scaling>
        <c:axPos val="l"/>
        <c:majorGridlines/>
        <c:numFmt formatCode="0%" sourceLinked="1"/>
        <c:tickLblPos val="nextTo"/>
        <c:crossAx val="188105856"/>
        <c:crosses val="autoZero"/>
        <c:crossBetween val="between"/>
      </c:valAx>
    </c:plotArea>
    <c:legend>
      <c:legendPos val="b"/>
      <c:layout>
        <c:manualLayout>
          <c:xMode val="edge"/>
          <c:yMode val="edge"/>
          <c:x val="6.0779551981847334E-2"/>
          <c:y val="0.84557711536058933"/>
          <c:w val="0.87844056603370035"/>
          <c:h val="0.13061336082989641"/>
        </c:manualLayout>
      </c:layout>
    </c:legend>
    <c:plotVisOnly val="1"/>
    <c:dispBlanksAs val="gap"/>
  </c:chart>
  <c:txPr>
    <a:bodyPr/>
    <a:lstStyle/>
    <a:p>
      <a:pPr>
        <a:defRPr sz="900"/>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9931262355190824E-2"/>
          <c:y val="5.9284647225422017E-2"/>
          <c:w val="0.85139846947231967"/>
          <c:h val="0.64711639602408355"/>
        </c:manualLayout>
      </c:layout>
      <c:barChart>
        <c:barDir val="col"/>
        <c:grouping val="clustered"/>
        <c:ser>
          <c:idx val="0"/>
          <c:order val="0"/>
          <c:tx>
            <c:strRef>
              <c:f>Лист1!$B$1</c:f>
              <c:strCache>
                <c:ptCount val="1"/>
                <c:pt idx="0">
                  <c:v>Рыночная капитализация</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85106</c:v>
                </c:pt>
                <c:pt idx="1">
                  <c:v>73470</c:v>
                </c:pt>
                <c:pt idx="2">
                  <c:v>70771</c:v>
                </c:pt>
              </c:numCache>
            </c:numRef>
          </c:val>
        </c:ser>
        <c:axId val="55515008"/>
        <c:axId val="55516544"/>
      </c:barChart>
      <c:lineChart>
        <c:grouping val="standard"/>
        <c:ser>
          <c:idx val="1"/>
          <c:order val="1"/>
          <c:tx>
            <c:strRef>
              <c:f>Лист1!$C$1</c:f>
              <c:strCache>
                <c:ptCount val="1"/>
                <c:pt idx="0">
                  <c:v>Объем начисленных дивидендов</c:v>
                </c:pt>
              </c:strCache>
            </c:strRef>
          </c:tx>
          <c:marker>
            <c:symbol val="circle"/>
            <c:size val="7"/>
          </c:marker>
          <c:dLbls>
            <c:dLblPos val="b"/>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1200</c:v>
                </c:pt>
                <c:pt idx="1">
                  <c:v>1218</c:v>
                </c:pt>
                <c:pt idx="2">
                  <c:v>4296</c:v>
                </c:pt>
              </c:numCache>
            </c:numRef>
          </c:val>
        </c:ser>
        <c:marker val="1"/>
        <c:axId val="55520256"/>
        <c:axId val="55518720"/>
      </c:lineChart>
      <c:catAx>
        <c:axId val="55515008"/>
        <c:scaling>
          <c:orientation val="minMax"/>
        </c:scaling>
        <c:axPos val="b"/>
        <c:numFmt formatCode="General" sourceLinked="1"/>
        <c:tickLblPos val="nextTo"/>
        <c:crossAx val="55516544"/>
        <c:crosses val="autoZero"/>
        <c:auto val="1"/>
        <c:lblAlgn val="ctr"/>
        <c:lblOffset val="100"/>
      </c:catAx>
      <c:valAx>
        <c:axId val="55516544"/>
        <c:scaling>
          <c:orientation val="minMax"/>
          <c:max val="120000"/>
          <c:min val="0"/>
        </c:scaling>
        <c:axPos val="l"/>
        <c:majorGridlines/>
        <c:title>
          <c:tx>
            <c:rich>
              <a:bodyPr rot="-5400000" vert="horz"/>
              <a:lstStyle/>
              <a:p>
                <a:pPr>
                  <a:defRPr/>
                </a:pPr>
                <a:r>
                  <a:rPr lang="ru-RU"/>
                  <a:t>млн руб.</a:t>
                </a:r>
              </a:p>
            </c:rich>
          </c:tx>
        </c:title>
        <c:numFmt formatCode="#,##0" sourceLinked="1"/>
        <c:tickLblPos val="nextTo"/>
        <c:txPr>
          <a:bodyPr/>
          <a:lstStyle/>
          <a:p>
            <a:pPr>
              <a:defRPr sz="100">
                <a:solidFill>
                  <a:schemeClr val="bg1"/>
                </a:solidFill>
              </a:defRPr>
            </a:pPr>
            <a:endParaRPr lang="ru-RU"/>
          </a:p>
        </c:txPr>
        <c:crossAx val="55515008"/>
        <c:crosses val="autoZero"/>
        <c:crossBetween val="between"/>
      </c:valAx>
      <c:valAx>
        <c:axId val="55518720"/>
        <c:scaling>
          <c:orientation val="minMax"/>
          <c:max val="7000"/>
        </c:scaling>
        <c:axPos val="r"/>
        <c:numFmt formatCode="#,##0" sourceLinked="1"/>
        <c:tickLblPos val="nextTo"/>
        <c:txPr>
          <a:bodyPr/>
          <a:lstStyle/>
          <a:p>
            <a:pPr>
              <a:defRPr sz="100">
                <a:solidFill>
                  <a:schemeClr val="bg1"/>
                </a:solidFill>
              </a:defRPr>
            </a:pPr>
            <a:endParaRPr lang="ru-RU"/>
          </a:p>
        </c:txPr>
        <c:crossAx val="55520256"/>
        <c:crosses val="max"/>
        <c:crossBetween val="between"/>
      </c:valAx>
      <c:catAx>
        <c:axId val="55520256"/>
        <c:scaling>
          <c:orientation val="minMax"/>
        </c:scaling>
        <c:delete val="1"/>
        <c:axPos val="b"/>
        <c:numFmt formatCode="General" sourceLinked="1"/>
        <c:tickLblPos val="none"/>
        <c:crossAx val="55518720"/>
        <c:crosses val="autoZero"/>
        <c:auto val="1"/>
        <c:lblAlgn val="ctr"/>
        <c:lblOffset val="100"/>
      </c:catAx>
    </c:plotArea>
    <c:legend>
      <c:legendPos val="b"/>
      <c:layout>
        <c:manualLayout>
          <c:xMode val="edge"/>
          <c:yMode val="edge"/>
          <c:x val="0"/>
          <c:y val="0.84561560486758425"/>
          <c:w val="1"/>
          <c:h val="0.12474481380744021"/>
        </c:manualLayout>
      </c:layout>
    </c:legend>
    <c:plotVisOnly val="1"/>
    <c:dispBlanksAs val="gap"/>
  </c:chart>
  <c:txPr>
    <a:bodyPr/>
    <a:lstStyle/>
    <a:p>
      <a:pPr>
        <a:defRPr sz="800"/>
      </a:pPr>
      <a:endParaRPr lang="ru-RU"/>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Кредиторская задолженность</a:t>
            </a:r>
          </a:p>
        </c:rich>
      </c:tx>
    </c:title>
    <c:plotArea>
      <c:layout>
        <c:manualLayout>
          <c:layoutTarget val="inner"/>
          <c:xMode val="edge"/>
          <c:yMode val="edge"/>
          <c:x val="0.14234775032835897"/>
          <c:y val="0.13168666416697913"/>
          <c:w val="0.81156945700313121"/>
          <c:h val="0.5346869141357331"/>
        </c:manualLayout>
      </c:layout>
      <c:barChart>
        <c:barDir val="col"/>
        <c:grouping val="percentStacked"/>
        <c:ser>
          <c:idx val="0"/>
          <c:order val="0"/>
          <c:tx>
            <c:strRef>
              <c:f>Лист1!$B$1</c:f>
              <c:strCache>
                <c:ptCount val="1"/>
                <c:pt idx="0">
                  <c:v>От оказания услуг по технологическому присоединению </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0.00%</c:formatCode>
                <c:ptCount val="3"/>
                <c:pt idx="0">
                  <c:v>0.79152100680099169</c:v>
                </c:pt>
                <c:pt idx="1">
                  <c:v>0.79794578528565252</c:v>
                </c:pt>
                <c:pt idx="2">
                  <c:v>0.71348466545263856</c:v>
                </c:pt>
              </c:numCache>
            </c:numRef>
          </c:val>
        </c:ser>
        <c:ser>
          <c:idx val="1"/>
          <c:order val="1"/>
          <c:tx>
            <c:strRef>
              <c:f>Лист1!$C$1</c:f>
              <c:strCache>
                <c:ptCount val="1"/>
                <c:pt idx="0">
                  <c:v>От прочей деятельности</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0.20847899319901114</c:v>
                </c:pt>
                <c:pt idx="1">
                  <c:v>0.20205421471434754</c:v>
                </c:pt>
                <c:pt idx="2">
                  <c:v>0.28653336458539924</c:v>
                </c:pt>
              </c:numCache>
            </c:numRef>
          </c:val>
        </c:ser>
        <c:overlap val="100"/>
        <c:axId val="188129280"/>
        <c:axId val="188130816"/>
      </c:barChart>
      <c:catAx>
        <c:axId val="188129280"/>
        <c:scaling>
          <c:orientation val="minMax"/>
        </c:scaling>
        <c:axPos val="b"/>
        <c:numFmt formatCode="General" sourceLinked="1"/>
        <c:tickLblPos val="nextTo"/>
        <c:crossAx val="188130816"/>
        <c:crosses val="autoZero"/>
        <c:auto val="1"/>
        <c:lblAlgn val="ctr"/>
        <c:lblOffset val="100"/>
      </c:catAx>
      <c:valAx>
        <c:axId val="188130816"/>
        <c:scaling>
          <c:orientation val="minMax"/>
          <c:min val="0"/>
        </c:scaling>
        <c:axPos val="l"/>
        <c:majorGridlines/>
        <c:numFmt formatCode="0%" sourceLinked="1"/>
        <c:tickLblPos val="nextTo"/>
        <c:crossAx val="188129280"/>
        <c:crosses val="autoZero"/>
        <c:crossBetween val="between"/>
      </c:valAx>
    </c:plotArea>
    <c:legend>
      <c:legendPos val="b"/>
      <c:layout>
        <c:manualLayout>
          <c:xMode val="edge"/>
          <c:yMode val="edge"/>
          <c:x val="0"/>
          <c:y val="0.72652949631296093"/>
          <c:w val="0.99580797675724486"/>
          <c:h val="0.27347050368704873"/>
        </c:manualLayout>
      </c:layout>
    </c:legend>
    <c:plotVisOnly val="1"/>
    <c:dispBlanksAs val="gap"/>
  </c:chart>
  <c:txPr>
    <a:bodyPr/>
    <a:lstStyle/>
    <a:p>
      <a:pPr>
        <a:defRPr sz="900"/>
      </a:pPr>
      <a:endParaRPr lang="ru-RU"/>
    </a:p>
  </c:txPr>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Просроченная кредиторская задолженность</a:t>
            </a:r>
          </a:p>
        </c:rich>
      </c:tx>
    </c:title>
    <c:plotArea>
      <c:layout/>
      <c:barChart>
        <c:barDir val="col"/>
        <c:grouping val="percentStacked"/>
        <c:ser>
          <c:idx val="0"/>
          <c:order val="0"/>
          <c:tx>
            <c:strRef>
              <c:f>Лист1!$B$1</c:f>
              <c:strCache>
                <c:ptCount val="1"/>
                <c:pt idx="0">
                  <c:v>Текущая кредиторская задолженность</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0.00%</c:formatCode>
                <c:ptCount val="3"/>
                <c:pt idx="0">
                  <c:v>0.82112438822856415</c:v>
                </c:pt>
                <c:pt idx="1">
                  <c:v>0.76079309242087212</c:v>
                </c:pt>
                <c:pt idx="2">
                  <c:v>0.78154805906640468</c:v>
                </c:pt>
              </c:numCache>
            </c:numRef>
          </c:val>
        </c:ser>
        <c:ser>
          <c:idx val="1"/>
          <c:order val="1"/>
          <c:tx>
            <c:strRef>
              <c:f>Лист1!$C$1</c:f>
              <c:strCache>
                <c:ptCount val="1"/>
                <c:pt idx="0">
                  <c:v>Просроченная кредиторская задолженность</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0.17887561177143591</c:v>
                </c:pt>
                <c:pt idx="1">
                  <c:v>0.23918809608909194</c:v>
                </c:pt>
                <c:pt idx="2">
                  <c:v>0.21845194093359541</c:v>
                </c:pt>
              </c:numCache>
            </c:numRef>
          </c:val>
        </c:ser>
        <c:overlap val="100"/>
        <c:axId val="197158016"/>
        <c:axId val="197159552"/>
      </c:barChart>
      <c:lineChart>
        <c:grouping val="standard"/>
        <c:ser>
          <c:idx val="2"/>
          <c:order val="2"/>
          <c:tx>
            <c:strRef>
              <c:f>Лист1!$D$1</c:f>
              <c:strCache>
                <c:ptCount val="1"/>
                <c:pt idx="0">
                  <c:v>Отношение просроченной кредиторской задолженности к общей выручке</c:v>
                </c:pt>
              </c:strCache>
            </c:strRef>
          </c:tx>
          <c:marker>
            <c:symbol val="circle"/>
            <c:size val="7"/>
          </c:marker>
          <c:dLbls>
            <c:dLblPos val="b"/>
            <c:showVal val="1"/>
          </c:dLbls>
          <c:cat>
            <c:numRef>
              <c:f>Лист1!$A$2:$A$4</c:f>
              <c:numCache>
                <c:formatCode>General</c:formatCode>
                <c:ptCount val="3"/>
                <c:pt idx="0">
                  <c:v>2011</c:v>
                </c:pt>
                <c:pt idx="1">
                  <c:v>2012</c:v>
                </c:pt>
                <c:pt idx="2">
                  <c:v>2013</c:v>
                </c:pt>
              </c:numCache>
            </c:numRef>
          </c:cat>
          <c:val>
            <c:numRef>
              <c:f>Лист1!$D$2:$D$4</c:f>
              <c:numCache>
                <c:formatCode>0.00%</c:formatCode>
                <c:ptCount val="3"/>
                <c:pt idx="0">
                  <c:v>8.9000000000000065E-2</c:v>
                </c:pt>
                <c:pt idx="1">
                  <c:v>0.10770000000000129</c:v>
                </c:pt>
                <c:pt idx="2">
                  <c:v>9.7100000000000006E-2</c:v>
                </c:pt>
              </c:numCache>
            </c:numRef>
          </c:val>
        </c:ser>
        <c:marker val="1"/>
        <c:axId val="197171072"/>
        <c:axId val="197169536"/>
      </c:lineChart>
      <c:catAx>
        <c:axId val="197158016"/>
        <c:scaling>
          <c:orientation val="minMax"/>
        </c:scaling>
        <c:axPos val="b"/>
        <c:numFmt formatCode="General" sourceLinked="1"/>
        <c:tickLblPos val="nextTo"/>
        <c:crossAx val="197159552"/>
        <c:crosses val="autoZero"/>
        <c:auto val="1"/>
        <c:lblAlgn val="ctr"/>
        <c:lblOffset val="100"/>
      </c:catAx>
      <c:valAx>
        <c:axId val="197159552"/>
        <c:scaling>
          <c:orientation val="minMax"/>
          <c:min val="0"/>
        </c:scaling>
        <c:axPos val="l"/>
        <c:majorGridlines/>
        <c:numFmt formatCode="0%" sourceLinked="1"/>
        <c:tickLblPos val="nextTo"/>
        <c:crossAx val="197158016"/>
        <c:crosses val="autoZero"/>
        <c:crossBetween val="between"/>
      </c:valAx>
      <c:valAx>
        <c:axId val="197169536"/>
        <c:scaling>
          <c:orientation val="minMax"/>
        </c:scaling>
        <c:axPos val="r"/>
        <c:numFmt formatCode="0.00%" sourceLinked="1"/>
        <c:tickLblPos val="nextTo"/>
        <c:crossAx val="197171072"/>
        <c:crosses val="max"/>
        <c:crossBetween val="between"/>
      </c:valAx>
      <c:catAx>
        <c:axId val="197171072"/>
        <c:scaling>
          <c:orientation val="minMax"/>
        </c:scaling>
        <c:delete val="1"/>
        <c:axPos val="b"/>
        <c:numFmt formatCode="General" sourceLinked="1"/>
        <c:tickLblPos val="none"/>
        <c:crossAx val="197169536"/>
        <c:crosses val="autoZero"/>
        <c:auto val="1"/>
        <c:lblAlgn val="ctr"/>
        <c:lblOffset val="100"/>
      </c:catAx>
    </c:plotArea>
    <c:legend>
      <c:legendPos val="b"/>
      <c:layout>
        <c:manualLayout>
          <c:xMode val="edge"/>
          <c:yMode val="edge"/>
          <c:x val="6.0779551981847334E-2"/>
          <c:y val="0.67494219472565931"/>
          <c:w val="0.87844056603370035"/>
          <c:h val="0.30124828146482291"/>
        </c:manualLayout>
      </c:layout>
    </c:legend>
    <c:plotVisOnly val="1"/>
    <c:dispBlanksAs val="gap"/>
  </c:chart>
  <c:txPr>
    <a:bodyPr/>
    <a:lstStyle/>
    <a:p>
      <a:pPr>
        <a:defRPr sz="900"/>
      </a:pPr>
      <a:endParaRPr lang="ru-RU"/>
    </a:p>
  </c:txPr>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strRef>
              <c:f>Лист1!$A$9</c:f>
              <c:strCache>
                <c:ptCount val="1"/>
                <c:pt idx="0">
                  <c:v>Основные показатели отчета о финансовых результатах</c:v>
                </c:pt>
              </c:strCache>
            </c:strRef>
          </c:tx>
          <c:dPt>
            <c:idx val="0"/>
            <c:spPr>
              <a:solidFill>
                <a:schemeClr val="accent2"/>
              </a:solidFill>
            </c:spPr>
          </c:dPt>
          <c:dPt>
            <c:idx val="1"/>
            <c:spPr>
              <a:solidFill>
                <a:schemeClr val="accent2"/>
              </a:solidFill>
            </c:spPr>
          </c:dPt>
          <c:dPt>
            <c:idx val="2"/>
            <c:spPr>
              <a:solidFill>
                <a:schemeClr val="accent2"/>
              </a:solidFill>
            </c:spPr>
          </c:dPt>
          <c:dPt>
            <c:idx val="3"/>
            <c:spPr>
              <a:solidFill>
                <a:schemeClr val="accent3"/>
              </a:solidFill>
            </c:spPr>
          </c:dPt>
          <c:dPt>
            <c:idx val="4"/>
            <c:spPr>
              <a:solidFill>
                <a:schemeClr val="accent3"/>
              </a:solidFill>
            </c:spPr>
          </c:dPt>
          <c:dPt>
            <c:idx val="5"/>
            <c:spPr>
              <a:solidFill>
                <a:schemeClr val="accent3"/>
              </a:solidFill>
            </c:spPr>
          </c:dPt>
          <c:dPt>
            <c:idx val="6"/>
            <c:spPr>
              <a:solidFill>
                <a:schemeClr val="accent4"/>
              </a:solidFill>
            </c:spPr>
          </c:dPt>
          <c:dPt>
            <c:idx val="7"/>
            <c:spPr>
              <a:solidFill>
                <a:schemeClr val="accent4"/>
              </a:solidFill>
            </c:spPr>
          </c:dPt>
          <c:dPt>
            <c:idx val="8"/>
            <c:spPr>
              <a:solidFill>
                <a:schemeClr val="accent4"/>
              </a:solidFill>
            </c:spPr>
          </c:dPt>
          <c:dPt>
            <c:idx val="9"/>
            <c:spPr>
              <a:solidFill>
                <a:schemeClr val="accent5"/>
              </a:solidFill>
            </c:spPr>
          </c:dPt>
          <c:dPt>
            <c:idx val="10"/>
            <c:spPr>
              <a:solidFill>
                <a:schemeClr val="accent5"/>
              </a:solidFill>
            </c:spPr>
          </c:dPt>
          <c:dPt>
            <c:idx val="11"/>
            <c:spPr>
              <a:solidFill>
                <a:schemeClr val="accent5"/>
              </a:solidFill>
            </c:spPr>
          </c:dPt>
          <c:dLbls>
            <c:showVal val="1"/>
          </c:dLbls>
          <c:cat>
            <c:multiLvlStrRef>
              <c:f>Лист1!$A$17:$B$28</c:f>
              <c:multiLvlStrCache>
                <c:ptCount val="12"/>
                <c:lvl>
                  <c:pt idx="0">
                    <c:v>2011</c:v>
                  </c:pt>
                  <c:pt idx="1">
                    <c:v>2012</c:v>
                  </c:pt>
                  <c:pt idx="2">
                    <c:v>2013</c:v>
                  </c:pt>
                  <c:pt idx="3">
                    <c:v>2011</c:v>
                  </c:pt>
                  <c:pt idx="4">
                    <c:v>2012</c:v>
                  </c:pt>
                  <c:pt idx="5">
                    <c:v>2013</c:v>
                  </c:pt>
                  <c:pt idx="6">
                    <c:v>2011</c:v>
                  </c:pt>
                  <c:pt idx="7">
                    <c:v>2012</c:v>
                  </c:pt>
                  <c:pt idx="8">
                    <c:v>2013</c:v>
                  </c:pt>
                  <c:pt idx="9">
                    <c:v>2011</c:v>
                  </c:pt>
                  <c:pt idx="10">
                    <c:v>2012</c:v>
                  </c:pt>
                  <c:pt idx="11">
                    <c:v>2013</c:v>
                  </c:pt>
                </c:lvl>
                <c:lvl>
                  <c:pt idx="0">
                    <c:v>Выручка</c:v>
                  </c:pt>
                  <c:pt idx="3">
                    <c:v>Себестоимость</c:v>
                  </c:pt>
                  <c:pt idx="6">
                    <c:v>EBITDA</c:v>
                  </c:pt>
                  <c:pt idx="9">
                    <c:v>Чистая прибыль</c:v>
                  </c:pt>
                </c:lvl>
              </c:multiLvlStrCache>
            </c:multiLvlStrRef>
          </c:cat>
          <c:val>
            <c:numRef>
              <c:f>Лист1!$C$17:$C$28</c:f>
              <c:numCache>
                <c:formatCode>#,##0</c:formatCode>
                <c:ptCount val="12"/>
                <c:pt idx="0">
                  <c:v>126546</c:v>
                </c:pt>
                <c:pt idx="1">
                  <c:v>118008</c:v>
                </c:pt>
                <c:pt idx="2">
                  <c:v>124731</c:v>
                </c:pt>
                <c:pt idx="3">
                  <c:v>101102</c:v>
                </c:pt>
                <c:pt idx="4">
                  <c:v>92305</c:v>
                </c:pt>
                <c:pt idx="5">
                  <c:v>103023</c:v>
                </c:pt>
                <c:pt idx="6">
                  <c:v>39578</c:v>
                </c:pt>
                <c:pt idx="7">
                  <c:v>41212</c:v>
                </c:pt>
                <c:pt idx="8">
                  <c:v>36430</c:v>
                </c:pt>
                <c:pt idx="9">
                  <c:v>17053</c:v>
                </c:pt>
                <c:pt idx="10">
                  <c:v>17184</c:v>
                </c:pt>
                <c:pt idx="11">
                  <c:v>11641</c:v>
                </c:pt>
              </c:numCache>
            </c:numRef>
          </c:val>
        </c:ser>
        <c:axId val="200501888"/>
        <c:axId val="200511872"/>
      </c:barChart>
      <c:catAx>
        <c:axId val="200501888"/>
        <c:scaling>
          <c:orientation val="minMax"/>
        </c:scaling>
        <c:axPos val="b"/>
        <c:numFmt formatCode="General" sourceLinked="1"/>
        <c:tickLblPos val="nextTo"/>
        <c:crossAx val="200511872"/>
        <c:crosses val="autoZero"/>
        <c:auto val="1"/>
        <c:lblAlgn val="ctr"/>
        <c:lblOffset val="100"/>
      </c:catAx>
      <c:valAx>
        <c:axId val="200511872"/>
        <c:scaling>
          <c:orientation val="minMax"/>
        </c:scaling>
        <c:delete val="1"/>
        <c:axPos val="l"/>
        <c:majorGridlines/>
        <c:title>
          <c:tx>
            <c:rich>
              <a:bodyPr rot="-5400000" vert="horz"/>
              <a:lstStyle/>
              <a:p>
                <a:pPr>
                  <a:defRPr/>
                </a:pPr>
                <a:r>
                  <a:rPr lang="ru-RU"/>
                  <a:t>млн руб. без НДС</a:t>
                </a:r>
              </a:p>
            </c:rich>
          </c:tx>
          <c:layout>
            <c:manualLayout>
              <c:xMode val="edge"/>
              <c:yMode val="edge"/>
              <c:x val="5.9230009871668434E-3"/>
              <c:y val="0.33962004749407043"/>
            </c:manualLayout>
          </c:layout>
        </c:title>
        <c:numFmt formatCode="#,##0" sourceLinked="1"/>
        <c:tickLblPos val="none"/>
        <c:crossAx val="200501888"/>
        <c:crosses val="autoZero"/>
        <c:crossBetween val="between"/>
      </c:valAx>
    </c:plotArea>
    <c:plotVisOnly val="1"/>
    <c:dispBlanksAs val="gap"/>
  </c:chart>
  <c:txPr>
    <a:bodyPr/>
    <a:lstStyle/>
    <a:p>
      <a:pPr>
        <a:defRPr sz="900"/>
      </a:pPr>
      <a:endParaRPr lang="ru-RU"/>
    </a:p>
  </c:txPr>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выручки</a:t>
            </a:r>
          </a:p>
        </c:rich>
      </c:tx>
    </c:title>
    <c:plotArea>
      <c:layout>
        <c:manualLayout>
          <c:layoutTarget val="inner"/>
          <c:xMode val="edge"/>
          <c:yMode val="edge"/>
          <c:x val="0.21699931089741337"/>
          <c:y val="0.13168666416697913"/>
          <c:w val="0.73265536845799162"/>
          <c:h val="0.53865516810398695"/>
        </c:manualLayout>
      </c:layout>
      <c:barChart>
        <c:barDir val="col"/>
        <c:grouping val="stacked"/>
        <c:ser>
          <c:idx val="0"/>
          <c:order val="0"/>
          <c:tx>
            <c:strRef>
              <c:f>Лист1!$B$1</c:f>
              <c:strCache>
                <c:ptCount val="1"/>
                <c:pt idx="0">
                  <c:v>Выручка от оказания услуг по передаче электроэнергии</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106994</c:v>
                </c:pt>
                <c:pt idx="1">
                  <c:v>100280</c:v>
                </c:pt>
                <c:pt idx="2">
                  <c:v>110981</c:v>
                </c:pt>
              </c:numCache>
            </c:numRef>
          </c:val>
        </c:ser>
        <c:ser>
          <c:idx val="1"/>
          <c:order val="1"/>
          <c:tx>
            <c:strRef>
              <c:f>Лист1!$C$1</c:f>
              <c:strCache>
                <c:ptCount val="1"/>
                <c:pt idx="0">
                  <c:v>Выручка от оказания услуг по технологическому присоединению</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18860</c:v>
                </c:pt>
                <c:pt idx="1">
                  <c:v>17386</c:v>
                </c:pt>
                <c:pt idx="2">
                  <c:v>13231</c:v>
                </c:pt>
              </c:numCache>
            </c:numRef>
          </c:val>
        </c:ser>
        <c:ser>
          <c:idx val="2"/>
          <c:order val="2"/>
          <c:tx>
            <c:strRef>
              <c:f>Лист1!$D$1</c:f>
              <c:strCache>
                <c:ptCount val="1"/>
                <c:pt idx="0">
                  <c:v>Выручка от прочей деятельности</c:v>
                </c:pt>
              </c:strCache>
            </c:strRef>
          </c:tx>
          <c:dLbls>
            <c:dLbl>
              <c:idx val="0"/>
              <c:tx>
                <c:rich>
                  <a:bodyPr/>
                  <a:lstStyle/>
                  <a:p>
                    <a:r>
                      <a:rPr lang="ru-RU"/>
                      <a:t>693</a:t>
                    </a:r>
                    <a:endParaRPr lang="en-US"/>
                  </a:p>
                </c:rich>
              </c:tx>
              <c:showVal val="1"/>
            </c:dLbl>
            <c:dLbl>
              <c:idx val="1"/>
              <c:tx>
                <c:rich>
                  <a:bodyPr/>
                  <a:lstStyle/>
                  <a:p>
                    <a:r>
                      <a:rPr lang="ru-RU"/>
                      <a:t>341</a:t>
                    </a:r>
                    <a:endParaRPr lang="en-US"/>
                  </a:p>
                </c:rich>
              </c:tx>
              <c:showVal val="1"/>
            </c:dLbl>
            <c:dLbl>
              <c:idx val="2"/>
              <c:tx>
                <c:rich>
                  <a:bodyPr/>
                  <a:lstStyle/>
                  <a:p>
                    <a:r>
                      <a:rPr lang="ru-RU"/>
                      <a:t>519</a:t>
                    </a:r>
                    <a:endParaRPr lang="en-US"/>
                  </a:p>
                </c:rich>
              </c:tx>
              <c:showVal val="1"/>
            </c:dLbl>
            <c:showVal val="1"/>
          </c:dLbls>
          <c:cat>
            <c:numRef>
              <c:f>Лист1!$A$2:$A$4</c:f>
              <c:numCache>
                <c:formatCode>General</c:formatCode>
                <c:ptCount val="3"/>
                <c:pt idx="0">
                  <c:v>2011</c:v>
                </c:pt>
                <c:pt idx="1">
                  <c:v>2012</c:v>
                </c:pt>
                <c:pt idx="2">
                  <c:v>2013</c:v>
                </c:pt>
              </c:numCache>
            </c:numRef>
          </c:cat>
          <c:val>
            <c:numRef>
              <c:f>Лист1!$D$2:$D$4</c:f>
              <c:numCache>
                <c:formatCode>General</c:formatCode>
                <c:ptCount val="3"/>
                <c:pt idx="0">
                  <c:v>217</c:v>
                </c:pt>
                <c:pt idx="1">
                  <c:v>226</c:v>
                </c:pt>
                <c:pt idx="2">
                  <c:v>357</c:v>
                </c:pt>
              </c:numCache>
            </c:numRef>
          </c:val>
        </c:ser>
        <c:overlap val="100"/>
        <c:axId val="200751744"/>
        <c:axId val="200769920"/>
      </c:barChart>
      <c:catAx>
        <c:axId val="200751744"/>
        <c:scaling>
          <c:orientation val="minMax"/>
        </c:scaling>
        <c:axPos val="b"/>
        <c:numFmt formatCode="General" sourceLinked="1"/>
        <c:tickLblPos val="nextTo"/>
        <c:crossAx val="200769920"/>
        <c:crosses val="autoZero"/>
        <c:auto val="1"/>
        <c:lblAlgn val="ctr"/>
        <c:lblOffset val="100"/>
      </c:catAx>
      <c:valAx>
        <c:axId val="200769920"/>
        <c:scaling>
          <c:orientation val="minMax"/>
          <c:min val="50000"/>
        </c:scaling>
        <c:axPos val="l"/>
        <c:majorGridlines/>
        <c:title>
          <c:tx>
            <c:rich>
              <a:bodyPr rot="-5400000" vert="horz"/>
              <a:lstStyle/>
              <a:p>
                <a:pPr>
                  <a:defRPr/>
                </a:pPr>
                <a:r>
                  <a:rPr lang="ru-RU"/>
                  <a:t>млн</a:t>
                </a:r>
                <a:r>
                  <a:rPr lang="ru-RU" baseline="0"/>
                  <a:t> руб. без НДС</a:t>
                </a:r>
                <a:endParaRPr lang="ru-RU"/>
              </a:p>
            </c:rich>
          </c:tx>
        </c:title>
        <c:numFmt formatCode="#,##0" sourceLinked="1"/>
        <c:tickLblPos val="nextTo"/>
        <c:crossAx val="200751744"/>
        <c:crosses val="autoZero"/>
        <c:crossBetween val="between"/>
      </c:valAx>
    </c:plotArea>
    <c:legend>
      <c:legendPos val="b"/>
      <c:layout>
        <c:manualLayout>
          <c:xMode val="edge"/>
          <c:yMode val="edge"/>
          <c:x val="4.6591293432907133E-4"/>
          <c:y val="0.73462067241596096"/>
          <c:w val="0.99953408706567048"/>
          <c:h val="0.24156980377452841"/>
        </c:manualLayout>
      </c:layout>
    </c:legend>
    <c:plotVisOnly val="1"/>
    <c:dispBlanksAs val="gap"/>
  </c:chart>
  <c:txPr>
    <a:bodyPr/>
    <a:lstStyle/>
    <a:p>
      <a:pPr>
        <a:defRPr sz="900"/>
      </a:pPr>
      <a:endParaRPr lang="ru-RU"/>
    </a:p>
  </c:txPr>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выручки</a:t>
            </a:r>
          </a:p>
        </c:rich>
      </c:tx>
    </c:title>
    <c:plotArea>
      <c:layout>
        <c:manualLayout>
          <c:layoutTarget val="inner"/>
          <c:xMode val="edge"/>
          <c:yMode val="edge"/>
          <c:x val="0.21699931089741337"/>
          <c:y val="0.13168666416697913"/>
          <c:w val="0.73265536845799162"/>
          <c:h val="0.53865516810398695"/>
        </c:manualLayout>
      </c:layout>
      <c:barChart>
        <c:barDir val="col"/>
        <c:grouping val="stacked"/>
        <c:ser>
          <c:idx val="0"/>
          <c:order val="0"/>
          <c:tx>
            <c:strRef>
              <c:f>Лист1!$B$1</c:f>
              <c:strCache>
                <c:ptCount val="1"/>
                <c:pt idx="0">
                  <c:v>Выручка от оказания услуг по передаче электроэнергии</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0.00%</c:formatCode>
                <c:ptCount val="3"/>
                <c:pt idx="0">
                  <c:v>0.84549491884374062</c:v>
                </c:pt>
                <c:pt idx="1">
                  <c:v>0.84977289675276269</c:v>
                </c:pt>
                <c:pt idx="2">
                  <c:v>0.88976276947991073</c:v>
                </c:pt>
              </c:numCache>
            </c:numRef>
          </c:val>
        </c:ser>
        <c:ser>
          <c:idx val="1"/>
          <c:order val="1"/>
          <c:tx>
            <c:strRef>
              <c:f>Лист1!$C$1</c:f>
              <c:strCache>
                <c:ptCount val="1"/>
                <c:pt idx="0">
                  <c:v>Выручка от оказания услуг по технологическому присоединению</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0.14903671392221021</c:v>
                </c:pt>
                <c:pt idx="1">
                  <c:v>0.14732899464443094</c:v>
                </c:pt>
                <c:pt idx="2">
                  <c:v>0.1060762761462683</c:v>
                </c:pt>
              </c:numCache>
            </c:numRef>
          </c:val>
        </c:ser>
        <c:ser>
          <c:idx val="2"/>
          <c:order val="2"/>
          <c:tx>
            <c:strRef>
              <c:f>Лист1!$D$1</c:f>
              <c:strCache>
                <c:ptCount val="1"/>
                <c:pt idx="0">
                  <c:v>Выручка от прочей деятельности</c:v>
                </c:pt>
              </c:strCache>
            </c:strRef>
          </c:tx>
          <c:dLbls>
            <c:dLbl>
              <c:idx val="0"/>
              <c:tx>
                <c:rich>
                  <a:bodyPr/>
                  <a:lstStyle/>
                  <a:p>
                    <a:r>
                      <a:rPr lang="en-US"/>
                      <a:t>0,</a:t>
                    </a:r>
                    <a:r>
                      <a:rPr lang="ru-RU"/>
                      <a:t>55</a:t>
                    </a:r>
                    <a:r>
                      <a:rPr lang="en-US"/>
                      <a:t>%</a:t>
                    </a:r>
                  </a:p>
                </c:rich>
              </c:tx>
              <c:showVal val="1"/>
            </c:dLbl>
            <c:dLbl>
              <c:idx val="1"/>
              <c:tx>
                <c:rich>
                  <a:bodyPr/>
                  <a:lstStyle/>
                  <a:p>
                    <a:r>
                      <a:rPr lang="en-US"/>
                      <a:t>0,</a:t>
                    </a:r>
                    <a:r>
                      <a:rPr lang="ru-RU"/>
                      <a:t>29</a:t>
                    </a:r>
                    <a:r>
                      <a:rPr lang="en-US"/>
                      <a:t>%</a:t>
                    </a:r>
                  </a:p>
                </c:rich>
              </c:tx>
              <c:showVal val="1"/>
            </c:dLbl>
            <c:dLbl>
              <c:idx val="2"/>
              <c:tx>
                <c:rich>
                  <a:bodyPr/>
                  <a:lstStyle/>
                  <a:p>
                    <a:r>
                      <a:rPr lang="en-US"/>
                      <a:t>0,</a:t>
                    </a:r>
                    <a:r>
                      <a:rPr lang="ru-RU"/>
                      <a:t>42</a:t>
                    </a:r>
                    <a:r>
                      <a:rPr lang="en-US"/>
                      <a:t>%</a:t>
                    </a:r>
                  </a:p>
                </c:rich>
              </c:tx>
              <c:showVal val="1"/>
            </c:dLbl>
            <c:showVal val="1"/>
          </c:dLbls>
          <c:cat>
            <c:numRef>
              <c:f>Лист1!$A$2:$A$4</c:f>
              <c:numCache>
                <c:formatCode>General</c:formatCode>
                <c:ptCount val="3"/>
                <c:pt idx="0">
                  <c:v>2011</c:v>
                </c:pt>
                <c:pt idx="1">
                  <c:v>2012</c:v>
                </c:pt>
                <c:pt idx="2">
                  <c:v>2013</c:v>
                </c:pt>
              </c:numCache>
            </c:numRef>
          </c:cat>
          <c:val>
            <c:numRef>
              <c:f>Лист1!$D$2:$D$4</c:f>
              <c:numCache>
                <c:formatCode>0.00%</c:formatCode>
                <c:ptCount val="3"/>
                <c:pt idx="0">
                  <c:v>1.7147914592322161E-3</c:v>
                </c:pt>
                <c:pt idx="1">
                  <c:v>1.9151243983458748E-3</c:v>
                </c:pt>
                <c:pt idx="2">
                  <c:v>2.8621593669577012E-3</c:v>
                </c:pt>
              </c:numCache>
            </c:numRef>
          </c:val>
        </c:ser>
        <c:overlap val="100"/>
        <c:axId val="200784896"/>
        <c:axId val="200790784"/>
      </c:barChart>
      <c:catAx>
        <c:axId val="200784896"/>
        <c:scaling>
          <c:orientation val="minMax"/>
        </c:scaling>
        <c:axPos val="b"/>
        <c:numFmt formatCode="General" sourceLinked="1"/>
        <c:tickLblPos val="nextTo"/>
        <c:crossAx val="200790784"/>
        <c:crosses val="autoZero"/>
        <c:auto val="1"/>
        <c:lblAlgn val="ctr"/>
        <c:lblOffset val="100"/>
      </c:catAx>
      <c:valAx>
        <c:axId val="200790784"/>
        <c:scaling>
          <c:orientation val="minMax"/>
          <c:max val="1"/>
          <c:min val="0.5"/>
        </c:scaling>
        <c:axPos val="l"/>
        <c:majorGridlines/>
        <c:title>
          <c:tx>
            <c:rich>
              <a:bodyPr rot="-5400000" vert="horz"/>
              <a:lstStyle/>
              <a:p>
                <a:pPr>
                  <a:defRPr/>
                </a:pPr>
                <a:r>
                  <a:rPr lang="ru-RU"/>
                  <a:t>млн</a:t>
                </a:r>
                <a:r>
                  <a:rPr lang="ru-RU" baseline="0"/>
                  <a:t> руб. без НДС</a:t>
                </a:r>
                <a:endParaRPr lang="ru-RU"/>
              </a:p>
            </c:rich>
          </c:tx>
        </c:title>
        <c:numFmt formatCode="0%" sourceLinked="0"/>
        <c:tickLblPos val="nextTo"/>
        <c:crossAx val="200784896"/>
        <c:crosses val="autoZero"/>
        <c:crossBetween val="between"/>
      </c:valAx>
    </c:plotArea>
    <c:legend>
      <c:legendPos val="b"/>
      <c:layout>
        <c:manualLayout>
          <c:xMode val="edge"/>
          <c:yMode val="edge"/>
          <c:x val="4.6591293432907133E-4"/>
          <c:y val="0.73462067241596096"/>
          <c:w val="0.99953408706567048"/>
          <c:h val="0.24156980377452841"/>
        </c:manualLayout>
      </c:layout>
    </c:legend>
    <c:plotVisOnly val="1"/>
    <c:dispBlanksAs val="gap"/>
  </c:chart>
  <c:txPr>
    <a:bodyPr/>
    <a:lstStyle/>
    <a:p>
      <a:pPr>
        <a:defRPr sz="900"/>
      </a:pPr>
      <a:endParaRPr lang="ru-RU"/>
    </a:p>
  </c:txPr>
  <c:externalData r:id="rId1"/>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выручки от оказания услуг по передаче э/э по категориям потребителей </a:t>
            </a:r>
          </a:p>
        </c:rich>
      </c:tx>
    </c:title>
    <c:plotArea>
      <c:layout>
        <c:manualLayout>
          <c:layoutTarget val="inner"/>
          <c:xMode val="edge"/>
          <c:yMode val="edge"/>
          <c:x val="0.17106666623121716"/>
          <c:y val="0.22930876306010783"/>
          <c:w val="0.82757887227184723"/>
          <c:h val="0.50889472553518234"/>
        </c:manualLayout>
      </c:layout>
      <c:barChart>
        <c:barDir val="col"/>
        <c:grouping val="stacked"/>
        <c:ser>
          <c:idx val="0"/>
          <c:order val="0"/>
          <c:tx>
            <c:strRef>
              <c:f>Лист1!$B$1</c:f>
              <c:strCache>
                <c:ptCount val="1"/>
                <c:pt idx="0">
                  <c:v>Гарантирующие поставщики</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102660</c:v>
                </c:pt>
                <c:pt idx="1">
                  <c:v>96062</c:v>
                </c:pt>
                <c:pt idx="2">
                  <c:v>107461</c:v>
                </c:pt>
              </c:numCache>
            </c:numRef>
          </c:val>
        </c:ser>
        <c:ser>
          <c:idx val="1"/>
          <c:order val="1"/>
          <c:tx>
            <c:strRef>
              <c:f>Лист1!$C$1</c:f>
              <c:strCache>
                <c:ptCount val="1"/>
                <c:pt idx="0">
                  <c:v>Энергосбытовые организации</c:v>
                </c:pt>
              </c:strCache>
            </c:strRef>
          </c:tx>
          <c:dLbls>
            <c:dLblPos val="inBase"/>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3227</c:v>
                </c:pt>
                <c:pt idx="1">
                  <c:v>3368</c:v>
                </c:pt>
                <c:pt idx="2">
                  <c:v>2478</c:v>
                </c:pt>
              </c:numCache>
            </c:numRef>
          </c:val>
        </c:ser>
        <c:ser>
          <c:idx val="2"/>
          <c:order val="2"/>
          <c:tx>
            <c:strRef>
              <c:f>Лист1!$D$1</c:f>
              <c:strCache>
                <c:ptCount val="1"/>
                <c:pt idx="0">
                  <c:v>Прочие потребители</c:v>
                </c:pt>
              </c:strCache>
            </c:strRef>
          </c:tx>
          <c:dLbls>
            <c:showVal val="1"/>
          </c:dLbls>
          <c:cat>
            <c:numRef>
              <c:f>Лист1!$A$2:$A$4</c:f>
              <c:numCache>
                <c:formatCode>General</c:formatCode>
                <c:ptCount val="3"/>
                <c:pt idx="0">
                  <c:v>2011</c:v>
                </c:pt>
                <c:pt idx="1">
                  <c:v>2012</c:v>
                </c:pt>
                <c:pt idx="2">
                  <c:v>2013</c:v>
                </c:pt>
              </c:numCache>
            </c:numRef>
          </c:cat>
          <c:val>
            <c:numRef>
              <c:f>Лист1!$D$2:$D$4</c:f>
              <c:numCache>
                <c:formatCode>#,##0</c:formatCode>
                <c:ptCount val="3"/>
                <c:pt idx="0">
                  <c:v>1107</c:v>
                </c:pt>
                <c:pt idx="1">
                  <c:v>850</c:v>
                </c:pt>
                <c:pt idx="2">
                  <c:v>1041</c:v>
                </c:pt>
              </c:numCache>
            </c:numRef>
          </c:val>
        </c:ser>
        <c:overlap val="100"/>
        <c:axId val="200863104"/>
        <c:axId val="201360512"/>
      </c:barChart>
      <c:catAx>
        <c:axId val="200863104"/>
        <c:scaling>
          <c:orientation val="minMax"/>
        </c:scaling>
        <c:axPos val="b"/>
        <c:numFmt formatCode="General" sourceLinked="1"/>
        <c:tickLblPos val="nextTo"/>
        <c:crossAx val="201360512"/>
        <c:crosses val="autoZero"/>
        <c:auto val="1"/>
        <c:lblAlgn val="ctr"/>
        <c:lblOffset val="100"/>
      </c:catAx>
      <c:valAx>
        <c:axId val="201360512"/>
        <c:scaling>
          <c:orientation val="minMax"/>
          <c:max val="115000"/>
          <c:min val="0"/>
        </c:scaling>
        <c:axPos val="l"/>
        <c:majorGridlines/>
        <c:numFmt formatCode="#,##0" sourceLinked="1"/>
        <c:tickLblPos val="nextTo"/>
        <c:crossAx val="200863104"/>
        <c:crosses val="autoZero"/>
        <c:crossBetween val="between"/>
      </c:valAx>
    </c:plotArea>
    <c:legend>
      <c:legendPos val="b"/>
      <c:layout>
        <c:manualLayout>
          <c:xMode val="edge"/>
          <c:yMode val="edge"/>
          <c:x val="2.5342197562870556E-2"/>
          <c:y val="0.84861066193213697"/>
          <c:w val="0.96959377755143061"/>
          <c:h val="0.14721548741881818"/>
        </c:manualLayout>
      </c:layout>
    </c:legend>
    <c:plotVisOnly val="1"/>
    <c:dispBlanksAs val="gap"/>
  </c:chart>
  <c:txPr>
    <a:bodyPr/>
    <a:lstStyle/>
    <a:p>
      <a:pPr>
        <a:defRPr sz="900"/>
      </a:pPr>
      <a:endParaRPr lang="ru-RU"/>
    </a:p>
  </c:txPr>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выручки от оказания услуг по передаче э/э </a:t>
            </a:r>
            <a:r>
              <a:rPr lang="ru-RU" sz="1080" b="1" i="0" u="none" strike="noStrike" baseline="0"/>
              <a:t>по категориям потребителей в процентном соотношении</a:t>
            </a:r>
            <a:endParaRPr lang="ru-RU"/>
          </a:p>
        </c:rich>
      </c:tx>
    </c:title>
    <c:plotArea>
      <c:layout/>
      <c:pieChart>
        <c:varyColors val="1"/>
        <c:ser>
          <c:idx val="0"/>
          <c:order val="0"/>
          <c:tx>
            <c:strRef>
              <c:f>Лист1!$B$1</c:f>
              <c:strCache>
                <c:ptCount val="1"/>
                <c:pt idx="0">
                  <c:v>Продажи</c:v>
                </c:pt>
              </c:strCache>
            </c:strRef>
          </c:tx>
          <c:dLbls>
            <c:dLbl>
              <c:idx val="1"/>
              <c:layout>
                <c:manualLayout>
                  <c:x val="-3.2936535020673896E-2"/>
                  <c:y val="2.3341415097421742E-2"/>
                </c:manualLayout>
              </c:layout>
              <c:showPercent val="1"/>
            </c:dLbl>
            <c:dLbl>
              <c:idx val="2"/>
              <c:layout>
                <c:manualLayout>
                  <c:x val="-8.1167744385775217E-3"/>
                  <c:y val="-6.7142332438696314E-2"/>
                </c:manualLayout>
              </c:layout>
              <c:showPercent val="1"/>
            </c:dLbl>
            <c:numFmt formatCode="0.00%" sourceLinked="0"/>
            <c:showPercent val="1"/>
            <c:showLeaderLines val="1"/>
          </c:dLbls>
          <c:cat>
            <c:strRef>
              <c:f>Лист1!$A$2:$A$4</c:f>
              <c:strCache>
                <c:ptCount val="3"/>
                <c:pt idx="0">
                  <c:v>Гарантирующие поставщики</c:v>
                </c:pt>
                <c:pt idx="1">
                  <c:v>Энергосбытовые организации</c:v>
                </c:pt>
                <c:pt idx="2">
                  <c:v>Прочие потребители</c:v>
                </c:pt>
              </c:strCache>
            </c:strRef>
          </c:cat>
          <c:val>
            <c:numRef>
              <c:f>Лист1!$B$2:$B$4</c:f>
              <c:numCache>
                <c:formatCode>#,##0</c:formatCode>
                <c:ptCount val="3"/>
                <c:pt idx="0">
                  <c:v>107461</c:v>
                </c:pt>
                <c:pt idx="1">
                  <c:v>2478</c:v>
                </c:pt>
                <c:pt idx="2">
                  <c:v>1041</c:v>
                </c:pt>
              </c:numCache>
            </c:numRef>
          </c:val>
        </c:ser>
        <c:firstSliceAng val="279"/>
      </c:pieChart>
    </c:plotArea>
    <c:legend>
      <c:legendPos val="b"/>
      <c:layout>
        <c:manualLayout>
          <c:xMode val="edge"/>
          <c:yMode val="edge"/>
          <c:x val="0.12334558061144089"/>
          <c:y val="0.81925668763324111"/>
          <c:w val="0.83631289659924823"/>
          <c:h val="0.15559986390692357"/>
        </c:manualLayout>
      </c:layout>
    </c:legend>
    <c:plotVisOnly val="1"/>
    <c:dispBlanksAs val="zero"/>
  </c:chart>
  <c:txPr>
    <a:bodyPr/>
    <a:lstStyle/>
    <a:p>
      <a:pPr>
        <a:defRPr sz="900"/>
      </a:pPr>
      <a:endParaRPr lang="ru-RU"/>
    </a:p>
  </c:txPr>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выручки от оказания услуг по передаче э/э по группам конечных</a:t>
            </a:r>
          </a:p>
        </c:rich>
      </c:tx>
    </c:title>
    <c:plotArea>
      <c:layout>
        <c:manualLayout>
          <c:layoutTarget val="inner"/>
          <c:xMode val="edge"/>
          <c:yMode val="edge"/>
          <c:x val="6.727857140387096E-2"/>
          <c:y val="0.16813492063492064"/>
          <c:w val="0.50109931910685079"/>
          <c:h val="0.67482408448945286"/>
        </c:manualLayout>
      </c:layout>
      <c:barChart>
        <c:barDir val="col"/>
        <c:grouping val="stacked"/>
        <c:ser>
          <c:idx val="0"/>
          <c:order val="0"/>
          <c:tx>
            <c:strRef>
              <c:f>Лист1!$B$1</c:f>
              <c:strCache>
                <c:ptCount val="1"/>
                <c:pt idx="0">
                  <c:v>Промышленные потребители</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35363</c:v>
                </c:pt>
                <c:pt idx="1">
                  <c:v>32999</c:v>
                </c:pt>
                <c:pt idx="2">
                  <c:v>37798</c:v>
                </c:pt>
              </c:numCache>
            </c:numRef>
          </c:val>
        </c:ser>
        <c:ser>
          <c:idx val="2"/>
          <c:order val="1"/>
          <c:tx>
            <c:strRef>
              <c:f>Лист1!$D$1</c:f>
              <c:strCache>
                <c:ptCount val="1"/>
                <c:pt idx="0">
                  <c:v>Население и приравненные к нему группы потребителей</c:v>
                </c:pt>
              </c:strCache>
            </c:strRef>
          </c:tx>
          <c:dLbls>
            <c:showVal val="1"/>
          </c:dLbls>
          <c:cat>
            <c:numRef>
              <c:f>Лист1!$A$2:$A$4</c:f>
              <c:numCache>
                <c:formatCode>General</c:formatCode>
                <c:ptCount val="3"/>
                <c:pt idx="0">
                  <c:v>2011</c:v>
                </c:pt>
                <c:pt idx="1">
                  <c:v>2012</c:v>
                </c:pt>
                <c:pt idx="2">
                  <c:v>2013</c:v>
                </c:pt>
              </c:numCache>
            </c:numRef>
          </c:cat>
          <c:val>
            <c:numRef>
              <c:f>Лист1!$D$2:$D$4</c:f>
              <c:numCache>
                <c:formatCode>#,##0</c:formatCode>
                <c:ptCount val="3"/>
                <c:pt idx="0">
                  <c:v>28237</c:v>
                </c:pt>
                <c:pt idx="1">
                  <c:v>28235</c:v>
                </c:pt>
                <c:pt idx="2">
                  <c:v>29212</c:v>
                </c:pt>
              </c:numCache>
            </c:numRef>
          </c:val>
        </c:ser>
        <c:ser>
          <c:idx val="1"/>
          <c:order val="2"/>
          <c:tx>
            <c:strRef>
              <c:f>Лист1!$C$1</c:f>
              <c:strCache>
                <c:ptCount val="1"/>
                <c:pt idx="0">
                  <c:v>Непромышленные потребители</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24860</c:v>
                </c:pt>
                <c:pt idx="1">
                  <c:v>21040</c:v>
                </c:pt>
                <c:pt idx="2">
                  <c:v>24105</c:v>
                </c:pt>
              </c:numCache>
            </c:numRef>
          </c:val>
        </c:ser>
        <c:ser>
          <c:idx val="3"/>
          <c:order val="3"/>
          <c:tx>
            <c:strRef>
              <c:f>Лист1!$E$1</c:f>
              <c:strCache>
                <c:ptCount val="1"/>
                <c:pt idx="0">
                  <c:v>Государственные и муниципальные организации, а также прочие бюджетные потребители</c:v>
                </c:pt>
              </c:strCache>
            </c:strRef>
          </c:tx>
          <c:dLbls>
            <c:numFmt formatCode="#,##0" sourceLinked="0"/>
            <c:showVal val="1"/>
          </c:dLbls>
          <c:cat>
            <c:numRef>
              <c:f>Лист1!$A$2:$A$4</c:f>
              <c:numCache>
                <c:formatCode>General</c:formatCode>
                <c:ptCount val="3"/>
                <c:pt idx="0">
                  <c:v>2011</c:v>
                </c:pt>
                <c:pt idx="1">
                  <c:v>2012</c:v>
                </c:pt>
                <c:pt idx="2">
                  <c:v>2013</c:v>
                </c:pt>
              </c:numCache>
            </c:numRef>
          </c:cat>
          <c:val>
            <c:numRef>
              <c:f>Лист1!$E$2:$E$4</c:f>
              <c:numCache>
                <c:formatCode>#,##0</c:formatCode>
                <c:ptCount val="3"/>
                <c:pt idx="0">
                  <c:v>9696</c:v>
                </c:pt>
                <c:pt idx="1">
                  <c:v>9115</c:v>
                </c:pt>
                <c:pt idx="2">
                  <c:v>10003</c:v>
                </c:pt>
              </c:numCache>
            </c:numRef>
          </c:val>
        </c:ser>
        <c:ser>
          <c:idx val="4"/>
          <c:order val="4"/>
          <c:tx>
            <c:strRef>
              <c:f>Лист1!$F$1</c:f>
              <c:strCache>
                <c:ptCount val="1"/>
                <c:pt idx="0">
                  <c:v>Транспорт</c:v>
                </c:pt>
              </c:strCache>
            </c:strRef>
          </c:tx>
          <c:dLbls>
            <c:numFmt formatCode="#,##0" sourceLinked="0"/>
            <c:showVal val="1"/>
          </c:dLbls>
          <c:cat>
            <c:numRef>
              <c:f>Лист1!$A$2:$A$4</c:f>
              <c:numCache>
                <c:formatCode>General</c:formatCode>
                <c:ptCount val="3"/>
                <c:pt idx="0">
                  <c:v>2011</c:v>
                </c:pt>
                <c:pt idx="1">
                  <c:v>2012</c:v>
                </c:pt>
                <c:pt idx="2">
                  <c:v>2013</c:v>
                </c:pt>
              </c:numCache>
            </c:numRef>
          </c:cat>
          <c:val>
            <c:numRef>
              <c:f>Лист1!$F$2:$F$4</c:f>
              <c:numCache>
                <c:formatCode>#,##0</c:formatCode>
                <c:ptCount val="3"/>
                <c:pt idx="0">
                  <c:v>7703</c:v>
                </c:pt>
                <c:pt idx="1">
                  <c:v>7700</c:v>
                </c:pt>
                <c:pt idx="2">
                  <c:v>8536</c:v>
                </c:pt>
              </c:numCache>
            </c:numRef>
          </c:val>
        </c:ser>
        <c:ser>
          <c:idx val="5"/>
          <c:order val="5"/>
          <c:tx>
            <c:strRef>
              <c:f>Лист1!$G$1</c:f>
              <c:strCache>
                <c:ptCount val="1"/>
                <c:pt idx="0">
                  <c:v>Сельское хозяйство</c:v>
                </c:pt>
              </c:strCache>
            </c:strRef>
          </c:tx>
          <c:dLbls>
            <c:numFmt formatCode="#,##0" sourceLinked="0"/>
            <c:showVal val="1"/>
          </c:dLbls>
          <c:cat>
            <c:numRef>
              <c:f>Лист1!$A$2:$A$4</c:f>
              <c:numCache>
                <c:formatCode>General</c:formatCode>
                <c:ptCount val="3"/>
                <c:pt idx="0">
                  <c:v>2011</c:v>
                </c:pt>
                <c:pt idx="1">
                  <c:v>2012</c:v>
                </c:pt>
                <c:pt idx="2">
                  <c:v>2013</c:v>
                </c:pt>
              </c:numCache>
            </c:numRef>
          </c:cat>
          <c:val>
            <c:numRef>
              <c:f>Лист1!$G$2:$G$4</c:f>
              <c:numCache>
                <c:formatCode>#,##0</c:formatCode>
                <c:ptCount val="3"/>
                <c:pt idx="0">
                  <c:v>1134</c:v>
                </c:pt>
                <c:pt idx="1">
                  <c:v>1191</c:v>
                </c:pt>
                <c:pt idx="2">
                  <c:v>1326</c:v>
                </c:pt>
              </c:numCache>
            </c:numRef>
          </c:val>
        </c:ser>
        <c:overlap val="100"/>
        <c:axId val="201471488"/>
        <c:axId val="201473024"/>
      </c:barChart>
      <c:catAx>
        <c:axId val="201471488"/>
        <c:scaling>
          <c:orientation val="minMax"/>
        </c:scaling>
        <c:axPos val="b"/>
        <c:numFmt formatCode="General" sourceLinked="1"/>
        <c:tickLblPos val="nextTo"/>
        <c:crossAx val="201473024"/>
        <c:crosses val="autoZero"/>
        <c:auto val="1"/>
        <c:lblAlgn val="ctr"/>
        <c:lblOffset val="100"/>
      </c:catAx>
      <c:valAx>
        <c:axId val="201473024"/>
        <c:scaling>
          <c:orientation val="minMax"/>
          <c:max val="120000"/>
          <c:min val="0"/>
        </c:scaling>
        <c:axPos val="l"/>
        <c:majorGridlines/>
        <c:numFmt formatCode="#,##0" sourceLinked="1"/>
        <c:tickLblPos val="nextTo"/>
        <c:crossAx val="201471488"/>
        <c:crosses val="autoZero"/>
        <c:crossBetween val="between"/>
      </c:valAx>
    </c:plotArea>
    <c:legend>
      <c:legendPos val="r"/>
      <c:layout>
        <c:manualLayout>
          <c:xMode val="edge"/>
          <c:yMode val="edge"/>
          <c:x val="0.58226847594970532"/>
          <c:y val="0.1608298962629672"/>
          <c:w val="0.40588515133324843"/>
          <c:h val="0.83780464941883248"/>
        </c:manualLayout>
      </c:layout>
    </c:legend>
    <c:plotVisOnly val="1"/>
    <c:dispBlanksAs val="gap"/>
  </c:chart>
  <c:txPr>
    <a:bodyPr/>
    <a:lstStyle/>
    <a:p>
      <a:pPr>
        <a:defRPr sz="900"/>
      </a:pPr>
      <a:endParaRPr lang="ru-RU"/>
    </a:p>
  </c:txPr>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выручки от оказания услуг по передаче э/э по группам конечных потребителей</a:t>
            </a:r>
          </a:p>
        </c:rich>
      </c:tx>
    </c:title>
    <c:plotArea>
      <c:layout>
        <c:manualLayout>
          <c:layoutTarget val="inner"/>
          <c:xMode val="edge"/>
          <c:yMode val="edge"/>
          <c:x val="0.15241506270050009"/>
          <c:y val="0.30313710786151726"/>
          <c:w val="0.35224281860600759"/>
          <c:h val="0.60384483189602178"/>
        </c:manualLayout>
      </c:layout>
      <c:pieChart>
        <c:varyColors val="1"/>
        <c:ser>
          <c:idx val="0"/>
          <c:order val="0"/>
          <c:tx>
            <c:strRef>
              <c:f>Лист1!$B$1</c:f>
              <c:strCache>
                <c:ptCount val="1"/>
                <c:pt idx="0">
                  <c:v>Структура выручки от оказания услуг по передаче э/э по группам конечных</c:v>
                </c:pt>
              </c:strCache>
            </c:strRef>
          </c:tx>
          <c:dLbls>
            <c:numFmt formatCode="0.00%" sourceLinked="0"/>
            <c:showPercent val="1"/>
            <c:showLeaderLines val="1"/>
          </c:dLbls>
          <c:cat>
            <c:strRef>
              <c:f>Лист1!$A$2:$A$7</c:f>
              <c:strCache>
                <c:ptCount val="6"/>
                <c:pt idx="0">
                  <c:v>Промышленные потребители</c:v>
                </c:pt>
                <c:pt idx="1">
                  <c:v>Население и приравненные к нему группы потребителей</c:v>
                </c:pt>
                <c:pt idx="2">
                  <c:v>Непромышленные потребители</c:v>
                </c:pt>
                <c:pt idx="3">
                  <c:v>Государственные и муниципальные организации, а также прочие бюджетные потребители</c:v>
                </c:pt>
                <c:pt idx="4">
                  <c:v>Транспорт</c:v>
                </c:pt>
                <c:pt idx="5">
                  <c:v>Сельское хозяйство</c:v>
                </c:pt>
              </c:strCache>
            </c:strRef>
          </c:cat>
          <c:val>
            <c:numRef>
              <c:f>Лист1!$B$2:$B$7</c:f>
              <c:numCache>
                <c:formatCode>#,##0</c:formatCode>
                <c:ptCount val="6"/>
                <c:pt idx="0">
                  <c:v>37798</c:v>
                </c:pt>
                <c:pt idx="1">
                  <c:v>29212</c:v>
                </c:pt>
                <c:pt idx="2">
                  <c:v>24105</c:v>
                </c:pt>
                <c:pt idx="3">
                  <c:v>10003</c:v>
                </c:pt>
                <c:pt idx="4">
                  <c:v>8536</c:v>
                </c:pt>
                <c:pt idx="5">
                  <c:v>1326</c:v>
                </c:pt>
              </c:numCache>
            </c:numRef>
          </c:val>
        </c:ser>
        <c:firstSliceAng val="0"/>
      </c:pieChart>
    </c:plotArea>
    <c:legend>
      <c:legendPos val="r"/>
      <c:layout>
        <c:manualLayout>
          <c:xMode val="edge"/>
          <c:yMode val="edge"/>
          <c:x val="0.54287839020122486"/>
          <c:y val="0.20459973753281188"/>
          <c:w val="0.4432327209098863"/>
          <c:h val="0.7271891013623295"/>
        </c:manualLayout>
      </c:layout>
    </c:legend>
    <c:plotVisOnly val="1"/>
    <c:dispBlanksAs val="zero"/>
  </c:chart>
  <c:txPr>
    <a:bodyPr/>
    <a:lstStyle/>
    <a:p>
      <a:pPr>
        <a:defRPr sz="900"/>
      </a:pPr>
      <a:endParaRPr lang="ru-RU"/>
    </a:p>
  </c:txPr>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Выручка от услуг по технологическому присоединению по группам</a:t>
            </a:r>
            <a:r>
              <a:rPr lang="ru-RU" baseline="0"/>
              <a:t> </a:t>
            </a:r>
            <a:r>
              <a:rPr lang="ru-RU"/>
              <a:t>потребителей</a:t>
            </a:r>
          </a:p>
        </c:rich>
      </c:tx>
    </c:title>
    <c:plotArea>
      <c:layout/>
      <c:pieChart>
        <c:varyColors val="1"/>
        <c:ser>
          <c:idx val="0"/>
          <c:order val="0"/>
          <c:tx>
            <c:strRef>
              <c:f>Лист1!$B$1</c:f>
              <c:strCache>
                <c:ptCount val="1"/>
                <c:pt idx="0">
                  <c:v>Продажи</c:v>
                </c:pt>
              </c:strCache>
            </c:strRef>
          </c:tx>
          <c:dLbls>
            <c:numFmt formatCode="0.00%" sourceLinked="0"/>
            <c:showPercent val="1"/>
            <c:showLeaderLines val="1"/>
          </c:dLbls>
          <c:cat>
            <c:strRef>
              <c:f>Лист1!$A$2:$A$5</c:f>
              <c:strCache>
                <c:ptCount val="4"/>
                <c:pt idx="0">
                  <c:v>До 15 кВт</c:v>
                </c:pt>
                <c:pt idx="1">
                  <c:v>Свыше 15 кВт и до 150 кВт</c:v>
                </c:pt>
                <c:pt idx="2">
                  <c:v>Свыше 150 кВт и менее 670 кВт</c:v>
                </c:pt>
                <c:pt idx="3">
                  <c:v>Не менее 670 кВт</c:v>
                </c:pt>
              </c:strCache>
            </c:strRef>
          </c:cat>
          <c:val>
            <c:numRef>
              <c:f>Лист1!$B$2:$B$5</c:f>
              <c:numCache>
                <c:formatCode>General</c:formatCode>
                <c:ptCount val="4"/>
                <c:pt idx="0">
                  <c:v>64</c:v>
                </c:pt>
                <c:pt idx="1">
                  <c:v>831</c:v>
                </c:pt>
                <c:pt idx="2" formatCode="#,##0">
                  <c:v>2594</c:v>
                </c:pt>
                <c:pt idx="3" formatCode="#,##0">
                  <c:v>9742</c:v>
                </c:pt>
              </c:numCache>
            </c:numRef>
          </c:val>
        </c:ser>
        <c:firstSliceAng val="0"/>
      </c:pieChart>
    </c:plotArea>
    <c:legend>
      <c:legendPos val="r"/>
      <c:layout>
        <c:manualLayout>
          <c:xMode val="edge"/>
          <c:yMode val="edge"/>
          <c:x val="0.59944253763151401"/>
          <c:y val="0.31242305649293839"/>
          <c:w val="0.39798834499490943"/>
          <c:h val="0.55059992500937383"/>
        </c:manualLayout>
      </c:layout>
    </c:legend>
    <c:plotVisOnly val="1"/>
    <c:dispBlanksAs val="zero"/>
  </c:chart>
  <c:txPr>
    <a:bodyPr/>
    <a:lstStyle/>
    <a:p>
      <a:pPr>
        <a:defRPr sz="900"/>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9931262355190824E-2"/>
          <c:y val="5.9284647225422017E-2"/>
          <c:w val="0.85139846947231967"/>
          <c:h val="0.64711639602408355"/>
        </c:manualLayout>
      </c:layout>
      <c:barChart>
        <c:barDir val="col"/>
        <c:grouping val="clustered"/>
        <c:ser>
          <c:idx val="0"/>
          <c:order val="0"/>
          <c:tx>
            <c:strRef>
              <c:f>Лист1!$B$1</c:f>
              <c:strCache>
                <c:ptCount val="1"/>
                <c:pt idx="0">
                  <c:v>Стоимость чистых активов (по РСБУ)</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155178</c:v>
                </c:pt>
                <c:pt idx="1">
                  <c:v>171144</c:v>
                </c:pt>
                <c:pt idx="2">
                  <c:v>178489</c:v>
                </c:pt>
              </c:numCache>
            </c:numRef>
          </c:val>
        </c:ser>
        <c:axId val="55863936"/>
        <c:axId val="55865728"/>
      </c:barChart>
      <c:catAx>
        <c:axId val="55863936"/>
        <c:scaling>
          <c:orientation val="minMax"/>
        </c:scaling>
        <c:axPos val="b"/>
        <c:numFmt formatCode="General" sourceLinked="1"/>
        <c:tickLblPos val="nextTo"/>
        <c:crossAx val="55865728"/>
        <c:crosses val="autoZero"/>
        <c:auto val="1"/>
        <c:lblAlgn val="ctr"/>
        <c:lblOffset val="100"/>
      </c:catAx>
      <c:valAx>
        <c:axId val="55865728"/>
        <c:scaling>
          <c:orientation val="minMax"/>
          <c:max val="190000"/>
          <c:min val="0"/>
        </c:scaling>
        <c:axPos val="l"/>
        <c:majorGridlines/>
        <c:title>
          <c:tx>
            <c:rich>
              <a:bodyPr rot="-5400000" vert="horz"/>
              <a:lstStyle/>
              <a:p>
                <a:pPr>
                  <a:defRPr/>
                </a:pPr>
                <a:r>
                  <a:rPr lang="ru-RU"/>
                  <a:t>млн руб.</a:t>
                </a:r>
              </a:p>
            </c:rich>
          </c:tx>
        </c:title>
        <c:numFmt formatCode="#,##0" sourceLinked="1"/>
        <c:tickLblPos val="nextTo"/>
        <c:txPr>
          <a:bodyPr/>
          <a:lstStyle/>
          <a:p>
            <a:pPr>
              <a:defRPr sz="100">
                <a:solidFill>
                  <a:schemeClr val="bg1"/>
                </a:solidFill>
              </a:defRPr>
            </a:pPr>
            <a:endParaRPr lang="ru-RU"/>
          </a:p>
        </c:txPr>
        <c:crossAx val="55863936"/>
        <c:crosses val="autoZero"/>
        <c:crossBetween val="between"/>
      </c:valAx>
    </c:plotArea>
    <c:legend>
      <c:legendPos val="b"/>
      <c:layout>
        <c:manualLayout>
          <c:xMode val="edge"/>
          <c:yMode val="edge"/>
          <c:x val="0"/>
          <c:y val="0.84561560486758425"/>
          <c:w val="1"/>
          <c:h val="0.12474481380744021"/>
        </c:manualLayout>
      </c:layout>
    </c:legend>
    <c:plotVisOnly val="1"/>
    <c:dispBlanksAs val="gap"/>
  </c:chart>
  <c:txPr>
    <a:bodyPr/>
    <a:lstStyle/>
    <a:p>
      <a:pPr>
        <a:defRPr sz="800"/>
      </a:pPr>
      <a:endParaRPr lang="ru-RU"/>
    </a:p>
  </c:txPr>
  <c:externalData r:id="rId1"/>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себестоимости</a:t>
            </a:r>
          </a:p>
        </c:rich>
      </c:tx>
    </c:title>
    <c:plotArea>
      <c:layout/>
      <c:barChart>
        <c:barDir val="col"/>
        <c:grouping val="stacked"/>
        <c:ser>
          <c:idx val="0"/>
          <c:order val="0"/>
          <c:tx>
            <c:strRef>
              <c:f>Лист1!$B$1</c:f>
              <c:strCache>
                <c:ptCount val="1"/>
                <c:pt idx="0">
                  <c:v>Себестоимость оказания услуг по передаче электроэнергии</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96906</c:v>
                </c:pt>
                <c:pt idx="1">
                  <c:v>88855</c:v>
                </c:pt>
                <c:pt idx="2">
                  <c:v>101891</c:v>
                </c:pt>
              </c:numCache>
            </c:numRef>
          </c:val>
        </c:ser>
        <c:ser>
          <c:idx val="1"/>
          <c:order val="1"/>
          <c:tx>
            <c:strRef>
              <c:f>Лист1!$C$1</c:f>
              <c:strCache>
                <c:ptCount val="1"/>
                <c:pt idx="0">
                  <c:v>Себестоимость оказания услуг по технологическому присоединению </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3720</c:v>
                </c:pt>
                <c:pt idx="1">
                  <c:v>3334</c:v>
                </c:pt>
                <c:pt idx="2" formatCode="General">
                  <c:v>969</c:v>
                </c:pt>
              </c:numCache>
            </c:numRef>
          </c:val>
        </c:ser>
        <c:ser>
          <c:idx val="2"/>
          <c:order val="2"/>
          <c:tx>
            <c:strRef>
              <c:f>Лист1!$D$1</c:f>
              <c:strCache>
                <c:ptCount val="1"/>
                <c:pt idx="0">
                  <c:v>Себестоимость прочей деятельности</c:v>
                </c:pt>
              </c:strCache>
            </c:strRef>
          </c:tx>
          <c:dLbls>
            <c:dLblPos val="inBase"/>
            <c:showVal val="1"/>
          </c:dLbls>
          <c:cat>
            <c:numRef>
              <c:f>Лист1!$A$2:$A$4</c:f>
              <c:numCache>
                <c:formatCode>General</c:formatCode>
                <c:ptCount val="3"/>
                <c:pt idx="0">
                  <c:v>2011</c:v>
                </c:pt>
                <c:pt idx="1">
                  <c:v>2012</c:v>
                </c:pt>
                <c:pt idx="2">
                  <c:v>2013</c:v>
                </c:pt>
              </c:numCache>
            </c:numRef>
          </c:cat>
          <c:val>
            <c:numRef>
              <c:f>Лист1!$D$2:$D$4</c:f>
              <c:numCache>
                <c:formatCode>General</c:formatCode>
                <c:ptCount val="3"/>
                <c:pt idx="0">
                  <c:v>476</c:v>
                </c:pt>
                <c:pt idx="1">
                  <c:v>116</c:v>
                </c:pt>
                <c:pt idx="2">
                  <c:v>163</c:v>
                </c:pt>
              </c:numCache>
            </c:numRef>
          </c:val>
        </c:ser>
        <c:overlap val="100"/>
        <c:axId val="215836928"/>
        <c:axId val="215867392"/>
      </c:barChart>
      <c:catAx>
        <c:axId val="215836928"/>
        <c:scaling>
          <c:orientation val="minMax"/>
        </c:scaling>
        <c:axPos val="b"/>
        <c:numFmt formatCode="General" sourceLinked="1"/>
        <c:tickLblPos val="nextTo"/>
        <c:crossAx val="215867392"/>
        <c:crosses val="autoZero"/>
        <c:auto val="1"/>
        <c:lblAlgn val="ctr"/>
        <c:lblOffset val="100"/>
      </c:catAx>
      <c:valAx>
        <c:axId val="215867392"/>
        <c:scaling>
          <c:orientation val="minMax"/>
        </c:scaling>
        <c:axPos val="l"/>
        <c:majorGridlines/>
        <c:title>
          <c:tx>
            <c:rich>
              <a:bodyPr rot="-5400000" vert="horz"/>
              <a:lstStyle/>
              <a:p>
                <a:pPr>
                  <a:defRPr/>
                </a:pPr>
                <a:r>
                  <a:rPr lang="ru-RU"/>
                  <a:t>млн руб. без НДС</a:t>
                </a:r>
              </a:p>
            </c:rich>
          </c:tx>
        </c:title>
        <c:numFmt formatCode="#,##0" sourceLinked="1"/>
        <c:tickLblPos val="nextTo"/>
        <c:crossAx val="215836928"/>
        <c:crosses val="autoZero"/>
        <c:crossBetween val="between"/>
      </c:valAx>
    </c:plotArea>
    <c:legend>
      <c:legendPos val="b"/>
      <c:layout>
        <c:manualLayout>
          <c:xMode val="edge"/>
          <c:yMode val="edge"/>
          <c:x val="1.1332615933325561E-4"/>
          <c:y val="0.69493813273340865"/>
          <c:w val="0.9956666868283095"/>
          <c:h val="0.28125234345706784"/>
        </c:manualLayout>
      </c:layout>
    </c:legend>
    <c:plotVisOnly val="1"/>
    <c:dispBlanksAs val="gap"/>
  </c:chart>
  <c:txPr>
    <a:bodyPr/>
    <a:lstStyle/>
    <a:p>
      <a:pPr>
        <a:defRPr sz="900"/>
      </a:pPr>
      <a:endParaRPr lang="ru-RU"/>
    </a:p>
  </c:txPr>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себестоимости</a:t>
            </a:r>
          </a:p>
        </c:rich>
      </c:tx>
    </c:title>
    <c:plotArea>
      <c:layout/>
      <c:barChart>
        <c:barDir val="col"/>
        <c:grouping val="stacked"/>
        <c:ser>
          <c:idx val="0"/>
          <c:order val="0"/>
          <c:tx>
            <c:strRef>
              <c:f>Лист1!$B$1</c:f>
              <c:strCache>
                <c:ptCount val="1"/>
                <c:pt idx="0">
                  <c:v>Себестоимость оказания услуг по передаче электроэнергии</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0.00%</c:formatCode>
                <c:ptCount val="3"/>
                <c:pt idx="0">
                  <c:v>0.95849735910268841</c:v>
                </c:pt>
                <c:pt idx="1">
                  <c:v>0.96262390986403767</c:v>
                </c:pt>
                <c:pt idx="2">
                  <c:v>0.98901216233267397</c:v>
                </c:pt>
              </c:numCache>
            </c:numRef>
          </c:val>
        </c:ser>
        <c:ser>
          <c:idx val="1"/>
          <c:order val="1"/>
          <c:tx>
            <c:strRef>
              <c:f>Лист1!$C$1</c:f>
              <c:strCache>
                <c:ptCount val="1"/>
                <c:pt idx="0">
                  <c:v>Себестоимость оказания услуг по технологическому присоединению </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3.6794524341753863E-2</c:v>
                </c:pt>
                <c:pt idx="1">
                  <c:v>3.6119386815448781E-2</c:v>
                </c:pt>
                <c:pt idx="2">
                  <c:v>9.4056666957866644E-3</c:v>
                </c:pt>
              </c:numCache>
            </c:numRef>
          </c:val>
        </c:ser>
        <c:ser>
          <c:idx val="2"/>
          <c:order val="2"/>
          <c:tx>
            <c:strRef>
              <c:f>Лист1!$D$1</c:f>
              <c:strCache>
                <c:ptCount val="1"/>
                <c:pt idx="0">
                  <c:v>Себестоимость прочей деятельности</c:v>
                </c:pt>
              </c:strCache>
            </c:strRef>
          </c:tx>
          <c:dLbls>
            <c:dLblPos val="inBase"/>
            <c:showVal val="1"/>
          </c:dLbls>
          <c:cat>
            <c:numRef>
              <c:f>Лист1!$A$2:$A$4</c:f>
              <c:numCache>
                <c:formatCode>General</c:formatCode>
                <c:ptCount val="3"/>
                <c:pt idx="0">
                  <c:v>2011</c:v>
                </c:pt>
                <c:pt idx="1">
                  <c:v>2012</c:v>
                </c:pt>
                <c:pt idx="2">
                  <c:v>2013</c:v>
                </c:pt>
              </c:numCache>
            </c:numRef>
          </c:cat>
          <c:val>
            <c:numRef>
              <c:f>Лист1!$D$2:$D$4</c:f>
              <c:numCache>
                <c:formatCode>0.00%</c:formatCode>
                <c:ptCount val="3"/>
                <c:pt idx="0">
                  <c:v>4.7081165555577465E-3</c:v>
                </c:pt>
                <c:pt idx="1">
                  <c:v>1.2567033205135357E-3</c:v>
                </c:pt>
                <c:pt idx="2">
                  <c:v>1.5821709715306662E-3</c:v>
                </c:pt>
              </c:numCache>
            </c:numRef>
          </c:val>
        </c:ser>
        <c:overlap val="100"/>
        <c:axId val="224119424"/>
        <c:axId val="224346496"/>
      </c:barChart>
      <c:catAx>
        <c:axId val="224119424"/>
        <c:scaling>
          <c:orientation val="minMax"/>
        </c:scaling>
        <c:axPos val="b"/>
        <c:numFmt formatCode="General" sourceLinked="1"/>
        <c:tickLblPos val="nextTo"/>
        <c:crossAx val="224346496"/>
        <c:crosses val="autoZero"/>
        <c:auto val="1"/>
        <c:lblAlgn val="ctr"/>
        <c:lblOffset val="100"/>
      </c:catAx>
      <c:valAx>
        <c:axId val="224346496"/>
        <c:scaling>
          <c:orientation val="minMax"/>
          <c:max val="1"/>
          <c:min val="0.5"/>
        </c:scaling>
        <c:axPos val="l"/>
        <c:majorGridlines/>
        <c:title>
          <c:tx>
            <c:rich>
              <a:bodyPr rot="-5400000" vert="horz"/>
              <a:lstStyle/>
              <a:p>
                <a:pPr>
                  <a:defRPr/>
                </a:pPr>
                <a:r>
                  <a:rPr lang="ru-RU"/>
                  <a:t>млн руб. без НДС</a:t>
                </a:r>
              </a:p>
            </c:rich>
          </c:tx>
        </c:title>
        <c:numFmt formatCode="0%" sourceLinked="0"/>
        <c:tickLblPos val="nextTo"/>
        <c:crossAx val="224119424"/>
        <c:crosses val="autoZero"/>
        <c:crossBetween val="between"/>
      </c:valAx>
    </c:plotArea>
    <c:legend>
      <c:legendPos val="b"/>
      <c:layout>
        <c:manualLayout>
          <c:xMode val="edge"/>
          <c:yMode val="edge"/>
          <c:x val="1.1332615933325561E-4"/>
          <c:y val="0.69493813273340865"/>
          <c:w val="0.9956666868283095"/>
          <c:h val="0.28125234345706784"/>
        </c:manualLayout>
      </c:layout>
    </c:legend>
    <c:plotVisOnly val="1"/>
    <c:dispBlanksAs val="gap"/>
  </c:chart>
  <c:txPr>
    <a:bodyPr/>
    <a:lstStyle/>
    <a:p>
      <a:pPr>
        <a:defRPr sz="900"/>
      </a:pPr>
      <a:endParaRPr lang="ru-RU"/>
    </a:p>
  </c:txPr>
  <c:externalData r:id="rId1"/>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себестоимости</a:t>
            </a:r>
          </a:p>
        </c:rich>
      </c:tx>
      <c:layout>
        <c:manualLayout>
          <c:xMode val="edge"/>
          <c:yMode val="edge"/>
          <c:x val="0.29050925925926424"/>
          <c:y val="1.9841269841270139E-2"/>
        </c:manualLayout>
      </c:layout>
    </c:title>
    <c:plotArea>
      <c:layout>
        <c:manualLayout>
          <c:layoutTarget val="inner"/>
          <c:xMode val="edge"/>
          <c:yMode val="edge"/>
          <c:x val="0.10241706765820939"/>
          <c:y val="0.11581364829396325"/>
          <c:w val="0.49697743511228465"/>
          <c:h val="0.79212973378328511"/>
        </c:manualLayout>
      </c:layout>
      <c:barChart>
        <c:barDir val="col"/>
        <c:grouping val="stacked"/>
        <c:ser>
          <c:idx val="2"/>
          <c:order val="0"/>
          <c:tx>
            <c:strRef>
              <c:f>Лист1!$D$1</c:f>
              <c:strCache>
                <c:ptCount val="1"/>
                <c:pt idx="0">
                  <c:v>Услуги РСК</c:v>
                </c:pt>
              </c:strCache>
            </c:strRef>
          </c:tx>
          <c:dLbls>
            <c:showVal val="1"/>
          </c:dLbls>
          <c:cat>
            <c:numRef>
              <c:f>Лист1!$A$2:$A$4</c:f>
              <c:numCache>
                <c:formatCode>General</c:formatCode>
                <c:ptCount val="3"/>
                <c:pt idx="0">
                  <c:v>2011</c:v>
                </c:pt>
                <c:pt idx="1">
                  <c:v>2012</c:v>
                </c:pt>
                <c:pt idx="2">
                  <c:v>2013</c:v>
                </c:pt>
              </c:numCache>
            </c:numRef>
          </c:cat>
          <c:val>
            <c:numRef>
              <c:f>Лист1!$D$2:$D$4</c:f>
              <c:numCache>
                <c:formatCode>#,##0</c:formatCode>
                <c:ptCount val="3"/>
                <c:pt idx="0">
                  <c:v>30067</c:v>
                </c:pt>
                <c:pt idx="1">
                  <c:v>21812</c:v>
                </c:pt>
                <c:pt idx="2">
                  <c:v>28298</c:v>
                </c:pt>
              </c:numCache>
            </c:numRef>
          </c:val>
        </c:ser>
        <c:ser>
          <c:idx val="3"/>
          <c:order val="1"/>
          <c:tx>
            <c:strRef>
              <c:f>Лист1!$E$1</c:f>
              <c:strCache>
                <c:ptCount val="1"/>
                <c:pt idx="0">
                  <c:v>Амортизация</c:v>
                </c:pt>
              </c:strCache>
            </c:strRef>
          </c:tx>
          <c:dLbls>
            <c:showVal val="1"/>
          </c:dLbls>
          <c:cat>
            <c:numRef>
              <c:f>Лист1!$A$2:$A$4</c:f>
              <c:numCache>
                <c:formatCode>General</c:formatCode>
                <c:ptCount val="3"/>
                <c:pt idx="0">
                  <c:v>2011</c:v>
                </c:pt>
                <c:pt idx="1">
                  <c:v>2012</c:v>
                </c:pt>
                <c:pt idx="2">
                  <c:v>2013</c:v>
                </c:pt>
              </c:numCache>
            </c:numRef>
          </c:cat>
          <c:val>
            <c:numRef>
              <c:f>Лист1!$E$2:$E$4</c:f>
              <c:numCache>
                <c:formatCode>#,##0</c:formatCode>
                <c:ptCount val="3"/>
                <c:pt idx="0">
                  <c:v>15196</c:v>
                </c:pt>
                <c:pt idx="1">
                  <c:v>16680</c:v>
                </c:pt>
                <c:pt idx="2">
                  <c:v>18737</c:v>
                </c:pt>
              </c:numCache>
            </c:numRef>
          </c:val>
        </c:ser>
        <c:ser>
          <c:idx val="1"/>
          <c:order val="2"/>
          <c:tx>
            <c:strRef>
              <c:f>Лист1!$C$1</c:f>
              <c:strCache>
                <c:ptCount val="1"/>
                <c:pt idx="0">
                  <c:v>Услуги ОАО «ФСК ЕЭС»</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c:formatCode>
                <c:ptCount val="3"/>
                <c:pt idx="0">
                  <c:v>11026</c:v>
                </c:pt>
                <c:pt idx="1">
                  <c:v>12273</c:v>
                </c:pt>
                <c:pt idx="2">
                  <c:v>13529</c:v>
                </c:pt>
              </c:numCache>
            </c:numRef>
          </c:val>
        </c:ser>
        <c:ser>
          <c:idx val="0"/>
          <c:order val="3"/>
          <c:tx>
            <c:strRef>
              <c:f>Лист1!$B$1</c:f>
              <c:strCache>
                <c:ptCount val="1"/>
                <c:pt idx="0">
                  <c:v>Компенсация потерь</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13038</c:v>
                </c:pt>
                <c:pt idx="1">
                  <c:v>11486</c:v>
                </c:pt>
                <c:pt idx="2">
                  <c:v>11836</c:v>
                </c:pt>
              </c:numCache>
            </c:numRef>
          </c:val>
        </c:ser>
        <c:ser>
          <c:idx val="4"/>
          <c:order val="4"/>
          <c:tx>
            <c:strRef>
              <c:f>Лист1!$F$1</c:f>
              <c:strCache>
                <c:ptCount val="1"/>
                <c:pt idx="0">
                  <c:v>Затраты на персонал</c:v>
                </c:pt>
              </c:strCache>
            </c:strRef>
          </c:tx>
          <c:dLbls>
            <c:showVal val="1"/>
          </c:dLbls>
          <c:cat>
            <c:numRef>
              <c:f>Лист1!$A$2:$A$4</c:f>
              <c:numCache>
                <c:formatCode>General</c:formatCode>
                <c:ptCount val="3"/>
                <c:pt idx="0">
                  <c:v>2011</c:v>
                </c:pt>
                <c:pt idx="1">
                  <c:v>2012</c:v>
                </c:pt>
                <c:pt idx="2">
                  <c:v>2013</c:v>
                </c:pt>
              </c:numCache>
            </c:numRef>
          </c:cat>
          <c:val>
            <c:numRef>
              <c:f>Лист1!$F$2:$F$4</c:f>
              <c:numCache>
                <c:formatCode>#,##0</c:formatCode>
                <c:ptCount val="3"/>
                <c:pt idx="0">
                  <c:v>13987</c:v>
                </c:pt>
                <c:pt idx="1">
                  <c:v>13407</c:v>
                </c:pt>
                <c:pt idx="2">
                  <c:v>14880</c:v>
                </c:pt>
              </c:numCache>
            </c:numRef>
          </c:val>
        </c:ser>
        <c:ser>
          <c:idx val="5"/>
          <c:order val="5"/>
          <c:tx>
            <c:strRef>
              <c:f>Лист1!$G$1</c:f>
              <c:strCache>
                <c:ptCount val="1"/>
                <c:pt idx="0">
                  <c:v>Ремонтное обслуживание</c:v>
                </c:pt>
              </c:strCache>
            </c:strRef>
          </c:tx>
          <c:dLbls>
            <c:showVal val="1"/>
          </c:dLbls>
          <c:cat>
            <c:numRef>
              <c:f>Лист1!$A$2:$A$4</c:f>
              <c:numCache>
                <c:formatCode>General</c:formatCode>
                <c:ptCount val="3"/>
                <c:pt idx="0">
                  <c:v>2011</c:v>
                </c:pt>
                <c:pt idx="1">
                  <c:v>2012</c:v>
                </c:pt>
                <c:pt idx="2">
                  <c:v>2013</c:v>
                </c:pt>
              </c:numCache>
            </c:numRef>
          </c:cat>
          <c:val>
            <c:numRef>
              <c:f>Лист1!$G$2:$G$4</c:f>
              <c:numCache>
                <c:formatCode>#,##0</c:formatCode>
                <c:ptCount val="3"/>
                <c:pt idx="0">
                  <c:v>5216</c:v>
                </c:pt>
                <c:pt idx="1">
                  <c:v>4945</c:v>
                </c:pt>
                <c:pt idx="2">
                  <c:v>5333</c:v>
                </c:pt>
              </c:numCache>
            </c:numRef>
          </c:val>
        </c:ser>
        <c:ser>
          <c:idx val="6"/>
          <c:order val="6"/>
          <c:tx>
            <c:strRef>
              <c:f>Лист1!$H$1</c:f>
              <c:strCache>
                <c:ptCount val="1"/>
                <c:pt idx="0">
                  <c:v>Лизинговые платежи</c:v>
                </c:pt>
              </c:strCache>
            </c:strRef>
          </c:tx>
          <c:dLbls>
            <c:dLbl>
              <c:idx val="1"/>
              <c:layout>
                <c:manualLayout>
                  <c:x val="2.3148148148148147E-3"/>
                  <c:y val="6.3198118387990171E-3"/>
                </c:manualLayout>
              </c:layout>
              <c:showVal val="1"/>
            </c:dLbl>
            <c:showVal val="1"/>
          </c:dLbls>
          <c:cat>
            <c:numRef>
              <c:f>Лист1!$A$2:$A$4</c:f>
              <c:numCache>
                <c:formatCode>General</c:formatCode>
                <c:ptCount val="3"/>
                <c:pt idx="0">
                  <c:v>2011</c:v>
                </c:pt>
                <c:pt idx="1">
                  <c:v>2012</c:v>
                </c:pt>
                <c:pt idx="2">
                  <c:v>2013</c:v>
                </c:pt>
              </c:numCache>
            </c:numRef>
          </c:cat>
          <c:val>
            <c:numRef>
              <c:f>Лист1!$H$2:$H$4</c:f>
              <c:numCache>
                <c:formatCode>#,##0</c:formatCode>
                <c:ptCount val="3"/>
                <c:pt idx="0">
                  <c:v>3943</c:v>
                </c:pt>
                <c:pt idx="1">
                  <c:v>3214</c:v>
                </c:pt>
                <c:pt idx="2">
                  <c:v>2169</c:v>
                </c:pt>
              </c:numCache>
            </c:numRef>
          </c:val>
        </c:ser>
        <c:ser>
          <c:idx val="7"/>
          <c:order val="7"/>
          <c:tx>
            <c:strRef>
              <c:f>Лист1!$I$1</c:f>
              <c:strCache>
                <c:ptCount val="1"/>
                <c:pt idx="0">
                  <c:v>ИТ-затраты</c:v>
                </c:pt>
              </c:strCache>
            </c:strRef>
          </c:tx>
          <c:dLbls>
            <c:showVal val="1"/>
          </c:dLbls>
          <c:cat>
            <c:numRef>
              <c:f>Лист1!$A$2:$A$4</c:f>
              <c:numCache>
                <c:formatCode>General</c:formatCode>
                <c:ptCount val="3"/>
                <c:pt idx="0">
                  <c:v>2011</c:v>
                </c:pt>
                <c:pt idx="1">
                  <c:v>2012</c:v>
                </c:pt>
                <c:pt idx="2">
                  <c:v>2013</c:v>
                </c:pt>
              </c:numCache>
            </c:numRef>
          </c:cat>
          <c:val>
            <c:numRef>
              <c:f>Лист1!$I$2:$I$4</c:f>
              <c:numCache>
                <c:formatCode>General</c:formatCode>
                <c:ptCount val="3"/>
                <c:pt idx="0">
                  <c:v>352</c:v>
                </c:pt>
                <c:pt idx="1">
                  <c:v>401</c:v>
                </c:pt>
                <c:pt idx="2">
                  <c:v>367</c:v>
                </c:pt>
              </c:numCache>
            </c:numRef>
          </c:val>
        </c:ser>
        <c:ser>
          <c:idx val="8"/>
          <c:order val="8"/>
          <c:tx>
            <c:strRef>
              <c:f>Лист1!$J$1</c:f>
              <c:strCache>
                <c:ptCount val="1"/>
                <c:pt idx="0">
                  <c:v>Прочие расходы</c:v>
                </c:pt>
              </c:strCache>
            </c:strRef>
          </c:tx>
          <c:dLbls>
            <c:showVal val="1"/>
          </c:dLbls>
          <c:cat>
            <c:numRef>
              <c:f>Лист1!$A$2:$A$4</c:f>
              <c:numCache>
                <c:formatCode>General</c:formatCode>
                <c:ptCount val="3"/>
                <c:pt idx="0">
                  <c:v>2011</c:v>
                </c:pt>
                <c:pt idx="1">
                  <c:v>2012</c:v>
                </c:pt>
                <c:pt idx="2">
                  <c:v>2013</c:v>
                </c:pt>
              </c:numCache>
            </c:numRef>
          </c:cat>
          <c:val>
            <c:numRef>
              <c:f>Лист1!$J$2:$J$4</c:f>
              <c:numCache>
                <c:formatCode>#,##0</c:formatCode>
                <c:ptCount val="3"/>
                <c:pt idx="0">
                  <c:v>8278</c:v>
                </c:pt>
                <c:pt idx="1">
                  <c:v>8086</c:v>
                </c:pt>
                <c:pt idx="2">
                  <c:v>7873</c:v>
                </c:pt>
              </c:numCache>
            </c:numRef>
          </c:val>
        </c:ser>
        <c:overlap val="100"/>
        <c:axId val="224422144"/>
        <c:axId val="224436224"/>
      </c:barChart>
      <c:catAx>
        <c:axId val="224422144"/>
        <c:scaling>
          <c:orientation val="minMax"/>
        </c:scaling>
        <c:axPos val="b"/>
        <c:numFmt formatCode="General" sourceLinked="1"/>
        <c:tickLblPos val="nextTo"/>
        <c:crossAx val="224436224"/>
        <c:crosses val="autoZero"/>
        <c:auto val="1"/>
        <c:lblAlgn val="ctr"/>
        <c:lblOffset val="100"/>
      </c:catAx>
      <c:valAx>
        <c:axId val="224436224"/>
        <c:scaling>
          <c:orientation val="minMax"/>
        </c:scaling>
        <c:axPos val="l"/>
        <c:majorGridlines/>
        <c:numFmt formatCode="#,##0" sourceLinked="1"/>
        <c:tickLblPos val="nextTo"/>
        <c:crossAx val="224422144"/>
        <c:crosses val="autoZero"/>
        <c:crossBetween val="between"/>
      </c:valAx>
    </c:plotArea>
    <c:legend>
      <c:legendPos val="r"/>
      <c:layout>
        <c:manualLayout>
          <c:xMode val="edge"/>
          <c:yMode val="edge"/>
          <c:x val="0.64800561388160904"/>
          <c:y val="0.10776117434680965"/>
          <c:w val="0.3496795713035914"/>
          <c:h val="0.72613219802309314"/>
        </c:manualLayout>
      </c:layout>
    </c:legend>
    <c:plotVisOnly val="1"/>
    <c:dispBlanksAs val="gap"/>
  </c:chart>
  <c:txPr>
    <a:bodyPr/>
    <a:lstStyle/>
    <a:p>
      <a:pPr>
        <a:defRPr sz="900"/>
      </a:pPr>
      <a:endParaRPr lang="ru-RU"/>
    </a:p>
  </c:txPr>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себестоимости</a:t>
            </a:r>
          </a:p>
        </c:rich>
      </c:tx>
      <c:layout>
        <c:manualLayout>
          <c:xMode val="edge"/>
          <c:yMode val="edge"/>
          <c:x val="0.29050925925926424"/>
          <c:y val="1.9841269841270139E-2"/>
        </c:manualLayout>
      </c:layout>
    </c:title>
    <c:plotArea>
      <c:layout>
        <c:manualLayout>
          <c:layoutTarget val="inner"/>
          <c:xMode val="edge"/>
          <c:yMode val="edge"/>
          <c:x val="0.10241706765820939"/>
          <c:y val="0.11581364829396325"/>
          <c:w val="0.49697743511228465"/>
          <c:h val="0.79212973378328511"/>
        </c:manualLayout>
      </c:layout>
      <c:barChart>
        <c:barDir val="col"/>
        <c:grouping val="stacked"/>
        <c:ser>
          <c:idx val="2"/>
          <c:order val="0"/>
          <c:tx>
            <c:strRef>
              <c:f>Лист1!$D$1</c:f>
              <c:strCache>
                <c:ptCount val="1"/>
                <c:pt idx="0">
                  <c:v>Услуги РСК</c:v>
                </c:pt>
              </c:strCache>
            </c:strRef>
          </c:tx>
          <c:dLbls>
            <c:showVal val="1"/>
          </c:dLbls>
          <c:cat>
            <c:numRef>
              <c:f>Лист1!$A$2:$A$4</c:f>
              <c:numCache>
                <c:formatCode>General</c:formatCode>
                <c:ptCount val="3"/>
                <c:pt idx="0">
                  <c:v>2011</c:v>
                </c:pt>
                <c:pt idx="1">
                  <c:v>2012</c:v>
                </c:pt>
                <c:pt idx="2">
                  <c:v>2013</c:v>
                </c:pt>
              </c:numCache>
            </c:numRef>
          </c:cat>
          <c:val>
            <c:numRef>
              <c:f>Лист1!$D$2:$D$4</c:f>
              <c:numCache>
                <c:formatCode>0.00%</c:formatCode>
                <c:ptCount val="3"/>
                <c:pt idx="0">
                  <c:v>0.29738979060958337</c:v>
                </c:pt>
                <c:pt idx="1">
                  <c:v>0.23630611891142494</c:v>
                </c:pt>
                <c:pt idx="2">
                  <c:v>0.2746791947351051</c:v>
                </c:pt>
              </c:numCache>
            </c:numRef>
          </c:val>
        </c:ser>
        <c:ser>
          <c:idx val="3"/>
          <c:order val="1"/>
          <c:tx>
            <c:strRef>
              <c:f>Лист1!$E$1</c:f>
              <c:strCache>
                <c:ptCount val="1"/>
                <c:pt idx="0">
                  <c:v>Амортизация</c:v>
                </c:pt>
              </c:strCache>
            </c:strRef>
          </c:tx>
          <c:dLbls>
            <c:showVal val="1"/>
          </c:dLbls>
          <c:cat>
            <c:numRef>
              <c:f>Лист1!$A$2:$A$4</c:f>
              <c:numCache>
                <c:formatCode>General</c:formatCode>
                <c:ptCount val="3"/>
                <c:pt idx="0">
                  <c:v>2011</c:v>
                </c:pt>
                <c:pt idx="1">
                  <c:v>2012</c:v>
                </c:pt>
                <c:pt idx="2">
                  <c:v>2013</c:v>
                </c:pt>
              </c:numCache>
            </c:numRef>
          </c:cat>
          <c:val>
            <c:numRef>
              <c:f>Лист1!$E$2:$E$4</c:f>
              <c:numCache>
                <c:formatCode>0.00%</c:formatCode>
                <c:ptCount val="3"/>
                <c:pt idx="0">
                  <c:v>0.15030216709692362</c:v>
                </c:pt>
                <c:pt idx="1">
                  <c:v>0.18070722828913174</c:v>
                </c:pt>
                <c:pt idx="2">
                  <c:v>0.18187377453359477</c:v>
                </c:pt>
              </c:numCache>
            </c:numRef>
          </c:val>
        </c:ser>
        <c:ser>
          <c:idx val="1"/>
          <c:order val="2"/>
          <c:tx>
            <c:strRef>
              <c:f>Лист1!$C$1</c:f>
              <c:strCache>
                <c:ptCount val="1"/>
                <c:pt idx="0">
                  <c:v>Услуги ОАО «ФСК ЕЭС»</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0.10905710018496</c:v>
                </c:pt>
                <c:pt idx="1">
                  <c:v>0.13296281851274094</c:v>
                </c:pt>
                <c:pt idx="2">
                  <c:v>0.13132146531808717</c:v>
                </c:pt>
              </c:numCache>
            </c:numRef>
          </c:val>
        </c:ser>
        <c:ser>
          <c:idx val="0"/>
          <c:order val="3"/>
          <c:tx>
            <c:strRef>
              <c:f>Лист1!$B$1</c:f>
              <c:strCache>
                <c:ptCount val="1"/>
                <c:pt idx="0">
                  <c:v>Компенсация потерь</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0.00%</c:formatCode>
                <c:ptCount val="3"/>
                <c:pt idx="0">
                  <c:v>0.12895759769740001</c:v>
                </c:pt>
                <c:pt idx="1">
                  <c:v>0.12443664413243344</c:v>
                </c:pt>
                <c:pt idx="2">
                  <c:v>0.11488808215720914</c:v>
                </c:pt>
              </c:numCache>
            </c:numRef>
          </c:val>
        </c:ser>
        <c:ser>
          <c:idx val="4"/>
          <c:order val="4"/>
          <c:tx>
            <c:strRef>
              <c:f>Лист1!$F$1</c:f>
              <c:strCache>
                <c:ptCount val="1"/>
                <c:pt idx="0">
                  <c:v>Затраты на персонал</c:v>
                </c:pt>
              </c:strCache>
            </c:strRef>
          </c:tx>
          <c:dLbls>
            <c:showVal val="1"/>
          </c:dLbls>
          <c:cat>
            <c:numRef>
              <c:f>Лист1!$A$2:$A$4</c:f>
              <c:numCache>
                <c:formatCode>General</c:formatCode>
                <c:ptCount val="3"/>
                <c:pt idx="0">
                  <c:v>2011</c:v>
                </c:pt>
                <c:pt idx="1">
                  <c:v>2012</c:v>
                </c:pt>
                <c:pt idx="2">
                  <c:v>2013</c:v>
                </c:pt>
              </c:numCache>
            </c:numRef>
          </c:cat>
          <c:val>
            <c:numRef>
              <c:f>Лист1!$F$2:$F$4</c:f>
              <c:numCache>
                <c:formatCode>0.00%</c:formatCode>
                <c:ptCount val="3"/>
                <c:pt idx="0">
                  <c:v>0.13834406496345311</c:v>
                </c:pt>
                <c:pt idx="1">
                  <c:v>0.1452483099324017</c:v>
                </c:pt>
                <c:pt idx="2">
                  <c:v>0.14443516918716826</c:v>
                </c:pt>
              </c:numCache>
            </c:numRef>
          </c:val>
        </c:ser>
        <c:ser>
          <c:idx val="5"/>
          <c:order val="5"/>
          <c:tx>
            <c:strRef>
              <c:f>Лист1!$G$1</c:f>
              <c:strCache>
                <c:ptCount val="1"/>
                <c:pt idx="0">
                  <c:v>Ремонтное обслуживание</c:v>
                </c:pt>
              </c:strCache>
            </c:strRef>
          </c:tx>
          <c:dLbls>
            <c:showVal val="1"/>
          </c:dLbls>
          <c:cat>
            <c:numRef>
              <c:f>Лист1!$A$2:$A$4</c:f>
              <c:numCache>
                <c:formatCode>General</c:formatCode>
                <c:ptCount val="3"/>
                <c:pt idx="0">
                  <c:v>2011</c:v>
                </c:pt>
                <c:pt idx="1">
                  <c:v>2012</c:v>
                </c:pt>
                <c:pt idx="2">
                  <c:v>2013</c:v>
                </c:pt>
              </c:numCache>
            </c:numRef>
          </c:cat>
          <c:val>
            <c:numRef>
              <c:f>Лист1!$G$2:$G$4</c:f>
              <c:numCache>
                <c:formatCode>0.00%</c:formatCode>
                <c:ptCount val="3"/>
                <c:pt idx="0">
                  <c:v>5.1590951801629065E-2</c:v>
                </c:pt>
                <c:pt idx="1">
                  <c:v>5.3572976252383504E-2</c:v>
                </c:pt>
                <c:pt idx="2">
                  <c:v>5.1765642289996312E-2</c:v>
                </c:pt>
              </c:numCache>
            </c:numRef>
          </c:val>
        </c:ser>
        <c:ser>
          <c:idx val="6"/>
          <c:order val="6"/>
          <c:tx>
            <c:strRef>
              <c:f>Лист1!$H$1</c:f>
              <c:strCache>
                <c:ptCount val="1"/>
                <c:pt idx="0">
                  <c:v>Лизинговые платежи</c:v>
                </c:pt>
              </c:strCache>
            </c:strRef>
          </c:tx>
          <c:dLbls>
            <c:showVal val="1"/>
          </c:dLbls>
          <c:cat>
            <c:numRef>
              <c:f>Лист1!$A$2:$A$4</c:f>
              <c:numCache>
                <c:formatCode>General</c:formatCode>
                <c:ptCount val="3"/>
                <c:pt idx="0">
                  <c:v>2011</c:v>
                </c:pt>
                <c:pt idx="1">
                  <c:v>2012</c:v>
                </c:pt>
                <c:pt idx="2">
                  <c:v>2013</c:v>
                </c:pt>
              </c:numCache>
            </c:numRef>
          </c:cat>
          <c:val>
            <c:numRef>
              <c:f>Лист1!$H$2:$H$4</c:f>
              <c:numCache>
                <c:formatCode>0.00%</c:formatCode>
                <c:ptCount val="3"/>
                <c:pt idx="0">
                  <c:v>3.8999831854643285E-2</c:v>
                </c:pt>
                <c:pt idx="1">
                  <c:v>3.4819726122378235E-2</c:v>
                </c:pt>
                <c:pt idx="2">
                  <c:v>2.1053755508532192E-2</c:v>
                </c:pt>
              </c:numCache>
            </c:numRef>
          </c:val>
        </c:ser>
        <c:ser>
          <c:idx val="7"/>
          <c:order val="7"/>
          <c:tx>
            <c:strRef>
              <c:f>Лист1!$I$1</c:f>
              <c:strCache>
                <c:ptCount val="1"/>
                <c:pt idx="0">
                  <c:v>ИТ-затраты</c:v>
                </c:pt>
              </c:strCache>
            </c:strRef>
          </c:tx>
          <c:dLbls>
            <c:showVal val="1"/>
          </c:dLbls>
          <c:cat>
            <c:numRef>
              <c:f>Лист1!$A$2:$A$4</c:f>
              <c:numCache>
                <c:formatCode>General</c:formatCode>
                <c:ptCount val="3"/>
                <c:pt idx="0">
                  <c:v>2011</c:v>
                </c:pt>
                <c:pt idx="1">
                  <c:v>2012</c:v>
                </c:pt>
                <c:pt idx="2">
                  <c:v>2013</c:v>
                </c:pt>
              </c:numCache>
            </c:numRef>
          </c:cat>
          <c:val>
            <c:numRef>
              <c:f>Лист1!$I$2:$I$4</c:f>
              <c:numCache>
                <c:formatCode>0.00%</c:formatCode>
                <c:ptCount val="3"/>
                <c:pt idx="0">
                  <c:v>3.4815979743430011E-3</c:v>
                </c:pt>
                <c:pt idx="1">
                  <c:v>4.3443404402842833E-3</c:v>
                </c:pt>
                <c:pt idx="2">
                  <c:v>3.5623459066995412E-3</c:v>
                </c:pt>
              </c:numCache>
            </c:numRef>
          </c:val>
        </c:ser>
        <c:ser>
          <c:idx val="8"/>
          <c:order val="8"/>
          <c:tx>
            <c:strRef>
              <c:f>Лист1!$J$1</c:f>
              <c:strCache>
                <c:ptCount val="1"/>
                <c:pt idx="0">
                  <c:v>Прочие расходы</c:v>
                </c:pt>
              </c:strCache>
            </c:strRef>
          </c:tx>
          <c:dLbls>
            <c:showVal val="1"/>
          </c:dLbls>
          <c:cat>
            <c:numRef>
              <c:f>Лист1!$A$2:$A$4</c:f>
              <c:numCache>
                <c:formatCode>General</c:formatCode>
                <c:ptCount val="3"/>
                <c:pt idx="0">
                  <c:v>2011</c:v>
                </c:pt>
                <c:pt idx="1">
                  <c:v>2012</c:v>
                </c:pt>
                <c:pt idx="2">
                  <c:v>2013</c:v>
                </c:pt>
              </c:numCache>
            </c:numRef>
          </c:cat>
          <c:val>
            <c:numRef>
              <c:f>Лист1!$J$2:$J$4</c:f>
              <c:numCache>
                <c:formatCode>0.00%</c:formatCode>
                <c:ptCount val="3"/>
                <c:pt idx="0">
                  <c:v>8.1876897817077646E-2</c:v>
                </c:pt>
                <c:pt idx="1">
                  <c:v>8.7601837406829627E-2</c:v>
                </c:pt>
                <c:pt idx="2">
                  <c:v>7.6420570363611662E-2</c:v>
                </c:pt>
              </c:numCache>
            </c:numRef>
          </c:val>
        </c:ser>
        <c:overlap val="100"/>
        <c:axId val="225756672"/>
        <c:axId val="225758208"/>
      </c:barChart>
      <c:catAx>
        <c:axId val="225756672"/>
        <c:scaling>
          <c:orientation val="minMax"/>
        </c:scaling>
        <c:axPos val="b"/>
        <c:numFmt formatCode="General" sourceLinked="1"/>
        <c:tickLblPos val="nextTo"/>
        <c:crossAx val="225758208"/>
        <c:crosses val="autoZero"/>
        <c:auto val="1"/>
        <c:lblAlgn val="ctr"/>
        <c:lblOffset val="100"/>
      </c:catAx>
      <c:valAx>
        <c:axId val="225758208"/>
        <c:scaling>
          <c:orientation val="minMax"/>
          <c:max val="1"/>
        </c:scaling>
        <c:axPos val="l"/>
        <c:majorGridlines/>
        <c:numFmt formatCode="0.00%" sourceLinked="1"/>
        <c:tickLblPos val="nextTo"/>
        <c:crossAx val="225756672"/>
        <c:crosses val="autoZero"/>
        <c:crossBetween val="between"/>
      </c:valAx>
    </c:plotArea>
    <c:legend>
      <c:legendPos val="r"/>
      <c:layout>
        <c:manualLayout>
          <c:xMode val="edge"/>
          <c:yMode val="edge"/>
          <c:x val="0.64800561388160904"/>
          <c:y val="0.10776117434680965"/>
          <c:w val="0.3496795713035914"/>
          <c:h val="0.72613219802309314"/>
        </c:manualLayout>
      </c:layout>
    </c:legend>
    <c:plotVisOnly val="1"/>
    <c:dispBlanksAs val="gap"/>
  </c:chart>
  <c:txPr>
    <a:bodyPr/>
    <a:lstStyle/>
    <a:p>
      <a:pPr>
        <a:defRPr sz="900"/>
      </a:pPr>
      <a:endParaRPr lang="ru-RU"/>
    </a:p>
  </c:txPr>
  <c:externalData r:id="rId1"/>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Эффект от мероприятий по сокращению издержек в 2013 году</a:t>
            </a:r>
          </a:p>
        </c:rich>
      </c:tx>
    </c:title>
    <c:plotArea>
      <c:layout>
        <c:manualLayout>
          <c:layoutTarget val="inner"/>
          <c:xMode val="edge"/>
          <c:yMode val="edge"/>
          <c:x val="2.870006375879618E-2"/>
          <c:y val="0.13822394557175821"/>
          <c:w val="0.34934297147283744"/>
          <c:h val="0.70818469443585463"/>
        </c:manualLayout>
      </c:layout>
      <c:pieChart>
        <c:varyColors val="1"/>
        <c:ser>
          <c:idx val="0"/>
          <c:order val="0"/>
          <c:tx>
            <c:strRef>
              <c:f>Лист1!$B$1</c:f>
              <c:strCache>
                <c:ptCount val="1"/>
                <c:pt idx="0">
                  <c:v>Продажи</c:v>
                </c:pt>
              </c:strCache>
            </c:strRef>
          </c:tx>
          <c:dLbls>
            <c:numFmt formatCode="0.00%" sourceLinked="0"/>
            <c:showPercent val="1"/>
            <c:showLeaderLines val="1"/>
          </c:dLbls>
          <c:cat>
            <c:strRef>
              <c:f>Лист1!$A$2:$A$7</c:f>
              <c:strCache>
                <c:ptCount val="6"/>
                <c:pt idx="0">
                  <c:v>Мероприятия в области техперевооружения и реконструкции (сокращение затрат за счет проведения регламентированных процедур на услуги, сырье и материалы)</c:v>
                </c:pt>
                <c:pt idx="1">
                  <c:v>Снижение себестоимости за счет проведения регламентированных процедур закупок</c:v>
                </c:pt>
                <c:pt idx="2">
                  <c:v>Увеличение  выручки по передаче электроэнергии за счет выявления бездоговорного и безучетного потребления</c:v>
                </c:pt>
                <c:pt idx="3">
                  <c:v>Мероприятия в области нового строительства и расширения (сокращение затрат за счет проведения регламентированных процедур на услуги) </c:v>
                </c:pt>
                <c:pt idx="4">
                  <c:v>Снижение потерь электрической и тепловой энергии за счет организационных, нецелевых технических мероприятий и замены проводов на большее сечение</c:v>
                </c:pt>
                <c:pt idx="5">
                  <c:v>Сокращение административно-управленческих расходов</c:v>
                </c:pt>
              </c:strCache>
            </c:strRef>
          </c:cat>
          <c:val>
            <c:numRef>
              <c:f>Лист1!$B$2:$B$7</c:f>
              <c:numCache>
                <c:formatCode>#,##0</c:formatCode>
                <c:ptCount val="6"/>
                <c:pt idx="0">
                  <c:v>2105</c:v>
                </c:pt>
                <c:pt idx="1">
                  <c:v>1258</c:v>
                </c:pt>
                <c:pt idx="2" formatCode="General">
                  <c:v>701</c:v>
                </c:pt>
                <c:pt idx="3" formatCode="General">
                  <c:v>560</c:v>
                </c:pt>
                <c:pt idx="4" formatCode="General">
                  <c:v>530</c:v>
                </c:pt>
                <c:pt idx="5" formatCode="General">
                  <c:v>10</c:v>
                </c:pt>
              </c:numCache>
            </c:numRef>
          </c:val>
        </c:ser>
        <c:firstSliceAng val="0"/>
      </c:pieChart>
    </c:plotArea>
    <c:legend>
      <c:legendPos val="r"/>
      <c:layout>
        <c:manualLayout>
          <c:xMode val="edge"/>
          <c:yMode val="edge"/>
          <c:x val="0.42672283699262636"/>
          <c:y val="0.10651512310961229"/>
          <c:w val="0.55938822848336212"/>
          <c:h val="0.89348487689038869"/>
        </c:manualLayout>
      </c:layout>
    </c:legend>
    <c:plotVisOnly val="1"/>
    <c:dispBlanksAs val="zero"/>
  </c:chart>
  <c:txPr>
    <a:bodyPr/>
    <a:lstStyle/>
    <a:p>
      <a:pPr>
        <a:defRPr sz="900"/>
      </a:pPr>
      <a:endParaRPr lang="ru-RU"/>
    </a:p>
  </c:txPr>
  <c:externalData r:id="rId1"/>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a:t>
            </a:r>
            <a:r>
              <a:rPr lang="en-US"/>
              <a:t>EBITDA</a:t>
            </a:r>
            <a:endParaRPr lang="ru-RU"/>
          </a:p>
        </c:rich>
      </c:tx>
    </c:title>
    <c:plotArea>
      <c:layout>
        <c:manualLayout>
          <c:layoutTarget val="inner"/>
          <c:xMode val="edge"/>
          <c:yMode val="edge"/>
          <c:x val="0.20873002100278146"/>
          <c:y val="0.13168666416697913"/>
          <c:w val="0.74613175795101705"/>
          <c:h val="0.63736595425571863"/>
        </c:manualLayout>
      </c:layout>
      <c:barChart>
        <c:barDir val="col"/>
        <c:grouping val="stacked"/>
        <c:ser>
          <c:idx val="0"/>
          <c:order val="0"/>
          <c:tx>
            <c:strRef>
              <c:f>Лист1!$B$1</c:f>
              <c:strCache>
                <c:ptCount val="1"/>
                <c:pt idx="0">
                  <c:v>Амортизация </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0.0%</c:formatCode>
                <c:ptCount val="3"/>
                <c:pt idx="0">
                  <c:v>0.38395067967053104</c:v>
                </c:pt>
                <c:pt idx="1">
                  <c:v>0.40472666391672996</c:v>
                </c:pt>
                <c:pt idx="2">
                  <c:v>0.5143147319590371</c:v>
                </c:pt>
              </c:numCache>
            </c:numRef>
          </c:val>
        </c:ser>
        <c:ser>
          <c:idx val="3"/>
          <c:order val="1"/>
          <c:tx>
            <c:strRef>
              <c:f>Лист1!$E$1</c:f>
              <c:strCache>
                <c:ptCount val="1"/>
                <c:pt idx="0">
                  <c:v>Чистая прибыль</c:v>
                </c:pt>
              </c:strCache>
            </c:strRef>
          </c:tx>
          <c:dLbls>
            <c:showVal val="1"/>
          </c:dLbls>
          <c:cat>
            <c:numRef>
              <c:f>Лист1!$A$2:$A$4</c:f>
              <c:numCache>
                <c:formatCode>General</c:formatCode>
                <c:ptCount val="3"/>
                <c:pt idx="0">
                  <c:v>2011</c:v>
                </c:pt>
                <c:pt idx="1">
                  <c:v>2012</c:v>
                </c:pt>
                <c:pt idx="2">
                  <c:v>2013</c:v>
                </c:pt>
              </c:numCache>
            </c:numRef>
          </c:cat>
          <c:val>
            <c:numRef>
              <c:f>Лист1!$E$2:$E$4</c:f>
              <c:numCache>
                <c:formatCode>0.0%</c:formatCode>
                <c:ptCount val="3"/>
                <c:pt idx="0">
                  <c:v>0.43087068573451059</c:v>
                </c:pt>
                <c:pt idx="1">
                  <c:v>0.41695581491277461</c:v>
                </c:pt>
                <c:pt idx="2">
                  <c:v>0.31953556037441416</c:v>
                </c:pt>
              </c:numCache>
            </c:numRef>
          </c:val>
        </c:ser>
        <c:ser>
          <c:idx val="1"/>
          <c:order val="2"/>
          <c:tx>
            <c:strRef>
              <c:f>Лист1!$C$1</c:f>
              <c:strCache>
                <c:ptCount val="1"/>
                <c:pt idx="0">
                  <c:v>Налоги</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0.0%</c:formatCode>
                <c:ptCount val="3"/>
                <c:pt idx="0">
                  <c:v>0.12266915963414018</c:v>
                </c:pt>
                <c:pt idx="1">
                  <c:v>9.0893650061873707E-2</c:v>
                </c:pt>
                <c:pt idx="2">
                  <c:v>0.10932996623754494</c:v>
                </c:pt>
              </c:numCache>
            </c:numRef>
          </c:val>
        </c:ser>
        <c:ser>
          <c:idx val="2"/>
          <c:order val="3"/>
          <c:tx>
            <c:strRef>
              <c:f>Лист1!$D$1</c:f>
              <c:strCache>
                <c:ptCount val="1"/>
                <c:pt idx="0">
                  <c:v>Проценты (нетто-величина)</c:v>
                </c:pt>
              </c:strCache>
            </c:strRef>
          </c:tx>
          <c:dLbls>
            <c:showVal val="1"/>
          </c:dLbls>
          <c:cat>
            <c:numRef>
              <c:f>Лист1!$A$2:$A$4</c:f>
              <c:numCache>
                <c:formatCode>General</c:formatCode>
                <c:ptCount val="3"/>
                <c:pt idx="0">
                  <c:v>2011</c:v>
                </c:pt>
                <c:pt idx="1">
                  <c:v>2012</c:v>
                </c:pt>
                <c:pt idx="2">
                  <c:v>2013</c:v>
                </c:pt>
              </c:numCache>
            </c:numRef>
          </c:cat>
          <c:val>
            <c:numRef>
              <c:f>Лист1!$D$2:$D$4</c:f>
              <c:numCache>
                <c:formatCode>0.0%</c:formatCode>
                <c:ptCount val="3"/>
                <c:pt idx="0">
                  <c:v>6.2509474960836933E-2</c:v>
                </c:pt>
                <c:pt idx="1">
                  <c:v>8.7423871108630771E-2</c:v>
                </c:pt>
                <c:pt idx="2">
                  <c:v>5.6819741429002792E-2</c:v>
                </c:pt>
              </c:numCache>
            </c:numRef>
          </c:val>
        </c:ser>
        <c:overlap val="100"/>
        <c:axId val="226120832"/>
        <c:axId val="226122368"/>
      </c:barChart>
      <c:catAx>
        <c:axId val="226120832"/>
        <c:scaling>
          <c:orientation val="minMax"/>
        </c:scaling>
        <c:axPos val="b"/>
        <c:numFmt formatCode="General" sourceLinked="1"/>
        <c:tickLblPos val="nextTo"/>
        <c:crossAx val="226122368"/>
        <c:crosses val="autoZero"/>
        <c:auto val="1"/>
        <c:lblAlgn val="ctr"/>
        <c:lblOffset val="100"/>
      </c:catAx>
      <c:valAx>
        <c:axId val="226122368"/>
        <c:scaling>
          <c:orientation val="minMax"/>
          <c:max val="1"/>
        </c:scaling>
        <c:axPos val="l"/>
        <c:majorGridlines/>
        <c:title>
          <c:tx>
            <c:rich>
              <a:bodyPr rot="-5400000" vert="horz"/>
              <a:lstStyle/>
              <a:p>
                <a:pPr>
                  <a:defRPr/>
                </a:pPr>
                <a:r>
                  <a:rPr lang="ru-RU"/>
                  <a:t>млн руб. без НДС</a:t>
                </a:r>
              </a:p>
            </c:rich>
          </c:tx>
        </c:title>
        <c:numFmt formatCode="0%" sourceLinked="0"/>
        <c:tickLblPos val="nextTo"/>
        <c:crossAx val="226120832"/>
        <c:crosses val="autoZero"/>
        <c:crossBetween val="between"/>
      </c:valAx>
    </c:plotArea>
    <c:legend>
      <c:legendPos val="b"/>
      <c:layout>
        <c:manualLayout>
          <c:xMode val="edge"/>
          <c:yMode val="edge"/>
          <c:x val="4.269002798491525E-4"/>
          <c:y val="0.84523622047244096"/>
          <c:w val="0.99957309972013886"/>
          <c:h val="0.13095425571803523"/>
        </c:manualLayout>
      </c:layout>
    </c:legend>
    <c:plotVisOnly val="1"/>
    <c:dispBlanksAs val="gap"/>
  </c:chart>
  <c:txPr>
    <a:bodyPr/>
    <a:lstStyle/>
    <a:p>
      <a:pPr>
        <a:defRPr sz="900"/>
      </a:pPr>
      <a:endParaRPr lang="ru-RU"/>
    </a:p>
  </c:txPr>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a:t>
            </a:r>
            <a:r>
              <a:rPr lang="en-US"/>
              <a:t>EBITDA</a:t>
            </a:r>
            <a:endParaRPr lang="ru-RU"/>
          </a:p>
        </c:rich>
      </c:tx>
    </c:title>
    <c:plotArea>
      <c:layout>
        <c:manualLayout>
          <c:layoutTarget val="inner"/>
          <c:xMode val="edge"/>
          <c:yMode val="edge"/>
          <c:x val="0.18161124399931144"/>
          <c:y val="0.1321256380168207"/>
          <c:w val="0.7818191318762403"/>
          <c:h val="0.61628289396335911"/>
        </c:manualLayout>
      </c:layout>
      <c:barChart>
        <c:barDir val="col"/>
        <c:grouping val="clustered"/>
        <c:ser>
          <c:idx val="2"/>
          <c:order val="0"/>
          <c:tx>
            <c:strRef>
              <c:f>Лист1!$A$1</c:f>
              <c:strCache>
                <c:ptCount val="1"/>
                <c:pt idx="0">
                  <c:v> </c:v>
                </c:pt>
              </c:strCache>
            </c:strRef>
          </c:tx>
          <c:dLbls>
            <c:dLbl>
              <c:idx val="1"/>
              <c:tx>
                <c:rich>
                  <a:bodyPr/>
                  <a:lstStyle/>
                  <a:p>
                    <a:r>
                      <a:rPr lang="en-US"/>
                      <a:t>41 21</a:t>
                    </a:r>
                    <a:r>
                      <a:rPr lang="ru-RU"/>
                      <a:t>2</a:t>
                    </a:r>
                    <a:endParaRPr lang="en-US"/>
                  </a:p>
                </c:rich>
              </c:tx>
              <c:showVal val="1"/>
            </c:dLbl>
            <c:dLbl>
              <c:idx val="2"/>
              <c:tx>
                <c:rich>
                  <a:bodyPr/>
                  <a:lstStyle/>
                  <a:p>
                    <a:r>
                      <a:rPr lang="en-US"/>
                      <a:t>36 43</a:t>
                    </a:r>
                    <a:r>
                      <a:rPr lang="ru-RU"/>
                      <a:t>0</a:t>
                    </a:r>
                    <a:endParaRPr lang="en-US"/>
                  </a:p>
                </c:rich>
              </c:tx>
              <c:showVal val="1"/>
            </c:dLbl>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39578</c:v>
                </c:pt>
                <c:pt idx="1">
                  <c:v>41213</c:v>
                </c:pt>
                <c:pt idx="2">
                  <c:v>36431</c:v>
                </c:pt>
              </c:numCache>
            </c:numRef>
          </c:val>
        </c:ser>
        <c:axId val="226143232"/>
        <c:axId val="226145024"/>
      </c:barChart>
      <c:catAx>
        <c:axId val="226143232"/>
        <c:scaling>
          <c:orientation val="minMax"/>
        </c:scaling>
        <c:axPos val="b"/>
        <c:numFmt formatCode="General" sourceLinked="1"/>
        <c:tickLblPos val="nextTo"/>
        <c:crossAx val="226145024"/>
        <c:crosses val="autoZero"/>
        <c:auto val="1"/>
        <c:lblAlgn val="ctr"/>
        <c:lblOffset val="100"/>
      </c:catAx>
      <c:valAx>
        <c:axId val="226145024"/>
        <c:scaling>
          <c:orientation val="minMax"/>
          <c:max val="45000"/>
        </c:scaling>
        <c:axPos val="l"/>
        <c:majorGridlines/>
        <c:numFmt formatCode="#,##0" sourceLinked="0"/>
        <c:tickLblPos val="nextTo"/>
        <c:crossAx val="226143232"/>
        <c:crosses val="autoZero"/>
        <c:crossBetween val="between"/>
      </c:valAx>
    </c:plotArea>
    <c:plotVisOnly val="1"/>
    <c:dispBlanksAs val="gap"/>
  </c:chart>
  <c:txPr>
    <a:bodyPr/>
    <a:lstStyle/>
    <a:p>
      <a:pPr>
        <a:defRPr sz="900"/>
      </a:pPr>
      <a:endParaRPr lang="ru-RU"/>
    </a:p>
  </c:txPr>
  <c:externalData r:id="rId1"/>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Налоговая нагрузка</a:t>
            </a:r>
          </a:p>
        </c:rich>
      </c:tx>
    </c:title>
    <c:plotArea>
      <c:layout/>
      <c:barChart>
        <c:barDir val="col"/>
        <c:grouping val="clustered"/>
        <c:ser>
          <c:idx val="0"/>
          <c:order val="0"/>
          <c:tx>
            <c:strRef>
              <c:f>Лист1!$B$1</c:f>
              <c:strCache>
                <c:ptCount val="1"/>
                <c:pt idx="0">
                  <c:v>Налоги</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12702</c:v>
                </c:pt>
                <c:pt idx="1">
                  <c:v>13255</c:v>
                </c:pt>
                <c:pt idx="2">
                  <c:v>13031</c:v>
                </c:pt>
              </c:numCache>
            </c:numRef>
          </c:val>
        </c:ser>
        <c:axId val="241860992"/>
        <c:axId val="241862528"/>
      </c:barChart>
      <c:catAx>
        <c:axId val="241860992"/>
        <c:scaling>
          <c:orientation val="minMax"/>
        </c:scaling>
        <c:axPos val="b"/>
        <c:numFmt formatCode="General" sourceLinked="1"/>
        <c:tickLblPos val="nextTo"/>
        <c:crossAx val="241862528"/>
        <c:crosses val="autoZero"/>
        <c:auto val="1"/>
        <c:lblAlgn val="ctr"/>
        <c:lblOffset val="100"/>
      </c:catAx>
      <c:valAx>
        <c:axId val="241862528"/>
        <c:scaling>
          <c:orientation val="minMax"/>
          <c:max val="14200"/>
          <c:min val="0"/>
        </c:scaling>
        <c:axPos val="l"/>
        <c:majorGridlines/>
        <c:title>
          <c:tx>
            <c:rich>
              <a:bodyPr rot="-5400000" vert="horz"/>
              <a:lstStyle/>
              <a:p>
                <a:pPr>
                  <a:defRPr/>
                </a:pPr>
                <a:r>
                  <a:rPr lang="ru-RU"/>
                  <a:t>млн руб.</a:t>
                </a:r>
              </a:p>
            </c:rich>
          </c:tx>
        </c:title>
        <c:numFmt formatCode="#,##0" sourceLinked="1"/>
        <c:tickLblPos val="nextTo"/>
        <c:crossAx val="241860992"/>
        <c:crosses val="autoZero"/>
        <c:crossBetween val="between"/>
      </c:valAx>
    </c:plotArea>
    <c:plotVisOnly val="1"/>
    <c:dispBlanksAs val="gap"/>
  </c:chart>
  <c:txPr>
    <a:bodyPr/>
    <a:lstStyle/>
    <a:p>
      <a:pPr>
        <a:defRPr sz="900"/>
      </a:pPr>
      <a:endParaRPr lang="ru-RU"/>
    </a:p>
  </c:txPr>
  <c:externalData r:id="rId1"/>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налогов</a:t>
            </a:r>
          </a:p>
        </c:rich>
      </c:tx>
    </c:title>
    <c:plotArea>
      <c:layout>
        <c:manualLayout>
          <c:layoutTarget val="inner"/>
          <c:xMode val="edge"/>
          <c:yMode val="edge"/>
          <c:x val="9.2907006415864676E-2"/>
          <c:y val="0.17104174478190512"/>
          <c:w val="0.55264964275299833"/>
          <c:h val="0.72954693163355511"/>
        </c:manualLayout>
      </c:layout>
      <c:barChart>
        <c:barDir val="col"/>
        <c:grouping val="percentStacked"/>
        <c:ser>
          <c:idx val="0"/>
          <c:order val="0"/>
          <c:tx>
            <c:strRef>
              <c:f>Лист1!$B$1</c:f>
              <c:strCache>
                <c:ptCount val="1"/>
                <c:pt idx="0">
                  <c:v>Налог на прибыль</c:v>
                </c:pt>
              </c:strCache>
            </c:strRef>
          </c:tx>
          <c:dLbls>
            <c:numFmt formatCode="0.0%" sourceLinked="0"/>
            <c:showVal val="1"/>
          </c:dLbls>
          <c:cat>
            <c:numRef>
              <c:f>Лист1!$A$2:$A$4</c:f>
              <c:numCache>
                <c:formatCode>General</c:formatCode>
                <c:ptCount val="3"/>
                <c:pt idx="0">
                  <c:v>2011</c:v>
                </c:pt>
                <c:pt idx="1">
                  <c:v>2012</c:v>
                </c:pt>
                <c:pt idx="2">
                  <c:v>2013</c:v>
                </c:pt>
              </c:numCache>
            </c:numRef>
          </c:cat>
          <c:val>
            <c:numRef>
              <c:f>Лист1!$B$2:$B$4</c:f>
              <c:numCache>
                <c:formatCode>0.00%</c:formatCode>
                <c:ptCount val="3"/>
                <c:pt idx="0">
                  <c:v>0.44331545771003855</c:v>
                </c:pt>
                <c:pt idx="1">
                  <c:v>0.37085005472455806</c:v>
                </c:pt>
                <c:pt idx="2">
                  <c:v>0.44537262999812288</c:v>
                </c:pt>
              </c:numCache>
            </c:numRef>
          </c:val>
        </c:ser>
        <c:ser>
          <c:idx val="1"/>
          <c:order val="1"/>
          <c:tx>
            <c:strRef>
              <c:f>Лист1!$C$1</c:f>
              <c:strCache>
                <c:ptCount val="1"/>
                <c:pt idx="0">
                  <c:v>Налог на добавленную стоимость (НДС)</c:v>
                </c:pt>
              </c:strCache>
            </c:strRef>
          </c:tx>
          <c:dLbls>
            <c:numFmt formatCode="0.0%" sourceLinked="0"/>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0.38827735440775235</c:v>
                </c:pt>
                <c:pt idx="1">
                  <c:v>0.45257205399489897</c:v>
                </c:pt>
                <c:pt idx="2">
                  <c:v>0.29397409423691134</c:v>
                </c:pt>
              </c:numCache>
            </c:numRef>
          </c:val>
        </c:ser>
        <c:ser>
          <c:idx val="5"/>
          <c:order val="2"/>
          <c:tx>
            <c:strRef>
              <c:f>Лист1!$G$1</c:f>
              <c:strCache>
                <c:ptCount val="1"/>
                <c:pt idx="0">
                  <c:v>Налог на доходы физических лиц (НДФЛ)</c:v>
                </c:pt>
              </c:strCache>
            </c:strRef>
          </c:tx>
          <c:dLbls>
            <c:numFmt formatCode="0.0%" sourceLinked="0"/>
            <c:showVal val="1"/>
          </c:dLbls>
          <c:cat>
            <c:numRef>
              <c:f>Лист1!$A$2:$A$4</c:f>
              <c:numCache>
                <c:formatCode>General</c:formatCode>
                <c:ptCount val="3"/>
                <c:pt idx="0">
                  <c:v>2011</c:v>
                </c:pt>
                <c:pt idx="1">
                  <c:v>2012</c:v>
                </c:pt>
                <c:pt idx="2">
                  <c:v>2013</c:v>
                </c:pt>
              </c:numCache>
            </c:numRef>
          </c:cat>
          <c:val>
            <c:numRef>
              <c:f>Лист1!$G$2:$G$4</c:f>
              <c:numCache>
                <c:formatCode>0.00%</c:formatCode>
                <c:ptCount val="3"/>
                <c:pt idx="0">
                  <c:v>0.1358547370401732</c:v>
                </c:pt>
                <c:pt idx="1">
                  <c:v>0.14164538489602899</c:v>
                </c:pt>
                <c:pt idx="2">
                  <c:v>0.15890745259996905</c:v>
                </c:pt>
              </c:numCache>
            </c:numRef>
          </c:val>
        </c:ser>
        <c:ser>
          <c:idx val="2"/>
          <c:order val="3"/>
          <c:tx>
            <c:strRef>
              <c:f>Лист1!$D$1</c:f>
              <c:strCache>
                <c:ptCount val="1"/>
                <c:pt idx="0">
                  <c:v>Налог на имущество</c:v>
                </c:pt>
              </c:strCache>
            </c:strRef>
          </c:tx>
          <c:dLbls>
            <c:numFmt formatCode="0.0%" sourceLinked="0"/>
            <c:showVal val="1"/>
          </c:dLbls>
          <c:cat>
            <c:numRef>
              <c:f>Лист1!$A$2:$A$4</c:f>
              <c:numCache>
                <c:formatCode>General</c:formatCode>
                <c:ptCount val="3"/>
                <c:pt idx="0">
                  <c:v>2011</c:v>
                </c:pt>
                <c:pt idx="1">
                  <c:v>2012</c:v>
                </c:pt>
                <c:pt idx="2">
                  <c:v>2013</c:v>
                </c:pt>
              </c:numCache>
            </c:numRef>
          </c:cat>
          <c:val>
            <c:numRef>
              <c:f>Лист1!$D$2:$D$4</c:f>
              <c:numCache>
                <c:formatCode>0.00%</c:formatCode>
                <c:ptCount val="3"/>
                <c:pt idx="0">
                  <c:v>2.7283846081476281E-2</c:v>
                </c:pt>
                <c:pt idx="1">
                  <c:v>2.9824881430134988E-2</c:v>
                </c:pt>
                <c:pt idx="2">
                  <c:v>9.6583442838370573E-2</c:v>
                </c:pt>
              </c:numCache>
            </c:numRef>
          </c:val>
        </c:ser>
        <c:ser>
          <c:idx val="3"/>
          <c:order val="4"/>
          <c:tx>
            <c:strRef>
              <c:f>Лист1!$E$1</c:f>
              <c:strCache>
                <c:ptCount val="1"/>
                <c:pt idx="0">
                  <c:v>Налог на землю</c:v>
                </c:pt>
              </c:strCache>
            </c:strRef>
          </c:tx>
          <c:cat>
            <c:numRef>
              <c:f>Лист1!$A$2:$A$4</c:f>
              <c:numCache>
                <c:formatCode>General</c:formatCode>
                <c:ptCount val="3"/>
                <c:pt idx="0">
                  <c:v>2011</c:v>
                </c:pt>
                <c:pt idx="1">
                  <c:v>2012</c:v>
                </c:pt>
                <c:pt idx="2">
                  <c:v>2013</c:v>
                </c:pt>
              </c:numCache>
            </c:numRef>
          </c:cat>
          <c:val>
            <c:numRef>
              <c:f>Лист1!$E$2:$E$4</c:f>
              <c:numCache>
                <c:formatCode>0.00%</c:formatCode>
                <c:ptCount val="3"/>
                <c:pt idx="0">
                  <c:v>4.3277824818891914E-3</c:v>
                </c:pt>
                <c:pt idx="1">
                  <c:v>4.0131338927398823E-3</c:v>
                </c:pt>
                <c:pt idx="2">
                  <c:v>3.8483198798574206E-3</c:v>
                </c:pt>
              </c:numCache>
            </c:numRef>
          </c:val>
        </c:ser>
        <c:ser>
          <c:idx val="4"/>
          <c:order val="5"/>
          <c:tx>
            <c:strRef>
              <c:f>Лист1!$F$1</c:f>
              <c:strCache>
                <c:ptCount val="1"/>
                <c:pt idx="0">
                  <c:v>Транспортный налог</c:v>
                </c:pt>
              </c:strCache>
            </c:strRef>
          </c:tx>
          <c:dLbls>
            <c:numFmt formatCode="0.0%" sourceLinked="0"/>
            <c:showVal val="1"/>
          </c:dLbls>
          <c:cat>
            <c:numRef>
              <c:f>Лист1!$A$2:$A$4</c:f>
              <c:numCache>
                <c:formatCode>General</c:formatCode>
                <c:ptCount val="3"/>
                <c:pt idx="0">
                  <c:v>2011</c:v>
                </c:pt>
                <c:pt idx="1">
                  <c:v>2012</c:v>
                </c:pt>
                <c:pt idx="2">
                  <c:v>2013</c:v>
                </c:pt>
              </c:numCache>
            </c:numRef>
          </c:cat>
          <c:val>
            <c:numRef>
              <c:f>Лист1!$F$2:$F$4</c:f>
              <c:numCache>
                <c:formatCode>0.00%</c:formatCode>
                <c:ptCount val="3"/>
                <c:pt idx="0">
                  <c:v>9.4082227867155839E-4</c:v>
                </c:pt>
                <c:pt idx="1">
                  <c:v>1.0944910616563568E-3</c:v>
                </c:pt>
                <c:pt idx="2">
                  <c:v>1.3140604467805801E-3</c:v>
                </c:pt>
              </c:numCache>
            </c:numRef>
          </c:val>
        </c:ser>
        <c:overlap val="100"/>
        <c:axId val="241892736"/>
        <c:axId val="251540608"/>
      </c:barChart>
      <c:catAx>
        <c:axId val="241892736"/>
        <c:scaling>
          <c:orientation val="minMax"/>
        </c:scaling>
        <c:axPos val="b"/>
        <c:numFmt formatCode="General" sourceLinked="1"/>
        <c:tickLblPos val="nextTo"/>
        <c:crossAx val="251540608"/>
        <c:crosses val="autoZero"/>
        <c:auto val="1"/>
        <c:lblAlgn val="ctr"/>
        <c:lblOffset val="100"/>
      </c:catAx>
      <c:valAx>
        <c:axId val="251540608"/>
        <c:scaling>
          <c:orientation val="minMax"/>
        </c:scaling>
        <c:axPos val="l"/>
        <c:majorGridlines/>
        <c:numFmt formatCode="0%" sourceLinked="1"/>
        <c:tickLblPos val="nextTo"/>
        <c:crossAx val="241892736"/>
        <c:crosses val="autoZero"/>
        <c:crossBetween val="between"/>
      </c:valAx>
    </c:plotArea>
    <c:legend>
      <c:legendPos val="r"/>
      <c:layout>
        <c:manualLayout>
          <c:xMode val="edge"/>
          <c:yMode val="edge"/>
          <c:x val="0.65208938882639667"/>
          <c:y val="0.11742695529395462"/>
          <c:w val="0.32505346831646725"/>
          <c:h val="0.88257304470603226"/>
        </c:manualLayout>
      </c:layout>
    </c:legend>
    <c:plotVisOnly val="1"/>
    <c:dispBlanksAs val="gap"/>
  </c:chart>
  <c:txPr>
    <a:bodyPr/>
    <a:lstStyle/>
    <a:p>
      <a:pPr>
        <a:defRPr sz="900"/>
      </a:pPr>
      <a:endParaRPr lang="ru-RU"/>
    </a:p>
  </c:txPr>
  <c:externalData r:id="rId1"/>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ru-RU"/>
  <c:chart>
    <c:title/>
    <c:plotArea>
      <c:layout>
        <c:manualLayout>
          <c:layoutTarget val="inner"/>
          <c:xMode val="edge"/>
          <c:yMode val="edge"/>
          <c:x val="5.3632374451487094E-2"/>
          <c:y val="0.15668101685589594"/>
          <c:w val="0.90248659190637537"/>
          <c:h val="0.47411092027094937"/>
        </c:manualLayout>
      </c:layout>
      <c:barChart>
        <c:barDir val="col"/>
        <c:grouping val="clustered"/>
        <c:ser>
          <c:idx val="0"/>
          <c:order val="0"/>
          <c:tx>
            <c:strRef>
              <c:f>Лист1!$B$1</c:f>
              <c:strCache>
                <c:ptCount val="1"/>
                <c:pt idx="0">
                  <c:v>Чистая прибыль</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17053</c:v>
                </c:pt>
                <c:pt idx="1">
                  <c:v>17184</c:v>
                </c:pt>
                <c:pt idx="2">
                  <c:v>11641</c:v>
                </c:pt>
              </c:numCache>
            </c:numRef>
          </c:val>
        </c:ser>
        <c:axId val="265512064"/>
        <c:axId val="265513600"/>
      </c:barChart>
      <c:catAx>
        <c:axId val="265512064"/>
        <c:scaling>
          <c:orientation val="minMax"/>
        </c:scaling>
        <c:axPos val="b"/>
        <c:numFmt formatCode="General" sourceLinked="1"/>
        <c:tickLblPos val="nextTo"/>
        <c:crossAx val="265513600"/>
        <c:crosses val="autoZero"/>
        <c:auto val="1"/>
        <c:lblAlgn val="ctr"/>
        <c:lblOffset val="100"/>
      </c:catAx>
      <c:valAx>
        <c:axId val="265513600"/>
        <c:scaling>
          <c:orientation val="minMax"/>
        </c:scaling>
        <c:delete val="1"/>
        <c:axPos val="l"/>
        <c:majorGridlines/>
        <c:title>
          <c:tx>
            <c:rich>
              <a:bodyPr rot="-5400000" vert="horz"/>
              <a:lstStyle/>
              <a:p>
                <a:pPr>
                  <a:defRPr/>
                </a:pPr>
                <a:r>
                  <a:rPr lang="ru-RU"/>
                  <a:t>млн руб.</a:t>
                </a:r>
              </a:p>
            </c:rich>
          </c:tx>
        </c:title>
        <c:numFmt formatCode="#,##0" sourceLinked="1"/>
        <c:tickLblPos val="none"/>
        <c:crossAx val="265512064"/>
        <c:crosses val="autoZero"/>
        <c:crossBetween val="between"/>
      </c:valAx>
    </c:plotArea>
    <c:plotVisOnly val="1"/>
    <c:dispBlanksAs val="gap"/>
  </c:chart>
  <c:txPr>
    <a:bodyPr/>
    <a:lstStyle/>
    <a:p>
      <a:pPr>
        <a:defRPr sz="900"/>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9931262355190824E-2"/>
          <c:y val="5.9284647225422024E-2"/>
          <c:w val="0.85139846947231967"/>
          <c:h val="0.64711639602408377"/>
        </c:manualLayout>
      </c:layout>
      <c:barChart>
        <c:barDir val="col"/>
        <c:grouping val="clustered"/>
        <c:ser>
          <c:idx val="0"/>
          <c:order val="0"/>
          <c:tx>
            <c:strRef>
              <c:f>Лист1!$B$1</c:f>
              <c:strCache>
                <c:ptCount val="1"/>
                <c:pt idx="0">
                  <c:v>Стоимость чистых активов (по МСФО)</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121868</c:v>
                </c:pt>
                <c:pt idx="1">
                  <c:v>138947</c:v>
                </c:pt>
                <c:pt idx="2">
                  <c:v>153578</c:v>
                </c:pt>
              </c:numCache>
            </c:numRef>
          </c:val>
        </c:ser>
        <c:axId val="66679168"/>
        <c:axId val="66680704"/>
      </c:barChart>
      <c:catAx>
        <c:axId val="66679168"/>
        <c:scaling>
          <c:orientation val="minMax"/>
        </c:scaling>
        <c:axPos val="b"/>
        <c:numFmt formatCode="General" sourceLinked="1"/>
        <c:tickLblPos val="nextTo"/>
        <c:crossAx val="66680704"/>
        <c:crosses val="autoZero"/>
        <c:auto val="1"/>
        <c:lblAlgn val="ctr"/>
        <c:lblOffset val="100"/>
      </c:catAx>
      <c:valAx>
        <c:axId val="66680704"/>
        <c:scaling>
          <c:orientation val="minMax"/>
          <c:max val="190000"/>
          <c:min val="0"/>
        </c:scaling>
        <c:axPos val="l"/>
        <c:majorGridlines/>
        <c:title>
          <c:tx>
            <c:rich>
              <a:bodyPr rot="-5400000" vert="horz"/>
              <a:lstStyle/>
              <a:p>
                <a:pPr>
                  <a:defRPr/>
                </a:pPr>
                <a:r>
                  <a:rPr lang="ru-RU"/>
                  <a:t>млн руб.</a:t>
                </a:r>
              </a:p>
            </c:rich>
          </c:tx>
        </c:title>
        <c:numFmt formatCode="#,##0" sourceLinked="1"/>
        <c:tickLblPos val="nextTo"/>
        <c:txPr>
          <a:bodyPr/>
          <a:lstStyle/>
          <a:p>
            <a:pPr>
              <a:defRPr sz="100">
                <a:solidFill>
                  <a:schemeClr val="bg1"/>
                </a:solidFill>
              </a:defRPr>
            </a:pPr>
            <a:endParaRPr lang="ru-RU"/>
          </a:p>
        </c:txPr>
        <c:crossAx val="66679168"/>
        <c:crosses val="autoZero"/>
        <c:crossBetween val="between"/>
      </c:valAx>
    </c:plotArea>
    <c:legend>
      <c:legendPos val="b"/>
      <c:layout>
        <c:manualLayout>
          <c:xMode val="edge"/>
          <c:yMode val="edge"/>
          <c:x val="0"/>
          <c:y val="0.84561560486758458"/>
          <c:w val="1"/>
          <c:h val="0.12474481380744021"/>
        </c:manualLayout>
      </c:layout>
    </c:legend>
    <c:plotVisOnly val="1"/>
    <c:dispBlanksAs val="gap"/>
  </c:chart>
  <c:txPr>
    <a:bodyPr/>
    <a:lstStyle/>
    <a:p>
      <a:pPr>
        <a:defRPr sz="800"/>
      </a:pPr>
      <a:endParaRPr lang="ru-RU"/>
    </a:p>
  </c:txPr>
  <c:externalData r:id="rId1"/>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чистой прибыли</a:t>
            </a:r>
          </a:p>
        </c:rich>
      </c:tx>
    </c:title>
    <c:plotArea>
      <c:layout>
        <c:manualLayout>
          <c:layoutTarget val="inner"/>
          <c:xMode val="edge"/>
          <c:yMode val="edge"/>
          <c:x val="0.10715731875377681"/>
          <c:y val="0.13199557265829756"/>
          <c:w val="0.89283199846800265"/>
          <c:h val="0.4937915899623983"/>
        </c:manualLayout>
      </c:layout>
      <c:barChart>
        <c:barDir val="col"/>
        <c:grouping val="percentStacked"/>
        <c:ser>
          <c:idx val="0"/>
          <c:order val="0"/>
          <c:tx>
            <c:strRef>
              <c:f>Лист1!$B$1</c:f>
              <c:strCache>
                <c:ptCount val="1"/>
                <c:pt idx="0">
                  <c:v>Чистая прибыль от оказания услуг по передаче электроэнергии</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0.00%</c:formatCode>
                <c:ptCount val="3"/>
                <c:pt idx="0">
                  <c:v>0.27959889755468836</c:v>
                </c:pt>
                <c:pt idx="1">
                  <c:v>0.33531191806331911</c:v>
                </c:pt>
                <c:pt idx="2">
                  <c:v>0.71437161755864342</c:v>
                </c:pt>
              </c:numCache>
            </c:numRef>
          </c:val>
        </c:ser>
        <c:ser>
          <c:idx val="1"/>
          <c:order val="1"/>
          <c:tx>
            <c:strRef>
              <c:f>Лист1!$C$1</c:f>
              <c:strCache>
                <c:ptCount val="1"/>
                <c:pt idx="0">
                  <c:v>Чистая прибыль от оказания услуг по технологическому присоединению </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0.71019761918723978</c:v>
                </c:pt>
                <c:pt idx="1">
                  <c:v>0.65421322160149065</c:v>
                </c:pt>
                <c:pt idx="2">
                  <c:v>0.26114594966068205</c:v>
                </c:pt>
              </c:numCache>
            </c:numRef>
          </c:val>
        </c:ser>
        <c:ser>
          <c:idx val="2"/>
          <c:order val="2"/>
          <c:tx>
            <c:strRef>
              <c:f>Лист1!$D$1</c:f>
              <c:strCache>
                <c:ptCount val="1"/>
                <c:pt idx="0">
                  <c:v>Чистая прибыль от прочей деятельности</c:v>
                </c:pt>
              </c:strCache>
            </c:strRef>
          </c:tx>
          <c:dLbls>
            <c:showVal val="1"/>
          </c:dLbls>
          <c:cat>
            <c:numRef>
              <c:f>Лист1!$A$2:$A$4</c:f>
              <c:numCache>
                <c:formatCode>General</c:formatCode>
                <c:ptCount val="3"/>
                <c:pt idx="0">
                  <c:v>2011</c:v>
                </c:pt>
                <c:pt idx="1">
                  <c:v>2012</c:v>
                </c:pt>
                <c:pt idx="2">
                  <c:v>2013</c:v>
                </c:pt>
              </c:numCache>
            </c:numRef>
          </c:cat>
          <c:val>
            <c:numRef>
              <c:f>Лист1!$D$2:$D$4</c:f>
              <c:numCache>
                <c:formatCode>0.00%</c:formatCode>
                <c:ptCount val="3"/>
                <c:pt idx="0">
                  <c:v>1.0203483258077801E-2</c:v>
                </c:pt>
                <c:pt idx="1">
                  <c:v>1.0474860335195535E-2</c:v>
                </c:pt>
                <c:pt idx="2">
                  <c:v>2.4482432780688946E-2</c:v>
                </c:pt>
              </c:numCache>
            </c:numRef>
          </c:val>
        </c:ser>
        <c:overlap val="100"/>
        <c:axId val="267797632"/>
        <c:axId val="267799168"/>
      </c:barChart>
      <c:catAx>
        <c:axId val="267797632"/>
        <c:scaling>
          <c:orientation val="minMax"/>
        </c:scaling>
        <c:axPos val="b"/>
        <c:numFmt formatCode="General" sourceLinked="1"/>
        <c:tickLblPos val="nextTo"/>
        <c:crossAx val="267799168"/>
        <c:crosses val="autoZero"/>
        <c:auto val="1"/>
        <c:lblAlgn val="ctr"/>
        <c:lblOffset val="100"/>
      </c:catAx>
      <c:valAx>
        <c:axId val="267799168"/>
        <c:scaling>
          <c:orientation val="minMax"/>
        </c:scaling>
        <c:axPos val="l"/>
        <c:majorGridlines/>
        <c:numFmt formatCode="0%" sourceLinked="1"/>
        <c:tickLblPos val="nextTo"/>
        <c:crossAx val="267797632"/>
        <c:crosses val="autoZero"/>
        <c:crossBetween val="between"/>
      </c:valAx>
    </c:plotArea>
    <c:legend>
      <c:legendPos val="b"/>
      <c:layout>
        <c:manualLayout>
          <c:xMode val="edge"/>
          <c:yMode val="edge"/>
          <c:x val="0"/>
          <c:y val="0.70927049521909802"/>
          <c:w val="1"/>
          <c:h val="0.29072953644814775"/>
        </c:manualLayout>
      </c:layout>
    </c:legend>
    <c:plotVisOnly val="1"/>
    <c:dispBlanksAs val="gap"/>
  </c:chart>
  <c:txPr>
    <a:bodyPr/>
    <a:lstStyle/>
    <a:p>
      <a:pPr>
        <a:defRPr sz="900"/>
      </a:pPr>
      <a:endParaRPr lang="ru-RU"/>
    </a:p>
  </c:txPr>
  <c:externalData r:id="rId1"/>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Распределение чистой прибыли</a:t>
            </a:r>
          </a:p>
        </c:rich>
      </c:tx>
    </c:title>
    <c:plotArea>
      <c:layout/>
      <c:barChart>
        <c:barDir val="col"/>
        <c:grouping val="percentStacked"/>
        <c:ser>
          <c:idx val="1"/>
          <c:order val="0"/>
          <c:tx>
            <c:strRef>
              <c:f>Лист1!$C$1</c:f>
              <c:strCache>
                <c:ptCount val="1"/>
                <c:pt idx="0">
                  <c:v>Прибыль на развитие</c:v>
                </c:pt>
              </c:strCache>
            </c:strRef>
          </c:tx>
          <c:dLbls>
            <c:numFmt formatCode="0.00%" sourceLinked="0"/>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0.91729612085519996</c:v>
                </c:pt>
                <c:pt idx="1">
                  <c:v>0.92857561719346104</c:v>
                </c:pt>
                <c:pt idx="2">
                  <c:v>0.75000000000000433</c:v>
                </c:pt>
              </c:numCache>
            </c:numRef>
          </c:val>
        </c:ser>
        <c:ser>
          <c:idx val="2"/>
          <c:order val="1"/>
          <c:tx>
            <c:strRef>
              <c:f>Лист1!$D$1</c:f>
              <c:strCache>
                <c:ptCount val="1"/>
                <c:pt idx="0">
                  <c:v>Дивиденды</c:v>
                </c:pt>
              </c:strCache>
            </c:strRef>
          </c:tx>
          <c:dLbls>
            <c:showVal val="1"/>
          </c:dLbls>
          <c:cat>
            <c:numRef>
              <c:f>Лист1!$A$2:$A$4</c:f>
              <c:numCache>
                <c:formatCode>General</c:formatCode>
                <c:ptCount val="3"/>
                <c:pt idx="0">
                  <c:v>2011</c:v>
                </c:pt>
                <c:pt idx="1">
                  <c:v>2012</c:v>
                </c:pt>
                <c:pt idx="2">
                  <c:v>2013</c:v>
                </c:pt>
              </c:numCache>
            </c:numRef>
          </c:cat>
          <c:val>
            <c:numRef>
              <c:f>Лист1!$D$2:$D$4</c:f>
              <c:numCache>
                <c:formatCode>0.00%</c:formatCode>
                <c:ptCount val="3"/>
                <c:pt idx="0">
                  <c:v>7.6814748431698887E-2</c:v>
                </c:pt>
                <c:pt idx="1">
                  <c:v>7.1424382806544312E-2</c:v>
                </c:pt>
                <c:pt idx="2">
                  <c:v>0.25</c:v>
                </c:pt>
              </c:numCache>
            </c:numRef>
          </c:val>
        </c:ser>
        <c:ser>
          <c:idx val="0"/>
          <c:order val="2"/>
          <c:tx>
            <c:strRef>
              <c:f>Лист1!$B$1</c:f>
              <c:strCache>
                <c:ptCount val="1"/>
                <c:pt idx="0">
                  <c:v>Резервный фонд</c:v>
                </c:pt>
              </c:strCache>
            </c:strRef>
          </c:tx>
          <c:dLbls>
            <c:numFmt formatCode="0.00%" sourceLinked="0"/>
            <c:showVal val="1"/>
          </c:dLbls>
          <c:cat>
            <c:numRef>
              <c:f>Лист1!$A$2:$A$4</c:f>
              <c:numCache>
                <c:formatCode>General</c:formatCode>
                <c:ptCount val="3"/>
                <c:pt idx="0">
                  <c:v>2011</c:v>
                </c:pt>
                <c:pt idx="1">
                  <c:v>2012</c:v>
                </c:pt>
                <c:pt idx="2">
                  <c:v>2013</c:v>
                </c:pt>
              </c:numCache>
            </c:numRef>
          </c:cat>
          <c:val>
            <c:numRef>
              <c:f>Лист1!$B$2:$B$4</c:f>
              <c:numCache>
                <c:formatCode>0.00%</c:formatCode>
                <c:ptCount val="3"/>
                <c:pt idx="0">
                  <c:v>5.8251184227371714E-3</c:v>
                </c:pt>
                <c:pt idx="1">
                  <c:v>0</c:v>
                </c:pt>
                <c:pt idx="2">
                  <c:v>0</c:v>
                </c:pt>
              </c:numCache>
            </c:numRef>
          </c:val>
        </c:ser>
        <c:overlap val="100"/>
        <c:axId val="268027008"/>
        <c:axId val="268028544"/>
      </c:barChart>
      <c:catAx>
        <c:axId val="268027008"/>
        <c:scaling>
          <c:orientation val="minMax"/>
        </c:scaling>
        <c:axPos val="b"/>
        <c:numFmt formatCode="General" sourceLinked="1"/>
        <c:tickLblPos val="nextTo"/>
        <c:crossAx val="268028544"/>
        <c:crosses val="autoZero"/>
        <c:auto val="1"/>
        <c:lblAlgn val="ctr"/>
        <c:lblOffset val="100"/>
      </c:catAx>
      <c:valAx>
        <c:axId val="268028544"/>
        <c:scaling>
          <c:orientation val="minMax"/>
        </c:scaling>
        <c:axPos val="l"/>
        <c:majorGridlines/>
        <c:numFmt formatCode="0%" sourceLinked="1"/>
        <c:tickLblPos val="nextTo"/>
        <c:crossAx val="268027008"/>
        <c:crosses val="autoZero"/>
        <c:crossBetween val="between"/>
      </c:valAx>
    </c:plotArea>
    <c:legend>
      <c:legendPos val="b"/>
    </c:legend>
    <c:plotVisOnly val="1"/>
    <c:dispBlanksAs val="gap"/>
  </c:chart>
  <c:txPr>
    <a:bodyPr/>
    <a:lstStyle/>
    <a:p>
      <a:pPr>
        <a:defRPr sz="900"/>
      </a:pPr>
      <a:endParaRPr lang="ru-RU"/>
    </a:p>
  </c:txPr>
  <c:externalData r:id="rId1"/>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stacked"/>
        <c:ser>
          <c:idx val="0"/>
          <c:order val="0"/>
          <c:tx>
            <c:strRef>
              <c:f>Лист1!$B$1</c:f>
              <c:strCache>
                <c:ptCount val="1"/>
                <c:pt idx="0">
                  <c:v>Заемные денежные средства</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c:formatCode>
                <c:ptCount val="3"/>
                <c:pt idx="0">
                  <c:v>40426</c:v>
                </c:pt>
                <c:pt idx="1">
                  <c:v>52530</c:v>
                </c:pt>
                <c:pt idx="2">
                  <c:v>57527</c:v>
                </c:pt>
              </c:numCache>
            </c:numRef>
          </c:val>
        </c:ser>
        <c:overlap val="100"/>
        <c:axId val="268193152"/>
        <c:axId val="268194944"/>
      </c:barChart>
      <c:catAx>
        <c:axId val="268193152"/>
        <c:scaling>
          <c:orientation val="minMax"/>
        </c:scaling>
        <c:axPos val="b"/>
        <c:numFmt formatCode="General" sourceLinked="1"/>
        <c:tickLblPos val="nextTo"/>
        <c:crossAx val="268194944"/>
        <c:crosses val="autoZero"/>
        <c:auto val="1"/>
        <c:lblAlgn val="ctr"/>
        <c:lblOffset val="100"/>
      </c:catAx>
      <c:valAx>
        <c:axId val="268194944"/>
        <c:scaling>
          <c:orientation val="minMax"/>
        </c:scaling>
        <c:axPos val="l"/>
        <c:majorGridlines/>
        <c:numFmt formatCode="#,##0" sourceLinked="1"/>
        <c:tickLblPos val="nextTo"/>
        <c:crossAx val="268193152"/>
        <c:crosses val="autoZero"/>
        <c:crossBetween val="between"/>
      </c:valAx>
    </c:plotArea>
    <c:legend>
      <c:legendPos val="b"/>
    </c:legend>
    <c:plotVisOnly val="1"/>
    <c:dispBlanksAs val="gap"/>
  </c:chart>
  <c:txPr>
    <a:bodyPr/>
    <a:lstStyle/>
    <a:p>
      <a:pPr>
        <a:defRPr sz="900"/>
      </a:pPr>
      <a:endParaRPr lang="ru-RU"/>
    </a:p>
  </c:txPr>
  <c:externalData r:id="rId1"/>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замных денежных средств</a:t>
            </a:r>
          </a:p>
        </c:rich>
      </c:tx>
      <c:layout>
        <c:manualLayout>
          <c:xMode val="edge"/>
          <c:yMode val="edge"/>
          <c:x val="0.19401329014475199"/>
          <c:y val="0"/>
        </c:manualLayout>
      </c:layout>
    </c:title>
    <c:plotArea>
      <c:layout>
        <c:manualLayout>
          <c:layoutTarget val="inner"/>
          <c:xMode val="edge"/>
          <c:yMode val="edge"/>
          <c:x val="0.15591604561135924"/>
          <c:y val="0.15237442922374417"/>
          <c:w val="0.79503155751016075"/>
          <c:h val="0.63724481357640694"/>
        </c:manualLayout>
      </c:layout>
      <c:barChart>
        <c:barDir val="col"/>
        <c:grouping val="percentStacked"/>
        <c:ser>
          <c:idx val="0"/>
          <c:order val="0"/>
          <c:tx>
            <c:strRef>
              <c:f>Лист1!$B$1</c:f>
              <c:strCache>
                <c:ptCount val="1"/>
                <c:pt idx="0">
                  <c:v>Кредиты</c:v>
                </c:pt>
              </c:strCache>
            </c:strRef>
          </c:tx>
          <c:dLbls>
            <c:showVal val="1"/>
          </c:dLbls>
          <c:cat>
            <c:numRef>
              <c:f>Лист1!$A$2:$A$4</c:f>
              <c:numCache>
                <c:formatCode>General</c:formatCode>
                <c:ptCount val="3"/>
                <c:pt idx="0">
                  <c:v>2011</c:v>
                </c:pt>
                <c:pt idx="1">
                  <c:v>2012</c:v>
                </c:pt>
                <c:pt idx="2">
                  <c:v>2013</c:v>
                </c:pt>
              </c:numCache>
            </c:numRef>
          </c:cat>
          <c:val>
            <c:numRef>
              <c:f>Лист1!$B$2:$B$4</c:f>
              <c:numCache>
                <c:formatCode>0.00%</c:formatCode>
                <c:ptCount val="3"/>
                <c:pt idx="0">
                  <c:v>0.96796616039182659</c:v>
                </c:pt>
                <c:pt idx="1">
                  <c:v>0.80586331620026652</c:v>
                </c:pt>
                <c:pt idx="2">
                  <c:v>0.73296017522206958</c:v>
                </c:pt>
              </c:numCache>
            </c:numRef>
          </c:val>
        </c:ser>
        <c:ser>
          <c:idx val="1"/>
          <c:order val="1"/>
          <c:tx>
            <c:strRef>
              <c:f>Лист1!$C$1</c:f>
              <c:strCache>
                <c:ptCount val="1"/>
                <c:pt idx="0">
                  <c:v>Векселя и облигационный заем</c:v>
                </c:pt>
              </c:strCache>
            </c:strRef>
          </c:tx>
          <c:dLbls>
            <c:showVal val="1"/>
          </c:dLbls>
          <c:cat>
            <c:numRef>
              <c:f>Лист1!$A$2:$A$4</c:f>
              <c:numCache>
                <c:formatCode>General</c:formatCode>
                <c:ptCount val="3"/>
                <c:pt idx="0">
                  <c:v>2011</c:v>
                </c:pt>
                <c:pt idx="1">
                  <c:v>2012</c:v>
                </c:pt>
                <c:pt idx="2">
                  <c:v>2013</c:v>
                </c:pt>
              </c:numCache>
            </c:numRef>
          </c:cat>
          <c:val>
            <c:numRef>
              <c:f>Лист1!$C$2:$C$4</c:f>
              <c:numCache>
                <c:formatCode>0.00%</c:formatCode>
                <c:ptCount val="3"/>
                <c:pt idx="0">
                  <c:v>3.2033839608173575E-2</c:v>
                </c:pt>
                <c:pt idx="1">
                  <c:v>0.19413668379973348</c:v>
                </c:pt>
                <c:pt idx="2">
                  <c:v>0.26703982477793026</c:v>
                </c:pt>
              </c:numCache>
            </c:numRef>
          </c:val>
        </c:ser>
        <c:overlap val="100"/>
        <c:axId val="268216576"/>
        <c:axId val="268226560"/>
      </c:barChart>
      <c:catAx>
        <c:axId val="268216576"/>
        <c:scaling>
          <c:orientation val="minMax"/>
        </c:scaling>
        <c:axPos val="b"/>
        <c:numFmt formatCode="General" sourceLinked="1"/>
        <c:tickLblPos val="nextTo"/>
        <c:crossAx val="268226560"/>
        <c:crosses val="autoZero"/>
        <c:auto val="1"/>
        <c:lblAlgn val="ctr"/>
        <c:lblOffset val="100"/>
      </c:catAx>
      <c:valAx>
        <c:axId val="268226560"/>
        <c:scaling>
          <c:orientation val="minMax"/>
        </c:scaling>
        <c:axPos val="l"/>
        <c:majorGridlines/>
        <c:numFmt formatCode="0%" sourceLinked="1"/>
        <c:tickLblPos val="nextTo"/>
        <c:crossAx val="268216576"/>
        <c:crosses val="autoZero"/>
        <c:crossBetween val="between"/>
      </c:valAx>
    </c:plotArea>
    <c:legend>
      <c:legendPos val="b"/>
    </c:legend>
    <c:plotVisOnly val="1"/>
    <c:dispBlanksAs val="gap"/>
  </c:chart>
  <c:txPr>
    <a:bodyPr/>
    <a:lstStyle/>
    <a:p>
      <a:pPr>
        <a:defRPr sz="900"/>
      </a:pPr>
      <a:endParaRPr lang="ru-RU"/>
    </a:p>
  </c:txPr>
  <c:externalData r:id="rId1"/>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Изменение кредитного портфеля в 2013 году</a:t>
            </a:r>
          </a:p>
        </c:rich>
      </c:tx>
    </c:title>
    <c:plotArea>
      <c:layout>
        <c:manualLayout>
          <c:layoutTarget val="inner"/>
          <c:xMode val="edge"/>
          <c:yMode val="edge"/>
          <c:x val="0.11984222311194152"/>
          <c:y val="0.15739808747683251"/>
          <c:w val="0.83506798938268256"/>
          <c:h val="0.6978327184626395"/>
        </c:manualLayout>
      </c:layout>
      <c:barChart>
        <c:barDir val="col"/>
        <c:grouping val="stacked"/>
        <c:ser>
          <c:idx val="0"/>
          <c:order val="0"/>
          <c:tx>
            <c:strRef>
              <c:f>Лист1!$B$1</c:f>
              <c:strCache>
                <c:ptCount val="1"/>
                <c:pt idx="0">
                  <c:v>Ряд 1</c:v>
                </c:pt>
              </c:strCache>
            </c:strRef>
          </c:tx>
          <c:dPt>
            <c:idx val="1"/>
            <c:spPr>
              <a:noFill/>
            </c:spPr>
          </c:dPt>
          <c:dPt>
            <c:idx val="2"/>
            <c:spPr>
              <a:noFill/>
            </c:spPr>
          </c:dPt>
          <c:dPt>
            <c:idx val="3"/>
            <c:spPr>
              <a:noFill/>
            </c:spPr>
          </c:dPt>
          <c:dPt>
            <c:idx val="4"/>
            <c:spPr>
              <a:noFill/>
            </c:spPr>
          </c:dPt>
          <c:dLbls>
            <c:dLbl>
              <c:idx val="1"/>
              <c:delete val="1"/>
            </c:dLbl>
            <c:dLbl>
              <c:idx val="2"/>
              <c:delete val="1"/>
            </c:dLbl>
            <c:dLbl>
              <c:idx val="3"/>
              <c:delete val="1"/>
            </c:dLbl>
            <c:dLbl>
              <c:idx val="4"/>
              <c:delete val="1"/>
            </c:dLbl>
            <c:dLblPos val="inEnd"/>
            <c:showVal val="1"/>
          </c:dLbls>
          <c:cat>
            <c:strRef>
              <c:f>Лист1!$A$2:$A$7</c:f>
              <c:strCache>
                <c:ptCount val="6"/>
                <c:pt idx="0">
                  <c:v>Остаток на 31.12.2012</c:v>
                </c:pt>
                <c:pt idx="1">
                  <c:v>Привлечено</c:v>
                </c:pt>
                <c:pt idx="2">
                  <c:v>Погашено</c:v>
                </c:pt>
                <c:pt idx="3">
                  <c:v>Начислено процентов</c:v>
                </c:pt>
                <c:pt idx="4">
                  <c:v>Оплачено процентов</c:v>
                </c:pt>
                <c:pt idx="5">
                  <c:v>Остаток на 31.12.2013</c:v>
                </c:pt>
              </c:strCache>
            </c:strRef>
          </c:cat>
          <c:val>
            <c:numRef>
              <c:f>Лист1!$B$2:$B$7</c:f>
              <c:numCache>
                <c:formatCode>#,##0</c:formatCode>
                <c:ptCount val="6"/>
                <c:pt idx="0">
                  <c:v>52530</c:v>
                </c:pt>
                <c:pt idx="1">
                  <c:v>52530</c:v>
                </c:pt>
                <c:pt idx="2">
                  <c:v>57357</c:v>
                </c:pt>
                <c:pt idx="3">
                  <c:v>57357</c:v>
                </c:pt>
                <c:pt idx="4">
                  <c:v>57527</c:v>
                </c:pt>
                <c:pt idx="5">
                  <c:v>57527</c:v>
                </c:pt>
              </c:numCache>
            </c:numRef>
          </c:val>
        </c:ser>
        <c:ser>
          <c:idx val="1"/>
          <c:order val="1"/>
          <c:tx>
            <c:strRef>
              <c:f>Лист1!$C$1</c:f>
              <c:strCache>
                <c:ptCount val="1"/>
                <c:pt idx="0">
                  <c:v>Ряд 2</c:v>
                </c:pt>
              </c:strCache>
            </c:strRef>
          </c:tx>
          <c:dPt>
            <c:idx val="2"/>
            <c:spPr>
              <a:solidFill>
                <a:schemeClr val="accent3"/>
              </a:solidFill>
            </c:spPr>
          </c:dPt>
          <c:dPt>
            <c:idx val="4"/>
            <c:spPr>
              <a:solidFill>
                <a:schemeClr val="accent3"/>
              </a:solidFill>
            </c:spPr>
          </c:dPt>
          <c:dLbls>
            <c:dLblPos val="inEnd"/>
            <c:showVal val="1"/>
          </c:dLbls>
          <c:cat>
            <c:strRef>
              <c:f>Лист1!$A$2:$A$7</c:f>
              <c:strCache>
                <c:ptCount val="6"/>
                <c:pt idx="0">
                  <c:v>Остаток на 31.12.2012</c:v>
                </c:pt>
                <c:pt idx="1">
                  <c:v>Привлечено</c:v>
                </c:pt>
                <c:pt idx="2">
                  <c:v>Погашено</c:v>
                </c:pt>
                <c:pt idx="3">
                  <c:v>Начислено процентов</c:v>
                </c:pt>
                <c:pt idx="4">
                  <c:v>Оплачено процентов</c:v>
                </c:pt>
                <c:pt idx="5">
                  <c:v>Остаток на 31.12.2013</c:v>
                </c:pt>
              </c:strCache>
            </c:strRef>
          </c:cat>
          <c:val>
            <c:numRef>
              <c:f>Лист1!$C$2:$C$7</c:f>
              <c:numCache>
                <c:formatCode>#,##0</c:formatCode>
                <c:ptCount val="6"/>
                <c:pt idx="1">
                  <c:v>28633</c:v>
                </c:pt>
                <c:pt idx="2">
                  <c:v>23806</c:v>
                </c:pt>
                <c:pt idx="3">
                  <c:v>4112</c:v>
                </c:pt>
                <c:pt idx="4">
                  <c:v>3942</c:v>
                </c:pt>
              </c:numCache>
            </c:numRef>
          </c:val>
        </c:ser>
        <c:overlap val="100"/>
        <c:axId val="290647424"/>
        <c:axId val="291832960"/>
      </c:barChart>
      <c:catAx>
        <c:axId val="290647424"/>
        <c:scaling>
          <c:orientation val="minMax"/>
        </c:scaling>
        <c:axPos val="b"/>
        <c:tickLblPos val="nextTo"/>
        <c:crossAx val="291832960"/>
        <c:crosses val="autoZero"/>
        <c:auto val="1"/>
        <c:lblAlgn val="ctr"/>
        <c:lblOffset val="100"/>
      </c:catAx>
      <c:valAx>
        <c:axId val="291832960"/>
        <c:scaling>
          <c:orientation val="minMax"/>
        </c:scaling>
        <c:axPos val="l"/>
        <c:majorGridlines/>
        <c:title>
          <c:tx>
            <c:rich>
              <a:bodyPr rot="-5400000" vert="horz"/>
              <a:lstStyle/>
              <a:p>
                <a:pPr>
                  <a:defRPr/>
                </a:pPr>
                <a:r>
                  <a:rPr lang="ru-RU"/>
                  <a:t>млн руб.</a:t>
                </a:r>
              </a:p>
            </c:rich>
          </c:tx>
        </c:title>
        <c:numFmt formatCode="#,##0" sourceLinked="1"/>
        <c:tickLblPos val="nextTo"/>
        <c:crossAx val="290647424"/>
        <c:crosses val="autoZero"/>
        <c:crossBetween val="between"/>
      </c:valAx>
    </c:plotArea>
    <c:plotVisOnly val="1"/>
    <c:dispBlanksAs val="gap"/>
  </c:chart>
  <c:txPr>
    <a:bodyPr/>
    <a:lstStyle/>
    <a:p>
      <a:pPr>
        <a:defRPr sz="900"/>
      </a:pPr>
      <a:endParaRPr lang="ru-RU"/>
    </a:p>
  </c:txPr>
  <c:externalData r:id="rId1"/>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кредитного портфеля  по состоянию на 31.12.2013</a:t>
            </a:r>
          </a:p>
        </c:rich>
      </c:tx>
    </c:title>
    <c:plotArea>
      <c:layout/>
      <c:pieChart>
        <c:varyColors val="1"/>
        <c:ser>
          <c:idx val="0"/>
          <c:order val="0"/>
          <c:tx>
            <c:strRef>
              <c:f>Лист1!$B$1</c:f>
              <c:strCache>
                <c:ptCount val="1"/>
                <c:pt idx="0">
                  <c:v>Продажи</c:v>
                </c:pt>
              </c:strCache>
            </c:strRef>
          </c:tx>
          <c:dLbls>
            <c:numFmt formatCode="0.00%" sourceLinked="0"/>
            <c:showPercent val="1"/>
            <c:showLeaderLines val="1"/>
          </c:dLbls>
          <c:cat>
            <c:strRef>
              <c:f>Лист1!$A$2:$A$5</c:f>
              <c:strCache>
                <c:ptCount val="4"/>
                <c:pt idx="0">
                  <c:v>Кредитор 1</c:v>
                </c:pt>
                <c:pt idx="1">
                  <c:v>Кредитор 2</c:v>
                </c:pt>
                <c:pt idx="2">
                  <c:v>Облигационные займы</c:v>
                </c:pt>
                <c:pt idx="3">
                  <c:v>Овердрафт</c:v>
                </c:pt>
              </c:strCache>
            </c:strRef>
          </c:cat>
          <c:val>
            <c:numRef>
              <c:f>Лист1!$B$2:$B$5</c:f>
              <c:numCache>
                <c:formatCode>#,##0</c:formatCode>
                <c:ptCount val="4"/>
                <c:pt idx="0">
                  <c:v>34110</c:v>
                </c:pt>
                <c:pt idx="1">
                  <c:v>8003</c:v>
                </c:pt>
                <c:pt idx="2">
                  <c:v>15362</c:v>
                </c:pt>
                <c:pt idx="3" formatCode="General">
                  <c:v>52</c:v>
                </c:pt>
              </c:numCache>
            </c:numRef>
          </c:val>
        </c:ser>
        <c:firstSliceAng val="0"/>
      </c:pieChart>
    </c:plotArea>
    <c:legend>
      <c:legendPos val="r"/>
    </c:legend>
    <c:plotVisOnly val="1"/>
    <c:dispBlanksAs val="zero"/>
  </c:chart>
  <c:txPr>
    <a:bodyPr/>
    <a:lstStyle/>
    <a:p>
      <a:pPr>
        <a:defRPr sz="900"/>
      </a:pPr>
      <a:endParaRPr lang="ru-RU"/>
    </a:p>
  </c:txPr>
  <c:externalData r:id="rId1"/>
</c:chartSpace>
</file>

<file path=word/charts/chart9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Средневзвешенная ставка по обслуживанию заемных денежных средств</a:t>
            </a:r>
          </a:p>
        </c:rich>
      </c:tx>
      <c:layout>
        <c:manualLayout>
          <c:xMode val="edge"/>
          <c:yMode val="edge"/>
          <c:x val="0.14061068453399844"/>
          <c:y val="0"/>
        </c:manualLayout>
      </c:layout>
    </c:title>
    <c:plotArea>
      <c:layout>
        <c:manualLayout>
          <c:layoutTarget val="inner"/>
          <c:xMode val="edge"/>
          <c:yMode val="edge"/>
          <c:x val="2.6776812603584815E-2"/>
          <c:y val="0.19194444444444858"/>
          <c:w val="0.95056949576633676"/>
          <c:h val="0.48633389576302982"/>
        </c:manualLayout>
      </c:layout>
      <c:areaChart>
        <c:grouping val="standard"/>
        <c:ser>
          <c:idx val="2"/>
          <c:order val="2"/>
          <c:tx>
            <c:strRef>
              <c:f>Лист1!$D$1</c:f>
              <c:strCache>
                <c:ptCount val="1"/>
                <c:pt idx="0">
                  <c:v>Ставка рефинансирования ЦБ РФ</c:v>
                </c:pt>
              </c:strCache>
            </c:strRef>
          </c:tx>
          <c:dLbls>
            <c:numFmt formatCode="#,##0.00" sourceLinked="0"/>
            <c:showVal val="1"/>
          </c:dLbls>
          <c:cat>
            <c:strRef>
              <c:f>Лист1!$A$2:$A$7</c:f>
              <c:strCache>
                <c:ptCount val="6"/>
                <c:pt idx="0">
                  <c:v>31.12.2011</c:v>
                </c:pt>
                <c:pt idx="1">
                  <c:v>31.12.2012</c:v>
                </c:pt>
                <c:pt idx="2">
                  <c:v>31.03.2013</c:v>
                </c:pt>
                <c:pt idx="3">
                  <c:v>30.06.2013</c:v>
                </c:pt>
                <c:pt idx="4">
                  <c:v>30.09.2013</c:v>
                </c:pt>
                <c:pt idx="5">
                  <c:v>31.12.2013</c:v>
                </c:pt>
              </c:strCache>
            </c:strRef>
          </c:cat>
          <c:val>
            <c:numRef>
              <c:f>Лист1!$D$2:$D$7</c:f>
              <c:numCache>
                <c:formatCode>General</c:formatCode>
                <c:ptCount val="6"/>
                <c:pt idx="0">
                  <c:v>8</c:v>
                </c:pt>
                <c:pt idx="1">
                  <c:v>8.25</c:v>
                </c:pt>
                <c:pt idx="2">
                  <c:v>8.25</c:v>
                </c:pt>
                <c:pt idx="3">
                  <c:v>8.25</c:v>
                </c:pt>
                <c:pt idx="4">
                  <c:v>8.25</c:v>
                </c:pt>
                <c:pt idx="5">
                  <c:v>8.25</c:v>
                </c:pt>
              </c:numCache>
            </c:numRef>
          </c:val>
        </c:ser>
        <c:axId val="292247808"/>
        <c:axId val="292261888"/>
      </c:areaChart>
      <c:lineChart>
        <c:grouping val="standard"/>
        <c:ser>
          <c:idx val="0"/>
          <c:order val="0"/>
          <c:tx>
            <c:strRef>
              <c:f>Лист1!$B$1</c:f>
              <c:strCache>
                <c:ptCount val="1"/>
                <c:pt idx="0">
                  <c:v>Средневзвешенная ставка без учета векселей и облигационного займа</c:v>
                </c:pt>
              </c:strCache>
            </c:strRef>
          </c:tx>
          <c:marker>
            <c:symbol val="circle"/>
            <c:size val="7"/>
          </c:marker>
          <c:dLbls>
            <c:spPr>
              <a:solidFill>
                <a:schemeClr val="accent1"/>
              </a:solidFill>
            </c:spPr>
            <c:dLblPos val="t"/>
            <c:showVal val="1"/>
          </c:dLbls>
          <c:cat>
            <c:strRef>
              <c:f>Лист1!$A$2:$A$7</c:f>
              <c:strCache>
                <c:ptCount val="6"/>
                <c:pt idx="0">
                  <c:v>31.12.2011</c:v>
                </c:pt>
                <c:pt idx="1">
                  <c:v>31.12.2012</c:v>
                </c:pt>
                <c:pt idx="2">
                  <c:v>31.03.2013</c:v>
                </c:pt>
                <c:pt idx="3">
                  <c:v>30.06.2013</c:v>
                </c:pt>
                <c:pt idx="4">
                  <c:v>30.09.2013</c:v>
                </c:pt>
                <c:pt idx="5">
                  <c:v>31.12.2013</c:v>
                </c:pt>
              </c:strCache>
            </c:strRef>
          </c:cat>
          <c:val>
            <c:numRef>
              <c:f>Лист1!$B$2:$B$7</c:f>
              <c:numCache>
                <c:formatCode>General</c:formatCode>
                <c:ptCount val="6"/>
                <c:pt idx="0">
                  <c:v>8.48</c:v>
                </c:pt>
                <c:pt idx="1">
                  <c:v>8.61</c:v>
                </c:pt>
                <c:pt idx="2">
                  <c:v>8.31</c:v>
                </c:pt>
                <c:pt idx="3">
                  <c:v>8.2900000000000009</c:v>
                </c:pt>
                <c:pt idx="4">
                  <c:v>8.19</c:v>
                </c:pt>
                <c:pt idx="5">
                  <c:v>8.15</c:v>
                </c:pt>
              </c:numCache>
            </c:numRef>
          </c:val>
        </c:ser>
        <c:ser>
          <c:idx val="1"/>
          <c:order val="1"/>
          <c:tx>
            <c:strRef>
              <c:f>Лист1!$C$1</c:f>
              <c:strCache>
                <c:ptCount val="1"/>
                <c:pt idx="0">
                  <c:v>Ставка MosPrime 3M</c:v>
                </c:pt>
              </c:strCache>
            </c:strRef>
          </c:tx>
          <c:marker>
            <c:symbol val="circle"/>
            <c:size val="7"/>
          </c:marker>
          <c:dLbls>
            <c:spPr>
              <a:solidFill>
                <a:schemeClr val="accent2"/>
              </a:solidFill>
            </c:spPr>
            <c:dLblPos val="t"/>
            <c:showVal val="1"/>
          </c:dLbls>
          <c:cat>
            <c:strRef>
              <c:f>Лист1!$A$2:$A$7</c:f>
              <c:strCache>
                <c:ptCount val="6"/>
                <c:pt idx="0">
                  <c:v>31.12.2011</c:v>
                </c:pt>
                <c:pt idx="1">
                  <c:v>31.12.2012</c:v>
                </c:pt>
                <c:pt idx="2">
                  <c:v>31.03.2013</c:v>
                </c:pt>
                <c:pt idx="3">
                  <c:v>30.06.2013</c:v>
                </c:pt>
                <c:pt idx="4">
                  <c:v>30.09.2013</c:v>
                </c:pt>
                <c:pt idx="5">
                  <c:v>31.12.2013</c:v>
                </c:pt>
              </c:strCache>
            </c:strRef>
          </c:cat>
          <c:val>
            <c:numRef>
              <c:f>Лист1!$C$2:$C$7</c:f>
              <c:numCache>
                <c:formatCode>General</c:formatCode>
                <c:ptCount val="6"/>
                <c:pt idx="0">
                  <c:v>7.22</c:v>
                </c:pt>
                <c:pt idx="1">
                  <c:v>7.4700000000000024</c:v>
                </c:pt>
                <c:pt idx="2">
                  <c:v>7.1099999999999985</c:v>
                </c:pt>
                <c:pt idx="3">
                  <c:v>7.05</c:v>
                </c:pt>
                <c:pt idx="4">
                  <c:v>6.8199999999999985</c:v>
                </c:pt>
                <c:pt idx="5">
                  <c:v>7.1499999999999995</c:v>
                </c:pt>
              </c:numCache>
            </c:numRef>
          </c:val>
        </c:ser>
        <c:marker val="1"/>
        <c:axId val="292247808"/>
        <c:axId val="292261888"/>
      </c:lineChart>
      <c:catAx>
        <c:axId val="292247808"/>
        <c:scaling>
          <c:orientation val="minMax"/>
        </c:scaling>
        <c:axPos val="b"/>
        <c:numFmt formatCode="@" sourceLinked="1"/>
        <c:tickLblPos val="nextTo"/>
        <c:txPr>
          <a:bodyPr/>
          <a:lstStyle/>
          <a:p>
            <a:pPr>
              <a:defRPr sz="900"/>
            </a:pPr>
            <a:endParaRPr lang="ru-RU"/>
          </a:p>
        </c:txPr>
        <c:crossAx val="292261888"/>
        <c:crosses val="autoZero"/>
        <c:auto val="1"/>
        <c:lblAlgn val="ctr"/>
        <c:lblOffset val="100"/>
      </c:catAx>
      <c:valAx>
        <c:axId val="292261888"/>
        <c:scaling>
          <c:orientation val="minMax"/>
          <c:max val="9"/>
          <c:min val="5"/>
        </c:scaling>
        <c:delete val="1"/>
        <c:axPos val="l"/>
        <c:majorGridlines/>
        <c:numFmt formatCode="General" sourceLinked="1"/>
        <c:tickLblPos val="none"/>
        <c:crossAx val="292247808"/>
        <c:crosses val="autoZero"/>
        <c:crossBetween val="between"/>
      </c:valAx>
    </c:plotArea>
    <c:legend>
      <c:legendPos val="b"/>
      <c:layout>
        <c:manualLayout>
          <c:xMode val="edge"/>
          <c:yMode val="edge"/>
          <c:x val="0"/>
          <c:y val="0.74567347793183381"/>
          <c:w val="1"/>
          <c:h val="0.25432652206817707"/>
        </c:manualLayout>
      </c:layout>
      <c:txPr>
        <a:bodyPr/>
        <a:lstStyle/>
        <a:p>
          <a:pPr>
            <a:defRPr sz="900"/>
          </a:pPr>
          <a:endParaRPr lang="ru-RU"/>
        </a:p>
      </c:txPr>
    </c:legend>
    <c:plotVisOnly val="1"/>
    <c:dispBlanksAs val="gap"/>
  </c:chart>
  <c:txPr>
    <a:bodyPr/>
    <a:lstStyle/>
    <a:p>
      <a:pPr>
        <a:defRPr sz="900"/>
      </a:pPr>
      <a:endParaRPr lang="ru-RU"/>
    </a:p>
  </c:txPr>
  <c:externalData r:id="rId1"/>
</c:chartSpace>
</file>

<file path=word/charts/chart9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ru-RU" sz="1100"/>
              <a:t>Основные параметры инвестиционной программы</a:t>
            </a:r>
          </a:p>
        </c:rich>
      </c:tx>
      <c:layout>
        <c:manualLayout>
          <c:xMode val="edge"/>
          <c:yMode val="edge"/>
          <c:x val="0.25381598620548923"/>
          <c:y val="2.6079571030073887E-2"/>
        </c:manualLayout>
      </c:layout>
    </c:title>
    <c:plotArea>
      <c:layout/>
      <c:barChart>
        <c:barDir val="col"/>
        <c:grouping val="clustered"/>
        <c:ser>
          <c:idx val="1"/>
          <c:order val="0"/>
          <c:tx>
            <c:strRef>
              <c:f>Лист1!$C$2</c:f>
              <c:strCache>
                <c:ptCount val="1"/>
                <c:pt idx="0">
                  <c:v>Столбец1</c:v>
                </c:pt>
              </c:strCache>
            </c:strRef>
          </c:tx>
          <c:dPt>
            <c:idx val="3"/>
            <c:spPr>
              <a:solidFill>
                <a:schemeClr val="accent1"/>
              </a:solidFill>
            </c:spPr>
          </c:dPt>
          <c:dPt>
            <c:idx val="4"/>
            <c:spPr>
              <a:solidFill>
                <a:srgbClr val="4F81BD"/>
              </a:solidFill>
            </c:spPr>
          </c:dPt>
          <c:dPt>
            <c:idx val="5"/>
            <c:spPr>
              <a:solidFill>
                <a:srgbClr val="4F81BD"/>
              </a:solidFill>
            </c:spPr>
          </c:dPt>
          <c:dPt>
            <c:idx val="6"/>
            <c:spPr>
              <a:solidFill>
                <a:schemeClr val="accent3"/>
              </a:solidFill>
            </c:spPr>
          </c:dPt>
          <c:dPt>
            <c:idx val="7"/>
            <c:spPr>
              <a:solidFill>
                <a:srgbClr val="9BBB59"/>
              </a:solidFill>
            </c:spPr>
          </c:dPt>
          <c:dPt>
            <c:idx val="8"/>
            <c:spPr>
              <a:solidFill>
                <a:srgbClr val="9BBB59"/>
              </a:solidFill>
            </c:spPr>
          </c:dPt>
          <c:dPt>
            <c:idx val="9"/>
            <c:spPr>
              <a:solidFill>
                <a:srgbClr val="FFC000"/>
              </a:solidFill>
            </c:spPr>
          </c:dPt>
          <c:dPt>
            <c:idx val="10"/>
            <c:spPr>
              <a:solidFill>
                <a:srgbClr val="FFC000"/>
              </a:solidFill>
            </c:spPr>
          </c:dPt>
          <c:dPt>
            <c:idx val="11"/>
            <c:spPr>
              <a:solidFill>
                <a:srgbClr val="FFC000"/>
              </a:solidFill>
            </c:spPr>
          </c:dPt>
          <c:dPt>
            <c:idx val="12"/>
            <c:spPr>
              <a:solidFill>
                <a:srgbClr val="00B0F0"/>
              </a:solidFill>
            </c:spPr>
          </c:dPt>
          <c:dPt>
            <c:idx val="13"/>
            <c:spPr>
              <a:solidFill>
                <a:srgbClr val="00B0F0"/>
              </a:solidFill>
            </c:spPr>
          </c:dPt>
          <c:dPt>
            <c:idx val="14"/>
            <c:spPr>
              <a:solidFill>
                <a:srgbClr val="00B0F0"/>
              </a:solidFill>
            </c:spPr>
          </c:dPt>
          <c:dLbls>
            <c:showVal val="1"/>
          </c:dLbls>
          <c:cat>
            <c:multiLvlStrRef>
              <c:f>Лист1!$A$3:$B$17</c:f>
              <c:multiLvlStrCache>
                <c:ptCount val="15"/>
                <c:lvl>
                  <c:pt idx="0">
                    <c:v>2011</c:v>
                  </c:pt>
                  <c:pt idx="1">
                    <c:v>2012</c:v>
                  </c:pt>
                  <c:pt idx="2">
                    <c:v>2013</c:v>
                  </c:pt>
                  <c:pt idx="3">
                    <c:v>2011</c:v>
                  </c:pt>
                  <c:pt idx="4">
                    <c:v>2012</c:v>
                  </c:pt>
                  <c:pt idx="5">
                    <c:v>2013</c:v>
                  </c:pt>
                  <c:pt idx="6">
                    <c:v>2011</c:v>
                  </c:pt>
                  <c:pt idx="7">
                    <c:v>2012</c:v>
                  </c:pt>
                  <c:pt idx="8">
                    <c:v>2013</c:v>
                  </c:pt>
                  <c:pt idx="9">
                    <c:v>2011</c:v>
                  </c:pt>
                  <c:pt idx="10">
                    <c:v>2012</c:v>
                  </c:pt>
                  <c:pt idx="11">
                    <c:v>2013</c:v>
                  </c:pt>
                  <c:pt idx="12">
                    <c:v>2011</c:v>
                  </c:pt>
                  <c:pt idx="13">
                    <c:v>2012</c:v>
                  </c:pt>
                  <c:pt idx="14">
                    <c:v>2013</c:v>
                  </c:pt>
                </c:lvl>
                <c:lvl>
                  <c:pt idx="0">
                    <c:v>Капитальные вложения, 
млн руб. без НДС</c:v>
                  </c:pt>
                  <c:pt idx="3">
                    <c:v>Ввод основных фондов, 
млн руб. без НДС</c:v>
                  </c:pt>
                  <c:pt idx="6">
                    <c:v>Финансирование, 
млн руб. с НДС</c:v>
                  </c:pt>
                  <c:pt idx="9">
                    <c:v>Ввод трансформаторной мощности, 
МВА</c:v>
                  </c:pt>
                  <c:pt idx="12">
                    <c:v>Ввод линий электропередач, 
км</c:v>
                  </c:pt>
                </c:lvl>
              </c:multiLvlStrCache>
            </c:multiLvlStrRef>
          </c:cat>
          <c:val>
            <c:numRef>
              <c:f>Лист1!$C$3:$C$17</c:f>
              <c:numCache>
                <c:formatCode>#,##0</c:formatCode>
                <c:ptCount val="15"/>
                <c:pt idx="0">
                  <c:v>29527</c:v>
                </c:pt>
                <c:pt idx="1">
                  <c:v>36095</c:v>
                </c:pt>
                <c:pt idx="2">
                  <c:v>51212</c:v>
                </c:pt>
                <c:pt idx="3">
                  <c:v>30118</c:v>
                </c:pt>
                <c:pt idx="4">
                  <c:v>39095</c:v>
                </c:pt>
                <c:pt idx="5">
                  <c:v>45827</c:v>
                </c:pt>
                <c:pt idx="6">
                  <c:v>31680</c:v>
                </c:pt>
                <c:pt idx="7">
                  <c:v>37425</c:v>
                </c:pt>
                <c:pt idx="8">
                  <c:v>42694</c:v>
                </c:pt>
                <c:pt idx="9">
                  <c:v>1597</c:v>
                </c:pt>
                <c:pt idx="10">
                  <c:v>4792</c:v>
                </c:pt>
                <c:pt idx="11">
                  <c:v>4453</c:v>
                </c:pt>
                <c:pt idx="12">
                  <c:v>2726</c:v>
                </c:pt>
                <c:pt idx="13">
                  <c:v>4320</c:v>
                </c:pt>
                <c:pt idx="14">
                  <c:v>6195</c:v>
                </c:pt>
              </c:numCache>
            </c:numRef>
          </c:val>
        </c:ser>
        <c:axId val="292287616"/>
        <c:axId val="292289152"/>
      </c:barChart>
      <c:catAx>
        <c:axId val="292287616"/>
        <c:scaling>
          <c:orientation val="minMax"/>
        </c:scaling>
        <c:axPos val="b"/>
        <c:tickLblPos val="nextTo"/>
        <c:crossAx val="292289152"/>
        <c:crossesAt val="-50"/>
        <c:auto val="1"/>
        <c:lblAlgn val="ctr"/>
        <c:lblOffset val="100"/>
      </c:catAx>
      <c:valAx>
        <c:axId val="292289152"/>
        <c:scaling>
          <c:orientation val="minMax"/>
          <c:min val="0"/>
        </c:scaling>
        <c:axPos val="l"/>
        <c:majorGridlines/>
        <c:numFmt formatCode="#,##0" sourceLinked="1"/>
        <c:tickLblPos val="nextTo"/>
        <c:crossAx val="292287616"/>
        <c:crosses val="autoZero"/>
        <c:crossBetween val="between"/>
      </c:valAx>
    </c:plotArea>
    <c:plotVisOnly val="1"/>
    <c:dispBlanksAs val="gap"/>
  </c:chart>
  <c:txPr>
    <a:bodyPr/>
    <a:lstStyle/>
    <a:p>
      <a:pPr>
        <a:defRPr sz="900"/>
      </a:pPr>
      <a:endParaRPr lang="ru-RU"/>
    </a:p>
  </c:txPr>
  <c:externalData r:id="rId1"/>
</c:chartSpace>
</file>

<file path=word/charts/chart9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Направления освоения капитальных вложений в 2013 году</a:t>
            </a:r>
          </a:p>
        </c:rich>
      </c:tx>
      <c:layout>
        <c:manualLayout>
          <c:xMode val="edge"/>
          <c:yMode val="edge"/>
          <c:x val="0.14601158291733532"/>
          <c:y val="0"/>
        </c:manualLayout>
      </c:layout>
    </c:title>
    <c:plotArea>
      <c:layout>
        <c:manualLayout>
          <c:layoutTarget val="inner"/>
          <c:xMode val="edge"/>
          <c:yMode val="edge"/>
          <c:x val="0.25605692594989055"/>
          <c:y val="0.24735068776479224"/>
          <c:w val="0.50388481100880345"/>
          <c:h val="0.52309449588596146"/>
        </c:manualLayout>
      </c:layout>
      <c:pieChart>
        <c:varyColors val="1"/>
        <c:ser>
          <c:idx val="0"/>
          <c:order val="0"/>
          <c:tx>
            <c:strRef>
              <c:f>Лист1!$B$1</c:f>
              <c:strCache>
                <c:ptCount val="1"/>
                <c:pt idx="0">
                  <c:v>Продажи</c:v>
                </c:pt>
              </c:strCache>
            </c:strRef>
          </c:tx>
          <c:dLbls>
            <c:numFmt formatCode="0.00%" sourceLinked="0"/>
            <c:showPercent val="1"/>
            <c:showLeaderLines val="1"/>
          </c:dLbls>
          <c:cat>
            <c:strRef>
              <c:f>Лист1!$A$2:$A$3</c:f>
              <c:strCache>
                <c:ptCount val="2"/>
                <c:pt idx="0">
                  <c:v>Важнейшие проекты</c:v>
                </c:pt>
                <c:pt idx="1">
                  <c:v>Программы</c:v>
                </c:pt>
              </c:strCache>
            </c:strRef>
          </c:cat>
          <c:val>
            <c:numRef>
              <c:f>Лист1!$B$2:$B$3</c:f>
              <c:numCache>
                <c:formatCode>#,##0</c:formatCode>
                <c:ptCount val="2"/>
                <c:pt idx="0">
                  <c:v>8041</c:v>
                </c:pt>
                <c:pt idx="1">
                  <c:v>43171</c:v>
                </c:pt>
              </c:numCache>
            </c:numRef>
          </c:val>
        </c:ser>
        <c:firstSliceAng val="0"/>
      </c:pieChart>
    </c:plotArea>
    <c:legend>
      <c:legendPos val="b"/>
      <c:layout>
        <c:manualLayout>
          <c:xMode val="edge"/>
          <c:yMode val="edge"/>
          <c:x val="2.081616916529503E-2"/>
          <c:y val="0.83785740496868821"/>
          <c:w val="0.97918383083470495"/>
          <c:h val="0.13868242089394331"/>
        </c:manualLayout>
      </c:layout>
    </c:legend>
    <c:plotVisOnly val="1"/>
    <c:dispBlanksAs val="zero"/>
  </c:chart>
  <c:txPr>
    <a:bodyPr/>
    <a:lstStyle/>
    <a:p>
      <a:pPr>
        <a:defRPr sz="900"/>
      </a:pPr>
      <a:endParaRPr lang="ru-RU"/>
    </a:p>
  </c:txPr>
  <c:externalData r:id="rId1"/>
</c:chartSpace>
</file>

<file path=word/charts/chart9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080" b="1"/>
              <a:t>Структура капитальных вложений по программам</a:t>
            </a:r>
            <a:endParaRPr lang="ru-RU" sz="1080"/>
          </a:p>
        </c:rich>
      </c:tx>
      <c:layout>
        <c:manualLayout>
          <c:xMode val="edge"/>
          <c:yMode val="edge"/>
          <c:x val="0.20732499161748041"/>
          <c:y val="0"/>
        </c:manualLayout>
      </c:layout>
    </c:title>
    <c:plotArea>
      <c:layout>
        <c:manualLayout>
          <c:layoutTarget val="inner"/>
          <c:xMode val="edge"/>
          <c:yMode val="edge"/>
          <c:x val="7.7649009266010607E-2"/>
          <c:y val="0.36012975400133779"/>
          <c:w val="0.43482338164148876"/>
          <c:h val="0.52557382533065256"/>
        </c:manualLayout>
      </c:layout>
      <c:pieChart>
        <c:varyColors val="1"/>
        <c:ser>
          <c:idx val="0"/>
          <c:order val="0"/>
          <c:tx>
            <c:strRef>
              <c:f>Лист1!$B$1</c:f>
              <c:strCache>
                <c:ptCount val="1"/>
                <c:pt idx="0">
                  <c:v>Столбец1</c:v>
                </c:pt>
              </c:strCache>
            </c:strRef>
          </c:tx>
          <c:dLbls>
            <c:dLbl>
              <c:idx val="4"/>
              <c:layout>
                <c:manualLayout>
                  <c:x val="-0.12368748177311288"/>
                  <c:y val="8.4404449443820265E-2"/>
                </c:manualLayout>
              </c:layout>
              <c:showPercent val="1"/>
            </c:dLbl>
            <c:dLbl>
              <c:idx val="5"/>
              <c:layout>
                <c:manualLayout>
                  <c:x val="-8.8732866724994863E-2"/>
                  <c:y val="3.8690788651418576E-2"/>
                </c:manualLayout>
              </c:layout>
              <c:showPercent val="1"/>
            </c:dLbl>
            <c:dLbl>
              <c:idx val="6"/>
              <c:layout>
                <c:manualLayout>
                  <c:x val="-5.0167687372412034E-2"/>
                  <c:y val="-9.530371203599548E-3"/>
                </c:manualLayout>
              </c:layout>
              <c:showPercent val="1"/>
            </c:dLbl>
            <c:dLbl>
              <c:idx val="7"/>
              <c:layout>
                <c:manualLayout>
                  <c:x val="1.5362532808398955E-2"/>
                  <c:y val="-2.8828583927009131E-2"/>
                </c:manualLayout>
              </c:layout>
              <c:showPercent val="1"/>
            </c:dLbl>
            <c:dLbl>
              <c:idx val="8"/>
              <c:layout>
                <c:manualLayout>
                  <c:x val="6.5681138815981338E-2"/>
                  <c:y val="-1.7816835395575641E-2"/>
                </c:manualLayout>
              </c:layout>
              <c:showPercent val="1"/>
            </c:dLbl>
            <c:numFmt formatCode="0.00%" sourceLinked="0"/>
            <c:showPercent val="1"/>
            <c:showLeaderLines val="1"/>
          </c:dLbls>
          <c:cat>
            <c:strRef>
              <c:f>Лист1!$A$2:$A$10</c:f>
              <c:strCache>
                <c:ptCount val="9"/>
                <c:pt idx="0">
                  <c:v>Приобретение электросетевых активов, земельных участков и пр.</c:v>
                </c:pt>
                <c:pt idx="1">
                  <c:v>Объекты технологического присоединения</c:v>
                </c:pt>
                <c:pt idx="2">
                  <c:v>Техперевооружение и реконструкция по высокому напряжению (ЛЭП, ПС)</c:v>
                </c:pt>
                <c:pt idx="3">
                  <c:v>Распределительные сети</c:v>
                </c:pt>
                <c:pt idx="4">
                  <c:v>Автоматизация технологического управления (кроме АИСКУЭ)</c:v>
                </c:pt>
                <c:pt idx="5">
                  <c:v>АИСКУЭ</c:v>
                </c:pt>
                <c:pt idx="6">
                  <c:v>Программы по обеспечению безопасности</c:v>
                </c:pt>
                <c:pt idx="7">
                  <c:v>Новое строительство по высокому напряжению (ЛЭП, ПС)</c:v>
                </c:pt>
                <c:pt idx="8">
                  <c:v>Прочие программы и мероприятия</c:v>
                </c:pt>
              </c:strCache>
            </c:strRef>
          </c:cat>
          <c:val>
            <c:numRef>
              <c:f>Лист1!$B$2:$B$10</c:f>
              <c:numCache>
                <c:formatCode>#,##0</c:formatCode>
                <c:ptCount val="9"/>
                <c:pt idx="0">
                  <c:v>11999</c:v>
                </c:pt>
                <c:pt idx="1">
                  <c:v>10967</c:v>
                </c:pt>
                <c:pt idx="2">
                  <c:v>9467</c:v>
                </c:pt>
                <c:pt idx="3">
                  <c:v>6238</c:v>
                </c:pt>
                <c:pt idx="4">
                  <c:v>1597</c:v>
                </c:pt>
                <c:pt idx="5">
                  <c:v>562</c:v>
                </c:pt>
                <c:pt idx="6">
                  <c:v>463</c:v>
                </c:pt>
                <c:pt idx="7">
                  <c:v>47</c:v>
                </c:pt>
                <c:pt idx="8">
                  <c:v>1831</c:v>
                </c:pt>
              </c:numCache>
            </c:numRef>
          </c:val>
        </c:ser>
        <c:firstSliceAng val="0"/>
      </c:pieChart>
    </c:plotArea>
    <c:legend>
      <c:legendPos val="r"/>
      <c:layout>
        <c:manualLayout>
          <c:xMode val="edge"/>
          <c:yMode val="edge"/>
          <c:x val="0.51707958337546767"/>
          <c:y val="0.11495644845864859"/>
          <c:w val="0.46117004007642726"/>
          <c:h val="0.88014705882352962"/>
        </c:manualLayout>
      </c:layout>
      <c:txPr>
        <a:bodyPr/>
        <a:lstStyle/>
        <a:p>
          <a:pPr>
            <a:defRPr sz="700"/>
          </a:pPr>
          <a:endParaRPr lang="ru-RU"/>
        </a:p>
      </c:txP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48E88B-A68D-4390-8B54-29F2E4825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452</TotalTime>
  <Pages>351</Pages>
  <Words>104144</Words>
  <Characters>593624</Characters>
  <Application>Microsoft Office Word</Application>
  <DocSecurity>0</DocSecurity>
  <Lines>4946</Lines>
  <Paragraphs>1392</Paragraphs>
  <ScaleCrop>false</ScaleCrop>
  <HeadingPairs>
    <vt:vector size="2" baseType="variant">
      <vt:variant>
        <vt:lpstr>Название</vt:lpstr>
      </vt:variant>
      <vt:variant>
        <vt:i4>1</vt:i4>
      </vt:variant>
    </vt:vector>
  </HeadingPairs>
  <TitlesOfParts>
    <vt:vector size="1" baseType="lpstr">
      <vt:lpstr/>
    </vt:vector>
  </TitlesOfParts>
  <Company>MOESK</Company>
  <LinksUpToDate>false</LinksUpToDate>
  <CharactersWithSpaces>696376</CharactersWithSpaces>
  <SharedDoc>false</SharedDoc>
  <HLinks>
    <vt:vector size="510" baseType="variant">
      <vt:variant>
        <vt:i4>27</vt:i4>
      </vt:variant>
      <vt:variant>
        <vt:i4>498</vt:i4>
      </vt:variant>
      <vt:variant>
        <vt:i4>0</vt:i4>
      </vt:variant>
      <vt:variant>
        <vt:i4>5</vt:i4>
      </vt:variant>
      <vt:variant>
        <vt:lpwstr>C:\Documents and Settings\BaranovaDS\Local Settings\Temporary Internet Files\Content.MSO\4CDF6CE3.xlsx</vt:lpwstr>
      </vt:variant>
      <vt:variant>
        <vt:lpwstr>'8'!A5</vt:lpwstr>
      </vt:variant>
      <vt:variant>
        <vt:i4>3866669</vt:i4>
      </vt:variant>
      <vt:variant>
        <vt:i4>495</vt:i4>
      </vt:variant>
      <vt:variant>
        <vt:i4>0</vt:i4>
      </vt:variant>
      <vt:variant>
        <vt:i4>5</vt:i4>
      </vt:variant>
      <vt:variant>
        <vt:lpwstr>C:\Documents and Settings\BaranovaDS\Local Settings\Temporary Internet Files\Content.MSO\4CDF6CE3.xlsx</vt:lpwstr>
      </vt:variant>
      <vt:variant>
        <vt:lpwstr>'3'!A267</vt:lpwstr>
      </vt:variant>
      <vt:variant>
        <vt:i4>3801122</vt:i4>
      </vt:variant>
      <vt:variant>
        <vt:i4>492</vt:i4>
      </vt:variant>
      <vt:variant>
        <vt:i4>0</vt:i4>
      </vt:variant>
      <vt:variant>
        <vt:i4>5</vt:i4>
      </vt:variant>
      <vt:variant>
        <vt:lpwstr>C:\Documents and Settings\BaranovaDS\Local Settings\Temporary Internet Files\Content.MSO\4CDF6CE3.xlsx</vt:lpwstr>
      </vt:variant>
      <vt:variant>
        <vt:lpwstr>'3'!A195</vt:lpwstr>
      </vt:variant>
      <vt:variant>
        <vt:i4>983067</vt:i4>
      </vt:variant>
      <vt:variant>
        <vt:i4>489</vt:i4>
      </vt:variant>
      <vt:variant>
        <vt:i4>0</vt:i4>
      </vt:variant>
      <vt:variant>
        <vt:i4>5</vt:i4>
      </vt:variant>
      <vt:variant>
        <vt:lpwstr>C:\Documents and Settings\BaranovaDS\Local Settings\Temporary Internet Files\Content.MSO\4CDF6CE3.xlsx</vt:lpwstr>
      </vt:variant>
      <vt:variant>
        <vt:lpwstr>'0'!A27</vt:lpwstr>
      </vt:variant>
      <vt:variant>
        <vt:i4>1179702</vt:i4>
      </vt:variant>
      <vt:variant>
        <vt:i4>482</vt:i4>
      </vt:variant>
      <vt:variant>
        <vt:i4>0</vt:i4>
      </vt:variant>
      <vt:variant>
        <vt:i4>5</vt:i4>
      </vt:variant>
      <vt:variant>
        <vt:lpwstr/>
      </vt:variant>
      <vt:variant>
        <vt:lpwstr>_Toc380578201</vt:lpwstr>
      </vt:variant>
      <vt:variant>
        <vt:i4>1179702</vt:i4>
      </vt:variant>
      <vt:variant>
        <vt:i4>476</vt:i4>
      </vt:variant>
      <vt:variant>
        <vt:i4>0</vt:i4>
      </vt:variant>
      <vt:variant>
        <vt:i4>5</vt:i4>
      </vt:variant>
      <vt:variant>
        <vt:lpwstr/>
      </vt:variant>
      <vt:variant>
        <vt:lpwstr>_Toc380578200</vt:lpwstr>
      </vt:variant>
      <vt:variant>
        <vt:i4>1769525</vt:i4>
      </vt:variant>
      <vt:variant>
        <vt:i4>470</vt:i4>
      </vt:variant>
      <vt:variant>
        <vt:i4>0</vt:i4>
      </vt:variant>
      <vt:variant>
        <vt:i4>5</vt:i4>
      </vt:variant>
      <vt:variant>
        <vt:lpwstr/>
      </vt:variant>
      <vt:variant>
        <vt:lpwstr>_Toc380578199</vt:lpwstr>
      </vt:variant>
      <vt:variant>
        <vt:i4>1769525</vt:i4>
      </vt:variant>
      <vt:variant>
        <vt:i4>464</vt:i4>
      </vt:variant>
      <vt:variant>
        <vt:i4>0</vt:i4>
      </vt:variant>
      <vt:variant>
        <vt:i4>5</vt:i4>
      </vt:variant>
      <vt:variant>
        <vt:lpwstr/>
      </vt:variant>
      <vt:variant>
        <vt:lpwstr>_Toc380578198</vt:lpwstr>
      </vt:variant>
      <vt:variant>
        <vt:i4>1769525</vt:i4>
      </vt:variant>
      <vt:variant>
        <vt:i4>458</vt:i4>
      </vt:variant>
      <vt:variant>
        <vt:i4>0</vt:i4>
      </vt:variant>
      <vt:variant>
        <vt:i4>5</vt:i4>
      </vt:variant>
      <vt:variant>
        <vt:lpwstr/>
      </vt:variant>
      <vt:variant>
        <vt:lpwstr>_Toc380578197</vt:lpwstr>
      </vt:variant>
      <vt:variant>
        <vt:i4>1769525</vt:i4>
      </vt:variant>
      <vt:variant>
        <vt:i4>452</vt:i4>
      </vt:variant>
      <vt:variant>
        <vt:i4>0</vt:i4>
      </vt:variant>
      <vt:variant>
        <vt:i4>5</vt:i4>
      </vt:variant>
      <vt:variant>
        <vt:lpwstr/>
      </vt:variant>
      <vt:variant>
        <vt:lpwstr>_Toc380578196</vt:lpwstr>
      </vt:variant>
      <vt:variant>
        <vt:i4>1769525</vt:i4>
      </vt:variant>
      <vt:variant>
        <vt:i4>446</vt:i4>
      </vt:variant>
      <vt:variant>
        <vt:i4>0</vt:i4>
      </vt:variant>
      <vt:variant>
        <vt:i4>5</vt:i4>
      </vt:variant>
      <vt:variant>
        <vt:lpwstr/>
      </vt:variant>
      <vt:variant>
        <vt:lpwstr>_Toc380578195</vt:lpwstr>
      </vt:variant>
      <vt:variant>
        <vt:i4>1769525</vt:i4>
      </vt:variant>
      <vt:variant>
        <vt:i4>440</vt:i4>
      </vt:variant>
      <vt:variant>
        <vt:i4>0</vt:i4>
      </vt:variant>
      <vt:variant>
        <vt:i4>5</vt:i4>
      </vt:variant>
      <vt:variant>
        <vt:lpwstr/>
      </vt:variant>
      <vt:variant>
        <vt:lpwstr>_Toc380578194</vt:lpwstr>
      </vt:variant>
      <vt:variant>
        <vt:i4>1769525</vt:i4>
      </vt:variant>
      <vt:variant>
        <vt:i4>434</vt:i4>
      </vt:variant>
      <vt:variant>
        <vt:i4>0</vt:i4>
      </vt:variant>
      <vt:variant>
        <vt:i4>5</vt:i4>
      </vt:variant>
      <vt:variant>
        <vt:lpwstr/>
      </vt:variant>
      <vt:variant>
        <vt:lpwstr>_Toc380578193</vt:lpwstr>
      </vt:variant>
      <vt:variant>
        <vt:i4>1769525</vt:i4>
      </vt:variant>
      <vt:variant>
        <vt:i4>428</vt:i4>
      </vt:variant>
      <vt:variant>
        <vt:i4>0</vt:i4>
      </vt:variant>
      <vt:variant>
        <vt:i4>5</vt:i4>
      </vt:variant>
      <vt:variant>
        <vt:lpwstr/>
      </vt:variant>
      <vt:variant>
        <vt:lpwstr>_Toc380578192</vt:lpwstr>
      </vt:variant>
      <vt:variant>
        <vt:i4>1769525</vt:i4>
      </vt:variant>
      <vt:variant>
        <vt:i4>422</vt:i4>
      </vt:variant>
      <vt:variant>
        <vt:i4>0</vt:i4>
      </vt:variant>
      <vt:variant>
        <vt:i4>5</vt:i4>
      </vt:variant>
      <vt:variant>
        <vt:lpwstr/>
      </vt:variant>
      <vt:variant>
        <vt:lpwstr>_Toc380578191</vt:lpwstr>
      </vt:variant>
      <vt:variant>
        <vt:i4>1769525</vt:i4>
      </vt:variant>
      <vt:variant>
        <vt:i4>416</vt:i4>
      </vt:variant>
      <vt:variant>
        <vt:i4>0</vt:i4>
      </vt:variant>
      <vt:variant>
        <vt:i4>5</vt:i4>
      </vt:variant>
      <vt:variant>
        <vt:lpwstr/>
      </vt:variant>
      <vt:variant>
        <vt:lpwstr>_Toc380578190</vt:lpwstr>
      </vt:variant>
      <vt:variant>
        <vt:i4>1703989</vt:i4>
      </vt:variant>
      <vt:variant>
        <vt:i4>410</vt:i4>
      </vt:variant>
      <vt:variant>
        <vt:i4>0</vt:i4>
      </vt:variant>
      <vt:variant>
        <vt:i4>5</vt:i4>
      </vt:variant>
      <vt:variant>
        <vt:lpwstr/>
      </vt:variant>
      <vt:variant>
        <vt:lpwstr>_Toc380578189</vt:lpwstr>
      </vt:variant>
      <vt:variant>
        <vt:i4>1703989</vt:i4>
      </vt:variant>
      <vt:variant>
        <vt:i4>404</vt:i4>
      </vt:variant>
      <vt:variant>
        <vt:i4>0</vt:i4>
      </vt:variant>
      <vt:variant>
        <vt:i4>5</vt:i4>
      </vt:variant>
      <vt:variant>
        <vt:lpwstr/>
      </vt:variant>
      <vt:variant>
        <vt:lpwstr>_Toc380578188</vt:lpwstr>
      </vt:variant>
      <vt:variant>
        <vt:i4>1703989</vt:i4>
      </vt:variant>
      <vt:variant>
        <vt:i4>398</vt:i4>
      </vt:variant>
      <vt:variant>
        <vt:i4>0</vt:i4>
      </vt:variant>
      <vt:variant>
        <vt:i4>5</vt:i4>
      </vt:variant>
      <vt:variant>
        <vt:lpwstr/>
      </vt:variant>
      <vt:variant>
        <vt:lpwstr>_Toc380578187</vt:lpwstr>
      </vt:variant>
      <vt:variant>
        <vt:i4>1703989</vt:i4>
      </vt:variant>
      <vt:variant>
        <vt:i4>392</vt:i4>
      </vt:variant>
      <vt:variant>
        <vt:i4>0</vt:i4>
      </vt:variant>
      <vt:variant>
        <vt:i4>5</vt:i4>
      </vt:variant>
      <vt:variant>
        <vt:lpwstr/>
      </vt:variant>
      <vt:variant>
        <vt:lpwstr>_Toc380578186</vt:lpwstr>
      </vt:variant>
      <vt:variant>
        <vt:i4>1703989</vt:i4>
      </vt:variant>
      <vt:variant>
        <vt:i4>386</vt:i4>
      </vt:variant>
      <vt:variant>
        <vt:i4>0</vt:i4>
      </vt:variant>
      <vt:variant>
        <vt:i4>5</vt:i4>
      </vt:variant>
      <vt:variant>
        <vt:lpwstr/>
      </vt:variant>
      <vt:variant>
        <vt:lpwstr>_Toc380578185</vt:lpwstr>
      </vt:variant>
      <vt:variant>
        <vt:i4>1703989</vt:i4>
      </vt:variant>
      <vt:variant>
        <vt:i4>380</vt:i4>
      </vt:variant>
      <vt:variant>
        <vt:i4>0</vt:i4>
      </vt:variant>
      <vt:variant>
        <vt:i4>5</vt:i4>
      </vt:variant>
      <vt:variant>
        <vt:lpwstr/>
      </vt:variant>
      <vt:variant>
        <vt:lpwstr>_Toc380578184</vt:lpwstr>
      </vt:variant>
      <vt:variant>
        <vt:i4>1703989</vt:i4>
      </vt:variant>
      <vt:variant>
        <vt:i4>374</vt:i4>
      </vt:variant>
      <vt:variant>
        <vt:i4>0</vt:i4>
      </vt:variant>
      <vt:variant>
        <vt:i4>5</vt:i4>
      </vt:variant>
      <vt:variant>
        <vt:lpwstr/>
      </vt:variant>
      <vt:variant>
        <vt:lpwstr>_Toc380578183</vt:lpwstr>
      </vt:variant>
      <vt:variant>
        <vt:i4>1703989</vt:i4>
      </vt:variant>
      <vt:variant>
        <vt:i4>368</vt:i4>
      </vt:variant>
      <vt:variant>
        <vt:i4>0</vt:i4>
      </vt:variant>
      <vt:variant>
        <vt:i4>5</vt:i4>
      </vt:variant>
      <vt:variant>
        <vt:lpwstr/>
      </vt:variant>
      <vt:variant>
        <vt:lpwstr>_Toc380578182</vt:lpwstr>
      </vt:variant>
      <vt:variant>
        <vt:i4>1703989</vt:i4>
      </vt:variant>
      <vt:variant>
        <vt:i4>362</vt:i4>
      </vt:variant>
      <vt:variant>
        <vt:i4>0</vt:i4>
      </vt:variant>
      <vt:variant>
        <vt:i4>5</vt:i4>
      </vt:variant>
      <vt:variant>
        <vt:lpwstr/>
      </vt:variant>
      <vt:variant>
        <vt:lpwstr>_Toc380578181</vt:lpwstr>
      </vt:variant>
      <vt:variant>
        <vt:i4>1703989</vt:i4>
      </vt:variant>
      <vt:variant>
        <vt:i4>356</vt:i4>
      </vt:variant>
      <vt:variant>
        <vt:i4>0</vt:i4>
      </vt:variant>
      <vt:variant>
        <vt:i4>5</vt:i4>
      </vt:variant>
      <vt:variant>
        <vt:lpwstr/>
      </vt:variant>
      <vt:variant>
        <vt:lpwstr>_Toc380578180</vt:lpwstr>
      </vt:variant>
      <vt:variant>
        <vt:i4>1376309</vt:i4>
      </vt:variant>
      <vt:variant>
        <vt:i4>350</vt:i4>
      </vt:variant>
      <vt:variant>
        <vt:i4>0</vt:i4>
      </vt:variant>
      <vt:variant>
        <vt:i4>5</vt:i4>
      </vt:variant>
      <vt:variant>
        <vt:lpwstr/>
      </vt:variant>
      <vt:variant>
        <vt:lpwstr>_Toc380578179</vt:lpwstr>
      </vt:variant>
      <vt:variant>
        <vt:i4>1376309</vt:i4>
      </vt:variant>
      <vt:variant>
        <vt:i4>344</vt:i4>
      </vt:variant>
      <vt:variant>
        <vt:i4>0</vt:i4>
      </vt:variant>
      <vt:variant>
        <vt:i4>5</vt:i4>
      </vt:variant>
      <vt:variant>
        <vt:lpwstr/>
      </vt:variant>
      <vt:variant>
        <vt:lpwstr>_Toc380578178</vt:lpwstr>
      </vt:variant>
      <vt:variant>
        <vt:i4>1376309</vt:i4>
      </vt:variant>
      <vt:variant>
        <vt:i4>338</vt:i4>
      </vt:variant>
      <vt:variant>
        <vt:i4>0</vt:i4>
      </vt:variant>
      <vt:variant>
        <vt:i4>5</vt:i4>
      </vt:variant>
      <vt:variant>
        <vt:lpwstr/>
      </vt:variant>
      <vt:variant>
        <vt:lpwstr>_Toc380578177</vt:lpwstr>
      </vt:variant>
      <vt:variant>
        <vt:i4>1376309</vt:i4>
      </vt:variant>
      <vt:variant>
        <vt:i4>332</vt:i4>
      </vt:variant>
      <vt:variant>
        <vt:i4>0</vt:i4>
      </vt:variant>
      <vt:variant>
        <vt:i4>5</vt:i4>
      </vt:variant>
      <vt:variant>
        <vt:lpwstr/>
      </vt:variant>
      <vt:variant>
        <vt:lpwstr>_Toc380578176</vt:lpwstr>
      </vt:variant>
      <vt:variant>
        <vt:i4>1376309</vt:i4>
      </vt:variant>
      <vt:variant>
        <vt:i4>326</vt:i4>
      </vt:variant>
      <vt:variant>
        <vt:i4>0</vt:i4>
      </vt:variant>
      <vt:variant>
        <vt:i4>5</vt:i4>
      </vt:variant>
      <vt:variant>
        <vt:lpwstr/>
      </vt:variant>
      <vt:variant>
        <vt:lpwstr>_Toc380578175</vt:lpwstr>
      </vt:variant>
      <vt:variant>
        <vt:i4>1376309</vt:i4>
      </vt:variant>
      <vt:variant>
        <vt:i4>320</vt:i4>
      </vt:variant>
      <vt:variant>
        <vt:i4>0</vt:i4>
      </vt:variant>
      <vt:variant>
        <vt:i4>5</vt:i4>
      </vt:variant>
      <vt:variant>
        <vt:lpwstr/>
      </vt:variant>
      <vt:variant>
        <vt:lpwstr>_Toc380578174</vt:lpwstr>
      </vt:variant>
      <vt:variant>
        <vt:i4>1376309</vt:i4>
      </vt:variant>
      <vt:variant>
        <vt:i4>314</vt:i4>
      </vt:variant>
      <vt:variant>
        <vt:i4>0</vt:i4>
      </vt:variant>
      <vt:variant>
        <vt:i4>5</vt:i4>
      </vt:variant>
      <vt:variant>
        <vt:lpwstr/>
      </vt:variant>
      <vt:variant>
        <vt:lpwstr>_Toc380578173</vt:lpwstr>
      </vt:variant>
      <vt:variant>
        <vt:i4>1376309</vt:i4>
      </vt:variant>
      <vt:variant>
        <vt:i4>308</vt:i4>
      </vt:variant>
      <vt:variant>
        <vt:i4>0</vt:i4>
      </vt:variant>
      <vt:variant>
        <vt:i4>5</vt:i4>
      </vt:variant>
      <vt:variant>
        <vt:lpwstr/>
      </vt:variant>
      <vt:variant>
        <vt:lpwstr>_Toc380578172</vt:lpwstr>
      </vt:variant>
      <vt:variant>
        <vt:i4>1376309</vt:i4>
      </vt:variant>
      <vt:variant>
        <vt:i4>302</vt:i4>
      </vt:variant>
      <vt:variant>
        <vt:i4>0</vt:i4>
      </vt:variant>
      <vt:variant>
        <vt:i4>5</vt:i4>
      </vt:variant>
      <vt:variant>
        <vt:lpwstr/>
      </vt:variant>
      <vt:variant>
        <vt:lpwstr>_Toc380578171</vt:lpwstr>
      </vt:variant>
      <vt:variant>
        <vt:i4>1376309</vt:i4>
      </vt:variant>
      <vt:variant>
        <vt:i4>296</vt:i4>
      </vt:variant>
      <vt:variant>
        <vt:i4>0</vt:i4>
      </vt:variant>
      <vt:variant>
        <vt:i4>5</vt:i4>
      </vt:variant>
      <vt:variant>
        <vt:lpwstr/>
      </vt:variant>
      <vt:variant>
        <vt:lpwstr>_Toc380578170</vt:lpwstr>
      </vt:variant>
      <vt:variant>
        <vt:i4>1310773</vt:i4>
      </vt:variant>
      <vt:variant>
        <vt:i4>290</vt:i4>
      </vt:variant>
      <vt:variant>
        <vt:i4>0</vt:i4>
      </vt:variant>
      <vt:variant>
        <vt:i4>5</vt:i4>
      </vt:variant>
      <vt:variant>
        <vt:lpwstr/>
      </vt:variant>
      <vt:variant>
        <vt:lpwstr>_Toc380578169</vt:lpwstr>
      </vt:variant>
      <vt:variant>
        <vt:i4>1310773</vt:i4>
      </vt:variant>
      <vt:variant>
        <vt:i4>284</vt:i4>
      </vt:variant>
      <vt:variant>
        <vt:i4>0</vt:i4>
      </vt:variant>
      <vt:variant>
        <vt:i4>5</vt:i4>
      </vt:variant>
      <vt:variant>
        <vt:lpwstr/>
      </vt:variant>
      <vt:variant>
        <vt:lpwstr>_Toc380578168</vt:lpwstr>
      </vt:variant>
      <vt:variant>
        <vt:i4>1310773</vt:i4>
      </vt:variant>
      <vt:variant>
        <vt:i4>278</vt:i4>
      </vt:variant>
      <vt:variant>
        <vt:i4>0</vt:i4>
      </vt:variant>
      <vt:variant>
        <vt:i4>5</vt:i4>
      </vt:variant>
      <vt:variant>
        <vt:lpwstr/>
      </vt:variant>
      <vt:variant>
        <vt:lpwstr>_Toc380578167</vt:lpwstr>
      </vt:variant>
      <vt:variant>
        <vt:i4>1310773</vt:i4>
      </vt:variant>
      <vt:variant>
        <vt:i4>272</vt:i4>
      </vt:variant>
      <vt:variant>
        <vt:i4>0</vt:i4>
      </vt:variant>
      <vt:variant>
        <vt:i4>5</vt:i4>
      </vt:variant>
      <vt:variant>
        <vt:lpwstr/>
      </vt:variant>
      <vt:variant>
        <vt:lpwstr>_Toc380578166</vt:lpwstr>
      </vt:variant>
      <vt:variant>
        <vt:i4>1310773</vt:i4>
      </vt:variant>
      <vt:variant>
        <vt:i4>266</vt:i4>
      </vt:variant>
      <vt:variant>
        <vt:i4>0</vt:i4>
      </vt:variant>
      <vt:variant>
        <vt:i4>5</vt:i4>
      </vt:variant>
      <vt:variant>
        <vt:lpwstr/>
      </vt:variant>
      <vt:variant>
        <vt:lpwstr>_Toc380578165</vt:lpwstr>
      </vt:variant>
      <vt:variant>
        <vt:i4>1310773</vt:i4>
      </vt:variant>
      <vt:variant>
        <vt:i4>260</vt:i4>
      </vt:variant>
      <vt:variant>
        <vt:i4>0</vt:i4>
      </vt:variant>
      <vt:variant>
        <vt:i4>5</vt:i4>
      </vt:variant>
      <vt:variant>
        <vt:lpwstr/>
      </vt:variant>
      <vt:variant>
        <vt:lpwstr>_Toc380578164</vt:lpwstr>
      </vt:variant>
      <vt:variant>
        <vt:i4>1310773</vt:i4>
      </vt:variant>
      <vt:variant>
        <vt:i4>254</vt:i4>
      </vt:variant>
      <vt:variant>
        <vt:i4>0</vt:i4>
      </vt:variant>
      <vt:variant>
        <vt:i4>5</vt:i4>
      </vt:variant>
      <vt:variant>
        <vt:lpwstr/>
      </vt:variant>
      <vt:variant>
        <vt:lpwstr>_Toc380578163</vt:lpwstr>
      </vt:variant>
      <vt:variant>
        <vt:i4>1310773</vt:i4>
      </vt:variant>
      <vt:variant>
        <vt:i4>248</vt:i4>
      </vt:variant>
      <vt:variant>
        <vt:i4>0</vt:i4>
      </vt:variant>
      <vt:variant>
        <vt:i4>5</vt:i4>
      </vt:variant>
      <vt:variant>
        <vt:lpwstr/>
      </vt:variant>
      <vt:variant>
        <vt:lpwstr>_Toc380578162</vt:lpwstr>
      </vt:variant>
      <vt:variant>
        <vt:i4>1310773</vt:i4>
      </vt:variant>
      <vt:variant>
        <vt:i4>242</vt:i4>
      </vt:variant>
      <vt:variant>
        <vt:i4>0</vt:i4>
      </vt:variant>
      <vt:variant>
        <vt:i4>5</vt:i4>
      </vt:variant>
      <vt:variant>
        <vt:lpwstr/>
      </vt:variant>
      <vt:variant>
        <vt:lpwstr>_Toc380578161</vt:lpwstr>
      </vt:variant>
      <vt:variant>
        <vt:i4>1310773</vt:i4>
      </vt:variant>
      <vt:variant>
        <vt:i4>236</vt:i4>
      </vt:variant>
      <vt:variant>
        <vt:i4>0</vt:i4>
      </vt:variant>
      <vt:variant>
        <vt:i4>5</vt:i4>
      </vt:variant>
      <vt:variant>
        <vt:lpwstr/>
      </vt:variant>
      <vt:variant>
        <vt:lpwstr>_Toc380578160</vt:lpwstr>
      </vt:variant>
      <vt:variant>
        <vt:i4>1507381</vt:i4>
      </vt:variant>
      <vt:variant>
        <vt:i4>230</vt:i4>
      </vt:variant>
      <vt:variant>
        <vt:i4>0</vt:i4>
      </vt:variant>
      <vt:variant>
        <vt:i4>5</vt:i4>
      </vt:variant>
      <vt:variant>
        <vt:lpwstr/>
      </vt:variant>
      <vt:variant>
        <vt:lpwstr>_Toc380578159</vt:lpwstr>
      </vt:variant>
      <vt:variant>
        <vt:i4>1507381</vt:i4>
      </vt:variant>
      <vt:variant>
        <vt:i4>224</vt:i4>
      </vt:variant>
      <vt:variant>
        <vt:i4>0</vt:i4>
      </vt:variant>
      <vt:variant>
        <vt:i4>5</vt:i4>
      </vt:variant>
      <vt:variant>
        <vt:lpwstr/>
      </vt:variant>
      <vt:variant>
        <vt:lpwstr>_Toc380578158</vt:lpwstr>
      </vt:variant>
      <vt:variant>
        <vt:i4>1507381</vt:i4>
      </vt:variant>
      <vt:variant>
        <vt:i4>218</vt:i4>
      </vt:variant>
      <vt:variant>
        <vt:i4>0</vt:i4>
      </vt:variant>
      <vt:variant>
        <vt:i4>5</vt:i4>
      </vt:variant>
      <vt:variant>
        <vt:lpwstr/>
      </vt:variant>
      <vt:variant>
        <vt:lpwstr>_Toc380578157</vt:lpwstr>
      </vt:variant>
      <vt:variant>
        <vt:i4>1507381</vt:i4>
      </vt:variant>
      <vt:variant>
        <vt:i4>212</vt:i4>
      </vt:variant>
      <vt:variant>
        <vt:i4>0</vt:i4>
      </vt:variant>
      <vt:variant>
        <vt:i4>5</vt:i4>
      </vt:variant>
      <vt:variant>
        <vt:lpwstr/>
      </vt:variant>
      <vt:variant>
        <vt:lpwstr>_Toc380578156</vt:lpwstr>
      </vt:variant>
      <vt:variant>
        <vt:i4>1507381</vt:i4>
      </vt:variant>
      <vt:variant>
        <vt:i4>206</vt:i4>
      </vt:variant>
      <vt:variant>
        <vt:i4>0</vt:i4>
      </vt:variant>
      <vt:variant>
        <vt:i4>5</vt:i4>
      </vt:variant>
      <vt:variant>
        <vt:lpwstr/>
      </vt:variant>
      <vt:variant>
        <vt:lpwstr>_Toc380578155</vt:lpwstr>
      </vt:variant>
      <vt:variant>
        <vt:i4>1507381</vt:i4>
      </vt:variant>
      <vt:variant>
        <vt:i4>200</vt:i4>
      </vt:variant>
      <vt:variant>
        <vt:i4>0</vt:i4>
      </vt:variant>
      <vt:variant>
        <vt:i4>5</vt:i4>
      </vt:variant>
      <vt:variant>
        <vt:lpwstr/>
      </vt:variant>
      <vt:variant>
        <vt:lpwstr>_Toc380578154</vt:lpwstr>
      </vt:variant>
      <vt:variant>
        <vt:i4>1507381</vt:i4>
      </vt:variant>
      <vt:variant>
        <vt:i4>194</vt:i4>
      </vt:variant>
      <vt:variant>
        <vt:i4>0</vt:i4>
      </vt:variant>
      <vt:variant>
        <vt:i4>5</vt:i4>
      </vt:variant>
      <vt:variant>
        <vt:lpwstr/>
      </vt:variant>
      <vt:variant>
        <vt:lpwstr>_Toc380578153</vt:lpwstr>
      </vt:variant>
      <vt:variant>
        <vt:i4>1507381</vt:i4>
      </vt:variant>
      <vt:variant>
        <vt:i4>188</vt:i4>
      </vt:variant>
      <vt:variant>
        <vt:i4>0</vt:i4>
      </vt:variant>
      <vt:variant>
        <vt:i4>5</vt:i4>
      </vt:variant>
      <vt:variant>
        <vt:lpwstr/>
      </vt:variant>
      <vt:variant>
        <vt:lpwstr>_Toc380578152</vt:lpwstr>
      </vt:variant>
      <vt:variant>
        <vt:i4>1507381</vt:i4>
      </vt:variant>
      <vt:variant>
        <vt:i4>182</vt:i4>
      </vt:variant>
      <vt:variant>
        <vt:i4>0</vt:i4>
      </vt:variant>
      <vt:variant>
        <vt:i4>5</vt:i4>
      </vt:variant>
      <vt:variant>
        <vt:lpwstr/>
      </vt:variant>
      <vt:variant>
        <vt:lpwstr>_Toc380578151</vt:lpwstr>
      </vt:variant>
      <vt:variant>
        <vt:i4>1507381</vt:i4>
      </vt:variant>
      <vt:variant>
        <vt:i4>176</vt:i4>
      </vt:variant>
      <vt:variant>
        <vt:i4>0</vt:i4>
      </vt:variant>
      <vt:variant>
        <vt:i4>5</vt:i4>
      </vt:variant>
      <vt:variant>
        <vt:lpwstr/>
      </vt:variant>
      <vt:variant>
        <vt:lpwstr>_Toc380578150</vt:lpwstr>
      </vt:variant>
      <vt:variant>
        <vt:i4>1441845</vt:i4>
      </vt:variant>
      <vt:variant>
        <vt:i4>170</vt:i4>
      </vt:variant>
      <vt:variant>
        <vt:i4>0</vt:i4>
      </vt:variant>
      <vt:variant>
        <vt:i4>5</vt:i4>
      </vt:variant>
      <vt:variant>
        <vt:lpwstr/>
      </vt:variant>
      <vt:variant>
        <vt:lpwstr>_Toc380578149</vt:lpwstr>
      </vt:variant>
      <vt:variant>
        <vt:i4>1441845</vt:i4>
      </vt:variant>
      <vt:variant>
        <vt:i4>164</vt:i4>
      </vt:variant>
      <vt:variant>
        <vt:i4>0</vt:i4>
      </vt:variant>
      <vt:variant>
        <vt:i4>5</vt:i4>
      </vt:variant>
      <vt:variant>
        <vt:lpwstr/>
      </vt:variant>
      <vt:variant>
        <vt:lpwstr>_Toc380578148</vt:lpwstr>
      </vt:variant>
      <vt:variant>
        <vt:i4>1441845</vt:i4>
      </vt:variant>
      <vt:variant>
        <vt:i4>158</vt:i4>
      </vt:variant>
      <vt:variant>
        <vt:i4>0</vt:i4>
      </vt:variant>
      <vt:variant>
        <vt:i4>5</vt:i4>
      </vt:variant>
      <vt:variant>
        <vt:lpwstr/>
      </vt:variant>
      <vt:variant>
        <vt:lpwstr>_Toc380578147</vt:lpwstr>
      </vt:variant>
      <vt:variant>
        <vt:i4>1441845</vt:i4>
      </vt:variant>
      <vt:variant>
        <vt:i4>152</vt:i4>
      </vt:variant>
      <vt:variant>
        <vt:i4>0</vt:i4>
      </vt:variant>
      <vt:variant>
        <vt:i4>5</vt:i4>
      </vt:variant>
      <vt:variant>
        <vt:lpwstr/>
      </vt:variant>
      <vt:variant>
        <vt:lpwstr>_Toc380578146</vt:lpwstr>
      </vt:variant>
      <vt:variant>
        <vt:i4>1441845</vt:i4>
      </vt:variant>
      <vt:variant>
        <vt:i4>146</vt:i4>
      </vt:variant>
      <vt:variant>
        <vt:i4>0</vt:i4>
      </vt:variant>
      <vt:variant>
        <vt:i4>5</vt:i4>
      </vt:variant>
      <vt:variant>
        <vt:lpwstr/>
      </vt:variant>
      <vt:variant>
        <vt:lpwstr>_Toc380578145</vt:lpwstr>
      </vt:variant>
      <vt:variant>
        <vt:i4>1441845</vt:i4>
      </vt:variant>
      <vt:variant>
        <vt:i4>140</vt:i4>
      </vt:variant>
      <vt:variant>
        <vt:i4>0</vt:i4>
      </vt:variant>
      <vt:variant>
        <vt:i4>5</vt:i4>
      </vt:variant>
      <vt:variant>
        <vt:lpwstr/>
      </vt:variant>
      <vt:variant>
        <vt:lpwstr>_Toc380578144</vt:lpwstr>
      </vt:variant>
      <vt:variant>
        <vt:i4>1441845</vt:i4>
      </vt:variant>
      <vt:variant>
        <vt:i4>134</vt:i4>
      </vt:variant>
      <vt:variant>
        <vt:i4>0</vt:i4>
      </vt:variant>
      <vt:variant>
        <vt:i4>5</vt:i4>
      </vt:variant>
      <vt:variant>
        <vt:lpwstr/>
      </vt:variant>
      <vt:variant>
        <vt:lpwstr>_Toc380578143</vt:lpwstr>
      </vt:variant>
      <vt:variant>
        <vt:i4>1441845</vt:i4>
      </vt:variant>
      <vt:variant>
        <vt:i4>128</vt:i4>
      </vt:variant>
      <vt:variant>
        <vt:i4>0</vt:i4>
      </vt:variant>
      <vt:variant>
        <vt:i4>5</vt:i4>
      </vt:variant>
      <vt:variant>
        <vt:lpwstr/>
      </vt:variant>
      <vt:variant>
        <vt:lpwstr>_Toc380578142</vt:lpwstr>
      </vt:variant>
      <vt:variant>
        <vt:i4>1441845</vt:i4>
      </vt:variant>
      <vt:variant>
        <vt:i4>122</vt:i4>
      </vt:variant>
      <vt:variant>
        <vt:i4>0</vt:i4>
      </vt:variant>
      <vt:variant>
        <vt:i4>5</vt:i4>
      </vt:variant>
      <vt:variant>
        <vt:lpwstr/>
      </vt:variant>
      <vt:variant>
        <vt:lpwstr>_Toc380578141</vt:lpwstr>
      </vt:variant>
      <vt:variant>
        <vt:i4>1441845</vt:i4>
      </vt:variant>
      <vt:variant>
        <vt:i4>116</vt:i4>
      </vt:variant>
      <vt:variant>
        <vt:i4>0</vt:i4>
      </vt:variant>
      <vt:variant>
        <vt:i4>5</vt:i4>
      </vt:variant>
      <vt:variant>
        <vt:lpwstr/>
      </vt:variant>
      <vt:variant>
        <vt:lpwstr>_Toc380578140</vt:lpwstr>
      </vt:variant>
      <vt:variant>
        <vt:i4>1114165</vt:i4>
      </vt:variant>
      <vt:variant>
        <vt:i4>110</vt:i4>
      </vt:variant>
      <vt:variant>
        <vt:i4>0</vt:i4>
      </vt:variant>
      <vt:variant>
        <vt:i4>5</vt:i4>
      </vt:variant>
      <vt:variant>
        <vt:lpwstr/>
      </vt:variant>
      <vt:variant>
        <vt:lpwstr>_Toc380578139</vt:lpwstr>
      </vt:variant>
      <vt:variant>
        <vt:i4>1114165</vt:i4>
      </vt:variant>
      <vt:variant>
        <vt:i4>104</vt:i4>
      </vt:variant>
      <vt:variant>
        <vt:i4>0</vt:i4>
      </vt:variant>
      <vt:variant>
        <vt:i4>5</vt:i4>
      </vt:variant>
      <vt:variant>
        <vt:lpwstr/>
      </vt:variant>
      <vt:variant>
        <vt:lpwstr>_Toc380578138</vt:lpwstr>
      </vt:variant>
      <vt:variant>
        <vt:i4>1114165</vt:i4>
      </vt:variant>
      <vt:variant>
        <vt:i4>98</vt:i4>
      </vt:variant>
      <vt:variant>
        <vt:i4>0</vt:i4>
      </vt:variant>
      <vt:variant>
        <vt:i4>5</vt:i4>
      </vt:variant>
      <vt:variant>
        <vt:lpwstr/>
      </vt:variant>
      <vt:variant>
        <vt:lpwstr>_Toc380578137</vt:lpwstr>
      </vt:variant>
      <vt:variant>
        <vt:i4>1114165</vt:i4>
      </vt:variant>
      <vt:variant>
        <vt:i4>92</vt:i4>
      </vt:variant>
      <vt:variant>
        <vt:i4>0</vt:i4>
      </vt:variant>
      <vt:variant>
        <vt:i4>5</vt:i4>
      </vt:variant>
      <vt:variant>
        <vt:lpwstr/>
      </vt:variant>
      <vt:variant>
        <vt:lpwstr>_Toc380578136</vt:lpwstr>
      </vt:variant>
      <vt:variant>
        <vt:i4>1114165</vt:i4>
      </vt:variant>
      <vt:variant>
        <vt:i4>86</vt:i4>
      </vt:variant>
      <vt:variant>
        <vt:i4>0</vt:i4>
      </vt:variant>
      <vt:variant>
        <vt:i4>5</vt:i4>
      </vt:variant>
      <vt:variant>
        <vt:lpwstr/>
      </vt:variant>
      <vt:variant>
        <vt:lpwstr>_Toc380578135</vt:lpwstr>
      </vt:variant>
      <vt:variant>
        <vt:i4>1114165</vt:i4>
      </vt:variant>
      <vt:variant>
        <vt:i4>80</vt:i4>
      </vt:variant>
      <vt:variant>
        <vt:i4>0</vt:i4>
      </vt:variant>
      <vt:variant>
        <vt:i4>5</vt:i4>
      </vt:variant>
      <vt:variant>
        <vt:lpwstr/>
      </vt:variant>
      <vt:variant>
        <vt:lpwstr>_Toc380578134</vt:lpwstr>
      </vt:variant>
      <vt:variant>
        <vt:i4>1114165</vt:i4>
      </vt:variant>
      <vt:variant>
        <vt:i4>74</vt:i4>
      </vt:variant>
      <vt:variant>
        <vt:i4>0</vt:i4>
      </vt:variant>
      <vt:variant>
        <vt:i4>5</vt:i4>
      </vt:variant>
      <vt:variant>
        <vt:lpwstr/>
      </vt:variant>
      <vt:variant>
        <vt:lpwstr>_Toc380578133</vt:lpwstr>
      </vt:variant>
      <vt:variant>
        <vt:i4>1114165</vt:i4>
      </vt:variant>
      <vt:variant>
        <vt:i4>68</vt:i4>
      </vt:variant>
      <vt:variant>
        <vt:i4>0</vt:i4>
      </vt:variant>
      <vt:variant>
        <vt:i4>5</vt:i4>
      </vt:variant>
      <vt:variant>
        <vt:lpwstr/>
      </vt:variant>
      <vt:variant>
        <vt:lpwstr>_Toc380578132</vt:lpwstr>
      </vt:variant>
      <vt:variant>
        <vt:i4>1114165</vt:i4>
      </vt:variant>
      <vt:variant>
        <vt:i4>62</vt:i4>
      </vt:variant>
      <vt:variant>
        <vt:i4>0</vt:i4>
      </vt:variant>
      <vt:variant>
        <vt:i4>5</vt:i4>
      </vt:variant>
      <vt:variant>
        <vt:lpwstr/>
      </vt:variant>
      <vt:variant>
        <vt:lpwstr>_Toc380578131</vt:lpwstr>
      </vt:variant>
      <vt:variant>
        <vt:i4>1114165</vt:i4>
      </vt:variant>
      <vt:variant>
        <vt:i4>56</vt:i4>
      </vt:variant>
      <vt:variant>
        <vt:i4>0</vt:i4>
      </vt:variant>
      <vt:variant>
        <vt:i4>5</vt:i4>
      </vt:variant>
      <vt:variant>
        <vt:lpwstr/>
      </vt:variant>
      <vt:variant>
        <vt:lpwstr>_Toc380578130</vt:lpwstr>
      </vt:variant>
      <vt:variant>
        <vt:i4>1048629</vt:i4>
      </vt:variant>
      <vt:variant>
        <vt:i4>50</vt:i4>
      </vt:variant>
      <vt:variant>
        <vt:i4>0</vt:i4>
      </vt:variant>
      <vt:variant>
        <vt:i4>5</vt:i4>
      </vt:variant>
      <vt:variant>
        <vt:lpwstr/>
      </vt:variant>
      <vt:variant>
        <vt:lpwstr>_Toc380578129</vt:lpwstr>
      </vt:variant>
      <vt:variant>
        <vt:i4>1048629</vt:i4>
      </vt:variant>
      <vt:variant>
        <vt:i4>44</vt:i4>
      </vt:variant>
      <vt:variant>
        <vt:i4>0</vt:i4>
      </vt:variant>
      <vt:variant>
        <vt:i4>5</vt:i4>
      </vt:variant>
      <vt:variant>
        <vt:lpwstr/>
      </vt:variant>
      <vt:variant>
        <vt:lpwstr>_Toc380578128</vt:lpwstr>
      </vt:variant>
      <vt:variant>
        <vt:i4>1048629</vt:i4>
      </vt:variant>
      <vt:variant>
        <vt:i4>38</vt:i4>
      </vt:variant>
      <vt:variant>
        <vt:i4>0</vt:i4>
      </vt:variant>
      <vt:variant>
        <vt:i4>5</vt:i4>
      </vt:variant>
      <vt:variant>
        <vt:lpwstr/>
      </vt:variant>
      <vt:variant>
        <vt:lpwstr>_Toc380578127</vt:lpwstr>
      </vt:variant>
      <vt:variant>
        <vt:i4>1048629</vt:i4>
      </vt:variant>
      <vt:variant>
        <vt:i4>32</vt:i4>
      </vt:variant>
      <vt:variant>
        <vt:i4>0</vt:i4>
      </vt:variant>
      <vt:variant>
        <vt:i4>5</vt:i4>
      </vt:variant>
      <vt:variant>
        <vt:lpwstr/>
      </vt:variant>
      <vt:variant>
        <vt:lpwstr>_Toc380578126</vt:lpwstr>
      </vt:variant>
      <vt:variant>
        <vt:i4>1048629</vt:i4>
      </vt:variant>
      <vt:variant>
        <vt:i4>26</vt:i4>
      </vt:variant>
      <vt:variant>
        <vt:i4>0</vt:i4>
      </vt:variant>
      <vt:variant>
        <vt:i4>5</vt:i4>
      </vt:variant>
      <vt:variant>
        <vt:lpwstr/>
      </vt:variant>
      <vt:variant>
        <vt:lpwstr>_Toc380578125</vt:lpwstr>
      </vt:variant>
      <vt:variant>
        <vt:i4>1048629</vt:i4>
      </vt:variant>
      <vt:variant>
        <vt:i4>20</vt:i4>
      </vt:variant>
      <vt:variant>
        <vt:i4>0</vt:i4>
      </vt:variant>
      <vt:variant>
        <vt:i4>5</vt:i4>
      </vt:variant>
      <vt:variant>
        <vt:lpwstr/>
      </vt:variant>
      <vt:variant>
        <vt:lpwstr>_Toc380578124</vt:lpwstr>
      </vt:variant>
      <vt:variant>
        <vt:i4>1048629</vt:i4>
      </vt:variant>
      <vt:variant>
        <vt:i4>14</vt:i4>
      </vt:variant>
      <vt:variant>
        <vt:i4>0</vt:i4>
      </vt:variant>
      <vt:variant>
        <vt:i4>5</vt:i4>
      </vt:variant>
      <vt:variant>
        <vt:lpwstr/>
      </vt:variant>
      <vt:variant>
        <vt:lpwstr>_Toc380578123</vt:lpwstr>
      </vt:variant>
      <vt:variant>
        <vt:i4>1048629</vt:i4>
      </vt:variant>
      <vt:variant>
        <vt:i4>8</vt:i4>
      </vt:variant>
      <vt:variant>
        <vt:i4>0</vt:i4>
      </vt:variant>
      <vt:variant>
        <vt:i4>5</vt:i4>
      </vt:variant>
      <vt:variant>
        <vt:lpwstr/>
      </vt:variant>
      <vt:variant>
        <vt:lpwstr>_Toc380578122</vt:lpwstr>
      </vt:variant>
      <vt:variant>
        <vt:i4>1048629</vt:i4>
      </vt:variant>
      <vt:variant>
        <vt:i4>2</vt:i4>
      </vt:variant>
      <vt:variant>
        <vt:i4>0</vt:i4>
      </vt:variant>
      <vt:variant>
        <vt:i4>5</vt:i4>
      </vt:variant>
      <vt:variant>
        <vt:lpwstr/>
      </vt:variant>
      <vt:variant>
        <vt:lpwstr>_Toc380578121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BaranovaDS</dc:creator>
  <cp:keywords/>
  <dc:description/>
  <cp:lastModifiedBy>BaranovaDS</cp:lastModifiedBy>
  <cp:revision>11</cp:revision>
  <cp:lastPrinted>2014-05-27T11:21:00Z</cp:lastPrinted>
  <dcterms:created xsi:type="dcterms:W3CDTF">2014-04-15T11:54:00Z</dcterms:created>
  <dcterms:modified xsi:type="dcterms:W3CDTF">2014-05-27T11:33:00Z</dcterms:modified>
</cp:coreProperties>
</file>